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7624F" w:rsidRPr="0086115B" w14:paraId="6D882FE2" w14:textId="77777777" w:rsidTr="00607F94">
        <w:trPr>
          <w:trHeight w:val="850"/>
        </w:trPr>
        <w:tc>
          <w:tcPr>
            <w:tcW w:w="975" w:type="dxa"/>
            <w:vAlign w:val="bottom"/>
          </w:tcPr>
          <w:p w14:paraId="066679D8" w14:textId="77777777" w:rsidR="00A7624F" w:rsidRPr="0086115B" w:rsidRDefault="00A7624F" w:rsidP="00607F94">
            <w:pPr>
              <w:pStyle w:val="AASmallLogo"/>
              <w:rPr>
                <w:lang w:val="fr-FR"/>
              </w:rPr>
            </w:pPr>
            <w:r w:rsidRPr="0086115B">
              <w:rPr>
                <w:noProof/>
                <w:lang w:val="fr-FR"/>
              </w:rPr>
              <w:drawing>
                <wp:inline distT="0" distB="0" distL="0" distR="0" wp14:anchorId="1BED14D6" wp14:editId="714528E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86115B">
              <w:rPr>
                <w:lang w:val="fr-FR"/>
              </w:rPr>
              <w:t xml:space="preserve"> </w:t>
            </w:r>
          </w:p>
          <w:p w14:paraId="245D0BBE" w14:textId="77777777" w:rsidR="00A7624F" w:rsidRPr="0086115B" w:rsidRDefault="00A7624F" w:rsidP="00607F94">
            <w:pPr>
              <w:pStyle w:val="AASmallLogo"/>
              <w:rPr>
                <w:lang w:val="fr-FR"/>
              </w:rPr>
            </w:pPr>
          </w:p>
        </w:tc>
        <w:tc>
          <w:tcPr>
            <w:tcW w:w="1434" w:type="dxa"/>
            <w:noWrap/>
            <w:vAlign w:val="bottom"/>
          </w:tcPr>
          <w:p w14:paraId="20983B50" w14:textId="77777777" w:rsidR="00A7624F" w:rsidRPr="0086115B" w:rsidRDefault="00A7624F" w:rsidP="00607F94">
            <w:pPr>
              <w:pStyle w:val="AASmallLogo"/>
              <w:rPr>
                <w:lang w:val="fr-FR"/>
              </w:rPr>
            </w:pPr>
            <w:r w:rsidRPr="0086115B">
              <w:rPr>
                <w:lang w:val="fr-FR"/>
              </w:rPr>
              <w:t xml:space="preserve"> </w:t>
            </w:r>
            <w:r w:rsidRPr="0086115B">
              <w:rPr>
                <w:noProof/>
                <w:lang w:val="fr-FR"/>
              </w:rPr>
              <w:drawing>
                <wp:inline distT="0" distB="0" distL="0" distR="0" wp14:anchorId="053F6451" wp14:editId="6BF819AA">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0B2823E3" w14:textId="77777777" w:rsidR="00A7624F" w:rsidRPr="0086115B" w:rsidRDefault="00A7624F" w:rsidP="00607F94">
            <w:pPr>
              <w:pStyle w:val="AASmallLogo"/>
              <w:rPr>
                <w:lang w:val="fr-FR"/>
              </w:rPr>
            </w:pPr>
          </w:p>
        </w:tc>
        <w:tc>
          <w:tcPr>
            <w:tcW w:w="8073" w:type="dxa"/>
            <w:vAlign w:val="bottom"/>
          </w:tcPr>
          <w:p w14:paraId="1DF57B4E" w14:textId="77777777" w:rsidR="00A7624F" w:rsidRPr="0086115B" w:rsidRDefault="00A7624F" w:rsidP="00607F94">
            <w:pPr>
              <w:pStyle w:val="ABSymbol"/>
              <w:rPr>
                <w:lang w:val="fr-FR"/>
              </w:rPr>
            </w:pPr>
            <w:r w:rsidRPr="0086115B">
              <w:rPr>
                <w:sz w:val="40"/>
                <w:lang w:val="fr-FR"/>
              </w:rPr>
              <w:t>CBD</w:t>
            </w:r>
            <w:r w:rsidRPr="0086115B">
              <w:rPr>
                <w:lang w:val="fr-FR"/>
              </w:rPr>
              <w:t>/COP/17/INF/7</w:t>
            </w:r>
          </w:p>
        </w:tc>
      </w:tr>
    </w:tbl>
    <w:p w14:paraId="1CA1D50F" w14:textId="77777777" w:rsidR="00A7624F" w:rsidRPr="0086115B" w:rsidRDefault="00A7624F" w:rsidP="00A7624F">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7624F" w:rsidRPr="00543148" w14:paraId="1EEC468C" w14:textId="77777777" w:rsidTr="00607F94">
        <w:trPr>
          <w:trHeight w:val="1814"/>
        </w:trPr>
        <w:tc>
          <w:tcPr>
            <w:tcW w:w="7370" w:type="dxa"/>
          </w:tcPr>
          <w:p w14:paraId="07775FEB" w14:textId="77777777" w:rsidR="00A7624F" w:rsidRPr="0086115B" w:rsidRDefault="00A7624F" w:rsidP="00607F94">
            <w:pPr>
              <w:pStyle w:val="ACLargeLogo"/>
              <w:rPr>
                <w:lang w:val="fr-FR"/>
              </w:rPr>
            </w:pPr>
            <w:r w:rsidRPr="0086115B">
              <w:rPr>
                <w:noProof/>
                <w:lang w:val="fr-FR"/>
              </w:rPr>
              <w:drawing>
                <wp:inline distT="0" distB="0" distL="0" distR="0" wp14:anchorId="27FD8F56" wp14:editId="4570A464">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Pr="0086115B">
              <w:rPr>
                <w:lang w:val="fr-FR"/>
              </w:rPr>
              <w:t xml:space="preserve"> </w:t>
            </w:r>
          </w:p>
          <w:p w14:paraId="09A76815" w14:textId="77777777" w:rsidR="00A7624F" w:rsidRPr="0086115B" w:rsidRDefault="00A7624F" w:rsidP="00607F94">
            <w:pPr>
              <w:pStyle w:val="ACLargeLogo"/>
              <w:rPr>
                <w:lang w:val="fr-FR"/>
              </w:rPr>
            </w:pPr>
          </w:p>
        </w:tc>
        <w:tc>
          <w:tcPr>
            <w:tcW w:w="3112" w:type="dxa"/>
          </w:tcPr>
          <w:p w14:paraId="76509975" w14:textId="77777777" w:rsidR="00A7624F" w:rsidRPr="0086115B" w:rsidRDefault="00A7624F" w:rsidP="00607F94">
            <w:pPr>
              <w:pStyle w:val="AEDistrNormal"/>
              <w:rPr>
                <w:lang w:val="fr-FR"/>
              </w:rPr>
            </w:pPr>
            <w:r w:rsidRPr="0086115B">
              <w:rPr>
                <w:lang w:val="fr-FR"/>
              </w:rPr>
              <w:t xml:space="preserve">Distr. générale </w:t>
            </w:r>
          </w:p>
          <w:p w14:paraId="0D1C27AD" w14:textId="77777777" w:rsidR="00A7624F" w:rsidRPr="0086115B" w:rsidRDefault="00A7624F" w:rsidP="00607F94">
            <w:pPr>
              <w:pStyle w:val="AEDistrNormal"/>
              <w:rPr>
                <w:lang w:val="fr-FR"/>
              </w:rPr>
            </w:pPr>
            <w:r w:rsidRPr="0086115B">
              <w:rPr>
                <w:lang w:val="fr-FR"/>
              </w:rPr>
              <w:t>10 septembre 2026</w:t>
            </w:r>
          </w:p>
          <w:p w14:paraId="0C2AC93B" w14:textId="77777777" w:rsidR="00A7624F" w:rsidRPr="0086115B" w:rsidRDefault="00A7624F" w:rsidP="00607F94">
            <w:pPr>
              <w:pStyle w:val="AEDistrNormal"/>
              <w:rPr>
                <w:lang w:val="fr-FR"/>
              </w:rPr>
            </w:pPr>
            <w:r w:rsidRPr="0086115B">
              <w:rPr>
                <w:lang w:val="fr-FR"/>
              </w:rPr>
              <w:t>Français</w:t>
            </w:r>
          </w:p>
          <w:p w14:paraId="60768472" w14:textId="77777777" w:rsidR="00A7624F" w:rsidRPr="0086115B" w:rsidRDefault="00A7624F" w:rsidP="00607F94">
            <w:pPr>
              <w:pStyle w:val="AEDistrNormal"/>
              <w:rPr>
                <w:lang w:val="fr-FR"/>
              </w:rPr>
            </w:pPr>
            <w:r w:rsidRPr="0086115B">
              <w:rPr>
                <w:lang w:val="fr-FR"/>
              </w:rPr>
              <w:t>Original : anglais</w:t>
            </w:r>
          </w:p>
          <w:p w14:paraId="3DC3E31B" w14:textId="77777777" w:rsidR="00A7624F" w:rsidRPr="0086115B" w:rsidRDefault="00A7624F" w:rsidP="00607F94">
            <w:pPr>
              <w:pStyle w:val="AEDistrNormal6pt"/>
              <w:rPr>
                <w:lang w:val="fr-FR"/>
              </w:rPr>
            </w:pPr>
          </w:p>
        </w:tc>
      </w:tr>
    </w:tbl>
    <w:p w14:paraId="695B2420" w14:textId="77777777" w:rsidR="00A7624F" w:rsidRPr="0086115B" w:rsidRDefault="00A7624F" w:rsidP="00A7624F">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7624F" w:rsidRPr="00543148" w14:paraId="39E3817C" w14:textId="77777777" w:rsidTr="00607F94">
        <w:trPr>
          <w:trHeight w:val="57"/>
        </w:trPr>
        <w:tc>
          <w:tcPr>
            <w:tcW w:w="6094" w:type="dxa"/>
          </w:tcPr>
          <w:p w14:paraId="6885D376" w14:textId="77777777" w:rsidR="00A7624F" w:rsidRPr="0086115B" w:rsidRDefault="00A7624F" w:rsidP="00607F94">
            <w:pPr>
              <w:pStyle w:val="AFCorN12Bold"/>
              <w:rPr>
                <w:lang w:val="fr-FR"/>
              </w:rPr>
            </w:pPr>
            <w:r w:rsidRPr="0086115B">
              <w:rPr>
                <w:lang w:val="fr-FR"/>
              </w:rPr>
              <w:t xml:space="preserve">Conférence des Parties à la Convention </w:t>
            </w:r>
          </w:p>
          <w:p w14:paraId="710E4F06" w14:textId="77777777" w:rsidR="00A7624F" w:rsidRPr="0086115B" w:rsidRDefault="00A7624F" w:rsidP="00607F94">
            <w:pPr>
              <w:pStyle w:val="AFCorN12Bold"/>
              <w:rPr>
                <w:lang w:val="fr-FR"/>
              </w:rPr>
            </w:pPr>
            <w:r w:rsidRPr="0086115B">
              <w:rPr>
                <w:lang w:val="fr-FR"/>
              </w:rPr>
              <w:t>sur la diversité biologique</w:t>
            </w:r>
          </w:p>
          <w:p w14:paraId="4CFA8E5E" w14:textId="77777777" w:rsidR="00A7624F" w:rsidRPr="0086115B" w:rsidRDefault="00A7624F" w:rsidP="00607F94">
            <w:pPr>
              <w:pStyle w:val="AFCorNBold"/>
              <w:rPr>
                <w:lang w:val="fr-FR"/>
              </w:rPr>
            </w:pPr>
            <w:r w:rsidRPr="0086115B">
              <w:rPr>
                <w:lang w:val="fr-FR"/>
              </w:rPr>
              <w:t xml:space="preserve">Dix-septième réunion </w:t>
            </w:r>
          </w:p>
          <w:p w14:paraId="43348949" w14:textId="77777777" w:rsidR="00A7624F" w:rsidRPr="0086115B" w:rsidRDefault="00A7624F" w:rsidP="00607F94">
            <w:pPr>
              <w:pStyle w:val="AFCorNNormal"/>
              <w:rPr>
                <w:lang w:val="fr-FR"/>
              </w:rPr>
            </w:pPr>
            <w:r w:rsidRPr="0086115B">
              <w:rPr>
                <w:lang w:val="fr-FR"/>
              </w:rPr>
              <w:t xml:space="preserve">Erevan, </w:t>
            </w:r>
            <w:r w:rsidRPr="0086115B">
              <w:rPr>
                <w:snapToGrid w:val="0"/>
                <w:kern w:val="22"/>
                <w:lang w:val="fr-FR"/>
              </w:rPr>
              <w:t>19–30 octobre 2026</w:t>
            </w:r>
          </w:p>
          <w:p w14:paraId="518386E4" w14:textId="77777777" w:rsidR="00A7624F" w:rsidRPr="0086115B" w:rsidRDefault="00A7624F" w:rsidP="00607F94">
            <w:pPr>
              <w:pStyle w:val="AFCorNNormal"/>
              <w:rPr>
                <w:lang w:val="fr-FR"/>
              </w:rPr>
            </w:pPr>
            <w:r w:rsidRPr="0086115B">
              <w:rPr>
                <w:lang w:val="fr-FR"/>
              </w:rPr>
              <w:t>Point 9 a) de l’ordre du jour provisoire</w:t>
            </w:r>
            <w:r w:rsidRPr="0086115B">
              <w:rPr>
                <w:rStyle w:val="FootnoteReference"/>
                <w:lang w:val="fr-FR"/>
              </w:rPr>
              <w:footnoteReference w:customMarkFollows="1" w:id="1"/>
              <w:t>*</w:t>
            </w:r>
            <w:r w:rsidRPr="0086115B">
              <w:rPr>
                <w:lang w:val="fr-FR"/>
              </w:rPr>
              <w:t xml:space="preserve"> </w:t>
            </w:r>
          </w:p>
          <w:p w14:paraId="3DDABCB5" w14:textId="77777777" w:rsidR="00A7624F" w:rsidRPr="0086115B" w:rsidRDefault="00A7624F" w:rsidP="00607F94">
            <w:pPr>
              <w:pStyle w:val="AFCorNBold"/>
              <w:rPr>
                <w:lang w:val="fr-FR"/>
              </w:rPr>
            </w:pPr>
            <w:r w:rsidRPr="0086115B">
              <w:rPr>
                <w:lang w:val="fr-FR"/>
              </w:rPr>
              <w:t xml:space="preserve">Planification, suivi, établissement des rapports </w:t>
            </w:r>
            <w:r w:rsidRPr="0086115B">
              <w:rPr>
                <w:lang w:val="fr-FR"/>
              </w:rPr>
              <w:br/>
              <w:t xml:space="preserve">et examen : </w:t>
            </w:r>
            <w:r w:rsidRPr="0086115B">
              <w:rPr>
                <w:snapToGrid w:val="0"/>
                <w:lang w:val="fr-FR"/>
              </w:rPr>
              <w:t xml:space="preserve">examen mondial des progrès collectifs </w:t>
            </w:r>
            <w:r w:rsidRPr="0086115B">
              <w:rPr>
                <w:lang w:val="fr-FR"/>
              </w:rPr>
              <w:br/>
            </w:r>
            <w:r w:rsidRPr="0086115B">
              <w:rPr>
                <w:snapToGrid w:val="0"/>
                <w:lang w:val="fr-FR"/>
              </w:rPr>
              <w:t>accomplis dans la mise en œuvre du Cadre mondial</w:t>
            </w:r>
            <w:r w:rsidRPr="0086115B">
              <w:rPr>
                <w:lang w:val="fr-FR"/>
              </w:rPr>
              <w:br/>
            </w:r>
            <w:r w:rsidRPr="0086115B">
              <w:rPr>
                <w:snapToGrid w:val="0"/>
                <w:lang w:val="fr-FR"/>
              </w:rPr>
              <w:t xml:space="preserve">de la biodiversité de Kunming-Montréal </w:t>
            </w:r>
          </w:p>
        </w:tc>
        <w:tc>
          <w:tcPr>
            <w:tcW w:w="4388" w:type="dxa"/>
          </w:tcPr>
          <w:p w14:paraId="0B864A77" w14:textId="77777777" w:rsidR="00A7624F" w:rsidRPr="0086115B" w:rsidRDefault="00A7624F" w:rsidP="00607F94">
            <w:pPr>
              <w:pStyle w:val="CBDNormal"/>
              <w:jc w:val="left"/>
              <w:rPr>
                <w:lang w:val="fr-FR"/>
              </w:rPr>
            </w:pPr>
          </w:p>
        </w:tc>
      </w:tr>
    </w:tbl>
    <w:p w14:paraId="67EB4C1C" w14:textId="77777777" w:rsidR="00A7624F" w:rsidRPr="0086115B" w:rsidRDefault="00A7624F" w:rsidP="00A7624F">
      <w:pPr>
        <w:pStyle w:val="CBDTitle"/>
        <w:rPr>
          <w:caps/>
          <w:lang w:val="fr-FR"/>
        </w:rPr>
      </w:pPr>
      <w:r w:rsidRPr="0086115B">
        <w:rPr>
          <w:snapToGrid w:val="0"/>
          <w:lang w:val="fr-FR"/>
        </w:rPr>
        <w:t xml:space="preserve">Rapport mondial sur les progrès collectifs accomplis dans la mise en œuvre du Cadre mondial de la biodiversité de Kunming-Montréal </w:t>
      </w:r>
    </w:p>
    <w:p w14:paraId="48D3B4C0" w14:textId="77777777" w:rsidR="00A7624F" w:rsidRPr="0086115B" w:rsidRDefault="00A7624F" w:rsidP="00A7624F">
      <w:pPr>
        <w:pStyle w:val="CBDSubTitle"/>
        <w:rPr>
          <w:lang w:val="fr-FR"/>
        </w:rPr>
      </w:pPr>
      <w:r w:rsidRPr="0086115B">
        <w:rPr>
          <w:lang w:val="fr-FR"/>
        </w:rPr>
        <w:t>Note du Secrétariat</w:t>
      </w:r>
    </w:p>
    <w:p w14:paraId="7CC9F6C6" w14:textId="77777777" w:rsidR="00A7624F" w:rsidRPr="0086115B" w:rsidRDefault="00A7624F" w:rsidP="00A7624F">
      <w:pPr>
        <w:pStyle w:val="CBDNormalNumber"/>
        <w:numPr>
          <w:ilvl w:val="0"/>
          <w:numId w:val="42"/>
        </w:numPr>
        <w:ind w:left="567"/>
        <w:rPr>
          <w:lang w:val="fr-FR"/>
        </w:rPr>
      </w:pPr>
      <w:r w:rsidRPr="0086115B">
        <w:rPr>
          <w:lang w:val="fr-FR"/>
        </w:rPr>
        <w:t xml:space="preserve">Dans sa décision </w:t>
      </w:r>
      <w:hyperlink r:id="rId14" w:history="1">
        <w:r w:rsidRPr="0086115B">
          <w:rPr>
            <w:rStyle w:val="Hyperlink"/>
            <w:lang w:val="fr-FR"/>
          </w:rPr>
          <w:t>16/32</w:t>
        </w:r>
      </w:hyperlink>
      <w:r w:rsidRPr="0086115B">
        <w:rPr>
          <w:lang w:val="fr-FR"/>
        </w:rPr>
        <w:t xml:space="preserve">, la Conférence des Parties a adopté un </w:t>
      </w:r>
      <w:r w:rsidRPr="0086115B">
        <w:rPr>
          <w:snapToGrid w:val="0"/>
          <w:szCs w:val="18"/>
          <w:lang w:val="fr-FR"/>
        </w:rPr>
        <w:t xml:space="preserve">calendrier indicatif pour la réalisation de l’examen mondial des </w:t>
      </w:r>
      <w:r w:rsidRPr="0086115B">
        <w:rPr>
          <w:snapToGrid w:val="0"/>
          <w:lang w:val="fr-FR"/>
        </w:rPr>
        <w:t>progrès collectifs accomplis dans la mise en œuvre du Cadre mondial de la biodiversité de Kunming-Montréal</w:t>
      </w:r>
      <w:r w:rsidRPr="0086115B">
        <w:rPr>
          <w:snapToGrid w:val="0"/>
          <w:szCs w:val="18"/>
          <w:lang w:val="fr-FR"/>
        </w:rPr>
        <w:t xml:space="preserve">, y compris l’élaboration du rapport mondial. </w:t>
      </w:r>
      <w:r w:rsidRPr="0086115B">
        <w:rPr>
          <w:lang w:val="fr-FR"/>
        </w:rPr>
        <w:t>Conformément à ce calendrier, le texte du rapport mondial devait être finalisé et envoyé pour traduction et mise en page au plus tard le 28 août 2026, et le rapport intégral devait être présenté à la dix-septième réunion de la Conférence des Parties.</w:t>
      </w:r>
    </w:p>
    <w:p w14:paraId="6B0CFFA4" w14:textId="77777777" w:rsidR="00A7624F" w:rsidRPr="0086115B" w:rsidRDefault="00A7624F" w:rsidP="00A7624F">
      <w:pPr>
        <w:pStyle w:val="CBDNormalNumber"/>
        <w:numPr>
          <w:ilvl w:val="0"/>
          <w:numId w:val="42"/>
        </w:numPr>
        <w:ind w:left="567"/>
        <w:rPr>
          <w:lang w:val="fr-FR"/>
        </w:rPr>
      </w:pPr>
      <w:r w:rsidRPr="0086115B">
        <w:rPr>
          <w:lang w:val="fr-FR"/>
        </w:rPr>
        <w:t xml:space="preserve">Le projet de rapport a </w:t>
      </w:r>
      <w:r>
        <w:rPr>
          <w:lang w:val="fr-FR"/>
        </w:rPr>
        <w:t xml:space="preserve">fait l’objet d’un </w:t>
      </w:r>
      <w:r w:rsidRPr="0086115B">
        <w:rPr>
          <w:lang w:val="fr-FR"/>
        </w:rPr>
        <w:t>examen par les pairs du 1</w:t>
      </w:r>
      <w:r w:rsidRPr="0086115B">
        <w:rPr>
          <w:vertAlign w:val="superscript"/>
          <w:lang w:val="fr-FR"/>
        </w:rPr>
        <w:t>er</w:t>
      </w:r>
      <w:r w:rsidRPr="0086115B">
        <w:rPr>
          <w:lang w:val="fr-FR"/>
        </w:rPr>
        <w:t xml:space="preserve"> au 29 juin 2026, et les observations reçues ont été prises en compte dans la révision du projet. Le texte révisé a été mis à la disposition de l’Organe subsidiaire chargé de fournir des avis scientifiques, techniques et technologiques à sa vingt-huitième réunion, sous la cote </w:t>
      </w:r>
      <w:hyperlink r:id="rId15" w:history="1">
        <w:r w:rsidRPr="0086115B">
          <w:rPr>
            <w:rStyle w:val="Hyperlink"/>
            <w:lang w:val="fr-FR"/>
          </w:rPr>
          <w:t>CBD/SBTTA/28/2/Add.1/Rev.1</w:t>
        </w:r>
      </w:hyperlink>
      <w:r w:rsidRPr="0086115B">
        <w:rPr>
          <w:lang w:val="fr-FR"/>
        </w:rPr>
        <w:t>. Ce texte était toutefois susceptible de faire l’objet de révisions et de corrections techniques dans un souci de clarté et de cohérence.</w:t>
      </w:r>
    </w:p>
    <w:p w14:paraId="6CB81E34" w14:textId="77777777" w:rsidR="00A7624F" w:rsidRPr="0086115B" w:rsidRDefault="00A7624F" w:rsidP="00A7624F">
      <w:pPr>
        <w:pStyle w:val="CBDNormalNumber"/>
        <w:numPr>
          <w:ilvl w:val="0"/>
          <w:numId w:val="42"/>
        </w:numPr>
        <w:ind w:left="567"/>
        <w:rPr>
          <w:lang w:val="fr-FR"/>
        </w:rPr>
      </w:pPr>
      <w:r w:rsidRPr="0086115B">
        <w:rPr>
          <w:lang w:val="fr-FR"/>
        </w:rPr>
        <w:t>Le présent document contient la version définitive du rapport mondial</w:t>
      </w:r>
      <w:r>
        <w:rPr>
          <w:lang w:val="fr-FR"/>
        </w:rPr>
        <w:t xml:space="preserve"> résultant de </w:t>
      </w:r>
      <w:r w:rsidRPr="0086115B">
        <w:rPr>
          <w:lang w:val="fr-FR"/>
        </w:rPr>
        <w:t>la révision et des corrections techniques supplémentaires susmentionnées. Toutefois, les éléments graphiques utilisés pour les figures et les tableaux qu’elle contient seront refaits à l’étape de la mise en forme de la version du rapport</w:t>
      </w:r>
      <w:r>
        <w:rPr>
          <w:lang w:val="fr-FR"/>
        </w:rPr>
        <w:t xml:space="preserve"> destinée à être publiée</w:t>
      </w:r>
      <w:r w:rsidRPr="0086115B">
        <w:rPr>
          <w:lang w:val="fr-FR"/>
        </w:rPr>
        <w:t xml:space="preserve">. Dans toutes les versions linguistiques du présent document, les éléments graphiques sont en anglais uniquement, car, en raison de leur nombre et de leur complexité, il a été impossible de les reproduire dans les autres langues à temps pour la réunion ; toutefois, des traductions sont fournies sous chaque élément graphique, et celles-ci figureront dans chaque version linguistique du rapport final publié. Celui-ci comprendra également des </w:t>
      </w:r>
      <w:r w:rsidRPr="0086115B">
        <w:rPr>
          <w:lang w:val="fr-FR"/>
        </w:rPr>
        <w:lastRenderedPageBreak/>
        <w:t xml:space="preserve">photographies, dont certaines ont été fournies par des Parties et des organisations dans le cadre des études de cas utilisées dans le rapport mondial. </w:t>
      </w:r>
    </w:p>
    <w:p w14:paraId="6E6B92D2" w14:textId="77777777" w:rsidR="00A7624F" w:rsidRPr="0086115B" w:rsidRDefault="00A7624F" w:rsidP="00A7624F">
      <w:pPr>
        <w:pStyle w:val="Para1"/>
        <w:numPr>
          <w:ilvl w:val="0"/>
          <w:numId w:val="0"/>
        </w:numPr>
        <w:ind w:left="567"/>
        <w:jc w:val="center"/>
        <w:rPr>
          <w:lang w:val="fr-FR"/>
        </w:rPr>
      </w:pPr>
    </w:p>
    <w:p w14:paraId="2FEC6BB7" w14:textId="77777777" w:rsidR="00A7624F" w:rsidRPr="0086115B" w:rsidRDefault="00A7624F" w:rsidP="00A7624F">
      <w:pPr>
        <w:pStyle w:val="Para1"/>
        <w:numPr>
          <w:ilvl w:val="0"/>
          <w:numId w:val="0"/>
        </w:numPr>
        <w:ind w:left="567"/>
        <w:jc w:val="center"/>
        <w:rPr>
          <w:lang w:val="fr-FR"/>
        </w:rPr>
      </w:pPr>
      <w:r w:rsidRPr="0086115B">
        <w:rPr>
          <w:lang w:val="fr-FR"/>
        </w:rPr>
        <w:t>__________</w:t>
      </w:r>
    </w:p>
    <w:p w14:paraId="4259F559" w14:textId="77777777" w:rsidR="00A7624F" w:rsidRDefault="00A7624F">
      <w:pPr>
        <w:rPr>
          <w:b/>
          <w:bCs/>
          <w:sz w:val="32"/>
          <w:szCs w:val="32"/>
          <w:lang w:val="fr-FR"/>
        </w:rPr>
      </w:pPr>
      <w:r>
        <w:rPr>
          <w:b/>
          <w:bCs/>
          <w:sz w:val="32"/>
          <w:szCs w:val="32"/>
          <w:lang w:val="fr-FR"/>
        </w:rPr>
        <w:br w:type="page"/>
      </w:r>
    </w:p>
    <w:p w14:paraId="1CAD6110" w14:textId="336B9C5A" w:rsidR="00CA788F" w:rsidRPr="00653BF4" w:rsidRDefault="008C2F04" w:rsidP="510DA373">
      <w:pPr>
        <w:rPr>
          <w:b/>
          <w:sz w:val="32"/>
          <w:szCs w:val="32"/>
          <w:lang w:val="fr-FR"/>
        </w:rPr>
      </w:pPr>
      <w:r w:rsidRPr="00653BF4">
        <w:rPr>
          <w:b/>
          <w:bCs/>
          <w:sz w:val="32"/>
          <w:szCs w:val="32"/>
          <w:lang w:val="fr-FR"/>
        </w:rPr>
        <w:lastRenderedPageBreak/>
        <w:t xml:space="preserve">État des lieux </w:t>
      </w:r>
      <w:r w:rsidR="00232329" w:rsidRPr="00653BF4">
        <w:rPr>
          <w:b/>
          <w:bCs/>
          <w:sz w:val="32"/>
          <w:szCs w:val="32"/>
          <w:lang w:val="fr-FR"/>
        </w:rPr>
        <w:t>de l</w:t>
      </w:r>
      <w:r w:rsidR="002A58C8" w:rsidRPr="00653BF4">
        <w:rPr>
          <w:b/>
          <w:bCs/>
          <w:sz w:val="32"/>
          <w:szCs w:val="32"/>
          <w:lang w:val="fr-FR"/>
        </w:rPr>
        <w:t>’</w:t>
      </w:r>
      <w:r w:rsidR="00232329" w:rsidRPr="00653BF4">
        <w:rPr>
          <w:b/>
          <w:bCs/>
          <w:sz w:val="32"/>
          <w:szCs w:val="32"/>
          <w:lang w:val="fr-FR"/>
        </w:rPr>
        <w:t xml:space="preserve">action </w:t>
      </w:r>
      <w:r w:rsidRPr="00653BF4">
        <w:rPr>
          <w:b/>
          <w:bCs/>
          <w:sz w:val="32"/>
          <w:szCs w:val="32"/>
          <w:lang w:val="fr-FR"/>
        </w:rPr>
        <w:t>en faveur de la biodiversité</w:t>
      </w:r>
      <w:r w:rsidR="00E34DC9">
        <w:rPr>
          <w:b/>
          <w:bCs/>
          <w:sz w:val="32"/>
          <w:szCs w:val="32"/>
          <w:lang w:val="fr-FR"/>
        </w:rPr>
        <w:t> :</w:t>
      </w:r>
      <w:r w:rsidRPr="00653BF4">
        <w:rPr>
          <w:b/>
          <w:bCs/>
          <w:sz w:val="32"/>
          <w:szCs w:val="32"/>
          <w:lang w:val="fr-FR"/>
        </w:rPr>
        <w:t xml:space="preserve"> rapport mondial sur les progrès collectifs accomplis dans la mise en œuvre du Cadre mondial de la biodiversité de Kunming-Montréa</w:t>
      </w:r>
      <w:r w:rsidR="00D95D69">
        <w:rPr>
          <w:b/>
          <w:bCs/>
          <w:sz w:val="32"/>
          <w:szCs w:val="32"/>
          <w:lang w:val="fr-FR"/>
        </w:rPr>
        <w:t>l</w:t>
      </w:r>
    </w:p>
    <w:p w14:paraId="5C838772" w14:textId="78B8B1BB" w:rsidR="74032CC2" w:rsidRPr="00653BF4" w:rsidRDefault="74032CC2">
      <w:pPr>
        <w:rPr>
          <w:lang w:val="fr-FR"/>
        </w:rPr>
      </w:pPr>
    </w:p>
    <w:p w14:paraId="4C94B5A9" w14:textId="26BA5CF8" w:rsidR="002F495C" w:rsidRPr="00653BF4" w:rsidRDefault="0093797B" w:rsidP="002F495C">
      <w:pPr>
        <w:rPr>
          <w:lang w:val="fr-FR"/>
        </w:rPr>
      </w:pPr>
      <w:r w:rsidRPr="00653BF4">
        <w:rPr>
          <w:lang w:val="fr-FR"/>
        </w:rPr>
        <w:t>Texte final révisé</w:t>
      </w:r>
    </w:p>
    <w:p w14:paraId="674D6E11" w14:textId="77777777" w:rsidR="00EF2D5D" w:rsidRPr="00653BF4" w:rsidRDefault="00EF2D5D" w:rsidP="002F495C">
      <w:pPr>
        <w:rPr>
          <w:lang w:val="fr-FR"/>
        </w:rPr>
      </w:pPr>
    </w:p>
    <w:p w14:paraId="15BAC0FD" w14:textId="43167DD8" w:rsidR="00EF2D5D" w:rsidRPr="00653BF4" w:rsidRDefault="00EF2D5D" w:rsidP="002F495C">
      <w:pPr>
        <w:rPr>
          <w:sz w:val="32"/>
          <w:szCs w:val="32"/>
          <w:lang w:val="fr-FR"/>
        </w:rPr>
      </w:pPr>
      <w:r w:rsidRPr="00653BF4">
        <w:rPr>
          <w:sz w:val="32"/>
          <w:szCs w:val="32"/>
          <w:lang w:val="fr-FR"/>
        </w:rPr>
        <w:t xml:space="preserve">Table </w:t>
      </w:r>
      <w:r w:rsidR="00EB64F2" w:rsidRPr="00653BF4">
        <w:rPr>
          <w:sz w:val="32"/>
          <w:szCs w:val="32"/>
          <w:lang w:val="fr-FR"/>
        </w:rPr>
        <w:t>des matières</w:t>
      </w:r>
    </w:p>
    <w:p w14:paraId="2E138C7B" w14:textId="2CCE04DF" w:rsidR="00425DE7" w:rsidRDefault="00EF2D5D">
      <w:pPr>
        <w:pStyle w:val="TOC1"/>
        <w:tabs>
          <w:tab w:val="right" w:leader="dot" w:pos="9350"/>
        </w:tabs>
        <w:rPr>
          <w:rFonts w:eastAsiaTheme="minorEastAsia"/>
          <w:b w:val="0"/>
          <w:bCs w:val="0"/>
          <w:i w:val="0"/>
          <w:iCs w:val="0"/>
          <w:noProof/>
          <w:lang w:val="fr-FR" w:eastAsia="fr-FR"/>
        </w:rPr>
      </w:pPr>
      <w:r w:rsidRPr="00653BF4">
        <w:rPr>
          <w:lang w:val="fr-FR"/>
        </w:rPr>
        <w:fldChar w:fldCharType="begin"/>
      </w:r>
      <w:r w:rsidRPr="00653BF4">
        <w:rPr>
          <w:lang w:val="fr-FR"/>
        </w:rPr>
        <w:instrText>TOC \o "1-4" \z \u \h</w:instrText>
      </w:r>
      <w:r w:rsidRPr="00653BF4">
        <w:rPr>
          <w:lang w:val="fr-FR"/>
        </w:rPr>
        <w:fldChar w:fldCharType="separate"/>
      </w:r>
      <w:hyperlink w:anchor="_Toc242801210" w:history="1">
        <w:r w:rsidR="00425DE7" w:rsidRPr="00231040">
          <w:rPr>
            <w:rStyle w:val="Hyperlink"/>
            <w:noProof/>
            <w:lang w:val="fr-FR"/>
          </w:rPr>
          <w:t>Avant-propos</w:t>
        </w:r>
        <w:r w:rsidR="00425DE7">
          <w:rPr>
            <w:noProof/>
            <w:webHidden/>
          </w:rPr>
          <w:tab/>
        </w:r>
        <w:r w:rsidR="00425DE7">
          <w:rPr>
            <w:noProof/>
            <w:webHidden/>
          </w:rPr>
          <w:fldChar w:fldCharType="begin"/>
        </w:r>
        <w:r w:rsidR="00425DE7">
          <w:rPr>
            <w:noProof/>
            <w:webHidden/>
          </w:rPr>
          <w:instrText xml:space="preserve"> PAGEREF _Toc242801210 \h </w:instrText>
        </w:r>
        <w:r w:rsidR="00425DE7">
          <w:rPr>
            <w:noProof/>
            <w:webHidden/>
          </w:rPr>
        </w:r>
        <w:r w:rsidR="00425DE7">
          <w:rPr>
            <w:noProof/>
            <w:webHidden/>
          </w:rPr>
          <w:fldChar w:fldCharType="separate"/>
        </w:r>
        <w:r w:rsidR="001D1D8F">
          <w:rPr>
            <w:noProof/>
            <w:webHidden/>
          </w:rPr>
          <w:t>7</w:t>
        </w:r>
        <w:r w:rsidR="00425DE7">
          <w:rPr>
            <w:noProof/>
            <w:webHidden/>
          </w:rPr>
          <w:fldChar w:fldCharType="end"/>
        </w:r>
      </w:hyperlink>
    </w:p>
    <w:p w14:paraId="3F011ED4" w14:textId="16B32F74" w:rsidR="00425DE7" w:rsidRDefault="00425DE7">
      <w:pPr>
        <w:pStyle w:val="TOC1"/>
        <w:tabs>
          <w:tab w:val="right" w:leader="dot" w:pos="9350"/>
        </w:tabs>
        <w:rPr>
          <w:rFonts w:eastAsiaTheme="minorEastAsia"/>
          <w:b w:val="0"/>
          <w:bCs w:val="0"/>
          <w:i w:val="0"/>
          <w:iCs w:val="0"/>
          <w:noProof/>
          <w:lang w:val="fr-FR" w:eastAsia="fr-FR"/>
        </w:rPr>
      </w:pPr>
      <w:hyperlink w:anchor="_Toc242801211" w:history="1">
        <w:r w:rsidRPr="00231040">
          <w:rPr>
            <w:rStyle w:val="Hyperlink"/>
            <w:noProof/>
            <w:lang w:val="fr-FR"/>
          </w:rPr>
          <w:t>Remerciements</w:t>
        </w:r>
        <w:r>
          <w:rPr>
            <w:noProof/>
            <w:webHidden/>
          </w:rPr>
          <w:tab/>
        </w:r>
        <w:r>
          <w:rPr>
            <w:noProof/>
            <w:webHidden/>
          </w:rPr>
          <w:fldChar w:fldCharType="begin"/>
        </w:r>
        <w:r>
          <w:rPr>
            <w:noProof/>
            <w:webHidden/>
          </w:rPr>
          <w:instrText xml:space="preserve"> PAGEREF _Toc242801211 \h </w:instrText>
        </w:r>
        <w:r>
          <w:rPr>
            <w:noProof/>
            <w:webHidden/>
          </w:rPr>
        </w:r>
        <w:r>
          <w:rPr>
            <w:noProof/>
            <w:webHidden/>
          </w:rPr>
          <w:fldChar w:fldCharType="separate"/>
        </w:r>
        <w:r w:rsidR="001D1D8F">
          <w:rPr>
            <w:noProof/>
            <w:webHidden/>
          </w:rPr>
          <w:t>8</w:t>
        </w:r>
        <w:r>
          <w:rPr>
            <w:noProof/>
            <w:webHidden/>
          </w:rPr>
          <w:fldChar w:fldCharType="end"/>
        </w:r>
      </w:hyperlink>
    </w:p>
    <w:p w14:paraId="2908842F" w14:textId="1D531BE1" w:rsidR="00425DE7" w:rsidRDefault="00425DE7">
      <w:pPr>
        <w:pStyle w:val="TOC1"/>
        <w:tabs>
          <w:tab w:val="right" w:leader="dot" w:pos="9350"/>
        </w:tabs>
        <w:rPr>
          <w:rFonts w:eastAsiaTheme="minorEastAsia"/>
          <w:b w:val="0"/>
          <w:bCs w:val="0"/>
          <w:i w:val="0"/>
          <w:iCs w:val="0"/>
          <w:noProof/>
          <w:lang w:val="fr-FR" w:eastAsia="fr-FR"/>
        </w:rPr>
      </w:pPr>
      <w:hyperlink w:anchor="_Toc242801212" w:history="1">
        <w:r w:rsidRPr="00231040">
          <w:rPr>
            <w:rStyle w:val="Hyperlink"/>
            <w:noProof/>
            <w:lang w:val="fr-FR"/>
          </w:rPr>
          <w:t>Liste des abréviations et acronymes</w:t>
        </w:r>
        <w:r>
          <w:rPr>
            <w:noProof/>
            <w:webHidden/>
          </w:rPr>
          <w:tab/>
        </w:r>
        <w:r>
          <w:rPr>
            <w:noProof/>
            <w:webHidden/>
          </w:rPr>
          <w:fldChar w:fldCharType="begin"/>
        </w:r>
        <w:r>
          <w:rPr>
            <w:noProof/>
            <w:webHidden/>
          </w:rPr>
          <w:instrText xml:space="preserve"> PAGEREF _Toc242801212 \h </w:instrText>
        </w:r>
        <w:r>
          <w:rPr>
            <w:noProof/>
            <w:webHidden/>
          </w:rPr>
        </w:r>
        <w:r>
          <w:rPr>
            <w:noProof/>
            <w:webHidden/>
          </w:rPr>
          <w:fldChar w:fldCharType="separate"/>
        </w:r>
        <w:r w:rsidR="001D1D8F">
          <w:rPr>
            <w:noProof/>
            <w:webHidden/>
          </w:rPr>
          <w:t>10</w:t>
        </w:r>
        <w:r>
          <w:rPr>
            <w:noProof/>
            <w:webHidden/>
          </w:rPr>
          <w:fldChar w:fldCharType="end"/>
        </w:r>
      </w:hyperlink>
    </w:p>
    <w:p w14:paraId="46C3B865" w14:textId="65A41A68" w:rsidR="00425DE7" w:rsidRDefault="00425DE7">
      <w:pPr>
        <w:pStyle w:val="TOC1"/>
        <w:tabs>
          <w:tab w:val="right" w:leader="dot" w:pos="9350"/>
        </w:tabs>
        <w:rPr>
          <w:rFonts w:eastAsiaTheme="minorEastAsia"/>
          <w:b w:val="0"/>
          <w:bCs w:val="0"/>
          <w:i w:val="0"/>
          <w:iCs w:val="0"/>
          <w:noProof/>
          <w:lang w:val="fr-FR" w:eastAsia="fr-FR"/>
        </w:rPr>
      </w:pPr>
      <w:hyperlink w:anchor="_Toc242801213" w:history="1">
        <w:r w:rsidRPr="00231040">
          <w:rPr>
            <w:rStyle w:val="Hyperlink"/>
            <w:noProof/>
            <w:lang w:val="fr-FR"/>
          </w:rPr>
          <w:t>Résumé des conclusions et des messages clés du rapport mondial</w:t>
        </w:r>
        <w:r>
          <w:rPr>
            <w:noProof/>
            <w:webHidden/>
          </w:rPr>
          <w:tab/>
        </w:r>
        <w:r>
          <w:rPr>
            <w:noProof/>
            <w:webHidden/>
          </w:rPr>
          <w:fldChar w:fldCharType="begin"/>
        </w:r>
        <w:r>
          <w:rPr>
            <w:noProof/>
            <w:webHidden/>
          </w:rPr>
          <w:instrText xml:space="preserve"> PAGEREF _Toc242801213 \h </w:instrText>
        </w:r>
        <w:r>
          <w:rPr>
            <w:noProof/>
            <w:webHidden/>
          </w:rPr>
        </w:r>
        <w:r>
          <w:rPr>
            <w:noProof/>
            <w:webHidden/>
          </w:rPr>
          <w:fldChar w:fldCharType="separate"/>
        </w:r>
        <w:r w:rsidR="001D1D8F">
          <w:rPr>
            <w:noProof/>
            <w:webHidden/>
          </w:rPr>
          <w:t>13</w:t>
        </w:r>
        <w:r>
          <w:rPr>
            <w:noProof/>
            <w:webHidden/>
          </w:rPr>
          <w:fldChar w:fldCharType="end"/>
        </w:r>
      </w:hyperlink>
    </w:p>
    <w:p w14:paraId="5D85D2CE" w14:textId="0D94E208" w:rsidR="00425DE7" w:rsidRDefault="00425DE7">
      <w:pPr>
        <w:pStyle w:val="TOC1"/>
        <w:tabs>
          <w:tab w:val="right" w:leader="dot" w:pos="9350"/>
        </w:tabs>
        <w:rPr>
          <w:rFonts w:eastAsiaTheme="minorEastAsia"/>
          <w:b w:val="0"/>
          <w:bCs w:val="0"/>
          <w:i w:val="0"/>
          <w:iCs w:val="0"/>
          <w:noProof/>
          <w:lang w:val="fr-FR" w:eastAsia="fr-FR"/>
        </w:rPr>
      </w:pPr>
      <w:hyperlink w:anchor="_Toc242801214" w:history="1">
        <w:r w:rsidRPr="00231040">
          <w:rPr>
            <w:rStyle w:val="Hyperlink"/>
            <w:noProof/>
            <w:lang w:val="fr-FR"/>
          </w:rPr>
          <w:t>Partie I: Introduction</w:t>
        </w:r>
        <w:r>
          <w:rPr>
            <w:noProof/>
            <w:webHidden/>
          </w:rPr>
          <w:tab/>
        </w:r>
        <w:r>
          <w:rPr>
            <w:noProof/>
            <w:webHidden/>
          </w:rPr>
          <w:fldChar w:fldCharType="begin"/>
        </w:r>
        <w:r>
          <w:rPr>
            <w:noProof/>
            <w:webHidden/>
          </w:rPr>
          <w:instrText xml:space="preserve"> PAGEREF _Toc242801214 \h </w:instrText>
        </w:r>
        <w:r>
          <w:rPr>
            <w:noProof/>
            <w:webHidden/>
          </w:rPr>
        </w:r>
        <w:r>
          <w:rPr>
            <w:noProof/>
            <w:webHidden/>
          </w:rPr>
          <w:fldChar w:fldCharType="separate"/>
        </w:r>
        <w:r w:rsidR="001D1D8F">
          <w:rPr>
            <w:noProof/>
            <w:webHidden/>
          </w:rPr>
          <w:t>16</w:t>
        </w:r>
        <w:r>
          <w:rPr>
            <w:noProof/>
            <w:webHidden/>
          </w:rPr>
          <w:fldChar w:fldCharType="end"/>
        </w:r>
      </w:hyperlink>
    </w:p>
    <w:p w14:paraId="71F51A0D" w14:textId="34DFE0AF" w:rsidR="00425DE7" w:rsidRDefault="00425DE7">
      <w:pPr>
        <w:pStyle w:val="TOC2"/>
        <w:tabs>
          <w:tab w:val="right" w:leader="dot" w:pos="9350"/>
        </w:tabs>
        <w:rPr>
          <w:rFonts w:eastAsiaTheme="minorEastAsia"/>
          <w:b w:val="0"/>
          <w:bCs w:val="0"/>
          <w:noProof/>
          <w:sz w:val="24"/>
          <w:szCs w:val="24"/>
          <w:lang w:val="fr-FR" w:eastAsia="fr-FR"/>
        </w:rPr>
      </w:pPr>
      <w:hyperlink w:anchor="_Toc242801215" w:history="1">
        <w:r w:rsidRPr="00231040">
          <w:rPr>
            <w:rStyle w:val="Hyperlink"/>
            <w:noProof/>
            <w:lang w:val="fr-FR"/>
          </w:rPr>
          <w:t>I.A Présentation du Cadre mondial de la biodiversité de Kunming-Montréal et du rapport mondial</w:t>
        </w:r>
        <w:r>
          <w:rPr>
            <w:noProof/>
            <w:webHidden/>
          </w:rPr>
          <w:tab/>
        </w:r>
        <w:r>
          <w:rPr>
            <w:noProof/>
            <w:webHidden/>
          </w:rPr>
          <w:fldChar w:fldCharType="begin"/>
        </w:r>
        <w:r>
          <w:rPr>
            <w:noProof/>
            <w:webHidden/>
          </w:rPr>
          <w:instrText xml:space="preserve"> PAGEREF _Toc242801215 \h </w:instrText>
        </w:r>
        <w:r>
          <w:rPr>
            <w:noProof/>
            <w:webHidden/>
          </w:rPr>
        </w:r>
        <w:r>
          <w:rPr>
            <w:noProof/>
            <w:webHidden/>
          </w:rPr>
          <w:fldChar w:fldCharType="separate"/>
        </w:r>
        <w:r w:rsidR="001D1D8F">
          <w:rPr>
            <w:noProof/>
            <w:webHidden/>
          </w:rPr>
          <w:t>16</w:t>
        </w:r>
        <w:r>
          <w:rPr>
            <w:noProof/>
            <w:webHidden/>
          </w:rPr>
          <w:fldChar w:fldCharType="end"/>
        </w:r>
      </w:hyperlink>
    </w:p>
    <w:p w14:paraId="62F5502B" w14:textId="30CEC09D" w:rsidR="00425DE7" w:rsidRDefault="00425DE7">
      <w:pPr>
        <w:pStyle w:val="TOC3"/>
        <w:tabs>
          <w:tab w:val="right" w:leader="dot" w:pos="9350"/>
        </w:tabs>
        <w:rPr>
          <w:rFonts w:eastAsiaTheme="minorEastAsia"/>
          <w:noProof/>
          <w:sz w:val="24"/>
          <w:szCs w:val="24"/>
          <w:lang w:val="fr-FR" w:eastAsia="fr-FR"/>
        </w:rPr>
      </w:pPr>
      <w:hyperlink w:anchor="_Toc242801216" w:history="1">
        <w:r w:rsidRPr="00231040">
          <w:rPr>
            <w:rStyle w:val="Hyperlink"/>
            <w:noProof/>
            <w:lang w:val="fr-FR"/>
          </w:rPr>
          <w:t>Le Cadre</w:t>
        </w:r>
        <w:r>
          <w:rPr>
            <w:noProof/>
            <w:webHidden/>
          </w:rPr>
          <w:tab/>
        </w:r>
        <w:r>
          <w:rPr>
            <w:noProof/>
            <w:webHidden/>
          </w:rPr>
          <w:fldChar w:fldCharType="begin"/>
        </w:r>
        <w:r>
          <w:rPr>
            <w:noProof/>
            <w:webHidden/>
          </w:rPr>
          <w:instrText xml:space="preserve"> PAGEREF _Toc242801216 \h </w:instrText>
        </w:r>
        <w:r>
          <w:rPr>
            <w:noProof/>
            <w:webHidden/>
          </w:rPr>
        </w:r>
        <w:r>
          <w:rPr>
            <w:noProof/>
            <w:webHidden/>
          </w:rPr>
          <w:fldChar w:fldCharType="separate"/>
        </w:r>
        <w:r w:rsidR="001D1D8F">
          <w:rPr>
            <w:noProof/>
            <w:webHidden/>
          </w:rPr>
          <w:t>16</w:t>
        </w:r>
        <w:r>
          <w:rPr>
            <w:noProof/>
            <w:webHidden/>
          </w:rPr>
          <w:fldChar w:fldCharType="end"/>
        </w:r>
      </w:hyperlink>
    </w:p>
    <w:p w14:paraId="78116DBD" w14:textId="10DA2428" w:rsidR="00425DE7" w:rsidRDefault="00425DE7">
      <w:pPr>
        <w:pStyle w:val="TOC3"/>
        <w:tabs>
          <w:tab w:val="right" w:leader="dot" w:pos="9350"/>
        </w:tabs>
        <w:rPr>
          <w:rFonts w:eastAsiaTheme="minorEastAsia"/>
          <w:noProof/>
          <w:sz w:val="24"/>
          <w:szCs w:val="24"/>
          <w:lang w:val="fr-FR" w:eastAsia="fr-FR"/>
        </w:rPr>
      </w:pPr>
      <w:hyperlink w:anchor="_Toc242801217" w:history="1">
        <w:r w:rsidRPr="00231040">
          <w:rPr>
            <w:rStyle w:val="Hyperlink"/>
            <w:noProof/>
            <w:lang w:val="fr-FR" w:eastAsia="ja-JP"/>
          </w:rPr>
          <w:t>Planification, suivi, établissement de rapports et examen</w:t>
        </w:r>
        <w:r>
          <w:rPr>
            <w:noProof/>
            <w:webHidden/>
          </w:rPr>
          <w:tab/>
        </w:r>
        <w:r>
          <w:rPr>
            <w:noProof/>
            <w:webHidden/>
          </w:rPr>
          <w:fldChar w:fldCharType="begin"/>
        </w:r>
        <w:r>
          <w:rPr>
            <w:noProof/>
            <w:webHidden/>
          </w:rPr>
          <w:instrText xml:space="preserve"> PAGEREF _Toc242801217 \h </w:instrText>
        </w:r>
        <w:r>
          <w:rPr>
            <w:noProof/>
            <w:webHidden/>
          </w:rPr>
        </w:r>
        <w:r>
          <w:rPr>
            <w:noProof/>
            <w:webHidden/>
          </w:rPr>
          <w:fldChar w:fldCharType="separate"/>
        </w:r>
        <w:r w:rsidR="001D1D8F">
          <w:rPr>
            <w:noProof/>
            <w:webHidden/>
          </w:rPr>
          <w:t>19</w:t>
        </w:r>
        <w:r>
          <w:rPr>
            <w:noProof/>
            <w:webHidden/>
          </w:rPr>
          <w:fldChar w:fldCharType="end"/>
        </w:r>
      </w:hyperlink>
    </w:p>
    <w:p w14:paraId="4FABEFFC" w14:textId="5DECAC11" w:rsidR="00425DE7" w:rsidRDefault="00425DE7">
      <w:pPr>
        <w:pStyle w:val="TOC3"/>
        <w:tabs>
          <w:tab w:val="right" w:leader="dot" w:pos="9350"/>
        </w:tabs>
        <w:rPr>
          <w:rFonts w:eastAsiaTheme="minorEastAsia"/>
          <w:noProof/>
          <w:sz w:val="24"/>
          <w:szCs w:val="24"/>
          <w:lang w:val="fr-FR" w:eastAsia="fr-FR"/>
        </w:rPr>
      </w:pPr>
      <w:hyperlink w:anchor="_Toc242801218" w:history="1">
        <w:r w:rsidRPr="00231040">
          <w:rPr>
            <w:rStyle w:val="Hyperlink"/>
            <w:noProof/>
            <w:lang w:val="fr-FR"/>
          </w:rPr>
          <w:t>Objectif Du rapport mondial</w:t>
        </w:r>
        <w:r>
          <w:rPr>
            <w:noProof/>
            <w:webHidden/>
          </w:rPr>
          <w:tab/>
        </w:r>
        <w:r>
          <w:rPr>
            <w:noProof/>
            <w:webHidden/>
          </w:rPr>
          <w:fldChar w:fldCharType="begin"/>
        </w:r>
        <w:r>
          <w:rPr>
            <w:noProof/>
            <w:webHidden/>
          </w:rPr>
          <w:instrText xml:space="preserve"> PAGEREF _Toc242801218 \h </w:instrText>
        </w:r>
        <w:r>
          <w:rPr>
            <w:noProof/>
            <w:webHidden/>
          </w:rPr>
        </w:r>
        <w:r>
          <w:rPr>
            <w:noProof/>
            <w:webHidden/>
          </w:rPr>
          <w:fldChar w:fldCharType="separate"/>
        </w:r>
        <w:r w:rsidR="001D1D8F">
          <w:rPr>
            <w:noProof/>
            <w:webHidden/>
          </w:rPr>
          <w:t>23</w:t>
        </w:r>
        <w:r>
          <w:rPr>
            <w:noProof/>
            <w:webHidden/>
          </w:rPr>
          <w:fldChar w:fldCharType="end"/>
        </w:r>
      </w:hyperlink>
    </w:p>
    <w:p w14:paraId="122267FF" w14:textId="075BFC56" w:rsidR="00425DE7" w:rsidRDefault="00425DE7">
      <w:pPr>
        <w:pStyle w:val="TOC3"/>
        <w:tabs>
          <w:tab w:val="right" w:leader="dot" w:pos="9350"/>
        </w:tabs>
        <w:rPr>
          <w:rFonts w:eastAsiaTheme="minorEastAsia"/>
          <w:noProof/>
          <w:sz w:val="24"/>
          <w:szCs w:val="24"/>
          <w:lang w:val="fr-FR" w:eastAsia="fr-FR"/>
        </w:rPr>
      </w:pPr>
      <w:hyperlink w:anchor="_Toc242801219" w:history="1">
        <w:r w:rsidRPr="00231040">
          <w:rPr>
            <w:rStyle w:val="Hyperlink"/>
            <w:noProof/>
            <w:lang w:val="fr-FR"/>
          </w:rPr>
          <w:t>Sources et méthodologie du rapport mondial</w:t>
        </w:r>
        <w:r>
          <w:rPr>
            <w:noProof/>
            <w:webHidden/>
          </w:rPr>
          <w:tab/>
        </w:r>
        <w:r>
          <w:rPr>
            <w:noProof/>
            <w:webHidden/>
          </w:rPr>
          <w:fldChar w:fldCharType="begin"/>
        </w:r>
        <w:r>
          <w:rPr>
            <w:noProof/>
            <w:webHidden/>
          </w:rPr>
          <w:instrText xml:space="preserve"> PAGEREF _Toc242801219 \h </w:instrText>
        </w:r>
        <w:r>
          <w:rPr>
            <w:noProof/>
            <w:webHidden/>
          </w:rPr>
        </w:r>
        <w:r>
          <w:rPr>
            <w:noProof/>
            <w:webHidden/>
          </w:rPr>
          <w:fldChar w:fldCharType="separate"/>
        </w:r>
        <w:r w:rsidR="001D1D8F">
          <w:rPr>
            <w:noProof/>
            <w:webHidden/>
          </w:rPr>
          <w:t>27</w:t>
        </w:r>
        <w:r>
          <w:rPr>
            <w:noProof/>
            <w:webHidden/>
          </w:rPr>
          <w:fldChar w:fldCharType="end"/>
        </w:r>
      </w:hyperlink>
    </w:p>
    <w:p w14:paraId="4CFC661F" w14:textId="722B1377" w:rsidR="00425DE7" w:rsidRDefault="00425DE7">
      <w:pPr>
        <w:pStyle w:val="TOC3"/>
        <w:tabs>
          <w:tab w:val="right" w:leader="dot" w:pos="9350"/>
        </w:tabs>
        <w:rPr>
          <w:rFonts w:eastAsiaTheme="minorEastAsia"/>
          <w:noProof/>
          <w:sz w:val="24"/>
          <w:szCs w:val="24"/>
          <w:lang w:val="fr-FR" w:eastAsia="fr-FR"/>
        </w:rPr>
      </w:pPr>
      <w:hyperlink w:anchor="_Toc242801220" w:history="1">
        <w:r w:rsidRPr="00231040">
          <w:rPr>
            <w:rStyle w:val="Hyperlink"/>
            <w:noProof/>
            <w:lang w:val="fr-FR"/>
          </w:rPr>
          <w:t>Limites et hypothèses méthodologiques</w:t>
        </w:r>
        <w:r>
          <w:rPr>
            <w:noProof/>
            <w:webHidden/>
          </w:rPr>
          <w:tab/>
        </w:r>
        <w:r>
          <w:rPr>
            <w:noProof/>
            <w:webHidden/>
          </w:rPr>
          <w:fldChar w:fldCharType="begin"/>
        </w:r>
        <w:r>
          <w:rPr>
            <w:noProof/>
            <w:webHidden/>
          </w:rPr>
          <w:instrText xml:space="preserve"> PAGEREF _Toc242801220 \h </w:instrText>
        </w:r>
        <w:r>
          <w:rPr>
            <w:noProof/>
            <w:webHidden/>
          </w:rPr>
        </w:r>
        <w:r>
          <w:rPr>
            <w:noProof/>
            <w:webHidden/>
          </w:rPr>
          <w:fldChar w:fldCharType="separate"/>
        </w:r>
        <w:r w:rsidR="001D1D8F">
          <w:rPr>
            <w:noProof/>
            <w:webHidden/>
          </w:rPr>
          <w:t>39</w:t>
        </w:r>
        <w:r>
          <w:rPr>
            <w:noProof/>
            <w:webHidden/>
          </w:rPr>
          <w:fldChar w:fldCharType="end"/>
        </w:r>
      </w:hyperlink>
    </w:p>
    <w:p w14:paraId="09E68DDB" w14:textId="2346E86C" w:rsidR="00425DE7" w:rsidRDefault="00425DE7">
      <w:pPr>
        <w:pStyle w:val="TOC2"/>
        <w:tabs>
          <w:tab w:val="right" w:leader="dot" w:pos="9350"/>
        </w:tabs>
        <w:rPr>
          <w:rFonts w:eastAsiaTheme="minorEastAsia"/>
          <w:b w:val="0"/>
          <w:bCs w:val="0"/>
          <w:noProof/>
          <w:sz w:val="24"/>
          <w:szCs w:val="24"/>
          <w:lang w:val="fr-FR" w:eastAsia="fr-FR"/>
        </w:rPr>
      </w:pPr>
      <w:hyperlink w:anchor="_Toc242801221" w:history="1">
        <w:r w:rsidRPr="00231040">
          <w:rPr>
            <w:rStyle w:val="Hyperlink"/>
            <w:noProof/>
            <w:lang w:val="fr-FR"/>
          </w:rPr>
          <w:t>I.B Situation et tendances mondiales</w:t>
        </w:r>
        <w:r>
          <w:rPr>
            <w:noProof/>
            <w:webHidden/>
          </w:rPr>
          <w:tab/>
        </w:r>
        <w:r>
          <w:rPr>
            <w:noProof/>
            <w:webHidden/>
          </w:rPr>
          <w:fldChar w:fldCharType="begin"/>
        </w:r>
        <w:r>
          <w:rPr>
            <w:noProof/>
            <w:webHidden/>
          </w:rPr>
          <w:instrText xml:space="preserve"> PAGEREF _Toc242801221 \h </w:instrText>
        </w:r>
        <w:r>
          <w:rPr>
            <w:noProof/>
            <w:webHidden/>
          </w:rPr>
        </w:r>
        <w:r>
          <w:rPr>
            <w:noProof/>
            <w:webHidden/>
          </w:rPr>
          <w:fldChar w:fldCharType="separate"/>
        </w:r>
        <w:r w:rsidR="001D1D8F">
          <w:rPr>
            <w:noProof/>
            <w:webHidden/>
          </w:rPr>
          <w:t>44</w:t>
        </w:r>
        <w:r>
          <w:rPr>
            <w:noProof/>
            <w:webHidden/>
          </w:rPr>
          <w:fldChar w:fldCharType="end"/>
        </w:r>
      </w:hyperlink>
    </w:p>
    <w:p w14:paraId="6CDCAED2" w14:textId="661A2C44" w:rsidR="00425DE7" w:rsidRDefault="00425DE7">
      <w:pPr>
        <w:pStyle w:val="TOC1"/>
        <w:tabs>
          <w:tab w:val="right" w:leader="dot" w:pos="9350"/>
        </w:tabs>
        <w:rPr>
          <w:rFonts w:eastAsiaTheme="minorEastAsia"/>
          <w:b w:val="0"/>
          <w:bCs w:val="0"/>
          <w:i w:val="0"/>
          <w:iCs w:val="0"/>
          <w:noProof/>
          <w:lang w:val="fr-FR" w:eastAsia="fr-FR"/>
        </w:rPr>
      </w:pPr>
      <w:hyperlink w:anchor="_Toc242801222" w:history="1">
        <w:r w:rsidRPr="00231040">
          <w:rPr>
            <w:rStyle w:val="Hyperlink"/>
            <w:noProof/>
            <w:lang w:val="fr-FR"/>
          </w:rPr>
          <w:t>Partie II : Progrès collectifs accomplis dans la mise en œuvre du Cadre mondial de la biodiversité de Kunming-Montréal</w:t>
        </w:r>
        <w:r>
          <w:rPr>
            <w:noProof/>
            <w:webHidden/>
          </w:rPr>
          <w:tab/>
        </w:r>
        <w:r>
          <w:rPr>
            <w:noProof/>
            <w:webHidden/>
          </w:rPr>
          <w:fldChar w:fldCharType="begin"/>
        </w:r>
        <w:r>
          <w:rPr>
            <w:noProof/>
            <w:webHidden/>
          </w:rPr>
          <w:instrText xml:space="preserve"> PAGEREF _Toc242801222 \h </w:instrText>
        </w:r>
        <w:r>
          <w:rPr>
            <w:noProof/>
            <w:webHidden/>
          </w:rPr>
        </w:r>
        <w:r>
          <w:rPr>
            <w:noProof/>
            <w:webHidden/>
          </w:rPr>
          <w:fldChar w:fldCharType="separate"/>
        </w:r>
        <w:r w:rsidR="001D1D8F">
          <w:rPr>
            <w:noProof/>
            <w:webHidden/>
          </w:rPr>
          <w:t>51</w:t>
        </w:r>
        <w:r>
          <w:rPr>
            <w:noProof/>
            <w:webHidden/>
          </w:rPr>
          <w:fldChar w:fldCharType="end"/>
        </w:r>
      </w:hyperlink>
    </w:p>
    <w:p w14:paraId="692BAB31" w14:textId="300D4845" w:rsidR="00425DE7" w:rsidRDefault="00425DE7">
      <w:pPr>
        <w:pStyle w:val="TOC2"/>
        <w:tabs>
          <w:tab w:val="right" w:leader="dot" w:pos="9350"/>
        </w:tabs>
        <w:rPr>
          <w:rFonts w:eastAsiaTheme="minorEastAsia"/>
          <w:b w:val="0"/>
          <w:bCs w:val="0"/>
          <w:noProof/>
          <w:sz w:val="24"/>
          <w:szCs w:val="24"/>
          <w:lang w:val="fr-FR" w:eastAsia="fr-FR"/>
        </w:rPr>
      </w:pPr>
      <w:hyperlink w:anchor="_Toc242801223" w:history="1">
        <w:r w:rsidRPr="00231040">
          <w:rPr>
            <w:rStyle w:val="Hyperlink"/>
            <w:noProof/>
            <w:lang w:val="fr-FR"/>
          </w:rPr>
          <w:t>II.A Résumé de l’état d’avancement des stratégies et plans d’action nationaux pour la biodiversité, des cibles nationales, du dépôt des rapports nationaux et des contributions d’acteurs autres que les gouvernements nationaux.</w:t>
        </w:r>
        <w:r>
          <w:rPr>
            <w:noProof/>
            <w:webHidden/>
          </w:rPr>
          <w:tab/>
        </w:r>
        <w:r>
          <w:rPr>
            <w:noProof/>
            <w:webHidden/>
          </w:rPr>
          <w:fldChar w:fldCharType="begin"/>
        </w:r>
        <w:r>
          <w:rPr>
            <w:noProof/>
            <w:webHidden/>
          </w:rPr>
          <w:instrText xml:space="preserve"> PAGEREF _Toc242801223 \h </w:instrText>
        </w:r>
        <w:r>
          <w:rPr>
            <w:noProof/>
            <w:webHidden/>
          </w:rPr>
        </w:r>
        <w:r>
          <w:rPr>
            <w:noProof/>
            <w:webHidden/>
          </w:rPr>
          <w:fldChar w:fldCharType="separate"/>
        </w:r>
        <w:r w:rsidR="001D1D8F">
          <w:rPr>
            <w:noProof/>
            <w:webHidden/>
          </w:rPr>
          <w:t>51</w:t>
        </w:r>
        <w:r>
          <w:rPr>
            <w:noProof/>
            <w:webHidden/>
          </w:rPr>
          <w:fldChar w:fldCharType="end"/>
        </w:r>
      </w:hyperlink>
    </w:p>
    <w:p w14:paraId="4B536F36" w14:textId="24ECC6F9" w:rsidR="00425DE7" w:rsidRDefault="00425DE7">
      <w:pPr>
        <w:pStyle w:val="TOC3"/>
        <w:tabs>
          <w:tab w:val="right" w:leader="dot" w:pos="9350"/>
        </w:tabs>
        <w:rPr>
          <w:rFonts w:eastAsiaTheme="minorEastAsia"/>
          <w:noProof/>
          <w:sz w:val="24"/>
          <w:szCs w:val="24"/>
          <w:lang w:val="fr-FR" w:eastAsia="fr-FR"/>
        </w:rPr>
      </w:pPr>
      <w:hyperlink w:anchor="_Toc242801224" w:history="1">
        <w:r w:rsidRPr="00231040">
          <w:rPr>
            <w:rStyle w:val="Hyperlink"/>
            <w:noProof/>
            <w:lang w:val="fr-FR"/>
          </w:rPr>
          <w:t>Aperçu de la soumission des stratégies et plans d’action nationaux pour la biodiversité, des cibles nationales et des rapports nationaux</w:t>
        </w:r>
        <w:r>
          <w:rPr>
            <w:noProof/>
            <w:webHidden/>
          </w:rPr>
          <w:tab/>
        </w:r>
        <w:r>
          <w:rPr>
            <w:noProof/>
            <w:webHidden/>
          </w:rPr>
          <w:fldChar w:fldCharType="begin"/>
        </w:r>
        <w:r>
          <w:rPr>
            <w:noProof/>
            <w:webHidden/>
          </w:rPr>
          <w:instrText xml:space="preserve"> PAGEREF _Toc242801224 \h </w:instrText>
        </w:r>
        <w:r>
          <w:rPr>
            <w:noProof/>
            <w:webHidden/>
          </w:rPr>
        </w:r>
        <w:r>
          <w:rPr>
            <w:noProof/>
            <w:webHidden/>
          </w:rPr>
          <w:fldChar w:fldCharType="separate"/>
        </w:r>
        <w:r w:rsidR="001D1D8F">
          <w:rPr>
            <w:noProof/>
            <w:webHidden/>
          </w:rPr>
          <w:t>51</w:t>
        </w:r>
        <w:r>
          <w:rPr>
            <w:noProof/>
            <w:webHidden/>
          </w:rPr>
          <w:fldChar w:fldCharType="end"/>
        </w:r>
      </w:hyperlink>
    </w:p>
    <w:p w14:paraId="5ADE407C" w14:textId="6FF72314" w:rsidR="00425DE7" w:rsidRDefault="00425DE7">
      <w:pPr>
        <w:pStyle w:val="TOC3"/>
        <w:tabs>
          <w:tab w:val="right" w:leader="dot" w:pos="9350"/>
        </w:tabs>
        <w:rPr>
          <w:rFonts w:eastAsiaTheme="minorEastAsia"/>
          <w:noProof/>
          <w:sz w:val="24"/>
          <w:szCs w:val="24"/>
          <w:lang w:val="fr-FR" w:eastAsia="fr-FR"/>
        </w:rPr>
      </w:pPr>
      <w:hyperlink w:anchor="_Toc242801225" w:history="1">
        <w:r w:rsidRPr="00231040">
          <w:rPr>
            <w:rStyle w:val="Hyperlink"/>
            <w:noProof/>
            <w:lang w:val="fr-FR"/>
          </w:rPr>
          <w:t>Appui apporté aux Parties aux fins de l’élaboration de stratégies et de plans d’action nationaux pour la biodiversité, de la définition de cibles nationales et de l’établissement de rapports nationaux</w:t>
        </w:r>
        <w:r>
          <w:rPr>
            <w:noProof/>
            <w:webHidden/>
          </w:rPr>
          <w:tab/>
        </w:r>
        <w:r>
          <w:rPr>
            <w:noProof/>
            <w:webHidden/>
          </w:rPr>
          <w:fldChar w:fldCharType="begin"/>
        </w:r>
        <w:r>
          <w:rPr>
            <w:noProof/>
            <w:webHidden/>
          </w:rPr>
          <w:instrText xml:space="preserve"> PAGEREF _Toc242801225 \h </w:instrText>
        </w:r>
        <w:r>
          <w:rPr>
            <w:noProof/>
            <w:webHidden/>
          </w:rPr>
        </w:r>
        <w:r>
          <w:rPr>
            <w:noProof/>
            <w:webHidden/>
          </w:rPr>
          <w:fldChar w:fldCharType="separate"/>
        </w:r>
        <w:r w:rsidR="001D1D8F">
          <w:rPr>
            <w:noProof/>
            <w:webHidden/>
          </w:rPr>
          <w:t>53</w:t>
        </w:r>
        <w:r>
          <w:rPr>
            <w:noProof/>
            <w:webHidden/>
          </w:rPr>
          <w:fldChar w:fldCharType="end"/>
        </w:r>
      </w:hyperlink>
    </w:p>
    <w:p w14:paraId="1B5CB508" w14:textId="48CCC0CF" w:rsidR="00425DE7" w:rsidRDefault="00425DE7">
      <w:pPr>
        <w:pStyle w:val="TOC3"/>
        <w:tabs>
          <w:tab w:val="right" w:leader="dot" w:pos="9350"/>
        </w:tabs>
        <w:rPr>
          <w:rFonts w:eastAsiaTheme="minorEastAsia"/>
          <w:noProof/>
          <w:sz w:val="24"/>
          <w:szCs w:val="24"/>
          <w:lang w:val="fr-FR" w:eastAsia="fr-FR"/>
        </w:rPr>
      </w:pPr>
      <w:hyperlink w:anchor="_Toc242801226" w:history="1">
        <w:r w:rsidRPr="00231040">
          <w:rPr>
            <w:rStyle w:val="Hyperlink"/>
            <w:noProof/>
            <w:lang w:val="fr-FR"/>
          </w:rPr>
          <w:t>Lien entre les stratégies et plans d’action nationaux pour la biodiversité, les cibles nationales et les rapports nationaux</w:t>
        </w:r>
        <w:r>
          <w:rPr>
            <w:noProof/>
            <w:webHidden/>
          </w:rPr>
          <w:tab/>
        </w:r>
        <w:r>
          <w:rPr>
            <w:noProof/>
            <w:webHidden/>
          </w:rPr>
          <w:fldChar w:fldCharType="begin"/>
        </w:r>
        <w:r>
          <w:rPr>
            <w:noProof/>
            <w:webHidden/>
          </w:rPr>
          <w:instrText xml:space="preserve"> PAGEREF _Toc242801226 \h </w:instrText>
        </w:r>
        <w:r>
          <w:rPr>
            <w:noProof/>
            <w:webHidden/>
          </w:rPr>
        </w:r>
        <w:r>
          <w:rPr>
            <w:noProof/>
            <w:webHidden/>
          </w:rPr>
          <w:fldChar w:fldCharType="separate"/>
        </w:r>
        <w:r w:rsidR="001D1D8F">
          <w:rPr>
            <w:noProof/>
            <w:webHidden/>
          </w:rPr>
          <w:t>54</w:t>
        </w:r>
        <w:r>
          <w:rPr>
            <w:noProof/>
            <w:webHidden/>
          </w:rPr>
          <w:fldChar w:fldCharType="end"/>
        </w:r>
      </w:hyperlink>
    </w:p>
    <w:p w14:paraId="4E99C188" w14:textId="0FA0D40D" w:rsidR="00425DE7" w:rsidRDefault="00425DE7">
      <w:pPr>
        <w:pStyle w:val="TOC3"/>
        <w:tabs>
          <w:tab w:val="right" w:leader="dot" w:pos="9350"/>
        </w:tabs>
        <w:rPr>
          <w:rFonts w:eastAsiaTheme="minorEastAsia"/>
          <w:noProof/>
          <w:sz w:val="24"/>
          <w:szCs w:val="24"/>
          <w:lang w:val="fr-FR" w:eastAsia="fr-FR"/>
        </w:rPr>
      </w:pPr>
      <w:hyperlink w:anchor="_Toc242801227" w:history="1">
        <w:r w:rsidRPr="00231040">
          <w:rPr>
            <w:rStyle w:val="Hyperlink"/>
            <w:noProof/>
            <w:lang w:val="fr-FR"/>
          </w:rPr>
          <w:t xml:space="preserve">Aperçu des stratégies et plans d’action nationaux pour la biodiversité </w:t>
        </w:r>
        <w:r>
          <w:rPr>
            <w:noProof/>
            <w:webHidden/>
          </w:rPr>
          <w:tab/>
        </w:r>
        <w:r>
          <w:rPr>
            <w:noProof/>
            <w:webHidden/>
          </w:rPr>
          <w:fldChar w:fldCharType="begin"/>
        </w:r>
        <w:r>
          <w:rPr>
            <w:noProof/>
            <w:webHidden/>
          </w:rPr>
          <w:instrText xml:space="preserve"> PAGEREF _Toc242801227 \h </w:instrText>
        </w:r>
        <w:r>
          <w:rPr>
            <w:noProof/>
            <w:webHidden/>
          </w:rPr>
        </w:r>
        <w:r>
          <w:rPr>
            <w:noProof/>
            <w:webHidden/>
          </w:rPr>
          <w:fldChar w:fldCharType="separate"/>
        </w:r>
        <w:r w:rsidR="001D1D8F">
          <w:rPr>
            <w:noProof/>
            <w:webHidden/>
          </w:rPr>
          <w:t>55</w:t>
        </w:r>
        <w:r>
          <w:rPr>
            <w:noProof/>
            <w:webHidden/>
          </w:rPr>
          <w:fldChar w:fldCharType="end"/>
        </w:r>
      </w:hyperlink>
    </w:p>
    <w:p w14:paraId="7BA25F23" w14:textId="4887C733" w:rsidR="00425DE7" w:rsidRDefault="00425DE7">
      <w:pPr>
        <w:pStyle w:val="TOC3"/>
        <w:tabs>
          <w:tab w:val="right" w:leader="dot" w:pos="9350"/>
        </w:tabs>
        <w:rPr>
          <w:rFonts w:eastAsiaTheme="minorEastAsia"/>
          <w:noProof/>
          <w:sz w:val="24"/>
          <w:szCs w:val="24"/>
          <w:lang w:val="fr-FR" w:eastAsia="fr-FR"/>
        </w:rPr>
      </w:pPr>
      <w:hyperlink w:anchor="_Toc242801228" w:history="1">
        <w:r w:rsidRPr="00231040">
          <w:rPr>
            <w:rStyle w:val="Hyperlink"/>
            <w:noProof/>
            <w:lang w:val="fr-FR"/>
          </w:rPr>
          <w:t>Engagements pris par des acteurs autres que les gouvernements nationaux</w:t>
        </w:r>
        <w:r>
          <w:rPr>
            <w:noProof/>
            <w:webHidden/>
          </w:rPr>
          <w:tab/>
        </w:r>
        <w:r>
          <w:rPr>
            <w:noProof/>
            <w:webHidden/>
          </w:rPr>
          <w:fldChar w:fldCharType="begin"/>
        </w:r>
        <w:r>
          <w:rPr>
            <w:noProof/>
            <w:webHidden/>
          </w:rPr>
          <w:instrText xml:space="preserve"> PAGEREF _Toc242801228 \h </w:instrText>
        </w:r>
        <w:r>
          <w:rPr>
            <w:noProof/>
            <w:webHidden/>
          </w:rPr>
        </w:r>
        <w:r>
          <w:rPr>
            <w:noProof/>
            <w:webHidden/>
          </w:rPr>
          <w:fldChar w:fldCharType="separate"/>
        </w:r>
        <w:r w:rsidR="001D1D8F">
          <w:rPr>
            <w:noProof/>
            <w:webHidden/>
          </w:rPr>
          <w:t>59</w:t>
        </w:r>
        <w:r>
          <w:rPr>
            <w:noProof/>
            <w:webHidden/>
          </w:rPr>
          <w:fldChar w:fldCharType="end"/>
        </w:r>
      </w:hyperlink>
    </w:p>
    <w:p w14:paraId="1F28AEAA" w14:textId="285C0F14" w:rsidR="00425DE7" w:rsidRDefault="00425DE7">
      <w:pPr>
        <w:pStyle w:val="TOC2"/>
        <w:tabs>
          <w:tab w:val="right" w:leader="dot" w:pos="9350"/>
        </w:tabs>
        <w:rPr>
          <w:rFonts w:eastAsiaTheme="minorEastAsia"/>
          <w:b w:val="0"/>
          <w:bCs w:val="0"/>
          <w:noProof/>
          <w:sz w:val="24"/>
          <w:szCs w:val="24"/>
          <w:lang w:val="fr-FR" w:eastAsia="fr-FR"/>
        </w:rPr>
      </w:pPr>
      <w:hyperlink w:anchor="_Toc242801229" w:history="1">
        <w:r w:rsidRPr="00231040">
          <w:rPr>
            <w:rStyle w:val="Hyperlink"/>
            <w:noProof/>
            <w:lang w:val="fr-FR"/>
          </w:rPr>
          <w:t>II.B Progrès collectifs accomplis dans la mise en œuvre des cibles</w:t>
        </w:r>
        <w:r>
          <w:rPr>
            <w:noProof/>
            <w:webHidden/>
          </w:rPr>
          <w:tab/>
        </w:r>
        <w:r>
          <w:rPr>
            <w:noProof/>
            <w:webHidden/>
          </w:rPr>
          <w:fldChar w:fldCharType="begin"/>
        </w:r>
        <w:r>
          <w:rPr>
            <w:noProof/>
            <w:webHidden/>
          </w:rPr>
          <w:instrText xml:space="preserve"> PAGEREF _Toc242801229 \h </w:instrText>
        </w:r>
        <w:r>
          <w:rPr>
            <w:noProof/>
            <w:webHidden/>
          </w:rPr>
        </w:r>
        <w:r>
          <w:rPr>
            <w:noProof/>
            <w:webHidden/>
          </w:rPr>
          <w:fldChar w:fldCharType="separate"/>
        </w:r>
        <w:r w:rsidR="001D1D8F">
          <w:rPr>
            <w:noProof/>
            <w:webHidden/>
          </w:rPr>
          <w:t>61</w:t>
        </w:r>
        <w:r>
          <w:rPr>
            <w:noProof/>
            <w:webHidden/>
          </w:rPr>
          <w:fldChar w:fldCharType="end"/>
        </w:r>
      </w:hyperlink>
    </w:p>
    <w:p w14:paraId="76C1676D" w14:textId="1E41A913" w:rsidR="00425DE7" w:rsidRDefault="00425DE7">
      <w:pPr>
        <w:pStyle w:val="TOC3"/>
        <w:tabs>
          <w:tab w:val="right" w:leader="dot" w:pos="9350"/>
        </w:tabs>
        <w:rPr>
          <w:rFonts w:eastAsiaTheme="minorEastAsia"/>
          <w:noProof/>
          <w:sz w:val="24"/>
          <w:szCs w:val="24"/>
          <w:lang w:val="fr-FR" w:eastAsia="fr-FR"/>
        </w:rPr>
      </w:pPr>
      <w:hyperlink w:anchor="_Toc242801230" w:history="1">
        <w:r w:rsidRPr="00231040">
          <w:rPr>
            <w:rStyle w:val="Hyperlink"/>
            <w:noProof/>
            <w:lang w:val="fr-FR"/>
          </w:rPr>
          <w:t>Présentation du résumé des progrès accomplis par cible</w:t>
        </w:r>
        <w:r>
          <w:rPr>
            <w:noProof/>
            <w:webHidden/>
          </w:rPr>
          <w:tab/>
        </w:r>
        <w:r>
          <w:rPr>
            <w:noProof/>
            <w:webHidden/>
          </w:rPr>
          <w:fldChar w:fldCharType="begin"/>
        </w:r>
        <w:r>
          <w:rPr>
            <w:noProof/>
            <w:webHidden/>
          </w:rPr>
          <w:instrText xml:space="preserve"> PAGEREF _Toc242801230 \h </w:instrText>
        </w:r>
        <w:r>
          <w:rPr>
            <w:noProof/>
            <w:webHidden/>
          </w:rPr>
        </w:r>
        <w:r>
          <w:rPr>
            <w:noProof/>
            <w:webHidden/>
          </w:rPr>
          <w:fldChar w:fldCharType="separate"/>
        </w:r>
        <w:r w:rsidR="001D1D8F">
          <w:rPr>
            <w:noProof/>
            <w:webHidden/>
          </w:rPr>
          <w:t>61</w:t>
        </w:r>
        <w:r>
          <w:rPr>
            <w:noProof/>
            <w:webHidden/>
          </w:rPr>
          <w:fldChar w:fldCharType="end"/>
        </w:r>
      </w:hyperlink>
    </w:p>
    <w:p w14:paraId="74A9BF39" w14:textId="13DE4541" w:rsidR="00425DE7" w:rsidRDefault="00425DE7">
      <w:pPr>
        <w:pStyle w:val="TOC3"/>
        <w:tabs>
          <w:tab w:val="right" w:leader="dot" w:pos="9350"/>
        </w:tabs>
        <w:rPr>
          <w:rFonts w:eastAsiaTheme="minorEastAsia"/>
          <w:noProof/>
          <w:sz w:val="24"/>
          <w:szCs w:val="24"/>
          <w:lang w:val="fr-FR" w:eastAsia="fr-FR"/>
        </w:rPr>
      </w:pPr>
      <w:hyperlink w:anchor="_Toc242801231" w:history="1">
        <w:r w:rsidRPr="00231040">
          <w:rPr>
            <w:rStyle w:val="Hyperlink"/>
            <w:noProof/>
            <w:lang w:val="fr-FR"/>
          </w:rPr>
          <w:t>Atténuer les menaces qui pèsent sur la biodiversité</w:t>
        </w:r>
        <w:r>
          <w:rPr>
            <w:noProof/>
            <w:webHidden/>
          </w:rPr>
          <w:tab/>
        </w:r>
        <w:r>
          <w:rPr>
            <w:noProof/>
            <w:webHidden/>
          </w:rPr>
          <w:fldChar w:fldCharType="begin"/>
        </w:r>
        <w:r>
          <w:rPr>
            <w:noProof/>
            <w:webHidden/>
          </w:rPr>
          <w:instrText xml:space="preserve"> PAGEREF _Toc242801231 \h </w:instrText>
        </w:r>
        <w:r>
          <w:rPr>
            <w:noProof/>
            <w:webHidden/>
          </w:rPr>
        </w:r>
        <w:r>
          <w:rPr>
            <w:noProof/>
            <w:webHidden/>
          </w:rPr>
          <w:fldChar w:fldCharType="separate"/>
        </w:r>
        <w:r w:rsidR="001D1D8F">
          <w:rPr>
            <w:noProof/>
            <w:webHidden/>
          </w:rPr>
          <w:t>64</w:t>
        </w:r>
        <w:r>
          <w:rPr>
            <w:noProof/>
            <w:webHidden/>
          </w:rPr>
          <w:fldChar w:fldCharType="end"/>
        </w:r>
      </w:hyperlink>
    </w:p>
    <w:p w14:paraId="2F19ED03" w14:textId="7597B0D5" w:rsidR="00425DE7" w:rsidRDefault="00425DE7">
      <w:pPr>
        <w:pStyle w:val="TOC4"/>
        <w:tabs>
          <w:tab w:val="right" w:leader="dot" w:pos="9350"/>
        </w:tabs>
        <w:rPr>
          <w:rFonts w:eastAsiaTheme="minorEastAsia"/>
          <w:noProof/>
          <w:sz w:val="24"/>
          <w:szCs w:val="24"/>
          <w:lang w:val="fr-FR" w:eastAsia="fr-FR"/>
        </w:rPr>
      </w:pPr>
      <w:hyperlink w:anchor="_Toc242801232" w:history="1">
        <w:r w:rsidRPr="00231040">
          <w:rPr>
            <w:rStyle w:val="Hyperlink"/>
            <w:b/>
            <w:bCs/>
            <w:noProof/>
            <w:lang w:val="fr-FR"/>
          </w:rPr>
          <w:t>Cible 1.</w:t>
        </w:r>
        <w:r w:rsidRPr="00231040">
          <w:rPr>
            <w:rStyle w:val="Hyperlink"/>
            <w:noProof/>
            <w:lang w:val="fr-FR"/>
          </w:rPr>
          <w:t xml:space="preserve"> Planifier et gérer toutes les zones afin de réduire la perte de biodiversité</w:t>
        </w:r>
        <w:r>
          <w:rPr>
            <w:noProof/>
            <w:webHidden/>
          </w:rPr>
          <w:tab/>
        </w:r>
        <w:r>
          <w:rPr>
            <w:noProof/>
            <w:webHidden/>
          </w:rPr>
          <w:fldChar w:fldCharType="begin"/>
        </w:r>
        <w:r>
          <w:rPr>
            <w:noProof/>
            <w:webHidden/>
          </w:rPr>
          <w:instrText xml:space="preserve"> PAGEREF _Toc242801232 \h </w:instrText>
        </w:r>
        <w:r>
          <w:rPr>
            <w:noProof/>
            <w:webHidden/>
          </w:rPr>
        </w:r>
        <w:r>
          <w:rPr>
            <w:noProof/>
            <w:webHidden/>
          </w:rPr>
          <w:fldChar w:fldCharType="separate"/>
        </w:r>
        <w:r w:rsidR="001D1D8F">
          <w:rPr>
            <w:noProof/>
            <w:webHidden/>
          </w:rPr>
          <w:t>65</w:t>
        </w:r>
        <w:r>
          <w:rPr>
            <w:noProof/>
            <w:webHidden/>
          </w:rPr>
          <w:fldChar w:fldCharType="end"/>
        </w:r>
      </w:hyperlink>
    </w:p>
    <w:p w14:paraId="10A656F2" w14:textId="468DB2CE" w:rsidR="00425DE7" w:rsidRDefault="00425DE7">
      <w:pPr>
        <w:pStyle w:val="TOC4"/>
        <w:tabs>
          <w:tab w:val="right" w:leader="dot" w:pos="9350"/>
        </w:tabs>
        <w:rPr>
          <w:rFonts w:eastAsiaTheme="minorEastAsia"/>
          <w:noProof/>
          <w:sz w:val="24"/>
          <w:szCs w:val="24"/>
          <w:lang w:val="fr-FR" w:eastAsia="fr-FR"/>
        </w:rPr>
      </w:pPr>
      <w:hyperlink w:anchor="_Toc242801233" w:history="1">
        <w:r w:rsidRPr="00231040">
          <w:rPr>
            <w:rStyle w:val="Hyperlink"/>
            <w:b/>
            <w:bCs/>
            <w:noProof/>
            <w:lang w:val="fr-FR"/>
          </w:rPr>
          <w:t>Cible 2</w:t>
        </w:r>
        <w:r w:rsidRPr="00231040">
          <w:rPr>
            <w:rStyle w:val="Hyperlink"/>
            <w:noProof/>
            <w:lang w:val="fr-FR"/>
          </w:rPr>
          <w:t>. Remettre en état 30 % des écosystèmes dégradés</w:t>
        </w:r>
        <w:r>
          <w:rPr>
            <w:noProof/>
            <w:webHidden/>
          </w:rPr>
          <w:tab/>
        </w:r>
        <w:r>
          <w:rPr>
            <w:noProof/>
            <w:webHidden/>
          </w:rPr>
          <w:fldChar w:fldCharType="begin"/>
        </w:r>
        <w:r>
          <w:rPr>
            <w:noProof/>
            <w:webHidden/>
          </w:rPr>
          <w:instrText xml:space="preserve"> PAGEREF _Toc242801233 \h </w:instrText>
        </w:r>
        <w:r>
          <w:rPr>
            <w:noProof/>
            <w:webHidden/>
          </w:rPr>
        </w:r>
        <w:r>
          <w:rPr>
            <w:noProof/>
            <w:webHidden/>
          </w:rPr>
          <w:fldChar w:fldCharType="separate"/>
        </w:r>
        <w:r w:rsidR="001D1D8F">
          <w:rPr>
            <w:noProof/>
            <w:webHidden/>
          </w:rPr>
          <w:t>78</w:t>
        </w:r>
        <w:r>
          <w:rPr>
            <w:noProof/>
            <w:webHidden/>
          </w:rPr>
          <w:fldChar w:fldCharType="end"/>
        </w:r>
      </w:hyperlink>
    </w:p>
    <w:p w14:paraId="586246FF" w14:textId="499B5AA5" w:rsidR="00425DE7" w:rsidRDefault="00425DE7">
      <w:pPr>
        <w:pStyle w:val="TOC4"/>
        <w:tabs>
          <w:tab w:val="right" w:leader="dot" w:pos="9350"/>
        </w:tabs>
        <w:rPr>
          <w:rFonts w:eastAsiaTheme="minorEastAsia"/>
          <w:noProof/>
          <w:sz w:val="24"/>
          <w:szCs w:val="24"/>
          <w:lang w:val="fr-FR" w:eastAsia="fr-FR"/>
        </w:rPr>
      </w:pPr>
      <w:hyperlink w:anchor="_Toc242801234" w:history="1">
        <w:r w:rsidRPr="00231040">
          <w:rPr>
            <w:rStyle w:val="Hyperlink"/>
            <w:b/>
            <w:bCs/>
            <w:noProof/>
            <w:lang w:val="fr-FR"/>
          </w:rPr>
          <w:t>Cible 3</w:t>
        </w:r>
        <w:r w:rsidRPr="00231040">
          <w:rPr>
            <w:rStyle w:val="Hyperlink"/>
            <w:noProof/>
            <w:lang w:val="fr-FR"/>
          </w:rPr>
          <w:t>. Conserver et gérer efficacement au moins 30 % des zones terrestres et des eaux intérieures, ainsi que 30 % des zones côtières et marines</w:t>
        </w:r>
        <w:r>
          <w:rPr>
            <w:noProof/>
            <w:webHidden/>
          </w:rPr>
          <w:tab/>
        </w:r>
        <w:r>
          <w:rPr>
            <w:noProof/>
            <w:webHidden/>
          </w:rPr>
          <w:fldChar w:fldCharType="begin"/>
        </w:r>
        <w:r>
          <w:rPr>
            <w:noProof/>
            <w:webHidden/>
          </w:rPr>
          <w:instrText xml:space="preserve"> PAGEREF _Toc242801234 \h </w:instrText>
        </w:r>
        <w:r>
          <w:rPr>
            <w:noProof/>
            <w:webHidden/>
          </w:rPr>
        </w:r>
        <w:r>
          <w:rPr>
            <w:noProof/>
            <w:webHidden/>
          </w:rPr>
          <w:fldChar w:fldCharType="separate"/>
        </w:r>
        <w:r w:rsidR="001D1D8F">
          <w:rPr>
            <w:noProof/>
            <w:webHidden/>
          </w:rPr>
          <w:t>93</w:t>
        </w:r>
        <w:r>
          <w:rPr>
            <w:noProof/>
            <w:webHidden/>
          </w:rPr>
          <w:fldChar w:fldCharType="end"/>
        </w:r>
      </w:hyperlink>
    </w:p>
    <w:p w14:paraId="4D4A909C" w14:textId="2F0EAFD2" w:rsidR="00425DE7" w:rsidRDefault="00425DE7">
      <w:pPr>
        <w:pStyle w:val="TOC4"/>
        <w:tabs>
          <w:tab w:val="right" w:leader="dot" w:pos="9350"/>
        </w:tabs>
        <w:rPr>
          <w:rFonts w:eastAsiaTheme="minorEastAsia"/>
          <w:noProof/>
          <w:sz w:val="24"/>
          <w:szCs w:val="24"/>
          <w:lang w:val="fr-FR" w:eastAsia="fr-FR"/>
        </w:rPr>
      </w:pPr>
      <w:hyperlink w:anchor="_Toc242801235" w:history="1">
        <w:r w:rsidRPr="00231040">
          <w:rPr>
            <w:rStyle w:val="Hyperlink"/>
            <w:b/>
            <w:bCs/>
            <w:noProof/>
            <w:lang w:val="fr-FR"/>
          </w:rPr>
          <w:t>Cible 4.</w:t>
        </w:r>
        <w:r w:rsidRPr="00231040">
          <w:rPr>
            <w:rStyle w:val="Hyperlink"/>
            <w:noProof/>
            <w:lang w:val="fr-FR"/>
          </w:rPr>
          <w:t xml:space="preserve"> Faire cesser l’extinction des espèces, protéger la diversité génétique et gérer les conflits entre l’homme et la faune et la flore sauvages</w:t>
        </w:r>
        <w:r>
          <w:rPr>
            <w:noProof/>
            <w:webHidden/>
          </w:rPr>
          <w:tab/>
        </w:r>
        <w:r>
          <w:rPr>
            <w:noProof/>
            <w:webHidden/>
          </w:rPr>
          <w:fldChar w:fldCharType="begin"/>
        </w:r>
        <w:r>
          <w:rPr>
            <w:noProof/>
            <w:webHidden/>
          </w:rPr>
          <w:instrText xml:space="preserve"> PAGEREF _Toc242801235 \h </w:instrText>
        </w:r>
        <w:r>
          <w:rPr>
            <w:noProof/>
            <w:webHidden/>
          </w:rPr>
        </w:r>
        <w:r>
          <w:rPr>
            <w:noProof/>
            <w:webHidden/>
          </w:rPr>
          <w:fldChar w:fldCharType="separate"/>
        </w:r>
        <w:r w:rsidR="001D1D8F">
          <w:rPr>
            <w:noProof/>
            <w:webHidden/>
          </w:rPr>
          <w:t>111</w:t>
        </w:r>
        <w:r>
          <w:rPr>
            <w:noProof/>
            <w:webHidden/>
          </w:rPr>
          <w:fldChar w:fldCharType="end"/>
        </w:r>
      </w:hyperlink>
    </w:p>
    <w:p w14:paraId="409A80B2" w14:textId="65C7BA8D" w:rsidR="00425DE7" w:rsidRDefault="00425DE7">
      <w:pPr>
        <w:pStyle w:val="TOC4"/>
        <w:tabs>
          <w:tab w:val="right" w:leader="dot" w:pos="9350"/>
        </w:tabs>
        <w:rPr>
          <w:rFonts w:eastAsiaTheme="minorEastAsia"/>
          <w:noProof/>
          <w:sz w:val="24"/>
          <w:szCs w:val="24"/>
          <w:lang w:val="fr-FR" w:eastAsia="fr-FR"/>
        </w:rPr>
      </w:pPr>
      <w:hyperlink w:anchor="_Toc242801236" w:history="1">
        <w:r w:rsidRPr="00231040">
          <w:rPr>
            <w:rStyle w:val="Hyperlink"/>
            <w:b/>
            <w:bCs/>
            <w:noProof/>
            <w:lang w:val="fr-FR"/>
          </w:rPr>
          <w:t>Cible 5.</w:t>
        </w:r>
        <w:r w:rsidRPr="00231040">
          <w:rPr>
            <w:rStyle w:val="Hyperlink"/>
            <w:noProof/>
            <w:lang w:val="fr-FR"/>
          </w:rPr>
          <w:t xml:space="preserve"> Assurer une utilisation, des prélèvements et un commerce durables, sûrs et légaux des espèces sauvages</w:t>
        </w:r>
        <w:r>
          <w:rPr>
            <w:noProof/>
            <w:webHidden/>
          </w:rPr>
          <w:tab/>
        </w:r>
        <w:r>
          <w:rPr>
            <w:noProof/>
            <w:webHidden/>
          </w:rPr>
          <w:fldChar w:fldCharType="begin"/>
        </w:r>
        <w:r>
          <w:rPr>
            <w:noProof/>
            <w:webHidden/>
          </w:rPr>
          <w:instrText xml:space="preserve"> PAGEREF _Toc242801236 \h </w:instrText>
        </w:r>
        <w:r>
          <w:rPr>
            <w:noProof/>
            <w:webHidden/>
          </w:rPr>
        </w:r>
        <w:r>
          <w:rPr>
            <w:noProof/>
            <w:webHidden/>
          </w:rPr>
          <w:fldChar w:fldCharType="separate"/>
        </w:r>
        <w:r w:rsidR="001D1D8F">
          <w:rPr>
            <w:noProof/>
            <w:webHidden/>
          </w:rPr>
          <w:t>129</w:t>
        </w:r>
        <w:r>
          <w:rPr>
            <w:noProof/>
            <w:webHidden/>
          </w:rPr>
          <w:fldChar w:fldCharType="end"/>
        </w:r>
      </w:hyperlink>
    </w:p>
    <w:p w14:paraId="02480635" w14:textId="2875B1D6" w:rsidR="00425DE7" w:rsidRDefault="00425DE7">
      <w:pPr>
        <w:pStyle w:val="TOC4"/>
        <w:tabs>
          <w:tab w:val="right" w:leader="dot" w:pos="9350"/>
        </w:tabs>
        <w:rPr>
          <w:rFonts w:eastAsiaTheme="minorEastAsia"/>
          <w:noProof/>
          <w:sz w:val="24"/>
          <w:szCs w:val="24"/>
          <w:lang w:val="fr-FR" w:eastAsia="fr-FR"/>
        </w:rPr>
      </w:pPr>
      <w:hyperlink w:anchor="_Toc242801237" w:history="1">
        <w:r w:rsidRPr="00231040">
          <w:rPr>
            <w:rStyle w:val="Hyperlink"/>
            <w:b/>
            <w:bCs/>
            <w:noProof/>
            <w:lang w:val="fr-FR"/>
          </w:rPr>
          <w:t>Cible 6.</w:t>
        </w:r>
        <w:r w:rsidRPr="00231040">
          <w:rPr>
            <w:rStyle w:val="Hyperlink"/>
            <w:noProof/>
            <w:lang w:val="fr-FR"/>
          </w:rPr>
          <w:t xml:space="preserve"> Réduire l’introduction des espèces exotiques envahissantes de moitié et limiter leurs incidences</w:t>
        </w:r>
        <w:r>
          <w:rPr>
            <w:noProof/>
            <w:webHidden/>
          </w:rPr>
          <w:tab/>
        </w:r>
        <w:r>
          <w:rPr>
            <w:noProof/>
            <w:webHidden/>
          </w:rPr>
          <w:fldChar w:fldCharType="begin"/>
        </w:r>
        <w:r>
          <w:rPr>
            <w:noProof/>
            <w:webHidden/>
          </w:rPr>
          <w:instrText xml:space="preserve"> PAGEREF _Toc242801237 \h </w:instrText>
        </w:r>
        <w:r>
          <w:rPr>
            <w:noProof/>
            <w:webHidden/>
          </w:rPr>
        </w:r>
        <w:r>
          <w:rPr>
            <w:noProof/>
            <w:webHidden/>
          </w:rPr>
          <w:fldChar w:fldCharType="separate"/>
        </w:r>
        <w:r w:rsidR="001D1D8F">
          <w:rPr>
            <w:noProof/>
            <w:webHidden/>
          </w:rPr>
          <w:t>142</w:t>
        </w:r>
        <w:r>
          <w:rPr>
            <w:noProof/>
            <w:webHidden/>
          </w:rPr>
          <w:fldChar w:fldCharType="end"/>
        </w:r>
      </w:hyperlink>
    </w:p>
    <w:p w14:paraId="2022D50E" w14:textId="59B6BCF8" w:rsidR="00425DE7" w:rsidRDefault="00425DE7">
      <w:pPr>
        <w:pStyle w:val="TOC4"/>
        <w:tabs>
          <w:tab w:val="right" w:leader="dot" w:pos="9350"/>
        </w:tabs>
        <w:rPr>
          <w:rFonts w:eastAsiaTheme="minorEastAsia"/>
          <w:noProof/>
          <w:sz w:val="24"/>
          <w:szCs w:val="24"/>
          <w:lang w:val="fr-FR" w:eastAsia="fr-FR"/>
        </w:rPr>
      </w:pPr>
      <w:hyperlink w:anchor="_Toc242801238" w:history="1">
        <w:r w:rsidRPr="00231040">
          <w:rPr>
            <w:rStyle w:val="Hyperlink"/>
            <w:b/>
            <w:bCs/>
            <w:noProof/>
            <w:lang w:val="fr-FR"/>
          </w:rPr>
          <w:t>Cible 7</w:t>
        </w:r>
        <w:r w:rsidRPr="00231040">
          <w:rPr>
            <w:rStyle w:val="Hyperlink"/>
            <w:noProof/>
            <w:lang w:val="fr-FR"/>
          </w:rPr>
          <w:t>. Atténuer la pollution à des niveaux sans danger pour la biodiversité</w:t>
        </w:r>
        <w:r>
          <w:rPr>
            <w:noProof/>
            <w:webHidden/>
          </w:rPr>
          <w:tab/>
        </w:r>
        <w:r>
          <w:rPr>
            <w:noProof/>
            <w:webHidden/>
          </w:rPr>
          <w:fldChar w:fldCharType="begin"/>
        </w:r>
        <w:r>
          <w:rPr>
            <w:noProof/>
            <w:webHidden/>
          </w:rPr>
          <w:instrText xml:space="preserve"> PAGEREF _Toc242801238 \h </w:instrText>
        </w:r>
        <w:r>
          <w:rPr>
            <w:noProof/>
            <w:webHidden/>
          </w:rPr>
        </w:r>
        <w:r>
          <w:rPr>
            <w:noProof/>
            <w:webHidden/>
          </w:rPr>
          <w:fldChar w:fldCharType="separate"/>
        </w:r>
        <w:r w:rsidR="001D1D8F">
          <w:rPr>
            <w:noProof/>
            <w:webHidden/>
          </w:rPr>
          <w:t>156</w:t>
        </w:r>
        <w:r>
          <w:rPr>
            <w:noProof/>
            <w:webHidden/>
          </w:rPr>
          <w:fldChar w:fldCharType="end"/>
        </w:r>
      </w:hyperlink>
    </w:p>
    <w:p w14:paraId="73543D99" w14:textId="055E3DA6" w:rsidR="00425DE7" w:rsidRDefault="00425DE7">
      <w:pPr>
        <w:pStyle w:val="TOC4"/>
        <w:tabs>
          <w:tab w:val="right" w:leader="dot" w:pos="9350"/>
        </w:tabs>
        <w:rPr>
          <w:rFonts w:eastAsiaTheme="minorEastAsia"/>
          <w:noProof/>
          <w:sz w:val="24"/>
          <w:szCs w:val="24"/>
          <w:lang w:val="fr-FR" w:eastAsia="fr-FR"/>
        </w:rPr>
      </w:pPr>
      <w:hyperlink w:anchor="_Toc242801239" w:history="1">
        <w:r w:rsidRPr="00231040">
          <w:rPr>
            <w:rStyle w:val="Hyperlink"/>
            <w:b/>
            <w:bCs/>
            <w:noProof/>
            <w:lang w:val="fr-FR"/>
          </w:rPr>
          <w:t xml:space="preserve">Cible 8. </w:t>
        </w:r>
        <w:r w:rsidRPr="00231040">
          <w:rPr>
            <w:rStyle w:val="Hyperlink"/>
            <w:noProof/>
            <w:lang w:val="fr-FR"/>
          </w:rPr>
          <w:t>Réduire au minimum les effets des changements climatiques sur la biodiversité et renforcer la résilience</w:t>
        </w:r>
        <w:r>
          <w:rPr>
            <w:noProof/>
            <w:webHidden/>
          </w:rPr>
          <w:tab/>
        </w:r>
        <w:r>
          <w:rPr>
            <w:noProof/>
            <w:webHidden/>
          </w:rPr>
          <w:fldChar w:fldCharType="begin"/>
        </w:r>
        <w:r>
          <w:rPr>
            <w:noProof/>
            <w:webHidden/>
          </w:rPr>
          <w:instrText xml:space="preserve"> PAGEREF _Toc242801239 \h </w:instrText>
        </w:r>
        <w:r>
          <w:rPr>
            <w:noProof/>
            <w:webHidden/>
          </w:rPr>
        </w:r>
        <w:r>
          <w:rPr>
            <w:noProof/>
            <w:webHidden/>
          </w:rPr>
          <w:fldChar w:fldCharType="separate"/>
        </w:r>
        <w:r w:rsidR="001D1D8F">
          <w:rPr>
            <w:noProof/>
            <w:webHidden/>
          </w:rPr>
          <w:t>170</w:t>
        </w:r>
        <w:r>
          <w:rPr>
            <w:noProof/>
            <w:webHidden/>
          </w:rPr>
          <w:fldChar w:fldCharType="end"/>
        </w:r>
      </w:hyperlink>
    </w:p>
    <w:p w14:paraId="01CBFA51" w14:textId="5742C67E" w:rsidR="00425DE7" w:rsidRDefault="00425DE7">
      <w:pPr>
        <w:pStyle w:val="TOC3"/>
        <w:tabs>
          <w:tab w:val="right" w:leader="dot" w:pos="9350"/>
        </w:tabs>
        <w:rPr>
          <w:rFonts w:eastAsiaTheme="minorEastAsia"/>
          <w:noProof/>
          <w:sz w:val="24"/>
          <w:szCs w:val="24"/>
          <w:lang w:val="fr-FR" w:eastAsia="fr-FR"/>
        </w:rPr>
      </w:pPr>
      <w:hyperlink w:anchor="_Toc242801240" w:history="1">
        <w:r w:rsidRPr="00231040">
          <w:rPr>
            <w:rStyle w:val="Hyperlink"/>
            <w:noProof/>
            <w:lang w:val="fr-FR"/>
          </w:rPr>
          <w:t>Répondre aux besoins des populations par l’utilisation durable et le partage des avantages</w:t>
        </w:r>
        <w:r>
          <w:rPr>
            <w:noProof/>
            <w:webHidden/>
          </w:rPr>
          <w:tab/>
        </w:r>
        <w:r>
          <w:rPr>
            <w:noProof/>
            <w:webHidden/>
          </w:rPr>
          <w:fldChar w:fldCharType="begin"/>
        </w:r>
        <w:r>
          <w:rPr>
            <w:noProof/>
            <w:webHidden/>
          </w:rPr>
          <w:instrText xml:space="preserve"> PAGEREF _Toc242801240 \h </w:instrText>
        </w:r>
        <w:r>
          <w:rPr>
            <w:noProof/>
            <w:webHidden/>
          </w:rPr>
        </w:r>
        <w:r>
          <w:rPr>
            <w:noProof/>
            <w:webHidden/>
          </w:rPr>
          <w:fldChar w:fldCharType="separate"/>
        </w:r>
        <w:r w:rsidR="001D1D8F">
          <w:rPr>
            <w:noProof/>
            <w:webHidden/>
          </w:rPr>
          <w:t>181</w:t>
        </w:r>
        <w:r>
          <w:rPr>
            <w:noProof/>
            <w:webHidden/>
          </w:rPr>
          <w:fldChar w:fldCharType="end"/>
        </w:r>
      </w:hyperlink>
    </w:p>
    <w:p w14:paraId="094E9FEA" w14:textId="376D0229" w:rsidR="00425DE7" w:rsidRDefault="00425DE7">
      <w:pPr>
        <w:pStyle w:val="TOC4"/>
        <w:tabs>
          <w:tab w:val="right" w:leader="dot" w:pos="9350"/>
        </w:tabs>
        <w:rPr>
          <w:rFonts w:eastAsiaTheme="minorEastAsia"/>
          <w:noProof/>
          <w:sz w:val="24"/>
          <w:szCs w:val="24"/>
          <w:lang w:val="fr-FR" w:eastAsia="fr-FR"/>
        </w:rPr>
      </w:pPr>
      <w:hyperlink w:anchor="_Toc242801241" w:history="1">
        <w:r w:rsidRPr="00231040">
          <w:rPr>
            <w:rStyle w:val="Hyperlink"/>
            <w:b/>
            <w:bCs/>
            <w:noProof/>
            <w:lang w:val="fr-FR"/>
          </w:rPr>
          <w:t>Cible 9.</w:t>
        </w:r>
        <w:r w:rsidRPr="00231040">
          <w:rPr>
            <w:rStyle w:val="Hyperlink"/>
            <w:noProof/>
            <w:lang w:val="fr-FR"/>
          </w:rPr>
          <w:t xml:space="preserve"> Gérer durablement les espèces sauvages de façon à procurer des avantages aux populations</w:t>
        </w:r>
        <w:r>
          <w:rPr>
            <w:noProof/>
            <w:webHidden/>
          </w:rPr>
          <w:tab/>
        </w:r>
        <w:r>
          <w:rPr>
            <w:noProof/>
            <w:webHidden/>
          </w:rPr>
          <w:fldChar w:fldCharType="begin"/>
        </w:r>
        <w:r>
          <w:rPr>
            <w:noProof/>
            <w:webHidden/>
          </w:rPr>
          <w:instrText xml:space="preserve"> PAGEREF _Toc242801241 \h </w:instrText>
        </w:r>
        <w:r>
          <w:rPr>
            <w:noProof/>
            <w:webHidden/>
          </w:rPr>
        </w:r>
        <w:r>
          <w:rPr>
            <w:noProof/>
            <w:webHidden/>
          </w:rPr>
          <w:fldChar w:fldCharType="separate"/>
        </w:r>
        <w:r w:rsidR="001D1D8F">
          <w:rPr>
            <w:noProof/>
            <w:webHidden/>
          </w:rPr>
          <w:t>181</w:t>
        </w:r>
        <w:r>
          <w:rPr>
            <w:noProof/>
            <w:webHidden/>
          </w:rPr>
          <w:fldChar w:fldCharType="end"/>
        </w:r>
      </w:hyperlink>
    </w:p>
    <w:p w14:paraId="2859871D" w14:textId="4071EEDB" w:rsidR="00425DE7" w:rsidRDefault="00425DE7">
      <w:pPr>
        <w:pStyle w:val="TOC4"/>
        <w:tabs>
          <w:tab w:val="right" w:leader="dot" w:pos="9350"/>
        </w:tabs>
        <w:rPr>
          <w:rFonts w:eastAsiaTheme="minorEastAsia"/>
          <w:noProof/>
          <w:sz w:val="24"/>
          <w:szCs w:val="24"/>
          <w:lang w:val="fr-FR" w:eastAsia="fr-FR"/>
        </w:rPr>
      </w:pPr>
      <w:hyperlink w:anchor="_Toc242801242" w:history="1">
        <w:r w:rsidRPr="00231040">
          <w:rPr>
            <w:rStyle w:val="Hyperlink"/>
            <w:b/>
            <w:bCs/>
            <w:noProof/>
            <w:lang w:val="fr-FR"/>
          </w:rPr>
          <w:t>Cible 10.</w:t>
        </w:r>
        <w:r w:rsidRPr="00231040">
          <w:rPr>
            <w:rStyle w:val="Hyperlink"/>
            <w:noProof/>
            <w:lang w:val="fr-FR"/>
          </w:rPr>
          <w:t xml:space="preserve"> Améliorer la biodiversité et la durabilité dans les secteurs de l’agriculture, de l’aquaculture, de la pêche et de la sylviculture</w:t>
        </w:r>
        <w:r>
          <w:rPr>
            <w:noProof/>
            <w:webHidden/>
          </w:rPr>
          <w:tab/>
        </w:r>
        <w:r>
          <w:rPr>
            <w:noProof/>
            <w:webHidden/>
          </w:rPr>
          <w:fldChar w:fldCharType="begin"/>
        </w:r>
        <w:r>
          <w:rPr>
            <w:noProof/>
            <w:webHidden/>
          </w:rPr>
          <w:instrText xml:space="preserve"> PAGEREF _Toc242801242 \h </w:instrText>
        </w:r>
        <w:r>
          <w:rPr>
            <w:noProof/>
            <w:webHidden/>
          </w:rPr>
        </w:r>
        <w:r>
          <w:rPr>
            <w:noProof/>
            <w:webHidden/>
          </w:rPr>
          <w:fldChar w:fldCharType="separate"/>
        </w:r>
        <w:r w:rsidR="001D1D8F">
          <w:rPr>
            <w:noProof/>
            <w:webHidden/>
          </w:rPr>
          <w:t>192</w:t>
        </w:r>
        <w:r>
          <w:rPr>
            <w:noProof/>
            <w:webHidden/>
          </w:rPr>
          <w:fldChar w:fldCharType="end"/>
        </w:r>
      </w:hyperlink>
    </w:p>
    <w:p w14:paraId="0DA1295D" w14:textId="0AB7D24C" w:rsidR="00425DE7" w:rsidRDefault="00425DE7">
      <w:pPr>
        <w:pStyle w:val="TOC4"/>
        <w:tabs>
          <w:tab w:val="right" w:leader="dot" w:pos="9350"/>
        </w:tabs>
        <w:rPr>
          <w:rFonts w:eastAsiaTheme="minorEastAsia"/>
          <w:noProof/>
          <w:sz w:val="24"/>
          <w:szCs w:val="24"/>
          <w:lang w:val="fr-FR" w:eastAsia="fr-FR"/>
        </w:rPr>
      </w:pPr>
      <w:hyperlink w:anchor="_Toc242801243" w:history="1">
        <w:r w:rsidRPr="00231040">
          <w:rPr>
            <w:rStyle w:val="Hyperlink"/>
            <w:b/>
            <w:bCs/>
            <w:noProof/>
            <w:lang w:val="fr-FR"/>
          </w:rPr>
          <w:t>Cible 11.</w:t>
        </w:r>
        <w:r w:rsidRPr="00231040">
          <w:rPr>
            <w:rStyle w:val="Hyperlink"/>
            <w:noProof/>
            <w:lang w:val="fr-FR"/>
          </w:rPr>
          <w:t xml:space="preserve"> Restaurer, préserver et renforcer les contributions de la nature aux populations</w:t>
        </w:r>
        <w:r>
          <w:rPr>
            <w:noProof/>
            <w:webHidden/>
          </w:rPr>
          <w:tab/>
        </w:r>
        <w:r>
          <w:rPr>
            <w:noProof/>
            <w:webHidden/>
          </w:rPr>
          <w:fldChar w:fldCharType="begin"/>
        </w:r>
        <w:r>
          <w:rPr>
            <w:noProof/>
            <w:webHidden/>
          </w:rPr>
          <w:instrText xml:space="preserve"> PAGEREF _Toc242801243 \h </w:instrText>
        </w:r>
        <w:r>
          <w:rPr>
            <w:noProof/>
            <w:webHidden/>
          </w:rPr>
        </w:r>
        <w:r>
          <w:rPr>
            <w:noProof/>
            <w:webHidden/>
          </w:rPr>
          <w:fldChar w:fldCharType="separate"/>
        </w:r>
        <w:r w:rsidR="001D1D8F">
          <w:rPr>
            <w:noProof/>
            <w:webHidden/>
          </w:rPr>
          <w:t>213</w:t>
        </w:r>
        <w:r>
          <w:rPr>
            <w:noProof/>
            <w:webHidden/>
          </w:rPr>
          <w:fldChar w:fldCharType="end"/>
        </w:r>
      </w:hyperlink>
    </w:p>
    <w:p w14:paraId="7ABC8419" w14:textId="5755BB1B" w:rsidR="00425DE7" w:rsidRDefault="00425DE7">
      <w:pPr>
        <w:pStyle w:val="TOC4"/>
        <w:tabs>
          <w:tab w:val="right" w:leader="dot" w:pos="9350"/>
        </w:tabs>
        <w:rPr>
          <w:rFonts w:eastAsiaTheme="minorEastAsia"/>
          <w:noProof/>
          <w:sz w:val="24"/>
          <w:szCs w:val="24"/>
          <w:lang w:val="fr-FR" w:eastAsia="fr-FR"/>
        </w:rPr>
      </w:pPr>
      <w:hyperlink w:anchor="_Toc242801244" w:history="1">
        <w:r w:rsidRPr="00231040">
          <w:rPr>
            <w:rStyle w:val="Hyperlink"/>
            <w:b/>
            <w:bCs/>
            <w:noProof/>
            <w:lang w:val="fr-FR"/>
          </w:rPr>
          <w:t>Cible 12.</w:t>
        </w:r>
        <w:r w:rsidRPr="00231040">
          <w:rPr>
            <w:rStyle w:val="Hyperlink"/>
            <w:noProof/>
            <w:lang w:val="fr-FR"/>
          </w:rPr>
          <w:t xml:space="preserve"> Accroître les espaces verts et améliorer l’aménagement urbain pour le bien-être humain et la biodiversité</w:t>
        </w:r>
        <w:r>
          <w:rPr>
            <w:noProof/>
            <w:webHidden/>
          </w:rPr>
          <w:tab/>
        </w:r>
        <w:r>
          <w:rPr>
            <w:noProof/>
            <w:webHidden/>
          </w:rPr>
          <w:fldChar w:fldCharType="begin"/>
        </w:r>
        <w:r>
          <w:rPr>
            <w:noProof/>
            <w:webHidden/>
          </w:rPr>
          <w:instrText xml:space="preserve"> PAGEREF _Toc242801244 \h </w:instrText>
        </w:r>
        <w:r>
          <w:rPr>
            <w:noProof/>
            <w:webHidden/>
          </w:rPr>
        </w:r>
        <w:r>
          <w:rPr>
            <w:noProof/>
            <w:webHidden/>
          </w:rPr>
          <w:fldChar w:fldCharType="separate"/>
        </w:r>
        <w:r w:rsidR="001D1D8F">
          <w:rPr>
            <w:noProof/>
            <w:webHidden/>
          </w:rPr>
          <w:t>225</w:t>
        </w:r>
        <w:r>
          <w:rPr>
            <w:noProof/>
            <w:webHidden/>
          </w:rPr>
          <w:fldChar w:fldCharType="end"/>
        </w:r>
      </w:hyperlink>
    </w:p>
    <w:p w14:paraId="2D24BB31" w14:textId="591DC281" w:rsidR="00425DE7" w:rsidRDefault="00425DE7">
      <w:pPr>
        <w:pStyle w:val="TOC4"/>
        <w:tabs>
          <w:tab w:val="right" w:leader="dot" w:pos="9350"/>
        </w:tabs>
        <w:rPr>
          <w:rFonts w:eastAsiaTheme="minorEastAsia"/>
          <w:noProof/>
          <w:sz w:val="24"/>
          <w:szCs w:val="24"/>
          <w:lang w:val="fr-FR" w:eastAsia="fr-FR"/>
        </w:rPr>
      </w:pPr>
      <w:hyperlink w:anchor="_Toc242801245" w:history="1">
        <w:r w:rsidRPr="00231040">
          <w:rPr>
            <w:rStyle w:val="Hyperlink"/>
            <w:b/>
            <w:bCs/>
            <w:noProof/>
            <w:lang w:val="fr-FR"/>
          </w:rPr>
          <w:t>Cible 13.</w:t>
        </w:r>
        <w:r w:rsidRPr="00231040">
          <w:rPr>
            <w:rStyle w:val="Hyperlink"/>
            <w:noProof/>
            <w:lang w:val="fr-FR"/>
          </w:rPr>
          <w:t xml:space="preserve"> Accroître le partage des avantages découlant des ressources génétiques, l’information de séquençage numérique et les connaissances traditionnelles</w:t>
        </w:r>
        <w:r>
          <w:rPr>
            <w:noProof/>
            <w:webHidden/>
          </w:rPr>
          <w:tab/>
        </w:r>
        <w:r>
          <w:rPr>
            <w:noProof/>
            <w:webHidden/>
          </w:rPr>
          <w:fldChar w:fldCharType="begin"/>
        </w:r>
        <w:r>
          <w:rPr>
            <w:noProof/>
            <w:webHidden/>
          </w:rPr>
          <w:instrText xml:space="preserve"> PAGEREF _Toc242801245 \h </w:instrText>
        </w:r>
        <w:r>
          <w:rPr>
            <w:noProof/>
            <w:webHidden/>
          </w:rPr>
        </w:r>
        <w:r>
          <w:rPr>
            <w:noProof/>
            <w:webHidden/>
          </w:rPr>
          <w:fldChar w:fldCharType="separate"/>
        </w:r>
        <w:r w:rsidR="001D1D8F">
          <w:rPr>
            <w:noProof/>
            <w:webHidden/>
          </w:rPr>
          <w:t>237</w:t>
        </w:r>
        <w:r>
          <w:rPr>
            <w:noProof/>
            <w:webHidden/>
          </w:rPr>
          <w:fldChar w:fldCharType="end"/>
        </w:r>
      </w:hyperlink>
    </w:p>
    <w:p w14:paraId="752E0BA8" w14:textId="6C9CC38A" w:rsidR="00425DE7" w:rsidRDefault="00425DE7">
      <w:pPr>
        <w:pStyle w:val="TOC3"/>
        <w:tabs>
          <w:tab w:val="right" w:leader="dot" w:pos="9350"/>
        </w:tabs>
        <w:rPr>
          <w:rFonts w:eastAsiaTheme="minorEastAsia"/>
          <w:noProof/>
          <w:sz w:val="24"/>
          <w:szCs w:val="24"/>
          <w:lang w:val="fr-FR" w:eastAsia="fr-FR"/>
        </w:rPr>
      </w:pPr>
      <w:hyperlink w:anchor="_Toc242801246" w:history="1">
        <w:r w:rsidRPr="00231040">
          <w:rPr>
            <w:rStyle w:val="Hyperlink"/>
            <w:noProof/>
            <w:lang w:val="fr-FR"/>
          </w:rPr>
          <w:t>Outils et solutions en matière de mise en œuvre et d’intégration</w:t>
        </w:r>
        <w:r>
          <w:rPr>
            <w:noProof/>
            <w:webHidden/>
          </w:rPr>
          <w:tab/>
        </w:r>
        <w:r>
          <w:rPr>
            <w:noProof/>
            <w:webHidden/>
          </w:rPr>
          <w:fldChar w:fldCharType="begin"/>
        </w:r>
        <w:r>
          <w:rPr>
            <w:noProof/>
            <w:webHidden/>
          </w:rPr>
          <w:instrText xml:space="preserve"> PAGEREF _Toc242801246 \h </w:instrText>
        </w:r>
        <w:r>
          <w:rPr>
            <w:noProof/>
            <w:webHidden/>
          </w:rPr>
        </w:r>
        <w:r>
          <w:rPr>
            <w:noProof/>
            <w:webHidden/>
          </w:rPr>
          <w:fldChar w:fldCharType="separate"/>
        </w:r>
        <w:r w:rsidR="001D1D8F">
          <w:rPr>
            <w:noProof/>
            <w:webHidden/>
          </w:rPr>
          <w:t>249</w:t>
        </w:r>
        <w:r>
          <w:rPr>
            <w:noProof/>
            <w:webHidden/>
          </w:rPr>
          <w:fldChar w:fldCharType="end"/>
        </w:r>
      </w:hyperlink>
    </w:p>
    <w:p w14:paraId="02822977" w14:textId="76C5BF85" w:rsidR="00425DE7" w:rsidRDefault="00425DE7">
      <w:pPr>
        <w:pStyle w:val="TOC4"/>
        <w:tabs>
          <w:tab w:val="right" w:leader="dot" w:pos="9350"/>
        </w:tabs>
        <w:rPr>
          <w:rFonts w:eastAsiaTheme="minorEastAsia"/>
          <w:noProof/>
          <w:sz w:val="24"/>
          <w:szCs w:val="24"/>
          <w:lang w:val="fr-FR" w:eastAsia="fr-FR"/>
        </w:rPr>
      </w:pPr>
      <w:hyperlink w:anchor="_Toc242801247" w:history="1">
        <w:r w:rsidRPr="00231040">
          <w:rPr>
            <w:rStyle w:val="Hyperlink"/>
            <w:b/>
            <w:bCs/>
            <w:noProof/>
            <w:lang w:val="fr-FR"/>
          </w:rPr>
          <w:t>Cible 14.</w:t>
        </w:r>
        <w:r w:rsidRPr="00231040">
          <w:rPr>
            <w:rStyle w:val="Hyperlink"/>
            <w:noProof/>
            <w:lang w:val="fr-FR"/>
          </w:rPr>
          <w:t xml:space="preserve"> Intégrer la biodiversité dans le processus décisionnel à tous les niveaux</w:t>
        </w:r>
        <w:r>
          <w:rPr>
            <w:noProof/>
            <w:webHidden/>
          </w:rPr>
          <w:tab/>
        </w:r>
        <w:r>
          <w:rPr>
            <w:noProof/>
            <w:webHidden/>
          </w:rPr>
          <w:fldChar w:fldCharType="begin"/>
        </w:r>
        <w:r>
          <w:rPr>
            <w:noProof/>
            <w:webHidden/>
          </w:rPr>
          <w:instrText xml:space="preserve"> PAGEREF _Toc242801247 \h </w:instrText>
        </w:r>
        <w:r>
          <w:rPr>
            <w:noProof/>
            <w:webHidden/>
          </w:rPr>
        </w:r>
        <w:r>
          <w:rPr>
            <w:noProof/>
            <w:webHidden/>
          </w:rPr>
          <w:fldChar w:fldCharType="separate"/>
        </w:r>
        <w:r w:rsidR="001D1D8F">
          <w:rPr>
            <w:noProof/>
            <w:webHidden/>
          </w:rPr>
          <w:t>249</w:t>
        </w:r>
        <w:r>
          <w:rPr>
            <w:noProof/>
            <w:webHidden/>
          </w:rPr>
          <w:fldChar w:fldCharType="end"/>
        </w:r>
      </w:hyperlink>
    </w:p>
    <w:p w14:paraId="567D7067" w14:textId="18891A50" w:rsidR="00425DE7" w:rsidRDefault="00425DE7">
      <w:pPr>
        <w:pStyle w:val="TOC4"/>
        <w:tabs>
          <w:tab w:val="right" w:leader="dot" w:pos="9350"/>
        </w:tabs>
        <w:rPr>
          <w:rFonts w:eastAsiaTheme="minorEastAsia"/>
          <w:noProof/>
          <w:sz w:val="24"/>
          <w:szCs w:val="24"/>
          <w:lang w:val="fr-FR" w:eastAsia="fr-FR"/>
        </w:rPr>
      </w:pPr>
      <w:hyperlink w:anchor="_Toc242801248" w:history="1">
        <w:r w:rsidRPr="00231040">
          <w:rPr>
            <w:rStyle w:val="Hyperlink"/>
            <w:b/>
            <w:bCs/>
            <w:noProof/>
            <w:lang w:val="fr-FR"/>
          </w:rPr>
          <w:t>Cible 15.</w:t>
        </w:r>
        <w:r w:rsidRPr="00231040">
          <w:rPr>
            <w:rStyle w:val="Hyperlink"/>
            <w:noProof/>
            <w:lang w:val="fr-FR"/>
          </w:rPr>
          <w:t xml:space="preserve"> Les entreprises évaluent, communiquent et réduisent les risques et impacts négatifs concernant la biodiversité</w:t>
        </w:r>
        <w:r>
          <w:rPr>
            <w:noProof/>
            <w:webHidden/>
          </w:rPr>
          <w:tab/>
        </w:r>
        <w:r>
          <w:rPr>
            <w:noProof/>
            <w:webHidden/>
          </w:rPr>
          <w:fldChar w:fldCharType="begin"/>
        </w:r>
        <w:r>
          <w:rPr>
            <w:noProof/>
            <w:webHidden/>
          </w:rPr>
          <w:instrText xml:space="preserve"> PAGEREF _Toc242801248 \h </w:instrText>
        </w:r>
        <w:r>
          <w:rPr>
            <w:noProof/>
            <w:webHidden/>
          </w:rPr>
        </w:r>
        <w:r>
          <w:rPr>
            <w:noProof/>
            <w:webHidden/>
          </w:rPr>
          <w:fldChar w:fldCharType="separate"/>
        </w:r>
        <w:r w:rsidR="001D1D8F">
          <w:rPr>
            <w:noProof/>
            <w:webHidden/>
          </w:rPr>
          <w:t>260</w:t>
        </w:r>
        <w:r>
          <w:rPr>
            <w:noProof/>
            <w:webHidden/>
          </w:rPr>
          <w:fldChar w:fldCharType="end"/>
        </w:r>
      </w:hyperlink>
    </w:p>
    <w:p w14:paraId="254E05C6" w14:textId="7F5E764F" w:rsidR="00425DE7" w:rsidRDefault="00425DE7">
      <w:pPr>
        <w:pStyle w:val="TOC4"/>
        <w:tabs>
          <w:tab w:val="right" w:leader="dot" w:pos="9350"/>
        </w:tabs>
        <w:rPr>
          <w:rFonts w:eastAsiaTheme="minorEastAsia"/>
          <w:noProof/>
          <w:sz w:val="24"/>
          <w:szCs w:val="24"/>
          <w:lang w:val="fr-FR" w:eastAsia="fr-FR"/>
        </w:rPr>
      </w:pPr>
      <w:hyperlink w:anchor="_Toc242801249" w:history="1">
        <w:r w:rsidRPr="00231040">
          <w:rPr>
            <w:rStyle w:val="Hyperlink"/>
            <w:b/>
            <w:bCs/>
            <w:noProof/>
            <w:lang w:val="fr-FR"/>
          </w:rPr>
          <w:t>Cible 16</w:t>
        </w:r>
        <w:r w:rsidRPr="00231040">
          <w:rPr>
            <w:rStyle w:val="Hyperlink"/>
            <w:noProof/>
            <w:lang w:val="fr-FR"/>
          </w:rPr>
          <w:t>. Favoriser des choix de consommation durables afin de réduire les déchets et la surconsommation</w:t>
        </w:r>
        <w:r>
          <w:rPr>
            <w:noProof/>
            <w:webHidden/>
          </w:rPr>
          <w:tab/>
        </w:r>
        <w:r>
          <w:rPr>
            <w:noProof/>
            <w:webHidden/>
          </w:rPr>
          <w:fldChar w:fldCharType="begin"/>
        </w:r>
        <w:r>
          <w:rPr>
            <w:noProof/>
            <w:webHidden/>
          </w:rPr>
          <w:instrText xml:space="preserve"> PAGEREF _Toc242801249 \h </w:instrText>
        </w:r>
        <w:r>
          <w:rPr>
            <w:noProof/>
            <w:webHidden/>
          </w:rPr>
        </w:r>
        <w:r>
          <w:rPr>
            <w:noProof/>
            <w:webHidden/>
          </w:rPr>
          <w:fldChar w:fldCharType="separate"/>
        </w:r>
        <w:r w:rsidR="001D1D8F">
          <w:rPr>
            <w:noProof/>
            <w:webHidden/>
          </w:rPr>
          <w:t>274</w:t>
        </w:r>
        <w:r>
          <w:rPr>
            <w:noProof/>
            <w:webHidden/>
          </w:rPr>
          <w:fldChar w:fldCharType="end"/>
        </w:r>
      </w:hyperlink>
    </w:p>
    <w:p w14:paraId="3D404C0E" w14:textId="6BC32DC5" w:rsidR="00425DE7" w:rsidRDefault="00425DE7">
      <w:pPr>
        <w:pStyle w:val="TOC4"/>
        <w:tabs>
          <w:tab w:val="right" w:leader="dot" w:pos="9350"/>
        </w:tabs>
        <w:rPr>
          <w:rFonts w:eastAsiaTheme="minorEastAsia"/>
          <w:noProof/>
          <w:sz w:val="24"/>
          <w:szCs w:val="24"/>
          <w:lang w:val="fr-FR" w:eastAsia="fr-FR"/>
        </w:rPr>
      </w:pPr>
      <w:hyperlink w:anchor="_Toc242801250" w:history="1">
        <w:r w:rsidRPr="00231040">
          <w:rPr>
            <w:rStyle w:val="Hyperlink"/>
            <w:b/>
            <w:bCs/>
            <w:noProof/>
            <w:lang w:val="fr-FR"/>
          </w:rPr>
          <w:t>Cible 17.</w:t>
        </w:r>
        <w:r w:rsidRPr="00231040">
          <w:rPr>
            <w:rStyle w:val="Hyperlink"/>
            <w:noProof/>
            <w:lang w:val="fr-FR"/>
          </w:rPr>
          <w:t xml:space="preserve"> Renforcer la prévention des risques biotechnologiques et partager les avantages découlant des biotechnologies</w:t>
        </w:r>
        <w:r>
          <w:rPr>
            <w:noProof/>
            <w:webHidden/>
          </w:rPr>
          <w:tab/>
        </w:r>
        <w:r>
          <w:rPr>
            <w:noProof/>
            <w:webHidden/>
          </w:rPr>
          <w:fldChar w:fldCharType="begin"/>
        </w:r>
        <w:r>
          <w:rPr>
            <w:noProof/>
            <w:webHidden/>
          </w:rPr>
          <w:instrText xml:space="preserve"> PAGEREF _Toc242801250 \h </w:instrText>
        </w:r>
        <w:r>
          <w:rPr>
            <w:noProof/>
            <w:webHidden/>
          </w:rPr>
        </w:r>
        <w:r>
          <w:rPr>
            <w:noProof/>
            <w:webHidden/>
          </w:rPr>
          <w:fldChar w:fldCharType="separate"/>
        </w:r>
        <w:r w:rsidR="001D1D8F">
          <w:rPr>
            <w:noProof/>
            <w:webHidden/>
          </w:rPr>
          <w:t>286</w:t>
        </w:r>
        <w:r>
          <w:rPr>
            <w:noProof/>
            <w:webHidden/>
          </w:rPr>
          <w:fldChar w:fldCharType="end"/>
        </w:r>
      </w:hyperlink>
    </w:p>
    <w:p w14:paraId="66B287BB" w14:textId="0BF55564" w:rsidR="00425DE7" w:rsidRDefault="00425DE7">
      <w:pPr>
        <w:pStyle w:val="TOC4"/>
        <w:tabs>
          <w:tab w:val="right" w:leader="dot" w:pos="9350"/>
        </w:tabs>
        <w:rPr>
          <w:rFonts w:eastAsiaTheme="minorEastAsia"/>
          <w:noProof/>
          <w:sz w:val="24"/>
          <w:szCs w:val="24"/>
          <w:lang w:val="fr-FR" w:eastAsia="fr-FR"/>
        </w:rPr>
      </w:pPr>
      <w:hyperlink w:anchor="_Toc242801251" w:history="1">
        <w:r w:rsidRPr="00231040">
          <w:rPr>
            <w:rStyle w:val="Hyperlink"/>
            <w:b/>
            <w:bCs/>
            <w:noProof/>
            <w:lang w:val="fr-FR"/>
          </w:rPr>
          <w:t>Cible 18.</w:t>
        </w:r>
        <w:r w:rsidRPr="00231040">
          <w:rPr>
            <w:rStyle w:val="Hyperlink"/>
            <w:noProof/>
            <w:lang w:val="fr-FR"/>
          </w:rPr>
          <w:t xml:space="preserve"> Réduire les subventions préjudiciables d’au moins 500 milliards de dollars des États-Unis par an, et renforcer les incitations positives en faveur de la biodiversité</w:t>
        </w:r>
        <w:r>
          <w:rPr>
            <w:noProof/>
            <w:webHidden/>
          </w:rPr>
          <w:tab/>
        </w:r>
        <w:r>
          <w:rPr>
            <w:noProof/>
            <w:webHidden/>
          </w:rPr>
          <w:fldChar w:fldCharType="begin"/>
        </w:r>
        <w:r>
          <w:rPr>
            <w:noProof/>
            <w:webHidden/>
          </w:rPr>
          <w:instrText xml:space="preserve"> PAGEREF _Toc242801251 \h </w:instrText>
        </w:r>
        <w:r>
          <w:rPr>
            <w:noProof/>
            <w:webHidden/>
          </w:rPr>
        </w:r>
        <w:r>
          <w:rPr>
            <w:noProof/>
            <w:webHidden/>
          </w:rPr>
          <w:fldChar w:fldCharType="separate"/>
        </w:r>
        <w:r w:rsidR="001D1D8F">
          <w:rPr>
            <w:noProof/>
            <w:webHidden/>
          </w:rPr>
          <w:t>297</w:t>
        </w:r>
        <w:r>
          <w:rPr>
            <w:noProof/>
            <w:webHidden/>
          </w:rPr>
          <w:fldChar w:fldCharType="end"/>
        </w:r>
      </w:hyperlink>
    </w:p>
    <w:p w14:paraId="6A0DF82F" w14:textId="7DCEA96E" w:rsidR="00425DE7" w:rsidRDefault="00425DE7">
      <w:pPr>
        <w:pStyle w:val="TOC4"/>
        <w:tabs>
          <w:tab w:val="right" w:leader="dot" w:pos="9350"/>
        </w:tabs>
        <w:rPr>
          <w:rFonts w:eastAsiaTheme="minorEastAsia"/>
          <w:noProof/>
          <w:sz w:val="24"/>
          <w:szCs w:val="24"/>
          <w:lang w:val="fr-FR" w:eastAsia="fr-FR"/>
        </w:rPr>
      </w:pPr>
      <w:hyperlink w:anchor="_Toc242801252" w:history="1">
        <w:r w:rsidRPr="00231040">
          <w:rPr>
            <w:rStyle w:val="Hyperlink"/>
            <w:b/>
            <w:bCs/>
            <w:noProof/>
            <w:lang w:val="fr-FR"/>
          </w:rPr>
          <w:t xml:space="preserve">Cible 19. </w:t>
        </w:r>
        <w:r w:rsidRPr="00231040">
          <w:rPr>
            <w:rStyle w:val="Hyperlink"/>
            <w:noProof/>
            <w:lang w:val="fr-FR"/>
          </w:rPr>
          <w:t>Mobiliser 200 milliards de dollars des États-Unis par an pour la biodiversité, toutes sources confondues, dont 30 milliards de dollars des États-Unis provenant du financement international</w:t>
        </w:r>
        <w:r>
          <w:rPr>
            <w:noProof/>
            <w:webHidden/>
          </w:rPr>
          <w:tab/>
        </w:r>
        <w:r>
          <w:rPr>
            <w:noProof/>
            <w:webHidden/>
          </w:rPr>
          <w:fldChar w:fldCharType="begin"/>
        </w:r>
        <w:r>
          <w:rPr>
            <w:noProof/>
            <w:webHidden/>
          </w:rPr>
          <w:instrText xml:space="preserve"> PAGEREF _Toc242801252 \h </w:instrText>
        </w:r>
        <w:r>
          <w:rPr>
            <w:noProof/>
            <w:webHidden/>
          </w:rPr>
        </w:r>
        <w:r>
          <w:rPr>
            <w:noProof/>
            <w:webHidden/>
          </w:rPr>
          <w:fldChar w:fldCharType="separate"/>
        </w:r>
        <w:r w:rsidR="001D1D8F">
          <w:rPr>
            <w:noProof/>
            <w:webHidden/>
          </w:rPr>
          <w:t>310</w:t>
        </w:r>
        <w:r>
          <w:rPr>
            <w:noProof/>
            <w:webHidden/>
          </w:rPr>
          <w:fldChar w:fldCharType="end"/>
        </w:r>
      </w:hyperlink>
    </w:p>
    <w:p w14:paraId="34F70874" w14:textId="42C661A2" w:rsidR="00425DE7" w:rsidRDefault="00425DE7">
      <w:pPr>
        <w:pStyle w:val="TOC4"/>
        <w:tabs>
          <w:tab w:val="right" w:leader="dot" w:pos="9350"/>
        </w:tabs>
        <w:rPr>
          <w:rFonts w:eastAsiaTheme="minorEastAsia"/>
          <w:noProof/>
          <w:sz w:val="24"/>
          <w:szCs w:val="24"/>
          <w:lang w:val="fr-FR" w:eastAsia="fr-FR"/>
        </w:rPr>
      </w:pPr>
      <w:hyperlink w:anchor="_Toc242801253" w:history="1">
        <w:r w:rsidRPr="00231040">
          <w:rPr>
            <w:rStyle w:val="Hyperlink"/>
            <w:b/>
            <w:bCs/>
            <w:noProof/>
            <w:lang w:val="fr-FR"/>
          </w:rPr>
          <w:t>Cible 20.</w:t>
        </w:r>
        <w:r w:rsidRPr="00231040">
          <w:rPr>
            <w:rStyle w:val="Hyperlink"/>
            <w:noProof/>
            <w:lang w:val="fr-FR"/>
          </w:rPr>
          <w:t xml:space="preserve"> Renforcer la création de capacités, accroître le transfert de technologies et la coopération scientifique et technique pour la biodiversité</w:t>
        </w:r>
        <w:r>
          <w:rPr>
            <w:noProof/>
            <w:webHidden/>
          </w:rPr>
          <w:tab/>
        </w:r>
        <w:r>
          <w:rPr>
            <w:noProof/>
            <w:webHidden/>
          </w:rPr>
          <w:fldChar w:fldCharType="begin"/>
        </w:r>
        <w:r>
          <w:rPr>
            <w:noProof/>
            <w:webHidden/>
          </w:rPr>
          <w:instrText xml:space="preserve"> PAGEREF _Toc242801253 \h </w:instrText>
        </w:r>
        <w:r>
          <w:rPr>
            <w:noProof/>
            <w:webHidden/>
          </w:rPr>
        </w:r>
        <w:r>
          <w:rPr>
            <w:noProof/>
            <w:webHidden/>
          </w:rPr>
          <w:fldChar w:fldCharType="separate"/>
        </w:r>
        <w:r w:rsidR="001D1D8F">
          <w:rPr>
            <w:noProof/>
            <w:webHidden/>
          </w:rPr>
          <w:t>327</w:t>
        </w:r>
        <w:r>
          <w:rPr>
            <w:noProof/>
            <w:webHidden/>
          </w:rPr>
          <w:fldChar w:fldCharType="end"/>
        </w:r>
      </w:hyperlink>
    </w:p>
    <w:p w14:paraId="040C1AC4" w14:textId="3C95230B" w:rsidR="00425DE7" w:rsidRDefault="00425DE7">
      <w:pPr>
        <w:pStyle w:val="TOC4"/>
        <w:tabs>
          <w:tab w:val="right" w:leader="dot" w:pos="9350"/>
        </w:tabs>
        <w:rPr>
          <w:rFonts w:eastAsiaTheme="minorEastAsia"/>
          <w:noProof/>
          <w:sz w:val="24"/>
          <w:szCs w:val="24"/>
          <w:lang w:val="fr-FR" w:eastAsia="fr-FR"/>
        </w:rPr>
      </w:pPr>
      <w:hyperlink w:anchor="_Toc242801254" w:history="1">
        <w:r w:rsidRPr="00231040">
          <w:rPr>
            <w:rStyle w:val="Hyperlink"/>
            <w:b/>
            <w:bCs/>
            <w:noProof/>
            <w:lang w:val="fr-FR"/>
          </w:rPr>
          <w:t>Cible 21.</w:t>
        </w:r>
        <w:r w:rsidRPr="00231040">
          <w:rPr>
            <w:rStyle w:val="Hyperlink"/>
            <w:noProof/>
            <w:lang w:val="fr-FR"/>
          </w:rPr>
          <w:t xml:space="preserve"> Veiller à ce que les connaissances soient disponibles et accessibles pour orienter les actions à mener en faveur de la biodiversité</w:t>
        </w:r>
        <w:r>
          <w:rPr>
            <w:noProof/>
            <w:webHidden/>
          </w:rPr>
          <w:tab/>
        </w:r>
        <w:r>
          <w:rPr>
            <w:noProof/>
            <w:webHidden/>
          </w:rPr>
          <w:fldChar w:fldCharType="begin"/>
        </w:r>
        <w:r>
          <w:rPr>
            <w:noProof/>
            <w:webHidden/>
          </w:rPr>
          <w:instrText xml:space="preserve"> PAGEREF _Toc242801254 \h </w:instrText>
        </w:r>
        <w:r>
          <w:rPr>
            <w:noProof/>
            <w:webHidden/>
          </w:rPr>
        </w:r>
        <w:r>
          <w:rPr>
            <w:noProof/>
            <w:webHidden/>
          </w:rPr>
          <w:fldChar w:fldCharType="separate"/>
        </w:r>
        <w:r w:rsidR="001D1D8F">
          <w:rPr>
            <w:noProof/>
            <w:webHidden/>
          </w:rPr>
          <w:t>338</w:t>
        </w:r>
        <w:r>
          <w:rPr>
            <w:noProof/>
            <w:webHidden/>
          </w:rPr>
          <w:fldChar w:fldCharType="end"/>
        </w:r>
      </w:hyperlink>
    </w:p>
    <w:p w14:paraId="5F6B95C3" w14:textId="5D8B54D0" w:rsidR="00425DE7" w:rsidRDefault="00425DE7">
      <w:pPr>
        <w:pStyle w:val="TOC4"/>
        <w:tabs>
          <w:tab w:val="right" w:leader="dot" w:pos="9350"/>
        </w:tabs>
        <w:rPr>
          <w:rFonts w:eastAsiaTheme="minorEastAsia"/>
          <w:noProof/>
          <w:sz w:val="24"/>
          <w:szCs w:val="24"/>
          <w:lang w:val="fr-FR" w:eastAsia="fr-FR"/>
        </w:rPr>
      </w:pPr>
      <w:hyperlink w:anchor="_Toc242801255" w:history="1">
        <w:r w:rsidRPr="00231040">
          <w:rPr>
            <w:rStyle w:val="Hyperlink"/>
            <w:b/>
            <w:bCs/>
            <w:noProof/>
            <w:lang w:val="fr-FR"/>
          </w:rPr>
          <w:t>Cible 22.</w:t>
        </w:r>
        <w:r w:rsidRPr="00231040">
          <w:rPr>
            <w:rStyle w:val="Hyperlink"/>
            <w:noProof/>
            <w:lang w:val="fr-FR"/>
          </w:rPr>
          <w:t xml:space="preserve"> Assurer la participation aux processus décisionnels et l’accès à la justice et aux informations relatives à la biodiversité pour tous</w:t>
        </w:r>
        <w:r>
          <w:rPr>
            <w:noProof/>
            <w:webHidden/>
          </w:rPr>
          <w:tab/>
        </w:r>
        <w:r>
          <w:rPr>
            <w:noProof/>
            <w:webHidden/>
          </w:rPr>
          <w:fldChar w:fldCharType="begin"/>
        </w:r>
        <w:r>
          <w:rPr>
            <w:noProof/>
            <w:webHidden/>
          </w:rPr>
          <w:instrText xml:space="preserve"> PAGEREF _Toc242801255 \h </w:instrText>
        </w:r>
        <w:r>
          <w:rPr>
            <w:noProof/>
            <w:webHidden/>
          </w:rPr>
        </w:r>
        <w:r>
          <w:rPr>
            <w:noProof/>
            <w:webHidden/>
          </w:rPr>
          <w:fldChar w:fldCharType="separate"/>
        </w:r>
        <w:r w:rsidR="001D1D8F">
          <w:rPr>
            <w:noProof/>
            <w:webHidden/>
          </w:rPr>
          <w:t>351</w:t>
        </w:r>
        <w:r>
          <w:rPr>
            <w:noProof/>
            <w:webHidden/>
          </w:rPr>
          <w:fldChar w:fldCharType="end"/>
        </w:r>
      </w:hyperlink>
    </w:p>
    <w:p w14:paraId="3D5D3B66" w14:textId="7ED67F5D" w:rsidR="00425DE7" w:rsidRDefault="00425DE7">
      <w:pPr>
        <w:pStyle w:val="TOC4"/>
        <w:tabs>
          <w:tab w:val="right" w:leader="dot" w:pos="9350"/>
        </w:tabs>
        <w:rPr>
          <w:rFonts w:eastAsiaTheme="minorEastAsia"/>
          <w:noProof/>
          <w:sz w:val="24"/>
          <w:szCs w:val="24"/>
          <w:lang w:val="fr-FR" w:eastAsia="fr-FR"/>
        </w:rPr>
      </w:pPr>
      <w:hyperlink w:anchor="_Toc242801256" w:history="1">
        <w:r w:rsidRPr="00231040">
          <w:rPr>
            <w:rStyle w:val="Hyperlink"/>
            <w:b/>
            <w:bCs/>
            <w:noProof/>
            <w:lang w:val="fr-FR"/>
          </w:rPr>
          <w:t xml:space="preserve">Cible 23. </w:t>
        </w:r>
        <w:r w:rsidRPr="00231040">
          <w:rPr>
            <w:rStyle w:val="Hyperlink"/>
            <w:noProof/>
            <w:lang w:val="fr-FR"/>
          </w:rPr>
          <w:t>Assurer l’égalité des genres et une approche tenant compte du genre dans l’action en faveur de la biodiversité</w:t>
        </w:r>
        <w:r>
          <w:rPr>
            <w:noProof/>
            <w:webHidden/>
          </w:rPr>
          <w:tab/>
        </w:r>
        <w:r>
          <w:rPr>
            <w:noProof/>
            <w:webHidden/>
          </w:rPr>
          <w:fldChar w:fldCharType="begin"/>
        </w:r>
        <w:r>
          <w:rPr>
            <w:noProof/>
            <w:webHidden/>
          </w:rPr>
          <w:instrText xml:space="preserve"> PAGEREF _Toc242801256 \h </w:instrText>
        </w:r>
        <w:r>
          <w:rPr>
            <w:noProof/>
            <w:webHidden/>
          </w:rPr>
        </w:r>
        <w:r>
          <w:rPr>
            <w:noProof/>
            <w:webHidden/>
          </w:rPr>
          <w:fldChar w:fldCharType="separate"/>
        </w:r>
        <w:r w:rsidR="001D1D8F">
          <w:rPr>
            <w:noProof/>
            <w:webHidden/>
          </w:rPr>
          <w:t>365</w:t>
        </w:r>
        <w:r>
          <w:rPr>
            <w:noProof/>
            <w:webHidden/>
          </w:rPr>
          <w:fldChar w:fldCharType="end"/>
        </w:r>
      </w:hyperlink>
    </w:p>
    <w:p w14:paraId="3CBC7E90" w14:textId="2332AD3C" w:rsidR="00425DE7" w:rsidRDefault="00425DE7">
      <w:pPr>
        <w:pStyle w:val="TOC2"/>
        <w:tabs>
          <w:tab w:val="right" w:leader="dot" w:pos="9350"/>
        </w:tabs>
        <w:rPr>
          <w:rFonts w:eastAsiaTheme="minorEastAsia"/>
          <w:b w:val="0"/>
          <w:bCs w:val="0"/>
          <w:noProof/>
          <w:sz w:val="24"/>
          <w:szCs w:val="24"/>
          <w:lang w:val="fr-FR" w:eastAsia="fr-FR"/>
        </w:rPr>
      </w:pPr>
      <w:hyperlink w:anchor="_Toc242801257" w:history="1">
        <w:r w:rsidRPr="00231040">
          <w:rPr>
            <w:rStyle w:val="Hyperlink"/>
            <w:noProof/>
            <w:lang w:val="fr-FR"/>
          </w:rPr>
          <w:t>II.C Progrès collectifs accomplis vers la réalisation des objectifs à l’horizon 2050</w:t>
        </w:r>
        <w:r>
          <w:rPr>
            <w:noProof/>
            <w:webHidden/>
          </w:rPr>
          <w:tab/>
        </w:r>
        <w:r>
          <w:rPr>
            <w:noProof/>
            <w:webHidden/>
          </w:rPr>
          <w:fldChar w:fldCharType="begin"/>
        </w:r>
        <w:r>
          <w:rPr>
            <w:noProof/>
            <w:webHidden/>
          </w:rPr>
          <w:instrText xml:space="preserve"> PAGEREF _Toc242801257 \h </w:instrText>
        </w:r>
        <w:r>
          <w:rPr>
            <w:noProof/>
            <w:webHidden/>
          </w:rPr>
        </w:r>
        <w:r>
          <w:rPr>
            <w:noProof/>
            <w:webHidden/>
          </w:rPr>
          <w:fldChar w:fldCharType="separate"/>
        </w:r>
        <w:r w:rsidR="001D1D8F">
          <w:rPr>
            <w:noProof/>
            <w:webHidden/>
          </w:rPr>
          <w:t>377</w:t>
        </w:r>
        <w:r>
          <w:rPr>
            <w:noProof/>
            <w:webHidden/>
          </w:rPr>
          <w:fldChar w:fldCharType="end"/>
        </w:r>
      </w:hyperlink>
    </w:p>
    <w:p w14:paraId="2650313B" w14:textId="49FDCE63" w:rsidR="00425DE7" w:rsidRDefault="00425DE7">
      <w:pPr>
        <w:pStyle w:val="TOC4"/>
        <w:tabs>
          <w:tab w:val="right" w:leader="dot" w:pos="9350"/>
        </w:tabs>
        <w:rPr>
          <w:rFonts w:eastAsiaTheme="minorEastAsia"/>
          <w:noProof/>
          <w:sz w:val="24"/>
          <w:szCs w:val="24"/>
          <w:lang w:val="fr-FR" w:eastAsia="fr-FR"/>
        </w:rPr>
      </w:pPr>
      <w:hyperlink w:anchor="_Toc242801258" w:history="1">
        <w:r w:rsidRPr="00231040">
          <w:rPr>
            <w:rStyle w:val="Hyperlink"/>
            <w:rFonts w:ascii="Aptos" w:hAnsi="Aptos" w:cs="Aptos"/>
            <w:b/>
            <w:bCs/>
            <w:noProof/>
            <w:lang w:val="fr-FR"/>
          </w:rPr>
          <w:t>Objectif A.</w:t>
        </w:r>
        <w:r w:rsidRPr="00231040">
          <w:rPr>
            <w:rStyle w:val="Hyperlink"/>
            <w:rFonts w:ascii="Aptos" w:hAnsi="Aptos" w:cs="Aptos"/>
            <w:noProof/>
            <w:lang w:val="fr-FR"/>
          </w:rPr>
          <w:t xml:space="preserve"> Préserver et rétablir</w:t>
        </w:r>
        <w:r>
          <w:rPr>
            <w:noProof/>
            <w:webHidden/>
          </w:rPr>
          <w:tab/>
        </w:r>
        <w:r>
          <w:rPr>
            <w:noProof/>
            <w:webHidden/>
          </w:rPr>
          <w:fldChar w:fldCharType="begin"/>
        </w:r>
        <w:r>
          <w:rPr>
            <w:noProof/>
            <w:webHidden/>
          </w:rPr>
          <w:instrText xml:space="preserve"> PAGEREF _Toc242801258 \h </w:instrText>
        </w:r>
        <w:r>
          <w:rPr>
            <w:noProof/>
            <w:webHidden/>
          </w:rPr>
        </w:r>
        <w:r>
          <w:rPr>
            <w:noProof/>
            <w:webHidden/>
          </w:rPr>
          <w:fldChar w:fldCharType="separate"/>
        </w:r>
        <w:r w:rsidR="001D1D8F">
          <w:rPr>
            <w:noProof/>
            <w:webHidden/>
          </w:rPr>
          <w:t>380</w:t>
        </w:r>
        <w:r>
          <w:rPr>
            <w:noProof/>
            <w:webHidden/>
          </w:rPr>
          <w:fldChar w:fldCharType="end"/>
        </w:r>
      </w:hyperlink>
    </w:p>
    <w:p w14:paraId="6D7D72E2" w14:textId="3A07333A" w:rsidR="00425DE7" w:rsidRDefault="00425DE7">
      <w:pPr>
        <w:pStyle w:val="TOC4"/>
        <w:tabs>
          <w:tab w:val="right" w:leader="dot" w:pos="9350"/>
        </w:tabs>
        <w:rPr>
          <w:rFonts w:eastAsiaTheme="minorEastAsia"/>
          <w:noProof/>
          <w:sz w:val="24"/>
          <w:szCs w:val="24"/>
          <w:lang w:val="fr-FR" w:eastAsia="fr-FR"/>
        </w:rPr>
      </w:pPr>
      <w:hyperlink w:anchor="_Toc242801259" w:history="1">
        <w:r w:rsidRPr="00231040">
          <w:rPr>
            <w:rStyle w:val="Hyperlink"/>
            <w:b/>
            <w:bCs/>
            <w:noProof/>
            <w:lang w:val="fr-FR"/>
          </w:rPr>
          <w:t xml:space="preserve">Objectif B. </w:t>
        </w:r>
        <w:r w:rsidRPr="00231040">
          <w:rPr>
            <w:rStyle w:val="Hyperlink"/>
            <w:noProof/>
            <w:lang w:val="fr-FR"/>
          </w:rPr>
          <w:t>Prospérer avec la nature</w:t>
        </w:r>
        <w:r>
          <w:rPr>
            <w:noProof/>
            <w:webHidden/>
          </w:rPr>
          <w:tab/>
        </w:r>
        <w:r>
          <w:rPr>
            <w:noProof/>
            <w:webHidden/>
          </w:rPr>
          <w:fldChar w:fldCharType="begin"/>
        </w:r>
        <w:r>
          <w:rPr>
            <w:noProof/>
            <w:webHidden/>
          </w:rPr>
          <w:instrText xml:space="preserve"> PAGEREF _Toc242801259 \h </w:instrText>
        </w:r>
        <w:r>
          <w:rPr>
            <w:noProof/>
            <w:webHidden/>
          </w:rPr>
        </w:r>
        <w:r>
          <w:rPr>
            <w:noProof/>
            <w:webHidden/>
          </w:rPr>
          <w:fldChar w:fldCharType="separate"/>
        </w:r>
        <w:r w:rsidR="001D1D8F">
          <w:rPr>
            <w:noProof/>
            <w:webHidden/>
          </w:rPr>
          <w:t>390</w:t>
        </w:r>
        <w:r>
          <w:rPr>
            <w:noProof/>
            <w:webHidden/>
          </w:rPr>
          <w:fldChar w:fldCharType="end"/>
        </w:r>
      </w:hyperlink>
    </w:p>
    <w:p w14:paraId="00AD28C3" w14:textId="101ADCD9" w:rsidR="00425DE7" w:rsidRDefault="00425DE7">
      <w:pPr>
        <w:pStyle w:val="TOC4"/>
        <w:tabs>
          <w:tab w:val="right" w:leader="dot" w:pos="9350"/>
        </w:tabs>
        <w:rPr>
          <w:rFonts w:eastAsiaTheme="minorEastAsia"/>
          <w:noProof/>
          <w:sz w:val="24"/>
          <w:szCs w:val="24"/>
          <w:lang w:val="fr-FR" w:eastAsia="fr-FR"/>
        </w:rPr>
      </w:pPr>
      <w:hyperlink w:anchor="_Toc242801260" w:history="1">
        <w:r w:rsidRPr="00231040">
          <w:rPr>
            <w:rStyle w:val="Hyperlink"/>
            <w:b/>
            <w:bCs/>
            <w:noProof/>
            <w:lang w:val="fr-FR"/>
          </w:rPr>
          <w:t xml:space="preserve">Objectif C. </w:t>
        </w:r>
        <w:r w:rsidRPr="00231040">
          <w:rPr>
            <w:rStyle w:val="Hyperlink"/>
            <w:rFonts w:ascii="Aptos" w:hAnsi="Aptos" w:cs="Aptos"/>
            <w:noProof/>
            <w:lang w:val="fr-FR"/>
          </w:rPr>
          <w:t xml:space="preserve">Partager de manière juste les avantages découlant </w:t>
        </w:r>
        <w:r w:rsidRPr="00231040">
          <w:rPr>
            <w:rStyle w:val="Hyperlink"/>
            <w:rFonts w:ascii="Aptos" w:hAnsi="Aptos" w:cs="Aptos"/>
            <w:noProof/>
            <w:spacing w:val="6"/>
            <w:shd w:val="clear" w:color="auto" w:fill="FFFFFF"/>
            <w:lang w:val="fr-FR"/>
          </w:rPr>
          <w:t xml:space="preserve">de l’utilisation </w:t>
        </w:r>
        <w:r w:rsidRPr="00231040">
          <w:rPr>
            <w:rStyle w:val="Hyperlink"/>
            <w:rFonts w:ascii="Aptos" w:hAnsi="Aptos" w:cs="Aptos"/>
            <w:noProof/>
            <w:lang w:val="fr-FR"/>
          </w:rPr>
          <w:t>des ressources génétiques</w:t>
        </w:r>
        <w:r>
          <w:rPr>
            <w:noProof/>
            <w:webHidden/>
          </w:rPr>
          <w:tab/>
        </w:r>
        <w:r>
          <w:rPr>
            <w:noProof/>
            <w:webHidden/>
          </w:rPr>
          <w:fldChar w:fldCharType="begin"/>
        </w:r>
        <w:r>
          <w:rPr>
            <w:noProof/>
            <w:webHidden/>
          </w:rPr>
          <w:instrText xml:space="preserve"> PAGEREF _Toc242801260 \h </w:instrText>
        </w:r>
        <w:r>
          <w:rPr>
            <w:noProof/>
            <w:webHidden/>
          </w:rPr>
        </w:r>
        <w:r>
          <w:rPr>
            <w:noProof/>
            <w:webHidden/>
          </w:rPr>
          <w:fldChar w:fldCharType="separate"/>
        </w:r>
        <w:r w:rsidR="001D1D8F">
          <w:rPr>
            <w:noProof/>
            <w:webHidden/>
          </w:rPr>
          <w:t>397</w:t>
        </w:r>
        <w:r>
          <w:rPr>
            <w:noProof/>
            <w:webHidden/>
          </w:rPr>
          <w:fldChar w:fldCharType="end"/>
        </w:r>
      </w:hyperlink>
    </w:p>
    <w:p w14:paraId="0E01809B" w14:textId="4F8C4E88" w:rsidR="00425DE7" w:rsidRDefault="00425DE7">
      <w:pPr>
        <w:pStyle w:val="TOC4"/>
        <w:tabs>
          <w:tab w:val="right" w:leader="dot" w:pos="9350"/>
        </w:tabs>
        <w:rPr>
          <w:rFonts w:eastAsiaTheme="minorEastAsia"/>
          <w:noProof/>
          <w:sz w:val="24"/>
          <w:szCs w:val="24"/>
          <w:lang w:val="fr-FR" w:eastAsia="fr-FR"/>
        </w:rPr>
      </w:pPr>
      <w:hyperlink w:anchor="_Toc242801261" w:history="1">
        <w:r w:rsidRPr="00231040">
          <w:rPr>
            <w:rStyle w:val="Hyperlink"/>
            <w:b/>
            <w:bCs/>
            <w:noProof/>
            <w:lang w:val="fr-FR"/>
          </w:rPr>
          <w:t>Objectif D.</w:t>
        </w:r>
        <w:r w:rsidRPr="00231040">
          <w:rPr>
            <w:rStyle w:val="Hyperlink"/>
            <w:noProof/>
            <w:lang w:val="fr-FR"/>
          </w:rPr>
          <w:t xml:space="preserve"> Investir et collaborer</w:t>
        </w:r>
        <w:r>
          <w:rPr>
            <w:noProof/>
            <w:webHidden/>
          </w:rPr>
          <w:tab/>
        </w:r>
        <w:r>
          <w:rPr>
            <w:noProof/>
            <w:webHidden/>
          </w:rPr>
          <w:fldChar w:fldCharType="begin"/>
        </w:r>
        <w:r>
          <w:rPr>
            <w:noProof/>
            <w:webHidden/>
          </w:rPr>
          <w:instrText xml:space="preserve"> PAGEREF _Toc242801261 \h </w:instrText>
        </w:r>
        <w:r>
          <w:rPr>
            <w:noProof/>
            <w:webHidden/>
          </w:rPr>
        </w:r>
        <w:r>
          <w:rPr>
            <w:noProof/>
            <w:webHidden/>
          </w:rPr>
          <w:fldChar w:fldCharType="separate"/>
        </w:r>
        <w:r w:rsidR="001D1D8F">
          <w:rPr>
            <w:noProof/>
            <w:webHidden/>
          </w:rPr>
          <w:t>403</w:t>
        </w:r>
        <w:r>
          <w:rPr>
            <w:noProof/>
            <w:webHidden/>
          </w:rPr>
          <w:fldChar w:fldCharType="end"/>
        </w:r>
      </w:hyperlink>
    </w:p>
    <w:p w14:paraId="6AAF83E3" w14:textId="24840EB6" w:rsidR="00425DE7" w:rsidRDefault="00425DE7">
      <w:pPr>
        <w:pStyle w:val="TOC2"/>
        <w:tabs>
          <w:tab w:val="right" w:leader="dot" w:pos="9350"/>
        </w:tabs>
        <w:rPr>
          <w:rFonts w:eastAsiaTheme="minorEastAsia"/>
          <w:b w:val="0"/>
          <w:bCs w:val="0"/>
          <w:noProof/>
          <w:sz w:val="24"/>
          <w:szCs w:val="24"/>
          <w:lang w:val="fr-FR" w:eastAsia="fr-FR"/>
        </w:rPr>
      </w:pPr>
      <w:hyperlink w:anchor="_Toc242801262" w:history="1">
        <w:r w:rsidRPr="00231040">
          <w:rPr>
            <w:rStyle w:val="Hyperlink"/>
            <w:noProof/>
            <w:lang w:val="fr-FR"/>
          </w:rPr>
          <w:t>II.D Fourniture des moyens de mise en œuvre</w:t>
        </w:r>
        <w:r>
          <w:rPr>
            <w:noProof/>
            <w:webHidden/>
          </w:rPr>
          <w:tab/>
        </w:r>
        <w:r>
          <w:rPr>
            <w:noProof/>
            <w:webHidden/>
          </w:rPr>
          <w:fldChar w:fldCharType="begin"/>
        </w:r>
        <w:r>
          <w:rPr>
            <w:noProof/>
            <w:webHidden/>
          </w:rPr>
          <w:instrText xml:space="preserve"> PAGEREF _Toc242801262 \h </w:instrText>
        </w:r>
        <w:r>
          <w:rPr>
            <w:noProof/>
            <w:webHidden/>
          </w:rPr>
        </w:r>
        <w:r>
          <w:rPr>
            <w:noProof/>
            <w:webHidden/>
          </w:rPr>
          <w:fldChar w:fldCharType="separate"/>
        </w:r>
        <w:r w:rsidR="001D1D8F">
          <w:rPr>
            <w:noProof/>
            <w:webHidden/>
          </w:rPr>
          <w:t>409</w:t>
        </w:r>
        <w:r>
          <w:rPr>
            <w:noProof/>
            <w:webHidden/>
          </w:rPr>
          <w:fldChar w:fldCharType="end"/>
        </w:r>
      </w:hyperlink>
    </w:p>
    <w:p w14:paraId="6A638F0A" w14:textId="07AEDD56" w:rsidR="00425DE7" w:rsidRDefault="00425DE7">
      <w:pPr>
        <w:pStyle w:val="TOC3"/>
        <w:tabs>
          <w:tab w:val="right" w:leader="dot" w:pos="9350"/>
        </w:tabs>
        <w:rPr>
          <w:rFonts w:eastAsiaTheme="minorEastAsia"/>
          <w:noProof/>
          <w:sz w:val="24"/>
          <w:szCs w:val="24"/>
          <w:lang w:val="fr-FR" w:eastAsia="fr-FR"/>
        </w:rPr>
      </w:pPr>
      <w:hyperlink w:anchor="_Toc242801263" w:history="1">
        <w:r w:rsidRPr="00231040">
          <w:rPr>
            <w:rStyle w:val="Hyperlink"/>
            <w:noProof/>
            <w:lang w:val="fr-FR"/>
          </w:rPr>
          <w:t>Introduction</w:t>
        </w:r>
        <w:r>
          <w:rPr>
            <w:noProof/>
            <w:webHidden/>
          </w:rPr>
          <w:tab/>
        </w:r>
        <w:r>
          <w:rPr>
            <w:noProof/>
            <w:webHidden/>
          </w:rPr>
          <w:fldChar w:fldCharType="begin"/>
        </w:r>
        <w:r>
          <w:rPr>
            <w:noProof/>
            <w:webHidden/>
          </w:rPr>
          <w:instrText xml:space="preserve"> PAGEREF _Toc242801263 \h </w:instrText>
        </w:r>
        <w:r>
          <w:rPr>
            <w:noProof/>
            <w:webHidden/>
          </w:rPr>
        </w:r>
        <w:r>
          <w:rPr>
            <w:noProof/>
            <w:webHidden/>
          </w:rPr>
          <w:fldChar w:fldCharType="separate"/>
        </w:r>
        <w:r w:rsidR="001D1D8F">
          <w:rPr>
            <w:noProof/>
            <w:webHidden/>
          </w:rPr>
          <w:t>409</w:t>
        </w:r>
        <w:r>
          <w:rPr>
            <w:noProof/>
            <w:webHidden/>
          </w:rPr>
          <w:fldChar w:fldCharType="end"/>
        </w:r>
      </w:hyperlink>
    </w:p>
    <w:p w14:paraId="087366A0" w14:textId="4603D24E" w:rsidR="00425DE7" w:rsidRDefault="00425DE7">
      <w:pPr>
        <w:pStyle w:val="TOC3"/>
        <w:tabs>
          <w:tab w:val="right" w:leader="dot" w:pos="9350"/>
        </w:tabs>
        <w:rPr>
          <w:rFonts w:eastAsiaTheme="minorEastAsia"/>
          <w:noProof/>
          <w:sz w:val="24"/>
          <w:szCs w:val="24"/>
          <w:lang w:val="fr-FR" w:eastAsia="fr-FR"/>
        </w:rPr>
      </w:pPr>
      <w:hyperlink w:anchor="_Toc242801264" w:history="1">
        <w:r w:rsidRPr="00231040">
          <w:rPr>
            <w:rStyle w:val="Hyperlink"/>
            <w:rFonts w:eastAsia="Times New Roman"/>
            <w:noProof/>
            <w:lang w:val="fr-FR"/>
          </w:rPr>
          <w:t>Analyse des besoins</w:t>
        </w:r>
        <w:r>
          <w:rPr>
            <w:noProof/>
            <w:webHidden/>
          </w:rPr>
          <w:tab/>
        </w:r>
        <w:r>
          <w:rPr>
            <w:noProof/>
            <w:webHidden/>
          </w:rPr>
          <w:fldChar w:fldCharType="begin"/>
        </w:r>
        <w:r>
          <w:rPr>
            <w:noProof/>
            <w:webHidden/>
          </w:rPr>
          <w:instrText xml:space="preserve"> PAGEREF _Toc242801264 \h </w:instrText>
        </w:r>
        <w:r>
          <w:rPr>
            <w:noProof/>
            <w:webHidden/>
          </w:rPr>
        </w:r>
        <w:r>
          <w:rPr>
            <w:noProof/>
            <w:webHidden/>
          </w:rPr>
          <w:fldChar w:fldCharType="separate"/>
        </w:r>
        <w:r w:rsidR="001D1D8F">
          <w:rPr>
            <w:noProof/>
            <w:webHidden/>
          </w:rPr>
          <w:t>410</w:t>
        </w:r>
        <w:r>
          <w:rPr>
            <w:noProof/>
            <w:webHidden/>
          </w:rPr>
          <w:fldChar w:fldCharType="end"/>
        </w:r>
      </w:hyperlink>
    </w:p>
    <w:p w14:paraId="4E34C27E" w14:textId="12A5BB73" w:rsidR="00425DE7" w:rsidRDefault="00425DE7">
      <w:pPr>
        <w:pStyle w:val="TOC4"/>
        <w:tabs>
          <w:tab w:val="right" w:leader="dot" w:pos="9350"/>
        </w:tabs>
        <w:rPr>
          <w:rFonts w:eastAsiaTheme="minorEastAsia"/>
          <w:noProof/>
          <w:sz w:val="24"/>
          <w:szCs w:val="24"/>
          <w:lang w:val="fr-FR" w:eastAsia="fr-FR"/>
        </w:rPr>
      </w:pPr>
      <w:hyperlink w:anchor="_Toc242801265" w:history="1">
        <w:r w:rsidRPr="00231040">
          <w:rPr>
            <w:rStyle w:val="Hyperlink"/>
            <w:noProof/>
            <w:lang w:val="fr-FR"/>
          </w:rPr>
          <w:t>Ressources financières</w:t>
        </w:r>
        <w:r>
          <w:rPr>
            <w:noProof/>
            <w:webHidden/>
          </w:rPr>
          <w:tab/>
        </w:r>
        <w:r>
          <w:rPr>
            <w:noProof/>
            <w:webHidden/>
          </w:rPr>
          <w:fldChar w:fldCharType="begin"/>
        </w:r>
        <w:r>
          <w:rPr>
            <w:noProof/>
            <w:webHidden/>
          </w:rPr>
          <w:instrText xml:space="preserve"> PAGEREF _Toc242801265 \h </w:instrText>
        </w:r>
        <w:r>
          <w:rPr>
            <w:noProof/>
            <w:webHidden/>
          </w:rPr>
        </w:r>
        <w:r>
          <w:rPr>
            <w:noProof/>
            <w:webHidden/>
          </w:rPr>
          <w:fldChar w:fldCharType="separate"/>
        </w:r>
        <w:r w:rsidR="001D1D8F">
          <w:rPr>
            <w:noProof/>
            <w:webHidden/>
          </w:rPr>
          <w:t>411</w:t>
        </w:r>
        <w:r>
          <w:rPr>
            <w:noProof/>
            <w:webHidden/>
          </w:rPr>
          <w:fldChar w:fldCharType="end"/>
        </w:r>
      </w:hyperlink>
    </w:p>
    <w:p w14:paraId="591648B8" w14:textId="6DF20F01" w:rsidR="00425DE7" w:rsidRDefault="00425DE7">
      <w:pPr>
        <w:pStyle w:val="TOC4"/>
        <w:tabs>
          <w:tab w:val="right" w:leader="dot" w:pos="9350"/>
        </w:tabs>
        <w:rPr>
          <w:rFonts w:eastAsiaTheme="minorEastAsia"/>
          <w:noProof/>
          <w:sz w:val="24"/>
          <w:szCs w:val="24"/>
          <w:lang w:val="fr-FR" w:eastAsia="fr-FR"/>
        </w:rPr>
      </w:pPr>
      <w:hyperlink w:anchor="_Toc242801266" w:history="1">
        <w:r w:rsidRPr="00231040">
          <w:rPr>
            <w:rStyle w:val="Hyperlink"/>
            <w:rFonts w:eastAsia="Times New Roman"/>
            <w:noProof/>
            <w:lang w:val="fr-FR"/>
          </w:rPr>
          <w:t>Capacités</w:t>
        </w:r>
        <w:r>
          <w:rPr>
            <w:noProof/>
            <w:webHidden/>
          </w:rPr>
          <w:tab/>
        </w:r>
        <w:r>
          <w:rPr>
            <w:noProof/>
            <w:webHidden/>
          </w:rPr>
          <w:fldChar w:fldCharType="begin"/>
        </w:r>
        <w:r>
          <w:rPr>
            <w:noProof/>
            <w:webHidden/>
          </w:rPr>
          <w:instrText xml:space="preserve"> PAGEREF _Toc242801266 \h </w:instrText>
        </w:r>
        <w:r>
          <w:rPr>
            <w:noProof/>
            <w:webHidden/>
          </w:rPr>
        </w:r>
        <w:r>
          <w:rPr>
            <w:noProof/>
            <w:webHidden/>
          </w:rPr>
          <w:fldChar w:fldCharType="separate"/>
        </w:r>
        <w:r w:rsidR="001D1D8F">
          <w:rPr>
            <w:noProof/>
            <w:webHidden/>
          </w:rPr>
          <w:t>414</w:t>
        </w:r>
        <w:r>
          <w:rPr>
            <w:noProof/>
            <w:webHidden/>
          </w:rPr>
          <w:fldChar w:fldCharType="end"/>
        </w:r>
      </w:hyperlink>
    </w:p>
    <w:p w14:paraId="46F098BB" w14:textId="170DD6B5" w:rsidR="00425DE7" w:rsidRDefault="00425DE7">
      <w:pPr>
        <w:pStyle w:val="TOC4"/>
        <w:tabs>
          <w:tab w:val="right" w:leader="dot" w:pos="9350"/>
        </w:tabs>
        <w:rPr>
          <w:rFonts w:eastAsiaTheme="minorEastAsia"/>
          <w:noProof/>
          <w:sz w:val="24"/>
          <w:szCs w:val="24"/>
          <w:lang w:val="fr-FR" w:eastAsia="fr-FR"/>
        </w:rPr>
      </w:pPr>
      <w:hyperlink w:anchor="_Toc242801267" w:history="1">
        <w:r w:rsidRPr="00231040">
          <w:rPr>
            <w:rStyle w:val="Hyperlink"/>
            <w:noProof/>
            <w:lang w:val="fr-FR"/>
          </w:rPr>
          <w:t>Coopération technique et scientifique</w:t>
        </w:r>
        <w:r>
          <w:rPr>
            <w:noProof/>
            <w:webHidden/>
          </w:rPr>
          <w:tab/>
        </w:r>
        <w:r>
          <w:rPr>
            <w:noProof/>
            <w:webHidden/>
          </w:rPr>
          <w:fldChar w:fldCharType="begin"/>
        </w:r>
        <w:r>
          <w:rPr>
            <w:noProof/>
            <w:webHidden/>
          </w:rPr>
          <w:instrText xml:space="preserve"> PAGEREF _Toc242801267 \h </w:instrText>
        </w:r>
        <w:r>
          <w:rPr>
            <w:noProof/>
            <w:webHidden/>
          </w:rPr>
        </w:r>
        <w:r>
          <w:rPr>
            <w:noProof/>
            <w:webHidden/>
          </w:rPr>
          <w:fldChar w:fldCharType="separate"/>
        </w:r>
        <w:r w:rsidR="001D1D8F">
          <w:rPr>
            <w:noProof/>
            <w:webHidden/>
          </w:rPr>
          <w:t>416</w:t>
        </w:r>
        <w:r>
          <w:rPr>
            <w:noProof/>
            <w:webHidden/>
          </w:rPr>
          <w:fldChar w:fldCharType="end"/>
        </w:r>
      </w:hyperlink>
    </w:p>
    <w:p w14:paraId="17200844" w14:textId="5F32B9A7" w:rsidR="00425DE7" w:rsidRDefault="00425DE7">
      <w:pPr>
        <w:pStyle w:val="TOC4"/>
        <w:tabs>
          <w:tab w:val="right" w:leader="dot" w:pos="9350"/>
        </w:tabs>
        <w:rPr>
          <w:rFonts w:eastAsiaTheme="minorEastAsia"/>
          <w:noProof/>
          <w:sz w:val="24"/>
          <w:szCs w:val="24"/>
          <w:lang w:val="fr-FR" w:eastAsia="fr-FR"/>
        </w:rPr>
      </w:pPr>
      <w:hyperlink w:anchor="_Toc242801268" w:history="1">
        <w:r w:rsidRPr="00231040">
          <w:rPr>
            <w:rStyle w:val="Hyperlink"/>
            <w:rFonts w:eastAsia="Times New Roman"/>
            <w:noProof/>
            <w:lang w:val="fr-FR"/>
          </w:rPr>
          <w:t>Accès aux technologies et transfert de technologies</w:t>
        </w:r>
        <w:r>
          <w:rPr>
            <w:noProof/>
            <w:webHidden/>
          </w:rPr>
          <w:tab/>
        </w:r>
        <w:r>
          <w:rPr>
            <w:noProof/>
            <w:webHidden/>
          </w:rPr>
          <w:fldChar w:fldCharType="begin"/>
        </w:r>
        <w:r>
          <w:rPr>
            <w:noProof/>
            <w:webHidden/>
          </w:rPr>
          <w:instrText xml:space="preserve"> PAGEREF _Toc242801268 \h </w:instrText>
        </w:r>
        <w:r>
          <w:rPr>
            <w:noProof/>
            <w:webHidden/>
          </w:rPr>
        </w:r>
        <w:r>
          <w:rPr>
            <w:noProof/>
            <w:webHidden/>
          </w:rPr>
          <w:fldChar w:fldCharType="separate"/>
        </w:r>
        <w:r w:rsidR="001D1D8F">
          <w:rPr>
            <w:noProof/>
            <w:webHidden/>
          </w:rPr>
          <w:t>418</w:t>
        </w:r>
        <w:r>
          <w:rPr>
            <w:noProof/>
            <w:webHidden/>
          </w:rPr>
          <w:fldChar w:fldCharType="end"/>
        </w:r>
      </w:hyperlink>
    </w:p>
    <w:p w14:paraId="42E9D35F" w14:textId="5196165C" w:rsidR="00425DE7" w:rsidRDefault="00425DE7">
      <w:pPr>
        <w:pStyle w:val="TOC4"/>
        <w:tabs>
          <w:tab w:val="right" w:leader="dot" w:pos="9350"/>
        </w:tabs>
        <w:rPr>
          <w:rFonts w:eastAsiaTheme="minorEastAsia"/>
          <w:noProof/>
          <w:sz w:val="24"/>
          <w:szCs w:val="24"/>
          <w:lang w:val="fr-FR" w:eastAsia="fr-FR"/>
        </w:rPr>
      </w:pPr>
      <w:hyperlink w:anchor="_Toc242801269" w:history="1">
        <w:r w:rsidRPr="00231040">
          <w:rPr>
            <w:rStyle w:val="Hyperlink"/>
            <w:rFonts w:eastAsia="Times New Roman"/>
            <w:noProof/>
            <w:lang w:val="fr-FR"/>
          </w:rPr>
          <w:t>Aperçu des besoins relatifs aux moyens de mise en œuvre</w:t>
        </w:r>
        <w:r>
          <w:rPr>
            <w:noProof/>
            <w:webHidden/>
          </w:rPr>
          <w:tab/>
        </w:r>
        <w:r>
          <w:rPr>
            <w:noProof/>
            <w:webHidden/>
          </w:rPr>
          <w:fldChar w:fldCharType="begin"/>
        </w:r>
        <w:r>
          <w:rPr>
            <w:noProof/>
            <w:webHidden/>
          </w:rPr>
          <w:instrText xml:space="preserve"> PAGEREF _Toc242801269 \h </w:instrText>
        </w:r>
        <w:r>
          <w:rPr>
            <w:noProof/>
            <w:webHidden/>
          </w:rPr>
        </w:r>
        <w:r>
          <w:rPr>
            <w:noProof/>
            <w:webHidden/>
          </w:rPr>
          <w:fldChar w:fldCharType="separate"/>
        </w:r>
        <w:r w:rsidR="001D1D8F">
          <w:rPr>
            <w:noProof/>
            <w:webHidden/>
          </w:rPr>
          <w:t>419</w:t>
        </w:r>
        <w:r>
          <w:rPr>
            <w:noProof/>
            <w:webHidden/>
          </w:rPr>
          <w:fldChar w:fldCharType="end"/>
        </w:r>
      </w:hyperlink>
    </w:p>
    <w:p w14:paraId="1F5EC5F8" w14:textId="318F3C0B" w:rsidR="00425DE7" w:rsidRDefault="00425DE7">
      <w:pPr>
        <w:pStyle w:val="TOC3"/>
        <w:tabs>
          <w:tab w:val="right" w:leader="dot" w:pos="9350"/>
        </w:tabs>
        <w:rPr>
          <w:rFonts w:eastAsiaTheme="minorEastAsia"/>
          <w:noProof/>
          <w:sz w:val="24"/>
          <w:szCs w:val="24"/>
          <w:lang w:val="fr-FR" w:eastAsia="fr-FR"/>
        </w:rPr>
      </w:pPr>
      <w:hyperlink w:anchor="_Toc242801270" w:history="1">
        <w:r w:rsidRPr="00231040">
          <w:rPr>
            <w:rStyle w:val="Hyperlink"/>
            <w:rFonts w:eastAsia="Times New Roman"/>
            <w:noProof/>
            <w:lang w:val="fr-FR"/>
          </w:rPr>
          <w:t>Analyse de la fourniture des moyens de mise en œuvre</w:t>
        </w:r>
        <w:r>
          <w:rPr>
            <w:noProof/>
            <w:webHidden/>
          </w:rPr>
          <w:tab/>
        </w:r>
        <w:r>
          <w:rPr>
            <w:noProof/>
            <w:webHidden/>
          </w:rPr>
          <w:fldChar w:fldCharType="begin"/>
        </w:r>
        <w:r>
          <w:rPr>
            <w:noProof/>
            <w:webHidden/>
          </w:rPr>
          <w:instrText xml:space="preserve"> PAGEREF _Toc242801270 \h </w:instrText>
        </w:r>
        <w:r>
          <w:rPr>
            <w:noProof/>
            <w:webHidden/>
          </w:rPr>
        </w:r>
        <w:r>
          <w:rPr>
            <w:noProof/>
            <w:webHidden/>
          </w:rPr>
          <w:fldChar w:fldCharType="separate"/>
        </w:r>
        <w:r w:rsidR="001D1D8F">
          <w:rPr>
            <w:noProof/>
            <w:webHidden/>
          </w:rPr>
          <w:t>420</w:t>
        </w:r>
        <w:r>
          <w:rPr>
            <w:noProof/>
            <w:webHidden/>
          </w:rPr>
          <w:fldChar w:fldCharType="end"/>
        </w:r>
      </w:hyperlink>
    </w:p>
    <w:p w14:paraId="11DD887F" w14:textId="029FE755" w:rsidR="00425DE7" w:rsidRDefault="00425DE7">
      <w:pPr>
        <w:pStyle w:val="TOC4"/>
        <w:tabs>
          <w:tab w:val="right" w:leader="dot" w:pos="9350"/>
        </w:tabs>
        <w:rPr>
          <w:rFonts w:eastAsiaTheme="minorEastAsia"/>
          <w:noProof/>
          <w:sz w:val="24"/>
          <w:szCs w:val="24"/>
          <w:lang w:val="fr-FR" w:eastAsia="fr-FR"/>
        </w:rPr>
      </w:pPr>
      <w:hyperlink w:anchor="_Toc242801271" w:history="1">
        <w:r w:rsidRPr="00231040">
          <w:rPr>
            <w:rStyle w:val="Hyperlink"/>
            <w:rFonts w:eastAsia="Times New Roman"/>
            <w:noProof/>
            <w:lang w:val="fr-FR"/>
          </w:rPr>
          <w:t>Ressources financières</w:t>
        </w:r>
        <w:r>
          <w:rPr>
            <w:noProof/>
            <w:webHidden/>
          </w:rPr>
          <w:tab/>
        </w:r>
        <w:r>
          <w:rPr>
            <w:noProof/>
            <w:webHidden/>
          </w:rPr>
          <w:fldChar w:fldCharType="begin"/>
        </w:r>
        <w:r>
          <w:rPr>
            <w:noProof/>
            <w:webHidden/>
          </w:rPr>
          <w:instrText xml:space="preserve"> PAGEREF _Toc242801271 \h </w:instrText>
        </w:r>
        <w:r>
          <w:rPr>
            <w:noProof/>
            <w:webHidden/>
          </w:rPr>
        </w:r>
        <w:r>
          <w:rPr>
            <w:noProof/>
            <w:webHidden/>
          </w:rPr>
          <w:fldChar w:fldCharType="separate"/>
        </w:r>
        <w:r w:rsidR="001D1D8F">
          <w:rPr>
            <w:noProof/>
            <w:webHidden/>
          </w:rPr>
          <w:t>420</w:t>
        </w:r>
        <w:r>
          <w:rPr>
            <w:noProof/>
            <w:webHidden/>
          </w:rPr>
          <w:fldChar w:fldCharType="end"/>
        </w:r>
      </w:hyperlink>
    </w:p>
    <w:p w14:paraId="7ACA3BF6" w14:textId="3076FF14" w:rsidR="00425DE7" w:rsidRDefault="00425DE7">
      <w:pPr>
        <w:pStyle w:val="TOC4"/>
        <w:tabs>
          <w:tab w:val="right" w:leader="dot" w:pos="9350"/>
        </w:tabs>
        <w:rPr>
          <w:rFonts w:eastAsiaTheme="minorEastAsia"/>
          <w:noProof/>
          <w:sz w:val="24"/>
          <w:szCs w:val="24"/>
          <w:lang w:val="fr-FR" w:eastAsia="fr-FR"/>
        </w:rPr>
      </w:pPr>
      <w:hyperlink w:anchor="_Toc242801272" w:history="1">
        <w:r w:rsidRPr="00231040">
          <w:rPr>
            <w:rStyle w:val="Hyperlink"/>
            <w:noProof/>
            <w:lang w:val="fr-FR"/>
          </w:rPr>
          <w:t>Capacités</w:t>
        </w:r>
        <w:r>
          <w:rPr>
            <w:noProof/>
            <w:webHidden/>
          </w:rPr>
          <w:tab/>
        </w:r>
        <w:r>
          <w:rPr>
            <w:noProof/>
            <w:webHidden/>
          </w:rPr>
          <w:fldChar w:fldCharType="begin"/>
        </w:r>
        <w:r>
          <w:rPr>
            <w:noProof/>
            <w:webHidden/>
          </w:rPr>
          <w:instrText xml:space="preserve"> PAGEREF _Toc242801272 \h </w:instrText>
        </w:r>
        <w:r>
          <w:rPr>
            <w:noProof/>
            <w:webHidden/>
          </w:rPr>
        </w:r>
        <w:r>
          <w:rPr>
            <w:noProof/>
            <w:webHidden/>
          </w:rPr>
          <w:fldChar w:fldCharType="separate"/>
        </w:r>
        <w:r w:rsidR="001D1D8F">
          <w:rPr>
            <w:noProof/>
            <w:webHidden/>
          </w:rPr>
          <w:t>424</w:t>
        </w:r>
        <w:r>
          <w:rPr>
            <w:noProof/>
            <w:webHidden/>
          </w:rPr>
          <w:fldChar w:fldCharType="end"/>
        </w:r>
      </w:hyperlink>
    </w:p>
    <w:p w14:paraId="3B6B45AD" w14:textId="711EDBF9" w:rsidR="00425DE7" w:rsidRDefault="00425DE7">
      <w:pPr>
        <w:pStyle w:val="TOC4"/>
        <w:tabs>
          <w:tab w:val="right" w:leader="dot" w:pos="9350"/>
        </w:tabs>
        <w:rPr>
          <w:rFonts w:eastAsiaTheme="minorEastAsia"/>
          <w:noProof/>
          <w:sz w:val="24"/>
          <w:szCs w:val="24"/>
          <w:lang w:val="fr-FR" w:eastAsia="fr-FR"/>
        </w:rPr>
      </w:pPr>
      <w:hyperlink w:anchor="_Toc242801273" w:history="1">
        <w:r w:rsidRPr="00231040">
          <w:rPr>
            <w:rStyle w:val="Hyperlink"/>
            <w:rFonts w:eastAsia="Times New Roman"/>
            <w:noProof/>
            <w:lang w:val="fr-FR"/>
          </w:rPr>
          <w:t>Coopération technique et scientifique</w:t>
        </w:r>
        <w:r>
          <w:rPr>
            <w:noProof/>
            <w:webHidden/>
          </w:rPr>
          <w:tab/>
        </w:r>
        <w:r>
          <w:rPr>
            <w:noProof/>
            <w:webHidden/>
          </w:rPr>
          <w:fldChar w:fldCharType="begin"/>
        </w:r>
        <w:r>
          <w:rPr>
            <w:noProof/>
            <w:webHidden/>
          </w:rPr>
          <w:instrText xml:space="preserve"> PAGEREF _Toc242801273 \h </w:instrText>
        </w:r>
        <w:r>
          <w:rPr>
            <w:noProof/>
            <w:webHidden/>
          </w:rPr>
        </w:r>
        <w:r>
          <w:rPr>
            <w:noProof/>
            <w:webHidden/>
          </w:rPr>
          <w:fldChar w:fldCharType="separate"/>
        </w:r>
        <w:r w:rsidR="001D1D8F">
          <w:rPr>
            <w:noProof/>
            <w:webHidden/>
          </w:rPr>
          <w:t>426</w:t>
        </w:r>
        <w:r>
          <w:rPr>
            <w:noProof/>
            <w:webHidden/>
          </w:rPr>
          <w:fldChar w:fldCharType="end"/>
        </w:r>
      </w:hyperlink>
    </w:p>
    <w:p w14:paraId="1D5CDAB0" w14:textId="6E78F347" w:rsidR="00425DE7" w:rsidRDefault="00425DE7">
      <w:pPr>
        <w:pStyle w:val="TOC4"/>
        <w:tabs>
          <w:tab w:val="right" w:leader="dot" w:pos="9350"/>
        </w:tabs>
        <w:rPr>
          <w:rFonts w:eastAsiaTheme="minorEastAsia"/>
          <w:noProof/>
          <w:sz w:val="24"/>
          <w:szCs w:val="24"/>
          <w:lang w:val="fr-FR" w:eastAsia="fr-FR"/>
        </w:rPr>
      </w:pPr>
      <w:hyperlink w:anchor="_Toc242801274" w:history="1">
        <w:r w:rsidRPr="00231040">
          <w:rPr>
            <w:rStyle w:val="Hyperlink"/>
            <w:rFonts w:eastAsia="Times New Roman"/>
            <w:noProof/>
            <w:lang w:val="fr-FR"/>
          </w:rPr>
          <w:t>Accès aux technologies et transfert de technologies</w:t>
        </w:r>
        <w:r>
          <w:rPr>
            <w:noProof/>
            <w:webHidden/>
          </w:rPr>
          <w:tab/>
        </w:r>
        <w:r>
          <w:rPr>
            <w:noProof/>
            <w:webHidden/>
          </w:rPr>
          <w:fldChar w:fldCharType="begin"/>
        </w:r>
        <w:r>
          <w:rPr>
            <w:noProof/>
            <w:webHidden/>
          </w:rPr>
          <w:instrText xml:space="preserve"> PAGEREF _Toc242801274 \h </w:instrText>
        </w:r>
        <w:r>
          <w:rPr>
            <w:noProof/>
            <w:webHidden/>
          </w:rPr>
        </w:r>
        <w:r>
          <w:rPr>
            <w:noProof/>
            <w:webHidden/>
          </w:rPr>
          <w:fldChar w:fldCharType="separate"/>
        </w:r>
        <w:r w:rsidR="001D1D8F">
          <w:rPr>
            <w:noProof/>
            <w:webHidden/>
          </w:rPr>
          <w:t>427</w:t>
        </w:r>
        <w:r>
          <w:rPr>
            <w:noProof/>
            <w:webHidden/>
          </w:rPr>
          <w:fldChar w:fldCharType="end"/>
        </w:r>
      </w:hyperlink>
    </w:p>
    <w:p w14:paraId="0E3E4771" w14:textId="4B0E224F" w:rsidR="00425DE7" w:rsidRDefault="00425DE7">
      <w:pPr>
        <w:pStyle w:val="TOC4"/>
        <w:tabs>
          <w:tab w:val="right" w:leader="dot" w:pos="9350"/>
        </w:tabs>
        <w:rPr>
          <w:rFonts w:eastAsiaTheme="minorEastAsia"/>
          <w:noProof/>
          <w:sz w:val="24"/>
          <w:szCs w:val="24"/>
          <w:lang w:val="fr-FR" w:eastAsia="fr-FR"/>
        </w:rPr>
      </w:pPr>
      <w:hyperlink w:anchor="_Toc242801275" w:history="1">
        <w:r w:rsidRPr="00231040">
          <w:rPr>
            <w:rStyle w:val="Hyperlink"/>
            <w:rFonts w:eastAsia="Times New Roman"/>
            <w:noProof/>
            <w:lang w:val="fr-FR"/>
          </w:rPr>
          <w:t>Observations finales</w:t>
        </w:r>
        <w:r>
          <w:rPr>
            <w:noProof/>
            <w:webHidden/>
          </w:rPr>
          <w:tab/>
        </w:r>
        <w:r>
          <w:rPr>
            <w:noProof/>
            <w:webHidden/>
          </w:rPr>
          <w:fldChar w:fldCharType="begin"/>
        </w:r>
        <w:r>
          <w:rPr>
            <w:noProof/>
            <w:webHidden/>
          </w:rPr>
          <w:instrText xml:space="preserve"> PAGEREF _Toc242801275 \h </w:instrText>
        </w:r>
        <w:r>
          <w:rPr>
            <w:noProof/>
            <w:webHidden/>
          </w:rPr>
        </w:r>
        <w:r>
          <w:rPr>
            <w:noProof/>
            <w:webHidden/>
          </w:rPr>
          <w:fldChar w:fldCharType="separate"/>
        </w:r>
        <w:r w:rsidR="001D1D8F">
          <w:rPr>
            <w:noProof/>
            <w:webHidden/>
          </w:rPr>
          <w:t>428</w:t>
        </w:r>
        <w:r>
          <w:rPr>
            <w:noProof/>
            <w:webHidden/>
          </w:rPr>
          <w:fldChar w:fldCharType="end"/>
        </w:r>
      </w:hyperlink>
    </w:p>
    <w:p w14:paraId="064761B1" w14:textId="5BC79B23" w:rsidR="00425DE7" w:rsidRDefault="00425DE7">
      <w:pPr>
        <w:pStyle w:val="TOC3"/>
        <w:tabs>
          <w:tab w:val="right" w:leader="dot" w:pos="9350"/>
        </w:tabs>
        <w:rPr>
          <w:rFonts w:eastAsiaTheme="minorEastAsia"/>
          <w:noProof/>
          <w:sz w:val="24"/>
          <w:szCs w:val="24"/>
          <w:lang w:val="fr-FR" w:eastAsia="fr-FR"/>
        </w:rPr>
      </w:pPr>
      <w:hyperlink w:anchor="_Toc242801276" w:history="1">
        <w:r w:rsidRPr="00231040">
          <w:rPr>
            <w:rStyle w:val="Hyperlink"/>
            <w:noProof/>
            <w:lang w:val="fr-FR"/>
          </w:rPr>
          <w:t>Moyens de mise en œuvre pour les peuples autochtones et communautés locales, les femmes, les jeunes et les autres parties prenantes</w:t>
        </w:r>
        <w:r>
          <w:rPr>
            <w:noProof/>
            <w:webHidden/>
          </w:rPr>
          <w:tab/>
        </w:r>
        <w:r>
          <w:rPr>
            <w:noProof/>
            <w:webHidden/>
          </w:rPr>
          <w:fldChar w:fldCharType="begin"/>
        </w:r>
        <w:r>
          <w:rPr>
            <w:noProof/>
            <w:webHidden/>
          </w:rPr>
          <w:instrText xml:space="preserve"> PAGEREF _Toc242801276 \h </w:instrText>
        </w:r>
        <w:r>
          <w:rPr>
            <w:noProof/>
            <w:webHidden/>
          </w:rPr>
        </w:r>
        <w:r>
          <w:rPr>
            <w:noProof/>
            <w:webHidden/>
          </w:rPr>
          <w:fldChar w:fldCharType="separate"/>
        </w:r>
        <w:r w:rsidR="001D1D8F">
          <w:rPr>
            <w:noProof/>
            <w:webHidden/>
          </w:rPr>
          <w:t>429</w:t>
        </w:r>
        <w:r>
          <w:rPr>
            <w:noProof/>
            <w:webHidden/>
          </w:rPr>
          <w:fldChar w:fldCharType="end"/>
        </w:r>
      </w:hyperlink>
    </w:p>
    <w:p w14:paraId="7B7B7A25" w14:textId="31AECCCB" w:rsidR="00425DE7" w:rsidRDefault="00425DE7">
      <w:pPr>
        <w:pStyle w:val="TOC4"/>
        <w:tabs>
          <w:tab w:val="right" w:leader="dot" w:pos="9350"/>
        </w:tabs>
        <w:rPr>
          <w:rFonts w:eastAsiaTheme="minorEastAsia"/>
          <w:noProof/>
          <w:sz w:val="24"/>
          <w:szCs w:val="24"/>
          <w:lang w:val="fr-FR" w:eastAsia="fr-FR"/>
        </w:rPr>
      </w:pPr>
      <w:hyperlink w:anchor="_Toc242801277" w:history="1">
        <w:r w:rsidRPr="00231040">
          <w:rPr>
            <w:rStyle w:val="Hyperlink"/>
            <w:rFonts w:ascii="Aptos" w:hAnsi="Aptos" w:cs="Aptos"/>
            <w:noProof/>
            <w:lang w:val="fr-FR"/>
          </w:rPr>
          <w:t>Ressources financières</w:t>
        </w:r>
        <w:r>
          <w:rPr>
            <w:noProof/>
            <w:webHidden/>
          </w:rPr>
          <w:tab/>
        </w:r>
        <w:r>
          <w:rPr>
            <w:noProof/>
            <w:webHidden/>
          </w:rPr>
          <w:fldChar w:fldCharType="begin"/>
        </w:r>
        <w:r>
          <w:rPr>
            <w:noProof/>
            <w:webHidden/>
          </w:rPr>
          <w:instrText xml:space="preserve"> PAGEREF _Toc242801277 \h </w:instrText>
        </w:r>
        <w:r>
          <w:rPr>
            <w:noProof/>
            <w:webHidden/>
          </w:rPr>
        </w:r>
        <w:r>
          <w:rPr>
            <w:noProof/>
            <w:webHidden/>
          </w:rPr>
          <w:fldChar w:fldCharType="separate"/>
        </w:r>
        <w:r w:rsidR="001D1D8F">
          <w:rPr>
            <w:noProof/>
            <w:webHidden/>
          </w:rPr>
          <w:t>430</w:t>
        </w:r>
        <w:r>
          <w:rPr>
            <w:noProof/>
            <w:webHidden/>
          </w:rPr>
          <w:fldChar w:fldCharType="end"/>
        </w:r>
      </w:hyperlink>
    </w:p>
    <w:p w14:paraId="4B09DC25" w14:textId="296683FE" w:rsidR="00425DE7" w:rsidRDefault="00425DE7">
      <w:pPr>
        <w:pStyle w:val="TOC4"/>
        <w:tabs>
          <w:tab w:val="right" w:leader="dot" w:pos="9350"/>
        </w:tabs>
        <w:rPr>
          <w:rFonts w:eastAsiaTheme="minorEastAsia"/>
          <w:noProof/>
          <w:sz w:val="24"/>
          <w:szCs w:val="24"/>
          <w:lang w:val="fr-FR" w:eastAsia="fr-FR"/>
        </w:rPr>
      </w:pPr>
      <w:hyperlink w:anchor="_Toc242801278" w:history="1">
        <w:r w:rsidRPr="00231040">
          <w:rPr>
            <w:rStyle w:val="Hyperlink"/>
            <w:rFonts w:eastAsia="Times New Roman"/>
            <w:noProof/>
            <w:lang w:val="fr-FR"/>
          </w:rPr>
          <w:t>Capacités</w:t>
        </w:r>
        <w:r>
          <w:rPr>
            <w:noProof/>
            <w:webHidden/>
          </w:rPr>
          <w:tab/>
        </w:r>
        <w:r>
          <w:rPr>
            <w:noProof/>
            <w:webHidden/>
          </w:rPr>
          <w:fldChar w:fldCharType="begin"/>
        </w:r>
        <w:r>
          <w:rPr>
            <w:noProof/>
            <w:webHidden/>
          </w:rPr>
          <w:instrText xml:space="preserve"> PAGEREF _Toc242801278 \h </w:instrText>
        </w:r>
        <w:r>
          <w:rPr>
            <w:noProof/>
            <w:webHidden/>
          </w:rPr>
        </w:r>
        <w:r>
          <w:rPr>
            <w:noProof/>
            <w:webHidden/>
          </w:rPr>
          <w:fldChar w:fldCharType="separate"/>
        </w:r>
        <w:r w:rsidR="001D1D8F">
          <w:rPr>
            <w:noProof/>
            <w:webHidden/>
          </w:rPr>
          <w:t>432</w:t>
        </w:r>
        <w:r>
          <w:rPr>
            <w:noProof/>
            <w:webHidden/>
          </w:rPr>
          <w:fldChar w:fldCharType="end"/>
        </w:r>
      </w:hyperlink>
    </w:p>
    <w:p w14:paraId="544F5746" w14:textId="76B9DBA3" w:rsidR="00425DE7" w:rsidRDefault="00425DE7">
      <w:pPr>
        <w:pStyle w:val="TOC4"/>
        <w:tabs>
          <w:tab w:val="right" w:leader="dot" w:pos="9350"/>
        </w:tabs>
        <w:rPr>
          <w:rFonts w:eastAsiaTheme="minorEastAsia"/>
          <w:noProof/>
          <w:sz w:val="24"/>
          <w:szCs w:val="24"/>
          <w:lang w:val="fr-FR" w:eastAsia="fr-FR"/>
        </w:rPr>
      </w:pPr>
      <w:hyperlink w:anchor="_Toc242801279" w:history="1">
        <w:r w:rsidRPr="00231040">
          <w:rPr>
            <w:rStyle w:val="Hyperlink"/>
            <w:rFonts w:eastAsia="Times New Roman"/>
            <w:noProof/>
            <w:lang w:val="fr-FR"/>
          </w:rPr>
          <w:t>Coopération technique et scientifique</w:t>
        </w:r>
        <w:r>
          <w:rPr>
            <w:noProof/>
            <w:webHidden/>
          </w:rPr>
          <w:tab/>
        </w:r>
        <w:r>
          <w:rPr>
            <w:noProof/>
            <w:webHidden/>
          </w:rPr>
          <w:fldChar w:fldCharType="begin"/>
        </w:r>
        <w:r>
          <w:rPr>
            <w:noProof/>
            <w:webHidden/>
          </w:rPr>
          <w:instrText xml:space="preserve"> PAGEREF _Toc242801279 \h </w:instrText>
        </w:r>
        <w:r>
          <w:rPr>
            <w:noProof/>
            <w:webHidden/>
          </w:rPr>
        </w:r>
        <w:r>
          <w:rPr>
            <w:noProof/>
            <w:webHidden/>
          </w:rPr>
          <w:fldChar w:fldCharType="separate"/>
        </w:r>
        <w:r w:rsidR="001D1D8F">
          <w:rPr>
            <w:noProof/>
            <w:webHidden/>
          </w:rPr>
          <w:t>433</w:t>
        </w:r>
        <w:r>
          <w:rPr>
            <w:noProof/>
            <w:webHidden/>
          </w:rPr>
          <w:fldChar w:fldCharType="end"/>
        </w:r>
      </w:hyperlink>
    </w:p>
    <w:p w14:paraId="02D3FE7C" w14:textId="5945E934" w:rsidR="00425DE7" w:rsidRDefault="00425DE7">
      <w:pPr>
        <w:pStyle w:val="TOC4"/>
        <w:tabs>
          <w:tab w:val="right" w:leader="dot" w:pos="9350"/>
        </w:tabs>
        <w:rPr>
          <w:rFonts w:eastAsiaTheme="minorEastAsia"/>
          <w:noProof/>
          <w:sz w:val="24"/>
          <w:szCs w:val="24"/>
          <w:lang w:val="fr-FR" w:eastAsia="fr-FR"/>
        </w:rPr>
      </w:pPr>
      <w:hyperlink w:anchor="_Toc242801280" w:history="1">
        <w:r w:rsidRPr="00231040">
          <w:rPr>
            <w:rStyle w:val="Hyperlink"/>
            <w:rFonts w:eastAsia="Times New Roman"/>
            <w:noProof/>
            <w:lang w:val="fr-FR"/>
          </w:rPr>
          <w:t>Accès aux technologies et transfert de technologies</w:t>
        </w:r>
        <w:r>
          <w:rPr>
            <w:noProof/>
            <w:webHidden/>
          </w:rPr>
          <w:tab/>
        </w:r>
        <w:r>
          <w:rPr>
            <w:noProof/>
            <w:webHidden/>
          </w:rPr>
          <w:fldChar w:fldCharType="begin"/>
        </w:r>
        <w:r>
          <w:rPr>
            <w:noProof/>
            <w:webHidden/>
          </w:rPr>
          <w:instrText xml:space="preserve"> PAGEREF _Toc242801280 \h </w:instrText>
        </w:r>
        <w:r>
          <w:rPr>
            <w:noProof/>
            <w:webHidden/>
          </w:rPr>
        </w:r>
        <w:r>
          <w:rPr>
            <w:noProof/>
            <w:webHidden/>
          </w:rPr>
          <w:fldChar w:fldCharType="separate"/>
        </w:r>
        <w:r w:rsidR="001D1D8F">
          <w:rPr>
            <w:noProof/>
            <w:webHidden/>
          </w:rPr>
          <w:t>434</w:t>
        </w:r>
        <w:r>
          <w:rPr>
            <w:noProof/>
            <w:webHidden/>
          </w:rPr>
          <w:fldChar w:fldCharType="end"/>
        </w:r>
      </w:hyperlink>
    </w:p>
    <w:p w14:paraId="19D69DA9" w14:textId="0FBDE787" w:rsidR="00425DE7" w:rsidRDefault="00425DE7">
      <w:pPr>
        <w:pStyle w:val="TOC3"/>
        <w:tabs>
          <w:tab w:val="right" w:leader="dot" w:pos="9350"/>
        </w:tabs>
        <w:rPr>
          <w:rFonts w:eastAsiaTheme="minorEastAsia"/>
          <w:noProof/>
          <w:sz w:val="24"/>
          <w:szCs w:val="24"/>
          <w:lang w:val="fr-FR" w:eastAsia="fr-FR"/>
        </w:rPr>
      </w:pPr>
      <w:hyperlink w:anchor="_Toc242801281" w:history="1">
        <w:r w:rsidRPr="00231040">
          <w:rPr>
            <w:rStyle w:val="Hyperlink"/>
            <w:rFonts w:ascii="Aptos" w:eastAsia="Times New Roman" w:hAnsi="Aptos" w:cs="Aptos"/>
            <w:bCs/>
            <w:noProof/>
            <w:lang w:val="fr-FR"/>
          </w:rPr>
          <w:t>Résumé et principales observations concernant les moyens de mise en œuvre</w:t>
        </w:r>
        <w:r>
          <w:rPr>
            <w:noProof/>
            <w:webHidden/>
          </w:rPr>
          <w:tab/>
        </w:r>
        <w:r>
          <w:rPr>
            <w:noProof/>
            <w:webHidden/>
          </w:rPr>
          <w:fldChar w:fldCharType="begin"/>
        </w:r>
        <w:r>
          <w:rPr>
            <w:noProof/>
            <w:webHidden/>
          </w:rPr>
          <w:instrText xml:space="preserve"> PAGEREF _Toc242801281 \h </w:instrText>
        </w:r>
        <w:r>
          <w:rPr>
            <w:noProof/>
            <w:webHidden/>
          </w:rPr>
        </w:r>
        <w:r>
          <w:rPr>
            <w:noProof/>
            <w:webHidden/>
          </w:rPr>
          <w:fldChar w:fldCharType="separate"/>
        </w:r>
        <w:r w:rsidR="001D1D8F">
          <w:rPr>
            <w:noProof/>
            <w:webHidden/>
          </w:rPr>
          <w:t>436</w:t>
        </w:r>
        <w:r>
          <w:rPr>
            <w:noProof/>
            <w:webHidden/>
          </w:rPr>
          <w:fldChar w:fldCharType="end"/>
        </w:r>
      </w:hyperlink>
    </w:p>
    <w:p w14:paraId="596B223B" w14:textId="44D0D54E" w:rsidR="00425DE7" w:rsidRDefault="00425DE7">
      <w:pPr>
        <w:pStyle w:val="TOC4"/>
        <w:tabs>
          <w:tab w:val="right" w:leader="dot" w:pos="9350"/>
        </w:tabs>
        <w:rPr>
          <w:rFonts w:eastAsiaTheme="minorEastAsia"/>
          <w:noProof/>
          <w:sz w:val="24"/>
          <w:szCs w:val="24"/>
          <w:lang w:val="fr-FR" w:eastAsia="fr-FR"/>
        </w:rPr>
      </w:pPr>
      <w:hyperlink w:anchor="_Toc242801282" w:history="1">
        <w:r w:rsidRPr="00231040">
          <w:rPr>
            <w:rStyle w:val="Hyperlink"/>
            <w:noProof/>
            <w:lang w:val="fr-FR"/>
          </w:rPr>
          <w:t>Résumé</w:t>
        </w:r>
        <w:r>
          <w:rPr>
            <w:noProof/>
            <w:webHidden/>
          </w:rPr>
          <w:tab/>
        </w:r>
        <w:r>
          <w:rPr>
            <w:noProof/>
            <w:webHidden/>
          </w:rPr>
          <w:fldChar w:fldCharType="begin"/>
        </w:r>
        <w:r>
          <w:rPr>
            <w:noProof/>
            <w:webHidden/>
          </w:rPr>
          <w:instrText xml:space="preserve"> PAGEREF _Toc242801282 \h </w:instrText>
        </w:r>
        <w:r>
          <w:rPr>
            <w:noProof/>
            <w:webHidden/>
          </w:rPr>
        </w:r>
        <w:r>
          <w:rPr>
            <w:noProof/>
            <w:webHidden/>
          </w:rPr>
          <w:fldChar w:fldCharType="separate"/>
        </w:r>
        <w:r w:rsidR="001D1D8F">
          <w:rPr>
            <w:noProof/>
            <w:webHidden/>
          </w:rPr>
          <w:t>436</w:t>
        </w:r>
        <w:r>
          <w:rPr>
            <w:noProof/>
            <w:webHidden/>
          </w:rPr>
          <w:fldChar w:fldCharType="end"/>
        </w:r>
      </w:hyperlink>
    </w:p>
    <w:p w14:paraId="7E0D0700" w14:textId="35CC24E0" w:rsidR="00425DE7" w:rsidRDefault="00425DE7">
      <w:pPr>
        <w:pStyle w:val="TOC4"/>
        <w:tabs>
          <w:tab w:val="right" w:leader="dot" w:pos="9350"/>
        </w:tabs>
        <w:rPr>
          <w:rFonts w:eastAsiaTheme="minorEastAsia"/>
          <w:noProof/>
          <w:sz w:val="24"/>
          <w:szCs w:val="24"/>
          <w:lang w:val="fr-FR" w:eastAsia="fr-FR"/>
        </w:rPr>
      </w:pPr>
      <w:hyperlink w:anchor="_Toc242801283" w:history="1">
        <w:r w:rsidRPr="00231040">
          <w:rPr>
            <w:rStyle w:val="Hyperlink"/>
            <w:rFonts w:ascii="Aptos" w:eastAsia="Times New Roman" w:hAnsi="Aptos" w:cs="Aptos"/>
            <w:bCs/>
            <w:noProof/>
            <w:lang w:val="fr-FR"/>
          </w:rPr>
          <w:t>Observations finales</w:t>
        </w:r>
        <w:r>
          <w:rPr>
            <w:noProof/>
            <w:webHidden/>
          </w:rPr>
          <w:tab/>
        </w:r>
        <w:r>
          <w:rPr>
            <w:noProof/>
            <w:webHidden/>
          </w:rPr>
          <w:fldChar w:fldCharType="begin"/>
        </w:r>
        <w:r>
          <w:rPr>
            <w:noProof/>
            <w:webHidden/>
          </w:rPr>
          <w:instrText xml:space="preserve"> PAGEREF _Toc242801283 \h </w:instrText>
        </w:r>
        <w:r>
          <w:rPr>
            <w:noProof/>
            <w:webHidden/>
          </w:rPr>
        </w:r>
        <w:r>
          <w:rPr>
            <w:noProof/>
            <w:webHidden/>
          </w:rPr>
          <w:fldChar w:fldCharType="separate"/>
        </w:r>
        <w:r w:rsidR="001D1D8F">
          <w:rPr>
            <w:noProof/>
            <w:webHidden/>
          </w:rPr>
          <w:t>438</w:t>
        </w:r>
        <w:r>
          <w:rPr>
            <w:noProof/>
            <w:webHidden/>
          </w:rPr>
          <w:fldChar w:fldCharType="end"/>
        </w:r>
      </w:hyperlink>
    </w:p>
    <w:p w14:paraId="54D27579" w14:textId="2F820936" w:rsidR="00425DE7" w:rsidRDefault="00425DE7">
      <w:pPr>
        <w:pStyle w:val="TOC2"/>
        <w:tabs>
          <w:tab w:val="right" w:leader="dot" w:pos="9350"/>
        </w:tabs>
        <w:rPr>
          <w:rFonts w:eastAsiaTheme="minorEastAsia"/>
          <w:b w:val="0"/>
          <w:bCs w:val="0"/>
          <w:noProof/>
          <w:sz w:val="24"/>
          <w:szCs w:val="24"/>
          <w:lang w:val="fr-FR" w:eastAsia="fr-FR"/>
        </w:rPr>
      </w:pPr>
      <w:hyperlink w:anchor="_Toc242801284" w:history="1">
        <w:r w:rsidRPr="00231040">
          <w:rPr>
            <w:rStyle w:val="Hyperlink"/>
            <w:noProof/>
            <w:lang w:val="fr-FR"/>
          </w:rPr>
          <w:t>II.E Contributions des accords multilatéraux sur l’environnement et des organisations et processus internationaux pertinents</w:t>
        </w:r>
        <w:r>
          <w:rPr>
            <w:noProof/>
            <w:webHidden/>
          </w:rPr>
          <w:tab/>
        </w:r>
        <w:r>
          <w:rPr>
            <w:noProof/>
            <w:webHidden/>
          </w:rPr>
          <w:fldChar w:fldCharType="begin"/>
        </w:r>
        <w:r>
          <w:rPr>
            <w:noProof/>
            <w:webHidden/>
          </w:rPr>
          <w:instrText xml:space="preserve"> PAGEREF _Toc242801284 \h </w:instrText>
        </w:r>
        <w:r>
          <w:rPr>
            <w:noProof/>
            <w:webHidden/>
          </w:rPr>
        </w:r>
        <w:r>
          <w:rPr>
            <w:noProof/>
            <w:webHidden/>
          </w:rPr>
          <w:fldChar w:fldCharType="separate"/>
        </w:r>
        <w:r w:rsidR="001D1D8F">
          <w:rPr>
            <w:noProof/>
            <w:webHidden/>
          </w:rPr>
          <w:t>439</w:t>
        </w:r>
        <w:r>
          <w:rPr>
            <w:noProof/>
            <w:webHidden/>
          </w:rPr>
          <w:fldChar w:fldCharType="end"/>
        </w:r>
      </w:hyperlink>
    </w:p>
    <w:p w14:paraId="28F18125" w14:textId="13186E5A" w:rsidR="00425DE7" w:rsidRDefault="00425DE7">
      <w:pPr>
        <w:pStyle w:val="TOC3"/>
        <w:tabs>
          <w:tab w:val="right" w:leader="dot" w:pos="9350"/>
        </w:tabs>
        <w:rPr>
          <w:rFonts w:eastAsiaTheme="minorEastAsia"/>
          <w:noProof/>
          <w:sz w:val="24"/>
          <w:szCs w:val="24"/>
          <w:lang w:val="fr-FR" w:eastAsia="fr-FR"/>
        </w:rPr>
      </w:pPr>
      <w:hyperlink w:anchor="_Toc242801285" w:history="1">
        <w:r w:rsidRPr="00231040">
          <w:rPr>
            <w:rStyle w:val="Hyperlink"/>
            <w:noProof/>
            <w:lang w:val="fr-FR"/>
          </w:rPr>
          <w:t>Introduction</w:t>
        </w:r>
        <w:r>
          <w:rPr>
            <w:noProof/>
            <w:webHidden/>
          </w:rPr>
          <w:tab/>
        </w:r>
        <w:r>
          <w:rPr>
            <w:noProof/>
            <w:webHidden/>
          </w:rPr>
          <w:fldChar w:fldCharType="begin"/>
        </w:r>
        <w:r>
          <w:rPr>
            <w:noProof/>
            <w:webHidden/>
          </w:rPr>
          <w:instrText xml:space="preserve"> PAGEREF _Toc242801285 \h </w:instrText>
        </w:r>
        <w:r>
          <w:rPr>
            <w:noProof/>
            <w:webHidden/>
          </w:rPr>
        </w:r>
        <w:r>
          <w:rPr>
            <w:noProof/>
            <w:webHidden/>
          </w:rPr>
          <w:fldChar w:fldCharType="separate"/>
        </w:r>
        <w:r w:rsidR="001D1D8F">
          <w:rPr>
            <w:noProof/>
            <w:webHidden/>
          </w:rPr>
          <w:t>439</w:t>
        </w:r>
        <w:r>
          <w:rPr>
            <w:noProof/>
            <w:webHidden/>
          </w:rPr>
          <w:fldChar w:fldCharType="end"/>
        </w:r>
      </w:hyperlink>
    </w:p>
    <w:p w14:paraId="53F42848" w14:textId="6F18834B" w:rsidR="00425DE7" w:rsidRDefault="00425DE7">
      <w:pPr>
        <w:pStyle w:val="TOC3"/>
        <w:tabs>
          <w:tab w:val="right" w:leader="dot" w:pos="9350"/>
        </w:tabs>
        <w:rPr>
          <w:rFonts w:eastAsiaTheme="minorEastAsia"/>
          <w:noProof/>
          <w:sz w:val="24"/>
          <w:szCs w:val="24"/>
          <w:lang w:val="fr-FR" w:eastAsia="fr-FR"/>
        </w:rPr>
      </w:pPr>
      <w:hyperlink w:anchor="_Toc242801286" w:history="1">
        <w:r w:rsidRPr="00231040">
          <w:rPr>
            <w:rStyle w:val="Hyperlink"/>
            <w:noProof/>
            <w:lang w:val="fr-FR"/>
          </w:rPr>
          <w:t>Appui des accords multilatéraux sur l’environnement au Cadre</w:t>
        </w:r>
        <w:r>
          <w:rPr>
            <w:noProof/>
            <w:webHidden/>
          </w:rPr>
          <w:tab/>
        </w:r>
        <w:r>
          <w:rPr>
            <w:noProof/>
            <w:webHidden/>
          </w:rPr>
          <w:fldChar w:fldCharType="begin"/>
        </w:r>
        <w:r>
          <w:rPr>
            <w:noProof/>
            <w:webHidden/>
          </w:rPr>
          <w:instrText xml:space="preserve"> PAGEREF _Toc242801286 \h </w:instrText>
        </w:r>
        <w:r>
          <w:rPr>
            <w:noProof/>
            <w:webHidden/>
          </w:rPr>
        </w:r>
        <w:r>
          <w:rPr>
            <w:noProof/>
            <w:webHidden/>
          </w:rPr>
          <w:fldChar w:fldCharType="separate"/>
        </w:r>
        <w:r w:rsidR="001D1D8F">
          <w:rPr>
            <w:noProof/>
            <w:webHidden/>
          </w:rPr>
          <w:t>441</w:t>
        </w:r>
        <w:r>
          <w:rPr>
            <w:noProof/>
            <w:webHidden/>
          </w:rPr>
          <w:fldChar w:fldCharType="end"/>
        </w:r>
      </w:hyperlink>
    </w:p>
    <w:p w14:paraId="58BA22B4" w14:textId="19F6284A" w:rsidR="00425DE7" w:rsidRDefault="00425DE7">
      <w:pPr>
        <w:pStyle w:val="TOC4"/>
        <w:tabs>
          <w:tab w:val="right" w:leader="dot" w:pos="9350"/>
        </w:tabs>
        <w:rPr>
          <w:rFonts w:eastAsiaTheme="minorEastAsia"/>
          <w:noProof/>
          <w:sz w:val="24"/>
          <w:szCs w:val="24"/>
          <w:lang w:val="fr-FR" w:eastAsia="fr-FR"/>
        </w:rPr>
      </w:pPr>
      <w:hyperlink w:anchor="_Toc242801287" w:history="1">
        <w:r w:rsidRPr="00231040">
          <w:rPr>
            <w:rStyle w:val="Hyperlink"/>
            <w:noProof/>
            <w:lang w:val="fr-FR"/>
          </w:rPr>
          <w:t>Conventions de Rio</w:t>
        </w:r>
        <w:r>
          <w:rPr>
            <w:noProof/>
            <w:webHidden/>
          </w:rPr>
          <w:tab/>
        </w:r>
        <w:r>
          <w:rPr>
            <w:noProof/>
            <w:webHidden/>
          </w:rPr>
          <w:fldChar w:fldCharType="begin"/>
        </w:r>
        <w:r>
          <w:rPr>
            <w:noProof/>
            <w:webHidden/>
          </w:rPr>
          <w:instrText xml:space="preserve"> PAGEREF _Toc242801287 \h </w:instrText>
        </w:r>
        <w:r>
          <w:rPr>
            <w:noProof/>
            <w:webHidden/>
          </w:rPr>
        </w:r>
        <w:r>
          <w:rPr>
            <w:noProof/>
            <w:webHidden/>
          </w:rPr>
          <w:fldChar w:fldCharType="separate"/>
        </w:r>
        <w:r w:rsidR="001D1D8F">
          <w:rPr>
            <w:noProof/>
            <w:webHidden/>
          </w:rPr>
          <w:t>441</w:t>
        </w:r>
        <w:r>
          <w:rPr>
            <w:noProof/>
            <w:webHidden/>
          </w:rPr>
          <w:fldChar w:fldCharType="end"/>
        </w:r>
      </w:hyperlink>
    </w:p>
    <w:p w14:paraId="77D23758" w14:textId="70F8800C" w:rsidR="00425DE7" w:rsidRDefault="00425DE7">
      <w:pPr>
        <w:pStyle w:val="TOC4"/>
        <w:tabs>
          <w:tab w:val="right" w:leader="dot" w:pos="9350"/>
        </w:tabs>
        <w:rPr>
          <w:rFonts w:eastAsiaTheme="minorEastAsia"/>
          <w:noProof/>
          <w:sz w:val="24"/>
          <w:szCs w:val="24"/>
          <w:lang w:val="fr-FR" w:eastAsia="fr-FR"/>
        </w:rPr>
      </w:pPr>
      <w:hyperlink w:anchor="_Toc242801288" w:history="1">
        <w:r w:rsidRPr="00231040">
          <w:rPr>
            <w:rStyle w:val="Hyperlink"/>
            <w:noProof/>
            <w:lang w:val="fr-FR"/>
          </w:rPr>
          <w:t>Conventions relatives à la biodiversité</w:t>
        </w:r>
        <w:r>
          <w:rPr>
            <w:noProof/>
            <w:webHidden/>
          </w:rPr>
          <w:tab/>
        </w:r>
        <w:r>
          <w:rPr>
            <w:noProof/>
            <w:webHidden/>
          </w:rPr>
          <w:fldChar w:fldCharType="begin"/>
        </w:r>
        <w:r>
          <w:rPr>
            <w:noProof/>
            <w:webHidden/>
          </w:rPr>
          <w:instrText xml:space="preserve"> PAGEREF _Toc242801288 \h </w:instrText>
        </w:r>
        <w:r>
          <w:rPr>
            <w:noProof/>
            <w:webHidden/>
          </w:rPr>
        </w:r>
        <w:r>
          <w:rPr>
            <w:noProof/>
            <w:webHidden/>
          </w:rPr>
          <w:fldChar w:fldCharType="separate"/>
        </w:r>
        <w:r w:rsidR="001D1D8F">
          <w:rPr>
            <w:noProof/>
            <w:webHidden/>
          </w:rPr>
          <w:t>443</w:t>
        </w:r>
        <w:r>
          <w:rPr>
            <w:noProof/>
            <w:webHidden/>
          </w:rPr>
          <w:fldChar w:fldCharType="end"/>
        </w:r>
      </w:hyperlink>
    </w:p>
    <w:p w14:paraId="56A210A5" w14:textId="4A3EEF4E" w:rsidR="00425DE7" w:rsidRDefault="00425DE7">
      <w:pPr>
        <w:pStyle w:val="TOC4"/>
        <w:tabs>
          <w:tab w:val="right" w:leader="dot" w:pos="9350"/>
        </w:tabs>
        <w:rPr>
          <w:rFonts w:eastAsiaTheme="minorEastAsia"/>
          <w:noProof/>
          <w:sz w:val="24"/>
          <w:szCs w:val="24"/>
          <w:lang w:val="fr-FR" w:eastAsia="fr-FR"/>
        </w:rPr>
      </w:pPr>
      <w:hyperlink w:anchor="_Toc242801289" w:history="1">
        <w:r w:rsidRPr="00231040">
          <w:rPr>
            <w:rStyle w:val="Hyperlink"/>
            <w:noProof/>
            <w:lang w:val="fr-FR"/>
          </w:rPr>
          <w:t>Autres accords multilatéraux sur l’environnement pertinents</w:t>
        </w:r>
        <w:r>
          <w:rPr>
            <w:noProof/>
            <w:webHidden/>
          </w:rPr>
          <w:tab/>
        </w:r>
        <w:r>
          <w:rPr>
            <w:noProof/>
            <w:webHidden/>
          </w:rPr>
          <w:fldChar w:fldCharType="begin"/>
        </w:r>
        <w:r>
          <w:rPr>
            <w:noProof/>
            <w:webHidden/>
          </w:rPr>
          <w:instrText xml:space="preserve"> PAGEREF _Toc242801289 \h </w:instrText>
        </w:r>
        <w:r>
          <w:rPr>
            <w:noProof/>
            <w:webHidden/>
          </w:rPr>
        </w:r>
        <w:r>
          <w:rPr>
            <w:noProof/>
            <w:webHidden/>
          </w:rPr>
          <w:fldChar w:fldCharType="separate"/>
        </w:r>
        <w:r w:rsidR="001D1D8F">
          <w:rPr>
            <w:noProof/>
            <w:webHidden/>
          </w:rPr>
          <w:t>446</w:t>
        </w:r>
        <w:r>
          <w:rPr>
            <w:noProof/>
            <w:webHidden/>
          </w:rPr>
          <w:fldChar w:fldCharType="end"/>
        </w:r>
      </w:hyperlink>
    </w:p>
    <w:p w14:paraId="22657684" w14:textId="2AA3F588" w:rsidR="00425DE7" w:rsidRDefault="00425DE7">
      <w:pPr>
        <w:pStyle w:val="TOC3"/>
        <w:tabs>
          <w:tab w:val="right" w:leader="dot" w:pos="9350"/>
        </w:tabs>
        <w:rPr>
          <w:rFonts w:eastAsiaTheme="minorEastAsia"/>
          <w:noProof/>
          <w:sz w:val="24"/>
          <w:szCs w:val="24"/>
          <w:lang w:val="fr-FR" w:eastAsia="fr-FR"/>
        </w:rPr>
      </w:pPr>
      <w:hyperlink w:anchor="_Toc242801290" w:history="1">
        <w:r w:rsidRPr="00231040">
          <w:rPr>
            <w:rStyle w:val="Hyperlink"/>
            <w:noProof/>
            <w:lang w:val="fr-FR"/>
          </w:rPr>
          <w:t>Accords multilatéraux sur l’environnement, autres accords et conventions figurant dans les stratégies et plans d’action nationaux pour la biodiversité</w:t>
        </w:r>
        <w:r>
          <w:rPr>
            <w:noProof/>
            <w:webHidden/>
          </w:rPr>
          <w:tab/>
        </w:r>
        <w:r>
          <w:rPr>
            <w:noProof/>
            <w:webHidden/>
          </w:rPr>
          <w:fldChar w:fldCharType="begin"/>
        </w:r>
        <w:r>
          <w:rPr>
            <w:noProof/>
            <w:webHidden/>
          </w:rPr>
          <w:instrText xml:space="preserve"> PAGEREF _Toc242801290 \h </w:instrText>
        </w:r>
        <w:r>
          <w:rPr>
            <w:noProof/>
            <w:webHidden/>
          </w:rPr>
        </w:r>
        <w:r>
          <w:rPr>
            <w:noProof/>
            <w:webHidden/>
          </w:rPr>
          <w:fldChar w:fldCharType="separate"/>
        </w:r>
        <w:r w:rsidR="001D1D8F">
          <w:rPr>
            <w:noProof/>
            <w:webHidden/>
          </w:rPr>
          <w:t>447</w:t>
        </w:r>
        <w:r>
          <w:rPr>
            <w:noProof/>
            <w:webHidden/>
          </w:rPr>
          <w:fldChar w:fldCharType="end"/>
        </w:r>
      </w:hyperlink>
    </w:p>
    <w:p w14:paraId="29806100" w14:textId="314B8AD3" w:rsidR="00425DE7" w:rsidRDefault="00425DE7">
      <w:pPr>
        <w:pStyle w:val="TOC3"/>
        <w:tabs>
          <w:tab w:val="right" w:leader="dot" w:pos="9350"/>
        </w:tabs>
        <w:rPr>
          <w:rFonts w:eastAsiaTheme="minorEastAsia"/>
          <w:noProof/>
          <w:sz w:val="24"/>
          <w:szCs w:val="24"/>
          <w:lang w:val="fr-FR" w:eastAsia="fr-FR"/>
        </w:rPr>
      </w:pPr>
      <w:hyperlink w:anchor="_Toc242801291" w:history="1">
        <w:r w:rsidRPr="00231040">
          <w:rPr>
            <w:rStyle w:val="Hyperlink"/>
            <w:i/>
            <w:iCs/>
            <w:noProof/>
            <w:lang w:val="fr-FR"/>
          </w:rPr>
          <w:t>Note :</w:t>
        </w:r>
        <w:r w:rsidRPr="00231040">
          <w:rPr>
            <w:rStyle w:val="Hyperlink"/>
            <w:noProof/>
            <w:lang w:val="fr-FR"/>
          </w:rPr>
          <w:t xml:space="preserve"> Seuls les accords de portée mondiale sont recensés. Lorsqu’une Partie a soumis plus d’un SPANB (par exemple, lorsque des SPANB distincts ont été soumis pour des territoires d’outre-mer), le nombre de Parties est indiqué entre parenthèses.</w:t>
        </w:r>
        <w:r>
          <w:rPr>
            <w:noProof/>
            <w:webHidden/>
          </w:rPr>
          <w:tab/>
        </w:r>
        <w:r>
          <w:rPr>
            <w:noProof/>
            <w:webHidden/>
          </w:rPr>
          <w:fldChar w:fldCharType="begin"/>
        </w:r>
        <w:r>
          <w:rPr>
            <w:noProof/>
            <w:webHidden/>
          </w:rPr>
          <w:instrText xml:space="preserve"> PAGEREF _Toc242801291 \h </w:instrText>
        </w:r>
        <w:r>
          <w:rPr>
            <w:noProof/>
            <w:webHidden/>
          </w:rPr>
        </w:r>
        <w:r>
          <w:rPr>
            <w:noProof/>
            <w:webHidden/>
          </w:rPr>
          <w:fldChar w:fldCharType="separate"/>
        </w:r>
        <w:r w:rsidR="001D1D8F">
          <w:rPr>
            <w:noProof/>
            <w:webHidden/>
          </w:rPr>
          <w:t>448</w:t>
        </w:r>
        <w:r>
          <w:rPr>
            <w:noProof/>
            <w:webHidden/>
          </w:rPr>
          <w:fldChar w:fldCharType="end"/>
        </w:r>
      </w:hyperlink>
    </w:p>
    <w:p w14:paraId="3D15F592" w14:textId="038DA258" w:rsidR="00425DE7" w:rsidRDefault="00425DE7">
      <w:pPr>
        <w:pStyle w:val="TOC3"/>
        <w:tabs>
          <w:tab w:val="right" w:leader="dot" w:pos="9350"/>
        </w:tabs>
        <w:rPr>
          <w:rFonts w:eastAsiaTheme="minorEastAsia"/>
          <w:noProof/>
          <w:sz w:val="24"/>
          <w:szCs w:val="24"/>
          <w:lang w:val="fr-FR" w:eastAsia="fr-FR"/>
        </w:rPr>
      </w:pPr>
      <w:hyperlink w:anchor="_Toc242801292" w:history="1">
        <w:r w:rsidRPr="00231040">
          <w:rPr>
            <w:rStyle w:val="Hyperlink"/>
            <w:noProof/>
            <w:lang w:val="fr-FR"/>
          </w:rPr>
          <w:t>Autres organisations et processus internationaux pertinents</w:t>
        </w:r>
        <w:r>
          <w:rPr>
            <w:noProof/>
            <w:webHidden/>
          </w:rPr>
          <w:tab/>
        </w:r>
        <w:r>
          <w:rPr>
            <w:noProof/>
            <w:webHidden/>
          </w:rPr>
          <w:fldChar w:fldCharType="begin"/>
        </w:r>
        <w:r>
          <w:rPr>
            <w:noProof/>
            <w:webHidden/>
          </w:rPr>
          <w:instrText xml:space="preserve"> PAGEREF _Toc242801292 \h </w:instrText>
        </w:r>
        <w:r>
          <w:rPr>
            <w:noProof/>
            <w:webHidden/>
          </w:rPr>
        </w:r>
        <w:r>
          <w:rPr>
            <w:noProof/>
            <w:webHidden/>
          </w:rPr>
          <w:fldChar w:fldCharType="separate"/>
        </w:r>
        <w:r w:rsidR="001D1D8F">
          <w:rPr>
            <w:noProof/>
            <w:webHidden/>
          </w:rPr>
          <w:t>448</w:t>
        </w:r>
        <w:r>
          <w:rPr>
            <w:noProof/>
            <w:webHidden/>
          </w:rPr>
          <w:fldChar w:fldCharType="end"/>
        </w:r>
      </w:hyperlink>
    </w:p>
    <w:p w14:paraId="0E7AC134" w14:textId="066134EE" w:rsidR="00425DE7" w:rsidRDefault="00425DE7">
      <w:pPr>
        <w:pStyle w:val="TOC1"/>
        <w:tabs>
          <w:tab w:val="right" w:leader="dot" w:pos="9350"/>
        </w:tabs>
        <w:rPr>
          <w:rFonts w:eastAsiaTheme="minorEastAsia"/>
          <w:b w:val="0"/>
          <w:bCs w:val="0"/>
          <w:i w:val="0"/>
          <w:iCs w:val="0"/>
          <w:noProof/>
          <w:lang w:val="fr-FR" w:eastAsia="fr-FR"/>
        </w:rPr>
      </w:pPr>
      <w:hyperlink w:anchor="_Toc242801293" w:history="1">
        <w:r w:rsidRPr="00231040">
          <w:rPr>
            <w:rStyle w:val="Hyperlink"/>
            <w:noProof/>
            <w:lang w:val="fr-FR"/>
          </w:rPr>
          <w:t>Partie III : Conclusions et principaux messages</w:t>
        </w:r>
        <w:r>
          <w:rPr>
            <w:noProof/>
            <w:webHidden/>
          </w:rPr>
          <w:tab/>
        </w:r>
        <w:r>
          <w:rPr>
            <w:noProof/>
            <w:webHidden/>
          </w:rPr>
          <w:fldChar w:fldCharType="begin"/>
        </w:r>
        <w:r>
          <w:rPr>
            <w:noProof/>
            <w:webHidden/>
          </w:rPr>
          <w:instrText xml:space="preserve"> PAGEREF _Toc242801293 \h </w:instrText>
        </w:r>
        <w:r>
          <w:rPr>
            <w:noProof/>
            <w:webHidden/>
          </w:rPr>
        </w:r>
        <w:r>
          <w:rPr>
            <w:noProof/>
            <w:webHidden/>
          </w:rPr>
          <w:fldChar w:fldCharType="separate"/>
        </w:r>
        <w:r w:rsidR="001D1D8F">
          <w:rPr>
            <w:noProof/>
            <w:webHidden/>
          </w:rPr>
          <w:t>453</w:t>
        </w:r>
        <w:r>
          <w:rPr>
            <w:noProof/>
            <w:webHidden/>
          </w:rPr>
          <w:fldChar w:fldCharType="end"/>
        </w:r>
      </w:hyperlink>
    </w:p>
    <w:p w14:paraId="16528F3B" w14:textId="3DBEC968" w:rsidR="00425DE7" w:rsidRDefault="00425DE7">
      <w:pPr>
        <w:pStyle w:val="TOC2"/>
        <w:tabs>
          <w:tab w:val="right" w:leader="dot" w:pos="9350"/>
        </w:tabs>
        <w:rPr>
          <w:rFonts w:eastAsiaTheme="minorEastAsia"/>
          <w:b w:val="0"/>
          <w:bCs w:val="0"/>
          <w:noProof/>
          <w:sz w:val="24"/>
          <w:szCs w:val="24"/>
          <w:lang w:val="fr-FR" w:eastAsia="fr-FR"/>
        </w:rPr>
      </w:pPr>
      <w:hyperlink w:anchor="_Toc242801294" w:history="1">
        <w:r w:rsidRPr="00231040">
          <w:rPr>
            <w:rStyle w:val="Hyperlink"/>
            <w:noProof/>
            <w:lang w:val="fr-FR"/>
          </w:rPr>
          <w:t>III.A Synthèse des progrès collectifs accomplis dans la mise en œuvre du Cadre mondial de la biodiversité de Kunming-Montréal, y compris la mission à l’horizon 2030 et la vision à l’horizon 2050</w:t>
        </w:r>
        <w:r>
          <w:rPr>
            <w:noProof/>
            <w:webHidden/>
          </w:rPr>
          <w:tab/>
        </w:r>
        <w:r>
          <w:rPr>
            <w:noProof/>
            <w:webHidden/>
          </w:rPr>
          <w:fldChar w:fldCharType="begin"/>
        </w:r>
        <w:r>
          <w:rPr>
            <w:noProof/>
            <w:webHidden/>
          </w:rPr>
          <w:instrText xml:space="preserve"> PAGEREF _Toc242801294 \h </w:instrText>
        </w:r>
        <w:r>
          <w:rPr>
            <w:noProof/>
            <w:webHidden/>
          </w:rPr>
        </w:r>
        <w:r>
          <w:rPr>
            <w:noProof/>
            <w:webHidden/>
          </w:rPr>
          <w:fldChar w:fldCharType="separate"/>
        </w:r>
        <w:r w:rsidR="001D1D8F">
          <w:rPr>
            <w:noProof/>
            <w:webHidden/>
          </w:rPr>
          <w:t>453</w:t>
        </w:r>
        <w:r>
          <w:rPr>
            <w:noProof/>
            <w:webHidden/>
          </w:rPr>
          <w:fldChar w:fldCharType="end"/>
        </w:r>
      </w:hyperlink>
    </w:p>
    <w:p w14:paraId="784D8BC5" w14:textId="7B2EF1E5" w:rsidR="00425DE7" w:rsidRDefault="00425DE7">
      <w:pPr>
        <w:pStyle w:val="TOC2"/>
        <w:tabs>
          <w:tab w:val="right" w:leader="dot" w:pos="9350"/>
        </w:tabs>
        <w:rPr>
          <w:rFonts w:eastAsiaTheme="minorEastAsia"/>
          <w:b w:val="0"/>
          <w:bCs w:val="0"/>
          <w:noProof/>
          <w:sz w:val="24"/>
          <w:szCs w:val="24"/>
          <w:lang w:val="fr-FR" w:eastAsia="fr-FR"/>
        </w:rPr>
      </w:pPr>
      <w:hyperlink w:anchor="_Toc242801295" w:history="1">
        <w:r w:rsidRPr="00231040">
          <w:rPr>
            <w:rStyle w:val="Hyperlink"/>
            <w:noProof/>
            <w:lang w:val="fr-FR"/>
          </w:rPr>
          <w:t>III.B Pour aller de l’avant : difficultés et possibilités</w:t>
        </w:r>
        <w:r>
          <w:rPr>
            <w:noProof/>
            <w:webHidden/>
          </w:rPr>
          <w:tab/>
        </w:r>
        <w:r>
          <w:rPr>
            <w:noProof/>
            <w:webHidden/>
          </w:rPr>
          <w:fldChar w:fldCharType="begin"/>
        </w:r>
        <w:r>
          <w:rPr>
            <w:noProof/>
            <w:webHidden/>
          </w:rPr>
          <w:instrText xml:space="preserve"> PAGEREF _Toc242801295 \h </w:instrText>
        </w:r>
        <w:r>
          <w:rPr>
            <w:noProof/>
            <w:webHidden/>
          </w:rPr>
        </w:r>
        <w:r>
          <w:rPr>
            <w:noProof/>
            <w:webHidden/>
          </w:rPr>
          <w:fldChar w:fldCharType="separate"/>
        </w:r>
        <w:r w:rsidR="001D1D8F">
          <w:rPr>
            <w:noProof/>
            <w:webHidden/>
          </w:rPr>
          <w:t>471</w:t>
        </w:r>
        <w:r>
          <w:rPr>
            <w:noProof/>
            <w:webHidden/>
          </w:rPr>
          <w:fldChar w:fldCharType="end"/>
        </w:r>
      </w:hyperlink>
    </w:p>
    <w:p w14:paraId="51F7ED64" w14:textId="2CDEBFAF" w:rsidR="00425DE7" w:rsidRDefault="00425DE7">
      <w:pPr>
        <w:pStyle w:val="TOC1"/>
        <w:tabs>
          <w:tab w:val="right" w:leader="dot" w:pos="9350"/>
        </w:tabs>
        <w:rPr>
          <w:rFonts w:eastAsiaTheme="minorEastAsia"/>
          <w:b w:val="0"/>
          <w:bCs w:val="0"/>
          <w:i w:val="0"/>
          <w:iCs w:val="0"/>
          <w:noProof/>
          <w:lang w:val="fr-FR" w:eastAsia="fr-FR"/>
        </w:rPr>
      </w:pPr>
      <w:hyperlink w:anchor="_Toc242801296" w:history="1">
        <w:r w:rsidRPr="00231040">
          <w:rPr>
            <w:rStyle w:val="Hyperlink"/>
            <w:noProof/>
            <w:lang w:val="fr-FR"/>
          </w:rPr>
          <w:t>Bibliographie</w:t>
        </w:r>
        <w:r>
          <w:rPr>
            <w:noProof/>
            <w:webHidden/>
          </w:rPr>
          <w:tab/>
        </w:r>
        <w:r>
          <w:rPr>
            <w:noProof/>
            <w:webHidden/>
          </w:rPr>
          <w:fldChar w:fldCharType="begin"/>
        </w:r>
        <w:r>
          <w:rPr>
            <w:noProof/>
            <w:webHidden/>
          </w:rPr>
          <w:instrText xml:space="preserve"> PAGEREF _Toc242801296 \h </w:instrText>
        </w:r>
        <w:r>
          <w:rPr>
            <w:noProof/>
            <w:webHidden/>
          </w:rPr>
        </w:r>
        <w:r>
          <w:rPr>
            <w:noProof/>
            <w:webHidden/>
          </w:rPr>
          <w:fldChar w:fldCharType="separate"/>
        </w:r>
        <w:r w:rsidR="001D1D8F">
          <w:rPr>
            <w:noProof/>
            <w:webHidden/>
          </w:rPr>
          <w:t>484</w:t>
        </w:r>
        <w:r>
          <w:rPr>
            <w:noProof/>
            <w:webHidden/>
          </w:rPr>
          <w:fldChar w:fldCharType="end"/>
        </w:r>
      </w:hyperlink>
    </w:p>
    <w:p w14:paraId="51A275A5" w14:textId="2F5AF3AA" w:rsidR="00AC26D4" w:rsidRPr="00653BF4" w:rsidRDefault="00EF2D5D" w:rsidP="00AC26D4">
      <w:pPr>
        <w:rPr>
          <w:lang w:val="fr-FR"/>
        </w:rPr>
      </w:pPr>
      <w:r w:rsidRPr="00653BF4">
        <w:rPr>
          <w:lang w:val="fr-FR"/>
        </w:rPr>
        <w:fldChar w:fldCharType="end"/>
      </w:r>
    </w:p>
    <w:p w14:paraId="2F42CBB7" w14:textId="77777777" w:rsidR="0043413A" w:rsidRPr="00653BF4" w:rsidRDefault="0043413A">
      <w:pPr>
        <w:rPr>
          <w:rFonts w:asciiTheme="majorHAnsi" w:eastAsiaTheme="majorEastAsia" w:hAnsiTheme="majorHAnsi" w:cstheme="majorBidi"/>
          <w:color w:val="0F4761" w:themeColor="accent1" w:themeShade="BF"/>
          <w:sz w:val="40"/>
          <w:szCs w:val="40"/>
          <w:lang w:val="fr-FR"/>
        </w:rPr>
      </w:pPr>
      <w:r w:rsidRPr="00653BF4">
        <w:rPr>
          <w:lang w:val="fr-FR"/>
        </w:rPr>
        <w:br w:type="page"/>
      </w:r>
    </w:p>
    <w:p w14:paraId="4C9068DE" w14:textId="22290D90" w:rsidR="00433049" w:rsidRPr="00653BF4" w:rsidRDefault="00730ECD" w:rsidP="00433049">
      <w:pPr>
        <w:pStyle w:val="Heading1"/>
        <w:rPr>
          <w:lang w:val="fr-FR"/>
        </w:rPr>
      </w:pPr>
      <w:bookmarkStart w:id="0" w:name="_Toc242801210"/>
      <w:r w:rsidRPr="00653BF4">
        <w:rPr>
          <w:lang w:val="fr-FR"/>
        </w:rPr>
        <w:lastRenderedPageBreak/>
        <w:t>Avant-propos</w:t>
      </w:r>
      <w:bookmarkEnd w:id="0"/>
    </w:p>
    <w:p w14:paraId="00B5E5B3" w14:textId="2BE0D533" w:rsidR="066448CA" w:rsidRPr="00653BF4" w:rsidRDefault="066448CA" w:rsidP="066448CA">
      <w:pPr>
        <w:spacing w:line="276" w:lineRule="auto"/>
        <w:rPr>
          <w:rFonts w:eastAsiaTheme="minorEastAsia"/>
          <w:i/>
          <w:iCs/>
          <w:lang w:val="fr-FR"/>
        </w:rPr>
      </w:pPr>
    </w:p>
    <w:p w14:paraId="2E9EF065" w14:textId="4677E345" w:rsidR="009B27A3" w:rsidRPr="00653BF4" w:rsidRDefault="00E34DC9" w:rsidP="74032CC2">
      <w:pPr>
        <w:spacing w:line="276" w:lineRule="auto"/>
        <w:rPr>
          <w:rFonts w:eastAsiaTheme="minorEastAsia"/>
          <w:i/>
          <w:iCs/>
          <w:color w:val="000000" w:themeColor="text1"/>
          <w:lang w:val="fr-FR"/>
        </w:rPr>
      </w:pPr>
      <w:r>
        <w:rPr>
          <w:rFonts w:eastAsiaTheme="minorEastAsia"/>
          <w:i/>
          <w:iCs/>
          <w:lang w:val="fr-FR"/>
        </w:rPr>
        <w:t>« </w:t>
      </w:r>
      <w:r w:rsidR="00BF77B4" w:rsidRPr="00653BF4">
        <w:rPr>
          <w:rFonts w:eastAsiaTheme="minorEastAsia"/>
          <w:i/>
          <w:iCs/>
          <w:lang w:val="fr-FR"/>
        </w:rPr>
        <w:t>La biodiversité</w:t>
      </w:r>
      <w:r w:rsidR="00F870A1" w:rsidRPr="00653BF4">
        <w:rPr>
          <w:rFonts w:eastAsiaTheme="minorEastAsia"/>
          <w:i/>
          <w:iCs/>
          <w:lang w:val="fr-FR"/>
        </w:rPr>
        <w:t xml:space="preserve"> </w:t>
      </w:r>
      <w:r w:rsidR="00B663D9">
        <w:rPr>
          <w:rFonts w:eastAsiaTheme="minorEastAsia"/>
          <w:i/>
          <w:iCs/>
          <w:lang w:val="fr-FR"/>
        </w:rPr>
        <w:t>constitue</w:t>
      </w:r>
      <w:r w:rsidR="00BF77B4" w:rsidRPr="00653BF4">
        <w:rPr>
          <w:rFonts w:eastAsiaTheme="minorEastAsia"/>
          <w:i/>
          <w:iCs/>
          <w:lang w:val="fr-FR"/>
        </w:rPr>
        <w:t xml:space="preserve"> l</w:t>
      </w:r>
      <w:r w:rsidR="003D04A4" w:rsidRPr="00653BF4">
        <w:rPr>
          <w:rFonts w:eastAsiaTheme="minorEastAsia"/>
          <w:i/>
          <w:iCs/>
          <w:lang w:val="fr-FR"/>
        </w:rPr>
        <w:t xml:space="preserve">a fondation </w:t>
      </w:r>
      <w:r w:rsidR="00BF77B4" w:rsidRPr="00653BF4">
        <w:rPr>
          <w:rFonts w:eastAsiaTheme="minorEastAsia"/>
          <w:i/>
          <w:iCs/>
          <w:lang w:val="fr-FR"/>
        </w:rPr>
        <w:t xml:space="preserve">de </w:t>
      </w:r>
      <w:r w:rsidR="00F870A1" w:rsidRPr="00653BF4">
        <w:rPr>
          <w:rFonts w:eastAsiaTheme="minorEastAsia"/>
          <w:i/>
          <w:iCs/>
          <w:lang w:val="fr-FR"/>
        </w:rPr>
        <w:t>la</w:t>
      </w:r>
      <w:r w:rsidR="002015A8" w:rsidRPr="00653BF4">
        <w:rPr>
          <w:rFonts w:eastAsiaTheme="minorEastAsia"/>
          <w:i/>
          <w:iCs/>
          <w:lang w:val="fr-FR"/>
        </w:rPr>
        <w:t xml:space="preserve"> </w:t>
      </w:r>
      <w:r w:rsidR="00BF77B4" w:rsidRPr="00653BF4">
        <w:rPr>
          <w:rFonts w:eastAsiaTheme="minorEastAsia"/>
          <w:i/>
          <w:iCs/>
          <w:lang w:val="fr-FR"/>
        </w:rPr>
        <w:t xml:space="preserve">vie sur Terre. La préservation de la diversité biologique est essentielle à la santé de notre planète, à la résilience de nos économies et au bien-être de toutes les populations. Ce rapport mondial, intitulé </w:t>
      </w:r>
      <w:r>
        <w:rPr>
          <w:rFonts w:eastAsiaTheme="minorEastAsia"/>
          <w:i/>
          <w:iCs/>
          <w:lang w:val="fr-FR"/>
        </w:rPr>
        <w:t>« </w:t>
      </w:r>
      <w:r w:rsidR="00BF77B4" w:rsidRPr="00653BF4">
        <w:rPr>
          <w:rFonts w:eastAsiaTheme="minorEastAsia"/>
          <w:i/>
          <w:iCs/>
          <w:lang w:val="fr-FR"/>
        </w:rPr>
        <w:t xml:space="preserve">État des lieux </w:t>
      </w:r>
      <w:r w:rsidR="009735B9" w:rsidRPr="00653BF4">
        <w:rPr>
          <w:rFonts w:eastAsiaTheme="minorEastAsia"/>
          <w:i/>
          <w:iCs/>
          <w:lang w:val="fr-FR"/>
        </w:rPr>
        <w:t>de l</w:t>
      </w:r>
      <w:r w:rsidR="002A58C8" w:rsidRPr="00653BF4">
        <w:rPr>
          <w:rFonts w:eastAsiaTheme="minorEastAsia"/>
          <w:i/>
          <w:iCs/>
          <w:lang w:val="fr-FR"/>
        </w:rPr>
        <w:t>’</w:t>
      </w:r>
      <w:r w:rsidR="009735B9" w:rsidRPr="00653BF4">
        <w:rPr>
          <w:rFonts w:eastAsiaTheme="minorEastAsia"/>
          <w:i/>
          <w:iCs/>
          <w:lang w:val="fr-FR"/>
        </w:rPr>
        <w:t xml:space="preserve">action </w:t>
      </w:r>
      <w:r w:rsidR="00BF77B4" w:rsidRPr="00653BF4">
        <w:rPr>
          <w:rFonts w:eastAsiaTheme="minorEastAsia"/>
          <w:i/>
          <w:iCs/>
          <w:lang w:val="fr-FR"/>
        </w:rPr>
        <w:t>en faveur de la biodiversité</w:t>
      </w:r>
      <w:r>
        <w:rPr>
          <w:rFonts w:eastAsiaTheme="minorEastAsia"/>
          <w:i/>
          <w:iCs/>
          <w:lang w:val="fr-FR"/>
        </w:rPr>
        <w:t> »</w:t>
      </w:r>
      <w:r w:rsidR="00BF77B4" w:rsidRPr="00653BF4">
        <w:rPr>
          <w:rFonts w:eastAsiaTheme="minorEastAsia"/>
          <w:i/>
          <w:iCs/>
          <w:lang w:val="fr-FR"/>
        </w:rPr>
        <w:t>, évalue les progrès accomplis dans la mise en œuvre du Cadre mondial de la biodiversité de Kunming-Montréal et passe en revue les mesures urgentes nécessaires pour atteindre ses cibles à l</w:t>
      </w:r>
      <w:r w:rsidR="002A58C8" w:rsidRPr="00653BF4">
        <w:rPr>
          <w:rFonts w:eastAsiaTheme="minorEastAsia"/>
          <w:i/>
          <w:iCs/>
          <w:lang w:val="fr-FR"/>
        </w:rPr>
        <w:t>’</w:t>
      </w:r>
      <w:r w:rsidR="00BF77B4" w:rsidRPr="00653BF4">
        <w:rPr>
          <w:rFonts w:eastAsiaTheme="minorEastAsia"/>
          <w:i/>
          <w:iCs/>
          <w:lang w:val="fr-FR"/>
        </w:rPr>
        <w:t>horizon 2030 et concrétiser sa vision pour 2050. Ensemble, nous pouvons passer à la vitesse supérieure, enrayer et inverser la perte de biodiversité, et préserver le socle naturel dont dépendent la vie et la prospérité de l</w:t>
      </w:r>
      <w:r w:rsidR="002A58C8" w:rsidRPr="00653BF4">
        <w:rPr>
          <w:rFonts w:eastAsiaTheme="minorEastAsia"/>
          <w:i/>
          <w:iCs/>
          <w:lang w:val="fr-FR"/>
        </w:rPr>
        <w:t>’</w:t>
      </w:r>
      <w:r w:rsidR="00BF77B4" w:rsidRPr="00653BF4">
        <w:rPr>
          <w:rFonts w:eastAsiaTheme="minorEastAsia"/>
          <w:i/>
          <w:iCs/>
          <w:lang w:val="fr-FR"/>
        </w:rPr>
        <w:t>humanité.</w:t>
      </w:r>
      <w:r>
        <w:rPr>
          <w:rFonts w:eastAsiaTheme="minorEastAsia"/>
          <w:i/>
          <w:iCs/>
          <w:lang w:val="fr-FR"/>
        </w:rPr>
        <w:t> »</w:t>
      </w:r>
      <w:r w:rsidR="63BF3BD2" w:rsidRPr="00653BF4">
        <w:rPr>
          <w:rFonts w:eastAsiaTheme="minorEastAsia"/>
          <w:i/>
          <w:iCs/>
          <w:color w:val="000000" w:themeColor="text1"/>
          <w:lang w:val="fr-FR"/>
        </w:rPr>
        <w:t xml:space="preserve"> </w:t>
      </w:r>
    </w:p>
    <w:p w14:paraId="4829667C" w14:textId="440636C0" w:rsidR="009B27A3" w:rsidRPr="00653BF4" w:rsidRDefault="22ABA6C6" w:rsidP="74032CC2">
      <w:pPr>
        <w:spacing w:line="276" w:lineRule="auto"/>
        <w:rPr>
          <w:b/>
          <w:bCs/>
          <w:lang w:val="fr-FR"/>
        </w:rPr>
      </w:pPr>
      <w:r w:rsidRPr="00653BF4">
        <w:rPr>
          <w:b/>
          <w:bCs/>
          <w:lang w:val="fr-FR"/>
        </w:rPr>
        <w:t xml:space="preserve">António Guterres, </w:t>
      </w:r>
      <w:r w:rsidR="00730ECD" w:rsidRPr="00653BF4">
        <w:rPr>
          <w:b/>
          <w:bCs/>
          <w:lang w:val="fr-FR"/>
        </w:rPr>
        <w:t>Secrétaire général des Nations Unies</w:t>
      </w:r>
    </w:p>
    <w:p w14:paraId="2A5812B3" w14:textId="7A39A947" w:rsidR="009B27A3" w:rsidRPr="00653BF4" w:rsidRDefault="009B27A3" w:rsidP="74032CC2">
      <w:pPr>
        <w:spacing w:line="276" w:lineRule="auto"/>
        <w:rPr>
          <w:rFonts w:eastAsiaTheme="minorEastAsia"/>
          <w:lang w:val="fr-FR"/>
        </w:rPr>
      </w:pPr>
    </w:p>
    <w:p w14:paraId="5E09023D" w14:textId="24652581" w:rsidR="009B27A3" w:rsidRPr="00653BF4" w:rsidRDefault="00E34DC9" w:rsidP="74032CC2">
      <w:pPr>
        <w:spacing w:line="276" w:lineRule="auto"/>
        <w:rPr>
          <w:rFonts w:eastAsiaTheme="minorEastAsia"/>
          <w:i/>
          <w:iCs/>
          <w:color w:val="000000" w:themeColor="text1"/>
          <w:lang w:val="fr-FR"/>
        </w:rPr>
      </w:pPr>
      <w:r>
        <w:rPr>
          <w:rFonts w:eastAsiaTheme="minorEastAsia"/>
          <w:i/>
          <w:iCs/>
          <w:color w:val="000000" w:themeColor="text1"/>
          <w:lang w:val="fr-FR"/>
        </w:rPr>
        <w:t>« </w:t>
      </w:r>
      <w:r w:rsidR="004E295D" w:rsidRPr="00653BF4">
        <w:rPr>
          <w:rFonts w:eastAsiaTheme="minorEastAsia"/>
          <w:i/>
          <w:iCs/>
          <w:color w:val="000000" w:themeColor="text1"/>
          <w:lang w:val="fr-FR"/>
        </w:rPr>
        <w:t xml:space="preserve">Le Cadre mondial de la biodiversité de Kunming-Montréal </w:t>
      </w:r>
      <w:r w:rsidR="00FA38CF" w:rsidRPr="00653BF4">
        <w:rPr>
          <w:rFonts w:eastAsiaTheme="minorEastAsia"/>
          <w:i/>
          <w:iCs/>
          <w:color w:val="000000" w:themeColor="text1"/>
          <w:lang w:val="fr-FR"/>
        </w:rPr>
        <w:t>représente</w:t>
      </w:r>
      <w:r w:rsidR="004E295D" w:rsidRPr="00653BF4">
        <w:rPr>
          <w:rFonts w:eastAsiaTheme="minorEastAsia"/>
          <w:i/>
          <w:iCs/>
          <w:color w:val="000000" w:themeColor="text1"/>
          <w:lang w:val="fr-FR"/>
        </w:rPr>
        <w:t xml:space="preserve"> notre stratégie de protection et d</w:t>
      </w:r>
      <w:r w:rsidR="002A58C8" w:rsidRPr="00653BF4">
        <w:rPr>
          <w:rFonts w:eastAsiaTheme="minorEastAsia"/>
          <w:i/>
          <w:iCs/>
          <w:color w:val="000000" w:themeColor="text1"/>
          <w:lang w:val="fr-FR"/>
        </w:rPr>
        <w:t>’</w:t>
      </w:r>
      <w:r w:rsidR="004E295D" w:rsidRPr="00653BF4">
        <w:rPr>
          <w:rFonts w:eastAsiaTheme="minorEastAsia"/>
          <w:i/>
          <w:iCs/>
          <w:color w:val="000000" w:themeColor="text1"/>
          <w:lang w:val="fr-FR"/>
        </w:rPr>
        <w:t xml:space="preserve">apaisement vis-à-vis de la nature. Pourtant, alors que nous approchons de la mi-parcours </w:t>
      </w:r>
      <w:r w:rsidR="001577C0">
        <w:rPr>
          <w:rFonts w:eastAsiaTheme="minorEastAsia"/>
          <w:i/>
          <w:iCs/>
          <w:color w:val="000000" w:themeColor="text1"/>
          <w:lang w:val="fr-FR"/>
        </w:rPr>
        <w:t>d’ici à</w:t>
      </w:r>
      <w:r w:rsidR="004E295D" w:rsidRPr="00653BF4">
        <w:rPr>
          <w:rFonts w:eastAsiaTheme="minorEastAsia"/>
          <w:i/>
          <w:iCs/>
          <w:color w:val="000000" w:themeColor="text1"/>
          <w:lang w:val="fr-FR"/>
        </w:rPr>
        <w:t xml:space="preserve"> 2030, ce nouveau rapport mondial, intitulé </w:t>
      </w:r>
      <w:r>
        <w:rPr>
          <w:rFonts w:eastAsiaTheme="minorEastAsia"/>
          <w:i/>
          <w:iCs/>
          <w:color w:val="000000" w:themeColor="text1"/>
          <w:lang w:val="fr-FR"/>
        </w:rPr>
        <w:t>« </w:t>
      </w:r>
      <w:r w:rsidR="004E295D" w:rsidRPr="00653BF4">
        <w:rPr>
          <w:rFonts w:eastAsiaTheme="minorEastAsia"/>
          <w:i/>
          <w:iCs/>
          <w:color w:val="000000" w:themeColor="text1"/>
          <w:lang w:val="fr-FR"/>
        </w:rPr>
        <w:t>É</w:t>
      </w:r>
      <w:r w:rsidR="002161BC" w:rsidRPr="00653BF4">
        <w:rPr>
          <w:rFonts w:eastAsiaTheme="minorEastAsia"/>
          <w:i/>
          <w:iCs/>
          <w:color w:val="000000" w:themeColor="text1"/>
          <w:lang w:val="fr-FR"/>
        </w:rPr>
        <w:t>tat des lieux de l</w:t>
      </w:r>
      <w:r w:rsidR="002A58C8" w:rsidRPr="00653BF4">
        <w:rPr>
          <w:rFonts w:eastAsiaTheme="minorEastAsia"/>
          <w:i/>
          <w:iCs/>
          <w:color w:val="000000" w:themeColor="text1"/>
          <w:lang w:val="fr-FR"/>
        </w:rPr>
        <w:t>’</w:t>
      </w:r>
      <w:r w:rsidR="002161BC" w:rsidRPr="00653BF4">
        <w:rPr>
          <w:rFonts w:eastAsiaTheme="minorEastAsia"/>
          <w:i/>
          <w:iCs/>
          <w:color w:val="000000" w:themeColor="text1"/>
          <w:lang w:val="fr-FR"/>
        </w:rPr>
        <w:t>action</w:t>
      </w:r>
      <w:r w:rsidR="004E295D" w:rsidRPr="00653BF4">
        <w:rPr>
          <w:rFonts w:eastAsiaTheme="minorEastAsia"/>
          <w:i/>
          <w:iCs/>
          <w:color w:val="000000" w:themeColor="text1"/>
          <w:lang w:val="fr-FR"/>
        </w:rPr>
        <w:t xml:space="preserve"> en faveur de la biodiversité</w:t>
      </w:r>
      <w:r>
        <w:rPr>
          <w:rFonts w:eastAsiaTheme="minorEastAsia"/>
          <w:i/>
          <w:iCs/>
          <w:color w:val="000000" w:themeColor="text1"/>
          <w:lang w:val="fr-FR"/>
        </w:rPr>
        <w:t> »</w:t>
      </w:r>
      <w:r w:rsidR="004E295D" w:rsidRPr="00653BF4">
        <w:rPr>
          <w:rFonts w:eastAsiaTheme="minorEastAsia"/>
          <w:i/>
          <w:iCs/>
          <w:color w:val="000000" w:themeColor="text1"/>
          <w:lang w:val="fr-FR"/>
        </w:rPr>
        <w:t>, révèle une réalité préoccupante</w:t>
      </w:r>
      <w:r>
        <w:rPr>
          <w:rFonts w:eastAsiaTheme="minorEastAsia"/>
          <w:i/>
          <w:iCs/>
          <w:color w:val="000000" w:themeColor="text1"/>
          <w:lang w:val="fr-FR"/>
        </w:rPr>
        <w:t> :</w:t>
      </w:r>
      <w:r w:rsidR="004E295D" w:rsidRPr="00653BF4">
        <w:rPr>
          <w:rFonts w:eastAsiaTheme="minorEastAsia"/>
          <w:i/>
          <w:iCs/>
          <w:color w:val="000000" w:themeColor="text1"/>
          <w:lang w:val="fr-FR"/>
        </w:rPr>
        <w:t xml:space="preserve"> nous sommes toujours loin d</w:t>
      </w:r>
      <w:r w:rsidR="002A58C8" w:rsidRPr="00653BF4">
        <w:rPr>
          <w:rFonts w:eastAsiaTheme="minorEastAsia"/>
          <w:i/>
          <w:iCs/>
          <w:color w:val="000000" w:themeColor="text1"/>
          <w:lang w:val="fr-FR"/>
        </w:rPr>
        <w:t>’</w:t>
      </w:r>
      <w:r w:rsidR="004E295D" w:rsidRPr="00653BF4">
        <w:rPr>
          <w:rFonts w:eastAsiaTheme="minorEastAsia"/>
          <w:i/>
          <w:iCs/>
          <w:color w:val="000000" w:themeColor="text1"/>
          <w:lang w:val="fr-FR"/>
        </w:rPr>
        <w:t>avoir atteint nos objectifs collectifs. Ce dont la biodiversité, dont nous dépendons, a besoin, c</w:t>
      </w:r>
      <w:r w:rsidR="002A58C8" w:rsidRPr="00653BF4">
        <w:rPr>
          <w:rFonts w:eastAsiaTheme="minorEastAsia"/>
          <w:i/>
          <w:iCs/>
          <w:color w:val="000000" w:themeColor="text1"/>
          <w:lang w:val="fr-FR"/>
        </w:rPr>
        <w:t>’</w:t>
      </w:r>
      <w:r w:rsidR="004E295D" w:rsidRPr="00653BF4">
        <w:rPr>
          <w:rFonts w:eastAsiaTheme="minorEastAsia"/>
          <w:i/>
          <w:iCs/>
          <w:color w:val="000000" w:themeColor="text1"/>
          <w:lang w:val="fr-FR"/>
        </w:rPr>
        <w:t>est de progrès concrets, et non de nouvelles promesses. Ce bilan mondial est un appel à l</w:t>
      </w:r>
      <w:r w:rsidR="002A58C8" w:rsidRPr="00653BF4">
        <w:rPr>
          <w:rFonts w:eastAsiaTheme="minorEastAsia"/>
          <w:i/>
          <w:iCs/>
          <w:color w:val="000000" w:themeColor="text1"/>
          <w:lang w:val="fr-FR"/>
        </w:rPr>
        <w:t>’</w:t>
      </w:r>
      <w:r w:rsidR="004E295D" w:rsidRPr="00653BF4">
        <w:rPr>
          <w:rFonts w:eastAsiaTheme="minorEastAsia"/>
          <w:i/>
          <w:iCs/>
          <w:color w:val="000000" w:themeColor="text1"/>
          <w:lang w:val="fr-FR"/>
        </w:rPr>
        <w:t>action</w:t>
      </w:r>
      <w:r w:rsidR="00EF26E5" w:rsidRPr="00653BF4">
        <w:rPr>
          <w:rFonts w:eastAsiaTheme="minorEastAsia"/>
          <w:i/>
          <w:iCs/>
          <w:color w:val="000000" w:themeColor="text1"/>
          <w:lang w:val="fr-FR"/>
        </w:rPr>
        <w:t xml:space="preserve"> clair</w:t>
      </w:r>
      <w:r>
        <w:rPr>
          <w:rFonts w:eastAsiaTheme="minorEastAsia"/>
          <w:i/>
          <w:iCs/>
          <w:color w:val="000000" w:themeColor="text1"/>
          <w:lang w:val="fr-FR"/>
        </w:rPr>
        <w:t> :</w:t>
      </w:r>
      <w:r w:rsidR="004E295D" w:rsidRPr="00653BF4">
        <w:rPr>
          <w:rFonts w:eastAsiaTheme="minorEastAsia"/>
          <w:i/>
          <w:iCs/>
          <w:color w:val="000000" w:themeColor="text1"/>
          <w:lang w:val="fr-FR"/>
        </w:rPr>
        <w:t xml:space="preserve"> nous pouvons encore nous remettre sur la bonne voie et protéger les populations et la planète, mais seulement si nous agissons dès maintenant, </w:t>
      </w:r>
      <w:r w:rsidR="00560E49" w:rsidRPr="00653BF4">
        <w:rPr>
          <w:rFonts w:eastAsiaTheme="minorEastAsia"/>
          <w:i/>
          <w:iCs/>
          <w:color w:val="000000" w:themeColor="text1"/>
          <w:lang w:val="fr-FR"/>
        </w:rPr>
        <w:t xml:space="preserve">si </w:t>
      </w:r>
      <w:r w:rsidR="00623516" w:rsidRPr="00653BF4">
        <w:rPr>
          <w:rFonts w:eastAsiaTheme="minorEastAsia"/>
          <w:i/>
          <w:iCs/>
          <w:color w:val="000000" w:themeColor="text1"/>
          <w:lang w:val="fr-FR"/>
        </w:rPr>
        <w:t xml:space="preserve">nous </w:t>
      </w:r>
      <w:r w:rsidR="004E295D" w:rsidRPr="00653BF4">
        <w:rPr>
          <w:rFonts w:eastAsiaTheme="minorEastAsia"/>
          <w:i/>
          <w:iCs/>
          <w:color w:val="000000" w:themeColor="text1"/>
          <w:lang w:val="fr-FR"/>
        </w:rPr>
        <w:t>surmontons les obstacles à la mise en œuvre et que nous investissons dans des solutions qui respectent la nature, et non qui s</w:t>
      </w:r>
      <w:r w:rsidR="002A58C8" w:rsidRPr="00653BF4">
        <w:rPr>
          <w:rFonts w:eastAsiaTheme="minorEastAsia"/>
          <w:i/>
          <w:iCs/>
          <w:color w:val="000000" w:themeColor="text1"/>
          <w:lang w:val="fr-FR"/>
        </w:rPr>
        <w:t>’</w:t>
      </w:r>
      <w:r w:rsidR="004E295D" w:rsidRPr="00653BF4">
        <w:rPr>
          <w:rFonts w:eastAsiaTheme="minorEastAsia"/>
          <w:i/>
          <w:iCs/>
          <w:color w:val="000000" w:themeColor="text1"/>
          <w:lang w:val="fr-FR"/>
        </w:rPr>
        <w:t>y opposent.</w:t>
      </w:r>
      <w:r>
        <w:rPr>
          <w:rFonts w:eastAsiaTheme="minorEastAsia"/>
          <w:i/>
          <w:iCs/>
          <w:color w:val="000000" w:themeColor="text1"/>
          <w:lang w:val="fr-FR"/>
        </w:rPr>
        <w:t> »</w:t>
      </w:r>
    </w:p>
    <w:p w14:paraId="677B3894" w14:textId="2C6BB212" w:rsidR="009B27A3" w:rsidRPr="00653BF4" w:rsidRDefault="004078BA" w:rsidP="74032CC2">
      <w:pPr>
        <w:spacing w:line="276" w:lineRule="auto"/>
        <w:rPr>
          <w:b/>
          <w:bCs/>
          <w:lang w:val="fr-FR"/>
        </w:rPr>
      </w:pPr>
      <w:r w:rsidRPr="00653BF4">
        <w:rPr>
          <w:b/>
          <w:bCs/>
          <w:lang w:val="fr-FR"/>
        </w:rPr>
        <w:t>Inger Andersen, Sous-secrétaire générale des Nations Unies et Directrice exécutive du Programme des Nations Unies pour l</w:t>
      </w:r>
      <w:r w:rsidR="002A58C8" w:rsidRPr="00653BF4">
        <w:rPr>
          <w:b/>
          <w:bCs/>
          <w:lang w:val="fr-FR"/>
        </w:rPr>
        <w:t>’</w:t>
      </w:r>
      <w:r w:rsidRPr="00653BF4">
        <w:rPr>
          <w:b/>
          <w:bCs/>
          <w:lang w:val="fr-FR"/>
        </w:rPr>
        <w:t>environnement</w:t>
      </w:r>
    </w:p>
    <w:p w14:paraId="76358FCF" w14:textId="21752C2C" w:rsidR="009B27A3" w:rsidRPr="00653BF4" w:rsidRDefault="009B27A3" w:rsidP="74032CC2">
      <w:pPr>
        <w:spacing w:line="276" w:lineRule="auto"/>
        <w:rPr>
          <w:i/>
          <w:iCs/>
          <w:lang w:val="fr-FR"/>
        </w:rPr>
      </w:pPr>
    </w:p>
    <w:p w14:paraId="05843DA9" w14:textId="682A69DB" w:rsidR="00A45BD8" w:rsidRPr="00653BF4" w:rsidRDefault="00E34DC9" w:rsidP="00A45BD8">
      <w:pPr>
        <w:spacing w:line="276" w:lineRule="auto"/>
        <w:rPr>
          <w:rFonts w:eastAsiaTheme="minorEastAsia"/>
          <w:i/>
          <w:iCs/>
          <w:color w:val="000000" w:themeColor="text1"/>
          <w:lang w:val="fr-FR"/>
        </w:rPr>
      </w:pPr>
      <w:r>
        <w:rPr>
          <w:rFonts w:eastAsiaTheme="minorEastAsia"/>
          <w:i/>
          <w:iCs/>
          <w:color w:val="000000" w:themeColor="text1"/>
          <w:lang w:val="fr-FR"/>
        </w:rPr>
        <w:t>« </w:t>
      </w:r>
      <w:r w:rsidR="00A45BD8" w:rsidRPr="00653BF4">
        <w:rPr>
          <w:rFonts w:eastAsiaTheme="minorEastAsia"/>
          <w:i/>
          <w:iCs/>
          <w:color w:val="000000" w:themeColor="text1"/>
          <w:lang w:val="fr-FR"/>
        </w:rPr>
        <w:t>Le rapport mondial</w:t>
      </w:r>
      <w:r w:rsidR="006F1945" w:rsidRPr="00653BF4">
        <w:rPr>
          <w:rFonts w:eastAsiaTheme="minorEastAsia"/>
          <w:i/>
          <w:iCs/>
          <w:color w:val="000000" w:themeColor="text1"/>
          <w:lang w:val="fr-FR"/>
        </w:rPr>
        <w:t xml:space="preserve">, intitulé </w:t>
      </w:r>
      <w:r>
        <w:rPr>
          <w:rFonts w:eastAsiaTheme="minorEastAsia"/>
          <w:i/>
          <w:iCs/>
          <w:color w:val="000000" w:themeColor="text1"/>
          <w:lang w:val="fr-FR"/>
        </w:rPr>
        <w:t>« </w:t>
      </w:r>
      <w:r w:rsidR="006F1945" w:rsidRPr="00653BF4">
        <w:rPr>
          <w:rFonts w:eastAsiaTheme="minorEastAsia"/>
          <w:i/>
          <w:iCs/>
          <w:color w:val="000000" w:themeColor="text1"/>
          <w:lang w:val="fr-FR"/>
        </w:rPr>
        <w:t xml:space="preserve">État des lieux </w:t>
      </w:r>
      <w:r w:rsidR="002161BC" w:rsidRPr="00653BF4">
        <w:rPr>
          <w:rFonts w:eastAsiaTheme="minorEastAsia"/>
          <w:i/>
          <w:iCs/>
          <w:color w:val="000000" w:themeColor="text1"/>
          <w:lang w:val="fr-FR"/>
        </w:rPr>
        <w:t>de l</w:t>
      </w:r>
      <w:r w:rsidR="002A58C8" w:rsidRPr="00653BF4">
        <w:rPr>
          <w:rFonts w:eastAsiaTheme="minorEastAsia"/>
          <w:i/>
          <w:iCs/>
          <w:color w:val="000000" w:themeColor="text1"/>
          <w:lang w:val="fr-FR"/>
        </w:rPr>
        <w:t>’</w:t>
      </w:r>
      <w:r w:rsidR="002161BC" w:rsidRPr="00653BF4">
        <w:rPr>
          <w:rFonts w:eastAsiaTheme="minorEastAsia"/>
          <w:i/>
          <w:iCs/>
          <w:color w:val="000000" w:themeColor="text1"/>
          <w:lang w:val="fr-FR"/>
        </w:rPr>
        <w:t>action</w:t>
      </w:r>
      <w:r w:rsidR="006F1945" w:rsidRPr="00653BF4">
        <w:rPr>
          <w:rFonts w:eastAsiaTheme="minorEastAsia"/>
          <w:i/>
          <w:iCs/>
          <w:color w:val="000000" w:themeColor="text1"/>
          <w:lang w:val="fr-FR"/>
        </w:rPr>
        <w:t xml:space="preserve"> en faveur de la biodiversité</w:t>
      </w:r>
      <w:r>
        <w:rPr>
          <w:rFonts w:eastAsiaTheme="minorEastAsia"/>
          <w:i/>
          <w:iCs/>
          <w:color w:val="000000" w:themeColor="text1"/>
          <w:lang w:val="fr-FR"/>
        </w:rPr>
        <w:t> »</w:t>
      </w:r>
      <w:r w:rsidR="006F1945" w:rsidRPr="00653BF4">
        <w:rPr>
          <w:rFonts w:eastAsiaTheme="minorEastAsia"/>
          <w:i/>
          <w:iCs/>
          <w:color w:val="000000" w:themeColor="text1"/>
          <w:lang w:val="fr-FR"/>
        </w:rPr>
        <w:t>,</w:t>
      </w:r>
      <w:r w:rsidR="00A45BD8" w:rsidRPr="00653BF4">
        <w:rPr>
          <w:rFonts w:eastAsiaTheme="minorEastAsia"/>
          <w:i/>
          <w:iCs/>
          <w:color w:val="000000" w:themeColor="text1"/>
          <w:lang w:val="fr-FR"/>
        </w:rPr>
        <w:t xml:space="preserve"> présente la première évaluation mondiale des progrès collectifs accomplis dans la mise en œuvre du Cadre mondial de la biodiversité de Kunming-Montréal. Il s</w:t>
      </w:r>
      <w:r w:rsidR="002A58C8" w:rsidRPr="00653BF4">
        <w:rPr>
          <w:rFonts w:eastAsiaTheme="minorEastAsia"/>
          <w:i/>
          <w:iCs/>
          <w:color w:val="000000" w:themeColor="text1"/>
          <w:lang w:val="fr-FR"/>
        </w:rPr>
        <w:t>’</w:t>
      </w:r>
      <w:r w:rsidR="00A45BD8" w:rsidRPr="00653BF4">
        <w:rPr>
          <w:rFonts w:eastAsiaTheme="minorEastAsia"/>
          <w:i/>
          <w:iCs/>
          <w:color w:val="000000" w:themeColor="text1"/>
          <w:lang w:val="fr-FR"/>
        </w:rPr>
        <w:t xml:space="preserve">appuie principalement sur les informations fournies par les Parties à notre Convention et montre comment ce Cadre a suscité, depuis son adoption, un engagement et une mobilisation mondiaux sans précédent. Par ailleurs, ce rapport mondial montre clairement que le rythme </w:t>
      </w:r>
      <w:r w:rsidR="003D54B8" w:rsidRPr="00653BF4">
        <w:rPr>
          <w:rFonts w:eastAsiaTheme="minorEastAsia"/>
          <w:i/>
          <w:iCs/>
          <w:color w:val="000000" w:themeColor="text1"/>
          <w:lang w:val="fr-FR"/>
        </w:rPr>
        <w:t>doit s</w:t>
      </w:r>
      <w:r w:rsidR="002A58C8" w:rsidRPr="00653BF4">
        <w:rPr>
          <w:rFonts w:eastAsiaTheme="minorEastAsia"/>
          <w:i/>
          <w:iCs/>
          <w:color w:val="000000" w:themeColor="text1"/>
          <w:lang w:val="fr-FR"/>
        </w:rPr>
        <w:t>’</w:t>
      </w:r>
      <w:r w:rsidR="003D54B8" w:rsidRPr="00653BF4">
        <w:rPr>
          <w:rFonts w:eastAsiaTheme="minorEastAsia"/>
          <w:i/>
          <w:iCs/>
          <w:color w:val="000000" w:themeColor="text1"/>
          <w:lang w:val="fr-FR"/>
        </w:rPr>
        <w:t xml:space="preserve">accélérer </w:t>
      </w:r>
      <w:r w:rsidR="00A45BD8" w:rsidRPr="00653BF4">
        <w:rPr>
          <w:rFonts w:eastAsiaTheme="minorEastAsia"/>
          <w:i/>
          <w:iCs/>
          <w:color w:val="000000" w:themeColor="text1"/>
          <w:lang w:val="fr-FR"/>
        </w:rPr>
        <w:t xml:space="preserve">et </w:t>
      </w:r>
      <w:r w:rsidR="009551E2" w:rsidRPr="00653BF4">
        <w:rPr>
          <w:rFonts w:eastAsiaTheme="minorEastAsia"/>
          <w:i/>
          <w:iCs/>
          <w:color w:val="000000" w:themeColor="text1"/>
          <w:lang w:val="fr-FR"/>
        </w:rPr>
        <w:t xml:space="preserve">que </w:t>
      </w:r>
      <w:r w:rsidR="00A45BD8" w:rsidRPr="00653BF4">
        <w:rPr>
          <w:rFonts w:eastAsiaTheme="minorEastAsia"/>
          <w:i/>
          <w:iCs/>
          <w:color w:val="000000" w:themeColor="text1"/>
          <w:lang w:val="fr-FR"/>
        </w:rPr>
        <w:t>la mise en œuvre</w:t>
      </w:r>
      <w:r w:rsidR="009551E2" w:rsidRPr="00653BF4">
        <w:rPr>
          <w:rFonts w:eastAsiaTheme="minorEastAsia"/>
          <w:i/>
          <w:iCs/>
          <w:color w:val="000000" w:themeColor="text1"/>
          <w:lang w:val="fr-FR"/>
        </w:rPr>
        <w:t xml:space="preserve"> doit être étendue </w:t>
      </w:r>
      <w:r w:rsidR="00A45BD8" w:rsidRPr="00653BF4">
        <w:rPr>
          <w:rFonts w:eastAsiaTheme="minorEastAsia"/>
          <w:i/>
          <w:iCs/>
          <w:color w:val="000000" w:themeColor="text1"/>
          <w:lang w:val="fr-FR"/>
        </w:rPr>
        <w:t>à l</w:t>
      </w:r>
      <w:r w:rsidR="002A58C8" w:rsidRPr="00653BF4">
        <w:rPr>
          <w:rFonts w:eastAsiaTheme="minorEastAsia"/>
          <w:i/>
          <w:iCs/>
          <w:color w:val="000000" w:themeColor="text1"/>
          <w:lang w:val="fr-FR"/>
        </w:rPr>
        <w:t>’</w:t>
      </w:r>
      <w:r w:rsidR="00A45BD8" w:rsidRPr="00653BF4">
        <w:rPr>
          <w:rFonts w:eastAsiaTheme="minorEastAsia"/>
          <w:i/>
          <w:iCs/>
          <w:color w:val="000000" w:themeColor="text1"/>
          <w:lang w:val="fr-FR"/>
        </w:rPr>
        <w:t>échelle mondiale et à tous les niveaux de la société</w:t>
      </w:r>
      <w:r w:rsidR="009551E2" w:rsidRPr="00653BF4">
        <w:rPr>
          <w:rFonts w:eastAsiaTheme="minorEastAsia"/>
          <w:i/>
          <w:iCs/>
          <w:color w:val="000000" w:themeColor="text1"/>
          <w:lang w:val="fr-FR"/>
        </w:rPr>
        <w:t>,</w:t>
      </w:r>
      <w:r w:rsidR="00A45BD8" w:rsidRPr="00653BF4">
        <w:rPr>
          <w:rFonts w:eastAsiaTheme="minorEastAsia"/>
          <w:i/>
          <w:iCs/>
          <w:color w:val="000000" w:themeColor="text1"/>
          <w:lang w:val="fr-FR"/>
        </w:rPr>
        <w:t xml:space="preserve"> afin de concrétiser l</w:t>
      </w:r>
      <w:r w:rsidR="002A58C8" w:rsidRPr="00653BF4">
        <w:rPr>
          <w:rFonts w:eastAsiaTheme="minorEastAsia"/>
          <w:i/>
          <w:iCs/>
          <w:color w:val="000000" w:themeColor="text1"/>
          <w:lang w:val="fr-FR"/>
        </w:rPr>
        <w:t>’</w:t>
      </w:r>
      <w:r w:rsidR="00A45BD8" w:rsidRPr="00653BF4">
        <w:rPr>
          <w:rFonts w:eastAsiaTheme="minorEastAsia"/>
          <w:i/>
          <w:iCs/>
          <w:color w:val="000000" w:themeColor="text1"/>
          <w:lang w:val="fr-FR"/>
        </w:rPr>
        <w:t xml:space="preserve">ambition </w:t>
      </w:r>
      <w:r w:rsidR="00100067" w:rsidRPr="00653BF4">
        <w:rPr>
          <w:rFonts w:eastAsiaTheme="minorEastAsia"/>
          <w:i/>
          <w:iCs/>
          <w:color w:val="000000" w:themeColor="text1"/>
          <w:lang w:val="fr-FR"/>
        </w:rPr>
        <w:t>à l</w:t>
      </w:r>
      <w:r w:rsidR="002A58C8" w:rsidRPr="00653BF4">
        <w:rPr>
          <w:rFonts w:eastAsiaTheme="minorEastAsia"/>
          <w:i/>
          <w:iCs/>
          <w:color w:val="000000" w:themeColor="text1"/>
          <w:lang w:val="fr-FR"/>
        </w:rPr>
        <w:t>’</w:t>
      </w:r>
      <w:r w:rsidR="00100067" w:rsidRPr="00653BF4">
        <w:rPr>
          <w:rFonts w:eastAsiaTheme="minorEastAsia"/>
          <w:i/>
          <w:iCs/>
          <w:color w:val="000000" w:themeColor="text1"/>
          <w:lang w:val="fr-FR"/>
        </w:rPr>
        <w:t xml:space="preserve">horizon </w:t>
      </w:r>
      <w:r w:rsidR="00A45BD8" w:rsidRPr="00653BF4">
        <w:rPr>
          <w:rFonts w:eastAsiaTheme="minorEastAsia"/>
          <w:i/>
          <w:iCs/>
          <w:color w:val="000000" w:themeColor="text1"/>
          <w:lang w:val="fr-FR"/>
        </w:rPr>
        <w:t xml:space="preserve">2030 fixée par le </w:t>
      </w:r>
      <w:r w:rsidR="00A45BD8" w:rsidRPr="00653BF4">
        <w:rPr>
          <w:rFonts w:eastAsiaTheme="minorEastAsia"/>
          <w:i/>
          <w:iCs/>
          <w:color w:val="000000" w:themeColor="text1"/>
          <w:lang w:val="fr-FR"/>
        </w:rPr>
        <w:lastRenderedPageBreak/>
        <w:t>Cadre. À l</w:t>
      </w:r>
      <w:r w:rsidR="002A58C8" w:rsidRPr="00653BF4">
        <w:rPr>
          <w:rFonts w:eastAsiaTheme="minorEastAsia"/>
          <w:i/>
          <w:iCs/>
          <w:color w:val="000000" w:themeColor="text1"/>
          <w:lang w:val="fr-FR"/>
        </w:rPr>
        <w:t>’</w:t>
      </w:r>
      <w:r w:rsidR="00A45BD8" w:rsidRPr="00653BF4">
        <w:rPr>
          <w:rFonts w:eastAsiaTheme="minorEastAsia"/>
          <w:i/>
          <w:iCs/>
          <w:color w:val="000000" w:themeColor="text1"/>
          <w:lang w:val="fr-FR"/>
        </w:rPr>
        <w:t>heure où les Parties procèdent au premier examen mondial des progrès accomplis dans la mise en œuvre du Cadre, ce rapport fournit une base aux délibérations et aux actions nécessaires pour accélérer et étendre nos efforts pour enrayer et inverser la perte de biodiversité.</w:t>
      </w:r>
      <w:r>
        <w:rPr>
          <w:rFonts w:eastAsiaTheme="minorEastAsia"/>
          <w:i/>
          <w:iCs/>
          <w:color w:val="000000" w:themeColor="text1"/>
          <w:lang w:val="fr-FR"/>
        </w:rPr>
        <w:t> »</w:t>
      </w:r>
    </w:p>
    <w:p w14:paraId="4708F6EB" w14:textId="3C0AE992" w:rsidR="009B27A3" w:rsidRPr="00653BF4" w:rsidRDefault="004078BA" w:rsidP="74032CC2">
      <w:pPr>
        <w:spacing w:line="276" w:lineRule="auto"/>
        <w:rPr>
          <w:b/>
          <w:bCs/>
          <w:lang w:val="fr-FR"/>
        </w:rPr>
      </w:pPr>
      <w:r w:rsidRPr="00653BF4">
        <w:rPr>
          <w:b/>
          <w:bCs/>
          <w:lang w:val="fr-FR"/>
        </w:rPr>
        <w:t>Astrid Schomaker, Secrétaire exécutive de la Convention sur la diversité biologique</w:t>
      </w:r>
    </w:p>
    <w:p w14:paraId="67A8596A" w14:textId="77777777" w:rsidR="00772101" w:rsidRPr="00653BF4" w:rsidRDefault="00772101" w:rsidP="00772101">
      <w:pPr>
        <w:rPr>
          <w:lang w:val="fr-FR"/>
        </w:rPr>
      </w:pPr>
    </w:p>
    <w:p w14:paraId="7847E213" w14:textId="6C92FDA8" w:rsidR="00433049" w:rsidRPr="00653BF4" w:rsidRDefault="00626FB4" w:rsidP="00433049">
      <w:pPr>
        <w:pStyle w:val="Heading1"/>
        <w:rPr>
          <w:lang w:val="fr-FR"/>
        </w:rPr>
      </w:pPr>
      <w:bookmarkStart w:id="1" w:name="_Toc242801211"/>
      <w:r w:rsidRPr="00653BF4">
        <w:rPr>
          <w:lang w:val="fr-FR"/>
        </w:rPr>
        <w:t>Remerciements</w:t>
      </w:r>
      <w:bookmarkEnd w:id="1"/>
    </w:p>
    <w:p w14:paraId="78D25B96" w14:textId="34AF8AA8" w:rsidR="003600C7" w:rsidRPr="00653BF4" w:rsidRDefault="003600C7" w:rsidP="003600C7">
      <w:pPr>
        <w:rPr>
          <w:lang w:val="fr-FR"/>
        </w:rPr>
      </w:pPr>
      <w:r w:rsidRPr="00653BF4">
        <w:rPr>
          <w:lang w:val="fr-FR"/>
        </w:rPr>
        <w:t xml:space="preserve">Le rapport intitulé </w:t>
      </w:r>
      <w:r w:rsidR="00E34DC9">
        <w:rPr>
          <w:i/>
          <w:iCs/>
          <w:lang w:val="fr-FR"/>
        </w:rPr>
        <w:t>« </w:t>
      </w:r>
      <w:r w:rsidRPr="00653BF4">
        <w:rPr>
          <w:i/>
          <w:iCs/>
          <w:lang w:val="fr-FR"/>
        </w:rPr>
        <w:t>É</w:t>
      </w:r>
      <w:r w:rsidR="002161BC" w:rsidRPr="00653BF4">
        <w:rPr>
          <w:i/>
          <w:iCs/>
          <w:lang w:val="fr-FR"/>
        </w:rPr>
        <w:t>tat des lieux de l</w:t>
      </w:r>
      <w:r w:rsidR="002A58C8" w:rsidRPr="00653BF4">
        <w:rPr>
          <w:i/>
          <w:iCs/>
          <w:lang w:val="fr-FR"/>
        </w:rPr>
        <w:t>’</w:t>
      </w:r>
      <w:r w:rsidR="002161BC" w:rsidRPr="00653BF4">
        <w:rPr>
          <w:i/>
          <w:iCs/>
          <w:lang w:val="fr-FR"/>
        </w:rPr>
        <w:t>action</w:t>
      </w:r>
      <w:r w:rsidRPr="00653BF4">
        <w:rPr>
          <w:i/>
          <w:iCs/>
          <w:lang w:val="fr-FR"/>
        </w:rPr>
        <w:t xml:space="preserve"> en faveur de la biodiversité</w:t>
      </w:r>
      <w:r w:rsidR="00E34DC9">
        <w:rPr>
          <w:i/>
          <w:iCs/>
          <w:lang w:val="fr-FR"/>
        </w:rPr>
        <w:t> :</w:t>
      </w:r>
      <w:r w:rsidRPr="00653BF4">
        <w:rPr>
          <w:i/>
          <w:iCs/>
          <w:lang w:val="fr-FR"/>
        </w:rPr>
        <w:t xml:space="preserve"> rapport mondial sur les progrès accomplis dans la mise en œuvre du Cadre mondial de la biodiversité de Kunming-Montréal</w:t>
      </w:r>
      <w:r w:rsidR="00E34DC9">
        <w:rPr>
          <w:i/>
          <w:iCs/>
          <w:lang w:val="fr-FR"/>
        </w:rPr>
        <w:t> »</w:t>
      </w:r>
      <w:r w:rsidRPr="00653BF4">
        <w:rPr>
          <w:lang w:val="fr-FR"/>
        </w:rPr>
        <w:t xml:space="preserve"> est le fruit des travaux menés dans le cadre de la Convention sur la diversité biologique. Les Parties à la Convention, d</w:t>
      </w:r>
      <w:r w:rsidR="002A58C8" w:rsidRPr="00653BF4">
        <w:rPr>
          <w:lang w:val="fr-FR"/>
        </w:rPr>
        <w:t>’</w:t>
      </w:r>
      <w:r w:rsidRPr="00653BF4">
        <w:rPr>
          <w:lang w:val="fr-FR"/>
        </w:rPr>
        <w:t>autres gouvernements et des organisations observatrices ont contribué à l</w:t>
      </w:r>
      <w:r w:rsidR="002A58C8" w:rsidRPr="00653BF4">
        <w:rPr>
          <w:lang w:val="fr-FR"/>
        </w:rPr>
        <w:t>’</w:t>
      </w:r>
      <w:r w:rsidRPr="00653BF4">
        <w:rPr>
          <w:lang w:val="fr-FR"/>
        </w:rPr>
        <w:t>élaboration de ce rapport mondial par le biais de leurs interventions en réunion et de leurs remarques formulées lors de l</w:t>
      </w:r>
      <w:r w:rsidR="002A58C8" w:rsidRPr="00653BF4">
        <w:rPr>
          <w:lang w:val="fr-FR"/>
        </w:rPr>
        <w:t>’</w:t>
      </w:r>
      <w:r w:rsidRPr="00653BF4">
        <w:rPr>
          <w:lang w:val="fr-FR"/>
        </w:rPr>
        <w:t xml:space="preserve">examen </w:t>
      </w:r>
      <w:r w:rsidR="008C10B5" w:rsidRPr="00653BF4">
        <w:rPr>
          <w:lang w:val="fr-FR"/>
        </w:rPr>
        <w:t>collégial</w:t>
      </w:r>
      <w:r w:rsidRPr="00653BF4">
        <w:rPr>
          <w:lang w:val="fr-FR"/>
        </w:rPr>
        <w:t>.</w:t>
      </w:r>
    </w:p>
    <w:p w14:paraId="75EA1137" w14:textId="343E0B8C" w:rsidR="00CF177D" w:rsidRPr="00653BF4" w:rsidRDefault="00CF5219" w:rsidP="00344995">
      <w:pPr>
        <w:rPr>
          <w:lang w:val="fr-FR"/>
        </w:rPr>
      </w:pPr>
      <w:r w:rsidRPr="00653BF4">
        <w:rPr>
          <w:lang w:val="fr-FR"/>
        </w:rPr>
        <w:t xml:space="preserve">Le rapport mondial a été élaboré par le </w:t>
      </w:r>
      <w:r w:rsidR="002C36D5" w:rsidRPr="00653BF4">
        <w:rPr>
          <w:lang w:val="fr-FR"/>
        </w:rPr>
        <w:t>secrétariat</w:t>
      </w:r>
      <w:r w:rsidRPr="00653BF4">
        <w:rPr>
          <w:lang w:val="fr-FR"/>
        </w:rPr>
        <w:t xml:space="preserve"> de la Convention sur la diversité biologique, avec le concours des Parties, notamment par l</w:t>
      </w:r>
      <w:r w:rsidR="002A58C8" w:rsidRPr="00653BF4">
        <w:rPr>
          <w:lang w:val="fr-FR"/>
        </w:rPr>
        <w:t>’</w:t>
      </w:r>
      <w:r w:rsidRPr="00653BF4">
        <w:rPr>
          <w:lang w:val="fr-FR"/>
        </w:rPr>
        <w:t>intermédiaire de l</w:t>
      </w:r>
      <w:r w:rsidR="002A58C8" w:rsidRPr="00653BF4">
        <w:rPr>
          <w:lang w:val="fr-FR"/>
        </w:rPr>
        <w:t>’</w:t>
      </w:r>
      <w:r w:rsidRPr="00653BF4">
        <w:rPr>
          <w:lang w:val="fr-FR"/>
        </w:rPr>
        <w:t>Organe subsidiaire chargé de l</w:t>
      </w:r>
      <w:r w:rsidR="002A58C8" w:rsidRPr="00653BF4">
        <w:rPr>
          <w:lang w:val="fr-FR"/>
        </w:rPr>
        <w:t>’</w:t>
      </w:r>
      <w:r w:rsidRPr="00653BF4">
        <w:rPr>
          <w:lang w:val="fr-FR"/>
        </w:rPr>
        <w:t>application, et en s</w:t>
      </w:r>
      <w:r w:rsidR="002A58C8" w:rsidRPr="00653BF4">
        <w:rPr>
          <w:lang w:val="fr-FR"/>
        </w:rPr>
        <w:t>’</w:t>
      </w:r>
      <w:r w:rsidRPr="00653BF4">
        <w:rPr>
          <w:lang w:val="fr-FR"/>
        </w:rPr>
        <w:t>appuyant sur les avis scientifiques, techniques et technologiques de l</w:t>
      </w:r>
      <w:r w:rsidR="002A58C8" w:rsidRPr="00653BF4">
        <w:rPr>
          <w:lang w:val="fr-FR"/>
        </w:rPr>
        <w:t>’</w:t>
      </w:r>
      <w:r w:rsidRPr="00653BF4">
        <w:rPr>
          <w:lang w:val="fr-FR"/>
        </w:rPr>
        <w:t>Organe subsidiaire chargé de fournir des avis scientifiques, techniques et technologiques, lui-même en appui du Groupe consultatif scientifique et technique spécial chargé de l</w:t>
      </w:r>
      <w:r w:rsidR="002A58C8" w:rsidRPr="00653BF4">
        <w:rPr>
          <w:lang w:val="fr-FR"/>
        </w:rPr>
        <w:t>’</w:t>
      </w:r>
      <w:r w:rsidRPr="00653BF4">
        <w:rPr>
          <w:lang w:val="fr-FR"/>
        </w:rPr>
        <w:t>élaboration du rapport mondial sur les progrès collectifs accomplis dans la mise en œuvre du Cadre mondial de la biodiversité de Kunming-Montréal. L</w:t>
      </w:r>
      <w:r w:rsidR="002A58C8" w:rsidRPr="00653BF4">
        <w:rPr>
          <w:lang w:val="fr-FR"/>
        </w:rPr>
        <w:t>’</w:t>
      </w:r>
      <w:r w:rsidRPr="00653BF4">
        <w:rPr>
          <w:lang w:val="fr-FR"/>
        </w:rPr>
        <w:t>élaboration du rapport a bénéficié de la collaboration de nombreuses organisations et personnes partenaires issues des gouvernements, des organisations non gouvernementales et des réseaux scientifiques. Ces organisations et ces personnes ont généreusement mis à disposition leur temps, leur énergie et leur expertise.</w:t>
      </w:r>
      <w:r w:rsidR="00CF177D" w:rsidRPr="00653BF4">
        <w:rPr>
          <w:lang w:val="fr-FR"/>
        </w:rPr>
        <w:t xml:space="preserve"> </w:t>
      </w:r>
    </w:p>
    <w:p w14:paraId="2FA36950" w14:textId="04A2617D" w:rsidR="00CF177D" w:rsidRPr="00653BF4" w:rsidRDefault="00DB4054" w:rsidP="00344995">
      <w:pPr>
        <w:rPr>
          <w:lang w:val="fr-FR"/>
        </w:rPr>
      </w:pPr>
      <w:r w:rsidRPr="00653BF4">
        <w:rPr>
          <w:lang w:val="fr-FR"/>
        </w:rPr>
        <w:t>Le rapport mondial s</w:t>
      </w:r>
      <w:r w:rsidR="002A58C8" w:rsidRPr="00653BF4">
        <w:rPr>
          <w:lang w:val="fr-FR"/>
        </w:rPr>
        <w:t>’</w:t>
      </w:r>
      <w:r w:rsidRPr="00653BF4">
        <w:rPr>
          <w:lang w:val="fr-FR"/>
        </w:rPr>
        <w:t>appuie sur de nombreuses sources d</w:t>
      </w:r>
      <w:r w:rsidR="002A58C8" w:rsidRPr="00653BF4">
        <w:rPr>
          <w:lang w:val="fr-FR"/>
        </w:rPr>
        <w:t>’</w:t>
      </w:r>
      <w:r w:rsidRPr="00653BF4">
        <w:rPr>
          <w:lang w:val="fr-FR"/>
        </w:rPr>
        <w:t>information, conformément à la décision des Parties. Le septième rapport national présenté par les Parties à la Convention a constitué la principale source d</w:t>
      </w:r>
      <w:r w:rsidR="002A58C8" w:rsidRPr="00653BF4">
        <w:rPr>
          <w:lang w:val="fr-FR"/>
        </w:rPr>
        <w:t>’</w:t>
      </w:r>
      <w:r w:rsidRPr="00653BF4">
        <w:rPr>
          <w:lang w:val="fr-FR"/>
        </w:rPr>
        <w:t>information utilisée pour l</w:t>
      </w:r>
      <w:r w:rsidR="002A58C8" w:rsidRPr="00653BF4">
        <w:rPr>
          <w:lang w:val="fr-FR"/>
        </w:rPr>
        <w:t>’</w:t>
      </w:r>
      <w:r w:rsidRPr="00653BF4">
        <w:rPr>
          <w:lang w:val="fr-FR"/>
        </w:rPr>
        <w:t xml:space="preserve">élaboration du rapport. Le </w:t>
      </w:r>
      <w:r w:rsidR="002C36D5" w:rsidRPr="00653BF4">
        <w:rPr>
          <w:lang w:val="fr-FR"/>
        </w:rPr>
        <w:t>secrétariat</w:t>
      </w:r>
      <w:r w:rsidRPr="00653BF4">
        <w:rPr>
          <w:lang w:val="fr-FR"/>
        </w:rPr>
        <w:t xml:space="preserve"> tient à remercier les Parties qui ont présenté leurs septièmes rapports nationaux, leurs stratégies et plans d</w:t>
      </w:r>
      <w:r w:rsidR="002A58C8" w:rsidRPr="00653BF4">
        <w:rPr>
          <w:lang w:val="fr-FR"/>
        </w:rPr>
        <w:t>’</w:t>
      </w:r>
      <w:r w:rsidRPr="00653BF4">
        <w:rPr>
          <w:lang w:val="fr-FR"/>
        </w:rPr>
        <w:t>action nationaux pour la biodiversité (SPANB) ainsi que leurs cibles nationales en temps utile pour que ces documents puissent être examinés lors de l</w:t>
      </w:r>
      <w:r w:rsidR="002A58C8" w:rsidRPr="00653BF4">
        <w:rPr>
          <w:lang w:val="fr-FR"/>
        </w:rPr>
        <w:t>’</w:t>
      </w:r>
      <w:r w:rsidRPr="00653BF4">
        <w:rPr>
          <w:lang w:val="fr-FR"/>
        </w:rPr>
        <w:t>élaboration du rapport, ainsi que les Parties et les organisations observatrices qui ont partagé des rapports et des informations supplémentaires et ont co-réalisé des études de cas afin d</w:t>
      </w:r>
      <w:r w:rsidR="002A58C8" w:rsidRPr="00653BF4">
        <w:rPr>
          <w:lang w:val="fr-FR"/>
        </w:rPr>
        <w:t>’</w:t>
      </w:r>
      <w:r w:rsidRPr="00653BF4">
        <w:rPr>
          <w:lang w:val="fr-FR"/>
        </w:rPr>
        <w:t>apporter leur appui à l</w:t>
      </w:r>
      <w:r w:rsidR="002A58C8" w:rsidRPr="00653BF4">
        <w:rPr>
          <w:lang w:val="fr-FR"/>
        </w:rPr>
        <w:t>’</w:t>
      </w:r>
      <w:r w:rsidRPr="00653BF4">
        <w:rPr>
          <w:lang w:val="fr-FR"/>
        </w:rPr>
        <w:t>élaboration du rapport.</w:t>
      </w:r>
    </w:p>
    <w:p w14:paraId="2B0BDEFB" w14:textId="01DD8C97" w:rsidR="00CF177D" w:rsidRPr="00653BF4" w:rsidRDefault="005C3DF8" w:rsidP="00344995">
      <w:pPr>
        <w:rPr>
          <w:lang w:val="fr-FR"/>
        </w:rPr>
      </w:pPr>
      <w:r w:rsidRPr="00653BF4">
        <w:rPr>
          <w:lang w:val="fr-FR"/>
        </w:rPr>
        <w:lastRenderedPageBreak/>
        <w:t>Le rapport mondial s</w:t>
      </w:r>
      <w:r w:rsidR="002A58C8" w:rsidRPr="00653BF4">
        <w:rPr>
          <w:lang w:val="fr-FR"/>
        </w:rPr>
        <w:t>’</w:t>
      </w:r>
      <w:r w:rsidRPr="00653BF4">
        <w:rPr>
          <w:lang w:val="fr-FR"/>
        </w:rPr>
        <w:t xml:space="preserve">appuie largement sur les évaluations de la Plateforme intergouvernementale scientifique et politique sur la biodiversité et les services écosystémiques (IPBES). Le </w:t>
      </w:r>
      <w:r w:rsidR="00E54359" w:rsidRPr="00653BF4">
        <w:rPr>
          <w:lang w:val="fr-FR"/>
        </w:rPr>
        <w:t>s</w:t>
      </w:r>
      <w:r w:rsidRPr="00653BF4">
        <w:rPr>
          <w:lang w:val="fr-FR"/>
        </w:rPr>
        <w:t>ecrétariat tient à exprimer sa sincère gratitude à toutes les personnes ayant participé au processus de l</w:t>
      </w:r>
      <w:r w:rsidR="002A58C8" w:rsidRPr="00653BF4">
        <w:rPr>
          <w:lang w:val="fr-FR"/>
        </w:rPr>
        <w:t>’</w:t>
      </w:r>
      <w:r w:rsidRPr="00653BF4">
        <w:rPr>
          <w:lang w:val="fr-FR"/>
        </w:rPr>
        <w:t>IPBES et, en particulier, aux experts ayant contribué à l</w:t>
      </w:r>
      <w:r w:rsidR="002A58C8" w:rsidRPr="00653BF4">
        <w:rPr>
          <w:lang w:val="fr-FR"/>
        </w:rPr>
        <w:t>’</w:t>
      </w:r>
      <w:r w:rsidRPr="00653BF4">
        <w:rPr>
          <w:lang w:val="fr-FR"/>
        </w:rPr>
        <w:t>élaboration de ses évaluations.</w:t>
      </w:r>
    </w:p>
    <w:p w14:paraId="19245645" w14:textId="4B36C389" w:rsidR="00CC007E" w:rsidRPr="00653BF4" w:rsidRDefault="009614C2" w:rsidP="00CC007E">
      <w:pPr>
        <w:rPr>
          <w:lang w:val="fr-FR"/>
        </w:rPr>
      </w:pPr>
      <w:r w:rsidRPr="00653BF4">
        <w:rPr>
          <w:lang w:val="fr-FR"/>
        </w:rPr>
        <w:t>Le Groupe consultatif scientifique et technique spécial chargé de la préparation du rapport mondial a apporté des conseils inestimables tout au long de l</w:t>
      </w:r>
      <w:r w:rsidR="002A58C8" w:rsidRPr="00653BF4">
        <w:rPr>
          <w:lang w:val="fr-FR"/>
        </w:rPr>
        <w:t>’</w:t>
      </w:r>
      <w:r w:rsidRPr="00653BF4">
        <w:rPr>
          <w:lang w:val="fr-FR"/>
        </w:rPr>
        <w:t>élaboration de ce rapport. Nous tenons à remercier tout particulièrement ses coprésidents, Hesiquio Benítez Díaz et Emily Nicholson, ainsi que ses membres</w:t>
      </w:r>
      <w:r w:rsidR="00E34DC9">
        <w:rPr>
          <w:lang w:val="fr-FR"/>
        </w:rPr>
        <w:t> :</w:t>
      </w:r>
      <w:r w:rsidRPr="00653BF4">
        <w:rPr>
          <w:lang w:val="fr-FR"/>
        </w:rPr>
        <w:t xml:space="preserve"> Ossama Ahmed Abdelkawy, Obaid Ali Humaid Alshamsi, Neil Burgess, Jocelyn Carino, Cristina Eghenter, Megan Eldred, Voskehat Grigoryaní, Shizuka Hashimoto, Walter Jetz, Vainuupo Jungblut, Alice Zione Kammwamba, Marcel Kok, Maria Cecilia Londoño Murcia, William Armand Mala, Mukondi Precious Matshusa, Rita Mesquita, Slaviša Popović, Alexander Shestakov, Ruth Spencer, Andrew Stott, Jade Sullivan, Josefa Tauli et Jing Xu.</w:t>
      </w:r>
    </w:p>
    <w:p w14:paraId="01761084" w14:textId="15ACC3D3" w:rsidR="00CF177D" w:rsidRPr="00653BF4" w:rsidRDefault="003E5B5A" w:rsidP="00344995">
      <w:pPr>
        <w:rPr>
          <w:lang w:val="fr-FR"/>
        </w:rPr>
      </w:pPr>
      <w:r w:rsidRPr="00653BF4">
        <w:rPr>
          <w:lang w:val="fr-FR"/>
        </w:rPr>
        <w:t>Ce rapport a été rédigé et révisé par Tim Hirsch, Flavio Affinito, Usman Tariq, Kieran Noonan Mooney, Vincent Hulin, Hirotsugu Takahashi et Jillian Campbell, sous la direction d</w:t>
      </w:r>
      <w:r w:rsidR="002A58C8" w:rsidRPr="00653BF4">
        <w:rPr>
          <w:lang w:val="fr-FR"/>
        </w:rPr>
        <w:t>’</w:t>
      </w:r>
      <w:r w:rsidRPr="00653BF4">
        <w:rPr>
          <w:lang w:val="fr-FR"/>
        </w:rPr>
        <w:t>Astrid Schomaker. Sa réalisation a été supervisée par Jillian Campbell, avec l</w:t>
      </w:r>
      <w:r w:rsidR="002A58C8" w:rsidRPr="00653BF4">
        <w:rPr>
          <w:lang w:val="fr-FR"/>
        </w:rPr>
        <w:t>’</w:t>
      </w:r>
      <w:r w:rsidRPr="00653BF4">
        <w:rPr>
          <w:lang w:val="fr-FR"/>
        </w:rPr>
        <w:t>appui de Lisa Janishevski et Frédéric Vogel.</w:t>
      </w:r>
      <w:r w:rsidR="00CF177D" w:rsidRPr="00653BF4">
        <w:rPr>
          <w:lang w:val="fr-FR"/>
        </w:rPr>
        <w:t xml:space="preserve"> </w:t>
      </w:r>
    </w:p>
    <w:p w14:paraId="0EA45A5A" w14:textId="77686390" w:rsidR="00F11FAC" w:rsidRPr="00653BF4" w:rsidRDefault="00593913" w:rsidP="00F11FAC">
      <w:pPr>
        <w:rPr>
          <w:lang w:val="fr-FR"/>
        </w:rPr>
      </w:pPr>
      <w:r w:rsidRPr="00653BF4">
        <w:rPr>
          <w:lang w:val="fr-FR"/>
        </w:rPr>
        <w:t xml:space="preserve">De nombreux membres du personnel du </w:t>
      </w:r>
      <w:r w:rsidR="00142A31" w:rsidRPr="00653BF4">
        <w:rPr>
          <w:lang w:val="fr-FR"/>
        </w:rPr>
        <w:t>s</w:t>
      </w:r>
      <w:r w:rsidRPr="00653BF4">
        <w:rPr>
          <w:lang w:val="fr-FR"/>
        </w:rPr>
        <w:t>ecrétariat, stagiaires et consultants ont apporté leur contribution, leurs commentaires et leur appui à la préparation et à la diffusion du rapport mondial. Parmi eux figurent Joseph Appiott, Erdoo Awai, Jade Baker, Lis Mullin Bernhardt, Bianca Lisboa Da Camara Brasil, Katherine Brielmaier, Michael Brodsky, Philippa Burgess-Arcos, Lijie Cai, Joshua Cohen, Q</w:t>
      </w:r>
      <w:r w:rsidR="002A58C8" w:rsidRPr="00653BF4">
        <w:rPr>
          <w:lang w:val="fr-FR"/>
        </w:rPr>
        <w:t>’</w:t>
      </w:r>
      <w:r w:rsidRPr="00653BF4">
        <w:rPr>
          <w:lang w:val="fr-FR"/>
        </w:rPr>
        <w:t>apaj Conde, Annie Cung, Valentina De Noia, Jamie Depolla, Virginie Dupont Shakh, Deniz Dutton, Mohamed elSehemawi, Andrea Floudiotis, Blaise Fonseca, Mingjiang Gao, Sarah Geargeoura, Jihed Ghannem, Ray Goh, Beatriz Gomez Castro, Zakir Jafry, Mariano Castro Jimenez, Sam Johnston, Regina Kipper, Monica Kobayashi, Yuwei Kong, Jihyun Lee, Markus Lehmann Kleineidam, Lucas Magdalena, Wadzanayi Mandivenyi, Matthias Massoulier, Teresa Mazza, Jennifer Mcdonald, Aylin S. McNamara, Ehab Metwali, Natalia Morozova, Asad Naqvi, Ahmed Osman, Claudia Paguaga Trewin, Maria A. Troitiño, Jacopo Pasquero, Shu Pei, Rosario Pérez, Laura Perez Carrara, Anna Polkina, Yonglin Qin, Marianela Araya Quesada, Rachel Richardson, Eliza Richold, Chantal Robichaud, Olivier Rukundo, Nadine Saad, Benjamin Shaw, Nikolay Siganov, Sakhile Silitshena, Erie Tamale, Tristan Tyrrell, Frédéric Vogel, Anaë Werner, Kelan Xiao et Anna Zaitseva.</w:t>
      </w:r>
    </w:p>
    <w:p w14:paraId="303A0CA0" w14:textId="1342161D" w:rsidR="0050554E" w:rsidRPr="00653BF4" w:rsidRDefault="009007B1" w:rsidP="0050554E">
      <w:pPr>
        <w:rPr>
          <w:lang w:val="fr-FR"/>
        </w:rPr>
      </w:pPr>
      <w:bookmarkStart w:id="2" w:name="_Toc235821030"/>
      <w:r w:rsidRPr="00653BF4">
        <w:rPr>
          <w:lang w:val="fr-FR"/>
        </w:rPr>
        <w:t>L</w:t>
      </w:r>
      <w:r w:rsidR="003B6B67" w:rsidRPr="00653BF4">
        <w:rPr>
          <w:lang w:val="fr-FR"/>
        </w:rPr>
        <w:t xml:space="preserve">’élaboration </w:t>
      </w:r>
      <w:r w:rsidRPr="00653BF4">
        <w:rPr>
          <w:lang w:val="fr-FR"/>
        </w:rPr>
        <w:t>de ce rapport mondial a été rendue possible grâce aux contributions financières de l</w:t>
      </w:r>
      <w:r w:rsidR="002A58C8" w:rsidRPr="00653BF4">
        <w:rPr>
          <w:lang w:val="fr-FR"/>
        </w:rPr>
        <w:t>’</w:t>
      </w:r>
      <w:r w:rsidRPr="00653BF4">
        <w:rPr>
          <w:lang w:val="fr-FR"/>
        </w:rPr>
        <w:t xml:space="preserve">Union européenne, des gouvernements du Royaume des Pays-Bas et de la </w:t>
      </w:r>
      <w:r w:rsidRPr="00653BF4">
        <w:rPr>
          <w:lang w:val="fr-FR"/>
        </w:rPr>
        <w:lastRenderedPageBreak/>
        <w:t>Suisse, ainsi que du Programme des Nations Unies pour l</w:t>
      </w:r>
      <w:r w:rsidR="002A58C8" w:rsidRPr="00653BF4">
        <w:rPr>
          <w:lang w:val="fr-FR"/>
        </w:rPr>
        <w:t>’</w:t>
      </w:r>
      <w:r w:rsidRPr="00653BF4">
        <w:rPr>
          <w:lang w:val="fr-FR"/>
        </w:rPr>
        <w:t>environnement, par l</w:t>
      </w:r>
      <w:r w:rsidR="002A58C8" w:rsidRPr="00653BF4">
        <w:rPr>
          <w:lang w:val="fr-FR"/>
        </w:rPr>
        <w:t>’</w:t>
      </w:r>
      <w:r w:rsidRPr="00653BF4">
        <w:rPr>
          <w:lang w:val="fr-FR"/>
        </w:rPr>
        <w:t>intermédiaire du Fonds d</w:t>
      </w:r>
      <w:r w:rsidR="002A58C8" w:rsidRPr="00653BF4">
        <w:rPr>
          <w:lang w:val="fr-FR"/>
        </w:rPr>
        <w:t>’</w:t>
      </w:r>
      <w:r w:rsidRPr="00653BF4">
        <w:rPr>
          <w:lang w:val="fr-FR"/>
        </w:rPr>
        <w:t>affectation spéciale de la Chine. Les points de vue exprimés dans le présent document ne sauraient en aucun cas être considérés comme reflétant la position officielle des bailleurs de fonds.</w:t>
      </w:r>
    </w:p>
    <w:p w14:paraId="416C69A1" w14:textId="77777777" w:rsidR="00332FC0" w:rsidRPr="00653BF4" w:rsidRDefault="00332FC0" w:rsidP="00332FC0">
      <w:pPr>
        <w:pStyle w:val="Heading1"/>
        <w:rPr>
          <w:lang w:val="fr-FR"/>
        </w:rPr>
      </w:pPr>
      <w:bookmarkStart w:id="3" w:name="_Toc239069175"/>
      <w:bookmarkStart w:id="4" w:name="_Toc239782758"/>
      <w:bookmarkStart w:id="5" w:name="_Toc240649021"/>
      <w:bookmarkStart w:id="6" w:name="_Toc242801212"/>
      <w:bookmarkEnd w:id="2"/>
      <w:r w:rsidRPr="00653BF4">
        <w:rPr>
          <w:lang w:val="fr-FR"/>
        </w:rPr>
        <w:t>Liste des abréviations et acronymes</w:t>
      </w:r>
      <w:bookmarkEnd w:id="3"/>
      <w:bookmarkEnd w:id="4"/>
      <w:bookmarkEnd w:id="5"/>
      <w:bookmarkEnd w:id="6"/>
    </w:p>
    <w:p w14:paraId="771D2B2A" w14:textId="77777777" w:rsidR="00332FC0" w:rsidRPr="00653BF4" w:rsidRDefault="00332FC0" w:rsidP="00332FC0">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39"/>
      </w:tblGrid>
      <w:tr w:rsidR="00332FC0" w:rsidRPr="00653BF4" w14:paraId="358DF847" w14:textId="77777777" w:rsidTr="00EB07B7">
        <w:tc>
          <w:tcPr>
            <w:tcW w:w="2977" w:type="dxa"/>
          </w:tcPr>
          <w:p w14:paraId="350DD6C1" w14:textId="77777777" w:rsidR="00332FC0" w:rsidRPr="00653BF4" w:rsidRDefault="00332FC0" w:rsidP="00EB07B7">
            <w:pPr>
              <w:rPr>
                <w:b/>
                <w:bCs/>
                <w:lang w:val="fr-FR"/>
              </w:rPr>
            </w:pPr>
            <w:r w:rsidRPr="00653BF4">
              <w:rPr>
                <w:b/>
                <w:bCs/>
                <w:lang w:val="fr-FR"/>
              </w:rPr>
              <w:t>Abréviation</w:t>
            </w:r>
          </w:p>
        </w:tc>
        <w:tc>
          <w:tcPr>
            <w:tcW w:w="6039" w:type="dxa"/>
          </w:tcPr>
          <w:p w14:paraId="6EF4848D" w14:textId="77777777" w:rsidR="00332FC0" w:rsidRPr="00653BF4" w:rsidRDefault="00332FC0" w:rsidP="00EB07B7">
            <w:pPr>
              <w:rPr>
                <w:b/>
                <w:bCs/>
                <w:lang w:val="fr-FR"/>
              </w:rPr>
            </w:pPr>
            <w:r w:rsidRPr="00653BF4">
              <w:rPr>
                <w:b/>
                <w:bCs/>
                <w:lang w:val="fr-FR"/>
              </w:rPr>
              <w:t>Terme complet</w:t>
            </w:r>
          </w:p>
        </w:tc>
      </w:tr>
      <w:tr w:rsidR="00332FC0" w:rsidRPr="00653BF4" w14:paraId="011EC3A3" w14:textId="77777777" w:rsidTr="00EB07B7">
        <w:tc>
          <w:tcPr>
            <w:tcW w:w="2977" w:type="dxa"/>
          </w:tcPr>
          <w:p w14:paraId="227A9ABB" w14:textId="77777777" w:rsidR="00332FC0" w:rsidRPr="00653BF4" w:rsidRDefault="00332FC0" w:rsidP="00EB07B7">
            <w:pPr>
              <w:rPr>
                <w:lang w:val="fr-FR"/>
              </w:rPr>
            </w:pPr>
            <w:r w:rsidRPr="00653BF4">
              <w:rPr>
                <w:lang w:val="fr-FR"/>
              </w:rPr>
              <w:t>ADNe</w:t>
            </w:r>
          </w:p>
        </w:tc>
        <w:tc>
          <w:tcPr>
            <w:tcW w:w="6039" w:type="dxa"/>
          </w:tcPr>
          <w:p w14:paraId="548EB0BA" w14:textId="77777777" w:rsidR="00332FC0" w:rsidRPr="00653BF4" w:rsidRDefault="00332FC0" w:rsidP="00EB07B7">
            <w:pPr>
              <w:rPr>
                <w:lang w:val="fr-FR"/>
              </w:rPr>
            </w:pPr>
            <w:r w:rsidRPr="00653BF4">
              <w:rPr>
                <w:lang w:val="fr-FR"/>
              </w:rPr>
              <w:t>ADN environnemental</w:t>
            </w:r>
          </w:p>
        </w:tc>
      </w:tr>
      <w:tr w:rsidR="00332FC0" w:rsidRPr="00543148" w14:paraId="6001451E" w14:textId="77777777" w:rsidTr="00EB07B7">
        <w:tc>
          <w:tcPr>
            <w:tcW w:w="2977" w:type="dxa"/>
          </w:tcPr>
          <w:p w14:paraId="1444058E" w14:textId="77777777" w:rsidR="00332FC0" w:rsidRPr="00653BF4" w:rsidRDefault="00332FC0" w:rsidP="00EB07B7">
            <w:pPr>
              <w:rPr>
                <w:lang w:val="fr-FR"/>
              </w:rPr>
            </w:pPr>
            <w:r w:rsidRPr="00653BF4">
              <w:rPr>
                <w:lang w:val="fr-FR"/>
              </w:rPr>
              <w:t>AHSTAG</w:t>
            </w:r>
          </w:p>
        </w:tc>
        <w:tc>
          <w:tcPr>
            <w:tcW w:w="6039" w:type="dxa"/>
          </w:tcPr>
          <w:p w14:paraId="1095DB0D" w14:textId="469EA08A" w:rsidR="00332FC0" w:rsidRPr="00653BF4" w:rsidRDefault="00332FC0" w:rsidP="00EB07B7">
            <w:pPr>
              <w:rPr>
                <w:lang w:val="fr-FR"/>
              </w:rPr>
            </w:pPr>
            <w:r w:rsidRPr="00653BF4">
              <w:rPr>
                <w:lang w:val="fr-FR"/>
              </w:rPr>
              <w:t>Groupe consultatif scientifique et technique spécial chargé de l</w:t>
            </w:r>
            <w:r w:rsidR="002A58C8" w:rsidRPr="00653BF4">
              <w:rPr>
                <w:lang w:val="fr-FR"/>
              </w:rPr>
              <w:t>’</w:t>
            </w:r>
            <w:r w:rsidRPr="00653BF4">
              <w:rPr>
                <w:lang w:val="fr-FR"/>
              </w:rPr>
              <w:t>élaboration du rapport mondial sur les progrès collectifs accomplis dans la mise en œuvre du Cadre mondial de la biodiversité de Kunming-Montréal</w:t>
            </w:r>
          </w:p>
        </w:tc>
      </w:tr>
      <w:tr w:rsidR="00332FC0" w:rsidRPr="00543148" w14:paraId="61A6209E" w14:textId="77777777" w:rsidTr="00EB07B7">
        <w:tc>
          <w:tcPr>
            <w:tcW w:w="2977" w:type="dxa"/>
          </w:tcPr>
          <w:p w14:paraId="2BC58BB8" w14:textId="77777777" w:rsidR="00332FC0" w:rsidRPr="00653BF4" w:rsidRDefault="00332FC0" w:rsidP="00EB07B7">
            <w:pPr>
              <w:rPr>
                <w:lang w:val="fr-FR"/>
              </w:rPr>
            </w:pPr>
            <w:r w:rsidRPr="00653BF4">
              <w:rPr>
                <w:lang w:val="fr-FR"/>
              </w:rPr>
              <w:t>AIEA</w:t>
            </w:r>
          </w:p>
        </w:tc>
        <w:tc>
          <w:tcPr>
            <w:tcW w:w="6039" w:type="dxa"/>
          </w:tcPr>
          <w:p w14:paraId="548DDEB8" w14:textId="60A55B27" w:rsidR="00332FC0" w:rsidRPr="00653BF4" w:rsidRDefault="00332FC0" w:rsidP="00EB07B7">
            <w:pPr>
              <w:rPr>
                <w:lang w:val="fr-FR"/>
              </w:rPr>
            </w:pPr>
            <w:r w:rsidRPr="00653BF4">
              <w:rPr>
                <w:lang w:val="fr-FR"/>
              </w:rPr>
              <w:t>Agence internationale de l</w:t>
            </w:r>
            <w:r w:rsidR="002A58C8" w:rsidRPr="00653BF4">
              <w:rPr>
                <w:lang w:val="fr-FR"/>
              </w:rPr>
              <w:t>’</w:t>
            </w:r>
            <w:r w:rsidRPr="00653BF4">
              <w:rPr>
                <w:lang w:val="fr-FR"/>
              </w:rPr>
              <w:t>énergie atomique</w:t>
            </w:r>
          </w:p>
        </w:tc>
      </w:tr>
      <w:tr w:rsidR="00332FC0" w:rsidRPr="00653BF4" w14:paraId="7CB396BB" w14:textId="77777777" w:rsidTr="00EB07B7">
        <w:tc>
          <w:tcPr>
            <w:tcW w:w="2977" w:type="dxa"/>
          </w:tcPr>
          <w:p w14:paraId="3D3E3D31" w14:textId="77777777" w:rsidR="00332FC0" w:rsidRPr="00653BF4" w:rsidRDefault="00332FC0" w:rsidP="00EB07B7">
            <w:pPr>
              <w:rPr>
                <w:lang w:val="fr-FR"/>
              </w:rPr>
            </w:pPr>
            <w:r w:rsidRPr="00653BF4">
              <w:rPr>
                <w:lang w:val="fr-FR"/>
              </w:rPr>
              <w:t>AME</w:t>
            </w:r>
          </w:p>
        </w:tc>
        <w:tc>
          <w:tcPr>
            <w:tcW w:w="6039" w:type="dxa"/>
          </w:tcPr>
          <w:p w14:paraId="17BE5AF1" w14:textId="129A97A7" w:rsidR="00332FC0" w:rsidRPr="00653BF4" w:rsidRDefault="00332FC0" w:rsidP="00EB07B7">
            <w:pPr>
              <w:rPr>
                <w:lang w:val="fr-FR"/>
              </w:rPr>
            </w:pPr>
            <w:r w:rsidRPr="00653BF4">
              <w:rPr>
                <w:lang w:val="fr-FR"/>
              </w:rPr>
              <w:t>Accord multilatéral sur l</w:t>
            </w:r>
            <w:r w:rsidR="002A58C8" w:rsidRPr="00653BF4">
              <w:rPr>
                <w:lang w:val="fr-FR"/>
              </w:rPr>
              <w:t>’</w:t>
            </w:r>
            <w:r w:rsidRPr="00653BF4">
              <w:rPr>
                <w:lang w:val="fr-FR"/>
              </w:rPr>
              <w:t>environnement</w:t>
            </w:r>
          </w:p>
        </w:tc>
      </w:tr>
      <w:tr w:rsidR="00332FC0" w:rsidRPr="00653BF4" w14:paraId="3A3A87F0" w14:textId="77777777" w:rsidTr="00EB07B7">
        <w:tc>
          <w:tcPr>
            <w:tcW w:w="2977" w:type="dxa"/>
          </w:tcPr>
          <w:p w14:paraId="10AA7335" w14:textId="77777777" w:rsidR="00332FC0" w:rsidRPr="00653BF4" w:rsidRDefault="00332FC0" w:rsidP="00EB07B7">
            <w:pPr>
              <w:rPr>
                <w:lang w:val="fr-FR"/>
              </w:rPr>
            </w:pPr>
            <w:r w:rsidRPr="00653BF4">
              <w:rPr>
                <w:lang w:val="fr-FR"/>
              </w:rPr>
              <w:t>APD</w:t>
            </w:r>
          </w:p>
        </w:tc>
        <w:tc>
          <w:tcPr>
            <w:tcW w:w="6039" w:type="dxa"/>
          </w:tcPr>
          <w:p w14:paraId="761261B0" w14:textId="77777777" w:rsidR="00332FC0" w:rsidRPr="00653BF4" w:rsidRDefault="00332FC0" w:rsidP="00EB07B7">
            <w:pPr>
              <w:rPr>
                <w:lang w:val="fr-FR"/>
              </w:rPr>
            </w:pPr>
            <w:r w:rsidRPr="00653BF4">
              <w:rPr>
                <w:lang w:val="fr-FR"/>
              </w:rPr>
              <w:t>aide publique au développement</w:t>
            </w:r>
          </w:p>
        </w:tc>
      </w:tr>
      <w:tr w:rsidR="00332FC0" w:rsidRPr="00543148" w14:paraId="5365C412" w14:textId="77777777" w:rsidTr="00EB07B7">
        <w:tc>
          <w:tcPr>
            <w:tcW w:w="2977" w:type="dxa"/>
          </w:tcPr>
          <w:p w14:paraId="727DC459" w14:textId="77777777" w:rsidR="00332FC0" w:rsidRPr="00653BF4" w:rsidRDefault="00332FC0" w:rsidP="00EB07B7">
            <w:pPr>
              <w:rPr>
                <w:lang w:val="fr-FR"/>
              </w:rPr>
            </w:pPr>
            <w:r w:rsidRPr="00653BF4">
              <w:rPr>
                <w:lang w:val="fr-FR"/>
              </w:rPr>
              <w:t>BIOFIN</w:t>
            </w:r>
          </w:p>
        </w:tc>
        <w:tc>
          <w:tcPr>
            <w:tcW w:w="6039" w:type="dxa"/>
          </w:tcPr>
          <w:p w14:paraId="5DE27315" w14:textId="77777777" w:rsidR="00332FC0" w:rsidRPr="00653BF4" w:rsidRDefault="00332FC0" w:rsidP="00EB07B7">
            <w:pPr>
              <w:rPr>
                <w:lang w:val="fr-FR"/>
              </w:rPr>
            </w:pPr>
            <w:r w:rsidRPr="00653BF4">
              <w:rPr>
                <w:lang w:val="fr-FR"/>
              </w:rPr>
              <w:t>Initiative pour le financement de la biodiversité</w:t>
            </w:r>
          </w:p>
        </w:tc>
      </w:tr>
      <w:tr w:rsidR="00332FC0" w:rsidRPr="00543148" w14:paraId="4595D575" w14:textId="77777777" w:rsidTr="00EB07B7">
        <w:tc>
          <w:tcPr>
            <w:tcW w:w="2977" w:type="dxa"/>
          </w:tcPr>
          <w:p w14:paraId="021FBF68" w14:textId="77777777" w:rsidR="00332FC0" w:rsidRPr="00653BF4" w:rsidRDefault="00332FC0" w:rsidP="00EB07B7">
            <w:pPr>
              <w:rPr>
                <w:lang w:val="fr-FR"/>
              </w:rPr>
            </w:pPr>
            <w:r w:rsidRPr="00653BF4">
              <w:rPr>
                <w:lang w:val="fr-FR"/>
              </w:rPr>
              <w:t>Cadre</w:t>
            </w:r>
          </w:p>
        </w:tc>
        <w:tc>
          <w:tcPr>
            <w:tcW w:w="6039" w:type="dxa"/>
          </w:tcPr>
          <w:p w14:paraId="16FEBC98" w14:textId="77777777" w:rsidR="00332FC0" w:rsidRPr="00653BF4" w:rsidRDefault="00332FC0" w:rsidP="00EB07B7">
            <w:pPr>
              <w:rPr>
                <w:lang w:val="fr-FR"/>
              </w:rPr>
            </w:pPr>
            <w:r w:rsidRPr="00653BF4">
              <w:rPr>
                <w:lang w:val="fr-FR"/>
              </w:rPr>
              <w:t>Cadre mondial de la biodiversité de Kunming-Montréal</w:t>
            </w:r>
          </w:p>
        </w:tc>
      </w:tr>
      <w:tr w:rsidR="00332FC0" w:rsidRPr="00543148" w14:paraId="1A35E175" w14:textId="77777777" w:rsidTr="00EB07B7">
        <w:tc>
          <w:tcPr>
            <w:tcW w:w="2977" w:type="dxa"/>
          </w:tcPr>
          <w:p w14:paraId="202AC9DD" w14:textId="77777777" w:rsidR="00332FC0" w:rsidRPr="00653BF4" w:rsidRDefault="00332FC0" w:rsidP="00EB07B7">
            <w:pPr>
              <w:rPr>
                <w:lang w:val="fr-FR"/>
              </w:rPr>
            </w:pPr>
            <w:r w:rsidRPr="00653BF4">
              <w:rPr>
                <w:lang w:val="fr-FR"/>
              </w:rPr>
              <w:t>CARE</w:t>
            </w:r>
          </w:p>
        </w:tc>
        <w:tc>
          <w:tcPr>
            <w:tcW w:w="6039" w:type="dxa"/>
          </w:tcPr>
          <w:p w14:paraId="248EED64" w14:textId="77777777" w:rsidR="00332FC0" w:rsidRPr="00653BF4" w:rsidRDefault="00332FC0" w:rsidP="00EB07B7">
            <w:pPr>
              <w:rPr>
                <w:lang w:val="fr-FR"/>
              </w:rPr>
            </w:pPr>
            <w:r w:rsidRPr="00653BF4">
              <w:rPr>
                <w:lang w:val="fr-FR"/>
              </w:rPr>
              <w:t>avantage collectif, autorité de contrôle, responsabilité, éthique</w:t>
            </w:r>
          </w:p>
        </w:tc>
      </w:tr>
      <w:tr w:rsidR="00332FC0" w:rsidRPr="00653BF4" w14:paraId="44F82A55" w14:textId="77777777" w:rsidTr="00EB07B7">
        <w:tc>
          <w:tcPr>
            <w:tcW w:w="2977" w:type="dxa"/>
          </w:tcPr>
          <w:p w14:paraId="20170DF6" w14:textId="77777777" w:rsidR="00332FC0" w:rsidRPr="00653BF4" w:rsidRDefault="00332FC0" w:rsidP="00EB07B7">
            <w:pPr>
              <w:rPr>
                <w:lang w:val="fr-FR"/>
              </w:rPr>
            </w:pPr>
            <w:r w:rsidRPr="00653BF4">
              <w:rPr>
                <w:lang w:val="fr-FR"/>
              </w:rPr>
              <w:t>CBI</w:t>
            </w:r>
          </w:p>
        </w:tc>
        <w:tc>
          <w:tcPr>
            <w:tcW w:w="6039" w:type="dxa"/>
          </w:tcPr>
          <w:p w14:paraId="2F7F62A5" w14:textId="77777777" w:rsidR="00332FC0" w:rsidRPr="00653BF4" w:rsidRDefault="00332FC0" w:rsidP="00EB07B7">
            <w:pPr>
              <w:rPr>
                <w:lang w:val="fr-FR"/>
              </w:rPr>
            </w:pPr>
            <w:r w:rsidRPr="00653BF4">
              <w:rPr>
                <w:lang w:val="fr-FR"/>
              </w:rPr>
              <w:t>Commission baleinière internationale</w:t>
            </w:r>
          </w:p>
        </w:tc>
      </w:tr>
      <w:tr w:rsidR="00332FC0" w:rsidRPr="00543148" w14:paraId="16EBF742" w14:textId="77777777" w:rsidTr="00EB07B7">
        <w:tc>
          <w:tcPr>
            <w:tcW w:w="2977" w:type="dxa"/>
          </w:tcPr>
          <w:p w14:paraId="7F7CE946" w14:textId="77777777" w:rsidR="00332FC0" w:rsidRPr="00653BF4" w:rsidRDefault="00332FC0" w:rsidP="00EB07B7">
            <w:pPr>
              <w:rPr>
                <w:lang w:val="fr-FR"/>
              </w:rPr>
            </w:pPr>
            <w:r w:rsidRPr="00653BF4">
              <w:rPr>
                <w:lang w:val="fr-FR"/>
              </w:rPr>
              <w:t>CCNUCC</w:t>
            </w:r>
          </w:p>
        </w:tc>
        <w:tc>
          <w:tcPr>
            <w:tcW w:w="6039" w:type="dxa"/>
          </w:tcPr>
          <w:p w14:paraId="760E1FEE" w14:textId="77777777" w:rsidR="00332FC0" w:rsidRPr="00653BF4" w:rsidRDefault="00332FC0" w:rsidP="00EB07B7">
            <w:pPr>
              <w:rPr>
                <w:lang w:val="fr-FR"/>
              </w:rPr>
            </w:pPr>
            <w:r w:rsidRPr="00653BF4">
              <w:rPr>
                <w:lang w:val="fr-FR"/>
              </w:rPr>
              <w:t>Convention-Cadre des Nations Unies sur les changements climatiques</w:t>
            </w:r>
          </w:p>
        </w:tc>
      </w:tr>
      <w:tr w:rsidR="00332FC0" w:rsidRPr="00543148" w14:paraId="0A0233EB" w14:textId="77777777" w:rsidTr="00EB07B7">
        <w:tc>
          <w:tcPr>
            <w:tcW w:w="2977" w:type="dxa"/>
          </w:tcPr>
          <w:p w14:paraId="757953F3" w14:textId="05D7AFE2" w:rsidR="00332FC0" w:rsidRPr="00653BF4" w:rsidRDefault="006D0ECD" w:rsidP="00EB07B7">
            <w:pPr>
              <w:rPr>
                <w:lang w:val="fr-FR"/>
              </w:rPr>
            </w:pPr>
            <w:r w:rsidRPr="00653BF4">
              <w:rPr>
                <w:lang w:val="fr-FR"/>
              </w:rPr>
              <w:t>C</w:t>
            </w:r>
            <w:r w:rsidR="00711DD2" w:rsidRPr="00653BF4">
              <w:rPr>
                <w:lang w:val="fr-FR"/>
              </w:rPr>
              <w:t>DB</w:t>
            </w:r>
            <w:r w:rsidR="00332FC0" w:rsidRPr="00653BF4">
              <w:rPr>
                <w:lang w:val="fr-FR"/>
              </w:rPr>
              <w:t xml:space="preserve"> (</w:t>
            </w:r>
            <w:r w:rsidR="00E34DC9">
              <w:rPr>
                <w:lang w:val="fr-FR"/>
              </w:rPr>
              <w:t>« </w:t>
            </w:r>
            <w:r w:rsidR="00332FC0" w:rsidRPr="00653BF4">
              <w:rPr>
                <w:lang w:val="fr-FR"/>
              </w:rPr>
              <w:t>la Convention</w:t>
            </w:r>
            <w:r w:rsidR="00E34DC9">
              <w:rPr>
                <w:lang w:val="fr-FR"/>
              </w:rPr>
              <w:t> »</w:t>
            </w:r>
            <w:r w:rsidR="00332FC0" w:rsidRPr="00653BF4">
              <w:rPr>
                <w:lang w:val="fr-FR"/>
              </w:rPr>
              <w:t>)</w:t>
            </w:r>
          </w:p>
        </w:tc>
        <w:tc>
          <w:tcPr>
            <w:tcW w:w="6039" w:type="dxa"/>
          </w:tcPr>
          <w:p w14:paraId="4A967B3A" w14:textId="77777777" w:rsidR="00332FC0" w:rsidRPr="00653BF4" w:rsidRDefault="00332FC0" w:rsidP="00EB07B7">
            <w:pPr>
              <w:rPr>
                <w:lang w:val="fr-FR"/>
              </w:rPr>
            </w:pPr>
            <w:r w:rsidRPr="00653BF4">
              <w:rPr>
                <w:lang w:val="fr-FR"/>
              </w:rPr>
              <w:t>Convention sur la diversité biologique</w:t>
            </w:r>
          </w:p>
        </w:tc>
      </w:tr>
      <w:tr w:rsidR="00332FC0" w:rsidRPr="00543148" w14:paraId="64A854ED" w14:textId="77777777" w:rsidTr="00EB07B7">
        <w:tc>
          <w:tcPr>
            <w:tcW w:w="2977" w:type="dxa"/>
          </w:tcPr>
          <w:p w14:paraId="118E7BAA" w14:textId="77777777" w:rsidR="00332FC0" w:rsidRPr="00653BF4" w:rsidRDefault="00332FC0" w:rsidP="00EB07B7">
            <w:pPr>
              <w:rPr>
                <w:lang w:val="fr-FR"/>
              </w:rPr>
            </w:pPr>
            <w:r w:rsidRPr="00653BF4">
              <w:rPr>
                <w:lang w:val="fr-FR"/>
              </w:rPr>
              <w:t>CDN</w:t>
            </w:r>
          </w:p>
        </w:tc>
        <w:tc>
          <w:tcPr>
            <w:tcW w:w="6039" w:type="dxa"/>
          </w:tcPr>
          <w:p w14:paraId="222AF290" w14:textId="77777777" w:rsidR="00332FC0" w:rsidRPr="00653BF4" w:rsidRDefault="00332FC0" w:rsidP="00EB07B7">
            <w:pPr>
              <w:rPr>
                <w:lang w:val="fr-FR"/>
              </w:rPr>
            </w:pPr>
            <w:r w:rsidRPr="00653BF4">
              <w:rPr>
                <w:lang w:val="fr-FR"/>
              </w:rPr>
              <w:t>contribution déterminée au niveau national</w:t>
            </w:r>
          </w:p>
        </w:tc>
      </w:tr>
      <w:tr w:rsidR="00332FC0" w:rsidRPr="00543148" w14:paraId="40A8F3A5" w14:textId="77777777" w:rsidTr="00EB07B7">
        <w:tc>
          <w:tcPr>
            <w:tcW w:w="2977" w:type="dxa"/>
          </w:tcPr>
          <w:p w14:paraId="28CF0767" w14:textId="77777777" w:rsidR="00332FC0" w:rsidRPr="00653BF4" w:rsidRDefault="00332FC0" w:rsidP="00EB07B7">
            <w:pPr>
              <w:rPr>
                <w:lang w:val="fr-FR"/>
              </w:rPr>
            </w:pPr>
            <w:r w:rsidRPr="00653BF4">
              <w:rPr>
                <w:lang w:val="fr-FR"/>
              </w:rPr>
              <w:t>CDP</w:t>
            </w:r>
          </w:p>
        </w:tc>
        <w:tc>
          <w:tcPr>
            <w:tcW w:w="6039" w:type="dxa"/>
          </w:tcPr>
          <w:p w14:paraId="295BC533" w14:textId="7683A684" w:rsidR="00332FC0" w:rsidRPr="00653BF4" w:rsidRDefault="00332FC0" w:rsidP="00EB07B7">
            <w:pPr>
              <w:rPr>
                <w:lang w:val="fr-FR"/>
              </w:rPr>
            </w:pPr>
            <w:r w:rsidRPr="00653BF4">
              <w:rPr>
                <w:lang w:val="fr-FR"/>
              </w:rPr>
              <w:t>Projet pour la divulgation d</w:t>
            </w:r>
            <w:r w:rsidR="002A58C8" w:rsidRPr="00653BF4">
              <w:rPr>
                <w:lang w:val="fr-FR"/>
              </w:rPr>
              <w:t>’</w:t>
            </w:r>
            <w:r w:rsidRPr="00653BF4">
              <w:rPr>
                <w:lang w:val="fr-FR"/>
              </w:rPr>
              <w:t>informations liées au climat</w:t>
            </w:r>
          </w:p>
        </w:tc>
      </w:tr>
      <w:tr w:rsidR="00332FC0" w:rsidRPr="00543148" w14:paraId="7BAA0D69" w14:textId="77777777" w:rsidTr="00EB07B7">
        <w:tc>
          <w:tcPr>
            <w:tcW w:w="2977" w:type="dxa"/>
          </w:tcPr>
          <w:p w14:paraId="2C97CAAC" w14:textId="77777777" w:rsidR="00332FC0" w:rsidRPr="00653BF4" w:rsidRDefault="00332FC0" w:rsidP="00EB07B7">
            <w:pPr>
              <w:rPr>
                <w:lang w:val="fr-FR"/>
              </w:rPr>
            </w:pPr>
            <w:r w:rsidRPr="00653BF4">
              <w:rPr>
                <w:lang w:val="fr-FR"/>
              </w:rPr>
              <w:t>CGIAR</w:t>
            </w:r>
          </w:p>
        </w:tc>
        <w:tc>
          <w:tcPr>
            <w:tcW w:w="6039" w:type="dxa"/>
          </w:tcPr>
          <w:p w14:paraId="5646F822" w14:textId="77777777" w:rsidR="00332FC0" w:rsidRPr="00653BF4" w:rsidRDefault="00332FC0" w:rsidP="00EB07B7">
            <w:pPr>
              <w:rPr>
                <w:lang w:val="fr-FR"/>
              </w:rPr>
            </w:pPr>
            <w:r w:rsidRPr="00653BF4">
              <w:rPr>
                <w:lang w:val="fr-FR"/>
              </w:rPr>
              <w:t>Partenariat mondial pour la recherche agricole (anciennement Groupe consultatif pour la recherche agricole internationale)</w:t>
            </w:r>
          </w:p>
        </w:tc>
      </w:tr>
      <w:tr w:rsidR="00332FC0" w:rsidRPr="00543148" w14:paraId="58AD0F25" w14:textId="77777777" w:rsidTr="00EB07B7">
        <w:tc>
          <w:tcPr>
            <w:tcW w:w="2977" w:type="dxa"/>
          </w:tcPr>
          <w:p w14:paraId="45D165E9" w14:textId="77777777" w:rsidR="00332FC0" w:rsidRPr="00653BF4" w:rsidRDefault="00332FC0" w:rsidP="00EB07B7">
            <w:pPr>
              <w:rPr>
                <w:lang w:val="fr-FR"/>
              </w:rPr>
            </w:pPr>
            <w:r w:rsidRPr="00653BF4">
              <w:rPr>
                <w:lang w:val="fr-FR"/>
              </w:rPr>
              <w:t>CIPV</w:t>
            </w:r>
          </w:p>
        </w:tc>
        <w:tc>
          <w:tcPr>
            <w:tcW w:w="6039" w:type="dxa"/>
          </w:tcPr>
          <w:p w14:paraId="0D3F83B9" w14:textId="25A94449" w:rsidR="00332FC0" w:rsidRPr="00653BF4" w:rsidRDefault="00332FC0" w:rsidP="00EB07B7">
            <w:pPr>
              <w:rPr>
                <w:lang w:val="fr-FR"/>
              </w:rPr>
            </w:pPr>
            <w:r w:rsidRPr="00653BF4">
              <w:rPr>
                <w:lang w:val="fr-FR"/>
              </w:rPr>
              <w:t>Convention</w:t>
            </w:r>
            <w:r w:rsidR="003F626B" w:rsidRPr="00653BF4">
              <w:rPr>
                <w:lang w:val="fr-FR"/>
              </w:rPr>
              <w:t> </w:t>
            </w:r>
            <w:r w:rsidRPr="00653BF4">
              <w:rPr>
                <w:lang w:val="fr-FR"/>
              </w:rPr>
              <w:t>internationale pour la</w:t>
            </w:r>
            <w:r w:rsidR="00DB7B2F" w:rsidRPr="00653BF4">
              <w:rPr>
                <w:lang w:val="fr-FR"/>
              </w:rPr>
              <w:t xml:space="preserve"> </w:t>
            </w:r>
            <w:r w:rsidRPr="00653BF4">
              <w:rPr>
                <w:lang w:val="fr-FR"/>
              </w:rPr>
              <w:t>protection</w:t>
            </w:r>
            <w:r w:rsidR="00DB7B2F" w:rsidRPr="00653BF4">
              <w:rPr>
                <w:lang w:val="fr-FR"/>
              </w:rPr>
              <w:t xml:space="preserve"> </w:t>
            </w:r>
            <w:r w:rsidRPr="00653BF4">
              <w:rPr>
                <w:lang w:val="fr-FR"/>
              </w:rPr>
              <w:t>des végétaux</w:t>
            </w:r>
          </w:p>
        </w:tc>
      </w:tr>
      <w:tr w:rsidR="00332FC0" w:rsidRPr="00543148" w14:paraId="7247F50A" w14:textId="77777777" w:rsidTr="00EB07B7">
        <w:tc>
          <w:tcPr>
            <w:tcW w:w="2977" w:type="dxa"/>
          </w:tcPr>
          <w:p w14:paraId="022AEE77" w14:textId="77777777" w:rsidR="00332FC0" w:rsidRPr="00653BF4" w:rsidRDefault="00332FC0" w:rsidP="00EB07B7">
            <w:pPr>
              <w:rPr>
                <w:lang w:val="fr-FR"/>
              </w:rPr>
            </w:pPr>
            <w:r w:rsidRPr="00653BF4">
              <w:rPr>
                <w:lang w:val="fr-FR"/>
              </w:rPr>
              <w:t>CITES</w:t>
            </w:r>
          </w:p>
        </w:tc>
        <w:tc>
          <w:tcPr>
            <w:tcW w:w="6039" w:type="dxa"/>
          </w:tcPr>
          <w:p w14:paraId="440AED8C" w14:textId="6C6BB024" w:rsidR="00332FC0" w:rsidRPr="00653BF4" w:rsidRDefault="00332FC0" w:rsidP="00EB07B7">
            <w:pPr>
              <w:rPr>
                <w:lang w:val="fr-FR"/>
              </w:rPr>
            </w:pPr>
            <w:r w:rsidRPr="00653BF4">
              <w:rPr>
                <w:lang w:val="fr-FR"/>
              </w:rPr>
              <w:t>Convention sur le commerce international des espèces de faune et de flore sauvages menacées d</w:t>
            </w:r>
            <w:r w:rsidR="002A58C8" w:rsidRPr="00653BF4">
              <w:rPr>
                <w:lang w:val="fr-FR"/>
              </w:rPr>
              <w:t>’</w:t>
            </w:r>
            <w:r w:rsidRPr="00653BF4">
              <w:rPr>
                <w:lang w:val="fr-FR"/>
              </w:rPr>
              <w:t>extinction</w:t>
            </w:r>
          </w:p>
        </w:tc>
      </w:tr>
      <w:tr w:rsidR="00332FC0" w:rsidRPr="00543148" w14:paraId="137C4846" w14:textId="77777777" w:rsidTr="00EB07B7">
        <w:tc>
          <w:tcPr>
            <w:tcW w:w="2977" w:type="dxa"/>
          </w:tcPr>
          <w:p w14:paraId="4D908807" w14:textId="77777777" w:rsidR="00332FC0" w:rsidRPr="00653BF4" w:rsidRDefault="00332FC0" w:rsidP="00EB07B7">
            <w:pPr>
              <w:rPr>
                <w:lang w:val="fr-FR"/>
              </w:rPr>
            </w:pPr>
            <w:r w:rsidRPr="00653BF4">
              <w:rPr>
                <w:lang w:val="fr-FR"/>
              </w:rPr>
              <w:t>CLD</w:t>
            </w:r>
          </w:p>
        </w:tc>
        <w:tc>
          <w:tcPr>
            <w:tcW w:w="6039" w:type="dxa"/>
          </w:tcPr>
          <w:p w14:paraId="3CBF5713" w14:textId="77777777" w:rsidR="00332FC0" w:rsidRPr="00653BF4" w:rsidRDefault="00332FC0" w:rsidP="00EB07B7">
            <w:pPr>
              <w:rPr>
                <w:lang w:val="fr-FR"/>
              </w:rPr>
            </w:pPr>
            <w:r w:rsidRPr="00653BF4">
              <w:rPr>
                <w:lang w:val="fr-FR"/>
              </w:rPr>
              <w:t>Convention des Nations Unies sur la lutte contre la désertification dans les pays gravement touchés par la sécheresse et/ou la désertification, en particulier en Afrique</w:t>
            </w:r>
          </w:p>
        </w:tc>
      </w:tr>
      <w:tr w:rsidR="00332FC0" w:rsidRPr="00543148" w14:paraId="5F2E5182" w14:textId="77777777" w:rsidTr="00EB07B7">
        <w:tc>
          <w:tcPr>
            <w:tcW w:w="2977" w:type="dxa"/>
          </w:tcPr>
          <w:p w14:paraId="21ED6D23" w14:textId="77777777" w:rsidR="00332FC0" w:rsidRPr="00653BF4" w:rsidRDefault="00332FC0" w:rsidP="00EB07B7">
            <w:pPr>
              <w:rPr>
                <w:lang w:val="fr-FR"/>
              </w:rPr>
            </w:pPr>
            <w:r w:rsidRPr="00653BF4">
              <w:rPr>
                <w:lang w:val="fr-FR"/>
              </w:rPr>
              <w:t>CMS</w:t>
            </w:r>
          </w:p>
        </w:tc>
        <w:tc>
          <w:tcPr>
            <w:tcW w:w="6039" w:type="dxa"/>
          </w:tcPr>
          <w:p w14:paraId="2C80AB09" w14:textId="77777777" w:rsidR="00332FC0" w:rsidRPr="00653BF4" w:rsidRDefault="00332FC0" w:rsidP="00EB07B7">
            <w:pPr>
              <w:rPr>
                <w:lang w:val="fr-FR"/>
              </w:rPr>
            </w:pPr>
            <w:r w:rsidRPr="00653BF4">
              <w:rPr>
                <w:lang w:val="fr-FR"/>
              </w:rPr>
              <w:t>Convention sur la conservation des espèces migratrices appartenant à la faune sauvage</w:t>
            </w:r>
          </w:p>
        </w:tc>
      </w:tr>
      <w:tr w:rsidR="00332FC0" w:rsidRPr="00653BF4" w14:paraId="44EC3486" w14:textId="77777777" w:rsidTr="00EB07B7">
        <w:tc>
          <w:tcPr>
            <w:tcW w:w="2977" w:type="dxa"/>
          </w:tcPr>
          <w:p w14:paraId="0EF9CEE2" w14:textId="77777777" w:rsidR="00332FC0" w:rsidRPr="00653BF4" w:rsidRDefault="00332FC0" w:rsidP="00EB07B7">
            <w:pPr>
              <w:rPr>
                <w:lang w:val="fr-FR"/>
              </w:rPr>
            </w:pPr>
            <w:r w:rsidRPr="00653BF4">
              <w:rPr>
                <w:lang w:val="fr-FR"/>
              </w:rPr>
              <w:t>COI</w:t>
            </w:r>
          </w:p>
        </w:tc>
        <w:tc>
          <w:tcPr>
            <w:tcW w:w="6039" w:type="dxa"/>
          </w:tcPr>
          <w:p w14:paraId="208261BC" w14:textId="77777777" w:rsidR="00332FC0" w:rsidRPr="00653BF4" w:rsidRDefault="00332FC0" w:rsidP="00EB07B7">
            <w:pPr>
              <w:rPr>
                <w:lang w:val="fr-FR"/>
              </w:rPr>
            </w:pPr>
            <w:r w:rsidRPr="00653BF4">
              <w:rPr>
                <w:lang w:val="fr-FR"/>
              </w:rPr>
              <w:t>Commission océanographique intergouvernementale</w:t>
            </w:r>
          </w:p>
        </w:tc>
      </w:tr>
      <w:tr w:rsidR="00332FC0" w:rsidRPr="00543148" w14:paraId="39F5CBBF" w14:textId="77777777" w:rsidTr="00EB07B7">
        <w:tc>
          <w:tcPr>
            <w:tcW w:w="2977" w:type="dxa"/>
          </w:tcPr>
          <w:p w14:paraId="34A7E09B" w14:textId="77777777" w:rsidR="00332FC0" w:rsidRPr="00653BF4" w:rsidRDefault="00332FC0" w:rsidP="00EB07B7">
            <w:pPr>
              <w:rPr>
                <w:lang w:val="fr-FR"/>
              </w:rPr>
            </w:pPr>
            <w:r w:rsidRPr="00653BF4">
              <w:rPr>
                <w:lang w:val="fr-FR"/>
              </w:rPr>
              <w:lastRenderedPageBreak/>
              <w:t>COMDEKS</w:t>
            </w:r>
          </w:p>
        </w:tc>
        <w:tc>
          <w:tcPr>
            <w:tcW w:w="6039" w:type="dxa"/>
          </w:tcPr>
          <w:p w14:paraId="276071AD" w14:textId="1AF4377E" w:rsidR="00332FC0" w:rsidRPr="00653BF4" w:rsidRDefault="00332FC0" w:rsidP="00EB07B7">
            <w:pPr>
              <w:rPr>
                <w:lang w:val="fr-FR"/>
              </w:rPr>
            </w:pPr>
            <w:r w:rsidRPr="00653BF4">
              <w:rPr>
                <w:lang w:val="fr-FR"/>
              </w:rPr>
              <w:t>Développement communautaire et gestion des connaissances dans le cadre de l</w:t>
            </w:r>
            <w:r w:rsidR="002A58C8" w:rsidRPr="00653BF4">
              <w:rPr>
                <w:lang w:val="fr-FR"/>
              </w:rPr>
              <w:t>’</w:t>
            </w:r>
            <w:r w:rsidRPr="00653BF4">
              <w:rPr>
                <w:lang w:val="fr-FR"/>
              </w:rPr>
              <w:t>Initiative Satoyama</w:t>
            </w:r>
          </w:p>
        </w:tc>
      </w:tr>
      <w:tr w:rsidR="00332FC0" w:rsidRPr="00543148" w14:paraId="61D2A88B" w14:textId="77777777" w:rsidTr="00EB07B7">
        <w:tc>
          <w:tcPr>
            <w:tcW w:w="2977" w:type="dxa"/>
          </w:tcPr>
          <w:p w14:paraId="25962652" w14:textId="77777777" w:rsidR="00332FC0" w:rsidRPr="00653BF4" w:rsidRDefault="00332FC0" w:rsidP="00EB07B7">
            <w:pPr>
              <w:rPr>
                <w:lang w:val="fr-FR"/>
              </w:rPr>
            </w:pPr>
            <w:r w:rsidRPr="00653BF4">
              <w:rPr>
                <w:lang w:val="fr-FR"/>
              </w:rPr>
              <w:t>CONABIO</w:t>
            </w:r>
          </w:p>
        </w:tc>
        <w:tc>
          <w:tcPr>
            <w:tcW w:w="6039" w:type="dxa"/>
          </w:tcPr>
          <w:p w14:paraId="0C48D9A8" w14:textId="625575D3" w:rsidR="00332FC0" w:rsidRPr="00653BF4" w:rsidRDefault="00BB5A23" w:rsidP="00EB07B7">
            <w:pPr>
              <w:rPr>
                <w:rFonts w:cs="Arial"/>
                <w:color w:val="000000" w:themeColor="text1"/>
                <w:lang w:val="fr-FR"/>
              </w:rPr>
            </w:pPr>
            <w:r>
              <w:rPr>
                <w:lang w:val="fr-FR"/>
              </w:rPr>
              <w:t>Commission nationale pour la connaissance et l’utilisation de la biodiversité au Mexique</w:t>
            </w:r>
          </w:p>
        </w:tc>
      </w:tr>
      <w:tr w:rsidR="00332FC0" w:rsidRPr="00543148" w14:paraId="54AC240F" w14:textId="77777777" w:rsidTr="00EB07B7">
        <w:tc>
          <w:tcPr>
            <w:tcW w:w="2977" w:type="dxa"/>
          </w:tcPr>
          <w:p w14:paraId="6998C445" w14:textId="77777777" w:rsidR="00332FC0" w:rsidRPr="00653BF4" w:rsidRDefault="00332FC0" w:rsidP="00EB07B7">
            <w:pPr>
              <w:rPr>
                <w:lang w:val="fr-FR"/>
              </w:rPr>
            </w:pPr>
            <w:r w:rsidRPr="00653BF4">
              <w:rPr>
                <w:lang w:val="fr-FR"/>
              </w:rPr>
              <w:t>Convention BWM</w:t>
            </w:r>
          </w:p>
        </w:tc>
        <w:tc>
          <w:tcPr>
            <w:tcW w:w="6039" w:type="dxa"/>
          </w:tcPr>
          <w:p w14:paraId="24AE7ADD" w14:textId="77777777" w:rsidR="00332FC0" w:rsidRPr="00653BF4" w:rsidRDefault="00332FC0" w:rsidP="00EB07B7">
            <w:pPr>
              <w:rPr>
                <w:lang w:val="fr-FR"/>
              </w:rPr>
            </w:pPr>
            <w:r w:rsidRPr="00653BF4">
              <w:rPr>
                <w:lang w:val="fr-FR"/>
              </w:rPr>
              <w:t>Convention internationale de 2004 sur le contrôle et la gestion des eaux de ballast et des sédiments des navires</w:t>
            </w:r>
          </w:p>
        </w:tc>
      </w:tr>
      <w:tr w:rsidR="00332FC0" w:rsidRPr="00543148" w14:paraId="3FA7333E" w14:textId="77777777" w:rsidTr="00EB07B7">
        <w:tc>
          <w:tcPr>
            <w:tcW w:w="2977" w:type="dxa"/>
          </w:tcPr>
          <w:p w14:paraId="6AF040FE" w14:textId="77777777" w:rsidR="00332FC0" w:rsidRPr="00653BF4" w:rsidRDefault="00332FC0" w:rsidP="00EB07B7">
            <w:pPr>
              <w:rPr>
                <w:lang w:val="fr-FR"/>
              </w:rPr>
            </w:pPr>
            <w:r w:rsidRPr="00653BF4">
              <w:rPr>
                <w:lang w:val="fr-FR"/>
              </w:rPr>
              <w:t>Convention sur les zones humides</w:t>
            </w:r>
          </w:p>
          <w:p w14:paraId="1DFA3F8B" w14:textId="77777777" w:rsidR="00332FC0" w:rsidRPr="00653BF4" w:rsidRDefault="00332FC0" w:rsidP="00EB07B7">
            <w:pPr>
              <w:rPr>
                <w:lang w:val="fr-FR"/>
              </w:rPr>
            </w:pPr>
          </w:p>
        </w:tc>
        <w:tc>
          <w:tcPr>
            <w:tcW w:w="6039" w:type="dxa"/>
          </w:tcPr>
          <w:p w14:paraId="2464874C" w14:textId="2AE333C8" w:rsidR="00332FC0" w:rsidRPr="00653BF4" w:rsidRDefault="00332FC0" w:rsidP="00EB07B7">
            <w:pPr>
              <w:rPr>
                <w:lang w:val="fr-FR"/>
              </w:rPr>
            </w:pPr>
            <w:r w:rsidRPr="00653BF4">
              <w:rPr>
                <w:color w:val="000000" w:themeColor="text1"/>
                <w:shd w:val="clear" w:color="auto" w:fill="FFFFFF"/>
                <w:lang w:val="fr-FR"/>
              </w:rPr>
              <w:t>Convention relative aux zones humides d</w:t>
            </w:r>
            <w:r w:rsidR="002A58C8" w:rsidRPr="00653BF4">
              <w:rPr>
                <w:color w:val="000000" w:themeColor="text1"/>
                <w:shd w:val="clear" w:color="auto" w:fill="FFFFFF"/>
                <w:lang w:val="fr-FR"/>
              </w:rPr>
              <w:t>’</w:t>
            </w:r>
            <w:r w:rsidRPr="00653BF4">
              <w:rPr>
                <w:color w:val="000000" w:themeColor="text1"/>
                <w:shd w:val="clear" w:color="auto" w:fill="FFFFFF"/>
                <w:lang w:val="fr-FR"/>
              </w:rPr>
              <w:t>importance internationale, particulièrement comme habitats des oiseaux d</w:t>
            </w:r>
            <w:r w:rsidR="002A58C8" w:rsidRPr="00653BF4">
              <w:rPr>
                <w:color w:val="000000" w:themeColor="text1"/>
                <w:shd w:val="clear" w:color="auto" w:fill="FFFFFF"/>
                <w:lang w:val="fr-FR"/>
              </w:rPr>
              <w:t>’</w:t>
            </w:r>
            <w:r w:rsidRPr="00653BF4">
              <w:rPr>
                <w:color w:val="000000" w:themeColor="text1"/>
                <w:shd w:val="clear" w:color="auto" w:fill="FFFFFF"/>
                <w:lang w:val="fr-FR"/>
              </w:rPr>
              <w:t>eau</w:t>
            </w:r>
          </w:p>
        </w:tc>
      </w:tr>
      <w:tr w:rsidR="00332FC0" w:rsidRPr="00543148" w14:paraId="3A77D477" w14:textId="77777777" w:rsidTr="00EB07B7">
        <w:tc>
          <w:tcPr>
            <w:tcW w:w="2977" w:type="dxa"/>
          </w:tcPr>
          <w:p w14:paraId="0C65BA0D" w14:textId="77777777" w:rsidR="00332FC0" w:rsidRPr="00653BF4" w:rsidRDefault="00332FC0" w:rsidP="00EB07B7">
            <w:pPr>
              <w:rPr>
                <w:lang w:val="fr-FR"/>
              </w:rPr>
            </w:pPr>
            <w:r w:rsidRPr="00653BF4">
              <w:rPr>
                <w:lang w:val="fr-FR"/>
              </w:rPr>
              <w:t>ELSA</w:t>
            </w:r>
          </w:p>
        </w:tc>
        <w:tc>
          <w:tcPr>
            <w:tcW w:w="6039" w:type="dxa"/>
          </w:tcPr>
          <w:p w14:paraId="359F471C" w14:textId="77777777" w:rsidR="00332FC0" w:rsidRPr="00653BF4" w:rsidRDefault="00332FC0" w:rsidP="00EB07B7">
            <w:pPr>
              <w:rPr>
                <w:lang w:val="fr-FR"/>
              </w:rPr>
            </w:pPr>
            <w:r w:rsidRPr="00653BF4">
              <w:rPr>
                <w:lang w:val="fr-FR"/>
              </w:rPr>
              <w:t>aire essentielle au maintien de la vie</w:t>
            </w:r>
          </w:p>
        </w:tc>
      </w:tr>
      <w:tr w:rsidR="00332FC0" w:rsidRPr="00543148" w14:paraId="05D51FC5" w14:textId="77777777" w:rsidTr="00EB07B7">
        <w:tc>
          <w:tcPr>
            <w:tcW w:w="2977" w:type="dxa"/>
          </w:tcPr>
          <w:p w14:paraId="221EA429" w14:textId="77777777" w:rsidR="00332FC0" w:rsidRPr="00653BF4" w:rsidRDefault="00332FC0" w:rsidP="00EB07B7">
            <w:pPr>
              <w:rPr>
                <w:lang w:val="fr-FR"/>
              </w:rPr>
            </w:pPr>
            <w:r w:rsidRPr="00653BF4">
              <w:rPr>
                <w:lang w:val="fr-FR"/>
              </w:rPr>
              <w:t>ESG</w:t>
            </w:r>
          </w:p>
        </w:tc>
        <w:tc>
          <w:tcPr>
            <w:tcW w:w="6039" w:type="dxa"/>
          </w:tcPr>
          <w:p w14:paraId="0C8C84F3" w14:textId="4AEFAE4A" w:rsidR="00332FC0" w:rsidRPr="00653BF4" w:rsidRDefault="00332FC0" w:rsidP="00EB07B7">
            <w:pPr>
              <w:rPr>
                <w:rFonts w:ascii="Aptos" w:hAnsi="Aptos"/>
                <w:color w:val="212121"/>
                <w:lang w:val="fr-FR"/>
              </w:rPr>
            </w:pPr>
            <w:r w:rsidRPr="00653BF4">
              <w:rPr>
                <w:rFonts w:ascii="Aptos" w:hAnsi="Aptos"/>
                <w:color w:val="212121"/>
                <w:lang w:val="fr-FR"/>
              </w:rPr>
              <w:t>questions d</w:t>
            </w:r>
            <w:r w:rsidR="002A58C8" w:rsidRPr="00653BF4">
              <w:rPr>
                <w:rFonts w:ascii="Aptos" w:hAnsi="Aptos"/>
                <w:color w:val="212121"/>
                <w:lang w:val="fr-FR"/>
              </w:rPr>
              <w:t>’</w:t>
            </w:r>
            <w:r w:rsidRPr="00653BF4">
              <w:rPr>
                <w:rFonts w:ascii="Aptos" w:hAnsi="Aptos"/>
                <w:color w:val="212121"/>
                <w:lang w:val="fr-FR"/>
              </w:rPr>
              <w:t>environnement, de société et de gouvernance</w:t>
            </w:r>
          </w:p>
        </w:tc>
      </w:tr>
      <w:tr w:rsidR="00332FC0" w:rsidRPr="00543148" w14:paraId="0006F24B" w14:textId="77777777" w:rsidTr="00EB07B7">
        <w:tc>
          <w:tcPr>
            <w:tcW w:w="2977" w:type="dxa"/>
          </w:tcPr>
          <w:p w14:paraId="5C30729A" w14:textId="77777777" w:rsidR="00332FC0" w:rsidRPr="00653BF4" w:rsidRDefault="00332FC0" w:rsidP="00EB07B7">
            <w:pPr>
              <w:rPr>
                <w:lang w:val="fr-FR"/>
              </w:rPr>
            </w:pPr>
            <w:r w:rsidRPr="00653BF4">
              <w:rPr>
                <w:lang w:val="fr-FR"/>
              </w:rPr>
              <w:t>FAIR</w:t>
            </w:r>
          </w:p>
        </w:tc>
        <w:tc>
          <w:tcPr>
            <w:tcW w:w="6039" w:type="dxa"/>
          </w:tcPr>
          <w:p w14:paraId="49A953F6" w14:textId="77777777" w:rsidR="00332FC0" w:rsidRPr="00653BF4" w:rsidRDefault="00332FC0" w:rsidP="00EB07B7">
            <w:pPr>
              <w:rPr>
                <w:lang w:val="fr-FR"/>
              </w:rPr>
            </w:pPr>
            <w:r w:rsidRPr="00653BF4">
              <w:rPr>
                <w:lang w:val="fr-FR"/>
              </w:rPr>
              <w:t>facilement trouvable, accessible, interopérable et réutilisable</w:t>
            </w:r>
          </w:p>
        </w:tc>
      </w:tr>
      <w:tr w:rsidR="00332FC0" w:rsidRPr="00543148" w14:paraId="497BFE9D" w14:textId="77777777" w:rsidTr="00EB07B7">
        <w:tc>
          <w:tcPr>
            <w:tcW w:w="2977" w:type="dxa"/>
          </w:tcPr>
          <w:p w14:paraId="2589C645" w14:textId="77777777" w:rsidR="00332FC0" w:rsidRPr="00653BF4" w:rsidRDefault="00332FC0" w:rsidP="00EB07B7">
            <w:pPr>
              <w:rPr>
                <w:lang w:val="fr-FR"/>
              </w:rPr>
            </w:pPr>
            <w:r w:rsidRPr="00653BF4">
              <w:rPr>
                <w:lang w:val="fr-FR"/>
              </w:rPr>
              <w:t>FAO</w:t>
            </w:r>
          </w:p>
        </w:tc>
        <w:tc>
          <w:tcPr>
            <w:tcW w:w="6039" w:type="dxa"/>
          </w:tcPr>
          <w:p w14:paraId="31880030" w14:textId="32211F35" w:rsidR="00332FC0" w:rsidRPr="00653BF4" w:rsidRDefault="00332FC0" w:rsidP="00EB07B7">
            <w:pPr>
              <w:rPr>
                <w:lang w:val="fr-FR"/>
              </w:rPr>
            </w:pPr>
            <w:r w:rsidRPr="00653BF4">
              <w:rPr>
                <w:lang w:val="fr-FR"/>
              </w:rPr>
              <w:t>Organisation des Nations Unies pour l</w:t>
            </w:r>
            <w:r w:rsidR="002A58C8" w:rsidRPr="00653BF4">
              <w:rPr>
                <w:lang w:val="fr-FR"/>
              </w:rPr>
              <w:t>’</w:t>
            </w:r>
            <w:r w:rsidRPr="00653BF4">
              <w:rPr>
                <w:lang w:val="fr-FR"/>
              </w:rPr>
              <w:t>alimentation et l</w:t>
            </w:r>
            <w:r w:rsidR="002A58C8" w:rsidRPr="00653BF4">
              <w:rPr>
                <w:lang w:val="fr-FR"/>
              </w:rPr>
              <w:t>’</w:t>
            </w:r>
            <w:r w:rsidRPr="00653BF4">
              <w:rPr>
                <w:lang w:val="fr-FR"/>
              </w:rPr>
              <w:t>agriculture</w:t>
            </w:r>
          </w:p>
        </w:tc>
      </w:tr>
      <w:tr w:rsidR="00332FC0" w:rsidRPr="00653BF4" w14:paraId="208CF9B9" w14:textId="77777777" w:rsidTr="00EB07B7">
        <w:tc>
          <w:tcPr>
            <w:tcW w:w="2977" w:type="dxa"/>
          </w:tcPr>
          <w:p w14:paraId="34E3AA52" w14:textId="77777777" w:rsidR="00332FC0" w:rsidRPr="00653BF4" w:rsidRDefault="00332FC0" w:rsidP="00EB07B7">
            <w:pPr>
              <w:rPr>
                <w:lang w:val="fr-FR"/>
              </w:rPr>
            </w:pPr>
            <w:r w:rsidRPr="00653BF4">
              <w:rPr>
                <w:lang w:val="fr-FR"/>
              </w:rPr>
              <w:t>FEM</w:t>
            </w:r>
          </w:p>
        </w:tc>
        <w:tc>
          <w:tcPr>
            <w:tcW w:w="6039" w:type="dxa"/>
          </w:tcPr>
          <w:p w14:paraId="1D09EB1A" w14:textId="75126983" w:rsidR="00332FC0" w:rsidRPr="00653BF4" w:rsidRDefault="00332FC0" w:rsidP="00EB07B7">
            <w:pPr>
              <w:rPr>
                <w:lang w:val="fr-FR"/>
              </w:rPr>
            </w:pPr>
            <w:r w:rsidRPr="00653BF4">
              <w:rPr>
                <w:lang w:val="fr-FR"/>
              </w:rPr>
              <w:t>Fonds pour l</w:t>
            </w:r>
            <w:r w:rsidR="002A58C8" w:rsidRPr="00653BF4">
              <w:rPr>
                <w:lang w:val="fr-FR"/>
              </w:rPr>
              <w:t>’</w:t>
            </w:r>
            <w:r w:rsidRPr="00653BF4">
              <w:rPr>
                <w:lang w:val="fr-FR"/>
              </w:rPr>
              <w:t>environnement mondial</w:t>
            </w:r>
          </w:p>
        </w:tc>
      </w:tr>
      <w:tr w:rsidR="00332FC0" w:rsidRPr="00543148" w14:paraId="5149F813" w14:textId="77777777" w:rsidTr="00EB07B7">
        <w:tc>
          <w:tcPr>
            <w:tcW w:w="2977" w:type="dxa"/>
          </w:tcPr>
          <w:p w14:paraId="5B54E74D" w14:textId="77777777" w:rsidR="00332FC0" w:rsidRPr="00653BF4" w:rsidRDefault="00332FC0" w:rsidP="00EB07B7">
            <w:pPr>
              <w:rPr>
                <w:lang w:val="fr-FR"/>
              </w:rPr>
            </w:pPr>
            <w:r w:rsidRPr="00653BF4">
              <w:rPr>
                <w:lang w:val="fr-FR"/>
              </w:rPr>
              <w:t>FERM</w:t>
            </w:r>
          </w:p>
        </w:tc>
        <w:tc>
          <w:tcPr>
            <w:tcW w:w="6039" w:type="dxa"/>
          </w:tcPr>
          <w:p w14:paraId="633A5E8B" w14:textId="77777777" w:rsidR="00332FC0" w:rsidRPr="00653BF4" w:rsidRDefault="00332FC0" w:rsidP="00EB07B7">
            <w:pPr>
              <w:rPr>
                <w:lang w:val="fr-FR"/>
              </w:rPr>
            </w:pPr>
            <w:r w:rsidRPr="00653BF4">
              <w:rPr>
                <w:lang w:val="fr-FR"/>
              </w:rPr>
              <w:t>Cadre de suivi de la restauration des écosystèmes</w:t>
            </w:r>
          </w:p>
        </w:tc>
      </w:tr>
      <w:tr w:rsidR="00332FC0" w:rsidRPr="00543148" w14:paraId="4A950200" w14:textId="77777777" w:rsidTr="00EB07B7">
        <w:tc>
          <w:tcPr>
            <w:tcW w:w="2977" w:type="dxa"/>
          </w:tcPr>
          <w:p w14:paraId="1DBEDB3A" w14:textId="77777777" w:rsidR="00332FC0" w:rsidRPr="00653BF4" w:rsidRDefault="00332FC0" w:rsidP="00EB07B7">
            <w:pPr>
              <w:rPr>
                <w:lang w:val="fr-FR"/>
              </w:rPr>
            </w:pPr>
            <w:r w:rsidRPr="00653BF4">
              <w:rPr>
                <w:lang w:val="fr-FR"/>
              </w:rPr>
              <w:t>FVC</w:t>
            </w:r>
          </w:p>
        </w:tc>
        <w:tc>
          <w:tcPr>
            <w:tcW w:w="6039" w:type="dxa"/>
          </w:tcPr>
          <w:p w14:paraId="3DED103E" w14:textId="77777777" w:rsidR="00332FC0" w:rsidRPr="00653BF4" w:rsidRDefault="00332FC0" w:rsidP="00EB07B7">
            <w:pPr>
              <w:rPr>
                <w:lang w:val="fr-FR"/>
              </w:rPr>
            </w:pPr>
            <w:r w:rsidRPr="00653BF4">
              <w:rPr>
                <w:lang w:val="fr-FR"/>
              </w:rPr>
              <w:t>Fonds vert pour le climat</w:t>
            </w:r>
          </w:p>
        </w:tc>
      </w:tr>
      <w:tr w:rsidR="00332FC0" w:rsidRPr="00543148" w14:paraId="46E6AE52" w14:textId="77777777" w:rsidTr="00EB07B7">
        <w:tc>
          <w:tcPr>
            <w:tcW w:w="2977" w:type="dxa"/>
          </w:tcPr>
          <w:p w14:paraId="517A8DEB" w14:textId="77777777" w:rsidR="00332FC0" w:rsidRPr="00653BF4" w:rsidRDefault="00332FC0" w:rsidP="00EB07B7">
            <w:pPr>
              <w:rPr>
                <w:lang w:val="fr-FR"/>
              </w:rPr>
            </w:pPr>
            <w:r w:rsidRPr="00653BF4">
              <w:rPr>
                <w:lang w:val="fr-FR"/>
              </w:rPr>
              <w:t>GBFF</w:t>
            </w:r>
          </w:p>
        </w:tc>
        <w:tc>
          <w:tcPr>
            <w:tcW w:w="6039" w:type="dxa"/>
          </w:tcPr>
          <w:p w14:paraId="65A35AFE" w14:textId="77777777" w:rsidR="00332FC0" w:rsidRPr="00653BF4" w:rsidRDefault="00332FC0" w:rsidP="00EB07B7">
            <w:pPr>
              <w:rPr>
                <w:lang w:val="fr-FR"/>
              </w:rPr>
            </w:pPr>
            <w:r w:rsidRPr="00653BF4">
              <w:rPr>
                <w:lang w:val="fr-FR"/>
              </w:rPr>
              <w:t>Fonds pour le Cadre mondial de la biodiversité</w:t>
            </w:r>
          </w:p>
        </w:tc>
      </w:tr>
      <w:tr w:rsidR="00332FC0" w:rsidRPr="00543148" w14:paraId="0BFC1171" w14:textId="77777777" w:rsidTr="00EB07B7">
        <w:tc>
          <w:tcPr>
            <w:tcW w:w="2977" w:type="dxa"/>
          </w:tcPr>
          <w:p w14:paraId="1ABA56C9" w14:textId="77777777" w:rsidR="00332FC0" w:rsidRPr="00653BF4" w:rsidRDefault="00332FC0" w:rsidP="00EB07B7">
            <w:pPr>
              <w:rPr>
                <w:lang w:val="fr-FR"/>
              </w:rPr>
            </w:pPr>
            <w:r w:rsidRPr="00653BF4">
              <w:rPr>
                <w:lang w:val="fr-FR"/>
              </w:rPr>
              <w:t xml:space="preserve">GBIF </w:t>
            </w:r>
          </w:p>
        </w:tc>
        <w:tc>
          <w:tcPr>
            <w:tcW w:w="6039" w:type="dxa"/>
          </w:tcPr>
          <w:p w14:paraId="79A00C12" w14:textId="28BFA1AA" w:rsidR="00332FC0" w:rsidRPr="00653BF4" w:rsidRDefault="00332FC0" w:rsidP="00EB07B7">
            <w:pPr>
              <w:rPr>
                <w:lang w:val="fr-FR"/>
              </w:rPr>
            </w:pPr>
            <w:r w:rsidRPr="00653BF4">
              <w:rPr>
                <w:lang w:val="fr-FR"/>
              </w:rPr>
              <w:t>Système mondial d</w:t>
            </w:r>
            <w:r w:rsidR="002A58C8" w:rsidRPr="00653BF4">
              <w:rPr>
                <w:lang w:val="fr-FR"/>
              </w:rPr>
              <w:t>’</w:t>
            </w:r>
            <w:r w:rsidRPr="00653BF4">
              <w:rPr>
                <w:lang w:val="fr-FR"/>
              </w:rPr>
              <w:t>information sur la biodiversité</w:t>
            </w:r>
          </w:p>
        </w:tc>
      </w:tr>
      <w:tr w:rsidR="00332FC0" w:rsidRPr="00543148" w14:paraId="7139A680" w14:textId="77777777" w:rsidTr="00EB07B7">
        <w:tc>
          <w:tcPr>
            <w:tcW w:w="2977" w:type="dxa"/>
          </w:tcPr>
          <w:p w14:paraId="6035DC1D" w14:textId="77777777" w:rsidR="00332FC0" w:rsidRPr="00653BF4" w:rsidRDefault="00332FC0" w:rsidP="00EB07B7">
            <w:pPr>
              <w:rPr>
                <w:lang w:val="fr-FR"/>
              </w:rPr>
            </w:pPr>
            <w:r w:rsidRPr="00653BF4">
              <w:rPr>
                <w:lang w:val="fr-FR"/>
              </w:rPr>
              <w:t>GEO BON</w:t>
            </w:r>
          </w:p>
        </w:tc>
        <w:tc>
          <w:tcPr>
            <w:tcW w:w="6039" w:type="dxa"/>
          </w:tcPr>
          <w:p w14:paraId="0D4A29FE" w14:textId="6A75C732" w:rsidR="00332FC0" w:rsidRPr="00653BF4" w:rsidRDefault="00332FC0" w:rsidP="00EB07B7">
            <w:pPr>
              <w:rPr>
                <w:lang w:val="fr-FR"/>
              </w:rPr>
            </w:pPr>
            <w:r w:rsidRPr="00653BF4">
              <w:rPr>
                <w:lang w:val="fr-FR"/>
              </w:rPr>
              <w:t>Réseau d</w:t>
            </w:r>
            <w:r w:rsidR="002A58C8" w:rsidRPr="00653BF4">
              <w:rPr>
                <w:lang w:val="fr-FR"/>
              </w:rPr>
              <w:t>’</w:t>
            </w:r>
            <w:r w:rsidRPr="00653BF4">
              <w:rPr>
                <w:lang w:val="fr-FR"/>
              </w:rPr>
              <w:t>observation de la biodiversité du Groupe sur l</w:t>
            </w:r>
            <w:r w:rsidR="002A58C8" w:rsidRPr="00653BF4">
              <w:rPr>
                <w:lang w:val="fr-FR"/>
              </w:rPr>
              <w:t>’</w:t>
            </w:r>
            <w:r w:rsidRPr="00653BF4">
              <w:rPr>
                <w:lang w:val="fr-FR"/>
              </w:rPr>
              <w:t>observation de la Terre</w:t>
            </w:r>
          </w:p>
        </w:tc>
      </w:tr>
      <w:tr w:rsidR="00332FC0" w:rsidRPr="00543148" w14:paraId="4B722144" w14:textId="77777777" w:rsidTr="00EB07B7">
        <w:tc>
          <w:tcPr>
            <w:tcW w:w="2977" w:type="dxa"/>
          </w:tcPr>
          <w:p w14:paraId="4BB5634D" w14:textId="77777777" w:rsidR="00332FC0" w:rsidRPr="00653BF4" w:rsidRDefault="00332FC0" w:rsidP="00EB07B7">
            <w:pPr>
              <w:rPr>
                <w:lang w:val="fr-FR"/>
              </w:rPr>
            </w:pPr>
            <w:r w:rsidRPr="00653BF4">
              <w:rPr>
                <w:lang w:val="fr-FR"/>
              </w:rPr>
              <w:t>GFC</w:t>
            </w:r>
          </w:p>
        </w:tc>
        <w:tc>
          <w:tcPr>
            <w:tcW w:w="6039" w:type="dxa"/>
          </w:tcPr>
          <w:p w14:paraId="08AF62E8" w14:textId="77777777" w:rsidR="00332FC0" w:rsidRPr="00653BF4" w:rsidRDefault="00332FC0" w:rsidP="00EB07B7">
            <w:pPr>
              <w:rPr>
                <w:lang w:val="fr-FR"/>
              </w:rPr>
            </w:pPr>
            <w:r w:rsidRPr="00653BF4">
              <w:rPr>
                <w:lang w:val="fr-FR"/>
              </w:rPr>
              <w:t>Cadre mondial relatif aux produits chimiques – Pour une planète sans produits chimiques ni déchets nocifs</w:t>
            </w:r>
          </w:p>
        </w:tc>
      </w:tr>
      <w:tr w:rsidR="00332FC0" w:rsidRPr="00653BF4" w14:paraId="52E1FE5C" w14:textId="77777777" w:rsidTr="00EB07B7">
        <w:tc>
          <w:tcPr>
            <w:tcW w:w="2977" w:type="dxa"/>
          </w:tcPr>
          <w:p w14:paraId="74731660" w14:textId="77777777" w:rsidR="00332FC0" w:rsidRPr="00653BF4" w:rsidRDefault="00332FC0" w:rsidP="00EB07B7">
            <w:pPr>
              <w:rPr>
                <w:lang w:val="fr-FR"/>
              </w:rPr>
            </w:pPr>
            <w:r w:rsidRPr="00653BF4">
              <w:rPr>
                <w:lang w:val="fr-FR"/>
              </w:rPr>
              <w:t>GRI</w:t>
            </w:r>
          </w:p>
        </w:tc>
        <w:tc>
          <w:tcPr>
            <w:tcW w:w="6039" w:type="dxa"/>
          </w:tcPr>
          <w:p w14:paraId="7E2E578F" w14:textId="77777777" w:rsidR="00332FC0" w:rsidRPr="00653BF4" w:rsidRDefault="00332FC0" w:rsidP="00EB07B7">
            <w:pPr>
              <w:rPr>
                <w:lang w:val="fr-FR"/>
              </w:rPr>
            </w:pPr>
            <w:r w:rsidRPr="00653BF4">
              <w:rPr>
                <w:lang w:val="fr-FR"/>
              </w:rPr>
              <w:t>Global Reporting Initiative</w:t>
            </w:r>
          </w:p>
        </w:tc>
      </w:tr>
      <w:tr w:rsidR="00332FC0" w:rsidRPr="00543148" w14:paraId="7E3C2E0D" w14:textId="77777777" w:rsidTr="00EB07B7">
        <w:tc>
          <w:tcPr>
            <w:tcW w:w="2977" w:type="dxa"/>
          </w:tcPr>
          <w:p w14:paraId="42E8018A" w14:textId="77777777" w:rsidR="00332FC0" w:rsidRPr="00653BF4" w:rsidRDefault="00332FC0" w:rsidP="00EB07B7">
            <w:pPr>
              <w:rPr>
                <w:lang w:val="fr-FR"/>
              </w:rPr>
            </w:pPr>
            <w:r w:rsidRPr="00653BF4">
              <w:rPr>
                <w:lang w:val="fr-FR"/>
              </w:rPr>
              <w:t>GYBN</w:t>
            </w:r>
          </w:p>
        </w:tc>
        <w:tc>
          <w:tcPr>
            <w:tcW w:w="6039" w:type="dxa"/>
          </w:tcPr>
          <w:p w14:paraId="598FD71C" w14:textId="77777777" w:rsidR="00332FC0" w:rsidRPr="00653BF4" w:rsidRDefault="00332FC0" w:rsidP="00EB07B7">
            <w:pPr>
              <w:rPr>
                <w:lang w:val="fr-FR"/>
              </w:rPr>
            </w:pPr>
            <w:r w:rsidRPr="00653BF4">
              <w:rPr>
                <w:lang w:val="fr-FR"/>
              </w:rPr>
              <w:t>Réseau mondial des jeunes pour la biodiversité</w:t>
            </w:r>
          </w:p>
        </w:tc>
      </w:tr>
      <w:tr w:rsidR="00332FC0" w:rsidRPr="00543148" w14:paraId="4D52C9B8" w14:textId="77777777" w:rsidTr="00EB07B7">
        <w:tc>
          <w:tcPr>
            <w:tcW w:w="2977" w:type="dxa"/>
          </w:tcPr>
          <w:p w14:paraId="65BFA39A" w14:textId="77777777" w:rsidR="00332FC0" w:rsidRPr="00653BF4" w:rsidRDefault="00332FC0" w:rsidP="00EB07B7">
            <w:pPr>
              <w:rPr>
                <w:lang w:val="fr-FR"/>
              </w:rPr>
            </w:pPr>
            <w:r w:rsidRPr="00653BF4">
              <w:rPr>
                <w:lang w:val="fr-FR"/>
              </w:rPr>
              <w:t>iCRAFT</w:t>
            </w:r>
          </w:p>
        </w:tc>
        <w:tc>
          <w:tcPr>
            <w:tcW w:w="6039" w:type="dxa"/>
          </w:tcPr>
          <w:p w14:paraId="03F446F5" w14:textId="77777777" w:rsidR="00332FC0" w:rsidRPr="00653BF4" w:rsidRDefault="00332FC0" w:rsidP="00EB07B7">
            <w:pPr>
              <w:rPr>
                <w:lang w:val="fr-FR"/>
              </w:rPr>
            </w:pPr>
            <w:r w:rsidRPr="00653BF4">
              <w:rPr>
                <w:lang w:val="fr-FR"/>
              </w:rPr>
              <w:t>Utilisation innovante des ressources en carbone au service de la transition énergétique</w:t>
            </w:r>
          </w:p>
        </w:tc>
      </w:tr>
      <w:tr w:rsidR="00332FC0" w:rsidRPr="00543148" w14:paraId="3992D60F" w14:textId="77777777" w:rsidTr="00EB07B7">
        <w:tc>
          <w:tcPr>
            <w:tcW w:w="2977" w:type="dxa"/>
          </w:tcPr>
          <w:p w14:paraId="7C1171D4" w14:textId="77777777" w:rsidR="00332FC0" w:rsidRPr="00653BF4" w:rsidRDefault="00332FC0" w:rsidP="00EB07B7">
            <w:pPr>
              <w:rPr>
                <w:lang w:val="fr-FR"/>
              </w:rPr>
            </w:pPr>
            <w:r w:rsidRPr="00653BF4">
              <w:rPr>
                <w:lang w:val="fr-FR"/>
              </w:rPr>
              <w:t>IPBES</w:t>
            </w:r>
          </w:p>
        </w:tc>
        <w:tc>
          <w:tcPr>
            <w:tcW w:w="6039" w:type="dxa"/>
          </w:tcPr>
          <w:p w14:paraId="4448D7FD" w14:textId="77777777" w:rsidR="00332FC0" w:rsidRPr="00653BF4" w:rsidRDefault="00332FC0" w:rsidP="00EB07B7">
            <w:pPr>
              <w:rPr>
                <w:lang w:val="fr-FR"/>
              </w:rPr>
            </w:pPr>
            <w:r w:rsidRPr="00653BF4">
              <w:rPr>
                <w:lang w:val="fr-FR"/>
              </w:rPr>
              <w:t>Plateforme intergouvernementale scientifique et politique sur la biodiversité et les services écosystémiques</w:t>
            </w:r>
          </w:p>
        </w:tc>
      </w:tr>
      <w:tr w:rsidR="00332FC0" w:rsidRPr="00543148" w14:paraId="4DBD3DD4" w14:textId="77777777" w:rsidTr="00EB07B7">
        <w:tc>
          <w:tcPr>
            <w:tcW w:w="2977" w:type="dxa"/>
          </w:tcPr>
          <w:p w14:paraId="512ACC6C" w14:textId="77777777" w:rsidR="00332FC0" w:rsidRPr="00653BF4" w:rsidRDefault="00332FC0" w:rsidP="00EB07B7">
            <w:pPr>
              <w:rPr>
                <w:lang w:val="fr-FR"/>
              </w:rPr>
            </w:pPr>
            <w:r w:rsidRPr="00653BF4">
              <w:rPr>
                <w:lang w:val="fr-FR"/>
              </w:rPr>
              <w:t>ITPGRFA</w:t>
            </w:r>
          </w:p>
        </w:tc>
        <w:tc>
          <w:tcPr>
            <w:tcW w:w="6039" w:type="dxa"/>
          </w:tcPr>
          <w:p w14:paraId="71F1364E" w14:textId="5FEC87B9" w:rsidR="00332FC0" w:rsidRPr="00653BF4" w:rsidRDefault="00332FC0" w:rsidP="00EB07B7">
            <w:pPr>
              <w:rPr>
                <w:lang w:val="fr-FR"/>
              </w:rPr>
            </w:pPr>
            <w:r w:rsidRPr="00653BF4">
              <w:rPr>
                <w:lang w:val="fr-FR"/>
              </w:rPr>
              <w:t>Traité international sur les ressources phytogénétiques pour l</w:t>
            </w:r>
            <w:r w:rsidR="002A58C8" w:rsidRPr="00653BF4">
              <w:rPr>
                <w:lang w:val="fr-FR"/>
              </w:rPr>
              <w:t>’</w:t>
            </w:r>
            <w:r w:rsidRPr="00653BF4">
              <w:rPr>
                <w:lang w:val="fr-FR"/>
              </w:rPr>
              <w:t>alimentation et l</w:t>
            </w:r>
            <w:r w:rsidR="002A58C8" w:rsidRPr="00653BF4">
              <w:rPr>
                <w:lang w:val="fr-FR"/>
              </w:rPr>
              <w:t>’</w:t>
            </w:r>
            <w:r w:rsidRPr="00653BF4">
              <w:rPr>
                <w:lang w:val="fr-FR"/>
              </w:rPr>
              <w:t>agriculture</w:t>
            </w:r>
          </w:p>
        </w:tc>
      </w:tr>
      <w:tr w:rsidR="00332FC0" w:rsidRPr="00543148" w14:paraId="147FB73B" w14:textId="77777777" w:rsidTr="00EB07B7">
        <w:tc>
          <w:tcPr>
            <w:tcW w:w="2977" w:type="dxa"/>
          </w:tcPr>
          <w:p w14:paraId="6FF9D2A4" w14:textId="77777777" w:rsidR="00332FC0" w:rsidRPr="00653BF4" w:rsidRDefault="00332FC0" w:rsidP="00EB07B7">
            <w:pPr>
              <w:rPr>
                <w:lang w:val="fr-FR"/>
              </w:rPr>
            </w:pPr>
            <w:r w:rsidRPr="00653BF4">
              <w:rPr>
                <w:lang w:val="fr-FR"/>
              </w:rPr>
              <w:t>IUCN</w:t>
            </w:r>
          </w:p>
        </w:tc>
        <w:tc>
          <w:tcPr>
            <w:tcW w:w="6039" w:type="dxa"/>
          </w:tcPr>
          <w:p w14:paraId="5E12DB9B" w14:textId="77777777" w:rsidR="00332FC0" w:rsidRPr="00653BF4" w:rsidRDefault="00332FC0" w:rsidP="00EB07B7">
            <w:pPr>
              <w:rPr>
                <w:lang w:val="fr-FR"/>
              </w:rPr>
            </w:pPr>
            <w:r w:rsidRPr="00653BF4">
              <w:rPr>
                <w:lang w:val="fr-FR"/>
              </w:rPr>
              <w:t>Union internationale pour la conservation de la nature</w:t>
            </w:r>
          </w:p>
        </w:tc>
      </w:tr>
      <w:tr w:rsidR="00332FC0" w:rsidRPr="00653BF4" w14:paraId="285711B0" w14:textId="77777777" w:rsidTr="00EB07B7">
        <w:tc>
          <w:tcPr>
            <w:tcW w:w="2977" w:type="dxa"/>
          </w:tcPr>
          <w:p w14:paraId="02A517D2" w14:textId="77777777" w:rsidR="00332FC0" w:rsidRPr="00653BF4" w:rsidRDefault="00332FC0" w:rsidP="00EB07B7">
            <w:pPr>
              <w:rPr>
                <w:lang w:val="fr-FR"/>
              </w:rPr>
            </w:pPr>
            <w:r w:rsidRPr="00653BF4">
              <w:rPr>
                <w:lang w:val="fr-FR"/>
              </w:rPr>
              <w:t>LRE</w:t>
            </w:r>
          </w:p>
        </w:tc>
        <w:tc>
          <w:tcPr>
            <w:tcW w:w="6039" w:type="dxa"/>
          </w:tcPr>
          <w:p w14:paraId="128F8E69" w14:textId="77777777" w:rsidR="00332FC0" w:rsidRPr="00653BF4" w:rsidRDefault="00332FC0" w:rsidP="00EB07B7">
            <w:pPr>
              <w:rPr>
                <w:lang w:val="fr-FR"/>
              </w:rPr>
            </w:pPr>
            <w:r w:rsidRPr="00653BF4">
              <w:rPr>
                <w:lang w:val="fr-FR"/>
              </w:rPr>
              <w:t>Liste rouge des écosystèmes</w:t>
            </w:r>
          </w:p>
        </w:tc>
      </w:tr>
      <w:tr w:rsidR="00332FC0" w:rsidRPr="00543148" w14:paraId="03C0FCCA" w14:textId="77777777" w:rsidTr="00EB07B7">
        <w:tc>
          <w:tcPr>
            <w:tcW w:w="2977" w:type="dxa"/>
          </w:tcPr>
          <w:p w14:paraId="2F4E589E" w14:textId="77777777" w:rsidR="00332FC0" w:rsidRPr="00653BF4" w:rsidRDefault="00332FC0" w:rsidP="00EB07B7">
            <w:pPr>
              <w:rPr>
                <w:lang w:val="fr-FR"/>
              </w:rPr>
            </w:pPr>
            <w:r w:rsidRPr="00653BF4">
              <w:rPr>
                <w:lang w:val="fr-FR"/>
              </w:rPr>
              <w:t>MAB</w:t>
            </w:r>
          </w:p>
        </w:tc>
        <w:tc>
          <w:tcPr>
            <w:tcW w:w="6039" w:type="dxa"/>
          </w:tcPr>
          <w:p w14:paraId="6BAA6A68" w14:textId="2CCA6CD0" w:rsidR="00332FC0" w:rsidRPr="00653BF4" w:rsidRDefault="00332FC0" w:rsidP="00EB07B7">
            <w:pPr>
              <w:rPr>
                <w:lang w:val="fr-FR"/>
              </w:rPr>
            </w:pPr>
            <w:r w:rsidRPr="00653BF4">
              <w:rPr>
                <w:lang w:val="fr-FR"/>
              </w:rPr>
              <w:t>Programme sur l</w:t>
            </w:r>
            <w:r w:rsidR="002A58C8" w:rsidRPr="00653BF4">
              <w:rPr>
                <w:lang w:val="fr-FR"/>
              </w:rPr>
              <w:t>’</w:t>
            </w:r>
            <w:r w:rsidRPr="00653BF4">
              <w:rPr>
                <w:lang w:val="fr-FR"/>
              </w:rPr>
              <w:t>Homme et la biosphère</w:t>
            </w:r>
          </w:p>
        </w:tc>
      </w:tr>
      <w:tr w:rsidR="00332FC0" w:rsidRPr="00543148" w14:paraId="2B2DD9EB" w14:textId="77777777" w:rsidTr="00EB07B7">
        <w:tc>
          <w:tcPr>
            <w:tcW w:w="2977" w:type="dxa"/>
          </w:tcPr>
          <w:p w14:paraId="1DAE7F2B" w14:textId="77777777" w:rsidR="00332FC0" w:rsidRPr="00653BF4" w:rsidRDefault="00332FC0" w:rsidP="00EB07B7">
            <w:pPr>
              <w:rPr>
                <w:lang w:val="fr-FR"/>
              </w:rPr>
            </w:pPr>
            <w:r w:rsidRPr="00653BF4">
              <w:rPr>
                <w:lang w:val="fr-FR"/>
              </w:rPr>
              <w:t>OBIS</w:t>
            </w:r>
          </w:p>
        </w:tc>
        <w:tc>
          <w:tcPr>
            <w:tcW w:w="6039" w:type="dxa"/>
          </w:tcPr>
          <w:p w14:paraId="4A51476C" w14:textId="3D6E8F09" w:rsidR="00332FC0" w:rsidRPr="00653BF4" w:rsidRDefault="00332FC0" w:rsidP="00EB07B7">
            <w:pPr>
              <w:rPr>
                <w:lang w:val="fr-FR"/>
              </w:rPr>
            </w:pPr>
            <w:r w:rsidRPr="00653BF4">
              <w:rPr>
                <w:lang w:val="fr-FR"/>
              </w:rPr>
              <w:t>Système d</w:t>
            </w:r>
            <w:r w:rsidR="002A58C8" w:rsidRPr="00653BF4">
              <w:rPr>
                <w:lang w:val="fr-FR"/>
              </w:rPr>
              <w:t>’</w:t>
            </w:r>
            <w:r w:rsidRPr="00653BF4">
              <w:rPr>
                <w:lang w:val="fr-FR"/>
              </w:rPr>
              <w:t>informations sur la biodiversité de l</w:t>
            </w:r>
            <w:r w:rsidR="002A58C8" w:rsidRPr="00653BF4">
              <w:rPr>
                <w:lang w:val="fr-FR"/>
              </w:rPr>
              <w:t>’</w:t>
            </w:r>
            <w:r w:rsidRPr="00653BF4">
              <w:rPr>
                <w:lang w:val="fr-FR"/>
              </w:rPr>
              <w:t>océan</w:t>
            </w:r>
          </w:p>
        </w:tc>
      </w:tr>
      <w:tr w:rsidR="00332FC0" w:rsidRPr="00543148" w14:paraId="2CAAA7CA" w14:textId="77777777" w:rsidTr="00EB07B7">
        <w:tc>
          <w:tcPr>
            <w:tcW w:w="2977" w:type="dxa"/>
          </w:tcPr>
          <w:p w14:paraId="190DE47D" w14:textId="77777777" w:rsidR="00332FC0" w:rsidRPr="00653BF4" w:rsidRDefault="00332FC0" w:rsidP="00EB07B7">
            <w:pPr>
              <w:rPr>
                <w:lang w:val="fr-FR"/>
              </w:rPr>
            </w:pPr>
            <w:r w:rsidRPr="00653BF4">
              <w:rPr>
                <w:lang w:val="fr-FR"/>
              </w:rPr>
              <w:t>OCDE</w:t>
            </w:r>
          </w:p>
        </w:tc>
        <w:tc>
          <w:tcPr>
            <w:tcW w:w="6039" w:type="dxa"/>
          </w:tcPr>
          <w:p w14:paraId="45035A43" w14:textId="77777777" w:rsidR="00332FC0" w:rsidRPr="00653BF4" w:rsidRDefault="00332FC0" w:rsidP="00EB07B7">
            <w:pPr>
              <w:rPr>
                <w:lang w:val="fr-FR"/>
              </w:rPr>
            </w:pPr>
            <w:r w:rsidRPr="00653BF4">
              <w:rPr>
                <w:lang w:val="fr-FR"/>
              </w:rPr>
              <w:t>Organisation de coopération et de développement économiques</w:t>
            </w:r>
          </w:p>
        </w:tc>
      </w:tr>
      <w:tr w:rsidR="00332FC0" w:rsidRPr="00653BF4" w14:paraId="71CDBA25" w14:textId="77777777" w:rsidTr="00EB07B7">
        <w:tc>
          <w:tcPr>
            <w:tcW w:w="2977" w:type="dxa"/>
          </w:tcPr>
          <w:p w14:paraId="29F3B5FE" w14:textId="77777777" w:rsidR="00332FC0" w:rsidRPr="00653BF4" w:rsidRDefault="00332FC0" w:rsidP="00EB07B7">
            <w:pPr>
              <w:rPr>
                <w:lang w:val="fr-FR"/>
              </w:rPr>
            </w:pPr>
            <w:r w:rsidRPr="00653BF4">
              <w:rPr>
                <w:lang w:val="fr-FR"/>
              </w:rPr>
              <w:t>ODD</w:t>
            </w:r>
          </w:p>
        </w:tc>
        <w:tc>
          <w:tcPr>
            <w:tcW w:w="6039" w:type="dxa"/>
          </w:tcPr>
          <w:p w14:paraId="0599A14D" w14:textId="144CC7F2" w:rsidR="00332FC0" w:rsidRPr="00653BF4" w:rsidRDefault="002878D7" w:rsidP="00EB07B7">
            <w:pPr>
              <w:rPr>
                <w:lang w:val="fr-FR"/>
              </w:rPr>
            </w:pPr>
            <w:r>
              <w:rPr>
                <w:lang w:val="fr-FR"/>
              </w:rPr>
              <w:t>Objectif D</w:t>
            </w:r>
            <w:r w:rsidR="00332FC0" w:rsidRPr="00653BF4">
              <w:rPr>
                <w:lang w:val="fr-FR"/>
              </w:rPr>
              <w:t>e développement durable</w:t>
            </w:r>
          </w:p>
        </w:tc>
      </w:tr>
      <w:tr w:rsidR="00332FC0" w:rsidRPr="00543148" w14:paraId="4C7936DA" w14:textId="77777777" w:rsidTr="00EB07B7">
        <w:tc>
          <w:tcPr>
            <w:tcW w:w="2977" w:type="dxa"/>
          </w:tcPr>
          <w:p w14:paraId="7C6B1FF7" w14:textId="77777777" w:rsidR="00332FC0" w:rsidRPr="00653BF4" w:rsidRDefault="00332FC0" w:rsidP="00EB07B7">
            <w:pPr>
              <w:rPr>
                <w:lang w:val="fr-FR"/>
              </w:rPr>
            </w:pPr>
            <w:r w:rsidRPr="00653BF4">
              <w:rPr>
                <w:lang w:val="fr-FR"/>
              </w:rPr>
              <w:t>OECM</w:t>
            </w:r>
          </w:p>
        </w:tc>
        <w:tc>
          <w:tcPr>
            <w:tcW w:w="6039" w:type="dxa"/>
          </w:tcPr>
          <w:p w14:paraId="34B630C1" w14:textId="77777777" w:rsidR="00332FC0" w:rsidRPr="00653BF4" w:rsidRDefault="00332FC0" w:rsidP="00EB07B7">
            <w:pPr>
              <w:rPr>
                <w:lang w:val="fr-FR"/>
              </w:rPr>
            </w:pPr>
            <w:r w:rsidRPr="00653BF4">
              <w:rPr>
                <w:lang w:val="fr-FR"/>
              </w:rPr>
              <w:t>autres mesures efficaces de conservation par zone</w:t>
            </w:r>
          </w:p>
        </w:tc>
      </w:tr>
      <w:tr w:rsidR="00332FC0" w:rsidRPr="00543148" w14:paraId="1661ABCD" w14:textId="77777777" w:rsidTr="00EB07B7">
        <w:tc>
          <w:tcPr>
            <w:tcW w:w="2977" w:type="dxa"/>
          </w:tcPr>
          <w:p w14:paraId="613A21C2" w14:textId="77777777" w:rsidR="00332FC0" w:rsidRPr="00653BF4" w:rsidRDefault="00332FC0" w:rsidP="00EB07B7">
            <w:pPr>
              <w:rPr>
                <w:lang w:val="fr-FR"/>
              </w:rPr>
            </w:pPr>
            <w:r w:rsidRPr="00653BF4">
              <w:rPr>
                <w:lang w:val="fr-FR"/>
              </w:rPr>
              <w:t>OECO</w:t>
            </w:r>
          </w:p>
        </w:tc>
        <w:tc>
          <w:tcPr>
            <w:tcW w:w="6039" w:type="dxa"/>
          </w:tcPr>
          <w:p w14:paraId="0E2E0425" w14:textId="77777777" w:rsidR="00332FC0" w:rsidRPr="00653BF4" w:rsidRDefault="00332FC0" w:rsidP="00EB07B7">
            <w:pPr>
              <w:rPr>
                <w:lang w:val="fr-FR"/>
              </w:rPr>
            </w:pPr>
            <w:r w:rsidRPr="00653BF4">
              <w:rPr>
                <w:lang w:val="fr-FR"/>
              </w:rPr>
              <w:t>Organisation des États des Caraïbes orientales</w:t>
            </w:r>
          </w:p>
        </w:tc>
      </w:tr>
      <w:tr w:rsidR="00332FC0" w:rsidRPr="00653BF4" w14:paraId="5C3C8EED" w14:textId="77777777" w:rsidTr="00EB07B7">
        <w:tc>
          <w:tcPr>
            <w:tcW w:w="2977" w:type="dxa"/>
          </w:tcPr>
          <w:p w14:paraId="3C089F54" w14:textId="77777777" w:rsidR="00332FC0" w:rsidRPr="00653BF4" w:rsidRDefault="00332FC0" w:rsidP="00EB07B7">
            <w:pPr>
              <w:rPr>
                <w:lang w:val="fr-FR"/>
              </w:rPr>
            </w:pPr>
            <w:r w:rsidRPr="00653BF4">
              <w:rPr>
                <w:lang w:val="fr-FR"/>
              </w:rPr>
              <w:t>OMI</w:t>
            </w:r>
          </w:p>
        </w:tc>
        <w:tc>
          <w:tcPr>
            <w:tcW w:w="6039" w:type="dxa"/>
          </w:tcPr>
          <w:p w14:paraId="31D53AC6" w14:textId="77777777" w:rsidR="00332FC0" w:rsidRPr="00653BF4" w:rsidRDefault="00332FC0" w:rsidP="00EB07B7">
            <w:pPr>
              <w:rPr>
                <w:lang w:val="fr-FR"/>
              </w:rPr>
            </w:pPr>
            <w:r w:rsidRPr="00653BF4">
              <w:rPr>
                <w:lang w:val="fr-FR"/>
              </w:rPr>
              <w:t>Organisation maritime internationale</w:t>
            </w:r>
          </w:p>
        </w:tc>
      </w:tr>
      <w:tr w:rsidR="00332FC0" w:rsidRPr="00543148" w14:paraId="48202285" w14:textId="77777777" w:rsidTr="00EB07B7">
        <w:tc>
          <w:tcPr>
            <w:tcW w:w="2977" w:type="dxa"/>
          </w:tcPr>
          <w:p w14:paraId="1A440180" w14:textId="77777777" w:rsidR="00332FC0" w:rsidRPr="00653BF4" w:rsidRDefault="00332FC0" w:rsidP="00EB07B7">
            <w:pPr>
              <w:rPr>
                <w:lang w:val="fr-FR"/>
              </w:rPr>
            </w:pPr>
            <w:r w:rsidRPr="00653BF4">
              <w:rPr>
                <w:lang w:val="fr-FR"/>
              </w:rPr>
              <w:lastRenderedPageBreak/>
              <w:t>OMPI</w:t>
            </w:r>
          </w:p>
        </w:tc>
        <w:tc>
          <w:tcPr>
            <w:tcW w:w="6039" w:type="dxa"/>
          </w:tcPr>
          <w:p w14:paraId="3DFA5874" w14:textId="77777777" w:rsidR="00332FC0" w:rsidRPr="00653BF4" w:rsidRDefault="00332FC0" w:rsidP="00EB07B7">
            <w:pPr>
              <w:rPr>
                <w:lang w:val="fr-FR"/>
              </w:rPr>
            </w:pPr>
            <w:r w:rsidRPr="00653BF4">
              <w:rPr>
                <w:lang w:val="fr-FR"/>
              </w:rPr>
              <w:t>Organisation mondiale de la propriété intellectuelle</w:t>
            </w:r>
          </w:p>
        </w:tc>
      </w:tr>
      <w:tr w:rsidR="00332FC0" w:rsidRPr="00653BF4" w14:paraId="02D65843" w14:textId="77777777" w:rsidTr="00EB07B7">
        <w:tc>
          <w:tcPr>
            <w:tcW w:w="2977" w:type="dxa"/>
          </w:tcPr>
          <w:p w14:paraId="13D933FE" w14:textId="77777777" w:rsidR="00332FC0" w:rsidRPr="00653BF4" w:rsidRDefault="00332FC0" w:rsidP="00EB07B7">
            <w:pPr>
              <w:rPr>
                <w:lang w:val="fr-FR"/>
              </w:rPr>
            </w:pPr>
            <w:r w:rsidRPr="00653BF4">
              <w:rPr>
                <w:lang w:val="fr-FR"/>
              </w:rPr>
              <w:t>ONG</w:t>
            </w:r>
          </w:p>
        </w:tc>
        <w:tc>
          <w:tcPr>
            <w:tcW w:w="6039" w:type="dxa"/>
          </w:tcPr>
          <w:p w14:paraId="0EAC4B6D" w14:textId="77777777" w:rsidR="00332FC0" w:rsidRPr="00653BF4" w:rsidRDefault="00332FC0" w:rsidP="00EB07B7">
            <w:pPr>
              <w:rPr>
                <w:lang w:val="fr-FR"/>
              </w:rPr>
            </w:pPr>
            <w:r w:rsidRPr="00653BF4">
              <w:rPr>
                <w:lang w:val="fr-FR"/>
              </w:rPr>
              <w:t>organisation non gouvernementale</w:t>
            </w:r>
          </w:p>
        </w:tc>
      </w:tr>
      <w:tr w:rsidR="00332FC0" w:rsidRPr="00543148" w14:paraId="60B83EC5" w14:textId="77777777" w:rsidTr="00EB07B7">
        <w:tc>
          <w:tcPr>
            <w:tcW w:w="2977" w:type="dxa"/>
          </w:tcPr>
          <w:p w14:paraId="7404B6A3" w14:textId="77777777" w:rsidR="00332FC0" w:rsidRPr="00653BF4" w:rsidRDefault="00332FC0" w:rsidP="00EB07B7">
            <w:pPr>
              <w:rPr>
                <w:lang w:val="fr-FR"/>
              </w:rPr>
            </w:pPr>
            <w:r w:rsidRPr="00653BF4">
              <w:rPr>
                <w:lang w:val="fr-FR"/>
              </w:rPr>
              <w:t>Perspectives</w:t>
            </w:r>
          </w:p>
        </w:tc>
        <w:tc>
          <w:tcPr>
            <w:tcW w:w="6039" w:type="dxa"/>
          </w:tcPr>
          <w:p w14:paraId="73DF832D" w14:textId="77777777" w:rsidR="00332FC0" w:rsidRPr="00653BF4" w:rsidRDefault="00332FC0" w:rsidP="00EB07B7">
            <w:pPr>
              <w:rPr>
                <w:lang w:val="fr-FR"/>
              </w:rPr>
            </w:pPr>
            <w:r w:rsidRPr="00653BF4">
              <w:rPr>
                <w:lang w:val="fr-FR"/>
              </w:rPr>
              <w:t>Perspectives mondiales de la diversité biologique</w:t>
            </w:r>
          </w:p>
        </w:tc>
      </w:tr>
      <w:tr w:rsidR="00332FC0" w:rsidRPr="00653BF4" w14:paraId="5F7B3B9A" w14:textId="77777777" w:rsidTr="00EB07B7">
        <w:tc>
          <w:tcPr>
            <w:tcW w:w="2977" w:type="dxa"/>
          </w:tcPr>
          <w:p w14:paraId="174CFB4A" w14:textId="77777777" w:rsidR="00332FC0" w:rsidRPr="00653BF4" w:rsidRDefault="00332FC0" w:rsidP="00EB07B7">
            <w:pPr>
              <w:rPr>
                <w:lang w:val="fr-FR"/>
              </w:rPr>
            </w:pPr>
            <w:r w:rsidRPr="00653BF4">
              <w:rPr>
                <w:lang w:val="fr-FR"/>
              </w:rPr>
              <w:t>PIB</w:t>
            </w:r>
          </w:p>
        </w:tc>
        <w:tc>
          <w:tcPr>
            <w:tcW w:w="6039" w:type="dxa"/>
          </w:tcPr>
          <w:p w14:paraId="7F50F2B0" w14:textId="77777777" w:rsidR="00332FC0" w:rsidRPr="00653BF4" w:rsidRDefault="00332FC0" w:rsidP="00EB07B7">
            <w:pPr>
              <w:rPr>
                <w:lang w:val="fr-FR"/>
              </w:rPr>
            </w:pPr>
            <w:r w:rsidRPr="00653BF4">
              <w:rPr>
                <w:lang w:val="fr-FR"/>
              </w:rPr>
              <w:t>Produit intérieur brut</w:t>
            </w:r>
          </w:p>
        </w:tc>
      </w:tr>
      <w:tr w:rsidR="00332FC0" w:rsidRPr="00543148" w14:paraId="3F9F70DC" w14:textId="77777777" w:rsidTr="00EB07B7">
        <w:tc>
          <w:tcPr>
            <w:tcW w:w="2977" w:type="dxa"/>
          </w:tcPr>
          <w:p w14:paraId="15AA71EB" w14:textId="77777777" w:rsidR="00332FC0" w:rsidRPr="00653BF4" w:rsidRDefault="00332FC0" w:rsidP="00EB07B7">
            <w:pPr>
              <w:rPr>
                <w:lang w:val="fr-FR"/>
              </w:rPr>
            </w:pPr>
            <w:r w:rsidRPr="00653BF4">
              <w:rPr>
                <w:lang w:val="fr-FR"/>
              </w:rPr>
              <w:t>PNUD</w:t>
            </w:r>
          </w:p>
        </w:tc>
        <w:tc>
          <w:tcPr>
            <w:tcW w:w="6039" w:type="dxa"/>
          </w:tcPr>
          <w:p w14:paraId="46E0F839" w14:textId="77777777" w:rsidR="00332FC0" w:rsidRPr="00653BF4" w:rsidRDefault="00332FC0" w:rsidP="00EB07B7">
            <w:pPr>
              <w:rPr>
                <w:lang w:val="fr-FR"/>
              </w:rPr>
            </w:pPr>
            <w:r w:rsidRPr="00653BF4">
              <w:rPr>
                <w:lang w:val="fr-FR"/>
              </w:rPr>
              <w:t>Programme des Nations Unies pour le développement</w:t>
            </w:r>
          </w:p>
        </w:tc>
      </w:tr>
      <w:tr w:rsidR="00332FC0" w:rsidRPr="00543148" w14:paraId="627B2AB4" w14:textId="77777777" w:rsidTr="00EB07B7">
        <w:tc>
          <w:tcPr>
            <w:tcW w:w="2977" w:type="dxa"/>
          </w:tcPr>
          <w:p w14:paraId="62B96CB4" w14:textId="77777777" w:rsidR="00332FC0" w:rsidRPr="00653BF4" w:rsidRDefault="00332FC0" w:rsidP="00EB07B7">
            <w:pPr>
              <w:rPr>
                <w:lang w:val="fr-FR"/>
              </w:rPr>
            </w:pPr>
            <w:r w:rsidRPr="00653BF4">
              <w:rPr>
                <w:lang w:val="fr-FR"/>
              </w:rPr>
              <w:t>PNUE</w:t>
            </w:r>
          </w:p>
        </w:tc>
        <w:tc>
          <w:tcPr>
            <w:tcW w:w="6039" w:type="dxa"/>
          </w:tcPr>
          <w:p w14:paraId="7E8C2BD9" w14:textId="16C55681" w:rsidR="00332FC0" w:rsidRPr="00653BF4" w:rsidRDefault="00332FC0" w:rsidP="00EB07B7">
            <w:pPr>
              <w:rPr>
                <w:lang w:val="fr-FR"/>
              </w:rPr>
            </w:pPr>
            <w:r w:rsidRPr="00653BF4">
              <w:rPr>
                <w:lang w:val="fr-FR"/>
              </w:rPr>
              <w:t>Programme des Nations Unies pour l</w:t>
            </w:r>
            <w:r w:rsidR="002A58C8" w:rsidRPr="00653BF4">
              <w:rPr>
                <w:lang w:val="fr-FR"/>
              </w:rPr>
              <w:t>’</w:t>
            </w:r>
            <w:r w:rsidRPr="00653BF4">
              <w:rPr>
                <w:lang w:val="fr-FR"/>
              </w:rPr>
              <w:t>environnement</w:t>
            </w:r>
          </w:p>
        </w:tc>
      </w:tr>
      <w:tr w:rsidR="00332FC0" w:rsidRPr="00543148" w14:paraId="3BAED9D3" w14:textId="77777777" w:rsidTr="00EB07B7">
        <w:tc>
          <w:tcPr>
            <w:tcW w:w="2977" w:type="dxa"/>
          </w:tcPr>
          <w:p w14:paraId="2A22136F" w14:textId="77777777" w:rsidR="00332FC0" w:rsidRPr="00653BF4" w:rsidRDefault="00332FC0" w:rsidP="00EB07B7">
            <w:pPr>
              <w:rPr>
                <w:lang w:val="fr-FR"/>
              </w:rPr>
            </w:pPr>
            <w:r w:rsidRPr="00653BF4">
              <w:rPr>
                <w:lang w:val="fr-FR"/>
              </w:rPr>
              <w:t xml:space="preserve">Protocole de Nagoya </w:t>
            </w:r>
          </w:p>
        </w:tc>
        <w:tc>
          <w:tcPr>
            <w:tcW w:w="6039" w:type="dxa"/>
          </w:tcPr>
          <w:p w14:paraId="78504D35" w14:textId="718692D8" w:rsidR="00332FC0" w:rsidRPr="00653BF4" w:rsidRDefault="00332FC0" w:rsidP="00EB07B7">
            <w:pPr>
              <w:rPr>
                <w:lang w:val="fr-FR"/>
              </w:rPr>
            </w:pPr>
            <w:r w:rsidRPr="00653BF4">
              <w:rPr>
                <w:lang w:val="fr-FR"/>
              </w:rPr>
              <w:t>Protocole de Nagoya sur l</w:t>
            </w:r>
            <w:r w:rsidR="002A58C8" w:rsidRPr="00653BF4">
              <w:rPr>
                <w:lang w:val="fr-FR"/>
              </w:rPr>
              <w:t>’</w:t>
            </w:r>
            <w:r w:rsidRPr="00653BF4">
              <w:rPr>
                <w:lang w:val="fr-FR"/>
              </w:rPr>
              <w:t>accès aux ressources génétiques et le partage juste et équitable des avantages découlant de leur utilisation</w:t>
            </w:r>
          </w:p>
        </w:tc>
      </w:tr>
      <w:tr w:rsidR="00332FC0" w:rsidRPr="00543148" w14:paraId="744B14C2" w14:textId="77777777" w:rsidTr="00EB07B7">
        <w:tc>
          <w:tcPr>
            <w:tcW w:w="2977" w:type="dxa"/>
          </w:tcPr>
          <w:p w14:paraId="3DE738F6" w14:textId="77777777" w:rsidR="00332FC0" w:rsidRPr="00653BF4" w:rsidRDefault="00332FC0" w:rsidP="00EB07B7">
            <w:pPr>
              <w:rPr>
                <w:lang w:val="fr-FR"/>
              </w:rPr>
            </w:pPr>
            <w:r w:rsidRPr="00653BF4">
              <w:rPr>
                <w:lang w:val="fr-FR"/>
              </w:rPr>
              <w:t>rapport mondial</w:t>
            </w:r>
          </w:p>
        </w:tc>
        <w:tc>
          <w:tcPr>
            <w:tcW w:w="6039" w:type="dxa"/>
          </w:tcPr>
          <w:p w14:paraId="6A810FE1" w14:textId="77777777" w:rsidR="00332FC0" w:rsidRPr="00653BF4" w:rsidRDefault="00332FC0" w:rsidP="00EB07B7">
            <w:pPr>
              <w:rPr>
                <w:lang w:val="fr-FR"/>
              </w:rPr>
            </w:pPr>
            <w:r w:rsidRPr="00653BF4">
              <w:rPr>
                <w:lang w:val="fr-FR"/>
              </w:rPr>
              <w:t>rapport mondial sur les progrès collectifs accomplis dans la mise en œuvre du Cadre mondial de la biodiversité de Kunming-Montréal</w:t>
            </w:r>
          </w:p>
        </w:tc>
      </w:tr>
      <w:tr w:rsidR="00332FC0" w:rsidRPr="00543148" w14:paraId="359D5E1B" w14:textId="77777777" w:rsidTr="00EB07B7">
        <w:tc>
          <w:tcPr>
            <w:tcW w:w="2977" w:type="dxa"/>
          </w:tcPr>
          <w:p w14:paraId="7F685780" w14:textId="77777777" w:rsidR="00332FC0" w:rsidRPr="00653BF4" w:rsidRDefault="00332FC0" w:rsidP="00EB07B7">
            <w:pPr>
              <w:rPr>
                <w:lang w:val="fr-FR"/>
              </w:rPr>
            </w:pPr>
            <w:r w:rsidRPr="00653BF4">
              <w:rPr>
                <w:lang w:val="fr-FR"/>
              </w:rPr>
              <w:t>REDD+</w:t>
            </w:r>
          </w:p>
        </w:tc>
        <w:tc>
          <w:tcPr>
            <w:tcW w:w="6039" w:type="dxa"/>
          </w:tcPr>
          <w:p w14:paraId="60F1C19C" w14:textId="77777777" w:rsidR="00332FC0" w:rsidRPr="00653BF4" w:rsidRDefault="00332FC0" w:rsidP="00EB07B7">
            <w:pPr>
              <w:rPr>
                <w:lang w:val="fr-FR"/>
              </w:rPr>
            </w:pPr>
            <w:r w:rsidRPr="00653BF4">
              <w:rPr>
                <w:lang w:val="fr-FR"/>
              </w:rPr>
              <w:t>réduction des émissions causées par le déboisement et la dégradation des forêts dans les pays en développement</w:t>
            </w:r>
          </w:p>
        </w:tc>
      </w:tr>
      <w:tr w:rsidR="00332FC0" w:rsidRPr="00543148" w14:paraId="35D2DB14" w14:textId="77777777" w:rsidTr="00EB07B7">
        <w:tc>
          <w:tcPr>
            <w:tcW w:w="2977" w:type="dxa"/>
          </w:tcPr>
          <w:p w14:paraId="713002E1" w14:textId="77777777" w:rsidR="00332FC0" w:rsidRPr="00653BF4" w:rsidRDefault="00332FC0" w:rsidP="00EB07B7">
            <w:pPr>
              <w:rPr>
                <w:lang w:val="fr-FR"/>
              </w:rPr>
            </w:pPr>
            <w:r w:rsidRPr="00653BF4">
              <w:rPr>
                <w:lang w:val="fr-FR"/>
              </w:rPr>
              <w:t>SANBI</w:t>
            </w:r>
          </w:p>
        </w:tc>
        <w:tc>
          <w:tcPr>
            <w:tcW w:w="6039" w:type="dxa"/>
          </w:tcPr>
          <w:p w14:paraId="59EB601B" w14:textId="20AC645F" w:rsidR="00332FC0" w:rsidRPr="00653BF4" w:rsidRDefault="00332FC0" w:rsidP="00EB07B7">
            <w:pPr>
              <w:rPr>
                <w:lang w:val="fr-FR"/>
              </w:rPr>
            </w:pPr>
            <w:r w:rsidRPr="00653BF4">
              <w:rPr>
                <w:lang w:val="fr-FR"/>
              </w:rPr>
              <w:t>Institut national de la biodiversité d</w:t>
            </w:r>
            <w:r w:rsidR="002A58C8" w:rsidRPr="00653BF4">
              <w:rPr>
                <w:lang w:val="fr-FR"/>
              </w:rPr>
              <w:t>’</w:t>
            </w:r>
            <w:r w:rsidRPr="00653BF4">
              <w:rPr>
                <w:lang w:val="fr-FR"/>
              </w:rPr>
              <w:t>Afrique du Sud</w:t>
            </w:r>
          </w:p>
        </w:tc>
      </w:tr>
      <w:tr w:rsidR="00332FC0" w:rsidRPr="00543148" w14:paraId="6CC861E8" w14:textId="77777777" w:rsidTr="00EB07B7">
        <w:tc>
          <w:tcPr>
            <w:tcW w:w="2977" w:type="dxa"/>
          </w:tcPr>
          <w:p w14:paraId="752B5DFD" w14:textId="77777777" w:rsidR="00332FC0" w:rsidRPr="00653BF4" w:rsidRDefault="00332FC0" w:rsidP="00EB07B7">
            <w:pPr>
              <w:rPr>
                <w:lang w:val="fr-FR"/>
              </w:rPr>
            </w:pPr>
            <w:r w:rsidRPr="00653BF4">
              <w:rPr>
                <w:lang w:val="fr-FR"/>
              </w:rPr>
              <w:t>SB8J</w:t>
            </w:r>
          </w:p>
        </w:tc>
        <w:tc>
          <w:tcPr>
            <w:tcW w:w="6039" w:type="dxa"/>
          </w:tcPr>
          <w:p w14:paraId="1BC196F1" w14:textId="00220A5E" w:rsidR="00332FC0" w:rsidRPr="00653BF4" w:rsidRDefault="00332FC0" w:rsidP="00EB07B7">
            <w:pPr>
              <w:rPr>
                <w:lang w:val="fr-FR"/>
              </w:rPr>
            </w:pPr>
            <w:r w:rsidRPr="00653BF4">
              <w:rPr>
                <w:lang w:val="fr-FR"/>
              </w:rPr>
              <w:t>Organe subsidiaire chargé du suivi de l</w:t>
            </w:r>
            <w:r w:rsidR="002A58C8" w:rsidRPr="00653BF4">
              <w:rPr>
                <w:lang w:val="fr-FR"/>
              </w:rPr>
              <w:t>’</w:t>
            </w:r>
            <w:r w:rsidRPr="00653BF4">
              <w:rPr>
                <w:lang w:val="fr-FR"/>
              </w:rPr>
              <w:t>article 8 j) et des autres dispositions de la Convention sur la diversité biologique relatives aux peuples autochtones et communautés locales</w:t>
            </w:r>
          </w:p>
        </w:tc>
      </w:tr>
      <w:tr w:rsidR="00332FC0" w:rsidRPr="00543148" w14:paraId="29BDF194" w14:textId="77777777" w:rsidTr="00EB07B7">
        <w:tc>
          <w:tcPr>
            <w:tcW w:w="2977" w:type="dxa"/>
          </w:tcPr>
          <w:p w14:paraId="5E60F0A0" w14:textId="77777777" w:rsidR="00332FC0" w:rsidRPr="00653BF4" w:rsidRDefault="00332FC0" w:rsidP="00EB07B7">
            <w:pPr>
              <w:rPr>
                <w:lang w:val="fr-FR"/>
              </w:rPr>
            </w:pPr>
            <w:r w:rsidRPr="00653BF4">
              <w:rPr>
                <w:lang w:val="fr-FR"/>
              </w:rPr>
              <w:t>SBI</w:t>
            </w:r>
          </w:p>
        </w:tc>
        <w:tc>
          <w:tcPr>
            <w:tcW w:w="6039" w:type="dxa"/>
          </w:tcPr>
          <w:p w14:paraId="47FC00F7" w14:textId="1D67A69B" w:rsidR="00332FC0" w:rsidRPr="00653BF4" w:rsidRDefault="00332FC0" w:rsidP="00EB07B7">
            <w:pPr>
              <w:rPr>
                <w:lang w:val="fr-FR"/>
              </w:rPr>
            </w:pPr>
            <w:r w:rsidRPr="00653BF4">
              <w:rPr>
                <w:lang w:val="fr-FR"/>
              </w:rPr>
              <w:t>Organe subsidiaire chargé de l</w:t>
            </w:r>
            <w:r w:rsidR="002A58C8" w:rsidRPr="00653BF4">
              <w:rPr>
                <w:lang w:val="fr-FR"/>
              </w:rPr>
              <w:t>’</w:t>
            </w:r>
            <w:r w:rsidRPr="00653BF4">
              <w:rPr>
                <w:lang w:val="fr-FR"/>
              </w:rPr>
              <w:t>application</w:t>
            </w:r>
          </w:p>
        </w:tc>
      </w:tr>
      <w:tr w:rsidR="00332FC0" w:rsidRPr="00543148" w14:paraId="63EA4597" w14:textId="77777777" w:rsidTr="00EB07B7">
        <w:tc>
          <w:tcPr>
            <w:tcW w:w="2977" w:type="dxa"/>
          </w:tcPr>
          <w:p w14:paraId="76E9792E" w14:textId="77777777" w:rsidR="00332FC0" w:rsidRPr="00653BF4" w:rsidRDefault="00332FC0" w:rsidP="00EB07B7">
            <w:pPr>
              <w:rPr>
                <w:lang w:val="fr-FR"/>
              </w:rPr>
            </w:pPr>
            <w:r w:rsidRPr="00653BF4">
              <w:rPr>
                <w:lang w:val="fr-FR"/>
              </w:rPr>
              <w:t>SBSTTA</w:t>
            </w:r>
          </w:p>
        </w:tc>
        <w:tc>
          <w:tcPr>
            <w:tcW w:w="6039" w:type="dxa"/>
          </w:tcPr>
          <w:p w14:paraId="75DABF50" w14:textId="77777777" w:rsidR="00332FC0" w:rsidRPr="00653BF4" w:rsidRDefault="00332FC0" w:rsidP="00EB07B7">
            <w:pPr>
              <w:rPr>
                <w:lang w:val="fr-FR"/>
              </w:rPr>
            </w:pPr>
            <w:r w:rsidRPr="00653BF4">
              <w:rPr>
                <w:lang w:val="fr-FR"/>
              </w:rPr>
              <w:t>Organe subsidiaire chargé de fournir des avis scientifiques, techniques et technologiques</w:t>
            </w:r>
          </w:p>
        </w:tc>
      </w:tr>
      <w:tr w:rsidR="00332FC0" w:rsidRPr="00543148" w14:paraId="45291EA2" w14:textId="77777777" w:rsidTr="00EB07B7">
        <w:tc>
          <w:tcPr>
            <w:tcW w:w="2977" w:type="dxa"/>
          </w:tcPr>
          <w:p w14:paraId="2D7C907E" w14:textId="77777777" w:rsidR="00332FC0" w:rsidRPr="00653BF4" w:rsidRDefault="00332FC0" w:rsidP="00EB07B7">
            <w:pPr>
              <w:rPr>
                <w:lang w:val="fr-FR"/>
              </w:rPr>
            </w:pPr>
            <w:r w:rsidRPr="00653BF4">
              <w:rPr>
                <w:lang w:val="fr-FR"/>
              </w:rPr>
              <w:t>SEEA EA</w:t>
            </w:r>
          </w:p>
        </w:tc>
        <w:tc>
          <w:tcPr>
            <w:tcW w:w="6039" w:type="dxa"/>
          </w:tcPr>
          <w:p w14:paraId="1EBFF510" w14:textId="77777777" w:rsidR="00332FC0" w:rsidRPr="00653BF4" w:rsidRDefault="00332FC0" w:rsidP="00EB07B7">
            <w:pPr>
              <w:rPr>
                <w:lang w:val="fr-FR"/>
              </w:rPr>
            </w:pPr>
            <w:r w:rsidRPr="00653BF4">
              <w:rPr>
                <w:lang w:val="fr-FR"/>
              </w:rPr>
              <w:t>Cadre de comptabilité écosystémique expérimental du Système de comptabilité environnementale et économique</w:t>
            </w:r>
          </w:p>
        </w:tc>
      </w:tr>
      <w:tr w:rsidR="00332FC0" w:rsidRPr="00653BF4" w14:paraId="2ECCBACF" w14:textId="77777777" w:rsidTr="00EB07B7">
        <w:tc>
          <w:tcPr>
            <w:tcW w:w="2977" w:type="dxa"/>
          </w:tcPr>
          <w:p w14:paraId="5589130E" w14:textId="77777777" w:rsidR="00332FC0" w:rsidRPr="00653BF4" w:rsidRDefault="00332FC0" w:rsidP="00EB07B7">
            <w:pPr>
              <w:rPr>
                <w:lang w:val="fr-FR"/>
              </w:rPr>
            </w:pPr>
            <w:r w:rsidRPr="00653BF4">
              <w:rPr>
                <w:lang w:val="fr-FR"/>
              </w:rPr>
              <w:t>SIG</w:t>
            </w:r>
          </w:p>
        </w:tc>
        <w:tc>
          <w:tcPr>
            <w:tcW w:w="6039" w:type="dxa"/>
          </w:tcPr>
          <w:p w14:paraId="06ACD0A3" w14:textId="44F8E14D" w:rsidR="00332FC0" w:rsidRPr="00653BF4" w:rsidRDefault="00332FC0" w:rsidP="00EB07B7">
            <w:pPr>
              <w:rPr>
                <w:lang w:val="fr-FR"/>
              </w:rPr>
            </w:pPr>
            <w:r w:rsidRPr="00653BF4">
              <w:rPr>
                <w:lang w:val="fr-FR"/>
              </w:rPr>
              <w:t>Système d</w:t>
            </w:r>
            <w:r w:rsidR="002A58C8" w:rsidRPr="00653BF4">
              <w:rPr>
                <w:lang w:val="fr-FR"/>
              </w:rPr>
              <w:t>’</w:t>
            </w:r>
            <w:r w:rsidRPr="00653BF4">
              <w:rPr>
                <w:lang w:val="fr-FR"/>
              </w:rPr>
              <w:t>information géographique</w:t>
            </w:r>
          </w:p>
        </w:tc>
      </w:tr>
      <w:tr w:rsidR="00332FC0" w:rsidRPr="00543148" w14:paraId="5558426E" w14:textId="77777777" w:rsidTr="00EB07B7">
        <w:tc>
          <w:tcPr>
            <w:tcW w:w="2977" w:type="dxa"/>
          </w:tcPr>
          <w:p w14:paraId="7F275683" w14:textId="77777777" w:rsidR="00332FC0" w:rsidRPr="00653BF4" w:rsidRDefault="00332FC0" w:rsidP="00EB07B7">
            <w:pPr>
              <w:rPr>
                <w:lang w:val="fr-FR"/>
              </w:rPr>
            </w:pPr>
            <w:r w:rsidRPr="00653BF4">
              <w:rPr>
                <w:lang w:val="fr-FR"/>
              </w:rPr>
              <w:t>SPALB</w:t>
            </w:r>
          </w:p>
        </w:tc>
        <w:tc>
          <w:tcPr>
            <w:tcW w:w="6039" w:type="dxa"/>
          </w:tcPr>
          <w:p w14:paraId="232ECC17" w14:textId="54C70E2D" w:rsidR="00332FC0" w:rsidRPr="00653BF4" w:rsidRDefault="00332FC0" w:rsidP="00EB07B7">
            <w:pPr>
              <w:rPr>
                <w:lang w:val="fr-FR"/>
              </w:rPr>
            </w:pPr>
            <w:r w:rsidRPr="00653BF4">
              <w:rPr>
                <w:lang w:val="fr-FR"/>
              </w:rPr>
              <w:t>Stratégie et plan d</w:t>
            </w:r>
            <w:r w:rsidR="002A58C8" w:rsidRPr="00653BF4">
              <w:rPr>
                <w:lang w:val="fr-FR"/>
              </w:rPr>
              <w:t>’</w:t>
            </w:r>
            <w:r w:rsidRPr="00653BF4">
              <w:rPr>
                <w:lang w:val="fr-FR"/>
              </w:rPr>
              <w:t>action locaux pour la biodiversité</w:t>
            </w:r>
          </w:p>
        </w:tc>
      </w:tr>
      <w:tr w:rsidR="00332FC0" w:rsidRPr="00543148" w14:paraId="4D466E62" w14:textId="77777777" w:rsidTr="00EB07B7">
        <w:tc>
          <w:tcPr>
            <w:tcW w:w="2977" w:type="dxa"/>
          </w:tcPr>
          <w:p w14:paraId="35F95904" w14:textId="77777777" w:rsidR="00332FC0" w:rsidRPr="00653BF4" w:rsidRDefault="00332FC0" w:rsidP="00EB07B7">
            <w:pPr>
              <w:rPr>
                <w:lang w:val="fr-FR"/>
              </w:rPr>
            </w:pPr>
            <w:r w:rsidRPr="00653BF4">
              <w:rPr>
                <w:lang w:val="fr-FR"/>
              </w:rPr>
              <w:t>SPANB</w:t>
            </w:r>
          </w:p>
        </w:tc>
        <w:tc>
          <w:tcPr>
            <w:tcW w:w="6039" w:type="dxa"/>
          </w:tcPr>
          <w:p w14:paraId="39D8CD3D" w14:textId="51BB5519" w:rsidR="00332FC0" w:rsidRPr="00653BF4" w:rsidRDefault="00332FC0" w:rsidP="00EB07B7">
            <w:pPr>
              <w:rPr>
                <w:lang w:val="fr-FR"/>
              </w:rPr>
            </w:pPr>
            <w:r w:rsidRPr="00653BF4">
              <w:rPr>
                <w:lang w:val="fr-FR"/>
              </w:rPr>
              <w:t>Stratégie et plan d</w:t>
            </w:r>
            <w:r w:rsidR="002A58C8" w:rsidRPr="00653BF4">
              <w:rPr>
                <w:lang w:val="fr-FR"/>
              </w:rPr>
              <w:t>’</w:t>
            </w:r>
            <w:r w:rsidRPr="00653BF4">
              <w:rPr>
                <w:lang w:val="fr-FR"/>
              </w:rPr>
              <w:t>action nationaux pour la biodiversité</w:t>
            </w:r>
          </w:p>
        </w:tc>
      </w:tr>
      <w:tr w:rsidR="00332FC0" w:rsidRPr="00543148" w14:paraId="7F3D8747" w14:textId="77777777" w:rsidTr="00EB07B7">
        <w:tc>
          <w:tcPr>
            <w:tcW w:w="2977" w:type="dxa"/>
          </w:tcPr>
          <w:p w14:paraId="22057B8C" w14:textId="77777777" w:rsidR="00332FC0" w:rsidRPr="00653BF4" w:rsidRDefault="00332FC0" w:rsidP="00EB07B7">
            <w:pPr>
              <w:rPr>
                <w:lang w:val="fr-FR"/>
              </w:rPr>
            </w:pPr>
            <w:r w:rsidRPr="00653BF4">
              <w:rPr>
                <w:lang w:val="fr-FR"/>
              </w:rPr>
              <w:t>TNFD</w:t>
            </w:r>
          </w:p>
        </w:tc>
        <w:tc>
          <w:tcPr>
            <w:tcW w:w="6039" w:type="dxa"/>
          </w:tcPr>
          <w:p w14:paraId="47616A73" w14:textId="4F69B8B2" w:rsidR="00332FC0" w:rsidRPr="00653BF4" w:rsidRDefault="00332FC0" w:rsidP="00EB07B7">
            <w:pPr>
              <w:rPr>
                <w:lang w:val="fr-FR"/>
              </w:rPr>
            </w:pPr>
            <w:r w:rsidRPr="00653BF4">
              <w:rPr>
                <w:lang w:val="fr-FR"/>
              </w:rPr>
              <w:t>Groupe de travail sur la divulgation d</w:t>
            </w:r>
            <w:r w:rsidR="002A58C8" w:rsidRPr="00653BF4">
              <w:rPr>
                <w:lang w:val="fr-FR"/>
              </w:rPr>
              <w:t>’</w:t>
            </w:r>
            <w:r w:rsidRPr="00653BF4">
              <w:rPr>
                <w:lang w:val="fr-FR"/>
              </w:rPr>
              <w:t>informations financières liées à la nature</w:t>
            </w:r>
          </w:p>
        </w:tc>
      </w:tr>
      <w:tr w:rsidR="00332FC0" w:rsidRPr="00543148" w14:paraId="01125590" w14:textId="77777777" w:rsidTr="00EB07B7">
        <w:tc>
          <w:tcPr>
            <w:tcW w:w="2977" w:type="dxa"/>
          </w:tcPr>
          <w:p w14:paraId="767BB643" w14:textId="77777777" w:rsidR="00332FC0" w:rsidRPr="00653BF4" w:rsidRDefault="00332FC0" w:rsidP="00EB07B7">
            <w:pPr>
              <w:rPr>
                <w:lang w:val="fr-FR"/>
              </w:rPr>
            </w:pPr>
            <w:r w:rsidRPr="00653BF4">
              <w:rPr>
                <w:lang w:val="fr-FR"/>
              </w:rPr>
              <w:t>UNDRR</w:t>
            </w:r>
          </w:p>
        </w:tc>
        <w:tc>
          <w:tcPr>
            <w:tcW w:w="6039" w:type="dxa"/>
          </w:tcPr>
          <w:p w14:paraId="030C11C5" w14:textId="77777777" w:rsidR="00332FC0" w:rsidRPr="00653BF4" w:rsidRDefault="00332FC0" w:rsidP="00EB07B7">
            <w:pPr>
              <w:rPr>
                <w:lang w:val="fr-FR"/>
              </w:rPr>
            </w:pPr>
            <w:r w:rsidRPr="00653BF4">
              <w:rPr>
                <w:lang w:val="fr-FR"/>
              </w:rPr>
              <w:t>Bureau des Nations Unies pour la réduction des risques de catastrophe</w:t>
            </w:r>
          </w:p>
        </w:tc>
      </w:tr>
      <w:tr w:rsidR="00332FC0" w:rsidRPr="00543148" w14:paraId="08302409" w14:textId="77777777" w:rsidTr="00EB07B7">
        <w:tc>
          <w:tcPr>
            <w:tcW w:w="2977" w:type="dxa"/>
          </w:tcPr>
          <w:p w14:paraId="3769221F" w14:textId="77777777" w:rsidR="00332FC0" w:rsidRPr="00653BF4" w:rsidRDefault="00332FC0" w:rsidP="00EB07B7">
            <w:pPr>
              <w:rPr>
                <w:lang w:val="fr-FR"/>
              </w:rPr>
            </w:pPr>
            <w:r w:rsidRPr="00653BF4">
              <w:rPr>
                <w:lang w:val="fr-FR"/>
              </w:rPr>
              <w:t>UNESCO</w:t>
            </w:r>
          </w:p>
        </w:tc>
        <w:tc>
          <w:tcPr>
            <w:tcW w:w="6039" w:type="dxa"/>
          </w:tcPr>
          <w:p w14:paraId="574EE190" w14:textId="0361E1C0" w:rsidR="00332FC0" w:rsidRPr="00653BF4" w:rsidRDefault="00332FC0" w:rsidP="00EB07B7">
            <w:pPr>
              <w:rPr>
                <w:lang w:val="fr-FR"/>
              </w:rPr>
            </w:pPr>
            <w:r w:rsidRPr="00653BF4">
              <w:rPr>
                <w:lang w:val="fr-FR"/>
              </w:rPr>
              <w:t>Organisation des Nations Unies pour l</w:t>
            </w:r>
            <w:r w:rsidR="002A58C8" w:rsidRPr="00653BF4">
              <w:rPr>
                <w:lang w:val="fr-FR"/>
              </w:rPr>
              <w:t>’</w:t>
            </w:r>
            <w:r w:rsidRPr="00653BF4">
              <w:rPr>
                <w:lang w:val="fr-FR"/>
              </w:rPr>
              <w:t>éducation, la science et la culture</w:t>
            </w:r>
          </w:p>
        </w:tc>
      </w:tr>
      <w:tr w:rsidR="004B1E0A" w:rsidRPr="00543148" w14:paraId="604F42CB" w14:textId="77777777" w:rsidTr="00EB07B7">
        <w:tc>
          <w:tcPr>
            <w:tcW w:w="2977" w:type="dxa"/>
          </w:tcPr>
          <w:p w14:paraId="3D3C4B42" w14:textId="75040280" w:rsidR="004B1E0A" w:rsidRPr="00653BF4" w:rsidRDefault="004B1E0A" w:rsidP="004B1E0A">
            <w:pPr>
              <w:rPr>
                <w:lang w:val="fr-FR"/>
              </w:rPr>
            </w:pPr>
            <w:r w:rsidRPr="00653BF4">
              <w:rPr>
                <w:lang w:val="fr-FR"/>
              </w:rPr>
              <w:t>UNESCO-COI</w:t>
            </w:r>
          </w:p>
        </w:tc>
        <w:tc>
          <w:tcPr>
            <w:tcW w:w="6039" w:type="dxa"/>
          </w:tcPr>
          <w:p w14:paraId="4D20043C" w14:textId="11B851C7" w:rsidR="004B1E0A" w:rsidRPr="00653BF4" w:rsidRDefault="007A76F7" w:rsidP="004B1E0A">
            <w:pPr>
              <w:rPr>
                <w:lang w:val="fr-FR"/>
              </w:rPr>
            </w:pPr>
            <w:r w:rsidRPr="00653BF4">
              <w:rPr>
                <w:lang w:val="fr-FR"/>
              </w:rPr>
              <w:t>Commission océanographique intergouvernementale de l</w:t>
            </w:r>
            <w:r w:rsidR="002A58C8" w:rsidRPr="00653BF4">
              <w:rPr>
                <w:lang w:val="fr-FR"/>
              </w:rPr>
              <w:t>’</w:t>
            </w:r>
            <w:r w:rsidRPr="00653BF4">
              <w:rPr>
                <w:lang w:val="fr-FR"/>
              </w:rPr>
              <w:t>Organisation des Nations Unies pour l</w:t>
            </w:r>
            <w:r w:rsidR="002A58C8" w:rsidRPr="00653BF4">
              <w:rPr>
                <w:lang w:val="fr-FR"/>
              </w:rPr>
              <w:t>’</w:t>
            </w:r>
            <w:r w:rsidRPr="00653BF4">
              <w:rPr>
                <w:lang w:val="fr-FR"/>
              </w:rPr>
              <w:t>éducation, la science et la culture</w:t>
            </w:r>
          </w:p>
        </w:tc>
      </w:tr>
      <w:tr w:rsidR="004B1E0A" w:rsidRPr="00543148" w14:paraId="4CA7C819" w14:textId="77777777" w:rsidTr="00EB07B7">
        <w:tc>
          <w:tcPr>
            <w:tcW w:w="2977" w:type="dxa"/>
          </w:tcPr>
          <w:p w14:paraId="39E33520" w14:textId="77777777" w:rsidR="004B1E0A" w:rsidRPr="00653BF4" w:rsidRDefault="004B1E0A" w:rsidP="004B1E0A">
            <w:pPr>
              <w:rPr>
                <w:lang w:val="fr-FR"/>
              </w:rPr>
            </w:pPr>
            <w:r w:rsidRPr="00653BF4">
              <w:rPr>
                <w:lang w:val="fr-FR"/>
              </w:rPr>
              <w:t>VPR</w:t>
            </w:r>
          </w:p>
        </w:tc>
        <w:tc>
          <w:tcPr>
            <w:tcW w:w="6039" w:type="dxa"/>
          </w:tcPr>
          <w:p w14:paraId="5C79EDE1" w14:textId="36E1F59A" w:rsidR="004B1E0A" w:rsidRPr="00653BF4" w:rsidRDefault="004B1E0A" w:rsidP="004B1E0A">
            <w:pPr>
              <w:rPr>
                <w:lang w:val="fr-FR"/>
              </w:rPr>
            </w:pPr>
            <w:r w:rsidRPr="00653BF4">
              <w:rPr>
                <w:lang w:val="fr-FR"/>
              </w:rPr>
              <w:t>Examen collégial volontaire de la révision et de la mise en œuvre des stratégies et plans d</w:t>
            </w:r>
            <w:r w:rsidR="002A58C8" w:rsidRPr="00653BF4">
              <w:rPr>
                <w:lang w:val="fr-FR"/>
              </w:rPr>
              <w:t>’</w:t>
            </w:r>
            <w:r w:rsidRPr="00653BF4">
              <w:rPr>
                <w:lang w:val="fr-FR"/>
              </w:rPr>
              <w:t>action nationaux</w:t>
            </w:r>
          </w:p>
        </w:tc>
      </w:tr>
      <w:tr w:rsidR="004B1E0A" w:rsidRPr="00543148" w14:paraId="6E26A061" w14:textId="77777777" w:rsidTr="00EB07B7">
        <w:tc>
          <w:tcPr>
            <w:tcW w:w="2977" w:type="dxa"/>
          </w:tcPr>
          <w:p w14:paraId="5BB44E7B" w14:textId="77777777" w:rsidR="004B1E0A" w:rsidRPr="00653BF4" w:rsidRDefault="004B1E0A" w:rsidP="004B1E0A">
            <w:pPr>
              <w:rPr>
                <w:lang w:val="fr-FR"/>
              </w:rPr>
            </w:pPr>
            <w:r w:rsidRPr="00653BF4">
              <w:rPr>
                <w:lang w:val="fr-FR"/>
              </w:rPr>
              <w:t>WDPCA</w:t>
            </w:r>
          </w:p>
        </w:tc>
        <w:tc>
          <w:tcPr>
            <w:tcW w:w="6039" w:type="dxa"/>
          </w:tcPr>
          <w:p w14:paraId="2F33B800" w14:textId="77777777" w:rsidR="004B1E0A" w:rsidRPr="00653BF4" w:rsidRDefault="004B1E0A" w:rsidP="004B1E0A">
            <w:pPr>
              <w:rPr>
                <w:lang w:val="fr-FR"/>
              </w:rPr>
            </w:pPr>
            <w:r w:rsidRPr="00653BF4">
              <w:rPr>
                <w:lang w:val="fr-FR"/>
              </w:rPr>
              <w:t>Basse de données mondiale sur les aires protégées et conservées</w:t>
            </w:r>
          </w:p>
        </w:tc>
      </w:tr>
      <w:tr w:rsidR="004B1E0A" w:rsidRPr="00653BF4" w14:paraId="5FA18D6D" w14:textId="77777777" w:rsidTr="00EB07B7">
        <w:tc>
          <w:tcPr>
            <w:tcW w:w="2977" w:type="dxa"/>
          </w:tcPr>
          <w:p w14:paraId="5AE394E9" w14:textId="77777777" w:rsidR="004B1E0A" w:rsidRPr="00653BF4" w:rsidRDefault="004B1E0A" w:rsidP="004B1E0A">
            <w:pPr>
              <w:rPr>
                <w:lang w:val="fr-FR"/>
              </w:rPr>
            </w:pPr>
            <w:r w:rsidRPr="00653BF4">
              <w:rPr>
                <w:lang w:val="fr-FR"/>
              </w:rPr>
              <w:t>WHC</w:t>
            </w:r>
          </w:p>
        </w:tc>
        <w:tc>
          <w:tcPr>
            <w:tcW w:w="6039" w:type="dxa"/>
          </w:tcPr>
          <w:p w14:paraId="67D4893B" w14:textId="77777777" w:rsidR="004B1E0A" w:rsidRPr="00653BF4" w:rsidRDefault="004B1E0A" w:rsidP="004B1E0A">
            <w:pPr>
              <w:rPr>
                <w:lang w:val="fr-FR"/>
              </w:rPr>
            </w:pPr>
            <w:r w:rsidRPr="00653BF4">
              <w:rPr>
                <w:lang w:val="fr-FR"/>
              </w:rPr>
              <w:t>Convention du patrimoine mondial</w:t>
            </w:r>
          </w:p>
        </w:tc>
      </w:tr>
      <w:tr w:rsidR="004B1E0A" w:rsidRPr="00543148" w14:paraId="178A09A0" w14:textId="77777777" w:rsidTr="00EB07B7">
        <w:tc>
          <w:tcPr>
            <w:tcW w:w="2977" w:type="dxa"/>
          </w:tcPr>
          <w:p w14:paraId="53BB6524" w14:textId="77777777" w:rsidR="004B1E0A" w:rsidRPr="00653BF4" w:rsidRDefault="004B1E0A" w:rsidP="004B1E0A">
            <w:pPr>
              <w:rPr>
                <w:lang w:val="fr-FR"/>
              </w:rPr>
            </w:pPr>
            <w:r w:rsidRPr="00653BF4">
              <w:rPr>
                <w:lang w:val="fr-FR"/>
              </w:rPr>
              <w:t>WWF</w:t>
            </w:r>
          </w:p>
        </w:tc>
        <w:tc>
          <w:tcPr>
            <w:tcW w:w="6039" w:type="dxa"/>
          </w:tcPr>
          <w:p w14:paraId="5723E80C" w14:textId="77777777" w:rsidR="004B1E0A" w:rsidRPr="00653BF4" w:rsidRDefault="004B1E0A" w:rsidP="004B1E0A">
            <w:pPr>
              <w:rPr>
                <w:lang w:val="fr-FR"/>
              </w:rPr>
            </w:pPr>
            <w:r w:rsidRPr="00653BF4">
              <w:rPr>
                <w:lang w:val="fr-FR"/>
              </w:rPr>
              <w:t>Fonds mondial pour la nature</w:t>
            </w:r>
          </w:p>
        </w:tc>
      </w:tr>
    </w:tbl>
    <w:p w14:paraId="4C47AADB" w14:textId="1D5CAA49" w:rsidR="000B6AFF" w:rsidRPr="00653BF4" w:rsidRDefault="00422EC7" w:rsidP="000B6AFF">
      <w:pPr>
        <w:pStyle w:val="Heading1"/>
        <w:rPr>
          <w:lang w:val="fr-FR"/>
        </w:rPr>
      </w:pPr>
      <w:bookmarkStart w:id="7" w:name="_Toc242801213"/>
      <w:r w:rsidRPr="00653BF4">
        <w:rPr>
          <w:lang w:val="fr-FR"/>
        </w:rPr>
        <w:lastRenderedPageBreak/>
        <w:t>Résumé</w:t>
      </w:r>
      <w:r w:rsidR="000B6AFF" w:rsidRPr="00653BF4">
        <w:rPr>
          <w:lang w:val="fr-FR"/>
        </w:rPr>
        <w:t xml:space="preserve"> des conclusions et des messages clés du rapport mondial</w:t>
      </w:r>
      <w:bookmarkEnd w:id="7"/>
    </w:p>
    <w:p w14:paraId="74727C01" w14:textId="77777777" w:rsidR="000B6AFF" w:rsidRPr="00653BF4" w:rsidRDefault="000B6AFF" w:rsidP="000B6AFF">
      <w:pPr>
        <w:spacing w:before="120" w:after="120"/>
        <w:ind w:left="567"/>
        <w:rPr>
          <w:rFonts w:ascii="Aptos" w:eastAsia="Times New Roman" w:hAnsi="Aptos"/>
          <w:b/>
          <w:bCs/>
          <w:u w:val="single"/>
          <w:lang w:val="fr-FR"/>
        </w:rPr>
      </w:pPr>
    </w:p>
    <w:p w14:paraId="670C3A82" w14:textId="25F58A5E" w:rsidR="000B6AFF" w:rsidRPr="00653BF4" w:rsidRDefault="000B6AFF" w:rsidP="000B6AFF">
      <w:pPr>
        <w:spacing w:before="120" w:after="120"/>
        <w:ind w:left="567"/>
        <w:rPr>
          <w:rFonts w:ascii="Aptos" w:hAnsi="Aptos"/>
          <w:lang w:val="fr-FR"/>
        </w:rPr>
      </w:pPr>
      <w:r w:rsidRPr="00653BF4">
        <w:rPr>
          <w:rFonts w:ascii="Aptos" w:eastAsia="Times New Roman" w:hAnsi="Aptos"/>
          <w:b/>
          <w:bCs/>
          <w:u w:val="single"/>
          <w:lang w:val="fr-FR"/>
        </w:rPr>
        <w:t xml:space="preserve">Message </w:t>
      </w:r>
      <w:r w:rsidR="00364B53">
        <w:rPr>
          <w:rFonts w:ascii="Aptos" w:eastAsia="Times New Roman" w:hAnsi="Aptos"/>
          <w:b/>
          <w:bCs/>
          <w:u w:val="single"/>
          <w:lang w:val="fr-FR"/>
        </w:rPr>
        <w:t>d’ensemble</w:t>
      </w:r>
      <w:r w:rsidRPr="00653BF4">
        <w:rPr>
          <w:rFonts w:ascii="Aptos" w:eastAsia="Times New Roman" w:hAnsi="Aptos"/>
          <w:b/>
          <w:bCs/>
          <w:lang w:val="fr-FR"/>
        </w:rPr>
        <w:t>. Le Cadre mondial de la biodiversité de Kunming-Montréal a suscité un engagement sans précédent</w:t>
      </w:r>
      <w:r w:rsidR="00072EF4" w:rsidRPr="00653BF4">
        <w:rPr>
          <w:rFonts w:ascii="Aptos" w:eastAsia="Times New Roman" w:hAnsi="Aptos"/>
          <w:b/>
          <w:bCs/>
          <w:lang w:val="fr-FR"/>
        </w:rPr>
        <w:t xml:space="preserve"> à l’échelle mondiale</w:t>
      </w:r>
      <w:r w:rsidR="0046696C" w:rsidRPr="00653BF4">
        <w:rPr>
          <w:rFonts w:ascii="Aptos" w:eastAsia="Times New Roman" w:hAnsi="Aptos"/>
          <w:b/>
          <w:bCs/>
          <w:lang w:val="fr-FR"/>
        </w:rPr>
        <w:t xml:space="preserve"> et a favorisé </w:t>
      </w:r>
      <w:r w:rsidRPr="00653BF4">
        <w:rPr>
          <w:rFonts w:ascii="Aptos" w:eastAsia="Times New Roman" w:hAnsi="Aptos"/>
          <w:b/>
          <w:bCs/>
          <w:lang w:val="fr-FR"/>
        </w:rPr>
        <w:t>l</w:t>
      </w:r>
      <w:r w:rsidR="002A58C8" w:rsidRPr="00653BF4">
        <w:rPr>
          <w:rFonts w:ascii="Aptos" w:eastAsia="Times New Roman" w:hAnsi="Aptos"/>
          <w:b/>
          <w:bCs/>
          <w:lang w:val="fr-FR"/>
        </w:rPr>
        <w:t>’</w:t>
      </w:r>
      <w:r w:rsidRPr="00653BF4">
        <w:rPr>
          <w:rFonts w:ascii="Aptos" w:eastAsia="Times New Roman" w:hAnsi="Aptos"/>
          <w:b/>
          <w:bCs/>
          <w:lang w:val="fr-FR"/>
        </w:rPr>
        <w:t>action, l</w:t>
      </w:r>
      <w:r w:rsidR="002A58C8" w:rsidRPr="00653BF4">
        <w:rPr>
          <w:rFonts w:ascii="Aptos" w:eastAsia="Times New Roman" w:hAnsi="Aptos"/>
          <w:b/>
          <w:bCs/>
          <w:lang w:val="fr-FR"/>
        </w:rPr>
        <w:t>’</w:t>
      </w:r>
      <w:r w:rsidRPr="00653BF4">
        <w:rPr>
          <w:rFonts w:ascii="Aptos" w:eastAsia="Times New Roman" w:hAnsi="Aptos"/>
          <w:b/>
          <w:bCs/>
          <w:lang w:val="fr-FR"/>
        </w:rPr>
        <w:t>innovation, la collaboration et les expériences d</w:t>
      </w:r>
      <w:r w:rsidR="002A58C8" w:rsidRPr="00653BF4">
        <w:rPr>
          <w:rFonts w:ascii="Aptos" w:eastAsia="Times New Roman" w:hAnsi="Aptos"/>
          <w:b/>
          <w:bCs/>
          <w:lang w:val="fr-FR"/>
        </w:rPr>
        <w:t>’</w:t>
      </w:r>
      <w:r w:rsidRPr="00653BF4">
        <w:rPr>
          <w:rFonts w:ascii="Aptos" w:eastAsia="Times New Roman" w:hAnsi="Aptos"/>
          <w:b/>
          <w:bCs/>
          <w:lang w:val="fr-FR"/>
        </w:rPr>
        <w:t>apprentissage autour de l</w:t>
      </w:r>
      <w:r w:rsidR="002A58C8" w:rsidRPr="00653BF4">
        <w:rPr>
          <w:rFonts w:ascii="Aptos" w:eastAsia="Times New Roman" w:hAnsi="Aptos"/>
          <w:b/>
          <w:bCs/>
          <w:lang w:val="fr-FR"/>
        </w:rPr>
        <w:t>’</w:t>
      </w:r>
      <w:r w:rsidRPr="00653BF4">
        <w:rPr>
          <w:rFonts w:ascii="Aptos" w:eastAsia="Times New Roman" w:hAnsi="Aptos"/>
          <w:b/>
          <w:bCs/>
          <w:lang w:val="fr-FR"/>
        </w:rPr>
        <w:t>ensemble de ses 23 cibles. Toutefois, à moins que la mise en œuvre collective ne s</w:t>
      </w:r>
      <w:r w:rsidR="002A58C8" w:rsidRPr="00653BF4">
        <w:rPr>
          <w:rFonts w:ascii="Aptos" w:eastAsia="Times New Roman" w:hAnsi="Aptos"/>
          <w:b/>
          <w:bCs/>
          <w:lang w:val="fr-FR"/>
        </w:rPr>
        <w:t>’</w:t>
      </w:r>
      <w:r w:rsidRPr="00653BF4">
        <w:rPr>
          <w:rFonts w:ascii="Aptos" w:eastAsia="Times New Roman" w:hAnsi="Aptos"/>
          <w:b/>
          <w:bCs/>
          <w:lang w:val="fr-FR"/>
        </w:rPr>
        <w:t xml:space="preserve">accélère rapidement, les cibles </w:t>
      </w:r>
      <w:r w:rsidR="0097688B" w:rsidRPr="00653BF4">
        <w:rPr>
          <w:rFonts w:ascii="Aptos" w:eastAsia="Times New Roman" w:hAnsi="Aptos"/>
          <w:b/>
          <w:bCs/>
          <w:lang w:val="fr-FR"/>
        </w:rPr>
        <w:t xml:space="preserve">ne seront pas atteintes, </w:t>
      </w:r>
      <w:r w:rsidRPr="00653BF4">
        <w:rPr>
          <w:rFonts w:ascii="Aptos" w:eastAsia="Times New Roman" w:hAnsi="Aptos"/>
          <w:b/>
          <w:bCs/>
          <w:lang w:val="fr-FR"/>
        </w:rPr>
        <w:t xml:space="preserve">et la </w:t>
      </w:r>
      <w:r w:rsidR="00634C92" w:rsidRPr="00653BF4">
        <w:rPr>
          <w:rFonts w:ascii="Aptos" w:eastAsia="Times New Roman" w:hAnsi="Aptos"/>
          <w:b/>
          <w:bCs/>
          <w:lang w:val="fr-FR"/>
        </w:rPr>
        <w:t>mission à l’horizon 2030</w:t>
      </w:r>
      <w:r w:rsidRPr="00653BF4">
        <w:rPr>
          <w:rFonts w:ascii="Aptos" w:eastAsia="Times New Roman" w:hAnsi="Aptos"/>
          <w:b/>
          <w:bCs/>
          <w:lang w:val="fr-FR"/>
        </w:rPr>
        <w:t xml:space="preserve"> ne </w:t>
      </w:r>
      <w:r w:rsidR="0097688B" w:rsidRPr="00653BF4">
        <w:rPr>
          <w:rFonts w:ascii="Aptos" w:eastAsia="Times New Roman" w:hAnsi="Aptos"/>
          <w:b/>
          <w:bCs/>
          <w:lang w:val="fr-FR"/>
        </w:rPr>
        <w:t>sera pas remplie</w:t>
      </w:r>
      <w:r w:rsidRPr="00653BF4">
        <w:rPr>
          <w:rFonts w:ascii="Aptos" w:eastAsia="Times New Roman" w:hAnsi="Aptos"/>
          <w:b/>
          <w:bCs/>
          <w:lang w:val="fr-FR"/>
        </w:rPr>
        <w:t>. S</w:t>
      </w:r>
      <w:r w:rsidR="002A58C8" w:rsidRPr="00653BF4">
        <w:rPr>
          <w:rFonts w:ascii="Aptos" w:eastAsia="Times New Roman" w:hAnsi="Aptos"/>
          <w:b/>
          <w:bCs/>
          <w:lang w:val="fr-FR"/>
        </w:rPr>
        <w:t>’</w:t>
      </w:r>
      <w:r w:rsidRPr="00653BF4">
        <w:rPr>
          <w:rFonts w:ascii="Aptos" w:eastAsia="Times New Roman" w:hAnsi="Aptos"/>
          <w:b/>
          <w:bCs/>
          <w:lang w:val="fr-FR"/>
        </w:rPr>
        <w:t xml:space="preserve">il est encore trop tôt pour constater </w:t>
      </w:r>
      <w:r w:rsidR="0097688B" w:rsidRPr="00653BF4">
        <w:rPr>
          <w:rFonts w:ascii="Aptos" w:eastAsia="Times New Roman" w:hAnsi="Aptos"/>
          <w:b/>
          <w:bCs/>
          <w:lang w:val="fr-FR"/>
        </w:rPr>
        <w:t>une évolution</w:t>
      </w:r>
      <w:r w:rsidRPr="00653BF4">
        <w:rPr>
          <w:rFonts w:ascii="Aptos" w:eastAsia="Times New Roman" w:hAnsi="Aptos"/>
          <w:b/>
          <w:bCs/>
          <w:lang w:val="fr-FR"/>
        </w:rPr>
        <w:t xml:space="preserve"> </w:t>
      </w:r>
      <w:r w:rsidR="0097688B" w:rsidRPr="00653BF4">
        <w:rPr>
          <w:rFonts w:ascii="Aptos" w:eastAsia="Times New Roman" w:hAnsi="Aptos"/>
          <w:b/>
          <w:bCs/>
          <w:lang w:val="fr-FR"/>
        </w:rPr>
        <w:t xml:space="preserve">des </w:t>
      </w:r>
      <w:r w:rsidRPr="00653BF4">
        <w:rPr>
          <w:rFonts w:ascii="Aptos" w:eastAsia="Times New Roman" w:hAnsi="Aptos"/>
          <w:b/>
          <w:bCs/>
          <w:lang w:val="fr-FR"/>
        </w:rPr>
        <w:t xml:space="preserve">résultats en </w:t>
      </w:r>
      <w:r w:rsidR="00995B03" w:rsidRPr="00653BF4">
        <w:rPr>
          <w:rFonts w:ascii="Aptos" w:eastAsia="Times New Roman" w:hAnsi="Aptos"/>
          <w:b/>
          <w:bCs/>
          <w:lang w:val="fr-FR"/>
        </w:rPr>
        <w:t xml:space="preserve">termes </w:t>
      </w:r>
      <w:r w:rsidRPr="00653BF4">
        <w:rPr>
          <w:rFonts w:ascii="Aptos" w:eastAsia="Times New Roman" w:hAnsi="Aptos"/>
          <w:b/>
          <w:bCs/>
          <w:lang w:val="fr-FR"/>
        </w:rPr>
        <w:t xml:space="preserve">de biodiversité, </w:t>
      </w:r>
      <w:r w:rsidR="00FB1880" w:rsidRPr="00653BF4">
        <w:rPr>
          <w:rFonts w:ascii="Aptos" w:eastAsia="Times New Roman" w:hAnsi="Aptos"/>
          <w:b/>
          <w:bCs/>
          <w:lang w:val="fr-FR"/>
        </w:rPr>
        <w:t>la lenteur des progrès actuels représente un risque à long terme, la réalisation des cibles et de la mission à l’horizon 2030 étant le fondement qui permettra d’engager le monde sur la voie de la réalisation des objectifs et de la vision à l’horizon 2050.</w:t>
      </w:r>
    </w:p>
    <w:p w14:paraId="0F3350EB" w14:textId="2E9CF7A9" w:rsidR="00CE62F1" w:rsidRPr="00653BF4" w:rsidRDefault="00343CCE" w:rsidP="00CE62F1">
      <w:pPr>
        <w:pStyle w:val="CBDNormalNoNumber"/>
        <w:jc w:val="left"/>
        <w:rPr>
          <w:rFonts w:ascii="Aptos" w:hAnsi="Aptos"/>
          <w:sz w:val="24"/>
          <w:szCs w:val="24"/>
          <w:lang w:val="fr-FR"/>
        </w:rPr>
      </w:pPr>
      <w:r w:rsidRPr="00653BF4">
        <w:rPr>
          <w:rFonts w:ascii="Aptos" w:hAnsi="Aptos"/>
          <w:sz w:val="24"/>
          <w:szCs w:val="24"/>
          <w:lang w:val="fr-FR"/>
        </w:rPr>
        <w:t>Depuis l</w:t>
      </w:r>
      <w:r w:rsidR="002A58C8" w:rsidRPr="00653BF4">
        <w:rPr>
          <w:rFonts w:ascii="Aptos" w:hAnsi="Aptos"/>
          <w:sz w:val="24"/>
          <w:szCs w:val="24"/>
          <w:lang w:val="fr-FR"/>
        </w:rPr>
        <w:t>’</w:t>
      </w:r>
      <w:r w:rsidRPr="00653BF4">
        <w:rPr>
          <w:rFonts w:ascii="Aptos" w:hAnsi="Aptos"/>
          <w:sz w:val="24"/>
          <w:szCs w:val="24"/>
          <w:lang w:val="fr-FR"/>
        </w:rPr>
        <w:t>adoption du Cadre en 2022, de nombreuses Parties se sont engagées à respecter des cibles nationales</w:t>
      </w:r>
      <w:r w:rsidR="00E34DC9">
        <w:rPr>
          <w:rFonts w:ascii="Aptos" w:hAnsi="Aptos"/>
          <w:sz w:val="24"/>
          <w:szCs w:val="24"/>
          <w:lang w:val="fr-FR"/>
        </w:rPr>
        <w:t> ;</w:t>
      </w:r>
      <w:r w:rsidR="00E34446" w:rsidRPr="00653BF4">
        <w:rPr>
          <w:rFonts w:ascii="Aptos" w:hAnsi="Aptos"/>
          <w:sz w:val="24"/>
          <w:szCs w:val="24"/>
          <w:lang w:val="fr-FR"/>
        </w:rPr>
        <w:t xml:space="preserve"> elles</w:t>
      </w:r>
      <w:r w:rsidRPr="00653BF4">
        <w:rPr>
          <w:rFonts w:ascii="Aptos" w:hAnsi="Aptos"/>
          <w:sz w:val="24"/>
          <w:szCs w:val="24"/>
          <w:lang w:val="fr-FR"/>
        </w:rPr>
        <w:t xml:space="preserve"> les ont adoptées et ont élaboré des stratégies et des plans</w:t>
      </w:r>
      <w:r w:rsidR="00E34DC9">
        <w:rPr>
          <w:rFonts w:ascii="Aptos" w:hAnsi="Aptos"/>
          <w:sz w:val="24"/>
          <w:szCs w:val="24"/>
          <w:lang w:val="fr-FR"/>
        </w:rPr>
        <w:t> ;</w:t>
      </w:r>
      <w:r w:rsidRPr="00653BF4">
        <w:rPr>
          <w:rFonts w:ascii="Aptos" w:hAnsi="Aptos"/>
          <w:sz w:val="24"/>
          <w:szCs w:val="24"/>
          <w:lang w:val="fr-FR"/>
        </w:rPr>
        <w:t xml:space="preserve"> beaucoup poursuivent leurs travaux sur ces instruments. Dans l</w:t>
      </w:r>
      <w:r w:rsidR="002A58C8" w:rsidRPr="00653BF4">
        <w:rPr>
          <w:rFonts w:ascii="Aptos" w:hAnsi="Aptos"/>
          <w:sz w:val="24"/>
          <w:szCs w:val="24"/>
          <w:lang w:val="fr-FR"/>
        </w:rPr>
        <w:t>’</w:t>
      </w:r>
      <w:r w:rsidRPr="00653BF4">
        <w:rPr>
          <w:rFonts w:ascii="Aptos" w:hAnsi="Aptos"/>
          <w:sz w:val="24"/>
          <w:szCs w:val="24"/>
          <w:lang w:val="fr-FR"/>
        </w:rPr>
        <w:t xml:space="preserve">ensemble, les Parties ont pris des mesures </w:t>
      </w:r>
      <w:r w:rsidR="005D1C69" w:rsidRPr="00653BF4">
        <w:rPr>
          <w:rFonts w:ascii="Aptos" w:hAnsi="Aptos"/>
          <w:sz w:val="24"/>
          <w:szCs w:val="24"/>
          <w:lang w:val="fr-FR"/>
        </w:rPr>
        <w:t xml:space="preserve">de </w:t>
      </w:r>
      <w:r w:rsidRPr="00653BF4">
        <w:rPr>
          <w:rFonts w:ascii="Aptos" w:hAnsi="Aptos"/>
          <w:sz w:val="24"/>
          <w:szCs w:val="24"/>
          <w:lang w:val="fr-FR"/>
        </w:rPr>
        <w:t>mise en œuvre</w:t>
      </w:r>
      <w:r w:rsidR="005D1C69" w:rsidRPr="00653BF4">
        <w:rPr>
          <w:rFonts w:ascii="Aptos" w:hAnsi="Aptos"/>
          <w:sz w:val="24"/>
          <w:szCs w:val="24"/>
          <w:lang w:val="fr-FR"/>
        </w:rPr>
        <w:t xml:space="preserve"> substantielles</w:t>
      </w:r>
      <w:r w:rsidRPr="00653BF4">
        <w:rPr>
          <w:rFonts w:ascii="Aptos" w:hAnsi="Aptos"/>
          <w:sz w:val="24"/>
          <w:szCs w:val="24"/>
          <w:lang w:val="fr-FR"/>
        </w:rPr>
        <w:t xml:space="preserve">. </w:t>
      </w:r>
      <w:r w:rsidR="005D1C69" w:rsidRPr="00653BF4">
        <w:rPr>
          <w:rFonts w:ascii="Aptos" w:hAnsi="Aptos"/>
          <w:sz w:val="24"/>
          <w:szCs w:val="24"/>
          <w:lang w:val="fr-FR"/>
        </w:rPr>
        <w:t>En outre</w:t>
      </w:r>
      <w:r w:rsidRPr="00653BF4">
        <w:rPr>
          <w:rFonts w:ascii="Aptos" w:hAnsi="Aptos"/>
          <w:sz w:val="24"/>
          <w:szCs w:val="24"/>
          <w:lang w:val="fr-FR"/>
        </w:rPr>
        <w:t>, de nombreux acteurs autres que les gouvernements nationaux – notamment les peuples autochtones et communautés locales, les femmes, les jeunes, les collectivités infranationales, les villes et autres autorités locales, les organisations intergouvernementales, les secrétariats d</w:t>
      </w:r>
      <w:r w:rsidR="002A58C8" w:rsidRPr="00653BF4">
        <w:rPr>
          <w:rFonts w:ascii="Aptos" w:hAnsi="Aptos"/>
          <w:sz w:val="24"/>
          <w:szCs w:val="24"/>
          <w:lang w:val="fr-FR"/>
        </w:rPr>
        <w:t>’</w:t>
      </w:r>
      <w:r w:rsidRPr="00653BF4">
        <w:rPr>
          <w:rFonts w:ascii="Aptos" w:hAnsi="Aptos"/>
          <w:sz w:val="24"/>
          <w:szCs w:val="24"/>
          <w:lang w:val="fr-FR"/>
        </w:rPr>
        <w:t>autres accords multilatéraux sur l</w:t>
      </w:r>
      <w:r w:rsidR="002A58C8" w:rsidRPr="00653BF4">
        <w:rPr>
          <w:rFonts w:ascii="Aptos" w:hAnsi="Aptos"/>
          <w:sz w:val="24"/>
          <w:szCs w:val="24"/>
          <w:lang w:val="fr-FR"/>
        </w:rPr>
        <w:t>’</w:t>
      </w:r>
      <w:r w:rsidRPr="00653BF4">
        <w:rPr>
          <w:rFonts w:ascii="Aptos" w:hAnsi="Aptos"/>
          <w:sz w:val="24"/>
          <w:szCs w:val="24"/>
          <w:lang w:val="fr-FR"/>
        </w:rPr>
        <w:t>environnement, les organisations non gouvernementales, les organismes de recherche, les milieux d</w:t>
      </w:r>
      <w:r w:rsidR="002A58C8" w:rsidRPr="00653BF4">
        <w:rPr>
          <w:rFonts w:ascii="Aptos" w:hAnsi="Aptos"/>
          <w:sz w:val="24"/>
          <w:szCs w:val="24"/>
          <w:lang w:val="fr-FR"/>
        </w:rPr>
        <w:t>’</w:t>
      </w:r>
      <w:r w:rsidRPr="00653BF4">
        <w:rPr>
          <w:rFonts w:ascii="Aptos" w:hAnsi="Aptos"/>
          <w:sz w:val="24"/>
          <w:szCs w:val="24"/>
          <w:lang w:val="fr-FR"/>
        </w:rPr>
        <w:t>affaires et financiers, ainsi que les représentants des secteurs liés à la biodiversité ou qui en dépendent – ont pris des engagements et mené des actions en appui à la mise en œuvre du Cadre.</w:t>
      </w:r>
    </w:p>
    <w:p w14:paraId="69221D6B" w14:textId="6286ADA8" w:rsidR="00FE3524" w:rsidRPr="00653BF4" w:rsidRDefault="005A6BBA" w:rsidP="004A725E">
      <w:pPr>
        <w:pStyle w:val="CBDNormalNoNumber"/>
        <w:spacing w:line="259" w:lineRule="auto"/>
        <w:rPr>
          <w:rFonts w:ascii="Aptos" w:hAnsi="Aptos"/>
          <w:sz w:val="24"/>
          <w:szCs w:val="24"/>
          <w:lang w:val="fr-FR"/>
        </w:rPr>
      </w:pPr>
      <w:r w:rsidRPr="00653BF4">
        <w:rPr>
          <w:rFonts w:ascii="Aptos" w:hAnsi="Aptos"/>
          <w:sz w:val="24"/>
          <w:szCs w:val="24"/>
          <w:lang w:val="fr-FR"/>
        </w:rPr>
        <w:t xml:space="preserve">Les Parties et les autres acteurs ont </w:t>
      </w:r>
      <w:r w:rsidR="000911DF" w:rsidRPr="00653BF4">
        <w:rPr>
          <w:rFonts w:ascii="Aptos" w:hAnsi="Aptos"/>
          <w:sz w:val="24"/>
          <w:szCs w:val="24"/>
          <w:lang w:val="fr-FR"/>
        </w:rPr>
        <w:t>engagé des actions</w:t>
      </w:r>
      <w:r w:rsidRPr="00653BF4">
        <w:rPr>
          <w:rFonts w:ascii="Aptos" w:hAnsi="Aptos"/>
          <w:sz w:val="24"/>
          <w:szCs w:val="24"/>
          <w:lang w:val="fr-FR"/>
        </w:rPr>
        <w:t xml:space="preserve"> pour atteindre les 23 cibles</w:t>
      </w:r>
      <w:r w:rsidR="00E34DC9">
        <w:rPr>
          <w:rFonts w:ascii="Aptos" w:hAnsi="Aptos"/>
          <w:sz w:val="24"/>
          <w:szCs w:val="24"/>
          <w:lang w:val="fr-FR"/>
        </w:rPr>
        <w:t> ;</w:t>
      </w:r>
      <w:r w:rsidRPr="00653BF4">
        <w:rPr>
          <w:rFonts w:ascii="Aptos" w:hAnsi="Aptos"/>
          <w:sz w:val="24"/>
          <w:szCs w:val="24"/>
          <w:lang w:val="fr-FR"/>
        </w:rPr>
        <w:t xml:space="preserve"> néanmoins, aucune cible ne présente un bilan entièrement positif. Il ressort des données disponibles que des lacunes subsistent dans les progrès collectifs accomplis et que certains obstacles </w:t>
      </w:r>
      <w:r w:rsidR="00D6756E" w:rsidRPr="00653BF4">
        <w:rPr>
          <w:rFonts w:ascii="Aptos" w:hAnsi="Aptos"/>
          <w:sz w:val="24"/>
          <w:szCs w:val="24"/>
          <w:lang w:val="fr-FR"/>
        </w:rPr>
        <w:t xml:space="preserve">constituent une entrave </w:t>
      </w:r>
      <w:r w:rsidRPr="00653BF4">
        <w:rPr>
          <w:rFonts w:ascii="Aptos" w:hAnsi="Aptos"/>
          <w:sz w:val="24"/>
          <w:szCs w:val="24"/>
          <w:lang w:val="fr-FR"/>
        </w:rPr>
        <w:t>(</w:t>
      </w:r>
      <w:r w:rsidR="002C4091" w:rsidRPr="00653BF4">
        <w:rPr>
          <w:rFonts w:ascii="Aptos" w:hAnsi="Aptos"/>
          <w:sz w:val="24"/>
          <w:szCs w:val="24"/>
          <w:lang w:val="fr-FR"/>
        </w:rPr>
        <w:t>f</w:t>
      </w:r>
      <w:r w:rsidRPr="00653BF4">
        <w:rPr>
          <w:rFonts w:ascii="Aptos" w:hAnsi="Aptos"/>
          <w:sz w:val="24"/>
          <w:szCs w:val="24"/>
          <w:lang w:val="fr-FR"/>
        </w:rPr>
        <w:t>igure 1). Si rien n</w:t>
      </w:r>
      <w:r w:rsidR="00D77549">
        <w:rPr>
          <w:rFonts w:ascii="Aptos" w:hAnsi="Aptos"/>
          <w:sz w:val="24"/>
          <w:szCs w:val="24"/>
          <w:lang w:val="fr-FR"/>
        </w:rPr>
        <w:t>’</w:t>
      </w:r>
      <w:r w:rsidRPr="00653BF4">
        <w:rPr>
          <w:rFonts w:ascii="Aptos" w:hAnsi="Aptos"/>
          <w:sz w:val="24"/>
          <w:szCs w:val="24"/>
          <w:lang w:val="fr-FR"/>
        </w:rPr>
        <w:t>est fait de toute urgence pour combler ces lacunes et surmonter ces obstacles, il ne sera pas possible d</w:t>
      </w:r>
      <w:r w:rsidR="00D77549">
        <w:rPr>
          <w:rFonts w:ascii="Aptos" w:hAnsi="Aptos"/>
          <w:sz w:val="24"/>
          <w:szCs w:val="24"/>
          <w:lang w:val="fr-FR"/>
        </w:rPr>
        <w:t>’</w:t>
      </w:r>
      <w:r w:rsidRPr="00653BF4">
        <w:rPr>
          <w:rFonts w:ascii="Aptos" w:hAnsi="Aptos"/>
          <w:sz w:val="24"/>
          <w:szCs w:val="24"/>
          <w:lang w:val="fr-FR"/>
        </w:rPr>
        <w:t>atteindre les cibles et de réaliser la mission d</w:t>
      </w:r>
      <w:r w:rsidR="00D77549">
        <w:rPr>
          <w:rFonts w:ascii="Aptos" w:hAnsi="Aptos"/>
          <w:sz w:val="24"/>
          <w:szCs w:val="24"/>
          <w:lang w:val="fr-FR"/>
        </w:rPr>
        <w:t>’</w:t>
      </w:r>
      <w:r w:rsidRPr="00653BF4">
        <w:rPr>
          <w:rFonts w:ascii="Aptos" w:hAnsi="Aptos"/>
          <w:sz w:val="24"/>
          <w:szCs w:val="24"/>
          <w:lang w:val="fr-FR"/>
        </w:rPr>
        <w:t xml:space="preserve">ici 2030, compromettant donc la réalisation des objectifs et de la vision </w:t>
      </w:r>
      <w:r w:rsidR="00DB1063" w:rsidRPr="00653BF4">
        <w:rPr>
          <w:rFonts w:ascii="Aptos" w:hAnsi="Aptos"/>
          <w:sz w:val="24"/>
          <w:szCs w:val="24"/>
          <w:lang w:val="fr-FR"/>
        </w:rPr>
        <w:t>à l’horizon</w:t>
      </w:r>
      <w:r w:rsidRPr="00653BF4">
        <w:rPr>
          <w:rFonts w:ascii="Aptos" w:hAnsi="Aptos"/>
          <w:sz w:val="24"/>
          <w:szCs w:val="24"/>
          <w:lang w:val="fr-FR"/>
        </w:rPr>
        <w:t xml:space="preserve"> 2050.</w:t>
      </w:r>
    </w:p>
    <w:p w14:paraId="7E4DB913" w14:textId="416C932F" w:rsidR="00AD510D" w:rsidRPr="00653BF4" w:rsidRDefault="00170CD5" w:rsidP="00000512">
      <w:pPr>
        <w:pStyle w:val="CBDNormalNoNumber"/>
        <w:spacing w:line="259" w:lineRule="auto"/>
        <w:jc w:val="left"/>
        <w:rPr>
          <w:rFonts w:ascii="Aptos" w:hAnsi="Aptos"/>
          <w:sz w:val="24"/>
          <w:szCs w:val="24"/>
          <w:lang w:val="fr-FR"/>
        </w:rPr>
      </w:pPr>
      <w:r>
        <w:rPr>
          <w:rFonts w:ascii="Aptos" w:hAnsi="Aptos"/>
          <w:sz w:val="24"/>
          <w:szCs w:val="24"/>
          <w:lang w:val="fr-FR"/>
        </w:rPr>
        <w:t>En ce qui concerne l</w:t>
      </w:r>
      <w:r w:rsidRPr="00170CD5">
        <w:rPr>
          <w:rFonts w:ascii="Aptos" w:hAnsi="Aptos"/>
          <w:sz w:val="24"/>
          <w:szCs w:val="24"/>
          <w:lang w:val="fr-FR"/>
        </w:rPr>
        <w:t>e</w:t>
      </w:r>
      <w:r>
        <w:rPr>
          <w:rFonts w:ascii="Aptos" w:hAnsi="Aptos"/>
          <w:sz w:val="24"/>
          <w:szCs w:val="24"/>
          <w:lang w:val="fr-FR"/>
        </w:rPr>
        <w:t>s</w:t>
      </w:r>
      <w:r w:rsidRPr="00170CD5">
        <w:rPr>
          <w:rFonts w:ascii="Aptos" w:hAnsi="Aptos"/>
          <w:sz w:val="24"/>
          <w:szCs w:val="24"/>
          <w:lang w:val="fr-FR"/>
        </w:rPr>
        <w:t xml:space="preserve"> progrès </w:t>
      </w:r>
      <w:r>
        <w:rPr>
          <w:rFonts w:ascii="Aptos" w:hAnsi="Aptos"/>
          <w:sz w:val="24"/>
          <w:szCs w:val="24"/>
          <w:lang w:val="fr-FR"/>
        </w:rPr>
        <w:t>accomplis, d</w:t>
      </w:r>
      <w:r w:rsidR="006A57C9" w:rsidRPr="00653BF4">
        <w:rPr>
          <w:rFonts w:ascii="Aptos" w:hAnsi="Aptos"/>
          <w:sz w:val="24"/>
          <w:szCs w:val="24"/>
          <w:lang w:val="fr-FR"/>
        </w:rPr>
        <w:t>eux lacunes distinctes ressortent clairement. Premièrement, la portée collective et les actions prévues au titre des cibles nationales fixées par les Parties ne correspondent pas encore pleinement à la portée et au niveau d’ambition des cibles mondiales du Cadre (message clé 1)</w:t>
      </w:r>
      <w:r w:rsidR="00E34DC9">
        <w:rPr>
          <w:rFonts w:ascii="Aptos" w:hAnsi="Aptos"/>
          <w:sz w:val="24"/>
          <w:szCs w:val="24"/>
          <w:lang w:val="fr-FR"/>
        </w:rPr>
        <w:t> ;</w:t>
      </w:r>
      <w:r w:rsidR="006A57C9" w:rsidRPr="00653BF4">
        <w:rPr>
          <w:rFonts w:ascii="Aptos" w:hAnsi="Aptos"/>
          <w:sz w:val="24"/>
          <w:szCs w:val="24"/>
          <w:lang w:val="fr-FR"/>
        </w:rPr>
        <w:t xml:space="preserve"> tous </w:t>
      </w:r>
      <w:r w:rsidR="006A57C9" w:rsidRPr="00653BF4">
        <w:rPr>
          <w:rFonts w:ascii="Aptos" w:hAnsi="Aptos"/>
          <w:sz w:val="24"/>
          <w:szCs w:val="24"/>
          <w:lang w:val="fr-FR"/>
        </w:rPr>
        <w:lastRenderedPageBreak/>
        <w:t>les éléments des 23</w:t>
      </w:r>
      <w:r w:rsidR="00E6644C">
        <w:rPr>
          <w:rFonts w:ascii="Aptos" w:hAnsi="Aptos"/>
          <w:sz w:val="24"/>
          <w:szCs w:val="24"/>
          <w:lang w:val="fr-FR"/>
        </w:rPr>
        <w:t> </w:t>
      </w:r>
      <w:r w:rsidR="006A57C9" w:rsidRPr="00653BF4">
        <w:rPr>
          <w:rFonts w:ascii="Aptos" w:hAnsi="Aptos"/>
          <w:sz w:val="24"/>
          <w:szCs w:val="24"/>
          <w:lang w:val="fr-FR"/>
        </w:rPr>
        <w:t>cibles ne sont pas pris en compte de manière adéquate et les engagements quantitatifs sont inférieurs à ceux des cibles mondiales.</w:t>
      </w:r>
    </w:p>
    <w:p w14:paraId="4887AAC8" w14:textId="5CFA0A53" w:rsidR="006B6935" w:rsidRPr="00653BF4" w:rsidRDefault="00686BFD" w:rsidP="006B6935">
      <w:pPr>
        <w:pStyle w:val="CBDNormalNoNumber"/>
        <w:spacing w:line="259" w:lineRule="auto"/>
        <w:jc w:val="left"/>
        <w:rPr>
          <w:rFonts w:ascii="Aptos" w:hAnsi="Aptos"/>
          <w:sz w:val="24"/>
          <w:szCs w:val="24"/>
          <w:lang w:val="fr-FR"/>
        </w:rPr>
      </w:pPr>
      <w:r w:rsidRPr="00653BF4">
        <w:rPr>
          <w:rFonts w:ascii="Aptos" w:hAnsi="Aptos"/>
          <w:sz w:val="24"/>
          <w:szCs w:val="24"/>
          <w:lang w:val="fr-FR"/>
        </w:rPr>
        <w:t>Deuxièmement, la mise en œuvre des actions visant à atteindre les cibles à l’horizon 2030 ne progresse pas suffisamment à l’échelle du Cadre. En particulier, les progrès sont inégaux d’une cible à l’autre, les cibles portant sur les facteurs de perte de biodiversité accusant un retard particulièrement marqué</w:t>
      </w:r>
      <w:r w:rsidR="00E34DC9">
        <w:rPr>
          <w:rFonts w:ascii="Aptos" w:hAnsi="Aptos"/>
          <w:sz w:val="24"/>
          <w:szCs w:val="24"/>
          <w:lang w:val="fr-FR"/>
        </w:rPr>
        <w:t> ;</w:t>
      </w:r>
      <w:r w:rsidRPr="00653BF4">
        <w:rPr>
          <w:rFonts w:ascii="Aptos" w:hAnsi="Aptos"/>
          <w:sz w:val="24"/>
          <w:szCs w:val="24"/>
          <w:lang w:val="fr-FR"/>
        </w:rPr>
        <w:t xml:space="preserve"> ils sont inégaux d’un écosystème à l’autre, les écosystèmes marins, côtiers et d’eaux intérieures présentant des lacunes constantes en matière de prise en compte, et ils sont faibles en ce qui concerne les questions transversales et les considérations relatives à la mise en œuvre du Cadre (ces considérations sont développées dans la section</w:t>
      </w:r>
      <w:r w:rsidR="00C02D44">
        <w:rPr>
          <w:rFonts w:ascii="Aptos" w:hAnsi="Aptos"/>
          <w:sz w:val="24"/>
          <w:szCs w:val="24"/>
          <w:lang w:val="fr-FR"/>
        </w:rPr>
        <w:t> </w:t>
      </w:r>
      <w:r w:rsidRPr="00653BF4">
        <w:rPr>
          <w:rFonts w:ascii="Aptos" w:hAnsi="Aptos"/>
          <w:sz w:val="24"/>
          <w:szCs w:val="24"/>
          <w:lang w:val="fr-FR"/>
        </w:rPr>
        <w:t>C du Cadre).</w:t>
      </w:r>
    </w:p>
    <w:p w14:paraId="0BE0916A" w14:textId="713F1F1D" w:rsidR="008C5D20" w:rsidRPr="00653BF4" w:rsidRDefault="00B52DCC" w:rsidP="00821DCD">
      <w:pPr>
        <w:pStyle w:val="CBDNormalNoNumber"/>
        <w:spacing w:line="259" w:lineRule="auto"/>
        <w:jc w:val="left"/>
        <w:rPr>
          <w:rFonts w:ascii="Aptos" w:hAnsi="Aptos"/>
          <w:sz w:val="24"/>
          <w:szCs w:val="24"/>
          <w:lang w:val="fr-FR"/>
        </w:rPr>
      </w:pPr>
      <w:r w:rsidRPr="00653BF4">
        <w:rPr>
          <w:rFonts w:ascii="Aptos" w:hAnsi="Aptos"/>
          <w:sz w:val="24"/>
          <w:szCs w:val="24"/>
          <w:lang w:val="fr-FR"/>
        </w:rPr>
        <w:t>En ce qui concerne les</w:t>
      </w:r>
      <w:r w:rsidR="00822664" w:rsidRPr="00653BF4">
        <w:rPr>
          <w:rFonts w:ascii="Aptos" w:hAnsi="Aptos"/>
          <w:sz w:val="24"/>
          <w:szCs w:val="24"/>
          <w:lang w:val="fr-FR"/>
        </w:rPr>
        <w:t xml:space="preserve"> obstacles aux progrès, les Parties ont </w:t>
      </w:r>
      <w:r w:rsidR="00DE6EDA" w:rsidRPr="00653BF4">
        <w:rPr>
          <w:rFonts w:ascii="Aptos" w:hAnsi="Aptos"/>
          <w:sz w:val="24"/>
          <w:szCs w:val="24"/>
          <w:lang w:val="fr-FR"/>
        </w:rPr>
        <w:t>fait état de</w:t>
      </w:r>
      <w:r w:rsidR="00822664" w:rsidRPr="00653BF4">
        <w:rPr>
          <w:rFonts w:ascii="Aptos" w:hAnsi="Aptos"/>
          <w:sz w:val="24"/>
          <w:szCs w:val="24"/>
          <w:lang w:val="fr-FR"/>
        </w:rPr>
        <w:t xml:space="preserve"> lacunes dans l</w:t>
      </w:r>
      <w:r w:rsidR="002A58C8" w:rsidRPr="00653BF4">
        <w:rPr>
          <w:rFonts w:ascii="Aptos" w:hAnsi="Aptos"/>
          <w:sz w:val="24"/>
          <w:szCs w:val="24"/>
          <w:lang w:val="fr-FR"/>
        </w:rPr>
        <w:t>’</w:t>
      </w:r>
      <w:r w:rsidR="00822664" w:rsidRPr="00653BF4">
        <w:rPr>
          <w:rFonts w:ascii="Aptos" w:hAnsi="Aptos"/>
          <w:sz w:val="24"/>
          <w:szCs w:val="24"/>
          <w:lang w:val="fr-FR"/>
        </w:rPr>
        <w:t xml:space="preserve">ampleur et la </w:t>
      </w:r>
      <w:r w:rsidR="00DE6EDA" w:rsidRPr="00653BF4">
        <w:rPr>
          <w:rFonts w:ascii="Aptos" w:hAnsi="Aptos"/>
          <w:sz w:val="24"/>
          <w:szCs w:val="24"/>
          <w:lang w:val="fr-FR"/>
        </w:rPr>
        <w:t>fourniture</w:t>
      </w:r>
      <w:r w:rsidR="00822664" w:rsidRPr="00653BF4">
        <w:rPr>
          <w:rFonts w:ascii="Aptos" w:hAnsi="Aptos"/>
          <w:sz w:val="24"/>
          <w:szCs w:val="24"/>
          <w:lang w:val="fr-FR"/>
        </w:rPr>
        <w:t xml:space="preserve"> en temps </w:t>
      </w:r>
      <w:r w:rsidR="00DE6EDA" w:rsidRPr="00653BF4">
        <w:rPr>
          <w:rFonts w:ascii="Aptos" w:hAnsi="Aptos"/>
          <w:sz w:val="24"/>
          <w:szCs w:val="24"/>
          <w:lang w:val="fr-FR"/>
        </w:rPr>
        <w:t>voulu</w:t>
      </w:r>
      <w:r w:rsidR="00822664" w:rsidRPr="00653BF4">
        <w:rPr>
          <w:rFonts w:ascii="Aptos" w:hAnsi="Aptos"/>
          <w:sz w:val="24"/>
          <w:szCs w:val="24"/>
          <w:lang w:val="fr-FR"/>
        </w:rPr>
        <w:t xml:space="preserve"> des moyens de mise en œuvre du Cadre, notamment </w:t>
      </w:r>
      <w:r w:rsidR="00933894" w:rsidRPr="00653BF4">
        <w:rPr>
          <w:rFonts w:ascii="Aptos" w:hAnsi="Aptos"/>
          <w:sz w:val="24"/>
          <w:szCs w:val="24"/>
          <w:lang w:val="fr-FR"/>
        </w:rPr>
        <w:t>les</w:t>
      </w:r>
      <w:r w:rsidR="00822664" w:rsidRPr="00653BF4">
        <w:rPr>
          <w:rFonts w:ascii="Aptos" w:hAnsi="Aptos"/>
          <w:sz w:val="24"/>
          <w:szCs w:val="24"/>
          <w:lang w:val="fr-FR"/>
        </w:rPr>
        <w:t xml:space="preserve"> ressources financières, </w:t>
      </w:r>
      <w:r w:rsidR="00933894" w:rsidRPr="00653BF4">
        <w:rPr>
          <w:rFonts w:ascii="Aptos" w:hAnsi="Aptos"/>
          <w:sz w:val="24"/>
          <w:szCs w:val="24"/>
          <w:lang w:val="fr-FR"/>
        </w:rPr>
        <w:t xml:space="preserve">la </w:t>
      </w:r>
      <w:r w:rsidR="00822664" w:rsidRPr="00653BF4">
        <w:rPr>
          <w:rFonts w:ascii="Aptos" w:hAnsi="Aptos"/>
          <w:sz w:val="24"/>
          <w:szCs w:val="24"/>
          <w:lang w:val="fr-FR"/>
        </w:rPr>
        <w:t xml:space="preserve">création et </w:t>
      </w:r>
      <w:r w:rsidR="00933894" w:rsidRPr="00653BF4">
        <w:rPr>
          <w:rFonts w:ascii="Aptos" w:hAnsi="Aptos"/>
          <w:sz w:val="24"/>
          <w:szCs w:val="24"/>
          <w:lang w:val="fr-FR"/>
        </w:rPr>
        <w:t xml:space="preserve">le </w:t>
      </w:r>
      <w:r w:rsidR="00822664" w:rsidRPr="00653BF4">
        <w:rPr>
          <w:rFonts w:ascii="Aptos" w:hAnsi="Aptos"/>
          <w:sz w:val="24"/>
          <w:szCs w:val="24"/>
          <w:lang w:val="fr-FR"/>
        </w:rPr>
        <w:t xml:space="preserve">renforcement des capacités, </w:t>
      </w:r>
      <w:r w:rsidR="00933894" w:rsidRPr="00653BF4">
        <w:rPr>
          <w:rFonts w:ascii="Aptos" w:hAnsi="Aptos"/>
          <w:sz w:val="24"/>
          <w:szCs w:val="24"/>
          <w:lang w:val="fr-FR"/>
        </w:rPr>
        <w:t xml:space="preserve">la </w:t>
      </w:r>
      <w:r w:rsidR="00822664" w:rsidRPr="00653BF4">
        <w:rPr>
          <w:rFonts w:ascii="Aptos" w:hAnsi="Aptos"/>
          <w:sz w:val="24"/>
          <w:szCs w:val="24"/>
          <w:lang w:val="fr-FR"/>
        </w:rPr>
        <w:t xml:space="preserve">coopération technique et scientifique, </w:t>
      </w:r>
      <w:r w:rsidR="00933894" w:rsidRPr="00653BF4">
        <w:rPr>
          <w:rFonts w:ascii="Aptos" w:hAnsi="Aptos"/>
          <w:sz w:val="24"/>
          <w:szCs w:val="24"/>
          <w:lang w:val="fr-FR"/>
        </w:rPr>
        <w:t>l</w:t>
      </w:r>
      <w:r w:rsidR="002A58C8" w:rsidRPr="00653BF4">
        <w:rPr>
          <w:rFonts w:ascii="Aptos" w:hAnsi="Aptos"/>
          <w:sz w:val="24"/>
          <w:szCs w:val="24"/>
          <w:lang w:val="fr-FR"/>
        </w:rPr>
        <w:t>’</w:t>
      </w:r>
      <w:r w:rsidR="00822664" w:rsidRPr="00653BF4">
        <w:rPr>
          <w:rFonts w:ascii="Aptos" w:hAnsi="Aptos"/>
          <w:sz w:val="24"/>
          <w:szCs w:val="24"/>
          <w:lang w:val="fr-FR"/>
        </w:rPr>
        <w:t xml:space="preserve">accès aux technologies et </w:t>
      </w:r>
      <w:r w:rsidR="008F635F" w:rsidRPr="00653BF4">
        <w:rPr>
          <w:rFonts w:ascii="Aptos" w:hAnsi="Aptos"/>
          <w:sz w:val="24"/>
          <w:szCs w:val="24"/>
          <w:lang w:val="fr-FR"/>
        </w:rPr>
        <w:t xml:space="preserve">le </w:t>
      </w:r>
      <w:r w:rsidR="00822664" w:rsidRPr="00653BF4">
        <w:rPr>
          <w:rFonts w:ascii="Aptos" w:hAnsi="Aptos"/>
          <w:sz w:val="24"/>
          <w:szCs w:val="24"/>
          <w:lang w:val="fr-FR"/>
        </w:rPr>
        <w:t>transfert</w:t>
      </w:r>
      <w:r w:rsidR="008F635F" w:rsidRPr="00653BF4">
        <w:rPr>
          <w:rFonts w:ascii="Aptos" w:hAnsi="Aptos"/>
          <w:sz w:val="24"/>
          <w:szCs w:val="24"/>
          <w:lang w:val="fr-FR"/>
        </w:rPr>
        <w:t xml:space="preserve"> de celles-ci</w:t>
      </w:r>
      <w:r w:rsidR="00822664" w:rsidRPr="00653BF4">
        <w:rPr>
          <w:rFonts w:ascii="Aptos" w:hAnsi="Aptos"/>
          <w:sz w:val="24"/>
          <w:szCs w:val="24"/>
          <w:lang w:val="fr-FR"/>
        </w:rPr>
        <w:t xml:space="preserve">, ainsi que </w:t>
      </w:r>
      <w:r w:rsidR="00933894" w:rsidRPr="00653BF4">
        <w:rPr>
          <w:rFonts w:ascii="Aptos" w:hAnsi="Aptos"/>
          <w:sz w:val="24"/>
          <w:szCs w:val="24"/>
          <w:lang w:val="fr-FR"/>
        </w:rPr>
        <w:t xml:space="preserve">le </w:t>
      </w:r>
      <w:r w:rsidR="00822664" w:rsidRPr="00653BF4">
        <w:rPr>
          <w:rFonts w:ascii="Aptos" w:hAnsi="Aptos"/>
          <w:sz w:val="24"/>
          <w:szCs w:val="24"/>
          <w:lang w:val="fr-FR"/>
        </w:rPr>
        <w:t xml:space="preserve">partage des connaissances. </w:t>
      </w:r>
      <w:r w:rsidR="00C673E0" w:rsidRPr="00653BF4">
        <w:rPr>
          <w:rFonts w:ascii="Aptos" w:hAnsi="Aptos"/>
          <w:sz w:val="24"/>
          <w:szCs w:val="24"/>
          <w:lang w:val="fr-FR"/>
        </w:rPr>
        <w:t xml:space="preserve">Les </w:t>
      </w:r>
      <w:r w:rsidR="00822664" w:rsidRPr="00653BF4">
        <w:rPr>
          <w:rFonts w:ascii="Aptos" w:hAnsi="Aptos"/>
          <w:sz w:val="24"/>
          <w:szCs w:val="24"/>
          <w:lang w:val="fr-FR"/>
        </w:rPr>
        <w:t xml:space="preserve">Parties ont </w:t>
      </w:r>
      <w:r w:rsidR="00331B66" w:rsidRPr="00653BF4">
        <w:rPr>
          <w:rFonts w:ascii="Aptos" w:hAnsi="Aptos"/>
          <w:sz w:val="24"/>
          <w:szCs w:val="24"/>
          <w:lang w:val="fr-FR"/>
        </w:rPr>
        <w:t>é</w:t>
      </w:r>
      <w:r w:rsidR="00C673E0" w:rsidRPr="00653BF4">
        <w:rPr>
          <w:rFonts w:ascii="Aptos" w:hAnsi="Aptos"/>
          <w:sz w:val="24"/>
          <w:szCs w:val="24"/>
          <w:lang w:val="fr-FR"/>
        </w:rPr>
        <w:t xml:space="preserve">galement souvent </w:t>
      </w:r>
      <w:r w:rsidR="00822664" w:rsidRPr="00653BF4">
        <w:rPr>
          <w:rFonts w:ascii="Aptos" w:hAnsi="Aptos"/>
          <w:sz w:val="24"/>
          <w:szCs w:val="24"/>
          <w:lang w:val="fr-FR"/>
        </w:rPr>
        <w:t xml:space="preserve">signalé des obstacles </w:t>
      </w:r>
      <w:r w:rsidR="00331B66" w:rsidRPr="00653BF4">
        <w:rPr>
          <w:rFonts w:ascii="Aptos" w:hAnsi="Aptos"/>
          <w:sz w:val="24"/>
          <w:szCs w:val="24"/>
          <w:lang w:val="fr-FR"/>
        </w:rPr>
        <w:t>liés à</w:t>
      </w:r>
      <w:r w:rsidR="00BC779D" w:rsidRPr="00653BF4">
        <w:rPr>
          <w:rFonts w:ascii="Aptos" w:hAnsi="Aptos"/>
          <w:sz w:val="24"/>
          <w:szCs w:val="24"/>
          <w:lang w:val="fr-FR"/>
        </w:rPr>
        <w:t xml:space="preserve"> </w:t>
      </w:r>
      <w:r w:rsidR="00822664" w:rsidRPr="00653BF4">
        <w:rPr>
          <w:rFonts w:ascii="Aptos" w:hAnsi="Aptos"/>
          <w:sz w:val="24"/>
          <w:szCs w:val="24"/>
          <w:lang w:val="fr-FR"/>
        </w:rPr>
        <w:t xml:space="preserve">la cohérence des politiques </w:t>
      </w:r>
      <w:r w:rsidR="00331B66" w:rsidRPr="00653BF4">
        <w:rPr>
          <w:rFonts w:ascii="Aptos" w:hAnsi="Aptos"/>
          <w:sz w:val="24"/>
          <w:szCs w:val="24"/>
          <w:lang w:val="fr-FR"/>
        </w:rPr>
        <w:t xml:space="preserve">et à la coordination </w:t>
      </w:r>
      <w:r w:rsidR="00822664" w:rsidRPr="00653BF4">
        <w:rPr>
          <w:rFonts w:ascii="Aptos" w:hAnsi="Aptos"/>
          <w:sz w:val="24"/>
          <w:szCs w:val="24"/>
          <w:lang w:val="fr-FR"/>
        </w:rPr>
        <w:t xml:space="preserve">entre </w:t>
      </w:r>
      <w:r w:rsidR="00331B66" w:rsidRPr="00653BF4">
        <w:rPr>
          <w:rFonts w:ascii="Aptos" w:hAnsi="Aptos"/>
          <w:sz w:val="24"/>
          <w:szCs w:val="24"/>
          <w:lang w:val="fr-FR"/>
        </w:rPr>
        <w:t xml:space="preserve">les </w:t>
      </w:r>
      <w:r w:rsidR="00822664" w:rsidRPr="00653BF4">
        <w:rPr>
          <w:rFonts w:ascii="Aptos" w:hAnsi="Aptos"/>
          <w:sz w:val="24"/>
          <w:szCs w:val="24"/>
          <w:lang w:val="fr-FR"/>
        </w:rPr>
        <w:t xml:space="preserve">secteurs et </w:t>
      </w:r>
      <w:r w:rsidR="00B73158" w:rsidRPr="00653BF4">
        <w:rPr>
          <w:rFonts w:ascii="Aptos" w:hAnsi="Aptos"/>
          <w:sz w:val="24"/>
          <w:szCs w:val="24"/>
          <w:lang w:val="fr-FR"/>
        </w:rPr>
        <w:t xml:space="preserve">les </w:t>
      </w:r>
      <w:r w:rsidR="00822664" w:rsidRPr="00653BF4">
        <w:rPr>
          <w:rFonts w:ascii="Aptos" w:hAnsi="Aptos"/>
          <w:sz w:val="24"/>
          <w:szCs w:val="24"/>
          <w:lang w:val="fr-FR"/>
        </w:rPr>
        <w:t>différents niveaux de gouvernement</w:t>
      </w:r>
      <w:r w:rsidR="00E34DC9">
        <w:rPr>
          <w:rFonts w:ascii="Aptos" w:hAnsi="Aptos"/>
          <w:sz w:val="24"/>
          <w:szCs w:val="24"/>
          <w:lang w:val="fr-FR"/>
        </w:rPr>
        <w:t> ;</w:t>
      </w:r>
      <w:r w:rsidR="00822664" w:rsidRPr="00653BF4">
        <w:rPr>
          <w:rFonts w:ascii="Aptos" w:hAnsi="Aptos"/>
          <w:sz w:val="24"/>
          <w:szCs w:val="24"/>
          <w:lang w:val="fr-FR"/>
        </w:rPr>
        <w:t xml:space="preserve"> </w:t>
      </w:r>
      <w:r w:rsidR="005563FB" w:rsidRPr="00653BF4">
        <w:rPr>
          <w:rFonts w:ascii="Aptos" w:hAnsi="Aptos"/>
          <w:sz w:val="24"/>
          <w:szCs w:val="24"/>
          <w:lang w:val="fr-FR"/>
        </w:rPr>
        <w:t>à la participation et à la mobilisation des titulaires de droits et des acteurs autres que les gouvernements nationaux, y compris les secteurs et les acteurs ayant des incidences importantes sur la biodiversité</w:t>
      </w:r>
      <w:r w:rsidR="00E34DC9">
        <w:rPr>
          <w:rFonts w:ascii="Aptos" w:hAnsi="Aptos"/>
          <w:sz w:val="24"/>
          <w:szCs w:val="24"/>
          <w:lang w:val="fr-FR"/>
        </w:rPr>
        <w:t> ;</w:t>
      </w:r>
      <w:r w:rsidR="005563FB" w:rsidRPr="00653BF4">
        <w:rPr>
          <w:rFonts w:ascii="Aptos" w:hAnsi="Aptos"/>
          <w:sz w:val="24"/>
          <w:szCs w:val="24"/>
          <w:lang w:val="fr-FR"/>
        </w:rPr>
        <w:t xml:space="preserve"> ainsi qu’aux lacunes en matière de données et de connaissances. Ces obstacles peuvent se traduire par des capacités inégales et entraîner des contraintes techniques et financières particulières pour l’ensemble des Parties, mais surtout pour les Parties qui sont des pays en développement. Il est probable que ces contraintes soient encore plus pressantes pour les pays les moins avancés et les petits États insulaires en développement</w:t>
      </w:r>
      <w:r w:rsidR="00E34DC9">
        <w:rPr>
          <w:rFonts w:ascii="Aptos" w:hAnsi="Aptos"/>
          <w:sz w:val="24"/>
          <w:szCs w:val="24"/>
          <w:lang w:val="fr-FR"/>
        </w:rPr>
        <w:t> ;</w:t>
      </w:r>
      <w:r w:rsidR="005563FB" w:rsidRPr="00653BF4">
        <w:rPr>
          <w:rFonts w:ascii="Aptos" w:hAnsi="Aptos"/>
          <w:sz w:val="24"/>
          <w:szCs w:val="24"/>
          <w:lang w:val="fr-FR"/>
        </w:rPr>
        <w:t xml:space="preserve"> une plus faible proportion de Parties qui sont de petits États insulaires en développement a soumis ses rapports nationaux à temps pour qu’ils soient pris en compte dans le rapport mondial, de sorte que leur expérience est sous-représentée dans l’analyse.</w:t>
      </w:r>
    </w:p>
    <w:p w14:paraId="19C8D45D" w14:textId="77777777" w:rsidR="006B6935" w:rsidRPr="00653BF4" w:rsidRDefault="006B6935" w:rsidP="00000512">
      <w:pPr>
        <w:pStyle w:val="CBDNormalNoNumber"/>
        <w:spacing w:line="259" w:lineRule="auto"/>
        <w:jc w:val="left"/>
        <w:rPr>
          <w:rFonts w:ascii="Aptos" w:hAnsi="Aptos"/>
          <w:sz w:val="24"/>
          <w:szCs w:val="24"/>
          <w:lang w:val="fr-FR"/>
        </w:rPr>
      </w:pPr>
    </w:p>
    <w:p w14:paraId="0629442C" w14:textId="1D8097E0" w:rsidR="00230AA3" w:rsidRPr="00653BF4" w:rsidRDefault="00230AA3" w:rsidP="00761560">
      <w:pPr>
        <w:pStyle w:val="Caption"/>
        <w:rPr>
          <w:bCs/>
          <w:iCs w:val="0"/>
          <w:lang w:val="fr-FR"/>
        </w:rPr>
      </w:pPr>
    </w:p>
    <w:p w14:paraId="5925BBE2" w14:textId="783B7947" w:rsidR="00754361" w:rsidRPr="00653BF4" w:rsidRDefault="00F96471" w:rsidP="00F96471">
      <w:pPr>
        <w:pStyle w:val="Caption"/>
        <w:keepNext/>
        <w:rPr>
          <w:i w:val="0"/>
          <w:sz w:val="20"/>
          <w:szCs w:val="20"/>
          <w:lang w:val="fr-FR"/>
        </w:rPr>
      </w:pPr>
      <w:bookmarkStart w:id="8" w:name="_Ref238130593"/>
      <w:r w:rsidRPr="00653BF4">
        <w:rPr>
          <w:i w:val="0"/>
          <w:sz w:val="20"/>
          <w:szCs w:val="20"/>
          <w:lang w:val="fr-FR"/>
        </w:rPr>
        <w:lastRenderedPageBreak/>
        <w:t xml:space="preserve">Figure </w:t>
      </w:r>
      <w:r w:rsidR="00883DE2" w:rsidRPr="00653BF4">
        <w:rPr>
          <w:i w:val="0"/>
          <w:sz w:val="20"/>
          <w:szCs w:val="20"/>
          <w:lang w:val="fr-FR"/>
        </w:rPr>
        <w:t>1</w:t>
      </w:r>
      <w:bookmarkEnd w:id="8"/>
    </w:p>
    <w:p w14:paraId="1DC94AA1" w14:textId="5AFF2C9A" w:rsidR="00F96471" w:rsidRDefault="00FE3D1C" w:rsidP="00F96471">
      <w:pPr>
        <w:pStyle w:val="Caption"/>
        <w:keepNext/>
        <w:rPr>
          <w:b/>
          <w:i w:val="0"/>
          <w:sz w:val="20"/>
          <w:szCs w:val="20"/>
          <w:lang w:val="fr-FR"/>
        </w:rPr>
      </w:pPr>
      <w:r w:rsidRPr="00653BF4">
        <w:rPr>
          <w:b/>
          <w:i w:val="0"/>
          <w:sz w:val="20"/>
          <w:szCs w:val="20"/>
          <w:lang w:val="fr-FR"/>
        </w:rPr>
        <w:t>Tableau de bord</w:t>
      </w:r>
      <w:r w:rsidR="000121E2" w:rsidRPr="00653BF4">
        <w:rPr>
          <w:b/>
          <w:i w:val="0"/>
          <w:sz w:val="20"/>
          <w:szCs w:val="20"/>
          <w:lang w:val="fr-FR"/>
        </w:rPr>
        <w:t xml:space="preserve"> des progrès collectifs accomplis pour chaque cible du Cadre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089"/>
      </w:tblGrid>
      <w:tr w:rsidR="00441C78" w14:paraId="310C98EA" w14:textId="77777777" w:rsidTr="00170C99">
        <w:tc>
          <w:tcPr>
            <w:tcW w:w="3261" w:type="dxa"/>
          </w:tcPr>
          <w:p w14:paraId="7B8CBF3F" w14:textId="092444C8" w:rsidR="00441C78" w:rsidRDefault="00441C78" w:rsidP="00441C78">
            <w:pPr>
              <w:jc w:val="center"/>
              <w:rPr>
                <w:lang w:val="fr-FR" w:eastAsia="ja-JP"/>
              </w:rPr>
            </w:pPr>
            <w:r w:rsidRPr="00653BF4">
              <w:rPr>
                <w:noProof/>
                <w:lang w:val="fr-FR"/>
              </w:rPr>
              <w:drawing>
                <wp:inline distT="0" distB="0" distL="0" distR="0" wp14:anchorId="4F6F6C0C" wp14:editId="0090D577">
                  <wp:extent cx="1653712" cy="4537817"/>
                  <wp:effectExtent l="0" t="0" r="0" b="0"/>
                  <wp:docPr id="4" name="Picture 3">
                    <a:extLst xmlns:a="http://schemas.openxmlformats.org/drawingml/2006/main">
                      <a:ext uri="{FF2B5EF4-FFF2-40B4-BE49-F238E27FC236}">
                        <a16:creationId xmlns:a16="http://schemas.microsoft.com/office/drawing/2014/main" id="{DE399244-4A07-521A-9125-F4F7567E02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E399244-4A07-521A-9125-F4F7567E027B}"/>
                              </a:ext>
                            </a:extLst>
                          </pic:cNvPr>
                          <pic:cNvPicPr>
                            <a:picLocks noChangeAspect="1"/>
                          </pic:cNvPicPr>
                        </pic:nvPicPr>
                        <pic:blipFill>
                          <a:blip r:embed="rId16"/>
                          <a:stretch>
                            <a:fillRect/>
                          </a:stretch>
                        </pic:blipFill>
                        <pic:spPr>
                          <a:xfrm>
                            <a:off x="0" y="0"/>
                            <a:ext cx="1653712" cy="4537817"/>
                          </a:xfrm>
                          <a:prstGeom prst="rect">
                            <a:avLst/>
                          </a:prstGeom>
                        </pic:spPr>
                      </pic:pic>
                    </a:graphicData>
                  </a:graphic>
                </wp:inline>
              </w:drawing>
            </w:r>
          </w:p>
        </w:tc>
        <w:tc>
          <w:tcPr>
            <w:tcW w:w="6089" w:type="dxa"/>
          </w:tcPr>
          <w:tbl>
            <w:tblPr>
              <w:tblStyle w:val="TableGrid"/>
              <w:tblW w:w="0" w:type="auto"/>
              <w:tblLook w:val="04A0" w:firstRow="1" w:lastRow="0" w:firstColumn="1" w:lastColumn="0" w:noHBand="0" w:noVBand="1"/>
            </w:tblPr>
            <w:tblGrid>
              <w:gridCol w:w="1574"/>
              <w:gridCol w:w="1532"/>
            </w:tblGrid>
            <w:tr w:rsidR="00441C78" w:rsidRPr="00170C99" w14:paraId="7957C3E3" w14:textId="77777777" w:rsidTr="00170C99">
              <w:tc>
                <w:tcPr>
                  <w:tcW w:w="0" w:type="auto"/>
                  <w:gridSpan w:val="2"/>
                </w:tcPr>
                <w:p w14:paraId="68860AC3" w14:textId="4C3427DB" w:rsidR="00441C78" w:rsidRPr="00170C99" w:rsidRDefault="006D24FA" w:rsidP="006D24FA">
                  <w:pPr>
                    <w:rPr>
                      <w:rFonts w:ascii="Aptos" w:hAnsi="Aptos"/>
                    </w:rPr>
                  </w:pPr>
                  <w:r w:rsidRPr="00170C99">
                    <w:rPr>
                      <w:rFonts w:ascii="Aptos" w:hAnsi="Aptos"/>
                    </w:rPr>
                    <w:t>Figure 1</w:t>
                  </w:r>
                </w:p>
              </w:tc>
            </w:tr>
            <w:tr w:rsidR="00441C78" w:rsidRPr="00170C99" w14:paraId="6AFC2C07" w14:textId="77777777" w:rsidTr="00170C99">
              <w:tc>
                <w:tcPr>
                  <w:tcW w:w="0" w:type="auto"/>
                </w:tcPr>
                <w:p w14:paraId="3702CEA1" w14:textId="378BFD5C" w:rsidR="00441C78" w:rsidRPr="00170C99" w:rsidRDefault="00441C78" w:rsidP="000D1C94">
                  <w:pPr>
                    <w:rPr>
                      <w:rFonts w:ascii="Aptos" w:hAnsi="Aptos"/>
                    </w:rPr>
                  </w:pPr>
                  <w:r w:rsidRPr="00170C99">
                    <w:rPr>
                      <w:rFonts w:ascii="Aptos" w:hAnsi="Aptos"/>
                    </w:rPr>
                    <w:t>English</w:t>
                  </w:r>
                </w:p>
              </w:tc>
              <w:tc>
                <w:tcPr>
                  <w:tcW w:w="0" w:type="auto"/>
                </w:tcPr>
                <w:p w14:paraId="01BDD760" w14:textId="219BD16A" w:rsidR="00441C78" w:rsidRPr="00170C99" w:rsidRDefault="00AD36A0" w:rsidP="000D1C94">
                  <w:pPr>
                    <w:rPr>
                      <w:rFonts w:ascii="Aptos" w:hAnsi="Aptos"/>
                    </w:rPr>
                  </w:pPr>
                  <w:r>
                    <w:rPr>
                      <w:rFonts w:ascii="Aptos" w:hAnsi="Aptos"/>
                    </w:rPr>
                    <w:t>Français</w:t>
                  </w:r>
                </w:p>
              </w:tc>
            </w:tr>
            <w:tr w:rsidR="00441C78" w:rsidRPr="00170C99" w14:paraId="721EBC41" w14:textId="77777777" w:rsidTr="00170C99">
              <w:tc>
                <w:tcPr>
                  <w:tcW w:w="0" w:type="auto"/>
                </w:tcPr>
                <w:p w14:paraId="6732048D" w14:textId="77777777" w:rsidR="00441C78" w:rsidRPr="00170C99" w:rsidRDefault="00441C78" w:rsidP="00441C78">
                  <w:pPr>
                    <w:rPr>
                      <w:rFonts w:ascii="Aptos" w:hAnsi="Aptos"/>
                    </w:rPr>
                  </w:pPr>
                  <w:r w:rsidRPr="00170C99">
                    <w:rPr>
                      <w:rFonts w:ascii="Aptos" w:hAnsi="Aptos"/>
                    </w:rPr>
                    <w:t>Target</w:t>
                  </w:r>
                </w:p>
              </w:tc>
              <w:tc>
                <w:tcPr>
                  <w:tcW w:w="0" w:type="auto"/>
                </w:tcPr>
                <w:p w14:paraId="04E5774F" w14:textId="77777777" w:rsidR="00441C78" w:rsidRPr="00170C99" w:rsidRDefault="00441C78" w:rsidP="00441C78">
                  <w:pPr>
                    <w:rPr>
                      <w:rFonts w:ascii="Aptos" w:hAnsi="Aptos"/>
                      <w:lang w:val="fr-FR"/>
                    </w:rPr>
                  </w:pPr>
                  <w:r w:rsidRPr="00170C99">
                    <w:rPr>
                      <w:rFonts w:ascii="Aptos" w:hAnsi="Aptos"/>
                      <w:lang w:val="fr-FR"/>
                    </w:rPr>
                    <w:t>Cible</w:t>
                  </w:r>
                </w:p>
              </w:tc>
            </w:tr>
            <w:tr w:rsidR="00441C78" w:rsidRPr="00170C99" w14:paraId="3272D539" w14:textId="77777777" w:rsidTr="00170C99">
              <w:tc>
                <w:tcPr>
                  <w:tcW w:w="0" w:type="auto"/>
                </w:tcPr>
                <w:p w14:paraId="20291069" w14:textId="77777777" w:rsidR="00441C78" w:rsidRPr="00170C99" w:rsidRDefault="00441C78" w:rsidP="00441C78">
                  <w:pPr>
                    <w:rPr>
                      <w:rFonts w:ascii="Aptos" w:hAnsi="Aptos"/>
                    </w:rPr>
                  </w:pPr>
                  <w:r w:rsidRPr="00170C99">
                    <w:rPr>
                      <w:rFonts w:ascii="Aptos" w:hAnsi="Aptos"/>
                    </w:rPr>
                    <w:t>Overall score</w:t>
                  </w:r>
                </w:p>
              </w:tc>
              <w:tc>
                <w:tcPr>
                  <w:tcW w:w="0" w:type="auto"/>
                </w:tcPr>
                <w:p w14:paraId="62675D4A" w14:textId="77777777" w:rsidR="00441C78" w:rsidRPr="00170C99" w:rsidRDefault="00441C78" w:rsidP="00441C78">
                  <w:pPr>
                    <w:rPr>
                      <w:rFonts w:ascii="Aptos" w:hAnsi="Aptos"/>
                      <w:lang w:val="fr-FR"/>
                    </w:rPr>
                  </w:pPr>
                  <w:r w:rsidRPr="00170C99">
                    <w:rPr>
                      <w:rFonts w:ascii="Aptos" w:hAnsi="Aptos"/>
                      <w:lang w:val="fr-FR"/>
                    </w:rPr>
                    <w:t>Note globale</w:t>
                  </w:r>
                </w:p>
              </w:tc>
            </w:tr>
            <w:tr w:rsidR="00441C78" w:rsidRPr="00170C99" w14:paraId="6D655EA0" w14:textId="77777777" w:rsidTr="00170C99">
              <w:tc>
                <w:tcPr>
                  <w:tcW w:w="0" w:type="auto"/>
                </w:tcPr>
                <w:p w14:paraId="7A6AB06A" w14:textId="77777777" w:rsidR="00441C78" w:rsidRPr="00170C99" w:rsidRDefault="00441C78" w:rsidP="00441C78">
                  <w:pPr>
                    <w:rPr>
                      <w:rFonts w:ascii="Aptos" w:hAnsi="Aptos"/>
                    </w:rPr>
                  </w:pPr>
                  <w:r w:rsidRPr="00170C99">
                    <w:rPr>
                      <w:rFonts w:ascii="Aptos" w:hAnsi="Aptos"/>
                    </w:rPr>
                    <w:t>Target 1</w:t>
                  </w:r>
                </w:p>
              </w:tc>
              <w:tc>
                <w:tcPr>
                  <w:tcW w:w="0" w:type="auto"/>
                </w:tcPr>
                <w:p w14:paraId="69FEC200" w14:textId="77777777" w:rsidR="00441C78" w:rsidRPr="00170C99" w:rsidRDefault="00441C78" w:rsidP="00441C78">
                  <w:pPr>
                    <w:rPr>
                      <w:rFonts w:ascii="Aptos" w:hAnsi="Aptos"/>
                      <w:lang w:val="fr-FR"/>
                    </w:rPr>
                  </w:pPr>
                  <w:r w:rsidRPr="00170C99">
                    <w:rPr>
                      <w:rFonts w:ascii="Aptos" w:hAnsi="Aptos"/>
                      <w:lang w:val="fr-FR"/>
                    </w:rPr>
                    <w:t>Cible 1</w:t>
                  </w:r>
                </w:p>
              </w:tc>
            </w:tr>
            <w:tr w:rsidR="00441C78" w:rsidRPr="00170C99" w14:paraId="2BCFB3BE" w14:textId="77777777" w:rsidTr="00170C99">
              <w:tc>
                <w:tcPr>
                  <w:tcW w:w="0" w:type="auto"/>
                </w:tcPr>
                <w:p w14:paraId="64EC1E27" w14:textId="77777777" w:rsidR="00441C78" w:rsidRPr="00170C99" w:rsidRDefault="00441C78" w:rsidP="00441C78">
                  <w:pPr>
                    <w:rPr>
                      <w:rFonts w:ascii="Aptos" w:hAnsi="Aptos"/>
                    </w:rPr>
                  </w:pPr>
                  <w:r w:rsidRPr="00170C99">
                    <w:rPr>
                      <w:rFonts w:ascii="Aptos" w:hAnsi="Aptos"/>
                    </w:rPr>
                    <w:t>Target 2</w:t>
                  </w:r>
                </w:p>
              </w:tc>
              <w:tc>
                <w:tcPr>
                  <w:tcW w:w="0" w:type="auto"/>
                </w:tcPr>
                <w:p w14:paraId="514DAC16" w14:textId="77777777" w:rsidR="00441C78" w:rsidRPr="00170C99" w:rsidRDefault="00441C78" w:rsidP="00441C78">
                  <w:pPr>
                    <w:rPr>
                      <w:rFonts w:ascii="Aptos" w:hAnsi="Aptos"/>
                      <w:lang w:val="fr-FR"/>
                    </w:rPr>
                  </w:pPr>
                  <w:r w:rsidRPr="00170C99">
                    <w:rPr>
                      <w:rFonts w:ascii="Aptos" w:hAnsi="Aptos"/>
                      <w:lang w:val="fr-FR"/>
                    </w:rPr>
                    <w:t>Cible 2</w:t>
                  </w:r>
                </w:p>
              </w:tc>
            </w:tr>
            <w:tr w:rsidR="00441C78" w:rsidRPr="00170C99" w14:paraId="5A77AD38" w14:textId="77777777" w:rsidTr="00170C99">
              <w:tc>
                <w:tcPr>
                  <w:tcW w:w="0" w:type="auto"/>
                </w:tcPr>
                <w:p w14:paraId="5A2F3B24" w14:textId="77777777" w:rsidR="00441C78" w:rsidRPr="00170C99" w:rsidRDefault="00441C78" w:rsidP="00441C78">
                  <w:pPr>
                    <w:rPr>
                      <w:rFonts w:ascii="Aptos" w:hAnsi="Aptos"/>
                    </w:rPr>
                  </w:pPr>
                  <w:r w:rsidRPr="00170C99">
                    <w:rPr>
                      <w:rFonts w:ascii="Aptos" w:hAnsi="Aptos"/>
                    </w:rPr>
                    <w:t>Target 3</w:t>
                  </w:r>
                </w:p>
              </w:tc>
              <w:tc>
                <w:tcPr>
                  <w:tcW w:w="0" w:type="auto"/>
                </w:tcPr>
                <w:p w14:paraId="60FCB9FB" w14:textId="77777777" w:rsidR="00441C78" w:rsidRPr="00170C99" w:rsidRDefault="00441C78" w:rsidP="00441C78">
                  <w:pPr>
                    <w:rPr>
                      <w:rFonts w:ascii="Aptos" w:hAnsi="Aptos"/>
                      <w:lang w:val="fr-FR"/>
                    </w:rPr>
                  </w:pPr>
                  <w:r w:rsidRPr="00170C99">
                    <w:rPr>
                      <w:rFonts w:ascii="Aptos" w:hAnsi="Aptos"/>
                      <w:lang w:val="fr-FR"/>
                    </w:rPr>
                    <w:t>Cible 3</w:t>
                  </w:r>
                </w:p>
              </w:tc>
            </w:tr>
            <w:tr w:rsidR="00441C78" w:rsidRPr="00170C99" w14:paraId="5E9F4AF6" w14:textId="77777777" w:rsidTr="00170C99">
              <w:tc>
                <w:tcPr>
                  <w:tcW w:w="0" w:type="auto"/>
                </w:tcPr>
                <w:p w14:paraId="3C3D31C8" w14:textId="77777777" w:rsidR="00441C78" w:rsidRPr="00170C99" w:rsidRDefault="00441C78" w:rsidP="00441C78">
                  <w:pPr>
                    <w:rPr>
                      <w:rFonts w:ascii="Aptos" w:hAnsi="Aptos"/>
                    </w:rPr>
                  </w:pPr>
                  <w:r w:rsidRPr="00170C99">
                    <w:rPr>
                      <w:rFonts w:ascii="Aptos" w:hAnsi="Aptos"/>
                    </w:rPr>
                    <w:t>Target 4</w:t>
                  </w:r>
                </w:p>
              </w:tc>
              <w:tc>
                <w:tcPr>
                  <w:tcW w:w="0" w:type="auto"/>
                </w:tcPr>
                <w:p w14:paraId="12ABA9D7" w14:textId="77777777" w:rsidR="00441C78" w:rsidRPr="00170C99" w:rsidRDefault="00441C78" w:rsidP="00441C78">
                  <w:pPr>
                    <w:rPr>
                      <w:rFonts w:ascii="Aptos" w:hAnsi="Aptos"/>
                      <w:lang w:val="fr-FR"/>
                    </w:rPr>
                  </w:pPr>
                  <w:r w:rsidRPr="00170C99">
                    <w:rPr>
                      <w:rFonts w:ascii="Aptos" w:hAnsi="Aptos"/>
                      <w:lang w:val="fr-FR"/>
                    </w:rPr>
                    <w:t>Cible 4</w:t>
                  </w:r>
                </w:p>
              </w:tc>
            </w:tr>
            <w:tr w:rsidR="00441C78" w:rsidRPr="00170C99" w14:paraId="15B1B74E" w14:textId="77777777" w:rsidTr="00170C99">
              <w:tc>
                <w:tcPr>
                  <w:tcW w:w="0" w:type="auto"/>
                </w:tcPr>
                <w:p w14:paraId="200B9F81" w14:textId="77777777" w:rsidR="00441C78" w:rsidRPr="00170C99" w:rsidRDefault="00441C78" w:rsidP="00441C78">
                  <w:pPr>
                    <w:rPr>
                      <w:rFonts w:ascii="Aptos" w:hAnsi="Aptos"/>
                    </w:rPr>
                  </w:pPr>
                  <w:r w:rsidRPr="00170C99">
                    <w:rPr>
                      <w:rFonts w:ascii="Aptos" w:hAnsi="Aptos"/>
                    </w:rPr>
                    <w:t>Target 5</w:t>
                  </w:r>
                </w:p>
              </w:tc>
              <w:tc>
                <w:tcPr>
                  <w:tcW w:w="0" w:type="auto"/>
                </w:tcPr>
                <w:p w14:paraId="78F2CD0F" w14:textId="77777777" w:rsidR="00441C78" w:rsidRPr="00170C99" w:rsidRDefault="00441C78" w:rsidP="00441C78">
                  <w:pPr>
                    <w:rPr>
                      <w:rFonts w:ascii="Aptos" w:hAnsi="Aptos"/>
                      <w:lang w:val="fr-FR"/>
                    </w:rPr>
                  </w:pPr>
                  <w:r w:rsidRPr="00170C99">
                    <w:rPr>
                      <w:rFonts w:ascii="Aptos" w:hAnsi="Aptos"/>
                      <w:lang w:val="fr-FR"/>
                    </w:rPr>
                    <w:t>Cible 5</w:t>
                  </w:r>
                </w:p>
              </w:tc>
            </w:tr>
            <w:tr w:rsidR="00441C78" w:rsidRPr="00170C99" w14:paraId="5376151A" w14:textId="77777777" w:rsidTr="00170C99">
              <w:tc>
                <w:tcPr>
                  <w:tcW w:w="0" w:type="auto"/>
                </w:tcPr>
                <w:p w14:paraId="5DD1F2BE" w14:textId="77777777" w:rsidR="00441C78" w:rsidRPr="00170C99" w:rsidRDefault="00441C78" w:rsidP="00441C78">
                  <w:pPr>
                    <w:rPr>
                      <w:rFonts w:ascii="Aptos" w:hAnsi="Aptos"/>
                    </w:rPr>
                  </w:pPr>
                  <w:r w:rsidRPr="00170C99">
                    <w:rPr>
                      <w:rFonts w:ascii="Aptos" w:hAnsi="Aptos"/>
                    </w:rPr>
                    <w:t>Target 6</w:t>
                  </w:r>
                </w:p>
              </w:tc>
              <w:tc>
                <w:tcPr>
                  <w:tcW w:w="0" w:type="auto"/>
                </w:tcPr>
                <w:p w14:paraId="5A5A40D5" w14:textId="77777777" w:rsidR="00441C78" w:rsidRPr="00170C99" w:rsidRDefault="00441C78" w:rsidP="00441C78">
                  <w:pPr>
                    <w:rPr>
                      <w:rFonts w:ascii="Aptos" w:hAnsi="Aptos"/>
                      <w:lang w:val="fr-FR"/>
                    </w:rPr>
                  </w:pPr>
                  <w:r w:rsidRPr="00170C99">
                    <w:rPr>
                      <w:rFonts w:ascii="Aptos" w:hAnsi="Aptos"/>
                      <w:lang w:val="fr-FR"/>
                    </w:rPr>
                    <w:t>Cible 6</w:t>
                  </w:r>
                </w:p>
              </w:tc>
            </w:tr>
            <w:tr w:rsidR="00441C78" w:rsidRPr="00170C99" w14:paraId="53E980C1" w14:textId="77777777" w:rsidTr="00170C99">
              <w:tc>
                <w:tcPr>
                  <w:tcW w:w="0" w:type="auto"/>
                </w:tcPr>
                <w:p w14:paraId="74146B98" w14:textId="77777777" w:rsidR="00441C78" w:rsidRPr="00170C99" w:rsidRDefault="00441C78" w:rsidP="00441C78">
                  <w:pPr>
                    <w:rPr>
                      <w:rFonts w:ascii="Aptos" w:hAnsi="Aptos"/>
                    </w:rPr>
                  </w:pPr>
                  <w:r w:rsidRPr="00170C99">
                    <w:rPr>
                      <w:rFonts w:ascii="Aptos" w:hAnsi="Aptos"/>
                    </w:rPr>
                    <w:t>Target 7</w:t>
                  </w:r>
                </w:p>
              </w:tc>
              <w:tc>
                <w:tcPr>
                  <w:tcW w:w="0" w:type="auto"/>
                </w:tcPr>
                <w:p w14:paraId="4E70AEAA" w14:textId="77777777" w:rsidR="00441C78" w:rsidRPr="00170C99" w:rsidRDefault="00441C78" w:rsidP="00441C78">
                  <w:pPr>
                    <w:rPr>
                      <w:rFonts w:ascii="Aptos" w:hAnsi="Aptos"/>
                      <w:lang w:val="fr-FR"/>
                    </w:rPr>
                  </w:pPr>
                  <w:r w:rsidRPr="00170C99">
                    <w:rPr>
                      <w:rFonts w:ascii="Aptos" w:hAnsi="Aptos"/>
                      <w:lang w:val="fr-FR"/>
                    </w:rPr>
                    <w:t>Cible 7</w:t>
                  </w:r>
                </w:p>
              </w:tc>
            </w:tr>
            <w:tr w:rsidR="00441C78" w:rsidRPr="00170C99" w14:paraId="7D2A7BA9" w14:textId="77777777" w:rsidTr="00170C99">
              <w:tc>
                <w:tcPr>
                  <w:tcW w:w="0" w:type="auto"/>
                </w:tcPr>
                <w:p w14:paraId="3FFD5384" w14:textId="77777777" w:rsidR="00441C78" w:rsidRPr="00170C99" w:rsidRDefault="00441C78" w:rsidP="00441C78">
                  <w:pPr>
                    <w:rPr>
                      <w:rFonts w:ascii="Aptos" w:hAnsi="Aptos"/>
                    </w:rPr>
                  </w:pPr>
                  <w:r w:rsidRPr="00170C99">
                    <w:rPr>
                      <w:rFonts w:ascii="Aptos" w:hAnsi="Aptos"/>
                    </w:rPr>
                    <w:t>Target 8</w:t>
                  </w:r>
                </w:p>
              </w:tc>
              <w:tc>
                <w:tcPr>
                  <w:tcW w:w="0" w:type="auto"/>
                </w:tcPr>
                <w:p w14:paraId="7479BBE7" w14:textId="77777777" w:rsidR="00441C78" w:rsidRPr="00170C99" w:rsidRDefault="00441C78" w:rsidP="00441C78">
                  <w:pPr>
                    <w:rPr>
                      <w:rFonts w:ascii="Aptos" w:hAnsi="Aptos"/>
                      <w:lang w:val="fr-FR"/>
                    </w:rPr>
                  </w:pPr>
                  <w:r w:rsidRPr="00170C99">
                    <w:rPr>
                      <w:rFonts w:ascii="Aptos" w:hAnsi="Aptos"/>
                      <w:lang w:val="fr-FR"/>
                    </w:rPr>
                    <w:t>Cible 8</w:t>
                  </w:r>
                </w:p>
              </w:tc>
            </w:tr>
            <w:tr w:rsidR="00441C78" w:rsidRPr="00170C99" w14:paraId="26E9E99D" w14:textId="77777777" w:rsidTr="00170C99">
              <w:tc>
                <w:tcPr>
                  <w:tcW w:w="0" w:type="auto"/>
                </w:tcPr>
                <w:p w14:paraId="61D6EE37" w14:textId="77777777" w:rsidR="00441C78" w:rsidRPr="00170C99" w:rsidRDefault="00441C78" w:rsidP="00441C78">
                  <w:pPr>
                    <w:rPr>
                      <w:rFonts w:ascii="Aptos" w:hAnsi="Aptos"/>
                    </w:rPr>
                  </w:pPr>
                  <w:r w:rsidRPr="00170C99">
                    <w:rPr>
                      <w:rFonts w:ascii="Aptos" w:hAnsi="Aptos"/>
                    </w:rPr>
                    <w:t>Target 9</w:t>
                  </w:r>
                </w:p>
              </w:tc>
              <w:tc>
                <w:tcPr>
                  <w:tcW w:w="0" w:type="auto"/>
                </w:tcPr>
                <w:p w14:paraId="0D7D9C82" w14:textId="77777777" w:rsidR="00441C78" w:rsidRPr="00170C99" w:rsidRDefault="00441C78" w:rsidP="00441C78">
                  <w:pPr>
                    <w:rPr>
                      <w:rFonts w:ascii="Aptos" w:hAnsi="Aptos"/>
                      <w:lang w:val="fr-FR"/>
                    </w:rPr>
                  </w:pPr>
                  <w:r w:rsidRPr="00170C99">
                    <w:rPr>
                      <w:rFonts w:ascii="Aptos" w:hAnsi="Aptos"/>
                      <w:lang w:val="fr-FR"/>
                    </w:rPr>
                    <w:t>Cible 9</w:t>
                  </w:r>
                </w:p>
              </w:tc>
            </w:tr>
            <w:tr w:rsidR="00441C78" w:rsidRPr="00170C99" w14:paraId="0E497978" w14:textId="77777777" w:rsidTr="00170C99">
              <w:tc>
                <w:tcPr>
                  <w:tcW w:w="0" w:type="auto"/>
                </w:tcPr>
                <w:p w14:paraId="76B40353" w14:textId="77777777" w:rsidR="00441C78" w:rsidRPr="00170C99" w:rsidRDefault="00441C78" w:rsidP="00441C78">
                  <w:pPr>
                    <w:rPr>
                      <w:rFonts w:ascii="Aptos" w:hAnsi="Aptos"/>
                    </w:rPr>
                  </w:pPr>
                  <w:r w:rsidRPr="00170C99">
                    <w:rPr>
                      <w:rFonts w:ascii="Aptos" w:hAnsi="Aptos"/>
                    </w:rPr>
                    <w:t>Target 10</w:t>
                  </w:r>
                </w:p>
              </w:tc>
              <w:tc>
                <w:tcPr>
                  <w:tcW w:w="0" w:type="auto"/>
                </w:tcPr>
                <w:p w14:paraId="72F07871" w14:textId="77777777" w:rsidR="00441C78" w:rsidRPr="00170C99" w:rsidRDefault="00441C78" w:rsidP="00441C78">
                  <w:pPr>
                    <w:rPr>
                      <w:rFonts w:ascii="Aptos" w:hAnsi="Aptos"/>
                      <w:lang w:val="fr-FR"/>
                    </w:rPr>
                  </w:pPr>
                  <w:r w:rsidRPr="00170C99">
                    <w:rPr>
                      <w:rFonts w:ascii="Aptos" w:hAnsi="Aptos"/>
                      <w:lang w:val="fr-FR"/>
                    </w:rPr>
                    <w:t>Cible 10</w:t>
                  </w:r>
                </w:p>
              </w:tc>
            </w:tr>
            <w:tr w:rsidR="00441C78" w:rsidRPr="00170C99" w14:paraId="25476C74" w14:textId="77777777" w:rsidTr="00170C99">
              <w:tc>
                <w:tcPr>
                  <w:tcW w:w="0" w:type="auto"/>
                </w:tcPr>
                <w:p w14:paraId="33C5B228" w14:textId="77777777" w:rsidR="00441C78" w:rsidRPr="00170C99" w:rsidRDefault="00441C78" w:rsidP="00441C78">
                  <w:pPr>
                    <w:rPr>
                      <w:rFonts w:ascii="Aptos" w:hAnsi="Aptos"/>
                    </w:rPr>
                  </w:pPr>
                  <w:r w:rsidRPr="00170C99">
                    <w:rPr>
                      <w:rFonts w:ascii="Aptos" w:hAnsi="Aptos"/>
                    </w:rPr>
                    <w:t>Target 11</w:t>
                  </w:r>
                </w:p>
              </w:tc>
              <w:tc>
                <w:tcPr>
                  <w:tcW w:w="0" w:type="auto"/>
                </w:tcPr>
                <w:p w14:paraId="42507FE6" w14:textId="77777777" w:rsidR="00441C78" w:rsidRPr="00170C99" w:rsidRDefault="00441C78" w:rsidP="00441C78">
                  <w:pPr>
                    <w:rPr>
                      <w:rFonts w:ascii="Aptos" w:hAnsi="Aptos"/>
                      <w:lang w:val="fr-FR"/>
                    </w:rPr>
                  </w:pPr>
                  <w:r w:rsidRPr="00170C99">
                    <w:rPr>
                      <w:rFonts w:ascii="Aptos" w:hAnsi="Aptos"/>
                      <w:lang w:val="fr-FR"/>
                    </w:rPr>
                    <w:t>Cible 11</w:t>
                  </w:r>
                </w:p>
              </w:tc>
            </w:tr>
            <w:tr w:rsidR="00441C78" w:rsidRPr="00170C99" w14:paraId="31273415" w14:textId="77777777" w:rsidTr="00170C99">
              <w:tc>
                <w:tcPr>
                  <w:tcW w:w="0" w:type="auto"/>
                </w:tcPr>
                <w:p w14:paraId="40186612" w14:textId="77777777" w:rsidR="00441C78" w:rsidRPr="00170C99" w:rsidRDefault="00441C78" w:rsidP="00441C78">
                  <w:pPr>
                    <w:rPr>
                      <w:rFonts w:ascii="Aptos" w:hAnsi="Aptos"/>
                    </w:rPr>
                  </w:pPr>
                  <w:r w:rsidRPr="00170C99">
                    <w:rPr>
                      <w:rFonts w:ascii="Aptos" w:hAnsi="Aptos"/>
                    </w:rPr>
                    <w:t>Target 12</w:t>
                  </w:r>
                </w:p>
              </w:tc>
              <w:tc>
                <w:tcPr>
                  <w:tcW w:w="0" w:type="auto"/>
                </w:tcPr>
                <w:p w14:paraId="0310A8C5" w14:textId="77777777" w:rsidR="00441C78" w:rsidRPr="00170C99" w:rsidRDefault="00441C78" w:rsidP="00441C78">
                  <w:pPr>
                    <w:rPr>
                      <w:rFonts w:ascii="Aptos" w:hAnsi="Aptos"/>
                      <w:lang w:val="fr-FR"/>
                    </w:rPr>
                  </w:pPr>
                  <w:r w:rsidRPr="00170C99">
                    <w:rPr>
                      <w:rFonts w:ascii="Aptos" w:hAnsi="Aptos"/>
                      <w:lang w:val="fr-FR"/>
                    </w:rPr>
                    <w:t>Cible 12</w:t>
                  </w:r>
                </w:p>
              </w:tc>
            </w:tr>
            <w:tr w:rsidR="00441C78" w:rsidRPr="00170C99" w14:paraId="5FB35E08" w14:textId="77777777" w:rsidTr="00170C99">
              <w:tc>
                <w:tcPr>
                  <w:tcW w:w="0" w:type="auto"/>
                </w:tcPr>
                <w:p w14:paraId="4805CB0B" w14:textId="77777777" w:rsidR="00441C78" w:rsidRPr="00170C99" w:rsidRDefault="00441C78" w:rsidP="00441C78">
                  <w:pPr>
                    <w:rPr>
                      <w:rFonts w:ascii="Aptos" w:hAnsi="Aptos"/>
                    </w:rPr>
                  </w:pPr>
                  <w:r w:rsidRPr="00170C99">
                    <w:rPr>
                      <w:rFonts w:ascii="Aptos" w:hAnsi="Aptos"/>
                    </w:rPr>
                    <w:t>Target 13</w:t>
                  </w:r>
                </w:p>
              </w:tc>
              <w:tc>
                <w:tcPr>
                  <w:tcW w:w="0" w:type="auto"/>
                </w:tcPr>
                <w:p w14:paraId="214B456E" w14:textId="77777777" w:rsidR="00441C78" w:rsidRPr="00170C99" w:rsidRDefault="00441C78" w:rsidP="00441C78">
                  <w:pPr>
                    <w:rPr>
                      <w:rFonts w:ascii="Aptos" w:hAnsi="Aptos"/>
                      <w:lang w:val="fr-FR"/>
                    </w:rPr>
                  </w:pPr>
                  <w:r w:rsidRPr="00170C99">
                    <w:rPr>
                      <w:rFonts w:ascii="Aptos" w:hAnsi="Aptos"/>
                      <w:lang w:val="fr-FR"/>
                    </w:rPr>
                    <w:t>Cible 13</w:t>
                  </w:r>
                </w:p>
              </w:tc>
            </w:tr>
            <w:tr w:rsidR="00441C78" w:rsidRPr="00170C99" w14:paraId="3214BDE2" w14:textId="77777777" w:rsidTr="00170C99">
              <w:tc>
                <w:tcPr>
                  <w:tcW w:w="0" w:type="auto"/>
                </w:tcPr>
                <w:p w14:paraId="7F2B4746" w14:textId="77777777" w:rsidR="00441C78" w:rsidRPr="00170C99" w:rsidRDefault="00441C78" w:rsidP="00441C78">
                  <w:pPr>
                    <w:rPr>
                      <w:rFonts w:ascii="Aptos" w:hAnsi="Aptos"/>
                    </w:rPr>
                  </w:pPr>
                  <w:r w:rsidRPr="00170C99">
                    <w:rPr>
                      <w:rFonts w:ascii="Aptos" w:hAnsi="Aptos"/>
                    </w:rPr>
                    <w:t>Target 14</w:t>
                  </w:r>
                </w:p>
              </w:tc>
              <w:tc>
                <w:tcPr>
                  <w:tcW w:w="0" w:type="auto"/>
                </w:tcPr>
                <w:p w14:paraId="3A5A37A0" w14:textId="77777777" w:rsidR="00441C78" w:rsidRPr="00170C99" w:rsidRDefault="00441C78" w:rsidP="00441C78">
                  <w:pPr>
                    <w:rPr>
                      <w:rFonts w:ascii="Aptos" w:hAnsi="Aptos"/>
                      <w:lang w:val="fr-FR"/>
                    </w:rPr>
                  </w:pPr>
                  <w:r w:rsidRPr="00170C99">
                    <w:rPr>
                      <w:rFonts w:ascii="Aptos" w:hAnsi="Aptos"/>
                      <w:lang w:val="fr-FR"/>
                    </w:rPr>
                    <w:t>Cible 14</w:t>
                  </w:r>
                </w:p>
              </w:tc>
            </w:tr>
            <w:tr w:rsidR="00441C78" w:rsidRPr="00170C99" w14:paraId="4BE3D031" w14:textId="77777777" w:rsidTr="00170C99">
              <w:tc>
                <w:tcPr>
                  <w:tcW w:w="0" w:type="auto"/>
                </w:tcPr>
                <w:p w14:paraId="60C548E3" w14:textId="77777777" w:rsidR="00441C78" w:rsidRPr="00170C99" w:rsidRDefault="00441C78" w:rsidP="00441C78">
                  <w:pPr>
                    <w:rPr>
                      <w:rFonts w:ascii="Aptos" w:hAnsi="Aptos"/>
                    </w:rPr>
                  </w:pPr>
                  <w:r w:rsidRPr="00170C99">
                    <w:rPr>
                      <w:rFonts w:ascii="Aptos" w:hAnsi="Aptos"/>
                    </w:rPr>
                    <w:t>Target 15</w:t>
                  </w:r>
                </w:p>
              </w:tc>
              <w:tc>
                <w:tcPr>
                  <w:tcW w:w="0" w:type="auto"/>
                </w:tcPr>
                <w:p w14:paraId="0B8A18BD" w14:textId="77777777" w:rsidR="00441C78" w:rsidRPr="00170C99" w:rsidRDefault="00441C78" w:rsidP="00441C78">
                  <w:pPr>
                    <w:rPr>
                      <w:rFonts w:ascii="Aptos" w:hAnsi="Aptos"/>
                      <w:lang w:val="fr-FR"/>
                    </w:rPr>
                  </w:pPr>
                  <w:r w:rsidRPr="00170C99">
                    <w:rPr>
                      <w:rFonts w:ascii="Aptos" w:hAnsi="Aptos"/>
                      <w:lang w:val="fr-FR"/>
                    </w:rPr>
                    <w:t>Cible 15</w:t>
                  </w:r>
                </w:p>
              </w:tc>
            </w:tr>
            <w:tr w:rsidR="00441C78" w:rsidRPr="00170C99" w14:paraId="33DBCB4D" w14:textId="77777777" w:rsidTr="00170C99">
              <w:tc>
                <w:tcPr>
                  <w:tcW w:w="0" w:type="auto"/>
                </w:tcPr>
                <w:p w14:paraId="7DB6D737" w14:textId="77777777" w:rsidR="00441C78" w:rsidRPr="00170C99" w:rsidRDefault="00441C78" w:rsidP="00441C78">
                  <w:pPr>
                    <w:rPr>
                      <w:rFonts w:ascii="Aptos" w:hAnsi="Aptos"/>
                    </w:rPr>
                  </w:pPr>
                  <w:r w:rsidRPr="00170C99">
                    <w:rPr>
                      <w:rFonts w:ascii="Aptos" w:hAnsi="Aptos"/>
                    </w:rPr>
                    <w:t>Target 16</w:t>
                  </w:r>
                </w:p>
              </w:tc>
              <w:tc>
                <w:tcPr>
                  <w:tcW w:w="0" w:type="auto"/>
                </w:tcPr>
                <w:p w14:paraId="6A6B5D00" w14:textId="77777777" w:rsidR="00441C78" w:rsidRPr="00170C99" w:rsidRDefault="00441C78" w:rsidP="00441C78">
                  <w:pPr>
                    <w:rPr>
                      <w:rFonts w:ascii="Aptos" w:hAnsi="Aptos"/>
                      <w:lang w:val="fr-FR"/>
                    </w:rPr>
                  </w:pPr>
                  <w:r w:rsidRPr="00170C99">
                    <w:rPr>
                      <w:rFonts w:ascii="Aptos" w:hAnsi="Aptos"/>
                      <w:lang w:val="fr-FR"/>
                    </w:rPr>
                    <w:t>Cible 16</w:t>
                  </w:r>
                </w:p>
              </w:tc>
            </w:tr>
            <w:tr w:rsidR="00441C78" w:rsidRPr="00170C99" w14:paraId="30DD8F4B" w14:textId="77777777" w:rsidTr="00170C99">
              <w:tc>
                <w:tcPr>
                  <w:tcW w:w="0" w:type="auto"/>
                </w:tcPr>
                <w:p w14:paraId="12131DF2" w14:textId="77777777" w:rsidR="00441C78" w:rsidRPr="00170C99" w:rsidRDefault="00441C78" w:rsidP="00441C78">
                  <w:pPr>
                    <w:rPr>
                      <w:rFonts w:ascii="Aptos" w:hAnsi="Aptos"/>
                    </w:rPr>
                  </w:pPr>
                  <w:r w:rsidRPr="00170C99">
                    <w:rPr>
                      <w:rFonts w:ascii="Aptos" w:hAnsi="Aptos"/>
                    </w:rPr>
                    <w:t>Target 17</w:t>
                  </w:r>
                </w:p>
              </w:tc>
              <w:tc>
                <w:tcPr>
                  <w:tcW w:w="0" w:type="auto"/>
                </w:tcPr>
                <w:p w14:paraId="02707FA5" w14:textId="77777777" w:rsidR="00441C78" w:rsidRPr="00170C99" w:rsidRDefault="00441C78" w:rsidP="00441C78">
                  <w:pPr>
                    <w:rPr>
                      <w:rFonts w:ascii="Aptos" w:hAnsi="Aptos"/>
                      <w:lang w:val="fr-FR"/>
                    </w:rPr>
                  </w:pPr>
                  <w:r w:rsidRPr="00170C99">
                    <w:rPr>
                      <w:rFonts w:ascii="Aptos" w:hAnsi="Aptos"/>
                      <w:lang w:val="fr-FR"/>
                    </w:rPr>
                    <w:t>Cible 17</w:t>
                  </w:r>
                </w:p>
              </w:tc>
            </w:tr>
            <w:tr w:rsidR="00441C78" w:rsidRPr="00170C99" w14:paraId="417F6AF2" w14:textId="77777777" w:rsidTr="00170C99">
              <w:tc>
                <w:tcPr>
                  <w:tcW w:w="0" w:type="auto"/>
                </w:tcPr>
                <w:p w14:paraId="3ECF0C7C" w14:textId="77777777" w:rsidR="00441C78" w:rsidRPr="00170C99" w:rsidRDefault="00441C78" w:rsidP="00441C78">
                  <w:pPr>
                    <w:rPr>
                      <w:rFonts w:ascii="Aptos" w:hAnsi="Aptos"/>
                    </w:rPr>
                  </w:pPr>
                  <w:r w:rsidRPr="00170C99">
                    <w:rPr>
                      <w:rFonts w:ascii="Aptos" w:hAnsi="Aptos"/>
                    </w:rPr>
                    <w:t>Target 18</w:t>
                  </w:r>
                </w:p>
              </w:tc>
              <w:tc>
                <w:tcPr>
                  <w:tcW w:w="0" w:type="auto"/>
                </w:tcPr>
                <w:p w14:paraId="281ED288" w14:textId="77777777" w:rsidR="00441C78" w:rsidRPr="00170C99" w:rsidRDefault="00441C78" w:rsidP="00441C78">
                  <w:pPr>
                    <w:rPr>
                      <w:rFonts w:ascii="Aptos" w:hAnsi="Aptos"/>
                      <w:lang w:val="fr-FR"/>
                    </w:rPr>
                  </w:pPr>
                  <w:r w:rsidRPr="00170C99">
                    <w:rPr>
                      <w:rFonts w:ascii="Aptos" w:hAnsi="Aptos"/>
                      <w:lang w:val="fr-FR"/>
                    </w:rPr>
                    <w:t>Cible 18</w:t>
                  </w:r>
                </w:p>
              </w:tc>
            </w:tr>
            <w:tr w:rsidR="00441C78" w:rsidRPr="00170C99" w14:paraId="7F0F16A8" w14:textId="77777777" w:rsidTr="00170C99">
              <w:tc>
                <w:tcPr>
                  <w:tcW w:w="0" w:type="auto"/>
                </w:tcPr>
                <w:p w14:paraId="5036A0F4" w14:textId="77777777" w:rsidR="00441C78" w:rsidRPr="00170C99" w:rsidRDefault="00441C78" w:rsidP="00441C78">
                  <w:pPr>
                    <w:rPr>
                      <w:rFonts w:ascii="Aptos" w:hAnsi="Aptos"/>
                    </w:rPr>
                  </w:pPr>
                  <w:r w:rsidRPr="00170C99">
                    <w:rPr>
                      <w:rFonts w:ascii="Aptos" w:hAnsi="Aptos"/>
                    </w:rPr>
                    <w:t>Target 19</w:t>
                  </w:r>
                </w:p>
              </w:tc>
              <w:tc>
                <w:tcPr>
                  <w:tcW w:w="0" w:type="auto"/>
                </w:tcPr>
                <w:p w14:paraId="5AC97EB7" w14:textId="77777777" w:rsidR="00441C78" w:rsidRPr="00170C99" w:rsidRDefault="00441C78" w:rsidP="00441C78">
                  <w:pPr>
                    <w:rPr>
                      <w:rFonts w:ascii="Aptos" w:hAnsi="Aptos"/>
                      <w:lang w:val="fr-FR"/>
                    </w:rPr>
                  </w:pPr>
                  <w:r w:rsidRPr="00170C99">
                    <w:rPr>
                      <w:rFonts w:ascii="Aptos" w:hAnsi="Aptos"/>
                      <w:lang w:val="fr-FR"/>
                    </w:rPr>
                    <w:t>Cible 19</w:t>
                  </w:r>
                </w:p>
              </w:tc>
            </w:tr>
            <w:tr w:rsidR="00441C78" w:rsidRPr="00170C99" w14:paraId="59D1C52F" w14:textId="77777777" w:rsidTr="00170C99">
              <w:tc>
                <w:tcPr>
                  <w:tcW w:w="0" w:type="auto"/>
                </w:tcPr>
                <w:p w14:paraId="00E5259E" w14:textId="77777777" w:rsidR="00441C78" w:rsidRPr="00170C99" w:rsidRDefault="00441C78" w:rsidP="00441C78">
                  <w:pPr>
                    <w:rPr>
                      <w:rFonts w:ascii="Aptos" w:hAnsi="Aptos"/>
                    </w:rPr>
                  </w:pPr>
                  <w:r w:rsidRPr="00170C99">
                    <w:rPr>
                      <w:rFonts w:ascii="Aptos" w:hAnsi="Aptos"/>
                    </w:rPr>
                    <w:t>Target 20</w:t>
                  </w:r>
                </w:p>
              </w:tc>
              <w:tc>
                <w:tcPr>
                  <w:tcW w:w="0" w:type="auto"/>
                </w:tcPr>
                <w:p w14:paraId="71E0D82A" w14:textId="77777777" w:rsidR="00441C78" w:rsidRPr="00170C99" w:rsidRDefault="00441C78" w:rsidP="00441C78">
                  <w:pPr>
                    <w:rPr>
                      <w:rFonts w:ascii="Aptos" w:hAnsi="Aptos"/>
                      <w:lang w:val="fr-FR"/>
                    </w:rPr>
                  </w:pPr>
                  <w:r w:rsidRPr="00170C99">
                    <w:rPr>
                      <w:rFonts w:ascii="Aptos" w:hAnsi="Aptos"/>
                      <w:lang w:val="fr-FR"/>
                    </w:rPr>
                    <w:t>Cible 20</w:t>
                  </w:r>
                </w:p>
              </w:tc>
            </w:tr>
            <w:tr w:rsidR="00441C78" w:rsidRPr="00170C99" w14:paraId="3C7324BB" w14:textId="77777777" w:rsidTr="00170C99">
              <w:tc>
                <w:tcPr>
                  <w:tcW w:w="0" w:type="auto"/>
                </w:tcPr>
                <w:p w14:paraId="5F86801A" w14:textId="77777777" w:rsidR="00441C78" w:rsidRPr="00170C99" w:rsidRDefault="00441C78" w:rsidP="00441C78">
                  <w:pPr>
                    <w:rPr>
                      <w:rFonts w:ascii="Aptos" w:hAnsi="Aptos"/>
                    </w:rPr>
                  </w:pPr>
                  <w:r w:rsidRPr="00170C99">
                    <w:rPr>
                      <w:rFonts w:ascii="Aptos" w:hAnsi="Aptos"/>
                    </w:rPr>
                    <w:t>Target 21</w:t>
                  </w:r>
                </w:p>
              </w:tc>
              <w:tc>
                <w:tcPr>
                  <w:tcW w:w="0" w:type="auto"/>
                </w:tcPr>
                <w:p w14:paraId="45ED5217" w14:textId="77777777" w:rsidR="00441C78" w:rsidRPr="00170C99" w:rsidRDefault="00441C78" w:rsidP="00441C78">
                  <w:pPr>
                    <w:rPr>
                      <w:rFonts w:ascii="Aptos" w:hAnsi="Aptos"/>
                      <w:lang w:val="fr-FR"/>
                    </w:rPr>
                  </w:pPr>
                  <w:r w:rsidRPr="00170C99">
                    <w:rPr>
                      <w:rFonts w:ascii="Aptos" w:hAnsi="Aptos"/>
                      <w:lang w:val="fr-FR"/>
                    </w:rPr>
                    <w:t>Cible 21</w:t>
                  </w:r>
                </w:p>
              </w:tc>
            </w:tr>
            <w:tr w:rsidR="00441C78" w:rsidRPr="00170C99" w14:paraId="10CE81EB" w14:textId="77777777" w:rsidTr="00170C99">
              <w:tc>
                <w:tcPr>
                  <w:tcW w:w="0" w:type="auto"/>
                </w:tcPr>
                <w:p w14:paraId="2854F4C0" w14:textId="77777777" w:rsidR="00441C78" w:rsidRPr="00170C99" w:rsidRDefault="00441C78" w:rsidP="00441C78">
                  <w:pPr>
                    <w:rPr>
                      <w:rFonts w:ascii="Aptos" w:hAnsi="Aptos"/>
                    </w:rPr>
                  </w:pPr>
                  <w:r w:rsidRPr="00170C99">
                    <w:rPr>
                      <w:rFonts w:ascii="Aptos" w:hAnsi="Aptos"/>
                    </w:rPr>
                    <w:t>Target 22</w:t>
                  </w:r>
                </w:p>
              </w:tc>
              <w:tc>
                <w:tcPr>
                  <w:tcW w:w="0" w:type="auto"/>
                </w:tcPr>
                <w:p w14:paraId="5E3E22EB" w14:textId="77777777" w:rsidR="00441C78" w:rsidRPr="00170C99" w:rsidRDefault="00441C78" w:rsidP="00441C78">
                  <w:pPr>
                    <w:rPr>
                      <w:rFonts w:ascii="Aptos" w:hAnsi="Aptos"/>
                      <w:lang w:val="fr-FR"/>
                    </w:rPr>
                  </w:pPr>
                  <w:r w:rsidRPr="00170C99">
                    <w:rPr>
                      <w:rFonts w:ascii="Aptos" w:hAnsi="Aptos"/>
                      <w:lang w:val="fr-FR"/>
                    </w:rPr>
                    <w:t>Cible 22</w:t>
                  </w:r>
                </w:p>
              </w:tc>
            </w:tr>
            <w:tr w:rsidR="00441C78" w:rsidRPr="00170C99" w14:paraId="3ACC7118" w14:textId="77777777" w:rsidTr="00170C99">
              <w:tc>
                <w:tcPr>
                  <w:tcW w:w="0" w:type="auto"/>
                </w:tcPr>
                <w:p w14:paraId="5D5AC11A" w14:textId="77777777" w:rsidR="00441C78" w:rsidRPr="00170C99" w:rsidRDefault="00441C78" w:rsidP="00441C78">
                  <w:pPr>
                    <w:rPr>
                      <w:rFonts w:ascii="Aptos" w:hAnsi="Aptos"/>
                    </w:rPr>
                  </w:pPr>
                  <w:r w:rsidRPr="00170C99">
                    <w:rPr>
                      <w:rFonts w:ascii="Aptos" w:hAnsi="Aptos"/>
                    </w:rPr>
                    <w:t>Target 23</w:t>
                  </w:r>
                </w:p>
              </w:tc>
              <w:tc>
                <w:tcPr>
                  <w:tcW w:w="0" w:type="auto"/>
                </w:tcPr>
                <w:p w14:paraId="7DAEED24" w14:textId="77777777" w:rsidR="00441C78" w:rsidRPr="00170C99" w:rsidRDefault="00441C78" w:rsidP="00441C78">
                  <w:pPr>
                    <w:rPr>
                      <w:rFonts w:ascii="Aptos" w:hAnsi="Aptos"/>
                      <w:lang w:val="fr-FR"/>
                    </w:rPr>
                  </w:pPr>
                  <w:r w:rsidRPr="00170C99">
                    <w:rPr>
                      <w:rFonts w:ascii="Aptos" w:hAnsi="Aptos"/>
                      <w:lang w:val="fr-FR"/>
                    </w:rPr>
                    <w:t>Cible 23</w:t>
                  </w:r>
                </w:p>
              </w:tc>
            </w:tr>
          </w:tbl>
          <w:p w14:paraId="6191CA59" w14:textId="77777777" w:rsidR="00441C78" w:rsidRDefault="00441C78" w:rsidP="00441C78">
            <w:pPr>
              <w:rPr>
                <w:lang w:val="fr-FR" w:eastAsia="ja-JP"/>
              </w:rPr>
            </w:pPr>
          </w:p>
        </w:tc>
      </w:tr>
    </w:tbl>
    <w:p w14:paraId="3D83226B" w14:textId="73830C4E" w:rsidR="00106FB9" w:rsidRPr="00653BF4" w:rsidRDefault="006A631C" w:rsidP="00230AA3">
      <w:pPr>
        <w:rPr>
          <w:i/>
          <w:color w:val="0E2841" w:themeColor="text2"/>
          <w:sz w:val="18"/>
          <w:szCs w:val="18"/>
          <w:lang w:val="fr-FR"/>
        </w:rPr>
      </w:pPr>
      <w:bookmarkStart w:id="9" w:name="_Ref236316901"/>
      <w:r w:rsidRPr="00653BF4">
        <w:rPr>
          <w:i/>
          <w:color w:val="0E2841" w:themeColor="text2"/>
          <w:sz w:val="18"/>
          <w:szCs w:val="18"/>
          <w:lang w:val="fr-FR"/>
        </w:rPr>
        <w:t>Note</w:t>
      </w:r>
      <w:r w:rsidR="00E34DC9">
        <w:rPr>
          <w:i/>
          <w:color w:val="0E2841" w:themeColor="text2"/>
          <w:sz w:val="18"/>
          <w:szCs w:val="18"/>
          <w:lang w:val="fr-FR"/>
        </w:rPr>
        <w:t> :</w:t>
      </w:r>
      <w:r w:rsidR="00B460D6" w:rsidRPr="00653BF4">
        <w:rPr>
          <w:color w:val="0E2841" w:themeColor="text2"/>
          <w:sz w:val="18"/>
          <w:szCs w:val="18"/>
          <w:lang w:val="fr-FR"/>
        </w:rPr>
        <w:t xml:space="preserve"> </w:t>
      </w:r>
      <w:r w:rsidR="000C4F6B" w:rsidRPr="00653BF4">
        <w:rPr>
          <w:color w:val="0E2841" w:themeColor="text2"/>
          <w:sz w:val="18"/>
          <w:szCs w:val="18"/>
          <w:lang w:val="fr-FR"/>
        </w:rPr>
        <w:t>Chaque colonne</w:t>
      </w:r>
      <w:r w:rsidR="00D95D77" w:rsidRPr="00653BF4">
        <w:rPr>
          <w:color w:val="0E2841" w:themeColor="text2"/>
          <w:sz w:val="18"/>
          <w:szCs w:val="18"/>
          <w:lang w:val="fr-FR"/>
        </w:rPr>
        <w:t xml:space="preserve"> et les pourcentages qu’elle contient</w:t>
      </w:r>
      <w:r w:rsidR="000C4F6B" w:rsidRPr="00653BF4">
        <w:rPr>
          <w:color w:val="0E2841" w:themeColor="text2"/>
          <w:sz w:val="18"/>
          <w:szCs w:val="18"/>
          <w:lang w:val="fr-FR"/>
        </w:rPr>
        <w:t xml:space="preserve">, représente </w:t>
      </w:r>
      <w:r w:rsidR="00212986" w:rsidRPr="00653BF4">
        <w:rPr>
          <w:color w:val="0E2841" w:themeColor="text2"/>
          <w:sz w:val="18"/>
          <w:szCs w:val="18"/>
          <w:lang w:val="fr-FR"/>
        </w:rPr>
        <w:t xml:space="preserve">une note </w:t>
      </w:r>
      <w:r w:rsidR="00C31335" w:rsidRPr="00653BF4">
        <w:rPr>
          <w:color w:val="0E2841" w:themeColor="text2"/>
          <w:sz w:val="18"/>
          <w:szCs w:val="18"/>
          <w:lang w:val="fr-FR"/>
        </w:rPr>
        <w:t xml:space="preserve">par rapport aux </w:t>
      </w:r>
      <w:r w:rsidR="000C4F6B" w:rsidRPr="00653BF4">
        <w:rPr>
          <w:color w:val="0E2841" w:themeColor="text2"/>
          <w:sz w:val="18"/>
          <w:szCs w:val="18"/>
          <w:lang w:val="fr-FR"/>
        </w:rPr>
        <w:t>progrès accomplis dans la mise en œuvre du Cadre. Colonne 1</w:t>
      </w:r>
      <w:r w:rsidR="00E34DC9">
        <w:rPr>
          <w:color w:val="0E2841" w:themeColor="text2"/>
          <w:sz w:val="18"/>
          <w:szCs w:val="18"/>
          <w:lang w:val="fr-FR"/>
        </w:rPr>
        <w:t> :</w:t>
      </w:r>
      <w:r w:rsidR="000C4F6B" w:rsidRPr="00653BF4">
        <w:rPr>
          <w:color w:val="0E2841" w:themeColor="text2"/>
          <w:sz w:val="18"/>
          <w:szCs w:val="18"/>
          <w:lang w:val="fr-FR"/>
        </w:rPr>
        <w:t xml:space="preserve"> prise en compte des éléments de la cible du Cadre par les cibles nationales des Parties (pourcentage de Parties couvrant, dans une certaine mesure, au moins la moitié des éléments de la cible). Colonne 2</w:t>
      </w:r>
      <w:r w:rsidR="00E34DC9">
        <w:rPr>
          <w:color w:val="0E2841" w:themeColor="text2"/>
          <w:sz w:val="18"/>
          <w:szCs w:val="18"/>
          <w:lang w:val="fr-FR"/>
        </w:rPr>
        <w:t> :</w:t>
      </w:r>
      <w:r w:rsidR="000C4F6B" w:rsidRPr="00653BF4">
        <w:rPr>
          <w:color w:val="0E2841" w:themeColor="text2"/>
          <w:sz w:val="18"/>
          <w:szCs w:val="18"/>
          <w:lang w:val="fr-FR"/>
        </w:rPr>
        <w:t xml:space="preserve"> auto-évaluation par les Parties des progrès accomplis vers leurs cibles nationales (pourcentage de cibles nationales déclarées </w:t>
      </w:r>
      <w:r w:rsidR="00E34DC9">
        <w:rPr>
          <w:color w:val="0E2841" w:themeColor="text2"/>
          <w:sz w:val="18"/>
          <w:szCs w:val="18"/>
          <w:lang w:val="fr-FR"/>
        </w:rPr>
        <w:t>« </w:t>
      </w:r>
      <w:r w:rsidR="000C4F6B" w:rsidRPr="00653BF4">
        <w:rPr>
          <w:color w:val="0E2841" w:themeColor="text2"/>
          <w:sz w:val="18"/>
          <w:szCs w:val="18"/>
          <w:lang w:val="fr-FR"/>
        </w:rPr>
        <w:t>en bonne voie</w:t>
      </w:r>
      <w:r w:rsidR="00E34DC9">
        <w:rPr>
          <w:color w:val="0E2841" w:themeColor="text2"/>
          <w:sz w:val="18"/>
          <w:szCs w:val="18"/>
          <w:lang w:val="fr-FR"/>
        </w:rPr>
        <w:t> »</w:t>
      </w:r>
      <w:r w:rsidR="000C4F6B" w:rsidRPr="00653BF4">
        <w:rPr>
          <w:color w:val="0E2841" w:themeColor="text2"/>
          <w:sz w:val="18"/>
          <w:szCs w:val="18"/>
          <w:lang w:val="fr-FR"/>
        </w:rPr>
        <w:t xml:space="preserve"> ou </w:t>
      </w:r>
      <w:r w:rsidR="00E34DC9">
        <w:rPr>
          <w:color w:val="0E2841" w:themeColor="text2"/>
          <w:sz w:val="18"/>
          <w:szCs w:val="18"/>
          <w:lang w:val="fr-FR"/>
        </w:rPr>
        <w:t>« </w:t>
      </w:r>
      <w:r w:rsidR="000C4F6B" w:rsidRPr="00653BF4">
        <w:rPr>
          <w:color w:val="0E2841" w:themeColor="text2"/>
          <w:sz w:val="18"/>
          <w:szCs w:val="18"/>
          <w:lang w:val="fr-FR"/>
        </w:rPr>
        <w:t>atteintes</w:t>
      </w:r>
      <w:r w:rsidR="00E34DC9">
        <w:rPr>
          <w:color w:val="0E2841" w:themeColor="text2"/>
          <w:sz w:val="18"/>
          <w:szCs w:val="18"/>
          <w:lang w:val="fr-FR"/>
        </w:rPr>
        <w:t> »</w:t>
      </w:r>
      <w:r w:rsidR="000C4F6B" w:rsidRPr="00653BF4">
        <w:rPr>
          <w:color w:val="0E2841" w:themeColor="text2"/>
          <w:sz w:val="18"/>
          <w:szCs w:val="18"/>
          <w:lang w:val="fr-FR"/>
        </w:rPr>
        <w:t>). Colonne 3</w:t>
      </w:r>
      <w:r w:rsidR="00E34DC9">
        <w:rPr>
          <w:color w:val="0E2841" w:themeColor="text2"/>
          <w:sz w:val="18"/>
          <w:szCs w:val="18"/>
          <w:lang w:val="fr-FR"/>
        </w:rPr>
        <w:t> :</w:t>
      </w:r>
      <w:r w:rsidR="000C4F6B" w:rsidRPr="00653BF4">
        <w:rPr>
          <w:color w:val="0E2841" w:themeColor="text2"/>
          <w:sz w:val="18"/>
          <w:szCs w:val="18"/>
          <w:lang w:val="fr-FR"/>
        </w:rPr>
        <w:t xml:space="preserve"> évaluation des progrès accomplis vers la cible du Cadre sur la base de l’ensemble des indicateurs pertinents (pourcentage fondé sur la note moyenne de tous les types d’indicateurs associés</w:t>
      </w:r>
      <w:r w:rsidR="00E34DC9">
        <w:rPr>
          <w:color w:val="0E2841" w:themeColor="text2"/>
          <w:sz w:val="18"/>
          <w:szCs w:val="18"/>
          <w:lang w:val="fr-FR"/>
        </w:rPr>
        <w:t> ;</w:t>
      </w:r>
      <w:r w:rsidR="000C4F6B" w:rsidRPr="00653BF4">
        <w:rPr>
          <w:color w:val="0E2841" w:themeColor="text2"/>
          <w:sz w:val="18"/>
          <w:szCs w:val="18"/>
          <w:lang w:val="fr-FR"/>
        </w:rPr>
        <w:t xml:space="preserve"> détails disponibles dans le tableau</w:t>
      </w:r>
      <w:r w:rsidR="00EE75D0">
        <w:rPr>
          <w:color w:val="0E2841" w:themeColor="text2"/>
          <w:sz w:val="18"/>
          <w:szCs w:val="18"/>
          <w:lang w:val="fr-FR"/>
        </w:rPr>
        <w:t> </w:t>
      </w:r>
      <w:r w:rsidR="000C4F6B" w:rsidRPr="00653BF4">
        <w:rPr>
          <w:color w:val="0E2841" w:themeColor="text2"/>
          <w:sz w:val="18"/>
          <w:szCs w:val="18"/>
          <w:lang w:val="fr-FR"/>
        </w:rPr>
        <w:t>55). Colonne 4</w:t>
      </w:r>
      <w:r w:rsidR="00E34DC9">
        <w:rPr>
          <w:color w:val="0E2841" w:themeColor="text2"/>
          <w:sz w:val="18"/>
          <w:szCs w:val="18"/>
          <w:lang w:val="fr-FR"/>
        </w:rPr>
        <w:t> :</w:t>
      </w:r>
      <w:r w:rsidR="000C4F6B" w:rsidRPr="00653BF4">
        <w:rPr>
          <w:color w:val="0E2841" w:themeColor="text2"/>
          <w:sz w:val="18"/>
          <w:szCs w:val="18"/>
          <w:lang w:val="fr-FR"/>
        </w:rPr>
        <w:t xml:space="preserve"> disponibilité des données dans les rapports nationaux (pourcentage de Parties communiquant des données quantitatives sur les indicateurs phares, de composante, complémentaires ou nationaux). Les trois couleurs des colonnes 1 à 4 indiquent la position de la valeur de chaque cible par rapport aux notes les plus élevées et les plus basses obtenues pour l’ensemble des cibles (le vert est attribué aux valeurs situées dans le tiers supérieur de la fourchette totale, le jaune au tiers intermédiaire et le rouge au tiers inférieur). La note d’évaluation globale repose sur une formule qui accorde une pondération de 50</w:t>
      </w:r>
      <w:r w:rsidR="002878D7">
        <w:rPr>
          <w:color w:val="0E2841" w:themeColor="text2"/>
          <w:sz w:val="18"/>
          <w:szCs w:val="18"/>
          <w:lang w:val="fr-FR"/>
        </w:rPr>
        <w:t> %</w:t>
      </w:r>
      <w:r w:rsidR="000C4F6B" w:rsidRPr="00653BF4">
        <w:rPr>
          <w:color w:val="0E2841" w:themeColor="text2"/>
          <w:sz w:val="18"/>
          <w:szCs w:val="18"/>
          <w:lang w:val="fr-FR"/>
        </w:rPr>
        <w:t xml:space="preserve"> à l’auto-évaluation des progrès rapportée à la prise en compte par les cibles nationales et une pondération de 50</w:t>
      </w:r>
      <w:r w:rsidR="002878D7">
        <w:rPr>
          <w:color w:val="0E2841" w:themeColor="text2"/>
          <w:sz w:val="18"/>
          <w:szCs w:val="18"/>
          <w:lang w:val="fr-FR"/>
        </w:rPr>
        <w:t> %</w:t>
      </w:r>
      <w:r w:rsidR="000C4F6B" w:rsidRPr="00653BF4">
        <w:rPr>
          <w:color w:val="0E2841" w:themeColor="text2"/>
          <w:sz w:val="18"/>
          <w:szCs w:val="18"/>
          <w:lang w:val="fr-FR"/>
        </w:rPr>
        <w:t xml:space="preserve"> à l’évaluation des progrès fondée sur les indicateurs. Les résultats de ce calcul sont ensuite répartis en quatre catégories (0-0,25 rouge, 0,25-0,5 orange, 0,5-0,75 jaune, 0,75-1 vert). </w:t>
      </w:r>
      <w:r w:rsidR="00E47A2A" w:rsidRPr="00653BF4">
        <w:rPr>
          <w:color w:val="0E2841" w:themeColor="text2"/>
          <w:sz w:val="18"/>
          <w:szCs w:val="18"/>
          <w:lang w:val="fr-FR"/>
        </w:rPr>
        <w:t xml:space="preserve">À noter que la présente figure repose sur un tableau d’évaluation plus détaillé figurant au </w:t>
      </w:r>
      <w:r w:rsidR="00FD065A" w:rsidRPr="00653BF4">
        <w:rPr>
          <w:color w:val="0E2841" w:themeColor="text2"/>
          <w:sz w:val="18"/>
          <w:szCs w:val="18"/>
          <w:lang w:val="fr-FR"/>
        </w:rPr>
        <w:lastRenderedPageBreak/>
        <w:t>tableau</w:t>
      </w:r>
      <w:r w:rsidR="00C65F7E" w:rsidRPr="00653BF4">
        <w:rPr>
          <w:color w:val="0E2841" w:themeColor="text2"/>
          <w:sz w:val="18"/>
          <w:szCs w:val="18"/>
          <w:lang w:val="fr-FR"/>
        </w:rPr>
        <w:t> </w:t>
      </w:r>
      <w:r w:rsidR="002E6D7A" w:rsidRPr="00653BF4">
        <w:rPr>
          <w:color w:val="0E2841" w:themeColor="text2"/>
          <w:sz w:val="18"/>
          <w:szCs w:val="18"/>
          <w:lang w:val="fr-FR"/>
        </w:rPr>
        <w:t xml:space="preserve">3 de la </w:t>
      </w:r>
      <w:r w:rsidR="002878D7">
        <w:rPr>
          <w:color w:val="0E2841" w:themeColor="text2"/>
          <w:sz w:val="18"/>
          <w:szCs w:val="18"/>
          <w:lang w:val="fr-FR"/>
        </w:rPr>
        <w:t>section I</w:t>
      </w:r>
      <w:r w:rsidR="002E6D7A" w:rsidRPr="00653BF4">
        <w:rPr>
          <w:color w:val="0E2841" w:themeColor="text2"/>
          <w:sz w:val="18"/>
          <w:szCs w:val="18"/>
          <w:lang w:val="fr-FR"/>
        </w:rPr>
        <w:t xml:space="preserve">I du présent rapport. </w:t>
      </w:r>
      <w:r w:rsidR="00FF03B9" w:rsidRPr="00653BF4">
        <w:rPr>
          <w:color w:val="0E2841" w:themeColor="text2"/>
          <w:sz w:val="18"/>
          <w:szCs w:val="18"/>
          <w:lang w:val="fr-FR"/>
        </w:rPr>
        <w:t>En outre, la logique présidant à la compilation de ces notes est brièvement exposée dans la section relative à la méthode, dont le détail figure dans le document (</w:t>
      </w:r>
      <w:r w:rsidR="00604B6B">
        <w:rPr>
          <w:color w:val="0E2841" w:themeColor="text2"/>
          <w:sz w:val="18"/>
          <w:szCs w:val="18"/>
          <w:lang w:val="fr-FR"/>
        </w:rPr>
        <w:t>CDB</w:t>
      </w:r>
      <w:r w:rsidR="00FF03B9" w:rsidRPr="00653BF4">
        <w:rPr>
          <w:color w:val="0E2841" w:themeColor="text2"/>
          <w:sz w:val="18"/>
          <w:szCs w:val="18"/>
          <w:lang w:val="fr-FR"/>
        </w:rPr>
        <w:t>, 2026, CBD/SBSTTA/28/INF/9)</w:t>
      </w:r>
      <w:r w:rsidR="00B7579A" w:rsidRPr="00653BF4">
        <w:rPr>
          <w:color w:val="0E2841" w:themeColor="text2"/>
          <w:sz w:val="18"/>
          <w:szCs w:val="18"/>
          <w:lang w:val="fr-FR"/>
        </w:rPr>
        <w:t>.</w:t>
      </w:r>
    </w:p>
    <w:bookmarkEnd w:id="9"/>
    <w:p w14:paraId="2CAE2E7D" w14:textId="0F8E44CC" w:rsidR="00E268C5" w:rsidRPr="00653BF4" w:rsidRDefault="00E268C5" w:rsidP="00230AA3">
      <w:pPr>
        <w:rPr>
          <w:i/>
          <w:iCs/>
          <w:color w:val="0E2841" w:themeColor="text2"/>
          <w:sz w:val="18"/>
          <w:szCs w:val="18"/>
          <w:lang w:val="fr-FR"/>
        </w:rPr>
      </w:pPr>
    </w:p>
    <w:p w14:paraId="2FAB115A" w14:textId="74720546" w:rsidR="00BC4A74" w:rsidRPr="00653BF4" w:rsidRDefault="00BC4A74" w:rsidP="00BC4A74">
      <w:pPr>
        <w:pStyle w:val="Heading1"/>
        <w:rPr>
          <w:lang w:val="fr-FR"/>
        </w:rPr>
      </w:pPr>
      <w:bookmarkStart w:id="10" w:name="_Toc235821032"/>
      <w:bookmarkStart w:id="11" w:name="_Toc239069177"/>
      <w:bookmarkStart w:id="12" w:name="_Toc242801214"/>
      <w:r w:rsidRPr="00653BF4">
        <w:rPr>
          <w:lang w:val="fr-FR"/>
        </w:rPr>
        <w:t>Part</w:t>
      </w:r>
      <w:r w:rsidR="002E6D7A" w:rsidRPr="00653BF4">
        <w:rPr>
          <w:lang w:val="fr-FR"/>
        </w:rPr>
        <w:t>ie</w:t>
      </w:r>
      <w:r w:rsidRPr="00653BF4">
        <w:rPr>
          <w:lang w:val="fr-FR"/>
        </w:rPr>
        <w:t xml:space="preserve"> I: Introduction</w:t>
      </w:r>
      <w:bookmarkEnd w:id="10"/>
      <w:bookmarkEnd w:id="11"/>
      <w:bookmarkEnd w:id="12"/>
    </w:p>
    <w:p w14:paraId="72D31580" w14:textId="49777073" w:rsidR="00D1575F" w:rsidRPr="00653BF4" w:rsidRDefault="00BC4A74" w:rsidP="00D1575F">
      <w:pPr>
        <w:pStyle w:val="Heading2"/>
        <w:rPr>
          <w:lang w:val="fr-FR"/>
        </w:rPr>
      </w:pPr>
      <w:bookmarkStart w:id="13" w:name="_Toc235821033"/>
      <w:bookmarkStart w:id="14" w:name="_Toc239069178"/>
      <w:bookmarkStart w:id="15" w:name="_Toc242801215"/>
      <w:r w:rsidRPr="00653BF4">
        <w:rPr>
          <w:lang w:val="fr-FR"/>
        </w:rPr>
        <w:t xml:space="preserve">I.A </w:t>
      </w:r>
      <w:bookmarkStart w:id="16" w:name="_Toc227315891"/>
      <w:bookmarkStart w:id="17" w:name="_Toc230133151"/>
      <w:bookmarkEnd w:id="13"/>
      <w:bookmarkEnd w:id="14"/>
      <w:r w:rsidR="00C174F9" w:rsidRPr="00653BF4">
        <w:rPr>
          <w:lang w:val="fr-FR"/>
        </w:rPr>
        <w:t>Présentation du Cadre mondial de la biodiversité de Kunming-Montréal et du rapport mondial</w:t>
      </w:r>
      <w:bookmarkEnd w:id="15"/>
    </w:p>
    <w:p w14:paraId="24E96E97" w14:textId="5C2FA125" w:rsidR="00550E7A" w:rsidRPr="00653BF4" w:rsidRDefault="00C174F9" w:rsidP="00550E7A">
      <w:pPr>
        <w:pStyle w:val="Heading3"/>
        <w:rPr>
          <w:lang w:val="fr-FR"/>
        </w:rPr>
      </w:pPr>
      <w:bookmarkStart w:id="18" w:name="_Toc242801216"/>
      <w:bookmarkEnd w:id="16"/>
      <w:bookmarkEnd w:id="17"/>
      <w:r w:rsidRPr="00653BF4">
        <w:rPr>
          <w:lang w:val="fr-FR"/>
        </w:rPr>
        <w:t>Le Cadre</w:t>
      </w:r>
      <w:bookmarkEnd w:id="18"/>
    </w:p>
    <w:p w14:paraId="4A4DFFFF" w14:textId="708F7532" w:rsidR="00F775CD" w:rsidRPr="00653BF4" w:rsidRDefault="0039442A" w:rsidP="00F775CD">
      <w:pPr>
        <w:rPr>
          <w:lang w:val="fr-FR"/>
        </w:rPr>
      </w:pPr>
      <w:r w:rsidRPr="00653BF4">
        <w:rPr>
          <w:lang w:val="fr-FR"/>
        </w:rPr>
        <w:t>En décembre 2022, les 196</w:t>
      </w:r>
      <w:r w:rsidR="00E7680F" w:rsidRPr="00653BF4">
        <w:rPr>
          <w:lang w:val="fr-FR"/>
        </w:rPr>
        <w:t> </w:t>
      </w:r>
      <w:r w:rsidRPr="00653BF4">
        <w:rPr>
          <w:lang w:val="fr-FR"/>
        </w:rPr>
        <w:t>Parties à la Convention sur la diversité biologique ont adopté le Cadre mondial de la biodiversité de Kunming-Montréal</w:t>
      </w:r>
      <w:r w:rsidR="00B2624D">
        <w:rPr>
          <w:rStyle w:val="FootnoteReference"/>
          <w:lang w:val="fr-FR"/>
        </w:rPr>
        <w:footnoteReference w:id="2"/>
      </w:r>
      <w:r w:rsidRPr="00B2624D">
        <w:rPr>
          <w:lang w:val="fr-FR"/>
        </w:rPr>
        <w:t xml:space="preserve"> </w:t>
      </w:r>
      <w:r w:rsidRPr="00653BF4">
        <w:rPr>
          <w:lang w:val="fr-FR"/>
        </w:rPr>
        <w:t>(déc.</w:t>
      </w:r>
      <w:r w:rsidR="00BE6AC7">
        <w:rPr>
          <w:lang w:val="fr-FR"/>
        </w:rPr>
        <w:t> </w:t>
      </w:r>
      <w:r w:rsidRPr="00653BF4">
        <w:rPr>
          <w:lang w:val="fr-FR"/>
        </w:rPr>
        <w:t xml:space="preserve">15/4 de la </w:t>
      </w:r>
      <w:r w:rsidR="00711DD2" w:rsidRPr="00653BF4">
        <w:rPr>
          <w:lang w:val="fr-FR"/>
        </w:rPr>
        <w:t>CDB</w:t>
      </w:r>
      <w:r w:rsidRPr="00653BF4">
        <w:rPr>
          <w:lang w:val="fr-FR"/>
        </w:rPr>
        <w:t>, 2023). Ce Cadre constitue une stratégie multilatérale globale visant à atteindre les objectifs de la Convention, conformément au Programme de développement durable à l</w:t>
      </w:r>
      <w:r w:rsidR="002A58C8" w:rsidRPr="00653BF4">
        <w:rPr>
          <w:lang w:val="fr-FR"/>
        </w:rPr>
        <w:t>’</w:t>
      </w:r>
      <w:r w:rsidRPr="00653BF4">
        <w:rPr>
          <w:lang w:val="fr-FR"/>
        </w:rPr>
        <w:t>horizon 2030 et à ses Objectifs de développement durable (ODD) (Nations Unies, 2015). Lors de l</w:t>
      </w:r>
      <w:r w:rsidR="002A58C8" w:rsidRPr="00653BF4">
        <w:rPr>
          <w:lang w:val="fr-FR"/>
        </w:rPr>
        <w:t>’</w:t>
      </w:r>
      <w:r w:rsidRPr="00653BF4">
        <w:rPr>
          <w:lang w:val="fr-FR"/>
        </w:rPr>
        <w:t>adoption de ce Cadre, la Conférence des Parties à la Convention a décidé qu</w:t>
      </w:r>
      <w:r w:rsidR="002A58C8" w:rsidRPr="00653BF4">
        <w:rPr>
          <w:lang w:val="fr-FR"/>
        </w:rPr>
        <w:t>’</w:t>
      </w:r>
      <w:r w:rsidRPr="00653BF4">
        <w:rPr>
          <w:lang w:val="fr-FR"/>
        </w:rPr>
        <w:t xml:space="preserve">il servirait de plan stratégique pour la mise en œuvre de la Convention et de ses Protocoles, de ses organes et de son </w:t>
      </w:r>
      <w:r w:rsidR="002C36D5" w:rsidRPr="00653BF4">
        <w:rPr>
          <w:lang w:val="fr-FR"/>
        </w:rPr>
        <w:t>secrétariat</w:t>
      </w:r>
      <w:r w:rsidRPr="00653BF4">
        <w:rPr>
          <w:lang w:val="fr-FR"/>
        </w:rPr>
        <w:t xml:space="preserve"> pour la période 2022-2030.</w:t>
      </w:r>
    </w:p>
    <w:p w14:paraId="09F3FAC7" w14:textId="7BD30042" w:rsidR="009B09D6" w:rsidRPr="00653BF4" w:rsidRDefault="004A4C94" w:rsidP="009B09D6">
      <w:pPr>
        <w:rPr>
          <w:lang w:val="fr-FR"/>
        </w:rPr>
      </w:pPr>
      <w:r w:rsidRPr="00653BF4">
        <w:rPr>
          <w:lang w:val="fr-FR"/>
        </w:rPr>
        <w:t>Ce Cadre s</w:t>
      </w:r>
      <w:r w:rsidR="002A58C8" w:rsidRPr="00653BF4">
        <w:rPr>
          <w:lang w:val="fr-FR"/>
        </w:rPr>
        <w:t>’</w:t>
      </w:r>
      <w:r w:rsidRPr="00653BF4">
        <w:rPr>
          <w:lang w:val="fr-FR"/>
        </w:rPr>
        <w:t>appuie sur le Plan stratégique pour la biodiversité pour 2011-2020, y compris les Objectifs d</w:t>
      </w:r>
      <w:r w:rsidR="002A58C8" w:rsidRPr="00653BF4">
        <w:rPr>
          <w:lang w:val="fr-FR"/>
        </w:rPr>
        <w:t>’</w:t>
      </w:r>
      <w:r w:rsidRPr="00653BF4">
        <w:rPr>
          <w:lang w:val="fr-FR"/>
        </w:rPr>
        <w:t xml:space="preserve">Aichi pour la biodiversité (déc. X/2 de la </w:t>
      </w:r>
      <w:r w:rsidR="00711DD2" w:rsidRPr="00653BF4">
        <w:rPr>
          <w:lang w:val="fr-FR"/>
        </w:rPr>
        <w:t>CDB</w:t>
      </w:r>
      <w:r w:rsidRPr="00653BF4">
        <w:rPr>
          <w:lang w:val="fr-FR"/>
        </w:rPr>
        <w:t>, 2011), et définit une feuille de route ambitieuse visant à concrétiser d</w:t>
      </w:r>
      <w:r w:rsidR="002A58C8" w:rsidRPr="00653BF4">
        <w:rPr>
          <w:lang w:val="fr-FR"/>
        </w:rPr>
        <w:t>’</w:t>
      </w:r>
      <w:r w:rsidRPr="00653BF4">
        <w:rPr>
          <w:lang w:val="fr-FR"/>
        </w:rPr>
        <w:t>ici 2050 une vision mondiale d</w:t>
      </w:r>
      <w:r w:rsidR="002A58C8" w:rsidRPr="00653BF4">
        <w:rPr>
          <w:lang w:val="fr-FR"/>
        </w:rPr>
        <w:t>’</w:t>
      </w:r>
      <w:r w:rsidRPr="00653BF4">
        <w:rPr>
          <w:lang w:val="fr-FR"/>
        </w:rPr>
        <w:t xml:space="preserve">une vie en harmonie avec la nature (la </w:t>
      </w:r>
      <w:r w:rsidR="001B0808" w:rsidRPr="00653BF4">
        <w:rPr>
          <w:lang w:val="fr-FR"/>
        </w:rPr>
        <w:t>vision pour 205</w:t>
      </w:r>
      <w:r w:rsidR="00884D0F" w:rsidRPr="00653BF4">
        <w:rPr>
          <w:lang w:val="fr-FR"/>
        </w:rPr>
        <w:t>0</w:t>
      </w:r>
      <w:r w:rsidRPr="00653BF4">
        <w:rPr>
          <w:lang w:val="fr-FR"/>
        </w:rPr>
        <w:t>). Ce cadre propose une approche globale pour les mesures urgentes et transformatrices nécessaires afin d</w:t>
      </w:r>
      <w:r w:rsidR="002A58C8" w:rsidRPr="00653BF4">
        <w:rPr>
          <w:lang w:val="fr-FR"/>
        </w:rPr>
        <w:t>’</w:t>
      </w:r>
      <w:r w:rsidRPr="00653BF4">
        <w:rPr>
          <w:lang w:val="fr-FR"/>
        </w:rPr>
        <w:t>enrayer et d</w:t>
      </w:r>
      <w:r w:rsidR="002A58C8" w:rsidRPr="00653BF4">
        <w:rPr>
          <w:lang w:val="fr-FR"/>
        </w:rPr>
        <w:t>’</w:t>
      </w:r>
      <w:r w:rsidRPr="00653BF4">
        <w:rPr>
          <w:lang w:val="fr-FR"/>
        </w:rPr>
        <w:t>inverser la perte de biodiversité. Le succès de cette approche repose sur l</w:t>
      </w:r>
      <w:r w:rsidR="002A58C8" w:rsidRPr="00653BF4">
        <w:rPr>
          <w:lang w:val="fr-FR"/>
        </w:rPr>
        <w:t>’</w:t>
      </w:r>
      <w:r w:rsidRPr="00653BF4">
        <w:rPr>
          <w:lang w:val="fr-FR"/>
        </w:rPr>
        <w:t>engagement et les actions de tous les niveaux de gouvernement et de tous les acteurs de la société.</w:t>
      </w:r>
    </w:p>
    <w:p w14:paraId="371F1B66" w14:textId="54B56894" w:rsidR="00C77A0D" w:rsidRPr="00653BF4" w:rsidRDefault="0049547D" w:rsidP="00C77A0D">
      <w:pPr>
        <w:rPr>
          <w:lang w:val="fr-FR"/>
        </w:rPr>
      </w:pPr>
      <w:r w:rsidRPr="00653BF4">
        <w:rPr>
          <w:lang w:val="fr-FR"/>
        </w:rPr>
        <w:t>Le Cadre vise à traiter les facteurs à l</w:t>
      </w:r>
      <w:r w:rsidR="002A58C8" w:rsidRPr="00653BF4">
        <w:rPr>
          <w:lang w:val="fr-FR"/>
        </w:rPr>
        <w:t>’</w:t>
      </w:r>
      <w:r w:rsidRPr="00653BF4">
        <w:rPr>
          <w:lang w:val="fr-FR"/>
        </w:rPr>
        <w:t>origine de la perte de biodiversité identifiés dans le Rapport d</w:t>
      </w:r>
      <w:r w:rsidR="002A58C8" w:rsidRPr="00653BF4">
        <w:rPr>
          <w:lang w:val="fr-FR"/>
        </w:rPr>
        <w:t>’</w:t>
      </w:r>
      <w:r w:rsidRPr="00653BF4">
        <w:rPr>
          <w:lang w:val="fr-FR"/>
        </w:rPr>
        <w:t>évaluation mondial sur la biodiversité et les services écosystémiques de la Plateforme intergouvernementale scientifique et politique sur la biodiversité et les services écosystémiques (IPBES, 2019), la cinquième édition des Perspectives mondiales de la diversité biologique (</w:t>
      </w:r>
      <w:r w:rsidR="00711DD2" w:rsidRPr="00653BF4">
        <w:rPr>
          <w:lang w:val="fr-FR"/>
        </w:rPr>
        <w:t>CDB</w:t>
      </w:r>
      <w:r w:rsidRPr="00653BF4">
        <w:rPr>
          <w:lang w:val="fr-FR"/>
        </w:rPr>
        <w:t>, 2020) ainsi que de nombreux autres documents scientifiques qui fournissent de nombreuses preuves indiquant que, malgré les efforts en cours, la biodiversité se détériore à l</w:t>
      </w:r>
      <w:r w:rsidR="002A58C8" w:rsidRPr="00653BF4">
        <w:rPr>
          <w:lang w:val="fr-FR"/>
        </w:rPr>
        <w:t>’</w:t>
      </w:r>
      <w:r w:rsidRPr="00653BF4">
        <w:rPr>
          <w:lang w:val="fr-FR"/>
        </w:rPr>
        <w:t>échelle mondiale à un rythme sans précédent dans l</w:t>
      </w:r>
      <w:r w:rsidR="002A58C8" w:rsidRPr="00653BF4">
        <w:rPr>
          <w:lang w:val="fr-FR"/>
        </w:rPr>
        <w:t>’</w:t>
      </w:r>
      <w:r w:rsidRPr="00653BF4">
        <w:rPr>
          <w:lang w:val="fr-FR"/>
        </w:rPr>
        <w:t>histoire de l</w:t>
      </w:r>
      <w:r w:rsidR="002A58C8" w:rsidRPr="00653BF4">
        <w:rPr>
          <w:lang w:val="fr-FR"/>
        </w:rPr>
        <w:t>’</w:t>
      </w:r>
      <w:r w:rsidRPr="00653BF4">
        <w:rPr>
          <w:lang w:val="fr-FR"/>
        </w:rPr>
        <w:t>humanité.</w:t>
      </w:r>
    </w:p>
    <w:p w14:paraId="456A8269" w14:textId="36EE4D90" w:rsidR="008E3956" w:rsidRPr="00653BF4" w:rsidRDefault="00193B5D" w:rsidP="008E3956">
      <w:pPr>
        <w:rPr>
          <w:lang w:val="fr-FR"/>
        </w:rPr>
      </w:pPr>
      <w:r w:rsidRPr="00653BF4">
        <w:rPr>
          <w:lang w:val="fr-FR"/>
        </w:rPr>
        <w:lastRenderedPageBreak/>
        <w:t xml:space="preserve">Le Cadre comprend la </w:t>
      </w:r>
      <w:r w:rsidR="001B0808" w:rsidRPr="00653BF4">
        <w:rPr>
          <w:lang w:val="fr-FR"/>
        </w:rPr>
        <w:t>vision pour 2050</w:t>
      </w:r>
      <w:r w:rsidRPr="00653BF4">
        <w:rPr>
          <w:lang w:val="fr-FR"/>
        </w:rPr>
        <w:t xml:space="preserve"> et quatre objectifs axés sur les résultats à l</w:t>
      </w:r>
      <w:r w:rsidR="002A58C8" w:rsidRPr="00653BF4">
        <w:rPr>
          <w:lang w:val="fr-FR"/>
        </w:rPr>
        <w:t>’</w:t>
      </w:r>
      <w:r w:rsidRPr="00653BF4">
        <w:rPr>
          <w:lang w:val="fr-FR"/>
        </w:rPr>
        <w:t xml:space="preserve">horizon 2050, une mission (la </w:t>
      </w:r>
      <w:r w:rsidR="00634C92" w:rsidRPr="00653BF4">
        <w:rPr>
          <w:lang w:val="fr-FR"/>
        </w:rPr>
        <w:t>mission à l’horizon 2030</w:t>
      </w:r>
      <w:r w:rsidRPr="00653BF4">
        <w:rPr>
          <w:lang w:val="fr-FR"/>
        </w:rPr>
        <w:t>) ainsi que 23 cibles d</w:t>
      </w:r>
      <w:r w:rsidR="002A58C8" w:rsidRPr="00653BF4">
        <w:rPr>
          <w:lang w:val="fr-FR"/>
        </w:rPr>
        <w:t>’</w:t>
      </w:r>
      <w:r w:rsidRPr="00653BF4">
        <w:rPr>
          <w:lang w:val="fr-FR"/>
        </w:rPr>
        <w:t>action à atteindre d</w:t>
      </w:r>
      <w:r w:rsidR="002A58C8" w:rsidRPr="00653BF4">
        <w:rPr>
          <w:lang w:val="fr-FR"/>
        </w:rPr>
        <w:t>’</w:t>
      </w:r>
      <w:r w:rsidRPr="00653BF4">
        <w:rPr>
          <w:lang w:val="fr-FR"/>
        </w:rPr>
        <w:t>ici à 2030 afin de réaliser ces objectifs (sections F, G et H du Cadre). La mise en œuvre du Cadre s</w:t>
      </w:r>
      <w:r w:rsidR="002A58C8" w:rsidRPr="00653BF4">
        <w:rPr>
          <w:lang w:val="fr-FR"/>
        </w:rPr>
        <w:t>’</w:t>
      </w:r>
      <w:r w:rsidRPr="00653BF4">
        <w:rPr>
          <w:lang w:val="fr-FR"/>
        </w:rPr>
        <w:t>appuie sur 18 considérations transversales (section C du Cadre) et repose sur les fondements suivants</w:t>
      </w:r>
      <w:r w:rsidR="00E34DC9">
        <w:rPr>
          <w:lang w:val="fr-FR"/>
        </w:rPr>
        <w:t> :</w:t>
      </w:r>
      <w:r w:rsidRPr="00653BF4">
        <w:rPr>
          <w:lang w:val="fr-FR"/>
        </w:rPr>
        <w:t xml:space="preserve"> mécanismes de mise en œuvre et d</w:t>
      </w:r>
      <w:r w:rsidR="002A58C8" w:rsidRPr="00653BF4">
        <w:rPr>
          <w:lang w:val="fr-FR"/>
        </w:rPr>
        <w:t>’</w:t>
      </w:r>
      <w:r w:rsidRPr="00653BF4">
        <w:rPr>
          <w:lang w:val="fr-FR"/>
        </w:rPr>
        <w:t>appui ainsi que conditions propices</w:t>
      </w:r>
      <w:r w:rsidR="00E34DC9">
        <w:rPr>
          <w:lang w:val="fr-FR"/>
        </w:rPr>
        <w:t> ;</w:t>
      </w:r>
      <w:r w:rsidRPr="00653BF4">
        <w:rPr>
          <w:lang w:val="fr-FR"/>
        </w:rPr>
        <w:t xml:space="preserve"> responsabilité et transparence</w:t>
      </w:r>
      <w:r w:rsidR="00E34DC9">
        <w:rPr>
          <w:lang w:val="fr-FR"/>
        </w:rPr>
        <w:t> ;</w:t>
      </w:r>
      <w:r w:rsidRPr="00653BF4">
        <w:rPr>
          <w:lang w:val="fr-FR"/>
        </w:rPr>
        <w:t xml:space="preserve"> communication, éducation, sensibilisation et adoption (sections I, J et K du Cadre) (</w:t>
      </w:r>
      <w:r w:rsidR="00592405" w:rsidRPr="00653BF4">
        <w:rPr>
          <w:lang w:val="fr-FR"/>
        </w:rPr>
        <w:t>voir la figure </w:t>
      </w:r>
      <w:r w:rsidRPr="00653BF4">
        <w:rPr>
          <w:lang w:val="fr-FR"/>
        </w:rPr>
        <w:t>2).</w:t>
      </w:r>
    </w:p>
    <w:p w14:paraId="5E29B69E" w14:textId="61F34693" w:rsidR="002A0259" w:rsidRPr="00653BF4" w:rsidRDefault="000E7675" w:rsidP="00550E7A">
      <w:pPr>
        <w:rPr>
          <w:lang w:val="fr-FR"/>
        </w:rPr>
      </w:pPr>
      <w:r w:rsidRPr="00653BF4">
        <w:rPr>
          <w:lang w:val="fr-FR"/>
        </w:rPr>
        <w:t xml:space="preserve">Le volet </w:t>
      </w:r>
      <w:r w:rsidR="00E34DC9">
        <w:rPr>
          <w:lang w:val="fr-FR"/>
        </w:rPr>
        <w:t>« </w:t>
      </w:r>
      <w:r w:rsidRPr="00653BF4">
        <w:rPr>
          <w:lang w:val="fr-FR"/>
        </w:rPr>
        <w:t>responsabilité et transparence</w:t>
      </w:r>
      <w:r w:rsidR="00E34DC9">
        <w:rPr>
          <w:lang w:val="fr-FR"/>
        </w:rPr>
        <w:t> »</w:t>
      </w:r>
      <w:r w:rsidRPr="00653BF4">
        <w:rPr>
          <w:lang w:val="fr-FR"/>
        </w:rPr>
        <w:t xml:space="preserve"> du Cadre (section J) s</w:t>
      </w:r>
      <w:r w:rsidR="002A58C8" w:rsidRPr="00653BF4">
        <w:rPr>
          <w:lang w:val="fr-FR"/>
        </w:rPr>
        <w:t>’</w:t>
      </w:r>
      <w:r w:rsidRPr="00653BF4">
        <w:rPr>
          <w:lang w:val="fr-FR"/>
        </w:rPr>
        <w:t>appuie sur des mécanismes efficaces de planification, de suivi, d</w:t>
      </w:r>
      <w:r w:rsidR="002A58C8" w:rsidRPr="00653BF4">
        <w:rPr>
          <w:lang w:val="fr-FR"/>
        </w:rPr>
        <w:t>’</w:t>
      </w:r>
      <w:r w:rsidRPr="00653BF4">
        <w:rPr>
          <w:lang w:val="fr-FR"/>
        </w:rPr>
        <w:t>établissement de rapports et d</w:t>
      </w:r>
      <w:r w:rsidR="002A58C8" w:rsidRPr="00653BF4">
        <w:rPr>
          <w:lang w:val="fr-FR"/>
        </w:rPr>
        <w:t>’</w:t>
      </w:r>
      <w:r w:rsidRPr="00653BF4">
        <w:rPr>
          <w:lang w:val="fr-FR"/>
        </w:rPr>
        <w:t>examen. Ces mécanismes forment un système concerté, synchronisé et cyclique qui sert de cadre au présent rapport mondial. Ce système est résumé dans la division suivante (</w:t>
      </w:r>
      <w:r w:rsidR="00592405" w:rsidRPr="00653BF4">
        <w:rPr>
          <w:lang w:val="fr-FR"/>
        </w:rPr>
        <w:t>voir la figure </w:t>
      </w:r>
      <w:r w:rsidRPr="00653BF4">
        <w:rPr>
          <w:lang w:val="fr-FR"/>
        </w:rPr>
        <w:t>3).</w:t>
      </w:r>
    </w:p>
    <w:p w14:paraId="32E1EF95" w14:textId="1CE295F2" w:rsidR="00334B8D" w:rsidRPr="00653BF4" w:rsidRDefault="00D07017" w:rsidP="00334B8D">
      <w:pPr>
        <w:rPr>
          <w:lang w:val="fr-FR"/>
        </w:rPr>
      </w:pPr>
      <w:r w:rsidRPr="00653BF4">
        <w:rPr>
          <w:lang w:val="fr-FR"/>
        </w:rPr>
        <w:t>Le Cadre favorise la complémentarité et la coopération entre la Convention et ses Protocoles, les organes directeurs d</w:t>
      </w:r>
      <w:r w:rsidR="002A58C8" w:rsidRPr="00653BF4">
        <w:rPr>
          <w:lang w:val="fr-FR"/>
        </w:rPr>
        <w:t>’</w:t>
      </w:r>
      <w:r w:rsidRPr="00653BF4">
        <w:rPr>
          <w:lang w:val="fr-FR"/>
        </w:rPr>
        <w:t>autres Conventions connexes relatives à la biodiversité, ainsi que d</w:t>
      </w:r>
      <w:r w:rsidR="002A58C8" w:rsidRPr="00653BF4">
        <w:rPr>
          <w:lang w:val="fr-FR"/>
        </w:rPr>
        <w:t>’</w:t>
      </w:r>
      <w:r w:rsidRPr="00653BF4">
        <w:rPr>
          <w:lang w:val="fr-FR"/>
        </w:rPr>
        <w:t>autres accords multilatéraux sur l</w:t>
      </w:r>
      <w:r w:rsidR="002A58C8" w:rsidRPr="00653BF4">
        <w:rPr>
          <w:lang w:val="fr-FR"/>
        </w:rPr>
        <w:t>’</w:t>
      </w:r>
      <w:r w:rsidRPr="00653BF4">
        <w:rPr>
          <w:lang w:val="fr-FR"/>
        </w:rPr>
        <w:t xml:space="preserve">environnement et institutions internationales pertinentes, tout en respectant leurs mandats, et ouvre des perspectives de coopération et de partenariats. Des exemples de cette complémentarité sont présentés dans les </w:t>
      </w:r>
      <w:r w:rsidR="00422EC7" w:rsidRPr="00653BF4">
        <w:rPr>
          <w:lang w:val="fr-FR"/>
        </w:rPr>
        <w:t>résumé</w:t>
      </w:r>
      <w:r w:rsidRPr="00653BF4">
        <w:rPr>
          <w:lang w:val="fr-FR"/>
        </w:rPr>
        <w:t>s des progrès collectifs accomplis dans la réalisation de chacune des cibles (</w:t>
      </w:r>
      <w:r w:rsidR="002878D7">
        <w:rPr>
          <w:lang w:val="fr-FR"/>
        </w:rPr>
        <w:t>section I</w:t>
      </w:r>
      <w:r w:rsidRPr="00653BF4">
        <w:rPr>
          <w:lang w:val="fr-FR"/>
        </w:rPr>
        <w:t xml:space="preserve">I.B ci-dessous), ainsi que dans la </w:t>
      </w:r>
      <w:r w:rsidR="002878D7">
        <w:rPr>
          <w:lang w:val="fr-FR"/>
        </w:rPr>
        <w:t>section I</w:t>
      </w:r>
      <w:r w:rsidRPr="00653BF4">
        <w:rPr>
          <w:lang w:val="fr-FR"/>
        </w:rPr>
        <w:t>I.E consacrée aux contributions des accords multilatéraux sur l</w:t>
      </w:r>
      <w:r w:rsidR="002A58C8" w:rsidRPr="00653BF4">
        <w:rPr>
          <w:lang w:val="fr-FR"/>
        </w:rPr>
        <w:t>’</w:t>
      </w:r>
      <w:r w:rsidRPr="00653BF4">
        <w:rPr>
          <w:lang w:val="fr-FR"/>
        </w:rPr>
        <w:t>environnement, des organisations internationales et des processus pertinents.</w:t>
      </w:r>
    </w:p>
    <w:p w14:paraId="6FEAD5BE" w14:textId="51981DD9" w:rsidR="00754361" w:rsidRPr="00653BF4" w:rsidRDefault="00883DE2" w:rsidP="00883DE2">
      <w:pPr>
        <w:pStyle w:val="Caption"/>
        <w:keepNext/>
        <w:rPr>
          <w:i w:val="0"/>
          <w:sz w:val="20"/>
          <w:szCs w:val="20"/>
          <w:lang w:val="fr-FR"/>
        </w:rPr>
      </w:pPr>
      <w:bookmarkStart w:id="19" w:name="_Ref238130929"/>
      <w:r w:rsidRPr="00653BF4">
        <w:rPr>
          <w:i w:val="0"/>
          <w:sz w:val="20"/>
          <w:szCs w:val="20"/>
          <w:lang w:val="fr-FR"/>
        </w:rPr>
        <w:lastRenderedPageBreak/>
        <w:t>Figure 2</w:t>
      </w:r>
      <w:bookmarkEnd w:id="19"/>
    </w:p>
    <w:p w14:paraId="31D48FF0" w14:textId="6E33DEE1" w:rsidR="00883DE2" w:rsidRDefault="00D07017" w:rsidP="00883DE2">
      <w:pPr>
        <w:pStyle w:val="Caption"/>
        <w:keepNext/>
        <w:rPr>
          <w:b/>
          <w:i w:val="0"/>
          <w:sz w:val="20"/>
          <w:szCs w:val="20"/>
          <w:lang w:val="fr-FR"/>
        </w:rPr>
      </w:pPr>
      <w:r w:rsidRPr="00653BF4">
        <w:rPr>
          <w:b/>
          <w:i w:val="0"/>
          <w:sz w:val="20"/>
          <w:szCs w:val="20"/>
          <w:lang w:val="fr-FR"/>
        </w:rPr>
        <w:t>Représentation graphique du Cadre mondial de la biodiversité de Kunming-Montréal</w:t>
      </w:r>
    </w:p>
    <w:p w14:paraId="1525DF4F" w14:textId="12A20910" w:rsidR="00F80C93" w:rsidRPr="00653BF4" w:rsidRDefault="00631CFB" w:rsidP="00141505">
      <w:pPr>
        <w:rPr>
          <w:lang w:val="fr-FR"/>
        </w:rPr>
      </w:pPr>
      <w:r w:rsidRPr="00653BF4">
        <w:rPr>
          <w:noProof/>
          <w:lang w:val="fr-FR"/>
        </w:rPr>
        <w:drawing>
          <wp:inline distT="0" distB="0" distL="0" distR="0" wp14:anchorId="0C854874" wp14:editId="1EBE4497">
            <wp:extent cx="5731510" cy="3588385"/>
            <wp:effectExtent l="0" t="0" r="0" b="5715"/>
            <wp:docPr id="18444404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40403" name="Picture 184444040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588385"/>
                    </a:xfrm>
                    <a:prstGeom prst="rect">
                      <a:avLst/>
                    </a:prstGeom>
                  </pic:spPr>
                </pic:pic>
              </a:graphicData>
            </a:graphic>
          </wp:inline>
        </w:drawing>
      </w:r>
    </w:p>
    <w:tbl>
      <w:tblPr>
        <w:tblStyle w:val="TableGrid"/>
        <w:tblW w:w="9351" w:type="dxa"/>
        <w:tblLook w:val="04A0" w:firstRow="1" w:lastRow="0" w:firstColumn="1" w:lastColumn="0" w:noHBand="0" w:noVBand="1"/>
      </w:tblPr>
      <w:tblGrid>
        <w:gridCol w:w="4675"/>
        <w:gridCol w:w="4676"/>
      </w:tblGrid>
      <w:tr w:rsidR="003246FC" w:rsidRPr="0046019F" w14:paraId="7965F65C" w14:textId="77777777" w:rsidTr="009B4355">
        <w:tc>
          <w:tcPr>
            <w:tcW w:w="4678" w:type="dxa"/>
            <w:gridSpan w:val="2"/>
          </w:tcPr>
          <w:p w14:paraId="3A0F5613" w14:textId="77777777" w:rsidR="003246FC" w:rsidRPr="0046019F" w:rsidRDefault="003246FC" w:rsidP="009B4355">
            <w:pPr>
              <w:rPr>
                <w:rFonts w:ascii="Aptos" w:hAnsi="Aptos"/>
              </w:rPr>
            </w:pPr>
            <w:r w:rsidRPr="0046019F">
              <w:rPr>
                <w:rFonts w:ascii="Aptos" w:hAnsi="Aptos"/>
              </w:rPr>
              <w:t>Figure 2</w:t>
            </w:r>
          </w:p>
        </w:tc>
      </w:tr>
      <w:tr w:rsidR="003246FC" w:rsidRPr="0046019F" w14:paraId="2537BE64" w14:textId="77777777" w:rsidTr="009B4355">
        <w:tc>
          <w:tcPr>
            <w:tcW w:w="4678" w:type="dxa"/>
          </w:tcPr>
          <w:p w14:paraId="57A910FF" w14:textId="77777777" w:rsidR="003246FC" w:rsidRPr="0046019F" w:rsidRDefault="003246FC" w:rsidP="009B4355">
            <w:pPr>
              <w:rPr>
                <w:rFonts w:ascii="Aptos" w:hAnsi="Aptos"/>
              </w:rPr>
            </w:pPr>
            <w:r w:rsidRPr="0046019F">
              <w:rPr>
                <w:rFonts w:ascii="Aptos" w:hAnsi="Aptos"/>
              </w:rPr>
              <w:t>English</w:t>
            </w:r>
          </w:p>
        </w:tc>
        <w:tc>
          <w:tcPr>
            <w:tcW w:w="4678" w:type="dxa"/>
          </w:tcPr>
          <w:p w14:paraId="0BFDDDEF" w14:textId="77777777" w:rsidR="003246FC" w:rsidRPr="0046019F" w:rsidRDefault="003246FC" w:rsidP="009B4355">
            <w:pPr>
              <w:rPr>
                <w:rFonts w:ascii="Aptos" w:hAnsi="Aptos"/>
              </w:rPr>
            </w:pPr>
            <w:r>
              <w:rPr>
                <w:rFonts w:ascii="Aptos" w:hAnsi="Aptos"/>
              </w:rPr>
              <w:t>Français</w:t>
            </w:r>
          </w:p>
        </w:tc>
      </w:tr>
      <w:tr w:rsidR="003246FC" w:rsidRPr="003A6336" w14:paraId="6ACD0DC0" w14:textId="77777777" w:rsidTr="009B4355">
        <w:tc>
          <w:tcPr>
            <w:tcW w:w="4678" w:type="dxa"/>
          </w:tcPr>
          <w:p w14:paraId="668FCE61" w14:textId="77777777" w:rsidR="003246FC" w:rsidRPr="000D1C94" w:rsidRDefault="003246FC" w:rsidP="009B4355">
            <w:pPr>
              <w:rPr>
                <w:lang w:val="fr-FR"/>
              </w:rPr>
            </w:pPr>
            <w:r w:rsidRPr="000D1C94">
              <w:rPr>
                <w:lang w:val="fr-FR"/>
              </w:rPr>
              <w:t>Vision: A world living in harmony with nature by 2050</w:t>
            </w:r>
          </w:p>
        </w:tc>
        <w:tc>
          <w:tcPr>
            <w:tcW w:w="4678" w:type="dxa"/>
          </w:tcPr>
          <w:p w14:paraId="35ED4717" w14:textId="77777777" w:rsidR="003246FC" w:rsidRPr="000D1C94" w:rsidRDefault="003246FC" w:rsidP="009B4355">
            <w:pPr>
              <w:rPr>
                <w:lang w:val="fr-FR"/>
              </w:rPr>
            </w:pPr>
            <w:r w:rsidRPr="000D1C94">
              <w:rPr>
                <w:lang w:val="fr-FR"/>
              </w:rPr>
              <w:t>Vision : une société vivant en harmonie avec la nature d’ici à 2050</w:t>
            </w:r>
          </w:p>
        </w:tc>
      </w:tr>
      <w:tr w:rsidR="003246FC" w:rsidRPr="003A6336" w14:paraId="422F5C06" w14:textId="77777777" w:rsidTr="009B4355">
        <w:tc>
          <w:tcPr>
            <w:tcW w:w="4678" w:type="dxa"/>
          </w:tcPr>
          <w:p w14:paraId="57957B21" w14:textId="77777777" w:rsidR="003246FC" w:rsidRPr="000D1C94" w:rsidRDefault="003246FC" w:rsidP="009B4355">
            <w:pPr>
              <w:rPr>
                <w:lang w:val="fr-FR"/>
              </w:rPr>
            </w:pPr>
            <w:r w:rsidRPr="000D1C94">
              <w:rPr>
                <w:lang w:val="fr-FR"/>
              </w:rPr>
              <w:t>Goal A Protect and restore</w:t>
            </w:r>
          </w:p>
        </w:tc>
        <w:tc>
          <w:tcPr>
            <w:tcW w:w="4678" w:type="dxa"/>
          </w:tcPr>
          <w:p w14:paraId="1CA18EE9" w14:textId="77777777" w:rsidR="003246FC" w:rsidRPr="000D1C94" w:rsidRDefault="003246FC" w:rsidP="009B4355">
            <w:pPr>
              <w:rPr>
                <w:lang w:val="fr-FR"/>
              </w:rPr>
            </w:pPr>
            <w:r w:rsidRPr="000D1C94">
              <w:rPr>
                <w:lang w:val="fr-FR"/>
              </w:rPr>
              <w:t>Objectif A</w:t>
            </w:r>
          </w:p>
          <w:p w14:paraId="7CF44606" w14:textId="77777777" w:rsidR="003246FC" w:rsidRPr="000D1C94" w:rsidRDefault="003246FC" w:rsidP="009B4355">
            <w:pPr>
              <w:rPr>
                <w:lang w:val="fr-FR"/>
              </w:rPr>
            </w:pPr>
            <w:r w:rsidRPr="000D1C94">
              <w:rPr>
                <w:lang w:val="fr-FR"/>
              </w:rPr>
              <w:t>Préserver et rétablir</w:t>
            </w:r>
          </w:p>
        </w:tc>
      </w:tr>
      <w:tr w:rsidR="003246FC" w:rsidRPr="003A6336" w14:paraId="589C7838" w14:textId="77777777" w:rsidTr="009B4355">
        <w:tc>
          <w:tcPr>
            <w:tcW w:w="4678" w:type="dxa"/>
          </w:tcPr>
          <w:p w14:paraId="2DEA3829" w14:textId="77777777" w:rsidR="003246FC" w:rsidRPr="000D1C94" w:rsidRDefault="003246FC" w:rsidP="009B4355">
            <w:pPr>
              <w:rPr>
                <w:lang w:val="fr-FR"/>
              </w:rPr>
            </w:pPr>
            <w:r w:rsidRPr="000D1C94">
              <w:rPr>
                <w:lang w:val="fr-FR"/>
              </w:rPr>
              <w:t>Goal B</w:t>
            </w:r>
          </w:p>
          <w:p w14:paraId="0D79388A" w14:textId="77777777" w:rsidR="003246FC" w:rsidRPr="000D1C94" w:rsidRDefault="003246FC" w:rsidP="009B4355">
            <w:pPr>
              <w:rPr>
                <w:lang w:val="fr-FR"/>
              </w:rPr>
            </w:pPr>
            <w:r w:rsidRPr="000D1C94">
              <w:rPr>
                <w:lang w:val="fr-FR"/>
              </w:rPr>
              <w:t>Prosper with nature</w:t>
            </w:r>
          </w:p>
          <w:p w14:paraId="7E7AD015" w14:textId="77777777" w:rsidR="003246FC" w:rsidRPr="000D1C94" w:rsidRDefault="003246FC" w:rsidP="009B4355">
            <w:pPr>
              <w:rPr>
                <w:lang w:val="fr-FR"/>
              </w:rPr>
            </w:pPr>
          </w:p>
        </w:tc>
        <w:tc>
          <w:tcPr>
            <w:tcW w:w="4678" w:type="dxa"/>
          </w:tcPr>
          <w:p w14:paraId="488DC08C" w14:textId="77777777" w:rsidR="003246FC" w:rsidRPr="000D1C94" w:rsidRDefault="003246FC" w:rsidP="009B4355">
            <w:pPr>
              <w:rPr>
                <w:lang w:val="fr-FR"/>
              </w:rPr>
            </w:pPr>
            <w:r w:rsidRPr="000D1C94">
              <w:rPr>
                <w:lang w:val="fr-FR"/>
              </w:rPr>
              <w:t>Objectif B</w:t>
            </w:r>
          </w:p>
          <w:p w14:paraId="01208BB6" w14:textId="77777777" w:rsidR="003246FC" w:rsidRPr="000D1C94" w:rsidRDefault="003246FC" w:rsidP="009B4355">
            <w:pPr>
              <w:rPr>
                <w:lang w:val="fr-FR"/>
              </w:rPr>
            </w:pPr>
            <w:r w:rsidRPr="000D1C94">
              <w:rPr>
                <w:lang w:val="fr-FR"/>
              </w:rPr>
              <w:t>Prospérer avec la nature</w:t>
            </w:r>
          </w:p>
        </w:tc>
      </w:tr>
      <w:tr w:rsidR="003246FC" w:rsidRPr="003A6336" w14:paraId="6CB3DA36" w14:textId="77777777" w:rsidTr="009B4355">
        <w:tc>
          <w:tcPr>
            <w:tcW w:w="4678" w:type="dxa"/>
          </w:tcPr>
          <w:p w14:paraId="05BCD18B" w14:textId="77777777" w:rsidR="003246FC" w:rsidRPr="000D1C94" w:rsidRDefault="003246FC" w:rsidP="009B4355">
            <w:pPr>
              <w:rPr>
                <w:lang w:val="fr-FR"/>
              </w:rPr>
            </w:pPr>
            <w:r w:rsidRPr="000D1C94">
              <w:rPr>
                <w:lang w:val="fr-FR"/>
              </w:rPr>
              <w:t>Goal C</w:t>
            </w:r>
          </w:p>
          <w:p w14:paraId="37BF6E3B" w14:textId="77777777" w:rsidR="003246FC" w:rsidRPr="000D1C94" w:rsidRDefault="003246FC" w:rsidP="009B4355">
            <w:pPr>
              <w:rPr>
                <w:lang w:val="fr-FR"/>
              </w:rPr>
            </w:pPr>
            <w:r w:rsidRPr="000D1C94">
              <w:rPr>
                <w:lang w:val="fr-FR"/>
              </w:rPr>
              <w:t>Share benefits from genetic resources fairly</w:t>
            </w:r>
          </w:p>
        </w:tc>
        <w:tc>
          <w:tcPr>
            <w:tcW w:w="4678" w:type="dxa"/>
          </w:tcPr>
          <w:p w14:paraId="45F491C5" w14:textId="77777777" w:rsidR="003246FC" w:rsidRPr="000D1C94" w:rsidRDefault="003246FC" w:rsidP="009B4355">
            <w:pPr>
              <w:rPr>
                <w:lang w:val="fr-FR"/>
              </w:rPr>
            </w:pPr>
            <w:r w:rsidRPr="000D1C94">
              <w:rPr>
                <w:lang w:val="fr-FR"/>
              </w:rPr>
              <w:t>Objectif C</w:t>
            </w:r>
          </w:p>
          <w:p w14:paraId="5288FF38" w14:textId="77777777" w:rsidR="003246FC" w:rsidRPr="000D1C94" w:rsidRDefault="003246FC" w:rsidP="009B4355">
            <w:pPr>
              <w:rPr>
                <w:lang w:val="fr-FR"/>
              </w:rPr>
            </w:pPr>
            <w:r w:rsidRPr="000D1C94">
              <w:rPr>
                <w:lang w:val="fr-FR"/>
              </w:rPr>
              <w:t>Partager équitablement les avantages découlant des ressources génétiques</w:t>
            </w:r>
          </w:p>
        </w:tc>
      </w:tr>
      <w:tr w:rsidR="003246FC" w:rsidRPr="003A6336" w14:paraId="4C59F36B" w14:textId="77777777" w:rsidTr="009B4355">
        <w:tc>
          <w:tcPr>
            <w:tcW w:w="4678" w:type="dxa"/>
          </w:tcPr>
          <w:p w14:paraId="4AC745C6" w14:textId="77777777" w:rsidR="003246FC" w:rsidRPr="000D1C94" w:rsidRDefault="003246FC" w:rsidP="009B4355">
            <w:pPr>
              <w:rPr>
                <w:lang w:val="fr-FR"/>
              </w:rPr>
            </w:pPr>
            <w:r w:rsidRPr="000D1C94">
              <w:rPr>
                <w:lang w:val="fr-FR"/>
              </w:rPr>
              <w:t>Goal D</w:t>
            </w:r>
          </w:p>
          <w:p w14:paraId="59CC9605" w14:textId="77777777" w:rsidR="003246FC" w:rsidRPr="000D1C94" w:rsidRDefault="003246FC" w:rsidP="009B4355">
            <w:pPr>
              <w:rPr>
                <w:lang w:val="fr-FR"/>
              </w:rPr>
            </w:pPr>
            <w:r w:rsidRPr="000D1C94">
              <w:rPr>
                <w:lang w:val="fr-FR"/>
              </w:rPr>
              <w:t>Invest and collaborate</w:t>
            </w:r>
          </w:p>
        </w:tc>
        <w:tc>
          <w:tcPr>
            <w:tcW w:w="4678" w:type="dxa"/>
          </w:tcPr>
          <w:p w14:paraId="18A41689" w14:textId="77777777" w:rsidR="003246FC" w:rsidRPr="000D1C94" w:rsidRDefault="003246FC" w:rsidP="009B4355">
            <w:pPr>
              <w:rPr>
                <w:lang w:val="fr-FR"/>
              </w:rPr>
            </w:pPr>
            <w:r w:rsidRPr="000D1C94">
              <w:rPr>
                <w:lang w:val="fr-FR"/>
              </w:rPr>
              <w:t>Objectif D</w:t>
            </w:r>
          </w:p>
          <w:p w14:paraId="6A013BA4" w14:textId="77777777" w:rsidR="003246FC" w:rsidRPr="000D1C94" w:rsidRDefault="003246FC" w:rsidP="009B4355">
            <w:pPr>
              <w:rPr>
                <w:lang w:val="fr-FR"/>
              </w:rPr>
            </w:pPr>
            <w:r w:rsidRPr="000D1C94">
              <w:rPr>
                <w:lang w:val="fr-FR"/>
              </w:rPr>
              <w:t>Investir et collaborer</w:t>
            </w:r>
          </w:p>
        </w:tc>
      </w:tr>
      <w:tr w:rsidR="003246FC" w:rsidRPr="003A6336" w14:paraId="2CD74FF1" w14:textId="77777777" w:rsidTr="009B4355">
        <w:tc>
          <w:tcPr>
            <w:tcW w:w="4678" w:type="dxa"/>
          </w:tcPr>
          <w:p w14:paraId="31DC3ED7" w14:textId="77777777" w:rsidR="003246FC" w:rsidRPr="000D1C94" w:rsidRDefault="003246FC" w:rsidP="009B4355">
            <w:pPr>
              <w:rPr>
                <w:lang w:val="fr-FR"/>
              </w:rPr>
            </w:pPr>
            <w:r w:rsidRPr="000D1C94">
              <w:rPr>
                <w:lang w:val="fr-FR"/>
              </w:rPr>
              <w:t>2030 mission: To take urgent action to halt and reverse biodiversity loss to put nature on a path to recovery</w:t>
            </w:r>
          </w:p>
        </w:tc>
        <w:tc>
          <w:tcPr>
            <w:tcW w:w="4678" w:type="dxa"/>
          </w:tcPr>
          <w:p w14:paraId="69639851" w14:textId="77777777" w:rsidR="003246FC" w:rsidRPr="000D1C94" w:rsidRDefault="003246FC" w:rsidP="009B4355">
            <w:pPr>
              <w:rPr>
                <w:lang w:val="fr-FR"/>
              </w:rPr>
            </w:pPr>
            <w:r w:rsidRPr="000D1C94">
              <w:rPr>
                <w:lang w:val="fr-FR"/>
              </w:rPr>
              <w:t>Mission 2030 : prendre des mesures urgentes visant à faire cesser et à inverser la perte de biodiversité afin de promouvoir le rétablissement de la nature</w:t>
            </w:r>
          </w:p>
        </w:tc>
      </w:tr>
      <w:tr w:rsidR="003246FC" w:rsidRPr="003A6336" w14:paraId="0529EE1E" w14:textId="77777777" w:rsidTr="009B4355">
        <w:tc>
          <w:tcPr>
            <w:tcW w:w="4678" w:type="dxa"/>
          </w:tcPr>
          <w:p w14:paraId="5B229555" w14:textId="77777777" w:rsidR="003246FC" w:rsidRPr="000D1C94" w:rsidRDefault="003246FC" w:rsidP="009B4355">
            <w:pPr>
              <w:rPr>
                <w:lang w:val="fr-FR"/>
              </w:rPr>
            </w:pPr>
            <w:r w:rsidRPr="000D1C94">
              <w:rPr>
                <w:lang w:val="fr-FR"/>
              </w:rPr>
              <w:t>23 targets</w:t>
            </w:r>
          </w:p>
        </w:tc>
        <w:tc>
          <w:tcPr>
            <w:tcW w:w="4678" w:type="dxa"/>
          </w:tcPr>
          <w:p w14:paraId="58C7D457" w14:textId="77777777" w:rsidR="003246FC" w:rsidRPr="000D1C94" w:rsidRDefault="003246FC" w:rsidP="009B4355">
            <w:pPr>
              <w:rPr>
                <w:lang w:val="fr-FR"/>
              </w:rPr>
            </w:pPr>
            <w:r w:rsidRPr="000D1C94">
              <w:rPr>
                <w:lang w:val="fr-FR"/>
              </w:rPr>
              <w:t>23 cibles</w:t>
            </w:r>
          </w:p>
        </w:tc>
      </w:tr>
      <w:tr w:rsidR="003246FC" w:rsidRPr="003A6336" w14:paraId="6D4DB2DF" w14:textId="77777777" w:rsidTr="009B4355">
        <w:tc>
          <w:tcPr>
            <w:tcW w:w="4678" w:type="dxa"/>
          </w:tcPr>
          <w:p w14:paraId="34A0A694" w14:textId="77777777" w:rsidR="003246FC" w:rsidRPr="000D1C94" w:rsidRDefault="003246FC" w:rsidP="009B4355">
            <w:pPr>
              <w:rPr>
                <w:lang w:val="fr-FR"/>
              </w:rPr>
            </w:pPr>
            <w:r w:rsidRPr="000D1C94">
              <w:rPr>
                <w:lang w:val="fr-FR"/>
              </w:rPr>
              <w:t>Reducing threats</w:t>
            </w:r>
          </w:p>
        </w:tc>
        <w:tc>
          <w:tcPr>
            <w:tcW w:w="4678" w:type="dxa"/>
          </w:tcPr>
          <w:p w14:paraId="12233FA7" w14:textId="77777777" w:rsidR="003246FC" w:rsidRPr="000D1C94" w:rsidRDefault="003246FC" w:rsidP="009B4355">
            <w:pPr>
              <w:rPr>
                <w:lang w:val="fr-FR"/>
              </w:rPr>
            </w:pPr>
            <w:r w:rsidRPr="000D1C94">
              <w:rPr>
                <w:lang w:val="fr-FR"/>
              </w:rPr>
              <w:t>Réduire les menaces</w:t>
            </w:r>
          </w:p>
        </w:tc>
      </w:tr>
      <w:tr w:rsidR="003246FC" w:rsidRPr="003A6336" w14:paraId="19681021" w14:textId="77777777" w:rsidTr="009B4355">
        <w:tc>
          <w:tcPr>
            <w:tcW w:w="4678" w:type="dxa"/>
          </w:tcPr>
          <w:p w14:paraId="58D4009C" w14:textId="77777777" w:rsidR="003246FC" w:rsidRPr="000D1C94" w:rsidRDefault="003246FC" w:rsidP="009B4355">
            <w:pPr>
              <w:rPr>
                <w:lang w:val="fr-FR"/>
              </w:rPr>
            </w:pPr>
            <w:r w:rsidRPr="000D1C94">
              <w:rPr>
                <w:lang w:val="fr-FR"/>
              </w:rPr>
              <w:lastRenderedPageBreak/>
              <w:t>Meeting people’s needs</w:t>
            </w:r>
          </w:p>
        </w:tc>
        <w:tc>
          <w:tcPr>
            <w:tcW w:w="4678" w:type="dxa"/>
          </w:tcPr>
          <w:p w14:paraId="58283437" w14:textId="77777777" w:rsidR="003246FC" w:rsidRPr="000D1C94" w:rsidRDefault="003246FC" w:rsidP="009B4355">
            <w:pPr>
              <w:rPr>
                <w:lang w:val="fr-FR"/>
              </w:rPr>
            </w:pPr>
            <w:r w:rsidRPr="000D1C94">
              <w:rPr>
                <w:lang w:val="fr-FR"/>
              </w:rPr>
              <w:t>Satisfaire les besoins des populations</w:t>
            </w:r>
          </w:p>
        </w:tc>
      </w:tr>
      <w:tr w:rsidR="003246FC" w:rsidRPr="003A6336" w14:paraId="75D01DA6" w14:textId="77777777" w:rsidTr="009B4355">
        <w:tc>
          <w:tcPr>
            <w:tcW w:w="4678" w:type="dxa"/>
          </w:tcPr>
          <w:p w14:paraId="483F75EA" w14:textId="77777777" w:rsidR="003246FC" w:rsidRPr="000D1C94" w:rsidRDefault="003246FC" w:rsidP="009B4355">
            <w:pPr>
              <w:rPr>
                <w:lang w:val="fr-FR"/>
              </w:rPr>
            </w:pPr>
            <w:r w:rsidRPr="000D1C94">
              <w:rPr>
                <w:lang w:val="fr-FR"/>
              </w:rPr>
              <w:t>Tools and solutions</w:t>
            </w:r>
          </w:p>
        </w:tc>
        <w:tc>
          <w:tcPr>
            <w:tcW w:w="4678" w:type="dxa"/>
          </w:tcPr>
          <w:p w14:paraId="459B6720" w14:textId="77777777" w:rsidR="003246FC" w:rsidRPr="000D1C94" w:rsidRDefault="003246FC" w:rsidP="009B4355">
            <w:pPr>
              <w:rPr>
                <w:lang w:val="fr-FR"/>
              </w:rPr>
            </w:pPr>
            <w:r w:rsidRPr="000D1C94">
              <w:rPr>
                <w:lang w:val="fr-FR"/>
              </w:rPr>
              <w:t>Outils et solutions</w:t>
            </w:r>
          </w:p>
        </w:tc>
      </w:tr>
      <w:tr w:rsidR="003246FC" w:rsidRPr="003A6336" w14:paraId="1AAC695B" w14:textId="77777777" w:rsidTr="009B4355">
        <w:tc>
          <w:tcPr>
            <w:tcW w:w="4678" w:type="dxa"/>
          </w:tcPr>
          <w:p w14:paraId="4C0E6024" w14:textId="77777777" w:rsidR="003246FC" w:rsidRPr="000D1C94" w:rsidRDefault="003246FC" w:rsidP="009B4355">
            <w:pPr>
              <w:rPr>
                <w:lang w:val="fr-FR"/>
              </w:rPr>
            </w:pPr>
            <w:r w:rsidRPr="000D1C94">
              <w:rPr>
                <w:lang w:val="fr-FR"/>
              </w:rPr>
              <w:t>Cross-cutting considerations:</w:t>
            </w:r>
          </w:p>
        </w:tc>
        <w:tc>
          <w:tcPr>
            <w:tcW w:w="4678" w:type="dxa"/>
          </w:tcPr>
          <w:p w14:paraId="5E8B2236" w14:textId="77777777" w:rsidR="003246FC" w:rsidRPr="000D1C94" w:rsidRDefault="003246FC" w:rsidP="009B4355">
            <w:pPr>
              <w:rPr>
                <w:lang w:val="fr-FR"/>
              </w:rPr>
            </w:pPr>
            <w:r w:rsidRPr="000D1C94">
              <w:rPr>
                <w:lang w:val="fr-FR"/>
              </w:rPr>
              <w:t>Considérations transversales</w:t>
            </w:r>
          </w:p>
        </w:tc>
      </w:tr>
      <w:tr w:rsidR="003246FC" w:rsidRPr="003A6336" w14:paraId="47DE1DCA" w14:textId="77777777" w:rsidTr="009B4355">
        <w:tc>
          <w:tcPr>
            <w:tcW w:w="4678" w:type="dxa"/>
          </w:tcPr>
          <w:p w14:paraId="63528593" w14:textId="77777777" w:rsidR="003246FC" w:rsidRPr="00190524" w:rsidRDefault="003246FC" w:rsidP="009B4355">
            <w:pPr>
              <w:rPr>
                <w:lang w:val="fr-FR"/>
              </w:rPr>
            </w:pPr>
            <w:r w:rsidRPr="00190524">
              <w:rPr>
                <w:lang w:val="fr-FR"/>
              </w:rPr>
              <w:t>(a) Contribution and rights of indigenous peoples and local communities;</w:t>
            </w:r>
          </w:p>
        </w:tc>
        <w:tc>
          <w:tcPr>
            <w:tcW w:w="4678" w:type="dxa"/>
          </w:tcPr>
          <w:p w14:paraId="6FDB371C" w14:textId="77777777" w:rsidR="003246FC" w:rsidRPr="00190524" w:rsidRDefault="003246FC" w:rsidP="009B4355">
            <w:pPr>
              <w:rPr>
                <w:lang w:val="fr-FR"/>
              </w:rPr>
            </w:pPr>
            <w:r w:rsidRPr="00190524">
              <w:rPr>
                <w:lang w:val="fr-FR"/>
              </w:rPr>
              <w:t>a) Contribution et droits des peuples autochtones et communautés locales ;</w:t>
            </w:r>
          </w:p>
        </w:tc>
      </w:tr>
      <w:tr w:rsidR="003246FC" w:rsidRPr="003A6336" w14:paraId="775C5E30" w14:textId="77777777" w:rsidTr="009B4355">
        <w:tc>
          <w:tcPr>
            <w:tcW w:w="4678" w:type="dxa"/>
          </w:tcPr>
          <w:p w14:paraId="2F29A886" w14:textId="77777777" w:rsidR="003246FC" w:rsidRPr="00190524" w:rsidRDefault="003246FC" w:rsidP="009B4355">
            <w:pPr>
              <w:rPr>
                <w:lang w:val="fr-FR"/>
              </w:rPr>
            </w:pPr>
            <w:r w:rsidRPr="00190524">
              <w:rPr>
                <w:lang w:val="fr-FR"/>
              </w:rPr>
              <w:t>(b) Different value systems;</w:t>
            </w:r>
          </w:p>
        </w:tc>
        <w:tc>
          <w:tcPr>
            <w:tcW w:w="4678" w:type="dxa"/>
          </w:tcPr>
          <w:p w14:paraId="6C32E3DC" w14:textId="77777777" w:rsidR="003246FC" w:rsidRPr="00190524" w:rsidRDefault="003246FC" w:rsidP="009B4355">
            <w:pPr>
              <w:rPr>
                <w:lang w:val="fr-FR"/>
              </w:rPr>
            </w:pPr>
            <w:r w:rsidRPr="00190524">
              <w:rPr>
                <w:lang w:val="fr-FR"/>
              </w:rPr>
              <w:t>b) Différents systèmes de valeurs</w:t>
            </w:r>
          </w:p>
        </w:tc>
      </w:tr>
      <w:tr w:rsidR="003246FC" w:rsidRPr="003A6336" w14:paraId="7E16E328" w14:textId="77777777" w:rsidTr="009B4355">
        <w:tc>
          <w:tcPr>
            <w:tcW w:w="4678" w:type="dxa"/>
          </w:tcPr>
          <w:p w14:paraId="2D964D9A" w14:textId="77777777" w:rsidR="003246FC" w:rsidRPr="00190524" w:rsidRDefault="003246FC" w:rsidP="009B4355">
            <w:pPr>
              <w:rPr>
                <w:lang w:val="fr-FR"/>
              </w:rPr>
            </w:pPr>
            <w:r w:rsidRPr="00190524">
              <w:rPr>
                <w:lang w:val="fr-FR"/>
              </w:rPr>
              <w:t>(c) Whole-of-government and whole-of-society approach;</w:t>
            </w:r>
          </w:p>
        </w:tc>
        <w:tc>
          <w:tcPr>
            <w:tcW w:w="4678" w:type="dxa"/>
          </w:tcPr>
          <w:p w14:paraId="7A2BD1A7" w14:textId="77777777" w:rsidR="003246FC" w:rsidRPr="00190524" w:rsidRDefault="003246FC" w:rsidP="009B4355">
            <w:pPr>
              <w:rPr>
                <w:lang w:val="fr-FR"/>
              </w:rPr>
            </w:pPr>
            <w:r w:rsidRPr="00190524">
              <w:rPr>
                <w:lang w:val="fr-FR"/>
              </w:rPr>
              <w:t>c) Approche pangouvernementale et pansociétale ;</w:t>
            </w:r>
          </w:p>
        </w:tc>
      </w:tr>
      <w:tr w:rsidR="003246FC" w:rsidRPr="003A6336" w14:paraId="507C399C" w14:textId="77777777" w:rsidTr="009B4355">
        <w:trPr>
          <w:trHeight w:val="670"/>
        </w:trPr>
        <w:tc>
          <w:tcPr>
            <w:tcW w:w="4678" w:type="dxa"/>
          </w:tcPr>
          <w:p w14:paraId="4F158086" w14:textId="77777777" w:rsidR="003246FC" w:rsidRPr="00190524" w:rsidRDefault="003246FC" w:rsidP="009B4355">
            <w:pPr>
              <w:rPr>
                <w:lang w:val="fr-FR"/>
              </w:rPr>
            </w:pPr>
            <w:r w:rsidRPr="00190524">
              <w:rPr>
                <w:lang w:val="fr-FR"/>
              </w:rPr>
              <w:t>(d) National circumstances, priorities and capabilities;</w:t>
            </w:r>
          </w:p>
        </w:tc>
        <w:tc>
          <w:tcPr>
            <w:tcW w:w="4678" w:type="dxa"/>
          </w:tcPr>
          <w:p w14:paraId="06F06C6D" w14:textId="77777777" w:rsidR="003246FC" w:rsidRPr="00190524" w:rsidRDefault="003246FC" w:rsidP="009B4355">
            <w:pPr>
              <w:rPr>
                <w:lang w:val="fr-FR"/>
              </w:rPr>
            </w:pPr>
            <w:r w:rsidRPr="00190524">
              <w:rPr>
                <w:lang w:val="fr-FR"/>
              </w:rPr>
              <w:t>d) Contexte, priorités et capacités nationales ;</w:t>
            </w:r>
          </w:p>
        </w:tc>
      </w:tr>
      <w:tr w:rsidR="003246FC" w:rsidRPr="003A6336" w14:paraId="589E7DF2" w14:textId="77777777" w:rsidTr="009B4355">
        <w:tc>
          <w:tcPr>
            <w:tcW w:w="4678" w:type="dxa"/>
          </w:tcPr>
          <w:p w14:paraId="48BAEF5C" w14:textId="77777777" w:rsidR="003246FC" w:rsidRPr="00190524" w:rsidRDefault="003246FC" w:rsidP="009B4355">
            <w:pPr>
              <w:rPr>
                <w:lang w:val="fr-FR"/>
              </w:rPr>
            </w:pPr>
            <w:r w:rsidRPr="00190524">
              <w:rPr>
                <w:lang w:val="fr-FR"/>
              </w:rPr>
              <w:t>(e) Collective effort towards the targets;</w:t>
            </w:r>
          </w:p>
        </w:tc>
        <w:tc>
          <w:tcPr>
            <w:tcW w:w="4678" w:type="dxa"/>
          </w:tcPr>
          <w:p w14:paraId="467D8685" w14:textId="77777777" w:rsidR="003246FC" w:rsidRPr="00190524" w:rsidRDefault="003246FC" w:rsidP="009B4355">
            <w:pPr>
              <w:rPr>
                <w:lang w:val="fr-FR"/>
              </w:rPr>
            </w:pPr>
            <w:r w:rsidRPr="00190524">
              <w:rPr>
                <w:lang w:val="fr-FR"/>
              </w:rPr>
              <w:t>e) Efforts concertés en vue d’atteindre les cibles ;</w:t>
            </w:r>
          </w:p>
        </w:tc>
      </w:tr>
      <w:tr w:rsidR="003246FC" w:rsidRPr="003A6336" w14:paraId="778D5F77" w14:textId="77777777" w:rsidTr="009B4355">
        <w:tc>
          <w:tcPr>
            <w:tcW w:w="4678" w:type="dxa"/>
          </w:tcPr>
          <w:p w14:paraId="5352A0C1" w14:textId="77777777" w:rsidR="003246FC" w:rsidRPr="00190524" w:rsidRDefault="003246FC" w:rsidP="009B4355">
            <w:pPr>
              <w:rPr>
                <w:lang w:val="fr-FR"/>
              </w:rPr>
            </w:pPr>
            <w:r w:rsidRPr="00190524">
              <w:rPr>
                <w:lang w:val="fr-FR"/>
              </w:rPr>
              <w:t>(f) Right to development;</w:t>
            </w:r>
          </w:p>
        </w:tc>
        <w:tc>
          <w:tcPr>
            <w:tcW w:w="4678" w:type="dxa"/>
          </w:tcPr>
          <w:p w14:paraId="23EDDEE9" w14:textId="77777777" w:rsidR="003246FC" w:rsidRPr="00190524" w:rsidRDefault="003246FC" w:rsidP="009B4355">
            <w:pPr>
              <w:rPr>
                <w:lang w:val="fr-FR"/>
              </w:rPr>
            </w:pPr>
            <w:r w:rsidRPr="00190524">
              <w:rPr>
                <w:lang w:val="fr-FR"/>
              </w:rPr>
              <w:t>f) Droit au développement ;</w:t>
            </w:r>
          </w:p>
        </w:tc>
      </w:tr>
      <w:tr w:rsidR="003246FC" w:rsidRPr="003A6336" w14:paraId="56860216" w14:textId="77777777" w:rsidTr="009B4355">
        <w:tc>
          <w:tcPr>
            <w:tcW w:w="4678" w:type="dxa"/>
          </w:tcPr>
          <w:p w14:paraId="05945BBC" w14:textId="77777777" w:rsidR="003246FC" w:rsidRPr="00190524" w:rsidRDefault="003246FC" w:rsidP="009B4355">
            <w:pPr>
              <w:rPr>
                <w:lang w:val="fr-FR"/>
              </w:rPr>
            </w:pPr>
            <w:r w:rsidRPr="00190524">
              <w:rPr>
                <w:lang w:val="fr-FR"/>
              </w:rPr>
              <w:t>(g) Human rights-based approach;</w:t>
            </w:r>
          </w:p>
        </w:tc>
        <w:tc>
          <w:tcPr>
            <w:tcW w:w="4678" w:type="dxa"/>
          </w:tcPr>
          <w:p w14:paraId="278FE662" w14:textId="77777777" w:rsidR="003246FC" w:rsidRPr="00190524" w:rsidRDefault="003246FC" w:rsidP="009B4355">
            <w:pPr>
              <w:rPr>
                <w:lang w:val="fr-FR"/>
              </w:rPr>
            </w:pPr>
            <w:r w:rsidRPr="00190524">
              <w:rPr>
                <w:lang w:val="fr-FR"/>
              </w:rPr>
              <w:t>g) Approche fondée sur les droits humains ;</w:t>
            </w:r>
          </w:p>
        </w:tc>
      </w:tr>
      <w:tr w:rsidR="003246FC" w:rsidRPr="003A6336" w14:paraId="3B49AF05" w14:textId="77777777" w:rsidTr="009B4355">
        <w:tc>
          <w:tcPr>
            <w:tcW w:w="4678" w:type="dxa"/>
          </w:tcPr>
          <w:p w14:paraId="6E0AE094" w14:textId="77777777" w:rsidR="003246FC" w:rsidRPr="00190524" w:rsidRDefault="003246FC" w:rsidP="009B4355">
            <w:pPr>
              <w:rPr>
                <w:lang w:val="fr-FR"/>
              </w:rPr>
            </w:pPr>
            <w:r w:rsidRPr="00190524">
              <w:rPr>
                <w:lang w:val="fr-FR"/>
              </w:rPr>
              <w:t>(h) Gender;</w:t>
            </w:r>
          </w:p>
        </w:tc>
        <w:tc>
          <w:tcPr>
            <w:tcW w:w="4678" w:type="dxa"/>
          </w:tcPr>
          <w:p w14:paraId="32567EC2" w14:textId="77777777" w:rsidR="003246FC" w:rsidRPr="00190524" w:rsidRDefault="003246FC" w:rsidP="009B4355">
            <w:pPr>
              <w:rPr>
                <w:lang w:val="fr-FR"/>
              </w:rPr>
            </w:pPr>
            <w:r w:rsidRPr="00190524">
              <w:rPr>
                <w:lang w:val="fr-FR"/>
              </w:rPr>
              <w:t>h) Égalité des genres ;</w:t>
            </w:r>
          </w:p>
        </w:tc>
      </w:tr>
      <w:tr w:rsidR="003246FC" w:rsidRPr="003A6336" w14:paraId="45923643" w14:textId="77777777" w:rsidTr="009B4355">
        <w:tc>
          <w:tcPr>
            <w:tcW w:w="4678" w:type="dxa"/>
          </w:tcPr>
          <w:p w14:paraId="14CC24CA" w14:textId="77777777" w:rsidR="003246FC" w:rsidRPr="00190524" w:rsidRDefault="003246FC" w:rsidP="009B4355">
            <w:pPr>
              <w:rPr>
                <w:lang w:val="fr-FR"/>
              </w:rPr>
            </w:pPr>
            <w:r w:rsidRPr="00190524">
              <w:rPr>
                <w:lang w:val="fr-FR"/>
              </w:rPr>
              <w:t>(i) Fulfilment of the three objectives of the Convention and its Protocols and their balanced implementation;</w:t>
            </w:r>
          </w:p>
        </w:tc>
        <w:tc>
          <w:tcPr>
            <w:tcW w:w="4678" w:type="dxa"/>
          </w:tcPr>
          <w:p w14:paraId="76AC2847" w14:textId="77777777" w:rsidR="003246FC" w:rsidRPr="00190524" w:rsidRDefault="003246FC" w:rsidP="009B4355">
            <w:pPr>
              <w:rPr>
                <w:lang w:val="fr-FR"/>
              </w:rPr>
            </w:pPr>
            <w:r w:rsidRPr="00190524">
              <w:rPr>
                <w:lang w:val="fr-FR"/>
              </w:rPr>
              <w:t>i) Réalisation des trois objectifs de la Convention et de ses Protocoles et de leur mise en œuvre équilibrée ;</w:t>
            </w:r>
          </w:p>
        </w:tc>
      </w:tr>
      <w:tr w:rsidR="003246FC" w:rsidRPr="003A6336" w14:paraId="5F6B3B5C" w14:textId="77777777" w:rsidTr="009B4355">
        <w:tc>
          <w:tcPr>
            <w:tcW w:w="4678" w:type="dxa"/>
          </w:tcPr>
          <w:p w14:paraId="15387598" w14:textId="77777777" w:rsidR="003246FC" w:rsidRPr="00190524" w:rsidRDefault="003246FC" w:rsidP="009B4355">
            <w:pPr>
              <w:rPr>
                <w:lang w:val="fr-FR"/>
              </w:rPr>
            </w:pPr>
            <w:r w:rsidRPr="00190524">
              <w:rPr>
                <w:lang w:val="fr-FR"/>
              </w:rPr>
              <w:t>(j) Consistency with international agreements or instruments;</w:t>
            </w:r>
          </w:p>
        </w:tc>
        <w:tc>
          <w:tcPr>
            <w:tcW w:w="4678" w:type="dxa"/>
          </w:tcPr>
          <w:p w14:paraId="3204061C" w14:textId="77777777" w:rsidR="003246FC" w:rsidRPr="00190524" w:rsidRDefault="003246FC" w:rsidP="009B4355">
            <w:pPr>
              <w:rPr>
                <w:lang w:val="fr-FR"/>
              </w:rPr>
            </w:pPr>
            <w:r w:rsidRPr="00190524">
              <w:rPr>
                <w:lang w:val="fr-FR"/>
              </w:rPr>
              <w:t>j) Cohérence avec les accords ou instruments internationaux ;</w:t>
            </w:r>
          </w:p>
        </w:tc>
      </w:tr>
      <w:tr w:rsidR="003246FC" w:rsidRPr="003A6336" w14:paraId="286E594F" w14:textId="77777777" w:rsidTr="009B4355">
        <w:tc>
          <w:tcPr>
            <w:tcW w:w="4678" w:type="dxa"/>
          </w:tcPr>
          <w:p w14:paraId="2FD1146F" w14:textId="77777777" w:rsidR="003246FC" w:rsidRPr="00190524" w:rsidRDefault="003246FC" w:rsidP="009B4355">
            <w:pPr>
              <w:rPr>
                <w:lang w:val="fr-FR"/>
              </w:rPr>
            </w:pPr>
            <w:r w:rsidRPr="00190524">
              <w:rPr>
                <w:lang w:val="fr-FR"/>
              </w:rPr>
              <w:t>(k) Principles of the Rio Declaration on Environment and Development;</w:t>
            </w:r>
          </w:p>
        </w:tc>
        <w:tc>
          <w:tcPr>
            <w:tcW w:w="4678" w:type="dxa"/>
          </w:tcPr>
          <w:p w14:paraId="0309C244" w14:textId="77777777" w:rsidR="003246FC" w:rsidRPr="00190524" w:rsidRDefault="003246FC" w:rsidP="009B4355">
            <w:pPr>
              <w:rPr>
                <w:lang w:val="fr-FR"/>
              </w:rPr>
            </w:pPr>
            <w:r w:rsidRPr="00190524">
              <w:rPr>
                <w:lang w:val="fr-FR"/>
              </w:rPr>
              <w:t>k) Principes de la Déclaration de Rio sur l’environnement et le développement ;</w:t>
            </w:r>
          </w:p>
        </w:tc>
      </w:tr>
      <w:tr w:rsidR="003246FC" w:rsidRPr="003A6336" w14:paraId="4EE51D9D" w14:textId="77777777" w:rsidTr="009B4355">
        <w:tc>
          <w:tcPr>
            <w:tcW w:w="4678" w:type="dxa"/>
          </w:tcPr>
          <w:p w14:paraId="2C6504CB" w14:textId="77777777" w:rsidR="003246FC" w:rsidRPr="00190524" w:rsidRDefault="003246FC" w:rsidP="009B4355">
            <w:pPr>
              <w:rPr>
                <w:lang w:val="fr-FR"/>
              </w:rPr>
            </w:pPr>
            <w:r w:rsidRPr="00190524">
              <w:rPr>
                <w:lang w:val="fr-FR"/>
              </w:rPr>
              <w:t>(l) Science and innovation</w:t>
            </w:r>
          </w:p>
        </w:tc>
        <w:tc>
          <w:tcPr>
            <w:tcW w:w="4678" w:type="dxa"/>
          </w:tcPr>
          <w:p w14:paraId="3A75A91A" w14:textId="77777777" w:rsidR="003246FC" w:rsidRPr="00190524" w:rsidRDefault="003246FC" w:rsidP="009B4355">
            <w:pPr>
              <w:rPr>
                <w:lang w:val="fr-FR"/>
              </w:rPr>
            </w:pPr>
            <w:r w:rsidRPr="00190524">
              <w:rPr>
                <w:lang w:val="fr-FR"/>
              </w:rPr>
              <w:t>l) Science et innovation ;</w:t>
            </w:r>
          </w:p>
        </w:tc>
      </w:tr>
      <w:tr w:rsidR="003246FC" w:rsidRPr="003A6336" w14:paraId="13A316FC" w14:textId="77777777" w:rsidTr="009B4355">
        <w:tc>
          <w:tcPr>
            <w:tcW w:w="4678" w:type="dxa"/>
          </w:tcPr>
          <w:p w14:paraId="46AE01B4" w14:textId="77777777" w:rsidR="003246FC" w:rsidRPr="00190524" w:rsidRDefault="003246FC" w:rsidP="009B4355">
            <w:pPr>
              <w:rPr>
                <w:lang w:val="fr-FR"/>
              </w:rPr>
            </w:pPr>
            <w:r w:rsidRPr="00190524">
              <w:rPr>
                <w:lang w:val="fr-FR"/>
              </w:rPr>
              <w:t>(m) Ecosystem approach;</w:t>
            </w:r>
          </w:p>
        </w:tc>
        <w:tc>
          <w:tcPr>
            <w:tcW w:w="4678" w:type="dxa"/>
          </w:tcPr>
          <w:p w14:paraId="1C841EEC" w14:textId="77777777" w:rsidR="003246FC" w:rsidRPr="00190524" w:rsidRDefault="003246FC" w:rsidP="009B4355">
            <w:pPr>
              <w:rPr>
                <w:lang w:val="fr-FR"/>
              </w:rPr>
            </w:pPr>
            <w:r w:rsidRPr="00190524">
              <w:rPr>
                <w:lang w:val="fr-FR"/>
              </w:rPr>
              <w:t>m) Approche écosystémique ;</w:t>
            </w:r>
          </w:p>
        </w:tc>
      </w:tr>
      <w:tr w:rsidR="003246FC" w:rsidRPr="003A6336" w14:paraId="496515B4" w14:textId="77777777" w:rsidTr="009B4355">
        <w:tc>
          <w:tcPr>
            <w:tcW w:w="4678" w:type="dxa"/>
          </w:tcPr>
          <w:p w14:paraId="72B56D74" w14:textId="77777777" w:rsidR="003246FC" w:rsidRPr="00190524" w:rsidRDefault="003246FC" w:rsidP="009B4355">
            <w:pPr>
              <w:rPr>
                <w:lang w:val="fr-FR"/>
              </w:rPr>
            </w:pPr>
            <w:r w:rsidRPr="00190524">
              <w:rPr>
                <w:lang w:val="fr-FR"/>
              </w:rPr>
              <w:t>(n) Intergenerational equity;</w:t>
            </w:r>
          </w:p>
        </w:tc>
        <w:tc>
          <w:tcPr>
            <w:tcW w:w="4678" w:type="dxa"/>
          </w:tcPr>
          <w:p w14:paraId="3534E5EA" w14:textId="77777777" w:rsidR="003246FC" w:rsidRPr="00190524" w:rsidRDefault="003246FC" w:rsidP="009B4355">
            <w:pPr>
              <w:rPr>
                <w:lang w:val="fr-FR"/>
              </w:rPr>
            </w:pPr>
            <w:r w:rsidRPr="00190524">
              <w:rPr>
                <w:lang w:val="fr-FR"/>
              </w:rPr>
              <w:t>n) Équité intergénérationnelle ;</w:t>
            </w:r>
          </w:p>
        </w:tc>
      </w:tr>
      <w:tr w:rsidR="003246FC" w:rsidRPr="003A6336" w14:paraId="54519E36" w14:textId="77777777" w:rsidTr="009B4355">
        <w:tc>
          <w:tcPr>
            <w:tcW w:w="4678" w:type="dxa"/>
          </w:tcPr>
          <w:p w14:paraId="45FE701C" w14:textId="77777777" w:rsidR="003246FC" w:rsidRPr="00190524" w:rsidRDefault="003246FC" w:rsidP="009B4355">
            <w:pPr>
              <w:rPr>
                <w:lang w:val="fr-FR"/>
              </w:rPr>
            </w:pPr>
            <w:r w:rsidRPr="00190524">
              <w:rPr>
                <w:lang w:val="fr-FR"/>
              </w:rPr>
              <w:t>(o) Formal and informal education;</w:t>
            </w:r>
          </w:p>
        </w:tc>
        <w:tc>
          <w:tcPr>
            <w:tcW w:w="4678" w:type="dxa"/>
          </w:tcPr>
          <w:p w14:paraId="4D1FB438" w14:textId="77777777" w:rsidR="003246FC" w:rsidRPr="00190524" w:rsidRDefault="003246FC" w:rsidP="009B4355">
            <w:pPr>
              <w:rPr>
                <w:lang w:val="fr-FR"/>
              </w:rPr>
            </w:pPr>
            <w:r w:rsidRPr="00190524">
              <w:rPr>
                <w:lang w:val="fr-FR"/>
              </w:rPr>
              <w:t>o) Éducation formelle et informelle ;</w:t>
            </w:r>
          </w:p>
        </w:tc>
      </w:tr>
      <w:tr w:rsidR="003246FC" w:rsidRPr="003A6336" w14:paraId="746A83C5" w14:textId="77777777" w:rsidTr="009B4355">
        <w:tc>
          <w:tcPr>
            <w:tcW w:w="4678" w:type="dxa"/>
          </w:tcPr>
          <w:p w14:paraId="5A2F5D99" w14:textId="77777777" w:rsidR="003246FC" w:rsidRPr="00190524" w:rsidRDefault="003246FC" w:rsidP="009B4355">
            <w:pPr>
              <w:rPr>
                <w:lang w:val="fr-FR"/>
              </w:rPr>
            </w:pPr>
            <w:r w:rsidRPr="00190524">
              <w:rPr>
                <w:lang w:val="fr-FR"/>
              </w:rPr>
              <w:t>(p) Access to financial resources;</w:t>
            </w:r>
          </w:p>
        </w:tc>
        <w:tc>
          <w:tcPr>
            <w:tcW w:w="4678" w:type="dxa"/>
          </w:tcPr>
          <w:p w14:paraId="6626AA92" w14:textId="77777777" w:rsidR="003246FC" w:rsidRPr="00190524" w:rsidRDefault="003246FC" w:rsidP="009B4355">
            <w:pPr>
              <w:rPr>
                <w:lang w:val="fr-FR"/>
              </w:rPr>
            </w:pPr>
            <w:r w:rsidRPr="00190524">
              <w:rPr>
                <w:lang w:val="fr-FR"/>
              </w:rPr>
              <w:t>p) Accès aux ressources financières ;</w:t>
            </w:r>
          </w:p>
        </w:tc>
      </w:tr>
      <w:tr w:rsidR="003246FC" w:rsidRPr="003A6336" w14:paraId="76B70663" w14:textId="77777777" w:rsidTr="009B4355">
        <w:tc>
          <w:tcPr>
            <w:tcW w:w="4678" w:type="dxa"/>
          </w:tcPr>
          <w:p w14:paraId="354E0983" w14:textId="77777777" w:rsidR="003246FC" w:rsidRPr="00190524" w:rsidRDefault="003246FC" w:rsidP="009B4355">
            <w:pPr>
              <w:rPr>
                <w:lang w:val="fr-FR"/>
              </w:rPr>
            </w:pPr>
            <w:r w:rsidRPr="00190524">
              <w:rPr>
                <w:lang w:val="fr-FR"/>
              </w:rPr>
              <w:t>(q) Cooperation and synergies;</w:t>
            </w:r>
          </w:p>
        </w:tc>
        <w:tc>
          <w:tcPr>
            <w:tcW w:w="4678" w:type="dxa"/>
          </w:tcPr>
          <w:p w14:paraId="0DCFC4A1" w14:textId="77777777" w:rsidR="003246FC" w:rsidRPr="00190524" w:rsidRDefault="003246FC" w:rsidP="009B4355">
            <w:pPr>
              <w:rPr>
                <w:lang w:val="fr-FR"/>
              </w:rPr>
            </w:pPr>
            <w:r w:rsidRPr="00190524">
              <w:rPr>
                <w:lang w:val="fr-FR"/>
              </w:rPr>
              <w:t>q) Coopération et synergies ;</w:t>
            </w:r>
          </w:p>
        </w:tc>
      </w:tr>
      <w:tr w:rsidR="003246FC" w:rsidRPr="003A6336" w14:paraId="054EA70A" w14:textId="77777777" w:rsidTr="009B4355">
        <w:tc>
          <w:tcPr>
            <w:tcW w:w="4678" w:type="dxa"/>
          </w:tcPr>
          <w:p w14:paraId="667D031E" w14:textId="77777777" w:rsidR="003246FC" w:rsidRPr="00190524" w:rsidRDefault="003246FC" w:rsidP="009B4355">
            <w:pPr>
              <w:rPr>
                <w:lang w:val="fr-FR"/>
              </w:rPr>
            </w:pPr>
            <w:r w:rsidRPr="00190524">
              <w:rPr>
                <w:lang w:val="fr-FR"/>
              </w:rPr>
              <w:t>(r) Biodiversity and health</w:t>
            </w:r>
          </w:p>
        </w:tc>
        <w:tc>
          <w:tcPr>
            <w:tcW w:w="4678" w:type="dxa"/>
          </w:tcPr>
          <w:p w14:paraId="64ED792D" w14:textId="77777777" w:rsidR="003246FC" w:rsidRPr="00190524" w:rsidRDefault="003246FC" w:rsidP="009B4355">
            <w:pPr>
              <w:rPr>
                <w:lang w:val="fr-FR"/>
              </w:rPr>
            </w:pPr>
            <w:r w:rsidRPr="00190524">
              <w:rPr>
                <w:lang w:val="fr-FR"/>
              </w:rPr>
              <w:t>r) Biodiversité et santé</w:t>
            </w:r>
          </w:p>
        </w:tc>
      </w:tr>
      <w:tr w:rsidR="003246FC" w:rsidRPr="003A6336" w14:paraId="5F6B937E" w14:textId="77777777" w:rsidTr="009B4355">
        <w:tc>
          <w:tcPr>
            <w:tcW w:w="4678" w:type="dxa"/>
          </w:tcPr>
          <w:p w14:paraId="356AEF7E" w14:textId="77777777" w:rsidR="003246FC" w:rsidRPr="00190524" w:rsidRDefault="003246FC" w:rsidP="009B4355">
            <w:pPr>
              <w:rPr>
                <w:lang w:val="fr-FR"/>
              </w:rPr>
            </w:pPr>
            <w:r w:rsidRPr="00190524">
              <w:rPr>
                <w:lang w:val="fr-FR"/>
              </w:rPr>
              <w:t>Implementation and support mechanisms and enabling conditions</w:t>
            </w:r>
          </w:p>
        </w:tc>
        <w:tc>
          <w:tcPr>
            <w:tcW w:w="4678" w:type="dxa"/>
          </w:tcPr>
          <w:p w14:paraId="62728BD7" w14:textId="77777777" w:rsidR="003246FC" w:rsidRPr="00190524" w:rsidRDefault="003246FC" w:rsidP="009B4355">
            <w:pPr>
              <w:rPr>
                <w:lang w:val="fr-FR"/>
              </w:rPr>
            </w:pPr>
            <w:r w:rsidRPr="00190524">
              <w:rPr>
                <w:lang w:val="fr-FR"/>
              </w:rPr>
              <w:t>Mécanismes de mise en œuvre et d’appui, et conditions de réalisation</w:t>
            </w:r>
          </w:p>
        </w:tc>
      </w:tr>
      <w:tr w:rsidR="003246FC" w:rsidRPr="003A6336" w14:paraId="7C1CC738" w14:textId="77777777" w:rsidTr="009B4355">
        <w:tc>
          <w:tcPr>
            <w:tcW w:w="4678" w:type="dxa"/>
          </w:tcPr>
          <w:p w14:paraId="3D062130" w14:textId="77777777" w:rsidR="003246FC" w:rsidRPr="00190524" w:rsidRDefault="003246FC" w:rsidP="009B4355">
            <w:pPr>
              <w:rPr>
                <w:lang w:val="fr-FR"/>
              </w:rPr>
            </w:pPr>
            <w:r w:rsidRPr="00190524">
              <w:rPr>
                <w:lang w:val="fr-FR"/>
              </w:rPr>
              <w:t>Responsibility and transparency</w:t>
            </w:r>
          </w:p>
        </w:tc>
        <w:tc>
          <w:tcPr>
            <w:tcW w:w="4678" w:type="dxa"/>
          </w:tcPr>
          <w:p w14:paraId="2F34152A" w14:textId="77777777" w:rsidR="003246FC" w:rsidRPr="00190524" w:rsidRDefault="003246FC" w:rsidP="009B4355">
            <w:pPr>
              <w:rPr>
                <w:lang w:val="fr-FR"/>
              </w:rPr>
            </w:pPr>
            <w:r w:rsidRPr="00190524">
              <w:rPr>
                <w:lang w:val="fr-FR"/>
              </w:rPr>
              <w:t>Responsabilité et transparence</w:t>
            </w:r>
          </w:p>
        </w:tc>
      </w:tr>
      <w:tr w:rsidR="003246FC" w:rsidRPr="003A6336" w14:paraId="61973513" w14:textId="77777777" w:rsidTr="009B4355">
        <w:tc>
          <w:tcPr>
            <w:tcW w:w="4678" w:type="dxa"/>
          </w:tcPr>
          <w:p w14:paraId="77139CD0" w14:textId="77777777" w:rsidR="003246FC" w:rsidRPr="00190524" w:rsidRDefault="003246FC" w:rsidP="009B4355">
            <w:pPr>
              <w:rPr>
                <w:lang w:val="fr-FR"/>
              </w:rPr>
            </w:pPr>
            <w:r w:rsidRPr="00190524">
              <w:rPr>
                <w:lang w:val="fr-FR"/>
              </w:rPr>
              <w:t>Communication, education, awareness and uptake</w:t>
            </w:r>
          </w:p>
        </w:tc>
        <w:tc>
          <w:tcPr>
            <w:tcW w:w="4678" w:type="dxa"/>
          </w:tcPr>
          <w:p w14:paraId="4673BFF0" w14:textId="77777777" w:rsidR="003246FC" w:rsidRPr="00190524" w:rsidRDefault="003246FC" w:rsidP="009B4355">
            <w:pPr>
              <w:rPr>
                <w:lang w:val="fr-FR"/>
              </w:rPr>
            </w:pPr>
            <w:r w:rsidRPr="00190524">
              <w:rPr>
                <w:lang w:val="fr-FR"/>
              </w:rPr>
              <w:t>Communication, éducation, sensibilisation et appropriation</w:t>
            </w:r>
          </w:p>
        </w:tc>
      </w:tr>
    </w:tbl>
    <w:p w14:paraId="5500550F" w14:textId="4278157E" w:rsidR="00550E7A" w:rsidRPr="00653BF4" w:rsidRDefault="00550E7A" w:rsidP="00217008">
      <w:pPr>
        <w:pStyle w:val="Caption"/>
        <w:rPr>
          <w:lang w:val="fr-FR"/>
        </w:rPr>
      </w:pPr>
    </w:p>
    <w:p w14:paraId="2F4B19FF" w14:textId="6284045B" w:rsidR="00FB3C79" w:rsidRPr="00653BF4" w:rsidRDefault="003043C6" w:rsidP="00D22D6F">
      <w:pPr>
        <w:pStyle w:val="Heading3"/>
        <w:rPr>
          <w:lang w:val="fr-FR" w:eastAsia="ja-JP"/>
        </w:rPr>
      </w:pPr>
      <w:bookmarkStart w:id="20" w:name="_Toc242801217"/>
      <w:r w:rsidRPr="00653BF4">
        <w:rPr>
          <w:lang w:val="fr-FR" w:eastAsia="ja-JP"/>
        </w:rPr>
        <w:t>Planification, suivi, établissement de rapports et examen</w:t>
      </w:r>
      <w:bookmarkEnd w:id="20"/>
    </w:p>
    <w:p w14:paraId="43441249" w14:textId="2DD3805A" w:rsidR="005954BA" w:rsidRPr="00653BF4" w:rsidRDefault="00BD4642" w:rsidP="00D22D6F">
      <w:pPr>
        <w:rPr>
          <w:lang w:val="fr-FR" w:eastAsia="ja-JP"/>
        </w:rPr>
      </w:pPr>
      <w:r w:rsidRPr="00653BF4">
        <w:rPr>
          <w:lang w:val="fr-FR" w:eastAsia="ja-JP"/>
        </w:rPr>
        <w:t xml:space="preserve">Le mécanisme mis en place par le Cadre pour garantir la responsabilité et la transparence comporte les éléments clés suivants, illustrés par la </w:t>
      </w:r>
      <w:r w:rsidR="004D7DAE" w:rsidRPr="00653BF4">
        <w:rPr>
          <w:lang w:val="fr-FR" w:eastAsia="ja-JP"/>
        </w:rPr>
        <w:t>f</w:t>
      </w:r>
      <w:r w:rsidRPr="00653BF4">
        <w:rPr>
          <w:lang w:val="fr-FR" w:eastAsia="ja-JP"/>
        </w:rPr>
        <w:t>igure 3</w:t>
      </w:r>
      <w:r w:rsidR="00D85033" w:rsidRPr="00653BF4">
        <w:rPr>
          <w:lang w:val="fr-FR" w:eastAsia="ja-JP"/>
        </w:rPr>
        <w:t>.</w:t>
      </w:r>
    </w:p>
    <w:p w14:paraId="5E4ACD5E" w14:textId="10CDBE9D" w:rsidR="007E54F2" w:rsidRPr="00653BF4" w:rsidRDefault="00BD4642" w:rsidP="00306E04">
      <w:pPr>
        <w:pStyle w:val="ListParagraph"/>
        <w:numPr>
          <w:ilvl w:val="0"/>
          <w:numId w:val="6"/>
        </w:numPr>
        <w:rPr>
          <w:lang w:val="fr-FR" w:eastAsia="ja-JP"/>
        </w:rPr>
      </w:pPr>
      <w:r w:rsidRPr="00653BF4">
        <w:rPr>
          <w:lang w:val="fr-FR" w:eastAsia="ja-JP"/>
        </w:rPr>
        <w:t>Planification</w:t>
      </w:r>
      <w:r w:rsidR="00E34DC9">
        <w:rPr>
          <w:lang w:val="fr-FR" w:eastAsia="ja-JP"/>
        </w:rPr>
        <w:t> :</w:t>
      </w:r>
      <w:r w:rsidRPr="00653BF4">
        <w:rPr>
          <w:lang w:val="fr-FR" w:eastAsia="ja-JP"/>
        </w:rPr>
        <w:t xml:space="preserve"> au niveau national, consistant en des stratégies et plans d</w:t>
      </w:r>
      <w:r w:rsidR="002A58C8" w:rsidRPr="00653BF4">
        <w:rPr>
          <w:lang w:val="fr-FR" w:eastAsia="ja-JP"/>
        </w:rPr>
        <w:t>’</w:t>
      </w:r>
      <w:r w:rsidRPr="00653BF4">
        <w:rPr>
          <w:lang w:val="fr-FR" w:eastAsia="ja-JP"/>
        </w:rPr>
        <w:t>action nationaux pour la biodiversité (SPANB) révisés ou mis à jour, ainsi qu</w:t>
      </w:r>
      <w:r w:rsidR="002A58C8" w:rsidRPr="00653BF4">
        <w:rPr>
          <w:lang w:val="fr-FR" w:eastAsia="ja-JP"/>
        </w:rPr>
        <w:t>’</w:t>
      </w:r>
      <w:r w:rsidRPr="00653BF4">
        <w:rPr>
          <w:lang w:val="fr-FR" w:eastAsia="ja-JP"/>
        </w:rPr>
        <w:t xml:space="preserve">en des cibles </w:t>
      </w:r>
      <w:r w:rsidRPr="00653BF4">
        <w:rPr>
          <w:lang w:val="fr-FR" w:eastAsia="ja-JP"/>
        </w:rPr>
        <w:lastRenderedPageBreak/>
        <w:t xml:space="preserve">nationales alignées sur le Cadre, définissant la contribution de chaque Partie aux cibles et aux objectifs du Cadre (déc. 15/6 de la </w:t>
      </w:r>
      <w:r w:rsidR="00711DD2" w:rsidRPr="00653BF4">
        <w:rPr>
          <w:lang w:val="fr-FR" w:eastAsia="ja-JP"/>
        </w:rPr>
        <w:t>CDB</w:t>
      </w:r>
      <w:r w:rsidRPr="00653BF4">
        <w:rPr>
          <w:lang w:val="fr-FR" w:eastAsia="ja-JP"/>
        </w:rPr>
        <w:t>, 2023)</w:t>
      </w:r>
    </w:p>
    <w:p w14:paraId="479D7981" w14:textId="170FA701" w:rsidR="00AE5818" w:rsidRPr="00653BF4" w:rsidRDefault="00AE5818" w:rsidP="00306E04">
      <w:pPr>
        <w:pStyle w:val="ListParagraph"/>
        <w:numPr>
          <w:ilvl w:val="0"/>
          <w:numId w:val="6"/>
        </w:numPr>
        <w:rPr>
          <w:lang w:val="fr-FR" w:eastAsia="ja-JP"/>
        </w:rPr>
      </w:pPr>
      <w:r w:rsidRPr="00653BF4">
        <w:rPr>
          <w:lang w:val="fr-FR"/>
        </w:rPr>
        <w:t>Suivi</w:t>
      </w:r>
      <w:r w:rsidR="00E34DC9">
        <w:rPr>
          <w:lang w:val="fr-FR"/>
        </w:rPr>
        <w:t> :</w:t>
      </w:r>
      <w:r w:rsidRPr="00653BF4">
        <w:rPr>
          <w:lang w:val="fr-FR"/>
        </w:rPr>
        <w:t xml:space="preserve"> utilisation d</w:t>
      </w:r>
      <w:r w:rsidR="002A58C8" w:rsidRPr="00653BF4">
        <w:rPr>
          <w:lang w:val="fr-FR"/>
        </w:rPr>
        <w:t>’</w:t>
      </w:r>
      <w:r w:rsidR="00163FDD" w:rsidRPr="00653BF4">
        <w:rPr>
          <w:lang w:val="fr-FR"/>
        </w:rPr>
        <w:t>indicateurs phares</w:t>
      </w:r>
      <w:r w:rsidRPr="00653BF4">
        <w:rPr>
          <w:lang w:val="fr-FR"/>
        </w:rPr>
        <w:t xml:space="preserve"> et binaires, ainsi que d</w:t>
      </w:r>
      <w:r w:rsidR="002A58C8" w:rsidRPr="00653BF4">
        <w:rPr>
          <w:lang w:val="fr-FR"/>
        </w:rPr>
        <w:t>’</w:t>
      </w:r>
      <w:r w:rsidRPr="00653BF4">
        <w:rPr>
          <w:lang w:val="fr-FR"/>
        </w:rPr>
        <w:t xml:space="preserve">indicateurs facultatifs, complémentaires et supplémentaires aux niveaux national ou </w:t>
      </w:r>
      <w:r w:rsidR="00732004" w:rsidRPr="00653BF4">
        <w:rPr>
          <w:lang w:val="fr-FR"/>
        </w:rPr>
        <w:t>infranational</w:t>
      </w:r>
      <w:r w:rsidRPr="00653BF4">
        <w:rPr>
          <w:lang w:val="fr-FR"/>
        </w:rPr>
        <w:t>, afin de suivre les progrès accomplis, comme le prévoit le cadre de suivi créé parallèlement au Cadre lui-même (voir l</w:t>
      </w:r>
      <w:r w:rsidR="002A58C8" w:rsidRPr="00653BF4">
        <w:rPr>
          <w:lang w:val="fr-FR"/>
        </w:rPr>
        <w:t>’</w:t>
      </w:r>
      <w:r w:rsidRPr="00653BF4">
        <w:rPr>
          <w:lang w:val="fr-FR"/>
        </w:rPr>
        <w:t xml:space="preserve">annexe I de la décision 15/5 de la </w:t>
      </w:r>
      <w:r w:rsidR="00711DD2" w:rsidRPr="00653BF4">
        <w:rPr>
          <w:lang w:val="fr-FR"/>
        </w:rPr>
        <w:t>CDB</w:t>
      </w:r>
      <w:r w:rsidRPr="00653BF4">
        <w:rPr>
          <w:lang w:val="fr-FR"/>
        </w:rPr>
        <w:t>, 2023</w:t>
      </w:r>
      <w:r w:rsidR="00E34DC9">
        <w:rPr>
          <w:lang w:val="fr-FR"/>
        </w:rPr>
        <w:t> ;</w:t>
      </w:r>
      <w:r w:rsidRPr="00653BF4">
        <w:rPr>
          <w:lang w:val="fr-FR"/>
        </w:rPr>
        <w:t xml:space="preserve"> et l</w:t>
      </w:r>
      <w:r w:rsidR="002A58C8" w:rsidRPr="00653BF4">
        <w:rPr>
          <w:lang w:val="fr-FR"/>
        </w:rPr>
        <w:t>’</w:t>
      </w:r>
      <w:r w:rsidRPr="00653BF4">
        <w:rPr>
          <w:lang w:val="fr-FR"/>
        </w:rPr>
        <w:t xml:space="preserve">annexe I </w:t>
      </w:r>
      <w:r w:rsidR="00732004" w:rsidRPr="00653BF4">
        <w:rPr>
          <w:lang w:val="fr-FR"/>
        </w:rPr>
        <w:t>à</w:t>
      </w:r>
      <w:r w:rsidRPr="00653BF4">
        <w:rPr>
          <w:lang w:val="fr-FR"/>
        </w:rPr>
        <w:t xml:space="preserve"> la décision 16/31 de la </w:t>
      </w:r>
      <w:r w:rsidR="00711DD2" w:rsidRPr="00653BF4">
        <w:rPr>
          <w:lang w:val="fr-FR"/>
        </w:rPr>
        <w:t>CDB</w:t>
      </w:r>
      <w:r w:rsidRPr="00653BF4">
        <w:rPr>
          <w:lang w:val="fr-FR"/>
        </w:rPr>
        <w:t>, 2026)</w:t>
      </w:r>
    </w:p>
    <w:p w14:paraId="698D1446" w14:textId="1C7D1CEE" w:rsidR="00382E1C" w:rsidRPr="00653BF4" w:rsidRDefault="00804043" w:rsidP="00306E04">
      <w:pPr>
        <w:pStyle w:val="ListParagraph"/>
        <w:numPr>
          <w:ilvl w:val="0"/>
          <w:numId w:val="6"/>
        </w:numPr>
        <w:rPr>
          <w:lang w:val="fr-FR" w:eastAsia="ja-JP"/>
        </w:rPr>
      </w:pPr>
      <w:r w:rsidRPr="00653BF4">
        <w:rPr>
          <w:lang w:val="fr-FR" w:eastAsia="ja-JP"/>
        </w:rPr>
        <w:t>Établissement de rapports</w:t>
      </w:r>
      <w:r w:rsidR="00E34DC9">
        <w:rPr>
          <w:lang w:val="fr-FR" w:eastAsia="ja-JP"/>
        </w:rPr>
        <w:t> :</w:t>
      </w:r>
      <w:r w:rsidRPr="00653BF4">
        <w:rPr>
          <w:lang w:val="fr-FR" w:eastAsia="ja-JP"/>
        </w:rPr>
        <w:t xml:space="preserve"> élaboration et soumission de rapports nationaux selon un modèle approuvé par la Conférence des Parties, permettant à chaque Partie de rendre compte des progrès accomplis dans la mise en œuvre de ses cibles nationales, y compris la communication de données relatives aux </w:t>
      </w:r>
      <w:r w:rsidR="00163FDD" w:rsidRPr="00653BF4">
        <w:rPr>
          <w:lang w:val="fr-FR" w:eastAsia="ja-JP"/>
        </w:rPr>
        <w:t>indicateurs phares</w:t>
      </w:r>
      <w:r w:rsidRPr="00653BF4">
        <w:rPr>
          <w:lang w:val="fr-FR" w:eastAsia="ja-JP"/>
        </w:rPr>
        <w:t xml:space="preserve">, binaires et facultatifs (déc. 15/6 de la </w:t>
      </w:r>
      <w:r w:rsidR="00711DD2" w:rsidRPr="00653BF4">
        <w:rPr>
          <w:lang w:val="fr-FR" w:eastAsia="ja-JP"/>
        </w:rPr>
        <w:t>CDB</w:t>
      </w:r>
      <w:r w:rsidRPr="00653BF4">
        <w:rPr>
          <w:lang w:val="fr-FR" w:eastAsia="ja-JP"/>
        </w:rPr>
        <w:t>, 2023</w:t>
      </w:r>
      <w:r w:rsidR="00E34DC9">
        <w:rPr>
          <w:lang w:val="fr-FR" w:eastAsia="ja-JP"/>
        </w:rPr>
        <w:t> ;</w:t>
      </w:r>
      <w:r w:rsidRPr="00653BF4">
        <w:rPr>
          <w:lang w:val="fr-FR" w:eastAsia="ja-JP"/>
        </w:rPr>
        <w:t xml:space="preserve"> et déc. 16/32 de la </w:t>
      </w:r>
      <w:r w:rsidR="00711DD2" w:rsidRPr="00653BF4">
        <w:rPr>
          <w:lang w:val="fr-FR" w:eastAsia="ja-JP"/>
        </w:rPr>
        <w:t>CDB</w:t>
      </w:r>
      <w:r w:rsidRPr="00653BF4">
        <w:rPr>
          <w:lang w:val="fr-FR" w:eastAsia="ja-JP"/>
        </w:rPr>
        <w:t>, 2026)</w:t>
      </w:r>
    </w:p>
    <w:p w14:paraId="39FA91A7" w14:textId="4D825F4D" w:rsidR="008248EC" w:rsidRPr="00653BF4" w:rsidRDefault="001C3B1D" w:rsidP="00306E04">
      <w:pPr>
        <w:pStyle w:val="ListParagraph"/>
        <w:numPr>
          <w:ilvl w:val="0"/>
          <w:numId w:val="6"/>
        </w:numPr>
        <w:rPr>
          <w:lang w:val="fr-FR" w:eastAsia="ja-JP"/>
        </w:rPr>
      </w:pPr>
      <w:r w:rsidRPr="00653BF4">
        <w:rPr>
          <w:lang w:val="fr-FR" w:eastAsia="ja-JP"/>
        </w:rPr>
        <w:t>Examen</w:t>
      </w:r>
      <w:r w:rsidR="00E34DC9">
        <w:rPr>
          <w:lang w:val="fr-FR" w:eastAsia="ja-JP"/>
        </w:rPr>
        <w:t> :</w:t>
      </w:r>
      <w:r w:rsidRPr="00653BF4">
        <w:rPr>
          <w:lang w:val="fr-FR" w:eastAsia="ja-JP"/>
        </w:rPr>
        <w:t xml:space="preserve"> examens mondiaux des progrès collectifs accomplis dans la mise en œuvre du Cadre, entrepris lors des dix-septième et dix-neuvième sessions de la Conférence des Parties, respectivement en 2026 et 2030, et débouchant, si nécessaire, sur des recommandations visant à renforcer les actions et les efforts afin d</w:t>
      </w:r>
      <w:r w:rsidR="002A58C8" w:rsidRPr="00653BF4">
        <w:rPr>
          <w:lang w:val="fr-FR" w:eastAsia="ja-JP"/>
        </w:rPr>
        <w:t>’</w:t>
      </w:r>
      <w:r w:rsidRPr="00653BF4">
        <w:rPr>
          <w:lang w:val="fr-FR" w:eastAsia="ja-JP"/>
        </w:rPr>
        <w:t>atteindre les cibles fixées pour 2030 et de réaliser les objectifs fixés pour 2050. Chaque examen s</w:t>
      </w:r>
      <w:r w:rsidR="002A58C8" w:rsidRPr="00653BF4">
        <w:rPr>
          <w:lang w:val="fr-FR" w:eastAsia="ja-JP"/>
        </w:rPr>
        <w:t>’</w:t>
      </w:r>
      <w:r w:rsidRPr="00653BF4">
        <w:rPr>
          <w:lang w:val="fr-FR" w:eastAsia="ja-JP"/>
        </w:rPr>
        <w:t>appuie sur un rapport mondial sur les progrès collectifs accomplis dans la mise en œuvre du Cadre, les rapports nationaux en constituant les principales sources d</w:t>
      </w:r>
      <w:r w:rsidR="002A58C8" w:rsidRPr="00653BF4">
        <w:rPr>
          <w:lang w:val="fr-FR" w:eastAsia="ja-JP"/>
        </w:rPr>
        <w:t>’</w:t>
      </w:r>
      <w:r w:rsidRPr="00653BF4">
        <w:rPr>
          <w:lang w:val="fr-FR" w:eastAsia="ja-JP"/>
        </w:rPr>
        <w:t xml:space="preserve">information (déc. 15/6 de la </w:t>
      </w:r>
      <w:r w:rsidR="00711DD2" w:rsidRPr="00653BF4">
        <w:rPr>
          <w:lang w:val="fr-FR" w:eastAsia="ja-JP"/>
        </w:rPr>
        <w:t>CDB</w:t>
      </w:r>
      <w:r w:rsidRPr="00653BF4">
        <w:rPr>
          <w:lang w:val="fr-FR" w:eastAsia="ja-JP"/>
        </w:rPr>
        <w:t>, 2023</w:t>
      </w:r>
      <w:r w:rsidR="00E34DC9">
        <w:rPr>
          <w:lang w:val="fr-FR" w:eastAsia="ja-JP"/>
        </w:rPr>
        <w:t> ;</w:t>
      </w:r>
      <w:r w:rsidRPr="00653BF4">
        <w:rPr>
          <w:lang w:val="fr-FR" w:eastAsia="ja-JP"/>
        </w:rPr>
        <w:t xml:space="preserve"> et déc. 16/32 de la </w:t>
      </w:r>
      <w:r w:rsidR="00711DD2" w:rsidRPr="00653BF4">
        <w:rPr>
          <w:lang w:val="fr-FR" w:eastAsia="ja-JP"/>
        </w:rPr>
        <w:t>CDB</w:t>
      </w:r>
      <w:r w:rsidRPr="00653BF4">
        <w:rPr>
          <w:lang w:val="fr-FR" w:eastAsia="ja-JP"/>
        </w:rPr>
        <w:t>, 2026)</w:t>
      </w:r>
    </w:p>
    <w:p w14:paraId="51CA37FC" w14:textId="77777777" w:rsidR="00751F56" w:rsidRPr="00653BF4" w:rsidRDefault="00751F56" w:rsidP="00751F56">
      <w:pPr>
        <w:pStyle w:val="ListParagraph"/>
        <w:rPr>
          <w:lang w:val="fr-FR" w:eastAsia="ja-JP"/>
        </w:rPr>
      </w:pPr>
      <w:bookmarkStart w:id="21" w:name="_Ref230343694"/>
    </w:p>
    <w:p w14:paraId="4056DC74" w14:textId="77777777" w:rsidR="00751F56" w:rsidRPr="00653BF4" w:rsidRDefault="00751F56" w:rsidP="008A53F3">
      <w:pPr>
        <w:pStyle w:val="Caption"/>
        <w:rPr>
          <w:b/>
          <w:bCs/>
          <w:i w:val="0"/>
          <w:iCs w:val="0"/>
          <w:lang w:val="fr-FR"/>
        </w:rPr>
      </w:pPr>
    </w:p>
    <w:p w14:paraId="071A6E23" w14:textId="6316B554" w:rsidR="008A53F3" w:rsidRDefault="008A53F3" w:rsidP="008A53F3">
      <w:pPr>
        <w:pStyle w:val="Caption"/>
        <w:rPr>
          <w:b/>
          <w:bCs/>
          <w:i w:val="0"/>
          <w:iCs w:val="0"/>
          <w:sz w:val="20"/>
          <w:szCs w:val="20"/>
          <w:lang w:val="fr-FR"/>
        </w:rPr>
      </w:pPr>
      <w:r w:rsidRPr="00653BF4">
        <w:rPr>
          <w:i w:val="0"/>
          <w:sz w:val="20"/>
          <w:szCs w:val="20"/>
          <w:lang w:val="fr-FR"/>
        </w:rPr>
        <w:t xml:space="preserve">Figure </w:t>
      </w:r>
      <w:bookmarkEnd w:id="21"/>
      <w:r w:rsidRPr="00653BF4">
        <w:rPr>
          <w:i w:val="0"/>
          <w:sz w:val="20"/>
          <w:szCs w:val="20"/>
          <w:lang w:val="fr-FR"/>
        </w:rPr>
        <w:t>3</w:t>
      </w:r>
      <w:r w:rsidRPr="00653BF4">
        <w:rPr>
          <w:i w:val="0"/>
          <w:iCs w:val="0"/>
          <w:noProof/>
          <w:sz w:val="20"/>
          <w:szCs w:val="20"/>
          <w:lang w:val="fr-FR"/>
        </w:rPr>
        <w:t>:</w:t>
      </w:r>
      <w:r w:rsidRPr="00653BF4">
        <w:rPr>
          <w:b/>
          <w:bCs/>
          <w:i w:val="0"/>
          <w:iCs w:val="0"/>
          <w:sz w:val="20"/>
          <w:szCs w:val="20"/>
          <w:lang w:val="fr-FR"/>
        </w:rPr>
        <w:t xml:space="preserve"> </w:t>
      </w:r>
      <w:r w:rsidR="00B85B71" w:rsidRPr="00653BF4">
        <w:rPr>
          <w:b/>
          <w:bCs/>
          <w:i w:val="0"/>
          <w:iCs w:val="0"/>
          <w:sz w:val="20"/>
          <w:szCs w:val="20"/>
          <w:lang w:val="fr-FR"/>
        </w:rPr>
        <w:t xml:space="preserve">Illustration de la composante </w:t>
      </w:r>
      <w:r w:rsidR="00E34DC9">
        <w:rPr>
          <w:b/>
          <w:bCs/>
          <w:i w:val="0"/>
          <w:iCs w:val="0"/>
          <w:sz w:val="20"/>
          <w:szCs w:val="20"/>
          <w:lang w:val="fr-FR"/>
        </w:rPr>
        <w:t>« </w:t>
      </w:r>
      <w:r w:rsidR="00B85B71" w:rsidRPr="00653BF4">
        <w:rPr>
          <w:b/>
          <w:bCs/>
          <w:i w:val="0"/>
          <w:iCs w:val="0"/>
          <w:sz w:val="20"/>
          <w:szCs w:val="20"/>
          <w:lang w:val="fr-FR"/>
        </w:rPr>
        <w:t>responsabilité et transparence</w:t>
      </w:r>
      <w:r w:rsidR="00E34DC9">
        <w:rPr>
          <w:b/>
          <w:bCs/>
          <w:i w:val="0"/>
          <w:iCs w:val="0"/>
          <w:sz w:val="20"/>
          <w:szCs w:val="20"/>
          <w:lang w:val="fr-FR"/>
        </w:rPr>
        <w:t> »</w:t>
      </w:r>
      <w:r w:rsidR="00B85B71" w:rsidRPr="00653BF4">
        <w:rPr>
          <w:b/>
          <w:bCs/>
          <w:i w:val="0"/>
          <w:iCs w:val="0"/>
          <w:sz w:val="20"/>
          <w:szCs w:val="20"/>
          <w:lang w:val="fr-FR"/>
        </w:rPr>
        <w:t xml:space="preserve"> du Cadre, intégrant le mécanisme de planification, de suivi, d</w:t>
      </w:r>
      <w:r w:rsidR="002A58C8" w:rsidRPr="00653BF4">
        <w:rPr>
          <w:b/>
          <w:bCs/>
          <w:i w:val="0"/>
          <w:iCs w:val="0"/>
          <w:sz w:val="20"/>
          <w:szCs w:val="20"/>
          <w:lang w:val="fr-FR"/>
        </w:rPr>
        <w:t>’</w:t>
      </w:r>
      <w:r w:rsidR="00B85B71" w:rsidRPr="00653BF4">
        <w:rPr>
          <w:b/>
          <w:bCs/>
          <w:i w:val="0"/>
          <w:iCs w:val="0"/>
          <w:sz w:val="20"/>
          <w:szCs w:val="20"/>
          <w:lang w:val="fr-FR"/>
        </w:rPr>
        <w:t>établissement de rapports et d</w:t>
      </w:r>
      <w:r w:rsidR="002A58C8" w:rsidRPr="00653BF4">
        <w:rPr>
          <w:b/>
          <w:bCs/>
          <w:i w:val="0"/>
          <w:iCs w:val="0"/>
          <w:sz w:val="20"/>
          <w:szCs w:val="20"/>
          <w:lang w:val="fr-FR"/>
        </w:rPr>
        <w:t>’</w:t>
      </w:r>
      <w:r w:rsidR="00B85B71" w:rsidRPr="00653BF4">
        <w:rPr>
          <w:b/>
          <w:bCs/>
          <w:i w:val="0"/>
          <w:iCs w:val="0"/>
          <w:sz w:val="20"/>
          <w:szCs w:val="20"/>
          <w:lang w:val="fr-FR"/>
        </w:rPr>
        <w:t xml:space="preserve">examen (décision 15/6 de la </w:t>
      </w:r>
      <w:r w:rsidR="00711DD2" w:rsidRPr="00653BF4">
        <w:rPr>
          <w:b/>
          <w:bCs/>
          <w:i w:val="0"/>
          <w:iCs w:val="0"/>
          <w:sz w:val="20"/>
          <w:szCs w:val="20"/>
          <w:lang w:val="fr-FR"/>
        </w:rPr>
        <w:t>CDB</w:t>
      </w:r>
      <w:r w:rsidR="00B85B71" w:rsidRPr="00653BF4">
        <w:rPr>
          <w:b/>
          <w:bCs/>
          <w:i w:val="0"/>
          <w:iCs w:val="0"/>
          <w:sz w:val="20"/>
          <w:szCs w:val="20"/>
          <w:lang w:val="fr-FR"/>
        </w:rPr>
        <w:t>, 2023)</w:t>
      </w:r>
    </w:p>
    <w:p w14:paraId="4C427487" w14:textId="687B1E71" w:rsidR="00F255BC" w:rsidRPr="00653BF4" w:rsidRDefault="00F255BC" w:rsidP="008248EC">
      <w:pPr>
        <w:pStyle w:val="ListParagraph"/>
        <w:rPr>
          <w:sz w:val="20"/>
          <w:szCs w:val="20"/>
          <w:lang w:val="fr-FR" w:eastAsia="ja-JP"/>
        </w:rPr>
      </w:pPr>
    </w:p>
    <w:p w14:paraId="79E44383" w14:textId="215B5E72" w:rsidR="00F80C93" w:rsidRDefault="000E27F9" w:rsidP="004B016A">
      <w:pPr>
        <w:rPr>
          <w:lang w:val="fr-FR"/>
        </w:rPr>
      </w:pPr>
      <w:r w:rsidRPr="00653BF4">
        <w:rPr>
          <w:noProof/>
          <w:lang w:val="fr-FR"/>
        </w:rPr>
        <w:lastRenderedPageBreak/>
        <w:drawing>
          <wp:inline distT="0" distB="0" distL="0" distR="0" wp14:anchorId="5F0DDA8D" wp14:editId="1539F4D9">
            <wp:extent cx="5731510" cy="3800475"/>
            <wp:effectExtent l="0" t="0" r="0" b="0"/>
            <wp:docPr id="2106699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8368" name=""/>
                    <pic:cNvPicPr/>
                  </pic:nvPicPr>
                  <pic:blipFill>
                    <a:blip r:embed="rId18"/>
                    <a:stretch>
                      <a:fillRect/>
                    </a:stretch>
                  </pic:blipFill>
                  <pic:spPr>
                    <a:xfrm>
                      <a:off x="0" y="0"/>
                      <a:ext cx="5731510" cy="3800475"/>
                    </a:xfrm>
                    <a:prstGeom prst="rect">
                      <a:avLst/>
                    </a:prstGeom>
                  </pic:spPr>
                </pic:pic>
              </a:graphicData>
            </a:graphic>
          </wp:inline>
        </w:drawing>
      </w:r>
    </w:p>
    <w:tbl>
      <w:tblPr>
        <w:tblStyle w:val="TableGrid"/>
        <w:tblW w:w="8520" w:type="dxa"/>
        <w:tblLook w:val="06A0" w:firstRow="1" w:lastRow="0" w:firstColumn="1" w:lastColumn="0" w:noHBand="1" w:noVBand="1"/>
      </w:tblPr>
      <w:tblGrid>
        <w:gridCol w:w="4183"/>
        <w:gridCol w:w="4337"/>
      </w:tblGrid>
      <w:tr w:rsidR="003246FC" w:rsidRPr="0046019F" w14:paraId="4C728212" w14:textId="77777777" w:rsidTr="009B4355">
        <w:tc>
          <w:tcPr>
            <w:tcW w:w="8520" w:type="dxa"/>
            <w:gridSpan w:val="2"/>
          </w:tcPr>
          <w:p w14:paraId="68E5A186" w14:textId="77777777" w:rsidR="003246FC" w:rsidRPr="0046019F" w:rsidRDefault="003246FC" w:rsidP="009B4355">
            <w:pPr>
              <w:rPr>
                <w:rFonts w:ascii="Aptos" w:eastAsia="Segoe UI" w:hAnsi="Aptos" w:cs="Segoe UI"/>
                <w:color w:val="000000" w:themeColor="text1"/>
              </w:rPr>
            </w:pPr>
            <w:r w:rsidRPr="0046019F">
              <w:rPr>
                <w:rFonts w:ascii="Aptos" w:hAnsi="Aptos"/>
              </w:rPr>
              <w:t>Figure 3</w:t>
            </w:r>
          </w:p>
        </w:tc>
      </w:tr>
      <w:tr w:rsidR="003246FC" w:rsidRPr="0046019F" w14:paraId="73C28A3A" w14:textId="77777777" w:rsidTr="009B4355">
        <w:tc>
          <w:tcPr>
            <w:tcW w:w="4183" w:type="dxa"/>
          </w:tcPr>
          <w:p w14:paraId="5FF4D80F" w14:textId="77777777" w:rsidR="003246FC" w:rsidRPr="0046019F" w:rsidRDefault="003246FC" w:rsidP="009B4355">
            <w:pPr>
              <w:rPr>
                <w:rFonts w:ascii="Aptos" w:hAnsi="Aptos"/>
              </w:rPr>
            </w:pPr>
            <w:r w:rsidRPr="0046019F">
              <w:rPr>
                <w:rFonts w:ascii="Aptos" w:eastAsia="Segoe UI" w:hAnsi="Aptos" w:cs="Segoe UI"/>
                <w:color w:val="000000" w:themeColor="text1"/>
              </w:rPr>
              <w:t xml:space="preserve">English </w:t>
            </w:r>
          </w:p>
        </w:tc>
        <w:tc>
          <w:tcPr>
            <w:tcW w:w="4337" w:type="dxa"/>
          </w:tcPr>
          <w:p w14:paraId="4F11AA63" w14:textId="77777777" w:rsidR="003246FC" w:rsidRPr="0046019F" w:rsidRDefault="003246FC" w:rsidP="009B4355">
            <w:pPr>
              <w:rPr>
                <w:rFonts w:ascii="Aptos" w:hAnsi="Aptos"/>
              </w:rPr>
            </w:pPr>
            <w:r>
              <w:rPr>
                <w:rFonts w:ascii="Aptos" w:eastAsia="Segoe UI" w:hAnsi="Aptos" w:cs="Segoe UI"/>
                <w:color w:val="000000" w:themeColor="text1"/>
              </w:rPr>
              <w:t>Français</w:t>
            </w:r>
          </w:p>
        </w:tc>
      </w:tr>
      <w:tr w:rsidR="003246FC" w:rsidRPr="003A6336" w14:paraId="29DA86BA" w14:textId="77777777" w:rsidTr="009B4355">
        <w:tc>
          <w:tcPr>
            <w:tcW w:w="4183" w:type="dxa"/>
          </w:tcPr>
          <w:p w14:paraId="093DD35A" w14:textId="77777777" w:rsidR="003246FC" w:rsidRPr="003A6336" w:rsidRDefault="003246FC" w:rsidP="009B4355">
            <w:pPr>
              <w:rPr>
                <w:rFonts w:ascii="Aptos" w:hAnsi="Aptos"/>
              </w:rPr>
            </w:pPr>
            <w:r w:rsidRPr="003A6336">
              <w:rPr>
                <w:rFonts w:ascii="Aptos" w:eastAsia="Segoe UI" w:hAnsi="Aptos" w:cs="Segoe UI"/>
                <w:color w:val="000000" w:themeColor="text1"/>
              </w:rPr>
              <w:t>National level</w:t>
            </w:r>
          </w:p>
        </w:tc>
        <w:tc>
          <w:tcPr>
            <w:tcW w:w="4337" w:type="dxa"/>
          </w:tcPr>
          <w:p w14:paraId="23E1D5F9" w14:textId="77777777" w:rsidR="003246FC" w:rsidRPr="003D7647" w:rsidRDefault="003246FC" w:rsidP="009B4355">
            <w:pPr>
              <w:rPr>
                <w:rFonts w:ascii="Aptos" w:hAnsi="Aptos"/>
                <w:lang w:val="fr-FR"/>
              </w:rPr>
            </w:pPr>
            <w:r w:rsidRPr="003D7647">
              <w:rPr>
                <w:rFonts w:ascii="Aptos" w:hAnsi="Aptos"/>
                <w:lang w:val="fr-FR"/>
              </w:rPr>
              <w:t>Échelle nationale</w:t>
            </w:r>
          </w:p>
        </w:tc>
      </w:tr>
      <w:tr w:rsidR="003246FC" w:rsidRPr="003A6336" w14:paraId="7ABA37B6" w14:textId="77777777" w:rsidTr="009B4355">
        <w:tc>
          <w:tcPr>
            <w:tcW w:w="4183" w:type="dxa"/>
          </w:tcPr>
          <w:p w14:paraId="3F6F5C2C" w14:textId="77777777" w:rsidR="003246FC" w:rsidRPr="003A6336" w:rsidRDefault="003246FC" w:rsidP="009B4355">
            <w:pPr>
              <w:rPr>
                <w:rFonts w:ascii="Aptos" w:hAnsi="Aptos"/>
              </w:rPr>
            </w:pPr>
            <w:r w:rsidRPr="003A6336">
              <w:rPr>
                <w:rFonts w:ascii="Aptos" w:eastAsia="Segoe UI" w:hAnsi="Aptos" w:cs="Segoe UI"/>
                <w:color w:val="000000" w:themeColor="text1"/>
              </w:rPr>
              <w:t>Planning NBSAPs and national targets</w:t>
            </w:r>
          </w:p>
        </w:tc>
        <w:tc>
          <w:tcPr>
            <w:tcW w:w="4337" w:type="dxa"/>
          </w:tcPr>
          <w:p w14:paraId="2E2FCC37" w14:textId="77777777" w:rsidR="003246FC" w:rsidRPr="003D7647" w:rsidRDefault="003246FC" w:rsidP="009B4355">
            <w:pPr>
              <w:rPr>
                <w:rFonts w:ascii="Aptos" w:hAnsi="Aptos"/>
                <w:lang w:val="fr-FR"/>
              </w:rPr>
            </w:pPr>
            <w:r w:rsidRPr="003D7647">
              <w:rPr>
                <w:rFonts w:ascii="Aptos" w:hAnsi="Aptos"/>
                <w:lang w:val="fr-FR"/>
              </w:rPr>
              <w:t>Planification des SPANB et des cibles nationales</w:t>
            </w:r>
          </w:p>
        </w:tc>
      </w:tr>
      <w:tr w:rsidR="003246FC" w:rsidRPr="003A6336" w14:paraId="6DE858FC" w14:textId="77777777" w:rsidTr="009B4355">
        <w:tc>
          <w:tcPr>
            <w:tcW w:w="4183" w:type="dxa"/>
          </w:tcPr>
          <w:p w14:paraId="54F84A3C" w14:textId="77777777" w:rsidR="003246FC" w:rsidRPr="003A6336" w:rsidRDefault="003246FC" w:rsidP="009B4355">
            <w:pPr>
              <w:rPr>
                <w:rFonts w:ascii="Aptos" w:hAnsi="Aptos"/>
              </w:rPr>
            </w:pPr>
            <w:r w:rsidRPr="003A6336">
              <w:rPr>
                <w:rFonts w:ascii="Aptos" w:eastAsia="Segoe UI" w:hAnsi="Aptos" w:cs="Segoe UI"/>
                <w:color w:val="000000" w:themeColor="text1"/>
              </w:rPr>
              <w:t>At the nineteenth meeting of the Conference of the Parties, this will include negotiation of the post-2030 strategic plan</w:t>
            </w:r>
          </w:p>
        </w:tc>
        <w:tc>
          <w:tcPr>
            <w:tcW w:w="4337" w:type="dxa"/>
          </w:tcPr>
          <w:p w14:paraId="5444C938" w14:textId="77777777" w:rsidR="003246FC" w:rsidRPr="003D7647" w:rsidRDefault="003246FC" w:rsidP="009B4355">
            <w:pPr>
              <w:rPr>
                <w:rFonts w:ascii="Aptos" w:hAnsi="Aptos"/>
                <w:lang w:val="fr-FR"/>
              </w:rPr>
            </w:pPr>
            <w:r w:rsidRPr="003D7647">
              <w:rPr>
                <w:rFonts w:ascii="Aptos" w:hAnsi="Aptos"/>
                <w:lang w:val="fr-FR"/>
              </w:rPr>
              <w:t>Lors de la 19</w:t>
            </w:r>
            <w:r w:rsidRPr="003D7647">
              <w:rPr>
                <w:rFonts w:ascii="Aptos" w:hAnsi="Aptos"/>
                <w:vertAlign w:val="superscript"/>
                <w:lang w:val="fr-FR"/>
              </w:rPr>
              <w:t>e</w:t>
            </w:r>
            <w:r w:rsidRPr="003D7647">
              <w:rPr>
                <w:rFonts w:ascii="Aptos" w:hAnsi="Aptos"/>
                <w:lang w:val="fr-FR"/>
              </w:rPr>
              <w:t xml:space="preserve"> r</w:t>
            </w:r>
            <w:r>
              <w:rPr>
                <w:rFonts w:ascii="Aptos" w:hAnsi="Aptos"/>
                <w:lang w:val="fr-FR"/>
              </w:rPr>
              <w:t>é</w:t>
            </w:r>
            <w:r w:rsidRPr="003D7647">
              <w:rPr>
                <w:rFonts w:ascii="Aptos" w:hAnsi="Aptos"/>
                <w:lang w:val="fr-FR"/>
              </w:rPr>
              <w:t xml:space="preserve">union de la </w:t>
            </w:r>
            <w:r>
              <w:rPr>
                <w:rFonts w:ascii="Aptos" w:hAnsi="Aptos"/>
                <w:lang w:val="fr-FR"/>
              </w:rPr>
              <w:t>Conférence des Parties, ce qui inclura la négociation du plan stratégique pour l’après-2030</w:t>
            </w:r>
          </w:p>
        </w:tc>
      </w:tr>
      <w:tr w:rsidR="003246FC" w:rsidRPr="003A6336" w14:paraId="43B24E65" w14:textId="77777777" w:rsidTr="009B4355">
        <w:tc>
          <w:tcPr>
            <w:tcW w:w="4183" w:type="dxa"/>
          </w:tcPr>
          <w:p w14:paraId="05AAAE1E" w14:textId="77777777" w:rsidR="003246FC" w:rsidRPr="003A6336" w:rsidRDefault="003246FC" w:rsidP="009B4355">
            <w:pPr>
              <w:rPr>
                <w:rFonts w:ascii="Aptos" w:hAnsi="Aptos"/>
              </w:rPr>
            </w:pPr>
            <w:r w:rsidRPr="003A6336">
              <w:rPr>
                <w:rFonts w:ascii="Aptos" w:eastAsia="Segoe UI" w:hAnsi="Aptos" w:cs="Segoe UI"/>
                <w:color w:val="000000" w:themeColor="text1"/>
              </w:rPr>
              <w:t>Advice from the Subsidiary Body on Implementation</w:t>
            </w:r>
          </w:p>
        </w:tc>
        <w:tc>
          <w:tcPr>
            <w:tcW w:w="4337" w:type="dxa"/>
          </w:tcPr>
          <w:p w14:paraId="7FE65E08" w14:textId="77777777" w:rsidR="003246FC" w:rsidRPr="003D7647" w:rsidRDefault="003246FC" w:rsidP="009B4355">
            <w:pPr>
              <w:rPr>
                <w:rFonts w:ascii="Aptos" w:hAnsi="Aptos"/>
                <w:lang w:val="fr-FR"/>
              </w:rPr>
            </w:pPr>
            <w:r>
              <w:rPr>
                <w:rFonts w:ascii="Aptos" w:hAnsi="Aptos"/>
                <w:lang w:val="fr-FR"/>
              </w:rPr>
              <w:t>Avis de l’Organe subsidiaire chargé de l’application</w:t>
            </w:r>
          </w:p>
        </w:tc>
      </w:tr>
      <w:tr w:rsidR="003246FC" w:rsidRPr="003A6336" w14:paraId="68BA0C26" w14:textId="77777777" w:rsidTr="009B4355">
        <w:tc>
          <w:tcPr>
            <w:tcW w:w="4183" w:type="dxa"/>
          </w:tcPr>
          <w:p w14:paraId="2A764B57" w14:textId="77777777" w:rsidR="003246FC" w:rsidRPr="003A6336" w:rsidRDefault="003246FC" w:rsidP="009B4355">
            <w:pPr>
              <w:rPr>
                <w:rFonts w:ascii="Aptos" w:hAnsi="Aptos"/>
              </w:rPr>
            </w:pPr>
            <w:r w:rsidRPr="003A6336">
              <w:rPr>
                <w:rFonts w:ascii="Aptos" w:eastAsia="Segoe UI" w:hAnsi="Aptos" w:cs="Segoe UI"/>
                <w:color w:val="000000" w:themeColor="text1"/>
              </w:rPr>
              <w:t>Monitoring (elaborated the monitoring framework and its indicators)</w:t>
            </w:r>
          </w:p>
        </w:tc>
        <w:tc>
          <w:tcPr>
            <w:tcW w:w="4337" w:type="dxa"/>
          </w:tcPr>
          <w:p w14:paraId="1735097F" w14:textId="77777777" w:rsidR="003246FC" w:rsidRPr="003D7647" w:rsidRDefault="003246FC" w:rsidP="009B4355">
            <w:pPr>
              <w:rPr>
                <w:rFonts w:ascii="Aptos" w:hAnsi="Aptos"/>
                <w:lang w:val="fr-FR"/>
              </w:rPr>
            </w:pPr>
            <w:r>
              <w:rPr>
                <w:rFonts w:ascii="Aptos" w:hAnsi="Aptos"/>
                <w:lang w:val="fr-FR"/>
              </w:rPr>
              <w:t>Suivi (élaboration du cadre de suivi et de ses indicateurs)</w:t>
            </w:r>
          </w:p>
        </w:tc>
      </w:tr>
      <w:tr w:rsidR="003246FC" w:rsidRPr="003A6336" w14:paraId="0B9925E5" w14:textId="77777777" w:rsidTr="009B4355">
        <w:tc>
          <w:tcPr>
            <w:tcW w:w="4183" w:type="dxa"/>
          </w:tcPr>
          <w:p w14:paraId="447104CA" w14:textId="77777777" w:rsidR="003246FC" w:rsidRPr="003A6336" w:rsidRDefault="003246FC" w:rsidP="009B4355">
            <w:pPr>
              <w:rPr>
                <w:rFonts w:ascii="Aptos" w:hAnsi="Aptos"/>
              </w:rPr>
            </w:pPr>
            <w:r w:rsidRPr="003A6336">
              <w:rPr>
                <w:rFonts w:ascii="Aptos" w:eastAsia="Segoe UI" w:hAnsi="Aptos" w:cs="Segoe UI"/>
                <w:color w:val="000000" w:themeColor="text1"/>
              </w:rPr>
              <w:t>National consideration of the global review and related decisions of the Conference of the Parties</w:t>
            </w:r>
          </w:p>
        </w:tc>
        <w:tc>
          <w:tcPr>
            <w:tcW w:w="4337" w:type="dxa"/>
          </w:tcPr>
          <w:p w14:paraId="3ED1A44E" w14:textId="77777777" w:rsidR="003246FC" w:rsidRPr="003D7647" w:rsidRDefault="003246FC" w:rsidP="009B4355">
            <w:pPr>
              <w:rPr>
                <w:rFonts w:ascii="Aptos" w:hAnsi="Aptos"/>
                <w:lang w:val="fr-FR"/>
              </w:rPr>
            </w:pPr>
            <w:r>
              <w:rPr>
                <w:rFonts w:ascii="Aptos" w:hAnsi="Aptos"/>
                <w:lang w:val="fr-FR"/>
              </w:rPr>
              <w:t>Revue</w:t>
            </w:r>
            <w:r w:rsidRPr="00F0547C">
              <w:rPr>
                <w:rFonts w:ascii="Aptos" w:hAnsi="Aptos"/>
                <w:lang w:val="fr-FR"/>
              </w:rPr>
              <w:t xml:space="preserve"> national</w:t>
            </w:r>
            <w:r>
              <w:rPr>
                <w:rFonts w:ascii="Aptos" w:hAnsi="Aptos"/>
                <w:lang w:val="fr-FR"/>
              </w:rPr>
              <w:t>e</w:t>
            </w:r>
            <w:r w:rsidRPr="00F0547C">
              <w:rPr>
                <w:rFonts w:ascii="Aptos" w:hAnsi="Aptos"/>
                <w:lang w:val="fr-FR"/>
              </w:rPr>
              <w:t xml:space="preserve"> de l</w:t>
            </w:r>
            <w:r>
              <w:rPr>
                <w:rFonts w:ascii="Aptos" w:hAnsi="Aptos"/>
                <w:lang w:val="fr-FR"/>
              </w:rPr>
              <w:t>’examen</w:t>
            </w:r>
            <w:r w:rsidRPr="00F0547C">
              <w:rPr>
                <w:rFonts w:ascii="Aptos" w:hAnsi="Aptos"/>
                <w:lang w:val="fr-FR"/>
              </w:rPr>
              <w:t xml:space="preserve"> mondial</w:t>
            </w:r>
            <w:r>
              <w:rPr>
                <w:rFonts w:ascii="Aptos" w:hAnsi="Aptos"/>
                <w:lang w:val="fr-FR"/>
              </w:rPr>
              <w:t xml:space="preserve"> </w:t>
            </w:r>
            <w:r w:rsidRPr="00F0547C">
              <w:rPr>
                <w:rFonts w:ascii="Aptos" w:hAnsi="Aptos"/>
                <w:lang w:val="fr-FR"/>
              </w:rPr>
              <w:t>et des décisions connexes de la Conférence des Parties</w:t>
            </w:r>
          </w:p>
        </w:tc>
      </w:tr>
      <w:tr w:rsidR="003246FC" w:rsidRPr="003A6336" w14:paraId="7E893F5C" w14:textId="77777777" w:rsidTr="009B4355">
        <w:tc>
          <w:tcPr>
            <w:tcW w:w="4183" w:type="dxa"/>
          </w:tcPr>
          <w:p w14:paraId="0D4F88B4" w14:textId="77777777" w:rsidR="003246FC" w:rsidRPr="003A6336" w:rsidRDefault="003246FC" w:rsidP="009B4355">
            <w:pPr>
              <w:rPr>
                <w:rFonts w:ascii="Aptos" w:hAnsi="Aptos"/>
              </w:rPr>
            </w:pPr>
            <w:r w:rsidRPr="003A6336">
              <w:rPr>
                <w:rFonts w:ascii="Aptos" w:eastAsia="Segoe UI" w:hAnsi="Aptos" w:cs="Segoe UI"/>
                <w:color w:val="000000" w:themeColor="text1"/>
              </w:rPr>
              <w:t>Global review at the seventeenth and nineteenth meetings of Conference of the Parties: including related decisions of the Conference of the Parties</w:t>
            </w:r>
          </w:p>
        </w:tc>
        <w:tc>
          <w:tcPr>
            <w:tcW w:w="4337" w:type="dxa"/>
          </w:tcPr>
          <w:p w14:paraId="3F3C11F2" w14:textId="77777777" w:rsidR="003246FC" w:rsidRPr="003D7647" w:rsidRDefault="003246FC" w:rsidP="009B4355">
            <w:pPr>
              <w:rPr>
                <w:rFonts w:ascii="Aptos" w:hAnsi="Aptos"/>
                <w:lang w:val="fr-FR"/>
              </w:rPr>
            </w:pPr>
            <w:r>
              <w:rPr>
                <w:rFonts w:ascii="Aptos" w:hAnsi="Aptos"/>
                <w:lang w:val="fr-FR"/>
              </w:rPr>
              <w:t>Examen mondial lors des 17</w:t>
            </w:r>
            <w:r w:rsidRPr="00C86570">
              <w:rPr>
                <w:rFonts w:ascii="Aptos" w:hAnsi="Aptos"/>
                <w:vertAlign w:val="superscript"/>
                <w:lang w:val="fr-FR"/>
              </w:rPr>
              <w:t>e</w:t>
            </w:r>
            <w:r>
              <w:rPr>
                <w:rFonts w:ascii="Aptos" w:hAnsi="Aptos"/>
                <w:lang w:val="fr-FR"/>
              </w:rPr>
              <w:t xml:space="preserve"> et 19</w:t>
            </w:r>
            <w:r w:rsidRPr="00C86570">
              <w:rPr>
                <w:rFonts w:ascii="Aptos" w:hAnsi="Aptos"/>
                <w:vertAlign w:val="superscript"/>
                <w:lang w:val="fr-FR"/>
              </w:rPr>
              <w:t>e</w:t>
            </w:r>
            <w:r>
              <w:rPr>
                <w:rFonts w:ascii="Aptos" w:hAnsi="Aptos"/>
                <w:lang w:val="fr-FR"/>
              </w:rPr>
              <w:t xml:space="preserve"> réunions de la Conférence des Parties ; y compris les décisions connexes de la Conférence des Parties</w:t>
            </w:r>
          </w:p>
        </w:tc>
      </w:tr>
      <w:tr w:rsidR="003246FC" w:rsidRPr="003A6336" w14:paraId="450B9A5E" w14:textId="77777777" w:rsidTr="009B4355">
        <w:tc>
          <w:tcPr>
            <w:tcW w:w="4183" w:type="dxa"/>
          </w:tcPr>
          <w:p w14:paraId="7250B371" w14:textId="77777777" w:rsidR="003246FC" w:rsidRPr="003A6336" w:rsidRDefault="003246FC" w:rsidP="009B4355">
            <w:pPr>
              <w:rPr>
                <w:rFonts w:ascii="Aptos" w:hAnsi="Aptos"/>
              </w:rPr>
            </w:pPr>
            <w:r w:rsidRPr="003A6336">
              <w:rPr>
                <w:rFonts w:ascii="Aptos" w:eastAsia="Segoe UI" w:hAnsi="Aptos" w:cs="Segoe UI"/>
                <w:color w:val="000000" w:themeColor="text1"/>
              </w:rPr>
              <w:t>Global level</w:t>
            </w:r>
          </w:p>
        </w:tc>
        <w:tc>
          <w:tcPr>
            <w:tcW w:w="4337" w:type="dxa"/>
          </w:tcPr>
          <w:p w14:paraId="1D00DC2E" w14:textId="77777777" w:rsidR="003246FC" w:rsidRPr="003D7647" w:rsidRDefault="003246FC" w:rsidP="009B4355">
            <w:pPr>
              <w:rPr>
                <w:rFonts w:ascii="Aptos" w:hAnsi="Aptos"/>
                <w:lang w:val="fr-FR"/>
              </w:rPr>
            </w:pPr>
            <w:r>
              <w:rPr>
                <w:rFonts w:ascii="Aptos" w:hAnsi="Aptos"/>
                <w:lang w:val="fr-FR"/>
              </w:rPr>
              <w:t>Échelle mondiale</w:t>
            </w:r>
          </w:p>
        </w:tc>
      </w:tr>
      <w:tr w:rsidR="003246FC" w:rsidRPr="003A6336" w14:paraId="32790C8F" w14:textId="77777777" w:rsidTr="009B4355">
        <w:tc>
          <w:tcPr>
            <w:tcW w:w="4183" w:type="dxa"/>
          </w:tcPr>
          <w:p w14:paraId="692DD0D4" w14:textId="77777777" w:rsidR="003246FC" w:rsidRPr="003A6336" w:rsidRDefault="003246FC" w:rsidP="009B4355">
            <w:pPr>
              <w:rPr>
                <w:rFonts w:ascii="Aptos" w:hAnsi="Aptos"/>
              </w:rPr>
            </w:pPr>
            <w:r w:rsidRPr="003A6336">
              <w:rPr>
                <w:rFonts w:ascii="Aptos" w:eastAsia="Segoe UI" w:hAnsi="Aptos" w:cs="Segoe UI"/>
                <w:color w:val="000000" w:themeColor="text1"/>
              </w:rPr>
              <w:lastRenderedPageBreak/>
              <w:t>Advice from the Subsidiary Body on Scientific, Technical and Technological Advice</w:t>
            </w:r>
          </w:p>
        </w:tc>
        <w:tc>
          <w:tcPr>
            <w:tcW w:w="4337" w:type="dxa"/>
          </w:tcPr>
          <w:p w14:paraId="1DB13633" w14:textId="77777777" w:rsidR="003246FC" w:rsidRPr="003D7647" w:rsidRDefault="003246FC" w:rsidP="009B4355">
            <w:pPr>
              <w:rPr>
                <w:rFonts w:ascii="Aptos" w:hAnsi="Aptos"/>
                <w:lang w:val="fr-FR"/>
              </w:rPr>
            </w:pPr>
            <w:r>
              <w:rPr>
                <w:rFonts w:ascii="Aptos" w:hAnsi="Aptos"/>
                <w:lang w:val="fr-FR"/>
              </w:rPr>
              <w:t>Avis de l’Organe subsidiaire chargé de fournir des avis scientifiques, techniques et technologiques</w:t>
            </w:r>
          </w:p>
        </w:tc>
      </w:tr>
      <w:tr w:rsidR="003246FC" w:rsidRPr="003A6336" w14:paraId="23CCC6A9" w14:textId="77777777" w:rsidTr="009B4355">
        <w:tc>
          <w:tcPr>
            <w:tcW w:w="4183" w:type="dxa"/>
          </w:tcPr>
          <w:p w14:paraId="68E38F1B" w14:textId="77777777" w:rsidR="003246FC" w:rsidRPr="003A6336" w:rsidRDefault="003246FC" w:rsidP="009B4355">
            <w:pPr>
              <w:rPr>
                <w:rFonts w:ascii="Aptos" w:hAnsi="Aptos"/>
              </w:rPr>
            </w:pPr>
            <w:r w:rsidRPr="003A6336">
              <w:rPr>
                <w:rFonts w:ascii="Aptos" w:eastAsia="Segoe UI" w:hAnsi="Aptos" w:cs="Segoe UI"/>
                <w:color w:val="000000" w:themeColor="text1"/>
              </w:rPr>
              <w:t>Reporting national reports: February 2026 and June 2029</w:t>
            </w:r>
          </w:p>
        </w:tc>
        <w:tc>
          <w:tcPr>
            <w:tcW w:w="4337" w:type="dxa"/>
          </w:tcPr>
          <w:p w14:paraId="7CF5F1BF" w14:textId="77777777" w:rsidR="003246FC" w:rsidRDefault="003246FC" w:rsidP="009B4355">
            <w:pPr>
              <w:rPr>
                <w:rFonts w:ascii="Aptos" w:hAnsi="Aptos"/>
                <w:lang w:val="fr-FR"/>
              </w:rPr>
            </w:pPr>
            <w:r>
              <w:rPr>
                <w:rFonts w:ascii="Aptos" w:hAnsi="Aptos"/>
                <w:lang w:val="fr-FR"/>
              </w:rPr>
              <w:t>Rapports</w:t>
            </w:r>
          </w:p>
          <w:p w14:paraId="02481EA8" w14:textId="77777777" w:rsidR="003246FC" w:rsidRPr="003D7647" w:rsidRDefault="003246FC" w:rsidP="009B4355">
            <w:pPr>
              <w:rPr>
                <w:rFonts w:ascii="Aptos" w:hAnsi="Aptos"/>
                <w:lang w:val="fr-FR"/>
              </w:rPr>
            </w:pPr>
            <w:r>
              <w:rPr>
                <w:rFonts w:ascii="Aptos" w:hAnsi="Aptos"/>
                <w:lang w:val="fr-FR"/>
              </w:rPr>
              <w:t>Rapports nationaux : février 2026 et juin 2029</w:t>
            </w:r>
          </w:p>
        </w:tc>
      </w:tr>
      <w:tr w:rsidR="003246FC" w:rsidRPr="003A6336" w14:paraId="4373C4D8" w14:textId="77777777" w:rsidTr="009B4355">
        <w:tc>
          <w:tcPr>
            <w:tcW w:w="4183" w:type="dxa"/>
          </w:tcPr>
          <w:p w14:paraId="01EDFAA5" w14:textId="77777777" w:rsidR="003246FC" w:rsidRPr="003A6336" w:rsidRDefault="003246FC" w:rsidP="009B4355">
            <w:pPr>
              <w:rPr>
                <w:rFonts w:ascii="Aptos" w:hAnsi="Aptos"/>
              </w:rPr>
            </w:pPr>
            <w:r w:rsidRPr="003A6336">
              <w:rPr>
                <w:rFonts w:ascii="Aptos" w:eastAsia="Segoe UI" w:hAnsi="Aptos" w:cs="Segoe UI"/>
                <w:color w:val="000000" w:themeColor="text1"/>
              </w:rPr>
              <w:t>Primary source of information</w:t>
            </w:r>
          </w:p>
        </w:tc>
        <w:tc>
          <w:tcPr>
            <w:tcW w:w="4337" w:type="dxa"/>
          </w:tcPr>
          <w:p w14:paraId="21B54DBB" w14:textId="77777777" w:rsidR="003246FC" w:rsidRPr="003D7647" w:rsidRDefault="003246FC" w:rsidP="009B4355">
            <w:pPr>
              <w:rPr>
                <w:rFonts w:ascii="Aptos" w:hAnsi="Aptos"/>
                <w:lang w:val="fr-FR"/>
              </w:rPr>
            </w:pPr>
            <w:r>
              <w:rPr>
                <w:rFonts w:ascii="Aptos" w:hAnsi="Aptos"/>
                <w:lang w:val="fr-FR"/>
              </w:rPr>
              <w:t xml:space="preserve">Source d’information </w:t>
            </w:r>
            <w:r w:rsidRPr="00254622">
              <w:rPr>
                <w:rFonts w:ascii="Aptos" w:hAnsi="Aptos"/>
                <w:lang w:val="fr-FR"/>
              </w:rPr>
              <w:t>primaire</w:t>
            </w:r>
          </w:p>
        </w:tc>
      </w:tr>
      <w:tr w:rsidR="003246FC" w:rsidRPr="003A6336" w14:paraId="6D22CDF6" w14:textId="77777777" w:rsidTr="009B4355">
        <w:tc>
          <w:tcPr>
            <w:tcW w:w="4183" w:type="dxa"/>
          </w:tcPr>
          <w:p w14:paraId="4B536F01" w14:textId="77777777" w:rsidR="003246FC" w:rsidRPr="003A6336" w:rsidRDefault="003246FC" w:rsidP="009B4355">
            <w:pPr>
              <w:rPr>
                <w:rFonts w:ascii="Aptos" w:hAnsi="Aptos"/>
              </w:rPr>
            </w:pPr>
            <w:r w:rsidRPr="003A6336">
              <w:rPr>
                <w:rFonts w:ascii="Aptos" w:eastAsia="Segoe UI" w:hAnsi="Aptos" w:cs="Segoe UI"/>
                <w:color w:val="000000" w:themeColor="text1"/>
              </w:rPr>
              <w:t>Secondary source of information</w:t>
            </w:r>
          </w:p>
        </w:tc>
        <w:tc>
          <w:tcPr>
            <w:tcW w:w="4337" w:type="dxa"/>
          </w:tcPr>
          <w:p w14:paraId="5AD65FB7" w14:textId="77777777" w:rsidR="003246FC" w:rsidRPr="003D7647" w:rsidRDefault="003246FC" w:rsidP="009B4355">
            <w:pPr>
              <w:rPr>
                <w:rFonts w:ascii="Aptos" w:hAnsi="Aptos"/>
                <w:lang w:val="fr-FR"/>
              </w:rPr>
            </w:pPr>
            <w:r>
              <w:rPr>
                <w:rFonts w:ascii="Aptos" w:hAnsi="Aptos"/>
                <w:lang w:val="fr-FR"/>
              </w:rPr>
              <w:t>Source d’information secondaire</w:t>
            </w:r>
          </w:p>
        </w:tc>
      </w:tr>
      <w:tr w:rsidR="003246FC" w:rsidRPr="003A6336" w14:paraId="3834A6D9" w14:textId="77777777" w:rsidTr="009B4355">
        <w:tc>
          <w:tcPr>
            <w:tcW w:w="4183" w:type="dxa"/>
          </w:tcPr>
          <w:p w14:paraId="6B445871" w14:textId="77777777" w:rsidR="003246FC" w:rsidRPr="003A6336" w:rsidRDefault="003246FC" w:rsidP="009B4355">
            <w:pPr>
              <w:rPr>
                <w:rFonts w:ascii="Aptos" w:hAnsi="Aptos"/>
              </w:rPr>
            </w:pPr>
            <w:r w:rsidRPr="003A6336">
              <w:rPr>
                <w:rFonts w:ascii="Aptos" w:eastAsia="Segoe UI" w:hAnsi="Aptos" w:cs="Segoe UI"/>
                <w:color w:val="000000" w:themeColor="text1"/>
              </w:rPr>
              <w:t>Global report (2026 and 2030)</w:t>
            </w:r>
          </w:p>
        </w:tc>
        <w:tc>
          <w:tcPr>
            <w:tcW w:w="4337" w:type="dxa"/>
          </w:tcPr>
          <w:p w14:paraId="3801CD7B" w14:textId="77777777" w:rsidR="003246FC" w:rsidRPr="003D7647" w:rsidRDefault="003246FC" w:rsidP="009B4355">
            <w:pPr>
              <w:rPr>
                <w:rFonts w:ascii="Aptos" w:hAnsi="Aptos"/>
                <w:lang w:val="fr-FR"/>
              </w:rPr>
            </w:pPr>
            <w:r>
              <w:rPr>
                <w:rFonts w:ascii="Aptos" w:hAnsi="Aptos"/>
                <w:lang w:val="fr-FR"/>
              </w:rPr>
              <w:t>Rapport mondial (2026 et 2030)</w:t>
            </w:r>
          </w:p>
        </w:tc>
      </w:tr>
      <w:tr w:rsidR="003246FC" w:rsidRPr="003A6336" w14:paraId="59B82B08" w14:textId="77777777" w:rsidTr="009B4355">
        <w:tc>
          <w:tcPr>
            <w:tcW w:w="4183" w:type="dxa"/>
          </w:tcPr>
          <w:p w14:paraId="56F1B164" w14:textId="77777777" w:rsidR="003246FC" w:rsidRPr="003A6336" w:rsidRDefault="003246FC" w:rsidP="009B4355">
            <w:pPr>
              <w:rPr>
                <w:rFonts w:ascii="Aptos" w:hAnsi="Aptos"/>
              </w:rPr>
            </w:pPr>
            <w:r w:rsidRPr="003A6336">
              <w:rPr>
                <w:rFonts w:ascii="Aptos" w:eastAsia="Segoe UI" w:hAnsi="Aptos" w:cs="Segoe UI"/>
                <w:color w:val="000000" w:themeColor="text1"/>
              </w:rPr>
              <w:t>Other sources of information</w:t>
            </w:r>
          </w:p>
        </w:tc>
        <w:tc>
          <w:tcPr>
            <w:tcW w:w="4337" w:type="dxa"/>
          </w:tcPr>
          <w:p w14:paraId="112F2C03" w14:textId="77777777" w:rsidR="003246FC" w:rsidRPr="003D7647" w:rsidRDefault="003246FC" w:rsidP="009B4355">
            <w:pPr>
              <w:rPr>
                <w:rFonts w:ascii="Aptos" w:hAnsi="Aptos"/>
                <w:lang w:val="fr-FR"/>
              </w:rPr>
            </w:pPr>
            <w:r>
              <w:rPr>
                <w:rFonts w:ascii="Aptos" w:hAnsi="Aptos"/>
                <w:lang w:val="fr-FR"/>
              </w:rPr>
              <w:t>Autres sources d’information</w:t>
            </w:r>
          </w:p>
        </w:tc>
      </w:tr>
      <w:tr w:rsidR="003246FC" w:rsidRPr="003A6336" w14:paraId="2FF99759" w14:textId="77777777" w:rsidTr="009B4355">
        <w:tc>
          <w:tcPr>
            <w:tcW w:w="4183" w:type="dxa"/>
          </w:tcPr>
          <w:p w14:paraId="0957B7BD" w14:textId="77777777" w:rsidR="003246FC" w:rsidRPr="003A6336" w:rsidRDefault="003246FC" w:rsidP="009B4355">
            <w:pPr>
              <w:rPr>
                <w:rFonts w:ascii="Aptos" w:hAnsi="Aptos"/>
              </w:rPr>
            </w:pPr>
            <w:r w:rsidRPr="003A6336">
              <w:rPr>
                <w:rFonts w:ascii="Aptos" w:eastAsia="Segoe UI" w:hAnsi="Aptos" w:cs="Segoe UI"/>
                <w:color w:val="000000" w:themeColor="text1"/>
              </w:rPr>
              <w:t>Other sources of information include: commitments by actors other than national Governments; scientific assessments, publications and literature; and relevant information from the Sustainable Development Goals process, multilateral environmental agreements, international organizations and processes and relevant traditional knowledge.</w:t>
            </w:r>
          </w:p>
        </w:tc>
        <w:tc>
          <w:tcPr>
            <w:tcW w:w="4337" w:type="dxa"/>
          </w:tcPr>
          <w:p w14:paraId="05307B5F" w14:textId="77777777" w:rsidR="003246FC" w:rsidRPr="007B6B90" w:rsidRDefault="003246FC" w:rsidP="009B4355">
            <w:pPr>
              <w:rPr>
                <w:rFonts w:ascii="Aptos" w:hAnsi="Aptos"/>
                <w:lang w:val="fr-FR"/>
              </w:rPr>
            </w:pPr>
            <w:r w:rsidRPr="007B6B90">
              <w:rPr>
                <w:rFonts w:ascii="Aptos" w:hAnsi="Aptos"/>
                <w:lang w:val="fr-FR"/>
              </w:rPr>
              <w:t>Les autres sources d</w:t>
            </w:r>
            <w:r>
              <w:rPr>
                <w:rFonts w:ascii="Aptos" w:hAnsi="Aptos"/>
                <w:lang w:val="fr-FR"/>
              </w:rPr>
              <w:t>’</w:t>
            </w:r>
            <w:r w:rsidRPr="007B6B90">
              <w:rPr>
                <w:rFonts w:ascii="Aptos" w:hAnsi="Aptos"/>
                <w:lang w:val="fr-FR"/>
              </w:rPr>
              <w:t>information comprennent :</w:t>
            </w:r>
            <w:r>
              <w:rPr>
                <w:rFonts w:ascii="Aptos" w:hAnsi="Aptos"/>
                <w:lang w:val="fr-FR"/>
              </w:rPr>
              <w:t xml:space="preserve"> les engagements des acteurs autres que des gouvernements nationaux, les évaluations, publications et la littérature scientifique, ainsi que les informations issues du processus des Objectifs du Développement Durable, des accords multilatéraux sur l’environnement, des organisations et processus internationaux et des connaissances traditionnelles pertinentes</w:t>
            </w:r>
          </w:p>
        </w:tc>
      </w:tr>
    </w:tbl>
    <w:p w14:paraId="33D40C38" w14:textId="77777777" w:rsidR="003246FC" w:rsidRPr="00653BF4" w:rsidRDefault="003246FC" w:rsidP="004B016A">
      <w:pPr>
        <w:rPr>
          <w:lang w:val="fr-FR"/>
        </w:rPr>
      </w:pPr>
    </w:p>
    <w:p w14:paraId="20CFD0D2" w14:textId="77777777" w:rsidR="00FB3C79" w:rsidRPr="00653BF4" w:rsidRDefault="00FB3C79" w:rsidP="00C700E9">
      <w:pPr>
        <w:pStyle w:val="Heading3"/>
        <w:rPr>
          <w:b/>
          <w:lang w:val="fr-FR"/>
        </w:rPr>
      </w:pPr>
    </w:p>
    <w:p w14:paraId="22043651" w14:textId="42AEE051" w:rsidR="003B2E38" w:rsidRPr="00653BF4" w:rsidRDefault="003B2E38" w:rsidP="003B2E38">
      <w:pPr>
        <w:pStyle w:val="Caption"/>
        <w:keepNext/>
        <w:rPr>
          <w:b/>
          <w:i w:val="0"/>
          <w:sz w:val="20"/>
          <w:szCs w:val="20"/>
          <w:lang w:val="fr-FR"/>
        </w:rPr>
      </w:pPr>
    </w:p>
    <w:tbl>
      <w:tblPr>
        <w:tblStyle w:val="TableGrid"/>
        <w:tblW w:w="0" w:type="auto"/>
        <w:tblLook w:val="04A0" w:firstRow="1" w:lastRow="0" w:firstColumn="1" w:lastColumn="0" w:noHBand="0" w:noVBand="1"/>
      </w:tblPr>
      <w:tblGrid>
        <w:gridCol w:w="9016"/>
      </w:tblGrid>
      <w:tr w:rsidR="008A144B" w:rsidRPr="00543148" w14:paraId="4FC40646" w14:textId="77777777" w:rsidTr="008A144B">
        <w:tc>
          <w:tcPr>
            <w:tcW w:w="9016" w:type="dxa"/>
            <w:shd w:val="clear" w:color="auto" w:fill="E8E8E8" w:themeFill="background2"/>
          </w:tcPr>
          <w:p w14:paraId="49E05998" w14:textId="29E36FDC" w:rsidR="001043E2" w:rsidRPr="00653BF4" w:rsidRDefault="00B95958" w:rsidP="001043E2">
            <w:pPr>
              <w:pStyle w:val="Caption"/>
              <w:keepNext/>
              <w:rPr>
                <w:b/>
                <w:bCs/>
                <w:i w:val="0"/>
                <w:iCs w:val="0"/>
                <w:sz w:val="20"/>
                <w:szCs w:val="20"/>
                <w:lang w:val="fr-FR"/>
              </w:rPr>
            </w:pPr>
            <w:bookmarkStart w:id="22" w:name="_Ref235521226"/>
            <w:r w:rsidRPr="00653BF4">
              <w:rPr>
                <w:i w:val="0"/>
                <w:sz w:val="20"/>
                <w:szCs w:val="20"/>
                <w:lang w:val="fr-FR"/>
              </w:rPr>
              <w:t>Encadré</w:t>
            </w:r>
            <w:r w:rsidR="001043E2" w:rsidRPr="00653BF4">
              <w:rPr>
                <w:i w:val="0"/>
                <w:sz w:val="20"/>
                <w:szCs w:val="20"/>
                <w:lang w:val="fr-FR"/>
              </w:rPr>
              <w:t xml:space="preserve"> </w:t>
            </w:r>
            <w:r w:rsidR="008306DF" w:rsidRPr="00653BF4">
              <w:rPr>
                <w:i w:val="0"/>
                <w:noProof/>
                <w:sz w:val="20"/>
                <w:szCs w:val="20"/>
                <w:lang w:val="fr-FR"/>
              </w:rPr>
              <w:t>1</w:t>
            </w:r>
            <w:bookmarkEnd w:id="22"/>
          </w:p>
          <w:p w14:paraId="7B5FEF15" w14:textId="10E5C40E" w:rsidR="002D2FD7" w:rsidRPr="00653BF4" w:rsidRDefault="00C443F4" w:rsidP="0043686A">
            <w:pPr>
              <w:rPr>
                <w:b/>
                <w:sz w:val="20"/>
                <w:szCs w:val="20"/>
                <w:lang w:val="fr-FR"/>
              </w:rPr>
            </w:pPr>
            <w:r w:rsidRPr="00653BF4">
              <w:rPr>
                <w:b/>
                <w:sz w:val="20"/>
                <w:szCs w:val="20"/>
                <w:lang w:val="fr-FR"/>
              </w:rPr>
              <w:t>Cadre de suivi du Cadre mondial de la biodiversité de Kunming-Montréal</w:t>
            </w:r>
          </w:p>
          <w:p w14:paraId="7DDCD3FD" w14:textId="77777777" w:rsidR="001043E2" w:rsidRPr="00653BF4" w:rsidRDefault="001043E2" w:rsidP="001043E2">
            <w:pPr>
              <w:rPr>
                <w:sz w:val="20"/>
                <w:szCs w:val="20"/>
                <w:lang w:val="fr-FR"/>
              </w:rPr>
            </w:pPr>
          </w:p>
          <w:p w14:paraId="69E7834D" w14:textId="100B3649" w:rsidR="00E611BF" w:rsidRPr="00653BF4" w:rsidRDefault="003C0EFD" w:rsidP="00E611BF">
            <w:pPr>
              <w:rPr>
                <w:sz w:val="20"/>
                <w:szCs w:val="20"/>
                <w:lang w:val="fr-FR"/>
              </w:rPr>
            </w:pPr>
            <w:r w:rsidRPr="00653BF4">
              <w:rPr>
                <w:sz w:val="20"/>
                <w:szCs w:val="20"/>
                <w:lang w:val="fr-FR"/>
              </w:rPr>
              <w:t>Innovation</w:t>
            </w:r>
            <w:r w:rsidR="00E611BF" w:rsidRPr="00653BF4">
              <w:rPr>
                <w:sz w:val="20"/>
                <w:szCs w:val="20"/>
                <w:lang w:val="fr-FR"/>
              </w:rPr>
              <w:t xml:space="preserve"> importante du Cadre, qui le distingue du Plan stratégique pour la biodiversité 2011-2020</w:t>
            </w:r>
            <w:r w:rsidR="00E34DC9">
              <w:rPr>
                <w:sz w:val="20"/>
                <w:szCs w:val="20"/>
                <w:lang w:val="fr-FR"/>
              </w:rPr>
              <w:t> :</w:t>
            </w:r>
            <w:r w:rsidRPr="00653BF4">
              <w:rPr>
                <w:sz w:val="20"/>
                <w:szCs w:val="20"/>
                <w:lang w:val="fr-FR"/>
              </w:rPr>
              <w:t xml:space="preserve"> </w:t>
            </w:r>
            <w:r w:rsidR="00234E70" w:rsidRPr="00653BF4">
              <w:rPr>
                <w:sz w:val="20"/>
                <w:szCs w:val="20"/>
                <w:lang w:val="fr-FR"/>
              </w:rPr>
              <w:t xml:space="preserve">un </w:t>
            </w:r>
            <w:r w:rsidR="00E611BF" w:rsidRPr="00653BF4">
              <w:rPr>
                <w:sz w:val="20"/>
                <w:szCs w:val="20"/>
                <w:lang w:val="fr-FR"/>
              </w:rPr>
              <w:t xml:space="preserve">cadre de suivi concerté </w:t>
            </w:r>
            <w:r w:rsidR="00C952A5" w:rsidRPr="00653BF4">
              <w:rPr>
                <w:sz w:val="20"/>
                <w:szCs w:val="20"/>
                <w:lang w:val="fr-FR"/>
              </w:rPr>
              <w:t>est</w:t>
            </w:r>
            <w:r w:rsidR="00234E70" w:rsidRPr="00653BF4">
              <w:rPr>
                <w:sz w:val="20"/>
                <w:szCs w:val="20"/>
                <w:lang w:val="fr-FR"/>
              </w:rPr>
              <w:t xml:space="preserve"> </w:t>
            </w:r>
            <w:r w:rsidR="00C710E0" w:rsidRPr="00653BF4">
              <w:rPr>
                <w:sz w:val="20"/>
                <w:szCs w:val="20"/>
                <w:lang w:val="fr-FR"/>
              </w:rPr>
              <w:t>adopté</w:t>
            </w:r>
            <w:r w:rsidR="00234E70" w:rsidRPr="00653BF4">
              <w:rPr>
                <w:sz w:val="20"/>
                <w:szCs w:val="20"/>
                <w:lang w:val="fr-FR"/>
              </w:rPr>
              <w:t xml:space="preserve"> </w:t>
            </w:r>
            <w:r w:rsidR="00602E1B" w:rsidRPr="00653BF4">
              <w:rPr>
                <w:sz w:val="20"/>
                <w:szCs w:val="20"/>
                <w:lang w:val="fr-FR"/>
              </w:rPr>
              <w:t xml:space="preserve">conjointement </w:t>
            </w:r>
            <w:r w:rsidR="008D5E49" w:rsidRPr="00653BF4">
              <w:rPr>
                <w:sz w:val="20"/>
                <w:szCs w:val="20"/>
                <w:lang w:val="fr-FR"/>
              </w:rPr>
              <w:t xml:space="preserve">et simultanément </w:t>
            </w:r>
            <w:r w:rsidR="00234E70" w:rsidRPr="00653BF4">
              <w:rPr>
                <w:sz w:val="20"/>
                <w:szCs w:val="20"/>
                <w:lang w:val="fr-FR"/>
              </w:rPr>
              <w:t xml:space="preserve">afin </w:t>
            </w:r>
            <w:r w:rsidR="00E611BF" w:rsidRPr="00653BF4">
              <w:rPr>
                <w:sz w:val="20"/>
                <w:szCs w:val="20"/>
                <w:lang w:val="fr-FR"/>
              </w:rPr>
              <w:t xml:space="preserve">de mesurer les progrès collectifs accomplis </w:t>
            </w:r>
            <w:r w:rsidR="002F0885" w:rsidRPr="00653BF4">
              <w:rPr>
                <w:sz w:val="20"/>
                <w:szCs w:val="20"/>
                <w:lang w:val="fr-FR"/>
              </w:rPr>
              <w:t>vers</w:t>
            </w:r>
            <w:r w:rsidR="00E611BF" w:rsidRPr="00653BF4">
              <w:rPr>
                <w:sz w:val="20"/>
                <w:szCs w:val="20"/>
                <w:lang w:val="fr-FR"/>
              </w:rPr>
              <w:t xml:space="preserve"> la réalisation des cibles et des objectifs (déc. 15/5 de la </w:t>
            </w:r>
            <w:r w:rsidR="00711DD2" w:rsidRPr="00653BF4">
              <w:rPr>
                <w:sz w:val="20"/>
                <w:szCs w:val="20"/>
                <w:lang w:val="fr-FR"/>
              </w:rPr>
              <w:t>CDB</w:t>
            </w:r>
            <w:r w:rsidR="00E611BF" w:rsidRPr="00653BF4">
              <w:rPr>
                <w:sz w:val="20"/>
                <w:szCs w:val="20"/>
                <w:lang w:val="fr-FR"/>
              </w:rPr>
              <w:t>, 2023</w:t>
            </w:r>
            <w:r w:rsidR="00E34DC9">
              <w:rPr>
                <w:sz w:val="20"/>
                <w:szCs w:val="20"/>
                <w:lang w:val="fr-FR"/>
              </w:rPr>
              <w:t> ;</w:t>
            </w:r>
            <w:r w:rsidR="00E611BF" w:rsidRPr="00653BF4">
              <w:rPr>
                <w:sz w:val="20"/>
                <w:szCs w:val="20"/>
                <w:lang w:val="fr-FR"/>
              </w:rPr>
              <w:t xml:space="preserve"> et déc. 16/31 de la </w:t>
            </w:r>
            <w:r w:rsidR="00711DD2" w:rsidRPr="00653BF4">
              <w:rPr>
                <w:sz w:val="20"/>
                <w:szCs w:val="20"/>
                <w:lang w:val="fr-FR"/>
              </w:rPr>
              <w:t>CDB</w:t>
            </w:r>
            <w:r w:rsidR="00E611BF" w:rsidRPr="00653BF4">
              <w:rPr>
                <w:sz w:val="20"/>
                <w:szCs w:val="20"/>
                <w:lang w:val="fr-FR"/>
              </w:rPr>
              <w:t>, 2026). Élaboré par consensus parallèlement au Cadre lui-même et susceptible d</w:t>
            </w:r>
            <w:r w:rsidR="002A58C8" w:rsidRPr="00653BF4">
              <w:rPr>
                <w:sz w:val="20"/>
                <w:szCs w:val="20"/>
                <w:lang w:val="fr-FR"/>
              </w:rPr>
              <w:t>’</w:t>
            </w:r>
            <w:r w:rsidR="00E611BF" w:rsidRPr="00653BF4">
              <w:rPr>
                <w:sz w:val="20"/>
                <w:szCs w:val="20"/>
                <w:lang w:val="fr-FR"/>
              </w:rPr>
              <w:t>être ajusté ultérieurement, le cadre de suivi comprend un ensemble d</w:t>
            </w:r>
            <w:r w:rsidR="002A58C8" w:rsidRPr="00653BF4">
              <w:rPr>
                <w:sz w:val="20"/>
                <w:szCs w:val="20"/>
                <w:lang w:val="fr-FR"/>
              </w:rPr>
              <w:t>’</w:t>
            </w:r>
            <w:r w:rsidR="00163FDD" w:rsidRPr="00653BF4">
              <w:rPr>
                <w:sz w:val="20"/>
                <w:szCs w:val="20"/>
                <w:lang w:val="fr-FR"/>
              </w:rPr>
              <w:t>indicateurs phares</w:t>
            </w:r>
            <w:r w:rsidR="00E611BF" w:rsidRPr="00653BF4">
              <w:rPr>
                <w:sz w:val="20"/>
                <w:szCs w:val="20"/>
                <w:lang w:val="fr-FR"/>
              </w:rPr>
              <w:t xml:space="preserve"> et binaires que toutes les Parties sont convenues d</w:t>
            </w:r>
            <w:r w:rsidR="002A58C8" w:rsidRPr="00653BF4">
              <w:rPr>
                <w:sz w:val="20"/>
                <w:szCs w:val="20"/>
                <w:lang w:val="fr-FR"/>
              </w:rPr>
              <w:t>’</w:t>
            </w:r>
            <w:r w:rsidR="00E611BF" w:rsidRPr="00653BF4">
              <w:rPr>
                <w:sz w:val="20"/>
                <w:szCs w:val="20"/>
                <w:lang w:val="fr-FR"/>
              </w:rPr>
              <w:t>utiliser pour assurer la cohérence du suivi et de l</w:t>
            </w:r>
            <w:r w:rsidR="002A58C8" w:rsidRPr="00653BF4">
              <w:rPr>
                <w:sz w:val="20"/>
                <w:szCs w:val="20"/>
                <w:lang w:val="fr-FR"/>
              </w:rPr>
              <w:t>’</w:t>
            </w:r>
            <w:r w:rsidR="00E611BF" w:rsidRPr="00653BF4">
              <w:rPr>
                <w:sz w:val="20"/>
                <w:szCs w:val="20"/>
                <w:lang w:val="fr-FR"/>
              </w:rPr>
              <w:t>analyse des progrès collectifs.</w:t>
            </w:r>
          </w:p>
          <w:p w14:paraId="30E1F2F5" w14:textId="26A82813" w:rsidR="0043686A" w:rsidRPr="00653BF4" w:rsidRDefault="00E611BF" w:rsidP="00E611BF">
            <w:pPr>
              <w:rPr>
                <w:sz w:val="20"/>
                <w:szCs w:val="20"/>
                <w:lang w:val="fr-FR"/>
              </w:rPr>
            </w:pPr>
            <w:r w:rsidRPr="00653BF4">
              <w:rPr>
                <w:sz w:val="20"/>
                <w:szCs w:val="20"/>
                <w:lang w:val="fr-FR"/>
              </w:rPr>
              <w:t>Le cadre de suivi comprend cinq types d</w:t>
            </w:r>
            <w:r w:rsidR="002A58C8" w:rsidRPr="00653BF4">
              <w:rPr>
                <w:sz w:val="20"/>
                <w:szCs w:val="20"/>
                <w:lang w:val="fr-FR"/>
              </w:rPr>
              <w:t>’</w:t>
            </w:r>
            <w:r w:rsidRPr="00653BF4">
              <w:rPr>
                <w:sz w:val="20"/>
                <w:szCs w:val="20"/>
                <w:lang w:val="fr-FR"/>
              </w:rPr>
              <w:t>indicateurs</w:t>
            </w:r>
            <w:r w:rsidR="00E34DC9">
              <w:rPr>
                <w:sz w:val="20"/>
                <w:szCs w:val="20"/>
                <w:lang w:val="fr-FR"/>
              </w:rPr>
              <w:t> :</w:t>
            </w:r>
          </w:p>
          <w:p w14:paraId="2B3FC864" w14:textId="5FE3152E" w:rsidR="00E74AF3" w:rsidRPr="00653BF4" w:rsidRDefault="00E74AF3" w:rsidP="00E74AF3">
            <w:pPr>
              <w:pStyle w:val="ListParagraph"/>
              <w:numPr>
                <w:ilvl w:val="0"/>
                <w:numId w:val="2"/>
              </w:numPr>
              <w:spacing w:line="279" w:lineRule="auto"/>
              <w:rPr>
                <w:sz w:val="20"/>
                <w:szCs w:val="20"/>
                <w:lang w:val="fr-FR"/>
              </w:rPr>
            </w:pPr>
            <w:r w:rsidRPr="00653BF4">
              <w:rPr>
                <w:sz w:val="20"/>
                <w:szCs w:val="20"/>
                <w:lang w:val="fr-FR"/>
              </w:rPr>
              <w:t>Indicateurs principaux. Il s</w:t>
            </w:r>
            <w:r w:rsidR="002A58C8" w:rsidRPr="00653BF4">
              <w:rPr>
                <w:sz w:val="20"/>
                <w:szCs w:val="20"/>
                <w:lang w:val="fr-FR"/>
              </w:rPr>
              <w:t>’</w:t>
            </w:r>
            <w:r w:rsidRPr="00653BF4">
              <w:rPr>
                <w:sz w:val="20"/>
                <w:szCs w:val="20"/>
                <w:lang w:val="fr-FR"/>
              </w:rPr>
              <w:t>agit d</w:t>
            </w:r>
            <w:r w:rsidR="002A58C8" w:rsidRPr="00653BF4">
              <w:rPr>
                <w:sz w:val="20"/>
                <w:szCs w:val="20"/>
                <w:lang w:val="fr-FR"/>
              </w:rPr>
              <w:t>’</w:t>
            </w:r>
            <w:r w:rsidRPr="00653BF4">
              <w:rPr>
                <w:sz w:val="20"/>
                <w:szCs w:val="20"/>
                <w:lang w:val="fr-FR"/>
              </w:rPr>
              <w:t>un ensemble de 27 indicateurs de haut niveau qui reflètent la portée globale des objectifs et des cibles du Cadre. Ils peuvent être calculés à partir de données nationales ou de sources de données mondiales validées par les Parties (qui intègrent elles-mêmes souvent des données nationales communiquées dans le contexte d</w:t>
            </w:r>
            <w:r w:rsidR="002A58C8" w:rsidRPr="00653BF4">
              <w:rPr>
                <w:sz w:val="20"/>
                <w:szCs w:val="20"/>
                <w:lang w:val="fr-FR"/>
              </w:rPr>
              <w:t>’</w:t>
            </w:r>
            <w:r w:rsidRPr="00653BF4">
              <w:rPr>
                <w:sz w:val="20"/>
                <w:szCs w:val="20"/>
                <w:lang w:val="fr-FR"/>
              </w:rPr>
              <w:t>autres processus mondiaux) et sont pertinents aux échelles nationale, régionale et mondiale</w:t>
            </w:r>
          </w:p>
          <w:p w14:paraId="48F77507" w14:textId="48B91105" w:rsidR="00E74AF3" w:rsidRPr="00653BF4" w:rsidRDefault="00E74AF3" w:rsidP="00E74AF3">
            <w:pPr>
              <w:pStyle w:val="ListParagraph"/>
              <w:numPr>
                <w:ilvl w:val="0"/>
                <w:numId w:val="2"/>
              </w:numPr>
              <w:spacing w:line="279" w:lineRule="auto"/>
              <w:rPr>
                <w:sz w:val="20"/>
                <w:szCs w:val="20"/>
                <w:lang w:val="fr-FR"/>
              </w:rPr>
            </w:pPr>
            <w:r w:rsidRPr="00653BF4">
              <w:rPr>
                <w:sz w:val="20"/>
                <w:szCs w:val="20"/>
                <w:lang w:val="fr-FR"/>
              </w:rPr>
              <w:t>Indicateurs binaires, représentés par un ensemble de 15 indicateurs au niveau mondial, compilés à partir de réponses binaires et catégorielles aux questions figurant dans le modèle de rapport national, et fournissant ainsi un décompte du nombre de Parties ayant mené certaines activités pertinentes pour une cible particulière</w:t>
            </w:r>
          </w:p>
          <w:p w14:paraId="58515912" w14:textId="2F3915BD" w:rsidR="00E74AF3" w:rsidRPr="00653BF4" w:rsidRDefault="00E74AF3" w:rsidP="00E74AF3">
            <w:pPr>
              <w:pStyle w:val="ListParagraph"/>
              <w:numPr>
                <w:ilvl w:val="0"/>
                <w:numId w:val="2"/>
              </w:numPr>
              <w:spacing w:line="279" w:lineRule="auto"/>
              <w:rPr>
                <w:sz w:val="20"/>
                <w:szCs w:val="20"/>
                <w:lang w:val="fr-FR"/>
              </w:rPr>
            </w:pPr>
            <w:r w:rsidRPr="00653BF4">
              <w:rPr>
                <w:sz w:val="20"/>
                <w:szCs w:val="20"/>
                <w:lang w:val="fr-FR"/>
              </w:rPr>
              <w:t xml:space="preserve">Indicateurs de composante facultatifs (au nombre de 54) qui, conjointement avec les </w:t>
            </w:r>
            <w:r w:rsidR="00163FDD" w:rsidRPr="00653BF4">
              <w:rPr>
                <w:sz w:val="20"/>
                <w:szCs w:val="20"/>
                <w:lang w:val="fr-FR"/>
              </w:rPr>
              <w:t>indicateurs phares</w:t>
            </w:r>
            <w:r w:rsidRPr="00653BF4">
              <w:rPr>
                <w:sz w:val="20"/>
                <w:szCs w:val="20"/>
                <w:lang w:val="fr-FR"/>
              </w:rPr>
              <w:t>, couvrent les composantes des objectifs et cibles du Cadre, et qui peuvent s</w:t>
            </w:r>
            <w:r w:rsidR="002A58C8" w:rsidRPr="00653BF4">
              <w:rPr>
                <w:sz w:val="20"/>
                <w:szCs w:val="20"/>
                <w:lang w:val="fr-FR"/>
              </w:rPr>
              <w:t>’</w:t>
            </w:r>
            <w:r w:rsidRPr="00653BF4">
              <w:rPr>
                <w:sz w:val="20"/>
                <w:szCs w:val="20"/>
                <w:lang w:val="fr-FR"/>
              </w:rPr>
              <w:t>appliquer aux échelles mondiale, régionale, nationale et infranationale</w:t>
            </w:r>
          </w:p>
          <w:p w14:paraId="43D2E4FA" w14:textId="699BD422" w:rsidR="00E74AF3" w:rsidRPr="00653BF4" w:rsidRDefault="00E74AF3" w:rsidP="00E74AF3">
            <w:pPr>
              <w:pStyle w:val="ListParagraph"/>
              <w:numPr>
                <w:ilvl w:val="0"/>
                <w:numId w:val="2"/>
              </w:numPr>
              <w:spacing w:line="279" w:lineRule="auto"/>
              <w:rPr>
                <w:sz w:val="20"/>
                <w:szCs w:val="20"/>
                <w:lang w:val="fr-FR"/>
              </w:rPr>
            </w:pPr>
            <w:r w:rsidRPr="00653BF4">
              <w:rPr>
                <w:sz w:val="20"/>
                <w:szCs w:val="20"/>
                <w:lang w:val="fr-FR"/>
              </w:rPr>
              <w:t>Des indicateurs complémentaires facultatifs (une liste de 120) destinés à l</w:t>
            </w:r>
            <w:r w:rsidR="002A58C8" w:rsidRPr="00653BF4">
              <w:rPr>
                <w:sz w:val="20"/>
                <w:szCs w:val="20"/>
                <w:lang w:val="fr-FR"/>
              </w:rPr>
              <w:t>’</w:t>
            </w:r>
            <w:r w:rsidRPr="00653BF4">
              <w:rPr>
                <w:sz w:val="20"/>
                <w:szCs w:val="20"/>
                <w:lang w:val="fr-FR"/>
              </w:rPr>
              <w:t>analyse thématique ou approfondie de chaque objectif et cible, pouvant s</w:t>
            </w:r>
            <w:r w:rsidR="002A58C8" w:rsidRPr="00653BF4">
              <w:rPr>
                <w:sz w:val="20"/>
                <w:szCs w:val="20"/>
                <w:lang w:val="fr-FR"/>
              </w:rPr>
              <w:t>’</w:t>
            </w:r>
            <w:r w:rsidRPr="00653BF4">
              <w:rPr>
                <w:sz w:val="20"/>
                <w:szCs w:val="20"/>
                <w:lang w:val="fr-FR"/>
              </w:rPr>
              <w:t xml:space="preserve">appliquer aux échelles mondiale, régionale, nationale et infranationale </w:t>
            </w:r>
          </w:p>
          <w:p w14:paraId="23B02121" w14:textId="1F4175DC" w:rsidR="000F1184" w:rsidRPr="00653BF4" w:rsidRDefault="00E74AF3" w:rsidP="00E74AF3">
            <w:pPr>
              <w:numPr>
                <w:ilvl w:val="0"/>
                <w:numId w:val="2"/>
              </w:numPr>
              <w:spacing w:line="279" w:lineRule="auto"/>
              <w:rPr>
                <w:sz w:val="20"/>
                <w:szCs w:val="20"/>
                <w:lang w:val="fr-FR"/>
              </w:rPr>
            </w:pPr>
            <w:r w:rsidRPr="00653BF4">
              <w:rPr>
                <w:sz w:val="20"/>
                <w:szCs w:val="20"/>
                <w:lang w:val="fr-FR"/>
              </w:rPr>
              <w:t>Des indicateurs nationaux ou infranationaux supplémentaires pouvant être utilisés par les Parties comme complément au Cadre de suivi</w:t>
            </w:r>
          </w:p>
          <w:p w14:paraId="0B843667" w14:textId="2B761E94" w:rsidR="008A144B" w:rsidRPr="00653BF4" w:rsidRDefault="005B4078" w:rsidP="000F1184">
            <w:pPr>
              <w:spacing w:line="279" w:lineRule="auto"/>
              <w:rPr>
                <w:sz w:val="20"/>
                <w:szCs w:val="20"/>
                <w:lang w:val="fr-FR"/>
              </w:rPr>
            </w:pPr>
            <w:r w:rsidRPr="00653BF4">
              <w:rPr>
                <w:sz w:val="20"/>
                <w:szCs w:val="20"/>
                <w:lang w:val="fr-FR"/>
              </w:rPr>
              <w:t>Le cadre de suivi fournit une architecture normalisée permettant d</w:t>
            </w:r>
            <w:r w:rsidR="002A58C8" w:rsidRPr="00653BF4">
              <w:rPr>
                <w:sz w:val="20"/>
                <w:szCs w:val="20"/>
                <w:lang w:val="fr-FR"/>
              </w:rPr>
              <w:t>’</w:t>
            </w:r>
            <w:r w:rsidRPr="00653BF4">
              <w:rPr>
                <w:sz w:val="20"/>
                <w:szCs w:val="20"/>
                <w:lang w:val="fr-FR"/>
              </w:rPr>
              <w:t>établir des rapports sur les progrès accomplis dans la réalisation des cibles nationales, en s</w:t>
            </w:r>
            <w:r w:rsidR="002A58C8" w:rsidRPr="00653BF4">
              <w:rPr>
                <w:sz w:val="20"/>
                <w:szCs w:val="20"/>
                <w:lang w:val="fr-FR"/>
              </w:rPr>
              <w:t>’</w:t>
            </w:r>
            <w:r w:rsidRPr="00653BF4">
              <w:rPr>
                <w:sz w:val="20"/>
                <w:szCs w:val="20"/>
                <w:lang w:val="fr-FR"/>
              </w:rPr>
              <w:t>appuyant sur la période de référence 2011-2020 lorsque les données sont disponibles, ce qui permet d</w:t>
            </w:r>
            <w:r w:rsidR="002A58C8" w:rsidRPr="00653BF4">
              <w:rPr>
                <w:sz w:val="20"/>
                <w:szCs w:val="20"/>
                <w:lang w:val="fr-FR"/>
              </w:rPr>
              <w:t>’</w:t>
            </w:r>
            <w:r w:rsidRPr="00653BF4">
              <w:rPr>
                <w:sz w:val="20"/>
                <w:szCs w:val="20"/>
                <w:lang w:val="fr-FR"/>
              </w:rPr>
              <w:t xml:space="preserve">évaluer les tendances, de regrouper les informations nationales et de constituer une base factuelle cohérente pour les rapports nationaux, tout en contribuant à une analyse globale des progrès collectifs (Affinito </w:t>
            </w:r>
            <w:r w:rsidRPr="00653BF4">
              <w:rPr>
                <w:i/>
                <w:iCs/>
                <w:sz w:val="20"/>
                <w:szCs w:val="20"/>
                <w:lang w:val="fr-FR"/>
              </w:rPr>
              <w:t>et al.</w:t>
            </w:r>
            <w:r w:rsidRPr="00653BF4">
              <w:rPr>
                <w:sz w:val="20"/>
                <w:szCs w:val="20"/>
                <w:lang w:val="fr-FR"/>
              </w:rPr>
              <w:t>, 2024).</w:t>
            </w:r>
          </w:p>
          <w:p w14:paraId="626174A0" w14:textId="06F34DE2" w:rsidR="004E2AEA" w:rsidRPr="00653BF4" w:rsidRDefault="004E2AEA" w:rsidP="00243BFA">
            <w:pPr>
              <w:spacing w:line="279" w:lineRule="auto"/>
              <w:rPr>
                <w:sz w:val="20"/>
                <w:szCs w:val="20"/>
                <w:lang w:val="fr-FR"/>
              </w:rPr>
            </w:pPr>
          </w:p>
        </w:tc>
      </w:tr>
    </w:tbl>
    <w:p w14:paraId="37C0C913" w14:textId="7AE0EE5F" w:rsidR="00FB3C79" w:rsidRPr="00653BF4" w:rsidRDefault="00FB3C79" w:rsidP="002B521F">
      <w:pPr>
        <w:pStyle w:val="Caption"/>
        <w:rPr>
          <w:sz w:val="20"/>
          <w:szCs w:val="20"/>
          <w:lang w:val="fr-FR"/>
        </w:rPr>
      </w:pPr>
    </w:p>
    <w:p w14:paraId="4B844AD9" w14:textId="573BD996" w:rsidR="00C700E9" w:rsidRPr="00653BF4" w:rsidRDefault="002878D7" w:rsidP="00C700E9">
      <w:pPr>
        <w:pStyle w:val="Heading3"/>
        <w:rPr>
          <w:lang w:val="fr-FR"/>
        </w:rPr>
      </w:pPr>
      <w:bookmarkStart w:id="23" w:name="_Toc242801218"/>
      <w:r>
        <w:rPr>
          <w:lang w:val="fr-FR"/>
        </w:rPr>
        <w:t>Objectif D</w:t>
      </w:r>
      <w:r w:rsidR="00B17F80" w:rsidRPr="00653BF4">
        <w:rPr>
          <w:lang w:val="fr-FR"/>
        </w:rPr>
        <w:t>u rapport mondial</w:t>
      </w:r>
      <w:bookmarkEnd w:id="23"/>
    </w:p>
    <w:p w14:paraId="42A3B576" w14:textId="4D090BFA" w:rsidR="0071338F" w:rsidRPr="00653BF4" w:rsidRDefault="0071338F" w:rsidP="0071338F">
      <w:pPr>
        <w:rPr>
          <w:lang w:val="fr-FR"/>
        </w:rPr>
      </w:pPr>
      <w:r w:rsidRPr="00653BF4">
        <w:rPr>
          <w:lang w:val="fr-FR"/>
        </w:rPr>
        <w:t>L</w:t>
      </w:r>
      <w:r w:rsidR="002A58C8" w:rsidRPr="00653BF4">
        <w:rPr>
          <w:lang w:val="fr-FR"/>
        </w:rPr>
        <w:t>’</w:t>
      </w:r>
      <w:r w:rsidR="002878D7">
        <w:rPr>
          <w:lang w:val="fr-FR"/>
        </w:rPr>
        <w:t>objectif D</w:t>
      </w:r>
      <w:r w:rsidRPr="00653BF4">
        <w:rPr>
          <w:lang w:val="fr-FR"/>
        </w:rPr>
        <w:t xml:space="preserve">e ce rapport mondial est de dresser un aperçu des progrès collectifs accomplis dans la mise en œuvre du Cadre depuis son adoption, </w:t>
      </w:r>
      <w:r w:rsidR="00117641" w:rsidRPr="00653BF4">
        <w:rPr>
          <w:lang w:val="fr-FR"/>
        </w:rPr>
        <w:t>en procédant à</w:t>
      </w:r>
      <w:r w:rsidRPr="00653BF4">
        <w:rPr>
          <w:lang w:val="fr-FR"/>
        </w:rPr>
        <w:t xml:space="preserve"> l</w:t>
      </w:r>
      <w:r w:rsidR="002A58C8" w:rsidRPr="00653BF4">
        <w:rPr>
          <w:lang w:val="fr-FR"/>
        </w:rPr>
        <w:t>’</w:t>
      </w:r>
      <w:r w:rsidRPr="00653BF4">
        <w:rPr>
          <w:lang w:val="fr-FR"/>
        </w:rPr>
        <w:t>analyse de</w:t>
      </w:r>
      <w:r w:rsidR="00E34DC9">
        <w:rPr>
          <w:lang w:val="fr-FR"/>
        </w:rPr>
        <w:t> :</w:t>
      </w:r>
    </w:p>
    <w:p w14:paraId="4652095C" w14:textId="3DECDB3E" w:rsidR="004172DC" w:rsidRPr="00653BF4" w:rsidRDefault="004172DC" w:rsidP="004172DC">
      <w:pPr>
        <w:rPr>
          <w:lang w:val="fr-FR"/>
        </w:rPr>
      </w:pPr>
    </w:p>
    <w:p w14:paraId="5F2F19D9" w14:textId="0368B0DF" w:rsidR="008F2DDD" w:rsidRPr="00653BF4" w:rsidRDefault="00FA7560" w:rsidP="008F2DDD">
      <w:pPr>
        <w:pStyle w:val="ListParagraph"/>
        <w:numPr>
          <w:ilvl w:val="0"/>
          <w:numId w:val="5"/>
        </w:numPr>
        <w:rPr>
          <w:lang w:val="fr-FR"/>
        </w:rPr>
      </w:pPr>
      <w:r w:rsidRPr="00653BF4">
        <w:rPr>
          <w:lang w:val="fr-FR"/>
        </w:rPr>
        <w:lastRenderedPageBreak/>
        <w:t>L</w:t>
      </w:r>
      <w:r w:rsidR="002A58C8" w:rsidRPr="00653BF4">
        <w:rPr>
          <w:lang w:val="fr-FR"/>
        </w:rPr>
        <w:t>’</w:t>
      </w:r>
      <w:r w:rsidRPr="00653BF4">
        <w:rPr>
          <w:lang w:val="fr-FR"/>
        </w:rPr>
        <w:t>ambition collective</w:t>
      </w:r>
      <w:r w:rsidR="00E34DC9">
        <w:rPr>
          <w:lang w:val="fr-FR"/>
        </w:rPr>
        <w:t> :</w:t>
      </w:r>
      <w:r w:rsidRPr="00653BF4">
        <w:rPr>
          <w:lang w:val="fr-FR"/>
        </w:rPr>
        <w:t xml:space="preserve"> compilation des actions prévues par les Parties et d</w:t>
      </w:r>
      <w:r w:rsidR="002A58C8" w:rsidRPr="00653BF4">
        <w:rPr>
          <w:lang w:val="fr-FR"/>
        </w:rPr>
        <w:t>’</w:t>
      </w:r>
      <w:r w:rsidRPr="00653BF4">
        <w:rPr>
          <w:lang w:val="fr-FR"/>
        </w:rPr>
        <w:t>autres acteurs, telles qu</w:t>
      </w:r>
      <w:r w:rsidR="002A58C8" w:rsidRPr="00653BF4">
        <w:rPr>
          <w:lang w:val="fr-FR"/>
        </w:rPr>
        <w:t>’</w:t>
      </w:r>
      <w:r w:rsidRPr="00653BF4">
        <w:rPr>
          <w:lang w:val="fr-FR"/>
        </w:rPr>
        <w:t>elles ont été communiquées par le dépôt des SPANB, ainsi que des cibles nationales associées et des engagements pris par des acteurs autres que les gouvernements nationaux</w:t>
      </w:r>
      <w:r w:rsidR="00EC2370" w:rsidRPr="00653BF4">
        <w:rPr>
          <w:lang w:val="fr-FR"/>
        </w:rPr>
        <w:t>,</w:t>
      </w:r>
    </w:p>
    <w:p w14:paraId="2CFF8E0C" w14:textId="1C4E0DE0" w:rsidR="008F2DDD" w:rsidRPr="00653BF4" w:rsidRDefault="00FA7560" w:rsidP="008F2DDD">
      <w:pPr>
        <w:pStyle w:val="ListParagraph"/>
        <w:numPr>
          <w:ilvl w:val="0"/>
          <w:numId w:val="5"/>
        </w:numPr>
        <w:rPr>
          <w:lang w:val="fr-FR"/>
        </w:rPr>
      </w:pPr>
      <w:r w:rsidRPr="00653BF4">
        <w:rPr>
          <w:lang w:val="fr-FR"/>
        </w:rPr>
        <w:t>La mise en œuvre collective</w:t>
      </w:r>
      <w:r w:rsidR="00E34DC9">
        <w:rPr>
          <w:lang w:val="fr-FR"/>
        </w:rPr>
        <w:t> :</w:t>
      </w:r>
      <w:r w:rsidR="008F2DDD" w:rsidRPr="00653BF4">
        <w:rPr>
          <w:lang w:val="fr-FR"/>
        </w:rPr>
        <w:t xml:space="preserve"> </w:t>
      </w:r>
      <w:r w:rsidR="0083305E" w:rsidRPr="00653BF4">
        <w:rPr>
          <w:lang w:val="fr-FR"/>
        </w:rPr>
        <w:t>les progrès réalisés dans la mise en œuvre du Cadre sur la base des rapports nationaux, qui constituent les principales sources d</w:t>
      </w:r>
      <w:r w:rsidR="002A58C8" w:rsidRPr="00653BF4">
        <w:rPr>
          <w:lang w:val="fr-FR"/>
        </w:rPr>
        <w:t>’</w:t>
      </w:r>
      <w:r w:rsidR="0083305E" w:rsidRPr="00653BF4">
        <w:rPr>
          <w:lang w:val="fr-FR"/>
        </w:rPr>
        <w:t>information, complétées par d</w:t>
      </w:r>
      <w:r w:rsidR="002A58C8" w:rsidRPr="00653BF4">
        <w:rPr>
          <w:lang w:val="fr-FR"/>
        </w:rPr>
        <w:t>’</w:t>
      </w:r>
      <w:r w:rsidR="0083305E" w:rsidRPr="00653BF4">
        <w:rPr>
          <w:lang w:val="fr-FR"/>
        </w:rPr>
        <w:t>autres sources convenues par les Parties (</w:t>
      </w:r>
      <w:r w:rsidR="00592405" w:rsidRPr="00653BF4">
        <w:rPr>
          <w:lang w:val="fr-FR"/>
        </w:rPr>
        <w:t>voir la figure </w:t>
      </w:r>
      <w:r w:rsidR="0083305E" w:rsidRPr="00653BF4">
        <w:rPr>
          <w:lang w:val="fr-FR"/>
        </w:rPr>
        <w:t>4)</w:t>
      </w:r>
      <w:r w:rsidR="00EC2370" w:rsidRPr="00653BF4">
        <w:rPr>
          <w:lang w:val="fr-FR"/>
        </w:rPr>
        <w:t>,</w:t>
      </w:r>
    </w:p>
    <w:p w14:paraId="62F94005" w14:textId="759AFA47" w:rsidR="008F2DDD" w:rsidRPr="00653BF4" w:rsidRDefault="0084497D" w:rsidP="008F2DDD">
      <w:pPr>
        <w:pStyle w:val="ListParagraph"/>
        <w:numPr>
          <w:ilvl w:val="0"/>
          <w:numId w:val="5"/>
        </w:numPr>
        <w:rPr>
          <w:lang w:val="fr-FR"/>
        </w:rPr>
      </w:pPr>
      <w:r w:rsidRPr="00653BF4">
        <w:rPr>
          <w:lang w:val="fr-FR"/>
        </w:rPr>
        <w:t>Les difficultés</w:t>
      </w:r>
      <w:r w:rsidR="0083305E" w:rsidRPr="00653BF4">
        <w:rPr>
          <w:lang w:val="fr-FR"/>
        </w:rPr>
        <w:t xml:space="preserve">, </w:t>
      </w:r>
      <w:r w:rsidRPr="00653BF4">
        <w:rPr>
          <w:lang w:val="fr-FR"/>
        </w:rPr>
        <w:t xml:space="preserve">les </w:t>
      </w:r>
      <w:r w:rsidR="0083305E" w:rsidRPr="00653BF4">
        <w:rPr>
          <w:lang w:val="fr-FR"/>
        </w:rPr>
        <w:t xml:space="preserve">lacunes et </w:t>
      </w:r>
      <w:r w:rsidRPr="00653BF4">
        <w:rPr>
          <w:lang w:val="fr-FR"/>
        </w:rPr>
        <w:t xml:space="preserve">les </w:t>
      </w:r>
      <w:r w:rsidR="0083305E" w:rsidRPr="00653BF4">
        <w:rPr>
          <w:lang w:val="fr-FR"/>
        </w:rPr>
        <w:t>opportunités liés à la mise en œuvre du Cadre</w:t>
      </w:r>
      <w:r w:rsidR="00EC2370" w:rsidRPr="00653BF4">
        <w:rPr>
          <w:lang w:val="fr-FR"/>
        </w:rPr>
        <w:t>,</w:t>
      </w:r>
    </w:p>
    <w:p w14:paraId="0F19DB9B" w14:textId="67178D4B" w:rsidR="008F2DDD" w:rsidRPr="00653BF4" w:rsidRDefault="00B53DC8" w:rsidP="008F2DDD">
      <w:pPr>
        <w:pStyle w:val="ListParagraph"/>
        <w:numPr>
          <w:ilvl w:val="0"/>
          <w:numId w:val="5"/>
        </w:numPr>
        <w:rPr>
          <w:lang w:val="fr-FR"/>
        </w:rPr>
      </w:pPr>
      <w:r w:rsidRPr="00653BF4">
        <w:rPr>
          <w:lang w:val="fr-FR"/>
        </w:rPr>
        <w:t>Les a</w:t>
      </w:r>
      <w:r w:rsidR="00446B31" w:rsidRPr="00653BF4">
        <w:rPr>
          <w:lang w:val="fr-FR"/>
        </w:rPr>
        <w:t>pproches non prescriptives</w:t>
      </w:r>
      <w:r w:rsidR="00E34DC9">
        <w:rPr>
          <w:lang w:val="fr-FR"/>
        </w:rPr>
        <w:t> :</w:t>
      </w:r>
      <w:r w:rsidR="00446B31" w:rsidRPr="00653BF4">
        <w:rPr>
          <w:lang w:val="fr-FR"/>
        </w:rPr>
        <w:t xml:space="preserve"> des options permettant de relever les défis, de combler les lacunes et de saisir les opportunités, en vue de progresser collectivement dans la mise en œuvre du Cadre</w:t>
      </w:r>
      <w:r w:rsidR="00FB71E6" w:rsidRPr="00653BF4">
        <w:rPr>
          <w:lang w:val="fr-FR"/>
        </w:rPr>
        <w:t>.</w:t>
      </w:r>
    </w:p>
    <w:p w14:paraId="3C15F026" w14:textId="77777777" w:rsidR="007F0E9C" w:rsidRPr="00653BF4" w:rsidRDefault="007F0E9C" w:rsidP="007F0E9C">
      <w:pPr>
        <w:pStyle w:val="Caption"/>
        <w:rPr>
          <w:sz w:val="20"/>
          <w:szCs w:val="20"/>
          <w:lang w:val="fr-FR"/>
        </w:rPr>
      </w:pPr>
      <w:bookmarkStart w:id="24" w:name="_Ref238299913"/>
    </w:p>
    <w:bookmarkEnd w:id="24"/>
    <w:p w14:paraId="1EF8A7EA" w14:textId="7E19AE54" w:rsidR="00DF6000" w:rsidRPr="00653BF4" w:rsidRDefault="007F0E9C" w:rsidP="007F0E9C">
      <w:pPr>
        <w:pStyle w:val="Caption"/>
        <w:rPr>
          <w:i w:val="0"/>
          <w:iCs w:val="0"/>
          <w:noProof/>
          <w:sz w:val="20"/>
          <w:szCs w:val="20"/>
          <w:lang w:val="fr-FR"/>
        </w:rPr>
      </w:pPr>
      <w:r w:rsidRPr="00653BF4">
        <w:rPr>
          <w:i w:val="0"/>
          <w:sz w:val="20"/>
          <w:szCs w:val="20"/>
          <w:lang w:val="fr-FR"/>
        </w:rPr>
        <w:t>Figure 4</w:t>
      </w:r>
    </w:p>
    <w:p w14:paraId="1653C287" w14:textId="4BD8A6F1" w:rsidR="007F0E9C" w:rsidRDefault="00513E94" w:rsidP="007F0E9C">
      <w:pPr>
        <w:pStyle w:val="Caption"/>
        <w:rPr>
          <w:b/>
          <w:i w:val="0"/>
          <w:sz w:val="20"/>
          <w:szCs w:val="20"/>
          <w:lang w:val="fr-FR"/>
        </w:rPr>
      </w:pPr>
      <w:r w:rsidRPr="00653BF4">
        <w:rPr>
          <w:b/>
          <w:i w:val="0"/>
          <w:sz w:val="20"/>
          <w:szCs w:val="20"/>
          <w:lang w:val="fr-FR"/>
        </w:rPr>
        <w:t>Illustration de la manière dont les ambitions des Parties, telles qu</w:t>
      </w:r>
      <w:r w:rsidR="002A58C8" w:rsidRPr="00653BF4">
        <w:rPr>
          <w:b/>
          <w:i w:val="0"/>
          <w:sz w:val="20"/>
          <w:szCs w:val="20"/>
          <w:lang w:val="fr-FR"/>
        </w:rPr>
        <w:t>’</w:t>
      </w:r>
      <w:r w:rsidRPr="00653BF4">
        <w:rPr>
          <w:b/>
          <w:i w:val="0"/>
          <w:sz w:val="20"/>
          <w:szCs w:val="20"/>
          <w:lang w:val="fr-FR"/>
        </w:rPr>
        <w:t>elles sont indiquées dans les cibles nationales, et la mise en œuvre, telle qu</w:t>
      </w:r>
      <w:r w:rsidR="002A58C8" w:rsidRPr="00653BF4">
        <w:rPr>
          <w:b/>
          <w:i w:val="0"/>
          <w:sz w:val="20"/>
          <w:szCs w:val="20"/>
          <w:lang w:val="fr-FR"/>
        </w:rPr>
        <w:t>’</w:t>
      </w:r>
      <w:r w:rsidRPr="00653BF4">
        <w:rPr>
          <w:b/>
          <w:i w:val="0"/>
          <w:sz w:val="20"/>
          <w:szCs w:val="20"/>
          <w:lang w:val="fr-FR"/>
        </w:rPr>
        <w:t>elle est décrite dans les rapports nationaux, contribuent aux progrès collectifs accomplis dans la mise en œuvre du Cadre</w:t>
      </w:r>
    </w:p>
    <w:p w14:paraId="21B3BD23" w14:textId="190F416B" w:rsidR="00DD4102" w:rsidRPr="00653BF4" w:rsidRDefault="005450D7" w:rsidP="00C700E9">
      <w:pPr>
        <w:rPr>
          <w:lang w:val="fr-FR"/>
        </w:rPr>
      </w:pPr>
      <w:r w:rsidRPr="00653BF4">
        <w:rPr>
          <w:noProof/>
          <w:lang w:val="fr-FR"/>
        </w:rPr>
        <w:drawing>
          <wp:inline distT="0" distB="0" distL="0" distR="0" wp14:anchorId="141C6ECD" wp14:editId="7FC1786A">
            <wp:extent cx="5943600" cy="3275330"/>
            <wp:effectExtent l="0" t="0" r="0" b="1270"/>
            <wp:docPr id="19087621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62108" name="Picture 190876210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275330"/>
                    </a:xfrm>
                    <a:prstGeom prst="rect">
                      <a:avLst/>
                    </a:prstGeom>
                  </pic:spPr>
                </pic:pic>
              </a:graphicData>
            </a:graphic>
          </wp:inline>
        </w:drawing>
      </w:r>
    </w:p>
    <w:p w14:paraId="4428A58C" w14:textId="77777777" w:rsidR="003246FC" w:rsidRPr="00653BF4" w:rsidRDefault="00F62E95" w:rsidP="00C700E9">
      <w:pPr>
        <w:pStyle w:val="Caption"/>
        <w:rPr>
          <w:lang w:val="fr-FR"/>
        </w:rPr>
      </w:pPr>
      <w:r w:rsidRPr="00653BF4">
        <w:rPr>
          <w:lang w:val="fr-FR"/>
        </w:rPr>
        <w:t xml:space="preserve"> </w:t>
      </w:r>
    </w:p>
    <w:tbl>
      <w:tblPr>
        <w:tblStyle w:val="TableGrid"/>
        <w:tblW w:w="8594" w:type="dxa"/>
        <w:tblInd w:w="-5" w:type="dxa"/>
        <w:tblLayout w:type="fixed"/>
        <w:tblLook w:val="04A0" w:firstRow="1" w:lastRow="0" w:firstColumn="1" w:lastColumn="0" w:noHBand="0" w:noVBand="1"/>
      </w:tblPr>
      <w:tblGrid>
        <w:gridCol w:w="4058"/>
        <w:gridCol w:w="4536"/>
      </w:tblGrid>
      <w:tr w:rsidR="003246FC" w:rsidRPr="0046019F" w14:paraId="1A28F248" w14:textId="77777777" w:rsidTr="009B4355">
        <w:tc>
          <w:tcPr>
            <w:tcW w:w="859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663B523" w14:textId="77777777" w:rsidR="003246FC" w:rsidRPr="0046019F" w:rsidRDefault="003246FC" w:rsidP="009B4355">
            <w:pPr>
              <w:rPr>
                <w:rFonts w:ascii="Aptos" w:eastAsia="Segoe UI" w:hAnsi="Aptos" w:cs="Segoe UI"/>
                <w:color w:val="0F1115"/>
              </w:rPr>
            </w:pPr>
            <w:r w:rsidRPr="0046019F">
              <w:rPr>
                <w:rFonts w:ascii="Aptos" w:eastAsia="Segoe UI" w:hAnsi="Aptos" w:cs="Segoe UI"/>
                <w:color w:val="0F1115"/>
              </w:rPr>
              <w:t>Figure 4</w:t>
            </w:r>
          </w:p>
        </w:tc>
      </w:tr>
      <w:tr w:rsidR="003246FC" w:rsidRPr="0046019F" w14:paraId="7B59CE48" w14:textId="77777777" w:rsidTr="009B4355">
        <w:tc>
          <w:tcPr>
            <w:tcW w:w="4058" w:type="dxa"/>
            <w:tcBorders>
              <w:top w:val="single" w:sz="8" w:space="0" w:color="auto"/>
              <w:left w:val="single" w:sz="8" w:space="0" w:color="auto"/>
              <w:bottom w:val="single" w:sz="8" w:space="0" w:color="auto"/>
              <w:right w:val="single" w:sz="8" w:space="0" w:color="auto"/>
            </w:tcBorders>
            <w:tcMar>
              <w:left w:w="108" w:type="dxa"/>
              <w:right w:w="108" w:type="dxa"/>
            </w:tcMar>
          </w:tcPr>
          <w:p w14:paraId="2FE38395" w14:textId="77777777" w:rsidR="003246FC" w:rsidRPr="0046019F" w:rsidRDefault="003246FC" w:rsidP="009B4355">
            <w:pPr>
              <w:rPr>
                <w:rFonts w:ascii="Aptos" w:eastAsia="Segoe UI" w:hAnsi="Aptos" w:cs="Segoe UI"/>
                <w:color w:val="0F1115"/>
              </w:rPr>
            </w:pPr>
            <w:r w:rsidRPr="0046019F">
              <w:rPr>
                <w:rFonts w:ascii="Aptos" w:eastAsia="Segoe UI" w:hAnsi="Aptos" w:cs="Segoe UI"/>
                <w:color w:val="0F1115"/>
              </w:rPr>
              <w:t xml:space="preserve">English  </w:t>
            </w: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463BB349" w14:textId="77777777" w:rsidR="003246FC" w:rsidRPr="0046019F" w:rsidRDefault="003246FC" w:rsidP="009B4355">
            <w:pPr>
              <w:rPr>
                <w:rFonts w:ascii="Aptos" w:eastAsia="Segoe UI" w:hAnsi="Aptos" w:cs="Segoe UI"/>
                <w:color w:val="0F1115"/>
              </w:rPr>
            </w:pPr>
            <w:r>
              <w:rPr>
                <w:rFonts w:ascii="Aptos" w:eastAsia="Segoe UI" w:hAnsi="Aptos" w:cs="Segoe UI"/>
                <w:color w:val="0F1115"/>
              </w:rPr>
              <w:t>Français</w:t>
            </w:r>
          </w:p>
        </w:tc>
      </w:tr>
      <w:tr w:rsidR="003246FC" w:rsidRPr="003A6336" w14:paraId="421C39F4" w14:textId="77777777" w:rsidTr="009B4355">
        <w:tc>
          <w:tcPr>
            <w:tcW w:w="4058" w:type="dxa"/>
            <w:tcBorders>
              <w:top w:val="single" w:sz="8" w:space="0" w:color="auto"/>
              <w:left w:val="single" w:sz="8" w:space="0" w:color="auto"/>
              <w:bottom w:val="single" w:sz="8" w:space="0" w:color="auto"/>
              <w:right w:val="single" w:sz="8" w:space="0" w:color="auto"/>
            </w:tcBorders>
            <w:tcMar>
              <w:left w:w="108" w:type="dxa"/>
              <w:right w:w="108" w:type="dxa"/>
            </w:tcMar>
          </w:tcPr>
          <w:p w14:paraId="3F4BAD65" w14:textId="77777777" w:rsidR="003246FC" w:rsidRPr="003A6336" w:rsidRDefault="003246FC" w:rsidP="009B4355">
            <w:pPr>
              <w:rPr>
                <w:rFonts w:ascii="Aptos" w:eastAsia="Segoe UI" w:hAnsi="Aptos" w:cs="Segoe UI"/>
                <w:color w:val="0F1115"/>
              </w:rPr>
            </w:pPr>
            <w:r w:rsidRPr="003A6336">
              <w:rPr>
                <w:rFonts w:ascii="Aptos" w:eastAsia="Segoe UI" w:hAnsi="Aptos" w:cs="Segoe UI"/>
                <w:color w:val="0F1115"/>
              </w:rPr>
              <w:t>MORE THRIVING NATURE</w:t>
            </w: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5547E4AA" w14:textId="77777777" w:rsidR="003246FC" w:rsidRPr="007E63BA" w:rsidRDefault="003246FC" w:rsidP="009B4355">
            <w:pPr>
              <w:rPr>
                <w:rFonts w:ascii="Aptos" w:eastAsia="Segoe UI" w:hAnsi="Aptos" w:cs="Segoe UI"/>
                <w:color w:val="0F1115"/>
                <w:lang w:val="fr-FR"/>
              </w:rPr>
            </w:pPr>
            <w:r w:rsidRPr="007E63BA">
              <w:rPr>
                <w:rFonts w:ascii="Aptos" w:eastAsia="Segoe UI" w:hAnsi="Aptos" w:cs="Segoe UI"/>
                <w:color w:val="0F1115"/>
                <w:lang w:val="fr-FR"/>
              </w:rPr>
              <w:t>NATURE PLUS PROSP</w:t>
            </w:r>
            <w:r>
              <w:rPr>
                <w:rFonts w:ascii="Aptos" w:eastAsia="Segoe UI" w:hAnsi="Aptos" w:cs="Segoe UI"/>
                <w:color w:val="0F1115"/>
                <w:lang w:val="fr-FR"/>
              </w:rPr>
              <w:t>È</w:t>
            </w:r>
            <w:r w:rsidRPr="007E63BA">
              <w:rPr>
                <w:rFonts w:ascii="Aptos" w:eastAsia="Segoe UI" w:hAnsi="Aptos" w:cs="Segoe UI"/>
                <w:color w:val="0F1115"/>
                <w:lang w:val="fr-FR"/>
              </w:rPr>
              <w:t>RE</w:t>
            </w:r>
          </w:p>
        </w:tc>
      </w:tr>
      <w:tr w:rsidR="003246FC" w:rsidRPr="003A6336" w14:paraId="16CD4B45" w14:textId="77777777" w:rsidTr="009B4355">
        <w:tc>
          <w:tcPr>
            <w:tcW w:w="4058" w:type="dxa"/>
            <w:tcBorders>
              <w:top w:val="single" w:sz="8" w:space="0" w:color="auto"/>
              <w:left w:val="single" w:sz="8" w:space="0" w:color="auto"/>
              <w:bottom w:val="single" w:sz="8" w:space="0" w:color="auto"/>
              <w:right w:val="single" w:sz="8" w:space="0" w:color="auto"/>
            </w:tcBorders>
            <w:tcMar>
              <w:left w:w="108" w:type="dxa"/>
              <w:right w:w="108" w:type="dxa"/>
            </w:tcMar>
          </w:tcPr>
          <w:p w14:paraId="4FE82A92" w14:textId="77777777" w:rsidR="003246FC" w:rsidRPr="003A6336" w:rsidRDefault="003246FC" w:rsidP="009B4355">
            <w:pPr>
              <w:rPr>
                <w:rFonts w:ascii="Aptos" w:eastAsia="Segoe UI" w:hAnsi="Aptos" w:cs="Segoe UI"/>
                <w:color w:val="0F1115"/>
              </w:rPr>
            </w:pPr>
            <w:r w:rsidRPr="003A6336">
              <w:rPr>
                <w:rFonts w:ascii="Aptos" w:eastAsia="Segoe UI" w:hAnsi="Aptos" w:cs="Segoe UI"/>
                <w:color w:val="0F1115"/>
              </w:rPr>
              <w:lastRenderedPageBreak/>
              <w:t>LIVING IN HARMONY with nature: the vision of the Framework</w:t>
            </w: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18B5F038" w14:textId="77777777" w:rsidR="003246FC" w:rsidRPr="007E63BA" w:rsidRDefault="003246FC" w:rsidP="009B4355">
            <w:pPr>
              <w:rPr>
                <w:rFonts w:ascii="Aptos" w:eastAsia="Segoe UI" w:hAnsi="Aptos" w:cs="Segoe UI"/>
                <w:color w:val="0F1115"/>
                <w:lang w:val="fr-FR"/>
              </w:rPr>
            </w:pPr>
            <w:r>
              <w:rPr>
                <w:rFonts w:ascii="Aptos" w:eastAsia="Segoe UI" w:hAnsi="Aptos" w:cs="Segoe UI"/>
                <w:color w:val="0F1115"/>
                <w:lang w:val="fr-FR"/>
              </w:rPr>
              <w:t>VIVRE EN HARMONIE avec la nature : la vision du Cadre</w:t>
            </w:r>
          </w:p>
        </w:tc>
      </w:tr>
      <w:tr w:rsidR="003246FC" w:rsidRPr="003A6336" w14:paraId="4A181C07" w14:textId="77777777" w:rsidTr="009B4355">
        <w:tc>
          <w:tcPr>
            <w:tcW w:w="4058" w:type="dxa"/>
            <w:tcBorders>
              <w:top w:val="single" w:sz="8" w:space="0" w:color="auto"/>
              <w:left w:val="single" w:sz="8" w:space="0" w:color="auto"/>
              <w:bottom w:val="single" w:sz="8" w:space="0" w:color="auto"/>
              <w:right w:val="single" w:sz="8" w:space="0" w:color="auto"/>
            </w:tcBorders>
            <w:tcMar>
              <w:left w:w="108" w:type="dxa"/>
              <w:right w:w="108" w:type="dxa"/>
            </w:tcMar>
          </w:tcPr>
          <w:p w14:paraId="5CCD4F03" w14:textId="77777777" w:rsidR="003246FC" w:rsidRPr="003A6336" w:rsidRDefault="003246FC" w:rsidP="009B4355">
            <w:pPr>
              <w:rPr>
                <w:rFonts w:ascii="Aptos" w:eastAsia="Segoe UI" w:hAnsi="Aptos" w:cs="Segoe UI"/>
                <w:color w:val="0F1115"/>
              </w:rPr>
            </w:pPr>
            <w:r w:rsidRPr="003A6336">
              <w:rPr>
                <w:rFonts w:ascii="Aptos" w:eastAsia="Segoe UI" w:hAnsi="Aptos" w:cs="Segoe UI"/>
                <w:color w:val="0F1115"/>
              </w:rPr>
              <w:t>LOW AMBITION: full implementation of national targets, but the collective ambition of those targets is lower than the ambition of the Framework</w:t>
            </w: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4B5D01BA" w14:textId="77777777" w:rsidR="003246FC" w:rsidRPr="007E63BA" w:rsidRDefault="003246FC" w:rsidP="009B4355">
            <w:pPr>
              <w:rPr>
                <w:rFonts w:ascii="Aptos" w:eastAsia="Segoe UI" w:hAnsi="Aptos" w:cs="Segoe UI"/>
                <w:color w:val="0F1115"/>
                <w:lang w:val="fr-FR"/>
              </w:rPr>
            </w:pPr>
            <w:r>
              <w:rPr>
                <w:rFonts w:ascii="Aptos" w:eastAsia="Segoe UI" w:hAnsi="Aptos" w:cs="Segoe UI"/>
                <w:color w:val="0F1115"/>
                <w:lang w:val="fr-FR"/>
              </w:rPr>
              <w:t>AMBITION BASSE : mise en œuvre totale des cibles nationales, mais l’ambition collective de ces cibles est plus basse que l’ambition du Cadre</w:t>
            </w:r>
          </w:p>
        </w:tc>
      </w:tr>
      <w:tr w:rsidR="003246FC" w:rsidRPr="003A6336" w14:paraId="760E32DB" w14:textId="77777777" w:rsidTr="009B4355">
        <w:tc>
          <w:tcPr>
            <w:tcW w:w="4058" w:type="dxa"/>
            <w:tcBorders>
              <w:top w:val="single" w:sz="8" w:space="0" w:color="auto"/>
              <w:left w:val="single" w:sz="8" w:space="0" w:color="auto"/>
              <w:bottom w:val="single" w:sz="8" w:space="0" w:color="auto"/>
              <w:right w:val="single" w:sz="8" w:space="0" w:color="auto"/>
            </w:tcBorders>
            <w:tcMar>
              <w:left w:w="108" w:type="dxa"/>
              <w:right w:w="108" w:type="dxa"/>
            </w:tcMar>
          </w:tcPr>
          <w:p w14:paraId="19F8221F" w14:textId="77777777" w:rsidR="003246FC" w:rsidRPr="003A6336" w:rsidRDefault="003246FC" w:rsidP="009B4355">
            <w:pPr>
              <w:rPr>
                <w:rFonts w:ascii="Aptos" w:eastAsia="Segoe UI" w:hAnsi="Aptos" w:cs="Segoe UI"/>
                <w:color w:val="0F1115"/>
              </w:rPr>
            </w:pPr>
            <w:r w:rsidRPr="003A6336">
              <w:rPr>
                <w:rFonts w:ascii="Aptos" w:eastAsia="Segoe UI" w:hAnsi="Aptos" w:cs="Segoe UI"/>
                <w:color w:val="0F1115"/>
              </w:rPr>
              <w:t>LOW AMBITION and low implementation: low collective ambition coupled with low collective implementation of the national targets</w:t>
            </w: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5F41B01D" w14:textId="77777777" w:rsidR="003246FC" w:rsidRPr="007E63BA" w:rsidRDefault="003246FC" w:rsidP="009B4355">
            <w:pPr>
              <w:rPr>
                <w:rFonts w:ascii="Aptos" w:eastAsia="Segoe UI" w:hAnsi="Aptos" w:cs="Segoe UI"/>
                <w:color w:val="0F1115"/>
                <w:lang w:val="fr-FR"/>
              </w:rPr>
            </w:pPr>
            <w:r>
              <w:rPr>
                <w:rFonts w:ascii="Aptos" w:eastAsia="Segoe UI" w:hAnsi="Aptos" w:cs="Segoe UI"/>
                <w:color w:val="0F1115"/>
                <w:lang w:val="fr-FR"/>
              </w:rPr>
              <w:t>AMBITION BASSE et mise en œuvre faible : une ambition collective basse associée à une mise en œuvre défaillante des cibles nationales</w:t>
            </w:r>
          </w:p>
        </w:tc>
      </w:tr>
      <w:tr w:rsidR="003246FC" w:rsidRPr="003A6336" w14:paraId="5A0993D3" w14:textId="77777777" w:rsidTr="009B4355">
        <w:tc>
          <w:tcPr>
            <w:tcW w:w="4058" w:type="dxa"/>
            <w:tcBorders>
              <w:top w:val="single" w:sz="8" w:space="0" w:color="auto"/>
              <w:left w:val="single" w:sz="8" w:space="0" w:color="auto"/>
              <w:bottom w:val="single" w:sz="8" w:space="0" w:color="auto"/>
              <w:right w:val="single" w:sz="8" w:space="0" w:color="auto"/>
            </w:tcBorders>
            <w:tcMar>
              <w:left w:w="108" w:type="dxa"/>
              <w:right w:w="108" w:type="dxa"/>
            </w:tcMar>
          </w:tcPr>
          <w:p w14:paraId="19C1F219" w14:textId="77777777" w:rsidR="003246FC" w:rsidRPr="003A6336" w:rsidRDefault="003246FC" w:rsidP="009B4355">
            <w:pPr>
              <w:rPr>
                <w:rFonts w:ascii="Aptos" w:eastAsia="Segoe UI" w:hAnsi="Aptos" w:cs="Segoe UI"/>
                <w:color w:val="0F1115"/>
              </w:rPr>
            </w:pPr>
            <w:r w:rsidRPr="003A6336">
              <w:rPr>
                <w:rFonts w:ascii="Aptos" w:eastAsia="Segoe UI" w:hAnsi="Aptos" w:cs="Segoe UI"/>
                <w:color w:val="0F1115"/>
              </w:rPr>
              <w:t>LESS THRIVING NATURE</w:t>
            </w: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40716A58" w14:textId="77777777" w:rsidR="003246FC" w:rsidRPr="007E63BA" w:rsidRDefault="003246FC" w:rsidP="009B4355">
            <w:pPr>
              <w:rPr>
                <w:rFonts w:ascii="Aptos" w:eastAsia="Segoe UI" w:hAnsi="Aptos" w:cs="Segoe UI"/>
                <w:color w:val="0F1115"/>
                <w:lang w:val="fr-FR"/>
              </w:rPr>
            </w:pPr>
            <w:r>
              <w:rPr>
                <w:rFonts w:ascii="Aptos" w:eastAsia="Segoe UI" w:hAnsi="Aptos" w:cs="Segoe UI"/>
                <w:color w:val="0F1115"/>
                <w:lang w:val="fr-FR"/>
              </w:rPr>
              <w:t>NATURE MOINS PROSP</w:t>
            </w:r>
            <w:r>
              <w:rPr>
                <w:rFonts w:ascii="Calibri" w:eastAsia="SimSun-ExtG" w:hAnsi="Calibri" w:cs="Calibri"/>
                <w:color w:val="0F1115"/>
                <w:lang w:val="fr-FR"/>
              </w:rPr>
              <w:t>È</w:t>
            </w:r>
            <w:r>
              <w:rPr>
                <w:rFonts w:ascii="Aptos" w:eastAsia="Segoe UI" w:hAnsi="Aptos" w:cs="Segoe UI"/>
                <w:color w:val="0F1115"/>
                <w:lang w:val="fr-FR"/>
              </w:rPr>
              <w:t>RE</w:t>
            </w:r>
          </w:p>
        </w:tc>
      </w:tr>
      <w:tr w:rsidR="003246FC" w:rsidRPr="003A6336" w14:paraId="5E193456" w14:textId="77777777" w:rsidTr="009B4355">
        <w:tc>
          <w:tcPr>
            <w:tcW w:w="4058" w:type="dxa"/>
            <w:tcBorders>
              <w:top w:val="single" w:sz="8" w:space="0" w:color="auto"/>
              <w:left w:val="single" w:sz="8" w:space="0" w:color="auto"/>
              <w:bottom w:val="single" w:sz="8" w:space="0" w:color="auto"/>
              <w:right w:val="single" w:sz="8" w:space="0" w:color="auto"/>
            </w:tcBorders>
            <w:tcMar>
              <w:left w:w="108" w:type="dxa"/>
              <w:right w:w="108" w:type="dxa"/>
            </w:tcMar>
          </w:tcPr>
          <w:p w14:paraId="3C78E809" w14:textId="77777777" w:rsidR="003246FC" w:rsidRPr="003A6336" w:rsidRDefault="003246FC" w:rsidP="009B4355">
            <w:pPr>
              <w:rPr>
                <w:rFonts w:ascii="Aptos" w:eastAsia="Segoe UI" w:hAnsi="Aptos" w:cs="Segoe UI"/>
                <w:color w:val="0F1115"/>
              </w:rPr>
            </w:pPr>
            <w:r w:rsidRPr="003A6336">
              <w:rPr>
                <w:rFonts w:ascii="Aptos" w:eastAsia="Segoe UI" w:hAnsi="Aptos" w:cs="Segoe UI"/>
                <w:color w:val="0F1115"/>
              </w:rPr>
              <w:t>TIME</w:t>
            </w:r>
          </w:p>
        </w:tc>
        <w:tc>
          <w:tcPr>
            <w:tcW w:w="4536" w:type="dxa"/>
            <w:tcBorders>
              <w:top w:val="single" w:sz="8" w:space="0" w:color="auto"/>
              <w:left w:val="single" w:sz="8" w:space="0" w:color="auto"/>
              <w:bottom w:val="single" w:sz="8" w:space="0" w:color="auto"/>
              <w:right w:val="single" w:sz="8" w:space="0" w:color="auto"/>
            </w:tcBorders>
            <w:tcMar>
              <w:left w:w="108" w:type="dxa"/>
              <w:right w:w="108" w:type="dxa"/>
            </w:tcMar>
          </w:tcPr>
          <w:p w14:paraId="056A67B5" w14:textId="77777777" w:rsidR="003246FC" w:rsidRPr="007E63BA" w:rsidRDefault="003246FC" w:rsidP="009B4355">
            <w:pPr>
              <w:rPr>
                <w:rFonts w:ascii="Aptos" w:eastAsia="Segoe UI" w:hAnsi="Aptos" w:cs="Segoe UI"/>
                <w:color w:val="0F1115"/>
                <w:lang w:val="fr-FR"/>
              </w:rPr>
            </w:pPr>
            <w:r>
              <w:rPr>
                <w:rFonts w:ascii="Aptos" w:eastAsia="Segoe UI" w:hAnsi="Aptos" w:cs="Segoe UI"/>
                <w:color w:val="0F1115"/>
                <w:lang w:val="fr-FR"/>
              </w:rPr>
              <w:t>TEMPS</w:t>
            </w:r>
          </w:p>
        </w:tc>
      </w:tr>
    </w:tbl>
    <w:p w14:paraId="2032EC8C" w14:textId="77777777" w:rsidR="00FE4DFE" w:rsidRPr="00653BF4" w:rsidRDefault="00FE4DFE" w:rsidP="00D170BF">
      <w:pPr>
        <w:pStyle w:val="Caption"/>
        <w:rPr>
          <w:i w:val="0"/>
          <w:color w:val="000000" w:themeColor="text1"/>
          <w:sz w:val="24"/>
          <w:szCs w:val="24"/>
          <w:lang w:val="fr-FR"/>
        </w:rPr>
      </w:pPr>
    </w:p>
    <w:p w14:paraId="18FD94D0" w14:textId="6503DD22" w:rsidR="00951D07" w:rsidRPr="00653BF4" w:rsidRDefault="00041ADA" w:rsidP="00041ADA">
      <w:pPr>
        <w:rPr>
          <w:lang w:val="fr-FR"/>
        </w:rPr>
      </w:pPr>
      <w:r w:rsidRPr="00653BF4">
        <w:rPr>
          <w:lang w:val="fr-FR" w:eastAsia="ja-JP"/>
        </w:rPr>
        <w:t>Le rapport mondial s</w:t>
      </w:r>
      <w:r w:rsidR="002A58C8" w:rsidRPr="00653BF4">
        <w:rPr>
          <w:lang w:val="fr-FR" w:eastAsia="ja-JP"/>
        </w:rPr>
        <w:t>’</w:t>
      </w:r>
      <w:r w:rsidRPr="00653BF4">
        <w:rPr>
          <w:lang w:val="fr-FR" w:eastAsia="ja-JP"/>
        </w:rPr>
        <w:t>appuie sur l</w:t>
      </w:r>
      <w:r w:rsidR="002A58C8" w:rsidRPr="00653BF4">
        <w:rPr>
          <w:lang w:val="fr-FR" w:eastAsia="ja-JP"/>
        </w:rPr>
        <w:t>’</w:t>
      </w:r>
      <w:r w:rsidRPr="00653BF4">
        <w:rPr>
          <w:lang w:val="fr-FR" w:eastAsia="ja-JP"/>
        </w:rPr>
        <w:t xml:space="preserve">expérience acquise lors de la rédaction des cinq volumes des </w:t>
      </w:r>
      <w:r w:rsidR="00E34DC9">
        <w:rPr>
          <w:lang w:val="fr-FR" w:eastAsia="ja-JP"/>
        </w:rPr>
        <w:t>« </w:t>
      </w:r>
      <w:r w:rsidRPr="00653BF4">
        <w:rPr>
          <w:lang w:val="fr-FR" w:eastAsia="ja-JP"/>
        </w:rPr>
        <w:t>Perspectives mondiales de la diversité biologique</w:t>
      </w:r>
      <w:r w:rsidR="00E34DC9">
        <w:rPr>
          <w:lang w:val="fr-FR" w:eastAsia="ja-JP"/>
        </w:rPr>
        <w:t> »</w:t>
      </w:r>
      <w:r w:rsidRPr="00653BF4">
        <w:rPr>
          <w:lang w:val="fr-FR" w:eastAsia="ja-JP"/>
        </w:rPr>
        <w:t xml:space="preserve"> et vise à compléter, plutôt qu</w:t>
      </w:r>
      <w:r w:rsidR="002A58C8" w:rsidRPr="00653BF4">
        <w:rPr>
          <w:lang w:val="fr-FR" w:eastAsia="ja-JP"/>
        </w:rPr>
        <w:t>’</w:t>
      </w:r>
      <w:r w:rsidRPr="00653BF4">
        <w:rPr>
          <w:lang w:val="fr-FR" w:eastAsia="ja-JP"/>
        </w:rPr>
        <w:t>à reproduire, les travaux d</w:t>
      </w:r>
      <w:r w:rsidR="002A58C8" w:rsidRPr="00653BF4">
        <w:rPr>
          <w:lang w:val="fr-FR" w:eastAsia="ja-JP"/>
        </w:rPr>
        <w:t>’</w:t>
      </w:r>
      <w:r w:rsidRPr="00653BF4">
        <w:rPr>
          <w:lang w:val="fr-FR" w:eastAsia="ja-JP"/>
        </w:rPr>
        <w:t>autres organismes tels que l</w:t>
      </w:r>
      <w:r w:rsidR="002A58C8" w:rsidRPr="00653BF4">
        <w:rPr>
          <w:lang w:val="fr-FR" w:eastAsia="ja-JP"/>
        </w:rPr>
        <w:t>’</w:t>
      </w:r>
      <w:r w:rsidRPr="00653BF4">
        <w:rPr>
          <w:lang w:val="fr-FR" w:eastAsia="ja-JP"/>
        </w:rPr>
        <w:t>IPBES (v</w:t>
      </w:r>
      <w:r w:rsidR="00BD6958">
        <w:rPr>
          <w:lang w:val="fr-FR" w:eastAsia="ja-JP"/>
        </w:rPr>
        <w:t>oir l’encadré</w:t>
      </w:r>
      <w:r w:rsidRPr="00653BF4">
        <w:rPr>
          <w:lang w:val="fr-FR" w:eastAsia="ja-JP"/>
        </w:rPr>
        <w:t xml:space="preserve"> 2). Bien que ce rapport ne propose pas d</w:t>
      </w:r>
      <w:r w:rsidR="002A58C8" w:rsidRPr="00653BF4">
        <w:rPr>
          <w:lang w:val="fr-FR" w:eastAsia="ja-JP"/>
        </w:rPr>
        <w:t>’</w:t>
      </w:r>
      <w:r w:rsidRPr="00653BF4">
        <w:rPr>
          <w:lang w:val="fr-FR" w:eastAsia="ja-JP"/>
        </w:rPr>
        <w:t>évaluation exhaustive de l</w:t>
      </w:r>
      <w:r w:rsidR="002A58C8" w:rsidRPr="00653BF4">
        <w:rPr>
          <w:lang w:val="fr-FR" w:eastAsia="ja-JP"/>
        </w:rPr>
        <w:t>’</w:t>
      </w:r>
      <w:r w:rsidRPr="00653BF4">
        <w:rPr>
          <w:lang w:val="fr-FR" w:eastAsia="ja-JP"/>
        </w:rPr>
        <w:t xml:space="preserve">état ou des tendances de la biodiversité fondée sur la littérature scientifique, un </w:t>
      </w:r>
      <w:r w:rsidR="00422EC7" w:rsidRPr="00653BF4">
        <w:rPr>
          <w:lang w:val="fr-FR" w:eastAsia="ja-JP"/>
        </w:rPr>
        <w:t>résumé</w:t>
      </w:r>
      <w:r w:rsidRPr="00653BF4">
        <w:rPr>
          <w:lang w:val="fr-FR" w:eastAsia="ja-JP"/>
        </w:rPr>
        <w:t xml:space="preserve"> de cet état </w:t>
      </w:r>
      <w:r w:rsidR="00422EC7" w:rsidRPr="00653BF4">
        <w:rPr>
          <w:lang w:val="fr-FR" w:eastAsia="ja-JP"/>
        </w:rPr>
        <w:t xml:space="preserve">des lieux </w:t>
      </w:r>
      <w:r w:rsidRPr="00653BF4">
        <w:rPr>
          <w:lang w:val="fr-FR" w:eastAsia="ja-JP"/>
        </w:rPr>
        <w:t xml:space="preserve">et de ces tendances est présenté dans la </w:t>
      </w:r>
      <w:r w:rsidR="002878D7">
        <w:rPr>
          <w:lang w:val="fr-FR" w:eastAsia="ja-JP"/>
        </w:rPr>
        <w:t>section I</w:t>
      </w:r>
      <w:r w:rsidRPr="00653BF4">
        <w:rPr>
          <w:lang w:val="fr-FR" w:eastAsia="ja-JP"/>
        </w:rPr>
        <w:t xml:space="preserve">.B. Conformément à son mandat (déc. 15/6 de la </w:t>
      </w:r>
      <w:r w:rsidR="00711DD2" w:rsidRPr="00653BF4">
        <w:rPr>
          <w:lang w:val="fr-FR" w:eastAsia="ja-JP"/>
        </w:rPr>
        <w:t>CDB</w:t>
      </w:r>
      <w:r w:rsidRPr="00653BF4">
        <w:rPr>
          <w:lang w:val="fr-FR" w:eastAsia="ja-JP"/>
        </w:rPr>
        <w:t>, 2023</w:t>
      </w:r>
      <w:r w:rsidR="00E34DC9">
        <w:rPr>
          <w:lang w:val="fr-FR" w:eastAsia="ja-JP"/>
        </w:rPr>
        <w:t> ;</w:t>
      </w:r>
      <w:r w:rsidRPr="00653BF4">
        <w:rPr>
          <w:lang w:val="fr-FR" w:eastAsia="ja-JP"/>
        </w:rPr>
        <w:t xml:space="preserve"> déc. 16/32 de la </w:t>
      </w:r>
      <w:r w:rsidR="00711DD2" w:rsidRPr="00653BF4">
        <w:rPr>
          <w:lang w:val="fr-FR" w:eastAsia="ja-JP"/>
        </w:rPr>
        <w:t>CDB</w:t>
      </w:r>
      <w:r w:rsidRPr="00653BF4">
        <w:rPr>
          <w:lang w:val="fr-FR" w:eastAsia="ja-JP"/>
        </w:rPr>
        <w:t>, 2026</w:t>
      </w:r>
      <w:r w:rsidR="00E34DC9">
        <w:rPr>
          <w:lang w:val="fr-FR" w:eastAsia="ja-JP"/>
        </w:rPr>
        <w:t> ;</w:t>
      </w:r>
      <w:r w:rsidRPr="00653BF4">
        <w:rPr>
          <w:lang w:val="fr-FR" w:eastAsia="ja-JP"/>
        </w:rPr>
        <w:t xml:space="preserve"> et rec. 27/1 de la </w:t>
      </w:r>
      <w:r w:rsidR="00711DD2" w:rsidRPr="00653BF4">
        <w:rPr>
          <w:lang w:val="fr-FR" w:eastAsia="ja-JP"/>
        </w:rPr>
        <w:t>CDB</w:t>
      </w:r>
      <w:r w:rsidRPr="00653BF4">
        <w:rPr>
          <w:lang w:val="fr-FR" w:eastAsia="ja-JP"/>
        </w:rPr>
        <w:t>, 2025a), le rapport ne désigne pas de pays ou de régions en particulier pour évaluer leurs progrès relatifs par rapport aux objectifs et cibles du Cadre, et ne propose pas non plus de comparaisons ou de classements impliquant des Parties ou des acteurs individuels. Le rapport met toutefois en avant certaines Parties et certains acteurs afin d</w:t>
      </w:r>
      <w:r w:rsidR="002A58C8" w:rsidRPr="00653BF4">
        <w:rPr>
          <w:lang w:val="fr-FR" w:eastAsia="ja-JP"/>
        </w:rPr>
        <w:t>’</w:t>
      </w:r>
      <w:r w:rsidRPr="00653BF4">
        <w:rPr>
          <w:lang w:val="fr-FR" w:eastAsia="ja-JP"/>
        </w:rPr>
        <w:t>illustrer des exemples de réussite ou de progrès dans la mise en œuvre du Cadre, en recourant à des études de cas succinctes. Bien que le rapport mondial ne formule pas de recommandations, il fournit une base factuelle, comprenant des approches non prescriptives, destinées à fournir un appui à l</w:t>
      </w:r>
      <w:r w:rsidR="002A58C8" w:rsidRPr="00653BF4">
        <w:rPr>
          <w:lang w:val="fr-FR" w:eastAsia="ja-JP"/>
        </w:rPr>
        <w:t>’</w:t>
      </w:r>
      <w:r w:rsidRPr="00653BF4">
        <w:rPr>
          <w:lang w:val="fr-FR" w:eastAsia="ja-JP"/>
        </w:rPr>
        <w:t>élaboration des politiques au titre de la Convention.</w:t>
      </w:r>
    </w:p>
    <w:p w14:paraId="0015FF2F" w14:textId="4A3D1EC5" w:rsidR="00F27310" w:rsidRPr="00653BF4" w:rsidRDefault="00F27310" w:rsidP="00337FAB">
      <w:pPr>
        <w:pStyle w:val="Caption"/>
        <w:rPr>
          <w:sz w:val="20"/>
          <w:szCs w:val="20"/>
          <w:lang w:val="fr-FR"/>
        </w:rPr>
      </w:pPr>
    </w:p>
    <w:tbl>
      <w:tblPr>
        <w:tblStyle w:val="TableGrid"/>
        <w:tblW w:w="0" w:type="auto"/>
        <w:tblLook w:val="04A0" w:firstRow="1" w:lastRow="0" w:firstColumn="1" w:lastColumn="0" w:noHBand="0" w:noVBand="1"/>
      </w:tblPr>
      <w:tblGrid>
        <w:gridCol w:w="9016"/>
      </w:tblGrid>
      <w:tr w:rsidR="00F27310" w:rsidRPr="00543148" w14:paraId="5F62059E" w14:textId="77777777" w:rsidTr="004C3603">
        <w:tc>
          <w:tcPr>
            <w:tcW w:w="9016" w:type="dxa"/>
            <w:shd w:val="clear" w:color="auto" w:fill="E8E8E8" w:themeFill="background2"/>
          </w:tcPr>
          <w:p w14:paraId="25D2415C" w14:textId="57BA6709" w:rsidR="00F11B4F" w:rsidRPr="00653BF4" w:rsidRDefault="00B95958" w:rsidP="00F11B4F">
            <w:pPr>
              <w:pStyle w:val="Caption"/>
              <w:rPr>
                <w:i w:val="0"/>
                <w:iCs w:val="0"/>
                <w:sz w:val="20"/>
                <w:szCs w:val="20"/>
                <w:lang w:val="fr-FR"/>
              </w:rPr>
            </w:pPr>
            <w:bookmarkStart w:id="25" w:name="_Ref235850724"/>
            <w:r w:rsidRPr="00653BF4">
              <w:rPr>
                <w:i w:val="0"/>
                <w:sz w:val="20"/>
                <w:szCs w:val="20"/>
                <w:lang w:val="fr-FR"/>
              </w:rPr>
              <w:t>Encadré</w:t>
            </w:r>
            <w:r w:rsidR="00F11B4F" w:rsidRPr="00653BF4">
              <w:rPr>
                <w:i w:val="0"/>
                <w:sz w:val="20"/>
                <w:szCs w:val="20"/>
                <w:lang w:val="fr-FR"/>
              </w:rPr>
              <w:t xml:space="preserve"> </w:t>
            </w:r>
            <w:r w:rsidR="008306DF" w:rsidRPr="00653BF4">
              <w:rPr>
                <w:i w:val="0"/>
                <w:noProof/>
                <w:sz w:val="20"/>
                <w:szCs w:val="20"/>
                <w:lang w:val="fr-FR"/>
              </w:rPr>
              <w:t>2</w:t>
            </w:r>
            <w:bookmarkEnd w:id="25"/>
          </w:p>
          <w:p w14:paraId="78073465" w14:textId="5A8C8B47" w:rsidR="00CB10CF" w:rsidRPr="00653BF4" w:rsidRDefault="00B95958" w:rsidP="00E326D9">
            <w:pPr>
              <w:spacing w:line="276" w:lineRule="auto"/>
              <w:rPr>
                <w:b/>
                <w:sz w:val="20"/>
                <w:szCs w:val="20"/>
                <w:lang w:val="fr-FR"/>
              </w:rPr>
            </w:pPr>
            <w:r w:rsidRPr="00653BF4">
              <w:rPr>
                <w:b/>
                <w:sz w:val="20"/>
                <w:szCs w:val="20"/>
                <w:lang w:val="fr-FR"/>
              </w:rPr>
              <w:t>Historique des rapports mondiaux établis au titre de la Convention et liens avec les évaluations de la Plateforme intergouvernementale scientifique sur la biodiversité et les services écosystémiques</w:t>
            </w:r>
          </w:p>
          <w:p w14:paraId="290B6699" w14:textId="77777777" w:rsidR="00F11B4F" w:rsidRPr="00653BF4" w:rsidRDefault="00F11B4F" w:rsidP="00F11B4F">
            <w:pPr>
              <w:spacing w:line="276" w:lineRule="auto"/>
              <w:rPr>
                <w:color w:val="000000" w:themeColor="text1"/>
                <w:sz w:val="20"/>
                <w:szCs w:val="20"/>
                <w:lang w:val="fr-FR"/>
              </w:rPr>
            </w:pPr>
          </w:p>
          <w:p w14:paraId="6AB4F70C" w14:textId="3BA2A7DB" w:rsidR="00514E2D" w:rsidRPr="00653BF4" w:rsidRDefault="007107BB" w:rsidP="00514E2D">
            <w:pPr>
              <w:spacing w:line="276" w:lineRule="auto"/>
              <w:rPr>
                <w:color w:val="000000" w:themeColor="text1"/>
                <w:sz w:val="20"/>
                <w:szCs w:val="20"/>
                <w:lang w:val="fr-FR"/>
              </w:rPr>
            </w:pPr>
            <w:r w:rsidRPr="00653BF4">
              <w:rPr>
                <w:color w:val="000000" w:themeColor="text1"/>
                <w:sz w:val="20"/>
                <w:szCs w:val="20"/>
                <w:lang w:val="fr-FR"/>
              </w:rPr>
              <w:t xml:space="preserve">Les </w:t>
            </w:r>
            <w:r w:rsidR="00E34DC9">
              <w:rPr>
                <w:color w:val="000000" w:themeColor="text1"/>
                <w:sz w:val="20"/>
                <w:szCs w:val="20"/>
                <w:lang w:val="fr-FR"/>
              </w:rPr>
              <w:t>« </w:t>
            </w:r>
            <w:r w:rsidRPr="00653BF4">
              <w:rPr>
                <w:color w:val="000000" w:themeColor="text1"/>
                <w:sz w:val="20"/>
                <w:szCs w:val="20"/>
                <w:lang w:val="fr-FR"/>
              </w:rPr>
              <w:t>Perspectives mondiales de la diversité biologique</w:t>
            </w:r>
            <w:r w:rsidR="00E34DC9">
              <w:rPr>
                <w:color w:val="000000" w:themeColor="text1"/>
                <w:sz w:val="20"/>
                <w:szCs w:val="20"/>
                <w:lang w:val="fr-FR"/>
              </w:rPr>
              <w:t> »</w:t>
            </w:r>
            <w:r w:rsidRPr="00653BF4">
              <w:rPr>
                <w:color w:val="000000" w:themeColor="text1"/>
                <w:sz w:val="20"/>
                <w:szCs w:val="20"/>
                <w:lang w:val="fr-FR"/>
              </w:rPr>
              <w:t xml:space="preserve"> (GBO) ont été élaborées avant la création de la Plateforme intergouvernementale scientifique et politique sur la biodiversité et les services écosystémiques (IPBES). Cette publication, qui compte cinq éditions (</w:t>
            </w:r>
            <w:r w:rsidR="00711DD2" w:rsidRPr="00653BF4">
              <w:rPr>
                <w:color w:val="000000" w:themeColor="text1"/>
                <w:sz w:val="20"/>
                <w:szCs w:val="20"/>
                <w:lang w:val="fr-FR"/>
              </w:rPr>
              <w:t>CDB</w:t>
            </w:r>
            <w:r w:rsidRPr="00653BF4">
              <w:rPr>
                <w:color w:val="000000" w:themeColor="text1"/>
                <w:sz w:val="20"/>
                <w:szCs w:val="20"/>
                <w:lang w:val="fr-FR"/>
              </w:rPr>
              <w:t xml:space="preserve">, 2001, 2006a, 2010, 2014a et 2020), présente une évaluation des progrès réalisés dans la mise en œuvre de la Convention. Si les </w:t>
            </w:r>
            <w:r w:rsidRPr="00653BF4">
              <w:rPr>
                <w:color w:val="000000" w:themeColor="text1"/>
                <w:sz w:val="20"/>
                <w:szCs w:val="20"/>
                <w:lang w:val="fr-FR"/>
              </w:rPr>
              <w:lastRenderedPageBreak/>
              <w:t>rapports nationaux ont été utilisés dans le cadre du processus de rédaction de cette publication, l</w:t>
            </w:r>
            <w:r w:rsidR="002A58C8" w:rsidRPr="00653BF4">
              <w:rPr>
                <w:color w:val="000000" w:themeColor="text1"/>
                <w:sz w:val="20"/>
                <w:szCs w:val="20"/>
                <w:lang w:val="fr-FR"/>
              </w:rPr>
              <w:t>’</w:t>
            </w:r>
            <w:r w:rsidRPr="00653BF4">
              <w:rPr>
                <w:color w:val="000000" w:themeColor="text1"/>
                <w:sz w:val="20"/>
                <w:szCs w:val="20"/>
                <w:lang w:val="fr-FR"/>
              </w:rPr>
              <w:t>évaluation des progrès à l</w:t>
            </w:r>
            <w:r w:rsidR="002A58C8" w:rsidRPr="00653BF4">
              <w:rPr>
                <w:color w:val="000000" w:themeColor="text1"/>
                <w:sz w:val="20"/>
                <w:szCs w:val="20"/>
                <w:lang w:val="fr-FR"/>
              </w:rPr>
              <w:t>’</w:t>
            </w:r>
            <w:r w:rsidRPr="00653BF4">
              <w:rPr>
                <w:color w:val="000000" w:themeColor="text1"/>
                <w:sz w:val="20"/>
                <w:szCs w:val="20"/>
                <w:lang w:val="fr-FR"/>
              </w:rPr>
              <w:t>échelle mondiale s</w:t>
            </w:r>
            <w:r w:rsidR="002A58C8" w:rsidRPr="00653BF4">
              <w:rPr>
                <w:color w:val="000000" w:themeColor="text1"/>
                <w:sz w:val="20"/>
                <w:szCs w:val="20"/>
                <w:lang w:val="fr-FR"/>
              </w:rPr>
              <w:t>’</w:t>
            </w:r>
            <w:r w:rsidRPr="00653BF4">
              <w:rPr>
                <w:color w:val="000000" w:themeColor="text1"/>
                <w:sz w:val="20"/>
                <w:szCs w:val="20"/>
                <w:lang w:val="fr-FR"/>
              </w:rPr>
              <w:t>est largement appuyée sur la littérature scientifique et sur des analyses indépendantes. Cela s</w:t>
            </w:r>
            <w:r w:rsidR="002A58C8" w:rsidRPr="00653BF4">
              <w:rPr>
                <w:color w:val="000000" w:themeColor="text1"/>
                <w:sz w:val="20"/>
                <w:szCs w:val="20"/>
                <w:lang w:val="fr-FR"/>
              </w:rPr>
              <w:t>’</w:t>
            </w:r>
            <w:r w:rsidRPr="00653BF4">
              <w:rPr>
                <w:color w:val="000000" w:themeColor="text1"/>
                <w:sz w:val="20"/>
                <w:szCs w:val="20"/>
                <w:lang w:val="fr-FR"/>
              </w:rPr>
              <w:t>explique par les difficultés rencontrées pour agréger les informations issues des rapports nationaux, en raison de l</w:t>
            </w:r>
            <w:r w:rsidR="002A58C8" w:rsidRPr="00653BF4">
              <w:rPr>
                <w:color w:val="000000" w:themeColor="text1"/>
                <w:sz w:val="20"/>
                <w:szCs w:val="20"/>
                <w:lang w:val="fr-FR"/>
              </w:rPr>
              <w:t>’</w:t>
            </w:r>
            <w:r w:rsidRPr="00653BF4">
              <w:rPr>
                <w:color w:val="000000" w:themeColor="text1"/>
                <w:sz w:val="20"/>
                <w:szCs w:val="20"/>
                <w:lang w:val="fr-FR"/>
              </w:rPr>
              <w:t>absence d</w:t>
            </w:r>
            <w:r w:rsidR="002A58C8" w:rsidRPr="00653BF4">
              <w:rPr>
                <w:color w:val="000000" w:themeColor="text1"/>
                <w:sz w:val="20"/>
                <w:szCs w:val="20"/>
                <w:lang w:val="fr-FR"/>
              </w:rPr>
              <w:t>’</w:t>
            </w:r>
            <w:r w:rsidRPr="00653BF4">
              <w:rPr>
                <w:color w:val="000000" w:themeColor="text1"/>
                <w:sz w:val="20"/>
                <w:szCs w:val="20"/>
                <w:lang w:val="fr-FR"/>
              </w:rPr>
              <w:t>un mécanisme normalisé d</w:t>
            </w:r>
            <w:r w:rsidR="002A58C8" w:rsidRPr="00653BF4">
              <w:rPr>
                <w:color w:val="000000" w:themeColor="text1"/>
                <w:sz w:val="20"/>
                <w:szCs w:val="20"/>
                <w:lang w:val="fr-FR"/>
              </w:rPr>
              <w:t>’</w:t>
            </w:r>
            <w:r w:rsidRPr="00653BF4">
              <w:rPr>
                <w:color w:val="000000" w:themeColor="text1"/>
                <w:sz w:val="20"/>
                <w:szCs w:val="20"/>
                <w:lang w:val="fr-FR"/>
              </w:rPr>
              <w:t>établissement de rapports, du manque de clarté quant aux relations entre les cibles nationales et globales, ainsi que de l</w:t>
            </w:r>
            <w:r w:rsidR="002A58C8" w:rsidRPr="00653BF4">
              <w:rPr>
                <w:color w:val="000000" w:themeColor="text1"/>
                <w:sz w:val="20"/>
                <w:szCs w:val="20"/>
                <w:lang w:val="fr-FR"/>
              </w:rPr>
              <w:t>’</w:t>
            </w:r>
            <w:r w:rsidRPr="00653BF4">
              <w:rPr>
                <w:color w:val="000000" w:themeColor="text1"/>
                <w:sz w:val="20"/>
                <w:szCs w:val="20"/>
                <w:lang w:val="fr-FR"/>
              </w:rPr>
              <w:t>absence d</w:t>
            </w:r>
            <w:r w:rsidR="002A58C8" w:rsidRPr="00653BF4">
              <w:rPr>
                <w:color w:val="000000" w:themeColor="text1"/>
                <w:sz w:val="20"/>
                <w:szCs w:val="20"/>
                <w:lang w:val="fr-FR"/>
              </w:rPr>
              <w:t>’</w:t>
            </w:r>
            <w:r w:rsidRPr="00653BF4">
              <w:rPr>
                <w:color w:val="000000" w:themeColor="text1"/>
                <w:sz w:val="20"/>
                <w:szCs w:val="20"/>
                <w:lang w:val="fr-FR"/>
              </w:rPr>
              <w:t xml:space="preserve">un cadre de suivi commun. </w:t>
            </w:r>
            <w:r w:rsidR="00514E2D" w:rsidRPr="00653BF4">
              <w:rPr>
                <w:color w:val="000000" w:themeColor="text1"/>
                <w:sz w:val="20"/>
                <w:szCs w:val="20"/>
                <w:lang w:val="fr-FR"/>
              </w:rPr>
              <w:t>La dernière édition des Perspectives (</w:t>
            </w:r>
            <w:r w:rsidR="00711DD2" w:rsidRPr="00653BF4">
              <w:rPr>
                <w:color w:val="000000" w:themeColor="text1"/>
                <w:sz w:val="20"/>
                <w:szCs w:val="20"/>
                <w:lang w:val="fr-FR"/>
              </w:rPr>
              <w:t>CDB</w:t>
            </w:r>
            <w:r w:rsidR="00514E2D" w:rsidRPr="00653BF4">
              <w:rPr>
                <w:color w:val="000000" w:themeColor="text1"/>
                <w:sz w:val="20"/>
                <w:szCs w:val="20"/>
                <w:lang w:val="fr-FR"/>
              </w:rPr>
              <w:t xml:space="preserve">, 2020), publiée un an après la parution du premier </w:t>
            </w:r>
            <w:r w:rsidR="00514E2D" w:rsidRPr="00653BF4">
              <w:rPr>
                <w:i/>
                <w:iCs/>
                <w:color w:val="000000" w:themeColor="text1"/>
                <w:sz w:val="20"/>
                <w:szCs w:val="20"/>
                <w:lang w:val="fr-FR"/>
              </w:rPr>
              <w:t>Rapport d</w:t>
            </w:r>
            <w:r w:rsidR="002A58C8" w:rsidRPr="00653BF4">
              <w:rPr>
                <w:i/>
                <w:iCs/>
                <w:color w:val="000000" w:themeColor="text1"/>
                <w:sz w:val="20"/>
                <w:szCs w:val="20"/>
                <w:lang w:val="fr-FR"/>
              </w:rPr>
              <w:t>’</w:t>
            </w:r>
            <w:r w:rsidR="00514E2D" w:rsidRPr="00653BF4">
              <w:rPr>
                <w:i/>
                <w:iCs/>
                <w:color w:val="000000" w:themeColor="text1"/>
                <w:sz w:val="20"/>
                <w:szCs w:val="20"/>
                <w:lang w:val="fr-FR"/>
              </w:rPr>
              <w:t>évaluation mondial sur la biodiversité et les services écosystémiques</w:t>
            </w:r>
            <w:r w:rsidR="00514E2D" w:rsidRPr="00653BF4">
              <w:rPr>
                <w:color w:val="000000" w:themeColor="text1"/>
                <w:sz w:val="20"/>
                <w:szCs w:val="20"/>
                <w:lang w:val="fr-FR"/>
              </w:rPr>
              <w:t xml:space="preserve"> de l</w:t>
            </w:r>
            <w:r w:rsidR="002A58C8" w:rsidRPr="00653BF4">
              <w:rPr>
                <w:color w:val="000000" w:themeColor="text1"/>
                <w:sz w:val="20"/>
                <w:szCs w:val="20"/>
                <w:lang w:val="fr-FR"/>
              </w:rPr>
              <w:t>’</w:t>
            </w:r>
            <w:r w:rsidR="00514E2D" w:rsidRPr="00653BF4">
              <w:rPr>
                <w:color w:val="000000" w:themeColor="text1"/>
                <w:sz w:val="20"/>
                <w:szCs w:val="20"/>
                <w:lang w:val="fr-FR"/>
              </w:rPr>
              <w:t>IPBES (IPBES, 2019), a présenté une évaluation finale du degré de réalisation des Objectifs d</w:t>
            </w:r>
            <w:r w:rsidR="002A58C8" w:rsidRPr="00653BF4">
              <w:rPr>
                <w:color w:val="000000" w:themeColor="text1"/>
                <w:sz w:val="20"/>
                <w:szCs w:val="20"/>
                <w:lang w:val="fr-FR"/>
              </w:rPr>
              <w:t>’</w:t>
            </w:r>
            <w:r w:rsidR="00514E2D" w:rsidRPr="00653BF4">
              <w:rPr>
                <w:color w:val="000000" w:themeColor="text1"/>
                <w:sz w:val="20"/>
                <w:szCs w:val="20"/>
                <w:lang w:val="fr-FR"/>
              </w:rPr>
              <w:t>Aichi pour la biodiversité, tout en proposant des pistes d</w:t>
            </w:r>
            <w:r w:rsidR="002A58C8" w:rsidRPr="00653BF4">
              <w:rPr>
                <w:color w:val="000000" w:themeColor="text1"/>
                <w:sz w:val="20"/>
                <w:szCs w:val="20"/>
                <w:lang w:val="fr-FR"/>
              </w:rPr>
              <w:t>’</w:t>
            </w:r>
            <w:r w:rsidR="00514E2D" w:rsidRPr="00653BF4">
              <w:rPr>
                <w:color w:val="000000" w:themeColor="text1"/>
                <w:sz w:val="20"/>
                <w:szCs w:val="20"/>
                <w:lang w:val="fr-FR"/>
              </w:rPr>
              <w:t xml:space="preserve">action pour </w:t>
            </w:r>
            <w:r w:rsidR="00E34DC9">
              <w:rPr>
                <w:color w:val="000000" w:themeColor="text1"/>
                <w:sz w:val="20"/>
                <w:szCs w:val="20"/>
                <w:lang w:val="fr-FR"/>
              </w:rPr>
              <w:t>« </w:t>
            </w:r>
            <w:r w:rsidR="00514E2D" w:rsidRPr="00653BF4">
              <w:rPr>
                <w:color w:val="000000" w:themeColor="text1"/>
                <w:sz w:val="20"/>
                <w:szCs w:val="20"/>
                <w:lang w:val="fr-FR"/>
              </w:rPr>
              <w:t>inverser la tendance</w:t>
            </w:r>
            <w:r w:rsidR="00E34DC9">
              <w:rPr>
                <w:color w:val="000000" w:themeColor="text1"/>
                <w:sz w:val="20"/>
                <w:szCs w:val="20"/>
                <w:lang w:val="fr-FR"/>
              </w:rPr>
              <w:t> »</w:t>
            </w:r>
            <w:r w:rsidR="00514E2D" w:rsidRPr="00653BF4">
              <w:rPr>
                <w:color w:val="000000" w:themeColor="text1"/>
                <w:sz w:val="20"/>
                <w:szCs w:val="20"/>
                <w:lang w:val="fr-FR"/>
              </w:rPr>
              <w:t xml:space="preserve"> en matière de perte de biodiversité.</w:t>
            </w:r>
          </w:p>
          <w:p w14:paraId="550CF468" w14:textId="77777777" w:rsidR="00CD4874" w:rsidRPr="00653BF4" w:rsidRDefault="00CD4874" w:rsidP="00CD4874">
            <w:pPr>
              <w:spacing w:line="276" w:lineRule="auto"/>
              <w:rPr>
                <w:color w:val="000000" w:themeColor="text1"/>
                <w:sz w:val="20"/>
                <w:szCs w:val="20"/>
                <w:lang w:val="fr-FR"/>
              </w:rPr>
            </w:pPr>
          </w:p>
          <w:p w14:paraId="6D090E26" w14:textId="27F5D5A1" w:rsidR="00CD4874" w:rsidRPr="00653BF4" w:rsidRDefault="002A5F4A" w:rsidP="00CD4874">
            <w:pPr>
              <w:spacing w:line="276" w:lineRule="auto"/>
              <w:rPr>
                <w:color w:val="000000" w:themeColor="text1"/>
                <w:sz w:val="20"/>
                <w:szCs w:val="20"/>
                <w:lang w:val="fr-FR"/>
              </w:rPr>
            </w:pPr>
            <w:r w:rsidRPr="00653BF4">
              <w:rPr>
                <w:color w:val="000000" w:themeColor="text1"/>
                <w:sz w:val="20"/>
                <w:szCs w:val="20"/>
                <w:lang w:val="fr-FR"/>
              </w:rPr>
              <w:t>Le rapport mondial sur les progrès collectifs accomplis dans la mise en œuvre du Cadre s</w:t>
            </w:r>
            <w:r w:rsidR="002A58C8" w:rsidRPr="00653BF4">
              <w:rPr>
                <w:color w:val="000000" w:themeColor="text1"/>
                <w:sz w:val="20"/>
                <w:szCs w:val="20"/>
                <w:lang w:val="fr-FR"/>
              </w:rPr>
              <w:t>’</w:t>
            </w:r>
            <w:r w:rsidRPr="00653BF4">
              <w:rPr>
                <w:color w:val="000000" w:themeColor="text1"/>
                <w:sz w:val="20"/>
                <w:szCs w:val="20"/>
                <w:lang w:val="fr-FR"/>
              </w:rPr>
              <w:t>appuie sur l</w:t>
            </w:r>
            <w:r w:rsidR="002A58C8" w:rsidRPr="00653BF4">
              <w:rPr>
                <w:color w:val="000000" w:themeColor="text1"/>
                <w:sz w:val="20"/>
                <w:szCs w:val="20"/>
                <w:lang w:val="fr-FR"/>
              </w:rPr>
              <w:t>’</w:t>
            </w:r>
            <w:r w:rsidRPr="00653BF4">
              <w:rPr>
                <w:color w:val="000000" w:themeColor="text1"/>
                <w:sz w:val="20"/>
                <w:szCs w:val="20"/>
                <w:lang w:val="fr-FR"/>
              </w:rPr>
              <w:t>expérience acquise lors de l</w:t>
            </w:r>
            <w:r w:rsidR="002A58C8" w:rsidRPr="00653BF4">
              <w:rPr>
                <w:color w:val="000000" w:themeColor="text1"/>
                <w:sz w:val="20"/>
                <w:szCs w:val="20"/>
                <w:lang w:val="fr-FR"/>
              </w:rPr>
              <w:t>’</w:t>
            </w:r>
            <w:r w:rsidRPr="00653BF4">
              <w:rPr>
                <w:color w:val="000000" w:themeColor="text1"/>
                <w:sz w:val="20"/>
                <w:szCs w:val="20"/>
                <w:lang w:val="fr-FR"/>
              </w:rPr>
              <w:t>élaboration des cinq éditions des Perspectives, et ne fait pas double emploi avec les travaux de l</w:t>
            </w:r>
            <w:r w:rsidR="002A58C8" w:rsidRPr="00653BF4">
              <w:rPr>
                <w:color w:val="000000" w:themeColor="text1"/>
                <w:sz w:val="20"/>
                <w:szCs w:val="20"/>
                <w:lang w:val="fr-FR"/>
              </w:rPr>
              <w:t>’</w:t>
            </w:r>
            <w:r w:rsidRPr="00653BF4">
              <w:rPr>
                <w:color w:val="000000" w:themeColor="text1"/>
                <w:sz w:val="20"/>
                <w:szCs w:val="20"/>
                <w:lang w:val="fr-FR"/>
              </w:rPr>
              <w:t>IPBES. Tandis que l</w:t>
            </w:r>
            <w:r w:rsidR="002A58C8" w:rsidRPr="00653BF4">
              <w:rPr>
                <w:color w:val="000000" w:themeColor="text1"/>
                <w:sz w:val="20"/>
                <w:szCs w:val="20"/>
                <w:lang w:val="fr-FR"/>
              </w:rPr>
              <w:t>’</w:t>
            </w:r>
            <w:r w:rsidRPr="00653BF4">
              <w:rPr>
                <w:color w:val="000000" w:themeColor="text1"/>
                <w:sz w:val="20"/>
                <w:szCs w:val="20"/>
                <w:lang w:val="fr-FR"/>
              </w:rPr>
              <w:t>IPBES réalise des évaluations scientifiques, le rapport mondial ne présente qu</w:t>
            </w:r>
            <w:r w:rsidR="002A58C8" w:rsidRPr="00653BF4">
              <w:rPr>
                <w:color w:val="000000" w:themeColor="text1"/>
                <w:sz w:val="20"/>
                <w:szCs w:val="20"/>
                <w:lang w:val="fr-FR"/>
              </w:rPr>
              <w:t>’</w:t>
            </w:r>
            <w:r w:rsidRPr="00653BF4">
              <w:rPr>
                <w:color w:val="000000" w:themeColor="text1"/>
                <w:sz w:val="20"/>
                <w:szCs w:val="20"/>
                <w:lang w:val="fr-FR"/>
              </w:rPr>
              <w:t>un aperçu concis de l</w:t>
            </w:r>
            <w:r w:rsidR="002A58C8" w:rsidRPr="00653BF4">
              <w:rPr>
                <w:color w:val="000000" w:themeColor="text1"/>
                <w:sz w:val="20"/>
                <w:szCs w:val="20"/>
                <w:lang w:val="fr-FR"/>
              </w:rPr>
              <w:t>’</w:t>
            </w:r>
            <w:r w:rsidRPr="00653BF4">
              <w:rPr>
                <w:color w:val="000000" w:themeColor="text1"/>
                <w:sz w:val="20"/>
                <w:szCs w:val="20"/>
                <w:lang w:val="fr-FR"/>
              </w:rPr>
              <w:t>état et des tendances de la biodiversité à l</w:t>
            </w:r>
            <w:r w:rsidR="002A58C8" w:rsidRPr="00653BF4">
              <w:rPr>
                <w:color w:val="000000" w:themeColor="text1"/>
                <w:sz w:val="20"/>
                <w:szCs w:val="20"/>
                <w:lang w:val="fr-FR"/>
              </w:rPr>
              <w:t>’</w:t>
            </w:r>
            <w:r w:rsidRPr="00653BF4">
              <w:rPr>
                <w:color w:val="000000" w:themeColor="text1"/>
                <w:sz w:val="20"/>
                <w:szCs w:val="20"/>
                <w:lang w:val="fr-FR"/>
              </w:rPr>
              <w:t xml:space="preserve">échelle mondiale (voir </w:t>
            </w:r>
            <w:r w:rsidR="002878D7">
              <w:rPr>
                <w:color w:val="000000" w:themeColor="text1"/>
                <w:sz w:val="20"/>
                <w:szCs w:val="20"/>
                <w:lang w:val="fr-FR"/>
              </w:rPr>
              <w:t>section I</w:t>
            </w:r>
            <w:r w:rsidRPr="00653BF4">
              <w:rPr>
                <w:color w:val="000000" w:themeColor="text1"/>
                <w:sz w:val="20"/>
                <w:szCs w:val="20"/>
                <w:lang w:val="fr-FR"/>
              </w:rPr>
              <w:t>.B), qui s</w:t>
            </w:r>
            <w:r w:rsidR="002A58C8" w:rsidRPr="00653BF4">
              <w:rPr>
                <w:color w:val="000000" w:themeColor="text1"/>
                <w:sz w:val="20"/>
                <w:szCs w:val="20"/>
                <w:lang w:val="fr-FR"/>
              </w:rPr>
              <w:t>’</w:t>
            </w:r>
            <w:r w:rsidRPr="00653BF4">
              <w:rPr>
                <w:color w:val="000000" w:themeColor="text1"/>
                <w:sz w:val="20"/>
                <w:szCs w:val="20"/>
                <w:lang w:val="fr-FR"/>
              </w:rPr>
              <w:t>appuie lui-même largement sur les conclusions de l</w:t>
            </w:r>
            <w:r w:rsidR="002A58C8" w:rsidRPr="00653BF4">
              <w:rPr>
                <w:color w:val="000000" w:themeColor="text1"/>
                <w:sz w:val="20"/>
                <w:szCs w:val="20"/>
                <w:lang w:val="fr-FR"/>
              </w:rPr>
              <w:t>’</w:t>
            </w:r>
            <w:r w:rsidRPr="00653BF4">
              <w:rPr>
                <w:color w:val="000000" w:themeColor="text1"/>
                <w:sz w:val="20"/>
                <w:szCs w:val="20"/>
                <w:lang w:val="fr-FR"/>
              </w:rPr>
              <w:t>IPBES. Le rapport mondial concentre son analyse sur les informations présentées par les Parties concernant la mise en œuvre du Cadre, complétées par les contributions d</w:t>
            </w:r>
            <w:r w:rsidR="002A58C8" w:rsidRPr="00653BF4">
              <w:rPr>
                <w:color w:val="000000" w:themeColor="text1"/>
                <w:sz w:val="20"/>
                <w:szCs w:val="20"/>
                <w:lang w:val="fr-FR"/>
              </w:rPr>
              <w:t>’</w:t>
            </w:r>
            <w:r w:rsidRPr="00653BF4">
              <w:rPr>
                <w:color w:val="000000" w:themeColor="text1"/>
                <w:sz w:val="20"/>
                <w:szCs w:val="20"/>
                <w:lang w:val="fr-FR"/>
              </w:rPr>
              <w:t>autres acteurs concernés et par des sources d</w:t>
            </w:r>
            <w:r w:rsidR="002A58C8" w:rsidRPr="00653BF4">
              <w:rPr>
                <w:color w:val="000000" w:themeColor="text1"/>
                <w:sz w:val="20"/>
                <w:szCs w:val="20"/>
                <w:lang w:val="fr-FR"/>
              </w:rPr>
              <w:t>’</w:t>
            </w:r>
            <w:r w:rsidRPr="00653BF4">
              <w:rPr>
                <w:color w:val="000000" w:themeColor="text1"/>
                <w:sz w:val="20"/>
                <w:szCs w:val="20"/>
                <w:lang w:val="fr-FR"/>
              </w:rPr>
              <w:t>information pertinentes.</w:t>
            </w:r>
            <w:r w:rsidR="00F62E95" w:rsidRPr="00653BF4">
              <w:rPr>
                <w:color w:val="000000" w:themeColor="text1"/>
                <w:sz w:val="20"/>
                <w:szCs w:val="20"/>
                <w:lang w:val="fr-FR"/>
              </w:rPr>
              <w:t xml:space="preserve"> </w:t>
            </w:r>
          </w:p>
          <w:p w14:paraId="0F70B5E1" w14:textId="77777777" w:rsidR="00CD4874" w:rsidRPr="00653BF4" w:rsidRDefault="00CD4874" w:rsidP="00CD4874">
            <w:pPr>
              <w:spacing w:line="276" w:lineRule="auto"/>
              <w:rPr>
                <w:color w:val="000000" w:themeColor="text1"/>
                <w:sz w:val="20"/>
                <w:szCs w:val="20"/>
                <w:lang w:val="fr-FR"/>
              </w:rPr>
            </w:pPr>
          </w:p>
          <w:p w14:paraId="71FE25C4" w14:textId="5367BFB8" w:rsidR="00CD4874" w:rsidRPr="00653BF4" w:rsidRDefault="00995486" w:rsidP="00CD4874">
            <w:pPr>
              <w:spacing w:line="276" w:lineRule="auto"/>
              <w:rPr>
                <w:color w:val="000000" w:themeColor="text1"/>
                <w:sz w:val="20"/>
                <w:szCs w:val="20"/>
                <w:lang w:val="fr-FR"/>
              </w:rPr>
            </w:pPr>
            <w:r w:rsidRPr="00653BF4">
              <w:rPr>
                <w:color w:val="000000" w:themeColor="text1"/>
                <w:sz w:val="20"/>
                <w:szCs w:val="20"/>
                <w:lang w:val="fr-FR"/>
              </w:rPr>
              <w:t>En vue du deuxième examen mondial du Cadre en 2030, la Conférence des Parties, lors de sa dix-neuvième session, disposera à la fois du deuxième rapport mondial sur les progrès collectifs réalisés dans la mise en œuvre du Cadre et de la deuxième évaluation mondiale de la biodiversité et des services écosystémiques réalisée par l</w:t>
            </w:r>
            <w:r w:rsidR="002A58C8" w:rsidRPr="00653BF4">
              <w:rPr>
                <w:color w:val="000000" w:themeColor="text1"/>
                <w:sz w:val="20"/>
                <w:szCs w:val="20"/>
                <w:lang w:val="fr-FR"/>
              </w:rPr>
              <w:t>’</w:t>
            </w:r>
            <w:r w:rsidRPr="00653BF4">
              <w:rPr>
                <w:color w:val="000000" w:themeColor="text1"/>
                <w:sz w:val="20"/>
                <w:szCs w:val="20"/>
                <w:lang w:val="fr-FR"/>
              </w:rPr>
              <w:t>IPBES. Ainsi, lors de l</w:t>
            </w:r>
            <w:r w:rsidR="002A58C8" w:rsidRPr="00653BF4">
              <w:rPr>
                <w:color w:val="000000" w:themeColor="text1"/>
                <w:sz w:val="20"/>
                <w:szCs w:val="20"/>
                <w:lang w:val="fr-FR"/>
              </w:rPr>
              <w:t>’</w:t>
            </w:r>
            <w:r w:rsidRPr="00653BF4">
              <w:rPr>
                <w:color w:val="000000" w:themeColor="text1"/>
                <w:sz w:val="20"/>
                <w:szCs w:val="20"/>
                <w:lang w:val="fr-FR"/>
              </w:rPr>
              <w:t>examen final de la Convention, la Conférence des Parties disposera à la fois d</w:t>
            </w:r>
            <w:r w:rsidR="002A58C8" w:rsidRPr="00653BF4">
              <w:rPr>
                <w:color w:val="000000" w:themeColor="text1"/>
                <w:sz w:val="20"/>
                <w:szCs w:val="20"/>
                <w:lang w:val="fr-FR"/>
              </w:rPr>
              <w:t>’</w:t>
            </w:r>
            <w:r w:rsidRPr="00653BF4">
              <w:rPr>
                <w:color w:val="000000" w:themeColor="text1"/>
                <w:sz w:val="20"/>
                <w:szCs w:val="20"/>
                <w:lang w:val="fr-FR"/>
              </w:rPr>
              <w:t>une analyse actualisée des progrès réalisés dans la mise en œuvre (dans le deuxième rapport mondial sur les progrès collectifs accomplis dans la mise en œuvre du Cadre) et d</w:t>
            </w:r>
            <w:r w:rsidR="002A58C8" w:rsidRPr="00653BF4">
              <w:rPr>
                <w:color w:val="000000" w:themeColor="text1"/>
                <w:sz w:val="20"/>
                <w:szCs w:val="20"/>
                <w:lang w:val="fr-FR"/>
              </w:rPr>
              <w:t>’</w:t>
            </w:r>
            <w:r w:rsidRPr="00653BF4">
              <w:rPr>
                <w:color w:val="000000" w:themeColor="text1"/>
                <w:sz w:val="20"/>
                <w:szCs w:val="20"/>
                <w:lang w:val="fr-FR"/>
              </w:rPr>
              <w:t>une évaluation scientifique solide de l</w:t>
            </w:r>
            <w:r w:rsidR="002A58C8" w:rsidRPr="00653BF4">
              <w:rPr>
                <w:color w:val="000000" w:themeColor="text1"/>
                <w:sz w:val="20"/>
                <w:szCs w:val="20"/>
                <w:lang w:val="fr-FR"/>
              </w:rPr>
              <w:t>’</w:t>
            </w:r>
            <w:r w:rsidRPr="00653BF4">
              <w:rPr>
                <w:color w:val="000000" w:themeColor="text1"/>
                <w:sz w:val="20"/>
                <w:szCs w:val="20"/>
                <w:lang w:val="fr-FR"/>
              </w:rPr>
              <w:t>état de la biodiversité et des services écosystémiques (dans la deuxième évaluation mondiale de l</w:t>
            </w:r>
            <w:r w:rsidR="002A58C8" w:rsidRPr="00653BF4">
              <w:rPr>
                <w:color w:val="000000" w:themeColor="text1"/>
                <w:sz w:val="20"/>
                <w:szCs w:val="20"/>
                <w:lang w:val="fr-FR"/>
              </w:rPr>
              <w:t>’</w:t>
            </w:r>
            <w:r w:rsidRPr="00653BF4">
              <w:rPr>
                <w:color w:val="000000" w:themeColor="text1"/>
                <w:sz w:val="20"/>
                <w:szCs w:val="20"/>
                <w:lang w:val="fr-FR"/>
              </w:rPr>
              <w:t>IPBES).</w:t>
            </w:r>
            <w:r w:rsidR="00CD4874" w:rsidRPr="00653BF4">
              <w:rPr>
                <w:color w:val="000000" w:themeColor="text1"/>
                <w:sz w:val="20"/>
                <w:szCs w:val="20"/>
                <w:lang w:val="fr-FR"/>
              </w:rPr>
              <w:t xml:space="preserve"> </w:t>
            </w:r>
          </w:p>
          <w:p w14:paraId="4F0073A9" w14:textId="0E8CCE59" w:rsidR="00CB10CF" w:rsidRPr="00653BF4" w:rsidRDefault="00CB10CF" w:rsidP="00243BFA">
            <w:pPr>
              <w:spacing w:line="276" w:lineRule="auto"/>
              <w:rPr>
                <w:lang w:val="fr-FR" w:eastAsia="ja-JP"/>
              </w:rPr>
            </w:pPr>
          </w:p>
        </w:tc>
      </w:tr>
    </w:tbl>
    <w:p w14:paraId="1C18D7A8" w14:textId="395C7D75" w:rsidR="00F27310" w:rsidRPr="00653BF4" w:rsidRDefault="00F27310" w:rsidP="00C700E9">
      <w:pPr>
        <w:rPr>
          <w:lang w:val="fr-FR" w:eastAsia="ja-JP"/>
        </w:rPr>
      </w:pPr>
    </w:p>
    <w:p w14:paraId="226A6EB7" w14:textId="3A11E1A9" w:rsidR="00F95C73" w:rsidRPr="00653BF4" w:rsidRDefault="00EB5138" w:rsidP="00F95C73">
      <w:pPr>
        <w:rPr>
          <w:lang w:val="fr-FR"/>
        </w:rPr>
      </w:pPr>
      <w:r w:rsidRPr="00653BF4">
        <w:rPr>
          <w:lang w:val="fr-FR"/>
        </w:rPr>
        <w:t>Le rapport mondial constitue la principale source d</w:t>
      </w:r>
      <w:r w:rsidR="002A58C8" w:rsidRPr="00653BF4">
        <w:rPr>
          <w:lang w:val="fr-FR"/>
        </w:rPr>
        <w:t>’</w:t>
      </w:r>
      <w:r w:rsidRPr="00653BF4">
        <w:rPr>
          <w:lang w:val="fr-FR"/>
        </w:rPr>
        <w:t>information, parallèlement aux septièmes rapports nationaux établis au titre de la Convention, en vue du premier examen mondial des progrès accomplis dans la mise en œuvre du Cadre, qui se tiendra lors de la dix-septième session de la Conférence des Parties à Erevan, en Arménie, en octobre 2026. Au cours du processus d</w:t>
      </w:r>
      <w:r w:rsidR="002A58C8" w:rsidRPr="00653BF4">
        <w:rPr>
          <w:lang w:val="fr-FR"/>
        </w:rPr>
        <w:t>’</w:t>
      </w:r>
      <w:r w:rsidRPr="00653BF4">
        <w:rPr>
          <w:lang w:val="fr-FR"/>
        </w:rPr>
        <w:t>examen, la Conférence des Parties formulera, si nécessaire, des recommandations fondées sur le rapport mondial ainsi que sur les rapports nationaux, concernant la réalisation des objectifs et cibles du Cadre. En outre, les Parties pourront tenir compte des conclusions de l</w:t>
      </w:r>
      <w:r w:rsidR="002A58C8" w:rsidRPr="00653BF4">
        <w:rPr>
          <w:lang w:val="fr-FR"/>
        </w:rPr>
        <w:t>’</w:t>
      </w:r>
      <w:r w:rsidRPr="00653BF4">
        <w:rPr>
          <w:lang w:val="fr-FR"/>
        </w:rPr>
        <w:t>examen mondial lors des futures révisions et de la mise en œuvre de leurs stratégies et plans d</w:t>
      </w:r>
      <w:r w:rsidR="002A58C8" w:rsidRPr="00653BF4">
        <w:rPr>
          <w:lang w:val="fr-FR"/>
        </w:rPr>
        <w:t>’</w:t>
      </w:r>
      <w:r w:rsidRPr="00653BF4">
        <w:rPr>
          <w:lang w:val="fr-FR"/>
        </w:rPr>
        <w:t>action nationaux pour la biodiversité (SPANB), y compris en ce qui concerne la mise à disposition des moyens de mise en œuvre, en vue d</w:t>
      </w:r>
      <w:r w:rsidR="002A58C8" w:rsidRPr="00653BF4">
        <w:rPr>
          <w:lang w:val="fr-FR"/>
        </w:rPr>
        <w:t>’</w:t>
      </w:r>
      <w:r w:rsidRPr="00653BF4">
        <w:rPr>
          <w:lang w:val="fr-FR"/>
        </w:rPr>
        <w:t xml:space="preserve">améliorer les actions et les efforts, le cas échéant. Une attention particulière a été accordée aux défis spécifiques auxquels sont confrontées les pays en développement </w:t>
      </w:r>
      <w:r w:rsidRPr="00653BF4">
        <w:rPr>
          <w:lang w:val="fr-FR"/>
        </w:rPr>
        <w:lastRenderedPageBreak/>
        <w:t>Parties, notamment les pays les moins avancés et les petits États insulaires en développement. Ce premier rapport mondial marque une étape importante dans la mise en œuvre du mécanisme de planification, de suivi, d</w:t>
      </w:r>
      <w:r w:rsidR="002A58C8" w:rsidRPr="00653BF4">
        <w:rPr>
          <w:lang w:val="fr-FR"/>
        </w:rPr>
        <w:t>’</w:t>
      </w:r>
      <w:r w:rsidRPr="00653BF4">
        <w:rPr>
          <w:lang w:val="fr-FR"/>
        </w:rPr>
        <w:t>établissement de rapports et d</w:t>
      </w:r>
      <w:r w:rsidR="002A58C8" w:rsidRPr="00653BF4">
        <w:rPr>
          <w:lang w:val="fr-FR"/>
        </w:rPr>
        <w:t>’</w:t>
      </w:r>
      <w:r w:rsidRPr="00653BF4">
        <w:rPr>
          <w:lang w:val="fr-FR"/>
        </w:rPr>
        <w:t>examen prévu par le Cadre, tout en fournissant des enseignements précieux pour renforcer les futurs rapports et examens mondiaux.</w:t>
      </w:r>
      <w:r w:rsidR="00F95C73" w:rsidRPr="00653BF4">
        <w:rPr>
          <w:lang w:val="fr-FR"/>
        </w:rPr>
        <w:t xml:space="preserve"> </w:t>
      </w:r>
    </w:p>
    <w:p w14:paraId="1C825067" w14:textId="77777777" w:rsidR="00043653" w:rsidRPr="00653BF4" w:rsidRDefault="00043653" w:rsidP="00C700E9">
      <w:pPr>
        <w:pStyle w:val="Heading4"/>
        <w:rPr>
          <w:lang w:val="fr-FR"/>
        </w:rPr>
      </w:pPr>
    </w:p>
    <w:p w14:paraId="35038549" w14:textId="77555B75" w:rsidR="00C700E9" w:rsidRPr="00653BF4" w:rsidRDefault="003926D8" w:rsidP="008628F3">
      <w:pPr>
        <w:pStyle w:val="Heading3"/>
        <w:rPr>
          <w:lang w:val="fr-FR"/>
        </w:rPr>
      </w:pPr>
      <w:bookmarkStart w:id="26" w:name="_Toc242801219"/>
      <w:r w:rsidRPr="00653BF4">
        <w:rPr>
          <w:lang w:val="fr-FR"/>
        </w:rPr>
        <w:t>Sources et méthodologie du rapport mondial</w:t>
      </w:r>
      <w:bookmarkEnd w:id="26"/>
      <w:r w:rsidR="00C700E9" w:rsidRPr="00653BF4">
        <w:rPr>
          <w:lang w:val="fr-FR"/>
        </w:rPr>
        <w:t xml:space="preserve"> </w:t>
      </w:r>
    </w:p>
    <w:p w14:paraId="59F3D255" w14:textId="3B1E2608" w:rsidR="002B5380" w:rsidRPr="00653BF4" w:rsidRDefault="003926D8" w:rsidP="0029499C">
      <w:pPr>
        <w:rPr>
          <w:lang w:val="fr-FR"/>
        </w:rPr>
      </w:pPr>
      <w:r w:rsidRPr="00653BF4">
        <w:rPr>
          <w:lang w:val="fr-FR"/>
        </w:rPr>
        <w:t>Si les rapports nationaux constituent la principale source d</w:t>
      </w:r>
      <w:r w:rsidR="002A58C8" w:rsidRPr="00653BF4">
        <w:rPr>
          <w:lang w:val="fr-FR"/>
        </w:rPr>
        <w:t>’</w:t>
      </w:r>
      <w:r w:rsidRPr="00653BF4">
        <w:rPr>
          <w:lang w:val="fr-FR"/>
        </w:rPr>
        <w:t>information pour le rapport mondial, plusieurs sources d</w:t>
      </w:r>
      <w:r w:rsidR="002A58C8" w:rsidRPr="00653BF4">
        <w:rPr>
          <w:lang w:val="fr-FR"/>
        </w:rPr>
        <w:t>’</w:t>
      </w:r>
      <w:r w:rsidRPr="00653BF4">
        <w:rPr>
          <w:lang w:val="fr-FR"/>
        </w:rPr>
        <w:t>information complémentaires ont été utilisées pour son élaboration. Les sources d</w:t>
      </w:r>
      <w:r w:rsidR="002A58C8" w:rsidRPr="00653BF4">
        <w:rPr>
          <w:lang w:val="fr-FR"/>
        </w:rPr>
        <w:t>’</w:t>
      </w:r>
      <w:r w:rsidRPr="00653BF4">
        <w:rPr>
          <w:lang w:val="fr-FR"/>
        </w:rPr>
        <w:t>information du rapport mondial ont été précisées au paragraphe 18 de la décision 16/32 (</w:t>
      </w:r>
      <w:r w:rsidR="00711DD2" w:rsidRPr="00653BF4">
        <w:rPr>
          <w:lang w:val="fr-FR"/>
        </w:rPr>
        <w:t>CDB</w:t>
      </w:r>
      <w:r w:rsidRPr="00653BF4">
        <w:rPr>
          <w:lang w:val="fr-FR"/>
        </w:rPr>
        <w:t>, 2026), dans laquelle la Conférence des Parties a défini les modalités du processus d</w:t>
      </w:r>
      <w:r w:rsidR="002A58C8" w:rsidRPr="00653BF4">
        <w:rPr>
          <w:lang w:val="fr-FR"/>
        </w:rPr>
        <w:t>’</w:t>
      </w:r>
      <w:r w:rsidRPr="00653BF4">
        <w:rPr>
          <w:lang w:val="fr-FR"/>
        </w:rPr>
        <w:t>examen mondial. L</w:t>
      </w:r>
      <w:r w:rsidR="002A58C8" w:rsidRPr="00653BF4">
        <w:rPr>
          <w:lang w:val="fr-FR"/>
        </w:rPr>
        <w:t>’</w:t>
      </w:r>
      <w:r w:rsidRPr="00653BF4">
        <w:rPr>
          <w:lang w:val="fr-FR"/>
        </w:rPr>
        <w:t>encadré 3 présente une liste de ces sources d</w:t>
      </w:r>
      <w:r w:rsidR="002A58C8" w:rsidRPr="00653BF4">
        <w:rPr>
          <w:lang w:val="fr-FR"/>
        </w:rPr>
        <w:t>’</w:t>
      </w:r>
      <w:r w:rsidRPr="00653BF4">
        <w:rPr>
          <w:lang w:val="fr-FR"/>
        </w:rPr>
        <w:t>information, accompagnée des références permettant de consulter les informations initiales.</w:t>
      </w:r>
      <w:r w:rsidR="00EC5763" w:rsidRPr="00653BF4">
        <w:rPr>
          <w:lang w:val="fr-FR"/>
        </w:rPr>
        <w:t xml:space="preserve"> </w:t>
      </w:r>
    </w:p>
    <w:tbl>
      <w:tblPr>
        <w:tblStyle w:val="TableGrid"/>
        <w:tblW w:w="0" w:type="auto"/>
        <w:tblLook w:val="04A0" w:firstRow="1" w:lastRow="0" w:firstColumn="1" w:lastColumn="0" w:noHBand="0" w:noVBand="1"/>
      </w:tblPr>
      <w:tblGrid>
        <w:gridCol w:w="9016"/>
      </w:tblGrid>
      <w:tr w:rsidR="00C700E9" w:rsidRPr="00543148" w14:paraId="4B3C5F18" w14:textId="77777777" w:rsidTr="6A186FBE">
        <w:tc>
          <w:tcPr>
            <w:tcW w:w="9016" w:type="dxa"/>
            <w:shd w:val="clear" w:color="auto" w:fill="E8E8E8" w:themeFill="background2"/>
          </w:tcPr>
          <w:p w14:paraId="4A4F3B6E" w14:textId="418D8EE9" w:rsidR="00050637" w:rsidRPr="00653BF4" w:rsidRDefault="0029499C" w:rsidP="00050637">
            <w:pPr>
              <w:pStyle w:val="Caption"/>
              <w:keepNext/>
              <w:rPr>
                <w:i w:val="0"/>
                <w:iCs w:val="0"/>
                <w:sz w:val="20"/>
                <w:szCs w:val="20"/>
                <w:lang w:val="fr-FR"/>
              </w:rPr>
            </w:pPr>
            <w:bookmarkStart w:id="27" w:name="_Ref235104155"/>
            <w:r w:rsidRPr="00653BF4">
              <w:rPr>
                <w:i w:val="0"/>
                <w:sz w:val="20"/>
                <w:szCs w:val="20"/>
                <w:lang w:val="fr-FR"/>
              </w:rPr>
              <w:lastRenderedPageBreak/>
              <w:t xml:space="preserve">Encadré </w:t>
            </w:r>
            <w:r w:rsidR="008306DF" w:rsidRPr="00653BF4">
              <w:rPr>
                <w:i w:val="0"/>
                <w:noProof/>
                <w:sz w:val="20"/>
                <w:szCs w:val="20"/>
                <w:lang w:val="fr-FR"/>
              </w:rPr>
              <w:t>3</w:t>
            </w:r>
            <w:bookmarkEnd w:id="27"/>
          </w:p>
          <w:p w14:paraId="414054BF" w14:textId="083C2BCD" w:rsidR="00897F6D" w:rsidRPr="00653BF4" w:rsidRDefault="006E1DB9" w:rsidP="00E326D9">
            <w:pPr>
              <w:rPr>
                <w:b/>
                <w:bCs/>
                <w:sz w:val="20"/>
                <w:szCs w:val="20"/>
                <w:lang w:val="fr-FR"/>
              </w:rPr>
            </w:pPr>
            <w:r w:rsidRPr="00653BF4">
              <w:rPr>
                <w:b/>
                <w:bCs/>
                <w:sz w:val="20"/>
                <w:szCs w:val="20"/>
                <w:lang w:val="fr-FR"/>
              </w:rPr>
              <w:t>Sources d</w:t>
            </w:r>
            <w:r w:rsidR="002A58C8" w:rsidRPr="00653BF4">
              <w:rPr>
                <w:b/>
                <w:bCs/>
                <w:sz w:val="20"/>
                <w:szCs w:val="20"/>
                <w:lang w:val="fr-FR"/>
              </w:rPr>
              <w:t>’</w:t>
            </w:r>
            <w:r w:rsidRPr="00653BF4">
              <w:rPr>
                <w:b/>
                <w:bCs/>
                <w:sz w:val="20"/>
                <w:szCs w:val="20"/>
                <w:lang w:val="fr-FR"/>
              </w:rPr>
              <w:t>information figurant dans le rapport mondial, telles que précisées par la Conférence des Parties au paragraphe 18 de la décision 16/32 (</w:t>
            </w:r>
            <w:r w:rsidR="00711DD2" w:rsidRPr="00653BF4">
              <w:rPr>
                <w:b/>
                <w:bCs/>
                <w:sz w:val="20"/>
                <w:szCs w:val="20"/>
                <w:lang w:val="fr-FR"/>
              </w:rPr>
              <w:t>CDB</w:t>
            </w:r>
            <w:r w:rsidRPr="00653BF4">
              <w:rPr>
                <w:b/>
                <w:bCs/>
                <w:sz w:val="20"/>
                <w:szCs w:val="20"/>
                <w:lang w:val="fr-FR"/>
              </w:rPr>
              <w:t>, 2026)</w:t>
            </w:r>
          </w:p>
          <w:p w14:paraId="27D656BA" w14:textId="77777777" w:rsidR="00050637" w:rsidRPr="00653BF4" w:rsidRDefault="00050637" w:rsidP="00050637">
            <w:pPr>
              <w:rPr>
                <w:color w:val="000000" w:themeColor="text1"/>
                <w:sz w:val="20"/>
                <w:szCs w:val="20"/>
                <w:lang w:val="fr-FR"/>
              </w:rPr>
            </w:pPr>
          </w:p>
          <w:p w14:paraId="588846EA" w14:textId="5642494C" w:rsidR="00333B9E" w:rsidRPr="00653BF4" w:rsidRDefault="00F92008" w:rsidP="00333B9E">
            <w:pPr>
              <w:rPr>
                <w:color w:val="000000" w:themeColor="text1"/>
                <w:sz w:val="20"/>
                <w:szCs w:val="20"/>
                <w:lang w:val="fr-FR"/>
              </w:rPr>
            </w:pPr>
            <w:r w:rsidRPr="00653BF4">
              <w:rPr>
                <w:color w:val="000000" w:themeColor="text1"/>
                <w:sz w:val="20"/>
                <w:szCs w:val="20"/>
                <w:lang w:val="fr-FR"/>
              </w:rPr>
              <w:t>Lors de sa seizième réunion, la Conférence des Parties a approuvé une liste des sources d</w:t>
            </w:r>
            <w:r w:rsidR="002A58C8" w:rsidRPr="00653BF4">
              <w:rPr>
                <w:color w:val="000000" w:themeColor="text1"/>
                <w:sz w:val="20"/>
                <w:szCs w:val="20"/>
                <w:lang w:val="fr-FR"/>
              </w:rPr>
              <w:t>’</w:t>
            </w:r>
            <w:r w:rsidRPr="00653BF4">
              <w:rPr>
                <w:color w:val="000000" w:themeColor="text1"/>
                <w:sz w:val="20"/>
                <w:szCs w:val="20"/>
                <w:lang w:val="fr-FR"/>
              </w:rPr>
              <w:t>informations pertinentes sur lesquelles il convient de s</w:t>
            </w:r>
            <w:r w:rsidR="002A58C8" w:rsidRPr="00653BF4">
              <w:rPr>
                <w:color w:val="000000" w:themeColor="text1"/>
                <w:sz w:val="20"/>
                <w:szCs w:val="20"/>
                <w:lang w:val="fr-FR"/>
              </w:rPr>
              <w:t>’</w:t>
            </w:r>
            <w:r w:rsidRPr="00653BF4">
              <w:rPr>
                <w:color w:val="000000" w:themeColor="text1"/>
                <w:sz w:val="20"/>
                <w:szCs w:val="20"/>
                <w:lang w:val="fr-FR"/>
              </w:rPr>
              <w:t>appuyer pour l</w:t>
            </w:r>
            <w:r w:rsidR="002A58C8" w:rsidRPr="00653BF4">
              <w:rPr>
                <w:color w:val="000000" w:themeColor="text1"/>
                <w:sz w:val="20"/>
                <w:szCs w:val="20"/>
                <w:lang w:val="fr-FR"/>
              </w:rPr>
              <w:t>’</w:t>
            </w:r>
            <w:r w:rsidRPr="00653BF4">
              <w:rPr>
                <w:color w:val="000000" w:themeColor="text1"/>
                <w:sz w:val="20"/>
                <w:szCs w:val="20"/>
                <w:lang w:val="fr-FR"/>
              </w:rPr>
              <w:t xml:space="preserve">élaboration du rapport mondial. Ces sources, ainsi que </w:t>
            </w:r>
            <w:r w:rsidR="00BF56C4" w:rsidRPr="00653BF4">
              <w:rPr>
                <w:color w:val="000000" w:themeColor="text1"/>
                <w:sz w:val="20"/>
                <w:szCs w:val="20"/>
                <w:lang w:val="fr-FR"/>
              </w:rPr>
              <w:t>leur localisation</w:t>
            </w:r>
            <w:r w:rsidRPr="00653BF4">
              <w:rPr>
                <w:color w:val="000000" w:themeColor="text1"/>
                <w:sz w:val="20"/>
                <w:szCs w:val="20"/>
                <w:lang w:val="fr-FR"/>
              </w:rPr>
              <w:t>, sont énumérées ci-dessous.</w:t>
            </w:r>
          </w:p>
          <w:p w14:paraId="595A0411" w14:textId="77777777" w:rsidR="00C700E9" w:rsidRPr="00653BF4" w:rsidRDefault="00C700E9" w:rsidP="00E326D9">
            <w:pPr>
              <w:rPr>
                <w:color w:val="000000" w:themeColor="text1"/>
                <w:sz w:val="20"/>
                <w:szCs w:val="20"/>
                <w:lang w:val="fr-FR"/>
              </w:rPr>
            </w:pPr>
          </w:p>
          <w:p w14:paraId="0B8A430F" w14:textId="38F422E1" w:rsidR="00264060" w:rsidRPr="00653BF4" w:rsidRDefault="005E7524" w:rsidP="00E326D9">
            <w:pPr>
              <w:rPr>
                <w:i/>
                <w:iCs/>
                <w:color w:val="000000" w:themeColor="text1"/>
                <w:sz w:val="20"/>
                <w:szCs w:val="20"/>
                <w:lang w:val="fr-FR"/>
              </w:rPr>
            </w:pPr>
            <w:r w:rsidRPr="00653BF4">
              <w:rPr>
                <w:i/>
                <w:iCs/>
                <w:color w:val="000000" w:themeColor="text1"/>
                <w:sz w:val="20"/>
                <w:szCs w:val="20"/>
                <w:lang w:val="fr-FR"/>
              </w:rPr>
              <w:t>Source</w:t>
            </w:r>
            <w:r w:rsidR="007032FB" w:rsidRPr="00653BF4">
              <w:rPr>
                <w:i/>
                <w:iCs/>
                <w:color w:val="000000" w:themeColor="text1"/>
                <w:sz w:val="20"/>
                <w:szCs w:val="20"/>
                <w:lang w:val="fr-FR"/>
              </w:rPr>
              <w:t>s</w:t>
            </w:r>
            <w:r w:rsidR="00F62E95" w:rsidRPr="00653BF4">
              <w:rPr>
                <w:i/>
                <w:iCs/>
                <w:color w:val="000000" w:themeColor="text1"/>
                <w:sz w:val="20"/>
                <w:szCs w:val="20"/>
                <w:lang w:val="fr-FR"/>
              </w:rPr>
              <w:t xml:space="preserve">                                                                                                                                           </w:t>
            </w:r>
            <w:r w:rsidR="00BF56C4" w:rsidRPr="00653BF4">
              <w:rPr>
                <w:i/>
                <w:iCs/>
                <w:color w:val="000000" w:themeColor="text1"/>
                <w:sz w:val="20"/>
                <w:szCs w:val="20"/>
                <w:lang w:val="fr-FR"/>
              </w:rPr>
              <w:t>Localisation</w:t>
            </w:r>
          </w:p>
          <w:tbl>
            <w:tblPr>
              <w:tblStyle w:val="TableGrid"/>
              <w:tblW w:w="0" w:type="auto"/>
              <w:tblLook w:val="04A0" w:firstRow="1" w:lastRow="0" w:firstColumn="1" w:lastColumn="0" w:noHBand="0" w:noVBand="1"/>
            </w:tblPr>
            <w:tblGrid>
              <w:gridCol w:w="6230"/>
              <w:gridCol w:w="2560"/>
            </w:tblGrid>
            <w:tr w:rsidR="00E25926" w:rsidRPr="00543148" w14:paraId="021AAE05" w14:textId="77777777" w:rsidTr="00E25926">
              <w:tc>
                <w:tcPr>
                  <w:tcW w:w="6230" w:type="dxa"/>
                </w:tcPr>
                <w:p w14:paraId="6D5ADA03" w14:textId="17CEBA04" w:rsidR="00E25926" w:rsidRPr="00653BF4" w:rsidRDefault="00E25926" w:rsidP="00E25926">
                  <w:pPr>
                    <w:spacing w:line="278" w:lineRule="auto"/>
                    <w:rPr>
                      <w:color w:val="000000" w:themeColor="text1"/>
                      <w:sz w:val="20"/>
                      <w:szCs w:val="20"/>
                      <w:lang w:val="fr-FR"/>
                    </w:rPr>
                  </w:pPr>
                  <w:r w:rsidRPr="00653BF4">
                    <w:rPr>
                      <w:lang w:val="fr-FR"/>
                    </w:rPr>
                    <w:t>a) En tant que source principale, les rapports nationaux présentés conformément à l</w:t>
                  </w:r>
                  <w:r w:rsidR="002A58C8" w:rsidRPr="00653BF4">
                    <w:rPr>
                      <w:lang w:val="fr-FR"/>
                    </w:rPr>
                    <w:t>’</w:t>
                  </w:r>
                  <w:r w:rsidRPr="00653BF4">
                    <w:rPr>
                      <w:lang w:val="fr-FR"/>
                    </w:rPr>
                    <w:t>article 26 de la Convention et à la décision 15/6 de la Conférence des Parties (</w:t>
                  </w:r>
                  <w:r w:rsidR="00711DD2" w:rsidRPr="00653BF4">
                    <w:rPr>
                      <w:lang w:val="fr-FR"/>
                    </w:rPr>
                    <w:t>CDB</w:t>
                  </w:r>
                  <w:r w:rsidRPr="00653BF4">
                    <w:rPr>
                      <w:lang w:val="fr-FR"/>
                    </w:rPr>
                    <w:t>, 2023)</w:t>
                  </w:r>
                  <w:r w:rsidR="00E34DC9">
                    <w:rPr>
                      <w:lang w:val="fr-FR"/>
                    </w:rPr>
                    <w:t> ;</w:t>
                  </w:r>
                </w:p>
              </w:tc>
              <w:tc>
                <w:tcPr>
                  <w:tcW w:w="2560" w:type="dxa"/>
                </w:tcPr>
                <w:p w14:paraId="516A9D20" w14:textId="7D2FDF03" w:rsidR="00E25926" w:rsidRPr="00653BF4" w:rsidRDefault="00FF255C" w:rsidP="00FF255C">
                  <w:pPr>
                    <w:spacing w:line="278" w:lineRule="auto"/>
                    <w:rPr>
                      <w:color w:val="000000" w:themeColor="text1"/>
                      <w:sz w:val="20"/>
                      <w:szCs w:val="20"/>
                      <w:lang w:val="fr-FR"/>
                    </w:rPr>
                  </w:pPr>
                  <w:r w:rsidRPr="00653BF4">
                    <w:rPr>
                      <w:color w:val="000000" w:themeColor="text1"/>
                      <w:sz w:val="20"/>
                      <w:szCs w:val="20"/>
                      <w:lang w:val="fr-FR"/>
                    </w:rPr>
                    <w:t>Outil d</w:t>
                  </w:r>
                  <w:r w:rsidR="002A58C8" w:rsidRPr="00653BF4">
                    <w:rPr>
                      <w:color w:val="000000" w:themeColor="text1"/>
                      <w:sz w:val="20"/>
                      <w:szCs w:val="20"/>
                      <w:lang w:val="fr-FR"/>
                    </w:rPr>
                    <w:t>’</w:t>
                  </w:r>
                  <w:r w:rsidRPr="00653BF4">
                    <w:rPr>
                      <w:color w:val="000000" w:themeColor="text1"/>
                      <w:sz w:val="20"/>
                      <w:szCs w:val="20"/>
                      <w:lang w:val="fr-FR"/>
                    </w:rPr>
                    <w:t>établissement de rapports en ligne de la Convention</w:t>
                  </w:r>
                  <w:r w:rsidR="00E25926" w:rsidRPr="00653BF4">
                    <w:rPr>
                      <w:color w:val="000000" w:themeColor="text1"/>
                      <w:sz w:val="20"/>
                      <w:szCs w:val="20"/>
                      <w:vertAlign w:val="superscript"/>
                      <w:lang w:val="fr-FR"/>
                    </w:rPr>
                    <w:t>a</w:t>
                  </w:r>
                </w:p>
              </w:tc>
            </w:tr>
            <w:tr w:rsidR="00E25926" w:rsidRPr="00653BF4" w14:paraId="054AD1B7" w14:textId="77777777" w:rsidTr="00E25926">
              <w:tc>
                <w:tcPr>
                  <w:tcW w:w="6230" w:type="dxa"/>
                </w:tcPr>
                <w:p w14:paraId="54929DAD" w14:textId="7DF7ED40" w:rsidR="00E25926" w:rsidRPr="00653BF4" w:rsidRDefault="00E25926" w:rsidP="00E25926">
                  <w:pPr>
                    <w:spacing w:line="278" w:lineRule="auto"/>
                    <w:rPr>
                      <w:color w:val="000000" w:themeColor="text1"/>
                      <w:sz w:val="20"/>
                      <w:szCs w:val="20"/>
                      <w:lang w:val="fr-FR"/>
                    </w:rPr>
                  </w:pPr>
                  <w:r w:rsidRPr="00653BF4">
                    <w:rPr>
                      <w:lang w:val="fr-FR"/>
                    </w:rPr>
                    <w:t>b) L</w:t>
                  </w:r>
                  <w:r w:rsidR="002A58C8" w:rsidRPr="00653BF4">
                    <w:rPr>
                      <w:lang w:val="fr-FR"/>
                    </w:rPr>
                    <w:t>’</w:t>
                  </w:r>
                  <w:r w:rsidRPr="00653BF4">
                    <w:rPr>
                      <w:lang w:val="fr-FR"/>
                    </w:rPr>
                    <w:t>analyse de l</w:t>
                  </w:r>
                  <w:r w:rsidR="002A58C8" w:rsidRPr="00653BF4">
                    <w:rPr>
                      <w:lang w:val="fr-FR"/>
                    </w:rPr>
                    <w:t>’</w:t>
                  </w:r>
                  <w:r w:rsidRPr="00653BF4">
                    <w:rPr>
                      <w:lang w:val="fr-FR"/>
                    </w:rPr>
                    <w:t xml:space="preserve">utilisation des </w:t>
                  </w:r>
                  <w:r w:rsidR="00163FDD" w:rsidRPr="00653BF4">
                    <w:rPr>
                      <w:lang w:val="fr-FR"/>
                    </w:rPr>
                    <w:t>indicateurs phares</w:t>
                  </w:r>
                  <w:r w:rsidRPr="00653BF4">
                    <w:rPr>
                      <w:lang w:val="fr-FR"/>
                    </w:rPr>
                    <w:t>, binaires, composantes et complémentaires, ainsi que des indicateurs nationaux figurant dans les rapports nationaux</w:t>
                  </w:r>
                  <w:r w:rsidR="00E34DC9">
                    <w:rPr>
                      <w:lang w:val="fr-FR"/>
                    </w:rPr>
                    <w:t> ;</w:t>
                  </w:r>
                </w:p>
              </w:tc>
              <w:tc>
                <w:tcPr>
                  <w:tcW w:w="2560" w:type="dxa"/>
                </w:tcPr>
                <w:p w14:paraId="17B7E7F8" w14:textId="52AFF9A1" w:rsidR="00E25926" w:rsidRPr="00653BF4" w:rsidRDefault="00E25926" w:rsidP="00E25926">
                  <w:pPr>
                    <w:spacing w:line="278" w:lineRule="auto"/>
                    <w:rPr>
                      <w:color w:val="000000" w:themeColor="text1"/>
                      <w:sz w:val="20"/>
                      <w:szCs w:val="20"/>
                      <w:u w:val="single"/>
                      <w:lang w:val="fr-FR"/>
                    </w:rPr>
                  </w:pPr>
                  <w:hyperlink r:id="rId20" w:history="1">
                    <w:r w:rsidRPr="00653BF4">
                      <w:rPr>
                        <w:rStyle w:val="Hyperlink"/>
                        <w:sz w:val="20"/>
                        <w:szCs w:val="20"/>
                        <w:lang w:val="fr-FR"/>
                      </w:rPr>
                      <w:t>CBD/SBSTTA/28/INF/11</w:t>
                    </w:r>
                  </w:hyperlink>
                </w:p>
              </w:tc>
            </w:tr>
            <w:tr w:rsidR="00E25926" w:rsidRPr="00653BF4" w14:paraId="18096F31" w14:textId="77777777" w:rsidTr="00E25926">
              <w:tc>
                <w:tcPr>
                  <w:tcW w:w="6230" w:type="dxa"/>
                </w:tcPr>
                <w:p w14:paraId="225C0AEF" w14:textId="7EF1EA3B" w:rsidR="00E25926" w:rsidRPr="00653BF4" w:rsidRDefault="00E25926" w:rsidP="00E25926">
                  <w:pPr>
                    <w:spacing w:line="278" w:lineRule="auto"/>
                    <w:rPr>
                      <w:color w:val="000000" w:themeColor="text1"/>
                      <w:sz w:val="20"/>
                      <w:szCs w:val="20"/>
                      <w:lang w:val="fr-FR"/>
                    </w:rPr>
                  </w:pPr>
                  <w:r w:rsidRPr="00653BF4">
                    <w:rPr>
                      <w:lang w:val="fr-FR"/>
                    </w:rPr>
                    <w:t>c) L</w:t>
                  </w:r>
                  <w:r w:rsidR="002A58C8" w:rsidRPr="00653BF4">
                    <w:rPr>
                      <w:lang w:val="fr-FR"/>
                    </w:rPr>
                    <w:t>’</w:t>
                  </w:r>
                  <w:r w:rsidRPr="00653BF4">
                    <w:rPr>
                      <w:lang w:val="fr-FR"/>
                    </w:rPr>
                    <w:t>analyse globale des informations contenues dans les stratégies et plans d</w:t>
                  </w:r>
                  <w:r w:rsidR="002A58C8" w:rsidRPr="00653BF4">
                    <w:rPr>
                      <w:lang w:val="fr-FR"/>
                    </w:rPr>
                    <w:t>’</w:t>
                  </w:r>
                  <w:r w:rsidRPr="00653BF4">
                    <w:rPr>
                      <w:lang w:val="fr-FR"/>
                    </w:rPr>
                    <w:t>action nationaux pour la biodiversité, ainsi que des cibles nationales fournis conformément au paragraphe 15 de la décision 15/6 (</w:t>
                  </w:r>
                  <w:r w:rsidR="00604B6B">
                    <w:rPr>
                      <w:lang w:val="fr-FR"/>
                    </w:rPr>
                    <w:t>CDB</w:t>
                  </w:r>
                  <w:r w:rsidRPr="00653BF4">
                    <w:rPr>
                      <w:lang w:val="fr-FR"/>
                    </w:rPr>
                    <w:t>, 2023)</w:t>
                  </w:r>
                  <w:r w:rsidR="00E34DC9">
                    <w:rPr>
                      <w:lang w:val="fr-FR"/>
                    </w:rPr>
                    <w:t> ;</w:t>
                  </w:r>
                </w:p>
              </w:tc>
              <w:tc>
                <w:tcPr>
                  <w:tcW w:w="2560" w:type="dxa"/>
                </w:tcPr>
                <w:p w14:paraId="401C482B" w14:textId="0685F85A" w:rsidR="00E25926" w:rsidRPr="00653BF4" w:rsidRDefault="00E25926" w:rsidP="00E25926">
                  <w:pPr>
                    <w:spacing w:line="278" w:lineRule="auto"/>
                    <w:rPr>
                      <w:color w:val="000000" w:themeColor="text1"/>
                      <w:sz w:val="20"/>
                      <w:szCs w:val="20"/>
                      <w:u w:val="single"/>
                      <w:lang w:val="fr-FR"/>
                    </w:rPr>
                  </w:pPr>
                  <w:hyperlink r:id="rId21" w:history="1">
                    <w:r w:rsidRPr="00653BF4">
                      <w:rPr>
                        <w:rStyle w:val="Hyperlink"/>
                        <w:sz w:val="20"/>
                        <w:szCs w:val="20"/>
                        <w:lang w:val="fr-FR"/>
                      </w:rPr>
                      <w:t>CBD/SBI/6/INF/5</w:t>
                    </w:r>
                  </w:hyperlink>
                </w:p>
              </w:tc>
            </w:tr>
            <w:tr w:rsidR="00E25926" w:rsidRPr="00543148" w14:paraId="26D4D159" w14:textId="77777777" w:rsidTr="00E25926">
              <w:tc>
                <w:tcPr>
                  <w:tcW w:w="6230" w:type="dxa"/>
                </w:tcPr>
                <w:p w14:paraId="3CFB6EE9" w14:textId="3DD90E94" w:rsidR="00E25926" w:rsidRPr="00653BF4" w:rsidRDefault="00E25926" w:rsidP="00E25926">
                  <w:pPr>
                    <w:spacing w:line="278" w:lineRule="auto"/>
                    <w:rPr>
                      <w:color w:val="000000" w:themeColor="text1"/>
                      <w:sz w:val="20"/>
                      <w:szCs w:val="20"/>
                      <w:lang w:val="fr-FR"/>
                    </w:rPr>
                  </w:pPr>
                  <w:r w:rsidRPr="00653BF4">
                    <w:rPr>
                      <w:lang w:val="fr-FR"/>
                    </w:rPr>
                    <w:t xml:space="preserve">d) Les cinq éditions publiées à ce jour des </w:t>
                  </w:r>
                  <w:r w:rsidR="00E34DC9">
                    <w:rPr>
                      <w:lang w:val="fr-FR"/>
                    </w:rPr>
                    <w:t>« </w:t>
                  </w:r>
                  <w:r w:rsidRPr="00653BF4">
                    <w:rPr>
                      <w:lang w:val="fr-FR"/>
                    </w:rPr>
                    <w:t>Perspectives mondiales de la diversité biologique</w:t>
                  </w:r>
                  <w:r w:rsidR="00E34DC9">
                    <w:rPr>
                      <w:lang w:val="fr-FR"/>
                    </w:rPr>
                    <w:t> »</w:t>
                  </w:r>
                  <w:r w:rsidRPr="00653BF4">
                    <w:rPr>
                      <w:lang w:val="fr-FR"/>
                    </w:rPr>
                    <w:t xml:space="preserve"> et les deux éditions des </w:t>
                  </w:r>
                  <w:r w:rsidR="00E34DC9">
                    <w:rPr>
                      <w:lang w:val="fr-FR"/>
                    </w:rPr>
                    <w:t>« </w:t>
                  </w:r>
                  <w:r w:rsidRPr="00653BF4">
                    <w:rPr>
                      <w:lang w:val="fr-FR"/>
                    </w:rPr>
                    <w:t>Perspectives locales de la biodiversité</w:t>
                  </w:r>
                  <w:r w:rsidR="00E34DC9">
                    <w:rPr>
                      <w:lang w:val="fr-FR"/>
                    </w:rPr>
                    <w:t> » ;</w:t>
                  </w:r>
                </w:p>
              </w:tc>
              <w:tc>
                <w:tcPr>
                  <w:tcW w:w="2560" w:type="dxa"/>
                </w:tcPr>
                <w:p w14:paraId="14DABEC2" w14:textId="091ED1A8" w:rsidR="00E25926" w:rsidRPr="00653BF4" w:rsidRDefault="00E25926" w:rsidP="00FF255C">
                  <w:pPr>
                    <w:spacing w:line="278" w:lineRule="auto"/>
                    <w:rPr>
                      <w:color w:val="000000" w:themeColor="text1"/>
                      <w:sz w:val="20"/>
                      <w:szCs w:val="20"/>
                      <w:lang w:val="fr-FR"/>
                    </w:rPr>
                  </w:pPr>
                  <w:r w:rsidRPr="00653BF4">
                    <w:rPr>
                      <w:noProof/>
                      <w:color w:val="000000" w:themeColor="text1"/>
                      <w:sz w:val="20"/>
                      <w:szCs w:val="20"/>
                      <w:lang w:val="fr-FR"/>
                    </w:rPr>
                    <w:t>(</w:t>
                  </w:r>
                  <w:r w:rsidR="00604B6B">
                    <w:rPr>
                      <w:noProof/>
                      <w:color w:val="000000" w:themeColor="text1"/>
                      <w:sz w:val="20"/>
                      <w:szCs w:val="20"/>
                      <w:lang w:val="fr-FR"/>
                    </w:rPr>
                    <w:t>CDB</w:t>
                  </w:r>
                  <w:r w:rsidRPr="00653BF4">
                    <w:rPr>
                      <w:noProof/>
                      <w:color w:val="000000" w:themeColor="text1"/>
                      <w:sz w:val="20"/>
                      <w:szCs w:val="20"/>
                      <w:lang w:val="fr-FR"/>
                    </w:rPr>
                    <w:t xml:space="preserve">, 2001, 2006a, 2010, 2014a,2020; </w:t>
                  </w:r>
                  <w:r w:rsidR="00FF255C" w:rsidRPr="00653BF4">
                    <w:rPr>
                      <w:noProof/>
                      <w:color w:val="000000" w:themeColor="text1"/>
                      <w:sz w:val="20"/>
                      <w:szCs w:val="20"/>
                      <w:lang w:val="fr-FR"/>
                    </w:rPr>
                    <w:t xml:space="preserve">et Forest Peoples Programme </w:t>
                  </w:r>
                  <w:r w:rsidR="00FF255C" w:rsidRPr="00653BF4">
                    <w:rPr>
                      <w:i/>
                      <w:iCs/>
                      <w:noProof/>
                      <w:color w:val="000000" w:themeColor="text1"/>
                      <w:sz w:val="20"/>
                      <w:szCs w:val="20"/>
                      <w:lang w:val="fr-FR"/>
                    </w:rPr>
                    <w:t>et al.</w:t>
                  </w:r>
                  <w:r w:rsidR="00FF255C" w:rsidRPr="00653BF4">
                    <w:rPr>
                      <w:noProof/>
                      <w:color w:val="000000" w:themeColor="text1"/>
                      <w:sz w:val="20"/>
                      <w:szCs w:val="20"/>
                      <w:lang w:val="fr-FR"/>
                    </w:rPr>
                    <w:t>, 2016, 2020</w:t>
                  </w:r>
                  <w:r w:rsidRPr="00653BF4">
                    <w:rPr>
                      <w:noProof/>
                      <w:color w:val="000000" w:themeColor="text1"/>
                      <w:sz w:val="20"/>
                      <w:szCs w:val="20"/>
                      <w:lang w:val="fr-FR"/>
                    </w:rPr>
                    <w:t>)</w:t>
                  </w:r>
                </w:p>
              </w:tc>
            </w:tr>
            <w:tr w:rsidR="00E25926" w:rsidRPr="00543148" w14:paraId="4F3E65F7" w14:textId="77777777" w:rsidTr="00E25926">
              <w:tc>
                <w:tcPr>
                  <w:tcW w:w="6230" w:type="dxa"/>
                  <w:shd w:val="clear" w:color="auto" w:fill="E8E8E8" w:themeFill="background2"/>
                </w:tcPr>
                <w:p w14:paraId="4D701800" w14:textId="2114BFFE" w:rsidR="00E25926" w:rsidRPr="00653BF4" w:rsidRDefault="00E25926" w:rsidP="00E25926">
                  <w:pPr>
                    <w:spacing w:line="278" w:lineRule="auto"/>
                    <w:rPr>
                      <w:color w:val="000000" w:themeColor="text1"/>
                      <w:sz w:val="20"/>
                      <w:szCs w:val="20"/>
                      <w:lang w:val="fr-FR"/>
                    </w:rPr>
                  </w:pPr>
                  <w:r w:rsidRPr="00653BF4">
                    <w:rPr>
                      <w:lang w:val="fr-FR"/>
                    </w:rPr>
                    <w:t>e) Les évaluations, rapports et documents finaux de l</w:t>
                  </w:r>
                  <w:r w:rsidR="002A58C8" w:rsidRPr="00653BF4">
                    <w:rPr>
                      <w:lang w:val="fr-FR"/>
                    </w:rPr>
                    <w:t>’</w:t>
                  </w:r>
                  <w:r w:rsidRPr="00653BF4">
                    <w:rPr>
                      <w:lang w:val="fr-FR"/>
                    </w:rPr>
                    <w:t>IPBES, ainsi que d</w:t>
                  </w:r>
                  <w:r w:rsidR="002A58C8" w:rsidRPr="00653BF4">
                    <w:rPr>
                      <w:lang w:val="fr-FR"/>
                    </w:rPr>
                    <w:t>’</w:t>
                  </w:r>
                  <w:r w:rsidRPr="00653BF4">
                    <w:rPr>
                      <w:lang w:val="fr-FR"/>
                    </w:rPr>
                    <w:t>autres évaluations et rapports scientifiques pertinents ayant fait l</w:t>
                  </w:r>
                  <w:r w:rsidR="002A58C8" w:rsidRPr="00653BF4">
                    <w:rPr>
                      <w:lang w:val="fr-FR"/>
                    </w:rPr>
                    <w:t>’</w:t>
                  </w:r>
                  <w:r w:rsidRPr="00653BF4">
                    <w:rPr>
                      <w:lang w:val="fr-FR"/>
                    </w:rPr>
                    <w:t>objet d</w:t>
                  </w:r>
                  <w:r w:rsidR="002A58C8" w:rsidRPr="00653BF4">
                    <w:rPr>
                      <w:lang w:val="fr-FR"/>
                    </w:rPr>
                    <w:t>’</w:t>
                  </w:r>
                  <w:r w:rsidRPr="00653BF4">
                    <w:rPr>
                      <w:lang w:val="fr-FR"/>
                    </w:rPr>
                    <w:t>un examen intergouvernemental, y compris ceux du Groupe d</w:t>
                  </w:r>
                  <w:r w:rsidR="002A58C8" w:rsidRPr="00653BF4">
                    <w:rPr>
                      <w:lang w:val="fr-FR"/>
                    </w:rPr>
                    <w:t>’</w:t>
                  </w:r>
                  <w:r w:rsidRPr="00653BF4">
                    <w:rPr>
                      <w:lang w:val="fr-FR"/>
                    </w:rPr>
                    <w:t>experts intergouvernemental sur l</w:t>
                  </w:r>
                  <w:r w:rsidR="002A58C8" w:rsidRPr="00653BF4">
                    <w:rPr>
                      <w:lang w:val="fr-FR"/>
                    </w:rPr>
                    <w:t>’</w:t>
                  </w:r>
                  <w:r w:rsidRPr="00653BF4">
                    <w:rPr>
                      <w:lang w:val="fr-FR"/>
                    </w:rPr>
                    <w:t>évolution du climat et d</w:t>
                  </w:r>
                  <w:r w:rsidR="002A58C8" w:rsidRPr="00653BF4">
                    <w:rPr>
                      <w:lang w:val="fr-FR"/>
                    </w:rPr>
                    <w:t>’</w:t>
                  </w:r>
                  <w:r w:rsidRPr="00653BF4">
                    <w:rPr>
                      <w:lang w:val="fr-FR"/>
                    </w:rPr>
                    <w:t>autres plateformes scientifiques et politiques des Nations Unies</w:t>
                  </w:r>
                  <w:r w:rsidR="00E34DC9">
                    <w:rPr>
                      <w:lang w:val="fr-FR"/>
                    </w:rPr>
                    <w:t> ;</w:t>
                  </w:r>
                </w:p>
              </w:tc>
              <w:tc>
                <w:tcPr>
                  <w:tcW w:w="2560" w:type="dxa"/>
                </w:tcPr>
                <w:p w14:paraId="60559B94" w14:textId="30579FC7" w:rsidR="00E25926" w:rsidRPr="00653BF4" w:rsidRDefault="008801FD" w:rsidP="008801FD">
                  <w:pPr>
                    <w:spacing w:line="278" w:lineRule="auto"/>
                    <w:rPr>
                      <w:color w:val="000000" w:themeColor="text1"/>
                      <w:sz w:val="20"/>
                      <w:szCs w:val="20"/>
                      <w:lang w:val="fr-FR"/>
                    </w:rPr>
                  </w:pPr>
                  <w:r w:rsidRPr="00653BF4">
                    <w:rPr>
                      <w:color w:val="000000" w:themeColor="text1"/>
                      <w:sz w:val="20"/>
                      <w:szCs w:val="20"/>
                      <w:lang w:val="fr-FR"/>
                    </w:rPr>
                    <w:t>Citées individuellement dans le présent rapport</w:t>
                  </w:r>
                </w:p>
              </w:tc>
            </w:tr>
            <w:tr w:rsidR="00E25926" w:rsidRPr="00543148" w14:paraId="5FEB3E31" w14:textId="77777777" w:rsidTr="00E25926">
              <w:tc>
                <w:tcPr>
                  <w:tcW w:w="6230" w:type="dxa"/>
                </w:tcPr>
                <w:p w14:paraId="27DA8F78" w14:textId="5251F47B" w:rsidR="00E25926" w:rsidRPr="00653BF4" w:rsidRDefault="00E25926" w:rsidP="00E25926">
                  <w:pPr>
                    <w:spacing w:line="278" w:lineRule="auto"/>
                    <w:rPr>
                      <w:color w:val="000000" w:themeColor="text1"/>
                      <w:sz w:val="20"/>
                      <w:szCs w:val="20"/>
                      <w:lang w:val="fr-FR"/>
                    </w:rPr>
                  </w:pPr>
                  <w:r w:rsidRPr="00653BF4">
                    <w:rPr>
                      <w:lang w:val="fr-FR"/>
                    </w:rPr>
                    <w:t>f) Les évaluations scientifiques et techniques pertinentes aux niveaux national, régional et international, y compris les évaluations sous-régionales et régionales</w:t>
                  </w:r>
                  <w:r w:rsidR="00E34DC9">
                    <w:rPr>
                      <w:lang w:val="fr-FR"/>
                    </w:rPr>
                    <w:t> ;</w:t>
                  </w:r>
                </w:p>
              </w:tc>
              <w:tc>
                <w:tcPr>
                  <w:tcW w:w="2560" w:type="dxa"/>
                </w:tcPr>
                <w:p w14:paraId="06BEC72A" w14:textId="45E6F1EF" w:rsidR="00E25926" w:rsidRPr="00653BF4" w:rsidRDefault="008801FD" w:rsidP="008801FD">
                  <w:pPr>
                    <w:spacing w:line="278" w:lineRule="auto"/>
                    <w:rPr>
                      <w:color w:val="000000" w:themeColor="text1"/>
                      <w:sz w:val="20"/>
                      <w:szCs w:val="20"/>
                      <w:lang w:val="fr-FR"/>
                    </w:rPr>
                  </w:pPr>
                  <w:r w:rsidRPr="00653BF4">
                    <w:rPr>
                      <w:color w:val="000000" w:themeColor="text1"/>
                      <w:sz w:val="20"/>
                      <w:szCs w:val="20"/>
                      <w:lang w:val="fr-FR"/>
                    </w:rPr>
                    <w:t>Citées individuellement dans le présent rapport</w:t>
                  </w:r>
                </w:p>
              </w:tc>
            </w:tr>
            <w:tr w:rsidR="00E25926" w:rsidRPr="00543148" w14:paraId="216C4D0C" w14:textId="77777777" w:rsidTr="00E25926">
              <w:tc>
                <w:tcPr>
                  <w:tcW w:w="6230" w:type="dxa"/>
                </w:tcPr>
                <w:p w14:paraId="5EBDD6E2" w14:textId="492F07EA" w:rsidR="00E25926" w:rsidRPr="00653BF4" w:rsidRDefault="00E25926" w:rsidP="00E25926">
                  <w:pPr>
                    <w:spacing w:line="278" w:lineRule="auto"/>
                    <w:rPr>
                      <w:color w:val="000000" w:themeColor="text1"/>
                      <w:sz w:val="20"/>
                      <w:szCs w:val="20"/>
                      <w:lang w:val="fr-FR"/>
                    </w:rPr>
                  </w:pPr>
                  <w:r w:rsidRPr="00653BF4">
                    <w:rPr>
                      <w:lang w:val="fr-FR"/>
                    </w:rPr>
                    <w:t>g) Les rapports sur les moyens de mise en œuvre, y compris ceux du Conseil du Fonds pour l</w:t>
                  </w:r>
                  <w:r w:rsidR="002A58C8" w:rsidRPr="00653BF4">
                    <w:rPr>
                      <w:lang w:val="fr-FR"/>
                    </w:rPr>
                    <w:t>’</w:t>
                  </w:r>
                  <w:r w:rsidRPr="00653BF4">
                    <w:rPr>
                      <w:lang w:val="fr-FR"/>
                    </w:rPr>
                    <w:t>environnement mondial (FEM) concernant les progrès réalisés en lien avec le Fonds fiduciaire du FEM et le Fonds du Cadre mondial pour la biodiversité</w:t>
                  </w:r>
                  <w:r w:rsidR="00E34DC9">
                    <w:rPr>
                      <w:lang w:val="fr-FR"/>
                    </w:rPr>
                    <w:t> ;</w:t>
                  </w:r>
                </w:p>
              </w:tc>
              <w:tc>
                <w:tcPr>
                  <w:tcW w:w="2560" w:type="dxa"/>
                </w:tcPr>
                <w:p w14:paraId="33E98A52" w14:textId="6F59E921" w:rsidR="00E25926" w:rsidRPr="00653BF4" w:rsidRDefault="00E25926" w:rsidP="005E69FC">
                  <w:pPr>
                    <w:spacing w:line="278" w:lineRule="auto"/>
                    <w:rPr>
                      <w:color w:val="000000" w:themeColor="text1"/>
                      <w:sz w:val="20"/>
                      <w:szCs w:val="20"/>
                      <w:lang w:val="fr-FR"/>
                    </w:rPr>
                  </w:pPr>
                  <w:hyperlink r:id="rId22" w:history="1">
                    <w:r w:rsidRPr="00653BF4">
                      <w:rPr>
                        <w:rStyle w:val="Hyperlink"/>
                        <w:sz w:val="20"/>
                        <w:szCs w:val="20"/>
                        <w:lang w:val="fr-FR"/>
                      </w:rPr>
                      <w:t>CBD/SBI/7/INF/13</w:t>
                    </w:r>
                  </w:hyperlink>
                  <w:r w:rsidR="00E34DC9">
                    <w:rPr>
                      <w:lang w:val="fr-FR"/>
                    </w:rPr>
                    <w:t> ;</w:t>
                  </w:r>
                  <w:r w:rsidRPr="00653BF4">
                    <w:rPr>
                      <w:color w:val="000000" w:themeColor="text1"/>
                      <w:sz w:val="20"/>
                      <w:szCs w:val="20"/>
                      <w:lang w:val="fr-FR"/>
                    </w:rPr>
                    <w:t xml:space="preserve"> </w:t>
                  </w:r>
                  <w:r w:rsidR="00745232" w:rsidRPr="00653BF4">
                    <w:rPr>
                      <w:color w:val="000000" w:themeColor="text1"/>
                      <w:sz w:val="20"/>
                      <w:szCs w:val="20"/>
                      <w:lang w:val="fr-FR"/>
                    </w:rPr>
                    <w:t>cités individuellement dans le présent rapport</w:t>
                  </w:r>
                  <w:r w:rsidR="0092643D" w:rsidRPr="00653BF4">
                    <w:rPr>
                      <w:color w:val="000000" w:themeColor="text1"/>
                      <w:sz w:val="20"/>
                      <w:szCs w:val="20"/>
                      <w:lang w:val="fr-FR"/>
                    </w:rPr>
                    <w:t xml:space="preserve">, </w:t>
                  </w:r>
                  <w:r w:rsidR="00604B6B">
                    <w:rPr>
                      <w:color w:val="000000" w:themeColor="text1"/>
                      <w:sz w:val="20"/>
                      <w:szCs w:val="20"/>
                      <w:lang w:val="fr-FR"/>
                    </w:rPr>
                    <w:t>CDB</w:t>
                  </w:r>
                </w:p>
              </w:tc>
            </w:tr>
            <w:tr w:rsidR="00E25926" w:rsidRPr="00543148" w14:paraId="49E663D1" w14:textId="77777777" w:rsidTr="00E25926">
              <w:tc>
                <w:tcPr>
                  <w:tcW w:w="6230" w:type="dxa"/>
                </w:tcPr>
                <w:p w14:paraId="52D4965B" w14:textId="7EBC1814" w:rsidR="00E25926" w:rsidRPr="00653BF4" w:rsidRDefault="00E25926" w:rsidP="00E25926">
                  <w:pPr>
                    <w:spacing w:line="278" w:lineRule="auto"/>
                    <w:rPr>
                      <w:color w:val="000000" w:themeColor="text1"/>
                      <w:sz w:val="20"/>
                      <w:szCs w:val="20"/>
                      <w:lang w:val="fr-FR"/>
                    </w:rPr>
                  </w:pPr>
                  <w:r w:rsidRPr="00653BF4">
                    <w:rPr>
                      <w:lang w:val="fr-FR"/>
                    </w:rPr>
                    <w:lastRenderedPageBreak/>
                    <w:t>h) D</w:t>
                  </w:r>
                  <w:r w:rsidR="002A58C8" w:rsidRPr="00653BF4">
                    <w:rPr>
                      <w:lang w:val="fr-FR"/>
                    </w:rPr>
                    <w:t>’</w:t>
                  </w:r>
                  <w:r w:rsidRPr="00653BF4">
                    <w:rPr>
                      <w:lang w:val="fr-FR"/>
                    </w:rPr>
                    <w:t>autres études scientifiques et techniques pertinentes issues de la littérature et ayant fait l</w:t>
                  </w:r>
                  <w:r w:rsidR="002A58C8" w:rsidRPr="00653BF4">
                    <w:rPr>
                      <w:lang w:val="fr-FR"/>
                    </w:rPr>
                    <w:t>’</w:t>
                  </w:r>
                  <w:r w:rsidRPr="00653BF4">
                    <w:rPr>
                      <w:lang w:val="fr-FR"/>
                    </w:rPr>
                    <w:t xml:space="preserve">objet </w:t>
                  </w:r>
                  <w:r w:rsidR="008C10B5" w:rsidRPr="00653BF4">
                    <w:rPr>
                      <w:lang w:val="fr-FR"/>
                    </w:rPr>
                    <w:t>d</w:t>
                  </w:r>
                  <w:r w:rsidR="002A58C8" w:rsidRPr="00653BF4">
                    <w:rPr>
                      <w:lang w:val="fr-FR"/>
                    </w:rPr>
                    <w:t>’</w:t>
                  </w:r>
                  <w:r w:rsidR="008C10B5" w:rsidRPr="00653BF4">
                    <w:rPr>
                      <w:lang w:val="fr-FR"/>
                    </w:rPr>
                    <w:t>un exa</w:t>
                  </w:r>
                  <w:r w:rsidR="00575485" w:rsidRPr="00653BF4">
                    <w:rPr>
                      <w:lang w:val="fr-FR"/>
                    </w:rPr>
                    <w:t>men volontaire</w:t>
                  </w:r>
                  <w:r w:rsidR="00E34DC9">
                    <w:rPr>
                      <w:lang w:val="fr-FR"/>
                    </w:rPr>
                    <w:t> ;</w:t>
                  </w:r>
                </w:p>
              </w:tc>
              <w:tc>
                <w:tcPr>
                  <w:tcW w:w="2560" w:type="dxa"/>
                </w:tcPr>
                <w:p w14:paraId="40990876" w14:textId="03FB2314" w:rsidR="00E25926" w:rsidRPr="00653BF4" w:rsidRDefault="0092643D" w:rsidP="00E25926">
                  <w:pPr>
                    <w:spacing w:line="278" w:lineRule="auto"/>
                    <w:rPr>
                      <w:color w:val="000000" w:themeColor="text1"/>
                      <w:sz w:val="20"/>
                      <w:szCs w:val="20"/>
                      <w:lang w:val="fr-FR"/>
                    </w:rPr>
                  </w:pPr>
                  <w:r w:rsidRPr="00653BF4">
                    <w:rPr>
                      <w:color w:val="000000" w:themeColor="text1"/>
                      <w:sz w:val="20"/>
                      <w:szCs w:val="20"/>
                      <w:lang w:val="fr-FR"/>
                    </w:rPr>
                    <w:t>Citées individuellement dans le présent rapport</w:t>
                  </w:r>
                </w:p>
              </w:tc>
            </w:tr>
            <w:tr w:rsidR="00E25926" w:rsidRPr="00653BF4" w14:paraId="79A3F442" w14:textId="77777777" w:rsidTr="00E25926">
              <w:tc>
                <w:tcPr>
                  <w:tcW w:w="6230" w:type="dxa"/>
                </w:tcPr>
                <w:p w14:paraId="269037AC" w14:textId="17AAE2DB" w:rsidR="00E25926" w:rsidRPr="00653BF4" w:rsidRDefault="00E25926" w:rsidP="00E25926">
                  <w:pPr>
                    <w:spacing w:line="278" w:lineRule="auto"/>
                    <w:rPr>
                      <w:color w:val="000000" w:themeColor="text1"/>
                      <w:sz w:val="20"/>
                      <w:szCs w:val="20"/>
                      <w:lang w:val="fr-FR"/>
                    </w:rPr>
                  </w:pPr>
                  <w:r w:rsidRPr="00653BF4">
                    <w:rPr>
                      <w:lang w:val="fr-FR"/>
                    </w:rPr>
                    <w:t>i) Les rapports des dialogues régionaux et sous-régionaux</w:t>
                  </w:r>
                  <w:r w:rsidR="00E34DC9">
                    <w:rPr>
                      <w:lang w:val="fr-FR"/>
                    </w:rPr>
                    <w:t> ;</w:t>
                  </w:r>
                </w:p>
              </w:tc>
              <w:tc>
                <w:tcPr>
                  <w:tcW w:w="2560" w:type="dxa"/>
                </w:tcPr>
                <w:p w14:paraId="05B486CC" w14:textId="3DFC502C" w:rsidR="00E25926" w:rsidRPr="00653BF4" w:rsidRDefault="00E25926" w:rsidP="00E25926">
                  <w:pPr>
                    <w:spacing w:line="278" w:lineRule="auto"/>
                    <w:rPr>
                      <w:color w:val="000000" w:themeColor="text1"/>
                      <w:sz w:val="20"/>
                      <w:szCs w:val="20"/>
                      <w:lang w:val="fr-FR"/>
                    </w:rPr>
                  </w:pPr>
                  <w:hyperlink r:id="rId23" w:history="1">
                    <w:r w:rsidRPr="00653BF4">
                      <w:rPr>
                        <w:rStyle w:val="Hyperlink"/>
                        <w:sz w:val="20"/>
                        <w:szCs w:val="20"/>
                        <w:lang w:val="fr-FR"/>
                      </w:rPr>
                      <w:t>CBD/SBI/6/INF/6</w:t>
                    </w:r>
                  </w:hyperlink>
                </w:p>
              </w:tc>
            </w:tr>
            <w:tr w:rsidR="00E25926" w:rsidRPr="00543148" w14:paraId="3701DF3A" w14:textId="77777777" w:rsidTr="00E25926">
              <w:tc>
                <w:tcPr>
                  <w:tcW w:w="6230" w:type="dxa"/>
                </w:tcPr>
                <w:p w14:paraId="21DE7201" w14:textId="1C90DD72" w:rsidR="00E25926" w:rsidRPr="00653BF4" w:rsidRDefault="00E25926" w:rsidP="00E25926">
                  <w:pPr>
                    <w:spacing w:line="278" w:lineRule="auto"/>
                    <w:rPr>
                      <w:color w:val="000000" w:themeColor="text1"/>
                      <w:sz w:val="20"/>
                      <w:szCs w:val="20"/>
                      <w:lang w:val="fr-FR"/>
                    </w:rPr>
                  </w:pPr>
                  <w:r w:rsidRPr="00653BF4">
                    <w:rPr>
                      <w:lang w:val="fr-FR"/>
                    </w:rPr>
                    <w:t xml:space="preserve">j) </w:t>
                  </w:r>
                  <w:r w:rsidR="009929C8" w:rsidRPr="00653BF4">
                    <w:rPr>
                      <w:lang w:val="fr-FR"/>
                    </w:rPr>
                    <w:t>L</w:t>
                  </w:r>
                  <w:r w:rsidRPr="00653BF4">
                    <w:rPr>
                      <w:lang w:val="fr-FR"/>
                    </w:rPr>
                    <w:t>es informations relatives aux engagements pris par des acteurs autres que les gouvernements nationaux en faveur du Cadre, y compris la ventilation des données sur les contributions des peuples autochtones et communautés locales, des femmes et des jeunes</w:t>
                  </w:r>
                  <w:r w:rsidR="00E34DC9">
                    <w:rPr>
                      <w:lang w:val="fr-FR"/>
                    </w:rPr>
                    <w:t> ;</w:t>
                  </w:r>
                </w:p>
              </w:tc>
              <w:tc>
                <w:tcPr>
                  <w:tcW w:w="2560" w:type="dxa"/>
                </w:tcPr>
                <w:p w14:paraId="6DC844BC" w14:textId="4488E3B6" w:rsidR="00E25926" w:rsidRPr="00653BF4" w:rsidRDefault="00EC4A53" w:rsidP="00E25926">
                  <w:pPr>
                    <w:spacing w:line="278" w:lineRule="auto"/>
                    <w:rPr>
                      <w:color w:val="000000" w:themeColor="text1"/>
                      <w:sz w:val="20"/>
                      <w:szCs w:val="20"/>
                      <w:lang w:val="fr-FR"/>
                    </w:rPr>
                  </w:pPr>
                  <w:r w:rsidRPr="00653BF4">
                    <w:rPr>
                      <w:color w:val="000000" w:themeColor="text1"/>
                      <w:sz w:val="20"/>
                      <w:szCs w:val="20"/>
                      <w:lang w:val="fr-FR"/>
                    </w:rPr>
                    <w:t>Outil d</w:t>
                  </w:r>
                  <w:r w:rsidR="002A58C8" w:rsidRPr="00653BF4">
                    <w:rPr>
                      <w:color w:val="000000" w:themeColor="text1"/>
                      <w:sz w:val="20"/>
                      <w:szCs w:val="20"/>
                      <w:lang w:val="fr-FR"/>
                    </w:rPr>
                    <w:t>’</w:t>
                  </w:r>
                  <w:r w:rsidRPr="00653BF4">
                    <w:rPr>
                      <w:color w:val="000000" w:themeColor="text1"/>
                      <w:sz w:val="20"/>
                      <w:szCs w:val="20"/>
                      <w:lang w:val="fr-FR"/>
                    </w:rPr>
                    <w:t>établissement de rapports en ligne de la Convention</w:t>
                  </w:r>
                  <w:r w:rsidR="00E25926" w:rsidRPr="00653BF4">
                    <w:rPr>
                      <w:color w:val="000000" w:themeColor="text1"/>
                      <w:sz w:val="20"/>
                      <w:szCs w:val="20"/>
                      <w:vertAlign w:val="superscript"/>
                      <w:lang w:val="fr-FR"/>
                    </w:rPr>
                    <w:t>a</w:t>
                  </w:r>
                </w:p>
              </w:tc>
            </w:tr>
            <w:tr w:rsidR="00E25926" w:rsidRPr="00543148" w14:paraId="32094AA7" w14:textId="77777777" w:rsidTr="00E25926">
              <w:tc>
                <w:tcPr>
                  <w:tcW w:w="6230" w:type="dxa"/>
                </w:tcPr>
                <w:p w14:paraId="5DDD825E" w14:textId="28A4DAD1" w:rsidR="00E25926" w:rsidRPr="00653BF4" w:rsidRDefault="00E25926" w:rsidP="00E25926">
                  <w:pPr>
                    <w:spacing w:line="278" w:lineRule="auto"/>
                    <w:rPr>
                      <w:color w:val="000000" w:themeColor="text1"/>
                      <w:sz w:val="20"/>
                      <w:szCs w:val="20"/>
                      <w:lang w:val="fr-FR"/>
                    </w:rPr>
                  </w:pPr>
                  <w:r w:rsidRPr="00653BF4">
                    <w:rPr>
                      <w:lang w:val="fr-FR"/>
                    </w:rPr>
                    <w:t>k) Les informations pertinentes provenant des secrétariats des conventions relatives à la biodiversité et d</w:t>
                  </w:r>
                  <w:r w:rsidR="002A58C8" w:rsidRPr="00653BF4">
                    <w:rPr>
                      <w:lang w:val="fr-FR"/>
                    </w:rPr>
                    <w:t>’</w:t>
                  </w:r>
                  <w:r w:rsidRPr="00653BF4">
                    <w:rPr>
                      <w:lang w:val="fr-FR"/>
                    </w:rPr>
                    <w:t>autres accords multilatéraux sur l</w:t>
                  </w:r>
                  <w:r w:rsidR="002A58C8" w:rsidRPr="00653BF4">
                    <w:rPr>
                      <w:lang w:val="fr-FR"/>
                    </w:rPr>
                    <w:t>’</w:t>
                  </w:r>
                  <w:r w:rsidRPr="00653BF4">
                    <w:rPr>
                      <w:lang w:val="fr-FR"/>
                    </w:rPr>
                    <w:t>environnement, ainsi que d</w:t>
                  </w:r>
                  <w:r w:rsidR="002A58C8" w:rsidRPr="00653BF4">
                    <w:rPr>
                      <w:lang w:val="fr-FR"/>
                    </w:rPr>
                    <w:t>’</w:t>
                  </w:r>
                  <w:r w:rsidRPr="00653BF4">
                    <w:rPr>
                      <w:lang w:val="fr-FR"/>
                    </w:rPr>
                    <w:t>organisations et de processus internationaux pertinents, y compris les rapports présentés au titre des conventions connexes et relatifs aux Objectifs de développement durable</w:t>
                  </w:r>
                  <w:r w:rsidR="00E34DC9">
                    <w:rPr>
                      <w:lang w:val="fr-FR"/>
                    </w:rPr>
                    <w:t> ;</w:t>
                  </w:r>
                </w:p>
              </w:tc>
              <w:tc>
                <w:tcPr>
                  <w:tcW w:w="2560" w:type="dxa"/>
                </w:tcPr>
                <w:p w14:paraId="15DF493C" w14:textId="10082D4F" w:rsidR="00E25926" w:rsidRPr="00653BF4" w:rsidRDefault="00EC4A53" w:rsidP="00E25926">
                  <w:pPr>
                    <w:spacing w:line="278" w:lineRule="auto"/>
                    <w:rPr>
                      <w:color w:val="000000" w:themeColor="text1"/>
                      <w:sz w:val="20"/>
                      <w:szCs w:val="20"/>
                      <w:lang w:val="fr-FR"/>
                    </w:rPr>
                  </w:pPr>
                  <w:r w:rsidRPr="00653BF4">
                    <w:rPr>
                      <w:color w:val="000000" w:themeColor="text1"/>
                      <w:sz w:val="20"/>
                      <w:szCs w:val="20"/>
                      <w:lang w:val="fr-FR"/>
                    </w:rPr>
                    <w:t>Réponses</w:t>
                  </w:r>
                  <w:r w:rsidR="00E25926" w:rsidRPr="00653BF4">
                    <w:rPr>
                      <w:color w:val="000000" w:themeColor="text1"/>
                      <w:sz w:val="20"/>
                      <w:szCs w:val="20"/>
                      <w:lang w:val="fr-FR"/>
                    </w:rPr>
                    <w:t xml:space="preserve"> </w:t>
                  </w:r>
                  <w:r w:rsidRPr="00653BF4">
                    <w:rPr>
                      <w:color w:val="000000" w:themeColor="text1"/>
                      <w:sz w:val="20"/>
                      <w:szCs w:val="20"/>
                      <w:lang w:val="fr-FR"/>
                    </w:rPr>
                    <w:t>à la</w:t>
                  </w:r>
                  <w:r w:rsidR="00E25926" w:rsidRPr="00653BF4">
                    <w:rPr>
                      <w:color w:val="000000" w:themeColor="text1"/>
                      <w:sz w:val="20"/>
                      <w:szCs w:val="20"/>
                      <w:lang w:val="fr-FR"/>
                    </w:rPr>
                    <w:t xml:space="preserve"> notification </w:t>
                  </w:r>
                  <w:r w:rsidRPr="00653BF4">
                    <w:rPr>
                      <w:color w:val="000000" w:themeColor="text1"/>
                      <w:sz w:val="20"/>
                      <w:szCs w:val="20"/>
                      <w:lang w:val="fr-FR"/>
                    </w:rPr>
                    <w:t>n°</w:t>
                  </w:r>
                  <w:r w:rsidR="00E25926" w:rsidRPr="00653BF4">
                    <w:rPr>
                      <w:color w:val="000000" w:themeColor="text1"/>
                      <w:sz w:val="20"/>
                      <w:szCs w:val="20"/>
                      <w:lang w:val="fr-FR"/>
                    </w:rPr>
                    <w:t>2025-099</w:t>
                  </w:r>
                  <w:r w:rsidR="00E25926" w:rsidRPr="00653BF4">
                    <w:rPr>
                      <w:color w:val="000000" w:themeColor="text1"/>
                      <w:sz w:val="20"/>
                      <w:szCs w:val="20"/>
                      <w:vertAlign w:val="superscript"/>
                      <w:lang w:val="fr-FR"/>
                    </w:rPr>
                    <w:t>b</w:t>
                  </w:r>
                </w:p>
              </w:tc>
            </w:tr>
            <w:tr w:rsidR="00E25926" w:rsidRPr="00543148" w14:paraId="07893220" w14:textId="77777777" w:rsidTr="00E25926">
              <w:tc>
                <w:tcPr>
                  <w:tcW w:w="6230" w:type="dxa"/>
                </w:tcPr>
                <w:p w14:paraId="2981C9ED" w14:textId="175AB595" w:rsidR="00E25926" w:rsidRPr="00653BF4" w:rsidRDefault="00E25926" w:rsidP="00E25926">
                  <w:pPr>
                    <w:spacing w:line="278" w:lineRule="auto"/>
                    <w:rPr>
                      <w:sz w:val="20"/>
                      <w:szCs w:val="20"/>
                      <w:lang w:val="fr-FR"/>
                    </w:rPr>
                  </w:pPr>
                  <w:r w:rsidRPr="00653BF4">
                    <w:rPr>
                      <w:lang w:val="fr-FR"/>
                    </w:rPr>
                    <w:t>l) Les connaissances traditionnelles, innovations, pratiques et technologies pertinentes des peuples autochtones et des communautés locales auxquelles l</w:t>
                  </w:r>
                  <w:r w:rsidR="002A58C8" w:rsidRPr="00653BF4">
                    <w:rPr>
                      <w:lang w:val="fr-FR"/>
                    </w:rPr>
                    <w:t>’</w:t>
                  </w:r>
                  <w:r w:rsidRPr="00653BF4">
                    <w:rPr>
                      <w:lang w:val="fr-FR"/>
                    </w:rPr>
                    <w:t>accès est accordé avec leur consentement libre, préalable et en connaissance de cause.</w:t>
                  </w:r>
                </w:p>
              </w:tc>
              <w:tc>
                <w:tcPr>
                  <w:tcW w:w="2560" w:type="dxa"/>
                </w:tcPr>
                <w:p w14:paraId="732C5A18" w14:textId="0C67284B" w:rsidR="00E25926" w:rsidRPr="00653BF4" w:rsidRDefault="00EC4A53" w:rsidP="00E25926">
                  <w:pPr>
                    <w:spacing w:line="278" w:lineRule="auto"/>
                    <w:rPr>
                      <w:color w:val="000000" w:themeColor="text1"/>
                      <w:sz w:val="20"/>
                      <w:szCs w:val="20"/>
                      <w:lang w:val="fr-FR"/>
                    </w:rPr>
                  </w:pPr>
                  <w:r w:rsidRPr="00653BF4">
                    <w:rPr>
                      <w:color w:val="000000" w:themeColor="text1"/>
                      <w:sz w:val="20"/>
                      <w:szCs w:val="20"/>
                      <w:lang w:val="fr-FR"/>
                    </w:rPr>
                    <w:t>Réponses à la notification n°</w:t>
                  </w:r>
                  <w:r w:rsidR="00E25926" w:rsidRPr="00653BF4">
                    <w:rPr>
                      <w:color w:val="000000" w:themeColor="text1"/>
                      <w:sz w:val="20"/>
                      <w:szCs w:val="20"/>
                      <w:lang w:val="fr-FR"/>
                    </w:rPr>
                    <w:t>2025-100</w:t>
                  </w:r>
                  <w:r w:rsidR="00E25926" w:rsidRPr="00653BF4">
                    <w:rPr>
                      <w:color w:val="000000" w:themeColor="text1"/>
                      <w:sz w:val="20"/>
                      <w:szCs w:val="20"/>
                      <w:vertAlign w:val="superscript"/>
                      <w:lang w:val="fr-FR"/>
                    </w:rPr>
                    <w:t>c</w:t>
                  </w:r>
                </w:p>
              </w:tc>
            </w:tr>
          </w:tbl>
          <w:p w14:paraId="09F9B25D" w14:textId="77777777" w:rsidR="00C700E9" w:rsidRPr="00653BF4" w:rsidRDefault="00C700E9" w:rsidP="00E326D9">
            <w:pPr>
              <w:keepNext/>
              <w:rPr>
                <w:lang w:val="fr-FR"/>
              </w:rPr>
            </w:pPr>
          </w:p>
        </w:tc>
      </w:tr>
      <w:tr w:rsidR="007032FB" w:rsidRPr="00543148" w14:paraId="382F0546" w14:textId="77777777" w:rsidTr="6A186FBE">
        <w:tc>
          <w:tcPr>
            <w:tcW w:w="9016" w:type="dxa"/>
            <w:shd w:val="clear" w:color="auto" w:fill="E8E8E8" w:themeFill="background2"/>
          </w:tcPr>
          <w:p w14:paraId="1F39BB04" w14:textId="77777777" w:rsidR="00A54FFE" w:rsidRPr="00653BF4" w:rsidRDefault="00A54FFE" w:rsidP="00A54FFE">
            <w:pPr>
              <w:rPr>
                <w:vertAlign w:val="superscript"/>
                <w:lang w:val="fr-FR"/>
              </w:rPr>
            </w:pPr>
          </w:p>
          <w:p w14:paraId="5FC58B20" w14:textId="11240763" w:rsidR="00E830CD" w:rsidRPr="00653BF4" w:rsidRDefault="70AB99C5" w:rsidP="6A186FBE">
            <w:pPr>
              <w:rPr>
                <w:color w:val="000000" w:themeColor="text1"/>
                <w:sz w:val="18"/>
                <w:szCs w:val="18"/>
                <w:lang w:val="fr-FR"/>
              </w:rPr>
            </w:pPr>
            <w:r w:rsidRPr="00653BF4">
              <w:rPr>
                <w:sz w:val="18"/>
                <w:szCs w:val="18"/>
                <w:vertAlign w:val="superscript"/>
                <w:lang w:val="fr-FR"/>
              </w:rPr>
              <w:t xml:space="preserve">a </w:t>
            </w:r>
            <w:r w:rsidR="00EC4A53" w:rsidRPr="00653BF4">
              <w:rPr>
                <w:sz w:val="18"/>
                <w:szCs w:val="18"/>
                <w:lang w:val="fr-FR"/>
              </w:rPr>
              <w:t>Disponible à l</w:t>
            </w:r>
            <w:r w:rsidR="002A58C8" w:rsidRPr="00653BF4">
              <w:rPr>
                <w:sz w:val="18"/>
                <w:szCs w:val="18"/>
                <w:lang w:val="fr-FR"/>
              </w:rPr>
              <w:t>’</w:t>
            </w:r>
            <w:r w:rsidR="00EC4A53" w:rsidRPr="00653BF4">
              <w:rPr>
                <w:sz w:val="18"/>
                <w:szCs w:val="18"/>
                <w:lang w:val="fr-FR"/>
              </w:rPr>
              <w:t>adresse</w:t>
            </w:r>
            <w:r w:rsidR="00E34DC9">
              <w:rPr>
                <w:sz w:val="18"/>
                <w:szCs w:val="18"/>
                <w:lang w:val="fr-FR"/>
              </w:rPr>
              <w:t> :</w:t>
            </w:r>
            <w:r w:rsidRPr="00653BF4">
              <w:rPr>
                <w:sz w:val="18"/>
                <w:szCs w:val="18"/>
                <w:lang w:val="fr-FR"/>
              </w:rPr>
              <w:t xml:space="preserve"> </w:t>
            </w:r>
            <w:hyperlink r:id="rId24">
              <w:r w:rsidR="6F7C9544" w:rsidRPr="00653BF4">
                <w:rPr>
                  <w:rStyle w:val="Hyperlink"/>
                  <w:sz w:val="18"/>
                  <w:szCs w:val="18"/>
                  <w:lang w:val="fr-FR"/>
                </w:rPr>
                <w:t>https://ort.cbd.int/</w:t>
              </w:r>
            </w:hyperlink>
            <w:r w:rsidR="66AE1520" w:rsidRPr="00653BF4">
              <w:rPr>
                <w:sz w:val="18"/>
                <w:szCs w:val="18"/>
                <w:lang w:val="fr-FR"/>
              </w:rPr>
              <w:t>.</w:t>
            </w:r>
            <w:r w:rsidR="00F62E95" w:rsidRPr="00653BF4">
              <w:rPr>
                <w:sz w:val="18"/>
                <w:szCs w:val="18"/>
                <w:lang w:val="fr-FR"/>
              </w:rPr>
              <w:t xml:space="preserve"> </w:t>
            </w:r>
          </w:p>
          <w:p w14:paraId="0D475F92" w14:textId="5302B80C" w:rsidR="00A62572" w:rsidRPr="00653BF4" w:rsidRDefault="09107552" w:rsidP="6A186FBE">
            <w:pPr>
              <w:pStyle w:val="FootnoteText"/>
              <w:rPr>
                <w:sz w:val="18"/>
                <w:szCs w:val="18"/>
                <w:lang w:val="fr-FR"/>
              </w:rPr>
            </w:pPr>
            <w:r w:rsidRPr="00653BF4">
              <w:rPr>
                <w:sz w:val="18"/>
                <w:szCs w:val="18"/>
                <w:vertAlign w:val="superscript"/>
                <w:lang w:val="fr-FR"/>
              </w:rPr>
              <w:t>b</w:t>
            </w:r>
            <w:r w:rsidR="00EC4A53" w:rsidRPr="00653BF4">
              <w:rPr>
                <w:rFonts w:eastAsiaTheme="minorHAnsi"/>
                <w:kern w:val="2"/>
                <w:sz w:val="18"/>
                <w:szCs w:val="18"/>
                <w:lang w:val="fr-FR" w:eastAsia="en-US"/>
                <w14:ligatures w14:val="standardContextual"/>
              </w:rPr>
              <w:t xml:space="preserve"> </w:t>
            </w:r>
            <w:r w:rsidR="00EC4A53" w:rsidRPr="00653BF4">
              <w:rPr>
                <w:sz w:val="18"/>
                <w:szCs w:val="18"/>
                <w:lang w:val="fr-FR"/>
              </w:rPr>
              <w:t>Disponible à l</w:t>
            </w:r>
            <w:r w:rsidR="002A58C8" w:rsidRPr="00653BF4">
              <w:rPr>
                <w:sz w:val="18"/>
                <w:szCs w:val="18"/>
                <w:lang w:val="fr-FR"/>
              </w:rPr>
              <w:t>’</w:t>
            </w:r>
            <w:r w:rsidR="00EC4A53" w:rsidRPr="00653BF4">
              <w:rPr>
                <w:sz w:val="18"/>
                <w:szCs w:val="18"/>
                <w:lang w:val="fr-FR"/>
              </w:rPr>
              <w:t>adresse</w:t>
            </w:r>
            <w:r w:rsidR="00E34DC9">
              <w:rPr>
                <w:sz w:val="18"/>
                <w:szCs w:val="18"/>
                <w:lang w:val="fr-FR"/>
              </w:rPr>
              <w:t> :</w:t>
            </w:r>
            <w:r w:rsidR="06BA3C77" w:rsidRPr="00653BF4">
              <w:rPr>
                <w:sz w:val="18"/>
                <w:szCs w:val="18"/>
                <w:lang w:val="fr-FR"/>
              </w:rPr>
              <w:t xml:space="preserve"> </w:t>
            </w:r>
            <w:hyperlink r:id="rId25">
              <w:r w:rsidR="6915D097" w:rsidRPr="00653BF4">
                <w:rPr>
                  <w:rStyle w:val="Hyperlink"/>
                  <w:sz w:val="18"/>
                  <w:szCs w:val="18"/>
                  <w:lang w:val="fr-FR"/>
                </w:rPr>
                <w:t>www.cbd.int/notifications/2025-099</w:t>
              </w:r>
            </w:hyperlink>
            <w:r w:rsidR="06BA3C77" w:rsidRPr="00653BF4">
              <w:rPr>
                <w:sz w:val="18"/>
                <w:szCs w:val="18"/>
                <w:lang w:val="fr-FR"/>
              </w:rPr>
              <w:t>.</w:t>
            </w:r>
          </w:p>
          <w:p w14:paraId="599AE80E" w14:textId="15AB9DAE" w:rsidR="00E830CD" w:rsidRPr="00653BF4" w:rsidRDefault="767AF59F" w:rsidP="6A186FBE">
            <w:pPr>
              <w:pStyle w:val="FootnoteText"/>
              <w:rPr>
                <w:sz w:val="18"/>
                <w:szCs w:val="18"/>
                <w:lang w:val="fr-FR"/>
              </w:rPr>
            </w:pPr>
            <w:r w:rsidRPr="00653BF4">
              <w:rPr>
                <w:sz w:val="18"/>
                <w:szCs w:val="18"/>
                <w:vertAlign w:val="superscript"/>
                <w:lang w:val="fr-FR"/>
              </w:rPr>
              <w:t>c</w:t>
            </w:r>
            <w:r w:rsidR="00EC4A53" w:rsidRPr="00653BF4">
              <w:rPr>
                <w:rFonts w:eastAsiaTheme="minorHAnsi"/>
                <w:kern w:val="2"/>
                <w:sz w:val="18"/>
                <w:szCs w:val="18"/>
                <w:lang w:val="fr-FR" w:eastAsia="en-US"/>
                <w14:ligatures w14:val="standardContextual"/>
              </w:rPr>
              <w:t xml:space="preserve"> </w:t>
            </w:r>
            <w:r w:rsidR="00EC4A53" w:rsidRPr="00653BF4">
              <w:rPr>
                <w:sz w:val="18"/>
                <w:szCs w:val="18"/>
                <w:lang w:val="fr-FR"/>
              </w:rPr>
              <w:t>Disponible à l</w:t>
            </w:r>
            <w:r w:rsidR="002A58C8" w:rsidRPr="00653BF4">
              <w:rPr>
                <w:sz w:val="18"/>
                <w:szCs w:val="18"/>
                <w:lang w:val="fr-FR"/>
              </w:rPr>
              <w:t>’</w:t>
            </w:r>
            <w:r w:rsidR="00EC4A53" w:rsidRPr="00653BF4">
              <w:rPr>
                <w:sz w:val="18"/>
                <w:szCs w:val="18"/>
                <w:lang w:val="fr-FR"/>
              </w:rPr>
              <w:t>adresse</w:t>
            </w:r>
            <w:r w:rsidR="00E34DC9">
              <w:rPr>
                <w:sz w:val="18"/>
                <w:szCs w:val="18"/>
                <w:lang w:val="fr-FR"/>
              </w:rPr>
              <w:t> :</w:t>
            </w:r>
            <w:r w:rsidR="6F7C9544" w:rsidRPr="00653BF4">
              <w:rPr>
                <w:sz w:val="18"/>
                <w:szCs w:val="18"/>
                <w:lang w:val="fr-FR"/>
              </w:rPr>
              <w:t xml:space="preserve"> </w:t>
            </w:r>
            <w:hyperlink r:id="rId26">
              <w:r w:rsidR="6915D097" w:rsidRPr="00653BF4">
                <w:rPr>
                  <w:rStyle w:val="Hyperlink"/>
                  <w:sz w:val="18"/>
                  <w:szCs w:val="18"/>
                  <w:lang w:val="fr-FR"/>
                </w:rPr>
                <w:t>www.cbd.int/notifications/2025-100</w:t>
              </w:r>
            </w:hyperlink>
            <w:r w:rsidR="00F62E95" w:rsidRPr="00653BF4">
              <w:rPr>
                <w:sz w:val="18"/>
                <w:szCs w:val="18"/>
                <w:lang w:val="fr-FR"/>
              </w:rPr>
              <w:t xml:space="preserve"> </w:t>
            </w:r>
          </w:p>
          <w:p w14:paraId="7582DB96" w14:textId="167DA6FA" w:rsidR="007032FB" w:rsidRPr="00653BF4" w:rsidRDefault="007032FB" w:rsidP="00E830CD">
            <w:pPr>
              <w:pStyle w:val="ListParagraph"/>
              <w:ind w:left="0"/>
              <w:rPr>
                <w:color w:val="000000" w:themeColor="text1"/>
                <w:sz w:val="18"/>
                <w:szCs w:val="18"/>
                <w:lang w:val="fr-FR"/>
              </w:rPr>
            </w:pPr>
          </w:p>
        </w:tc>
      </w:tr>
    </w:tbl>
    <w:p w14:paraId="6618F63B" w14:textId="50409DAA" w:rsidR="00C700E9" w:rsidRPr="00653BF4" w:rsidRDefault="00C700E9" w:rsidP="18C3F015">
      <w:pPr>
        <w:rPr>
          <w:lang w:val="fr-FR"/>
        </w:rPr>
      </w:pPr>
    </w:p>
    <w:p w14:paraId="09637E68" w14:textId="5BA04B84" w:rsidR="005D3F01" w:rsidRPr="00653BF4" w:rsidRDefault="00F128A7" w:rsidP="005D3F01">
      <w:pPr>
        <w:rPr>
          <w:lang w:val="fr-FR"/>
        </w:rPr>
      </w:pPr>
      <w:r w:rsidRPr="00653BF4">
        <w:rPr>
          <w:lang w:val="fr-FR"/>
        </w:rPr>
        <w:t>Aux fins du rapport mondial, il existe un socle de données solide, qui tient compte des contributions transmises à temps pour être prises en considération dans le cadre de son analyse</w:t>
      </w:r>
      <w:r w:rsidR="00E34DC9">
        <w:rPr>
          <w:lang w:val="fr-FR"/>
        </w:rPr>
        <w:t> :</w:t>
      </w:r>
      <w:r w:rsidRPr="00653BF4">
        <w:rPr>
          <w:lang w:val="fr-FR"/>
        </w:rPr>
        <w:t xml:space="preserve"> les SPANB de 43</w:t>
      </w:r>
      <w:r w:rsidR="002878D7">
        <w:rPr>
          <w:lang w:val="fr-FR"/>
        </w:rPr>
        <w:t> %</w:t>
      </w:r>
      <w:r w:rsidRPr="00653BF4">
        <w:rPr>
          <w:lang w:val="fr-FR"/>
        </w:rPr>
        <w:t xml:space="preserve"> des Parties à la Convention</w:t>
      </w:r>
      <w:r w:rsidR="00E34DC9">
        <w:rPr>
          <w:lang w:val="fr-FR"/>
        </w:rPr>
        <w:t> ;</w:t>
      </w:r>
      <w:r w:rsidRPr="00653BF4">
        <w:rPr>
          <w:lang w:val="fr-FR"/>
        </w:rPr>
        <w:t xml:space="preserve"> près de 3 700 cibles nationales émanant de 83</w:t>
      </w:r>
      <w:r w:rsidR="002878D7">
        <w:rPr>
          <w:lang w:val="fr-FR"/>
        </w:rPr>
        <w:t> %</w:t>
      </w:r>
      <w:r w:rsidRPr="00653BF4">
        <w:rPr>
          <w:lang w:val="fr-FR"/>
        </w:rPr>
        <w:t xml:space="preserve"> des Parties</w:t>
      </w:r>
      <w:r w:rsidR="00E34DC9">
        <w:rPr>
          <w:lang w:val="fr-FR"/>
        </w:rPr>
        <w:t> ;</w:t>
      </w:r>
      <w:r w:rsidRPr="00653BF4">
        <w:rPr>
          <w:lang w:val="fr-FR"/>
        </w:rPr>
        <w:t xml:space="preserve"> et les rapports nationaux de 66</w:t>
      </w:r>
      <w:r w:rsidR="002878D7">
        <w:rPr>
          <w:lang w:val="fr-FR"/>
        </w:rPr>
        <w:t> %</w:t>
      </w:r>
      <w:r w:rsidRPr="00653BF4">
        <w:rPr>
          <w:lang w:val="fr-FR"/>
        </w:rPr>
        <w:t xml:space="preserve"> des Parties</w:t>
      </w:r>
      <w:r w:rsidR="005D3F01" w:rsidRPr="00653BF4">
        <w:rPr>
          <w:rStyle w:val="FootnoteReference"/>
          <w:lang w:val="fr-FR"/>
        </w:rPr>
        <w:footnoteReference w:id="3"/>
      </w:r>
      <w:r w:rsidR="001D0257" w:rsidRPr="00653BF4">
        <w:rPr>
          <w:lang w:val="fr-FR"/>
        </w:rPr>
        <w:t>.</w:t>
      </w:r>
      <w:r w:rsidR="005D3F01" w:rsidRPr="00653BF4">
        <w:rPr>
          <w:lang w:val="fr-FR"/>
        </w:rPr>
        <w:t xml:space="preserve"> </w:t>
      </w:r>
      <w:r w:rsidR="005C02BC" w:rsidRPr="00653BF4">
        <w:rPr>
          <w:lang w:val="fr-FR"/>
        </w:rPr>
        <w:t xml:space="preserve">La </w:t>
      </w:r>
      <w:r w:rsidR="002878D7">
        <w:rPr>
          <w:lang w:val="fr-FR"/>
        </w:rPr>
        <w:t>section I</w:t>
      </w:r>
      <w:r w:rsidR="005C02BC" w:rsidRPr="00653BF4">
        <w:rPr>
          <w:lang w:val="fr-FR"/>
        </w:rPr>
        <w:t>I.A présente en détail l</w:t>
      </w:r>
      <w:r w:rsidR="002A58C8" w:rsidRPr="00653BF4">
        <w:rPr>
          <w:lang w:val="fr-FR"/>
        </w:rPr>
        <w:t>’</w:t>
      </w:r>
      <w:r w:rsidR="005C02BC" w:rsidRPr="00653BF4">
        <w:rPr>
          <w:lang w:val="fr-FR"/>
        </w:rPr>
        <w:t>état d</w:t>
      </w:r>
      <w:r w:rsidR="002A58C8" w:rsidRPr="00653BF4">
        <w:rPr>
          <w:lang w:val="fr-FR"/>
        </w:rPr>
        <w:t>’</w:t>
      </w:r>
      <w:r w:rsidR="005C02BC" w:rsidRPr="00653BF4">
        <w:rPr>
          <w:lang w:val="fr-FR"/>
        </w:rPr>
        <w:t>avancement des contributions des Parties.  En outre, le rapport examine plus de 180 engagements pris par des acteurs autres que les gouvernements nationaux</w:t>
      </w:r>
      <w:r w:rsidR="00E34DC9">
        <w:rPr>
          <w:lang w:val="fr-FR"/>
        </w:rPr>
        <w:t> ;</w:t>
      </w:r>
      <w:r w:rsidR="005C02BC" w:rsidRPr="00653BF4">
        <w:rPr>
          <w:lang w:val="fr-FR"/>
        </w:rPr>
        <w:t xml:space="preserve"> 28 communications émanant des secrétariats d</w:t>
      </w:r>
      <w:r w:rsidR="002A58C8" w:rsidRPr="00653BF4">
        <w:rPr>
          <w:lang w:val="fr-FR"/>
        </w:rPr>
        <w:t>’</w:t>
      </w:r>
      <w:r w:rsidR="005C02BC" w:rsidRPr="00653BF4">
        <w:rPr>
          <w:lang w:val="fr-FR"/>
        </w:rPr>
        <w:t>accords multilatéraux sur l</w:t>
      </w:r>
      <w:r w:rsidR="002A58C8" w:rsidRPr="00653BF4">
        <w:rPr>
          <w:lang w:val="fr-FR"/>
        </w:rPr>
        <w:t>’</w:t>
      </w:r>
      <w:r w:rsidR="005C02BC" w:rsidRPr="00653BF4">
        <w:rPr>
          <w:lang w:val="fr-FR"/>
        </w:rPr>
        <w:t>environnement, d</w:t>
      </w:r>
      <w:r w:rsidR="002A58C8" w:rsidRPr="00653BF4">
        <w:rPr>
          <w:lang w:val="fr-FR"/>
        </w:rPr>
        <w:t>’</w:t>
      </w:r>
      <w:r w:rsidR="005C02BC" w:rsidRPr="00653BF4">
        <w:rPr>
          <w:lang w:val="fr-FR"/>
        </w:rPr>
        <w:t>organes des Nations Unies, d</w:t>
      </w:r>
      <w:r w:rsidR="002A58C8" w:rsidRPr="00653BF4">
        <w:rPr>
          <w:lang w:val="fr-FR"/>
        </w:rPr>
        <w:t>’</w:t>
      </w:r>
      <w:r w:rsidR="005C02BC" w:rsidRPr="00653BF4">
        <w:rPr>
          <w:lang w:val="fr-FR"/>
        </w:rPr>
        <w:t xml:space="preserve">autres organisations </w:t>
      </w:r>
      <w:r w:rsidR="005C02BC" w:rsidRPr="00653BF4">
        <w:rPr>
          <w:lang w:val="fr-FR"/>
        </w:rPr>
        <w:lastRenderedPageBreak/>
        <w:t>intergouvernementales, d</w:t>
      </w:r>
      <w:r w:rsidR="002A58C8" w:rsidRPr="00653BF4">
        <w:rPr>
          <w:lang w:val="fr-FR"/>
        </w:rPr>
        <w:t>’</w:t>
      </w:r>
      <w:r w:rsidR="005C02BC" w:rsidRPr="00653BF4">
        <w:rPr>
          <w:lang w:val="fr-FR"/>
        </w:rPr>
        <w:t>organisations non gouvernementales et de réseaux de recherche</w:t>
      </w:r>
      <w:r w:rsidR="00E34DC9">
        <w:rPr>
          <w:lang w:val="fr-FR"/>
        </w:rPr>
        <w:t> ;</w:t>
      </w:r>
      <w:r w:rsidR="005C02BC" w:rsidRPr="00653BF4">
        <w:rPr>
          <w:lang w:val="fr-FR"/>
        </w:rPr>
        <w:t xml:space="preserve"> ainsi que 52 communications (provenant de 14 Parties et de 38 observateurs) présentant des études de cas sur les savoirs traditionnels, les innovations, les pratiques et les technologies pertinents des peuples autochtones et communautés locales.</w:t>
      </w:r>
    </w:p>
    <w:p w14:paraId="4A87B9B6" w14:textId="3CACEC24" w:rsidR="00185E4F" w:rsidRPr="00653BF4" w:rsidRDefault="00185E4F" w:rsidP="00185E4F">
      <w:pPr>
        <w:rPr>
          <w:lang w:val="fr-FR" w:eastAsia="ja-JP"/>
        </w:rPr>
      </w:pPr>
      <w:r w:rsidRPr="00653BF4">
        <w:rPr>
          <w:lang w:val="fr-FR" w:eastAsia="ja-JP"/>
        </w:rPr>
        <w:t>Les méthodologies utilisées pour l</w:t>
      </w:r>
      <w:r w:rsidR="002A58C8" w:rsidRPr="00653BF4">
        <w:rPr>
          <w:lang w:val="fr-FR" w:eastAsia="ja-JP"/>
        </w:rPr>
        <w:t>’</w:t>
      </w:r>
      <w:r w:rsidRPr="00653BF4">
        <w:rPr>
          <w:lang w:val="fr-FR" w:eastAsia="ja-JP"/>
        </w:rPr>
        <w:t>élaboration des différentes sections du rapport mondial, ainsi qu</w:t>
      </w:r>
      <w:r w:rsidR="002A58C8" w:rsidRPr="00653BF4">
        <w:rPr>
          <w:lang w:val="fr-FR" w:eastAsia="ja-JP"/>
        </w:rPr>
        <w:t>’</w:t>
      </w:r>
      <w:r w:rsidRPr="00653BF4">
        <w:rPr>
          <w:lang w:val="fr-FR" w:eastAsia="ja-JP"/>
        </w:rPr>
        <w:t>une analyse de la manière dont les Parties ont utilisé les indicateurs dans leurs rapports nationaux, figurent exhaustivement dans ces deux documents</w:t>
      </w:r>
      <w:r w:rsidR="00E34DC9">
        <w:rPr>
          <w:lang w:val="fr-FR" w:eastAsia="ja-JP"/>
        </w:rPr>
        <w:t> :</w:t>
      </w:r>
      <w:r w:rsidRPr="00653BF4">
        <w:rPr>
          <w:lang w:val="fr-FR" w:eastAsia="ja-JP"/>
        </w:rPr>
        <w:t xml:space="preserve"> </w:t>
      </w:r>
      <w:hyperlink r:id="rId27" w:history="1">
        <w:r w:rsidRPr="00653BF4">
          <w:rPr>
            <w:rStyle w:val="Hyperlink"/>
            <w:lang w:val="fr-FR" w:eastAsia="ja-JP"/>
          </w:rPr>
          <w:t>CBD/SBSTTA/28/INF/9</w:t>
        </w:r>
      </w:hyperlink>
      <w:r w:rsidRPr="00653BF4">
        <w:rPr>
          <w:lang w:val="fr-FR" w:eastAsia="ja-JP"/>
        </w:rPr>
        <w:t xml:space="preserve"> et </w:t>
      </w:r>
      <w:hyperlink r:id="rId28" w:history="1">
        <w:r w:rsidRPr="00653BF4">
          <w:rPr>
            <w:rStyle w:val="Hyperlink"/>
            <w:lang w:val="fr-FR" w:eastAsia="ja-JP"/>
          </w:rPr>
          <w:t>CBD/SBSTTA/28/INF/11</w:t>
        </w:r>
      </w:hyperlink>
      <w:r w:rsidRPr="00653BF4">
        <w:rPr>
          <w:lang w:val="fr-FR" w:eastAsia="ja-JP"/>
        </w:rPr>
        <w:t xml:space="preserve">, respectivement. La </w:t>
      </w:r>
      <w:r w:rsidR="004D7DAE" w:rsidRPr="00653BF4">
        <w:rPr>
          <w:lang w:val="fr-FR" w:eastAsia="ja-JP"/>
        </w:rPr>
        <w:t>figure</w:t>
      </w:r>
      <w:r w:rsidRPr="00653BF4">
        <w:rPr>
          <w:lang w:val="fr-FR" w:eastAsia="ja-JP"/>
        </w:rPr>
        <w:t xml:space="preserve"> 5 présente le flux de travail associé aux différentes sources de données et méthodologies utilisées et illustre leur lien avec chaque section du rapport. Lorsque d</w:t>
      </w:r>
      <w:r w:rsidR="002A58C8" w:rsidRPr="00653BF4">
        <w:rPr>
          <w:lang w:val="fr-FR" w:eastAsia="ja-JP"/>
        </w:rPr>
        <w:t>’</w:t>
      </w:r>
      <w:r w:rsidRPr="00653BF4">
        <w:rPr>
          <w:lang w:val="fr-FR" w:eastAsia="ja-JP"/>
        </w:rPr>
        <w:t>autres sources d</w:t>
      </w:r>
      <w:r w:rsidR="002A58C8" w:rsidRPr="00653BF4">
        <w:rPr>
          <w:lang w:val="fr-FR" w:eastAsia="ja-JP"/>
        </w:rPr>
        <w:t>’</w:t>
      </w:r>
      <w:r w:rsidRPr="00653BF4">
        <w:rPr>
          <w:lang w:val="fr-FR" w:eastAsia="ja-JP"/>
        </w:rPr>
        <w:t>information (c</w:t>
      </w:r>
      <w:r w:rsidR="002A58C8" w:rsidRPr="00653BF4">
        <w:rPr>
          <w:lang w:val="fr-FR" w:eastAsia="ja-JP"/>
        </w:rPr>
        <w:t>’</w:t>
      </w:r>
      <w:r w:rsidRPr="00653BF4">
        <w:rPr>
          <w:lang w:val="fr-FR" w:eastAsia="ja-JP"/>
        </w:rPr>
        <w:t>est-à-dire des sources ne provenant pas des contributions des Parties via l</w:t>
      </w:r>
      <w:r w:rsidR="002A58C8" w:rsidRPr="00653BF4">
        <w:rPr>
          <w:lang w:val="fr-FR" w:eastAsia="ja-JP"/>
        </w:rPr>
        <w:t>’</w:t>
      </w:r>
      <w:r w:rsidRPr="00653BF4">
        <w:rPr>
          <w:lang w:val="fr-FR" w:eastAsia="ja-JP"/>
        </w:rPr>
        <w:t>outil d</w:t>
      </w:r>
      <w:r w:rsidR="002A58C8" w:rsidRPr="00653BF4">
        <w:rPr>
          <w:lang w:val="fr-FR" w:eastAsia="ja-JP"/>
        </w:rPr>
        <w:t>’</w:t>
      </w:r>
      <w:r w:rsidRPr="00653BF4">
        <w:rPr>
          <w:lang w:val="fr-FR" w:eastAsia="ja-JP"/>
        </w:rPr>
        <w:t>établissement de rapports en ligne) ont été utilisées, les références correspondantes sont fournies dans le rapport. Lorsque des données provenant d</w:t>
      </w:r>
      <w:r w:rsidR="002A58C8" w:rsidRPr="00653BF4">
        <w:rPr>
          <w:lang w:val="fr-FR" w:eastAsia="ja-JP"/>
        </w:rPr>
        <w:t>’</w:t>
      </w:r>
      <w:r w:rsidRPr="00653BF4">
        <w:rPr>
          <w:lang w:val="fr-FR" w:eastAsia="ja-JP"/>
        </w:rPr>
        <w:t>autres sources, y compris des données nationales communiquées dans le cadre d</w:t>
      </w:r>
      <w:r w:rsidR="002A58C8" w:rsidRPr="00653BF4">
        <w:rPr>
          <w:lang w:val="fr-FR" w:eastAsia="ja-JP"/>
        </w:rPr>
        <w:t>’</w:t>
      </w:r>
      <w:r w:rsidRPr="00653BF4">
        <w:rPr>
          <w:lang w:val="fr-FR" w:eastAsia="ja-JP"/>
        </w:rPr>
        <w:t>autres processus mondiaux, ont été utilisées dans l</w:t>
      </w:r>
      <w:r w:rsidR="002A58C8" w:rsidRPr="00653BF4">
        <w:rPr>
          <w:lang w:val="fr-FR" w:eastAsia="ja-JP"/>
        </w:rPr>
        <w:t>’</w:t>
      </w:r>
      <w:r w:rsidRPr="00653BF4">
        <w:rPr>
          <w:lang w:val="fr-FR" w:eastAsia="ja-JP"/>
        </w:rPr>
        <w:t xml:space="preserve">analyse des </w:t>
      </w:r>
      <w:r w:rsidR="00163FDD" w:rsidRPr="00653BF4">
        <w:rPr>
          <w:lang w:val="fr-FR" w:eastAsia="ja-JP"/>
        </w:rPr>
        <w:t>indicateurs phares</w:t>
      </w:r>
      <w:r w:rsidRPr="00653BF4">
        <w:rPr>
          <w:lang w:val="fr-FR" w:eastAsia="ja-JP"/>
        </w:rPr>
        <w:t>, ces données sont présentées séparément des données nationales.</w:t>
      </w:r>
    </w:p>
    <w:p w14:paraId="100BC926" w14:textId="1FE503BC" w:rsidR="000F7CAD" w:rsidRPr="00653BF4" w:rsidRDefault="00C02183" w:rsidP="000F7CAD">
      <w:pPr>
        <w:rPr>
          <w:lang w:val="fr-FR" w:eastAsia="ja-JP"/>
        </w:rPr>
      </w:pPr>
      <w:r w:rsidRPr="00653BF4">
        <w:rPr>
          <w:lang w:val="fr-FR" w:eastAsia="ja-JP"/>
        </w:rPr>
        <w:t>La partie II du rapport mondial reprend l</w:t>
      </w:r>
      <w:r w:rsidR="002A58C8" w:rsidRPr="00653BF4">
        <w:rPr>
          <w:lang w:val="fr-FR" w:eastAsia="ja-JP"/>
        </w:rPr>
        <w:t>’</w:t>
      </w:r>
      <w:r w:rsidRPr="00653BF4">
        <w:rPr>
          <w:lang w:val="fr-FR" w:eastAsia="ja-JP"/>
        </w:rPr>
        <w:t>essentiel de l</w:t>
      </w:r>
      <w:r w:rsidR="002A58C8" w:rsidRPr="00653BF4">
        <w:rPr>
          <w:lang w:val="fr-FR" w:eastAsia="ja-JP"/>
        </w:rPr>
        <w:t>’</w:t>
      </w:r>
      <w:r w:rsidRPr="00653BF4">
        <w:rPr>
          <w:lang w:val="fr-FR" w:eastAsia="ja-JP"/>
        </w:rPr>
        <w:t xml:space="preserve">analyse réalisée à partir des communications des Parties, dans le but de synthétiser les progrès collectifs accomplis dans la mise en œuvre. La </w:t>
      </w:r>
      <w:r w:rsidR="002878D7">
        <w:rPr>
          <w:lang w:val="fr-FR" w:eastAsia="ja-JP"/>
        </w:rPr>
        <w:t>section I</w:t>
      </w:r>
      <w:r w:rsidRPr="00653BF4">
        <w:rPr>
          <w:lang w:val="fr-FR" w:eastAsia="ja-JP"/>
        </w:rPr>
        <w:t>I.A du rapport s</w:t>
      </w:r>
      <w:r w:rsidR="002A58C8" w:rsidRPr="00653BF4">
        <w:rPr>
          <w:lang w:val="fr-FR" w:eastAsia="ja-JP"/>
        </w:rPr>
        <w:t>’</w:t>
      </w:r>
      <w:r w:rsidRPr="00653BF4">
        <w:rPr>
          <w:lang w:val="fr-FR" w:eastAsia="ja-JP"/>
        </w:rPr>
        <w:t>appuie sur une analyse qualitative des textes, décrite en détail dans la section A de l</w:t>
      </w:r>
      <w:r w:rsidR="002A58C8" w:rsidRPr="00653BF4">
        <w:rPr>
          <w:lang w:val="fr-FR" w:eastAsia="ja-JP"/>
        </w:rPr>
        <w:t>’</w:t>
      </w:r>
      <w:r w:rsidRPr="00653BF4">
        <w:rPr>
          <w:lang w:val="fr-FR" w:eastAsia="ja-JP"/>
        </w:rPr>
        <w:t xml:space="preserve">annexe du document méthodologique, tandis que la </w:t>
      </w:r>
      <w:r w:rsidR="002878D7">
        <w:rPr>
          <w:lang w:val="fr-FR" w:eastAsia="ja-JP"/>
        </w:rPr>
        <w:t>section I</w:t>
      </w:r>
      <w:r w:rsidRPr="00653BF4">
        <w:rPr>
          <w:lang w:val="fr-FR" w:eastAsia="ja-JP"/>
        </w:rPr>
        <w:t>I.B suit une méthodologie systématique d</w:t>
      </w:r>
      <w:r w:rsidR="002A58C8" w:rsidRPr="00653BF4">
        <w:rPr>
          <w:lang w:val="fr-FR" w:eastAsia="ja-JP"/>
        </w:rPr>
        <w:t>’</w:t>
      </w:r>
      <w:r w:rsidRPr="00653BF4">
        <w:rPr>
          <w:lang w:val="fr-FR" w:eastAsia="ja-JP"/>
        </w:rPr>
        <w:t xml:space="preserve">analyse de chaque cible du Cadre. Toutes ces méthodologies ont été élaborées en consultation avec le Groupe consultatif scientifique et technique spécial </w:t>
      </w:r>
      <w:r w:rsidR="00EA75BD">
        <w:rPr>
          <w:lang w:val="fr-FR" w:eastAsia="ja-JP"/>
        </w:rPr>
        <w:t>chargé de</w:t>
      </w:r>
      <w:r w:rsidRPr="00653BF4">
        <w:rPr>
          <w:lang w:val="fr-FR" w:eastAsia="ja-JP"/>
        </w:rPr>
        <w:t xml:space="preserve"> la préparation du rapport mondial (AHSTAG). Pour chaque cible, le rapport comprend</w:t>
      </w:r>
      <w:r w:rsidR="00E34DC9">
        <w:rPr>
          <w:lang w:val="fr-FR" w:eastAsia="ja-JP"/>
        </w:rPr>
        <w:t> :</w:t>
      </w:r>
    </w:p>
    <w:p w14:paraId="15F7BD87" w14:textId="62FD1098" w:rsidR="00B50240" w:rsidRPr="00653BF4" w:rsidRDefault="005F5B79" w:rsidP="00B50240">
      <w:pPr>
        <w:pStyle w:val="ListParagraph"/>
        <w:numPr>
          <w:ilvl w:val="0"/>
          <w:numId w:val="7"/>
        </w:numPr>
        <w:rPr>
          <w:lang w:val="fr-FR" w:eastAsia="ja-JP"/>
        </w:rPr>
      </w:pPr>
      <w:r w:rsidRPr="00653BF4">
        <w:rPr>
          <w:lang w:val="fr-FR" w:eastAsia="ja-JP"/>
        </w:rPr>
        <w:t>Une analyse textuelle des cibles nationales présentées par les Parties afin de déterminer dans quelle mesure celles-ci couvraient collectivement la portée et le niveau d</w:t>
      </w:r>
      <w:r w:rsidR="002A58C8" w:rsidRPr="00653BF4">
        <w:rPr>
          <w:lang w:val="fr-FR" w:eastAsia="ja-JP"/>
        </w:rPr>
        <w:t>’</w:t>
      </w:r>
      <w:r w:rsidRPr="00653BF4">
        <w:rPr>
          <w:lang w:val="fr-FR" w:eastAsia="ja-JP"/>
        </w:rPr>
        <w:t>ambition globaux des cibles du Cadre. Dans le contexte de cette analyse, le texte de chaque cible nationale a été comparé à l</w:t>
      </w:r>
      <w:r w:rsidR="002A58C8" w:rsidRPr="00653BF4">
        <w:rPr>
          <w:lang w:val="fr-FR" w:eastAsia="ja-JP"/>
        </w:rPr>
        <w:t>’</w:t>
      </w:r>
      <w:r w:rsidRPr="00653BF4">
        <w:rPr>
          <w:lang w:val="fr-FR" w:eastAsia="ja-JP"/>
        </w:rPr>
        <w:t>ensemble des éléments contenus dans la cible du Cadre afin de vérifier dans quelle mesure ces éléments se reflétaient dans le texte de la cible nationale. Le pourcentage de Parties dont les cibles nationales abordaient chaque élément, dans une certaine mesure au moins, a ensuite été calculé. Les critères précis utilisés pour déterminer la prise en compte figurent dans la division C de l</w:t>
      </w:r>
      <w:r w:rsidR="002A58C8" w:rsidRPr="00653BF4">
        <w:rPr>
          <w:lang w:val="fr-FR" w:eastAsia="ja-JP"/>
        </w:rPr>
        <w:t>’</w:t>
      </w:r>
      <w:r w:rsidRPr="00653BF4">
        <w:rPr>
          <w:lang w:val="fr-FR" w:eastAsia="ja-JP"/>
        </w:rPr>
        <w:t>annexe du document méthodologique</w:t>
      </w:r>
      <w:r w:rsidR="00CA2793" w:rsidRPr="00653BF4">
        <w:rPr>
          <w:lang w:val="fr-FR" w:eastAsia="ja-JP"/>
        </w:rPr>
        <w:t>.</w:t>
      </w:r>
    </w:p>
    <w:p w14:paraId="5C2E9F16" w14:textId="022AE36C" w:rsidR="00B50240" w:rsidRPr="00653BF4" w:rsidRDefault="00267A17" w:rsidP="00267A17">
      <w:pPr>
        <w:pStyle w:val="ListParagraph"/>
        <w:numPr>
          <w:ilvl w:val="0"/>
          <w:numId w:val="7"/>
        </w:numPr>
        <w:rPr>
          <w:lang w:val="fr-FR" w:eastAsia="ja-JP"/>
        </w:rPr>
      </w:pPr>
      <w:r w:rsidRPr="00653BF4">
        <w:rPr>
          <w:lang w:val="fr-FR" w:eastAsia="ja-JP"/>
        </w:rPr>
        <w:t>Une analyse de l</w:t>
      </w:r>
      <w:r w:rsidR="002A58C8" w:rsidRPr="00653BF4">
        <w:rPr>
          <w:lang w:val="fr-FR" w:eastAsia="ja-JP"/>
        </w:rPr>
        <w:t>’</w:t>
      </w:r>
      <w:r w:rsidRPr="00653BF4">
        <w:rPr>
          <w:lang w:val="fr-FR" w:eastAsia="ja-JP"/>
        </w:rPr>
        <w:t>utilisation des indicateurs par les Parties. Pour chaque i</w:t>
      </w:r>
      <w:r w:rsidR="003C5C35" w:rsidRPr="00653BF4">
        <w:rPr>
          <w:lang w:val="fr-FR" w:eastAsia="ja-JP"/>
        </w:rPr>
        <w:t>ndicateur phare</w:t>
      </w:r>
      <w:r w:rsidRPr="00653BF4">
        <w:rPr>
          <w:lang w:val="fr-FR" w:eastAsia="ja-JP"/>
        </w:rPr>
        <w:t xml:space="preserve">, on a calculé le pourcentage de Parties ayant soumis des données, sur les 129 Parties pour lesquelles des données étaient disponibles, et déterminé le </w:t>
      </w:r>
      <w:r w:rsidRPr="00653BF4">
        <w:rPr>
          <w:lang w:val="fr-FR" w:eastAsia="ja-JP"/>
        </w:rPr>
        <w:lastRenderedPageBreak/>
        <w:t>nombre de Parties dont les données relatives à l</w:t>
      </w:r>
      <w:r w:rsidR="002A58C8" w:rsidRPr="00653BF4">
        <w:rPr>
          <w:lang w:val="fr-FR" w:eastAsia="ja-JP"/>
        </w:rPr>
        <w:t>’</w:t>
      </w:r>
      <w:r w:rsidRPr="00653BF4">
        <w:rPr>
          <w:lang w:val="fr-FR" w:eastAsia="ja-JP"/>
        </w:rPr>
        <w:t>indicateur ont été utilisées dans chaque analyse d</w:t>
      </w:r>
      <w:r w:rsidR="002A58C8" w:rsidRPr="00653BF4">
        <w:rPr>
          <w:lang w:val="fr-FR" w:eastAsia="ja-JP"/>
        </w:rPr>
        <w:t>’</w:t>
      </w:r>
      <w:r w:rsidRPr="00653BF4">
        <w:rPr>
          <w:lang w:val="fr-FR" w:eastAsia="ja-JP"/>
        </w:rPr>
        <w:t>indicateur ultérieure. Des informations complémentaires sur l</w:t>
      </w:r>
      <w:r w:rsidR="002A58C8" w:rsidRPr="00653BF4">
        <w:rPr>
          <w:lang w:val="fr-FR" w:eastAsia="ja-JP"/>
        </w:rPr>
        <w:t>’</w:t>
      </w:r>
      <w:r w:rsidRPr="00653BF4">
        <w:rPr>
          <w:lang w:val="fr-FR" w:eastAsia="ja-JP"/>
        </w:rPr>
        <w:t>utilisation des indicateurs ont été analysées et publiées dans un document distinct (</w:t>
      </w:r>
      <w:hyperlink r:id="rId29" w:history="1">
        <w:r w:rsidRPr="00653BF4">
          <w:rPr>
            <w:rStyle w:val="Hyperlink"/>
            <w:lang w:val="fr-FR" w:eastAsia="ja-JP"/>
          </w:rPr>
          <w:t>CBD/SBSTTA/28/INF/11</w:t>
        </w:r>
      </w:hyperlink>
      <w:r w:rsidR="00D07A2B" w:rsidRPr="00653BF4">
        <w:rPr>
          <w:lang w:val="fr-FR" w:eastAsia="ja-JP"/>
        </w:rPr>
        <w:t>)</w:t>
      </w:r>
      <w:r w:rsidR="00CA2793" w:rsidRPr="00653BF4">
        <w:rPr>
          <w:lang w:val="fr-FR" w:eastAsia="ja-JP"/>
        </w:rPr>
        <w:t>.</w:t>
      </w:r>
    </w:p>
    <w:p w14:paraId="0399EDEE" w14:textId="21543ACD" w:rsidR="00B50240" w:rsidRPr="00653BF4" w:rsidRDefault="00F378AF" w:rsidP="00B50240">
      <w:pPr>
        <w:pStyle w:val="ListParagraph"/>
        <w:numPr>
          <w:ilvl w:val="0"/>
          <w:numId w:val="7"/>
        </w:numPr>
        <w:rPr>
          <w:lang w:val="fr-FR" w:eastAsia="ja-JP"/>
        </w:rPr>
      </w:pPr>
      <w:r w:rsidRPr="00653BF4">
        <w:rPr>
          <w:lang w:val="fr-FR" w:eastAsia="ja-JP"/>
        </w:rPr>
        <w:t>Une analyse des progrès collectifs fondée sur l</w:t>
      </w:r>
      <w:r w:rsidR="002A58C8" w:rsidRPr="00653BF4">
        <w:rPr>
          <w:lang w:val="fr-FR" w:eastAsia="ja-JP"/>
        </w:rPr>
        <w:t>’</w:t>
      </w:r>
      <w:r w:rsidRPr="00653BF4">
        <w:rPr>
          <w:lang w:val="fr-FR" w:eastAsia="ja-JP"/>
        </w:rPr>
        <w:t xml:space="preserve">agrégation des données comparables communiquées au titre des </w:t>
      </w:r>
      <w:r w:rsidR="00163FDD" w:rsidRPr="00653BF4">
        <w:rPr>
          <w:lang w:val="fr-FR" w:eastAsia="ja-JP"/>
        </w:rPr>
        <w:t>indicateurs phares</w:t>
      </w:r>
      <w:r w:rsidRPr="00653BF4">
        <w:rPr>
          <w:lang w:val="fr-FR" w:eastAsia="ja-JP"/>
        </w:rPr>
        <w:t>. Pour chaque i</w:t>
      </w:r>
      <w:r w:rsidR="003C5C35" w:rsidRPr="00653BF4">
        <w:rPr>
          <w:lang w:val="fr-FR" w:eastAsia="ja-JP"/>
        </w:rPr>
        <w:t>ndicateur phare</w:t>
      </w:r>
      <w:r w:rsidRPr="00653BF4">
        <w:rPr>
          <w:lang w:val="fr-FR" w:eastAsia="ja-JP"/>
        </w:rPr>
        <w:t>, le Groupe consultatif scientifique et technique spécial a fourni des orientations sur les méthodes d</w:t>
      </w:r>
      <w:r w:rsidR="002A58C8" w:rsidRPr="00653BF4">
        <w:rPr>
          <w:lang w:val="fr-FR" w:eastAsia="ja-JP"/>
        </w:rPr>
        <w:t>’</w:t>
      </w:r>
      <w:r w:rsidRPr="00653BF4">
        <w:rPr>
          <w:lang w:val="fr-FR" w:eastAsia="ja-JP"/>
        </w:rPr>
        <w:t>agrégation utilisées pour mesurer les progrès collectifs. Cette méthodologie dépendait des métadonnées de chaque indicateur et était influencée par les variations entre les données communiquées par les Parties. Les méthodes d</w:t>
      </w:r>
      <w:r w:rsidR="002A58C8" w:rsidRPr="00653BF4">
        <w:rPr>
          <w:lang w:val="fr-FR" w:eastAsia="ja-JP"/>
        </w:rPr>
        <w:t>’</w:t>
      </w:r>
      <w:r w:rsidRPr="00653BF4">
        <w:rPr>
          <w:lang w:val="fr-FR" w:eastAsia="ja-JP"/>
        </w:rPr>
        <w:t>agrégation complètes figurent aux sections C et D de l</w:t>
      </w:r>
      <w:r w:rsidR="002A58C8" w:rsidRPr="00653BF4">
        <w:rPr>
          <w:lang w:val="fr-FR" w:eastAsia="ja-JP"/>
        </w:rPr>
        <w:t>’</w:t>
      </w:r>
      <w:r w:rsidRPr="00653BF4">
        <w:rPr>
          <w:lang w:val="fr-FR" w:eastAsia="ja-JP"/>
        </w:rPr>
        <w:t>annexe du document méthodologique, et une analyse des difficultés méthodologiques rencontrées est présentée dans l</w:t>
      </w:r>
      <w:r w:rsidR="002A58C8" w:rsidRPr="00653BF4">
        <w:rPr>
          <w:lang w:val="fr-FR" w:eastAsia="ja-JP"/>
        </w:rPr>
        <w:t>’</w:t>
      </w:r>
      <w:r w:rsidRPr="00653BF4">
        <w:rPr>
          <w:lang w:val="fr-FR" w:eastAsia="ja-JP"/>
        </w:rPr>
        <w:t>examen susmentionné de l</w:t>
      </w:r>
      <w:r w:rsidR="002A58C8" w:rsidRPr="00653BF4">
        <w:rPr>
          <w:lang w:val="fr-FR" w:eastAsia="ja-JP"/>
        </w:rPr>
        <w:t>’</w:t>
      </w:r>
      <w:r w:rsidRPr="00653BF4">
        <w:rPr>
          <w:lang w:val="fr-FR" w:eastAsia="ja-JP"/>
        </w:rPr>
        <w:t xml:space="preserve">utilisation des indicateurs dans les septièmes rapports nationaux </w:t>
      </w:r>
      <w:r w:rsidR="00D07A2B" w:rsidRPr="00653BF4">
        <w:rPr>
          <w:lang w:val="fr-FR" w:eastAsia="ja-JP"/>
        </w:rPr>
        <w:t>(</w:t>
      </w:r>
      <w:hyperlink r:id="rId30" w:history="1">
        <w:r w:rsidR="00D07A2B" w:rsidRPr="00653BF4">
          <w:rPr>
            <w:rStyle w:val="Hyperlink"/>
            <w:lang w:val="fr-FR" w:eastAsia="ja-JP"/>
          </w:rPr>
          <w:t>CBD/SBSTTA/28/INF/11</w:t>
        </w:r>
      </w:hyperlink>
      <w:r w:rsidR="00D07A2B" w:rsidRPr="00653BF4">
        <w:rPr>
          <w:lang w:val="fr-FR" w:eastAsia="ja-JP"/>
        </w:rPr>
        <w:t>)</w:t>
      </w:r>
      <w:r w:rsidR="00CA2793" w:rsidRPr="00653BF4">
        <w:rPr>
          <w:lang w:val="fr-FR" w:eastAsia="ja-JP"/>
        </w:rPr>
        <w:t>.</w:t>
      </w:r>
    </w:p>
    <w:p w14:paraId="08A6D5FC" w14:textId="51FB8D57" w:rsidR="008C0167" w:rsidRPr="00653BF4" w:rsidRDefault="00CB14BC" w:rsidP="006D4DF4">
      <w:pPr>
        <w:pStyle w:val="ListParagraph"/>
        <w:numPr>
          <w:ilvl w:val="0"/>
          <w:numId w:val="7"/>
        </w:numPr>
        <w:rPr>
          <w:lang w:val="fr-FR" w:eastAsia="ja-JP"/>
        </w:rPr>
      </w:pPr>
      <w:r w:rsidRPr="00653BF4">
        <w:rPr>
          <w:lang w:val="fr-FR" w:eastAsia="ja-JP"/>
        </w:rPr>
        <w:t>Une analyse des réponses fournies par les Parties dans leurs rapports nationaux pour les indicateurs binaires, présentée selon la méthodologie établie par le Groupe spécial d</w:t>
      </w:r>
      <w:r w:rsidR="002A58C8" w:rsidRPr="00653BF4">
        <w:rPr>
          <w:lang w:val="fr-FR" w:eastAsia="ja-JP"/>
        </w:rPr>
        <w:t>’</w:t>
      </w:r>
      <w:r w:rsidRPr="00653BF4">
        <w:rPr>
          <w:lang w:val="fr-FR" w:eastAsia="ja-JP"/>
        </w:rPr>
        <w:t>experts techniques sur les indicateurs du Cadre mondial de la biodiversité de Kunming-Montréal pour la biodiversité, afin d</w:t>
      </w:r>
      <w:r w:rsidR="002A58C8" w:rsidRPr="00653BF4">
        <w:rPr>
          <w:lang w:val="fr-FR" w:eastAsia="ja-JP"/>
        </w:rPr>
        <w:t>’</w:t>
      </w:r>
      <w:r w:rsidRPr="00653BF4">
        <w:rPr>
          <w:lang w:val="fr-FR" w:eastAsia="ja-JP"/>
        </w:rPr>
        <w:t>établir un score global de progrès</w:t>
      </w:r>
      <w:r w:rsidR="00F378AF" w:rsidRPr="00653BF4">
        <w:rPr>
          <w:lang w:val="fr-FR" w:eastAsia="ja-JP"/>
        </w:rPr>
        <w:t xml:space="preserve"> (</w:t>
      </w:r>
      <w:hyperlink r:id="rId31" w:history="1">
        <w:r w:rsidR="00F378AF" w:rsidRPr="00653BF4">
          <w:rPr>
            <w:rStyle w:val="Hyperlink"/>
            <w:lang w:val="fr-FR" w:eastAsia="ja-JP"/>
          </w:rPr>
          <w:t>CBD/COP/16/INF/3/Rev.1</w:t>
        </w:r>
      </w:hyperlink>
      <w:r w:rsidR="00F378AF" w:rsidRPr="00653BF4">
        <w:rPr>
          <w:lang w:val="fr-FR" w:eastAsia="ja-JP"/>
        </w:rPr>
        <w:t xml:space="preserve">). </w:t>
      </w:r>
      <w:r w:rsidR="00A461E7" w:rsidRPr="00653BF4">
        <w:rPr>
          <w:lang w:val="fr-FR" w:eastAsia="ja-JP"/>
        </w:rPr>
        <w:t>Ce score de progrès repose sur la combinaison des réponses apportées aux différentes questions et varie de 0 (aucune mesure mise en place) à 5 (toutes les mesures sont pleinement mises en œuvre)</w:t>
      </w:r>
      <w:r w:rsidR="00CA2793" w:rsidRPr="00653BF4">
        <w:rPr>
          <w:lang w:val="fr-FR" w:eastAsia="ja-JP"/>
        </w:rPr>
        <w:t>.</w:t>
      </w:r>
    </w:p>
    <w:p w14:paraId="0A5F8696" w14:textId="10F129B9" w:rsidR="00325015" w:rsidRPr="00653BF4" w:rsidRDefault="00E3772B" w:rsidP="00325015">
      <w:pPr>
        <w:pStyle w:val="ListParagraph"/>
        <w:numPr>
          <w:ilvl w:val="0"/>
          <w:numId w:val="7"/>
        </w:numPr>
        <w:rPr>
          <w:lang w:val="fr-FR" w:eastAsia="ja-JP"/>
        </w:rPr>
      </w:pPr>
      <w:r w:rsidRPr="00653BF4">
        <w:rPr>
          <w:lang w:val="fr-FR" w:eastAsia="ja-JP"/>
        </w:rPr>
        <w:t>Une analyse de l</w:t>
      </w:r>
      <w:r w:rsidR="002A58C8" w:rsidRPr="00653BF4">
        <w:rPr>
          <w:lang w:val="fr-FR" w:eastAsia="ja-JP"/>
        </w:rPr>
        <w:t>’</w:t>
      </w:r>
      <w:r w:rsidRPr="00653BF4">
        <w:rPr>
          <w:lang w:val="fr-FR" w:eastAsia="ja-JP"/>
        </w:rPr>
        <w:t>évolution de l</w:t>
      </w:r>
      <w:r w:rsidR="002A58C8" w:rsidRPr="00653BF4">
        <w:rPr>
          <w:lang w:val="fr-FR" w:eastAsia="ja-JP"/>
        </w:rPr>
        <w:t>’</w:t>
      </w:r>
      <w:r w:rsidRPr="00653BF4">
        <w:rPr>
          <w:lang w:val="fr-FR" w:eastAsia="ja-JP"/>
        </w:rPr>
        <w:t>ensemble des indicateurs quantitatifs relevant du cadre de suivi présentés par les Parties (</w:t>
      </w:r>
      <w:r w:rsidR="00163FDD" w:rsidRPr="00653BF4">
        <w:rPr>
          <w:lang w:val="fr-FR" w:eastAsia="ja-JP"/>
        </w:rPr>
        <w:t>indicateurs phares</w:t>
      </w:r>
      <w:r w:rsidRPr="00653BF4">
        <w:rPr>
          <w:lang w:val="fr-FR" w:eastAsia="ja-JP"/>
        </w:rPr>
        <w:t>, indicateurs de composante, indicateurs complémentaires et indicateurs nationaux) afin de déterminer si ces indicateurs évoluaient dans une direction favorable ou défavorable à la réalisation de chaque cible. Cette analyse s</w:t>
      </w:r>
      <w:r w:rsidR="002A58C8" w:rsidRPr="00653BF4">
        <w:rPr>
          <w:lang w:val="fr-FR" w:eastAsia="ja-JP"/>
        </w:rPr>
        <w:t>’</w:t>
      </w:r>
      <w:r w:rsidRPr="00653BF4">
        <w:rPr>
          <w:lang w:val="fr-FR" w:eastAsia="ja-JP"/>
        </w:rPr>
        <w:t>est appuyée sur une méthodologie (décrite à la section D de l</w:t>
      </w:r>
      <w:r w:rsidR="002A58C8" w:rsidRPr="00653BF4">
        <w:rPr>
          <w:lang w:val="fr-FR" w:eastAsia="ja-JP"/>
        </w:rPr>
        <w:t>’</w:t>
      </w:r>
      <w:r w:rsidRPr="00653BF4">
        <w:rPr>
          <w:lang w:val="fr-FR" w:eastAsia="ja-JP"/>
        </w:rPr>
        <w:t>annexe du document méthodologique) qui combinait les séries chronologiques de plusieurs indicateurs afin d</w:t>
      </w:r>
      <w:r w:rsidR="002A58C8" w:rsidRPr="00653BF4">
        <w:rPr>
          <w:lang w:val="fr-FR" w:eastAsia="ja-JP"/>
        </w:rPr>
        <w:t>’</w:t>
      </w:r>
      <w:r w:rsidRPr="00653BF4">
        <w:rPr>
          <w:lang w:val="fr-FR" w:eastAsia="ja-JP"/>
        </w:rPr>
        <w:t>obtenir un pourcentage global d</w:t>
      </w:r>
      <w:r w:rsidR="002A58C8" w:rsidRPr="00653BF4">
        <w:rPr>
          <w:lang w:val="fr-FR" w:eastAsia="ja-JP"/>
        </w:rPr>
        <w:t>’</w:t>
      </w:r>
      <w:r w:rsidRPr="00653BF4">
        <w:rPr>
          <w:lang w:val="fr-FR" w:eastAsia="ja-JP"/>
        </w:rPr>
        <w:t>indicateurs faisant état d</w:t>
      </w:r>
      <w:r w:rsidR="002A58C8" w:rsidRPr="00653BF4">
        <w:rPr>
          <w:lang w:val="fr-FR" w:eastAsia="ja-JP"/>
        </w:rPr>
        <w:t>’</w:t>
      </w:r>
      <w:r w:rsidRPr="00653BF4">
        <w:rPr>
          <w:lang w:val="fr-FR" w:eastAsia="ja-JP"/>
        </w:rPr>
        <w:t>une amélioration. Ce pourcentage a été pondéré en fonction du nombre d</w:t>
      </w:r>
      <w:r w:rsidR="002A58C8" w:rsidRPr="00653BF4">
        <w:rPr>
          <w:lang w:val="fr-FR" w:eastAsia="ja-JP"/>
        </w:rPr>
        <w:t>’</w:t>
      </w:r>
      <w:r w:rsidRPr="00653BF4">
        <w:rPr>
          <w:lang w:val="fr-FR" w:eastAsia="ja-JP"/>
        </w:rPr>
        <w:t>indicateurs présentés par chaque Partie pour une cible du Cadre, afin de garantir que toutes les Parties ayant présenté des données contribuent de manière égale aux progrès réalisés.</w:t>
      </w:r>
    </w:p>
    <w:p w14:paraId="61C9F62F" w14:textId="6B2EC8D7" w:rsidR="00B44A82" w:rsidRPr="00653BF4" w:rsidRDefault="00442337" w:rsidP="00B44A82">
      <w:pPr>
        <w:pStyle w:val="ListParagraph"/>
        <w:numPr>
          <w:ilvl w:val="0"/>
          <w:numId w:val="7"/>
        </w:numPr>
        <w:rPr>
          <w:lang w:val="fr-FR" w:eastAsia="ja-JP"/>
        </w:rPr>
      </w:pPr>
      <w:r w:rsidRPr="00653BF4">
        <w:rPr>
          <w:lang w:val="fr-FR" w:eastAsia="ja-JP"/>
        </w:rPr>
        <w:t>Une évaluation du niveau global des progrès auto-évalués par rapport à l</w:t>
      </w:r>
      <w:r w:rsidR="002A58C8" w:rsidRPr="00653BF4">
        <w:rPr>
          <w:lang w:val="fr-FR" w:eastAsia="ja-JP"/>
        </w:rPr>
        <w:t>’</w:t>
      </w:r>
      <w:r w:rsidRPr="00653BF4">
        <w:rPr>
          <w:lang w:val="fr-FR" w:eastAsia="ja-JP"/>
        </w:rPr>
        <w:t xml:space="preserve">ensemble des cibles nationales présentant un alignement élevé. Dans leurs soumissions relatives aux cibles nationales, les Parties ont été invitées à préciser à quelle(s) cible(s) du Cadre chaque cible nationale était alignée et, dans chaque cas, si cet alignement était faible, moyen ou élevé. Ces informations ont été utilisées afin de ne retenir que les cibles présentant un alignement élevé (de plus amples </w:t>
      </w:r>
      <w:r w:rsidRPr="00653BF4">
        <w:rPr>
          <w:lang w:val="fr-FR" w:eastAsia="ja-JP"/>
        </w:rPr>
        <w:lastRenderedPageBreak/>
        <w:t>informations à cet égard figurent à la section E de l</w:t>
      </w:r>
      <w:r w:rsidR="002A58C8" w:rsidRPr="00653BF4">
        <w:rPr>
          <w:lang w:val="fr-FR" w:eastAsia="ja-JP"/>
        </w:rPr>
        <w:t>’</w:t>
      </w:r>
      <w:r w:rsidRPr="00653BF4">
        <w:rPr>
          <w:lang w:val="fr-FR" w:eastAsia="ja-JP"/>
        </w:rPr>
        <w:t xml:space="preserve">annexe du document méthodologique). Dans leurs rapports nationaux, les Parties ont utilisé une échelle de Likert, comportant des catégories allant de </w:t>
      </w:r>
      <w:r w:rsidR="00E34DC9">
        <w:rPr>
          <w:lang w:val="fr-FR" w:eastAsia="ja-JP"/>
        </w:rPr>
        <w:t>« </w:t>
      </w:r>
      <w:r w:rsidRPr="00653BF4">
        <w:rPr>
          <w:lang w:val="fr-FR" w:eastAsia="ja-JP"/>
        </w:rPr>
        <w:t>aucun changement</w:t>
      </w:r>
      <w:r w:rsidR="00E34DC9">
        <w:rPr>
          <w:lang w:val="fr-FR" w:eastAsia="ja-JP"/>
        </w:rPr>
        <w:t> »</w:t>
      </w:r>
      <w:r w:rsidRPr="00653BF4">
        <w:rPr>
          <w:lang w:val="fr-FR" w:eastAsia="ja-JP"/>
        </w:rPr>
        <w:t xml:space="preserve"> à </w:t>
      </w:r>
      <w:r w:rsidR="00E34DC9">
        <w:rPr>
          <w:lang w:val="fr-FR" w:eastAsia="ja-JP"/>
        </w:rPr>
        <w:t>« </w:t>
      </w:r>
      <w:r w:rsidRPr="00653BF4">
        <w:rPr>
          <w:lang w:val="fr-FR" w:eastAsia="ja-JP"/>
        </w:rPr>
        <w:t>atteint</w:t>
      </w:r>
      <w:r w:rsidR="00E34DC9">
        <w:rPr>
          <w:lang w:val="fr-FR" w:eastAsia="ja-JP"/>
        </w:rPr>
        <w:t> »</w:t>
      </w:r>
      <w:r w:rsidRPr="00653BF4">
        <w:rPr>
          <w:lang w:val="fr-FR" w:eastAsia="ja-JP"/>
        </w:rPr>
        <w:t>, pour classer leurs propres estimations des progrès réalisés par rapport aux cibles nationales. Sur cette base, on a calculé le pourcentage de cibles nationales dans chaque catégorie de progrès, pondéré par Partie afin d</w:t>
      </w:r>
      <w:r w:rsidR="002A58C8" w:rsidRPr="00653BF4">
        <w:rPr>
          <w:lang w:val="fr-FR" w:eastAsia="ja-JP"/>
        </w:rPr>
        <w:t>’</w:t>
      </w:r>
      <w:r w:rsidRPr="00653BF4">
        <w:rPr>
          <w:lang w:val="fr-FR" w:eastAsia="ja-JP"/>
        </w:rPr>
        <w:t>assurer l</w:t>
      </w:r>
      <w:r w:rsidR="002A58C8" w:rsidRPr="00653BF4">
        <w:rPr>
          <w:lang w:val="fr-FR" w:eastAsia="ja-JP"/>
        </w:rPr>
        <w:t>’</w:t>
      </w:r>
      <w:r w:rsidRPr="00653BF4">
        <w:rPr>
          <w:lang w:val="fr-FR" w:eastAsia="ja-JP"/>
        </w:rPr>
        <w:t>égalisation des contributions des Parties ayant de nombreuses cibles avec celles des Parties ayant peu de cibles</w:t>
      </w:r>
      <w:r w:rsidR="00CA2793" w:rsidRPr="00653BF4">
        <w:rPr>
          <w:lang w:val="fr-FR" w:eastAsia="ja-JP"/>
        </w:rPr>
        <w:t>.</w:t>
      </w:r>
    </w:p>
    <w:p w14:paraId="34C076F3" w14:textId="5EE430FA" w:rsidR="005D4AA9" w:rsidRPr="00653BF4" w:rsidRDefault="002167EE" w:rsidP="005D4AA9">
      <w:pPr>
        <w:pStyle w:val="ListParagraph"/>
        <w:numPr>
          <w:ilvl w:val="0"/>
          <w:numId w:val="7"/>
        </w:numPr>
        <w:rPr>
          <w:lang w:val="fr-FR" w:eastAsia="ja-JP"/>
        </w:rPr>
      </w:pPr>
      <w:r w:rsidRPr="00653BF4">
        <w:rPr>
          <w:lang w:val="fr-FR" w:eastAsia="ja-JP"/>
        </w:rPr>
        <w:t>Une analyse des composantes textuelles des rapports nationaux, entreprise au moyen d</w:t>
      </w:r>
      <w:r w:rsidR="002A58C8" w:rsidRPr="00653BF4">
        <w:rPr>
          <w:lang w:val="fr-FR" w:eastAsia="ja-JP"/>
        </w:rPr>
        <w:t>’</w:t>
      </w:r>
      <w:r w:rsidRPr="00653BF4">
        <w:rPr>
          <w:lang w:val="fr-FR" w:eastAsia="ja-JP"/>
        </w:rPr>
        <w:t>une analyse sémantique des sections pertinentes desdits rapports. Cette analyse s</w:t>
      </w:r>
      <w:r w:rsidR="002A58C8" w:rsidRPr="00653BF4">
        <w:rPr>
          <w:lang w:val="fr-FR" w:eastAsia="ja-JP"/>
        </w:rPr>
        <w:t>’</w:t>
      </w:r>
      <w:r w:rsidRPr="00653BF4">
        <w:rPr>
          <w:lang w:val="fr-FR" w:eastAsia="ja-JP"/>
        </w:rPr>
        <w:t>est appuyée sur l</w:t>
      </w:r>
      <w:r w:rsidR="002A58C8" w:rsidRPr="00653BF4">
        <w:rPr>
          <w:lang w:val="fr-FR" w:eastAsia="ja-JP"/>
        </w:rPr>
        <w:t>’</w:t>
      </w:r>
      <w:r w:rsidRPr="00653BF4">
        <w:rPr>
          <w:lang w:val="fr-FR" w:eastAsia="ja-JP"/>
        </w:rPr>
        <w:t>extraction structurée de données, le traitement sémantique, la recherche de données factuelles s</w:t>
      </w:r>
      <w:r w:rsidR="002A58C8" w:rsidRPr="00653BF4">
        <w:rPr>
          <w:lang w:val="fr-FR" w:eastAsia="ja-JP"/>
        </w:rPr>
        <w:t>’</w:t>
      </w:r>
      <w:r w:rsidRPr="00653BF4">
        <w:rPr>
          <w:lang w:val="fr-FR" w:eastAsia="ja-JP"/>
        </w:rPr>
        <w:t>appuyant sur une ontologie et une analyse assistée par un modèle linguistique de grande envergure, suivies d</w:t>
      </w:r>
      <w:r w:rsidR="002A58C8" w:rsidRPr="00653BF4">
        <w:rPr>
          <w:lang w:val="fr-FR" w:eastAsia="ja-JP"/>
        </w:rPr>
        <w:t>’</w:t>
      </w:r>
      <w:r w:rsidRPr="00653BF4">
        <w:rPr>
          <w:lang w:val="fr-FR" w:eastAsia="ja-JP"/>
        </w:rPr>
        <w:t>une vérification et d</w:t>
      </w:r>
      <w:r w:rsidR="002A58C8" w:rsidRPr="00653BF4">
        <w:rPr>
          <w:lang w:val="fr-FR" w:eastAsia="ja-JP"/>
        </w:rPr>
        <w:t>’</w:t>
      </w:r>
      <w:r w:rsidRPr="00653BF4">
        <w:rPr>
          <w:lang w:val="fr-FR" w:eastAsia="ja-JP"/>
        </w:rPr>
        <w:t>une validation. La méthodologie détaillée de cette approche figure à la section F de l</w:t>
      </w:r>
      <w:r w:rsidR="002A58C8" w:rsidRPr="00653BF4">
        <w:rPr>
          <w:lang w:val="fr-FR" w:eastAsia="ja-JP"/>
        </w:rPr>
        <w:t>’</w:t>
      </w:r>
      <w:r w:rsidRPr="00653BF4">
        <w:rPr>
          <w:lang w:val="fr-FR" w:eastAsia="ja-JP"/>
        </w:rPr>
        <w:t>annexe du document méthodologique. En outre, des études de cas illustrant des exemples de réussite et de progrès dans la mise en œuvre (voir la section G de l</w:t>
      </w:r>
      <w:r w:rsidR="002A58C8" w:rsidRPr="00653BF4">
        <w:rPr>
          <w:lang w:val="fr-FR" w:eastAsia="ja-JP"/>
        </w:rPr>
        <w:t>’</w:t>
      </w:r>
      <w:r w:rsidRPr="00653BF4">
        <w:rPr>
          <w:lang w:val="fr-FR" w:eastAsia="ja-JP"/>
        </w:rPr>
        <w:t>annexe du document méthodologique) ont été identifiées et élaborées conjointement avec les correspondants des Parties et les organisations compétentes.</w:t>
      </w:r>
    </w:p>
    <w:p w14:paraId="66E03FDA" w14:textId="2BCABBC7" w:rsidR="00A514DB" w:rsidRPr="00653BF4" w:rsidRDefault="00E43C8A" w:rsidP="00A514DB">
      <w:pPr>
        <w:pStyle w:val="ListParagraph"/>
        <w:numPr>
          <w:ilvl w:val="0"/>
          <w:numId w:val="7"/>
        </w:numPr>
        <w:rPr>
          <w:lang w:val="fr-FR" w:eastAsia="ja-JP"/>
        </w:rPr>
      </w:pPr>
      <w:r w:rsidRPr="00653BF4">
        <w:rPr>
          <w:lang w:val="fr-FR" w:eastAsia="ja-JP"/>
        </w:rPr>
        <w:t>Une synthèse des contributions des acteurs autres que les gouvernements nationaux, comprenant</w:t>
      </w:r>
      <w:r w:rsidR="00E34DC9">
        <w:rPr>
          <w:lang w:val="fr-FR" w:eastAsia="ja-JP"/>
        </w:rPr>
        <w:t> :</w:t>
      </w:r>
      <w:r w:rsidRPr="00653BF4">
        <w:rPr>
          <w:lang w:val="fr-FR" w:eastAsia="ja-JP"/>
        </w:rPr>
        <w:t xml:space="preserve"> a) une analyse textuelle, par intelligence artificielle guidée par des consignes, des engagements pris directement via l</w:t>
      </w:r>
      <w:r w:rsidR="002A58C8" w:rsidRPr="00653BF4">
        <w:rPr>
          <w:lang w:val="fr-FR" w:eastAsia="ja-JP"/>
        </w:rPr>
        <w:t>’</w:t>
      </w:r>
      <w:r w:rsidRPr="00653BF4">
        <w:rPr>
          <w:lang w:val="fr-FR" w:eastAsia="ja-JP"/>
        </w:rPr>
        <w:t>outil d</w:t>
      </w:r>
      <w:r w:rsidR="002A58C8" w:rsidRPr="00653BF4">
        <w:rPr>
          <w:lang w:val="fr-FR" w:eastAsia="ja-JP"/>
        </w:rPr>
        <w:t>’</w:t>
      </w:r>
      <w:r w:rsidRPr="00653BF4">
        <w:rPr>
          <w:lang w:val="fr-FR" w:eastAsia="ja-JP"/>
        </w:rPr>
        <w:t>établissement de rapports en ligne de la Convention (voir la section B de l</w:t>
      </w:r>
      <w:r w:rsidR="002A58C8" w:rsidRPr="00653BF4">
        <w:rPr>
          <w:lang w:val="fr-FR" w:eastAsia="ja-JP"/>
        </w:rPr>
        <w:t>’</w:t>
      </w:r>
      <w:r w:rsidRPr="00653BF4">
        <w:rPr>
          <w:lang w:val="fr-FR" w:eastAsia="ja-JP"/>
        </w:rPr>
        <w:t xml:space="preserve">annexe au document méthodologique) et b) un </w:t>
      </w:r>
      <w:r w:rsidR="00422EC7" w:rsidRPr="00653BF4">
        <w:rPr>
          <w:lang w:val="fr-FR" w:eastAsia="ja-JP"/>
        </w:rPr>
        <w:t>résumé</w:t>
      </w:r>
      <w:r w:rsidRPr="00653BF4">
        <w:rPr>
          <w:lang w:val="fr-FR" w:eastAsia="ja-JP"/>
        </w:rPr>
        <w:t xml:space="preserve"> des contributions de ces acteurs, telles que décrites par les Parties dans leurs rapports nationaux.</w:t>
      </w:r>
    </w:p>
    <w:p w14:paraId="7E3062E7" w14:textId="04C4CD64" w:rsidR="00085BD3" w:rsidRPr="00653BF4" w:rsidRDefault="00A91535" w:rsidP="00085BD3">
      <w:pPr>
        <w:pStyle w:val="ListParagraph"/>
        <w:numPr>
          <w:ilvl w:val="0"/>
          <w:numId w:val="7"/>
        </w:numPr>
        <w:rPr>
          <w:lang w:val="fr-FR" w:eastAsia="ja-JP"/>
        </w:rPr>
      </w:pPr>
      <w:r w:rsidRPr="00653BF4">
        <w:rPr>
          <w:lang w:val="fr-FR" w:eastAsia="ja-JP"/>
        </w:rPr>
        <w:t>Une synthèse des autres contributions reçues en réponse aux demandes d</w:t>
      </w:r>
      <w:r w:rsidR="002A58C8" w:rsidRPr="00653BF4">
        <w:rPr>
          <w:lang w:val="fr-FR" w:eastAsia="ja-JP"/>
        </w:rPr>
        <w:t>’</w:t>
      </w:r>
      <w:r w:rsidRPr="00653BF4">
        <w:rPr>
          <w:lang w:val="fr-FR" w:eastAsia="ja-JP"/>
        </w:rPr>
        <w:t>informations concernant des études de cas sur les savoirs traditionnels, les innovations, les pratiques et les technologies pertinents des peuples autochtones et communautés locales, ainsi que d</w:t>
      </w:r>
      <w:r w:rsidR="002A58C8" w:rsidRPr="00653BF4">
        <w:rPr>
          <w:lang w:val="fr-FR" w:eastAsia="ja-JP"/>
        </w:rPr>
        <w:t>’</w:t>
      </w:r>
      <w:r w:rsidRPr="00653BF4">
        <w:rPr>
          <w:lang w:val="fr-FR" w:eastAsia="ja-JP"/>
        </w:rPr>
        <w:t>autres informations sur les activités visant à associer les peuples autochtones et communautés locales et à leur fournir un appui dans la mise en œuvre du Cadre</w:t>
      </w:r>
      <w:r w:rsidR="00E34DC9">
        <w:rPr>
          <w:lang w:val="fr-FR" w:eastAsia="ja-JP"/>
        </w:rPr>
        <w:t> ;</w:t>
      </w:r>
      <w:r w:rsidRPr="00653BF4">
        <w:rPr>
          <w:lang w:val="fr-FR" w:eastAsia="ja-JP"/>
        </w:rPr>
        <w:t xml:space="preserve"> et sur les contributions des secrétariats d</w:t>
      </w:r>
      <w:r w:rsidR="002A58C8" w:rsidRPr="00653BF4">
        <w:rPr>
          <w:lang w:val="fr-FR" w:eastAsia="ja-JP"/>
        </w:rPr>
        <w:t>’</w:t>
      </w:r>
      <w:r w:rsidRPr="00653BF4">
        <w:rPr>
          <w:lang w:val="fr-FR" w:eastAsia="ja-JP"/>
        </w:rPr>
        <w:t>autres accords multilatéraux sur l</w:t>
      </w:r>
      <w:r w:rsidR="002A58C8" w:rsidRPr="00653BF4">
        <w:rPr>
          <w:lang w:val="fr-FR" w:eastAsia="ja-JP"/>
        </w:rPr>
        <w:t>’</w:t>
      </w:r>
      <w:r w:rsidRPr="00653BF4">
        <w:rPr>
          <w:lang w:val="fr-FR" w:eastAsia="ja-JP"/>
        </w:rPr>
        <w:t>environnement pertinents, ainsi que d</w:t>
      </w:r>
      <w:r w:rsidR="002A58C8" w:rsidRPr="00653BF4">
        <w:rPr>
          <w:lang w:val="fr-FR" w:eastAsia="ja-JP"/>
        </w:rPr>
        <w:t>’</w:t>
      </w:r>
      <w:r w:rsidRPr="00653BF4">
        <w:rPr>
          <w:lang w:val="fr-FR" w:eastAsia="ja-JP"/>
        </w:rPr>
        <w:t>autres organisations compétentes et processus concernés.</w:t>
      </w:r>
    </w:p>
    <w:p w14:paraId="62DFE0AC" w14:textId="68947169" w:rsidR="00B50240" w:rsidRPr="00653BF4" w:rsidRDefault="008D762C" w:rsidP="006F0B7F">
      <w:pPr>
        <w:ind w:left="360"/>
        <w:rPr>
          <w:lang w:val="fr-FR" w:eastAsia="ja-JP"/>
        </w:rPr>
      </w:pPr>
      <w:r w:rsidRPr="00653BF4">
        <w:rPr>
          <w:lang w:val="fr-FR" w:eastAsia="ja-JP"/>
        </w:rPr>
        <w:t>À l</w:t>
      </w:r>
      <w:r w:rsidR="002A58C8" w:rsidRPr="00653BF4">
        <w:rPr>
          <w:lang w:val="fr-FR" w:eastAsia="ja-JP"/>
        </w:rPr>
        <w:t>’</w:t>
      </w:r>
      <w:r w:rsidRPr="00653BF4">
        <w:rPr>
          <w:lang w:val="fr-FR" w:eastAsia="ja-JP"/>
        </w:rPr>
        <w:t xml:space="preserve">instar de la </w:t>
      </w:r>
      <w:r w:rsidR="002878D7">
        <w:rPr>
          <w:lang w:val="fr-FR" w:eastAsia="ja-JP"/>
        </w:rPr>
        <w:t>section I</w:t>
      </w:r>
      <w:r w:rsidRPr="00653BF4">
        <w:rPr>
          <w:lang w:val="fr-FR" w:eastAsia="ja-JP"/>
        </w:rPr>
        <w:t xml:space="preserve">I.B du rapport mondial, la </w:t>
      </w:r>
      <w:r w:rsidR="002878D7">
        <w:rPr>
          <w:lang w:val="fr-FR" w:eastAsia="ja-JP"/>
        </w:rPr>
        <w:t>section I</w:t>
      </w:r>
      <w:r w:rsidRPr="00653BF4">
        <w:rPr>
          <w:lang w:val="fr-FR" w:eastAsia="ja-JP"/>
        </w:rPr>
        <w:t>I.C suit une méthodologie systématique élaborée en concertation avec l</w:t>
      </w:r>
      <w:r w:rsidR="002A58C8" w:rsidRPr="00653BF4">
        <w:rPr>
          <w:lang w:val="fr-FR" w:eastAsia="ja-JP"/>
        </w:rPr>
        <w:t>’</w:t>
      </w:r>
      <w:r w:rsidRPr="00653BF4">
        <w:rPr>
          <w:lang w:val="fr-FR" w:eastAsia="ja-JP"/>
        </w:rPr>
        <w:t>AHSTAG pour l</w:t>
      </w:r>
      <w:r w:rsidR="002A58C8" w:rsidRPr="00653BF4">
        <w:rPr>
          <w:lang w:val="fr-FR" w:eastAsia="ja-JP"/>
        </w:rPr>
        <w:t>’</w:t>
      </w:r>
      <w:r w:rsidRPr="00653BF4">
        <w:rPr>
          <w:lang w:val="fr-FR" w:eastAsia="ja-JP"/>
        </w:rPr>
        <w:t>ensemble des objectifs du Cadre. Pour chaque objectif, le rapport contient</w:t>
      </w:r>
      <w:r w:rsidR="00E34DC9">
        <w:rPr>
          <w:lang w:val="fr-FR" w:eastAsia="ja-JP"/>
        </w:rPr>
        <w:t> :</w:t>
      </w:r>
    </w:p>
    <w:p w14:paraId="411D5594" w14:textId="3AF9E4E9" w:rsidR="00B50240" w:rsidRPr="00653BF4" w:rsidRDefault="00552934" w:rsidP="00B50240">
      <w:pPr>
        <w:pStyle w:val="ListParagraph"/>
        <w:numPr>
          <w:ilvl w:val="0"/>
          <w:numId w:val="7"/>
        </w:numPr>
        <w:rPr>
          <w:lang w:val="fr-FR" w:eastAsia="ja-JP"/>
        </w:rPr>
      </w:pPr>
      <w:r w:rsidRPr="00653BF4">
        <w:rPr>
          <w:lang w:val="fr-FR" w:eastAsia="ja-JP"/>
        </w:rPr>
        <w:lastRenderedPageBreak/>
        <w:t xml:space="preserve">Une analyse de la manière dont les Parties établissent un lien entre les cibles du Cadre et les objectifs dans le cadre de leur mise en œuvre nationale du Cadre. Cette analyse a été réalisée sur la base des cibles nationales présentées par les Parties, qui établissaient un lien entre les objectifs du Cadre et ces cibles. Le pourcentage, pondéré en fonction de chaque Partie, des cibles nationales associant une cible du Cadre à un </w:t>
      </w:r>
      <w:r w:rsidR="002878D7">
        <w:rPr>
          <w:lang w:val="fr-FR" w:eastAsia="ja-JP"/>
        </w:rPr>
        <w:t>objectif A</w:t>
      </w:r>
      <w:r w:rsidRPr="00653BF4">
        <w:rPr>
          <w:lang w:val="fr-FR" w:eastAsia="ja-JP"/>
        </w:rPr>
        <w:t xml:space="preserve"> été utilisé pour identifier les cibles du Cadre les plus étroitement liées à chaque objectif. La méthodologie détaillée de cette approche figure à la division H de l</w:t>
      </w:r>
      <w:r w:rsidR="002A58C8" w:rsidRPr="00653BF4">
        <w:rPr>
          <w:lang w:val="fr-FR" w:eastAsia="ja-JP"/>
        </w:rPr>
        <w:t>’</w:t>
      </w:r>
      <w:r w:rsidRPr="00653BF4">
        <w:rPr>
          <w:lang w:val="fr-FR" w:eastAsia="ja-JP"/>
        </w:rPr>
        <w:t>annexe du document méthodologique</w:t>
      </w:r>
    </w:p>
    <w:p w14:paraId="556DBD1A" w14:textId="394A110A" w:rsidR="00482C7D" w:rsidRPr="00653BF4" w:rsidRDefault="00D701AB" w:rsidP="00482C7D">
      <w:pPr>
        <w:pStyle w:val="ListParagraph"/>
        <w:numPr>
          <w:ilvl w:val="0"/>
          <w:numId w:val="7"/>
        </w:numPr>
        <w:rPr>
          <w:lang w:val="fr-FR" w:eastAsia="ja-JP"/>
        </w:rPr>
      </w:pPr>
      <w:r w:rsidRPr="00653BF4">
        <w:rPr>
          <w:lang w:val="fr-FR" w:eastAsia="ja-JP"/>
        </w:rPr>
        <w:t xml:space="preserve">La même analyse des indicateurs (utilisation, état et tendances) que celle présentée </w:t>
      </w:r>
      <w:r w:rsidR="00553F7B" w:rsidRPr="00653BF4">
        <w:rPr>
          <w:lang w:val="fr-FR" w:eastAsia="ja-JP"/>
        </w:rPr>
        <w:t xml:space="preserve">dans </w:t>
      </w:r>
      <w:r w:rsidRPr="00653BF4">
        <w:rPr>
          <w:lang w:val="fr-FR" w:eastAsia="ja-JP"/>
        </w:rPr>
        <w:t xml:space="preserve">la </w:t>
      </w:r>
      <w:r w:rsidR="002878D7">
        <w:rPr>
          <w:lang w:val="fr-FR" w:eastAsia="ja-JP"/>
        </w:rPr>
        <w:t>section I</w:t>
      </w:r>
      <w:r w:rsidRPr="00653BF4">
        <w:rPr>
          <w:lang w:val="fr-FR" w:eastAsia="ja-JP"/>
        </w:rPr>
        <w:t>I.B</w:t>
      </w:r>
      <w:r w:rsidR="00953998" w:rsidRPr="00653BF4">
        <w:rPr>
          <w:lang w:val="fr-FR" w:eastAsia="ja-JP"/>
        </w:rPr>
        <w:t>.</w:t>
      </w:r>
    </w:p>
    <w:p w14:paraId="014C999A" w14:textId="2C30A856" w:rsidR="00A67B1D" w:rsidRPr="00653BF4" w:rsidRDefault="008A4F4E" w:rsidP="00A67B1D">
      <w:pPr>
        <w:pStyle w:val="ListParagraph"/>
        <w:numPr>
          <w:ilvl w:val="0"/>
          <w:numId w:val="7"/>
        </w:numPr>
        <w:rPr>
          <w:lang w:val="fr-FR" w:eastAsia="ja-JP"/>
        </w:rPr>
      </w:pPr>
      <w:r w:rsidRPr="00653BF4">
        <w:rPr>
          <w:lang w:val="fr-FR" w:eastAsia="ja-JP"/>
        </w:rPr>
        <w:t>Une analyse des types d</w:t>
      </w:r>
      <w:r w:rsidR="002A58C8" w:rsidRPr="00653BF4">
        <w:rPr>
          <w:lang w:val="fr-FR" w:eastAsia="ja-JP"/>
        </w:rPr>
        <w:t>’</w:t>
      </w:r>
      <w:r w:rsidRPr="00653BF4">
        <w:rPr>
          <w:lang w:val="fr-FR" w:eastAsia="ja-JP"/>
        </w:rPr>
        <w:t>actions menées en vue de progresser vers la réalisation des objectifs du Cadre, telles que communiquées par les Parties. Cette analyse a été entreprise au moyen d</w:t>
      </w:r>
      <w:r w:rsidR="002A58C8" w:rsidRPr="00653BF4">
        <w:rPr>
          <w:lang w:val="fr-FR" w:eastAsia="ja-JP"/>
        </w:rPr>
        <w:t>’</w:t>
      </w:r>
      <w:r w:rsidRPr="00653BF4">
        <w:rPr>
          <w:lang w:val="fr-FR" w:eastAsia="ja-JP"/>
        </w:rPr>
        <w:t>une analyse sémantique des sections pertinentes des rapports nationaux, s</w:t>
      </w:r>
      <w:r w:rsidR="002A58C8" w:rsidRPr="00653BF4">
        <w:rPr>
          <w:lang w:val="fr-FR" w:eastAsia="ja-JP"/>
        </w:rPr>
        <w:t>’</w:t>
      </w:r>
      <w:r w:rsidRPr="00653BF4">
        <w:rPr>
          <w:lang w:val="fr-FR" w:eastAsia="ja-JP"/>
        </w:rPr>
        <w:t>appuyant sur l</w:t>
      </w:r>
      <w:r w:rsidR="002A58C8" w:rsidRPr="00653BF4">
        <w:rPr>
          <w:lang w:val="fr-FR" w:eastAsia="ja-JP"/>
        </w:rPr>
        <w:t>’</w:t>
      </w:r>
      <w:r w:rsidRPr="00653BF4">
        <w:rPr>
          <w:lang w:val="fr-FR" w:eastAsia="ja-JP"/>
        </w:rPr>
        <w:t>extraction structurée de données, le traitement sémantique, la recherche de données factuelles à l</w:t>
      </w:r>
      <w:r w:rsidR="002A58C8" w:rsidRPr="00653BF4">
        <w:rPr>
          <w:lang w:val="fr-FR" w:eastAsia="ja-JP"/>
        </w:rPr>
        <w:t>’</w:t>
      </w:r>
      <w:r w:rsidRPr="00653BF4">
        <w:rPr>
          <w:lang w:val="fr-FR" w:eastAsia="ja-JP"/>
        </w:rPr>
        <w:t>aide d</w:t>
      </w:r>
      <w:r w:rsidR="002A58C8" w:rsidRPr="00653BF4">
        <w:rPr>
          <w:lang w:val="fr-FR" w:eastAsia="ja-JP"/>
        </w:rPr>
        <w:t>’</w:t>
      </w:r>
      <w:r w:rsidRPr="00653BF4">
        <w:rPr>
          <w:lang w:val="fr-FR" w:eastAsia="ja-JP"/>
        </w:rPr>
        <w:t>ontologies et l</w:t>
      </w:r>
      <w:r w:rsidR="002A58C8" w:rsidRPr="00653BF4">
        <w:rPr>
          <w:lang w:val="fr-FR" w:eastAsia="ja-JP"/>
        </w:rPr>
        <w:t>’</w:t>
      </w:r>
      <w:r w:rsidRPr="00653BF4">
        <w:rPr>
          <w:lang w:val="fr-FR" w:eastAsia="ja-JP"/>
        </w:rPr>
        <w:t>analyse assistée par des modèles linguistiques à grande échelle, suivie d</w:t>
      </w:r>
      <w:r w:rsidR="002A58C8" w:rsidRPr="00653BF4">
        <w:rPr>
          <w:lang w:val="fr-FR" w:eastAsia="ja-JP"/>
        </w:rPr>
        <w:t>’</w:t>
      </w:r>
      <w:r w:rsidRPr="00653BF4">
        <w:rPr>
          <w:lang w:val="fr-FR" w:eastAsia="ja-JP"/>
        </w:rPr>
        <w:t>une vérification et d</w:t>
      </w:r>
      <w:r w:rsidR="002A58C8" w:rsidRPr="00653BF4">
        <w:rPr>
          <w:lang w:val="fr-FR" w:eastAsia="ja-JP"/>
        </w:rPr>
        <w:t>’</w:t>
      </w:r>
      <w:r w:rsidRPr="00653BF4">
        <w:rPr>
          <w:lang w:val="fr-FR" w:eastAsia="ja-JP"/>
        </w:rPr>
        <w:t>une validation. La méthodologie détaillée de cette approche figure à la section F de l</w:t>
      </w:r>
      <w:r w:rsidR="002A58C8" w:rsidRPr="00653BF4">
        <w:rPr>
          <w:lang w:val="fr-FR" w:eastAsia="ja-JP"/>
        </w:rPr>
        <w:t>’</w:t>
      </w:r>
      <w:r w:rsidRPr="00653BF4">
        <w:rPr>
          <w:lang w:val="fr-FR" w:eastAsia="ja-JP"/>
        </w:rPr>
        <w:t>annexe du document méthodologique.</w:t>
      </w:r>
    </w:p>
    <w:p w14:paraId="53DADDF9" w14:textId="704FC7A1" w:rsidR="00B04839" w:rsidRPr="00653BF4" w:rsidRDefault="005A501D" w:rsidP="00B04839">
      <w:pPr>
        <w:rPr>
          <w:lang w:val="fr-FR" w:eastAsia="ja-JP"/>
        </w:rPr>
      </w:pPr>
      <w:r w:rsidRPr="00653BF4">
        <w:rPr>
          <w:lang w:val="fr-FR" w:eastAsia="ja-JP"/>
        </w:rPr>
        <w:t xml:space="preserve">La </w:t>
      </w:r>
      <w:r w:rsidR="002878D7">
        <w:rPr>
          <w:lang w:val="fr-FR" w:eastAsia="ja-JP"/>
        </w:rPr>
        <w:t>section I</w:t>
      </w:r>
      <w:r w:rsidRPr="00653BF4">
        <w:rPr>
          <w:lang w:val="fr-FR" w:eastAsia="ja-JP"/>
        </w:rPr>
        <w:t>I.D du rapport utilise une recherche structurée par mots-clés s</w:t>
      </w:r>
      <w:r w:rsidR="002A58C8" w:rsidRPr="00653BF4">
        <w:rPr>
          <w:lang w:val="fr-FR" w:eastAsia="ja-JP"/>
        </w:rPr>
        <w:t>’</w:t>
      </w:r>
      <w:r w:rsidRPr="00653BF4">
        <w:rPr>
          <w:lang w:val="fr-FR" w:eastAsia="ja-JP"/>
        </w:rPr>
        <w:t>appuyant sur une typologie préexistante de termes liés aux moyens de mise en œuvre (</w:t>
      </w:r>
      <w:hyperlink r:id="rId32" w:history="1">
        <w:r w:rsidRPr="00653BF4">
          <w:rPr>
            <w:rStyle w:val="Hyperlink"/>
            <w:lang w:val="fr-FR" w:eastAsia="ja-JP"/>
          </w:rPr>
          <w:t>CBD/SBI/6/INF/5</w:t>
        </w:r>
      </w:hyperlink>
      <w:r w:rsidRPr="00653BF4">
        <w:rPr>
          <w:lang w:val="fr-FR" w:eastAsia="ja-JP"/>
        </w:rPr>
        <w:t>). Cette approche de traitement du langage naturel a été appliquée au texte de tous les rapports nationaux inclus dans le rapport mondial</w:t>
      </w:r>
      <w:r w:rsidR="00E34DC9">
        <w:rPr>
          <w:lang w:val="fr-FR" w:eastAsia="ja-JP"/>
        </w:rPr>
        <w:t> ;</w:t>
      </w:r>
      <w:r w:rsidRPr="00653BF4">
        <w:rPr>
          <w:lang w:val="fr-FR" w:eastAsia="ja-JP"/>
        </w:rPr>
        <w:t xml:space="preserve"> les résultats ont ensuite été synthétisés puis validés à l</w:t>
      </w:r>
      <w:r w:rsidR="002A58C8" w:rsidRPr="00653BF4">
        <w:rPr>
          <w:lang w:val="fr-FR" w:eastAsia="ja-JP"/>
        </w:rPr>
        <w:t>’</w:t>
      </w:r>
      <w:r w:rsidRPr="00653BF4">
        <w:rPr>
          <w:lang w:val="fr-FR" w:eastAsia="ja-JP"/>
        </w:rPr>
        <w:t>aide d</w:t>
      </w:r>
      <w:r w:rsidR="002A58C8" w:rsidRPr="00653BF4">
        <w:rPr>
          <w:lang w:val="fr-FR" w:eastAsia="ja-JP"/>
        </w:rPr>
        <w:t>’</w:t>
      </w:r>
      <w:r w:rsidRPr="00653BF4">
        <w:rPr>
          <w:lang w:val="fr-FR" w:eastAsia="ja-JP"/>
        </w:rPr>
        <w:t xml:space="preserve">une analyse sémantique et de vérifications manuelles. La méthodologie détaillée de cette approche figure à la </w:t>
      </w:r>
      <w:r w:rsidR="002878D7">
        <w:rPr>
          <w:lang w:val="fr-FR" w:eastAsia="ja-JP"/>
        </w:rPr>
        <w:t>section I</w:t>
      </w:r>
      <w:r w:rsidRPr="00653BF4">
        <w:rPr>
          <w:lang w:val="fr-FR" w:eastAsia="ja-JP"/>
        </w:rPr>
        <w:t xml:space="preserve"> de l</w:t>
      </w:r>
      <w:r w:rsidR="002A58C8" w:rsidRPr="00653BF4">
        <w:rPr>
          <w:lang w:val="fr-FR" w:eastAsia="ja-JP"/>
        </w:rPr>
        <w:t>’</w:t>
      </w:r>
      <w:r w:rsidRPr="00653BF4">
        <w:rPr>
          <w:lang w:val="fr-FR" w:eastAsia="ja-JP"/>
        </w:rPr>
        <w:t>annexe du document méthodologique.</w:t>
      </w:r>
    </w:p>
    <w:p w14:paraId="29D12191" w14:textId="3E44DA04" w:rsidR="00B50240" w:rsidRPr="00653BF4" w:rsidRDefault="005D1A28" w:rsidP="00B50240">
      <w:pPr>
        <w:rPr>
          <w:rStyle w:val="agcmg"/>
          <w:lang w:val="fr-FR"/>
        </w:rPr>
      </w:pPr>
      <w:r w:rsidRPr="00653BF4">
        <w:rPr>
          <w:lang w:val="fr-FR" w:eastAsia="ja-JP"/>
        </w:rPr>
        <w:t xml:space="preserve">La </w:t>
      </w:r>
      <w:r w:rsidR="002878D7">
        <w:rPr>
          <w:lang w:val="fr-FR" w:eastAsia="ja-JP"/>
        </w:rPr>
        <w:t>section I</w:t>
      </w:r>
      <w:r w:rsidRPr="00653BF4">
        <w:rPr>
          <w:lang w:val="fr-FR" w:eastAsia="ja-JP"/>
        </w:rPr>
        <w:t>I.E du rapport repose sur un examen et une synthèse des contributions fournies en réponse à la notification n° 2025-099 sollicitant des informations auprès des secrétariats des conventions relatives à la biodiversité et d</w:t>
      </w:r>
      <w:r w:rsidR="002A58C8" w:rsidRPr="00653BF4">
        <w:rPr>
          <w:lang w:val="fr-FR" w:eastAsia="ja-JP"/>
        </w:rPr>
        <w:t>’</w:t>
      </w:r>
      <w:r w:rsidRPr="00653BF4">
        <w:rPr>
          <w:lang w:val="fr-FR" w:eastAsia="ja-JP"/>
        </w:rPr>
        <w:t>autres accords multilatéraux sur l</w:t>
      </w:r>
      <w:r w:rsidR="002A58C8" w:rsidRPr="00653BF4">
        <w:rPr>
          <w:lang w:val="fr-FR" w:eastAsia="ja-JP"/>
        </w:rPr>
        <w:t>’</w:t>
      </w:r>
      <w:r w:rsidRPr="00653BF4">
        <w:rPr>
          <w:lang w:val="fr-FR" w:eastAsia="ja-JP"/>
        </w:rPr>
        <w:t>environnement pertinents, ainsi qu</w:t>
      </w:r>
      <w:r w:rsidR="002A58C8" w:rsidRPr="00653BF4">
        <w:rPr>
          <w:lang w:val="fr-FR" w:eastAsia="ja-JP"/>
        </w:rPr>
        <w:t>’</w:t>
      </w:r>
      <w:r w:rsidRPr="00653BF4">
        <w:rPr>
          <w:lang w:val="fr-FR" w:eastAsia="ja-JP"/>
        </w:rPr>
        <w:t>auprès d</w:t>
      </w:r>
      <w:r w:rsidR="002A58C8" w:rsidRPr="00653BF4">
        <w:rPr>
          <w:lang w:val="fr-FR" w:eastAsia="ja-JP"/>
        </w:rPr>
        <w:t>’</w:t>
      </w:r>
      <w:r w:rsidRPr="00653BF4">
        <w:rPr>
          <w:lang w:val="fr-FR" w:eastAsia="ja-JP"/>
        </w:rPr>
        <w:t>organisations et de processus internationaux</w:t>
      </w:r>
      <w:r w:rsidR="002C3C96" w:rsidRPr="00653BF4">
        <w:rPr>
          <w:rStyle w:val="FootnoteReference"/>
          <w:lang w:val="fr-FR"/>
        </w:rPr>
        <w:footnoteReference w:id="4"/>
      </w:r>
      <w:r w:rsidRPr="00653BF4">
        <w:rPr>
          <w:lang w:val="fr-FR" w:eastAsia="ja-JP"/>
        </w:rPr>
        <w:t>,</w:t>
      </w:r>
      <w:r w:rsidR="002C3C96" w:rsidRPr="00653BF4">
        <w:rPr>
          <w:rStyle w:val="agcmg"/>
          <w:lang w:val="fr-FR"/>
        </w:rPr>
        <w:t xml:space="preserve"> </w:t>
      </w:r>
      <w:r w:rsidR="009C1E6B" w:rsidRPr="00653BF4">
        <w:rPr>
          <w:lang w:val="fr-FR"/>
        </w:rPr>
        <w:t>ainsi que d</w:t>
      </w:r>
      <w:r w:rsidR="002A58C8" w:rsidRPr="00653BF4">
        <w:rPr>
          <w:lang w:val="fr-FR"/>
        </w:rPr>
        <w:t>’</w:t>
      </w:r>
      <w:r w:rsidR="009C1E6B" w:rsidRPr="00653BF4">
        <w:rPr>
          <w:lang w:val="fr-FR"/>
        </w:rPr>
        <w:t xml:space="preserve">autres sources conformes au mandat relatif au rapport mondial établi par la Conférence des Parties (décision 16/32 de la </w:t>
      </w:r>
      <w:r w:rsidR="00604B6B">
        <w:rPr>
          <w:lang w:val="fr-FR"/>
        </w:rPr>
        <w:t>CDB</w:t>
      </w:r>
      <w:r w:rsidR="009C1E6B" w:rsidRPr="00653BF4">
        <w:rPr>
          <w:lang w:val="fr-FR"/>
        </w:rPr>
        <w:t>, 2026).</w:t>
      </w:r>
    </w:p>
    <w:p w14:paraId="78CF11F4" w14:textId="74FA8A4B" w:rsidR="000266DE" w:rsidRPr="00653BF4" w:rsidRDefault="00AC3035" w:rsidP="000266DE">
      <w:pPr>
        <w:rPr>
          <w:lang w:val="fr-FR"/>
        </w:rPr>
      </w:pPr>
      <w:r w:rsidRPr="00653BF4">
        <w:rPr>
          <w:rStyle w:val="agcmg"/>
          <w:lang w:val="fr-FR"/>
        </w:rPr>
        <w:t>La partie III du rapport résume et synthétise les conclusions de la partie II. À cet égard, une méthodologie de notation relative a été mise au point afin de permettre une évaluation et une comparaison systématiques des progrès réalisés dans la mise en œuvre des différents objectifs du Cadre. Grâce à l</w:t>
      </w:r>
      <w:r w:rsidR="002A58C8" w:rsidRPr="00653BF4">
        <w:rPr>
          <w:rStyle w:val="agcmg"/>
          <w:lang w:val="fr-FR"/>
        </w:rPr>
        <w:t>’</w:t>
      </w:r>
      <w:r w:rsidRPr="00653BF4">
        <w:rPr>
          <w:rStyle w:val="agcmg"/>
          <w:lang w:val="fr-FR"/>
        </w:rPr>
        <w:t xml:space="preserve">application de cette méthodologie, les conclusions des </w:t>
      </w:r>
      <w:r w:rsidRPr="00653BF4">
        <w:rPr>
          <w:rStyle w:val="agcmg"/>
          <w:lang w:val="fr-FR"/>
        </w:rPr>
        <w:lastRenderedPageBreak/>
        <w:t xml:space="preserve">analyses décrites ci-dessus peuvent être utilisées pour mettre en évidence les différences de mise en œuvre en fonction de la </w:t>
      </w:r>
      <w:r w:rsidR="009F792A" w:rsidRPr="00653BF4">
        <w:rPr>
          <w:rStyle w:val="agcmg"/>
          <w:lang w:val="fr-FR"/>
        </w:rPr>
        <w:t>prise en compte</w:t>
      </w:r>
      <w:r w:rsidRPr="00653BF4">
        <w:rPr>
          <w:rStyle w:val="agcmg"/>
          <w:lang w:val="fr-FR"/>
        </w:rPr>
        <w:t xml:space="preserve"> des cibles nationales, de l</w:t>
      </w:r>
      <w:r w:rsidR="002A58C8" w:rsidRPr="00653BF4">
        <w:rPr>
          <w:rStyle w:val="agcmg"/>
          <w:lang w:val="fr-FR"/>
        </w:rPr>
        <w:t>’</w:t>
      </w:r>
      <w:r w:rsidRPr="00653BF4">
        <w:rPr>
          <w:rStyle w:val="agcmg"/>
          <w:lang w:val="fr-FR"/>
        </w:rPr>
        <w:t>auto-évaluation des progrès, de l</w:t>
      </w:r>
      <w:r w:rsidR="002A58C8" w:rsidRPr="00653BF4">
        <w:rPr>
          <w:rStyle w:val="agcmg"/>
          <w:lang w:val="fr-FR"/>
        </w:rPr>
        <w:t>’</w:t>
      </w:r>
      <w:r w:rsidRPr="00653BF4">
        <w:rPr>
          <w:rStyle w:val="agcmg"/>
          <w:lang w:val="fr-FR"/>
        </w:rPr>
        <w:t>utilisation des données et des résultats des indicateurs. Plus précisément, une note globale peut être calculée pour chaque composante afin de classer les cibles du Cadre par rapport aux notes les plus élevées et les plus basses obtenues parmi l</w:t>
      </w:r>
      <w:r w:rsidR="002A58C8" w:rsidRPr="00653BF4">
        <w:rPr>
          <w:rStyle w:val="agcmg"/>
          <w:lang w:val="fr-FR"/>
        </w:rPr>
        <w:t>’</w:t>
      </w:r>
      <w:r w:rsidRPr="00653BF4">
        <w:rPr>
          <w:rStyle w:val="agcmg"/>
          <w:lang w:val="fr-FR"/>
        </w:rPr>
        <w:t xml:space="preserve">ensemble des cibles (voir la </w:t>
      </w:r>
      <w:r w:rsidR="004D7DAE" w:rsidRPr="00653BF4">
        <w:rPr>
          <w:rStyle w:val="agcmg"/>
          <w:lang w:val="fr-FR"/>
        </w:rPr>
        <w:t>figure</w:t>
      </w:r>
      <w:r w:rsidRPr="00653BF4">
        <w:rPr>
          <w:rStyle w:val="agcmg"/>
          <w:lang w:val="fr-FR"/>
        </w:rPr>
        <w:t xml:space="preserve"> 1, l</w:t>
      </w:r>
      <w:r w:rsidR="002A58C8" w:rsidRPr="00653BF4">
        <w:rPr>
          <w:rStyle w:val="agcmg"/>
          <w:lang w:val="fr-FR"/>
        </w:rPr>
        <w:t>’</w:t>
      </w:r>
      <w:r w:rsidRPr="00653BF4">
        <w:rPr>
          <w:rStyle w:val="agcmg"/>
          <w:lang w:val="fr-FR"/>
        </w:rPr>
        <w:t>encadré 4, les tableaux 3 et 56 et la section J de l</w:t>
      </w:r>
      <w:r w:rsidR="002A58C8" w:rsidRPr="00653BF4">
        <w:rPr>
          <w:rStyle w:val="agcmg"/>
          <w:lang w:val="fr-FR"/>
        </w:rPr>
        <w:t>’</w:t>
      </w:r>
      <w:r w:rsidRPr="00653BF4">
        <w:rPr>
          <w:rStyle w:val="agcmg"/>
          <w:lang w:val="fr-FR"/>
        </w:rPr>
        <w:t>annexe au document méthodologique SBSTTA/28/INF/09). Ces notes sont ensuite utilisées pour déterminer une note globale pour chaque cible, calculée comme la moyenne pondérée de deux mesures</w:t>
      </w:r>
      <w:r w:rsidR="00E34DC9">
        <w:rPr>
          <w:rStyle w:val="agcmg"/>
          <w:lang w:val="fr-FR"/>
        </w:rPr>
        <w:t> :</w:t>
      </w:r>
      <w:r w:rsidRPr="00653BF4">
        <w:rPr>
          <w:rStyle w:val="agcmg"/>
          <w:lang w:val="fr-FR"/>
        </w:rPr>
        <w:t xml:space="preserve"> une note combinée portant sur la </w:t>
      </w:r>
      <w:r w:rsidR="009F792A" w:rsidRPr="00653BF4">
        <w:rPr>
          <w:rStyle w:val="agcmg"/>
          <w:lang w:val="fr-FR"/>
        </w:rPr>
        <w:t>prise en compte</w:t>
      </w:r>
      <w:r w:rsidRPr="00653BF4">
        <w:rPr>
          <w:rStyle w:val="agcmg"/>
          <w:lang w:val="fr-FR"/>
        </w:rPr>
        <w:t xml:space="preserve"> et les progrès auto-évalués</w:t>
      </w:r>
      <w:r w:rsidR="00E34DC9">
        <w:rPr>
          <w:rStyle w:val="agcmg"/>
          <w:lang w:val="fr-FR"/>
        </w:rPr>
        <w:t> ;</w:t>
      </w:r>
      <w:r w:rsidRPr="00653BF4">
        <w:rPr>
          <w:rStyle w:val="agcmg"/>
          <w:lang w:val="fr-FR"/>
        </w:rPr>
        <w:t xml:space="preserve"> et une note combinée relative aux résultats des indicateurs, qui est ensuite répartie en quatre catégories de notes. Les messages clés et les conclusions générales du rapport ont été élaborés conjointement avec l</w:t>
      </w:r>
      <w:r w:rsidR="002A58C8" w:rsidRPr="00653BF4">
        <w:rPr>
          <w:rStyle w:val="agcmg"/>
          <w:lang w:val="fr-FR"/>
        </w:rPr>
        <w:t>’</w:t>
      </w:r>
      <w:r w:rsidRPr="00653BF4">
        <w:rPr>
          <w:rStyle w:val="agcmg"/>
          <w:lang w:val="fr-FR"/>
        </w:rPr>
        <w:t>AHSTAG et s</w:t>
      </w:r>
      <w:r w:rsidR="002A58C8" w:rsidRPr="00653BF4">
        <w:rPr>
          <w:rStyle w:val="agcmg"/>
          <w:lang w:val="fr-FR"/>
        </w:rPr>
        <w:t>’</w:t>
      </w:r>
      <w:r w:rsidRPr="00653BF4">
        <w:rPr>
          <w:rStyle w:val="agcmg"/>
          <w:lang w:val="fr-FR"/>
        </w:rPr>
        <w:t xml:space="preserve">appuient sur les constatations exposées dans les </w:t>
      </w:r>
      <w:r w:rsidR="00113D42" w:rsidRPr="00653BF4">
        <w:rPr>
          <w:rStyle w:val="agcmg"/>
          <w:lang w:val="fr-FR"/>
        </w:rPr>
        <w:t>sections</w:t>
      </w:r>
      <w:r w:rsidRPr="00653BF4">
        <w:rPr>
          <w:rStyle w:val="agcmg"/>
          <w:lang w:val="fr-FR"/>
        </w:rPr>
        <w:t xml:space="preserve"> précédentes.</w:t>
      </w:r>
    </w:p>
    <w:p w14:paraId="014B4DB3" w14:textId="77777777" w:rsidR="00B05885" w:rsidRPr="00653BF4" w:rsidRDefault="00B05885" w:rsidP="000266DE">
      <w:pPr>
        <w:rPr>
          <w:sz w:val="20"/>
          <w:szCs w:val="20"/>
          <w:lang w:val="fr-FR"/>
        </w:rPr>
      </w:pPr>
    </w:p>
    <w:p w14:paraId="60D6E5EB" w14:textId="5BC71B54" w:rsidR="00103332" w:rsidRPr="00653BF4" w:rsidRDefault="00B05885" w:rsidP="00B50240">
      <w:pPr>
        <w:rPr>
          <w:iCs/>
          <w:sz w:val="20"/>
          <w:szCs w:val="20"/>
          <w:lang w:val="fr-FR"/>
        </w:rPr>
      </w:pPr>
      <w:bookmarkStart w:id="28" w:name="_Ref238304854"/>
      <w:bookmarkStart w:id="29" w:name="_Ref235529982"/>
      <w:r w:rsidRPr="00653BF4">
        <w:rPr>
          <w:sz w:val="20"/>
          <w:szCs w:val="20"/>
          <w:lang w:val="fr-FR"/>
        </w:rPr>
        <w:t>Figure 5</w:t>
      </w:r>
      <w:bookmarkEnd w:id="28"/>
    </w:p>
    <w:p w14:paraId="461FC7D8" w14:textId="4BAB515F" w:rsidR="00B215EF" w:rsidRDefault="00DD3DCD" w:rsidP="00B50240">
      <w:pPr>
        <w:rPr>
          <w:b/>
          <w:bCs/>
          <w:sz w:val="20"/>
          <w:szCs w:val="20"/>
          <w:lang w:val="fr-FR"/>
        </w:rPr>
      </w:pPr>
      <w:r w:rsidRPr="00653BF4">
        <w:rPr>
          <w:b/>
          <w:bCs/>
          <w:sz w:val="20"/>
          <w:szCs w:val="20"/>
          <w:lang w:val="fr-FR"/>
        </w:rPr>
        <w:t>Diagramme méthodologique illustrant le processus d</w:t>
      </w:r>
      <w:r w:rsidR="002A58C8" w:rsidRPr="00653BF4">
        <w:rPr>
          <w:b/>
          <w:bCs/>
          <w:sz w:val="20"/>
          <w:szCs w:val="20"/>
          <w:lang w:val="fr-FR"/>
        </w:rPr>
        <w:t>’</w:t>
      </w:r>
      <w:r w:rsidRPr="00653BF4">
        <w:rPr>
          <w:b/>
          <w:bCs/>
          <w:sz w:val="20"/>
          <w:szCs w:val="20"/>
          <w:lang w:val="fr-FR"/>
        </w:rPr>
        <w:t>élaboration du rapport mondial</w:t>
      </w:r>
    </w:p>
    <w:bookmarkEnd w:id="29"/>
    <w:p w14:paraId="4F2E4368" w14:textId="77777777" w:rsidR="00837508" w:rsidRPr="00653BF4" w:rsidRDefault="006C0B9B" w:rsidP="00272CBD">
      <w:pPr>
        <w:rPr>
          <w:rFonts w:cs="Times New Roman"/>
          <w:i/>
          <w:color w:val="0E2841" w:themeColor="text2"/>
          <w:sz w:val="18"/>
          <w:szCs w:val="18"/>
          <w:lang w:val="fr-FR"/>
        </w:rPr>
      </w:pPr>
      <w:r w:rsidRPr="00653BF4">
        <w:rPr>
          <w:rFonts w:cs="Times New Roman"/>
          <w:i/>
          <w:noProof/>
          <w:color w:val="0E2841" w:themeColor="text2"/>
          <w:sz w:val="18"/>
          <w:szCs w:val="18"/>
          <w:lang w:val="fr-FR"/>
        </w:rPr>
        <w:drawing>
          <wp:inline distT="0" distB="0" distL="0" distR="0" wp14:anchorId="147A7B59" wp14:editId="74A5AB10">
            <wp:extent cx="5943600" cy="4272280"/>
            <wp:effectExtent l="0" t="0" r="0" b="0"/>
            <wp:docPr id="146204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4105" name="Picture 14620410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4272280"/>
                    </a:xfrm>
                    <a:prstGeom prst="rect">
                      <a:avLst/>
                    </a:prstGeom>
                  </pic:spPr>
                </pic:pic>
              </a:graphicData>
            </a:graphic>
          </wp:inline>
        </w:drawing>
      </w:r>
    </w:p>
    <w:p w14:paraId="61634BE8" w14:textId="4D189B50" w:rsidR="0098552A" w:rsidRDefault="006A631C" w:rsidP="0098552A">
      <w:pPr>
        <w:rPr>
          <w:color w:val="0E2841" w:themeColor="text2"/>
          <w:sz w:val="16"/>
          <w:szCs w:val="16"/>
          <w:lang w:val="fr-FR"/>
        </w:rPr>
      </w:pPr>
      <w:r w:rsidRPr="00653BF4">
        <w:rPr>
          <w:rFonts w:cs="Times New Roman"/>
          <w:i/>
          <w:color w:val="0E2841" w:themeColor="text2"/>
          <w:sz w:val="16"/>
          <w:szCs w:val="16"/>
          <w:lang w:val="fr-FR"/>
        </w:rPr>
        <w:lastRenderedPageBreak/>
        <w:t>Note</w:t>
      </w:r>
      <w:r w:rsidR="00E34DC9">
        <w:rPr>
          <w:rFonts w:cs="Times New Roman"/>
          <w:i/>
          <w:color w:val="0E2841" w:themeColor="text2"/>
          <w:sz w:val="16"/>
          <w:szCs w:val="16"/>
          <w:lang w:val="fr-FR"/>
        </w:rPr>
        <w:t> :</w:t>
      </w:r>
      <w:r w:rsidR="00272CBD" w:rsidRPr="00653BF4">
        <w:rPr>
          <w:rFonts w:cs="Times New Roman"/>
          <w:color w:val="0E2841" w:themeColor="text2"/>
          <w:sz w:val="16"/>
          <w:szCs w:val="16"/>
          <w:lang w:val="fr-FR"/>
        </w:rPr>
        <w:t xml:space="preserve"> </w:t>
      </w:r>
      <w:r w:rsidR="0098552A" w:rsidRPr="00653BF4">
        <w:rPr>
          <w:color w:val="0E2841" w:themeColor="text2"/>
          <w:sz w:val="16"/>
          <w:szCs w:val="16"/>
          <w:lang w:val="fr-FR"/>
        </w:rPr>
        <w:t xml:space="preserve">Cette figure met en évidence, pour chaque division du rapport mondial, les informations et les données qui ont été utilisées, la manière dont elles ont été utilisées et leur lien avec le contenu du rapport. </w:t>
      </w:r>
      <w:r w:rsidR="0098552A" w:rsidRPr="00653BF4">
        <w:rPr>
          <w:i/>
          <w:iCs/>
          <w:color w:val="0E2841" w:themeColor="text2"/>
          <w:sz w:val="16"/>
          <w:szCs w:val="16"/>
          <w:lang w:val="fr-FR"/>
        </w:rPr>
        <w:t>Abréviations</w:t>
      </w:r>
      <w:r w:rsidR="00E34DC9">
        <w:rPr>
          <w:i/>
          <w:iCs/>
          <w:color w:val="0E2841" w:themeColor="text2"/>
          <w:sz w:val="16"/>
          <w:szCs w:val="16"/>
          <w:lang w:val="fr-FR"/>
        </w:rPr>
        <w:t> :</w:t>
      </w:r>
      <w:r w:rsidR="0098552A" w:rsidRPr="00653BF4">
        <w:rPr>
          <w:color w:val="0E2841" w:themeColor="text2"/>
          <w:sz w:val="16"/>
          <w:szCs w:val="16"/>
          <w:lang w:val="fr-FR"/>
        </w:rPr>
        <w:t xml:space="preserve"> GBO5, cinquième édition des Perspectives mondiales de la diversité biologique</w:t>
      </w:r>
      <w:r w:rsidR="00E34DC9">
        <w:rPr>
          <w:color w:val="0E2841" w:themeColor="text2"/>
          <w:sz w:val="16"/>
          <w:szCs w:val="16"/>
          <w:lang w:val="fr-FR"/>
        </w:rPr>
        <w:t> ;</w:t>
      </w:r>
      <w:r w:rsidR="0098552A" w:rsidRPr="00653BF4">
        <w:rPr>
          <w:color w:val="0E2841" w:themeColor="text2"/>
          <w:sz w:val="16"/>
          <w:szCs w:val="16"/>
          <w:lang w:val="fr-FR"/>
        </w:rPr>
        <w:t xml:space="preserve"> GR, rapport mondial</w:t>
      </w:r>
      <w:r w:rsidR="00E34DC9">
        <w:rPr>
          <w:color w:val="0E2841" w:themeColor="text2"/>
          <w:sz w:val="16"/>
          <w:szCs w:val="16"/>
          <w:lang w:val="fr-FR"/>
        </w:rPr>
        <w:t> ;</w:t>
      </w:r>
      <w:r w:rsidR="0098552A" w:rsidRPr="00653BF4">
        <w:rPr>
          <w:color w:val="0E2841" w:themeColor="text2"/>
          <w:sz w:val="16"/>
          <w:szCs w:val="16"/>
          <w:lang w:val="fr-FR"/>
        </w:rPr>
        <w:t xml:space="preserve"> IPBES, Plateforme intergouvernementale scientifique et politique sur la biodiversité et les services écosystémiques</w:t>
      </w:r>
      <w:r w:rsidR="00E34DC9">
        <w:rPr>
          <w:color w:val="0E2841" w:themeColor="text2"/>
          <w:sz w:val="16"/>
          <w:szCs w:val="16"/>
          <w:lang w:val="fr-FR"/>
        </w:rPr>
        <w:t> ;</w:t>
      </w:r>
      <w:r w:rsidR="0098552A" w:rsidRPr="00653BF4">
        <w:rPr>
          <w:color w:val="0E2841" w:themeColor="text2"/>
          <w:sz w:val="16"/>
          <w:szCs w:val="16"/>
          <w:lang w:val="fr-FR"/>
        </w:rPr>
        <w:t xml:space="preserve"> SPANB, stratégie et plan d</w:t>
      </w:r>
      <w:r w:rsidR="002A58C8" w:rsidRPr="00653BF4">
        <w:rPr>
          <w:color w:val="0E2841" w:themeColor="text2"/>
          <w:sz w:val="16"/>
          <w:szCs w:val="16"/>
          <w:lang w:val="fr-FR"/>
        </w:rPr>
        <w:t>’</w:t>
      </w:r>
      <w:r w:rsidR="0098552A" w:rsidRPr="00653BF4">
        <w:rPr>
          <w:color w:val="0E2841" w:themeColor="text2"/>
          <w:sz w:val="16"/>
          <w:szCs w:val="16"/>
          <w:lang w:val="fr-FR"/>
        </w:rPr>
        <w:t>action nationaux pour la biodiversité</w:t>
      </w:r>
      <w:r w:rsidR="00E34DC9">
        <w:rPr>
          <w:color w:val="0E2841" w:themeColor="text2"/>
          <w:sz w:val="16"/>
          <w:szCs w:val="16"/>
          <w:lang w:val="fr-FR"/>
        </w:rPr>
        <w:t> ;</w:t>
      </w:r>
      <w:r w:rsidR="0098552A" w:rsidRPr="00653BF4">
        <w:rPr>
          <w:color w:val="0E2841" w:themeColor="text2"/>
          <w:sz w:val="16"/>
          <w:szCs w:val="16"/>
          <w:lang w:val="fr-FR"/>
        </w:rPr>
        <w:t xml:space="preserve"> AONG, acteur autre que le gouvernement national</w:t>
      </w:r>
      <w:r w:rsidR="00E34DC9">
        <w:rPr>
          <w:color w:val="0E2841" w:themeColor="text2"/>
          <w:sz w:val="16"/>
          <w:szCs w:val="16"/>
          <w:lang w:val="fr-FR"/>
        </w:rPr>
        <w:t> ;</w:t>
      </w:r>
      <w:r w:rsidR="0098552A" w:rsidRPr="00653BF4">
        <w:rPr>
          <w:color w:val="0E2841" w:themeColor="text2"/>
          <w:sz w:val="16"/>
          <w:szCs w:val="16"/>
          <w:lang w:val="fr-FR"/>
        </w:rPr>
        <w:t xml:space="preserve"> NT, cibles nationales</w:t>
      </w:r>
      <w:r w:rsidR="00E34DC9">
        <w:rPr>
          <w:color w:val="0E2841" w:themeColor="text2"/>
          <w:sz w:val="16"/>
          <w:szCs w:val="16"/>
          <w:lang w:val="fr-FR"/>
        </w:rPr>
        <w:t> ;</w:t>
      </w:r>
      <w:r w:rsidR="0098552A" w:rsidRPr="00653BF4">
        <w:rPr>
          <w:color w:val="0E2841" w:themeColor="text2"/>
          <w:sz w:val="16"/>
          <w:szCs w:val="16"/>
          <w:lang w:val="fr-FR"/>
        </w:rPr>
        <w:t xml:space="preserve"> 7NR, septièmes rapports nationaux.</w:t>
      </w:r>
    </w:p>
    <w:tbl>
      <w:tblPr>
        <w:tblStyle w:val="TableGrid"/>
        <w:tblW w:w="9209" w:type="dxa"/>
        <w:tblLook w:val="06A0" w:firstRow="1" w:lastRow="0" w:firstColumn="1" w:lastColumn="0" w:noHBand="1" w:noVBand="1"/>
      </w:tblPr>
      <w:tblGrid>
        <w:gridCol w:w="4497"/>
        <w:gridCol w:w="4712"/>
      </w:tblGrid>
      <w:tr w:rsidR="003246FC" w:rsidRPr="0046019F" w14:paraId="6DD923E1" w14:textId="77777777" w:rsidTr="009B4355">
        <w:tc>
          <w:tcPr>
            <w:tcW w:w="9209" w:type="dxa"/>
            <w:gridSpan w:val="2"/>
            <w:tcMar>
              <w:top w:w="15" w:type="dxa"/>
              <w:left w:w="180" w:type="dxa"/>
              <w:right w:w="15" w:type="dxa"/>
            </w:tcMar>
          </w:tcPr>
          <w:p w14:paraId="5768E2FF" w14:textId="77777777" w:rsidR="003246FC" w:rsidRPr="0046019F" w:rsidRDefault="003246FC" w:rsidP="009B4355">
            <w:pPr>
              <w:rPr>
                <w:rFonts w:ascii="Aptos" w:eastAsia="Segoe UI" w:hAnsi="Aptos" w:cs="Segoe UI"/>
                <w:color w:val="0F1115"/>
              </w:rPr>
            </w:pPr>
            <w:r>
              <w:rPr>
                <w:rFonts w:ascii="Aptos" w:eastAsia="Segoe UI" w:hAnsi="Aptos" w:cs="Segoe UI"/>
                <w:color w:val="0F1115"/>
              </w:rPr>
              <w:t>Figure 5</w:t>
            </w:r>
          </w:p>
        </w:tc>
      </w:tr>
      <w:tr w:rsidR="003246FC" w:rsidRPr="0046019F" w14:paraId="3CF28DE2" w14:textId="77777777" w:rsidTr="009B4355">
        <w:tc>
          <w:tcPr>
            <w:tcW w:w="4497" w:type="dxa"/>
            <w:tcMar>
              <w:top w:w="15" w:type="dxa"/>
              <w:left w:w="180" w:type="dxa"/>
              <w:right w:w="15" w:type="dxa"/>
            </w:tcMar>
            <w:vAlign w:val="center"/>
          </w:tcPr>
          <w:p w14:paraId="3E426760" w14:textId="77777777" w:rsidR="003246FC" w:rsidRPr="0046019F" w:rsidRDefault="003246FC" w:rsidP="009B4355">
            <w:pPr>
              <w:rPr>
                <w:rFonts w:ascii="Aptos" w:hAnsi="Aptos"/>
              </w:rPr>
            </w:pPr>
            <w:r w:rsidRPr="0046019F">
              <w:rPr>
                <w:rFonts w:ascii="Aptos" w:eastAsia="Segoe UI" w:hAnsi="Aptos" w:cs="Segoe UI"/>
                <w:color w:val="0F1115"/>
              </w:rPr>
              <w:t>English</w:t>
            </w:r>
          </w:p>
        </w:tc>
        <w:tc>
          <w:tcPr>
            <w:tcW w:w="4712" w:type="dxa"/>
            <w:tcMar>
              <w:top w:w="15" w:type="dxa"/>
              <w:left w:w="180" w:type="dxa"/>
              <w:right w:w="15" w:type="dxa"/>
            </w:tcMar>
            <w:vAlign w:val="center"/>
          </w:tcPr>
          <w:p w14:paraId="14849270" w14:textId="77777777" w:rsidR="003246FC" w:rsidRPr="0046019F" w:rsidRDefault="003246FC" w:rsidP="009B4355">
            <w:pPr>
              <w:rPr>
                <w:rFonts w:ascii="Aptos" w:hAnsi="Aptos"/>
              </w:rPr>
            </w:pPr>
            <w:r>
              <w:rPr>
                <w:rFonts w:ascii="Aptos" w:eastAsia="Segoe UI" w:hAnsi="Aptos" w:cs="Segoe UI"/>
                <w:color w:val="0F1115"/>
              </w:rPr>
              <w:t>Français</w:t>
            </w:r>
          </w:p>
        </w:tc>
      </w:tr>
      <w:tr w:rsidR="003246FC" w:rsidRPr="003A6336" w14:paraId="600CEF4E" w14:textId="77777777" w:rsidTr="009B4355">
        <w:tc>
          <w:tcPr>
            <w:tcW w:w="4497" w:type="dxa"/>
            <w:tcMar>
              <w:top w:w="15" w:type="dxa"/>
              <w:left w:w="180" w:type="dxa"/>
              <w:right w:w="15" w:type="dxa"/>
            </w:tcMar>
            <w:vAlign w:val="center"/>
          </w:tcPr>
          <w:p w14:paraId="4039DD9C" w14:textId="77777777" w:rsidR="003246FC" w:rsidRPr="003A6336" w:rsidRDefault="003246FC" w:rsidP="009B4355">
            <w:pPr>
              <w:rPr>
                <w:rFonts w:ascii="Aptos" w:hAnsi="Aptos"/>
              </w:rPr>
            </w:pPr>
            <w:r w:rsidRPr="003A6336">
              <w:rPr>
                <w:rFonts w:ascii="Aptos" w:eastAsia="Segoe UI" w:hAnsi="Aptos" w:cs="Segoe UI"/>
                <w:color w:val="0F1115"/>
              </w:rPr>
              <w:t>METHODOLOGICAL SUMMARY FOR THE PREPARATION OF THE GLOBAL REPORT</w:t>
            </w:r>
          </w:p>
        </w:tc>
        <w:tc>
          <w:tcPr>
            <w:tcW w:w="4712" w:type="dxa"/>
            <w:tcMar>
              <w:top w:w="15" w:type="dxa"/>
              <w:left w:w="180" w:type="dxa"/>
              <w:right w:w="15" w:type="dxa"/>
            </w:tcMar>
            <w:vAlign w:val="center"/>
          </w:tcPr>
          <w:p w14:paraId="06F78098" w14:textId="77777777" w:rsidR="003246FC" w:rsidRPr="0096345A" w:rsidRDefault="003246FC" w:rsidP="009B4355">
            <w:pPr>
              <w:rPr>
                <w:rFonts w:ascii="Aptos" w:hAnsi="Aptos"/>
                <w:lang w:val="fr-FR"/>
              </w:rPr>
            </w:pPr>
            <w:r w:rsidRPr="0096345A">
              <w:rPr>
                <w:rFonts w:ascii="Aptos" w:eastAsia="Segoe UI" w:hAnsi="Aptos" w:cs="Segoe UI"/>
                <w:color w:val="0F1115"/>
                <w:lang w:val="fr-FR"/>
              </w:rPr>
              <w:t>RÉSUMÉ MÉTHODOLOGIQUE POUR LA PRÉPARATION DU RAPPORT MONDIAL</w:t>
            </w:r>
          </w:p>
        </w:tc>
      </w:tr>
      <w:tr w:rsidR="003246FC" w:rsidRPr="003A6336" w14:paraId="5DAF9254" w14:textId="77777777" w:rsidTr="009B4355">
        <w:tc>
          <w:tcPr>
            <w:tcW w:w="4497" w:type="dxa"/>
            <w:tcMar>
              <w:top w:w="15" w:type="dxa"/>
              <w:left w:w="180" w:type="dxa"/>
              <w:right w:w="15" w:type="dxa"/>
            </w:tcMar>
            <w:vAlign w:val="center"/>
          </w:tcPr>
          <w:p w14:paraId="6B4563FE" w14:textId="77777777" w:rsidR="003246FC" w:rsidRPr="003A6336" w:rsidRDefault="003246FC" w:rsidP="009B4355">
            <w:pPr>
              <w:rPr>
                <w:rFonts w:ascii="Aptos" w:hAnsi="Aptos"/>
              </w:rPr>
            </w:pPr>
            <w:r w:rsidRPr="003A6336">
              <w:rPr>
                <w:rFonts w:ascii="Aptos" w:eastAsia="Segoe UI" w:hAnsi="Aptos" w:cs="Segoe UI"/>
                <w:color w:val="0F1115"/>
              </w:rPr>
              <w:t>Details on the methodologies used are found in the annex to CBD/SBSTTA/28/INF/9</w:t>
            </w:r>
          </w:p>
        </w:tc>
        <w:tc>
          <w:tcPr>
            <w:tcW w:w="4712" w:type="dxa"/>
            <w:tcMar>
              <w:top w:w="15" w:type="dxa"/>
              <w:left w:w="180" w:type="dxa"/>
              <w:right w:w="15" w:type="dxa"/>
            </w:tcMar>
            <w:vAlign w:val="center"/>
          </w:tcPr>
          <w:p w14:paraId="6019ED40" w14:textId="77777777" w:rsidR="003246FC" w:rsidRPr="0096345A" w:rsidRDefault="003246FC" w:rsidP="009B4355">
            <w:pPr>
              <w:rPr>
                <w:rFonts w:ascii="Aptos" w:hAnsi="Aptos"/>
                <w:lang w:val="fr-FR"/>
              </w:rPr>
            </w:pPr>
            <w:r w:rsidRPr="0096345A">
              <w:rPr>
                <w:rFonts w:ascii="Aptos" w:eastAsia="Segoe UI" w:hAnsi="Aptos" w:cs="Segoe UI"/>
                <w:color w:val="0F1115"/>
                <w:lang w:val="fr-FR"/>
              </w:rPr>
              <w:t>Pour plus de détails sur les méthodologies utilisées, voir l</w:t>
            </w:r>
            <w:r>
              <w:rPr>
                <w:rFonts w:ascii="Aptos" w:eastAsia="Segoe UI" w:hAnsi="Aptos" w:cs="Segoe UI"/>
                <w:color w:val="0F1115"/>
                <w:lang w:val="fr-FR"/>
              </w:rPr>
              <w:t>’annexe </w:t>
            </w:r>
            <w:r w:rsidRPr="0096345A">
              <w:rPr>
                <w:rFonts w:ascii="Aptos" w:eastAsia="Segoe UI" w:hAnsi="Aptos" w:cs="Segoe UI"/>
                <w:color w:val="0F1115"/>
                <w:lang w:val="fr-FR"/>
              </w:rPr>
              <w:t>du document CBD/SBSTTA/28/INF/</w:t>
            </w:r>
          </w:p>
        </w:tc>
      </w:tr>
      <w:tr w:rsidR="003246FC" w:rsidRPr="003A6336" w14:paraId="1E3C5C5B" w14:textId="77777777" w:rsidTr="009B4355">
        <w:tc>
          <w:tcPr>
            <w:tcW w:w="4497" w:type="dxa"/>
            <w:tcMar>
              <w:top w:w="15" w:type="dxa"/>
              <w:left w:w="180" w:type="dxa"/>
              <w:right w:w="15" w:type="dxa"/>
            </w:tcMar>
            <w:vAlign w:val="center"/>
          </w:tcPr>
          <w:p w14:paraId="338D97CD" w14:textId="77777777" w:rsidR="003246FC" w:rsidRPr="003A6336" w:rsidRDefault="003246FC" w:rsidP="009B4355">
            <w:pPr>
              <w:rPr>
                <w:rFonts w:ascii="Aptos" w:hAnsi="Aptos"/>
              </w:rPr>
            </w:pPr>
            <w:r w:rsidRPr="003A6336">
              <w:rPr>
                <w:rFonts w:ascii="Aptos" w:eastAsia="Segoe UI" w:hAnsi="Aptos" w:cs="Segoe UI"/>
                <w:color w:val="0F1115"/>
              </w:rPr>
              <w:t>Long forms for all acronyms are contained in the abbreviations note below the body of the figure</w:t>
            </w:r>
          </w:p>
        </w:tc>
        <w:tc>
          <w:tcPr>
            <w:tcW w:w="4712" w:type="dxa"/>
            <w:tcMar>
              <w:top w:w="15" w:type="dxa"/>
              <w:left w:w="180" w:type="dxa"/>
              <w:right w:w="15" w:type="dxa"/>
            </w:tcMar>
            <w:vAlign w:val="center"/>
          </w:tcPr>
          <w:p w14:paraId="5A0573E7" w14:textId="77777777" w:rsidR="003246FC" w:rsidRPr="0096345A" w:rsidRDefault="003246FC" w:rsidP="009B4355">
            <w:pPr>
              <w:rPr>
                <w:rFonts w:ascii="Aptos" w:hAnsi="Aptos"/>
                <w:lang w:val="fr-FR"/>
              </w:rPr>
            </w:pPr>
            <w:r w:rsidRPr="0096345A">
              <w:rPr>
                <w:rFonts w:ascii="Aptos" w:eastAsia="Segoe UI" w:hAnsi="Aptos" w:cs="Segoe UI"/>
                <w:color w:val="0F1115"/>
                <w:lang w:val="fr-FR"/>
              </w:rPr>
              <w:t>Les formes complètes de tous les acronymes figurent dans la note relative aux abréviations située sous le corps de la figure</w:t>
            </w:r>
          </w:p>
        </w:tc>
      </w:tr>
      <w:tr w:rsidR="003246FC" w:rsidRPr="003A6336" w14:paraId="6707C57B" w14:textId="77777777" w:rsidTr="009B4355">
        <w:tc>
          <w:tcPr>
            <w:tcW w:w="4497" w:type="dxa"/>
            <w:tcMar>
              <w:top w:w="15" w:type="dxa"/>
              <w:left w:w="180" w:type="dxa"/>
              <w:right w:w="15" w:type="dxa"/>
            </w:tcMar>
            <w:vAlign w:val="center"/>
          </w:tcPr>
          <w:p w14:paraId="0CAFD711" w14:textId="77777777" w:rsidR="003246FC" w:rsidRPr="003A6336" w:rsidRDefault="003246FC" w:rsidP="009B4355">
            <w:pPr>
              <w:rPr>
                <w:rFonts w:ascii="Aptos" w:hAnsi="Aptos"/>
              </w:rPr>
            </w:pPr>
            <w:r w:rsidRPr="003A6336">
              <w:rPr>
                <w:rFonts w:ascii="Aptos" w:eastAsia="Segoe UI" w:hAnsi="Aptos" w:cs="Segoe UI"/>
                <w:color w:val="0F1115"/>
              </w:rPr>
              <w:t>CONCISE SUMMARY</w:t>
            </w:r>
          </w:p>
        </w:tc>
        <w:tc>
          <w:tcPr>
            <w:tcW w:w="4712" w:type="dxa"/>
            <w:tcMar>
              <w:top w:w="15" w:type="dxa"/>
              <w:left w:w="180" w:type="dxa"/>
              <w:right w:w="15" w:type="dxa"/>
            </w:tcMar>
            <w:vAlign w:val="center"/>
          </w:tcPr>
          <w:p w14:paraId="50DA7001" w14:textId="77777777" w:rsidR="003246FC" w:rsidRPr="0096345A" w:rsidRDefault="003246FC" w:rsidP="009B4355">
            <w:pPr>
              <w:rPr>
                <w:rFonts w:ascii="Aptos" w:hAnsi="Aptos"/>
                <w:lang w:val="fr-FR"/>
              </w:rPr>
            </w:pPr>
            <w:r>
              <w:rPr>
                <w:rFonts w:ascii="Aptos" w:eastAsia="Segoe UI" w:hAnsi="Aptos" w:cs="Segoe UI"/>
                <w:color w:val="0F1115"/>
                <w:lang w:val="fr-FR"/>
              </w:rPr>
              <w:t>R</w:t>
            </w:r>
            <w:r w:rsidRPr="0096345A">
              <w:rPr>
                <w:rFonts w:ascii="Aptos" w:eastAsia="Segoe UI" w:hAnsi="Aptos" w:cs="Segoe UI"/>
                <w:color w:val="0F1115"/>
                <w:lang w:val="fr-FR"/>
              </w:rPr>
              <w:t>ÉSUMÉ</w:t>
            </w:r>
            <w:r>
              <w:rPr>
                <w:rFonts w:ascii="Aptos" w:eastAsia="Segoe UI" w:hAnsi="Aptos" w:cs="Segoe UI"/>
                <w:color w:val="0F1115"/>
                <w:lang w:val="fr-FR"/>
              </w:rPr>
              <w:t xml:space="preserve"> CONCIS</w:t>
            </w:r>
          </w:p>
        </w:tc>
      </w:tr>
      <w:tr w:rsidR="003246FC" w:rsidRPr="003A6336" w14:paraId="2E814634" w14:textId="77777777" w:rsidTr="009B4355">
        <w:tc>
          <w:tcPr>
            <w:tcW w:w="4497" w:type="dxa"/>
            <w:tcMar>
              <w:top w:w="15" w:type="dxa"/>
              <w:left w:w="180" w:type="dxa"/>
              <w:right w:w="15" w:type="dxa"/>
            </w:tcMar>
            <w:vAlign w:val="center"/>
          </w:tcPr>
          <w:p w14:paraId="302FE7D6" w14:textId="77777777" w:rsidR="003246FC" w:rsidRPr="003A6336" w:rsidRDefault="003246FC" w:rsidP="009B4355">
            <w:pPr>
              <w:rPr>
                <w:rFonts w:ascii="Aptos" w:hAnsi="Aptos"/>
              </w:rPr>
            </w:pPr>
            <w:r w:rsidRPr="003A6336">
              <w:rPr>
                <w:rFonts w:ascii="Aptos" w:eastAsia="Segoe UI" w:hAnsi="Aptos" w:cs="Segoe UI"/>
                <w:color w:val="0F1115"/>
              </w:rPr>
              <w:t>IA. Introduction</w:t>
            </w:r>
          </w:p>
        </w:tc>
        <w:tc>
          <w:tcPr>
            <w:tcW w:w="4712" w:type="dxa"/>
            <w:tcMar>
              <w:top w:w="15" w:type="dxa"/>
              <w:left w:w="180" w:type="dxa"/>
              <w:right w:w="15" w:type="dxa"/>
            </w:tcMar>
            <w:vAlign w:val="center"/>
          </w:tcPr>
          <w:p w14:paraId="38DDC2A7" w14:textId="77777777" w:rsidR="003246FC" w:rsidRPr="0096345A" w:rsidRDefault="003246FC" w:rsidP="009B4355">
            <w:pPr>
              <w:rPr>
                <w:rFonts w:ascii="Aptos" w:hAnsi="Aptos"/>
                <w:lang w:val="fr-FR"/>
              </w:rPr>
            </w:pPr>
            <w:r w:rsidRPr="0096345A">
              <w:rPr>
                <w:lang w:val="fr-FR"/>
              </w:rPr>
              <w:t>IA. Introduction</w:t>
            </w:r>
          </w:p>
        </w:tc>
      </w:tr>
      <w:tr w:rsidR="003246FC" w:rsidRPr="003A6336" w14:paraId="00C6A932" w14:textId="77777777" w:rsidTr="009B4355">
        <w:tc>
          <w:tcPr>
            <w:tcW w:w="4497" w:type="dxa"/>
            <w:tcMar>
              <w:top w:w="15" w:type="dxa"/>
              <w:left w:w="180" w:type="dxa"/>
              <w:right w:w="15" w:type="dxa"/>
            </w:tcMar>
            <w:vAlign w:val="center"/>
          </w:tcPr>
          <w:p w14:paraId="306F01F2" w14:textId="77777777" w:rsidR="003246FC" w:rsidRPr="003A6336" w:rsidRDefault="003246FC" w:rsidP="009B4355">
            <w:pPr>
              <w:rPr>
                <w:rFonts w:ascii="Aptos" w:hAnsi="Aptos"/>
              </w:rPr>
            </w:pPr>
            <w:r w:rsidRPr="003A6336">
              <w:rPr>
                <w:rFonts w:ascii="Aptos" w:eastAsia="Segoe UI" w:hAnsi="Aptos" w:cs="Segoe UI"/>
                <w:color w:val="0F1115"/>
              </w:rPr>
              <w:t>IB. Status and trends</w:t>
            </w:r>
          </w:p>
        </w:tc>
        <w:tc>
          <w:tcPr>
            <w:tcW w:w="4712" w:type="dxa"/>
            <w:tcMar>
              <w:top w:w="15" w:type="dxa"/>
              <w:left w:w="180" w:type="dxa"/>
              <w:right w:w="15" w:type="dxa"/>
            </w:tcMar>
            <w:vAlign w:val="center"/>
          </w:tcPr>
          <w:p w14:paraId="2DAA7E93" w14:textId="77777777" w:rsidR="003246FC" w:rsidRPr="0096345A" w:rsidRDefault="003246FC" w:rsidP="009B4355">
            <w:pPr>
              <w:rPr>
                <w:rFonts w:ascii="Aptos" w:hAnsi="Aptos"/>
                <w:lang w:val="fr-FR"/>
              </w:rPr>
            </w:pPr>
            <w:r w:rsidRPr="0096345A">
              <w:rPr>
                <w:lang w:val="fr-FR"/>
              </w:rPr>
              <w:t>IB. Situation et tendances</w:t>
            </w:r>
          </w:p>
        </w:tc>
      </w:tr>
      <w:tr w:rsidR="003246FC" w:rsidRPr="003A6336" w14:paraId="2291208D" w14:textId="77777777" w:rsidTr="009B4355">
        <w:tc>
          <w:tcPr>
            <w:tcW w:w="4497" w:type="dxa"/>
            <w:tcMar>
              <w:top w:w="15" w:type="dxa"/>
              <w:left w:w="180" w:type="dxa"/>
              <w:right w:w="15" w:type="dxa"/>
            </w:tcMar>
            <w:vAlign w:val="center"/>
          </w:tcPr>
          <w:p w14:paraId="605583D5" w14:textId="77777777" w:rsidR="003246FC" w:rsidRPr="003A6336" w:rsidRDefault="003246FC" w:rsidP="009B4355">
            <w:pPr>
              <w:rPr>
                <w:rFonts w:ascii="Aptos" w:hAnsi="Aptos"/>
              </w:rPr>
            </w:pPr>
            <w:r w:rsidRPr="003A6336">
              <w:rPr>
                <w:rFonts w:ascii="Aptos" w:eastAsia="Segoe UI" w:hAnsi="Aptos" w:cs="Segoe UI"/>
                <w:color w:val="0F1115"/>
              </w:rPr>
              <w:t>IIA. Status summary</w:t>
            </w:r>
          </w:p>
        </w:tc>
        <w:tc>
          <w:tcPr>
            <w:tcW w:w="4712" w:type="dxa"/>
            <w:tcMar>
              <w:top w:w="15" w:type="dxa"/>
              <w:left w:w="180" w:type="dxa"/>
              <w:right w:w="15" w:type="dxa"/>
            </w:tcMar>
            <w:vAlign w:val="center"/>
          </w:tcPr>
          <w:p w14:paraId="4BAF63B6" w14:textId="77777777" w:rsidR="003246FC" w:rsidRPr="0096345A" w:rsidRDefault="003246FC" w:rsidP="009B4355">
            <w:pPr>
              <w:rPr>
                <w:rFonts w:ascii="Aptos" w:hAnsi="Aptos"/>
                <w:lang w:val="fr-FR"/>
              </w:rPr>
            </w:pPr>
            <w:r w:rsidRPr="0096345A">
              <w:rPr>
                <w:lang w:val="fr-FR"/>
              </w:rPr>
              <w:t xml:space="preserve">IIA. </w:t>
            </w:r>
            <w:r>
              <w:rPr>
                <w:lang w:val="fr-FR"/>
              </w:rPr>
              <w:t>Résumé</w:t>
            </w:r>
            <w:r w:rsidRPr="0096345A">
              <w:rPr>
                <w:lang w:val="fr-FR"/>
              </w:rPr>
              <w:t xml:space="preserve"> de la situation</w:t>
            </w:r>
          </w:p>
        </w:tc>
      </w:tr>
      <w:tr w:rsidR="003246FC" w:rsidRPr="003A6336" w14:paraId="6B093056" w14:textId="77777777" w:rsidTr="009B4355">
        <w:tc>
          <w:tcPr>
            <w:tcW w:w="4497" w:type="dxa"/>
            <w:tcMar>
              <w:top w:w="15" w:type="dxa"/>
              <w:left w:w="180" w:type="dxa"/>
              <w:right w:w="15" w:type="dxa"/>
            </w:tcMar>
            <w:vAlign w:val="center"/>
          </w:tcPr>
          <w:p w14:paraId="349A7620" w14:textId="77777777" w:rsidR="003246FC" w:rsidRPr="003A6336" w:rsidRDefault="003246FC" w:rsidP="009B4355">
            <w:pPr>
              <w:rPr>
                <w:rFonts w:ascii="Aptos" w:hAnsi="Aptos"/>
              </w:rPr>
            </w:pPr>
            <w:r w:rsidRPr="003A6336">
              <w:rPr>
                <w:rFonts w:ascii="Aptos" w:eastAsia="Segoe UI" w:hAnsi="Aptos" w:cs="Segoe UI"/>
                <w:color w:val="0F1115"/>
              </w:rPr>
              <w:t>Conclusions of the global report (Part III)</w:t>
            </w:r>
          </w:p>
        </w:tc>
        <w:tc>
          <w:tcPr>
            <w:tcW w:w="4712" w:type="dxa"/>
            <w:tcMar>
              <w:top w:w="15" w:type="dxa"/>
              <w:left w:w="180" w:type="dxa"/>
              <w:right w:w="15" w:type="dxa"/>
            </w:tcMar>
            <w:vAlign w:val="center"/>
          </w:tcPr>
          <w:p w14:paraId="24B2663E" w14:textId="77777777" w:rsidR="003246FC" w:rsidRPr="0096345A" w:rsidRDefault="003246FC" w:rsidP="009B4355">
            <w:pPr>
              <w:rPr>
                <w:rFonts w:ascii="Aptos" w:hAnsi="Aptos"/>
                <w:lang w:val="fr-FR"/>
              </w:rPr>
            </w:pPr>
            <w:r w:rsidRPr="0096345A">
              <w:rPr>
                <w:lang w:val="fr-FR"/>
              </w:rPr>
              <w:t>Conclusions du rapport mondial (Partie III)</w:t>
            </w:r>
          </w:p>
        </w:tc>
      </w:tr>
      <w:tr w:rsidR="003246FC" w:rsidRPr="003A6336" w14:paraId="225149D1" w14:textId="77777777" w:rsidTr="009B4355">
        <w:tc>
          <w:tcPr>
            <w:tcW w:w="4497" w:type="dxa"/>
            <w:tcMar>
              <w:top w:w="15" w:type="dxa"/>
              <w:left w:w="180" w:type="dxa"/>
              <w:right w:w="15" w:type="dxa"/>
            </w:tcMar>
            <w:vAlign w:val="center"/>
          </w:tcPr>
          <w:p w14:paraId="5A904EF3" w14:textId="77777777" w:rsidR="003246FC" w:rsidRPr="003A6336" w:rsidRDefault="003246FC" w:rsidP="009B4355">
            <w:pPr>
              <w:rPr>
                <w:rFonts w:ascii="Aptos" w:hAnsi="Aptos"/>
              </w:rPr>
            </w:pPr>
            <w:r w:rsidRPr="003A6336">
              <w:rPr>
                <w:rFonts w:ascii="Aptos" w:eastAsia="Segoe UI" w:hAnsi="Aptos" w:cs="Segoe UI"/>
                <w:color w:val="0F1115"/>
              </w:rPr>
              <w:t>Convention decisions and documents</w:t>
            </w:r>
          </w:p>
        </w:tc>
        <w:tc>
          <w:tcPr>
            <w:tcW w:w="4712" w:type="dxa"/>
            <w:tcMar>
              <w:top w:w="15" w:type="dxa"/>
              <w:left w:w="180" w:type="dxa"/>
              <w:right w:w="15" w:type="dxa"/>
            </w:tcMar>
            <w:vAlign w:val="center"/>
          </w:tcPr>
          <w:p w14:paraId="6D3195EB" w14:textId="77777777" w:rsidR="003246FC" w:rsidRPr="0096345A" w:rsidRDefault="003246FC" w:rsidP="009B4355">
            <w:pPr>
              <w:rPr>
                <w:rFonts w:ascii="Aptos" w:hAnsi="Aptos"/>
                <w:lang w:val="fr-FR"/>
              </w:rPr>
            </w:pPr>
            <w:r w:rsidRPr="0096345A">
              <w:rPr>
                <w:lang w:val="fr-FR"/>
              </w:rPr>
              <w:t>Décisions et documents de la Convention</w:t>
            </w:r>
          </w:p>
        </w:tc>
      </w:tr>
      <w:tr w:rsidR="003246FC" w:rsidRPr="003A6336" w14:paraId="46F2EA4F" w14:textId="77777777" w:rsidTr="009B4355">
        <w:tc>
          <w:tcPr>
            <w:tcW w:w="4497" w:type="dxa"/>
            <w:tcMar>
              <w:top w:w="15" w:type="dxa"/>
              <w:left w:w="180" w:type="dxa"/>
              <w:right w:w="15" w:type="dxa"/>
            </w:tcMar>
            <w:vAlign w:val="center"/>
          </w:tcPr>
          <w:p w14:paraId="23898AB4" w14:textId="77777777" w:rsidR="003246FC" w:rsidRPr="003A6336" w:rsidRDefault="003246FC" w:rsidP="009B4355">
            <w:pPr>
              <w:rPr>
                <w:rFonts w:ascii="Aptos" w:hAnsi="Aptos"/>
              </w:rPr>
            </w:pPr>
            <w:r w:rsidRPr="003A6336">
              <w:rPr>
                <w:rFonts w:ascii="Aptos" w:eastAsia="Segoe UI" w:hAnsi="Aptos" w:cs="Segoe UI"/>
                <w:color w:val="0F1115"/>
              </w:rPr>
              <w:t>GBO5, IPBES, peer- reviewed literature</w:t>
            </w:r>
          </w:p>
        </w:tc>
        <w:tc>
          <w:tcPr>
            <w:tcW w:w="4712" w:type="dxa"/>
            <w:tcMar>
              <w:top w:w="15" w:type="dxa"/>
              <w:left w:w="180" w:type="dxa"/>
              <w:right w:w="15" w:type="dxa"/>
            </w:tcMar>
            <w:vAlign w:val="center"/>
          </w:tcPr>
          <w:p w14:paraId="6E9AE292" w14:textId="77777777" w:rsidR="003246FC" w:rsidRPr="0096345A" w:rsidRDefault="003246FC" w:rsidP="009B4355">
            <w:pPr>
              <w:rPr>
                <w:rFonts w:ascii="Aptos" w:hAnsi="Aptos"/>
                <w:lang w:val="fr-FR"/>
              </w:rPr>
            </w:pPr>
            <w:r>
              <w:rPr>
                <w:lang w:val="fr-FR"/>
              </w:rPr>
              <w:t xml:space="preserve">Perspectives </w:t>
            </w:r>
            <w:r w:rsidRPr="0096345A">
              <w:rPr>
                <w:lang w:val="fr-FR"/>
              </w:rPr>
              <w:t>5, IPBES, littérature évaluée par des pairs</w:t>
            </w:r>
          </w:p>
        </w:tc>
      </w:tr>
      <w:tr w:rsidR="003246FC" w:rsidRPr="003A6336" w14:paraId="0E362FE1" w14:textId="77777777" w:rsidTr="009B4355">
        <w:tc>
          <w:tcPr>
            <w:tcW w:w="4497" w:type="dxa"/>
            <w:tcMar>
              <w:top w:w="15" w:type="dxa"/>
              <w:left w:w="180" w:type="dxa"/>
              <w:right w:w="15" w:type="dxa"/>
            </w:tcMar>
            <w:vAlign w:val="center"/>
          </w:tcPr>
          <w:p w14:paraId="7013A87F" w14:textId="77777777" w:rsidR="003246FC" w:rsidRPr="003A6336" w:rsidRDefault="003246FC" w:rsidP="009B4355">
            <w:pPr>
              <w:rPr>
                <w:rFonts w:ascii="Aptos" w:hAnsi="Aptos"/>
              </w:rPr>
            </w:pPr>
            <w:r w:rsidRPr="003A6336">
              <w:rPr>
                <w:rFonts w:ascii="Aptos" w:eastAsia="Segoe UI" w:hAnsi="Aptos" w:cs="Segoe UI"/>
                <w:color w:val="0F1115"/>
              </w:rPr>
              <w:t>Synthesis of key messages</w:t>
            </w:r>
          </w:p>
        </w:tc>
        <w:tc>
          <w:tcPr>
            <w:tcW w:w="4712" w:type="dxa"/>
            <w:tcMar>
              <w:top w:w="15" w:type="dxa"/>
              <w:left w:w="180" w:type="dxa"/>
              <w:right w:w="15" w:type="dxa"/>
            </w:tcMar>
            <w:vAlign w:val="center"/>
          </w:tcPr>
          <w:p w14:paraId="3D33FB23" w14:textId="77777777" w:rsidR="003246FC" w:rsidRPr="0096345A" w:rsidRDefault="003246FC" w:rsidP="009B4355">
            <w:pPr>
              <w:rPr>
                <w:rFonts w:ascii="Aptos" w:hAnsi="Aptos"/>
                <w:lang w:val="fr-FR"/>
              </w:rPr>
            </w:pPr>
            <w:r w:rsidRPr="0096345A">
              <w:rPr>
                <w:lang w:val="fr-FR"/>
              </w:rPr>
              <w:t>Synthèse des messages clés</w:t>
            </w:r>
          </w:p>
        </w:tc>
      </w:tr>
      <w:tr w:rsidR="003246FC" w:rsidRPr="003A6336" w14:paraId="14FA914D" w14:textId="77777777" w:rsidTr="009B4355">
        <w:tc>
          <w:tcPr>
            <w:tcW w:w="4497" w:type="dxa"/>
            <w:tcMar>
              <w:top w:w="15" w:type="dxa"/>
              <w:left w:w="180" w:type="dxa"/>
              <w:right w:w="15" w:type="dxa"/>
            </w:tcMar>
            <w:vAlign w:val="center"/>
          </w:tcPr>
          <w:p w14:paraId="4FD78D20" w14:textId="77777777" w:rsidR="003246FC" w:rsidRPr="003A6336" w:rsidRDefault="003246FC" w:rsidP="009B4355">
            <w:pPr>
              <w:rPr>
                <w:rFonts w:ascii="Aptos" w:hAnsi="Aptos"/>
              </w:rPr>
            </w:pPr>
            <w:r w:rsidRPr="003A6336">
              <w:rPr>
                <w:rFonts w:ascii="Aptos" w:eastAsia="Segoe UI" w:hAnsi="Aptos" w:cs="Segoe UI"/>
                <w:color w:val="0F1115"/>
              </w:rPr>
              <w:t>Narrative summary</w:t>
            </w:r>
          </w:p>
        </w:tc>
        <w:tc>
          <w:tcPr>
            <w:tcW w:w="4712" w:type="dxa"/>
            <w:tcMar>
              <w:top w:w="15" w:type="dxa"/>
              <w:left w:w="180" w:type="dxa"/>
              <w:right w:w="15" w:type="dxa"/>
            </w:tcMar>
            <w:vAlign w:val="center"/>
          </w:tcPr>
          <w:p w14:paraId="1B4DDBEB" w14:textId="77777777" w:rsidR="003246FC" w:rsidRPr="0096345A" w:rsidRDefault="003246FC" w:rsidP="009B4355">
            <w:pPr>
              <w:rPr>
                <w:rFonts w:ascii="Aptos" w:hAnsi="Aptos"/>
                <w:lang w:val="fr-FR"/>
              </w:rPr>
            </w:pPr>
            <w:r w:rsidRPr="0096345A">
              <w:rPr>
                <w:lang w:val="fr-FR"/>
              </w:rPr>
              <w:t>Résumé narratif</w:t>
            </w:r>
          </w:p>
        </w:tc>
      </w:tr>
      <w:tr w:rsidR="003246FC" w:rsidRPr="003A6336" w14:paraId="106C3475" w14:textId="77777777" w:rsidTr="009B4355">
        <w:tc>
          <w:tcPr>
            <w:tcW w:w="4497" w:type="dxa"/>
            <w:tcMar>
              <w:top w:w="15" w:type="dxa"/>
              <w:left w:w="180" w:type="dxa"/>
              <w:right w:w="15" w:type="dxa"/>
            </w:tcMar>
            <w:vAlign w:val="center"/>
          </w:tcPr>
          <w:p w14:paraId="6BA50306" w14:textId="77777777" w:rsidR="003246FC" w:rsidRPr="003A6336" w:rsidRDefault="003246FC" w:rsidP="009B4355">
            <w:pPr>
              <w:rPr>
                <w:rFonts w:ascii="Aptos" w:hAnsi="Aptos"/>
              </w:rPr>
            </w:pPr>
            <w:r w:rsidRPr="003A6336">
              <w:rPr>
                <w:rFonts w:ascii="Aptos" w:eastAsia="Segoe UI" w:hAnsi="Aptos" w:cs="Segoe UI"/>
                <w:color w:val="0F1115"/>
              </w:rPr>
              <w:t>Review of documents, synthesis and summary</w:t>
            </w:r>
          </w:p>
        </w:tc>
        <w:tc>
          <w:tcPr>
            <w:tcW w:w="4712" w:type="dxa"/>
            <w:tcMar>
              <w:top w:w="15" w:type="dxa"/>
              <w:left w:w="180" w:type="dxa"/>
              <w:right w:w="15" w:type="dxa"/>
            </w:tcMar>
            <w:vAlign w:val="center"/>
          </w:tcPr>
          <w:p w14:paraId="3471E508" w14:textId="77777777" w:rsidR="003246FC" w:rsidRPr="0096345A" w:rsidRDefault="003246FC" w:rsidP="009B4355">
            <w:pPr>
              <w:rPr>
                <w:rFonts w:ascii="Aptos" w:hAnsi="Aptos"/>
                <w:lang w:val="fr-FR"/>
              </w:rPr>
            </w:pPr>
            <w:r w:rsidRPr="0096345A">
              <w:rPr>
                <w:lang w:val="fr-FR"/>
              </w:rPr>
              <w:t>Examen des documents, synthèse et résumé</w:t>
            </w:r>
          </w:p>
        </w:tc>
      </w:tr>
      <w:tr w:rsidR="003246FC" w:rsidRPr="003A6336" w14:paraId="77FDCF2F" w14:textId="77777777" w:rsidTr="009B4355">
        <w:tc>
          <w:tcPr>
            <w:tcW w:w="4497" w:type="dxa"/>
            <w:tcMar>
              <w:top w:w="15" w:type="dxa"/>
              <w:left w:w="180" w:type="dxa"/>
              <w:right w:w="15" w:type="dxa"/>
            </w:tcMar>
            <w:vAlign w:val="center"/>
          </w:tcPr>
          <w:p w14:paraId="22252A19" w14:textId="77777777" w:rsidR="003246FC" w:rsidRPr="003A6336" w:rsidRDefault="003246FC" w:rsidP="009B4355">
            <w:pPr>
              <w:rPr>
                <w:rFonts w:ascii="Aptos" w:hAnsi="Aptos"/>
              </w:rPr>
            </w:pPr>
            <w:r w:rsidRPr="003A6336">
              <w:rPr>
                <w:rFonts w:ascii="Aptos" w:eastAsia="Segoe UI" w:hAnsi="Aptos" w:cs="Segoe UI"/>
                <w:color w:val="0F1115"/>
              </w:rPr>
              <w:t>Context and background of the GR</w:t>
            </w:r>
          </w:p>
        </w:tc>
        <w:tc>
          <w:tcPr>
            <w:tcW w:w="4712" w:type="dxa"/>
            <w:tcMar>
              <w:top w:w="15" w:type="dxa"/>
              <w:left w:w="180" w:type="dxa"/>
              <w:right w:w="15" w:type="dxa"/>
            </w:tcMar>
            <w:vAlign w:val="center"/>
          </w:tcPr>
          <w:p w14:paraId="06CCC066" w14:textId="77777777" w:rsidR="003246FC" w:rsidRPr="0096345A" w:rsidRDefault="003246FC" w:rsidP="009B4355">
            <w:pPr>
              <w:rPr>
                <w:rFonts w:ascii="Aptos" w:hAnsi="Aptos"/>
                <w:lang w:val="fr-FR"/>
              </w:rPr>
            </w:pPr>
            <w:r w:rsidRPr="0096345A">
              <w:rPr>
                <w:lang w:val="fr-FR"/>
              </w:rPr>
              <w:t>Contexte et antécédents du rapport mondial</w:t>
            </w:r>
          </w:p>
        </w:tc>
      </w:tr>
      <w:tr w:rsidR="003246FC" w:rsidRPr="003A6336" w14:paraId="62C10C9D" w14:textId="77777777" w:rsidTr="009B4355">
        <w:tc>
          <w:tcPr>
            <w:tcW w:w="4497" w:type="dxa"/>
            <w:tcMar>
              <w:top w:w="15" w:type="dxa"/>
              <w:left w:w="180" w:type="dxa"/>
              <w:right w:w="15" w:type="dxa"/>
            </w:tcMar>
            <w:vAlign w:val="center"/>
          </w:tcPr>
          <w:p w14:paraId="5F023EE0" w14:textId="77777777" w:rsidR="003246FC" w:rsidRPr="003A6336" w:rsidRDefault="003246FC" w:rsidP="009B4355">
            <w:pPr>
              <w:rPr>
                <w:rFonts w:ascii="Aptos" w:hAnsi="Aptos"/>
              </w:rPr>
            </w:pPr>
            <w:r w:rsidRPr="003A6336">
              <w:rPr>
                <w:rFonts w:ascii="Aptos" w:eastAsia="Segoe UI" w:hAnsi="Aptos" w:cs="Segoe UI"/>
                <w:color w:val="0F1115"/>
              </w:rPr>
              <w:t>Overall status and trends summary</w:t>
            </w:r>
          </w:p>
        </w:tc>
        <w:tc>
          <w:tcPr>
            <w:tcW w:w="4712" w:type="dxa"/>
            <w:tcMar>
              <w:top w:w="15" w:type="dxa"/>
              <w:left w:w="180" w:type="dxa"/>
              <w:right w:w="15" w:type="dxa"/>
            </w:tcMar>
            <w:vAlign w:val="center"/>
          </w:tcPr>
          <w:p w14:paraId="7432FA81" w14:textId="77777777" w:rsidR="003246FC" w:rsidRPr="0096345A" w:rsidRDefault="003246FC" w:rsidP="009B4355">
            <w:pPr>
              <w:rPr>
                <w:rFonts w:ascii="Aptos" w:hAnsi="Aptos"/>
                <w:lang w:val="fr-FR"/>
              </w:rPr>
            </w:pPr>
            <w:r>
              <w:rPr>
                <w:lang w:val="fr-FR"/>
              </w:rPr>
              <w:t>Résumé</w:t>
            </w:r>
            <w:r w:rsidRPr="0096345A">
              <w:rPr>
                <w:lang w:val="fr-FR"/>
              </w:rPr>
              <w:t xml:space="preserve"> de la situation et des tendances</w:t>
            </w:r>
          </w:p>
        </w:tc>
      </w:tr>
      <w:tr w:rsidR="003246FC" w:rsidRPr="003A6336" w14:paraId="79CD8322" w14:textId="77777777" w:rsidTr="009B4355">
        <w:tc>
          <w:tcPr>
            <w:tcW w:w="4497" w:type="dxa"/>
            <w:tcMar>
              <w:top w:w="15" w:type="dxa"/>
              <w:left w:w="180" w:type="dxa"/>
              <w:right w:w="15" w:type="dxa"/>
            </w:tcMar>
            <w:vAlign w:val="center"/>
          </w:tcPr>
          <w:p w14:paraId="230DD6A7" w14:textId="77777777" w:rsidR="003246FC" w:rsidRPr="003A6336" w:rsidRDefault="003246FC" w:rsidP="009B4355">
            <w:pPr>
              <w:rPr>
                <w:rFonts w:ascii="Aptos" w:hAnsi="Aptos"/>
              </w:rPr>
            </w:pPr>
            <w:r w:rsidRPr="003A6336">
              <w:rPr>
                <w:rFonts w:ascii="Aptos" w:eastAsia="Segoe UI" w:hAnsi="Aptos" w:cs="Segoe UI"/>
                <w:color w:val="0F1115"/>
              </w:rPr>
              <w:t xml:space="preserve">Summary of status of NBSAPs, NTs, 7NRs and </w:t>
            </w:r>
            <w:r>
              <w:rPr>
                <w:rFonts w:ascii="Aptos" w:eastAsia="Segoe UI" w:hAnsi="Aptos" w:cs="Segoe UI"/>
                <w:color w:val="0F1115"/>
              </w:rPr>
              <w:t xml:space="preserve">AONG </w:t>
            </w:r>
            <w:r w:rsidRPr="003A6336">
              <w:rPr>
                <w:rFonts w:ascii="Aptos" w:eastAsia="Segoe UI" w:hAnsi="Aptos" w:cs="Segoe UI"/>
                <w:color w:val="0F1115"/>
              </w:rPr>
              <w:t>commitments</w:t>
            </w:r>
          </w:p>
        </w:tc>
        <w:tc>
          <w:tcPr>
            <w:tcW w:w="4712" w:type="dxa"/>
            <w:tcMar>
              <w:top w:w="15" w:type="dxa"/>
              <w:left w:w="180" w:type="dxa"/>
              <w:right w:w="15" w:type="dxa"/>
            </w:tcMar>
            <w:vAlign w:val="center"/>
          </w:tcPr>
          <w:p w14:paraId="64F0828F" w14:textId="77777777" w:rsidR="003246FC" w:rsidRPr="0096345A" w:rsidRDefault="003246FC" w:rsidP="009B4355">
            <w:pPr>
              <w:rPr>
                <w:rFonts w:ascii="Aptos" w:hAnsi="Aptos"/>
                <w:lang w:val="fr-FR"/>
              </w:rPr>
            </w:pPr>
            <w:r>
              <w:rPr>
                <w:lang w:val="fr-FR"/>
              </w:rPr>
              <w:t>Résumé</w:t>
            </w:r>
            <w:r w:rsidRPr="0096345A">
              <w:rPr>
                <w:lang w:val="fr-FR"/>
              </w:rPr>
              <w:t xml:space="preserve"> de l</w:t>
            </w:r>
            <w:r>
              <w:rPr>
                <w:lang w:val="fr-FR"/>
              </w:rPr>
              <w:t>’</w:t>
            </w:r>
            <w:r w:rsidRPr="0096345A">
              <w:rPr>
                <w:lang w:val="fr-FR"/>
              </w:rPr>
              <w:t>état d</w:t>
            </w:r>
            <w:r>
              <w:rPr>
                <w:lang w:val="fr-FR"/>
              </w:rPr>
              <w:t>’</w:t>
            </w:r>
            <w:r w:rsidRPr="0096345A">
              <w:rPr>
                <w:lang w:val="fr-FR"/>
              </w:rPr>
              <w:t>avancement des SPANB, des cibles nationales (</w:t>
            </w:r>
            <w:r>
              <w:rPr>
                <w:lang w:val="fr-FR"/>
              </w:rPr>
              <w:t>CN</w:t>
            </w:r>
            <w:r w:rsidRPr="0096345A">
              <w:rPr>
                <w:lang w:val="fr-FR"/>
              </w:rPr>
              <w:t>), des 7</w:t>
            </w:r>
            <w:r w:rsidRPr="0096345A">
              <w:rPr>
                <w:vertAlign w:val="superscript"/>
                <w:lang w:val="fr-FR"/>
              </w:rPr>
              <w:t>e</w:t>
            </w:r>
            <w:r w:rsidRPr="0096345A">
              <w:rPr>
                <w:lang w:val="fr-FR"/>
              </w:rPr>
              <w:t xml:space="preserve"> rapports nationaux (7NR) et des engagements des AONG</w:t>
            </w:r>
          </w:p>
        </w:tc>
      </w:tr>
      <w:tr w:rsidR="003246FC" w:rsidRPr="003A6336" w14:paraId="71723831" w14:textId="77777777" w:rsidTr="009B4355">
        <w:tc>
          <w:tcPr>
            <w:tcW w:w="4497" w:type="dxa"/>
            <w:tcMar>
              <w:top w:w="15" w:type="dxa"/>
              <w:left w:w="180" w:type="dxa"/>
              <w:right w:w="15" w:type="dxa"/>
            </w:tcMar>
            <w:vAlign w:val="center"/>
          </w:tcPr>
          <w:p w14:paraId="5C2CB1BA" w14:textId="77777777" w:rsidR="003246FC" w:rsidRPr="003A6336" w:rsidRDefault="003246FC" w:rsidP="009B4355">
            <w:pPr>
              <w:rPr>
                <w:rFonts w:ascii="Aptos" w:hAnsi="Aptos"/>
              </w:rPr>
            </w:pPr>
            <w:r w:rsidRPr="003A6336">
              <w:rPr>
                <w:rFonts w:ascii="Aptos" w:eastAsia="Segoe UI" w:hAnsi="Aptos" w:cs="Segoe UI"/>
                <w:color w:val="0F1115"/>
              </w:rPr>
              <w:t>IIB. Progress to targets</w:t>
            </w:r>
          </w:p>
        </w:tc>
        <w:tc>
          <w:tcPr>
            <w:tcW w:w="4712" w:type="dxa"/>
            <w:tcMar>
              <w:top w:w="15" w:type="dxa"/>
              <w:left w:w="180" w:type="dxa"/>
              <w:right w:w="15" w:type="dxa"/>
            </w:tcMar>
            <w:vAlign w:val="center"/>
          </w:tcPr>
          <w:p w14:paraId="39AB0882" w14:textId="77777777" w:rsidR="003246FC" w:rsidRPr="0096345A" w:rsidRDefault="003246FC" w:rsidP="009B4355">
            <w:pPr>
              <w:rPr>
                <w:rFonts w:ascii="Aptos" w:hAnsi="Aptos"/>
                <w:lang w:val="fr-FR"/>
              </w:rPr>
            </w:pPr>
            <w:r w:rsidRPr="0096345A">
              <w:rPr>
                <w:lang w:val="fr-FR"/>
              </w:rPr>
              <w:t>IIB. Progrès accomplis par rapport aux cibles</w:t>
            </w:r>
          </w:p>
        </w:tc>
      </w:tr>
      <w:tr w:rsidR="003246FC" w:rsidRPr="003A6336" w14:paraId="17C337A0" w14:textId="77777777" w:rsidTr="009B4355">
        <w:tc>
          <w:tcPr>
            <w:tcW w:w="4497" w:type="dxa"/>
            <w:tcMar>
              <w:top w:w="15" w:type="dxa"/>
              <w:left w:w="180" w:type="dxa"/>
              <w:right w:w="15" w:type="dxa"/>
            </w:tcMar>
            <w:vAlign w:val="center"/>
          </w:tcPr>
          <w:p w14:paraId="45E2AF41" w14:textId="77777777" w:rsidR="003246FC" w:rsidRPr="003A6336" w:rsidRDefault="003246FC" w:rsidP="009B4355">
            <w:pPr>
              <w:rPr>
                <w:rFonts w:ascii="Aptos" w:hAnsi="Aptos"/>
              </w:rPr>
            </w:pPr>
            <w:r w:rsidRPr="003A6336">
              <w:rPr>
                <w:rFonts w:ascii="Aptos" w:eastAsia="Segoe UI" w:hAnsi="Aptos" w:cs="Segoe UI"/>
                <w:color w:val="0F1115"/>
              </w:rPr>
              <w:t>NBSAPs</w:t>
            </w:r>
          </w:p>
        </w:tc>
        <w:tc>
          <w:tcPr>
            <w:tcW w:w="4712" w:type="dxa"/>
            <w:tcMar>
              <w:top w:w="15" w:type="dxa"/>
              <w:left w:w="180" w:type="dxa"/>
              <w:right w:w="15" w:type="dxa"/>
            </w:tcMar>
            <w:vAlign w:val="center"/>
          </w:tcPr>
          <w:p w14:paraId="246A2968" w14:textId="77777777" w:rsidR="003246FC" w:rsidRPr="0096345A" w:rsidRDefault="003246FC" w:rsidP="009B4355">
            <w:pPr>
              <w:rPr>
                <w:rFonts w:ascii="Aptos" w:hAnsi="Aptos"/>
                <w:lang w:val="fr-FR"/>
              </w:rPr>
            </w:pPr>
            <w:r w:rsidRPr="0096345A">
              <w:rPr>
                <w:lang w:val="fr-FR"/>
              </w:rPr>
              <w:t>SPANB</w:t>
            </w:r>
          </w:p>
        </w:tc>
      </w:tr>
      <w:tr w:rsidR="003246FC" w:rsidRPr="003A6336" w14:paraId="1DC9DC3D" w14:textId="77777777" w:rsidTr="009B4355">
        <w:tc>
          <w:tcPr>
            <w:tcW w:w="4497" w:type="dxa"/>
            <w:tcMar>
              <w:top w:w="15" w:type="dxa"/>
              <w:left w:w="180" w:type="dxa"/>
              <w:right w:w="15" w:type="dxa"/>
            </w:tcMar>
            <w:vAlign w:val="center"/>
          </w:tcPr>
          <w:p w14:paraId="3739BB7C" w14:textId="77777777" w:rsidR="003246FC" w:rsidRPr="003A6336" w:rsidRDefault="003246FC" w:rsidP="009B4355">
            <w:pPr>
              <w:rPr>
                <w:rFonts w:ascii="Aptos" w:hAnsi="Aptos"/>
              </w:rPr>
            </w:pPr>
            <w:r w:rsidRPr="003A6336">
              <w:rPr>
                <w:rFonts w:ascii="Aptos" w:eastAsia="Segoe UI" w:hAnsi="Aptos" w:cs="Segoe UI"/>
                <w:color w:val="0F1115"/>
              </w:rPr>
              <w:t xml:space="preserve">NTs, 7NRs, </w:t>
            </w:r>
            <w:r>
              <w:rPr>
                <w:rFonts w:ascii="Aptos" w:eastAsia="Segoe UI" w:hAnsi="Aptos" w:cs="Segoe UI"/>
                <w:color w:val="0F1115"/>
              </w:rPr>
              <w:t xml:space="preserve">AONG </w:t>
            </w:r>
            <w:r w:rsidRPr="003A6336">
              <w:rPr>
                <w:rFonts w:ascii="Aptos" w:eastAsia="Segoe UI" w:hAnsi="Aptos" w:cs="Segoe UI"/>
                <w:color w:val="0F1115"/>
              </w:rPr>
              <w:t>commitments</w:t>
            </w:r>
          </w:p>
        </w:tc>
        <w:tc>
          <w:tcPr>
            <w:tcW w:w="4712" w:type="dxa"/>
            <w:tcMar>
              <w:top w:w="15" w:type="dxa"/>
              <w:left w:w="180" w:type="dxa"/>
              <w:right w:w="15" w:type="dxa"/>
            </w:tcMar>
            <w:vAlign w:val="center"/>
          </w:tcPr>
          <w:p w14:paraId="3CDA4D07" w14:textId="77777777" w:rsidR="003246FC" w:rsidRPr="0096345A" w:rsidRDefault="003246FC" w:rsidP="009B4355">
            <w:pPr>
              <w:rPr>
                <w:rFonts w:ascii="Aptos" w:hAnsi="Aptos"/>
                <w:lang w:val="fr-FR"/>
              </w:rPr>
            </w:pPr>
            <w:r w:rsidRPr="0096345A">
              <w:rPr>
                <w:lang w:val="fr-FR"/>
              </w:rPr>
              <w:t>Cibles nationales (NT), 7</w:t>
            </w:r>
            <w:r w:rsidRPr="00A7016F">
              <w:rPr>
                <w:vertAlign w:val="superscript"/>
                <w:lang w:val="fr-FR"/>
              </w:rPr>
              <w:t>e</w:t>
            </w:r>
            <w:r w:rsidRPr="0096345A">
              <w:rPr>
                <w:lang w:val="fr-FR"/>
              </w:rPr>
              <w:t xml:space="preserve"> rapports nationaux (7NR) et engagements des AONG</w:t>
            </w:r>
          </w:p>
        </w:tc>
      </w:tr>
      <w:tr w:rsidR="003246FC" w:rsidRPr="003A6336" w14:paraId="4CE3FFFF" w14:textId="77777777" w:rsidTr="009B4355">
        <w:tc>
          <w:tcPr>
            <w:tcW w:w="4497" w:type="dxa"/>
            <w:tcMar>
              <w:top w:w="15" w:type="dxa"/>
              <w:left w:w="180" w:type="dxa"/>
              <w:right w:w="15" w:type="dxa"/>
            </w:tcMar>
            <w:vAlign w:val="center"/>
          </w:tcPr>
          <w:p w14:paraId="6412C9B4" w14:textId="77777777" w:rsidR="003246FC" w:rsidRPr="003A6336" w:rsidRDefault="003246FC" w:rsidP="009B4355">
            <w:pPr>
              <w:rPr>
                <w:rFonts w:ascii="Aptos" w:hAnsi="Aptos"/>
              </w:rPr>
            </w:pPr>
            <w:r w:rsidRPr="003A6336">
              <w:rPr>
                <w:rFonts w:ascii="Aptos" w:eastAsia="Segoe UI" w:hAnsi="Aptos" w:cs="Segoe UI"/>
                <w:color w:val="0F1115"/>
              </w:rPr>
              <w:t>National targets</w:t>
            </w:r>
          </w:p>
        </w:tc>
        <w:tc>
          <w:tcPr>
            <w:tcW w:w="4712" w:type="dxa"/>
            <w:tcMar>
              <w:top w:w="15" w:type="dxa"/>
              <w:left w:w="180" w:type="dxa"/>
              <w:right w:w="15" w:type="dxa"/>
            </w:tcMar>
            <w:vAlign w:val="center"/>
          </w:tcPr>
          <w:p w14:paraId="3FD0EB69" w14:textId="77777777" w:rsidR="003246FC" w:rsidRPr="0096345A" w:rsidRDefault="003246FC" w:rsidP="009B4355">
            <w:pPr>
              <w:rPr>
                <w:rFonts w:ascii="Aptos" w:hAnsi="Aptos"/>
                <w:lang w:val="fr-FR"/>
              </w:rPr>
            </w:pPr>
            <w:r w:rsidRPr="0096345A">
              <w:rPr>
                <w:lang w:val="fr-FR"/>
              </w:rPr>
              <w:t>Cibles nationales</w:t>
            </w:r>
          </w:p>
        </w:tc>
      </w:tr>
      <w:tr w:rsidR="003246FC" w:rsidRPr="003A6336" w14:paraId="0E8BF255" w14:textId="77777777" w:rsidTr="009B4355">
        <w:tc>
          <w:tcPr>
            <w:tcW w:w="4497" w:type="dxa"/>
            <w:tcMar>
              <w:top w:w="15" w:type="dxa"/>
              <w:left w:w="180" w:type="dxa"/>
              <w:right w:w="15" w:type="dxa"/>
            </w:tcMar>
            <w:vAlign w:val="center"/>
          </w:tcPr>
          <w:p w14:paraId="61E0C635" w14:textId="77777777" w:rsidR="003246FC" w:rsidRPr="003A6336" w:rsidRDefault="003246FC" w:rsidP="009B4355">
            <w:pPr>
              <w:rPr>
                <w:rFonts w:ascii="Aptos" w:hAnsi="Aptos"/>
              </w:rPr>
            </w:pPr>
            <w:r w:rsidRPr="003A6336">
              <w:rPr>
                <w:rFonts w:ascii="Aptos" w:eastAsia="Segoe UI" w:hAnsi="Aptos" w:cs="Segoe UI"/>
                <w:color w:val="0F1115"/>
              </w:rPr>
              <w:lastRenderedPageBreak/>
              <w:t>Indicator data (headline, binary, component, complementary and national)</w:t>
            </w:r>
          </w:p>
        </w:tc>
        <w:tc>
          <w:tcPr>
            <w:tcW w:w="4712" w:type="dxa"/>
            <w:tcMar>
              <w:top w:w="15" w:type="dxa"/>
              <w:left w:w="180" w:type="dxa"/>
              <w:right w:w="15" w:type="dxa"/>
            </w:tcMar>
            <w:vAlign w:val="center"/>
          </w:tcPr>
          <w:p w14:paraId="0720C0AA" w14:textId="77777777" w:rsidR="003246FC" w:rsidRPr="0096345A" w:rsidRDefault="003246FC" w:rsidP="009B4355">
            <w:pPr>
              <w:rPr>
                <w:rFonts w:ascii="Aptos" w:hAnsi="Aptos"/>
                <w:lang w:val="fr-FR"/>
              </w:rPr>
            </w:pPr>
            <w:r w:rsidRPr="0096345A">
              <w:rPr>
                <w:lang w:val="fr-FR"/>
              </w:rPr>
              <w:t>Données relatives aux indicateurs (générales, binaires, composantes, complémentaires et nationales)</w:t>
            </w:r>
          </w:p>
        </w:tc>
      </w:tr>
      <w:tr w:rsidR="003246FC" w:rsidRPr="003A6336" w14:paraId="28F90B90" w14:textId="77777777" w:rsidTr="009B4355">
        <w:tc>
          <w:tcPr>
            <w:tcW w:w="4497" w:type="dxa"/>
            <w:tcMar>
              <w:top w:w="15" w:type="dxa"/>
              <w:left w:w="180" w:type="dxa"/>
              <w:right w:w="15" w:type="dxa"/>
            </w:tcMar>
            <w:vAlign w:val="center"/>
          </w:tcPr>
          <w:p w14:paraId="29DC5FAD" w14:textId="77777777" w:rsidR="003246FC" w:rsidRPr="003A6336" w:rsidRDefault="003246FC" w:rsidP="009B4355">
            <w:pPr>
              <w:rPr>
                <w:rFonts w:ascii="Aptos" w:hAnsi="Aptos"/>
              </w:rPr>
            </w:pPr>
            <w:r w:rsidRPr="003A6336">
              <w:rPr>
                <w:rFonts w:ascii="Aptos" w:eastAsia="Segoe UI" w:hAnsi="Aptos" w:cs="Segoe UI"/>
                <w:color w:val="0F1115"/>
              </w:rPr>
              <w:t>Self-assessment data</w:t>
            </w:r>
          </w:p>
        </w:tc>
        <w:tc>
          <w:tcPr>
            <w:tcW w:w="4712" w:type="dxa"/>
            <w:tcMar>
              <w:top w:w="15" w:type="dxa"/>
              <w:left w:w="180" w:type="dxa"/>
              <w:right w:w="15" w:type="dxa"/>
            </w:tcMar>
            <w:vAlign w:val="center"/>
          </w:tcPr>
          <w:p w14:paraId="064F3D8D" w14:textId="77777777" w:rsidR="003246FC" w:rsidRPr="0096345A" w:rsidRDefault="003246FC" w:rsidP="009B4355">
            <w:pPr>
              <w:rPr>
                <w:rFonts w:ascii="Aptos" w:hAnsi="Aptos"/>
                <w:lang w:val="fr-FR"/>
              </w:rPr>
            </w:pPr>
            <w:r w:rsidRPr="0096345A">
              <w:rPr>
                <w:lang w:val="fr-FR"/>
              </w:rPr>
              <w:t>Données d</w:t>
            </w:r>
            <w:r>
              <w:rPr>
                <w:lang w:val="fr-FR"/>
              </w:rPr>
              <w:t>’</w:t>
            </w:r>
            <w:r w:rsidRPr="0096345A">
              <w:rPr>
                <w:lang w:val="fr-FR"/>
              </w:rPr>
              <w:t>auto-évaluation</w:t>
            </w:r>
          </w:p>
        </w:tc>
      </w:tr>
      <w:tr w:rsidR="003246FC" w:rsidRPr="003A6336" w14:paraId="09ECFDC3" w14:textId="77777777" w:rsidTr="009B4355">
        <w:tc>
          <w:tcPr>
            <w:tcW w:w="4497" w:type="dxa"/>
            <w:tcMar>
              <w:top w:w="15" w:type="dxa"/>
              <w:left w:w="180" w:type="dxa"/>
              <w:right w:w="15" w:type="dxa"/>
            </w:tcMar>
            <w:vAlign w:val="center"/>
          </w:tcPr>
          <w:p w14:paraId="753D55C5" w14:textId="77777777" w:rsidR="003246FC" w:rsidRPr="003A6336" w:rsidRDefault="003246FC" w:rsidP="009B4355">
            <w:pPr>
              <w:rPr>
                <w:rFonts w:ascii="Aptos" w:hAnsi="Aptos"/>
              </w:rPr>
            </w:pPr>
            <w:r w:rsidRPr="003A6336">
              <w:rPr>
                <w:rFonts w:ascii="Aptos" w:eastAsia="Segoe UI" w:hAnsi="Aptos" w:cs="Segoe UI"/>
                <w:color w:val="0F1115"/>
              </w:rPr>
              <w:t>Text-based sections of 7NR</w:t>
            </w:r>
          </w:p>
        </w:tc>
        <w:tc>
          <w:tcPr>
            <w:tcW w:w="4712" w:type="dxa"/>
            <w:tcMar>
              <w:top w:w="15" w:type="dxa"/>
              <w:left w:w="180" w:type="dxa"/>
              <w:right w:w="15" w:type="dxa"/>
            </w:tcMar>
            <w:vAlign w:val="center"/>
          </w:tcPr>
          <w:p w14:paraId="4D106B30" w14:textId="77777777" w:rsidR="003246FC" w:rsidRPr="0096345A" w:rsidRDefault="003246FC" w:rsidP="009B4355">
            <w:pPr>
              <w:rPr>
                <w:rFonts w:ascii="Aptos" w:hAnsi="Aptos"/>
                <w:lang w:val="fr-FR"/>
              </w:rPr>
            </w:pPr>
            <w:r w:rsidRPr="0096345A">
              <w:rPr>
                <w:lang w:val="fr-FR"/>
              </w:rPr>
              <w:t>Sections textuelles des 7</w:t>
            </w:r>
            <w:r w:rsidRPr="004D0E2A">
              <w:rPr>
                <w:vertAlign w:val="superscript"/>
                <w:lang w:val="fr-FR"/>
              </w:rPr>
              <w:t>e</w:t>
            </w:r>
            <w:r w:rsidRPr="0096345A">
              <w:rPr>
                <w:lang w:val="fr-FR"/>
              </w:rPr>
              <w:t xml:space="preserve"> rapports nationaux</w:t>
            </w:r>
          </w:p>
        </w:tc>
      </w:tr>
      <w:tr w:rsidR="003246FC" w:rsidRPr="003A6336" w14:paraId="64DBBBB4" w14:textId="77777777" w:rsidTr="009B4355">
        <w:tc>
          <w:tcPr>
            <w:tcW w:w="4497" w:type="dxa"/>
            <w:tcMar>
              <w:top w:w="15" w:type="dxa"/>
              <w:left w:w="180" w:type="dxa"/>
              <w:right w:w="15" w:type="dxa"/>
            </w:tcMar>
            <w:vAlign w:val="center"/>
          </w:tcPr>
          <w:p w14:paraId="63CFD5D7" w14:textId="77777777" w:rsidR="003246FC" w:rsidRPr="003A6336" w:rsidRDefault="003246FC" w:rsidP="009B4355">
            <w:pPr>
              <w:rPr>
                <w:rFonts w:ascii="Aptos" w:hAnsi="Aptos"/>
              </w:rPr>
            </w:pPr>
            <w:r w:rsidRPr="003A6336">
              <w:rPr>
                <w:rFonts w:ascii="Aptos" w:eastAsia="Segoe UI" w:hAnsi="Aptos" w:cs="Segoe UI"/>
                <w:color w:val="0F1115"/>
              </w:rPr>
              <w:t>IIC. Progress to goals</w:t>
            </w:r>
          </w:p>
        </w:tc>
        <w:tc>
          <w:tcPr>
            <w:tcW w:w="4712" w:type="dxa"/>
            <w:tcMar>
              <w:top w:w="15" w:type="dxa"/>
              <w:left w:w="180" w:type="dxa"/>
              <w:right w:w="15" w:type="dxa"/>
            </w:tcMar>
            <w:vAlign w:val="center"/>
          </w:tcPr>
          <w:p w14:paraId="374B7531" w14:textId="77777777" w:rsidR="003246FC" w:rsidRPr="0096345A" w:rsidRDefault="003246FC" w:rsidP="009B4355">
            <w:pPr>
              <w:rPr>
                <w:rFonts w:ascii="Aptos" w:hAnsi="Aptos"/>
                <w:lang w:val="fr-FR"/>
              </w:rPr>
            </w:pPr>
            <w:r w:rsidRPr="0096345A">
              <w:rPr>
                <w:lang w:val="fr-FR"/>
              </w:rPr>
              <w:t xml:space="preserve">IIC. Progrès accomplis </w:t>
            </w:r>
            <w:r>
              <w:rPr>
                <w:lang w:val="fr-FR"/>
              </w:rPr>
              <w:t xml:space="preserve">vers </w:t>
            </w:r>
            <w:r w:rsidRPr="0096345A">
              <w:rPr>
                <w:lang w:val="fr-FR"/>
              </w:rPr>
              <w:t>objectifs</w:t>
            </w:r>
          </w:p>
        </w:tc>
      </w:tr>
      <w:tr w:rsidR="003246FC" w:rsidRPr="003A6336" w14:paraId="6E45C156" w14:textId="77777777" w:rsidTr="009B4355">
        <w:tc>
          <w:tcPr>
            <w:tcW w:w="4497" w:type="dxa"/>
            <w:tcMar>
              <w:top w:w="15" w:type="dxa"/>
              <w:left w:w="180" w:type="dxa"/>
              <w:right w:w="15" w:type="dxa"/>
            </w:tcMar>
            <w:vAlign w:val="center"/>
          </w:tcPr>
          <w:p w14:paraId="5CBCDF9A" w14:textId="77777777" w:rsidR="003246FC" w:rsidRPr="003A6336" w:rsidRDefault="003246FC" w:rsidP="009B4355">
            <w:pPr>
              <w:rPr>
                <w:rFonts w:ascii="Aptos" w:hAnsi="Aptos"/>
              </w:rPr>
            </w:pPr>
            <w:r>
              <w:rPr>
                <w:rFonts w:ascii="Aptos" w:eastAsia="Segoe UI" w:hAnsi="Aptos" w:cs="Segoe UI"/>
                <w:color w:val="0F1115"/>
              </w:rPr>
              <w:t>AONG</w:t>
            </w:r>
            <w:r w:rsidRPr="003A6336">
              <w:rPr>
                <w:rFonts w:ascii="Aptos" w:eastAsia="Segoe UI" w:hAnsi="Aptos" w:cs="Segoe UI"/>
                <w:color w:val="0F1115"/>
              </w:rPr>
              <w:t xml:space="preserve"> commitments</w:t>
            </w:r>
          </w:p>
        </w:tc>
        <w:tc>
          <w:tcPr>
            <w:tcW w:w="4712" w:type="dxa"/>
            <w:tcMar>
              <w:top w:w="15" w:type="dxa"/>
              <w:left w:w="180" w:type="dxa"/>
              <w:right w:w="15" w:type="dxa"/>
            </w:tcMar>
            <w:vAlign w:val="center"/>
          </w:tcPr>
          <w:p w14:paraId="54DAF069" w14:textId="77777777" w:rsidR="003246FC" w:rsidRPr="0096345A" w:rsidRDefault="003246FC" w:rsidP="009B4355">
            <w:pPr>
              <w:rPr>
                <w:rFonts w:ascii="Aptos" w:hAnsi="Aptos"/>
                <w:lang w:val="fr-FR"/>
              </w:rPr>
            </w:pPr>
            <w:r w:rsidRPr="0096345A">
              <w:rPr>
                <w:lang w:val="fr-FR"/>
              </w:rPr>
              <w:t>Engagements des AONG</w:t>
            </w:r>
          </w:p>
        </w:tc>
      </w:tr>
      <w:tr w:rsidR="003246FC" w:rsidRPr="003A6336" w14:paraId="326F8CF4" w14:textId="77777777" w:rsidTr="009B4355">
        <w:tc>
          <w:tcPr>
            <w:tcW w:w="4497" w:type="dxa"/>
            <w:tcMar>
              <w:top w:w="15" w:type="dxa"/>
              <w:left w:w="180" w:type="dxa"/>
              <w:right w:w="15" w:type="dxa"/>
            </w:tcMar>
            <w:vAlign w:val="center"/>
          </w:tcPr>
          <w:p w14:paraId="0516EE3E" w14:textId="77777777" w:rsidR="003246FC" w:rsidRPr="003A6336" w:rsidRDefault="003246FC" w:rsidP="009B4355">
            <w:pPr>
              <w:rPr>
                <w:rFonts w:ascii="Aptos" w:hAnsi="Aptos"/>
              </w:rPr>
            </w:pPr>
            <w:r w:rsidRPr="003A6336">
              <w:rPr>
                <w:rFonts w:ascii="Aptos" w:eastAsia="Segoe UI" w:hAnsi="Aptos" w:cs="Segoe UI"/>
                <w:color w:val="0F1115"/>
              </w:rPr>
              <w:t>Submissions provided in response to notification No. 2025-099 and other sources listed in decision 16/32</w:t>
            </w:r>
          </w:p>
        </w:tc>
        <w:tc>
          <w:tcPr>
            <w:tcW w:w="4712" w:type="dxa"/>
            <w:tcMar>
              <w:top w:w="15" w:type="dxa"/>
              <w:left w:w="180" w:type="dxa"/>
              <w:right w:w="15" w:type="dxa"/>
            </w:tcMar>
            <w:vAlign w:val="center"/>
          </w:tcPr>
          <w:p w14:paraId="5BBE6683" w14:textId="77777777" w:rsidR="003246FC" w:rsidRPr="0096345A" w:rsidRDefault="003246FC" w:rsidP="009B4355">
            <w:pPr>
              <w:rPr>
                <w:rFonts w:ascii="Aptos" w:hAnsi="Aptos"/>
                <w:lang w:val="fr-FR"/>
              </w:rPr>
            </w:pPr>
            <w:r w:rsidRPr="0096345A">
              <w:rPr>
                <w:lang w:val="fr-FR"/>
              </w:rPr>
              <w:t>Contributions fournies en réponse à la notification n°2025-099 et autres sources énumérées dans la décision 16/32</w:t>
            </w:r>
          </w:p>
        </w:tc>
      </w:tr>
      <w:tr w:rsidR="003246FC" w:rsidRPr="003A6336" w14:paraId="7E659446" w14:textId="77777777" w:rsidTr="009B4355">
        <w:tc>
          <w:tcPr>
            <w:tcW w:w="4497" w:type="dxa"/>
            <w:tcMar>
              <w:top w:w="15" w:type="dxa"/>
              <w:left w:w="180" w:type="dxa"/>
              <w:right w:w="15" w:type="dxa"/>
            </w:tcMar>
            <w:vAlign w:val="center"/>
          </w:tcPr>
          <w:p w14:paraId="7C7F2C8D" w14:textId="77777777" w:rsidR="003246FC" w:rsidRPr="003A6336" w:rsidRDefault="003246FC" w:rsidP="009B4355">
            <w:pPr>
              <w:rPr>
                <w:rFonts w:ascii="Aptos" w:hAnsi="Aptos"/>
              </w:rPr>
            </w:pPr>
            <w:r w:rsidRPr="003A6336">
              <w:rPr>
                <w:rFonts w:ascii="Aptos" w:eastAsia="Segoe UI" w:hAnsi="Aptos" w:cs="Segoe UI"/>
                <w:color w:val="0F1115"/>
              </w:rPr>
              <w:t>National targets</w:t>
            </w:r>
          </w:p>
        </w:tc>
        <w:tc>
          <w:tcPr>
            <w:tcW w:w="4712" w:type="dxa"/>
            <w:tcMar>
              <w:top w:w="15" w:type="dxa"/>
              <w:left w:w="180" w:type="dxa"/>
              <w:right w:w="15" w:type="dxa"/>
            </w:tcMar>
            <w:vAlign w:val="center"/>
          </w:tcPr>
          <w:p w14:paraId="35DD1B1A" w14:textId="77777777" w:rsidR="003246FC" w:rsidRPr="0096345A" w:rsidRDefault="003246FC" w:rsidP="009B4355">
            <w:pPr>
              <w:rPr>
                <w:rFonts w:ascii="Aptos" w:hAnsi="Aptos"/>
                <w:lang w:val="fr-FR"/>
              </w:rPr>
            </w:pPr>
            <w:r w:rsidRPr="0096345A">
              <w:rPr>
                <w:lang w:val="fr-FR"/>
              </w:rPr>
              <w:t>Cibles nationales</w:t>
            </w:r>
          </w:p>
        </w:tc>
      </w:tr>
      <w:tr w:rsidR="003246FC" w:rsidRPr="003A6336" w14:paraId="5F5BDAFD" w14:textId="77777777" w:rsidTr="009B4355">
        <w:tc>
          <w:tcPr>
            <w:tcW w:w="4497" w:type="dxa"/>
            <w:tcMar>
              <w:top w:w="15" w:type="dxa"/>
              <w:left w:w="180" w:type="dxa"/>
              <w:right w:w="15" w:type="dxa"/>
            </w:tcMar>
            <w:vAlign w:val="center"/>
          </w:tcPr>
          <w:p w14:paraId="19F64DD9" w14:textId="77777777" w:rsidR="003246FC" w:rsidRPr="003A6336" w:rsidRDefault="003246FC" w:rsidP="009B4355">
            <w:pPr>
              <w:rPr>
                <w:rFonts w:ascii="Aptos" w:hAnsi="Aptos"/>
              </w:rPr>
            </w:pPr>
            <w:r w:rsidRPr="003A6336">
              <w:rPr>
                <w:rFonts w:ascii="Aptos" w:eastAsia="Segoe UI" w:hAnsi="Aptos" w:cs="Segoe UI"/>
                <w:color w:val="0F1115"/>
              </w:rPr>
              <w:t>Qualitative analysis (annex A)</w:t>
            </w:r>
          </w:p>
        </w:tc>
        <w:tc>
          <w:tcPr>
            <w:tcW w:w="4712" w:type="dxa"/>
            <w:tcMar>
              <w:top w:w="15" w:type="dxa"/>
              <w:left w:w="180" w:type="dxa"/>
              <w:right w:w="15" w:type="dxa"/>
            </w:tcMar>
            <w:vAlign w:val="center"/>
          </w:tcPr>
          <w:p w14:paraId="19154099" w14:textId="77777777" w:rsidR="003246FC" w:rsidRPr="0096345A" w:rsidRDefault="003246FC" w:rsidP="009B4355">
            <w:pPr>
              <w:rPr>
                <w:rFonts w:ascii="Aptos" w:hAnsi="Aptos"/>
                <w:lang w:val="fr-FR"/>
              </w:rPr>
            </w:pPr>
            <w:r w:rsidRPr="0080422C">
              <w:t>Analyse qualitative (</w:t>
            </w:r>
            <w:r>
              <w:t>annexe </w:t>
            </w:r>
            <w:r w:rsidRPr="0080422C">
              <w:t>A)</w:t>
            </w:r>
          </w:p>
        </w:tc>
      </w:tr>
      <w:tr w:rsidR="003246FC" w:rsidRPr="003A6336" w14:paraId="2303F879" w14:textId="77777777" w:rsidTr="009B4355">
        <w:tc>
          <w:tcPr>
            <w:tcW w:w="4497" w:type="dxa"/>
            <w:tcMar>
              <w:top w:w="15" w:type="dxa"/>
              <w:left w:w="180" w:type="dxa"/>
              <w:right w:w="15" w:type="dxa"/>
            </w:tcMar>
            <w:vAlign w:val="center"/>
          </w:tcPr>
          <w:p w14:paraId="61ECF898" w14:textId="77777777" w:rsidR="003246FC" w:rsidRPr="003A6336" w:rsidRDefault="003246FC" w:rsidP="009B4355">
            <w:pPr>
              <w:rPr>
                <w:rFonts w:ascii="Aptos" w:hAnsi="Aptos"/>
              </w:rPr>
            </w:pPr>
            <w:r w:rsidRPr="003A6336">
              <w:rPr>
                <w:rFonts w:ascii="Aptos" w:eastAsia="Segoe UI" w:hAnsi="Aptos" w:cs="Segoe UI"/>
                <w:color w:val="0F1115"/>
              </w:rPr>
              <w:t>Synthesis and overall counts</w:t>
            </w:r>
          </w:p>
        </w:tc>
        <w:tc>
          <w:tcPr>
            <w:tcW w:w="4712" w:type="dxa"/>
            <w:tcMar>
              <w:top w:w="15" w:type="dxa"/>
              <w:left w:w="180" w:type="dxa"/>
              <w:right w:w="15" w:type="dxa"/>
            </w:tcMar>
            <w:vAlign w:val="center"/>
          </w:tcPr>
          <w:p w14:paraId="5B09D382" w14:textId="77777777" w:rsidR="003246FC" w:rsidRPr="0096345A" w:rsidRDefault="003246FC" w:rsidP="009B4355">
            <w:pPr>
              <w:rPr>
                <w:rFonts w:ascii="Aptos" w:hAnsi="Aptos"/>
                <w:lang w:val="fr-FR"/>
              </w:rPr>
            </w:pPr>
            <w:r w:rsidRPr="0080422C">
              <w:t>Synthèse et décomptes globaux</w:t>
            </w:r>
          </w:p>
        </w:tc>
      </w:tr>
      <w:tr w:rsidR="003246FC" w:rsidRPr="003A6336" w14:paraId="11E26634" w14:textId="77777777" w:rsidTr="009B4355">
        <w:tc>
          <w:tcPr>
            <w:tcW w:w="4497" w:type="dxa"/>
            <w:tcMar>
              <w:top w:w="15" w:type="dxa"/>
              <w:left w:w="180" w:type="dxa"/>
              <w:right w:w="15" w:type="dxa"/>
            </w:tcMar>
            <w:vAlign w:val="center"/>
          </w:tcPr>
          <w:p w14:paraId="6A5FF00E" w14:textId="77777777" w:rsidR="003246FC" w:rsidRPr="003A6336" w:rsidRDefault="003246FC" w:rsidP="009B4355">
            <w:pPr>
              <w:rPr>
                <w:rFonts w:ascii="Aptos" w:hAnsi="Aptos"/>
              </w:rPr>
            </w:pPr>
            <w:r w:rsidRPr="003A6336">
              <w:rPr>
                <w:rFonts w:ascii="Aptos" w:eastAsia="Segoe UI" w:hAnsi="Aptos" w:cs="Segoe UI"/>
                <w:color w:val="0F1115"/>
              </w:rPr>
              <w:t>NT coverage analysis (annex C)</w:t>
            </w:r>
          </w:p>
        </w:tc>
        <w:tc>
          <w:tcPr>
            <w:tcW w:w="4712" w:type="dxa"/>
            <w:tcMar>
              <w:top w:w="15" w:type="dxa"/>
              <w:left w:w="180" w:type="dxa"/>
              <w:right w:w="15" w:type="dxa"/>
            </w:tcMar>
            <w:vAlign w:val="center"/>
          </w:tcPr>
          <w:p w14:paraId="7D892877" w14:textId="77777777" w:rsidR="003246FC" w:rsidRPr="0096345A" w:rsidRDefault="003246FC" w:rsidP="009B4355">
            <w:pPr>
              <w:rPr>
                <w:rFonts w:ascii="Aptos" w:hAnsi="Aptos"/>
                <w:lang w:val="fr-FR"/>
              </w:rPr>
            </w:pPr>
            <w:r w:rsidRPr="0080422C">
              <w:t>Analyse de la couverture des cibles nationales (</w:t>
            </w:r>
            <w:r>
              <w:t>annexe </w:t>
            </w:r>
            <w:r w:rsidRPr="0080422C">
              <w:t>C)</w:t>
            </w:r>
          </w:p>
        </w:tc>
      </w:tr>
      <w:tr w:rsidR="003246FC" w:rsidRPr="003A6336" w14:paraId="40F56E7E" w14:textId="77777777" w:rsidTr="009B4355">
        <w:tc>
          <w:tcPr>
            <w:tcW w:w="4497" w:type="dxa"/>
            <w:tcMar>
              <w:top w:w="15" w:type="dxa"/>
              <w:left w:w="180" w:type="dxa"/>
              <w:right w:w="15" w:type="dxa"/>
            </w:tcMar>
            <w:vAlign w:val="center"/>
          </w:tcPr>
          <w:p w14:paraId="35778DDE" w14:textId="77777777" w:rsidR="003246FC" w:rsidRPr="003A6336" w:rsidRDefault="003246FC" w:rsidP="009B4355">
            <w:pPr>
              <w:rPr>
                <w:rFonts w:ascii="Aptos" w:hAnsi="Aptos"/>
              </w:rPr>
            </w:pPr>
            <w:r w:rsidRPr="003A6336">
              <w:rPr>
                <w:rFonts w:ascii="Aptos" w:eastAsia="Segoe UI" w:hAnsi="Aptos" w:cs="Segoe UI"/>
                <w:color w:val="0F1115"/>
              </w:rPr>
              <w:t>Analysis of indicators (annex D)</w:t>
            </w:r>
          </w:p>
        </w:tc>
        <w:tc>
          <w:tcPr>
            <w:tcW w:w="4712" w:type="dxa"/>
            <w:tcMar>
              <w:top w:w="15" w:type="dxa"/>
              <w:left w:w="180" w:type="dxa"/>
              <w:right w:w="15" w:type="dxa"/>
            </w:tcMar>
            <w:vAlign w:val="center"/>
          </w:tcPr>
          <w:p w14:paraId="468A413C" w14:textId="77777777" w:rsidR="003246FC" w:rsidRPr="0096345A" w:rsidRDefault="003246FC" w:rsidP="009B4355">
            <w:pPr>
              <w:rPr>
                <w:rFonts w:ascii="Aptos" w:hAnsi="Aptos"/>
                <w:lang w:val="fr-FR"/>
              </w:rPr>
            </w:pPr>
            <w:r w:rsidRPr="0080422C">
              <w:t>Analyse des indicateurs (</w:t>
            </w:r>
            <w:r>
              <w:t>annexe </w:t>
            </w:r>
            <w:r w:rsidRPr="0080422C">
              <w:t>D)</w:t>
            </w:r>
          </w:p>
        </w:tc>
      </w:tr>
      <w:tr w:rsidR="003246FC" w:rsidRPr="003A6336" w14:paraId="15FF2A29" w14:textId="77777777" w:rsidTr="009B4355">
        <w:tc>
          <w:tcPr>
            <w:tcW w:w="4497" w:type="dxa"/>
            <w:tcMar>
              <w:top w:w="15" w:type="dxa"/>
              <w:left w:w="180" w:type="dxa"/>
              <w:right w:w="15" w:type="dxa"/>
            </w:tcMar>
            <w:vAlign w:val="center"/>
          </w:tcPr>
          <w:p w14:paraId="229CAD7E" w14:textId="77777777" w:rsidR="003246FC" w:rsidRPr="003A6336" w:rsidRDefault="003246FC" w:rsidP="009B4355">
            <w:pPr>
              <w:rPr>
                <w:rFonts w:ascii="Aptos" w:hAnsi="Aptos"/>
              </w:rPr>
            </w:pPr>
            <w:r w:rsidRPr="003A6336">
              <w:rPr>
                <w:rFonts w:ascii="Aptos" w:eastAsia="Segoe UI" w:hAnsi="Aptos" w:cs="Segoe UI"/>
                <w:color w:val="0F1115"/>
              </w:rPr>
              <w:t>Headline indicators</w:t>
            </w:r>
          </w:p>
        </w:tc>
        <w:tc>
          <w:tcPr>
            <w:tcW w:w="4712" w:type="dxa"/>
            <w:tcMar>
              <w:top w:w="15" w:type="dxa"/>
              <w:left w:w="180" w:type="dxa"/>
              <w:right w:w="15" w:type="dxa"/>
            </w:tcMar>
            <w:vAlign w:val="center"/>
          </w:tcPr>
          <w:p w14:paraId="6FB88CD1" w14:textId="77777777" w:rsidR="003246FC" w:rsidRPr="0096345A" w:rsidRDefault="003246FC" w:rsidP="009B4355">
            <w:pPr>
              <w:rPr>
                <w:rFonts w:ascii="Aptos" w:hAnsi="Aptos"/>
                <w:lang w:val="fr-FR"/>
              </w:rPr>
            </w:pPr>
            <w:r w:rsidRPr="0080422C">
              <w:t>Indicateurs principaux</w:t>
            </w:r>
          </w:p>
        </w:tc>
      </w:tr>
      <w:tr w:rsidR="003246FC" w:rsidRPr="003A6336" w14:paraId="5F26236D" w14:textId="77777777" w:rsidTr="009B4355">
        <w:tc>
          <w:tcPr>
            <w:tcW w:w="4497" w:type="dxa"/>
            <w:tcMar>
              <w:top w:w="15" w:type="dxa"/>
              <w:left w:w="180" w:type="dxa"/>
              <w:right w:w="15" w:type="dxa"/>
            </w:tcMar>
            <w:vAlign w:val="center"/>
          </w:tcPr>
          <w:p w14:paraId="790120A9" w14:textId="77777777" w:rsidR="003246FC" w:rsidRPr="003A6336" w:rsidRDefault="003246FC" w:rsidP="009B4355">
            <w:pPr>
              <w:rPr>
                <w:rFonts w:ascii="Aptos" w:hAnsi="Aptos"/>
              </w:rPr>
            </w:pPr>
            <w:r w:rsidRPr="003A6336">
              <w:rPr>
                <w:rFonts w:ascii="Aptos" w:eastAsia="Segoe UI" w:hAnsi="Aptos" w:cs="Segoe UI"/>
                <w:color w:val="0F1115"/>
              </w:rPr>
              <w:t>Binary indicators</w:t>
            </w:r>
          </w:p>
        </w:tc>
        <w:tc>
          <w:tcPr>
            <w:tcW w:w="4712" w:type="dxa"/>
            <w:tcMar>
              <w:top w:w="15" w:type="dxa"/>
              <w:left w:w="180" w:type="dxa"/>
              <w:right w:w="15" w:type="dxa"/>
            </w:tcMar>
            <w:vAlign w:val="center"/>
          </w:tcPr>
          <w:p w14:paraId="3B4EF552" w14:textId="77777777" w:rsidR="003246FC" w:rsidRPr="0096345A" w:rsidRDefault="003246FC" w:rsidP="009B4355">
            <w:pPr>
              <w:rPr>
                <w:rFonts w:ascii="Aptos" w:hAnsi="Aptos"/>
                <w:lang w:val="fr-FR"/>
              </w:rPr>
            </w:pPr>
            <w:r w:rsidRPr="0080422C">
              <w:t>Indicateurs binaires</w:t>
            </w:r>
          </w:p>
        </w:tc>
      </w:tr>
      <w:tr w:rsidR="003246FC" w:rsidRPr="003A6336" w14:paraId="0677B781" w14:textId="77777777" w:rsidTr="009B4355">
        <w:tc>
          <w:tcPr>
            <w:tcW w:w="4497" w:type="dxa"/>
            <w:tcMar>
              <w:top w:w="15" w:type="dxa"/>
              <w:left w:w="180" w:type="dxa"/>
              <w:right w:w="15" w:type="dxa"/>
            </w:tcMar>
            <w:vAlign w:val="center"/>
          </w:tcPr>
          <w:p w14:paraId="552A083A" w14:textId="77777777" w:rsidR="003246FC" w:rsidRPr="003A6336" w:rsidRDefault="003246FC" w:rsidP="009B4355">
            <w:pPr>
              <w:rPr>
                <w:rFonts w:ascii="Aptos" w:hAnsi="Aptos"/>
              </w:rPr>
            </w:pPr>
            <w:r w:rsidRPr="003A6336">
              <w:rPr>
                <w:rFonts w:ascii="Aptos" w:eastAsia="Segoe UI" w:hAnsi="Aptos" w:cs="Segoe UI"/>
                <w:color w:val="0F1115"/>
              </w:rPr>
              <w:t>All quantitative indicators</w:t>
            </w:r>
          </w:p>
        </w:tc>
        <w:tc>
          <w:tcPr>
            <w:tcW w:w="4712" w:type="dxa"/>
            <w:tcMar>
              <w:top w:w="15" w:type="dxa"/>
              <w:left w:w="180" w:type="dxa"/>
              <w:right w:w="15" w:type="dxa"/>
            </w:tcMar>
            <w:vAlign w:val="center"/>
          </w:tcPr>
          <w:p w14:paraId="488A8E08" w14:textId="77777777" w:rsidR="003246FC" w:rsidRPr="0096345A" w:rsidRDefault="003246FC" w:rsidP="009B4355">
            <w:pPr>
              <w:rPr>
                <w:rFonts w:ascii="Aptos" w:hAnsi="Aptos"/>
                <w:lang w:val="fr-FR"/>
              </w:rPr>
            </w:pPr>
            <w:r w:rsidRPr="0080422C">
              <w:t>Tous les indicateurs quantitatifs</w:t>
            </w:r>
          </w:p>
        </w:tc>
      </w:tr>
      <w:tr w:rsidR="003246FC" w:rsidRPr="003A6336" w14:paraId="16A86980" w14:textId="77777777" w:rsidTr="009B4355">
        <w:tc>
          <w:tcPr>
            <w:tcW w:w="4497" w:type="dxa"/>
            <w:tcMar>
              <w:top w:w="15" w:type="dxa"/>
              <w:left w:w="180" w:type="dxa"/>
              <w:right w:w="15" w:type="dxa"/>
            </w:tcMar>
            <w:vAlign w:val="center"/>
          </w:tcPr>
          <w:p w14:paraId="39C7873C" w14:textId="77777777" w:rsidR="003246FC" w:rsidRPr="003A6336" w:rsidRDefault="003246FC" w:rsidP="009B4355">
            <w:pPr>
              <w:rPr>
                <w:rFonts w:ascii="Aptos" w:hAnsi="Aptos"/>
              </w:rPr>
            </w:pPr>
            <w:r w:rsidRPr="003A6336">
              <w:rPr>
                <w:rFonts w:ascii="Aptos" w:eastAsia="Segoe UI" w:hAnsi="Aptos" w:cs="Segoe UI"/>
                <w:color w:val="0F1115"/>
              </w:rPr>
              <w:t>Self-assessment analysis (annex E)</w:t>
            </w:r>
          </w:p>
        </w:tc>
        <w:tc>
          <w:tcPr>
            <w:tcW w:w="4712" w:type="dxa"/>
            <w:tcMar>
              <w:top w:w="15" w:type="dxa"/>
              <w:left w:w="180" w:type="dxa"/>
              <w:right w:w="15" w:type="dxa"/>
            </w:tcMar>
            <w:vAlign w:val="center"/>
          </w:tcPr>
          <w:p w14:paraId="369BEB8E" w14:textId="77777777" w:rsidR="003246FC" w:rsidRPr="0096345A" w:rsidRDefault="003246FC" w:rsidP="009B4355">
            <w:pPr>
              <w:rPr>
                <w:rFonts w:ascii="Aptos" w:hAnsi="Aptos"/>
                <w:lang w:val="fr-FR"/>
              </w:rPr>
            </w:pPr>
            <w:r w:rsidRPr="0080422C">
              <w:t>Analyse d</w:t>
            </w:r>
            <w:r>
              <w:t>’</w:t>
            </w:r>
            <w:r w:rsidRPr="0080422C">
              <w:t>auto-évaluation (</w:t>
            </w:r>
            <w:r>
              <w:t>annexe </w:t>
            </w:r>
            <w:r w:rsidRPr="0080422C">
              <w:t>E)</w:t>
            </w:r>
          </w:p>
        </w:tc>
      </w:tr>
      <w:tr w:rsidR="003246FC" w:rsidRPr="003A6336" w14:paraId="706C07AE" w14:textId="77777777" w:rsidTr="009B4355">
        <w:tc>
          <w:tcPr>
            <w:tcW w:w="4497" w:type="dxa"/>
            <w:tcMar>
              <w:top w:w="15" w:type="dxa"/>
              <w:left w:w="180" w:type="dxa"/>
              <w:right w:w="15" w:type="dxa"/>
            </w:tcMar>
            <w:vAlign w:val="center"/>
          </w:tcPr>
          <w:p w14:paraId="55E40ED8" w14:textId="77777777" w:rsidR="003246FC" w:rsidRPr="003A6336" w:rsidRDefault="003246FC" w:rsidP="009B4355">
            <w:pPr>
              <w:rPr>
                <w:rFonts w:ascii="Aptos" w:hAnsi="Aptos"/>
              </w:rPr>
            </w:pPr>
            <w:r w:rsidRPr="003A6336">
              <w:rPr>
                <w:rFonts w:ascii="Aptos" w:eastAsia="Segoe UI" w:hAnsi="Aptos" w:cs="Segoe UI"/>
                <w:color w:val="0F1115"/>
              </w:rPr>
              <w:t>Semantic analysis and synthesis (annex F)</w:t>
            </w:r>
          </w:p>
        </w:tc>
        <w:tc>
          <w:tcPr>
            <w:tcW w:w="4712" w:type="dxa"/>
            <w:tcMar>
              <w:top w:w="15" w:type="dxa"/>
              <w:left w:w="180" w:type="dxa"/>
              <w:right w:w="15" w:type="dxa"/>
            </w:tcMar>
            <w:vAlign w:val="center"/>
          </w:tcPr>
          <w:p w14:paraId="291A48EA" w14:textId="77777777" w:rsidR="003246FC" w:rsidRPr="0096345A" w:rsidRDefault="003246FC" w:rsidP="009B4355">
            <w:pPr>
              <w:rPr>
                <w:rFonts w:ascii="Aptos" w:hAnsi="Aptos"/>
                <w:lang w:val="fr-FR"/>
              </w:rPr>
            </w:pPr>
            <w:r w:rsidRPr="0080422C">
              <w:t>Analyse et synthèse sémantiques (</w:t>
            </w:r>
            <w:r>
              <w:t>annexe </w:t>
            </w:r>
            <w:r w:rsidRPr="0080422C">
              <w:t>F)</w:t>
            </w:r>
          </w:p>
        </w:tc>
      </w:tr>
      <w:tr w:rsidR="003246FC" w:rsidRPr="003A6336" w14:paraId="40765392" w14:textId="77777777" w:rsidTr="009B4355">
        <w:tc>
          <w:tcPr>
            <w:tcW w:w="4497" w:type="dxa"/>
            <w:tcMar>
              <w:top w:w="15" w:type="dxa"/>
              <w:left w:w="180" w:type="dxa"/>
              <w:right w:w="15" w:type="dxa"/>
            </w:tcMar>
            <w:vAlign w:val="center"/>
          </w:tcPr>
          <w:p w14:paraId="7B6F93C5" w14:textId="77777777" w:rsidR="003246FC" w:rsidRPr="003A6336" w:rsidRDefault="003246FC" w:rsidP="009B4355">
            <w:pPr>
              <w:rPr>
                <w:rFonts w:ascii="Aptos" w:hAnsi="Aptos"/>
              </w:rPr>
            </w:pPr>
            <w:r w:rsidRPr="003A6336">
              <w:rPr>
                <w:rFonts w:ascii="Aptos" w:eastAsia="Segoe UI" w:hAnsi="Aptos" w:cs="Segoe UI"/>
                <w:color w:val="0F1115"/>
              </w:rPr>
              <w:t>Case study co-development (annex G)</w:t>
            </w:r>
          </w:p>
        </w:tc>
        <w:tc>
          <w:tcPr>
            <w:tcW w:w="4712" w:type="dxa"/>
            <w:tcMar>
              <w:top w:w="15" w:type="dxa"/>
              <w:left w:w="180" w:type="dxa"/>
              <w:right w:w="15" w:type="dxa"/>
            </w:tcMar>
            <w:vAlign w:val="center"/>
          </w:tcPr>
          <w:p w14:paraId="0284EC9F" w14:textId="77777777" w:rsidR="003246FC" w:rsidRPr="0096345A" w:rsidRDefault="003246FC" w:rsidP="009B4355">
            <w:pPr>
              <w:rPr>
                <w:rFonts w:ascii="Aptos" w:hAnsi="Aptos"/>
                <w:lang w:val="fr-FR"/>
              </w:rPr>
            </w:pPr>
            <w:r w:rsidRPr="0080422C">
              <w:t>Élaboration conjointe d</w:t>
            </w:r>
            <w:r>
              <w:t>’</w:t>
            </w:r>
            <w:r w:rsidRPr="0080422C">
              <w:t>études de cas (</w:t>
            </w:r>
            <w:r>
              <w:t>annexe </w:t>
            </w:r>
            <w:r w:rsidRPr="0080422C">
              <w:t>G)</w:t>
            </w:r>
          </w:p>
        </w:tc>
      </w:tr>
      <w:tr w:rsidR="003246FC" w:rsidRPr="003A6336" w14:paraId="16B9F84B" w14:textId="77777777" w:rsidTr="009B4355">
        <w:tc>
          <w:tcPr>
            <w:tcW w:w="4497" w:type="dxa"/>
            <w:tcMar>
              <w:top w:w="15" w:type="dxa"/>
              <w:left w:w="180" w:type="dxa"/>
              <w:right w:w="15" w:type="dxa"/>
            </w:tcMar>
            <w:vAlign w:val="center"/>
          </w:tcPr>
          <w:p w14:paraId="1670F0A5" w14:textId="77777777" w:rsidR="003246FC" w:rsidRPr="003A6336" w:rsidRDefault="003246FC" w:rsidP="009B4355">
            <w:pPr>
              <w:rPr>
                <w:rFonts w:ascii="Aptos" w:hAnsi="Aptos"/>
              </w:rPr>
            </w:pPr>
            <w:r w:rsidRPr="003A6336">
              <w:rPr>
                <w:rFonts w:ascii="Aptos" w:eastAsia="Segoe UI" w:hAnsi="Aptos" w:cs="Segoe UI"/>
                <w:color w:val="0F1115"/>
              </w:rPr>
              <w:t>Semantic analysis and synthesis (annex B)</w:t>
            </w:r>
          </w:p>
        </w:tc>
        <w:tc>
          <w:tcPr>
            <w:tcW w:w="4712" w:type="dxa"/>
            <w:tcMar>
              <w:top w:w="15" w:type="dxa"/>
              <w:left w:w="180" w:type="dxa"/>
              <w:right w:w="15" w:type="dxa"/>
            </w:tcMar>
            <w:vAlign w:val="center"/>
          </w:tcPr>
          <w:p w14:paraId="05CCA3F1" w14:textId="77777777" w:rsidR="003246FC" w:rsidRPr="0096345A" w:rsidRDefault="003246FC" w:rsidP="009B4355">
            <w:pPr>
              <w:rPr>
                <w:rFonts w:ascii="Aptos" w:hAnsi="Aptos"/>
                <w:lang w:val="fr-FR"/>
              </w:rPr>
            </w:pPr>
            <w:r w:rsidRPr="0080422C">
              <w:t>Analyse et synthèse sémantiques (</w:t>
            </w:r>
            <w:r>
              <w:t>annexe </w:t>
            </w:r>
            <w:r w:rsidRPr="0080422C">
              <w:t>B)</w:t>
            </w:r>
          </w:p>
        </w:tc>
      </w:tr>
      <w:tr w:rsidR="003246FC" w:rsidRPr="003A6336" w14:paraId="5B40113B" w14:textId="77777777" w:rsidTr="009B4355">
        <w:tc>
          <w:tcPr>
            <w:tcW w:w="4497" w:type="dxa"/>
            <w:tcMar>
              <w:top w:w="15" w:type="dxa"/>
              <w:left w:w="180" w:type="dxa"/>
              <w:right w:w="15" w:type="dxa"/>
            </w:tcMar>
            <w:vAlign w:val="center"/>
          </w:tcPr>
          <w:p w14:paraId="7777215F" w14:textId="77777777" w:rsidR="003246FC" w:rsidRPr="003A6336" w:rsidRDefault="003246FC" w:rsidP="009B4355">
            <w:pPr>
              <w:rPr>
                <w:rFonts w:ascii="Aptos" w:hAnsi="Aptos"/>
              </w:rPr>
            </w:pPr>
            <w:r w:rsidRPr="003A6336">
              <w:rPr>
                <w:rFonts w:ascii="Aptos" w:eastAsia="Segoe UI" w:hAnsi="Aptos" w:cs="Segoe UI"/>
                <w:color w:val="0F1115"/>
              </w:rPr>
              <w:t>Review, synthesis and summary</w:t>
            </w:r>
          </w:p>
        </w:tc>
        <w:tc>
          <w:tcPr>
            <w:tcW w:w="4712" w:type="dxa"/>
            <w:tcMar>
              <w:top w:w="15" w:type="dxa"/>
              <w:left w:w="180" w:type="dxa"/>
              <w:right w:w="15" w:type="dxa"/>
            </w:tcMar>
            <w:vAlign w:val="center"/>
          </w:tcPr>
          <w:p w14:paraId="30482855" w14:textId="77777777" w:rsidR="003246FC" w:rsidRPr="0096345A" w:rsidRDefault="003246FC" w:rsidP="009B4355">
            <w:pPr>
              <w:rPr>
                <w:rFonts w:ascii="Aptos" w:hAnsi="Aptos"/>
                <w:lang w:val="fr-FR"/>
              </w:rPr>
            </w:pPr>
            <w:r w:rsidRPr="0080422C">
              <w:t xml:space="preserve">Examen, synthèse et </w:t>
            </w:r>
            <w:r>
              <w:t>résumé</w:t>
            </w:r>
          </w:p>
        </w:tc>
      </w:tr>
      <w:tr w:rsidR="003246FC" w:rsidRPr="003A6336" w14:paraId="566D30B2" w14:textId="77777777" w:rsidTr="009B4355">
        <w:tc>
          <w:tcPr>
            <w:tcW w:w="4497" w:type="dxa"/>
            <w:tcMar>
              <w:top w:w="15" w:type="dxa"/>
              <w:left w:w="180" w:type="dxa"/>
              <w:right w:w="15" w:type="dxa"/>
            </w:tcMar>
            <w:vAlign w:val="center"/>
          </w:tcPr>
          <w:p w14:paraId="43E1E1CB" w14:textId="77777777" w:rsidR="003246FC" w:rsidRPr="003A6336" w:rsidRDefault="003246FC" w:rsidP="009B4355">
            <w:pPr>
              <w:rPr>
                <w:rFonts w:ascii="Aptos" w:hAnsi="Aptos"/>
              </w:rPr>
            </w:pPr>
            <w:r w:rsidRPr="003A6336">
              <w:rPr>
                <w:rFonts w:ascii="Aptos" w:eastAsia="Segoe UI" w:hAnsi="Aptos" w:cs="Segoe UI"/>
                <w:color w:val="0F1115"/>
              </w:rPr>
              <w:t>Element coverage table</w:t>
            </w:r>
          </w:p>
        </w:tc>
        <w:tc>
          <w:tcPr>
            <w:tcW w:w="4712" w:type="dxa"/>
            <w:tcMar>
              <w:top w:w="15" w:type="dxa"/>
              <w:left w:w="180" w:type="dxa"/>
              <w:right w:w="15" w:type="dxa"/>
            </w:tcMar>
            <w:vAlign w:val="center"/>
          </w:tcPr>
          <w:p w14:paraId="4BA00F06" w14:textId="77777777" w:rsidR="003246FC" w:rsidRPr="0096345A" w:rsidRDefault="003246FC" w:rsidP="009B4355">
            <w:pPr>
              <w:rPr>
                <w:rFonts w:ascii="Aptos" w:hAnsi="Aptos"/>
                <w:lang w:val="fr-FR"/>
              </w:rPr>
            </w:pPr>
            <w:r w:rsidRPr="0080422C">
              <w:t>Tableau de couverture des éléments</w:t>
            </w:r>
          </w:p>
        </w:tc>
      </w:tr>
      <w:tr w:rsidR="003246FC" w:rsidRPr="003A6336" w14:paraId="390C6C6A" w14:textId="77777777" w:rsidTr="009B4355">
        <w:tc>
          <w:tcPr>
            <w:tcW w:w="4497" w:type="dxa"/>
            <w:tcMar>
              <w:top w:w="15" w:type="dxa"/>
              <w:left w:w="180" w:type="dxa"/>
              <w:right w:w="15" w:type="dxa"/>
            </w:tcMar>
            <w:vAlign w:val="center"/>
          </w:tcPr>
          <w:p w14:paraId="35F1FC80" w14:textId="77777777" w:rsidR="003246FC" w:rsidRPr="003A6336" w:rsidRDefault="003246FC" w:rsidP="009B4355">
            <w:pPr>
              <w:rPr>
                <w:rFonts w:ascii="Aptos" w:hAnsi="Aptos"/>
              </w:rPr>
            </w:pPr>
            <w:r w:rsidRPr="003A6336">
              <w:rPr>
                <w:rFonts w:ascii="Aptos" w:eastAsia="Segoe UI" w:hAnsi="Aptos" w:cs="Segoe UI"/>
                <w:color w:val="0F1115"/>
              </w:rPr>
              <w:t>Headline status and trends</w:t>
            </w:r>
          </w:p>
        </w:tc>
        <w:tc>
          <w:tcPr>
            <w:tcW w:w="4712" w:type="dxa"/>
            <w:tcMar>
              <w:top w:w="15" w:type="dxa"/>
              <w:left w:w="180" w:type="dxa"/>
              <w:right w:w="15" w:type="dxa"/>
            </w:tcMar>
            <w:vAlign w:val="center"/>
          </w:tcPr>
          <w:p w14:paraId="1F707A31" w14:textId="77777777" w:rsidR="003246FC" w:rsidRPr="0096345A" w:rsidRDefault="003246FC" w:rsidP="009B4355">
            <w:pPr>
              <w:rPr>
                <w:rFonts w:ascii="Aptos" w:hAnsi="Aptos"/>
                <w:lang w:val="fr-FR"/>
              </w:rPr>
            </w:pPr>
            <w:r w:rsidRPr="0080422C">
              <w:t>Situation et tendances des indicateurs généraux</w:t>
            </w:r>
          </w:p>
        </w:tc>
      </w:tr>
      <w:tr w:rsidR="003246FC" w:rsidRPr="003A6336" w14:paraId="6C06CEF1" w14:textId="77777777" w:rsidTr="009B4355">
        <w:tc>
          <w:tcPr>
            <w:tcW w:w="4497" w:type="dxa"/>
            <w:tcMar>
              <w:top w:w="15" w:type="dxa"/>
              <w:left w:w="180" w:type="dxa"/>
              <w:right w:w="15" w:type="dxa"/>
            </w:tcMar>
            <w:vAlign w:val="center"/>
          </w:tcPr>
          <w:p w14:paraId="2CA7E458" w14:textId="77777777" w:rsidR="003246FC" w:rsidRPr="003A6336" w:rsidRDefault="003246FC" w:rsidP="009B4355">
            <w:pPr>
              <w:rPr>
                <w:rFonts w:ascii="Aptos" w:hAnsi="Aptos"/>
              </w:rPr>
            </w:pPr>
            <w:r w:rsidRPr="003A6336">
              <w:rPr>
                <w:rFonts w:ascii="Aptos" w:eastAsia="Segoe UI" w:hAnsi="Aptos" w:cs="Segoe UI"/>
                <w:color w:val="0F1115"/>
              </w:rPr>
              <w:t>Binary scores</w:t>
            </w:r>
          </w:p>
        </w:tc>
        <w:tc>
          <w:tcPr>
            <w:tcW w:w="4712" w:type="dxa"/>
            <w:tcMar>
              <w:top w:w="15" w:type="dxa"/>
              <w:left w:w="180" w:type="dxa"/>
              <w:right w:w="15" w:type="dxa"/>
            </w:tcMar>
            <w:vAlign w:val="center"/>
          </w:tcPr>
          <w:p w14:paraId="3FEFC289" w14:textId="77777777" w:rsidR="003246FC" w:rsidRPr="0096345A" w:rsidRDefault="003246FC" w:rsidP="009B4355">
            <w:pPr>
              <w:rPr>
                <w:rFonts w:ascii="Aptos" w:hAnsi="Aptos"/>
                <w:lang w:val="fr-FR"/>
              </w:rPr>
            </w:pPr>
            <w:r w:rsidRPr="0080422C">
              <w:t>Scores binaires</w:t>
            </w:r>
          </w:p>
        </w:tc>
      </w:tr>
      <w:tr w:rsidR="003246FC" w:rsidRPr="003A6336" w14:paraId="7217533F" w14:textId="77777777" w:rsidTr="009B4355">
        <w:tc>
          <w:tcPr>
            <w:tcW w:w="4497" w:type="dxa"/>
            <w:tcMar>
              <w:top w:w="15" w:type="dxa"/>
              <w:left w:w="180" w:type="dxa"/>
              <w:right w:w="15" w:type="dxa"/>
            </w:tcMar>
            <w:vAlign w:val="center"/>
          </w:tcPr>
          <w:p w14:paraId="5C3DF733" w14:textId="77777777" w:rsidR="003246FC" w:rsidRPr="003A6336" w:rsidRDefault="003246FC" w:rsidP="009B4355">
            <w:pPr>
              <w:rPr>
                <w:rFonts w:ascii="Aptos" w:hAnsi="Aptos"/>
              </w:rPr>
            </w:pPr>
            <w:r w:rsidRPr="003A6336">
              <w:rPr>
                <w:rFonts w:ascii="Aptos" w:eastAsia="Segoe UI" w:hAnsi="Aptos" w:cs="Segoe UI"/>
                <w:color w:val="0F1115"/>
              </w:rPr>
              <w:t>Trends in quantitative indicators</w:t>
            </w:r>
          </w:p>
        </w:tc>
        <w:tc>
          <w:tcPr>
            <w:tcW w:w="4712" w:type="dxa"/>
            <w:tcMar>
              <w:top w:w="15" w:type="dxa"/>
              <w:left w:w="180" w:type="dxa"/>
              <w:right w:w="15" w:type="dxa"/>
            </w:tcMar>
            <w:vAlign w:val="center"/>
          </w:tcPr>
          <w:p w14:paraId="50413EE9" w14:textId="77777777" w:rsidR="003246FC" w:rsidRPr="0096345A" w:rsidRDefault="003246FC" w:rsidP="009B4355">
            <w:pPr>
              <w:rPr>
                <w:rFonts w:ascii="Aptos" w:hAnsi="Aptos"/>
                <w:lang w:val="fr-FR"/>
              </w:rPr>
            </w:pPr>
            <w:r w:rsidRPr="0080422C">
              <w:t>Tendances des indicateurs quantitatifs</w:t>
            </w:r>
          </w:p>
        </w:tc>
      </w:tr>
      <w:tr w:rsidR="003246FC" w:rsidRPr="003A6336" w14:paraId="78EA179D" w14:textId="77777777" w:rsidTr="009B4355">
        <w:tc>
          <w:tcPr>
            <w:tcW w:w="4497" w:type="dxa"/>
            <w:tcMar>
              <w:top w:w="15" w:type="dxa"/>
              <w:left w:w="180" w:type="dxa"/>
              <w:right w:w="15" w:type="dxa"/>
            </w:tcMar>
            <w:vAlign w:val="center"/>
          </w:tcPr>
          <w:p w14:paraId="03E19997" w14:textId="77777777" w:rsidR="003246FC" w:rsidRPr="003A6336" w:rsidRDefault="003246FC" w:rsidP="009B4355">
            <w:pPr>
              <w:rPr>
                <w:rFonts w:ascii="Aptos" w:hAnsi="Aptos"/>
              </w:rPr>
            </w:pPr>
            <w:r w:rsidRPr="003A6336">
              <w:rPr>
                <w:rFonts w:ascii="Aptos" w:eastAsia="Segoe UI" w:hAnsi="Aptos" w:cs="Segoe UI"/>
                <w:color w:val="0F1115"/>
              </w:rPr>
              <w:t>NT progress summary</w:t>
            </w:r>
          </w:p>
        </w:tc>
        <w:tc>
          <w:tcPr>
            <w:tcW w:w="4712" w:type="dxa"/>
            <w:tcMar>
              <w:top w:w="15" w:type="dxa"/>
              <w:left w:w="180" w:type="dxa"/>
              <w:right w:w="15" w:type="dxa"/>
            </w:tcMar>
            <w:vAlign w:val="center"/>
          </w:tcPr>
          <w:p w14:paraId="00CDF985" w14:textId="77777777" w:rsidR="003246FC" w:rsidRPr="0096345A" w:rsidRDefault="003246FC" w:rsidP="009B4355">
            <w:pPr>
              <w:rPr>
                <w:rFonts w:ascii="Aptos" w:hAnsi="Aptos"/>
                <w:lang w:val="fr-FR"/>
              </w:rPr>
            </w:pPr>
            <w:r w:rsidRPr="0080422C">
              <w:t xml:space="preserve">Résumé des progrès </w:t>
            </w:r>
            <w:r>
              <w:t>accomplish sur les CN</w:t>
            </w:r>
          </w:p>
        </w:tc>
      </w:tr>
      <w:tr w:rsidR="003246FC" w:rsidRPr="003A6336" w14:paraId="07E443C1" w14:textId="77777777" w:rsidTr="009B4355">
        <w:tc>
          <w:tcPr>
            <w:tcW w:w="4497" w:type="dxa"/>
            <w:tcMar>
              <w:top w:w="15" w:type="dxa"/>
              <w:left w:w="180" w:type="dxa"/>
              <w:right w:w="15" w:type="dxa"/>
            </w:tcMar>
            <w:vAlign w:val="center"/>
          </w:tcPr>
          <w:p w14:paraId="4798D9FF" w14:textId="77777777" w:rsidR="003246FC" w:rsidRPr="003A6336" w:rsidRDefault="003246FC" w:rsidP="009B4355">
            <w:pPr>
              <w:rPr>
                <w:rFonts w:ascii="Aptos" w:hAnsi="Aptos"/>
              </w:rPr>
            </w:pPr>
            <w:r w:rsidRPr="003A6336">
              <w:rPr>
                <w:rFonts w:ascii="Aptos" w:eastAsia="Segoe UI" w:hAnsi="Aptos" w:cs="Segoe UI"/>
                <w:color w:val="0F1115"/>
              </w:rPr>
              <w:t>Summaries of (a) actions, successes and challenges and (b) AONG contributions</w:t>
            </w:r>
          </w:p>
        </w:tc>
        <w:tc>
          <w:tcPr>
            <w:tcW w:w="4712" w:type="dxa"/>
            <w:tcMar>
              <w:top w:w="15" w:type="dxa"/>
              <w:left w:w="180" w:type="dxa"/>
              <w:right w:w="15" w:type="dxa"/>
            </w:tcMar>
            <w:vAlign w:val="center"/>
          </w:tcPr>
          <w:p w14:paraId="4DEFE9AC" w14:textId="77777777" w:rsidR="003246FC" w:rsidRPr="0096345A" w:rsidRDefault="003246FC" w:rsidP="009B4355">
            <w:pPr>
              <w:rPr>
                <w:rFonts w:ascii="Aptos" w:hAnsi="Aptos"/>
                <w:lang w:val="fr-FR"/>
              </w:rPr>
            </w:pPr>
            <w:r>
              <w:t>Résumé</w:t>
            </w:r>
            <w:r w:rsidRPr="0080422C">
              <w:t xml:space="preserve">s a) des actions, des réussites et des </w:t>
            </w:r>
            <w:r>
              <w:t>difficulté</w:t>
            </w:r>
            <w:r w:rsidRPr="0080422C">
              <w:t>s et b) des contributions des AONG</w:t>
            </w:r>
          </w:p>
        </w:tc>
      </w:tr>
      <w:tr w:rsidR="003246FC" w:rsidRPr="003A6336" w14:paraId="15F1D9F7" w14:textId="77777777" w:rsidTr="009B4355">
        <w:tc>
          <w:tcPr>
            <w:tcW w:w="4497" w:type="dxa"/>
            <w:tcMar>
              <w:top w:w="15" w:type="dxa"/>
              <w:left w:w="180" w:type="dxa"/>
              <w:right w:w="15" w:type="dxa"/>
            </w:tcMar>
            <w:vAlign w:val="center"/>
          </w:tcPr>
          <w:p w14:paraId="5B07F58A" w14:textId="77777777" w:rsidR="003246FC" w:rsidRPr="003A6336" w:rsidRDefault="003246FC" w:rsidP="009B4355">
            <w:pPr>
              <w:rPr>
                <w:rFonts w:ascii="Aptos" w:hAnsi="Aptos"/>
              </w:rPr>
            </w:pPr>
            <w:r w:rsidRPr="003A6336">
              <w:rPr>
                <w:rFonts w:ascii="Aptos" w:eastAsia="Segoe UI" w:hAnsi="Aptos" w:cs="Segoe UI"/>
                <w:color w:val="0F1115"/>
              </w:rPr>
              <w:t>Case studies and boxed examples</w:t>
            </w:r>
          </w:p>
        </w:tc>
        <w:tc>
          <w:tcPr>
            <w:tcW w:w="4712" w:type="dxa"/>
            <w:tcMar>
              <w:top w:w="15" w:type="dxa"/>
              <w:left w:w="180" w:type="dxa"/>
              <w:right w:w="15" w:type="dxa"/>
            </w:tcMar>
            <w:vAlign w:val="center"/>
          </w:tcPr>
          <w:p w14:paraId="5B639256" w14:textId="77777777" w:rsidR="003246FC" w:rsidRPr="0096345A" w:rsidRDefault="003246FC" w:rsidP="009B4355">
            <w:pPr>
              <w:rPr>
                <w:rFonts w:ascii="Aptos" w:hAnsi="Aptos"/>
                <w:lang w:val="fr-FR"/>
              </w:rPr>
            </w:pPr>
            <w:r w:rsidRPr="0080422C">
              <w:t>Études de cas et exemples présentés dans des encadrés</w:t>
            </w:r>
          </w:p>
        </w:tc>
      </w:tr>
      <w:tr w:rsidR="003246FC" w:rsidRPr="003A6336" w14:paraId="78DC7A2E" w14:textId="77777777" w:rsidTr="009B4355">
        <w:tc>
          <w:tcPr>
            <w:tcW w:w="4497" w:type="dxa"/>
            <w:tcMar>
              <w:top w:w="15" w:type="dxa"/>
              <w:left w:w="180" w:type="dxa"/>
              <w:right w:w="15" w:type="dxa"/>
            </w:tcMar>
            <w:vAlign w:val="center"/>
          </w:tcPr>
          <w:p w14:paraId="7A43A1B5" w14:textId="77777777" w:rsidR="003246FC" w:rsidRPr="003A6336" w:rsidRDefault="003246FC" w:rsidP="009B4355">
            <w:pPr>
              <w:rPr>
                <w:rFonts w:ascii="Aptos" w:hAnsi="Aptos"/>
              </w:rPr>
            </w:pPr>
            <w:r w:rsidRPr="003A6336">
              <w:rPr>
                <w:rFonts w:ascii="Aptos" w:eastAsia="Segoe UI" w:hAnsi="Aptos" w:cs="Segoe UI"/>
                <w:color w:val="0F1115"/>
              </w:rPr>
              <w:t xml:space="preserve">Summary of </w:t>
            </w:r>
            <w:r>
              <w:rPr>
                <w:rFonts w:ascii="Aptos" w:eastAsia="Segoe UI" w:hAnsi="Aptos" w:cs="Segoe UI"/>
                <w:color w:val="0F1115"/>
              </w:rPr>
              <w:t xml:space="preserve">AONG </w:t>
            </w:r>
            <w:r w:rsidRPr="003A6336">
              <w:rPr>
                <w:rFonts w:ascii="Aptos" w:eastAsia="Segoe UI" w:hAnsi="Aptos" w:cs="Segoe UI"/>
                <w:color w:val="0F1115"/>
              </w:rPr>
              <w:t>contributions</w:t>
            </w:r>
          </w:p>
        </w:tc>
        <w:tc>
          <w:tcPr>
            <w:tcW w:w="4712" w:type="dxa"/>
            <w:tcMar>
              <w:top w:w="15" w:type="dxa"/>
              <w:left w:w="180" w:type="dxa"/>
              <w:right w:w="15" w:type="dxa"/>
            </w:tcMar>
            <w:vAlign w:val="center"/>
          </w:tcPr>
          <w:p w14:paraId="0F9F99D0" w14:textId="77777777" w:rsidR="003246FC" w:rsidRPr="0096345A" w:rsidRDefault="003246FC" w:rsidP="009B4355">
            <w:pPr>
              <w:rPr>
                <w:rFonts w:ascii="Aptos" w:hAnsi="Aptos"/>
                <w:lang w:val="fr-FR"/>
              </w:rPr>
            </w:pPr>
            <w:r w:rsidRPr="0080422C">
              <w:t>Résumé des contributions des AONG</w:t>
            </w:r>
          </w:p>
        </w:tc>
      </w:tr>
      <w:tr w:rsidR="003246FC" w:rsidRPr="003A6336" w14:paraId="17D3006D" w14:textId="77777777" w:rsidTr="009B4355">
        <w:tc>
          <w:tcPr>
            <w:tcW w:w="4497" w:type="dxa"/>
            <w:tcMar>
              <w:top w:w="15" w:type="dxa"/>
              <w:left w:w="180" w:type="dxa"/>
              <w:right w:w="15" w:type="dxa"/>
            </w:tcMar>
            <w:vAlign w:val="center"/>
          </w:tcPr>
          <w:p w14:paraId="3D482AB3" w14:textId="77777777" w:rsidR="003246FC" w:rsidRPr="003A6336" w:rsidRDefault="003246FC" w:rsidP="009B4355">
            <w:pPr>
              <w:rPr>
                <w:rFonts w:ascii="Aptos" w:hAnsi="Aptos"/>
              </w:rPr>
            </w:pPr>
            <w:r w:rsidRPr="003A6336">
              <w:rPr>
                <w:rFonts w:ascii="Aptos" w:eastAsia="Segoe UI" w:hAnsi="Aptos" w:cs="Segoe UI"/>
                <w:color w:val="0F1115"/>
              </w:rPr>
              <w:t>Examples of linkages per target</w:t>
            </w:r>
          </w:p>
        </w:tc>
        <w:tc>
          <w:tcPr>
            <w:tcW w:w="4712" w:type="dxa"/>
            <w:tcMar>
              <w:top w:w="15" w:type="dxa"/>
              <w:left w:w="180" w:type="dxa"/>
              <w:right w:w="15" w:type="dxa"/>
            </w:tcMar>
            <w:vAlign w:val="center"/>
          </w:tcPr>
          <w:p w14:paraId="149AF5C3" w14:textId="77777777" w:rsidR="003246FC" w:rsidRPr="0096345A" w:rsidRDefault="003246FC" w:rsidP="009B4355">
            <w:pPr>
              <w:rPr>
                <w:rFonts w:ascii="Aptos" w:hAnsi="Aptos"/>
                <w:lang w:val="fr-FR"/>
              </w:rPr>
            </w:pPr>
            <w:r w:rsidRPr="0080422C">
              <w:t>Exemples de liens par cible</w:t>
            </w:r>
          </w:p>
        </w:tc>
      </w:tr>
      <w:tr w:rsidR="003246FC" w:rsidRPr="003A6336" w14:paraId="457A09E3" w14:textId="77777777" w:rsidTr="009B4355">
        <w:tc>
          <w:tcPr>
            <w:tcW w:w="4497" w:type="dxa"/>
            <w:tcMar>
              <w:top w:w="15" w:type="dxa"/>
              <w:left w:w="180" w:type="dxa"/>
              <w:right w:w="15" w:type="dxa"/>
            </w:tcMar>
            <w:vAlign w:val="center"/>
          </w:tcPr>
          <w:p w14:paraId="14C40D1F" w14:textId="77777777" w:rsidR="003246FC" w:rsidRPr="003A6336" w:rsidRDefault="003246FC" w:rsidP="009B4355">
            <w:pPr>
              <w:rPr>
                <w:rFonts w:ascii="Aptos" w:hAnsi="Aptos"/>
              </w:rPr>
            </w:pPr>
            <w:r w:rsidRPr="003A6336">
              <w:rPr>
                <w:rFonts w:ascii="Aptos" w:eastAsia="Segoe UI" w:hAnsi="Aptos" w:cs="Segoe UI"/>
                <w:color w:val="0F1115"/>
              </w:rPr>
              <w:lastRenderedPageBreak/>
              <w:t>Indicator data (headline, binary, component, complementary and national)</w:t>
            </w:r>
          </w:p>
        </w:tc>
        <w:tc>
          <w:tcPr>
            <w:tcW w:w="4712" w:type="dxa"/>
            <w:tcMar>
              <w:top w:w="15" w:type="dxa"/>
              <w:left w:w="180" w:type="dxa"/>
              <w:right w:w="15" w:type="dxa"/>
            </w:tcMar>
            <w:vAlign w:val="center"/>
          </w:tcPr>
          <w:p w14:paraId="40382897" w14:textId="77777777" w:rsidR="003246FC" w:rsidRPr="0096345A" w:rsidRDefault="003246FC" w:rsidP="009B4355">
            <w:pPr>
              <w:rPr>
                <w:rFonts w:ascii="Aptos" w:hAnsi="Aptos"/>
                <w:lang w:val="fr-FR"/>
              </w:rPr>
            </w:pPr>
            <w:r w:rsidRPr="0080422C">
              <w:t>Données des indicateurs (principaux, binaires, composants, complémentaires et nationaux)</w:t>
            </w:r>
          </w:p>
        </w:tc>
      </w:tr>
      <w:tr w:rsidR="003246FC" w:rsidRPr="003A6336" w14:paraId="50FE6C9E" w14:textId="77777777" w:rsidTr="009B4355">
        <w:tc>
          <w:tcPr>
            <w:tcW w:w="4497" w:type="dxa"/>
            <w:tcMar>
              <w:top w:w="15" w:type="dxa"/>
              <w:left w:w="180" w:type="dxa"/>
              <w:right w:w="15" w:type="dxa"/>
            </w:tcMar>
            <w:vAlign w:val="center"/>
          </w:tcPr>
          <w:p w14:paraId="75DA2BEB" w14:textId="77777777" w:rsidR="003246FC" w:rsidRPr="003A6336" w:rsidRDefault="003246FC" w:rsidP="009B4355">
            <w:pPr>
              <w:rPr>
                <w:rFonts w:ascii="Aptos" w:hAnsi="Aptos"/>
              </w:rPr>
            </w:pPr>
            <w:r w:rsidRPr="003A6336">
              <w:rPr>
                <w:rFonts w:ascii="Aptos" w:eastAsia="Segoe UI" w:hAnsi="Aptos" w:cs="Segoe UI"/>
                <w:color w:val="0F1115"/>
              </w:rPr>
              <w:t>Text-based sections of 7NR</w:t>
            </w:r>
          </w:p>
        </w:tc>
        <w:tc>
          <w:tcPr>
            <w:tcW w:w="4712" w:type="dxa"/>
            <w:tcMar>
              <w:top w:w="15" w:type="dxa"/>
              <w:left w:w="180" w:type="dxa"/>
              <w:right w:w="15" w:type="dxa"/>
            </w:tcMar>
            <w:vAlign w:val="center"/>
          </w:tcPr>
          <w:p w14:paraId="4DD3CA23" w14:textId="77777777" w:rsidR="003246FC" w:rsidRPr="0096345A" w:rsidRDefault="003246FC" w:rsidP="009B4355">
            <w:pPr>
              <w:rPr>
                <w:rFonts w:ascii="Aptos" w:hAnsi="Aptos"/>
                <w:lang w:val="fr-FR"/>
              </w:rPr>
            </w:pPr>
            <w:r w:rsidRPr="0080422C">
              <w:t>Divisions textuelles du 7</w:t>
            </w:r>
            <w:r w:rsidRPr="00ED6CA4">
              <w:rPr>
                <w:vertAlign w:val="superscript"/>
              </w:rPr>
              <w:t>e</w:t>
            </w:r>
            <w:r w:rsidRPr="0080422C">
              <w:t xml:space="preserve"> rapport national</w:t>
            </w:r>
          </w:p>
        </w:tc>
      </w:tr>
      <w:tr w:rsidR="003246FC" w:rsidRPr="003A6336" w14:paraId="007C4AAA" w14:textId="77777777" w:rsidTr="009B4355">
        <w:tc>
          <w:tcPr>
            <w:tcW w:w="4497" w:type="dxa"/>
            <w:tcMar>
              <w:top w:w="15" w:type="dxa"/>
              <w:left w:w="180" w:type="dxa"/>
              <w:right w:w="15" w:type="dxa"/>
            </w:tcMar>
            <w:vAlign w:val="center"/>
          </w:tcPr>
          <w:p w14:paraId="4B99C350" w14:textId="77777777" w:rsidR="003246FC" w:rsidRPr="003A6336" w:rsidRDefault="003246FC" w:rsidP="009B4355">
            <w:pPr>
              <w:rPr>
                <w:rFonts w:ascii="Aptos" w:hAnsi="Aptos"/>
              </w:rPr>
            </w:pPr>
            <w:r w:rsidRPr="003A6336">
              <w:rPr>
                <w:rFonts w:ascii="Aptos" w:eastAsia="Segoe UI" w:hAnsi="Aptos" w:cs="Segoe UI"/>
                <w:color w:val="0F1115"/>
              </w:rPr>
              <w:t>Legend</w:t>
            </w:r>
          </w:p>
        </w:tc>
        <w:tc>
          <w:tcPr>
            <w:tcW w:w="4712" w:type="dxa"/>
            <w:tcMar>
              <w:top w:w="15" w:type="dxa"/>
              <w:left w:w="180" w:type="dxa"/>
              <w:right w:w="15" w:type="dxa"/>
            </w:tcMar>
            <w:vAlign w:val="center"/>
          </w:tcPr>
          <w:p w14:paraId="64E6ACB3" w14:textId="77777777" w:rsidR="003246FC" w:rsidRPr="0096345A" w:rsidRDefault="003246FC" w:rsidP="009B4355">
            <w:pPr>
              <w:rPr>
                <w:rFonts w:ascii="Aptos" w:hAnsi="Aptos"/>
                <w:lang w:val="fr-FR"/>
              </w:rPr>
            </w:pPr>
            <w:r w:rsidRPr="0080422C">
              <w:t>Légende</w:t>
            </w:r>
          </w:p>
        </w:tc>
      </w:tr>
      <w:tr w:rsidR="003246FC" w:rsidRPr="003A6336" w14:paraId="3EF2CED9" w14:textId="77777777" w:rsidTr="009B4355">
        <w:tc>
          <w:tcPr>
            <w:tcW w:w="4497" w:type="dxa"/>
            <w:tcMar>
              <w:top w:w="15" w:type="dxa"/>
              <w:left w:w="180" w:type="dxa"/>
              <w:right w:w="15" w:type="dxa"/>
            </w:tcMar>
            <w:vAlign w:val="center"/>
          </w:tcPr>
          <w:p w14:paraId="3B4903FF" w14:textId="77777777" w:rsidR="003246FC" w:rsidRPr="003A6336" w:rsidRDefault="003246FC" w:rsidP="009B4355">
            <w:pPr>
              <w:rPr>
                <w:rFonts w:ascii="Aptos" w:hAnsi="Aptos"/>
              </w:rPr>
            </w:pPr>
            <w:r w:rsidRPr="003A6336">
              <w:rPr>
                <w:rFonts w:ascii="Aptos" w:eastAsia="Segoe UI" w:hAnsi="Aptos" w:cs="Segoe UI"/>
                <w:color w:val="0F1115"/>
              </w:rPr>
              <w:t>Data source</w:t>
            </w:r>
          </w:p>
        </w:tc>
        <w:tc>
          <w:tcPr>
            <w:tcW w:w="4712" w:type="dxa"/>
            <w:tcMar>
              <w:top w:w="15" w:type="dxa"/>
              <w:left w:w="180" w:type="dxa"/>
              <w:right w:w="15" w:type="dxa"/>
            </w:tcMar>
            <w:vAlign w:val="center"/>
          </w:tcPr>
          <w:p w14:paraId="7B2B15DE" w14:textId="77777777" w:rsidR="003246FC" w:rsidRPr="0096345A" w:rsidRDefault="003246FC" w:rsidP="009B4355">
            <w:pPr>
              <w:rPr>
                <w:rFonts w:ascii="Aptos" w:hAnsi="Aptos"/>
                <w:lang w:val="fr-FR"/>
              </w:rPr>
            </w:pPr>
            <w:r w:rsidRPr="0080422C">
              <w:t>Source des données</w:t>
            </w:r>
          </w:p>
        </w:tc>
      </w:tr>
      <w:tr w:rsidR="003246FC" w:rsidRPr="003A6336" w14:paraId="0AA7DA9D" w14:textId="77777777" w:rsidTr="009B4355">
        <w:tc>
          <w:tcPr>
            <w:tcW w:w="4497" w:type="dxa"/>
            <w:tcMar>
              <w:top w:w="15" w:type="dxa"/>
              <w:left w:w="180" w:type="dxa"/>
              <w:right w:w="15" w:type="dxa"/>
            </w:tcMar>
            <w:vAlign w:val="center"/>
          </w:tcPr>
          <w:p w14:paraId="03F63593" w14:textId="77777777" w:rsidR="003246FC" w:rsidRPr="003A6336" w:rsidRDefault="003246FC" w:rsidP="009B4355">
            <w:pPr>
              <w:rPr>
                <w:rFonts w:ascii="Aptos" w:hAnsi="Aptos"/>
              </w:rPr>
            </w:pPr>
            <w:r w:rsidRPr="003A6336">
              <w:rPr>
                <w:rFonts w:ascii="Aptos" w:eastAsia="Segoe UI" w:hAnsi="Aptos" w:cs="Segoe UI"/>
                <w:color w:val="0F1115"/>
              </w:rPr>
              <w:t>Analytical method</w:t>
            </w:r>
          </w:p>
        </w:tc>
        <w:tc>
          <w:tcPr>
            <w:tcW w:w="4712" w:type="dxa"/>
            <w:tcMar>
              <w:top w:w="15" w:type="dxa"/>
              <w:left w:w="180" w:type="dxa"/>
              <w:right w:w="15" w:type="dxa"/>
            </w:tcMar>
            <w:vAlign w:val="center"/>
          </w:tcPr>
          <w:p w14:paraId="1771FA9B" w14:textId="77777777" w:rsidR="003246FC" w:rsidRPr="0096345A" w:rsidRDefault="003246FC" w:rsidP="009B4355">
            <w:pPr>
              <w:rPr>
                <w:rFonts w:ascii="Aptos" w:hAnsi="Aptos"/>
                <w:lang w:val="fr-FR"/>
              </w:rPr>
            </w:pPr>
            <w:r w:rsidRPr="0080422C">
              <w:t>Méthode d</w:t>
            </w:r>
            <w:r>
              <w:t>’</w:t>
            </w:r>
            <w:r w:rsidRPr="0080422C">
              <w:t>analyse</w:t>
            </w:r>
          </w:p>
        </w:tc>
      </w:tr>
      <w:tr w:rsidR="003246FC" w:rsidRPr="003A6336" w14:paraId="34AC2B1E" w14:textId="77777777" w:rsidTr="009B4355">
        <w:tc>
          <w:tcPr>
            <w:tcW w:w="4497" w:type="dxa"/>
            <w:tcMar>
              <w:top w:w="15" w:type="dxa"/>
              <w:left w:w="180" w:type="dxa"/>
              <w:right w:w="15" w:type="dxa"/>
            </w:tcMar>
            <w:vAlign w:val="center"/>
          </w:tcPr>
          <w:p w14:paraId="647A6564" w14:textId="77777777" w:rsidR="003246FC" w:rsidRPr="003A6336" w:rsidRDefault="003246FC" w:rsidP="009B4355">
            <w:pPr>
              <w:rPr>
                <w:rFonts w:ascii="Aptos" w:hAnsi="Aptos"/>
              </w:rPr>
            </w:pPr>
            <w:r w:rsidRPr="003A6336">
              <w:rPr>
                <w:rFonts w:ascii="Aptos" w:eastAsia="Segoe UI" w:hAnsi="Aptos" w:cs="Segoe UI"/>
                <w:color w:val="0F1115"/>
              </w:rPr>
              <w:t>Output</w:t>
            </w:r>
          </w:p>
        </w:tc>
        <w:tc>
          <w:tcPr>
            <w:tcW w:w="4712" w:type="dxa"/>
            <w:tcMar>
              <w:top w:w="15" w:type="dxa"/>
              <w:left w:w="180" w:type="dxa"/>
              <w:right w:w="15" w:type="dxa"/>
            </w:tcMar>
            <w:vAlign w:val="center"/>
          </w:tcPr>
          <w:p w14:paraId="46909B8C" w14:textId="77777777" w:rsidR="003246FC" w:rsidRPr="0096345A" w:rsidRDefault="003246FC" w:rsidP="009B4355">
            <w:pPr>
              <w:rPr>
                <w:rFonts w:ascii="Aptos" w:hAnsi="Aptos"/>
                <w:lang w:val="fr-FR"/>
              </w:rPr>
            </w:pPr>
            <w:r w:rsidRPr="0080422C">
              <w:t>Résultats</w:t>
            </w:r>
          </w:p>
        </w:tc>
      </w:tr>
      <w:tr w:rsidR="003246FC" w:rsidRPr="003A6336" w14:paraId="7079CA2B" w14:textId="77777777" w:rsidTr="009B4355">
        <w:tc>
          <w:tcPr>
            <w:tcW w:w="4497" w:type="dxa"/>
            <w:tcMar>
              <w:top w:w="15" w:type="dxa"/>
              <w:left w:w="180" w:type="dxa"/>
              <w:right w:w="15" w:type="dxa"/>
            </w:tcMar>
            <w:vAlign w:val="center"/>
          </w:tcPr>
          <w:p w14:paraId="4BFEEEE5" w14:textId="77777777" w:rsidR="003246FC" w:rsidRPr="003A6336" w:rsidRDefault="003246FC" w:rsidP="009B4355">
            <w:pPr>
              <w:rPr>
                <w:rFonts w:ascii="Aptos" w:hAnsi="Aptos"/>
              </w:rPr>
            </w:pPr>
            <w:r w:rsidRPr="003A6336">
              <w:rPr>
                <w:rFonts w:ascii="Aptos" w:eastAsia="Segoe UI" w:hAnsi="Aptos" w:cs="Segoe UI"/>
                <w:color w:val="0F1115"/>
              </w:rPr>
              <w:t>Uses only 7NR data</w:t>
            </w:r>
          </w:p>
        </w:tc>
        <w:tc>
          <w:tcPr>
            <w:tcW w:w="4712" w:type="dxa"/>
            <w:tcMar>
              <w:top w:w="15" w:type="dxa"/>
              <w:left w:w="180" w:type="dxa"/>
              <w:right w:w="15" w:type="dxa"/>
            </w:tcMar>
            <w:vAlign w:val="center"/>
          </w:tcPr>
          <w:p w14:paraId="0E1FAE99" w14:textId="77777777" w:rsidR="003246FC" w:rsidRPr="0096345A" w:rsidRDefault="003246FC" w:rsidP="009B4355">
            <w:pPr>
              <w:rPr>
                <w:rFonts w:ascii="Aptos" w:hAnsi="Aptos"/>
                <w:lang w:val="fr-FR"/>
              </w:rPr>
            </w:pPr>
            <w:r w:rsidRPr="0080422C">
              <w:t>Utilise uniquement les données du 7</w:t>
            </w:r>
            <w:r w:rsidRPr="00666B35">
              <w:rPr>
                <w:vertAlign w:val="superscript"/>
              </w:rPr>
              <w:t>e</w:t>
            </w:r>
            <w:r w:rsidRPr="0080422C">
              <w:t xml:space="preserve"> rapport national</w:t>
            </w:r>
          </w:p>
        </w:tc>
      </w:tr>
      <w:tr w:rsidR="003246FC" w:rsidRPr="003A6336" w14:paraId="76AF03C1" w14:textId="77777777" w:rsidTr="009B4355">
        <w:tc>
          <w:tcPr>
            <w:tcW w:w="4497" w:type="dxa"/>
            <w:tcMar>
              <w:top w:w="15" w:type="dxa"/>
              <w:left w:w="180" w:type="dxa"/>
              <w:right w:w="15" w:type="dxa"/>
            </w:tcMar>
            <w:vAlign w:val="center"/>
          </w:tcPr>
          <w:p w14:paraId="0B4DC25E" w14:textId="77777777" w:rsidR="003246FC" w:rsidRPr="003A6336" w:rsidRDefault="003246FC" w:rsidP="009B4355">
            <w:pPr>
              <w:rPr>
                <w:rFonts w:ascii="Aptos" w:hAnsi="Aptos"/>
              </w:rPr>
            </w:pPr>
            <w:r w:rsidRPr="003A6336">
              <w:rPr>
                <w:rFonts w:ascii="Aptos" w:eastAsia="Segoe UI" w:hAnsi="Aptos" w:cs="Segoe UI"/>
                <w:color w:val="0F1115"/>
              </w:rPr>
              <w:t>IID. Means of Implementation</w:t>
            </w:r>
          </w:p>
        </w:tc>
        <w:tc>
          <w:tcPr>
            <w:tcW w:w="4712" w:type="dxa"/>
            <w:tcMar>
              <w:top w:w="15" w:type="dxa"/>
              <w:left w:w="180" w:type="dxa"/>
              <w:right w:w="15" w:type="dxa"/>
            </w:tcMar>
            <w:vAlign w:val="center"/>
          </w:tcPr>
          <w:p w14:paraId="4126559B" w14:textId="77777777" w:rsidR="003246FC" w:rsidRPr="0096345A" w:rsidRDefault="003246FC" w:rsidP="009B4355">
            <w:pPr>
              <w:rPr>
                <w:rFonts w:ascii="Aptos" w:hAnsi="Aptos"/>
                <w:lang w:val="fr-FR"/>
              </w:rPr>
            </w:pPr>
            <w:r w:rsidRPr="0080422C">
              <w:t>IID. Moyens de mise en œuvre</w:t>
            </w:r>
          </w:p>
        </w:tc>
      </w:tr>
      <w:tr w:rsidR="003246FC" w:rsidRPr="003A6336" w14:paraId="3093ACC1" w14:textId="77777777" w:rsidTr="009B4355">
        <w:tc>
          <w:tcPr>
            <w:tcW w:w="4497" w:type="dxa"/>
            <w:tcMar>
              <w:top w:w="15" w:type="dxa"/>
              <w:left w:w="180" w:type="dxa"/>
              <w:right w:w="15" w:type="dxa"/>
            </w:tcMar>
            <w:vAlign w:val="center"/>
          </w:tcPr>
          <w:p w14:paraId="33300B42" w14:textId="77777777" w:rsidR="003246FC" w:rsidRPr="003A6336" w:rsidRDefault="003246FC" w:rsidP="009B4355">
            <w:pPr>
              <w:rPr>
                <w:rFonts w:ascii="Aptos" w:hAnsi="Aptos"/>
              </w:rPr>
            </w:pPr>
            <w:r w:rsidRPr="003A6336">
              <w:rPr>
                <w:rFonts w:ascii="Aptos" w:eastAsia="Segoe UI" w:hAnsi="Aptos" w:cs="Segoe UI"/>
                <w:color w:val="0F1115"/>
              </w:rPr>
              <w:t>IIE. Contributions from MEAs and other organizations</w:t>
            </w:r>
          </w:p>
        </w:tc>
        <w:tc>
          <w:tcPr>
            <w:tcW w:w="4712" w:type="dxa"/>
            <w:tcMar>
              <w:top w:w="15" w:type="dxa"/>
              <w:left w:w="180" w:type="dxa"/>
              <w:right w:w="15" w:type="dxa"/>
            </w:tcMar>
            <w:vAlign w:val="center"/>
          </w:tcPr>
          <w:p w14:paraId="552CBE77" w14:textId="77777777" w:rsidR="003246FC" w:rsidRPr="0096345A" w:rsidRDefault="003246FC" w:rsidP="009B4355">
            <w:pPr>
              <w:rPr>
                <w:rFonts w:ascii="Aptos" w:hAnsi="Aptos"/>
                <w:lang w:val="fr-FR"/>
              </w:rPr>
            </w:pPr>
            <w:r w:rsidRPr="0080422C">
              <w:t>IIE. Contributions des accords multilatéraux sur l</w:t>
            </w:r>
            <w:r>
              <w:t>’</w:t>
            </w:r>
            <w:r w:rsidRPr="0080422C">
              <w:t>environnement (AME) et d</w:t>
            </w:r>
            <w:r>
              <w:t>’</w:t>
            </w:r>
            <w:r w:rsidRPr="0080422C">
              <w:t>autres organisations</w:t>
            </w:r>
          </w:p>
        </w:tc>
      </w:tr>
      <w:tr w:rsidR="003246FC" w:rsidRPr="003A6336" w14:paraId="56450E72" w14:textId="77777777" w:rsidTr="009B4355">
        <w:tc>
          <w:tcPr>
            <w:tcW w:w="4497" w:type="dxa"/>
            <w:tcMar>
              <w:top w:w="15" w:type="dxa"/>
              <w:left w:w="180" w:type="dxa"/>
              <w:right w:w="15" w:type="dxa"/>
            </w:tcMar>
            <w:vAlign w:val="center"/>
          </w:tcPr>
          <w:p w14:paraId="2C573391" w14:textId="77777777" w:rsidR="003246FC" w:rsidRPr="003A6336" w:rsidRDefault="003246FC" w:rsidP="009B4355">
            <w:pPr>
              <w:rPr>
                <w:rFonts w:ascii="Aptos" w:hAnsi="Aptos"/>
              </w:rPr>
            </w:pPr>
            <w:r w:rsidRPr="003A6336">
              <w:rPr>
                <w:rFonts w:ascii="Aptos" w:eastAsia="Segoe UI" w:hAnsi="Aptos" w:cs="Segoe UI"/>
                <w:color w:val="0F1115"/>
              </w:rPr>
              <w:t>IIIA. Synthesis</w:t>
            </w:r>
          </w:p>
        </w:tc>
        <w:tc>
          <w:tcPr>
            <w:tcW w:w="4712" w:type="dxa"/>
            <w:tcMar>
              <w:top w:w="15" w:type="dxa"/>
              <w:left w:w="180" w:type="dxa"/>
              <w:right w:w="15" w:type="dxa"/>
            </w:tcMar>
            <w:vAlign w:val="center"/>
          </w:tcPr>
          <w:p w14:paraId="28621825" w14:textId="77777777" w:rsidR="003246FC" w:rsidRPr="0096345A" w:rsidRDefault="003246FC" w:rsidP="009B4355">
            <w:pPr>
              <w:rPr>
                <w:rFonts w:ascii="Aptos" w:hAnsi="Aptos"/>
                <w:lang w:val="fr-FR"/>
              </w:rPr>
            </w:pPr>
            <w:r w:rsidRPr="0080422C">
              <w:t>IIIA. Synthèse</w:t>
            </w:r>
          </w:p>
        </w:tc>
      </w:tr>
      <w:tr w:rsidR="003246FC" w:rsidRPr="003A6336" w14:paraId="79B905DB" w14:textId="77777777" w:rsidTr="009B4355">
        <w:tc>
          <w:tcPr>
            <w:tcW w:w="4497" w:type="dxa"/>
            <w:tcMar>
              <w:top w:w="15" w:type="dxa"/>
              <w:left w:w="180" w:type="dxa"/>
              <w:right w:w="15" w:type="dxa"/>
            </w:tcMar>
            <w:vAlign w:val="center"/>
          </w:tcPr>
          <w:p w14:paraId="3247FE70" w14:textId="77777777" w:rsidR="003246FC" w:rsidRPr="003A6336" w:rsidRDefault="003246FC" w:rsidP="009B4355">
            <w:pPr>
              <w:rPr>
                <w:rFonts w:ascii="Aptos" w:hAnsi="Aptos"/>
              </w:rPr>
            </w:pPr>
            <w:r w:rsidRPr="003A6336">
              <w:rPr>
                <w:rFonts w:ascii="Aptos" w:eastAsia="Segoe UI" w:hAnsi="Aptos" w:cs="Segoe UI"/>
                <w:color w:val="0F1115"/>
              </w:rPr>
              <w:t>IIIB. Moving forward</w:t>
            </w:r>
          </w:p>
        </w:tc>
        <w:tc>
          <w:tcPr>
            <w:tcW w:w="4712" w:type="dxa"/>
            <w:tcMar>
              <w:top w:w="15" w:type="dxa"/>
              <w:left w:w="180" w:type="dxa"/>
              <w:right w:w="15" w:type="dxa"/>
            </w:tcMar>
            <w:vAlign w:val="center"/>
          </w:tcPr>
          <w:p w14:paraId="0EF8CC0F" w14:textId="77777777" w:rsidR="003246FC" w:rsidRPr="0096345A" w:rsidRDefault="003246FC" w:rsidP="009B4355">
            <w:pPr>
              <w:rPr>
                <w:rFonts w:ascii="Aptos" w:hAnsi="Aptos"/>
                <w:lang w:val="fr-FR"/>
              </w:rPr>
            </w:pPr>
            <w:r w:rsidRPr="0080422C">
              <w:t>IIIB. Perspectives d</w:t>
            </w:r>
            <w:r>
              <w:t>’</w:t>
            </w:r>
            <w:r w:rsidRPr="0080422C">
              <w:t>avenir</w:t>
            </w:r>
          </w:p>
        </w:tc>
      </w:tr>
      <w:tr w:rsidR="003246FC" w:rsidRPr="003A6336" w14:paraId="24BBA591" w14:textId="77777777" w:rsidTr="009B4355">
        <w:tc>
          <w:tcPr>
            <w:tcW w:w="4497" w:type="dxa"/>
            <w:tcMar>
              <w:top w:w="15" w:type="dxa"/>
              <w:left w:w="180" w:type="dxa"/>
              <w:right w:w="15" w:type="dxa"/>
            </w:tcMar>
            <w:vAlign w:val="center"/>
          </w:tcPr>
          <w:p w14:paraId="4A229B6B" w14:textId="77777777" w:rsidR="003246FC" w:rsidRPr="003A6336" w:rsidRDefault="003246FC" w:rsidP="009B4355">
            <w:pPr>
              <w:rPr>
                <w:rFonts w:ascii="Aptos" w:hAnsi="Aptos"/>
              </w:rPr>
            </w:pPr>
            <w:r w:rsidRPr="003A6336">
              <w:rPr>
                <w:rFonts w:ascii="Aptos" w:eastAsia="Segoe UI" w:hAnsi="Aptos" w:cs="Segoe UI"/>
                <w:color w:val="0F1115"/>
              </w:rPr>
              <w:t>Text-based sections of 7NR</w:t>
            </w:r>
          </w:p>
        </w:tc>
        <w:tc>
          <w:tcPr>
            <w:tcW w:w="4712" w:type="dxa"/>
            <w:tcMar>
              <w:top w:w="15" w:type="dxa"/>
              <w:left w:w="180" w:type="dxa"/>
              <w:right w:w="15" w:type="dxa"/>
            </w:tcMar>
            <w:vAlign w:val="center"/>
          </w:tcPr>
          <w:p w14:paraId="2CB13143" w14:textId="77777777" w:rsidR="003246FC" w:rsidRPr="0096345A" w:rsidRDefault="003246FC" w:rsidP="009B4355">
            <w:pPr>
              <w:rPr>
                <w:rFonts w:ascii="Aptos" w:hAnsi="Aptos"/>
                <w:lang w:val="fr-FR"/>
              </w:rPr>
            </w:pPr>
            <w:r w:rsidRPr="0080422C">
              <w:t>Divisions textuelles du 7</w:t>
            </w:r>
            <w:r w:rsidRPr="00666B35">
              <w:rPr>
                <w:vertAlign w:val="superscript"/>
              </w:rPr>
              <w:t>e</w:t>
            </w:r>
            <w:r w:rsidRPr="0080422C">
              <w:t xml:space="preserve"> rapport national</w:t>
            </w:r>
          </w:p>
        </w:tc>
      </w:tr>
      <w:tr w:rsidR="003246FC" w:rsidRPr="003A6336" w14:paraId="61F91211" w14:textId="77777777" w:rsidTr="009B4355">
        <w:tc>
          <w:tcPr>
            <w:tcW w:w="4497" w:type="dxa"/>
            <w:tcMar>
              <w:top w:w="15" w:type="dxa"/>
              <w:left w:w="180" w:type="dxa"/>
              <w:right w:w="15" w:type="dxa"/>
            </w:tcMar>
            <w:vAlign w:val="center"/>
          </w:tcPr>
          <w:p w14:paraId="4DCB776E" w14:textId="77777777" w:rsidR="003246FC" w:rsidRPr="003A6336" w:rsidRDefault="003246FC" w:rsidP="009B4355">
            <w:pPr>
              <w:rPr>
                <w:rFonts w:ascii="Aptos" w:hAnsi="Aptos"/>
              </w:rPr>
            </w:pPr>
            <w:r w:rsidRPr="003A6336">
              <w:rPr>
                <w:rFonts w:ascii="Aptos" w:eastAsia="Segoe UI" w:hAnsi="Aptos" w:cs="Segoe UI"/>
                <w:color w:val="0F1115"/>
              </w:rPr>
              <w:t>Global Environment Facility data</w:t>
            </w:r>
          </w:p>
        </w:tc>
        <w:tc>
          <w:tcPr>
            <w:tcW w:w="4712" w:type="dxa"/>
            <w:tcMar>
              <w:top w:w="15" w:type="dxa"/>
              <w:left w:w="180" w:type="dxa"/>
              <w:right w:w="15" w:type="dxa"/>
            </w:tcMar>
            <w:vAlign w:val="center"/>
          </w:tcPr>
          <w:p w14:paraId="11B182F1" w14:textId="77777777" w:rsidR="003246FC" w:rsidRPr="0096345A" w:rsidRDefault="003246FC" w:rsidP="009B4355">
            <w:pPr>
              <w:rPr>
                <w:rFonts w:ascii="Aptos" w:hAnsi="Aptos"/>
                <w:lang w:val="fr-FR"/>
              </w:rPr>
            </w:pPr>
            <w:r w:rsidRPr="0080422C">
              <w:t>Données du Fonds pour l</w:t>
            </w:r>
            <w:r>
              <w:t>’</w:t>
            </w:r>
            <w:r w:rsidRPr="0080422C">
              <w:t>environnement mondial</w:t>
            </w:r>
          </w:p>
        </w:tc>
      </w:tr>
      <w:tr w:rsidR="003246FC" w:rsidRPr="003A6336" w14:paraId="71725DCB" w14:textId="77777777" w:rsidTr="009B4355">
        <w:tc>
          <w:tcPr>
            <w:tcW w:w="4497" w:type="dxa"/>
            <w:tcMar>
              <w:top w:w="15" w:type="dxa"/>
              <w:left w:w="180" w:type="dxa"/>
              <w:right w:w="15" w:type="dxa"/>
            </w:tcMar>
            <w:vAlign w:val="center"/>
          </w:tcPr>
          <w:p w14:paraId="2B37110F" w14:textId="77777777" w:rsidR="003246FC" w:rsidRPr="003A6336" w:rsidRDefault="003246FC" w:rsidP="009B4355">
            <w:pPr>
              <w:rPr>
                <w:rFonts w:ascii="Aptos" w:hAnsi="Aptos"/>
              </w:rPr>
            </w:pPr>
            <w:r w:rsidRPr="003A6336">
              <w:rPr>
                <w:rFonts w:ascii="Aptos" w:eastAsia="Segoe UI" w:hAnsi="Aptos" w:cs="Segoe UI"/>
                <w:color w:val="0F1115"/>
              </w:rPr>
              <w:t>Submissions provided in response to notification No. 2025-099 and other sources listed in decision 16/32</w:t>
            </w:r>
          </w:p>
        </w:tc>
        <w:tc>
          <w:tcPr>
            <w:tcW w:w="4712" w:type="dxa"/>
            <w:tcMar>
              <w:top w:w="15" w:type="dxa"/>
              <w:left w:w="180" w:type="dxa"/>
              <w:right w:w="15" w:type="dxa"/>
            </w:tcMar>
            <w:vAlign w:val="center"/>
          </w:tcPr>
          <w:p w14:paraId="7A964217" w14:textId="77777777" w:rsidR="003246FC" w:rsidRPr="0096345A" w:rsidRDefault="003246FC" w:rsidP="009B4355">
            <w:pPr>
              <w:rPr>
                <w:rFonts w:ascii="Aptos" w:hAnsi="Aptos"/>
                <w:lang w:val="fr-FR"/>
              </w:rPr>
            </w:pPr>
            <w:r w:rsidRPr="0080422C">
              <w:t xml:space="preserve">Contributions fournies en réponse à la notification n°2025-099 et autres sources énumérées dans la </w:t>
            </w:r>
            <w:r>
              <w:t>decision </w:t>
            </w:r>
            <w:r w:rsidRPr="0080422C">
              <w:t>16/32</w:t>
            </w:r>
          </w:p>
        </w:tc>
      </w:tr>
      <w:tr w:rsidR="003246FC" w:rsidRPr="003A6336" w14:paraId="72EC0E19" w14:textId="77777777" w:rsidTr="009B4355">
        <w:tc>
          <w:tcPr>
            <w:tcW w:w="4497" w:type="dxa"/>
            <w:tcMar>
              <w:top w:w="15" w:type="dxa"/>
              <w:left w:w="180" w:type="dxa"/>
              <w:right w:w="15" w:type="dxa"/>
            </w:tcMar>
            <w:vAlign w:val="center"/>
          </w:tcPr>
          <w:p w14:paraId="4B85353F" w14:textId="77777777" w:rsidR="003246FC" w:rsidRPr="003A6336" w:rsidRDefault="003246FC" w:rsidP="009B4355">
            <w:pPr>
              <w:rPr>
                <w:rFonts w:ascii="Aptos" w:hAnsi="Aptos"/>
              </w:rPr>
            </w:pPr>
            <w:r w:rsidRPr="003A6336">
              <w:rPr>
                <w:rFonts w:ascii="Aptos" w:eastAsia="Segoe UI" w:hAnsi="Aptos" w:cs="Segoe UI"/>
                <w:color w:val="0F1115"/>
              </w:rPr>
              <w:t>Goal to target alignment analysis (annex H)</w:t>
            </w:r>
          </w:p>
        </w:tc>
        <w:tc>
          <w:tcPr>
            <w:tcW w:w="4712" w:type="dxa"/>
            <w:tcMar>
              <w:top w:w="15" w:type="dxa"/>
              <w:left w:w="180" w:type="dxa"/>
              <w:right w:w="15" w:type="dxa"/>
            </w:tcMar>
            <w:vAlign w:val="center"/>
          </w:tcPr>
          <w:p w14:paraId="50589F82" w14:textId="77777777" w:rsidR="003246FC" w:rsidRPr="0096345A" w:rsidRDefault="003246FC" w:rsidP="009B4355">
            <w:pPr>
              <w:rPr>
                <w:rFonts w:ascii="Aptos" w:hAnsi="Aptos"/>
                <w:lang w:val="fr-FR"/>
              </w:rPr>
            </w:pPr>
            <w:r w:rsidRPr="0080422C">
              <w:t>Analyse de l</w:t>
            </w:r>
            <w:r>
              <w:t>’</w:t>
            </w:r>
            <w:r w:rsidRPr="0080422C">
              <w:t>alignement entre les objectifs et les cibles (</w:t>
            </w:r>
            <w:r>
              <w:t>annexe </w:t>
            </w:r>
            <w:r w:rsidRPr="0080422C">
              <w:t>H)</w:t>
            </w:r>
          </w:p>
        </w:tc>
      </w:tr>
      <w:tr w:rsidR="003246FC" w:rsidRPr="003A6336" w14:paraId="72F730D5" w14:textId="77777777" w:rsidTr="009B4355">
        <w:tc>
          <w:tcPr>
            <w:tcW w:w="4497" w:type="dxa"/>
            <w:tcMar>
              <w:top w:w="15" w:type="dxa"/>
              <w:left w:w="180" w:type="dxa"/>
              <w:right w:w="15" w:type="dxa"/>
            </w:tcMar>
            <w:vAlign w:val="center"/>
          </w:tcPr>
          <w:p w14:paraId="64E5C70C" w14:textId="77777777" w:rsidR="003246FC" w:rsidRPr="003A6336" w:rsidRDefault="003246FC" w:rsidP="009B4355">
            <w:pPr>
              <w:rPr>
                <w:rFonts w:ascii="Aptos" w:hAnsi="Aptos"/>
              </w:rPr>
            </w:pPr>
            <w:r w:rsidRPr="003A6336">
              <w:rPr>
                <w:rFonts w:ascii="Aptos" w:eastAsia="Segoe UI" w:hAnsi="Aptos" w:cs="Segoe UI"/>
                <w:color w:val="0F1115"/>
              </w:rPr>
              <w:t>Analysis of indicators (annex D)</w:t>
            </w:r>
          </w:p>
        </w:tc>
        <w:tc>
          <w:tcPr>
            <w:tcW w:w="4712" w:type="dxa"/>
            <w:tcMar>
              <w:top w:w="15" w:type="dxa"/>
              <w:left w:w="180" w:type="dxa"/>
              <w:right w:w="15" w:type="dxa"/>
            </w:tcMar>
            <w:vAlign w:val="center"/>
          </w:tcPr>
          <w:p w14:paraId="5E11FBD6" w14:textId="77777777" w:rsidR="003246FC" w:rsidRPr="0096345A" w:rsidRDefault="003246FC" w:rsidP="009B4355">
            <w:pPr>
              <w:rPr>
                <w:rFonts w:ascii="Aptos" w:hAnsi="Aptos"/>
                <w:lang w:val="fr-FR"/>
              </w:rPr>
            </w:pPr>
            <w:r w:rsidRPr="0080422C">
              <w:t>Analyse des indicateurs (</w:t>
            </w:r>
            <w:r>
              <w:t>annexe </w:t>
            </w:r>
            <w:r w:rsidRPr="0080422C">
              <w:t>D)</w:t>
            </w:r>
          </w:p>
        </w:tc>
      </w:tr>
      <w:tr w:rsidR="003246FC" w:rsidRPr="003A6336" w14:paraId="5A20149A" w14:textId="77777777" w:rsidTr="009B4355">
        <w:tc>
          <w:tcPr>
            <w:tcW w:w="4497" w:type="dxa"/>
            <w:tcMar>
              <w:top w:w="15" w:type="dxa"/>
              <w:left w:w="180" w:type="dxa"/>
              <w:right w:w="15" w:type="dxa"/>
            </w:tcMar>
            <w:vAlign w:val="center"/>
          </w:tcPr>
          <w:p w14:paraId="10195165" w14:textId="77777777" w:rsidR="003246FC" w:rsidRPr="003A6336" w:rsidRDefault="003246FC" w:rsidP="009B4355">
            <w:pPr>
              <w:rPr>
                <w:rFonts w:ascii="Aptos" w:hAnsi="Aptos"/>
              </w:rPr>
            </w:pPr>
            <w:r w:rsidRPr="003A6336">
              <w:rPr>
                <w:rFonts w:ascii="Aptos" w:eastAsia="Segoe UI" w:hAnsi="Aptos" w:cs="Segoe UI"/>
                <w:color w:val="0F1115"/>
              </w:rPr>
              <w:t>Headline indicators</w:t>
            </w:r>
          </w:p>
        </w:tc>
        <w:tc>
          <w:tcPr>
            <w:tcW w:w="4712" w:type="dxa"/>
            <w:tcMar>
              <w:top w:w="15" w:type="dxa"/>
              <w:left w:w="180" w:type="dxa"/>
              <w:right w:w="15" w:type="dxa"/>
            </w:tcMar>
            <w:vAlign w:val="center"/>
          </w:tcPr>
          <w:p w14:paraId="36544677" w14:textId="77777777" w:rsidR="003246FC" w:rsidRPr="0096345A" w:rsidRDefault="003246FC" w:rsidP="009B4355">
            <w:pPr>
              <w:rPr>
                <w:rFonts w:ascii="Aptos" w:hAnsi="Aptos"/>
                <w:lang w:val="fr-FR"/>
              </w:rPr>
            </w:pPr>
            <w:r w:rsidRPr="0080422C">
              <w:t>Indicateurs principaux</w:t>
            </w:r>
          </w:p>
        </w:tc>
      </w:tr>
      <w:tr w:rsidR="003246FC" w:rsidRPr="003A6336" w14:paraId="08AA760B" w14:textId="77777777" w:rsidTr="009B4355">
        <w:tc>
          <w:tcPr>
            <w:tcW w:w="4497" w:type="dxa"/>
            <w:tcMar>
              <w:top w:w="15" w:type="dxa"/>
              <w:left w:w="180" w:type="dxa"/>
              <w:right w:w="15" w:type="dxa"/>
            </w:tcMar>
            <w:vAlign w:val="center"/>
          </w:tcPr>
          <w:p w14:paraId="1BC33BD4" w14:textId="77777777" w:rsidR="003246FC" w:rsidRPr="003A6336" w:rsidRDefault="003246FC" w:rsidP="009B4355">
            <w:pPr>
              <w:rPr>
                <w:rFonts w:ascii="Aptos" w:hAnsi="Aptos"/>
              </w:rPr>
            </w:pPr>
            <w:r w:rsidRPr="003A6336">
              <w:rPr>
                <w:rFonts w:ascii="Aptos" w:eastAsia="Segoe UI" w:hAnsi="Aptos" w:cs="Segoe UI"/>
                <w:color w:val="0F1115"/>
              </w:rPr>
              <w:t>Binary indicators</w:t>
            </w:r>
          </w:p>
        </w:tc>
        <w:tc>
          <w:tcPr>
            <w:tcW w:w="4712" w:type="dxa"/>
            <w:tcMar>
              <w:top w:w="15" w:type="dxa"/>
              <w:left w:w="180" w:type="dxa"/>
              <w:right w:w="15" w:type="dxa"/>
            </w:tcMar>
            <w:vAlign w:val="center"/>
          </w:tcPr>
          <w:p w14:paraId="2BDAEC5D" w14:textId="77777777" w:rsidR="003246FC" w:rsidRPr="0096345A" w:rsidRDefault="003246FC" w:rsidP="009B4355">
            <w:pPr>
              <w:rPr>
                <w:rFonts w:ascii="Aptos" w:hAnsi="Aptos"/>
                <w:lang w:val="fr-FR"/>
              </w:rPr>
            </w:pPr>
            <w:r w:rsidRPr="0080422C">
              <w:t>Indicateurs binaires</w:t>
            </w:r>
          </w:p>
        </w:tc>
      </w:tr>
      <w:tr w:rsidR="003246FC" w:rsidRPr="003A6336" w14:paraId="2EC5AD8D" w14:textId="77777777" w:rsidTr="009B4355">
        <w:tc>
          <w:tcPr>
            <w:tcW w:w="4497" w:type="dxa"/>
            <w:tcMar>
              <w:top w:w="15" w:type="dxa"/>
              <w:left w:w="180" w:type="dxa"/>
              <w:right w:w="15" w:type="dxa"/>
            </w:tcMar>
            <w:vAlign w:val="center"/>
          </w:tcPr>
          <w:p w14:paraId="0E7F37B3" w14:textId="77777777" w:rsidR="003246FC" w:rsidRPr="003A6336" w:rsidRDefault="003246FC" w:rsidP="009B4355">
            <w:pPr>
              <w:rPr>
                <w:rFonts w:ascii="Aptos" w:hAnsi="Aptos"/>
              </w:rPr>
            </w:pPr>
            <w:r w:rsidRPr="003A6336">
              <w:rPr>
                <w:rFonts w:ascii="Aptos" w:eastAsia="Segoe UI" w:hAnsi="Aptos" w:cs="Segoe UI"/>
                <w:color w:val="0F1115"/>
              </w:rPr>
              <w:t>All quantitative indicators</w:t>
            </w:r>
          </w:p>
        </w:tc>
        <w:tc>
          <w:tcPr>
            <w:tcW w:w="4712" w:type="dxa"/>
            <w:tcMar>
              <w:top w:w="15" w:type="dxa"/>
              <w:left w:w="180" w:type="dxa"/>
              <w:right w:w="15" w:type="dxa"/>
            </w:tcMar>
            <w:vAlign w:val="center"/>
          </w:tcPr>
          <w:p w14:paraId="41888E3E" w14:textId="77777777" w:rsidR="003246FC" w:rsidRPr="0096345A" w:rsidRDefault="003246FC" w:rsidP="009B4355">
            <w:pPr>
              <w:rPr>
                <w:rFonts w:ascii="Aptos" w:hAnsi="Aptos"/>
                <w:lang w:val="fr-FR"/>
              </w:rPr>
            </w:pPr>
            <w:r w:rsidRPr="0080422C">
              <w:t>Tous les indicateurs quantitatifs</w:t>
            </w:r>
          </w:p>
        </w:tc>
      </w:tr>
      <w:tr w:rsidR="003246FC" w:rsidRPr="003A6336" w14:paraId="7C4FF4E4" w14:textId="77777777" w:rsidTr="009B4355">
        <w:tc>
          <w:tcPr>
            <w:tcW w:w="4497" w:type="dxa"/>
            <w:tcMar>
              <w:top w:w="15" w:type="dxa"/>
              <w:left w:w="180" w:type="dxa"/>
              <w:right w:w="15" w:type="dxa"/>
            </w:tcMar>
            <w:vAlign w:val="center"/>
          </w:tcPr>
          <w:p w14:paraId="709FC992" w14:textId="77777777" w:rsidR="003246FC" w:rsidRPr="003A6336" w:rsidRDefault="003246FC" w:rsidP="009B4355">
            <w:pPr>
              <w:rPr>
                <w:rFonts w:ascii="Aptos" w:hAnsi="Aptos"/>
              </w:rPr>
            </w:pPr>
            <w:r w:rsidRPr="003A6336">
              <w:rPr>
                <w:rFonts w:ascii="Aptos" w:eastAsia="Segoe UI" w:hAnsi="Aptos" w:cs="Segoe UI"/>
                <w:color w:val="0F1115"/>
              </w:rPr>
              <w:t>Semantic analysis and synthesis (annex F)</w:t>
            </w:r>
          </w:p>
        </w:tc>
        <w:tc>
          <w:tcPr>
            <w:tcW w:w="4712" w:type="dxa"/>
            <w:tcMar>
              <w:top w:w="15" w:type="dxa"/>
              <w:left w:w="180" w:type="dxa"/>
              <w:right w:w="15" w:type="dxa"/>
            </w:tcMar>
            <w:vAlign w:val="center"/>
          </w:tcPr>
          <w:p w14:paraId="3D04CD97" w14:textId="77777777" w:rsidR="003246FC" w:rsidRPr="0096345A" w:rsidRDefault="003246FC" w:rsidP="009B4355">
            <w:pPr>
              <w:rPr>
                <w:rFonts w:ascii="Aptos" w:hAnsi="Aptos"/>
                <w:lang w:val="fr-FR"/>
              </w:rPr>
            </w:pPr>
            <w:r w:rsidRPr="0080422C">
              <w:t>Analyse sémantique et synthèse (</w:t>
            </w:r>
            <w:r>
              <w:t>annexe </w:t>
            </w:r>
            <w:r w:rsidRPr="0080422C">
              <w:t>F)</w:t>
            </w:r>
          </w:p>
        </w:tc>
      </w:tr>
      <w:tr w:rsidR="003246FC" w:rsidRPr="003A6336" w14:paraId="22A0D110" w14:textId="77777777" w:rsidTr="009B4355">
        <w:tc>
          <w:tcPr>
            <w:tcW w:w="4497" w:type="dxa"/>
            <w:tcMar>
              <w:top w:w="15" w:type="dxa"/>
              <w:left w:w="180" w:type="dxa"/>
              <w:right w:w="15" w:type="dxa"/>
            </w:tcMar>
            <w:vAlign w:val="center"/>
          </w:tcPr>
          <w:p w14:paraId="2272C345" w14:textId="77777777" w:rsidR="003246FC" w:rsidRPr="003A6336" w:rsidRDefault="003246FC" w:rsidP="009B4355">
            <w:pPr>
              <w:rPr>
                <w:rFonts w:ascii="Aptos" w:hAnsi="Aptos"/>
              </w:rPr>
            </w:pPr>
            <w:r w:rsidRPr="003A6336">
              <w:rPr>
                <w:rFonts w:ascii="Aptos" w:eastAsia="Segoe UI" w:hAnsi="Aptos" w:cs="Segoe UI"/>
                <w:color w:val="0F1115"/>
              </w:rPr>
              <w:t>Natural language processing and semantic analysis (annex I)</w:t>
            </w:r>
          </w:p>
        </w:tc>
        <w:tc>
          <w:tcPr>
            <w:tcW w:w="4712" w:type="dxa"/>
            <w:tcMar>
              <w:top w:w="15" w:type="dxa"/>
              <w:left w:w="180" w:type="dxa"/>
              <w:right w:w="15" w:type="dxa"/>
            </w:tcMar>
            <w:vAlign w:val="center"/>
          </w:tcPr>
          <w:p w14:paraId="27B9EC09" w14:textId="77777777" w:rsidR="003246FC" w:rsidRPr="0096345A" w:rsidRDefault="003246FC" w:rsidP="009B4355">
            <w:pPr>
              <w:rPr>
                <w:rFonts w:ascii="Aptos" w:hAnsi="Aptos"/>
                <w:lang w:val="fr-FR"/>
              </w:rPr>
            </w:pPr>
            <w:r w:rsidRPr="0080422C">
              <w:t>Traitement du langage naturel et analyse sémantique (</w:t>
            </w:r>
            <w:r>
              <w:t>annexe </w:t>
            </w:r>
            <w:r w:rsidRPr="0080422C">
              <w:t>I)</w:t>
            </w:r>
          </w:p>
        </w:tc>
      </w:tr>
      <w:tr w:rsidR="003246FC" w:rsidRPr="003A6336" w14:paraId="77AA25D6" w14:textId="77777777" w:rsidTr="009B4355">
        <w:tc>
          <w:tcPr>
            <w:tcW w:w="4497" w:type="dxa"/>
            <w:tcMar>
              <w:top w:w="15" w:type="dxa"/>
              <w:left w:w="180" w:type="dxa"/>
              <w:right w:w="15" w:type="dxa"/>
            </w:tcMar>
            <w:vAlign w:val="center"/>
          </w:tcPr>
          <w:p w14:paraId="0E812AB5" w14:textId="77777777" w:rsidR="003246FC" w:rsidRPr="003A6336" w:rsidRDefault="003246FC" w:rsidP="009B4355">
            <w:pPr>
              <w:rPr>
                <w:rFonts w:ascii="Aptos" w:hAnsi="Aptos"/>
              </w:rPr>
            </w:pPr>
            <w:r w:rsidRPr="003A6336">
              <w:rPr>
                <w:rFonts w:ascii="Aptos" w:eastAsia="Segoe UI" w:hAnsi="Aptos" w:cs="Segoe UI"/>
                <w:color w:val="0F1115"/>
              </w:rPr>
              <w:t>Synthesis and summary figures</w:t>
            </w:r>
          </w:p>
        </w:tc>
        <w:tc>
          <w:tcPr>
            <w:tcW w:w="4712" w:type="dxa"/>
            <w:tcMar>
              <w:top w:w="15" w:type="dxa"/>
              <w:left w:w="180" w:type="dxa"/>
              <w:right w:w="15" w:type="dxa"/>
            </w:tcMar>
            <w:vAlign w:val="center"/>
          </w:tcPr>
          <w:p w14:paraId="0C5017B5" w14:textId="77777777" w:rsidR="003246FC" w:rsidRPr="0096345A" w:rsidRDefault="003246FC" w:rsidP="009B4355">
            <w:pPr>
              <w:rPr>
                <w:rFonts w:ascii="Aptos" w:hAnsi="Aptos"/>
                <w:lang w:val="fr-FR"/>
              </w:rPr>
            </w:pPr>
            <w:r w:rsidRPr="0080422C">
              <w:t>Synthèse et chiffres sommaires</w:t>
            </w:r>
          </w:p>
        </w:tc>
      </w:tr>
      <w:tr w:rsidR="003246FC" w:rsidRPr="003A6336" w14:paraId="0DE1E3CA" w14:textId="77777777" w:rsidTr="009B4355">
        <w:tc>
          <w:tcPr>
            <w:tcW w:w="4497" w:type="dxa"/>
            <w:tcMar>
              <w:top w:w="15" w:type="dxa"/>
              <w:left w:w="180" w:type="dxa"/>
              <w:right w:w="15" w:type="dxa"/>
            </w:tcMar>
            <w:vAlign w:val="center"/>
          </w:tcPr>
          <w:p w14:paraId="557A6D97" w14:textId="77777777" w:rsidR="003246FC" w:rsidRPr="003A6336" w:rsidRDefault="003246FC" w:rsidP="009B4355">
            <w:pPr>
              <w:rPr>
                <w:rFonts w:ascii="Aptos" w:hAnsi="Aptos"/>
              </w:rPr>
            </w:pPr>
            <w:r w:rsidRPr="003A6336">
              <w:rPr>
                <w:rFonts w:ascii="Aptos" w:eastAsia="Segoe UI" w:hAnsi="Aptos" w:cs="Segoe UI"/>
                <w:color w:val="0F1115"/>
              </w:rPr>
              <w:t>Target to goal relationships</w:t>
            </w:r>
          </w:p>
        </w:tc>
        <w:tc>
          <w:tcPr>
            <w:tcW w:w="4712" w:type="dxa"/>
            <w:tcMar>
              <w:top w:w="15" w:type="dxa"/>
              <w:left w:w="180" w:type="dxa"/>
              <w:right w:w="15" w:type="dxa"/>
            </w:tcMar>
            <w:vAlign w:val="center"/>
          </w:tcPr>
          <w:p w14:paraId="54CB1498" w14:textId="77777777" w:rsidR="003246FC" w:rsidRPr="0096345A" w:rsidRDefault="003246FC" w:rsidP="009B4355">
            <w:pPr>
              <w:rPr>
                <w:rFonts w:ascii="Aptos" w:hAnsi="Aptos"/>
                <w:lang w:val="fr-FR"/>
              </w:rPr>
            </w:pPr>
            <w:r w:rsidRPr="0080422C">
              <w:t>Relations entre les cibles et les objectifs</w:t>
            </w:r>
          </w:p>
        </w:tc>
      </w:tr>
      <w:tr w:rsidR="003246FC" w:rsidRPr="003A6336" w14:paraId="5DD61972" w14:textId="77777777" w:rsidTr="009B4355">
        <w:tc>
          <w:tcPr>
            <w:tcW w:w="4497" w:type="dxa"/>
            <w:tcMar>
              <w:top w:w="15" w:type="dxa"/>
              <w:left w:w="180" w:type="dxa"/>
              <w:right w:w="15" w:type="dxa"/>
            </w:tcMar>
            <w:vAlign w:val="center"/>
          </w:tcPr>
          <w:p w14:paraId="2DEC6452" w14:textId="77777777" w:rsidR="003246FC" w:rsidRPr="003A6336" w:rsidRDefault="003246FC" w:rsidP="009B4355">
            <w:pPr>
              <w:rPr>
                <w:rFonts w:ascii="Aptos" w:hAnsi="Aptos"/>
              </w:rPr>
            </w:pPr>
            <w:r w:rsidRPr="003A6336">
              <w:rPr>
                <w:rFonts w:ascii="Aptos" w:eastAsia="Segoe UI" w:hAnsi="Aptos" w:cs="Segoe UI"/>
                <w:color w:val="0F1115"/>
              </w:rPr>
              <w:t>Headline status and trends</w:t>
            </w:r>
          </w:p>
        </w:tc>
        <w:tc>
          <w:tcPr>
            <w:tcW w:w="4712" w:type="dxa"/>
            <w:tcMar>
              <w:top w:w="15" w:type="dxa"/>
              <w:left w:w="180" w:type="dxa"/>
              <w:right w:w="15" w:type="dxa"/>
            </w:tcMar>
            <w:vAlign w:val="center"/>
          </w:tcPr>
          <w:p w14:paraId="60D17082" w14:textId="77777777" w:rsidR="003246FC" w:rsidRPr="0096345A" w:rsidRDefault="003246FC" w:rsidP="009B4355">
            <w:pPr>
              <w:rPr>
                <w:rFonts w:ascii="Aptos" w:hAnsi="Aptos"/>
                <w:lang w:val="fr-FR"/>
              </w:rPr>
            </w:pPr>
            <w:r w:rsidRPr="0080422C">
              <w:t>État et tendances des indicateurs principaux</w:t>
            </w:r>
          </w:p>
        </w:tc>
      </w:tr>
      <w:tr w:rsidR="003246FC" w:rsidRPr="003A6336" w14:paraId="5968D429" w14:textId="77777777" w:rsidTr="009B4355">
        <w:tc>
          <w:tcPr>
            <w:tcW w:w="4497" w:type="dxa"/>
            <w:tcMar>
              <w:top w:w="15" w:type="dxa"/>
              <w:left w:w="180" w:type="dxa"/>
              <w:right w:w="15" w:type="dxa"/>
            </w:tcMar>
            <w:vAlign w:val="center"/>
          </w:tcPr>
          <w:p w14:paraId="799B0BAB" w14:textId="77777777" w:rsidR="003246FC" w:rsidRPr="003A6336" w:rsidRDefault="003246FC" w:rsidP="009B4355">
            <w:pPr>
              <w:rPr>
                <w:rFonts w:ascii="Aptos" w:hAnsi="Aptos"/>
              </w:rPr>
            </w:pPr>
            <w:r w:rsidRPr="003A6336">
              <w:rPr>
                <w:rFonts w:ascii="Aptos" w:eastAsia="Segoe UI" w:hAnsi="Aptos" w:cs="Segoe UI"/>
                <w:color w:val="0F1115"/>
              </w:rPr>
              <w:t>Binary scores</w:t>
            </w:r>
          </w:p>
        </w:tc>
        <w:tc>
          <w:tcPr>
            <w:tcW w:w="4712" w:type="dxa"/>
            <w:tcMar>
              <w:top w:w="15" w:type="dxa"/>
              <w:left w:w="180" w:type="dxa"/>
              <w:right w:w="15" w:type="dxa"/>
            </w:tcMar>
            <w:vAlign w:val="center"/>
          </w:tcPr>
          <w:p w14:paraId="4C1B967B" w14:textId="77777777" w:rsidR="003246FC" w:rsidRPr="0096345A" w:rsidRDefault="003246FC" w:rsidP="009B4355">
            <w:pPr>
              <w:rPr>
                <w:rFonts w:ascii="Aptos" w:hAnsi="Aptos"/>
                <w:lang w:val="fr-FR"/>
              </w:rPr>
            </w:pPr>
            <w:r w:rsidRPr="0080422C">
              <w:t>Scores binaires</w:t>
            </w:r>
          </w:p>
        </w:tc>
      </w:tr>
      <w:tr w:rsidR="003246FC" w:rsidRPr="003A6336" w14:paraId="3104D11F" w14:textId="77777777" w:rsidTr="009B4355">
        <w:tc>
          <w:tcPr>
            <w:tcW w:w="4497" w:type="dxa"/>
            <w:tcMar>
              <w:top w:w="15" w:type="dxa"/>
              <w:left w:w="180" w:type="dxa"/>
              <w:right w:w="15" w:type="dxa"/>
            </w:tcMar>
            <w:vAlign w:val="center"/>
          </w:tcPr>
          <w:p w14:paraId="259FFCD1" w14:textId="77777777" w:rsidR="003246FC" w:rsidRPr="003A6336" w:rsidRDefault="003246FC" w:rsidP="009B4355">
            <w:pPr>
              <w:rPr>
                <w:rFonts w:ascii="Aptos" w:hAnsi="Aptos"/>
              </w:rPr>
            </w:pPr>
            <w:r w:rsidRPr="003A6336">
              <w:rPr>
                <w:rFonts w:ascii="Aptos" w:eastAsia="Segoe UI" w:hAnsi="Aptos" w:cs="Segoe UI"/>
                <w:color w:val="0F1115"/>
              </w:rPr>
              <w:t>Trends in quantitative indicators</w:t>
            </w:r>
          </w:p>
        </w:tc>
        <w:tc>
          <w:tcPr>
            <w:tcW w:w="4712" w:type="dxa"/>
            <w:tcMar>
              <w:top w:w="15" w:type="dxa"/>
              <w:left w:w="180" w:type="dxa"/>
              <w:right w:w="15" w:type="dxa"/>
            </w:tcMar>
            <w:vAlign w:val="center"/>
          </w:tcPr>
          <w:p w14:paraId="05B2A230" w14:textId="77777777" w:rsidR="003246FC" w:rsidRPr="0096345A" w:rsidRDefault="003246FC" w:rsidP="009B4355">
            <w:pPr>
              <w:rPr>
                <w:rFonts w:ascii="Aptos" w:hAnsi="Aptos"/>
                <w:lang w:val="fr-FR"/>
              </w:rPr>
            </w:pPr>
            <w:r w:rsidRPr="0080422C">
              <w:t>Tendances des indicateurs quantitatifs</w:t>
            </w:r>
          </w:p>
        </w:tc>
      </w:tr>
      <w:tr w:rsidR="003246FC" w:rsidRPr="003A6336" w14:paraId="74B9E771" w14:textId="77777777" w:rsidTr="009B4355">
        <w:tc>
          <w:tcPr>
            <w:tcW w:w="4497" w:type="dxa"/>
            <w:tcMar>
              <w:top w:w="15" w:type="dxa"/>
              <w:left w:w="180" w:type="dxa"/>
              <w:right w:w="15" w:type="dxa"/>
            </w:tcMar>
            <w:vAlign w:val="center"/>
          </w:tcPr>
          <w:p w14:paraId="20D76941" w14:textId="77777777" w:rsidR="003246FC" w:rsidRPr="003A6336" w:rsidRDefault="003246FC" w:rsidP="009B4355">
            <w:pPr>
              <w:rPr>
                <w:rFonts w:ascii="Aptos" w:hAnsi="Aptos"/>
              </w:rPr>
            </w:pPr>
            <w:r w:rsidRPr="003A6336">
              <w:rPr>
                <w:rFonts w:ascii="Aptos" w:eastAsia="Segoe UI" w:hAnsi="Aptos" w:cs="Segoe UI"/>
                <w:color w:val="0F1115"/>
              </w:rPr>
              <w:t>Summary of actions</w:t>
            </w:r>
          </w:p>
        </w:tc>
        <w:tc>
          <w:tcPr>
            <w:tcW w:w="4712" w:type="dxa"/>
            <w:tcMar>
              <w:top w:w="15" w:type="dxa"/>
              <w:left w:w="180" w:type="dxa"/>
              <w:right w:w="15" w:type="dxa"/>
            </w:tcMar>
            <w:vAlign w:val="center"/>
          </w:tcPr>
          <w:p w14:paraId="02EDB809" w14:textId="77777777" w:rsidR="003246FC" w:rsidRPr="0096345A" w:rsidRDefault="003246FC" w:rsidP="009B4355">
            <w:pPr>
              <w:rPr>
                <w:rFonts w:ascii="Aptos" w:hAnsi="Aptos"/>
                <w:lang w:val="fr-FR"/>
              </w:rPr>
            </w:pPr>
            <w:r>
              <w:t>Résumé</w:t>
            </w:r>
            <w:r w:rsidRPr="0080422C">
              <w:t xml:space="preserve"> des actions</w:t>
            </w:r>
          </w:p>
        </w:tc>
      </w:tr>
      <w:tr w:rsidR="003246FC" w:rsidRPr="003A6336" w14:paraId="50218ACC" w14:textId="77777777" w:rsidTr="009B4355">
        <w:tc>
          <w:tcPr>
            <w:tcW w:w="4497" w:type="dxa"/>
            <w:tcMar>
              <w:top w:w="15" w:type="dxa"/>
              <w:left w:w="180" w:type="dxa"/>
              <w:right w:w="15" w:type="dxa"/>
            </w:tcMar>
            <w:vAlign w:val="center"/>
          </w:tcPr>
          <w:p w14:paraId="1AF0C068" w14:textId="77777777" w:rsidR="003246FC" w:rsidRPr="003A6336" w:rsidRDefault="003246FC" w:rsidP="009B4355">
            <w:pPr>
              <w:rPr>
                <w:rFonts w:ascii="Aptos" w:hAnsi="Aptos"/>
              </w:rPr>
            </w:pPr>
            <w:r w:rsidRPr="003A6336">
              <w:rPr>
                <w:rFonts w:ascii="Aptos" w:eastAsia="Segoe UI" w:hAnsi="Aptos" w:cs="Segoe UI"/>
                <w:color w:val="0F1115"/>
              </w:rPr>
              <w:t>Summaries of the typology of needs and provision of means</w:t>
            </w:r>
          </w:p>
        </w:tc>
        <w:tc>
          <w:tcPr>
            <w:tcW w:w="4712" w:type="dxa"/>
            <w:tcMar>
              <w:top w:w="15" w:type="dxa"/>
              <w:left w:w="180" w:type="dxa"/>
              <w:right w:w="15" w:type="dxa"/>
            </w:tcMar>
            <w:vAlign w:val="center"/>
          </w:tcPr>
          <w:p w14:paraId="211224FC" w14:textId="77777777" w:rsidR="003246FC" w:rsidRPr="0096345A" w:rsidRDefault="003246FC" w:rsidP="009B4355">
            <w:pPr>
              <w:rPr>
                <w:rFonts w:ascii="Aptos" w:hAnsi="Aptos"/>
                <w:lang w:val="fr-FR"/>
              </w:rPr>
            </w:pPr>
            <w:r>
              <w:t>Résumé</w:t>
            </w:r>
            <w:r w:rsidRPr="0080422C">
              <w:t>s de la typologie des besoins et de la mise à disposition des moyens</w:t>
            </w:r>
          </w:p>
        </w:tc>
      </w:tr>
      <w:tr w:rsidR="003246FC" w:rsidRPr="003A6336" w14:paraId="6F7EB21B" w14:textId="77777777" w:rsidTr="009B4355">
        <w:tc>
          <w:tcPr>
            <w:tcW w:w="4497" w:type="dxa"/>
            <w:tcMar>
              <w:top w:w="15" w:type="dxa"/>
              <w:left w:w="180" w:type="dxa"/>
              <w:right w:w="15" w:type="dxa"/>
            </w:tcMar>
            <w:vAlign w:val="center"/>
          </w:tcPr>
          <w:p w14:paraId="31D6973E" w14:textId="77777777" w:rsidR="003246FC" w:rsidRPr="003A6336" w:rsidRDefault="003246FC" w:rsidP="009B4355">
            <w:pPr>
              <w:rPr>
                <w:rFonts w:ascii="Aptos" w:hAnsi="Aptos"/>
              </w:rPr>
            </w:pPr>
            <w:r w:rsidRPr="003A6336">
              <w:rPr>
                <w:rFonts w:ascii="Aptos" w:eastAsia="Segoe UI" w:hAnsi="Aptos" w:cs="Segoe UI"/>
                <w:color w:val="0F1115"/>
              </w:rPr>
              <w:lastRenderedPageBreak/>
              <w:t>Summary of means provided</w:t>
            </w:r>
          </w:p>
        </w:tc>
        <w:tc>
          <w:tcPr>
            <w:tcW w:w="4712" w:type="dxa"/>
            <w:tcMar>
              <w:top w:w="15" w:type="dxa"/>
              <w:left w:w="180" w:type="dxa"/>
              <w:right w:w="15" w:type="dxa"/>
            </w:tcMar>
            <w:vAlign w:val="center"/>
          </w:tcPr>
          <w:p w14:paraId="1074E4EA" w14:textId="77777777" w:rsidR="003246FC" w:rsidRPr="0096345A" w:rsidRDefault="003246FC" w:rsidP="009B4355">
            <w:pPr>
              <w:rPr>
                <w:rFonts w:ascii="Aptos" w:hAnsi="Aptos"/>
                <w:lang w:val="fr-FR"/>
              </w:rPr>
            </w:pPr>
            <w:r>
              <w:t>Résumé</w:t>
            </w:r>
            <w:r w:rsidRPr="0080422C">
              <w:t xml:space="preserve"> des moyens mis à disposition</w:t>
            </w:r>
          </w:p>
        </w:tc>
      </w:tr>
      <w:tr w:rsidR="003246FC" w:rsidRPr="003A6336" w14:paraId="50EE3B5E" w14:textId="77777777" w:rsidTr="009B4355">
        <w:tc>
          <w:tcPr>
            <w:tcW w:w="4497" w:type="dxa"/>
            <w:tcMar>
              <w:top w:w="15" w:type="dxa"/>
              <w:left w:w="180" w:type="dxa"/>
              <w:right w:w="15" w:type="dxa"/>
            </w:tcMar>
            <w:vAlign w:val="center"/>
          </w:tcPr>
          <w:p w14:paraId="6A83B27D" w14:textId="77777777" w:rsidR="003246FC" w:rsidRPr="003A6336" w:rsidRDefault="003246FC" w:rsidP="009B4355">
            <w:pPr>
              <w:rPr>
                <w:rFonts w:ascii="Aptos" w:hAnsi="Aptos"/>
              </w:rPr>
            </w:pPr>
            <w:r w:rsidRPr="003A6336">
              <w:rPr>
                <w:rFonts w:ascii="Aptos" w:eastAsia="Segoe UI" w:hAnsi="Aptos" w:cs="Segoe UI"/>
                <w:color w:val="0F1115"/>
              </w:rPr>
              <w:t>Review, synthesis and summary</w:t>
            </w:r>
          </w:p>
        </w:tc>
        <w:tc>
          <w:tcPr>
            <w:tcW w:w="4712" w:type="dxa"/>
            <w:tcMar>
              <w:top w:w="15" w:type="dxa"/>
              <w:left w:w="180" w:type="dxa"/>
              <w:right w:w="15" w:type="dxa"/>
            </w:tcMar>
            <w:vAlign w:val="center"/>
          </w:tcPr>
          <w:p w14:paraId="596348D7" w14:textId="77777777" w:rsidR="003246FC" w:rsidRPr="0096345A" w:rsidRDefault="003246FC" w:rsidP="009B4355">
            <w:pPr>
              <w:rPr>
                <w:rFonts w:ascii="Aptos" w:hAnsi="Aptos"/>
                <w:lang w:val="fr-FR"/>
              </w:rPr>
            </w:pPr>
            <w:r w:rsidRPr="0080422C">
              <w:t xml:space="preserve">Examen, synthèse et </w:t>
            </w:r>
            <w:r>
              <w:t>résumé</w:t>
            </w:r>
          </w:p>
        </w:tc>
      </w:tr>
      <w:tr w:rsidR="003246FC" w:rsidRPr="003A6336" w14:paraId="6139612D" w14:textId="77777777" w:rsidTr="009B4355">
        <w:tc>
          <w:tcPr>
            <w:tcW w:w="4497" w:type="dxa"/>
            <w:tcMar>
              <w:top w:w="15" w:type="dxa"/>
              <w:left w:w="180" w:type="dxa"/>
              <w:right w:w="15" w:type="dxa"/>
            </w:tcMar>
            <w:vAlign w:val="center"/>
          </w:tcPr>
          <w:p w14:paraId="5E686821" w14:textId="77777777" w:rsidR="003246FC" w:rsidRPr="003A6336" w:rsidRDefault="003246FC" w:rsidP="009B4355">
            <w:pPr>
              <w:rPr>
                <w:rFonts w:ascii="Aptos" w:hAnsi="Aptos"/>
              </w:rPr>
            </w:pPr>
            <w:r w:rsidRPr="003A6336">
              <w:rPr>
                <w:rFonts w:ascii="Aptos" w:eastAsia="Segoe UI" w:hAnsi="Aptos" w:cs="Segoe UI"/>
                <w:color w:val="0F1115"/>
              </w:rPr>
              <w:t>Overall summary of contributions</w:t>
            </w:r>
          </w:p>
        </w:tc>
        <w:tc>
          <w:tcPr>
            <w:tcW w:w="4712" w:type="dxa"/>
            <w:tcMar>
              <w:top w:w="15" w:type="dxa"/>
              <w:left w:w="180" w:type="dxa"/>
              <w:right w:w="15" w:type="dxa"/>
            </w:tcMar>
            <w:vAlign w:val="center"/>
          </w:tcPr>
          <w:p w14:paraId="666F91CD" w14:textId="77777777" w:rsidR="003246FC" w:rsidRPr="0096345A" w:rsidRDefault="003246FC" w:rsidP="009B4355">
            <w:pPr>
              <w:rPr>
                <w:rFonts w:ascii="Aptos" w:hAnsi="Aptos"/>
                <w:lang w:val="fr-FR"/>
              </w:rPr>
            </w:pPr>
            <w:r>
              <w:t xml:space="preserve">Résumé </w:t>
            </w:r>
            <w:r w:rsidRPr="0080422C">
              <w:t>général des contributions</w:t>
            </w:r>
          </w:p>
        </w:tc>
      </w:tr>
      <w:tr w:rsidR="003246FC" w:rsidRPr="003A6336" w14:paraId="376F93E4" w14:textId="77777777" w:rsidTr="009B4355">
        <w:tc>
          <w:tcPr>
            <w:tcW w:w="4497" w:type="dxa"/>
            <w:tcMar>
              <w:top w:w="15" w:type="dxa"/>
              <w:left w:w="180" w:type="dxa"/>
              <w:right w:w="15" w:type="dxa"/>
            </w:tcMar>
            <w:vAlign w:val="center"/>
          </w:tcPr>
          <w:p w14:paraId="7151F747" w14:textId="77777777" w:rsidR="003246FC" w:rsidRPr="003A6336" w:rsidRDefault="003246FC" w:rsidP="009B4355">
            <w:pPr>
              <w:rPr>
                <w:rFonts w:ascii="Aptos" w:hAnsi="Aptos"/>
              </w:rPr>
            </w:pPr>
            <w:r w:rsidRPr="003A6336">
              <w:rPr>
                <w:rFonts w:ascii="Aptos" w:eastAsia="Segoe UI" w:hAnsi="Aptos" w:cs="Segoe UI"/>
                <w:color w:val="0F1115"/>
              </w:rPr>
              <w:t>Analyses results of section II</w:t>
            </w:r>
          </w:p>
        </w:tc>
        <w:tc>
          <w:tcPr>
            <w:tcW w:w="4712" w:type="dxa"/>
            <w:tcMar>
              <w:top w:w="15" w:type="dxa"/>
              <w:left w:w="180" w:type="dxa"/>
              <w:right w:w="15" w:type="dxa"/>
            </w:tcMar>
            <w:vAlign w:val="center"/>
          </w:tcPr>
          <w:p w14:paraId="70884943" w14:textId="77777777" w:rsidR="003246FC" w:rsidRPr="0096345A" w:rsidRDefault="003246FC" w:rsidP="009B4355">
            <w:pPr>
              <w:rPr>
                <w:rFonts w:ascii="Aptos" w:hAnsi="Aptos"/>
                <w:lang w:val="fr-FR"/>
              </w:rPr>
            </w:pPr>
            <w:r w:rsidRPr="0080422C">
              <w:t xml:space="preserve">Conclusions des analyses de la </w:t>
            </w:r>
            <w:r>
              <w:t>section</w:t>
            </w:r>
            <w:r w:rsidRPr="0080422C">
              <w:t xml:space="preserve"> II</w:t>
            </w:r>
          </w:p>
        </w:tc>
      </w:tr>
      <w:tr w:rsidR="003246FC" w:rsidRPr="003A6336" w14:paraId="14A136F8" w14:textId="77777777" w:rsidTr="009B4355">
        <w:tc>
          <w:tcPr>
            <w:tcW w:w="4497" w:type="dxa"/>
            <w:tcMar>
              <w:top w:w="15" w:type="dxa"/>
              <w:left w:w="180" w:type="dxa"/>
              <w:right w:w="15" w:type="dxa"/>
            </w:tcMar>
            <w:vAlign w:val="center"/>
          </w:tcPr>
          <w:p w14:paraId="4E8951BE" w14:textId="77777777" w:rsidR="003246FC" w:rsidRPr="003A6336" w:rsidRDefault="003246FC" w:rsidP="009B4355">
            <w:pPr>
              <w:rPr>
                <w:rFonts w:ascii="Aptos" w:hAnsi="Aptos"/>
              </w:rPr>
            </w:pPr>
            <w:r w:rsidRPr="003A6336">
              <w:rPr>
                <w:rFonts w:ascii="Aptos" w:eastAsia="Segoe UI" w:hAnsi="Aptos" w:cs="Segoe UI"/>
                <w:color w:val="0F1115"/>
              </w:rPr>
              <w:t>Contents of the global report</w:t>
            </w:r>
          </w:p>
        </w:tc>
        <w:tc>
          <w:tcPr>
            <w:tcW w:w="4712" w:type="dxa"/>
            <w:tcMar>
              <w:top w:w="15" w:type="dxa"/>
              <w:left w:w="180" w:type="dxa"/>
              <w:right w:w="15" w:type="dxa"/>
            </w:tcMar>
            <w:vAlign w:val="center"/>
          </w:tcPr>
          <w:p w14:paraId="0511BD8B" w14:textId="77777777" w:rsidR="003246FC" w:rsidRPr="0096345A" w:rsidRDefault="003246FC" w:rsidP="009B4355">
            <w:pPr>
              <w:rPr>
                <w:rFonts w:ascii="Aptos" w:hAnsi="Aptos"/>
                <w:lang w:val="fr-FR"/>
              </w:rPr>
            </w:pPr>
            <w:r w:rsidRPr="0080422C">
              <w:t>Contenu du rapport mondial</w:t>
            </w:r>
          </w:p>
        </w:tc>
      </w:tr>
      <w:tr w:rsidR="003246FC" w:rsidRPr="003A6336" w14:paraId="3CA9C8AF" w14:textId="77777777" w:rsidTr="009B4355">
        <w:tc>
          <w:tcPr>
            <w:tcW w:w="4497" w:type="dxa"/>
            <w:tcMar>
              <w:top w:w="15" w:type="dxa"/>
              <w:left w:w="180" w:type="dxa"/>
              <w:right w:w="15" w:type="dxa"/>
            </w:tcMar>
            <w:vAlign w:val="center"/>
          </w:tcPr>
          <w:p w14:paraId="07C687C9" w14:textId="77777777" w:rsidR="003246FC" w:rsidRPr="003A6336" w:rsidRDefault="003246FC" w:rsidP="009B4355">
            <w:pPr>
              <w:rPr>
                <w:rFonts w:ascii="Aptos" w:hAnsi="Aptos"/>
              </w:rPr>
            </w:pPr>
            <w:r w:rsidRPr="003A6336">
              <w:rPr>
                <w:rFonts w:ascii="Aptos" w:eastAsia="Segoe UI" w:hAnsi="Aptos" w:cs="Segoe UI"/>
                <w:color w:val="0F1115"/>
              </w:rPr>
              <w:t>Scorecard methodology (annex J)</w:t>
            </w:r>
          </w:p>
        </w:tc>
        <w:tc>
          <w:tcPr>
            <w:tcW w:w="4712" w:type="dxa"/>
            <w:tcMar>
              <w:top w:w="15" w:type="dxa"/>
              <w:left w:w="180" w:type="dxa"/>
              <w:right w:w="15" w:type="dxa"/>
            </w:tcMar>
            <w:vAlign w:val="center"/>
          </w:tcPr>
          <w:p w14:paraId="6653ECA1" w14:textId="77777777" w:rsidR="003246FC" w:rsidRPr="0096345A" w:rsidRDefault="003246FC" w:rsidP="009B4355">
            <w:pPr>
              <w:rPr>
                <w:rFonts w:ascii="Aptos" w:hAnsi="Aptos"/>
                <w:lang w:val="fr-FR"/>
              </w:rPr>
            </w:pPr>
            <w:r w:rsidRPr="0080422C">
              <w:t xml:space="preserve">Méthodologie </w:t>
            </w:r>
            <w:r>
              <w:t>du tableau de bord</w:t>
            </w:r>
            <w:r w:rsidRPr="0080422C">
              <w:t xml:space="preserve"> (</w:t>
            </w:r>
            <w:r>
              <w:t>annexe </w:t>
            </w:r>
            <w:r w:rsidRPr="0080422C">
              <w:t>J)</w:t>
            </w:r>
          </w:p>
        </w:tc>
      </w:tr>
      <w:tr w:rsidR="003246FC" w:rsidRPr="003A6336" w14:paraId="7B342CEA" w14:textId="77777777" w:rsidTr="009B4355">
        <w:tc>
          <w:tcPr>
            <w:tcW w:w="4497" w:type="dxa"/>
            <w:tcMar>
              <w:top w:w="15" w:type="dxa"/>
              <w:left w:w="180" w:type="dxa"/>
              <w:right w:w="15" w:type="dxa"/>
            </w:tcMar>
            <w:vAlign w:val="center"/>
          </w:tcPr>
          <w:p w14:paraId="5884C680" w14:textId="77777777" w:rsidR="003246FC" w:rsidRPr="003A6336" w:rsidRDefault="003246FC" w:rsidP="009B4355">
            <w:pPr>
              <w:rPr>
                <w:rFonts w:ascii="Aptos" w:hAnsi="Aptos"/>
              </w:rPr>
            </w:pPr>
            <w:r w:rsidRPr="003A6336">
              <w:rPr>
                <w:rFonts w:ascii="Aptos" w:eastAsia="Segoe UI" w:hAnsi="Aptos" w:cs="Segoe UI"/>
                <w:color w:val="0F1115"/>
              </w:rPr>
              <w:t>Synthesis of overall messages</w:t>
            </w:r>
          </w:p>
        </w:tc>
        <w:tc>
          <w:tcPr>
            <w:tcW w:w="4712" w:type="dxa"/>
            <w:tcMar>
              <w:top w:w="15" w:type="dxa"/>
              <w:left w:w="180" w:type="dxa"/>
              <w:right w:w="15" w:type="dxa"/>
            </w:tcMar>
            <w:vAlign w:val="center"/>
          </w:tcPr>
          <w:p w14:paraId="78C01009" w14:textId="77777777" w:rsidR="003246FC" w:rsidRPr="0096345A" w:rsidRDefault="003246FC" w:rsidP="009B4355">
            <w:pPr>
              <w:rPr>
                <w:rFonts w:ascii="Aptos" w:hAnsi="Aptos"/>
                <w:lang w:val="fr-FR"/>
              </w:rPr>
            </w:pPr>
            <w:r w:rsidRPr="0080422C">
              <w:t>Synthèse des messages généraux</w:t>
            </w:r>
          </w:p>
        </w:tc>
      </w:tr>
      <w:tr w:rsidR="003246FC" w:rsidRPr="003A6336" w14:paraId="5F53460D" w14:textId="77777777" w:rsidTr="009B4355">
        <w:tc>
          <w:tcPr>
            <w:tcW w:w="4497" w:type="dxa"/>
            <w:tcMar>
              <w:top w:w="15" w:type="dxa"/>
              <w:left w:w="180" w:type="dxa"/>
              <w:right w:w="15" w:type="dxa"/>
            </w:tcMar>
            <w:vAlign w:val="center"/>
          </w:tcPr>
          <w:p w14:paraId="1BAC12C2" w14:textId="77777777" w:rsidR="003246FC" w:rsidRPr="003A6336" w:rsidRDefault="003246FC" w:rsidP="009B4355">
            <w:pPr>
              <w:rPr>
                <w:rFonts w:ascii="Aptos" w:hAnsi="Aptos"/>
              </w:rPr>
            </w:pPr>
            <w:r w:rsidRPr="003A6336">
              <w:rPr>
                <w:rFonts w:ascii="Aptos" w:eastAsia="Segoe UI" w:hAnsi="Aptos" w:cs="Segoe UI"/>
                <w:color w:val="0F1115"/>
              </w:rPr>
              <w:t>Scorecard of progress</w:t>
            </w:r>
          </w:p>
        </w:tc>
        <w:tc>
          <w:tcPr>
            <w:tcW w:w="4712" w:type="dxa"/>
            <w:tcMar>
              <w:top w:w="15" w:type="dxa"/>
              <w:left w:w="180" w:type="dxa"/>
              <w:right w:w="15" w:type="dxa"/>
            </w:tcMar>
            <w:vAlign w:val="center"/>
          </w:tcPr>
          <w:p w14:paraId="335858CC" w14:textId="77777777" w:rsidR="003246FC" w:rsidRPr="0096345A" w:rsidRDefault="003246FC" w:rsidP="009B4355">
            <w:pPr>
              <w:rPr>
                <w:rFonts w:ascii="Aptos" w:hAnsi="Aptos"/>
                <w:lang w:val="fr-FR"/>
              </w:rPr>
            </w:pPr>
            <w:r w:rsidRPr="00685BE9">
              <w:t>Tableau de bord</w:t>
            </w:r>
            <w:r>
              <w:t xml:space="preserve"> </w:t>
            </w:r>
            <w:r w:rsidRPr="0080422C">
              <w:t xml:space="preserve">des </w:t>
            </w:r>
            <w:r>
              <w:t>progress accomplis</w:t>
            </w:r>
          </w:p>
        </w:tc>
      </w:tr>
      <w:tr w:rsidR="003246FC" w:rsidRPr="003A6336" w14:paraId="7A3C0670" w14:textId="77777777" w:rsidTr="009B4355">
        <w:tc>
          <w:tcPr>
            <w:tcW w:w="4497" w:type="dxa"/>
            <w:tcMar>
              <w:top w:w="15" w:type="dxa"/>
              <w:left w:w="180" w:type="dxa"/>
              <w:right w:w="15" w:type="dxa"/>
            </w:tcMar>
            <w:vAlign w:val="center"/>
          </w:tcPr>
          <w:p w14:paraId="18B3468E" w14:textId="77777777" w:rsidR="003246FC" w:rsidRPr="003A6336" w:rsidRDefault="003246FC" w:rsidP="009B4355">
            <w:pPr>
              <w:rPr>
                <w:rFonts w:ascii="Aptos" w:hAnsi="Aptos"/>
              </w:rPr>
            </w:pPr>
            <w:r w:rsidRPr="003A6336">
              <w:rPr>
                <w:rFonts w:ascii="Aptos" w:eastAsia="Segoe UI" w:hAnsi="Aptos" w:cs="Segoe UI"/>
                <w:color w:val="0F1115"/>
              </w:rPr>
              <w:t>Narrative summary</w:t>
            </w:r>
          </w:p>
        </w:tc>
        <w:tc>
          <w:tcPr>
            <w:tcW w:w="4712" w:type="dxa"/>
            <w:tcMar>
              <w:top w:w="15" w:type="dxa"/>
              <w:left w:w="180" w:type="dxa"/>
              <w:right w:w="15" w:type="dxa"/>
            </w:tcMar>
            <w:vAlign w:val="center"/>
          </w:tcPr>
          <w:p w14:paraId="30A6634B" w14:textId="77777777" w:rsidR="003246FC" w:rsidRPr="0096345A" w:rsidRDefault="003246FC" w:rsidP="009B4355">
            <w:pPr>
              <w:rPr>
                <w:rFonts w:ascii="Aptos" w:hAnsi="Aptos"/>
                <w:lang w:val="fr-FR"/>
              </w:rPr>
            </w:pPr>
            <w:r w:rsidRPr="00F714FA">
              <w:t>Résumé</w:t>
            </w:r>
            <w:r>
              <w:t xml:space="preserve"> </w:t>
            </w:r>
            <w:r w:rsidRPr="0080422C">
              <w:t>narrati</w:t>
            </w:r>
            <w:r>
              <w:t>f</w:t>
            </w:r>
          </w:p>
        </w:tc>
      </w:tr>
    </w:tbl>
    <w:p w14:paraId="7DA4FA44" w14:textId="77777777" w:rsidR="003246FC" w:rsidRPr="00653BF4" w:rsidRDefault="003246FC" w:rsidP="0098552A">
      <w:pPr>
        <w:rPr>
          <w:color w:val="0E2841" w:themeColor="text2"/>
          <w:sz w:val="16"/>
          <w:szCs w:val="16"/>
          <w:lang w:val="fr-FR"/>
        </w:rPr>
      </w:pPr>
    </w:p>
    <w:p w14:paraId="3DDE3A37" w14:textId="009DE804" w:rsidR="00B50240" w:rsidRPr="00653BF4" w:rsidRDefault="00B50240" w:rsidP="00B50240">
      <w:pPr>
        <w:rPr>
          <w:b/>
          <w:color w:val="0E2841" w:themeColor="text2"/>
          <w:sz w:val="20"/>
          <w:szCs w:val="20"/>
          <w:lang w:val="fr-FR"/>
        </w:rPr>
      </w:pPr>
    </w:p>
    <w:tbl>
      <w:tblPr>
        <w:tblStyle w:val="TableGrid"/>
        <w:tblW w:w="0" w:type="auto"/>
        <w:tblLook w:val="04A0" w:firstRow="1" w:lastRow="0" w:firstColumn="1" w:lastColumn="0" w:noHBand="0" w:noVBand="1"/>
      </w:tblPr>
      <w:tblGrid>
        <w:gridCol w:w="9016"/>
      </w:tblGrid>
      <w:tr w:rsidR="00B50240" w:rsidRPr="00543148" w14:paraId="118DF22F" w14:textId="77777777">
        <w:tc>
          <w:tcPr>
            <w:tcW w:w="9016" w:type="dxa"/>
            <w:shd w:val="clear" w:color="auto" w:fill="D1D1D1" w:themeFill="background2" w:themeFillShade="E6"/>
          </w:tcPr>
          <w:p w14:paraId="13B95407" w14:textId="77777777" w:rsidR="004E07A2" w:rsidRPr="00653BF4" w:rsidRDefault="004E07A2">
            <w:pPr>
              <w:pStyle w:val="p1"/>
              <w:rPr>
                <w:rFonts w:ascii="Aptos" w:hAnsi="Aptos"/>
                <w:sz w:val="20"/>
                <w:szCs w:val="20"/>
                <w:lang w:val="fr-FR"/>
              </w:rPr>
            </w:pPr>
          </w:p>
          <w:p w14:paraId="390C7485" w14:textId="2D92FD42" w:rsidR="0099050E" w:rsidRPr="00653BF4" w:rsidRDefault="004D49A5" w:rsidP="0099050E">
            <w:pPr>
              <w:rPr>
                <w:color w:val="0E2841" w:themeColor="text2"/>
                <w:sz w:val="20"/>
                <w:szCs w:val="20"/>
                <w:lang w:val="fr-FR"/>
              </w:rPr>
            </w:pPr>
            <w:bookmarkStart w:id="30" w:name="_Ref238314007"/>
            <w:r w:rsidRPr="00653BF4">
              <w:rPr>
                <w:color w:val="0E2841" w:themeColor="text2"/>
                <w:sz w:val="20"/>
                <w:szCs w:val="20"/>
                <w:lang w:val="fr-FR"/>
              </w:rPr>
              <w:t>Encadré </w:t>
            </w:r>
            <w:r w:rsidR="008306DF" w:rsidRPr="00653BF4">
              <w:rPr>
                <w:noProof/>
                <w:color w:val="0E2841" w:themeColor="text2"/>
                <w:sz w:val="20"/>
                <w:szCs w:val="20"/>
                <w:lang w:val="fr-FR"/>
              </w:rPr>
              <w:t>4</w:t>
            </w:r>
            <w:bookmarkEnd w:id="30"/>
          </w:p>
          <w:p w14:paraId="2A8455D1" w14:textId="77777777" w:rsidR="0099050E" w:rsidRPr="00653BF4" w:rsidRDefault="0099050E" w:rsidP="0099050E">
            <w:pPr>
              <w:rPr>
                <w:rFonts w:ascii="Aptos" w:hAnsi="Aptos"/>
                <w:i/>
                <w:iCs/>
                <w:color w:val="0E2841" w:themeColor="text2"/>
                <w:sz w:val="20"/>
                <w:szCs w:val="20"/>
                <w:lang w:val="fr-FR"/>
              </w:rPr>
            </w:pPr>
          </w:p>
          <w:p w14:paraId="657AF4C1" w14:textId="70ACB22B" w:rsidR="0099050E" w:rsidRPr="00653BF4" w:rsidRDefault="009F6357" w:rsidP="0099050E">
            <w:pPr>
              <w:pStyle w:val="p1"/>
              <w:rPr>
                <w:rFonts w:ascii="Aptos" w:hAnsi="Aptos"/>
                <w:b/>
                <w:color w:val="0E2841" w:themeColor="text2"/>
                <w:sz w:val="20"/>
                <w:szCs w:val="20"/>
                <w:lang w:val="fr-FR"/>
              </w:rPr>
            </w:pPr>
            <w:r w:rsidRPr="00653BF4">
              <w:rPr>
                <w:rFonts w:ascii="Aptos" w:hAnsi="Aptos"/>
                <w:b/>
                <w:color w:val="0E2841" w:themeColor="text2"/>
                <w:sz w:val="20"/>
                <w:szCs w:val="20"/>
                <w:lang w:val="fr-FR"/>
              </w:rPr>
              <w:t>Comprendre l</w:t>
            </w:r>
            <w:r w:rsidR="002A58C8" w:rsidRPr="00653BF4">
              <w:rPr>
                <w:rFonts w:ascii="Aptos" w:hAnsi="Aptos"/>
                <w:b/>
                <w:color w:val="0E2841" w:themeColor="text2"/>
                <w:sz w:val="20"/>
                <w:szCs w:val="20"/>
                <w:lang w:val="fr-FR"/>
              </w:rPr>
              <w:t>’</w:t>
            </w:r>
            <w:r w:rsidRPr="00653BF4">
              <w:rPr>
                <w:rFonts w:ascii="Aptos" w:hAnsi="Aptos"/>
                <w:b/>
                <w:color w:val="0E2841" w:themeColor="text2"/>
                <w:sz w:val="20"/>
                <w:szCs w:val="20"/>
                <w:lang w:val="fr-FR"/>
              </w:rPr>
              <w:t>évaluation des progrès accomplis dans la mise en œuvre</w:t>
            </w:r>
            <w:r w:rsidR="00E34DC9">
              <w:rPr>
                <w:rFonts w:ascii="Aptos" w:hAnsi="Aptos"/>
                <w:b/>
                <w:color w:val="0E2841" w:themeColor="text2"/>
                <w:sz w:val="20"/>
                <w:szCs w:val="20"/>
                <w:lang w:val="fr-FR"/>
              </w:rPr>
              <w:t> :</w:t>
            </w:r>
            <w:r w:rsidRPr="00653BF4">
              <w:rPr>
                <w:rFonts w:ascii="Aptos" w:hAnsi="Aptos"/>
                <w:b/>
                <w:color w:val="0E2841" w:themeColor="text2"/>
                <w:sz w:val="20"/>
                <w:szCs w:val="20"/>
                <w:lang w:val="fr-FR"/>
              </w:rPr>
              <w:t xml:space="preserve"> en quoi l</w:t>
            </w:r>
            <w:r w:rsidR="002A58C8" w:rsidRPr="00653BF4">
              <w:rPr>
                <w:rFonts w:ascii="Aptos" w:hAnsi="Aptos"/>
                <w:b/>
                <w:color w:val="0E2841" w:themeColor="text2"/>
                <w:sz w:val="20"/>
                <w:szCs w:val="20"/>
                <w:lang w:val="fr-FR"/>
              </w:rPr>
              <w:t>’</w:t>
            </w:r>
            <w:r w:rsidRPr="00653BF4">
              <w:rPr>
                <w:rFonts w:ascii="Aptos" w:hAnsi="Aptos"/>
                <w:b/>
                <w:color w:val="0E2841" w:themeColor="text2"/>
                <w:sz w:val="20"/>
                <w:szCs w:val="20"/>
                <w:lang w:val="fr-FR"/>
              </w:rPr>
              <w:t>évaluation des cibles du Cadre est-elle liée à la mise en œuvre et aux progrès accomplis vers la réalisation des objectifs fixés pour 2050</w:t>
            </w:r>
          </w:p>
          <w:p w14:paraId="603FD4B0" w14:textId="77777777" w:rsidR="0099050E" w:rsidRPr="00653BF4" w:rsidRDefault="0099050E" w:rsidP="0099050E">
            <w:pPr>
              <w:pStyle w:val="p1"/>
              <w:rPr>
                <w:rFonts w:ascii="Aptos" w:hAnsi="Aptos"/>
                <w:sz w:val="20"/>
                <w:szCs w:val="20"/>
                <w:lang w:val="fr-FR"/>
              </w:rPr>
            </w:pPr>
          </w:p>
          <w:p w14:paraId="3AD3EE20" w14:textId="1AB1C304" w:rsidR="00BE4A13" w:rsidRPr="00653BF4" w:rsidRDefault="004A30AB" w:rsidP="00BE4A13">
            <w:pPr>
              <w:pStyle w:val="p1"/>
              <w:rPr>
                <w:rFonts w:ascii="Aptos" w:hAnsi="Aptos"/>
                <w:sz w:val="20"/>
                <w:szCs w:val="20"/>
                <w:lang w:val="fr-FR"/>
              </w:rPr>
            </w:pPr>
            <w:r w:rsidRPr="00653BF4">
              <w:rPr>
                <w:rFonts w:ascii="Aptos" w:hAnsi="Aptos"/>
                <w:sz w:val="20"/>
                <w:szCs w:val="20"/>
                <w:lang w:val="fr-FR"/>
              </w:rPr>
              <w:t xml:space="preserve">Le rapport mondial a pour mission de fournir </w:t>
            </w:r>
            <w:r w:rsidR="00E34DC9">
              <w:rPr>
                <w:rFonts w:ascii="Aptos" w:hAnsi="Aptos"/>
                <w:sz w:val="20"/>
                <w:szCs w:val="20"/>
                <w:lang w:val="fr-FR"/>
              </w:rPr>
              <w:t>« </w:t>
            </w:r>
            <w:r w:rsidRPr="00653BF4">
              <w:rPr>
                <w:rFonts w:ascii="Aptos" w:hAnsi="Aptos"/>
                <w:sz w:val="20"/>
                <w:szCs w:val="20"/>
                <w:lang w:val="fr-FR"/>
              </w:rPr>
              <w:t xml:space="preserve">un </w:t>
            </w:r>
            <w:r w:rsidR="00422EC7" w:rsidRPr="00653BF4">
              <w:rPr>
                <w:rFonts w:ascii="Aptos" w:hAnsi="Aptos"/>
                <w:sz w:val="20"/>
                <w:szCs w:val="20"/>
                <w:lang w:val="fr-FR"/>
              </w:rPr>
              <w:t>résumé</w:t>
            </w:r>
            <w:r w:rsidRPr="00653BF4">
              <w:rPr>
                <w:rFonts w:ascii="Aptos" w:hAnsi="Aptos"/>
                <w:sz w:val="20"/>
                <w:szCs w:val="20"/>
                <w:lang w:val="fr-FR"/>
              </w:rPr>
              <w:t xml:space="preserve"> des progrès collectifs accomplis dans la mise en œuvre des 23 cibles, en mettant l</w:t>
            </w:r>
            <w:r w:rsidR="002A58C8" w:rsidRPr="00653BF4">
              <w:rPr>
                <w:rFonts w:ascii="Aptos" w:hAnsi="Aptos"/>
                <w:sz w:val="20"/>
                <w:szCs w:val="20"/>
                <w:lang w:val="fr-FR"/>
              </w:rPr>
              <w:t>’</w:t>
            </w:r>
            <w:r w:rsidRPr="00653BF4">
              <w:rPr>
                <w:rFonts w:ascii="Aptos" w:hAnsi="Aptos"/>
                <w:sz w:val="20"/>
                <w:szCs w:val="20"/>
                <w:lang w:val="fr-FR"/>
              </w:rPr>
              <w:t>accent sur les points forts et les points faibles de la mise en œuvre du Cadre</w:t>
            </w:r>
            <w:r w:rsidR="00E34DC9">
              <w:rPr>
                <w:rFonts w:ascii="Aptos" w:hAnsi="Aptos"/>
                <w:sz w:val="20"/>
                <w:szCs w:val="20"/>
                <w:lang w:val="fr-FR"/>
              </w:rPr>
              <w:t> »</w:t>
            </w:r>
            <w:r w:rsidRPr="00653BF4">
              <w:rPr>
                <w:rFonts w:ascii="Aptos" w:hAnsi="Aptos"/>
                <w:sz w:val="20"/>
                <w:szCs w:val="20"/>
                <w:lang w:val="fr-FR"/>
              </w:rPr>
              <w:t>. La mise en œuvre nationale du Cadre passe par la réalisation des cibles nationales. Si les cibles nationales sont bien alignées sur les cibles globales du Cadre, les progrès accomplis vers la réalisation des cibles nationales devraient alors contribuer aux progrès collectifs vers la réalisation des cibles globales. Parallèlement, les indicateurs du cadre de suivi du Cadre ont été conçus pour permettre de rendre compte à la fois des progrès réalisés dans la mise en œuvre des cibles nationales et des progrès accomplis vers les cibles globales lorsque les données nationales sont agrégées. Les quatre indicateurs suivants, utilisés dans le rapport, revêtent donc une importance particulière pour évaluer les progrès globaux réalisés dans la mise en œuvre du Cadre</w:t>
            </w:r>
            <w:r w:rsidR="00E34DC9">
              <w:rPr>
                <w:rFonts w:ascii="Aptos" w:hAnsi="Aptos"/>
                <w:sz w:val="20"/>
                <w:szCs w:val="20"/>
                <w:lang w:val="fr-FR"/>
              </w:rPr>
              <w:t> :</w:t>
            </w:r>
            <w:r w:rsidRPr="00653BF4">
              <w:rPr>
                <w:rFonts w:ascii="Aptos" w:hAnsi="Aptos"/>
                <w:sz w:val="20"/>
                <w:szCs w:val="20"/>
                <w:lang w:val="fr-FR"/>
              </w:rPr>
              <w:t xml:space="preserve"> a) </w:t>
            </w:r>
            <w:r w:rsidR="00E72764" w:rsidRPr="00653BF4">
              <w:rPr>
                <w:rFonts w:ascii="Aptos" w:hAnsi="Aptos"/>
                <w:sz w:val="20"/>
                <w:szCs w:val="20"/>
                <w:lang w:val="fr-FR"/>
              </w:rPr>
              <w:t xml:space="preserve">la prise en compte </w:t>
            </w:r>
            <w:r w:rsidR="004C09EC" w:rsidRPr="00653BF4">
              <w:rPr>
                <w:rFonts w:ascii="Aptos" w:hAnsi="Aptos"/>
                <w:sz w:val="20"/>
                <w:szCs w:val="20"/>
                <w:lang w:val="fr-FR"/>
              </w:rPr>
              <w:t>de la portée</w:t>
            </w:r>
            <w:r w:rsidRPr="00653BF4">
              <w:rPr>
                <w:rFonts w:ascii="Aptos" w:hAnsi="Aptos"/>
                <w:sz w:val="20"/>
                <w:szCs w:val="20"/>
                <w:lang w:val="fr-FR"/>
              </w:rPr>
              <w:t xml:space="preserve"> des cibles du Cadre par les cibles nationales</w:t>
            </w:r>
            <w:r w:rsidR="00E34DC9">
              <w:rPr>
                <w:rFonts w:ascii="Aptos" w:hAnsi="Aptos"/>
                <w:sz w:val="20"/>
                <w:szCs w:val="20"/>
                <w:lang w:val="fr-FR"/>
              </w:rPr>
              <w:t> ;</w:t>
            </w:r>
            <w:r w:rsidRPr="00653BF4">
              <w:rPr>
                <w:rFonts w:ascii="Aptos" w:hAnsi="Aptos"/>
                <w:sz w:val="20"/>
                <w:szCs w:val="20"/>
                <w:lang w:val="fr-FR"/>
              </w:rPr>
              <w:t xml:space="preserve"> b) les progrès auto-évalués par les Parties vers la réalisation des cibles nationales</w:t>
            </w:r>
            <w:r w:rsidR="00E34DC9">
              <w:rPr>
                <w:rFonts w:ascii="Aptos" w:hAnsi="Aptos"/>
                <w:sz w:val="20"/>
                <w:szCs w:val="20"/>
                <w:lang w:val="fr-FR"/>
              </w:rPr>
              <w:t> ;</w:t>
            </w:r>
            <w:r w:rsidRPr="00653BF4">
              <w:rPr>
                <w:rFonts w:ascii="Aptos" w:hAnsi="Aptos"/>
                <w:sz w:val="20"/>
                <w:szCs w:val="20"/>
                <w:lang w:val="fr-FR"/>
              </w:rPr>
              <w:t xml:space="preserve"> c) les valeurs et les tendances des indicateurs qui, prises dans leur ensemble, montrent les progrès accomplis vers la réalisation des cibles globales sur la base des données nationales</w:t>
            </w:r>
            <w:r w:rsidR="00E34DC9">
              <w:rPr>
                <w:rFonts w:ascii="Aptos" w:hAnsi="Aptos"/>
                <w:sz w:val="20"/>
                <w:szCs w:val="20"/>
                <w:lang w:val="fr-FR"/>
              </w:rPr>
              <w:t> ;</w:t>
            </w:r>
            <w:r w:rsidRPr="00653BF4">
              <w:rPr>
                <w:rFonts w:ascii="Aptos" w:hAnsi="Aptos"/>
                <w:sz w:val="20"/>
                <w:szCs w:val="20"/>
                <w:lang w:val="fr-FR"/>
              </w:rPr>
              <w:t xml:space="preserve"> et d) la quantité de données relatives aux indicateurs communiquées par les Parties (c</w:t>
            </w:r>
            <w:r w:rsidR="002A58C8" w:rsidRPr="00653BF4">
              <w:rPr>
                <w:rFonts w:ascii="Aptos" w:hAnsi="Aptos"/>
                <w:sz w:val="20"/>
                <w:szCs w:val="20"/>
                <w:lang w:val="fr-FR"/>
              </w:rPr>
              <w:t>’</w:t>
            </w:r>
            <w:r w:rsidRPr="00653BF4">
              <w:rPr>
                <w:rFonts w:ascii="Aptos" w:hAnsi="Aptos"/>
                <w:sz w:val="20"/>
                <w:szCs w:val="20"/>
                <w:lang w:val="fr-FR"/>
              </w:rPr>
              <w:t>est-à-dire le nombre d</w:t>
            </w:r>
            <w:r w:rsidR="002A58C8" w:rsidRPr="00653BF4">
              <w:rPr>
                <w:rFonts w:ascii="Aptos" w:hAnsi="Aptos"/>
                <w:sz w:val="20"/>
                <w:szCs w:val="20"/>
                <w:lang w:val="fr-FR"/>
              </w:rPr>
              <w:t>’</w:t>
            </w:r>
            <w:r w:rsidR="00163FDD" w:rsidRPr="00653BF4">
              <w:rPr>
                <w:rFonts w:ascii="Aptos" w:hAnsi="Aptos"/>
                <w:sz w:val="20"/>
                <w:szCs w:val="20"/>
                <w:lang w:val="fr-FR"/>
              </w:rPr>
              <w:t>indicateurs phares</w:t>
            </w:r>
            <w:r w:rsidRPr="00653BF4">
              <w:rPr>
                <w:rFonts w:ascii="Aptos" w:hAnsi="Aptos"/>
                <w:sz w:val="20"/>
                <w:szCs w:val="20"/>
                <w:lang w:val="fr-FR"/>
              </w:rPr>
              <w:t>, binaires, de composantes et nationaux fournis par les Parties pour chaque cible). Les données figurant dans les colonnes 1 à 4 du tableau de bord sommaire (</w:t>
            </w:r>
            <w:r w:rsidR="00422EC7" w:rsidRPr="00653BF4">
              <w:rPr>
                <w:rFonts w:ascii="Aptos" w:hAnsi="Aptos"/>
                <w:sz w:val="20"/>
                <w:szCs w:val="20"/>
                <w:lang w:val="fr-FR"/>
              </w:rPr>
              <w:t>t</w:t>
            </w:r>
            <w:r w:rsidRPr="00653BF4">
              <w:rPr>
                <w:rFonts w:ascii="Aptos" w:hAnsi="Aptos"/>
                <w:sz w:val="20"/>
                <w:szCs w:val="20"/>
                <w:lang w:val="fr-FR"/>
              </w:rPr>
              <w:t>ableau 1) illustrent les valeurs relatives de ces indicateurs pour l</w:t>
            </w:r>
            <w:r w:rsidR="002A58C8" w:rsidRPr="00653BF4">
              <w:rPr>
                <w:rFonts w:ascii="Aptos" w:hAnsi="Aptos"/>
                <w:sz w:val="20"/>
                <w:szCs w:val="20"/>
                <w:lang w:val="fr-FR"/>
              </w:rPr>
              <w:t>’</w:t>
            </w:r>
            <w:r w:rsidRPr="00653BF4">
              <w:rPr>
                <w:rFonts w:ascii="Aptos" w:hAnsi="Aptos"/>
                <w:sz w:val="20"/>
                <w:szCs w:val="20"/>
                <w:lang w:val="fr-FR"/>
              </w:rPr>
              <w:t>ensemble des cibles du Cadre.</w:t>
            </w:r>
          </w:p>
          <w:p w14:paraId="75BC3566" w14:textId="172D90EB" w:rsidR="00B50240" w:rsidRPr="00653BF4" w:rsidRDefault="00B50240">
            <w:pPr>
              <w:pStyle w:val="p1"/>
              <w:rPr>
                <w:rFonts w:ascii="Aptos" w:hAnsi="Aptos"/>
                <w:sz w:val="20"/>
                <w:szCs w:val="20"/>
                <w:lang w:val="fr-FR"/>
              </w:rPr>
            </w:pPr>
            <w:r w:rsidRPr="00653BF4">
              <w:rPr>
                <w:rFonts w:ascii="Aptos" w:hAnsi="Aptos"/>
                <w:lang w:val="fr-FR"/>
              </w:rPr>
              <w:br/>
            </w:r>
            <w:r w:rsidR="00216938" w:rsidRPr="00653BF4">
              <w:rPr>
                <w:rFonts w:ascii="Aptos" w:hAnsi="Aptos"/>
                <w:sz w:val="20"/>
                <w:szCs w:val="20"/>
                <w:lang w:val="fr-FR"/>
              </w:rPr>
              <w:t>Ces indicateurs sont liés aux progrès accomplis de deux manières différentes</w:t>
            </w:r>
            <w:r w:rsidR="00E34DC9">
              <w:rPr>
                <w:rFonts w:ascii="Aptos" w:hAnsi="Aptos"/>
                <w:sz w:val="20"/>
                <w:szCs w:val="20"/>
                <w:lang w:val="fr-FR"/>
              </w:rPr>
              <w:t> :</w:t>
            </w:r>
          </w:p>
          <w:p w14:paraId="50598516" w14:textId="77777777" w:rsidR="00B50240" w:rsidRPr="00653BF4" w:rsidRDefault="00B50240">
            <w:pPr>
              <w:pStyle w:val="p1"/>
              <w:rPr>
                <w:rFonts w:ascii="Aptos" w:hAnsi="Aptos"/>
                <w:lang w:val="fr-FR"/>
              </w:rPr>
            </w:pPr>
          </w:p>
          <w:p w14:paraId="1724D4FF" w14:textId="06918A07" w:rsidR="00913968" w:rsidRPr="00653BF4" w:rsidRDefault="00913968" w:rsidP="00913968">
            <w:pPr>
              <w:rPr>
                <w:rFonts w:ascii="Aptos" w:hAnsi="Aptos"/>
                <w:sz w:val="20"/>
                <w:szCs w:val="20"/>
                <w:lang w:val="fr-FR"/>
              </w:rPr>
            </w:pPr>
            <w:r w:rsidRPr="00653BF4">
              <w:rPr>
                <w:rFonts w:ascii="Aptos" w:hAnsi="Aptos"/>
                <w:sz w:val="20"/>
                <w:szCs w:val="20"/>
                <w:lang w:val="fr-FR"/>
              </w:rPr>
              <w:t xml:space="preserve">1. </w:t>
            </w:r>
            <w:r w:rsidR="00C04218" w:rsidRPr="00653BF4">
              <w:rPr>
                <w:rFonts w:ascii="Aptos" w:hAnsi="Aptos"/>
                <w:sz w:val="20"/>
                <w:szCs w:val="20"/>
                <w:lang w:val="fr-FR"/>
              </w:rPr>
              <w:t>Les progrès vis-à-vis des cibles nationales relatés dans l</w:t>
            </w:r>
            <w:r w:rsidR="002A58C8" w:rsidRPr="00653BF4">
              <w:rPr>
                <w:rFonts w:ascii="Aptos" w:hAnsi="Aptos"/>
                <w:sz w:val="20"/>
                <w:szCs w:val="20"/>
                <w:lang w:val="fr-FR"/>
              </w:rPr>
              <w:t>’</w:t>
            </w:r>
            <w:r w:rsidR="00C04218" w:rsidRPr="00653BF4">
              <w:rPr>
                <w:rFonts w:ascii="Aptos" w:hAnsi="Aptos"/>
                <w:sz w:val="20"/>
                <w:szCs w:val="20"/>
                <w:lang w:val="fr-FR"/>
              </w:rPr>
              <w:t>auto</w:t>
            </w:r>
            <w:r w:rsidR="003E61BE" w:rsidRPr="00653BF4">
              <w:rPr>
                <w:rFonts w:ascii="Aptos" w:hAnsi="Aptos"/>
                <w:sz w:val="20"/>
                <w:szCs w:val="20"/>
                <w:lang w:val="fr-FR"/>
              </w:rPr>
              <w:t>-</w:t>
            </w:r>
            <w:r w:rsidR="00C04218" w:rsidRPr="00653BF4">
              <w:rPr>
                <w:rFonts w:ascii="Aptos" w:hAnsi="Aptos"/>
                <w:sz w:val="20"/>
                <w:szCs w:val="20"/>
                <w:lang w:val="fr-FR"/>
              </w:rPr>
              <w:t>évaluation des Parties peuvent contribuer à l</w:t>
            </w:r>
            <w:r w:rsidR="002A58C8" w:rsidRPr="00653BF4">
              <w:rPr>
                <w:rFonts w:ascii="Aptos" w:hAnsi="Aptos"/>
                <w:sz w:val="20"/>
                <w:szCs w:val="20"/>
                <w:lang w:val="fr-FR"/>
              </w:rPr>
              <w:t>’</w:t>
            </w:r>
            <w:r w:rsidR="00C04218" w:rsidRPr="00653BF4">
              <w:rPr>
                <w:rFonts w:ascii="Aptos" w:hAnsi="Aptos"/>
                <w:sz w:val="20"/>
                <w:szCs w:val="20"/>
                <w:lang w:val="fr-FR"/>
              </w:rPr>
              <w:t xml:space="preserve">avancement vers les cibles globales si les cibles nationales couvrent efficacement ces dernières. Lorsque la </w:t>
            </w:r>
            <w:r w:rsidR="009F792A" w:rsidRPr="00653BF4">
              <w:rPr>
                <w:rFonts w:ascii="Aptos" w:hAnsi="Aptos"/>
                <w:sz w:val="20"/>
                <w:szCs w:val="20"/>
                <w:lang w:val="fr-FR"/>
              </w:rPr>
              <w:t>prise en compte</w:t>
            </w:r>
            <w:r w:rsidR="00C04218" w:rsidRPr="00653BF4">
              <w:rPr>
                <w:rFonts w:ascii="Aptos" w:hAnsi="Aptos"/>
                <w:sz w:val="20"/>
                <w:szCs w:val="20"/>
                <w:lang w:val="fr-FR"/>
              </w:rPr>
              <w:t xml:space="preserve"> est élevée et que les progrès vis-à-vis des cibles nationales sont satisfaisants, on peut s</w:t>
            </w:r>
            <w:r w:rsidR="002A58C8" w:rsidRPr="00653BF4">
              <w:rPr>
                <w:rFonts w:ascii="Aptos" w:hAnsi="Aptos"/>
                <w:sz w:val="20"/>
                <w:szCs w:val="20"/>
                <w:lang w:val="fr-FR"/>
              </w:rPr>
              <w:t>’</w:t>
            </w:r>
            <w:r w:rsidR="00C04218" w:rsidRPr="00653BF4">
              <w:rPr>
                <w:rFonts w:ascii="Aptos" w:hAnsi="Aptos"/>
                <w:sz w:val="20"/>
                <w:szCs w:val="20"/>
                <w:lang w:val="fr-FR"/>
              </w:rPr>
              <w:t xml:space="preserve">attendre à ce que des progrès soient réalisés vis-à-vis des cibles globales. En revanche, si la </w:t>
            </w:r>
            <w:r w:rsidR="009F792A" w:rsidRPr="00653BF4">
              <w:rPr>
                <w:rFonts w:ascii="Aptos" w:hAnsi="Aptos"/>
                <w:sz w:val="20"/>
                <w:szCs w:val="20"/>
                <w:lang w:val="fr-FR"/>
              </w:rPr>
              <w:t>prise en compte</w:t>
            </w:r>
            <w:r w:rsidR="00C04218" w:rsidRPr="00653BF4">
              <w:rPr>
                <w:rFonts w:ascii="Aptos" w:hAnsi="Aptos"/>
                <w:sz w:val="20"/>
                <w:szCs w:val="20"/>
                <w:lang w:val="fr-FR"/>
              </w:rPr>
              <w:t xml:space="preserve"> par les cibles nationales est faible, les progrès vis-à-vis des cibles globales seront limités, même si les progrès relatés dans l</w:t>
            </w:r>
            <w:r w:rsidR="002A58C8" w:rsidRPr="00653BF4">
              <w:rPr>
                <w:rFonts w:ascii="Aptos" w:hAnsi="Aptos"/>
                <w:sz w:val="20"/>
                <w:szCs w:val="20"/>
                <w:lang w:val="fr-FR"/>
              </w:rPr>
              <w:t>’</w:t>
            </w:r>
            <w:r w:rsidR="00C04218" w:rsidRPr="00653BF4">
              <w:rPr>
                <w:rFonts w:ascii="Aptos" w:hAnsi="Aptos"/>
                <w:sz w:val="20"/>
                <w:szCs w:val="20"/>
                <w:lang w:val="fr-FR"/>
              </w:rPr>
              <w:t>auto</w:t>
            </w:r>
            <w:r w:rsidR="003E61BE" w:rsidRPr="00653BF4">
              <w:rPr>
                <w:rFonts w:ascii="Aptos" w:hAnsi="Aptos"/>
                <w:sz w:val="20"/>
                <w:szCs w:val="20"/>
                <w:lang w:val="fr-FR"/>
              </w:rPr>
              <w:t>-</w:t>
            </w:r>
            <w:r w:rsidR="00C04218" w:rsidRPr="00653BF4">
              <w:rPr>
                <w:rFonts w:ascii="Aptos" w:hAnsi="Aptos"/>
                <w:sz w:val="20"/>
                <w:szCs w:val="20"/>
                <w:lang w:val="fr-FR"/>
              </w:rPr>
              <w:t xml:space="preserve">évaluation sont importants. La combinaison de la </w:t>
            </w:r>
            <w:r w:rsidR="009F792A" w:rsidRPr="00653BF4">
              <w:rPr>
                <w:rFonts w:ascii="Aptos" w:hAnsi="Aptos"/>
                <w:sz w:val="20"/>
                <w:szCs w:val="20"/>
                <w:lang w:val="fr-FR"/>
              </w:rPr>
              <w:t>prise en compte</w:t>
            </w:r>
            <w:r w:rsidR="00C04218" w:rsidRPr="00653BF4">
              <w:rPr>
                <w:rFonts w:ascii="Aptos" w:hAnsi="Aptos"/>
                <w:sz w:val="20"/>
                <w:szCs w:val="20"/>
                <w:lang w:val="fr-FR"/>
              </w:rPr>
              <w:t xml:space="preserve"> et des progrès relatés dans l</w:t>
            </w:r>
            <w:r w:rsidR="002A58C8" w:rsidRPr="00653BF4">
              <w:rPr>
                <w:rFonts w:ascii="Aptos" w:hAnsi="Aptos"/>
                <w:sz w:val="20"/>
                <w:szCs w:val="20"/>
                <w:lang w:val="fr-FR"/>
              </w:rPr>
              <w:t>’</w:t>
            </w:r>
            <w:r w:rsidR="00C04218" w:rsidRPr="00653BF4">
              <w:rPr>
                <w:rFonts w:ascii="Aptos" w:hAnsi="Aptos"/>
                <w:sz w:val="20"/>
                <w:szCs w:val="20"/>
                <w:lang w:val="fr-FR"/>
              </w:rPr>
              <w:t>auto</w:t>
            </w:r>
            <w:r w:rsidR="003E61BE" w:rsidRPr="00653BF4">
              <w:rPr>
                <w:rFonts w:ascii="Aptos" w:hAnsi="Aptos"/>
                <w:sz w:val="20"/>
                <w:szCs w:val="20"/>
                <w:lang w:val="fr-FR"/>
              </w:rPr>
              <w:t>-</w:t>
            </w:r>
            <w:r w:rsidR="00C04218" w:rsidRPr="00653BF4">
              <w:rPr>
                <w:rFonts w:ascii="Aptos" w:hAnsi="Aptos"/>
                <w:sz w:val="20"/>
                <w:szCs w:val="20"/>
                <w:lang w:val="fr-FR"/>
              </w:rPr>
              <w:t>évaluation fournit donc une première mesure sommaire des progrès collectifs attendus</w:t>
            </w:r>
            <w:r w:rsidRPr="00653BF4">
              <w:rPr>
                <w:rFonts w:ascii="Aptos" w:hAnsi="Aptos"/>
                <w:sz w:val="20"/>
                <w:szCs w:val="20"/>
                <w:lang w:val="fr-FR"/>
              </w:rPr>
              <w:t>.</w:t>
            </w:r>
          </w:p>
          <w:p w14:paraId="3F784A3D" w14:textId="77777777" w:rsidR="00B50240" w:rsidRPr="00653BF4" w:rsidRDefault="00B50240">
            <w:pPr>
              <w:rPr>
                <w:rFonts w:ascii="Aptos" w:hAnsi="Aptos"/>
                <w:sz w:val="20"/>
                <w:szCs w:val="20"/>
                <w:lang w:val="fr-FR"/>
              </w:rPr>
            </w:pPr>
          </w:p>
          <w:p w14:paraId="332BFCDF" w14:textId="7B0D6CFB" w:rsidR="00780CA1" w:rsidRPr="00653BF4" w:rsidRDefault="00B50240" w:rsidP="00780CA1">
            <w:pPr>
              <w:rPr>
                <w:rFonts w:ascii="Aptos" w:hAnsi="Aptos"/>
                <w:sz w:val="20"/>
                <w:szCs w:val="20"/>
                <w:lang w:val="fr-FR"/>
              </w:rPr>
            </w:pPr>
            <w:r w:rsidRPr="00653BF4">
              <w:rPr>
                <w:rFonts w:ascii="Aptos" w:hAnsi="Aptos"/>
                <w:sz w:val="20"/>
                <w:szCs w:val="20"/>
                <w:lang w:val="fr-FR"/>
              </w:rPr>
              <w:lastRenderedPageBreak/>
              <w:t xml:space="preserve">2. </w:t>
            </w:r>
            <w:r w:rsidR="007D1193" w:rsidRPr="00653BF4">
              <w:rPr>
                <w:rFonts w:ascii="Aptos" w:hAnsi="Aptos"/>
                <w:sz w:val="20"/>
                <w:szCs w:val="20"/>
                <w:lang w:val="fr-FR"/>
              </w:rPr>
              <w:t>Si les valeurs et les tendances des indicateurs pertinents permettent de mesurer les progrès collectifs réalisés vers chaque cible, il convient de prendre note que les changements observés en matière de biodiversité résultant de la mise en œuvre du Cadre ne seront perceptibles qu</w:t>
            </w:r>
            <w:r w:rsidR="002A58C8" w:rsidRPr="00653BF4">
              <w:rPr>
                <w:rFonts w:ascii="Aptos" w:hAnsi="Aptos"/>
                <w:sz w:val="20"/>
                <w:szCs w:val="20"/>
                <w:lang w:val="fr-FR"/>
              </w:rPr>
              <w:t>’</w:t>
            </w:r>
            <w:r w:rsidR="007D1193" w:rsidRPr="00653BF4">
              <w:rPr>
                <w:rFonts w:ascii="Aptos" w:hAnsi="Aptos"/>
                <w:sz w:val="20"/>
                <w:szCs w:val="20"/>
                <w:lang w:val="fr-FR"/>
              </w:rPr>
              <w:t>au bout d</w:t>
            </w:r>
            <w:r w:rsidR="002A58C8" w:rsidRPr="00653BF4">
              <w:rPr>
                <w:rFonts w:ascii="Aptos" w:hAnsi="Aptos"/>
                <w:sz w:val="20"/>
                <w:szCs w:val="20"/>
                <w:lang w:val="fr-FR"/>
              </w:rPr>
              <w:t>’</w:t>
            </w:r>
            <w:r w:rsidR="007D1193" w:rsidRPr="00653BF4">
              <w:rPr>
                <w:rFonts w:ascii="Aptos" w:hAnsi="Aptos"/>
                <w:sz w:val="20"/>
                <w:szCs w:val="20"/>
                <w:lang w:val="fr-FR"/>
              </w:rPr>
              <w:t>un certain temps (</w:t>
            </w:r>
            <w:r w:rsidR="00592405" w:rsidRPr="00653BF4">
              <w:rPr>
                <w:rFonts w:ascii="Aptos" w:hAnsi="Aptos"/>
                <w:sz w:val="20"/>
                <w:szCs w:val="20"/>
                <w:lang w:val="fr-FR"/>
              </w:rPr>
              <w:t>voir la figure </w:t>
            </w:r>
            <w:r w:rsidR="007D1193" w:rsidRPr="00653BF4">
              <w:rPr>
                <w:rFonts w:ascii="Aptos" w:hAnsi="Aptos"/>
                <w:sz w:val="20"/>
                <w:szCs w:val="20"/>
                <w:lang w:val="fr-FR"/>
              </w:rPr>
              <w:t>6). De plus, la capacité à mesurer les progrès collectifs vers une cible donnée dépend de la représentativité des données présentées au titre des indicateurs. Lorsque les données disponibles sont rares, il est peu probable que les valeurs et les tendances des indicateurs reflètent les progrès collectifs. L</w:t>
            </w:r>
            <w:r w:rsidR="002A58C8" w:rsidRPr="00653BF4">
              <w:rPr>
                <w:rFonts w:ascii="Aptos" w:hAnsi="Aptos"/>
                <w:sz w:val="20"/>
                <w:szCs w:val="20"/>
                <w:lang w:val="fr-FR"/>
              </w:rPr>
              <w:t>’</w:t>
            </w:r>
            <w:r w:rsidR="007D1193" w:rsidRPr="00653BF4">
              <w:rPr>
                <w:rFonts w:ascii="Aptos" w:hAnsi="Aptos"/>
                <w:sz w:val="20"/>
                <w:szCs w:val="20"/>
                <w:lang w:val="fr-FR"/>
              </w:rPr>
              <w:t>inverse étant également vrai, toute évaluation des progrès mesurés à l</w:t>
            </w:r>
            <w:r w:rsidR="002A58C8" w:rsidRPr="00653BF4">
              <w:rPr>
                <w:rFonts w:ascii="Aptos" w:hAnsi="Aptos"/>
                <w:sz w:val="20"/>
                <w:szCs w:val="20"/>
                <w:lang w:val="fr-FR"/>
              </w:rPr>
              <w:t>’</w:t>
            </w:r>
            <w:r w:rsidR="007D1193" w:rsidRPr="00653BF4">
              <w:rPr>
                <w:rFonts w:ascii="Aptos" w:hAnsi="Aptos"/>
                <w:sz w:val="20"/>
                <w:szCs w:val="20"/>
                <w:lang w:val="fr-FR"/>
              </w:rPr>
              <w:t>aide d</w:t>
            </w:r>
            <w:r w:rsidR="002A58C8" w:rsidRPr="00653BF4">
              <w:rPr>
                <w:rFonts w:ascii="Aptos" w:hAnsi="Aptos"/>
                <w:sz w:val="20"/>
                <w:szCs w:val="20"/>
                <w:lang w:val="fr-FR"/>
              </w:rPr>
              <w:t>’</w:t>
            </w:r>
            <w:r w:rsidR="007D1193" w:rsidRPr="00653BF4">
              <w:rPr>
                <w:rFonts w:ascii="Aptos" w:hAnsi="Aptos"/>
                <w:sz w:val="20"/>
                <w:szCs w:val="20"/>
                <w:lang w:val="fr-FR"/>
              </w:rPr>
              <w:t>indicateurs doit être interprétée en tenant compte de la quantité de données disponibles pour ces indicateurs, afin de garantir que leur représentativité soit prise en considération</w:t>
            </w:r>
            <w:r w:rsidR="00780CA1" w:rsidRPr="00653BF4">
              <w:rPr>
                <w:rFonts w:ascii="Aptos" w:hAnsi="Aptos"/>
                <w:sz w:val="20"/>
                <w:szCs w:val="20"/>
                <w:lang w:val="fr-FR"/>
              </w:rPr>
              <w:t>.</w:t>
            </w:r>
          </w:p>
          <w:p w14:paraId="0FF4B020" w14:textId="77777777" w:rsidR="00B50240" w:rsidRPr="00653BF4" w:rsidRDefault="00B50240">
            <w:pPr>
              <w:rPr>
                <w:rFonts w:ascii="Aptos" w:hAnsi="Aptos"/>
                <w:sz w:val="20"/>
                <w:szCs w:val="20"/>
                <w:lang w:val="fr-FR"/>
              </w:rPr>
            </w:pPr>
          </w:p>
          <w:p w14:paraId="0FE27F9F" w14:textId="23228078" w:rsidR="008D2CDF" w:rsidRPr="00653BF4" w:rsidRDefault="00931CFA" w:rsidP="008D2CDF">
            <w:pPr>
              <w:rPr>
                <w:rFonts w:ascii="Aptos" w:hAnsi="Aptos"/>
                <w:sz w:val="20"/>
                <w:szCs w:val="20"/>
                <w:lang w:val="fr-FR"/>
              </w:rPr>
            </w:pPr>
            <w:r w:rsidRPr="00653BF4">
              <w:rPr>
                <w:rFonts w:ascii="Aptos" w:hAnsi="Aptos"/>
                <w:sz w:val="20"/>
                <w:szCs w:val="20"/>
                <w:lang w:val="fr-FR"/>
              </w:rPr>
              <w:t xml:space="preserve">Grâce à son analyse conjointe de la </w:t>
            </w:r>
            <w:r w:rsidR="009F792A" w:rsidRPr="00653BF4">
              <w:rPr>
                <w:rFonts w:ascii="Aptos" w:hAnsi="Aptos"/>
                <w:sz w:val="20"/>
                <w:szCs w:val="20"/>
                <w:lang w:val="fr-FR"/>
              </w:rPr>
              <w:t>prise en compte</w:t>
            </w:r>
            <w:r w:rsidRPr="00653BF4">
              <w:rPr>
                <w:rFonts w:ascii="Aptos" w:hAnsi="Aptos"/>
                <w:sz w:val="20"/>
                <w:szCs w:val="20"/>
                <w:lang w:val="fr-FR"/>
              </w:rPr>
              <w:t xml:space="preserve"> des cibles globales par les cibles nationales, des progrès auto-évalués, des valeurs et tendances mesurées des indicateurs ainsi que de la disponibilité des données, le rapport mondial est en mesure de fournir une évaluation relative des progrès collectifs réalisés vers la réalisation de chaque cible globale du Cadre. Cette évaluation relative a servi à définir les codes de couleurs utilisés pour les tableaux de bord figurant dans le présent rapport.</w:t>
            </w:r>
          </w:p>
          <w:p w14:paraId="04995E0A" w14:textId="77777777" w:rsidR="00B50240" w:rsidRPr="00653BF4" w:rsidRDefault="00B50240">
            <w:pPr>
              <w:rPr>
                <w:rFonts w:ascii="Aptos" w:hAnsi="Aptos"/>
                <w:sz w:val="20"/>
                <w:szCs w:val="20"/>
                <w:lang w:val="fr-FR"/>
              </w:rPr>
            </w:pPr>
            <w:r w:rsidRPr="00653BF4">
              <w:rPr>
                <w:rFonts w:ascii="Aptos" w:hAnsi="Aptos"/>
                <w:sz w:val="20"/>
                <w:szCs w:val="20"/>
                <w:lang w:val="fr-FR"/>
              </w:rPr>
              <w:t xml:space="preserve"> </w:t>
            </w:r>
          </w:p>
          <w:p w14:paraId="0AB94721" w14:textId="25FF3915" w:rsidR="00B50240" w:rsidRPr="00653BF4" w:rsidRDefault="0013233E">
            <w:pPr>
              <w:rPr>
                <w:rFonts w:ascii="Aptos" w:hAnsi="Aptos"/>
                <w:sz w:val="20"/>
                <w:szCs w:val="20"/>
                <w:lang w:val="fr-FR"/>
              </w:rPr>
            </w:pPr>
            <w:r w:rsidRPr="00653BF4">
              <w:rPr>
                <w:rFonts w:ascii="Aptos" w:hAnsi="Aptos"/>
                <w:sz w:val="20"/>
                <w:szCs w:val="20"/>
                <w:lang w:val="fr-FR"/>
              </w:rPr>
              <w:t xml:space="preserve">La </w:t>
            </w:r>
            <w:r w:rsidR="007C5315" w:rsidRPr="00653BF4">
              <w:rPr>
                <w:rFonts w:ascii="Aptos" w:hAnsi="Aptos"/>
                <w:sz w:val="20"/>
                <w:szCs w:val="20"/>
                <w:lang w:val="fr-FR"/>
              </w:rPr>
              <w:t xml:space="preserve">méthode </w:t>
            </w:r>
            <w:r w:rsidR="003C2659" w:rsidRPr="00653BF4">
              <w:rPr>
                <w:rFonts w:ascii="Aptos" w:hAnsi="Aptos"/>
                <w:sz w:val="20"/>
                <w:szCs w:val="20"/>
                <w:lang w:val="fr-FR"/>
              </w:rPr>
              <w:t>détaillée</w:t>
            </w:r>
            <w:r w:rsidR="007C5315" w:rsidRPr="00653BF4">
              <w:rPr>
                <w:rFonts w:ascii="Aptos" w:hAnsi="Aptos"/>
                <w:sz w:val="20"/>
                <w:szCs w:val="20"/>
                <w:lang w:val="fr-FR"/>
              </w:rPr>
              <w:t xml:space="preserve"> </w:t>
            </w:r>
            <w:r w:rsidR="00767166" w:rsidRPr="00653BF4">
              <w:rPr>
                <w:rFonts w:ascii="Aptos" w:hAnsi="Aptos"/>
                <w:sz w:val="20"/>
                <w:szCs w:val="20"/>
                <w:lang w:val="fr-FR"/>
              </w:rPr>
              <w:t xml:space="preserve">employée </w:t>
            </w:r>
            <w:r w:rsidR="007C5315" w:rsidRPr="00653BF4">
              <w:rPr>
                <w:rFonts w:ascii="Aptos" w:hAnsi="Aptos"/>
                <w:sz w:val="20"/>
                <w:szCs w:val="20"/>
                <w:lang w:val="fr-FR"/>
              </w:rPr>
              <w:t xml:space="preserve">dans </w:t>
            </w:r>
            <w:r w:rsidRPr="00653BF4">
              <w:rPr>
                <w:rFonts w:ascii="Aptos" w:hAnsi="Aptos"/>
                <w:sz w:val="20"/>
                <w:szCs w:val="20"/>
                <w:lang w:val="fr-FR"/>
              </w:rPr>
              <w:t xml:space="preserve">cette approche, ainsi que les calculs liés aux codes couleur, sont brièvement expliqués dans </w:t>
            </w:r>
            <w:r w:rsidR="00A42EBA" w:rsidRPr="00653BF4">
              <w:rPr>
                <w:rFonts w:ascii="Aptos" w:hAnsi="Aptos"/>
                <w:sz w:val="20"/>
                <w:szCs w:val="20"/>
                <w:lang w:val="fr-FR"/>
              </w:rPr>
              <w:t>le tableau de bord détaillé</w:t>
            </w:r>
            <w:r w:rsidRPr="00653BF4">
              <w:rPr>
                <w:rFonts w:ascii="Aptos" w:hAnsi="Aptos"/>
                <w:sz w:val="20"/>
                <w:szCs w:val="20"/>
                <w:lang w:val="fr-FR"/>
              </w:rPr>
              <w:t xml:space="preserve"> (</w:t>
            </w:r>
            <w:r w:rsidR="00FD065A" w:rsidRPr="00653BF4">
              <w:rPr>
                <w:rFonts w:ascii="Aptos" w:hAnsi="Aptos"/>
                <w:sz w:val="20"/>
                <w:szCs w:val="20"/>
                <w:lang w:val="fr-FR"/>
              </w:rPr>
              <w:t>tableau</w:t>
            </w:r>
            <w:r w:rsidRPr="00653BF4">
              <w:rPr>
                <w:rFonts w:ascii="Aptos" w:hAnsi="Aptos"/>
                <w:sz w:val="20"/>
                <w:szCs w:val="20"/>
                <w:lang w:val="fr-FR"/>
              </w:rPr>
              <w:t xml:space="preserve"> 56)</w:t>
            </w:r>
            <w:r w:rsidR="00E34DC9">
              <w:rPr>
                <w:rFonts w:ascii="Aptos" w:hAnsi="Aptos"/>
                <w:sz w:val="20"/>
                <w:szCs w:val="20"/>
                <w:lang w:val="fr-FR"/>
              </w:rPr>
              <w:t> ;</w:t>
            </w:r>
            <w:r w:rsidR="006B6810" w:rsidRPr="00653BF4">
              <w:rPr>
                <w:rFonts w:ascii="Aptos" w:hAnsi="Aptos"/>
                <w:sz w:val="20"/>
                <w:szCs w:val="20"/>
                <w:lang w:val="fr-FR"/>
              </w:rPr>
              <w:t xml:space="preserve"> la méthode de calcul des notes pour chaque indicateur binaire figure dans le document</w:t>
            </w:r>
            <w:r w:rsidR="0040424C" w:rsidRPr="00653BF4">
              <w:rPr>
                <w:rFonts w:ascii="Aptos" w:hAnsi="Aptos"/>
                <w:sz w:val="20"/>
                <w:szCs w:val="20"/>
                <w:lang w:val="fr-FR"/>
              </w:rPr>
              <w:t> </w:t>
            </w:r>
            <w:r w:rsidRPr="00653BF4">
              <w:rPr>
                <w:rFonts w:ascii="Aptos" w:hAnsi="Aptos"/>
                <w:sz w:val="20"/>
                <w:szCs w:val="20"/>
                <w:lang w:val="fr-FR"/>
              </w:rPr>
              <w:t>SBSTTA/28/INF/09. Bien que le code couleur global ne constitue pas une mesure absolue des progrès, il permet d</w:t>
            </w:r>
            <w:r w:rsidR="002A58C8" w:rsidRPr="00653BF4">
              <w:rPr>
                <w:rFonts w:ascii="Aptos" w:hAnsi="Aptos"/>
                <w:sz w:val="20"/>
                <w:szCs w:val="20"/>
                <w:lang w:val="fr-FR"/>
              </w:rPr>
              <w:t>’</w:t>
            </w:r>
            <w:r w:rsidRPr="00653BF4">
              <w:rPr>
                <w:rFonts w:ascii="Aptos" w:hAnsi="Aptos"/>
                <w:sz w:val="20"/>
                <w:szCs w:val="20"/>
                <w:lang w:val="fr-FR"/>
              </w:rPr>
              <w:t>identifier les cibles qui rencontrent les plus grandes difficultés de mise en œuvre, car il met en évidence les domaines où l</w:t>
            </w:r>
            <w:r w:rsidR="002A58C8" w:rsidRPr="00653BF4">
              <w:rPr>
                <w:rFonts w:ascii="Aptos" w:hAnsi="Aptos"/>
                <w:sz w:val="20"/>
                <w:szCs w:val="20"/>
                <w:lang w:val="fr-FR"/>
              </w:rPr>
              <w:t>’</w:t>
            </w:r>
            <w:r w:rsidRPr="00653BF4">
              <w:rPr>
                <w:rFonts w:ascii="Aptos" w:hAnsi="Aptos"/>
                <w:sz w:val="20"/>
                <w:szCs w:val="20"/>
                <w:lang w:val="fr-FR"/>
              </w:rPr>
              <w:t>absence relative de progrès est la plus préoccupante. Cette évaluation n</w:t>
            </w:r>
            <w:r w:rsidR="002A58C8" w:rsidRPr="00653BF4">
              <w:rPr>
                <w:rFonts w:ascii="Aptos" w:hAnsi="Aptos"/>
                <w:sz w:val="20"/>
                <w:szCs w:val="20"/>
                <w:lang w:val="fr-FR"/>
              </w:rPr>
              <w:t>’</w:t>
            </w:r>
            <w:r w:rsidRPr="00653BF4">
              <w:rPr>
                <w:rFonts w:ascii="Aptos" w:hAnsi="Aptos"/>
                <w:sz w:val="20"/>
                <w:szCs w:val="20"/>
                <w:lang w:val="fr-FR"/>
              </w:rPr>
              <w:t>implique toutefois pas qu</w:t>
            </w:r>
            <w:r w:rsidR="002A58C8" w:rsidRPr="00653BF4">
              <w:rPr>
                <w:rFonts w:ascii="Aptos" w:hAnsi="Aptos"/>
                <w:sz w:val="20"/>
                <w:szCs w:val="20"/>
                <w:lang w:val="fr-FR"/>
              </w:rPr>
              <w:t>’</w:t>
            </w:r>
            <w:r w:rsidRPr="00653BF4">
              <w:rPr>
                <w:rFonts w:ascii="Aptos" w:hAnsi="Aptos"/>
                <w:sz w:val="20"/>
                <w:szCs w:val="20"/>
                <w:lang w:val="fr-FR"/>
              </w:rPr>
              <w:t>il n</w:t>
            </w:r>
            <w:r w:rsidR="002A58C8" w:rsidRPr="00653BF4">
              <w:rPr>
                <w:rFonts w:ascii="Aptos" w:hAnsi="Aptos"/>
                <w:sz w:val="20"/>
                <w:szCs w:val="20"/>
                <w:lang w:val="fr-FR"/>
              </w:rPr>
              <w:t>’</w:t>
            </w:r>
            <w:r w:rsidRPr="00653BF4">
              <w:rPr>
                <w:rFonts w:ascii="Aptos" w:hAnsi="Aptos"/>
                <w:sz w:val="20"/>
                <w:szCs w:val="20"/>
                <w:lang w:val="fr-FR"/>
              </w:rPr>
              <w:t>existe aucun défi lié à la mise en œuvre pour les cibles ayant obtenu un score relativement élevé</w:t>
            </w:r>
            <w:r w:rsidR="00B50240" w:rsidRPr="00653BF4">
              <w:rPr>
                <w:rFonts w:ascii="Aptos" w:hAnsi="Aptos"/>
                <w:sz w:val="20"/>
                <w:szCs w:val="20"/>
                <w:lang w:val="fr-FR"/>
              </w:rPr>
              <w:t xml:space="preserve">. </w:t>
            </w:r>
          </w:p>
          <w:p w14:paraId="00EA77E3" w14:textId="77777777" w:rsidR="00B50240" w:rsidRPr="00653BF4" w:rsidRDefault="00B50240">
            <w:pPr>
              <w:rPr>
                <w:rFonts w:ascii="Aptos" w:hAnsi="Aptos"/>
                <w:sz w:val="20"/>
                <w:szCs w:val="20"/>
                <w:lang w:val="fr-FR"/>
              </w:rPr>
            </w:pPr>
          </w:p>
          <w:p w14:paraId="5CCD65A0" w14:textId="778FFBF1" w:rsidR="00E50842" w:rsidRPr="00653BF4" w:rsidRDefault="00FD3507">
            <w:pPr>
              <w:rPr>
                <w:rFonts w:ascii="Aptos" w:hAnsi="Aptos"/>
                <w:sz w:val="20"/>
                <w:szCs w:val="20"/>
                <w:lang w:val="fr-FR"/>
              </w:rPr>
            </w:pPr>
            <w:r w:rsidRPr="00653BF4">
              <w:rPr>
                <w:rFonts w:ascii="Aptos" w:hAnsi="Aptos"/>
                <w:sz w:val="20"/>
                <w:szCs w:val="20"/>
                <w:lang w:val="fr-FR"/>
              </w:rPr>
              <w:t>L</w:t>
            </w:r>
            <w:r w:rsidR="00DE2C8C" w:rsidRPr="00653BF4">
              <w:rPr>
                <w:rFonts w:ascii="Aptos" w:hAnsi="Aptos"/>
                <w:sz w:val="20"/>
                <w:szCs w:val="20"/>
                <w:lang w:val="fr-FR"/>
              </w:rPr>
              <w:t>a mise en œuvre</w:t>
            </w:r>
            <w:r w:rsidR="004E7B32" w:rsidRPr="00653BF4">
              <w:rPr>
                <w:rFonts w:ascii="Aptos" w:hAnsi="Aptos"/>
                <w:sz w:val="20"/>
                <w:szCs w:val="20"/>
                <w:lang w:val="fr-FR"/>
              </w:rPr>
              <w:t xml:space="preserve"> </w:t>
            </w:r>
            <w:r w:rsidRPr="00653BF4">
              <w:rPr>
                <w:rFonts w:ascii="Aptos" w:hAnsi="Aptos"/>
                <w:sz w:val="20"/>
                <w:szCs w:val="20"/>
                <w:lang w:val="fr-FR"/>
              </w:rPr>
              <w:t>en est à ses débuts</w:t>
            </w:r>
            <w:r w:rsidR="00DE2C8C" w:rsidRPr="00653BF4">
              <w:rPr>
                <w:rFonts w:ascii="Aptos" w:hAnsi="Aptos"/>
                <w:sz w:val="20"/>
                <w:szCs w:val="20"/>
                <w:lang w:val="fr-FR"/>
              </w:rPr>
              <w:t xml:space="preserve">, </w:t>
            </w:r>
            <w:r w:rsidR="004933FD" w:rsidRPr="00653BF4">
              <w:rPr>
                <w:rFonts w:ascii="Aptos" w:hAnsi="Aptos"/>
                <w:sz w:val="20"/>
                <w:szCs w:val="20"/>
                <w:lang w:val="fr-FR"/>
              </w:rPr>
              <w:t xml:space="preserve">et </w:t>
            </w:r>
            <w:r w:rsidR="00DE2C8C" w:rsidRPr="00653BF4">
              <w:rPr>
                <w:rFonts w:ascii="Aptos" w:hAnsi="Aptos"/>
                <w:sz w:val="20"/>
                <w:szCs w:val="20"/>
                <w:lang w:val="fr-FR"/>
              </w:rPr>
              <w:t>il est encore trop tôt pour évaluer si les progrès accomplis vers la réalisation des cibles globales se traduisent par des progrès vers la réalisation des objectifs mondiaux. Les tendances mondiales en matière d</w:t>
            </w:r>
            <w:r w:rsidR="002A58C8" w:rsidRPr="00653BF4">
              <w:rPr>
                <w:rFonts w:ascii="Aptos" w:hAnsi="Aptos"/>
                <w:sz w:val="20"/>
                <w:szCs w:val="20"/>
                <w:lang w:val="fr-FR"/>
              </w:rPr>
              <w:t>’</w:t>
            </w:r>
            <w:r w:rsidR="00DE2C8C" w:rsidRPr="00653BF4">
              <w:rPr>
                <w:rFonts w:ascii="Aptos" w:hAnsi="Aptos"/>
                <w:sz w:val="20"/>
                <w:szCs w:val="20"/>
                <w:lang w:val="fr-FR"/>
              </w:rPr>
              <w:t>évolution de la biodiversité sont lentes et ne sont perceptibles qu</w:t>
            </w:r>
            <w:r w:rsidR="002A58C8" w:rsidRPr="00653BF4">
              <w:rPr>
                <w:rFonts w:ascii="Aptos" w:hAnsi="Aptos"/>
                <w:sz w:val="20"/>
                <w:szCs w:val="20"/>
                <w:lang w:val="fr-FR"/>
              </w:rPr>
              <w:t>’</w:t>
            </w:r>
            <w:r w:rsidR="00DE2C8C" w:rsidRPr="00653BF4">
              <w:rPr>
                <w:rFonts w:ascii="Aptos" w:hAnsi="Aptos"/>
                <w:sz w:val="20"/>
                <w:szCs w:val="20"/>
                <w:lang w:val="fr-FR"/>
              </w:rPr>
              <w:t>à l</w:t>
            </w:r>
            <w:r w:rsidR="002A58C8" w:rsidRPr="00653BF4">
              <w:rPr>
                <w:rFonts w:ascii="Aptos" w:hAnsi="Aptos"/>
                <w:sz w:val="20"/>
                <w:szCs w:val="20"/>
                <w:lang w:val="fr-FR"/>
              </w:rPr>
              <w:t>’</w:t>
            </w:r>
            <w:r w:rsidR="00DE2C8C" w:rsidRPr="00653BF4">
              <w:rPr>
                <w:rFonts w:ascii="Aptos" w:hAnsi="Aptos"/>
                <w:sz w:val="20"/>
                <w:szCs w:val="20"/>
                <w:lang w:val="fr-FR"/>
              </w:rPr>
              <w:t>échelle de longues périodes. Dans leurs communications, les Parties ont toutefois établi un lien entre leurs cibles nationales et les cibles globales ainsi que les objectifs globaux. En mettant en correspondance la manière dont les Parties relient leurs cibles aux objectifs, il est donc possible d</w:t>
            </w:r>
            <w:r w:rsidR="002A58C8" w:rsidRPr="00653BF4">
              <w:rPr>
                <w:rFonts w:ascii="Aptos" w:hAnsi="Aptos"/>
                <w:sz w:val="20"/>
                <w:szCs w:val="20"/>
                <w:lang w:val="fr-FR"/>
              </w:rPr>
              <w:t>’</w:t>
            </w:r>
            <w:r w:rsidR="00DE2C8C" w:rsidRPr="00653BF4">
              <w:rPr>
                <w:rFonts w:ascii="Aptos" w:hAnsi="Aptos"/>
                <w:sz w:val="20"/>
                <w:szCs w:val="20"/>
                <w:lang w:val="fr-FR"/>
              </w:rPr>
              <w:t>identifier les cibles considérées comme les plus pertinentes pour chaque objectif et de résumer les progrès réalisés spécifiquement au regard de ces cibles. S</w:t>
            </w:r>
            <w:r w:rsidR="002A58C8" w:rsidRPr="00653BF4">
              <w:rPr>
                <w:rFonts w:ascii="Aptos" w:hAnsi="Aptos"/>
                <w:sz w:val="20"/>
                <w:szCs w:val="20"/>
                <w:lang w:val="fr-FR"/>
              </w:rPr>
              <w:t>’</w:t>
            </w:r>
            <w:r w:rsidR="00DE2C8C" w:rsidRPr="00653BF4">
              <w:rPr>
                <w:rFonts w:ascii="Aptos" w:hAnsi="Aptos"/>
                <w:sz w:val="20"/>
                <w:szCs w:val="20"/>
                <w:lang w:val="fr-FR"/>
              </w:rPr>
              <w:t>il existe des obstacles importants à la mise en œuvre des cibles mises en correspondance avec un objectif, on part alors du principe qu</w:t>
            </w:r>
            <w:r w:rsidR="002A58C8" w:rsidRPr="00653BF4">
              <w:rPr>
                <w:rFonts w:ascii="Aptos" w:hAnsi="Aptos"/>
                <w:sz w:val="20"/>
                <w:szCs w:val="20"/>
                <w:lang w:val="fr-FR"/>
              </w:rPr>
              <w:t>’</w:t>
            </w:r>
            <w:r w:rsidR="00DE2C8C" w:rsidRPr="00653BF4">
              <w:rPr>
                <w:rFonts w:ascii="Aptos" w:hAnsi="Aptos"/>
                <w:sz w:val="20"/>
                <w:szCs w:val="20"/>
                <w:lang w:val="fr-FR"/>
              </w:rPr>
              <w:t>un manque de progrès vers ces cibles correspondra à un manque de progrès vers l</w:t>
            </w:r>
            <w:r w:rsidR="002A58C8" w:rsidRPr="00653BF4">
              <w:rPr>
                <w:rFonts w:ascii="Aptos" w:hAnsi="Aptos"/>
                <w:sz w:val="20"/>
                <w:szCs w:val="20"/>
                <w:lang w:val="fr-FR"/>
              </w:rPr>
              <w:t>’</w:t>
            </w:r>
            <w:r w:rsidR="002878D7">
              <w:rPr>
                <w:rFonts w:ascii="Aptos" w:hAnsi="Aptos"/>
                <w:sz w:val="20"/>
                <w:szCs w:val="20"/>
                <w:lang w:val="fr-FR"/>
              </w:rPr>
              <w:t>objectif A</w:t>
            </w:r>
            <w:r w:rsidR="00DE2C8C" w:rsidRPr="00653BF4">
              <w:rPr>
                <w:rFonts w:ascii="Aptos" w:hAnsi="Aptos"/>
                <w:sz w:val="20"/>
                <w:szCs w:val="20"/>
                <w:lang w:val="fr-FR"/>
              </w:rPr>
              <w:t>uquel elles sont mises en correspondance. Cette méthode ne permet toutefois pas d</w:t>
            </w:r>
            <w:r w:rsidR="002A58C8" w:rsidRPr="00653BF4">
              <w:rPr>
                <w:rFonts w:ascii="Aptos" w:hAnsi="Aptos"/>
                <w:sz w:val="20"/>
                <w:szCs w:val="20"/>
                <w:lang w:val="fr-FR"/>
              </w:rPr>
              <w:t>’</w:t>
            </w:r>
            <w:r w:rsidR="00DE2C8C" w:rsidRPr="00653BF4">
              <w:rPr>
                <w:rFonts w:ascii="Aptos" w:hAnsi="Aptos"/>
                <w:sz w:val="20"/>
                <w:szCs w:val="20"/>
                <w:lang w:val="fr-FR"/>
              </w:rPr>
              <w:t>indiquer avec certitude le niveau précis de progrès accomplis vers un objectif.</w:t>
            </w:r>
          </w:p>
          <w:p w14:paraId="03F2A87D" w14:textId="77777777" w:rsidR="00B50240" w:rsidRPr="00653BF4" w:rsidRDefault="00B50240">
            <w:pPr>
              <w:rPr>
                <w:rFonts w:ascii="Aptos" w:hAnsi="Aptos"/>
                <w:sz w:val="20"/>
                <w:szCs w:val="20"/>
                <w:lang w:val="fr-FR"/>
              </w:rPr>
            </w:pPr>
          </w:p>
          <w:p w14:paraId="092BD7E0" w14:textId="1C541ACA" w:rsidR="007A4C97" w:rsidRPr="00653BF4" w:rsidRDefault="00A10FCF" w:rsidP="007A4C97">
            <w:pPr>
              <w:rPr>
                <w:rFonts w:ascii="Aptos" w:hAnsi="Aptos"/>
                <w:sz w:val="20"/>
                <w:szCs w:val="20"/>
                <w:lang w:val="fr-FR"/>
              </w:rPr>
            </w:pPr>
            <w:r w:rsidRPr="00653BF4">
              <w:rPr>
                <w:rFonts w:ascii="Aptos" w:hAnsi="Aptos"/>
                <w:sz w:val="20"/>
                <w:szCs w:val="20"/>
                <w:lang w:val="fr-FR"/>
              </w:rPr>
              <w:t xml:space="preserve">Cependant, selon la logique du Cadre, la réalisation de la </w:t>
            </w:r>
            <w:r w:rsidR="00634C92" w:rsidRPr="00653BF4">
              <w:rPr>
                <w:rFonts w:ascii="Aptos" w:hAnsi="Aptos"/>
                <w:sz w:val="20"/>
                <w:szCs w:val="20"/>
                <w:lang w:val="fr-FR"/>
              </w:rPr>
              <w:t>mission à l’horizon 2030</w:t>
            </w:r>
            <w:r w:rsidRPr="00653BF4">
              <w:rPr>
                <w:rFonts w:ascii="Aptos" w:hAnsi="Aptos"/>
                <w:sz w:val="20"/>
                <w:szCs w:val="20"/>
                <w:lang w:val="fr-FR"/>
              </w:rPr>
              <w:t xml:space="preserve"> par la réalisation des cibles sera nécessaire à la réalisation de la </w:t>
            </w:r>
            <w:r w:rsidR="001B0808" w:rsidRPr="00653BF4">
              <w:rPr>
                <w:rFonts w:ascii="Aptos" w:hAnsi="Aptos"/>
                <w:sz w:val="20"/>
                <w:szCs w:val="20"/>
                <w:lang w:val="fr-FR"/>
              </w:rPr>
              <w:t>vision pour 2050</w:t>
            </w:r>
            <w:r w:rsidRPr="00653BF4">
              <w:rPr>
                <w:rFonts w:ascii="Aptos" w:hAnsi="Aptos"/>
                <w:sz w:val="20"/>
                <w:szCs w:val="20"/>
                <w:lang w:val="fr-FR"/>
              </w:rPr>
              <w:t xml:space="preserve"> et de ses objectifs. En vertu de cette logique, l</w:t>
            </w:r>
            <w:r w:rsidR="002A58C8" w:rsidRPr="00653BF4">
              <w:rPr>
                <w:rFonts w:ascii="Aptos" w:hAnsi="Aptos"/>
                <w:sz w:val="20"/>
                <w:szCs w:val="20"/>
                <w:lang w:val="fr-FR"/>
              </w:rPr>
              <w:t>’</w:t>
            </w:r>
            <w:r w:rsidRPr="00653BF4">
              <w:rPr>
                <w:rFonts w:ascii="Aptos" w:hAnsi="Aptos"/>
                <w:sz w:val="20"/>
                <w:szCs w:val="20"/>
                <w:lang w:val="fr-FR"/>
              </w:rPr>
              <w:t>analyse des progrès actuels vers les cibles permet de tirer certaines conclusions quant aux progrès vers les objectifs. Plus précisément, si les cibles ne sont pas en bonne voie, il est probable que les objectifs ne le soient pas non plus.</w:t>
            </w:r>
          </w:p>
          <w:p w14:paraId="37451698" w14:textId="77777777" w:rsidR="00B50240" w:rsidRPr="00653BF4" w:rsidRDefault="00B50240">
            <w:pPr>
              <w:rPr>
                <w:rFonts w:ascii="Aptos" w:hAnsi="Aptos"/>
                <w:sz w:val="20"/>
                <w:szCs w:val="20"/>
                <w:lang w:val="fr-FR"/>
              </w:rPr>
            </w:pPr>
          </w:p>
          <w:p w14:paraId="0BCEB4FC" w14:textId="4F7EB468" w:rsidR="00DC6F4F" w:rsidRPr="00653BF4" w:rsidRDefault="00527DFB" w:rsidP="00DC6F4F">
            <w:pPr>
              <w:rPr>
                <w:rFonts w:ascii="Aptos" w:hAnsi="Aptos"/>
                <w:sz w:val="20"/>
                <w:szCs w:val="20"/>
                <w:lang w:val="fr-FR"/>
              </w:rPr>
            </w:pPr>
            <w:r w:rsidRPr="00653BF4">
              <w:rPr>
                <w:rFonts w:ascii="Aptos" w:hAnsi="Aptos"/>
                <w:sz w:val="20"/>
                <w:szCs w:val="20"/>
                <w:lang w:val="fr-FR"/>
              </w:rPr>
              <w:t>Une fois que la mise en œuvre du Cadre aura atteint un stade plus avancé, il devrait être possible d</w:t>
            </w:r>
            <w:r w:rsidR="002A58C8" w:rsidRPr="00653BF4">
              <w:rPr>
                <w:rFonts w:ascii="Aptos" w:hAnsi="Aptos"/>
                <w:sz w:val="20"/>
                <w:szCs w:val="20"/>
                <w:lang w:val="fr-FR"/>
              </w:rPr>
              <w:t>’</w:t>
            </w:r>
            <w:r w:rsidRPr="00653BF4">
              <w:rPr>
                <w:rFonts w:ascii="Aptos" w:hAnsi="Aptos"/>
                <w:sz w:val="20"/>
                <w:szCs w:val="20"/>
                <w:lang w:val="fr-FR"/>
              </w:rPr>
              <w:t>améliorer l</w:t>
            </w:r>
            <w:r w:rsidR="002A58C8" w:rsidRPr="00653BF4">
              <w:rPr>
                <w:rFonts w:ascii="Aptos" w:hAnsi="Aptos"/>
                <w:sz w:val="20"/>
                <w:szCs w:val="20"/>
                <w:lang w:val="fr-FR"/>
              </w:rPr>
              <w:t>’</w:t>
            </w:r>
            <w:r w:rsidRPr="00653BF4">
              <w:rPr>
                <w:rFonts w:ascii="Aptos" w:hAnsi="Aptos"/>
                <w:sz w:val="20"/>
                <w:szCs w:val="20"/>
                <w:lang w:val="fr-FR"/>
              </w:rPr>
              <w:t>évaluation des progrès collectifs accomplis dans la réalisation des objectifs mondiaux en appliquant à des données de meilleure qualité des méthodes affinées.</w:t>
            </w:r>
          </w:p>
          <w:p w14:paraId="7080A02E" w14:textId="3DEC5DBD" w:rsidR="00B50240" w:rsidRPr="00653BF4" w:rsidRDefault="00B50240">
            <w:pPr>
              <w:rPr>
                <w:rFonts w:ascii="Aptos" w:hAnsi="Aptos"/>
                <w:sz w:val="20"/>
                <w:szCs w:val="20"/>
                <w:lang w:val="fr-FR"/>
              </w:rPr>
            </w:pPr>
          </w:p>
        </w:tc>
      </w:tr>
    </w:tbl>
    <w:p w14:paraId="2D4A01F3" w14:textId="77777777" w:rsidR="003F0968" w:rsidRPr="00653BF4" w:rsidRDefault="003F0968" w:rsidP="00B50240">
      <w:pPr>
        <w:rPr>
          <w:lang w:val="fr-FR" w:eastAsia="ja-JP"/>
        </w:rPr>
      </w:pPr>
    </w:p>
    <w:p w14:paraId="368A8E42" w14:textId="57F4F8E1" w:rsidR="00550E7A" w:rsidRPr="00653BF4" w:rsidRDefault="00405472" w:rsidP="00703908">
      <w:pPr>
        <w:pStyle w:val="Heading3"/>
        <w:rPr>
          <w:lang w:val="fr-FR"/>
        </w:rPr>
      </w:pPr>
      <w:bookmarkStart w:id="31" w:name="_Toc242801220"/>
      <w:r w:rsidRPr="00653BF4">
        <w:rPr>
          <w:lang w:val="fr-FR"/>
        </w:rPr>
        <w:t>Limites et hypothèses méthodologiques</w:t>
      </w:r>
      <w:bookmarkEnd w:id="31"/>
    </w:p>
    <w:p w14:paraId="7E9DF613" w14:textId="77777777" w:rsidR="00F07254" w:rsidRPr="00653BF4" w:rsidRDefault="00F07254" w:rsidP="00F07254">
      <w:pPr>
        <w:rPr>
          <w:lang w:val="fr-FR"/>
        </w:rPr>
      </w:pPr>
    </w:p>
    <w:p w14:paraId="0DFB6FC6" w14:textId="7D1711DF" w:rsidR="002050E6" w:rsidRPr="00653BF4" w:rsidRDefault="00782119" w:rsidP="002050E6">
      <w:pPr>
        <w:rPr>
          <w:rFonts w:eastAsiaTheme="minorEastAsia"/>
          <w:color w:val="000000" w:themeColor="text1"/>
          <w:kern w:val="0"/>
          <w:lang w:val="fr-FR" w:eastAsia="ja-JP"/>
          <w14:ligatures w14:val="none"/>
        </w:rPr>
      </w:pPr>
      <w:r w:rsidRPr="00653BF4">
        <w:rPr>
          <w:rFonts w:eastAsiaTheme="minorEastAsia"/>
          <w:color w:val="000000" w:themeColor="text1"/>
          <w:kern w:val="0"/>
          <w:lang w:val="fr-FR" w:eastAsia="ja-JP"/>
          <w14:ligatures w14:val="none"/>
        </w:rPr>
        <w:lastRenderedPageBreak/>
        <w:t>Malgré un</w:t>
      </w:r>
      <w:r w:rsidR="002050E6" w:rsidRPr="00653BF4">
        <w:rPr>
          <w:rFonts w:eastAsiaTheme="minorEastAsia"/>
          <w:color w:val="000000" w:themeColor="text1"/>
          <w:kern w:val="0"/>
          <w:lang w:val="fr-FR" w:eastAsia="ja-JP"/>
          <w14:ligatures w14:val="none"/>
        </w:rPr>
        <w:t xml:space="preserve"> nombre de rapports nationaux reçus avant la date limite de février 2026 plus élevé que lors de tout cycle d</w:t>
      </w:r>
      <w:r w:rsidR="002A58C8" w:rsidRPr="00653BF4">
        <w:rPr>
          <w:rFonts w:eastAsiaTheme="minorEastAsia"/>
          <w:color w:val="000000" w:themeColor="text1"/>
          <w:kern w:val="0"/>
          <w:lang w:val="fr-FR" w:eastAsia="ja-JP"/>
          <w14:ligatures w14:val="none"/>
        </w:rPr>
        <w:t>’</w:t>
      </w:r>
      <w:r w:rsidR="002050E6" w:rsidRPr="00653BF4">
        <w:rPr>
          <w:rFonts w:eastAsiaTheme="minorEastAsia"/>
          <w:color w:val="000000" w:themeColor="text1"/>
          <w:kern w:val="0"/>
          <w:lang w:val="fr-FR" w:eastAsia="ja-JP"/>
          <w14:ligatures w14:val="none"/>
        </w:rPr>
        <w:t xml:space="preserve">établissement de rapports précédent au titre de la Convention, plusieurs difficultés ont </w:t>
      </w:r>
      <w:r w:rsidR="00533BB8" w:rsidRPr="00653BF4">
        <w:rPr>
          <w:rFonts w:eastAsiaTheme="minorEastAsia"/>
          <w:color w:val="000000" w:themeColor="text1"/>
          <w:kern w:val="0"/>
          <w:lang w:val="fr-FR" w:eastAsia="ja-JP"/>
          <w14:ligatures w14:val="none"/>
        </w:rPr>
        <w:t xml:space="preserve">restreint </w:t>
      </w:r>
      <w:r w:rsidR="002050E6" w:rsidRPr="00653BF4">
        <w:rPr>
          <w:rFonts w:eastAsiaTheme="minorEastAsia"/>
          <w:color w:val="000000" w:themeColor="text1"/>
          <w:kern w:val="0"/>
          <w:lang w:val="fr-FR" w:eastAsia="ja-JP"/>
          <w14:ligatures w14:val="none"/>
        </w:rPr>
        <w:t xml:space="preserve">le nombre </w:t>
      </w:r>
      <w:r w:rsidR="00533BB8" w:rsidRPr="00653BF4">
        <w:rPr>
          <w:rFonts w:eastAsiaTheme="minorEastAsia"/>
          <w:color w:val="000000" w:themeColor="text1"/>
          <w:kern w:val="0"/>
          <w:lang w:val="fr-FR" w:eastAsia="ja-JP"/>
          <w14:ligatures w14:val="none"/>
        </w:rPr>
        <w:t xml:space="preserve">et </w:t>
      </w:r>
      <w:r w:rsidR="002050E6" w:rsidRPr="00653BF4">
        <w:rPr>
          <w:rFonts w:eastAsiaTheme="minorEastAsia"/>
          <w:color w:val="000000" w:themeColor="text1"/>
          <w:kern w:val="0"/>
          <w:lang w:val="fr-FR" w:eastAsia="ja-JP"/>
          <w14:ligatures w14:val="none"/>
        </w:rPr>
        <w:t>l</w:t>
      </w:r>
      <w:r w:rsidR="002A58C8" w:rsidRPr="00653BF4">
        <w:rPr>
          <w:rFonts w:eastAsiaTheme="minorEastAsia"/>
          <w:color w:val="000000" w:themeColor="text1"/>
          <w:kern w:val="0"/>
          <w:lang w:val="fr-FR" w:eastAsia="ja-JP"/>
          <w14:ligatures w14:val="none"/>
        </w:rPr>
        <w:t>’</w:t>
      </w:r>
      <w:r w:rsidR="002050E6" w:rsidRPr="00653BF4">
        <w:rPr>
          <w:rFonts w:eastAsiaTheme="minorEastAsia"/>
          <w:color w:val="000000" w:themeColor="text1"/>
          <w:kern w:val="0"/>
          <w:lang w:val="fr-FR" w:eastAsia="ja-JP"/>
          <w14:ligatures w14:val="none"/>
        </w:rPr>
        <w:t xml:space="preserve">exhaustivité des soumissions nationales. Comme décrit dans la </w:t>
      </w:r>
      <w:r w:rsidR="002878D7">
        <w:rPr>
          <w:rFonts w:eastAsiaTheme="minorEastAsia"/>
          <w:color w:val="000000" w:themeColor="text1"/>
          <w:kern w:val="0"/>
          <w:lang w:val="fr-FR" w:eastAsia="ja-JP"/>
          <w14:ligatures w14:val="none"/>
        </w:rPr>
        <w:t>section I</w:t>
      </w:r>
      <w:r w:rsidR="002050E6" w:rsidRPr="00653BF4">
        <w:rPr>
          <w:rFonts w:eastAsiaTheme="minorEastAsia"/>
          <w:color w:val="000000" w:themeColor="text1"/>
          <w:kern w:val="0"/>
          <w:lang w:val="fr-FR" w:eastAsia="ja-JP"/>
          <w14:ligatures w14:val="none"/>
        </w:rPr>
        <w:t>I.A ci-dessous, les retards dans l</w:t>
      </w:r>
      <w:r w:rsidR="002A58C8" w:rsidRPr="00653BF4">
        <w:rPr>
          <w:rFonts w:eastAsiaTheme="minorEastAsia"/>
          <w:color w:val="000000" w:themeColor="text1"/>
          <w:kern w:val="0"/>
          <w:lang w:val="fr-FR" w:eastAsia="ja-JP"/>
          <w14:ligatures w14:val="none"/>
        </w:rPr>
        <w:t>’</w:t>
      </w:r>
      <w:r w:rsidR="002050E6" w:rsidRPr="00653BF4">
        <w:rPr>
          <w:rFonts w:eastAsiaTheme="minorEastAsia"/>
          <w:color w:val="000000" w:themeColor="text1"/>
          <w:kern w:val="0"/>
          <w:lang w:val="fr-FR" w:eastAsia="ja-JP"/>
          <w14:ligatures w14:val="none"/>
        </w:rPr>
        <w:t>accès et l</w:t>
      </w:r>
      <w:r w:rsidR="002A58C8" w:rsidRPr="00653BF4">
        <w:rPr>
          <w:rFonts w:eastAsiaTheme="minorEastAsia"/>
          <w:color w:val="000000" w:themeColor="text1"/>
          <w:kern w:val="0"/>
          <w:lang w:val="fr-FR" w:eastAsia="ja-JP"/>
          <w14:ligatures w14:val="none"/>
        </w:rPr>
        <w:t>’</w:t>
      </w:r>
      <w:r w:rsidR="002050E6" w:rsidRPr="00653BF4">
        <w:rPr>
          <w:rFonts w:eastAsiaTheme="minorEastAsia"/>
          <w:color w:val="000000" w:themeColor="text1"/>
          <w:kern w:val="0"/>
          <w:lang w:val="fr-FR" w:eastAsia="ja-JP"/>
          <w14:ligatures w14:val="none"/>
        </w:rPr>
        <w:t>obtention d</w:t>
      </w:r>
      <w:r w:rsidR="002A58C8" w:rsidRPr="00653BF4">
        <w:rPr>
          <w:rFonts w:eastAsiaTheme="minorEastAsia"/>
          <w:color w:val="000000" w:themeColor="text1"/>
          <w:kern w:val="0"/>
          <w:lang w:val="fr-FR" w:eastAsia="ja-JP"/>
          <w14:ligatures w14:val="none"/>
        </w:rPr>
        <w:t>’</w:t>
      </w:r>
      <w:r w:rsidR="002050E6" w:rsidRPr="00653BF4">
        <w:rPr>
          <w:rFonts w:eastAsiaTheme="minorEastAsia"/>
          <w:color w:val="000000" w:themeColor="text1"/>
          <w:kern w:val="0"/>
          <w:lang w:val="fr-FR" w:eastAsia="ja-JP"/>
          <w14:ligatures w14:val="none"/>
        </w:rPr>
        <w:t>un appui financier pour l</w:t>
      </w:r>
      <w:r w:rsidR="002A58C8" w:rsidRPr="00653BF4">
        <w:rPr>
          <w:rFonts w:eastAsiaTheme="minorEastAsia"/>
          <w:color w:val="000000" w:themeColor="text1"/>
          <w:kern w:val="0"/>
          <w:lang w:val="fr-FR" w:eastAsia="ja-JP"/>
          <w14:ligatures w14:val="none"/>
        </w:rPr>
        <w:t>’</w:t>
      </w:r>
      <w:r w:rsidR="002050E6" w:rsidRPr="00653BF4">
        <w:rPr>
          <w:rFonts w:eastAsiaTheme="minorEastAsia"/>
          <w:color w:val="000000" w:themeColor="text1"/>
          <w:kern w:val="0"/>
          <w:lang w:val="fr-FR" w:eastAsia="ja-JP"/>
          <w14:ligatures w14:val="none"/>
        </w:rPr>
        <w:t>élaboration des SPANB, des cibles nationales et des rapports nationaux ont ralenti le processus pour un certain nombre de Parties, bien que seule une minorité d</w:t>
      </w:r>
      <w:r w:rsidR="002A58C8" w:rsidRPr="00653BF4">
        <w:rPr>
          <w:rFonts w:eastAsiaTheme="minorEastAsia"/>
          <w:color w:val="000000" w:themeColor="text1"/>
          <w:kern w:val="0"/>
          <w:lang w:val="fr-FR" w:eastAsia="ja-JP"/>
          <w14:ligatures w14:val="none"/>
        </w:rPr>
        <w:t>’</w:t>
      </w:r>
      <w:r w:rsidR="002050E6" w:rsidRPr="00653BF4">
        <w:rPr>
          <w:rFonts w:eastAsiaTheme="minorEastAsia"/>
          <w:color w:val="000000" w:themeColor="text1"/>
          <w:kern w:val="0"/>
          <w:lang w:val="fr-FR" w:eastAsia="ja-JP"/>
          <w14:ligatures w14:val="none"/>
        </w:rPr>
        <w:t>entre elles soient en retard dans la soumission de leurs documents en raison de problèmes liés à l</w:t>
      </w:r>
      <w:r w:rsidR="002A58C8" w:rsidRPr="00653BF4">
        <w:rPr>
          <w:rFonts w:eastAsiaTheme="minorEastAsia"/>
          <w:color w:val="000000" w:themeColor="text1"/>
          <w:kern w:val="0"/>
          <w:lang w:val="fr-FR" w:eastAsia="ja-JP"/>
          <w14:ligatures w14:val="none"/>
        </w:rPr>
        <w:t>’</w:t>
      </w:r>
      <w:r w:rsidR="002050E6" w:rsidRPr="00653BF4">
        <w:rPr>
          <w:rFonts w:eastAsiaTheme="minorEastAsia"/>
          <w:color w:val="000000" w:themeColor="text1"/>
          <w:kern w:val="0"/>
          <w:lang w:val="fr-FR" w:eastAsia="ja-JP"/>
          <w14:ligatures w14:val="none"/>
        </w:rPr>
        <w:t>appui financier.</w:t>
      </w:r>
    </w:p>
    <w:p w14:paraId="34CB9431" w14:textId="5F224B99" w:rsidR="00180D09" w:rsidRPr="00653BF4" w:rsidRDefault="002050E6" w:rsidP="00180D09">
      <w:pPr>
        <w:rPr>
          <w:rFonts w:eastAsiaTheme="minorEastAsia"/>
          <w:color w:val="000000" w:themeColor="text1"/>
          <w:kern w:val="0"/>
          <w:lang w:val="fr-FR" w:eastAsia="ja-JP"/>
          <w14:ligatures w14:val="none"/>
        </w:rPr>
      </w:pPr>
      <w:r w:rsidRPr="00653BF4">
        <w:rPr>
          <w:rFonts w:eastAsiaTheme="minorEastAsia"/>
          <w:color w:val="000000" w:themeColor="text1"/>
          <w:kern w:val="0"/>
          <w:lang w:val="fr-FR" w:eastAsia="ja-JP"/>
          <w14:ligatures w14:val="none"/>
        </w:rPr>
        <w:t>En effet, lors des dialogues régionaux et sous-régionaux sur le suivi et l</w:t>
      </w:r>
      <w:r w:rsidR="002A58C8" w:rsidRPr="00653BF4">
        <w:rPr>
          <w:rFonts w:eastAsiaTheme="minorEastAsia"/>
          <w:color w:val="000000" w:themeColor="text1"/>
          <w:kern w:val="0"/>
          <w:lang w:val="fr-FR" w:eastAsia="ja-JP"/>
          <w14:ligatures w14:val="none"/>
        </w:rPr>
        <w:t>’</w:t>
      </w:r>
      <w:r w:rsidRPr="00653BF4">
        <w:rPr>
          <w:rFonts w:eastAsiaTheme="minorEastAsia"/>
          <w:color w:val="000000" w:themeColor="text1"/>
          <w:kern w:val="0"/>
          <w:lang w:val="fr-FR" w:eastAsia="ja-JP"/>
          <w14:ligatures w14:val="none"/>
        </w:rPr>
        <w:t>établissement de rapports en matière de biodiversité, les Parties ont mis en évidence un certain nombre d</w:t>
      </w:r>
      <w:r w:rsidR="002A58C8" w:rsidRPr="00653BF4">
        <w:rPr>
          <w:rFonts w:eastAsiaTheme="minorEastAsia"/>
          <w:color w:val="000000" w:themeColor="text1"/>
          <w:kern w:val="0"/>
          <w:lang w:val="fr-FR" w:eastAsia="ja-JP"/>
          <w14:ligatures w14:val="none"/>
        </w:rPr>
        <w:t>’</w:t>
      </w:r>
      <w:r w:rsidRPr="00653BF4">
        <w:rPr>
          <w:rFonts w:eastAsiaTheme="minorEastAsia"/>
          <w:color w:val="000000" w:themeColor="text1"/>
          <w:kern w:val="0"/>
          <w:lang w:val="fr-FR" w:eastAsia="ja-JP"/>
          <w14:ligatures w14:val="none"/>
        </w:rPr>
        <w:t>autres difficultés liées à l</w:t>
      </w:r>
      <w:r w:rsidR="002A58C8" w:rsidRPr="00653BF4">
        <w:rPr>
          <w:rFonts w:eastAsiaTheme="minorEastAsia"/>
          <w:color w:val="000000" w:themeColor="text1"/>
          <w:kern w:val="0"/>
          <w:lang w:val="fr-FR" w:eastAsia="ja-JP"/>
          <w14:ligatures w14:val="none"/>
        </w:rPr>
        <w:t>’</w:t>
      </w:r>
      <w:r w:rsidRPr="00653BF4">
        <w:rPr>
          <w:rFonts w:eastAsiaTheme="minorEastAsia"/>
          <w:color w:val="000000" w:themeColor="text1"/>
          <w:kern w:val="0"/>
          <w:lang w:val="fr-FR" w:eastAsia="ja-JP"/>
          <w14:ligatures w14:val="none"/>
        </w:rPr>
        <w:t>élaboration de leurs SPANB, de leurs cibles nationales et de leurs rapports nationaux (</w:t>
      </w:r>
      <w:hyperlink r:id="rId34" w:history="1">
        <w:r w:rsidRPr="00653BF4">
          <w:rPr>
            <w:rStyle w:val="Hyperlink"/>
            <w:rFonts w:eastAsiaTheme="minorEastAsia"/>
            <w:kern w:val="0"/>
            <w:lang w:val="fr-FR" w:eastAsia="ja-JP"/>
            <w14:ligatures w14:val="none"/>
          </w:rPr>
          <w:t>CBD/SBI/6/INF/6</w:t>
        </w:r>
      </w:hyperlink>
      <w:r w:rsidRPr="00653BF4">
        <w:rPr>
          <w:rFonts w:eastAsiaTheme="minorEastAsia"/>
          <w:color w:val="000000" w:themeColor="text1"/>
          <w:kern w:val="0"/>
          <w:lang w:val="fr-FR" w:eastAsia="ja-JP"/>
          <w14:ligatures w14:val="none"/>
        </w:rPr>
        <w:t>), notamment</w:t>
      </w:r>
      <w:r w:rsidR="00E34DC9">
        <w:rPr>
          <w:rFonts w:eastAsiaTheme="minorEastAsia"/>
          <w:color w:val="000000" w:themeColor="text1"/>
          <w:kern w:val="0"/>
          <w:lang w:val="fr-FR" w:eastAsia="ja-JP"/>
          <w14:ligatures w14:val="none"/>
        </w:rPr>
        <w:t> :</w:t>
      </w:r>
    </w:p>
    <w:p w14:paraId="0100F711" w14:textId="148FB157" w:rsidR="00180D09" w:rsidRPr="00653BF4" w:rsidRDefault="000A1E14" w:rsidP="00180D09">
      <w:pPr>
        <w:pStyle w:val="CBDNormalNumber"/>
        <w:numPr>
          <w:ilvl w:val="0"/>
          <w:numId w:val="8"/>
        </w:numPr>
        <w:jc w:val="left"/>
        <w:rPr>
          <w:rFonts w:asciiTheme="minorHAnsi" w:hAnsiTheme="minorHAnsi"/>
          <w:sz w:val="24"/>
          <w:szCs w:val="24"/>
          <w:lang w:val="fr-FR"/>
        </w:rPr>
      </w:pPr>
      <w:r w:rsidRPr="00653BF4">
        <w:rPr>
          <w:rFonts w:asciiTheme="minorHAnsi" w:hAnsiTheme="minorHAnsi"/>
          <w:sz w:val="24"/>
          <w:szCs w:val="24"/>
          <w:lang w:val="fr-FR"/>
        </w:rPr>
        <w:t>Le temps nécessaire pour consulter l</w:t>
      </w:r>
      <w:r w:rsidR="002A58C8" w:rsidRPr="00653BF4">
        <w:rPr>
          <w:rFonts w:asciiTheme="minorHAnsi" w:hAnsiTheme="minorHAnsi"/>
          <w:sz w:val="24"/>
          <w:szCs w:val="24"/>
          <w:lang w:val="fr-FR"/>
        </w:rPr>
        <w:t>’</w:t>
      </w:r>
      <w:r w:rsidRPr="00653BF4">
        <w:rPr>
          <w:rFonts w:asciiTheme="minorHAnsi" w:hAnsiTheme="minorHAnsi"/>
          <w:sz w:val="24"/>
          <w:szCs w:val="24"/>
          <w:lang w:val="fr-FR"/>
        </w:rPr>
        <w:t>ensemble des parties prenantes concernées, parmi les autres obstacles à l</w:t>
      </w:r>
      <w:r w:rsidR="002A58C8" w:rsidRPr="00653BF4">
        <w:rPr>
          <w:rFonts w:asciiTheme="minorHAnsi" w:hAnsiTheme="minorHAnsi"/>
          <w:sz w:val="24"/>
          <w:szCs w:val="24"/>
          <w:lang w:val="fr-FR"/>
        </w:rPr>
        <w:t>’</w:t>
      </w:r>
      <w:r w:rsidRPr="00653BF4">
        <w:rPr>
          <w:rFonts w:asciiTheme="minorHAnsi" w:hAnsiTheme="minorHAnsi"/>
          <w:sz w:val="24"/>
          <w:szCs w:val="24"/>
          <w:lang w:val="fr-FR"/>
        </w:rPr>
        <w:t>intégration des informations fournies par ces dernières</w:t>
      </w:r>
      <w:r w:rsidR="00180D09" w:rsidRPr="00653BF4">
        <w:rPr>
          <w:rFonts w:asciiTheme="minorHAnsi" w:hAnsiTheme="minorHAnsi"/>
          <w:sz w:val="24"/>
          <w:szCs w:val="24"/>
          <w:lang w:val="fr-FR"/>
        </w:rPr>
        <w:t xml:space="preserve"> </w:t>
      </w:r>
    </w:p>
    <w:p w14:paraId="1D1303CC" w14:textId="0C663B54" w:rsidR="00180D09" w:rsidRPr="00653BF4" w:rsidRDefault="000A1E14" w:rsidP="00180D09">
      <w:pPr>
        <w:pStyle w:val="CBDNormalNumber"/>
        <w:numPr>
          <w:ilvl w:val="0"/>
          <w:numId w:val="8"/>
        </w:numPr>
        <w:jc w:val="left"/>
        <w:rPr>
          <w:rFonts w:asciiTheme="minorHAnsi" w:hAnsiTheme="minorHAnsi"/>
          <w:sz w:val="24"/>
          <w:szCs w:val="24"/>
          <w:lang w:val="fr-FR"/>
        </w:rPr>
      </w:pPr>
      <w:r w:rsidRPr="00653BF4">
        <w:rPr>
          <w:rFonts w:asciiTheme="minorHAnsi" w:hAnsiTheme="minorHAnsi"/>
          <w:sz w:val="24"/>
          <w:szCs w:val="24"/>
          <w:lang w:val="fr-FR"/>
        </w:rPr>
        <w:t>Le temps nécessaire pour achever les démarches administratives</w:t>
      </w:r>
      <w:r w:rsidR="00180D09" w:rsidRPr="00653BF4">
        <w:rPr>
          <w:rFonts w:asciiTheme="minorHAnsi" w:hAnsiTheme="minorHAnsi"/>
          <w:sz w:val="24"/>
          <w:szCs w:val="24"/>
          <w:lang w:val="fr-FR"/>
        </w:rPr>
        <w:t xml:space="preserve"> </w:t>
      </w:r>
    </w:p>
    <w:p w14:paraId="7D855A8F" w14:textId="65A092B9" w:rsidR="00180D09" w:rsidRPr="00653BF4" w:rsidRDefault="0052065D" w:rsidP="00180D09">
      <w:pPr>
        <w:pStyle w:val="CBDNormalNumber"/>
        <w:numPr>
          <w:ilvl w:val="0"/>
          <w:numId w:val="8"/>
        </w:numPr>
        <w:jc w:val="left"/>
        <w:rPr>
          <w:rFonts w:asciiTheme="minorHAnsi" w:hAnsiTheme="minorHAnsi"/>
          <w:sz w:val="24"/>
          <w:szCs w:val="24"/>
          <w:lang w:val="fr-FR"/>
        </w:rPr>
      </w:pPr>
      <w:r w:rsidRPr="00653BF4">
        <w:rPr>
          <w:rFonts w:asciiTheme="minorHAnsi" w:hAnsiTheme="minorHAnsi"/>
          <w:sz w:val="24"/>
          <w:szCs w:val="24"/>
          <w:lang w:val="fr-FR"/>
        </w:rPr>
        <w:t>La charge administrative liée à l</w:t>
      </w:r>
      <w:r w:rsidR="002A58C8" w:rsidRPr="00653BF4">
        <w:rPr>
          <w:rFonts w:asciiTheme="minorHAnsi" w:hAnsiTheme="minorHAnsi"/>
          <w:sz w:val="24"/>
          <w:szCs w:val="24"/>
          <w:lang w:val="fr-FR"/>
        </w:rPr>
        <w:t>’</w:t>
      </w:r>
      <w:r w:rsidRPr="00653BF4">
        <w:rPr>
          <w:rFonts w:asciiTheme="minorHAnsi" w:hAnsiTheme="minorHAnsi"/>
          <w:sz w:val="24"/>
          <w:szCs w:val="24"/>
          <w:lang w:val="fr-FR"/>
        </w:rPr>
        <w:t>obligation d</w:t>
      </w:r>
      <w:r w:rsidR="002A58C8" w:rsidRPr="00653BF4">
        <w:rPr>
          <w:rFonts w:asciiTheme="minorHAnsi" w:hAnsiTheme="minorHAnsi"/>
          <w:sz w:val="24"/>
          <w:szCs w:val="24"/>
          <w:lang w:val="fr-FR"/>
        </w:rPr>
        <w:t>’</w:t>
      </w:r>
      <w:r w:rsidRPr="00653BF4">
        <w:rPr>
          <w:rFonts w:asciiTheme="minorHAnsi" w:hAnsiTheme="minorHAnsi"/>
          <w:sz w:val="24"/>
          <w:szCs w:val="24"/>
          <w:lang w:val="fr-FR"/>
        </w:rPr>
        <w:t>établir des rapports dans le cadre de nombreux accords multilatéraux sur l</w:t>
      </w:r>
      <w:r w:rsidR="002A58C8" w:rsidRPr="00653BF4">
        <w:rPr>
          <w:rFonts w:asciiTheme="minorHAnsi" w:hAnsiTheme="minorHAnsi"/>
          <w:sz w:val="24"/>
          <w:szCs w:val="24"/>
          <w:lang w:val="fr-FR"/>
        </w:rPr>
        <w:t>’</w:t>
      </w:r>
      <w:r w:rsidRPr="00653BF4">
        <w:rPr>
          <w:rFonts w:asciiTheme="minorHAnsi" w:hAnsiTheme="minorHAnsi"/>
          <w:sz w:val="24"/>
          <w:szCs w:val="24"/>
          <w:lang w:val="fr-FR"/>
        </w:rPr>
        <w:t>environnement et autres processus, d</w:t>
      </w:r>
      <w:r w:rsidR="002A58C8" w:rsidRPr="00653BF4">
        <w:rPr>
          <w:rFonts w:asciiTheme="minorHAnsi" w:hAnsiTheme="minorHAnsi"/>
          <w:sz w:val="24"/>
          <w:szCs w:val="24"/>
          <w:lang w:val="fr-FR"/>
        </w:rPr>
        <w:t>’</w:t>
      </w:r>
      <w:r w:rsidRPr="00653BF4">
        <w:rPr>
          <w:rFonts w:asciiTheme="minorHAnsi" w:hAnsiTheme="minorHAnsi"/>
          <w:sz w:val="24"/>
          <w:szCs w:val="24"/>
          <w:lang w:val="fr-FR"/>
        </w:rPr>
        <w:t>autant plus lorsqu</w:t>
      </w:r>
      <w:r w:rsidR="002A58C8" w:rsidRPr="00653BF4">
        <w:rPr>
          <w:rFonts w:asciiTheme="minorHAnsi" w:hAnsiTheme="minorHAnsi"/>
          <w:sz w:val="24"/>
          <w:szCs w:val="24"/>
          <w:lang w:val="fr-FR"/>
        </w:rPr>
        <w:t>’</w:t>
      </w:r>
      <w:r w:rsidRPr="00653BF4">
        <w:rPr>
          <w:rFonts w:asciiTheme="minorHAnsi" w:hAnsiTheme="minorHAnsi"/>
          <w:sz w:val="24"/>
          <w:szCs w:val="24"/>
          <w:lang w:val="fr-FR"/>
        </w:rPr>
        <w:t>elle est aggravée par un manque de ressources humaines</w:t>
      </w:r>
    </w:p>
    <w:p w14:paraId="27E0D430" w14:textId="471B28B9" w:rsidR="00D91AB7" w:rsidRPr="00653BF4" w:rsidRDefault="0052065D" w:rsidP="00D91AB7">
      <w:pPr>
        <w:pStyle w:val="CBDNormalNumber"/>
        <w:numPr>
          <w:ilvl w:val="0"/>
          <w:numId w:val="8"/>
        </w:numPr>
        <w:jc w:val="left"/>
        <w:rPr>
          <w:rFonts w:asciiTheme="minorHAnsi" w:hAnsiTheme="minorHAnsi"/>
          <w:sz w:val="24"/>
          <w:szCs w:val="24"/>
          <w:lang w:val="fr-FR"/>
        </w:rPr>
      </w:pPr>
      <w:r w:rsidRPr="00653BF4">
        <w:rPr>
          <w:rFonts w:asciiTheme="minorHAnsi" w:hAnsiTheme="minorHAnsi"/>
          <w:sz w:val="24"/>
          <w:szCs w:val="24"/>
          <w:lang w:val="fr-FR"/>
        </w:rPr>
        <w:t>D</w:t>
      </w:r>
      <w:r w:rsidR="002A58C8" w:rsidRPr="00653BF4">
        <w:rPr>
          <w:rFonts w:asciiTheme="minorHAnsi" w:hAnsiTheme="minorHAnsi"/>
          <w:sz w:val="24"/>
          <w:szCs w:val="24"/>
          <w:lang w:val="fr-FR"/>
        </w:rPr>
        <w:t>’</w:t>
      </w:r>
      <w:r w:rsidRPr="00653BF4">
        <w:rPr>
          <w:rFonts w:asciiTheme="minorHAnsi" w:hAnsiTheme="minorHAnsi"/>
          <w:sz w:val="24"/>
          <w:szCs w:val="24"/>
          <w:lang w:val="fr-FR"/>
        </w:rPr>
        <w:t>autres retards liés à des contextes nationaux spécifiques</w:t>
      </w:r>
    </w:p>
    <w:p w14:paraId="3B1B0DB6" w14:textId="1BC34243" w:rsidR="00180D09" w:rsidRPr="00653BF4" w:rsidRDefault="0052065D" w:rsidP="00180D09">
      <w:pPr>
        <w:pStyle w:val="CBDNormalNumber"/>
        <w:numPr>
          <w:ilvl w:val="0"/>
          <w:numId w:val="8"/>
        </w:numPr>
        <w:jc w:val="left"/>
        <w:rPr>
          <w:rFonts w:asciiTheme="minorHAnsi" w:hAnsiTheme="minorHAnsi"/>
          <w:sz w:val="24"/>
          <w:szCs w:val="24"/>
          <w:lang w:val="fr-FR"/>
        </w:rPr>
      </w:pPr>
      <w:r w:rsidRPr="00653BF4">
        <w:rPr>
          <w:rFonts w:asciiTheme="minorHAnsi" w:hAnsiTheme="minorHAnsi"/>
          <w:sz w:val="24"/>
          <w:szCs w:val="24"/>
          <w:lang w:val="fr-FR"/>
        </w:rPr>
        <w:t>La nature complexe tant du Cadre que des informations nécessaires pour décrire de manière exhaustive les cibles nationales et établir des rapports sur leur mise en œuvre</w:t>
      </w:r>
      <w:r w:rsidR="00180D09" w:rsidRPr="00653BF4">
        <w:rPr>
          <w:rFonts w:asciiTheme="minorHAnsi" w:hAnsiTheme="minorHAnsi"/>
          <w:sz w:val="24"/>
          <w:szCs w:val="24"/>
          <w:lang w:val="fr-FR"/>
        </w:rPr>
        <w:t xml:space="preserve"> </w:t>
      </w:r>
    </w:p>
    <w:p w14:paraId="17E9D36A" w14:textId="534CB61E" w:rsidR="00180D09" w:rsidRPr="00653BF4" w:rsidRDefault="0052065D" w:rsidP="00180D09">
      <w:pPr>
        <w:pStyle w:val="CBDNormalNumber"/>
        <w:numPr>
          <w:ilvl w:val="0"/>
          <w:numId w:val="8"/>
        </w:numPr>
        <w:jc w:val="left"/>
        <w:rPr>
          <w:rFonts w:asciiTheme="minorHAnsi" w:hAnsiTheme="minorHAnsi"/>
          <w:sz w:val="24"/>
          <w:szCs w:val="24"/>
          <w:lang w:val="fr-FR"/>
        </w:rPr>
      </w:pPr>
      <w:r w:rsidRPr="00653BF4">
        <w:rPr>
          <w:rFonts w:asciiTheme="minorHAnsi" w:hAnsiTheme="minorHAnsi"/>
          <w:sz w:val="24"/>
          <w:szCs w:val="24"/>
          <w:lang w:val="fr-FR"/>
        </w:rPr>
        <w:t xml:space="preserve">Les lacunes dans la </w:t>
      </w:r>
      <w:r w:rsidR="009F792A" w:rsidRPr="00653BF4">
        <w:rPr>
          <w:rFonts w:asciiTheme="minorHAnsi" w:hAnsiTheme="minorHAnsi"/>
          <w:sz w:val="24"/>
          <w:szCs w:val="24"/>
          <w:lang w:val="fr-FR"/>
        </w:rPr>
        <w:t>prise en compte</w:t>
      </w:r>
      <w:r w:rsidRPr="00653BF4">
        <w:rPr>
          <w:rFonts w:asciiTheme="minorHAnsi" w:hAnsiTheme="minorHAnsi"/>
          <w:sz w:val="24"/>
          <w:szCs w:val="24"/>
          <w:lang w:val="fr-FR"/>
        </w:rPr>
        <w:t xml:space="preserve"> des systèmes nationaux de suivi ou dans les capacités techniques de suivi, y compris celles liées à l</w:t>
      </w:r>
      <w:r w:rsidR="002A58C8" w:rsidRPr="00653BF4">
        <w:rPr>
          <w:rFonts w:asciiTheme="minorHAnsi" w:hAnsiTheme="minorHAnsi"/>
          <w:sz w:val="24"/>
          <w:szCs w:val="24"/>
          <w:lang w:val="fr-FR"/>
        </w:rPr>
        <w:t>’</w:t>
      </w:r>
      <w:r w:rsidRPr="00653BF4">
        <w:rPr>
          <w:rFonts w:asciiTheme="minorHAnsi" w:hAnsiTheme="minorHAnsi"/>
          <w:sz w:val="24"/>
          <w:szCs w:val="24"/>
          <w:lang w:val="fr-FR"/>
        </w:rPr>
        <w:t xml:space="preserve">établissement de rapports sur les </w:t>
      </w:r>
      <w:r w:rsidR="00163FDD" w:rsidRPr="00653BF4">
        <w:rPr>
          <w:rFonts w:asciiTheme="minorHAnsi" w:hAnsiTheme="minorHAnsi"/>
          <w:sz w:val="24"/>
          <w:szCs w:val="24"/>
          <w:lang w:val="fr-FR"/>
        </w:rPr>
        <w:t>indicateurs phares</w:t>
      </w:r>
    </w:p>
    <w:p w14:paraId="49D7A9B3" w14:textId="412E352C" w:rsidR="00E9038A" w:rsidRPr="00653BF4" w:rsidRDefault="00532FDA" w:rsidP="00E9038A">
      <w:pPr>
        <w:rPr>
          <w:lang w:val="fr-FR"/>
        </w:rPr>
      </w:pPr>
      <w:r w:rsidRPr="00653BF4">
        <w:rPr>
          <w:lang w:val="fr-FR"/>
        </w:rPr>
        <w:t>En raison de ces difficultés, bien que la majorité des Parties aient pu présenter des cibles nationales et des rapports nationaux, certaines descriptions textuelles et données relatives aux indicateurs étaient incomplètes. De plus, le taux de soumission des rapports nationaux variait d</w:t>
      </w:r>
      <w:r w:rsidR="002A58C8" w:rsidRPr="00653BF4">
        <w:rPr>
          <w:lang w:val="fr-FR"/>
        </w:rPr>
        <w:t>’</w:t>
      </w:r>
      <w:r w:rsidRPr="00653BF4">
        <w:rPr>
          <w:lang w:val="fr-FR"/>
        </w:rPr>
        <w:t>une région à l</w:t>
      </w:r>
      <w:r w:rsidR="002A58C8" w:rsidRPr="00653BF4">
        <w:rPr>
          <w:lang w:val="fr-FR"/>
        </w:rPr>
        <w:t>’</w:t>
      </w:r>
      <w:r w:rsidRPr="00653BF4">
        <w:rPr>
          <w:lang w:val="fr-FR"/>
        </w:rPr>
        <w:t>autre (voir tableau 1). Cela a entraîné un certain nombre de difficultés et de limites concernant l</w:t>
      </w:r>
      <w:r w:rsidR="002A58C8" w:rsidRPr="00653BF4">
        <w:rPr>
          <w:lang w:val="fr-FR"/>
        </w:rPr>
        <w:t>’</w:t>
      </w:r>
      <w:r w:rsidRPr="00653BF4">
        <w:rPr>
          <w:lang w:val="fr-FR"/>
        </w:rPr>
        <w:t>analyse réalisée pour le premier rapport mondial, dont il convient de tenir compte lors de l</w:t>
      </w:r>
      <w:r w:rsidR="002A58C8" w:rsidRPr="00653BF4">
        <w:rPr>
          <w:lang w:val="fr-FR"/>
        </w:rPr>
        <w:t>’</w:t>
      </w:r>
      <w:r w:rsidRPr="00653BF4">
        <w:rPr>
          <w:lang w:val="fr-FR"/>
        </w:rPr>
        <w:t>examen de ses conclusions. Parmi ces difficultés figuraient</w:t>
      </w:r>
      <w:r w:rsidR="00E34DC9">
        <w:rPr>
          <w:lang w:val="fr-FR"/>
        </w:rPr>
        <w:t> :</w:t>
      </w:r>
    </w:p>
    <w:p w14:paraId="090D2A55" w14:textId="0E549F95" w:rsidR="00180D09" w:rsidRPr="00653BF4" w:rsidRDefault="0078253A" w:rsidP="00180D09">
      <w:pPr>
        <w:pStyle w:val="ListParagraph"/>
        <w:numPr>
          <w:ilvl w:val="0"/>
          <w:numId w:val="9"/>
        </w:numPr>
        <w:tabs>
          <w:tab w:val="left" w:pos="567"/>
          <w:tab w:val="left" w:pos="1134"/>
          <w:tab w:val="left" w:pos="2268"/>
        </w:tabs>
        <w:spacing w:after="0" w:line="279" w:lineRule="auto"/>
        <w:rPr>
          <w:lang w:val="fr-FR"/>
        </w:rPr>
      </w:pPr>
      <w:r w:rsidRPr="00653BF4">
        <w:rPr>
          <w:i/>
          <w:iCs/>
          <w:lang w:val="fr-FR"/>
        </w:rPr>
        <w:t>Des disparités dans l</w:t>
      </w:r>
      <w:r w:rsidR="002A58C8" w:rsidRPr="00653BF4">
        <w:rPr>
          <w:i/>
          <w:iCs/>
          <w:lang w:val="fr-FR"/>
        </w:rPr>
        <w:t>’</w:t>
      </w:r>
      <w:r w:rsidRPr="00653BF4">
        <w:rPr>
          <w:i/>
          <w:iCs/>
          <w:lang w:val="fr-FR"/>
        </w:rPr>
        <w:t xml:space="preserve">établissement de rapports entre les régions. </w:t>
      </w:r>
      <w:r w:rsidRPr="00653BF4">
        <w:rPr>
          <w:lang w:val="fr-FR"/>
        </w:rPr>
        <w:t>Les taux de soumission des rapports nationaux n</w:t>
      </w:r>
      <w:r w:rsidR="002A58C8" w:rsidRPr="00653BF4">
        <w:rPr>
          <w:lang w:val="fr-FR"/>
        </w:rPr>
        <w:t>’</w:t>
      </w:r>
      <w:r w:rsidRPr="00653BF4">
        <w:rPr>
          <w:lang w:val="fr-FR"/>
        </w:rPr>
        <w:t>étaient pas homogènes d</w:t>
      </w:r>
      <w:r w:rsidR="002A58C8" w:rsidRPr="00653BF4">
        <w:rPr>
          <w:lang w:val="fr-FR"/>
        </w:rPr>
        <w:t>’</w:t>
      </w:r>
      <w:r w:rsidRPr="00653BF4">
        <w:rPr>
          <w:lang w:val="fr-FR"/>
        </w:rPr>
        <w:t xml:space="preserve">une région à </w:t>
      </w:r>
      <w:r w:rsidRPr="00653BF4">
        <w:rPr>
          <w:lang w:val="fr-FR"/>
        </w:rPr>
        <w:lastRenderedPageBreak/>
        <w:t>l</w:t>
      </w:r>
      <w:r w:rsidR="002A58C8" w:rsidRPr="00653BF4">
        <w:rPr>
          <w:lang w:val="fr-FR"/>
        </w:rPr>
        <w:t>’</w:t>
      </w:r>
      <w:r w:rsidRPr="00653BF4">
        <w:rPr>
          <w:lang w:val="fr-FR"/>
        </w:rPr>
        <w:t>autre. En particulier, ces taux étaient faibles en Europe de l</w:t>
      </w:r>
      <w:r w:rsidR="002A58C8" w:rsidRPr="00653BF4">
        <w:rPr>
          <w:lang w:val="fr-FR"/>
        </w:rPr>
        <w:t>’</w:t>
      </w:r>
      <w:r w:rsidRPr="00653BF4">
        <w:rPr>
          <w:lang w:val="fr-FR"/>
        </w:rPr>
        <w:t>Est, dans les Caraïbes et dans les États insulaires du Pacifique (</w:t>
      </w:r>
      <w:r w:rsidR="00592405" w:rsidRPr="00653BF4">
        <w:rPr>
          <w:lang w:val="fr-FR"/>
        </w:rPr>
        <w:t>voir le tableau </w:t>
      </w:r>
      <w:r w:rsidRPr="00653BF4">
        <w:rPr>
          <w:lang w:val="fr-FR"/>
        </w:rPr>
        <w:t>1)</w:t>
      </w:r>
      <w:r w:rsidRPr="00653BF4">
        <w:rPr>
          <w:i/>
          <w:iCs/>
          <w:lang w:val="fr-FR"/>
        </w:rPr>
        <w:t>.</w:t>
      </w:r>
    </w:p>
    <w:p w14:paraId="591DB161" w14:textId="6382CBDE" w:rsidR="00180D09" w:rsidRPr="00653BF4" w:rsidRDefault="00795CF6" w:rsidP="00180D09">
      <w:pPr>
        <w:pStyle w:val="ListParagraph"/>
        <w:numPr>
          <w:ilvl w:val="0"/>
          <w:numId w:val="9"/>
        </w:numPr>
        <w:tabs>
          <w:tab w:val="left" w:pos="567"/>
          <w:tab w:val="left" w:pos="1134"/>
          <w:tab w:val="left" w:pos="2268"/>
        </w:tabs>
        <w:spacing w:after="0" w:line="279" w:lineRule="auto"/>
        <w:rPr>
          <w:lang w:val="fr-FR"/>
        </w:rPr>
      </w:pPr>
      <w:r w:rsidRPr="00653BF4">
        <w:rPr>
          <w:i/>
          <w:iCs/>
          <w:lang w:val="fr-FR"/>
        </w:rPr>
        <w:t>Le manque de contexte concernant les cibles nationales et les rapports nationaux, en particulier pour les Parties n</w:t>
      </w:r>
      <w:r w:rsidR="002A58C8" w:rsidRPr="00653BF4">
        <w:rPr>
          <w:i/>
          <w:iCs/>
          <w:lang w:val="fr-FR"/>
        </w:rPr>
        <w:t>’</w:t>
      </w:r>
      <w:r w:rsidRPr="00653BF4">
        <w:rPr>
          <w:i/>
          <w:iCs/>
          <w:lang w:val="fr-FR"/>
        </w:rPr>
        <w:t>ayant pas révisé leurs SPANB</w:t>
      </w:r>
      <w:r w:rsidR="00180D09" w:rsidRPr="00653BF4">
        <w:rPr>
          <w:i/>
          <w:iCs/>
          <w:lang w:val="fr-FR"/>
        </w:rPr>
        <w:t>.</w:t>
      </w:r>
      <w:r w:rsidR="00180D09" w:rsidRPr="00653BF4">
        <w:rPr>
          <w:i/>
          <w:lang w:val="fr-FR"/>
        </w:rPr>
        <w:t xml:space="preserve"> </w:t>
      </w:r>
      <w:r w:rsidR="00CD4D37" w:rsidRPr="00653BF4">
        <w:rPr>
          <w:lang w:val="fr-FR"/>
        </w:rPr>
        <w:t>Moins de la moitié des Parties ont présenté des SPANB révisés conformément au Cadre.</w:t>
      </w:r>
    </w:p>
    <w:p w14:paraId="632ACEC9" w14:textId="0E4A7936" w:rsidR="00180D09" w:rsidRPr="00653BF4" w:rsidRDefault="00CD4D37" w:rsidP="00180D09">
      <w:pPr>
        <w:pStyle w:val="ListParagraph"/>
        <w:numPr>
          <w:ilvl w:val="0"/>
          <w:numId w:val="9"/>
        </w:numPr>
        <w:tabs>
          <w:tab w:val="left" w:pos="567"/>
          <w:tab w:val="left" w:pos="1134"/>
          <w:tab w:val="left" w:pos="2268"/>
        </w:tabs>
        <w:spacing w:after="0" w:line="279" w:lineRule="auto"/>
        <w:rPr>
          <w:i/>
          <w:lang w:val="fr-FR"/>
        </w:rPr>
      </w:pPr>
      <w:r w:rsidRPr="00653BF4">
        <w:rPr>
          <w:i/>
          <w:iCs/>
          <w:lang w:val="fr-FR"/>
        </w:rPr>
        <w:t>Manque de précisions concernant certaines cibles nationales et certains rapports nationaux</w:t>
      </w:r>
      <w:r w:rsidR="00180D09" w:rsidRPr="00653BF4">
        <w:rPr>
          <w:i/>
          <w:iCs/>
          <w:lang w:val="fr-FR"/>
        </w:rPr>
        <w:t>.</w:t>
      </w:r>
      <w:r w:rsidR="00180D09" w:rsidRPr="00653BF4">
        <w:rPr>
          <w:i/>
          <w:lang w:val="fr-FR"/>
        </w:rPr>
        <w:t xml:space="preserve"> </w:t>
      </w:r>
      <w:r w:rsidR="00112314" w:rsidRPr="00653BF4">
        <w:rPr>
          <w:iCs/>
          <w:lang w:val="fr-FR"/>
        </w:rPr>
        <w:t>Si certaines des informations présentées par les Parties étaient très détaillées, un certain nombre d</w:t>
      </w:r>
      <w:r w:rsidR="002A58C8" w:rsidRPr="00653BF4">
        <w:rPr>
          <w:iCs/>
          <w:lang w:val="fr-FR"/>
        </w:rPr>
        <w:t>’</w:t>
      </w:r>
      <w:r w:rsidR="00112314" w:rsidRPr="00653BF4">
        <w:rPr>
          <w:iCs/>
          <w:lang w:val="fr-FR"/>
        </w:rPr>
        <w:t>entre elles ont fourni des informations dont le niveau de détail était très restreint. Entre 5 et 10</w:t>
      </w:r>
      <w:r w:rsidR="002878D7">
        <w:rPr>
          <w:iCs/>
          <w:lang w:val="fr-FR"/>
        </w:rPr>
        <w:t> %</w:t>
      </w:r>
      <w:r w:rsidR="00112314" w:rsidRPr="00653BF4">
        <w:rPr>
          <w:iCs/>
          <w:lang w:val="fr-FR"/>
        </w:rPr>
        <w:t xml:space="preserve"> des cibles nationales présentées ne comportaient aucune information détaillée</w:t>
      </w:r>
      <w:r w:rsidR="00FC5441" w:rsidRPr="00653BF4">
        <w:rPr>
          <w:lang w:val="fr-FR"/>
        </w:rPr>
        <w:t xml:space="preserve"> (</w:t>
      </w:r>
      <w:hyperlink r:id="rId35" w:history="1">
        <w:r w:rsidR="00FC5441" w:rsidRPr="00653BF4">
          <w:rPr>
            <w:rStyle w:val="Hyperlink"/>
            <w:lang w:val="fr-FR"/>
          </w:rPr>
          <w:t>CBD/SBI/6/INF/5</w:t>
        </w:r>
      </w:hyperlink>
      <w:r w:rsidR="00FC5441" w:rsidRPr="00653BF4">
        <w:rPr>
          <w:lang w:val="fr-FR"/>
        </w:rPr>
        <w:t>)</w:t>
      </w:r>
      <w:r w:rsidR="001F6338" w:rsidRPr="00653BF4">
        <w:rPr>
          <w:lang w:val="fr-FR"/>
        </w:rPr>
        <w:t>.</w:t>
      </w:r>
      <w:r w:rsidR="00180D09" w:rsidRPr="00653BF4">
        <w:rPr>
          <w:i/>
          <w:lang w:val="fr-FR"/>
        </w:rPr>
        <w:t xml:space="preserve"> </w:t>
      </w:r>
    </w:p>
    <w:p w14:paraId="7C4BEFE6" w14:textId="6A190B54" w:rsidR="00180D09" w:rsidRPr="00653BF4" w:rsidRDefault="001F6338" w:rsidP="002E0571">
      <w:pPr>
        <w:pStyle w:val="ListParagraph"/>
        <w:numPr>
          <w:ilvl w:val="0"/>
          <w:numId w:val="9"/>
        </w:numPr>
        <w:tabs>
          <w:tab w:val="left" w:pos="567"/>
          <w:tab w:val="left" w:pos="1134"/>
          <w:tab w:val="left" w:pos="2268"/>
        </w:tabs>
        <w:spacing w:after="0" w:line="279" w:lineRule="auto"/>
        <w:rPr>
          <w:lang w:val="fr-FR"/>
        </w:rPr>
      </w:pPr>
      <w:r w:rsidRPr="00653BF4">
        <w:rPr>
          <w:i/>
          <w:iCs/>
          <w:lang w:val="fr-FR"/>
        </w:rPr>
        <w:t>Utilisation variée des indicateurs et lacunes en matière de suivi</w:t>
      </w:r>
      <w:r w:rsidR="00180D09" w:rsidRPr="00653BF4">
        <w:rPr>
          <w:i/>
          <w:iCs/>
          <w:lang w:val="fr-FR"/>
        </w:rPr>
        <w:t>.</w:t>
      </w:r>
      <w:r w:rsidR="00180D09" w:rsidRPr="00653BF4">
        <w:rPr>
          <w:lang w:val="fr-FR"/>
        </w:rPr>
        <w:t xml:space="preserve"> </w:t>
      </w:r>
      <w:r w:rsidR="002E0571" w:rsidRPr="00653BF4">
        <w:rPr>
          <w:lang w:val="fr-FR"/>
        </w:rPr>
        <w:t>Les données fournies dans les rapports nationaux présentaient de grandes disparités, tout comme le nombre d</w:t>
      </w:r>
      <w:r w:rsidR="002A58C8" w:rsidRPr="00653BF4">
        <w:rPr>
          <w:lang w:val="fr-FR"/>
        </w:rPr>
        <w:t>’</w:t>
      </w:r>
      <w:r w:rsidR="002E0571" w:rsidRPr="00653BF4">
        <w:rPr>
          <w:lang w:val="fr-FR"/>
        </w:rPr>
        <w:t>années couvertes par ces données, la majorité des rapports ne comprenant que des données relatives à la période 2020-2024. Dans la plupart des cas, les données pour la période 2011-2020, période de référence définie dans le cadre de suivi, n</w:t>
      </w:r>
      <w:r w:rsidR="002A58C8" w:rsidRPr="00653BF4">
        <w:rPr>
          <w:lang w:val="fr-FR"/>
        </w:rPr>
        <w:t>’</w:t>
      </w:r>
      <w:r w:rsidR="002E0571" w:rsidRPr="00653BF4">
        <w:rPr>
          <w:lang w:val="fr-FR"/>
        </w:rPr>
        <w:t>étaient pas disponibles. De plus, de nombreuses Parties ont utilisé des méthodologies et des approches différentes pour l</w:t>
      </w:r>
      <w:r w:rsidR="002A58C8" w:rsidRPr="00653BF4">
        <w:rPr>
          <w:lang w:val="fr-FR"/>
        </w:rPr>
        <w:t>’</w:t>
      </w:r>
      <w:r w:rsidR="002E0571" w:rsidRPr="00653BF4">
        <w:rPr>
          <w:lang w:val="fr-FR"/>
        </w:rPr>
        <w:t>établissement de rapports. Des informations complémentaires à cet égard figurent dans l</w:t>
      </w:r>
      <w:r w:rsidR="002A58C8" w:rsidRPr="00653BF4">
        <w:rPr>
          <w:lang w:val="fr-FR"/>
        </w:rPr>
        <w:t>’</w:t>
      </w:r>
      <w:r w:rsidR="002E0571" w:rsidRPr="00653BF4">
        <w:rPr>
          <w:lang w:val="fr-FR"/>
        </w:rPr>
        <w:t xml:space="preserve">étude réalisée par le </w:t>
      </w:r>
      <w:r w:rsidR="002C36D5" w:rsidRPr="00653BF4">
        <w:rPr>
          <w:lang w:val="fr-FR"/>
        </w:rPr>
        <w:t>secrétariat</w:t>
      </w:r>
      <w:r w:rsidR="002E0571" w:rsidRPr="00653BF4">
        <w:rPr>
          <w:lang w:val="fr-FR"/>
        </w:rPr>
        <w:t xml:space="preserve"> de la Convention sur l</w:t>
      </w:r>
      <w:r w:rsidR="002A58C8" w:rsidRPr="00653BF4">
        <w:rPr>
          <w:lang w:val="fr-FR"/>
        </w:rPr>
        <w:t>’</w:t>
      </w:r>
      <w:r w:rsidR="002E0571" w:rsidRPr="00653BF4">
        <w:rPr>
          <w:lang w:val="fr-FR"/>
        </w:rPr>
        <w:t xml:space="preserve">utilisation des indicateurs </w:t>
      </w:r>
      <w:r w:rsidR="00D07A2B" w:rsidRPr="00653BF4">
        <w:rPr>
          <w:lang w:val="fr-FR" w:eastAsia="ja-JP"/>
        </w:rPr>
        <w:t>(</w:t>
      </w:r>
      <w:hyperlink r:id="rId36" w:history="1">
        <w:r w:rsidR="00D07A2B" w:rsidRPr="00653BF4">
          <w:rPr>
            <w:rStyle w:val="Hyperlink"/>
            <w:lang w:val="fr-FR" w:eastAsia="ja-JP"/>
          </w:rPr>
          <w:t>CBD/SBSTTA/28/INF/11</w:t>
        </w:r>
      </w:hyperlink>
      <w:r w:rsidR="00D07A2B" w:rsidRPr="00653BF4">
        <w:rPr>
          <w:lang w:val="fr-FR" w:eastAsia="ja-JP"/>
        </w:rPr>
        <w:t>)</w:t>
      </w:r>
      <w:r w:rsidR="00180D09" w:rsidRPr="00653BF4">
        <w:rPr>
          <w:lang w:val="fr-FR"/>
        </w:rPr>
        <w:t>.</w:t>
      </w:r>
    </w:p>
    <w:p w14:paraId="4AFDD5D8" w14:textId="48FFBF16" w:rsidR="007D1195" w:rsidRPr="00653BF4" w:rsidRDefault="002E0571" w:rsidP="007D1195">
      <w:pPr>
        <w:pStyle w:val="ListParagraph"/>
        <w:numPr>
          <w:ilvl w:val="0"/>
          <w:numId w:val="9"/>
        </w:numPr>
        <w:tabs>
          <w:tab w:val="left" w:pos="567"/>
          <w:tab w:val="left" w:pos="1134"/>
          <w:tab w:val="left" w:pos="2268"/>
        </w:tabs>
        <w:spacing w:after="0" w:line="279" w:lineRule="auto"/>
        <w:rPr>
          <w:lang w:val="fr-FR"/>
        </w:rPr>
      </w:pPr>
      <w:r w:rsidRPr="00653BF4">
        <w:rPr>
          <w:i/>
          <w:iCs/>
          <w:lang w:val="fr-FR"/>
        </w:rPr>
        <w:t>Nombre limité de contributions et d</w:t>
      </w:r>
      <w:r w:rsidR="002A58C8" w:rsidRPr="00653BF4">
        <w:rPr>
          <w:i/>
          <w:iCs/>
          <w:lang w:val="fr-FR"/>
        </w:rPr>
        <w:t>’</w:t>
      </w:r>
      <w:r w:rsidRPr="00653BF4">
        <w:rPr>
          <w:i/>
          <w:iCs/>
          <w:lang w:val="fr-FR"/>
        </w:rPr>
        <w:t>informations reçues de la part d</w:t>
      </w:r>
      <w:r w:rsidR="002A58C8" w:rsidRPr="00653BF4">
        <w:rPr>
          <w:i/>
          <w:iCs/>
          <w:lang w:val="fr-FR"/>
        </w:rPr>
        <w:t>’</w:t>
      </w:r>
      <w:r w:rsidRPr="00653BF4">
        <w:rPr>
          <w:i/>
          <w:iCs/>
          <w:lang w:val="fr-FR"/>
        </w:rPr>
        <w:t>acteurs autres que les gouvernements nationaux</w:t>
      </w:r>
      <w:r w:rsidR="007D1195" w:rsidRPr="00653BF4">
        <w:rPr>
          <w:i/>
          <w:lang w:val="fr-FR"/>
        </w:rPr>
        <w:t xml:space="preserve">. </w:t>
      </w:r>
      <w:r w:rsidR="00B60188" w:rsidRPr="00653BF4">
        <w:rPr>
          <w:lang w:val="fr-FR"/>
        </w:rPr>
        <w:t>La plateforme dédiée à ces engagements était une nouvelle initiative, qui n</w:t>
      </w:r>
      <w:r w:rsidR="002A58C8" w:rsidRPr="00653BF4">
        <w:rPr>
          <w:lang w:val="fr-FR"/>
        </w:rPr>
        <w:t>’</w:t>
      </w:r>
      <w:r w:rsidR="00B60188" w:rsidRPr="00653BF4">
        <w:rPr>
          <w:lang w:val="fr-FR"/>
        </w:rPr>
        <w:t>a été lancée qu</w:t>
      </w:r>
      <w:r w:rsidR="002A58C8" w:rsidRPr="00653BF4">
        <w:rPr>
          <w:lang w:val="fr-FR"/>
        </w:rPr>
        <w:t>’</w:t>
      </w:r>
      <w:r w:rsidR="00B60188" w:rsidRPr="00653BF4">
        <w:rPr>
          <w:lang w:val="fr-FR"/>
        </w:rPr>
        <w:t>au début de l</w:t>
      </w:r>
      <w:r w:rsidR="002A58C8" w:rsidRPr="00653BF4">
        <w:rPr>
          <w:lang w:val="fr-FR"/>
        </w:rPr>
        <w:t>’</w:t>
      </w:r>
      <w:r w:rsidR="00B60188" w:rsidRPr="00653BF4">
        <w:rPr>
          <w:lang w:val="fr-FR"/>
        </w:rPr>
        <w:t>année 2026, peu avant la rédaction du présent rapport. Bien que cette initiative ait suscité un vif intérêt, le nombre de contributions contenant suffisamment d</w:t>
      </w:r>
      <w:r w:rsidR="002A58C8" w:rsidRPr="00653BF4">
        <w:rPr>
          <w:lang w:val="fr-FR"/>
        </w:rPr>
        <w:t>’</w:t>
      </w:r>
      <w:r w:rsidR="00B60188" w:rsidRPr="00653BF4">
        <w:rPr>
          <w:lang w:val="fr-FR"/>
        </w:rPr>
        <w:t>informations pour permettre une analyse reste limité, et le lancement de la plateforme s</w:t>
      </w:r>
      <w:r w:rsidR="002A58C8" w:rsidRPr="00653BF4">
        <w:rPr>
          <w:lang w:val="fr-FR"/>
        </w:rPr>
        <w:t>’</w:t>
      </w:r>
      <w:r w:rsidR="00B60188" w:rsidRPr="00653BF4">
        <w:rPr>
          <w:lang w:val="fr-FR"/>
        </w:rPr>
        <w:t>est accompagné d</w:t>
      </w:r>
      <w:r w:rsidR="002A58C8" w:rsidRPr="00653BF4">
        <w:rPr>
          <w:lang w:val="fr-FR"/>
        </w:rPr>
        <w:t>’</w:t>
      </w:r>
      <w:r w:rsidR="00B60188" w:rsidRPr="00653BF4">
        <w:rPr>
          <w:lang w:val="fr-FR"/>
        </w:rPr>
        <w:t>une phase d</w:t>
      </w:r>
      <w:r w:rsidR="002A58C8" w:rsidRPr="00653BF4">
        <w:rPr>
          <w:lang w:val="fr-FR"/>
        </w:rPr>
        <w:t>’</w:t>
      </w:r>
      <w:r w:rsidR="00B60188" w:rsidRPr="00653BF4">
        <w:rPr>
          <w:lang w:val="fr-FR"/>
        </w:rPr>
        <w:t>apprentissage</w:t>
      </w:r>
      <w:r w:rsidR="007D1195" w:rsidRPr="00653BF4">
        <w:rPr>
          <w:rStyle w:val="FootnoteReference"/>
          <w:lang w:val="fr-FR"/>
        </w:rPr>
        <w:footnoteReference w:id="5"/>
      </w:r>
      <w:r w:rsidR="007D1195" w:rsidRPr="00653BF4">
        <w:rPr>
          <w:i/>
          <w:lang w:val="fr-FR"/>
        </w:rPr>
        <w:t xml:space="preserve"> </w:t>
      </w:r>
    </w:p>
    <w:p w14:paraId="7E82CD76" w14:textId="77777777" w:rsidR="00180D09" w:rsidRPr="00653BF4" w:rsidRDefault="00180D09" w:rsidP="00180D09">
      <w:pPr>
        <w:pStyle w:val="ListParagraph"/>
        <w:tabs>
          <w:tab w:val="left" w:pos="567"/>
          <w:tab w:val="left" w:pos="1134"/>
          <w:tab w:val="left" w:pos="2268"/>
        </w:tabs>
        <w:spacing w:after="0" w:line="279" w:lineRule="auto"/>
        <w:ind w:left="927"/>
        <w:rPr>
          <w:lang w:val="fr-FR"/>
        </w:rPr>
      </w:pPr>
    </w:p>
    <w:p w14:paraId="7B112F2F" w14:textId="16C282CA" w:rsidR="00180D09" w:rsidRPr="00653BF4" w:rsidRDefault="003B5102" w:rsidP="00F80A54">
      <w:pPr>
        <w:pStyle w:val="Caption"/>
        <w:rPr>
          <w:color w:val="000000" w:themeColor="text1"/>
          <w:lang w:val="fr-FR"/>
        </w:rPr>
      </w:pPr>
      <w:r w:rsidRPr="00653BF4">
        <w:rPr>
          <w:i w:val="0"/>
          <w:iCs w:val="0"/>
          <w:color w:val="000000" w:themeColor="text1"/>
          <w:sz w:val="24"/>
          <w:szCs w:val="24"/>
          <w:lang w:val="fr-FR"/>
        </w:rPr>
        <w:t>Par ailleurs, le rapport mondial ne permet pas de mettre en évidence l</w:t>
      </w:r>
      <w:r w:rsidR="002A58C8" w:rsidRPr="00653BF4">
        <w:rPr>
          <w:i w:val="0"/>
          <w:iCs w:val="0"/>
          <w:color w:val="000000" w:themeColor="text1"/>
          <w:sz w:val="24"/>
          <w:szCs w:val="24"/>
          <w:lang w:val="fr-FR"/>
        </w:rPr>
        <w:t>’</w:t>
      </w:r>
      <w:r w:rsidRPr="00653BF4">
        <w:rPr>
          <w:i w:val="0"/>
          <w:iCs w:val="0"/>
          <w:color w:val="000000" w:themeColor="text1"/>
          <w:sz w:val="24"/>
          <w:szCs w:val="24"/>
          <w:lang w:val="fr-FR"/>
        </w:rPr>
        <w:t>évolution de l</w:t>
      </w:r>
      <w:r w:rsidR="002A58C8" w:rsidRPr="00653BF4">
        <w:rPr>
          <w:i w:val="0"/>
          <w:iCs w:val="0"/>
          <w:color w:val="000000" w:themeColor="text1"/>
          <w:sz w:val="24"/>
          <w:szCs w:val="24"/>
          <w:lang w:val="fr-FR"/>
        </w:rPr>
        <w:t>’</w:t>
      </w:r>
      <w:r w:rsidRPr="00653BF4">
        <w:rPr>
          <w:i w:val="0"/>
          <w:iCs w:val="0"/>
          <w:color w:val="000000" w:themeColor="text1"/>
          <w:sz w:val="24"/>
          <w:szCs w:val="24"/>
          <w:lang w:val="fr-FR"/>
        </w:rPr>
        <w:t>état et des tendances de la biodiversité depuis l</w:t>
      </w:r>
      <w:r w:rsidR="002A58C8" w:rsidRPr="00653BF4">
        <w:rPr>
          <w:i w:val="0"/>
          <w:iCs w:val="0"/>
          <w:color w:val="000000" w:themeColor="text1"/>
          <w:sz w:val="24"/>
          <w:szCs w:val="24"/>
          <w:lang w:val="fr-FR"/>
        </w:rPr>
        <w:t>’</w:t>
      </w:r>
      <w:r w:rsidRPr="00653BF4">
        <w:rPr>
          <w:i w:val="0"/>
          <w:iCs w:val="0"/>
          <w:color w:val="000000" w:themeColor="text1"/>
          <w:sz w:val="24"/>
          <w:szCs w:val="24"/>
          <w:lang w:val="fr-FR"/>
        </w:rPr>
        <w:t>adoption du Cadre, et ce pour au moins deux raisons principales. Premièrement, quatre années seulement se sont écoulées depuis l</w:t>
      </w:r>
      <w:r w:rsidR="002A58C8" w:rsidRPr="00653BF4">
        <w:rPr>
          <w:i w:val="0"/>
          <w:iCs w:val="0"/>
          <w:color w:val="000000" w:themeColor="text1"/>
          <w:sz w:val="24"/>
          <w:szCs w:val="24"/>
          <w:lang w:val="fr-FR"/>
        </w:rPr>
        <w:t>’</w:t>
      </w:r>
      <w:r w:rsidRPr="00653BF4">
        <w:rPr>
          <w:i w:val="0"/>
          <w:iCs w:val="0"/>
          <w:color w:val="000000" w:themeColor="text1"/>
          <w:sz w:val="24"/>
          <w:szCs w:val="24"/>
          <w:lang w:val="fr-FR"/>
        </w:rPr>
        <w:t>adoption du Cadre, et la réaction de la biodiversité ainsi que des fonctions et services écosystémiques peut prendre des années, voire des décennies, avant de se manifester à la suite d</w:t>
      </w:r>
      <w:r w:rsidR="002A58C8" w:rsidRPr="00653BF4">
        <w:rPr>
          <w:i w:val="0"/>
          <w:iCs w:val="0"/>
          <w:color w:val="000000" w:themeColor="text1"/>
          <w:sz w:val="24"/>
          <w:szCs w:val="24"/>
          <w:lang w:val="fr-FR"/>
        </w:rPr>
        <w:t>’</w:t>
      </w:r>
      <w:r w:rsidRPr="00653BF4">
        <w:rPr>
          <w:i w:val="0"/>
          <w:iCs w:val="0"/>
          <w:color w:val="000000" w:themeColor="text1"/>
          <w:sz w:val="24"/>
          <w:szCs w:val="24"/>
          <w:lang w:val="fr-FR"/>
        </w:rPr>
        <w:t>une intervention de gestion positive (Moreno-Mateos et al., 2017). Deuxièmement, les systèmes de suivi et d</w:t>
      </w:r>
      <w:r w:rsidR="002A58C8" w:rsidRPr="00653BF4">
        <w:rPr>
          <w:i w:val="0"/>
          <w:iCs w:val="0"/>
          <w:color w:val="000000" w:themeColor="text1"/>
          <w:sz w:val="24"/>
          <w:szCs w:val="24"/>
          <w:lang w:val="fr-FR"/>
        </w:rPr>
        <w:t>’</w:t>
      </w:r>
      <w:r w:rsidRPr="00653BF4">
        <w:rPr>
          <w:i w:val="0"/>
          <w:iCs w:val="0"/>
          <w:color w:val="000000" w:themeColor="text1"/>
          <w:sz w:val="24"/>
          <w:szCs w:val="24"/>
          <w:lang w:val="fr-FR"/>
        </w:rPr>
        <w:t>établissement de rapports entraînent eux-mêmes des retards dans la détection et l</w:t>
      </w:r>
      <w:r w:rsidR="002A58C8" w:rsidRPr="00653BF4">
        <w:rPr>
          <w:i w:val="0"/>
          <w:iCs w:val="0"/>
          <w:color w:val="000000" w:themeColor="text1"/>
          <w:sz w:val="24"/>
          <w:szCs w:val="24"/>
          <w:lang w:val="fr-FR"/>
        </w:rPr>
        <w:t>’</w:t>
      </w:r>
      <w:r w:rsidRPr="00653BF4">
        <w:rPr>
          <w:i w:val="0"/>
          <w:iCs w:val="0"/>
          <w:color w:val="000000" w:themeColor="text1"/>
          <w:sz w:val="24"/>
          <w:szCs w:val="24"/>
          <w:lang w:val="fr-FR"/>
        </w:rPr>
        <w:t>interprétation des changements. Les indicateurs de biodiversité dépendent souvent d</w:t>
      </w:r>
      <w:r w:rsidR="002A58C8" w:rsidRPr="00653BF4">
        <w:rPr>
          <w:i w:val="0"/>
          <w:iCs w:val="0"/>
          <w:color w:val="000000" w:themeColor="text1"/>
          <w:sz w:val="24"/>
          <w:szCs w:val="24"/>
          <w:lang w:val="fr-FR"/>
        </w:rPr>
        <w:t>’</w:t>
      </w:r>
      <w:r w:rsidRPr="00653BF4">
        <w:rPr>
          <w:i w:val="0"/>
          <w:iCs w:val="0"/>
          <w:color w:val="000000" w:themeColor="text1"/>
          <w:sz w:val="24"/>
          <w:szCs w:val="24"/>
          <w:lang w:val="fr-FR"/>
        </w:rPr>
        <w:t>un suivi irrégulier sur le terrain, de l</w:t>
      </w:r>
      <w:r w:rsidR="002A58C8" w:rsidRPr="00653BF4">
        <w:rPr>
          <w:i w:val="0"/>
          <w:iCs w:val="0"/>
          <w:color w:val="000000" w:themeColor="text1"/>
          <w:sz w:val="24"/>
          <w:szCs w:val="24"/>
          <w:lang w:val="fr-FR"/>
        </w:rPr>
        <w:t>’</w:t>
      </w:r>
      <w:r w:rsidRPr="00653BF4">
        <w:rPr>
          <w:i w:val="0"/>
          <w:iCs w:val="0"/>
          <w:color w:val="000000" w:themeColor="text1"/>
          <w:sz w:val="24"/>
          <w:szCs w:val="24"/>
          <w:lang w:val="fr-FR"/>
        </w:rPr>
        <w:t xml:space="preserve">analyse de </w:t>
      </w:r>
      <w:r w:rsidRPr="00653BF4">
        <w:rPr>
          <w:i w:val="0"/>
          <w:iCs w:val="0"/>
          <w:color w:val="000000" w:themeColor="text1"/>
          <w:sz w:val="24"/>
          <w:szCs w:val="24"/>
          <w:lang w:val="fr-FR"/>
        </w:rPr>
        <w:lastRenderedPageBreak/>
        <w:t>données de télédétection, de la mise à jour des systèmes de gestion des données et de l</w:t>
      </w:r>
      <w:r w:rsidR="002A58C8" w:rsidRPr="00653BF4">
        <w:rPr>
          <w:i w:val="0"/>
          <w:iCs w:val="0"/>
          <w:color w:val="000000" w:themeColor="text1"/>
          <w:sz w:val="24"/>
          <w:szCs w:val="24"/>
          <w:lang w:val="fr-FR"/>
        </w:rPr>
        <w:t>’</w:t>
      </w:r>
      <w:r w:rsidRPr="00653BF4">
        <w:rPr>
          <w:i w:val="0"/>
          <w:iCs w:val="0"/>
          <w:color w:val="000000" w:themeColor="text1"/>
          <w:sz w:val="24"/>
          <w:szCs w:val="24"/>
          <w:lang w:val="fr-FR"/>
        </w:rPr>
        <w:t>agrégation des données en variables ou en indicateurs, autant d</w:t>
      </w:r>
      <w:r w:rsidR="002A58C8" w:rsidRPr="00653BF4">
        <w:rPr>
          <w:i w:val="0"/>
          <w:iCs w:val="0"/>
          <w:color w:val="000000" w:themeColor="text1"/>
          <w:sz w:val="24"/>
          <w:szCs w:val="24"/>
          <w:lang w:val="fr-FR"/>
        </w:rPr>
        <w:t>’</w:t>
      </w:r>
      <w:r w:rsidRPr="00653BF4">
        <w:rPr>
          <w:i w:val="0"/>
          <w:iCs w:val="0"/>
          <w:color w:val="000000" w:themeColor="text1"/>
          <w:sz w:val="24"/>
          <w:szCs w:val="24"/>
          <w:lang w:val="fr-FR"/>
        </w:rPr>
        <w:t>éléments susceptibles d</w:t>
      </w:r>
      <w:r w:rsidR="002A58C8" w:rsidRPr="00653BF4">
        <w:rPr>
          <w:i w:val="0"/>
          <w:iCs w:val="0"/>
          <w:color w:val="000000" w:themeColor="text1"/>
          <w:sz w:val="24"/>
          <w:szCs w:val="24"/>
          <w:lang w:val="fr-FR"/>
        </w:rPr>
        <w:t>’</w:t>
      </w:r>
      <w:r w:rsidRPr="00653BF4">
        <w:rPr>
          <w:i w:val="0"/>
          <w:iCs w:val="0"/>
          <w:color w:val="000000" w:themeColor="text1"/>
          <w:sz w:val="24"/>
          <w:szCs w:val="24"/>
          <w:lang w:val="fr-FR"/>
        </w:rPr>
        <w:t>introduire des décalages temporels entre les changements écologiques et leur suivi (Nicholson et al., 2021) (</w:t>
      </w:r>
      <w:r w:rsidR="00592405" w:rsidRPr="00653BF4">
        <w:rPr>
          <w:i w:val="0"/>
          <w:iCs w:val="0"/>
          <w:color w:val="000000" w:themeColor="text1"/>
          <w:sz w:val="24"/>
          <w:szCs w:val="24"/>
          <w:lang w:val="fr-FR"/>
        </w:rPr>
        <w:t>voir la figure </w:t>
      </w:r>
      <w:r w:rsidRPr="00653BF4">
        <w:rPr>
          <w:i w:val="0"/>
          <w:iCs w:val="0"/>
          <w:color w:val="000000" w:themeColor="text1"/>
          <w:sz w:val="24"/>
          <w:szCs w:val="24"/>
          <w:lang w:val="fr-FR"/>
        </w:rPr>
        <w:t>6)</w:t>
      </w:r>
      <w:r w:rsidR="00180D09" w:rsidRPr="00653BF4">
        <w:rPr>
          <w:color w:val="000000" w:themeColor="text1"/>
          <w:lang w:val="fr-FR"/>
        </w:rPr>
        <w:t xml:space="preserve">. </w:t>
      </w:r>
    </w:p>
    <w:p w14:paraId="26C124D8" w14:textId="27B259A5" w:rsidR="00D716D5" w:rsidRPr="00653BF4" w:rsidRDefault="00FF7B76" w:rsidP="00D716D5">
      <w:pPr>
        <w:rPr>
          <w:lang w:val="fr-FR"/>
        </w:rPr>
      </w:pPr>
      <w:r w:rsidRPr="00653BF4">
        <w:rPr>
          <w:lang w:val="fr-FR"/>
        </w:rPr>
        <w:t>Il convient de souligner que, compte tenu du délai imparti pour la préparation du rapport mondial, il n</w:t>
      </w:r>
      <w:r w:rsidR="002A58C8" w:rsidRPr="00653BF4">
        <w:rPr>
          <w:lang w:val="fr-FR"/>
        </w:rPr>
        <w:t>’</w:t>
      </w:r>
      <w:r w:rsidRPr="00653BF4">
        <w:rPr>
          <w:lang w:val="fr-FR"/>
        </w:rPr>
        <w:t>a pas été possible de mener une analyse documentaire approfondie sur les différentes sections.</w:t>
      </w:r>
    </w:p>
    <w:p w14:paraId="46CC125A" w14:textId="1ECB5066" w:rsidR="0024299E" w:rsidRPr="00653BF4" w:rsidRDefault="00A53433" w:rsidP="00A53433">
      <w:pPr>
        <w:pStyle w:val="Caption"/>
        <w:rPr>
          <w:i w:val="0"/>
          <w:iCs w:val="0"/>
          <w:sz w:val="20"/>
          <w:szCs w:val="20"/>
          <w:lang w:val="fr-FR"/>
        </w:rPr>
      </w:pPr>
      <w:bookmarkStart w:id="32" w:name="_Ref238828410"/>
      <w:r w:rsidRPr="00653BF4">
        <w:rPr>
          <w:i w:val="0"/>
          <w:sz w:val="20"/>
          <w:szCs w:val="20"/>
          <w:lang w:val="fr-FR"/>
        </w:rPr>
        <w:t>Figure 6</w:t>
      </w:r>
      <w:bookmarkEnd w:id="32"/>
    </w:p>
    <w:p w14:paraId="2ED17456" w14:textId="6FD0F2D7" w:rsidR="00A53433" w:rsidRPr="00653BF4" w:rsidRDefault="00C557FF" w:rsidP="00A53433">
      <w:pPr>
        <w:pStyle w:val="Caption"/>
        <w:rPr>
          <w:b/>
          <w:sz w:val="20"/>
          <w:szCs w:val="20"/>
          <w:lang w:val="fr-FR"/>
        </w:rPr>
      </w:pPr>
      <w:r w:rsidRPr="00653BF4">
        <w:rPr>
          <w:b/>
          <w:bCs/>
          <w:sz w:val="20"/>
          <w:szCs w:val="20"/>
          <w:lang w:val="fr-FR"/>
        </w:rPr>
        <w:t>Représentation graphique du décalage temporel dans le rétablissement de la biodiversité</w:t>
      </w:r>
    </w:p>
    <w:p w14:paraId="345996EC" w14:textId="39AF7D47" w:rsidR="00D86DD0" w:rsidRPr="00653BF4" w:rsidRDefault="00C1661D" w:rsidP="0036060C">
      <w:pPr>
        <w:pStyle w:val="Caption"/>
        <w:rPr>
          <w:lang w:val="fr-FR"/>
        </w:rPr>
      </w:pPr>
      <w:r w:rsidRPr="00653BF4">
        <w:rPr>
          <w:noProof/>
          <w:lang w:val="fr-FR"/>
        </w:rPr>
        <w:drawing>
          <wp:inline distT="0" distB="0" distL="0" distR="0" wp14:anchorId="063D9C34" wp14:editId="049E35FC">
            <wp:extent cx="5731510" cy="3378835"/>
            <wp:effectExtent l="0" t="0" r="2540" b="0"/>
            <wp:docPr id="274258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61184" name=""/>
                    <pic:cNvPicPr/>
                  </pic:nvPicPr>
                  <pic:blipFill>
                    <a:blip r:embed="rId37"/>
                    <a:stretch>
                      <a:fillRect/>
                    </a:stretch>
                  </pic:blipFill>
                  <pic:spPr>
                    <a:xfrm>
                      <a:off x="0" y="0"/>
                      <a:ext cx="5731510" cy="3378835"/>
                    </a:xfrm>
                    <a:prstGeom prst="rect">
                      <a:avLst/>
                    </a:prstGeom>
                  </pic:spPr>
                </pic:pic>
              </a:graphicData>
            </a:graphic>
          </wp:inline>
        </w:drawing>
      </w:r>
      <w:bookmarkStart w:id="33" w:name="_Ref231070780"/>
      <w:r w:rsidR="000B74A3" w:rsidRPr="00653BF4">
        <w:rPr>
          <w:lang w:val="fr-FR"/>
        </w:rPr>
        <w:t xml:space="preserve"> </w:t>
      </w:r>
    </w:p>
    <w:tbl>
      <w:tblPr>
        <w:tblStyle w:val="TableGrid"/>
        <w:tblW w:w="0" w:type="auto"/>
        <w:tblLook w:val="06A0" w:firstRow="1" w:lastRow="0" w:firstColumn="1" w:lastColumn="0" w:noHBand="1" w:noVBand="1"/>
      </w:tblPr>
      <w:tblGrid>
        <w:gridCol w:w="4200"/>
        <w:gridCol w:w="4677"/>
      </w:tblGrid>
      <w:tr w:rsidR="003246FC" w:rsidRPr="0046019F" w14:paraId="6CB8C957" w14:textId="77777777" w:rsidTr="009B4355">
        <w:tc>
          <w:tcPr>
            <w:tcW w:w="8877" w:type="dxa"/>
            <w:gridSpan w:val="2"/>
          </w:tcPr>
          <w:bookmarkEnd w:id="33"/>
          <w:p w14:paraId="54737769" w14:textId="77777777" w:rsidR="003246FC" w:rsidRPr="0046019F" w:rsidRDefault="003246FC" w:rsidP="009B4355">
            <w:pPr>
              <w:rPr>
                <w:rFonts w:ascii="Aptos" w:eastAsia="Segoe UI" w:hAnsi="Aptos" w:cs="Segoe UI"/>
                <w:color w:val="0F1115"/>
              </w:rPr>
            </w:pPr>
            <w:r>
              <w:rPr>
                <w:rFonts w:ascii="Aptos" w:hAnsi="Aptos"/>
              </w:rPr>
              <w:t>Figure 6</w:t>
            </w:r>
          </w:p>
        </w:tc>
      </w:tr>
      <w:tr w:rsidR="003246FC" w:rsidRPr="0046019F" w14:paraId="185A3BD8" w14:textId="77777777" w:rsidTr="009B4355">
        <w:tc>
          <w:tcPr>
            <w:tcW w:w="4200" w:type="dxa"/>
          </w:tcPr>
          <w:p w14:paraId="0810F26A" w14:textId="77777777" w:rsidR="003246FC" w:rsidRPr="0046019F" w:rsidRDefault="003246FC" w:rsidP="009B4355">
            <w:pPr>
              <w:rPr>
                <w:rFonts w:ascii="Aptos" w:hAnsi="Aptos"/>
              </w:rPr>
            </w:pPr>
            <w:r w:rsidRPr="0046019F">
              <w:rPr>
                <w:rFonts w:ascii="Aptos" w:eastAsia="Segoe UI" w:hAnsi="Aptos" w:cs="Segoe UI"/>
                <w:color w:val="0F1115"/>
              </w:rPr>
              <w:t xml:space="preserve">English </w:t>
            </w:r>
          </w:p>
        </w:tc>
        <w:tc>
          <w:tcPr>
            <w:tcW w:w="4677" w:type="dxa"/>
          </w:tcPr>
          <w:p w14:paraId="0D307DE4" w14:textId="77777777" w:rsidR="003246FC" w:rsidRPr="0046019F" w:rsidRDefault="003246FC" w:rsidP="009B4355">
            <w:pPr>
              <w:rPr>
                <w:rFonts w:ascii="Aptos" w:hAnsi="Aptos"/>
              </w:rPr>
            </w:pPr>
            <w:r>
              <w:rPr>
                <w:rFonts w:ascii="Aptos" w:eastAsia="Segoe UI" w:hAnsi="Aptos" w:cs="Segoe UI"/>
                <w:color w:val="0F1115"/>
              </w:rPr>
              <w:t>Français</w:t>
            </w:r>
          </w:p>
        </w:tc>
      </w:tr>
      <w:tr w:rsidR="003246FC" w:rsidRPr="003A6336" w14:paraId="4C53A11A" w14:textId="77777777" w:rsidTr="009B4355">
        <w:tc>
          <w:tcPr>
            <w:tcW w:w="4200" w:type="dxa"/>
          </w:tcPr>
          <w:p w14:paraId="58B680CB" w14:textId="77777777" w:rsidR="003246FC" w:rsidRPr="003A6336" w:rsidRDefault="003246FC" w:rsidP="009B4355">
            <w:pPr>
              <w:rPr>
                <w:rFonts w:ascii="Aptos" w:hAnsi="Aptos"/>
              </w:rPr>
            </w:pPr>
            <w:r w:rsidRPr="003A6336">
              <w:rPr>
                <w:rFonts w:ascii="Aptos" w:eastAsia="Segoe UI" w:hAnsi="Aptos" w:cs="Segoe UI"/>
                <w:color w:val="0F1115"/>
              </w:rPr>
              <w:t>1. BIODIVERSITY LOSS Declines accumulate over time</w:t>
            </w:r>
          </w:p>
        </w:tc>
        <w:tc>
          <w:tcPr>
            <w:tcW w:w="4677" w:type="dxa"/>
          </w:tcPr>
          <w:p w14:paraId="6C77D5D8" w14:textId="77777777" w:rsidR="003246FC" w:rsidRPr="003A6336" w:rsidRDefault="003246FC" w:rsidP="009B4355">
            <w:pPr>
              <w:rPr>
                <w:rFonts w:ascii="Aptos" w:hAnsi="Aptos"/>
              </w:rPr>
            </w:pPr>
            <w:r w:rsidRPr="00ED330B">
              <w:t>1. PERTE DE BIODIVERSITÉ : Les déclins s</w:t>
            </w:r>
            <w:r>
              <w:t>’</w:t>
            </w:r>
            <w:r w:rsidRPr="00ED330B">
              <w:t>accumulent au fil du temps</w:t>
            </w:r>
          </w:p>
        </w:tc>
      </w:tr>
      <w:tr w:rsidR="003246FC" w:rsidRPr="003A6336" w14:paraId="78F8F11E" w14:textId="77777777" w:rsidTr="009B4355">
        <w:tc>
          <w:tcPr>
            <w:tcW w:w="4200" w:type="dxa"/>
          </w:tcPr>
          <w:p w14:paraId="3F582FFF" w14:textId="77777777" w:rsidR="003246FC" w:rsidRPr="003A6336" w:rsidRDefault="003246FC" w:rsidP="009B4355">
            <w:pPr>
              <w:rPr>
                <w:rFonts w:ascii="Aptos" w:hAnsi="Aptos"/>
              </w:rPr>
            </w:pPr>
            <w:r w:rsidRPr="003A6336">
              <w:rPr>
                <w:rFonts w:ascii="Aptos" w:eastAsia="Segoe UI" w:hAnsi="Aptos" w:cs="Segoe UI"/>
                <w:color w:val="0F1115"/>
              </w:rPr>
              <w:t>2. IDENTIFICATION AND PLANNING ACTION Evidence, awareness, assessment and action planning</w:t>
            </w:r>
          </w:p>
        </w:tc>
        <w:tc>
          <w:tcPr>
            <w:tcW w:w="4677" w:type="dxa"/>
          </w:tcPr>
          <w:p w14:paraId="35362367" w14:textId="77777777" w:rsidR="003246FC" w:rsidRPr="003A6336" w:rsidRDefault="003246FC" w:rsidP="009B4355">
            <w:pPr>
              <w:rPr>
                <w:rFonts w:ascii="Aptos" w:hAnsi="Aptos"/>
              </w:rPr>
            </w:pPr>
            <w:r w:rsidRPr="00ED330B">
              <w:t>2. IDENTIFICATION ET PLANIFICATION DES ACTIONS : Données factuelles, sensibilisation, évaluation et planification des actions</w:t>
            </w:r>
          </w:p>
        </w:tc>
      </w:tr>
      <w:tr w:rsidR="003246FC" w:rsidRPr="003A6336" w14:paraId="6F6C83EE" w14:textId="77777777" w:rsidTr="009B4355">
        <w:tc>
          <w:tcPr>
            <w:tcW w:w="4200" w:type="dxa"/>
          </w:tcPr>
          <w:p w14:paraId="01470FC7" w14:textId="77777777" w:rsidR="003246FC" w:rsidRPr="003A6336" w:rsidRDefault="003246FC" w:rsidP="009B4355">
            <w:pPr>
              <w:rPr>
                <w:rFonts w:ascii="Aptos" w:hAnsi="Aptos"/>
              </w:rPr>
            </w:pPr>
            <w:r w:rsidRPr="003A6336">
              <w:rPr>
                <w:rFonts w:ascii="Aptos" w:eastAsia="Segoe UI" w:hAnsi="Aptos" w:cs="Segoe UI"/>
                <w:color w:val="0F1115"/>
              </w:rPr>
              <w:t>3. ACTION IMPLEMENTED Conservation, restoration, protection and sustainable management begin</w:t>
            </w:r>
          </w:p>
        </w:tc>
        <w:tc>
          <w:tcPr>
            <w:tcW w:w="4677" w:type="dxa"/>
          </w:tcPr>
          <w:p w14:paraId="1E34ECC8" w14:textId="77777777" w:rsidR="003246FC" w:rsidRPr="003A6336" w:rsidRDefault="003246FC" w:rsidP="009B4355">
            <w:pPr>
              <w:rPr>
                <w:rFonts w:ascii="Aptos" w:hAnsi="Aptos"/>
              </w:rPr>
            </w:pPr>
            <w:r w:rsidRPr="00ED330B">
              <w:t>3. MESURES MISES EN ŒUVRE : Début des actions de conservation, de restauration, de protection et de gestion durable</w:t>
            </w:r>
          </w:p>
        </w:tc>
      </w:tr>
      <w:tr w:rsidR="003246FC" w:rsidRPr="003A6336" w14:paraId="0780DD84" w14:textId="77777777" w:rsidTr="009B4355">
        <w:tc>
          <w:tcPr>
            <w:tcW w:w="4200" w:type="dxa"/>
          </w:tcPr>
          <w:p w14:paraId="310E2D8C" w14:textId="77777777" w:rsidR="003246FC" w:rsidRPr="003A6336" w:rsidRDefault="003246FC" w:rsidP="009B4355">
            <w:pPr>
              <w:rPr>
                <w:rFonts w:ascii="Aptos" w:hAnsi="Aptos"/>
              </w:rPr>
            </w:pPr>
            <w:r w:rsidRPr="003A6336">
              <w:rPr>
                <w:rFonts w:ascii="Aptos" w:eastAsia="Segoe UI" w:hAnsi="Aptos" w:cs="Segoe UI"/>
                <w:color w:val="0F1115"/>
              </w:rPr>
              <w:lastRenderedPageBreak/>
              <w:t>4. DELAYED RESPONSE Ecological processes and species respond slowly</w:t>
            </w:r>
          </w:p>
        </w:tc>
        <w:tc>
          <w:tcPr>
            <w:tcW w:w="4677" w:type="dxa"/>
          </w:tcPr>
          <w:p w14:paraId="07F61B45" w14:textId="77777777" w:rsidR="003246FC" w:rsidRPr="003A6336" w:rsidRDefault="003246FC" w:rsidP="009B4355">
            <w:pPr>
              <w:rPr>
                <w:rFonts w:ascii="Aptos" w:hAnsi="Aptos"/>
              </w:rPr>
            </w:pPr>
            <w:r w:rsidRPr="00ED330B">
              <w:t>4. RÉACTION RETARDÉE : Les processus écologiques et les espèces réagissent lentement</w:t>
            </w:r>
          </w:p>
        </w:tc>
      </w:tr>
      <w:tr w:rsidR="003246FC" w:rsidRPr="003A6336" w14:paraId="2603AE37" w14:textId="77777777" w:rsidTr="009B4355">
        <w:tc>
          <w:tcPr>
            <w:tcW w:w="4200" w:type="dxa"/>
          </w:tcPr>
          <w:p w14:paraId="75BED450" w14:textId="77777777" w:rsidR="003246FC" w:rsidRPr="003A6336" w:rsidRDefault="003246FC" w:rsidP="009B4355">
            <w:pPr>
              <w:rPr>
                <w:rFonts w:ascii="Aptos" w:hAnsi="Aptos"/>
              </w:rPr>
            </w:pPr>
            <w:r w:rsidRPr="003A6336">
              <w:rPr>
                <w:rFonts w:ascii="Aptos" w:eastAsia="Segoe UI" w:hAnsi="Aptos" w:cs="Segoe UI"/>
                <w:color w:val="0F1115"/>
              </w:rPr>
              <w:t>5. SLOW RECOVERY Recovery becomes detectable and builds over time</w:t>
            </w:r>
          </w:p>
        </w:tc>
        <w:tc>
          <w:tcPr>
            <w:tcW w:w="4677" w:type="dxa"/>
          </w:tcPr>
          <w:p w14:paraId="34E3E637" w14:textId="77777777" w:rsidR="003246FC" w:rsidRPr="003A6336" w:rsidRDefault="003246FC" w:rsidP="009B4355">
            <w:pPr>
              <w:rPr>
                <w:rFonts w:ascii="Aptos" w:hAnsi="Aptos"/>
              </w:rPr>
            </w:pPr>
            <w:r w:rsidRPr="00ED330B">
              <w:t>5. RÉTABLISSEMENT LENT : Le rétablissement devient perceptible et s</w:t>
            </w:r>
            <w:r>
              <w:t>’</w:t>
            </w:r>
            <w:r w:rsidRPr="00ED330B">
              <w:t>amplifie au fil du temps</w:t>
            </w:r>
          </w:p>
        </w:tc>
      </w:tr>
      <w:tr w:rsidR="003246FC" w:rsidRPr="003A6336" w14:paraId="63449F7C" w14:textId="77777777" w:rsidTr="009B4355">
        <w:tc>
          <w:tcPr>
            <w:tcW w:w="4200" w:type="dxa"/>
          </w:tcPr>
          <w:p w14:paraId="763F2C79" w14:textId="77777777" w:rsidR="003246FC" w:rsidRPr="003A6336" w:rsidRDefault="003246FC" w:rsidP="009B4355">
            <w:pPr>
              <w:rPr>
                <w:rFonts w:ascii="Aptos" w:hAnsi="Aptos"/>
              </w:rPr>
            </w:pPr>
            <w:r w:rsidRPr="003A6336">
              <w:rPr>
                <w:rFonts w:ascii="Aptos" w:eastAsia="Segoe UI" w:hAnsi="Aptos" w:cs="Segoe UI"/>
                <w:color w:val="0F1115"/>
              </w:rPr>
              <w:t>100% (reference level)</w:t>
            </w:r>
          </w:p>
        </w:tc>
        <w:tc>
          <w:tcPr>
            <w:tcW w:w="4677" w:type="dxa"/>
          </w:tcPr>
          <w:p w14:paraId="709A1C82" w14:textId="77777777" w:rsidR="003246FC" w:rsidRPr="003A6336" w:rsidRDefault="003246FC" w:rsidP="009B4355">
            <w:pPr>
              <w:rPr>
                <w:rFonts w:ascii="Aptos" w:hAnsi="Aptos"/>
              </w:rPr>
            </w:pPr>
            <w:r w:rsidRPr="00ED330B">
              <w:t>100 % (niveau de référence)</w:t>
            </w:r>
          </w:p>
        </w:tc>
      </w:tr>
      <w:tr w:rsidR="003246FC" w:rsidRPr="003A6336" w14:paraId="21A9A526" w14:textId="77777777" w:rsidTr="009B4355">
        <w:tc>
          <w:tcPr>
            <w:tcW w:w="4200" w:type="dxa"/>
          </w:tcPr>
          <w:p w14:paraId="5AA7466A" w14:textId="77777777" w:rsidR="003246FC" w:rsidRPr="003A6336" w:rsidRDefault="003246FC" w:rsidP="009B4355">
            <w:pPr>
              <w:rPr>
                <w:rFonts w:ascii="Aptos" w:hAnsi="Aptos"/>
              </w:rPr>
            </w:pPr>
            <w:r w:rsidRPr="003A6336">
              <w:rPr>
                <w:rFonts w:ascii="Aptos" w:eastAsia="Segoe UI" w:hAnsi="Aptos" w:cs="Segoe UI"/>
                <w:color w:val="0F1115"/>
              </w:rPr>
              <w:t>Biodiversity status (e.g. abundance, richness, ecosystem integrity)</w:t>
            </w:r>
          </w:p>
        </w:tc>
        <w:tc>
          <w:tcPr>
            <w:tcW w:w="4677" w:type="dxa"/>
          </w:tcPr>
          <w:p w14:paraId="5E453FB3" w14:textId="77777777" w:rsidR="003246FC" w:rsidRPr="003A6336" w:rsidRDefault="003246FC" w:rsidP="009B4355">
            <w:pPr>
              <w:rPr>
                <w:rFonts w:ascii="Aptos" w:hAnsi="Aptos"/>
              </w:rPr>
            </w:pPr>
            <w:r w:rsidRPr="00ED330B">
              <w:t>État de la biodiversité (par exemple : abondance, richesse, intégrité des écosystèmes)</w:t>
            </w:r>
          </w:p>
        </w:tc>
      </w:tr>
      <w:tr w:rsidR="003246FC" w:rsidRPr="003A6336" w14:paraId="1B857486" w14:textId="77777777" w:rsidTr="009B4355">
        <w:tc>
          <w:tcPr>
            <w:tcW w:w="4200" w:type="dxa"/>
          </w:tcPr>
          <w:p w14:paraId="04316499" w14:textId="77777777" w:rsidR="003246FC" w:rsidRPr="003A6336" w:rsidRDefault="003246FC" w:rsidP="009B4355">
            <w:pPr>
              <w:rPr>
                <w:rFonts w:ascii="Aptos" w:hAnsi="Aptos"/>
              </w:rPr>
            </w:pPr>
            <w:r w:rsidRPr="003A6336">
              <w:rPr>
                <w:rFonts w:ascii="Aptos" w:eastAsia="Segoe UI" w:hAnsi="Aptos" w:cs="Segoe UI"/>
                <w:color w:val="0F1115"/>
              </w:rPr>
              <w:t>Potential recovery with continued action</w:t>
            </w:r>
          </w:p>
        </w:tc>
        <w:tc>
          <w:tcPr>
            <w:tcW w:w="4677" w:type="dxa"/>
          </w:tcPr>
          <w:p w14:paraId="75ECE120" w14:textId="77777777" w:rsidR="003246FC" w:rsidRPr="003A6336" w:rsidRDefault="003246FC" w:rsidP="009B4355">
            <w:pPr>
              <w:rPr>
                <w:rFonts w:ascii="Aptos" w:hAnsi="Aptos"/>
              </w:rPr>
            </w:pPr>
            <w:r w:rsidRPr="00ED330B">
              <w:t>Rétablissement potentiel grâce à la poursuite des actions</w:t>
            </w:r>
          </w:p>
        </w:tc>
      </w:tr>
      <w:tr w:rsidR="003246FC" w:rsidRPr="003A6336" w14:paraId="6BA1A0CA" w14:textId="77777777" w:rsidTr="009B4355">
        <w:tc>
          <w:tcPr>
            <w:tcW w:w="4200" w:type="dxa"/>
          </w:tcPr>
          <w:p w14:paraId="69D401BC" w14:textId="77777777" w:rsidR="003246FC" w:rsidRPr="003A6336" w:rsidRDefault="003246FC" w:rsidP="009B4355">
            <w:pPr>
              <w:rPr>
                <w:rFonts w:ascii="Aptos" w:hAnsi="Aptos"/>
              </w:rPr>
            </w:pPr>
            <w:r w:rsidRPr="003A6336">
              <w:rPr>
                <w:rFonts w:ascii="Aptos" w:eastAsia="Segoe UI" w:hAnsi="Aptos" w:cs="Segoe UI"/>
                <w:color w:val="0F1115"/>
              </w:rPr>
              <w:t>Observed recovery (typically slow)</w:t>
            </w:r>
          </w:p>
        </w:tc>
        <w:tc>
          <w:tcPr>
            <w:tcW w:w="4677" w:type="dxa"/>
          </w:tcPr>
          <w:p w14:paraId="055366F6" w14:textId="77777777" w:rsidR="003246FC" w:rsidRPr="003A6336" w:rsidRDefault="003246FC" w:rsidP="009B4355">
            <w:pPr>
              <w:rPr>
                <w:rFonts w:ascii="Aptos" w:hAnsi="Aptos"/>
              </w:rPr>
            </w:pPr>
            <w:r w:rsidRPr="00ED330B">
              <w:t>Rétablissement observé (généralement lent)</w:t>
            </w:r>
          </w:p>
        </w:tc>
      </w:tr>
      <w:tr w:rsidR="003246FC" w:rsidRPr="003A6336" w14:paraId="16363B18" w14:textId="77777777" w:rsidTr="009B4355">
        <w:tc>
          <w:tcPr>
            <w:tcW w:w="4200" w:type="dxa"/>
          </w:tcPr>
          <w:p w14:paraId="32A252C7" w14:textId="77777777" w:rsidR="003246FC" w:rsidRPr="003A6336" w:rsidRDefault="003246FC" w:rsidP="009B4355">
            <w:pPr>
              <w:rPr>
                <w:rFonts w:ascii="Aptos" w:hAnsi="Aptos"/>
              </w:rPr>
            </w:pPr>
            <w:r w:rsidRPr="003A6336">
              <w:rPr>
                <w:rFonts w:ascii="Aptos" w:eastAsia="Segoe UI" w:hAnsi="Aptos" w:cs="Segoe UI"/>
                <w:color w:val="0F1115"/>
              </w:rPr>
              <w:t>Time lags in ecological responses (extinction debt, recovery debt)</w:t>
            </w:r>
          </w:p>
        </w:tc>
        <w:tc>
          <w:tcPr>
            <w:tcW w:w="4677" w:type="dxa"/>
          </w:tcPr>
          <w:p w14:paraId="184E7DA1" w14:textId="77777777" w:rsidR="003246FC" w:rsidRPr="003A6336" w:rsidRDefault="003246FC" w:rsidP="009B4355">
            <w:pPr>
              <w:rPr>
                <w:rFonts w:ascii="Aptos" w:hAnsi="Aptos"/>
              </w:rPr>
            </w:pPr>
            <w:r w:rsidRPr="00ED330B">
              <w:t>Décalages temporels dans les réponses écologiques (dette d</w:t>
            </w:r>
            <w:r>
              <w:t>’</w:t>
            </w:r>
            <w:r w:rsidRPr="00ED330B">
              <w:t>extinction, dette de rétablissement)</w:t>
            </w:r>
          </w:p>
        </w:tc>
      </w:tr>
      <w:tr w:rsidR="003246FC" w:rsidRPr="003A6336" w14:paraId="25FE8F5B" w14:textId="77777777" w:rsidTr="009B4355">
        <w:tc>
          <w:tcPr>
            <w:tcW w:w="4200" w:type="dxa"/>
          </w:tcPr>
          <w:p w14:paraId="3985C4A3" w14:textId="77777777" w:rsidR="003246FC" w:rsidRPr="003A6336" w:rsidRDefault="003246FC" w:rsidP="009B4355">
            <w:pPr>
              <w:rPr>
                <w:rFonts w:ascii="Aptos" w:hAnsi="Aptos"/>
              </w:rPr>
            </w:pPr>
            <w:r w:rsidRPr="003A6336">
              <w:rPr>
                <w:rFonts w:ascii="Aptos" w:eastAsia="Segoe UI" w:hAnsi="Aptos" w:cs="Segoe UI"/>
                <w:color w:val="0F1115"/>
              </w:rPr>
              <w:t>Biodiversity loss occurs over years to decades Often not immediately recognized</w:t>
            </w:r>
          </w:p>
        </w:tc>
        <w:tc>
          <w:tcPr>
            <w:tcW w:w="4677" w:type="dxa"/>
          </w:tcPr>
          <w:p w14:paraId="5BD56E8A" w14:textId="77777777" w:rsidR="003246FC" w:rsidRPr="003A6336" w:rsidRDefault="003246FC" w:rsidP="009B4355">
            <w:pPr>
              <w:rPr>
                <w:rFonts w:ascii="Aptos" w:hAnsi="Aptos"/>
              </w:rPr>
            </w:pPr>
            <w:r w:rsidRPr="00ED330B">
              <w:t>La perte de biodiversité s</w:t>
            </w:r>
            <w:r>
              <w:t>’</w:t>
            </w:r>
            <w:r w:rsidRPr="00ED330B">
              <w:t>étend sur des années, voire des décennies. Elle n</w:t>
            </w:r>
            <w:r>
              <w:t>’</w:t>
            </w:r>
            <w:r w:rsidRPr="00ED330B">
              <w:t>est souvent pas immédiatement reconnue</w:t>
            </w:r>
          </w:p>
        </w:tc>
      </w:tr>
      <w:tr w:rsidR="003246FC" w:rsidRPr="003A6336" w14:paraId="63F3E881" w14:textId="77777777" w:rsidTr="009B4355">
        <w:tc>
          <w:tcPr>
            <w:tcW w:w="4200" w:type="dxa"/>
          </w:tcPr>
          <w:p w14:paraId="31CE6D20" w14:textId="77777777" w:rsidR="003246FC" w:rsidRPr="003A6336" w:rsidRDefault="003246FC" w:rsidP="009B4355">
            <w:pPr>
              <w:rPr>
                <w:rFonts w:ascii="Aptos" w:hAnsi="Aptos"/>
              </w:rPr>
            </w:pPr>
            <w:r w:rsidRPr="003A6336">
              <w:rPr>
                <w:rFonts w:ascii="Aptos" w:eastAsia="Segoe UI" w:hAnsi="Aptos" w:cs="Segoe UI"/>
                <w:color w:val="0F1115"/>
              </w:rPr>
              <w:t>0-10 years Loss continues; signals emerge</w:t>
            </w:r>
          </w:p>
        </w:tc>
        <w:tc>
          <w:tcPr>
            <w:tcW w:w="4677" w:type="dxa"/>
          </w:tcPr>
          <w:p w14:paraId="573D4103" w14:textId="77777777" w:rsidR="003246FC" w:rsidRPr="003A6336" w:rsidRDefault="003246FC" w:rsidP="009B4355">
            <w:pPr>
              <w:rPr>
                <w:rFonts w:ascii="Aptos" w:hAnsi="Aptos"/>
              </w:rPr>
            </w:pPr>
            <w:r w:rsidRPr="00ED330B">
              <w:t>0 à 10 ans : la perte se poursuit ; des signes apparaissent</w:t>
            </w:r>
          </w:p>
        </w:tc>
      </w:tr>
      <w:tr w:rsidR="003246FC" w:rsidRPr="003A6336" w14:paraId="1132C966" w14:textId="77777777" w:rsidTr="009B4355">
        <w:tc>
          <w:tcPr>
            <w:tcW w:w="4200" w:type="dxa"/>
          </w:tcPr>
          <w:p w14:paraId="1F2B8398" w14:textId="77777777" w:rsidR="003246FC" w:rsidRPr="003A6336" w:rsidRDefault="003246FC" w:rsidP="009B4355">
            <w:pPr>
              <w:rPr>
                <w:rFonts w:ascii="Aptos" w:hAnsi="Aptos"/>
              </w:rPr>
            </w:pPr>
            <w:r w:rsidRPr="003A6336">
              <w:rPr>
                <w:rFonts w:ascii="Aptos" w:eastAsia="Segoe UI" w:hAnsi="Aptos" w:cs="Segoe UI"/>
                <w:color w:val="0F1115"/>
              </w:rPr>
              <w:t>Benefits take time to materialize Species recolonization, population growth, habitat and ecosystem processes recovery</w:t>
            </w:r>
          </w:p>
        </w:tc>
        <w:tc>
          <w:tcPr>
            <w:tcW w:w="4677" w:type="dxa"/>
          </w:tcPr>
          <w:p w14:paraId="636412D1" w14:textId="77777777" w:rsidR="003246FC" w:rsidRPr="003A6336" w:rsidRDefault="003246FC" w:rsidP="009B4355">
            <w:pPr>
              <w:rPr>
                <w:rFonts w:ascii="Aptos" w:hAnsi="Aptos"/>
              </w:rPr>
            </w:pPr>
            <w:r w:rsidRPr="00ED330B">
              <w:t>Les avantages prennent du temps à se concrétiser : recolonisation des espèces, croissance des populations, rétablissement des habitats et des processus écosystémiques</w:t>
            </w:r>
          </w:p>
        </w:tc>
      </w:tr>
      <w:tr w:rsidR="003246FC" w:rsidRPr="003A6336" w14:paraId="2AD1FD8E" w14:textId="77777777" w:rsidTr="009B4355">
        <w:tc>
          <w:tcPr>
            <w:tcW w:w="4200" w:type="dxa"/>
          </w:tcPr>
          <w:p w14:paraId="64650FFD" w14:textId="77777777" w:rsidR="003246FC" w:rsidRPr="003A6336" w:rsidRDefault="003246FC" w:rsidP="009B4355">
            <w:pPr>
              <w:rPr>
                <w:rFonts w:ascii="Aptos" w:hAnsi="Aptos"/>
              </w:rPr>
            </w:pPr>
            <w:r w:rsidRPr="003A6336">
              <w:rPr>
                <w:rFonts w:ascii="Aptos" w:eastAsia="Segoe UI" w:hAnsi="Aptos" w:cs="Segoe UI"/>
                <w:color w:val="0F1115"/>
              </w:rPr>
              <w:t>5-15+ years Before clear ecological responses are detectable</w:t>
            </w:r>
          </w:p>
        </w:tc>
        <w:tc>
          <w:tcPr>
            <w:tcW w:w="4677" w:type="dxa"/>
          </w:tcPr>
          <w:p w14:paraId="1423571F" w14:textId="77777777" w:rsidR="003246FC" w:rsidRPr="003A6336" w:rsidRDefault="003246FC" w:rsidP="009B4355">
            <w:pPr>
              <w:rPr>
                <w:rFonts w:ascii="Aptos" w:hAnsi="Aptos"/>
              </w:rPr>
            </w:pPr>
            <w:r w:rsidRPr="00ED330B">
              <w:t>5 à 15 ans ou plus Avant que des réponses écologiques claires ne soient détectables</w:t>
            </w:r>
          </w:p>
        </w:tc>
      </w:tr>
      <w:tr w:rsidR="003246FC" w:rsidRPr="003A6336" w14:paraId="2386B0DB" w14:textId="77777777" w:rsidTr="009B4355">
        <w:tc>
          <w:tcPr>
            <w:tcW w:w="4200" w:type="dxa"/>
          </w:tcPr>
          <w:p w14:paraId="54F8FA64" w14:textId="77777777" w:rsidR="003246FC" w:rsidRPr="003A6336" w:rsidRDefault="003246FC" w:rsidP="009B4355">
            <w:pPr>
              <w:rPr>
                <w:rFonts w:ascii="Aptos" w:hAnsi="Aptos"/>
              </w:rPr>
            </w:pPr>
            <w:r w:rsidRPr="003A6336">
              <w:rPr>
                <w:rFonts w:ascii="Aptos" w:eastAsia="Segoe UI" w:hAnsi="Aptos" w:cs="Segoe UI"/>
                <w:color w:val="0F1115"/>
              </w:rPr>
              <w:t>Because ecological recovery and monitoring take time, it is typically 5-10 years (or more) before we can confidently assess whether we are on track to bend the curve.</w:t>
            </w:r>
          </w:p>
        </w:tc>
        <w:tc>
          <w:tcPr>
            <w:tcW w:w="4677" w:type="dxa"/>
          </w:tcPr>
          <w:p w14:paraId="6EAAA4F1" w14:textId="77777777" w:rsidR="003246FC" w:rsidRPr="003A6336" w:rsidRDefault="003246FC" w:rsidP="009B4355">
            <w:pPr>
              <w:rPr>
                <w:rFonts w:ascii="Aptos" w:hAnsi="Aptos"/>
              </w:rPr>
            </w:pPr>
            <w:r w:rsidRPr="00ED330B">
              <w:t>Comme le rétablissement écologique et le suivi prennent du temps, il faut généralement compter entre 5 et 10 ans (voire plus) avant de pouvoir évaluer avec certitude si l</w:t>
            </w:r>
            <w:r>
              <w:t>’</w:t>
            </w:r>
            <w:r w:rsidRPr="00ED330B">
              <w:t>on est en bonne voie pour inverser la tendance.</w:t>
            </w:r>
          </w:p>
        </w:tc>
      </w:tr>
      <w:tr w:rsidR="003246FC" w:rsidRPr="003A6336" w14:paraId="177323D5" w14:textId="77777777" w:rsidTr="009B4355">
        <w:tc>
          <w:tcPr>
            <w:tcW w:w="4200" w:type="dxa"/>
          </w:tcPr>
          <w:p w14:paraId="013B8C6B" w14:textId="77777777" w:rsidR="003246FC" w:rsidRPr="003A6336" w:rsidRDefault="003246FC" w:rsidP="009B4355">
            <w:pPr>
              <w:rPr>
                <w:rFonts w:ascii="Aptos" w:hAnsi="Aptos"/>
              </w:rPr>
            </w:pPr>
            <w:r w:rsidRPr="003A6336">
              <w:rPr>
                <w:rFonts w:ascii="Aptos" w:eastAsia="Segoe UI" w:hAnsi="Aptos" w:cs="Segoe UI"/>
                <w:color w:val="0F1115"/>
              </w:rPr>
              <w:t>It takes time to detect, assess and plan effective action Data gathering, research, consultation, prioritization and planning</w:t>
            </w:r>
          </w:p>
        </w:tc>
        <w:tc>
          <w:tcPr>
            <w:tcW w:w="4677" w:type="dxa"/>
          </w:tcPr>
          <w:p w14:paraId="64868397" w14:textId="77777777" w:rsidR="003246FC" w:rsidRPr="003A6336" w:rsidRDefault="003246FC" w:rsidP="009B4355">
            <w:pPr>
              <w:rPr>
                <w:rFonts w:ascii="Aptos" w:hAnsi="Aptos"/>
              </w:rPr>
            </w:pPr>
            <w:r w:rsidRPr="00ED330B">
              <w:t>Il faut du temps pour détecter, évaluer et planifier des actions efficaces : collecte de données, recherche, consultation, hiérarchisation des priorités et planification</w:t>
            </w:r>
          </w:p>
        </w:tc>
      </w:tr>
      <w:tr w:rsidR="003246FC" w:rsidRPr="003A6336" w14:paraId="252EBE6B" w14:textId="77777777" w:rsidTr="009B4355">
        <w:tc>
          <w:tcPr>
            <w:tcW w:w="4200" w:type="dxa"/>
          </w:tcPr>
          <w:p w14:paraId="37325781" w14:textId="77777777" w:rsidR="003246FC" w:rsidRPr="003A6336" w:rsidRDefault="003246FC" w:rsidP="009B4355">
            <w:pPr>
              <w:rPr>
                <w:rFonts w:ascii="Aptos" w:hAnsi="Aptos"/>
              </w:rPr>
            </w:pPr>
            <w:r w:rsidRPr="003A6336">
              <w:rPr>
                <w:rFonts w:ascii="Aptos" w:eastAsia="Segoe UI" w:hAnsi="Aptos" w:cs="Segoe UI"/>
                <w:color w:val="0F1115"/>
              </w:rPr>
              <w:t>2–5 years From issue recognition to action planning</w:t>
            </w:r>
          </w:p>
        </w:tc>
        <w:tc>
          <w:tcPr>
            <w:tcW w:w="4677" w:type="dxa"/>
          </w:tcPr>
          <w:p w14:paraId="2153C163" w14:textId="77777777" w:rsidR="003246FC" w:rsidRPr="003A6336" w:rsidRDefault="003246FC" w:rsidP="009B4355">
            <w:pPr>
              <w:rPr>
                <w:rFonts w:ascii="Aptos" w:hAnsi="Aptos"/>
              </w:rPr>
            </w:pPr>
            <w:r w:rsidRPr="00ED330B">
              <w:t>2 à 5 ans De la prise de conscience du problème à la planification des actions</w:t>
            </w:r>
          </w:p>
        </w:tc>
      </w:tr>
      <w:tr w:rsidR="003246FC" w:rsidRPr="003A6336" w14:paraId="1CA604B2" w14:textId="77777777" w:rsidTr="009B4355">
        <w:tc>
          <w:tcPr>
            <w:tcW w:w="4200" w:type="dxa"/>
          </w:tcPr>
          <w:p w14:paraId="0D4BE557" w14:textId="77777777" w:rsidR="003246FC" w:rsidRPr="003A6336" w:rsidRDefault="003246FC" w:rsidP="009B4355">
            <w:pPr>
              <w:rPr>
                <w:rFonts w:ascii="Aptos" w:hAnsi="Aptos"/>
              </w:rPr>
            </w:pPr>
            <w:r w:rsidRPr="003A6336">
              <w:rPr>
                <w:rFonts w:ascii="Aptos" w:eastAsia="Segoe UI" w:hAnsi="Aptos" w:cs="Segoe UI"/>
                <w:color w:val="0F1115"/>
              </w:rPr>
              <w:lastRenderedPageBreak/>
              <w:t>Actions are implemented Policies, protection, restoration, management: changes on the ground</w:t>
            </w:r>
          </w:p>
        </w:tc>
        <w:tc>
          <w:tcPr>
            <w:tcW w:w="4677" w:type="dxa"/>
          </w:tcPr>
          <w:p w14:paraId="33AA059C" w14:textId="77777777" w:rsidR="003246FC" w:rsidRPr="003A6336" w:rsidRDefault="003246FC" w:rsidP="009B4355">
            <w:pPr>
              <w:rPr>
                <w:rFonts w:ascii="Aptos" w:hAnsi="Aptos"/>
              </w:rPr>
            </w:pPr>
            <w:r w:rsidRPr="00ED330B">
              <w:t>Les actions sont mises en œuvre Politiques, protection, restauration, gestion : changements sur le terrain</w:t>
            </w:r>
          </w:p>
        </w:tc>
      </w:tr>
      <w:tr w:rsidR="003246FC" w:rsidRPr="003A6336" w14:paraId="13424AB6" w14:textId="77777777" w:rsidTr="009B4355">
        <w:tc>
          <w:tcPr>
            <w:tcW w:w="4200" w:type="dxa"/>
          </w:tcPr>
          <w:p w14:paraId="280EDE08" w14:textId="77777777" w:rsidR="003246FC" w:rsidRPr="003A6336" w:rsidRDefault="003246FC" w:rsidP="009B4355">
            <w:pPr>
              <w:rPr>
                <w:rFonts w:ascii="Aptos" w:hAnsi="Aptos"/>
              </w:rPr>
            </w:pPr>
            <w:r w:rsidRPr="003A6336">
              <w:rPr>
                <w:rFonts w:ascii="Aptos" w:eastAsia="Segoe UI" w:hAnsi="Aptos" w:cs="Segoe UI"/>
                <w:color w:val="0F1115"/>
              </w:rPr>
              <w:t>3-8 years From decision to implementation at scale</w:t>
            </w:r>
          </w:p>
        </w:tc>
        <w:tc>
          <w:tcPr>
            <w:tcW w:w="4677" w:type="dxa"/>
          </w:tcPr>
          <w:p w14:paraId="5D68A9AD" w14:textId="77777777" w:rsidR="003246FC" w:rsidRPr="003A6336" w:rsidRDefault="003246FC" w:rsidP="009B4355">
            <w:pPr>
              <w:rPr>
                <w:rFonts w:ascii="Aptos" w:hAnsi="Aptos"/>
              </w:rPr>
            </w:pPr>
            <w:r w:rsidRPr="00ED330B">
              <w:t xml:space="preserve">3 à 8 ans </w:t>
            </w:r>
            <w:r>
              <w:t>d</w:t>
            </w:r>
            <w:r w:rsidRPr="00ED330B">
              <w:t>e la décision à la mise en œuvre à grande échelle</w:t>
            </w:r>
          </w:p>
        </w:tc>
      </w:tr>
      <w:tr w:rsidR="003246FC" w:rsidRPr="003A6336" w14:paraId="7F0CF404" w14:textId="77777777" w:rsidTr="009B4355">
        <w:tc>
          <w:tcPr>
            <w:tcW w:w="4200" w:type="dxa"/>
          </w:tcPr>
          <w:p w14:paraId="7138DB11" w14:textId="77777777" w:rsidR="003246FC" w:rsidRPr="003A6336" w:rsidRDefault="003246FC" w:rsidP="009B4355">
            <w:pPr>
              <w:rPr>
                <w:rFonts w:ascii="Aptos" w:hAnsi="Aptos"/>
              </w:rPr>
            </w:pPr>
            <w:r w:rsidRPr="003A6336">
              <w:rPr>
                <w:rFonts w:ascii="Aptos" w:eastAsia="Segoe UI" w:hAnsi="Aptos" w:cs="Segoe UI"/>
                <w:color w:val="0F1115"/>
              </w:rPr>
              <w:t>Slow but positive recovery over the long term Recovery may take decades and may be incomplete</w:t>
            </w:r>
          </w:p>
        </w:tc>
        <w:tc>
          <w:tcPr>
            <w:tcW w:w="4677" w:type="dxa"/>
          </w:tcPr>
          <w:p w14:paraId="2D3908CC" w14:textId="77777777" w:rsidR="003246FC" w:rsidRDefault="003246FC" w:rsidP="009B4355">
            <w:r w:rsidRPr="00ED330B">
              <w:t xml:space="preserve">Rétablissement lent mais positif à long terme </w:t>
            </w:r>
          </w:p>
          <w:p w14:paraId="00134A10" w14:textId="77777777" w:rsidR="003246FC" w:rsidRPr="003A6336" w:rsidRDefault="003246FC" w:rsidP="009B4355">
            <w:pPr>
              <w:rPr>
                <w:rFonts w:ascii="Aptos" w:hAnsi="Aptos"/>
              </w:rPr>
            </w:pPr>
            <w:r w:rsidRPr="00ED330B">
              <w:t>Le rétablissement peut prendre des décennies et peut être incomplet</w:t>
            </w:r>
          </w:p>
        </w:tc>
      </w:tr>
      <w:tr w:rsidR="003246FC" w:rsidRPr="003A6336" w14:paraId="62AC534F" w14:textId="77777777" w:rsidTr="009B4355">
        <w:tc>
          <w:tcPr>
            <w:tcW w:w="4200" w:type="dxa"/>
          </w:tcPr>
          <w:p w14:paraId="2EFA441A" w14:textId="77777777" w:rsidR="003246FC" w:rsidRPr="003A6336" w:rsidRDefault="003246FC" w:rsidP="009B4355">
            <w:pPr>
              <w:rPr>
                <w:rFonts w:ascii="Aptos" w:hAnsi="Aptos"/>
              </w:rPr>
            </w:pPr>
            <w:r w:rsidRPr="003A6336">
              <w:rPr>
                <w:rFonts w:ascii="Aptos" w:eastAsia="Segoe UI" w:hAnsi="Aptos" w:cs="Segoe UI"/>
                <w:color w:val="0F1115"/>
              </w:rPr>
              <w:t>10+ years and beyond Recovery continues; long-term monitoring needed</w:t>
            </w:r>
          </w:p>
        </w:tc>
        <w:tc>
          <w:tcPr>
            <w:tcW w:w="4677" w:type="dxa"/>
          </w:tcPr>
          <w:p w14:paraId="52136A4B" w14:textId="77777777" w:rsidR="003246FC" w:rsidRDefault="003246FC" w:rsidP="009B4355">
            <w:r w:rsidRPr="00ED330B">
              <w:t xml:space="preserve">10 ans et plus </w:t>
            </w:r>
          </w:p>
          <w:p w14:paraId="4DE198B6" w14:textId="77777777" w:rsidR="003246FC" w:rsidRPr="003A6336" w:rsidRDefault="003246FC" w:rsidP="009B4355">
            <w:pPr>
              <w:rPr>
                <w:rFonts w:ascii="Aptos" w:hAnsi="Aptos"/>
              </w:rPr>
            </w:pPr>
            <w:r w:rsidRPr="00ED330B">
              <w:t>Le rétablissement se poursuit ; un suivi à long terme est nécessaire</w:t>
            </w:r>
          </w:p>
        </w:tc>
      </w:tr>
      <w:tr w:rsidR="003246FC" w:rsidRPr="003A6336" w14:paraId="16B5EED1" w14:textId="77777777" w:rsidTr="009B4355">
        <w:tc>
          <w:tcPr>
            <w:tcW w:w="4200" w:type="dxa"/>
          </w:tcPr>
          <w:p w14:paraId="0804EBB3" w14:textId="77777777" w:rsidR="003246FC" w:rsidRPr="003A6336" w:rsidRDefault="003246FC" w:rsidP="009B4355">
            <w:pPr>
              <w:rPr>
                <w:rFonts w:ascii="Aptos" w:hAnsi="Aptos"/>
              </w:rPr>
            </w:pPr>
            <w:r w:rsidRPr="003A6336">
              <w:rPr>
                <w:rFonts w:ascii="Aptos" w:eastAsia="Segoe UI" w:hAnsi="Aptos" w:cs="Segoe UI"/>
                <w:color w:val="0F1115"/>
              </w:rPr>
              <w:t>Time (years)</w:t>
            </w:r>
          </w:p>
        </w:tc>
        <w:tc>
          <w:tcPr>
            <w:tcW w:w="4677" w:type="dxa"/>
          </w:tcPr>
          <w:p w14:paraId="3FD2D804" w14:textId="77777777" w:rsidR="003246FC" w:rsidRPr="003A6336" w:rsidRDefault="003246FC" w:rsidP="009B4355">
            <w:pPr>
              <w:rPr>
                <w:rFonts w:ascii="Aptos" w:hAnsi="Aptos"/>
              </w:rPr>
            </w:pPr>
            <w:r w:rsidRPr="00ED330B">
              <w:t>Durée (en années)</w:t>
            </w:r>
          </w:p>
        </w:tc>
      </w:tr>
    </w:tbl>
    <w:p w14:paraId="1BAC9230" w14:textId="39C3C1CD" w:rsidR="00D55A7F" w:rsidRPr="00653BF4" w:rsidRDefault="00D55A7F" w:rsidP="005901D1">
      <w:pPr>
        <w:rPr>
          <w:lang w:val="fr-FR"/>
        </w:rPr>
      </w:pPr>
    </w:p>
    <w:p w14:paraId="180058EB" w14:textId="1A269D7D" w:rsidR="003A391F" w:rsidRPr="00653BF4" w:rsidRDefault="00A03824" w:rsidP="003A391F">
      <w:pPr>
        <w:rPr>
          <w:lang w:val="fr-FR"/>
        </w:rPr>
      </w:pPr>
      <w:r w:rsidRPr="00653BF4">
        <w:rPr>
          <w:lang w:val="fr-FR"/>
        </w:rPr>
        <w:t xml:space="preserve">Pour les raisons évoquées ci-dessus, il est </w:t>
      </w:r>
      <w:r w:rsidR="0009451A">
        <w:rPr>
          <w:lang w:val="fr-FR"/>
        </w:rPr>
        <w:t xml:space="preserve">encore </w:t>
      </w:r>
      <w:r w:rsidRPr="00653BF4">
        <w:rPr>
          <w:lang w:val="fr-FR"/>
        </w:rPr>
        <w:t>trop tôt pour évaluer</w:t>
      </w:r>
      <w:r w:rsidR="0052035D">
        <w:rPr>
          <w:lang w:val="fr-FR"/>
        </w:rPr>
        <w:t xml:space="preserve"> à l’aide du</w:t>
      </w:r>
      <w:r w:rsidRPr="00653BF4">
        <w:rPr>
          <w:lang w:val="fr-FR"/>
        </w:rPr>
        <w:t xml:space="preserve"> rapport mondial les progrès accomplis </w:t>
      </w:r>
      <w:r w:rsidR="00F14C5E">
        <w:rPr>
          <w:lang w:val="fr-FR"/>
        </w:rPr>
        <w:t>dans</w:t>
      </w:r>
      <w:r w:rsidRPr="00653BF4">
        <w:rPr>
          <w:lang w:val="fr-FR"/>
        </w:rPr>
        <w:t xml:space="preserve"> la réalisation des résultats en matière de biodiversité décrits dans les objectifs du Cadre </w:t>
      </w:r>
      <w:r w:rsidR="00C96F9C">
        <w:rPr>
          <w:lang w:val="fr-FR"/>
        </w:rPr>
        <w:t>à l’horizon</w:t>
      </w:r>
      <w:r w:rsidRPr="00653BF4">
        <w:rPr>
          <w:lang w:val="fr-FR"/>
        </w:rPr>
        <w:t xml:space="preserve"> 2050 et </w:t>
      </w:r>
      <w:r w:rsidR="00EC135A">
        <w:rPr>
          <w:lang w:val="fr-FR"/>
        </w:rPr>
        <w:t>pour</w:t>
      </w:r>
      <w:r w:rsidRPr="00653BF4">
        <w:rPr>
          <w:lang w:val="fr-FR"/>
        </w:rPr>
        <w:t xml:space="preserve"> certaines des cibles (voir </w:t>
      </w:r>
      <w:r w:rsidR="004339B7">
        <w:rPr>
          <w:lang w:val="fr-FR"/>
        </w:rPr>
        <w:t>l’</w:t>
      </w:r>
      <w:r w:rsidRPr="00653BF4">
        <w:rPr>
          <w:lang w:val="fr-FR"/>
        </w:rPr>
        <w:t>encadré 4). Dans la mesure où les indicateurs disponibles le permettent, le rapport rend compte des progrès accomplis vers la réalisation des cibles axées sur l</w:t>
      </w:r>
      <w:r w:rsidR="002A58C8" w:rsidRPr="00653BF4">
        <w:rPr>
          <w:lang w:val="fr-FR"/>
        </w:rPr>
        <w:t>’</w:t>
      </w:r>
      <w:r w:rsidRPr="00653BF4">
        <w:rPr>
          <w:lang w:val="fr-FR"/>
        </w:rPr>
        <w:t xml:space="preserve">action pour 2030, dont la réalisation est nécessaire pour atteindre les objectifs (voir </w:t>
      </w:r>
      <w:r w:rsidR="002878D7">
        <w:rPr>
          <w:lang w:val="fr-FR"/>
        </w:rPr>
        <w:t>section I</w:t>
      </w:r>
      <w:r w:rsidRPr="00653BF4">
        <w:rPr>
          <w:lang w:val="fr-FR"/>
        </w:rPr>
        <w:t xml:space="preserve">I.B). Les liens entre les cibles et les objectifs, ainsi que certaines des implications des niveaux actuels de progrès, sont examinés dans la </w:t>
      </w:r>
      <w:r w:rsidR="002878D7">
        <w:rPr>
          <w:lang w:val="fr-FR"/>
        </w:rPr>
        <w:t>section I</w:t>
      </w:r>
      <w:r w:rsidRPr="00653BF4">
        <w:rPr>
          <w:lang w:val="fr-FR"/>
        </w:rPr>
        <w:t>I.C. Dans l</w:t>
      </w:r>
      <w:r w:rsidR="002A58C8" w:rsidRPr="00653BF4">
        <w:rPr>
          <w:lang w:val="fr-FR"/>
        </w:rPr>
        <w:t>’</w:t>
      </w:r>
      <w:r w:rsidRPr="00653BF4">
        <w:rPr>
          <w:lang w:val="fr-FR"/>
        </w:rPr>
        <w:t>ensemble, ce rapport contribue à établir une base de référence sur laquelle pourront s</w:t>
      </w:r>
      <w:r w:rsidR="002A58C8" w:rsidRPr="00653BF4">
        <w:rPr>
          <w:lang w:val="fr-FR"/>
        </w:rPr>
        <w:t>’</w:t>
      </w:r>
      <w:r w:rsidRPr="00653BF4">
        <w:rPr>
          <w:lang w:val="fr-FR"/>
        </w:rPr>
        <w:t xml:space="preserve">appuyer les progrès futurs vers la </w:t>
      </w:r>
      <w:r w:rsidR="001B0808" w:rsidRPr="00653BF4">
        <w:rPr>
          <w:lang w:val="fr-FR"/>
        </w:rPr>
        <w:t>vision pour 2050</w:t>
      </w:r>
      <w:r w:rsidRPr="00653BF4">
        <w:rPr>
          <w:lang w:val="fr-FR"/>
        </w:rPr>
        <w:t>.</w:t>
      </w:r>
    </w:p>
    <w:p w14:paraId="0EFD8AC2" w14:textId="5E348E11" w:rsidR="004A64EF" w:rsidRPr="00653BF4" w:rsidRDefault="00A459E1" w:rsidP="004A64EF">
      <w:pPr>
        <w:rPr>
          <w:lang w:val="fr-FR"/>
        </w:rPr>
      </w:pPr>
      <w:r w:rsidRPr="00653BF4">
        <w:rPr>
          <w:lang w:val="fr-FR"/>
        </w:rPr>
        <w:t>Dans l</w:t>
      </w:r>
      <w:r w:rsidR="002A58C8" w:rsidRPr="00653BF4">
        <w:rPr>
          <w:lang w:val="fr-FR"/>
        </w:rPr>
        <w:t>’</w:t>
      </w:r>
      <w:r w:rsidRPr="00653BF4">
        <w:rPr>
          <w:lang w:val="fr-FR"/>
        </w:rPr>
        <w:t>ensemble du rapport, et afin de tenir compte des lacunes et des biais des informations présentées, la présentation de l</w:t>
      </w:r>
      <w:r w:rsidR="002A58C8" w:rsidRPr="00653BF4">
        <w:rPr>
          <w:lang w:val="fr-FR"/>
        </w:rPr>
        <w:t>’</w:t>
      </w:r>
      <w:r w:rsidRPr="00653BF4">
        <w:rPr>
          <w:lang w:val="fr-FR"/>
        </w:rPr>
        <w:t>analyse est transparente en ce qui concerne la description du nombre de Parties ayant présenté des informations sur chaque cible et indicateur, ainsi que la représentation relative de chaque groupe régional d</w:t>
      </w:r>
      <w:r w:rsidR="002A58C8" w:rsidRPr="00653BF4">
        <w:rPr>
          <w:lang w:val="fr-FR"/>
        </w:rPr>
        <w:t>’</w:t>
      </w:r>
      <w:r w:rsidRPr="00653BF4">
        <w:rPr>
          <w:lang w:val="fr-FR"/>
        </w:rPr>
        <w:t>États membres des Nations Unies.</w:t>
      </w:r>
    </w:p>
    <w:p w14:paraId="1DD98063" w14:textId="36B52AAB" w:rsidR="00D43E94" w:rsidRPr="00653BF4" w:rsidRDefault="00F74511" w:rsidP="000922FA">
      <w:pPr>
        <w:pStyle w:val="Caption"/>
        <w:rPr>
          <w:lang w:val="fr-FR"/>
        </w:rPr>
      </w:pPr>
      <w:r w:rsidRPr="00653BF4">
        <w:rPr>
          <w:lang w:val="fr-FR"/>
        </w:rPr>
        <w:t xml:space="preserve"> </w:t>
      </w:r>
    </w:p>
    <w:p w14:paraId="3DD789EE" w14:textId="43D0980F" w:rsidR="00550E7A" w:rsidRPr="00653BF4" w:rsidRDefault="00550E7A" w:rsidP="00550E7A">
      <w:pPr>
        <w:pStyle w:val="Heading2"/>
        <w:rPr>
          <w:lang w:val="fr-FR"/>
        </w:rPr>
      </w:pPr>
      <w:bookmarkStart w:id="34" w:name="_Toc230133155"/>
      <w:bookmarkStart w:id="35" w:name="_Ref231039831"/>
      <w:bookmarkStart w:id="36" w:name="_Ref231039883"/>
      <w:bookmarkStart w:id="37" w:name="_Toc235821039"/>
      <w:bookmarkStart w:id="38" w:name="_Toc239069184"/>
      <w:bookmarkStart w:id="39" w:name="_Toc242801221"/>
      <w:r w:rsidRPr="00653BF4">
        <w:rPr>
          <w:lang w:val="fr-FR"/>
        </w:rPr>
        <w:t xml:space="preserve">I.B </w:t>
      </w:r>
      <w:bookmarkEnd w:id="34"/>
      <w:bookmarkEnd w:id="35"/>
      <w:bookmarkEnd w:id="36"/>
      <w:bookmarkEnd w:id="37"/>
      <w:bookmarkEnd w:id="38"/>
      <w:r w:rsidR="00BA30C9" w:rsidRPr="00653BF4">
        <w:rPr>
          <w:lang w:val="fr-FR"/>
        </w:rPr>
        <w:t>Situation et tendances mondiales</w:t>
      </w:r>
      <w:bookmarkEnd w:id="39"/>
      <w:r w:rsidRPr="00653BF4">
        <w:rPr>
          <w:lang w:val="fr-FR"/>
        </w:rPr>
        <w:t xml:space="preserve"> </w:t>
      </w:r>
    </w:p>
    <w:p w14:paraId="7CE6F351" w14:textId="272F1410" w:rsidR="00087457" w:rsidRPr="00653BF4" w:rsidRDefault="00A24317" w:rsidP="00087457">
      <w:pPr>
        <w:rPr>
          <w:lang w:val="fr-FR"/>
        </w:rPr>
      </w:pPr>
      <w:r w:rsidRPr="00653BF4">
        <w:rPr>
          <w:lang w:val="fr-FR"/>
        </w:rPr>
        <w:t>Dans le Rapport d</w:t>
      </w:r>
      <w:r w:rsidR="002A58C8" w:rsidRPr="00653BF4">
        <w:rPr>
          <w:lang w:val="fr-FR"/>
        </w:rPr>
        <w:t>’</w:t>
      </w:r>
      <w:r w:rsidRPr="00653BF4">
        <w:rPr>
          <w:lang w:val="fr-FR"/>
        </w:rPr>
        <w:t>évaluation mondial sur la biodiversité et les services écosystémiques de 2019 publié par la Plateforme intergouvernementale scientifique et politique sur la biodiversité et les services écosystémiques, il a été conclu que, malgré des décennies de politiques de conservation et de protection de l</w:t>
      </w:r>
      <w:r w:rsidR="002A58C8" w:rsidRPr="00653BF4">
        <w:rPr>
          <w:lang w:val="fr-FR"/>
        </w:rPr>
        <w:t>’</w:t>
      </w:r>
      <w:r w:rsidRPr="00653BF4">
        <w:rPr>
          <w:lang w:val="fr-FR"/>
        </w:rPr>
        <w:t>environnement, la nature et ses contributions aux populations avaient continué à se détériorer à l</w:t>
      </w:r>
      <w:r w:rsidR="002A58C8" w:rsidRPr="00653BF4">
        <w:rPr>
          <w:lang w:val="fr-FR"/>
        </w:rPr>
        <w:t>’</w:t>
      </w:r>
      <w:r w:rsidRPr="00653BF4">
        <w:rPr>
          <w:lang w:val="fr-FR"/>
        </w:rPr>
        <w:t>échelle mondiale (IPBES, 2019). Comme le reconnaît le Cadre, le rapport d</w:t>
      </w:r>
      <w:r w:rsidR="002A58C8" w:rsidRPr="00653BF4">
        <w:rPr>
          <w:lang w:val="fr-FR"/>
        </w:rPr>
        <w:t>’</w:t>
      </w:r>
      <w:r w:rsidRPr="00653BF4">
        <w:rPr>
          <w:lang w:val="fr-FR"/>
        </w:rPr>
        <w:t>évaluation mondial indiquait que</w:t>
      </w:r>
      <w:r w:rsidR="00E34DC9">
        <w:rPr>
          <w:lang w:val="fr-FR"/>
        </w:rPr>
        <w:t> :</w:t>
      </w:r>
    </w:p>
    <w:p w14:paraId="43115EB7" w14:textId="0209F058" w:rsidR="00087457" w:rsidRPr="00653BF4" w:rsidRDefault="00EE3E6A" w:rsidP="00087457">
      <w:pPr>
        <w:pStyle w:val="ListParagraph"/>
        <w:numPr>
          <w:ilvl w:val="0"/>
          <w:numId w:val="10"/>
        </w:numPr>
        <w:rPr>
          <w:lang w:val="fr-FR"/>
        </w:rPr>
      </w:pPr>
      <w:r w:rsidRPr="00653BF4">
        <w:rPr>
          <w:lang w:val="fr-FR"/>
        </w:rPr>
        <w:lastRenderedPageBreak/>
        <w:t>En moyenne, environ 25</w:t>
      </w:r>
      <w:r w:rsidR="002878D7">
        <w:rPr>
          <w:lang w:val="fr-FR"/>
        </w:rPr>
        <w:t> %</w:t>
      </w:r>
      <w:r w:rsidRPr="00653BF4">
        <w:rPr>
          <w:lang w:val="fr-FR"/>
        </w:rPr>
        <w:t xml:space="preserve"> des espèces des groupes d</w:t>
      </w:r>
      <w:r w:rsidR="002A58C8" w:rsidRPr="00653BF4">
        <w:rPr>
          <w:lang w:val="fr-FR"/>
        </w:rPr>
        <w:t>’</w:t>
      </w:r>
      <w:r w:rsidRPr="00653BF4">
        <w:rPr>
          <w:lang w:val="fr-FR"/>
        </w:rPr>
        <w:t>animaux et de plantes évalués sont menacées d</w:t>
      </w:r>
      <w:r w:rsidR="002A58C8" w:rsidRPr="00653BF4">
        <w:rPr>
          <w:lang w:val="fr-FR"/>
        </w:rPr>
        <w:t>’</w:t>
      </w:r>
      <w:r w:rsidRPr="00653BF4">
        <w:rPr>
          <w:lang w:val="fr-FR"/>
        </w:rPr>
        <w:t>extinction, ce qui laisse supposer qu</w:t>
      </w:r>
      <w:r w:rsidR="002A58C8" w:rsidRPr="00653BF4">
        <w:rPr>
          <w:lang w:val="fr-FR"/>
        </w:rPr>
        <w:t>’</w:t>
      </w:r>
      <w:r w:rsidRPr="00653BF4">
        <w:rPr>
          <w:lang w:val="fr-FR"/>
        </w:rPr>
        <w:t>environ un million d</w:t>
      </w:r>
      <w:r w:rsidR="002A58C8" w:rsidRPr="00653BF4">
        <w:rPr>
          <w:lang w:val="fr-FR"/>
        </w:rPr>
        <w:t>’</w:t>
      </w:r>
      <w:r w:rsidRPr="00653BF4">
        <w:rPr>
          <w:lang w:val="fr-FR"/>
        </w:rPr>
        <w:t>espèces sont déjà en voie d</w:t>
      </w:r>
      <w:r w:rsidR="002A58C8" w:rsidRPr="00653BF4">
        <w:rPr>
          <w:lang w:val="fr-FR"/>
        </w:rPr>
        <w:t>’</w:t>
      </w:r>
      <w:r w:rsidRPr="00653BF4">
        <w:rPr>
          <w:lang w:val="fr-FR"/>
        </w:rPr>
        <w:t>extinction, dont beaucoup d</w:t>
      </w:r>
      <w:r w:rsidR="002A58C8" w:rsidRPr="00653BF4">
        <w:rPr>
          <w:lang w:val="fr-FR"/>
        </w:rPr>
        <w:t>’</w:t>
      </w:r>
      <w:r w:rsidRPr="00653BF4">
        <w:rPr>
          <w:lang w:val="fr-FR"/>
        </w:rPr>
        <w:t>ici quelques décennies, à moins que des mesures ne soient prises pour atténuer l</w:t>
      </w:r>
      <w:r w:rsidR="002A58C8" w:rsidRPr="00653BF4">
        <w:rPr>
          <w:lang w:val="fr-FR"/>
        </w:rPr>
        <w:t>’</w:t>
      </w:r>
      <w:r w:rsidRPr="00653BF4">
        <w:rPr>
          <w:lang w:val="fr-FR"/>
        </w:rPr>
        <w:t>intensité des facteurs à l</w:t>
      </w:r>
      <w:r w:rsidR="002A58C8" w:rsidRPr="00653BF4">
        <w:rPr>
          <w:lang w:val="fr-FR"/>
        </w:rPr>
        <w:t>’</w:t>
      </w:r>
      <w:r w:rsidRPr="00653BF4">
        <w:rPr>
          <w:lang w:val="fr-FR"/>
        </w:rPr>
        <w:t>origine de la perte de biodiversité. En l</w:t>
      </w:r>
      <w:r w:rsidR="002A58C8" w:rsidRPr="00653BF4">
        <w:rPr>
          <w:lang w:val="fr-FR"/>
        </w:rPr>
        <w:t>’</w:t>
      </w:r>
      <w:r w:rsidRPr="00653BF4">
        <w:rPr>
          <w:lang w:val="fr-FR"/>
        </w:rPr>
        <w:t>absence de telles mesures, le rythme mondial d</w:t>
      </w:r>
      <w:r w:rsidR="002A58C8" w:rsidRPr="00653BF4">
        <w:rPr>
          <w:lang w:val="fr-FR"/>
        </w:rPr>
        <w:t>’</w:t>
      </w:r>
      <w:r w:rsidRPr="00653BF4">
        <w:rPr>
          <w:lang w:val="fr-FR"/>
        </w:rPr>
        <w:t>extinction des espèces, qui est déjà au moins dix à cent fois supérieur à la moyenne enregistrée au cours des dix derniers millions d</w:t>
      </w:r>
      <w:r w:rsidR="002A58C8" w:rsidRPr="00653BF4">
        <w:rPr>
          <w:lang w:val="fr-FR"/>
        </w:rPr>
        <w:t>’</w:t>
      </w:r>
      <w:r w:rsidRPr="00653BF4">
        <w:rPr>
          <w:lang w:val="fr-FR"/>
        </w:rPr>
        <w:t>années, connaîtra une nouvelle accélération.</w:t>
      </w:r>
    </w:p>
    <w:p w14:paraId="0C6B68BA" w14:textId="451D5133" w:rsidR="00087457" w:rsidRPr="00653BF4" w:rsidRDefault="00EE3E6A" w:rsidP="00087457">
      <w:pPr>
        <w:pStyle w:val="ListParagraph"/>
        <w:numPr>
          <w:ilvl w:val="0"/>
          <w:numId w:val="10"/>
        </w:numPr>
        <w:rPr>
          <w:lang w:val="fr-FR"/>
        </w:rPr>
      </w:pPr>
      <w:r w:rsidRPr="00653BF4">
        <w:rPr>
          <w:lang w:val="fr-FR"/>
        </w:rPr>
        <w:t>La biosphère, dont dépend l</w:t>
      </w:r>
      <w:r w:rsidR="002A58C8" w:rsidRPr="00653BF4">
        <w:rPr>
          <w:lang w:val="fr-FR"/>
        </w:rPr>
        <w:t>’</w:t>
      </w:r>
      <w:r w:rsidRPr="00653BF4">
        <w:rPr>
          <w:lang w:val="fr-FR"/>
        </w:rPr>
        <w:t>humanité, subit des modifications d</w:t>
      </w:r>
      <w:r w:rsidR="002A58C8" w:rsidRPr="00653BF4">
        <w:rPr>
          <w:lang w:val="fr-FR"/>
        </w:rPr>
        <w:t>’</w:t>
      </w:r>
      <w:r w:rsidRPr="00653BF4">
        <w:rPr>
          <w:lang w:val="fr-FR"/>
        </w:rPr>
        <w:t>une ampleur sans précédent à toutes les échelles spatiales. La biodiversité – c</w:t>
      </w:r>
      <w:r w:rsidR="002A58C8" w:rsidRPr="00653BF4">
        <w:rPr>
          <w:lang w:val="fr-FR"/>
        </w:rPr>
        <w:t>’</w:t>
      </w:r>
      <w:r w:rsidRPr="00653BF4">
        <w:rPr>
          <w:lang w:val="fr-FR"/>
        </w:rPr>
        <w:t>est-à-dire la diversité au sein des espèces, entre les espèces et au sein des écosystèmes – diminue plus rapidement qu</w:t>
      </w:r>
      <w:r w:rsidR="002A58C8" w:rsidRPr="00653BF4">
        <w:rPr>
          <w:lang w:val="fr-FR"/>
        </w:rPr>
        <w:t>’</w:t>
      </w:r>
      <w:r w:rsidRPr="00653BF4">
        <w:rPr>
          <w:lang w:val="fr-FR"/>
        </w:rPr>
        <w:t>à aucun autre moment de l</w:t>
      </w:r>
      <w:r w:rsidR="002A58C8" w:rsidRPr="00653BF4">
        <w:rPr>
          <w:lang w:val="fr-FR"/>
        </w:rPr>
        <w:t>’</w:t>
      </w:r>
      <w:r w:rsidRPr="00653BF4">
        <w:rPr>
          <w:lang w:val="fr-FR"/>
        </w:rPr>
        <w:t>histoire de l</w:t>
      </w:r>
      <w:r w:rsidR="002A58C8" w:rsidRPr="00653BF4">
        <w:rPr>
          <w:lang w:val="fr-FR"/>
        </w:rPr>
        <w:t>’</w:t>
      </w:r>
      <w:r w:rsidRPr="00653BF4">
        <w:rPr>
          <w:lang w:val="fr-FR"/>
        </w:rPr>
        <w:t>humanité</w:t>
      </w:r>
    </w:p>
    <w:p w14:paraId="0F9D5DAC" w14:textId="443583AA" w:rsidR="00087457" w:rsidRPr="00653BF4" w:rsidRDefault="00240510" w:rsidP="00087457">
      <w:pPr>
        <w:pStyle w:val="ListParagraph"/>
        <w:numPr>
          <w:ilvl w:val="0"/>
          <w:numId w:val="10"/>
        </w:numPr>
        <w:rPr>
          <w:lang w:val="fr-FR"/>
        </w:rPr>
      </w:pPr>
      <w:r w:rsidRPr="00653BF4">
        <w:rPr>
          <w:lang w:val="fr-FR"/>
        </w:rPr>
        <w:t>Il est possible de préserver, de restaurer et d</w:t>
      </w:r>
      <w:r w:rsidR="002A58C8" w:rsidRPr="00653BF4">
        <w:rPr>
          <w:lang w:val="fr-FR"/>
        </w:rPr>
        <w:t>’</w:t>
      </w:r>
      <w:r w:rsidRPr="00653BF4">
        <w:rPr>
          <w:lang w:val="fr-FR"/>
        </w:rPr>
        <w:t>exploiter la nature de manière durable tout en atteignant simultanément d</w:t>
      </w:r>
      <w:r w:rsidR="002A58C8" w:rsidRPr="00653BF4">
        <w:rPr>
          <w:lang w:val="fr-FR"/>
        </w:rPr>
        <w:t>’</w:t>
      </w:r>
      <w:r w:rsidRPr="00653BF4">
        <w:rPr>
          <w:lang w:val="fr-FR"/>
        </w:rPr>
        <w:t>autres objectifs sociétaux mondiaux, grâce à des efforts urgents et concertés favorisant un changement transformateur</w:t>
      </w:r>
    </w:p>
    <w:p w14:paraId="231F4882" w14:textId="4063CB64" w:rsidR="00087457" w:rsidRPr="00653BF4" w:rsidRDefault="00052041" w:rsidP="00087457">
      <w:pPr>
        <w:pStyle w:val="ListParagraph"/>
        <w:numPr>
          <w:ilvl w:val="0"/>
          <w:numId w:val="10"/>
        </w:numPr>
        <w:rPr>
          <w:lang w:val="fr-FR"/>
        </w:rPr>
      </w:pPr>
      <w:r w:rsidRPr="00653BF4">
        <w:rPr>
          <w:lang w:val="fr-FR"/>
        </w:rPr>
        <w:t>Les moteurs directs des changements naturels ayant l</w:t>
      </w:r>
      <w:r w:rsidR="002A58C8" w:rsidRPr="00653BF4">
        <w:rPr>
          <w:lang w:val="fr-FR"/>
        </w:rPr>
        <w:t>’</w:t>
      </w:r>
      <w:r w:rsidRPr="00653BF4">
        <w:rPr>
          <w:lang w:val="fr-FR"/>
        </w:rPr>
        <w:t>impact mondial le plus important sont (en commençant par ceux qui ont le plus d</w:t>
      </w:r>
      <w:r w:rsidR="002A58C8" w:rsidRPr="00653BF4">
        <w:rPr>
          <w:lang w:val="fr-FR"/>
        </w:rPr>
        <w:t>’</w:t>
      </w:r>
      <w:r w:rsidRPr="00653BF4">
        <w:rPr>
          <w:lang w:val="fr-FR"/>
        </w:rPr>
        <w:t>impact) les évolutions dans l</w:t>
      </w:r>
      <w:r w:rsidR="002A58C8" w:rsidRPr="00653BF4">
        <w:rPr>
          <w:lang w:val="fr-FR"/>
        </w:rPr>
        <w:t>’</w:t>
      </w:r>
      <w:r w:rsidRPr="00653BF4">
        <w:rPr>
          <w:lang w:val="fr-FR"/>
        </w:rPr>
        <w:t>utilisation des terres et des mers, l</w:t>
      </w:r>
      <w:r w:rsidR="002A58C8" w:rsidRPr="00653BF4">
        <w:rPr>
          <w:lang w:val="fr-FR"/>
        </w:rPr>
        <w:t>’</w:t>
      </w:r>
      <w:r w:rsidRPr="00653BF4">
        <w:rPr>
          <w:lang w:val="fr-FR"/>
        </w:rPr>
        <w:t>exploitation directe des organismes, le changement climatique, la pollution et les invasions par des espèces exotiques. Ces cinq moteurs directs sont la résultante d</w:t>
      </w:r>
      <w:r w:rsidR="002A58C8" w:rsidRPr="00653BF4">
        <w:rPr>
          <w:lang w:val="fr-FR"/>
        </w:rPr>
        <w:t>’</w:t>
      </w:r>
      <w:r w:rsidRPr="00653BF4">
        <w:rPr>
          <w:lang w:val="fr-FR"/>
        </w:rPr>
        <w:t>une série de causes sous-jacentes, les moteurs indirects du changement, qui s</w:t>
      </w:r>
      <w:r w:rsidR="002A58C8" w:rsidRPr="00653BF4">
        <w:rPr>
          <w:lang w:val="fr-FR"/>
        </w:rPr>
        <w:t>’</w:t>
      </w:r>
      <w:r w:rsidRPr="00653BF4">
        <w:rPr>
          <w:lang w:val="fr-FR"/>
        </w:rPr>
        <w:t>appuient eux-mêmes sur des valeurs et des comportements sociaux. Le rythme d</w:t>
      </w:r>
      <w:r w:rsidR="002A58C8" w:rsidRPr="00653BF4">
        <w:rPr>
          <w:lang w:val="fr-FR"/>
        </w:rPr>
        <w:t>’</w:t>
      </w:r>
      <w:r w:rsidRPr="00653BF4">
        <w:rPr>
          <w:lang w:val="fr-FR"/>
        </w:rPr>
        <w:t>évolution de ces moteurs directs et indirects varie selon les régions, les pays, les écosystèmes et les biomes</w:t>
      </w:r>
    </w:p>
    <w:p w14:paraId="185C25C0" w14:textId="4D10DFCA" w:rsidR="002F7322" w:rsidRPr="00653BF4" w:rsidRDefault="00B8533B" w:rsidP="002F7322">
      <w:pPr>
        <w:rPr>
          <w:lang w:val="fr-FR"/>
        </w:rPr>
      </w:pPr>
      <w:r w:rsidRPr="00653BF4">
        <w:rPr>
          <w:lang w:val="fr-FR"/>
        </w:rPr>
        <w:t>En 2020, la cinquième édition des Perspectives mondiales de la diversité biologique (GBO</w:t>
      </w:r>
      <w:r w:rsidR="00081EFB" w:rsidRPr="00653BF4">
        <w:rPr>
          <w:lang w:val="fr-FR"/>
        </w:rPr>
        <w:noBreakHyphen/>
      </w:r>
      <w:r w:rsidRPr="00653BF4">
        <w:rPr>
          <w:lang w:val="fr-FR"/>
        </w:rPr>
        <w:t>5) (</w:t>
      </w:r>
      <w:r w:rsidR="00604B6B">
        <w:rPr>
          <w:lang w:val="fr-FR"/>
        </w:rPr>
        <w:t>CDB</w:t>
      </w:r>
      <w:r w:rsidRPr="00653BF4">
        <w:rPr>
          <w:lang w:val="fr-FR"/>
        </w:rPr>
        <w:t>, 2020) a présenté un bilan final de la mise en œuvre du Plan stratégique pour la biodiversité 2011-2020 et de ses cibles d</w:t>
      </w:r>
      <w:r w:rsidR="002A58C8" w:rsidRPr="00653BF4">
        <w:rPr>
          <w:lang w:val="fr-FR"/>
        </w:rPr>
        <w:t>’</w:t>
      </w:r>
      <w:r w:rsidRPr="00653BF4">
        <w:rPr>
          <w:lang w:val="fr-FR"/>
        </w:rPr>
        <w:t>Aichi en matière de biodiversité, en soulignant notamment les progrès réalisés, les lacunes constatées et les enseignements tirés. Les messages clés du GBO-5 étaient les suivants</w:t>
      </w:r>
      <w:r w:rsidR="00E34DC9">
        <w:rPr>
          <w:lang w:val="fr-FR"/>
        </w:rPr>
        <w:t> :</w:t>
      </w:r>
      <w:r w:rsidRPr="00653BF4">
        <w:rPr>
          <w:lang w:val="fr-FR"/>
        </w:rPr>
        <w:t xml:space="preserve"> malgré les efforts déployés par les Parties pour mettre en œuvre le Plan stratégique au niveau mondial, aucun des 20 objectifs d</w:t>
      </w:r>
      <w:r w:rsidR="002A58C8" w:rsidRPr="00653BF4">
        <w:rPr>
          <w:lang w:val="fr-FR"/>
        </w:rPr>
        <w:t>’</w:t>
      </w:r>
      <w:r w:rsidRPr="00653BF4">
        <w:rPr>
          <w:lang w:val="fr-FR"/>
        </w:rPr>
        <w:t>Aichi pour la biodiversité</w:t>
      </w:r>
      <w:r w:rsidR="00AA3B97" w:rsidRPr="00653BF4">
        <w:rPr>
          <w:lang w:val="fr-FR"/>
        </w:rPr>
        <w:t>,</w:t>
      </w:r>
      <w:r w:rsidRPr="00653BF4">
        <w:rPr>
          <w:lang w:val="fr-FR"/>
        </w:rPr>
        <w:t xml:space="preserve"> convenus par les Parties à la Convention en 2010</w:t>
      </w:r>
      <w:r w:rsidR="00414142" w:rsidRPr="00653BF4">
        <w:rPr>
          <w:lang w:val="fr-FR"/>
        </w:rPr>
        <w:t>,</w:t>
      </w:r>
      <w:r w:rsidRPr="00653BF4">
        <w:rPr>
          <w:lang w:val="fr-FR"/>
        </w:rPr>
        <w:t xml:space="preserve"> n</w:t>
      </w:r>
      <w:r w:rsidR="002A58C8" w:rsidRPr="00653BF4">
        <w:rPr>
          <w:lang w:val="fr-FR"/>
        </w:rPr>
        <w:t>’</w:t>
      </w:r>
      <w:r w:rsidRPr="00653BF4">
        <w:rPr>
          <w:lang w:val="fr-FR"/>
        </w:rPr>
        <w:t>avait été pleinement atteint, bien que six d</w:t>
      </w:r>
      <w:r w:rsidR="002A58C8" w:rsidRPr="00653BF4">
        <w:rPr>
          <w:lang w:val="fr-FR"/>
        </w:rPr>
        <w:t>’</w:t>
      </w:r>
      <w:r w:rsidRPr="00653BF4">
        <w:rPr>
          <w:lang w:val="fr-FR"/>
        </w:rPr>
        <w:t>entre eux l</w:t>
      </w:r>
      <w:r w:rsidR="002A58C8" w:rsidRPr="00653BF4">
        <w:rPr>
          <w:lang w:val="fr-FR"/>
        </w:rPr>
        <w:t>’</w:t>
      </w:r>
      <w:r w:rsidRPr="00653BF4">
        <w:rPr>
          <w:lang w:val="fr-FR"/>
        </w:rPr>
        <w:t>aient été partiellement</w:t>
      </w:r>
      <w:r w:rsidR="00E34DC9">
        <w:rPr>
          <w:lang w:val="fr-FR"/>
        </w:rPr>
        <w:t> ;</w:t>
      </w:r>
      <w:r w:rsidRPr="00653BF4">
        <w:rPr>
          <w:lang w:val="fr-FR"/>
        </w:rPr>
        <w:t xml:space="preserve"> la biodiversité continuait de décliner</w:t>
      </w:r>
      <w:r w:rsidR="004761CB" w:rsidRPr="00653BF4">
        <w:rPr>
          <w:lang w:val="fr-FR"/>
        </w:rPr>
        <w:t>,</w:t>
      </w:r>
      <w:r w:rsidRPr="00653BF4">
        <w:rPr>
          <w:lang w:val="fr-FR"/>
        </w:rPr>
        <w:t xml:space="preserve">  et les pressions qui s</w:t>
      </w:r>
      <w:r w:rsidR="002A58C8" w:rsidRPr="00653BF4">
        <w:rPr>
          <w:lang w:val="fr-FR"/>
        </w:rPr>
        <w:t>’</w:t>
      </w:r>
      <w:r w:rsidRPr="00653BF4">
        <w:rPr>
          <w:lang w:val="fr-FR"/>
        </w:rPr>
        <w:t>exerçaient sur celle-ci continuaient à s</w:t>
      </w:r>
      <w:r w:rsidR="002A58C8" w:rsidRPr="00653BF4">
        <w:rPr>
          <w:lang w:val="fr-FR"/>
        </w:rPr>
        <w:t>’</w:t>
      </w:r>
      <w:r w:rsidRPr="00653BF4">
        <w:rPr>
          <w:lang w:val="fr-FR"/>
        </w:rPr>
        <w:t>intensifier (</w:t>
      </w:r>
      <w:r w:rsidR="00592405" w:rsidRPr="00653BF4">
        <w:rPr>
          <w:lang w:val="fr-FR"/>
        </w:rPr>
        <w:t>voir la figure </w:t>
      </w:r>
      <w:r w:rsidRPr="00653BF4">
        <w:rPr>
          <w:lang w:val="fr-FR"/>
        </w:rPr>
        <w:t>7).</w:t>
      </w:r>
    </w:p>
    <w:p w14:paraId="7BF2BBEC" w14:textId="77777777" w:rsidR="00FE1F91" w:rsidRPr="00653BF4" w:rsidRDefault="00FE1F91" w:rsidP="002F7322">
      <w:pPr>
        <w:rPr>
          <w:lang w:val="fr-FR"/>
        </w:rPr>
      </w:pPr>
    </w:p>
    <w:p w14:paraId="318E0375" w14:textId="507273F6" w:rsidR="00FE1F91" w:rsidRPr="00653BF4" w:rsidRDefault="00FE1F91" w:rsidP="002F7322">
      <w:pPr>
        <w:rPr>
          <w:b/>
          <w:sz w:val="20"/>
          <w:szCs w:val="20"/>
          <w:lang w:val="fr-FR"/>
        </w:rPr>
      </w:pPr>
      <w:r w:rsidRPr="00653BF4">
        <w:rPr>
          <w:sz w:val="20"/>
          <w:szCs w:val="20"/>
          <w:lang w:val="fr-FR"/>
        </w:rPr>
        <w:t>Figure 7</w:t>
      </w:r>
      <w:r w:rsidR="00E34DC9">
        <w:rPr>
          <w:sz w:val="20"/>
          <w:szCs w:val="20"/>
          <w:lang w:val="fr-FR"/>
        </w:rPr>
        <w:t> :</w:t>
      </w:r>
      <w:r w:rsidRPr="00653BF4">
        <w:rPr>
          <w:b/>
          <w:sz w:val="20"/>
          <w:szCs w:val="20"/>
          <w:lang w:val="fr-FR"/>
        </w:rPr>
        <w:t xml:space="preserve"> </w:t>
      </w:r>
      <w:r w:rsidR="00535574" w:rsidRPr="00653BF4">
        <w:rPr>
          <w:b/>
          <w:bCs/>
          <w:sz w:val="20"/>
          <w:szCs w:val="20"/>
          <w:lang w:val="fr-FR"/>
        </w:rPr>
        <w:t>Évaluation finale des résultats obtenus et des progrès accomplis dans la réalisation des cibles d</w:t>
      </w:r>
      <w:r w:rsidR="002A58C8" w:rsidRPr="00653BF4">
        <w:rPr>
          <w:b/>
          <w:bCs/>
          <w:sz w:val="20"/>
          <w:szCs w:val="20"/>
          <w:lang w:val="fr-FR"/>
        </w:rPr>
        <w:t>’</w:t>
      </w:r>
      <w:r w:rsidR="00535574" w:rsidRPr="00653BF4">
        <w:rPr>
          <w:b/>
          <w:bCs/>
          <w:sz w:val="20"/>
          <w:szCs w:val="20"/>
          <w:lang w:val="fr-FR"/>
        </w:rPr>
        <w:t>Aichi en matière de biodiversité</w:t>
      </w:r>
    </w:p>
    <w:p w14:paraId="3A7FF01A" w14:textId="378F3E24" w:rsidR="00FE1F91" w:rsidRDefault="00FE1F91" w:rsidP="00535574">
      <w:pPr>
        <w:rPr>
          <w:noProof/>
          <w:sz w:val="16"/>
          <w:szCs w:val="16"/>
          <w:lang w:val="fr-FR"/>
        </w:rPr>
      </w:pPr>
      <w:r w:rsidRPr="00653BF4">
        <w:rPr>
          <w:i/>
          <w:iCs/>
          <w:sz w:val="16"/>
          <w:szCs w:val="16"/>
          <w:lang w:val="fr-FR"/>
        </w:rPr>
        <w:lastRenderedPageBreak/>
        <w:t>Source</w:t>
      </w:r>
      <w:r w:rsidR="00E34DC9">
        <w:rPr>
          <w:i/>
          <w:iCs/>
          <w:sz w:val="16"/>
          <w:szCs w:val="16"/>
          <w:lang w:val="fr-FR"/>
        </w:rPr>
        <w:t> :</w:t>
      </w:r>
      <w:r w:rsidR="00535574" w:rsidRPr="00653BF4">
        <w:rPr>
          <w:i/>
          <w:iCs/>
          <w:sz w:val="16"/>
          <w:szCs w:val="16"/>
          <w:lang w:val="fr-FR"/>
        </w:rPr>
        <w:t xml:space="preserve"> Cinquième édition des </w:t>
      </w:r>
      <w:r w:rsidR="00E34DC9">
        <w:rPr>
          <w:i/>
          <w:iCs/>
          <w:sz w:val="16"/>
          <w:szCs w:val="16"/>
          <w:lang w:val="fr-FR"/>
        </w:rPr>
        <w:t>« </w:t>
      </w:r>
      <w:r w:rsidR="00535574" w:rsidRPr="00653BF4">
        <w:rPr>
          <w:i/>
          <w:iCs/>
          <w:sz w:val="16"/>
          <w:szCs w:val="16"/>
          <w:lang w:val="fr-FR"/>
        </w:rPr>
        <w:t>Perspectives mondiales de la diversité biologique</w:t>
      </w:r>
      <w:r w:rsidR="00E34DC9">
        <w:rPr>
          <w:i/>
          <w:iCs/>
          <w:sz w:val="16"/>
          <w:szCs w:val="16"/>
          <w:lang w:val="fr-FR"/>
        </w:rPr>
        <w:t> »</w:t>
      </w:r>
      <w:r w:rsidR="00535574" w:rsidRPr="00653BF4">
        <w:rPr>
          <w:i/>
          <w:iCs/>
          <w:sz w:val="16"/>
          <w:szCs w:val="16"/>
          <w:lang w:val="fr-FR"/>
        </w:rPr>
        <w:t xml:space="preserve"> </w:t>
      </w:r>
      <w:r w:rsidR="00CD1EF2" w:rsidRPr="00653BF4">
        <w:rPr>
          <w:noProof/>
          <w:sz w:val="16"/>
          <w:szCs w:val="16"/>
          <w:lang w:val="fr-FR"/>
        </w:rPr>
        <w:t>(</w:t>
      </w:r>
      <w:r w:rsidR="00604B6B">
        <w:rPr>
          <w:noProof/>
          <w:sz w:val="16"/>
          <w:szCs w:val="16"/>
          <w:lang w:val="fr-FR"/>
        </w:rPr>
        <w:t>CDB</w:t>
      </w:r>
      <w:r w:rsidR="00CD1EF2" w:rsidRPr="00653BF4">
        <w:rPr>
          <w:noProof/>
          <w:sz w:val="16"/>
          <w:szCs w:val="16"/>
          <w:lang w:val="fr-FR"/>
        </w:rPr>
        <w:t>, 2020)</w:t>
      </w:r>
    </w:p>
    <w:p w14:paraId="19FF468F" w14:textId="5CD533F5" w:rsidR="005B42E3" w:rsidRPr="00653BF4" w:rsidRDefault="00F62E95" w:rsidP="0008037F">
      <w:pPr>
        <w:keepNext/>
        <w:rPr>
          <w:noProof/>
          <w:lang w:val="fr-FR"/>
        </w:rPr>
      </w:pPr>
      <w:r w:rsidRPr="00653BF4">
        <w:rPr>
          <w:noProof/>
          <w:lang w:val="fr-FR"/>
        </w:rPr>
        <w:t xml:space="preserve"> </w:t>
      </w:r>
      <w:r w:rsidR="00E61097" w:rsidRPr="00653BF4">
        <w:rPr>
          <w:noProof/>
          <w:lang w:val="fr-FR"/>
        </w:rPr>
        <w:drawing>
          <wp:inline distT="0" distB="0" distL="0" distR="0" wp14:anchorId="492BF475" wp14:editId="1625B7ED">
            <wp:extent cx="5731510" cy="4759325"/>
            <wp:effectExtent l="0" t="0" r="0" b="3175"/>
            <wp:docPr id="4712807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80747" name="Picture 47128074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1510" cy="4759325"/>
                    </a:xfrm>
                    <a:prstGeom prst="rect">
                      <a:avLst/>
                    </a:prstGeom>
                  </pic:spPr>
                </pic:pic>
              </a:graphicData>
            </a:graphic>
          </wp:inline>
        </w:drawing>
      </w:r>
    </w:p>
    <w:p w14:paraId="67978ECD" w14:textId="77777777" w:rsidR="00A857E6" w:rsidRPr="00653BF4" w:rsidRDefault="00A857E6" w:rsidP="0008037F">
      <w:pPr>
        <w:keepNext/>
        <w:rPr>
          <w:lang w:val="fr-FR"/>
        </w:rPr>
      </w:pPr>
    </w:p>
    <w:p w14:paraId="73691C32" w14:textId="14253DB6" w:rsidR="004E3A98" w:rsidRPr="00653BF4" w:rsidRDefault="006A631C" w:rsidP="004E3A98">
      <w:pPr>
        <w:rPr>
          <w:rFonts w:eastAsiaTheme="minorEastAsia"/>
          <w:i/>
          <w:iCs/>
          <w:color w:val="0E2841" w:themeColor="text2"/>
          <w:kern w:val="0"/>
          <w:sz w:val="16"/>
          <w:szCs w:val="16"/>
          <w:lang w:val="fr-FR" w:eastAsia="ja-JP"/>
          <w14:ligatures w14:val="none"/>
        </w:rPr>
      </w:pPr>
      <w:bookmarkStart w:id="40" w:name="_Toc230654603"/>
      <w:bookmarkStart w:id="41" w:name="_Toc230133157"/>
      <w:r w:rsidRPr="00653BF4">
        <w:rPr>
          <w:rFonts w:eastAsiaTheme="minorEastAsia"/>
          <w:i/>
          <w:iCs/>
          <w:color w:val="0E2841" w:themeColor="text2"/>
          <w:kern w:val="0"/>
          <w:sz w:val="16"/>
          <w:szCs w:val="16"/>
          <w:lang w:val="fr-FR" w:eastAsia="ja-JP"/>
          <w14:ligatures w14:val="none"/>
        </w:rPr>
        <w:t>Note</w:t>
      </w:r>
      <w:r w:rsidR="00E34DC9">
        <w:rPr>
          <w:rFonts w:eastAsiaTheme="minorEastAsia"/>
          <w:i/>
          <w:iCs/>
          <w:color w:val="0E2841" w:themeColor="text2"/>
          <w:kern w:val="0"/>
          <w:sz w:val="16"/>
          <w:szCs w:val="16"/>
          <w:lang w:val="fr-FR" w:eastAsia="ja-JP"/>
          <w14:ligatures w14:val="none"/>
        </w:rPr>
        <w:t> :</w:t>
      </w:r>
      <w:r w:rsidR="004E3A98" w:rsidRPr="00653BF4">
        <w:rPr>
          <w:rFonts w:eastAsiaTheme="minorEastAsia"/>
          <w:i/>
          <w:iCs/>
          <w:color w:val="0E2841" w:themeColor="text2"/>
          <w:kern w:val="0"/>
          <w:sz w:val="16"/>
          <w:szCs w:val="16"/>
          <w:lang w:val="fr-FR" w:eastAsia="ja-JP"/>
          <w14:ligatures w14:val="none"/>
        </w:rPr>
        <w:t xml:space="preserve"> </w:t>
      </w:r>
      <w:r w:rsidR="004E3A98" w:rsidRPr="00653BF4">
        <w:rPr>
          <w:rFonts w:eastAsiaTheme="minorEastAsia"/>
          <w:color w:val="0E2841" w:themeColor="text2"/>
          <w:kern w:val="0"/>
          <w:sz w:val="16"/>
          <w:szCs w:val="16"/>
          <w:lang w:val="fr-FR" w:eastAsia="ja-JP"/>
          <w14:ligatures w14:val="none"/>
        </w:rPr>
        <w:t>la couleur verte indique qu</w:t>
      </w:r>
      <w:r w:rsidR="002A58C8" w:rsidRPr="00653BF4">
        <w:rPr>
          <w:rFonts w:eastAsiaTheme="minorEastAsia"/>
          <w:color w:val="0E2841" w:themeColor="text2"/>
          <w:kern w:val="0"/>
          <w:sz w:val="16"/>
          <w:szCs w:val="16"/>
          <w:lang w:val="fr-FR" w:eastAsia="ja-JP"/>
          <w14:ligatures w14:val="none"/>
        </w:rPr>
        <w:t>’</w:t>
      </w:r>
      <w:r w:rsidR="004E3A98" w:rsidRPr="00653BF4">
        <w:rPr>
          <w:rFonts w:eastAsiaTheme="minorEastAsia"/>
          <w:color w:val="0E2841" w:themeColor="text2"/>
          <w:kern w:val="0"/>
          <w:sz w:val="16"/>
          <w:szCs w:val="16"/>
          <w:lang w:val="fr-FR" w:eastAsia="ja-JP"/>
          <w14:ligatures w14:val="none"/>
        </w:rPr>
        <w:t>un élément de la cible a été atteint</w:t>
      </w:r>
      <w:r w:rsidR="00E34DC9">
        <w:rPr>
          <w:rFonts w:eastAsiaTheme="minorEastAsia"/>
          <w:color w:val="0E2841" w:themeColor="text2"/>
          <w:kern w:val="0"/>
          <w:sz w:val="16"/>
          <w:szCs w:val="16"/>
          <w:lang w:val="fr-FR" w:eastAsia="ja-JP"/>
          <w14:ligatures w14:val="none"/>
        </w:rPr>
        <w:t> ;</w:t>
      </w:r>
      <w:r w:rsidR="004E3A98" w:rsidRPr="00653BF4">
        <w:rPr>
          <w:rFonts w:eastAsiaTheme="minorEastAsia"/>
          <w:color w:val="0E2841" w:themeColor="text2"/>
          <w:kern w:val="0"/>
          <w:sz w:val="16"/>
          <w:szCs w:val="16"/>
          <w:lang w:val="fr-FR" w:eastAsia="ja-JP"/>
          <w14:ligatures w14:val="none"/>
        </w:rPr>
        <w:t xml:space="preserve"> le jaune, que des progrès ont été réalisés mais qu</w:t>
      </w:r>
      <w:r w:rsidR="002A58C8" w:rsidRPr="00653BF4">
        <w:rPr>
          <w:rFonts w:eastAsiaTheme="minorEastAsia"/>
          <w:color w:val="0E2841" w:themeColor="text2"/>
          <w:kern w:val="0"/>
          <w:sz w:val="16"/>
          <w:szCs w:val="16"/>
          <w:lang w:val="fr-FR" w:eastAsia="ja-JP"/>
          <w14:ligatures w14:val="none"/>
        </w:rPr>
        <w:t>’</w:t>
      </w:r>
      <w:r w:rsidR="004E3A98" w:rsidRPr="00653BF4">
        <w:rPr>
          <w:rFonts w:eastAsiaTheme="minorEastAsia"/>
          <w:color w:val="0E2841" w:themeColor="text2"/>
          <w:kern w:val="0"/>
          <w:sz w:val="16"/>
          <w:szCs w:val="16"/>
          <w:lang w:val="fr-FR" w:eastAsia="ja-JP"/>
          <w14:ligatures w14:val="none"/>
        </w:rPr>
        <w:t>ils sont insuffisants pour atteindre la cible</w:t>
      </w:r>
      <w:r w:rsidR="00E34DC9">
        <w:rPr>
          <w:rFonts w:eastAsiaTheme="minorEastAsia"/>
          <w:color w:val="0E2841" w:themeColor="text2"/>
          <w:kern w:val="0"/>
          <w:sz w:val="16"/>
          <w:szCs w:val="16"/>
          <w:lang w:val="fr-FR" w:eastAsia="ja-JP"/>
          <w14:ligatures w14:val="none"/>
        </w:rPr>
        <w:t> ;</w:t>
      </w:r>
      <w:r w:rsidR="004E3A98" w:rsidRPr="00653BF4">
        <w:rPr>
          <w:rFonts w:eastAsiaTheme="minorEastAsia"/>
          <w:color w:val="0E2841" w:themeColor="text2"/>
          <w:kern w:val="0"/>
          <w:sz w:val="16"/>
          <w:szCs w:val="16"/>
          <w:lang w:val="fr-FR" w:eastAsia="ja-JP"/>
          <w14:ligatures w14:val="none"/>
        </w:rPr>
        <w:t xml:space="preserve"> le rouge, qu</w:t>
      </w:r>
      <w:r w:rsidR="002A58C8" w:rsidRPr="00653BF4">
        <w:rPr>
          <w:rFonts w:eastAsiaTheme="minorEastAsia"/>
          <w:color w:val="0E2841" w:themeColor="text2"/>
          <w:kern w:val="0"/>
          <w:sz w:val="16"/>
          <w:szCs w:val="16"/>
          <w:lang w:val="fr-FR" w:eastAsia="ja-JP"/>
          <w14:ligatures w14:val="none"/>
        </w:rPr>
        <w:t>’</w:t>
      </w:r>
      <w:r w:rsidR="004E3A98" w:rsidRPr="00653BF4">
        <w:rPr>
          <w:rFonts w:eastAsiaTheme="minorEastAsia"/>
          <w:color w:val="0E2841" w:themeColor="text2"/>
          <w:kern w:val="0"/>
          <w:sz w:val="16"/>
          <w:szCs w:val="16"/>
          <w:lang w:val="fr-FR" w:eastAsia="ja-JP"/>
          <w14:ligatures w14:val="none"/>
        </w:rPr>
        <w:t>aucun progrès n</w:t>
      </w:r>
      <w:r w:rsidR="002A58C8" w:rsidRPr="00653BF4">
        <w:rPr>
          <w:rFonts w:eastAsiaTheme="minorEastAsia"/>
          <w:color w:val="0E2841" w:themeColor="text2"/>
          <w:kern w:val="0"/>
          <w:sz w:val="16"/>
          <w:szCs w:val="16"/>
          <w:lang w:val="fr-FR" w:eastAsia="ja-JP"/>
          <w14:ligatures w14:val="none"/>
        </w:rPr>
        <w:t>’</w:t>
      </w:r>
      <w:r w:rsidR="004E3A98" w:rsidRPr="00653BF4">
        <w:rPr>
          <w:rFonts w:eastAsiaTheme="minorEastAsia"/>
          <w:color w:val="0E2841" w:themeColor="text2"/>
          <w:kern w:val="0"/>
          <w:sz w:val="16"/>
          <w:szCs w:val="16"/>
          <w:lang w:val="fr-FR" w:eastAsia="ja-JP"/>
          <w14:ligatures w14:val="none"/>
        </w:rPr>
        <w:t>a été réalisé</w:t>
      </w:r>
      <w:r w:rsidR="00E34DC9">
        <w:rPr>
          <w:rFonts w:eastAsiaTheme="minorEastAsia"/>
          <w:color w:val="0E2841" w:themeColor="text2"/>
          <w:kern w:val="0"/>
          <w:sz w:val="16"/>
          <w:szCs w:val="16"/>
          <w:lang w:val="fr-FR" w:eastAsia="ja-JP"/>
          <w14:ligatures w14:val="none"/>
        </w:rPr>
        <w:t> ;</w:t>
      </w:r>
      <w:r w:rsidR="004E3A98" w:rsidRPr="00653BF4">
        <w:rPr>
          <w:rFonts w:eastAsiaTheme="minorEastAsia"/>
          <w:color w:val="0E2841" w:themeColor="text2"/>
          <w:kern w:val="0"/>
          <w:sz w:val="16"/>
          <w:szCs w:val="16"/>
          <w:lang w:val="fr-FR" w:eastAsia="ja-JP"/>
          <w14:ligatures w14:val="none"/>
        </w:rPr>
        <w:t xml:space="preserve"> le violet, que les tendances s</w:t>
      </w:r>
      <w:r w:rsidR="002A58C8" w:rsidRPr="00653BF4">
        <w:rPr>
          <w:rFonts w:eastAsiaTheme="minorEastAsia"/>
          <w:color w:val="0E2841" w:themeColor="text2"/>
          <w:kern w:val="0"/>
          <w:sz w:val="16"/>
          <w:szCs w:val="16"/>
          <w:lang w:val="fr-FR" w:eastAsia="ja-JP"/>
          <w14:ligatures w14:val="none"/>
        </w:rPr>
        <w:t>’</w:t>
      </w:r>
      <w:r w:rsidR="004E3A98" w:rsidRPr="00653BF4">
        <w:rPr>
          <w:rFonts w:eastAsiaTheme="minorEastAsia"/>
          <w:color w:val="0E2841" w:themeColor="text2"/>
          <w:kern w:val="0"/>
          <w:sz w:val="16"/>
          <w:szCs w:val="16"/>
          <w:lang w:val="fr-FR" w:eastAsia="ja-JP"/>
          <w14:ligatures w14:val="none"/>
        </w:rPr>
        <w:t>éloignent de la cible</w:t>
      </w:r>
      <w:r w:rsidR="00E34DC9">
        <w:rPr>
          <w:rFonts w:eastAsiaTheme="minorEastAsia"/>
          <w:color w:val="0E2841" w:themeColor="text2"/>
          <w:kern w:val="0"/>
          <w:sz w:val="16"/>
          <w:szCs w:val="16"/>
          <w:lang w:val="fr-FR" w:eastAsia="ja-JP"/>
          <w14:ligatures w14:val="none"/>
        </w:rPr>
        <w:t> ;</w:t>
      </w:r>
      <w:r w:rsidR="004E3A98" w:rsidRPr="00653BF4">
        <w:rPr>
          <w:rFonts w:eastAsiaTheme="minorEastAsia"/>
          <w:color w:val="0E2841" w:themeColor="text2"/>
          <w:kern w:val="0"/>
          <w:sz w:val="16"/>
          <w:szCs w:val="16"/>
          <w:lang w:val="fr-FR" w:eastAsia="ja-JP"/>
          <w14:ligatures w14:val="none"/>
        </w:rPr>
        <w:t xml:space="preserve"> le bleu, que l</w:t>
      </w:r>
      <w:r w:rsidR="002A58C8" w:rsidRPr="00653BF4">
        <w:rPr>
          <w:rFonts w:eastAsiaTheme="minorEastAsia"/>
          <w:color w:val="0E2841" w:themeColor="text2"/>
          <w:kern w:val="0"/>
          <w:sz w:val="16"/>
          <w:szCs w:val="16"/>
          <w:lang w:val="fr-FR" w:eastAsia="ja-JP"/>
          <w14:ligatures w14:val="none"/>
        </w:rPr>
        <w:t>’</w:t>
      </w:r>
      <w:r w:rsidR="004E3A98" w:rsidRPr="00653BF4">
        <w:rPr>
          <w:rFonts w:eastAsiaTheme="minorEastAsia"/>
          <w:color w:val="0E2841" w:themeColor="text2"/>
          <w:kern w:val="0"/>
          <w:sz w:val="16"/>
          <w:szCs w:val="16"/>
          <w:lang w:val="fr-FR" w:eastAsia="ja-JP"/>
          <w14:ligatures w14:val="none"/>
        </w:rPr>
        <w:t>élément a été atteint au-delà de la cible</w:t>
      </w:r>
      <w:r w:rsidR="00E34DC9">
        <w:rPr>
          <w:rFonts w:eastAsiaTheme="minorEastAsia"/>
          <w:color w:val="0E2841" w:themeColor="text2"/>
          <w:kern w:val="0"/>
          <w:sz w:val="16"/>
          <w:szCs w:val="16"/>
          <w:lang w:val="fr-FR" w:eastAsia="ja-JP"/>
          <w14:ligatures w14:val="none"/>
        </w:rPr>
        <w:t> ;</w:t>
      </w:r>
      <w:r w:rsidR="004E3A98" w:rsidRPr="00653BF4">
        <w:rPr>
          <w:rFonts w:eastAsiaTheme="minorEastAsia"/>
          <w:color w:val="0E2841" w:themeColor="text2"/>
          <w:kern w:val="0"/>
          <w:sz w:val="16"/>
          <w:szCs w:val="16"/>
          <w:lang w:val="fr-FR" w:eastAsia="ja-JP"/>
          <w14:ligatures w14:val="none"/>
        </w:rPr>
        <w:t xml:space="preserve"> et le gris, qu</w:t>
      </w:r>
      <w:r w:rsidR="002A58C8" w:rsidRPr="00653BF4">
        <w:rPr>
          <w:rFonts w:eastAsiaTheme="minorEastAsia"/>
          <w:color w:val="0E2841" w:themeColor="text2"/>
          <w:kern w:val="0"/>
          <w:sz w:val="16"/>
          <w:szCs w:val="16"/>
          <w:lang w:val="fr-FR" w:eastAsia="ja-JP"/>
          <w14:ligatures w14:val="none"/>
        </w:rPr>
        <w:t>’</w:t>
      </w:r>
      <w:r w:rsidR="004E3A98" w:rsidRPr="00653BF4">
        <w:rPr>
          <w:rFonts w:eastAsiaTheme="minorEastAsia"/>
          <w:color w:val="0E2841" w:themeColor="text2"/>
          <w:kern w:val="0"/>
          <w:sz w:val="16"/>
          <w:szCs w:val="16"/>
          <w:lang w:val="fr-FR" w:eastAsia="ja-JP"/>
          <w14:ligatures w14:val="none"/>
        </w:rPr>
        <w:t>il n</w:t>
      </w:r>
      <w:r w:rsidR="002A58C8" w:rsidRPr="00653BF4">
        <w:rPr>
          <w:rFonts w:eastAsiaTheme="minorEastAsia"/>
          <w:color w:val="0E2841" w:themeColor="text2"/>
          <w:kern w:val="0"/>
          <w:sz w:val="16"/>
          <w:szCs w:val="16"/>
          <w:lang w:val="fr-FR" w:eastAsia="ja-JP"/>
          <w14:ligatures w14:val="none"/>
        </w:rPr>
        <w:t>’</w:t>
      </w:r>
      <w:r w:rsidR="004E3A98" w:rsidRPr="00653BF4">
        <w:rPr>
          <w:rFonts w:eastAsiaTheme="minorEastAsia"/>
          <w:color w:val="0E2841" w:themeColor="text2"/>
          <w:kern w:val="0"/>
          <w:sz w:val="16"/>
          <w:szCs w:val="16"/>
          <w:lang w:val="fr-FR" w:eastAsia="ja-JP"/>
          <w14:ligatures w14:val="none"/>
        </w:rPr>
        <w:t>y a pas suffisamment d</w:t>
      </w:r>
      <w:r w:rsidR="002A58C8" w:rsidRPr="00653BF4">
        <w:rPr>
          <w:rFonts w:eastAsiaTheme="minorEastAsia"/>
          <w:color w:val="0E2841" w:themeColor="text2"/>
          <w:kern w:val="0"/>
          <w:sz w:val="16"/>
          <w:szCs w:val="16"/>
          <w:lang w:val="fr-FR" w:eastAsia="ja-JP"/>
          <w14:ligatures w14:val="none"/>
        </w:rPr>
        <w:t>’</w:t>
      </w:r>
      <w:r w:rsidR="004E3A98" w:rsidRPr="00653BF4">
        <w:rPr>
          <w:rFonts w:eastAsiaTheme="minorEastAsia"/>
          <w:color w:val="0E2841" w:themeColor="text2"/>
          <w:kern w:val="0"/>
          <w:sz w:val="16"/>
          <w:szCs w:val="16"/>
          <w:lang w:val="fr-FR" w:eastAsia="ja-JP"/>
          <w14:ligatures w14:val="none"/>
        </w:rPr>
        <w:t>éléments pour procéder à une évaluation. Une cible était considérée comme pleinement atteinte si tous les éléments l</w:t>
      </w:r>
      <w:r w:rsidR="002A58C8" w:rsidRPr="00653BF4">
        <w:rPr>
          <w:rFonts w:eastAsiaTheme="minorEastAsia"/>
          <w:color w:val="0E2841" w:themeColor="text2"/>
          <w:kern w:val="0"/>
          <w:sz w:val="16"/>
          <w:szCs w:val="16"/>
          <w:lang w:val="fr-FR" w:eastAsia="ja-JP"/>
          <w14:ligatures w14:val="none"/>
        </w:rPr>
        <w:t>’</w:t>
      </w:r>
      <w:r w:rsidR="004E3A98" w:rsidRPr="00653BF4">
        <w:rPr>
          <w:rFonts w:eastAsiaTheme="minorEastAsia"/>
          <w:color w:val="0E2841" w:themeColor="text2"/>
          <w:kern w:val="0"/>
          <w:sz w:val="16"/>
          <w:szCs w:val="16"/>
          <w:lang w:val="fr-FR" w:eastAsia="ja-JP"/>
          <w14:ligatures w14:val="none"/>
        </w:rPr>
        <w:t>étaient (c</w:t>
      </w:r>
      <w:r w:rsidR="002A58C8" w:rsidRPr="00653BF4">
        <w:rPr>
          <w:rFonts w:eastAsiaTheme="minorEastAsia"/>
          <w:color w:val="0E2841" w:themeColor="text2"/>
          <w:kern w:val="0"/>
          <w:sz w:val="16"/>
          <w:szCs w:val="16"/>
          <w:lang w:val="fr-FR" w:eastAsia="ja-JP"/>
          <w14:ligatures w14:val="none"/>
        </w:rPr>
        <w:t>’</w:t>
      </w:r>
      <w:r w:rsidR="004E3A98" w:rsidRPr="00653BF4">
        <w:rPr>
          <w:rFonts w:eastAsiaTheme="minorEastAsia"/>
          <w:color w:val="0E2841" w:themeColor="text2"/>
          <w:kern w:val="0"/>
          <w:sz w:val="16"/>
          <w:szCs w:val="16"/>
          <w:lang w:val="fr-FR" w:eastAsia="ja-JP"/>
          <w14:ligatures w14:val="none"/>
        </w:rPr>
        <w:t>est-à-dire si tous les segments étaient verts ou bleus) et comme partiellement atteinte si au moins un élément l</w:t>
      </w:r>
      <w:r w:rsidR="002A58C8" w:rsidRPr="00653BF4">
        <w:rPr>
          <w:rFonts w:eastAsiaTheme="minorEastAsia"/>
          <w:color w:val="0E2841" w:themeColor="text2"/>
          <w:kern w:val="0"/>
          <w:sz w:val="16"/>
          <w:szCs w:val="16"/>
          <w:lang w:val="fr-FR" w:eastAsia="ja-JP"/>
          <w14:ligatures w14:val="none"/>
        </w:rPr>
        <w:t>’</w:t>
      </w:r>
      <w:r w:rsidR="004E3A98" w:rsidRPr="00653BF4">
        <w:rPr>
          <w:rFonts w:eastAsiaTheme="minorEastAsia"/>
          <w:color w:val="0E2841" w:themeColor="text2"/>
          <w:kern w:val="0"/>
          <w:sz w:val="16"/>
          <w:szCs w:val="16"/>
          <w:lang w:val="fr-FR" w:eastAsia="ja-JP"/>
          <w14:ligatures w14:val="none"/>
        </w:rPr>
        <w:t>était (c</w:t>
      </w:r>
      <w:r w:rsidR="002A58C8" w:rsidRPr="00653BF4">
        <w:rPr>
          <w:rFonts w:eastAsiaTheme="minorEastAsia"/>
          <w:color w:val="0E2841" w:themeColor="text2"/>
          <w:kern w:val="0"/>
          <w:sz w:val="16"/>
          <w:szCs w:val="16"/>
          <w:lang w:val="fr-FR" w:eastAsia="ja-JP"/>
          <w14:ligatures w14:val="none"/>
        </w:rPr>
        <w:t>’</w:t>
      </w:r>
      <w:r w:rsidR="004E3A98" w:rsidRPr="00653BF4">
        <w:rPr>
          <w:rFonts w:eastAsiaTheme="minorEastAsia"/>
          <w:color w:val="0E2841" w:themeColor="text2"/>
          <w:kern w:val="0"/>
          <w:sz w:val="16"/>
          <w:szCs w:val="16"/>
          <w:lang w:val="fr-FR" w:eastAsia="ja-JP"/>
          <w14:ligatures w14:val="none"/>
        </w:rPr>
        <w:t>est-à-dire si au moins un segment était vert ou bleu).</w:t>
      </w:r>
    </w:p>
    <w:tbl>
      <w:tblPr>
        <w:tblStyle w:val="TableGrid"/>
        <w:tblW w:w="4747" w:type="pct"/>
        <w:tblLook w:val="06A0" w:firstRow="1" w:lastRow="0" w:firstColumn="1" w:lastColumn="0" w:noHBand="1" w:noVBand="1"/>
      </w:tblPr>
      <w:tblGrid>
        <w:gridCol w:w="4343"/>
        <w:gridCol w:w="4534"/>
      </w:tblGrid>
      <w:tr w:rsidR="003246FC" w:rsidRPr="0046019F" w14:paraId="3AC088E9" w14:textId="77777777" w:rsidTr="009B4355">
        <w:trPr>
          <w:trHeight w:val="361"/>
        </w:trPr>
        <w:tc>
          <w:tcPr>
            <w:tcW w:w="5000" w:type="pct"/>
            <w:gridSpan w:val="2"/>
          </w:tcPr>
          <w:p w14:paraId="529860A5" w14:textId="77777777" w:rsidR="003246FC" w:rsidRPr="0046019F" w:rsidRDefault="003246FC" w:rsidP="009B4355">
            <w:pPr>
              <w:rPr>
                <w:rFonts w:ascii="Aptos" w:eastAsia="Segoe UI" w:hAnsi="Aptos" w:cs="Segoe UI"/>
                <w:color w:val="0F1115"/>
              </w:rPr>
            </w:pPr>
            <w:r>
              <w:rPr>
                <w:rFonts w:ascii="Aptos" w:hAnsi="Aptos"/>
              </w:rPr>
              <w:t>Figure 7</w:t>
            </w:r>
          </w:p>
        </w:tc>
      </w:tr>
      <w:tr w:rsidR="003246FC" w:rsidRPr="0046019F" w14:paraId="464C17B0" w14:textId="77777777" w:rsidTr="009B4355">
        <w:trPr>
          <w:trHeight w:val="361"/>
        </w:trPr>
        <w:tc>
          <w:tcPr>
            <w:tcW w:w="2446" w:type="pct"/>
          </w:tcPr>
          <w:p w14:paraId="07512CDD" w14:textId="77777777" w:rsidR="003246FC" w:rsidRPr="0046019F" w:rsidRDefault="003246FC" w:rsidP="009B4355">
            <w:pPr>
              <w:rPr>
                <w:rFonts w:ascii="Aptos" w:hAnsi="Aptos"/>
              </w:rPr>
            </w:pPr>
            <w:r w:rsidRPr="0046019F">
              <w:rPr>
                <w:rFonts w:ascii="Aptos" w:eastAsia="Segoe UI" w:hAnsi="Aptos" w:cs="Segoe UI"/>
                <w:color w:val="0F1115"/>
              </w:rPr>
              <w:t xml:space="preserve">English </w:t>
            </w:r>
          </w:p>
        </w:tc>
        <w:tc>
          <w:tcPr>
            <w:tcW w:w="2554" w:type="pct"/>
          </w:tcPr>
          <w:p w14:paraId="5032C212" w14:textId="77777777" w:rsidR="003246FC" w:rsidRPr="0046019F" w:rsidRDefault="003246FC" w:rsidP="009B4355">
            <w:pPr>
              <w:rPr>
                <w:rFonts w:ascii="Aptos" w:hAnsi="Aptos"/>
              </w:rPr>
            </w:pPr>
            <w:r>
              <w:rPr>
                <w:rFonts w:ascii="Aptos" w:eastAsia="Segoe UI" w:hAnsi="Aptos" w:cs="Segoe UI"/>
                <w:color w:val="0F1115"/>
              </w:rPr>
              <w:t>Français</w:t>
            </w:r>
          </w:p>
        </w:tc>
      </w:tr>
      <w:tr w:rsidR="003246FC" w:rsidRPr="003A6336" w14:paraId="62748255" w14:textId="77777777" w:rsidTr="009B4355">
        <w:trPr>
          <w:trHeight w:val="113"/>
        </w:trPr>
        <w:tc>
          <w:tcPr>
            <w:tcW w:w="2446" w:type="pct"/>
          </w:tcPr>
          <w:p w14:paraId="70358B09" w14:textId="77777777" w:rsidR="003246FC" w:rsidRPr="003A6336" w:rsidRDefault="003246FC" w:rsidP="009B4355">
            <w:pPr>
              <w:rPr>
                <w:rFonts w:ascii="Aptos" w:hAnsi="Aptos"/>
              </w:rPr>
            </w:pPr>
            <w:r w:rsidRPr="003A6336">
              <w:rPr>
                <w:rFonts w:ascii="Aptos" w:eastAsia="Segoe UI" w:hAnsi="Aptos" w:cs="Segoe UI"/>
                <w:color w:val="0F1115"/>
              </w:rPr>
              <w:t>Aichi Biodiversity Target</w:t>
            </w:r>
          </w:p>
        </w:tc>
        <w:tc>
          <w:tcPr>
            <w:tcW w:w="2554" w:type="pct"/>
          </w:tcPr>
          <w:p w14:paraId="5123B8C7" w14:textId="77777777" w:rsidR="003246FC" w:rsidRPr="003A6336" w:rsidRDefault="003246FC" w:rsidP="009B4355">
            <w:pPr>
              <w:rPr>
                <w:rFonts w:ascii="Aptos" w:hAnsi="Aptos"/>
              </w:rPr>
            </w:pPr>
            <w:r w:rsidRPr="00025D1A">
              <w:t>Cible d</w:t>
            </w:r>
            <w:r>
              <w:t>’</w:t>
            </w:r>
            <w:r w:rsidRPr="00025D1A">
              <w:t>Aichi pour la biodiversité</w:t>
            </w:r>
          </w:p>
        </w:tc>
      </w:tr>
      <w:tr w:rsidR="003246FC" w:rsidRPr="003A6336" w14:paraId="7A8CDB65" w14:textId="77777777" w:rsidTr="009B4355">
        <w:trPr>
          <w:trHeight w:val="113"/>
        </w:trPr>
        <w:tc>
          <w:tcPr>
            <w:tcW w:w="2446" w:type="pct"/>
          </w:tcPr>
          <w:p w14:paraId="2AB8E121" w14:textId="77777777" w:rsidR="003246FC" w:rsidRPr="003A6336" w:rsidRDefault="003246FC" w:rsidP="009B4355">
            <w:pPr>
              <w:rPr>
                <w:rFonts w:ascii="Aptos" w:hAnsi="Aptos"/>
              </w:rPr>
            </w:pPr>
            <w:r w:rsidRPr="003A6336">
              <w:rPr>
                <w:rFonts w:ascii="Aptos" w:eastAsia="Segoe UI" w:hAnsi="Aptos" w:cs="Segoe UI"/>
                <w:color w:val="0F1115"/>
              </w:rPr>
              <w:t>2020 assessment (by target element)</w:t>
            </w:r>
          </w:p>
        </w:tc>
        <w:tc>
          <w:tcPr>
            <w:tcW w:w="2554" w:type="pct"/>
          </w:tcPr>
          <w:p w14:paraId="11A17832" w14:textId="77777777" w:rsidR="003246FC" w:rsidRPr="003A6336" w:rsidRDefault="003246FC" w:rsidP="009B4355">
            <w:pPr>
              <w:rPr>
                <w:rFonts w:ascii="Aptos" w:hAnsi="Aptos"/>
              </w:rPr>
            </w:pPr>
            <w:r w:rsidRPr="00025D1A">
              <w:t>Évaluation 2020 (par élément de la cible)</w:t>
            </w:r>
          </w:p>
        </w:tc>
      </w:tr>
      <w:tr w:rsidR="003246FC" w:rsidRPr="003A6336" w14:paraId="284A6BBB" w14:textId="77777777" w:rsidTr="009B4355">
        <w:trPr>
          <w:trHeight w:val="113"/>
        </w:trPr>
        <w:tc>
          <w:tcPr>
            <w:tcW w:w="2446" w:type="pct"/>
          </w:tcPr>
          <w:p w14:paraId="08C9AB9A" w14:textId="77777777" w:rsidR="003246FC" w:rsidRPr="003A6336" w:rsidRDefault="003246FC" w:rsidP="009B4355">
            <w:pPr>
              <w:rPr>
                <w:rFonts w:ascii="Aptos" w:hAnsi="Aptos"/>
              </w:rPr>
            </w:pPr>
            <w:r w:rsidRPr="003A6336">
              <w:rPr>
                <w:rFonts w:ascii="Aptos" w:eastAsia="Segoe UI" w:hAnsi="Aptos" w:cs="Segoe UI"/>
                <w:color w:val="0F1115"/>
              </w:rPr>
              <w:t>STRATEGIC GOAL A</w:t>
            </w:r>
          </w:p>
        </w:tc>
        <w:tc>
          <w:tcPr>
            <w:tcW w:w="2554" w:type="pct"/>
          </w:tcPr>
          <w:p w14:paraId="3BC8FACD" w14:textId="77777777" w:rsidR="003246FC" w:rsidRPr="003A6336" w:rsidRDefault="003246FC" w:rsidP="009B4355">
            <w:pPr>
              <w:rPr>
                <w:rFonts w:ascii="Aptos" w:hAnsi="Aptos"/>
              </w:rPr>
            </w:pPr>
            <w:r w:rsidRPr="00025D1A">
              <w:t>OBJECTIF STRATÉGIQUE A</w:t>
            </w:r>
          </w:p>
        </w:tc>
      </w:tr>
      <w:tr w:rsidR="003246FC" w:rsidRPr="003A6336" w14:paraId="7272B53C" w14:textId="77777777" w:rsidTr="009B4355">
        <w:trPr>
          <w:trHeight w:val="113"/>
        </w:trPr>
        <w:tc>
          <w:tcPr>
            <w:tcW w:w="2446" w:type="pct"/>
          </w:tcPr>
          <w:p w14:paraId="4A13B5EE" w14:textId="77777777" w:rsidR="003246FC" w:rsidRPr="003A6336" w:rsidRDefault="003246FC" w:rsidP="009B4355">
            <w:pPr>
              <w:rPr>
                <w:rFonts w:ascii="Aptos" w:hAnsi="Aptos"/>
              </w:rPr>
            </w:pPr>
            <w:r w:rsidRPr="003A6336">
              <w:rPr>
                <w:rFonts w:ascii="Aptos" w:eastAsia="Segoe UI" w:hAnsi="Aptos" w:cs="Segoe UI"/>
                <w:color w:val="0F1115"/>
              </w:rPr>
              <w:t>Status</w:t>
            </w:r>
          </w:p>
        </w:tc>
        <w:tc>
          <w:tcPr>
            <w:tcW w:w="2554" w:type="pct"/>
          </w:tcPr>
          <w:p w14:paraId="713752DC" w14:textId="77777777" w:rsidR="003246FC" w:rsidRPr="003A6336" w:rsidRDefault="003246FC" w:rsidP="009B4355">
            <w:pPr>
              <w:rPr>
                <w:rFonts w:ascii="Aptos" w:hAnsi="Aptos"/>
              </w:rPr>
            </w:pPr>
            <w:r w:rsidRPr="00373414">
              <w:t>Avancement</w:t>
            </w:r>
          </w:p>
        </w:tc>
      </w:tr>
      <w:tr w:rsidR="003246FC" w:rsidRPr="003A6336" w14:paraId="71776D1C" w14:textId="77777777" w:rsidTr="009B4355">
        <w:trPr>
          <w:trHeight w:val="113"/>
        </w:trPr>
        <w:tc>
          <w:tcPr>
            <w:tcW w:w="2446" w:type="pct"/>
          </w:tcPr>
          <w:p w14:paraId="359FAD9E" w14:textId="77777777" w:rsidR="003246FC" w:rsidRPr="003A6336" w:rsidRDefault="003246FC" w:rsidP="009B4355">
            <w:pPr>
              <w:rPr>
                <w:rFonts w:ascii="Aptos" w:hAnsi="Aptos"/>
              </w:rPr>
            </w:pPr>
            <w:r w:rsidRPr="003A6336">
              <w:rPr>
                <w:rFonts w:ascii="Aptos" w:eastAsia="Segoe UI" w:hAnsi="Aptos" w:cs="Segoe UI"/>
                <w:color w:val="0F1115"/>
              </w:rPr>
              <w:t>1 - Awareness of biodiversity increased</w:t>
            </w:r>
          </w:p>
        </w:tc>
        <w:tc>
          <w:tcPr>
            <w:tcW w:w="2554" w:type="pct"/>
          </w:tcPr>
          <w:p w14:paraId="49D452C0" w14:textId="77777777" w:rsidR="003246FC" w:rsidRPr="003A6336" w:rsidRDefault="003246FC" w:rsidP="009B4355">
            <w:pPr>
              <w:rPr>
                <w:rFonts w:ascii="Aptos" w:hAnsi="Aptos"/>
              </w:rPr>
            </w:pPr>
            <w:r w:rsidRPr="00025D1A">
              <w:t>1 - Sensibilisation accrue à la biodiversité</w:t>
            </w:r>
          </w:p>
        </w:tc>
      </w:tr>
      <w:tr w:rsidR="003246FC" w:rsidRPr="003A6336" w14:paraId="0E7ADCF4" w14:textId="77777777" w:rsidTr="009B4355">
        <w:trPr>
          <w:trHeight w:val="113"/>
        </w:trPr>
        <w:tc>
          <w:tcPr>
            <w:tcW w:w="2446" w:type="pct"/>
          </w:tcPr>
          <w:p w14:paraId="0DA1B174" w14:textId="77777777" w:rsidR="003246FC" w:rsidRPr="003A6336" w:rsidRDefault="003246FC" w:rsidP="009B4355">
            <w:pPr>
              <w:rPr>
                <w:rFonts w:ascii="Aptos" w:hAnsi="Aptos"/>
              </w:rPr>
            </w:pPr>
            <w:r w:rsidRPr="003A6336">
              <w:rPr>
                <w:rFonts w:ascii="Aptos" w:eastAsia="Segoe UI" w:hAnsi="Aptos" w:cs="Segoe UI"/>
                <w:color w:val="0F1115"/>
              </w:rPr>
              <w:lastRenderedPageBreak/>
              <w:t>2 - Biodiversity values integrated in reporting and national accounting</w:t>
            </w:r>
          </w:p>
        </w:tc>
        <w:tc>
          <w:tcPr>
            <w:tcW w:w="2554" w:type="pct"/>
          </w:tcPr>
          <w:p w14:paraId="0F21605F" w14:textId="77777777" w:rsidR="003246FC" w:rsidRPr="003A6336" w:rsidRDefault="003246FC" w:rsidP="009B4355">
            <w:pPr>
              <w:rPr>
                <w:rFonts w:ascii="Aptos" w:hAnsi="Aptos"/>
              </w:rPr>
            </w:pPr>
            <w:r w:rsidRPr="00025D1A">
              <w:t>2 - Intégration des valeurs de la biodiversité dans l</w:t>
            </w:r>
            <w:r>
              <w:t>’</w:t>
            </w:r>
            <w:r w:rsidRPr="00025D1A">
              <w:t>établissement de rapports et la comptabilité nationale</w:t>
            </w:r>
          </w:p>
        </w:tc>
      </w:tr>
      <w:tr w:rsidR="003246FC" w:rsidRPr="003A6336" w14:paraId="152A26A0" w14:textId="77777777" w:rsidTr="009B4355">
        <w:trPr>
          <w:trHeight w:val="113"/>
        </w:trPr>
        <w:tc>
          <w:tcPr>
            <w:tcW w:w="2446" w:type="pct"/>
          </w:tcPr>
          <w:p w14:paraId="1A7B3836" w14:textId="77777777" w:rsidR="003246FC" w:rsidRPr="003A6336" w:rsidRDefault="003246FC" w:rsidP="009B4355">
            <w:pPr>
              <w:rPr>
                <w:rFonts w:ascii="Aptos" w:hAnsi="Aptos"/>
              </w:rPr>
            </w:pPr>
            <w:r w:rsidRPr="003A6336">
              <w:rPr>
                <w:rFonts w:ascii="Aptos" w:eastAsia="Segoe UI" w:hAnsi="Aptos" w:cs="Segoe UI"/>
                <w:color w:val="0F1115"/>
              </w:rPr>
              <w:t>3 - Incentives reformed (including the elimination of harmful incentives)</w:t>
            </w:r>
          </w:p>
        </w:tc>
        <w:tc>
          <w:tcPr>
            <w:tcW w:w="2554" w:type="pct"/>
          </w:tcPr>
          <w:p w14:paraId="0428329B" w14:textId="77777777" w:rsidR="003246FC" w:rsidRPr="003A6336" w:rsidRDefault="003246FC" w:rsidP="009B4355">
            <w:pPr>
              <w:rPr>
                <w:rFonts w:ascii="Aptos" w:hAnsi="Aptos"/>
              </w:rPr>
            </w:pPr>
            <w:r w:rsidRPr="00025D1A">
              <w:t xml:space="preserve">3 - Réforme des incitations (y compris </w:t>
            </w:r>
            <w:r>
              <w:t>l’élimination</w:t>
            </w:r>
            <w:r w:rsidRPr="00025D1A">
              <w:t xml:space="preserve"> des incitations néfastes)</w:t>
            </w:r>
          </w:p>
        </w:tc>
      </w:tr>
      <w:tr w:rsidR="003246FC" w:rsidRPr="003A6336" w14:paraId="3645C2AD" w14:textId="77777777" w:rsidTr="009B4355">
        <w:trPr>
          <w:trHeight w:val="113"/>
        </w:trPr>
        <w:tc>
          <w:tcPr>
            <w:tcW w:w="2446" w:type="pct"/>
          </w:tcPr>
          <w:p w14:paraId="0D187217" w14:textId="77777777" w:rsidR="003246FC" w:rsidRPr="003A6336" w:rsidRDefault="003246FC" w:rsidP="009B4355">
            <w:pPr>
              <w:rPr>
                <w:rFonts w:ascii="Aptos" w:hAnsi="Aptos"/>
              </w:rPr>
            </w:pPr>
            <w:r w:rsidRPr="003A6336">
              <w:rPr>
                <w:rFonts w:ascii="Aptos" w:eastAsia="Segoe UI" w:hAnsi="Aptos" w:cs="Segoe UI"/>
                <w:color w:val="0F1115"/>
              </w:rPr>
              <w:t>4 - Sustainable production and consumption commitment by Governments and stakeholders</w:t>
            </w:r>
          </w:p>
        </w:tc>
        <w:tc>
          <w:tcPr>
            <w:tcW w:w="2554" w:type="pct"/>
          </w:tcPr>
          <w:p w14:paraId="7DDD850A" w14:textId="77777777" w:rsidR="003246FC" w:rsidRPr="003A6336" w:rsidRDefault="003246FC" w:rsidP="009B4355">
            <w:pPr>
              <w:rPr>
                <w:rFonts w:ascii="Aptos" w:hAnsi="Aptos"/>
              </w:rPr>
            </w:pPr>
            <w:r w:rsidRPr="00025D1A">
              <w:t>4 - Engagement des gouvernements et des parties prenantes en faveur d</w:t>
            </w:r>
            <w:r>
              <w:t>’</w:t>
            </w:r>
            <w:r w:rsidRPr="00025D1A">
              <w:t>une production et d</w:t>
            </w:r>
            <w:r>
              <w:t>’</w:t>
            </w:r>
            <w:r w:rsidRPr="00025D1A">
              <w:t>une consommation durables</w:t>
            </w:r>
          </w:p>
        </w:tc>
      </w:tr>
      <w:tr w:rsidR="003246FC" w:rsidRPr="003A6336" w14:paraId="06491D3E" w14:textId="77777777" w:rsidTr="009B4355">
        <w:trPr>
          <w:trHeight w:val="113"/>
        </w:trPr>
        <w:tc>
          <w:tcPr>
            <w:tcW w:w="2446" w:type="pct"/>
          </w:tcPr>
          <w:p w14:paraId="2D4A2C02" w14:textId="77777777" w:rsidR="003246FC" w:rsidRPr="003A6336" w:rsidRDefault="003246FC" w:rsidP="009B4355">
            <w:pPr>
              <w:rPr>
                <w:rFonts w:ascii="Aptos" w:hAnsi="Aptos"/>
              </w:rPr>
            </w:pPr>
            <w:r w:rsidRPr="003A6336">
              <w:rPr>
                <w:rFonts w:ascii="Aptos" w:eastAsia="Segoe UI" w:hAnsi="Aptos" w:cs="Segoe UI"/>
                <w:color w:val="0F1115"/>
              </w:rPr>
              <w:t>STRATEGIC GOAL B</w:t>
            </w:r>
          </w:p>
        </w:tc>
        <w:tc>
          <w:tcPr>
            <w:tcW w:w="2554" w:type="pct"/>
          </w:tcPr>
          <w:p w14:paraId="1187154E" w14:textId="77777777" w:rsidR="003246FC" w:rsidRPr="003A6336" w:rsidRDefault="003246FC" w:rsidP="009B4355">
            <w:pPr>
              <w:rPr>
                <w:rFonts w:ascii="Aptos" w:hAnsi="Aptos"/>
              </w:rPr>
            </w:pPr>
            <w:r w:rsidRPr="00025D1A">
              <w:t>OBJECTIF STRATÉGIQUE B</w:t>
            </w:r>
          </w:p>
        </w:tc>
      </w:tr>
      <w:tr w:rsidR="003246FC" w:rsidRPr="003A6336" w14:paraId="6BFAF5C3" w14:textId="77777777" w:rsidTr="009B4355">
        <w:trPr>
          <w:trHeight w:val="113"/>
        </w:trPr>
        <w:tc>
          <w:tcPr>
            <w:tcW w:w="2446" w:type="pct"/>
          </w:tcPr>
          <w:p w14:paraId="3DF38713" w14:textId="77777777" w:rsidR="003246FC" w:rsidRPr="003A6336" w:rsidRDefault="003246FC" w:rsidP="009B4355">
            <w:pPr>
              <w:rPr>
                <w:rFonts w:ascii="Aptos" w:hAnsi="Aptos"/>
              </w:rPr>
            </w:pPr>
            <w:r w:rsidRPr="003A6336">
              <w:rPr>
                <w:rFonts w:ascii="Aptos" w:eastAsia="Segoe UI" w:hAnsi="Aptos" w:cs="Segoe UI"/>
                <w:color w:val="0F1115"/>
              </w:rPr>
              <w:t>Status</w:t>
            </w:r>
          </w:p>
        </w:tc>
        <w:tc>
          <w:tcPr>
            <w:tcW w:w="2554" w:type="pct"/>
          </w:tcPr>
          <w:p w14:paraId="4291BC8B" w14:textId="77777777" w:rsidR="003246FC" w:rsidRPr="003A6336" w:rsidRDefault="003246FC" w:rsidP="009B4355">
            <w:pPr>
              <w:rPr>
                <w:rFonts w:ascii="Aptos" w:hAnsi="Aptos"/>
              </w:rPr>
            </w:pPr>
            <w:r w:rsidRPr="00373414">
              <w:t>Avancement</w:t>
            </w:r>
          </w:p>
        </w:tc>
      </w:tr>
      <w:tr w:rsidR="003246FC" w:rsidRPr="003A6336" w14:paraId="195D12C9" w14:textId="77777777" w:rsidTr="009B4355">
        <w:trPr>
          <w:trHeight w:val="113"/>
        </w:trPr>
        <w:tc>
          <w:tcPr>
            <w:tcW w:w="2446" w:type="pct"/>
          </w:tcPr>
          <w:p w14:paraId="15B32ECE" w14:textId="77777777" w:rsidR="003246FC" w:rsidRPr="003A6336" w:rsidRDefault="003246FC" w:rsidP="009B4355">
            <w:pPr>
              <w:rPr>
                <w:rFonts w:ascii="Aptos" w:hAnsi="Aptos"/>
              </w:rPr>
            </w:pPr>
            <w:r w:rsidRPr="003A6336">
              <w:rPr>
                <w:rFonts w:ascii="Aptos" w:eastAsia="Segoe UI" w:hAnsi="Aptos" w:cs="Segoe UI"/>
                <w:color w:val="0F1115"/>
              </w:rPr>
              <w:t>5 - Habitat loss at least halved, and degradation and fragmentation significantly reduced</w:t>
            </w:r>
          </w:p>
        </w:tc>
        <w:tc>
          <w:tcPr>
            <w:tcW w:w="2554" w:type="pct"/>
          </w:tcPr>
          <w:p w14:paraId="16175D25" w14:textId="77777777" w:rsidR="003246FC" w:rsidRPr="003A6336" w:rsidRDefault="003246FC" w:rsidP="009B4355">
            <w:pPr>
              <w:rPr>
                <w:rFonts w:ascii="Aptos" w:hAnsi="Aptos"/>
              </w:rPr>
            </w:pPr>
            <w:r w:rsidRPr="00025D1A">
              <w:t>5 - La perte d</w:t>
            </w:r>
            <w:r>
              <w:t>’</w:t>
            </w:r>
            <w:r w:rsidRPr="00025D1A">
              <w:t>habitats a été au moins atténuée de moitié, et la dégradation ainsi que la fragmentation ont été considérablement atténuées</w:t>
            </w:r>
          </w:p>
        </w:tc>
      </w:tr>
      <w:tr w:rsidR="003246FC" w:rsidRPr="003A6336" w14:paraId="6C186897" w14:textId="77777777" w:rsidTr="009B4355">
        <w:trPr>
          <w:trHeight w:val="113"/>
        </w:trPr>
        <w:tc>
          <w:tcPr>
            <w:tcW w:w="2446" w:type="pct"/>
          </w:tcPr>
          <w:p w14:paraId="22A6614B" w14:textId="77777777" w:rsidR="003246FC" w:rsidRPr="003A6336" w:rsidRDefault="003246FC" w:rsidP="009B4355">
            <w:pPr>
              <w:rPr>
                <w:rFonts w:ascii="Aptos" w:hAnsi="Aptos"/>
              </w:rPr>
            </w:pPr>
            <w:r w:rsidRPr="003A6336">
              <w:rPr>
                <w:rFonts w:ascii="Aptos" w:eastAsia="Segoe UI" w:hAnsi="Aptos" w:cs="Segoe UI"/>
                <w:color w:val="0F1115"/>
              </w:rPr>
              <w:t>6 - Sustainable management and harvesting of fish and aquatic plants (avoiding overfishing)</w:t>
            </w:r>
          </w:p>
        </w:tc>
        <w:tc>
          <w:tcPr>
            <w:tcW w:w="2554" w:type="pct"/>
          </w:tcPr>
          <w:p w14:paraId="63EF3D88" w14:textId="77777777" w:rsidR="003246FC" w:rsidRPr="003A6336" w:rsidRDefault="003246FC" w:rsidP="009B4355">
            <w:pPr>
              <w:rPr>
                <w:rFonts w:ascii="Aptos" w:hAnsi="Aptos"/>
              </w:rPr>
            </w:pPr>
            <w:r w:rsidRPr="00025D1A">
              <w:t>6 - Gestion et exploitation durables des poissons et des plantes aquatiques (en évitant la surpêche)</w:t>
            </w:r>
          </w:p>
        </w:tc>
      </w:tr>
      <w:tr w:rsidR="003246FC" w:rsidRPr="003A6336" w14:paraId="542F94AA" w14:textId="77777777" w:rsidTr="009B4355">
        <w:trPr>
          <w:trHeight w:val="113"/>
        </w:trPr>
        <w:tc>
          <w:tcPr>
            <w:tcW w:w="2446" w:type="pct"/>
          </w:tcPr>
          <w:p w14:paraId="7F714F0E" w14:textId="77777777" w:rsidR="003246FC" w:rsidRPr="003A6336" w:rsidRDefault="003246FC" w:rsidP="009B4355">
            <w:pPr>
              <w:rPr>
                <w:rFonts w:ascii="Aptos" w:hAnsi="Aptos"/>
              </w:rPr>
            </w:pPr>
            <w:r w:rsidRPr="003A6336">
              <w:rPr>
                <w:rFonts w:ascii="Aptos" w:eastAsia="Segoe UI" w:hAnsi="Aptos" w:cs="Segoe UI"/>
                <w:color w:val="0F1115"/>
              </w:rPr>
              <w:t>7 - Sustainable agriculture, aquaculture and forestry</w:t>
            </w:r>
          </w:p>
        </w:tc>
        <w:tc>
          <w:tcPr>
            <w:tcW w:w="2554" w:type="pct"/>
          </w:tcPr>
          <w:p w14:paraId="38F2C2FF" w14:textId="77777777" w:rsidR="003246FC" w:rsidRPr="003A6336" w:rsidRDefault="003246FC" w:rsidP="009B4355">
            <w:pPr>
              <w:rPr>
                <w:rFonts w:ascii="Aptos" w:hAnsi="Aptos"/>
              </w:rPr>
            </w:pPr>
            <w:r w:rsidRPr="00025D1A">
              <w:t>7 - Agriculture, aquaculture et sylviculture durables</w:t>
            </w:r>
          </w:p>
        </w:tc>
      </w:tr>
      <w:tr w:rsidR="003246FC" w:rsidRPr="003A6336" w14:paraId="3A62DB8F" w14:textId="77777777" w:rsidTr="009B4355">
        <w:trPr>
          <w:trHeight w:val="113"/>
        </w:trPr>
        <w:tc>
          <w:tcPr>
            <w:tcW w:w="2446" w:type="pct"/>
          </w:tcPr>
          <w:p w14:paraId="40672A67" w14:textId="77777777" w:rsidR="003246FC" w:rsidRPr="003A6336" w:rsidRDefault="003246FC" w:rsidP="009B4355">
            <w:pPr>
              <w:rPr>
                <w:rFonts w:ascii="Aptos" w:hAnsi="Aptos"/>
              </w:rPr>
            </w:pPr>
            <w:r w:rsidRPr="003A6336">
              <w:rPr>
                <w:rFonts w:ascii="Aptos" w:eastAsia="Segoe UI" w:hAnsi="Aptos" w:cs="Segoe UI"/>
                <w:color w:val="0F1115"/>
              </w:rPr>
              <w:t>8 - Pollution (including excess nutrients, pesticides, plastics and other waste) brought to levels not detrimental to biodiversity</w:t>
            </w:r>
          </w:p>
        </w:tc>
        <w:tc>
          <w:tcPr>
            <w:tcW w:w="2554" w:type="pct"/>
          </w:tcPr>
          <w:p w14:paraId="50D299CB" w14:textId="77777777" w:rsidR="003246FC" w:rsidRPr="003A6336" w:rsidRDefault="003246FC" w:rsidP="009B4355">
            <w:pPr>
              <w:rPr>
                <w:rFonts w:ascii="Aptos" w:hAnsi="Aptos"/>
              </w:rPr>
            </w:pPr>
            <w:r w:rsidRPr="00025D1A">
              <w:t>8 - La pollution (notamment due à un excès de nutriments, aux pesticides, aux plastiques et autres déchets) a été ramenée à des niveaux non préjudiciables à la biodiversité</w:t>
            </w:r>
          </w:p>
        </w:tc>
      </w:tr>
      <w:tr w:rsidR="003246FC" w:rsidRPr="003A6336" w14:paraId="1162C352" w14:textId="77777777" w:rsidTr="009B4355">
        <w:trPr>
          <w:trHeight w:val="113"/>
        </w:trPr>
        <w:tc>
          <w:tcPr>
            <w:tcW w:w="2446" w:type="pct"/>
          </w:tcPr>
          <w:p w14:paraId="7D8DDC7B" w14:textId="77777777" w:rsidR="003246FC" w:rsidRPr="003A6336" w:rsidRDefault="003246FC" w:rsidP="009B4355">
            <w:pPr>
              <w:rPr>
                <w:rFonts w:ascii="Aptos" w:hAnsi="Aptos"/>
              </w:rPr>
            </w:pPr>
            <w:r w:rsidRPr="003A6336">
              <w:rPr>
                <w:rFonts w:ascii="Aptos" w:eastAsia="Segoe UI" w:hAnsi="Aptos" w:cs="Segoe UI"/>
                <w:color w:val="0F1115"/>
              </w:rPr>
              <w:t>9 - Invasive alien species prevented and controlled</w:t>
            </w:r>
          </w:p>
        </w:tc>
        <w:tc>
          <w:tcPr>
            <w:tcW w:w="2554" w:type="pct"/>
          </w:tcPr>
          <w:p w14:paraId="46504B3A" w14:textId="77777777" w:rsidR="003246FC" w:rsidRPr="003A6336" w:rsidRDefault="003246FC" w:rsidP="009B4355">
            <w:pPr>
              <w:rPr>
                <w:rFonts w:ascii="Aptos" w:hAnsi="Aptos"/>
              </w:rPr>
            </w:pPr>
            <w:r w:rsidRPr="00025D1A">
              <w:t>9 - Les espèces exotiques envahissantes sont prévenues et maîtrisées</w:t>
            </w:r>
          </w:p>
        </w:tc>
      </w:tr>
      <w:tr w:rsidR="003246FC" w:rsidRPr="003A6336" w14:paraId="0FA8A350" w14:textId="77777777" w:rsidTr="009B4355">
        <w:trPr>
          <w:trHeight w:val="113"/>
        </w:trPr>
        <w:tc>
          <w:tcPr>
            <w:tcW w:w="2446" w:type="pct"/>
          </w:tcPr>
          <w:p w14:paraId="14EBCCB3" w14:textId="77777777" w:rsidR="003246FC" w:rsidRPr="003A6336" w:rsidRDefault="003246FC" w:rsidP="009B4355">
            <w:pPr>
              <w:rPr>
                <w:rFonts w:ascii="Aptos" w:hAnsi="Aptos"/>
              </w:rPr>
            </w:pPr>
            <w:r w:rsidRPr="003A6336">
              <w:rPr>
                <w:rFonts w:ascii="Aptos" w:eastAsia="Segoe UI" w:hAnsi="Aptos" w:cs="Segoe UI"/>
                <w:color w:val="0F1115"/>
              </w:rPr>
              <w:t>10 - Minimize anthropogenic pressure on coral reefs and vulnerable ecosystem (impacted by climate change or ocean acidification)</w:t>
            </w:r>
          </w:p>
        </w:tc>
        <w:tc>
          <w:tcPr>
            <w:tcW w:w="2554" w:type="pct"/>
          </w:tcPr>
          <w:p w14:paraId="3518B370" w14:textId="77777777" w:rsidR="003246FC" w:rsidRPr="003A6336" w:rsidRDefault="003246FC" w:rsidP="009B4355">
            <w:pPr>
              <w:rPr>
                <w:rFonts w:ascii="Aptos" w:hAnsi="Aptos"/>
              </w:rPr>
            </w:pPr>
            <w:r w:rsidRPr="00025D1A">
              <w:t>10 - Réduire au minimum la pression anthropique sur les récifs coralliens et les écosystèmes vulnérables (affectés par les effets des changements climatiques ou l</w:t>
            </w:r>
            <w:r>
              <w:t>’</w:t>
            </w:r>
            <w:r w:rsidRPr="00025D1A">
              <w:t>acidification des océans)</w:t>
            </w:r>
          </w:p>
        </w:tc>
      </w:tr>
      <w:tr w:rsidR="003246FC" w:rsidRPr="003A6336" w14:paraId="65710268" w14:textId="77777777" w:rsidTr="009B4355">
        <w:trPr>
          <w:trHeight w:val="113"/>
        </w:trPr>
        <w:tc>
          <w:tcPr>
            <w:tcW w:w="2446" w:type="pct"/>
          </w:tcPr>
          <w:p w14:paraId="538DDC73" w14:textId="77777777" w:rsidR="003246FC" w:rsidRPr="003A6336" w:rsidRDefault="003246FC" w:rsidP="009B4355">
            <w:pPr>
              <w:rPr>
                <w:rFonts w:ascii="Aptos" w:hAnsi="Aptos"/>
              </w:rPr>
            </w:pPr>
            <w:r w:rsidRPr="003A6336">
              <w:rPr>
                <w:rFonts w:ascii="Aptos" w:eastAsia="Segoe UI" w:hAnsi="Aptos" w:cs="Segoe UI"/>
                <w:color w:val="0F1115"/>
              </w:rPr>
              <w:t>STRATEGIC GOAL C</w:t>
            </w:r>
          </w:p>
        </w:tc>
        <w:tc>
          <w:tcPr>
            <w:tcW w:w="2554" w:type="pct"/>
          </w:tcPr>
          <w:p w14:paraId="044EFDF3" w14:textId="77777777" w:rsidR="003246FC" w:rsidRPr="003A6336" w:rsidRDefault="003246FC" w:rsidP="009B4355">
            <w:pPr>
              <w:rPr>
                <w:rFonts w:ascii="Aptos" w:hAnsi="Aptos"/>
              </w:rPr>
            </w:pPr>
            <w:r w:rsidRPr="00025D1A">
              <w:t>OBJECTIF STRATÉGIQUE C</w:t>
            </w:r>
          </w:p>
        </w:tc>
      </w:tr>
      <w:tr w:rsidR="003246FC" w:rsidRPr="003A6336" w14:paraId="7C71F99B" w14:textId="77777777" w:rsidTr="009B4355">
        <w:trPr>
          <w:trHeight w:val="113"/>
        </w:trPr>
        <w:tc>
          <w:tcPr>
            <w:tcW w:w="2446" w:type="pct"/>
          </w:tcPr>
          <w:p w14:paraId="3B763349" w14:textId="77777777" w:rsidR="003246FC" w:rsidRPr="003A6336" w:rsidRDefault="003246FC" w:rsidP="009B4355">
            <w:pPr>
              <w:rPr>
                <w:rFonts w:ascii="Aptos" w:hAnsi="Aptos"/>
              </w:rPr>
            </w:pPr>
            <w:r w:rsidRPr="003A6336">
              <w:rPr>
                <w:rFonts w:ascii="Aptos" w:eastAsia="Segoe UI" w:hAnsi="Aptos" w:cs="Segoe UI"/>
                <w:color w:val="0F1115"/>
              </w:rPr>
              <w:t>Status</w:t>
            </w:r>
          </w:p>
        </w:tc>
        <w:tc>
          <w:tcPr>
            <w:tcW w:w="2554" w:type="pct"/>
          </w:tcPr>
          <w:p w14:paraId="409A59C0" w14:textId="77777777" w:rsidR="003246FC" w:rsidRPr="003A6336" w:rsidRDefault="003246FC" w:rsidP="009B4355">
            <w:pPr>
              <w:rPr>
                <w:rFonts w:ascii="Aptos" w:hAnsi="Aptos"/>
              </w:rPr>
            </w:pPr>
            <w:r w:rsidRPr="00373414">
              <w:t>Avancement</w:t>
            </w:r>
          </w:p>
        </w:tc>
      </w:tr>
      <w:tr w:rsidR="003246FC" w:rsidRPr="003A6336" w14:paraId="54EDD801" w14:textId="77777777" w:rsidTr="009B4355">
        <w:trPr>
          <w:trHeight w:val="113"/>
        </w:trPr>
        <w:tc>
          <w:tcPr>
            <w:tcW w:w="2446" w:type="pct"/>
          </w:tcPr>
          <w:p w14:paraId="3B81ADDD" w14:textId="77777777" w:rsidR="003246FC" w:rsidRPr="003A6336" w:rsidRDefault="003246FC" w:rsidP="009B4355">
            <w:pPr>
              <w:rPr>
                <w:rFonts w:ascii="Aptos" w:hAnsi="Aptos"/>
              </w:rPr>
            </w:pPr>
            <w:r w:rsidRPr="003A6336">
              <w:rPr>
                <w:rFonts w:ascii="Aptos" w:eastAsia="Segoe UI" w:hAnsi="Aptos" w:cs="Segoe UI"/>
                <w:color w:val="0F1115"/>
              </w:rPr>
              <w:t>11 - Protected areas (17% of terrestrial and inland water areas and 10% of coastal and marine areas)</w:t>
            </w:r>
          </w:p>
        </w:tc>
        <w:tc>
          <w:tcPr>
            <w:tcW w:w="2554" w:type="pct"/>
          </w:tcPr>
          <w:p w14:paraId="78F7C92E" w14:textId="77777777" w:rsidR="003246FC" w:rsidRPr="003A6336" w:rsidRDefault="003246FC" w:rsidP="009B4355">
            <w:pPr>
              <w:rPr>
                <w:rFonts w:ascii="Aptos" w:hAnsi="Aptos"/>
              </w:rPr>
            </w:pPr>
            <w:r w:rsidRPr="00025D1A">
              <w:t>11 - Zones protégées (17 % des zones terrestres et des eaux intérieures et 10 % des zones côtières et marines)</w:t>
            </w:r>
          </w:p>
        </w:tc>
      </w:tr>
      <w:tr w:rsidR="003246FC" w:rsidRPr="003A6336" w14:paraId="0D30BCB6" w14:textId="77777777" w:rsidTr="009B4355">
        <w:trPr>
          <w:trHeight w:val="113"/>
        </w:trPr>
        <w:tc>
          <w:tcPr>
            <w:tcW w:w="2446" w:type="pct"/>
          </w:tcPr>
          <w:p w14:paraId="43848697" w14:textId="77777777" w:rsidR="003246FC" w:rsidRPr="003A6336" w:rsidRDefault="003246FC" w:rsidP="009B4355">
            <w:pPr>
              <w:rPr>
                <w:rFonts w:ascii="Aptos" w:hAnsi="Aptos"/>
              </w:rPr>
            </w:pPr>
            <w:r w:rsidRPr="003A6336">
              <w:rPr>
                <w:rFonts w:ascii="Aptos" w:eastAsia="Segoe UI" w:hAnsi="Aptos" w:cs="Segoe UI"/>
                <w:color w:val="0F1115"/>
              </w:rPr>
              <w:t>12 - Reducing risk of extinction</w:t>
            </w:r>
          </w:p>
        </w:tc>
        <w:tc>
          <w:tcPr>
            <w:tcW w:w="2554" w:type="pct"/>
          </w:tcPr>
          <w:p w14:paraId="4E2C1BBB" w14:textId="77777777" w:rsidR="003246FC" w:rsidRPr="003A6336" w:rsidRDefault="003246FC" w:rsidP="009B4355">
            <w:pPr>
              <w:rPr>
                <w:rFonts w:ascii="Aptos" w:hAnsi="Aptos"/>
              </w:rPr>
            </w:pPr>
            <w:r w:rsidRPr="00025D1A">
              <w:t>12 - Atténuer le risque d</w:t>
            </w:r>
            <w:r>
              <w:t>’</w:t>
            </w:r>
            <w:r w:rsidRPr="00025D1A">
              <w:t>extinction</w:t>
            </w:r>
          </w:p>
        </w:tc>
      </w:tr>
      <w:tr w:rsidR="003246FC" w:rsidRPr="003A6336" w14:paraId="5B4F9B2E" w14:textId="77777777" w:rsidTr="009B4355">
        <w:trPr>
          <w:trHeight w:val="113"/>
        </w:trPr>
        <w:tc>
          <w:tcPr>
            <w:tcW w:w="2446" w:type="pct"/>
          </w:tcPr>
          <w:p w14:paraId="21C45B8D" w14:textId="77777777" w:rsidR="003246FC" w:rsidRPr="003A6336" w:rsidRDefault="003246FC" w:rsidP="009B4355">
            <w:pPr>
              <w:rPr>
                <w:rFonts w:ascii="Aptos" w:hAnsi="Aptos"/>
              </w:rPr>
            </w:pPr>
            <w:r w:rsidRPr="003A6336">
              <w:rPr>
                <w:rFonts w:ascii="Aptos" w:eastAsia="Segoe UI" w:hAnsi="Aptos" w:cs="Segoe UI"/>
                <w:color w:val="0F1115"/>
              </w:rPr>
              <w:t>13 - Safeguarding genetic diversity</w:t>
            </w:r>
          </w:p>
        </w:tc>
        <w:tc>
          <w:tcPr>
            <w:tcW w:w="2554" w:type="pct"/>
          </w:tcPr>
          <w:p w14:paraId="04F8E401" w14:textId="77777777" w:rsidR="003246FC" w:rsidRPr="003A6336" w:rsidRDefault="003246FC" w:rsidP="009B4355">
            <w:pPr>
              <w:rPr>
                <w:rFonts w:ascii="Aptos" w:hAnsi="Aptos"/>
              </w:rPr>
            </w:pPr>
            <w:r w:rsidRPr="00025D1A">
              <w:t>13 - Préserver la diversité génétique</w:t>
            </w:r>
          </w:p>
        </w:tc>
      </w:tr>
      <w:tr w:rsidR="003246FC" w:rsidRPr="003A6336" w14:paraId="05869650" w14:textId="77777777" w:rsidTr="009B4355">
        <w:trPr>
          <w:trHeight w:val="113"/>
        </w:trPr>
        <w:tc>
          <w:tcPr>
            <w:tcW w:w="2446" w:type="pct"/>
          </w:tcPr>
          <w:p w14:paraId="180122FB" w14:textId="77777777" w:rsidR="003246FC" w:rsidRPr="003A6336" w:rsidRDefault="003246FC" w:rsidP="009B4355">
            <w:pPr>
              <w:rPr>
                <w:rFonts w:ascii="Aptos" w:eastAsia="Segoe UI" w:hAnsi="Aptos" w:cs="Segoe UI"/>
                <w:color w:val="0F1115"/>
              </w:rPr>
            </w:pPr>
            <w:r>
              <w:rPr>
                <w:rFonts w:ascii="Aptos" w:eastAsia="Segoe UI" w:hAnsi="Aptos" w:cs="Segoe UI"/>
                <w:color w:val="0F1115"/>
              </w:rPr>
              <w:t>STRATEGIC GOAL D</w:t>
            </w:r>
          </w:p>
        </w:tc>
        <w:tc>
          <w:tcPr>
            <w:tcW w:w="2554" w:type="pct"/>
          </w:tcPr>
          <w:p w14:paraId="7EA7C6E7" w14:textId="77777777" w:rsidR="003246FC" w:rsidRPr="003A6336" w:rsidRDefault="003246FC" w:rsidP="009B4355">
            <w:pPr>
              <w:rPr>
                <w:rFonts w:ascii="Aptos" w:eastAsia="Segoe UI" w:hAnsi="Aptos" w:cs="Segoe UI"/>
                <w:color w:val="0F1115"/>
              </w:rPr>
            </w:pPr>
            <w:r w:rsidRPr="00025D1A">
              <w:t>OBJECTIF STRATÉGIQUE D</w:t>
            </w:r>
          </w:p>
        </w:tc>
      </w:tr>
      <w:tr w:rsidR="003246FC" w:rsidRPr="003A6336" w14:paraId="2FA435AC" w14:textId="77777777" w:rsidTr="009B4355">
        <w:trPr>
          <w:trHeight w:val="113"/>
        </w:trPr>
        <w:tc>
          <w:tcPr>
            <w:tcW w:w="2446" w:type="pct"/>
          </w:tcPr>
          <w:p w14:paraId="1741416C" w14:textId="77777777" w:rsidR="003246FC" w:rsidRPr="003A6336" w:rsidRDefault="003246FC" w:rsidP="009B4355">
            <w:pPr>
              <w:rPr>
                <w:rFonts w:ascii="Aptos" w:hAnsi="Aptos"/>
              </w:rPr>
            </w:pPr>
            <w:r w:rsidRPr="003A6336">
              <w:rPr>
                <w:rFonts w:ascii="Aptos" w:eastAsia="Segoe UI" w:hAnsi="Aptos" w:cs="Segoe UI"/>
                <w:color w:val="0F1115"/>
              </w:rPr>
              <w:t xml:space="preserve">14 - Ecosystems that provide essential services to be restored (taking into account the needs of women and   </w:t>
            </w:r>
            <w:r w:rsidRPr="003A6336">
              <w:rPr>
                <w:rFonts w:ascii="Aptos" w:eastAsia="Segoe UI" w:hAnsi="Aptos" w:cs="Segoe UI"/>
                <w:color w:val="0F1115"/>
              </w:rPr>
              <w:lastRenderedPageBreak/>
              <w:t>indigenous peoples and local communities)</w:t>
            </w:r>
          </w:p>
        </w:tc>
        <w:tc>
          <w:tcPr>
            <w:tcW w:w="2554" w:type="pct"/>
          </w:tcPr>
          <w:p w14:paraId="3D779537" w14:textId="77777777" w:rsidR="003246FC" w:rsidRPr="003A6336" w:rsidRDefault="003246FC" w:rsidP="009B4355">
            <w:pPr>
              <w:rPr>
                <w:rFonts w:ascii="Aptos" w:hAnsi="Aptos"/>
              </w:rPr>
            </w:pPr>
            <w:r w:rsidRPr="00025D1A">
              <w:lastRenderedPageBreak/>
              <w:t xml:space="preserve">14 - Restaurer les écosystèmes qui fournissent des services essentiels (en tenant compte des besoins des femmes, </w:t>
            </w:r>
            <w:r w:rsidRPr="00025D1A">
              <w:lastRenderedPageBreak/>
              <w:t>des peuples autochtones et des communautés locales)</w:t>
            </w:r>
          </w:p>
        </w:tc>
      </w:tr>
      <w:tr w:rsidR="003246FC" w:rsidRPr="003A6336" w14:paraId="33573F30" w14:textId="77777777" w:rsidTr="009B4355">
        <w:trPr>
          <w:trHeight w:val="113"/>
        </w:trPr>
        <w:tc>
          <w:tcPr>
            <w:tcW w:w="2446" w:type="pct"/>
          </w:tcPr>
          <w:p w14:paraId="49ABE764" w14:textId="77777777" w:rsidR="003246FC" w:rsidRPr="003A6336" w:rsidRDefault="003246FC" w:rsidP="009B4355">
            <w:pPr>
              <w:rPr>
                <w:rFonts w:ascii="Aptos" w:hAnsi="Aptos"/>
              </w:rPr>
            </w:pPr>
            <w:r w:rsidRPr="003A6336">
              <w:rPr>
                <w:rFonts w:ascii="Aptos" w:eastAsia="Segoe UI" w:hAnsi="Aptos" w:cs="Segoe UI"/>
                <w:color w:val="0F1115"/>
              </w:rPr>
              <w:lastRenderedPageBreak/>
              <w:t>15 - Ecosystem restoration and resilience (at least 15% of degraded ecosystems to be restored)</w:t>
            </w:r>
          </w:p>
        </w:tc>
        <w:tc>
          <w:tcPr>
            <w:tcW w:w="2554" w:type="pct"/>
          </w:tcPr>
          <w:p w14:paraId="62D8D459" w14:textId="77777777" w:rsidR="003246FC" w:rsidRPr="003A6336" w:rsidRDefault="003246FC" w:rsidP="009B4355">
            <w:pPr>
              <w:rPr>
                <w:rFonts w:ascii="Aptos" w:hAnsi="Aptos"/>
              </w:rPr>
            </w:pPr>
            <w:r w:rsidRPr="00025D1A">
              <w:t>15 - Restauration et résilience des écosystèmes (au moins 15 % des écosystèmes dégradés doivent être restaurés)</w:t>
            </w:r>
          </w:p>
        </w:tc>
      </w:tr>
      <w:tr w:rsidR="003246FC" w:rsidRPr="003A6336" w14:paraId="6CB9AE44" w14:textId="77777777" w:rsidTr="009B4355">
        <w:trPr>
          <w:trHeight w:val="113"/>
        </w:trPr>
        <w:tc>
          <w:tcPr>
            <w:tcW w:w="2446" w:type="pct"/>
          </w:tcPr>
          <w:p w14:paraId="351FDAA5" w14:textId="77777777" w:rsidR="003246FC" w:rsidRPr="003A6336" w:rsidRDefault="003246FC" w:rsidP="009B4355">
            <w:pPr>
              <w:rPr>
                <w:rFonts w:ascii="Aptos" w:hAnsi="Aptos"/>
              </w:rPr>
            </w:pPr>
            <w:r w:rsidRPr="003A6336">
              <w:rPr>
                <w:rFonts w:ascii="Aptos" w:eastAsia="Segoe UI" w:hAnsi="Aptos" w:cs="Segoe UI"/>
                <w:color w:val="0F1115"/>
              </w:rPr>
              <w:t>16 - Access to and sharing benefits from genetic resources</w:t>
            </w:r>
          </w:p>
        </w:tc>
        <w:tc>
          <w:tcPr>
            <w:tcW w:w="2554" w:type="pct"/>
          </w:tcPr>
          <w:p w14:paraId="2213CD5A" w14:textId="77777777" w:rsidR="003246FC" w:rsidRPr="003A6336" w:rsidRDefault="003246FC" w:rsidP="009B4355">
            <w:pPr>
              <w:rPr>
                <w:rFonts w:ascii="Aptos" w:hAnsi="Aptos"/>
              </w:rPr>
            </w:pPr>
            <w:r w:rsidRPr="00025D1A">
              <w:t>16 - Accès aux ressources génétiques et partage des avantages qui en découlent</w:t>
            </w:r>
          </w:p>
        </w:tc>
      </w:tr>
      <w:tr w:rsidR="003246FC" w:rsidRPr="003A6336" w14:paraId="6186F6FD" w14:textId="77777777" w:rsidTr="009B4355">
        <w:trPr>
          <w:trHeight w:val="113"/>
        </w:trPr>
        <w:tc>
          <w:tcPr>
            <w:tcW w:w="2446" w:type="pct"/>
          </w:tcPr>
          <w:p w14:paraId="2A5F45DD" w14:textId="77777777" w:rsidR="003246FC" w:rsidRPr="003A6336" w:rsidRDefault="003246FC" w:rsidP="009B4355">
            <w:pPr>
              <w:rPr>
                <w:rFonts w:ascii="Aptos" w:hAnsi="Aptos"/>
              </w:rPr>
            </w:pPr>
            <w:r w:rsidRPr="003A6336">
              <w:rPr>
                <w:rFonts w:ascii="Aptos" w:eastAsia="Segoe UI" w:hAnsi="Aptos" w:cs="Segoe UI"/>
                <w:color w:val="0F1115"/>
              </w:rPr>
              <w:t xml:space="preserve">STRATEGIC GOAL </w:t>
            </w:r>
            <w:r>
              <w:rPr>
                <w:rFonts w:ascii="Aptos" w:eastAsia="Segoe UI" w:hAnsi="Aptos" w:cs="Segoe UI"/>
                <w:color w:val="0F1115"/>
              </w:rPr>
              <w:t>E</w:t>
            </w:r>
          </w:p>
        </w:tc>
        <w:tc>
          <w:tcPr>
            <w:tcW w:w="2554" w:type="pct"/>
          </w:tcPr>
          <w:p w14:paraId="2407FD23" w14:textId="77777777" w:rsidR="003246FC" w:rsidRPr="003A6336" w:rsidRDefault="003246FC" w:rsidP="009B4355">
            <w:pPr>
              <w:rPr>
                <w:rFonts w:ascii="Aptos" w:hAnsi="Aptos"/>
              </w:rPr>
            </w:pPr>
            <w:r w:rsidRPr="00025D1A">
              <w:t>OBJECTIF STRATÉGIQUE E</w:t>
            </w:r>
          </w:p>
        </w:tc>
      </w:tr>
      <w:tr w:rsidR="003246FC" w:rsidRPr="003A6336" w14:paraId="560906C8" w14:textId="77777777" w:rsidTr="009B4355">
        <w:trPr>
          <w:trHeight w:val="113"/>
        </w:trPr>
        <w:tc>
          <w:tcPr>
            <w:tcW w:w="2446" w:type="pct"/>
          </w:tcPr>
          <w:p w14:paraId="11BE287F" w14:textId="77777777" w:rsidR="003246FC" w:rsidRPr="003A6336" w:rsidRDefault="003246FC" w:rsidP="009B4355">
            <w:pPr>
              <w:rPr>
                <w:rFonts w:ascii="Aptos" w:hAnsi="Aptos"/>
              </w:rPr>
            </w:pPr>
            <w:r w:rsidRPr="003A6336">
              <w:rPr>
                <w:rFonts w:ascii="Aptos" w:eastAsia="Segoe UI" w:hAnsi="Aptos" w:cs="Segoe UI"/>
                <w:color w:val="0F1115"/>
              </w:rPr>
              <w:t>Status</w:t>
            </w:r>
          </w:p>
        </w:tc>
        <w:tc>
          <w:tcPr>
            <w:tcW w:w="2554" w:type="pct"/>
          </w:tcPr>
          <w:p w14:paraId="472448C8" w14:textId="77777777" w:rsidR="003246FC" w:rsidRPr="003A6336" w:rsidRDefault="003246FC" w:rsidP="009B4355">
            <w:pPr>
              <w:rPr>
                <w:rFonts w:ascii="Aptos" w:hAnsi="Aptos"/>
              </w:rPr>
            </w:pPr>
            <w:r>
              <w:t>Avancement</w:t>
            </w:r>
          </w:p>
        </w:tc>
      </w:tr>
      <w:tr w:rsidR="003246FC" w:rsidRPr="003A6336" w14:paraId="0F9DB956" w14:textId="77777777" w:rsidTr="009B4355">
        <w:trPr>
          <w:trHeight w:val="113"/>
        </w:trPr>
        <w:tc>
          <w:tcPr>
            <w:tcW w:w="2446" w:type="pct"/>
          </w:tcPr>
          <w:p w14:paraId="3356169A" w14:textId="77777777" w:rsidR="003246FC" w:rsidRPr="003A6336" w:rsidRDefault="003246FC" w:rsidP="009B4355">
            <w:pPr>
              <w:rPr>
                <w:rFonts w:ascii="Aptos" w:hAnsi="Aptos"/>
              </w:rPr>
            </w:pPr>
            <w:r w:rsidRPr="003A6336">
              <w:rPr>
                <w:rFonts w:ascii="Aptos" w:eastAsia="Segoe UI" w:hAnsi="Aptos" w:cs="Segoe UI"/>
                <w:color w:val="0F1115"/>
              </w:rPr>
              <w:t>17 - Participatory and updated national biodiversity strategy and action plan</w:t>
            </w:r>
          </w:p>
        </w:tc>
        <w:tc>
          <w:tcPr>
            <w:tcW w:w="2554" w:type="pct"/>
          </w:tcPr>
          <w:p w14:paraId="08ADD3A9" w14:textId="77777777" w:rsidR="003246FC" w:rsidRPr="003A6336" w:rsidRDefault="003246FC" w:rsidP="009B4355">
            <w:pPr>
              <w:rPr>
                <w:rFonts w:ascii="Aptos" w:hAnsi="Aptos"/>
              </w:rPr>
            </w:pPr>
            <w:r w:rsidRPr="00025D1A">
              <w:t>17 - Stratégie et plan d</w:t>
            </w:r>
            <w:r>
              <w:t>’</w:t>
            </w:r>
            <w:r w:rsidRPr="00025D1A">
              <w:t>action nationaux pour la biodiversité participatifs et révisés</w:t>
            </w:r>
          </w:p>
        </w:tc>
      </w:tr>
      <w:tr w:rsidR="003246FC" w:rsidRPr="003A6336" w14:paraId="0F80C7FB" w14:textId="77777777" w:rsidTr="009B4355">
        <w:trPr>
          <w:trHeight w:val="113"/>
        </w:trPr>
        <w:tc>
          <w:tcPr>
            <w:tcW w:w="2446" w:type="pct"/>
          </w:tcPr>
          <w:p w14:paraId="30DBE1E6" w14:textId="77777777" w:rsidR="003246FC" w:rsidRPr="003A6336" w:rsidRDefault="003246FC" w:rsidP="009B4355">
            <w:pPr>
              <w:rPr>
                <w:rFonts w:ascii="Aptos" w:hAnsi="Aptos"/>
              </w:rPr>
            </w:pPr>
            <w:r w:rsidRPr="003A6336">
              <w:rPr>
                <w:rFonts w:ascii="Aptos" w:eastAsia="Segoe UI" w:hAnsi="Aptos" w:cs="Segoe UI"/>
                <w:color w:val="0F1115"/>
              </w:rPr>
              <w:t>18 - Traditional knowledge and practices of indigenous and local communities are respected</w:t>
            </w:r>
          </w:p>
        </w:tc>
        <w:tc>
          <w:tcPr>
            <w:tcW w:w="2554" w:type="pct"/>
          </w:tcPr>
          <w:p w14:paraId="7E75FD3B" w14:textId="77777777" w:rsidR="003246FC" w:rsidRPr="003A6336" w:rsidRDefault="003246FC" w:rsidP="009B4355">
            <w:pPr>
              <w:rPr>
                <w:rFonts w:ascii="Aptos" w:hAnsi="Aptos"/>
              </w:rPr>
            </w:pPr>
            <w:r w:rsidRPr="00025D1A">
              <w:t>18 - Les savoirs et pratiques traditionnels des peuples autochtones et des communautés locales sont respectés</w:t>
            </w:r>
          </w:p>
        </w:tc>
      </w:tr>
      <w:tr w:rsidR="003246FC" w:rsidRPr="003A6336" w14:paraId="5606748B" w14:textId="77777777" w:rsidTr="009B4355">
        <w:trPr>
          <w:trHeight w:val="113"/>
        </w:trPr>
        <w:tc>
          <w:tcPr>
            <w:tcW w:w="2446" w:type="pct"/>
          </w:tcPr>
          <w:p w14:paraId="5A84B249" w14:textId="77777777" w:rsidR="003246FC" w:rsidRPr="003A6336" w:rsidRDefault="003246FC" w:rsidP="009B4355">
            <w:pPr>
              <w:rPr>
                <w:rFonts w:ascii="Aptos" w:hAnsi="Aptos"/>
              </w:rPr>
            </w:pPr>
            <w:r w:rsidRPr="003A6336">
              <w:rPr>
                <w:rFonts w:ascii="Aptos" w:eastAsia="Segoe UI" w:hAnsi="Aptos" w:cs="Segoe UI"/>
                <w:color w:val="0F1115"/>
              </w:rPr>
              <w:t>19 - Science base and technologies relating to biodiversity are improved, widely shared and applied</w:t>
            </w:r>
          </w:p>
        </w:tc>
        <w:tc>
          <w:tcPr>
            <w:tcW w:w="2554" w:type="pct"/>
          </w:tcPr>
          <w:p w14:paraId="2FB88D03" w14:textId="77777777" w:rsidR="003246FC" w:rsidRPr="003A6336" w:rsidRDefault="003246FC" w:rsidP="009B4355">
            <w:pPr>
              <w:rPr>
                <w:rFonts w:ascii="Aptos" w:hAnsi="Aptos"/>
              </w:rPr>
            </w:pPr>
            <w:r w:rsidRPr="00025D1A">
              <w:t>19 - Les bases scientifiques et les technologies relatives à la biodiversité sont améliorées, largement partagées et mises en œuvre</w:t>
            </w:r>
          </w:p>
        </w:tc>
      </w:tr>
      <w:tr w:rsidR="003246FC" w:rsidRPr="003A6336" w14:paraId="2AF11A35" w14:textId="77777777" w:rsidTr="009B4355">
        <w:trPr>
          <w:trHeight w:val="113"/>
        </w:trPr>
        <w:tc>
          <w:tcPr>
            <w:tcW w:w="2446" w:type="pct"/>
          </w:tcPr>
          <w:p w14:paraId="50B1EB23" w14:textId="77777777" w:rsidR="003246FC" w:rsidRPr="003A6336" w:rsidRDefault="003246FC" w:rsidP="009B4355">
            <w:pPr>
              <w:rPr>
                <w:rFonts w:ascii="Aptos" w:hAnsi="Aptos"/>
              </w:rPr>
            </w:pPr>
            <w:r w:rsidRPr="003A6336">
              <w:rPr>
                <w:rFonts w:ascii="Aptos" w:eastAsia="Segoe UI" w:hAnsi="Aptos" w:cs="Segoe UI"/>
                <w:color w:val="0F1115"/>
              </w:rPr>
              <w:t>20 - Financial resources are mobilized to effectively implement the Strategic Plan</w:t>
            </w:r>
          </w:p>
        </w:tc>
        <w:tc>
          <w:tcPr>
            <w:tcW w:w="2554" w:type="pct"/>
          </w:tcPr>
          <w:p w14:paraId="5496741B" w14:textId="77777777" w:rsidR="003246FC" w:rsidRPr="003A6336" w:rsidRDefault="003246FC" w:rsidP="009B4355">
            <w:pPr>
              <w:rPr>
                <w:rFonts w:ascii="Aptos" w:hAnsi="Aptos"/>
              </w:rPr>
            </w:pPr>
            <w:r w:rsidRPr="00025D1A">
              <w:t>20 - Des ressources financières sont mobilisées pour assurer l</w:t>
            </w:r>
            <w:r>
              <w:t>’</w:t>
            </w:r>
            <w:r w:rsidRPr="00025D1A">
              <w:t>application effective du Plan stratégique</w:t>
            </w:r>
          </w:p>
        </w:tc>
      </w:tr>
    </w:tbl>
    <w:p w14:paraId="4E890F58" w14:textId="22F38604" w:rsidR="00682F76" w:rsidRPr="00653BF4" w:rsidRDefault="00682F76" w:rsidP="00945998">
      <w:pPr>
        <w:pStyle w:val="Caption"/>
        <w:rPr>
          <w:i w:val="0"/>
          <w:sz w:val="16"/>
          <w:szCs w:val="16"/>
          <w:lang w:val="fr-FR"/>
        </w:rPr>
      </w:pPr>
    </w:p>
    <w:p w14:paraId="79775FC8" w14:textId="018800DF" w:rsidR="00DE4BE0" w:rsidRPr="00653BF4" w:rsidRDefault="00CF69C0" w:rsidP="00DE4BE0">
      <w:pPr>
        <w:rPr>
          <w:lang w:val="fr-FR"/>
        </w:rPr>
      </w:pPr>
      <w:bookmarkStart w:id="42" w:name="_Ref231122607"/>
      <w:r w:rsidRPr="00653BF4">
        <w:rPr>
          <w:lang w:val="fr-FR"/>
        </w:rPr>
        <w:t>Les six évaluations thématiques et méthodologiques adoptées par l</w:t>
      </w:r>
      <w:r w:rsidR="002A58C8" w:rsidRPr="00653BF4">
        <w:rPr>
          <w:lang w:val="fr-FR"/>
        </w:rPr>
        <w:t>’</w:t>
      </w:r>
      <w:r w:rsidRPr="00653BF4">
        <w:rPr>
          <w:lang w:val="fr-FR"/>
        </w:rPr>
        <w:t>IPBES depuis la publication du rapport d</w:t>
      </w:r>
      <w:r w:rsidR="002A58C8" w:rsidRPr="00653BF4">
        <w:rPr>
          <w:lang w:val="fr-FR"/>
        </w:rPr>
        <w:t>’</w:t>
      </w:r>
      <w:r w:rsidRPr="00653BF4">
        <w:rPr>
          <w:lang w:val="fr-FR"/>
        </w:rPr>
        <w:t>évaluation mondial en 2019 contiennent toutes des données démontrant que la biodiversité continue à décliner. Ces évaluations fournissent des données objectives sur l</w:t>
      </w:r>
      <w:r w:rsidR="002A58C8" w:rsidRPr="00653BF4">
        <w:rPr>
          <w:lang w:val="fr-FR"/>
        </w:rPr>
        <w:t>’</w:t>
      </w:r>
      <w:r w:rsidRPr="00653BF4">
        <w:rPr>
          <w:lang w:val="fr-FR"/>
        </w:rPr>
        <w:t>état et les tendances de la biodiversité, ainsi que des outils et des orientations pertinents sur le plan politique, susceptibles d</w:t>
      </w:r>
      <w:r w:rsidR="002A58C8" w:rsidRPr="00653BF4">
        <w:rPr>
          <w:lang w:val="fr-FR"/>
        </w:rPr>
        <w:t>’</w:t>
      </w:r>
      <w:r w:rsidRPr="00653BF4">
        <w:rPr>
          <w:lang w:val="fr-FR"/>
        </w:rPr>
        <w:t>apporter un appui à l</w:t>
      </w:r>
      <w:r w:rsidR="002A58C8" w:rsidRPr="00653BF4">
        <w:rPr>
          <w:lang w:val="fr-FR"/>
        </w:rPr>
        <w:t>’</w:t>
      </w:r>
      <w:r w:rsidRPr="00653BF4">
        <w:rPr>
          <w:lang w:val="fr-FR"/>
        </w:rPr>
        <w:t>élaboration des politiques, y compris les décisions prises dans le cadre de la Convention. L</w:t>
      </w:r>
      <w:r w:rsidR="002A58C8" w:rsidRPr="00653BF4">
        <w:rPr>
          <w:lang w:val="fr-FR"/>
        </w:rPr>
        <w:t>’</w:t>
      </w:r>
      <w:r w:rsidRPr="00653BF4">
        <w:rPr>
          <w:lang w:val="fr-FR"/>
        </w:rPr>
        <w:t>importance des rapports d</w:t>
      </w:r>
      <w:r w:rsidR="002A58C8" w:rsidRPr="00653BF4">
        <w:rPr>
          <w:lang w:val="fr-FR"/>
        </w:rPr>
        <w:t>’</w:t>
      </w:r>
      <w:r w:rsidRPr="00653BF4">
        <w:rPr>
          <w:lang w:val="fr-FR"/>
        </w:rPr>
        <w:t>évaluation de l</w:t>
      </w:r>
      <w:r w:rsidR="002A58C8" w:rsidRPr="00653BF4">
        <w:rPr>
          <w:lang w:val="fr-FR"/>
        </w:rPr>
        <w:t>’</w:t>
      </w:r>
      <w:r w:rsidRPr="00653BF4">
        <w:rPr>
          <w:lang w:val="fr-FR"/>
        </w:rPr>
        <w:t xml:space="preserve">IPBES dans le cadre des travaux menés au titre de la Convention a été largement reconnue par la Conférence des Parties (voir la décision XI/13 de la </w:t>
      </w:r>
      <w:r w:rsidR="00711DD2" w:rsidRPr="00653BF4">
        <w:rPr>
          <w:lang w:val="fr-FR"/>
        </w:rPr>
        <w:t>CDB</w:t>
      </w:r>
      <w:r w:rsidRPr="00653BF4">
        <w:rPr>
          <w:lang w:val="fr-FR"/>
        </w:rPr>
        <w:t>, 2012</w:t>
      </w:r>
      <w:r w:rsidR="00E34DC9">
        <w:rPr>
          <w:lang w:val="fr-FR"/>
        </w:rPr>
        <w:t> ;</w:t>
      </w:r>
      <w:r w:rsidRPr="00653BF4">
        <w:rPr>
          <w:lang w:val="fr-FR"/>
        </w:rPr>
        <w:t xml:space="preserve"> la décision XII/25 de la </w:t>
      </w:r>
      <w:r w:rsidR="00711DD2" w:rsidRPr="00653BF4">
        <w:rPr>
          <w:lang w:val="fr-FR"/>
        </w:rPr>
        <w:t>CDB</w:t>
      </w:r>
      <w:r w:rsidRPr="00653BF4">
        <w:rPr>
          <w:lang w:val="fr-FR"/>
        </w:rPr>
        <w:t>, 2014b</w:t>
      </w:r>
      <w:r w:rsidR="00E34DC9">
        <w:rPr>
          <w:lang w:val="fr-FR"/>
        </w:rPr>
        <w:t> ;</w:t>
      </w:r>
      <w:r w:rsidRPr="00653BF4">
        <w:rPr>
          <w:lang w:val="fr-FR"/>
        </w:rPr>
        <w:t xml:space="preserve"> la décision 14/36 de la </w:t>
      </w:r>
      <w:r w:rsidR="00711DD2" w:rsidRPr="00653BF4">
        <w:rPr>
          <w:lang w:val="fr-FR"/>
        </w:rPr>
        <w:t>CDB</w:t>
      </w:r>
      <w:r w:rsidRPr="00653BF4">
        <w:rPr>
          <w:lang w:val="fr-FR"/>
        </w:rPr>
        <w:t>, 2019</w:t>
      </w:r>
      <w:r w:rsidR="00E34DC9">
        <w:rPr>
          <w:lang w:val="fr-FR"/>
        </w:rPr>
        <w:t> ;</w:t>
      </w:r>
      <w:r w:rsidRPr="00653BF4">
        <w:rPr>
          <w:lang w:val="fr-FR"/>
        </w:rPr>
        <w:t xml:space="preserve"> la décision 15/9 de la </w:t>
      </w:r>
      <w:r w:rsidR="00711DD2" w:rsidRPr="00653BF4">
        <w:rPr>
          <w:lang w:val="fr-FR"/>
        </w:rPr>
        <w:t>CDB</w:t>
      </w:r>
      <w:r w:rsidRPr="00653BF4">
        <w:rPr>
          <w:lang w:val="fr-FR"/>
        </w:rPr>
        <w:t>, 2023</w:t>
      </w:r>
      <w:r w:rsidR="00E34DC9">
        <w:rPr>
          <w:lang w:val="fr-FR"/>
        </w:rPr>
        <w:t> ;</w:t>
      </w:r>
      <w:r w:rsidRPr="00653BF4">
        <w:rPr>
          <w:lang w:val="fr-FR"/>
        </w:rPr>
        <w:t xml:space="preserve"> et la décision 16/11 de la </w:t>
      </w:r>
      <w:r w:rsidR="00711DD2" w:rsidRPr="00653BF4">
        <w:rPr>
          <w:lang w:val="fr-FR"/>
        </w:rPr>
        <w:t>CDB</w:t>
      </w:r>
      <w:r w:rsidRPr="00653BF4">
        <w:rPr>
          <w:lang w:val="fr-FR"/>
        </w:rPr>
        <w:t>, 2026).</w:t>
      </w:r>
    </w:p>
    <w:p w14:paraId="13BBD86B" w14:textId="728209EE" w:rsidR="00A44118" w:rsidRPr="00653BF4" w:rsidRDefault="00A85E19" w:rsidP="00DE4BE0">
      <w:pPr>
        <w:rPr>
          <w:lang w:val="fr-FR"/>
        </w:rPr>
      </w:pPr>
      <w:r w:rsidRPr="00653BF4">
        <w:rPr>
          <w:lang w:val="fr-FR"/>
        </w:rPr>
        <w:t>Le tableau d</w:t>
      </w:r>
      <w:r w:rsidR="002A58C8" w:rsidRPr="00653BF4">
        <w:rPr>
          <w:lang w:val="fr-FR"/>
        </w:rPr>
        <w:t>’</w:t>
      </w:r>
      <w:r w:rsidRPr="00653BF4">
        <w:rPr>
          <w:lang w:val="fr-FR"/>
        </w:rPr>
        <w:t>ensemble, établi à partir de l</w:t>
      </w:r>
      <w:r w:rsidR="002A58C8" w:rsidRPr="00653BF4">
        <w:rPr>
          <w:lang w:val="fr-FR"/>
        </w:rPr>
        <w:t>’</w:t>
      </w:r>
      <w:r w:rsidRPr="00653BF4">
        <w:rPr>
          <w:lang w:val="fr-FR"/>
        </w:rPr>
        <w:t>ensemble des évaluations menées par l</w:t>
      </w:r>
      <w:r w:rsidR="002A58C8" w:rsidRPr="00653BF4">
        <w:rPr>
          <w:lang w:val="fr-FR"/>
        </w:rPr>
        <w:t>’</w:t>
      </w:r>
      <w:r w:rsidRPr="00653BF4">
        <w:rPr>
          <w:lang w:val="fr-FR"/>
        </w:rPr>
        <w:t>IPBES, est clair</w:t>
      </w:r>
      <w:r w:rsidR="00E34DC9">
        <w:rPr>
          <w:lang w:val="fr-FR"/>
        </w:rPr>
        <w:t> :</w:t>
      </w:r>
      <w:r w:rsidRPr="00653BF4">
        <w:rPr>
          <w:lang w:val="fr-FR"/>
        </w:rPr>
        <w:t xml:space="preserve"> malgré l</w:t>
      </w:r>
      <w:r w:rsidR="002A58C8" w:rsidRPr="00653BF4">
        <w:rPr>
          <w:lang w:val="fr-FR"/>
        </w:rPr>
        <w:t>’</w:t>
      </w:r>
      <w:r w:rsidRPr="00653BF4">
        <w:rPr>
          <w:lang w:val="fr-FR"/>
        </w:rPr>
        <w:t>hétérogénéité entre les régions, les pays, les écosystèmes et les biomes, la biodiversité continue à décliner</w:t>
      </w:r>
      <w:r w:rsidR="00E34DC9">
        <w:rPr>
          <w:lang w:val="fr-FR"/>
        </w:rPr>
        <w:t> ;</w:t>
      </w:r>
      <w:r w:rsidRPr="00653BF4">
        <w:rPr>
          <w:lang w:val="fr-FR"/>
        </w:rPr>
        <w:t xml:space="preserve"> les contributions de la nature aux populations, notamment les fonctions et les services écosystémiques, s</w:t>
      </w:r>
      <w:r w:rsidR="002A58C8" w:rsidRPr="00653BF4">
        <w:rPr>
          <w:lang w:val="fr-FR"/>
        </w:rPr>
        <w:t>’</w:t>
      </w:r>
      <w:r w:rsidRPr="00653BF4">
        <w:rPr>
          <w:lang w:val="fr-FR"/>
        </w:rPr>
        <w:t>affaiblissent</w:t>
      </w:r>
      <w:r w:rsidR="00E34DC9">
        <w:rPr>
          <w:lang w:val="fr-FR"/>
        </w:rPr>
        <w:t> ;</w:t>
      </w:r>
      <w:r w:rsidRPr="00653BF4">
        <w:rPr>
          <w:lang w:val="fr-FR"/>
        </w:rPr>
        <w:t xml:space="preserve"> et les facteurs directs et indirects de la perte de biodiversité n</w:t>
      </w:r>
      <w:r w:rsidR="002A58C8" w:rsidRPr="00653BF4">
        <w:rPr>
          <w:lang w:val="fr-FR"/>
        </w:rPr>
        <w:t>’</w:t>
      </w:r>
      <w:r w:rsidRPr="00653BF4">
        <w:rPr>
          <w:lang w:val="fr-FR"/>
        </w:rPr>
        <w:t>ont pas été suffisamment pris en compte (v</w:t>
      </w:r>
      <w:r w:rsidR="00BD6958">
        <w:rPr>
          <w:lang w:val="fr-FR"/>
        </w:rPr>
        <w:t>oir l’encadré</w:t>
      </w:r>
      <w:r w:rsidRPr="00653BF4">
        <w:rPr>
          <w:lang w:val="fr-FR"/>
        </w:rPr>
        <w:t xml:space="preserve"> 5). Toutefois, la perte de biodiversité n</w:t>
      </w:r>
      <w:r w:rsidR="002A58C8" w:rsidRPr="00653BF4">
        <w:rPr>
          <w:lang w:val="fr-FR"/>
        </w:rPr>
        <w:t>’</w:t>
      </w:r>
      <w:r w:rsidRPr="00653BF4">
        <w:rPr>
          <w:lang w:val="fr-FR"/>
        </w:rPr>
        <w:t xml:space="preserve">est pas présentée comme inévitable </w:t>
      </w:r>
      <w:r w:rsidRPr="00653BF4">
        <w:rPr>
          <w:lang w:val="fr-FR"/>
        </w:rPr>
        <w:lastRenderedPageBreak/>
        <w:t>dans les rapports d</w:t>
      </w:r>
      <w:r w:rsidR="002A58C8" w:rsidRPr="00653BF4">
        <w:rPr>
          <w:lang w:val="fr-FR"/>
        </w:rPr>
        <w:t>’</w:t>
      </w:r>
      <w:r w:rsidRPr="00653BF4">
        <w:rPr>
          <w:lang w:val="fr-FR"/>
        </w:rPr>
        <w:t>évaluation, qui proposent des solutions potentielles et renforcent encore davantage la nécessité d</w:t>
      </w:r>
      <w:r w:rsidR="002A58C8" w:rsidRPr="00653BF4">
        <w:rPr>
          <w:lang w:val="fr-FR"/>
        </w:rPr>
        <w:t>’</w:t>
      </w:r>
      <w:r w:rsidRPr="00653BF4">
        <w:rPr>
          <w:lang w:val="fr-FR"/>
        </w:rPr>
        <w:t>une action urgente et transformatrice.</w:t>
      </w:r>
    </w:p>
    <w:p w14:paraId="51046551" w14:textId="211C09F6" w:rsidR="004510BB" w:rsidRPr="00653BF4" w:rsidRDefault="004510BB" w:rsidP="004510BB">
      <w:pPr>
        <w:rPr>
          <w:lang w:val="fr-FR"/>
        </w:rPr>
      </w:pPr>
      <w:r w:rsidRPr="00653BF4">
        <w:rPr>
          <w:lang w:val="fr-FR"/>
        </w:rPr>
        <w:t>Bien qu</w:t>
      </w:r>
      <w:r w:rsidR="002A58C8" w:rsidRPr="00653BF4">
        <w:rPr>
          <w:lang w:val="fr-FR"/>
        </w:rPr>
        <w:t>’</w:t>
      </w:r>
      <w:r w:rsidRPr="00653BF4">
        <w:rPr>
          <w:lang w:val="fr-FR"/>
        </w:rPr>
        <w:t>il existe des preuves scientifiques indiquant que la perte de biodiversité a continué, il existe également des preuves montrant qu</w:t>
      </w:r>
      <w:r w:rsidR="002A58C8" w:rsidRPr="00653BF4">
        <w:rPr>
          <w:lang w:val="fr-FR"/>
        </w:rPr>
        <w:t>’</w:t>
      </w:r>
      <w:r w:rsidRPr="00653BF4">
        <w:rPr>
          <w:lang w:val="fr-FR"/>
        </w:rPr>
        <w:t>il n</w:t>
      </w:r>
      <w:r w:rsidR="002A58C8" w:rsidRPr="00653BF4">
        <w:rPr>
          <w:lang w:val="fr-FR"/>
        </w:rPr>
        <w:t>’</w:t>
      </w:r>
      <w:r w:rsidRPr="00653BF4">
        <w:rPr>
          <w:lang w:val="fr-FR"/>
        </w:rPr>
        <w:t xml:space="preserve">est pas trop tard pour inverser cette tendance (Kok </w:t>
      </w:r>
      <w:r w:rsidRPr="00653BF4">
        <w:rPr>
          <w:i/>
          <w:iCs/>
          <w:lang w:val="fr-FR"/>
        </w:rPr>
        <w:t>et al.</w:t>
      </w:r>
      <w:r w:rsidRPr="00653BF4">
        <w:rPr>
          <w:lang w:val="fr-FR"/>
        </w:rPr>
        <w:t>, 2023</w:t>
      </w:r>
      <w:r w:rsidR="00E34DC9">
        <w:rPr>
          <w:lang w:val="fr-FR"/>
        </w:rPr>
        <w:t> ;</w:t>
      </w:r>
      <w:r w:rsidRPr="00653BF4">
        <w:rPr>
          <w:lang w:val="fr-FR"/>
        </w:rPr>
        <w:t xml:space="preserve"> Leadley </w:t>
      </w:r>
      <w:r w:rsidRPr="00653BF4">
        <w:rPr>
          <w:i/>
          <w:iCs/>
          <w:lang w:val="fr-FR"/>
        </w:rPr>
        <w:t>et al.</w:t>
      </w:r>
      <w:r w:rsidRPr="00653BF4">
        <w:rPr>
          <w:lang w:val="fr-FR"/>
        </w:rPr>
        <w:t>, 2022</w:t>
      </w:r>
      <w:r w:rsidR="00E34DC9">
        <w:rPr>
          <w:lang w:val="fr-FR"/>
        </w:rPr>
        <w:t> ;</w:t>
      </w:r>
      <w:r w:rsidRPr="00653BF4">
        <w:rPr>
          <w:lang w:val="fr-FR"/>
        </w:rPr>
        <w:t xml:space="preserve"> et Leclère </w:t>
      </w:r>
      <w:r w:rsidRPr="00653BF4">
        <w:rPr>
          <w:i/>
          <w:iCs/>
          <w:lang w:val="fr-FR"/>
        </w:rPr>
        <w:t>et al.</w:t>
      </w:r>
      <w:r w:rsidRPr="00653BF4">
        <w:rPr>
          <w:lang w:val="fr-FR"/>
        </w:rPr>
        <w:t>, 2020), et que les mesures de conservation et de restauration ont généralement des effets positifs, par rapport à des scénarios alternatifs dans lesquels de telles mesures n</w:t>
      </w:r>
      <w:r w:rsidR="002A58C8" w:rsidRPr="00653BF4">
        <w:rPr>
          <w:lang w:val="fr-FR"/>
        </w:rPr>
        <w:t>’</w:t>
      </w:r>
      <w:r w:rsidRPr="00653BF4">
        <w:rPr>
          <w:lang w:val="fr-FR"/>
        </w:rPr>
        <w:t xml:space="preserve">auraient pas été mises en œuvre (Langhammer </w:t>
      </w:r>
      <w:r w:rsidRPr="00653BF4">
        <w:rPr>
          <w:i/>
          <w:iCs/>
          <w:lang w:val="fr-FR"/>
        </w:rPr>
        <w:t>et al.</w:t>
      </w:r>
      <w:r w:rsidRPr="00653BF4">
        <w:rPr>
          <w:lang w:val="fr-FR"/>
        </w:rPr>
        <w:t>, 2024). Ce Cadre a été élaboré afin d</w:t>
      </w:r>
      <w:r w:rsidR="002A58C8" w:rsidRPr="00653BF4">
        <w:rPr>
          <w:lang w:val="fr-FR"/>
        </w:rPr>
        <w:t>’</w:t>
      </w:r>
      <w:r w:rsidRPr="00653BF4">
        <w:rPr>
          <w:lang w:val="fr-FR"/>
        </w:rPr>
        <w:t>identifier des mesures spécifiques susceptibles d</w:t>
      </w:r>
      <w:r w:rsidR="002A58C8" w:rsidRPr="00653BF4">
        <w:rPr>
          <w:lang w:val="fr-FR"/>
        </w:rPr>
        <w:t>’</w:t>
      </w:r>
      <w:r w:rsidRPr="00653BF4">
        <w:rPr>
          <w:lang w:val="fr-FR"/>
        </w:rPr>
        <w:t>enrayer et d</w:t>
      </w:r>
      <w:r w:rsidR="002A58C8" w:rsidRPr="00653BF4">
        <w:rPr>
          <w:lang w:val="fr-FR"/>
        </w:rPr>
        <w:t>’</w:t>
      </w:r>
      <w:r w:rsidRPr="00653BF4">
        <w:rPr>
          <w:lang w:val="fr-FR"/>
        </w:rPr>
        <w:t>inverser la perte de biodiversité.</w:t>
      </w:r>
    </w:p>
    <w:bookmarkEnd w:id="40"/>
    <w:bookmarkEnd w:id="41"/>
    <w:bookmarkEnd w:id="42"/>
    <w:p w14:paraId="0C0251B9" w14:textId="6FB91086" w:rsidR="00BE4B8D" w:rsidRPr="00653BF4" w:rsidRDefault="00BE4B8D" w:rsidP="00BE4B8D">
      <w:pPr>
        <w:pStyle w:val="Caption"/>
        <w:keepNext/>
        <w:rPr>
          <w:b/>
          <w:i w:val="0"/>
          <w:sz w:val="20"/>
          <w:szCs w:val="20"/>
          <w:lang w:val="fr-FR"/>
        </w:rPr>
      </w:pPr>
    </w:p>
    <w:tbl>
      <w:tblPr>
        <w:tblStyle w:val="TableGrid"/>
        <w:tblW w:w="0" w:type="auto"/>
        <w:tblLook w:val="04A0" w:firstRow="1" w:lastRow="0" w:firstColumn="1" w:lastColumn="0" w:noHBand="0" w:noVBand="1"/>
      </w:tblPr>
      <w:tblGrid>
        <w:gridCol w:w="9016"/>
      </w:tblGrid>
      <w:tr w:rsidR="00AB4B11" w:rsidRPr="00543148" w14:paraId="570EDDCB" w14:textId="77777777" w:rsidTr="00AB4B11">
        <w:tc>
          <w:tcPr>
            <w:tcW w:w="9016" w:type="dxa"/>
            <w:shd w:val="clear" w:color="auto" w:fill="D1D1D1" w:themeFill="background2" w:themeFillShade="E6"/>
          </w:tcPr>
          <w:p w14:paraId="6E9937DD" w14:textId="6300B735" w:rsidR="00DB593D" w:rsidRPr="00653BF4" w:rsidRDefault="004510BB" w:rsidP="003A4DBE">
            <w:pPr>
              <w:rPr>
                <w:i/>
                <w:sz w:val="20"/>
                <w:szCs w:val="20"/>
                <w:lang w:val="fr-FR"/>
              </w:rPr>
            </w:pPr>
            <w:bookmarkStart w:id="43" w:name="_Ref235523557"/>
            <w:r w:rsidRPr="00653BF4">
              <w:rPr>
                <w:sz w:val="20"/>
                <w:szCs w:val="20"/>
                <w:lang w:val="fr-FR"/>
              </w:rPr>
              <w:t>Encadré</w:t>
            </w:r>
            <w:r w:rsidR="00DB593D" w:rsidRPr="00653BF4">
              <w:rPr>
                <w:sz w:val="20"/>
                <w:szCs w:val="20"/>
                <w:lang w:val="fr-FR"/>
              </w:rPr>
              <w:t xml:space="preserve"> </w:t>
            </w:r>
            <w:r w:rsidR="008306DF" w:rsidRPr="00653BF4">
              <w:rPr>
                <w:noProof/>
                <w:sz w:val="20"/>
                <w:szCs w:val="20"/>
                <w:lang w:val="fr-FR"/>
              </w:rPr>
              <w:t>5</w:t>
            </w:r>
            <w:bookmarkEnd w:id="43"/>
          </w:p>
          <w:p w14:paraId="4F97C974" w14:textId="77777777" w:rsidR="00DB593D" w:rsidRPr="00653BF4" w:rsidRDefault="00DB593D" w:rsidP="003A4DBE">
            <w:pPr>
              <w:rPr>
                <w:i/>
                <w:sz w:val="20"/>
                <w:szCs w:val="20"/>
                <w:lang w:val="fr-FR"/>
              </w:rPr>
            </w:pPr>
          </w:p>
          <w:p w14:paraId="7E9D6164" w14:textId="27556CA1" w:rsidR="003A4DBE" w:rsidRPr="00653BF4" w:rsidRDefault="004510BB" w:rsidP="003A4DBE">
            <w:pPr>
              <w:rPr>
                <w:b/>
                <w:sz w:val="20"/>
                <w:szCs w:val="20"/>
                <w:lang w:val="fr-FR"/>
              </w:rPr>
            </w:pPr>
            <w:r w:rsidRPr="00653BF4">
              <w:rPr>
                <w:b/>
                <w:sz w:val="20"/>
                <w:szCs w:val="20"/>
                <w:lang w:val="fr-FR"/>
              </w:rPr>
              <w:t>Rapports d</w:t>
            </w:r>
            <w:r w:rsidR="002A58C8" w:rsidRPr="00653BF4">
              <w:rPr>
                <w:b/>
                <w:sz w:val="20"/>
                <w:szCs w:val="20"/>
                <w:lang w:val="fr-FR"/>
              </w:rPr>
              <w:t>’</w:t>
            </w:r>
            <w:r w:rsidRPr="00653BF4">
              <w:rPr>
                <w:b/>
                <w:sz w:val="20"/>
                <w:szCs w:val="20"/>
                <w:lang w:val="fr-FR"/>
              </w:rPr>
              <w:t>évaluation de l</w:t>
            </w:r>
            <w:r w:rsidR="002A58C8" w:rsidRPr="00653BF4">
              <w:rPr>
                <w:b/>
                <w:sz w:val="20"/>
                <w:szCs w:val="20"/>
                <w:lang w:val="fr-FR"/>
              </w:rPr>
              <w:t>’</w:t>
            </w:r>
            <w:r w:rsidRPr="00653BF4">
              <w:rPr>
                <w:b/>
                <w:sz w:val="20"/>
                <w:szCs w:val="20"/>
                <w:lang w:val="fr-FR"/>
              </w:rPr>
              <w:t>IPBES publiés depuis l</w:t>
            </w:r>
            <w:r w:rsidR="002A58C8" w:rsidRPr="00653BF4">
              <w:rPr>
                <w:b/>
                <w:sz w:val="20"/>
                <w:szCs w:val="20"/>
                <w:lang w:val="fr-FR"/>
              </w:rPr>
              <w:t>’</w:t>
            </w:r>
            <w:r w:rsidRPr="00653BF4">
              <w:rPr>
                <w:b/>
                <w:sz w:val="20"/>
                <w:szCs w:val="20"/>
                <w:lang w:val="fr-FR"/>
              </w:rPr>
              <w:t>adoption du Cadre</w:t>
            </w:r>
          </w:p>
          <w:p w14:paraId="7725877B" w14:textId="77777777" w:rsidR="00DB593D" w:rsidRPr="00653BF4" w:rsidRDefault="00DB593D" w:rsidP="003A4DBE">
            <w:pPr>
              <w:rPr>
                <w:color w:val="000000" w:themeColor="text1"/>
                <w:sz w:val="20"/>
                <w:szCs w:val="20"/>
                <w:lang w:val="fr-FR"/>
              </w:rPr>
            </w:pPr>
          </w:p>
          <w:p w14:paraId="661859A4" w14:textId="0E5F27C3" w:rsidR="00957E81" w:rsidRPr="00653BF4" w:rsidRDefault="00957E81" w:rsidP="00957E81">
            <w:pPr>
              <w:rPr>
                <w:color w:val="000000" w:themeColor="text1"/>
                <w:sz w:val="20"/>
                <w:szCs w:val="20"/>
                <w:lang w:val="fr-FR"/>
              </w:rPr>
            </w:pPr>
            <w:r w:rsidRPr="00653BF4">
              <w:rPr>
                <w:color w:val="000000" w:themeColor="text1"/>
                <w:sz w:val="20"/>
                <w:szCs w:val="20"/>
                <w:lang w:val="fr-FR"/>
              </w:rPr>
              <w:t>Le Rapport d</w:t>
            </w:r>
            <w:r w:rsidR="002A58C8" w:rsidRPr="00653BF4">
              <w:rPr>
                <w:color w:val="000000" w:themeColor="text1"/>
                <w:sz w:val="20"/>
                <w:szCs w:val="20"/>
                <w:lang w:val="fr-FR"/>
              </w:rPr>
              <w:t>’</w:t>
            </w:r>
            <w:r w:rsidRPr="00653BF4">
              <w:rPr>
                <w:color w:val="000000" w:themeColor="text1"/>
                <w:sz w:val="20"/>
                <w:szCs w:val="20"/>
                <w:lang w:val="fr-FR"/>
              </w:rPr>
              <w:t>évaluation méthodologique sur la diversité des valeurs de la nature et leur évaluation , publié par la Plateforme intergouvernementale scientifique et politique sur la biodiversité et les services écosystémiques (IPBES, 2022), a mis en évidence les raisons pour lesquelles la biodiversité poursuit son déclin malgré l</w:t>
            </w:r>
            <w:r w:rsidR="002A58C8" w:rsidRPr="00653BF4">
              <w:rPr>
                <w:color w:val="000000" w:themeColor="text1"/>
                <w:sz w:val="20"/>
                <w:szCs w:val="20"/>
                <w:lang w:val="fr-FR"/>
              </w:rPr>
              <w:t>’</w:t>
            </w:r>
            <w:r w:rsidRPr="00653BF4">
              <w:rPr>
                <w:color w:val="000000" w:themeColor="text1"/>
                <w:sz w:val="20"/>
                <w:szCs w:val="20"/>
                <w:lang w:val="fr-FR"/>
              </w:rPr>
              <w:t>existence de nombreuses preuves scientifiques attestant de ce problème. L</w:t>
            </w:r>
            <w:r w:rsidR="002A58C8" w:rsidRPr="00653BF4">
              <w:rPr>
                <w:color w:val="000000" w:themeColor="text1"/>
                <w:sz w:val="20"/>
                <w:szCs w:val="20"/>
                <w:lang w:val="fr-FR"/>
              </w:rPr>
              <w:t>’</w:t>
            </w:r>
            <w:r w:rsidRPr="00653BF4">
              <w:rPr>
                <w:color w:val="000000" w:themeColor="text1"/>
                <w:sz w:val="20"/>
                <w:szCs w:val="20"/>
                <w:lang w:val="fr-FR"/>
              </w:rPr>
              <w:t>une des conclusions de cette évaluation des valeurs était que, sans changement dans la manière dont les sociétés définissent la valeur, le progrès et le développement, l</w:t>
            </w:r>
            <w:r w:rsidR="002A58C8" w:rsidRPr="00653BF4">
              <w:rPr>
                <w:color w:val="000000" w:themeColor="text1"/>
                <w:sz w:val="20"/>
                <w:szCs w:val="20"/>
                <w:lang w:val="fr-FR"/>
              </w:rPr>
              <w:t>’</w:t>
            </w:r>
            <w:r w:rsidRPr="00653BF4">
              <w:rPr>
                <w:color w:val="000000" w:themeColor="text1"/>
                <w:sz w:val="20"/>
                <w:szCs w:val="20"/>
                <w:lang w:val="fr-FR"/>
              </w:rPr>
              <w:t>amélioration des données et des informations ne suffirait pas à elle seule à amorcer une transition visant à lutter contre la perte de biodiversité. Ce rapport d</w:t>
            </w:r>
            <w:r w:rsidR="002A58C8" w:rsidRPr="00653BF4">
              <w:rPr>
                <w:color w:val="000000" w:themeColor="text1"/>
                <w:sz w:val="20"/>
                <w:szCs w:val="20"/>
                <w:lang w:val="fr-FR"/>
              </w:rPr>
              <w:t>’</w:t>
            </w:r>
            <w:r w:rsidRPr="00653BF4">
              <w:rPr>
                <w:color w:val="000000" w:themeColor="text1"/>
                <w:sz w:val="20"/>
                <w:szCs w:val="20"/>
                <w:lang w:val="fr-FR"/>
              </w:rPr>
              <w:t>évaluation a proposé des options politiques visant à faciliter une évolution des valeurs et à lutter conjointement contre la perte de biodiversité et les inégalités sociétales.</w:t>
            </w:r>
          </w:p>
          <w:p w14:paraId="4F33DA9E" w14:textId="65E64FAE" w:rsidR="00957E81" w:rsidRPr="00653BF4" w:rsidRDefault="00957E81" w:rsidP="00957E81">
            <w:pPr>
              <w:rPr>
                <w:color w:val="000000" w:themeColor="text1"/>
                <w:sz w:val="20"/>
                <w:szCs w:val="20"/>
                <w:lang w:val="fr-FR"/>
              </w:rPr>
            </w:pPr>
            <w:r w:rsidRPr="00653BF4">
              <w:rPr>
                <w:color w:val="000000" w:themeColor="text1"/>
                <w:sz w:val="20"/>
                <w:szCs w:val="20"/>
                <w:lang w:val="fr-FR"/>
              </w:rPr>
              <w:t>Le Rapport d</w:t>
            </w:r>
            <w:r w:rsidR="002A58C8" w:rsidRPr="00653BF4">
              <w:rPr>
                <w:color w:val="000000" w:themeColor="text1"/>
                <w:sz w:val="20"/>
                <w:szCs w:val="20"/>
                <w:lang w:val="fr-FR"/>
              </w:rPr>
              <w:t>’</w:t>
            </w:r>
            <w:r w:rsidRPr="00653BF4">
              <w:rPr>
                <w:color w:val="000000" w:themeColor="text1"/>
                <w:sz w:val="20"/>
                <w:szCs w:val="20"/>
                <w:lang w:val="fr-FR"/>
              </w:rPr>
              <w:t>évaluation thématique sur l</w:t>
            </w:r>
            <w:r w:rsidR="002A58C8" w:rsidRPr="00653BF4">
              <w:rPr>
                <w:color w:val="000000" w:themeColor="text1"/>
                <w:sz w:val="20"/>
                <w:szCs w:val="20"/>
                <w:lang w:val="fr-FR"/>
              </w:rPr>
              <w:t>’</w:t>
            </w:r>
            <w:r w:rsidRPr="00653BF4">
              <w:rPr>
                <w:color w:val="000000" w:themeColor="text1"/>
                <w:sz w:val="20"/>
                <w:szCs w:val="20"/>
                <w:lang w:val="fr-FR"/>
              </w:rPr>
              <w:t>utilisation durable des espèces sauvages (IPBES, 2022b) a démontré que des milliards de populations dépendaient directement des espèces sauvages pour leur alimentation, leur énergie, leurs matériaux, leurs médicaments, leurs revenus et leurs pratiques culturelles. Par exemple, l</w:t>
            </w:r>
            <w:r w:rsidR="002A58C8" w:rsidRPr="00653BF4">
              <w:rPr>
                <w:color w:val="000000" w:themeColor="text1"/>
                <w:sz w:val="20"/>
                <w:szCs w:val="20"/>
                <w:lang w:val="fr-FR"/>
              </w:rPr>
              <w:t>’</w:t>
            </w:r>
            <w:r w:rsidRPr="00653BF4">
              <w:rPr>
                <w:color w:val="000000" w:themeColor="text1"/>
                <w:sz w:val="20"/>
                <w:szCs w:val="20"/>
                <w:lang w:val="fr-FR"/>
              </w:rPr>
              <w:t>évaluation de l</w:t>
            </w:r>
            <w:r w:rsidR="002A58C8" w:rsidRPr="00653BF4">
              <w:rPr>
                <w:color w:val="000000" w:themeColor="text1"/>
                <w:sz w:val="20"/>
                <w:szCs w:val="20"/>
                <w:lang w:val="fr-FR"/>
              </w:rPr>
              <w:t>’</w:t>
            </w:r>
            <w:r w:rsidRPr="00653BF4">
              <w:rPr>
                <w:color w:val="000000" w:themeColor="text1"/>
                <w:sz w:val="20"/>
                <w:szCs w:val="20"/>
                <w:lang w:val="fr-FR"/>
              </w:rPr>
              <w:t>utilisation durable a mis en évidence qu</w:t>
            </w:r>
            <w:r w:rsidR="002A58C8" w:rsidRPr="00653BF4">
              <w:rPr>
                <w:color w:val="000000" w:themeColor="text1"/>
                <w:sz w:val="20"/>
                <w:szCs w:val="20"/>
                <w:lang w:val="fr-FR"/>
              </w:rPr>
              <w:t>’</w:t>
            </w:r>
            <w:r w:rsidRPr="00653BF4">
              <w:rPr>
                <w:color w:val="000000" w:themeColor="text1"/>
                <w:sz w:val="20"/>
                <w:szCs w:val="20"/>
                <w:lang w:val="fr-FR"/>
              </w:rPr>
              <w:t>une personne sur cinq dépendait des espèces sauvages pour ses revenus et son alimentation, que plus de 10 000 espèces sauvages étaient exploitées à des fins alimentaires et qu</w:t>
            </w:r>
            <w:r w:rsidR="002A58C8" w:rsidRPr="00653BF4">
              <w:rPr>
                <w:color w:val="000000" w:themeColor="text1"/>
                <w:sz w:val="20"/>
                <w:szCs w:val="20"/>
                <w:lang w:val="fr-FR"/>
              </w:rPr>
              <w:t>’</w:t>
            </w:r>
            <w:r w:rsidRPr="00653BF4">
              <w:rPr>
                <w:color w:val="000000" w:themeColor="text1"/>
                <w:sz w:val="20"/>
                <w:szCs w:val="20"/>
                <w:lang w:val="fr-FR"/>
              </w:rPr>
              <w:t xml:space="preserve">environ 2,4 milliards de personnes dépendaient du bois de chauffage pour cuisiner. De plus, cette évaluation a fourni un </w:t>
            </w:r>
            <w:r w:rsidR="00422EC7" w:rsidRPr="00653BF4">
              <w:rPr>
                <w:color w:val="000000" w:themeColor="text1"/>
                <w:sz w:val="20"/>
                <w:szCs w:val="20"/>
                <w:lang w:val="fr-FR"/>
              </w:rPr>
              <w:t>résumé</w:t>
            </w:r>
            <w:r w:rsidRPr="00653BF4">
              <w:rPr>
                <w:color w:val="000000" w:themeColor="text1"/>
                <w:sz w:val="20"/>
                <w:szCs w:val="20"/>
                <w:lang w:val="fr-FR"/>
              </w:rPr>
              <w:t xml:space="preserve"> des avantages que les populations tiraient de la biodiversité et des services écosystémiques, a examiné les risques pour la santé et le bien-être humains en cas de déclin des contributions de la nature aux populations et a présenté des options pour une meilleure gestion.</w:t>
            </w:r>
          </w:p>
          <w:p w14:paraId="3786334A" w14:textId="77777777" w:rsidR="00957E81" w:rsidRPr="00653BF4" w:rsidRDefault="00957E81" w:rsidP="00957E81">
            <w:pPr>
              <w:rPr>
                <w:color w:val="000000" w:themeColor="text1"/>
                <w:sz w:val="20"/>
                <w:szCs w:val="20"/>
                <w:lang w:val="fr-FR"/>
              </w:rPr>
            </w:pPr>
          </w:p>
          <w:p w14:paraId="1356CAC6" w14:textId="33948AB1" w:rsidR="00957E81" w:rsidRPr="00653BF4" w:rsidRDefault="00957E81" w:rsidP="00957E81">
            <w:pPr>
              <w:rPr>
                <w:color w:val="000000" w:themeColor="text1"/>
                <w:sz w:val="20"/>
                <w:szCs w:val="20"/>
                <w:lang w:val="fr-FR"/>
              </w:rPr>
            </w:pPr>
            <w:r w:rsidRPr="00653BF4">
              <w:rPr>
                <w:color w:val="000000" w:themeColor="text1"/>
                <w:sz w:val="20"/>
                <w:szCs w:val="20"/>
                <w:lang w:val="fr-FR"/>
              </w:rPr>
              <w:t>Dans le Rapport d</w:t>
            </w:r>
            <w:r w:rsidR="002A58C8" w:rsidRPr="00653BF4">
              <w:rPr>
                <w:color w:val="000000" w:themeColor="text1"/>
                <w:sz w:val="20"/>
                <w:szCs w:val="20"/>
                <w:lang w:val="fr-FR"/>
              </w:rPr>
              <w:t>’</w:t>
            </w:r>
            <w:r w:rsidRPr="00653BF4">
              <w:rPr>
                <w:color w:val="000000" w:themeColor="text1"/>
                <w:sz w:val="20"/>
                <w:szCs w:val="20"/>
                <w:lang w:val="fr-FR"/>
              </w:rPr>
              <w:t>évaluation thématique sur les espèces exotiques envahissantes et la lutte contre leur prolifération (IPBES, 2023a), il a été confirmé que la pression exercée par ce facteur de perte de biodiversité continuait de s</w:t>
            </w:r>
            <w:r w:rsidR="002A58C8" w:rsidRPr="00653BF4">
              <w:rPr>
                <w:color w:val="000000" w:themeColor="text1"/>
                <w:sz w:val="20"/>
                <w:szCs w:val="20"/>
                <w:lang w:val="fr-FR"/>
              </w:rPr>
              <w:t>’</w:t>
            </w:r>
            <w:r w:rsidRPr="00653BF4">
              <w:rPr>
                <w:color w:val="000000" w:themeColor="text1"/>
                <w:sz w:val="20"/>
                <w:szCs w:val="20"/>
                <w:lang w:val="fr-FR"/>
              </w:rPr>
              <w:t>intensifier. Les espèces exotiques envahissantes, qui constituent l</w:t>
            </w:r>
            <w:r w:rsidR="002A58C8" w:rsidRPr="00653BF4">
              <w:rPr>
                <w:color w:val="000000" w:themeColor="text1"/>
                <w:sz w:val="20"/>
                <w:szCs w:val="20"/>
                <w:lang w:val="fr-FR"/>
              </w:rPr>
              <w:t>’</w:t>
            </w:r>
            <w:r w:rsidRPr="00653BF4">
              <w:rPr>
                <w:color w:val="000000" w:themeColor="text1"/>
                <w:sz w:val="20"/>
                <w:szCs w:val="20"/>
                <w:lang w:val="fr-FR"/>
              </w:rPr>
              <w:t>un des cinq principaux facteurs directs de perte de biodiversité identifiés dans le Rapport d</w:t>
            </w:r>
            <w:r w:rsidR="002A58C8" w:rsidRPr="00653BF4">
              <w:rPr>
                <w:color w:val="000000" w:themeColor="text1"/>
                <w:sz w:val="20"/>
                <w:szCs w:val="20"/>
                <w:lang w:val="fr-FR"/>
              </w:rPr>
              <w:t>’</w:t>
            </w:r>
            <w:r w:rsidRPr="00653BF4">
              <w:rPr>
                <w:color w:val="000000" w:themeColor="text1"/>
                <w:sz w:val="20"/>
                <w:szCs w:val="20"/>
                <w:lang w:val="fr-FR"/>
              </w:rPr>
              <w:t>évaluation mondial de l</w:t>
            </w:r>
            <w:r w:rsidR="002A58C8" w:rsidRPr="00653BF4">
              <w:rPr>
                <w:color w:val="000000" w:themeColor="text1"/>
                <w:sz w:val="20"/>
                <w:szCs w:val="20"/>
                <w:lang w:val="fr-FR"/>
              </w:rPr>
              <w:t>’</w:t>
            </w:r>
            <w:r w:rsidRPr="00653BF4">
              <w:rPr>
                <w:color w:val="000000" w:themeColor="text1"/>
                <w:sz w:val="20"/>
                <w:szCs w:val="20"/>
                <w:lang w:val="fr-FR"/>
              </w:rPr>
              <w:t>IPBES, ont contribué à l</w:t>
            </w:r>
            <w:r w:rsidR="002A58C8" w:rsidRPr="00653BF4">
              <w:rPr>
                <w:color w:val="000000" w:themeColor="text1"/>
                <w:sz w:val="20"/>
                <w:szCs w:val="20"/>
                <w:lang w:val="fr-FR"/>
              </w:rPr>
              <w:t>’</w:t>
            </w:r>
            <w:r w:rsidRPr="00653BF4">
              <w:rPr>
                <w:color w:val="000000" w:themeColor="text1"/>
                <w:sz w:val="20"/>
                <w:szCs w:val="20"/>
                <w:lang w:val="fr-FR"/>
              </w:rPr>
              <w:t>extinction d</w:t>
            </w:r>
            <w:r w:rsidR="002A58C8" w:rsidRPr="00653BF4">
              <w:rPr>
                <w:color w:val="000000" w:themeColor="text1"/>
                <w:sz w:val="20"/>
                <w:szCs w:val="20"/>
                <w:lang w:val="fr-FR"/>
              </w:rPr>
              <w:t>’</w:t>
            </w:r>
            <w:r w:rsidRPr="00653BF4">
              <w:rPr>
                <w:color w:val="000000" w:themeColor="text1"/>
                <w:sz w:val="20"/>
                <w:szCs w:val="20"/>
                <w:lang w:val="fr-FR"/>
              </w:rPr>
              <w:t>espèces, à la dégradation des écosystèmes et à des coûts économiques considérables. Le risque que représentent les espèces exotiques envahissantes continue à s</w:t>
            </w:r>
            <w:r w:rsidR="002A58C8" w:rsidRPr="00653BF4">
              <w:rPr>
                <w:color w:val="000000" w:themeColor="text1"/>
                <w:sz w:val="20"/>
                <w:szCs w:val="20"/>
                <w:lang w:val="fr-FR"/>
              </w:rPr>
              <w:t>’</w:t>
            </w:r>
            <w:r w:rsidRPr="00653BF4">
              <w:rPr>
                <w:color w:val="000000" w:themeColor="text1"/>
                <w:sz w:val="20"/>
                <w:szCs w:val="20"/>
                <w:lang w:val="fr-FR"/>
              </w:rPr>
              <w:t>aggraver du fait de l</w:t>
            </w:r>
            <w:r w:rsidR="002A58C8" w:rsidRPr="00653BF4">
              <w:rPr>
                <w:color w:val="000000" w:themeColor="text1"/>
                <w:sz w:val="20"/>
                <w:szCs w:val="20"/>
                <w:lang w:val="fr-FR"/>
              </w:rPr>
              <w:t>’</w:t>
            </w:r>
            <w:r w:rsidRPr="00653BF4">
              <w:rPr>
                <w:color w:val="000000" w:themeColor="text1"/>
                <w:sz w:val="20"/>
                <w:szCs w:val="20"/>
                <w:lang w:val="fr-FR"/>
              </w:rPr>
              <w:t>intensification des échanges commerciaux, des transports, des changements d</w:t>
            </w:r>
            <w:r w:rsidR="002A58C8" w:rsidRPr="00653BF4">
              <w:rPr>
                <w:color w:val="000000" w:themeColor="text1"/>
                <w:sz w:val="20"/>
                <w:szCs w:val="20"/>
                <w:lang w:val="fr-FR"/>
              </w:rPr>
              <w:t>’</w:t>
            </w:r>
            <w:r w:rsidRPr="00653BF4">
              <w:rPr>
                <w:color w:val="000000" w:themeColor="text1"/>
                <w:sz w:val="20"/>
                <w:szCs w:val="20"/>
                <w:lang w:val="fr-FR"/>
              </w:rPr>
              <w:t>affectation des sols et des effets des changements climatiques. L</w:t>
            </w:r>
            <w:r w:rsidR="002A58C8" w:rsidRPr="00653BF4">
              <w:rPr>
                <w:color w:val="000000" w:themeColor="text1"/>
                <w:sz w:val="20"/>
                <w:szCs w:val="20"/>
                <w:lang w:val="fr-FR"/>
              </w:rPr>
              <w:t>’</w:t>
            </w:r>
            <w:r w:rsidRPr="00653BF4">
              <w:rPr>
                <w:color w:val="000000" w:themeColor="text1"/>
                <w:sz w:val="20"/>
                <w:szCs w:val="20"/>
                <w:lang w:val="fr-FR"/>
              </w:rPr>
              <w:t>évaluation consacrée aux espèces exotiques envahissantes a fourni une boîte à outils permettant d</w:t>
            </w:r>
            <w:r w:rsidR="002A58C8" w:rsidRPr="00653BF4">
              <w:rPr>
                <w:color w:val="000000" w:themeColor="text1"/>
                <w:sz w:val="20"/>
                <w:szCs w:val="20"/>
                <w:lang w:val="fr-FR"/>
              </w:rPr>
              <w:t>’</w:t>
            </w:r>
            <w:r w:rsidRPr="00653BF4">
              <w:rPr>
                <w:color w:val="000000" w:themeColor="text1"/>
                <w:sz w:val="20"/>
                <w:szCs w:val="20"/>
                <w:lang w:val="fr-FR"/>
              </w:rPr>
              <w:t>atténuer les risques et les impacts causés par ces espèces.</w:t>
            </w:r>
          </w:p>
          <w:p w14:paraId="3AFE14AE" w14:textId="77777777" w:rsidR="00957E81" w:rsidRPr="00653BF4" w:rsidRDefault="00957E81" w:rsidP="00957E81">
            <w:pPr>
              <w:rPr>
                <w:color w:val="000000" w:themeColor="text1"/>
                <w:sz w:val="20"/>
                <w:szCs w:val="20"/>
                <w:lang w:val="fr-FR"/>
              </w:rPr>
            </w:pPr>
          </w:p>
          <w:p w14:paraId="03ADCC93" w14:textId="4BFCF4B5" w:rsidR="00957E81" w:rsidRPr="00653BF4" w:rsidRDefault="00957E81" w:rsidP="00957E81">
            <w:pPr>
              <w:rPr>
                <w:color w:val="000000" w:themeColor="text1"/>
                <w:sz w:val="20"/>
                <w:szCs w:val="20"/>
                <w:lang w:val="fr-FR"/>
              </w:rPr>
            </w:pPr>
            <w:r w:rsidRPr="00653BF4">
              <w:rPr>
                <w:color w:val="000000" w:themeColor="text1"/>
                <w:sz w:val="20"/>
                <w:szCs w:val="20"/>
                <w:lang w:val="fr-FR"/>
              </w:rPr>
              <w:t>L</w:t>
            </w:r>
            <w:r w:rsidR="002A58C8" w:rsidRPr="00653BF4">
              <w:rPr>
                <w:color w:val="000000" w:themeColor="text1"/>
                <w:sz w:val="20"/>
                <w:szCs w:val="20"/>
                <w:lang w:val="fr-FR"/>
              </w:rPr>
              <w:t>’</w:t>
            </w:r>
            <w:r w:rsidRPr="00653BF4">
              <w:rPr>
                <w:color w:val="000000" w:themeColor="text1"/>
                <w:sz w:val="20"/>
                <w:szCs w:val="20"/>
                <w:lang w:val="fr-FR"/>
              </w:rPr>
              <w:t xml:space="preserve">Évaluation thématique des causes sous-jacentes de la perte de biodiversité et des déterminants du changement transformateur, ainsi que des solutions possibles afin de réaliser la </w:t>
            </w:r>
            <w:r w:rsidR="001B0808" w:rsidRPr="00653BF4">
              <w:rPr>
                <w:color w:val="000000" w:themeColor="text1"/>
                <w:sz w:val="20"/>
                <w:szCs w:val="20"/>
                <w:lang w:val="fr-FR"/>
              </w:rPr>
              <w:t>vision pour 2050</w:t>
            </w:r>
            <w:r w:rsidRPr="00653BF4">
              <w:rPr>
                <w:color w:val="000000" w:themeColor="text1"/>
                <w:sz w:val="20"/>
                <w:szCs w:val="20"/>
                <w:lang w:val="fr-FR"/>
              </w:rPr>
              <w:t xml:space="preserve"> pour </w:t>
            </w:r>
            <w:r w:rsidRPr="00653BF4">
              <w:rPr>
                <w:color w:val="000000" w:themeColor="text1"/>
                <w:sz w:val="20"/>
                <w:szCs w:val="20"/>
                <w:lang w:val="fr-FR"/>
              </w:rPr>
              <w:lastRenderedPageBreak/>
              <w:t>la biodiversité (IPBES, 2024a) s</w:t>
            </w:r>
            <w:r w:rsidR="002A58C8" w:rsidRPr="00653BF4">
              <w:rPr>
                <w:color w:val="000000" w:themeColor="text1"/>
                <w:sz w:val="20"/>
                <w:szCs w:val="20"/>
                <w:lang w:val="fr-FR"/>
              </w:rPr>
              <w:t>’</w:t>
            </w:r>
            <w:r w:rsidRPr="00653BF4">
              <w:rPr>
                <w:color w:val="000000" w:themeColor="text1"/>
                <w:sz w:val="20"/>
                <w:szCs w:val="20"/>
                <w:lang w:val="fr-FR"/>
              </w:rPr>
              <w:t>est appuyé sur le rapport d</w:t>
            </w:r>
            <w:r w:rsidR="002A58C8" w:rsidRPr="00653BF4">
              <w:rPr>
                <w:color w:val="000000" w:themeColor="text1"/>
                <w:sz w:val="20"/>
                <w:szCs w:val="20"/>
                <w:lang w:val="fr-FR"/>
              </w:rPr>
              <w:t>’</w:t>
            </w:r>
            <w:r w:rsidRPr="00653BF4">
              <w:rPr>
                <w:color w:val="000000" w:themeColor="text1"/>
                <w:sz w:val="20"/>
                <w:szCs w:val="20"/>
                <w:lang w:val="fr-FR"/>
              </w:rPr>
              <w:t>évaluation mondial de l</w:t>
            </w:r>
            <w:r w:rsidR="002A58C8" w:rsidRPr="00653BF4">
              <w:rPr>
                <w:color w:val="000000" w:themeColor="text1"/>
                <w:sz w:val="20"/>
                <w:szCs w:val="20"/>
                <w:lang w:val="fr-FR"/>
              </w:rPr>
              <w:t>’</w:t>
            </w:r>
            <w:r w:rsidRPr="00653BF4">
              <w:rPr>
                <w:color w:val="000000" w:themeColor="text1"/>
                <w:sz w:val="20"/>
                <w:szCs w:val="20"/>
                <w:lang w:val="fr-FR"/>
              </w:rPr>
              <w:t>IPBES en précisant les modalités d</w:t>
            </w:r>
            <w:r w:rsidR="002A58C8" w:rsidRPr="00653BF4">
              <w:rPr>
                <w:color w:val="000000" w:themeColor="text1"/>
                <w:sz w:val="20"/>
                <w:szCs w:val="20"/>
                <w:lang w:val="fr-FR"/>
              </w:rPr>
              <w:t>’</w:t>
            </w:r>
            <w:r w:rsidRPr="00653BF4">
              <w:rPr>
                <w:color w:val="000000" w:themeColor="text1"/>
                <w:sz w:val="20"/>
                <w:szCs w:val="20"/>
                <w:lang w:val="fr-FR"/>
              </w:rPr>
              <w:t>un changement transformateur nécessaire à l</w:t>
            </w:r>
            <w:r w:rsidR="002A58C8" w:rsidRPr="00653BF4">
              <w:rPr>
                <w:color w:val="000000" w:themeColor="text1"/>
                <w:sz w:val="20"/>
                <w:szCs w:val="20"/>
                <w:lang w:val="fr-FR"/>
              </w:rPr>
              <w:t>’</w:t>
            </w:r>
            <w:r w:rsidRPr="00653BF4">
              <w:rPr>
                <w:color w:val="000000" w:themeColor="text1"/>
                <w:sz w:val="20"/>
                <w:szCs w:val="20"/>
                <w:lang w:val="fr-FR"/>
              </w:rPr>
              <w:t>amélioration des résultats en matière de biodiversité. Dans l</w:t>
            </w:r>
            <w:r w:rsidR="002A58C8" w:rsidRPr="00653BF4">
              <w:rPr>
                <w:color w:val="000000" w:themeColor="text1"/>
                <w:sz w:val="20"/>
                <w:szCs w:val="20"/>
                <w:lang w:val="fr-FR"/>
              </w:rPr>
              <w:t>’</w:t>
            </w:r>
            <w:r w:rsidRPr="00653BF4">
              <w:rPr>
                <w:color w:val="000000" w:themeColor="text1"/>
                <w:sz w:val="20"/>
                <w:szCs w:val="20"/>
                <w:lang w:val="fr-FR"/>
              </w:rPr>
              <w:t>évaluation consacrée au changement transformateur, il a été conclu que la biodiversité continuait à décliner et que la perte de biodiversité ne pouvait être enrayée par de simples ajustements marginaux. Ce qu</w:t>
            </w:r>
            <w:r w:rsidR="002A58C8" w:rsidRPr="00653BF4">
              <w:rPr>
                <w:color w:val="000000" w:themeColor="text1"/>
                <w:sz w:val="20"/>
                <w:szCs w:val="20"/>
                <w:lang w:val="fr-FR"/>
              </w:rPr>
              <w:t>’</w:t>
            </w:r>
            <w:r w:rsidRPr="00653BF4">
              <w:rPr>
                <w:color w:val="000000" w:themeColor="text1"/>
                <w:sz w:val="20"/>
                <w:szCs w:val="20"/>
                <w:lang w:val="fr-FR"/>
              </w:rPr>
              <w:t>il fallait, c</w:t>
            </w:r>
            <w:r w:rsidR="002A58C8" w:rsidRPr="00653BF4">
              <w:rPr>
                <w:color w:val="000000" w:themeColor="text1"/>
                <w:sz w:val="20"/>
                <w:szCs w:val="20"/>
                <w:lang w:val="fr-FR"/>
              </w:rPr>
              <w:t>’</w:t>
            </w:r>
            <w:r w:rsidRPr="00653BF4">
              <w:rPr>
                <w:color w:val="000000" w:themeColor="text1"/>
                <w:sz w:val="20"/>
                <w:szCs w:val="20"/>
                <w:lang w:val="fr-FR"/>
              </w:rPr>
              <w:t>était un changement transformateur au sein des systèmes à l</w:t>
            </w:r>
            <w:r w:rsidR="002A58C8" w:rsidRPr="00653BF4">
              <w:rPr>
                <w:color w:val="000000" w:themeColor="text1"/>
                <w:sz w:val="20"/>
                <w:szCs w:val="20"/>
                <w:lang w:val="fr-FR"/>
              </w:rPr>
              <w:t>’</w:t>
            </w:r>
            <w:r w:rsidRPr="00653BF4">
              <w:rPr>
                <w:color w:val="000000" w:themeColor="text1"/>
                <w:sz w:val="20"/>
                <w:szCs w:val="20"/>
                <w:lang w:val="fr-FR"/>
              </w:rPr>
              <w:t>origine du déclin de la biodiversité, notamment les systèmes alimentaires, énergétiques, infrastructurels, financiers, commerciaux et la gouvernance. L</w:t>
            </w:r>
            <w:r w:rsidR="002A58C8" w:rsidRPr="00653BF4">
              <w:rPr>
                <w:color w:val="000000" w:themeColor="text1"/>
                <w:sz w:val="20"/>
                <w:szCs w:val="20"/>
                <w:lang w:val="fr-FR"/>
              </w:rPr>
              <w:t>’</w:t>
            </w:r>
            <w:r w:rsidRPr="00653BF4">
              <w:rPr>
                <w:color w:val="000000" w:themeColor="text1"/>
                <w:sz w:val="20"/>
                <w:szCs w:val="20"/>
                <w:lang w:val="fr-FR"/>
              </w:rPr>
              <w:t>évaluation du changement transformateur a révélé que la promotion et l</w:t>
            </w:r>
            <w:r w:rsidR="002A58C8" w:rsidRPr="00653BF4">
              <w:rPr>
                <w:color w:val="000000" w:themeColor="text1"/>
                <w:sz w:val="20"/>
                <w:szCs w:val="20"/>
                <w:lang w:val="fr-FR"/>
              </w:rPr>
              <w:t>’</w:t>
            </w:r>
            <w:r w:rsidRPr="00653BF4">
              <w:rPr>
                <w:color w:val="000000" w:themeColor="text1"/>
                <w:sz w:val="20"/>
                <w:szCs w:val="20"/>
                <w:lang w:val="fr-FR"/>
              </w:rPr>
              <w:t xml:space="preserve">accélération de ce changement étaient essentielles pour atteindre les 23 cibles et les quatre objectifs du Cadre, ainsi que pour concrétiser la </w:t>
            </w:r>
            <w:r w:rsidR="001B0808" w:rsidRPr="00653BF4">
              <w:rPr>
                <w:color w:val="000000" w:themeColor="text1"/>
                <w:sz w:val="20"/>
                <w:szCs w:val="20"/>
                <w:lang w:val="fr-FR"/>
              </w:rPr>
              <w:t>vision pour 2050</w:t>
            </w:r>
            <w:r w:rsidRPr="00653BF4">
              <w:rPr>
                <w:color w:val="000000" w:themeColor="text1"/>
                <w:sz w:val="20"/>
                <w:szCs w:val="20"/>
                <w:lang w:val="fr-FR"/>
              </w:rPr>
              <w:t xml:space="preserve"> pour la biodiversité. Cette évaluation a fourni des orientations pertinentes pour l</w:t>
            </w:r>
            <w:r w:rsidR="002A58C8" w:rsidRPr="00653BF4">
              <w:rPr>
                <w:color w:val="000000" w:themeColor="text1"/>
                <w:sz w:val="20"/>
                <w:szCs w:val="20"/>
                <w:lang w:val="fr-FR"/>
              </w:rPr>
              <w:t>’</w:t>
            </w:r>
            <w:r w:rsidRPr="00653BF4">
              <w:rPr>
                <w:color w:val="000000" w:themeColor="text1"/>
                <w:sz w:val="20"/>
                <w:szCs w:val="20"/>
                <w:lang w:val="fr-FR"/>
              </w:rPr>
              <w:t>élaboration des politiques visant à favoriser ce changement transformateur.</w:t>
            </w:r>
          </w:p>
          <w:p w14:paraId="5442ED5A" w14:textId="77777777" w:rsidR="00957E81" w:rsidRPr="00653BF4" w:rsidRDefault="00957E81" w:rsidP="00957E81">
            <w:pPr>
              <w:rPr>
                <w:color w:val="000000" w:themeColor="text1"/>
                <w:sz w:val="20"/>
                <w:szCs w:val="20"/>
                <w:lang w:val="fr-FR"/>
              </w:rPr>
            </w:pPr>
          </w:p>
          <w:p w14:paraId="3D8DD12F" w14:textId="605DE0C4" w:rsidR="00957E81" w:rsidRPr="00653BF4" w:rsidRDefault="00957E81" w:rsidP="00957E81">
            <w:pPr>
              <w:rPr>
                <w:color w:val="000000" w:themeColor="text1"/>
                <w:sz w:val="20"/>
                <w:szCs w:val="20"/>
                <w:lang w:val="fr-FR"/>
              </w:rPr>
            </w:pPr>
            <w:r w:rsidRPr="00653BF4">
              <w:rPr>
                <w:color w:val="000000" w:themeColor="text1"/>
                <w:sz w:val="20"/>
                <w:szCs w:val="20"/>
                <w:lang w:val="fr-FR"/>
              </w:rPr>
              <w:t>Le rapport d</w:t>
            </w:r>
            <w:r w:rsidR="002A58C8" w:rsidRPr="00653BF4">
              <w:rPr>
                <w:color w:val="000000" w:themeColor="text1"/>
                <w:sz w:val="20"/>
                <w:szCs w:val="20"/>
                <w:lang w:val="fr-FR"/>
              </w:rPr>
              <w:t>’</w:t>
            </w:r>
            <w:r w:rsidRPr="00653BF4">
              <w:rPr>
                <w:color w:val="000000" w:themeColor="text1"/>
                <w:sz w:val="20"/>
                <w:szCs w:val="20"/>
                <w:lang w:val="fr-FR"/>
              </w:rPr>
              <w:t>évaluation thématique de l</w:t>
            </w:r>
            <w:r w:rsidR="002A58C8" w:rsidRPr="00653BF4">
              <w:rPr>
                <w:color w:val="000000" w:themeColor="text1"/>
                <w:sz w:val="20"/>
                <w:szCs w:val="20"/>
                <w:lang w:val="fr-FR"/>
              </w:rPr>
              <w:t>’</w:t>
            </w:r>
            <w:r w:rsidRPr="00653BF4">
              <w:rPr>
                <w:color w:val="000000" w:themeColor="text1"/>
                <w:sz w:val="20"/>
                <w:szCs w:val="20"/>
                <w:lang w:val="fr-FR"/>
              </w:rPr>
              <w:t>IPBES sur les interconnexions entre la biodiversité, l</w:t>
            </w:r>
            <w:r w:rsidR="002A58C8" w:rsidRPr="00653BF4">
              <w:rPr>
                <w:color w:val="000000" w:themeColor="text1"/>
                <w:sz w:val="20"/>
                <w:szCs w:val="20"/>
                <w:lang w:val="fr-FR"/>
              </w:rPr>
              <w:t>’</w:t>
            </w:r>
            <w:r w:rsidRPr="00653BF4">
              <w:rPr>
                <w:color w:val="000000" w:themeColor="text1"/>
                <w:sz w:val="20"/>
                <w:szCs w:val="20"/>
                <w:lang w:val="fr-FR"/>
              </w:rPr>
              <w:t>eau, l</w:t>
            </w:r>
            <w:r w:rsidR="002A58C8" w:rsidRPr="00653BF4">
              <w:rPr>
                <w:color w:val="000000" w:themeColor="text1"/>
                <w:sz w:val="20"/>
                <w:szCs w:val="20"/>
                <w:lang w:val="fr-FR"/>
              </w:rPr>
              <w:t>’</w:t>
            </w:r>
            <w:r w:rsidRPr="00653BF4">
              <w:rPr>
                <w:color w:val="000000" w:themeColor="text1"/>
                <w:sz w:val="20"/>
                <w:szCs w:val="20"/>
                <w:lang w:val="fr-FR"/>
              </w:rPr>
              <w:t xml:space="preserve">alimentation et la santé (évaluation Nexus) (IPBES, 2024b) a encore renforcé la prise de conscience </w:t>
            </w:r>
            <w:r w:rsidR="008A4A2B" w:rsidRPr="00653BF4">
              <w:rPr>
                <w:color w:val="000000" w:themeColor="text1"/>
                <w:sz w:val="20"/>
                <w:szCs w:val="20"/>
                <w:lang w:val="fr-FR"/>
              </w:rPr>
              <w:t>que</w:t>
            </w:r>
            <w:r w:rsidRPr="00653BF4">
              <w:rPr>
                <w:color w:val="000000" w:themeColor="text1"/>
                <w:sz w:val="20"/>
                <w:szCs w:val="20"/>
                <w:lang w:val="fr-FR"/>
              </w:rPr>
              <w:t xml:space="preserve"> la perte de biodiversité ne </w:t>
            </w:r>
            <w:r w:rsidR="00AA3B97" w:rsidRPr="00653BF4">
              <w:rPr>
                <w:color w:val="000000" w:themeColor="text1"/>
                <w:sz w:val="20"/>
                <w:szCs w:val="20"/>
                <w:lang w:val="fr-FR"/>
              </w:rPr>
              <w:t>saurait être</w:t>
            </w:r>
            <w:r w:rsidRPr="00653BF4">
              <w:rPr>
                <w:color w:val="000000" w:themeColor="text1"/>
                <w:sz w:val="20"/>
                <w:szCs w:val="20"/>
                <w:lang w:val="fr-FR"/>
              </w:rPr>
              <w:t xml:space="preserve"> </w:t>
            </w:r>
            <w:r w:rsidR="00A66B8E" w:rsidRPr="00653BF4">
              <w:rPr>
                <w:color w:val="000000" w:themeColor="text1"/>
                <w:sz w:val="20"/>
                <w:szCs w:val="20"/>
                <w:lang w:val="fr-FR"/>
              </w:rPr>
              <w:t>pr</w:t>
            </w:r>
            <w:r w:rsidR="00F47F8A" w:rsidRPr="00653BF4">
              <w:rPr>
                <w:color w:val="000000" w:themeColor="text1"/>
                <w:sz w:val="20"/>
                <w:szCs w:val="20"/>
                <w:lang w:val="fr-FR"/>
              </w:rPr>
              <w:t xml:space="preserve">ise en compte isolément </w:t>
            </w:r>
            <w:r w:rsidRPr="00653BF4">
              <w:rPr>
                <w:color w:val="000000" w:themeColor="text1"/>
                <w:sz w:val="20"/>
                <w:szCs w:val="20"/>
                <w:lang w:val="fr-FR"/>
              </w:rPr>
              <w:t xml:space="preserve">des autres défis </w:t>
            </w:r>
            <w:r w:rsidR="00A27A7F" w:rsidRPr="00653BF4">
              <w:rPr>
                <w:color w:val="000000" w:themeColor="text1"/>
                <w:sz w:val="20"/>
                <w:szCs w:val="20"/>
                <w:lang w:val="fr-FR"/>
              </w:rPr>
              <w:t>que doit surmonter la planète</w:t>
            </w:r>
            <w:r w:rsidR="00CF49E9" w:rsidRPr="00653BF4">
              <w:rPr>
                <w:color w:val="000000" w:themeColor="text1"/>
                <w:sz w:val="20"/>
                <w:szCs w:val="20"/>
                <w:lang w:val="fr-FR"/>
              </w:rPr>
              <w:t>,</w:t>
            </w:r>
            <w:r w:rsidR="003949A8" w:rsidRPr="00653BF4">
              <w:rPr>
                <w:color w:val="000000" w:themeColor="text1"/>
                <w:sz w:val="20"/>
                <w:szCs w:val="20"/>
                <w:lang w:val="fr-FR"/>
              </w:rPr>
              <w:t xml:space="preserve"> </w:t>
            </w:r>
            <w:r w:rsidRPr="00653BF4">
              <w:rPr>
                <w:color w:val="000000" w:themeColor="text1"/>
                <w:sz w:val="20"/>
                <w:szCs w:val="20"/>
                <w:lang w:val="fr-FR"/>
              </w:rPr>
              <w:t xml:space="preserve">et a montré </w:t>
            </w:r>
            <w:r w:rsidR="00F04E5C" w:rsidRPr="00653BF4">
              <w:rPr>
                <w:color w:val="000000" w:themeColor="text1"/>
                <w:sz w:val="20"/>
                <w:szCs w:val="20"/>
                <w:lang w:val="fr-FR"/>
              </w:rPr>
              <w:t>la profonde interconnexion entre la</w:t>
            </w:r>
            <w:r w:rsidRPr="00653BF4">
              <w:rPr>
                <w:color w:val="000000" w:themeColor="text1"/>
                <w:sz w:val="20"/>
                <w:szCs w:val="20"/>
                <w:lang w:val="fr-FR"/>
              </w:rPr>
              <w:t xml:space="preserve"> biodiversité, l</w:t>
            </w:r>
            <w:r w:rsidR="002A58C8" w:rsidRPr="00653BF4">
              <w:rPr>
                <w:color w:val="000000" w:themeColor="text1"/>
                <w:sz w:val="20"/>
                <w:szCs w:val="20"/>
                <w:lang w:val="fr-FR"/>
              </w:rPr>
              <w:t>’</w:t>
            </w:r>
            <w:r w:rsidRPr="00653BF4">
              <w:rPr>
                <w:color w:val="000000" w:themeColor="text1"/>
                <w:sz w:val="20"/>
                <w:szCs w:val="20"/>
                <w:lang w:val="fr-FR"/>
              </w:rPr>
              <w:t>eau, l</w:t>
            </w:r>
            <w:r w:rsidR="002A58C8" w:rsidRPr="00653BF4">
              <w:rPr>
                <w:color w:val="000000" w:themeColor="text1"/>
                <w:sz w:val="20"/>
                <w:szCs w:val="20"/>
                <w:lang w:val="fr-FR"/>
              </w:rPr>
              <w:t>’</w:t>
            </w:r>
            <w:r w:rsidRPr="00653BF4">
              <w:rPr>
                <w:color w:val="000000" w:themeColor="text1"/>
                <w:sz w:val="20"/>
                <w:szCs w:val="20"/>
                <w:lang w:val="fr-FR"/>
              </w:rPr>
              <w:t>alimentation, la santé et le changement climatique. Le rapport Nexus a proposé des outils et des solutions pour relever l</w:t>
            </w:r>
            <w:r w:rsidR="002A58C8" w:rsidRPr="00653BF4">
              <w:rPr>
                <w:color w:val="000000" w:themeColor="text1"/>
                <w:sz w:val="20"/>
                <w:szCs w:val="20"/>
                <w:lang w:val="fr-FR"/>
              </w:rPr>
              <w:t>’</w:t>
            </w:r>
            <w:r w:rsidRPr="00653BF4">
              <w:rPr>
                <w:color w:val="000000" w:themeColor="text1"/>
                <w:sz w:val="20"/>
                <w:szCs w:val="20"/>
                <w:lang w:val="fr-FR"/>
              </w:rPr>
              <w:t>ensemble de ces défis grâce à des approches coordonnées minimisant les compromis et générant des avantages pour chacun des éléments du Nexus (biodiversité, eau, alimentation et santé). Les scénarios analysés dans ce rapport ont démontré que la mise en œuvre en temps opportun des mesures de réponse était cruciale, leur mise en œuvre précoce étant associées à des résultats positifs. En outre, il a été noté qu</w:t>
            </w:r>
            <w:r w:rsidR="002A58C8" w:rsidRPr="00653BF4">
              <w:rPr>
                <w:color w:val="000000" w:themeColor="text1"/>
                <w:sz w:val="20"/>
                <w:szCs w:val="20"/>
                <w:lang w:val="fr-FR"/>
              </w:rPr>
              <w:t>’</w:t>
            </w:r>
            <w:r w:rsidRPr="00653BF4">
              <w:rPr>
                <w:color w:val="000000" w:themeColor="text1"/>
                <w:sz w:val="20"/>
                <w:szCs w:val="20"/>
                <w:lang w:val="fr-FR"/>
              </w:rPr>
              <w:t>il existait de plus en plus de preuves attestant de l</w:t>
            </w:r>
            <w:r w:rsidR="002A58C8" w:rsidRPr="00653BF4">
              <w:rPr>
                <w:color w:val="000000" w:themeColor="text1"/>
                <w:sz w:val="20"/>
                <w:szCs w:val="20"/>
                <w:lang w:val="fr-FR"/>
              </w:rPr>
              <w:t>’</w:t>
            </w:r>
            <w:r w:rsidRPr="00653BF4">
              <w:rPr>
                <w:color w:val="000000" w:themeColor="text1"/>
                <w:sz w:val="20"/>
                <w:szCs w:val="20"/>
                <w:lang w:val="fr-FR"/>
              </w:rPr>
              <w:t>efficacité supérieure des investissements réalisés le plus tôt possible.</w:t>
            </w:r>
          </w:p>
          <w:p w14:paraId="4514DD3D" w14:textId="77777777" w:rsidR="00957E81" w:rsidRPr="00653BF4" w:rsidRDefault="00957E81" w:rsidP="00957E81">
            <w:pPr>
              <w:rPr>
                <w:color w:val="000000" w:themeColor="text1"/>
                <w:sz w:val="20"/>
                <w:szCs w:val="20"/>
                <w:lang w:val="fr-FR"/>
              </w:rPr>
            </w:pPr>
          </w:p>
          <w:p w14:paraId="513E1DED" w14:textId="7FCF88F6" w:rsidR="00AB4B11" w:rsidRPr="00653BF4" w:rsidRDefault="00957E81" w:rsidP="00957E81">
            <w:pPr>
              <w:rPr>
                <w:lang w:val="fr-FR"/>
              </w:rPr>
            </w:pPr>
            <w:r w:rsidRPr="00653BF4">
              <w:rPr>
                <w:color w:val="000000" w:themeColor="text1"/>
                <w:sz w:val="20"/>
                <w:szCs w:val="20"/>
                <w:lang w:val="fr-FR"/>
              </w:rPr>
              <w:t>Le Rapport d</w:t>
            </w:r>
            <w:r w:rsidR="002A58C8" w:rsidRPr="00653BF4">
              <w:rPr>
                <w:color w:val="000000" w:themeColor="text1"/>
                <w:sz w:val="20"/>
                <w:szCs w:val="20"/>
                <w:lang w:val="fr-FR"/>
              </w:rPr>
              <w:t>’</w:t>
            </w:r>
            <w:r w:rsidRPr="00653BF4">
              <w:rPr>
                <w:color w:val="000000" w:themeColor="text1"/>
                <w:sz w:val="20"/>
                <w:szCs w:val="20"/>
                <w:lang w:val="fr-FR"/>
              </w:rPr>
              <w:t>évaluation méthodologique sur l</w:t>
            </w:r>
            <w:r w:rsidR="002A58C8" w:rsidRPr="00653BF4">
              <w:rPr>
                <w:color w:val="000000" w:themeColor="text1"/>
                <w:sz w:val="20"/>
                <w:szCs w:val="20"/>
                <w:lang w:val="fr-FR"/>
              </w:rPr>
              <w:t>’</w:t>
            </w:r>
            <w:r w:rsidRPr="00653BF4">
              <w:rPr>
                <w:color w:val="000000" w:themeColor="text1"/>
                <w:sz w:val="20"/>
                <w:szCs w:val="20"/>
                <w:lang w:val="fr-FR"/>
              </w:rPr>
              <w:t>impact et la dépendance des entreprises à l</w:t>
            </w:r>
            <w:r w:rsidR="002A58C8" w:rsidRPr="00653BF4">
              <w:rPr>
                <w:color w:val="000000" w:themeColor="text1"/>
                <w:sz w:val="20"/>
                <w:szCs w:val="20"/>
                <w:lang w:val="fr-FR"/>
              </w:rPr>
              <w:t>’</w:t>
            </w:r>
            <w:r w:rsidRPr="00653BF4">
              <w:rPr>
                <w:color w:val="000000" w:themeColor="text1"/>
                <w:sz w:val="20"/>
                <w:szCs w:val="20"/>
                <w:lang w:val="fr-FR"/>
              </w:rPr>
              <w:t>égard de la biodiversité et des contributions de la nature aux populations (IPBES, 2026) a renforcé les arguments économiques en faveur d</w:t>
            </w:r>
            <w:r w:rsidR="002A58C8" w:rsidRPr="00653BF4">
              <w:rPr>
                <w:color w:val="000000" w:themeColor="text1"/>
                <w:sz w:val="20"/>
                <w:szCs w:val="20"/>
                <w:lang w:val="fr-FR"/>
              </w:rPr>
              <w:t>’</w:t>
            </w:r>
            <w:r w:rsidRPr="00653BF4">
              <w:rPr>
                <w:color w:val="000000" w:themeColor="text1"/>
                <w:sz w:val="20"/>
                <w:szCs w:val="20"/>
                <w:lang w:val="fr-FR"/>
              </w:rPr>
              <w:t>une action urgente de la part du secteur privé. Cette évaluation a mis en évidence des lacunes et la nécessité d</w:t>
            </w:r>
            <w:r w:rsidR="002A58C8" w:rsidRPr="00653BF4">
              <w:rPr>
                <w:color w:val="000000" w:themeColor="text1"/>
                <w:sz w:val="20"/>
                <w:szCs w:val="20"/>
                <w:lang w:val="fr-FR"/>
              </w:rPr>
              <w:t>’</w:t>
            </w:r>
            <w:r w:rsidRPr="00653BF4">
              <w:rPr>
                <w:color w:val="000000" w:themeColor="text1"/>
                <w:sz w:val="20"/>
                <w:szCs w:val="20"/>
                <w:lang w:val="fr-FR"/>
              </w:rPr>
              <w:t>agir afin de transformer la manière dont les entreprises évaluent, communiquent et prennent des mesures pour atténuer les impacts négatifs sur la biodiversité. L</w:t>
            </w:r>
            <w:r w:rsidR="002A58C8" w:rsidRPr="00653BF4">
              <w:rPr>
                <w:color w:val="000000" w:themeColor="text1"/>
                <w:sz w:val="20"/>
                <w:szCs w:val="20"/>
                <w:lang w:val="fr-FR"/>
              </w:rPr>
              <w:t>’</w:t>
            </w:r>
            <w:r w:rsidRPr="00653BF4">
              <w:rPr>
                <w:color w:val="000000" w:themeColor="text1"/>
                <w:sz w:val="20"/>
                <w:szCs w:val="20"/>
                <w:lang w:val="fr-FR"/>
              </w:rPr>
              <w:t xml:space="preserve">évaluation a présenté des pistes visant à accroître les </w:t>
            </w:r>
            <w:r w:rsidR="009B4537" w:rsidRPr="00653BF4">
              <w:rPr>
                <w:color w:val="000000" w:themeColor="text1"/>
                <w:sz w:val="20"/>
                <w:szCs w:val="20"/>
                <w:lang w:val="fr-FR"/>
              </w:rPr>
              <w:t>incidences</w:t>
            </w:r>
            <w:r w:rsidRPr="00653BF4">
              <w:rPr>
                <w:color w:val="000000" w:themeColor="text1"/>
                <w:sz w:val="20"/>
                <w:szCs w:val="20"/>
                <w:lang w:val="fr-FR"/>
              </w:rPr>
              <w:t xml:space="preserve"> positives, à atténuer les risques liés à la biodiversité pour les entreprises et les institutions financières, et à promouvoir des mesures garantissant des modes de production durables.</w:t>
            </w:r>
          </w:p>
        </w:tc>
      </w:tr>
    </w:tbl>
    <w:p w14:paraId="0F111B3A" w14:textId="77777777" w:rsidR="00550E7A" w:rsidRPr="00653BF4" w:rsidRDefault="00550E7A" w:rsidP="00550E7A">
      <w:pPr>
        <w:rPr>
          <w:lang w:val="fr-FR"/>
        </w:rPr>
      </w:pPr>
    </w:p>
    <w:p w14:paraId="5DE3EED8" w14:textId="3BAC29FF" w:rsidR="00243BFA" w:rsidRPr="00653BF4" w:rsidRDefault="00243BFA">
      <w:pPr>
        <w:rPr>
          <w:rFonts w:asciiTheme="majorHAnsi" w:eastAsiaTheme="majorEastAsia" w:hAnsiTheme="majorHAnsi" w:cstheme="majorBidi"/>
          <w:color w:val="0F4761" w:themeColor="accent1" w:themeShade="BF"/>
          <w:sz w:val="40"/>
          <w:szCs w:val="40"/>
          <w:lang w:val="fr-FR"/>
        </w:rPr>
      </w:pPr>
      <w:r w:rsidRPr="00653BF4">
        <w:rPr>
          <w:lang w:val="fr-FR"/>
        </w:rPr>
        <w:br w:type="page"/>
      </w:r>
    </w:p>
    <w:p w14:paraId="0836E7B0" w14:textId="73D69BDF" w:rsidR="00BC4A74" w:rsidRPr="00653BF4" w:rsidRDefault="00BC4A74" w:rsidP="00BC4A74">
      <w:pPr>
        <w:pStyle w:val="Heading1"/>
        <w:rPr>
          <w:lang w:val="fr-FR"/>
        </w:rPr>
      </w:pPr>
      <w:bookmarkStart w:id="44" w:name="_Toc235821040"/>
      <w:bookmarkStart w:id="45" w:name="_Toc239069185"/>
      <w:bookmarkStart w:id="46" w:name="_Toc242801222"/>
      <w:r w:rsidRPr="00653BF4">
        <w:rPr>
          <w:lang w:val="fr-FR"/>
        </w:rPr>
        <w:lastRenderedPageBreak/>
        <w:t>Part</w:t>
      </w:r>
      <w:r w:rsidR="00A93C0D" w:rsidRPr="00653BF4">
        <w:rPr>
          <w:lang w:val="fr-FR"/>
        </w:rPr>
        <w:t>ie</w:t>
      </w:r>
      <w:r w:rsidRPr="00653BF4">
        <w:rPr>
          <w:lang w:val="fr-FR"/>
        </w:rPr>
        <w:t xml:space="preserve"> II</w:t>
      </w:r>
      <w:r w:rsidR="00E34DC9">
        <w:rPr>
          <w:lang w:val="fr-FR"/>
        </w:rPr>
        <w:t> :</w:t>
      </w:r>
      <w:r w:rsidRPr="00653BF4">
        <w:rPr>
          <w:lang w:val="fr-FR"/>
        </w:rPr>
        <w:t xml:space="preserve"> </w:t>
      </w:r>
      <w:bookmarkEnd w:id="44"/>
      <w:bookmarkEnd w:id="45"/>
      <w:r w:rsidR="00A93C0D" w:rsidRPr="00653BF4">
        <w:rPr>
          <w:lang w:val="fr-FR"/>
        </w:rPr>
        <w:t>Progrès collectifs accomplis dans la mise en œuvre du Cadre mondial de la biodiversité de Kunming-Montréal</w:t>
      </w:r>
      <w:bookmarkEnd w:id="46"/>
    </w:p>
    <w:p w14:paraId="3CEAF2A4" w14:textId="3C8D4D1E" w:rsidR="00677109" w:rsidRPr="00653BF4" w:rsidRDefault="00BC4A74" w:rsidP="00677109">
      <w:pPr>
        <w:pStyle w:val="Heading2"/>
        <w:rPr>
          <w:lang w:val="fr-FR"/>
        </w:rPr>
      </w:pPr>
      <w:bookmarkStart w:id="47" w:name="_Toc235821041"/>
      <w:bookmarkStart w:id="48" w:name="_Toc239069186"/>
      <w:bookmarkStart w:id="49" w:name="_Toc242801223"/>
      <w:r w:rsidRPr="00653BF4">
        <w:rPr>
          <w:lang w:val="fr-FR"/>
        </w:rPr>
        <w:t xml:space="preserve">II.A </w:t>
      </w:r>
      <w:r w:rsidR="00422EC7" w:rsidRPr="00653BF4">
        <w:rPr>
          <w:lang w:val="fr-FR"/>
        </w:rPr>
        <w:t>Résumé</w:t>
      </w:r>
      <w:r w:rsidR="008907E3" w:rsidRPr="00653BF4">
        <w:rPr>
          <w:lang w:val="fr-FR"/>
        </w:rPr>
        <w:t xml:space="preserve"> de l</w:t>
      </w:r>
      <w:r w:rsidR="002A58C8" w:rsidRPr="00653BF4">
        <w:rPr>
          <w:lang w:val="fr-FR"/>
        </w:rPr>
        <w:t>’</w:t>
      </w:r>
      <w:r w:rsidR="008907E3" w:rsidRPr="00653BF4">
        <w:rPr>
          <w:lang w:val="fr-FR"/>
        </w:rPr>
        <w:t>état d</w:t>
      </w:r>
      <w:r w:rsidR="002A58C8" w:rsidRPr="00653BF4">
        <w:rPr>
          <w:lang w:val="fr-FR"/>
        </w:rPr>
        <w:t>’</w:t>
      </w:r>
      <w:r w:rsidR="008907E3" w:rsidRPr="00653BF4">
        <w:rPr>
          <w:lang w:val="fr-FR"/>
        </w:rPr>
        <w:t>avancement des stratégies et plans d</w:t>
      </w:r>
      <w:r w:rsidR="002A58C8" w:rsidRPr="00653BF4">
        <w:rPr>
          <w:lang w:val="fr-FR"/>
        </w:rPr>
        <w:t>’</w:t>
      </w:r>
      <w:r w:rsidR="008907E3" w:rsidRPr="00653BF4">
        <w:rPr>
          <w:lang w:val="fr-FR"/>
        </w:rPr>
        <w:t xml:space="preserve">action nationaux pour la biodiversité, des cibles nationales, </w:t>
      </w:r>
      <w:r w:rsidR="0036528D" w:rsidRPr="00653BF4">
        <w:rPr>
          <w:lang w:val="fr-FR"/>
        </w:rPr>
        <w:t xml:space="preserve">du dépôt des </w:t>
      </w:r>
      <w:r w:rsidR="008907E3" w:rsidRPr="00653BF4">
        <w:rPr>
          <w:lang w:val="fr-FR"/>
        </w:rPr>
        <w:t xml:space="preserve">rapports nationaux </w:t>
      </w:r>
      <w:r w:rsidR="00EA165D" w:rsidRPr="00653BF4">
        <w:rPr>
          <w:lang w:val="fr-FR"/>
        </w:rPr>
        <w:t>et</w:t>
      </w:r>
      <w:r w:rsidR="008907E3" w:rsidRPr="00653BF4">
        <w:rPr>
          <w:lang w:val="fr-FR"/>
        </w:rPr>
        <w:t xml:space="preserve"> des contributions </w:t>
      </w:r>
      <w:r w:rsidR="00BC4559" w:rsidRPr="00653BF4">
        <w:rPr>
          <w:lang w:val="fr-FR"/>
        </w:rPr>
        <w:t>d</w:t>
      </w:r>
      <w:r w:rsidR="002A58C8" w:rsidRPr="00653BF4">
        <w:rPr>
          <w:lang w:val="fr-FR"/>
        </w:rPr>
        <w:t>’</w:t>
      </w:r>
      <w:r w:rsidR="00BC4559" w:rsidRPr="00653BF4">
        <w:rPr>
          <w:lang w:val="fr-FR"/>
        </w:rPr>
        <w:t>acteurs autres que les gouvernements nationaux</w:t>
      </w:r>
      <w:r w:rsidR="00677109" w:rsidRPr="00653BF4">
        <w:rPr>
          <w:lang w:val="fr-FR"/>
        </w:rPr>
        <w:t>.</w:t>
      </w:r>
      <w:bookmarkEnd w:id="47"/>
      <w:bookmarkEnd w:id="48"/>
      <w:bookmarkEnd w:id="49"/>
      <w:r w:rsidR="00677109" w:rsidRPr="00653BF4">
        <w:rPr>
          <w:lang w:val="fr-FR"/>
        </w:rPr>
        <w:t xml:space="preserve"> </w:t>
      </w:r>
    </w:p>
    <w:p w14:paraId="47CACA24" w14:textId="2EF91BA7" w:rsidR="00FA3E4F" w:rsidRPr="00653BF4" w:rsidRDefault="008907E3" w:rsidP="00290866">
      <w:pPr>
        <w:pStyle w:val="Heading3"/>
        <w:rPr>
          <w:lang w:val="fr-FR"/>
        </w:rPr>
      </w:pPr>
      <w:bookmarkStart w:id="50" w:name="_Toc242801224"/>
      <w:r w:rsidRPr="00653BF4">
        <w:rPr>
          <w:lang w:val="fr-FR"/>
        </w:rPr>
        <w:t xml:space="preserve">Aperçu </w:t>
      </w:r>
      <w:r w:rsidR="00FA4E7C">
        <w:rPr>
          <w:lang w:val="fr-FR"/>
        </w:rPr>
        <w:t>de la soumission</w:t>
      </w:r>
      <w:r w:rsidRPr="00653BF4">
        <w:rPr>
          <w:lang w:val="fr-FR"/>
        </w:rPr>
        <w:t xml:space="preserve"> des stratégies et plans d</w:t>
      </w:r>
      <w:r w:rsidR="002A58C8" w:rsidRPr="00653BF4">
        <w:rPr>
          <w:lang w:val="fr-FR"/>
        </w:rPr>
        <w:t>’</w:t>
      </w:r>
      <w:r w:rsidRPr="00653BF4">
        <w:rPr>
          <w:lang w:val="fr-FR"/>
        </w:rPr>
        <w:t>action nationaux pour la biodiversité, des cibles nationales et des rapports nationaux</w:t>
      </w:r>
      <w:bookmarkEnd w:id="50"/>
    </w:p>
    <w:p w14:paraId="2B41A140" w14:textId="1CB9DDD4" w:rsidR="001526E6" w:rsidRPr="00653BF4" w:rsidRDefault="00D84365" w:rsidP="001526E6">
      <w:pPr>
        <w:rPr>
          <w:lang w:val="fr-FR"/>
        </w:rPr>
      </w:pPr>
      <w:r w:rsidRPr="00653BF4">
        <w:rPr>
          <w:lang w:val="fr-FR"/>
        </w:rPr>
        <w:t>Les stratégies et plans d</w:t>
      </w:r>
      <w:r w:rsidR="002A58C8" w:rsidRPr="00653BF4">
        <w:rPr>
          <w:lang w:val="fr-FR"/>
        </w:rPr>
        <w:t>’</w:t>
      </w:r>
      <w:r w:rsidRPr="00653BF4">
        <w:rPr>
          <w:lang w:val="fr-FR"/>
        </w:rPr>
        <w:t>action nationaux pour la biodiversité (SPANB), les cibles nationales et les rapports nationaux présentés par les Parties via l</w:t>
      </w:r>
      <w:r w:rsidR="002A58C8" w:rsidRPr="00653BF4">
        <w:rPr>
          <w:lang w:val="fr-FR"/>
        </w:rPr>
        <w:t>’</w:t>
      </w:r>
      <w:r w:rsidRPr="00653BF4">
        <w:rPr>
          <w:lang w:val="fr-FR"/>
        </w:rPr>
        <w:t>outil d</w:t>
      </w:r>
      <w:r w:rsidR="002A58C8" w:rsidRPr="00653BF4">
        <w:rPr>
          <w:lang w:val="fr-FR"/>
        </w:rPr>
        <w:t>’</w:t>
      </w:r>
      <w:r w:rsidRPr="00653BF4">
        <w:rPr>
          <w:lang w:val="fr-FR"/>
        </w:rPr>
        <w:t>établissement de rapports en ligne de la Convention</w:t>
      </w:r>
      <w:r w:rsidR="00E71AE1" w:rsidRPr="00653BF4">
        <w:rPr>
          <w:rStyle w:val="FootnoteReference"/>
          <w:lang w:val="fr-FR"/>
        </w:rPr>
        <w:footnoteReference w:id="6"/>
      </w:r>
      <w:r w:rsidR="008C6C62" w:rsidRPr="00653BF4">
        <w:rPr>
          <w:lang w:val="fr-FR"/>
        </w:rPr>
        <w:t xml:space="preserve"> </w:t>
      </w:r>
      <w:r w:rsidR="004F6826" w:rsidRPr="00653BF4">
        <w:rPr>
          <w:lang w:val="fr-FR"/>
        </w:rPr>
        <w:t>constituent les principales sources d</w:t>
      </w:r>
      <w:r w:rsidR="002A58C8" w:rsidRPr="00653BF4">
        <w:rPr>
          <w:lang w:val="fr-FR"/>
        </w:rPr>
        <w:t>’</w:t>
      </w:r>
      <w:r w:rsidR="004F6826" w:rsidRPr="00653BF4">
        <w:rPr>
          <w:lang w:val="fr-FR"/>
        </w:rPr>
        <w:t>information permettant d</w:t>
      </w:r>
      <w:r w:rsidR="002A58C8" w:rsidRPr="00653BF4">
        <w:rPr>
          <w:lang w:val="fr-FR"/>
        </w:rPr>
        <w:t>’</w:t>
      </w:r>
      <w:r w:rsidR="004F6826" w:rsidRPr="00653BF4">
        <w:rPr>
          <w:lang w:val="fr-FR"/>
        </w:rPr>
        <w:t xml:space="preserve">analyser les progrès collectifs accomplis dans la mise en œuvre du Cadre. En raison du délai restreint dont disposait le </w:t>
      </w:r>
      <w:r w:rsidR="002C36D5" w:rsidRPr="00653BF4">
        <w:rPr>
          <w:lang w:val="fr-FR"/>
        </w:rPr>
        <w:t>secrétariat</w:t>
      </w:r>
      <w:r w:rsidR="004F6826" w:rsidRPr="00653BF4">
        <w:rPr>
          <w:lang w:val="fr-FR"/>
        </w:rPr>
        <w:t xml:space="preserve"> de la Convention pour mener cette analyse, celui-ci a dû fixer une date limite stricte pour la soumission des contributions devant être prises en compte dans le rapport mondial</w:t>
      </w:r>
      <w:r w:rsidR="00E34DC9">
        <w:rPr>
          <w:lang w:val="fr-FR"/>
        </w:rPr>
        <w:t> ;</w:t>
      </w:r>
      <w:r w:rsidR="004F6826" w:rsidRPr="00653BF4">
        <w:rPr>
          <w:lang w:val="fr-FR"/>
        </w:rPr>
        <w:t xml:space="preserve"> toutefois, les dépôts ultérieurs restent admissibles dans le cadre du processus d</w:t>
      </w:r>
      <w:r w:rsidR="002A58C8" w:rsidRPr="00653BF4">
        <w:rPr>
          <w:lang w:val="fr-FR"/>
        </w:rPr>
        <w:t>’</w:t>
      </w:r>
      <w:r w:rsidR="004F6826" w:rsidRPr="00653BF4">
        <w:rPr>
          <w:lang w:val="fr-FR"/>
        </w:rPr>
        <w:t>examen mondial</w:t>
      </w:r>
      <w:r w:rsidR="007579DB" w:rsidRPr="00653BF4">
        <w:rPr>
          <w:rStyle w:val="FootnoteReference"/>
          <w:color w:val="000000" w:themeColor="text1"/>
          <w:lang w:val="fr-FR"/>
        </w:rPr>
        <w:footnoteReference w:id="7"/>
      </w:r>
      <w:r w:rsidR="004F6826" w:rsidRPr="00653BF4">
        <w:rPr>
          <w:lang w:val="fr-FR"/>
        </w:rPr>
        <w:t>.</w:t>
      </w:r>
      <w:r w:rsidR="00FA3E4F" w:rsidRPr="00653BF4">
        <w:rPr>
          <w:color w:val="000000" w:themeColor="text1"/>
          <w:lang w:val="fr-FR"/>
        </w:rPr>
        <w:t xml:space="preserve"> </w:t>
      </w:r>
      <w:r w:rsidR="0094682C" w:rsidRPr="00653BF4">
        <w:rPr>
          <w:color w:val="000000" w:themeColor="text1"/>
          <w:lang w:val="fr-FR"/>
        </w:rPr>
        <w:t>Les communications disponibles pour l</w:t>
      </w:r>
      <w:r w:rsidR="002A58C8" w:rsidRPr="00653BF4">
        <w:rPr>
          <w:color w:val="000000" w:themeColor="text1"/>
          <w:lang w:val="fr-FR"/>
        </w:rPr>
        <w:t>’</w:t>
      </w:r>
      <w:r w:rsidR="0094682C" w:rsidRPr="00653BF4">
        <w:rPr>
          <w:color w:val="000000" w:themeColor="text1"/>
          <w:lang w:val="fr-FR"/>
        </w:rPr>
        <w:t>analyse comprenaient les SPANB de 89 Parties (soit 45</w:t>
      </w:r>
      <w:r w:rsidR="002878D7">
        <w:rPr>
          <w:color w:val="000000" w:themeColor="text1"/>
          <w:lang w:val="fr-FR"/>
        </w:rPr>
        <w:t> %</w:t>
      </w:r>
      <w:r w:rsidR="0094682C" w:rsidRPr="00653BF4">
        <w:rPr>
          <w:color w:val="000000" w:themeColor="text1"/>
          <w:lang w:val="fr-FR"/>
        </w:rPr>
        <w:t xml:space="preserve"> de l</w:t>
      </w:r>
      <w:r w:rsidR="002A58C8" w:rsidRPr="00653BF4">
        <w:rPr>
          <w:color w:val="000000" w:themeColor="text1"/>
          <w:lang w:val="fr-FR"/>
        </w:rPr>
        <w:t>’</w:t>
      </w:r>
      <w:r w:rsidR="0094682C" w:rsidRPr="00653BF4">
        <w:rPr>
          <w:color w:val="000000" w:themeColor="text1"/>
          <w:lang w:val="fr-FR"/>
        </w:rPr>
        <w:t>ensemble des Parties), 3</w:t>
      </w:r>
      <w:r w:rsidR="00961AC2" w:rsidRPr="00653BF4">
        <w:rPr>
          <w:color w:val="000000" w:themeColor="text1"/>
          <w:lang w:val="fr-FR"/>
        </w:rPr>
        <w:t> </w:t>
      </w:r>
      <w:r w:rsidR="0094682C" w:rsidRPr="00653BF4">
        <w:rPr>
          <w:color w:val="000000" w:themeColor="text1"/>
          <w:lang w:val="fr-FR"/>
        </w:rPr>
        <w:t>693 cibles nationales émanant de 162 Parties (soit 83% de l</w:t>
      </w:r>
      <w:r w:rsidR="002A58C8" w:rsidRPr="00653BF4">
        <w:rPr>
          <w:color w:val="000000" w:themeColor="text1"/>
          <w:lang w:val="fr-FR"/>
        </w:rPr>
        <w:t>’</w:t>
      </w:r>
      <w:r w:rsidR="0094682C" w:rsidRPr="00653BF4">
        <w:rPr>
          <w:color w:val="000000" w:themeColor="text1"/>
          <w:lang w:val="fr-FR"/>
        </w:rPr>
        <w:t>ensemble des Parties) et les rapports nationaux de 129 Parties (soit 66</w:t>
      </w:r>
      <w:r w:rsidR="002878D7">
        <w:rPr>
          <w:color w:val="000000" w:themeColor="text1"/>
          <w:lang w:val="fr-FR"/>
        </w:rPr>
        <w:t> %</w:t>
      </w:r>
      <w:r w:rsidR="0094682C" w:rsidRPr="00653BF4">
        <w:rPr>
          <w:color w:val="000000" w:themeColor="text1"/>
          <w:lang w:val="fr-FR"/>
        </w:rPr>
        <w:t xml:space="preserve"> de l</w:t>
      </w:r>
      <w:r w:rsidR="002A58C8" w:rsidRPr="00653BF4">
        <w:rPr>
          <w:color w:val="000000" w:themeColor="text1"/>
          <w:lang w:val="fr-FR"/>
        </w:rPr>
        <w:t>’</w:t>
      </w:r>
      <w:r w:rsidR="0094682C" w:rsidRPr="00653BF4">
        <w:rPr>
          <w:color w:val="000000" w:themeColor="text1"/>
          <w:lang w:val="fr-FR"/>
        </w:rPr>
        <w:t>ensemble des Parties). Ces communications ont constitué une base factuelle solide, bien que forcément incomplète, pour le rapport mondial.</w:t>
      </w:r>
    </w:p>
    <w:p w14:paraId="74C02521" w14:textId="5B1952AA" w:rsidR="006C3026" w:rsidRPr="00653BF4" w:rsidRDefault="00EA2DE5" w:rsidP="006C3026">
      <w:pPr>
        <w:rPr>
          <w:lang w:val="fr-FR"/>
        </w:rPr>
      </w:pPr>
      <w:r w:rsidRPr="00653BF4">
        <w:rPr>
          <w:lang w:val="fr-FR"/>
        </w:rPr>
        <w:t>Malgré la disponibilité d</w:t>
      </w:r>
      <w:r w:rsidR="002A58C8" w:rsidRPr="00653BF4">
        <w:rPr>
          <w:lang w:val="fr-FR"/>
        </w:rPr>
        <w:t>’</w:t>
      </w:r>
      <w:r w:rsidRPr="00653BF4">
        <w:rPr>
          <w:lang w:val="fr-FR"/>
        </w:rPr>
        <w:t>informations sur chacune des régions</w:t>
      </w:r>
      <w:r w:rsidR="006C3026" w:rsidRPr="00653BF4">
        <w:rPr>
          <w:rStyle w:val="FootnoteReference"/>
          <w:lang w:val="fr-FR"/>
        </w:rPr>
        <w:footnoteReference w:id="8"/>
      </w:r>
      <w:r w:rsidR="006C3026" w:rsidRPr="00653BF4">
        <w:rPr>
          <w:lang w:val="fr-FR"/>
        </w:rPr>
        <w:t xml:space="preserve"> </w:t>
      </w:r>
      <w:r w:rsidR="000E5452" w:rsidRPr="00653BF4">
        <w:rPr>
          <w:lang w:val="fr-FR"/>
        </w:rPr>
        <w:t>et provenant de pays à tous niveaux de développement économique, les taux de soumission ont été variables. Les États africains, les États d</w:t>
      </w:r>
      <w:r w:rsidR="002A58C8" w:rsidRPr="00653BF4">
        <w:rPr>
          <w:lang w:val="fr-FR"/>
        </w:rPr>
        <w:t>’</w:t>
      </w:r>
      <w:r w:rsidR="000E5452" w:rsidRPr="00653BF4">
        <w:rPr>
          <w:lang w:val="fr-FR"/>
        </w:rPr>
        <w:t>Europe occidentale et autres, les États d</w:t>
      </w:r>
      <w:r w:rsidR="002A58C8" w:rsidRPr="00653BF4">
        <w:rPr>
          <w:lang w:val="fr-FR"/>
        </w:rPr>
        <w:t>’</w:t>
      </w:r>
      <w:r w:rsidR="000E5452" w:rsidRPr="00653BF4">
        <w:rPr>
          <w:lang w:val="fr-FR"/>
        </w:rPr>
        <w:t>Amérique latine et de nombreux États asiatiques ont affiché des taux de soumission plus élevés que les États d</w:t>
      </w:r>
      <w:r w:rsidR="002A58C8" w:rsidRPr="00653BF4">
        <w:rPr>
          <w:lang w:val="fr-FR"/>
        </w:rPr>
        <w:t>’</w:t>
      </w:r>
      <w:r w:rsidR="000E5452" w:rsidRPr="00653BF4">
        <w:rPr>
          <w:lang w:val="fr-FR"/>
        </w:rPr>
        <w:t>Europe de l</w:t>
      </w:r>
      <w:r w:rsidR="002A58C8" w:rsidRPr="00653BF4">
        <w:rPr>
          <w:lang w:val="fr-FR"/>
        </w:rPr>
        <w:t>’</w:t>
      </w:r>
      <w:r w:rsidR="000E5452" w:rsidRPr="00653BF4">
        <w:rPr>
          <w:lang w:val="fr-FR"/>
        </w:rPr>
        <w:t xml:space="preserve">Est, les États des Caraïbes et les États insulaires du Pacifique. En outre, les </w:t>
      </w:r>
      <w:r w:rsidR="000E5452" w:rsidRPr="00653BF4">
        <w:rPr>
          <w:lang w:val="fr-FR"/>
        </w:rPr>
        <w:lastRenderedPageBreak/>
        <w:t>pays en transition économique et les petits États insulaires en développement ont affiché des taux de soumission inférieurs à ceux des pays se situant à d</w:t>
      </w:r>
      <w:r w:rsidR="002A58C8" w:rsidRPr="00653BF4">
        <w:rPr>
          <w:lang w:val="fr-FR"/>
        </w:rPr>
        <w:t>’</w:t>
      </w:r>
      <w:r w:rsidR="000E5452" w:rsidRPr="00653BF4">
        <w:rPr>
          <w:lang w:val="fr-FR"/>
        </w:rPr>
        <w:t>autres niveaux de développement (voir tableau 1)</w:t>
      </w:r>
      <w:r w:rsidR="006C3026" w:rsidRPr="00653BF4">
        <w:rPr>
          <w:lang w:val="fr-FR"/>
        </w:rPr>
        <w:t xml:space="preserve">. </w:t>
      </w:r>
    </w:p>
    <w:p w14:paraId="4CE950CE" w14:textId="3986403E" w:rsidR="00604ECC" w:rsidRPr="00653BF4" w:rsidRDefault="001E099C" w:rsidP="00604ECC">
      <w:pPr>
        <w:rPr>
          <w:lang w:val="fr-FR"/>
        </w:rPr>
      </w:pPr>
      <w:r w:rsidRPr="00653BF4">
        <w:rPr>
          <w:lang w:val="fr-FR"/>
        </w:rPr>
        <w:t xml:space="preserve">Chaque Partie a présenté en moyenne 23 cibles nationales, le nombre de cibles par Partie variant de 1 à 104. En moyenne, les Parties ont défini des cibles nationales portant sur 22 des 23 cibles du Cadre, avec une </w:t>
      </w:r>
      <w:r w:rsidR="009F792A" w:rsidRPr="00653BF4">
        <w:rPr>
          <w:lang w:val="fr-FR"/>
        </w:rPr>
        <w:t>prise en compte</w:t>
      </w:r>
      <w:r w:rsidRPr="00653BF4">
        <w:rPr>
          <w:lang w:val="fr-FR"/>
        </w:rPr>
        <w:t xml:space="preserve"> de 1 à chacune des 23 cibles</w:t>
      </w:r>
      <w:r w:rsidR="00604ECC" w:rsidRPr="00653BF4">
        <w:rPr>
          <w:lang w:val="fr-FR"/>
        </w:rPr>
        <w:t>.</w:t>
      </w:r>
    </w:p>
    <w:p w14:paraId="7C79F6C8" w14:textId="10E6D013" w:rsidR="004F5810" w:rsidRPr="00653BF4" w:rsidRDefault="008D6151" w:rsidP="004F5810">
      <w:pPr>
        <w:rPr>
          <w:lang w:val="fr-FR"/>
        </w:rPr>
      </w:pPr>
      <w:r w:rsidRPr="00653BF4">
        <w:rPr>
          <w:lang w:val="fr-FR"/>
        </w:rPr>
        <w:t>Des cibles nationales couvrant l</w:t>
      </w:r>
      <w:r w:rsidR="002A58C8" w:rsidRPr="00653BF4">
        <w:rPr>
          <w:lang w:val="fr-FR"/>
        </w:rPr>
        <w:t>’</w:t>
      </w:r>
      <w:r w:rsidRPr="00653BF4">
        <w:rPr>
          <w:lang w:val="fr-FR"/>
        </w:rPr>
        <w:t>ensemble des cibles du Cadre ont été définies par 118 Parties, , et 160 Parties ont fixé des cibles nationales couvrant au moins les trois quarts des cibles du Cadre.</w:t>
      </w:r>
      <w:r w:rsidR="004F5810" w:rsidRPr="00653BF4">
        <w:rPr>
          <w:lang w:val="fr-FR"/>
        </w:rPr>
        <w:t xml:space="preserve"> </w:t>
      </w:r>
    </w:p>
    <w:p w14:paraId="6DFD52A9" w14:textId="6A6DDECD" w:rsidR="004F5810" w:rsidRPr="00653BF4" w:rsidRDefault="00D57830" w:rsidP="004F5810">
      <w:pPr>
        <w:rPr>
          <w:lang w:val="fr-FR"/>
        </w:rPr>
      </w:pPr>
      <w:r w:rsidRPr="00653BF4">
        <w:rPr>
          <w:lang w:val="fr-FR"/>
        </w:rPr>
        <w:t>Lors du dépôt de leurs cibles nationales, les Parties ont été invitées à préciser à quelle(s) cible(s) du Cadre chaque cible nationale était alignée, le cas échéant</w:t>
      </w:r>
      <w:r w:rsidR="00E34DC9">
        <w:rPr>
          <w:lang w:val="fr-FR"/>
        </w:rPr>
        <w:t> ;</w:t>
      </w:r>
      <w:r w:rsidRPr="00653BF4">
        <w:rPr>
          <w:lang w:val="fr-FR"/>
        </w:rPr>
        <w:t xml:space="preserve"> et, dans chaque cas, si cet alignement était faible, moyen ou élevé. La mention du niveau d</w:t>
      </w:r>
      <w:r w:rsidR="002A58C8" w:rsidRPr="00653BF4">
        <w:rPr>
          <w:lang w:val="fr-FR"/>
        </w:rPr>
        <w:t>’</w:t>
      </w:r>
      <w:r w:rsidRPr="00653BF4">
        <w:rPr>
          <w:lang w:val="fr-FR"/>
        </w:rPr>
        <w:t>alignement n</w:t>
      </w:r>
      <w:r w:rsidR="002A58C8" w:rsidRPr="00653BF4">
        <w:rPr>
          <w:lang w:val="fr-FR"/>
        </w:rPr>
        <w:t>’</w:t>
      </w:r>
      <w:r w:rsidRPr="00653BF4">
        <w:rPr>
          <w:lang w:val="fr-FR"/>
        </w:rPr>
        <w:t>était pas obligatoire. Pour chaque cible du Cadre, 63</w:t>
      </w:r>
      <w:r w:rsidR="002878D7">
        <w:rPr>
          <w:lang w:val="fr-FR"/>
        </w:rPr>
        <w:t> %</w:t>
      </w:r>
      <w:r w:rsidRPr="00653BF4">
        <w:rPr>
          <w:lang w:val="fr-FR"/>
        </w:rPr>
        <w:t xml:space="preserve"> en moyenne des Parties dont les cibles sont examinées dans l</w:t>
      </w:r>
      <w:r w:rsidR="002A58C8" w:rsidRPr="00653BF4">
        <w:rPr>
          <w:lang w:val="fr-FR"/>
        </w:rPr>
        <w:t>’</w:t>
      </w:r>
      <w:r w:rsidRPr="00653BF4">
        <w:rPr>
          <w:lang w:val="fr-FR"/>
        </w:rPr>
        <w:t>analyse ont indiqué qu</w:t>
      </w:r>
      <w:r w:rsidR="002A58C8" w:rsidRPr="00653BF4">
        <w:rPr>
          <w:lang w:val="fr-FR"/>
        </w:rPr>
        <w:t>’</w:t>
      </w:r>
      <w:r w:rsidRPr="00653BF4">
        <w:rPr>
          <w:lang w:val="fr-FR"/>
        </w:rPr>
        <w:t>au moins une de leurs cibles nationales présentait un alignement élevé avec cette cible, ce pourcentage variant entre 51 et 73</w:t>
      </w:r>
      <w:r w:rsidR="002878D7">
        <w:rPr>
          <w:lang w:val="fr-FR"/>
        </w:rPr>
        <w:t> %</w:t>
      </w:r>
      <w:r w:rsidRPr="00653BF4">
        <w:rPr>
          <w:lang w:val="fr-FR"/>
        </w:rPr>
        <w:t xml:space="preserve"> (voir tableau 2). Plus des trois quarts des Parties ont pris en compte au moins l</w:t>
      </w:r>
      <w:r w:rsidR="002A58C8" w:rsidRPr="00653BF4">
        <w:rPr>
          <w:lang w:val="fr-FR"/>
        </w:rPr>
        <w:t>’</w:t>
      </w:r>
      <w:r w:rsidRPr="00653BF4">
        <w:rPr>
          <w:lang w:val="fr-FR"/>
        </w:rPr>
        <w:t>une des considérations transversales tel qu</w:t>
      </w:r>
      <w:r w:rsidR="002A58C8" w:rsidRPr="00653BF4">
        <w:rPr>
          <w:lang w:val="fr-FR"/>
        </w:rPr>
        <w:t>’</w:t>
      </w:r>
      <w:r w:rsidRPr="00653BF4">
        <w:rPr>
          <w:lang w:val="fr-FR"/>
        </w:rPr>
        <w:t xml:space="preserve">indiqué à la section C du Cadre dans leurs cibles nationales et, en moyenne, chaque Partie a pris en compte 15 des 18 considérations (déc. 15/4 de la </w:t>
      </w:r>
      <w:r w:rsidR="00711DD2" w:rsidRPr="00653BF4">
        <w:rPr>
          <w:lang w:val="fr-FR"/>
        </w:rPr>
        <w:t>CDB</w:t>
      </w:r>
      <w:r w:rsidRPr="00653BF4">
        <w:rPr>
          <w:lang w:val="fr-FR"/>
        </w:rPr>
        <w:t>, 2023).</w:t>
      </w:r>
    </w:p>
    <w:p w14:paraId="13B5BEB5" w14:textId="77777777" w:rsidR="004126C5" w:rsidRPr="00653BF4" w:rsidRDefault="004126C5" w:rsidP="00FA3E4F">
      <w:pPr>
        <w:rPr>
          <w:lang w:val="fr-FR"/>
        </w:rPr>
      </w:pPr>
    </w:p>
    <w:p w14:paraId="4063A52A" w14:textId="385C11E8" w:rsidR="00A1737A" w:rsidRPr="00653BF4" w:rsidRDefault="00C30B17" w:rsidP="0009012C">
      <w:pPr>
        <w:pStyle w:val="Caption"/>
        <w:keepNext/>
        <w:rPr>
          <w:i w:val="0"/>
          <w:iCs w:val="0"/>
          <w:sz w:val="20"/>
          <w:szCs w:val="20"/>
          <w:lang w:val="fr-FR"/>
        </w:rPr>
      </w:pPr>
      <w:bookmarkStart w:id="51" w:name="_Ref235851113"/>
      <w:r w:rsidRPr="00653BF4">
        <w:rPr>
          <w:i w:val="0"/>
          <w:sz w:val="20"/>
          <w:szCs w:val="20"/>
          <w:lang w:val="fr-FR"/>
        </w:rPr>
        <w:t>Table</w:t>
      </w:r>
      <w:r w:rsidR="00D57830" w:rsidRPr="00653BF4">
        <w:rPr>
          <w:i w:val="0"/>
          <w:sz w:val="20"/>
          <w:szCs w:val="20"/>
          <w:lang w:val="fr-FR"/>
        </w:rPr>
        <w:t>au</w:t>
      </w:r>
      <w:r w:rsidRPr="00653BF4">
        <w:rPr>
          <w:i w:val="0"/>
          <w:sz w:val="20"/>
          <w:szCs w:val="20"/>
          <w:lang w:val="fr-FR"/>
        </w:rPr>
        <w:t xml:space="preserve"> </w:t>
      </w:r>
      <w:r w:rsidR="00DC1793" w:rsidRPr="00653BF4">
        <w:rPr>
          <w:i w:val="0"/>
          <w:noProof/>
          <w:sz w:val="20"/>
          <w:szCs w:val="20"/>
          <w:lang w:val="fr-FR"/>
        </w:rPr>
        <w:t>1</w:t>
      </w:r>
      <w:bookmarkEnd w:id="51"/>
    </w:p>
    <w:p w14:paraId="1B3C19AF" w14:textId="01A3351D" w:rsidR="008A24D4" w:rsidRPr="00653BF4" w:rsidRDefault="000612F8" w:rsidP="0009012C">
      <w:pPr>
        <w:pStyle w:val="Caption"/>
        <w:keepNext/>
        <w:rPr>
          <w:b/>
          <w:i w:val="0"/>
          <w:sz w:val="20"/>
          <w:szCs w:val="20"/>
          <w:lang w:val="fr-FR"/>
        </w:rPr>
      </w:pPr>
      <w:r w:rsidRPr="00653BF4">
        <w:rPr>
          <w:b/>
          <w:i w:val="0"/>
          <w:sz w:val="20"/>
          <w:szCs w:val="20"/>
          <w:lang w:val="fr-FR"/>
        </w:rPr>
        <w:t>Pourcentage des Parties, selon les régions et les niveaux économiques, ayant fourni des rapports nationaux, des cibles nationales et des SPANB qui ont été examinés dans le rapport mondial</w:t>
      </w:r>
    </w:p>
    <w:tbl>
      <w:tblPr>
        <w:tblW w:w="8921" w:type="dxa"/>
        <w:tblLook w:val="04A0" w:firstRow="1" w:lastRow="0" w:firstColumn="1" w:lastColumn="0" w:noHBand="0" w:noVBand="1"/>
      </w:tblPr>
      <w:tblGrid>
        <w:gridCol w:w="956"/>
        <w:gridCol w:w="3893"/>
        <w:gridCol w:w="1237"/>
        <w:gridCol w:w="1559"/>
        <w:gridCol w:w="1276"/>
      </w:tblGrid>
      <w:tr w:rsidR="001F0E4B" w:rsidRPr="00653BF4" w14:paraId="21E23745" w14:textId="77777777" w:rsidTr="00F9212F">
        <w:trPr>
          <w:trHeight w:val="315"/>
        </w:trPr>
        <w:tc>
          <w:tcPr>
            <w:tcW w:w="956" w:type="dxa"/>
            <w:tcBorders>
              <w:top w:val="single" w:sz="8" w:space="0" w:color="auto"/>
              <w:left w:val="single" w:sz="8" w:space="0" w:color="auto"/>
              <w:bottom w:val="single" w:sz="8" w:space="0" w:color="000000"/>
              <w:right w:val="single" w:sz="4" w:space="0" w:color="auto"/>
            </w:tcBorders>
            <w:noWrap/>
            <w:textDirection w:val="btLr"/>
            <w:vAlign w:val="bottom"/>
          </w:tcPr>
          <w:p w14:paraId="1A881F3E" w14:textId="77777777" w:rsidR="001F0E4B" w:rsidRPr="00653BF4" w:rsidRDefault="001F0E4B">
            <w:pPr>
              <w:spacing w:after="0" w:line="240" w:lineRule="auto"/>
              <w:jc w:val="center"/>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 </w:t>
            </w:r>
          </w:p>
        </w:tc>
        <w:tc>
          <w:tcPr>
            <w:tcW w:w="3893" w:type="dxa"/>
            <w:tcBorders>
              <w:top w:val="single" w:sz="8" w:space="0" w:color="auto"/>
              <w:left w:val="nil"/>
              <w:bottom w:val="single" w:sz="4" w:space="0" w:color="auto"/>
              <w:right w:val="single" w:sz="4" w:space="0" w:color="auto"/>
            </w:tcBorders>
            <w:noWrap/>
            <w:vAlign w:val="bottom"/>
          </w:tcPr>
          <w:p w14:paraId="73234052" w14:textId="5C008315" w:rsidR="001F0E4B" w:rsidRPr="00653BF4" w:rsidRDefault="001F0E4B">
            <w:pPr>
              <w:spacing w:after="0" w:line="240" w:lineRule="auto"/>
              <w:rPr>
                <w:rFonts w:ascii="Aptos Narrow" w:eastAsia="Times New Roman" w:hAnsi="Aptos Narrow" w:cs="Times New Roman"/>
                <w:color w:val="000000"/>
                <w:kern w:val="0"/>
                <w:sz w:val="22"/>
                <w:szCs w:val="22"/>
                <w:lang w:val="fr-FR"/>
                <w14:ligatures w14:val="none"/>
              </w:rPr>
            </w:pPr>
          </w:p>
        </w:tc>
        <w:tc>
          <w:tcPr>
            <w:tcW w:w="1237" w:type="dxa"/>
            <w:tcBorders>
              <w:top w:val="single" w:sz="8" w:space="0" w:color="auto"/>
              <w:left w:val="nil"/>
              <w:bottom w:val="single" w:sz="4" w:space="0" w:color="auto"/>
              <w:right w:val="single" w:sz="4" w:space="0" w:color="auto"/>
            </w:tcBorders>
            <w:noWrap/>
            <w:vAlign w:val="bottom"/>
          </w:tcPr>
          <w:p w14:paraId="2A678FD6" w14:textId="5C7F5A48" w:rsidR="001F0E4B" w:rsidRPr="00653BF4" w:rsidRDefault="000612F8">
            <w:pPr>
              <w:spacing w:after="0" w:line="240" w:lineRule="auto"/>
              <w:jc w:val="right"/>
              <w:rPr>
                <w:rFonts w:ascii="Aptos Narrow" w:eastAsia="Times New Roman" w:hAnsi="Aptos Narrow" w:cs="Times New Roman"/>
                <w:b/>
                <w:bCs/>
                <w:color w:val="000000"/>
                <w:kern w:val="0"/>
                <w:sz w:val="20"/>
                <w:szCs w:val="20"/>
                <w:lang w:val="fr-FR"/>
                <w14:ligatures w14:val="none"/>
              </w:rPr>
            </w:pPr>
            <w:r w:rsidRPr="00653BF4">
              <w:rPr>
                <w:rFonts w:ascii="Aptos Narrow" w:eastAsia="Times New Roman" w:hAnsi="Aptos Narrow" w:cs="Times New Roman"/>
                <w:b/>
                <w:bCs/>
                <w:color w:val="000000"/>
                <w:kern w:val="0"/>
                <w:sz w:val="20"/>
                <w:szCs w:val="20"/>
                <w:lang w:val="fr-FR"/>
                <w14:ligatures w14:val="none"/>
              </w:rPr>
              <w:t>Rapport national</w:t>
            </w:r>
          </w:p>
        </w:tc>
        <w:tc>
          <w:tcPr>
            <w:tcW w:w="1559" w:type="dxa"/>
            <w:tcBorders>
              <w:top w:val="single" w:sz="8" w:space="0" w:color="auto"/>
              <w:left w:val="nil"/>
              <w:bottom w:val="single" w:sz="4" w:space="0" w:color="auto"/>
              <w:right w:val="single" w:sz="4" w:space="0" w:color="auto"/>
            </w:tcBorders>
            <w:noWrap/>
            <w:vAlign w:val="bottom"/>
          </w:tcPr>
          <w:p w14:paraId="6205DCEE" w14:textId="55D407E2" w:rsidR="001F0E4B" w:rsidRPr="00653BF4" w:rsidRDefault="000612F8">
            <w:pPr>
              <w:spacing w:after="0" w:line="240" w:lineRule="auto"/>
              <w:jc w:val="right"/>
              <w:rPr>
                <w:rFonts w:ascii="Aptos Narrow" w:eastAsia="Times New Roman" w:hAnsi="Aptos Narrow" w:cs="Times New Roman"/>
                <w:b/>
                <w:bCs/>
                <w:color w:val="000000"/>
                <w:kern w:val="0"/>
                <w:sz w:val="20"/>
                <w:szCs w:val="20"/>
                <w:lang w:val="fr-FR"/>
                <w14:ligatures w14:val="none"/>
              </w:rPr>
            </w:pPr>
            <w:r w:rsidRPr="00653BF4">
              <w:rPr>
                <w:rFonts w:ascii="Aptos Narrow" w:eastAsia="Times New Roman" w:hAnsi="Aptos Narrow" w:cs="Times New Roman"/>
                <w:b/>
                <w:bCs/>
                <w:color w:val="000000"/>
                <w:kern w:val="0"/>
                <w:sz w:val="20"/>
                <w:szCs w:val="20"/>
                <w:lang w:val="fr-FR"/>
                <w14:ligatures w14:val="none"/>
              </w:rPr>
              <w:t xml:space="preserve">Cible nationale (au moins </w:t>
            </w:r>
            <w:r w:rsidR="00A53FF8" w:rsidRPr="00653BF4">
              <w:rPr>
                <w:rFonts w:ascii="Aptos Narrow" w:eastAsia="Times New Roman" w:hAnsi="Aptos Narrow" w:cs="Times New Roman"/>
                <w:b/>
                <w:bCs/>
                <w:color w:val="000000"/>
                <w:kern w:val="0"/>
                <w:sz w:val="20"/>
                <w:szCs w:val="20"/>
                <w:lang w:val="fr-FR"/>
                <w14:ligatures w14:val="none"/>
              </w:rPr>
              <w:t>1</w:t>
            </w:r>
            <w:r w:rsidRPr="00653BF4">
              <w:rPr>
                <w:rFonts w:ascii="Aptos Narrow" w:eastAsia="Times New Roman" w:hAnsi="Aptos Narrow" w:cs="Times New Roman"/>
                <w:b/>
                <w:bCs/>
                <w:color w:val="000000"/>
                <w:kern w:val="0"/>
                <w:sz w:val="20"/>
                <w:szCs w:val="20"/>
                <w:lang w:val="fr-FR"/>
                <w14:ligatures w14:val="none"/>
              </w:rPr>
              <w:t>)</w:t>
            </w:r>
          </w:p>
        </w:tc>
        <w:tc>
          <w:tcPr>
            <w:tcW w:w="1276" w:type="dxa"/>
            <w:tcBorders>
              <w:top w:val="single" w:sz="8" w:space="0" w:color="auto"/>
              <w:left w:val="nil"/>
              <w:bottom w:val="single" w:sz="4" w:space="0" w:color="auto"/>
              <w:right w:val="single" w:sz="8" w:space="0" w:color="auto"/>
            </w:tcBorders>
            <w:noWrap/>
            <w:vAlign w:val="bottom"/>
          </w:tcPr>
          <w:p w14:paraId="15F98EA6" w14:textId="60C9ACB5" w:rsidR="001F0E4B" w:rsidRPr="00653BF4" w:rsidRDefault="000612F8">
            <w:pPr>
              <w:spacing w:after="0" w:line="240" w:lineRule="auto"/>
              <w:jc w:val="right"/>
              <w:rPr>
                <w:rFonts w:ascii="Aptos Narrow" w:eastAsia="Times New Roman" w:hAnsi="Aptos Narrow" w:cs="Times New Roman"/>
                <w:b/>
                <w:bCs/>
                <w:color w:val="000000"/>
                <w:kern w:val="0"/>
                <w:sz w:val="20"/>
                <w:szCs w:val="20"/>
                <w:lang w:val="fr-FR"/>
                <w14:ligatures w14:val="none"/>
              </w:rPr>
            </w:pPr>
            <w:r w:rsidRPr="00653BF4">
              <w:rPr>
                <w:rFonts w:ascii="Aptos Narrow" w:eastAsia="Times New Roman" w:hAnsi="Aptos Narrow" w:cs="Times New Roman"/>
                <w:b/>
                <w:bCs/>
                <w:color w:val="000000"/>
                <w:kern w:val="0"/>
                <w:sz w:val="20"/>
                <w:szCs w:val="20"/>
                <w:lang w:val="fr-FR"/>
                <w14:ligatures w14:val="none"/>
              </w:rPr>
              <w:t>SPANB</w:t>
            </w:r>
          </w:p>
        </w:tc>
      </w:tr>
      <w:tr w:rsidR="00A53FF8" w:rsidRPr="00653BF4" w14:paraId="5FA708C8" w14:textId="77777777" w:rsidTr="00F9212F">
        <w:trPr>
          <w:trHeight w:val="315"/>
        </w:trPr>
        <w:tc>
          <w:tcPr>
            <w:tcW w:w="956" w:type="dxa"/>
            <w:tcBorders>
              <w:top w:val="single" w:sz="8" w:space="0" w:color="auto"/>
              <w:left w:val="single" w:sz="8" w:space="0" w:color="auto"/>
              <w:bottom w:val="single" w:sz="8" w:space="0" w:color="000000"/>
              <w:right w:val="single" w:sz="4" w:space="0" w:color="auto"/>
            </w:tcBorders>
            <w:noWrap/>
            <w:textDirection w:val="btLr"/>
            <w:vAlign w:val="bottom"/>
          </w:tcPr>
          <w:p w14:paraId="7E6F180C" w14:textId="77777777" w:rsidR="00A53FF8" w:rsidRPr="00653BF4" w:rsidRDefault="00A53FF8" w:rsidP="00A53FF8">
            <w:pPr>
              <w:spacing w:after="0" w:line="240" w:lineRule="auto"/>
              <w:jc w:val="center"/>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 </w:t>
            </w:r>
          </w:p>
        </w:tc>
        <w:tc>
          <w:tcPr>
            <w:tcW w:w="3893" w:type="dxa"/>
            <w:tcBorders>
              <w:top w:val="single" w:sz="8" w:space="0" w:color="auto"/>
              <w:left w:val="nil"/>
              <w:bottom w:val="single" w:sz="4" w:space="0" w:color="auto"/>
              <w:right w:val="single" w:sz="4" w:space="0" w:color="auto"/>
            </w:tcBorders>
            <w:noWrap/>
          </w:tcPr>
          <w:p w14:paraId="06FA773A" w14:textId="74AAA754" w:rsidR="00A53FF8" w:rsidRPr="00653BF4" w:rsidRDefault="00A53FF8" w:rsidP="00A53FF8">
            <w:pPr>
              <w:spacing w:after="0" w:line="240" w:lineRule="auto"/>
              <w:rPr>
                <w:rFonts w:ascii="Aptos Narrow" w:eastAsia="Times New Roman" w:hAnsi="Aptos Narrow" w:cs="Times New Roman"/>
                <w:color w:val="000000"/>
                <w:kern w:val="0"/>
                <w:sz w:val="20"/>
                <w:szCs w:val="20"/>
                <w:lang w:val="fr-FR"/>
                <w14:ligatures w14:val="none"/>
              </w:rPr>
            </w:pPr>
            <w:r w:rsidRPr="00653BF4">
              <w:rPr>
                <w:sz w:val="20"/>
                <w:szCs w:val="20"/>
                <w:lang w:val="fr-FR"/>
              </w:rPr>
              <w:t>Toutes les Parties</w:t>
            </w:r>
          </w:p>
        </w:tc>
        <w:tc>
          <w:tcPr>
            <w:tcW w:w="1237" w:type="dxa"/>
            <w:tcBorders>
              <w:top w:val="single" w:sz="8" w:space="0" w:color="auto"/>
              <w:left w:val="nil"/>
              <w:bottom w:val="single" w:sz="4" w:space="0" w:color="auto"/>
              <w:right w:val="single" w:sz="4" w:space="0" w:color="auto"/>
            </w:tcBorders>
            <w:noWrap/>
            <w:vAlign w:val="bottom"/>
          </w:tcPr>
          <w:p w14:paraId="51BCB114" w14:textId="43FB219E"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66</w:t>
            </w:r>
            <w:r w:rsidR="002878D7">
              <w:rPr>
                <w:rFonts w:ascii="Aptos Narrow" w:eastAsia="Times New Roman" w:hAnsi="Aptos Narrow" w:cs="Times New Roman"/>
                <w:color w:val="000000"/>
                <w:kern w:val="0"/>
                <w:sz w:val="22"/>
                <w:szCs w:val="22"/>
                <w:lang w:val="fr-FR"/>
                <w14:ligatures w14:val="none"/>
              </w:rPr>
              <w:t> %</w:t>
            </w:r>
          </w:p>
        </w:tc>
        <w:tc>
          <w:tcPr>
            <w:tcW w:w="1559" w:type="dxa"/>
            <w:tcBorders>
              <w:top w:val="single" w:sz="8" w:space="0" w:color="auto"/>
              <w:left w:val="nil"/>
              <w:bottom w:val="single" w:sz="4" w:space="0" w:color="auto"/>
              <w:right w:val="single" w:sz="4" w:space="0" w:color="auto"/>
            </w:tcBorders>
            <w:noWrap/>
            <w:vAlign w:val="bottom"/>
          </w:tcPr>
          <w:p w14:paraId="4EE23145" w14:textId="4AD7BF5B"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83</w:t>
            </w:r>
            <w:r w:rsidR="002878D7">
              <w:rPr>
                <w:rFonts w:ascii="Aptos Narrow" w:eastAsia="Times New Roman" w:hAnsi="Aptos Narrow" w:cs="Times New Roman"/>
                <w:color w:val="000000"/>
                <w:kern w:val="0"/>
                <w:sz w:val="22"/>
                <w:szCs w:val="22"/>
                <w:lang w:val="fr-FR"/>
                <w14:ligatures w14:val="none"/>
              </w:rPr>
              <w:t> %</w:t>
            </w:r>
          </w:p>
        </w:tc>
        <w:tc>
          <w:tcPr>
            <w:tcW w:w="1276" w:type="dxa"/>
            <w:tcBorders>
              <w:top w:val="single" w:sz="8" w:space="0" w:color="auto"/>
              <w:left w:val="nil"/>
              <w:bottom w:val="single" w:sz="4" w:space="0" w:color="auto"/>
              <w:right w:val="single" w:sz="8" w:space="0" w:color="auto"/>
            </w:tcBorders>
            <w:noWrap/>
            <w:vAlign w:val="bottom"/>
          </w:tcPr>
          <w:p w14:paraId="5688F836" w14:textId="7044D937"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45</w:t>
            </w:r>
            <w:r w:rsidR="002878D7">
              <w:rPr>
                <w:rFonts w:ascii="Aptos Narrow" w:eastAsia="Times New Roman" w:hAnsi="Aptos Narrow" w:cs="Times New Roman"/>
                <w:color w:val="000000"/>
                <w:kern w:val="0"/>
                <w:sz w:val="22"/>
                <w:szCs w:val="22"/>
                <w:lang w:val="fr-FR"/>
                <w14:ligatures w14:val="none"/>
              </w:rPr>
              <w:t> %</w:t>
            </w:r>
          </w:p>
        </w:tc>
      </w:tr>
      <w:tr w:rsidR="00A53FF8" w:rsidRPr="00653BF4" w14:paraId="0CE04349" w14:textId="77777777" w:rsidTr="00F9212F">
        <w:trPr>
          <w:trHeight w:val="315"/>
        </w:trPr>
        <w:tc>
          <w:tcPr>
            <w:tcW w:w="956" w:type="dxa"/>
            <w:vMerge w:val="restart"/>
            <w:tcBorders>
              <w:top w:val="single" w:sz="8" w:space="0" w:color="auto"/>
              <w:left w:val="single" w:sz="8" w:space="0" w:color="auto"/>
              <w:right w:val="single" w:sz="4" w:space="0" w:color="auto"/>
            </w:tcBorders>
            <w:noWrap/>
            <w:textDirection w:val="btLr"/>
            <w:vAlign w:val="bottom"/>
          </w:tcPr>
          <w:p w14:paraId="2608C057" w14:textId="6EE96B0F" w:rsidR="00A53FF8" w:rsidRPr="00653BF4" w:rsidRDefault="00A53FF8" w:rsidP="00A53FF8">
            <w:pPr>
              <w:spacing w:after="0" w:line="240" w:lineRule="auto"/>
              <w:jc w:val="center"/>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Groupes régionaux d</w:t>
            </w:r>
            <w:r w:rsidR="002A58C8" w:rsidRPr="00653BF4">
              <w:rPr>
                <w:rFonts w:ascii="Aptos Narrow" w:eastAsia="Times New Roman" w:hAnsi="Aptos Narrow" w:cs="Times New Roman"/>
                <w:color w:val="000000"/>
                <w:kern w:val="0"/>
                <w:sz w:val="22"/>
                <w:szCs w:val="22"/>
                <w:lang w:val="fr-FR"/>
                <w14:ligatures w14:val="none"/>
              </w:rPr>
              <w:t>’</w:t>
            </w:r>
            <w:r w:rsidRPr="00653BF4">
              <w:rPr>
                <w:rFonts w:ascii="Aptos Narrow" w:eastAsia="Times New Roman" w:hAnsi="Aptos Narrow" w:cs="Times New Roman"/>
                <w:color w:val="000000"/>
                <w:kern w:val="0"/>
                <w:sz w:val="22"/>
                <w:szCs w:val="22"/>
                <w:lang w:val="fr-FR"/>
                <w14:ligatures w14:val="none"/>
              </w:rPr>
              <w:t>États membres</w:t>
            </w:r>
          </w:p>
        </w:tc>
        <w:tc>
          <w:tcPr>
            <w:tcW w:w="3893" w:type="dxa"/>
            <w:tcBorders>
              <w:top w:val="single" w:sz="8" w:space="0" w:color="auto"/>
              <w:left w:val="nil"/>
              <w:bottom w:val="single" w:sz="4" w:space="0" w:color="auto"/>
              <w:right w:val="single" w:sz="4" w:space="0" w:color="auto"/>
            </w:tcBorders>
            <w:noWrap/>
          </w:tcPr>
          <w:p w14:paraId="38C7A1B9" w14:textId="71B259F6" w:rsidR="00A53FF8" w:rsidRPr="00653BF4" w:rsidRDefault="00A53FF8" w:rsidP="00A53FF8">
            <w:pPr>
              <w:spacing w:after="0" w:line="240" w:lineRule="auto"/>
              <w:rPr>
                <w:rFonts w:ascii="Aptos Narrow" w:eastAsia="Times New Roman" w:hAnsi="Aptos Narrow" w:cs="Times New Roman"/>
                <w:color w:val="000000"/>
                <w:kern w:val="0"/>
                <w:sz w:val="20"/>
                <w:szCs w:val="20"/>
                <w:lang w:val="fr-FR"/>
                <w14:ligatures w14:val="none"/>
              </w:rPr>
            </w:pPr>
            <w:r w:rsidRPr="00653BF4">
              <w:rPr>
                <w:sz w:val="20"/>
                <w:szCs w:val="20"/>
                <w:lang w:val="fr-FR"/>
              </w:rPr>
              <w:t>États d</w:t>
            </w:r>
            <w:r w:rsidR="002A58C8" w:rsidRPr="00653BF4">
              <w:rPr>
                <w:sz w:val="20"/>
                <w:szCs w:val="20"/>
                <w:lang w:val="fr-FR"/>
              </w:rPr>
              <w:t>’</w:t>
            </w:r>
            <w:r w:rsidRPr="00653BF4">
              <w:rPr>
                <w:sz w:val="20"/>
                <w:szCs w:val="20"/>
                <w:lang w:val="fr-FR"/>
              </w:rPr>
              <w:t>Afrique</w:t>
            </w:r>
          </w:p>
        </w:tc>
        <w:tc>
          <w:tcPr>
            <w:tcW w:w="1237" w:type="dxa"/>
            <w:tcBorders>
              <w:top w:val="single" w:sz="8" w:space="0" w:color="auto"/>
              <w:left w:val="nil"/>
              <w:bottom w:val="single" w:sz="4" w:space="0" w:color="auto"/>
              <w:right w:val="single" w:sz="4" w:space="0" w:color="auto"/>
            </w:tcBorders>
            <w:noWrap/>
            <w:vAlign w:val="bottom"/>
          </w:tcPr>
          <w:p w14:paraId="5D94010F" w14:textId="75A558E5"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72</w:t>
            </w:r>
            <w:r w:rsidR="002878D7">
              <w:rPr>
                <w:rFonts w:ascii="Aptos Narrow" w:eastAsia="Times New Roman" w:hAnsi="Aptos Narrow" w:cs="Times New Roman"/>
                <w:color w:val="000000"/>
                <w:kern w:val="0"/>
                <w:sz w:val="22"/>
                <w:szCs w:val="22"/>
                <w:lang w:val="fr-FR"/>
                <w14:ligatures w14:val="none"/>
              </w:rPr>
              <w:t> %</w:t>
            </w:r>
          </w:p>
        </w:tc>
        <w:tc>
          <w:tcPr>
            <w:tcW w:w="1559" w:type="dxa"/>
            <w:tcBorders>
              <w:top w:val="single" w:sz="8" w:space="0" w:color="auto"/>
              <w:left w:val="nil"/>
              <w:bottom w:val="single" w:sz="4" w:space="0" w:color="auto"/>
              <w:right w:val="single" w:sz="4" w:space="0" w:color="auto"/>
            </w:tcBorders>
            <w:noWrap/>
            <w:vAlign w:val="bottom"/>
          </w:tcPr>
          <w:p w14:paraId="11F987E6" w14:textId="1AE89055"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96</w:t>
            </w:r>
            <w:r w:rsidR="002878D7">
              <w:rPr>
                <w:rFonts w:ascii="Aptos Narrow" w:eastAsia="Times New Roman" w:hAnsi="Aptos Narrow" w:cs="Times New Roman"/>
                <w:color w:val="000000"/>
                <w:kern w:val="0"/>
                <w:sz w:val="22"/>
                <w:szCs w:val="22"/>
                <w:lang w:val="fr-FR"/>
                <w14:ligatures w14:val="none"/>
              </w:rPr>
              <w:t> %</w:t>
            </w:r>
          </w:p>
        </w:tc>
        <w:tc>
          <w:tcPr>
            <w:tcW w:w="1276" w:type="dxa"/>
            <w:tcBorders>
              <w:top w:val="single" w:sz="8" w:space="0" w:color="auto"/>
              <w:left w:val="nil"/>
              <w:bottom w:val="single" w:sz="4" w:space="0" w:color="auto"/>
              <w:right w:val="single" w:sz="8" w:space="0" w:color="auto"/>
            </w:tcBorders>
            <w:noWrap/>
            <w:vAlign w:val="bottom"/>
          </w:tcPr>
          <w:p w14:paraId="2CDF482A" w14:textId="010BA4C1"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51</w:t>
            </w:r>
            <w:r w:rsidR="002878D7">
              <w:rPr>
                <w:rFonts w:ascii="Aptos Narrow" w:eastAsia="Times New Roman" w:hAnsi="Aptos Narrow" w:cs="Times New Roman"/>
                <w:color w:val="000000"/>
                <w:kern w:val="0"/>
                <w:sz w:val="22"/>
                <w:szCs w:val="22"/>
                <w:lang w:val="fr-FR"/>
                <w14:ligatures w14:val="none"/>
              </w:rPr>
              <w:t> %</w:t>
            </w:r>
          </w:p>
        </w:tc>
      </w:tr>
      <w:tr w:rsidR="00A53FF8" w:rsidRPr="00653BF4" w14:paraId="2ABD8B74" w14:textId="77777777" w:rsidTr="00F9212F">
        <w:trPr>
          <w:trHeight w:val="315"/>
        </w:trPr>
        <w:tc>
          <w:tcPr>
            <w:tcW w:w="956" w:type="dxa"/>
            <w:vMerge/>
            <w:tcBorders>
              <w:left w:val="single" w:sz="8" w:space="0" w:color="auto"/>
              <w:right w:val="single" w:sz="4" w:space="0" w:color="auto"/>
            </w:tcBorders>
            <w:noWrap/>
            <w:textDirection w:val="btLr"/>
            <w:vAlign w:val="bottom"/>
          </w:tcPr>
          <w:p w14:paraId="1281FAB3" w14:textId="77777777" w:rsidR="00A53FF8" w:rsidRPr="00653BF4" w:rsidRDefault="00A53FF8" w:rsidP="00A53FF8">
            <w:pPr>
              <w:spacing w:after="0" w:line="240" w:lineRule="auto"/>
              <w:jc w:val="center"/>
              <w:rPr>
                <w:rFonts w:ascii="Aptos Narrow" w:eastAsia="Times New Roman" w:hAnsi="Aptos Narrow" w:cs="Times New Roman"/>
                <w:color w:val="000000"/>
                <w:kern w:val="0"/>
                <w:sz w:val="22"/>
                <w:szCs w:val="22"/>
                <w:lang w:val="fr-FR"/>
                <w14:ligatures w14:val="none"/>
              </w:rPr>
            </w:pPr>
          </w:p>
        </w:tc>
        <w:tc>
          <w:tcPr>
            <w:tcW w:w="3893" w:type="dxa"/>
            <w:tcBorders>
              <w:top w:val="single" w:sz="8" w:space="0" w:color="auto"/>
              <w:left w:val="nil"/>
              <w:bottom w:val="single" w:sz="4" w:space="0" w:color="auto"/>
              <w:right w:val="single" w:sz="4" w:space="0" w:color="auto"/>
            </w:tcBorders>
            <w:noWrap/>
          </w:tcPr>
          <w:p w14:paraId="1F7B5AD4" w14:textId="387217E4" w:rsidR="00A53FF8" w:rsidRPr="00653BF4" w:rsidRDefault="00A53FF8" w:rsidP="00A53FF8">
            <w:pPr>
              <w:spacing w:after="0" w:line="240" w:lineRule="auto"/>
              <w:rPr>
                <w:rFonts w:ascii="Aptos Narrow" w:eastAsia="Times New Roman" w:hAnsi="Aptos Narrow" w:cs="Times New Roman"/>
                <w:color w:val="000000"/>
                <w:kern w:val="0"/>
                <w:sz w:val="20"/>
                <w:szCs w:val="20"/>
                <w:lang w:val="fr-FR"/>
                <w14:ligatures w14:val="none"/>
              </w:rPr>
            </w:pPr>
            <w:r w:rsidRPr="00653BF4">
              <w:rPr>
                <w:sz w:val="20"/>
                <w:szCs w:val="20"/>
                <w:lang w:val="fr-FR"/>
              </w:rPr>
              <w:t>États d</w:t>
            </w:r>
            <w:r w:rsidR="002A58C8" w:rsidRPr="00653BF4">
              <w:rPr>
                <w:sz w:val="20"/>
                <w:szCs w:val="20"/>
                <w:lang w:val="fr-FR"/>
              </w:rPr>
              <w:t>’</w:t>
            </w:r>
            <w:r w:rsidRPr="00653BF4">
              <w:rPr>
                <w:sz w:val="20"/>
                <w:szCs w:val="20"/>
                <w:lang w:val="fr-FR"/>
              </w:rPr>
              <w:t>Asie-Pacifique</w:t>
            </w:r>
          </w:p>
        </w:tc>
        <w:tc>
          <w:tcPr>
            <w:tcW w:w="1237" w:type="dxa"/>
            <w:tcBorders>
              <w:top w:val="single" w:sz="8" w:space="0" w:color="auto"/>
              <w:left w:val="nil"/>
              <w:bottom w:val="single" w:sz="4" w:space="0" w:color="auto"/>
              <w:right w:val="single" w:sz="4" w:space="0" w:color="auto"/>
            </w:tcBorders>
            <w:noWrap/>
            <w:vAlign w:val="bottom"/>
          </w:tcPr>
          <w:p w14:paraId="5A583A86" w14:textId="6DDA509A"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60</w:t>
            </w:r>
            <w:r w:rsidR="002878D7">
              <w:rPr>
                <w:rFonts w:ascii="Aptos Narrow" w:eastAsia="Times New Roman" w:hAnsi="Aptos Narrow" w:cs="Times New Roman"/>
                <w:color w:val="000000"/>
                <w:kern w:val="0"/>
                <w:sz w:val="22"/>
                <w:szCs w:val="22"/>
                <w:lang w:val="fr-FR"/>
                <w14:ligatures w14:val="none"/>
              </w:rPr>
              <w:t> %</w:t>
            </w:r>
          </w:p>
        </w:tc>
        <w:tc>
          <w:tcPr>
            <w:tcW w:w="1559" w:type="dxa"/>
            <w:tcBorders>
              <w:top w:val="single" w:sz="8" w:space="0" w:color="auto"/>
              <w:left w:val="nil"/>
              <w:bottom w:val="single" w:sz="4" w:space="0" w:color="auto"/>
              <w:right w:val="single" w:sz="4" w:space="0" w:color="auto"/>
            </w:tcBorders>
            <w:noWrap/>
            <w:vAlign w:val="bottom"/>
          </w:tcPr>
          <w:p w14:paraId="05CA19C6" w14:textId="6EE69FD3"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78</w:t>
            </w:r>
            <w:r w:rsidR="002878D7">
              <w:rPr>
                <w:rFonts w:ascii="Aptos Narrow" w:eastAsia="Times New Roman" w:hAnsi="Aptos Narrow" w:cs="Times New Roman"/>
                <w:color w:val="000000"/>
                <w:kern w:val="0"/>
                <w:sz w:val="22"/>
                <w:szCs w:val="22"/>
                <w:lang w:val="fr-FR"/>
                <w14:ligatures w14:val="none"/>
              </w:rPr>
              <w:t> %</w:t>
            </w:r>
          </w:p>
        </w:tc>
        <w:tc>
          <w:tcPr>
            <w:tcW w:w="1276" w:type="dxa"/>
            <w:tcBorders>
              <w:top w:val="single" w:sz="8" w:space="0" w:color="auto"/>
              <w:left w:val="nil"/>
              <w:bottom w:val="single" w:sz="4" w:space="0" w:color="auto"/>
              <w:right w:val="single" w:sz="8" w:space="0" w:color="auto"/>
            </w:tcBorders>
            <w:noWrap/>
            <w:vAlign w:val="bottom"/>
          </w:tcPr>
          <w:p w14:paraId="354B7468" w14:textId="1191DD34"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38</w:t>
            </w:r>
            <w:r w:rsidR="002878D7">
              <w:rPr>
                <w:rFonts w:ascii="Aptos Narrow" w:eastAsia="Times New Roman" w:hAnsi="Aptos Narrow" w:cs="Times New Roman"/>
                <w:color w:val="000000"/>
                <w:kern w:val="0"/>
                <w:sz w:val="22"/>
                <w:szCs w:val="22"/>
                <w:lang w:val="fr-FR"/>
                <w14:ligatures w14:val="none"/>
              </w:rPr>
              <w:t> %</w:t>
            </w:r>
          </w:p>
        </w:tc>
      </w:tr>
      <w:tr w:rsidR="00A53FF8" w:rsidRPr="00653BF4" w14:paraId="5E0CD1F0" w14:textId="77777777" w:rsidTr="00F9212F">
        <w:trPr>
          <w:trHeight w:val="315"/>
        </w:trPr>
        <w:tc>
          <w:tcPr>
            <w:tcW w:w="956" w:type="dxa"/>
            <w:vMerge/>
            <w:tcBorders>
              <w:left w:val="single" w:sz="8" w:space="0" w:color="auto"/>
              <w:right w:val="single" w:sz="4" w:space="0" w:color="auto"/>
            </w:tcBorders>
            <w:noWrap/>
            <w:textDirection w:val="btLr"/>
            <w:vAlign w:val="bottom"/>
          </w:tcPr>
          <w:p w14:paraId="449BBA88" w14:textId="77777777" w:rsidR="00A53FF8" w:rsidRPr="00653BF4" w:rsidRDefault="00A53FF8" w:rsidP="00A53FF8">
            <w:pPr>
              <w:spacing w:after="0" w:line="240" w:lineRule="auto"/>
              <w:jc w:val="center"/>
              <w:rPr>
                <w:rFonts w:ascii="Aptos Narrow" w:eastAsia="Times New Roman" w:hAnsi="Aptos Narrow" w:cs="Times New Roman"/>
                <w:color w:val="000000"/>
                <w:kern w:val="0"/>
                <w:sz w:val="22"/>
                <w:szCs w:val="22"/>
                <w:lang w:val="fr-FR"/>
                <w14:ligatures w14:val="none"/>
              </w:rPr>
            </w:pPr>
          </w:p>
        </w:tc>
        <w:tc>
          <w:tcPr>
            <w:tcW w:w="3893" w:type="dxa"/>
            <w:tcBorders>
              <w:top w:val="single" w:sz="8" w:space="0" w:color="auto"/>
              <w:left w:val="nil"/>
              <w:bottom w:val="single" w:sz="4" w:space="0" w:color="auto"/>
              <w:right w:val="single" w:sz="4" w:space="0" w:color="auto"/>
            </w:tcBorders>
            <w:noWrap/>
          </w:tcPr>
          <w:p w14:paraId="254FC1A2" w14:textId="05F90D77" w:rsidR="00A53FF8" w:rsidRPr="00653BF4" w:rsidRDefault="00A53FF8" w:rsidP="00A53FF8">
            <w:pPr>
              <w:spacing w:after="0" w:line="240" w:lineRule="auto"/>
              <w:rPr>
                <w:rFonts w:ascii="Aptos Narrow" w:eastAsia="Times New Roman" w:hAnsi="Aptos Narrow" w:cs="Times New Roman"/>
                <w:color w:val="000000"/>
                <w:kern w:val="0"/>
                <w:sz w:val="20"/>
                <w:szCs w:val="20"/>
                <w:lang w:val="fr-FR"/>
                <w14:ligatures w14:val="none"/>
              </w:rPr>
            </w:pPr>
            <w:r w:rsidRPr="00653BF4">
              <w:rPr>
                <w:sz w:val="20"/>
                <w:szCs w:val="20"/>
                <w:lang w:val="fr-FR"/>
              </w:rPr>
              <w:t>États d</w:t>
            </w:r>
            <w:r w:rsidR="002A58C8" w:rsidRPr="00653BF4">
              <w:rPr>
                <w:sz w:val="20"/>
                <w:szCs w:val="20"/>
                <w:lang w:val="fr-FR"/>
              </w:rPr>
              <w:t>’</w:t>
            </w:r>
            <w:r w:rsidRPr="00653BF4">
              <w:rPr>
                <w:sz w:val="20"/>
                <w:szCs w:val="20"/>
                <w:lang w:val="fr-FR"/>
              </w:rPr>
              <w:t>Europe de l</w:t>
            </w:r>
            <w:r w:rsidR="002A58C8" w:rsidRPr="00653BF4">
              <w:rPr>
                <w:sz w:val="20"/>
                <w:szCs w:val="20"/>
                <w:lang w:val="fr-FR"/>
              </w:rPr>
              <w:t>’</w:t>
            </w:r>
            <w:r w:rsidRPr="00653BF4">
              <w:rPr>
                <w:sz w:val="20"/>
                <w:szCs w:val="20"/>
                <w:lang w:val="fr-FR"/>
              </w:rPr>
              <w:t>Est</w:t>
            </w:r>
          </w:p>
        </w:tc>
        <w:tc>
          <w:tcPr>
            <w:tcW w:w="1237" w:type="dxa"/>
            <w:tcBorders>
              <w:top w:val="single" w:sz="8" w:space="0" w:color="auto"/>
              <w:left w:val="nil"/>
              <w:bottom w:val="single" w:sz="4" w:space="0" w:color="auto"/>
              <w:right w:val="single" w:sz="4" w:space="0" w:color="auto"/>
            </w:tcBorders>
            <w:noWrap/>
            <w:vAlign w:val="bottom"/>
          </w:tcPr>
          <w:p w14:paraId="7FC42F9A" w14:textId="5E572BA2"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36</w:t>
            </w:r>
            <w:r w:rsidR="002878D7">
              <w:rPr>
                <w:rFonts w:ascii="Aptos Narrow" w:eastAsia="Times New Roman" w:hAnsi="Aptos Narrow" w:cs="Times New Roman"/>
                <w:color w:val="000000"/>
                <w:kern w:val="0"/>
                <w:sz w:val="22"/>
                <w:szCs w:val="22"/>
                <w:lang w:val="fr-FR"/>
                <w14:ligatures w14:val="none"/>
              </w:rPr>
              <w:t> %</w:t>
            </w:r>
          </w:p>
        </w:tc>
        <w:tc>
          <w:tcPr>
            <w:tcW w:w="1559" w:type="dxa"/>
            <w:tcBorders>
              <w:top w:val="single" w:sz="8" w:space="0" w:color="auto"/>
              <w:left w:val="nil"/>
              <w:bottom w:val="single" w:sz="4" w:space="0" w:color="auto"/>
              <w:right w:val="single" w:sz="4" w:space="0" w:color="auto"/>
            </w:tcBorders>
            <w:noWrap/>
            <w:vAlign w:val="bottom"/>
          </w:tcPr>
          <w:p w14:paraId="2463194A" w14:textId="7F1A7DDF"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68</w:t>
            </w:r>
            <w:r w:rsidR="002878D7">
              <w:rPr>
                <w:rFonts w:ascii="Aptos Narrow" w:eastAsia="Times New Roman" w:hAnsi="Aptos Narrow" w:cs="Times New Roman"/>
                <w:color w:val="000000"/>
                <w:kern w:val="0"/>
                <w:sz w:val="22"/>
                <w:szCs w:val="22"/>
                <w:lang w:val="fr-FR"/>
                <w14:ligatures w14:val="none"/>
              </w:rPr>
              <w:t> %</w:t>
            </w:r>
          </w:p>
        </w:tc>
        <w:tc>
          <w:tcPr>
            <w:tcW w:w="1276" w:type="dxa"/>
            <w:tcBorders>
              <w:top w:val="single" w:sz="8" w:space="0" w:color="auto"/>
              <w:left w:val="nil"/>
              <w:bottom w:val="single" w:sz="4" w:space="0" w:color="auto"/>
              <w:right w:val="single" w:sz="8" w:space="0" w:color="auto"/>
            </w:tcBorders>
            <w:noWrap/>
            <w:vAlign w:val="bottom"/>
          </w:tcPr>
          <w:p w14:paraId="08CDE668" w14:textId="7ADDBFD4"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23</w:t>
            </w:r>
            <w:r w:rsidR="002878D7">
              <w:rPr>
                <w:rFonts w:ascii="Aptos Narrow" w:eastAsia="Times New Roman" w:hAnsi="Aptos Narrow" w:cs="Times New Roman"/>
                <w:color w:val="000000"/>
                <w:kern w:val="0"/>
                <w:sz w:val="22"/>
                <w:szCs w:val="22"/>
                <w:lang w:val="fr-FR"/>
                <w14:ligatures w14:val="none"/>
              </w:rPr>
              <w:t> %</w:t>
            </w:r>
          </w:p>
        </w:tc>
      </w:tr>
      <w:tr w:rsidR="00A53FF8" w:rsidRPr="00653BF4" w14:paraId="02C8CC9F" w14:textId="77777777" w:rsidTr="00F9212F">
        <w:trPr>
          <w:trHeight w:val="315"/>
        </w:trPr>
        <w:tc>
          <w:tcPr>
            <w:tcW w:w="956" w:type="dxa"/>
            <w:vMerge/>
            <w:tcBorders>
              <w:left w:val="single" w:sz="8" w:space="0" w:color="auto"/>
              <w:right w:val="single" w:sz="4" w:space="0" w:color="auto"/>
            </w:tcBorders>
            <w:noWrap/>
            <w:textDirection w:val="btLr"/>
            <w:vAlign w:val="bottom"/>
          </w:tcPr>
          <w:p w14:paraId="2CDEB9D5" w14:textId="77777777" w:rsidR="00A53FF8" w:rsidRPr="00653BF4" w:rsidRDefault="00A53FF8" w:rsidP="00A53FF8">
            <w:pPr>
              <w:spacing w:after="0" w:line="240" w:lineRule="auto"/>
              <w:jc w:val="center"/>
              <w:rPr>
                <w:rFonts w:ascii="Aptos Narrow" w:eastAsia="Times New Roman" w:hAnsi="Aptos Narrow" w:cs="Times New Roman"/>
                <w:color w:val="000000"/>
                <w:kern w:val="0"/>
                <w:sz w:val="22"/>
                <w:szCs w:val="22"/>
                <w:lang w:val="fr-FR"/>
                <w14:ligatures w14:val="none"/>
              </w:rPr>
            </w:pPr>
          </w:p>
        </w:tc>
        <w:tc>
          <w:tcPr>
            <w:tcW w:w="3893" w:type="dxa"/>
            <w:tcBorders>
              <w:top w:val="single" w:sz="8" w:space="0" w:color="auto"/>
              <w:left w:val="nil"/>
              <w:bottom w:val="single" w:sz="4" w:space="0" w:color="auto"/>
              <w:right w:val="single" w:sz="4" w:space="0" w:color="auto"/>
            </w:tcBorders>
            <w:noWrap/>
          </w:tcPr>
          <w:p w14:paraId="778BEB74" w14:textId="3F06B4C3" w:rsidR="00A53FF8" w:rsidRPr="00653BF4" w:rsidRDefault="00A53FF8" w:rsidP="00A53FF8">
            <w:pPr>
              <w:spacing w:after="0" w:line="240" w:lineRule="auto"/>
              <w:rPr>
                <w:rFonts w:ascii="Aptos Narrow" w:eastAsia="Times New Roman" w:hAnsi="Aptos Narrow" w:cs="Times New Roman"/>
                <w:color w:val="000000"/>
                <w:kern w:val="0"/>
                <w:sz w:val="20"/>
                <w:szCs w:val="20"/>
                <w:lang w:val="fr-FR"/>
                <w14:ligatures w14:val="none"/>
              </w:rPr>
            </w:pPr>
            <w:r w:rsidRPr="00653BF4">
              <w:rPr>
                <w:sz w:val="20"/>
                <w:szCs w:val="20"/>
                <w:lang w:val="fr-FR"/>
              </w:rPr>
              <w:t>États d</w:t>
            </w:r>
            <w:r w:rsidR="002A58C8" w:rsidRPr="00653BF4">
              <w:rPr>
                <w:sz w:val="20"/>
                <w:szCs w:val="20"/>
                <w:lang w:val="fr-FR"/>
              </w:rPr>
              <w:t>’</w:t>
            </w:r>
            <w:r w:rsidRPr="00653BF4">
              <w:rPr>
                <w:sz w:val="20"/>
                <w:szCs w:val="20"/>
                <w:lang w:val="fr-FR"/>
              </w:rPr>
              <w:t>Amérique latine et des Caraïbes</w:t>
            </w:r>
          </w:p>
        </w:tc>
        <w:tc>
          <w:tcPr>
            <w:tcW w:w="1237" w:type="dxa"/>
            <w:tcBorders>
              <w:top w:val="single" w:sz="8" w:space="0" w:color="auto"/>
              <w:left w:val="nil"/>
              <w:bottom w:val="single" w:sz="4" w:space="0" w:color="auto"/>
              <w:right w:val="single" w:sz="4" w:space="0" w:color="auto"/>
            </w:tcBorders>
            <w:noWrap/>
            <w:vAlign w:val="bottom"/>
          </w:tcPr>
          <w:p w14:paraId="4DD4C17E" w14:textId="4AEC09BF"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61</w:t>
            </w:r>
            <w:r w:rsidR="002878D7">
              <w:rPr>
                <w:rFonts w:ascii="Aptos Narrow" w:eastAsia="Times New Roman" w:hAnsi="Aptos Narrow" w:cs="Times New Roman"/>
                <w:color w:val="000000"/>
                <w:kern w:val="0"/>
                <w:sz w:val="22"/>
                <w:szCs w:val="22"/>
                <w:lang w:val="fr-FR"/>
                <w14:ligatures w14:val="none"/>
              </w:rPr>
              <w:t> %</w:t>
            </w:r>
          </w:p>
        </w:tc>
        <w:tc>
          <w:tcPr>
            <w:tcW w:w="1559" w:type="dxa"/>
            <w:tcBorders>
              <w:top w:val="single" w:sz="8" w:space="0" w:color="auto"/>
              <w:left w:val="nil"/>
              <w:bottom w:val="single" w:sz="4" w:space="0" w:color="auto"/>
              <w:right w:val="single" w:sz="4" w:space="0" w:color="auto"/>
            </w:tcBorders>
            <w:noWrap/>
            <w:vAlign w:val="bottom"/>
          </w:tcPr>
          <w:p w14:paraId="760FDE74" w14:textId="71420424"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73</w:t>
            </w:r>
            <w:r w:rsidR="002878D7">
              <w:rPr>
                <w:rFonts w:ascii="Aptos Narrow" w:eastAsia="Times New Roman" w:hAnsi="Aptos Narrow" w:cs="Times New Roman"/>
                <w:color w:val="000000"/>
                <w:kern w:val="0"/>
                <w:sz w:val="22"/>
                <w:szCs w:val="22"/>
                <w:lang w:val="fr-FR"/>
                <w14:ligatures w14:val="none"/>
              </w:rPr>
              <w:t> %</w:t>
            </w:r>
          </w:p>
        </w:tc>
        <w:tc>
          <w:tcPr>
            <w:tcW w:w="1276" w:type="dxa"/>
            <w:tcBorders>
              <w:top w:val="single" w:sz="8" w:space="0" w:color="auto"/>
              <w:left w:val="nil"/>
              <w:bottom w:val="single" w:sz="4" w:space="0" w:color="auto"/>
              <w:right w:val="single" w:sz="8" w:space="0" w:color="auto"/>
            </w:tcBorders>
            <w:noWrap/>
            <w:vAlign w:val="bottom"/>
          </w:tcPr>
          <w:p w14:paraId="59D6069E" w14:textId="4F2EEC1E"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39</w:t>
            </w:r>
            <w:r w:rsidR="002878D7">
              <w:rPr>
                <w:rFonts w:ascii="Aptos Narrow" w:eastAsia="Times New Roman" w:hAnsi="Aptos Narrow" w:cs="Times New Roman"/>
                <w:color w:val="000000"/>
                <w:kern w:val="0"/>
                <w:sz w:val="22"/>
                <w:szCs w:val="22"/>
                <w:lang w:val="fr-FR"/>
                <w14:ligatures w14:val="none"/>
              </w:rPr>
              <w:t> %</w:t>
            </w:r>
          </w:p>
        </w:tc>
      </w:tr>
      <w:tr w:rsidR="00A53FF8" w:rsidRPr="00653BF4" w14:paraId="429D4212" w14:textId="77777777" w:rsidTr="00F9212F">
        <w:trPr>
          <w:trHeight w:val="315"/>
        </w:trPr>
        <w:tc>
          <w:tcPr>
            <w:tcW w:w="956" w:type="dxa"/>
            <w:vMerge/>
            <w:tcBorders>
              <w:left w:val="single" w:sz="8" w:space="0" w:color="auto"/>
              <w:bottom w:val="single" w:sz="8" w:space="0" w:color="000000"/>
              <w:right w:val="single" w:sz="4" w:space="0" w:color="auto"/>
            </w:tcBorders>
            <w:noWrap/>
            <w:textDirection w:val="btLr"/>
            <w:vAlign w:val="bottom"/>
          </w:tcPr>
          <w:p w14:paraId="6C5E8E7B" w14:textId="77777777" w:rsidR="00A53FF8" w:rsidRPr="00653BF4" w:rsidRDefault="00A53FF8" w:rsidP="00A53FF8">
            <w:pPr>
              <w:spacing w:after="0" w:line="240" w:lineRule="auto"/>
              <w:jc w:val="center"/>
              <w:rPr>
                <w:rFonts w:ascii="Aptos Narrow" w:eastAsia="Times New Roman" w:hAnsi="Aptos Narrow" w:cs="Times New Roman"/>
                <w:color w:val="000000"/>
                <w:kern w:val="0"/>
                <w:sz w:val="22"/>
                <w:szCs w:val="22"/>
                <w:lang w:val="fr-FR"/>
                <w14:ligatures w14:val="none"/>
              </w:rPr>
            </w:pPr>
          </w:p>
        </w:tc>
        <w:tc>
          <w:tcPr>
            <w:tcW w:w="3893" w:type="dxa"/>
            <w:tcBorders>
              <w:top w:val="single" w:sz="8" w:space="0" w:color="auto"/>
              <w:left w:val="nil"/>
              <w:bottom w:val="single" w:sz="4" w:space="0" w:color="auto"/>
              <w:right w:val="single" w:sz="4" w:space="0" w:color="auto"/>
            </w:tcBorders>
            <w:noWrap/>
          </w:tcPr>
          <w:p w14:paraId="028CF0A9" w14:textId="74B59232" w:rsidR="00A53FF8" w:rsidRPr="00653BF4" w:rsidRDefault="00A53FF8" w:rsidP="00A53FF8">
            <w:pPr>
              <w:spacing w:after="0" w:line="240" w:lineRule="auto"/>
              <w:rPr>
                <w:rFonts w:ascii="Aptos Narrow" w:eastAsia="Times New Roman" w:hAnsi="Aptos Narrow" w:cs="Times New Roman"/>
                <w:color w:val="000000"/>
                <w:kern w:val="0"/>
                <w:sz w:val="20"/>
                <w:szCs w:val="20"/>
                <w:lang w:val="fr-FR"/>
                <w14:ligatures w14:val="none"/>
              </w:rPr>
            </w:pPr>
            <w:r w:rsidRPr="00653BF4">
              <w:rPr>
                <w:sz w:val="20"/>
                <w:szCs w:val="20"/>
                <w:lang w:val="fr-FR"/>
              </w:rPr>
              <w:t>États d</w:t>
            </w:r>
            <w:r w:rsidR="002A58C8" w:rsidRPr="00653BF4">
              <w:rPr>
                <w:sz w:val="20"/>
                <w:szCs w:val="20"/>
                <w:lang w:val="fr-FR"/>
              </w:rPr>
              <w:t>’</w:t>
            </w:r>
            <w:r w:rsidRPr="00653BF4">
              <w:rPr>
                <w:sz w:val="20"/>
                <w:szCs w:val="20"/>
                <w:lang w:val="fr-FR"/>
              </w:rPr>
              <w:t>Europe occidentale et autres États</w:t>
            </w:r>
          </w:p>
        </w:tc>
        <w:tc>
          <w:tcPr>
            <w:tcW w:w="1237" w:type="dxa"/>
            <w:tcBorders>
              <w:top w:val="single" w:sz="8" w:space="0" w:color="auto"/>
              <w:left w:val="nil"/>
              <w:bottom w:val="single" w:sz="4" w:space="0" w:color="auto"/>
              <w:right w:val="single" w:sz="4" w:space="0" w:color="auto"/>
            </w:tcBorders>
            <w:noWrap/>
            <w:vAlign w:val="bottom"/>
          </w:tcPr>
          <w:p w14:paraId="73F9440E" w14:textId="659C9F39"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73</w:t>
            </w:r>
            <w:r w:rsidR="002878D7">
              <w:rPr>
                <w:rFonts w:ascii="Aptos Narrow" w:eastAsia="Times New Roman" w:hAnsi="Aptos Narrow" w:cs="Times New Roman"/>
                <w:color w:val="000000"/>
                <w:kern w:val="0"/>
                <w:sz w:val="22"/>
                <w:szCs w:val="22"/>
                <w:lang w:val="fr-FR"/>
                <w14:ligatures w14:val="none"/>
              </w:rPr>
              <w:t> %</w:t>
            </w:r>
          </w:p>
        </w:tc>
        <w:tc>
          <w:tcPr>
            <w:tcW w:w="1559" w:type="dxa"/>
            <w:tcBorders>
              <w:top w:val="single" w:sz="8" w:space="0" w:color="auto"/>
              <w:left w:val="nil"/>
              <w:bottom w:val="single" w:sz="4" w:space="0" w:color="auto"/>
              <w:right w:val="single" w:sz="4" w:space="0" w:color="auto"/>
            </w:tcBorders>
            <w:noWrap/>
            <w:vAlign w:val="bottom"/>
          </w:tcPr>
          <w:p w14:paraId="3CB4C3ED" w14:textId="291DD767"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90</w:t>
            </w:r>
            <w:r w:rsidR="002878D7">
              <w:rPr>
                <w:rFonts w:ascii="Aptos Narrow" w:eastAsia="Times New Roman" w:hAnsi="Aptos Narrow" w:cs="Times New Roman"/>
                <w:color w:val="000000"/>
                <w:kern w:val="0"/>
                <w:sz w:val="22"/>
                <w:szCs w:val="22"/>
                <w:lang w:val="fr-FR"/>
                <w14:ligatures w14:val="none"/>
              </w:rPr>
              <w:t> %</w:t>
            </w:r>
          </w:p>
        </w:tc>
        <w:tc>
          <w:tcPr>
            <w:tcW w:w="1276" w:type="dxa"/>
            <w:tcBorders>
              <w:top w:val="single" w:sz="8" w:space="0" w:color="auto"/>
              <w:left w:val="nil"/>
              <w:bottom w:val="single" w:sz="4" w:space="0" w:color="auto"/>
              <w:right w:val="single" w:sz="8" w:space="0" w:color="auto"/>
            </w:tcBorders>
            <w:noWrap/>
            <w:vAlign w:val="bottom"/>
          </w:tcPr>
          <w:p w14:paraId="7DCD28A5" w14:textId="5FACB189"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70</w:t>
            </w:r>
            <w:r w:rsidR="002878D7">
              <w:rPr>
                <w:rFonts w:ascii="Aptos Narrow" w:eastAsia="Times New Roman" w:hAnsi="Aptos Narrow" w:cs="Times New Roman"/>
                <w:color w:val="000000"/>
                <w:kern w:val="0"/>
                <w:sz w:val="22"/>
                <w:szCs w:val="22"/>
                <w:lang w:val="fr-FR"/>
                <w14:ligatures w14:val="none"/>
              </w:rPr>
              <w:t> %</w:t>
            </w:r>
          </w:p>
        </w:tc>
      </w:tr>
      <w:tr w:rsidR="00A53FF8" w:rsidRPr="00653BF4" w14:paraId="0CB05885" w14:textId="77777777" w:rsidTr="00F9212F">
        <w:trPr>
          <w:trHeight w:val="315"/>
        </w:trPr>
        <w:tc>
          <w:tcPr>
            <w:tcW w:w="956" w:type="dxa"/>
            <w:vMerge w:val="restart"/>
            <w:tcBorders>
              <w:top w:val="single" w:sz="8" w:space="0" w:color="auto"/>
              <w:left w:val="single" w:sz="8" w:space="0" w:color="auto"/>
              <w:right w:val="single" w:sz="4" w:space="0" w:color="auto"/>
            </w:tcBorders>
            <w:noWrap/>
            <w:textDirection w:val="btLr"/>
            <w:vAlign w:val="bottom"/>
          </w:tcPr>
          <w:p w14:paraId="61776308" w14:textId="4844B970" w:rsidR="00A53FF8" w:rsidRPr="00653BF4" w:rsidRDefault="00A53FF8" w:rsidP="00A53FF8">
            <w:pPr>
              <w:spacing w:after="0" w:line="240" w:lineRule="auto"/>
              <w:jc w:val="center"/>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Niveau économique</w:t>
            </w:r>
          </w:p>
        </w:tc>
        <w:tc>
          <w:tcPr>
            <w:tcW w:w="3893" w:type="dxa"/>
            <w:tcBorders>
              <w:top w:val="single" w:sz="8" w:space="0" w:color="auto"/>
              <w:left w:val="nil"/>
              <w:bottom w:val="single" w:sz="4" w:space="0" w:color="auto"/>
              <w:right w:val="single" w:sz="4" w:space="0" w:color="auto"/>
            </w:tcBorders>
            <w:noWrap/>
          </w:tcPr>
          <w:p w14:paraId="3C1F1E1F" w14:textId="0E2E21B5" w:rsidR="00A53FF8" w:rsidRPr="00653BF4" w:rsidRDefault="00A53FF8" w:rsidP="00A53FF8">
            <w:pPr>
              <w:spacing w:after="0" w:line="240" w:lineRule="auto"/>
              <w:rPr>
                <w:rFonts w:ascii="Aptos Narrow" w:eastAsia="Times New Roman" w:hAnsi="Aptos Narrow" w:cs="Times New Roman"/>
                <w:color w:val="000000"/>
                <w:kern w:val="0"/>
                <w:sz w:val="20"/>
                <w:szCs w:val="20"/>
                <w:lang w:val="fr-FR"/>
                <w14:ligatures w14:val="none"/>
              </w:rPr>
            </w:pPr>
            <w:r w:rsidRPr="00653BF4">
              <w:rPr>
                <w:sz w:val="20"/>
                <w:szCs w:val="20"/>
                <w:lang w:val="fr-FR"/>
              </w:rPr>
              <w:t>Pays développés</w:t>
            </w:r>
          </w:p>
        </w:tc>
        <w:tc>
          <w:tcPr>
            <w:tcW w:w="1237" w:type="dxa"/>
            <w:tcBorders>
              <w:top w:val="single" w:sz="8" w:space="0" w:color="auto"/>
              <w:left w:val="nil"/>
              <w:bottom w:val="single" w:sz="4" w:space="0" w:color="auto"/>
              <w:right w:val="single" w:sz="4" w:space="0" w:color="auto"/>
            </w:tcBorders>
            <w:noWrap/>
            <w:vAlign w:val="bottom"/>
          </w:tcPr>
          <w:p w14:paraId="10D35A8A" w14:textId="1A0D8465"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65</w:t>
            </w:r>
            <w:r w:rsidR="002878D7">
              <w:rPr>
                <w:rFonts w:ascii="Aptos Narrow" w:eastAsia="Times New Roman" w:hAnsi="Aptos Narrow" w:cs="Times New Roman"/>
                <w:color w:val="000000"/>
                <w:kern w:val="0"/>
                <w:sz w:val="22"/>
                <w:szCs w:val="22"/>
                <w:lang w:val="fr-FR"/>
                <w14:ligatures w14:val="none"/>
              </w:rPr>
              <w:t> %</w:t>
            </w:r>
          </w:p>
        </w:tc>
        <w:tc>
          <w:tcPr>
            <w:tcW w:w="1559" w:type="dxa"/>
            <w:tcBorders>
              <w:top w:val="single" w:sz="8" w:space="0" w:color="auto"/>
              <w:left w:val="nil"/>
              <w:bottom w:val="single" w:sz="4" w:space="0" w:color="auto"/>
              <w:right w:val="single" w:sz="4" w:space="0" w:color="auto"/>
            </w:tcBorders>
            <w:noWrap/>
            <w:vAlign w:val="bottom"/>
          </w:tcPr>
          <w:p w14:paraId="17451A5B" w14:textId="01BC9D05"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83</w:t>
            </w:r>
            <w:r w:rsidR="002878D7">
              <w:rPr>
                <w:rFonts w:ascii="Aptos Narrow" w:eastAsia="Times New Roman" w:hAnsi="Aptos Narrow" w:cs="Times New Roman"/>
                <w:color w:val="000000"/>
                <w:kern w:val="0"/>
                <w:sz w:val="22"/>
                <w:szCs w:val="22"/>
                <w:lang w:val="fr-FR"/>
                <w14:ligatures w14:val="none"/>
              </w:rPr>
              <w:t> %</w:t>
            </w:r>
          </w:p>
        </w:tc>
        <w:tc>
          <w:tcPr>
            <w:tcW w:w="1276" w:type="dxa"/>
            <w:tcBorders>
              <w:top w:val="single" w:sz="8" w:space="0" w:color="auto"/>
              <w:left w:val="nil"/>
              <w:bottom w:val="single" w:sz="4" w:space="0" w:color="auto"/>
              <w:right w:val="single" w:sz="8" w:space="0" w:color="auto"/>
            </w:tcBorders>
            <w:noWrap/>
            <w:vAlign w:val="bottom"/>
          </w:tcPr>
          <w:p w14:paraId="5110CDB4" w14:textId="2EB3D36C"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63</w:t>
            </w:r>
            <w:r w:rsidR="002878D7">
              <w:rPr>
                <w:rFonts w:ascii="Aptos Narrow" w:eastAsia="Times New Roman" w:hAnsi="Aptos Narrow" w:cs="Times New Roman"/>
                <w:color w:val="000000"/>
                <w:kern w:val="0"/>
                <w:sz w:val="22"/>
                <w:szCs w:val="22"/>
                <w:lang w:val="fr-FR"/>
                <w14:ligatures w14:val="none"/>
              </w:rPr>
              <w:t> %</w:t>
            </w:r>
          </w:p>
        </w:tc>
      </w:tr>
      <w:tr w:rsidR="00A53FF8" w:rsidRPr="00653BF4" w14:paraId="1EEC8357" w14:textId="77777777" w:rsidTr="00F9212F">
        <w:trPr>
          <w:trHeight w:val="315"/>
        </w:trPr>
        <w:tc>
          <w:tcPr>
            <w:tcW w:w="956" w:type="dxa"/>
            <w:vMerge/>
            <w:tcBorders>
              <w:left w:val="single" w:sz="8" w:space="0" w:color="auto"/>
              <w:right w:val="single" w:sz="4" w:space="0" w:color="auto"/>
            </w:tcBorders>
            <w:noWrap/>
            <w:textDirection w:val="btLr"/>
            <w:vAlign w:val="bottom"/>
          </w:tcPr>
          <w:p w14:paraId="6440AFE5" w14:textId="77777777" w:rsidR="00A53FF8" w:rsidRPr="00653BF4" w:rsidRDefault="00A53FF8" w:rsidP="00A53FF8">
            <w:pPr>
              <w:spacing w:after="0" w:line="240" w:lineRule="auto"/>
              <w:jc w:val="center"/>
              <w:rPr>
                <w:rFonts w:ascii="Aptos Narrow" w:eastAsia="Times New Roman" w:hAnsi="Aptos Narrow" w:cs="Times New Roman"/>
                <w:color w:val="000000"/>
                <w:kern w:val="0"/>
                <w:sz w:val="22"/>
                <w:szCs w:val="22"/>
                <w:lang w:val="fr-FR"/>
                <w14:ligatures w14:val="none"/>
              </w:rPr>
            </w:pPr>
          </w:p>
        </w:tc>
        <w:tc>
          <w:tcPr>
            <w:tcW w:w="3893" w:type="dxa"/>
            <w:tcBorders>
              <w:top w:val="single" w:sz="8" w:space="0" w:color="auto"/>
              <w:left w:val="nil"/>
              <w:bottom w:val="single" w:sz="4" w:space="0" w:color="auto"/>
              <w:right w:val="single" w:sz="4" w:space="0" w:color="auto"/>
            </w:tcBorders>
            <w:noWrap/>
          </w:tcPr>
          <w:p w14:paraId="20A8CC45" w14:textId="31013E48" w:rsidR="00A53FF8" w:rsidRPr="00653BF4" w:rsidRDefault="00A53FF8" w:rsidP="00A53FF8">
            <w:pPr>
              <w:spacing w:after="0" w:line="240" w:lineRule="auto"/>
              <w:rPr>
                <w:rFonts w:ascii="Aptos Narrow" w:eastAsia="Times New Roman" w:hAnsi="Aptos Narrow" w:cs="Times New Roman"/>
                <w:color w:val="000000"/>
                <w:kern w:val="0"/>
                <w:sz w:val="20"/>
                <w:szCs w:val="20"/>
                <w:lang w:val="fr-FR"/>
                <w14:ligatures w14:val="none"/>
              </w:rPr>
            </w:pPr>
            <w:r w:rsidRPr="00653BF4">
              <w:rPr>
                <w:sz w:val="20"/>
                <w:szCs w:val="20"/>
                <w:lang w:val="fr-FR"/>
              </w:rPr>
              <w:t>Pays en développement</w:t>
            </w:r>
          </w:p>
        </w:tc>
        <w:tc>
          <w:tcPr>
            <w:tcW w:w="1237" w:type="dxa"/>
            <w:tcBorders>
              <w:top w:val="single" w:sz="8" w:space="0" w:color="auto"/>
              <w:left w:val="nil"/>
              <w:bottom w:val="single" w:sz="4" w:space="0" w:color="auto"/>
              <w:right w:val="single" w:sz="4" w:space="0" w:color="auto"/>
            </w:tcBorders>
            <w:noWrap/>
            <w:vAlign w:val="bottom"/>
          </w:tcPr>
          <w:p w14:paraId="06B13203" w14:textId="1B37E520"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67</w:t>
            </w:r>
            <w:r w:rsidR="002878D7">
              <w:rPr>
                <w:rFonts w:ascii="Aptos Narrow" w:eastAsia="Times New Roman" w:hAnsi="Aptos Narrow" w:cs="Times New Roman"/>
                <w:color w:val="000000"/>
                <w:kern w:val="0"/>
                <w:sz w:val="22"/>
                <w:szCs w:val="22"/>
                <w:lang w:val="fr-FR"/>
                <w14:ligatures w14:val="none"/>
              </w:rPr>
              <w:t> %</w:t>
            </w:r>
          </w:p>
        </w:tc>
        <w:tc>
          <w:tcPr>
            <w:tcW w:w="1559" w:type="dxa"/>
            <w:tcBorders>
              <w:top w:val="single" w:sz="8" w:space="0" w:color="auto"/>
              <w:left w:val="nil"/>
              <w:bottom w:val="single" w:sz="4" w:space="0" w:color="auto"/>
              <w:right w:val="single" w:sz="4" w:space="0" w:color="auto"/>
            </w:tcBorders>
            <w:noWrap/>
            <w:vAlign w:val="bottom"/>
          </w:tcPr>
          <w:p w14:paraId="56D84061" w14:textId="091F7144"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83</w:t>
            </w:r>
            <w:r w:rsidR="002878D7">
              <w:rPr>
                <w:rFonts w:ascii="Aptos Narrow" w:eastAsia="Times New Roman" w:hAnsi="Aptos Narrow" w:cs="Times New Roman"/>
                <w:color w:val="000000"/>
                <w:kern w:val="0"/>
                <w:sz w:val="22"/>
                <w:szCs w:val="22"/>
                <w:lang w:val="fr-FR"/>
                <w14:ligatures w14:val="none"/>
              </w:rPr>
              <w:t> %</w:t>
            </w:r>
          </w:p>
        </w:tc>
        <w:tc>
          <w:tcPr>
            <w:tcW w:w="1276" w:type="dxa"/>
            <w:tcBorders>
              <w:top w:val="single" w:sz="8" w:space="0" w:color="auto"/>
              <w:left w:val="nil"/>
              <w:bottom w:val="single" w:sz="4" w:space="0" w:color="auto"/>
              <w:right w:val="single" w:sz="8" w:space="0" w:color="auto"/>
            </w:tcBorders>
            <w:noWrap/>
            <w:vAlign w:val="bottom"/>
          </w:tcPr>
          <w:p w14:paraId="412AB848" w14:textId="0664EE61"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42</w:t>
            </w:r>
            <w:r w:rsidR="002878D7">
              <w:rPr>
                <w:rFonts w:ascii="Aptos Narrow" w:eastAsia="Times New Roman" w:hAnsi="Aptos Narrow" w:cs="Times New Roman"/>
                <w:color w:val="000000"/>
                <w:kern w:val="0"/>
                <w:sz w:val="22"/>
                <w:szCs w:val="22"/>
                <w:lang w:val="fr-FR"/>
                <w14:ligatures w14:val="none"/>
              </w:rPr>
              <w:t> %</w:t>
            </w:r>
          </w:p>
        </w:tc>
      </w:tr>
      <w:tr w:rsidR="00A53FF8" w:rsidRPr="00653BF4" w14:paraId="16633391" w14:textId="77777777" w:rsidTr="00F9212F">
        <w:trPr>
          <w:trHeight w:val="315"/>
        </w:trPr>
        <w:tc>
          <w:tcPr>
            <w:tcW w:w="956" w:type="dxa"/>
            <w:vMerge/>
            <w:tcBorders>
              <w:left w:val="single" w:sz="8" w:space="0" w:color="auto"/>
              <w:right w:val="single" w:sz="4" w:space="0" w:color="auto"/>
            </w:tcBorders>
            <w:noWrap/>
            <w:textDirection w:val="btLr"/>
            <w:vAlign w:val="bottom"/>
          </w:tcPr>
          <w:p w14:paraId="72776AA2" w14:textId="77777777" w:rsidR="00A53FF8" w:rsidRPr="00653BF4" w:rsidRDefault="00A53FF8" w:rsidP="00A53FF8">
            <w:pPr>
              <w:spacing w:after="0" w:line="240" w:lineRule="auto"/>
              <w:jc w:val="center"/>
              <w:rPr>
                <w:rFonts w:ascii="Aptos Narrow" w:eastAsia="Times New Roman" w:hAnsi="Aptos Narrow" w:cs="Times New Roman"/>
                <w:color w:val="000000"/>
                <w:kern w:val="0"/>
                <w:sz w:val="22"/>
                <w:szCs w:val="22"/>
                <w:lang w:val="fr-FR"/>
                <w14:ligatures w14:val="none"/>
              </w:rPr>
            </w:pPr>
          </w:p>
        </w:tc>
        <w:tc>
          <w:tcPr>
            <w:tcW w:w="3893" w:type="dxa"/>
            <w:tcBorders>
              <w:top w:val="single" w:sz="8" w:space="0" w:color="auto"/>
              <w:left w:val="nil"/>
              <w:bottom w:val="single" w:sz="4" w:space="0" w:color="auto"/>
              <w:right w:val="single" w:sz="4" w:space="0" w:color="auto"/>
            </w:tcBorders>
            <w:noWrap/>
          </w:tcPr>
          <w:p w14:paraId="6A42B45F" w14:textId="179EDCA5" w:rsidR="00A53FF8" w:rsidRPr="00653BF4" w:rsidRDefault="00A53FF8" w:rsidP="00A53FF8">
            <w:pPr>
              <w:spacing w:after="0" w:line="240" w:lineRule="auto"/>
              <w:rPr>
                <w:rFonts w:ascii="Aptos Narrow" w:eastAsia="Times New Roman" w:hAnsi="Aptos Narrow" w:cs="Times New Roman"/>
                <w:color w:val="000000"/>
                <w:kern w:val="0"/>
                <w:sz w:val="20"/>
                <w:szCs w:val="20"/>
                <w:lang w:val="fr-FR"/>
                <w14:ligatures w14:val="none"/>
              </w:rPr>
            </w:pPr>
            <w:r w:rsidRPr="00653BF4">
              <w:rPr>
                <w:sz w:val="20"/>
                <w:szCs w:val="20"/>
                <w:lang w:val="fr-FR"/>
              </w:rPr>
              <w:t>Pays en transition</w:t>
            </w:r>
          </w:p>
        </w:tc>
        <w:tc>
          <w:tcPr>
            <w:tcW w:w="1237" w:type="dxa"/>
            <w:tcBorders>
              <w:top w:val="single" w:sz="8" w:space="0" w:color="auto"/>
              <w:left w:val="nil"/>
              <w:bottom w:val="single" w:sz="4" w:space="0" w:color="auto"/>
              <w:right w:val="single" w:sz="4" w:space="0" w:color="auto"/>
            </w:tcBorders>
            <w:noWrap/>
            <w:vAlign w:val="bottom"/>
          </w:tcPr>
          <w:p w14:paraId="1C0E9387" w14:textId="1A994044"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38</w:t>
            </w:r>
            <w:r w:rsidR="002878D7">
              <w:rPr>
                <w:rFonts w:ascii="Aptos Narrow" w:eastAsia="Times New Roman" w:hAnsi="Aptos Narrow" w:cs="Times New Roman"/>
                <w:color w:val="000000"/>
                <w:kern w:val="0"/>
                <w:sz w:val="22"/>
                <w:szCs w:val="22"/>
                <w:lang w:val="fr-FR"/>
                <w14:ligatures w14:val="none"/>
              </w:rPr>
              <w:t> %</w:t>
            </w:r>
          </w:p>
        </w:tc>
        <w:tc>
          <w:tcPr>
            <w:tcW w:w="1559" w:type="dxa"/>
            <w:tcBorders>
              <w:top w:val="single" w:sz="8" w:space="0" w:color="auto"/>
              <w:left w:val="nil"/>
              <w:bottom w:val="single" w:sz="4" w:space="0" w:color="auto"/>
              <w:right w:val="single" w:sz="4" w:space="0" w:color="auto"/>
            </w:tcBorders>
            <w:noWrap/>
            <w:vAlign w:val="bottom"/>
          </w:tcPr>
          <w:p w14:paraId="763E74E9" w14:textId="2150CD8C"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77</w:t>
            </w:r>
            <w:r w:rsidR="002878D7">
              <w:rPr>
                <w:rFonts w:ascii="Aptos Narrow" w:eastAsia="Times New Roman" w:hAnsi="Aptos Narrow" w:cs="Times New Roman"/>
                <w:color w:val="000000"/>
                <w:kern w:val="0"/>
                <w:sz w:val="22"/>
                <w:szCs w:val="22"/>
                <w:lang w:val="fr-FR"/>
                <w14:ligatures w14:val="none"/>
              </w:rPr>
              <w:t> %</w:t>
            </w:r>
          </w:p>
        </w:tc>
        <w:tc>
          <w:tcPr>
            <w:tcW w:w="1276" w:type="dxa"/>
            <w:tcBorders>
              <w:top w:val="single" w:sz="8" w:space="0" w:color="auto"/>
              <w:left w:val="nil"/>
              <w:bottom w:val="single" w:sz="4" w:space="0" w:color="auto"/>
              <w:right w:val="single" w:sz="8" w:space="0" w:color="auto"/>
            </w:tcBorders>
            <w:noWrap/>
            <w:vAlign w:val="bottom"/>
          </w:tcPr>
          <w:p w14:paraId="55180ACD" w14:textId="3924BDB7"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15</w:t>
            </w:r>
            <w:r w:rsidR="002878D7">
              <w:rPr>
                <w:rFonts w:ascii="Aptos Narrow" w:eastAsia="Times New Roman" w:hAnsi="Aptos Narrow" w:cs="Times New Roman"/>
                <w:color w:val="000000"/>
                <w:kern w:val="0"/>
                <w:sz w:val="22"/>
                <w:szCs w:val="22"/>
                <w:lang w:val="fr-FR"/>
                <w14:ligatures w14:val="none"/>
              </w:rPr>
              <w:t> %</w:t>
            </w:r>
          </w:p>
        </w:tc>
      </w:tr>
      <w:tr w:rsidR="00A53FF8" w:rsidRPr="00653BF4" w14:paraId="06575C9C" w14:textId="77777777" w:rsidTr="00F9212F">
        <w:trPr>
          <w:trHeight w:val="315"/>
        </w:trPr>
        <w:tc>
          <w:tcPr>
            <w:tcW w:w="956" w:type="dxa"/>
            <w:vMerge/>
            <w:tcBorders>
              <w:left w:val="single" w:sz="8" w:space="0" w:color="auto"/>
              <w:right w:val="single" w:sz="4" w:space="0" w:color="auto"/>
            </w:tcBorders>
            <w:noWrap/>
            <w:textDirection w:val="btLr"/>
            <w:vAlign w:val="bottom"/>
          </w:tcPr>
          <w:p w14:paraId="76BDF406" w14:textId="77777777" w:rsidR="00A53FF8" w:rsidRPr="00653BF4" w:rsidRDefault="00A53FF8" w:rsidP="00A53FF8">
            <w:pPr>
              <w:spacing w:after="0" w:line="240" w:lineRule="auto"/>
              <w:jc w:val="center"/>
              <w:rPr>
                <w:rFonts w:ascii="Aptos Narrow" w:eastAsia="Times New Roman" w:hAnsi="Aptos Narrow" w:cs="Times New Roman"/>
                <w:color w:val="000000"/>
                <w:kern w:val="0"/>
                <w:sz w:val="22"/>
                <w:szCs w:val="22"/>
                <w:lang w:val="fr-FR"/>
                <w14:ligatures w14:val="none"/>
              </w:rPr>
            </w:pPr>
          </w:p>
        </w:tc>
        <w:tc>
          <w:tcPr>
            <w:tcW w:w="3893" w:type="dxa"/>
            <w:tcBorders>
              <w:top w:val="single" w:sz="8" w:space="0" w:color="auto"/>
              <w:left w:val="nil"/>
              <w:bottom w:val="single" w:sz="4" w:space="0" w:color="auto"/>
              <w:right w:val="single" w:sz="4" w:space="0" w:color="auto"/>
            </w:tcBorders>
            <w:noWrap/>
          </w:tcPr>
          <w:p w14:paraId="70478CC7" w14:textId="7FCA9B5D" w:rsidR="00A53FF8" w:rsidRPr="00653BF4" w:rsidRDefault="00A53FF8" w:rsidP="00A53FF8">
            <w:pPr>
              <w:spacing w:after="0" w:line="240" w:lineRule="auto"/>
              <w:rPr>
                <w:rFonts w:ascii="Aptos Narrow" w:eastAsia="Times New Roman" w:hAnsi="Aptos Narrow" w:cs="Times New Roman"/>
                <w:color w:val="000000"/>
                <w:kern w:val="0"/>
                <w:sz w:val="20"/>
                <w:szCs w:val="20"/>
                <w:lang w:val="fr-FR"/>
                <w14:ligatures w14:val="none"/>
              </w:rPr>
            </w:pPr>
            <w:r w:rsidRPr="00653BF4">
              <w:rPr>
                <w:sz w:val="20"/>
                <w:szCs w:val="20"/>
                <w:lang w:val="fr-FR"/>
              </w:rPr>
              <w:t>Pays les moins avancés</w:t>
            </w:r>
          </w:p>
        </w:tc>
        <w:tc>
          <w:tcPr>
            <w:tcW w:w="1237" w:type="dxa"/>
            <w:tcBorders>
              <w:top w:val="single" w:sz="8" w:space="0" w:color="auto"/>
              <w:left w:val="nil"/>
              <w:bottom w:val="single" w:sz="4" w:space="0" w:color="auto"/>
              <w:right w:val="single" w:sz="4" w:space="0" w:color="auto"/>
            </w:tcBorders>
            <w:noWrap/>
            <w:vAlign w:val="bottom"/>
          </w:tcPr>
          <w:p w14:paraId="03F09F37" w14:textId="746E83B9"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58</w:t>
            </w:r>
            <w:r w:rsidR="002878D7">
              <w:rPr>
                <w:rFonts w:ascii="Aptos Narrow" w:eastAsia="Times New Roman" w:hAnsi="Aptos Narrow" w:cs="Times New Roman"/>
                <w:color w:val="000000"/>
                <w:kern w:val="0"/>
                <w:sz w:val="22"/>
                <w:szCs w:val="22"/>
                <w:lang w:val="fr-FR"/>
                <w14:ligatures w14:val="none"/>
              </w:rPr>
              <w:t> %</w:t>
            </w:r>
          </w:p>
        </w:tc>
        <w:tc>
          <w:tcPr>
            <w:tcW w:w="1559" w:type="dxa"/>
            <w:tcBorders>
              <w:top w:val="single" w:sz="8" w:space="0" w:color="auto"/>
              <w:left w:val="nil"/>
              <w:bottom w:val="single" w:sz="4" w:space="0" w:color="auto"/>
              <w:right w:val="single" w:sz="4" w:space="0" w:color="auto"/>
            </w:tcBorders>
            <w:noWrap/>
            <w:vAlign w:val="bottom"/>
          </w:tcPr>
          <w:p w14:paraId="4118AA44" w14:textId="4343F908"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84</w:t>
            </w:r>
            <w:r w:rsidR="002878D7">
              <w:rPr>
                <w:rFonts w:ascii="Aptos Narrow" w:eastAsia="Times New Roman" w:hAnsi="Aptos Narrow" w:cs="Times New Roman"/>
                <w:color w:val="000000"/>
                <w:kern w:val="0"/>
                <w:sz w:val="22"/>
                <w:szCs w:val="22"/>
                <w:lang w:val="fr-FR"/>
                <w14:ligatures w14:val="none"/>
              </w:rPr>
              <w:t> %</w:t>
            </w:r>
          </w:p>
        </w:tc>
        <w:tc>
          <w:tcPr>
            <w:tcW w:w="1276" w:type="dxa"/>
            <w:tcBorders>
              <w:top w:val="single" w:sz="8" w:space="0" w:color="auto"/>
              <w:left w:val="nil"/>
              <w:bottom w:val="single" w:sz="4" w:space="0" w:color="auto"/>
              <w:right w:val="single" w:sz="8" w:space="0" w:color="auto"/>
            </w:tcBorders>
            <w:noWrap/>
            <w:vAlign w:val="bottom"/>
          </w:tcPr>
          <w:p w14:paraId="6A48CFC3" w14:textId="4B536D27"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44</w:t>
            </w:r>
            <w:r w:rsidR="002878D7">
              <w:rPr>
                <w:rFonts w:ascii="Aptos Narrow" w:eastAsia="Times New Roman" w:hAnsi="Aptos Narrow" w:cs="Times New Roman"/>
                <w:color w:val="000000"/>
                <w:kern w:val="0"/>
                <w:sz w:val="22"/>
                <w:szCs w:val="22"/>
                <w:lang w:val="fr-FR"/>
                <w14:ligatures w14:val="none"/>
              </w:rPr>
              <w:t> %</w:t>
            </w:r>
          </w:p>
        </w:tc>
      </w:tr>
      <w:tr w:rsidR="00A53FF8" w:rsidRPr="00653BF4" w14:paraId="2D29E581" w14:textId="77777777" w:rsidTr="00F9212F">
        <w:trPr>
          <w:trHeight w:val="315"/>
        </w:trPr>
        <w:tc>
          <w:tcPr>
            <w:tcW w:w="956" w:type="dxa"/>
            <w:vMerge/>
            <w:tcBorders>
              <w:left w:val="single" w:sz="8" w:space="0" w:color="auto"/>
              <w:bottom w:val="single" w:sz="8" w:space="0" w:color="000000"/>
              <w:right w:val="single" w:sz="4" w:space="0" w:color="auto"/>
            </w:tcBorders>
            <w:noWrap/>
            <w:textDirection w:val="btLr"/>
            <w:vAlign w:val="bottom"/>
          </w:tcPr>
          <w:p w14:paraId="60888E4F" w14:textId="77777777" w:rsidR="00A53FF8" w:rsidRPr="00653BF4" w:rsidRDefault="00A53FF8" w:rsidP="00A53FF8">
            <w:pPr>
              <w:spacing w:after="0" w:line="240" w:lineRule="auto"/>
              <w:jc w:val="center"/>
              <w:rPr>
                <w:rFonts w:ascii="Aptos Narrow" w:eastAsia="Times New Roman" w:hAnsi="Aptos Narrow" w:cs="Times New Roman"/>
                <w:color w:val="000000"/>
                <w:kern w:val="0"/>
                <w:sz w:val="22"/>
                <w:szCs w:val="22"/>
                <w:lang w:val="fr-FR"/>
                <w14:ligatures w14:val="none"/>
              </w:rPr>
            </w:pPr>
          </w:p>
        </w:tc>
        <w:tc>
          <w:tcPr>
            <w:tcW w:w="3893" w:type="dxa"/>
            <w:tcBorders>
              <w:top w:val="single" w:sz="8" w:space="0" w:color="auto"/>
              <w:left w:val="nil"/>
              <w:bottom w:val="single" w:sz="4" w:space="0" w:color="auto"/>
              <w:right w:val="single" w:sz="4" w:space="0" w:color="auto"/>
            </w:tcBorders>
            <w:noWrap/>
          </w:tcPr>
          <w:p w14:paraId="71C84B08" w14:textId="044B7267" w:rsidR="00A53FF8" w:rsidRPr="00653BF4" w:rsidRDefault="00A53FF8" w:rsidP="00A53FF8">
            <w:pPr>
              <w:spacing w:after="0" w:line="240" w:lineRule="auto"/>
              <w:rPr>
                <w:rFonts w:ascii="Aptos Narrow" w:eastAsia="Times New Roman" w:hAnsi="Aptos Narrow" w:cs="Times New Roman"/>
                <w:color w:val="000000"/>
                <w:kern w:val="0"/>
                <w:sz w:val="20"/>
                <w:szCs w:val="20"/>
                <w:lang w:val="fr-FR"/>
                <w14:ligatures w14:val="none"/>
              </w:rPr>
            </w:pPr>
            <w:r w:rsidRPr="00653BF4">
              <w:rPr>
                <w:sz w:val="20"/>
                <w:szCs w:val="20"/>
                <w:lang w:val="fr-FR"/>
              </w:rPr>
              <w:t>Petits États insulaires en développement</w:t>
            </w:r>
          </w:p>
        </w:tc>
        <w:tc>
          <w:tcPr>
            <w:tcW w:w="1237" w:type="dxa"/>
            <w:tcBorders>
              <w:top w:val="single" w:sz="8" w:space="0" w:color="auto"/>
              <w:left w:val="nil"/>
              <w:bottom w:val="single" w:sz="4" w:space="0" w:color="auto"/>
              <w:right w:val="single" w:sz="4" w:space="0" w:color="auto"/>
            </w:tcBorders>
            <w:noWrap/>
            <w:vAlign w:val="bottom"/>
          </w:tcPr>
          <w:p w14:paraId="2BF3660C" w14:textId="47992DC0"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38</w:t>
            </w:r>
            <w:r w:rsidR="002878D7">
              <w:rPr>
                <w:rFonts w:ascii="Aptos Narrow" w:eastAsia="Times New Roman" w:hAnsi="Aptos Narrow" w:cs="Times New Roman"/>
                <w:color w:val="000000"/>
                <w:kern w:val="0"/>
                <w:sz w:val="22"/>
                <w:szCs w:val="22"/>
                <w:lang w:val="fr-FR"/>
                <w14:ligatures w14:val="none"/>
              </w:rPr>
              <w:t> %</w:t>
            </w:r>
          </w:p>
        </w:tc>
        <w:tc>
          <w:tcPr>
            <w:tcW w:w="1559" w:type="dxa"/>
            <w:tcBorders>
              <w:top w:val="single" w:sz="8" w:space="0" w:color="auto"/>
              <w:left w:val="nil"/>
              <w:bottom w:val="single" w:sz="4" w:space="0" w:color="auto"/>
              <w:right w:val="single" w:sz="4" w:space="0" w:color="auto"/>
            </w:tcBorders>
            <w:noWrap/>
            <w:vAlign w:val="bottom"/>
          </w:tcPr>
          <w:p w14:paraId="339EA2AB" w14:textId="074B2B2D"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69</w:t>
            </w:r>
            <w:r w:rsidR="002878D7">
              <w:rPr>
                <w:rFonts w:ascii="Aptos Narrow" w:eastAsia="Times New Roman" w:hAnsi="Aptos Narrow" w:cs="Times New Roman"/>
                <w:color w:val="000000"/>
                <w:kern w:val="0"/>
                <w:sz w:val="22"/>
                <w:szCs w:val="22"/>
                <w:lang w:val="fr-FR"/>
                <w14:ligatures w14:val="none"/>
              </w:rPr>
              <w:t> %</w:t>
            </w:r>
          </w:p>
        </w:tc>
        <w:tc>
          <w:tcPr>
            <w:tcW w:w="1276" w:type="dxa"/>
            <w:tcBorders>
              <w:top w:val="single" w:sz="8" w:space="0" w:color="auto"/>
              <w:left w:val="nil"/>
              <w:bottom w:val="single" w:sz="4" w:space="0" w:color="auto"/>
              <w:right w:val="single" w:sz="8" w:space="0" w:color="auto"/>
            </w:tcBorders>
            <w:noWrap/>
            <w:vAlign w:val="bottom"/>
          </w:tcPr>
          <w:p w14:paraId="67D33876" w14:textId="24CB7D8A" w:rsidR="00A53FF8" w:rsidRPr="00653BF4" w:rsidRDefault="00A53FF8" w:rsidP="00A53FF8">
            <w:pPr>
              <w:spacing w:after="0" w:line="240" w:lineRule="auto"/>
              <w:jc w:val="right"/>
              <w:rPr>
                <w:rFonts w:ascii="Aptos Narrow" w:eastAsia="Times New Roman" w:hAnsi="Aptos Narrow" w:cs="Times New Roman"/>
                <w:color w:val="000000"/>
                <w:kern w:val="0"/>
                <w:sz w:val="22"/>
                <w:szCs w:val="22"/>
                <w:lang w:val="fr-FR"/>
                <w14:ligatures w14:val="none"/>
              </w:rPr>
            </w:pPr>
            <w:r w:rsidRPr="00653BF4">
              <w:rPr>
                <w:rFonts w:ascii="Aptos Narrow" w:eastAsia="Times New Roman" w:hAnsi="Aptos Narrow" w:cs="Times New Roman"/>
                <w:color w:val="000000"/>
                <w:kern w:val="0"/>
                <w:sz w:val="22"/>
                <w:szCs w:val="22"/>
                <w:lang w:val="fr-FR"/>
                <w14:ligatures w14:val="none"/>
              </w:rPr>
              <w:t>23</w:t>
            </w:r>
            <w:r w:rsidR="002878D7">
              <w:rPr>
                <w:rFonts w:ascii="Aptos Narrow" w:eastAsia="Times New Roman" w:hAnsi="Aptos Narrow" w:cs="Times New Roman"/>
                <w:color w:val="000000"/>
                <w:kern w:val="0"/>
                <w:sz w:val="22"/>
                <w:szCs w:val="22"/>
                <w:lang w:val="fr-FR"/>
                <w14:ligatures w14:val="none"/>
              </w:rPr>
              <w:t> %</w:t>
            </w:r>
          </w:p>
        </w:tc>
      </w:tr>
    </w:tbl>
    <w:p w14:paraId="1A559684" w14:textId="7BC5610C" w:rsidR="00A1737A" w:rsidRPr="00653BF4" w:rsidRDefault="00C30B17" w:rsidP="0009012C">
      <w:pPr>
        <w:pStyle w:val="Caption"/>
        <w:rPr>
          <w:i w:val="0"/>
          <w:iCs w:val="0"/>
          <w:sz w:val="20"/>
          <w:szCs w:val="20"/>
          <w:lang w:val="fr-FR"/>
        </w:rPr>
      </w:pPr>
      <w:bookmarkStart w:id="52" w:name="_Ref235444855"/>
      <w:r w:rsidRPr="00653BF4">
        <w:rPr>
          <w:i w:val="0"/>
          <w:sz w:val="20"/>
          <w:szCs w:val="20"/>
          <w:lang w:val="fr-FR"/>
        </w:rPr>
        <w:lastRenderedPageBreak/>
        <w:t>Table</w:t>
      </w:r>
      <w:r w:rsidR="004C5145" w:rsidRPr="00653BF4">
        <w:rPr>
          <w:i w:val="0"/>
          <w:sz w:val="20"/>
          <w:szCs w:val="20"/>
          <w:lang w:val="fr-FR"/>
        </w:rPr>
        <w:t>au</w:t>
      </w:r>
      <w:r w:rsidRPr="00653BF4">
        <w:rPr>
          <w:i w:val="0"/>
          <w:sz w:val="20"/>
          <w:szCs w:val="20"/>
          <w:lang w:val="fr-FR"/>
        </w:rPr>
        <w:t xml:space="preserve"> </w:t>
      </w:r>
      <w:r w:rsidR="00DC1793" w:rsidRPr="00653BF4">
        <w:rPr>
          <w:i w:val="0"/>
          <w:noProof/>
          <w:sz w:val="20"/>
          <w:szCs w:val="20"/>
          <w:lang w:val="fr-FR"/>
        </w:rPr>
        <w:t>2</w:t>
      </w:r>
      <w:bookmarkEnd w:id="52"/>
      <w:r w:rsidR="00E32610" w:rsidRPr="00653BF4">
        <w:rPr>
          <w:i w:val="0"/>
          <w:sz w:val="20"/>
          <w:szCs w:val="20"/>
          <w:lang w:val="fr-FR"/>
        </w:rPr>
        <w:t>:</w:t>
      </w:r>
    </w:p>
    <w:p w14:paraId="79B698AC" w14:textId="1A5DC71B" w:rsidR="004A530A" w:rsidRPr="00653BF4" w:rsidRDefault="00FB7029" w:rsidP="0009012C">
      <w:pPr>
        <w:pStyle w:val="Caption"/>
        <w:rPr>
          <w:b/>
          <w:i w:val="0"/>
          <w:sz w:val="20"/>
          <w:szCs w:val="20"/>
          <w:lang w:val="fr-FR"/>
        </w:rPr>
      </w:pPr>
      <w:r w:rsidRPr="00653BF4">
        <w:rPr>
          <w:b/>
          <w:i w:val="0"/>
          <w:sz w:val="20"/>
          <w:szCs w:val="20"/>
          <w:lang w:val="fr-FR"/>
        </w:rPr>
        <w:t>Pourcentage des Parties ayant présenté au moins une cible nationale et dont l</w:t>
      </w:r>
      <w:r w:rsidR="002A58C8" w:rsidRPr="00653BF4">
        <w:rPr>
          <w:b/>
          <w:i w:val="0"/>
          <w:sz w:val="20"/>
          <w:szCs w:val="20"/>
          <w:lang w:val="fr-FR"/>
        </w:rPr>
        <w:t>’</w:t>
      </w:r>
      <w:r w:rsidRPr="00653BF4">
        <w:rPr>
          <w:b/>
          <w:i w:val="0"/>
          <w:sz w:val="20"/>
          <w:szCs w:val="20"/>
          <w:lang w:val="fr-FR"/>
        </w:rPr>
        <w:t>alignement sur chaque cible du Cadre était considéré comme élevé</w:t>
      </w:r>
    </w:p>
    <w:tbl>
      <w:tblPr>
        <w:tblStyle w:val="TableGrid"/>
        <w:tblW w:w="8926" w:type="dxa"/>
        <w:tblLook w:val="04A0" w:firstRow="1" w:lastRow="0" w:firstColumn="1" w:lastColumn="0" w:noHBand="0" w:noVBand="1"/>
      </w:tblPr>
      <w:tblGrid>
        <w:gridCol w:w="2231"/>
        <w:gridCol w:w="2232"/>
        <w:gridCol w:w="2231"/>
        <w:gridCol w:w="2232"/>
      </w:tblGrid>
      <w:tr w:rsidR="00FB7029" w:rsidRPr="00543148" w14:paraId="7DC58508" w14:textId="77777777">
        <w:tc>
          <w:tcPr>
            <w:tcW w:w="2231" w:type="dxa"/>
          </w:tcPr>
          <w:p w14:paraId="04788B5C" w14:textId="2717916D" w:rsidR="00FB7029" w:rsidRPr="00653BF4" w:rsidRDefault="00FB7029" w:rsidP="00FB7029">
            <w:pPr>
              <w:rPr>
                <w:b/>
                <w:bCs/>
                <w:lang w:val="fr-FR" w:eastAsia="ja-JP"/>
              </w:rPr>
            </w:pPr>
            <w:r w:rsidRPr="00653BF4">
              <w:rPr>
                <w:b/>
                <w:bCs/>
                <w:lang w:val="fr-FR" w:eastAsia="ja-JP"/>
              </w:rPr>
              <w:t>Cible</w:t>
            </w:r>
          </w:p>
        </w:tc>
        <w:tc>
          <w:tcPr>
            <w:tcW w:w="2232" w:type="dxa"/>
          </w:tcPr>
          <w:p w14:paraId="1F87057E" w14:textId="2BA739F9" w:rsidR="00FB7029" w:rsidRPr="00653BF4" w:rsidRDefault="00FB7029" w:rsidP="00FB7029">
            <w:pPr>
              <w:rPr>
                <w:b/>
                <w:bCs/>
                <w:lang w:val="fr-FR" w:eastAsia="ja-JP"/>
              </w:rPr>
            </w:pPr>
            <w:r w:rsidRPr="00653BF4">
              <w:rPr>
                <w:b/>
                <w:bCs/>
                <w:lang w:val="fr-FR" w:eastAsia="ja-JP"/>
              </w:rPr>
              <w:t>Partie avec au moins une cible fortement alignée</w:t>
            </w:r>
          </w:p>
        </w:tc>
        <w:tc>
          <w:tcPr>
            <w:tcW w:w="2231" w:type="dxa"/>
          </w:tcPr>
          <w:p w14:paraId="23C42C09" w14:textId="5E474D7A" w:rsidR="00FB7029" w:rsidRPr="00653BF4" w:rsidRDefault="00FB7029" w:rsidP="00FB7029">
            <w:pPr>
              <w:rPr>
                <w:b/>
                <w:bCs/>
                <w:lang w:val="fr-FR" w:eastAsia="ja-JP"/>
              </w:rPr>
            </w:pPr>
            <w:r w:rsidRPr="00653BF4">
              <w:rPr>
                <w:b/>
                <w:bCs/>
                <w:lang w:val="fr-FR" w:eastAsia="ja-JP"/>
              </w:rPr>
              <w:t>Cible</w:t>
            </w:r>
          </w:p>
        </w:tc>
        <w:tc>
          <w:tcPr>
            <w:tcW w:w="2232" w:type="dxa"/>
          </w:tcPr>
          <w:p w14:paraId="37DA236C" w14:textId="4C6DB43D" w:rsidR="00FB7029" w:rsidRPr="00653BF4" w:rsidRDefault="00FB7029" w:rsidP="00FB7029">
            <w:pPr>
              <w:rPr>
                <w:b/>
                <w:bCs/>
                <w:lang w:val="fr-FR" w:eastAsia="ja-JP"/>
              </w:rPr>
            </w:pPr>
            <w:r w:rsidRPr="00653BF4">
              <w:rPr>
                <w:b/>
                <w:bCs/>
                <w:lang w:val="fr-FR" w:eastAsia="ja-JP"/>
              </w:rPr>
              <w:t>Partie avec au moins une cible fortement alignée</w:t>
            </w:r>
          </w:p>
        </w:tc>
      </w:tr>
      <w:tr w:rsidR="0065492D" w:rsidRPr="00653BF4" w14:paraId="1BCEBA71" w14:textId="77777777" w:rsidTr="0065492D">
        <w:tc>
          <w:tcPr>
            <w:tcW w:w="2231" w:type="dxa"/>
          </w:tcPr>
          <w:p w14:paraId="0520D832" w14:textId="00B13612" w:rsidR="0065492D" w:rsidRPr="00653BF4" w:rsidRDefault="00E34DC9" w:rsidP="0065492D">
            <w:pPr>
              <w:rPr>
                <w:lang w:val="fr-FR" w:eastAsia="ja-JP"/>
              </w:rPr>
            </w:pPr>
            <w:r>
              <w:rPr>
                <w:lang w:val="fr-FR" w:eastAsia="ja-JP"/>
              </w:rPr>
              <w:t>Cible 1</w:t>
            </w:r>
          </w:p>
        </w:tc>
        <w:tc>
          <w:tcPr>
            <w:tcW w:w="2232" w:type="dxa"/>
          </w:tcPr>
          <w:p w14:paraId="5812BADF" w14:textId="4D3FAE44" w:rsidR="0065492D" w:rsidRPr="00653BF4" w:rsidRDefault="008E3A60" w:rsidP="002073BD">
            <w:pPr>
              <w:rPr>
                <w:lang w:val="fr-FR" w:eastAsia="ja-JP"/>
              </w:rPr>
            </w:pPr>
            <w:r w:rsidRPr="00653BF4">
              <w:rPr>
                <w:lang w:val="fr-FR" w:eastAsia="ja-JP"/>
              </w:rPr>
              <w:t>69</w:t>
            </w:r>
            <w:r w:rsidR="002878D7">
              <w:rPr>
                <w:lang w:val="fr-FR" w:eastAsia="ja-JP"/>
              </w:rPr>
              <w:t> %</w:t>
            </w:r>
          </w:p>
        </w:tc>
        <w:tc>
          <w:tcPr>
            <w:tcW w:w="2231" w:type="dxa"/>
          </w:tcPr>
          <w:p w14:paraId="6197EC81" w14:textId="652683F7" w:rsidR="0065492D" w:rsidRPr="00653BF4" w:rsidRDefault="00E34DC9" w:rsidP="002073BD">
            <w:pPr>
              <w:rPr>
                <w:lang w:val="fr-FR" w:eastAsia="ja-JP"/>
              </w:rPr>
            </w:pPr>
            <w:r>
              <w:rPr>
                <w:lang w:val="fr-FR" w:eastAsia="ja-JP"/>
              </w:rPr>
              <w:t>Cible 1</w:t>
            </w:r>
            <w:r w:rsidR="0065492D" w:rsidRPr="00653BF4">
              <w:rPr>
                <w:lang w:val="fr-FR" w:eastAsia="ja-JP"/>
              </w:rPr>
              <w:t>3</w:t>
            </w:r>
          </w:p>
        </w:tc>
        <w:tc>
          <w:tcPr>
            <w:tcW w:w="2232" w:type="dxa"/>
          </w:tcPr>
          <w:p w14:paraId="1C58F57F" w14:textId="5A18CA2D" w:rsidR="0065492D" w:rsidRPr="00653BF4" w:rsidRDefault="009C4507" w:rsidP="002073BD">
            <w:pPr>
              <w:rPr>
                <w:lang w:val="fr-FR" w:eastAsia="ja-JP"/>
              </w:rPr>
            </w:pPr>
            <w:r w:rsidRPr="00653BF4">
              <w:rPr>
                <w:lang w:val="fr-FR" w:eastAsia="ja-JP"/>
              </w:rPr>
              <w:t>67</w:t>
            </w:r>
            <w:r w:rsidR="002878D7">
              <w:rPr>
                <w:lang w:val="fr-FR" w:eastAsia="ja-JP"/>
              </w:rPr>
              <w:t> %</w:t>
            </w:r>
          </w:p>
        </w:tc>
      </w:tr>
      <w:tr w:rsidR="0065492D" w:rsidRPr="00653BF4" w14:paraId="16B43ED3" w14:textId="77777777" w:rsidTr="0065492D">
        <w:tc>
          <w:tcPr>
            <w:tcW w:w="2231" w:type="dxa"/>
          </w:tcPr>
          <w:p w14:paraId="2CFEBA67" w14:textId="2DEAC250" w:rsidR="0065492D" w:rsidRPr="00653BF4" w:rsidRDefault="00E34DC9" w:rsidP="002073BD">
            <w:pPr>
              <w:rPr>
                <w:lang w:val="fr-FR" w:eastAsia="ja-JP"/>
              </w:rPr>
            </w:pPr>
            <w:r>
              <w:rPr>
                <w:lang w:val="fr-FR" w:eastAsia="ja-JP"/>
              </w:rPr>
              <w:t>Cible 2</w:t>
            </w:r>
          </w:p>
        </w:tc>
        <w:tc>
          <w:tcPr>
            <w:tcW w:w="2232" w:type="dxa"/>
          </w:tcPr>
          <w:p w14:paraId="4341D962" w14:textId="1C2F6008" w:rsidR="0065492D" w:rsidRPr="00653BF4" w:rsidRDefault="00325B77" w:rsidP="002073BD">
            <w:pPr>
              <w:rPr>
                <w:lang w:val="fr-FR" w:eastAsia="ja-JP"/>
              </w:rPr>
            </w:pPr>
            <w:r w:rsidRPr="00653BF4">
              <w:rPr>
                <w:lang w:val="fr-FR" w:eastAsia="ja-JP"/>
              </w:rPr>
              <w:t>72</w:t>
            </w:r>
            <w:r w:rsidR="002878D7">
              <w:rPr>
                <w:lang w:val="fr-FR" w:eastAsia="ja-JP"/>
              </w:rPr>
              <w:t> %</w:t>
            </w:r>
          </w:p>
        </w:tc>
        <w:tc>
          <w:tcPr>
            <w:tcW w:w="2231" w:type="dxa"/>
          </w:tcPr>
          <w:p w14:paraId="503D67E2" w14:textId="7E337671" w:rsidR="0065492D" w:rsidRPr="00653BF4" w:rsidRDefault="00E34DC9" w:rsidP="002073BD">
            <w:pPr>
              <w:rPr>
                <w:lang w:val="fr-FR" w:eastAsia="ja-JP"/>
              </w:rPr>
            </w:pPr>
            <w:r>
              <w:rPr>
                <w:lang w:val="fr-FR" w:eastAsia="ja-JP"/>
              </w:rPr>
              <w:t>Cible 1</w:t>
            </w:r>
            <w:r w:rsidR="0065492D" w:rsidRPr="00653BF4">
              <w:rPr>
                <w:lang w:val="fr-FR" w:eastAsia="ja-JP"/>
              </w:rPr>
              <w:t>4</w:t>
            </w:r>
          </w:p>
        </w:tc>
        <w:tc>
          <w:tcPr>
            <w:tcW w:w="2232" w:type="dxa"/>
          </w:tcPr>
          <w:p w14:paraId="5EC7166D" w14:textId="3D1EAF97" w:rsidR="0065492D" w:rsidRPr="00653BF4" w:rsidRDefault="004E7692" w:rsidP="002073BD">
            <w:pPr>
              <w:rPr>
                <w:lang w:val="fr-FR" w:eastAsia="ja-JP"/>
              </w:rPr>
            </w:pPr>
            <w:r w:rsidRPr="00653BF4">
              <w:rPr>
                <w:lang w:val="fr-FR" w:eastAsia="ja-JP"/>
              </w:rPr>
              <w:t>67</w:t>
            </w:r>
            <w:r w:rsidR="002878D7">
              <w:rPr>
                <w:lang w:val="fr-FR" w:eastAsia="ja-JP"/>
              </w:rPr>
              <w:t> %</w:t>
            </w:r>
          </w:p>
        </w:tc>
      </w:tr>
      <w:tr w:rsidR="0065492D" w:rsidRPr="00653BF4" w14:paraId="0C9A0996" w14:textId="77777777" w:rsidTr="0065492D">
        <w:tc>
          <w:tcPr>
            <w:tcW w:w="2231" w:type="dxa"/>
          </w:tcPr>
          <w:p w14:paraId="7DDD4AA2" w14:textId="3BD00852" w:rsidR="0065492D" w:rsidRPr="00653BF4" w:rsidRDefault="00E34DC9" w:rsidP="002073BD">
            <w:pPr>
              <w:rPr>
                <w:lang w:val="fr-FR" w:eastAsia="ja-JP"/>
              </w:rPr>
            </w:pPr>
            <w:r>
              <w:rPr>
                <w:lang w:val="fr-FR" w:eastAsia="ja-JP"/>
              </w:rPr>
              <w:t>Cible 3</w:t>
            </w:r>
          </w:p>
        </w:tc>
        <w:tc>
          <w:tcPr>
            <w:tcW w:w="2232" w:type="dxa"/>
          </w:tcPr>
          <w:p w14:paraId="2D8513ED" w14:textId="6E8B6D31" w:rsidR="0065492D" w:rsidRPr="00653BF4" w:rsidRDefault="0095106E" w:rsidP="002073BD">
            <w:pPr>
              <w:rPr>
                <w:lang w:val="fr-FR" w:eastAsia="ja-JP"/>
              </w:rPr>
            </w:pPr>
            <w:r w:rsidRPr="00653BF4">
              <w:rPr>
                <w:lang w:val="fr-FR" w:eastAsia="ja-JP"/>
              </w:rPr>
              <w:t>73</w:t>
            </w:r>
            <w:r w:rsidR="002878D7">
              <w:rPr>
                <w:lang w:val="fr-FR" w:eastAsia="ja-JP"/>
              </w:rPr>
              <w:t> %</w:t>
            </w:r>
          </w:p>
        </w:tc>
        <w:tc>
          <w:tcPr>
            <w:tcW w:w="2231" w:type="dxa"/>
          </w:tcPr>
          <w:p w14:paraId="655A344D" w14:textId="04B6CB36" w:rsidR="0065492D" w:rsidRPr="00653BF4" w:rsidRDefault="00E34DC9" w:rsidP="002073BD">
            <w:pPr>
              <w:rPr>
                <w:lang w:val="fr-FR" w:eastAsia="ja-JP"/>
              </w:rPr>
            </w:pPr>
            <w:r>
              <w:rPr>
                <w:lang w:val="fr-FR" w:eastAsia="ja-JP"/>
              </w:rPr>
              <w:t>Cible 1</w:t>
            </w:r>
            <w:r w:rsidR="0065492D" w:rsidRPr="00653BF4">
              <w:rPr>
                <w:lang w:val="fr-FR" w:eastAsia="ja-JP"/>
              </w:rPr>
              <w:t>5</w:t>
            </w:r>
          </w:p>
        </w:tc>
        <w:tc>
          <w:tcPr>
            <w:tcW w:w="2232" w:type="dxa"/>
          </w:tcPr>
          <w:p w14:paraId="50955992" w14:textId="7F849DCE" w:rsidR="0065492D" w:rsidRPr="00653BF4" w:rsidRDefault="006A57D6" w:rsidP="002073BD">
            <w:pPr>
              <w:rPr>
                <w:lang w:val="fr-FR" w:eastAsia="ja-JP"/>
              </w:rPr>
            </w:pPr>
            <w:r w:rsidRPr="00653BF4">
              <w:rPr>
                <w:lang w:val="fr-FR" w:eastAsia="ja-JP"/>
              </w:rPr>
              <w:t>57</w:t>
            </w:r>
            <w:r w:rsidR="002878D7">
              <w:rPr>
                <w:lang w:val="fr-FR" w:eastAsia="ja-JP"/>
              </w:rPr>
              <w:t> %</w:t>
            </w:r>
          </w:p>
        </w:tc>
      </w:tr>
      <w:tr w:rsidR="0065492D" w:rsidRPr="00653BF4" w14:paraId="094D4471" w14:textId="77777777" w:rsidTr="0065492D">
        <w:tc>
          <w:tcPr>
            <w:tcW w:w="2231" w:type="dxa"/>
          </w:tcPr>
          <w:p w14:paraId="6140C54C" w14:textId="59D10B0B" w:rsidR="0065492D" w:rsidRPr="00653BF4" w:rsidRDefault="00E34DC9" w:rsidP="002073BD">
            <w:pPr>
              <w:rPr>
                <w:lang w:val="fr-FR" w:eastAsia="ja-JP"/>
              </w:rPr>
            </w:pPr>
            <w:r>
              <w:rPr>
                <w:lang w:val="fr-FR" w:eastAsia="ja-JP"/>
              </w:rPr>
              <w:t>Cible 4</w:t>
            </w:r>
          </w:p>
        </w:tc>
        <w:tc>
          <w:tcPr>
            <w:tcW w:w="2232" w:type="dxa"/>
          </w:tcPr>
          <w:p w14:paraId="0CDDE947" w14:textId="27FB0F8D" w:rsidR="0065492D" w:rsidRPr="00653BF4" w:rsidRDefault="00C6773A" w:rsidP="002073BD">
            <w:pPr>
              <w:rPr>
                <w:lang w:val="fr-FR" w:eastAsia="ja-JP"/>
              </w:rPr>
            </w:pPr>
            <w:r w:rsidRPr="00653BF4">
              <w:rPr>
                <w:lang w:val="fr-FR" w:eastAsia="ja-JP"/>
              </w:rPr>
              <w:t>72</w:t>
            </w:r>
            <w:r w:rsidR="002878D7">
              <w:rPr>
                <w:lang w:val="fr-FR" w:eastAsia="ja-JP"/>
              </w:rPr>
              <w:t> %</w:t>
            </w:r>
          </w:p>
        </w:tc>
        <w:tc>
          <w:tcPr>
            <w:tcW w:w="2231" w:type="dxa"/>
          </w:tcPr>
          <w:p w14:paraId="384AF527" w14:textId="21758B4D" w:rsidR="0065492D" w:rsidRPr="00653BF4" w:rsidRDefault="00E34DC9" w:rsidP="002073BD">
            <w:pPr>
              <w:rPr>
                <w:lang w:val="fr-FR" w:eastAsia="ja-JP"/>
              </w:rPr>
            </w:pPr>
            <w:r>
              <w:rPr>
                <w:lang w:val="fr-FR" w:eastAsia="ja-JP"/>
              </w:rPr>
              <w:t>Cible 1</w:t>
            </w:r>
            <w:r w:rsidR="0065492D" w:rsidRPr="00653BF4">
              <w:rPr>
                <w:lang w:val="fr-FR" w:eastAsia="ja-JP"/>
              </w:rPr>
              <w:t>6</w:t>
            </w:r>
          </w:p>
        </w:tc>
        <w:tc>
          <w:tcPr>
            <w:tcW w:w="2232" w:type="dxa"/>
          </w:tcPr>
          <w:p w14:paraId="2EABA107" w14:textId="70E3CD18" w:rsidR="0065492D" w:rsidRPr="00653BF4" w:rsidRDefault="00730ABF" w:rsidP="002073BD">
            <w:pPr>
              <w:rPr>
                <w:lang w:val="fr-FR" w:eastAsia="ja-JP"/>
              </w:rPr>
            </w:pPr>
            <w:r w:rsidRPr="00653BF4">
              <w:rPr>
                <w:lang w:val="fr-FR" w:eastAsia="ja-JP"/>
              </w:rPr>
              <w:t>51</w:t>
            </w:r>
            <w:r w:rsidR="002878D7">
              <w:rPr>
                <w:lang w:val="fr-FR" w:eastAsia="ja-JP"/>
              </w:rPr>
              <w:t> %</w:t>
            </w:r>
          </w:p>
        </w:tc>
      </w:tr>
      <w:tr w:rsidR="0065492D" w:rsidRPr="00653BF4" w14:paraId="54A1F455" w14:textId="77777777" w:rsidTr="0065492D">
        <w:tc>
          <w:tcPr>
            <w:tcW w:w="2231" w:type="dxa"/>
          </w:tcPr>
          <w:p w14:paraId="35EB6C44" w14:textId="4CDF8E0C" w:rsidR="0065492D" w:rsidRPr="00653BF4" w:rsidRDefault="00E34DC9" w:rsidP="002073BD">
            <w:pPr>
              <w:rPr>
                <w:lang w:val="fr-FR" w:eastAsia="ja-JP"/>
              </w:rPr>
            </w:pPr>
            <w:r>
              <w:rPr>
                <w:lang w:val="fr-FR" w:eastAsia="ja-JP"/>
              </w:rPr>
              <w:t>Cible 5</w:t>
            </w:r>
          </w:p>
        </w:tc>
        <w:tc>
          <w:tcPr>
            <w:tcW w:w="2232" w:type="dxa"/>
          </w:tcPr>
          <w:p w14:paraId="23A54C77" w14:textId="2910D286" w:rsidR="0065492D" w:rsidRPr="00653BF4" w:rsidRDefault="00EF0A15" w:rsidP="002073BD">
            <w:pPr>
              <w:rPr>
                <w:lang w:val="fr-FR" w:eastAsia="ja-JP"/>
              </w:rPr>
            </w:pPr>
            <w:r w:rsidRPr="00653BF4">
              <w:rPr>
                <w:lang w:val="fr-FR" w:eastAsia="ja-JP"/>
              </w:rPr>
              <w:t>68</w:t>
            </w:r>
            <w:r w:rsidR="002878D7">
              <w:rPr>
                <w:lang w:val="fr-FR" w:eastAsia="ja-JP"/>
              </w:rPr>
              <w:t> %</w:t>
            </w:r>
          </w:p>
        </w:tc>
        <w:tc>
          <w:tcPr>
            <w:tcW w:w="2231" w:type="dxa"/>
          </w:tcPr>
          <w:p w14:paraId="177329F4" w14:textId="51B4AD7A" w:rsidR="0065492D" w:rsidRPr="00653BF4" w:rsidRDefault="00E34DC9" w:rsidP="002073BD">
            <w:pPr>
              <w:rPr>
                <w:lang w:val="fr-FR" w:eastAsia="ja-JP"/>
              </w:rPr>
            </w:pPr>
            <w:r>
              <w:rPr>
                <w:lang w:val="fr-FR" w:eastAsia="ja-JP"/>
              </w:rPr>
              <w:t>Cible 1</w:t>
            </w:r>
            <w:r w:rsidR="0065492D" w:rsidRPr="00653BF4">
              <w:rPr>
                <w:lang w:val="fr-FR" w:eastAsia="ja-JP"/>
              </w:rPr>
              <w:t>7</w:t>
            </w:r>
          </w:p>
        </w:tc>
        <w:tc>
          <w:tcPr>
            <w:tcW w:w="2232" w:type="dxa"/>
          </w:tcPr>
          <w:p w14:paraId="381D3C60" w14:textId="2CFB4269" w:rsidR="0065492D" w:rsidRPr="00653BF4" w:rsidRDefault="008B10A1" w:rsidP="002073BD">
            <w:pPr>
              <w:rPr>
                <w:lang w:val="fr-FR" w:eastAsia="ja-JP"/>
              </w:rPr>
            </w:pPr>
            <w:r w:rsidRPr="00653BF4">
              <w:rPr>
                <w:lang w:val="fr-FR" w:eastAsia="ja-JP"/>
              </w:rPr>
              <w:t>58</w:t>
            </w:r>
            <w:r w:rsidR="002878D7">
              <w:rPr>
                <w:lang w:val="fr-FR" w:eastAsia="ja-JP"/>
              </w:rPr>
              <w:t> %</w:t>
            </w:r>
          </w:p>
        </w:tc>
      </w:tr>
      <w:tr w:rsidR="0065492D" w:rsidRPr="00653BF4" w14:paraId="05566C45" w14:textId="77777777" w:rsidTr="0065492D">
        <w:tc>
          <w:tcPr>
            <w:tcW w:w="2231" w:type="dxa"/>
          </w:tcPr>
          <w:p w14:paraId="40E08CFD" w14:textId="702FBC84" w:rsidR="0065492D" w:rsidRPr="00653BF4" w:rsidRDefault="00E34DC9" w:rsidP="002073BD">
            <w:pPr>
              <w:rPr>
                <w:lang w:val="fr-FR" w:eastAsia="ja-JP"/>
              </w:rPr>
            </w:pPr>
            <w:r>
              <w:rPr>
                <w:lang w:val="fr-FR" w:eastAsia="ja-JP"/>
              </w:rPr>
              <w:t>Cible 6</w:t>
            </w:r>
          </w:p>
        </w:tc>
        <w:tc>
          <w:tcPr>
            <w:tcW w:w="2232" w:type="dxa"/>
          </w:tcPr>
          <w:p w14:paraId="018D8A79" w14:textId="3D3B7BB1" w:rsidR="0065492D" w:rsidRPr="00653BF4" w:rsidRDefault="001F307E" w:rsidP="002073BD">
            <w:pPr>
              <w:rPr>
                <w:lang w:val="fr-FR" w:eastAsia="ja-JP"/>
              </w:rPr>
            </w:pPr>
            <w:r w:rsidRPr="00653BF4">
              <w:rPr>
                <w:lang w:val="fr-FR" w:eastAsia="ja-JP"/>
              </w:rPr>
              <w:t>62</w:t>
            </w:r>
            <w:r w:rsidR="002878D7">
              <w:rPr>
                <w:lang w:val="fr-FR" w:eastAsia="ja-JP"/>
              </w:rPr>
              <w:t> %</w:t>
            </w:r>
          </w:p>
        </w:tc>
        <w:tc>
          <w:tcPr>
            <w:tcW w:w="2231" w:type="dxa"/>
          </w:tcPr>
          <w:p w14:paraId="2E05FF27" w14:textId="34AF46CA" w:rsidR="0065492D" w:rsidRPr="00653BF4" w:rsidRDefault="00E34DC9" w:rsidP="002073BD">
            <w:pPr>
              <w:rPr>
                <w:lang w:val="fr-FR" w:eastAsia="ja-JP"/>
              </w:rPr>
            </w:pPr>
            <w:r>
              <w:rPr>
                <w:lang w:val="fr-FR" w:eastAsia="ja-JP"/>
              </w:rPr>
              <w:t>Cible 1</w:t>
            </w:r>
            <w:r w:rsidR="0065492D" w:rsidRPr="00653BF4">
              <w:rPr>
                <w:lang w:val="fr-FR" w:eastAsia="ja-JP"/>
              </w:rPr>
              <w:t>8</w:t>
            </w:r>
          </w:p>
        </w:tc>
        <w:tc>
          <w:tcPr>
            <w:tcW w:w="2232" w:type="dxa"/>
          </w:tcPr>
          <w:p w14:paraId="371A41AD" w14:textId="11A73AD3" w:rsidR="0065492D" w:rsidRPr="00653BF4" w:rsidRDefault="00DE5D27" w:rsidP="002073BD">
            <w:pPr>
              <w:rPr>
                <w:lang w:val="fr-FR" w:eastAsia="ja-JP"/>
              </w:rPr>
            </w:pPr>
            <w:r w:rsidRPr="00653BF4">
              <w:rPr>
                <w:lang w:val="fr-FR" w:eastAsia="ja-JP"/>
              </w:rPr>
              <w:t>62</w:t>
            </w:r>
            <w:r w:rsidR="002878D7">
              <w:rPr>
                <w:lang w:val="fr-FR" w:eastAsia="ja-JP"/>
              </w:rPr>
              <w:t> %</w:t>
            </w:r>
          </w:p>
        </w:tc>
      </w:tr>
      <w:tr w:rsidR="0065492D" w:rsidRPr="00653BF4" w14:paraId="51DFB6D5" w14:textId="77777777" w:rsidTr="0065492D">
        <w:tc>
          <w:tcPr>
            <w:tcW w:w="2231" w:type="dxa"/>
          </w:tcPr>
          <w:p w14:paraId="4E06886E" w14:textId="08EEF914" w:rsidR="0065492D" w:rsidRPr="00653BF4" w:rsidRDefault="00E34DC9" w:rsidP="002073BD">
            <w:pPr>
              <w:rPr>
                <w:lang w:val="fr-FR" w:eastAsia="ja-JP"/>
              </w:rPr>
            </w:pPr>
            <w:r>
              <w:rPr>
                <w:lang w:val="fr-FR" w:eastAsia="ja-JP"/>
              </w:rPr>
              <w:t>Cible 7</w:t>
            </w:r>
          </w:p>
        </w:tc>
        <w:tc>
          <w:tcPr>
            <w:tcW w:w="2232" w:type="dxa"/>
          </w:tcPr>
          <w:p w14:paraId="6BACB747" w14:textId="276D4C8A" w:rsidR="0065492D" w:rsidRPr="00653BF4" w:rsidRDefault="0047345F" w:rsidP="002073BD">
            <w:pPr>
              <w:rPr>
                <w:lang w:val="fr-FR" w:eastAsia="ja-JP"/>
              </w:rPr>
            </w:pPr>
            <w:r w:rsidRPr="00653BF4">
              <w:rPr>
                <w:lang w:val="fr-FR" w:eastAsia="ja-JP"/>
              </w:rPr>
              <w:t>61</w:t>
            </w:r>
            <w:r w:rsidR="002878D7">
              <w:rPr>
                <w:lang w:val="fr-FR" w:eastAsia="ja-JP"/>
              </w:rPr>
              <w:t> %</w:t>
            </w:r>
          </w:p>
        </w:tc>
        <w:tc>
          <w:tcPr>
            <w:tcW w:w="2231" w:type="dxa"/>
          </w:tcPr>
          <w:p w14:paraId="5C001E65" w14:textId="5B52BBA8" w:rsidR="0065492D" w:rsidRPr="00653BF4" w:rsidRDefault="00E34DC9" w:rsidP="002073BD">
            <w:pPr>
              <w:rPr>
                <w:lang w:val="fr-FR" w:eastAsia="ja-JP"/>
              </w:rPr>
            </w:pPr>
            <w:r>
              <w:rPr>
                <w:lang w:val="fr-FR" w:eastAsia="ja-JP"/>
              </w:rPr>
              <w:t>Cible 1</w:t>
            </w:r>
            <w:r w:rsidR="0065492D" w:rsidRPr="00653BF4">
              <w:rPr>
                <w:lang w:val="fr-FR" w:eastAsia="ja-JP"/>
              </w:rPr>
              <w:t>9</w:t>
            </w:r>
          </w:p>
        </w:tc>
        <w:tc>
          <w:tcPr>
            <w:tcW w:w="2232" w:type="dxa"/>
          </w:tcPr>
          <w:p w14:paraId="0B9AEF6C" w14:textId="48E6E9AF" w:rsidR="0065492D" w:rsidRPr="00653BF4" w:rsidRDefault="009E5A66" w:rsidP="002073BD">
            <w:pPr>
              <w:rPr>
                <w:lang w:val="fr-FR" w:eastAsia="ja-JP"/>
              </w:rPr>
            </w:pPr>
            <w:r w:rsidRPr="00653BF4">
              <w:rPr>
                <w:lang w:val="fr-FR" w:eastAsia="ja-JP"/>
              </w:rPr>
              <w:t>58</w:t>
            </w:r>
            <w:r w:rsidR="002878D7">
              <w:rPr>
                <w:lang w:val="fr-FR" w:eastAsia="ja-JP"/>
              </w:rPr>
              <w:t> %</w:t>
            </w:r>
          </w:p>
        </w:tc>
      </w:tr>
      <w:tr w:rsidR="0065492D" w:rsidRPr="00653BF4" w14:paraId="5E2FA878" w14:textId="77777777" w:rsidTr="0065492D">
        <w:tc>
          <w:tcPr>
            <w:tcW w:w="2231" w:type="dxa"/>
          </w:tcPr>
          <w:p w14:paraId="67AE9A0E" w14:textId="2A550988" w:rsidR="0065492D" w:rsidRPr="00653BF4" w:rsidRDefault="00E34DC9" w:rsidP="002073BD">
            <w:pPr>
              <w:rPr>
                <w:lang w:val="fr-FR" w:eastAsia="ja-JP"/>
              </w:rPr>
            </w:pPr>
            <w:r>
              <w:rPr>
                <w:lang w:val="fr-FR" w:eastAsia="ja-JP"/>
              </w:rPr>
              <w:t>Cible 8</w:t>
            </w:r>
          </w:p>
        </w:tc>
        <w:tc>
          <w:tcPr>
            <w:tcW w:w="2232" w:type="dxa"/>
          </w:tcPr>
          <w:p w14:paraId="30590119" w14:textId="51F15D82" w:rsidR="0065492D" w:rsidRPr="00653BF4" w:rsidRDefault="00C8520F" w:rsidP="002073BD">
            <w:pPr>
              <w:rPr>
                <w:lang w:val="fr-FR" w:eastAsia="ja-JP"/>
              </w:rPr>
            </w:pPr>
            <w:r w:rsidRPr="00653BF4">
              <w:rPr>
                <w:lang w:val="fr-FR" w:eastAsia="ja-JP"/>
              </w:rPr>
              <w:t>71</w:t>
            </w:r>
            <w:r w:rsidR="002878D7">
              <w:rPr>
                <w:lang w:val="fr-FR" w:eastAsia="ja-JP"/>
              </w:rPr>
              <w:t> %</w:t>
            </w:r>
          </w:p>
        </w:tc>
        <w:tc>
          <w:tcPr>
            <w:tcW w:w="2231" w:type="dxa"/>
          </w:tcPr>
          <w:p w14:paraId="618BF924" w14:textId="3BD6AA02" w:rsidR="0065492D" w:rsidRPr="00653BF4" w:rsidRDefault="00E34DC9" w:rsidP="002073BD">
            <w:pPr>
              <w:rPr>
                <w:lang w:val="fr-FR" w:eastAsia="ja-JP"/>
              </w:rPr>
            </w:pPr>
            <w:r>
              <w:rPr>
                <w:lang w:val="fr-FR" w:eastAsia="ja-JP"/>
              </w:rPr>
              <w:t>Cible 2</w:t>
            </w:r>
            <w:r w:rsidR="0065492D" w:rsidRPr="00653BF4">
              <w:rPr>
                <w:lang w:val="fr-FR" w:eastAsia="ja-JP"/>
              </w:rPr>
              <w:t>0</w:t>
            </w:r>
          </w:p>
        </w:tc>
        <w:tc>
          <w:tcPr>
            <w:tcW w:w="2232" w:type="dxa"/>
          </w:tcPr>
          <w:p w14:paraId="51E1CAD8" w14:textId="2FCAAA80" w:rsidR="0065492D" w:rsidRPr="00653BF4" w:rsidRDefault="009C62C8" w:rsidP="002073BD">
            <w:pPr>
              <w:rPr>
                <w:lang w:val="fr-FR" w:eastAsia="ja-JP"/>
              </w:rPr>
            </w:pPr>
            <w:r w:rsidRPr="00653BF4">
              <w:rPr>
                <w:lang w:val="fr-FR" w:eastAsia="ja-JP"/>
              </w:rPr>
              <w:t>69</w:t>
            </w:r>
            <w:r w:rsidR="002878D7">
              <w:rPr>
                <w:lang w:val="fr-FR" w:eastAsia="ja-JP"/>
              </w:rPr>
              <w:t> %</w:t>
            </w:r>
          </w:p>
        </w:tc>
      </w:tr>
      <w:tr w:rsidR="0065492D" w:rsidRPr="00653BF4" w14:paraId="74CD59D3" w14:textId="77777777" w:rsidTr="0065492D">
        <w:tc>
          <w:tcPr>
            <w:tcW w:w="2231" w:type="dxa"/>
          </w:tcPr>
          <w:p w14:paraId="3E04842E" w14:textId="551405AA" w:rsidR="0065492D" w:rsidRPr="00653BF4" w:rsidRDefault="00E34DC9" w:rsidP="002073BD">
            <w:pPr>
              <w:rPr>
                <w:lang w:val="fr-FR" w:eastAsia="ja-JP"/>
              </w:rPr>
            </w:pPr>
            <w:r>
              <w:rPr>
                <w:lang w:val="fr-FR" w:eastAsia="ja-JP"/>
              </w:rPr>
              <w:t>Cible 9</w:t>
            </w:r>
          </w:p>
        </w:tc>
        <w:tc>
          <w:tcPr>
            <w:tcW w:w="2232" w:type="dxa"/>
          </w:tcPr>
          <w:p w14:paraId="4E4FA450" w14:textId="322C81AD" w:rsidR="0065492D" w:rsidRPr="00653BF4" w:rsidRDefault="003408C9" w:rsidP="002073BD">
            <w:pPr>
              <w:rPr>
                <w:lang w:val="fr-FR" w:eastAsia="ja-JP"/>
              </w:rPr>
            </w:pPr>
            <w:r w:rsidRPr="00653BF4">
              <w:rPr>
                <w:lang w:val="fr-FR" w:eastAsia="ja-JP"/>
              </w:rPr>
              <w:t>60</w:t>
            </w:r>
            <w:r w:rsidR="002878D7">
              <w:rPr>
                <w:lang w:val="fr-FR" w:eastAsia="ja-JP"/>
              </w:rPr>
              <w:t> %</w:t>
            </w:r>
          </w:p>
        </w:tc>
        <w:tc>
          <w:tcPr>
            <w:tcW w:w="2231" w:type="dxa"/>
          </w:tcPr>
          <w:p w14:paraId="605F7577" w14:textId="30E2859B" w:rsidR="0065492D" w:rsidRPr="00653BF4" w:rsidRDefault="00E34DC9" w:rsidP="002073BD">
            <w:pPr>
              <w:rPr>
                <w:lang w:val="fr-FR" w:eastAsia="ja-JP"/>
              </w:rPr>
            </w:pPr>
            <w:r>
              <w:rPr>
                <w:lang w:val="fr-FR" w:eastAsia="ja-JP"/>
              </w:rPr>
              <w:t>Cible 2</w:t>
            </w:r>
            <w:r w:rsidR="0065492D" w:rsidRPr="00653BF4">
              <w:rPr>
                <w:lang w:val="fr-FR" w:eastAsia="ja-JP"/>
              </w:rPr>
              <w:t>1</w:t>
            </w:r>
          </w:p>
        </w:tc>
        <w:tc>
          <w:tcPr>
            <w:tcW w:w="2232" w:type="dxa"/>
          </w:tcPr>
          <w:p w14:paraId="492A3F5B" w14:textId="36BE8068" w:rsidR="0065492D" w:rsidRPr="00653BF4" w:rsidRDefault="005F671E" w:rsidP="002073BD">
            <w:pPr>
              <w:rPr>
                <w:lang w:val="fr-FR" w:eastAsia="ja-JP"/>
              </w:rPr>
            </w:pPr>
            <w:r w:rsidRPr="00653BF4">
              <w:rPr>
                <w:lang w:val="fr-FR" w:eastAsia="ja-JP"/>
              </w:rPr>
              <w:t>69</w:t>
            </w:r>
            <w:r w:rsidR="002878D7">
              <w:rPr>
                <w:lang w:val="fr-FR" w:eastAsia="ja-JP"/>
              </w:rPr>
              <w:t> %</w:t>
            </w:r>
          </w:p>
        </w:tc>
      </w:tr>
      <w:tr w:rsidR="0065492D" w:rsidRPr="00653BF4" w14:paraId="4B9EFA29" w14:textId="77777777" w:rsidTr="0065492D">
        <w:tc>
          <w:tcPr>
            <w:tcW w:w="2231" w:type="dxa"/>
          </w:tcPr>
          <w:p w14:paraId="21DB97DA" w14:textId="6E69C9B1" w:rsidR="0065492D" w:rsidRPr="00653BF4" w:rsidRDefault="00E34DC9" w:rsidP="002073BD">
            <w:pPr>
              <w:rPr>
                <w:lang w:val="fr-FR" w:eastAsia="ja-JP"/>
              </w:rPr>
            </w:pPr>
            <w:r>
              <w:rPr>
                <w:lang w:val="fr-FR" w:eastAsia="ja-JP"/>
              </w:rPr>
              <w:t>Cible 1</w:t>
            </w:r>
            <w:r w:rsidR="0065492D" w:rsidRPr="00653BF4">
              <w:rPr>
                <w:lang w:val="fr-FR" w:eastAsia="ja-JP"/>
              </w:rPr>
              <w:t>0</w:t>
            </w:r>
          </w:p>
        </w:tc>
        <w:tc>
          <w:tcPr>
            <w:tcW w:w="2232" w:type="dxa"/>
          </w:tcPr>
          <w:p w14:paraId="005D4570" w14:textId="4BA10878" w:rsidR="0065492D" w:rsidRPr="00653BF4" w:rsidRDefault="004909B2" w:rsidP="002073BD">
            <w:pPr>
              <w:rPr>
                <w:lang w:val="fr-FR" w:eastAsia="ja-JP"/>
              </w:rPr>
            </w:pPr>
            <w:r w:rsidRPr="00653BF4">
              <w:rPr>
                <w:lang w:val="fr-FR" w:eastAsia="ja-JP"/>
              </w:rPr>
              <w:t>72</w:t>
            </w:r>
            <w:r w:rsidR="002878D7">
              <w:rPr>
                <w:lang w:val="fr-FR" w:eastAsia="ja-JP"/>
              </w:rPr>
              <w:t> %</w:t>
            </w:r>
          </w:p>
        </w:tc>
        <w:tc>
          <w:tcPr>
            <w:tcW w:w="2231" w:type="dxa"/>
          </w:tcPr>
          <w:p w14:paraId="153D98DB" w14:textId="29B5C58D" w:rsidR="0065492D" w:rsidRPr="00653BF4" w:rsidRDefault="00E34DC9" w:rsidP="002073BD">
            <w:pPr>
              <w:rPr>
                <w:lang w:val="fr-FR" w:eastAsia="ja-JP"/>
              </w:rPr>
            </w:pPr>
            <w:r>
              <w:rPr>
                <w:lang w:val="fr-FR" w:eastAsia="ja-JP"/>
              </w:rPr>
              <w:t>Cible 2</w:t>
            </w:r>
            <w:r w:rsidR="0065492D" w:rsidRPr="00653BF4">
              <w:rPr>
                <w:lang w:val="fr-FR" w:eastAsia="ja-JP"/>
              </w:rPr>
              <w:t>2</w:t>
            </w:r>
          </w:p>
        </w:tc>
        <w:tc>
          <w:tcPr>
            <w:tcW w:w="2232" w:type="dxa"/>
          </w:tcPr>
          <w:p w14:paraId="771DC1C1" w14:textId="470C4890" w:rsidR="0065492D" w:rsidRPr="00653BF4" w:rsidRDefault="002D5251" w:rsidP="002073BD">
            <w:pPr>
              <w:rPr>
                <w:lang w:val="fr-FR" w:eastAsia="ja-JP"/>
              </w:rPr>
            </w:pPr>
            <w:r w:rsidRPr="00653BF4">
              <w:rPr>
                <w:lang w:val="fr-FR" w:eastAsia="ja-JP"/>
              </w:rPr>
              <w:t>68</w:t>
            </w:r>
            <w:r w:rsidR="002878D7">
              <w:rPr>
                <w:lang w:val="fr-FR" w:eastAsia="ja-JP"/>
              </w:rPr>
              <w:t> %</w:t>
            </w:r>
          </w:p>
        </w:tc>
      </w:tr>
      <w:tr w:rsidR="0065492D" w:rsidRPr="00653BF4" w14:paraId="40EB2CB0" w14:textId="77777777" w:rsidTr="0065492D">
        <w:tc>
          <w:tcPr>
            <w:tcW w:w="2231" w:type="dxa"/>
          </w:tcPr>
          <w:p w14:paraId="30016F05" w14:textId="16B4328C" w:rsidR="0065492D" w:rsidRPr="00653BF4" w:rsidRDefault="00E34DC9" w:rsidP="002073BD">
            <w:pPr>
              <w:rPr>
                <w:lang w:val="fr-FR" w:eastAsia="ja-JP"/>
              </w:rPr>
            </w:pPr>
            <w:r>
              <w:rPr>
                <w:lang w:val="fr-FR" w:eastAsia="ja-JP"/>
              </w:rPr>
              <w:t>Cible 1</w:t>
            </w:r>
            <w:r w:rsidR="0065492D" w:rsidRPr="00653BF4">
              <w:rPr>
                <w:lang w:val="fr-FR" w:eastAsia="ja-JP"/>
              </w:rPr>
              <w:t>1</w:t>
            </w:r>
          </w:p>
        </w:tc>
        <w:tc>
          <w:tcPr>
            <w:tcW w:w="2232" w:type="dxa"/>
          </w:tcPr>
          <w:p w14:paraId="420CE769" w14:textId="24CC26CF" w:rsidR="0065492D" w:rsidRPr="00653BF4" w:rsidRDefault="00472B70" w:rsidP="002073BD">
            <w:pPr>
              <w:rPr>
                <w:lang w:val="fr-FR" w:eastAsia="ja-JP"/>
              </w:rPr>
            </w:pPr>
            <w:r w:rsidRPr="00653BF4">
              <w:rPr>
                <w:lang w:val="fr-FR" w:eastAsia="ja-JP"/>
              </w:rPr>
              <w:t>65</w:t>
            </w:r>
            <w:r w:rsidR="002878D7">
              <w:rPr>
                <w:lang w:val="fr-FR" w:eastAsia="ja-JP"/>
              </w:rPr>
              <w:t> %</w:t>
            </w:r>
          </w:p>
        </w:tc>
        <w:tc>
          <w:tcPr>
            <w:tcW w:w="2231" w:type="dxa"/>
          </w:tcPr>
          <w:p w14:paraId="041683C3" w14:textId="6A0F4A51" w:rsidR="0065492D" w:rsidRPr="00653BF4" w:rsidRDefault="00E34DC9" w:rsidP="002073BD">
            <w:pPr>
              <w:rPr>
                <w:lang w:val="fr-FR" w:eastAsia="ja-JP"/>
              </w:rPr>
            </w:pPr>
            <w:r>
              <w:rPr>
                <w:lang w:val="fr-FR" w:eastAsia="ja-JP"/>
              </w:rPr>
              <w:t>Cible 2</w:t>
            </w:r>
            <w:r w:rsidR="0065492D" w:rsidRPr="00653BF4">
              <w:rPr>
                <w:lang w:val="fr-FR" w:eastAsia="ja-JP"/>
              </w:rPr>
              <w:t>3</w:t>
            </w:r>
          </w:p>
        </w:tc>
        <w:tc>
          <w:tcPr>
            <w:tcW w:w="2232" w:type="dxa"/>
          </w:tcPr>
          <w:p w14:paraId="6EC9706E" w14:textId="6E6E23FB" w:rsidR="0065492D" w:rsidRPr="00653BF4" w:rsidRDefault="00E101ED" w:rsidP="002073BD">
            <w:pPr>
              <w:rPr>
                <w:lang w:val="fr-FR" w:eastAsia="ja-JP"/>
              </w:rPr>
            </w:pPr>
            <w:r w:rsidRPr="00653BF4">
              <w:rPr>
                <w:lang w:val="fr-FR" w:eastAsia="ja-JP"/>
              </w:rPr>
              <w:t>68</w:t>
            </w:r>
            <w:r w:rsidR="002878D7">
              <w:rPr>
                <w:lang w:val="fr-FR" w:eastAsia="ja-JP"/>
              </w:rPr>
              <w:t> %</w:t>
            </w:r>
          </w:p>
        </w:tc>
      </w:tr>
      <w:tr w:rsidR="0065492D" w:rsidRPr="00653BF4" w14:paraId="152A3BB2" w14:textId="77777777" w:rsidTr="0065492D">
        <w:tc>
          <w:tcPr>
            <w:tcW w:w="2231" w:type="dxa"/>
          </w:tcPr>
          <w:p w14:paraId="487928F8" w14:textId="2010B29B" w:rsidR="0065492D" w:rsidRPr="00653BF4" w:rsidRDefault="00E34DC9" w:rsidP="002073BD">
            <w:pPr>
              <w:rPr>
                <w:lang w:val="fr-FR" w:eastAsia="ja-JP"/>
              </w:rPr>
            </w:pPr>
            <w:r>
              <w:rPr>
                <w:lang w:val="fr-FR" w:eastAsia="ja-JP"/>
              </w:rPr>
              <w:t>Cible 1</w:t>
            </w:r>
            <w:r w:rsidR="0065492D" w:rsidRPr="00653BF4">
              <w:rPr>
                <w:lang w:val="fr-FR" w:eastAsia="ja-JP"/>
              </w:rPr>
              <w:t>2</w:t>
            </w:r>
          </w:p>
        </w:tc>
        <w:tc>
          <w:tcPr>
            <w:tcW w:w="2232" w:type="dxa"/>
          </w:tcPr>
          <w:p w14:paraId="6B258AA8" w14:textId="2087B270" w:rsidR="0065492D" w:rsidRPr="00653BF4" w:rsidRDefault="00FC074C" w:rsidP="002073BD">
            <w:pPr>
              <w:rPr>
                <w:lang w:val="fr-FR" w:eastAsia="ja-JP"/>
              </w:rPr>
            </w:pPr>
            <w:r w:rsidRPr="00653BF4">
              <w:rPr>
                <w:lang w:val="fr-FR" w:eastAsia="ja-JP"/>
              </w:rPr>
              <w:t>70</w:t>
            </w:r>
            <w:r w:rsidR="002878D7">
              <w:rPr>
                <w:lang w:val="fr-FR" w:eastAsia="ja-JP"/>
              </w:rPr>
              <w:t> %</w:t>
            </w:r>
          </w:p>
        </w:tc>
        <w:tc>
          <w:tcPr>
            <w:tcW w:w="2231" w:type="dxa"/>
          </w:tcPr>
          <w:p w14:paraId="1A4543B2" w14:textId="77777777" w:rsidR="0065492D" w:rsidRPr="00653BF4" w:rsidRDefault="0065492D" w:rsidP="002073BD">
            <w:pPr>
              <w:rPr>
                <w:lang w:val="fr-FR" w:eastAsia="ja-JP"/>
              </w:rPr>
            </w:pPr>
          </w:p>
        </w:tc>
        <w:tc>
          <w:tcPr>
            <w:tcW w:w="2232" w:type="dxa"/>
          </w:tcPr>
          <w:p w14:paraId="6E42D675" w14:textId="77777777" w:rsidR="0065492D" w:rsidRPr="00653BF4" w:rsidRDefault="0065492D">
            <w:pPr>
              <w:keepNext/>
              <w:rPr>
                <w:lang w:val="fr-FR" w:eastAsia="ja-JP"/>
              </w:rPr>
            </w:pPr>
          </w:p>
        </w:tc>
      </w:tr>
    </w:tbl>
    <w:p w14:paraId="4EA833A0" w14:textId="77777777" w:rsidR="009C283A" w:rsidRPr="00653BF4" w:rsidRDefault="009C283A" w:rsidP="009C283A">
      <w:pPr>
        <w:pStyle w:val="Caption"/>
        <w:rPr>
          <w:lang w:val="fr-FR"/>
        </w:rPr>
      </w:pPr>
    </w:p>
    <w:p w14:paraId="5FFD411E" w14:textId="77777777" w:rsidR="00513F96" w:rsidRPr="00653BF4" w:rsidRDefault="00513F96" w:rsidP="00680B5E">
      <w:pPr>
        <w:rPr>
          <w:lang w:val="fr-FR"/>
        </w:rPr>
      </w:pPr>
    </w:p>
    <w:p w14:paraId="0FD7449D" w14:textId="31A350F3" w:rsidR="00FA3E4F" w:rsidRPr="00653BF4" w:rsidRDefault="00164B15" w:rsidP="00470B54">
      <w:pPr>
        <w:pStyle w:val="Heading3"/>
        <w:rPr>
          <w:lang w:val="fr-FR"/>
        </w:rPr>
      </w:pPr>
      <w:bookmarkStart w:id="53" w:name="_Toc242801225"/>
      <w:r w:rsidRPr="00653BF4">
        <w:rPr>
          <w:lang w:val="fr-FR"/>
        </w:rPr>
        <w:t xml:space="preserve">Appui apporté aux Parties </w:t>
      </w:r>
      <w:r w:rsidR="00EE4CD6" w:rsidRPr="00653BF4">
        <w:rPr>
          <w:lang w:val="fr-FR"/>
        </w:rPr>
        <w:t>aux fins de</w:t>
      </w:r>
      <w:r w:rsidRPr="00653BF4">
        <w:rPr>
          <w:lang w:val="fr-FR"/>
        </w:rPr>
        <w:t xml:space="preserve"> l</w:t>
      </w:r>
      <w:r w:rsidR="002A58C8" w:rsidRPr="00653BF4">
        <w:rPr>
          <w:lang w:val="fr-FR"/>
        </w:rPr>
        <w:t>’</w:t>
      </w:r>
      <w:r w:rsidRPr="00653BF4">
        <w:rPr>
          <w:lang w:val="fr-FR"/>
        </w:rPr>
        <w:t>élaboration de stratégies et de plans d</w:t>
      </w:r>
      <w:r w:rsidR="002A58C8" w:rsidRPr="00653BF4">
        <w:rPr>
          <w:lang w:val="fr-FR"/>
        </w:rPr>
        <w:t>’</w:t>
      </w:r>
      <w:r w:rsidRPr="00653BF4">
        <w:rPr>
          <w:lang w:val="fr-FR"/>
        </w:rPr>
        <w:t xml:space="preserve">action nationaux pour la biodiversité, </w:t>
      </w:r>
      <w:r w:rsidR="000B6F90" w:rsidRPr="00653BF4">
        <w:rPr>
          <w:lang w:val="fr-FR"/>
        </w:rPr>
        <w:t xml:space="preserve">de </w:t>
      </w:r>
      <w:r w:rsidRPr="00653BF4">
        <w:rPr>
          <w:lang w:val="fr-FR"/>
        </w:rPr>
        <w:t xml:space="preserve">la définition de cibles nationales et </w:t>
      </w:r>
      <w:r w:rsidR="00931758" w:rsidRPr="00653BF4">
        <w:rPr>
          <w:lang w:val="fr-FR"/>
        </w:rPr>
        <w:t xml:space="preserve">de </w:t>
      </w:r>
      <w:r w:rsidRPr="00653BF4">
        <w:rPr>
          <w:lang w:val="fr-FR"/>
        </w:rPr>
        <w:t>l</w:t>
      </w:r>
      <w:r w:rsidR="002A58C8" w:rsidRPr="00653BF4">
        <w:rPr>
          <w:lang w:val="fr-FR"/>
        </w:rPr>
        <w:t>’</w:t>
      </w:r>
      <w:r w:rsidRPr="00653BF4">
        <w:rPr>
          <w:lang w:val="fr-FR"/>
        </w:rPr>
        <w:t>établissement de rapports nationaux</w:t>
      </w:r>
      <w:bookmarkEnd w:id="53"/>
    </w:p>
    <w:p w14:paraId="5387737F" w14:textId="77777777" w:rsidR="004A530A" w:rsidRPr="00653BF4" w:rsidRDefault="004A530A" w:rsidP="003D00FF">
      <w:pPr>
        <w:spacing w:after="200" w:line="276" w:lineRule="auto"/>
        <w:rPr>
          <w:lang w:val="fr-FR"/>
        </w:rPr>
      </w:pPr>
    </w:p>
    <w:p w14:paraId="161746C5" w14:textId="76B4F6D0" w:rsidR="00121BCA" w:rsidRPr="00653BF4" w:rsidRDefault="009B553C" w:rsidP="00121BCA">
      <w:pPr>
        <w:spacing w:after="200" w:line="276" w:lineRule="auto"/>
        <w:rPr>
          <w:rFonts w:ascii="Aptos" w:eastAsia="Aptos" w:hAnsi="Aptos" w:cs="Aptos"/>
          <w:lang w:val="fr-FR"/>
        </w:rPr>
      </w:pPr>
      <w:r w:rsidRPr="00653BF4">
        <w:rPr>
          <w:lang w:val="fr-FR"/>
        </w:rPr>
        <w:t>Le huitième cycle de reconstitution des ressources du Fonds pour l</w:t>
      </w:r>
      <w:r w:rsidR="002A58C8" w:rsidRPr="00653BF4">
        <w:rPr>
          <w:lang w:val="fr-FR"/>
        </w:rPr>
        <w:t>’</w:t>
      </w:r>
      <w:r w:rsidRPr="00653BF4">
        <w:rPr>
          <w:lang w:val="fr-FR"/>
        </w:rPr>
        <w:t>environnement mondial (FEM) comprenait un appui financier aux Parties pour la mise à jour des SPANB et l</w:t>
      </w:r>
      <w:r w:rsidR="002A58C8" w:rsidRPr="00653BF4">
        <w:rPr>
          <w:lang w:val="fr-FR"/>
        </w:rPr>
        <w:t>’</w:t>
      </w:r>
      <w:r w:rsidRPr="00653BF4">
        <w:rPr>
          <w:lang w:val="fr-FR"/>
        </w:rPr>
        <w:t>élaboration des septièmes rapports nationaux au titre de la Convention. Cet appui a été fourni dans le cadre d</w:t>
      </w:r>
      <w:r w:rsidR="002A58C8" w:rsidRPr="00653BF4">
        <w:rPr>
          <w:lang w:val="fr-FR"/>
        </w:rPr>
        <w:t>’</w:t>
      </w:r>
      <w:r w:rsidRPr="00653BF4">
        <w:rPr>
          <w:lang w:val="fr-FR"/>
        </w:rPr>
        <w:t>un projet-cadre mis en œuvre conjointement par le Programme des Nations Unies pour l</w:t>
      </w:r>
      <w:r w:rsidR="002A58C8" w:rsidRPr="00653BF4">
        <w:rPr>
          <w:lang w:val="fr-FR"/>
        </w:rPr>
        <w:t>’</w:t>
      </w:r>
      <w:r w:rsidRPr="00653BF4">
        <w:rPr>
          <w:lang w:val="fr-FR"/>
        </w:rPr>
        <w:t xml:space="preserve">environnement (PNUE) et le Programme des Nations Unies pour le développement (PNUD), en partenariat avec le </w:t>
      </w:r>
      <w:r w:rsidR="002C36D5" w:rsidRPr="00653BF4">
        <w:rPr>
          <w:lang w:val="fr-FR"/>
        </w:rPr>
        <w:t>secrétariat</w:t>
      </w:r>
      <w:r w:rsidRPr="00653BF4">
        <w:rPr>
          <w:lang w:val="fr-FR"/>
        </w:rPr>
        <w:t xml:space="preserve"> de la Convention. Ce projet a apporté un appui à 139 pays en développement, petits États insulaires en développement et les Parties à économie en transition. Parmi les Parties ayant bénéficié de cet appui, 33 ont présenté une stratégie nationale de conservation de la biodiversité et de protection des zones humides (SPANB), 109 ont présenté des cibles nationales alignées sur le Cadre et 82 ont remis leurs rapports nationaux avant la date limite afin qu</w:t>
      </w:r>
      <w:r w:rsidR="002A58C8" w:rsidRPr="00653BF4">
        <w:rPr>
          <w:lang w:val="fr-FR"/>
        </w:rPr>
        <w:t>’</w:t>
      </w:r>
      <w:r w:rsidRPr="00653BF4">
        <w:rPr>
          <w:lang w:val="fr-FR"/>
        </w:rPr>
        <w:t>ils soient pris en compte dans le rapport mondial.</w:t>
      </w:r>
    </w:p>
    <w:p w14:paraId="578CBF35" w14:textId="4B1EBDA5" w:rsidR="001C7E85" w:rsidRPr="00653BF4" w:rsidRDefault="000349A3">
      <w:pPr>
        <w:rPr>
          <w:rFonts w:ascii="Aptos" w:eastAsia="Aptos" w:hAnsi="Aptos" w:cs="Aptos"/>
          <w:lang w:val="fr-FR"/>
        </w:rPr>
      </w:pPr>
      <w:r w:rsidRPr="00653BF4">
        <w:rPr>
          <w:rFonts w:ascii="Aptos" w:eastAsia="Aptos" w:hAnsi="Aptos" w:cs="Aptos"/>
          <w:lang w:val="fr-FR"/>
        </w:rPr>
        <w:lastRenderedPageBreak/>
        <w:t>L</w:t>
      </w:r>
      <w:r w:rsidR="002A58C8" w:rsidRPr="00653BF4">
        <w:rPr>
          <w:rFonts w:ascii="Aptos" w:eastAsia="Aptos" w:hAnsi="Aptos" w:cs="Aptos"/>
          <w:lang w:val="fr-FR"/>
        </w:rPr>
        <w:t>’</w:t>
      </w:r>
      <w:r w:rsidRPr="00653BF4">
        <w:rPr>
          <w:rFonts w:ascii="Aptos" w:eastAsia="Aptos" w:hAnsi="Aptos" w:cs="Aptos"/>
          <w:lang w:val="fr-FR"/>
        </w:rPr>
        <w:t>appui apporté par le FEM par l</w:t>
      </w:r>
      <w:r w:rsidR="002A58C8" w:rsidRPr="00653BF4">
        <w:rPr>
          <w:rFonts w:ascii="Aptos" w:eastAsia="Aptos" w:hAnsi="Aptos" w:cs="Aptos"/>
          <w:lang w:val="fr-FR"/>
        </w:rPr>
        <w:t>’</w:t>
      </w:r>
      <w:r w:rsidRPr="00653BF4">
        <w:rPr>
          <w:rFonts w:ascii="Aptos" w:eastAsia="Aptos" w:hAnsi="Aptos" w:cs="Aptos"/>
          <w:lang w:val="fr-FR"/>
        </w:rPr>
        <w:t>intermédiaire du PNUD et du PNUE a constitué la principale source d</w:t>
      </w:r>
      <w:r w:rsidR="002A58C8" w:rsidRPr="00653BF4">
        <w:rPr>
          <w:rFonts w:ascii="Aptos" w:eastAsia="Aptos" w:hAnsi="Aptos" w:cs="Aptos"/>
          <w:lang w:val="fr-FR"/>
        </w:rPr>
        <w:t>’</w:t>
      </w:r>
      <w:r w:rsidRPr="00653BF4">
        <w:rPr>
          <w:rFonts w:ascii="Aptos" w:eastAsia="Aptos" w:hAnsi="Aptos" w:cs="Aptos"/>
          <w:lang w:val="fr-FR"/>
        </w:rPr>
        <w:t>aide financière spécifique mise à la disposition des Parties pour l</w:t>
      </w:r>
      <w:r w:rsidR="002A58C8" w:rsidRPr="00653BF4">
        <w:rPr>
          <w:rFonts w:ascii="Aptos" w:eastAsia="Aptos" w:hAnsi="Aptos" w:cs="Aptos"/>
          <w:lang w:val="fr-FR"/>
        </w:rPr>
        <w:t>’</w:t>
      </w:r>
      <w:r w:rsidRPr="00653BF4">
        <w:rPr>
          <w:rFonts w:ascii="Aptos" w:eastAsia="Aptos" w:hAnsi="Aptos" w:cs="Aptos"/>
          <w:lang w:val="fr-FR"/>
        </w:rPr>
        <w:t>élaboration de leurs septièmes rapports nationaux et la révision de leurs SPANB. L</w:t>
      </w:r>
      <w:r w:rsidR="002A58C8" w:rsidRPr="00653BF4">
        <w:rPr>
          <w:rFonts w:ascii="Aptos" w:eastAsia="Aptos" w:hAnsi="Aptos" w:cs="Aptos"/>
          <w:lang w:val="fr-FR"/>
        </w:rPr>
        <w:t>’</w:t>
      </w:r>
      <w:r w:rsidRPr="00653BF4">
        <w:rPr>
          <w:rFonts w:ascii="Aptos" w:eastAsia="Aptos" w:hAnsi="Aptos" w:cs="Aptos"/>
          <w:lang w:val="fr-FR"/>
        </w:rPr>
        <w:t>accessibilité de cet appui et le calendrier de son décaissement ont donc eu une incidence directe sur la capacité de certaines Parties à établir leurs rapports nationaux et à réviser leurs SPANB. Dans certains cas, notamment pour les petits États insulaires en développement des Caraïbes, les fonds ont été reçus vers la fin du cycle d</w:t>
      </w:r>
      <w:r w:rsidR="002A58C8" w:rsidRPr="00653BF4">
        <w:rPr>
          <w:rFonts w:ascii="Aptos" w:eastAsia="Aptos" w:hAnsi="Aptos" w:cs="Aptos"/>
          <w:lang w:val="fr-FR"/>
        </w:rPr>
        <w:t>’</w:t>
      </w:r>
      <w:r w:rsidRPr="00653BF4">
        <w:rPr>
          <w:rFonts w:ascii="Aptos" w:eastAsia="Aptos" w:hAnsi="Aptos" w:cs="Aptos"/>
          <w:lang w:val="fr-FR"/>
        </w:rPr>
        <w:t>établissement de rapports. Cela a pu limiter le temps disponible pour la participation recommandée aux processus consultatifs et participatifs liés à l</w:t>
      </w:r>
      <w:r w:rsidR="002A58C8" w:rsidRPr="00653BF4">
        <w:rPr>
          <w:rFonts w:ascii="Aptos" w:eastAsia="Aptos" w:hAnsi="Aptos" w:cs="Aptos"/>
          <w:lang w:val="fr-FR"/>
        </w:rPr>
        <w:t>’</w:t>
      </w:r>
      <w:r w:rsidRPr="00653BF4">
        <w:rPr>
          <w:rFonts w:ascii="Aptos" w:eastAsia="Aptos" w:hAnsi="Aptos" w:cs="Aptos"/>
          <w:lang w:val="fr-FR"/>
        </w:rPr>
        <w:t xml:space="preserve">établissement des rapports nationaux, y compris la concertation avec les autorités infranationales, les peuples autochtones </w:t>
      </w:r>
      <w:r w:rsidR="000B36B2" w:rsidRPr="00653BF4">
        <w:rPr>
          <w:rFonts w:ascii="Aptos" w:eastAsia="Aptos" w:hAnsi="Aptos" w:cs="Aptos"/>
          <w:lang w:val="fr-FR"/>
        </w:rPr>
        <w:t>et communautés</w:t>
      </w:r>
      <w:r w:rsidRPr="00653BF4">
        <w:rPr>
          <w:rFonts w:ascii="Aptos" w:eastAsia="Aptos" w:hAnsi="Aptos" w:cs="Aptos"/>
          <w:lang w:val="fr-FR"/>
        </w:rPr>
        <w:t xml:space="preserve"> locales, les femmes et d</w:t>
      </w:r>
      <w:r w:rsidR="002A58C8" w:rsidRPr="00653BF4">
        <w:rPr>
          <w:rFonts w:ascii="Aptos" w:eastAsia="Aptos" w:hAnsi="Aptos" w:cs="Aptos"/>
          <w:lang w:val="fr-FR"/>
        </w:rPr>
        <w:t>’</w:t>
      </w:r>
      <w:r w:rsidRPr="00653BF4">
        <w:rPr>
          <w:rFonts w:ascii="Aptos" w:eastAsia="Aptos" w:hAnsi="Aptos" w:cs="Aptos"/>
          <w:lang w:val="fr-FR"/>
        </w:rPr>
        <w:t>autres parties prenantes. Dans d</w:t>
      </w:r>
      <w:r w:rsidR="002A58C8" w:rsidRPr="00653BF4">
        <w:rPr>
          <w:rFonts w:ascii="Aptos" w:eastAsia="Aptos" w:hAnsi="Aptos" w:cs="Aptos"/>
          <w:lang w:val="fr-FR"/>
        </w:rPr>
        <w:t>’</w:t>
      </w:r>
      <w:r w:rsidRPr="00653BF4">
        <w:rPr>
          <w:rFonts w:ascii="Aptos" w:eastAsia="Aptos" w:hAnsi="Aptos" w:cs="Aptos"/>
          <w:lang w:val="fr-FR"/>
        </w:rPr>
        <w:t>autres cas, des retards liés au lancement des activités de projet ou à la mise en œuvre des projets ont été constatés, ce qui a pu avoir une incidence tant sur le rythme de soumission des rapports nationaux que sur leur contenu (</w:t>
      </w:r>
      <w:hyperlink r:id="rId39" w:history="1">
        <w:r w:rsidR="00711DD2" w:rsidRPr="00653BF4">
          <w:rPr>
            <w:rStyle w:val="Hyperlink"/>
            <w:rFonts w:ascii="Aptos" w:eastAsia="Aptos" w:hAnsi="Aptos" w:cs="Aptos"/>
            <w:lang w:val="fr-FR"/>
          </w:rPr>
          <w:t>CDB</w:t>
        </w:r>
        <w:r w:rsidRPr="00653BF4">
          <w:rPr>
            <w:rStyle w:val="Hyperlink"/>
            <w:rFonts w:ascii="Aptos" w:eastAsia="Aptos" w:hAnsi="Aptos" w:cs="Aptos"/>
            <w:lang w:val="fr-FR"/>
          </w:rPr>
          <w:t>/SBI/7/INF/13</w:t>
        </w:r>
      </w:hyperlink>
      <w:r w:rsidRPr="00653BF4">
        <w:rPr>
          <w:rFonts w:ascii="Aptos" w:eastAsia="Aptos" w:hAnsi="Aptos" w:cs="Aptos"/>
          <w:lang w:val="fr-FR"/>
        </w:rPr>
        <w:t>).</w:t>
      </w:r>
    </w:p>
    <w:p w14:paraId="171E40BC" w14:textId="5D0AC3C8" w:rsidR="00B06CBD" w:rsidRPr="00653BF4" w:rsidRDefault="00602F97" w:rsidP="003F246C">
      <w:pPr>
        <w:rPr>
          <w:lang w:val="fr-FR"/>
        </w:rPr>
      </w:pPr>
      <w:r w:rsidRPr="00653BF4">
        <w:rPr>
          <w:lang w:val="fr-FR"/>
        </w:rPr>
        <w:t>Outre l</w:t>
      </w:r>
      <w:r w:rsidR="002A58C8" w:rsidRPr="00653BF4">
        <w:rPr>
          <w:lang w:val="fr-FR"/>
        </w:rPr>
        <w:t>’</w:t>
      </w:r>
      <w:r w:rsidRPr="00653BF4">
        <w:rPr>
          <w:lang w:val="fr-FR"/>
        </w:rPr>
        <w:t>appui financier apporté par le biais du FEM, de nombreuses organisations ont apporté leur appui aux activités de développement des capacités et à l</w:t>
      </w:r>
      <w:r w:rsidR="002A58C8" w:rsidRPr="00653BF4">
        <w:rPr>
          <w:lang w:val="fr-FR"/>
        </w:rPr>
        <w:t>’</w:t>
      </w:r>
      <w:r w:rsidRPr="00653BF4">
        <w:rPr>
          <w:lang w:val="fr-FR"/>
        </w:rPr>
        <w:t xml:space="preserve">élaboration de lignes directrices relatives aux processus de révision des SPANB, à la mise en œuvre du cadre de suivi et à la préparation des rapports nationaux. Une série de dialogues régionaux et sous-régionaux, par exemple, a été organisée par le </w:t>
      </w:r>
      <w:r w:rsidR="002C36D5" w:rsidRPr="00653BF4">
        <w:rPr>
          <w:lang w:val="fr-FR"/>
        </w:rPr>
        <w:t>secrétariat</w:t>
      </w:r>
      <w:r w:rsidRPr="00653BF4">
        <w:rPr>
          <w:lang w:val="fr-FR"/>
        </w:rPr>
        <w:t xml:space="preserve"> et ses partenaires en 2024 et 2025 afin de soutenir ces processus (</w:t>
      </w:r>
      <w:hyperlink r:id="rId40" w:history="1">
        <w:r w:rsidR="00711DD2" w:rsidRPr="00653BF4">
          <w:rPr>
            <w:rStyle w:val="Hyperlink"/>
            <w:lang w:val="fr-FR"/>
          </w:rPr>
          <w:t>CDB</w:t>
        </w:r>
        <w:r w:rsidRPr="00653BF4">
          <w:rPr>
            <w:rStyle w:val="Hyperlink"/>
            <w:lang w:val="fr-FR"/>
          </w:rPr>
          <w:t>/SBI/6/INF/6</w:t>
        </w:r>
      </w:hyperlink>
      <w:r w:rsidRPr="00653BF4">
        <w:rPr>
          <w:lang w:val="fr-FR"/>
        </w:rPr>
        <w:t>). De plus, les Parties ont pu s</w:t>
      </w:r>
      <w:r w:rsidR="002A58C8" w:rsidRPr="00653BF4">
        <w:rPr>
          <w:lang w:val="fr-FR"/>
        </w:rPr>
        <w:t>’</w:t>
      </w:r>
      <w:r w:rsidRPr="00653BF4">
        <w:rPr>
          <w:lang w:val="fr-FR"/>
        </w:rPr>
        <w:t>appuyer sur d</w:t>
      </w:r>
      <w:r w:rsidR="002A58C8" w:rsidRPr="00653BF4">
        <w:rPr>
          <w:lang w:val="fr-FR"/>
        </w:rPr>
        <w:t>’</w:t>
      </w:r>
      <w:r w:rsidRPr="00653BF4">
        <w:rPr>
          <w:lang w:val="fr-FR"/>
        </w:rPr>
        <w:t xml:space="preserve">autres plateformes favorisant la mise en œuvre, notamment le </w:t>
      </w:r>
      <w:r w:rsidR="009310FF" w:rsidRPr="00653BF4">
        <w:rPr>
          <w:lang w:val="fr-FR"/>
        </w:rPr>
        <w:t>p</w:t>
      </w:r>
      <w:r w:rsidRPr="00653BF4">
        <w:rPr>
          <w:lang w:val="fr-FR"/>
        </w:rPr>
        <w:t xml:space="preserve">artenariat </w:t>
      </w:r>
      <w:r w:rsidR="00E34DC9">
        <w:rPr>
          <w:lang w:val="fr-FR"/>
        </w:rPr>
        <w:t>« </w:t>
      </w:r>
      <w:r w:rsidRPr="00653BF4">
        <w:rPr>
          <w:lang w:val="fr-FR"/>
        </w:rPr>
        <w:t>SPANB Accelerator</w:t>
      </w:r>
      <w:r w:rsidR="00E34DC9">
        <w:rPr>
          <w:lang w:val="fr-FR"/>
        </w:rPr>
        <w:t> »</w:t>
      </w:r>
      <w:r w:rsidRPr="00653BF4">
        <w:rPr>
          <w:lang w:val="fr-FR"/>
        </w:rPr>
        <w:t>, qui a apporté son appui à plus de 30 pays dans toutes les régions en leur fournissant une aide technique et financière pour la mise en œuvre</w:t>
      </w:r>
      <w:r w:rsidR="005F128B" w:rsidRPr="00653BF4">
        <w:rPr>
          <w:rStyle w:val="FootnoteReference"/>
          <w:lang w:val="fr-FR"/>
        </w:rPr>
        <w:footnoteReference w:id="9"/>
      </w:r>
      <w:r w:rsidRPr="00653BF4">
        <w:rPr>
          <w:lang w:val="fr-FR"/>
        </w:rPr>
        <w:t>.</w:t>
      </w:r>
      <w:r w:rsidR="00DF54FC" w:rsidRPr="00653BF4">
        <w:rPr>
          <w:lang w:val="fr-FR"/>
        </w:rPr>
        <w:t xml:space="preserve"> </w:t>
      </w:r>
      <w:r w:rsidR="00FD77F7" w:rsidRPr="00653BF4">
        <w:rPr>
          <w:lang w:val="fr-FR"/>
        </w:rPr>
        <w:t>Par ailleurs, le PNUE et le PNUD, dans le cadre des septième et huitième cycles de reconstitution du FEM, ont apporté leur appui à d</w:t>
      </w:r>
      <w:r w:rsidR="002A58C8" w:rsidRPr="00653BF4">
        <w:rPr>
          <w:lang w:val="fr-FR"/>
        </w:rPr>
        <w:t>’</w:t>
      </w:r>
      <w:r w:rsidR="00FD77F7" w:rsidRPr="00653BF4">
        <w:rPr>
          <w:lang w:val="fr-FR"/>
        </w:rPr>
        <w:t>autres processus liés aux SPANB et aux rapports nationaux.</w:t>
      </w:r>
    </w:p>
    <w:p w14:paraId="1838418F" w14:textId="77777777" w:rsidR="003F246C" w:rsidRPr="00653BF4" w:rsidRDefault="003F246C" w:rsidP="003F246C">
      <w:pPr>
        <w:rPr>
          <w:lang w:val="fr-FR"/>
        </w:rPr>
      </w:pPr>
    </w:p>
    <w:p w14:paraId="653F6994" w14:textId="4B666653" w:rsidR="00FA3E4F" w:rsidRPr="00653BF4" w:rsidRDefault="005D65B4" w:rsidP="00470B54">
      <w:pPr>
        <w:pStyle w:val="Heading3"/>
        <w:rPr>
          <w:lang w:val="fr-FR"/>
        </w:rPr>
      </w:pPr>
      <w:bookmarkStart w:id="54" w:name="_Toc242801226"/>
      <w:r w:rsidRPr="00653BF4">
        <w:rPr>
          <w:lang w:val="fr-FR"/>
        </w:rPr>
        <w:t>Lien entre les stratégies et plans d</w:t>
      </w:r>
      <w:r w:rsidR="002A58C8" w:rsidRPr="00653BF4">
        <w:rPr>
          <w:lang w:val="fr-FR"/>
        </w:rPr>
        <w:t>’</w:t>
      </w:r>
      <w:r w:rsidRPr="00653BF4">
        <w:rPr>
          <w:lang w:val="fr-FR"/>
        </w:rPr>
        <w:t>action nationaux pour la biodiversité, les cibles nationales et les rapports nationaux</w:t>
      </w:r>
      <w:bookmarkEnd w:id="54"/>
    </w:p>
    <w:p w14:paraId="660570B3" w14:textId="77777777" w:rsidR="00B06CBD" w:rsidRPr="00653BF4" w:rsidRDefault="00B06CBD" w:rsidP="00FA3E4F">
      <w:pPr>
        <w:rPr>
          <w:lang w:val="fr-FR"/>
        </w:rPr>
      </w:pPr>
    </w:p>
    <w:p w14:paraId="51217CB1" w14:textId="02F929A6" w:rsidR="0086364A" w:rsidRPr="00653BF4" w:rsidRDefault="00683002" w:rsidP="0086364A">
      <w:pPr>
        <w:rPr>
          <w:lang w:val="fr-FR"/>
        </w:rPr>
      </w:pPr>
      <w:r w:rsidRPr="00653BF4">
        <w:rPr>
          <w:lang w:val="fr-FR"/>
        </w:rPr>
        <w:t>Bien que les SPANB, les cibles nationales et les rapports nationaux constituent des mécanismes et des sources d</w:t>
      </w:r>
      <w:r w:rsidR="002A58C8" w:rsidRPr="00653BF4">
        <w:rPr>
          <w:lang w:val="fr-FR"/>
        </w:rPr>
        <w:t>’</w:t>
      </w:r>
      <w:r w:rsidRPr="00653BF4">
        <w:rPr>
          <w:lang w:val="fr-FR"/>
        </w:rPr>
        <w:t xml:space="preserve">information distincts, ils sont toutefois interdépendants. Les SPANB, révisés ou mis à jour conformément au Cadre, à ses objectifs et à ses cibles, constituent le principal vecteur de mise en œuvre, y compris pour la définition des cibles nationales. Les SPANB sont des documents stratégiques nationaux adaptés aux contextes </w:t>
      </w:r>
      <w:r w:rsidRPr="00653BF4">
        <w:rPr>
          <w:lang w:val="fr-FR"/>
        </w:rPr>
        <w:lastRenderedPageBreak/>
        <w:t>nationaux, alignés sur les cycles politiques nationaux et destinés à un public national. Leurs calendriers diffèrent souvent des échéances fixées à l</w:t>
      </w:r>
      <w:r w:rsidR="002A58C8" w:rsidRPr="00653BF4">
        <w:rPr>
          <w:lang w:val="fr-FR"/>
        </w:rPr>
        <w:t>’</w:t>
      </w:r>
      <w:r w:rsidRPr="00653BF4">
        <w:rPr>
          <w:lang w:val="fr-FR"/>
        </w:rPr>
        <w:t>horizon 2030 par le Cadre et de l</w:t>
      </w:r>
      <w:r w:rsidR="002A58C8" w:rsidRPr="00653BF4">
        <w:rPr>
          <w:lang w:val="fr-FR"/>
        </w:rPr>
        <w:t>’</w:t>
      </w:r>
      <w:r w:rsidRPr="00653BF4">
        <w:rPr>
          <w:lang w:val="fr-FR"/>
        </w:rPr>
        <w:t>horizon 2050 prévu pour les objectifs et la Vision, et s</w:t>
      </w:r>
      <w:r w:rsidR="002A58C8" w:rsidRPr="00653BF4">
        <w:rPr>
          <w:lang w:val="fr-FR"/>
        </w:rPr>
        <w:t>’</w:t>
      </w:r>
      <w:r w:rsidRPr="00653BF4">
        <w:rPr>
          <w:lang w:val="fr-FR"/>
        </w:rPr>
        <w:t>alignent souvent sur des instruments de politique nationale plus larges. Les cibles nationales représentent les buts que les Parties se sont fixés en vue de contribuer à la mise en œuvre du Cadre et constituent le lien entre les instruments de politique nationale et l</w:t>
      </w:r>
      <w:r w:rsidR="002A58C8" w:rsidRPr="00653BF4">
        <w:rPr>
          <w:lang w:val="fr-FR"/>
        </w:rPr>
        <w:t>’</w:t>
      </w:r>
      <w:r w:rsidRPr="00653BF4">
        <w:rPr>
          <w:lang w:val="fr-FR"/>
        </w:rPr>
        <w:t xml:space="preserve">engagement national relatif </w:t>
      </w:r>
      <w:r w:rsidR="0006470E" w:rsidRPr="00653BF4">
        <w:rPr>
          <w:lang w:val="fr-FR"/>
        </w:rPr>
        <w:t xml:space="preserve">à la portée </w:t>
      </w:r>
      <w:r w:rsidRPr="00653BF4">
        <w:rPr>
          <w:lang w:val="fr-FR"/>
        </w:rPr>
        <w:t>du Cadre et à ses cibles globales. Les rapports nationaux, qui constituent le principal instrument de suivi et d</w:t>
      </w:r>
      <w:r w:rsidR="002A58C8" w:rsidRPr="00653BF4">
        <w:rPr>
          <w:lang w:val="fr-FR"/>
        </w:rPr>
        <w:t>’</w:t>
      </w:r>
      <w:r w:rsidRPr="00653BF4">
        <w:rPr>
          <w:lang w:val="fr-FR"/>
        </w:rPr>
        <w:t>établissement de rapports sur la mise en œuvre de la Convention et du Cadre au niveau national, fournissent une évaluation des progrès réalisés dans la mise en œuvre du Cadre, y compris les progrès accomplis dans la mise en œuvre des SPANB et des cibles nationales, ainsi que les réussites et les défis rencontrés par les Parties lorsqu</w:t>
      </w:r>
      <w:r w:rsidR="002A58C8" w:rsidRPr="00653BF4">
        <w:rPr>
          <w:lang w:val="fr-FR"/>
        </w:rPr>
        <w:t>’</w:t>
      </w:r>
      <w:r w:rsidRPr="00653BF4">
        <w:rPr>
          <w:lang w:val="fr-FR"/>
        </w:rPr>
        <w:t>elles ont pris des mesures pour atteindre leurs cibles.</w:t>
      </w:r>
    </w:p>
    <w:p w14:paraId="47E3CDC1" w14:textId="7589D2BC" w:rsidR="00C535BD" w:rsidRPr="00653BF4" w:rsidRDefault="00C535BD" w:rsidP="00C535BD">
      <w:pPr>
        <w:rPr>
          <w:lang w:val="fr-FR"/>
        </w:rPr>
      </w:pPr>
      <w:r w:rsidRPr="00653BF4">
        <w:rPr>
          <w:lang w:val="fr-FR"/>
        </w:rPr>
        <w:t>En tant que documents d</w:t>
      </w:r>
      <w:r w:rsidR="002A58C8" w:rsidRPr="00653BF4">
        <w:rPr>
          <w:lang w:val="fr-FR"/>
        </w:rPr>
        <w:t>’</w:t>
      </w:r>
      <w:r w:rsidRPr="00653BF4">
        <w:rPr>
          <w:lang w:val="fr-FR"/>
        </w:rPr>
        <w:t>orientation, les SPANB ont un caractère transversal et couvrent l</w:t>
      </w:r>
      <w:r w:rsidR="002A58C8" w:rsidRPr="00653BF4">
        <w:rPr>
          <w:lang w:val="fr-FR"/>
        </w:rPr>
        <w:t>’</w:t>
      </w:r>
      <w:r w:rsidRPr="00653BF4">
        <w:rPr>
          <w:lang w:val="fr-FR"/>
        </w:rPr>
        <w:t>ensemble du processus de mise en œuvre. Dans le cadre de cet aperçu des contributions, une analyse de leur contenu est présentée dans la section suivante. L</w:t>
      </w:r>
      <w:r w:rsidR="002A58C8" w:rsidRPr="00653BF4">
        <w:rPr>
          <w:lang w:val="fr-FR"/>
        </w:rPr>
        <w:t>’</w:t>
      </w:r>
      <w:r w:rsidRPr="00653BF4">
        <w:rPr>
          <w:lang w:val="fr-FR"/>
        </w:rPr>
        <w:t xml:space="preserve">analyse des rapports nationaux est principalement examinée dans la </w:t>
      </w:r>
      <w:r w:rsidR="002878D7">
        <w:rPr>
          <w:lang w:val="fr-FR"/>
        </w:rPr>
        <w:t>section I</w:t>
      </w:r>
      <w:r w:rsidRPr="00653BF4">
        <w:rPr>
          <w:lang w:val="fr-FR"/>
        </w:rPr>
        <w:t xml:space="preserve">I.B, consacrée aux progrès collectifs accomplis dans la mise en œuvre de chacun des objectifs-cadres, et dans la </w:t>
      </w:r>
      <w:r w:rsidR="002878D7">
        <w:rPr>
          <w:lang w:val="fr-FR"/>
        </w:rPr>
        <w:t>section I</w:t>
      </w:r>
      <w:r w:rsidRPr="00653BF4">
        <w:rPr>
          <w:lang w:val="fr-FR"/>
        </w:rPr>
        <w:t>I.C, consacrée aux progrès collectifs accomplis dans la réalisation de chacun des buts fixés.</w:t>
      </w:r>
    </w:p>
    <w:p w14:paraId="37C70065" w14:textId="77777777" w:rsidR="00FA3E4F" w:rsidRPr="00653BF4" w:rsidRDefault="00FA3E4F" w:rsidP="00FA3E4F">
      <w:pPr>
        <w:rPr>
          <w:lang w:val="fr-FR"/>
        </w:rPr>
      </w:pPr>
    </w:p>
    <w:p w14:paraId="11E47D55" w14:textId="329C9DC8" w:rsidR="00FA3E4F" w:rsidRPr="00653BF4" w:rsidRDefault="00347330" w:rsidP="00FA3E4F">
      <w:pPr>
        <w:pStyle w:val="Heading3"/>
        <w:rPr>
          <w:lang w:val="fr-FR"/>
        </w:rPr>
      </w:pPr>
      <w:bookmarkStart w:id="55" w:name="_Toc235821045"/>
      <w:bookmarkStart w:id="56" w:name="_Toc239069190"/>
      <w:bookmarkStart w:id="57" w:name="_Toc242801227"/>
      <w:r w:rsidRPr="00653BF4">
        <w:rPr>
          <w:lang w:val="fr-FR"/>
        </w:rPr>
        <w:t>Aperçu des stratégies et plans d</w:t>
      </w:r>
      <w:r w:rsidR="002A58C8" w:rsidRPr="00653BF4">
        <w:rPr>
          <w:lang w:val="fr-FR"/>
        </w:rPr>
        <w:t>’</w:t>
      </w:r>
      <w:r w:rsidRPr="00653BF4">
        <w:rPr>
          <w:lang w:val="fr-FR"/>
        </w:rPr>
        <w:t xml:space="preserve">action nationaux pour la biodiversité </w:t>
      </w:r>
      <w:r w:rsidR="00FA3E4F" w:rsidRPr="00653BF4">
        <w:rPr>
          <w:vertAlign w:val="superscript"/>
          <w:lang w:val="fr-FR"/>
        </w:rPr>
        <w:footnoteReference w:id="10"/>
      </w:r>
      <w:bookmarkEnd w:id="55"/>
      <w:bookmarkEnd w:id="56"/>
      <w:bookmarkEnd w:id="57"/>
    </w:p>
    <w:p w14:paraId="15B1F65F" w14:textId="77777777" w:rsidR="004A530A" w:rsidRPr="00653BF4" w:rsidRDefault="004A530A" w:rsidP="004A530A">
      <w:pPr>
        <w:rPr>
          <w:lang w:val="fr-FR"/>
        </w:rPr>
      </w:pPr>
    </w:p>
    <w:p w14:paraId="3C42F0BA" w14:textId="26CC6DCE" w:rsidR="00640C88" w:rsidRPr="00653BF4" w:rsidRDefault="006F0E15" w:rsidP="00640C88">
      <w:pPr>
        <w:rPr>
          <w:lang w:val="fr-FR"/>
        </w:rPr>
      </w:pPr>
      <w:r w:rsidRPr="00653BF4">
        <w:rPr>
          <w:lang w:val="fr-FR"/>
        </w:rPr>
        <w:t>Les Parties disposant de dispositifs constitutionnels, juridiques, administratifs et fédéraux différents, les SPANB peuvent être mis en œuvre par le biais d</w:t>
      </w:r>
      <w:r w:rsidR="002A58C8" w:rsidRPr="00653BF4">
        <w:rPr>
          <w:lang w:val="fr-FR"/>
        </w:rPr>
        <w:t>’</w:t>
      </w:r>
      <w:r w:rsidRPr="00653BF4">
        <w:rPr>
          <w:lang w:val="fr-FR"/>
        </w:rPr>
        <w:t>une combinaison d</w:t>
      </w:r>
      <w:r w:rsidR="002A58C8" w:rsidRPr="00653BF4">
        <w:rPr>
          <w:lang w:val="fr-FR"/>
        </w:rPr>
        <w:t>’</w:t>
      </w:r>
      <w:r w:rsidRPr="00653BF4">
        <w:rPr>
          <w:lang w:val="fr-FR"/>
        </w:rPr>
        <w:t>instruments politiques, d</w:t>
      </w:r>
      <w:r w:rsidR="002A58C8" w:rsidRPr="00653BF4">
        <w:rPr>
          <w:lang w:val="fr-FR"/>
        </w:rPr>
        <w:t>’</w:t>
      </w:r>
      <w:r w:rsidRPr="00653BF4">
        <w:rPr>
          <w:lang w:val="fr-FR"/>
        </w:rPr>
        <w:t>actes exécutifs, de plans sectoriels, de programmes budgétaires, de stratégies infranationales et de cadres juridiques existants. Compte tenu de la portée de la mission qui est celle du rapport mondial et du caractère limité des sources disponibles, l</w:t>
      </w:r>
      <w:r w:rsidR="002A58C8" w:rsidRPr="00653BF4">
        <w:rPr>
          <w:lang w:val="fr-FR"/>
        </w:rPr>
        <w:t>’</w:t>
      </w:r>
      <w:r w:rsidRPr="00653BF4">
        <w:rPr>
          <w:lang w:val="fr-FR"/>
        </w:rPr>
        <w:t>analyse ci-dessous se concentre sur les informations contenues dans les SPANB eux-mêmes. Pour mieux comprendre l</w:t>
      </w:r>
      <w:r w:rsidR="002A58C8" w:rsidRPr="00653BF4">
        <w:rPr>
          <w:lang w:val="fr-FR"/>
        </w:rPr>
        <w:t>’</w:t>
      </w:r>
      <w:r w:rsidRPr="00653BF4">
        <w:rPr>
          <w:lang w:val="fr-FR"/>
        </w:rPr>
        <w:t xml:space="preserve">approche adoptée par une Partie donnée en matière de mise en œuvre de la Convention, il convient de prendre en compte le contexte politique plus large dans lequel </w:t>
      </w:r>
      <w:r w:rsidR="00FA43A1" w:rsidRPr="00653BF4">
        <w:rPr>
          <w:lang w:val="fr-FR"/>
        </w:rPr>
        <w:t>ses</w:t>
      </w:r>
      <w:r w:rsidRPr="00653BF4">
        <w:rPr>
          <w:lang w:val="fr-FR"/>
        </w:rPr>
        <w:t xml:space="preserve"> SPANB </w:t>
      </w:r>
      <w:r w:rsidR="00952B4C" w:rsidRPr="00653BF4">
        <w:rPr>
          <w:lang w:val="fr-FR"/>
        </w:rPr>
        <w:t>sont</w:t>
      </w:r>
      <w:r w:rsidRPr="00653BF4">
        <w:rPr>
          <w:lang w:val="fr-FR"/>
        </w:rPr>
        <w:t xml:space="preserve"> mis</w:t>
      </w:r>
      <w:r w:rsidR="00952B4C" w:rsidRPr="00653BF4">
        <w:rPr>
          <w:lang w:val="fr-FR"/>
        </w:rPr>
        <w:t xml:space="preserve"> </w:t>
      </w:r>
      <w:r w:rsidRPr="00653BF4">
        <w:rPr>
          <w:lang w:val="fr-FR"/>
        </w:rPr>
        <w:t>en œuvre.</w:t>
      </w:r>
    </w:p>
    <w:p w14:paraId="0A64D39B" w14:textId="749BE70A" w:rsidR="002A7D10" w:rsidRPr="00653BF4" w:rsidRDefault="00A715D7" w:rsidP="002A7D10">
      <w:pPr>
        <w:rPr>
          <w:lang w:val="fr-FR"/>
        </w:rPr>
      </w:pPr>
      <w:r w:rsidRPr="00653BF4">
        <w:rPr>
          <w:lang w:val="fr-FR"/>
        </w:rPr>
        <w:t>Environ un tiers des SPANB ont été adoptés à un niveau politique élevé, par exemple par un gouvernement, un parlement ou un chef d</w:t>
      </w:r>
      <w:r w:rsidR="002A58C8" w:rsidRPr="00653BF4">
        <w:rPr>
          <w:lang w:val="fr-FR"/>
        </w:rPr>
        <w:t>’</w:t>
      </w:r>
      <w:r w:rsidRPr="00653BF4">
        <w:rPr>
          <w:lang w:val="fr-FR"/>
        </w:rPr>
        <w:t xml:space="preserve">État, ce qui témoigne des efforts visant à </w:t>
      </w:r>
      <w:r w:rsidRPr="00653BF4">
        <w:rPr>
          <w:lang w:val="fr-FR"/>
        </w:rPr>
        <w:lastRenderedPageBreak/>
        <w:t>intégrer la biodiversité dans l</w:t>
      </w:r>
      <w:r w:rsidR="002A58C8" w:rsidRPr="00653BF4">
        <w:rPr>
          <w:lang w:val="fr-FR"/>
        </w:rPr>
        <w:t>’</w:t>
      </w:r>
      <w:r w:rsidRPr="00653BF4">
        <w:rPr>
          <w:lang w:val="fr-FR"/>
        </w:rPr>
        <w:t>ensemble des secteurs gouvernementaux, ou à travers une approche pangouvernementale. Si environ la moitié des SPANB ont été adoptés en tant qu</w:t>
      </w:r>
      <w:r w:rsidR="002A58C8" w:rsidRPr="00653BF4">
        <w:rPr>
          <w:lang w:val="fr-FR"/>
        </w:rPr>
        <w:t>’</w:t>
      </w:r>
      <w:r w:rsidRPr="00653BF4">
        <w:rPr>
          <w:lang w:val="fr-FR"/>
        </w:rPr>
        <w:t>instruments politiques officiels, de nombreuses autres ne disposent pas d</w:t>
      </w:r>
      <w:r w:rsidR="002A58C8" w:rsidRPr="00653BF4">
        <w:rPr>
          <w:lang w:val="fr-FR"/>
        </w:rPr>
        <w:t>’</w:t>
      </w:r>
      <w:r w:rsidRPr="00653BF4">
        <w:rPr>
          <w:lang w:val="fr-FR"/>
        </w:rPr>
        <w:t>informations suffisantes pour permettre de déterminer leur statut. Bien que les approches pangouvernementales soient encouragées et qu</w:t>
      </w:r>
      <w:r w:rsidR="002A58C8" w:rsidRPr="00653BF4">
        <w:rPr>
          <w:lang w:val="fr-FR"/>
        </w:rPr>
        <w:t>’</w:t>
      </w:r>
      <w:r w:rsidRPr="00653BF4">
        <w:rPr>
          <w:lang w:val="fr-FR"/>
        </w:rPr>
        <w:t>une proportion importante de Parties consultent et associent un large éventail de ministères autres que celui chargé de l</w:t>
      </w:r>
      <w:r w:rsidR="002A58C8" w:rsidRPr="00653BF4">
        <w:rPr>
          <w:lang w:val="fr-FR"/>
        </w:rPr>
        <w:t>’</w:t>
      </w:r>
      <w:r w:rsidRPr="00653BF4">
        <w:rPr>
          <w:lang w:val="fr-FR"/>
        </w:rPr>
        <w:t>environnement, l</w:t>
      </w:r>
      <w:r w:rsidR="002A58C8" w:rsidRPr="00653BF4">
        <w:rPr>
          <w:lang w:val="fr-FR"/>
        </w:rPr>
        <w:t>’</w:t>
      </w:r>
      <w:r w:rsidRPr="00653BF4">
        <w:rPr>
          <w:lang w:val="fr-FR"/>
        </w:rPr>
        <w:t>impact réel de ces efforts sur l</w:t>
      </w:r>
      <w:r w:rsidR="002A58C8" w:rsidRPr="00653BF4">
        <w:rPr>
          <w:lang w:val="fr-FR"/>
        </w:rPr>
        <w:t>’</w:t>
      </w:r>
      <w:r w:rsidRPr="00653BF4">
        <w:rPr>
          <w:lang w:val="fr-FR"/>
        </w:rPr>
        <w:t>intégration de la biodiversité dans les actions menées dans l</w:t>
      </w:r>
      <w:r w:rsidR="002A58C8" w:rsidRPr="00653BF4">
        <w:rPr>
          <w:lang w:val="fr-FR"/>
        </w:rPr>
        <w:t>’</w:t>
      </w:r>
      <w:r w:rsidRPr="00653BF4">
        <w:rPr>
          <w:lang w:val="fr-FR"/>
        </w:rPr>
        <w:t>ensemble des secteurs reste incertain.</w:t>
      </w:r>
    </w:p>
    <w:p w14:paraId="59175670" w14:textId="2454048C" w:rsidR="00E65380" w:rsidRPr="00653BF4" w:rsidRDefault="0051117B" w:rsidP="00E65380">
      <w:pPr>
        <w:rPr>
          <w:lang w:val="fr-FR"/>
        </w:rPr>
      </w:pPr>
      <w:r w:rsidRPr="00653BF4">
        <w:rPr>
          <w:lang w:val="fr-FR"/>
        </w:rPr>
        <w:t>De nombreu</w:t>
      </w:r>
      <w:r w:rsidR="00952B4C" w:rsidRPr="00653BF4">
        <w:rPr>
          <w:lang w:val="fr-FR"/>
        </w:rPr>
        <w:t>x</w:t>
      </w:r>
      <w:r w:rsidRPr="00653BF4">
        <w:rPr>
          <w:lang w:val="fr-FR"/>
        </w:rPr>
        <w:t xml:space="preserve"> SPANB ont été élaborés dans le cadre de processus consultatifs. Environ la moitié des Parties indiquent disposer de mécanismes de coordination formels, tels que des comités interministériels ou des instances multipartites, tandis que certaines Parties mettent en place de nouveaux mécanismes afin de renforcer la coordination entre les secteurs et les différents niveaux de gouvernement. La portée de ces structures varie, allant d</w:t>
      </w:r>
      <w:r w:rsidR="002A58C8" w:rsidRPr="00653BF4">
        <w:rPr>
          <w:lang w:val="fr-FR"/>
        </w:rPr>
        <w:t>’</w:t>
      </w:r>
      <w:r w:rsidRPr="00653BF4">
        <w:rPr>
          <w:lang w:val="fr-FR"/>
        </w:rPr>
        <w:t>instances se consacrant exclusivement à l</w:t>
      </w:r>
      <w:r w:rsidR="002A58C8" w:rsidRPr="00653BF4">
        <w:rPr>
          <w:lang w:val="fr-FR"/>
        </w:rPr>
        <w:t>’</w:t>
      </w:r>
      <w:r w:rsidRPr="00653BF4">
        <w:rPr>
          <w:lang w:val="fr-FR"/>
        </w:rPr>
        <w:t>élaboration des SPANB à celles chargées de superviser la mise en œuvre, le suivi et l</w:t>
      </w:r>
      <w:r w:rsidR="002A58C8" w:rsidRPr="00653BF4">
        <w:rPr>
          <w:lang w:val="fr-FR"/>
        </w:rPr>
        <w:t>’</w:t>
      </w:r>
      <w:r w:rsidRPr="00653BF4">
        <w:rPr>
          <w:lang w:val="fr-FR"/>
        </w:rPr>
        <w:t>établissement de rapports relatifs au Cadre. En l</w:t>
      </w:r>
      <w:r w:rsidR="002A58C8" w:rsidRPr="00653BF4">
        <w:rPr>
          <w:lang w:val="fr-FR"/>
        </w:rPr>
        <w:t>’</w:t>
      </w:r>
      <w:r w:rsidRPr="00653BF4">
        <w:rPr>
          <w:lang w:val="fr-FR"/>
        </w:rPr>
        <w:t>absence de mécanismes formels, la responsabilité est souvent confiée à des institutions gouvernementales spécifiques. Dans l</w:t>
      </w:r>
      <w:r w:rsidR="002A58C8" w:rsidRPr="00653BF4">
        <w:rPr>
          <w:lang w:val="fr-FR"/>
        </w:rPr>
        <w:t>’</w:t>
      </w:r>
      <w:r w:rsidRPr="00653BF4">
        <w:rPr>
          <w:lang w:val="fr-FR"/>
        </w:rPr>
        <w:t>ensemble, bien que les cadres de coordination s</w:t>
      </w:r>
      <w:r w:rsidR="002A58C8" w:rsidRPr="00653BF4">
        <w:rPr>
          <w:lang w:val="fr-FR"/>
        </w:rPr>
        <w:t>’</w:t>
      </w:r>
      <w:r w:rsidRPr="00653BF4">
        <w:rPr>
          <w:lang w:val="fr-FR"/>
        </w:rPr>
        <w:t>améliorent, leur pérennité tout au long du cycle politique et leur efficacité restent inégales.</w:t>
      </w:r>
    </w:p>
    <w:p w14:paraId="5C2DAF57" w14:textId="2895491C" w:rsidR="00CA42C2" w:rsidRPr="00653BF4" w:rsidRDefault="00FE41A2" w:rsidP="00CA42C2">
      <w:pPr>
        <w:rPr>
          <w:lang w:val="fr-FR"/>
        </w:rPr>
      </w:pPr>
      <w:r w:rsidRPr="00653BF4">
        <w:rPr>
          <w:lang w:val="fr-FR"/>
        </w:rPr>
        <w:t>Bien que l</w:t>
      </w:r>
      <w:r w:rsidR="003D07AB" w:rsidRPr="00653BF4">
        <w:rPr>
          <w:lang w:val="fr-FR"/>
        </w:rPr>
        <w:t xml:space="preserve">es trois quarts des SPANB </w:t>
      </w:r>
      <w:r w:rsidRPr="00653BF4">
        <w:rPr>
          <w:lang w:val="fr-FR"/>
        </w:rPr>
        <w:t>fassent</w:t>
      </w:r>
      <w:r w:rsidR="003D07AB" w:rsidRPr="00653BF4">
        <w:rPr>
          <w:lang w:val="fr-FR"/>
        </w:rPr>
        <w:t xml:space="preserve"> état de la participation d</w:t>
      </w:r>
      <w:r w:rsidR="002A58C8" w:rsidRPr="00653BF4">
        <w:rPr>
          <w:lang w:val="fr-FR"/>
        </w:rPr>
        <w:t>’</w:t>
      </w:r>
      <w:r w:rsidR="003D07AB" w:rsidRPr="00653BF4">
        <w:rPr>
          <w:lang w:val="fr-FR"/>
        </w:rPr>
        <w:t>un large éventail d</w:t>
      </w:r>
      <w:r w:rsidR="002A58C8" w:rsidRPr="00653BF4">
        <w:rPr>
          <w:lang w:val="fr-FR"/>
        </w:rPr>
        <w:t>’</w:t>
      </w:r>
      <w:r w:rsidR="003D07AB" w:rsidRPr="00653BF4">
        <w:rPr>
          <w:lang w:val="fr-FR"/>
        </w:rPr>
        <w:t xml:space="preserve">acteurs, </w:t>
      </w:r>
      <w:r w:rsidR="00061267" w:rsidRPr="00653BF4">
        <w:rPr>
          <w:lang w:val="fr-FR"/>
        </w:rPr>
        <w:t xml:space="preserve">leur </w:t>
      </w:r>
      <w:r w:rsidR="003D07AB" w:rsidRPr="00653BF4">
        <w:rPr>
          <w:lang w:val="fr-FR"/>
        </w:rPr>
        <w:t>degré d</w:t>
      </w:r>
      <w:r w:rsidR="002A58C8" w:rsidRPr="00653BF4">
        <w:rPr>
          <w:lang w:val="fr-FR"/>
        </w:rPr>
        <w:t>’</w:t>
      </w:r>
      <w:r w:rsidR="003D07AB" w:rsidRPr="00653BF4">
        <w:rPr>
          <w:lang w:val="fr-FR"/>
        </w:rPr>
        <w:t xml:space="preserve">implication et </w:t>
      </w:r>
      <w:r w:rsidR="00F8475E" w:rsidRPr="00653BF4">
        <w:rPr>
          <w:lang w:val="fr-FR"/>
        </w:rPr>
        <w:t>l</w:t>
      </w:r>
      <w:r w:rsidR="002A58C8" w:rsidRPr="00653BF4">
        <w:rPr>
          <w:lang w:val="fr-FR"/>
        </w:rPr>
        <w:t>’</w:t>
      </w:r>
      <w:r w:rsidR="00F8475E" w:rsidRPr="00653BF4">
        <w:rPr>
          <w:lang w:val="fr-FR"/>
        </w:rPr>
        <w:t>inclusivité</w:t>
      </w:r>
      <w:r w:rsidR="00061267" w:rsidRPr="00653BF4">
        <w:rPr>
          <w:lang w:val="fr-FR"/>
        </w:rPr>
        <w:t xml:space="preserve"> du processus</w:t>
      </w:r>
      <w:r w:rsidR="00B5101B" w:rsidRPr="00653BF4">
        <w:rPr>
          <w:lang w:val="fr-FR"/>
        </w:rPr>
        <w:t xml:space="preserve"> varient</w:t>
      </w:r>
      <w:r w:rsidR="003D07AB" w:rsidRPr="00653BF4">
        <w:rPr>
          <w:lang w:val="fr-FR"/>
        </w:rPr>
        <w:t xml:space="preserve">. </w:t>
      </w:r>
      <w:r w:rsidR="00B5101B" w:rsidRPr="00653BF4">
        <w:rPr>
          <w:lang w:val="fr-FR"/>
        </w:rPr>
        <w:t xml:space="preserve">Si </w:t>
      </w:r>
      <w:r w:rsidR="003D07AB" w:rsidRPr="00653BF4">
        <w:rPr>
          <w:lang w:val="fr-FR"/>
        </w:rPr>
        <w:t>les membres d</w:t>
      </w:r>
      <w:r w:rsidR="002A58C8" w:rsidRPr="00653BF4">
        <w:rPr>
          <w:lang w:val="fr-FR"/>
        </w:rPr>
        <w:t>’</w:t>
      </w:r>
      <w:r w:rsidR="003D07AB" w:rsidRPr="00653BF4">
        <w:rPr>
          <w:lang w:val="fr-FR"/>
        </w:rPr>
        <w:t xml:space="preserve">organisations non gouvernementales et des ministères soient souvent consultés, </w:t>
      </w:r>
      <w:r w:rsidR="006F3FB6" w:rsidRPr="00653BF4">
        <w:rPr>
          <w:lang w:val="fr-FR"/>
        </w:rPr>
        <w:t xml:space="preserve">ont une place </w:t>
      </w:r>
      <w:r w:rsidR="003D07AB" w:rsidRPr="00653BF4">
        <w:rPr>
          <w:lang w:val="fr-FR"/>
        </w:rPr>
        <w:t>au sein de comités liés aux SPANB</w:t>
      </w:r>
      <w:r w:rsidR="002F4CD3" w:rsidRPr="00653BF4">
        <w:rPr>
          <w:lang w:val="fr-FR"/>
        </w:rPr>
        <w:t>,</w:t>
      </w:r>
      <w:r w:rsidR="003D07AB" w:rsidRPr="00653BF4">
        <w:rPr>
          <w:lang w:val="fr-FR"/>
        </w:rPr>
        <w:t xml:space="preserve"> ou participent à leur mise en œuvre, les peuples autochtones et communautés locales, les jeunes, les organisations de femmes et le grand public </w:t>
      </w:r>
      <w:r w:rsidR="00EE16CD" w:rsidRPr="00653BF4">
        <w:rPr>
          <w:lang w:val="fr-FR"/>
        </w:rPr>
        <w:t>sont moins représentés</w:t>
      </w:r>
      <w:r w:rsidR="003D07AB" w:rsidRPr="00653BF4">
        <w:rPr>
          <w:lang w:val="fr-FR"/>
        </w:rPr>
        <w:t>.</w:t>
      </w:r>
    </w:p>
    <w:p w14:paraId="4080B53F" w14:textId="54F7D4B0" w:rsidR="00F215B1" w:rsidRPr="00653BF4" w:rsidRDefault="004B5237" w:rsidP="00F215B1">
      <w:pPr>
        <w:rPr>
          <w:lang w:val="fr-FR"/>
        </w:rPr>
      </w:pPr>
      <w:r w:rsidRPr="00653BF4">
        <w:rPr>
          <w:lang w:val="fr-FR"/>
        </w:rPr>
        <w:t>La plupart des SPANB comprennent des mesures, des politiques et des programmes concrets visant à atteindre les cibles nationales, qui sont souvent présentés comme constituant des plans d</w:t>
      </w:r>
      <w:r w:rsidR="002A58C8" w:rsidRPr="00653BF4">
        <w:rPr>
          <w:lang w:val="fr-FR"/>
        </w:rPr>
        <w:t>’</w:t>
      </w:r>
      <w:r w:rsidRPr="00653BF4">
        <w:rPr>
          <w:lang w:val="fr-FR"/>
        </w:rPr>
        <w:t>action structurés, assortis de calendriers et désignant les acteurs responsables. Cependant, l</w:t>
      </w:r>
      <w:r w:rsidR="002A58C8" w:rsidRPr="00653BF4">
        <w:rPr>
          <w:lang w:val="fr-FR"/>
        </w:rPr>
        <w:t>’</w:t>
      </w:r>
      <w:r w:rsidRPr="00653BF4">
        <w:rPr>
          <w:lang w:val="fr-FR"/>
        </w:rPr>
        <w:t xml:space="preserve">intégration des détails spatiaux et financiers est variable, les aspects temporels étant plus souvent abordés que les dimensions financières ou géographiques. Le financement de la biodiversité est reconnu comme un facteur clé, mais seule la moitié environ des SPANB </w:t>
      </w:r>
      <w:r w:rsidR="00340016" w:rsidRPr="00653BF4">
        <w:rPr>
          <w:lang w:val="fr-FR"/>
        </w:rPr>
        <w:t>comprennent</w:t>
      </w:r>
      <w:r w:rsidRPr="00653BF4">
        <w:rPr>
          <w:lang w:val="fr-FR"/>
        </w:rPr>
        <w:t xml:space="preserve"> des éléments de financement, et encore moins fournissent une estimation détaillée des coûts, des stratégies de financement ou des analyses des déficits financiers, ce qui témoigne des difficultés persistantes à traduire les objectifs en matière de biodiversité en programmes réalisables, finançables ou financés.</w:t>
      </w:r>
    </w:p>
    <w:p w14:paraId="37210CC7" w14:textId="6BCBE2FE" w:rsidR="004D1729" w:rsidRPr="00653BF4" w:rsidRDefault="00F72F1D" w:rsidP="00FA3E4F">
      <w:pPr>
        <w:rPr>
          <w:lang w:val="fr-FR"/>
        </w:rPr>
      </w:pPr>
      <w:r w:rsidRPr="00653BF4">
        <w:rPr>
          <w:lang w:val="fr-FR"/>
        </w:rPr>
        <w:lastRenderedPageBreak/>
        <w:t>La plupart des SPANB comportent des cadres de suivi. Ceux-ci présentent souvent des informations sur les processus d</w:t>
      </w:r>
      <w:r w:rsidR="002A58C8" w:rsidRPr="00653BF4">
        <w:rPr>
          <w:lang w:val="fr-FR"/>
        </w:rPr>
        <w:t>’</w:t>
      </w:r>
      <w:r w:rsidRPr="00653BF4">
        <w:rPr>
          <w:lang w:val="fr-FR"/>
        </w:rPr>
        <w:t>établissement de rapports, les responsabilités institutionnelles et les systèmes de données. On dispose toutefois de peu d</w:t>
      </w:r>
      <w:r w:rsidR="002A58C8" w:rsidRPr="00653BF4">
        <w:rPr>
          <w:lang w:val="fr-FR"/>
        </w:rPr>
        <w:t>’</w:t>
      </w:r>
      <w:r w:rsidRPr="00653BF4">
        <w:rPr>
          <w:lang w:val="fr-FR"/>
        </w:rPr>
        <w:t>informations sur les systèmes de suivi ou les indicateurs qui seront utilisés pour le suivi de la mise en œuvre des cibles nationales, ainsi que sur la manière dont ces indicateurs s</w:t>
      </w:r>
      <w:r w:rsidR="002A58C8" w:rsidRPr="00653BF4">
        <w:rPr>
          <w:lang w:val="fr-FR"/>
        </w:rPr>
        <w:t>’</w:t>
      </w:r>
      <w:r w:rsidRPr="00653BF4">
        <w:rPr>
          <w:lang w:val="fr-FR"/>
        </w:rPr>
        <w:t>alignent sur ceux du cadre de suivi (</w:t>
      </w:r>
      <w:r w:rsidR="009059C9" w:rsidRPr="00653BF4">
        <w:rPr>
          <w:lang w:val="fr-FR"/>
        </w:rPr>
        <w:t xml:space="preserve">voir </w:t>
      </w:r>
      <w:r w:rsidR="00CA2E35" w:rsidRPr="00653BF4">
        <w:rPr>
          <w:lang w:val="fr-FR"/>
        </w:rPr>
        <w:t>l’encadré 1</w:t>
      </w:r>
      <w:r w:rsidRPr="00653BF4">
        <w:rPr>
          <w:lang w:val="fr-FR"/>
        </w:rPr>
        <w:t>).</w:t>
      </w:r>
    </w:p>
    <w:p w14:paraId="781D3828" w14:textId="1BA67B6D" w:rsidR="00FE4E97" w:rsidRPr="00653BF4" w:rsidRDefault="00D94C7D" w:rsidP="00FE4E97">
      <w:pPr>
        <w:rPr>
          <w:lang w:val="fr-FR"/>
        </w:rPr>
      </w:pPr>
      <w:r w:rsidRPr="00653BF4">
        <w:rPr>
          <w:lang w:val="fr-FR"/>
        </w:rPr>
        <w:t xml:space="preserve">La quasi-totalité des SPANB </w:t>
      </w:r>
      <w:r w:rsidR="002A28D6" w:rsidRPr="00653BF4">
        <w:rPr>
          <w:lang w:val="fr-FR"/>
        </w:rPr>
        <w:t>fait</w:t>
      </w:r>
      <w:r w:rsidRPr="00653BF4">
        <w:rPr>
          <w:lang w:val="fr-FR"/>
        </w:rPr>
        <w:t xml:space="preserve"> référence à des activités liées à la </w:t>
      </w:r>
      <w:r w:rsidR="00E82CA2" w:rsidRPr="00653BF4">
        <w:rPr>
          <w:lang w:val="fr-FR"/>
        </w:rPr>
        <w:t>c</w:t>
      </w:r>
      <w:r w:rsidRPr="00653BF4">
        <w:rPr>
          <w:lang w:val="fr-FR"/>
        </w:rPr>
        <w:t>ommunication, à l</w:t>
      </w:r>
      <w:r w:rsidR="002A58C8" w:rsidRPr="00653BF4">
        <w:rPr>
          <w:lang w:val="fr-FR"/>
        </w:rPr>
        <w:t>’</w:t>
      </w:r>
      <w:r w:rsidR="00E82CA2" w:rsidRPr="00653BF4">
        <w:rPr>
          <w:lang w:val="fr-FR"/>
        </w:rPr>
        <w:t>é</w:t>
      </w:r>
      <w:r w:rsidRPr="00653BF4">
        <w:rPr>
          <w:lang w:val="fr-FR"/>
        </w:rPr>
        <w:t xml:space="preserve">ducation et à la </w:t>
      </w:r>
      <w:r w:rsidR="00E82CA2" w:rsidRPr="00653BF4">
        <w:rPr>
          <w:lang w:val="fr-FR"/>
        </w:rPr>
        <w:t>s</w:t>
      </w:r>
      <w:r w:rsidRPr="00653BF4">
        <w:rPr>
          <w:lang w:val="fr-FR"/>
        </w:rPr>
        <w:t xml:space="preserve">ensibilisation du </w:t>
      </w:r>
      <w:r w:rsidR="00E82CA2" w:rsidRPr="00653BF4">
        <w:rPr>
          <w:lang w:val="fr-FR"/>
        </w:rPr>
        <w:t>p</w:t>
      </w:r>
      <w:r w:rsidRPr="00653BF4">
        <w:rPr>
          <w:lang w:val="fr-FR"/>
        </w:rPr>
        <w:t>ublic, et certaines mentionnent des stratégies de communication formelles.</w:t>
      </w:r>
    </w:p>
    <w:p w14:paraId="1D9A9442" w14:textId="7C471E88" w:rsidR="00983AD1" w:rsidRPr="00653BF4" w:rsidRDefault="00557814" w:rsidP="00983AD1">
      <w:pPr>
        <w:rPr>
          <w:lang w:val="fr-FR"/>
        </w:rPr>
      </w:pPr>
      <w:r w:rsidRPr="00653BF4">
        <w:rPr>
          <w:lang w:val="fr-FR"/>
        </w:rPr>
        <w:t>Seule une faible proportion des SPANB fait explicitement référence à l</w:t>
      </w:r>
      <w:r w:rsidR="002A58C8" w:rsidRPr="00653BF4">
        <w:rPr>
          <w:lang w:val="fr-FR"/>
        </w:rPr>
        <w:t>’</w:t>
      </w:r>
      <w:r w:rsidRPr="00653BF4">
        <w:rPr>
          <w:lang w:val="fr-FR"/>
        </w:rPr>
        <w:t>intégration de la biodiversité dans les plans et stratégies nationaux de développement que certains gouvernements utilisent pour définir les objectifs socio-économiques et environnementaux à long ou moyen terme de leur pays. Les liens avec les stratégies d</w:t>
      </w:r>
      <w:r w:rsidR="002A58C8" w:rsidRPr="00653BF4">
        <w:rPr>
          <w:lang w:val="fr-FR"/>
        </w:rPr>
        <w:t>’</w:t>
      </w:r>
      <w:r w:rsidRPr="00653BF4">
        <w:rPr>
          <w:lang w:val="fr-FR"/>
        </w:rPr>
        <w:t>éradication de la pauvreté – ces plans multidimensionnels élaborés par certains pays pour lutter contre la pauvreté sous ses différentes formes – sont relativement rares, malgré des preuves bien établies de l</w:t>
      </w:r>
      <w:r w:rsidR="002A58C8" w:rsidRPr="00653BF4">
        <w:rPr>
          <w:lang w:val="fr-FR"/>
        </w:rPr>
        <w:t>’</w:t>
      </w:r>
      <w:r w:rsidRPr="00653BF4">
        <w:rPr>
          <w:lang w:val="fr-FR"/>
        </w:rPr>
        <w:t>importance de la biodiversité et des contributions de la nature aux populations pour fournir l</w:t>
      </w:r>
      <w:r w:rsidR="002A58C8" w:rsidRPr="00653BF4">
        <w:rPr>
          <w:lang w:val="fr-FR"/>
        </w:rPr>
        <w:t>’</w:t>
      </w:r>
      <w:r w:rsidRPr="00653BF4">
        <w:rPr>
          <w:lang w:val="fr-FR"/>
        </w:rPr>
        <w:t xml:space="preserve">appui nécessaire </w:t>
      </w:r>
      <w:r w:rsidR="00472DF5" w:rsidRPr="00653BF4">
        <w:rPr>
          <w:lang w:val="fr-FR"/>
        </w:rPr>
        <w:t>à leurs</w:t>
      </w:r>
      <w:r w:rsidRPr="00653BF4">
        <w:rPr>
          <w:lang w:val="fr-FR"/>
        </w:rPr>
        <w:t xml:space="preserve"> moyens de subsistance et </w:t>
      </w:r>
      <w:r w:rsidR="00472DF5" w:rsidRPr="00653BF4">
        <w:rPr>
          <w:lang w:val="fr-FR"/>
        </w:rPr>
        <w:t xml:space="preserve">à leur </w:t>
      </w:r>
      <w:r w:rsidRPr="00653BF4">
        <w:rPr>
          <w:lang w:val="fr-FR"/>
        </w:rPr>
        <w:t>bien-être (IPBES, 2019). La planification au niveau infranational occupe une place plus importante, de nombreu</w:t>
      </w:r>
      <w:r w:rsidR="00684826" w:rsidRPr="00653BF4">
        <w:rPr>
          <w:lang w:val="fr-FR"/>
        </w:rPr>
        <w:t>x</w:t>
      </w:r>
      <w:r w:rsidRPr="00653BF4">
        <w:rPr>
          <w:lang w:val="fr-FR"/>
        </w:rPr>
        <w:t xml:space="preserve"> SPANB intégrant des stratégies et des actions à l</w:t>
      </w:r>
      <w:r w:rsidR="002A58C8" w:rsidRPr="00653BF4">
        <w:rPr>
          <w:lang w:val="fr-FR"/>
        </w:rPr>
        <w:t>’</w:t>
      </w:r>
      <w:r w:rsidRPr="00653BF4">
        <w:rPr>
          <w:lang w:val="fr-FR"/>
        </w:rPr>
        <w:t>échelle locale, ce qui témoigne de l</w:t>
      </w:r>
      <w:r w:rsidR="002A58C8" w:rsidRPr="00653BF4">
        <w:rPr>
          <w:lang w:val="fr-FR"/>
        </w:rPr>
        <w:t>’</w:t>
      </w:r>
      <w:r w:rsidRPr="00653BF4">
        <w:rPr>
          <w:lang w:val="fr-FR"/>
        </w:rPr>
        <w:t>attention croissante portée à la mise en œuvre à différents niveaux de gouvernance.</w:t>
      </w:r>
    </w:p>
    <w:p w14:paraId="71693CEB" w14:textId="33AFFF01" w:rsidR="00B63A6E" w:rsidRPr="00653BF4" w:rsidRDefault="00C81BAF">
      <w:pPr>
        <w:rPr>
          <w:rFonts w:ascii="Aptos" w:eastAsia="Aptos" w:hAnsi="Aptos" w:cs="Aptos"/>
          <w:lang w:val="fr-FR"/>
        </w:rPr>
      </w:pPr>
      <w:r w:rsidRPr="00653BF4">
        <w:rPr>
          <w:rFonts w:ascii="Aptos" w:eastAsia="Aptos" w:hAnsi="Aptos" w:cs="Aptos"/>
          <w:lang w:val="fr-FR"/>
        </w:rPr>
        <w:t>Par rapport aux SPANB antérieur</w:t>
      </w:r>
      <w:r w:rsidR="00884A2E" w:rsidRPr="00653BF4">
        <w:rPr>
          <w:rFonts w:ascii="Aptos" w:eastAsia="Aptos" w:hAnsi="Aptos" w:cs="Aptos"/>
          <w:lang w:val="fr-FR"/>
        </w:rPr>
        <w:t>s</w:t>
      </w:r>
      <w:r w:rsidRPr="00653BF4">
        <w:rPr>
          <w:rFonts w:ascii="Aptos" w:eastAsia="Aptos" w:hAnsi="Aptos" w:cs="Aptos"/>
          <w:lang w:val="fr-FR"/>
        </w:rPr>
        <w:t>, un plus grand nombre de SPANB élaborés ou révisés à la suite de l</w:t>
      </w:r>
      <w:r w:rsidR="002A58C8" w:rsidRPr="00653BF4">
        <w:rPr>
          <w:rFonts w:ascii="Aptos" w:eastAsia="Aptos" w:hAnsi="Aptos" w:cs="Aptos"/>
          <w:lang w:val="fr-FR"/>
        </w:rPr>
        <w:t>’</w:t>
      </w:r>
      <w:r w:rsidRPr="00653BF4">
        <w:rPr>
          <w:rFonts w:ascii="Aptos" w:eastAsia="Aptos" w:hAnsi="Aptos" w:cs="Aptos"/>
          <w:lang w:val="fr-FR"/>
        </w:rPr>
        <w:t>adoption du Cadre contiennent des éléments relatifs à l</w:t>
      </w:r>
      <w:r w:rsidR="002A58C8" w:rsidRPr="00653BF4">
        <w:rPr>
          <w:rFonts w:ascii="Aptos" w:eastAsia="Aptos" w:hAnsi="Aptos" w:cs="Aptos"/>
          <w:lang w:val="fr-FR"/>
        </w:rPr>
        <w:t>’</w:t>
      </w:r>
      <w:r w:rsidRPr="00653BF4">
        <w:rPr>
          <w:rFonts w:ascii="Aptos" w:eastAsia="Aptos" w:hAnsi="Aptos" w:cs="Aptos"/>
          <w:lang w:val="fr-FR"/>
        </w:rPr>
        <w:t>intégration de ces questions, et plus de la moitié des Parties abordent des enjeux infranationaux ou municipaux dans leurs stratégies et plans. Toutefois, très peu de Parties ont intégré des stratégies de développement durable, des politiques climatiques ou des cadres de lutte contre la pauvreté dans leurs SPANB.</w:t>
      </w:r>
    </w:p>
    <w:p w14:paraId="2A279E5E" w14:textId="4DB7546B" w:rsidR="00B63A6E" w:rsidRPr="00653BF4" w:rsidRDefault="00833777">
      <w:pPr>
        <w:rPr>
          <w:rFonts w:ascii="Aptos" w:eastAsia="Aptos" w:hAnsi="Aptos" w:cs="Aptos"/>
          <w:lang w:val="fr-FR"/>
        </w:rPr>
      </w:pPr>
      <w:r w:rsidRPr="00653BF4">
        <w:rPr>
          <w:rFonts w:ascii="Aptos" w:eastAsia="Aptos" w:hAnsi="Aptos" w:cs="Aptos"/>
          <w:lang w:val="fr-FR"/>
        </w:rPr>
        <w:t>Le Protocole de Cartagena sur la prévention des risques biotechnologiques et le Protocole de Nagoya sur l</w:t>
      </w:r>
      <w:r w:rsidR="002A58C8" w:rsidRPr="00653BF4">
        <w:rPr>
          <w:rFonts w:ascii="Aptos" w:eastAsia="Aptos" w:hAnsi="Aptos" w:cs="Aptos"/>
          <w:lang w:val="fr-FR"/>
        </w:rPr>
        <w:t>’</w:t>
      </w:r>
      <w:r w:rsidRPr="00653BF4">
        <w:rPr>
          <w:rFonts w:ascii="Aptos" w:eastAsia="Aptos" w:hAnsi="Aptos" w:cs="Aptos"/>
          <w:lang w:val="fr-FR"/>
        </w:rPr>
        <w:t>accès aux ressources génétiques et le partage juste et équitable des avantages découlant de leur utilisation, tous deux relevant de la Convention, sont mentionnés dans la plupart des SPANB présentés. La plupart des SPANB contiennent des références à un accord multilatéral sur l</w:t>
      </w:r>
      <w:r w:rsidR="002A58C8" w:rsidRPr="00653BF4">
        <w:rPr>
          <w:rFonts w:ascii="Aptos" w:eastAsia="Aptos" w:hAnsi="Aptos" w:cs="Aptos"/>
          <w:lang w:val="fr-FR"/>
        </w:rPr>
        <w:t>’</w:t>
      </w:r>
      <w:r w:rsidRPr="00653BF4">
        <w:rPr>
          <w:rFonts w:ascii="Aptos" w:eastAsia="Aptos" w:hAnsi="Aptos" w:cs="Aptos"/>
          <w:lang w:val="fr-FR"/>
        </w:rPr>
        <w:t>environnement</w:t>
      </w:r>
      <w:r w:rsidR="00BF3FB7" w:rsidRPr="00653BF4">
        <w:rPr>
          <w:rFonts w:ascii="Aptos" w:eastAsia="Aptos" w:hAnsi="Aptos" w:cs="Aptos"/>
          <w:lang w:val="fr-FR"/>
        </w:rPr>
        <w:t xml:space="preserve"> au moins</w:t>
      </w:r>
      <w:r w:rsidRPr="00653BF4">
        <w:rPr>
          <w:rFonts w:ascii="Aptos" w:eastAsia="Aptos" w:hAnsi="Aptos" w:cs="Aptos"/>
          <w:lang w:val="fr-FR"/>
        </w:rPr>
        <w:t>, bien que nombre d</w:t>
      </w:r>
      <w:r w:rsidR="002A58C8" w:rsidRPr="00653BF4">
        <w:rPr>
          <w:rFonts w:ascii="Aptos" w:eastAsia="Aptos" w:hAnsi="Aptos" w:cs="Aptos"/>
          <w:lang w:val="fr-FR"/>
        </w:rPr>
        <w:t>’</w:t>
      </w:r>
      <w:r w:rsidRPr="00653BF4">
        <w:rPr>
          <w:rFonts w:ascii="Aptos" w:eastAsia="Aptos" w:hAnsi="Aptos" w:cs="Aptos"/>
          <w:lang w:val="fr-FR"/>
        </w:rPr>
        <w:t xml:space="preserve">entre </w:t>
      </w:r>
      <w:r w:rsidR="00FB156F" w:rsidRPr="00653BF4">
        <w:rPr>
          <w:rFonts w:ascii="Aptos" w:eastAsia="Aptos" w:hAnsi="Aptos" w:cs="Aptos"/>
          <w:lang w:val="fr-FR"/>
        </w:rPr>
        <w:t>eux</w:t>
      </w:r>
      <w:r w:rsidRPr="00653BF4">
        <w:rPr>
          <w:rFonts w:ascii="Aptos" w:eastAsia="Aptos" w:hAnsi="Aptos" w:cs="Aptos"/>
          <w:lang w:val="fr-FR"/>
        </w:rPr>
        <w:t xml:space="preserve"> ne précisent pas les mesures concrètes mises en œuvre pour assurer une mise en œuvre synergique. De plus amples informations sur les références faites dans les SPANB aux conventions relatives à la biodiversité et aux autres accords multilatéraux pertinents sur l</w:t>
      </w:r>
      <w:r w:rsidR="002A58C8" w:rsidRPr="00653BF4">
        <w:rPr>
          <w:rFonts w:ascii="Aptos" w:eastAsia="Aptos" w:hAnsi="Aptos" w:cs="Aptos"/>
          <w:lang w:val="fr-FR"/>
        </w:rPr>
        <w:t>’</w:t>
      </w:r>
      <w:r w:rsidRPr="00653BF4">
        <w:rPr>
          <w:rFonts w:ascii="Aptos" w:eastAsia="Aptos" w:hAnsi="Aptos" w:cs="Aptos"/>
          <w:lang w:val="fr-FR"/>
        </w:rPr>
        <w:t xml:space="preserve">environnement sont fournies à la </w:t>
      </w:r>
      <w:r w:rsidR="002878D7">
        <w:rPr>
          <w:rFonts w:ascii="Aptos" w:eastAsia="Aptos" w:hAnsi="Aptos" w:cs="Aptos"/>
          <w:lang w:val="fr-FR"/>
        </w:rPr>
        <w:t>section I</w:t>
      </w:r>
      <w:r w:rsidRPr="00653BF4">
        <w:rPr>
          <w:rFonts w:ascii="Aptos" w:eastAsia="Aptos" w:hAnsi="Aptos" w:cs="Aptos"/>
          <w:lang w:val="fr-FR"/>
        </w:rPr>
        <w:t>I.E.</w:t>
      </w:r>
    </w:p>
    <w:p w14:paraId="3FA556C0" w14:textId="284E0E91" w:rsidR="00636AAD" w:rsidRPr="00653BF4" w:rsidRDefault="00AD7DFE" w:rsidP="00636AAD">
      <w:pPr>
        <w:rPr>
          <w:lang w:val="fr-FR"/>
        </w:rPr>
      </w:pPr>
      <w:r w:rsidRPr="00653BF4">
        <w:rPr>
          <w:lang w:val="fr-FR"/>
        </w:rPr>
        <w:lastRenderedPageBreak/>
        <w:t>Conformément à l</w:t>
      </w:r>
      <w:r w:rsidR="002A58C8" w:rsidRPr="00653BF4">
        <w:rPr>
          <w:lang w:val="fr-FR"/>
        </w:rPr>
        <w:t>’</w:t>
      </w:r>
      <w:r w:rsidRPr="00653BF4">
        <w:rPr>
          <w:lang w:val="fr-FR"/>
        </w:rPr>
        <w:t>approche pansociétale préconisée par le Cadre, de nombreux SPANB reconnaissent le rôle joué par des acteurs autres que les gouvernements nationaux dans la mise en œuvre. Ces stratégies mentionnent souvent les contributions des peuples autochtones et communautés locales, des organisations non gouvernementales et du secteur privé, considérés comme jouant un rôle d</w:t>
      </w:r>
      <w:r w:rsidR="002A58C8" w:rsidRPr="00653BF4">
        <w:rPr>
          <w:lang w:val="fr-FR"/>
        </w:rPr>
        <w:t>’</w:t>
      </w:r>
      <w:r w:rsidRPr="00653BF4">
        <w:rPr>
          <w:lang w:val="fr-FR"/>
        </w:rPr>
        <w:t>appui dans la mise en œuvre, par exemple en complétant les actions des gouvernements nationaux ou en intervenant en tant que partenaires de mise en œuvre pour des projets et programmes spécifiques.</w:t>
      </w:r>
    </w:p>
    <w:p w14:paraId="5278416C" w14:textId="7F6638B6" w:rsidR="00B63A6E" w:rsidRPr="00653BF4" w:rsidRDefault="00CD6D47" w:rsidP="00B63A6E">
      <w:pPr>
        <w:rPr>
          <w:lang w:val="fr-FR"/>
        </w:rPr>
      </w:pPr>
      <w:r w:rsidRPr="00653BF4">
        <w:rPr>
          <w:lang w:val="fr-FR"/>
        </w:rPr>
        <w:t>La possibilité de soumettre l</w:t>
      </w:r>
      <w:r w:rsidR="002A58C8" w:rsidRPr="00653BF4">
        <w:rPr>
          <w:lang w:val="fr-FR"/>
        </w:rPr>
        <w:t>’</w:t>
      </w:r>
      <w:r w:rsidRPr="00653BF4">
        <w:rPr>
          <w:lang w:val="fr-FR"/>
        </w:rPr>
        <w:t>élaboration et la mise en œuvre des SPANB à un processus d</w:t>
      </w:r>
      <w:r w:rsidR="002A58C8" w:rsidRPr="00653BF4">
        <w:rPr>
          <w:lang w:val="fr-FR"/>
        </w:rPr>
        <w:t>’</w:t>
      </w:r>
      <w:r w:rsidRPr="00653BF4">
        <w:rPr>
          <w:lang w:val="fr-FR"/>
        </w:rPr>
        <w:t xml:space="preserve">examen </w:t>
      </w:r>
      <w:r w:rsidR="00575485" w:rsidRPr="00653BF4">
        <w:rPr>
          <w:lang w:val="fr-FR"/>
        </w:rPr>
        <w:t xml:space="preserve">collégial </w:t>
      </w:r>
      <w:r w:rsidRPr="00653BF4">
        <w:rPr>
          <w:lang w:val="fr-FR"/>
        </w:rPr>
        <w:t>volontaire est mentionnée à la section J du Cadre en tant qu</w:t>
      </w:r>
      <w:r w:rsidR="002A58C8" w:rsidRPr="00653BF4">
        <w:rPr>
          <w:lang w:val="fr-FR"/>
        </w:rPr>
        <w:t>’</w:t>
      </w:r>
      <w:r w:rsidRPr="00653BF4">
        <w:rPr>
          <w:lang w:val="fr-FR"/>
        </w:rPr>
        <w:t>élément de l</w:t>
      </w:r>
      <w:r w:rsidR="002A58C8" w:rsidRPr="00653BF4">
        <w:rPr>
          <w:lang w:val="fr-FR"/>
        </w:rPr>
        <w:t>’</w:t>
      </w:r>
      <w:r w:rsidRPr="00653BF4">
        <w:rPr>
          <w:lang w:val="fr-FR"/>
        </w:rPr>
        <w:t>approche relative à la planification, au suivi, à l</w:t>
      </w:r>
      <w:r w:rsidR="002A58C8" w:rsidRPr="00653BF4">
        <w:rPr>
          <w:lang w:val="fr-FR"/>
        </w:rPr>
        <w:t>’</w:t>
      </w:r>
      <w:r w:rsidRPr="00653BF4">
        <w:rPr>
          <w:lang w:val="fr-FR"/>
        </w:rPr>
        <w:t>établissement de rapports et à l</w:t>
      </w:r>
      <w:r w:rsidR="002A58C8" w:rsidRPr="00653BF4">
        <w:rPr>
          <w:lang w:val="fr-FR"/>
        </w:rPr>
        <w:t>’</w:t>
      </w:r>
      <w:r w:rsidRPr="00653BF4">
        <w:rPr>
          <w:lang w:val="fr-FR"/>
        </w:rPr>
        <w:t xml:space="preserve">examen (déc. 15/4 de la </w:t>
      </w:r>
      <w:r w:rsidR="00711DD2" w:rsidRPr="00653BF4">
        <w:rPr>
          <w:lang w:val="fr-FR"/>
        </w:rPr>
        <w:t>CDB</w:t>
      </w:r>
      <w:r w:rsidRPr="00653BF4">
        <w:rPr>
          <w:lang w:val="fr-FR"/>
        </w:rPr>
        <w:t>, 2023)</w:t>
      </w:r>
      <w:r w:rsidR="00E34DC9">
        <w:rPr>
          <w:lang w:val="fr-FR"/>
        </w:rPr>
        <w:t> ;</w:t>
      </w:r>
      <w:r w:rsidRPr="00653BF4">
        <w:rPr>
          <w:lang w:val="fr-FR"/>
        </w:rPr>
        <w:t xml:space="preserve"> ce processus est décrit plus en détail dans l</w:t>
      </w:r>
      <w:r w:rsidR="002A58C8" w:rsidRPr="00653BF4">
        <w:rPr>
          <w:lang w:val="fr-FR"/>
        </w:rPr>
        <w:t>’</w:t>
      </w:r>
      <w:r w:rsidR="00567D3D">
        <w:rPr>
          <w:lang w:val="fr-FR"/>
        </w:rPr>
        <w:t>e</w:t>
      </w:r>
      <w:r w:rsidRPr="00653BF4">
        <w:rPr>
          <w:lang w:val="fr-FR"/>
        </w:rPr>
        <w:t>ncadré 6. Le premier examen de ce type depuis l</w:t>
      </w:r>
      <w:r w:rsidR="00D77549">
        <w:rPr>
          <w:lang w:val="fr-FR"/>
        </w:rPr>
        <w:t>’</w:t>
      </w:r>
      <w:r w:rsidRPr="00653BF4">
        <w:rPr>
          <w:lang w:val="fr-FR"/>
        </w:rPr>
        <w:t>adoption du Cadre est en cours.</w:t>
      </w:r>
    </w:p>
    <w:p w14:paraId="5B65A906" w14:textId="3403CEB5" w:rsidR="00B40792" w:rsidRPr="00653BF4" w:rsidRDefault="00B40792" w:rsidP="00B40792">
      <w:pPr>
        <w:pStyle w:val="Caption"/>
        <w:rPr>
          <w:b/>
          <w:i w:val="0"/>
          <w:sz w:val="20"/>
          <w:szCs w:val="20"/>
          <w:lang w:val="fr-FR"/>
        </w:rPr>
      </w:pPr>
    </w:p>
    <w:tbl>
      <w:tblPr>
        <w:tblStyle w:val="TableGrid"/>
        <w:tblW w:w="0" w:type="auto"/>
        <w:shd w:val="clear" w:color="auto" w:fill="BFBFBF" w:themeFill="background1" w:themeFillShade="BF"/>
        <w:tblLook w:val="04A0" w:firstRow="1" w:lastRow="0" w:firstColumn="1" w:lastColumn="0" w:noHBand="0" w:noVBand="1"/>
      </w:tblPr>
      <w:tblGrid>
        <w:gridCol w:w="9350"/>
      </w:tblGrid>
      <w:tr w:rsidR="00044EF6" w:rsidRPr="00543148" w14:paraId="40BEF22E" w14:textId="77777777" w:rsidTr="00044EF6">
        <w:tc>
          <w:tcPr>
            <w:tcW w:w="9350" w:type="dxa"/>
            <w:shd w:val="clear" w:color="auto" w:fill="BFBFBF" w:themeFill="background1" w:themeFillShade="BF"/>
          </w:tcPr>
          <w:p w14:paraId="62F78ED3" w14:textId="77777777" w:rsidR="00CB27FF" w:rsidRPr="00653BF4" w:rsidRDefault="00CB27FF" w:rsidP="003E38A4">
            <w:pPr>
              <w:rPr>
                <w:lang w:val="fr-FR"/>
              </w:rPr>
            </w:pPr>
          </w:p>
          <w:p w14:paraId="40872623" w14:textId="1C62BB86" w:rsidR="00AB29CE" w:rsidRPr="00653BF4" w:rsidRDefault="00124982" w:rsidP="00AB29CE">
            <w:pPr>
              <w:pStyle w:val="Caption"/>
              <w:rPr>
                <w:i w:val="0"/>
                <w:iCs w:val="0"/>
                <w:sz w:val="20"/>
                <w:szCs w:val="20"/>
                <w:lang w:val="fr-FR"/>
              </w:rPr>
            </w:pPr>
            <w:bookmarkStart w:id="58" w:name="_Ref235851961"/>
            <w:r w:rsidRPr="00653BF4">
              <w:rPr>
                <w:i w:val="0"/>
                <w:sz w:val="20"/>
                <w:szCs w:val="20"/>
                <w:lang w:val="fr-FR"/>
              </w:rPr>
              <w:t>Encadré</w:t>
            </w:r>
            <w:r w:rsidR="00AB29CE" w:rsidRPr="00653BF4">
              <w:rPr>
                <w:i w:val="0"/>
                <w:sz w:val="20"/>
                <w:szCs w:val="20"/>
                <w:lang w:val="fr-FR"/>
              </w:rPr>
              <w:t xml:space="preserve"> </w:t>
            </w:r>
            <w:r w:rsidR="008306DF" w:rsidRPr="00653BF4">
              <w:rPr>
                <w:i w:val="0"/>
                <w:noProof/>
                <w:sz w:val="20"/>
                <w:szCs w:val="20"/>
                <w:lang w:val="fr-FR"/>
              </w:rPr>
              <w:t>6</w:t>
            </w:r>
            <w:bookmarkEnd w:id="58"/>
          </w:p>
          <w:p w14:paraId="3F3071B6" w14:textId="027EF34B" w:rsidR="00AB29CE" w:rsidRPr="00653BF4" w:rsidRDefault="00947454" w:rsidP="00AB29CE">
            <w:pPr>
              <w:rPr>
                <w:b/>
                <w:sz w:val="20"/>
                <w:szCs w:val="20"/>
                <w:lang w:val="fr-FR"/>
              </w:rPr>
            </w:pPr>
            <w:r w:rsidRPr="00653BF4">
              <w:rPr>
                <w:b/>
                <w:sz w:val="20"/>
                <w:szCs w:val="20"/>
                <w:lang w:val="fr-FR"/>
              </w:rPr>
              <w:t xml:space="preserve">Examen </w:t>
            </w:r>
            <w:r w:rsidR="008C10B5" w:rsidRPr="00653BF4">
              <w:rPr>
                <w:b/>
                <w:sz w:val="20"/>
                <w:szCs w:val="20"/>
                <w:lang w:val="fr-FR"/>
              </w:rPr>
              <w:t xml:space="preserve">collégial </w:t>
            </w:r>
            <w:r w:rsidRPr="00653BF4">
              <w:rPr>
                <w:b/>
                <w:sz w:val="20"/>
                <w:szCs w:val="20"/>
                <w:lang w:val="fr-FR"/>
              </w:rPr>
              <w:t>volontaire de la révision et de la mise en œuvre des stratégies et plans d</w:t>
            </w:r>
            <w:r w:rsidR="002A58C8" w:rsidRPr="00653BF4">
              <w:rPr>
                <w:b/>
                <w:sz w:val="20"/>
                <w:szCs w:val="20"/>
                <w:lang w:val="fr-FR"/>
              </w:rPr>
              <w:t>’</w:t>
            </w:r>
            <w:r w:rsidRPr="00653BF4">
              <w:rPr>
                <w:b/>
                <w:sz w:val="20"/>
                <w:szCs w:val="20"/>
                <w:lang w:val="fr-FR"/>
              </w:rPr>
              <w:t>action nationaux pour la biodiversité</w:t>
            </w:r>
          </w:p>
          <w:p w14:paraId="11BF01F0" w14:textId="77777777" w:rsidR="00AB29CE" w:rsidRPr="00653BF4" w:rsidRDefault="00AB29CE" w:rsidP="00AB29CE">
            <w:pPr>
              <w:rPr>
                <w:lang w:val="fr-FR"/>
              </w:rPr>
            </w:pPr>
          </w:p>
          <w:p w14:paraId="1B84CD89" w14:textId="7EEF4D72" w:rsidR="00EF0655" w:rsidRPr="00653BF4" w:rsidRDefault="007A071D" w:rsidP="00EF0655">
            <w:pPr>
              <w:rPr>
                <w:sz w:val="20"/>
                <w:szCs w:val="20"/>
                <w:lang w:val="fr-FR"/>
              </w:rPr>
            </w:pPr>
            <w:r w:rsidRPr="00653BF4">
              <w:rPr>
                <w:sz w:val="20"/>
                <w:szCs w:val="20"/>
                <w:lang w:val="fr-FR"/>
              </w:rPr>
              <w:t>L</w:t>
            </w:r>
            <w:r w:rsidR="002A58C8" w:rsidRPr="00653BF4">
              <w:rPr>
                <w:sz w:val="20"/>
                <w:szCs w:val="20"/>
                <w:lang w:val="fr-FR"/>
              </w:rPr>
              <w:t>’</w:t>
            </w:r>
            <w:r w:rsidRPr="00653BF4">
              <w:rPr>
                <w:sz w:val="20"/>
                <w:szCs w:val="20"/>
                <w:lang w:val="fr-FR"/>
              </w:rPr>
              <w:t xml:space="preserve">examen collégial </w:t>
            </w:r>
            <w:r w:rsidR="00A51F3C" w:rsidRPr="00653BF4">
              <w:rPr>
                <w:sz w:val="20"/>
                <w:szCs w:val="20"/>
                <w:lang w:val="fr-FR"/>
              </w:rPr>
              <w:t>volontaire est</w:t>
            </w:r>
            <w:r w:rsidRPr="00653BF4">
              <w:rPr>
                <w:sz w:val="20"/>
                <w:szCs w:val="20"/>
                <w:lang w:val="fr-FR"/>
              </w:rPr>
              <w:t xml:space="preserve"> un processus approfondi au cours duquel des experts de différents pays passent en revue l</w:t>
            </w:r>
            <w:r w:rsidR="002A58C8" w:rsidRPr="00653BF4">
              <w:rPr>
                <w:sz w:val="20"/>
                <w:szCs w:val="20"/>
                <w:lang w:val="fr-FR"/>
              </w:rPr>
              <w:t>’</w:t>
            </w:r>
            <w:r w:rsidRPr="00653BF4">
              <w:rPr>
                <w:sz w:val="20"/>
                <w:szCs w:val="20"/>
                <w:lang w:val="fr-FR"/>
              </w:rPr>
              <w:t>élaboration et la mise en œuvre de la stratégie et du plan d</w:t>
            </w:r>
            <w:r w:rsidR="002A58C8" w:rsidRPr="00653BF4">
              <w:rPr>
                <w:sz w:val="20"/>
                <w:szCs w:val="20"/>
                <w:lang w:val="fr-FR"/>
              </w:rPr>
              <w:t>’</w:t>
            </w:r>
            <w:r w:rsidRPr="00653BF4">
              <w:rPr>
                <w:sz w:val="20"/>
                <w:szCs w:val="20"/>
                <w:lang w:val="fr-FR"/>
              </w:rPr>
              <w:t>action nationaux pour la biodiversité d</w:t>
            </w:r>
            <w:r w:rsidR="002A58C8" w:rsidRPr="00653BF4">
              <w:rPr>
                <w:sz w:val="20"/>
                <w:szCs w:val="20"/>
                <w:lang w:val="fr-FR"/>
              </w:rPr>
              <w:t>’</w:t>
            </w:r>
            <w:r w:rsidRPr="00653BF4">
              <w:rPr>
                <w:sz w:val="20"/>
                <w:szCs w:val="20"/>
                <w:lang w:val="fr-FR"/>
              </w:rPr>
              <w:t>un pays. Tout au long de ce processus, l</w:t>
            </w:r>
            <w:r w:rsidR="002A58C8" w:rsidRPr="00653BF4">
              <w:rPr>
                <w:sz w:val="20"/>
                <w:szCs w:val="20"/>
                <w:lang w:val="fr-FR"/>
              </w:rPr>
              <w:t>’</w:t>
            </w:r>
            <w:r w:rsidRPr="00653BF4">
              <w:rPr>
                <w:sz w:val="20"/>
                <w:szCs w:val="20"/>
                <w:lang w:val="fr-FR"/>
              </w:rPr>
              <w:t>examen collégial volontaire favorise le partage d</w:t>
            </w:r>
            <w:r w:rsidR="002A58C8" w:rsidRPr="00653BF4">
              <w:rPr>
                <w:sz w:val="20"/>
                <w:szCs w:val="20"/>
                <w:lang w:val="fr-FR"/>
              </w:rPr>
              <w:t>’</w:t>
            </w:r>
            <w:r w:rsidRPr="00653BF4">
              <w:rPr>
                <w:sz w:val="20"/>
                <w:szCs w:val="20"/>
                <w:lang w:val="fr-FR"/>
              </w:rPr>
              <w:t>expériences, l</w:t>
            </w:r>
            <w:r w:rsidR="002A58C8" w:rsidRPr="00653BF4">
              <w:rPr>
                <w:sz w:val="20"/>
                <w:szCs w:val="20"/>
                <w:lang w:val="fr-FR"/>
              </w:rPr>
              <w:t>’</w:t>
            </w:r>
            <w:r w:rsidRPr="00653BF4">
              <w:rPr>
                <w:sz w:val="20"/>
                <w:szCs w:val="20"/>
                <w:lang w:val="fr-FR"/>
              </w:rPr>
              <w:t>apprentissage et le renforcement des capacités, tant pour les experts chargés de l</w:t>
            </w:r>
            <w:r w:rsidR="002A58C8" w:rsidRPr="00653BF4">
              <w:rPr>
                <w:sz w:val="20"/>
                <w:szCs w:val="20"/>
                <w:lang w:val="fr-FR"/>
              </w:rPr>
              <w:t>’</w:t>
            </w:r>
            <w:r w:rsidRPr="00653BF4">
              <w:rPr>
                <w:sz w:val="20"/>
                <w:szCs w:val="20"/>
                <w:lang w:val="fr-FR"/>
              </w:rPr>
              <w:t>examen que pour les Parties dont les stratégies et plans d</w:t>
            </w:r>
            <w:r w:rsidR="002A58C8" w:rsidRPr="00653BF4">
              <w:rPr>
                <w:sz w:val="20"/>
                <w:szCs w:val="20"/>
                <w:lang w:val="fr-FR"/>
              </w:rPr>
              <w:t>’</w:t>
            </w:r>
            <w:r w:rsidRPr="00653BF4">
              <w:rPr>
                <w:sz w:val="20"/>
                <w:szCs w:val="20"/>
                <w:lang w:val="fr-FR"/>
              </w:rPr>
              <w:t>action nationaux pour la biodiversité font l</w:t>
            </w:r>
            <w:r w:rsidR="002A58C8" w:rsidRPr="00653BF4">
              <w:rPr>
                <w:sz w:val="20"/>
                <w:szCs w:val="20"/>
                <w:lang w:val="fr-FR"/>
              </w:rPr>
              <w:t>’</w:t>
            </w:r>
            <w:r w:rsidRPr="00653BF4">
              <w:rPr>
                <w:sz w:val="20"/>
                <w:szCs w:val="20"/>
                <w:lang w:val="fr-FR"/>
              </w:rPr>
              <w:t>objet d</w:t>
            </w:r>
            <w:r w:rsidR="002A58C8" w:rsidRPr="00653BF4">
              <w:rPr>
                <w:sz w:val="20"/>
                <w:szCs w:val="20"/>
                <w:lang w:val="fr-FR"/>
              </w:rPr>
              <w:t>’</w:t>
            </w:r>
            <w:r w:rsidRPr="00653BF4">
              <w:rPr>
                <w:sz w:val="20"/>
                <w:szCs w:val="20"/>
                <w:lang w:val="fr-FR"/>
              </w:rPr>
              <w:t>un examen. L</w:t>
            </w:r>
            <w:r w:rsidR="002A58C8" w:rsidRPr="00653BF4">
              <w:rPr>
                <w:sz w:val="20"/>
                <w:szCs w:val="20"/>
                <w:lang w:val="fr-FR"/>
              </w:rPr>
              <w:t>’</w:t>
            </w:r>
            <w:r w:rsidRPr="00653BF4">
              <w:rPr>
                <w:sz w:val="20"/>
                <w:szCs w:val="20"/>
                <w:lang w:val="fr-FR"/>
              </w:rPr>
              <w:t>objectif principal est de renforcer les capacités des Parties et de contribuer à rendre leurs efforts de mise en œuvre plus efficaces.</w:t>
            </w:r>
          </w:p>
          <w:p w14:paraId="50CDB898" w14:textId="77777777" w:rsidR="003E38A4" w:rsidRPr="00653BF4" w:rsidRDefault="003E38A4" w:rsidP="003E38A4">
            <w:pPr>
              <w:rPr>
                <w:sz w:val="20"/>
                <w:szCs w:val="20"/>
                <w:lang w:val="fr-FR"/>
              </w:rPr>
            </w:pPr>
          </w:p>
          <w:p w14:paraId="7F2F760F" w14:textId="0E573096" w:rsidR="003E38A4" w:rsidRPr="00653BF4" w:rsidRDefault="006D112B" w:rsidP="003E38A4">
            <w:pPr>
              <w:rPr>
                <w:sz w:val="20"/>
                <w:szCs w:val="20"/>
                <w:lang w:val="fr-FR"/>
              </w:rPr>
            </w:pPr>
            <w:r w:rsidRPr="00653BF4">
              <w:rPr>
                <w:sz w:val="20"/>
                <w:szCs w:val="20"/>
                <w:lang w:val="fr-FR"/>
              </w:rPr>
              <w:t>Les gouvernements du Japon, par l</w:t>
            </w:r>
            <w:r w:rsidR="002A58C8" w:rsidRPr="00653BF4">
              <w:rPr>
                <w:sz w:val="20"/>
                <w:szCs w:val="20"/>
                <w:lang w:val="fr-FR"/>
              </w:rPr>
              <w:t>’</w:t>
            </w:r>
            <w:r w:rsidRPr="00653BF4">
              <w:rPr>
                <w:sz w:val="20"/>
                <w:szCs w:val="20"/>
                <w:lang w:val="fr-FR"/>
              </w:rPr>
              <w:t>intermédiaire du Fonds japonais pour la biodiversité, de la Norvège et de la Suisse ont généreusement alloué des fonds et des ressources à l</w:t>
            </w:r>
            <w:r w:rsidR="002A58C8" w:rsidRPr="00653BF4">
              <w:rPr>
                <w:sz w:val="20"/>
                <w:szCs w:val="20"/>
                <w:lang w:val="fr-FR"/>
              </w:rPr>
              <w:t>’</w:t>
            </w:r>
            <w:r w:rsidRPr="00653BF4">
              <w:rPr>
                <w:sz w:val="20"/>
                <w:szCs w:val="20"/>
                <w:lang w:val="fr-FR"/>
              </w:rPr>
              <w:t>élaboration et à la mise en œuvre du processus d</w:t>
            </w:r>
            <w:r w:rsidR="002A58C8" w:rsidRPr="00653BF4">
              <w:rPr>
                <w:sz w:val="20"/>
                <w:szCs w:val="20"/>
                <w:lang w:val="fr-FR"/>
              </w:rPr>
              <w:t>’</w:t>
            </w:r>
            <w:r w:rsidRPr="00653BF4">
              <w:rPr>
                <w:sz w:val="20"/>
                <w:szCs w:val="20"/>
                <w:lang w:val="fr-FR"/>
              </w:rPr>
              <w:t>examen collégial volontaire.</w:t>
            </w:r>
          </w:p>
          <w:p w14:paraId="5AD10B4B" w14:textId="77777777" w:rsidR="003E38A4" w:rsidRPr="00653BF4" w:rsidRDefault="003E38A4" w:rsidP="003E38A4">
            <w:pPr>
              <w:rPr>
                <w:sz w:val="20"/>
                <w:szCs w:val="20"/>
                <w:lang w:val="fr-FR"/>
              </w:rPr>
            </w:pPr>
          </w:p>
          <w:p w14:paraId="20AB2107" w14:textId="0257F673" w:rsidR="00EF0655" w:rsidRPr="00653BF4" w:rsidRDefault="006E4A3F" w:rsidP="00EF0655">
            <w:pPr>
              <w:rPr>
                <w:sz w:val="20"/>
                <w:szCs w:val="20"/>
                <w:lang w:val="fr-FR"/>
              </w:rPr>
            </w:pPr>
            <w:r w:rsidRPr="00653BF4">
              <w:rPr>
                <w:sz w:val="20"/>
                <w:szCs w:val="20"/>
                <w:lang w:val="fr-FR"/>
              </w:rPr>
              <w:t>Le processus d</w:t>
            </w:r>
            <w:r w:rsidR="002A58C8" w:rsidRPr="00653BF4">
              <w:rPr>
                <w:sz w:val="20"/>
                <w:szCs w:val="20"/>
                <w:lang w:val="fr-FR"/>
              </w:rPr>
              <w:t>’</w:t>
            </w:r>
            <w:r w:rsidRPr="00653BF4">
              <w:rPr>
                <w:sz w:val="20"/>
                <w:szCs w:val="20"/>
                <w:lang w:val="fr-FR"/>
              </w:rPr>
              <w:t>examen collégial volontaire (VPR) a été mis au point en application de la décision de la Conférence des Parties depuis 2008 et a été intégré dans l</w:t>
            </w:r>
            <w:r w:rsidR="002A58C8" w:rsidRPr="00653BF4">
              <w:rPr>
                <w:sz w:val="20"/>
                <w:szCs w:val="20"/>
                <w:lang w:val="fr-FR"/>
              </w:rPr>
              <w:t>’</w:t>
            </w:r>
            <w:r w:rsidRPr="00653BF4">
              <w:rPr>
                <w:sz w:val="20"/>
                <w:szCs w:val="20"/>
                <w:lang w:val="fr-FR"/>
              </w:rPr>
              <w:t>approche multidimensionnelle renforcée en matière de planification, de suivi, d</w:t>
            </w:r>
            <w:r w:rsidR="002A58C8" w:rsidRPr="00653BF4">
              <w:rPr>
                <w:sz w:val="20"/>
                <w:szCs w:val="20"/>
                <w:lang w:val="fr-FR"/>
              </w:rPr>
              <w:t>’</w:t>
            </w:r>
            <w:r w:rsidRPr="00653BF4">
              <w:rPr>
                <w:sz w:val="20"/>
                <w:szCs w:val="20"/>
                <w:lang w:val="fr-FR"/>
              </w:rPr>
              <w:t>établissement de rapports et d</w:t>
            </w:r>
            <w:r w:rsidR="002A58C8" w:rsidRPr="00653BF4">
              <w:rPr>
                <w:sz w:val="20"/>
                <w:szCs w:val="20"/>
                <w:lang w:val="fr-FR"/>
              </w:rPr>
              <w:t>’</w:t>
            </w:r>
            <w:r w:rsidRPr="00653BF4">
              <w:rPr>
                <w:sz w:val="20"/>
                <w:szCs w:val="20"/>
                <w:lang w:val="fr-FR"/>
              </w:rPr>
              <w:t>examen prévue par la Convention et le Cadre mondial de la biodiversité de Kunming-Montréal.</w:t>
            </w:r>
          </w:p>
          <w:p w14:paraId="601EC8C8" w14:textId="77777777" w:rsidR="00EF0655" w:rsidRPr="00653BF4" w:rsidRDefault="00EF0655" w:rsidP="00EF0655">
            <w:pPr>
              <w:rPr>
                <w:sz w:val="20"/>
                <w:szCs w:val="20"/>
                <w:lang w:val="fr-FR"/>
              </w:rPr>
            </w:pPr>
          </w:p>
          <w:p w14:paraId="18098630" w14:textId="3DC29DEB" w:rsidR="00EF0655" w:rsidRPr="00653BF4" w:rsidRDefault="00016FAD" w:rsidP="00EF0655">
            <w:pPr>
              <w:rPr>
                <w:sz w:val="20"/>
                <w:szCs w:val="20"/>
                <w:lang w:val="fr-FR"/>
              </w:rPr>
            </w:pPr>
            <w:r w:rsidRPr="00653BF4">
              <w:rPr>
                <w:sz w:val="20"/>
                <w:szCs w:val="20"/>
                <w:lang w:val="fr-FR"/>
              </w:rPr>
              <w:t>Un premier projet de méthodologie pour l</w:t>
            </w:r>
            <w:r w:rsidR="002A58C8" w:rsidRPr="00653BF4">
              <w:rPr>
                <w:sz w:val="20"/>
                <w:szCs w:val="20"/>
                <w:lang w:val="fr-FR"/>
              </w:rPr>
              <w:t>’</w:t>
            </w:r>
            <w:r w:rsidRPr="00653BF4">
              <w:rPr>
                <w:sz w:val="20"/>
                <w:szCs w:val="20"/>
                <w:lang w:val="fr-FR"/>
              </w:rPr>
              <w:t>examen collégial volontaire a été élaboré en 2016 et testé en Éthiopie et en Inde. Ces évaluations ont permis de tirer un certain nombre d</w:t>
            </w:r>
            <w:r w:rsidR="002A58C8" w:rsidRPr="00653BF4">
              <w:rPr>
                <w:sz w:val="20"/>
                <w:szCs w:val="20"/>
                <w:lang w:val="fr-FR"/>
              </w:rPr>
              <w:t>’</w:t>
            </w:r>
            <w:r w:rsidRPr="00653BF4">
              <w:rPr>
                <w:sz w:val="20"/>
                <w:szCs w:val="20"/>
                <w:lang w:val="fr-FR"/>
              </w:rPr>
              <w:t>enseignements qui ont servi de lignes directrices pour affiner la méthodologie. La poursuite des tests et du développement méthodologique a notamment consisté à mettre en œuvre cette dernière dans le cadre d</w:t>
            </w:r>
            <w:r w:rsidR="002A58C8" w:rsidRPr="00653BF4">
              <w:rPr>
                <w:sz w:val="20"/>
                <w:szCs w:val="20"/>
                <w:lang w:val="fr-FR"/>
              </w:rPr>
              <w:t>’</w:t>
            </w:r>
            <w:r w:rsidRPr="00653BF4">
              <w:rPr>
                <w:sz w:val="20"/>
                <w:szCs w:val="20"/>
                <w:lang w:val="fr-FR"/>
              </w:rPr>
              <w:t>une phase pilote, qui comprenait des évaluations à part entière au Monténégro, au Sri Lanka et en Ouganda.</w:t>
            </w:r>
          </w:p>
          <w:p w14:paraId="406D97A2" w14:textId="77777777" w:rsidR="00EF0655" w:rsidRPr="00653BF4" w:rsidRDefault="00EF0655" w:rsidP="00EF0655">
            <w:pPr>
              <w:rPr>
                <w:sz w:val="20"/>
                <w:szCs w:val="20"/>
                <w:lang w:val="fr-FR"/>
              </w:rPr>
            </w:pPr>
          </w:p>
          <w:p w14:paraId="0E1265A1" w14:textId="54BF56B7" w:rsidR="00FB3C67" w:rsidRPr="00653BF4" w:rsidRDefault="00FB3C67" w:rsidP="00FB3C67">
            <w:pPr>
              <w:rPr>
                <w:sz w:val="20"/>
                <w:szCs w:val="20"/>
                <w:lang w:val="fr-FR"/>
              </w:rPr>
            </w:pPr>
            <w:r w:rsidRPr="00653BF4">
              <w:rPr>
                <w:sz w:val="20"/>
                <w:szCs w:val="20"/>
                <w:lang w:val="fr-FR"/>
              </w:rPr>
              <w:t>Dans ces pays, l</w:t>
            </w:r>
            <w:r w:rsidR="002A58C8" w:rsidRPr="00653BF4">
              <w:rPr>
                <w:sz w:val="20"/>
                <w:szCs w:val="20"/>
                <w:lang w:val="fr-FR"/>
              </w:rPr>
              <w:t>’</w:t>
            </w:r>
            <w:r w:rsidRPr="00653BF4">
              <w:rPr>
                <w:sz w:val="20"/>
                <w:szCs w:val="20"/>
                <w:lang w:val="fr-FR"/>
              </w:rPr>
              <w:t>examen collégial volontaire (VPR) a mis en évidence plusieurs exemples de bonnes pratiques. Au Sri Lanka, un secrétariat chargé de la biodiversité, créé au sein du ministère du Développement de Mahaweli et de l</w:t>
            </w:r>
            <w:r w:rsidR="002A58C8" w:rsidRPr="00653BF4">
              <w:rPr>
                <w:sz w:val="20"/>
                <w:szCs w:val="20"/>
                <w:lang w:val="fr-FR"/>
              </w:rPr>
              <w:t>’</w:t>
            </w:r>
            <w:r w:rsidRPr="00653BF4">
              <w:rPr>
                <w:sz w:val="20"/>
                <w:szCs w:val="20"/>
                <w:lang w:val="fr-FR"/>
              </w:rPr>
              <w:t xml:space="preserve">Environnement, coordonne la mise en œuvre globale des SPANB. Un </w:t>
            </w:r>
            <w:r w:rsidRPr="00653BF4">
              <w:rPr>
                <w:sz w:val="20"/>
                <w:szCs w:val="20"/>
                <w:lang w:val="fr-FR"/>
              </w:rPr>
              <w:lastRenderedPageBreak/>
              <w:t>comité d</w:t>
            </w:r>
            <w:r w:rsidR="002A58C8" w:rsidRPr="00653BF4">
              <w:rPr>
                <w:sz w:val="20"/>
                <w:szCs w:val="20"/>
                <w:lang w:val="fr-FR"/>
              </w:rPr>
              <w:t>’</w:t>
            </w:r>
            <w:r w:rsidRPr="00653BF4">
              <w:rPr>
                <w:sz w:val="20"/>
                <w:szCs w:val="20"/>
                <w:lang w:val="fr-FR"/>
              </w:rPr>
              <w:t xml:space="preserve">experts en biodiversité, composé de représentants de différents ministères du gouvernement, joue un rôle clé dans la supervision globale de la mise en œuvre des SPANB. En outre, la plateforme </w:t>
            </w:r>
            <w:r w:rsidR="00E34DC9">
              <w:rPr>
                <w:sz w:val="20"/>
                <w:szCs w:val="20"/>
                <w:lang w:val="fr-FR"/>
              </w:rPr>
              <w:t>« </w:t>
            </w:r>
            <w:r w:rsidRPr="00653BF4">
              <w:rPr>
                <w:sz w:val="20"/>
                <w:szCs w:val="20"/>
                <w:lang w:val="fr-FR"/>
              </w:rPr>
              <w:t>Biodiversity Sri Lanka</w:t>
            </w:r>
            <w:r w:rsidR="00E34DC9">
              <w:rPr>
                <w:sz w:val="20"/>
                <w:szCs w:val="20"/>
                <w:lang w:val="fr-FR"/>
              </w:rPr>
              <w:t> »</w:t>
            </w:r>
            <w:r w:rsidRPr="00653BF4">
              <w:rPr>
                <w:sz w:val="20"/>
                <w:szCs w:val="20"/>
                <w:lang w:val="fr-FR"/>
              </w:rPr>
              <w:t xml:space="preserve"> offre un mécanisme innovant permettant d</w:t>
            </w:r>
            <w:r w:rsidR="002A58C8" w:rsidRPr="00653BF4">
              <w:rPr>
                <w:sz w:val="20"/>
                <w:szCs w:val="20"/>
                <w:lang w:val="fr-FR"/>
              </w:rPr>
              <w:t>’</w:t>
            </w:r>
            <w:r w:rsidRPr="00653BF4">
              <w:rPr>
                <w:sz w:val="20"/>
                <w:szCs w:val="20"/>
                <w:lang w:val="fr-FR"/>
              </w:rPr>
              <w:t>associer le secteur privé à la conservation de la biodiversité dans le pays.</w:t>
            </w:r>
          </w:p>
          <w:p w14:paraId="1AB942C7" w14:textId="77777777" w:rsidR="00FB3C67" w:rsidRPr="00653BF4" w:rsidRDefault="00FB3C67" w:rsidP="00FB3C67">
            <w:pPr>
              <w:rPr>
                <w:sz w:val="20"/>
                <w:szCs w:val="20"/>
                <w:lang w:val="fr-FR"/>
              </w:rPr>
            </w:pPr>
          </w:p>
          <w:p w14:paraId="72D17CCB" w14:textId="0FA26C77" w:rsidR="00FB3C67" w:rsidRPr="00653BF4" w:rsidRDefault="00FB3C67" w:rsidP="00FB3C67">
            <w:pPr>
              <w:rPr>
                <w:sz w:val="20"/>
                <w:szCs w:val="20"/>
                <w:lang w:val="fr-FR"/>
              </w:rPr>
            </w:pPr>
            <w:r w:rsidRPr="00653BF4">
              <w:rPr>
                <w:sz w:val="20"/>
                <w:szCs w:val="20"/>
                <w:lang w:val="fr-FR"/>
              </w:rPr>
              <w:t>Parmi les principaux enseignements tirés de l</w:t>
            </w:r>
            <w:r w:rsidR="002A58C8" w:rsidRPr="00653BF4">
              <w:rPr>
                <w:sz w:val="20"/>
                <w:szCs w:val="20"/>
                <w:lang w:val="fr-FR"/>
              </w:rPr>
              <w:t>’</w:t>
            </w:r>
            <w:r w:rsidRPr="00653BF4">
              <w:rPr>
                <w:sz w:val="20"/>
                <w:szCs w:val="20"/>
                <w:lang w:val="fr-FR"/>
              </w:rPr>
              <w:t>examen collégial volontaire en Ouganda figurent l</w:t>
            </w:r>
            <w:r w:rsidR="002A58C8" w:rsidRPr="00653BF4">
              <w:rPr>
                <w:sz w:val="20"/>
                <w:szCs w:val="20"/>
                <w:lang w:val="fr-FR"/>
              </w:rPr>
              <w:t>’</w:t>
            </w:r>
            <w:r w:rsidRPr="00653BF4">
              <w:rPr>
                <w:sz w:val="20"/>
                <w:szCs w:val="20"/>
                <w:lang w:val="fr-FR"/>
              </w:rPr>
              <w:t>importance d</w:t>
            </w:r>
            <w:r w:rsidR="002A58C8" w:rsidRPr="00653BF4">
              <w:rPr>
                <w:sz w:val="20"/>
                <w:szCs w:val="20"/>
                <w:lang w:val="fr-FR"/>
              </w:rPr>
              <w:t>’</w:t>
            </w:r>
            <w:r w:rsidRPr="00653BF4">
              <w:rPr>
                <w:sz w:val="20"/>
                <w:szCs w:val="20"/>
                <w:lang w:val="fr-FR"/>
              </w:rPr>
              <w:t>une budgétisation et d</w:t>
            </w:r>
            <w:r w:rsidR="002A58C8" w:rsidRPr="00653BF4">
              <w:rPr>
                <w:sz w:val="20"/>
                <w:szCs w:val="20"/>
                <w:lang w:val="fr-FR"/>
              </w:rPr>
              <w:t>’</w:t>
            </w:r>
            <w:r w:rsidRPr="00653BF4">
              <w:rPr>
                <w:sz w:val="20"/>
                <w:szCs w:val="20"/>
                <w:lang w:val="fr-FR"/>
              </w:rPr>
              <w:t>un financement fondés sur des données factuelles pour la conservation de la biodiversité, ainsi que l</w:t>
            </w:r>
            <w:r w:rsidR="002A58C8" w:rsidRPr="00653BF4">
              <w:rPr>
                <w:sz w:val="20"/>
                <w:szCs w:val="20"/>
                <w:lang w:val="fr-FR"/>
              </w:rPr>
              <w:t>’</w:t>
            </w:r>
            <w:r w:rsidRPr="00653BF4">
              <w:rPr>
                <w:sz w:val="20"/>
                <w:szCs w:val="20"/>
                <w:lang w:val="fr-FR"/>
              </w:rPr>
              <w:t>importance de l</w:t>
            </w:r>
            <w:r w:rsidR="002A58C8" w:rsidRPr="00653BF4">
              <w:rPr>
                <w:sz w:val="20"/>
                <w:szCs w:val="20"/>
                <w:lang w:val="fr-FR"/>
              </w:rPr>
              <w:t>’</w:t>
            </w:r>
            <w:r w:rsidRPr="00653BF4">
              <w:rPr>
                <w:sz w:val="20"/>
                <w:szCs w:val="20"/>
                <w:lang w:val="fr-FR"/>
              </w:rPr>
              <w:t>inclusivité et d</w:t>
            </w:r>
            <w:r w:rsidR="002A58C8" w:rsidRPr="00653BF4">
              <w:rPr>
                <w:sz w:val="20"/>
                <w:szCs w:val="20"/>
                <w:lang w:val="fr-FR"/>
              </w:rPr>
              <w:t>’</w:t>
            </w:r>
            <w:r w:rsidRPr="00653BF4">
              <w:rPr>
                <w:sz w:val="20"/>
                <w:szCs w:val="20"/>
                <w:lang w:val="fr-FR"/>
              </w:rPr>
              <w:t>une approche multipartite (sectorielle, institutionnelle et disciplinaire) dans le processus et la mise en œuvre de</w:t>
            </w:r>
            <w:r w:rsidR="00211F68" w:rsidRPr="00653BF4">
              <w:rPr>
                <w:sz w:val="20"/>
                <w:szCs w:val="20"/>
                <w:lang w:val="fr-FR"/>
              </w:rPr>
              <w:t>s</w:t>
            </w:r>
            <w:r w:rsidRPr="00653BF4">
              <w:rPr>
                <w:sz w:val="20"/>
                <w:szCs w:val="20"/>
                <w:lang w:val="fr-FR"/>
              </w:rPr>
              <w:t xml:space="preserve"> Stratégie </w:t>
            </w:r>
            <w:r w:rsidR="00211F68" w:rsidRPr="00653BF4">
              <w:rPr>
                <w:sz w:val="20"/>
                <w:szCs w:val="20"/>
                <w:lang w:val="fr-FR"/>
              </w:rPr>
              <w:t>et plan d</w:t>
            </w:r>
            <w:r w:rsidR="002A58C8" w:rsidRPr="00653BF4">
              <w:rPr>
                <w:sz w:val="20"/>
                <w:szCs w:val="20"/>
                <w:lang w:val="fr-FR"/>
              </w:rPr>
              <w:t>’</w:t>
            </w:r>
            <w:r w:rsidR="00211F68" w:rsidRPr="00653BF4">
              <w:rPr>
                <w:sz w:val="20"/>
                <w:szCs w:val="20"/>
                <w:lang w:val="fr-FR"/>
              </w:rPr>
              <w:t xml:space="preserve">action nationaux </w:t>
            </w:r>
            <w:r w:rsidRPr="00653BF4">
              <w:rPr>
                <w:sz w:val="20"/>
                <w:szCs w:val="20"/>
                <w:lang w:val="fr-FR"/>
              </w:rPr>
              <w:t>de conservation de la biodiversité (SPANB).</w:t>
            </w:r>
          </w:p>
          <w:p w14:paraId="49262331" w14:textId="77777777" w:rsidR="00FB3C67" w:rsidRPr="00653BF4" w:rsidRDefault="00FB3C67" w:rsidP="00FB3C67">
            <w:pPr>
              <w:rPr>
                <w:sz w:val="20"/>
                <w:szCs w:val="20"/>
                <w:lang w:val="fr-FR"/>
              </w:rPr>
            </w:pPr>
          </w:p>
          <w:p w14:paraId="69AD777F" w14:textId="23CF9B41" w:rsidR="00FB3C67" w:rsidRPr="00653BF4" w:rsidRDefault="00FB3C67" w:rsidP="00FB3C67">
            <w:pPr>
              <w:rPr>
                <w:sz w:val="20"/>
                <w:szCs w:val="20"/>
                <w:lang w:val="fr-FR"/>
              </w:rPr>
            </w:pPr>
            <w:r w:rsidRPr="00653BF4">
              <w:rPr>
                <w:sz w:val="20"/>
                <w:szCs w:val="20"/>
                <w:lang w:val="fr-FR"/>
              </w:rPr>
              <w:t>Au Monténégro, compte tenu de la petite taille du pays, l</w:t>
            </w:r>
            <w:r w:rsidR="002A58C8" w:rsidRPr="00653BF4">
              <w:rPr>
                <w:sz w:val="20"/>
                <w:szCs w:val="20"/>
                <w:lang w:val="fr-FR"/>
              </w:rPr>
              <w:t>’</w:t>
            </w:r>
            <w:r w:rsidRPr="00653BF4">
              <w:rPr>
                <w:sz w:val="20"/>
                <w:szCs w:val="20"/>
                <w:lang w:val="fr-FR"/>
              </w:rPr>
              <w:t>accent a été mis sur les possibilités de coopération transfrontalière avec les pays voisins (permettant ainsi d</w:t>
            </w:r>
            <w:r w:rsidR="002A58C8" w:rsidRPr="00653BF4">
              <w:rPr>
                <w:sz w:val="20"/>
                <w:szCs w:val="20"/>
                <w:lang w:val="fr-FR"/>
              </w:rPr>
              <w:t>’</w:t>
            </w:r>
            <w:r w:rsidRPr="00653BF4">
              <w:rPr>
                <w:sz w:val="20"/>
                <w:szCs w:val="20"/>
                <w:lang w:val="fr-FR"/>
              </w:rPr>
              <w:t>accroître l</w:t>
            </w:r>
            <w:r w:rsidR="002A58C8" w:rsidRPr="00653BF4">
              <w:rPr>
                <w:sz w:val="20"/>
                <w:szCs w:val="20"/>
                <w:lang w:val="fr-FR"/>
              </w:rPr>
              <w:t>’</w:t>
            </w:r>
            <w:r w:rsidRPr="00653BF4">
              <w:rPr>
                <w:sz w:val="20"/>
                <w:szCs w:val="20"/>
                <w:lang w:val="fr-FR"/>
              </w:rPr>
              <w:t>efficacité et d</w:t>
            </w:r>
            <w:r w:rsidR="002A58C8" w:rsidRPr="00653BF4">
              <w:rPr>
                <w:sz w:val="20"/>
                <w:szCs w:val="20"/>
                <w:lang w:val="fr-FR"/>
              </w:rPr>
              <w:t>’</w:t>
            </w:r>
            <w:r w:rsidRPr="00653BF4">
              <w:rPr>
                <w:sz w:val="20"/>
                <w:szCs w:val="20"/>
                <w:lang w:val="fr-FR"/>
              </w:rPr>
              <w:t>atténuer les coûts), notamment en ce qui concerne les</w:t>
            </w:r>
            <w:r w:rsidR="00E477E7" w:rsidRPr="00653BF4">
              <w:rPr>
                <w:sz w:val="20"/>
                <w:szCs w:val="20"/>
                <w:lang w:val="fr-FR"/>
              </w:rPr>
              <w:t xml:space="preserve"> zones </w:t>
            </w:r>
            <w:r w:rsidRPr="00653BF4">
              <w:rPr>
                <w:sz w:val="20"/>
                <w:szCs w:val="20"/>
                <w:lang w:val="fr-FR"/>
              </w:rPr>
              <w:t>protégées et les espèces exotiques envahissantes.</w:t>
            </w:r>
          </w:p>
          <w:p w14:paraId="5B1EFEC1" w14:textId="1DEF4227" w:rsidR="00EF0655" w:rsidRPr="00653BF4" w:rsidRDefault="00FB3C67" w:rsidP="00FB3C67">
            <w:pPr>
              <w:rPr>
                <w:sz w:val="20"/>
                <w:szCs w:val="20"/>
                <w:lang w:val="fr-FR"/>
              </w:rPr>
            </w:pPr>
            <w:r w:rsidRPr="00653BF4">
              <w:rPr>
                <w:sz w:val="20"/>
                <w:szCs w:val="20"/>
                <w:lang w:val="fr-FR"/>
              </w:rPr>
              <w:t xml:space="preserve">La méthodologie </w:t>
            </w:r>
            <w:r w:rsidR="00CE43EB" w:rsidRPr="00653BF4">
              <w:rPr>
                <w:sz w:val="20"/>
                <w:szCs w:val="20"/>
                <w:lang w:val="fr-FR"/>
              </w:rPr>
              <w:t>de l</w:t>
            </w:r>
            <w:r w:rsidR="002A58C8" w:rsidRPr="00653BF4">
              <w:rPr>
                <w:sz w:val="20"/>
                <w:szCs w:val="20"/>
                <w:lang w:val="fr-FR"/>
              </w:rPr>
              <w:t>’</w:t>
            </w:r>
            <w:r w:rsidR="00CE43EB" w:rsidRPr="00653BF4">
              <w:rPr>
                <w:sz w:val="20"/>
                <w:szCs w:val="20"/>
                <w:lang w:val="fr-FR"/>
              </w:rPr>
              <w:t xml:space="preserve">examen collégial volontaire </w:t>
            </w:r>
            <w:r w:rsidRPr="00653BF4">
              <w:rPr>
                <w:sz w:val="20"/>
                <w:szCs w:val="20"/>
                <w:lang w:val="fr-FR"/>
              </w:rPr>
              <w:t>a été révisée en 2025 afin de l</w:t>
            </w:r>
            <w:r w:rsidR="002A58C8" w:rsidRPr="00653BF4">
              <w:rPr>
                <w:sz w:val="20"/>
                <w:szCs w:val="20"/>
                <w:lang w:val="fr-FR"/>
              </w:rPr>
              <w:t>’</w:t>
            </w:r>
            <w:r w:rsidRPr="00653BF4">
              <w:rPr>
                <w:sz w:val="20"/>
                <w:szCs w:val="20"/>
                <w:lang w:val="fr-FR"/>
              </w:rPr>
              <w:t>aligner sur le Cadre et les récentes décisions de la Conférence des Parties. La méthodologie modifiée a été mise à disposition pour examen sur le site web de la Convention</w:t>
            </w:r>
            <w:r w:rsidR="005079D0" w:rsidRPr="00653BF4">
              <w:rPr>
                <w:sz w:val="20"/>
                <w:szCs w:val="20"/>
                <w:vertAlign w:val="superscript"/>
                <w:lang w:val="fr-FR"/>
              </w:rPr>
              <w:t>a</w:t>
            </w:r>
            <w:r w:rsidRPr="00653BF4">
              <w:rPr>
                <w:sz w:val="20"/>
                <w:szCs w:val="20"/>
                <w:vertAlign w:val="superscript"/>
                <w:lang w:val="fr-FR"/>
              </w:rPr>
              <w:t>.</w:t>
            </w:r>
            <w:r w:rsidR="00EF0655" w:rsidRPr="00653BF4">
              <w:rPr>
                <w:sz w:val="20"/>
                <w:szCs w:val="20"/>
                <w:lang w:val="fr-FR"/>
              </w:rPr>
              <w:t xml:space="preserve"> </w:t>
            </w:r>
            <w:r w:rsidR="003506E2" w:rsidRPr="00653BF4">
              <w:rPr>
                <w:sz w:val="20"/>
                <w:szCs w:val="20"/>
                <w:lang w:val="fr-FR"/>
              </w:rPr>
              <w:t>L</w:t>
            </w:r>
            <w:r w:rsidR="002A58C8" w:rsidRPr="00653BF4">
              <w:rPr>
                <w:sz w:val="20"/>
                <w:szCs w:val="20"/>
                <w:lang w:val="fr-FR"/>
              </w:rPr>
              <w:t>’</w:t>
            </w:r>
            <w:r w:rsidR="003506E2" w:rsidRPr="00653BF4">
              <w:rPr>
                <w:sz w:val="20"/>
                <w:szCs w:val="20"/>
                <w:lang w:val="fr-FR"/>
              </w:rPr>
              <w:t>examen de l</w:t>
            </w:r>
            <w:r w:rsidR="002A58C8" w:rsidRPr="00653BF4">
              <w:rPr>
                <w:sz w:val="20"/>
                <w:szCs w:val="20"/>
                <w:lang w:val="fr-FR"/>
              </w:rPr>
              <w:t>’</w:t>
            </w:r>
            <w:r w:rsidR="003506E2" w:rsidRPr="00653BF4">
              <w:rPr>
                <w:sz w:val="20"/>
                <w:szCs w:val="20"/>
                <w:lang w:val="fr-FR"/>
              </w:rPr>
              <w:t>élaboration et de la mise en œuvre des SPANB pour le Luxembourg est en cours et les conclusions seront présentées lors de la dix-septième réunion de la Conférence des Parties, en octobre 2026.</w:t>
            </w:r>
          </w:p>
          <w:p w14:paraId="05D9229A" w14:textId="77777777" w:rsidR="00C419F7" w:rsidRPr="00653BF4" w:rsidRDefault="00C419F7" w:rsidP="003E38A4">
            <w:pPr>
              <w:rPr>
                <w:i/>
                <w:iCs/>
                <w:sz w:val="20"/>
                <w:szCs w:val="20"/>
                <w:lang w:val="fr-FR"/>
              </w:rPr>
            </w:pPr>
          </w:p>
          <w:p w14:paraId="037E1B6B" w14:textId="29893338" w:rsidR="00412236" w:rsidRPr="00653BF4" w:rsidRDefault="003506E2" w:rsidP="003506E2">
            <w:pPr>
              <w:rPr>
                <w:i/>
                <w:iCs/>
                <w:sz w:val="20"/>
                <w:szCs w:val="20"/>
                <w:lang w:val="fr-FR"/>
              </w:rPr>
            </w:pPr>
            <w:r w:rsidRPr="00653BF4">
              <w:rPr>
                <w:i/>
                <w:iCs/>
                <w:sz w:val="20"/>
                <w:szCs w:val="20"/>
                <w:lang w:val="fr-FR"/>
              </w:rPr>
              <w:t>Les décisions pertinentes de la Conférence des Parties à cet égard sont les suivantes</w:t>
            </w:r>
            <w:r w:rsidR="00E34DC9">
              <w:rPr>
                <w:i/>
                <w:iCs/>
                <w:sz w:val="20"/>
                <w:szCs w:val="20"/>
                <w:lang w:val="fr-FR"/>
              </w:rPr>
              <w:t> :</w:t>
            </w:r>
            <w:r w:rsidRPr="00653BF4">
              <w:rPr>
                <w:i/>
                <w:iCs/>
                <w:sz w:val="20"/>
                <w:szCs w:val="20"/>
                <w:lang w:val="fr-FR"/>
              </w:rPr>
              <w:t xml:space="preserve"> les décision</w:t>
            </w:r>
            <w:r w:rsidR="005A5615" w:rsidRPr="00653BF4">
              <w:rPr>
                <w:i/>
                <w:iCs/>
                <w:sz w:val="20"/>
                <w:szCs w:val="20"/>
                <w:lang w:val="fr-FR"/>
              </w:rPr>
              <w:t>s </w:t>
            </w:r>
            <w:r w:rsidR="00A31CEE" w:rsidRPr="00653BF4">
              <w:rPr>
                <w:i/>
                <w:iCs/>
                <w:sz w:val="20"/>
                <w:szCs w:val="20"/>
                <w:lang w:val="fr-FR"/>
              </w:rPr>
              <w:t>IX/8</w:t>
            </w:r>
            <w:r w:rsidR="00390CDF" w:rsidRPr="00653BF4">
              <w:rPr>
                <w:i/>
                <w:iCs/>
                <w:sz w:val="20"/>
                <w:szCs w:val="20"/>
                <w:lang w:val="fr-FR"/>
              </w:rPr>
              <w:t xml:space="preserve"> </w:t>
            </w:r>
            <w:r w:rsidR="00522820" w:rsidRPr="00653BF4">
              <w:rPr>
                <w:i/>
                <w:iCs/>
                <w:noProof/>
                <w:sz w:val="20"/>
                <w:szCs w:val="20"/>
                <w:lang w:val="fr-FR"/>
              </w:rPr>
              <w:t>(</w:t>
            </w:r>
            <w:r w:rsidR="00711DD2" w:rsidRPr="00653BF4">
              <w:rPr>
                <w:i/>
                <w:iCs/>
                <w:noProof/>
                <w:sz w:val="20"/>
                <w:szCs w:val="20"/>
                <w:lang w:val="fr-FR"/>
              </w:rPr>
              <w:t>CDB</w:t>
            </w:r>
            <w:r w:rsidR="00522820" w:rsidRPr="00653BF4">
              <w:rPr>
                <w:i/>
                <w:iCs/>
                <w:noProof/>
                <w:sz w:val="20"/>
                <w:szCs w:val="20"/>
                <w:lang w:val="fr-FR"/>
              </w:rPr>
              <w:t>, 2008)</w:t>
            </w:r>
            <w:r w:rsidR="00A31CEE" w:rsidRPr="00653BF4">
              <w:rPr>
                <w:i/>
                <w:iCs/>
                <w:sz w:val="20"/>
                <w:szCs w:val="20"/>
                <w:lang w:val="fr-FR"/>
              </w:rPr>
              <w:t>, XI/12</w:t>
            </w:r>
            <w:r w:rsidR="00A319C3" w:rsidRPr="00653BF4">
              <w:rPr>
                <w:i/>
                <w:iCs/>
                <w:sz w:val="20"/>
                <w:szCs w:val="20"/>
                <w:lang w:val="fr-FR"/>
              </w:rPr>
              <w:t xml:space="preserve"> </w:t>
            </w:r>
            <w:r w:rsidR="00522820" w:rsidRPr="00653BF4">
              <w:rPr>
                <w:i/>
                <w:iCs/>
                <w:noProof/>
                <w:sz w:val="20"/>
                <w:szCs w:val="20"/>
                <w:lang w:val="fr-FR"/>
              </w:rPr>
              <w:t>(</w:t>
            </w:r>
            <w:r w:rsidR="00711DD2" w:rsidRPr="00653BF4">
              <w:rPr>
                <w:i/>
                <w:iCs/>
                <w:noProof/>
                <w:sz w:val="20"/>
                <w:szCs w:val="20"/>
                <w:lang w:val="fr-FR"/>
              </w:rPr>
              <w:t>CDB</w:t>
            </w:r>
            <w:r w:rsidR="00522820" w:rsidRPr="00653BF4">
              <w:rPr>
                <w:i/>
                <w:iCs/>
                <w:noProof/>
                <w:sz w:val="20"/>
                <w:szCs w:val="20"/>
                <w:lang w:val="fr-FR"/>
              </w:rPr>
              <w:t>, 2012)</w:t>
            </w:r>
            <w:r w:rsidR="00A31CEE" w:rsidRPr="00653BF4">
              <w:rPr>
                <w:i/>
                <w:iCs/>
                <w:sz w:val="20"/>
                <w:szCs w:val="20"/>
                <w:lang w:val="fr-FR"/>
              </w:rPr>
              <w:t>, XIII/25</w:t>
            </w:r>
            <w:r w:rsidR="00390CDF" w:rsidRPr="00653BF4">
              <w:rPr>
                <w:i/>
                <w:iCs/>
                <w:sz w:val="20"/>
                <w:szCs w:val="20"/>
                <w:lang w:val="fr-FR"/>
              </w:rPr>
              <w:t xml:space="preserve"> </w:t>
            </w:r>
            <w:r w:rsidR="00522820" w:rsidRPr="00653BF4">
              <w:rPr>
                <w:i/>
                <w:iCs/>
                <w:noProof/>
                <w:sz w:val="20"/>
                <w:szCs w:val="20"/>
                <w:lang w:val="fr-FR"/>
              </w:rPr>
              <w:t>(</w:t>
            </w:r>
            <w:r w:rsidR="00711DD2" w:rsidRPr="00653BF4">
              <w:rPr>
                <w:i/>
                <w:iCs/>
                <w:noProof/>
                <w:sz w:val="20"/>
                <w:szCs w:val="20"/>
                <w:lang w:val="fr-FR"/>
              </w:rPr>
              <w:t>CDB</w:t>
            </w:r>
            <w:r w:rsidR="00522820" w:rsidRPr="00653BF4">
              <w:rPr>
                <w:i/>
                <w:iCs/>
                <w:noProof/>
                <w:sz w:val="20"/>
                <w:szCs w:val="20"/>
                <w:lang w:val="fr-FR"/>
              </w:rPr>
              <w:t>, 2016)</w:t>
            </w:r>
            <w:r w:rsidR="00A31CEE" w:rsidRPr="00653BF4">
              <w:rPr>
                <w:i/>
                <w:iCs/>
                <w:sz w:val="20"/>
                <w:szCs w:val="20"/>
                <w:lang w:val="fr-FR"/>
              </w:rPr>
              <w:t xml:space="preserve">, </w:t>
            </w:r>
            <w:r w:rsidR="00A319C3" w:rsidRPr="00653BF4">
              <w:rPr>
                <w:i/>
                <w:iCs/>
                <w:sz w:val="20"/>
                <w:szCs w:val="20"/>
                <w:lang w:val="fr-FR"/>
              </w:rPr>
              <w:t>1</w:t>
            </w:r>
            <w:r w:rsidR="00A31CEE" w:rsidRPr="00653BF4">
              <w:rPr>
                <w:i/>
                <w:iCs/>
                <w:sz w:val="20"/>
                <w:szCs w:val="20"/>
                <w:lang w:val="fr-FR"/>
              </w:rPr>
              <w:t>4/29</w:t>
            </w:r>
            <w:r w:rsidR="00A319C3" w:rsidRPr="00653BF4">
              <w:rPr>
                <w:i/>
                <w:iCs/>
                <w:sz w:val="20"/>
                <w:szCs w:val="20"/>
                <w:lang w:val="fr-FR"/>
              </w:rPr>
              <w:t xml:space="preserve"> </w:t>
            </w:r>
            <w:r w:rsidR="00522820" w:rsidRPr="00653BF4">
              <w:rPr>
                <w:i/>
                <w:iCs/>
                <w:noProof/>
                <w:sz w:val="20"/>
                <w:szCs w:val="20"/>
                <w:lang w:val="fr-FR"/>
              </w:rPr>
              <w:t>(</w:t>
            </w:r>
            <w:r w:rsidR="00711DD2" w:rsidRPr="00653BF4">
              <w:rPr>
                <w:i/>
                <w:iCs/>
                <w:noProof/>
                <w:sz w:val="20"/>
                <w:szCs w:val="20"/>
                <w:lang w:val="fr-FR"/>
              </w:rPr>
              <w:t>CDB</w:t>
            </w:r>
            <w:r w:rsidR="00522820" w:rsidRPr="00653BF4">
              <w:rPr>
                <w:i/>
                <w:iCs/>
                <w:noProof/>
                <w:sz w:val="20"/>
                <w:szCs w:val="20"/>
                <w:lang w:val="fr-FR"/>
              </w:rPr>
              <w:t>, 2019)</w:t>
            </w:r>
            <w:r w:rsidR="00446BD7" w:rsidRPr="00653BF4">
              <w:rPr>
                <w:i/>
                <w:iCs/>
                <w:sz w:val="20"/>
                <w:szCs w:val="20"/>
                <w:lang w:val="fr-FR"/>
              </w:rPr>
              <w:t xml:space="preserve"> </w:t>
            </w:r>
            <w:r w:rsidR="00A54EF9" w:rsidRPr="00653BF4">
              <w:rPr>
                <w:i/>
                <w:iCs/>
                <w:sz w:val="20"/>
                <w:szCs w:val="20"/>
                <w:lang w:val="fr-FR"/>
              </w:rPr>
              <w:t>et</w:t>
            </w:r>
            <w:r w:rsidR="00A31CEE" w:rsidRPr="00653BF4">
              <w:rPr>
                <w:i/>
                <w:iCs/>
                <w:sz w:val="20"/>
                <w:szCs w:val="20"/>
                <w:lang w:val="fr-FR"/>
              </w:rPr>
              <w:t xml:space="preserve"> 15/6 </w:t>
            </w:r>
            <w:r w:rsidR="00522820" w:rsidRPr="00653BF4">
              <w:rPr>
                <w:i/>
                <w:iCs/>
                <w:noProof/>
                <w:sz w:val="20"/>
                <w:szCs w:val="20"/>
                <w:lang w:val="fr-FR"/>
              </w:rPr>
              <w:t>(</w:t>
            </w:r>
            <w:r w:rsidR="00711DD2" w:rsidRPr="00653BF4">
              <w:rPr>
                <w:i/>
                <w:iCs/>
                <w:noProof/>
                <w:sz w:val="20"/>
                <w:szCs w:val="20"/>
                <w:lang w:val="fr-FR"/>
              </w:rPr>
              <w:t>CDB</w:t>
            </w:r>
            <w:r w:rsidR="00522820" w:rsidRPr="00653BF4">
              <w:rPr>
                <w:i/>
                <w:iCs/>
                <w:noProof/>
                <w:sz w:val="20"/>
                <w:szCs w:val="20"/>
                <w:lang w:val="fr-FR"/>
              </w:rPr>
              <w:t>, 2023)</w:t>
            </w:r>
            <w:r w:rsidR="008C6D7C" w:rsidRPr="00653BF4">
              <w:rPr>
                <w:i/>
                <w:iCs/>
                <w:sz w:val="20"/>
                <w:szCs w:val="20"/>
                <w:lang w:val="fr-FR"/>
              </w:rPr>
              <w:t>.</w:t>
            </w:r>
          </w:p>
          <w:p w14:paraId="082DF594" w14:textId="77777777" w:rsidR="00C419F7" w:rsidRPr="00653BF4" w:rsidRDefault="00C419F7" w:rsidP="003E38A4">
            <w:pPr>
              <w:rPr>
                <w:i/>
                <w:sz w:val="16"/>
                <w:szCs w:val="16"/>
                <w:lang w:val="fr-FR"/>
              </w:rPr>
            </w:pPr>
          </w:p>
          <w:p w14:paraId="13D16B47" w14:textId="3977E5EC" w:rsidR="001E3F64" w:rsidRPr="00653BF4" w:rsidRDefault="0073698F" w:rsidP="001E3F64">
            <w:pPr>
              <w:pStyle w:val="FootnoteText"/>
              <w:rPr>
                <w:sz w:val="16"/>
                <w:szCs w:val="16"/>
                <w:lang w:val="fr-FR"/>
              </w:rPr>
            </w:pPr>
            <w:r w:rsidRPr="00653BF4">
              <w:rPr>
                <w:sz w:val="16"/>
                <w:szCs w:val="16"/>
                <w:vertAlign w:val="superscript"/>
                <w:lang w:val="fr-FR"/>
              </w:rPr>
              <w:t>a</w:t>
            </w:r>
            <w:r w:rsidR="00854627" w:rsidRPr="00653BF4">
              <w:rPr>
                <w:sz w:val="16"/>
                <w:szCs w:val="16"/>
                <w:lang w:val="fr-FR"/>
              </w:rPr>
              <w:t xml:space="preserve"> </w:t>
            </w:r>
            <w:r w:rsidR="005A5615" w:rsidRPr="00653BF4">
              <w:rPr>
                <w:sz w:val="16"/>
                <w:szCs w:val="16"/>
                <w:lang w:val="fr-FR"/>
              </w:rPr>
              <w:t xml:space="preserve">Voir </w:t>
            </w:r>
            <w:hyperlink r:id="rId41" w:history="1">
              <w:r w:rsidR="005A5615" w:rsidRPr="00653BF4">
                <w:rPr>
                  <w:rStyle w:val="Hyperlink"/>
                  <w:sz w:val="16"/>
                  <w:szCs w:val="16"/>
                  <w:lang w:val="fr-FR"/>
                </w:rPr>
                <w:t>www.cbd.int/nbsap/vpr</w:t>
              </w:r>
            </w:hyperlink>
            <w:r w:rsidR="00854627" w:rsidRPr="00653BF4">
              <w:rPr>
                <w:sz w:val="16"/>
                <w:szCs w:val="16"/>
                <w:lang w:val="fr-FR"/>
              </w:rPr>
              <w:t>.</w:t>
            </w:r>
          </w:p>
          <w:p w14:paraId="529BDECB" w14:textId="640D4ACC" w:rsidR="00044EF6" w:rsidRPr="00653BF4" w:rsidRDefault="00044EF6" w:rsidP="008E2840">
            <w:pPr>
              <w:rPr>
                <w:sz w:val="16"/>
                <w:szCs w:val="16"/>
                <w:lang w:val="fr-FR"/>
              </w:rPr>
            </w:pPr>
          </w:p>
        </w:tc>
      </w:tr>
    </w:tbl>
    <w:p w14:paraId="2696A83B" w14:textId="77777777" w:rsidR="00FD1820" w:rsidRPr="00653BF4" w:rsidRDefault="00FD1820" w:rsidP="00FA3E4F">
      <w:pPr>
        <w:rPr>
          <w:b/>
          <w:lang w:val="fr-FR"/>
        </w:rPr>
      </w:pPr>
    </w:p>
    <w:p w14:paraId="700E822B" w14:textId="3F01A354" w:rsidR="00FA3E4F" w:rsidRPr="00653BF4" w:rsidRDefault="006C2D80" w:rsidP="003459AE">
      <w:pPr>
        <w:pStyle w:val="Heading3"/>
        <w:rPr>
          <w:lang w:val="fr-FR"/>
        </w:rPr>
      </w:pPr>
      <w:bookmarkStart w:id="59" w:name="_Toc242801228"/>
      <w:r w:rsidRPr="00653BF4">
        <w:rPr>
          <w:lang w:val="fr-FR"/>
        </w:rPr>
        <w:t>Engagements pris par des acteurs autres que les gouvernements nationaux</w:t>
      </w:r>
      <w:bookmarkEnd w:id="59"/>
    </w:p>
    <w:p w14:paraId="1B0BB2A8" w14:textId="77777777" w:rsidR="00D3135F" w:rsidRPr="00653BF4" w:rsidRDefault="00D3135F" w:rsidP="00D3135F">
      <w:pPr>
        <w:rPr>
          <w:lang w:val="fr-FR"/>
        </w:rPr>
      </w:pPr>
    </w:p>
    <w:p w14:paraId="4BA696B0" w14:textId="450EA5E1" w:rsidR="003B6A8E" w:rsidRPr="00653BF4" w:rsidRDefault="002F403C" w:rsidP="003B6A8E">
      <w:pPr>
        <w:rPr>
          <w:lang w:val="fr-FR"/>
        </w:rPr>
      </w:pPr>
      <w:r w:rsidRPr="00653BF4">
        <w:rPr>
          <w:lang w:val="fr-FR"/>
        </w:rPr>
        <w:t xml:space="preserve">Outre les SPANB, les cibles nationales et les rapports nationaux </w:t>
      </w:r>
      <w:r w:rsidR="00254413" w:rsidRPr="00653BF4">
        <w:rPr>
          <w:lang w:val="fr-FR"/>
        </w:rPr>
        <w:t>qui ont été soumis</w:t>
      </w:r>
      <w:r w:rsidRPr="00653BF4">
        <w:rPr>
          <w:lang w:val="fr-FR"/>
        </w:rPr>
        <w:t xml:space="preserve">, la présente analyse a également </w:t>
      </w:r>
      <w:r w:rsidR="002D3EC4" w:rsidRPr="00653BF4">
        <w:rPr>
          <w:lang w:val="fr-FR"/>
        </w:rPr>
        <w:t>tenu</w:t>
      </w:r>
      <w:r w:rsidRPr="00653BF4">
        <w:rPr>
          <w:lang w:val="fr-FR"/>
        </w:rPr>
        <w:t xml:space="preserve"> compte </w:t>
      </w:r>
      <w:r w:rsidR="009D5F0E" w:rsidRPr="00653BF4">
        <w:rPr>
          <w:lang w:val="fr-FR"/>
        </w:rPr>
        <w:t>d</w:t>
      </w:r>
      <w:r w:rsidRPr="00653BF4">
        <w:rPr>
          <w:lang w:val="fr-FR"/>
        </w:rPr>
        <w:t>es engagements pris par des acteurs autres que les gouvernements nationaux en vue d</w:t>
      </w:r>
      <w:r w:rsidR="002A58C8" w:rsidRPr="00653BF4">
        <w:rPr>
          <w:lang w:val="fr-FR"/>
        </w:rPr>
        <w:t>’</w:t>
      </w:r>
      <w:r w:rsidRPr="00653BF4">
        <w:rPr>
          <w:lang w:val="fr-FR"/>
        </w:rPr>
        <w:t>apporter un appui à la mise en œuvre du Cadre, lesquels ont été présentés via l</w:t>
      </w:r>
      <w:r w:rsidR="002A58C8" w:rsidRPr="00653BF4">
        <w:rPr>
          <w:lang w:val="fr-FR"/>
        </w:rPr>
        <w:t>’</w:t>
      </w:r>
      <w:r w:rsidRPr="00653BF4">
        <w:rPr>
          <w:lang w:val="fr-FR"/>
        </w:rPr>
        <w:t>outil de rapport en ligne de la Convention. Ces engagements ont été présentés à titre volontaire par des acteurs autres que les gouvernements nationaux, en réponse à une invitation de la Conférence des Parties à faire part de leurs engagements en faveur de la mise en œuvre du Cadre. Ces engagements sont distincts des processus de planification, de suivi, d</w:t>
      </w:r>
      <w:r w:rsidR="002A58C8" w:rsidRPr="00653BF4">
        <w:rPr>
          <w:lang w:val="fr-FR"/>
        </w:rPr>
        <w:t>’</w:t>
      </w:r>
      <w:r w:rsidRPr="00653BF4">
        <w:rPr>
          <w:lang w:val="fr-FR"/>
        </w:rPr>
        <w:t>établissement de rapports et d</w:t>
      </w:r>
      <w:r w:rsidR="002A58C8" w:rsidRPr="00653BF4">
        <w:rPr>
          <w:lang w:val="fr-FR"/>
        </w:rPr>
        <w:t>’</w:t>
      </w:r>
      <w:r w:rsidRPr="00653BF4">
        <w:rPr>
          <w:lang w:val="fr-FR"/>
        </w:rPr>
        <w:t>examen menés par les Parties, tout en venant les compléter.</w:t>
      </w:r>
    </w:p>
    <w:p w14:paraId="77A4939E" w14:textId="5332504E" w:rsidR="00FA3E4F" w:rsidRPr="00653BF4" w:rsidRDefault="0029409F" w:rsidP="00FA3E4F">
      <w:pPr>
        <w:rPr>
          <w:lang w:val="fr-FR"/>
        </w:rPr>
      </w:pPr>
      <w:r w:rsidRPr="00653BF4">
        <w:rPr>
          <w:lang w:val="fr-FR"/>
        </w:rPr>
        <w:t>À la date butoir de l</w:t>
      </w:r>
      <w:r w:rsidR="002A58C8" w:rsidRPr="00653BF4">
        <w:rPr>
          <w:lang w:val="fr-FR"/>
        </w:rPr>
        <w:t>’</w:t>
      </w:r>
      <w:r w:rsidRPr="00653BF4">
        <w:rPr>
          <w:lang w:val="fr-FR"/>
        </w:rPr>
        <w:t>analyse, un total de 4 759 engagements avaient été présentés via l</w:t>
      </w:r>
      <w:r w:rsidR="002A58C8" w:rsidRPr="00653BF4">
        <w:rPr>
          <w:lang w:val="fr-FR"/>
        </w:rPr>
        <w:t>’</w:t>
      </w:r>
      <w:r w:rsidRPr="00653BF4">
        <w:rPr>
          <w:lang w:val="fr-FR"/>
        </w:rPr>
        <w:t>outil d</w:t>
      </w:r>
      <w:r w:rsidR="002A58C8" w:rsidRPr="00653BF4">
        <w:rPr>
          <w:lang w:val="fr-FR"/>
        </w:rPr>
        <w:t>’</w:t>
      </w:r>
      <w:r w:rsidRPr="00653BF4">
        <w:rPr>
          <w:lang w:val="fr-FR"/>
        </w:rPr>
        <w:t>établissement de rapports en ligne et examinés dans le cadre de la préparation du rapport mondial. Toutefois, 3 313 de ces soumissions ne comportaient que le nom de l</w:t>
      </w:r>
      <w:r w:rsidR="002A58C8" w:rsidRPr="00653BF4">
        <w:rPr>
          <w:lang w:val="fr-FR"/>
        </w:rPr>
        <w:t>’</w:t>
      </w:r>
      <w:r w:rsidRPr="00653BF4">
        <w:rPr>
          <w:lang w:val="fr-FR"/>
        </w:rPr>
        <w:t>organisation à l</w:t>
      </w:r>
      <w:r w:rsidR="002A58C8" w:rsidRPr="00653BF4">
        <w:rPr>
          <w:lang w:val="fr-FR"/>
        </w:rPr>
        <w:t>’</w:t>
      </w:r>
      <w:r w:rsidRPr="00653BF4">
        <w:rPr>
          <w:lang w:val="fr-FR"/>
        </w:rPr>
        <w:t>origine de la soumission et l</w:t>
      </w:r>
      <w:r w:rsidR="002A58C8" w:rsidRPr="00653BF4">
        <w:rPr>
          <w:lang w:val="fr-FR"/>
        </w:rPr>
        <w:t>’</w:t>
      </w:r>
      <w:r w:rsidR="002878D7">
        <w:rPr>
          <w:lang w:val="fr-FR"/>
        </w:rPr>
        <w:t>objectif D</w:t>
      </w:r>
      <w:r w:rsidRPr="00653BF4">
        <w:rPr>
          <w:lang w:val="fr-FR"/>
        </w:rPr>
        <w:t>e l</w:t>
      </w:r>
      <w:r w:rsidR="002A58C8" w:rsidRPr="00653BF4">
        <w:rPr>
          <w:lang w:val="fr-FR"/>
        </w:rPr>
        <w:t>’</w:t>
      </w:r>
      <w:r w:rsidRPr="00653BF4">
        <w:rPr>
          <w:lang w:val="fr-FR"/>
        </w:rPr>
        <w:t>engagement</w:t>
      </w:r>
      <w:r w:rsidR="00E34DC9">
        <w:rPr>
          <w:lang w:val="fr-FR"/>
        </w:rPr>
        <w:t> ;</w:t>
      </w:r>
      <w:r w:rsidRPr="00653BF4">
        <w:rPr>
          <w:lang w:val="fr-FR"/>
        </w:rPr>
        <w:t xml:space="preserve"> 1 214 soumissions ne comportaient pas de description de l</w:t>
      </w:r>
      <w:r w:rsidR="002A58C8" w:rsidRPr="00653BF4">
        <w:rPr>
          <w:lang w:val="fr-FR"/>
        </w:rPr>
        <w:t>’</w:t>
      </w:r>
      <w:r w:rsidRPr="00653BF4">
        <w:rPr>
          <w:lang w:val="fr-FR"/>
        </w:rPr>
        <w:t>engagement</w:t>
      </w:r>
      <w:r w:rsidR="00E34DC9">
        <w:rPr>
          <w:lang w:val="fr-FR"/>
        </w:rPr>
        <w:t> ;</w:t>
      </w:r>
      <w:r w:rsidRPr="00653BF4">
        <w:rPr>
          <w:lang w:val="fr-FR"/>
        </w:rPr>
        <w:t xml:space="preserve"> et 52 constituaient des doublons. </w:t>
      </w:r>
      <w:r w:rsidRPr="00653BF4">
        <w:rPr>
          <w:lang w:val="fr-FR"/>
        </w:rPr>
        <w:lastRenderedPageBreak/>
        <w:t>Par conséquent, seules 180 engagements comportaient des informations suffisantes pour permettre une analyse cohérente</w:t>
      </w:r>
      <w:r w:rsidR="00B80407" w:rsidRPr="00653BF4">
        <w:rPr>
          <w:lang w:val="fr-FR"/>
        </w:rPr>
        <w:t xml:space="preserve"> </w:t>
      </w:r>
      <w:r w:rsidR="00226469" w:rsidRPr="00653BF4">
        <w:rPr>
          <w:lang w:val="fr-FR"/>
        </w:rPr>
        <w:t>(</w:t>
      </w:r>
      <w:hyperlink r:id="rId42" w:history="1">
        <w:r w:rsidR="00226469" w:rsidRPr="00653BF4">
          <w:rPr>
            <w:rStyle w:val="Hyperlink"/>
            <w:lang w:val="fr-FR"/>
          </w:rPr>
          <w:t>CBD/SBSTTA/28/INF/9</w:t>
        </w:r>
      </w:hyperlink>
      <w:r w:rsidR="00226469" w:rsidRPr="00653BF4">
        <w:rPr>
          <w:lang w:val="fr-FR"/>
        </w:rPr>
        <w:t>)</w:t>
      </w:r>
      <w:r w:rsidR="00753FE5" w:rsidRPr="00653BF4">
        <w:rPr>
          <w:lang w:val="fr-FR"/>
        </w:rPr>
        <w:t>.</w:t>
      </w:r>
    </w:p>
    <w:p w14:paraId="482CB023" w14:textId="4ABB535F" w:rsidR="00B55047" w:rsidRPr="00653BF4" w:rsidRDefault="00324FA7" w:rsidP="00B55047">
      <w:pPr>
        <w:rPr>
          <w:rFonts w:ascii="Aptos" w:eastAsia="Aptos" w:hAnsi="Aptos" w:cs="Aptos"/>
          <w:lang w:val="fr-FR"/>
        </w:rPr>
      </w:pPr>
      <w:r w:rsidRPr="00653BF4">
        <w:rPr>
          <w:lang w:val="fr-FR"/>
        </w:rPr>
        <w:t>Bien que des engagements aient été reçus de la part d</w:t>
      </w:r>
      <w:r w:rsidR="002A58C8" w:rsidRPr="00653BF4">
        <w:rPr>
          <w:lang w:val="fr-FR"/>
        </w:rPr>
        <w:t>’</w:t>
      </w:r>
      <w:r w:rsidRPr="00653BF4">
        <w:rPr>
          <w:lang w:val="fr-FR"/>
        </w:rPr>
        <w:t xml:space="preserve">organisations </w:t>
      </w:r>
      <w:r w:rsidR="005A47B3" w:rsidRPr="00653BF4">
        <w:rPr>
          <w:lang w:val="fr-FR"/>
        </w:rPr>
        <w:t>établies dans l</w:t>
      </w:r>
      <w:r w:rsidR="002A58C8" w:rsidRPr="00653BF4">
        <w:rPr>
          <w:lang w:val="fr-FR"/>
        </w:rPr>
        <w:t>’</w:t>
      </w:r>
      <w:r w:rsidR="005A47B3" w:rsidRPr="00653BF4">
        <w:rPr>
          <w:lang w:val="fr-FR"/>
        </w:rPr>
        <w:t>ensemble des</w:t>
      </w:r>
      <w:r w:rsidRPr="00653BF4">
        <w:rPr>
          <w:lang w:val="fr-FR"/>
        </w:rPr>
        <w:t xml:space="preserve"> régions, les trois quarts </w:t>
      </w:r>
      <w:r w:rsidR="00B47351" w:rsidRPr="00653BF4">
        <w:rPr>
          <w:lang w:val="fr-FR"/>
        </w:rPr>
        <w:t xml:space="preserve">environ </w:t>
      </w:r>
      <w:r w:rsidR="00C426D9" w:rsidRPr="00653BF4">
        <w:rPr>
          <w:lang w:val="fr-FR"/>
        </w:rPr>
        <w:t>de ceux qui ont fait l</w:t>
      </w:r>
      <w:r w:rsidR="002A58C8" w:rsidRPr="00653BF4">
        <w:rPr>
          <w:lang w:val="fr-FR"/>
        </w:rPr>
        <w:t>’</w:t>
      </w:r>
      <w:r w:rsidR="00C426D9" w:rsidRPr="00653BF4">
        <w:rPr>
          <w:lang w:val="fr-FR"/>
        </w:rPr>
        <w:t>objet d</w:t>
      </w:r>
      <w:r w:rsidR="002A58C8" w:rsidRPr="00653BF4">
        <w:rPr>
          <w:lang w:val="fr-FR"/>
        </w:rPr>
        <w:t>’</w:t>
      </w:r>
      <w:r w:rsidR="00C426D9" w:rsidRPr="00653BF4">
        <w:rPr>
          <w:lang w:val="fr-FR"/>
        </w:rPr>
        <w:t>une analyse émanent</w:t>
      </w:r>
      <w:r w:rsidRPr="00653BF4">
        <w:rPr>
          <w:lang w:val="fr-FR"/>
        </w:rPr>
        <w:t xml:space="preserve"> </w:t>
      </w:r>
      <w:r w:rsidR="00C426D9" w:rsidRPr="00653BF4">
        <w:rPr>
          <w:lang w:val="fr-FR"/>
        </w:rPr>
        <w:t>d</w:t>
      </w:r>
      <w:r w:rsidR="002A58C8" w:rsidRPr="00653BF4">
        <w:rPr>
          <w:lang w:val="fr-FR"/>
        </w:rPr>
        <w:t>’</w:t>
      </w:r>
      <w:r w:rsidRPr="00653BF4">
        <w:rPr>
          <w:lang w:val="fr-FR"/>
        </w:rPr>
        <w:t>acteurs situés dans la région des États d</w:t>
      </w:r>
      <w:r w:rsidR="002A58C8" w:rsidRPr="00653BF4">
        <w:rPr>
          <w:lang w:val="fr-FR"/>
        </w:rPr>
        <w:t>’</w:t>
      </w:r>
      <w:r w:rsidRPr="00653BF4">
        <w:rPr>
          <w:lang w:val="fr-FR"/>
        </w:rPr>
        <w:t xml:space="preserve">Europe occidentale et autres États. Onze pour cent des engagements ont été </w:t>
      </w:r>
      <w:r w:rsidR="005D4C35" w:rsidRPr="00653BF4">
        <w:rPr>
          <w:lang w:val="fr-FR"/>
        </w:rPr>
        <w:t xml:space="preserve">soumis </w:t>
      </w:r>
      <w:r w:rsidRPr="00653BF4">
        <w:rPr>
          <w:lang w:val="fr-FR"/>
        </w:rPr>
        <w:t>par des organisations basées dans la région des États d</w:t>
      </w:r>
      <w:r w:rsidR="002A58C8" w:rsidRPr="00653BF4">
        <w:rPr>
          <w:lang w:val="fr-FR"/>
        </w:rPr>
        <w:t>’</w:t>
      </w:r>
      <w:r w:rsidRPr="00653BF4">
        <w:rPr>
          <w:lang w:val="fr-FR"/>
        </w:rPr>
        <w:t>Amérique latine et des Caraïbes, 8</w:t>
      </w:r>
      <w:r w:rsidR="002878D7">
        <w:rPr>
          <w:lang w:val="fr-FR"/>
        </w:rPr>
        <w:t> %</w:t>
      </w:r>
      <w:r w:rsidRPr="00653BF4">
        <w:rPr>
          <w:lang w:val="fr-FR"/>
        </w:rPr>
        <w:t xml:space="preserve"> provenaient d</w:t>
      </w:r>
      <w:r w:rsidR="002A58C8" w:rsidRPr="00653BF4">
        <w:rPr>
          <w:lang w:val="fr-FR"/>
        </w:rPr>
        <w:t>’</w:t>
      </w:r>
      <w:r w:rsidRPr="00653BF4">
        <w:rPr>
          <w:lang w:val="fr-FR"/>
        </w:rPr>
        <w:t>organisations basées dans la région des États d</w:t>
      </w:r>
      <w:r w:rsidR="002A58C8" w:rsidRPr="00653BF4">
        <w:rPr>
          <w:lang w:val="fr-FR"/>
        </w:rPr>
        <w:t>’</w:t>
      </w:r>
      <w:r w:rsidRPr="00653BF4">
        <w:rPr>
          <w:lang w:val="fr-FR"/>
        </w:rPr>
        <w:t>Asie-Pacifique, 4</w:t>
      </w:r>
      <w:r w:rsidR="002878D7">
        <w:rPr>
          <w:lang w:val="fr-FR"/>
        </w:rPr>
        <w:t> %</w:t>
      </w:r>
      <w:r w:rsidRPr="00653BF4">
        <w:rPr>
          <w:lang w:val="fr-FR"/>
        </w:rPr>
        <w:t xml:space="preserve"> d</w:t>
      </w:r>
      <w:r w:rsidR="002A58C8" w:rsidRPr="00653BF4">
        <w:rPr>
          <w:lang w:val="fr-FR"/>
        </w:rPr>
        <w:t>’</w:t>
      </w:r>
      <w:r w:rsidRPr="00653BF4">
        <w:rPr>
          <w:lang w:val="fr-FR"/>
        </w:rPr>
        <w:t>organisations basées dans la région des États d</w:t>
      </w:r>
      <w:r w:rsidR="002A58C8" w:rsidRPr="00653BF4">
        <w:rPr>
          <w:lang w:val="fr-FR"/>
        </w:rPr>
        <w:t>’</w:t>
      </w:r>
      <w:r w:rsidRPr="00653BF4">
        <w:rPr>
          <w:lang w:val="fr-FR"/>
        </w:rPr>
        <w:t>Europe orientale et 3</w:t>
      </w:r>
      <w:r w:rsidR="002878D7">
        <w:rPr>
          <w:lang w:val="fr-FR"/>
        </w:rPr>
        <w:t> %</w:t>
      </w:r>
      <w:r w:rsidRPr="00653BF4">
        <w:rPr>
          <w:lang w:val="fr-FR"/>
        </w:rPr>
        <w:t xml:space="preserve"> d</w:t>
      </w:r>
      <w:r w:rsidR="002A58C8" w:rsidRPr="00653BF4">
        <w:rPr>
          <w:lang w:val="fr-FR"/>
        </w:rPr>
        <w:t>’</w:t>
      </w:r>
      <w:r w:rsidRPr="00653BF4">
        <w:rPr>
          <w:lang w:val="fr-FR"/>
        </w:rPr>
        <w:t>organisations basées dans la région des États d</w:t>
      </w:r>
      <w:r w:rsidR="002A58C8" w:rsidRPr="00653BF4">
        <w:rPr>
          <w:lang w:val="fr-FR"/>
        </w:rPr>
        <w:t>’</w:t>
      </w:r>
      <w:r w:rsidRPr="00653BF4">
        <w:rPr>
          <w:lang w:val="fr-FR"/>
        </w:rPr>
        <w:t>Afrique. Cinquante-six pour cent des engagements portaient sur des pays spécifiques, tandis que 17</w:t>
      </w:r>
      <w:r w:rsidR="002878D7">
        <w:rPr>
          <w:lang w:val="fr-FR"/>
        </w:rPr>
        <w:t> %</w:t>
      </w:r>
      <w:r w:rsidRPr="00653BF4">
        <w:rPr>
          <w:lang w:val="fr-FR"/>
        </w:rPr>
        <w:t xml:space="preserve"> concernaient plusieurs pays et que 27</w:t>
      </w:r>
      <w:r w:rsidR="002878D7">
        <w:rPr>
          <w:lang w:val="fr-FR"/>
        </w:rPr>
        <w:t> %</w:t>
      </w:r>
      <w:r w:rsidRPr="00653BF4">
        <w:rPr>
          <w:lang w:val="fr-FR"/>
        </w:rPr>
        <w:t xml:space="preserve"> avaient une portée mondiale. Certaines organisations ont présenté plusieurs engagements. </w:t>
      </w:r>
      <w:r w:rsidR="00901FB6" w:rsidRPr="00653BF4">
        <w:rPr>
          <w:lang w:val="fr-FR"/>
        </w:rPr>
        <w:t>Le nombre limité de contributions ayant pu être analysées et leur portée géographique sont des éléments à prendre en compte lors de l</w:t>
      </w:r>
      <w:r w:rsidR="002A58C8" w:rsidRPr="00653BF4">
        <w:rPr>
          <w:lang w:val="fr-FR"/>
        </w:rPr>
        <w:t>’</w:t>
      </w:r>
      <w:r w:rsidR="00901FB6" w:rsidRPr="00653BF4">
        <w:rPr>
          <w:lang w:val="fr-FR"/>
        </w:rPr>
        <w:t>examen de ces informations.</w:t>
      </w:r>
    </w:p>
    <w:p w14:paraId="651ED2B9" w14:textId="39314846" w:rsidR="000A5CAB" w:rsidRPr="00653BF4" w:rsidRDefault="002D312B" w:rsidP="000A5CAB">
      <w:pPr>
        <w:rPr>
          <w:rFonts w:ascii="Aptos" w:eastAsia="Aptos" w:hAnsi="Aptos" w:cs="Aptos"/>
          <w:lang w:val="fr-FR"/>
        </w:rPr>
      </w:pPr>
      <w:r w:rsidRPr="00653BF4">
        <w:rPr>
          <w:rFonts w:ascii="Aptos" w:eastAsia="Aptos" w:hAnsi="Aptos" w:cs="Aptos"/>
          <w:lang w:val="fr-FR"/>
        </w:rPr>
        <w:t>Sur les 180 engagements qui ont pu être analysés, bon nombre portaient sur plusieurs cibles du Cadre et certains étaient transversaux et concernaient l</w:t>
      </w:r>
      <w:r w:rsidR="002A58C8" w:rsidRPr="00653BF4">
        <w:rPr>
          <w:rFonts w:ascii="Aptos" w:eastAsia="Aptos" w:hAnsi="Aptos" w:cs="Aptos"/>
          <w:lang w:val="fr-FR"/>
        </w:rPr>
        <w:t>’</w:t>
      </w:r>
      <w:r w:rsidRPr="00653BF4">
        <w:rPr>
          <w:rFonts w:ascii="Aptos" w:eastAsia="Aptos" w:hAnsi="Aptos" w:cs="Aptos"/>
          <w:lang w:val="fr-FR"/>
        </w:rPr>
        <w:t xml:space="preserve">ensemble des cibles. Bien que des engagements relatifs à toutes les cibles du Cadre aient été présentés, leur </w:t>
      </w:r>
      <w:r w:rsidR="009F792A" w:rsidRPr="00653BF4">
        <w:rPr>
          <w:rFonts w:ascii="Aptos" w:eastAsia="Aptos" w:hAnsi="Aptos" w:cs="Aptos"/>
          <w:lang w:val="fr-FR"/>
        </w:rPr>
        <w:t>prise en compte</w:t>
      </w:r>
      <w:r w:rsidRPr="00653BF4">
        <w:rPr>
          <w:rFonts w:ascii="Aptos" w:eastAsia="Aptos" w:hAnsi="Aptos" w:cs="Aptos"/>
          <w:lang w:val="fr-FR"/>
        </w:rPr>
        <w:t xml:space="preserve"> était inégale. Les </w:t>
      </w:r>
      <w:r w:rsidR="00634C92" w:rsidRPr="00653BF4">
        <w:rPr>
          <w:rFonts w:ascii="Aptos" w:eastAsia="Aptos" w:hAnsi="Aptos" w:cs="Aptos"/>
          <w:lang w:val="fr-FR"/>
        </w:rPr>
        <w:t>cible</w:t>
      </w:r>
      <w:r w:rsidRPr="00653BF4">
        <w:rPr>
          <w:rFonts w:ascii="Aptos" w:eastAsia="Aptos" w:hAnsi="Aptos" w:cs="Aptos"/>
          <w:lang w:val="fr-FR"/>
        </w:rPr>
        <w:t>s 2, 3, 4 et 22 ainsi que l</w:t>
      </w:r>
      <w:r w:rsidR="002A58C8" w:rsidRPr="00653BF4">
        <w:rPr>
          <w:rFonts w:ascii="Aptos" w:eastAsia="Aptos" w:hAnsi="Aptos" w:cs="Aptos"/>
          <w:lang w:val="fr-FR"/>
        </w:rPr>
        <w:t>’</w:t>
      </w:r>
      <w:r w:rsidR="002878D7">
        <w:rPr>
          <w:rFonts w:ascii="Aptos" w:eastAsia="Aptos" w:hAnsi="Aptos" w:cs="Aptos"/>
          <w:lang w:val="fr-FR"/>
        </w:rPr>
        <w:t>objectif A</w:t>
      </w:r>
      <w:r w:rsidRPr="00653BF4">
        <w:rPr>
          <w:rFonts w:ascii="Aptos" w:eastAsia="Aptos" w:hAnsi="Aptos" w:cs="Aptos"/>
          <w:lang w:val="fr-FR"/>
        </w:rPr>
        <w:t xml:space="preserve"> du Cadre ont été abordés dans le plus grand nombre d</w:t>
      </w:r>
      <w:r w:rsidR="002A58C8" w:rsidRPr="00653BF4">
        <w:rPr>
          <w:rFonts w:ascii="Aptos" w:eastAsia="Aptos" w:hAnsi="Aptos" w:cs="Aptos"/>
          <w:lang w:val="fr-FR"/>
        </w:rPr>
        <w:t>’</w:t>
      </w:r>
      <w:r w:rsidRPr="00653BF4">
        <w:rPr>
          <w:rFonts w:ascii="Aptos" w:eastAsia="Aptos" w:hAnsi="Aptos" w:cs="Aptos"/>
          <w:lang w:val="fr-FR"/>
        </w:rPr>
        <w:t xml:space="preserve">engagements. Les </w:t>
      </w:r>
      <w:r w:rsidR="00634C92" w:rsidRPr="00653BF4">
        <w:rPr>
          <w:rFonts w:ascii="Aptos" w:eastAsia="Aptos" w:hAnsi="Aptos" w:cs="Aptos"/>
          <w:lang w:val="fr-FR"/>
        </w:rPr>
        <w:t>cible</w:t>
      </w:r>
      <w:r w:rsidRPr="00653BF4">
        <w:rPr>
          <w:rFonts w:ascii="Aptos" w:eastAsia="Aptos" w:hAnsi="Aptos" w:cs="Aptos"/>
          <w:lang w:val="fr-FR"/>
        </w:rPr>
        <w:t xml:space="preserve">s 5, 6, 9, 11, 12, 13, 16, 17, 18, 19 et 20, ainsi que les </w:t>
      </w:r>
      <w:r w:rsidR="00AB691B" w:rsidRPr="00653BF4">
        <w:rPr>
          <w:rFonts w:ascii="Aptos" w:eastAsia="Aptos" w:hAnsi="Aptos" w:cs="Aptos"/>
          <w:lang w:val="fr-FR"/>
        </w:rPr>
        <w:t>O</w:t>
      </w:r>
      <w:r w:rsidRPr="00653BF4">
        <w:rPr>
          <w:rFonts w:ascii="Aptos" w:eastAsia="Aptos" w:hAnsi="Aptos" w:cs="Aptos"/>
          <w:lang w:val="fr-FR"/>
        </w:rPr>
        <w:t>bjectifs C et D, ont été abordés dans une bien moindre mesure. La plupart des engagements concernaient la promotion de pratiques durables, la restauration des écosystèmes ou les données et les connaissances. Peu d</w:t>
      </w:r>
      <w:r w:rsidR="002A58C8" w:rsidRPr="00653BF4">
        <w:rPr>
          <w:rFonts w:ascii="Aptos" w:eastAsia="Aptos" w:hAnsi="Aptos" w:cs="Aptos"/>
          <w:lang w:val="fr-FR"/>
        </w:rPr>
        <w:t>’</w:t>
      </w:r>
      <w:r w:rsidRPr="00653BF4">
        <w:rPr>
          <w:rFonts w:ascii="Aptos" w:eastAsia="Aptos" w:hAnsi="Aptos" w:cs="Aptos"/>
          <w:lang w:val="fr-FR"/>
        </w:rPr>
        <w:t>entre eux portaient sur la mobilisation des ressources ou les questions financières, sur la lutte contre les facteurs à l</w:t>
      </w:r>
      <w:r w:rsidR="002A58C8" w:rsidRPr="00653BF4">
        <w:rPr>
          <w:rFonts w:ascii="Aptos" w:eastAsia="Aptos" w:hAnsi="Aptos" w:cs="Aptos"/>
          <w:lang w:val="fr-FR"/>
        </w:rPr>
        <w:t>’</w:t>
      </w:r>
      <w:r w:rsidRPr="00653BF4">
        <w:rPr>
          <w:rFonts w:ascii="Aptos" w:eastAsia="Aptos" w:hAnsi="Aptos" w:cs="Aptos"/>
          <w:lang w:val="fr-FR"/>
        </w:rPr>
        <w:t>origine de la perte de biodiversité, ou encore sur la participation et l</w:t>
      </w:r>
      <w:r w:rsidR="002A58C8" w:rsidRPr="00653BF4">
        <w:rPr>
          <w:rFonts w:ascii="Aptos" w:eastAsia="Aptos" w:hAnsi="Aptos" w:cs="Aptos"/>
          <w:lang w:val="fr-FR"/>
        </w:rPr>
        <w:t>’</w:t>
      </w:r>
      <w:r w:rsidRPr="00653BF4">
        <w:rPr>
          <w:rFonts w:ascii="Aptos" w:eastAsia="Aptos" w:hAnsi="Aptos" w:cs="Aptos"/>
          <w:lang w:val="fr-FR"/>
        </w:rPr>
        <w:t>inclusion dans les décisions relatives à la gestion et à la planification de la biodiversité. La majorité des engagements émanaient d</w:t>
      </w:r>
      <w:r w:rsidR="002A58C8" w:rsidRPr="00653BF4">
        <w:rPr>
          <w:rFonts w:ascii="Aptos" w:eastAsia="Aptos" w:hAnsi="Aptos" w:cs="Aptos"/>
          <w:lang w:val="fr-FR"/>
        </w:rPr>
        <w:t>’</w:t>
      </w:r>
      <w:r w:rsidRPr="00653BF4">
        <w:rPr>
          <w:rFonts w:ascii="Aptos" w:eastAsia="Aptos" w:hAnsi="Aptos" w:cs="Aptos"/>
          <w:lang w:val="fr-FR"/>
        </w:rPr>
        <w:t>organisations non gouvernementales et peu provenaient de groupes ou d</w:t>
      </w:r>
      <w:r w:rsidR="002A58C8" w:rsidRPr="00653BF4">
        <w:rPr>
          <w:rFonts w:ascii="Aptos" w:eastAsia="Aptos" w:hAnsi="Aptos" w:cs="Aptos"/>
          <w:lang w:val="fr-FR"/>
        </w:rPr>
        <w:t>’</w:t>
      </w:r>
      <w:r w:rsidRPr="00653BF4">
        <w:rPr>
          <w:rFonts w:ascii="Aptos" w:eastAsia="Aptos" w:hAnsi="Aptos" w:cs="Aptos"/>
          <w:lang w:val="fr-FR"/>
        </w:rPr>
        <w:t>organisations représentant les entreprises ou l</w:t>
      </w:r>
      <w:r w:rsidR="002A58C8" w:rsidRPr="00653BF4">
        <w:rPr>
          <w:rFonts w:ascii="Aptos" w:eastAsia="Aptos" w:hAnsi="Aptos" w:cs="Aptos"/>
          <w:lang w:val="fr-FR"/>
        </w:rPr>
        <w:t>’</w:t>
      </w:r>
      <w:r w:rsidRPr="00653BF4">
        <w:rPr>
          <w:rFonts w:ascii="Aptos" w:eastAsia="Aptos" w:hAnsi="Aptos" w:cs="Aptos"/>
          <w:lang w:val="fr-FR"/>
        </w:rPr>
        <w:t>industrie, les institutions financières, le monde universitaire et la recherche, les jeunes, les femmes ou les peuples autochtones et communautés locales.</w:t>
      </w:r>
      <w:r w:rsidR="000A5CAB" w:rsidRPr="00653BF4">
        <w:rPr>
          <w:rFonts w:ascii="Aptos" w:eastAsia="Aptos" w:hAnsi="Aptos" w:cs="Aptos"/>
          <w:lang w:val="fr-FR"/>
        </w:rPr>
        <w:t xml:space="preserve"> </w:t>
      </w:r>
    </w:p>
    <w:p w14:paraId="0AC125DB" w14:textId="613A6519" w:rsidR="00905DAB" w:rsidRPr="00653BF4" w:rsidRDefault="001654EB" w:rsidP="00905DAB">
      <w:pPr>
        <w:rPr>
          <w:rFonts w:ascii="Aptos" w:eastAsia="Aptos" w:hAnsi="Aptos" w:cs="Aptos"/>
          <w:lang w:val="fr-FR"/>
        </w:rPr>
      </w:pPr>
      <w:r w:rsidRPr="00653BF4">
        <w:rPr>
          <w:rFonts w:ascii="Aptos" w:eastAsia="Aptos" w:hAnsi="Aptos" w:cs="Aptos"/>
          <w:lang w:val="fr-FR"/>
        </w:rPr>
        <w:t>Ces engagements portaient sur des périodes diverses et étaient plus ou moins détaillés. Par exemple, certains engagements avaient pour date butoir l</w:t>
      </w:r>
      <w:r w:rsidR="002A58C8" w:rsidRPr="00653BF4">
        <w:rPr>
          <w:rFonts w:ascii="Aptos" w:eastAsia="Aptos" w:hAnsi="Aptos" w:cs="Aptos"/>
          <w:lang w:val="fr-FR"/>
        </w:rPr>
        <w:t>’</w:t>
      </w:r>
      <w:r w:rsidRPr="00653BF4">
        <w:rPr>
          <w:rFonts w:ascii="Aptos" w:eastAsia="Aptos" w:hAnsi="Aptos" w:cs="Aptos"/>
          <w:lang w:val="fr-FR"/>
        </w:rPr>
        <w:t>année 2030, tandis que d</w:t>
      </w:r>
      <w:r w:rsidR="002A58C8" w:rsidRPr="00653BF4">
        <w:rPr>
          <w:rFonts w:ascii="Aptos" w:eastAsia="Aptos" w:hAnsi="Aptos" w:cs="Aptos"/>
          <w:lang w:val="fr-FR"/>
        </w:rPr>
        <w:t>’</w:t>
      </w:r>
      <w:r w:rsidRPr="00653BF4">
        <w:rPr>
          <w:rFonts w:ascii="Aptos" w:eastAsia="Aptos" w:hAnsi="Aptos" w:cs="Aptos"/>
          <w:lang w:val="fr-FR"/>
        </w:rPr>
        <w:t>autres s</w:t>
      </w:r>
      <w:r w:rsidR="002A58C8" w:rsidRPr="00653BF4">
        <w:rPr>
          <w:rFonts w:ascii="Aptos" w:eastAsia="Aptos" w:hAnsi="Aptos" w:cs="Aptos"/>
          <w:lang w:val="fr-FR"/>
        </w:rPr>
        <w:t>’</w:t>
      </w:r>
      <w:r w:rsidRPr="00653BF4">
        <w:rPr>
          <w:rFonts w:ascii="Aptos" w:eastAsia="Aptos" w:hAnsi="Aptos" w:cs="Aptos"/>
          <w:lang w:val="fr-FR"/>
        </w:rPr>
        <w:t>étendaient plus loin dans le temps. De plus, certains engagements comportaient des buts ou des objectifs précis, tandis que d</w:t>
      </w:r>
      <w:r w:rsidR="002A58C8" w:rsidRPr="00653BF4">
        <w:rPr>
          <w:rFonts w:ascii="Aptos" w:eastAsia="Aptos" w:hAnsi="Aptos" w:cs="Aptos"/>
          <w:lang w:val="fr-FR"/>
        </w:rPr>
        <w:t>’</w:t>
      </w:r>
      <w:r w:rsidRPr="00653BF4">
        <w:rPr>
          <w:rFonts w:ascii="Aptos" w:eastAsia="Aptos" w:hAnsi="Aptos" w:cs="Aptos"/>
          <w:lang w:val="fr-FR"/>
        </w:rPr>
        <w:t>autres étaient plus généraux et ouverts.</w:t>
      </w:r>
    </w:p>
    <w:p w14:paraId="64C5B171" w14:textId="5529DE64" w:rsidR="00BC4A74" w:rsidRPr="00653BF4" w:rsidRDefault="00BC4A74" w:rsidP="00BC4A74">
      <w:pPr>
        <w:pStyle w:val="Heading2"/>
        <w:rPr>
          <w:lang w:val="fr-FR"/>
        </w:rPr>
      </w:pPr>
      <w:bookmarkStart w:id="60" w:name="_Toc235821047"/>
      <w:bookmarkStart w:id="61" w:name="_Ref236127613"/>
      <w:bookmarkStart w:id="62" w:name="_Ref236127672"/>
      <w:bookmarkStart w:id="63" w:name="_Ref236127722"/>
      <w:bookmarkStart w:id="64" w:name="_Toc239069192"/>
      <w:bookmarkStart w:id="65" w:name="_Toc242801229"/>
      <w:r w:rsidRPr="00653BF4">
        <w:rPr>
          <w:lang w:val="fr-FR"/>
        </w:rPr>
        <w:lastRenderedPageBreak/>
        <w:t xml:space="preserve">II.B </w:t>
      </w:r>
      <w:bookmarkEnd w:id="60"/>
      <w:bookmarkEnd w:id="61"/>
      <w:bookmarkEnd w:id="62"/>
      <w:bookmarkEnd w:id="63"/>
      <w:bookmarkEnd w:id="64"/>
      <w:r w:rsidR="007F3DBB" w:rsidRPr="00653BF4">
        <w:rPr>
          <w:lang w:val="fr-FR"/>
        </w:rPr>
        <w:t>Progrès collectifs accomplis dans la mise en œuvre des cibles</w:t>
      </w:r>
      <w:bookmarkEnd w:id="65"/>
    </w:p>
    <w:p w14:paraId="2F38EAA0" w14:textId="77777777" w:rsidR="00905DAB" w:rsidRPr="00653BF4" w:rsidRDefault="00905DAB" w:rsidP="002A37ED">
      <w:pPr>
        <w:pStyle w:val="Heading3"/>
        <w:rPr>
          <w:lang w:val="fr-FR"/>
        </w:rPr>
      </w:pPr>
      <w:bookmarkStart w:id="66" w:name="_Toc235821048"/>
    </w:p>
    <w:p w14:paraId="363FE5F3" w14:textId="00A2A5A6" w:rsidR="002A37ED" w:rsidRPr="00653BF4" w:rsidRDefault="007F3DBB" w:rsidP="002A37ED">
      <w:pPr>
        <w:pStyle w:val="Heading3"/>
        <w:rPr>
          <w:lang w:val="fr-FR"/>
        </w:rPr>
      </w:pPr>
      <w:bookmarkStart w:id="67" w:name="_Toc242801230"/>
      <w:bookmarkEnd w:id="66"/>
      <w:r w:rsidRPr="00653BF4">
        <w:rPr>
          <w:lang w:val="fr-FR"/>
        </w:rPr>
        <w:t>Présentation d</w:t>
      </w:r>
      <w:r w:rsidR="009A1398" w:rsidRPr="00653BF4">
        <w:rPr>
          <w:lang w:val="fr-FR"/>
        </w:rPr>
        <w:t>u</w:t>
      </w:r>
      <w:r w:rsidRPr="00653BF4">
        <w:rPr>
          <w:lang w:val="fr-FR"/>
        </w:rPr>
        <w:t xml:space="preserve"> résumé des progrès </w:t>
      </w:r>
      <w:r w:rsidR="009A1398" w:rsidRPr="00653BF4">
        <w:rPr>
          <w:lang w:val="fr-FR"/>
        </w:rPr>
        <w:t xml:space="preserve">accomplis </w:t>
      </w:r>
      <w:r w:rsidRPr="00653BF4">
        <w:rPr>
          <w:lang w:val="fr-FR"/>
        </w:rPr>
        <w:t>par cible</w:t>
      </w:r>
      <w:bookmarkEnd w:id="67"/>
    </w:p>
    <w:p w14:paraId="50E902C2" w14:textId="482FC567" w:rsidR="00BE01E6" w:rsidRPr="00653BF4" w:rsidRDefault="007122E1" w:rsidP="00BE01E6">
      <w:pPr>
        <w:rPr>
          <w:lang w:val="fr-FR"/>
        </w:rPr>
      </w:pPr>
      <w:r w:rsidRPr="00653BF4">
        <w:rPr>
          <w:lang w:val="fr-FR"/>
        </w:rPr>
        <w:t>La présente section du rapport mondial propose une évaluation détaillée des progrès collectifs accomplis par les Parties dans la mise en œuvre de chacune des 23 cibles du Cadre. Sur la base de l</w:t>
      </w:r>
      <w:r w:rsidR="002A58C8" w:rsidRPr="00653BF4">
        <w:rPr>
          <w:lang w:val="fr-FR"/>
        </w:rPr>
        <w:t>’</w:t>
      </w:r>
      <w:r w:rsidRPr="00653BF4">
        <w:rPr>
          <w:lang w:val="fr-FR"/>
        </w:rPr>
        <w:t xml:space="preserve">analyse et des méthodologies décrites dans la </w:t>
      </w:r>
      <w:r w:rsidR="002878D7">
        <w:rPr>
          <w:lang w:val="fr-FR"/>
        </w:rPr>
        <w:t>section I</w:t>
      </w:r>
      <w:r w:rsidRPr="00653BF4">
        <w:rPr>
          <w:lang w:val="fr-FR"/>
        </w:rPr>
        <w:t>.A, le résumé de chaque cible est présenté selon un format commun, comprenant des sous-sections, des rubriques et des éléments graphiques standardisés, afin de rendre compte dans chaque cas de l</w:t>
      </w:r>
      <w:r w:rsidR="002A58C8" w:rsidRPr="00653BF4">
        <w:rPr>
          <w:lang w:val="fr-FR"/>
        </w:rPr>
        <w:t>’</w:t>
      </w:r>
      <w:r w:rsidRPr="00653BF4">
        <w:rPr>
          <w:lang w:val="fr-FR"/>
        </w:rPr>
        <w:t xml:space="preserve">évaluation des progrès collectifs accomplis. Le </w:t>
      </w:r>
      <w:r w:rsidR="00FD065A" w:rsidRPr="00653BF4">
        <w:rPr>
          <w:lang w:val="fr-FR"/>
        </w:rPr>
        <w:t>tableau</w:t>
      </w:r>
      <w:r w:rsidRPr="00653BF4">
        <w:rPr>
          <w:lang w:val="fr-FR"/>
        </w:rPr>
        <w:t xml:space="preserve"> 3 et le </w:t>
      </w:r>
      <w:r w:rsidR="00422EC7" w:rsidRPr="00653BF4">
        <w:rPr>
          <w:lang w:val="fr-FR"/>
        </w:rPr>
        <w:t>résumé</w:t>
      </w:r>
      <w:r w:rsidRPr="00653BF4">
        <w:rPr>
          <w:lang w:val="fr-FR"/>
        </w:rPr>
        <w:t xml:space="preserve"> du rapport présentent un aperçu des progrès </w:t>
      </w:r>
      <w:r w:rsidR="00884162" w:rsidRPr="00653BF4">
        <w:rPr>
          <w:lang w:val="fr-FR"/>
        </w:rPr>
        <w:t>accomplis</w:t>
      </w:r>
      <w:r w:rsidRPr="00653BF4">
        <w:rPr>
          <w:lang w:val="fr-FR"/>
        </w:rPr>
        <w:t xml:space="preserve"> pour l</w:t>
      </w:r>
      <w:r w:rsidR="002A58C8" w:rsidRPr="00653BF4">
        <w:rPr>
          <w:lang w:val="fr-FR"/>
        </w:rPr>
        <w:t>’</w:t>
      </w:r>
      <w:r w:rsidRPr="00653BF4">
        <w:rPr>
          <w:lang w:val="fr-FR"/>
        </w:rPr>
        <w:t>ensemble des cibles, à l</w:t>
      </w:r>
      <w:r w:rsidR="002A58C8" w:rsidRPr="00653BF4">
        <w:rPr>
          <w:lang w:val="fr-FR"/>
        </w:rPr>
        <w:t>’</w:t>
      </w:r>
      <w:r w:rsidRPr="00653BF4">
        <w:rPr>
          <w:lang w:val="fr-FR"/>
        </w:rPr>
        <w:t>aide des mesures et des indicateurs tels qu</w:t>
      </w:r>
      <w:r w:rsidR="002A58C8" w:rsidRPr="00653BF4">
        <w:rPr>
          <w:lang w:val="fr-FR"/>
        </w:rPr>
        <w:t>’</w:t>
      </w:r>
      <w:r w:rsidRPr="00653BF4">
        <w:rPr>
          <w:lang w:val="fr-FR"/>
        </w:rPr>
        <w:t xml:space="preserve">indiqués dans les </w:t>
      </w:r>
      <w:r w:rsidR="00422EC7" w:rsidRPr="00653BF4">
        <w:rPr>
          <w:lang w:val="fr-FR"/>
        </w:rPr>
        <w:t>résumé</w:t>
      </w:r>
      <w:r w:rsidRPr="00653BF4">
        <w:rPr>
          <w:lang w:val="fr-FR"/>
        </w:rPr>
        <w:t>s individuels de chaque cible.</w:t>
      </w:r>
    </w:p>
    <w:p w14:paraId="1362C8AD" w14:textId="0B29273A" w:rsidR="00D7429B" w:rsidRPr="00653BF4" w:rsidRDefault="009D0E03" w:rsidP="00D7429B">
      <w:pPr>
        <w:rPr>
          <w:lang w:val="fr-FR"/>
        </w:rPr>
      </w:pPr>
      <w:r w:rsidRPr="00653BF4">
        <w:rPr>
          <w:lang w:val="fr-FR"/>
        </w:rPr>
        <w:t>Chaque résumé de cible comprend les sections suivantes, qui s</w:t>
      </w:r>
      <w:r w:rsidR="002A58C8" w:rsidRPr="00653BF4">
        <w:rPr>
          <w:lang w:val="fr-FR"/>
        </w:rPr>
        <w:t>’</w:t>
      </w:r>
      <w:r w:rsidRPr="00653BF4">
        <w:rPr>
          <w:lang w:val="fr-FR"/>
        </w:rPr>
        <w:t>appuient sur les sources d</w:t>
      </w:r>
      <w:r w:rsidR="002A58C8" w:rsidRPr="00653BF4">
        <w:rPr>
          <w:lang w:val="fr-FR"/>
        </w:rPr>
        <w:t>’</w:t>
      </w:r>
      <w:r w:rsidRPr="00653BF4">
        <w:rPr>
          <w:lang w:val="fr-FR"/>
        </w:rPr>
        <w:t>information indiquées</w:t>
      </w:r>
      <w:r w:rsidR="00E34DC9">
        <w:rPr>
          <w:lang w:val="fr-FR"/>
        </w:rPr>
        <w:t> :</w:t>
      </w:r>
    </w:p>
    <w:p w14:paraId="5C0815C5" w14:textId="5DB71592" w:rsidR="00BF3030" w:rsidRPr="00653BF4" w:rsidRDefault="009D0E03" w:rsidP="00306E04">
      <w:pPr>
        <w:pStyle w:val="ListParagraph"/>
        <w:numPr>
          <w:ilvl w:val="0"/>
          <w:numId w:val="11"/>
        </w:numPr>
        <w:rPr>
          <w:b/>
          <w:bCs/>
          <w:lang w:val="fr-FR"/>
        </w:rPr>
      </w:pPr>
      <w:r w:rsidRPr="00653BF4">
        <w:rPr>
          <w:b/>
          <w:bCs/>
          <w:lang w:val="fr-FR"/>
        </w:rPr>
        <w:t>Texte de la cible</w:t>
      </w:r>
      <w:r w:rsidR="00E34DC9">
        <w:rPr>
          <w:b/>
          <w:bCs/>
          <w:lang w:val="fr-FR"/>
        </w:rPr>
        <w:t> :</w:t>
      </w:r>
      <w:r w:rsidR="00BF3030" w:rsidRPr="00653BF4">
        <w:rPr>
          <w:b/>
          <w:bCs/>
          <w:lang w:val="fr-FR"/>
        </w:rPr>
        <w:t xml:space="preserve"> </w:t>
      </w:r>
      <w:r w:rsidR="00561A66" w:rsidRPr="00653BF4">
        <w:rPr>
          <w:lang w:val="fr-FR"/>
        </w:rPr>
        <w:t xml:space="preserve">le texte intégral de la cible figurant à la section H du Cadre (décision 15/4 de la </w:t>
      </w:r>
      <w:r w:rsidR="00711DD2" w:rsidRPr="00653BF4">
        <w:rPr>
          <w:lang w:val="fr-FR"/>
        </w:rPr>
        <w:t>CDB</w:t>
      </w:r>
      <w:r w:rsidR="00561A66" w:rsidRPr="00653BF4">
        <w:rPr>
          <w:lang w:val="fr-FR"/>
        </w:rPr>
        <w:t>, 2023)</w:t>
      </w:r>
    </w:p>
    <w:p w14:paraId="2BD258E5" w14:textId="0CC788F3" w:rsidR="00AB72A6" w:rsidRPr="00653BF4" w:rsidRDefault="005771C4" w:rsidP="00306E04">
      <w:pPr>
        <w:pStyle w:val="ListParagraph"/>
        <w:numPr>
          <w:ilvl w:val="0"/>
          <w:numId w:val="11"/>
        </w:numPr>
        <w:rPr>
          <w:b/>
          <w:bCs/>
          <w:lang w:val="fr-FR"/>
        </w:rPr>
      </w:pPr>
      <w:r w:rsidRPr="00653BF4">
        <w:rPr>
          <w:b/>
          <w:bCs/>
          <w:lang w:val="fr-FR"/>
        </w:rPr>
        <w:t>Aperçu des progrès accomplis</w:t>
      </w:r>
      <w:r w:rsidR="00E34DC9">
        <w:rPr>
          <w:b/>
          <w:bCs/>
          <w:lang w:val="fr-FR"/>
        </w:rPr>
        <w:t> :</w:t>
      </w:r>
      <w:r w:rsidR="005C50B9" w:rsidRPr="00653BF4">
        <w:rPr>
          <w:b/>
          <w:bCs/>
          <w:lang w:val="fr-FR"/>
        </w:rPr>
        <w:t xml:space="preserve"> </w:t>
      </w:r>
      <w:r w:rsidR="00143997" w:rsidRPr="00653BF4">
        <w:rPr>
          <w:lang w:val="fr-FR"/>
        </w:rPr>
        <w:t xml:space="preserve">une brève description des progrès globaux réalisés dans la mise en œuvre de la cible, élaborée par le </w:t>
      </w:r>
      <w:r w:rsidR="002C36D5" w:rsidRPr="00653BF4">
        <w:rPr>
          <w:lang w:val="fr-FR"/>
        </w:rPr>
        <w:t>secrétariat</w:t>
      </w:r>
      <w:r w:rsidR="00143997" w:rsidRPr="00653BF4">
        <w:rPr>
          <w:lang w:val="fr-FR"/>
        </w:rPr>
        <w:t xml:space="preserve"> en consultation avec le Groupe consultatif scientifique et technique spécial chargé de la préparation du rapport mondial (AHSTAG), et fondée sur l</w:t>
      </w:r>
      <w:r w:rsidR="002A58C8" w:rsidRPr="00653BF4">
        <w:rPr>
          <w:lang w:val="fr-FR"/>
        </w:rPr>
        <w:t>’</w:t>
      </w:r>
      <w:r w:rsidR="00143997" w:rsidRPr="00653BF4">
        <w:rPr>
          <w:lang w:val="fr-FR"/>
        </w:rPr>
        <w:t>ensemble des données disponibles pour le rapport mondial</w:t>
      </w:r>
    </w:p>
    <w:p w14:paraId="1DE0F2DF" w14:textId="6CFA9685" w:rsidR="00AB691E" w:rsidRPr="00653BF4" w:rsidRDefault="004C09EC" w:rsidP="00306E04">
      <w:pPr>
        <w:pStyle w:val="ListParagraph"/>
        <w:numPr>
          <w:ilvl w:val="0"/>
          <w:numId w:val="11"/>
        </w:numPr>
        <w:rPr>
          <w:lang w:val="fr-FR"/>
        </w:rPr>
      </w:pPr>
      <w:r w:rsidRPr="00653BF4">
        <w:rPr>
          <w:b/>
          <w:bCs/>
          <w:lang w:val="fr-FR"/>
        </w:rPr>
        <w:t>Prise en compte</w:t>
      </w:r>
      <w:r w:rsidR="00143997" w:rsidRPr="00653BF4">
        <w:rPr>
          <w:b/>
          <w:bCs/>
          <w:lang w:val="fr-FR"/>
        </w:rPr>
        <w:t xml:space="preserve"> par les Parties </w:t>
      </w:r>
      <w:r w:rsidRPr="00653BF4">
        <w:rPr>
          <w:b/>
          <w:bCs/>
          <w:lang w:val="fr-FR"/>
        </w:rPr>
        <w:t xml:space="preserve">de la portée </w:t>
      </w:r>
      <w:r w:rsidR="00143997" w:rsidRPr="00653BF4">
        <w:rPr>
          <w:b/>
          <w:bCs/>
          <w:lang w:val="fr-FR"/>
        </w:rPr>
        <w:t>de la cible du Cadre dans leurs cibles nationales</w:t>
      </w:r>
      <w:r w:rsidR="00E34DC9">
        <w:rPr>
          <w:b/>
          <w:bCs/>
          <w:lang w:val="fr-FR"/>
        </w:rPr>
        <w:t> :</w:t>
      </w:r>
      <w:r w:rsidR="00087885" w:rsidRPr="00653BF4">
        <w:rPr>
          <w:lang w:val="fr-FR"/>
        </w:rPr>
        <w:t xml:space="preserve"> </w:t>
      </w:r>
      <w:r w:rsidR="00623144" w:rsidRPr="00653BF4">
        <w:rPr>
          <w:lang w:val="fr-FR"/>
        </w:rPr>
        <w:t>c</w:t>
      </w:r>
      <w:r w:rsidR="002D598A" w:rsidRPr="00653BF4">
        <w:rPr>
          <w:lang w:val="fr-FR"/>
        </w:rPr>
        <w:t>ette section présente les différents éléments de la cible du Cadre (voir l</w:t>
      </w:r>
      <w:r w:rsidR="002A58C8" w:rsidRPr="00653BF4">
        <w:rPr>
          <w:lang w:val="fr-FR"/>
        </w:rPr>
        <w:t>’</w:t>
      </w:r>
      <w:r w:rsidR="002D598A" w:rsidRPr="00653BF4">
        <w:rPr>
          <w:lang w:val="fr-FR"/>
        </w:rPr>
        <w:t xml:space="preserve">annexe I au document </w:t>
      </w:r>
      <w:hyperlink r:id="rId43" w:history="1">
        <w:r w:rsidR="00573C04" w:rsidRPr="00653BF4">
          <w:rPr>
            <w:rStyle w:val="Hyperlink"/>
            <w:lang w:val="fr-FR"/>
          </w:rPr>
          <w:t>CBD/COP/16/INF/4</w:t>
        </w:r>
      </w:hyperlink>
      <w:r w:rsidR="00D75B60" w:rsidRPr="00653BF4">
        <w:rPr>
          <w:lang w:val="fr-FR"/>
        </w:rPr>
        <w:t>)</w:t>
      </w:r>
      <w:r w:rsidR="00E34DC9">
        <w:rPr>
          <w:lang w:val="fr-FR"/>
        </w:rPr>
        <w:t> ;</w:t>
      </w:r>
      <w:r w:rsidR="00B95A49" w:rsidRPr="00653BF4">
        <w:rPr>
          <w:lang w:val="fr-FR"/>
        </w:rPr>
        <w:t xml:space="preserve"> </w:t>
      </w:r>
      <w:r w:rsidR="00663AA3" w:rsidRPr="00653BF4">
        <w:rPr>
          <w:lang w:val="fr-FR"/>
        </w:rPr>
        <w:t xml:space="preserve">ainsi que la mesure dans laquelle chaque élément est pris en compte par les Parties dans leurs cibles nationales, tout en prenant note que certains éléments peuvent être considérés comme moins pertinents pour certaines Parties, en fonction de leur situation nationale (voir </w:t>
      </w:r>
      <w:hyperlink r:id="rId44" w:history="1">
        <w:r w:rsidR="00175A8E" w:rsidRPr="00653BF4">
          <w:rPr>
            <w:rStyle w:val="Hyperlink"/>
            <w:lang w:val="fr-FR"/>
          </w:rPr>
          <w:t>CBD/SBI/7/INF/22</w:t>
        </w:r>
      </w:hyperlink>
      <w:r w:rsidR="00DE460D" w:rsidRPr="00653BF4">
        <w:rPr>
          <w:lang w:val="fr-FR"/>
        </w:rPr>
        <w:t>)</w:t>
      </w:r>
    </w:p>
    <w:p w14:paraId="4C0E587C" w14:textId="123A5DC4" w:rsidR="00116815" w:rsidRPr="00653BF4" w:rsidRDefault="00BF6A96" w:rsidP="00BF6A96">
      <w:pPr>
        <w:pStyle w:val="ListParagraph"/>
        <w:numPr>
          <w:ilvl w:val="0"/>
          <w:numId w:val="11"/>
        </w:numPr>
        <w:rPr>
          <w:lang w:val="fr-FR"/>
        </w:rPr>
      </w:pPr>
      <w:r w:rsidRPr="00653BF4">
        <w:rPr>
          <w:b/>
          <w:bCs/>
          <w:lang w:val="fr-FR"/>
        </w:rPr>
        <w:t>Indicateurs de progrès</w:t>
      </w:r>
      <w:r w:rsidR="00E34DC9">
        <w:rPr>
          <w:b/>
          <w:bCs/>
          <w:lang w:val="fr-FR"/>
        </w:rPr>
        <w:t> :</w:t>
      </w:r>
      <w:r w:rsidR="005701EE" w:rsidRPr="00653BF4">
        <w:rPr>
          <w:b/>
          <w:bCs/>
          <w:lang w:val="fr-FR"/>
        </w:rPr>
        <w:t xml:space="preserve"> </w:t>
      </w:r>
      <w:r w:rsidR="00623144" w:rsidRPr="00653BF4">
        <w:rPr>
          <w:lang w:val="fr-FR"/>
        </w:rPr>
        <w:t>c</w:t>
      </w:r>
      <w:r w:rsidRPr="00653BF4">
        <w:rPr>
          <w:lang w:val="fr-FR"/>
        </w:rPr>
        <w:t>ette section présente une évaluation des données fournies par les Parties dans leurs rapports nationaux pour toutes les catégories d</w:t>
      </w:r>
      <w:r w:rsidR="002A58C8" w:rsidRPr="00653BF4">
        <w:rPr>
          <w:lang w:val="fr-FR"/>
        </w:rPr>
        <w:t>’</w:t>
      </w:r>
      <w:r w:rsidRPr="00653BF4">
        <w:rPr>
          <w:lang w:val="fr-FR"/>
        </w:rPr>
        <w:t xml:space="preserve">indicateurs (voir la </w:t>
      </w:r>
      <w:r w:rsidR="002878D7">
        <w:rPr>
          <w:lang w:val="fr-FR"/>
        </w:rPr>
        <w:t>section I</w:t>
      </w:r>
      <w:r w:rsidRPr="00653BF4">
        <w:rPr>
          <w:lang w:val="fr-FR"/>
        </w:rPr>
        <w:t>.A et le document technique distinct</w:t>
      </w:r>
      <w:r w:rsidR="00D12DDB" w:rsidRPr="00653BF4">
        <w:rPr>
          <w:lang w:val="fr-FR"/>
        </w:rPr>
        <w:t xml:space="preserve"> </w:t>
      </w:r>
      <w:r w:rsidR="00027F4E" w:rsidRPr="00653BF4">
        <w:rPr>
          <w:lang w:val="fr-FR"/>
        </w:rPr>
        <w:t>(</w:t>
      </w:r>
      <w:hyperlink r:id="rId45">
        <w:r w:rsidR="007258C8" w:rsidRPr="00653BF4">
          <w:rPr>
            <w:rStyle w:val="Hyperlink"/>
            <w:lang w:val="fr-FR"/>
          </w:rPr>
          <w:t>CBD/SBSTTA/28/INF/9</w:t>
        </w:r>
      </w:hyperlink>
      <w:r w:rsidR="00027F4E" w:rsidRPr="00653BF4">
        <w:rPr>
          <w:lang w:val="fr-FR"/>
        </w:rPr>
        <w:t>)</w:t>
      </w:r>
      <w:r w:rsidR="00860D03" w:rsidRPr="00653BF4">
        <w:rPr>
          <w:lang w:val="fr-FR"/>
        </w:rPr>
        <w:t xml:space="preserve"> </w:t>
      </w:r>
      <w:r w:rsidR="00BE0DB5" w:rsidRPr="00653BF4">
        <w:rPr>
          <w:lang w:val="fr-FR"/>
        </w:rPr>
        <w:t>pour plus de détails sur la méthodologie</w:t>
      </w:r>
      <w:r w:rsidR="00860D03" w:rsidRPr="00653BF4">
        <w:rPr>
          <w:lang w:val="fr-FR"/>
        </w:rPr>
        <w:t>)</w:t>
      </w:r>
    </w:p>
    <w:p w14:paraId="7F17CDE3" w14:textId="174A0CA5" w:rsidR="00595B20" w:rsidRPr="00653BF4" w:rsidRDefault="00623144" w:rsidP="00306E04">
      <w:pPr>
        <w:pStyle w:val="ListParagraph"/>
        <w:numPr>
          <w:ilvl w:val="0"/>
          <w:numId w:val="11"/>
        </w:numPr>
        <w:rPr>
          <w:b/>
          <w:bCs/>
          <w:lang w:val="fr-FR"/>
        </w:rPr>
      </w:pPr>
      <w:r w:rsidRPr="00653BF4">
        <w:rPr>
          <w:b/>
          <w:bCs/>
          <w:lang w:val="fr-FR"/>
        </w:rPr>
        <w:t>Auto-évaluation des progrès accomplis</w:t>
      </w:r>
      <w:r w:rsidR="00E34DC9">
        <w:rPr>
          <w:b/>
          <w:bCs/>
          <w:lang w:val="fr-FR"/>
        </w:rPr>
        <w:t> :</w:t>
      </w:r>
      <w:r w:rsidR="00E77BB5" w:rsidRPr="00653BF4">
        <w:rPr>
          <w:b/>
          <w:bCs/>
          <w:lang w:val="fr-FR"/>
        </w:rPr>
        <w:t xml:space="preserve"> </w:t>
      </w:r>
      <w:r w:rsidR="00266076" w:rsidRPr="00653BF4">
        <w:rPr>
          <w:lang w:val="fr-FR"/>
        </w:rPr>
        <w:t>c</w:t>
      </w:r>
      <w:r w:rsidRPr="00653BF4">
        <w:rPr>
          <w:lang w:val="fr-FR"/>
        </w:rPr>
        <w:t>ette section rassemble les informations fournies par les Parties dans leurs rapports nationaux concernant l</w:t>
      </w:r>
      <w:r w:rsidR="002A58C8" w:rsidRPr="00653BF4">
        <w:rPr>
          <w:lang w:val="fr-FR"/>
        </w:rPr>
        <w:t>’</w:t>
      </w:r>
      <w:r w:rsidRPr="00653BF4">
        <w:rPr>
          <w:lang w:val="fr-FR"/>
        </w:rPr>
        <w:t>état d</w:t>
      </w:r>
      <w:r w:rsidR="002A58C8" w:rsidRPr="00653BF4">
        <w:rPr>
          <w:lang w:val="fr-FR"/>
        </w:rPr>
        <w:t>’</w:t>
      </w:r>
      <w:r w:rsidRPr="00653BF4">
        <w:rPr>
          <w:lang w:val="fr-FR"/>
        </w:rPr>
        <w:t>avancement de la mise en œuvre de leurs cibles nationales</w:t>
      </w:r>
    </w:p>
    <w:p w14:paraId="659BC245" w14:textId="512EA700" w:rsidR="00E16185" w:rsidRPr="00653BF4" w:rsidRDefault="00623144" w:rsidP="00306E04">
      <w:pPr>
        <w:pStyle w:val="ListParagraph"/>
        <w:numPr>
          <w:ilvl w:val="0"/>
          <w:numId w:val="11"/>
        </w:numPr>
        <w:rPr>
          <w:b/>
          <w:bCs/>
          <w:lang w:val="fr-FR"/>
        </w:rPr>
      </w:pPr>
      <w:r w:rsidRPr="00653BF4">
        <w:rPr>
          <w:b/>
          <w:bCs/>
          <w:lang w:val="fr-FR"/>
        </w:rPr>
        <w:lastRenderedPageBreak/>
        <w:t xml:space="preserve">Actions, réussites et </w:t>
      </w:r>
      <w:r w:rsidR="00415859" w:rsidRPr="00653BF4">
        <w:rPr>
          <w:b/>
          <w:bCs/>
          <w:lang w:val="fr-FR"/>
        </w:rPr>
        <w:t>difficultés</w:t>
      </w:r>
      <w:r w:rsidR="00E34DC9">
        <w:rPr>
          <w:b/>
          <w:bCs/>
          <w:lang w:val="fr-FR"/>
        </w:rPr>
        <w:t> :</w:t>
      </w:r>
      <w:r w:rsidR="005D0420" w:rsidRPr="00653BF4">
        <w:rPr>
          <w:b/>
          <w:bCs/>
          <w:lang w:val="fr-FR"/>
        </w:rPr>
        <w:t xml:space="preserve"> </w:t>
      </w:r>
      <w:r w:rsidR="00266076" w:rsidRPr="00653BF4">
        <w:rPr>
          <w:lang w:val="fr-FR"/>
        </w:rPr>
        <w:t>c</w:t>
      </w:r>
      <w:r w:rsidR="00034D7D" w:rsidRPr="00653BF4">
        <w:rPr>
          <w:lang w:val="fr-FR"/>
        </w:rPr>
        <w:t xml:space="preserve">ette section présente un </w:t>
      </w:r>
      <w:r w:rsidR="00422EC7" w:rsidRPr="00653BF4">
        <w:rPr>
          <w:lang w:val="fr-FR"/>
        </w:rPr>
        <w:t>résumé</w:t>
      </w:r>
      <w:r w:rsidR="00034D7D" w:rsidRPr="00653BF4">
        <w:rPr>
          <w:lang w:val="fr-FR"/>
        </w:rPr>
        <w:t xml:space="preserve"> des informations fournies dans les rapports nationaux concernant les types de mesures mises en œuvre pour apporter l</w:t>
      </w:r>
      <w:r w:rsidR="002A58C8" w:rsidRPr="00653BF4">
        <w:rPr>
          <w:lang w:val="fr-FR"/>
        </w:rPr>
        <w:t>’</w:t>
      </w:r>
      <w:r w:rsidR="00034D7D" w:rsidRPr="00653BF4">
        <w:rPr>
          <w:lang w:val="fr-FR"/>
        </w:rPr>
        <w:t xml:space="preserve">appui nécessaire à la réalisation de la cible concernée, ainsi que les difficultés rencontrées, y compris celles liées aux moyens de mise en œuvre. Ces </w:t>
      </w:r>
      <w:r w:rsidR="00422EC7" w:rsidRPr="00653BF4">
        <w:rPr>
          <w:lang w:val="fr-FR"/>
        </w:rPr>
        <w:t>résumé</w:t>
      </w:r>
      <w:r w:rsidR="00034D7D" w:rsidRPr="00653BF4">
        <w:rPr>
          <w:lang w:val="fr-FR"/>
        </w:rPr>
        <w:t>s ont été élaborés à l</w:t>
      </w:r>
      <w:r w:rsidR="002A58C8" w:rsidRPr="00653BF4">
        <w:rPr>
          <w:lang w:val="fr-FR"/>
        </w:rPr>
        <w:t>’</w:t>
      </w:r>
      <w:r w:rsidR="00034D7D" w:rsidRPr="00653BF4">
        <w:rPr>
          <w:lang w:val="fr-FR"/>
        </w:rPr>
        <w:t>aide de méthodes s</w:t>
      </w:r>
      <w:r w:rsidR="002A58C8" w:rsidRPr="00653BF4">
        <w:rPr>
          <w:lang w:val="fr-FR"/>
        </w:rPr>
        <w:t>’</w:t>
      </w:r>
      <w:r w:rsidR="00034D7D" w:rsidRPr="00653BF4">
        <w:rPr>
          <w:lang w:val="fr-FR"/>
        </w:rPr>
        <w:t>appuyant sur l</w:t>
      </w:r>
      <w:r w:rsidR="002A58C8" w:rsidRPr="00653BF4">
        <w:rPr>
          <w:lang w:val="fr-FR"/>
        </w:rPr>
        <w:t>’</w:t>
      </w:r>
      <w:r w:rsidR="00034D7D" w:rsidRPr="00653BF4">
        <w:rPr>
          <w:lang w:val="fr-FR"/>
        </w:rPr>
        <w:t>intelligence artificielle et comprennent de brèves études de cas illustrant les réussites et les progrès réalisés par les Parties dans la mise en œuvre de la cible concernée</w:t>
      </w:r>
      <w:r w:rsidR="00E34DC9">
        <w:rPr>
          <w:lang w:val="fr-FR"/>
        </w:rPr>
        <w:t> ;</w:t>
      </w:r>
      <w:r w:rsidR="00034D7D" w:rsidRPr="00653BF4">
        <w:rPr>
          <w:lang w:val="fr-FR"/>
        </w:rPr>
        <w:t xml:space="preserve"> ils ont été élaborés en collaboration avec les Parties et les organisations concernées (pour plus de détails sur les méthodes, voir</w:t>
      </w:r>
      <w:r w:rsidR="00842FAC" w:rsidRPr="00653BF4">
        <w:rPr>
          <w:lang w:val="fr-FR"/>
        </w:rPr>
        <w:t xml:space="preserve"> </w:t>
      </w:r>
      <w:hyperlink r:id="rId46" w:history="1">
        <w:r w:rsidR="00DE460D" w:rsidRPr="00653BF4">
          <w:rPr>
            <w:rStyle w:val="Hyperlink"/>
            <w:lang w:val="fr-FR"/>
          </w:rPr>
          <w:t>CBD/SBSTTA/28/INF/9</w:t>
        </w:r>
      </w:hyperlink>
      <w:r w:rsidR="00DE460D" w:rsidRPr="00653BF4">
        <w:rPr>
          <w:lang w:val="fr-FR"/>
        </w:rPr>
        <w:t>)</w:t>
      </w:r>
    </w:p>
    <w:p w14:paraId="3120723C" w14:textId="03A85C17" w:rsidR="007A1F6E" w:rsidRPr="00653BF4" w:rsidRDefault="00F6507C" w:rsidP="009E7191">
      <w:pPr>
        <w:pStyle w:val="ListParagraph"/>
        <w:numPr>
          <w:ilvl w:val="0"/>
          <w:numId w:val="11"/>
        </w:numPr>
        <w:rPr>
          <w:lang w:val="fr-FR"/>
        </w:rPr>
      </w:pPr>
      <w:r w:rsidRPr="00653BF4">
        <w:rPr>
          <w:b/>
          <w:bCs/>
          <w:lang w:val="fr-FR"/>
        </w:rPr>
        <w:t>Contributions d</w:t>
      </w:r>
      <w:r w:rsidR="002A58C8" w:rsidRPr="00653BF4">
        <w:rPr>
          <w:b/>
          <w:bCs/>
          <w:lang w:val="fr-FR"/>
        </w:rPr>
        <w:t>’</w:t>
      </w:r>
      <w:r w:rsidRPr="00653BF4">
        <w:rPr>
          <w:b/>
          <w:bCs/>
          <w:lang w:val="fr-FR"/>
        </w:rPr>
        <w:t>acteurs autres que les gouvernements nationaux</w:t>
      </w:r>
      <w:r w:rsidR="00E34DC9">
        <w:rPr>
          <w:b/>
          <w:bCs/>
          <w:lang w:val="fr-FR"/>
        </w:rPr>
        <w:t> :</w:t>
      </w:r>
      <w:r w:rsidR="002D5C54" w:rsidRPr="00653BF4">
        <w:rPr>
          <w:b/>
          <w:bCs/>
          <w:lang w:val="fr-FR"/>
        </w:rPr>
        <w:t xml:space="preserve"> </w:t>
      </w:r>
      <w:r w:rsidR="00266076" w:rsidRPr="00653BF4">
        <w:rPr>
          <w:lang w:val="fr-FR"/>
        </w:rPr>
        <w:t>c</w:t>
      </w:r>
      <w:r w:rsidRPr="00653BF4">
        <w:rPr>
          <w:lang w:val="fr-FR"/>
        </w:rPr>
        <w:t xml:space="preserve">ette section est divisée en deux sous-sections, comme indiqué dans le plan annoté du rapport global </w:t>
      </w:r>
      <w:r w:rsidR="00F901C7" w:rsidRPr="00653BF4">
        <w:rPr>
          <w:lang w:val="fr-FR"/>
        </w:rPr>
        <w:t>(</w:t>
      </w:r>
      <w:r w:rsidR="00ED7EFE" w:rsidRPr="00653BF4">
        <w:rPr>
          <w:lang w:val="fr-FR"/>
        </w:rPr>
        <w:t>r</w:t>
      </w:r>
      <w:r w:rsidR="00F901C7" w:rsidRPr="00653BF4">
        <w:rPr>
          <w:lang w:val="fr-FR"/>
        </w:rPr>
        <w:t>ec</w:t>
      </w:r>
      <w:r w:rsidR="00A50BF2" w:rsidRPr="00653BF4">
        <w:rPr>
          <w:lang w:val="fr-FR"/>
        </w:rPr>
        <w:t>.</w:t>
      </w:r>
      <w:r w:rsidRPr="00653BF4">
        <w:rPr>
          <w:lang w:val="fr-FR"/>
        </w:rPr>
        <w:t> </w:t>
      </w:r>
      <w:r w:rsidR="00F901C7" w:rsidRPr="00653BF4">
        <w:rPr>
          <w:lang w:val="fr-FR"/>
        </w:rPr>
        <w:t>27/1</w:t>
      </w:r>
      <w:r w:rsidR="00A50BF2" w:rsidRPr="00653BF4">
        <w:rPr>
          <w:lang w:val="fr-FR"/>
        </w:rPr>
        <w:t xml:space="preserve"> </w:t>
      </w:r>
      <w:r w:rsidR="00A50BF2" w:rsidRPr="00653BF4">
        <w:rPr>
          <w:i/>
          <w:iCs/>
          <w:lang w:val="fr-FR"/>
        </w:rPr>
        <w:t>in</w:t>
      </w:r>
      <w:r w:rsidR="00F901C7" w:rsidRPr="00653BF4">
        <w:rPr>
          <w:lang w:val="fr-FR"/>
        </w:rPr>
        <w:t xml:space="preserve"> </w:t>
      </w:r>
      <w:r w:rsidR="00711DD2" w:rsidRPr="00653BF4">
        <w:rPr>
          <w:noProof/>
          <w:lang w:val="fr-FR"/>
        </w:rPr>
        <w:t>CDB</w:t>
      </w:r>
      <w:r w:rsidR="00522820" w:rsidRPr="00653BF4">
        <w:rPr>
          <w:noProof/>
          <w:lang w:val="fr-FR"/>
        </w:rPr>
        <w:t>, 2025a</w:t>
      </w:r>
      <w:r w:rsidR="00F901C7" w:rsidRPr="00653BF4">
        <w:rPr>
          <w:lang w:val="fr-FR"/>
        </w:rPr>
        <w:t>)</w:t>
      </w:r>
      <w:r w:rsidR="00965F8C" w:rsidRPr="00653BF4">
        <w:rPr>
          <w:lang w:val="fr-FR"/>
        </w:rPr>
        <w:t xml:space="preserve">. </w:t>
      </w:r>
      <w:r w:rsidR="00F857B1" w:rsidRPr="00653BF4">
        <w:rPr>
          <w:lang w:val="fr-FR"/>
        </w:rPr>
        <w:t>La première sous-section porte sur les 180 engagements de fond présentés via l</w:t>
      </w:r>
      <w:r w:rsidR="002A58C8" w:rsidRPr="00653BF4">
        <w:rPr>
          <w:lang w:val="fr-FR"/>
        </w:rPr>
        <w:t>’</w:t>
      </w:r>
      <w:r w:rsidR="00F857B1" w:rsidRPr="00653BF4">
        <w:rPr>
          <w:lang w:val="fr-FR"/>
        </w:rPr>
        <w:t>outil d</w:t>
      </w:r>
      <w:r w:rsidR="002A58C8" w:rsidRPr="00653BF4">
        <w:rPr>
          <w:lang w:val="fr-FR"/>
        </w:rPr>
        <w:t>’</w:t>
      </w:r>
      <w:r w:rsidR="00F857B1" w:rsidRPr="00653BF4">
        <w:rPr>
          <w:lang w:val="fr-FR"/>
        </w:rPr>
        <w:t xml:space="preserve">établissement de rapports en ligne de la Convention (voir </w:t>
      </w:r>
      <w:r w:rsidR="002878D7">
        <w:rPr>
          <w:lang w:val="fr-FR"/>
        </w:rPr>
        <w:t>section I</w:t>
      </w:r>
      <w:r w:rsidR="00F857B1" w:rsidRPr="00653BF4">
        <w:rPr>
          <w:lang w:val="fr-FR"/>
        </w:rPr>
        <w:t xml:space="preserve">I.A) et résume les contributions des parties prenantes liées principalement à </w:t>
      </w:r>
      <w:r w:rsidR="00A2029B">
        <w:rPr>
          <w:lang w:val="fr-FR"/>
        </w:rPr>
        <w:t>la cible</w:t>
      </w:r>
      <w:r w:rsidR="00F857B1" w:rsidRPr="00653BF4">
        <w:rPr>
          <w:lang w:val="fr-FR"/>
        </w:rPr>
        <w:t xml:space="preserve"> concerné</w:t>
      </w:r>
      <w:r w:rsidR="00A2029B">
        <w:rPr>
          <w:lang w:val="fr-FR"/>
        </w:rPr>
        <w:t>e</w:t>
      </w:r>
      <w:r w:rsidR="00F857B1" w:rsidRPr="00653BF4">
        <w:rPr>
          <w:lang w:val="fr-FR"/>
        </w:rPr>
        <w:t>. La deuxième sous-section propose une synthèse des informations issues des rapports nationaux sur les contributions des acteurs autres que les gouvernements nationaux à la mise en œuvre de l</w:t>
      </w:r>
      <w:r w:rsidR="00A2029B">
        <w:rPr>
          <w:lang w:val="fr-FR"/>
        </w:rPr>
        <w:t xml:space="preserve">a cible </w:t>
      </w:r>
      <w:r w:rsidR="00F857B1" w:rsidRPr="00653BF4">
        <w:rPr>
          <w:lang w:val="fr-FR"/>
        </w:rPr>
        <w:t>concerné</w:t>
      </w:r>
      <w:r w:rsidR="00A2029B">
        <w:rPr>
          <w:lang w:val="fr-FR"/>
        </w:rPr>
        <w:t>e</w:t>
      </w:r>
      <w:r w:rsidR="00F857B1" w:rsidRPr="00653BF4">
        <w:rPr>
          <w:lang w:val="fr-FR"/>
        </w:rPr>
        <w:t>. Cette dernière sous-section a été élaborée à l</w:t>
      </w:r>
      <w:r w:rsidR="002A58C8" w:rsidRPr="00653BF4">
        <w:rPr>
          <w:lang w:val="fr-FR"/>
        </w:rPr>
        <w:t>’</w:t>
      </w:r>
      <w:r w:rsidR="00F857B1" w:rsidRPr="00653BF4">
        <w:rPr>
          <w:lang w:val="fr-FR"/>
        </w:rPr>
        <w:t>aide de méthodes s</w:t>
      </w:r>
      <w:r w:rsidR="002A58C8" w:rsidRPr="00653BF4">
        <w:rPr>
          <w:lang w:val="fr-FR"/>
        </w:rPr>
        <w:t>’</w:t>
      </w:r>
      <w:r w:rsidR="00F857B1" w:rsidRPr="00653BF4">
        <w:rPr>
          <w:lang w:val="fr-FR"/>
        </w:rPr>
        <w:t>appuyant sur l</w:t>
      </w:r>
      <w:r w:rsidR="002A58C8" w:rsidRPr="00653BF4">
        <w:rPr>
          <w:lang w:val="fr-FR"/>
        </w:rPr>
        <w:t>’</w:t>
      </w:r>
      <w:r w:rsidR="00F857B1" w:rsidRPr="00653BF4">
        <w:rPr>
          <w:lang w:val="fr-FR"/>
        </w:rPr>
        <w:t xml:space="preserve">intelligence artificielle (pour plus de détails sur les méthodes, voir </w:t>
      </w:r>
      <w:hyperlink r:id="rId47">
        <w:r w:rsidR="00DE460D" w:rsidRPr="00653BF4">
          <w:rPr>
            <w:rStyle w:val="Hyperlink"/>
            <w:lang w:val="fr-FR"/>
          </w:rPr>
          <w:t>CBD/SBSTTA/28/INF/9</w:t>
        </w:r>
      </w:hyperlink>
      <w:r w:rsidR="00DE460D" w:rsidRPr="00653BF4">
        <w:rPr>
          <w:lang w:val="fr-FR"/>
        </w:rPr>
        <w:t>)</w:t>
      </w:r>
    </w:p>
    <w:p w14:paraId="5606860F" w14:textId="656377EF" w:rsidR="00A9109A" w:rsidRPr="00653BF4" w:rsidRDefault="008A58ED" w:rsidP="051002B7">
      <w:pPr>
        <w:pStyle w:val="ListParagraph"/>
        <w:numPr>
          <w:ilvl w:val="0"/>
          <w:numId w:val="11"/>
        </w:numPr>
        <w:rPr>
          <w:b/>
          <w:lang w:val="fr-FR"/>
        </w:rPr>
      </w:pPr>
      <w:r w:rsidRPr="00653BF4">
        <w:rPr>
          <w:b/>
          <w:bCs/>
          <w:lang w:val="fr-FR"/>
        </w:rPr>
        <w:t>Exemples de liens avec d</w:t>
      </w:r>
      <w:r w:rsidR="002A58C8" w:rsidRPr="00653BF4">
        <w:rPr>
          <w:b/>
          <w:bCs/>
          <w:lang w:val="fr-FR"/>
        </w:rPr>
        <w:t>’</w:t>
      </w:r>
      <w:r w:rsidRPr="00653BF4">
        <w:rPr>
          <w:b/>
          <w:bCs/>
          <w:lang w:val="fr-FR"/>
        </w:rPr>
        <w:t>autres accords, organisations et processus</w:t>
      </w:r>
      <w:r w:rsidR="00E34DC9">
        <w:rPr>
          <w:b/>
          <w:bCs/>
          <w:lang w:val="fr-FR"/>
        </w:rPr>
        <w:t> :</w:t>
      </w:r>
      <w:r w:rsidR="00085C1C" w:rsidRPr="00653BF4">
        <w:rPr>
          <w:b/>
          <w:bCs/>
          <w:lang w:val="fr-FR"/>
        </w:rPr>
        <w:t xml:space="preserve"> </w:t>
      </w:r>
      <w:r w:rsidR="00266076" w:rsidRPr="00653BF4">
        <w:rPr>
          <w:lang w:val="fr-FR"/>
        </w:rPr>
        <w:t>c</w:t>
      </w:r>
      <w:r w:rsidR="008279FC" w:rsidRPr="00653BF4">
        <w:rPr>
          <w:lang w:val="fr-FR"/>
        </w:rPr>
        <w:t>ette section présente des exemples illustratifs et non exhaustifs de coopération et de synergies avec d</w:t>
      </w:r>
      <w:r w:rsidR="002A58C8" w:rsidRPr="00653BF4">
        <w:rPr>
          <w:lang w:val="fr-FR"/>
        </w:rPr>
        <w:t>’</w:t>
      </w:r>
      <w:r w:rsidR="008279FC" w:rsidRPr="00653BF4">
        <w:rPr>
          <w:lang w:val="fr-FR"/>
        </w:rPr>
        <w:t>autres accords multilatéraux sur l</w:t>
      </w:r>
      <w:r w:rsidR="002A58C8" w:rsidRPr="00653BF4">
        <w:rPr>
          <w:lang w:val="fr-FR"/>
        </w:rPr>
        <w:t>’</w:t>
      </w:r>
      <w:r w:rsidR="008279FC" w:rsidRPr="00653BF4">
        <w:rPr>
          <w:lang w:val="fr-FR"/>
        </w:rPr>
        <w:t>environnement, organisations internationales et processus pertinents qui fournissent un appui à la mise en œuvre de chaque cible, y compris des études de cas élaborées en collaboration avec le secrétariat, l</w:t>
      </w:r>
      <w:r w:rsidR="002A58C8" w:rsidRPr="00653BF4">
        <w:rPr>
          <w:lang w:val="fr-FR"/>
        </w:rPr>
        <w:t>’</w:t>
      </w:r>
      <w:r w:rsidR="008279FC" w:rsidRPr="00653BF4">
        <w:rPr>
          <w:lang w:val="fr-FR"/>
        </w:rPr>
        <w:t xml:space="preserve">organisation et/ou le correspondant national concerné. Les informations contenues dans ces </w:t>
      </w:r>
      <w:r w:rsidR="00422EC7" w:rsidRPr="00653BF4">
        <w:rPr>
          <w:lang w:val="fr-FR"/>
        </w:rPr>
        <w:t>résumé</w:t>
      </w:r>
      <w:r w:rsidR="008279FC" w:rsidRPr="00653BF4">
        <w:rPr>
          <w:lang w:val="fr-FR"/>
        </w:rPr>
        <w:t xml:space="preserve">s proviennent principalement, mais pas exclusivement, des réponses à la notification n° 2025-099 émise par le </w:t>
      </w:r>
      <w:r w:rsidR="002C36D5" w:rsidRPr="00653BF4">
        <w:rPr>
          <w:lang w:val="fr-FR"/>
        </w:rPr>
        <w:t>secrétariat</w:t>
      </w:r>
      <w:r w:rsidR="008279FC" w:rsidRPr="00653BF4">
        <w:rPr>
          <w:lang w:val="fr-FR"/>
        </w:rPr>
        <w:t xml:space="preserve"> de la Convention</w:t>
      </w:r>
      <w:r w:rsidR="003C7A9D" w:rsidRPr="00653BF4">
        <w:rPr>
          <w:rStyle w:val="FootnoteReference"/>
          <w:lang w:val="fr-FR"/>
        </w:rPr>
        <w:footnoteReference w:id="11"/>
      </w:r>
      <w:r w:rsidR="008279FC" w:rsidRPr="00653BF4">
        <w:rPr>
          <w:lang w:val="fr-FR"/>
        </w:rPr>
        <w:t>.</w:t>
      </w:r>
      <w:r w:rsidR="007731CF" w:rsidRPr="00653BF4">
        <w:rPr>
          <w:lang w:val="fr-FR"/>
        </w:rPr>
        <w:t xml:space="preserve"> </w:t>
      </w:r>
      <w:r w:rsidR="007D49B7" w:rsidRPr="00653BF4">
        <w:rPr>
          <w:lang w:val="fr-FR"/>
        </w:rPr>
        <w:t>Lorsque d</w:t>
      </w:r>
      <w:r w:rsidR="002A58C8" w:rsidRPr="00653BF4">
        <w:rPr>
          <w:lang w:val="fr-FR"/>
        </w:rPr>
        <w:t>’</w:t>
      </w:r>
      <w:r w:rsidR="007D49B7" w:rsidRPr="00653BF4">
        <w:rPr>
          <w:lang w:val="fr-FR"/>
        </w:rPr>
        <w:t xml:space="preserve">autres sources sont utilisées, elles sont citées individuellement dans le texte. Un </w:t>
      </w:r>
      <w:r w:rsidR="00422EC7" w:rsidRPr="00653BF4">
        <w:rPr>
          <w:lang w:val="fr-FR"/>
        </w:rPr>
        <w:t>résumé</w:t>
      </w:r>
      <w:r w:rsidR="007D49B7" w:rsidRPr="00653BF4">
        <w:rPr>
          <w:lang w:val="fr-FR"/>
        </w:rPr>
        <w:t xml:space="preserve"> plus général de ces liens, synergies et coopérations est présenté dans la division II.E du rapport mondial.</w:t>
      </w:r>
    </w:p>
    <w:p w14:paraId="7D52A661" w14:textId="77777777" w:rsidR="00AA3B35" w:rsidRPr="00653BF4" w:rsidRDefault="00AA3B35" w:rsidP="00AA3B35">
      <w:pPr>
        <w:pStyle w:val="ListParagraph"/>
        <w:rPr>
          <w:b/>
          <w:lang w:val="fr-FR"/>
        </w:rPr>
      </w:pPr>
    </w:p>
    <w:p w14:paraId="4395CA6E" w14:textId="64F9E551" w:rsidR="0066386B" w:rsidRPr="00653BF4" w:rsidRDefault="00B822B8" w:rsidP="00B822B8">
      <w:pPr>
        <w:rPr>
          <w:lang w:val="fr-FR"/>
        </w:rPr>
      </w:pPr>
      <w:r w:rsidRPr="00653BF4">
        <w:rPr>
          <w:bCs/>
          <w:lang w:val="fr-FR"/>
        </w:rPr>
        <w:lastRenderedPageBreak/>
        <w:t xml:space="preserve">Un aperçu des progrès </w:t>
      </w:r>
      <w:r w:rsidR="001B409B" w:rsidRPr="00653BF4">
        <w:rPr>
          <w:bCs/>
          <w:lang w:val="fr-FR"/>
        </w:rPr>
        <w:t>accomplis</w:t>
      </w:r>
      <w:r w:rsidRPr="00653BF4">
        <w:rPr>
          <w:bCs/>
          <w:lang w:val="fr-FR"/>
        </w:rPr>
        <w:t xml:space="preserve"> sur l</w:t>
      </w:r>
      <w:r w:rsidR="002A58C8" w:rsidRPr="00653BF4">
        <w:rPr>
          <w:bCs/>
          <w:lang w:val="fr-FR"/>
        </w:rPr>
        <w:t>’</w:t>
      </w:r>
      <w:r w:rsidRPr="00653BF4">
        <w:rPr>
          <w:bCs/>
          <w:lang w:val="fr-FR"/>
        </w:rPr>
        <w:t xml:space="preserve">ensemble des cibles, synthétisant les informations contenues dans les </w:t>
      </w:r>
      <w:r w:rsidR="00422EC7" w:rsidRPr="00653BF4">
        <w:rPr>
          <w:bCs/>
          <w:lang w:val="fr-FR"/>
        </w:rPr>
        <w:t>résumé</w:t>
      </w:r>
      <w:r w:rsidRPr="00653BF4">
        <w:rPr>
          <w:bCs/>
          <w:lang w:val="fr-FR"/>
        </w:rPr>
        <w:t xml:space="preserve">s consacrés à chaque cible qui suivent, figure dans le </w:t>
      </w:r>
      <w:r w:rsidR="00FD065A" w:rsidRPr="00653BF4">
        <w:rPr>
          <w:bCs/>
          <w:lang w:val="fr-FR"/>
        </w:rPr>
        <w:t>t</w:t>
      </w:r>
      <w:r w:rsidRPr="00653BF4">
        <w:rPr>
          <w:bCs/>
          <w:lang w:val="fr-FR"/>
        </w:rPr>
        <w:t>ableau</w:t>
      </w:r>
      <w:r w:rsidR="00FD065A" w:rsidRPr="00653BF4">
        <w:rPr>
          <w:bCs/>
          <w:lang w:val="fr-FR"/>
        </w:rPr>
        <w:t> </w:t>
      </w:r>
      <w:r w:rsidRPr="00653BF4">
        <w:rPr>
          <w:bCs/>
          <w:lang w:val="fr-FR"/>
        </w:rPr>
        <w:t>3.</w:t>
      </w:r>
    </w:p>
    <w:p w14:paraId="4A75F01B" w14:textId="22173729" w:rsidR="0067379F" w:rsidRPr="00653BF4" w:rsidRDefault="00F279A8" w:rsidP="00C04D1A">
      <w:pPr>
        <w:pStyle w:val="Caption"/>
        <w:rPr>
          <w:i w:val="0"/>
          <w:iCs w:val="0"/>
          <w:sz w:val="20"/>
          <w:szCs w:val="20"/>
          <w:lang w:val="fr-FR"/>
        </w:rPr>
      </w:pPr>
      <w:bookmarkStart w:id="68" w:name="_Ref235605056"/>
      <w:bookmarkStart w:id="69" w:name="_Ref235620820"/>
      <w:r w:rsidRPr="00653BF4">
        <w:rPr>
          <w:i w:val="0"/>
          <w:sz w:val="20"/>
          <w:szCs w:val="20"/>
          <w:lang w:val="fr-FR"/>
        </w:rPr>
        <w:t>Table</w:t>
      </w:r>
      <w:r w:rsidR="00B822B8" w:rsidRPr="00653BF4">
        <w:rPr>
          <w:i w:val="0"/>
          <w:sz w:val="20"/>
          <w:szCs w:val="20"/>
          <w:lang w:val="fr-FR"/>
        </w:rPr>
        <w:t>au</w:t>
      </w:r>
      <w:r w:rsidRPr="00653BF4">
        <w:rPr>
          <w:i w:val="0"/>
          <w:sz w:val="20"/>
          <w:szCs w:val="20"/>
          <w:lang w:val="fr-FR"/>
        </w:rPr>
        <w:t xml:space="preserve"> </w:t>
      </w:r>
      <w:r w:rsidR="00DC1793" w:rsidRPr="00653BF4">
        <w:rPr>
          <w:i w:val="0"/>
          <w:noProof/>
          <w:sz w:val="20"/>
          <w:szCs w:val="20"/>
          <w:lang w:val="fr-FR"/>
        </w:rPr>
        <w:t>3</w:t>
      </w:r>
      <w:bookmarkEnd w:id="68"/>
      <w:bookmarkEnd w:id="69"/>
    </w:p>
    <w:p w14:paraId="1C5CBA86" w14:textId="1B1536A7" w:rsidR="00C04D1A" w:rsidRDefault="00422EC7" w:rsidP="00907E5F">
      <w:pPr>
        <w:rPr>
          <w:rFonts w:eastAsiaTheme="minorEastAsia"/>
          <w:b/>
          <w:iCs/>
          <w:color w:val="0E2841" w:themeColor="text2"/>
          <w:kern w:val="0"/>
          <w:sz w:val="20"/>
          <w:szCs w:val="20"/>
          <w:lang w:val="fr-FR" w:eastAsia="ja-JP"/>
          <w14:ligatures w14:val="none"/>
        </w:rPr>
      </w:pPr>
      <w:r w:rsidRPr="00653BF4">
        <w:rPr>
          <w:rFonts w:eastAsiaTheme="minorEastAsia"/>
          <w:b/>
          <w:iCs/>
          <w:color w:val="0E2841" w:themeColor="text2"/>
          <w:kern w:val="0"/>
          <w:sz w:val="20"/>
          <w:szCs w:val="20"/>
          <w:lang w:val="fr-FR" w:eastAsia="ja-JP"/>
          <w14:ligatures w14:val="none"/>
        </w:rPr>
        <w:t>Résumé</w:t>
      </w:r>
      <w:r w:rsidR="00907E5F" w:rsidRPr="00653BF4">
        <w:rPr>
          <w:rFonts w:eastAsiaTheme="minorEastAsia"/>
          <w:b/>
          <w:iCs/>
          <w:color w:val="0E2841" w:themeColor="text2"/>
          <w:kern w:val="0"/>
          <w:sz w:val="20"/>
          <w:szCs w:val="20"/>
          <w:lang w:val="fr-FR" w:eastAsia="ja-JP"/>
          <w14:ligatures w14:val="none"/>
        </w:rPr>
        <w:t xml:space="preserve"> des progrès accomplis dans la mise en œuvre du Cadre</w:t>
      </w:r>
    </w:p>
    <w:p w14:paraId="2C6C5F67" w14:textId="65F7303E" w:rsidR="00C04D1A" w:rsidRPr="00653BF4" w:rsidRDefault="00C04D1A" w:rsidP="00C04D1A">
      <w:pPr>
        <w:pStyle w:val="Caption"/>
        <w:rPr>
          <w:lang w:val="fr-FR"/>
        </w:rPr>
      </w:pPr>
      <w:r w:rsidRPr="00653BF4">
        <w:rPr>
          <w:noProof/>
          <w:lang w:val="fr-FR"/>
        </w:rPr>
        <w:t xml:space="preserve"> </w:t>
      </w:r>
      <w:r w:rsidRPr="00653BF4">
        <w:rPr>
          <w:noProof/>
          <w:lang w:val="fr-FR"/>
        </w:rPr>
        <w:drawing>
          <wp:inline distT="0" distB="0" distL="0" distR="0" wp14:anchorId="688FD2A0" wp14:editId="70902C93">
            <wp:extent cx="3163514" cy="4299811"/>
            <wp:effectExtent l="0" t="0" r="0" b="5715"/>
            <wp:docPr id="25" name="Picture 24">
              <a:extLst xmlns:a="http://schemas.openxmlformats.org/drawingml/2006/main">
                <a:ext uri="{FF2B5EF4-FFF2-40B4-BE49-F238E27FC236}">
                  <a16:creationId xmlns:a16="http://schemas.microsoft.com/office/drawing/2014/main" id="{40F34F4F-084E-DAB7-651C-FF40DB1EBE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40F34F4F-084E-DAB7-651C-FF40DB1EBE01}"/>
                        </a:ext>
                      </a:extLst>
                    </pic:cNvPr>
                    <pic:cNvPicPr>
                      <a:picLocks noChangeAspect="1"/>
                    </pic:cNvPicPr>
                  </pic:nvPicPr>
                  <pic:blipFill>
                    <a:blip r:embed="rId48"/>
                    <a:stretch>
                      <a:fillRect/>
                    </a:stretch>
                  </pic:blipFill>
                  <pic:spPr>
                    <a:xfrm>
                      <a:off x="0" y="0"/>
                      <a:ext cx="3185262" cy="4329371"/>
                    </a:xfrm>
                    <a:prstGeom prst="rect">
                      <a:avLst/>
                    </a:prstGeom>
                  </pic:spPr>
                </pic:pic>
              </a:graphicData>
            </a:graphic>
          </wp:inline>
        </w:drawing>
      </w:r>
    </w:p>
    <w:p w14:paraId="1F85DBF5" w14:textId="6F291F9D" w:rsidR="0098619A" w:rsidRPr="00653BF4" w:rsidRDefault="006A631C" w:rsidP="0098619A">
      <w:pPr>
        <w:rPr>
          <w:sz w:val="16"/>
          <w:szCs w:val="16"/>
          <w:lang w:val="fr-FR" w:eastAsia="ja-JP"/>
        </w:rPr>
      </w:pPr>
      <w:r w:rsidRPr="00653BF4">
        <w:rPr>
          <w:i/>
          <w:iCs/>
          <w:sz w:val="16"/>
          <w:szCs w:val="16"/>
          <w:lang w:val="fr-FR" w:eastAsia="ja-JP"/>
        </w:rPr>
        <w:t>Note</w:t>
      </w:r>
      <w:r w:rsidR="00E34DC9">
        <w:rPr>
          <w:i/>
          <w:iCs/>
          <w:sz w:val="16"/>
          <w:szCs w:val="16"/>
          <w:lang w:val="fr-FR" w:eastAsia="ja-JP"/>
        </w:rPr>
        <w:t> :</w:t>
      </w:r>
      <w:r w:rsidR="0098619A" w:rsidRPr="00653BF4">
        <w:rPr>
          <w:sz w:val="16"/>
          <w:szCs w:val="16"/>
          <w:lang w:val="fr-FR" w:eastAsia="ja-JP"/>
        </w:rPr>
        <w:t xml:space="preserve"> </w:t>
      </w:r>
      <w:r w:rsidR="00F70276" w:rsidRPr="00653BF4">
        <w:rPr>
          <w:sz w:val="16"/>
          <w:szCs w:val="16"/>
          <w:lang w:val="fr-FR"/>
        </w:rPr>
        <w:t>l</w:t>
      </w:r>
      <w:r w:rsidR="0092006C" w:rsidRPr="00653BF4">
        <w:rPr>
          <w:sz w:val="16"/>
          <w:szCs w:val="16"/>
          <w:lang w:val="fr-FR"/>
        </w:rPr>
        <w:t xml:space="preserve">a </w:t>
      </w:r>
      <w:r w:rsidR="004C09EC" w:rsidRPr="00653BF4">
        <w:rPr>
          <w:sz w:val="16"/>
          <w:szCs w:val="16"/>
          <w:lang w:val="fr-FR"/>
        </w:rPr>
        <w:t xml:space="preserve">prise en compte de la portée </w:t>
      </w:r>
      <w:r w:rsidR="0092006C" w:rsidRPr="00653BF4">
        <w:rPr>
          <w:sz w:val="16"/>
          <w:szCs w:val="16"/>
          <w:lang w:val="fr-FR"/>
        </w:rPr>
        <w:t>est mesurée en pourcentage des éléments abordés à un certain degré dans les cibles nationales, tandis que l</w:t>
      </w:r>
      <w:r w:rsidR="002A58C8" w:rsidRPr="00653BF4">
        <w:rPr>
          <w:sz w:val="16"/>
          <w:szCs w:val="16"/>
          <w:lang w:val="fr-FR"/>
        </w:rPr>
        <w:t>’</w:t>
      </w:r>
      <w:r w:rsidR="0092006C" w:rsidRPr="00653BF4">
        <w:rPr>
          <w:sz w:val="16"/>
          <w:szCs w:val="16"/>
          <w:lang w:val="fr-FR"/>
        </w:rPr>
        <w:t>auto-évaluation des progrès est mesurée en pourcentage des cibles nationales déclarées comme étant en bonne voie ou atteintes. L</w:t>
      </w:r>
      <w:r w:rsidR="002A58C8" w:rsidRPr="00653BF4">
        <w:rPr>
          <w:sz w:val="16"/>
          <w:szCs w:val="16"/>
          <w:lang w:val="fr-FR"/>
        </w:rPr>
        <w:t>’</w:t>
      </w:r>
      <w:r w:rsidR="0092006C" w:rsidRPr="00653BF4">
        <w:rPr>
          <w:sz w:val="16"/>
          <w:szCs w:val="16"/>
          <w:lang w:val="fr-FR"/>
        </w:rPr>
        <w:t>utilisation des données est mesurée en pourcentage de l</w:t>
      </w:r>
      <w:r w:rsidR="002A58C8" w:rsidRPr="00653BF4">
        <w:rPr>
          <w:sz w:val="16"/>
          <w:szCs w:val="16"/>
          <w:lang w:val="fr-FR"/>
        </w:rPr>
        <w:t>’</w:t>
      </w:r>
      <w:r w:rsidR="0092006C" w:rsidRPr="00653BF4">
        <w:rPr>
          <w:sz w:val="16"/>
          <w:szCs w:val="16"/>
          <w:lang w:val="fr-FR"/>
        </w:rPr>
        <w:t>ensemble des indicateurs quantitatifs pour lesquels des données ont été présentées. L</w:t>
      </w:r>
      <w:r w:rsidR="002A58C8" w:rsidRPr="00653BF4">
        <w:rPr>
          <w:sz w:val="16"/>
          <w:szCs w:val="16"/>
          <w:lang w:val="fr-FR"/>
        </w:rPr>
        <w:t>’</w:t>
      </w:r>
      <w:r w:rsidR="0092006C" w:rsidRPr="00653BF4">
        <w:rPr>
          <w:sz w:val="16"/>
          <w:szCs w:val="16"/>
          <w:lang w:val="fr-FR"/>
        </w:rPr>
        <w:t>évolution globale des indicateurs quantitatifs est mesurée en pourcentage d</w:t>
      </w:r>
      <w:r w:rsidR="002A58C8" w:rsidRPr="00653BF4">
        <w:rPr>
          <w:sz w:val="16"/>
          <w:szCs w:val="16"/>
          <w:lang w:val="fr-FR"/>
        </w:rPr>
        <w:t>’</w:t>
      </w:r>
      <w:r w:rsidR="0092006C" w:rsidRPr="00653BF4">
        <w:rPr>
          <w:sz w:val="16"/>
          <w:szCs w:val="16"/>
          <w:lang w:val="fr-FR"/>
        </w:rPr>
        <w:t>indicateurs présentant une tendance positive. Le code couleur indique la position de la valeur de chaque cible par rapport aux scores les plus élevés et les plus bas atteints parmi l</w:t>
      </w:r>
      <w:r w:rsidR="002A58C8" w:rsidRPr="00653BF4">
        <w:rPr>
          <w:sz w:val="16"/>
          <w:szCs w:val="16"/>
          <w:lang w:val="fr-FR"/>
        </w:rPr>
        <w:t>’</w:t>
      </w:r>
      <w:r w:rsidR="0092006C" w:rsidRPr="00653BF4">
        <w:rPr>
          <w:sz w:val="16"/>
          <w:szCs w:val="16"/>
          <w:lang w:val="fr-FR"/>
        </w:rPr>
        <w:t>ensemble des cibles (le vert est attribué aux valeurs se situant dans le tiers supérieur de la fourchette totale, le jaune au tiers médian et le rouge au tiers inférieur). Il convient de souligner que cette méthode n</w:t>
      </w:r>
      <w:r w:rsidR="002A58C8" w:rsidRPr="00653BF4">
        <w:rPr>
          <w:sz w:val="16"/>
          <w:szCs w:val="16"/>
          <w:lang w:val="fr-FR"/>
        </w:rPr>
        <w:t>’</w:t>
      </w:r>
      <w:r w:rsidR="0092006C" w:rsidRPr="00653BF4">
        <w:rPr>
          <w:sz w:val="16"/>
          <w:szCs w:val="16"/>
          <w:lang w:val="fr-FR"/>
        </w:rPr>
        <w:t xml:space="preserve">équivaut pas à une approche fondée sur des seuils, ni à une répartition des scores en trois groupes de taille égale. </w:t>
      </w:r>
      <w:r w:rsidR="004057EB" w:rsidRPr="00653BF4">
        <w:rPr>
          <w:sz w:val="16"/>
          <w:szCs w:val="16"/>
          <w:lang w:val="fr-FR"/>
        </w:rPr>
        <w:t xml:space="preserve">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w:t>
      </w:r>
      <w:r w:rsidR="00A0554B" w:rsidRPr="00653BF4">
        <w:rPr>
          <w:sz w:val="16"/>
          <w:szCs w:val="16"/>
          <w:lang w:val="fr-FR"/>
        </w:rPr>
        <w:t>Les couleurs des indicateurs binaires sont fondées sur le pourcentage de Parties ayant obtenu une note élevée (4 ou 5) pour l’indicateur dans son ensemble (le vert est attribué aux valeurs égales ou supérieures à 50</w:t>
      </w:r>
      <w:r w:rsidR="002878D7">
        <w:rPr>
          <w:sz w:val="16"/>
          <w:szCs w:val="16"/>
          <w:lang w:val="fr-FR"/>
        </w:rPr>
        <w:t> %</w:t>
      </w:r>
      <w:r w:rsidR="00A0554B" w:rsidRPr="00653BF4">
        <w:rPr>
          <w:sz w:val="16"/>
          <w:szCs w:val="16"/>
          <w:lang w:val="fr-FR"/>
        </w:rPr>
        <w:t>, le jaune aux valeurs comprises entre 25</w:t>
      </w:r>
      <w:r w:rsidR="002878D7">
        <w:rPr>
          <w:sz w:val="16"/>
          <w:szCs w:val="16"/>
          <w:lang w:val="fr-FR"/>
        </w:rPr>
        <w:t> %</w:t>
      </w:r>
      <w:r w:rsidR="00A0554B" w:rsidRPr="00653BF4">
        <w:rPr>
          <w:sz w:val="16"/>
          <w:szCs w:val="16"/>
          <w:lang w:val="fr-FR"/>
        </w:rPr>
        <w:t xml:space="preserve"> et 50</w:t>
      </w:r>
      <w:r w:rsidR="002878D7">
        <w:rPr>
          <w:sz w:val="16"/>
          <w:szCs w:val="16"/>
          <w:lang w:val="fr-FR"/>
        </w:rPr>
        <w:t> %</w:t>
      </w:r>
      <w:r w:rsidR="00A0554B" w:rsidRPr="00653BF4">
        <w:rPr>
          <w:sz w:val="16"/>
          <w:szCs w:val="16"/>
          <w:lang w:val="fr-FR"/>
        </w:rPr>
        <w:t>, et le rouge aux valeurs inférieures à 25</w:t>
      </w:r>
      <w:r w:rsidR="002878D7">
        <w:rPr>
          <w:sz w:val="16"/>
          <w:szCs w:val="16"/>
          <w:lang w:val="fr-FR"/>
        </w:rPr>
        <w:t> %</w:t>
      </w:r>
      <w:r w:rsidR="00A0554B" w:rsidRPr="00653BF4">
        <w:rPr>
          <w:sz w:val="16"/>
          <w:szCs w:val="16"/>
          <w:lang w:val="fr-FR"/>
        </w:rPr>
        <w:t xml:space="preserve">). </w:t>
      </w:r>
      <w:r w:rsidR="0092006C" w:rsidRPr="00653BF4">
        <w:rPr>
          <w:sz w:val="16"/>
          <w:szCs w:val="16"/>
          <w:lang w:val="fr-FR"/>
        </w:rPr>
        <w:t xml:space="preserve">La note globale de progrès est </w:t>
      </w:r>
      <w:r w:rsidR="00271591" w:rsidRPr="00653BF4">
        <w:rPr>
          <w:sz w:val="16"/>
          <w:szCs w:val="16"/>
          <w:lang w:val="fr-FR"/>
        </w:rPr>
        <w:t xml:space="preserve">établie par </w:t>
      </w:r>
      <w:r w:rsidR="0092006C" w:rsidRPr="00653BF4">
        <w:rPr>
          <w:sz w:val="16"/>
          <w:szCs w:val="16"/>
          <w:lang w:val="fr-FR"/>
        </w:rPr>
        <w:t>la moyenne pondérée de deux mesures</w:t>
      </w:r>
      <w:r w:rsidR="00E34DC9">
        <w:rPr>
          <w:sz w:val="16"/>
          <w:szCs w:val="16"/>
          <w:lang w:val="fr-FR"/>
        </w:rPr>
        <w:t> :</w:t>
      </w:r>
      <w:r w:rsidR="0092006C" w:rsidRPr="00653BF4">
        <w:rPr>
          <w:sz w:val="16"/>
          <w:szCs w:val="16"/>
          <w:lang w:val="fr-FR"/>
        </w:rPr>
        <w:t xml:space="preserve"> une note combinée </w:t>
      </w:r>
      <w:r w:rsidR="00E34DC9">
        <w:rPr>
          <w:sz w:val="16"/>
          <w:szCs w:val="16"/>
          <w:lang w:val="fr-FR"/>
        </w:rPr>
        <w:t>« </w:t>
      </w:r>
      <w:r w:rsidR="009F792A" w:rsidRPr="00653BF4">
        <w:rPr>
          <w:sz w:val="16"/>
          <w:szCs w:val="16"/>
          <w:lang w:val="fr-FR"/>
        </w:rPr>
        <w:t>prise en compte</w:t>
      </w:r>
      <w:r w:rsidR="00294270" w:rsidRPr="00653BF4">
        <w:rPr>
          <w:sz w:val="16"/>
          <w:szCs w:val="16"/>
          <w:lang w:val="fr-FR"/>
        </w:rPr>
        <w:t xml:space="preserve"> et </w:t>
      </w:r>
      <w:r w:rsidR="0092006C" w:rsidRPr="00653BF4">
        <w:rPr>
          <w:sz w:val="16"/>
          <w:szCs w:val="16"/>
          <w:lang w:val="fr-FR"/>
        </w:rPr>
        <w:t>progrès</w:t>
      </w:r>
      <w:r w:rsidR="00E34DC9">
        <w:rPr>
          <w:sz w:val="16"/>
          <w:szCs w:val="16"/>
          <w:lang w:val="fr-FR"/>
        </w:rPr>
        <w:t> »</w:t>
      </w:r>
      <w:r w:rsidR="0092006C" w:rsidRPr="00653BF4">
        <w:rPr>
          <w:sz w:val="16"/>
          <w:szCs w:val="16"/>
          <w:lang w:val="fr-FR"/>
        </w:rPr>
        <w:t xml:space="preserve"> et une note combinée des indicateurs, puis répartie en quatre catégories (0 à 25</w:t>
      </w:r>
      <w:r w:rsidR="002878D7">
        <w:rPr>
          <w:sz w:val="16"/>
          <w:szCs w:val="16"/>
          <w:lang w:val="fr-FR"/>
        </w:rPr>
        <w:t> %</w:t>
      </w:r>
      <w:r w:rsidR="0092006C" w:rsidRPr="00653BF4">
        <w:rPr>
          <w:sz w:val="16"/>
          <w:szCs w:val="16"/>
          <w:lang w:val="fr-FR"/>
        </w:rPr>
        <w:t>, rouge</w:t>
      </w:r>
      <w:r w:rsidR="00E34DC9">
        <w:rPr>
          <w:sz w:val="16"/>
          <w:szCs w:val="16"/>
          <w:lang w:val="fr-FR"/>
        </w:rPr>
        <w:t> ;</w:t>
      </w:r>
      <w:r w:rsidR="0092006C" w:rsidRPr="00653BF4">
        <w:rPr>
          <w:sz w:val="16"/>
          <w:szCs w:val="16"/>
          <w:lang w:val="fr-FR"/>
        </w:rPr>
        <w:t xml:space="preserve"> 25 à 50</w:t>
      </w:r>
      <w:r w:rsidR="002878D7">
        <w:rPr>
          <w:sz w:val="16"/>
          <w:szCs w:val="16"/>
          <w:lang w:val="fr-FR"/>
        </w:rPr>
        <w:t> %</w:t>
      </w:r>
      <w:r w:rsidR="0092006C" w:rsidRPr="00653BF4">
        <w:rPr>
          <w:sz w:val="16"/>
          <w:szCs w:val="16"/>
          <w:lang w:val="fr-FR"/>
        </w:rPr>
        <w:t>, orange</w:t>
      </w:r>
      <w:r w:rsidR="00E34DC9">
        <w:rPr>
          <w:sz w:val="16"/>
          <w:szCs w:val="16"/>
          <w:lang w:val="fr-FR"/>
        </w:rPr>
        <w:t> ;</w:t>
      </w:r>
      <w:r w:rsidR="0092006C" w:rsidRPr="00653BF4">
        <w:rPr>
          <w:sz w:val="16"/>
          <w:szCs w:val="16"/>
          <w:lang w:val="fr-FR"/>
        </w:rPr>
        <w:t xml:space="preserve"> 50 à 75</w:t>
      </w:r>
      <w:r w:rsidR="002878D7">
        <w:rPr>
          <w:sz w:val="16"/>
          <w:szCs w:val="16"/>
          <w:lang w:val="fr-FR"/>
        </w:rPr>
        <w:t> %</w:t>
      </w:r>
      <w:r w:rsidR="0092006C" w:rsidRPr="00653BF4">
        <w:rPr>
          <w:sz w:val="16"/>
          <w:szCs w:val="16"/>
          <w:lang w:val="fr-FR"/>
        </w:rPr>
        <w:t>, jaune</w:t>
      </w:r>
      <w:r w:rsidR="00E34DC9">
        <w:rPr>
          <w:sz w:val="16"/>
          <w:szCs w:val="16"/>
          <w:lang w:val="fr-FR"/>
        </w:rPr>
        <w:t> ;</w:t>
      </w:r>
      <w:r w:rsidR="0092006C" w:rsidRPr="00653BF4">
        <w:rPr>
          <w:sz w:val="16"/>
          <w:szCs w:val="16"/>
          <w:lang w:val="fr-FR"/>
        </w:rPr>
        <w:t xml:space="preserve"> et 75 à 100</w:t>
      </w:r>
      <w:r w:rsidR="002878D7">
        <w:rPr>
          <w:sz w:val="16"/>
          <w:szCs w:val="16"/>
          <w:lang w:val="fr-FR"/>
        </w:rPr>
        <w:t> %</w:t>
      </w:r>
      <w:r w:rsidR="0092006C" w:rsidRPr="00653BF4">
        <w:rPr>
          <w:sz w:val="16"/>
          <w:szCs w:val="16"/>
          <w:lang w:val="fr-FR"/>
        </w:rPr>
        <w:t xml:space="preserve">, vert). </w:t>
      </w:r>
      <w:r w:rsidR="003A10D8" w:rsidRPr="00653BF4">
        <w:rPr>
          <w:sz w:val="16"/>
          <w:szCs w:val="16"/>
          <w:lang w:val="fr-FR"/>
        </w:rPr>
        <w:t xml:space="preserve">La note </w:t>
      </w:r>
      <w:r w:rsidR="0092006C" w:rsidRPr="00653BF4">
        <w:rPr>
          <w:sz w:val="16"/>
          <w:szCs w:val="16"/>
          <w:lang w:val="fr-FR"/>
        </w:rPr>
        <w:t>combiné</w:t>
      </w:r>
      <w:r w:rsidR="003A10D8" w:rsidRPr="00653BF4">
        <w:rPr>
          <w:sz w:val="16"/>
          <w:szCs w:val="16"/>
          <w:lang w:val="fr-FR"/>
        </w:rPr>
        <w:t>e</w:t>
      </w:r>
      <w:r w:rsidR="0092006C" w:rsidRPr="00653BF4">
        <w:rPr>
          <w:sz w:val="16"/>
          <w:szCs w:val="16"/>
          <w:lang w:val="fr-FR"/>
        </w:rPr>
        <w:t xml:space="preserve"> </w:t>
      </w:r>
      <w:r w:rsidR="00E34DC9">
        <w:rPr>
          <w:sz w:val="16"/>
          <w:szCs w:val="16"/>
          <w:lang w:val="fr-FR"/>
        </w:rPr>
        <w:t>« </w:t>
      </w:r>
      <w:r w:rsidR="009F792A" w:rsidRPr="00653BF4">
        <w:rPr>
          <w:sz w:val="16"/>
          <w:szCs w:val="16"/>
          <w:lang w:val="fr-FR"/>
        </w:rPr>
        <w:t>prise en compte</w:t>
      </w:r>
      <w:r w:rsidR="003A10D8" w:rsidRPr="00653BF4">
        <w:rPr>
          <w:sz w:val="16"/>
          <w:szCs w:val="16"/>
          <w:lang w:val="fr-FR"/>
        </w:rPr>
        <w:t xml:space="preserve"> et </w:t>
      </w:r>
      <w:r w:rsidR="0092006C" w:rsidRPr="00653BF4">
        <w:rPr>
          <w:sz w:val="16"/>
          <w:szCs w:val="16"/>
          <w:lang w:val="fr-FR"/>
        </w:rPr>
        <w:t>progrès</w:t>
      </w:r>
      <w:r w:rsidR="00E34DC9">
        <w:rPr>
          <w:sz w:val="16"/>
          <w:szCs w:val="16"/>
          <w:lang w:val="fr-FR"/>
        </w:rPr>
        <w:t> »</w:t>
      </w:r>
      <w:r w:rsidR="0092006C" w:rsidRPr="00653BF4">
        <w:rPr>
          <w:sz w:val="16"/>
          <w:szCs w:val="16"/>
          <w:lang w:val="fr-FR"/>
        </w:rPr>
        <w:t xml:space="preserve"> utilise la </w:t>
      </w:r>
      <w:r w:rsidR="009F792A" w:rsidRPr="00653BF4">
        <w:rPr>
          <w:sz w:val="16"/>
          <w:szCs w:val="16"/>
          <w:lang w:val="fr-FR"/>
        </w:rPr>
        <w:t>prise en compte</w:t>
      </w:r>
      <w:r w:rsidR="0092006C" w:rsidRPr="00653BF4">
        <w:rPr>
          <w:sz w:val="16"/>
          <w:szCs w:val="16"/>
          <w:lang w:val="fr-FR"/>
        </w:rPr>
        <w:t xml:space="preserve"> comme score maximal possible, qui peut être ramené à un niveau inférieur par des scores de progrès plus faibles (une </w:t>
      </w:r>
      <w:r w:rsidR="009F792A" w:rsidRPr="00653BF4">
        <w:rPr>
          <w:sz w:val="16"/>
          <w:szCs w:val="16"/>
          <w:lang w:val="fr-FR"/>
        </w:rPr>
        <w:t>prise en compte</w:t>
      </w:r>
      <w:r w:rsidR="0092006C" w:rsidRPr="00653BF4">
        <w:rPr>
          <w:sz w:val="16"/>
          <w:szCs w:val="16"/>
          <w:lang w:val="fr-FR"/>
        </w:rPr>
        <w:t xml:space="preserve"> verte associée à un progrès jaune passe au jaune, une </w:t>
      </w:r>
      <w:r w:rsidR="009F792A" w:rsidRPr="00653BF4">
        <w:rPr>
          <w:sz w:val="16"/>
          <w:szCs w:val="16"/>
          <w:lang w:val="fr-FR"/>
        </w:rPr>
        <w:t>prise en compte</w:t>
      </w:r>
      <w:r w:rsidR="0092006C" w:rsidRPr="00653BF4">
        <w:rPr>
          <w:sz w:val="16"/>
          <w:szCs w:val="16"/>
          <w:lang w:val="fr-FR"/>
        </w:rPr>
        <w:t xml:space="preserve"> verte associée à un progrès rouge passe à l</w:t>
      </w:r>
      <w:r w:rsidR="002A58C8" w:rsidRPr="00653BF4">
        <w:rPr>
          <w:sz w:val="16"/>
          <w:szCs w:val="16"/>
          <w:lang w:val="fr-FR"/>
        </w:rPr>
        <w:t>’</w:t>
      </w:r>
      <w:r w:rsidR="0092006C" w:rsidRPr="00653BF4">
        <w:rPr>
          <w:sz w:val="16"/>
          <w:szCs w:val="16"/>
          <w:lang w:val="fr-FR"/>
        </w:rPr>
        <w:t xml:space="preserve">orange, une </w:t>
      </w:r>
      <w:r w:rsidR="009F792A" w:rsidRPr="00653BF4">
        <w:rPr>
          <w:sz w:val="16"/>
          <w:szCs w:val="16"/>
          <w:lang w:val="fr-FR"/>
        </w:rPr>
        <w:t>prise en compte</w:t>
      </w:r>
      <w:r w:rsidR="0092006C" w:rsidRPr="00653BF4">
        <w:rPr>
          <w:sz w:val="16"/>
          <w:szCs w:val="16"/>
          <w:lang w:val="fr-FR"/>
        </w:rPr>
        <w:t xml:space="preserve"> jaune associée à un progrès jaune passe à l</w:t>
      </w:r>
      <w:r w:rsidR="002A58C8" w:rsidRPr="00653BF4">
        <w:rPr>
          <w:sz w:val="16"/>
          <w:szCs w:val="16"/>
          <w:lang w:val="fr-FR"/>
        </w:rPr>
        <w:t>’</w:t>
      </w:r>
      <w:r w:rsidR="0092006C" w:rsidRPr="00653BF4">
        <w:rPr>
          <w:sz w:val="16"/>
          <w:szCs w:val="16"/>
          <w:lang w:val="fr-FR"/>
        </w:rPr>
        <w:t xml:space="preserve">orange, une </w:t>
      </w:r>
      <w:r w:rsidR="009F792A" w:rsidRPr="00653BF4">
        <w:rPr>
          <w:sz w:val="16"/>
          <w:szCs w:val="16"/>
          <w:lang w:val="fr-FR"/>
        </w:rPr>
        <w:lastRenderedPageBreak/>
        <w:t>prise en compte</w:t>
      </w:r>
      <w:r w:rsidR="0092006C" w:rsidRPr="00653BF4">
        <w:rPr>
          <w:sz w:val="16"/>
          <w:szCs w:val="16"/>
          <w:lang w:val="fr-FR"/>
        </w:rPr>
        <w:t xml:space="preserve"> jaune associée à un progrès rouge passe au rouge, et toutes les autres combinaisons possibles conservent </w:t>
      </w:r>
      <w:r w:rsidR="0091503A" w:rsidRPr="00653BF4">
        <w:rPr>
          <w:sz w:val="16"/>
          <w:szCs w:val="16"/>
          <w:lang w:val="fr-FR"/>
        </w:rPr>
        <w:t xml:space="preserve">la note </w:t>
      </w:r>
      <w:r w:rsidR="0092006C" w:rsidRPr="00653BF4">
        <w:rPr>
          <w:sz w:val="16"/>
          <w:szCs w:val="16"/>
          <w:lang w:val="fr-FR"/>
        </w:rPr>
        <w:t xml:space="preserve">de </w:t>
      </w:r>
      <w:r w:rsidR="009F792A" w:rsidRPr="00653BF4">
        <w:rPr>
          <w:sz w:val="16"/>
          <w:szCs w:val="16"/>
          <w:lang w:val="fr-FR"/>
        </w:rPr>
        <w:t>prise en compte</w:t>
      </w:r>
      <w:r w:rsidR="0092006C" w:rsidRPr="00653BF4">
        <w:rPr>
          <w:sz w:val="16"/>
          <w:szCs w:val="16"/>
          <w:lang w:val="fr-FR"/>
        </w:rPr>
        <w:t xml:space="preserve">). </w:t>
      </w:r>
      <w:r w:rsidR="0091503A" w:rsidRPr="00653BF4">
        <w:rPr>
          <w:sz w:val="16"/>
          <w:szCs w:val="16"/>
          <w:lang w:val="fr-FR"/>
        </w:rPr>
        <w:t xml:space="preserve">La note </w:t>
      </w:r>
      <w:r w:rsidR="0092006C" w:rsidRPr="00653BF4">
        <w:rPr>
          <w:sz w:val="16"/>
          <w:szCs w:val="16"/>
          <w:lang w:val="fr-FR"/>
        </w:rPr>
        <w:t>combiné</w:t>
      </w:r>
      <w:r w:rsidR="0091503A" w:rsidRPr="00653BF4">
        <w:rPr>
          <w:sz w:val="16"/>
          <w:szCs w:val="16"/>
          <w:lang w:val="fr-FR"/>
        </w:rPr>
        <w:t>e</w:t>
      </w:r>
      <w:r w:rsidR="0092006C" w:rsidRPr="00653BF4">
        <w:rPr>
          <w:sz w:val="16"/>
          <w:szCs w:val="16"/>
          <w:lang w:val="fr-FR"/>
        </w:rPr>
        <w:t xml:space="preserve"> d</w:t>
      </w:r>
      <w:r w:rsidR="00606378" w:rsidRPr="00653BF4">
        <w:rPr>
          <w:sz w:val="16"/>
          <w:szCs w:val="16"/>
          <w:lang w:val="fr-FR"/>
        </w:rPr>
        <w:t xml:space="preserve">’un </w:t>
      </w:r>
      <w:r w:rsidR="0092006C" w:rsidRPr="00653BF4">
        <w:rPr>
          <w:sz w:val="16"/>
          <w:szCs w:val="16"/>
          <w:lang w:val="fr-FR"/>
        </w:rPr>
        <w:t>indicateur correspond à la moyenne non pondérée des scores individuels (rouge/jaune/vert) pour chaque type d</w:t>
      </w:r>
      <w:r w:rsidR="002A58C8" w:rsidRPr="00653BF4">
        <w:rPr>
          <w:sz w:val="16"/>
          <w:szCs w:val="16"/>
          <w:lang w:val="fr-FR"/>
        </w:rPr>
        <w:t>’</w:t>
      </w:r>
      <w:r w:rsidR="0092006C" w:rsidRPr="00653BF4">
        <w:rPr>
          <w:sz w:val="16"/>
          <w:szCs w:val="16"/>
          <w:lang w:val="fr-FR"/>
        </w:rPr>
        <w:t>indicateur pertinent au regard de la cible.</w:t>
      </w:r>
    </w:p>
    <w:tbl>
      <w:tblPr>
        <w:tblStyle w:val="TableGrid"/>
        <w:tblW w:w="0" w:type="auto"/>
        <w:tblLook w:val="04A0" w:firstRow="1" w:lastRow="0" w:firstColumn="1" w:lastColumn="0" w:noHBand="0" w:noVBand="1"/>
      </w:tblPr>
      <w:tblGrid>
        <w:gridCol w:w="2866"/>
        <w:gridCol w:w="4122"/>
      </w:tblGrid>
      <w:tr w:rsidR="003246FC" w:rsidRPr="004C208D" w14:paraId="47C45CF8" w14:textId="77777777" w:rsidTr="009B4355">
        <w:tc>
          <w:tcPr>
            <w:tcW w:w="0" w:type="auto"/>
            <w:gridSpan w:val="2"/>
          </w:tcPr>
          <w:p w14:paraId="567E565F" w14:textId="77777777" w:rsidR="003246FC" w:rsidRPr="004C208D" w:rsidRDefault="003246FC" w:rsidP="009B4355">
            <w:pPr>
              <w:rPr>
                <w:rFonts w:ascii="Aptos" w:hAnsi="Aptos"/>
              </w:rPr>
            </w:pPr>
            <w:r>
              <w:rPr>
                <w:rFonts w:ascii="Aptos" w:hAnsi="Aptos"/>
              </w:rPr>
              <w:t>Tableau 3</w:t>
            </w:r>
          </w:p>
        </w:tc>
      </w:tr>
      <w:tr w:rsidR="003246FC" w:rsidRPr="004C208D" w14:paraId="585F38AD" w14:textId="77777777" w:rsidTr="009B4355">
        <w:tc>
          <w:tcPr>
            <w:tcW w:w="0" w:type="auto"/>
          </w:tcPr>
          <w:p w14:paraId="532F637E" w14:textId="77777777" w:rsidR="003246FC" w:rsidRPr="004C208D" w:rsidRDefault="003246FC" w:rsidP="009B4355">
            <w:pPr>
              <w:rPr>
                <w:rFonts w:ascii="Aptos" w:hAnsi="Aptos"/>
              </w:rPr>
            </w:pPr>
            <w:r w:rsidRPr="004C208D">
              <w:rPr>
                <w:rFonts w:ascii="Aptos" w:hAnsi="Aptos"/>
              </w:rPr>
              <w:t xml:space="preserve">English </w:t>
            </w:r>
          </w:p>
        </w:tc>
        <w:tc>
          <w:tcPr>
            <w:tcW w:w="0" w:type="auto"/>
          </w:tcPr>
          <w:p w14:paraId="5C08CAF6" w14:textId="77777777" w:rsidR="003246FC" w:rsidRPr="004C208D" w:rsidRDefault="003246FC" w:rsidP="009B4355">
            <w:pPr>
              <w:rPr>
                <w:rFonts w:ascii="Aptos" w:hAnsi="Aptos"/>
              </w:rPr>
            </w:pPr>
            <w:r>
              <w:rPr>
                <w:rFonts w:ascii="Aptos" w:hAnsi="Aptos"/>
              </w:rPr>
              <w:t>Français</w:t>
            </w:r>
          </w:p>
        </w:tc>
      </w:tr>
      <w:tr w:rsidR="003246FC" w:rsidRPr="003A6336" w14:paraId="079CB6CD" w14:textId="77777777" w:rsidTr="009B4355">
        <w:tc>
          <w:tcPr>
            <w:tcW w:w="0" w:type="auto"/>
          </w:tcPr>
          <w:p w14:paraId="580E219C" w14:textId="77777777" w:rsidR="003246FC" w:rsidRPr="003A6336" w:rsidRDefault="003246FC" w:rsidP="009B4355">
            <w:pPr>
              <w:rPr>
                <w:rFonts w:ascii="Aptos" w:hAnsi="Aptos"/>
              </w:rPr>
            </w:pPr>
            <w:r w:rsidRPr="003A6336">
              <w:rPr>
                <w:rFonts w:ascii="Aptos" w:hAnsi="Aptos"/>
              </w:rPr>
              <w:t>Target</w:t>
            </w:r>
          </w:p>
        </w:tc>
        <w:tc>
          <w:tcPr>
            <w:tcW w:w="0" w:type="auto"/>
          </w:tcPr>
          <w:p w14:paraId="312C3291" w14:textId="77777777" w:rsidR="003246FC" w:rsidRPr="003A6336" w:rsidRDefault="003246FC" w:rsidP="009B4355">
            <w:pPr>
              <w:rPr>
                <w:rFonts w:ascii="Aptos" w:hAnsi="Aptos"/>
              </w:rPr>
            </w:pPr>
            <w:r>
              <w:rPr>
                <w:rFonts w:ascii="Aptos" w:hAnsi="Aptos"/>
              </w:rPr>
              <w:t>Cible</w:t>
            </w:r>
          </w:p>
        </w:tc>
      </w:tr>
      <w:tr w:rsidR="003246FC" w:rsidRPr="003A6336" w14:paraId="542BCF4B" w14:textId="77777777" w:rsidTr="009B4355">
        <w:tc>
          <w:tcPr>
            <w:tcW w:w="0" w:type="auto"/>
          </w:tcPr>
          <w:p w14:paraId="221D8CF3" w14:textId="77777777" w:rsidR="003246FC" w:rsidRPr="003A6336" w:rsidRDefault="003246FC" w:rsidP="009B4355">
            <w:pPr>
              <w:rPr>
                <w:rFonts w:ascii="Aptos" w:hAnsi="Aptos"/>
              </w:rPr>
            </w:pPr>
            <w:r w:rsidRPr="003A6336">
              <w:rPr>
                <w:rFonts w:ascii="Aptos" w:hAnsi="Aptos"/>
              </w:rPr>
              <w:t>Target 1</w:t>
            </w:r>
          </w:p>
        </w:tc>
        <w:tc>
          <w:tcPr>
            <w:tcW w:w="0" w:type="auto"/>
          </w:tcPr>
          <w:p w14:paraId="62B4FBC6" w14:textId="77777777" w:rsidR="003246FC" w:rsidRPr="003A6336" w:rsidRDefault="003246FC" w:rsidP="009B4355">
            <w:pPr>
              <w:rPr>
                <w:rFonts w:ascii="Aptos" w:hAnsi="Aptos"/>
              </w:rPr>
            </w:pPr>
            <w:r>
              <w:rPr>
                <w:rFonts w:ascii="Aptos" w:hAnsi="Aptos"/>
              </w:rPr>
              <w:t>Cible 1</w:t>
            </w:r>
          </w:p>
        </w:tc>
      </w:tr>
      <w:tr w:rsidR="003246FC" w:rsidRPr="003A6336" w14:paraId="6A27933A" w14:textId="77777777" w:rsidTr="009B4355">
        <w:tc>
          <w:tcPr>
            <w:tcW w:w="0" w:type="auto"/>
          </w:tcPr>
          <w:p w14:paraId="2FBC4D75" w14:textId="77777777" w:rsidR="003246FC" w:rsidRPr="003A6336" w:rsidRDefault="003246FC" w:rsidP="009B4355">
            <w:pPr>
              <w:rPr>
                <w:rFonts w:ascii="Aptos" w:hAnsi="Aptos"/>
              </w:rPr>
            </w:pPr>
            <w:r w:rsidRPr="003A6336">
              <w:rPr>
                <w:rFonts w:ascii="Aptos" w:hAnsi="Aptos"/>
              </w:rPr>
              <w:t>Target 2</w:t>
            </w:r>
          </w:p>
        </w:tc>
        <w:tc>
          <w:tcPr>
            <w:tcW w:w="0" w:type="auto"/>
          </w:tcPr>
          <w:p w14:paraId="65F459D8"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2</w:t>
            </w:r>
          </w:p>
        </w:tc>
      </w:tr>
      <w:tr w:rsidR="003246FC" w:rsidRPr="003A6336" w14:paraId="0002762A" w14:textId="77777777" w:rsidTr="009B4355">
        <w:tc>
          <w:tcPr>
            <w:tcW w:w="0" w:type="auto"/>
          </w:tcPr>
          <w:p w14:paraId="0B47F728" w14:textId="77777777" w:rsidR="003246FC" w:rsidRPr="003A6336" w:rsidRDefault="003246FC" w:rsidP="009B4355">
            <w:pPr>
              <w:rPr>
                <w:rFonts w:ascii="Aptos" w:hAnsi="Aptos"/>
              </w:rPr>
            </w:pPr>
            <w:r w:rsidRPr="003A6336">
              <w:rPr>
                <w:rFonts w:ascii="Aptos" w:hAnsi="Aptos"/>
              </w:rPr>
              <w:t>Target 3</w:t>
            </w:r>
          </w:p>
        </w:tc>
        <w:tc>
          <w:tcPr>
            <w:tcW w:w="0" w:type="auto"/>
          </w:tcPr>
          <w:p w14:paraId="62E18043"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3</w:t>
            </w:r>
          </w:p>
        </w:tc>
      </w:tr>
      <w:tr w:rsidR="003246FC" w:rsidRPr="003A6336" w14:paraId="05F25F07" w14:textId="77777777" w:rsidTr="009B4355">
        <w:tc>
          <w:tcPr>
            <w:tcW w:w="0" w:type="auto"/>
          </w:tcPr>
          <w:p w14:paraId="797BEB57" w14:textId="77777777" w:rsidR="003246FC" w:rsidRPr="003A6336" w:rsidRDefault="003246FC" w:rsidP="009B4355">
            <w:pPr>
              <w:rPr>
                <w:rFonts w:ascii="Aptos" w:hAnsi="Aptos"/>
              </w:rPr>
            </w:pPr>
            <w:r w:rsidRPr="003A6336">
              <w:rPr>
                <w:rFonts w:ascii="Aptos" w:hAnsi="Aptos"/>
              </w:rPr>
              <w:t>Target 4</w:t>
            </w:r>
          </w:p>
        </w:tc>
        <w:tc>
          <w:tcPr>
            <w:tcW w:w="0" w:type="auto"/>
          </w:tcPr>
          <w:p w14:paraId="220070C1"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4</w:t>
            </w:r>
          </w:p>
        </w:tc>
      </w:tr>
      <w:tr w:rsidR="003246FC" w:rsidRPr="003A6336" w14:paraId="16F44B52" w14:textId="77777777" w:rsidTr="009B4355">
        <w:tc>
          <w:tcPr>
            <w:tcW w:w="0" w:type="auto"/>
          </w:tcPr>
          <w:p w14:paraId="3E344AE3" w14:textId="77777777" w:rsidR="003246FC" w:rsidRPr="003A6336" w:rsidRDefault="003246FC" w:rsidP="009B4355">
            <w:pPr>
              <w:rPr>
                <w:rFonts w:ascii="Aptos" w:hAnsi="Aptos"/>
              </w:rPr>
            </w:pPr>
            <w:r w:rsidRPr="003A6336">
              <w:rPr>
                <w:rFonts w:ascii="Aptos" w:hAnsi="Aptos"/>
              </w:rPr>
              <w:t>Target 5</w:t>
            </w:r>
          </w:p>
        </w:tc>
        <w:tc>
          <w:tcPr>
            <w:tcW w:w="0" w:type="auto"/>
          </w:tcPr>
          <w:p w14:paraId="7729BAE8"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5</w:t>
            </w:r>
          </w:p>
        </w:tc>
      </w:tr>
      <w:tr w:rsidR="003246FC" w:rsidRPr="003A6336" w14:paraId="35D9F198" w14:textId="77777777" w:rsidTr="009B4355">
        <w:tc>
          <w:tcPr>
            <w:tcW w:w="0" w:type="auto"/>
          </w:tcPr>
          <w:p w14:paraId="34FA5824" w14:textId="77777777" w:rsidR="003246FC" w:rsidRPr="003A6336" w:rsidRDefault="003246FC" w:rsidP="009B4355">
            <w:pPr>
              <w:rPr>
                <w:rFonts w:ascii="Aptos" w:hAnsi="Aptos"/>
              </w:rPr>
            </w:pPr>
            <w:r w:rsidRPr="003A6336">
              <w:rPr>
                <w:rFonts w:ascii="Aptos" w:hAnsi="Aptos"/>
              </w:rPr>
              <w:t>Target 6</w:t>
            </w:r>
          </w:p>
        </w:tc>
        <w:tc>
          <w:tcPr>
            <w:tcW w:w="0" w:type="auto"/>
          </w:tcPr>
          <w:p w14:paraId="03141E45"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6</w:t>
            </w:r>
          </w:p>
        </w:tc>
      </w:tr>
      <w:tr w:rsidR="003246FC" w:rsidRPr="003A6336" w14:paraId="1F8B6174" w14:textId="77777777" w:rsidTr="009B4355">
        <w:tc>
          <w:tcPr>
            <w:tcW w:w="0" w:type="auto"/>
          </w:tcPr>
          <w:p w14:paraId="0516145D" w14:textId="77777777" w:rsidR="003246FC" w:rsidRPr="003A6336" w:rsidRDefault="003246FC" w:rsidP="009B4355">
            <w:pPr>
              <w:rPr>
                <w:rFonts w:ascii="Aptos" w:hAnsi="Aptos"/>
              </w:rPr>
            </w:pPr>
            <w:r w:rsidRPr="003A6336">
              <w:rPr>
                <w:rFonts w:ascii="Aptos" w:hAnsi="Aptos"/>
              </w:rPr>
              <w:t>Target 7</w:t>
            </w:r>
          </w:p>
        </w:tc>
        <w:tc>
          <w:tcPr>
            <w:tcW w:w="0" w:type="auto"/>
          </w:tcPr>
          <w:p w14:paraId="3B17EA7C"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7</w:t>
            </w:r>
          </w:p>
        </w:tc>
      </w:tr>
      <w:tr w:rsidR="003246FC" w:rsidRPr="003A6336" w14:paraId="6BC83E43" w14:textId="77777777" w:rsidTr="009B4355">
        <w:tc>
          <w:tcPr>
            <w:tcW w:w="0" w:type="auto"/>
          </w:tcPr>
          <w:p w14:paraId="412660C7" w14:textId="77777777" w:rsidR="003246FC" w:rsidRPr="003A6336" w:rsidRDefault="003246FC" w:rsidP="009B4355">
            <w:pPr>
              <w:rPr>
                <w:rFonts w:ascii="Aptos" w:hAnsi="Aptos"/>
              </w:rPr>
            </w:pPr>
            <w:r w:rsidRPr="003A6336">
              <w:rPr>
                <w:rFonts w:ascii="Aptos" w:hAnsi="Aptos"/>
              </w:rPr>
              <w:t>Target 8</w:t>
            </w:r>
          </w:p>
        </w:tc>
        <w:tc>
          <w:tcPr>
            <w:tcW w:w="0" w:type="auto"/>
          </w:tcPr>
          <w:p w14:paraId="785B90A0"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8</w:t>
            </w:r>
          </w:p>
        </w:tc>
      </w:tr>
      <w:tr w:rsidR="003246FC" w:rsidRPr="003A6336" w14:paraId="67F59252" w14:textId="77777777" w:rsidTr="009B4355">
        <w:tc>
          <w:tcPr>
            <w:tcW w:w="0" w:type="auto"/>
          </w:tcPr>
          <w:p w14:paraId="7C097F28" w14:textId="77777777" w:rsidR="003246FC" w:rsidRPr="003A6336" w:rsidRDefault="003246FC" w:rsidP="009B4355">
            <w:pPr>
              <w:rPr>
                <w:rFonts w:ascii="Aptos" w:hAnsi="Aptos"/>
              </w:rPr>
            </w:pPr>
            <w:r w:rsidRPr="003A6336">
              <w:rPr>
                <w:rFonts w:ascii="Aptos" w:hAnsi="Aptos"/>
              </w:rPr>
              <w:t>Target 9</w:t>
            </w:r>
          </w:p>
        </w:tc>
        <w:tc>
          <w:tcPr>
            <w:tcW w:w="0" w:type="auto"/>
          </w:tcPr>
          <w:p w14:paraId="13601440"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9</w:t>
            </w:r>
          </w:p>
        </w:tc>
      </w:tr>
      <w:tr w:rsidR="003246FC" w:rsidRPr="003A6336" w14:paraId="2F175EF8" w14:textId="77777777" w:rsidTr="009B4355">
        <w:tc>
          <w:tcPr>
            <w:tcW w:w="0" w:type="auto"/>
          </w:tcPr>
          <w:p w14:paraId="52FB4109" w14:textId="77777777" w:rsidR="003246FC" w:rsidRPr="003A6336" w:rsidRDefault="003246FC" w:rsidP="009B4355">
            <w:pPr>
              <w:rPr>
                <w:rFonts w:ascii="Aptos" w:hAnsi="Aptos"/>
              </w:rPr>
            </w:pPr>
            <w:r w:rsidRPr="003A6336">
              <w:rPr>
                <w:rFonts w:ascii="Aptos" w:hAnsi="Aptos"/>
              </w:rPr>
              <w:t>Target 10</w:t>
            </w:r>
          </w:p>
        </w:tc>
        <w:tc>
          <w:tcPr>
            <w:tcW w:w="0" w:type="auto"/>
          </w:tcPr>
          <w:p w14:paraId="0BFAC9AB"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10</w:t>
            </w:r>
          </w:p>
        </w:tc>
      </w:tr>
      <w:tr w:rsidR="003246FC" w:rsidRPr="003A6336" w14:paraId="494B1FD3" w14:textId="77777777" w:rsidTr="009B4355">
        <w:tc>
          <w:tcPr>
            <w:tcW w:w="0" w:type="auto"/>
          </w:tcPr>
          <w:p w14:paraId="2EA30C43" w14:textId="77777777" w:rsidR="003246FC" w:rsidRPr="003A6336" w:rsidRDefault="003246FC" w:rsidP="009B4355">
            <w:pPr>
              <w:rPr>
                <w:rFonts w:ascii="Aptos" w:hAnsi="Aptos"/>
              </w:rPr>
            </w:pPr>
            <w:r w:rsidRPr="003A6336">
              <w:rPr>
                <w:rFonts w:ascii="Aptos" w:hAnsi="Aptos"/>
              </w:rPr>
              <w:t>Target 11</w:t>
            </w:r>
          </w:p>
        </w:tc>
        <w:tc>
          <w:tcPr>
            <w:tcW w:w="0" w:type="auto"/>
          </w:tcPr>
          <w:p w14:paraId="401A3AB6"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11</w:t>
            </w:r>
          </w:p>
        </w:tc>
      </w:tr>
      <w:tr w:rsidR="003246FC" w:rsidRPr="003A6336" w14:paraId="0E77CC52" w14:textId="77777777" w:rsidTr="009B4355">
        <w:tc>
          <w:tcPr>
            <w:tcW w:w="0" w:type="auto"/>
          </w:tcPr>
          <w:p w14:paraId="6210B4F9" w14:textId="77777777" w:rsidR="003246FC" w:rsidRPr="003A6336" w:rsidRDefault="003246FC" w:rsidP="009B4355">
            <w:pPr>
              <w:rPr>
                <w:rFonts w:ascii="Aptos" w:hAnsi="Aptos"/>
              </w:rPr>
            </w:pPr>
            <w:r w:rsidRPr="003A6336">
              <w:rPr>
                <w:rFonts w:ascii="Aptos" w:hAnsi="Aptos"/>
              </w:rPr>
              <w:t>Target 12</w:t>
            </w:r>
          </w:p>
        </w:tc>
        <w:tc>
          <w:tcPr>
            <w:tcW w:w="0" w:type="auto"/>
          </w:tcPr>
          <w:p w14:paraId="35FB8DB3"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12</w:t>
            </w:r>
          </w:p>
        </w:tc>
      </w:tr>
      <w:tr w:rsidR="003246FC" w:rsidRPr="003A6336" w14:paraId="436D53CB" w14:textId="77777777" w:rsidTr="009B4355">
        <w:tc>
          <w:tcPr>
            <w:tcW w:w="0" w:type="auto"/>
          </w:tcPr>
          <w:p w14:paraId="24E6136C" w14:textId="77777777" w:rsidR="003246FC" w:rsidRPr="003A6336" w:rsidRDefault="003246FC" w:rsidP="009B4355">
            <w:pPr>
              <w:rPr>
                <w:rFonts w:ascii="Aptos" w:hAnsi="Aptos"/>
              </w:rPr>
            </w:pPr>
            <w:r w:rsidRPr="003A6336">
              <w:rPr>
                <w:rFonts w:ascii="Aptos" w:hAnsi="Aptos"/>
              </w:rPr>
              <w:t>Target 13</w:t>
            </w:r>
          </w:p>
        </w:tc>
        <w:tc>
          <w:tcPr>
            <w:tcW w:w="0" w:type="auto"/>
          </w:tcPr>
          <w:p w14:paraId="2983E177"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13</w:t>
            </w:r>
          </w:p>
        </w:tc>
      </w:tr>
      <w:tr w:rsidR="003246FC" w:rsidRPr="003A6336" w14:paraId="61FEE641" w14:textId="77777777" w:rsidTr="009B4355">
        <w:tc>
          <w:tcPr>
            <w:tcW w:w="0" w:type="auto"/>
          </w:tcPr>
          <w:p w14:paraId="54346A1D" w14:textId="77777777" w:rsidR="003246FC" w:rsidRPr="003A6336" w:rsidRDefault="003246FC" w:rsidP="009B4355">
            <w:pPr>
              <w:rPr>
                <w:rFonts w:ascii="Aptos" w:hAnsi="Aptos"/>
              </w:rPr>
            </w:pPr>
            <w:r w:rsidRPr="003A6336">
              <w:rPr>
                <w:rFonts w:ascii="Aptos" w:hAnsi="Aptos"/>
              </w:rPr>
              <w:t>Target 14</w:t>
            </w:r>
          </w:p>
        </w:tc>
        <w:tc>
          <w:tcPr>
            <w:tcW w:w="0" w:type="auto"/>
          </w:tcPr>
          <w:p w14:paraId="79D7AC6E"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14</w:t>
            </w:r>
          </w:p>
        </w:tc>
      </w:tr>
      <w:tr w:rsidR="003246FC" w:rsidRPr="003A6336" w14:paraId="606803F5" w14:textId="77777777" w:rsidTr="009B4355">
        <w:tc>
          <w:tcPr>
            <w:tcW w:w="0" w:type="auto"/>
          </w:tcPr>
          <w:p w14:paraId="0AD433D8" w14:textId="77777777" w:rsidR="003246FC" w:rsidRPr="003A6336" w:rsidRDefault="003246FC" w:rsidP="009B4355">
            <w:pPr>
              <w:rPr>
                <w:rFonts w:ascii="Aptos" w:hAnsi="Aptos"/>
              </w:rPr>
            </w:pPr>
            <w:r w:rsidRPr="003A6336">
              <w:rPr>
                <w:rFonts w:ascii="Aptos" w:hAnsi="Aptos"/>
              </w:rPr>
              <w:t>Target 15</w:t>
            </w:r>
          </w:p>
        </w:tc>
        <w:tc>
          <w:tcPr>
            <w:tcW w:w="0" w:type="auto"/>
          </w:tcPr>
          <w:p w14:paraId="09D58BFC"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15</w:t>
            </w:r>
          </w:p>
        </w:tc>
      </w:tr>
      <w:tr w:rsidR="003246FC" w:rsidRPr="003A6336" w14:paraId="64CDFF6E" w14:textId="77777777" w:rsidTr="009B4355">
        <w:tc>
          <w:tcPr>
            <w:tcW w:w="0" w:type="auto"/>
          </w:tcPr>
          <w:p w14:paraId="116CBDCD" w14:textId="77777777" w:rsidR="003246FC" w:rsidRPr="003A6336" w:rsidRDefault="003246FC" w:rsidP="009B4355">
            <w:pPr>
              <w:rPr>
                <w:rFonts w:ascii="Aptos" w:hAnsi="Aptos"/>
              </w:rPr>
            </w:pPr>
            <w:r w:rsidRPr="003A6336">
              <w:rPr>
                <w:rFonts w:ascii="Aptos" w:hAnsi="Aptos"/>
              </w:rPr>
              <w:t>Target 16</w:t>
            </w:r>
          </w:p>
        </w:tc>
        <w:tc>
          <w:tcPr>
            <w:tcW w:w="0" w:type="auto"/>
          </w:tcPr>
          <w:p w14:paraId="13BA1540"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16</w:t>
            </w:r>
          </w:p>
        </w:tc>
      </w:tr>
      <w:tr w:rsidR="003246FC" w:rsidRPr="003A6336" w14:paraId="14108B90" w14:textId="77777777" w:rsidTr="009B4355">
        <w:tc>
          <w:tcPr>
            <w:tcW w:w="0" w:type="auto"/>
          </w:tcPr>
          <w:p w14:paraId="4DCD0E3B" w14:textId="77777777" w:rsidR="003246FC" w:rsidRPr="003A6336" w:rsidRDefault="003246FC" w:rsidP="009B4355">
            <w:pPr>
              <w:rPr>
                <w:rFonts w:ascii="Aptos" w:hAnsi="Aptos"/>
              </w:rPr>
            </w:pPr>
            <w:r w:rsidRPr="003A6336">
              <w:rPr>
                <w:rFonts w:ascii="Aptos" w:hAnsi="Aptos"/>
              </w:rPr>
              <w:t>Target 17</w:t>
            </w:r>
          </w:p>
        </w:tc>
        <w:tc>
          <w:tcPr>
            <w:tcW w:w="0" w:type="auto"/>
          </w:tcPr>
          <w:p w14:paraId="4EA7BD28"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17</w:t>
            </w:r>
          </w:p>
        </w:tc>
      </w:tr>
      <w:tr w:rsidR="003246FC" w:rsidRPr="003A6336" w14:paraId="75699607" w14:textId="77777777" w:rsidTr="009B4355">
        <w:tc>
          <w:tcPr>
            <w:tcW w:w="0" w:type="auto"/>
          </w:tcPr>
          <w:p w14:paraId="59C6D998" w14:textId="77777777" w:rsidR="003246FC" w:rsidRPr="003A6336" w:rsidRDefault="003246FC" w:rsidP="009B4355">
            <w:pPr>
              <w:rPr>
                <w:rFonts w:ascii="Aptos" w:hAnsi="Aptos"/>
              </w:rPr>
            </w:pPr>
            <w:r w:rsidRPr="003A6336">
              <w:rPr>
                <w:rFonts w:ascii="Aptos" w:hAnsi="Aptos"/>
              </w:rPr>
              <w:t>Target 18</w:t>
            </w:r>
          </w:p>
        </w:tc>
        <w:tc>
          <w:tcPr>
            <w:tcW w:w="0" w:type="auto"/>
          </w:tcPr>
          <w:p w14:paraId="3C968498"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18</w:t>
            </w:r>
          </w:p>
        </w:tc>
      </w:tr>
      <w:tr w:rsidR="003246FC" w:rsidRPr="003A6336" w14:paraId="57F0CF79" w14:textId="77777777" w:rsidTr="009B4355">
        <w:tc>
          <w:tcPr>
            <w:tcW w:w="0" w:type="auto"/>
          </w:tcPr>
          <w:p w14:paraId="6EAD9070" w14:textId="77777777" w:rsidR="003246FC" w:rsidRPr="003A6336" w:rsidRDefault="003246FC" w:rsidP="009B4355">
            <w:pPr>
              <w:rPr>
                <w:rFonts w:ascii="Aptos" w:hAnsi="Aptos"/>
              </w:rPr>
            </w:pPr>
            <w:r w:rsidRPr="003A6336">
              <w:rPr>
                <w:rFonts w:ascii="Aptos" w:hAnsi="Aptos"/>
              </w:rPr>
              <w:t>Target 19</w:t>
            </w:r>
          </w:p>
        </w:tc>
        <w:tc>
          <w:tcPr>
            <w:tcW w:w="0" w:type="auto"/>
          </w:tcPr>
          <w:p w14:paraId="138B094F"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19</w:t>
            </w:r>
          </w:p>
        </w:tc>
      </w:tr>
      <w:tr w:rsidR="003246FC" w:rsidRPr="003A6336" w14:paraId="1B04B04B" w14:textId="77777777" w:rsidTr="009B4355">
        <w:tc>
          <w:tcPr>
            <w:tcW w:w="0" w:type="auto"/>
          </w:tcPr>
          <w:p w14:paraId="4C544280" w14:textId="77777777" w:rsidR="003246FC" w:rsidRPr="003A6336" w:rsidRDefault="003246FC" w:rsidP="009B4355">
            <w:pPr>
              <w:rPr>
                <w:rFonts w:ascii="Aptos" w:hAnsi="Aptos"/>
              </w:rPr>
            </w:pPr>
            <w:r w:rsidRPr="003A6336">
              <w:rPr>
                <w:rFonts w:ascii="Aptos" w:hAnsi="Aptos"/>
              </w:rPr>
              <w:t>Target 20</w:t>
            </w:r>
          </w:p>
        </w:tc>
        <w:tc>
          <w:tcPr>
            <w:tcW w:w="0" w:type="auto"/>
          </w:tcPr>
          <w:p w14:paraId="578817C4"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20</w:t>
            </w:r>
          </w:p>
        </w:tc>
      </w:tr>
      <w:tr w:rsidR="003246FC" w:rsidRPr="003A6336" w14:paraId="555FD442" w14:textId="77777777" w:rsidTr="009B4355">
        <w:tc>
          <w:tcPr>
            <w:tcW w:w="0" w:type="auto"/>
          </w:tcPr>
          <w:p w14:paraId="1DEBEAEA" w14:textId="77777777" w:rsidR="003246FC" w:rsidRPr="003A6336" w:rsidRDefault="003246FC" w:rsidP="009B4355">
            <w:pPr>
              <w:rPr>
                <w:rFonts w:ascii="Aptos" w:hAnsi="Aptos"/>
              </w:rPr>
            </w:pPr>
            <w:r w:rsidRPr="003A6336">
              <w:rPr>
                <w:rFonts w:ascii="Aptos" w:hAnsi="Aptos"/>
              </w:rPr>
              <w:t>Target 21</w:t>
            </w:r>
          </w:p>
        </w:tc>
        <w:tc>
          <w:tcPr>
            <w:tcW w:w="0" w:type="auto"/>
          </w:tcPr>
          <w:p w14:paraId="7E9FD949"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21</w:t>
            </w:r>
          </w:p>
        </w:tc>
      </w:tr>
      <w:tr w:rsidR="003246FC" w:rsidRPr="003A6336" w14:paraId="651AD170" w14:textId="77777777" w:rsidTr="009B4355">
        <w:tc>
          <w:tcPr>
            <w:tcW w:w="0" w:type="auto"/>
          </w:tcPr>
          <w:p w14:paraId="585EC2DD" w14:textId="77777777" w:rsidR="003246FC" w:rsidRPr="003A6336" w:rsidRDefault="003246FC" w:rsidP="009B4355">
            <w:pPr>
              <w:rPr>
                <w:rFonts w:ascii="Aptos" w:hAnsi="Aptos"/>
              </w:rPr>
            </w:pPr>
            <w:r w:rsidRPr="003A6336">
              <w:rPr>
                <w:rFonts w:ascii="Aptos" w:hAnsi="Aptos"/>
              </w:rPr>
              <w:t>Target 22</w:t>
            </w:r>
          </w:p>
        </w:tc>
        <w:tc>
          <w:tcPr>
            <w:tcW w:w="0" w:type="auto"/>
          </w:tcPr>
          <w:p w14:paraId="46667EC9"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22</w:t>
            </w:r>
          </w:p>
        </w:tc>
      </w:tr>
      <w:tr w:rsidR="003246FC" w:rsidRPr="003A6336" w14:paraId="06108830" w14:textId="77777777" w:rsidTr="009B4355">
        <w:tc>
          <w:tcPr>
            <w:tcW w:w="0" w:type="auto"/>
          </w:tcPr>
          <w:p w14:paraId="50E1AF85" w14:textId="77777777" w:rsidR="003246FC" w:rsidRPr="003A6336" w:rsidRDefault="003246FC" w:rsidP="009B4355">
            <w:pPr>
              <w:rPr>
                <w:rFonts w:ascii="Aptos" w:hAnsi="Aptos"/>
              </w:rPr>
            </w:pPr>
            <w:r w:rsidRPr="003A6336">
              <w:rPr>
                <w:rFonts w:ascii="Aptos" w:hAnsi="Aptos"/>
              </w:rPr>
              <w:t>Target 23</w:t>
            </w:r>
          </w:p>
        </w:tc>
        <w:tc>
          <w:tcPr>
            <w:tcW w:w="0" w:type="auto"/>
          </w:tcPr>
          <w:p w14:paraId="7D17687D" w14:textId="77777777" w:rsidR="003246FC" w:rsidRPr="003A6336" w:rsidRDefault="003246FC" w:rsidP="009B4355">
            <w:pPr>
              <w:rPr>
                <w:rFonts w:ascii="Aptos" w:hAnsi="Aptos"/>
              </w:rPr>
            </w:pPr>
            <w:r w:rsidRPr="00544F0F">
              <w:rPr>
                <w:rFonts w:ascii="Aptos" w:hAnsi="Aptos"/>
              </w:rPr>
              <w:t>Cible</w:t>
            </w:r>
            <w:r>
              <w:rPr>
                <w:rFonts w:ascii="Aptos" w:hAnsi="Aptos"/>
              </w:rPr>
              <w:t xml:space="preserve"> 23</w:t>
            </w:r>
          </w:p>
        </w:tc>
      </w:tr>
      <w:tr w:rsidR="003246FC" w:rsidRPr="003A6336" w14:paraId="7AE89208" w14:textId="77777777" w:rsidTr="009B4355">
        <w:tc>
          <w:tcPr>
            <w:tcW w:w="0" w:type="auto"/>
          </w:tcPr>
          <w:p w14:paraId="434547D1" w14:textId="77777777" w:rsidR="003246FC" w:rsidRPr="003A6336" w:rsidRDefault="003246FC" w:rsidP="009B4355">
            <w:pPr>
              <w:rPr>
                <w:rFonts w:ascii="Aptos" w:hAnsi="Aptos"/>
              </w:rPr>
            </w:pPr>
            <w:r>
              <w:rPr>
                <w:rFonts w:ascii="Aptos" w:hAnsi="Aptos"/>
              </w:rPr>
              <w:t>Coverage of scope</w:t>
            </w:r>
          </w:p>
        </w:tc>
        <w:tc>
          <w:tcPr>
            <w:tcW w:w="0" w:type="auto"/>
          </w:tcPr>
          <w:p w14:paraId="53E10779" w14:textId="77777777" w:rsidR="003246FC" w:rsidRPr="00544F0F" w:rsidRDefault="003246FC" w:rsidP="009B4355">
            <w:pPr>
              <w:rPr>
                <w:rFonts w:ascii="Aptos" w:hAnsi="Aptos"/>
              </w:rPr>
            </w:pPr>
            <w:r>
              <w:rPr>
                <w:rFonts w:ascii="Aptos" w:hAnsi="Aptos"/>
              </w:rPr>
              <w:t xml:space="preserve">Prise en compte de la </w:t>
            </w:r>
            <w:r w:rsidRPr="00B67DC4">
              <w:rPr>
                <w:rFonts w:ascii="Aptos" w:hAnsi="Aptos"/>
              </w:rPr>
              <w:t>portée</w:t>
            </w:r>
          </w:p>
        </w:tc>
      </w:tr>
      <w:tr w:rsidR="003246FC" w:rsidRPr="003A6336" w14:paraId="7EE23BFF" w14:textId="77777777" w:rsidTr="009B4355">
        <w:tc>
          <w:tcPr>
            <w:tcW w:w="0" w:type="auto"/>
          </w:tcPr>
          <w:p w14:paraId="47373E62" w14:textId="77777777" w:rsidR="003246FC" w:rsidRDefault="003246FC" w:rsidP="009B4355">
            <w:pPr>
              <w:rPr>
                <w:rFonts w:ascii="Aptos" w:hAnsi="Aptos"/>
              </w:rPr>
            </w:pPr>
            <w:r>
              <w:rPr>
                <w:rFonts w:ascii="Aptos" w:hAnsi="Aptos"/>
              </w:rPr>
              <w:t>Progress self-assessment</w:t>
            </w:r>
          </w:p>
        </w:tc>
        <w:tc>
          <w:tcPr>
            <w:tcW w:w="0" w:type="auto"/>
          </w:tcPr>
          <w:p w14:paraId="2D610AA6" w14:textId="77777777" w:rsidR="003246FC" w:rsidRDefault="003246FC" w:rsidP="009B4355">
            <w:pPr>
              <w:rPr>
                <w:rFonts w:ascii="Aptos" w:hAnsi="Aptos"/>
              </w:rPr>
            </w:pPr>
            <w:r>
              <w:rPr>
                <w:rFonts w:ascii="Aptos" w:hAnsi="Aptos"/>
              </w:rPr>
              <w:t>A</w:t>
            </w:r>
            <w:r w:rsidRPr="00D356C5">
              <w:rPr>
                <w:rFonts w:ascii="Aptos" w:hAnsi="Aptos"/>
              </w:rPr>
              <w:t>uto-évaluation des progrès</w:t>
            </w:r>
          </w:p>
        </w:tc>
      </w:tr>
      <w:tr w:rsidR="003246FC" w:rsidRPr="003A6336" w14:paraId="50356935" w14:textId="77777777" w:rsidTr="009B4355">
        <w:tc>
          <w:tcPr>
            <w:tcW w:w="0" w:type="auto"/>
          </w:tcPr>
          <w:p w14:paraId="4824A098" w14:textId="77777777" w:rsidR="003246FC" w:rsidRDefault="003246FC" w:rsidP="009B4355">
            <w:pPr>
              <w:rPr>
                <w:rFonts w:ascii="Aptos" w:hAnsi="Aptos"/>
              </w:rPr>
            </w:pPr>
            <w:r>
              <w:rPr>
                <w:rFonts w:ascii="Aptos" w:hAnsi="Aptos"/>
              </w:rPr>
              <w:t>Data use</w:t>
            </w:r>
          </w:p>
        </w:tc>
        <w:tc>
          <w:tcPr>
            <w:tcW w:w="0" w:type="auto"/>
          </w:tcPr>
          <w:p w14:paraId="4031C3E8" w14:textId="77777777" w:rsidR="003246FC" w:rsidRDefault="003246FC" w:rsidP="009B4355">
            <w:pPr>
              <w:rPr>
                <w:rFonts w:ascii="Aptos" w:hAnsi="Aptos"/>
              </w:rPr>
            </w:pPr>
            <w:r>
              <w:rPr>
                <w:rFonts w:ascii="Aptos" w:hAnsi="Aptos"/>
              </w:rPr>
              <w:t>Utilisation des données</w:t>
            </w:r>
          </w:p>
        </w:tc>
      </w:tr>
      <w:tr w:rsidR="003246FC" w:rsidRPr="003A6336" w14:paraId="1ADFECF8" w14:textId="77777777" w:rsidTr="009B4355">
        <w:tc>
          <w:tcPr>
            <w:tcW w:w="0" w:type="auto"/>
          </w:tcPr>
          <w:p w14:paraId="2C11EC7F" w14:textId="77777777" w:rsidR="003246FC" w:rsidRDefault="003246FC" w:rsidP="009B4355">
            <w:pPr>
              <w:rPr>
                <w:rFonts w:ascii="Aptos" w:hAnsi="Aptos"/>
              </w:rPr>
            </w:pPr>
            <w:r>
              <w:rPr>
                <w:rFonts w:ascii="Aptos" w:hAnsi="Aptos"/>
              </w:rPr>
              <w:t>Indicator results</w:t>
            </w:r>
          </w:p>
        </w:tc>
        <w:tc>
          <w:tcPr>
            <w:tcW w:w="0" w:type="auto"/>
          </w:tcPr>
          <w:p w14:paraId="46AAA099" w14:textId="77777777" w:rsidR="003246FC" w:rsidRDefault="003246FC" w:rsidP="009B4355">
            <w:pPr>
              <w:rPr>
                <w:rFonts w:ascii="Aptos" w:hAnsi="Aptos"/>
              </w:rPr>
            </w:pPr>
            <w:r>
              <w:rPr>
                <w:rFonts w:ascii="Aptos" w:hAnsi="Aptos"/>
              </w:rPr>
              <w:t>R</w:t>
            </w:r>
            <w:r w:rsidRPr="00F4277C">
              <w:rPr>
                <w:rFonts w:ascii="Aptos" w:hAnsi="Aptos"/>
              </w:rPr>
              <w:t>ésultats des indicateurs</w:t>
            </w:r>
          </w:p>
        </w:tc>
      </w:tr>
      <w:tr w:rsidR="003246FC" w:rsidRPr="003A6336" w14:paraId="0B6C4FB8" w14:textId="77777777" w:rsidTr="009B4355">
        <w:tc>
          <w:tcPr>
            <w:tcW w:w="0" w:type="auto"/>
          </w:tcPr>
          <w:p w14:paraId="1B92A257" w14:textId="77777777" w:rsidR="003246FC" w:rsidRDefault="003246FC" w:rsidP="009B4355">
            <w:pPr>
              <w:rPr>
                <w:rFonts w:ascii="Aptos" w:hAnsi="Aptos"/>
              </w:rPr>
            </w:pPr>
            <w:r>
              <w:rPr>
                <w:rFonts w:ascii="Aptos" w:hAnsi="Aptos"/>
              </w:rPr>
              <w:t>All quantitative indicators</w:t>
            </w:r>
          </w:p>
        </w:tc>
        <w:tc>
          <w:tcPr>
            <w:tcW w:w="0" w:type="auto"/>
          </w:tcPr>
          <w:p w14:paraId="636A9894" w14:textId="77777777" w:rsidR="003246FC" w:rsidRDefault="003246FC" w:rsidP="009B4355">
            <w:pPr>
              <w:rPr>
                <w:rFonts w:ascii="Aptos" w:hAnsi="Aptos"/>
              </w:rPr>
            </w:pPr>
            <w:r>
              <w:rPr>
                <w:rFonts w:ascii="Aptos" w:hAnsi="Aptos"/>
              </w:rPr>
              <w:t>E</w:t>
            </w:r>
            <w:r w:rsidRPr="003A0BF3">
              <w:rPr>
                <w:rFonts w:ascii="Aptos" w:hAnsi="Aptos"/>
              </w:rPr>
              <w:t>nsemble des indicateurs quantitatifs</w:t>
            </w:r>
          </w:p>
        </w:tc>
      </w:tr>
      <w:tr w:rsidR="003246FC" w:rsidRPr="003A6336" w14:paraId="16D3ED3A" w14:textId="77777777" w:rsidTr="009B4355">
        <w:tc>
          <w:tcPr>
            <w:tcW w:w="0" w:type="auto"/>
          </w:tcPr>
          <w:p w14:paraId="553AF32D" w14:textId="77777777" w:rsidR="003246FC" w:rsidRDefault="003246FC" w:rsidP="009B4355">
            <w:pPr>
              <w:rPr>
                <w:rFonts w:ascii="Aptos" w:hAnsi="Aptos"/>
              </w:rPr>
            </w:pPr>
            <w:r>
              <w:rPr>
                <w:rFonts w:ascii="Aptos" w:hAnsi="Aptos"/>
              </w:rPr>
              <w:t>Binary</w:t>
            </w:r>
          </w:p>
        </w:tc>
        <w:tc>
          <w:tcPr>
            <w:tcW w:w="0" w:type="auto"/>
          </w:tcPr>
          <w:p w14:paraId="518FDB11" w14:textId="77777777" w:rsidR="003246FC" w:rsidRDefault="003246FC" w:rsidP="009B4355">
            <w:pPr>
              <w:rPr>
                <w:rFonts w:ascii="Aptos" w:hAnsi="Aptos"/>
              </w:rPr>
            </w:pPr>
            <w:r>
              <w:rPr>
                <w:rFonts w:ascii="Aptos" w:hAnsi="Aptos"/>
              </w:rPr>
              <w:t>Binaire</w:t>
            </w:r>
          </w:p>
        </w:tc>
      </w:tr>
      <w:tr w:rsidR="003246FC" w:rsidRPr="003A6336" w14:paraId="2B078F98" w14:textId="77777777" w:rsidTr="009B4355">
        <w:tc>
          <w:tcPr>
            <w:tcW w:w="0" w:type="auto"/>
          </w:tcPr>
          <w:p w14:paraId="5B407993" w14:textId="77777777" w:rsidR="003246FC" w:rsidRDefault="003246FC" w:rsidP="009B4355">
            <w:pPr>
              <w:rPr>
                <w:rFonts w:ascii="Aptos" w:hAnsi="Aptos"/>
              </w:rPr>
            </w:pPr>
            <w:r>
              <w:rPr>
                <w:rFonts w:ascii="Aptos" w:hAnsi="Aptos"/>
              </w:rPr>
              <w:t>Overall progess score</w:t>
            </w:r>
          </w:p>
        </w:tc>
        <w:tc>
          <w:tcPr>
            <w:tcW w:w="0" w:type="auto"/>
          </w:tcPr>
          <w:p w14:paraId="5384DC62" w14:textId="77777777" w:rsidR="003246FC" w:rsidRDefault="003246FC" w:rsidP="009B4355">
            <w:pPr>
              <w:rPr>
                <w:rFonts w:ascii="Aptos" w:hAnsi="Aptos"/>
              </w:rPr>
            </w:pPr>
            <w:r>
              <w:rPr>
                <w:rFonts w:ascii="Aptos" w:hAnsi="Aptos"/>
              </w:rPr>
              <w:t>N</w:t>
            </w:r>
            <w:r w:rsidRPr="00713056">
              <w:rPr>
                <w:rFonts w:ascii="Aptos" w:hAnsi="Aptos"/>
              </w:rPr>
              <w:t>ote globale de progrès</w:t>
            </w:r>
          </w:p>
        </w:tc>
      </w:tr>
    </w:tbl>
    <w:p w14:paraId="1AB209AD" w14:textId="48E305F6" w:rsidR="00953AD6" w:rsidRPr="00653BF4" w:rsidRDefault="00953AD6" w:rsidP="00953AD6">
      <w:pPr>
        <w:rPr>
          <w:lang w:val="fr-FR" w:eastAsia="ja-JP"/>
        </w:rPr>
      </w:pPr>
    </w:p>
    <w:p w14:paraId="35517E19" w14:textId="6CBB89A0" w:rsidR="00A22F9B" w:rsidRPr="00653BF4" w:rsidRDefault="00B7301B" w:rsidP="00874061">
      <w:pPr>
        <w:pStyle w:val="Heading3"/>
        <w:rPr>
          <w:lang w:val="fr-FR"/>
        </w:rPr>
      </w:pPr>
      <w:bookmarkStart w:id="70" w:name="_Toc242801231"/>
      <w:r w:rsidRPr="00653BF4">
        <w:rPr>
          <w:lang w:val="fr-FR"/>
        </w:rPr>
        <w:t>Atténuer les menaces qui pèsent sur la biodiversité</w:t>
      </w:r>
      <w:bookmarkEnd w:id="70"/>
    </w:p>
    <w:p w14:paraId="443A0C33" w14:textId="77777777" w:rsidR="006F3010" w:rsidRPr="00653BF4" w:rsidRDefault="006F3010" w:rsidP="006F3010">
      <w:pPr>
        <w:rPr>
          <w:lang w:val="fr-FR"/>
        </w:rPr>
      </w:pPr>
    </w:p>
    <w:p w14:paraId="2ABBF7FC" w14:textId="1F07DC5C" w:rsidR="006577E5" w:rsidRPr="00653BF4" w:rsidRDefault="00E34DC9" w:rsidP="74032CC2">
      <w:pPr>
        <w:pStyle w:val="Heading4"/>
        <w:rPr>
          <w:i w:val="0"/>
          <w:iCs w:val="0"/>
          <w:lang w:val="fr-FR"/>
        </w:rPr>
      </w:pPr>
      <w:bookmarkStart w:id="71" w:name="_Toc235821050"/>
      <w:bookmarkStart w:id="72" w:name="_Toc239069195"/>
      <w:bookmarkStart w:id="73" w:name="_Toc242801232"/>
      <w:r>
        <w:rPr>
          <w:b/>
          <w:bCs/>
          <w:i w:val="0"/>
          <w:iCs w:val="0"/>
          <w:lang w:val="fr-FR"/>
        </w:rPr>
        <w:lastRenderedPageBreak/>
        <w:t>Cible 1</w:t>
      </w:r>
      <w:r w:rsidR="00EA487A" w:rsidRPr="00653BF4">
        <w:rPr>
          <w:b/>
          <w:bCs/>
          <w:i w:val="0"/>
          <w:iCs w:val="0"/>
          <w:lang w:val="fr-FR"/>
        </w:rPr>
        <w:t>.</w:t>
      </w:r>
      <w:r w:rsidR="006577E5" w:rsidRPr="00653BF4">
        <w:rPr>
          <w:i w:val="0"/>
          <w:iCs w:val="0"/>
          <w:lang w:val="fr-FR"/>
        </w:rPr>
        <w:t xml:space="preserve"> </w:t>
      </w:r>
      <w:r w:rsidR="00DD39EE" w:rsidRPr="00653BF4">
        <w:rPr>
          <w:i w:val="0"/>
          <w:iCs w:val="0"/>
          <w:lang w:val="fr-FR"/>
        </w:rPr>
        <w:t>Planifier et gérer toutes les zones afin de réduire la perte de biodiversité</w:t>
      </w:r>
      <w:bookmarkEnd w:id="71"/>
      <w:bookmarkEnd w:id="72"/>
      <w:bookmarkEnd w:id="73"/>
    </w:p>
    <w:p w14:paraId="5CEC771A" w14:textId="77777777" w:rsidR="006F3010" w:rsidRPr="00653BF4" w:rsidRDefault="006F3010" w:rsidP="006F3010">
      <w:pPr>
        <w:rPr>
          <w:lang w:val="fr-FR"/>
        </w:rPr>
      </w:pPr>
    </w:p>
    <w:p w14:paraId="2DE1915D" w14:textId="5DAE1D65" w:rsidR="00522062" w:rsidRPr="00653BF4" w:rsidRDefault="00DD39EE" w:rsidP="00522062">
      <w:pPr>
        <w:pStyle w:val="p1"/>
        <w:rPr>
          <w:rFonts w:asciiTheme="minorHAnsi" w:hAnsiTheme="minorHAnsi"/>
          <w:i/>
          <w:iCs/>
          <w:sz w:val="22"/>
          <w:szCs w:val="22"/>
          <w:lang w:val="fr-FR"/>
        </w:rPr>
      </w:pPr>
      <w:r w:rsidRPr="00653BF4">
        <w:rPr>
          <w:rFonts w:asciiTheme="minorHAnsi" w:hAnsiTheme="minorHAnsi"/>
          <w:b/>
          <w:sz w:val="22"/>
          <w:szCs w:val="22"/>
          <w:lang w:val="fr-FR"/>
        </w:rPr>
        <w:t>T</w:t>
      </w:r>
      <w:r w:rsidR="00522062" w:rsidRPr="00653BF4">
        <w:rPr>
          <w:rFonts w:asciiTheme="minorHAnsi" w:hAnsiTheme="minorHAnsi"/>
          <w:b/>
          <w:sz w:val="22"/>
          <w:szCs w:val="22"/>
          <w:lang w:val="fr-FR"/>
        </w:rPr>
        <w:t>ext</w:t>
      </w:r>
      <w:r w:rsidRPr="00653BF4">
        <w:rPr>
          <w:rFonts w:asciiTheme="minorHAnsi" w:hAnsiTheme="minorHAnsi"/>
          <w:b/>
          <w:sz w:val="22"/>
          <w:szCs w:val="22"/>
          <w:lang w:val="fr-FR"/>
        </w:rPr>
        <w:t>e de la cible</w:t>
      </w:r>
      <w:r w:rsidR="00203FEA" w:rsidRPr="00653BF4">
        <w:rPr>
          <w:rFonts w:asciiTheme="minorHAnsi" w:hAnsiTheme="minorHAnsi"/>
          <w:sz w:val="22"/>
          <w:szCs w:val="22"/>
          <w:lang w:val="fr-FR"/>
        </w:rPr>
        <w:t>.</w:t>
      </w:r>
      <w:r w:rsidR="00522062" w:rsidRPr="00653BF4">
        <w:rPr>
          <w:rFonts w:asciiTheme="minorHAnsi" w:hAnsiTheme="minorHAnsi"/>
          <w:i/>
          <w:iCs/>
          <w:sz w:val="22"/>
          <w:szCs w:val="22"/>
          <w:lang w:val="fr-FR"/>
        </w:rPr>
        <w:t xml:space="preserve"> </w:t>
      </w:r>
      <w:r w:rsidR="00D917D3" w:rsidRPr="00653BF4">
        <w:rPr>
          <w:rFonts w:asciiTheme="minorHAnsi" w:hAnsiTheme="minorHAnsi"/>
          <w:i/>
          <w:iCs/>
          <w:sz w:val="22"/>
          <w:szCs w:val="22"/>
          <w:lang w:val="fr-FR"/>
        </w:rPr>
        <w:t>Veiller à ce que toutes les zones fassent l</w:t>
      </w:r>
      <w:r w:rsidR="002A58C8" w:rsidRPr="00653BF4">
        <w:rPr>
          <w:rFonts w:asciiTheme="minorHAnsi" w:hAnsiTheme="minorHAnsi"/>
          <w:i/>
          <w:iCs/>
          <w:sz w:val="22"/>
          <w:szCs w:val="22"/>
          <w:lang w:val="fr-FR"/>
        </w:rPr>
        <w:t>’</w:t>
      </w:r>
      <w:r w:rsidR="00D917D3" w:rsidRPr="00653BF4">
        <w:rPr>
          <w:rFonts w:asciiTheme="minorHAnsi" w:hAnsiTheme="minorHAnsi"/>
          <w:i/>
          <w:iCs/>
          <w:sz w:val="22"/>
          <w:szCs w:val="22"/>
          <w:lang w:val="fr-FR"/>
        </w:rPr>
        <w:t>objet d</w:t>
      </w:r>
      <w:r w:rsidR="002A58C8" w:rsidRPr="00653BF4">
        <w:rPr>
          <w:rFonts w:asciiTheme="minorHAnsi" w:hAnsiTheme="minorHAnsi"/>
          <w:i/>
          <w:iCs/>
          <w:sz w:val="22"/>
          <w:szCs w:val="22"/>
          <w:lang w:val="fr-FR"/>
        </w:rPr>
        <w:t>’</w:t>
      </w:r>
      <w:r w:rsidR="00D917D3" w:rsidRPr="00653BF4">
        <w:rPr>
          <w:rFonts w:asciiTheme="minorHAnsi" w:hAnsiTheme="minorHAnsi"/>
          <w:i/>
          <w:iCs/>
          <w:sz w:val="22"/>
          <w:szCs w:val="22"/>
          <w:lang w:val="fr-FR"/>
        </w:rPr>
        <w:t>une planification spatiale participative, intégrée et respectueuse de la biodiversité et/ou soient gérées efficacement dans le cadre de processus de changement d</w:t>
      </w:r>
      <w:r w:rsidR="002A58C8" w:rsidRPr="00653BF4">
        <w:rPr>
          <w:rFonts w:asciiTheme="minorHAnsi" w:hAnsiTheme="minorHAnsi"/>
          <w:i/>
          <w:iCs/>
          <w:sz w:val="22"/>
          <w:szCs w:val="22"/>
          <w:lang w:val="fr-FR"/>
        </w:rPr>
        <w:t>’</w:t>
      </w:r>
      <w:r w:rsidR="00D917D3" w:rsidRPr="00653BF4">
        <w:rPr>
          <w:rFonts w:asciiTheme="minorHAnsi" w:hAnsiTheme="minorHAnsi"/>
          <w:i/>
          <w:iCs/>
          <w:sz w:val="22"/>
          <w:szCs w:val="22"/>
          <w:lang w:val="fr-FR"/>
        </w:rPr>
        <w:t>affectation des terres et des mers, afin de réduire la perte de zones de grande importance pour la biodiversité, y compris d</w:t>
      </w:r>
      <w:r w:rsidR="002A58C8" w:rsidRPr="00653BF4">
        <w:rPr>
          <w:rFonts w:asciiTheme="minorHAnsi" w:hAnsiTheme="minorHAnsi"/>
          <w:i/>
          <w:iCs/>
          <w:sz w:val="22"/>
          <w:szCs w:val="22"/>
          <w:lang w:val="fr-FR"/>
        </w:rPr>
        <w:t>’</w:t>
      </w:r>
      <w:r w:rsidR="00D917D3" w:rsidRPr="00653BF4">
        <w:rPr>
          <w:rFonts w:asciiTheme="minorHAnsi" w:hAnsiTheme="minorHAnsi"/>
          <w:i/>
          <w:iCs/>
          <w:sz w:val="22"/>
          <w:szCs w:val="22"/>
          <w:lang w:val="fr-FR"/>
        </w:rPr>
        <w:t>écosystèmes de grande intégrité écologique, à un niveau proche de zéro d</w:t>
      </w:r>
      <w:r w:rsidR="002A58C8" w:rsidRPr="00653BF4">
        <w:rPr>
          <w:rFonts w:asciiTheme="minorHAnsi" w:hAnsiTheme="minorHAnsi"/>
          <w:i/>
          <w:iCs/>
          <w:sz w:val="22"/>
          <w:szCs w:val="22"/>
          <w:lang w:val="fr-FR"/>
        </w:rPr>
        <w:t>’</w:t>
      </w:r>
      <w:r w:rsidR="00D917D3" w:rsidRPr="00653BF4">
        <w:rPr>
          <w:rFonts w:asciiTheme="minorHAnsi" w:hAnsiTheme="minorHAnsi"/>
          <w:i/>
          <w:iCs/>
          <w:sz w:val="22"/>
          <w:szCs w:val="22"/>
          <w:lang w:val="fr-FR"/>
        </w:rPr>
        <w:t>ici à 2030, dans le respect des droits des peuples autochtones et des communautés locales.</w:t>
      </w:r>
    </w:p>
    <w:p w14:paraId="419276B4" w14:textId="77777777" w:rsidR="00522062" w:rsidRPr="00653BF4" w:rsidRDefault="00522062" w:rsidP="00522062">
      <w:pPr>
        <w:pStyle w:val="p1"/>
        <w:rPr>
          <w:rFonts w:asciiTheme="minorHAnsi" w:hAnsiTheme="minorHAnsi"/>
          <w:i/>
          <w:iCs/>
          <w:sz w:val="22"/>
          <w:szCs w:val="22"/>
          <w:lang w:val="fr-FR"/>
        </w:rPr>
      </w:pPr>
    </w:p>
    <w:p w14:paraId="7A443312" w14:textId="08254BCD" w:rsidR="00DF3344" w:rsidRPr="00653BF4" w:rsidRDefault="00DF3344" w:rsidP="00874061">
      <w:pPr>
        <w:pStyle w:val="Heading4"/>
        <w:rPr>
          <w:lang w:val="fr-FR"/>
        </w:rPr>
      </w:pPr>
    </w:p>
    <w:p w14:paraId="14531F20" w14:textId="31545E4C" w:rsidR="00A10475" w:rsidRPr="00653BF4" w:rsidRDefault="00DD19D2" w:rsidP="00A10475">
      <w:pPr>
        <w:pStyle w:val="Heading5"/>
        <w:rPr>
          <w:lang w:val="fr-FR"/>
        </w:rPr>
      </w:pPr>
      <w:r w:rsidRPr="00653BF4">
        <w:rPr>
          <w:lang w:val="fr-FR"/>
        </w:rPr>
        <w:t>Aperçu des progrès</w:t>
      </w:r>
      <w:r w:rsidR="003E194D" w:rsidRPr="00653BF4">
        <w:rPr>
          <w:lang w:val="fr-FR"/>
        </w:rPr>
        <w:t xml:space="preserve"> accomplis</w:t>
      </w:r>
    </w:p>
    <w:tbl>
      <w:tblPr>
        <w:tblStyle w:val="TableGrid"/>
        <w:tblW w:w="0" w:type="auto"/>
        <w:tblLook w:val="04A0" w:firstRow="1" w:lastRow="0" w:firstColumn="1" w:lastColumn="0" w:noHBand="0" w:noVBand="1"/>
      </w:tblPr>
      <w:tblGrid>
        <w:gridCol w:w="9016"/>
      </w:tblGrid>
      <w:tr w:rsidR="00201A82" w:rsidRPr="00543148" w14:paraId="7D988D56" w14:textId="77777777" w:rsidTr="00201A82">
        <w:tc>
          <w:tcPr>
            <w:tcW w:w="9016" w:type="dxa"/>
            <w:shd w:val="clear" w:color="auto" w:fill="D1D1D1" w:themeFill="background2" w:themeFillShade="E6"/>
          </w:tcPr>
          <w:p w14:paraId="5E74738F" w14:textId="77777777" w:rsidR="00842961" w:rsidRPr="00653BF4" w:rsidRDefault="00842961" w:rsidP="00224B59">
            <w:pPr>
              <w:rPr>
                <w:rFonts w:ascii="Aptos" w:eastAsia="Times New Roman" w:hAnsi="Aptos" w:cs="Calibri"/>
                <w:color w:val="000000"/>
                <w:lang w:val="fr-FR"/>
              </w:rPr>
            </w:pPr>
          </w:p>
          <w:p w14:paraId="2B4B5637" w14:textId="14184AB4" w:rsidR="00224B59" w:rsidRPr="00653BF4" w:rsidRDefault="00722AD9" w:rsidP="00224B59">
            <w:pPr>
              <w:rPr>
                <w:rFonts w:ascii="Aptos" w:eastAsia="Times New Roman" w:hAnsi="Aptos" w:cs="Calibri"/>
                <w:color w:val="000000"/>
                <w:lang w:val="fr-FR"/>
              </w:rPr>
            </w:pPr>
            <w:r w:rsidRPr="00653BF4">
              <w:rPr>
                <w:rFonts w:ascii="Aptos" w:eastAsia="Times New Roman" w:hAnsi="Aptos" w:cs="Calibri"/>
                <w:color w:val="000000"/>
                <w:lang w:val="fr-FR"/>
              </w:rPr>
              <w:t>Malgré les progrès accomplis dans l</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élaboration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approches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 xml:space="preserve">aménagement et de gestion du </w:t>
            </w:r>
            <w:r w:rsidR="00DA6F5D">
              <w:rPr>
                <w:rFonts w:ascii="Aptos" w:eastAsia="Times New Roman" w:hAnsi="Aptos" w:cs="Calibri"/>
                <w:color w:val="000000"/>
                <w:lang w:val="fr-FR"/>
              </w:rPr>
              <w:t>t</w:t>
            </w:r>
            <w:r w:rsidRPr="00653BF4">
              <w:rPr>
                <w:rFonts w:ascii="Aptos" w:eastAsia="Times New Roman" w:hAnsi="Aptos" w:cs="Calibri"/>
                <w:color w:val="000000"/>
                <w:lang w:val="fr-FR"/>
              </w:rPr>
              <w:t xml:space="preserve">erritoire </w:t>
            </w:r>
            <w:r w:rsidR="00DA6F5D">
              <w:rPr>
                <w:rFonts w:ascii="Aptos" w:eastAsia="Times New Roman" w:hAnsi="Aptos" w:cs="Calibri"/>
                <w:color w:val="000000"/>
                <w:lang w:val="fr-FR"/>
              </w:rPr>
              <w:t>respectueuse</w:t>
            </w:r>
            <w:r w:rsidRPr="00653BF4">
              <w:rPr>
                <w:rFonts w:ascii="Aptos" w:eastAsia="Times New Roman" w:hAnsi="Aptos" w:cs="Calibri"/>
                <w:color w:val="000000"/>
                <w:lang w:val="fr-FR"/>
              </w:rPr>
              <w:t xml:space="preserve"> de la biodiversité,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importantes lacunes subsistent en matière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 xml:space="preserve">intégration de la biodiversité dans les processus de planification plus larges et de mise en œuvre participative. Souvent, les cibles nationales ne répondent pas pleinement aux exigences en matière de planification intégrée et de participation, et les niveaux actuels de mise en œuvre restent bien insuffisants pour parvenir à une </w:t>
            </w:r>
            <w:r w:rsidR="009F792A" w:rsidRPr="00653BF4">
              <w:rPr>
                <w:rFonts w:ascii="Aptos" w:eastAsia="Times New Roman" w:hAnsi="Aptos" w:cs="Calibri"/>
                <w:color w:val="000000"/>
                <w:lang w:val="fr-FR"/>
              </w:rPr>
              <w:t>prise en compte</w:t>
            </w:r>
            <w:r w:rsidRPr="00653BF4">
              <w:rPr>
                <w:rFonts w:ascii="Aptos" w:eastAsia="Times New Roman" w:hAnsi="Aptos" w:cs="Calibri"/>
                <w:color w:val="000000"/>
                <w:lang w:val="fr-FR"/>
              </w:rPr>
              <w:t xml:space="preserve"> complète des plans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aménagement du territoire tenant compte de la biodiversité, minimiser la perte de zones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une grande importance pour la biodiversité et garantir l</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 xml:space="preserve">intégration et le caractère participatif des processus.  Les Parties sont confrontées à des </w:t>
            </w:r>
            <w:r w:rsidR="00CE5CF3" w:rsidRPr="00653BF4">
              <w:rPr>
                <w:rFonts w:ascii="Aptos" w:eastAsia="Times New Roman" w:hAnsi="Aptos" w:cs="Calibri"/>
                <w:color w:val="000000"/>
                <w:lang w:val="fr-FR"/>
              </w:rPr>
              <w:t>difficultés</w:t>
            </w:r>
            <w:r w:rsidRPr="00653BF4">
              <w:rPr>
                <w:rFonts w:ascii="Aptos" w:eastAsia="Times New Roman" w:hAnsi="Aptos" w:cs="Calibri"/>
                <w:color w:val="000000"/>
                <w:lang w:val="fr-FR"/>
              </w:rPr>
              <w:t xml:space="preserve"> lié</w:t>
            </w:r>
            <w:r w:rsidR="00CE5CF3" w:rsidRPr="00653BF4">
              <w:rPr>
                <w:rFonts w:ascii="Aptos" w:eastAsia="Times New Roman" w:hAnsi="Aptos" w:cs="Calibri"/>
                <w:color w:val="000000"/>
                <w:lang w:val="fr-FR"/>
              </w:rPr>
              <w:t>e</w:t>
            </w:r>
            <w:r w:rsidRPr="00653BF4">
              <w:rPr>
                <w:rFonts w:ascii="Aptos" w:eastAsia="Times New Roman" w:hAnsi="Aptos" w:cs="Calibri"/>
                <w:color w:val="000000"/>
                <w:lang w:val="fr-FR"/>
              </w:rPr>
              <w:t>s à l</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amélioration de la participation des parties prenantes et des titulaires de droits, à l</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extension de la mise en œuvre au-delà des</w:t>
            </w:r>
            <w:r w:rsidR="00E477E7" w:rsidRPr="00653BF4">
              <w:rPr>
                <w:rFonts w:ascii="Aptos" w:eastAsia="Times New Roman" w:hAnsi="Aptos" w:cs="Calibri"/>
                <w:color w:val="000000"/>
                <w:lang w:val="fr-FR"/>
              </w:rPr>
              <w:t xml:space="preserve"> zones </w:t>
            </w:r>
            <w:r w:rsidRPr="00653BF4">
              <w:rPr>
                <w:rFonts w:ascii="Aptos" w:eastAsia="Times New Roman" w:hAnsi="Aptos" w:cs="Calibri"/>
                <w:color w:val="000000"/>
                <w:lang w:val="fr-FR"/>
              </w:rPr>
              <w:t>protégées et à la mise en place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une intégration intersectorielle.</w:t>
            </w:r>
          </w:p>
          <w:p w14:paraId="031FFF7A" w14:textId="14C7A54B" w:rsidR="00201A82" w:rsidRPr="00653BF4" w:rsidRDefault="00201A82" w:rsidP="00243BFA">
            <w:pPr>
              <w:rPr>
                <w:lang w:val="fr-FR"/>
              </w:rPr>
            </w:pPr>
          </w:p>
        </w:tc>
      </w:tr>
    </w:tbl>
    <w:p w14:paraId="16A0715B" w14:textId="77777777" w:rsidR="009B18C3" w:rsidRPr="00653BF4" w:rsidRDefault="009B18C3" w:rsidP="008E693D">
      <w:pPr>
        <w:pStyle w:val="Heading5"/>
        <w:rPr>
          <w:lang w:val="fr-FR"/>
        </w:rPr>
      </w:pPr>
    </w:p>
    <w:p w14:paraId="6E92696C" w14:textId="799E251E" w:rsidR="00EB7ECC" w:rsidRPr="00653BF4" w:rsidRDefault="004A0A0D" w:rsidP="00AB220D">
      <w:pPr>
        <w:pStyle w:val="Heading5"/>
        <w:rPr>
          <w:lang w:val="fr-FR"/>
        </w:rPr>
      </w:pPr>
      <w:r w:rsidRPr="00653BF4">
        <w:rPr>
          <w:lang w:val="fr-FR"/>
        </w:rPr>
        <w:t xml:space="preserve">Prise en compte par les Parties </w:t>
      </w:r>
      <w:r w:rsidR="00644222" w:rsidRPr="00653BF4">
        <w:rPr>
          <w:lang w:val="fr-FR"/>
        </w:rPr>
        <w:t>de la portée</w:t>
      </w:r>
      <w:r w:rsidRPr="00653BF4">
        <w:rPr>
          <w:lang w:val="fr-FR"/>
        </w:rPr>
        <w:t xml:space="preserve"> de la </w:t>
      </w:r>
      <w:r w:rsidR="00E34DC9">
        <w:rPr>
          <w:lang w:val="fr-FR"/>
        </w:rPr>
        <w:t>cible 1</w:t>
      </w:r>
      <w:r w:rsidRPr="00653BF4">
        <w:rPr>
          <w:lang w:val="fr-FR"/>
        </w:rPr>
        <w:t xml:space="preserve"> du Cadre dans leurs cibles nationales</w:t>
      </w:r>
    </w:p>
    <w:p w14:paraId="7C2E3BC6" w14:textId="77777777" w:rsidR="00830F38" w:rsidRPr="00653BF4" w:rsidRDefault="00830F38" w:rsidP="006B6C06">
      <w:pPr>
        <w:rPr>
          <w:lang w:val="fr-FR"/>
        </w:rPr>
      </w:pPr>
    </w:p>
    <w:p w14:paraId="05EA94AA" w14:textId="31858315" w:rsidR="00036C24" w:rsidRPr="00653BF4" w:rsidRDefault="000B3CA3" w:rsidP="00D61663">
      <w:pPr>
        <w:pStyle w:val="Caption"/>
        <w:keepNext/>
        <w:rPr>
          <w:b/>
          <w:bCs/>
          <w:i w:val="0"/>
          <w:iCs w:val="0"/>
          <w:sz w:val="20"/>
          <w:szCs w:val="20"/>
          <w:lang w:val="fr-FR"/>
        </w:rPr>
      </w:pPr>
      <w:bookmarkStart w:id="74" w:name="_Ref230429804"/>
      <w:bookmarkStart w:id="75" w:name="_Ref235625109"/>
      <w:r w:rsidRPr="00653BF4">
        <w:rPr>
          <w:b/>
          <w:i w:val="0"/>
          <w:sz w:val="20"/>
          <w:szCs w:val="20"/>
          <w:lang w:val="fr-FR"/>
        </w:rPr>
        <w:t>Table</w:t>
      </w:r>
      <w:r w:rsidR="004A0A0D" w:rsidRPr="00653BF4">
        <w:rPr>
          <w:b/>
          <w:i w:val="0"/>
          <w:sz w:val="20"/>
          <w:szCs w:val="20"/>
          <w:lang w:val="fr-FR"/>
        </w:rPr>
        <w:t>au</w:t>
      </w:r>
      <w:r w:rsidRPr="00653BF4">
        <w:rPr>
          <w:b/>
          <w:i w:val="0"/>
          <w:sz w:val="20"/>
          <w:szCs w:val="20"/>
          <w:lang w:val="fr-FR"/>
        </w:rPr>
        <w:t xml:space="preserve"> </w:t>
      </w:r>
      <w:r w:rsidR="00DC1793" w:rsidRPr="00653BF4">
        <w:rPr>
          <w:b/>
          <w:i w:val="0"/>
          <w:noProof/>
          <w:sz w:val="20"/>
          <w:szCs w:val="20"/>
          <w:lang w:val="fr-FR"/>
        </w:rPr>
        <w:t>4</w:t>
      </w:r>
      <w:bookmarkEnd w:id="74"/>
      <w:bookmarkEnd w:id="75"/>
    </w:p>
    <w:p w14:paraId="10ECF6C1" w14:textId="5FAB6AAE" w:rsidR="00D61663" w:rsidRPr="00653BF4" w:rsidRDefault="00CD6BC3" w:rsidP="00D61663">
      <w:pPr>
        <w:pStyle w:val="Caption"/>
        <w:keepNext/>
        <w:rPr>
          <w:i w:val="0"/>
          <w:sz w:val="20"/>
          <w:szCs w:val="20"/>
          <w:lang w:val="fr-FR"/>
        </w:rPr>
      </w:pPr>
      <w:r w:rsidRPr="00653BF4">
        <w:rPr>
          <w:i w:val="0"/>
          <w:sz w:val="20"/>
          <w:szCs w:val="20"/>
          <w:lang w:val="fr-FR"/>
        </w:rPr>
        <w:t xml:space="preserve">Éléments de la </w:t>
      </w:r>
      <w:r w:rsidR="00E34DC9">
        <w:rPr>
          <w:i w:val="0"/>
          <w:sz w:val="20"/>
          <w:szCs w:val="20"/>
          <w:lang w:val="fr-FR"/>
        </w:rPr>
        <w:t>cible 1</w:t>
      </w:r>
      <w:r w:rsidRPr="00653BF4">
        <w:rPr>
          <w:i w:val="0"/>
          <w:sz w:val="20"/>
          <w:szCs w:val="20"/>
          <w:lang w:val="fr-FR"/>
        </w:rPr>
        <w:t xml:space="preserve"> </w:t>
      </w:r>
      <w:r w:rsidR="00E20A0B" w:rsidRPr="00653BF4">
        <w:rPr>
          <w:i w:val="0"/>
          <w:sz w:val="20"/>
          <w:szCs w:val="20"/>
          <w:lang w:val="fr-FR"/>
        </w:rPr>
        <w:t xml:space="preserve">du Cadre et leur prise en compte dans les </w:t>
      </w:r>
      <w:r w:rsidRPr="00653BF4">
        <w:rPr>
          <w:i w:val="0"/>
          <w:sz w:val="20"/>
          <w:szCs w:val="20"/>
          <w:lang w:val="fr-FR"/>
        </w:rPr>
        <w:t>cibles nationales</w:t>
      </w:r>
      <w:r w:rsidR="000511A7" w:rsidRPr="00653BF4">
        <w:rPr>
          <w:i w:val="0"/>
          <w:iCs w:val="0"/>
          <w:sz w:val="20"/>
          <w:szCs w:val="20"/>
          <w:vertAlign w:val="superscript"/>
          <w:lang w:val="fr-FR"/>
        </w:rPr>
        <w:t>a</w:t>
      </w:r>
      <w:r w:rsidRPr="00653BF4">
        <w:rPr>
          <w:i w:val="0"/>
          <w:iCs w:val="0"/>
          <w:sz w:val="20"/>
          <w:szCs w:val="20"/>
          <w:lang w:val="fr-FR"/>
        </w:rPr>
        <w:t>.</w:t>
      </w:r>
    </w:p>
    <w:tbl>
      <w:tblPr>
        <w:tblStyle w:val="TableGrid"/>
        <w:tblW w:w="0" w:type="auto"/>
        <w:tblLook w:val="04A0" w:firstRow="1" w:lastRow="0" w:firstColumn="1" w:lastColumn="0" w:noHBand="0" w:noVBand="1"/>
      </w:tblPr>
      <w:tblGrid>
        <w:gridCol w:w="8359"/>
        <w:gridCol w:w="657"/>
      </w:tblGrid>
      <w:tr w:rsidR="00EC2161" w:rsidRPr="00653BF4" w14:paraId="100D02B8" w14:textId="77777777" w:rsidTr="008A5587">
        <w:tc>
          <w:tcPr>
            <w:tcW w:w="8359" w:type="dxa"/>
          </w:tcPr>
          <w:p w14:paraId="698A8B69" w14:textId="54B4E734" w:rsidR="00EC2161" w:rsidRPr="00653BF4" w:rsidRDefault="009733AE" w:rsidP="00D1642D">
            <w:pPr>
              <w:pStyle w:val="p1"/>
              <w:rPr>
                <w:rFonts w:asciiTheme="minorHAnsi" w:hAnsiTheme="minorHAnsi"/>
                <w:sz w:val="20"/>
                <w:szCs w:val="20"/>
                <w:lang w:val="fr-FR"/>
              </w:rPr>
            </w:pPr>
            <w:r w:rsidRPr="00653BF4">
              <w:rPr>
                <w:rFonts w:asciiTheme="minorHAnsi" w:hAnsiTheme="minorHAnsi"/>
                <w:sz w:val="20"/>
                <w:szCs w:val="20"/>
                <w:lang w:val="fr-FR"/>
              </w:rPr>
              <w:t>Toutes les zones font l</w:t>
            </w:r>
            <w:r w:rsidR="002A58C8" w:rsidRPr="00653BF4">
              <w:rPr>
                <w:rFonts w:asciiTheme="minorHAnsi" w:hAnsiTheme="minorHAnsi"/>
                <w:sz w:val="20"/>
                <w:szCs w:val="20"/>
                <w:lang w:val="fr-FR"/>
              </w:rPr>
              <w:t>’</w:t>
            </w:r>
            <w:r w:rsidRPr="00653BF4">
              <w:rPr>
                <w:rFonts w:asciiTheme="minorHAnsi" w:hAnsiTheme="minorHAnsi"/>
                <w:sz w:val="20"/>
                <w:szCs w:val="20"/>
                <w:lang w:val="fr-FR"/>
              </w:rPr>
              <w:t xml:space="preserve">objet </w:t>
            </w:r>
            <w:r w:rsidR="00511C49">
              <w:rPr>
                <w:rFonts w:asciiTheme="minorHAnsi" w:hAnsiTheme="minorHAnsi"/>
                <w:sz w:val="20"/>
                <w:szCs w:val="20"/>
                <w:lang w:val="fr-FR"/>
              </w:rPr>
              <w:t>d’une planification spatiale</w:t>
            </w:r>
            <w:r w:rsidRPr="00653BF4">
              <w:rPr>
                <w:rFonts w:asciiTheme="minorHAnsi" w:hAnsiTheme="minorHAnsi"/>
                <w:sz w:val="20"/>
                <w:szCs w:val="20"/>
                <w:lang w:val="fr-FR"/>
              </w:rPr>
              <w:t xml:space="preserve"> et/ou de gestion efficace </w:t>
            </w:r>
            <w:r w:rsidR="00511C49">
              <w:rPr>
                <w:rFonts w:asciiTheme="minorHAnsi" w:hAnsiTheme="minorHAnsi"/>
                <w:sz w:val="20"/>
                <w:szCs w:val="20"/>
                <w:lang w:val="fr-FR"/>
              </w:rPr>
              <w:t>dans le cadre d</w:t>
            </w:r>
            <w:r w:rsidRPr="00653BF4">
              <w:rPr>
                <w:rFonts w:asciiTheme="minorHAnsi" w:hAnsiTheme="minorHAnsi"/>
                <w:sz w:val="20"/>
                <w:szCs w:val="20"/>
                <w:lang w:val="fr-FR"/>
              </w:rPr>
              <w:t>e</w:t>
            </w:r>
            <w:r w:rsidR="00E553D4">
              <w:rPr>
                <w:rFonts w:asciiTheme="minorHAnsi" w:hAnsiTheme="minorHAnsi"/>
                <w:sz w:val="20"/>
                <w:szCs w:val="20"/>
                <w:lang w:val="fr-FR"/>
              </w:rPr>
              <w:t xml:space="preserve"> processus de</w:t>
            </w:r>
            <w:r w:rsidRPr="00653BF4">
              <w:rPr>
                <w:rFonts w:asciiTheme="minorHAnsi" w:hAnsiTheme="minorHAnsi"/>
                <w:sz w:val="20"/>
                <w:szCs w:val="20"/>
                <w:lang w:val="fr-FR"/>
              </w:rPr>
              <w:t xml:space="preserve"> changement</w:t>
            </w:r>
            <w:r w:rsidR="00DA6F5D">
              <w:rPr>
                <w:rFonts w:asciiTheme="minorHAnsi" w:hAnsiTheme="minorHAnsi"/>
                <w:sz w:val="20"/>
                <w:szCs w:val="20"/>
                <w:lang w:val="fr-FR"/>
              </w:rPr>
              <w:t xml:space="preserve"> </w:t>
            </w:r>
            <w:r w:rsidRPr="00653BF4">
              <w:rPr>
                <w:rFonts w:asciiTheme="minorHAnsi" w:hAnsiTheme="minorHAnsi"/>
                <w:sz w:val="20"/>
                <w:szCs w:val="20"/>
                <w:lang w:val="fr-FR"/>
              </w:rPr>
              <w:t>d</w:t>
            </w:r>
            <w:r w:rsidR="002A58C8" w:rsidRPr="00653BF4">
              <w:rPr>
                <w:rFonts w:asciiTheme="minorHAnsi" w:hAnsiTheme="minorHAnsi"/>
                <w:sz w:val="20"/>
                <w:szCs w:val="20"/>
                <w:lang w:val="fr-FR"/>
              </w:rPr>
              <w:t>’</w:t>
            </w:r>
            <w:r w:rsidRPr="00653BF4">
              <w:rPr>
                <w:rFonts w:asciiTheme="minorHAnsi" w:hAnsiTheme="minorHAnsi"/>
                <w:sz w:val="20"/>
                <w:szCs w:val="20"/>
                <w:lang w:val="fr-FR"/>
              </w:rPr>
              <w:t>affectation des terres et des mers</w:t>
            </w:r>
          </w:p>
        </w:tc>
        <w:tc>
          <w:tcPr>
            <w:tcW w:w="657" w:type="dxa"/>
            <w:shd w:val="clear" w:color="auto" w:fill="92D050"/>
          </w:tcPr>
          <w:p w14:paraId="03132206" w14:textId="169C45E9" w:rsidR="00EC2161" w:rsidRPr="00653BF4" w:rsidRDefault="00EE6AC1" w:rsidP="00D1642D">
            <w:pPr>
              <w:pStyle w:val="p1"/>
              <w:rPr>
                <w:rFonts w:asciiTheme="minorHAnsi" w:hAnsiTheme="minorHAnsi"/>
                <w:sz w:val="20"/>
                <w:szCs w:val="20"/>
                <w:lang w:val="fr-FR"/>
              </w:rPr>
            </w:pPr>
            <w:r w:rsidRPr="00653BF4">
              <w:rPr>
                <w:rFonts w:asciiTheme="minorHAnsi" w:hAnsiTheme="minorHAnsi"/>
                <w:sz w:val="20"/>
                <w:szCs w:val="20"/>
                <w:lang w:val="fr-FR"/>
              </w:rPr>
              <w:t>7</w:t>
            </w:r>
            <w:r w:rsidR="00B12EE3" w:rsidRPr="00653BF4">
              <w:rPr>
                <w:rFonts w:asciiTheme="minorHAnsi" w:hAnsiTheme="minorHAnsi"/>
                <w:sz w:val="20"/>
                <w:szCs w:val="20"/>
                <w:lang w:val="fr-FR"/>
              </w:rPr>
              <w:t>3</w:t>
            </w:r>
          </w:p>
        </w:tc>
      </w:tr>
      <w:tr w:rsidR="00EC2161" w:rsidRPr="00653BF4" w14:paraId="129EAEF0" w14:textId="77777777" w:rsidTr="00A8441D">
        <w:tc>
          <w:tcPr>
            <w:tcW w:w="8359" w:type="dxa"/>
          </w:tcPr>
          <w:p w14:paraId="2CDB2CD3" w14:textId="0F382C3F" w:rsidR="00747FDF" w:rsidRPr="00653BF4" w:rsidRDefault="00697FC9" w:rsidP="00D1642D">
            <w:pPr>
              <w:pStyle w:val="p1"/>
              <w:rPr>
                <w:rFonts w:asciiTheme="minorHAnsi" w:hAnsiTheme="minorHAnsi"/>
                <w:sz w:val="20"/>
                <w:szCs w:val="20"/>
                <w:lang w:val="fr-FR"/>
              </w:rPr>
            </w:pPr>
            <w:r w:rsidRPr="00653BF4">
              <w:rPr>
                <w:rFonts w:asciiTheme="minorHAnsi" w:hAnsiTheme="minorHAnsi"/>
                <w:sz w:val="20"/>
                <w:szCs w:val="20"/>
                <w:lang w:val="fr-FR"/>
              </w:rPr>
              <w:t xml:space="preserve">Les processus </w:t>
            </w:r>
            <w:r w:rsidR="007703CD">
              <w:rPr>
                <w:rFonts w:asciiTheme="minorHAnsi" w:hAnsiTheme="minorHAnsi"/>
                <w:sz w:val="20"/>
                <w:szCs w:val="20"/>
                <w:lang w:val="fr-FR"/>
              </w:rPr>
              <w:t>de planification spatiale</w:t>
            </w:r>
            <w:r w:rsidRPr="00653BF4">
              <w:rPr>
                <w:rFonts w:asciiTheme="minorHAnsi" w:hAnsiTheme="minorHAnsi"/>
                <w:sz w:val="20"/>
                <w:szCs w:val="20"/>
                <w:lang w:val="fr-FR"/>
              </w:rPr>
              <w:t xml:space="preserve"> et/ou de gestion efficace sont participatifs</w:t>
            </w:r>
          </w:p>
          <w:p w14:paraId="5E2E0BB6" w14:textId="39B2DB9D" w:rsidR="00697FC9" w:rsidRPr="00653BF4" w:rsidRDefault="00697FC9" w:rsidP="00D1642D">
            <w:pPr>
              <w:pStyle w:val="p1"/>
              <w:rPr>
                <w:rFonts w:asciiTheme="minorHAnsi" w:hAnsiTheme="minorHAnsi"/>
                <w:sz w:val="20"/>
                <w:szCs w:val="20"/>
                <w:lang w:val="fr-FR"/>
              </w:rPr>
            </w:pPr>
          </w:p>
        </w:tc>
        <w:tc>
          <w:tcPr>
            <w:tcW w:w="657" w:type="dxa"/>
            <w:shd w:val="clear" w:color="auto" w:fill="FFFF00"/>
          </w:tcPr>
          <w:p w14:paraId="27841ECF" w14:textId="0E31E51F" w:rsidR="00EC2161" w:rsidRPr="00653BF4" w:rsidRDefault="00A8441D" w:rsidP="00D1642D">
            <w:pPr>
              <w:pStyle w:val="p1"/>
              <w:rPr>
                <w:rFonts w:asciiTheme="minorHAnsi" w:hAnsiTheme="minorHAnsi"/>
                <w:sz w:val="22"/>
                <w:szCs w:val="22"/>
                <w:lang w:val="fr-FR"/>
              </w:rPr>
            </w:pPr>
            <w:r w:rsidRPr="00653BF4">
              <w:rPr>
                <w:rFonts w:asciiTheme="minorHAnsi" w:hAnsiTheme="minorHAnsi"/>
                <w:sz w:val="22"/>
                <w:szCs w:val="22"/>
                <w:lang w:val="fr-FR"/>
              </w:rPr>
              <w:t>40</w:t>
            </w:r>
          </w:p>
        </w:tc>
      </w:tr>
      <w:tr w:rsidR="00EC2161" w:rsidRPr="00653BF4" w14:paraId="4F8478FB" w14:textId="77777777" w:rsidTr="00044879">
        <w:tc>
          <w:tcPr>
            <w:tcW w:w="8359" w:type="dxa"/>
          </w:tcPr>
          <w:p w14:paraId="25B4DF25" w14:textId="6F002783" w:rsidR="00747FDF" w:rsidRPr="00653BF4" w:rsidRDefault="00697FC9" w:rsidP="00697FC9">
            <w:pPr>
              <w:pStyle w:val="p1"/>
              <w:rPr>
                <w:rFonts w:asciiTheme="minorHAnsi" w:hAnsiTheme="minorHAnsi"/>
                <w:sz w:val="20"/>
                <w:szCs w:val="20"/>
                <w:lang w:val="fr-FR"/>
              </w:rPr>
            </w:pPr>
            <w:r w:rsidRPr="00653BF4">
              <w:rPr>
                <w:rFonts w:asciiTheme="minorHAnsi" w:hAnsiTheme="minorHAnsi"/>
                <w:sz w:val="20"/>
                <w:szCs w:val="20"/>
                <w:lang w:val="fr-FR"/>
              </w:rPr>
              <w:t xml:space="preserve">Les processus </w:t>
            </w:r>
            <w:r w:rsidR="007703CD" w:rsidRPr="007703CD">
              <w:rPr>
                <w:rFonts w:asciiTheme="minorHAnsi" w:hAnsiTheme="minorHAnsi"/>
                <w:sz w:val="20"/>
                <w:szCs w:val="20"/>
                <w:lang w:val="fr-FR"/>
              </w:rPr>
              <w:t xml:space="preserve">de planification spatiale </w:t>
            </w:r>
            <w:r w:rsidRPr="00653BF4">
              <w:rPr>
                <w:rFonts w:asciiTheme="minorHAnsi" w:hAnsiTheme="minorHAnsi"/>
                <w:sz w:val="20"/>
                <w:szCs w:val="20"/>
                <w:lang w:val="fr-FR"/>
              </w:rPr>
              <w:t>et/ou de gestion efficace sont intégrés</w:t>
            </w:r>
          </w:p>
          <w:p w14:paraId="6CA9E874" w14:textId="1BE0F9CB" w:rsidR="00697FC9" w:rsidRPr="00653BF4" w:rsidRDefault="00697FC9" w:rsidP="00697FC9">
            <w:pPr>
              <w:pStyle w:val="p1"/>
              <w:rPr>
                <w:rFonts w:asciiTheme="minorHAnsi" w:hAnsiTheme="minorHAnsi"/>
                <w:sz w:val="20"/>
                <w:szCs w:val="20"/>
                <w:lang w:val="fr-FR"/>
              </w:rPr>
            </w:pPr>
          </w:p>
        </w:tc>
        <w:tc>
          <w:tcPr>
            <w:tcW w:w="657" w:type="dxa"/>
            <w:shd w:val="clear" w:color="auto" w:fill="FFFF00"/>
          </w:tcPr>
          <w:p w14:paraId="4D479DFB" w14:textId="4054EFEE" w:rsidR="00EC2161" w:rsidRPr="00653BF4" w:rsidRDefault="00044879" w:rsidP="00D1642D">
            <w:pPr>
              <w:pStyle w:val="p1"/>
              <w:rPr>
                <w:rFonts w:asciiTheme="minorHAnsi" w:hAnsiTheme="minorHAnsi"/>
                <w:sz w:val="22"/>
                <w:szCs w:val="22"/>
                <w:lang w:val="fr-FR"/>
              </w:rPr>
            </w:pPr>
            <w:r w:rsidRPr="00653BF4">
              <w:rPr>
                <w:rFonts w:asciiTheme="minorHAnsi" w:hAnsiTheme="minorHAnsi"/>
                <w:sz w:val="22"/>
                <w:szCs w:val="22"/>
                <w:lang w:val="fr-FR"/>
              </w:rPr>
              <w:t>40</w:t>
            </w:r>
          </w:p>
        </w:tc>
      </w:tr>
      <w:tr w:rsidR="00EC2161" w:rsidRPr="00653BF4" w14:paraId="7EB4F8A7" w14:textId="77777777" w:rsidTr="0036571D">
        <w:tc>
          <w:tcPr>
            <w:tcW w:w="8359" w:type="dxa"/>
          </w:tcPr>
          <w:p w14:paraId="28220403" w14:textId="1D78831D" w:rsidR="00747FDF" w:rsidRPr="00653BF4" w:rsidRDefault="00444BBC" w:rsidP="00D1642D">
            <w:pPr>
              <w:pStyle w:val="p1"/>
              <w:rPr>
                <w:rFonts w:asciiTheme="minorHAnsi" w:hAnsiTheme="minorHAnsi"/>
                <w:sz w:val="20"/>
                <w:szCs w:val="20"/>
                <w:lang w:val="fr-FR"/>
              </w:rPr>
            </w:pPr>
            <w:r w:rsidRPr="00653BF4">
              <w:rPr>
                <w:rFonts w:asciiTheme="minorHAnsi" w:hAnsiTheme="minorHAnsi"/>
                <w:sz w:val="20"/>
                <w:szCs w:val="20"/>
                <w:lang w:val="fr-FR"/>
              </w:rPr>
              <w:t xml:space="preserve">Les processus </w:t>
            </w:r>
            <w:r w:rsidR="007703CD" w:rsidRPr="007703CD">
              <w:rPr>
                <w:rFonts w:asciiTheme="minorHAnsi" w:hAnsiTheme="minorHAnsi"/>
                <w:sz w:val="20"/>
                <w:szCs w:val="20"/>
                <w:lang w:val="fr-FR"/>
              </w:rPr>
              <w:t xml:space="preserve">de planification spatiale </w:t>
            </w:r>
            <w:r w:rsidRPr="00653BF4">
              <w:rPr>
                <w:rFonts w:asciiTheme="minorHAnsi" w:hAnsiTheme="minorHAnsi"/>
                <w:sz w:val="20"/>
                <w:szCs w:val="20"/>
                <w:lang w:val="fr-FR"/>
              </w:rPr>
              <w:t xml:space="preserve">et/ou de gestion efficace </w:t>
            </w:r>
            <w:r w:rsidR="007703CD">
              <w:rPr>
                <w:rFonts w:asciiTheme="minorHAnsi" w:hAnsiTheme="minorHAnsi"/>
                <w:sz w:val="20"/>
                <w:szCs w:val="20"/>
                <w:lang w:val="fr-FR"/>
              </w:rPr>
              <w:t>sont respectueux</w:t>
            </w:r>
            <w:r w:rsidRPr="00653BF4">
              <w:rPr>
                <w:rFonts w:asciiTheme="minorHAnsi" w:hAnsiTheme="minorHAnsi"/>
                <w:sz w:val="20"/>
                <w:szCs w:val="20"/>
                <w:lang w:val="fr-FR"/>
              </w:rPr>
              <w:t xml:space="preserve"> de la biodiversité</w:t>
            </w:r>
          </w:p>
        </w:tc>
        <w:tc>
          <w:tcPr>
            <w:tcW w:w="657" w:type="dxa"/>
            <w:shd w:val="clear" w:color="auto" w:fill="FFFF00"/>
          </w:tcPr>
          <w:p w14:paraId="3C009DDD" w14:textId="171CA066" w:rsidR="00EC2161" w:rsidRPr="00653BF4" w:rsidRDefault="00373D48" w:rsidP="00D1642D">
            <w:pPr>
              <w:pStyle w:val="p1"/>
              <w:rPr>
                <w:rFonts w:asciiTheme="minorHAnsi" w:hAnsiTheme="minorHAnsi"/>
                <w:sz w:val="22"/>
                <w:szCs w:val="22"/>
                <w:lang w:val="fr-FR"/>
              </w:rPr>
            </w:pPr>
            <w:r w:rsidRPr="00653BF4">
              <w:rPr>
                <w:rFonts w:asciiTheme="minorHAnsi" w:hAnsiTheme="minorHAnsi"/>
                <w:sz w:val="22"/>
                <w:szCs w:val="22"/>
                <w:lang w:val="fr-FR"/>
              </w:rPr>
              <w:t>4</w:t>
            </w:r>
            <w:r w:rsidR="00832504" w:rsidRPr="00653BF4">
              <w:rPr>
                <w:rFonts w:asciiTheme="minorHAnsi" w:hAnsiTheme="minorHAnsi"/>
                <w:sz w:val="22"/>
                <w:szCs w:val="22"/>
                <w:lang w:val="fr-FR"/>
              </w:rPr>
              <w:t>9</w:t>
            </w:r>
          </w:p>
        </w:tc>
      </w:tr>
      <w:tr w:rsidR="00EC2161" w:rsidRPr="00653BF4" w14:paraId="314ABA42" w14:textId="77777777" w:rsidTr="0036571D">
        <w:tc>
          <w:tcPr>
            <w:tcW w:w="8359" w:type="dxa"/>
          </w:tcPr>
          <w:p w14:paraId="7FB428E8" w14:textId="73A0C2DB" w:rsidR="00EC2161" w:rsidRPr="00653BF4" w:rsidRDefault="0088216E" w:rsidP="00D1642D">
            <w:pPr>
              <w:pStyle w:val="p1"/>
              <w:rPr>
                <w:rFonts w:asciiTheme="minorHAnsi" w:hAnsiTheme="minorHAnsi"/>
                <w:sz w:val="20"/>
                <w:szCs w:val="20"/>
                <w:lang w:val="fr-FR"/>
              </w:rPr>
            </w:pPr>
            <w:r w:rsidRPr="00653BF4">
              <w:rPr>
                <w:rFonts w:asciiTheme="minorHAnsi" w:hAnsiTheme="minorHAnsi"/>
                <w:sz w:val="20"/>
                <w:szCs w:val="20"/>
                <w:lang w:val="fr-FR"/>
              </w:rPr>
              <w:lastRenderedPageBreak/>
              <w:t xml:space="preserve">Les processus </w:t>
            </w:r>
            <w:r w:rsidR="00896EF5" w:rsidRPr="00896EF5">
              <w:rPr>
                <w:rFonts w:asciiTheme="minorHAnsi" w:hAnsiTheme="minorHAnsi"/>
                <w:sz w:val="20"/>
                <w:szCs w:val="20"/>
                <w:lang w:val="fr-FR"/>
              </w:rPr>
              <w:t>de planification spatiale</w:t>
            </w:r>
            <w:r w:rsidRPr="00653BF4">
              <w:rPr>
                <w:rFonts w:asciiTheme="minorHAnsi" w:hAnsiTheme="minorHAnsi"/>
                <w:sz w:val="20"/>
                <w:szCs w:val="20"/>
                <w:lang w:val="fr-FR"/>
              </w:rPr>
              <w:t xml:space="preserve">/de gestion du territoire </w:t>
            </w:r>
            <w:r w:rsidR="00896EF5">
              <w:rPr>
                <w:rFonts w:asciiTheme="minorHAnsi" w:hAnsiTheme="minorHAnsi"/>
                <w:sz w:val="20"/>
                <w:szCs w:val="20"/>
                <w:lang w:val="fr-FR"/>
              </w:rPr>
              <w:t xml:space="preserve">réduisent </w:t>
            </w:r>
            <w:r w:rsidRPr="00653BF4">
              <w:rPr>
                <w:rFonts w:asciiTheme="minorHAnsi" w:hAnsiTheme="minorHAnsi"/>
                <w:sz w:val="20"/>
                <w:szCs w:val="20"/>
                <w:lang w:val="fr-FR"/>
              </w:rPr>
              <w:t>à un niveau proche de zéro d</w:t>
            </w:r>
            <w:r w:rsidR="002A58C8" w:rsidRPr="00653BF4">
              <w:rPr>
                <w:rFonts w:asciiTheme="minorHAnsi" w:hAnsiTheme="minorHAnsi"/>
                <w:sz w:val="20"/>
                <w:szCs w:val="20"/>
                <w:lang w:val="fr-FR"/>
              </w:rPr>
              <w:t>’</w:t>
            </w:r>
            <w:r w:rsidRPr="00653BF4">
              <w:rPr>
                <w:rFonts w:asciiTheme="minorHAnsi" w:hAnsiTheme="minorHAnsi"/>
                <w:sz w:val="20"/>
                <w:szCs w:val="20"/>
                <w:lang w:val="fr-FR"/>
              </w:rPr>
              <w:t xml:space="preserve">ici à 2030 la perte de zones </w:t>
            </w:r>
            <w:r w:rsidR="00896EF5">
              <w:rPr>
                <w:rFonts w:asciiTheme="minorHAnsi" w:hAnsiTheme="minorHAnsi"/>
                <w:sz w:val="20"/>
                <w:szCs w:val="20"/>
                <w:lang w:val="fr-FR"/>
              </w:rPr>
              <w:t>de</w:t>
            </w:r>
            <w:r w:rsidRPr="00653BF4">
              <w:rPr>
                <w:rFonts w:asciiTheme="minorHAnsi" w:hAnsiTheme="minorHAnsi"/>
                <w:sz w:val="20"/>
                <w:szCs w:val="20"/>
                <w:lang w:val="fr-FR"/>
              </w:rPr>
              <w:t xml:space="preserve"> grande importance pour la biodiversité, y compris les écosystèmes </w:t>
            </w:r>
            <w:r w:rsidR="00896EF5">
              <w:rPr>
                <w:rFonts w:asciiTheme="minorHAnsi" w:hAnsiTheme="minorHAnsi"/>
                <w:sz w:val="20"/>
                <w:szCs w:val="20"/>
                <w:lang w:val="fr-FR"/>
              </w:rPr>
              <w:t>de</w:t>
            </w:r>
            <w:r w:rsidRPr="00653BF4">
              <w:rPr>
                <w:rFonts w:asciiTheme="minorHAnsi" w:hAnsiTheme="minorHAnsi"/>
                <w:sz w:val="20"/>
                <w:szCs w:val="20"/>
                <w:lang w:val="fr-FR"/>
              </w:rPr>
              <w:t xml:space="preserve"> forte intégrité écologique</w:t>
            </w:r>
          </w:p>
        </w:tc>
        <w:tc>
          <w:tcPr>
            <w:tcW w:w="657" w:type="dxa"/>
            <w:shd w:val="clear" w:color="auto" w:fill="FFFF00"/>
          </w:tcPr>
          <w:p w14:paraId="3D92516E" w14:textId="1B9EAD05" w:rsidR="00EC2161" w:rsidRPr="00653BF4" w:rsidRDefault="00DE5817" w:rsidP="00D1642D">
            <w:pPr>
              <w:pStyle w:val="p1"/>
              <w:rPr>
                <w:rFonts w:asciiTheme="minorHAnsi" w:hAnsiTheme="minorHAnsi"/>
                <w:sz w:val="22"/>
                <w:szCs w:val="22"/>
                <w:lang w:val="fr-FR"/>
              </w:rPr>
            </w:pPr>
            <w:r w:rsidRPr="00653BF4">
              <w:rPr>
                <w:rFonts w:asciiTheme="minorHAnsi" w:hAnsiTheme="minorHAnsi"/>
                <w:sz w:val="22"/>
                <w:szCs w:val="22"/>
                <w:lang w:val="fr-FR"/>
              </w:rPr>
              <w:t>50</w:t>
            </w:r>
          </w:p>
        </w:tc>
      </w:tr>
      <w:tr w:rsidR="00EC2161" w:rsidRPr="00653BF4" w14:paraId="67CE7A7D" w14:textId="77777777" w:rsidTr="00E61BC2">
        <w:trPr>
          <w:trHeight w:val="557"/>
        </w:trPr>
        <w:tc>
          <w:tcPr>
            <w:tcW w:w="8359" w:type="dxa"/>
          </w:tcPr>
          <w:p w14:paraId="1AD852E4" w14:textId="37F42BAE" w:rsidR="00EC2161" w:rsidRPr="00653BF4" w:rsidRDefault="009A6D88" w:rsidP="00D1642D">
            <w:pPr>
              <w:pStyle w:val="p1"/>
              <w:rPr>
                <w:rFonts w:asciiTheme="minorHAnsi" w:hAnsiTheme="minorHAnsi"/>
                <w:sz w:val="20"/>
                <w:szCs w:val="20"/>
                <w:lang w:val="fr-FR"/>
              </w:rPr>
            </w:pPr>
            <w:r w:rsidRPr="00653BF4">
              <w:rPr>
                <w:rFonts w:asciiTheme="minorHAnsi" w:hAnsiTheme="minorHAnsi"/>
                <w:sz w:val="20"/>
                <w:szCs w:val="20"/>
                <w:lang w:val="fr-FR"/>
              </w:rPr>
              <w:t xml:space="preserve">Les processus </w:t>
            </w:r>
            <w:r w:rsidR="00E61622">
              <w:rPr>
                <w:rFonts w:asciiTheme="minorHAnsi" w:hAnsiTheme="minorHAnsi"/>
                <w:sz w:val="20"/>
                <w:szCs w:val="20"/>
                <w:lang w:val="fr-FR"/>
              </w:rPr>
              <w:t>de planification spatiale</w:t>
            </w:r>
            <w:r w:rsidRPr="00653BF4">
              <w:rPr>
                <w:rFonts w:asciiTheme="minorHAnsi" w:hAnsiTheme="minorHAnsi"/>
                <w:sz w:val="20"/>
                <w:szCs w:val="20"/>
                <w:lang w:val="fr-FR"/>
              </w:rPr>
              <w:t>/de gestion du territoire respectent les droits des peuples autochtones et communautés locales</w:t>
            </w:r>
          </w:p>
        </w:tc>
        <w:tc>
          <w:tcPr>
            <w:tcW w:w="657" w:type="dxa"/>
            <w:shd w:val="clear" w:color="auto" w:fill="FFC000"/>
          </w:tcPr>
          <w:p w14:paraId="77F0B14B" w14:textId="454D080F" w:rsidR="00EC2161" w:rsidRPr="00653BF4" w:rsidRDefault="00DC47EC" w:rsidP="00827E6B">
            <w:pPr>
              <w:pStyle w:val="p1"/>
              <w:keepNext/>
              <w:rPr>
                <w:rFonts w:asciiTheme="minorHAnsi" w:hAnsiTheme="minorHAnsi"/>
                <w:sz w:val="22"/>
                <w:szCs w:val="22"/>
                <w:lang w:val="fr-FR"/>
              </w:rPr>
            </w:pPr>
            <w:r w:rsidRPr="00653BF4">
              <w:rPr>
                <w:rFonts w:asciiTheme="minorHAnsi" w:hAnsiTheme="minorHAnsi"/>
                <w:sz w:val="22"/>
                <w:szCs w:val="22"/>
                <w:lang w:val="fr-FR"/>
              </w:rPr>
              <w:t>3</w:t>
            </w:r>
            <w:r w:rsidR="00832504" w:rsidRPr="00653BF4">
              <w:rPr>
                <w:rFonts w:asciiTheme="minorHAnsi" w:hAnsiTheme="minorHAnsi"/>
                <w:sz w:val="22"/>
                <w:szCs w:val="22"/>
                <w:lang w:val="fr-FR"/>
              </w:rPr>
              <w:t>1</w:t>
            </w:r>
          </w:p>
        </w:tc>
      </w:tr>
      <w:tr w:rsidR="008A7681" w:rsidRPr="00543148" w14:paraId="72304185" w14:textId="77777777">
        <w:tc>
          <w:tcPr>
            <w:tcW w:w="9016" w:type="dxa"/>
            <w:gridSpan w:val="2"/>
          </w:tcPr>
          <w:p w14:paraId="023F4BBA" w14:textId="77777777" w:rsidR="008A7681" w:rsidRPr="00653BF4" w:rsidRDefault="008A7681" w:rsidP="00827E6B">
            <w:pPr>
              <w:pStyle w:val="p1"/>
              <w:keepNext/>
              <w:rPr>
                <w:rFonts w:asciiTheme="minorHAnsi" w:hAnsiTheme="minorHAnsi"/>
                <w:sz w:val="20"/>
                <w:szCs w:val="20"/>
                <w:lang w:val="fr-FR"/>
              </w:rPr>
            </w:pPr>
          </w:p>
          <w:p w14:paraId="4A6601C2" w14:textId="24DF76F2" w:rsidR="00347265" w:rsidRPr="00653BF4" w:rsidRDefault="008432C2" w:rsidP="00827E6B">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dans une certaine mesure, 47</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5914132B" w14:textId="2AF59FCC" w:rsidR="008A7681" w:rsidRPr="00653BF4" w:rsidRDefault="008A7681" w:rsidP="00827E6B">
            <w:pPr>
              <w:pStyle w:val="p1"/>
              <w:keepNext/>
              <w:rPr>
                <w:rFonts w:asciiTheme="minorHAnsi" w:hAnsiTheme="minorHAnsi"/>
                <w:sz w:val="22"/>
                <w:szCs w:val="22"/>
                <w:lang w:val="fr-FR"/>
              </w:rPr>
            </w:pPr>
          </w:p>
        </w:tc>
      </w:tr>
    </w:tbl>
    <w:p w14:paraId="3899E659" w14:textId="362331EC" w:rsidR="00C4688B" w:rsidRPr="00653BF4" w:rsidRDefault="00C4688B" w:rsidP="009E47B6">
      <w:pPr>
        <w:pStyle w:val="Caption"/>
        <w:rPr>
          <w:sz w:val="22"/>
          <w:szCs w:val="22"/>
          <w:lang w:val="fr-FR"/>
        </w:rPr>
      </w:pPr>
      <w:bookmarkStart w:id="76" w:name="_Ref229754359"/>
      <w:bookmarkStart w:id="77" w:name="_Ref229754348"/>
    </w:p>
    <w:p w14:paraId="7DEECA93" w14:textId="2B63A79D" w:rsidR="00735B74" w:rsidRPr="00653BF4" w:rsidRDefault="00F9401A">
      <w:pPr>
        <w:rPr>
          <w:lang w:val="fr-FR"/>
        </w:rPr>
      </w:pPr>
      <w:r w:rsidRPr="00653BF4">
        <w:rPr>
          <w:lang w:val="fr-FR"/>
        </w:rPr>
        <w:t xml:space="preserve"> </w:t>
      </w:r>
    </w:p>
    <w:p w14:paraId="744566DB" w14:textId="1489E7BA" w:rsidR="000A01F6" w:rsidRPr="00653BF4" w:rsidRDefault="006A631C">
      <w:pPr>
        <w:rPr>
          <w:sz w:val="16"/>
          <w:szCs w:val="16"/>
          <w:lang w:val="fr-FR"/>
        </w:rPr>
      </w:pPr>
      <w:r w:rsidRPr="00653BF4">
        <w:rPr>
          <w:i/>
          <w:iCs/>
          <w:sz w:val="16"/>
          <w:szCs w:val="16"/>
          <w:lang w:val="fr-FR"/>
        </w:rPr>
        <w:t>Note</w:t>
      </w:r>
      <w:r w:rsidR="00E34DC9">
        <w:rPr>
          <w:i/>
          <w:iCs/>
          <w:sz w:val="16"/>
          <w:szCs w:val="16"/>
          <w:lang w:val="fr-FR"/>
        </w:rPr>
        <w:t> :</w:t>
      </w:r>
      <w:r w:rsidR="008837AD" w:rsidRPr="00653BF4">
        <w:rPr>
          <w:sz w:val="16"/>
          <w:szCs w:val="16"/>
          <w:lang w:val="fr-FR"/>
        </w:rPr>
        <w:t xml:space="preserve"> </w:t>
      </w:r>
      <w:r w:rsidR="00520A7E" w:rsidRPr="00653BF4">
        <w:rPr>
          <w:sz w:val="16"/>
          <w:szCs w:val="16"/>
          <w:lang w:val="fr-FR"/>
        </w:rPr>
        <w:t>La colonne de droite du tableau indique le pourcentage de Parties dont les cibles nationales prennent en compte l’élément au moins partiellement</w:t>
      </w:r>
      <w:r w:rsidR="00F16F87" w:rsidRPr="00653BF4">
        <w:rPr>
          <w:sz w:val="16"/>
          <w:szCs w:val="16"/>
          <w:lang w:val="fr-FR"/>
        </w:rPr>
        <w:t>.</w:t>
      </w:r>
    </w:p>
    <w:p w14:paraId="14A0349A" w14:textId="71C20193" w:rsidR="00CB7F1E" w:rsidRPr="00653BF4" w:rsidRDefault="00CB7F1E" w:rsidP="00CB7F1E">
      <w:pPr>
        <w:pStyle w:val="FootnoteText"/>
        <w:rPr>
          <w:sz w:val="16"/>
          <w:szCs w:val="16"/>
          <w:lang w:val="fr-FR"/>
        </w:rPr>
      </w:pPr>
      <w:r w:rsidRPr="00653BF4">
        <w:rPr>
          <w:sz w:val="16"/>
          <w:szCs w:val="16"/>
          <w:vertAlign w:val="superscript"/>
          <w:lang w:val="fr-FR"/>
        </w:rPr>
        <w:t>a</w:t>
      </w:r>
      <w:r w:rsidRPr="00653BF4">
        <w:rPr>
          <w:sz w:val="16"/>
          <w:szCs w:val="16"/>
          <w:lang w:val="fr-FR"/>
        </w:rPr>
        <w:t xml:space="preserve"> </w:t>
      </w:r>
      <w:r w:rsidR="00C13D9E" w:rsidRPr="00653BF4">
        <w:rPr>
          <w:sz w:val="16"/>
          <w:szCs w:val="16"/>
          <w:lang w:val="fr-FR"/>
        </w:rPr>
        <w:t>Les éléments de chaque cible ont été définis par le Groupe spécial d</w:t>
      </w:r>
      <w:r w:rsidR="00D77549">
        <w:rPr>
          <w:sz w:val="16"/>
          <w:szCs w:val="16"/>
          <w:lang w:val="fr-FR"/>
        </w:rPr>
        <w:t>’</w:t>
      </w:r>
      <w:r w:rsidR="00C13D9E" w:rsidRPr="00653BF4">
        <w:rPr>
          <w:sz w:val="16"/>
          <w:szCs w:val="16"/>
          <w:lang w:val="fr-FR"/>
        </w:rPr>
        <w:t>experts techniques sur les indicateurs du Cadre mondial de la biodiversité de Kunming-Montréal (voir annexe I du document </w:t>
      </w:r>
      <w:hyperlink r:id="rId49" w:history="1">
        <w:r w:rsidRPr="00653BF4">
          <w:rPr>
            <w:rStyle w:val="Hyperlink"/>
            <w:sz w:val="16"/>
            <w:szCs w:val="16"/>
            <w:lang w:val="fr-FR"/>
          </w:rPr>
          <w:t>CBD/COP/16/INF/4</w:t>
        </w:r>
      </w:hyperlink>
      <w:r w:rsidR="00E34DC9">
        <w:rPr>
          <w:rFonts w:ascii="Aptos" w:hAnsi="Aptos"/>
          <w:sz w:val="16"/>
          <w:szCs w:val="16"/>
          <w:lang w:val="fr-FR"/>
        </w:rPr>
        <w:t> ;</w:t>
      </w:r>
      <w:r w:rsidR="00E652BF" w:rsidRPr="00653BF4">
        <w:rPr>
          <w:sz w:val="16"/>
          <w:szCs w:val="16"/>
          <w:lang w:val="fr-FR"/>
        </w:rPr>
        <w:t xml:space="preserve"> </w:t>
      </w:r>
      <w:r w:rsidR="00C478D5" w:rsidRPr="00653BF4">
        <w:rPr>
          <w:sz w:val="16"/>
          <w:szCs w:val="16"/>
          <w:lang w:val="fr-FR"/>
        </w:rPr>
        <w:t>et</w:t>
      </w:r>
      <w:r w:rsidR="00E652BF" w:rsidRPr="00653BF4">
        <w:rPr>
          <w:sz w:val="16"/>
          <w:szCs w:val="16"/>
          <w:lang w:val="fr-FR"/>
        </w:rPr>
        <w:t xml:space="preserve"> </w:t>
      </w:r>
      <w:r w:rsidR="003B6A34" w:rsidRPr="00653BF4">
        <w:rPr>
          <w:rFonts w:ascii="Aptos" w:cs="Times New Roman"/>
          <w:sz w:val="16"/>
          <w:szCs w:val="16"/>
          <w:lang w:val="fr-FR"/>
        </w:rPr>
        <w:t xml:space="preserve">Affinito </w:t>
      </w:r>
      <w:r w:rsidR="00C478D5" w:rsidRPr="00653BF4">
        <w:rPr>
          <w:rFonts w:ascii="Aptos" w:cs="Times New Roman"/>
          <w:i/>
          <w:iCs/>
          <w:sz w:val="16"/>
          <w:szCs w:val="16"/>
          <w:lang w:val="fr-FR"/>
        </w:rPr>
        <w:t>et al.</w:t>
      </w:r>
      <w:r w:rsidR="003B6A34" w:rsidRPr="00653BF4">
        <w:rPr>
          <w:rFonts w:ascii="Aptos" w:cs="Times New Roman"/>
          <w:sz w:val="16"/>
          <w:szCs w:val="16"/>
          <w:lang w:val="fr-FR"/>
        </w:rPr>
        <w:t>, 2025</w:t>
      </w:r>
      <w:r w:rsidR="008A63C4" w:rsidRPr="00653BF4">
        <w:rPr>
          <w:sz w:val="16"/>
          <w:szCs w:val="16"/>
          <w:lang w:val="fr-FR"/>
        </w:rPr>
        <w:t>)</w:t>
      </w:r>
      <w:r w:rsidRPr="00653BF4">
        <w:rPr>
          <w:sz w:val="16"/>
          <w:szCs w:val="16"/>
          <w:lang w:val="fr-FR"/>
        </w:rPr>
        <w:t xml:space="preserve">. </w:t>
      </w:r>
      <w:r w:rsidR="008724AF" w:rsidRPr="00653BF4">
        <w:rPr>
          <w:sz w:val="16"/>
          <w:szCs w:val="16"/>
          <w:lang w:val="fr-FR"/>
        </w:rPr>
        <w:t>La méthode détaillée employée pour l’analyse des cibles nationales est présentée dans le document </w:t>
      </w:r>
      <w:hyperlink r:id="rId50" w:history="1">
        <w:r w:rsidR="000B2B04" w:rsidRPr="00653BF4">
          <w:rPr>
            <w:rStyle w:val="Hyperlink"/>
            <w:sz w:val="16"/>
            <w:szCs w:val="16"/>
            <w:lang w:val="fr-FR"/>
          </w:rPr>
          <w:t>CBD/SBI/7/INF/22</w:t>
        </w:r>
      </w:hyperlink>
      <w:r w:rsidRPr="00653BF4">
        <w:rPr>
          <w:sz w:val="16"/>
          <w:szCs w:val="16"/>
          <w:lang w:val="fr-FR"/>
        </w:rPr>
        <w:t xml:space="preserve">. </w:t>
      </w:r>
    </w:p>
    <w:p w14:paraId="6EFB2999" w14:textId="610EBF33" w:rsidR="00CB7F1E" w:rsidRPr="00653BF4" w:rsidRDefault="00CB7F1E">
      <w:pPr>
        <w:rPr>
          <w:sz w:val="16"/>
          <w:szCs w:val="16"/>
          <w:vertAlign w:val="superscript"/>
          <w:lang w:val="fr-FR"/>
        </w:rPr>
      </w:pPr>
    </w:p>
    <w:p w14:paraId="70C41090" w14:textId="0C224C9F" w:rsidR="002A0039" w:rsidRPr="00653BF4" w:rsidRDefault="002A0039">
      <w:pPr>
        <w:rPr>
          <w:lang w:val="fr-FR"/>
        </w:rPr>
      </w:pPr>
      <w:r w:rsidRPr="00653BF4">
        <w:rPr>
          <w:lang w:val="fr-FR"/>
        </w:rPr>
        <w:continuationSeparator/>
      </w:r>
    </w:p>
    <w:bookmarkEnd w:id="76"/>
    <w:bookmarkEnd w:id="77"/>
    <w:p w14:paraId="7DAC097A" w14:textId="0344145A" w:rsidR="00A91302" w:rsidRPr="00653BF4" w:rsidRDefault="00D5751A" w:rsidP="001310EB">
      <w:pPr>
        <w:pStyle w:val="p1"/>
        <w:rPr>
          <w:rFonts w:asciiTheme="minorHAnsi" w:hAnsiTheme="minorHAnsi"/>
          <w:sz w:val="24"/>
          <w:szCs w:val="24"/>
          <w:lang w:val="fr-FR"/>
        </w:rPr>
      </w:pPr>
      <w:r w:rsidRPr="00653BF4">
        <w:rPr>
          <w:rFonts w:asciiTheme="minorHAnsi" w:hAnsiTheme="minorHAnsi"/>
          <w:sz w:val="24"/>
          <w:szCs w:val="24"/>
          <w:lang w:val="fr-FR"/>
        </w:rPr>
        <w:t>Les Parties abordent à des degrés divers l</w:t>
      </w:r>
      <w:r w:rsidR="002A58C8" w:rsidRPr="00653BF4">
        <w:rPr>
          <w:rFonts w:asciiTheme="minorHAnsi" w:hAnsiTheme="minorHAnsi"/>
          <w:sz w:val="24"/>
          <w:szCs w:val="24"/>
          <w:lang w:val="fr-FR"/>
        </w:rPr>
        <w:t>’</w:t>
      </w:r>
      <w:r w:rsidRPr="00653BF4">
        <w:rPr>
          <w:rFonts w:asciiTheme="minorHAnsi" w:hAnsiTheme="minorHAnsi"/>
          <w:sz w:val="24"/>
          <w:szCs w:val="24"/>
          <w:lang w:val="fr-FR"/>
        </w:rPr>
        <w:t xml:space="preserve">ensemble des aspects de la </w:t>
      </w:r>
      <w:r w:rsidR="00E34DC9">
        <w:rPr>
          <w:rFonts w:asciiTheme="minorHAnsi" w:hAnsiTheme="minorHAnsi"/>
          <w:sz w:val="24"/>
          <w:szCs w:val="24"/>
          <w:lang w:val="fr-FR"/>
        </w:rPr>
        <w:t>cible 1</w:t>
      </w:r>
      <w:r w:rsidRPr="00653BF4">
        <w:rPr>
          <w:rFonts w:asciiTheme="minorHAnsi" w:hAnsiTheme="minorHAnsi"/>
          <w:sz w:val="24"/>
          <w:szCs w:val="24"/>
          <w:lang w:val="fr-FR"/>
        </w:rPr>
        <w:t>. Si la plupart des Parties ont défini des cibles qui traitent, au moins dans une certaine mesure, des changements dans l</w:t>
      </w:r>
      <w:r w:rsidR="002A58C8" w:rsidRPr="00653BF4">
        <w:rPr>
          <w:rFonts w:asciiTheme="minorHAnsi" w:hAnsiTheme="minorHAnsi"/>
          <w:sz w:val="24"/>
          <w:szCs w:val="24"/>
          <w:lang w:val="fr-FR"/>
        </w:rPr>
        <w:t>’</w:t>
      </w:r>
      <w:r w:rsidRPr="00653BF4">
        <w:rPr>
          <w:rFonts w:asciiTheme="minorHAnsi" w:hAnsiTheme="minorHAnsi"/>
          <w:sz w:val="24"/>
          <w:szCs w:val="24"/>
          <w:lang w:val="fr-FR"/>
        </w:rPr>
        <w:t>utilisation des terres et des mers par le biais de l</w:t>
      </w:r>
      <w:r w:rsidR="002A58C8" w:rsidRPr="00653BF4">
        <w:rPr>
          <w:rFonts w:asciiTheme="minorHAnsi" w:hAnsiTheme="minorHAnsi"/>
          <w:sz w:val="24"/>
          <w:szCs w:val="24"/>
          <w:lang w:val="fr-FR"/>
        </w:rPr>
        <w:t>’</w:t>
      </w:r>
      <w:r w:rsidRPr="00653BF4">
        <w:rPr>
          <w:rFonts w:asciiTheme="minorHAnsi" w:hAnsiTheme="minorHAnsi"/>
          <w:sz w:val="24"/>
          <w:szCs w:val="24"/>
          <w:lang w:val="fr-FR"/>
        </w:rPr>
        <w:t>aménagement du territoire ou d</w:t>
      </w:r>
      <w:r w:rsidR="002A58C8" w:rsidRPr="00653BF4">
        <w:rPr>
          <w:rFonts w:asciiTheme="minorHAnsi" w:hAnsiTheme="minorHAnsi"/>
          <w:sz w:val="24"/>
          <w:szCs w:val="24"/>
          <w:lang w:val="fr-FR"/>
        </w:rPr>
        <w:t>’</w:t>
      </w:r>
      <w:r w:rsidRPr="00653BF4">
        <w:rPr>
          <w:rFonts w:asciiTheme="minorHAnsi" w:hAnsiTheme="minorHAnsi"/>
          <w:sz w:val="24"/>
          <w:szCs w:val="24"/>
          <w:lang w:val="fr-FR"/>
        </w:rPr>
        <w:t>autres processus de gestion, moins de la moitié d</w:t>
      </w:r>
      <w:r w:rsidR="002A58C8" w:rsidRPr="00653BF4">
        <w:rPr>
          <w:rFonts w:asciiTheme="minorHAnsi" w:hAnsiTheme="minorHAnsi"/>
          <w:sz w:val="24"/>
          <w:szCs w:val="24"/>
          <w:lang w:val="fr-FR"/>
        </w:rPr>
        <w:t>’</w:t>
      </w:r>
      <w:r w:rsidRPr="00653BF4">
        <w:rPr>
          <w:rFonts w:asciiTheme="minorHAnsi" w:hAnsiTheme="minorHAnsi"/>
          <w:sz w:val="24"/>
          <w:szCs w:val="24"/>
          <w:lang w:val="fr-FR"/>
        </w:rPr>
        <w:t>entre elles garantissent, par le biais de leurs cibles nationales, que la biodiversité soit prise en compte dans cet aménagement, ou que la perte de zones présentant une grande importance en matière de biodiversité soit ramenée à un niveau proche de zéro d</w:t>
      </w:r>
      <w:r w:rsidR="002A58C8" w:rsidRPr="00653BF4">
        <w:rPr>
          <w:rFonts w:asciiTheme="minorHAnsi" w:hAnsiTheme="minorHAnsi"/>
          <w:sz w:val="24"/>
          <w:szCs w:val="24"/>
          <w:lang w:val="fr-FR"/>
        </w:rPr>
        <w:t>’</w:t>
      </w:r>
      <w:r w:rsidRPr="00653BF4">
        <w:rPr>
          <w:rFonts w:asciiTheme="minorHAnsi" w:hAnsiTheme="minorHAnsi"/>
          <w:sz w:val="24"/>
          <w:szCs w:val="24"/>
          <w:lang w:val="fr-FR"/>
        </w:rPr>
        <w:t>ici à 2030. Elles sont encore moins nombreuses à avoir fixé des cibles visant à garantir que les processus d</w:t>
      </w:r>
      <w:r w:rsidR="002A58C8" w:rsidRPr="00653BF4">
        <w:rPr>
          <w:rFonts w:asciiTheme="minorHAnsi" w:hAnsiTheme="minorHAnsi"/>
          <w:sz w:val="24"/>
          <w:szCs w:val="24"/>
          <w:lang w:val="fr-FR"/>
        </w:rPr>
        <w:t>’</w:t>
      </w:r>
      <w:r w:rsidRPr="00653BF4">
        <w:rPr>
          <w:rFonts w:asciiTheme="minorHAnsi" w:hAnsiTheme="minorHAnsi"/>
          <w:sz w:val="24"/>
          <w:szCs w:val="24"/>
          <w:lang w:val="fr-FR"/>
        </w:rPr>
        <w:t>aménagement du territoire et de gestion soient participatifs, intégrés et respectueux des droits des peuples autochtones et des communautés locales (</w:t>
      </w:r>
      <w:r w:rsidR="00592405" w:rsidRPr="00653BF4">
        <w:rPr>
          <w:rFonts w:asciiTheme="minorHAnsi" w:hAnsiTheme="minorHAnsi"/>
          <w:sz w:val="24"/>
          <w:szCs w:val="24"/>
          <w:lang w:val="fr-FR"/>
        </w:rPr>
        <w:t>voir le tableau </w:t>
      </w:r>
      <w:r w:rsidRPr="00653BF4">
        <w:rPr>
          <w:rFonts w:asciiTheme="minorHAnsi" w:hAnsiTheme="minorHAnsi"/>
          <w:sz w:val="24"/>
          <w:szCs w:val="24"/>
          <w:lang w:val="fr-FR"/>
        </w:rPr>
        <w:t>4).</w:t>
      </w:r>
    </w:p>
    <w:p w14:paraId="76EF5B8B" w14:textId="77777777" w:rsidR="003425C9" w:rsidRPr="00653BF4" w:rsidRDefault="003425C9" w:rsidP="00AB1404">
      <w:pPr>
        <w:rPr>
          <w:lang w:val="fr-FR" w:eastAsia="ja-JP"/>
        </w:rPr>
      </w:pPr>
    </w:p>
    <w:p w14:paraId="4A5C448C" w14:textId="56707931" w:rsidR="00AE3131" w:rsidRPr="00653BF4" w:rsidRDefault="00DD19D2" w:rsidP="006F4F08">
      <w:pPr>
        <w:pStyle w:val="Heading5"/>
        <w:rPr>
          <w:lang w:val="fr-FR"/>
        </w:rPr>
      </w:pPr>
      <w:r w:rsidRPr="00653BF4">
        <w:rPr>
          <w:lang w:val="fr-FR"/>
        </w:rPr>
        <w:t>Indicateurs de progrès</w:t>
      </w:r>
    </w:p>
    <w:p w14:paraId="4A24F382" w14:textId="77777777" w:rsidR="00724274" w:rsidRPr="00653BF4" w:rsidRDefault="00724274" w:rsidP="00724274">
      <w:pPr>
        <w:rPr>
          <w:lang w:val="fr-FR"/>
        </w:rPr>
      </w:pPr>
    </w:p>
    <w:p w14:paraId="4F067441" w14:textId="4DF6B7EF" w:rsidR="009D5A80" w:rsidRPr="00653BF4" w:rsidRDefault="003D595C" w:rsidP="003D595C">
      <w:pPr>
        <w:pStyle w:val="Caption"/>
        <w:keepNext/>
        <w:rPr>
          <w:i w:val="0"/>
          <w:iCs w:val="0"/>
          <w:sz w:val="20"/>
          <w:szCs w:val="20"/>
          <w:lang w:val="fr-FR"/>
        </w:rPr>
      </w:pPr>
      <w:bookmarkStart w:id="78" w:name="_Ref230450697"/>
      <w:r w:rsidRPr="00653BF4">
        <w:rPr>
          <w:i w:val="0"/>
          <w:sz w:val="20"/>
          <w:szCs w:val="20"/>
          <w:lang w:val="fr-FR"/>
        </w:rPr>
        <w:t>Table</w:t>
      </w:r>
      <w:r w:rsidR="00D5751A" w:rsidRPr="00653BF4">
        <w:rPr>
          <w:i w:val="0"/>
          <w:sz w:val="20"/>
          <w:szCs w:val="20"/>
          <w:lang w:val="fr-FR"/>
        </w:rPr>
        <w:t>au</w:t>
      </w:r>
      <w:r w:rsidRPr="00653BF4">
        <w:rPr>
          <w:i w:val="0"/>
          <w:sz w:val="20"/>
          <w:szCs w:val="20"/>
          <w:lang w:val="fr-FR"/>
        </w:rPr>
        <w:t xml:space="preserve"> </w:t>
      </w:r>
      <w:r w:rsidR="00DC1793" w:rsidRPr="00653BF4">
        <w:rPr>
          <w:i w:val="0"/>
          <w:noProof/>
          <w:sz w:val="20"/>
          <w:szCs w:val="20"/>
          <w:lang w:val="fr-FR"/>
        </w:rPr>
        <w:t>5</w:t>
      </w:r>
      <w:bookmarkEnd w:id="78"/>
    </w:p>
    <w:p w14:paraId="2F5756AD" w14:textId="153975CF" w:rsidR="003D595C" w:rsidRPr="00653BF4" w:rsidRDefault="005A6401" w:rsidP="003D595C">
      <w:pPr>
        <w:pStyle w:val="Caption"/>
        <w:keepNext/>
        <w:rPr>
          <w:sz w:val="20"/>
          <w:szCs w:val="20"/>
          <w:lang w:val="fr-FR"/>
        </w:rPr>
      </w:pPr>
      <w:r w:rsidRPr="00653BF4">
        <w:rPr>
          <w:b/>
          <w:bCs/>
          <w:i w:val="0"/>
          <w:iCs w:val="0"/>
          <w:sz w:val="20"/>
          <w:szCs w:val="20"/>
          <w:lang w:val="fr-FR"/>
        </w:rPr>
        <w:t>Tableau de bord</w:t>
      </w:r>
      <w:r w:rsidR="00F969B4" w:rsidRPr="00653BF4">
        <w:rPr>
          <w:b/>
          <w:bCs/>
          <w:i w:val="0"/>
          <w:iCs w:val="0"/>
          <w:sz w:val="20"/>
          <w:szCs w:val="20"/>
          <w:lang w:val="fr-FR"/>
        </w:rPr>
        <w:t xml:space="preserve"> des indicateurs relatifs à la </w:t>
      </w:r>
      <w:r w:rsidR="00E34DC9">
        <w:rPr>
          <w:b/>
          <w:bCs/>
          <w:i w:val="0"/>
          <w:iCs w:val="0"/>
          <w:sz w:val="20"/>
          <w:szCs w:val="20"/>
          <w:lang w:val="fr-FR"/>
        </w:rPr>
        <w:t>cible 1</w:t>
      </w:r>
      <w:r w:rsidR="00F969B4" w:rsidRPr="00653BF4">
        <w:rPr>
          <w:b/>
          <w:bCs/>
          <w:i w:val="0"/>
          <w:iCs w:val="0"/>
          <w:sz w:val="20"/>
          <w:szCs w:val="20"/>
          <w:lang w:val="fr-FR"/>
        </w:rPr>
        <w:t xml:space="preserve"> du Cadre</w:t>
      </w:r>
    </w:p>
    <w:tbl>
      <w:tblPr>
        <w:tblW w:w="10201" w:type="dxa"/>
        <w:tblLook w:val="04A0" w:firstRow="1" w:lastRow="0" w:firstColumn="1" w:lastColumn="0" w:noHBand="0" w:noVBand="1"/>
      </w:tblPr>
      <w:tblGrid>
        <w:gridCol w:w="2825"/>
        <w:gridCol w:w="3254"/>
        <w:gridCol w:w="587"/>
        <w:gridCol w:w="3015"/>
        <w:gridCol w:w="520"/>
      </w:tblGrid>
      <w:tr w:rsidR="00D21C0E" w:rsidRPr="00653BF4" w14:paraId="3DF79C21" w14:textId="77777777">
        <w:trPr>
          <w:trHeight w:val="49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14:paraId="5DAF2926" w14:textId="77777777" w:rsidR="00D21C0E" w:rsidRPr="00653BF4" w:rsidRDefault="00D21C0E">
            <w:pPr>
              <w:rPr>
                <w:rFonts w:ascii="Aptos" w:hAnsi="Aptos"/>
                <w:color w:val="000000"/>
                <w:sz w:val="20"/>
                <w:szCs w:val="20"/>
                <w:lang w:val="fr-FR"/>
              </w:rPr>
            </w:pPr>
          </w:p>
        </w:tc>
        <w:tc>
          <w:tcPr>
            <w:tcW w:w="3828" w:type="dxa"/>
            <w:gridSpan w:val="2"/>
            <w:tcBorders>
              <w:top w:val="single" w:sz="4" w:space="0" w:color="auto"/>
              <w:left w:val="nil"/>
              <w:bottom w:val="single" w:sz="4" w:space="0" w:color="auto"/>
              <w:right w:val="single" w:sz="4" w:space="0" w:color="auto"/>
            </w:tcBorders>
            <w:vAlign w:val="center"/>
          </w:tcPr>
          <w:p w14:paraId="23CA8E51" w14:textId="1253066C" w:rsidR="00D21C0E" w:rsidRPr="00653BF4" w:rsidRDefault="002E7856">
            <w:pPr>
              <w:jc w:val="center"/>
              <w:rPr>
                <w:rFonts w:ascii="Aptos" w:hAnsi="Aptos" w:cs="Calibri"/>
                <w:color w:val="000000"/>
                <w:sz w:val="20"/>
                <w:szCs w:val="20"/>
                <w:lang w:val="fr-FR"/>
              </w:rPr>
            </w:pPr>
            <w:r w:rsidRPr="00653BF4">
              <w:rPr>
                <w:rFonts w:ascii="Aptos" w:hAnsi="Aptos"/>
                <w:color w:val="000000"/>
                <w:sz w:val="20"/>
                <w:szCs w:val="20"/>
                <w:lang w:val="fr-FR"/>
              </w:rPr>
              <w:t>Utilisation de l</w:t>
            </w:r>
            <w:r w:rsidR="002A58C8" w:rsidRPr="00653BF4">
              <w:rPr>
                <w:rFonts w:ascii="Aptos" w:hAnsi="Aptos"/>
                <w:color w:val="000000"/>
                <w:sz w:val="20"/>
                <w:szCs w:val="20"/>
                <w:lang w:val="fr-FR"/>
              </w:rPr>
              <w:t>’</w:t>
            </w:r>
            <w:r w:rsidR="00B14580" w:rsidRPr="00653BF4">
              <w:rPr>
                <w:rFonts w:ascii="Aptos" w:hAnsi="Aptos"/>
                <w:color w:val="000000"/>
                <w:sz w:val="20"/>
                <w:szCs w:val="20"/>
                <w:lang w:val="fr-FR"/>
              </w:rPr>
              <w:t>indicateur</w:t>
            </w:r>
          </w:p>
        </w:tc>
        <w:tc>
          <w:tcPr>
            <w:tcW w:w="3543" w:type="dxa"/>
            <w:gridSpan w:val="2"/>
            <w:tcBorders>
              <w:top w:val="single" w:sz="4" w:space="0" w:color="auto"/>
              <w:left w:val="nil"/>
              <w:bottom w:val="single" w:sz="4" w:space="0" w:color="auto"/>
              <w:right w:val="single" w:sz="4" w:space="0" w:color="auto"/>
            </w:tcBorders>
            <w:vAlign w:val="center"/>
          </w:tcPr>
          <w:p w14:paraId="2CC28867" w14:textId="6956AAB0" w:rsidR="00D21C0E" w:rsidRPr="00653BF4" w:rsidRDefault="00B14580">
            <w:pPr>
              <w:jc w:val="center"/>
              <w:rPr>
                <w:rFonts w:ascii="Aptos" w:hAnsi="Aptos"/>
                <w:color w:val="000000"/>
                <w:sz w:val="20"/>
                <w:szCs w:val="20"/>
                <w:lang w:val="fr-FR"/>
              </w:rPr>
            </w:pPr>
            <w:r w:rsidRPr="00653BF4">
              <w:rPr>
                <w:rFonts w:ascii="Aptos" w:hAnsi="Aptos"/>
                <w:color w:val="000000"/>
                <w:sz w:val="20"/>
                <w:szCs w:val="20"/>
                <w:lang w:val="fr-FR"/>
              </w:rPr>
              <w:t>Résultats de l</w:t>
            </w:r>
            <w:r w:rsidR="002A58C8" w:rsidRPr="00653BF4">
              <w:rPr>
                <w:rFonts w:ascii="Aptos" w:hAnsi="Aptos"/>
                <w:color w:val="000000"/>
                <w:sz w:val="20"/>
                <w:szCs w:val="20"/>
                <w:lang w:val="fr-FR"/>
              </w:rPr>
              <w:t>’</w:t>
            </w:r>
            <w:r w:rsidRPr="00653BF4">
              <w:rPr>
                <w:rFonts w:ascii="Aptos" w:hAnsi="Aptos"/>
                <w:color w:val="000000"/>
                <w:sz w:val="20"/>
                <w:szCs w:val="20"/>
                <w:lang w:val="fr-FR"/>
              </w:rPr>
              <w:t>indicateur</w:t>
            </w:r>
          </w:p>
        </w:tc>
      </w:tr>
      <w:tr w:rsidR="00D21C0E" w:rsidRPr="00543148" w14:paraId="13774C23" w14:textId="77777777" w:rsidTr="00F7127E">
        <w:trPr>
          <w:trHeight w:val="105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2D671E" w14:textId="22421DE7" w:rsidR="00D21C0E" w:rsidRPr="00653BF4" w:rsidRDefault="00971574">
            <w:pPr>
              <w:jc w:val="center"/>
              <w:rPr>
                <w:rFonts w:ascii="Aptos" w:hAnsi="Aptos"/>
                <w:color w:val="000000"/>
                <w:sz w:val="20"/>
                <w:szCs w:val="20"/>
                <w:lang w:val="fr-FR"/>
              </w:rPr>
            </w:pPr>
            <w:r w:rsidRPr="00653BF4">
              <w:rPr>
                <w:rFonts w:ascii="Aptos" w:hAnsi="Aptos"/>
                <w:color w:val="000000"/>
                <w:sz w:val="20"/>
                <w:szCs w:val="20"/>
                <w:lang w:val="fr-FR"/>
              </w:rPr>
              <w:t>I</w:t>
            </w:r>
            <w:r w:rsidR="003C5C35" w:rsidRPr="00653BF4">
              <w:rPr>
                <w:rFonts w:ascii="Aptos" w:hAnsi="Aptos"/>
                <w:color w:val="000000"/>
                <w:sz w:val="20"/>
                <w:szCs w:val="20"/>
                <w:lang w:val="fr-FR"/>
              </w:rPr>
              <w:t>ndicateur phare</w:t>
            </w:r>
            <w:r w:rsidRPr="00653BF4">
              <w:rPr>
                <w:rFonts w:ascii="Aptos" w:hAnsi="Aptos"/>
                <w:color w:val="000000"/>
                <w:sz w:val="20"/>
                <w:szCs w:val="20"/>
                <w:lang w:val="fr-FR"/>
              </w:rPr>
              <w:t xml:space="preserve"> A.1</w:t>
            </w:r>
            <w:r w:rsidR="00E34DC9">
              <w:rPr>
                <w:rFonts w:ascii="Aptos" w:hAnsi="Aptos"/>
                <w:color w:val="000000"/>
                <w:sz w:val="20"/>
                <w:szCs w:val="20"/>
                <w:lang w:val="fr-FR"/>
              </w:rPr>
              <w:t> :</w:t>
            </w:r>
            <w:r w:rsidRPr="00653BF4">
              <w:rPr>
                <w:rFonts w:ascii="Aptos" w:hAnsi="Aptos"/>
                <w:color w:val="000000"/>
                <w:sz w:val="20"/>
                <w:szCs w:val="20"/>
                <w:lang w:val="fr-FR"/>
              </w:rPr>
              <w:t xml:space="preserve"> Liste rouge des écosystèmes</w:t>
            </w:r>
          </w:p>
        </w:tc>
        <w:tc>
          <w:tcPr>
            <w:tcW w:w="3261" w:type="dxa"/>
            <w:tcBorders>
              <w:top w:val="single" w:sz="4" w:space="0" w:color="auto"/>
              <w:left w:val="nil"/>
              <w:bottom w:val="single" w:sz="4" w:space="0" w:color="auto"/>
              <w:right w:val="single" w:sz="4" w:space="0" w:color="auto"/>
            </w:tcBorders>
            <w:vAlign w:val="center"/>
            <w:hideMark/>
          </w:tcPr>
          <w:p w14:paraId="6BD9CE86" w14:textId="3D991005" w:rsidR="00D21C0E" w:rsidRPr="00653BF4" w:rsidRDefault="00133A67">
            <w:pPr>
              <w:jc w:val="center"/>
              <w:rPr>
                <w:rFonts w:ascii="Aptos" w:hAnsi="Aptos"/>
                <w:color w:val="000000"/>
                <w:sz w:val="20"/>
                <w:szCs w:val="20"/>
                <w:lang w:val="fr-FR"/>
              </w:rPr>
            </w:pPr>
            <w:r w:rsidRPr="00653BF4">
              <w:rPr>
                <w:rFonts w:ascii="Aptos" w:hAnsi="Aptos"/>
                <w:color w:val="000000"/>
                <w:sz w:val="20"/>
                <w:szCs w:val="20"/>
                <w:lang w:val="fr-FR"/>
              </w:rPr>
              <w:t>21</w:t>
            </w:r>
            <w:r w:rsidR="002878D7">
              <w:rPr>
                <w:rFonts w:ascii="Aptos" w:hAnsi="Aptos"/>
                <w:color w:val="000000"/>
                <w:sz w:val="20"/>
                <w:szCs w:val="20"/>
                <w:lang w:val="fr-FR"/>
              </w:rPr>
              <w:t> %</w:t>
            </w:r>
            <w:r w:rsidRPr="00653BF4">
              <w:rPr>
                <w:rFonts w:ascii="Aptos" w:hAnsi="Aptos"/>
                <w:color w:val="000000"/>
                <w:sz w:val="20"/>
                <w:szCs w:val="20"/>
                <w:lang w:val="fr-FR"/>
              </w:rPr>
              <w:t xml:space="preserve"> des Parties dont les rapports nationaux sont examinés dans le rapport mondial</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1DD4E8B6" w14:textId="77777777" w:rsidR="00D21C0E" w:rsidRPr="00653BF4" w:rsidRDefault="00D21C0E">
            <w:pPr>
              <w:jc w:val="center"/>
              <w:rPr>
                <w:rFonts w:ascii="Aptos" w:hAnsi="Aptos" w:cs="Calibri"/>
                <w:color w:val="000000"/>
                <w:sz w:val="20"/>
                <w:szCs w:val="20"/>
                <w:lang w:val="fr-FR"/>
              </w:rPr>
            </w:pPr>
          </w:p>
        </w:tc>
        <w:tc>
          <w:tcPr>
            <w:tcW w:w="3022" w:type="dxa"/>
            <w:tcBorders>
              <w:top w:val="single" w:sz="4" w:space="0" w:color="auto"/>
              <w:left w:val="nil"/>
              <w:bottom w:val="single" w:sz="4" w:space="0" w:color="auto"/>
              <w:right w:val="single" w:sz="4" w:space="0" w:color="auto"/>
            </w:tcBorders>
            <w:vAlign w:val="center"/>
            <w:hideMark/>
          </w:tcPr>
          <w:p w14:paraId="0BF05587" w14:textId="56223CC7" w:rsidR="00D21C0E" w:rsidRPr="00653BF4" w:rsidRDefault="001F13C0">
            <w:pPr>
              <w:jc w:val="center"/>
              <w:rPr>
                <w:rFonts w:ascii="Aptos" w:hAnsi="Aptos" w:cs="Times New Roman"/>
                <w:color w:val="000000"/>
                <w:sz w:val="20"/>
                <w:szCs w:val="20"/>
                <w:lang w:val="fr-FR"/>
              </w:rPr>
            </w:pPr>
            <w:r w:rsidRPr="00653BF4">
              <w:rPr>
                <w:rFonts w:ascii="Aptos" w:hAnsi="Aptos"/>
                <w:color w:val="000000"/>
                <w:sz w:val="20"/>
                <w:szCs w:val="20"/>
                <w:lang w:val="fr-FR"/>
              </w:rPr>
              <w:t>Les valeurs déclarées s</w:t>
            </w:r>
            <w:r w:rsidR="002A58C8" w:rsidRPr="00653BF4">
              <w:rPr>
                <w:rFonts w:ascii="Aptos" w:hAnsi="Aptos"/>
                <w:color w:val="000000"/>
                <w:sz w:val="20"/>
                <w:szCs w:val="20"/>
                <w:lang w:val="fr-FR"/>
              </w:rPr>
              <w:t>’</w:t>
            </w:r>
            <w:r w:rsidRPr="00653BF4">
              <w:rPr>
                <w:rFonts w:ascii="Aptos" w:hAnsi="Aptos"/>
                <w:color w:val="000000"/>
                <w:sz w:val="20"/>
                <w:szCs w:val="20"/>
                <w:lang w:val="fr-FR"/>
              </w:rPr>
              <w:t>élèvent en moyenne à 0,58 et varient entre 0,37 et 1</w:t>
            </w:r>
          </w:p>
        </w:tc>
        <w:tc>
          <w:tcPr>
            <w:tcW w:w="521" w:type="dxa"/>
            <w:tcBorders>
              <w:top w:val="single" w:sz="4" w:space="0" w:color="auto"/>
              <w:left w:val="nil"/>
              <w:bottom w:val="single" w:sz="4" w:space="0" w:color="auto"/>
              <w:right w:val="single" w:sz="4" w:space="0" w:color="auto"/>
            </w:tcBorders>
            <w:shd w:val="clear" w:color="auto" w:fill="FFC000"/>
            <w:vAlign w:val="center"/>
            <w:hideMark/>
          </w:tcPr>
          <w:p w14:paraId="1E0DD37E" w14:textId="77777777" w:rsidR="00D21C0E" w:rsidRPr="00653BF4" w:rsidRDefault="00D21C0E">
            <w:pPr>
              <w:rPr>
                <w:rFonts w:ascii="Aptos" w:hAnsi="Aptos"/>
                <w:color w:val="000000"/>
                <w:sz w:val="20"/>
                <w:szCs w:val="20"/>
                <w:lang w:val="fr-FR"/>
              </w:rPr>
            </w:pPr>
            <w:r w:rsidRPr="00653BF4">
              <w:rPr>
                <w:rFonts w:ascii="Aptos" w:hAnsi="Aptos"/>
                <w:color w:val="000000"/>
                <w:sz w:val="20"/>
                <w:szCs w:val="20"/>
                <w:lang w:val="fr-FR"/>
              </w:rPr>
              <w:t> </w:t>
            </w:r>
          </w:p>
        </w:tc>
      </w:tr>
      <w:tr w:rsidR="00D21C0E" w:rsidRPr="00653BF4" w14:paraId="2DDB0B3E" w14:textId="77777777" w:rsidTr="00B02B24">
        <w:trPr>
          <w:trHeight w:val="78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62B09981" w14:textId="5E10B368" w:rsidR="00D21C0E" w:rsidRPr="00653BF4" w:rsidRDefault="00971574">
            <w:pPr>
              <w:jc w:val="center"/>
              <w:rPr>
                <w:rFonts w:ascii="Aptos" w:hAnsi="Aptos" w:cs="Times New Roman"/>
                <w:color w:val="000000"/>
                <w:sz w:val="20"/>
                <w:szCs w:val="20"/>
                <w:lang w:val="fr-FR"/>
              </w:rPr>
            </w:pPr>
            <w:r w:rsidRPr="00653BF4">
              <w:rPr>
                <w:rFonts w:ascii="Aptos" w:hAnsi="Aptos"/>
                <w:color w:val="000000"/>
                <w:sz w:val="20"/>
                <w:szCs w:val="20"/>
                <w:lang w:val="fr-FR"/>
              </w:rPr>
              <w:lastRenderedPageBreak/>
              <w:t>I</w:t>
            </w:r>
            <w:r w:rsidR="003C5C35" w:rsidRPr="00653BF4">
              <w:rPr>
                <w:rFonts w:ascii="Aptos" w:hAnsi="Aptos"/>
                <w:color w:val="000000"/>
                <w:sz w:val="20"/>
                <w:szCs w:val="20"/>
                <w:lang w:val="fr-FR"/>
              </w:rPr>
              <w:t>ndicateur phare</w:t>
            </w:r>
            <w:r w:rsidRPr="00653BF4">
              <w:rPr>
                <w:rFonts w:ascii="Aptos" w:hAnsi="Aptos"/>
                <w:color w:val="000000"/>
                <w:sz w:val="20"/>
                <w:szCs w:val="20"/>
                <w:lang w:val="fr-FR"/>
              </w:rPr>
              <w:t xml:space="preserve"> A.2</w:t>
            </w:r>
            <w:r w:rsidR="00E34DC9">
              <w:rPr>
                <w:rFonts w:ascii="Aptos" w:hAnsi="Aptos"/>
                <w:color w:val="000000"/>
                <w:sz w:val="20"/>
                <w:szCs w:val="20"/>
                <w:lang w:val="fr-FR"/>
              </w:rPr>
              <w:t> :</w:t>
            </w:r>
            <w:r w:rsidRPr="00653BF4">
              <w:rPr>
                <w:rFonts w:ascii="Aptos" w:hAnsi="Aptos"/>
                <w:color w:val="000000"/>
                <w:sz w:val="20"/>
                <w:szCs w:val="20"/>
                <w:lang w:val="fr-FR"/>
              </w:rPr>
              <w:t xml:space="preserve"> Étendue des écosystèmes naturels</w:t>
            </w:r>
          </w:p>
        </w:tc>
        <w:tc>
          <w:tcPr>
            <w:tcW w:w="3261" w:type="dxa"/>
            <w:tcBorders>
              <w:top w:val="nil"/>
              <w:left w:val="nil"/>
              <w:bottom w:val="single" w:sz="4" w:space="0" w:color="auto"/>
              <w:right w:val="single" w:sz="4" w:space="0" w:color="auto"/>
            </w:tcBorders>
            <w:vAlign w:val="center"/>
            <w:hideMark/>
          </w:tcPr>
          <w:p w14:paraId="2BFDCBF2" w14:textId="3B923A05" w:rsidR="00D21C0E" w:rsidRPr="00653BF4" w:rsidRDefault="00133A67">
            <w:pPr>
              <w:jc w:val="center"/>
              <w:rPr>
                <w:rFonts w:ascii="Aptos" w:hAnsi="Aptos"/>
                <w:color w:val="000000"/>
                <w:sz w:val="20"/>
                <w:szCs w:val="20"/>
                <w:lang w:val="fr-FR"/>
              </w:rPr>
            </w:pPr>
            <w:r w:rsidRPr="00653BF4">
              <w:rPr>
                <w:rFonts w:ascii="Aptos" w:hAnsi="Aptos"/>
                <w:color w:val="000000"/>
                <w:sz w:val="20"/>
                <w:szCs w:val="20"/>
                <w:lang w:val="fr-FR"/>
              </w:rPr>
              <w:t>50</w:t>
            </w:r>
            <w:r w:rsidR="002878D7">
              <w:rPr>
                <w:rFonts w:ascii="Aptos" w:hAnsi="Aptos"/>
                <w:color w:val="000000"/>
                <w:sz w:val="20"/>
                <w:szCs w:val="20"/>
                <w:lang w:val="fr-FR"/>
              </w:rPr>
              <w:t> %</w:t>
            </w:r>
            <w:r w:rsidRPr="00653BF4">
              <w:rPr>
                <w:rFonts w:ascii="Aptos" w:hAnsi="Aptos"/>
                <w:color w:val="000000"/>
                <w:sz w:val="20"/>
                <w:szCs w:val="20"/>
                <w:lang w:val="fr-FR"/>
              </w:rPr>
              <w:t xml:space="preserve"> des Parties, dont moins de 1</w:t>
            </w:r>
            <w:r w:rsidR="002878D7">
              <w:rPr>
                <w:rFonts w:ascii="Aptos" w:hAnsi="Aptos"/>
                <w:color w:val="000000"/>
                <w:sz w:val="20"/>
                <w:szCs w:val="20"/>
                <w:lang w:val="fr-FR"/>
              </w:rPr>
              <w:t> %</w:t>
            </w:r>
            <w:r w:rsidRPr="00653BF4">
              <w:rPr>
                <w:rFonts w:ascii="Aptos" w:hAnsi="Aptos"/>
                <w:color w:val="000000"/>
                <w:sz w:val="20"/>
                <w:szCs w:val="20"/>
                <w:lang w:val="fr-FR"/>
              </w:rPr>
              <w:t xml:space="preserve"> disposent de données chronologiques</w:t>
            </w:r>
          </w:p>
        </w:tc>
        <w:tc>
          <w:tcPr>
            <w:tcW w:w="567" w:type="dxa"/>
            <w:tcBorders>
              <w:top w:val="nil"/>
              <w:left w:val="nil"/>
              <w:bottom w:val="nil"/>
              <w:right w:val="nil"/>
            </w:tcBorders>
            <w:shd w:val="clear" w:color="auto" w:fill="FFC000"/>
            <w:vAlign w:val="center"/>
            <w:hideMark/>
          </w:tcPr>
          <w:p w14:paraId="4285D3D6" w14:textId="77777777" w:rsidR="00D21C0E" w:rsidRPr="00653BF4" w:rsidRDefault="00D21C0E">
            <w:pPr>
              <w:jc w:val="center"/>
              <w:rPr>
                <w:rFonts w:ascii="Aptos" w:hAnsi="Aptos"/>
                <w:color w:val="000000"/>
                <w:sz w:val="20"/>
                <w:szCs w:val="20"/>
                <w:lang w:val="fr-FR"/>
              </w:rPr>
            </w:pPr>
          </w:p>
        </w:tc>
        <w:tc>
          <w:tcPr>
            <w:tcW w:w="3022" w:type="dxa"/>
            <w:tcBorders>
              <w:top w:val="nil"/>
              <w:left w:val="single" w:sz="4" w:space="0" w:color="auto"/>
              <w:bottom w:val="single" w:sz="4" w:space="0" w:color="auto"/>
              <w:right w:val="single" w:sz="4" w:space="0" w:color="auto"/>
            </w:tcBorders>
            <w:vAlign w:val="center"/>
            <w:hideMark/>
          </w:tcPr>
          <w:p w14:paraId="231C992D" w14:textId="74378028" w:rsidR="00D21C0E" w:rsidRPr="00653BF4" w:rsidRDefault="001F13C0">
            <w:pPr>
              <w:jc w:val="center"/>
              <w:rPr>
                <w:rFonts w:ascii="Aptos" w:hAnsi="Aptos"/>
                <w:color w:val="000000"/>
                <w:sz w:val="20"/>
                <w:szCs w:val="20"/>
                <w:lang w:val="fr-FR"/>
              </w:rPr>
            </w:pPr>
            <w:r w:rsidRPr="00653BF4">
              <w:rPr>
                <w:rFonts w:ascii="Aptos" w:hAnsi="Aptos"/>
                <w:color w:val="000000"/>
                <w:sz w:val="20"/>
                <w:szCs w:val="20"/>
                <w:lang w:val="fr-FR"/>
              </w:rPr>
              <w:t>63</w:t>
            </w:r>
            <w:r w:rsidR="002878D7">
              <w:rPr>
                <w:rFonts w:ascii="Aptos" w:hAnsi="Aptos"/>
                <w:color w:val="000000"/>
                <w:sz w:val="20"/>
                <w:szCs w:val="20"/>
                <w:lang w:val="fr-FR"/>
              </w:rPr>
              <w:t> %</w:t>
            </w:r>
            <w:r w:rsidRPr="00653BF4">
              <w:rPr>
                <w:rFonts w:ascii="Aptos" w:hAnsi="Aptos"/>
                <w:color w:val="000000"/>
                <w:sz w:val="20"/>
                <w:szCs w:val="20"/>
                <w:lang w:val="fr-FR"/>
              </w:rPr>
              <w:t xml:space="preserve"> des zones</w:t>
            </w:r>
          </w:p>
        </w:tc>
        <w:tc>
          <w:tcPr>
            <w:tcW w:w="521" w:type="dxa"/>
            <w:tcBorders>
              <w:top w:val="nil"/>
              <w:left w:val="nil"/>
              <w:bottom w:val="single" w:sz="4" w:space="0" w:color="auto"/>
              <w:right w:val="single" w:sz="4" w:space="0" w:color="auto"/>
            </w:tcBorders>
            <w:shd w:val="clear" w:color="auto" w:fill="ADADAD" w:themeFill="background2" w:themeFillShade="BF"/>
            <w:vAlign w:val="center"/>
            <w:hideMark/>
          </w:tcPr>
          <w:p w14:paraId="1B2D246C" w14:textId="77777777" w:rsidR="00D21C0E" w:rsidRPr="00653BF4" w:rsidRDefault="00D21C0E">
            <w:pPr>
              <w:rPr>
                <w:rFonts w:ascii="Aptos" w:hAnsi="Aptos"/>
                <w:color w:val="000000"/>
                <w:sz w:val="20"/>
                <w:szCs w:val="20"/>
                <w:lang w:val="fr-FR"/>
              </w:rPr>
            </w:pPr>
            <w:r w:rsidRPr="00653BF4">
              <w:rPr>
                <w:rFonts w:ascii="Aptos" w:hAnsi="Aptos"/>
                <w:color w:val="000000"/>
                <w:sz w:val="20"/>
                <w:szCs w:val="20"/>
                <w:lang w:val="fr-FR"/>
              </w:rPr>
              <w:t> </w:t>
            </w:r>
          </w:p>
        </w:tc>
      </w:tr>
      <w:tr w:rsidR="00D21C0E" w:rsidRPr="00543148" w14:paraId="7F6CAA57" w14:textId="77777777" w:rsidTr="00B02B24">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474B125B" w14:textId="6D07D776" w:rsidR="00D21C0E" w:rsidRPr="00AA3C17" w:rsidRDefault="00971574">
            <w:pPr>
              <w:jc w:val="center"/>
              <w:rPr>
                <w:rFonts w:ascii="Aptos" w:hAnsi="Aptos" w:cs="Times New Roman"/>
                <w:color w:val="000000"/>
                <w:sz w:val="20"/>
                <w:szCs w:val="20"/>
                <w:lang w:val="fr-FR"/>
              </w:rPr>
            </w:pPr>
            <w:r w:rsidRPr="00AA3C17">
              <w:rPr>
                <w:rFonts w:ascii="Aptos" w:hAnsi="Aptos"/>
                <w:color w:val="000000"/>
                <w:sz w:val="20"/>
                <w:szCs w:val="20"/>
                <w:lang w:val="fr-FR"/>
              </w:rPr>
              <w:t>I</w:t>
            </w:r>
            <w:r w:rsidR="003C5C35" w:rsidRPr="00AA3C17">
              <w:rPr>
                <w:rFonts w:ascii="Aptos" w:hAnsi="Aptos"/>
                <w:color w:val="000000"/>
                <w:sz w:val="20"/>
                <w:szCs w:val="20"/>
                <w:lang w:val="fr-FR"/>
              </w:rPr>
              <w:t>ndicateur phare</w:t>
            </w:r>
            <w:r w:rsidRPr="00AA3C17">
              <w:rPr>
                <w:rFonts w:ascii="Aptos" w:hAnsi="Aptos"/>
                <w:color w:val="000000"/>
                <w:sz w:val="20"/>
                <w:szCs w:val="20"/>
                <w:lang w:val="fr-FR"/>
              </w:rPr>
              <w:t xml:space="preserve"> 1.1</w:t>
            </w:r>
            <w:r w:rsidR="00E34DC9">
              <w:rPr>
                <w:rFonts w:ascii="Aptos" w:hAnsi="Aptos"/>
                <w:color w:val="000000"/>
                <w:sz w:val="20"/>
                <w:szCs w:val="20"/>
                <w:lang w:val="fr-FR"/>
              </w:rPr>
              <w:t> :</w:t>
            </w:r>
            <w:r w:rsidRPr="00AA3C17">
              <w:rPr>
                <w:rFonts w:ascii="Aptos" w:hAnsi="Aptos"/>
                <w:color w:val="000000"/>
                <w:sz w:val="20"/>
                <w:szCs w:val="20"/>
                <w:lang w:val="fr-FR"/>
              </w:rPr>
              <w:t xml:space="preserve"> </w:t>
            </w:r>
            <w:r w:rsidR="00AA3C17" w:rsidRPr="00AA3C17">
              <w:rPr>
                <w:rFonts w:ascii="Aptos" w:hAnsi="Aptos"/>
                <w:color w:val="000000"/>
                <w:sz w:val="20"/>
                <w:szCs w:val="20"/>
                <w:lang w:val="fr-FR"/>
              </w:rPr>
              <w:t>Pourcentage de zones terrestres et marines couvertes par des plans d’aménagement spatial qui intègrent la biodiversité</w:t>
            </w:r>
          </w:p>
        </w:tc>
        <w:tc>
          <w:tcPr>
            <w:tcW w:w="3261" w:type="dxa"/>
            <w:tcBorders>
              <w:top w:val="nil"/>
              <w:left w:val="nil"/>
              <w:bottom w:val="single" w:sz="4" w:space="0" w:color="auto"/>
              <w:right w:val="single" w:sz="4" w:space="0" w:color="auto"/>
            </w:tcBorders>
            <w:vAlign w:val="center"/>
            <w:hideMark/>
          </w:tcPr>
          <w:p w14:paraId="260BF5D1" w14:textId="525E028E" w:rsidR="00D21C0E" w:rsidRPr="00653BF4" w:rsidRDefault="00544BB1">
            <w:pPr>
              <w:jc w:val="center"/>
              <w:rPr>
                <w:rFonts w:ascii="Aptos" w:hAnsi="Aptos"/>
                <w:color w:val="000000"/>
                <w:sz w:val="20"/>
                <w:szCs w:val="20"/>
                <w:lang w:val="fr-FR"/>
              </w:rPr>
            </w:pPr>
            <w:r w:rsidRPr="00653BF4">
              <w:rPr>
                <w:rFonts w:ascii="Aptos" w:hAnsi="Aptos"/>
                <w:color w:val="000000"/>
                <w:sz w:val="20"/>
                <w:szCs w:val="20"/>
                <w:lang w:val="fr-FR"/>
              </w:rPr>
              <w:t>28</w:t>
            </w:r>
            <w:r w:rsidR="002878D7">
              <w:rPr>
                <w:rFonts w:ascii="Aptos" w:hAnsi="Aptos"/>
                <w:color w:val="000000"/>
                <w:sz w:val="20"/>
                <w:szCs w:val="20"/>
                <w:lang w:val="fr-FR"/>
              </w:rPr>
              <w:t> %</w:t>
            </w:r>
            <w:r w:rsidRPr="00653BF4">
              <w:rPr>
                <w:rFonts w:ascii="Aptos" w:hAnsi="Aptos"/>
                <w:color w:val="000000"/>
                <w:sz w:val="20"/>
                <w:szCs w:val="20"/>
                <w:lang w:val="fr-FR"/>
              </w:rPr>
              <w:t xml:space="preserve"> des Parties, couvrant 15</w:t>
            </w:r>
            <w:r w:rsidR="002878D7">
              <w:rPr>
                <w:rFonts w:ascii="Aptos" w:hAnsi="Aptos"/>
                <w:color w:val="000000"/>
                <w:sz w:val="20"/>
                <w:szCs w:val="20"/>
                <w:lang w:val="fr-FR"/>
              </w:rPr>
              <w:t> %</w:t>
            </w:r>
            <w:r w:rsidRPr="00653BF4">
              <w:rPr>
                <w:rFonts w:ascii="Aptos" w:hAnsi="Aptos"/>
                <w:color w:val="000000"/>
                <w:sz w:val="20"/>
                <w:szCs w:val="20"/>
                <w:lang w:val="fr-FR"/>
              </w:rPr>
              <w:t xml:space="preserve"> des terres et des mers</w:t>
            </w:r>
          </w:p>
        </w:tc>
        <w:tc>
          <w:tcPr>
            <w:tcW w:w="567" w:type="dxa"/>
            <w:tcBorders>
              <w:top w:val="single" w:sz="4" w:space="0" w:color="auto"/>
              <w:left w:val="nil"/>
              <w:bottom w:val="single" w:sz="4" w:space="0" w:color="auto"/>
              <w:right w:val="single" w:sz="4" w:space="0" w:color="auto"/>
            </w:tcBorders>
            <w:shd w:val="clear" w:color="auto" w:fill="C00000"/>
            <w:vAlign w:val="center"/>
            <w:hideMark/>
          </w:tcPr>
          <w:p w14:paraId="33E214B7" w14:textId="77777777" w:rsidR="00D21C0E" w:rsidRPr="00653BF4" w:rsidRDefault="00D21C0E">
            <w:pPr>
              <w:jc w:val="center"/>
              <w:rPr>
                <w:rFonts w:ascii="Aptos" w:hAnsi="Aptos"/>
                <w:color w:val="000000"/>
                <w:sz w:val="20"/>
                <w:szCs w:val="20"/>
                <w:lang w:val="fr-FR"/>
              </w:rPr>
            </w:pPr>
          </w:p>
        </w:tc>
        <w:tc>
          <w:tcPr>
            <w:tcW w:w="3022" w:type="dxa"/>
            <w:tcBorders>
              <w:top w:val="nil"/>
              <w:left w:val="nil"/>
              <w:bottom w:val="single" w:sz="4" w:space="0" w:color="auto"/>
              <w:right w:val="single" w:sz="4" w:space="0" w:color="auto"/>
            </w:tcBorders>
            <w:vAlign w:val="center"/>
            <w:hideMark/>
          </w:tcPr>
          <w:p w14:paraId="03417665" w14:textId="1BC932B5" w:rsidR="00D21C0E" w:rsidRPr="00653BF4" w:rsidRDefault="0025066F">
            <w:pPr>
              <w:jc w:val="center"/>
              <w:rPr>
                <w:rFonts w:ascii="Aptos" w:hAnsi="Aptos"/>
                <w:color w:val="000000"/>
                <w:sz w:val="20"/>
                <w:szCs w:val="20"/>
                <w:lang w:val="fr-FR"/>
              </w:rPr>
            </w:pPr>
            <w:r w:rsidRPr="00653BF4">
              <w:rPr>
                <w:rFonts w:ascii="Aptos" w:hAnsi="Aptos"/>
                <w:color w:val="000000"/>
                <w:sz w:val="20"/>
                <w:szCs w:val="20"/>
                <w:lang w:val="fr-FR"/>
              </w:rPr>
              <w:t>Les valeurs déclarées représentent en moyenne 39</w:t>
            </w:r>
            <w:r w:rsidR="002878D7">
              <w:rPr>
                <w:rFonts w:ascii="Aptos" w:hAnsi="Aptos"/>
                <w:color w:val="000000"/>
                <w:sz w:val="20"/>
                <w:szCs w:val="20"/>
                <w:lang w:val="fr-FR"/>
              </w:rPr>
              <w:t> %</w:t>
            </w:r>
            <w:r w:rsidRPr="00653BF4">
              <w:rPr>
                <w:rFonts w:ascii="Aptos" w:hAnsi="Aptos"/>
                <w:color w:val="000000"/>
                <w:sz w:val="20"/>
                <w:szCs w:val="20"/>
                <w:lang w:val="fr-FR"/>
              </w:rPr>
              <w:t xml:space="preserve"> des surfaces terrestres et maritimes couvertes</w:t>
            </w:r>
          </w:p>
        </w:tc>
        <w:tc>
          <w:tcPr>
            <w:tcW w:w="521" w:type="dxa"/>
            <w:tcBorders>
              <w:top w:val="nil"/>
              <w:left w:val="nil"/>
              <w:bottom w:val="single" w:sz="4" w:space="0" w:color="auto"/>
              <w:right w:val="single" w:sz="4" w:space="0" w:color="auto"/>
            </w:tcBorders>
            <w:shd w:val="clear" w:color="000000" w:fill="FFC000"/>
            <w:vAlign w:val="bottom"/>
            <w:hideMark/>
          </w:tcPr>
          <w:p w14:paraId="01679FDE" w14:textId="77777777" w:rsidR="00D21C0E" w:rsidRPr="00653BF4" w:rsidRDefault="00D21C0E">
            <w:pPr>
              <w:rPr>
                <w:rFonts w:ascii="Aptos" w:hAnsi="Aptos"/>
                <w:color w:val="000000"/>
                <w:sz w:val="20"/>
                <w:szCs w:val="20"/>
                <w:lang w:val="fr-FR"/>
              </w:rPr>
            </w:pPr>
            <w:r w:rsidRPr="00653BF4">
              <w:rPr>
                <w:rFonts w:ascii="Aptos" w:hAnsi="Aptos"/>
                <w:color w:val="000000"/>
                <w:sz w:val="20"/>
                <w:szCs w:val="20"/>
                <w:lang w:val="fr-FR"/>
              </w:rPr>
              <w:t> </w:t>
            </w:r>
          </w:p>
        </w:tc>
      </w:tr>
      <w:tr w:rsidR="00D21C0E" w:rsidRPr="00653BF4" w14:paraId="0D631270" w14:textId="77777777" w:rsidTr="00B02B24">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06CFC044" w14:textId="21222BDC" w:rsidR="00D21C0E" w:rsidRPr="00653BF4" w:rsidRDefault="006B6046">
            <w:pPr>
              <w:jc w:val="center"/>
              <w:rPr>
                <w:rFonts w:ascii="Aptos" w:hAnsi="Aptos"/>
                <w:color w:val="000000"/>
                <w:sz w:val="20"/>
                <w:szCs w:val="20"/>
                <w:lang w:val="fr-FR"/>
              </w:rPr>
            </w:pPr>
            <w:r w:rsidRPr="00653BF4">
              <w:rPr>
                <w:rFonts w:ascii="Aptos" w:eastAsia="Times New Roman" w:hAnsi="Aptos" w:cs="Times New Roman"/>
                <w:color w:val="000000"/>
                <w:kern w:val="0"/>
                <w:sz w:val="20"/>
                <w:szCs w:val="20"/>
                <w:lang w:val="fr-FR" w:eastAsia="en-CA"/>
                <w14:ligatures w14:val="none"/>
              </w:rPr>
              <w:t>Indicateurs quantitatifs combinés</w:t>
            </w:r>
          </w:p>
        </w:tc>
        <w:tc>
          <w:tcPr>
            <w:tcW w:w="3261" w:type="dxa"/>
            <w:tcBorders>
              <w:top w:val="nil"/>
              <w:left w:val="nil"/>
              <w:bottom w:val="single" w:sz="4" w:space="0" w:color="auto"/>
              <w:right w:val="single" w:sz="4" w:space="0" w:color="auto"/>
            </w:tcBorders>
            <w:vAlign w:val="center"/>
          </w:tcPr>
          <w:p w14:paraId="6B0FB051" w14:textId="24F0EE11" w:rsidR="00D21C0E" w:rsidRPr="00653BF4" w:rsidRDefault="00544BB1">
            <w:pPr>
              <w:jc w:val="center"/>
              <w:rPr>
                <w:rFonts w:ascii="Aptos" w:hAnsi="Aptos"/>
                <w:color w:val="000000"/>
                <w:sz w:val="20"/>
                <w:szCs w:val="20"/>
                <w:lang w:val="fr-FR"/>
              </w:rPr>
            </w:pPr>
            <w:r w:rsidRPr="00653BF4">
              <w:rPr>
                <w:rFonts w:ascii="Aptos" w:hAnsi="Aptos"/>
                <w:color w:val="000000"/>
                <w:sz w:val="20"/>
                <w:szCs w:val="20"/>
                <w:lang w:val="fr-FR"/>
              </w:rPr>
              <w:t xml:space="preserve">57 Parties ont utilisé des indicateurs (52 </w:t>
            </w:r>
            <w:r w:rsidR="00163FDD" w:rsidRPr="00653BF4">
              <w:rPr>
                <w:rFonts w:ascii="Aptos" w:hAnsi="Aptos"/>
                <w:color w:val="000000"/>
                <w:sz w:val="20"/>
                <w:szCs w:val="20"/>
                <w:lang w:val="fr-FR"/>
              </w:rPr>
              <w:t>indicateurs phares</w:t>
            </w:r>
            <w:r w:rsidRPr="00653BF4">
              <w:rPr>
                <w:rFonts w:ascii="Aptos" w:hAnsi="Aptos"/>
                <w:color w:val="000000"/>
                <w:sz w:val="20"/>
                <w:szCs w:val="20"/>
                <w:lang w:val="fr-FR"/>
              </w:rPr>
              <w:t xml:space="preserve"> et 14 autres)</w:t>
            </w:r>
          </w:p>
        </w:tc>
        <w:tc>
          <w:tcPr>
            <w:tcW w:w="567" w:type="dxa"/>
            <w:tcBorders>
              <w:top w:val="single" w:sz="4" w:space="0" w:color="auto"/>
              <w:left w:val="nil"/>
              <w:bottom w:val="single" w:sz="4" w:space="0" w:color="auto"/>
              <w:right w:val="single" w:sz="4" w:space="0" w:color="auto"/>
            </w:tcBorders>
            <w:shd w:val="clear" w:color="auto" w:fill="FFC000"/>
            <w:vAlign w:val="center"/>
          </w:tcPr>
          <w:p w14:paraId="53EBF56E" w14:textId="77777777" w:rsidR="00D21C0E" w:rsidRPr="00653BF4" w:rsidRDefault="00D21C0E">
            <w:pPr>
              <w:jc w:val="center"/>
              <w:rPr>
                <w:rFonts w:ascii="Aptos" w:hAnsi="Aptos"/>
                <w:color w:val="000000"/>
                <w:sz w:val="20"/>
                <w:szCs w:val="20"/>
                <w:lang w:val="fr-FR"/>
              </w:rPr>
            </w:pPr>
          </w:p>
        </w:tc>
        <w:tc>
          <w:tcPr>
            <w:tcW w:w="3022" w:type="dxa"/>
            <w:tcBorders>
              <w:top w:val="single" w:sz="4" w:space="0" w:color="auto"/>
              <w:left w:val="single" w:sz="4" w:space="0" w:color="auto"/>
              <w:bottom w:val="single" w:sz="4" w:space="0" w:color="auto"/>
              <w:right w:val="nil"/>
            </w:tcBorders>
            <w:vAlign w:val="center"/>
          </w:tcPr>
          <w:p w14:paraId="1E336D48" w14:textId="0D56B45D" w:rsidR="00D21C0E" w:rsidRPr="00653BF4" w:rsidRDefault="00D21C0E">
            <w:pPr>
              <w:jc w:val="center"/>
              <w:rPr>
                <w:rFonts w:ascii="Aptos" w:hAnsi="Aptos"/>
                <w:color w:val="000000"/>
                <w:sz w:val="20"/>
                <w:szCs w:val="20"/>
                <w:lang w:val="fr-FR"/>
              </w:rPr>
            </w:pPr>
            <w:r w:rsidRPr="00653BF4">
              <w:rPr>
                <w:rFonts w:ascii="Aptos" w:hAnsi="Aptos"/>
                <w:color w:val="000000"/>
                <w:sz w:val="20"/>
                <w:szCs w:val="20"/>
                <w:lang w:val="fr-FR"/>
              </w:rPr>
              <w:t>21</w:t>
            </w:r>
            <w:r w:rsidR="002878D7">
              <w:rPr>
                <w:rFonts w:ascii="Aptos" w:hAnsi="Aptos"/>
                <w:color w:val="000000"/>
                <w:sz w:val="20"/>
                <w:szCs w:val="20"/>
                <w:lang w:val="fr-FR"/>
              </w:rPr>
              <w:t> %</w:t>
            </w:r>
            <w:r w:rsidRPr="00653BF4">
              <w:rPr>
                <w:rFonts w:ascii="Aptos" w:hAnsi="Aptos"/>
                <w:color w:val="000000"/>
                <w:sz w:val="20"/>
                <w:szCs w:val="20"/>
                <w:lang w:val="fr-FR"/>
              </w:rPr>
              <w:t xml:space="preserve"> </w:t>
            </w:r>
            <w:r w:rsidR="0025066F" w:rsidRPr="00653BF4">
              <w:rPr>
                <w:rFonts w:ascii="Aptos" w:hAnsi="Aptos"/>
                <w:color w:val="000000"/>
                <w:sz w:val="20"/>
                <w:szCs w:val="20"/>
                <w:lang w:val="fr-FR"/>
              </w:rPr>
              <w:t>tendance</w:t>
            </w:r>
            <w:r w:rsidRPr="00653BF4">
              <w:rPr>
                <w:rFonts w:ascii="Aptos" w:hAnsi="Aptos"/>
                <w:color w:val="000000"/>
                <w:sz w:val="20"/>
                <w:szCs w:val="20"/>
                <w:lang w:val="fr-FR"/>
              </w:rPr>
              <w:t xml:space="preserve"> </w:t>
            </w:r>
            <w:r w:rsidR="0025066F" w:rsidRPr="00653BF4">
              <w:rPr>
                <w:rFonts w:ascii="Aptos" w:hAnsi="Aptos"/>
                <w:color w:val="000000"/>
                <w:sz w:val="20"/>
                <w:szCs w:val="20"/>
                <w:lang w:val="fr-FR"/>
              </w:rPr>
              <w:t>positive</w:t>
            </w:r>
          </w:p>
          <w:p w14:paraId="35F42159" w14:textId="318B5464" w:rsidR="00D21C0E" w:rsidRPr="00653BF4" w:rsidRDefault="006A57ED">
            <w:pPr>
              <w:jc w:val="center"/>
              <w:rPr>
                <w:rFonts w:ascii="Aptos" w:hAnsi="Aptos"/>
                <w:color w:val="000000"/>
                <w:sz w:val="20"/>
                <w:szCs w:val="20"/>
                <w:lang w:val="fr-FR"/>
              </w:rPr>
            </w:pPr>
            <w:r w:rsidRPr="00653BF4">
              <w:rPr>
                <w:rFonts w:ascii="Aptos" w:hAnsi="Aptos"/>
                <w:color w:val="000000"/>
                <w:sz w:val="20"/>
                <w:szCs w:val="20"/>
                <w:lang w:val="fr-FR"/>
              </w:rPr>
              <w:t>20</w:t>
            </w:r>
            <w:r w:rsidR="002878D7">
              <w:rPr>
                <w:rFonts w:ascii="Aptos" w:hAnsi="Aptos"/>
                <w:color w:val="000000"/>
                <w:sz w:val="20"/>
                <w:szCs w:val="20"/>
                <w:lang w:val="fr-FR"/>
              </w:rPr>
              <w:t> %</w:t>
            </w:r>
            <w:r w:rsidR="00D21C0E" w:rsidRPr="00653BF4">
              <w:rPr>
                <w:rFonts w:ascii="Aptos" w:hAnsi="Aptos"/>
                <w:color w:val="000000"/>
                <w:sz w:val="20"/>
                <w:szCs w:val="20"/>
                <w:lang w:val="fr-FR"/>
              </w:rPr>
              <w:t xml:space="preserve"> </w:t>
            </w:r>
            <w:r w:rsidR="0025066F" w:rsidRPr="00653BF4">
              <w:rPr>
                <w:rFonts w:ascii="Aptos" w:hAnsi="Aptos"/>
                <w:color w:val="000000"/>
                <w:sz w:val="20"/>
                <w:szCs w:val="20"/>
                <w:lang w:val="fr-FR"/>
              </w:rPr>
              <w:t>tendances négatives</w:t>
            </w:r>
          </w:p>
        </w:tc>
        <w:tc>
          <w:tcPr>
            <w:tcW w:w="521" w:type="dxa"/>
            <w:tcBorders>
              <w:top w:val="nil"/>
              <w:left w:val="single" w:sz="4" w:space="0" w:color="auto"/>
              <w:bottom w:val="single" w:sz="4" w:space="0" w:color="auto"/>
              <w:right w:val="single" w:sz="4" w:space="0" w:color="auto"/>
            </w:tcBorders>
            <w:shd w:val="clear" w:color="000000" w:fill="C00000"/>
            <w:vAlign w:val="center"/>
          </w:tcPr>
          <w:p w14:paraId="71B02407" w14:textId="77777777" w:rsidR="00D21C0E" w:rsidRPr="00653BF4" w:rsidRDefault="00D21C0E">
            <w:pPr>
              <w:rPr>
                <w:rFonts w:ascii="Aptos" w:hAnsi="Aptos"/>
                <w:color w:val="000000"/>
                <w:sz w:val="20"/>
                <w:szCs w:val="20"/>
                <w:lang w:val="fr-FR"/>
              </w:rPr>
            </w:pPr>
          </w:p>
        </w:tc>
      </w:tr>
      <w:tr w:rsidR="00D21C0E" w:rsidRPr="00543148" w14:paraId="56227749" w14:textId="77777777" w:rsidTr="0036769D">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2CC709C3" w14:textId="4DFE49B8" w:rsidR="00D21C0E" w:rsidRPr="00653BF4" w:rsidRDefault="006B6046">
            <w:pPr>
              <w:jc w:val="center"/>
              <w:rPr>
                <w:rFonts w:ascii="Aptos" w:hAnsi="Aptos"/>
                <w:color w:val="000000"/>
                <w:sz w:val="20"/>
                <w:szCs w:val="20"/>
                <w:lang w:val="fr-FR"/>
              </w:rPr>
            </w:pPr>
            <w:r w:rsidRPr="00653BF4">
              <w:rPr>
                <w:rFonts w:ascii="Aptos" w:hAnsi="Aptos"/>
                <w:color w:val="000000"/>
                <w:sz w:val="20"/>
                <w:szCs w:val="20"/>
                <w:lang w:val="fr-FR"/>
              </w:rPr>
              <w:t>Indicateur binaire 1.b</w:t>
            </w:r>
            <w:r w:rsidR="00E34DC9">
              <w:rPr>
                <w:rFonts w:ascii="Aptos" w:hAnsi="Aptos"/>
                <w:color w:val="000000"/>
                <w:sz w:val="20"/>
                <w:szCs w:val="20"/>
                <w:lang w:val="fr-FR"/>
              </w:rPr>
              <w:t> :</w:t>
            </w:r>
            <w:r w:rsidRPr="00653BF4">
              <w:rPr>
                <w:rFonts w:ascii="Aptos" w:hAnsi="Aptos"/>
                <w:color w:val="000000"/>
                <w:sz w:val="20"/>
                <w:szCs w:val="20"/>
                <w:lang w:val="fr-FR"/>
              </w:rPr>
              <w:t xml:space="preserve"> Nombre de pays recourant à des processus </w:t>
            </w:r>
            <w:r w:rsidR="00AA3C17">
              <w:rPr>
                <w:rFonts w:ascii="Aptos" w:hAnsi="Aptos"/>
                <w:color w:val="000000"/>
                <w:sz w:val="20"/>
                <w:szCs w:val="20"/>
                <w:lang w:val="fr-FR"/>
              </w:rPr>
              <w:t>de planification spatiale</w:t>
            </w:r>
            <w:r w:rsidRPr="00653BF4">
              <w:rPr>
                <w:rFonts w:ascii="Aptos" w:hAnsi="Aptos"/>
                <w:color w:val="000000"/>
                <w:sz w:val="20"/>
                <w:szCs w:val="20"/>
                <w:lang w:val="fr-FR"/>
              </w:rPr>
              <w:t xml:space="preserve"> participatifs, intégrés et </w:t>
            </w:r>
            <w:r w:rsidR="00A60C58" w:rsidRPr="00FD3263">
              <w:rPr>
                <w:rFonts w:ascii="Aptos" w:hAnsi="Aptos"/>
                <w:color w:val="000000"/>
                <w:sz w:val="20"/>
                <w:szCs w:val="20"/>
                <w:lang w:val="fr-FR"/>
              </w:rPr>
              <w:t>respectueux</w:t>
            </w:r>
            <w:r w:rsidRPr="00FD3263">
              <w:rPr>
                <w:rFonts w:ascii="Aptos" w:hAnsi="Aptos"/>
                <w:color w:val="000000"/>
                <w:sz w:val="20"/>
                <w:szCs w:val="20"/>
                <w:lang w:val="fr-FR"/>
              </w:rPr>
              <w:t xml:space="preserve"> de la biodiversité et/ou à des processus de gestion efficaces </w:t>
            </w:r>
            <w:r w:rsidR="00FD3263" w:rsidRPr="00FD3263">
              <w:rPr>
                <w:rFonts w:ascii="Aptos" w:hAnsi="Aptos"/>
                <w:color w:val="000000"/>
                <w:sz w:val="20"/>
                <w:szCs w:val="20"/>
                <w:lang w:val="fr-FR"/>
              </w:rPr>
              <w:t>dans le cadre de processus de changement d’affectation des terres et des mers, afin de réduire la perte de zones de grande importance pour la biodiversité, y compris d’écosystèmes de grande intégrité écologique, à un niveau proche de zéro d’ici à 2030</w:t>
            </w:r>
          </w:p>
        </w:tc>
        <w:tc>
          <w:tcPr>
            <w:tcW w:w="3261" w:type="dxa"/>
            <w:tcBorders>
              <w:top w:val="nil"/>
              <w:left w:val="nil"/>
              <w:bottom w:val="single" w:sz="4" w:space="0" w:color="auto"/>
              <w:right w:val="single" w:sz="4" w:space="0" w:color="auto"/>
            </w:tcBorders>
            <w:vAlign w:val="center"/>
            <w:hideMark/>
          </w:tcPr>
          <w:p w14:paraId="6ACE44B8" w14:textId="77777777" w:rsidR="00D21C0E" w:rsidRPr="00653BF4" w:rsidRDefault="00D21C0E">
            <w:pPr>
              <w:jc w:val="center"/>
              <w:rPr>
                <w:rFonts w:ascii="Aptos" w:hAnsi="Aptos"/>
                <w:color w:val="000000"/>
                <w:sz w:val="20"/>
                <w:szCs w:val="20"/>
                <w:lang w:val="fr-FR"/>
              </w:rPr>
            </w:pPr>
            <w:r w:rsidRPr="00653BF4">
              <w:rPr>
                <w:rFonts w:ascii="Aptos" w:hAnsi="Aptos"/>
                <w:color w:val="000000"/>
                <w:sz w:val="20"/>
                <w:szCs w:val="20"/>
                <w:lang w:val="fr-FR"/>
              </w:rPr>
              <w:t>127 Parties</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62F409B" w14:textId="3C391DC4" w:rsidR="00D21C0E" w:rsidRPr="00653BF4" w:rsidRDefault="006A690E">
            <w:pPr>
              <w:jc w:val="center"/>
              <w:rPr>
                <w:rFonts w:ascii="Aptos" w:hAnsi="Aptos"/>
                <w:color w:val="000000"/>
                <w:sz w:val="20"/>
                <w:szCs w:val="20"/>
                <w:vertAlign w:val="superscript"/>
                <w:lang w:val="fr-FR"/>
              </w:rPr>
            </w:pPr>
            <w:r w:rsidRPr="00653BF4">
              <w:rPr>
                <w:rFonts w:ascii="Aptos" w:hAnsi="Aptos"/>
                <w:color w:val="000000"/>
                <w:sz w:val="20"/>
                <w:szCs w:val="20"/>
                <w:lang w:val="fr-FR"/>
              </w:rPr>
              <w:t>s.o.</w:t>
            </w:r>
            <w:r w:rsidR="00DF1679" w:rsidRPr="00653BF4">
              <w:rPr>
                <w:rFonts w:ascii="Aptos" w:hAnsi="Aptos"/>
                <w:color w:val="000000"/>
                <w:sz w:val="20"/>
                <w:szCs w:val="20"/>
                <w:vertAlign w:val="superscript"/>
                <w:lang w:val="fr-FR"/>
              </w:rPr>
              <w:t>a</w:t>
            </w:r>
          </w:p>
        </w:tc>
        <w:tc>
          <w:tcPr>
            <w:tcW w:w="3022" w:type="dxa"/>
            <w:tcBorders>
              <w:top w:val="single" w:sz="4" w:space="0" w:color="auto"/>
              <w:left w:val="single" w:sz="4" w:space="0" w:color="auto"/>
              <w:bottom w:val="single" w:sz="4" w:space="0" w:color="auto"/>
              <w:right w:val="nil"/>
            </w:tcBorders>
            <w:vAlign w:val="center"/>
            <w:hideMark/>
          </w:tcPr>
          <w:p w14:paraId="5DCE343A" w14:textId="0299D51C" w:rsidR="00D21C0E" w:rsidRPr="00653BF4" w:rsidRDefault="00D21C0E">
            <w:pPr>
              <w:jc w:val="center"/>
              <w:rPr>
                <w:rFonts w:ascii="Aptos" w:hAnsi="Aptos"/>
                <w:color w:val="000000"/>
                <w:sz w:val="20"/>
                <w:szCs w:val="20"/>
                <w:lang w:val="fr-FR"/>
              </w:rPr>
            </w:pPr>
            <w:r w:rsidRPr="00653BF4">
              <w:rPr>
                <w:rFonts w:ascii="Aptos" w:hAnsi="Aptos"/>
                <w:color w:val="000000"/>
                <w:sz w:val="20"/>
                <w:szCs w:val="20"/>
                <w:lang w:val="fr-FR"/>
              </w:rPr>
              <w:t>65</w:t>
            </w:r>
            <w:r w:rsidR="002878D7">
              <w:rPr>
                <w:rFonts w:ascii="Aptos" w:hAnsi="Aptos"/>
                <w:color w:val="000000"/>
                <w:sz w:val="20"/>
                <w:szCs w:val="20"/>
                <w:lang w:val="fr-FR"/>
              </w:rPr>
              <w:t> %</w:t>
            </w:r>
            <w:r w:rsidR="006A690E" w:rsidRPr="00653BF4">
              <w:rPr>
                <w:rFonts w:ascii="Aptos" w:hAnsi="Aptos"/>
                <w:color w:val="000000"/>
                <w:sz w:val="20"/>
                <w:szCs w:val="20"/>
                <w:lang w:val="fr-FR"/>
              </w:rPr>
              <w:t xml:space="preserve"> des </w:t>
            </w:r>
            <w:r w:rsidRPr="00653BF4">
              <w:rPr>
                <w:rFonts w:ascii="Aptos" w:hAnsi="Aptos"/>
                <w:color w:val="000000"/>
                <w:sz w:val="20"/>
                <w:szCs w:val="20"/>
                <w:lang w:val="fr-FR"/>
              </w:rPr>
              <w:t xml:space="preserve">Parties </w:t>
            </w:r>
            <w:r w:rsidR="006A690E" w:rsidRPr="00653BF4">
              <w:rPr>
                <w:rFonts w:ascii="Aptos" w:eastAsia="Times New Roman" w:hAnsi="Aptos" w:cs="Times New Roman"/>
                <w:color w:val="000000"/>
                <w:kern w:val="0"/>
                <w:sz w:val="20"/>
                <w:szCs w:val="20"/>
                <w:lang w:val="fr-FR" w:eastAsia="en-CA"/>
                <w14:ligatures w14:val="none"/>
              </w:rPr>
              <w:t xml:space="preserve">ont obtenu un score élevé </w:t>
            </w:r>
            <w:r w:rsidRPr="00653BF4">
              <w:rPr>
                <w:rFonts w:ascii="Aptos" w:eastAsia="Times New Roman" w:hAnsi="Aptos" w:cs="Times New Roman"/>
                <w:color w:val="000000"/>
                <w:kern w:val="0"/>
                <w:sz w:val="20"/>
                <w:szCs w:val="20"/>
                <w:lang w:val="fr-FR" w:eastAsia="en-CA"/>
                <w14:ligatures w14:val="none"/>
              </w:rPr>
              <w:t>(4</w:t>
            </w:r>
            <w:r w:rsidR="00DF1679" w:rsidRPr="00653BF4">
              <w:rPr>
                <w:rFonts w:ascii="Aptos" w:eastAsia="Times New Roman" w:hAnsi="Aptos" w:cs="Times New Roman"/>
                <w:color w:val="000000"/>
                <w:kern w:val="0"/>
                <w:sz w:val="20"/>
                <w:szCs w:val="20"/>
                <w:lang w:val="fr-FR" w:eastAsia="en-CA"/>
                <w14:ligatures w14:val="none"/>
              </w:rPr>
              <w:t xml:space="preserve"> or </w:t>
            </w:r>
            <w:r w:rsidRPr="00653BF4">
              <w:rPr>
                <w:rFonts w:ascii="Aptos" w:eastAsia="Times New Roman" w:hAnsi="Aptos" w:cs="Times New Roman"/>
                <w:color w:val="000000"/>
                <w:kern w:val="0"/>
                <w:sz w:val="20"/>
                <w:szCs w:val="20"/>
                <w:lang w:val="fr-FR" w:eastAsia="en-CA"/>
                <w14:ligatures w14:val="none"/>
              </w:rPr>
              <w:t>5)</w:t>
            </w:r>
          </w:p>
        </w:tc>
        <w:tc>
          <w:tcPr>
            <w:tcW w:w="521" w:type="dxa"/>
            <w:tcBorders>
              <w:top w:val="nil"/>
              <w:left w:val="single" w:sz="4" w:space="0" w:color="auto"/>
              <w:bottom w:val="single" w:sz="4" w:space="0" w:color="auto"/>
              <w:right w:val="single" w:sz="4" w:space="0" w:color="auto"/>
            </w:tcBorders>
            <w:shd w:val="clear" w:color="auto" w:fill="92D050"/>
            <w:vAlign w:val="bottom"/>
            <w:hideMark/>
          </w:tcPr>
          <w:p w14:paraId="4AB67E92" w14:textId="77777777" w:rsidR="00D21C0E" w:rsidRPr="00653BF4" w:rsidRDefault="00D21C0E">
            <w:pPr>
              <w:rPr>
                <w:rFonts w:ascii="Aptos" w:hAnsi="Aptos"/>
                <w:color w:val="000000"/>
                <w:sz w:val="20"/>
                <w:szCs w:val="20"/>
                <w:lang w:val="fr-FR"/>
              </w:rPr>
            </w:pPr>
            <w:r w:rsidRPr="00653BF4">
              <w:rPr>
                <w:rFonts w:ascii="Aptos" w:hAnsi="Aptos"/>
                <w:color w:val="000000"/>
                <w:sz w:val="20"/>
                <w:szCs w:val="20"/>
                <w:lang w:val="fr-FR"/>
              </w:rPr>
              <w:t> </w:t>
            </w:r>
          </w:p>
        </w:tc>
      </w:tr>
      <w:tr w:rsidR="00D21C0E" w:rsidRPr="00543148" w14:paraId="18D46E0C" w14:textId="77777777">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034719F8" w14:textId="27CF2536" w:rsidR="00D21C0E" w:rsidRPr="00653BF4" w:rsidRDefault="00013592">
            <w:pPr>
              <w:rPr>
                <w:rFonts w:ascii="Aptos" w:hAnsi="Aptos"/>
                <w:color w:val="000000"/>
                <w:sz w:val="20"/>
                <w:szCs w:val="20"/>
                <w:lang w:val="fr-FR"/>
              </w:rPr>
            </w:pPr>
            <w:r w:rsidRPr="00653BF4">
              <w:rPr>
                <w:rFonts w:ascii="Aptos" w:hAnsi="Aptos"/>
                <w:sz w:val="20"/>
                <w:szCs w:val="20"/>
                <w:lang w:val="fr-FR"/>
              </w:rPr>
              <w:t>N</w:t>
            </w:r>
            <w:r w:rsidR="00D21C0E" w:rsidRPr="00653BF4">
              <w:rPr>
                <w:rFonts w:ascii="Aptos" w:hAnsi="Aptos"/>
                <w:sz w:val="20"/>
                <w:szCs w:val="20"/>
                <w:lang w:val="fr-FR"/>
              </w:rPr>
              <w:t>otes</w:t>
            </w:r>
            <w:r w:rsidRPr="00653BF4">
              <w:rPr>
                <w:rFonts w:ascii="Aptos" w:hAnsi="Aptos"/>
                <w:sz w:val="20"/>
                <w:szCs w:val="20"/>
                <w:lang w:val="fr-FR"/>
              </w:rPr>
              <w:t xml:space="preserve"> sur les biomes</w:t>
            </w:r>
          </w:p>
        </w:tc>
        <w:tc>
          <w:tcPr>
            <w:tcW w:w="7371" w:type="dxa"/>
            <w:gridSpan w:val="4"/>
            <w:tcBorders>
              <w:top w:val="nil"/>
              <w:left w:val="nil"/>
              <w:bottom w:val="single" w:sz="4" w:space="0" w:color="auto"/>
              <w:right w:val="single" w:sz="4" w:space="0" w:color="auto"/>
            </w:tcBorders>
            <w:vAlign w:val="bottom"/>
          </w:tcPr>
          <w:p w14:paraId="3DE4556F" w14:textId="07CFD121" w:rsidR="00013592" w:rsidRPr="00653BF4" w:rsidRDefault="00013592" w:rsidP="00013592">
            <w:pPr>
              <w:spacing w:after="0" w:line="240" w:lineRule="auto"/>
              <w:rPr>
                <w:sz w:val="20"/>
                <w:szCs w:val="20"/>
                <w:lang w:val="fr-FR"/>
              </w:rPr>
            </w:pPr>
            <w:r w:rsidRPr="00653BF4">
              <w:rPr>
                <w:sz w:val="20"/>
                <w:szCs w:val="20"/>
                <w:lang w:val="fr-FR"/>
              </w:rPr>
              <w:t>Des progrès supplémentaires ont été réalisés en matière de lutte contre le changement d</w:t>
            </w:r>
            <w:r w:rsidR="002A58C8" w:rsidRPr="00653BF4">
              <w:rPr>
                <w:sz w:val="20"/>
                <w:szCs w:val="20"/>
                <w:lang w:val="fr-FR"/>
              </w:rPr>
              <w:t>’</w:t>
            </w:r>
            <w:r w:rsidRPr="00653BF4">
              <w:rPr>
                <w:sz w:val="20"/>
                <w:szCs w:val="20"/>
                <w:lang w:val="fr-FR"/>
              </w:rPr>
              <w:t>affectation des sols dans les zones terrestres</w:t>
            </w:r>
          </w:p>
          <w:p w14:paraId="7BAE66E7" w14:textId="77777777" w:rsidR="00013592" w:rsidRPr="00653BF4" w:rsidRDefault="00013592" w:rsidP="00013592">
            <w:pPr>
              <w:spacing w:after="0" w:line="240" w:lineRule="auto"/>
              <w:rPr>
                <w:sz w:val="20"/>
                <w:szCs w:val="20"/>
                <w:lang w:val="fr-FR"/>
              </w:rPr>
            </w:pPr>
            <w:r w:rsidRPr="00653BF4">
              <w:rPr>
                <w:sz w:val="20"/>
                <w:szCs w:val="20"/>
                <w:lang w:val="fr-FR"/>
              </w:rPr>
              <w:t>Les progrès ont été moindres pour les eaux intérieures</w:t>
            </w:r>
          </w:p>
          <w:p w14:paraId="51224653" w14:textId="6CAE951D" w:rsidR="00D21C0E" w:rsidRPr="00653BF4" w:rsidRDefault="00013592" w:rsidP="00013592">
            <w:pPr>
              <w:spacing w:after="0" w:line="240" w:lineRule="auto"/>
              <w:rPr>
                <w:sz w:val="20"/>
                <w:szCs w:val="20"/>
                <w:lang w:val="fr-FR"/>
              </w:rPr>
            </w:pPr>
            <w:r w:rsidRPr="00653BF4">
              <w:rPr>
                <w:sz w:val="20"/>
                <w:szCs w:val="20"/>
                <w:lang w:val="fr-FR"/>
              </w:rPr>
              <w:t>Et encore plus limités pour les zones côtières et marines</w:t>
            </w:r>
          </w:p>
          <w:p w14:paraId="59BBE887" w14:textId="0834BA7F" w:rsidR="00D21C0E" w:rsidRPr="00653BF4" w:rsidRDefault="00D21C0E" w:rsidP="007A39C6">
            <w:pPr>
              <w:spacing w:after="0" w:line="240" w:lineRule="auto"/>
              <w:rPr>
                <w:sz w:val="20"/>
                <w:szCs w:val="20"/>
                <w:lang w:val="fr-FR"/>
              </w:rPr>
            </w:pPr>
          </w:p>
        </w:tc>
      </w:tr>
    </w:tbl>
    <w:p w14:paraId="3C341C7C" w14:textId="77777777" w:rsidR="0071333A" w:rsidRPr="00653BF4" w:rsidRDefault="0071333A" w:rsidP="00D21C0E">
      <w:pPr>
        <w:rPr>
          <w:rFonts w:ascii="Aptos" w:hAnsi="Aptos"/>
          <w:lang w:val="fr-FR"/>
        </w:rPr>
      </w:pPr>
    </w:p>
    <w:p w14:paraId="2D7D1162" w14:textId="294882DF" w:rsidR="00CE14D7" w:rsidRPr="00653BF4" w:rsidRDefault="006A631C" w:rsidP="00D21C0E">
      <w:pPr>
        <w:rPr>
          <w:rFonts w:ascii="Aptos" w:hAnsi="Aptos"/>
          <w:sz w:val="16"/>
          <w:szCs w:val="16"/>
          <w:lang w:val="fr-FR"/>
        </w:rPr>
      </w:pPr>
      <w:r w:rsidRPr="00653BF4">
        <w:rPr>
          <w:rFonts w:ascii="Aptos" w:hAnsi="Aptos"/>
          <w:i/>
          <w:iCs/>
          <w:sz w:val="16"/>
          <w:szCs w:val="16"/>
          <w:lang w:val="fr-FR"/>
        </w:rPr>
        <w:t>Note</w:t>
      </w:r>
      <w:r w:rsidR="00E34DC9">
        <w:rPr>
          <w:rFonts w:ascii="Aptos" w:hAnsi="Aptos"/>
          <w:i/>
          <w:iCs/>
          <w:sz w:val="16"/>
          <w:szCs w:val="16"/>
          <w:lang w:val="fr-FR"/>
        </w:rPr>
        <w:t> :</w:t>
      </w:r>
      <w:r w:rsidR="004F5F5B" w:rsidRPr="00653BF4">
        <w:rPr>
          <w:rFonts w:ascii="Aptos" w:hAnsi="Aptos"/>
          <w:sz w:val="16"/>
          <w:szCs w:val="16"/>
          <w:lang w:val="fr-FR"/>
        </w:rPr>
        <w:t xml:space="preserve"> </w:t>
      </w:r>
      <w:r w:rsidR="00E455B9" w:rsidRPr="00653BF4">
        <w:rPr>
          <w:rFonts w:ascii="Aptos" w:hAnsi="Aptos"/>
          <w:sz w:val="16"/>
          <w:szCs w:val="16"/>
          <w:lang w:val="fr-FR"/>
        </w:rPr>
        <w:t>Le code couleur se rapporte à l’évaluation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rFonts w:ascii="Aptos" w:hAnsi="Aptos"/>
          <w:sz w:val="16"/>
          <w:szCs w:val="16"/>
          <w:lang w:val="fr-FR"/>
        </w:rPr>
        <w:t> %</w:t>
      </w:r>
      <w:r w:rsidR="00E455B9" w:rsidRPr="00653BF4">
        <w:rPr>
          <w:rFonts w:ascii="Aptos" w:hAnsi="Aptos"/>
          <w:sz w:val="16"/>
          <w:szCs w:val="16"/>
          <w:lang w:val="fr-FR"/>
        </w:rPr>
        <w:t>, le jaune aux valeurs comprises entre 25</w:t>
      </w:r>
      <w:r w:rsidR="002878D7">
        <w:rPr>
          <w:rFonts w:ascii="Aptos" w:hAnsi="Aptos"/>
          <w:sz w:val="16"/>
          <w:szCs w:val="16"/>
          <w:lang w:val="fr-FR"/>
        </w:rPr>
        <w:t> %</w:t>
      </w:r>
      <w:r w:rsidR="00E455B9" w:rsidRPr="00653BF4">
        <w:rPr>
          <w:rFonts w:ascii="Aptos" w:hAnsi="Aptos"/>
          <w:sz w:val="16"/>
          <w:szCs w:val="16"/>
          <w:lang w:val="fr-FR"/>
        </w:rPr>
        <w:t xml:space="preserve"> et 50</w:t>
      </w:r>
      <w:r w:rsidR="002878D7">
        <w:rPr>
          <w:rFonts w:ascii="Aptos" w:hAnsi="Aptos"/>
          <w:sz w:val="16"/>
          <w:szCs w:val="16"/>
          <w:lang w:val="fr-FR"/>
        </w:rPr>
        <w:t> %</w:t>
      </w:r>
      <w:r w:rsidR="00E455B9" w:rsidRPr="00653BF4">
        <w:rPr>
          <w:rFonts w:ascii="Aptos" w:hAnsi="Aptos"/>
          <w:sz w:val="16"/>
          <w:szCs w:val="16"/>
          <w:lang w:val="fr-FR"/>
        </w:rPr>
        <w:t>, et le rouge aux valeurs inférieures à 25</w:t>
      </w:r>
      <w:r w:rsidR="002878D7">
        <w:rPr>
          <w:rFonts w:ascii="Aptos" w:hAnsi="Aptos"/>
          <w:sz w:val="16"/>
          <w:szCs w:val="16"/>
          <w:lang w:val="fr-FR"/>
        </w:rPr>
        <w:t> %</w:t>
      </w:r>
      <w:r w:rsidR="00E455B9" w:rsidRPr="00653BF4">
        <w:rPr>
          <w:rFonts w:ascii="Aptos" w:hAnsi="Aptos"/>
          <w:sz w:val="16"/>
          <w:szCs w:val="16"/>
          <w:lang w:val="fr-FR"/>
        </w:rPr>
        <w:t xml:space="preserve">). Les couleurs des résultats des indicateurs phares sont fondées sur les progrès accomplis par rapport à la cible (le vert est attribué lorsque des progrès sont accomplis, le jaune lorsqu’ils sont mitigés, le rouge lorsqu’ils sont insuffisants et le </w:t>
      </w:r>
      <w:r w:rsidR="00E455B9" w:rsidRPr="00653BF4">
        <w:rPr>
          <w:rFonts w:ascii="Aptos" w:hAnsi="Aptos"/>
          <w:sz w:val="16"/>
          <w:szCs w:val="16"/>
          <w:lang w:val="fr-FR"/>
        </w:rPr>
        <w:lastRenderedPageBreak/>
        <w:t>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2C84D367" w14:textId="58A6BC4B" w:rsidR="005B0B2D" w:rsidRPr="00653BF4" w:rsidRDefault="005B0B2D" w:rsidP="005B0B2D">
      <w:pPr>
        <w:pStyle w:val="FootnoteText"/>
        <w:rPr>
          <w:sz w:val="16"/>
          <w:szCs w:val="16"/>
          <w:lang w:val="fr-FR"/>
        </w:rPr>
      </w:pPr>
      <w:r w:rsidRPr="00653BF4">
        <w:rPr>
          <w:vertAlign w:val="superscript"/>
          <w:lang w:val="fr-FR"/>
        </w:rPr>
        <w:t>a</w:t>
      </w:r>
      <w:r w:rsidRPr="00653BF4">
        <w:rPr>
          <w:lang w:val="fr-FR"/>
        </w:rPr>
        <w:t xml:space="preserve"> </w:t>
      </w:r>
      <w:r w:rsidR="00701A7D" w:rsidRPr="00653BF4">
        <w:rPr>
          <w:sz w:val="16"/>
          <w:szCs w:val="16"/>
          <w:lang w:val="fr-FR"/>
        </w:rPr>
        <w:t>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p>
    <w:p w14:paraId="23A282E8" w14:textId="77777777" w:rsidR="005B0B2D" w:rsidRPr="00653BF4" w:rsidRDefault="005B0B2D" w:rsidP="00D21C0E">
      <w:pPr>
        <w:rPr>
          <w:rFonts w:ascii="Aptos" w:hAnsi="Aptos"/>
          <w:sz w:val="16"/>
          <w:szCs w:val="16"/>
          <w:lang w:val="fr-FR"/>
        </w:rPr>
      </w:pPr>
    </w:p>
    <w:p w14:paraId="7C318593" w14:textId="432288E2" w:rsidR="00D21C0E" w:rsidRPr="00653BF4" w:rsidRDefault="009452F6" w:rsidP="00FD29BE">
      <w:pPr>
        <w:rPr>
          <w:rFonts w:ascii="Aptos" w:hAnsi="Aptos"/>
          <w:lang w:val="fr-FR"/>
        </w:rPr>
      </w:pPr>
      <w:r w:rsidRPr="00653BF4">
        <w:rPr>
          <w:lang w:val="fr-FR"/>
        </w:rPr>
        <w:t>Dans leurs réponses aux questions relatives à l</w:t>
      </w:r>
      <w:r w:rsidR="002A58C8" w:rsidRPr="00653BF4">
        <w:rPr>
          <w:lang w:val="fr-FR"/>
        </w:rPr>
        <w:t>’</w:t>
      </w:r>
      <w:r w:rsidRPr="00653BF4">
        <w:rPr>
          <w:lang w:val="fr-FR"/>
        </w:rPr>
        <w:t>indicateur binaire 1.b, de nombreuses Parties ont indiqué qu</w:t>
      </w:r>
      <w:r w:rsidR="002A58C8" w:rsidRPr="00653BF4">
        <w:rPr>
          <w:lang w:val="fr-FR"/>
        </w:rPr>
        <w:t>’</w:t>
      </w:r>
      <w:r w:rsidRPr="00653BF4">
        <w:rPr>
          <w:lang w:val="fr-FR"/>
        </w:rPr>
        <w:t xml:space="preserve">elles étaient en train de prendre des mesures pour </w:t>
      </w:r>
      <w:r w:rsidR="00FD3263">
        <w:rPr>
          <w:lang w:val="fr-FR"/>
        </w:rPr>
        <w:t xml:space="preserve">atteindre </w:t>
      </w:r>
      <w:r w:rsidRPr="00653BF4">
        <w:rPr>
          <w:lang w:val="fr-FR"/>
        </w:rPr>
        <w:t xml:space="preserve">la </w:t>
      </w:r>
      <w:r w:rsidR="00E34DC9">
        <w:rPr>
          <w:lang w:val="fr-FR"/>
        </w:rPr>
        <w:t>cible 1</w:t>
      </w:r>
      <w:r w:rsidRPr="00653BF4">
        <w:rPr>
          <w:lang w:val="fr-FR"/>
        </w:rPr>
        <w:t>. La quasi-totalité des Parties ont fait état d</w:t>
      </w:r>
      <w:r w:rsidR="002A58C8" w:rsidRPr="00653BF4">
        <w:rPr>
          <w:lang w:val="fr-FR"/>
        </w:rPr>
        <w:t>’</w:t>
      </w:r>
      <w:r w:rsidRPr="00653BF4">
        <w:rPr>
          <w:lang w:val="fr-FR"/>
        </w:rPr>
        <w:t>un certain niveau d</w:t>
      </w:r>
      <w:r w:rsidR="002A58C8" w:rsidRPr="00653BF4">
        <w:rPr>
          <w:lang w:val="fr-FR"/>
        </w:rPr>
        <w:t>’</w:t>
      </w:r>
      <w:r w:rsidRPr="00653BF4">
        <w:rPr>
          <w:lang w:val="fr-FR"/>
        </w:rPr>
        <w:t>aménagement du territoire tenant compte de la biodiversité et ont indiqué qu</w:t>
      </w:r>
      <w:r w:rsidR="002A58C8" w:rsidRPr="00653BF4">
        <w:rPr>
          <w:lang w:val="fr-FR"/>
        </w:rPr>
        <w:t>’</w:t>
      </w:r>
      <w:r w:rsidRPr="00653BF4">
        <w:rPr>
          <w:lang w:val="fr-FR"/>
        </w:rPr>
        <w:t xml:space="preserve">elles recouraient à des processus participatifs, </w:t>
      </w:r>
      <w:r w:rsidR="00C91300" w:rsidRPr="00653BF4">
        <w:rPr>
          <w:lang w:val="fr-FR"/>
        </w:rPr>
        <w:t>cependant,</w:t>
      </w:r>
      <w:r w:rsidRPr="00653BF4">
        <w:rPr>
          <w:lang w:val="fr-FR"/>
        </w:rPr>
        <w:t xml:space="preserve"> moins de la moitié d</w:t>
      </w:r>
      <w:r w:rsidR="002A58C8" w:rsidRPr="00653BF4">
        <w:rPr>
          <w:lang w:val="fr-FR"/>
        </w:rPr>
        <w:t>’</w:t>
      </w:r>
      <w:r w:rsidRPr="00653BF4">
        <w:rPr>
          <w:lang w:val="fr-FR"/>
        </w:rPr>
        <w:t>entre elles ont signalé la mise en œuvre de processus participatifs dans l</w:t>
      </w:r>
      <w:r w:rsidR="002A58C8" w:rsidRPr="00653BF4">
        <w:rPr>
          <w:lang w:val="fr-FR"/>
        </w:rPr>
        <w:t>’</w:t>
      </w:r>
      <w:r w:rsidRPr="00653BF4">
        <w:rPr>
          <w:lang w:val="fr-FR"/>
        </w:rPr>
        <w:t>ensemble des trois domaines (zones terrestres, eaux intérieures et zones marines) (</w:t>
      </w:r>
      <w:r w:rsidR="00592405" w:rsidRPr="00653BF4">
        <w:rPr>
          <w:lang w:val="fr-FR"/>
        </w:rPr>
        <w:t>voir la figure </w:t>
      </w:r>
      <w:r w:rsidRPr="00653BF4">
        <w:rPr>
          <w:lang w:val="fr-FR"/>
        </w:rPr>
        <w:t>9). La faible utilisation de l</w:t>
      </w:r>
      <w:r w:rsidR="002A58C8" w:rsidRPr="00653BF4">
        <w:rPr>
          <w:lang w:val="fr-FR"/>
        </w:rPr>
        <w:t>’</w:t>
      </w:r>
      <w:r w:rsidRPr="00653BF4">
        <w:rPr>
          <w:lang w:val="fr-FR"/>
        </w:rPr>
        <w:t>i</w:t>
      </w:r>
      <w:r w:rsidR="003C5C35" w:rsidRPr="00653BF4">
        <w:rPr>
          <w:lang w:val="fr-FR"/>
        </w:rPr>
        <w:t>ndicateur phare</w:t>
      </w:r>
      <w:r w:rsidRPr="00653BF4">
        <w:rPr>
          <w:lang w:val="fr-FR"/>
        </w:rPr>
        <w:t xml:space="preserve"> 1.1 n</w:t>
      </w:r>
      <w:r w:rsidR="002A58C8" w:rsidRPr="00653BF4">
        <w:rPr>
          <w:lang w:val="fr-FR"/>
        </w:rPr>
        <w:t>’</w:t>
      </w:r>
      <w:r w:rsidRPr="00653BF4">
        <w:rPr>
          <w:lang w:val="fr-FR"/>
        </w:rPr>
        <w:t>est pas surprenante, étant donné qu</w:t>
      </w:r>
      <w:r w:rsidR="002A58C8" w:rsidRPr="00653BF4">
        <w:rPr>
          <w:lang w:val="fr-FR"/>
        </w:rPr>
        <w:t>’</w:t>
      </w:r>
      <w:r w:rsidRPr="00653BF4">
        <w:rPr>
          <w:lang w:val="fr-FR"/>
        </w:rPr>
        <w:t>aucune méthodologie convenue n</w:t>
      </w:r>
      <w:r w:rsidR="002A58C8" w:rsidRPr="00653BF4">
        <w:rPr>
          <w:lang w:val="fr-FR"/>
        </w:rPr>
        <w:t>’</w:t>
      </w:r>
      <w:r w:rsidRPr="00653BF4">
        <w:rPr>
          <w:lang w:val="fr-FR"/>
        </w:rPr>
        <w:t xml:space="preserve">a encore été fournie pour cet indicateur (voir le document </w:t>
      </w:r>
      <w:hyperlink r:id="rId51" w:history="1">
        <w:r w:rsidR="0085431B" w:rsidRPr="00653BF4">
          <w:rPr>
            <w:rStyle w:val="Hyperlink"/>
            <w:lang w:val="fr-FR"/>
          </w:rPr>
          <w:t>CBD/COP/16/INF/3/Rev.1</w:t>
        </w:r>
      </w:hyperlink>
      <w:r w:rsidR="0085431B" w:rsidRPr="00653BF4">
        <w:rPr>
          <w:lang w:val="fr-FR"/>
        </w:rPr>
        <w:t>)</w:t>
      </w:r>
      <w:r w:rsidR="00FC3618" w:rsidRPr="00653BF4">
        <w:rPr>
          <w:lang w:val="fr-FR"/>
        </w:rPr>
        <w:t xml:space="preserve">. </w:t>
      </w:r>
      <w:r w:rsidR="00CD30F4" w:rsidRPr="00653BF4">
        <w:rPr>
          <w:lang w:val="fr-FR"/>
        </w:rPr>
        <w:t>Les Parties ont également souligné l</w:t>
      </w:r>
      <w:r w:rsidR="002A58C8" w:rsidRPr="00653BF4">
        <w:rPr>
          <w:lang w:val="fr-FR"/>
        </w:rPr>
        <w:t>’</w:t>
      </w:r>
      <w:r w:rsidR="00CD30F4" w:rsidRPr="00653BF4">
        <w:rPr>
          <w:lang w:val="fr-FR"/>
        </w:rPr>
        <w:t>absence de définition claire de l</w:t>
      </w:r>
      <w:r w:rsidR="002A58C8" w:rsidRPr="00653BF4">
        <w:rPr>
          <w:lang w:val="fr-FR"/>
        </w:rPr>
        <w:t>’</w:t>
      </w:r>
      <w:r w:rsidR="00CD30F4" w:rsidRPr="00653BF4">
        <w:rPr>
          <w:lang w:val="fr-FR"/>
        </w:rPr>
        <w:t xml:space="preserve">aménagement du territoire tenant compte de la biodiversité ainsi que la disponibilité limitée des données (voir tableau 5). Bon nombre des indicateurs supplémentaires utilisés pour les cibles nationales associées étaient mal alignés sur la </w:t>
      </w:r>
      <w:r w:rsidR="00E34DC9">
        <w:rPr>
          <w:lang w:val="fr-FR"/>
        </w:rPr>
        <w:t>cible 1</w:t>
      </w:r>
      <w:r w:rsidR="00CD30F4" w:rsidRPr="00653BF4">
        <w:rPr>
          <w:lang w:val="fr-FR"/>
        </w:rPr>
        <w:t xml:space="preserve"> et peu d</w:t>
      </w:r>
      <w:r w:rsidR="002A58C8" w:rsidRPr="00653BF4">
        <w:rPr>
          <w:lang w:val="fr-FR"/>
        </w:rPr>
        <w:t>’</w:t>
      </w:r>
      <w:r w:rsidR="00CD30F4" w:rsidRPr="00653BF4">
        <w:rPr>
          <w:lang w:val="fr-FR"/>
        </w:rPr>
        <w:t>entre eux examinaient si l</w:t>
      </w:r>
      <w:r w:rsidR="002A58C8" w:rsidRPr="00653BF4">
        <w:rPr>
          <w:lang w:val="fr-FR"/>
        </w:rPr>
        <w:t>’</w:t>
      </w:r>
      <w:r w:rsidR="00CD30F4" w:rsidRPr="00653BF4">
        <w:rPr>
          <w:lang w:val="fr-FR"/>
        </w:rPr>
        <w:t>aménagement du territoire était intégré ou s</w:t>
      </w:r>
      <w:r w:rsidR="002A58C8" w:rsidRPr="00653BF4">
        <w:rPr>
          <w:lang w:val="fr-FR"/>
        </w:rPr>
        <w:t>’</w:t>
      </w:r>
      <w:r w:rsidR="00CD30F4" w:rsidRPr="00653BF4">
        <w:rPr>
          <w:lang w:val="fr-FR"/>
        </w:rPr>
        <w:t>il permettait de ramener à un niveau proche de zéro, d</w:t>
      </w:r>
      <w:r w:rsidR="002A58C8" w:rsidRPr="00653BF4">
        <w:rPr>
          <w:lang w:val="fr-FR"/>
        </w:rPr>
        <w:t>’</w:t>
      </w:r>
      <w:r w:rsidR="00CD30F4" w:rsidRPr="00653BF4">
        <w:rPr>
          <w:lang w:val="fr-FR"/>
        </w:rPr>
        <w:t>ici à 2030, la perte de zones d</w:t>
      </w:r>
      <w:r w:rsidR="002A58C8" w:rsidRPr="00653BF4">
        <w:rPr>
          <w:lang w:val="fr-FR"/>
        </w:rPr>
        <w:t>’</w:t>
      </w:r>
      <w:r w:rsidR="00CD30F4" w:rsidRPr="00653BF4">
        <w:rPr>
          <w:lang w:val="fr-FR"/>
        </w:rPr>
        <w:t xml:space="preserve">une grande importance pour la biodiversité, y compris les écosystèmes présentant une intégrité écologique élevée. Sur la base des </w:t>
      </w:r>
      <w:r w:rsidR="00163FDD" w:rsidRPr="00653BF4">
        <w:rPr>
          <w:lang w:val="fr-FR"/>
        </w:rPr>
        <w:t>indicateurs phares</w:t>
      </w:r>
      <w:r w:rsidR="00CD30F4" w:rsidRPr="00653BF4">
        <w:rPr>
          <w:lang w:val="fr-FR"/>
        </w:rPr>
        <w:t>, nationaux, composantes et complémentaires quantitatifs, les Parties rencontrent des difficultés à assurer le suivi de tous les biomes afin d</w:t>
      </w:r>
      <w:r w:rsidR="002A58C8" w:rsidRPr="00653BF4">
        <w:rPr>
          <w:lang w:val="fr-FR"/>
        </w:rPr>
        <w:t>’</w:t>
      </w:r>
      <w:r w:rsidR="00CD30F4" w:rsidRPr="00653BF4">
        <w:rPr>
          <w:lang w:val="fr-FR"/>
        </w:rPr>
        <w:t xml:space="preserve">évaluer pleinement cette </w:t>
      </w:r>
      <w:r w:rsidR="00454DE1" w:rsidRPr="00653BF4">
        <w:rPr>
          <w:lang w:val="fr-FR"/>
        </w:rPr>
        <w:t>c</w:t>
      </w:r>
      <w:r w:rsidR="00990AB5" w:rsidRPr="00653BF4">
        <w:rPr>
          <w:lang w:val="fr-FR"/>
        </w:rPr>
        <w:t xml:space="preserve">ible </w:t>
      </w:r>
      <w:r w:rsidR="00CD30F4" w:rsidRPr="00653BF4">
        <w:rPr>
          <w:lang w:val="fr-FR"/>
        </w:rPr>
        <w:t>(</w:t>
      </w:r>
      <w:r w:rsidR="00592405" w:rsidRPr="00653BF4">
        <w:rPr>
          <w:lang w:val="fr-FR"/>
        </w:rPr>
        <w:t>voir la figure </w:t>
      </w:r>
      <w:r w:rsidR="00CD30F4" w:rsidRPr="00653BF4">
        <w:rPr>
          <w:lang w:val="fr-FR"/>
        </w:rPr>
        <w:t>8).</w:t>
      </w:r>
    </w:p>
    <w:p w14:paraId="12DE56E2" w14:textId="68CE88D6" w:rsidR="00D21C0E" w:rsidRPr="00653BF4" w:rsidRDefault="00CD30F4" w:rsidP="00FD29BE">
      <w:pPr>
        <w:rPr>
          <w:lang w:val="fr-FR"/>
        </w:rPr>
      </w:pPr>
      <w:r w:rsidRPr="00653BF4">
        <w:rPr>
          <w:lang w:val="fr-FR"/>
        </w:rPr>
        <w:t xml:space="preserve">Les </w:t>
      </w:r>
      <w:r w:rsidR="00163FDD" w:rsidRPr="00653BF4">
        <w:rPr>
          <w:lang w:val="fr-FR"/>
        </w:rPr>
        <w:t>indicateurs phares</w:t>
      </w:r>
      <w:r w:rsidRPr="00653BF4">
        <w:rPr>
          <w:lang w:val="fr-FR"/>
        </w:rPr>
        <w:t xml:space="preserve"> A.1 et A.2 étant également liés au suivi des progrès accomplis dans la réalisation de l</w:t>
      </w:r>
      <w:r w:rsidR="002A58C8" w:rsidRPr="00653BF4">
        <w:rPr>
          <w:lang w:val="fr-FR"/>
        </w:rPr>
        <w:t>’</w:t>
      </w:r>
      <w:r w:rsidR="002878D7">
        <w:rPr>
          <w:lang w:val="fr-FR"/>
        </w:rPr>
        <w:t>Objectif A</w:t>
      </w:r>
      <w:r w:rsidRPr="00653BF4">
        <w:rPr>
          <w:lang w:val="fr-FR"/>
        </w:rPr>
        <w:t xml:space="preserve"> du Cadre, ils sont abordés dans la </w:t>
      </w:r>
      <w:r w:rsidR="002878D7">
        <w:rPr>
          <w:lang w:val="fr-FR"/>
        </w:rPr>
        <w:t>section I</w:t>
      </w:r>
      <w:r w:rsidRPr="00653BF4">
        <w:rPr>
          <w:lang w:val="fr-FR"/>
        </w:rPr>
        <w:t>I.C du présent rapport.</w:t>
      </w:r>
    </w:p>
    <w:p w14:paraId="08240A17" w14:textId="632B91CB" w:rsidR="00D21C0E" w:rsidRPr="00653BF4" w:rsidRDefault="00D21C0E" w:rsidP="00D21C0E">
      <w:pPr>
        <w:keepNext/>
        <w:rPr>
          <w:rFonts w:ascii="Aptos" w:hAnsi="Aptos"/>
          <w:lang w:val="fr-FR"/>
        </w:rPr>
      </w:pPr>
    </w:p>
    <w:p w14:paraId="163C83B3" w14:textId="054D3299" w:rsidR="0085499E" w:rsidRPr="00653BF4" w:rsidRDefault="00D176FF" w:rsidP="00D21C0E">
      <w:pPr>
        <w:keepNext/>
        <w:rPr>
          <w:rFonts w:ascii="Aptos" w:hAnsi="Aptos"/>
          <w:sz w:val="20"/>
          <w:szCs w:val="20"/>
          <w:lang w:val="fr-FR"/>
        </w:rPr>
      </w:pPr>
      <w:r w:rsidRPr="00653BF4">
        <w:rPr>
          <w:rFonts w:ascii="Aptos" w:hAnsi="Aptos"/>
          <w:sz w:val="20"/>
          <w:szCs w:val="20"/>
          <w:lang w:val="fr-FR"/>
        </w:rPr>
        <w:t xml:space="preserve">Figure </w:t>
      </w:r>
      <w:r w:rsidRPr="00653BF4">
        <w:rPr>
          <w:rFonts w:ascii="Aptos" w:hAnsi="Aptos"/>
          <w:noProof/>
          <w:sz w:val="20"/>
          <w:szCs w:val="20"/>
          <w:lang w:val="fr-FR"/>
        </w:rPr>
        <w:t>8</w:t>
      </w:r>
    </w:p>
    <w:p w14:paraId="1737F745" w14:textId="166AF724" w:rsidR="00D176FF" w:rsidRDefault="00031F06" w:rsidP="00D21C0E">
      <w:pPr>
        <w:keepNext/>
        <w:rPr>
          <w:rFonts w:ascii="Aptos" w:hAnsi="Aptos"/>
          <w:b/>
          <w:bCs/>
          <w:sz w:val="20"/>
          <w:szCs w:val="20"/>
          <w:lang w:val="fr-FR"/>
        </w:rPr>
      </w:pPr>
      <w:r w:rsidRPr="00653BF4">
        <w:rPr>
          <w:rFonts w:ascii="Aptos" w:hAnsi="Aptos"/>
          <w:b/>
          <w:bCs/>
          <w:sz w:val="20"/>
          <w:szCs w:val="20"/>
          <w:lang w:val="fr-FR"/>
        </w:rPr>
        <w:t>Pourcentage de l</w:t>
      </w:r>
      <w:r w:rsidR="002A58C8" w:rsidRPr="00653BF4">
        <w:rPr>
          <w:rFonts w:ascii="Aptos" w:hAnsi="Aptos"/>
          <w:b/>
          <w:bCs/>
          <w:sz w:val="20"/>
          <w:szCs w:val="20"/>
          <w:lang w:val="fr-FR"/>
        </w:rPr>
        <w:t>’</w:t>
      </w:r>
      <w:r w:rsidRPr="00653BF4">
        <w:rPr>
          <w:rFonts w:ascii="Aptos" w:hAnsi="Aptos"/>
          <w:b/>
          <w:bCs/>
          <w:sz w:val="20"/>
          <w:szCs w:val="20"/>
          <w:lang w:val="fr-FR"/>
        </w:rPr>
        <w:t xml:space="preserve">ensemble des indicateurs quantitatifs alignés sur la </w:t>
      </w:r>
      <w:r w:rsidR="00E34DC9">
        <w:rPr>
          <w:rFonts w:ascii="Aptos" w:hAnsi="Aptos"/>
          <w:b/>
          <w:bCs/>
          <w:sz w:val="20"/>
          <w:szCs w:val="20"/>
          <w:lang w:val="fr-FR"/>
        </w:rPr>
        <w:t>cible 1</w:t>
      </w:r>
      <w:r w:rsidRPr="00653BF4">
        <w:rPr>
          <w:rFonts w:ascii="Aptos" w:hAnsi="Aptos"/>
          <w:b/>
          <w:bCs/>
          <w:sz w:val="20"/>
          <w:szCs w:val="20"/>
          <w:lang w:val="fr-FR"/>
        </w:rPr>
        <w:t xml:space="preserve"> du Cadre qui indiquent respectivement des tendances à l</w:t>
      </w:r>
      <w:r w:rsidR="002A58C8" w:rsidRPr="00653BF4">
        <w:rPr>
          <w:rFonts w:ascii="Aptos" w:hAnsi="Aptos"/>
          <w:b/>
          <w:bCs/>
          <w:sz w:val="20"/>
          <w:szCs w:val="20"/>
          <w:lang w:val="fr-FR"/>
        </w:rPr>
        <w:t>’</w:t>
      </w:r>
      <w:r w:rsidRPr="00653BF4">
        <w:rPr>
          <w:rFonts w:ascii="Aptos" w:hAnsi="Aptos"/>
          <w:b/>
          <w:bCs/>
          <w:sz w:val="20"/>
          <w:szCs w:val="20"/>
          <w:lang w:val="fr-FR"/>
        </w:rPr>
        <w:t>amélioration, stables et négatives</w:t>
      </w:r>
    </w:p>
    <w:p w14:paraId="1FB225CC" w14:textId="2370EF96" w:rsidR="00CF5FAD" w:rsidRPr="00653BF4" w:rsidRDefault="008372D2" w:rsidP="005A49DA">
      <w:pPr>
        <w:pStyle w:val="Caption"/>
        <w:rPr>
          <w:rFonts w:ascii="Aptos" w:hAnsi="Aptos"/>
          <w:lang w:val="fr-FR"/>
        </w:rPr>
      </w:pPr>
      <w:bookmarkStart w:id="79" w:name="_Ref230450796"/>
      <w:r w:rsidRPr="00653BF4">
        <w:rPr>
          <w:rFonts w:ascii="Aptos" w:hAnsi="Aptos"/>
          <w:noProof/>
          <w:lang w:val="fr-FR"/>
          <w14:ligatures w14:val="standardContextual"/>
        </w:rPr>
        <w:drawing>
          <wp:inline distT="0" distB="0" distL="0" distR="0" wp14:anchorId="56C1B7B3" wp14:editId="76C4B4B5">
            <wp:extent cx="5731510" cy="2456180"/>
            <wp:effectExtent l="0" t="0" r="0" b="0"/>
            <wp:docPr id="17747573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57396" name="Picture 1774757396"/>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70C45534" w14:textId="7C033B99" w:rsidR="006D55B8" w:rsidRPr="00653BF4" w:rsidRDefault="006A631C" w:rsidP="006D55B8">
      <w:pPr>
        <w:pStyle w:val="Caption"/>
        <w:rPr>
          <w:rFonts w:ascii="Aptos" w:hAnsi="Aptos"/>
          <w:i w:val="0"/>
          <w:iCs w:val="0"/>
          <w:sz w:val="16"/>
          <w:szCs w:val="16"/>
          <w:lang w:val="fr-FR"/>
        </w:rPr>
      </w:pPr>
      <w:r w:rsidRPr="00653BF4">
        <w:rPr>
          <w:rFonts w:ascii="Aptos" w:hAnsi="Aptos"/>
          <w:lang w:val="fr-FR"/>
        </w:rPr>
        <w:t>Note</w:t>
      </w:r>
      <w:r w:rsidR="00E34DC9">
        <w:rPr>
          <w:rFonts w:ascii="Aptos" w:hAnsi="Aptos"/>
          <w:lang w:val="fr-FR"/>
        </w:rPr>
        <w:t> :</w:t>
      </w:r>
      <w:r w:rsidR="007E61C2" w:rsidRPr="00653BF4">
        <w:rPr>
          <w:rFonts w:ascii="Aptos" w:hAnsi="Aptos"/>
          <w:i w:val="0"/>
          <w:iCs w:val="0"/>
          <w:lang w:val="fr-FR"/>
        </w:rPr>
        <w:t xml:space="preserve"> </w:t>
      </w:r>
      <w:r w:rsidR="00093764" w:rsidRPr="00653BF4">
        <w:rPr>
          <w:rFonts w:ascii="Aptos" w:hAnsi="Aptos"/>
          <w:i w:val="0"/>
          <w:iCs w:val="0"/>
          <w:lang w:val="fr-FR"/>
        </w:rPr>
        <w:t xml:space="preserve">Les proportions sont pondérées par Partie. </w:t>
      </w:r>
      <w:r w:rsidR="006F7D32" w:rsidRPr="00653BF4">
        <w:rPr>
          <w:rFonts w:ascii="Aptos" w:hAnsi="Aptos"/>
          <w:i w:val="0"/>
          <w:iCs w:val="0"/>
          <w:lang w:val="fr-FR"/>
        </w:rPr>
        <w:t xml:space="preserve">Les tendances incluent des données </w:t>
      </w:r>
      <w:r w:rsidR="00AF61EC" w:rsidRPr="00653BF4">
        <w:rPr>
          <w:rFonts w:ascii="Aptos" w:hAnsi="Aptos"/>
          <w:i w:val="0"/>
          <w:iCs w:val="0"/>
          <w:lang w:val="fr-FR"/>
        </w:rPr>
        <w:t>provenant de 57 Parties</w:t>
      </w:r>
      <w:r w:rsidR="004D56D4" w:rsidRPr="00653BF4">
        <w:rPr>
          <w:rFonts w:ascii="Aptos" w:hAnsi="Aptos"/>
          <w:i w:val="0"/>
          <w:iCs w:val="0"/>
          <w:lang w:val="fr-FR"/>
        </w:rPr>
        <w:t xml:space="preserve"> au total</w:t>
      </w:r>
      <w:r w:rsidR="00AF61EC" w:rsidRPr="00653BF4">
        <w:rPr>
          <w:rFonts w:ascii="Aptos" w:hAnsi="Aptos"/>
          <w:i w:val="0"/>
          <w:iCs w:val="0"/>
          <w:lang w:val="fr-FR"/>
        </w:rPr>
        <w:t xml:space="preserve">, </w:t>
      </w:r>
      <w:r w:rsidR="009C405B" w:rsidRPr="00653BF4">
        <w:rPr>
          <w:rFonts w:ascii="Aptos" w:hAnsi="Aptos"/>
          <w:i w:val="0"/>
          <w:iCs w:val="0"/>
          <w:lang w:val="fr-FR"/>
        </w:rPr>
        <w:t>relatives</w:t>
      </w:r>
      <w:r w:rsidR="00AF61EC" w:rsidRPr="00653BF4">
        <w:rPr>
          <w:rFonts w:ascii="Aptos" w:hAnsi="Aptos"/>
          <w:i w:val="0"/>
          <w:iCs w:val="0"/>
          <w:lang w:val="fr-FR"/>
        </w:rPr>
        <w:t xml:space="preserve"> </w:t>
      </w:r>
      <w:r w:rsidR="009C405B" w:rsidRPr="00653BF4">
        <w:rPr>
          <w:rFonts w:ascii="Aptos" w:hAnsi="Aptos"/>
          <w:i w:val="0"/>
          <w:iCs w:val="0"/>
          <w:lang w:val="fr-FR"/>
        </w:rPr>
        <w:t xml:space="preserve">à </w:t>
      </w:r>
      <w:r w:rsidR="006F7D32" w:rsidRPr="00653BF4">
        <w:rPr>
          <w:rFonts w:ascii="Aptos" w:hAnsi="Aptos"/>
          <w:i w:val="0"/>
          <w:iCs w:val="0"/>
          <w:lang w:val="fr-FR"/>
        </w:rPr>
        <w:t xml:space="preserve">3 indicateurs phares provenant de </w:t>
      </w:r>
      <w:r w:rsidR="00B67AC0" w:rsidRPr="00653BF4">
        <w:rPr>
          <w:rFonts w:ascii="Aptos" w:hAnsi="Aptos"/>
          <w:i w:val="0"/>
          <w:iCs w:val="0"/>
          <w:lang w:val="fr-FR"/>
        </w:rPr>
        <w:t>52</w:t>
      </w:r>
      <w:r w:rsidR="00A02A4D" w:rsidRPr="00653BF4">
        <w:rPr>
          <w:rFonts w:ascii="Aptos" w:hAnsi="Aptos"/>
          <w:i w:val="0"/>
          <w:iCs w:val="0"/>
          <w:lang w:val="fr-FR"/>
        </w:rPr>
        <w:t> </w:t>
      </w:r>
      <w:r w:rsidR="006F7D32" w:rsidRPr="00653BF4">
        <w:rPr>
          <w:rFonts w:ascii="Aptos" w:hAnsi="Aptos"/>
          <w:i w:val="0"/>
          <w:iCs w:val="0"/>
          <w:lang w:val="fr-FR"/>
        </w:rPr>
        <w:t>Parties</w:t>
      </w:r>
      <w:r w:rsidR="00AC3EA1" w:rsidRPr="00653BF4">
        <w:rPr>
          <w:rFonts w:ascii="Aptos" w:hAnsi="Aptos"/>
          <w:i w:val="0"/>
          <w:iCs w:val="0"/>
          <w:lang w:val="fr-FR"/>
        </w:rPr>
        <w:t>,</w:t>
      </w:r>
      <w:r w:rsidR="008712AA" w:rsidRPr="00653BF4">
        <w:rPr>
          <w:rFonts w:ascii="Aptos" w:hAnsi="Aptos"/>
          <w:i w:val="0"/>
          <w:iCs w:val="0"/>
          <w:lang w:val="fr-FR"/>
        </w:rPr>
        <w:t xml:space="preserve"> </w:t>
      </w:r>
      <w:r w:rsidR="009D18AE" w:rsidRPr="00653BF4">
        <w:rPr>
          <w:rFonts w:ascii="Aptos" w:hAnsi="Aptos"/>
          <w:i w:val="0"/>
          <w:iCs w:val="0"/>
          <w:lang w:val="fr-FR"/>
        </w:rPr>
        <w:t>ainsi qu’à</w:t>
      </w:r>
      <w:r w:rsidR="009025DB" w:rsidRPr="00653BF4">
        <w:rPr>
          <w:rFonts w:ascii="Aptos" w:hAnsi="Aptos"/>
          <w:i w:val="0"/>
          <w:iCs w:val="0"/>
          <w:lang w:val="fr-FR"/>
        </w:rPr>
        <w:t xml:space="preserve"> </w:t>
      </w:r>
      <w:r w:rsidR="006F7D32" w:rsidRPr="00653BF4">
        <w:rPr>
          <w:rFonts w:ascii="Aptos" w:hAnsi="Aptos"/>
          <w:i w:val="0"/>
          <w:iCs w:val="0"/>
          <w:lang w:val="fr-FR"/>
        </w:rPr>
        <w:t>1</w:t>
      </w:r>
      <w:r w:rsidR="00A71842" w:rsidRPr="00653BF4">
        <w:rPr>
          <w:rFonts w:ascii="Aptos" w:hAnsi="Aptos"/>
          <w:i w:val="0"/>
          <w:iCs w:val="0"/>
          <w:lang w:val="fr-FR"/>
        </w:rPr>
        <w:t> </w:t>
      </w:r>
      <w:r w:rsidR="006F7D32" w:rsidRPr="00653BF4">
        <w:rPr>
          <w:rFonts w:ascii="Aptos" w:hAnsi="Aptos"/>
          <w:i w:val="0"/>
          <w:iCs w:val="0"/>
          <w:lang w:val="fr-FR"/>
        </w:rPr>
        <w:t xml:space="preserve">indicateur complémentaire </w:t>
      </w:r>
      <w:r w:rsidR="007543D3" w:rsidRPr="00653BF4">
        <w:rPr>
          <w:rFonts w:ascii="Aptos" w:hAnsi="Aptos"/>
          <w:i w:val="0"/>
          <w:iCs w:val="0"/>
          <w:lang w:val="fr-FR"/>
        </w:rPr>
        <w:t>et</w:t>
      </w:r>
      <w:r w:rsidR="006F7D32" w:rsidRPr="00653BF4">
        <w:rPr>
          <w:rFonts w:ascii="Aptos" w:hAnsi="Aptos"/>
          <w:i w:val="0"/>
          <w:iCs w:val="0"/>
          <w:lang w:val="fr-FR"/>
        </w:rPr>
        <w:t xml:space="preserve"> </w:t>
      </w:r>
      <w:r w:rsidR="002B061D" w:rsidRPr="00653BF4">
        <w:rPr>
          <w:rFonts w:ascii="Aptos" w:hAnsi="Aptos"/>
          <w:i w:val="0"/>
          <w:iCs w:val="0"/>
          <w:lang w:val="fr-FR"/>
        </w:rPr>
        <w:t>54</w:t>
      </w:r>
      <w:r w:rsidR="00D93876" w:rsidRPr="00653BF4">
        <w:rPr>
          <w:rFonts w:ascii="Aptos" w:hAnsi="Aptos"/>
          <w:i w:val="0"/>
          <w:iCs w:val="0"/>
          <w:lang w:val="fr-FR"/>
        </w:rPr>
        <w:t> </w:t>
      </w:r>
      <w:r w:rsidR="006F7D32" w:rsidRPr="00653BF4">
        <w:rPr>
          <w:rFonts w:ascii="Aptos" w:hAnsi="Aptos"/>
          <w:i w:val="0"/>
          <w:iCs w:val="0"/>
          <w:lang w:val="fr-FR"/>
        </w:rPr>
        <w:t xml:space="preserve">indicateurs nationaux provenant de </w:t>
      </w:r>
      <w:r w:rsidR="002B061D" w:rsidRPr="00653BF4">
        <w:rPr>
          <w:rFonts w:ascii="Aptos" w:hAnsi="Aptos"/>
          <w:i w:val="0"/>
          <w:iCs w:val="0"/>
          <w:lang w:val="fr-FR"/>
        </w:rPr>
        <w:t>14</w:t>
      </w:r>
      <w:r w:rsidR="00A36DD2" w:rsidRPr="00653BF4">
        <w:rPr>
          <w:rFonts w:ascii="Aptos" w:hAnsi="Aptos"/>
          <w:i w:val="0"/>
          <w:iCs w:val="0"/>
          <w:lang w:val="fr-FR"/>
        </w:rPr>
        <w:t> </w:t>
      </w:r>
      <w:r w:rsidR="006F7D32" w:rsidRPr="00653BF4">
        <w:rPr>
          <w:rFonts w:ascii="Aptos" w:hAnsi="Aptos"/>
          <w:i w:val="0"/>
          <w:iCs w:val="0"/>
          <w:lang w:val="fr-FR"/>
        </w:rPr>
        <w:t>Parties.</w:t>
      </w:r>
      <w:r w:rsidR="00093764" w:rsidRPr="00653BF4">
        <w:rPr>
          <w:rFonts w:ascii="Aptos" w:hAnsi="Aptos"/>
          <w:i w:val="0"/>
          <w:iCs w:val="0"/>
          <w:lang w:val="fr-FR"/>
        </w:rPr>
        <w:t xml:space="preserve"> Le diagramme circulaire présente la répartition, par région, des Parties ayant présenté des indicateurs </w:t>
      </w:r>
      <w:r w:rsidR="002B061D" w:rsidRPr="00653BF4">
        <w:rPr>
          <w:rFonts w:ascii="Aptos" w:hAnsi="Aptos"/>
          <w:i w:val="0"/>
          <w:iCs w:val="0"/>
          <w:lang w:val="fr-FR"/>
        </w:rPr>
        <w:t xml:space="preserve">pour </w:t>
      </w:r>
      <w:r w:rsidR="00093764" w:rsidRPr="00653BF4">
        <w:rPr>
          <w:rFonts w:ascii="Aptos" w:hAnsi="Aptos"/>
          <w:i w:val="0"/>
          <w:iCs w:val="0"/>
          <w:lang w:val="fr-FR"/>
        </w:rPr>
        <w:t xml:space="preserve">la </w:t>
      </w:r>
      <w:r w:rsidR="00E34DC9">
        <w:rPr>
          <w:rFonts w:ascii="Aptos" w:hAnsi="Aptos"/>
          <w:i w:val="0"/>
          <w:iCs w:val="0"/>
          <w:lang w:val="fr-FR"/>
        </w:rPr>
        <w:t>cible 1</w:t>
      </w:r>
      <w:r w:rsidR="00093764" w:rsidRPr="00653BF4">
        <w:rPr>
          <w:rFonts w:ascii="Aptos" w:hAnsi="Aptos"/>
          <w:i w:val="0"/>
          <w:iCs w:val="0"/>
          <w:lang w:val="fr-FR"/>
        </w:rPr>
        <w:t xml:space="preserve">. </w:t>
      </w:r>
      <w:r w:rsidR="00F47AF9" w:rsidRPr="00653BF4">
        <w:rPr>
          <w:rFonts w:ascii="Aptos" w:hAnsi="Aptos"/>
          <w:i w:val="0"/>
          <w:iCs w:val="0"/>
          <w:lang w:val="fr-FR"/>
        </w:rPr>
        <w:t>La couleur de chaque région est indiquée dans la légende de la figure</w:t>
      </w:r>
      <w:r w:rsidR="00E34DC9">
        <w:rPr>
          <w:rFonts w:ascii="Aptos" w:hAnsi="Aptos"/>
          <w:i w:val="0"/>
          <w:iCs w:val="0"/>
          <w:lang w:val="fr-FR"/>
        </w:rPr>
        <w:t> :</w:t>
      </w:r>
      <w:r w:rsidR="00F47AF9"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F47AF9" w:rsidRPr="00653BF4">
        <w:rPr>
          <w:rFonts w:ascii="Aptos" w:hAnsi="Aptos"/>
          <w:i w:val="0"/>
          <w:iCs w:val="0"/>
          <w:lang w:val="fr-FR"/>
        </w:rPr>
        <w:t xml:space="preserve"> les tons plus clairs, la proportion de Parties de la même région dont les données n’y figurent pas.</w:t>
      </w:r>
    </w:p>
    <w:tbl>
      <w:tblPr>
        <w:tblStyle w:val="TableGrid"/>
        <w:tblW w:w="0" w:type="auto"/>
        <w:tblLook w:val="06A0" w:firstRow="1" w:lastRow="0" w:firstColumn="1" w:lastColumn="0" w:noHBand="1" w:noVBand="1"/>
      </w:tblPr>
      <w:tblGrid>
        <w:gridCol w:w="4060"/>
        <w:gridCol w:w="4545"/>
      </w:tblGrid>
      <w:tr w:rsidR="003246FC" w:rsidRPr="006833AC" w14:paraId="1E184CA3" w14:textId="77777777" w:rsidTr="009B4355">
        <w:tc>
          <w:tcPr>
            <w:tcW w:w="0" w:type="auto"/>
            <w:gridSpan w:val="2"/>
          </w:tcPr>
          <w:p w14:paraId="37CBBCD7" w14:textId="77777777" w:rsidR="003246FC" w:rsidRPr="006833AC" w:rsidRDefault="003246FC" w:rsidP="009B4355">
            <w:pPr>
              <w:rPr>
                <w:rFonts w:ascii="Aptos" w:eastAsia="Segoe UI" w:hAnsi="Aptos" w:cs="Segoe UI"/>
                <w:color w:val="0F1115"/>
              </w:rPr>
            </w:pPr>
            <w:r>
              <w:rPr>
                <w:rFonts w:ascii="Aptos" w:eastAsia="Segoe UI" w:hAnsi="Aptos" w:cs="Segoe UI"/>
                <w:color w:val="0F1115"/>
              </w:rPr>
              <w:t>Figure 8</w:t>
            </w:r>
          </w:p>
        </w:tc>
      </w:tr>
      <w:tr w:rsidR="003246FC" w:rsidRPr="006833AC" w14:paraId="42A5C27D" w14:textId="77777777" w:rsidTr="009B4355">
        <w:tc>
          <w:tcPr>
            <w:tcW w:w="0" w:type="auto"/>
          </w:tcPr>
          <w:p w14:paraId="2540DC76" w14:textId="77777777" w:rsidR="003246FC" w:rsidRPr="006833AC" w:rsidRDefault="003246FC" w:rsidP="009B4355">
            <w:pPr>
              <w:rPr>
                <w:rFonts w:ascii="Aptos" w:hAnsi="Aptos"/>
              </w:rPr>
            </w:pPr>
            <w:r w:rsidRPr="006833AC">
              <w:rPr>
                <w:rFonts w:ascii="Aptos" w:eastAsia="Segoe UI" w:hAnsi="Aptos" w:cs="Segoe UI"/>
                <w:color w:val="0F1115"/>
              </w:rPr>
              <w:t xml:space="preserve">English </w:t>
            </w:r>
          </w:p>
        </w:tc>
        <w:tc>
          <w:tcPr>
            <w:tcW w:w="0" w:type="auto"/>
          </w:tcPr>
          <w:p w14:paraId="44566D23" w14:textId="77777777" w:rsidR="003246FC" w:rsidRPr="006833AC" w:rsidRDefault="003246FC" w:rsidP="009B4355">
            <w:pPr>
              <w:rPr>
                <w:rFonts w:ascii="Aptos" w:hAnsi="Aptos"/>
              </w:rPr>
            </w:pPr>
            <w:r>
              <w:rPr>
                <w:rFonts w:ascii="Aptos" w:eastAsia="Segoe UI" w:hAnsi="Aptos" w:cs="Segoe UI"/>
                <w:color w:val="0F1115"/>
              </w:rPr>
              <w:t>Français</w:t>
            </w:r>
          </w:p>
        </w:tc>
      </w:tr>
      <w:tr w:rsidR="003246FC" w:rsidRPr="003A6336" w14:paraId="7F897145" w14:textId="77777777" w:rsidTr="009B4355">
        <w:tc>
          <w:tcPr>
            <w:tcW w:w="0" w:type="auto"/>
          </w:tcPr>
          <w:p w14:paraId="6C230907"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0" w:type="auto"/>
          </w:tcPr>
          <w:p w14:paraId="171E46A9"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60AE71F6" w14:textId="77777777" w:rsidTr="009B4355">
        <w:tc>
          <w:tcPr>
            <w:tcW w:w="0" w:type="auto"/>
          </w:tcPr>
          <w:p w14:paraId="56CB66E4" w14:textId="77777777" w:rsidR="003246FC" w:rsidRPr="003A6336" w:rsidRDefault="003246FC" w:rsidP="009B4355">
            <w:pPr>
              <w:rPr>
                <w:rFonts w:ascii="Aptos" w:hAnsi="Aptos"/>
              </w:rPr>
            </w:pPr>
            <w:r w:rsidRPr="003A6336">
              <w:rPr>
                <w:rFonts w:ascii="Aptos" w:eastAsia="Segoe UI" w:hAnsi="Aptos" w:cs="Segoe UI"/>
                <w:color w:val="0F1115"/>
              </w:rPr>
              <w:t>Africa</w:t>
            </w:r>
            <w:r>
              <w:rPr>
                <w:rFonts w:ascii="Aptos" w:eastAsia="Segoe UI" w:hAnsi="Aptos" w:cs="Segoe UI"/>
                <w:color w:val="0F1115"/>
              </w:rPr>
              <w:t>n States</w:t>
            </w:r>
          </w:p>
        </w:tc>
        <w:tc>
          <w:tcPr>
            <w:tcW w:w="0" w:type="auto"/>
          </w:tcPr>
          <w:p w14:paraId="5437185C"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346D4959" w14:textId="77777777" w:rsidTr="009B4355">
        <w:tc>
          <w:tcPr>
            <w:tcW w:w="0" w:type="auto"/>
          </w:tcPr>
          <w:p w14:paraId="1F56E3D4" w14:textId="77777777" w:rsidR="003246FC" w:rsidRPr="003A6336" w:rsidRDefault="003246FC" w:rsidP="009B4355">
            <w:pPr>
              <w:rPr>
                <w:rFonts w:ascii="Aptos" w:hAnsi="Aptos"/>
              </w:rPr>
            </w:pPr>
            <w:r w:rsidRPr="003A6336">
              <w:rPr>
                <w:rFonts w:ascii="Aptos" w:eastAsia="Segoe UI" w:hAnsi="Aptos" w:cs="Segoe UI"/>
                <w:color w:val="0F1115"/>
              </w:rPr>
              <w:t>Asia</w:t>
            </w:r>
            <w:r>
              <w:rPr>
                <w:rFonts w:ascii="Aptos" w:eastAsia="Segoe UI" w:hAnsi="Aptos" w:cs="Segoe UI"/>
                <w:color w:val="0F1115"/>
              </w:rPr>
              <w:t>-</w:t>
            </w:r>
            <w:r w:rsidRPr="003A6336">
              <w:rPr>
                <w:rFonts w:ascii="Aptos" w:eastAsia="Segoe UI" w:hAnsi="Aptos" w:cs="Segoe UI"/>
                <w:color w:val="0F1115"/>
              </w:rPr>
              <w:t xml:space="preserve"> Pacific</w:t>
            </w:r>
            <w:r>
              <w:rPr>
                <w:rFonts w:ascii="Aptos" w:eastAsia="Segoe UI" w:hAnsi="Aptos" w:cs="Segoe UI"/>
                <w:color w:val="0F1115"/>
              </w:rPr>
              <w:t xml:space="preserve"> States</w:t>
            </w:r>
          </w:p>
        </w:tc>
        <w:tc>
          <w:tcPr>
            <w:tcW w:w="0" w:type="auto"/>
          </w:tcPr>
          <w:p w14:paraId="636F0059"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425ED097" w14:textId="77777777" w:rsidTr="009B4355">
        <w:tc>
          <w:tcPr>
            <w:tcW w:w="0" w:type="auto"/>
          </w:tcPr>
          <w:p w14:paraId="5FA3AE33" w14:textId="77777777" w:rsidR="003246FC" w:rsidRPr="003A6336" w:rsidRDefault="003246FC" w:rsidP="009B4355">
            <w:pPr>
              <w:rPr>
                <w:rFonts w:ascii="Aptos" w:hAnsi="Aptos"/>
              </w:rPr>
            </w:pPr>
            <w:r w:rsidRPr="003A6336">
              <w:rPr>
                <w:rFonts w:ascii="Aptos" w:eastAsia="Segoe UI" w:hAnsi="Aptos" w:cs="Segoe UI"/>
                <w:color w:val="0F1115"/>
              </w:rPr>
              <w:t>Latin America</w:t>
            </w:r>
            <w:r>
              <w:rPr>
                <w:rFonts w:ascii="Aptos" w:eastAsia="Segoe UI" w:hAnsi="Aptos" w:cs="Segoe UI"/>
                <w:color w:val="0F1115"/>
              </w:rPr>
              <w:t>n</w:t>
            </w:r>
            <w:r w:rsidRPr="003A6336">
              <w:rPr>
                <w:rFonts w:ascii="Aptos" w:eastAsia="Segoe UI" w:hAnsi="Aptos" w:cs="Segoe UI"/>
                <w:color w:val="0F1115"/>
              </w:rPr>
              <w:t xml:space="preserve"> and Caribbean</w:t>
            </w:r>
            <w:r>
              <w:rPr>
                <w:rFonts w:ascii="Aptos" w:eastAsia="Segoe UI" w:hAnsi="Aptos" w:cs="Segoe UI"/>
                <w:color w:val="0F1115"/>
              </w:rPr>
              <w:t xml:space="preserve"> States</w:t>
            </w:r>
          </w:p>
        </w:tc>
        <w:tc>
          <w:tcPr>
            <w:tcW w:w="0" w:type="auto"/>
          </w:tcPr>
          <w:p w14:paraId="255ED6AF"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23B8B071" w14:textId="77777777" w:rsidTr="009B4355">
        <w:tc>
          <w:tcPr>
            <w:tcW w:w="0" w:type="auto"/>
          </w:tcPr>
          <w:p w14:paraId="4A75029A" w14:textId="77777777" w:rsidR="003246FC" w:rsidRPr="003A6336" w:rsidRDefault="003246FC" w:rsidP="009B4355">
            <w:pPr>
              <w:rPr>
                <w:rFonts w:ascii="Aptos" w:hAnsi="Aptos"/>
              </w:rPr>
            </w:pPr>
            <w:r>
              <w:rPr>
                <w:rFonts w:ascii="Aptos" w:eastAsia="Segoe UI" w:hAnsi="Aptos" w:cs="Segoe UI"/>
                <w:color w:val="0F1115"/>
              </w:rPr>
              <w:t>Eastern European States</w:t>
            </w:r>
          </w:p>
        </w:tc>
        <w:tc>
          <w:tcPr>
            <w:tcW w:w="0" w:type="auto"/>
          </w:tcPr>
          <w:p w14:paraId="05F1AE4F"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2B6959F9" w14:textId="77777777" w:rsidTr="009B4355">
        <w:tc>
          <w:tcPr>
            <w:tcW w:w="0" w:type="auto"/>
          </w:tcPr>
          <w:p w14:paraId="7F55AB2D" w14:textId="77777777" w:rsidR="003246FC" w:rsidRPr="003A6336" w:rsidRDefault="003246FC" w:rsidP="009B4355">
            <w:pPr>
              <w:rPr>
                <w:rFonts w:ascii="Aptos" w:hAnsi="Aptos"/>
              </w:rPr>
            </w:pPr>
            <w:r w:rsidRPr="003A6336">
              <w:rPr>
                <w:rFonts w:ascii="Aptos" w:eastAsia="Segoe UI" w:hAnsi="Aptos" w:cs="Segoe UI"/>
                <w:color w:val="0F1115"/>
              </w:rPr>
              <w:t>Western Europe</w:t>
            </w:r>
            <w:r>
              <w:rPr>
                <w:rFonts w:ascii="Aptos" w:eastAsia="Segoe UI" w:hAnsi="Aptos" w:cs="Segoe UI"/>
                <w:color w:val="0F1115"/>
              </w:rPr>
              <w:t>an</w:t>
            </w:r>
            <w:r w:rsidRPr="003A6336">
              <w:rPr>
                <w:rFonts w:ascii="Aptos" w:eastAsia="Segoe UI" w:hAnsi="Aptos" w:cs="Segoe UI"/>
                <w:color w:val="0F1115"/>
              </w:rPr>
              <w:t xml:space="preserve"> and </w:t>
            </w:r>
            <w:r>
              <w:rPr>
                <w:rFonts w:ascii="Aptos" w:eastAsia="Segoe UI" w:hAnsi="Aptos" w:cs="Segoe UI"/>
                <w:color w:val="0F1115"/>
              </w:rPr>
              <w:t>o</w:t>
            </w:r>
            <w:r w:rsidRPr="003A6336">
              <w:rPr>
                <w:rFonts w:ascii="Aptos" w:eastAsia="Segoe UI" w:hAnsi="Aptos" w:cs="Segoe UI"/>
                <w:color w:val="0F1115"/>
              </w:rPr>
              <w:t xml:space="preserve">ther </w:t>
            </w:r>
            <w:r>
              <w:rPr>
                <w:rFonts w:ascii="Aptos" w:eastAsia="Segoe UI" w:hAnsi="Aptos" w:cs="Segoe UI"/>
                <w:color w:val="0F1115"/>
              </w:rPr>
              <w:t>States</w:t>
            </w:r>
          </w:p>
        </w:tc>
        <w:tc>
          <w:tcPr>
            <w:tcW w:w="0" w:type="auto"/>
          </w:tcPr>
          <w:p w14:paraId="1494CC2B"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04AA0C69" w14:textId="77777777" w:rsidTr="009B4355">
        <w:tc>
          <w:tcPr>
            <w:tcW w:w="0" w:type="auto"/>
          </w:tcPr>
          <w:p w14:paraId="03AD82D2" w14:textId="77777777" w:rsidR="003246FC" w:rsidRPr="003A6336" w:rsidRDefault="003246FC" w:rsidP="009B4355">
            <w:pPr>
              <w:rPr>
                <w:rFonts w:ascii="Aptos" w:hAnsi="Aptos"/>
              </w:rPr>
            </w:pPr>
            <w:r w:rsidRPr="003A6336">
              <w:rPr>
                <w:rFonts w:ascii="Aptos" w:eastAsia="Segoe UI" w:hAnsi="Aptos" w:cs="Segoe UI"/>
                <w:color w:val="0F1115"/>
              </w:rPr>
              <w:t>Proportion</w:t>
            </w:r>
          </w:p>
        </w:tc>
        <w:tc>
          <w:tcPr>
            <w:tcW w:w="0" w:type="auto"/>
          </w:tcPr>
          <w:p w14:paraId="32807234" w14:textId="77777777" w:rsidR="003246FC" w:rsidRPr="003A6336" w:rsidRDefault="003246FC" w:rsidP="009B4355">
            <w:pPr>
              <w:rPr>
                <w:rFonts w:ascii="Aptos" w:hAnsi="Aptos"/>
              </w:rPr>
            </w:pPr>
            <w:r w:rsidRPr="006F7AF8">
              <w:rPr>
                <w:rFonts w:ascii="Aptos" w:hAnsi="Aptos"/>
                <w:lang w:val="fr-FR"/>
              </w:rPr>
              <w:t>Proportion</w:t>
            </w:r>
          </w:p>
        </w:tc>
      </w:tr>
      <w:tr w:rsidR="003246FC" w:rsidRPr="003A6336" w14:paraId="4AE4E6F7" w14:textId="77777777" w:rsidTr="009B4355">
        <w:tc>
          <w:tcPr>
            <w:tcW w:w="0" w:type="auto"/>
          </w:tcPr>
          <w:p w14:paraId="0AAAD19E" w14:textId="77777777" w:rsidR="003246FC" w:rsidRPr="003A6336" w:rsidRDefault="003246FC" w:rsidP="009B4355">
            <w:pPr>
              <w:rPr>
                <w:rFonts w:ascii="Aptos" w:hAnsi="Aptos"/>
              </w:rPr>
            </w:pPr>
            <w:r w:rsidRPr="003A6336">
              <w:rPr>
                <w:rFonts w:ascii="Aptos" w:eastAsia="Segoe UI" w:hAnsi="Aptos" w:cs="Segoe UI"/>
                <w:color w:val="0F1115"/>
              </w:rPr>
              <w:t>Current Status</w:t>
            </w:r>
          </w:p>
        </w:tc>
        <w:tc>
          <w:tcPr>
            <w:tcW w:w="0" w:type="auto"/>
          </w:tcPr>
          <w:p w14:paraId="56385A16" w14:textId="77777777" w:rsidR="003246FC" w:rsidRPr="003A6336" w:rsidRDefault="003246FC" w:rsidP="009B4355">
            <w:pPr>
              <w:rPr>
                <w:rFonts w:ascii="Aptos" w:hAnsi="Aptos"/>
              </w:rPr>
            </w:pPr>
            <w:r w:rsidRPr="006F7AF8">
              <w:rPr>
                <w:rFonts w:ascii="Aptos" w:hAnsi="Aptos"/>
                <w:lang w:val="fr-FR"/>
              </w:rPr>
              <w:t>État actuel</w:t>
            </w:r>
          </w:p>
        </w:tc>
      </w:tr>
      <w:tr w:rsidR="003246FC" w:rsidRPr="003A6336" w14:paraId="100A23B9" w14:textId="77777777" w:rsidTr="009B4355">
        <w:tc>
          <w:tcPr>
            <w:tcW w:w="0" w:type="auto"/>
          </w:tcPr>
          <w:p w14:paraId="4A7D7DED" w14:textId="77777777" w:rsidR="003246FC" w:rsidRPr="003A6336" w:rsidRDefault="003246FC" w:rsidP="009B4355">
            <w:pPr>
              <w:rPr>
                <w:rFonts w:ascii="Aptos" w:hAnsi="Aptos"/>
              </w:rPr>
            </w:pPr>
            <w:r w:rsidRPr="003A6336">
              <w:rPr>
                <w:rFonts w:ascii="Aptos" w:eastAsia="Segoe UI" w:hAnsi="Aptos" w:cs="Segoe UI"/>
                <w:color w:val="0F1115"/>
              </w:rPr>
              <w:t>improving</w:t>
            </w:r>
          </w:p>
        </w:tc>
        <w:tc>
          <w:tcPr>
            <w:tcW w:w="0" w:type="auto"/>
          </w:tcPr>
          <w:p w14:paraId="4B54D207" w14:textId="77777777" w:rsidR="003246FC" w:rsidRPr="003A6336" w:rsidRDefault="003246FC" w:rsidP="009B4355">
            <w:pPr>
              <w:rPr>
                <w:rFonts w:ascii="Aptos" w:hAnsi="Aptos"/>
              </w:rPr>
            </w:pPr>
            <w:r>
              <w:rPr>
                <w:rFonts w:ascii="Aptos" w:hAnsi="Aptos"/>
                <w:lang w:val="fr-FR"/>
              </w:rPr>
              <w:t>Amélioration</w:t>
            </w:r>
          </w:p>
        </w:tc>
      </w:tr>
      <w:tr w:rsidR="003246FC" w:rsidRPr="003A6336" w14:paraId="6791CB3F" w14:textId="77777777" w:rsidTr="009B4355">
        <w:tc>
          <w:tcPr>
            <w:tcW w:w="0" w:type="auto"/>
          </w:tcPr>
          <w:p w14:paraId="70092720" w14:textId="77777777" w:rsidR="003246FC" w:rsidRPr="003A6336" w:rsidRDefault="003246FC" w:rsidP="009B4355">
            <w:pPr>
              <w:rPr>
                <w:rFonts w:ascii="Aptos" w:hAnsi="Aptos"/>
              </w:rPr>
            </w:pPr>
            <w:r w:rsidRPr="003A6336">
              <w:rPr>
                <w:rFonts w:ascii="Aptos" w:eastAsia="Segoe UI" w:hAnsi="Aptos" w:cs="Segoe UI"/>
                <w:color w:val="0F1115"/>
              </w:rPr>
              <w:t>stable</w:t>
            </w:r>
          </w:p>
        </w:tc>
        <w:tc>
          <w:tcPr>
            <w:tcW w:w="0" w:type="auto"/>
          </w:tcPr>
          <w:p w14:paraId="2A2EFC4C" w14:textId="77777777" w:rsidR="003246FC" w:rsidRPr="003A6336" w:rsidRDefault="003246FC" w:rsidP="009B4355">
            <w:pPr>
              <w:rPr>
                <w:rFonts w:ascii="Aptos" w:hAnsi="Aptos"/>
              </w:rPr>
            </w:pPr>
            <w:r w:rsidRPr="006F7AF8">
              <w:rPr>
                <w:rFonts w:ascii="Aptos" w:hAnsi="Aptos"/>
                <w:lang w:val="fr-FR"/>
              </w:rPr>
              <w:t>Stab</w:t>
            </w:r>
            <w:r>
              <w:rPr>
                <w:rFonts w:ascii="Aptos" w:hAnsi="Aptos"/>
                <w:lang w:val="fr-FR"/>
              </w:rPr>
              <w:t>ilité</w:t>
            </w:r>
          </w:p>
        </w:tc>
      </w:tr>
      <w:tr w:rsidR="003246FC" w:rsidRPr="003A6336" w14:paraId="7E5887B6" w14:textId="77777777" w:rsidTr="009B4355">
        <w:tc>
          <w:tcPr>
            <w:tcW w:w="0" w:type="auto"/>
          </w:tcPr>
          <w:p w14:paraId="5F2F0F58" w14:textId="77777777" w:rsidR="003246FC" w:rsidRPr="003A6336" w:rsidRDefault="003246FC" w:rsidP="009B4355">
            <w:pPr>
              <w:rPr>
                <w:rFonts w:ascii="Aptos" w:hAnsi="Aptos"/>
              </w:rPr>
            </w:pPr>
            <w:r w:rsidRPr="003A6336">
              <w:rPr>
                <w:rFonts w:ascii="Aptos" w:eastAsia="Segoe UI" w:hAnsi="Aptos" w:cs="Segoe UI"/>
                <w:color w:val="0F1115"/>
              </w:rPr>
              <w:t>moving away</w:t>
            </w:r>
          </w:p>
        </w:tc>
        <w:tc>
          <w:tcPr>
            <w:tcW w:w="0" w:type="auto"/>
          </w:tcPr>
          <w:p w14:paraId="2B6C8C8B" w14:textId="77777777" w:rsidR="003246FC" w:rsidRPr="003A6336" w:rsidRDefault="003246FC" w:rsidP="009B4355">
            <w:pPr>
              <w:rPr>
                <w:rFonts w:ascii="Aptos" w:hAnsi="Aptos"/>
              </w:rPr>
            </w:pPr>
            <w:r>
              <w:rPr>
                <w:rFonts w:ascii="Aptos" w:hAnsi="Aptos"/>
                <w:lang w:val="fr-FR"/>
              </w:rPr>
              <w:t>Éloignement</w:t>
            </w:r>
          </w:p>
        </w:tc>
      </w:tr>
      <w:tr w:rsidR="003246FC" w:rsidRPr="003A6336" w14:paraId="1371080F" w14:textId="77777777" w:rsidTr="009B4355">
        <w:tc>
          <w:tcPr>
            <w:tcW w:w="0" w:type="auto"/>
          </w:tcPr>
          <w:p w14:paraId="255B3B71" w14:textId="77777777" w:rsidR="003246FC" w:rsidRPr="003A6336" w:rsidRDefault="003246FC" w:rsidP="009B4355">
            <w:pPr>
              <w:rPr>
                <w:rFonts w:ascii="Aptos" w:hAnsi="Aptos"/>
              </w:rPr>
            </w:pPr>
            <w:r w:rsidRPr="003A6336">
              <w:rPr>
                <w:rFonts w:ascii="Aptos" w:eastAsia="Segoe UI" w:hAnsi="Aptos" w:cs="Segoe UI"/>
                <w:color w:val="0F1115"/>
              </w:rPr>
              <w:t>Party count: 57</w:t>
            </w:r>
          </w:p>
        </w:tc>
        <w:tc>
          <w:tcPr>
            <w:tcW w:w="0" w:type="auto"/>
          </w:tcPr>
          <w:p w14:paraId="38042E4D" w14:textId="77777777" w:rsidR="003246FC" w:rsidRPr="003A6336" w:rsidRDefault="003246FC" w:rsidP="009B4355">
            <w:pPr>
              <w:rPr>
                <w:rFonts w:ascii="Aptos" w:hAnsi="Aptos"/>
              </w:rPr>
            </w:pPr>
            <w:r w:rsidRPr="006F7AF8">
              <w:rPr>
                <w:rFonts w:ascii="Aptos" w:hAnsi="Aptos"/>
                <w:lang w:val="fr-FR"/>
              </w:rPr>
              <w:t xml:space="preserve">Nombre de Parties : </w:t>
            </w:r>
            <w:r>
              <w:rPr>
                <w:rFonts w:ascii="Aptos" w:hAnsi="Aptos"/>
                <w:lang w:val="fr-FR"/>
              </w:rPr>
              <w:t>57</w:t>
            </w:r>
          </w:p>
        </w:tc>
      </w:tr>
    </w:tbl>
    <w:p w14:paraId="3FBF34D1" w14:textId="77777777" w:rsidR="00411F7B" w:rsidRPr="00653BF4" w:rsidRDefault="00411F7B" w:rsidP="00E53D1A">
      <w:pPr>
        <w:rPr>
          <w:lang w:val="fr-FR" w:eastAsia="ja-JP"/>
        </w:rPr>
      </w:pPr>
    </w:p>
    <w:bookmarkEnd w:id="79"/>
    <w:p w14:paraId="18C7C26A" w14:textId="31B4427E" w:rsidR="00264C9A" w:rsidRPr="00653BF4" w:rsidRDefault="00D21C0E" w:rsidP="00981A68">
      <w:pPr>
        <w:rPr>
          <w:rFonts w:ascii="Aptos" w:hAnsi="Aptos"/>
          <w:sz w:val="20"/>
          <w:szCs w:val="20"/>
          <w:lang w:val="fr-FR"/>
        </w:rPr>
      </w:pPr>
      <w:r w:rsidRPr="00653BF4">
        <w:rPr>
          <w:rFonts w:ascii="Aptos" w:hAnsi="Aptos"/>
          <w:sz w:val="20"/>
          <w:szCs w:val="20"/>
          <w:lang w:val="fr-FR"/>
        </w:rPr>
        <w:t xml:space="preserve">Figure </w:t>
      </w:r>
      <w:r w:rsidR="00264C9A" w:rsidRPr="00653BF4">
        <w:rPr>
          <w:rFonts w:ascii="Aptos" w:hAnsi="Aptos"/>
          <w:sz w:val="20"/>
          <w:szCs w:val="20"/>
          <w:lang w:val="fr-FR"/>
        </w:rPr>
        <w:t>9</w:t>
      </w:r>
    </w:p>
    <w:p w14:paraId="20028C46" w14:textId="1AA36E27" w:rsidR="00981A68" w:rsidRPr="00653BF4" w:rsidRDefault="00735845" w:rsidP="00981A68">
      <w:pPr>
        <w:rPr>
          <w:rFonts w:ascii="Aptos" w:hAnsi="Aptos"/>
          <w:sz w:val="20"/>
          <w:szCs w:val="20"/>
          <w:lang w:val="fr-FR"/>
        </w:rPr>
      </w:pPr>
      <w:r w:rsidRPr="00735845">
        <w:rPr>
          <w:rFonts w:ascii="Aptos" w:hAnsi="Aptos"/>
          <w:b/>
          <w:bCs/>
          <w:sz w:val="20"/>
          <w:szCs w:val="20"/>
          <w:lang w:val="fr-FR"/>
        </w:rPr>
        <w:lastRenderedPageBreak/>
        <w:t>Nombre de pays recourant à des processus de planification spatiale participatifs, intégrés et respectueux de la biodiversité et/ou à des processus de gestion efficaces dans le cadre de processus de changement d’affectation des terres et des mers, afin de réduire la perte de zones de grande importance pour la biodiversité, y compris d’écosystèmes de grande intégrité écologique, à un niveau proche de zéro d’ici à 2030</w:t>
      </w:r>
    </w:p>
    <w:p w14:paraId="5F233918" w14:textId="18DEAC2E" w:rsidR="00CF5FAD" w:rsidRPr="00653BF4" w:rsidRDefault="00CA50AF" w:rsidP="005A49DA">
      <w:pPr>
        <w:pStyle w:val="Caption"/>
        <w:rPr>
          <w:rFonts w:ascii="Aptos" w:hAnsi="Aptos"/>
          <w:lang w:val="fr-FR"/>
        </w:rPr>
      </w:pPr>
      <w:bookmarkStart w:id="80" w:name="_Ref230979335"/>
      <w:r w:rsidRPr="00653BF4">
        <w:rPr>
          <w:rFonts w:ascii="Aptos" w:hAnsi="Aptos"/>
          <w:noProof/>
          <w:lang w:val="fr-FR"/>
          <w14:ligatures w14:val="standardContextual"/>
        </w:rPr>
        <w:drawing>
          <wp:inline distT="0" distB="0" distL="0" distR="0" wp14:anchorId="6F6B2D73" wp14:editId="7703A459">
            <wp:extent cx="5943600" cy="2264410"/>
            <wp:effectExtent l="0" t="0" r="0" b="0"/>
            <wp:docPr id="7366858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685847" name="Picture 736685847"/>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80"/>
    <w:p w14:paraId="46F15E9E" w14:textId="754D0570" w:rsidR="00AE6AD7" w:rsidRPr="00653BF4" w:rsidRDefault="006A631C" w:rsidP="00AE6AD7">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00027525" w:rsidRPr="00653BF4">
        <w:rPr>
          <w:rFonts w:ascii="Aptos" w:hAnsi="Aptos"/>
          <w:lang w:val="fr-FR"/>
        </w:rPr>
        <w:t xml:space="preserve"> </w:t>
      </w:r>
      <w:r w:rsidR="006E496B" w:rsidRPr="00653BF4">
        <w:rPr>
          <w:rFonts w:ascii="Aptos" w:hAnsi="Aptos"/>
          <w:i w:val="0"/>
          <w:iCs w:val="0"/>
          <w:lang w:val="fr-FR"/>
        </w:rPr>
        <w:t>La largeur des barres indique le pourcentage de Parties dans chaque catégorie de note, une note plus élevée correspondant à des progrès plus importants. Les notes sont établies d’après les réponses aux questions de l’indicateur</w:t>
      </w:r>
      <w:r w:rsidR="006E496B" w:rsidRPr="00653BF4">
        <w:rPr>
          <w:rFonts w:ascii="Aptos" w:hAnsi="Aptos"/>
          <w:i w:val="0"/>
          <w:iCs w:val="0"/>
          <w:vertAlign w:val="superscript"/>
          <w:lang w:val="fr-FR"/>
        </w:rPr>
        <w:t>a</w:t>
      </w:r>
      <w:r w:rsidR="006E496B" w:rsidRPr="00653BF4">
        <w:rPr>
          <w:rFonts w:ascii="Aptos" w:hAnsi="Aptos"/>
          <w:i w:val="0"/>
          <w:iCs w:val="0"/>
          <w:lang w:val="fr-FR"/>
        </w:rPr>
        <w:t xml:space="preserve">. Le diagramme circulaire représente la répartition par région des Parties ayant répondu à toutes les questions. </w:t>
      </w:r>
      <w:r w:rsidR="006F426A" w:rsidRPr="00653BF4">
        <w:rPr>
          <w:rFonts w:ascii="Aptos" w:hAnsi="Aptos"/>
          <w:i w:val="0"/>
          <w:iCs w:val="0"/>
          <w:lang w:val="fr-FR"/>
        </w:rPr>
        <w:t>La couleur de chaque région est indiquée dans la légende de la figure</w:t>
      </w:r>
      <w:r w:rsidR="00E34DC9">
        <w:rPr>
          <w:rFonts w:ascii="Aptos" w:hAnsi="Aptos"/>
          <w:i w:val="0"/>
          <w:iCs w:val="0"/>
          <w:lang w:val="fr-FR"/>
        </w:rPr>
        <w:t> :</w:t>
      </w:r>
      <w:r w:rsidR="006F426A"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6F426A" w:rsidRPr="00653BF4">
        <w:rPr>
          <w:rFonts w:ascii="Aptos" w:hAnsi="Aptos"/>
          <w:i w:val="0"/>
          <w:iCs w:val="0"/>
          <w:lang w:val="fr-FR"/>
        </w:rPr>
        <w:t xml:space="preserve"> les tons plus clairs, la proportion de Parties de la même région dont les données n’y figurent pas.</w:t>
      </w:r>
    </w:p>
    <w:p w14:paraId="366F76D2" w14:textId="134FD101" w:rsidR="00FD29BE" w:rsidRPr="00653BF4" w:rsidRDefault="0028016E" w:rsidP="00AE6AD7">
      <w:pPr>
        <w:pStyle w:val="Caption"/>
        <w:rPr>
          <w:i w:val="0"/>
          <w:lang w:val="fr-FR"/>
        </w:rPr>
      </w:pPr>
      <w:r w:rsidRPr="00653BF4">
        <w:rPr>
          <w:i w:val="0"/>
          <w:iCs w:val="0"/>
          <w:vertAlign w:val="superscript"/>
          <w:lang w:val="fr-FR"/>
        </w:rPr>
        <w:t xml:space="preserve">a </w:t>
      </w:r>
      <w:r w:rsidR="00C130C2" w:rsidRPr="00653BF4">
        <w:rPr>
          <w:i w:val="0"/>
          <w:iCs w:val="0"/>
          <w:lang w:val="fr-FR"/>
        </w:rPr>
        <w:t xml:space="preserve">La méthode de calcul des notes pour chaque indicateur binaire, ainsi que les questions associées à chaque indicateur, figurent dans le document </w:t>
      </w:r>
      <w:hyperlink r:id="rId54" w:history="1">
        <w:r w:rsidR="005058EA" w:rsidRPr="00653BF4">
          <w:rPr>
            <w:rStyle w:val="Hyperlink"/>
            <w:i w:val="0"/>
            <w:iCs w:val="0"/>
            <w:lang w:val="fr-FR"/>
          </w:rPr>
          <w:t>CBD/COP/16/INF/3/Rev.1</w:t>
        </w:r>
      </w:hyperlink>
      <w:r w:rsidR="005058EA" w:rsidRPr="00653BF4">
        <w:rPr>
          <w:i w:val="0"/>
          <w:iCs w:val="0"/>
          <w:lang w:val="fr-FR"/>
        </w:rPr>
        <w:t>.</w:t>
      </w:r>
    </w:p>
    <w:tbl>
      <w:tblPr>
        <w:tblStyle w:val="TableGrid"/>
        <w:tblW w:w="0" w:type="auto"/>
        <w:tblLook w:val="06A0" w:firstRow="1" w:lastRow="0" w:firstColumn="1" w:lastColumn="0" w:noHBand="1" w:noVBand="1"/>
      </w:tblPr>
      <w:tblGrid>
        <w:gridCol w:w="4060"/>
        <w:gridCol w:w="4545"/>
      </w:tblGrid>
      <w:tr w:rsidR="003246FC" w:rsidRPr="006833AC" w14:paraId="76661FBD" w14:textId="77777777" w:rsidTr="009B4355">
        <w:tc>
          <w:tcPr>
            <w:tcW w:w="0" w:type="auto"/>
            <w:gridSpan w:val="2"/>
          </w:tcPr>
          <w:p w14:paraId="4D05E66F" w14:textId="77777777" w:rsidR="003246FC" w:rsidRPr="006833AC" w:rsidRDefault="003246FC" w:rsidP="009B4355">
            <w:pPr>
              <w:rPr>
                <w:rFonts w:ascii="Aptos" w:eastAsia="Segoe UI" w:hAnsi="Aptos" w:cs="Segoe UI"/>
                <w:color w:val="0F1115"/>
              </w:rPr>
            </w:pPr>
            <w:bookmarkStart w:id="81" w:name="_Toc235821054"/>
            <w:r w:rsidRPr="006833AC">
              <w:rPr>
                <w:rFonts w:ascii="Aptos" w:eastAsia="Segoe UI" w:hAnsi="Aptos" w:cs="Segoe UI"/>
                <w:color w:val="0F1115"/>
              </w:rPr>
              <w:t>Figure 9</w:t>
            </w:r>
          </w:p>
        </w:tc>
      </w:tr>
      <w:tr w:rsidR="003246FC" w:rsidRPr="006833AC" w14:paraId="6C9A388E" w14:textId="77777777" w:rsidTr="009B4355">
        <w:tc>
          <w:tcPr>
            <w:tcW w:w="0" w:type="auto"/>
          </w:tcPr>
          <w:p w14:paraId="46DC99AF" w14:textId="77777777" w:rsidR="003246FC" w:rsidRPr="006833AC" w:rsidRDefault="003246FC" w:rsidP="009B4355">
            <w:pPr>
              <w:rPr>
                <w:rFonts w:ascii="Aptos" w:hAnsi="Aptos"/>
              </w:rPr>
            </w:pPr>
            <w:r w:rsidRPr="006833AC">
              <w:rPr>
                <w:rFonts w:ascii="Aptos" w:eastAsia="Segoe UI" w:hAnsi="Aptos" w:cs="Segoe UI"/>
                <w:color w:val="0F1115"/>
              </w:rPr>
              <w:t xml:space="preserve">English </w:t>
            </w:r>
          </w:p>
        </w:tc>
        <w:tc>
          <w:tcPr>
            <w:tcW w:w="0" w:type="auto"/>
          </w:tcPr>
          <w:p w14:paraId="1800AA84" w14:textId="77777777" w:rsidR="003246FC" w:rsidRPr="006833AC" w:rsidRDefault="003246FC" w:rsidP="009B4355">
            <w:pPr>
              <w:rPr>
                <w:rFonts w:ascii="Aptos" w:hAnsi="Aptos"/>
              </w:rPr>
            </w:pPr>
            <w:r>
              <w:rPr>
                <w:rFonts w:ascii="Aptos" w:eastAsia="Segoe UI" w:hAnsi="Aptos" w:cs="Segoe UI"/>
                <w:color w:val="0F1115"/>
              </w:rPr>
              <w:t>Français</w:t>
            </w:r>
          </w:p>
        </w:tc>
      </w:tr>
      <w:tr w:rsidR="003246FC" w:rsidRPr="003A6336" w14:paraId="687AE183" w14:textId="77777777" w:rsidTr="009B4355">
        <w:trPr>
          <w:trHeight w:val="20"/>
        </w:trPr>
        <w:tc>
          <w:tcPr>
            <w:tcW w:w="0" w:type="auto"/>
          </w:tcPr>
          <w:p w14:paraId="73789F09"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0" w:type="auto"/>
          </w:tcPr>
          <w:p w14:paraId="757A1B6B"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62E12F69" w14:textId="77777777" w:rsidTr="009B4355">
        <w:trPr>
          <w:trHeight w:val="20"/>
        </w:trPr>
        <w:tc>
          <w:tcPr>
            <w:tcW w:w="0" w:type="auto"/>
          </w:tcPr>
          <w:p w14:paraId="4D2A525B" w14:textId="77777777" w:rsidR="003246FC" w:rsidRPr="003A6336" w:rsidRDefault="003246FC" w:rsidP="009B4355">
            <w:pPr>
              <w:rPr>
                <w:rFonts w:ascii="Aptos" w:hAnsi="Aptos"/>
              </w:rPr>
            </w:pPr>
            <w:r w:rsidRPr="003A6336">
              <w:rPr>
                <w:rFonts w:ascii="Aptos" w:eastAsia="Segoe UI" w:hAnsi="Aptos" w:cs="Segoe UI"/>
                <w:color w:val="0F1115"/>
              </w:rPr>
              <w:t>Africa</w:t>
            </w:r>
            <w:r>
              <w:rPr>
                <w:rFonts w:ascii="Aptos" w:eastAsia="Segoe UI" w:hAnsi="Aptos" w:cs="Segoe UI"/>
                <w:color w:val="0F1115"/>
              </w:rPr>
              <w:t>n States</w:t>
            </w:r>
          </w:p>
        </w:tc>
        <w:tc>
          <w:tcPr>
            <w:tcW w:w="0" w:type="auto"/>
          </w:tcPr>
          <w:p w14:paraId="6BA638E2"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6023D282" w14:textId="77777777" w:rsidTr="009B4355">
        <w:trPr>
          <w:trHeight w:val="20"/>
        </w:trPr>
        <w:tc>
          <w:tcPr>
            <w:tcW w:w="0" w:type="auto"/>
          </w:tcPr>
          <w:p w14:paraId="73E4ABFA" w14:textId="77777777" w:rsidR="003246FC" w:rsidRPr="003A6336" w:rsidRDefault="003246FC" w:rsidP="009B4355">
            <w:pPr>
              <w:rPr>
                <w:rFonts w:ascii="Aptos" w:hAnsi="Aptos"/>
              </w:rPr>
            </w:pPr>
            <w:r w:rsidRPr="003A6336">
              <w:rPr>
                <w:rFonts w:ascii="Aptos" w:eastAsia="Segoe UI" w:hAnsi="Aptos" w:cs="Segoe UI"/>
                <w:color w:val="0F1115"/>
              </w:rPr>
              <w:t>Asia</w:t>
            </w:r>
            <w:r>
              <w:rPr>
                <w:rFonts w:ascii="Aptos" w:eastAsia="Segoe UI" w:hAnsi="Aptos" w:cs="Segoe UI"/>
                <w:color w:val="0F1115"/>
              </w:rPr>
              <w:t>-</w:t>
            </w:r>
            <w:r w:rsidRPr="003A6336">
              <w:rPr>
                <w:rFonts w:ascii="Aptos" w:eastAsia="Segoe UI" w:hAnsi="Aptos" w:cs="Segoe UI"/>
                <w:color w:val="0F1115"/>
              </w:rPr>
              <w:t xml:space="preserve"> Pacific</w:t>
            </w:r>
            <w:r>
              <w:rPr>
                <w:rFonts w:ascii="Aptos" w:eastAsia="Segoe UI" w:hAnsi="Aptos" w:cs="Segoe UI"/>
                <w:color w:val="0F1115"/>
              </w:rPr>
              <w:t xml:space="preserve"> States</w:t>
            </w:r>
          </w:p>
        </w:tc>
        <w:tc>
          <w:tcPr>
            <w:tcW w:w="0" w:type="auto"/>
          </w:tcPr>
          <w:p w14:paraId="26A6980C"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42008AF7" w14:textId="77777777" w:rsidTr="009B4355">
        <w:trPr>
          <w:trHeight w:val="20"/>
        </w:trPr>
        <w:tc>
          <w:tcPr>
            <w:tcW w:w="0" w:type="auto"/>
          </w:tcPr>
          <w:p w14:paraId="594FB05F" w14:textId="77777777" w:rsidR="003246FC" w:rsidRPr="003A6336" w:rsidRDefault="003246FC" w:rsidP="009B4355">
            <w:pPr>
              <w:rPr>
                <w:rFonts w:ascii="Aptos" w:hAnsi="Aptos"/>
              </w:rPr>
            </w:pPr>
            <w:r w:rsidRPr="003A6336">
              <w:rPr>
                <w:rFonts w:ascii="Aptos" w:eastAsia="Segoe UI" w:hAnsi="Aptos" w:cs="Segoe UI"/>
                <w:color w:val="0F1115"/>
              </w:rPr>
              <w:t>Latin America</w:t>
            </w:r>
            <w:r>
              <w:rPr>
                <w:rFonts w:ascii="Aptos" w:eastAsia="Segoe UI" w:hAnsi="Aptos" w:cs="Segoe UI"/>
                <w:color w:val="0F1115"/>
              </w:rPr>
              <w:t>n</w:t>
            </w:r>
            <w:r w:rsidRPr="003A6336">
              <w:rPr>
                <w:rFonts w:ascii="Aptos" w:eastAsia="Segoe UI" w:hAnsi="Aptos" w:cs="Segoe UI"/>
                <w:color w:val="0F1115"/>
              </w:rPr>
              <w:t xml:space="preserve"> and Caribbean</w:t>
            </w:r>
            <w:r>
              <w:rPr>
                <w:rFonts w:ascii="Aptos" w:eastAsia="Segoe UI" w:hAnsi="Aptos" w:cs="Segoe UI"/>
                <w:color w:val="0F1115"/>
              </w:rPr>
              <w:t xml:space="preserve"> States</w:t>
            </w:r>
          </w:p>
        </w:tc>
        <w:tc>
          <w:tcPr>
            <w:tcW w:w="0" w:type="auto"/>
          </w:tcPr>
          <w:p w14:paraId="612E22F9"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47B71321" w14:textId="77777777" w:rsidTr="009B4355">
        <w:trPr>
          <w:trHeight w:val="20"/>
        </w:trPr>
        <w:tc>
          <w:tcPr>
            <w:tcW w:w="0" w:type="auto"/>
          </w:tcPr>
          <w:p w14:paraId="29DFFDC6" w14:textId="77777777" w:rsidR="003246FC" w:rsidRPr="003A6336" w:rsidRDefault="003246FC" w:rsidP="009B4355">
            <w:pPr>
              <w:rPr>
                <w:rFonts w:ascii="Aptos" w:hAnsi="Aptos"/>
              </w:rPr>
            </w:pPr>
            <w:r>
              <w:rPr>
                <w:rFonts w:ascii="Aptos" w:eastAsia="Segoe UI" w:hAnsi="Aptos" w:cs="Segoe UI"/>
                <w:color w:val="0F1115"/>
              </w:rPr>
              <w:t>Eastern European States</w:t>
            </w:r>
          </w:p>
        </w:tc>
        <w:tc>
          <w:tcPr>
            <w:tcW w:w="0" w:type="auto"/>
          </w:tcPr>
          <w:p w14:paraId="111758D1"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1F10816B" w14:textId="77777777" w:rsidTr="009B4355">
        <w:trPr>
          <w:trHeight w:val="20"/>
        </w:trPr>
        <w:tc>
          <w:tcPr>
            <w:tcW w:w="0" w:type="auto"/>
          </w:tcPr>
          <w:p w14:paraId="5565C496" w14:textId="77777777" w:rsidR="003246FC" w:rsidRPr="003A6336" w:rsidRDefault="003246FC" w:rsidP="009B4355">
            <w:pPr>
              <w:rPr>
                <w:rFonts w:ascii="Aptos" w:hAnsi="Aptos"/>
              </w:rPr>
            </w:pPr>
            <w:r w:rsidRPr="003A6336">
              <w:rPr>
                <w:rFonts w:ascii="Aptos" w:eastAsia="Segoe UI" w:hAnsi="Aptos" w:cs="Segoe UI"/>
                <w:color w:val="0F1115"/>
              </w:rPr>
              <w:t>Western Europe</w:t>
            </w:r>
            <w:r>
              <w:rPr>
                <w:rFonts w:ascii="Aptos" w:eastAsia="Segoe UI" w:hAnsi="Aptos" w:cs="Segoe UI"/>
                <w:color w:val="0F1115"/>
              </w:rPr>
              <w:t>an</w:t>
            </w:r>
            <w:r w:rsidRPr="003A6336">
              <w:rPr>
                <w:rFonts w:ascii="Aptos" w:eastAsia="Segoe UI" w:hAnsi="Aptos" w:cs="Segoe UI"/>
                <w:color w:val="0F1115"/>
              </w:rPr>
              <w:t xml:space="preserve"> and </w:t>
            </w:r>
            <w:r>
              <w:rPr>
                <w:rFonts w:ascii="Aptos" w:eastAsia="Segoe UI" w:hAnsi="Aptos" w:cs="Segoe UI"/>
                <w:color w:val="0F1115"/>
              </w:rPr>
              <w:t>o</w:t>
            </w:r>
            <w:r w:rsidRPr="003A6336">
              <w:rPr>
                <w:rFonts w:ascii="Aptos" w:eastAsia="Segoe UI" w:hAnsi="Aptos" w:cs="Segoe UI"/>
                <w:color w:val="0F1115"/>
              </w:rPr>
              <w:t xml:space="preserve">ther </w:t>
            </w:r>
            <w:r>
              <w:rPr>
                <w:rFonts w:ascii="Aptos" w:eastAsia="Segoe UI" w:hAnsi="Aptos" w:cs="Segoe UI"/>
                <w:color w:val="0F1115"/>
              </w:rPr>
              <w:t>States</w:t>
            </w:r>
          </w:p>
        </w:tc>
        <w:tc>
          <w:tcPr>
            <w:tcW w:w="0" w:type="auto"/>
          </w:tcPr>
          <w:p w14:paraId="3C33820A"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029A241A" w14:textId="77777777" w:rsidTr="009B4355">
        <w:trPr>
          <w:trHeight w:val="20"/>
        </w:trPr>
        <w:tc>
          <w:tcPr>
            <w:tcW w:w="0" w:type="auto"/>
          </w:tcPr>
          <w:p w14:paraId="574199CC" w14:textId="77777777" w:rsidR="003246FC" w:rsidRPr="003A6336" w:rsidRDefault="003246FC" w:rsidP="009B4355">
            <w:pPr>
              <w:rPr>
                <w:rFonts w:ascii="Aptos" w:hAnsi="Aptos"/>
              </w:rPr>
            </w:pPr>
            <w:r>
              <w:rPr>
                <w:rFonts w:ascii="Aptos" w:eastAsia="Segoe UI" w:hAnsi="Aptos" w:cs="Segoe UI"/>
                <w:color w:val="0F1115"/>
              </w:rPr>
              <w:t>Answers (percentage)</w:t>
            </w:r>
          </w:p>
        </w:tc>
        <w:tc>
          <w:tcPr>
            <w:tcW w:w="0" w:type="auto"/>
          </w:tcPr>
          <w:p w14:paraId="0AB5FC3B" w14:textId="77777777" w:rsidR="003246FC" w:rsidRPr="003A6336" w:rsidRDefault="003246FC" w:rsidP="009B4355">
            <w:pPr>
              <w:rPr>
                <w:rFonts w:ascii="Aptos" w:hAnsi="Aptos"/>
              </w:rPr>
            </w:pPr>
            <w:r>
              <w:rPr>
                <w:rFonts w:ascii="Aptos" w:hAnsi="Aptos"/>
                <w:lang w:val="fr-FR"/>
              </w:rPr>
              <w:t>Réponses (pourcentage)</w:t>
            </w:r>
          </w:p>
        </w:tc>
      </w:tr>
      <w:tr w:rsidR="003246FC" w:rsidRPr="003A6336" w14:paraId="5797F0D7" w14:textId="77777777" w:rsidTr="009B4355">
        <w:trPr>
          <w:trHeight w:val="20"/>
        </w:trPr>
        <w:tc>
          <w:tcPr>
            <w:tcW w:w="0" w:type="auto"/>
          </w:tcPr>
          <w:p w14:paraId="6E67A38D" w14:textId="77777777" w:rsidR="003246FC" w:rsidRPr="003A6336" w:rsidRDefault="003246FC" w:rsidP="009B4355">
            <w:pPr>
              <w:rPr>
                <w:rFonts w:ascii="Aptos" w:hAnsi="Aptos"/>
              </w:rPr>
            </w:pPr>
            <w:r>
              <w:rPr>
                <w:rFonts w:ascii="Aptos" w:eastAsia="Segoe UI" w:hAnsi="Aptos" w:cs="Segoe UI"/>
                <w:color w:val="0F1115"/>
              </w:rPr>
              <w:t>Score level</w:t>
            </w:r>
          </w:p>
        </w:tc>
        <w:tc>
          <w:tcPr>
            <w:tcW w:w="0" w:type="auto"/>
          </w:tcPr>
          <w:p w14:paraId="18FA5B94" w14:textId="77777777" w:rsidR="003246FC" w:rsidRPr="003A6336" w:rsidRDefault="003246FC" w:rsidP="009B4355">
            <w:pPr>
              <w:rPr>
                <w:rFonts w:ascii="Aptos" w:hAnsi="Aptos"/>
              </w:rPr>
            </w:pPr>
            <w:r>
              <w:rPr>
                <w:rFonts w:ascii="Aptos" w:hAnsi="Aptos"/>
                <w:lang w:val="fr-FR"/>
              </w:rPr>
              <w:t>Note</w:t>
            </w:r>
          </w:p>
        </w:tc>
      </w:tr>
      <w:tr w:rsidR="003246FC" w:rsidRPr="003A6336" w14:paraId="4551DE82" w14:textId="77777777" w:rsidTr="009B4355">
        <w:trPr>
          <w:trHeight w:val="20"/>
        </w:trPr>
        <w:tc>
          <w:tcPr>
            <w:tcW w:w="0" w:type="auto"/>
          </w:tcPr>
          <w:p w14:paraId="7AFF4B28" w14:textId="77777777" w:rsidR="003246FC" w:rsidRPr="003A6336" w:rsidRDefault="003246FC" w:rsidP="009B4355">
            <w:pPr>
              <w:rPr>
                <w:rFonts w:ascii="Aptos" w:hAnsi="Aptos"/>
              </w:rPr>
            </w:pPr>
            <w:r w:rsidRPr="003A6336">
              <w:rPr>
                <w:rFonts w:ascii="Aptos" w:eastAsia="Segoe UI" w:hAnsi="Aptos" w:cs="Segoe UI"/>
                <w:color w:val="0F1115"/>
              </w:rPr>
              <w:t xml:space="preserve">Party count: </w:t>
            </w:r>
            <w:r>
              <w:rPr>
                <w:rFonts w:ascii="Aptos" w:eastAsia="Segoe UI" w:hAnsi="Aptos" w:cs="Segoe UI"/>
                <w:color w:val="0F1115"/>
              </w:rPr>
              <w:t>12</w:t>
            </w:r>
            <w:r w:rsidRPr="003A6336">
              <w:rPr>
                <w:rFonts w:ascii="Aptos" w:eastAsia="Segoe UI" w:hAnsi="Aptos" w:cs="Segoe UI"/>
                <w:color w:val="0F1115"/>
              </w:rPr>
              <w:t>7</w:t>
            </w:r>
          </w:p>
        </w:tc>
        <w:tc>
          <w:tcPr>
            <w:tcW w:w="0" w:type="auto"/>
          </w:tcPr>
          <w:p w14:paraId="2EF342AE" w14:textId="77777777" w:rsidR="003246FC" w:rsidRPr="003A6336" w:rsidRDefault="003246FC" w:rsidP="009B4355">
            <w:pPr>
              <w:rPr>
                <w:rFonts w:ascii="Aptos" w:hAnsi="Aptos"/>
              </w:rPr>
            </w:pPr>
            <w:r w:rsidRPr="006F7AF8">
              <w:rPr>
                <w:rFonts w:ascii="Aptos" w:hAnsi="Aptos"/>
                <w:lang w:val="fr-FR"/>
              </w:rPr>
              <w:t xml:space="preserve">Nombre de Parties : </w:t>
            </w:r>
            <w:r>
              <w:rPr>
                <w:rFonts w:ascii="Aptos" w:hAnsi="Aptos"/>
                <w:lang w:val="fr-FR"/>
              </w:rPr>
              <w:t>127</w:t>
            </w:r>
          </w:p>
        </w:tc>
      </w:tr>
    </w:tbl>
    <w:p w14:paraId="7C92998D" w14:textId="77777777" w:rsidR="00947ED9" w:rsidRPr="00653BF4" w:rsidRDefault="00947ED9" w:rsidP="00874061">
      <w:pPr>
        <w:pStyle w:val="Heading5"/>
        <w:rPr>
          <w:lang w:val="fr-FR"/>
        </w:rPr>
      </w:pPr>
    </w:p>
    <w:p w14:paraId="3D32C0D9" w14:textId="0B6315D7" w:rsidR="00563EC1" w:rsidRPr="00653BF4" w:rsidRDefault="00DD19D2" w:rsidP="00874061">
      <w:pPr>
        <w:pStyle w:val="Heading5"/>
        <w:rPr>
          <w:lang w:val="fr-FR"/>
        </w:rPr>
      </w:pPr>
      <w:r w:rsidRPr="00653BF4">
        <w:rPr>
          <w:lang w:val="fr-FR"/>
        </w:rPr>
        <w:t>Auto-évaluation des progrès</w:t>
      </w:r>
      <w:bookmarkEnd w:id="81"/>
      <w:r w:rsidR="003E61BE" w:rsidRPr="00653BF4">
        <w:rPr>
          <w:lang w:val="fr-FR"/>
        </w:rPr>
        <w:t xml:space="preserve"> accomplis</w:t>
      </w:r>
    </w:p>
    <w:p w14:paraId="3B8EFFB9" w14:textId="77777777" w:rsidR="00947ED9" w:rsidRPr="00653BF4" w:rsidRDefault="00947ED9" w:rsidP="00947ED9">
      <w:pPr>
        <w:rPr>
          <w:lang w:val="fr-FR"/>
        </w:rPr>
      </w:pPr>
    </w:p>
    <w:p w14:paraId="5F1D2437" w14:textId="6632CB76" w:rsidR="00563EC1" w:rsidRPr="00653BF4" w:rsidRDefault="00592405" w:rsidP="00563EC1">
      <w:pPr>
        <w:rPr>
          <w:lang w:val="fr-FR"/>
        </w:rPr>
      </w:pPr>
      <w:r w:rsidRPr="00653BF4">
        <w:rPr>
          <w:lang w:val="fr-FR"/>
        </w:rPr>
        <w:t>D’après les auto-évaluations des Parties figurant dans leurs rapports nationaux, 46</w:t>
      </w:r>
      <w:r w:rsidR="002878D7">
        <w:rPr>
          <w:lang w:val="fr-FR"/>
        </w:rPr>
        <w:t> %</w:t>
      </w:r>
      <w:r w:rsidR="004D3F48" w:rsidRPr="00653BF4">
        <w:rPr>
          <w:lang w:val="fr-FR"/>
        </w:rPr>
        <w:t xml:space="preserve"> </w:t>
      </w:r>
      <w:r w:rsidR="008E7B58" w:rsidRPr="00653BF4">
        <w:rPr>
          <w:lang w:val="fr-FR"/>
        </w:rPr>
        <w:t xml:space="preserve">des cibles nationales qu’elles ont présentées comme étroitement alignées sur la </w:t>
      </w:r>
      <w:r w:rsidR="00E34DC9">
        <w:rPr>
          <w:lang w:val="fr-FR"/>
        </w:rPr>
        <w:t>cible 1</w:t>
      </w:r>
      <w:r w:rsidR="008E7B58" w:rsidRPr="00653BF4">
        <w:rPr>
          <w:lang w:val="fr-FR"/>
        </w:rPr>
        <w:t xml:space="preserve"> sont </w:t>
      </w:r>
      <w:r w:rsidR="008E7B58" w:rsidRPr="00653BF4">
        <w:rPr>
          <w:lang w:val="fr-FR"/>
        </w:rPr>
        <w:lastRenderedPageBreak/>
        <w:t xml:space="preserve">en voie d’être atteintes, alors </w:t>
      </w:r>
      <w:r w:rsidR="00495245">
        <w:rPr>
          <w:lang w:val="fr-FR"/>
        </w:rPr>
        <w:t xml:space="preserve">que </w:t>
      </w:r>
      <w:r w:rsidR="008E7B58" w:rsidRPr="00653BF4">
        <w:rPr>
          <w:lang w:val="fr-FR"/>
        </w:rPr>
        <w:t>50</w:t>
      </w:r>
      <w:r w:rsidR="002878D7">
        <w:rPr>
          <w:lang w:val="fr-FR"/>
        </w:rPr>
        <w:t> %</w:t>
      </w:r>
      <w:r w:rsidR="008E7B58" w:rsidRPr="00653BF4">
        <w:rPr>
          <w:lang w:val="fr-FR"/>
        </w:rPr>
        <w:t xml:space="preserve"> n’enregistre</w:t>
      </w:r>
      <w:r w:rsidR="00495245">
        <w:rPr>
          <w:lang w:val="fr-FR"/>
        </w:rPr>
        <w:t>nt</w:t>
      </w:r>
      <w:r w:rsidR="008E7B58" w:rsidRPr="00653BF4">
        <w:rPr>
          <w:lang w:val="fr-FR"/>
        </w:rPr>
        <w:t xml:space="preserve"> aucun progrès notable ou des progrès insuffisants </w:t>
      </w:r>
      <w:r w:rsidR="0054678A" w:rsidRPr="00653BF4">
        <w:rPr>
          <w:lang w:val="fr-FR"/>
        </w:rPr>
        <w:t xml:space="preserve">(voir </w:t>
      </w:r>
      <w:r w:rsidRPr="00653BF4">
        <w:rPr>
          <w:lang w:val="fr-FR"/>
        </w:rPr>
        <w:t>la f</w:t>
      </w:r>
      <w:r w:rsidR="0054678A" w:rsidRPr="00653BF4">
        <w:rPr>
          <w:lang w:val="fr-FR"/>
        </w:rPr>
        <w:t>igure 10).</w:t>
      </w:r>
    </w:p>
    <w:p w14:paraId="7E96D15C" w14:textId="28E69509" w:rsidR="006F501B" w:rsidRPr="00653BF4" w:rsidRDefault="006F501B" w:rsidP="006F501B">
      <w:pPr>
        <w:pStyle w:val="Caption"/>
        <w:rPr>
          <w:i w:val="0"/>
          <w:iCs w:val="0"/>
          <w:sz w:val="20"/>
          <w:szCs w:val="20"/>
          <w:lang w:val="fr-FR"/>
        </w:rPr>
      </w:pPr>
      <w:bookmarkStart w:id="82" w:name="_Ref230005544"/>
      <w:r w:rsidRPr="00653BF4">
        <w:rPr>
          <w:i w:val="0"/>
          <w:iCs w:val="0"/>
          <w:sz w:val="20"/>
          <w:szCs w:val="20"/>
          <w:lang w:val="fr-FR"/>
        </w:rPr>
        <w:t xml:space="preserve">Figure </w:t>
      </w:r>
      <w:r w:rsidRPr="00653BF4">
        <w:rPr>
          <w:i w:val="0"/>
          <w:iCs w:val="0"/>
          <w:noProof/>
          <w:sz w:val="20"/>
          <w:szCs w:val="20"/>
          <w:lang w:val="fr-FR"/>
        </w:rPr>
        <w:t>10</w:t>
      </w:r>
      <w:bookmarkEnd w:id="82"/>
    </w:p>
    <w:p w14:paraId="71CFDA2E" w14:textId="03F68EEC" w:rsidR="006F501B" w:rsidRPr="00653BF4" w:rsidRDefault="00630A18" w:rsidP="006F501B">
      <w:pPr>
        <w:pStyle w:val="Caption"/>
        <w:rPr>
          <w:lang w:val="fr-FR"/>
        </w:rPr>
      </w:pPr>
      <w:r w:rsidRPr="00653BF4">
        <w:rPr>
          <w:b/>
          <w:bCs/>
          <w:i w:val="0"/>
          <w:iCs w:val="0"/>
          <w:sz w:val="20"/>
          <w:szCs w:val="20"/>
          <w:lang w:val="fr-FR"/>
        </w:rPr>
        <w:t xml:space="preserve">Progrès auto-évalués pour l’ensemble des cibles nationales présentées comme étroitement alignées sur la </w:t>
      </w:r>
      <w:r w:rsidR="00E34DC9">
        <w:rPr>
          <w:b/>
          <w:bCs/>
          <w:i w:val="0"/>
          <w:iCs w:val="0"/>
          <w:sz w:val="20"/>
          <w:szCs w:val="20"/>
          <w:lang w:val="fr-FR"/>
        </w:rPr>
        <w:t>cible 1</w:t>
      </w:r>
      <w:r w:rsidR="002C0D40" w:rsidRPr="00653BF4">
        <w:rPr>
          <w:b/>
          <w:bCs/>
          <w:i w:val="0"/>
          <w:iCs w:val="0"/>
          <w:sz w:val="20"/>
          <w:szCs w:val="20"/>
          <w:lang w:val="fr-FR"/>
        </w:rPr>
        <w:t xml:space="preserve"> du Cadre</w:t>
      </w:r>
    </w:p>
    <w:p w14:paraId="1FAA5EB4" w14:textId="7B3CD0AE" w:rsidR="0046193A" w:rsidRPr="00653BF4" w:rsidRDefault="00563EC1" w:rsidP="00563EC1">
      <w:pPr>
        <w:keepNext/>
        <w:rPr>
          <w:lang w:val="fr-FR"/>
        </w:rPr>
      </w:pPr>
      <w:r w:rsidRPr="00653BF4">
        <w:rPr>
          <w:rFonts w:ascii="Aptos" w:eastAsia="Aptos" w:hAnsi="Aptos" w:cs="Aptos"/>
          <w:noProof/>
          <w:lang w:val="fr-FR"/>
        </w:rPr>
        <w:drawing>
          <wp:inline distT="0" distB="0" distL="0" distR="0" wp14:anchorId="3472AE4C" wp14:editId="2E956B35">
            <wp:extent cx="5731510" cy="2292350"/>
            <wp:effectExtent l="0" t="0" r="0" b="6350"/>
            <wp:docPr id="155295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59149" name="Picture 1552959149"/>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0758D3F5" w14:textId="12254E37" w:rsidR="00803D00" w:rsidRPr="00653BF4" w:rsidRDefault="006A631C" w:rsidP="00803D00">
      <w:pPr>
        <w:pStyle w:val="Caption"/>
        <w:rPr>
          <w:i w:val="0"/>
          <w:iCs w:val="0"/>
          <w:sz w:val="20"/>
          <w:szCs w:val="20"/>
          <w:lang w:val="fr-FR"/>
        </w:rPr>
      </w:pPr>
      <w:r w:rsidRPr="00653BF4">
        <w:rPr>
          <w:lang w:val="fr-FR"/>
        </w:rPr>
        <w:t>Note</w:t>
      </w:r>
      <w:r w:rsidR="00E34DC9">
        <w:rPr>
          <w:lang w:val="fr-FR"/>
        </w:rPr>
        <w:t> :</w:t>
      </w:r>
      <w:r w:rsidR="00803D00" w:rsidRPr="00653BF4">
        <w:rPr>
          <w:i w:val="0"/>
          <w:iCs w:val="0"/>
          <w:lang w:val="fr-FR"/>
        </w:rPr>
        <w:t xml:space="preserve"> </w:t>
      </w:r>
      <w:r w:rsidR="00D21DC1" w:rsidRPr="00653BF4">
        <w:rPr>
          <w:i w:val="0"/>
          <w:iCs w:val="0"/>
          <w:lang w:val="fr-FR"/>
        </w:rPr>
        <w:t xml:space="preserve">La largeur des barres reflète la proportion de cibles nationales soumises dans chaque catégorie de progrès. </w:t>
      </w:r>
      <w:r w:rsidR="00C51A27" w:rsidRPr="00653BF4">
        <w:rPr>
          <w:i w:val="0"/>
          <w:iCs w:val="0"/>
          <w:lang w:val="fr-FR"/>
        </w:rPr>
        <w:t xml:space="preserve">Les proportions sont pondérées par Partie afin que toutes les Parties aient le même poids dans l’évaluation globale des progrès, quel que soit le nombre de cibles nationales qu’elles ont soumises </w:t>
      </w:r>
      <w:r w:rsidR="00EA0A4E" w:rsidRPr="00653BF4">
        <w:rPr>
          <w:i w:val="0"/>
          <w:iCs w:val="0"/>
          <w:lang w:val="fr-FR"/>
        </w:rPr>
        <w:t xml:space="preserve">Le diagramme circulaire représente la proportion de Parties de chaque région ayant présenté leur rapport à temps pour qu’il soit pris en compte dans le rapport mondial. </w:t>
      </w:r>
      <w:r w:rsidR="00A53F0D" w:rsidRPr="00653BF4">
        <w:rPr>
          <w:i w:val="0"/>
          <w:iCs w:val="0"/>
          <w:lang w:val="fr-FR"/>
        </w:rPr>
        <w:t>La couleur de chaque région est indiquée dans la légende de la figure</w:t>
      </w:r>
      <w:r w:rsidR="00E34DC9">
        <w:rPr>
          <w:i w:val="0"/>
          <w:iCs w:val="0"/>
          <w:lang w:val="fr-FR"/>
        </w:rPr>
        <w:t> :</w:t>
      </w:r>
      <w:r w:rsidR="00A53F0D"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00A53F0D" w:rsidRPr="00653BF4">
        <w:rPr>
          <w:i w:val="0"/>
          <w:iCs w:val="0"/>
          <w:lang w:val="fr-FR"/>
        </w:rPr>
        <w:t xml:space="preserve"> les tons plus clairs, la proportion de Parties de la même région dont les données n’y figurent pas.</w:t>
      </w:r>
    </w:p>
    <w:p w14:paraId="7EC6DA43" w14:textId="1FFF2680" w:rsidR="00EB226C" w:rsidRPr="00653BF4" w:rsidRDefault="00D21C0E" w:rsidP="00411463">
      <w:pPr>
        <w:pStyle w:val="Caption"/>
        <w:rPr>
          <w:lang w:val="fr-FR"/>
        </w:rPr>
      </w:pPr>
      <w:r w:rsidRPr="00653BF4">
        <w:rPr>
          <w:rFonts w:ascii="Aptos" w:hAnsi="Aptos"/>
          <w:lang w:val="fr-FR"/>
        </w:rPr>
        <w:br w:type="page"/>
      </w:r>
    </w:p>
    <w:tbl>
      <w:tblPr>
        <w:tblStyle w:val="TableGrid"/>
        <w:tblW w:w="0" w:type="auto"/>
        <w:tblLook w:val="06A0" w:firstRow="1" w:lastRow="0" w:firstColumn="1" w:lastColumn="0" w:noHBand="1" w:noVBand="1"/>
      </w:tblPr>
      <w:tblGrid>
        <w:gridCol w:w="4688"/>
        <w:gridCol w:w="4662"/>
      </w:tblGrid>
      <w:tr w:rsidR="003246FC" w:rsidRPr="006833AC" w14:paraId="752AF1C9" w14:textId="77777777" w:rsidTr="009B4355">
        <w:tc>
          <w:tcPr>
            <w:tcW w:w="0" w:type="auto"/>
            <w:gridSpan w:val="2"/>
          </w:tcPr>
          <w:p w14:paraId="3503FDC3" w14:textId="77777777" w:rsidR="003246FC" w:rsidRPr="006833AC" w:rsidRDefault="003246FC" w:rsidP="009B4355">
            <w:pPr>
              <w:rPr>
                <w:rFonts w:ascii="Aptos" w:eastAsia="Segoe UI" w:hAnsi="Aptos" w:cs="Segoe UI"/>
                <w:color w:val="0F1115"/>
              </w:rPr>
            </w:pPr>
            <w:r w:rsidRPr="006833AC">
              <w:rPr>
                <w:rFonts w:ascii="Aptos" w:eastAsia="Segoe UI" w:hAnsi="Aptos" w:cs="Segoe UI"/>
                <w:color w:val="0F1115"/>
              </w:rPr>
              <w:lastRenderedPageBreak/>
              <w:t>Figure 10</w:t>
            </w:r>
          </w:p>
        </w:tc>
      </w:tr>
      <w:tr w:rsidR="003246FC" w:rsidRPr="006833AC" w14:paraId="19BA7AFA" w14:textId="77777777" w:rsidTr="009B4355">
        <w:tc>
          <w:tcPr>
            <w:tcW w:w="0" w:type="auto"/>
          </w:tcPr>
          <w:p w14:paraId="0B8AA4F5" w14:textId="77777777" w:rsidR="003246FC" w:rsidRPr="006833AC" w:rsidRDefault="003246FC" w:rsidP="009B4355">
            <w:pPr>
              <w:rPr>
                <w:rFonts w:ascii="Aptos" w:hAnsi="Aptos"/>
              </w:rPr>
            </w:pPr>
            <w:r w:rsidRPr="006833AC">
              <w:rPr>
                <w:rFonts w:ascii="Aptos" w:eastAsia="Segoe UI" w:hAnsi="Aptos" w:cs="Segoe UI"/>
                <w:color w:val="0F1115"/>
              </w:rPr>
              <w:t xml:space="preserve">English </w:t>
            </w:r>
          </w:p>
        </w:tc>
        <w:tc>
          <w:tcPr>
            <w:tcW w:w="0" w:type="auto"/>
          </w:tcPr>
          <w:p w14:paraId="60E70512" w14:textId="77777777" w:rsidR="003246FC" w:rsidRPr="006833AC" w:rsidRDefault="003246FC" w:rsidP="009B4355">
            <w:pPr>
              <w:rPr>
                <w:rFonts w:ascii="Aptos" w:hAnsi="Aptos"/>
              </w:rPr>
            </w:pPr>
            <w:r>
              <w:rPr>
                <w:rFonts w:ascii="Aptos" w:eastAsia="Segoe UI" w:hAnsi="Aptos" w:cs="Segoe UI"/>
                <w:color w:val="0F1115"/>
              </w:rPr>
              <w:t>Français</w:t>
            </w:r>
          </w:p>
        </w:tc>
      </w:tr>
      <w:tr w:rsidR="003246FC" w:rsidRPr="003A6336" w14:paraId="09779697" w14:textId="77777777" w:rsidTr="009B4355">
        <w:tc>
          <w:tcPr>
            <w:tcW w:w="0" w:type="auto"/>
          </w:tcPr>
          <w:p w14:paraId="220C90D4"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0" w:type="auto"/>
          </w:tcPr>
          <w:p w14:paraId="571CDDD8"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534E73BA" w14:textId="77777777" w:rsidTr="009B4355">
        <w:tc>
          <w:tcPr>
            <w:tcW w:w="0" w:type="auto"/>
          </w:tcPr>
          <w:p w14:paraId="4BD8E0A4" w14:textId="77777777" w:rsidR="003246FC" w:rsidRPr="003A6336" w:rsidRDefault="003246FC" w:rsidP="009B4355">
            <w:pPr>
              <w:rPr>
                <w:rFonts w:ascii="Aptos" w:hAnsi="Aptos"/>
              </w:rPr>
            </w:pPr>
            <w:r w:rsidRPr="003A6336">
              <w:rPr>
                <w:rFonts w:ascii="Aptos" w:eastAsia="Segoe UI" w:hAnsi="Aptos" w:cs="Segoe UI"/>
                <w:color w:val="0F1115"/>
              </w:rPr>
              <w:t>Africa</w:t>
            </w:r>
            <w:r>
              <w:rPr>
                <w:rFonts w:ascii="Aptos" w:eastAsia="Segoe UI" w:hAnsi="Aptos" w:cs="Segoe UI"/>
                <w:color w:val="0F1115"/>
              </w:rPr>
              <w:t>n States</w:t>
            </w:r>
          </w:p>
        </w:tc>
        <w:tc>
          <w:tcPr>
            <w:tcW w:w="0" w:type="auto"/>
          </w:tcPr>
          <w:p w14:paraId="5A2EDFD9"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5E9F04D3" w14:textId="77777777" w:rsidTr="009B4355">
        <w:tc>
          <w:tcPr>
            <w:tcW w:w="0" w:type="auto"/>
          </w:tcPr>
          <w:p w14:paraId="03BA95FE" w14:textId="77777777" w:rsidR="003246FC" w:rsidRPr="003A6336" w:rsidRDefault="003246FC" w:rsidP="009B4355">
            <w:pPr>
              <w:rPr>
                <w:rFonts w:ascii="Aptos" w:hAnsi="Aptos"/>
              </w:rPr>
            </w:pPr>
            <w:r w:rsidRPr="003A6336">
              <w:rPr>
                <w:rFonts w:ascii="Aptos" w:eastAsia="Segoe UI" w:hAnsi="Aptos" w:cs="Segoe UI"/>
                <w:color w:val="0F1115"/>
              </w:rPr>
              <w:t>Asia</w:t>
            </w:r>
            <w:r>
              <w:rPr>
                <w:rFonts w:ascii="Aptos" w:eastAsia="Segoe UI" w:hAnsi="Aptos" w:cs="Segoe UI"/>
                <w:color w:val="0F1115"/>
              </w:rPr>
              <w:t>-</w:t>
            </w:r>
            <w:r w:rsidRPr="003A6336">
              <w:rPr>
                <w:rFonts w:ascii="Aptos" w:eastAsia="Segoe UI" w:hAnsi="Aptos" w:cs="Segoe UI"/>
                <w:color w:val="0F1115"/>
              </w:rPr>
              <w:t xml:space="preserve"> Pacific</w:t>
            </w:r>
            <w:r>
              <w:rPr>
                <w:rFonts w:ascii="Aptos" w:eastAsia="Segoe UI" w:hAnsi="Aptos" w:cs="Segoe UI"/>
                <w:color w:val="0F1115"/>
              </w:rPr>
              <w:t xml:space="preserve"> States</w:t>
            </w:r>
          </w:p>
        </w:tc>
        <w:tc>
          <w:tcPr>
            <w:tcW w:w="0" w:type="auto"/>
          </w:tcPr>
          <w:p w14:paraId="2818E893"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2ABB3745" w14:textId="77777777" w:rsidTr="009B4355">
        <w:tc>
          <w:tcPr>
            <w:tcW w:w="0" w:type="auto"/>
          </w:tcPr>
          <w:p w14:paraId="1589000D" w14:textId="77777777" w:rsidR="003246FC" w:rsidRPr="003A6336" w:rsidRDefault="003246FC" w:rsidP="009B4355">
            <w:pPr>
              <w:rPr>
                <w:rFonts w:ascii="Aptos" w:hAnsi="Aptos"/>
              </w:rPr>
            </w:pPr>
            <w:r w:rsidRPr="003A6336">
              <w:rPr>
                <w:rFonts w:ascii="Aptos" w:eastAsia="Segoe UI" w:hAnsi="Aptos" w:cs="Segoe UI"/>
                <w:color w:val="0F1115"/>
              </w:rPr>
              <w:t>Latin America</w:t>
            </w:r>
            <w:r>
              <w:rPr>
                <w:rFonts w:ascii="Aptos" w:eastAsia="Segoe UI" w:hAnsi="Aptos" w:cs="Segoe UI"/>
                <w:color w:val="0F1115"/>
              </w:rPr>
              <w:t>n</w:t>
            </w:r>
            <w:r w:rsidRPr="003A6336">
              <w:rPr>
                <w:rFonts w:ascii="Aptos" w:eastAsia="Segoe UI" w:hAnsi="Aptos" w:cs="Segoe UI"/>
                <w:color w:val="0F1115"/>
              </w:rPr>
              <w:t xml:space="preserve"> and Caribbean</w:t>
            </w:r>
            <w:r>
              <w:rPr>
                <w:rFonts w:ascii="Aptos" w:eastAsia="Segoe UI" w:hAnsi="Aptos" w:cs="Segoe UI"/>
                <w:color w:val="0F1115"/>
              </w:rPr>
              <w:t xml:space="preserve"> States</w:t>
            </w:r>
          </w:p>
        </w:tc>
        <w:tc>
          <w:tcPr>
            <w:tcW w:w="0" w:type="auto"/>
          </w:tcPr>
          <w:p w14:paraId="43D3ADB1"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66B1A43B" w14:textId="77777777" w:rsidTr="009B4355">
        <w:tc>
          <w:tcPr>
            <w:tcW w:w="0" w:type="auto"/>
          </w:tcPr>
          <w:p w14:paraId="6B440EFB" w14:textId="77777777" w:rsidR="003246FC" w:rsidRPr="003A6336" w:rsidRDefault="003246FC" w:rsidP="009B4355">
            <w:pPr>
              <w:rPr>
                <w:rFonts w:ascii="Aptos" w:hAnsi="Aptos"/>
              </w:rPr>
            </w:pPr>
            <w:r>
              <w:rPr>
                <w:rFonts w:ascii="Aptos" w:eastAsia="Segoe UI" w:hAnsi="Aptos" w:cs="Segoe UI"/>
                <w:color w:val="0F1115"/>
              </w:rPr>
              <w:t>Eastern European States</w:t>
            </w:r>
          </w:p>
        </w:tc>
        <w:tc>
          <w:tcPr>
            <w:tcW w:w="0" w:type="auto"/>
          </w:tcPr>
          <w:p w14:paraId="2CFFA6E0"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513618E6" w14:textId="77777777" w:rsidTr="009B4355">
        <w:tc>
          <w:tcPr>
            <w:tcW w:w="0" w:type="auto"/>
          </w:tcPr>
          <w:p w14:paraId="47F668DD" w14:textId="77777777" w:rsidR="003246FC" w:rsidRPr="003A6336" w:rsidRDefault="003246FC" w:rsidP="009B4355">
            <w:pPr>
              <w:rPr>
                <w:rFonts w:ascii="Aptos" w:hAnsi="Aptos"/>
              </w:rPr>
            </w:pPr>
            <w:r w:rsidRPr="003A6336">
              <w:rPr>
                <w:rFonts w:ascii="Aptos" w:eastAsia="Segoe UI" w:hAnsi="Aptos" w:cs="Segoe UI"/>
                <w:color w:val="0F1115"/>
              </w:rPr>
              <w:t>Western Europe</w:t>
            </w:r>
            <w:r>
              <w:rPr>
                <w:rFonts w:ascii="Aptos" w:eastAsia="Segoe UI" w:hAnsi="Aptos" w:cs="Segoe UI"/>
                <w:color w:val="0F1115"/>
              </w:rPr>
              <w:t>an</w:t>
            </w:r>
            <w:r w:rsidRPr="003A6336">
              <w:rPr>
                <w:rFonts w:ascii="Aptos" w:eastAsia="Segoe UI" w:hAnsi="Aptos" w:cs="Segoe UI"/>
                <w:color w:val="0F1115"/>
              </w:rPr>
              <w:t xml:space="preserve"> and </w:t>
            </w:r>
            <w:r>
              <w:rPr>
                <w:rFonts w:ascii="Aptos" w:eastAsia="Segoe UI" w:hAnsi="Aptos" w:cs="Segoe UI"/>
                <w:color w:val="0F1115"/>
              </w:rPr>
              <w:t>o</w:t>
            </w:r>
            <w:r w:rsidRPr="003A6336">
              <w:rPr>
                <w:rFonts w:ascii="Aptos" w:eastAsia="Segoe UI" w:hAnsi="Aptos" w:cs="Segoe UI"/>
                <w:color w:val="0F1115"/>
              </w:rPr>
              <w:t xml:space="preserve">ther </w:t>
            </w:r>
            <w:r>
              <w:rPr>
                <w:rFonts w:ascii="Aptos" w:eastAsia="Segoe UI" w:hAnsi="Aptos" w:cs="Segoe UI"/>
                <w:color w:val="0F1115"/>
              </w:rPr>
              <w:t>States</w:t>
            </w:r>
          </w:p>
        </w:tc>
        <w:tc>
          <w:tcPr>
            <w:tcW w:w="0" w:type="auto"/>
          </w:tcPr>
          <w:p w14:paraId="5321C2AC"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088BA35F" w14:textId="77777777" w:rsidTr="009B4355">
        <w:tc>
          <w:tcPr>
            <w:tcW w:w="0" w:type="auto"/>
          </w:tcPr>
          <w:p w14:paraId="23661649" w14:textId="77777777" w:rsidR="003246FC" w:rsidRPr="003A6336" w:rsidRDefault="003246FC" w:rsidP="009B4355">
            <w:pPr>
              <w:rPr>
                <w:rFonts w:ascii="Aptos" w:hAnsi="Aptos"/>
              </w:rPr>
            </w:pPr>
            <w:r>
              <w:rPr>
                <w:rFonts w:ascii="Aptos" w:eastAsia="Segoe UI" w:hAnsi="Aptos" w:cs="Segoe UI"/>
                <w:color w:val="0F1115"/>
              </w:rPr>
              <w:t>Percentage of national targets</w:t>
            </w:r>
          </w:p>
        </w:tc>
        <w:tc>
          <w:tcPr>
            <w:tcW w:w="0" w:type="auto"/>
          </w:tcPr>
          <w:p w14:paraId="1E71A31F" w14:textId="77777777" w:rsidR="003246FC" w:rsidRPr="003A6336" w:rsidRDefault="003246FC" w:rsidP="009B4355">
            <w:pPr>
              <w:rPr>
                <w:rFonts w:ascii="Aptos" w:hAnsi="Aptos"/>
              </w:rPr>
            </w:pPr>
            <w:r>
              <w:rPr>
                <w:rFonts w:ascii="Aptos" w:hAnsi="Aptos"/>
                <w:lang w:val="fr-FR"/>
              </w:rPr>
              <w:t>Pourcentage de cibles nationales</w:t>
            </w:r>
          </w:p>
        </w:tc>
      </w:tr>
      <w:tr w:rsidR="003246FC" w:rsidRPr="003A6336" w14:paraId="3E13C77E" w14:textId="77777777" w:rsidTr="009B4355">
        <w:tc>
          <w:tcPr>
            <w:tcW w:w="0" w:type="auto"/>
          </w:tcPr>
          <w:p w14:paraId="70073572" w14:textId="77777777" w:rsidR="003246FC" w:rsidRPr="003A6336" w:rsidRDefault="003246FC" w:rsidP="009B4355">
            <w:pPr>
              <w:rPr>
                <w:rFonts w:ascii="Aptos" w:hAnsi="Aptos"/>
              </w:rPr>
            </w:pPr>
            <w:r>
              <w:rPr>
                <w:rFonts w:ascii="Aptos" w:eastAsia="Segoe UI" w:hAnsi="Aptos" w:cs="Segoe UI"/>
                <w:color w:val="0F1115"/>
              </w:rPr>
              <w:t>Progress level</w:t>
            </w:r>
          </w:p>
        </w:tc>
        <w:tc>
          <w:tcPr>
            <w:tcW w:w="0" w:type="auto"/>
          </w:tcPr>
          <w:p w14:paraId="5F9A509F" w14:textId="77777777" w:rsidR="003246FC" w:rsidRPr="003A6336" w:rsidRDefault="003246FC" w:rsidP="009B4355">
            <w:pPr>
              <w:rPr>
                <w:rFonts w:ascii="Aptos" w:hAnsi="Aptos"/>
              </w:rPr>
            </w:pPr>
            <w:r w:rsidRPr="006F7AF8">
              <w:rPr>
                <w:rFonts w:ascii="Aptos" w:hAnsi="Aptos"/>
                <w:lang w:val="fr-FR"/>
              </w:rPr>
              <w:t>État d</w:t>
            </w:r>
            <w:r>
              <w:rPr>
                <w:rFonts w:ascii="Aptos" w:hAnsi="Aptos"/>
                <w:lang w:val="fr-FR"/>
              </w:rPr>
              <w:t>’</w:t>
            </w:r>
            <w:r w:rsidRPr="006F7AF8">
              <w:rPr>
                <w:rFonts w:ascii="Aptos" w:hAnsi="Aptos"/>
                <w:lang w:val="fr-FR"/>
              </w:rPr>
              <w:t>avancement</w:t>
            </w:r>
          </w:p>
        </w:tc>
      </w:tr>
      <w:tr w:rsidR="003246FC" w:rsidRPr="003A6336" w14:paraId="29F79A60" w14:textId="77777777" w:rsidTr="009B4355">
        <w:tc>
          <w:tcPr>
            <w:tcW w:w="0" w:type="auto"/>
          </w:tcPr>
          <w:p w14:paraId="17D8FD8D" w14:textId="77777777" w:rsidR="003246FC" w:rsidRDefault="003246FC" w:rsidP="009B4355">
            <w:pPr>
              <w:rPr>
                <w:rFonts w:ascii="Aptos" w:eastAsia="Segoe UI" w:hAnsi="Aptos" w:cs="Segoe UI"/>
                <w:color w:val="0F1115"/>
              </w:rPr>
            </w:pPr>
            <w:r w:rsidRPr="003A6336">
              <w:rPr>
                <w:rFonts w:ascii="Aptos" w:eastAsia="Segoe UI" w:hAnsi="Aptos" w:cs="Segoe UI"/>
                <w:color w:val="0F1115"/>
              </w:rPr>
              <w:t>Achieved</w:t>
            </w:r>
          </w:p>
        </w:tc>
        <w:tc>
          <w:tcPr>
            <w:tcW w:w="0" w:type="auto"/>
          </w:tcPr>
          <w:p w14:paraId="7A83B65A" w14:textId="77777777" w:rsidR="003246FC" w:rsidRPr="0089241D" w:rsidRDefault="003246FC" w:rsidP="009B4355">
            <w:pPr>
              <w:rPr>
                <w:rFonts w:ascii="Aptos" w:hAnsi="Aptos"/>
                <w:lang w:val="fr-FR"/>
              </w:rPr>
            </w:pPr>
            <w:r w:rsidRPr="0089241D">
              <w:rPr>
                <w:lang w:val="fr-FR"/>
              </w:rPr>
              <w:t>Cible atteinte</w:t>
            </w:r>
          </w:p>
        </w:tc>
      </w:tr>
      <w:tr w:rsidR="003246FC" w:rsidRPr="003A6336" w14:paraId="7582C0AC" w14:textId="77777777" w:rsidTr="009B4355">
        <w:tc>
          <w:tcPr>
            <w:tcW w:w="0" w:type="auto"/>
          </w:tcPr>
          <w:p w14:paraId="1AEA1C22" w14:textId="77777777" w:rsidR="003246FC" w:rsidRPr="003A6336" w:rsidRDefault="003246FC" w:rsidP="009B4355">
            <w:pPr>
              <w:rPr>
                <w:rFonts w:ascii="Aptos" w:hAnsi="Aptos"/>
              </w:rPr>
            </w:pPr>
            <w:r w:rsidRPr="003A6336">
              <w:rPr>
                <w:rFonts w:ascii="Aptos" w:eastAsia="Segoe UI" w:hAnsi="Aptos" w:cs="Segoe UI"/>
                <w:color w:val="0F1115"/>
              </w:rPr>
              <w:t>On track to achieve target</w:t>
            </w:r>
          </w:p>
        </w:tc>
        <w:tc>
          <w:tcPr>
            <w:tcW w:w="0" w:type="auto"/>
          </w:tcPr>
          <w:p w14:paraId="2246143A" w14:textId="77777777" w:rsidR="003246FC" w:rsidRPr="0089241D" w:rsidRDefault="003246FC" w:rsidP="009B4355">
            <w:pPr>
              <w:rPr>
                <w:rFonts w:ascii="Aptos" w:hAnsi="Aptos"/>
                <w:lang w:val="fr-FR"/>
              </w:rPr>
            </w:pPr>
            <w:r w:rsidRPr="0089241D">
              <w:rPr>
                <w:lang w:val="fr-FR"/>
              </w:rPr>
              <w:t>En voie d’atteindre la cible</w:t>
            </w:r>
          </w:p>
        </w:tc>
      </w:tr>
      <w:tr w:rsidR="003246FC" w:rsidRPr="003A6336" w14:paraId="56C8C7A0" w14:textId="77777777" w:rsidTr="009B4355">
        <w:tc>
          <w:tcPr>
            <w:tcW w:w="0" w:type="auto"/>
          </w:tcPr>
          <w:p w14:paraId="34266AE4" w14:textId="77777777" w:rsidR="003246FC" w:rsidRPr="003A6336" w:rsidRDefault="003246FC" w:rsidP="009B4355">
            <w:pPr>
              <w:rPr>
                <w:rFonts w:ascii="Aptos" w:eastAsia="Segoe UI" w:hAnsi="Aptos" w:cs="Segoe UI"/>
                <w:color w:val="0F1115"/>
              </w:rPr>
            </w:pPr>
            <w:r w:rsidRPr="003A6336">
              <w:rPr>
                <w:rFonts w:ascii="Aptos" w:eastAsia="Segoe UI" w:hAnsi="Aptos" w:cs="Segoe UI"/>
                <w:color w:val="0F1115"/>
              </w:rPr>
              <w:t>Progress towards target but at an insufficient rate</w:t>
            </w:r>
          </w:p>
        </w:tc>
        <w:tc>
          <w:tcPr>
            <w:tcW w:w="0" w:type="auto"/>
          </w:tcPr>
          <w:p w14:paraId="40DF6F97" w14:textId="77777777" w:rsidR="003246FC" w:rsidRPr="0089241D" w:rsidRDefault="003246FC" w:rsidP="009B4355">
            <w:pPr>
              <w:rPr>
                <w:lang w:val="fr-FR"/>
              </w:rPr>
            </w:pPr>
            <w:r w:rsidRPr="0089241D">
              <w:rPr>
                <w:lang w:val="fr-FR"/>
              </w:rPr>
              <w:t>Progrès accomplis, mais à un rythme insuffisant</w:t>
            </w:r>
          </w:p>
        </w:tc>
      </w:tr>
      <w:tr w:rsidR="003246FC" w:rsidRPr="003A6336" w14:paraId="3F5CEFA7" w14:textId="77777777" w:rsidTr="009B4355">
        <w:tc>
          <w:tcPr>
            <w:tcW w:w="0" w:type="auto"/>
          </w:tcPr>
          <w:p w14:paraId="6F9F21CF" w14:textId="77777777" w:rsidR="003246FC" w:rsidRPr="003A6336" w:rsidRDefault="003246FC" w:rsidP="009B4355">
            <w:pPr>
              <w:rPr>
                <w:rFonts w:ascii="Aptos" w:eastAsia="Segoe UI" w:hAnsi="Aptos" w:cs="Segoe UI"/>
                <w:color w:val="0F1115"/>
              </w:rPr>
            </w:pPr>
            <w:r w:rsidRPr="003A6336">
              <w:rPr>
                <w:rFonts w:ascii="Aptos" w:eastAsia="Segoe UI" w:hAnsi="Aptos" w:cs="Segoe UI"/>
                <w:color w:val="0F1115"/>
              </w:rPr>
              <w:t>No significant change</w:t>
            </w:r>
          </w:p>
        </w:tc>
        <w:tc>
          <w:tcPr>
            <w:tcW w:w="0" w:type="auto"/>
          </w:tcPr>
          <w:p w14:paraId="46E0F67D" w14:textId="77777777" w:rsidR="003246FC" w:rsidRPr="0089241D" w:rsidRDefault="003246FC" w:rsidP="009B4355">
            <w:pPr>
              <w:rPr>
                <w:lang w:val="fr-FR"/>
              </w:rPr>
            </w:pPr>
            <w:r w:rsidRPr="0089241D">
              <w:rPr>
                <w:lang w:val="fr-FR"/>
              </w:rPr>
              <w:t>Pas de changement notable</w:t>
            </w:r>
          </w:p>
        </w:tc>
      </w:tr>
      <w:tr w:rsidR="003246FC" w:rsidRPr="003A6336" w14:paraId="1078F232" w14:textId="77777777" w:rsidTr="009B4355">
        <w:tc>
          <w:tcPr>
            <w:tcW w:w="0" w:type="auto"/>
          </w:tcPr>
          <w:p w14:paraId="6B62B621" w14:textId="77777777" w:rsidR="003246FC" w:rsidRPr="003A6336" w:rsidRDefault="003246FC" w:rsidP="009B4355">
            <w:pPr>
              <w:rPr>
                <w:rFonts w:ascii="Aptos" w:eastAsia="Segoe UI" w:hAnsi="Aptos" w:cs="Segoe UI"/>
                <w:color w:val="0F1115"/>
              </w:rPr>
            </w:pPr>
            <w:r w:rsidRPr="003A6336">
              <w:rPr>
                <w:rFonts w:ascii="Aptos" w:eastAsia="Segoe UI" w:hAnsi="Aptos" w:cs="Segoe UI"/>
                <w:color w:val="0F1115"/>
              </w:rPr>
              <w:t>Unknown</w:t>
            </w:r>
          </w:p>
        </w:tc>
        <w:tc>
          <w:tcPr>
            <w:tcW w:w="0" w:type="auto"/>
          </w:tcPr>
          <w:p w14:paraId="44F1EF5F" w14:textId="77777777" w:rsidR="003246FC" w:rsidRPr="0089241D" w:rsidRDefault="003246FC" w:rsidP="009B4355">
            <w:pPr>
              <w:rPr>
                <w:lang w:val="fr-FR"/>
              </w:rPr>
            </w:pPr>
            <w:r w:rsidRPr="0089241D">
              <w:rPr>
                <w:lang w:val="fr-FR"/>
              </w:rPr>
              <w:t>Inconnu</w:t>
            </w:r>
          </w:p>
        </w:tc>
      </w:tr>
      <w:tr w:rsidR="003246FC" w:rsidRPr="003A6336" w14:paraId="31331249" w14:textId="77777777" w:rsidTr="009B4355">
        <w:tc>
          <w:tcPr>
            <w:tcW w:w="0" w:type="auto"/>
          </w:tcPr>
          <w:p w14:paraId="0AF0241C" w14:textId="77777777" w:rsidR="003246FC" w:rsidRPr="003A6336" w:rsidRDefault="003246FC" w:rsidP="009B4355">
            <w:pPr>
              <w:rPr>
                <w:rFonts w:ascii="Aptos" w:eastAsia="Segoe UI" w:hAnsi="Aptos" w:cs="Segoe UI"/>
                <w:color w:val="0F1115"/>
              </w:rPr>
            </w:pPr>
            <w:r w:rsidRPr="003A6336">
              <w:rPr>
                <w:rFonts w:ascii="Aptos" w:eastAsia="Segoe UI" w:hAnsi="Aptos" w:cs="Segoe UI"/>
                <w:color w:val="0F1115"/>
              </w:rPr>
              <w:t>Party count: 102</w:t>
            </w:r>
          </w:p>
        </w:tc>
        <w:tc>
          <w:tcPr>
            <w:tcW w:w="0" w:type="auto"/>
          </w:tcPr>
          <w:p w14:paraId="39A605A3" w14:textId="77777777" w:rsidR="003246FC" w:rsidRPr="0089241D" w:rsidRDefault="003246FC" w:rsidP="009B4355">
            <w:pPr>
              <w:rPr>
                <w:lang w:val="fr-FR"/>
              </w:rPr>
            </w:pPr>
            <w:r w:rsidRPr="0089241D">
              <w:rPr>
                <w:rFonts w:ascii="Aptos" w:hAnsi="Aptos"/>
                <w:lang w:val="fr-FR"/>
              </w:rPr>
              <w:t>Nombre de Parties : 102</w:t>
            </w:r>
          </w:p>
        </w:tc>
      </w:tr>
    </w:tbl>
    <w:p w14:paraId="6EBC8AFE" w14:textId="41864C2E" w:rsidR="00EB226C" w:rsidRPr="00653BF4" w:rsidRDefault="00B43BEA" w:rsidP="00EB226C">
      <w:pPr>
        <w:pStyle w:val="Heading5"/>
        <w:rPr>
          <w:lang w:val="fr-FR"/>
        </w:rPr>
      </w:pPr>
      <w:r w:rsidRPr="00653BF4">
        <w:rPr>
          <w:lang w:val="fr-FR"/>
        </w:rPr>
        <w:t>Actions, réussites et difficultés dans la mise en œuvre</w:t>
      </w:r>
    </w:p>
    <w:p w14:paraId="1FDD70FF" w14:textId="77777777" w:rsidR="00494B10" w:rsidRPr="00653BF4" w:rsidRDefault="00494B10" w:rsidP="00EB226C">
      <w:pPr>
        <w:pStyle w:val="Heading6"/>
        <w:rPr>
          <w:lang w:val="fr-FR"/>
        </w:rPr>
      </w:pPr>
      <w:bookmarkStart w:id="83" w:name="_Toc235821056"/>
    </w:p>
    <w:p w14:paraId="27BA6951" w14:textId="362E7540" w:rsidR="00EB226C" w:rsidRPr="00653BF4" w:rsidRDefault="00B43BEA" w:rsidP="00EB226C">
      <w:pPr>
        <w:pStyle w:val="Heading6"/>
        <w:rPr>
          <w:lang w:val="fr-FR"/>
        </w:rPr>
      </w:pPr>
      <w:r w:rsidRPr="00653BF4">
        <w:rPr>
          <w:lang w:val="fr-FR"/>
        </w:rPr>
        <w:t xml:space="preserve">Résumé des actions menées à l’appui de la </w:t>
      </w:r>
      <w:r w:rsidR="00E34DC9">
        <w:rPr>
          <w:lang w:val="fr-FR"/>
        </w:rPr>
        <w:t>cible 1</w:t>
      </w:r>
      <w:bookmarkEnd w:id="83"/>
      <w:r w:rsidR="00272FFA" w:rsidRPr="00653BF4">
        <w:rPr>
          <w:lang w:val="fr-FR"/>
        </w:rPr>
        <w:t xml:space="preserve"> du Cadre</w:t>
      </w:r>
    </w:p>
    <w:p w14:paraId="1CC4D19B" w14:textId="77777777" w:rsidR="00494B10" w:rsidRPr="00653BF4" w:rsidRDefault="00494B10" w:rsidP="00494B10">
      <w:pPr>
        <w:rPr>
          <w:lang w:val="fr-FR"/>
        </w:rPr>
      </w:pPr>
    </w:p>
    <w:p w14:paraId="3C3C7BBA" w14:textId="06575BE2" w:rsidR="00494B10" w:rsidRPr="00653BF4" w:rsidRDefault="004E2050" w:rsidP="00494B10">
      <w:pPr>
        <w:rPr>
          <w:lang w:val="fr-FR"/>
        </w:rPr>
      </w:pPr>
      <w:r w:rsidRPr="00653BF4">
        <w:rPr>
          <w:lang w:val="fr-FR"/>
        </w:rPr>
        <w:t xml:space="preserve">Le mécanisme le plus souvent cité </w:t>
      </w:r>
      <w:r w:rsidR="0060268F" w:rsidRPr="00653BF4">
        <w:rPr>
          <w:lang w:val="fr-FR"/>
        </w:rPr>
        <w:t>en termes de</w:t>
      </w:r>
      <w:r w:rsidRPr="00653BF4">
        <w:rPr>
          <w:lang w:val="fr-FR"/>
        </w:rPr>
        <w:t xml:space="preserve"> mise en œuvre des cibles nationales liées à la </w:t>
      </w:r>
      <w:r w:rsidR="00E34DC9">
        <w:rPr>
          <w:lang w:val="fr-FR"/>
        </w:rPr>
        <w:t>cible 1</w:t>
      </w:r>
      <w:r w:rsidRPr="00653BF4">
        <w:rPr>
          <w:lang w:val="fr-FR"/>
        </w:rPr>
        <w:t xml:space="preserve"> est l</w:t>
      </w:r>
      <w:r w:rsidR="002A58C8" w:rsidRPr="00653BF4">
        <w:rPr>
          <w:lang w:val="fr-FR"/>
        </w:rPr>
        <w:t>’</w:t>
      </w:r>
      <w:r w:rsidRPr="00653BF4">
        <w:rPr>
          <w:lang w:val="fr-FR"/>
        </w:rPr>
        <w:t xml:space="preserve">élaboration ou la réforme de cadres nationaux, infranationaux ou sectoriels </w:t>
      </w:r>
      <w:r w:rsidR="00A74F7F">
        <w:rPr>
          <w:lang w:val="fr-FR"/>
        </w:rPr>
        <w:t xml:space="preserve">de planification spatiale </w:t>
      </w:r>
      <w:r w:rsidRPr="00653BF4">
        <w:rPr>
          <w:lang w:val="fr-FR"/>
        </w:rPr>
        <w:t xml:space="preserve">qui </w:t>
      </w:r>
      <w:r w:rsidR="0060268F" w:rsidRPr="00653BF4">
        <w:rPr>
          <w:lang w:val="fr-FR"/>
        </w:rPr>
        <w:t>tiennent</w:t>
      </w:r>
      <w:r w:rsidRPr="00653BF4">
        <w:rPr>
          <w:lang w:val="fr-FR"/>
        </w:rPr>
        <w:t xml:space="preserve"> explicitement </w:t>
      </w:r>
      <w:r w:rsidR="0060268F" w:rsidRPr="00653BF4">
        <w:rPr>
          <w:lang w:val="fr-FR"/>
        </w:rPr>
        <w:t xml:space="preserve">compte de </w:t>
      </w:r>
      <w:r w:rsidRPr="00653BF4">
        <w:rPr>
          <w:lang w:val="fr-FR"/>
        </w:rPr>
        <w:t>la biodiversité. Ces actions vont des réglementations nationales d</w:t>
      </w:r>
      <w:r w:rsidR="002A58C8" w:rsidRPr="00653BF4">
        <w:rPr>
          <w:lang w:val="fr-FR"/>
        </w:rPr>
        <w:t>’</w:t>
      </w:r>
      <w:r w:rsidRPr="00653BF4">
        <w:rPr>
          <w:lang w:val="fr-FR"/>
        </w:rPr>
        <w:t>aménagement du territoire juridiquement contraignantes à l</w:t>
      </w:r>
      <w:r w:rsidR="002A58C8" w:rsidRPr="00653BF4">
        <w:rPr>
          <w:lang w:val="fr-FR"/>
        </w:rPr>
        <w:t>’</w:t>
      </w:r>
      <w:r w:rsidRPr="00653BF4">
        <w:rPr>
          <w:lang w:val="fr-FR"/>
        </w:rPr>
        <w:t>intégration de couches cartographiques relatives à la biodiversité dans les plans d</w:t>
      </w:r>
      <w:r w:rsidR="002A58C8" w:rsidRPr="00653BF4">
        <w:rPr>
          <w:lang w:val="fr-FR"/>
        </w:rPr>
        <w:t>’</w:t>
      </w:r>
      <w:r w:rsidRPr="00653BF4">
        <w:rPr>
          <w:lang w:val="fr-FR"/>
        </w:rPr>
        <w:t>occupation des sols et d</w:t>
      </w:r>
      <w:r w:rsidR="002A58C8" w:rsidRPr="00653BF4">
        <w:rPr>
          <w:lang w:val="fr-FR"/>
        </w:rPr>
        <w:t>’</w:t>
      </w:r>
      <w:r w:rsidRPr="00653BF4">
        <w:rPr>
          <w:lang w:val="fr-FR"/>
        </w:rPr>
        <w:t>urbanisme existants. Une autre série de mesures vise à identifier, mettre en correspondance et protéger les zones présentant un intérêt majeur pour la biodiversité, telles que les zones clés pour la biodiversité (UICN, 2016), ainsi qu</w:t>
      </w:r>
      <w:r w:rsidR="002A58C8" w:rsidRPr="00653BF4">
        <w:rPr>
          <w:lang w:val="fr-FR"/>
        </w:rPr>
        <w:t>’</w:t>
      </w:r>
      <w:r w:rsidRPr="00653BF4">
        <w:rPr>
          <w:lang w:val="fr-FR"/>
        </w:rPr>
        <w:t>à mener des activités de suivi plus larges, telles que les évaluations prévues par la Liste rouge des écosystèmes, les plateformes de télédétection, les portails nationaux sur la biodiversité et les systèmes d</w:t>
      </w:r>
      <w:r w:rsidR="002A58C8" w:rsidRPr="00653BF4">
        <w:rPr>
          <w:lang w:val="fr-FR"/>
        </w:rPr>
        <w:t>’</w:t>
      </w:r>
      <w:r w:rsidRPr="00653BF4">
        <w:rPr>
          <w:lang w:val="fr-FR"/>
        </w:rPr>
        <w:t>appui à la décision fondés sur des systèmes d</w:t>
      </w:r>
      <w:r w:rsidR="002A58C8" w:rsidRPr="00653BF4">
        <w:rPr>
          <w:lang w:val="fr-FR"/>
        </w:rPr>
        <w:t>’</w:t>
      </w:r>
      <w:r w:rsidRPr="00653BF4">
        <w:rPr>
          <w:lang w:val="fr-FR"/>
        </w:rPr>
        <w:t>information géographique (SIG). De nombreuses Parties, notamment les petits États insulaires en développement et les pays côtiers en développement, font état de processus spécifiques en matière d</w:t>
      </w:r>
      <w:r w:rsidR="002A58C8" w:rsidRPr="00653BF4">
        <w:rPr>
          <w:lang w:val="fr-FR"/>
        </w:rPr>
        <w:t>’</w:t>
      </w:r>
      <w:r w:rsidRPr="00653BF4">
        <w:rPr>
          <w:lang w:val="fr-FR"/>
        </w:rPr>
        <w:t>aménagement de l</w:t>
      </w:r>
      <w:r w:rsidR="002A58C8" w:rsidRPr="00653BF4">
        <w:rPr>
          <w:lang w:val="fr-FR"/>
        </w:rPr>
        <w:t>’</w:t>
      </w:r>
      <w:r w:rsidRPr="00653BF4">
        <w:rPr>
          <w:lang w:val="fr-FR"/>
        </w:rPr>
        <w:t xml:space="preserve">espace marin (voir </w:t>
      </w:r>
      <w:r w:rsidR="009059C9" w:rsidRPr="00653BF4">
        <w:rPr>
          <w:lang w:val="fr-FR"/>
        </w:rPr>
        <w:t>les e</w:t>
      </w:r>
      <w:r w:rsidRPr="00653BF4">
        <w:rPr>
          <w:lang w:val="fr-FR"/>
        </w:rPr>
        <w:t>ncadrés 7 et 8).</w:t>
      </w:r>
    </w:p>
    <w:p w14:paraId="4848C10F" w14:textId="77777777" w:rsidR="00CD4992" w:rsidRPr="00653BF4" w:rsidRDefault="00CD4992" w:rsidP="0054440B">
      <w:pPr>
        <w:pStyle w:val="Heading6"/>
        <w:rPr>
          <w:lang w:val="fr-FR"/>
        </w:rPr>
      </w:pPr>
    </w:p>
    <w:p w14:paraId="3A355A6D" w14:textId="6F1CDD18" w:rsidR="007606FF" w:rsidRPr="00653BF4" w:rsidRDefault="00F2237E" w:rsidP="0054440B">
      <w:pPr>
        <w:pStyle w:val="Heading6"/>
        <w:rPr>
          <w:lang w:val="fr-FR"/>
        </w:rPr>
      </w:pPr>
      <w:r w:rsidRPr="00653BF4">
        <w:rPr>
          <w:lang w:val="fr-FR"/>
        </w:rPr>
        <w:t>Exemples de réussite et de progrès dans la mise en œuvre</w:t>
      </w:r>
    </w:p>
    <w:p w14:paraId="7B177A73" w14:textId="77777777" w:rsidR="009A3D13" w:rsidRPr="00653BF4" w:rsidRDefault="009A3D13" w:rsidP="00C90E2A">
      <w:pPr>
        <w:pStyle w:val="Caption"/>
        <w:rPr>
          <w:lang w:val="fr-FR"/>
        </w:rPr>
      </w:pPr>
    </w:p>
    <w:p w14:paraId="3E22AEAB" w14:textId="1FCC5CE4" w:rsidR="00172595" w:rsidRPr="00653BF4" w:rsidRDefault="00172595" w:rsidP="00B662E3">
      <w:pPr>
        <w:pStyle w:val="Caption"/>
        <w:rPr>
          <w:b/>
          <w:i w:val="0"/>
          <w:sz w:val="20"/>
          <w:szCs w:val="20"/>
          <w:lang w:val="fr-FR"/>
        </w:rPr>
      </w:pPr>
    </w:p>
    <w:tbl>
      <w:tblPr>
        <w:tblStyle w:val="TableGrid"/>
        <w:tblW w:w="0" w:type="auto"/>
        <w:tblLook w:val="04A0" w:firstRow="1" w:lastRow="0" w:firstColumn="1" w:lastColumn="0" w:noHBand="0" w:noVBand="1"/>
      </w:tblPr>
      <w:tblGrid>
        <w:gridCol w:w="9350"/>
      </w:tblGrid>
      <w:tr w:rsidR="00F5345F" w:rsidRPr="00543148" w14:paraId="0CF27E5B" w14:textId="77777777" w:rsidTr="00A86C70">
        <w:trPr>
          <w:trHeight w:val="2907"/>
        </w:trPr>
        <w:tc>
          <w:tcPr>
            <w:tcW w:w="12157" w:type="dxa"/>
            <w:shd w:val="clear" w:color="auto" w:fill="D1D1D1" w:themeFill="background2" w:themeFillShade="E6"/>
          </w:tcPr>
          <w:p w14:paraId="5AAF0513" w14:textId="77777777" w:rsidR="00881BE0" w:rsidRPr="00653BF4" w:rsidRDefault="00881BE0" w:rsidP="00881BE0">
            <w:pPr>
              <w:jc w:val="both"/>
              <w:rPr>
                <w:sz w:val="22"/>
                <w:szCs w:val="22"/>
                <w:lang w:val="fr-FR"/>
              </w:rPr>
            </w:pPr>
          </w:p>
          <w:p w14:paraId="55CF61A8" w14:textId="209650B2" w:rsidR="002F25F8" w:rsidRPr="00653BF4" w:rsidRDefault="00F2237E" w:rsidP="002F25F8">
            <w:pPr>
              <w:pStyle w:val="Caption"/>
              <w:rPr>
                <w:i w:val="0"/>
                <w:iCs w:val="0"/>
                <w:sz w:val="20"/>
                <w:szCs w:val="20"/>
                <w:lang w:val="fr-FR"/>
              </w:rPr>
            </w:pPr>
            <w:r w:rsidRPr="00653BF4">
              <w:rPr>
                <w:i w:val="0"/>
                <w:sz w:val="20"/>
                <w:szCs w:val="20"/>
                <w:lang w:val="fr-FR"/>
              </w:rPr>
              <w:t>Encadré </w:t>
            </w:r>
            <w:r w:rsidR="008306DF" w:rsidRPr="00653BF4">
              <w:rPr>
                <w:i w:val="0"/>
                <w:noProof/>
                <w:sz w:val="20"/>
                <w:szCs w:val="20"/>
                <w:lang w:val="fr-FR"/>
              </w:rPr>
              <w:t>7</w:t>
            </w:r>
          </w:p>
          <w:p w14:paraId="6FD191B3" w14:textId="11B0D270" w:rsidR="002F25F8" w:rsidRPr="00653BF4" w:rsidRDefault="00042897" w:rsidP="002F25F8">
            <w:pPr>
              <w:jc w:val="both"/>
              <w:rPr>
                <w:b/>
                <w:sz w:val="20"/>
                <w:szCs w:val="20"/>
                <w:lang w:val="fr-FR"/>
              </w:rPr>
            </w:pPr>
            <w:r w:rsidRPr="00653BF4">
              <w:rPr>
                <w:b/>
                <w:sz w:val="20"/>
                <w:szCs w:val="20"/>
                <w:lang w:val="fr-FR"/>
              </w:rPr>
              <w:t>Zones de gestion des ressources communautaires et aménagement du territoire tenant compte de la biodiversité au Ghana</w:t>
            </w:r>
          </w:p>
          <w:p w14:paraId="40B06BEA" w14:textId="77777777" w:rsidR="002F25F8" w:rsidRPr="00653BF4" w:rsidRDefault="002F25F8" w:rsidP="002F25F8">
            <w:pPr>
              <w:jc w:val="both"/>
              <w:rPr>
                <w:sz w:val="22"/>
                <w:szCs w:val="22"/>
                <w:lang w:val="fr-FR"/>
              </w:rPr>
            </w:pPr>
          </w:p>
          <w:p w14:paraId="45364CC9" w14:textId="03FA311A" w:rsidR="00D41A5D" w:rsidRPr="00653BF4" w:rsidRDefault="00D41A5D" w:rsidP="00D41A5D">
            <w:pPr>
              <w:rPr>
                <w:sz w:val="20"/>
                <w:szCs w:val="20"/>
                <w:lang w:val="fr-FR"/>
              </w:rPr>
            </w:pPr>
            <w:r w:rsidRPr="00653BF4">
              <w:rPr>
                <w:sz w:val="20"/>
                <w:szCs w:val="20"/>
                <w:lang w:val="fr-FR"/>
              </w:rPr>
              <w:t>L</w:t>
            </w:r>
            <w:r w:rsidR="002A58C8" w:rsidRPr="00653BF4">
              <w:rPr>
                <w:sz w:val="20"/>
                <w:szCs w:val="20"/>
                <w:lang w:val="fr-FR"/>
              </w:rPr>
              <w:t>’</w:t>
            </w:r>
            <w:r w:rsidRPr="00653BF4">
              <w:rPr>
                <w:sz w:val="20"/>
                <w:szCs w:val="20"/>
                <w:lang w:val="fr-FR"/>
              </w:rPr>
              <w:t>initiative ghanéenne relative aux zones de gestion communautaire des ressources constitue un modèle reconnu à l</w:t>
            </w:r>
            <w:r w:rsidR="002A58C8" w:rsidRPr="00653BF4">
              <w:rPr>
                <w:sz w:val="20"/>
                <w:szCs w:val="20"/>
                <w:lang w:val="fr-FR"/>
              </w:rPr>
              <w:t>’</w:t>
            </w:r>
            <w:r w:rsidRPr="00653BF4">
              <w:rPr>
                <w:sz w:val="20"/>
                <w:szCs w:val="20"/>
                <w:lang w:val="fr-FR"/>
              </w:rPr>
              <w:t>échelle nationale en matière de conservation de la biodiversité et de gestion durable des ressources naturelles à l</w:t>
            </w:r>
            <w:r w:rsidR="002A58C8" w:rsidRPr="00653BF4">
              <w:rPr>
                <w:sz w:val="20"/>
                <w:szCs w:val="20"/>
                <w:lang w:val="fr-FR"/>
              </w:rPr>
              <w:t>’</w:t>
            </w:r>
            <w:r w:rsidRPr="00653BF4">
              <w:rPr>
                <w:sz w:val="20"/>
                <w:szCs w:val="20"/>
                <w:lang w:val="fr-FR"/>
              </w:rPr>
              <w:t>échelle communautaire. Mises en place dans le cadre de la politique de gestion collaborative de la faune et de la flore sauvages à l</w:t>
            </w:r>
            <w:r w:rsidR="002A58C8" w:rsidRPr="00653BF4">
              <w:rPr>
                <w:sz w:val="20"/>
                <w:szCs w:val="20"/>
                <w:lang w:val="fr-FR"/>
              </w:rPr>
              <w:t>’</w:t>
            </w:r>
            <w:r w:rsidRPr="00653BF4">
              <w:rPr>
                <w:sz w:val="20"/>
                <w:szCs w:val="20"/>
                <w:lang w:val="fr-FR"/>
              </w:rPr>
              <w:t>échelle communautaire (2000) et s</w:t>
            </w:r>
            <w:r w:rsidR="002A58C8" w:rsidRPr="00653BF4">
              <w:rPr>
                <w:sz w:val="20"/>
                <w:szCs w:val="20"/>
                <w:lang w:val="fr-FR"/>
              </w:rPr>
              <w:t>’</w:t>
            </w:r>
            <w:r w:rsidRPr="00653BF4">
              <w:rPr>
                <w:sz w:val="20"/>
                <w:szCs w:val="20"/>
                <w:lang w:val="fr-FR"/>
              </w:rPr>
              <w:t>inscrivant dans la politique relative aux forêts et à la faune sauvage (1994), ces zones permettent aux communautés locales de gérer de manière durable la faune et la flore sauvages, ainsi que d</w:t>
            </w:r>
            <w:r w:rsidR="002A58C8" w:rsidRPr="00653BF4">
              <w:rPr>
                <w:sz w:val="20"/>
                <w:szCs w:val="20"/>
                <w:lang w:val="fr-FR"/>
              </w:rPr>
              <w:t>’</w:t>
            </w:r>
            <w:r w:rsidRPr="00653BF4">
              <w:rPr>
                <w:sz w:val="20"/>
                <w:szCs w:val="20"/>
                <w:lang w:val="fr-FR"/>
              </w:rPr>
              <w:t>autres ressources naturelles. Initialement axée sur les écosystèmes forestiers, cette approche s</w:t>
            </w:r>
            <w:r w:rsidR="002A58C8" w:rsidRPr="00653BF4">
              <w:rPr>
                <w:sz w:val="20"/>
                <w:szCs w:val="20"/>
                <w:lang w:val="fr-FR"/>
              </w:rPr>
              <w:t>’</w:t>
            </w:r>
            <w:r w:rsidRPr="00653BF4">
              <w:rPr>
                <w:sz w:val="20"/>
                <w:szCs w:val="20"/>
                <w:lang w:val="fr-FR"/>
              </w:rPr>
              <w:t>est étendue aux zones écologiques de haute forêt et de savane du Ghana, favorisant ainsi la conservation de la biodiversité, la restauration des paysages forestiers, l</w:t>
            </w:r>
            <w:r w:rsidR="002A58C8" w:rsidRPr="00653BF4">
              <w:rPr>
                <w:sz w:val="20"/>
                <w:szCs w:val="20"/>
                <w:lang w:val="fr-FR"/>
              </w:rPr>
              <w:t>’</w:t>
            </w:r>
            <w:r w:rsidRPr="00653BF4">
              <w:rPr>
                <w:sz w:val="20"/>
                <w:szCs w:val="20"/>
                <w:lang w:val="fr-FR"/>
              </w:rPr>
              <w:t>atténuation du changement climatique et des moyens de subsistance durables.</w:t>
            </w:r>
          </w:p>
          <w:p w14:paraId="4F2C874C" w14:textId="0155E80D" w:rsidR="00D41A5D" w:rsidRPr="00653BF4" w:rsidRDefault="00D41A5D" w:rsidP="00D41A5D">
            <w:pPr>
              <w:rPr>
                <w:sz w:val="20"/>
                <w:szCs w:val="20"/>
                <w:lang w:val="fr-FR"/>
              </w:rPr>
            </w:pPr>
            <w:r w:rsidRPr="00653BF4">
              <w:rPr>
                <w:sz w:val="20"/>
                <w:szCs w:val="20"/>
                <w:lang w:val="fr-FR"/>
              </w:rPr>
              <w:t>Avec l</w:t>
            </w:r>
            <w:r w:rsidR="002A58C8" w:rsidRPr="00653BF4">
              <w:rPr>
                <w:sz w:val="20"/>
                <w:szCs w:val="20"/>
                <w:lang w:val="fr-FR"/>
              </w:rPr>
              <w:t>’</w:t>
            </w:r>
            <w:r w:rsidRPr="00653BF4">
              <w:rPr>
                <w:sz w:val="20"/>
                <w:szCs w:val="20"/>
                <w:lang w:val="fr-FR"/>
              </w:rPr>
              <w:t>appui du gouvernement ghanéen et de ses partenaires de développement, le Cadre régissant les zones de gestion communautaire des ressources délègue officiellement le pouvoir de gestion des ressources naturelles aux communautés par le biais d</w:t>
            </w:r>
            <w:r w:rsidR="002A58C8" w:rsidRPr="00653BF4">
              <w:rPr>
                <w:sz w:val="20"/>
                <w:szCs w:val="20"/>
                <w:lang w:val="fr-FR"/>
              </w:rPr>
              <w:t>’</w:t>
            </w:r>
            <w:r w:rsidRPr="00653BF4">
              <w:rPr>
                <w:sz w:val="20"/>
                <w:szCs w:val="20"/>
                <w:lang w:val="fr-FR"/>
              </w:rPr>
              <w:t>une procédure de publication au Journal officiel. Les communautés mettent en place des structures de gouvernance, des chartes, des règlements et des plans de gestion élaborés localement afin d</w:t>
            </w:r>
            <w:r w:rsidR="002A58C8" w:rsidRPr="00653BF4">
              <w:rPr>
                <w:sz w:val="20"/>
                <w:szCs w:val="20"/>
                <w:lang w:val="fr-FR"/>
              </w:rPr>
              <w:t>’</w:t>
            </w:r>
            <w:r w:rsidRPr="00653BF4">
              <w:rPr>
                <w:sz w:val="20"/>
                <w:szCs w:val="20"/>
                <w:lang w:val="fr-FR"/>
              </w:rPr>
              <w:t>orienter l</w:t>
            </w:r>
            <w:r w:rsidR="002A58C8" w:rsidRPr="00653BF4">
              <w:rPr>
                <w:sz w:val="20"/>
                <w:szCs w:val="20"/>
                <w:lang w:val="fr-FR"/>
              </w:rPr>
              <w:t>’</w:t>
            </w:r>
            <w:r w:rsidRPr="00653BF4">
              <w:rPr>
                <w:sz w:val="20"/>
                <w:szCs w:val="20"/>
                <w:lang w:val="fr-FR"/>
              </w:rPr>
              <w:t>utilisation durable des ressources. Parmi les activités clés figurent la restauration des paysages dégradés, la gestion durable des ressources forestières, l</w:t>
            </w:r>
            <w:r w:rsidR="002A58C8" w:rsidRPr="00653BF4">
              <w:rPr>
                <w:sz w:val="20"/>
                <w:szCs w:val="20"/>
                <w:lang w:val="fr-FR"/>
              </w:rPr>
              <w:t>’</w:t>
            </w:r>
            <w:r w:rsidRPr="00653BF4">
              <w:rPr>
                <w:sz w:val="20"/>
                <w:szCs w:val="20"/>
                <w:lang w:val="fr-FR"/>
              </w:rPr>
              <w:t>agriculture adaptée au changement climatique, le suivi des espèces menacées, la mise en œuvre du programme REDD+ et le partage équitable des bénéfices.</w:t>
            </w:r>
          </w:p>
          <w:p w14:paraId="7A4F4500" w14:textId="77777777" w:rsidR="00D41A5D" w:rsidRPr="00653BF4" w:rsidRDefault="00D41A5D" w:rsidP="00D41A5D">
            <w:pPr>
              <w:rPr>
                <w:sz w:val="20"/>
                <w:szCs w:val="20"/>
                <w:lang w:val="fr-FR"/>
              </w:rPr>
            </w:pPr>
            <w:r w:rsidRPr="00653BF4">
              <w:rPr>
                <w:sz w:val="20"/>
                <w:szCs w:val="20"/>
                <w:lang w:val="fr-FR"/>
              </w:rPr>
              <w:t>Le cadre de gouvernance rassemble les comités de gestion des ressources communautaires et les comités exécutifs, les autorités traditionnelles et les institutions gouvernementales, ce qui permet une élaboration des politiques inclusive et renforce la gestion locale de la biodiversité et des ressources naturelles.</w:t>
            </w:r>
          </w:p>
          <w:p w14:paraId="4E16FB66" w14:textId="2EE1FC57" w:rsidR="00D41A5D" w:rsidRPr="00653BF4" w:rsidRDefault="00D41A5D" w:rsidP="00D41A5D">
            <w:pPr>
              <w:rPr>
                <w:sz w:val="20"/>
                <w:szCs w:val="20"/>
                <w:lang w:val="fr-FR"/>
              </w:rPr>
            </w:pPr>
            <w:r w:rsidRPr="00653BF4">
              <w:rPr>
                <w:sz w:val="20"/>
                <w:szCs w:val="20"/>
                <w:lang w:val="fr-FR"/>
              </w:rPr>
              <w:t>La Banque mondiale a été un partenaire clé dans l</w:t>
            </w:r>
            <w:r w:rsidR="002A58C8" w:rsidRPr="00653BF4">
              <w:rPr>
                <w:sz w:val="20"/>
                <w:szCs w:val="20"/>
                <w:lang w:val="fr-FR"/>
              </w:rPr>
              <w:t>’</w:t>
            </w:r>
            <w:r w:rsidRPr="00653BF4">
              <w:rPr>
                <w:sz w:val="20"/>
                <w:szCs w:val="20"/>
                <w:lang w:val="fr-FR"/>
              </w:rPr>
              <w:t>extension de l</w:t>
            </w:r>
            <w:r w:rsidR="002A58C8" w:rsidRPr="00653BF4">
              <w:rPr>
                <w:sz w:val="20"/>
                <w:szCs w:val="20"/>
                <w:lang w:val="fr-FR"/>
              </w:rPr>
              <w:t>’</w:t>
            </w:r>
            <w:r w:rsidRPr="00653BF4">
              <w:rPr>
                <w:sz w:val="20"/>
                <w:szCs w:val="20"/>
                <w:lang w:val="fr-FR"/>
              </w:rPr>
              <w:t>approche de gestion communautaire des ressources grâce à des initiatives telles que des projets sur la gestion durable des terres et de l</w:t>
            </w:r>
            <w:r w:rsidR="002A58C8" w:rsidRPr="00653BF4">
              <w:rPr>
                <w:sz w:val="20"/>
                <w:szCs w:val="20"/>
                <w:lang w:val="fr-FR"/>
              </w:rPr>
              <w:t>’</w:t>
            </w:r>
            <w:r w:rsidRPr="00653BF4">
              <w:rPr>
                <w:sz w:val="20"/>
                <w:szCs w:val="20"/>
                <w:lang w:val="fr-FR"/>
              </w:rPr>
              <w:t>eau, la restauration des paysages au Ghana, l</w:t>
            </w:r>
            <w:r w:rsidR="002A58C8" w:rsidRPr="00653BF4">
              <w:rPr>
                <w:sz w:val="20"/>
                <w:szCs w:val="20"/>
                <w:lang w:val="fr-FR"/>
              </w:rPr>
              <w:t>’</w:t>
            </w:r>
            <w:r w:rsidRPr="00653BF4">
              <w:rPr>
                <w:sz w:val="20"/>
                <w:szCs w:val="20"/>
                <w:lang w:val="fr-FR"/>
              </w:rPr>
              <w:t>exploitation minière à petite échelle et le programme d</w:t>
            </w:r>
            <w:r w:rsidR="002A58C8" w:rsidRPr="00653BF4">
              <w:rPr>
                <w:sz w:val="20"/>
                <w:szCs w:val="20"/>
                <w:lang w:val="fr-FR"/>
              </w:rPr>
              <w:t>’</w:t>
            </w:r>
            <w:r w:rsidRPr="00653BF4">
              <w:rPr>
                <w:sz w:val="20"/>
                <w:szCs w:val="20"/>
                <w:lang w:val="fr-FR"/>
              </w:rPr>
              <w:t>investissement forestier du Ghana.</w:t>
            </w:r>
          </w:p>
          <w:p w14:paraId="05FD9FF4" w14:textId="62B74F32" w:rsidR="00B972F0" w:rsidRPr="00653BF4" w:rsidRDefault="00D41A5D" w:rsidP="00D41A5D">
            <w:pPr>
              <w:rPr>
                <w:sz w:val="20"/>
                <w:szCs w:val="20"/>
                <w:lang w:val="fr-FR"/>
              </w:rPr>
            </w:pPr>
            <w:r w:rsidRPr="00653BF4">
              <w:rPr>
                <w:sz w:val="20"/>
                <w:szCs w:val="20"/>
                <w:lang w:val="fr-FR"/>
              </w:rPr>
              <w:t>Le modèle de zone de gestion communautaire des ressources a renforcé la conservation des forêts et de la biodiversité, restauré des paysages dégradés, amélioré les pratiques agricoles durables, accru les revenus des communautés grâce à de nouvelles sources de subsistance et renforcé la participation locale à la gouvernance des ressources naturelles. En reconnaissance de son succès, ce cadre a été officiellement intégré dans la loi ghanéenne de 2023 sur la gestion des ressources de la faune et de la flore sauvages, offrant ainsi une base juridique solide à la conservation menée par les communautés. Ces zones servent désormais de modèle transposable pour la mise en œuvre du Cadre mondial de la biodiversité de Kunming-Montréal, en favorisant une conservation efficace, une utilisation durable, un partage équitable des avantages et la participation significative des communautés locales à la gouvernance de la biodiversité</w:t>
            </w:r>
            <w:r w:rsidR="00B972F0" w:rsidRPr="00653BF4">
              <w:rPr>
                <w:sz w:val="20"/>
                <w:szCs w:val="20"/>
                <w:lang w:val="fr-FR"/>
              </w:rPr>
              <w:t>.</w:t>
            </w:r>
          </w:p>
          <w:p w14:paraId="6DEE05EA" w14:textId="77777777" w:rsidR="00EA6F41" w:rsidRPr="00653BF4" w:rsidRDefault="00C7305A" w:rsidP="00B24907">
            <w:pPr>
              <w:rPr>
                <w:i/>
                <w:sz w:val="20"/>
                <w:szCs w:val="20"/>
                <w:lang w:val="fr-FR"/>
              </w:rPr>
            </w:pPr>
            <w:r w:rsidRPr="00653BF4">
              <w:rPr>
                <w:sz w:val="20"/>
                <w:szCs w:val="20"/>
                <w:lang w:val="fr-FR"/>
              </w:rPr>
              <w:t xml:space="preserve"> </w:t>
            </w:r>
          </w:p>
          <w:p w14:paraId="32DFE622" w14:textId="4913B850" w:rsidR="00EA6F41" w:rsidRPr="00653BF4" w:rsidRDefault="00904C13" w:rsidP="00881BE0">
            <w:pPr>
              <w:jc w:val="both"/>
              <w:rPr>
                <w:sz w:val="20"/>
                <w:szCs w:val="20"/>
                <w:lang w:val="fr-FR"/>
              </w:rPr>
            </w:pPr>
            <w:r w:rsidRPr="00653BF4">
              <w:rPr>
                <w:i/>
                <w:sz w:val="20"/>
                <w:szCs w:val="20"/>
                <w:lang w:val="fr-FR"/>
              </w:rPr>
              <w:t>C</w:t>
            </w:r>
            <w:r w:rsidR="001345EC" w:rsidRPr="00653BF4">
              <w:rPr>
                <w:i/>
                <w:sz w:val="20"/>
                <w:szCs w:val="20"/>
                <w:lang w:val="fr-FR"/>
              </w:rPr>
              <w:t>ibles concernées</w:t>
            </w:r>
            <w:r w:rsidR="00E34DC9">
              <w:rPr>
                <w:i/>
                <w:sz w:val="20"/>
                <w:szCs w:val="20"/>
                <w:lang w:val="fr-FR"/>
              </w:rPr>
              <w:t> :</w:t>
            </w:r>
            <w:r w:rsidR="00411ED4" w:rsidRPr="00653BF4">
              <w:rPr>
                <w:i/>
                <w:sz w:val="20"/>
                <w:szCs w:val="20"/>
                <w:lang w:val="fr-FR"/>
              </w:rPr>
              <w:t xml:space="preserve"> </w:t>
            </w:r>
            <w:r w:rsidR="006F0250" w:rsidRPr="00653BF4">
              <w:rPr>
                <w:sz w:val="20"/>
                <w:szCs w:val="20"/>
                <w:lang w:val="fr-FR"/>
              </w:rPr>
              <w:t>1, 2, 5</w:t>
            </w:r>
            <w:r w:rsidR="00D438D3" w:rsidRPr="00653BF4">
              <w:rPr>
                <w:sz w:val="20"/>
                <w:szCs w:val="20"/>
                <w:lang w:val="fr-FR"/>
              </w:rPr>
              <w:t xml:space="preserve">, 8, </w:t>
            </w:r>
            <w:r w:rsidR="00FB714A" w:rsidRPr="00653BF4">
              <w:rPr>
                <w:sz w:val="20"/>
                <w:szCs w:val="20"/>
                <w:lang w:val="fr-FR"/>
              </w:rPr>
              <w:t>9, 10, 14, 19</w:t>
            </w:r>
            <w:r w:rsidR="00367186" w:rsidRPr="00653BF4">
              <w:rPr>
                <w:iCs/>
                <w:sz w:val="20"/>
                <w:szCs w:val="20"/>
                <w:lang w:val="fr-FR"/>
              </w:rPr>
              <w:t xml:space="preserve"> </w:t>
            </w:r>
            <w:r w:rsidR="00D41A5D" w:rsidRPr="00653BF4">
              <w:rPr>
                <w:iCs/>
                <w:sz w:val="20"/>
                <w:szCs w:val="20"/>
                <w:lang w:val="fr-FR"/>
              </w:rPr>
              <w:t>et</w:t>
            </w:r>
            <w:r w:rsidR="00FB714A" w:rsidRPr="00653BF4">
              <w:rPr>
                <w:sz w:val="20"/>
                <w:szCs w:val="20"/>
                <w:lang w:val="fr-FR"/>
              </w:rPr>
              <w:t xml:space="preserve"> 22</w:t>
            </w:r>
            <w:r w:rsidR="001071A1" w:rsidRPr="00653BF4">
              <w:rPr>
                <w:sz w:val="20"/>
                <w:szCs w:val="20"/>
                <w:lang w:val="fr-FR"/>
              </w:rPr>
              <w:t>.</w:t>
            </w:r>
          </w:p>
          <w:p w14:paraId="4D2F7468" w14:textId="77777777" w:rsidR="007A5A4A" w:rsidRPr="00653BF4" w:rsidRDefault="007A5A4A" w:rsidP="00F5345F">
            <w:pPr>
              <w:rPr>
                <w:i/>
                <w:sz w:val="20"/>
                <w:szCs w:val="20"/>
                <w:lang w:val="fr-FR"/>
              </w:rPr>
            </w:pPr>
          </w:p>
          <w:p w14:paraId="3DDC863E" w14:textId="49078005" w:rsidR="007A5A4A" w:rsidRPr="00653BF4" w:rsidRDefault="00B662E3" w:rsidP="00F5345F">
            <w:pPr>
              <w:rPr>
                <w:sz w:val="22"/>
                <w:szCs w:val="22"/>
                <w:lang w:val="fr-FR"/>
              </w:rPr>
            </w:pPr>
            <w:r w:rsidRPr="00653BF4">
              <w:rPr>
                <w:i/>
                <w:sz w:val="20"/>
                <w:szCs w:val="20"/>
                <w:lang w:val="fr-FR"/>
              </w:rPr>
              <w:t>Sources</w:t>
            </w:r>
            <w:r w:rsidR="00E34DC9">
              <w:rPr>
                <w:i/>
                <w:sz w:val="20"/>
                <w:szCs w:val="20"/>
                <w:lang w:val="fr-FR"/>
              </w:rPr>
              <w:t> :</w:t>
            </w:r>
            <w:r w:rsidRPr="00653BF4">
              <w:rPr>
                <w:i/>
                <w:sz w:val="20"/>
                <w:szCs w:val="20"/>
                <w:lang w:val="fr-FR"/>
              </w:rPr>
              <w:t xml:space="preserve"> </w:t>
            </w:r>
            <w:r w:rsidRPr="00653BF4">
              <w:rPr>
                <w:iCs/>
                <w:sz w:val="20"/>
                <w:szCs w:val="20"/>
                <w:lang w:val="fr-FR"/>
              </w:rPr>
              <w:t xml:space="preserve">Ghana, </w:t>
            </w:r>
            <w:r w:rsidR="00E06B45" w:rsidRPr="00653BF4">
              <w:rPr>
                <w:iCs/>
                <w:sz w:val="20"/>
                <w:szCs w:val="20"/>
                <w:lang w:val="fr-FR"/>
              </w:rPr>
              <w:t>septième rapport national au titre de la Convention</w:t>
            </w:r>
            <w:r w:rsidR="00E34DC9">
              <w:rPr>
                <w:iCs/>
                <w:sz w:val="20"/>
                <w:szCs w:val="20"/>
                <w:lang w:val="fr-FR"/>
              </w:rPr>
              <w:t> ;</w:t>
            </w:r>
            <w:r w:rsidR="00E06B45" w:rsidRPr="00653BF4">
              <w:rPr>
                <w:iCs/>
                <w:sz w:val="20"/>
                <w:szCs w:val="20"/>
                <w:lang w:val="fr-FR"/>
              </w:rPr>
              <w:t xml:space="preserve"> Asare </w:t>
            </w:r>
            <w:r w:rsidR="00E06B45" w:rsidRPr="00653BF4">
              <w:rPr>
                <w:i/>
                <w:sz w:val="20"/>
                <w:szCs w:val="20"/>
                <w:lang w:val="fr-FR"/>
              </w:rPr>
              <w:t>et al.</w:t>
            </w:r>
            <w:r w:rsidR="00E06B45" w:rsidRPr="00653BF4">
              <w:rPr>
                <w:iCs/>
                <w:sz w:val="20"/>
                <w:szCs w:val="20"/>
                <w:lang w:val="fr-FR"/>
              </w:rPr>
              <w:t>, 2013</w:t>
            </w:r>
            <w:r w:rsidR="00E34DC9">
              <w:rPr>
                <w:iCs/>
                <w:sz w:val="20"/>
                <w:szCs w:val="20"/>
                <w:lang w:val="fr-FR"/>
              </w:rPr>
              <w:t> ;</w:t>
            </w:r>
            <w:r w:rsidR="00E06B45" w:rsidRPr="00653BF4">
              <w:rPr>
                <w:iCs/>
                <w:sz w:val="20"/>
                <w:szCs w:val="20"/>
                <w:lang w:val="fr-FR"/>
              </w:rPr>
              <w:t xml:space="preserve"> et Fumey-Nassah, 2025.</w:t>
            </w:r>
          </w:p>
          <w:p w14:paraId="2CC49770" w14:textId="40A0B001" w:rsidR="00F5345F" w:rsidRPr="00653BF4" w:rsidRDefault="00F5345F" w:rsidP="00DD33FE">
            <w:pPr>
              <w:rPr>
                <w:i/>
                <w:sz w:val="22"/>
                <w:szCs w:val="22"/>
                <w:lang w:val="fr-FR"/>
              </w:rPr>
            </w:pPr>
          </w:p>
        </w:tc>
      </w:tr>
    </w:tbl>
    <w:p w14:paraId="6A57FC7F" w14:textId="77777777" w:rsidR="00A14769" w:rsidRPr="00653BF4" w:rsidRDefault="00A14769" w:rsidP="00A14769">
      <w:pPr>
        <w:pStyle w:val="Heading6"/>
        <w:rPr>
          <w:lang w:val="fr-FR"/>
        </w:rPr>
      </w:pPr>
    </w:p>
    <w:p w14:paraId="66B0DB07" w14:textId="7C074A88" w:rsidR="000769CD" w:rsidRPr="00653BF4" w:rsidRDefault="000769CD" w:rsidP="000769CD">
      <w:pPr>
        <w:pStyle w:val="Caption"/>
        <w:keepNext/>
        <w:rPr>
          <w:b/>
          <w:i w:val="0"/>
          <w:sz w:val="20"/>
          <w:szCs w:val="20"/>
          <w:lang w:val="fr-FR"/>
        </w:rPr>
      </w:pPr>
    </w:p>
    <w:tbl>
      <w:tblPr>
        <w:tblStyle w:val="TableGrid"/>
        <w:tblW w:w="0" w:type="auto"/>
        <w:tblLook w:val="04A0" w:firstRow="1" w:lastRow="0" w:firstColumn="1" w:lastColumn="0" w:noHBand="0" w:noVBand="1"/>
      </w:tblPr>
      <w:tblGrid>
        <w:gridCol w:w="9350"/>
      </w:tblGrid>
      <w:tr w:rsidR="00A86C70" w:rsidRPr="00543148" w14:paraId="24346B8B" w14:textId="77777777" w:rsidTr="00A86C70">
        <w:tc>
          <w:tcPr>
            <w:tcW w:w="12950" w:type="dxa"/>
            <w:shd w:val="clear" w:color="auto" w:fill="D1D1D1" w:themeFill="background2" w:themeFillShade="E6"/>
          </w:tcPr>
          <w:p w14:paraId="2393BB44" w14:textId="77777777" w:rsidR="00005576" w:rsidRPr="00653BF4" w:rsidRDefault="00005576" w:rsidP="00005576">
            <w:pPr>
              <w:rPr>
                <w:rFonts w:ascii="Aptos" w:eastAsia="Aptos" w:hAnsi="Aptos" w:cs="Aptos"/>
                <w:color w:val="000000" w:themeColor="text1"/>
                <w:lang w:val="fr-FR" w:eastAsia="zh-CN"/>
              </w:rPr>
            </w:pPr>
          </w:p>
          <w:p w14:paraId="54AECA97" w14:textId="6D4B7BD7" w:rsidR="002F25F8" w:rsidRPr="00653BF4" w:rsidRDefault="00160365" w:rsidP="002F25F8">
            <w:pPr>
              <w:pStyle w:val="Caption"/>
              <w:keepNext/>
              <w:rPr>
                <w:i w:val="0"/>
                <w:iCs w:val="0"/>
                <w:sz w:val="20"/>
                <w:szCs w:val="20"/>
                <w:lang w:val="fr-FR"/>
              </w:rPr>
            </w:pPr>
            <w:r w:rsidRPr="00653BF4">
              <w:rPr>
                <w:i w:val="0"/>
                <w:sz w:val="20"/>
                <w:szCs w:val="20"/>
                <w:lang w:val="fr-FR"/>
              </w:rPr>
              <w:t>Encadré</w:t>
            </w:r>
            <w:r w:rsidR="002F25F8" w:rsidRPr="00653BF4">
              <w:rPr>
                <w:i w:val="0"/>
                <w:sz w:val="20"/>
                <w:szCs w:val="20"/>
                <w:lang w:val="fr-FR"/>
              </w:rPr>
              <w:t xml:space="preserve"> </w:t>
            </w:r>
            <w:r w:rsidR="008306DF" w:rsidRPr="00653BF4">
              <w:rPr>
                <w:i w:val="0"/>
                <w:noProof/>
                <w:sz w:val="20"/>
                <w:szCs w:val="20"/>
                <w:lang w:val="fr-FR"/>
              </w:rPr>
              <w:t>8</w:t>
            </w:r>
          </w:p>
          <w:p w14:paraId="60BE2F2E" w14:textId="75C6592D" w:rsidR="00B202DB" w:rsidRPr="00653BF4" w:rsidRDefault="00160365" w:rsidP="002F25F8">
            <w:pPr>
              <w:rPr>
                <w:b/>
                <w:sz w:val="20"/>
                <w:szCs w:val="20"/>
                <w:lang w:val="fr-FR"/>
              </w:rPr>
            </w:pPr>
            <w:r w:rsidRPr="00653BF4">
              <w:rPr>
                <w:b/>
                <w:sz w:val="20"/>
                <w:szCs w:val="20"/>
                <w:lang w:val="fr-FR"/>
              </w:rPr>
              <w:t>Partenariats multipartites visant à faire progresser la mise en correspondance des zones clés pour la biodiversité et l</w:t>
            </w:r>
            <w:r w:rsidR="002A58C8" w:rsidRPr="00653BF4">
              <w:rPr>
                <w:b/>
                <w:sz w:val="20"/>
                <w:szCs w:val="20"/>
                <w:lang w:val="fr-FR"/>
              </w:rPr>
              <w:t>’</w:t>
            </w:r>
            <w:r w:rsidRPr="00653BF4">
              <w:rPr>
                <w:b/>
                <w:sz w:val="20"/>
                <w:szCs w:val="20"/>
                <w:lang w:val="fr-FR"/>
              </w:rPr>
              <w:t>aménagement du territoire tenant compte de la biodiversité au Mozambique</w:t>
            </w:r>
          </w:p>
          <w:p w14:paraId="007D0888" w14:textId="77777777" w:rsidR="002F25F8" w:rsidRPr="00653BF4" w:rsidRDefault="002F25F8" w:rsidP="002F25F8">
            <w:pPr>
              <w:rPr>
                <w:rFonts w:ascii="Aptos" w:eastAsia="Aptos" w:hAnsi="Aptos" w:cs="Aptos"/>
                <w:color w:val="000000" w:themeColor="text1"/>
                <w:lang w:val="fr-FR" w:eastAsia="zh-CN"/>
              </w:rPr>
            </w:pPr>
          </w:p>
          <w:p w14:paraId="6ECFE86F" w14:textId="7E6E3E0B" w:rsidR="001158F8" w:rsidRPr="00653BF4" w:rsidRDefault="001158F8" w:rsidP="001158F8">
            <w:pPr>
              <w:spacing w:line="276" w:lineRule="auto"/>
              <w:rPr>
                <w:rFonts w:ascii="Aptos" w:eastAsia="Aptos" w:hAnsi="Aptos" w:cs="Aptos"/>
                <w:color w:val="000000" w:themeColor="text1"/>
                <w:sz w:val="20"/>
                <w:szCs w:val="20"/>
                <w:lang w:val="fr-FR" w:eastAsia="zh-CN"/>
              </w:rPr>
            </w:pPr>
            <w:r w:rsidRPr="00653BF4">
              <w:rPr>
                <w:rFonts w:ascii="Aptos" w:eastAsia="Aptos" w:hAnsi="Aptos" w:cs="Aptos"/>
                <w:color w:val="000000" w:themeColor="text1"/>
                <w:sz w:val="20"/>
                <w:szCs w:val="20"/>
                <w:lang w:val="fr-FR" w:eastAsia="zh-CN"/>
              </w:rPr>
              <w:t>Le Mozambique a déployé des efforts considérables pour identifier et délimiter les zones clés pour la biodiversité, devenant ainsi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un des premiers pays à appliquer la Norme mondiale de 2016 pour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identification des zones clés pour la biodiversité, élaborée par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Union internationale pour la conservation de la nature (UICN, 2016). Cette norme fournit un cadre mondialement reconnu permettant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identifier les sites essentiels à la pérennité de la biodiversité dans les écosystèmes terrestres,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eau douce, marins et souterrains.</w:t>
            </w:r>
          </w:p>
          <w:p w14:paraId="2B0E1E88" w14:textId="77777777" w:rsidR="001158F8" w:rsidRPr="00653BF4" w:rsidRDefault="001158F8" w:rsidP="001158F8">
            <w:pPr>
              <w:spacing w:line="276" w:lineRule="auto"/>
              <w:rPr>
                <w:rFonts w:ascii="Aptos" w:eastAsia="Aptos" w:hAnsi="Aptos" w:cs="Aptos"/>
                <w:color w:val="000000" w:themeColor="text1"/>
                <w:sz w:val="20"/>
                <w:szCs w:val="20"/>
                <w:lang w:val="fr-FR" w:eastAsia="zh-CN"/>
              </w:rPr>
            </w:pPr>
          </w:p>
          <w:p w14:paraId="3914E150" w14:textId="33610873" w:rsidR="001158F8" w:rsidRPr="00653BF4" w:rsidRDefault="001158F8" w:rsidP="001158F8">
            <w:pPr>
              <w:spacing w:line="276" w:lineRule="auto"/>
              <w:rPr>
                <w:rFonts w:ascii="Aptos" w:eastAsia="Aptos" w:hAnsi="Aptos" w:cs="Aptos"/>
                <w:color w:val="000000" w:themeColor="text1"/>
                <w:sz w:val="20"/>
                <w:szCs w:val="20"/>
                <w:lang w:val="fr-FR" w:eastAsia="zh-CN"/>
              </w:rPr>
            </w:pPr>
            <w:r w:rsidRPr="00653BF4">
              <w:rPr>
                <w:rFonts w:ascii="Aptos" w:eastAsia="Aptos" w:hAnsi="Aptos" w:cs="Aptos"/>
                <w:color w:val="000000" w:themeColor="text1"/>
                <w:sz w:val="20"/>
                <w:szCs w:val="20"/>
                <w:lang w:val="fr-FR" w:eastAsia="zh-CN"/>
              </w:rPr>
              <w:t>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une des principales conclusions de ce processus a été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identification de 29 zones clés pour la biodiversité à travers le Mozambique, qui servent désormais de zones de référence importantes pour la planification du développement et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élaboration des politiques en matière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aménagement du territoire. Parallèlement au programme sur les zones clés pour la biodiversité, le Mozambique a établi une carte historique de la végétation, réalisé sa première évaluation nationale de la Liste rouge des écosystèmes afin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identifier les écosystèmes menacés de dégradation et les zones nécessitant une protection stricte, et fait progresser des initiatives complémentaires telles que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identification des zones végétales importantes et la planification spatiale marine.</w:t>
            </w:r>
          </w:p>
          <w:p w14:paraId="00CA43B3" w14:textId="77777777" w:rsidR="001158F8" w:rsidRPr="00653BF4" w:rsidRDefault="001158F8" w:rsidP="001158F8">
            <w:pPr>
              <w:spacing w:line="276" w:lineRule="auto"/>
              <w:rPr>
                <w:rFonts w:ascii="Aptos" w:eastAsia="Aptos" w:hAnsi="Aptos" w:cs="Aptos"/>
                <w:color w:val="000000" w:themeColor="text1"/>
                <w:sz w:val="20"/>
                <w:szCs w:val="20"/>
                <w:lang w:val="fr-FR" w:eastAsia="zh-CN"/>
              </w:rPr>
            </w:pPr>
          </w:p>
          <w:p w14:paraId="71147E9F" w14:textId="4F7B9698" w:rsidR="001158F8" w:rsidRPr="00653BF4" w:rsidRDefault="001158F8" w:rsidP="001158F8">
            <w:pPr>
              <w:spacing w:line="276" w:lineRule="auto"/>
              <w:rPr>
                <w:rFonts w:ascii="Aptos" w:eastAsia="Aptos" w:hAnsi="Aptos" w:cs="Aptos"/>
                <w:color w:val="000000" w:themeColor="text1"/>
                <w:sz w:val="20"/>
                <w:szCs w:val="20"/>
                <w:lang w:val="fr-FR" w:eastAsia="zh-CN"/>
              </w:rPr>
            </w:pPr>
            <w:r w:rsidRPr="00653BF4">
              <w:rPr>
                <w:rFonts w:ascii="Aptos" w:eastAsia="Aptos" w:hAnsi="Aptos" w:cs="Aptos"/>
                <w:color w:val="000000" w:themeColor="text1"/>
                <w:sz w:val="20"/>
                <w:szCs w:val="20"/>
                <w:lang w:val="fr-FR" w:eastAsia="zh-CN"/>
              </w:rPr>
              <w:t>Le programme a mobilisé une large coalition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acteurs gouvernementaux, non gouvernementaux et internationaux. Le gouvernement du Mozambique a mis en place un groupe de coordination national composé de 20 institutions nationales, dont le ministère des Terres et de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Environnement et le ministère de la Mer, des Eaux intérieures et de la Pêche. Des organisations internationales de conservation, notamment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UICN, la Wildlife Conservation Society et le Fonds mondial pour la nature (WWF), ont apporté leur expertise technique et leur appui en matière de financement. Un appui supplémentaire a été apporté par le biais de projets financés par le FEM et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Agence des États-Unis pour le développement international.</w:t>
            </w:r>
          </w:p>
          <w:p w14:paraId="48181358" w14:textId="77777777" w:rsidR="001158F8" w:rsidRPr="00653BF4" w:rsidRDefault="001158F8" w:rsidP="001158F8">
            <w:pPr>
              <w:spacing w:line="276" w:lineRule="auto"/>
              <w:rPr>
                <w:rFonts w:ascii="Aptos" w:eastAsia="Aptos" w:hAnsi="Aptos" w:cs="Aptos"/>
                <w:color w:val="000000" w:themeColor="text1"/>
                <w:sz w:val="20"/>
                <w:szCs w:val="20"/>
                <w:lang w:val="fr-FR" w:eastAsia="zh-CN"/>
              </w:rPr>
            </w:pPr>
          </w:p>
          <w:p w14:paraId="6AC1DA8B" w14:textId="450E15F7" w:rsidR="00B45B92" w:rsidRPr="00653BF4" w:rsidRDefault="001158F8" w:rsidP="001158F8">
            <w:pPr>
              <w:spacing w:line="276" w:lineRule="auto"/>
              <w:rPr>
                <w:rFonts w:ascii="Aptos" w:eastAsia="Aptos" w:hAnsi="Aptos" w:cs="Aptos"/>
                <w:color w:val="000000" w:themeColor="text1"/>
                <w:sz w:val="20"/>
                <w:szCs w:val="20"/>
                <w:lang w:val="fr-FR" w:eastAsia="zh-CN"/>
              </w:rPr>
            </w:pPr>
            <w:r w:rsidRPr="00653BF4">
              <w:rPr>
                <w:rFonts w:ascii="Aptos" w:eastAsia="Aptos" w:hAnsi="Aptos" w:cs="Aptos"/>
                <w:color w:val="000000" w:themeColor="text1"/>
                <w:sz w:val="20"/>
                <w:szCs w:val="20"/>
                <w:lang w:val="fr-FR" w:eastAsia="zh-CN"/>
              </w:rPr>
              <w:t>Le programme a été mis en œuvre sur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ensemble du territoire mozambicain et couvre tous les principaux types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écosystèmes. Il s</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attaque à deux défis majeurs</w:t>
            </w:r>
            <w:r w:rsidR="00E34DC9">
              <w:rPr>
                <w:rFonts w:ascii="Aptos" w:eastAsia="Aptos" w:hAnsi="Aptos" w:cs="Aptos"/>
                <w:color w:val="000000" w:themeColor="text1"/>
                <w:sz w:val="20"/>
                <w:szCs w:val="20"/>
                <w:lang w:val="fr-FR" w:eastAsia="zh-CN"/>
              </w:rPr>
              <w:t> :</w:t>
            </w:r>
            <w:r w:rsidRPr="00653BF4">
              <w:rPr>
                <w:rFonts w:ascii="Aptos" w:eastAsia="Aptos" w:hAnsi="Aptos" w:cs="Aptos"/>
                <w:color w:val="000000" w:themeColor="text1"/>
                <w:sz w:val="20"/>
                <w:szCs w:val="20"/>
                <w:lang w:val="fr-FR" w:eastAsia="zh-CN"/>
              </w:rPr>
              <w:t xml:space="preserve"> les capacités financières et techniques limitées en matière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aménagement du territoire lié à la biodiversité, et la coordination insuffisante entre les différentes parties prenantes. Les mesures prises dans le cadre de ce programme ont contribué à renforcer les politiques de conservation de la biodiversité et à améliorer la mise en œuvre des SPANB du Mozambique.</w:t>
            </w:r>
          </w:p>
          <w:p w14:paraId="29E9F7F0" w14:textId="77777777" w:rsidR="00005576" w:rsidRPr="00653BF4" w:rsidRDefault="00005576" w:rsidP="00FF05B2">
            <w:pPr>
              <w:spacing w:line="276" w:lineRule="auto"/>
              <w:rPr>
                <w:i/>
                <w:sz w:val="20"/>
                <w:szCs w:val="20"/>
                <w:lang w:val="fr-FR"/>
              </w:rPr>
            </w:pPr>
          </w:p>
          <w:p w14:paraId="7125402F" w14:textId="2A898521" w:rsidR="00ED4F09" w:rsidRPr="00653BF4" w:rsidRDefault="00904C13" w:rsidP="00FF05B2">
            <w:pPr>
              <w:spacing w:line="276" w:lineRule="auto"/>
              <w:rPr>
                <w:sz w:val="20"/>
                <w:szCs w:val="20"/>
                <w:lang w:val="fr-FR"/>
              </w:rPr>
            </w:pPr>
            <w:r w:rsidRPr="00653BF4">
              <w:rPr>
                <w:i/>
                <w:sz w:val="20"/>
                <w:szCs w:val="20"/>
                <w:lang w:val="fr-FR"/>
              </w:rPr>
              <w:t>C</w:t>
            </w:r>
            <w:r w:rsidR="001345EC" w:rsidRPr="00653BF4">
              <w:rPr>
                <w:i/>
                <w:sz w:val="20"/>
                <w:szCs w:val="20"/>
                <w:lang w:val="fr-FR"/>
              </w:rPr>
              <w:t>ibles concernées</w:t>
            </w:r>
            <w:r w:rsidR="00E34DC9">
              <w:rPr>
                <w:i/>
                <w:sz w:val="20"/>
                <w:szCs w:val="20"/>
                <w:lang w:val="fr-FR"/>
              </w:rPr>
              <w:t> :</w:t>
            </w:r>
            <w:r w:rsidR="00ED4F09" w:rsidRPr="00653BF4">
              <w:rPr>
                <w:i/>
                <w:sz w:val="20"/>
                <w:szCs w:val="20"/>
                <w:lang w:val="fr-FR"/>
              </w:rPr>
              <w:t xml:space="preserve"> </w:t>
            </w:r>
            <w:r w:rsidR="00ED4F09" w:rsidRPr="00653BF4">
              <w:rPr>
                <w:sz w:val="20"/>
                <w:szCs w:val="20"/>
                <w:lang w:val="fr-FR"/>
              </w:rPr>
              <w:t>1, 3,19, 20</w:t>
            </w:r>
            <w:r w:rsidR="00B95D0D" w:rsidRPr="00653BF4">
              <w:rPr>
                <w:iCs/>
                <w:sz w:val="20"/>
                <w:szCs w:val="20"/>
                <w:lang w:val="fr-FR"/>
              </w:rPr>
              <w:t xml:space="preserve"> </w:t>
            </w:r>
            <w:r w:rsidR="001158F8" w:rsidRPr="00653BF4">
              <w:rPr>
                <w:iCs/>
                <w:sz w:val="20"/>
                <w:szCs w:val="20"/>
                <w:lang w:val="fr-FR"/>
              </w:rPr>
              <w:t>et</w:t>
            </w:r>
            <w:r w:rsidR="00ED4F09" w:rsidRPr="00653BF4">
              <w:rPr>
                <w:sz w:val="20"/>
                <w:szCs w:val="20"/>
                <w:lang w:val="fr-FR"/>
              </w:rPr>
              <w:t xml:space="preserve"> 21</w:t>
            </w:r>
            <w:r w:rsidR="001071A1" w:rsidRPr="00653BF4">
              <w:rPr>
                <w:sz w:val="20"/>
                <w:szCs w:val="20"/>
                <w:lang w:val="fr-FR"/>
              </w:rPr>
              <w:t>.</w:t>
            </w:r>
          </w:p>
          <w:p w14:paraId="7732A910" w14:textId="38EAB0FD" w:rsidR="00005576" w:rsidRPr="00653BF4" w:rsidRDefault="00F3048F" w:rsidP="007E2F31">
            <w:pPr>
              <w:rPr>
                <w:sz w:val="20"/>
                <w:szCs w:val="20"/>
                <w:lang w:val="fr-FR"/>
              </w:rPr>
            </w:pPr>
            <w:r w:rsidRPr="00653BF4">
              <w:rPr>
                <w:i/>
                <w:sz w:val="20"/>
                <w:szCs w:val="20"/>
                <w:lang w:val="fr-FR"/>
              </w:rPr>
              <w:t>Source</w:t>
            </w:r>
            <w:r w:rsidR="00E34DC9">
              <w:rPr>
                <w:i/>
                <w:sz w:val="20"/>
                <w:szCs w:val="20"/>
                <w:lang w:val="fr-FR"/>
              </w:rPr>
              <w:t> :</w:t>
            </w:r>
            <w:r w:rsidRPr="00653BF4">
              <w:rPr>
                <w:i/>
                <w:sz w:val="20"/>
                <w:szCs w:val="20"/>
                <w:lang w:val="fr-FR"/>
              </w:rPr>
              <w:t xml:space="preserve"> </w:t>
            </w:r>
            <w:r w:rsidR="00ED4F09" w:rsidRPr="00653BF4">
              <w:rPr>
                <w:sz w:val="20"/>
                <w:szCs w:val="20"/>
                <w:lang w:val="fr-FR"/>
              </w:rPr>
              <w:t xml:space="preserve">Mozambique, </w:t>
            </w:r>
            <w:r w:rsidR="002C2EF6" w:rsidRPr="00653BF4">
              <w:rPr>
                <w:sz w:val="20"/>
                <w:szCs w:val="20"/>
                <w:lang w:val="fr-FR"/>
              </w:rPr>
              <w:t>septième rapport national au titre de la Convention</w:t>
            </w:r>
            <w:r w:rsidR="001071A1" w:rsidRPr="00653BF4">
              <w:rPr>
                <w:sz w:val="20"/>
                <w:szCs w:val="20"/>
                <w:lang w:val="fr-FR"/>
              </w:rPr>
              <w:t>.</w:t>
            </w:r>
          </w:p>
          <w:p w14:paraId="1AA76E05" w14:textId="3EA79CEB" w:rsidR="00A86C70" w:rsidRPr="00653BF4" w:rsidRDefault="00A86C70" w:rsidP="00A86C70">
            <w:pPr>
              <w:rPr>
                <w:lang w:val="fr-FR"/>
              </w:rPr>
            </w:pPr>
          </w:p>
        </w:tc>
      </w:tr>
    </w:tbl>
    <w:p w14:paraId="68D2D475" w14:textId="77777777" w:rsidR="00A86C70" w:rsidRPr="00653BF4" w:rsidRDefault="00A86C70" w:rsidP="00A86C70">
      <w:pPr>
        <w:rPr>
          <w:lang w:val="fr-FR"/>
        </w:rPr>
      </w:pPr>
    </w:p>
    <w:p w14:paraId="2CFFD2D9" w14:textId="77777777" w:rsidR="008E217E" w:rsidRPr="00653BF4" w:rsidRDefault="008E217E" w:rsidP="00A86C70">
      <w:pPr>
        <w:rPr>
          <w:lang w:val="fr-FR"/>
        </w:rPr>
      </w:pPr>
    </w:p>
    <w:p w14:paraId="75FCF2D0" w14:textId="17470605" w:rsidR="00A14769" w:rsidRPr="00653BF4" w:rsidRDefault="00415859" w:rsidP="00A14769">
      <w:pPr>
        <w:pStyle w:val="Heading6"/>
        <w:rPr>
          <w:b/>
          <w:bCs/>
          <w:lang w:val="fr-FR"/>
        </w:rPr>
      </w:pPr>
      <w:r w:rsidRPr="00653BF4">
        <w:rPr>
          <w:lang w:val="fr-FR"/>
        </w:rPr>
        <w:lastRenderedPageBreak/>
        <w:t>Difficulté</w:t>
      </w:r>
      <w:r w:rsidR="00DD19D2" w:rsidRPr="00653BF4">
        <w:rPr>
          <w:lang w:val="fr-FR"/>
        </w:rPr>
        <w:t>s</w:t>
      </w:r>
    </w:p>
    <w:p w14:paraId="1EF49BBB" w14:textId="77777777" w:rsidR="00444695" w:rsidRPr="00653BF4" w:rsidRDefault="00444695" w:rsidP="00444695">
      <w:pPr>
        <w:rPr>
          <w:lang w:val="fr-FR"/>
        </w:rPr>
      </w:pPr>
    </w:p>
    <w:p w14:paraId="7FC9C81A" w14:textId="7FB79AB4" w:rsidR="00444695" w:rsidRPr="00653BF4" w:rsidRDefault="00536E56" w:rsidP="00444695">
      <w:pPr>
        <w:rPr>
          <w:lang w:val="fr-FR"/>
        </w:rPr>
      </w:pPr>
      <w:r w:rsidRPr="00653BF4">
        <w:rPr>
          <w:lang w:val="fr-FR"/>
        </w:rPr>
        <w:t xml:space="preserve">Près des trois quarts des Parties ayant </w:t>
      </w:r>
      <w:r w:rsidR="001A72BE">
        <w:rPr>
          <w:lang w:val="fr-FR"/>
        </w:rPr>
        <w:t>communiqué des données</w:t>
      </w:r>
      <w:r w:rsidRPr="00653BF4">
        <w:rPr>
          <w:lang w:val="fr-FR"/>
        </w:rPr>
        <w:t xml:space="preserve"> sur la </w:t>
      </w:r>
      <w:r w:rsidR="00E34DC9">
        <w:rPr>
          <w:lang w:val="fr-FR"/>
        </w:rPr>
        <w:t>cible 1</w:t>
      </w:r>
      <w:r w:rsidRPr="00653BF4">
        <w:rPr>
          <w:lang w:val="fr-FR"/>
        </w:rPr>
        <w:t xml:space="preserve"> ont identifié des difficultés liées aux capacités, aux ressources humaines ou à des contraintes institutionnelles. Parmi celles-ci figurent l</w:t>
      </w:r>
      <w:r w:rsidR="002A58C8" w:rsidRPr="00653BF4">
        <w:rPr>
          <w:lang w:val="fr-FR"/>
        </w:rPr>
        <w:t>’</w:t>
      </w:r>
      <w:r w:rsidRPr="00653BF4">
        <w:rPr>
          <w:lang w:val="fr-FR"/>
        </w:rPr>
        <w:t>insuffisance d</w:t>
      </w:r>
      <w:r w:rsidR="002A58C8" w:rsidRPr="00653BF4">
        <w:rPr>
          <w:lang w:val="fr-FR"/>
        </w:rPr>
        <w:t>’</w:t>
      </w:r>
      <w:r w:rsidRPr="00653BF4">
        <w:rPr>
          <w:lang w:val="fr-FR"/>
        </w:rPr>
        <w:t>expertise technique, le manque d</w:t>
      </w:r>
      <w:r w:rsidR="002A58C8" w:rsidRPr="00653BF4">
        <w:rPr>
          <w:lang w:val="fr-FR"/>
        </w:rPr>
        <w:t>’</w:t>
      </w:r>
      <w:r w:rsidRPr="00653BF4">
        <w:rPr>
          <w:lang w:val="fr-FR"/>
        </w:rPr>
        <w:t xml:space="preserve">effectifs au sein des institutions et un taux de rotation élevé du personnel, autant de facteurs qui entravent la mise en œuvre. Les lacunes en matière de données et de suivi </w:t>
      </w:r>
      <w:r w:rsidR="004A160B" w:rsidRPr="00653BF4">
        <w:rPr>
          <w:lang w:val="fr-FR"/>
        </w:rPr>
        <w:t>sont presque aussi fréquentes</w:t>
      </w:r>
      <w:r w:rsidRPr="00653BF4">
        <w:rPr>
          <w:lang w:val="fr-FR"/>
        </w:rPr>
        <w:t>, avec plus de 70</w:t>
      </w:r>
      <w:r w:rsidR="002878D7">
        <w:rPr>
          <w:lang w:val="fr-FR"/>
        </w:rPr>
        <w:t> %</w:t>
      </w:r>
      <w:r w:rsidRPr="00653BF4">
        <w:rPr>
          <w:lang w:val="fr-FR"/>
        </w:rPr>
        <w:t xml:space="preserve"> des Parties </w:t>
      </w:r>
      <w:r w:rsidR="00E2106E" w:rsidRPr="00653BF4">
        <w:rPr>
          <w:lang w:val="fr-FR"/>
        </w:rPr>
        <w:t xml:space="preserve">rapportant des </w:t>
      </w:r>
      <w:r w:rsidRPr="00653BF4">
        <w:rPr>
          <w:lang w:val="fr-FR"/>
        </w:rPr>
        <w:t xml:space="preserve">difficultés </w:t>
      </w:r>
      <w:r w:rsidR="00914A6F" w:rsidRPr="00653BF4">
        <w:rPr>
          <w:lang w:val="fr-FR"/>
        </w:rPr>
        <w:t xml:space="preserve">comme </w:t>
      </w:r>
      <w:r w:rsidRPr="00653BF4">
        <w:rPr>
          <w:lang w:val="fr-FR"/>
        </w:rPr>
        <w:t>l</w:t>
      </w:r>
      <w:r w:rsidR="002A58C8" w:rsidRPr="00653BF4">
        <w:rPr>
          <w:lang w:val="fr-FR"/>
        </w:rPr>
        <w:t>’</w:t>
      </w:r>
      <w:r w:rsidRPr="00653BF4">
        <w:rPr>
          <w:lang w:val="fr-FR"/>
        </w:rPr>
        <w:t xml:space="preserve">absence de données de référence </w:t>
      </w:r>
      <w:r w:rsidR="009939BF" w:rsidRPr="00653BF4">
        <w:rPr>
          <w:lang w:val="fr-FR"/>
        </w:rPr>
        <w:t xml:space="preserve">sur </w:t>
      </w:r>
      <w:r w:rsidRPr="00653BF4">
        <w:rPr>
          <w:lang w:val="fr-FR"/>
        </w:rPr>
        <w:t xml:space="preserve">les écosystèmes, </w:t>
      </w:r>
      <w:r w:rsidR="003B774C" w:rsidRPr="00653BF4">
        <w:rPr>
          <w:lang w:val="fr-FR"/>
        </w:rPr>
        <w:t xml:space="preserve">sur </w:t>
      </w:r>
      <w:r w:rsidRPr="00653BF4">
        <w:rPr>
          <w:lang w:val="fr-FR"/>
        </w:rPr>
        <w:t xml:space="preserve">les espèces ou </w:t>
      </w:r>
      <w:r w:rsidR="003B774C" w:rsidRPr="00653BF4">
        <w:rPr>
          <w:lang w:val="fr-FR"/>
        </w:rPr>
        <w:t xml:space="preserve">sur </w:t>
      </w:r>
      <w:r w:rsidRPr="00653BF4">
        <w:rPr>
          <w:lang w:val="fr-FR"/>
        </w:rPr>
        <w:t xml:space="preserve">les zones </w:t>
      </w:r>
      <w:r w:rsidR="008A5252" w:rsidRPr="00653BF4">
        <w:rPr>
          <w:lang w:val="fr-FR"/>
        </w:rPr>
        <w:t xml:space="preserve">de grande </w:t>
      </w:r>
      <w:r w:rsidRPr="00653BF4">
        <w:rPr>
          <w:lang w:val="fr-FR"/>
        </w:rPr>
        <w:t xml:space="preserve">importance </w:t>
      </w:r>
      <w:r w:rsidR="008A5252" w:rsidRPr="00653BF4">
        <w:rPr>
          <w:lang w:val="fr-FR"/>
        </w:rPr>
        <w:t xml:space="preserve">pour la </w:t>
      </w:r>
      <w:r w:rsidRPr="00653BF4">
        <w:rPr>
          <w:lang w:val="fr-FR"/>
        </w:rPr>
        <w:t xml:space="preserve">biodiversité. Les ensembles de données géospatiales sont souvent </w:t>
      </w:r>
      <w:r w:rsidR="002675DC" w:rsidRPr="00653BF4">
        <w:rPr>
          <w:lang w:val="fr-FR"/>
        </w:rPr>
        <w:t>disséminés</w:t>
      </w:r>
      <w:r w:rsidRPr="00653BF4">
        <w:rPr>
          <w:lang w:val="fr-FR"/>
        </w:rPr>
        <w:t xml:space="preserve"> entre différents ministères, ce qui rend le suivi des progrès </w:t>
      </w:r>
      <w:r w:rsidR="004351D5" w:rsidRPr="00653BF4">
        <w:rPr>
          <w:lang w:val="fr-FR"/>
        </w:rPr>
        <w:t>et</w:t>
      </w:r>
      <w:r w:rsidRPr="00653BF4">
        <w:rPr>
          <w:lang w:val="fr-FR"/>
        </w:rPr>
        <w:t xml:space="preserve"> l</w:t>
      </w:r>
      <w:r w:rsidR="002A58C8" w:rsidRPr="00653BF4">
        <w:rPr>
          <w:lang w:val="fr-FR"/>
        </w:rPr>
        <w:t>’</w:t>
      </w:r>
      <w:r w:rsidRPr="00653BF4">
        <w:rPr>
          <w:lang w:val="fr-FR"/>
        </w:rPr>
        <w:t>application des plans d</w:t>
      </w:r>
      <w:r w:rsidR="002A58C8" w:rsidRPr="00653BF4">
        <w:rPr>
          <w:lang w:val="fr-FR"/>
        </w:rPr>
        <w:t>’</w:t>
      </w:r>
      <w:r w:rsidRPr="00653BF4">
        <w:rPr>
          <w:lang w:val="fr-FR"/>
        </w:rPr>
        <w:t>aménagement du territoire</w:t>
      </w:r>
      <w:r w:rsidR="00CA20ED" w:rsidRPr="00653BF4">
        <w:rPr>
          <w:lang w:val="fr-FR"/>
        </w:rPr>
        <w:t xml:space="preserve"> difficiles</w:t>
      </w:r>
      <w:r w:rsidRPr="00653BF4">
        <w:rPr>
          <w:lang w:val="fr-FR"/>
        </w:rPr>
        <w:t xml:space="preserve">. </w:t>
      </w:r>
      <w:r w:rsidR="00B11ABF" w:rsidRPr="00653BF4">
        <w:rPr>
          <w:lang w:val="fr-FR"/>
        </w:rPr>
        <w:t>Environ 60</w:t>
      </w:r>
      <w:r w:rsidR="002878D7">
        <w:rPr>
          <w:lang w:val="fr-FR"/>
        </w:rPr>
        <w:t> %</w:t>
      </w:r>
      <w:r w:rsidR="00B11ABF" w:rsidRPr="00653BF4">
        <w:rPr>
          <w:lang w:val="fr-FR"/>
        </w:rPr>
        <w:t xml:space="preserve"> des Parties indiquent être confrontées à d</w:t>
      </w:r>
      <w:r w:rsidRPr="00653BF4">
        <w:rPr>
          <w:lang w:val="fr-FR"/>
        </w:rPr>
        <w:t xml:space="preserve">es défis </w:t>
      </w:r>
      <w:r w:rsidR="00B11ABF" w:rsidRPr="00653BF4">
        <w:rPr>
          <w:lang w:val="fr-FR"/>
        </w:rPr>
        <w:t xml:space="preserve">d’ordre </w:t>
      </w:r>
      <w:r w:rsidRPr="00653BF4">
        <w:rPr>
          <w:lang w:val="fr-FR"/>
        </w:rPr>
        <w:t xml:space="preserve">juridique, politique </w:t>
      </w:r>
      <w:r w:rsidR="00B11ABF" w:rsidRPr="00653BF4">
        <w:rPr>
          <w:lang w:val="fr-FR"/>
        </w:rPr>
        <w:t xml:space="preserve">et de </w:t>
      </w:r>
      <w:r w:rsidRPr="00653BF4">
        <w:rPr>
          <w:lang w:val="fr-FR"/>
        </w:rPr>
        <w:t>gouvernance</w:t>
      </w:r>
      <w:r w:rsidR="00B11ABF" w:rsidRPr="00653BF4">
        <w:rPr>
          <w:lang w:val="fr-FR"/>
        </w:rPr>
        <w:t xml:space="preserve">, </w:t>
      </w:r>
      <w:r w:rsidRPr="00653BF4">
        <w:rPr>
          <w:lang w:val="fr-FR"/>
        </w:rPr>
        <w:t xml:space="preserve"> </w:t>
      </w:r>
      <w:r w:rsidR="00B11ABF" w:rsidRPr="00653BF4">
        <w:rPr>
          <w:lang w:val="fr-FR"/>
        </w:rPr>
        <w:t xml:space="preserve">avec des difficultés </w:t>
      </w:r>
      <w:r w:rsidRPr="00653BF4">
        <w:rPr>
          <w:lang w:val="fr-FR"/>
        </w:rPr>
        <w:t>tel</w:t>
      </w:r>
      <w:r w:rsidR="00B11ABF" w:rsidRPr="00653BF4">
        <w:rPr>
          <w:lang w:val="fr-FR"/>
        </w:rPr>
        <w:t>le</w:t>
      </w:r>
      <w:r w:rsidRPr="00653BF4">
        <w:rPr>
          <w:lang w:val="fr-FR"/>
        </w:rPr>
        <w:t>s que le chevauchement des mandats entre les ministères et un décalage persistant entre la législation environnementale et les instruments de planification sectorielle dans les domaines de l</w:t>
      </w:r>
      <w:r w:rsidR="002A58C8" w:rsidRPr="00653BF4">
        <w:rPr>
          <w:lang w:val="fr-FR"/>
        </w:rPr>
        <w:t>’</w:t>
      </w:r>
      <w:r w:rsidRPr="00653BF4">
        <w:rPr>
          <w:lang w:val="fr-FR"/>
        </w:rPr>
        <w:t>agriculture, des infrastructures, de l</w:t>
      </w:r>
      <w:r w:rsidR="002A58C8" w:rsidRPr="00653BF4">
        <w:rPr>
          <w:lang w:val="fr-FR"/>
        </w:rPr>
        <w:t>’</w:t>
      </w:r>
      <w:r w:rsidRPr="00653BF4">
        <w:rPr>
          <w:lang w:val="fr-FR"/>
        </w:rPr>
        <w:t>exploitation minière et de l</w:t>
      </w:r>
      <w:r w:rsidR="002A58C8" w:rsidRPr="00653BF4">
        <w:rPr>
          <w:lang w:val="fr-FR"/>
        </w:rPr>
        <w:t>’</w:t>
      </w:r>
      <w:r w:rsidRPr="00653BF4">
        <w:rPr>
          <w:lang w:val="fr-FR"/>
        </w:rPr>
        <w:t xml:space="preserve">énergie, </w:t>
      </w:r>
      <w:r w:rsidR="00481958" w:rsidRPr="00653BF4">
        <w:rPr>
          <w:lang w:val="fr-FR"/>
        </w:rPr>
        <w:t>parmi d’</w:t>
      </w:r>
      <w:r w:rsidRPr="00653BF4">
        <w:rPr>
          <w:lang w:val="fr-FR"/>
        </w:rPr>
        <w:t>autres secteurs. Un certain nombre de Parties, en particulier celles touchées par des conflits, l</w:t>
      </w:r>
      <w:r w:rsidR="002A58C8" w:rsidRPr="00653BF4">
        <w:rPr>
          <w:lang w:val="fr-FR"/>
        </w:rPr>
        <w:t>’</w:t>
      </w:r>
      <w:r w:rsidRPr="00653BF4">
        <w:rPr>
          <w:lang w:val="fr-FR"/>
        </w:rPr>
        <w:t>instabilité politique ou une transition économique rapide, sont confrontées à des défis supplémentaires dans l</w:t>
      </w:r>
      <w:r w:rsidR="002A58C8" w:rsidRPr="00653BF4">
        <w:rPr>
          <w:lang w:val="fr-FR"/>
        </w:rPr>
        <w:t>’</w:t>
      </w:r>
      <w:r w:rsidRPr="00653BF4">
        <w:rPr>
          <w:lang w:val="fr-FR"/>
        </w:rPr>
        <w:t>application des lois existantes, tels que la faiblesse des sanctions et des capacités d</w:t>
      </w:r>
      <w:r w:rsidR="002A58C8" w:rsidRPr="00653BF4">
        <w:rPr>
          <w:lang w:val="fr-FR"/>
        </w:rPr>
        <w:t>’</w:t>
      </w:r>
      <w:r w:rsidRPr="00653BF4">
        <w:rPr>
          <w:lang w:val="fr-FR"/>
        </w:rPr>
        <w:t>application limitées, ce qui permet à des pratiques néfastes de persister, même dans des zones officiellement protégées.</w:t>
      </w:r>
    </w:p>
    <w:p w14:paraId="63EF3E98" w14:textId="77777777" w:rsidR="0018223E" w:rsidRPr="00653BF4" w:rsidRDefault="0018223E" w:rsidP="00874061">
      <w:pPr>
        <w:pStyle w:val="Heading5"/>
        <w:rPr>
          <w:lang w:val="fr-FR"/>
        </w:rPr>
      </w:pPr>
    </w:p>
    <w:p w14:paraId="54EF4EA3" w14:textId="7D9F90AA" w:rsidR="00580684" w:rsidRPr="00653BF4" w:rsidRDefault="00BC4559" w:rsidP="00874061">
      <w:pPr>
        <w:pStyle w:val="Heading5"/>
        <w:rPr>
          <w:lang w:val="fr-FR"/>
        </w:rPr>
      </w:pPr>
      <w:r w:rsidRPr="00653BF4">
        <w:rPr>
          <w:lang w:val="fr-FR"/>
        </w:rPr>
        <w:t>Contributions de la part d</w:t>
      </w:r>
      <w:r w:rsidR="002A58C8" w:rsidRPr="00653BF4">
        <w:rPr>
          <w:lang w:val="fr-FR"/>
        </w:rPr>
        <w:t>’</w:t>
      </w:r>
      <w:r w:rsidRPr="00653BF4">
        <w:rPr>
          <w:lang w:val="fr-FR"/>
        </w:rPr>
        <w:t>acteurs autres que les gouvernements nationaux</w:t>
      </w:r>
    </w:p>
    <w:p w14:paraId="4CFD8D5E" w14:textId="77777777" w:rsidR="00A57AF7" w:rsidRPr="00653BF4" w:rsidRDefault="00A57AF7" w:rsidP="00C0565B">
      <w:pPr>
        <w:pStyle w:val="Heading6"/>
        <w:rPr>
          <w:lang w:val="fr-FR"/>
        </w:rPr>
      </w:pPr>
    </w:p>
    <w:p w14:paraId="0F3D8597" w14:textId="0DF33188" w:rsidR="0017526E" w:rsidRPr="00653BF4" w:rsidRDefault="00200AEB" w:rsidP="00C0565B">
      <w:pPr>
        <w:pStyle w:val="Heading6"/>
        <w:rPr>
          <w:lang w:val="fr-FR"/>
        </w:rPr>
      </w:pPr>
      <w:r w:rsidRPr="00653BF4">
        <w:rPr>
          <w:lang w:val="fr-FR"/>
        </w:rPr>
        <w:t>Engagements communiqués directement via l</w:t>
      </w:r>
      <w:r w:rsidR="002A58C8" w:rsidRPr="00653BF4">
        <w:rPr>
          <w:lang w:val="fr-FR"/>
        </w:rPr>
        <w:t>’</w:t>
      </w:r>
      <w:r w:rsidRPr="00653BF4">
        <w:rPr>
          <w:lang w:val="fr-FR"/>
        </w:rPr>
        <w:t>outil de présentation des rapports en ligne</w:t>
      </w:r>
    </w:p>
    <w:p w14:paraId="4DB30047" w14:textId="77777777" w:rsidR="00A57AF7" w:rsidRPr="00653BF4" w:rsidRDefault="00A57AF7" w:rsidP="00AB4C66">
      <w:pPr>
        <w:rPr>
          <w:lang w:val="fr-FR"/>
        </w:rPr>
      </w:pPr>
    </w:p>
    <w:p w14:paraId="14DBED51" w14:textId="1DF0F31A" w:rsidR="00207322" w:rsidRPr="00653BF4" w:rsidRDefault="008B5420" w:rsidP="00207322">
      <w:pPr>
        <w:rPr>
          <w:lang w:val="fr-FR"/>
        </w:rPr>
      </w:pPr>
      <w:r w:rsidRPr="008B5420">
        <w:rPr>
          <w:lang w:val="fr-FR"/>
        </w:rPr>
        <w:t>Sur les 180 engagements de fond présentés par des acteurs autres que les gouvernements nationaux</w:t>
      </w:r>
      <w:r w:rsidR="00DB57D3" w:rsidRPr="00653BF4">
        <w:rPr>
          <w:lang w:val="fr-FR"/>
        </w:rPr>
        <w:t xml:space="preserve">, </w:t>
      </w:r>
      <w:r>
        <w:rPr>
          <w:lang w:val="fr-FR"/>
        </w:rPr>
        <w:t>7</w:t>
      </w:r>
      <w:r w:rsidR="00DB57D3" w:rsidRPr="00653BF4">
        <w:rPr>
          <w:lang w:val="fr-FR"/>
        </w:rPr>
        <w:t xml:space="preserve"> sont principalement liés à la </w:t>
      </w:r>
      <w:r w:rsidR="00E34DC9">
        <w:rPr>
          <w:lang w:val="fr-FR"/>
        </w:rPr>
        <w:t>cible 1</w:t>
      </w:r>
      <w:r w:rsidR="00DB57D3" w:rsidRPr="00653BF4">
        <w:rPr>
          <w:lang w:val="fr-FR"/>
        </w:rPr>
        <w:t>. Trois de ces engagements émanent d</w:t>
      </w:r>
      <w:r w:rsidR="002A58C8" w:rsidRPr="00653BF4">
        <w:rPr>
          <w:lang w:val="fr-FR"/>
        </w:rPr>
        <w:t>’</w:t>
      </w:r>
      <w:r w:rsidR="00DB57D3" w:rsidRPr="00653BF4">
        <w:rPr>
          <w:lang w:val="fr-FR"/>
        </w:rPr>
        <w:t>ONG, deux d</w:t>
      </w:r>
      <w:r w:rsidR="002A58C8" w:rsidRPr="00653BF4">
        <w:rPr>
          <w:lang w:val="fr-FR"/>
        </w:rPr>
        <w:t>’</w:t>
      </w:r>
      <w:r w:rsidR="00DB57D3" w:rsidRPr="00653BF4">
        <w:rPr>
          <w:lang w:val="fr-FR"/>
        </w:rPr>
        <w:t>établissements universitaires et de recherche, et deux du monde des affaires ou de l</w:t>
      </w:r>
      <w:r w:rsidR="002A58C8" w:rsidRPr="00653BF4">
        <w:rPr>
          <w:lang w:val="fr-FR"/>
        </w:rPr>
        <w:t>’</w:t>
      </w:r>
      <w:r w:rsidR="00DB57D3" w:rsidRPr="00653BF4">
        <w:rPr>
          <w:lang w:val="fr-FR"/>
        </w:rPr>
        <w:t>industrie. La majorité de ces engagements portent sur l</w:t>
      </w:r>
      <w:r w:rsidR="002A58C8" w:rsidRPr="00653BF4">
        <w:rPr>
          <w:lang w:val="fr-FR"/>
        </w:rPr>
        <w:t>’</w:t>
      </w:r>
      <w:r w:rsidR="00DB57D3" w:rsidRPr="00653BF4">
        <w:rPr>
          <w:lang w:val="fr-FR"/>
        </w:rPr>
        <w:t xml:space="preserve">intégration de la biodiversité, ce qui reflète les efforts déployés par les parties prenantes pour </w:t>
      </w:r>
      <w:r w:rsidR="00F43D5F">
        <w:rPr>
          <w:lang w:val="fr-FR"/>
        </w:rPr>
        <w:t>tenir compte</w:t>
      </w:r>
      <w:r w:rsidR="00DB57D3" w:rsidRPr="00653BF4">
        <w:rPr>
          <w:lang w:val="fr-FR"/>
        </w:rPr>
        <w:t xml:space="preserve"> la biodiversité dans </w:t>
      </w:r>
      <w:r w:rsidR="00F43D5F">
        <w:rPr>
          <w:lang w:val="fr-FR"/>
        </w:rPr>
        <w:t>la planification spatiale</w:t>
      </w:r>
      <w:r w:rsidR="00DB57D3" w:rsidRPr="00653BF4">
        <w:rPr>
          <w:lang w:val="fr-FR"/>
        </w:rPr>
        <w:t>, la gestion des sites d</w:t>
      </w:r>
      <w:r w:rsidR="002A58C8" w:rsidRPr="00653BF4">
        <w:rPr>
          <w:lang w:val="fr-FR"/>
        </w:rPr>
        <w:t>’</w:t>
      </w:r>
      <w:r w:rsidR="00DB57D3" w:rsidRPr="00653BF4">
        <w:rPr>
          <w:lang w:val="fr-FR"/>
        </w:rPr>
        <w:t>entreprise et les cadres de gouvernance des paysages. Ces engagements comprennent des actions menées en Europe, en Asie du Sud-Est et en Asie du Sud, en Afrique de l</w:t>
      </w:r>
      <w:r w:rsidR="002A58C8" w:rsidRPr="00653BF4">
        <w:rPr>
          <w:lang w:val="fr-FR"/>
        </w:rPr>
        <w:t>’</w:t>
      </w:r>
      <w:r w:rsidR="00DB57D3" w:rsidRPr="00653BF4">
        <w:rPr>
          <w:lang w:val="fr-FR"/>
        </w:rPr>
        <w:t>Est et en Amérique du Sud.</w:t>
      </w:r>
    </w:p>
    <w:p w14:paraId="114FFD77" w14:textId="77777777" w:rsidR="004F0C08" w:rsidRPr="00653BF4" w:rsidRDefault="004F0C08" w:rsidP="00AB4C66">
      <w:pPr>
        <w:rPr>
          <w:lang w:val="fr-FR"/>
        </w:rPr>
      </w:pPr>
    </w:p>
    <w:p w14:paraId="24B010EF" w14:textId="25A73238" w:rsidR="00AB4C66" w:rsidRPr="00653BF4" w:rsidRDefault="005F09ED" w:rsidP="00AB4C66">
      <w:pPr>
        <w:pStyle w:val="Heading6"/>
        <w:rPr>
          <w:lang w:val="fr-FR"/>
        </w:rPr>
      </w:pPr>
      <w:r w:rsidRPr="00653BF4">
        <w:rPr>
          <w:lang w:val="fr-FR"/>
        </w:rPr>
        <w:t>Contributions intégrées dans les rapports nationaux</w:t>
      </w:r>
    </w:p>
    <w:p w14:paraId="00A57F5D" w14:textId="77777777" w:rsidR="00F637D5" w:rsidRPr="00653BF4" w:rsidRDefault="00F637D5" w:rsidP="008129F7">
      <w:pPr>
        <w:rPr>
          <w:lang w:val="fr-FR"/>
        </w:rPr>
      </w:pPr>
    </w:p>
    <w:p w14:paraId="68A2C260" w14:textId="207363A9" w:rsidR="008D4293" w:rsidRPr="00653BF4" w:rsidRDefault="002B47B8" w:rsidP="008D4293">
      <w:pPr>
        <w:rPr>
          <w:lang w:val="fr-FR"/>
        </w:rPr>
      </w:pPr>
      <w:r w:rsidRPr="00653BF4">
        <w:rPr>
          <w:lang w:val="fr-FR"/>
        </w:rPr>
        <w:t>Les autorités infranationales, notamment les villes et les collectivités locales, assument souvent la responsabilité première de l</w:t>
      </w:r>
      <w:r w:rsidR="002A58C8" w:rsidRPr="00653BF4">
        <w:rPr>
          <w:lang w:val="fr-FR"/>
        </w:rPr>
        <w:t>’</w:t>
      </w:r>
      <w:r w:rsidRPr="00653BF4">
        <w:rPr>
          <w:lang w:val="fr-FR"/>
        </w:rPr>
        <w:t xml:space="preserve">aménagement du territoire, en particulier dans les systèmes fédéraux et décentralisés. Cela leur confère un rôle clé dans la mise en œuvre de la </w:t>
      </w:r>
      <w:r w:rsidR="00E34DC9">
        <w:rPr>
          <w:lang w:val="fr-FR"/>
        </w:rPr>
        <w:t>cible 1</w:t>
      </w:r>
      <w:r w:rsidRPr="00653BF4">
        <w:rPr>
          <w:lang w:val="fr-FR"/>
        </w:rPr>
        <w:t>, et la participation de ces autorités est mentionnée dans environ 80</w:t>
      </w:r>
      <w:r w:rsidR="002878D7">
        <w:rPr>
          <w:lang w:val="fr-FR"/>
        </w:rPr>
        <w:t> %</w:t>
      </w:r>
      <w:r w:rsidRPr="00653BF4">
        <w:rPr>
          <w:lang w:val="fr-FR"/>
        </w:rPr>
        <w:t xml:space="preserve"> des rapports nationaux, près de la moitié d</w:t>
      </w:r>
      <w:r w:rsidR="002A58C8" w:rsidRPr="00653BF4">
        <w:rPr>
          <w:lang w:val="fr-FR"/>
        </w:rPr>
        <w:t>’</w:t>
      </w:r>
      <w:r w:rsidRPr="00653BF4">
        <w:rPr>
          <w:lang w:val="fr-FR"/>
        </w:rPr>
        <w:t>entre eux fournissant une description claire de leur implication. La participation des organisations intergouvernementales et des partenaires internationaux est également largement mentionnée, notamment en ce qui concerne le cofinancement opérationnel, la mise en œuvre technique conjointe et la gouvernance transfrontières. Les communautés scientifiques et universitaires fournissent des données spatiales afin d</w:t>
      </w:r>
      <w:r w:rsidR="002A58C8" w:rsidRPr="00653BF4">
        <w:rPr>
          <w:lang w:val="fr-FR"/>
        </w:rPr>
        <w:t>’</w:t>
      </w:r>
      <w:r w:rsidRPr="00653BF4">
        <w:rPr>
          <w:lang w:val="fr-FR"/>
        </w:rPr>
        <w:t>apporter un appui à la planification tenant compte de la biodiversité, ainsi que à la conception de systèmes de suivi, au développement conjoint d</w:t>
      </w:r>
      <w:r w:rsidR="002A58C8" w:rsidRPr="00653BF4">
        <w:rPr>
          <w:lang w:val="fr-FR"/>
        </w:rPr>
        <w:t>’</w:t>
      </w:r>
      <w:r w:rsidRPr="00653BF4">
        <w:rPr>
          <w:lang w:val="fr-FR"/>
        </w:rPr>
        <w:t>outils et au renforcement des capacités. La participation des peuples autochtones et communautés locales est mentionnée dans environ deux tiers des rapports nationaux disponibles pour analyse, mais seule la moitié environ de ces cas fournit une description claire des rôles des peuples autochtones et des communautés locales, qui comprennent l</w:t>
      </w:r>
      <w:r w:rsidR="002A58C8" w:rsidRPr="00653BF4">
        <w:rPr>
          <w:lang w:val="fr-FR"/>
        </w:rPr>
        <w:t>’</w:t>
      </w:r>
      <w:r w:rsidRPr="00653BF4">
        <w:rPr>
          <w:lang w:val="fr-FR"/>
        </w:rPr>
        <w:t>intégration des savoirs, la participation des titulaires de droits et la cogouvernance de l</w:t>
      </w:r>
      <w:r w:rsidR="002A58C8" w:rsidRPr="00653BF4">
        <w:rPr>
          <w:lang w:val="fr-FR"/>
        </w:rPr>
        <w:t>’</w:t>
      </w:r>
      <w:r w:rsidRPr="00653BF4">
        <w:rPr>
          <w:lang w:val="fr-FR"/>
        </w:rPr>
        <w:t>aménagement du territoire.</w:t>
      </w:r>
    </w:p>
    <w:p w14:paraId="0EEB3AFB" w14:textId="77777777" w:rsidR="001E7205" w:rsidRPr="00653BF4" w:rsidRDefault="001E7205" w:rsidP="005E4052">
      <w:pPr>
        <w:pStyle w:val="Heading5"/>
        <w:rPr>
          <w:lang w:val="fr-FR"/>
        </w:rPr>
      </w:pPr>
    </w:p>
    <w:p w14:paraId="570C06A0" w14:textId="4F6E2528" w:rsidR="005E4052" w:rsidRPr="00653BF4" w:rsidRDefault="008A58ED" w:rsidP="005E4052">
      <w:pPr>
        <w:pStyle w:val="Heading5"/>
        <w:rPr>
          <w:lang w:val="fr-FR"/>
        </w:rPr>
      </w:pPr>
      <w:bookmarkStart w:id="84" w:name="_Hlk232759240"/>
      <w:r w:rsidRPr="00653BF4">
        <w:rPr>
          <w:lang w:val="fr-FR"/>
        </w:rPr>
        <w:t>Exemples de liens avec d</w:t>
      </w:r>
      <w:r w:rsidR="002A58C8" w:rsidRPr="00653BF4">
        <w:rPr>
          <w:lang w:val="fr-FR"/>
        </w:rPr>
        <w:t>’</w:t>
      </w:r>
      <w:r w:rsidRPr="00653BF4">
        <w:rPr>
          <w:lang w:val="fr-FR"/>
        </w:rPr>
        <w:t>autres accords, organisations et processus</w:t>
      </w:r>
    </w:p>
    <w:bookmarkEnd w:id="84"/>
    <w:p w14:paraId="56397FE1" w14:textId="77777777" w:rsidR="00D368C5" w:rsidRPr="00653BF4" w:rsidRDefault="00D368C5" w:rsidP="005800F7">
      <w:pPr>
        <w:rPr>
          <w:lang w:val="fr-FR"/>
        </w:rPr>
      </w:pPr>
    </w:p>
    <w:p w14:paraId="0A229540" w14:textId="074C7802" w:rsidR="005800F7" w:rsidRPr="00653BF4" w:rsidRDefault="00730ACA" w:rsidP="005800F7">
      <w:pPr>
        <w:rPr>
          <w:lang w:val="fr-FR"/>
        </w:rPr>
      </w:pPr>
      <w:r w:rsidRPr="00653BF4">
        <w:rPr>
          <w:lang w:val="fr-FR"/>
        </w:rPr>
        <w:t xml:space="preserve">Le </w:t>
      </w:r>
      <w:r w:rsidR="00403AA1" w:rsidRPr="00653BF4">
        <w:rPr>
          <w:lang w:val="fr-FR"/>
        </w:rPr>
        <w:t>s</w:t>
      </w:r>
      <w:r w:rsidRPr="00653BF4">
        <w:rPr>
          <w:lang w:val="fr-FR"/>
        </w:rPr>
        <w:t xml:space="preserve">ecrétariat de la Convention des Nations Unies sur la lutte contre la désertification dans les pays gravement touchés par la sécheresse et/ou la désertification, en particulier en Afrique (CNULD) définit la neutralité en matière de dégradation des terres comme </w:t>
      </w:r>
      <w:r w:rsidR="00E34DC9">
        <w:rPr>
          <w:lang w:val="fr-FR"/>
        </w:rPr>
        <w:t>« </w:t>
      </w:r>
      <w:r w:rsidRPr="00653BF4">
        <w:rPr>
          <w:lang w:val="fr-FR"/>
        </w:rPr>
        <w:t>un état dans lequel la quantité et la qualité des ressources foncières nécessaires pour soutenir les fonctions et les services écosystémiques visant à renforcer la sécurité alimentaire restent stables, ou augmentent, à des échelles temporelles et spatiales données et au sein d</w:t>
      </w:r>
      <w:r w:rsidR="002A58C8" w:rsidRPr="00653BF4">
        <w:rPr>
          <w:lang w:val="fr-FR"/>
        </w:rPr>
        <w:t>’</w:t>
      </w:r>
      <w:r w:rsidRPr="00653BF4">
        <w:rPr>
          <w:lang w:val="fr-FR"/>
        </w:rPr>
        <w:t>écosystèmes spécifiques</w:t>
      </w:r>
      <w:r w:rsidR="00E34DC9">
        <w:rPr>
          <w:lang w:val="fr-FR"/>
        </w:rPr>
        <w:t> »</w:t>
      </w:r>
      <w:r w:rsidRPr="00653BF4">
        <w:rPr>
          <w:lang w:val="fr-FR"/>
        </w:rPr>
        <w:t xml:space="preserve"> (CNULD, 2015). En pratique, cela signifie que toute nouvelle dégradation des terres, si elle ne peut être évitée, doit être compensée par des mesures de restauration ou de gestion durable des terres menées ailleurs</w:t>
      </w:r>
      <w:r w:rsidR="00E34DC9">
        <w:rPr>
          <w:lang w:val="fr-FR"/>
        </w:rPr>
        <w:t> ;</w:t>
      </w:r>
      <w:r w:rsidRPr="00653BF4">
        <w:rPr>
          <w:lang w:val="fr-FR"/>
        </w:rPr>
        <w:t xml:space="preserve"> en d</w:t>
      </w:r>
      <w:r w:rsidR="002A58C8" w:rsidRPr="00653BF4">
        <w:rPr>
          <w:lang w:val="fr-FR"/>
        </w:rPr>
        <w:t>’</w:t>
      </w:r>
      <w:r w:rsidRPr="00653BF4">
        <w:rPr>
          <w:lang w:val="fr-FR"/>
        </w:rPr>
        <w:t>autres termes, il ne doit y avoir aucune perte nette de terres productives. L</w:t>
      </w:r>
      <w:r w:rsidR="002A58C8" w:rsidRPr="00653BF4">
        <w:rPr>
          <w:lang w:val="fr-FR"/>
        </w:rPr>
        <w:t>’</w:t>
      </w:r>
      <w:r w:rsidRPr="00653BF4">
        <w:rPr>
          <w:lang w:val="fr-FR"/>
        </w:rPr>
        <w:t>Interface science-politique mise en place par la Conférence des Parties à la CNULCD a élaboré des lignes directrices pour l</w:t>
      </w:r>
      <w:r w:rsidR="002A58C8" w:rsidRPr="00653BF4">
        <w:rPr>
          <w:lang w:val="fr-FR"/>
        </w:rPr>
        <w:t>’</w:t>
      </w:r>
      <w:r w:rsidRPr="00653BF4">
        <w:rPr>
          <w:lang w:val="fr-FR"/>
        </w:rPr>
        <w:t>application d</w:t>
      </w:r>
      <w:r w:rsidR="002A58C8" w:rsidRPr="00653BF4">
        <w:rPr>
          <w:lang w:val="fr-FR"/>
        </w:rPr>
        <w:t>’</w:t>
      </w:r>
      <w:r w:rsidRPr="00653BF4">
        <w:rPr>
          <w:lang w:val="fr-FR"/>
        </w:rPr>
        <w:t>une planification intégrée de l</w:t>
      </w:r>
      <w:r w:rsidR="002A58C8" w:rsidRPr="00653BF4">
        <w:rPr>
          <w:lang w:val="fr-FR"/>
        </w:rPr>
        <w:t>’</w:t>
      </w:r>
      <w:r w:rsidRPr="00653BF4">
        <w:rPr>
          <w:lang w:val="fr-FR"/>
        </w:rPr>
        <w:t>utilisation des terres et d</w:t>
      </w:r>
      <w:r w:rsidR="002A58C8" w:rsidRPr="00653BF4">
        <w:rPr>
          <w:lang w:val="fr-FR"/>
        </w:rPr>
        <w:t>’</w:t>
      </w:r>
      <w:r w:rsidRPr="00653BF4">
        <w:rPr>
          <w:lang w:val="fr-FR"/>
        </w:rPr>
        <w:t>une gestion intégrée des terres afin d</w:t>
      </w:r>
      <w:r w:rsidR="002A58C8" w:rsidRPr="00653BF4">
        <w:rPr>
          <w:lang w:val="fr-FR"/>
        </w:rPr>
        <w:t>’</w:t>
      </w:r>
      <w:r w:rsidRPr="00653BF4">
        <w:rPr>
          <w:lang w:val="fr-FR"/>
        </w:rPr>
        <w:t xml:space="preserve">atteindre la neutralité en matière de dégradation des terres. Cette </w:t>
      </w:r>
      <w:r w:rsidRPr="00653BF4">
        <w:rPr>
          <w:lang w:val="fr-FR"/>
        </w:rPr>
        <w:lastRenderedPageBreak/>
        <w:t xml:space="preserve">approche faisait partie de la base factuelle de la </w:t>
      </w:r>
      <w:r w:rsidR="00E34DC9">
        <w:rPr>
          <w:lang w:val="fr-FR"/>
        </w:rPr>
        <w:t>cible 1</w:t>
      </w:r>
      <w:r w:rsidRPr="00653BF4">
        <w:rPr>
          <w:lang w:val="fr-FR"/>
        </w:rPr>
        <w:t xml:space="preserve"> du Cadre lors de son adoption initiale, et elle permet aux Parties de lutter contre la perte de biodiversité et la dégradation des terres dans le cadre d</w:t>
      </w:r>
      <w:r w:rsidR="002A58C8" w:rsidRPr="00653BF4">
        <w:rPr>
          <w:lang w:val="fr-FR"/>
        </w:rPr>
        <w:t>’</w:t>
      </w:r>
      <w:r w:rsidRPr="00653BF4">
        <w:rPr>
          <w:lang w:val="fr-FR"/>
        </w:rPr>
        <w:t>un processus de planification combiné (CNULCD, 2025</w:t>
      </w:r>
      <w:r w:rsidR="00E34DC9">
        <w:rPr>
          <w:lang w:val="fr-FR"/>
        </w:rPr>
        <w:t> ;</w:t>
      </w:r>
      <w:r w:rsidRPr="00653BF4">
        <w:rPr>
          <w:lang w:val="fr-FR"/>
        </w:rPr>
        <w:t xml:space="preserve"> et Verburg, 2022).</w:t>
      </w:r>
    </w:p>
    <w:p w14:paraId="18C81836" w14:textId="3991366B" w:rsidR="00115893" w:rsidRPr="00653BF4" w:rsidRDefault="00A27E6C" w:rsidP="00691365">
      <w:pPr>
        <w:rPr>
          <w:lang w:val="fr-FR"/>
        </w:rPr>
      </w:pPr>
      <w:r w:rsidRPr="00653BF4">
        <w:rPr>
          <w:lang w:val="fr-FR"/>
        </w:rPr>
        <w:t>L</w:t>
      </w:r>
      <w:r w:rsidR="002A58C8" w:rsidRPr="00653BF4">
        <w:rPr>
          <w:lang w:val="fr-FR"/>
        </w:rPr>
        <w:t>’</w:t>
      </w:r>
      <w:r w:rsidRPr="00653BF4">
        <w:rPr>
          <w:lang w:val="fr-FR"/>
        </w:rPr>
        <w:t>Organisation des Nations unies pour l</w:t>
      </w:r>
      <w:r w:rsidR="002A58C8" w:rsidRPr="00653BF4">
        <w:rPr>
          <w:lang w:val="fr-FR"/>
        </w:rPr>
        <w:t>’</w:t>
      </w:r>
      <w:r w:rsidRPr="00653BF4">
        <w:rPr>
          <w:lang w:val="fr-FR"/>
        </w:rPr>
        <w:t>alimentation et l</w:t>
      </w:r>
      <w:r w:rsidR="002A58C8" w:rsidRPr="00653BF4">
        <w:rPr>
          <w:lang w:val="fr-FR"/>
        </w:rPr>
        <w:t>’</w:t>
      </w:r>
      <w:r w:rsidRPr="00653BF4">
        <w:rPr>
          <w:lang w:val="fr-FR"/>
        </w:rPr>
        <w:t>agriculture (FAO) a également publié des lignes directrices révisées sur la planification intégrée de l</w:t>
      </w:r>
      <w:r w:rsidR="002A58C8" w:rsidRPr="00653BF4">
        <w:rPr>
          <w:lang w:val="fr-FR"/>
        </w:rPr>
        <w:t>’</w:t>
      </w:r>
      <w:r w:rsidRPr="00653BF4">
        <w:rPr>
          <w:lang w:val="fr-FR"/>
        </w:rPr>
        <w:t>utilisation des terres, destinées à fournir un appui aux pays pour qu</w:t>
      </w:r>
      <w:r w:rsidR="002A58C8" w:rsidRPr="00653BF4">
        <w:rPr>
          <w:lang w:val="fr-FR"/>
        </w:rPr>
        <w:t>’</w:t>
      </w:r>
      <w:r w:rsidRPr="00653BF4">
        <w:rPr>
          <w:lang w:val="fr-FR"/>
        </w:rPr>
        <w:t xml:space="preserve">ils respectent leurs engagements internationaux, notamment la </w:t>
      </w:r>
      <w:r w:rsidR="00E34DC9">
        <w:rPr>
          <w:lang w:val="fr-FR"/>
        </w:rPr>
        <w:t>cible 1</w:t>
      </w:r>
      <w:r w:rsidRPr="00653BF4">
        <w:rPr>
          <w:lang w:val="fr-FR"/>
        </w:rPr>
        <w:t xml:space="preserve"> du Cadre et les Objectifs de développement durable. Ces lignes directrices prennent en compte les questions suivantes</w:t>
      </w:r>
      <w:r w:rsidR="00E34DC9">
        <w:rPr>
          <w:lang w:val="fr-FR"/>
        </w:rPr>
        <w:t> :</w:t>
      </w:r>
      <w:r w:rsidRPr="00653BF4">
        <w:rPr>
          <w:lang w:val="fr-FR"/>
        </w:rPr>
        <w:t xml:space="preserve"> le changement climatique, la neutralité en matière de dégradation des terres et la restauration des sols, la conservation et l</w:t>
      </w:r>
      <w:r w:rsidR="002A58C8" w:rsidRPr="00653BF4">
        <w:rPr>
          <w:lang w:val="fr-FR"/>
        </w:rPr>
        <w:t>’</w:t>
      </w:r>
      <w:r w:rsidRPr="00653BF4">
        <w:rPr>
          <w:lang w:val="fr-FR"/>
        </w:rPr>
        <w:t>utilisation durable de la biodiversité, la gestion intégrée des ressources foncières et hydriques, l</w:t>
      </w:r>
      <w:r w:rsidR="002A58C8" w:rsidRPr="00653BF4">
        <w:rPr>
          <w:lang w:val="fr-FR"/>
        </w:rPr>
        <w:t>’</w:t>
      </w:r>
      <w:r w:rsidRPr="00653BF4">
        <w:rPr>
          <w:lang w:val="fr-FR"/>
        </w:rPr>
        <w:t>urbanisation, l</w:t>
      </w:r>
      <w:r w:rsidR="002A58C8" w:rsidRPr="00653BF4">
        <w:rPr>
          <w:lang w:val="fr-FR"/>
        </w:rPr>
        <w:t>’</w:t>
      </w:r>
      <w:r w:rsidRPr="00653BF4">
        <w:rPr>
          <w:lang w:val="fr-FR"/>
        </w:rPr>
        <w:t xml:space="preserve">agriculture périurbaine et urbaine, la gouvernance, le régime foncier et les droits fonciers des femmes et des peuples autochtones (FAO, 2024a et 2025a). Des orientations supplémentaires sur la mise en œuvre de la </w:t>
      </w:r>
      <w:r w:rsidR="00E34DC9">
        <w:rPr>
          <w:lang w:val="fr-FR"/>
        </w:rPr>
        <w:t>cible 1</w:t>
      </w:r>
      <w:r w:rsidRPr="00653BF4">
        <w:rPr>
          <w:lang w:val="fr-FR"/>
        </w:rPr>
        <w:t xml:space="preserve"> sont disponibles via l</w:t>
      </w:r>
      <w:r w:rsidR="002A58C8" w:rsidRPr="00653BF4">
        <w:rPr>
          <w:lang w:val="fr-FR"/>
        </w:rPr>
        <w:t>’</w:t>
      </w:r>
      <w:r w:rsidRPr="00653BF4">
        <w:rPr>
          <w:lang w:val="fr-FR"/>
        </w:rPr>
        <w:t xml:space="preserve">outil </w:t>
      </w:r>
      <w:r w:rsidR="00E34DC9">
        <w:rPr>
          <w:lang w:val="fr-FR"/>
        </w:rPr>
        <w:t>« </w:t>
      </w:r>
      <w:r w:rsidR="00AF5885" w:rsidRPr="00653BF4">
        <w:rPr>
          <w:lang w:val="fr-FR"/>
        </w:rPr>
        <w:t>Cartographie des zones essentielles à la survie</w:t>
      </w:r>
      <w:r w:rsidR="00E34DC9">
        <w:rPr>
          <w:lang w:val="fr-FR"/>
        </w:rPr>
        <w:t> »</w:t>
      </w:r>
      <w:r w:rsidRPr="00653BF4">
        <w:rPr>
          <w:lang w:val="fr-FR"/>
        </w:rPr>
        <w:t xml:space="preserve"> (ELSA) du PNUD, accessible sur la plateforme du Laboratoire des Nations Unies pour la biodiversité (PNUD, 2023)</w:t>
      </w:r>
      <w:r w:rsidR="00B64022" w:rsidRPr="00653BF4">
        <w:rPr>
          <w:rStyle w:val="FootnoteReference"/>
          <w:lang w:val="fr-FR"/>
        </w:rPr>
        <w:footnoteReference w:id="12"/>
      </w:r>
      <w:r w:rsidR="00E34DC9">
        <w:rPr>
          <w:lang w:val="fr-FR"/>
        </w:rPr>
        <w:t> ;</w:t>
      </w:r>
      <w:r w:rsidR="00D615DD" w:rsidRPr="00653BF4">
        <w:rPr>
          <w:lang w:val="fr-FR"/>
        </w:rPr>
        <w:t xml:space="preserve"> </w:t>
      </w:r>
      <w:r w:rsidR="00AF5885" w:rsidRPr="00653BF4">
        <w:rPr>
          <w:lang w:val="fr-FR"/>
        </w:rPr>
        <w:t>ainsi</w:t>
      </w:r>
      <w:r w:rsidR="00555CA5" w:rsidRPr="00653BF4">
        <w:rPr>
          <w:lang w:val="fr-FR"/>
        </w:rPr>
        <w:t xml:space="preserve"> que dans le document de réflexion n° 4 intitulé </w:t>
      </w:r>
      <w:r w:rsidR="00E34DC9">
        <w:rPr>
          <w:lang w:val="fr-FR"/>
        </w:rPr>
        <w:t>« </w:t>
      </w:r>
      <w:r w:rsidR="00555CA5" w:rsidRPr="00653BF4">
        <w:rPr>
          <w:lang w:val="fr-FR"/>
        </w:rPr>
        <w:t>Aperçu de l</w:t>
      </w:r>
      <w:r w:rsidR="002A58C8" w:rsidRPr="00653BF4">
        <w:rPr>
          <w:lang w:val="fr-FR"/>
        </w:rPr>
        <w:t>’</w:t>
      </w:r>
      <w:r w:rsidR="00555CA5" w:rsidRPr="00653BF4">
        <w:rPr>
          <w:lang w:val="fr-FR"/>
        </w:rPr>
        <w:t xml:space="preserve">aménagement du territoire participatif, intégré et </w:t>
      </w:r>
      <w:r w:rsidR="003E15C4" w:rsidRPr="00653BF4">
        <w:rPr>
          <w:lang w:val="fr-FR"/>
        </w:rPr>
        <w:t>favorable à</w:t>
      </w:r>
      <w:r w:rsidR="00555CA5" w:rsidRPr="00653BF4">
        <w:rPr>
          <w:lang w:val="fr-FR"/>
        </w:rPr>
        <w:t xml:space="preserve"> la biodiversité, et de la </w:t>
      </w:r>
      <w:r w:rsidR="00E34DC9">
        <w:rPr>
          <w:lang w:val="fr-FR"/>
        </w:rPr>
        <w:t>cible 1</w:t>
      </w:r>
      <w:r w:rsidR="00555CA5" w:rsidRPr="00653BF4">
        <w:rPr>
          <w:lang w:val="fr-FR"/>
        </w:rPr>
        <w:t xml:space="preserve"> du Cadre mondial de la biodiversité de Kunming-Montréal de la Convention sur la diversité biologique</w:t>
      </w:r>
      <w:r w:rsidR="00E34DC9">
        <w:rPr>
          <w:lang w:val="fr-FR"/>
        </w:rPr>
        <w:t> »</w:t>
      </w:r>
      <w:r w:rsidR="00555CA5" w:rsidRPr="00653BF4">
        <w:rPr>
          <w:lang w:val="fr-FR"/>
        </w:rPr>
        <w:t>, rédigé par la Commission mondiale des aires protégées et publié par l</w:t>
      </w:r>
      <w:r w:rsidR="002A58C8" w:rsidRPr="00653BF4">
        <w:rPr>
          <w:lang w:val="fr-FR"/>
        </w:rPr>
        <w:t>’</w:t>
      </w:r>
      <w:r w:rsidR="00555CA5" w:rsidRPr="00653BF4">
        <w:rPr>
          <w:lang w:val="fr-FR"/>
        </w:rPr>
        <w:t xml:space="preserve">UICN (Grantham </w:t>
      </w:r>
      <w:r w:rsidR="00555CA5" w:rsidRPr="00653BF4">
        <w:rPr>
          <w:i/>
          <w:iCs/>
          <w:lang w:val="fr-FR"/>
        </w:rPr>
        <w:t>et al.</w:t>
      </w:r>
      <w:r w:rsidR="00555CA5" w:rsidRPr="00653BF4">
        <w:rPr>
          <w:lang w:val="fr-FR"/>
        </w:rPr>
        <w:t>, 2024).</w:t>
      </w:r>
    </w:p>
    <w:p w14:paraId="5FAC4BC6" w14:textId="28F6131E" w:rsidR="003D6B8F" w:rsidRPr="00653BF4" w:rsidRDefault="00605D73" w:rsidP="003D6B8F">
      <w:pPr>
        <w:rPr>
          <w:lang w:val="fr-FR"/>
        </w:rPr>
      </w:pPr>
      <w:r w:rsidRPr="00653BF4">
        <w:rPr>
          <w:lang w:val="fr-FR"/>
        </w:rPr>
        <w:t xml:space="preserve">Malgré une prise en compte de la planification spatiale marine par un nombre croissant de Parties, seuls 45 pays ou territoires avaient approuvé, fin 2023, des plans nationaux, </w:t>
      </w:r>
      <w:r w:rsidR="00AF5885" w:rsidRPr="00653BF4">
        <w:rPr>
          <w:lang w:val="fr-FR"/>
        </w:rPr>
        <w:t>infranationaux</w:t>
      </w:r>
      <w:r w:rsidRPr="00653BF4">
        <w:rPr>
          <w:lang w:val="fr-FR"/>
        </w:rPr>
        <w:t xml:space="preserve"> ou locaux relatifs aux zones marines et côtières, selon la Commission océanographique intergouvernementale de l</w:t>
      </w:r>
      <w:r w:rsidR="002A58C8" w:rsidRPr="00653BF4">
        <w:rPr>
          <w:lang w:val="fr-FR"/>
        </w:rPr>
        <w:t>’</w:t>
      </w:r>
      <w:r w:rsidRPr="00653BF4">
        <w:rPr>
          <w:lang w:val="fr-FR"/>
        </w:rPr>
        <w:t>Organisation des Nations Unies pour l</w:t>
      </w:r>
      <w:r w:rsidR="002A58C8" w:rsidRPr="00653BF4">
        <w:rPr>
          <w:lang w:val="fr-FR"/>
        </w:rPr>
        <w:t>’</w:t>
      </w:r>
      <w:r w:rsidRPr="00653BF4">
        <w:rPr>
          <w:lang w:val="fr-FR"/>
        </w:rPr>
        <w:t>éducation, la science et la culture (UNESCO-COI, 2024). Afin d</w:t>
      </w:r>
      <w:r w:rsidR="002A58C8" w:rsidRPr="00653BF4">
        <w:rPr>
          <w:lang w:val="fr-FR"/>
        </w:rPr>
        <w:t>’</w:t>
      </w:r>
      <w:r w:rsidRPr="00653BF4">
        <w:rPr>
          <w:lang w:val="fr-FR"/>
        </w:rPr>
        <w:t>apporter un appui aux pays pour faire progresser la planification de l</w:t>
      </w:r>
      <w:r w:rsidR="002A58C8" w:rsidRPr="00653BF4">
        <w:rPr>
          <w:lang w:val="fr-FR"/>
        </w:rPr>
        <w:t>’</w:t>
      </w:r>
      <w:r w:rsidRPr="00653BF4">
        <w:rPr>
          <w:lang w:val="fr-FR"/>
        </w:rPr>
        <w:t>espace marin et pour atteindre leurs objectifs en matière de biodiversité et de développement durable, la Commission océanographique intergouvernementale de l</w:t>
      </w:r>
      <w:r w:rsidR="002A58C8" w:rsidRPr="00653BF4">
        <w:rPr>
          <w:lang w:val="fr-FR"/>
        </w:rPr>
        <w:t>’</w:t>
      </w:r>
      <w:r w:rsidRPr="00653BF4">
        <w:rPr>
          <w:lang w:val="fr-FR"/>
        </w:rPr>
        <w:t>UNESCO et la Direction générale des affaires maritimes et de la pêche de la Commission européenne ont élaboré, dans le cadre du programme mondial sur la planification de l</w:t>
      </w:r>
      <w:r w:rsidR="002A58C8" w:rsidRPr="00653BF4">
        <w:rPr>
          <w:lang w:val="fr-FR"/>
        </w:rPr>
        <w:t>’</w:t>
      </w:r>
      <w:r w:rsidRPr="00653BF4">
        <w:rPr>
          <w:lang w:val="fr-FR"/>
        </w:rPr>
        <w:t>espace marin (MSPglobal), une série de documents d</w:t>
      </w:r>
      <w:r w:rsidR="002A58C8" w:rsidRPr="00653BF4">
        <w:rPr>
          <w:lang w:val="fr-FR"/>
        </w:rPr>
        <w:t>’</w:t>
      </w:r>
      <w:r w:rsidRPr="00653BF4">
        <w:rPr>
          <w:lang w:val="fr-FR"/>
        </w:rPr>
        <w:t>orientation sur la mise en œuvre d</w:t>
      </w:r>
      <w:r w:rsidR="002A58C8" w:rsidRPr="00653BF4">
        <w:rPr>
          <w:lang w:val="fr-FR"/>
        </w:rPr>
        <w:t>’</w:t>
      </w:r>
      <w:r w:rsidRPr="00653BF4">
        <w:rPr>
          <w:lang w:val="fr-FR"/>
        </w:rPr>
        <w:t>une planification de l</w:t>
      </w:r>
      <w:r w:rsidR="002A58C8" w:rsidRPr="00653BF4">
        <w:rPr>
          <w:lang w:val="fr-FR"/>
        </w:rPr>
        <w:t>’</w:t>
      </w:r>
      <w:r w:rsidRPr="00653BF4">
        <w:rPr>
          <w:lang w:val="fr-FR"/>
        </w:rPr>
        <w:t xml:space="preserve">espace marin fondée sur les écosystèmes. Ces orientations fournissent des méthodologies et des recommandations pratiques pour apporter un appui aux pays dans la mise en place de </w:t>
      </w:r>
      <w:r w:rsidRPr="00653BF4">
        <w:rPr>
          <w:lang w:val="fr-FR"/>
        </w:rPr>
        <w:lastRenderedPageBreak/>
        <w:t>processus de planification de l</w:t>
      </w:r>
      <w:r w:rsidR="002A58C8" w:rsidRPr="00653BF4">
        <w:rPr>
          <w:lang w:val="fr-FR"/>
        </w:rPr>
        <w:t>’</w:t>
      </w:r>
      <w:r w:rsidRPr="00653BF4">
        <w:rPr>
          <w:lang w:val="fr-FR"/>
        </w:rPr>
        <w:t xml:space="preserve">espace marin tenant compte de la biodiversité et contribuent directement à la mise en œuvre de la </w:t>
      </w:r>
      <w:r w:rsidR="00E34DC9">
        <w:rPr>
          <w:lang w:val="fr-FR"/>
        </w:rPr>
        <w:t>cible 1</w:t>
      </w:r>
      <w:r w:rsidRPr="00653BF4">
        <w:rPr>
          <w:lang w:val="fr-FR"/>
        </w:rPr>
        <w:t xml:space="preserve"> (UNESCO-COI et Commission européenne, 2022, 2025)</w:t>
      </w:r>
      <w:r w:rsidR="006C5D9A" w:rsidRPr="00653BF4">
        <w:rPr>
          <w:rStyle w:val="FootnoteReference"/>
          <w:lang w:val="fr-FR"/>
        </w:rPr>
        <w:footnoteReference w:id="13"/>
      </w:r>
      <w:r w:rsidRPr="00653BF4">
        <w:rPr>
          <w:lang w:val="fr-FR"/>
        </w:rPr>
        <w:t>.</w:t>
      </w:r>
      <w:r w:rsidR="00137239" w:rsidRPr="00653BF4">
        <w:rPr>
          <w:lang w:val="fr-FR"/>
        </w:rPr>
        <w:t xml:space="preserve"> </w:t>
      </w:r>
      <w:r w:rsidR="003926C5" w:rsidRPr="00653BF4">
        <w:rPr>
          <w:lang w:val="fr-FR"/>
        </w:rPr>
        <w:t>Par ailleurs, le Groupe de haut niveau pour une économie océanique durable, initiative regroupant 19 États représentant environ la moitié de l</w:t>
      </w:r>
      <w:r w:rsidR="002A58C8" w:rsidRPr="00653BF4">
        <w:rPr>
          <w:lang w:val="fr-FR"/>
        </w:rPr>
        <w:t>’</w:t>
      </w:r>
      <w:r w:rsidR="003926C5" w:rsidRPr="00653BF4">
        <w:rPr>
          <w:lang w:val="fr-FR"/>
        </w:rPr>
        <w:t>ensemble des côtes mondiales, s</w:t>
      </w:r>
      <w:r w:rsidR="002A58C8" w:rsidRPr="00653BF4">
        <w:rPr>
          <w:lang w:val="fr-FR"/>
        </w:rPr>
        <w:t>’</w:t>
      </w:r>
      <w:r w:rsidR="003926C5" w:rsidRPr="00653BF4">
        <w:rPr>
          <w:lang w:val="fr-FR"/>
        </w:rPr>
        <w:t xml:space="preserve">est fixé pour </w:t>
      </w:r>
      <w:r w:rsidR="00634C92" w:rsidRPr="00653BF4">
        <w:rPr>
          <w:lang w:val="fr-FR"/>
        </w:rPr>
        <w:t>cible</w:t>
      </w:r>
      <w:r w:rsidR="00990AB5" w:rsidRPr="00653BF4">
        <w:rPr>
          <w:lang w:val="fr-FR"/>
        </w:rPr>
        <w:t xml:space="preserve"> </w:t>
      </w:r>
      <w:r w:rsidR="003926C5" w:rsidRPr="00653BF4">
        <w:rPr>
          <w:lang w:val="fr-FR"/>
        </w:rPr>
        <w:t>d</w:t>
      </w:r>
      <w:r w:rsidR="002A58C8" w:rsidRPr="00653BF4">
        <w:rPr>
          <w:lang w:val="fr-FR"/>
        </w:rPr>
        <w:t>’</w:t>
      </w:r>
      <w:r w:rsidR="003926C5" w:rsidRPr="00653BF4">
        <w:rPr>
          <w:lang w:val="fr-FR"/>
        </w:rPr>
        <w:t>élaborer, d</w:t>
      </w:r>
      <w:r w:rsidR="002A58C8" w:rsidRPr="00653BF4">
        <w:rPr>
          <w:lang w:val="fr-FR"/>
        </w:rPr>
        <w:t>’</w:t>
      </w:r>
      <w:r w:rsidR="003926C5" w:rsidRPr="00653BF4">
        <w:rPr>
          <w:lang w:val="fr-FR"/>
        </w:rPr>
        <w:t>ici à 2030, des plans océaniques durables pour 100</w:t>
      </w:r>
      <w:r w:rsidR="002878D7">
        <w:rPr>
          <w:lang w:val="fr-FR"/>
        </w:rPr>
        <w:t> %</w:t>
      </w:r>
      <w:r w:rsidR="003926C5" w:rsidRPr="00653BF4">
        <w:rPr>
          <w:lang w:val="fr-FR"/>
        </w:rPr>
        <w:t xml:space="preserve"> des zones marines relevant de la juridiction nationale des pays participants (Groupe de haut niveau pour une économie océanique durable, 2024).</w:t>
      </w:r>
    </w:p>
    <w:p w14:paraId="7A768A49" w14:textId="5238FC35" w:rsidR="00457458" w:rsidRPr="00653BF4" w:rsidRDefault="00DC10B4" w:rsidP="003D6B8F">
      <w:pPr>
        <w:rPr>
          <w:lang w:val="fr-FR"/>
        </w:rPr>
      </w:pPr>
      <w:r w:rsidRPr="00653BF4">
        <w:rPr>
          <w:lang w:val="fr-FR"/>
        </w:rPr>
        <w:t>L</w:t>
      </w:r>
      <w:r w:rsidR="002A58C8" w:rsidRPr="00653BF4">
        <w:rPr>
          <w:lang w:val="fr-FR"/>
        </w:rPr>
        <w:t>’</w:t>
      </w:r>
      <w:r w:rsidRPr="00653BF4">
        <w:rPr>
          <w:lang w:val="fr-FR"/>
        </w:rPr>
        <w:t>évaluation méthodologique en cours de réalisation par l</w:t>
      </w:r>
      <w:r w:rsidR="002A58C8" w:rsidRPr="00653BF4">
        <w:rPr>
          <w:lang w:val="fr-FR"/>
        </w:rPr>
        <w:t>’</w:t>
      </w:r>
      <w:r w:rsidRPr="00653BF4">
        <w:rPr>
          <w:lang w:val="fr-FR"/>
        </w:rPr>
        <w:t>IPBES sur l</w:t>
      </w:r>
      <w:r w:rsidR="002A58C8" w:rsidRPr="00653BF4">
        <w:rPr>
          <w:lang w:val="fr-FR"/>
        </w:rPr>
        <w:t>’</w:t>
      </w:r>
      <w:r w:rsidRPr="00653BF4">
        <w:rPr>
          <w:lang w:val="fr-FR"/>
        </w:rPr>
        <w:t xml:space="preserve">aménagement du territoire intégrant la biodiversité et la connectivité écologique comportera un chapitre consacré à la mise en œuvre de la </w:t>
      </w:r>
      <w:r w:rsidR="00E34DC9">
        <w:rPr>
          <w:lang w:val="fr-FR"/>
        </w:rPr>
        <w:t>cible 1</w:t>
      </w:r>
      <w:r w:rsidRPr="00653BF4">
        <w:rPr>
          <w:lang w:val="fr-FR"/>
        </w:rPr>
        <w:t>, tout en abordant les cibles 2 et 3</w:t>
      </w:r>
      <w:r w:rsidR="00E34DC9">
        <w:rPr>
          <w:lang w:val="fr-FR"/>
        </w:rPr>
        <w:t> ;</w:t>
      </w:r>
      <w:r w:rsidRPr="00653BF4">
        <w:rPr>
          <w:lang w:val="fr-FR"/>
        </w:rPr>
        <w:t xml:space="preserve"> elle constituera une ressource supplémentaire importante pour les Parties dans la mise en œuvre du Cadre après sa publication en 2027 (IPBES, 2023b)</w:t>
      </w:r>
      <w:r w:rsidR="00D14393" w:rsidRPr="00653BF4">
        <w:rPr>
          <w:lang w:val="fr-FR"/>
        </w:rPr>
        <w:t xml:space="preserve">. </w:t>
      </w:r>
    </w:p>
    <w:p w14:paraId="411B6B49" w14:textId="7AB255AB" w:rsidR="00EC53C6" w:rsidRPr="00653BF4" w:rsidRDefault="00EC53C6" w:rsidP="00CE67B7">
      <w:pPr>
        <w:rPr>
          <w:lang w:val="fr-FR"/>
        </w:rPr>
      </w:pPr>
    </w:p>
    <w:p w14:paraId="71108EC7" w14:textId="05ADE83E" w:rsidR="00120352" w:rsidRPr="00653BF4" w:rsidRDefault="00E34DC9" w:rsidP="74032CC2">
      <w:pPr>
        <w:pStyle w:val="Heading4"/>
        <w:rPr>
          <w:i w:val="0"/>
          <w:iCs w:val="0"/>
          <w:lang w:val="fr-FR"/>
        </w:rPr>
      </w:pPr>
      <w:bookmarkStart w:id="85" w:name="_Toc235821063"/>
      <w:bookmarkStart w:id="86" w:name="_Toc239069196"/>
      <w:bookmarkStart w:id="87" w:name="_Toc242801233"/>
      <w:r>
        <w:rPr>
          <w:b/>
          <w:bCs/>
          <w:i w:val="0"/>
          <w:iCs w:val="0"/>
          <w:lang w:val="fr-FR"/>
        </w:rPr>
        <w:t>Cible 2</w:t>
      </w:r>
      <w:r w:rsidR="00D92A8A" w:rsidRPr="00653BF4">
        <w:rPr>
          <w:lang w:val="fr-FR"/>
        </w:rPr>
        <w:t>.</w:t>
      </w:r>
      <w:r w:rsidR="00A45E83" w:rsidRPr="00653BF4">
        <w:rPr>
          <w:lang w:val="fr-FR"/>
        </w:rPr>
        <w:t xml:space="preserve"> </w:t>
      </w:r>
      <w:bookmarkEnd w:id="85"/>
      <w:bookmarkEnd w:id="86"/>
      <w:r w:rsidR="00EA6738" w:rsidRPr="00653BF4">
        <w:rPr>
          <w:i w:val="0"/>
          <w:iCs w:val="0"/>
          <w:lang w:val="fr-FR"/>
        </w:rPr>
        <w:t>Remettre en état 30</w:t>
      </w:r>
      <w:r w:rsidR="002878D7">
        <w:rPr>
          <w:i w:val="0"/>
          <w:iCs w:val="0"/>
          <w:lang w:val="fr-FR"/>
        </w:rPr>
        <w:t> %</w:t>
      </w:r>
      <w:r w:rsidR="00EA6738" w:rsidRPr="00653BF4">
        <w:rPr>
          <w:i w:val="0"/>
          <w:iCs w:val="0"/>
          <w:lang w:val="fr-FR"/>
        </w:rPr>
        <w:t xml:space="preserve"> des écosystèmes dégradés</w:t>
      </w:r>
      <w:bookmarkEnd w:id="87"/>
    </w:p>
    <w:p w14:paraId="65E76A6B" w14:textId="77777777" w:rsidR="00D92A8A" w:rsidRPr="00653BF4" w:rsidRDefault="00D92A8A" w:rsidP="00D92A8A">
      <w:pPr>
        <w:rPr>
          <w:lang w:val="fr-FR"/>
        </w:rPr>
      </w:pPr>
    </w:p>
    <w:p w14:paraId="3E9D010D" w14:textId="261307DE" w:rsidR="00C676A8" w:rsidRPr="00653BF4" w:rsidRDefault="006D48DE" w:rsidP="00C676A8">
      <w:pPr>
        <w:rPr>
          <w:i/>
          <w:iCs/>
          <w:sz w:val="22"/>
          <w:szCs w:val="22"/>
          <w:lang w:val="fr-FR"/>
        </w:rPr>
      </w:pPr>
      <w:r w:rsidRPr="00653BF4">
        <w:rPr>
          <w:b/>
          <w:sz w:val="22"/>
          <w:szCs w:val="22"/>
          <w:lang w:val="fr-FR"/>
        </w:rPr>
        <w:t>T</w:t>
      </w:r>
      <w:r w:rsidR="00C676A8" w:rsidRPr="00653BF4">
        <w:rPr>
          <w:b/>
          <w:sz w:val="22"/>
          <w:szCs w:val="22"/>
          <w:lang w:val="fr-FR"/>
        </w:rPr>
        <w:t>ext</w:t>
      </w:r>
      <w:r w:rsidRPr="00653BF4">
        <w:rPr>
          <w:b/>
          <w:sz w:val="22"/>
          <w:szCs w:val="22"/>
          <w:lang w:val="fr-FR"/>
        </w:rPr>
        <w:t>e de la cible</w:t>
      </w:r>
      <w:r w:rsidR="00E34DC9">
        <w:rPr>
          <w:b/>
          <w:sz w:val="22"/>
          <w:szCs w:val="22"/>
          <w:lang w:val="fr-FR"/>
        </w:rPr>
        <w:t> :</w:t>
      </w:r>
      <w:r w:rsidR="00C676A8" w:rsidRPr="00653BF4">
        <w:rPr>
          <w:i/>
          <w:iCs/>
          <w:sz w:val="22"/>
          <w:szCs w:val="22"/>
          <w:lang w:val="fr-FR"/>
        </w:rPr>
        <w:t xml:space="preserve"> </w:t>
      </w:r>
      <w:r w:rsidRPr="00653BF4">
        <w:rPr>
          <w:i/>
          <w:iCs/>
          <w:sz w:val="22"/>
          <w:szCs w:val="22"/>
          <w:lang w:val="fr-FR"/>
        </w:rPr>
        <w:t>Veiller à ce que, d</w:t>
      </w:r>
      <w:r w:rsidR="002A58C8" w:rsidRPr="00653BF4">
        <w:rPr>
          <w:i/>
          <w:iCs/>
          <w:sz w:val="22"/>
          <w:szCs w:val="22"/>
          <w:lang w:val="fr-FR"/>
        </w:rPr>
        <w:t>’</w:t>
      </w:r>
      <w:r w:rsidRPr="00653BF4">
        <w:rPr>
          <w:i/>
          <w:iCs/>
          <w:sz w:val="22"/>
          <w:szCs w:val="22"/>
          <w:lang w:val="fr-FR"/>
        </w:rPr>
        <w:t>ici à 2030, au moins 30</w:t>
      </w:r>
      <w:r w:rsidR="002878D7">
        <w:rPr>
          <w:i/>
          <w:iCs/>
          <w:sz w:val="22"/>
          <w:szCs w:val="22"/>
          <w:lang w:val="fr-FR"/>
        </w:rPr>
        <w:t> %</w:t>
      </w:r>
      <w:r w:rsidRPr="00653BF4">
        <w:rPr>
          <w:i/>
          <w:iCs/>
          <w:sz w:val="22"/>
          <w:szCs w:val="22"/>
          <w:lang w:val="fr-FR"/>
        </w:rPr>
        <w:t xml:space="preserve"> des zones d</w:t>
      </w:r>
      <w:r w:rsidR="002A58C8" w:rsidRPr="00653BF4">
        <w:rPr>
          <w:i/>
          <w:iCs/>
          <w:sz w:val="22"/>
          <w:szCs w:val="22"/>
          <w:lang w:val="fr-FR"/>
        </w:rPr>
        <w:t>’</w:t>
      </w:r>
      <w:r w:rsidRPr="00653BF4">
        <w:rPr>
          <w:i/>
          <w:iCs/>
          <w:sz w:val="22"/>
          <w:szCs w:val="22"/>
          <w:lang w:val="fr-FR"/>
        </w:rPr>
        <w:t>écosystèmes terrestres, d</w:t>
      </w:r>
      <w:r w:rsidR="002A58C8" w:rsidRPr="00653BF4">
        <w:rPr>
          <w:i/>
          <w:iCs/>
          <w:sz w:val="22"/>
          <w:szCs w:val="22"/>
          <w:lang w:val="fr-FR"/>
        </w:rPr>
        <w:t>’</w:t>
      </w:r>
      <w:r w:rsidRPr="00653BF4">
        <w:rPr>
          <w:i/>
          <w:iCs/>
          <w:sz w:val="22"/>
          <w:szCs w:val="22"/>
          <w:lang w:val="fr-FR"/>
        </w:rPr>
        <w:t>eaux intérieures et d</w:t>
      </w:r>
      <w:r w:rsidR="002A58C8" w:rsidRPr="00653BF4">
        <w:rPr>
          <w:i/>
          <w:iCs/>
          <w:sz w:val="22"/>
          <w:szCs w:val="22"/>
          <w:lang w:val="fr-FR"/>
        </w:rPr>
        <w:t>’</w:t>
      </w:r>
      <w:r w:rsidRPr="00653BF4">
        <w:rPr>
          <w:i/>
          <w:iCs/>
          <w:sz w:val="22"/>
          <w:szCs w:val="22"/>
          <w:lang w:val="fr-FR"/>
        </w:rPr>
        <w:t>écosystèmes marins et côtiers dégradés fassent l</w:t>
      </w:r>
      <w:r w:rsidR="002A58C8" w:rsidRPr="00653BF4">
        <w:rPr>
          <w:i/>
          <w:iCs/>
          <w:sz w:val="22"/>
          <w:szCs w:val="22"/>
          <w:lang w:val="fr-FR"/>
        </w:rPr>
        <w:t>’</w:t>
      </w:r>
      <w:r w:rsidRPr="00653BF4">
        <w:rPr>
          <w:i/>
          <w:iCs/>
          <w:sz w:val="22"/>
          <w:szCs w:val="22"/>
          <w:lang w:val="fr-FR"/>
        </w:rPr>
        <w:t>objet de mesures de remise en état efficaces, afin d</w:t>
      </w:r>
      <w:r w:rsidR="002A58C8" w:rsidRPr="00653BF4">
        <w:rPr>
          <w:i/>
          <w:iCs/>
          <w:sz w:val="22"/>
          <w:szCs w:val="22"/>
          <w:lang w:val="fr-FR"/>
        </w:rPr>
        <w:t>’</w:t>
      </w:r>
      <w:r w:rsidRPr="00653BF4">
        <w:rPr>
          <w:i/>
          <w:iCs/>
          <w:sz w:val="22"/>
          <w:szCs w:val="22"/>
          <w:lang w:val="fr-FR"/>
        </w:rPr>
        <w:t>améliorer la biodiversité, les fonctions et services écosystémiques, ainsi que l</w:t>
      </w:r>
      <w:r w:rsidR="002A58C8" w:rsidRPr="00653BF4">
        <w:rPr>
          <w:i/>
          <w:iCs/>
          <w:sz w:val="22"/>
          <w:szCs w:val="22"/>
          <w:lang w:val="fr-FR"/>
        </w:rPr>
        <w:t>’</w:t>
      </w:r>
      <w:r w:rsidRPr="00653BF4">
        <w:rPr>
          <w:i/>
          <w:iCs/>
          <w:sz w:val="22"/>
          <w:szCs w:val="22"/>
          <w:lang w:val="fr-FR"/>
        </w:rPr>
        <w:t>intégrité et la connectivité écologiques.</w:t>
      </w:r>
    </w:p>
    <w:p w14:paraId="3F94771A" w14:textId="77777777" w:rsidR="00C676A8" w:rsidRPr="00653BF4" w:rsidRDefault="00C676A8" w:rsidP="00C676A8">
      <w:pPr>
        <w:rPr>
          <w:lang w:val="fr-FR"/>
        </w:rPr>
      </w:pPr>
    </w:p>
    <w:p w14:paraId="07E1AC61" w14:textId="397C07B6" w:rsidR="001A1397" w:rsidRPr="00653BF4" w:rsidRDefault="00DD19D2" w:rsidP="00B85FFF">
      <w:pPr>
        <w:pStyle w:val="Heading5"/>
        <w:rPr>
          <w:lang w:val="fr-FR"/>
        </w:rPr>
      </w:pPr>
      <w:r w:rsidRPr="00653BF4">
        <w:rPr>
          <w:lang w:val="fr-FR"/>
        </w:rPr>
        <w:t>Aperçu des progrès</w:t>
      </w:r>
      <w:r w:rsidR="003E194D" w:rsidRPr="00653BF4">
        <w:rPr>
          <w:lang w:val="fr-FR"/>
        </w:rPr>
        <w:t xml:space="preserve"> accomplis</w:t>
      </w:r>
    </w:p>
    <w:tbl>
      <w:tblPr>
        <w:tblStyle w:val="TableGrid"/>
        <w:tblW w:w="0" w:type="auto"/>
        <w:tblLook w:val="04A0" w:firstRow="1" w:lastRow="0" w:firstColumn="1" w:lastColumn="0" w:noHBand="0" w:noVBand="1"/>
      </w:tblPr>
      <w:tblGrid>
        <w:gridCol w:w="9016"/>
      </w:tblGrid>
      <w:tr w:rsidR="004A4B47" w:rsidRPr="00543148" w14:paraId="6582AA05" w14:textId="77777777" w:rsidTr="00BC3254">
        <w:tc>
          <w:tcPr>
            <w:tcW w:w="9016" w:type="dxa"/>
            <w:shd w:val="clear" w:color="auto" w:fill="D1D1D1" w:themeFill="background2" w:themeFillShade="E6"/>
          </w:tcPr>
          <w:p w14:paraId="5AC03B91" w14:textId="77777777" w:rsidR="005F3D4D" w:rsidRPr="00653BF4" w:rsidRDefault="005F3D4D" w:rsidP="00E26018">
            <w:pPr>
              <w:rPr>
                <w:rFonts w:ascii="Aptos" w:eastAsia="Times New Roman" w:hAnsi="Aptos" w:cs="Calibri"/>
                <w:color w:val="000000"/>
                <w:lang w:val="fr-FR"/>
              </w:rPr>
            </w:pPr>
          </w:p>
          <w:p w14:paraId="777CF2CE" w14:textId="7B64C99E" w:rsidR="00E26018" w:rsidRPr="00653BF4" w:rsidRDefault="005E0E5C" w:rsidP="00E26018">
            <w:pPr>
              <w:rPr>
                <w:rFonts w:ascii="Aptos" w:eastAsia="Times New Roman" w:hAnsi="Aptos" w:cs="Calibri"/>
                <w:color w:val="000000"/>
                <w:lang w:val="fr-FR"/>
              </w:rPr>
            </w:pPr>
            <w:r w:rsidRPr="00653BF4">
              <w:rPr>
                <w:rFonts w:ascii="Aptos" w:eastAsia="Times New Roman" w:hAnsi="Aptos" w:cs="Calibri"/>
                <w:color w:val="000000"/>
                <w:lang w:val="fr-FR"/>
              </w:rPr>
              <w:t>Les efforts de remise en état s</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intensifient, mais les engagements actuels à cet égard, ainsi que leur mise en œuvre, restent en deçà du niveau requis pour remettre en état 30</w:t>
            </w:r>
            <w:r w:rsidR="002878D7">
              <w:rPr>
                <w:rFonts w:ascii="Aptos" w:eastAsia="Times New Roman" w:hAnsi="Aptos" w:cs="Calibri"/>
                <w:color w:val="000000"/>
                <w:lang w:val="fr-FR"/>
              </w:rPr>
              <w:t> %</w:t>
            </w:r>
            <w:r w:rsidRPr="00653BF4">
              <w:rPr>
                <w:rFonts w:ascii="Aptos" w:eastAsia="Times New Roman" w:hAnsi="Aptos" w:cs="Calibri"/>
                <w:color w:val="000000"/>
                <w:lang w:val="fr-FR"/>
              </w:rPr>
              <w:t xml:space="preserve"> des écosystèmes dégradés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ici à 2030, les progrès accomplis étant moins marqués dans les zones marines, côtières et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 xml:space="preserve">eau douce que dans les zones terrestres. Les cibles nationales sont généralement bien alignées sur </w:t>
            </w:r>
            <w:r w:rsidR="00DE34C9">
              <w:rPr>
                <w:rFonts w:ascii="Aptos" w:eastAsia="Times New Roman" w:hAnsi="Aptos" w:cs="Calibri"/>
                <w:color w:val="000000"/>
                <w:lang w:val="fr-FR"/>
              </w:rPr>
              <w:t xml:space="preserve">la </w:t>
            </w:r>
            <w:r w:rsidR="00E34DC9">
              <w:rPr>
                <w:rFonts w:ascii="Aptos" w:eastAsia="Times New Roman" w:hAnsi="Aptos" w:cs="Calibri"/>
                <w:color w:val="000000"/>
                <w:lang w:val="fr-FR"/>
              </w:rPr>
              <w:t>cible 2</w:t>
            </w:r>
            <w:r w:rsidRPr="00653BF4">
              <w:rPr>
                <w:rFonts w:ascii="Aptos" w:eastAsia="Times New Roman" w:hAnsi="Aptos" w:cs="Calibri"/>
                <w:color w:val="000000"/>
                <w:lang w:val="fr-FR"/>
              </w:rPr>
              <w:t>, bien qu</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elles ne comportent souvent pas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éléments relatifs à l</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efficacité des efforts de remise en état. Le suivi des progrès est entravé par le manque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uniformité des définitions et des approches de suivi utilisées pour évaluer la dégradation et la restauration des écosystèmes. La nécessité de relever les défis liés tant à la mise en œuvre qu</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au suivi, en renforçant la fiabilité de l</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apport de ressources destinées aux efforts de restauration, reste un obstacle de premier plan.</w:t>
            </w:r>
          </w:p>
          <w:p w14:paraId="72C0B23C" w14:textId="6DE50E8D" w:rsidR="00BC3254" w:rsidRPr="00653BF4" w:rsidRDefault="00BC3254" w:rsidP="008C1C32">
            <w:pPr>
              <w:rPr>
                <w:sz w:val="22"/>
                <w:szCs w:val="22"/>
                <w:lang w:val="fr-FR"/>
              </w:rPr>
            </w:pPr>
          </w:p>
        </w:tc>
      </w:tr>
    </w:tbl>
    <w:p w14:paraId="6E9B06DD" w14:textId="77777777" w:rsidR="00817242" w:rsidRPr="00653BF4" w:rsidRDefault="00817242" w:rsidP="007A7E9B">
      <w:pPr>
        <w:rPr>
          <w:sz w:val="22"/>
          <w:szCs w:val="22"/>
          <w:lang w:val="fr-FR"/>
        </w:rPr>
      </w:pPr>
    </w:p>
    <w:p w14:paraId="5BE3DE94" w14:textId="08A26752" w:rsidR="005F3D4D" w:rsidRPr="00653BF4" w:rsidRDefault="00644222" w:rsidP="005F3D4D">
      <w:pPr>
        <w:pStyle w:val="Heading5"/>
        <w:rPr>
          <w:lang w:val="fr-FR"/>
        </w:rPr>
      </w:pPr>
      <w:r w:rsidRPr="00653BF4">
        <w:rPr>
          <w:lang w:val="fr-FR"/>
        </w:rPr>
        <w:lastRenderedPageBreak/>
        <w:t>Prise en compte</w:t>
      </w:r>
      <w:r w:rsidR="00DF683D" w:rsidRPr="00653BF4">
        <w:rPr>
          <w:lang w:val="fr-FR"/>
        </w:rPr>
        <w:t xml:space="preserve"> par les Parties </w:t>
      </w:r>
      <w:r w:rsidRPr="00653BF4">
        <w:rPr>
          <w:lang w:val="fr-FR"/>
        </w:rPr>
        <w:t xml:space="preserve">de la portée </w:t>
      </w:r>
      <w:r w:rsidR="00DF683D" w:rsidRPr="00653BF4">
        <w:rPr>
          <w:lang w:val="fr-FR"/>
        </w:rPr>
        <w:t xml:space="preserve">de la </w:t>
      </w:r>
      <w:r w:rsidR="00E34DC9">
        <w:rPr>
          <w:lang w:val="fr-FR"/>
        </w:rPr>
        <w:t>cible 2</w:t>
      </w:r>
      <w:r w:rsidR="00DF683D" w:rsidRPr="00653BF4">
        <w:rPr>
          <w:lang w:val="fr-FR"/>
        </w:rPr>
        <w:t xml:space="preserve"> du Cadre dans leurs cibles nationales</w:t>
      </w:r>
    </w:p>
    <w:p w14:paraId="2BC1B8FF" w14:textId="77777777" w:rsidR="005F3D4D" w:rsidRPr="00653BF4" w:rsidRDefault="005F3D4D" w:rsidP="00B61077">
      <w:pPr>
        <w:pStyle w:val="Caption"/>
        <w:rPr>
          <w:lang w:val="fr-FR"/>
        </w:rPr>
      </w:pPr>
      <w:bookmarkStart w:id="88" w:name="_Ref230453582"/>
    </w:p>
    <w:bookmarkEnd w:id="88"/>
    <w:p w14:paraId="2D70F8A4" w14:textId="2BAB2325" w:rsidR="00105859" w:rsidRPr="00653BF4" w:rsidRDefault="00D5751A" w:rsidP="00B61077">
      <w:pPr>
        <w:pStyle w:val="Caption"/>
        <w:rPr>
          <w:i w:val="0"/>
          <w:iCs w:val="0"/>
          <w:sz w:val="20"/>
          <w:szCs w:val="20"/>
          <w:lang w:val="fr-FR"/>
        </w:rPr>
      </w:pPr>
      <w:r w:rsidRPr="00653BF4">
        <w:rPr>
          <w:i w:val="0"/>
          <w:sz w:val="20"/>
          <w:szCs w:val="20"/>
          <w:lang w:val="fr-FR"/>
        </w:rPr>
        <w:t>Tableau</w:t>
      </w:r>
      <w:r w:rsidR="00DF683D" w:rsidRPr="00653BF4">
        <w:rPr>
          <w:i w:val="0"/>
          <w:sz w:val="20"/>
          <w:szCs w:val="20"/>
          <w:lang w:val="fr-FR"/>
        </w:rPr>
        <w:t xml:space="preserve"> </w:t>
      </w:r>
      <w:r w:rsidR="00DC1793" w:rsidRPr="00653BF4">
        <w:rPr>
          <w:i w:val="0"/>
          <w:noProof/>
          <w:sz w:val="20"/>
          <w:szCs w:val="20"/>
          <w:lang w:val="fr-FR"/>
        </w:rPr>
        <w:t>6</w:t>
      </w:r>
    </w:p>
    <w:p w14:paraId="468E8F63" w14:textId="2CB767DD" w:rsidR="00700623" w:rsidRPr="00653BF4" w:rsidRDefault="00C24E23" w:rsidP="00B61077">
      <w:pPr>
        <w:pStyle w:val="Caption"/>
        <w:rPr>
          <w:i w:val="0"/>
          <w:sz w:val="20"/>
          <w:szCs w:val="20"/>
          <w:lang w:val="fr-FR"/>
        </w:rPr>
      </w:pPr>
      <w:r w:rsidRPr="00653BF4">
        <w:rPr>
          <w:i w:val="0"/>
          <w:sz w:val="20"/>
          <w:szCs w:val="20"/>
          <w:lang w:val="fr-FR"/>
        </w:rPr>
        <w:t xml:space="preserve">Éléments de la </w:t>
      </w:r>
      <w:r w:rsidR="00E34DC9">
        <w:rPr>
          <w:i w:val="0"/>
          <w:sz w:val="20"/>
          <w:szCs w:val="20"/>
          <w:lang w:val="fr-FR"/>
        </w:rPr>
        <w:t>cible 2</w:t>
      </w:r>
      <w:r w:rsidRPr="00653BF4">
        <w:rPr>
          <w:i w:val="0"/>
          <w:sz w:val="20"/>
          <w:szCs w:val="20"/>
          <w:lang w:val="fr-FR"/>
        </w:rPr>
        <w:t xml:space="preserve"> </w:t>
      </w:r>
      <w:r w:rsidR="00E20A0B" w:rsidRPr="00653BF4">
        <w:rPr>
          <w:i w:val="0"/>
          <w:sz w:val="20"/>
          <w:szCs w:val="20"/>
          <w:lang w:val="fr-FR"/>
        </w:rPr>
        <w:t xml:space="preserve">du Cadre et leur prise en compte dans les </w:t>
      </w:r>
      <w:r w:rsidRPr="00653BF4">
        <w:rPr>
          <w:i w:val="0"/>
          <w:sz w:val="20"/>
          <w:szCs w:val="20"/>
          <w:lang w:val="fr-FR"/>
        </w:rPr>
        <w:t>cibles nationales</w:t>
      </w:r>
      <w:r w:rsidR="00F435F6" w:rsidRPr="00653BF4">
        <w:rPr>
          <w:i w:val="0"/>
          <w:iCs w:val="0"/>
          <w:sz w:val="20"/>
          <w:szCs w:val="20"/>
          <w:vertAlign w:val="superscript"/>
          <w:lang w:val="fr-FR"/>
        </w:rPr>
        <w:t>a</w:t>
      </w:r>
      <w:r w:rsidR="008A2267" w:rsidRPr="00653BF4">
        <w:rPr>
          <w:i w:val="0"/>
          <w:iCs w:val="0"/>
          <w:sz w:val="20"/>
          <w:szCs w:val="20"/>
          <w:lang w:val="fr-FR"/>
        </w:rPr>
        <w:t xml:space="preserve"> </w:t>
      </w:r>
    </w:p>
    <w:tbl>
      <w:tblPr>
        <w:tblStyle w:val="TableGrid"/>
        <w:tblW w:w="9070" w:type="dxa"/>
        <w:tblLook w:val="04A0" w:firstRow="1" w:lastRow="0" w:firstColumn="1" w:lastColumn="0" w:noHBand="0" w:noVBand="1"/>
      </w:tblPr>
      <w:tblGrid>
        <w:gridCol w:w="8430"/>
        <w:gridCol w:w="640"/>
      </w:tblGrid>
      <w:tr w:rsidR="00FC5763" w:rsidRPr="00653BF4" w14:paraId="504874FC" w14:textId="77777777" w:rsidTr="00A14293">
        <w:tc>
          <w:tcPr>
            <w:tcW w:w="8430" w:type="dxa"/>
          </w:tcPr>
          <w:p w14:paraId="2CA7BDE2" w14:textId="28052E37" w:rsidR="00FC5763" w:rsidRPr="00653BF4" w:rsidRDefault="00D376BA" w:rsidP="0017451B">
            <w:pPr>
              <w:rPr>
                <w:sz w:val="20"/>
                <w:szCs w:val="20"/>
                <w:lang w:val="fr-FR"/>
              </w:rPr>
            </w:pPr>
            <w:r w:rsidRPr="00653BF4">
              <w:rPr>
                <w:sz w:val="20"/>
                <w:szCs w:val="20"/>
                <w:lang w:val="fr-FR"/>
              </w:rPr>
              <w:t>Veiller à ce que, d</w:t>
            </w:r>
            <w:r w:rsidR="002A58C8" w:rsidRPr="00653BF4">
              <w:rPr>
                <w:sz w:val="20"/>
                <w:szCs w:val="20"/>
                <w:lang w:val="fr-FR"/>
              </w:rPr>
              <w:t>’</w:t>
            </w:r>
            <w:r w:rsidRPr="00653BF4">
              <w:rPr>
                <w:sz w:val="20"/>
                <w:szCs w:val="20"/>
                <w:lang w:val="fr-FR"/>
              </w:rPr>
              <w:t>ici à 2030, au moins 30</w:t>
            </w:r>
            <w:r w:rsidR="002878D7">
              <w:rPr>
                <w:sz w:val="20"/>
                <w:szCs w:val="20"/>
                <w:lang w:val="fr-FR"/>
              </w:rPr>
              <w:t> %</w:t>
            </w:r>
            <w:r w:rsidRPr="00653BF4">
              <w:rPr>
                <w:sz w:val="20"/>
                <w:szCs w:val="20"/>
                <w:lang w:val="fr-FR"/>
              </w:rPr>
              <w:t xml:space="preserve"> des zones d</w:t>
            </w:r>
            <w:r w:rsidR="002A58C8" w:rsidRPr="00653BF4">
              <w:rPr>
                <w:sz w:val="20"/>
                <w:szCs w:val="20"/>
                <w:lang w:val="fr-FR"/>
              </w:rPr>
              <w:t>’</w:t>
            </w:r>
            <w:r w:rsidRPr="00653BF4">
              <w:rPr>
                <w:sz w:val="20"/>
                <w:szCs w:val="20"/>
                <w:lang w:val="fr-FR"/>
              </w:rPr>
              <w:t xml:space="preserve">écosystèmes terrestres dégradés </w:t>
            </w:r>
            <w:r w:rsidR="00B73BE3" w:rsidRPr="00B73BE3">
              <w:rPr>
                <w:sz w:val="20"/>
                <w:szCs w:val="20"/>
                <w:lang w:val="fr-FR"/>
              </w:rPr>
              <w:t>fassent l’objet de mesures de remise en état</w:t>
            </w:r>
          </w:p>
        </w:tc>
        <w:tc>
          <w:tcPr>
            <w:tcW w:w="640" w:type="dxa"/>
            <w:shd w:val="clear" w:color="auto" w:fill="00B050"/>
          </w:tcPr>
          <w:p w14:paraId="3A2C4B10" w14:textId="40B212AD" w:rsidR="00FC5763" w:rsidRPr="00653BF4" w:rsidRDefault="000B120D" w:rsidP="0017451B">
            <w:pPr>
              <w:rPr>
                <w:sz w:val="20"/>
                <w:szCs w:val="20"/>
                <w:lang w:val="fr-FR"/>
              </w:rPr>
            </w:pPr>
            <w:r w:rsidRPr="00653BF4">
              <w:rPr>
                <w:sz w:val="20"/>
                <w:szCs w:val="20"/>
                <w:lang w:val="fr-FR"/>
              </w:rPr>
              <w:t>85</w:t>
            </w:r>
          </w:p>
        </w:tc>
      </w:tr>
      <w:tr w:rsidR="00FC5763" w:rsidRPr="00653BF4" w14:paraId="18BAC2B5" w14:textId="77777777" w:rsidTr="00A14293">
        <w:tc>
          <w:tcPr>
            <w:tcW w:w="8430" w:type="dxa"/>
          </w:tcPr>
          <w:p w14:paraId="06BCCF07" w14:textId="218682A6" w:rsidR="00B95779" w:rsidRPr="00653BF4" w:rsidRDefault="00576DF8" w:rsidP="0017451B">
            <w:pPr>
              <w:rPr>
                <w:sz w:val="20"/>
                <w:szCs w:val="20"/>
                <w:lang w:val="fr-FR"/>
              </w:rPr>
            </w:pPr>
            <w:r w:rsidRPr="00653BF4">
              <w:rPr>
                <w:sz w:val="20"/>
                <w:szCs w:val="20"/>
                <w:lang w:val="fr-FR"/>
              </w:rPr>
              <w:t>Veiller à ce que, d</w:t>
            </w:r>
            <w:r w:rsidR="002A58C8" w:rsidRPr="00653BF4">
              <w:rPr>
                <w:sz w:val="20"/>
                <w:szCs w:val="20"/>
                <w:lang w:val="fr-FR"/>
              </w:rPr>
              <w:t>’</w:t>
            </w:r>
            <w:r w:rsidRPr="00653BF4">
              <w:rPr>
                <w:sz w:val="20"/>
                <w:szCs w:val="20"/>
                <w:lang w:val="fr-FR"/>
              </w:rPr>
              <w:t>ici à 2030, au moins 30</w:t>
            </w:r>
            <w:r w:rsidR="002878D7">
              <w:rPr>
                <w:sz w:val="20"/>
                <w:szCs w:val="20"/>
                <w:lang w:val="fr-FR"/>
              </w:rPr>
              <w:t> %</w:t>
            </w:r>
            <w:r w:rsidRPr="00653BF4">
              <w:rPr>
                <w:sz w:val="20"/>
                <w:szCs w:val="20"/>
                <w:lang w:val="fr-FR"/>
              </w:rPr>
              <w:t xml:space="preserve"> des écosystèmes des eaux intérieures </w:t>
            </w:r>
            <w:r w:rsidR="00B73BE3" w:rsidRPr="00B73BE3">
              <w:rPr>
                <w:sz w:val="20"/>
                <w:szCs w:val="20"/>
                <w:lang w:val="fr-FR"/>
              </w:rPr>
              <w:t>fassent l’objet de mesures de remise en état</w:t>
            </w:r>
          </w:p>
        </w:tc>
        <w:tc>
          <w:tcPr>
            <w:tcW w:w="640" w:type="dxa"/>
            <w:shd w:val="clear" w:color="auto" w:fill="92D050"/>
          </w:tcPr>
          <w:p w14:paraId="145EED1A" w14:textId="2F1186AD" w:rsidR="00FC5763" w:rsidRPr="00653BF4" w:rsidRDefault="00E42979" w:rsidP="0017451B">
            <w:pPr>
              <w:rPr>
                <w:sz w:val="20"/>
                <w:szCs w:val="20"/>
                <w:lang w:val="fr-FR"/>
              </w:rPr>
            </w:pPr>
            <w:r w:rsidRPr="00653BF4">
              <w:rPr>
                <w:sz w:val="20"/>
                <w:szCs w:val="20"/>
                <w:lang w:val="fr-FR"/>
              </w:rPr>
              <w:t>72</w:t>
            </w:r>
          </w:p>
        </w:tc>
      </w:tr>
      <w:tr w:rsidR="00FC5763" w:rsidRPr="00653BF4" w14:paraId="451D42A1" w14:textId="77777777" w:rsidTr="00A14293">
        <w:tc>
          <w:tcPr>
            <w:tcW w:w="8430" w:type="dxa"/>
          </w:tcPr>
          <w:p w14:paraId="4FCC5F70" w14:textId="2BFC8F07" w:rsidR="00FC5763" w:rsidRPr="00653BF4" w:rsidRDefault="00576DF8" w:rsidP="0017451B">
            <w:pPr>
              <w:rPr>
                <w:sz w:val="20"/>
                <w:szCs w:val="20"/>
                <w:lang w:val="fr-FR"/>
              </w:rPr>
            </w:pPr>
            <w:r w:rsidRPr="00653BF4">
              <w:rPr>
                <w:sz w:val="20"/>
                <w:szCs w:val="20"/>
                <w:lang w:val="fr-FR"/>
              </w:rPr>
              <w:t>Veiller à ce que, d</w:t>
            </w:r>
            <w:r w:rsidR="002A58C8" w:rsidRPr="00653BF4">
              <w:rPr>
                <w:sz w:val="20"/>
                <w:szCs w:val="20"/>
                <w:lang w:val="fr-FR"/>
              </w:rPr>
              <w:t>’</w:t>
            </w:r>
            <w:r w:rsidRPr="00653BF4">
              <w:rPr>
                <w:sz w:val="20"/>
                <w:szCs w:val="20"/>
                <w:lang w:val="fr-FR"/>
              </w:rPr>
              <w:t>ici à 2030, au moins 30</w:t>
            </w:r>
            <w:r w:rsidR="002878D7">
              <w:rPr>
                <w:sz w:val="20"/>
                <w:szCs w:val="20"/>
                <w:lang w:val="fr-FR"/>
              </w:rPr>
              <w:t> %</w:t>
            </w:r>
            <w:r w:rsidRPr="00653BF4">
              <w:rPr>
                <w:sz w:val="20"/>
                <w:szCs w:val="20"/>
                <w:lang w:val="fr-FR"/>
              </w:rPr>
              <w:t xml:space="preserve"> des écosystèmes marins et côtiers dégradés </w:t>
            </w:r>
            <w:r w:rsidR="00B73BE3" w:rsidRPr="00B73BE3">
              <w:rPr>
                <w:sz w:val="20"/>
                <w:szCs w:val="20"/>
                <w:lang w:val="fr-FR"/>
              </w:rPr>
              <w:t>fassent l’objet de mesures de remise en état</w:t>
            </w:r>
          </w:p>
        </w:tc>
        <w:tc>
          <w:tcPr>
            <w:tcW w:w="640" w:type="dxa"/>
            <w:shd w:val="clear" w:color="auto" w:fill="92D050"/>
          </w:tcPr>
          <w:p w14:paraId="6E7622AD" w14:textId="125A0209" w:rsidR="00FC5763" w:rsidRPr="00653BF4" w:rsidRDefault="00002F5A" w:rsidP="0017451B">
            <w:pPr>
              <w:rPr>
                <w:sz w:val="20"/>
                <w:szCs w:val="20"/>
                <w:lang w:val="fr-FR"/>
              </w:rPr>
            </w:pPr>
            <w:r w:rsidRPr="00653BF4">
              <w:rPr>
                <w:sz w:val="20"/>
                <w:szCs w:val="20"/>
                <w:lang w:val="fr-FR"/>
              </w:rPr>
              <w:t>69</w:t>
            </w:r>
          </w:p>
        </w:tc>
      </w:tr>
      <w:tr w:rsidR="00FC5763" w:rsidRPr="00653BF4" w14:paraId="78624AE3" w14:textId="77777777" w:rsidTr="00A14293">
        <w:tc>
          <w:tcPr>
            <w:tcW w:w="8430" w:type="dxa"/>
          </w:tcPr>
          <w:p w14:paraId="25A64E14" w14:textId="77777777" w:rsidR="00011345" w:rsidRPr="00653BF4" w:rsidRDefault="0036594A" w:rsidP="0017451B">
            <w:pPr>
              <w:rPr>
                <w:sz w:val="20"/>
                <w:szCs w:val="20"/>
                <w:lang w:val="fr-FR"/>
              </w:rPr>
            </w:pPr>
            <w:r w:rsidRPr="00653BF4">
              <w:rPr>
                <w:sz w:val="20"/>
                <w:szCs w:val="20"/>
                <w:lang w:val="fr-FR"/>
              </w:rPr>
              <w:t>La remise en état est efficace et favorise la biodiversité</w:t>
            </w:r>
          </w:p>
          <w:p w14:paraId="0E91F707" w14:textId="3A96F972" w:rsidR="0036594A" w:rsidRPr="00653BF4" w:rsidRDefault="0036594A" w:rsidP="0017451B">
            <w:pPr>
              <w:rPr>
                <w:sz w:val="20"/>
                <w:szCs w:val="20"/>
                <w:lang w:val="fr-FR"/>
              </w:rPr>
            </w:pPr>
          </w:p>
        </w:tc>
        <w:tc>
          <w:tcPr>
            <w:tcW w:w="640" w:type="dxa"/>
            <w:shd w:val="clear" w:color="auto" w:fill="FFC000"/>
          </w:tcPr>
          <w:p w14:paraId="10BE8789" w14:textId="2592BD23" w:rsidR="00FC5763" w:rsidRPr="00653BF4" w:rsidRDefault="009D3F83" w:rsidP="0017451B">
            <w:pPr>
              <w:rPr>
                <w:sz w:val="20"/>
                <w:szCs w:val="20"/>
                <w:lang w:val="fr-FR"/>
              </w:rPr>
            </w:pPr>
            <w:r w:rsidRPr="00653BF4">
              <w:rPr>
                <w:sz w:val="20"/>
                <w:szCs w:val="20"/>
                <w:lang w:val="fr-FR"/>
              </w:rPr>
              <w:t>34</w:t>
            </w:r>
          </w:p>
        </w:tc>
      </w:tr>
      <w:tr w:rsidR="00FC5763" w:rsidRPr="00653BF4" w14:paraId="1D623F7B" w14:textId="77777777" w:rsidTr="00A14293">
        <w:tc>
          <w:tcPr>
            <w:tcW w:w="8430" w:type="dxa"/>
          </w:tcPr>
          <w:p w14:paraId="6DDFE88A" w14:textId="44C84993" w:rsidR="00011345" w:rsidRPr="00653BF4" w:rsidRDefault="0036594A" w:rsidP="0036594A">
            <w:pPr>
              <w:rPr>
                <w:sz w:val="20"/>
                <w:szCs w:val="20"/>
                <w:lang w:val="fr-FR"/>
              </w:rPr>
            </w:pPr>
            <w:r w:rsidRPr="00653BF4">
              <w:rPr>
                <w:sz w:val="20"/>
                <w:szCs w:val="20"/>
                <w:lang w:val="fr-FR"/>
              </w:rPr>
              <w:t xml:space="preserve">La </w:t>
            </w:r>
            <w:r w:rsidR="00B73BE3">
              <w:rPr>
                <w:sz w:val="20"/>
                <w:szCs w:val="20"/>
                <w:lang w:val="fr-FR"/>
              </w:rPr>
              <w:t>remise en état</w:t>
            </w:r>
            <w:r w:rsidRPr="00653BF4">
              <w:rPr>
                <w:sz w:val="20"/>
                <w:szCs w:val="20"/>
                <w:lang w:val="fr-FR"/>
              </w:rPr>
              <w:t xml:space="preserve"> est efficace et contribue à améliorer les fonctions et les services écosystémiques</w:t>
            </w:r>
          </w:p>
        </w:tc>
        <w:tc>
          <w:tcPr>
            <w:tcW w:w="640" w:type="dxa"/>
            <w:shd w:val="clear" w:color="auto" w:fill="FFC000"/>
          </w:tcPr>
          <w:p w14:paraId="41E8DC8F" w14:textId="21F0C6A4" w:rsidR="00FC5763" w:rsidRPr="00653BF4" w:rsidRDefault="00936FC0" w:rsidP="0017451B">
            <w:pPr>
              <w:rPr>
                <w:sz w:val="20"/>
                <w:szCs w:val="20"/>
                <w:lang w:val="fr-FR"/>
              </w:rPr>
            </w:pPr>
            <w:r w:rsidRPr="00653BF4">
              <w:rPr>
                <w:sz w:val="20"/>
                <w:szCs w:val="20"/>
                <w:lang w:val="fr-FR"/>
              </w:rPr>
              <w:t>3</w:t>
            </w:r>
            <w:r w:rsidR="00053AE4" w:rsidRPr="00653BF4">
              <w:rPr>
                <w:sz w:val="20"/>
                <w:szCs w:val="20"/>
                <w:lang w:val="fr-FR"/>
              </w:rPr>
              <w:t>8</w:t>
            </w:r>
          </w:p>
        </w:tc>
      </w:tr>
      <w:tr w:rsidR="00FC5763" w:rsidRPr="00653BF4" w14:paraId="4B8CEE2D" w14:textId="77777777" w:rsidTr="00002F5A">
        <w:tc>
          <w:tcPr>
            <w:tcW w:w="8430" w:type="dxa"/>
          </w:tcPr>
          <w:p w14:paraId="5D4B5BC6" w14:textId="57F5781D" w:rsidR="00FC5763" w:rsidRPr="00653BF4" w:rsidRDefault="0036594A" w:rsidP="0017451B">
            <w:pPr>
              <w:rPr>
                <w:sz w:val="20"/>
                <w:szCs w:val="20"/>
                <w:lang w:val="fr-FR"/>
              </w:rPr>
            </w:pPr>
            <w:r w:rsidRPr="00653BF4">
              <w:rPr>
                <w:sz w:val="20"/>
                <w:szCs w:val="20"/>
                <w:lang w:val="fr-FR"/>
              </w:rPr>
              <w:t xml:space="preserve">La </w:t>
            </w:r>
            <w:r w:rsidR="00B926CE" w:rsidRPr="00B926CE">
              <w:rPr>
                <w:sz w:val="20"/>
                <w:szCs w:val="20"/>
                <w:lang w:val="fr-FR"/>
              </w:rPr>
              <w:t xml:space="preserve">remise en état </w:t>
            </w:r>
            <w:r w:rsidRPr="00653BF4">
              <w:rPr>
                <w:sz w:val="20"/>
                <w:szCs w:val="20"/>
                <w:lang w:val="fr-FR"/>
              </w:rPr>
              <w:t>est efficace et contribue à renforcer l</w:t>
            </w:r>
            <w:r w:rsidR="002A58C8" w:rsidRPr="00653BF4">
              <w:rPr>
                <w:sz w:val="20"/>
                <w:szCs w:val="20"/>
                <w:lang w:val="fr-FR"/>
              </w:rPr>
              <w:t>’</w:t>
            </w:r>
            <w:r w:rsidRPr="00653BF4">
              <w:rPr>
                <w:sz w:val="20"/>
                <w:szCs w:val="20"/>
                <w:lang w:val="fr-FR"/>
              </w:rPr>
              <w:t>intégrité écologique et la connectivité</w:t>
            </w:r>
          </w:p>
          <w:p w14:paraId="5D2A09E1" w14:textId="3A2C12B0" w:rsidR="00011345" w:rsidRPr="00653BF4" w:rsidRDefault="00011345" w:rsidP="0017451B">
            <w:pPr>
              <w:rPr>
                <w:sz w:val="20"/>
                <w:szCs w:val="20"/>
                <w:lang w:val="fr-FR"/>
              </w:rPr>
            </w:pPr>
          </w:p>
        </w:tc>
        <w:tc>
          <w:tcPr>
            <w:tcW w:w="640" w:type="dxa"/>
            <w:shd w:val="clear" w:color="auto" w:fill="FFC000"/>
          </w:tcPr>
          <w:p w14:paraId="30C9DF6C" w14:textId="09600E14" w:rsidR="00FC5763" w:rsidRPr="00653BF4" w:rsidRDefault="00002F5A" w:rsidP="002D360F">
            <w:pPr>
              <w:keepNext/>
              <w:rPr>
                <w:sz w:val="20"/>
                <w:szCs w:val="20"/>
                <w:lang w:val="fr-FR"/>
              </w:rPr>
            </w:pPr>
            <w:r w:rsidRPr="00653BF4">
              <w:rPr>
                <w:sz w:val="20"/>
                <w:szCs w:val="20"/>
                <w:lang w:val="fr-FR"/>
              </w:rPr>
              <w:t>37</w:t>
            </w:r>
          </w:p>
        </w:tc>
      </w:tr>
      <w:tr w:rsidR="00DF0951" w:rsidRPr="00543148" w14:paraId="6E857BA0" w14:textId="77777777">
        <w:tc>
          <w:tcPr>
            <w:tcW w:w="9070" w:type="dxa"/>
            <w:gridSpan w:val="2"/>
          </w:tcPr>
          <w:p w14:paraId="1FC83994" w14:textId="2A20B058" w:rsidR="00DF0951" w:rsidRPr="00653BF4" w:rsidRDefault="00B776F7" w:rsidP="00D96D46">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tenu compte, au moins dans une certaine mesure, de 56</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78BC6542" w14:textId="77777777" w:rsidR="00DF0951" w:rsidRPr="00653BF4" w:rsidRDefault="00DF0951" w:rsidP="002D360F">
            <w:pPr>
              <w:keepNext/>
              <w:rPr>
                <w:sz w:val="20"/>
                <w:szCs w:val="20"/>
                <w:lang w:val="fr-FR"/>
              </w:rPr>
            </w:pPr>
          </w:p>
        </w:tc>
      </w:tr>
    </w:tbl>
    <w:p w14:paraId="260D463A" w14:textId="77777777" w:rsidR="00681E56" w:rsidRPr="00653BF4" w:rsidRDefault="00681E56" w:rsidP="00F556EF">
      <w:pPr>
        <w:rPr>
          <w:lang w:val="fr-FR"/>
        </w:rPr>
      </w:pPr>
      <w:bookmarkStart w:id="89" w:name="_Ref230159808"/>
      <w:bookmarkStart w:id="90" w:name="_Ref230159796"/>
    </w:p>
    <w:p w14:paraId="680ECD6F" w14:textId="7C152452" w:rsidR="005046D5" w:rsidRPr="00653BF4" w:rsidRDefault="006A631C" w:rsidP="00122363">
      <w:pPr>
        <w:pStyle w:val="paragraph"/>
        <w:spacing w:before="0" w:beforeAutospacing="0" w:after="0" w:afterAutospacing="0"/>
        <w:textAlignment w:val="baseline"/>
        <w:rPr>
          <w:rFonts w:ascii="Segoe UI" w:hAnsi="Segoe UI" w:cs="Segoe UI"/>
          <w:sz w:val="16"/>
          <w:szCs w:val="16"/>
          <w:lang w:val="fr-FR"/>
        </w:rPr>
      </w:pPr>
      <w:r w:rsidRPr="00653BF4">
        <w:rPr>
          <w:rStyle w:val="normaltextrun"/>
          <w:rFonts w:ascii="Aptos" w:hAnsi="Aptos" w:cs="Segoe UI"/>
          <w:i/>
          <w:iCs/>
          <w:sz w:val="16"/>
          <w:szCs w:val="16"/>
          <w:lang w:val="fr-FR"/>
        </w:rPr>
        <w:t>Note</w:t>
      </w:r>
      <w:r w:rsidR="00E34DC9">
        <w:rPr>
          <w:rStyle w:val="normaltextrun"/>
          <w:rFonts w:ascii="Aptos" w:hAnsi="Aptos" w:cs="Segoe UI"/>
          <w:i/>
          <w:iCs/>
          <w:sz w:val="16"/>
          <w:szCs w:val="16"/>
          <w:lang w:val="fr-FR"/>
        </w:rPr>
        <w:t> :</w:t>
      </w:r>
      <w:r w:rsidR="00122363" w:rsidRPr="00653BF4">
        <w:rPr>
          <w:rStyle w:val="normaltextrun"/>
          <w:rFonts w:ascii="Aptos" w:hAnsi="Aptos" w:cs="Segoe UI"/>
          <w:sz w:val="16"/>
          <w:szCs w:val="16"/>
          <w:lang w:val="fr-FR"/>
        </w:rPr>
        <w:t> </w:t>
      </w:r>
      <w:r w:rsidR="00520A7E" w:rsidRPr="00653BF4">
        <w:rPr>
          <w:rStyle w:val="normaltextrun"/>
          <w:rFonts w:ascii="Aptos" w:hAnsi="Aptos" w:cs="Segoe UI"/>
          <w:sz w:val="16"/>
          <w:szCs w:val="16"/>
          <w:lang w:val="fr-FR"/>
        </w:rPr>
        <w:t>La colonne de droite du tableau indique le pourcentage de Parties dont les cibles nationales prennent en compte l’élément au moins partiellement</w:t>
      </w:r>
      <w:r w:rsidR="00122363" w:rsidRPr="00653BF4">
        <w:rPr>
          <w:rStyle w:val="normaltextrun"/>
          <w:rFonts w:ascii="Aptos" w:hAnsi="Aptos" w:cs="Segoe UI"/>
          <w:sz w:val="16"/>
          <w:szCs w:val="16"/>
          <w:lang w:val="fr-FR"/>
        </w:rPr>
        <w:t>.</w:t>
      </w:r>
    </w:p>
    <w:p w14:paraId="5864A646" w14:textId="67BA0FD0" w:rsidR="00122363" w:rsidRPr="00653BF4" w:rsidRDefault="00122363" w:rsidP="00E16A89">
      <w:pPr>
        <w:pStyle w:val="paragraph"/>
        <w:spacing w:after="0"/>
        <w:textAlignment w:val="baseline"/>
        <w:rPr>
          <w:rFonts w:ascii="Segoe UI" w:hAnsi="Segoe UI" w:cs="Segoe UI"/>
          <w:sz w:val="16"/>
          <w:szCs w:val="16"/>
          <w:lang w:val="fr-FR"/>
        </w:rPr>
      </w:pPr>
      <w:r w:rsidRPr="00653BF4">
        <w:rPr>
          <w:rStyle w:val="normaltextrun"/>
          <w:rFonts w:ascii="Aptos" w:hAnsi="Aptos" w:cs="Segoe UI"/>
          <w:sz w:val="16"/>
          <w:szCs w:val="16"/>
          <w:vertAlign w:val="superscript"/>
          <w:lang w:val="fr-FR"/>
        </w:rPr>
        <w:t>a</w:t>
      </w:r>
      <w:r w:rsidRPr="00653BF4">
        <w:rPr>
          <w:rStyle w:val="normaltextrun"/>
          <w:rFonts w:ascii="Aptos" w:hAnsi="Aptos" w:cs="Segoe UI"/>
          <w:sz w:val="16"/>
          <w:szCs w:val="16"/>
          <w:lang w:val="fr-FR"/>
        </w:rPr>
        <w:t> </w:t>
      </w:r>
      <w:r w:rsidR="000A3F21" w:rsidRPr="00653BF4">
        <w:rPr>
          <w:rStyle w:val="normaltextrun"/>
          <w:rFonts w:ascii="Aptos" w:hAnsi="Aptos" w:cs="Segoe UI"/>
          <w:sz w:val="16"/>
          <w:szCs w:val="16"/>
          <w:lang w:val="fr-FR"/>
        </w:rPr>
        <w:t>Les éléments de chaque cible ont été définis par le Groupe spécial d</w:t>
      </w:r>
      <w:r w:rsidR="00D77549">
        <w:rPr>
          <w:rStyle w:val="normaltextrun"/>
          <w:rFonts w:ascii="Aptos" w:hAnsi="Aptos" w:cs="Segoe UI"/>
          <w:sz w:val="16"/>
          <w:szCs w:val="16"/>
          <w:lang w:val="fr-FR"/>
        </w:rPr>
        <w:t>’</w:t>
      </w:r>
      <w:r w:rsidR="000A3F21" w:rsidRPr="00653BF4">
        <w:rPr>
          <w:rStyle w:val="normaltextrun"/>
          <w:rFonts w:ascii="Aptos" w:hAnsi="Aptos" w:cs="Segoe UI"/>
          <w:sz w:val="16"/>
          <w:szCs w:val="16"/>
          <w:lang w:val="fr-FR"/>
        </w:rPr>
        <w:t xml:space="preserve">experts techniques sur les indicateurs du Cadre mondial de la biodiversité de Kunming-Montréal (voir annexe I du document </w:t>
      </w:r>
      <w:hyperlink r:id="rId56" w:history="1">
        <w:r w:rsidR="002D45B0" w:rsidRPr="00653BF4">
          <w:rPr>
            <w:rStyle w:val="Hyperlink"/>
            <w:rFonts w:ascii="Aptos" w:hAnsi="Aptos" w:cs="Segoe UI"/>
            <w:sz w:val="16"/>
            <w:szCs w:val="16"/>
            <w:lang w:val="fr-FR"/>
          </w:rPr>
          <w:t>CBD/COP/16/INF/4</w:t>
        </w:r>
      </w:hyperlink>
      <w:r w:rsidR="00E34DC9">
        <w:rPr>
          <w:sz w:val="16"/>
          <w:szCs w:val="16"/>
          <w:lang w:val="fr-FR"/>
        </w:rPr>
        <w:t> ;</w:t>
      </w:r>
      <w:r w:rsidR="002D45B0" w:rsidRPr="00653BF4">
        <w:rPr>
          <w:rFonts w:ascii="Aptos" w:hAnsi="Aptos" w:cs="Segoe UI"/>
          <w:sz w:val="16"/>
          <w:szCs w:val="16"/>
          <w:lang w:val="fr-FR"/>
        </w:rPr>
        <w:t xml:space="preserve"> </w:t>
      </w:r>
      <w:r w:rsidR="00E16A89" w:rsidRPr="00653BF4">
        <w:rPr>
          <w:rFonts w:ascii="Aptos" w:hAnsi="Aptos" w:cs="Segoe UI"/>
          <w:sz w:val="16"/>
          <w:szCs w:val="16"/>
          <w:lang w:val="fr-FR"/>
        </w:rPr>
        <w:t>et</w:t>
      </w:r>
      <w:r w:rsidR="002D45B0" w:rsidRPr="00653BF4">
        <w:rPr>
          <w:rFonts w:ascii="Aptos" w:hAnsi="Aptos" w:cs="Segoe UI"/>
          <w:sz w:val="16"/>
          <w:szCs w:val="16"/>
          <w:lang w:val="fr-FR"/>
        </w:rPr>
        <w:t xml:space="preserve"> Affinito </w:t>
      </w:r>
      <w:r w:rsidR="00E16A89" w:rsidRPr="00653BF4">
        <w:rPr>
          <w:rFonts w:ascii="Aptos" w:hAnsi="Aptos" w:cs="Segoe UI"/>
          <w:i/>
          <w:iCs/>
          <w:sz w:val="16"/>
          <w:szCs w:val="16"/>
          <w:lang w:val="fr-FR"/>
        </w:rPr>
        <w:t>et al.</w:t>
      </w:r>
      <w:r w:rsidR="002D45B0" w:rsidRPr="00653BF4">
        <w:rPr>
          <w:rFonts w:ascii="Aptos" w:hAnsi="Aptos" w:cs="Segoe UI"/>
          <w:sz w:val="16"/>
          <w:szCs w:val="16"/>
          <w:lang w:val="fr-FR"/>
        </w:rPr>
        <w:t xml:space="preserve">, 2025). </w:t>
      </w:r>
      <w:r w:rsidR="009930AD" w:rsidRPr="00653BF4">
        <w:rPr>
          <w:rStyle w:val="normaltextrun"/>
          <w:rFonts w:ascii="Aptos" w:hAnsi="Aptos" w:cs="Segoe UI"/>
          <w:sz w:val="16"/>
          <w:szCs w:val="16"/>
          <w:lang w:val="fr-FR"/>
        </w:rPr>
        <w:t>La méthode détaillée employée pour l’analyse des cibles nationales est présentée dans le document </w:t>
      </w:r>
      <w:hyperlink r:id="rId57" w:history="1">
        <w:r w:rsidRPr="00653BF4">
          <w:rPr>
            <w:rStyle w:val="Hyperlink"/>
            <w:rFonts w:ascii="Aptos" w:hAnsi="Aptos" w:cs="Segoe UI"/>
            <w:sz w:val="16"/>
            <w:szCs w:val="16"/>
            <w:lang w:val="fr-FR"/>
          </w:rPr>
          <w:t>CBD/SBI/7/INF/22</w:t>
        </w:r>
      </w:hyperlink>
      <w:r w:rsidRPr="00653BF4">
        <w:rPr>
          <w:rStyle w:val="normaltextrun"/>
          <w:rFonts w:ascii="Aptos" w:hAnsi="Aptos" w:cs="Segoe UI"/>
          <w:sz w:val="16"/>
          <w:szCs w:val="16"/>
          <w:lang w:val="fr-FR"/>
        </w:rPr>
        <w:t>. </w:t>
      </w:r>
    </w:p>
    <w:p w14:paraId="17EDD886" w14:textId="77777777" w:rsidR="00122363" w:rsidRPr="00653BF4" w:rsidRDefault="00122363" w:rsidP="00F556EF">
      <w:pPr>
        <w:rPr>
          <w:sz w:val="16"/>
          <w:szCs w:val="16"/>
          <w:lang w:val="fr-FR"/>
        </w:rPr>
      </w:pPr>
    </w:p>
    <w:p w14:paraId="113FADED" w14:textId="703A0811" w:rsidR="00F556EF" w:rsidRPr="00653BF4" w:rsidRDefault="00FC5DB8" w:rsidP="00F556EF">
      <w:pPr>
        <w:rPr>
          <w:lang w:val="fr-FR"/>
        </w:rPr>
      </w:pPr>
      <w:r w:rsidRPr="00653BF4">
        <w:rPr>
          <w:lang w:val="fr-FR"/>
        </w:rPr>
        <w:t>Une vaste majorité des Parties (85</w:t>
      </w:r>
      <w:r w:rsidR="002878D7">
        <w:rPr>
          <w:lang w:val="fr-FR"/>
        </w:rPr>
        <w:t> %</w:t>
      </w:r>
      <w:r w:rsidRPr="00653BF4">
        <w:rPr>
          <w:lang w:val="fr-FR"/>
        </w:rPr>
        <w:t>) ont fixé des cibles nationales portant, dans une certaine mesure, sur la remise en état des écosystèmes terrestres dégradés, tandis qu</w:t>
      </w:r>
      <w:r w:rsidR="002A58C8" w:rsidRPr="00653BF4">
        <w:rPr>
          <w:lang w:val="fr-FR"/>
        </w:rPr>
        <w:t>’</w:t>
      </w:r>
      <w:r w:rsidRPr="00653BF4">
        <w:rPr>
          <w:lang w:val="fr-FR"/>
        </w:rPr>
        <w:t>une proportion plus faible (72</w:t>
      </w:r>
      <w:r w:rsidR="002878D7">
        <w:rPr>
          <w:lang w:val="fr-FR"/>
        </w:rPr>
        <w:t> %</w:t>
      </w:r>
      <w:r w:rsidRPr="00653BF4">
        <w:rPr>
          <w:lang w:val="fr-FR"/>
        </w:rPr>
        <w:t>) a défini des cibles nationales relatives à la remise en état des eaux intérieures. Parmi les pays non enclavés, 69</w:t>
      </w:r>
      <w:r w:rsidR="002878D7">
        <w:rPr>
          <w:lang w:val="fr-FR"/>
        </w:rPr>
        <w:t> %</w:t>
      </w:r>
      <w:r w:rsidRPr="00653BF4">
        <w:rPr>
          <w:lang w:val="fr-FR"/>
        </w:rPr>
        <w:t xml:space="preserve"> des Parties ont fixé des cibles nationales portant sur la remise en état des écosystèmes marins et côtiers dégradés. D</w:t>
      </w:r>
      <w:r w:rsidR="002A58C8" w:rsidRPr="00653BF4">
        <w:rPr>
          <w:lang w:val="fr-FR"/>
        </w:rPr>
        <w:t>’</w:t>
      </w:r>
      <w:r w:rsidRPr="00653BF4">
        <w:rPr>
          <w:lang w:val="fr-FR"/>
        </w:rPr>
        <w:t xml:space="preserve">autres éléments de la </w:t>
      </w:r>
      <w:r w:rsidR="00E34DC9">
        <w:rPr>
          <w:lang w:val="fr-FR"/>
        </w:rPr>
        <w:t>cible 2</w:t>
      </w:r>
      <w:r w:rsidRPr="00653BF4">
        <w:rPr>
          <w:lang w:val="fr-FR"/>
        </w:rPr>
        <w:t xml:space="preserve"> sont explicitement pris en compte par un nombre relativement restreint de Parties, moins de 40</w:t>
      </w:r>
      <w:r w:rsidR="002878D7">
        <w:rPr>
          <w:lang w:val="fr-FR"/>
        </w:rPr>
        <w:t> %</w:t>
      </w:r>
      <w:r w:rsidRPr="00653BF4">
        <w:rPr>
          <w:lang w:val="fr-FR"/>
        </w:rPr>
        <w:t xml:space="preserve"> d</w:t>
      </w:r>
      <w:r w:rsidR="002A58C8" w:rsidRPr="00653BF4">
        <w:rPr>
          <w:lang w:val="fr-FR"/>
        </w:rPr>
        <w:t>’</w:t>
      </w:r>
      <w:r w:rsidRPr="00653BF4">
        <w:rPr>
          <w:lang w:val="fr-FR"/>
        </w:rPr>
        <w:t>entre elles ayant défini des cibles nationales qui établissent spécifiquement un lien entre la restauration et l</w:t>
      </w:r>
      <w:r w:rsidR="002A58C8" w:rsidRPr="00653BF4">
        <w:rPr>
          <w:lang w:val="fr-FR"/>
        </w:rPr>
        <w:t>’</w:t>
      </w:r>
      <w:r w:rsidRPr="00653BF4">
        <w:rPr>
          <w:lang w:val="fr-FR"/>
        </w:rPr>
        <w:t>amélioration de la biodiversité et des fonctions ou services écosystémiques, ainsi que de l</w:t>
      </w:r>
      <w:r w:rsidR="002A58C8" w:rsidRPr="00653BF4">
        <w:rPr>
          <w:lang w:val="fr-FR"/>
        </w:rPr>
        <w:t>’</w:t>
      </w:r>
      <w:r w:rsidRPr="00653BF4">
        <w:rPr>
          <w:lang w:val="fr-FR"/>
        </w:rPr>
        <w:t>intégrité écologique et de la connectivité (voir tableau 6).</w:t>
      </w:r>
    </w:p>
    <w:bookmarkEnd w:id="89"/>
    <w:bookmarkEnd w:id="90"/>
    <w:p w14:paraId="010A7BBB" w14:textId="3A6625AF" w:rsidR="00AB2601" w:rsidRPr="00653BF4" w:rsidRDefault="009649B9" w:rsidP="00AB2601">
      <w:pPr>
        <w:rPr>
          <w:lang w:val="fr-FR" w:eastAsia="ja-JP"/>
        </w:rPr>
      </w:pPr>
      <w:r w:rsidRPr="00653BF4">
        <w:rPr>
          <w:lang w:val="fr-FR" w:eastAsia="ja-JP"/>
        </w:rPr>
        <w:t xml:space="preserve">Les composantes quantitatives de la </w:t>
      </w:r>
      <w:r w:rsidR="00E34DC9">
        <w:rPr>
          <w:lang w:val="fr-FR" w:eastAsia="ja-JP"/>
        </w:rPr>
        <w:t>cible 2</w:t>
      </w:r>
      <w:r w:rsidRPr="00653BF4">
        <w:rPr>
          <w:lang w:val="fr-FR" w:eastAsia="ja-JP"/>
        </w:rPr>
        <w:t xml:space="preserve"> (veiller à ce qu</w:t>
      </w:r>
      <w:r w:rsidR="002A58C8" w:rsidRPr="00653BF4">
        <w:rPr>
          <w:lang w:val="fr-FR" w:eastAsia="ja-JP"/>
        </w:rPr>
        <w:t>’</w:t>
      </w:r>
      <w:r w:rsidRPr="00653BF4">
        <w:rPr>
          <w:lang w:val="fr-FR" w:eastAsia="ja-JP"/>
        </w:rPr>
        <w:t>au moins 30</w:t>
      </w:r>
      <w:r w:rsidR="002878D7">
        <w:rPr>
          <w:lang w:val="fr-FR" w:eastAsia="ja-JP"/>
        </w:rPr>
        <w:t> %</w:t>
      </w:r>
      <w:r w:rsidRPr="00653BF4">
        <w:rPr>
          <w:lang w:val="fr-FR" w:eastAsia="ja-JP"/>
        </w:rPr>
        <w:t xml:space="preserve"> des écosystèmes dégradés fassent l</w:t>
      </w:r>
      <w:r w:rsidR="002A58C8" w:rsidRPr="00653BF4">
        <w:rPr>
          <w:lang w:val="fr-FR" w:eastAsia="ja-JP"/>
        </w:rPr>
        <w:t>’</w:t>
      </w:r>
      <w:r w:rsidRPr="00653BF4">
        <w:rPr>
          <w:lang w:val="fr-FR" w:eastAsia="ja-JP"/>
        </w:rPr>
        <w:t>objet d</w:t>
      </w:r>
      <w:r w:rsidR="002A58C8" w:rsidRPr="00653BF4">
        <w:rPr>
          <w:lang w:val="fr-FR" w:eastAsia="ja-JP"/>
        </w:rPr>
        <w:t>’</w:t>
      </w:r>
      <w:r w:rsidRPr="00653BF4">
        <w:rPr>
          <w:lang w:val="fr-FR" w:eastAsia="ja-JP"/>
        </w:rPr>
        <w:t>une restauration effective d</w:t>
      </w:r>
      <w:r w:rsidR="002A58C8" w:rsidRPr="00653BF4">
        <w:rPr>
          <w:lang w:val="fr-FR" w:eastAsia="ja-JP"/>
        </w:rPr>
        <w:t>’</w:t>
      </w:r>
      <w:r w:rsidRPr="00653BF4">
        <w:rPr>
          <w:lang w:val="fr-FR" w:eastAsia="ja-JP"/>
        </w:rPr>
        <w:t xml:space="preserve">ici à 2030) ont une portée mondiale, et le Cadre ne suggère pas que chaque Partie fixe des cibles nationales </w:t>
      </w:r>
      <w:r w:rsidRPr="00653BF4">
        <w:rPr>
          <w:lang w:val="fr-FR" w:eastAsia="ja-JP"/>
        </w:rPr>
        <w:lastRenderedPageBreak/>
        <w:t xml:space="preserve">au même niveau. Il ne suggère pas non plus que la </w:t>
      </w:r>
      <w:r w:rsidR="00E34DC9">
        <w:rPr>
          <w:lang w:val="fr-FR" w:eastAsia="ja-JP"/>
        </w:rPr>
        <w:t>cible 2</w:t>
      </w:r>
      <w:r w:rsidRPr="00653BF4">
        <w:rPr>
          <w:lang w:val="fr-FR" w:eastAsia="ja-JP"/>
        </w:rPr>
        <w:t xml:space="preserve"> doive être ventilée ou répartie de manière égale entre les écosystèmes. Environ deux tiers des Parties ont toutefois fixé des cibles nationales comportant des éléments quantitatifs relatifs à la restauration des écosystèmes terrestres dégradés, et une proportion similaire de pays non enclavés a quantifié son ambition en matière de restauration des zones marines et côtières dégradées. Un peu moins de Parties (58</w:t>
      </w:r>
      <w:r w:rsidR="002878D7">
        <w:rPr>
          <w:lang w:val="fr-FR" w:eastAsia="ja-JP"/>
        </w:rPr>
        <w:t> %</w:t>
      </w:r>
      <w:r w:rsidRPr="00653BF4">
        <w:rPr>
          <w:lang w:val="fr-FR" w:eastAsia="ja-JP"/>
        </w:rPr>
        <w:t>) ont établi des éléments quantitatifs dans leurs cibles nationales concernant la remise en état des écosystèmes d</w:t>
      </w:r>
      <w:r w:rsidR="002A58C8" w:rsidRPr="00653BF4">
        <w:rPr>
          <w:lang w:val="fr-FR" w:eastAsia="ja-JP"/>
        </w:rPr>
        <w:t>’</w:t>
      </w:r>
      <w:r w:rsidRPr="00653BF4">
        <w:rPr>
          <w:lang w:val="fr-FR" w:eastAsia="ja-JP"/>
        </w:rPr>
        <w:t>eaux intérieures. Au total, moins d</w:t>
      </w:r>
      <w:r w:rsidR="002A58C8" w:rsidRPr="00653BF4">
        <w:rPr>
          <w:lang w:val="fr-FR" w:eastAsia="ja-JP"/>
        </w:rPr>
        <w:t>’</w:t>
      </w:r>
      <w:r w:rsidRPr="00653BF4">
        <w:rPr>
          <w:lang w:val="fr-FR" w:eastAsia="ja-JP"/>
        </w:rPr>
        <w:t>un cinquième des Parties ont fixé des cibles nationales visant à restaurer au moins 30</w:t>
      </w:r>
      <w:r w:rsidR="002878D7">
        <w:rPr>
          <w:lang w:val="fr-FR" w:eastAsia="ja-JP"/>
        </w:rPr>
        <w:t> %</w:t>
      </w:r>
      <w:r w:rsidRPr="00653BF4">
        <w:rPr>
          <w:lang w:val="fr-FR" w:eastAsia="ja-JP"/>
        </w:rPr>
        <w:t xml:space="preserve"> des écosystèmes dégradés dans l</w:t>
      </w:r>
      <w:r w:rsidR="002A58C8" w:rsidRPr="00653BF4">
        <w:rPr>
          <w:lang w:val="fr-FR" w:eastAsia="ja-JP"/>
        </w:rPr>
        <w:t>’</w:t>
      </w:r>
      <w:r w:rsidRPr="00653BF4">
        <w:rPr>
          <w:lang w:val="fr-FR" w:eastAsia="ja-JP"/>
        </w:rPr>
        <w:t>un quelconque des trois domaines (terrestres, eaux intérieures ou zones marines et côtières).</w:t>
      </w:r>
    </w:p>
    <w:p w14:paraId="6C5220BD" w14:textId="77777777" w:rsidR="0097044C" w:rsidRPr="00653BF4" w:rsidRDefault="0097044C" w:rsidP="003975C1">
      <w:pPr>
        <w:pStyle w:val="Heading5"/>
        <w:rPr>
          <w:lang w:val="fr-FR"/>
        </w:rPr>
      </w:pPr>
    </w:p>
    <w:p w14:paraId="6E87355C" w14:textId="110493DD" w:rsidR="003975C1" w:rsidRPr="00653BF4" w:rsidRDefault="00DD19D2" w:rsidP="003975C1">
      <w:pPr>
        <w:pStyle w:val="Heading5"/>
        <w:rPr>
          <w:lang w:val="fr-FR"/>
        </w:rPr>
      </w:pPr>
      <w:r w:rsidRPr="00653BF4">
        <w:rPr>
          <w:lang w:val="fr-FR"/>
        </w:rPr>
        <w:t>Indicateurs de progrès</w:t>
      </w:r>
    </w:p>
    <w:p w14:paraId="248CD2AE" w14:textId="77777777" w:rsidR="0097044C" w:rsidRPr="00653BF4" w:rsidRDefault="0097044C" w:rsidP="0097044C">
      <w:pPr>
        <w:rPr>
          <w:lang w:val="fr-FR"/>
        </w:rPr>
      </w:pPr>
    </w:p>
    <w:p w14:paraId="5788147A" w14:textId="013EDC73" w:rsidR="00AB2601" w:rsidRPr="00653BF4" w:rsidRDefault="00D5751A" w:rsidP="00A91080">
      <w:pPr>
        <w:pStyle w:val="Caption"/>
        <w:keepNext/>
        <w:rPr>
          <w:i w:val="0"/>
          <w:sz w:val="20"/>
          <w:szCs w:val="20"/>
          <w:lang w:val="fr-FR"/>
        </w:rPr>
      </w:pPr>
      <w:bookmarkStart w:id="91" w:name="_Ref230456710"/>
      <w:r w:rsidRPr="00653BF4">
        <w:rPr>
          <w:i w:val="0"/>
          <w:sz w:val="20"/>
          <w:szCs w:val="20"/>
          <w:lang w:val="fr-FR"/>
        </w:rPr>
        <w:t>Tableau</w:t>
      </w:r>
      <w:r w:rsidR="00B4694D">
        <w:rPr>
          <w:i w:val="0"/>
          <w:sz w:val="20"/>
          <w:szCs w:val="20"/>
          <w:lang w:val="fr-FR"/>
        </w:rPr>
        <w:t> </w:t>
      </w:r>
      <w:r w:rsidR="00DC1793" w:rsidRPr="00653BF4">
        <w:rPr>
          <w:i w:val="0"/>
          <w:noProof/>
          <w:sz w:val="20"/>
          <w:szCs w:val="20"/>
          <w:lang w:val="fr-FR"/>
        </w:rPr>
        <w:t>7</w:t>
      </w:r>
      <w:bookmarkEnd w:id="91"/>
    </w:p>
    <w:p w14:paraId="617AF245" w14:textId="5E13FE53" w:rsidR="00A91080" w:rsidRPr="00653BF4" w:rsidRDefault="00A91080" w:rsidP="00A91080">
      <w:pPr>
        <w:pStyle w:val="Caption"/>
        <w:keepNext/>
        <w:rPr>
          <w:sz w:val="20"/>
          <w:szCs w:val="20"/>
          <w:lang w:val="fr-FR"/>
        </w:rPr>
      </w:pPr>
      <w:r w:rsidRPr="00653BF4">
        <w:rPr>
          <w:b/>
          <w:i w:val="0"/>
          <w:sz w:val="20"/>
          <w:szCs w:val="20"/>
          <w:lang w:val="fr-FR"/>
        </w:rPr>
        <w:t xml:space="preserve"> </w:t>
      </w:r>
      <w:r w:rsidR="00EA1128" w:rsidRPr="00653BF4">
        <w:rPr>
          <w:b/>
          <w:i w:val="0"/>
          <w:sz w:val="20"/>
          <w:szCs w:val="20"/>
          <w:lang w:val="fr-FR"/>
        </w:rPr>
        <w:t>Tableau d’évaluation</w:t>
      </w:r>
      <w:r w:rsidR="001D0DA3" w:rsidRPr="00653BF4">
        <w:rPr>
          <w:b/>
          <w:i w:val="0"/>
          <w:sz w:val="20"/>
          <w:szCs w:val="20"/>
          <w:lang w:val="fr-FR"/>
        </w:rPr>
        <w:t xml:space="preserve"> des indicateurs pour la </w:t>
      </w:r>
      <w:r w:rsidR="00E34DC9">
        <w:rPr>
          <w:b/>
          <w:i w:val="0"/>
          <w:sz w:val="20"/>
          <w:szCs w:val="20"/>
          <w:lang w:val="fr-FR"/>
        </w:rPr>
        <w:t>cible 2</w:t>
      </w:r>
      <w:r w:rsidR="001D0DA3" w:rsidRPr="00653BF4">
        <w:rPr>
          <w:b/>
          <w:i w:val="0"/>
          <w:sz w:val="20"/>
          <w:szCs w:val="20"/>
          <w:lang w:val="fr-FR"/>
        </w:rPr>
        <w:t xml:space="preserve"> du Cadre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7"/>
        <w:gridCol w:w="2528"/>
        <w:gridCol w:w="709"/>
        <w:gridCol w:w="2835"/>
        <w:gridCol w:w="567"/>
      </w:tblGrid>
      <w:tr w:rsidR="00241203" w:rsidRPr="00653BF4" w14:paraId="3AA71A41" w14:textId="77777777">
        <w:trPr>
          <w:trHeight w:val="489"/>
        </w:trPr>
        <w:tc>
          <w:tcPr>
            <w:tcW w:w="3137" w:type="dxa"/>
            <w:shd w:val="clear" w:color="000000" w:fill="FFFFFF"/>
            <w:vAlign w:val="center"/>
          </w:tcPr>
          <w:p w14:paraId="5753D76A" w14:textId="77777777" w:rsidR="00241203" w:rsidRPr="00653BF4" w:rsidRDefault="00241203">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3237" w:type="dxa"/>
            <w:gridSpan w:val="2"/>
            <w:vAlign w:val="center"/>
          </w:tcPr>
          <w:p w14:paraId="467BD4F3" w14:textId="61D4B181" w:rsidR="00241203" w:rsidRPr="00653BF4" w:rsidRDefault="00F47F49">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color w:val="000000"/>
                <w:sz w:val="20"/>
                <w:szCs w:val="20"/>
                <w:lang w:val="fr-FR"/>
              </w:rPr>
              <w:t>Utilisation de l</w:t>
            </w:r>
            <w:r w:rsidR="002A58C8" w:rsidRPr="00653BF4">
              <w:rPr>
                <w:rFonts w:ascii="Aptos" w:hAnsi="Aptos"/>
                <w:color w:val="000000"/>
                <w:sz w:val="20"/>
                <w:szCs w:val="20"/>
                <w:lang w:val="fr-FR"/>
              </w:rPr>
              <w:t>’</w:t>
            </w:r>
            <w:r w:rsidRPr="00653BF4">
              <w:rPr>
                <w:rFonts w:ascii="Aptos" w:hAnsi="Aptos"/>
                <w:color w:val="000000"/>
                <w:sz w:val="20"/>
                <w:szCs w:val="20"/>
                <w:lang w:val="fr-FR"/>
              </w:rPr>
              <w:t>indicateur</w:t>
            </w:r>
          </w:p>
        </w:tc>
        <w:tc>
          <w:tcPr>
            <w:tcW w:w="3402" w:type="dxa"/>
            <w:gridSpan w:val="2"/>
            <w:noWrap/>
            <w:vAlign w:val="center"/>
          </w:tcPr>
          <w:p w14:paraId="17A54725" w14:textId="24C55E21" w:rsidR="00241203" w:rsidRPr="00653BF4" w:rsidRDefault="00F47F49">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color w:val="000000"/>
                <w:sz w:val="20"/>
                <w:szCs w:val="20"/>
                <w:lang w:val="fr-FR"/>
              </w:rPr>
              <w:t>Résultats de l</w:t>
            </w:r>
            <w:r w:rsidR="002A58C8" w:rsidRPr="00653BF4">
              <w:rPr>
                <w:rFonts w:ascii="Aptos" w:hAnsi="Aptos"/>
                <w:color w:val="000000"/>
                <w:sz w:val="20"/>
                <w:szCs w:val="20"/>
                <w:lang w:val="fr-FR"/>
              </w:rPr>
              <w:t>’</w:t>
            </w:r>
            <w:r w:rsidRPr="00653BF4">
              <w:rPr>
                <w:rFonts w:ascii="Aptos" w:hAnsi="Aptos"/>
                <w:color w:val="000000"/>
                <w:sz w:val="20"/>
                <w:szCs w:val="20"/>
                <w:lang w:val="fr-FR"/>
              </w:rPr>
              <w:t>indicateur</w:t>
            </w:r>
          </w:p>
        </w:tc>
      </w:tr>
      <w:tr w:rsidR="00241203" w:rsidRPr="00543148" w14:paraId="58F771BC" w14:textId="77777777">
        <w:trPr>
          <w:trHeight w:val="1050"/>
        </w:trPr>
        <w:tc>
          <w:tcPr>
            <w:tcW w:w="3137" w:type="dxa"/>
            <w:shd w:val="clear" w:color="000000" w:fill="FFFFFF"/>
            <w:vAlign w:val="center"/>
            <w:hideMark/>
          </w:tcPr>
          <w:p w14:paraId="37A6F1DA" w14:textId="65105D1C" w:rsidR="00241203" w:rsidRPr="00653BF4" w:rsidRDefault="008966A6" w:rsidP="00C24E53">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I</w:t>
            </w:r>
            <w:r w:rsidR="003C5C35" w:rsidRPr="00653BF4">
              <w:rPr>
                <w:rFonts w:ascii="Aptos" w:eastAsia="Times New Roman" w:hAnsi="Aptos" w:cs="Times New Roman"/>
                <w:color w:val="000000"/>
                <w:kern w:val="0"/>
                <w:sz w:val="20"/>
                <w:szCs w:val="20"/>
                <w:lang w:val="fr-FR" w:eastAsia="en-CA"/>
                <w14:ligatures w14:val="none"/>
              </w:rPr>
              <w:t>ndicateur phare</w:t>
            </w:r>
            <w:r w:rsidRPr="00653BF4">
              <w:rPr>
                <w:rFonts w:ascii="Aptos" w:eastAsia="Times New Roman" w:hAnsi="Aptos" w:cs="Times New Roman"/>
                <w:color w:val="000000"/>
                <w:kern w:val="0"/>
                <w:sz w:val="20"/>
                <w:szCs w:val="20"/>
                <w:lang w:val="fr-FR" w:eastAsia="en-CA"/>
                <w14:ligatures w14:val="none"/>
              </w:rPr>
              <w:t xml:space="preserve"> 2.1</w:t>
            </w:r>
            <w:r w:rsidR="00E34DC9">
              <w:rPr>
                <w:rFonts w:ascii="Aptos" w:eastAsia="Times New Roman" w:hAnsi="Aptos" w:cs="Times New Roman"/>
                <w:color w:val="000000"/>
                <w:kern w:val="0"/>
                <w:sz w:val="20"/>
                <w:szCs w:val="20"/>
                <w:lang w:val="fr-FR" w:eastAsia="en-CA"/>
                <w14:ligatures w14:val="none"/>
              </w:rPr>
              <w:t> :</w:t>
            </w:r>
            <w:r w:rsidRPr="00653BF4">
              <w:rPr>
                <w:rFonts w:ascii="Aptos" w:eastAsia="Times New Roman" w:hAnsi="Aptos" w:cs="Times New Roman"/>
                <w:color w:val="000000"/>
                <w:kern w:val="0"/>
                <w:sz w:val="20"/>
                <w:szCs w:val="20"/>
                <w:lang w:val="fr-FR" w:eastAsia="en-CA"/>
                <w14:ligatures w14:val="none"/>
              </w:rPr>
              <w:t xml:space="preserve"> </w:t>
            </w:r>
            <w:r w:rsidR="00B73BE3" w:rsidRPr="00B73BE3">
              <w:rPr>
                <w:rFonts w:ascii="Aptos" w:eastAsia="Times New Roman" w:hAnsi="Aptos" w:cs="Times New Roman"/>
                <w:color w:val="000000"/>
                <w:kern w:val="0"/>
                <w:sz w:val="20"/>
                <w:szCs w:val="20"/>
                <w:lang w:val="fr-FR" w:eastAsia="en-CA"/>
                <w14:ligatures w14:val="none"/>
              </w:rPr>
              <w:t>Aires faisant l’objet de restauration</w:t>
            </w:r>
          </w:p>
        </w:tc>
        <w:tc>
          <w:tcPr>
            <w:tcW w:w="2528" w:type="dxa"/>
            <w:vAlign w:val="center"/>
            <w:hideMark/>
          </w:tcPr>
          <w:p w14:paraId="1A99018D" w14:textId="22E410D9" w:rsidR="00241203" w:rsidRPr="00653BF4" w:rsidRDefault="00EE7951" w:rsidP="00C24E53">
            <w:pPr>
              <w:spacing w:after="0" w:line="240" w:lineRule="auto"/>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53 Parties (soit 41</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des Parties dont les rapports nationaux sont examinés dans le rapport global)</w:t>
            </w:r>
          </w:p>
        </w:tc>
        <w:tc>
          <w:tcPr>
            <w:tcW w:w="709" w:type="dxa"/>
            <w:shd w:val="clear" w:color="000000" w:fill="FFC000"/>
            <w:vAlign w:val="center"/>
            <w:hideMark/>
          </w:tcPr>
          <w:p w14:paraId="7ADD5164" w14:textId="77777777" w:rsidR="00241203" w:rsidRPr="00653BF4" w:rsidRDefault="00241203" w:rsidP="00C24E53">
            <w:pPr>
              <w:spacing w:after="0" w:line="240" w:lineRule="auto"/>
              <w:rPr>
                <w:rFonts w:ascii="Aptos" w:eastAsia="Times New Roman" w:hAnsi="Aptos" w:cs="Times New Roman"/>
                <w:color w:val="000000"/>
                <w:kern w:val="0"/>
                <w:sz w:val="20"/>
                <w:szCs w:val="20"/>
                <w:lang w:val="fr-FR" w:eastAsia="en-CA"/>
                <w14:ligatures w14:val="none"/>
              </w:rPr>
            </w:pPr>
          </w:p>
        </w:tc>
        <w:tc>
          <w:tcPr>
            <w:tcW w:w="2835" w:type="dxa"/>
            <w:noWrap/>
            <w:hideMark/>
          </w:tcPr>
          <w:p w14:paraId="17885AFF" w14:textId="4AE5F1EA" w:rsidR="00241203" w:rsidRPr="00653BF4" w:rsidRDefault="00241203" w:rsidP="00C24E53">
            <w:pPr>
              <w:spacing w:after="0" w:line="240" w:lineRule="auto"/>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193 million</w:t>
            </w:r>
            <w:r w:rsidR="008966A6" w:rsidRPr="00653BF4">
              <w:rPr>
                <w:rFonts w:ascii="Aptos" w:eastAsia="Times New Roman" w:hAnsi="Aptos" w:cs="Calibri"/>
                <w:color w:val="000000"/>
                <w:kern w:val="0"/>
                <w:sz w:val="20"/>
                <w:szCs w:val="20"/>
                <w:lang w:val="fr-FR" w:eastAsia="en-CA"/>
                <w14:ligatures w14:val="none"/>
              </w:rPr>
              <w:t>s d</w:t>
            </w:r>
            <w:r w:rsidR="002A58C8" w:rsidRPr="00653BF4">
              <w:rPr>
                <w:rFonts w:ascii="Aptos" w:eastAsia="Times New Roman" w:hAnsi="Aptos" w:cs="Calibri"/>
                <w:color w:val="000000"/>
                <w:kern w:val="0"/>
                <w:sz w:val="20"/>
                <w:szCs w:val="20"/>
                <w:lang w:val="fr-FR" w:eastAsia="en-CA"/>
                <w14:ligatures w14:val="none"/>
              </w:rPr>
              <w:t>’</w:t>
            </w:r>
            <w:r w:rsidRPr="00653BF4">
              <w:rPr>
                <w:rFonts w:ascii="Aptos" w:eastAsia="Times New Roman" w:hAnsi="Aptos" w:cs="Calibri"/>
                <w:color w:val="000000"/>
                <w:kern w:val="0"/>
                <w:sz w:val="20"/>
                <w:szCs w:val="20"/>
                <w:lang w:val="fr-FR" w:eastAsia="en-CA"/>
                <w14:ligatures w14:val="none"/>
              </w:rPr>
              <w:t xml:space="preserve">hectares </w:t>
            </w:r>
            <w:r w:rsidR="00AF52CC" w:rsidRPr="00653BF4">
              <w:rPr>
                <w:rFonts w:ascii="Aptos" w:eastAsia="Times New Roman" w:hAnsi="Aptos" w:cs="Calibri"/>
                <w:color w:val="000000"/>
                <w:kern w:val="0"/>
                <w:sz w:val="20"/>
                <w:szCs w:val="20"/>
                <w:lang w:val="fr-FR" w:eastAsia="en-CA"/>
                <w14:ligatures w14:val="none"/>
              </w:rPr>
              <w:t xml:space="preserve">(ha) </w:t>
            </w:r>
            <w:r w:rsidR="00CB56F0" w:rsidRPr="00653BF4">
              <w:rPr>
                <w:rFonts w:ascii="Aptos" w:eastAsia="Times New Roman" w:hAnsi="Aptos" w:cs="Calibri"/>
                <w:color w:val="000000"/>
                <w:kern w:val="0"/>
                <w:sz w:val="20"/>
                <w:szCs w:val="20"/>
                <w:lang w:val="fr-FR" w:eastAsia="en-CA"/>
                <w14:ligatures w14:val="none"/>
              </w:rPr>
              <w:t xml:space="preserve">au </w:t>
            </w:r>
            <w:r w:rsidRPr="00653BF4">
              <w:rPr>
                <w:rFonts w:ascii="Aptos" w:eastAsia="Times New Roman" w:hAnsi="Aptos" w:cs="Calibri"/>
                <w:color w:val="000000"/>
                <w:kern w:val="0"/>
                <w:sz w:val="20"/>
                <w:szCs w:val="20"/>
                <w:lang w:val="fr-FR" w:eastAsia="en-CA"/>
                <w14:ligatures w14:val="none"/>
              </w:rPr>
              <w:t>total</w:t>
            </w:r>
          </w:p>
        </w:tc>
        <w:tc>
          <w:tcPr>
            <w:tcW w:w="567" w:type="dxa"/>
            <w:shd w:val="clear" w:color="auto" w:fill="C00000"/>
            <w:vAlign w:val="center"/>
            <w:hideMark/>
          </w:tcPr>
          <w:p w14:paraId="6517B13E" w14:textId="77777777" w:rsidR="00241203" w:rsidRPr="00653BF4" w:rsidRDefault="00241203">
            <w:pPr>
              <w:spacing w:after="0" w:line="240" w:lineRule="auto"/>
              <w:jc w:val="center"/>
              <w:rPr>
                <w:rFonts w:ascii="Aptos" w:eastAsia="Times New Roman" w:hAnsi="Aptos" w:cs="Times New Roman"/>
                <w:color w:val="000000"/>
                <w:kern w:val="0"/>
                <w:sz w:val="20"/>
                <w:szCs w:val="20"/>
                <w:lang w:val="fr-FR" w:eastAsia="en-CA"/>
                <w14:ligatures w14:val="none"/>
              </w:rPr>
            </w:pPr>
          </w:p>
        </w:tc>
      </w:tr>
      <w:tr w:rsidR="00241203" w:rsidRPr="00543148" w14:paraId="1052DDDB" w14:textId="77777777" w:rsidTr="00261EB6">
        <w:trPr>
          <w:trHeight w:val="1050"/>
        </w:trPr>
        <w:tc>
          <w:tcPr>
            <w:tcW w:w="3137" w:type="dxa"/>
            <w:shd w:val="clear" w:color="000000" w:fill="FFFFFF"/>
            <w:vAlign w:val="center"/>
            <w:hideMark/>
          </w:tcPr>
          <w:p w14:paraId="27D32DD0" w14:textId="0D390A8F" w:rsidR="00241203" w:rsidRPr="00653BF4" w:rsidRDefault="008966A6" w:rsidP="00C24E53">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Indicateurs quantitatifs combinés</w:t>
            </w:r>
          </w:p>
        </w:tc>
        <w:tc>
          <w:tcPr>
            <w:tcW w:w="2528" w:type="dxa"/>
            <w:vAlign w:val="center"/>
            <w:hideMark/>
          </w:tcPr>
          <w:p w14:paraId="6B914958" w14:textId="2B76857B" w:rsidR="00241203" w:rsidRPr="00653BF4" w:rsidRDefault="00EE7951" w:rsidP="00C24E53">
            <w:pPr>
              <w:spacing w:after="0" w:line="240" w:lineRule="auto"/>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 xml:space="preserve">51 </w:t>
            </w:r>
            <w:r w:rsidR="00BE0850" w:rsidRPr="00653BF4">
              <w:rPr>
                <w:rFonts w:ascii="Aptos" w:eastAsia="Times New Roman" w:hAnsi="Aptos" w:cs="Calibri"/>
                <w:color w:val="000000"/>
                <w:kern w:val="0"/>
                <w:sz w:val="20"/>
                <w:szCs w:val="20"/>
                <w:lang w:val="fr-FR" w:eastAsia="en-CA"/>
                <w14:ligatures w14:val="none"/>
              </w:rPr>
              <w:t>P</w:t>
            </w:r>
            <w:r w:rsidRPr="00653BF4">
              <w:rPr>
                <w:rFonts w:ascii="Aptos" w:eastAsia="Times New Roman" w:hAnsi="Aptos" w:cs="Calibri"/>
                <w:color w:val="000000"/>
                <w:kern w:val="0"/>
                <w:sz w:val="20"/>
                <w:szCs w:val="20"/>
                <w:lang w:val="fr-FR" w:eastAsia="en-CA"/>
                <w14:ligatures w14:val="none"/>
              </w:rPr>
              <w:t>arties, dont 51 utilisent l</w:t>
            </w:r>
            <w:r w:rsidR="002A58C8" w:rsidRPr="00653BF4">
              <w:rPr>
                <w:rFonts w:ascii="Aptos" w:eastAsia="Times New Roman" w:hAnsi="Aptos" w:cs="Calibri"/>
                <w:color w:val="000000"/>
                <w:kern w:val="0"/>
                <w:sz w:val="20"/>
                <w:szCs w:val="20"/>
                <w:lang w:val="fr-FR" w:eastAsia="en-CA"/>
                <w14:ligatures w14:val="none"/>
              </w:rPr>
              <w:t>’</w:t>
            </w:r>
            <w:r w:rsidRPr="00653BF4">
              <w:rPr>
                <w:rFonts w:ascii="Aptos" w:eastAsia="Times New Roman" w:hAnsi="Aptos" w:cs="Calibri"/>
                <w:color w:val="000000"/>
                <w:kern w:val="0"/>
                <w:sz w:val="20"/>
                <w:szCs w:val="20"/>
                <w:lang w:val="fr-FR" w:eastAsia="en-CA"/>
                <w14:ligatures w14:val="none"/>
              </w:rPr>
              <w:t>i</w:t>
            </w:r>
            <w:r w:rsidR="003C5C35" w:rsidRPr="00653BF4">
              <w:rPr>
                <w:rFonts w:ascii="Aptos" w:eastAsia="Times New Roman" w:hAnsi="Aptos" w:cs="Calibri"/>
                <w:color w:val="000000"/>
                <w:kern w:val="0"/>
                <w:sz w:val="20"/>
                <w:szCs w:val="20"/>
                <w:lang w:val="fr-FR" w:eastAsia="en-CA"/>
                <w14:ligatures w14:val="none"/>
              </w:rPr>
              <w:t>ndicateur phare</w:t>
            </w:r>
            <w:r w:rsidRPr="00653BF4">
              <w:rPr>
                <w:rFonts w:ascii="Aptos" w:eastAsia="Times New Roman" w:hAnsi="Aptos" w:cs="Calibri"/>
                <w:color w:val="000000"/>
                <w:kern w:val="0"/>
                <w:sz w:val="20"/>
                <w:szCs w:val="20"/>
                <w:lang w:val="fr-FR" w:eastAsia="en-CA"/>
                <w14:ligatures w14:val="none"/>
              </w:rPr>
              <w:t xml:space="preserve"> et 25, d</w:t>
            </w:r>
            <w:r w:rsidR="002A58C8" w:rsidRPr="00653BF4">
              <w:rPr>
                <w:rFonts w:ascii="Aptos" w:eastAsia="Times New Roman" w:hAnsi="Aptos" w:cs="Calibri"/>
                <w:color w:val="000000"/>
                <w:kern w:val="0"/>
                <w:sz w:val="20"/>
                <w:szCs w:val="20"/>
                <w:lang w:val="fr-FR" w:eastAsia="en-CA"/>
                <w14:ligatures w14:val="none"/>
              </w:rPr>
              <w:t>’</w:t>
            </w:r>
            <w:r w:rsidRPr="00653BF4">
              <w:rPr>
                <w:rFonts w:ascii="Aptos" w:eastAsia="Times New Roman" w:hAnsi="Aptos" w:cs="Calibri"/>
                <w:color w:val="000000"/>
                <w:kern w:val="0"/>
                <w:sz w:val="20"/>
                <w:szCs w:val="20"/>
                <w:lang w:val="fr-FR" w:eastAsia="en-CA"/>
                <w14:ligatures w14:val="none"/>
              </w:rPr>
              <w:t>autres indicateurs</w:t>
            </w:r>
          </w:p>
        </w:tc>
        <w:tc>
          <w:tcPr>
            <w:tcW w:w="709" w:type="dxa"/>
            <w:shd w:val="clear" w:color="000000" w:fill="FFC000"/>
            <w:vAlign w:val="center"/>
            <w:hideMark/>
          </w:tcPr>
          <w:p w14:paraId="3FB7AB6E" w14:textId="77777777" w:rsidR="00241203" w:rsidRPr="00653BF4" w:rsidRDefault="00241203" w:rsidP="00C24E53">
            <w:pPr>
              <w:spacing w:after="0" w:line="240" w:lineRule="auto"/>
              <w:rPr>
                <w:rFonts w:ascii="Aptos" w:eastAsia="Times New Roman" w:hAnsi="Aptos" w:cs="Times New Roman"/>
                <w:color w:val="000000"/>
                <w:kern w:val="0"/>
                <w:sz w:val="20"/>
                <w:szCs w:val="20"/>
                <w:lang w:val="fr-FR" w:eastAsia="en-CA"/>
                <w14:ligatures w14:val="none"/>
              </w:rPr>
            </w:pPr>
          </w:p>
        </w:tc>
        <w:tc>
          <w:tcPr>
            <w:tcW w:w="2835" w:type="dxa"/>
            <w:noWrap/>
            <w:vAlign w:val="center"/>
            <w:hideMark/>
          </w:tcPr>
          <w:p w14:paraId="21307988" w14:textId="66CA83F4" w:rsidR="00C24E53" w:rsidRPr="00653BF4" w:rsidRDefault="00C24E53" w:rsidP="00C24E53">
            <w:pPr>
              <w:spacing w:after="0" w:line="240" w:lineRule="auto"/>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48</w:t>
            </w:r>
            <w:r w:rsidR="002878D7">
              <w:rPr>
                <w:rFonts w:ascii="Aptos" w:eastAsia="Times New Roman" w:hAnsi="Aptos" w:cs="Calibri"/>
                <w:color w:val="000000"/>
                <w:kern w:val="0"/>
                <w:sz w:val="20"/>
                <w:szCs w:val="20"/>
                <w:lang w:val="fr-FR" w:eastAsia="en-CA"/>
                <w14:ligatures w14:val="none"/>
              </w:rPr>
              <w:t> %</w:t>
            </w:r>
            <w:r w:rsidR="00CB56F0" w:rsidRPr="00653BF4">
              <w:rPr>
                <w:rFonts w:ascii="Aptos" w:eastAsia="Times New Roman" w:hAnsi="Aptos" w:cs="Calibri"/>
                <w:color w:val="000000"/>
                <w:kern w:val="0"/>
                <w:sz w:val="20"/>
                <w:szCs w:val="20"/>
                <w:lang w:val="fr-FR" w:eastAsia="en-CA"/>
                <w14:ligatures w14:val="none"/>
              </w:rPr>
              <w:t xml:space="preserve"> de tendances positives</w:t>
            </w:r>
          </w:p>
          <w:p w14:paraId="05E86282" w14:textId="4A69309C" w:rsidR="00241203" w:rsidRPr="00653BF4" w:rsidRDefault="00241203" w:rsidP="00C24E53">
            <w:pPr>
              <w:spacing w:after="0" w:line="240" w:lineRule="auto"/>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26</w:t>
            </w:r>
            <w:r w:rsidR="002878D7">
              <w:rPr>
                <w:rFonts w:ascii="Aptos" w:eastAsia="Times New Roman" w:hAnsi="Aptos" w:cs="Calibri"/>
                <w:color w:val="000000"/>
                <w:kern w:val="0"/>
                <w:sz w:val="20"/>
                <w:szCs w:val="20"/>
                <w:lang w:val="fr-FR" w:eastAsia="en-CA"/>
                <w14:ligatures w14:val="none"/>
              </w:rPr>
              <w:t> %</w:t>
            </w:r>
            <w:r w:rsidR="00CB56F0" w:rsidRPr="00653BF4">
              <w:rPr>
                <w:rFonts w:ascii="Aptos" w:eastAsia="Times New Roman" w:hAnsi="Aptos" w:cs="Calibri"/>
                <w:color w:val="000000"/>
                <w:kern w:val="0"/>
                <w:sz w:val="20"/>
                <w:szCs w:val="20"/>
                <w:lang w:val="fr-FR" w:eastAsia="en-CA"/>
                <w14:ligatures w14:val="none"/>
              </w:rPr>
              <w:t xml:space="preserve"> de tendances négatives</w:t>
            </w:r>
          </w:p>
        </w:tc>
        <w:tc>
          <w:tcPr>
            <w:tcW w:w="567" w:type="dxa"/>
            <w:shd w:val="clear" w:color="auto" w:fill="92D050"/>
            <w:vAlign w:val="bottom"/>
            <w:hideMark/>
          </w:tcPr>
          <w:p w14:paraId="3F17D4FE" w14:textId="77777777" w:rsidR="00241203" w:rsidRPr="00653BF4" w:rsidRDefault="00241203">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 </w:t>
            </w:r>
          </w:p>
        </w:tc>
      </w:tr>
      <w:tr w:rsidR="00241203" w:rsidRPr="00543148" w14:paraId="3D9FD04D" w14:textId="77777777">
        <w:trPr>
          <w:trHeight w:val="1050"/>
        </w:trPr>
        <w:tc>
          <w:tcPr>
            <w:tcW w:w="3137" w:type="dxa"/>
            <w:shd w:val="clear" w:color="000000" w:fill="FFFFFF"/>
            <w:vAlign w:val="center"/>
          </w:tcPr>
          <w:p w14:paraId="5615DC45" w14:textId="042653F5" w:rsidR="00241203" w:rsidRPr="00653BF4" w:rsidRDefault="008966A6">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hAnsi="Aptos"/>
                <w:sz w:val="20"/>
                <w:szCs w:val="20"/>
                <w:lang w:val="fr-FR"/>
              </w:rPr>
              <w:t>N</w:t>
            </w:r>
            <w:r w:rsidR="00241203" w:rsidRPr="00653BF4">
              <w:rPr>
                <w:rFonts w:ascii="Aptos" w:hAnsi="Aptos"/>
                <w:sz w:val="20"/>
                <w:szCs w:val="20"/>
                <w:lang w:val="fr-FR"/>
              </w:rPr>
              <w:t>otes</w:t>
            </w:r>
            <w:r w:rsidRPr="00653BF4">
              <w:rPr>
                <w:rFonts w:ascii="Aptos" w:hAnsi="Aptos"/>
                <w:sz w:val="20"/>
                <w:szCs w:val="20"/>
                <w:lang w:val="fr-FR"/>
              </w:rPr>
              <w:t xml:space="preserve"> sur les biomes</w:t>
            </w:r>
          </w:p>
        </w:tc>
        <w:tc>
          <w:tcPr>
            <w:tcW w:w="6639" w:type="dxa"/>
            <w:gridSpan w:val="4"/>
            <w:vAlign w:val="center"/>
          </w:tcPr>
          <w:p w14:paraId="1E13A217" w14:textId="4ABCDA61" w:rsidR="00EE7951" w:rsidRPr="00653BF4" w:rsidRDefault="00EE7951" w:rsidP="00EE7951">
            <w:pPr>
              <w:rPr>
                <w:rFonts w:ascii="Aptos" w:hAnsi="Aptos"/>
                <w:sz w:val="20"/>
                <w:szCs w:val="20"/>
                <w:lang w:val="fr-FR"/>
              </w:rPr>
            </w:pPr>
            <w:r w:rsidRPr="00653BF4">
              <w:rPr>
                <w:rFonts w:ascii="Aptos" w:hAnsi="Aptos"/>
                <w:sz w:val="20"/>
                <w:szCs w:val="20"/>
                <w:lang w:val="fr-FR"/>
              </w:rPr>
              <w:t>Un suivi plus étendu des écosystèmes terrestres</w:t>
            </w:r>
            <w:r w:rsidR="00E34DC9">
              <w:rPr>
                <w:rFonts w:ascii="Aptos" w:hAnsi="Aptos"/>
                <w:sz w:val="20"/>
                <w:szCs w:val="20"/>
                <w:lang w:val="fr-FR"/>
              </w:rPr>
              <w:t> ;</w:t>
            </w:r>
            <w:r w:rsidRPr="00653BF4">
              <w:rPr>
                <w:rFonts w:ascii="Aptos" w:hAnsi="Aptos"/>
                <w:sz w:val="20"/>
                <w:szCs w:val="20"/>
                <w:lang w:val="fr-FR"/>
              </w:rPr>
              <w:t xml:space="preserve"> un suivi plus limité des eaux intérieures et des écosystèmes marins et côtiers</w:t>
            </w:r>
          </w:p>
          <w:p w14:paraId="44098E2B" w14:textId="3819D59E" w:rsidR="00241203" w:rsidRPr="00653BF4" w:rsidRDefault="00EE7951" w:rsidP="00EE7951">
            <w:pPr>
              <w:rPr>
                <w:rFonts w:ascii="Aptos" w:hAnsi="Aptos"/>
                <w:sz w:val="20"/>
                <w:szCs w:val="20"/>
                <w:lang w:val="fr-FR"/>
              </w:rPr>
            </w:pPr>
            <w:r w:rsidRPr="00653BF4">
              <w:rPr>
                <w:rFonts w:ascii="Aptos" w:hAnsi="Aptos"/>
                <w:sz w:val="20"/>
                <w:szCs w:val="20"/>
                <w:lang w:val="fr-FR"/>
              </w:rPr>
              <w:t>Les forêts, les mangroves, les récifs coralliens et les zones humides figuraient parmi les écosystèmes les plus fréquemment identifiés comme faisant l</w:t>
            </w:r>
            <w:r w:rsidR="002A58C8" w:rsidRPr="00653BF4">
              <w:rPr>
                <w:rFonts w:ascii="Aptos" w:hAnsi="Aptos"/>
                <w:sz w:val="20"/>
                <w:szCs w:val="20"/>
                <w:lang w:val="fr-FR"/>
              </w:rPr>
              <w:t>’</w:t>
            </w:r>
            <w:r w:rsidRPr="00653BF4">
              <w:rPr>
                <w:rFonts w:ascii="Aptos" w:hAnsi="Aptos"/>
                <w:sz w:val="20"/>
                <w:szCs w:val="20"/>
                <w:lang w:val="fr-FR"/>
              </w:rPr>
              <w:t>objet d</w:t>
            </w:r>
            <w:r w:rsidR="002A58C8" w:rsidRPr="00653BF4">
              <w:rPr>
                <w:rFonts w:ascii="Aptos" w:hAnsi="Aptos"/>
                <w:sz w:val="20"/>
                <w:szCs w:val="20"/>
                <w:lang w:val="fr-FR"/>
              </w:rPr>
              <w:t>’</w:t>
            </w:r>
            <w:r w:rsidRPr="00653BF4">
              <w:rPr>
                <w:rFonts w:ascii="Aptos" w:hAnsi="Aptos"/>
                <w:sz w:val="20"/>
                <w:szCs w:val="20"/>
                <w:lang w:val="fr-FR"/>
              </w:rPr>
              <w:t>une remise en état</w:t>
            </w:r>
          </w:p>
        </w:tc>
      </w:tr>
    </w:tbl>
    <w:p w14:paraId="3706FB28" w14:textId="77777777" w:rsidR="00241203" w:rsidRPr="00653BF4" w:rsidRDefault="00241203" w:rsidP="00241203">
      <w:pPr>
        <w:pStyle w:val="p1"/>
        <w:rPr>
          <w:rFonts w:ascii="Aptos" w:hAnsi="Aptos"/>
          <w:b/>
          <w:bCs/>
          <w:sz w:val="24"/>
          <w:szCs w:val="24"/>
          <w:lang w:val="fr-FR"/>
        </w:rPr>
      </w:pPr>
    </w:p>
    <w:p w14:paraId="4CB8D66A" w14:textId="5B5EE1A5" w:rsidR="00174813" w:rsidRPr="00653BF4" w:rsidRDefault="006A631C" w:rsidP="00174813">
      <w:pPr>
        <w:rPr>
          <w:rFonts w:ascii="Aptos" w:hAnsi="Aptos"/>
          <w:sz w:val="16"/>
          <w:szCs w:val="16"/>
          <w:lang w:val="fr-FR"/>
        </w:rPr>
      </w:pPr>
      <w:r w:rsidRPr="00653BF4">
        <w:rPr>
          <w:rFonts w:ascii="Aptos" w:hAnsi="Aptos"/>
          <w:i/>
          <w:iCs/>
          <w:sz w:val="16"/>
          <w:szCs w:val="16"/>
          <w:lang w:val="fr-FR"/>
        </w:rPr>
        <w:t>Note</w:t>
      </w:r>
      <w:r w:rsidR="00E34DC9">
        <w:rPr>
          <w:rFonts w:ascii="Aptos" w:hAnsi="Aptos"/>
          <w:i/>
          <w:iCs/>
          <w:sz w:val="16"/>
          <w:szCs w:val="16"/>
          <w:lang w:val="fr-FR"/>
        </w:rPr>
        <w:t> :</w:t>
      </w:r>
      <w:r w:rsidR="00174813" w:rsidRPr="00653BF4">
        <w:rPr>
          <w:rFonts w:ascii="Aptos" w:hAnsi="Aptos"/>
          <w:sz w:val="16"/>
          <w:szCs w:val="16"/>
          <w:lang w:val="fr-FR"/>
        </w:rPr>
        <w:t xml:space="preserve"> </w:t>
      </w:r>
      <w:r w:rsidR="003616CF" w:rsidRPr="00653BF4">
        <w:rPr>
          <w:rFonts w:ascii="Aptos" w:hAnsi="Aptos"/>
          <w:sz w:val="16"/>
          <w:szCs w:val="16"/>
          <w:lang w:val="fr-FR"/>
        </w:rPr>
        <w:t>Le code couleur se rapporte à l’évaluation globale des progrès accomplis pour l’ensemble des cibles. La méthode de cette évaluation est expliquée dans le tableau de bord récapitulatif global (voir le tableau 3).</w:t>
      </w:r>
      <w:r w:rsidR="00EF65A1" w:rsidRPr="00653BF4">
        <w:rPr>
          <w:rFonts w:ascii="Aptos" w:hAnsi="Aptos"/>
          <w:sz w:val="16"/>
          <w:szCs w:val="16"/>
          <w:lang w:val="fr-FR"/>
        </w:rPr>
        <w:t xml:space="preserve"> </w:t>
      </w:r>
      <w:r w:rsidR="00A15E76" w:rsidRPr="00653BF4">
        <w:rPr>
          <w:rFonts w:ascii="Aptos" w:hAnsi="Aptos"/>
          <w:sz w:val="16"/>
          <w:szCs w:val="16"/>
          <w:lang w:val="fr-FR"/>
        </w:rPr>
        <w:t xml:space="preserve">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w:t>
      </w:r>
      <w:r w:rsidR="00FD7C46" w:rsidRPr="00653BF4">
        <w:rPr>
          <w:rFonts w:ascii="Aptos" w:hAnsi="Aptos"/>
          <w:sz w:val="16"/>
          <w:szCs w:val="16"/>
          <w:lang w:val="fr-FR"/>
        </w:rPr>
        <w:t>Les couleurs des indicateurs binaires sont fondées sur le pourcentage de Parties ayant obtenu une note élevée (4 ou 5) pour l’indicateur dans son ensemble (le vert est attribué aux valeurs égales ou supérieures à 50</w:t>
      </w:r>
      <w:r w:rsidR="002878D7">
        <w:rPr>
          <w:rFonts w:ascii="Aptos" w:hAnsi="Aptos"/>
          <w:sz w:val="16"/>
          <w:szCs w:val="16"/>
          <w:lang w:val="fr-FR"/>
        </w:rPr>
        <w:t> %</w:t>
      </w:r>
      <w:r w:rsidR="00FD7C46" w:rsidRPr="00653BF4">
        <w:rPr>
          <w:rFonts w:ascii="Aptos" w:hAnsi="Aptos"/>
          <w:sz w:val="16"/>
          <w:szCs w:val="16"/>
          <w:lang w:val="fr-FR"/>
        </w:rPr>
        <w:t>, le jaune aux valeurs comprises entre 25</w:t>
      </w:r>
      <w:r w:rsidR="002878D7">
        <w:rPr>
          <w:rFonts w:ascii="Aptos" w:hAnsi="Aptos"/>
          <w:sz w:val="16"/>
          <w:szCs w:val="16"/>
          <w:lang w:val="fr-FR"/>
        </w:rPr>
        <w:t> %</w:t>
      </w:r>
      <w:r w:rsidR="00FD7C46" w:rsidRPr="00653BF4">
        <w:rPr>
          <w:rFonts w:ascii="Aptos" w:hAnsi="Aptos"/>
          <w:sz w:val="16"/>
          <w:szCs w:val="16"/>
          <w:lang w:val="fr-FR"/>
        </w:rPr>
        <w:t xml:space="preserve"> et 50</w:t>
      </w:r>
      <w:r w:rsidR="002878D7">
        <w:rPr>
          <w:rFonts w:ascii="Aptos" w:hAnsi="Aptos"/>
          <w:sz w:val="16"/>
          <w:szCs w:val="16"/>
          <w:lang w:val="fr-FR"/>
        </w:rPr>
        <w:t> %</w:t>
      </w:r>
      <w:r w:rsidR="00FD7C46" w:rsidRPr="00653BF4">
        <w:rPr>
          <w:rFonts w:ascii="Aptos" w:hAnsi="Aptos"/>
          <w:sz w:val="16"/>
          <w:szCs w:val="16"/>
          <w:lang w:val="fr-FR"/>
        </w:rPr>
        <w:t>, et le rouge aux valeurs inférieures à 25</w:t>
      </w:r>
      <w:r w:rsidR="002878D7">
        <w:rPr>
          <w:rFonts w:ascii="Aptos" w:hAnsi="Aptos"/>
          <w:sz w:val="16"/>
          <w:szCs w:val="16"/>
          <w:lang w:val="fr-FR"/>
        </w:rPr>
        <w:t> %</w:t>
      </w:r>
      <w:r w:rsidR="00FD7C46" w:rsidRPr="00653BF4">
        <w:rPr>
          <w:rFonts w:ascii="Aptos" w:hAnsi="Aptos"/>
          <w:sz w:val="16"/>
          <w:szCs w:val="16"/>
          <w:lang w:val="fr-FR"/>
        </w:rPr>
        <w:t xml:space="preserve">). </w:t>
      </w:r>
      <w:r w:rsidR="00D877A7" w:rsidRPr="00653BF4">
        <w:rPr>
          <w:rFonts w:ascii="Aptos" w:hAnsi="Aptos"/>
          <w:sz w:val="16"/>
          <w:szCs w:val="16"/>
          <w:lang w:val="fr-FR"/>
        </w:rPr>
        <w:t>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w:t>
      </w:r>
      <w:r w:rsidR="00EF65A1" w:rsidRPr="00653BF4">
        <w:rPr>
          <w:rFonts w:ascii="Aptos" w:hAnsi="Aptos"/>
          <w:sz w:val="16"/>
          <w:szCs w:val="16"/>
          <w:lang w:val="fr-FR"/>
        </w:rPr>
        <w:t xml:space="preserve"> </w:t>
      </w:r>
      <w:r w:rsidR="004C60DB" w:rsidRPr="00653BF4">
        <w:rPr>
          <w:rFonts w:ascii="Aptos" w:hAnsi="Aptos"/>
          <w:sz w:val="16"/>
          <w:szCs w:val="16"/>
          <w:lang w:val="fr-FR"/>
        </w:rPr>
        <w:t xml:space="preserve">Il est à noter que le pourcentage de Parties ayant communiqué des données sur les </w:t>
      </w:r>
      <w:r w:rsidR="004C60DB" w:rsidRPr="00653BF4">
        <w:rPr>
          <w:rFonts w:ascii="Aptos" w:hAnsi="Aptos"/>
          <w:sz w:val="16"/>
          <w:szCs w:val="16"/>
          <w:lang w:val="fr-FR"/>
        </w:rPr>
        <w:lastRenderedPageBreak/>
        <w:t>indicateurs phares peut différer de celui qui est retenu dans les résultats agrégés, aussi bien pour l’indicateur phare que pour l’ensemble des indicateurs quantitatifs combinés, en raison de différences méthodologiques dans l’utilisation des données.</w:t>
      </w:r>
    </w:p>
    <w:p w14:paraId="3F798170" w14:textId="77777777" w:rsidR="00A074DC" w:rsidRPr="00653BF4" w:rsidRDefault="00A074DC" w:rsidP="00241203">
      <w:pPr>
        <w:pStyle w:val="p1"/>
        <w:rPr>
          <w:rFonts w:ascii="Aptos" w:hAnsi="Aptos"/>
          <w:b/>
          <w:bCs/>
          <w:sz w:val="24"/>
          <w:szCs w:val="24"/>
          <w:lang w:val="fr-FR"/>
        </w:rPr>
      </w:pPr>
    </w:p>
    <w:p w14:paraId="21DDF790" w14:textId="58C6BA0B" w:rsidR="00241203" w:rsidRPr="00653BF4" w:rsidRDefault="0087654B" w:rsidP="00241203">
      <w:pPr>
        <w:rPr>
          <w:rFonts w:ascii="Aptos" w:hAnsi="Aptos"/>
          <w:lang w:val="fr-FR"/>
        </w:rPr>
      </w:pPr>
      <w:r w:rsidRPr="00653BF4">
        <w:rPr>
          <w:rFonts w:ascii="Aptos" w:hAnsi="Aptos"/>
          <w:lang w:val="fr-FR"/>
        </w:rPr>
        <w:t>Au total, 53 Parties ont fait rapport sur l</w:t>
      </w:r>
      <w:r w:rsidR="002A58C8" w:rsidRPr="00653BF4">
        <w:rPr>
          <w:rFonts w:ascii="Aptos" w:hAnsi="Aptos"/>
          <w:lang w:val="fr-FR"/>
        </w:rPr>
        <w:t>’</w:t>
      </w:r>
      <w:r w:rsidRPr="00653BF4">
        <w:rPr>
          <w:rFonts w:ascii="Aptos" w:hAnsi="Aptos"/>
          <w:lang w:val="fr-FR"/>
        </w:rPr>
        <w:t>i</w:t>
      </w:r>
      <w:r w:rsidR="003C5C35" w:rsidRPr="00653BF4">
        <w:rPr>
          <w:rFonts w:ascii="Aptos" w:hAnsi="Aptos"/>
          <w:lang w:val="fr-FR"/>
        </w:rPr>
        <w:t>ndicateur phare</w:t>
      </w:r>
      <w:r w:rsidR="00E34DC9">
        <w:rPr>
          <w:rFonts w:ascii="Aptos" w:hAnsi="Aptos"/>
          <w:lang w:val="fr-FR"/>
        </w:rPr>
        <w:t> ;</w:t>
      </w:r>
      <w:r w:rsidRPr="00653BF4">
        <w:rPr>
          <w:rFonts w:ascii="Aptos" w:hAnsi="Aptos"/>
          <w:lang w:val="fr-FR"/>
        </w:rPr>
        <w:t xml:space="preserve"> les Parties ont également fourni des données sur les tendances relatives à 85 indicateurs nationaux, de composantes et complémentaires, ce qui témoigne des efforts considérables qu</w:t>
      </w:r>
      <w:r w:rsidR="002A58C8" w:rsidRPr="00653BF4">
        <w:rPr>
          <w:rFonts w:ascii="Aptos" w:hAnsi="Aptos"/>
          <w:lang w:val="fr-FR"/>
        </w:rPr>
        <w:t>’</w:t>
      </w:r>
      <w:r w:rsidRPr="00653BF4">
        <w:rPr>
          <w:rFonts w:ascii="Aptos" w:hAnsi="Aptos"/>
          <w:lang w:val="fr-FR"/>
        </w:rPr>
        <w:t xml:space="preserve">ils ont fournis pour assurer le suivi de la remise en état (voir le </w:t>
      </w:r>
      <w:r w:rsidR="00CE0FCE" w:rsidRPr="00653BF4">
        <w:rPr>
          <w:rFonts w:ascii="Aptos" w:hAnsi="Aptos"/>
          <w:lang w:val="fr-FR"/>
        </w:rPr>
        <w:t>t</w:t>
      </w:r>
      <w:r w:rsidRPr="00653BF4">
        <w:rPr>
          <w:rFonts w:ascii="Aptos" w:hAnsi="Aptos"/>
          <w:lang w:val="fr-FR"/>
        </w:rPr>
        <w:t xml:space="preserve">ableau 7 et la </w:t>
      </w:r>
      <w:r w:rsidR="00CE0FCE" w:rsidRPr="00653BF4">
        <w:rPr>
          <w:rFonts w:ascii="Aptos" w:hAnsi="Aptos"/>
          <w:lang w:val="fr-FR"/>
        </w:rPr>
        <w:t>f</w:t>
      </w:r>
      <w:r w:rsidRPr="00653BF4">
        <w:rPr>
          <w:rFonts w:ascii="Aptos" w:hAnsi="Aptos"/>
          <w:lang w:val="fr-FR"/>
        </w:rPr>
        <w:t>igure 12). De nombreuses Parties utilisent le registre du Cadre de suivi de la restauration des écosystèmes (FERM), élaboré par la FAO, ainsi que le Groupe de travail sur le suivi de la Décennie des Nations Unies pour la restauration des écosystèmes 2021-2030, afin de suivre les progrès mondiaux en matière de remise en état des écosystèmes (voir la section ci-dessous consacrée aux liens avec d</w:t>
      </w:r>
      <w:r w:rsidR="002A58C8" w:rsidRPr="00653BF4">
        <w:rPr>
          <w:rFonts w:ascii="Aptos" w:hAnsi="Aptos"/>
          <w:lang w:val="fr-FR"/>
        </w:rPr>
        <w:t>’</w:t>
      </w:r>
      <w:r w:rsidRPr="00653BF4">
        <w:rPr>
          <w:rFonts w:ascii="Aptos" w:hAnsi="Aptos"/>
          <w:lang w:val="fr-FR"/>
        </w:rPr>
        <w:t xml:space="preserve">autres accords, processus et organisations </w:t>
      </w:r>
      <w:r w:rsidR="00462E46" w:rsidRPr="00653BF4">
        <w:rPr>
          <w:rFonts w:ascii="Aptos" w:hAnsi="Aptos"/>
          <w:lang w:val="fr-FR"/>
        </w:rPr>
        <w:t>suscités par</w:t>
      </w:r>
      <w:r w:rsidRPr="00653BF4">
        <w:rPr>
          <w:rFonts w:ascii="Aptos" w:hAnsi="Aptos"/>
          <w:lang w:val="fr-FR"/>
        </w:rPr>
        <w:t xml:space="preserve"> </w:t>
      </w:r>
      <w:r w:rsidR="00CE0FCE" w:rsidRPr="00653BF4">
        <w:rPr>
          <w:rFonts w:ascii="Aptos" w:hAnsi="Aptos"/>
          <w:lang w:val="fr-FR"/>
        </w:rPr>
        <w:t xml:space="preserve">la </w:t>
      </w:r>
      <w:r w:rsidR="00E34DC9">
        <w:rPr>
          <w:rFonts w:ascii="Aptos" w:hAnsi="Aptos"/>
          <w:lang w:val="fr-FR"/>
        </w:rPr>
        <w:t>cible 2</w:t>
      </w:r>
      <w:r w:rsidRPr="00653BF4">
        <w:rPr>
          <w:rFonts w:ascii="Aptos" w:hAnsi="Aptos"/>
          <w:lang w:val="fr-FR"/>
        </w:rPr>
        <w:t>)</w:t>
      </w:r>
      <w:r w:rsidR="00AF4F3B" w:rsidRPr="00653BF4">
        <w:rPr>
          <w:rStyle w:val="FootnoteReference"/>
          <w:rFonts w:ascii="Aptos" w:hAnsi="Aptos"/>
          <w:lang w:val="fr-FR"/>
        </w:rPr>
        <w:footnoteReference w:id="14"/>
      </w:r>
      <w:r w:rsidRPr="00653BF4">
        <w:rPr>
          <w:rFonts w:ascii="Aptos" w:hAnsi="Aptos"/>
          <w:lang w:val="fr-FR"/>
        </w:rPr>
        <w:t>.</w:t>
      </w:r>
      <w:r w:rsidR="00241203" w:rsidRPr="00653BF4">
        <w:rPr>
          <w:rFonts w:ascii="Aptos" w:hAnsi="Aptos"/>
          <w:lang w:val="fr-FR"/>
        </w:rPr>
        <w:t xml:space="preserve"> </w:t>
      </w:r>
      <w:r w:rsidR="00D71B18" w:rsidRPr="00653BF4">
        <w:rPr>
          <w:rFonts w:ascii="Aptos" w:hAnsi="Aptos"/>
          <w:lang w:val="fr-FR"/>
        </w:rPr>
        <w:t>À ce jour, les données relatives à la remise en état ont été compilées dans le registre FERM à partir de plus de 121 initiatives menées dans 81 pays (FAO, 2025a</w:t>
      </w:r>
      <w:r w:rsidR="00E34DC9">
        <w:rPr>
          <w:rFonts w:ascii="Aptos" w:hAnsi="Aptos"/>
          <w:lang w:val="fr-FR"/>
        </w:rPr>
        <w:t> ;</w:t>
      </w:r>
      <w:r w:rsidR="00D71B18" w:rsidRPr="00653BF4">
        <w:rPr>
          <w:rFonts w:ascii="Aptos" w:hAnsi="Aptos"/>
          <w:lang w:val="fr-FR"/>
        </w:rPr>
        <w:t xml:space="preserve"> et PNUE, 2025a).</w:t>
      </w:r>
      <w:r w:rsidR="00241203" w:rsidRPr="00653BF4">
        <w:rPr>
          <w:rFonts w:ascii="Aptos" w:hAnsi="Aptos"/>
          <w:lang w:val="fr-FR"/>
        </w:rPr>
        <w:t xml:space="preserve"> </w:t>
      </w:r>
    </w:p>
    <w:p w14:paraId="0F1CD5D0" w14:textId="2661850E" w:rsidR="006E0673" w:rsidRPr="00653BF4" w:rsidRDefault="00CB3BB6" w:rsidP="00241203">
      <w:pPr>
        <w:rPr>
          <w:rFonts w:ascii="Aptos" w:hAnsi="Aptos"/>
          <w:lang w:val="fr-FR"/>
        </w:rPr>
      </w:pPr>
      <w:r w:rsidRPr="00653BF4">
        <w:rPr>
          <w:rFonts w:ascii="Aptos" w:hAnsi="Aptos"/>
          <w:lang w:val="fr-FR"/>
        </w:rPr>
        <w:t>Depuis l</w:t>
      </w:r>
      <w:r w:rsidR="002A58C8" w:rsidRPr="00653BF4">
        <w:rPr>
          <w:rFonts w:ascii="Aptos" w:hAnsi="Aptos"/>
          <w:lang w:val="fr-FR"/>
        </w:rPr>
        <w:t>’</w:t>
      </w:r>
      <w:r w:rsidRPr="00653BF4">
        <w:rPr>
          <w:rFonts w:ascii="Aptos" w:hAnsi="Aptos"/>
          <w:lang w:val="fr-FR"/>
        </w:rPr>
        <w:t>adoption du Cadre, les Parties ont indiqué qu</w:t>
      </w:r>
      <w:r w:rsidR="002A58C8" w:rsidRPr="00653BF4">
        <w:rPr>
          <w:rFonts w:ascii="Aptos" w:hAnsi="Aptos"/>
          <w:lang w:val="fr-FR"/>
        </w:rPr>
        <w:t>’</w:t>
      </w:r>
      <w:r w:rsidRPr="00653BF4">
        <w:rPr>
          <w:rFonts w:ascii="Aptos" w:hAnsi="Aptos"/>
          <w:lang w:val="fr-FR"/>
        </w:rPr>
        <w:t>une superficie cumulée d</w:t>
      </w:r>
      <w:r w:rsidR="002A58C8" w:rsidRPr="00653BF4">
        <w:rPr>
          <w:rFonts w:ascii="Aptos" w:hAnsi="Aptos"/>
          <w:lang w:val="fr-FR"/>
        </w:rPr>
        <w:t>’</w:t>
      </w:r>
      <w:r w:rsidRPr="00653BF4">
        <w:rPr>
          <w:rFonts w:ascii="Aptos" w:hAnsi="Aptos"/>
          <w:lang w:val="fr-FR"/>
        </w:rPr>
        <w:t>environ 193 millions d</w:t>
      </w:r>
      <w:r w:rsidR="002A58C8" w:rsidRPr="00653BF4">
        <w:rPr>
          <w:rFonts w:ascii="Aptos" w:hAnsi="Aptos"/>
          <w:lang w:val="fr-FR"/>
        </w:rPr>
        <w:t>’</w:t>
      </w:r>
      <w:r w:rsidRPr="00653BF4">
        <w:rPr>
          <w:rFonts w:ascii="Aptos" w:hAnsi="Aptos"/>
          <w:lang w:val="fr-FR"/>
        </w:rPr>
        <w:t>hectares (ha) avait fait l</w:t>
      </w:r>
      <w:r w:rsidR="002A58C8" w:rsidRPr="00653BF4">
        <w:rPr>
          <w:rFonts w:ascii="Aptos" w:hAnsi="Aptos"/>
          <w:lang w:val="fr-FR"/>
        </w:rPr>
        <w:t>’</w:t>
      </w:r>
      <w:r w:rsidRPr="00653BF4">
        <w:rPr>
          <w:rFonts w:ascii="Aptos" w:hAnsi="Aptos"/>
          <w:lang w:val="fr-FR"/>
        </w:rPr>
        <w:t>objet de mesures de remise en état d</w:t>
      </w:r>
      <w:r w:rsidR="002A58C8" w:rsidRPr="00653BF4">
        <w:rPr>
          <w:rFonts w:ascii="Aptos" w:hAnsi="Aptos"/>
          <w:lang w:val="fr-FR"/>
        </w:rPr>
        <w:t>’</w:t>
      </w:r>
      <w:r w:rsidRPr="00653BF4">
        <w:rPr>
          <w:rFonts w:ascii="Aptos" w:hAnsi="Aptos"/>
          <w:lang w:val="fr-FR"/>
        </w:rPr>
        <w:t>ici 2025 (</w:t>
      </w:r>
      <w:r w:rsidR="00592405" w:rsidRPr="00653BF4">
        <w:rPr>
          <w:rFonts w:ascii="Aptos" w:hAnsi="Aptos"/>
          <w:lang w:val="fr-FR"/>
        </w:rPr>
        <w:t>voir la figure </w:t>
      </w:r>
      <w:r w:rsidRPr="00653BF4">
        <w:rPr>
          <w:rFonts w:ascii="Aptos" w:hAnsi="Aptos"/>
          <w:lang w:val="fr-FR"/>
        </w:rPr>
        <w:t>11). L</w:t>
      </w:r>
      <w:r w:rsidR="002A58C8" w:rsidRPr="00653BF4">
        <w:rPr>
          <w:rFonts w:ascii="Aptos" w:hAnsi="Aptos"/>
          <w:lang w:val="fr-FR"/>
        </w:rPr>
        <w:t>’</w:t>
      </w:r>
      <w:r w:rsidRPr="00653BF4">
        <w:rPr>
          <w:rFonts w:ascii="Aptos" w:hAnsi="Aptos"/>
          <w:lang w:val="fr-FR"/>
        </w:rPr>
        <w:t>i</w:t>
      </w:r>
      <w:r w:rsidR="003C5C35" w:rsidRPr="00653BF4">
        <w:rPr>
          <w:rFonts w:ascii="Aptos" w:hAnsi="Aptos"/>
          <w:lang w:val="fr-FR"/>
        </w:rPr>
        <w:t>ndicateur phare</w:t>
      </w:r>
      <w:r w:rsidRPr="00653BF4">
        <w:rPr>
          <w:rFonts w:ascii="Aptos" w:hAnsi="Aptos"/>
          <w:lang w:val="fr-FR"/>
        </w:rPr>
        <w:t xml:space="preserve"> mesure </w:t>
      </w:r>
      <w:r w:rsidR="00B51ADA">
        <w:rPr>
          <w:rFonts w:ascii="Aptos" w:hAnsi="Aptos"/>
          <w:lang w:val="fr-FR"/>
        </w:rPr>
        <w:t xml:space="preserve">uniquement </w:t>
      </w:r>
      <w:r w:rsidRPr="00653BF4">
        <w:rPr>
          <w:rFonts w:ascii="Aptos" w:hAnsi="Aptos"/>
          <w:lang w:val="fr-FR"/>
        </w:rPr>
        <w:t>l</w:t>
      </w:r>
      <w:r w:rsidR="00B51ADA">
        <w:rPr>
          <w:rFonts w:ascii="Aptos" w:hAnsi="Aptos"/>
          <w:lang w:val="fr-FR"/>
        </w:rPr>
        <w:t xml:space="preserve">’aire </w:t>
      </w:r>
      <w:r w:rsidRPr="00653BF4">
        <w:rPr>
          <w:rFonts w:ascii="Aptos" w:hAnsi="Aptos"/>
          <w:lang w:val="fr-FR"/>
        </w:rPr>
        <w:t>faisant l</w:t>
      </w:r>
      <w:r w:rsidR="002A58C8" w:rsidRPr="00653BF4">
        <w:rPr>
          <w:rFonts w:ascii="Aptos" w:hAnsi="Aptos"/>
          <w:lang w:val="fr-FR"/>
        </w:rPr>
        <w:t>’</w:t>
      </w:r>
      <w:r w:rsidRPr="00653BF4">
        <w:rPr>
          <w:rFonts w:ascii="Aptos" w:hAnsi="Aptos"/>
          <w:lang w:val="fr-FR"/>
        </w:rPr>
        <w:t xml:space="preserve">objet de mesures de remise en état et ne tient pas compte de </w:t>
      </w:r>
      <w:r w:rsidR="00F456DA">
        <w:rPr>
          <w:rFonts w:ascii="Aptos" w:hAnsi="Aptos"/>
          <w:lang w:val="fr-FR"/>
        </w:rPr>
        <w:t>s</w:t>
      </w:r>
      <w:r w:rsidRPr="00653BF4">
        <w:rPr>
          <w:rFonts w:ascii="Aptos" w:hAnsi="Aptos"/>
          <w:lang w:val="fr-FR"/>
        </w:rPr>
        <w:t>a dégradation</w:t>
      </w:r>
      <w:r w:rsidR="00E34DC9">
        <w:rPr>
          <w:rFonts w:ascii="Aptos" w:hAnsi="Aptos"/>
          <w:lang w:val="fr-FR"/>
        </w:rPr>
        <w:t> ;</w:t>
      </w:r>
      <w:r w:rsidRPr="00653BF4">
        <w:rPr>
          <w:rFonts w:ascii="Aptos" w:hAnsi="Aptos"/>
          <w:lang w:val="fr-FR"/>
        </w:rPr>
        <w:t xml:space="preserve"> toutefois, la proportion de terres dégradées par rapport à la superficie totale des terres constitue un indicateur </w:t>
      </w:r>
      <w:r w:rsidR="0080223B">
        <w:rPr>
          <w:rFonts w:ascii="Aptos" w:hAnsi="Aptos"/>
          <w:lang w:val="fr-FR"/>
        </w:rPr>
        <w:t xml:space="preserve">de </w:t>
      </w:r>
      <w:r w:rsidRPr="00653BF4">
        <w:rPr>
          <w:rFonts w:ascii="Aptos" w:hAnsi="Aptos"/>
          <w:lang w:val="fr-FR"/>
        </w:rPr>
        <w:t>composant</w:t>
      </w:r>
      <w:r w:rsidR="0080223B">
        <w:rPr>
          <w:rFonts w:ascii="Aptos" w:hAnsi="Aptos"/>
          <w:lang w:val="fr-FR"/>
        </w:rPr>
        <w:t>e</w:t>
      </w:r>
      <w:r w:rsidRPr="00653BF4">
        <w:rPr>
          <w:rFonts w:ascii="Aptos" w:hAnsi="Aptos"/>
          <w:lang w:val="fr-FR"/>
        </w:rPr>
        <w:t xml:space="preserve"> de cette cible (2.CT.1). La dégradation pouvant prendre de nombreuses formes et être mesurée de différentes manières, les estimations concernant l</w:t>
      </w:r>
      <w:r w:rsidR="002A58C8" w:rsidRPr="00653BF4">
        <w:rPr>
          <w:rFonts w:ascii="Aptos" w:hAnsi="Aptos"/>
          <w:lang w:val="fr-FR"/>
        </w:rPr>
        <w:t>’</w:t>
      </w:r>
      <w:r w:rsidRPr="00653BF4">
        <w:rPr>
          <w:rFonts w:ascii="Aptos" w:hAnsi="Aptos"/>
          <w:lang w:val="fr-FR"/>
        </w:rPr>
        <w:t>étendue des habitats dégradés à l</w:t>
      </w:r>
      <w:r w:rsidR="002A58C8" w:rsidRPr="00653BF4">
        <w:rPr>
          <w:rFonts w:ascii="Aptos" w:hAnsi="Aptos"/>
          <w:lang w:val="fr-FR"/>
        </w:rPr>
        <w:t>’</w:t>
      </w:r>
      <w:r w:rsidRPr="00653BF4">
        <w:rPr>
          <w:rFonts w:ascii="Aptos" w:hAnsi="Aptos"/>
          <w:lang w:val="fr-FR"/>
        </w:rPr>
        <w:t>échelle mondiale varient, et les Parties ont utilisé des définitions différentes pour rendre compte de cet indicateur. La CNULCD a estimé que plus de 1,56 milliard d</w:t>
      </w:r>
      <w:r w:rsidR="002A58C8" w:rsidRPr="00653BF4">
        <w:rPr>
          <w:rFonts w:ascii="Aptos" w:hAnsi="Aptos"/>
          <w:lang w:val="fr-FR"/>
        </w:rPr>
        <w:t>’</w:t>
      </w:r>
      <w:r w:rsidRPr="00653BF4">
        <w:rPr>
          <w:rFonts w:ascii="Aptos" w:hAnsi="Aptos"/>
          <w:lang w:val="fr-FR"/>
        </w:rPr>
        <w:t>hectares de terres étaient dégradés en 2019, et que plus de 100 millions d</w:t>
      </w:r>
      <w:r w:rsidR="002A58C8" w:rsidRPr="00653BF4">
        <w:rPr>
          <w:rFonts w:ascii="Aptos" w:hAnsi="Aptos"/>
          <w:lang w:val="fr-FR"/>
        </w:rPr>
        <w:t>’</w:t>
      </w:r>
      <w:r w:rsidRPr="00653BF4">
        <w:rPr>
          <w:rFonts w:ascii="Aptos" w:hAnsi="Aptos"/>
          <w:lang w:val="fr-FR"/>
        </w:rPr>
        <w:t>hectares de terres saines et productives se dégradaient chaque année (CNULCD, 2022).</w:t>
      </w:r>
    </w:p>
    <w:p w14:paraId="45F3779D" w14:textId="062A27B2" w:rsidR="00AC0B89" w:rsidRPr="00653BF4" w:rsidRDefault="00D64D20" w:rsidP="00241203">
      <w:pPr>
        <w:rPr>
          <w:rFonts w:ascii="Aptos" w:hAnsi="Aptos"/>
          <w:lang w:val="fr-FR"/>
        </w:rPr>
      </w:pPr>
      <w:r w:rsidRPr="00653BF4">
        <w:rPr>
          <w:lang w:val="fr-FR"/>
        </w:rPr>
        <w:t>L</w:t>
      </w:r>
      <w:r w:rsidR="002A58C8" w:rsidRPr="00653BF4">
        <w:rPr>
          <w:lang w:val="fr-FR"/>
        </w:rPr>
        <w:t>’</w:t>
      </w:r>
      <w:r w:rsidRPr="00653BF4">
        <w:rPr>
          <w:lang w:val="fr-FR"/>
        </w:rPr>
        <w:t xml:space="preserve">une des principales contraintes mentionnées par les Parties dans leurs rapports sur la </w:t>
      </w:r>
      <w:r w:rsidR="00E34DC9">
        <w:rPr>
          <w:lang w:val="fr-FR"/>
        </w:rPr>
        <w:t>cible 2</w:t>
      </w:r>
      <w:r w:rsidRPr="00653BF4">
        <w:rPr>
          <w:lang w:val="fr-FR"/>
        </w:rPr>
        <w:t xml:space="preserve"> est l</w:t>
      </w:r>
      <w:r w:rsidR="002A58C8" w:rsidRPr="00653BF4">
        <w:rPr>
          <w:lang w:val="fr-FR"/>
        </w:rPr>
        <w:t>’</w:t>
      </w:r>
      <w:r w:rsidRPr="00653BF4">
        <w:rPr>
          <w:lang w:val="fr-FR"/>
        </w:rPr>
        <w:t xml:space="preserve">absence de définitions convenues au niveau national des termes </w:t>
      </w:r>
      <w:r w:rsidR="00E34DC9">
        <w:rPr>
          <w:lang w:val="fr-FR"/>
        </w:rPr>
        <w:t>« </w:t>
      </w:r>
      <w:r w:rsidRPr="00653BF4">
        <w:rPr>
          <w:lang w:val="fr-FR"/>
        </w:rPr>
        <w:t>dégradé</w:t>
      </w:r>
      <w:r w:rsidR="00E34DC9">
        <w:rPr>
          <w:lang w:val="fr-FR"/>
        </w:rPr>
        <w:t> »</w:t>
      </w:r>
      <w:r w:rsidRPr="00653BF4">
        <w:rPr>
          <w:lang w:val="fr-FR"/>
        </w:rPr>
        <w:t xml:space="preserve"> et </w:t>
      </w:r>
      <w:r w:rsidR="00E34DC9">
        <w:rPr>
          <w:lang w:val="fr-FR"/>
        </w:rPr>
        <w:t>« </w:t>
      </w:r>
      <w:r w:rsidRPr="00653BF4">
        <w:rPr>
          <w:lang w:val="fr-FR"/>
        </w:rPr>
        <w:t>remise en état efficace</w:t>
      </w:r>
      <w:r w:rsidR="00E34DC9">
        <w:rPr>
          <w:lang w:val="fr-FR"/>
        </w:rPr>
        <w:t> »</w:t>
      </w:r>
      <w:r w:rsidRPr="00653BF4">
        <w:rPr>
          <w:lang w:val="fr-FR"/>
        </w:rPr>
        <w:t>, ce qui empêche l</w:t>
      </w:r>
      <w:r w:rsidR="002A58C8" w:rsidRPr="00653BF4">
        <w:rPr>
          <w:lang w:val="fr-FR"/>
        </w:rPr>
        <w:t>’</w:t>
      </w:r>
      <w:r w:rsidRPr="00653BF4">
        <w:rPr>
          <w:lang w:val="fr-FR"/>
        </w:rPr>
        <w:t xml:space="preserve">établissement de références et entrave la mesure des progrès. Et ce, malgré les orientations mondiales relatives à la mise en œuvre de </w:t>
      </w:r>
      <w:r w:rsidR="00802C9D">
        <w:rPr>
          <w:lang w:val="fr-FR"/>
        </w:rPr>
        <w:t xml:space="preserve">la </w:t>
      </w:r>
      <w:r w:rsidR="00E34DC9">
        <w:rPr>
          <w:lang w:val="fr-FR"/>
        </w:rPr>
        <w:t>cible 2</w:t>
      </w:r>
      <w:r w:rsidRPr="00653BF4">
        <w:rPr>
          <w:lang w:val="fr-FR"/>
        </w:rPr>
        <w:t xml:space="preserve">, qui définissent la </w:t>
      </w:r>
      <w:r w:rsidR="00E34DC9">
        <w:rPr>
          <w:lang w:val="fr-FR"/>
        </w:rPr>
        <w:t>« </w:t>
      </w:r>
      <w:r w:rsidRPr="00653BF4">
        <w:rPr>
          <w:lang w:val="fr-FR"/>
        </w:rPr>
        <w:t>remise en état efficace</w:t>
      </w:r>
      <w:r w:rsidR="00E34DC9">
        <w:rPr>
          <w:lang w:val="fr-FR"/>
        </w:rPr>
        <w:t> »</w:t>
      </w:r>
      <w:r w:rsidRPr="00653BF4">
        <w:rPr>
          <w:lang w:val="fr-FR"/>
        </w:rPr>
        <w:t xml:space="preserve"> comme une remise en état fondée sur des normes, s</w:t>
      </w:r>
      <w:r w:rsidR="002A58C8" w:rsidRPr="00653BF4">
        <w:rPr>
          <w:lang w:val="fr-FR"/>
        </w:rPr>
        <w:t>’</w:t>
      </w:r>
      <w:r w:rsidRPr="00653BF4">
        <w:rPr>
          <w:lang w:val="fr-FR"/>
        </w:rPr>
        <w:t>appuyant sur des principes convenus, et aboutissant à un résultat net durable et convenablement équilibré, qui profite à la biodiversité, à l</w:t>
      </w:r>
      <w:r w:rsidR="002A58C8" w:rsidRPr="00653BF4">
        <w:rPr>
          <w:lang w:val="fr-FR"/>
        </w:rPr>
        <w:t>’</w:t>
      </w:r>
      <w:r w:rsidRPr="00653BF4">
        <w:rPr>
          <w:lang w:val="fr-FR"/>
        </w:rPr>
        <w:t>intégrité des écosystèmes et au bien-être humain, et les renforce (FAO et al., 2024).</w:t>
      </w:r>
    </w:p>
    <w:p w14:paraId="1DBA6B09" w14:textId="348C76D6" w:rsidR="00241203" w:rsidRPr="00653BF4" w:rsidRDefault="008F6530" w:rsidP="00241203">
      <w:pPr>
        <w:rPr>
          <w:rFonts w:ascii="Aptos" w:hAnsi="Aptos"/>
          <w:lang w:val="fr-FR"/>
        </w:rPr>
      </w:pPr>
      <w:r w:rsidRPr="00653BF4">
        <w:rPr>
          <w:rStyle w:val="normaltextrun"/>
          <w:rFonts w:ascii="Aptos" w:hAnsi="Aptos" w:cs="Segoe UI"/>
          <w:color w:val="000000" w:themeColor="text1"/>
          <w:shd w:val="clear" w:color="auto" w:fill="FFFFFF"/>
          <w:lang w:val="fr-FR"/>
        </w:rPr>
        <w:lastRenderedPageBreak/>
        <w:t>Il convient de prendre note que les données présentées ne comprennent pas nécessairement les écosystèmes dont la remise en état avait déjà commencé avant 2020 et se poursuit actuellement, et que tous les pays n</w:t>
      </w:r>
      <w:r w:rsidR="002A58C8" w:rsidRPr="00653BF4">
        <w:rPr>
          <w:rStyle w:val="normaltextrun"/>
          <w:rFonts w:ascii="Aptos" w:hAnsi="Aptos" w:cs="Segoe UI"/>
          <w:color w:val="000000" w:themeColor="text1"/>
          <w:shd w:val="clear" w:color="auto" w:fill="FFFFFF"/>
          <w:lang w:val="fr-FR"/>
        </w:rPr>
        <w:t>’</w:t>
      </w:r>
      <w:r w:rsidRPr="00653BF4">
        <w:rPr>
          <w:rStyle w:val="normaltextrun"/>
          <w:rFonts w:ascii="Aptos" w:hAnsi="Aptos" w:cs="Segoe UI"/>
          <w:color w:val="000000" w:themeColor="text1"/>
          <w:shd w:val="clear" w:color="auto" w:fill="FFFFFF"/>
          <w:lang w:val="fr-FR"/>
        </w:rPr>
        <w:t>ont pas présenté de données. La superficie des terres actuellement déclarées en cours de remise en état n</w:t>
      </w:r>
      <w:r w:rsidR="002A58C8" w:rsidRPr="00653BF4">
        <w:rPr>
          <w:rStyle w:val="normaltextrun"/>
          <w:rFonts w:ascii="Aptos" w:hAnsi="Aptos" w:cs="Segoe UI"/>
          <w:color w:val="000000" w:themeColor="text1"/>
          <w:shd w:val="clear" w:color="auto" w:fill="FFFFFF"/>
          <w:lang w:val="fr-FR"/>
        </w:rPr>
        <w:t>’</w:t>
      </w:r>
      <w:r w:rsidRPr="00653BF4">
        <w:rPr>
          <w:rStyle w:val="normaltextrun"/>
          <w:rFonts w:ascii="Aptos" w:hAnsi="Aptos" w:cs="Segoe UI"/>
          <w:color w:val="000000" w:themeColor="text1"/>
          <w:shd w:val="clear" w:color="auto" w:fill="FFFFFF"/>
          <w:lang w:val="fr-FR"/>
        </w:rPr>
        <w:t>est toutefois pas à la hauteur de la cible globale consistant à remettre en état 30</w:t>
      </w:r>
      <w:r w:rsidR="002878D7">
        <w:rPr>
          <w:rStyle w:val="normaltextrun"/>
          <w:rFonts w:ascii="Aptos" w:hAnsi="Aptos" w:cs="Segoe UI"/>
          <w:color w:val="000000" w:themeColor="text1"/>
          <w:shd w:val="clear" w:color="auto" w:fill="FFFFFF"/>
          <w:lang w:val="fr-FR"/>
        </w:rPr>
        <w:t> %</w:t>
      </w:r>
      <w:r w:rsidRPr="00653BF4">
        <w:rPr>
          <w:rStyle w:val="normaltextrun"/>
          <w:rFonts w:ascii="Aptos" w:hAnsi="Aptos" w:cs="Segoe UI"/>
          <w:color w:val="000000" w:themeColor="text1"/>
          <w:shd w:val="clear" w:color="auto" w:fill="FFFFFF"/>
          <w:lang w:val="fr-FR"/>
        </w:rPr>
        <w:t xml:space="preserve"> de l</w:t>
      </w:r>
      <w:r w:rsidR="002A58C8" w:rsidRPr="00653BF4">
        <w:rPr>
          <w:rStyle w:val="normaltextrun"/>
          <w:rFonts w:ascii="Aptos" w:hAnsi="Aptos" w:cs="Segoe UI"/>
          <w:color w:val="000000" w:themeColor="text1"/>
          <w:shd w:val="clear" w:color="auto" w:fill="FFFFFF"/>
          <w:lang w:val="fr-FR"/>
        </w:rPr>
        <w:t>’</w:t>
      </w:r>
      <w:r w:rsidRPr="00653BF4">
        <w:rPr>
          <w:rStyle w:val="normaltextrun"/>
          <w:rFonts w:ascii="Aptos" w:hAnsi="Aptos" w:cs="Segoe UI"/>
          <w:color w:val="000000" w:themeColor="text1"/>
          <w:shd w:val="clear" w:color="auto" w:fill="FFFFFF"/>
          <w:lang w:val="fr-FR"/>
        </w:rPr>
        <w:t>ensemble des écosystèmes dégradés. Des lacunes spécifiques sont à signaler dans le suivi des efforts de remise en état des écosystèmes d</w:t>
      </w:r>
      <w:r w:rsidR="002A58C8" w:rsidRPr="00653BF4">
        <w:rPr>
          <w:rStyle w:val="normaltextrun"/>
          <w:rFonts w:ascii="Aptos" w:hAnsi="Aptos" w:cs="Segoe UI"/>
          <w:color w:val="000000" w:themeColor="text1"/>
          <w:shd w:val="clear" w:color="auto" w:fill="FFFFFF"/>
          <w:lang w:val="fr-FR"/>
        </w:rPr>
        <w:t>’</w:t>
      </w:r>
      <w:r w:rsidRPr="00653BF4">
        <w:rPr>
          <w:rStyle w:val="normaltextrun"/>
          <w:rFonts w:ascii="Aptos" w:hAnsi="Aptos" w:cs="Segoe UI"/>
          <w:color w:val="000000" w:themeColor="text1"/>
          <w:shd w:val="clear" w:color="auto" w:fill="FFFFFF"/>
          <w:lang w:val="fr-FR"/>
        </w:rPr>
        <w:t>eaux intérieures, marins et côtiers. Ainsi, bien que les données disponibles suggèrent que les actions de remise en état augmentent globalement (</w:t>
      </w:r>
      <w:r w:rsidR="00592405" w:rsidRPr="00653BF4">
        <w:rPr>
          <w:rStyle w:val="normaltextrun"/>
          <w:rFonts w:ascii="Aptos" w:hAnsi="Aptos" w:cs="Segoe UI"/>
          <w:color w:val="000000" w:themeColor="text1"/>
          <w:shd w:val="clear" w:color="auto" w:fill="FFFFFF"/>
          <w:lang w:val="fr-FR"/>
        </w:rPr>
        <w:t>voir la figure </w:t>
      </w:r>
      <w:r w:rsidRPr="00653BF4">
        <w:rPr>
          <w:rStyle w:val="normaltextrun"/>
          <w:rFonts w:ascii="Aptos" w:hAnsi="Aptos" w:cs="Segoe UI"/>
          <w:color w:val="000000" w:themeColor="text1"/>
          <w:shd w:val="clear" w:color="auto" w:fill="FFFFFF"/>
          <w:lang w:val="fr-FR"/>
        </w:rPr>
        <w:t xml:space="preserve">11), leur niveau ne semble pas être à la hauteur de la </w:t>
      </w:r>
      <w:r w:rsidR="00E34DC9">
        <w:rPr>
          <w:rStyle w:val="normaltextrun"/>
          <w:rFonts w:ascii="Aptos" w:hAnsi="Aptos" w:cs="Segoe UI"/>
          <w:color w:val="000000" w:themeColor="text1"/>
          <w:shd w:val="clear" w:color="auto" w:fill="FFFFFF"/>
          <w:lang w:val="fr-FR"/>
        </w:rPr>
        <w:t>cible 2</w:t>
      </w:r>
      <w:r w:rsidRPr="00653BF4">
        <w:rPr>
          <w:rStyle w:val="normaltextrun"/>
          <w:rFonts w:ascii="Aptos" w:hAnsi="Aptos" w:cs="Segoe UI"/>
          <w:color w:val="000000" w:themeColor="text1"/>
          <w:shd w:val="clear" w:color="auto" w:fill="FFFFFF"/>
          <w:lang w:val="fr-FR"/>
        </w:rPr>
        <w:t>.</w:t>
      </w:r>
    </w:p>
    <w:p w14:paraId="2863A990" w14:textId="77777777" w:rsidR="00E57B81" w:rsidRPr="00653BF4" w:rsidRDefault="00E57B81" w:rsidP="00241203">
      <w:pPr>
        <w:rPr>
          <w:rFonts w:ascii="Aptos" w:hAnsi="Aptos"/>
          <w:lang w:val="fr-FR"/>
        </w:rPr>
      </w:pPr>
    </w:p>
    <w:p w14:paraId="1E030DE4" w14:textId="5815364C" w:rsidR="001D10FF" w:rsidRPr="00653BF4" w:rsidRDefault="001D10FF" w:rsidP="001D10FF">
      <w:pPr>
        <w:rPr>
          <w:rFonts w:ascii="Aptos" w:hAnsi="Aptos"/>
          <w:sz w:val="20"/>
          <w:szCs w:val="20"/>
          <w:lang w:val="fr-FR"/>
        </w:rPr>
      </w:pPr>
      <w:bookmarkStart w:id="92" w:name="_Ref230456799"/>
      <w:bookmarkStart w:id="93" w:name="_Ref235634345"/>
      <w:r w:rsidRPr="00653BF4">
        <w:rPr>
          <w:rFonts w:ascii="Aptos" w:hAnsi="Aptos"/>
          <w:sz w:val="20"/>
          <w:szCs w:val="20"/>
          <w:lang w:val="fr-FR"/>
        </w:rPr>
        <w:t>Figure 11</w:t>
      </w:r>
      <w:bookmarkEnd w:id="92"/>
    </w:p>
    <w:p w14:paraId="428FEBB5" w14:textId="30DEE3FD" w:rsidR="001D10FF" w:rsidRPr="00653BF4" w:rsidRDefault="00896BC2" w:rsidP="001D10FF">
      <w:pPr>
        <w:rPr>
          <w:rFonts w:ascii="Aptos" w:hAnsi="Aptos"/>
          <w:b/>
          <w:bCs/>
          <w:sz w:val="20"/>
          <w:szCs w:val="20"/>
          <w:lang w:val="fr-FR"/>
        </w:rPr>
      </w:pPr>
      <w:r w:rsidRPr="00653BF4">
        <w:rPr>
          <w:rFonts w:ascii="Aptos" w:hAnsi="Aptos"/>
          <w:b/>
          <w:bCs/>
          <w:sz w:val="20"/>
          <w:szCs w:val="20"/>
          <w:lang w:val="fr-FR"/>
        </w:rPr>
        <w:t>I</w:t>
      </w:r>
      <w:r w:rsidR="003C5C35" w:rsidRPr="00653BF4">
        <w:rPr>
          <w:rFonts w:ascii="Aptos" w:hAnsi="Aptos"/>
          <w:b/>
          <w:bCs/>
          <w:sz w:val="20"/>
          <w:szCs w:val="20"/>
          <w:lang w:val="fr-FR"/>
        </w:rPr>
        <w:t>ndicateur phare</w:t>
      </w:r>
      <w:r w:rsidR="001D10FF" w:rsidRPr="00653BF4">
        <w:rPr>
          <w:rFonts w:ascii="Aptos" w:hAnsi="Aptos"/>
          <w:b/>
          <w:bCs/>
          <w:sz w:val="20"/>
          <w:szCs w:val="20"/>
          <w:lang w:val="fr-FR"/>
        </w:rPr>
        <w:t xml:space="preserve"> 2.1 (</w:t>
      </w:r>
      <w:r w:rsidR="00CB7ABD">
        <w:rPr>
          <w:rFonts w:ascii="Aptos" w:hAnsi="Aptos"/>
          <w:b/>
          <w:bCs/>
          <w:sz w:val="20"/>
          <w:szCs w:val="20"/>
          <w:lang w:val="fr-FR"/>
        </w:rPr>
        <w:t xml:space="preserve">aires </w:t>
      </w:r>
      <w:r w:rsidR="00E029B1">
        <w:rPr>
          <w:rFonts w:ascii="Aptos" w:hAnsi="Aptos"/>
          <w:b/>
          <w:bCs/>
          <w:sz w:val="20"/>
          <w:szCs w:val="20"/>
          <w:lang w:val="fr-FR"/>
        </w:rPr>
        <w:t xml:space="preserve">faisant l’objet d’une </w:t>
      </w:r>
      <w:r w:rsidR="00CB7ABD">
        <w:rPr>
          <w:rFonts w:ascii="Aptos" w:hAnsi="Aptos"/>
          <w:b/>
          <w:bCs/>
          <w:sz w:val="20"/>
          <w:szCs w:val="20"/>
          <w:lang w:val="fr-FR"/>
        </w:rPr>
        <w:t>restauration</w:t>
      </w:r>
      <w:r w:rsidR="001D10FF" w:rsidRPr="00653BF4">
        <w:rPr>
          <w:rFonts w:ascii="Aptos" w:hAnsi="Aptos"/>
          <w:b/>
          <w:bCs/>
          <w:sz w:val="20"/>
          <w:szCs w:val="20"/>
          <w:lang w:val="fr-FR"/>
        </w:rPr>
        <w:t>)</w:t>
      </w:r>
      <w:bookmarkEnd w:id="93"/>
    </w:p>
    <w:p w14:paraId="294819A9" w14:textId="2E6D0939" w:rsidR="00E318A4" w:rsidRPr="00653BF4" w:rsidRDefault="00474685" w:rsidP="00D111CC">
      <w:pPr>
        <w:keepNext/>
        <w:rPr>
          <w:sz w:val="18"/>
          <w:szCs w:val="18"/>
          <w:lang w:val="fr-FR"/>
        </w:rPr>
      </w:pPr>
      <w:r w:rsidRPr="00653BF4">
        <w:rPr>
          <w:rFonts w:ascii="Aptos" w:hAnsi="Aptos"/>
          <w:noProof/>
          <w:lang w:val="fr-FR"/>
        </w:rPr>
        <w:drawing>
          <wp:inline distT="0" distB="0" distL="0" distR="0" wp14:anchorId="63C9867E" wp14:editId="4539706E">
            <wp:extent cx="5115263" cy="3838575"/>
            <wp:effectExtent l="0" t="0" r="0" b="0"/>
            <wp:docPr id="312265324" name="drawing">
              <a:extLst xmlns:a="http://schemas.openxmlformats.org/drawingml/2006/main">
                <a:ext uri="{FF2B5EF4-FFF2-40B4-BE49-F238E27FC236}">
                  <a16:creationId xmlns:a16="http://schemas.microsoft.com/office/drawing/2014/main" id="{9EAAC5CB-D44F-4D1D-A537-608355C046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65324" name=""/>
                    <pic:cNvPicPr/>
                  </pic:nvPicPr>
                  <pic:blipFill>
                    <a:blip r:embed="rId58">
                      <a:extLst>
                        <a:ext uri="{28A0092B-C50C-407E-A947-70E740481C1C}">
                          <a14:useLocalDpi xmlns:a14="http://schemas.microsoft.com/office/drawing/2010/main"/>
                        </a:ext>
                      </a:extLst>
                    </a:blip>
                    <a:stretch>
                      <a:fillRect/>
                    </a:stretch>
                  </pic:blipFill>
                  <pic:spPr>
                    <a:xfrm>
                      <a:off x="0" y="0"/>
                      <a:ext cx="5115263" cy="3838575"/>
                    </a:xfrm>
                    <a:prstGeom prst="rect">
                      <a:avLst/>
                    </a:prstGeom>
                  </pic:spPr>
                </pic:pic>
              </a:graphicData>
            </a:graphic>
          </wp:inline>
        </w:drawing>
      </w:r>
    </w:p>
    <w:p w14:paraId="6A55A096" w14:textId="7F08896B" w:rsidR="0089407D" w:rsidRPr="00653BF4" w:rsidRDefault="006A631C" w:rsidP="0089407D">
      <w:pPr>
        <w:pStyle w:val="Caption"/>
        <w:rPr>
          <w:i w:val="0"/>
          <w:iCs w:val="0"/>
          <w:sz w:val="16"/>
          <w:szCs w:val="16"/>
          <w:lang w:val="fr-FR"/>
        </w:rPr>
      </w:pPr>
      <w:r w:rsidRPr="00653BF4">
        <w:rPr>
          <w:lang w:val="fr-FR"/>
        </w:rPr>
        <w:t>Note</w:t>
      </w:r>
      <w:r w:rsidR="00E34DC9">
        <w:rPr>
          <w:lang w:val="fr-FR"/>
        </w:rPr>
        <w:t> :</w:t>
      </w:r>
      <w:r w:rsidR="0089407D" w:rsidRPr="00653BF4">
        <w:rPr>
          <w:i w:val="0"/>
          <w:iCs w:val="0"/>
          <w:lang w:val="fr-FR"/>
        </w:rPr>
        <w:t xml:space="preserve"> </w:t>
      </w:r>
      <w:r w:rsidR="00F76C47" w:rsidRPr="00653BF4">
        <w:rPr>
          <w:i w:val="0"/>
          <w:iCs w:val="0"/>
          <w:lang w:val="fr-FR"/>
        </w:rPr>
        <w:t>Ces valeurs indiquent la superficie cumulée en cours de remise en état, sur la base de l</w:t>
      </w:r>
      <w:r w:rsidR="002A58C8" w:rsidRPr="00653BF4">
        <w:rPr>
          <w:i w:val="0"/>
          <w:iCs w:val="0"/>
          <w:lang w:val="fr-FR"/>
        </w:rPr>
        <w:t>’</w:t>
      </w:r>
      <w:r w:rsidR="00F76C47" w:rsidRPr="00653BF4">
        <w:rPr>
          <w:i w:val="0"/>
          <w:iCs w:val="0"/>
          <w:lang w:val="fr-FR"/>
        </w:rPr>
        <w:t xml:space="preserve">ensemble des données communiquées par les Parties. Le diagramme à barres situé à droite présente la répartition, par région, des Parties ayant fourni des données pour ce graphique. </w:t>
      </w:r>
      <w:r w:rsidR="000272ED" w:rsidRPr="00653BF4">
        <w:rPr>
          <w:i w:val="0"/>
          <w:iCs w:val="0"/>
          <w:lang w:val="fr-FR"/>
        </w:rPr>
        <w:t>La couleur de chaque région est indiquée dans la légende de la figure</w:t>
      </w:r>
      <w:r w:rsidR="00E34DC9">
        <w:rPr>
          <w:i w:val="0"/>
          <w:iCs w:val="0"/>
          <w:lang w:val="fr-FR"/>
        </w:rPr>
        <w:t> :</w:t>
      </w:r>
      <w:r w:rsidR="000272ED"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000272ED" w:rsidRPr="00653BF4">
        <w:rPr>
          <w:i w:val="0"/>
          <w:iCs w:val="0"/>
          <w:lang w:val="fr-FR"/>
        </w:rPr>
        <w:t xml:space="preserve"> les tons plus clairs, la proportion de Parties de la même région dont les données n’y figurent pas. </w:t>
      </w:r>
      <w:r w:rsidR="00F76C47" w:rsidRPr="00653BF4">
        <w:rPr>
          <w:i w:val="0"/>
          <w:iCs w:val="0"/>
          <w:lang w:val="fr-FR"/>
        </w:rPr>
        <w:t>La superficie totale présentée ici est probablement inférieure à la superficie totale des zones en cours de remise en état en raison des limites de la collecte de données et doit être considérée comme une estimation a minima. Les tendances s</w:t>
      </w:r>
      <w:r w:rsidR="002A58C8" w:rsidRPr="00653BF4">
        <w:rPr>
          <w:i w:val="0"/>
          <w:iCs w:val="0"/>
          <w:lang w:val="fr-FR"/>
        </w:rPr>
        <w:t>’</w:t>
      </w:r>
      <w:r w:rsidR="00F76C47" w:rsidRPr="00653BF4">
        <w:rPr>
          <w:i w:val="0"/>
          <w:iCs w:val="0"/>
          <w:lang w:val="fr-FR"/>
        </w:rPr>
        <w:t>appuient sur les données fournies par 51</w:t>
      </w:r>
      <w:r w:rsidR="000754FF" w:rsidRPr="00653BF4">
        <w:rPr>
          <w:i w:val="0"/>
          <w:iCs w:val="0"/>
          <w:lang w:val="fr-FR"/>
        </w:rPr>
        <w:t> </w:t>
      </w:r>
      <w:r w:rsidR="00F76C47" w:rsidRPr="00653BF4">
        <w:rPr>
          <w:i w:val="0"/>
          <w:iCs w:val="0"/>
          <w:lang w:val="fr-FR"/>
        </w:rPr>
        <w:t>Parties.</w:t>
      </w:r>
    </w:p>
    <w:tbl>
      <w:tblPr>
        <w:tblStyle w:val="TableGrid"/>
        <w:tblW w:w="0" w:type="auto"/>
        <w:tblLook w:val="06A0" w:firstRow="1" w:lastRow="0" w:firstColumn="1" w:lastColumn="0" w:noHBand="1" w:noVBand="1"/>
      </w:tblPr>
      <w:tblGrid>
        <w:gridCol w:w="4058"/>
        <w:gridCol w:w="4301"/>
      </w:tblGrid>
      <w:tr w:rsidR="003246FC" w:rsidRPr="006833AC" w14:paraId="3240A0AC" w14:textId="77777777" w:rsidTr="009B4355">
        <w:tc>
          <w:tcPr>
            <w:tcW w:w="8359" w:type="dxa"/>
            <w:gridSpan w:val="2"/>
          </w:tcPr>
          <w:p w14:paraId="52416806" w14:textId="77777777" w:rsidR="003246FC" w:rsidRPr="006833AC" w:rsidRDefault="003246FC" w:rsidP="009B4355">
            <w:pPr>
              <w:rPr>
                <w:rFonts w:ascii="Aptos" w:eastAsia="Segoe UI" w:hAnsi="Aptos" w:cs="Segoe UI"/>
                <w:color w:val="0F1115"/>
              </w:rPr>
            </w:pPr>
            <w:r w:rsidRPr="006833AC">
              <w:rPr>
                <w:rFonts w:ascii="Aptos" w:eastAsia="Segoe UI" w:hAnsi="Aptos" w:cs="Segoe UI"/>
                <w:color w:val="0F1115"/>
              </w:rPr>
              <w:lastRenderedPageBreak/>
              <w:t>Figure 11</w:t>
            </w:r>
          </w:p>
        </w:tc>
      </w:tr>
      <w:tr w:rsidR="003246FC" w:rsidRPr="006833AC" w14:paraId="50E5DE8F" w14:textId="77777777" w:rsidTr="009B4355">
        <w:tc>
          <w:tcPr>
            <w:tcW w:w="4058" w:type="dxa"/>
          </w:tcPr>
          <w:p w14:paraId="7460AEF0" w14:textId="77777777" w:rsidR="003246FC" w:rsidRPr="006833AC" w:rsidRDefault="003246FC" w:rsidP="009B4355">
            <w:pPr>
              <w:rPr>
                <w:rFonts w:ascii="Aptos" w:hAnsi="Aptos"/>
              </w:rPr>
            </w:pPr>
            <w:r w:rsidRPr="006833AC">
              <w:rPr>
                <w:rFonts w:ascii="Aptos" w:eastAsia="Segoe UI" w:hAnsi="Aptos" w:cs="Segoe UI"/>
                <w:color w:val="0F1115"/>
              </w:rPr>
              <w:t xml:space="preserve">English </w:t>
            </w:r>
          </w:p>
        </w:tc>
        <w:tc>
          <w:tcPr>
            <w:tcW w:w="4301" w:type="dxa"/>
          </w:tcPr>
          <w:p w14:paraId="3C241FD4" w14:textId="77777777" w:rsidR="003246FC" w:rsidRPr="006833AC" w:rsidRDefault="003246FC" w:rsidP="009B4355">
            <w:pPr>
              <w:rPr>
                <w:rFonts w:ascii="Aptos" w:hAnsi="Aptos"/>
              </w:rPr>
            </w:pPr>
            <w:r>
              <w:rPr>
                <w:rFonts w:ascii="Aptos" w:eastAsia="Segoe UI" w:hAnsi="Aptos" w:cs="Segoe UI"/>
                <w:color w:val="0F1115"/>
              </w:rPr>
              <w:t>Français</w:t>
            </w:r>
          </w:p>
        </w:tc>
      </w:tr>
      <w:tr w:rsidR="003246FC" w:rsidRPr="003A6336" w14:paraId="5D80F3F4" w14:textId="77777777" w:rsidTr="009B4355">
        <w:tc>
          <w:tcPr>
            <w:tcW w:w="4058" w:type="dxa"/>
          </w:tcPr>
          <w:p w14:paraId="1D97E5EC" w14:textId="77777777" w:rsidR="003246FC" w:rsidRPr="003A6336" w:rsidRDefault="003246FC" w:rsidP="009B4355">
            <w:pPr>
              <w:rPr>
                <w:rFonts w:ascii="Aptos" w:hAnsi="Aptos"/>
              </w:rPr>
            </w:pPr>
            <w:r w:rsidRPr="003A6336">
              <w:rPr>
                <w:rFonts w:ascii="Aptos" w:eastAsia="Segoe UI" w:hAnsi="Aptos" w:cs="Segoe UI"/>
                <w:color w:val="0F1115"/>
              </w:rPr>
              <w:t>Area under restoration</w:t>
            </w:r>
            <w:r>
              <w:rPr>
                <w:rFonts w:ascii="Aptos" w:eastAsia="Segoe UI" w:hAnsi="Aptos" w:cs="Segoe UI"/>
                <w:color w:val="0F1115"/>
              </w:rPr>
              <w:t xml:space="preserve"> </w:t>
            </w:r>
          </w:p>
        </w:tc>
        <w:tc>
          <w:tcPr>
            <w:tcW w:w="4301" w:type="dxa"/>
          </w:tcPr>
          <w:p w14:paraId="675C5DA2" w14:textId="77777777" w:rsidR="003246FC" w:rsidRPr="003A6336" w:rsidRDefault="003246FC" w:rsidP="009B4355">
            <w:pPr>
              <w:rPr>
                <w:rFonts w:ascii="Aptos" w:hAnsi="Aptos"/>
              </w:rPr>
            </w:pPr>
            <w:r>
              <w:rPr>
                <w:rFonts w:ascii="Aptos" w:eastAsia="Segoe UI" w:hAnsi="Aptos" w:cs="Segoe UI"/>
                <w:color w:val="0F1115"/>
              </w:rPr>
              <w:t>Aire en cours de restauration</w:t>
            </w:r>
          </w:p>
        </w:tc>
      </w:tr>
      <w:tr w:rsidR="003246FC" w:rsidRPr="003A6336" w14:paraId="0CFDFFD7" w14:textId="77777777" w:rsidTr="009B4355">
        <w:tc>
          <w:tcPr>
            <w:tcW w:w="4058" w:type="dxa"/>
          </w:tcPr>
          <w:p w14:paraId="371BCB41" w14:textId="77777777" w:rsidR="003246FC" w:rsidRPr="003A6336" w:rsidRDefault="003246FC" w:rsidP="009B4355">
            <w:pPr>
              <w:rPr>
                <w:rFonts w:ascii="Aptos" w:hAnsi="Aptos"/>
              </w:rPr>
            </w:pPr>
            <w:r w:rsidRPr="003A6336">
              <w:rPr>
                <w:rFonts w:ascii="Aptos" w:eastAsia="Segoe UI" w:hAnsi="Aptos" w:cs="Segoe UI"/>
                <w:color w:val="0F1115"/>
              </w:rPr>
              <w:t>Year</w:t>
            </w:r>
          </w:p>
        </w:tc>
        <w:tc>
          <w:tcPr>
            <w:tcW w:w="4301" w:type="dxa"/>
          </w:tcPr>
          <w:p w14:paraId="405160DE" w14:textId="77777777" w:rsidR="003246FC" w:rsidRPr="003A6336" w:rsidRDefault="003246FC" w:rsidP="009B4355">
            <w:pPr>
              <w:rPr>
                <w:rFonts w:ascii="Aptos" w:hAnsi="Aptos"/>
              </w:rPr>
            </w:pPr>
            <w:r>
              <w:rPr>
                <w:rFonts w:ascii="Aptos" w:eastAsia="Segoe UI" w:hAnsi="Aptos" w:cs="Segoe UI"/>
                <w:color w:val="0F1115"/>
              </w:rPr>
              <w:t>Année</w:t>
            </w:r>
            <w:r w:rsidRPr="003A6336">
              <w:rPr>
                <w:rFonts w:ascii="Aptos" w:eastAsia="Segoe UI" w:hAnsi="Aptos" w:cs="Segoe UI"/>
                <w:color w:val="0F1115"/>
              </w:rPr>
              <w:t xml:space="preserve"> </w:t>
            </w:r>
          </w:p>
        </w:tc>
      </w:tr>
      <w:tr w:rsidR="003246FC" w:rsidRPr="003A6336" w14:paraId="5E597FB1" w14:textId="77777777" w:rsidTr="009B4355">
        <w:tc>
          <w:tcPr>
            <w:tcW w:w="4058" w:type="dxa"/>
          </w:tcPr>
          <w:p w14:paraId="074C90C2" w14:textId="77777777" w:rsidR="003246FC" w:rsidRPr="003A6336" w:rsidRDefault="003246FC" w:rsidP="009B4355">
            <w:pPr>
              <w:rPr>
                <w:rFonts w:ascii="Aptos" w:hAnsi="Aptos"/>
              </w:rPr>
            </w:pPr>
            <w:r w:rsidRPr="003A6336">
              <w:rPr>
                <w:rFonts w:ascii="Aptos" w:eastAsia="Segoe UI" w:hAnsi="Aptos" w:cs="Segoe UI"/>
                <w:color w:val="0F1115"/>
              </w:rPr>
              <w:t>(million hectares)</w:t>
            </w:r>
          </w:p>
        </w:tc>
        <w:tc>
          <w:tcPr>
            <w:tcW w:w="4301" w:type="dxa"/>
          </w:tcPr>
          <w:p w14:paraId="1F5A180D" w14:textId="77777777" w:rsidR="003246FC" w:rsidRPr="003A6336" w:rsidRDefault="003246FC" w:rsidP="009B4355">
            <w:pPr>
              <w:rPr>
                <w:rFonts w:ascii="Aptos" w:hAnsi="Aptos"/>
              </w:rPr>
            </w:pPr>
            <w:r>
              <w:rPr>
                <w:rFonts w:ascii="Aptos" w:hAnsi="Aptos"/>
              </w:rPr>
              <w:t>(en millions d’hectares)</w:t>
            </w:r>
          </w:p>
        </w:tc>
      </w:tr>
      <w:tr w:rsidR="003246FC" w:rsidRPr="003A6336" w14:paraId="49CCF53C" w14:textId="77777777" w:rsidTr="009B4355">
        <w:tc>
          <w:tcPr>
            <w:tcW w:w="4058" w:type="dxa"/>
          </w:tcPr>
          <w:p w14:paraId="2A848264" w14:textId="77777777" w:rsidR="003246FC" w:rsidRPr="003A6336" w:rsidRDefault="003246FC" w:rsidP="009B4355">
            <w:pPr>
              <w:rPr>
                <w:rFonts w:ascii="Aptos" w:hAnsi="Aptos"/>
              </w:rPr>
            </w:pPr>
            <w:r w:rsidRPr="003A6336">
              <w:rPr>
                <w:rFonts w:ascii="Aptos" w:eastAsia="Segoe UI" w:hAnsi="Aptos" w:cs="Segoe UI"/>
                <w:color w:val="0F1115"/>
              </w:rPr>
              <w:t>Party count by region</w:t>
            </w:r>
          </w:p>
        </w:tc>
        <w:tc>
          <w:tcPr>
            <w:tcW w:w="4301" w:type="dxa"/>
          </w:tcPr>
          <w:p w14:paraId="388B0F0B" w14:textId="77777777" w:rsidR="003246FC" w:rsidRPr="003A6336" w:rsidRDefault="003246FC" w:rsidP="009B4355">
            <w:pPr>
              <w:rPr>
                <w:rFonts w:ascii="Aptos" w:hAnsi="Aptos"/>
              </w:rPr>
            </w:pPr>
            <w:r>
              <w:rPr>
                <w:rFonts w:ascii="Aptos" w:hAnsi="Aptos"/>
              </w:rPr>
              <w:t>Nombre de Parties par région</w:t>
            </w:r>
          </w:p>
        </w:tc>
      </w:tr>
      <w:tr w:rsidR="003246FC" w:rsidRPr="003A6336" w14:paraId="7CD13044" w14:textId="77777777" w:rsidTr="009B4355">
        <w:tc>
          <w:tcPr>
            <w:tcW w:w="4058" w:type="dxa"/>
          </w:tcPr>
          <w:p w14:paraId="56E8C946"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4301" w:type="dxa"/>
          </w:tcPr>
          <w:p w14:paraId="3B7E7166"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79ED83F5" w14:textId="77777777" w:rsidTr="009B4355">
        <w:tc>
          <w:tcPr>
            <w:tcW w:w="4058" w:type="dxa"/>
          </w:tcPr>
          <w:p w14:paraId="00359539" w14:textId="77777777" w:rsidR="003246FC" w:rsidRPr="003A6336" w:rsidRDefault="003246FC" w:rsidP="009B4355">
            <w:pPr>
              <w:rPr>
                <w:rFonts w:ascii="Aptos" w:hAnsi="Aptos"/>
              </w:rPr>
            </w:pPr>
            <w:r w:rsidRPr="003A6336">
              <w:rPr>
                <w:rFonts w:ascii="Aptos" w:eastAsia="Segoe UI" w:hAnsi="Aptos" w:cs="Segoe UI"/>
                <w:color w:val="0F1115"/>
              </w:rPr>
              <w:t>Africa</w:t>
            </w:r>
            <w:r>
              <w:rPr>
                <w:rFonts w:ascii="Aptos" w:eastAsia="Segoe UI" w:hAnsi="Aptos" w:cs="Segoe UI"/>
                <w:color w:val="0F1115"/>
              </w:rPr>
              <w:t>n States</w:t>
            </w:r>
          </w:p>
        </w:tc>
        <w:tc>
          <w:tcPr>
            <w:tcW w:w="4301" w:type="dxa"/>
          </w:tcPr>
          <w:p w14:paraId="22AA4A34"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53FEA8A1" w14:textId="77777777" w:rsidTr="009B4355">
        <w:tc>
          <w:tcPr>
            <w:tcW w:w="4058" w:type="dxa"/>
          </w:tcPr>
          <w:p w14:paraId="27EC38C7" w14:textId="77777777" w:rsidR="003246FC" w:rsidRPr="003A6336" w:rsidRDefault="003246FC" w:rsidP="009B4355">
            <w:pPr>
              <w:rPr>
                <w:rFonts w:ascii="Aptos" w:hAnsi="Aptos"/>
              </w:rPr>
            </w:pPr>
            <w:r w:rsidRPr="003A6336">
              <w:rPr>
                <w:rFonts w:ascii="Aptos" w:eastAsia="Segoe UI" w:hAnsi="Aptos" w:cs="Segoe UI"/>
                <w:color w:val="0F1115"/>
              </w:rPr>
              <w:t>Asia</w:t>
            </w:r>
            <w:r>
              <w:rPr>
                <w:rFonts w:ascii="Aptos" w:eastAsia="Segoe UI" w:hAnsi="Aptos" w:cs="Segoe UI"/>
                <w:color w:val="0F1115"/>
              </w:rPr>
              <w:t>-</w:t>
            </w:r>
            <w:r w:rsidRPr="003A6336">
              <w:rPr>
                <w:rFonts w:ascii="Aptos" w:eastAsia="Segoe UI" w:hAnsi="Aptos" w:cs="Segoe UI"/>
                <w:color w:val="0F1115"/>
              </w:rPr>
              <w:t xml:space="preserve"> Pacific</w:t>
            </w:r>
            <w:r>
              <w:rPr>
                <w:rFonts w:ascii="Aptos" w:eastAsia="Segoe UI" w:hAnsi="Aptos" w:cs="Segoe UI"/>
                <w:color w:val="0F1115"/>
              </w:rPr>
              <w:t xml:space="preserve"> States</w:t>
            </w:r>
          </w:p>
        </w:tc>
        <w:tc>
          <w:tcPr>
            <w:tcW w:w="4301" w:type="dxa"/>
          </w:tcPr>
          <w:p w14:paraId="2C4AFDFD"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1DF7605A" w14:textId="77777777" w:rsidTr="009B4355">
        <w:tc>
          <w:tcPr>
            <w:tcW w:w="4058" w:type="dxa"/>
          </w:tcPr>
          <w:p w14:paraId="6B97FA88" w14:textId="77777777" w:rsidR="003246FC" w:rsidRPr="003A6336" w:rsidRDefault="003246FC" w:rsidP="009B4355">
            <w:pPr>
              <w:rPr>
                <w:rFonts w:ascii="Aptos" w:hAnsi="Aptos"/>
              </w:rPr>
            </w:pPr>
            <w:r w:rsidRPr="003A6336">
              <w:rPr>
                <w:rFonts w:ascii="Aptos" w:eastAsia="Segoe UI" w:hAnsi="Aptos" w:cs="Segoe UI"/>
                <w:color w:val="0F1115"/>
              </w:rPr>
              <w:t>Latin America</w:t>
            </w:r>
            <w:r>
              <w:rPr>
                <w:rFonts w:ascii="Aptos" w:eastAsia="Segoe UI" w:hAnsi="Aptos" w:cs="Segoe UI"/>
                <w:color w:val="0F1115"/>
              </w:rPr>
              <w:t>n</w:t>
            </w:r>
            <w:r w:rsidRPr="003A6336">
              <w:rPr>
                <w:rFonts w:ascii="Aptos" w:eastAsia="Segoe UI" w:hAnsi="Aptos" w:cs="Segoe UI"/>
                <w:color w:val="0F1115"/>
              </w:rPr>
              <w:t xml:space="preserve"> and Caribbean</w:t>
            </w:r>
            <w:r>
              <w:rPr>
                <w:rFonts w:ascii="Aptos" w:eastAsia="Segoe UI" w:hAnsi="Aptos" w:cs="Segoe UI"/>
                <w:color w:val="0F1115"/>
              </w:rPr>
              <w:t xml:space="preserve"> States</w:t>
            </w:r>
          </w:p>
        </w:tc>
        <w:tc>
          <w:tcPr>
            <w:tcW w:w="4301" w:type="dxa"/>
          </w:tcPr>
          <w:p w14:paraId="40732FA3"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20F13EE8" w14:textId="77777777" w:rsidTr="009B4355">
        <w:tc>
          <w:tcPr>
            <w:tcW w:w="4058" w:type="dxa"/>
          </w:tcPr>
          <w:p w14:paraId="363811E5" w14:textId="77777777" w:rsidR="003246FC" w:rsidRPr="003A6336" w:rsidRDefault="003246FC" w:rsidP="009B4355">
            <w:pPr>
              <w:rPr>
                <w:rFonts w:ascii="Aptos" w:hAnsi="Aptos"/>
              </w:rPr>
            </w:pPr>
            <w:r w:rsidRPr="003A6336">
              <w:rPr>
                <w:rFonts w:ascii="Aptos" w:eastAsia="Segoe UI" w:hAnsi="Aptos" w:cs="Segoe UI"/>
                <w:color w:val="0F1115"/>
              </w:rPr>
              <w:t>Eastern Europe</w:t>
            </w:r>
            <w:r>
              <w:rPr>
                <w:rFonts w:ascii="Aptos" w:eastAsia="Segoe UI" w:hAnsi="Aptos" w:cs="Segoe UI"/>
                <w:color w:val="0F1115"/>
              </w:rPr>
              <w:t>an States</w:t>
            </w:r>
          </w:p>
        </w:tc>
        <w:tc>
          <w:tcPr>
            <w:tcW w:w="4301" w:type="dxa"/>
          </w:tcPr>
          <w:p w14:paraId="201356AF"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663B4096" w14:textId="77777777" w:rsidTr="009B4355">
        <w:tc>
          <w:tcPr>
            <w:tcW w:w="4058" w:type="dxa"/>
          </w:tcPr>
          <w:p w14:paraId="6207211F" w14:textId="77777777" w:rsidR="003246FC" w:rsidRPr="003A6336" w:rsidRDefault="003246FC" w:rsidP="009B4355">
            <w:pPr>
              <w:rPr>
                <w:rFonts w:ascii="Aptos" w:hAnsi="Aptos"/>
              </w:rPr>
            </w:pPr>
            <w:r w:rsidRPr="003A6336">
              <w:rPr>
                <w:rFonts w:ascii="Aptos" w:eastAsia="Segoe UI" w:hAnsi="Aptos" w:cs="Segoe UI"/>
                <w:color w:val="0F1115"/>
              </w:rPr>
              <w:t>Western Europe</w:t>
            </w:r>
            <w:r>
              <w:rPr>
                <w:rFonts w:ascii="Aptos" w:eastAsia="Segoe UI" w:hAnsi="Aptos" w:cs="Segoe UI"/>
                <w:color w:val="0F1115"/>
              </w:rPr>
              <w:t>an</w:t>
            </w:r>
            <w:r w:rsidRPr="003A6336">
              <w:rPr>
                <w:rFonts w:ascii="Aptos" w:eastAsia="Segoe UI" w:hAnsi="Aptos" w:cs="Segoe UI"/>
                <w:color w:val="0F1115"/>
              </w:rPr>
              <w:t xml:space="preserve"> and </w:t>
            </w:r>
            <w:r>
              <w:rPr>
                <w:rFonts w:ascii="Aptos" w:eastAsia="Segoe UI" w:hAnsi="Aptos" w:cs="Segoe UI"/>
                <w:color w:val="0F1115"/>
              </w:rPr>
              <w:t>o</w:t>
            </w:r>
            <w:r w:rsidRPr="003A6336">
              <w:rPr>
                <w:rFonts w:ascii="Aptos" w:eastAsia="Segoe UI" w:hAnsi="Aptos" w:cs="Segoe UI"/>
                <w:color w:val="0F1115"/>
              </w:rPr>
              <w:t xml:space="preserve">ther </w:t>
            </w:r>
            <w:r>
              <w:rPr>
                <w:rFonts w:ascii="Aptos" w:eastAsia="Segoe UI" w:hAnsi="Aptos" w:cs="Segoe UI"/>
                <w:color w:val="0F1115"/>
              </w:rPr>
              <w:t>States</w:t>
            </w:r>
          </w:p>
        </w:tc>
        <w:tc>
          <w:tcPr>
            <w:tcW w:w="4301" w:type="dxa"/>
          </w:tcPr>
          <w:p w14:paraId="468E901B"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7896B571" w14:textId="77777777" w:rsidTr="009B4355">
        <w:tc>
          <w:tcPr>
            <w:tcW w:w="4058" w:type="dxa"/>
          </w:tcPr>
          <w:p w14:paraId="0A29A019" w14:textId="77777777" w:rsidR="003246FC" w:rsidRPr="003A6336" w:rsidRDefault="003246FC" w:rsidP="009B4355">
            <w:pPr>
              <w:rPr>
                <w:rFonts w:ascii="Aptos" w:hAnsi="Aptos"/>
              </w:rPr>
            </w:pPr>
            <w:r w:rsidRPr="003A6336">
              <w:rPr>
                <w:rFonts w:ascii="Aptos" w:eastAsia="Segoe UI" w:hAnsi="Aptos" w:cs="Segoe UI"/>
                <w:color w:val="0F1115"/>
              </w:rPr>
              <w:t>Party count: 51</w:t>
            </w:r>
          </w:p>
        </w:tc>
        <w:tc>
          <w:tcPr>
            <w:tcW w:w="4301" w:type="dxa"/>
          </w:tcPr>
          <w:p w14:paraId="79EF9E3E" w14:textId="77777777" w:rsidR="003246FC" w:rsidRPr="003A6336" w:rsidRDefault="003246FC" w:rsidP="009B4355">
            <w:pPr>
              <w:rPr>
                <w:rFonts w:ascii="Aptos" w:hAnsi="Aptos"/>
              </w:rPr>
            </w:pPr>
            <w:r>
              <w:rPr>
                <w:rFonts w:ascii="Aptos" w:hAnsi="Aptos"/>
              </w:rPr>
              <w:t>Nombre de Parties : 51</w:t>
            </w:r>
          </w:p>
        </w:tc>
      </w:tr>
    </w:tbl>
    <w:p w14:paraId="6F9BDB5B" w14:textId="77777777" w:rsidR="00344E1F" w:rsidRPr="00653BF4" w:rsidRDefault="00344E1F" w:rsidP="00344E1F">
      <w:pPr>
        <w:keepNext/>
        <w:rPr>
          <w:rFonts w:ascii="Aptos" w:hAnsi="Aptos"/>
          <w:lang w:val="fr-FR"/>
        </w:rPr>
      </w:pPr>
    </w:p>
    <w:p w14:paraId="6FB63E90" w14:textId="3AC48A93" w:rsidR="001E7E5B" w:rsidRPr="00653BF4" w:rsidRDefault="001E7E5B" w:rsidP="001E7E5B">
      <w:pPr>
        <w:keepNext/>
        <w:rPr>
          <w:rFonts w:ascii="Aptos" w:hAnsi="Aptos"/>
          <w:sz w:val="20"/>
          <w:szCs w:val="20"/>
          <w:lang w:val="fr-FR"/>
        </w:rPr>
      </w:pPr>
      <w:r w:rsidRPr="00653BF4">
        <w:rPr>
          <w:rFonts w:ascii="Aptos" w:hAnsi="Aptos"/>
          <w:sz w:val="20"/>
          <w:szCs w:val="20"/>
          <w:lang w:val="fr-FR"/>
        </w:rPr>
        <w:t>Figure 12</w:t>
      </w:r>
    </w:p>
    <w:p w14:paraId="3D8AFCFE" w14:textId="2AB39696" w:rsidR="001E7E5B" w:rsidRPr="00653BF4" w:rsidRDefault="00326CFF" w:rsidP="00DA3DBA">
      <w:pPr>
        <w:rPr>
          <w:rFonts w:ascii="Aptos" w:hAnsi="Aptos"/>
          <w:i/>
          <w:iCs/>
          <w:sz w:val="20"/>
          <w:szCs w:val="20"/>
          <w:lang w:val="fr-FR"/>
        </w:rPr>
      </w:pPr>
      <w:r w:rsidRPr="00653BF4">
        <w:rPr>
          <w:rFonts w:ascii="Aptos" w:hAnsi="Aptos"/>
          <w:b/>
          <w:bCs/>
          <w:sz w:val="20"/>
          <w:szCs w:val="20"/>
          <w:lang w:val="fr-FR"/>
        </w:rPr>
        <w:t xml:space="preserve">Pourcentage d’indicateurs alignés sur la </w:t>
      </w:r>
      <w:r w:rsidR="00E34DC9">
        <w:rPr>
          <w:rFonts w:ascii="Aptos" w:hAnsi="Aptos"/>
          <w:b/>
          <w:bCs/>
          <w:sz w:val="20"/>
          <w:szCs w:val="20"/>
          <w:lang w:val="fr-FR"/>
        </w:rPr>
        <w:t>cible 2</w:t>
      </w:r>
      <w:r w:rsidRPr="00653BF4">
        <w:rPr>
          <w:rFonts w:ascii="Aptos" w:hAnsi="Aptos"/>
          <w:b/>
          <w:bCs/>
          <w:sz w:val="20"/>
          <w:szCs w:val="20"/>
          <w:lang w:val="fr-FR"/>
        </w:rPr>
        <w:t xml:space="preserve"> du Cadre, selon qu’ils indiquent une tendance positive, stable ou négative</w:t>
      </w:r>
    </w:p>
    <w:p w14:paraId="2AE77017" w14:textId="5BD28535" w:rsidR="00E318A4" w:rsidRPr="00653BF4" w:rsidRDefault="00344E1F" w:rsidP="00C96507">
      <w:pPr>
        <w:pStyle w:val="Caption"/>
        <w:keepNext/>
        <w:rPr>
          <w:lang w:val="fr-FR"/>
        </w:rPr>
      </w:pPr>
      <w:bookmarkStart w:id="94" w:name="_Ref230007982"/>
      <w:r w:rsidRPr="00653BF4">
        <w:rPr>
          <w:rFonts w:ascii="Aptos" w:hAnsi="Aptos"/>
          <w:noProof/>
          <w:lang w:val="fr-FR"/>
        </w:rPr>
        <w:drawing>
          <wp:inline distT="0" distB="0" distL="0" distR="0" wp14:anchorId="7C07687C" wp14:editId="4340536F">
            <wp:extent cx="5724525" cy="2457450"/>
            <wp:effectExtent l="0" t="0" r="0" b="0"/>
            <wp:docPr id="135725658" name="drawing">
              <a:extLst xmlns:a="http://schemas.openxmlformats.org/drawingml/2006/main">
                <a:ext uri="{FF2B5EF4-FFF2-40B4-BE49-F238E27FC236}">
                  <a16:creationId xmlns:a16="http://schemas.microsoft.com/office/drawing/2014/main" id="{AB7224A6-B767-41DC-8728-8C3D130044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5658"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24525" cy="2457450"/>
                    </a:xfrm>
                    <a:prstGeom prst="rect">
                      <a:avLst/>
                    </a:prstGeom>
                  </pic:spPr>
                </pic:pic>
              </a:graphicData>
            </a:graphic>
          </wp:inline>
        </w:drawing>
      </w:r>
    </w:p>
    <w:p w14:paraId="62A8CA9D" w14:textId="3A31AF0E" w:rsidR="001E7E5B" w:rsidRPr="00653BF4" w:rsidRDefault="006A631C" w:rsidP="0063282C">
      <w:pPr>
        <w:pStyle w:val="Caption"/>
        <w:rPr>
          <w:i w:val="0"/>
          <w:iCs w:val="0"/>
          <w:lang w:val="fr-FR"/>
        </w:rPr>
      </w:pPr>
      <w:bookmarkStart w:id="95" w:name="_Ref230458725"/>
      <w:r w:rsidRPr="00653BF4">
        <w:rPr>
          <w:rFonts w:ascii="Aptos" w:hAnsi="Aptos"/>
          <w:sz w:val="16"/>
          <w:szCs w:val="16"/>
          <w:lang w:val="fr-FR"/>
        </w:rPr>
        <w:t>Note</w:t>
      </w:r>
      <w:r w:rsidR="00E34DC9">
        <w:rPr>
          <w:rFonts w:ascii="Aptos" w:hAnsi="Aptos"/>
          <w:sz w:val="16"/>
          <w:szCs w:val="16"/>
          <w:lang w:val="fr-FR"/>
        </w:rPr>
        <w:t> :</w:t>
      </w:r>
      <w:r w:rsidR="00173006" w:rsidRPr="00653BF4">
        <w:rPr>
          <w:rFonts w:ascii="Aptos" w:hAnsi="Aptos"/>
          <w:sz w:val="16"/>
          <w:szCs w:val="16"/>
          <w:lang w:val="fr-FR"/>
        </w:rPr>
        <w:t xml:space="preserve"> </w:t>
      </w:r>
      <w:r w:rsidR="002901C4" w:rsidRPr="00653BF4">
        <w:rPr>
          <w:rFonts w:ascii="Aptos" w:hAnsi="Aptos"/>
          <w:i w:val="0"/>
          <w:sz w:val="16"/>
          <w:szCs w:val="16"/>
          <w:lang w:val="fr-FR"/>
        </w:rPr>
        <w:t>Les proportions sont pondérées par Partie. Les tendances incluent les données relatives à l</w:t>
      </w:r>
      <w:r w:rsidR="002A58C8" w:rsidRPr="00653BF4">
        <w:rPr>
          <w:rFonts w:ascii="Aptos" w:hAnsi="Aptos"/>
          <w:i w:val="0"/>
          <w:sz w:val="16"/>
          <w:szCs w:val="16"/>
          <w:lang w:val="fr-FR"/>
        </w:rPr>
        <w:t>’</w:t>
      </w:r>
      <w:r w:rsidR="002901C4" w:rsidRPr="00653BF4">
        <w:rPr>
          <w:rFonts w:ascii="Aptos" w:hAnsi="Aptos"/>
          <w:i w:val="0"/>
          <w:sz w:val="16"/>
          <w:szCs w:val="16"/>
          <w:lang w:val="fr-FR"/>
        </w:rPr>
        <w:t>i</w:t>
      </w:r>
      <w:r w:rsidR="003C5C35" w:rsidRPr="00653BF4">
        <w:rPr>
          <w:rFonts w:ascii="Aptos" w:hAnsi="Aptos"/>
          <w:i w:val="0"/>
          <w:sz w:val="16"/>
          <w:szCs w:val="16"/>
          <w:lang w:val="fr-FR"/>
        </w:rPr>
        <w:t>ndicateur phare</w:t>
      </w:r>
      <w:r w:rsidR="002901C4" w:rsidRPr="00653BF4">
        <w:rPr>
          <w:rFonts w:ascii="Aptos" w:hAnsi="Aptos"/>
          <w:i w:val="0"/>
          <w:sz w:val="16"/>
          <w:szCs w:val="16"/>
          <w:lang w:val="fr-FR"/>
        </w:rPr>
        <w:t xml:space="preserve"> 2.1 provenant de 51 Parties, ainsi qu</w:t>
      </w:r>
      <w:r w:rsidR="002A58C8" w:rsidRPr="00653BF4">
        <w:rPr>
          <w:rFonts w:ascii="Aptos" w:hAnsi="Aptos"/>
          <w:i w:val="0"/>
          <w:sz w:val="16"/>
          <w:szCs w:val="16"/>
          <w:lang w:val="fr-FR"/>
        </w:rPr>
        <w:t>’</w:t>
      </w:r>
      <w:r w:rsidR="002901C4" w:rsidRPr="00653BF4">
        <w:rPr>
          <w:rFonts w:ascii="Aptos" w:hAnsi="Aptos"/>
          <w:i w:val="0"/>
          <w:sz w:val="16"/>
          <w:szCs w:val="16"/>
          <w:lang w:val="fr-FR"/>
        </w:rPr>
        <w:t xml:space="preserve">un indicateur de composante, deux indicateurs complémentaires et 82 indicateurs nationaux </w:t>
      </w:r>
      <w:r w:rsidR="00862274" w:rsidRPr="00653BF4">
        <w:rPr>
          <w:rFonts w:ascii="Aptos" w:hAnsi="Aptos"/>
          <w:i w:val="0"/>
          <w:sz w:val="16"/>
          <w:szCs w:val="16"/>
          <w:lang w:val="fr-FR"/>
        </w:rPr>
        <w:t>provenant</w:t>
      </w:r>
      <w:r w:rsidR="002901C4" w:rsidRPr="00653BF4">
        <w:rPr>
          <w:rFonts w:ascii="Aptos" w:hAnsi="Aptos"/>
          <w:i w:val="0"/>
          <w:sz w:val="16"/>
          <w:szCs w:val="16"/>
          <w:lang w:val="fr-FR"/>
        </w:rPr>
        <w:t xml:space="preserve"> de 25 Parties au total. Le diagramme circulaire présente la répartition, par région, des Parties ayant présenté des indicateurs pour la </w:t>
      </w:r>
      <w:r w:rsidR="00E34DC9">
        <w:rPr>
          <w:rFonts w:ascii="Aptos" w:hAnsi="Aptos"/>
          <w:i w:val="0"/>
          <w:sz w:val="16"/>
          <w:szCs w:val="16"/>
          <w:lang w:val="fr-FR"/>
        </w:rPr>
        <w:t>cible 2</w:t>
      </w:r>
      <w:r w:rsidR="002901C4" w:rsidRPr="00653BF4">
        <w:rPr>
          <w:rFonts w:ascii="Aptos" w:hAnsi="Aptos"/>
          <w:i w:val="0"/>
          <w:sz w:val="16"/>
          <w:szCs w:val="16"/>
          <w:lang w:val="fr-FR"/>
        </w:rPr>
        <w:t xml:space="preserve">. Les couleurs attribuées à chaque région sont définies dans la légende de la </w:t>
      </w:r>
      <w:r w:rsidR="00FD065A" w:rsidRPr="00653BF4">
        <w:rPr>
          <w:rFonts w:ascii="Aptos" w:hAnsi="Aptos"/>
          <w:i w:val="0"/>
          <w:sz w:val="16"/>
          <w:szCs w:val="16"/>
          <w:lang w:val="fr-FR"/>
        </w:rPr>
        <w:t>figure</w:t>
      </w:r>
      <w:r w:rsidR="00E34DC9">
        <w:rPr>
          <w:rFonts w:ascii="Aptos" w:hAnsi="Aptos"/>
          <w:i w:val="0"/>
          <w:sz w:val="16"/>
          <w:szCs w:val="16"/>
          <w:lang w:val="fr-FR"/>
        </w:rPr>
        <w:t> :</w:t>
      </w:r>
      <w:r w:rsidR="002901C4" w:rsidRPr="00653BF4">
        <w:rPr>
          <w:rFonts w:ascii="Aptos" w:hAnsi="Aptos"/>
          <w:i w:val="0"/>
          <w:sz w:val="16"/>
          <w:szCs w:val="16"/>
          <w:lang w:val="fr-FR"/>
        </w:rPr>
        <w:t xml:space="preserve"> les teintes plus foncées représentent la proportion de Parties d</w:t>
      </w:r>
      <w:r w:rsidR="002A58C8" w:rsidRPr="00653BF4">
        <w:rPr>
          <w:rFonts w:ascii="Aptos" w:hAnsi="Aptos"/>
          <w:i w:val="0"/>
          <w:sz w:val="16"/>
          <w:szCs w:val="16"/>
          <w:lang w:val="fr-FR"/>
        </w:rPr>
        <w:t>’</w:t>
      </w:r>
      <w:r w:rsidR="002901C4" w:rsidRPr="00653BF4">
        <w:rPr>
          <w:rFonts w:ascii="Aptos" w:hAnsi="Aptos"/>
          <w:i w:val="0"/>
          <w:sz w:val="16"/>
          <w:szCs w:val="16"/>
          <w:lang w:val="fr-FR"/>
        </w:rPr>
        <w:t xml:space="preserve">une région donnée pour lesquelles des données sont incluses dans la </w:t>
      </w:r>
      <w:r w:rsidR="00FD065A" w:rsidRPr="00653BF4">
        <w:rPr>
          <w:rFonts w:ascii="Aptos" w:hAnsi="Aptos"/>
          <w:i w:val="0"/>
          <w:sz w:val="16"/>
          <w:szCs w:val="16"/>
          <w:lang w:val="fr-FR"/>
        </w:rPr>
        <w:t>figure</w:t>
      </w:r>
      <w:r w:rsidR="00E34DC9">
        <w:rPr>
          <w:rFonts w:ascii="Aptos" w:hAnsi="Aptos"/>
          <w:i w:val="0"/>
          <w:sz w:val="16"/>
          <w:szCs w:val="16"/>
          <w:lang w:val="fr-FR"/>
        </w:rPr>
        <w:t> ;</w:t>
      </w:r>
      <w:r w:rsidR="002901C4" w:rsidRPr="00653BF4">
        <w:rPr>
          <w:rFonts w:ascii="Aptos" w:hAnsi="Aptos"/>
          <w:i w:val="0"/>
          <w:sz w:val="16"/>
          <w:szCs w:val="16"/>
          <w:lang w:val="fr-FR"/>
        </w:rPr>
        <w:t xml:space="preserve"> les teintes plus claires représentent la proportion de Parties de cette même région pour lesquelles aucune donnée n</w:t>
      </w:r>
      <w:r w:rsidR="002A58C8" w:rsidRPr="00653BF4">
        <w:rPr>
          <w:rFonts w:ascii="Aptos" w:hAnsi="Aptos"/>
          <w:i w:val="0"/>
          <w:sz w:val="16"/>
          <w:szCs w:val="16"/>
          <w:lang w:val="fr-FR"/>
        </w:rPr>
        <w:t>’</w:t>
      </w:r>
      <w:r w:rsidR="002901C4" w:rsidRPr="00653BF4">
        <w:rPr>
          <w:rFonts w:ascii="Aptos" w:hAnsi="Aptos"/>
          <w:i w:val="0"/>
          <w:sz w:val="16"/>
          <w:szCs w:val="16"/>
          <w:lang w:val="fr-FR"/>
        </w:rPr>
        <w:t>est incluse dans le diagramme.</w:t>
      </w:r>
      <w:bookmarkEnd w:id="94"/>
      <w:bookmarkEnd w:id="95"/>
    </w:p>
    <w:tbl>
      <w:tblPr>
        <w:tblStyle w:val="TableGrid"/>
        <w:tblW w:w="0" w:type="auto"/>
        <w:tblLook w:val="06A0" w:firstRow="1" w:lastRow="0" w:firstColumn="1" w:lastColumn="0" w:noHBand="1" w:noVBand="1"/>
      </w:tblPr>
      <w:tblGrid>
        <w:gridCol w:w="4060"/>
        <w:gridCol w:w="4545"/>
      </w:tblGrid>
      <w:tr w:rsidR="003246FC" w:rsidRPr="003A6336" w14:paraId="62102CE5" w14:textId="77777777" w:rsidTr="009B4355">
        <w:trPr>
          <w:trHeight w:val="20"/>
        </w:trPr>
        <w:tc>
          <w:tcPr>
            <w:tcW w:w="0" w:type="auto"/>
            <w:gridSpan w:val="2"/>
          </w:tcPr>
          <w:p w14:paraId="29920680" w14:textId="77777777" w:rsidR="003246FC" w:rsidRPr="003A6336" w:rsidRDefault="003246FC" w:rsidP="009B4355">
            <w:pPr>
              <w:rPr>
                <w:rFonts w:ascii="Aptos" w:eastAsia="Segoe UI" w:hAnsi="Aptos" w:cs="Segoe UI"/>
                <w:color w:val="0F1115"/>
              </w:rPr>
            </w:pPr>
            <w:r>
              <w:rPr>
                <w:rFonts w:ascii="Aptos" w:eastAsia="Segoe UI" w:hAnsi="Aptos" w:cs="Segoe UI"/>
                <w:color w:val="0F1115"/>
              </w:rPr>
              <w:t>Figure 12</w:t>
            </w:r>
          </w:p>
        </w:tc>
      </w:tr>
      <w:tr w:rsidR="003246FC" w:rsidRPr="003A6336" w14:paraId="2917C9C1" w14:textId="77777777" w:rsidTr="009B4355">
        <w:trPr>
          <w:trHeight w:val="20"/>
        </w:trPr>
        <w:tc>
          <w:tcPr>
            <w:tcW w:w="0" w:type="auto"/>
          </w:tcPr>
          <w:p w14:paraId="21974993" w14:textId="77777777" w:rsidR="003246FC" w:rsidRPr="003A6336" w:rsidRDefault="003246FC" w:rsidP="009B4355">
            <w:pPr>
              <w:rPr>
                <w:rFonts w:ascii="Aptos" w:hAnsi="Aptos"/>
              </w:rPr>
            </w:pPr>
            <w:r w:rsidRPr="003A6336">
              <w:rPr>
                <w:rFonts w:ascii="Aptos" w:eastAsia="Segoe UI" w:hAnsi="Aptos" w:cs="Segoe UI"/>
                <w:color w:val="0F1115"/>
              </w:rPr>
              <w:t xml:space="preserve">English </w:t>
            </w:r>
          </w:p>
        </w:tc>
        <w:tc>
          <w:tcPr>
            <w:tcW w:w="0" w:type="auto"/>
          </w:tcPr>
          <w:p w14:paraId="43EE53F5" w14:textId="77777777" w:rsidR="003246FC" w:rsidRPr="003A6336" w:rsidRDefault="003246FC" w:rsidP="009B4355">
            <w:pPr>
              <w:rPr>
                <w:rFonts w:ascii="Aptos" w:hAnsi="Aptos"/>
              </w:rPr>
            </w:pPr>
            <w:r>
              <w:rPr>
                <w:rFonts w:ascii="Aptos" w:eastAsia="Segoe UI" w:hAnsi="Aptos" w:cs="Segoe UI"/>
                <w:color w:val="0F1115"/>
              </w:rPr>
              <w:t>Français</w:t>
            </w:r>
          </w:p>
        </w:tc>
      </w:tr>
      <w:tr w:rsidR="003246FC" w:rsidRPr="003A6336" w14:paraId="668B7347" w14:textId="77777777" w:rsidTr="009B4355">
        <w:trPr>
          <w:trHeight w:val="20"/>
        </w:trPr>
        <w:tc>
          <w:tcPr>
            <w:tcW w:w="0" w:type="auto"/>
          </w:tcPr>
          <w:p w14:paraId="10A3AC3C"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0" w:type="auto"/>
          </w:tcPr>
          <w:p w14:paraId="72133955"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6E614B25" w14:textId="77777777" w:rsidTr="009B4355">
        <w:trPr>
          <w:trHeight w:val="20"/>
        </w:trPr>
        <w:tc>
          <w:tcPr>
            <w:tcW w:w="0" w:type="auto"/>
          </w:tcPr>
          <w:p w14:paraId="0ED25F4F" w14:textId="77777777" w:rsidR="003246FC" w:rsidRPr="003A6336" w:rsidRDefault="003246FC" w:rsidP="009B4355">
            <w:pPr>
              <w:rPr>
                <w:rFonts w:ascii="Aptos" w:hAnsi="Aptos"/>
              </w:rPr>
            </w:pPr>
            <w:r w:rsidRPr="003A6336">
              <w:rPr>
                <w:rFonts w:ascii="Aptos" w:eastAsia="Segoe UI" w:hAnsi="Aptos" w:cs="Segoe UI"/>
                <w:color w:val="0F1115"/>
              </w:rPr>
              <w:t>Africa</w:t>
            </w:r>
            <w:r>
              <w:rPr>
                <w:rFonts w:ascii="Aptos" w:eastAsia="Segoe UI" w:hAnsi="Aptos" w:cs="Segoe UI"/>
                <w:color w:val="0F1115"/>
              </w:rPr>
              <w:t>n States</w:t>
            </w:r>
          </w:p>
        </w:tc>
        <w:tc>
          <w:tcPr>
            <w:tcW w:w="0" w:type="auto"/>
          </w:tcPr>
          <w:p w14:paraId="379F1E7C"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76BD81AC" w14:textId="77777777" w:rsidTr="009B4355">
        <w:trPr>
          <w:trHeight w:val="20"/>
        </w:trPr>
        <w:tc>
          <w:tcPr>
            <w:tcW w:w="0" w:type="auto"/>
          </w:tcPr>
          <w:p w14:paraId="258CAAF3" w14:textId="77777777" w:rsidR="003246FC" w:rsidRPr="003A6336" w:rsidRDefault="003246FC" w:rsidP="009B4355">
            <w:pPr>
              <w:rPr>
                <w:rFonts w:ascii="Aptos" w:hAnsi="Aptos"/>
              </w:rPr>
            </w:pPr>
            <w:r w:rsidRPr="003A6336">
              <w:rPr>
                <w:rFonts w:ascii="Aptos" w:eastAsia="Segoe UI" w:hAnsi="Aptos" w:cs="Segoe UI"/>
                <w:color w:val="0F1115"/>
              </w:rPr>
              <w:lastRenderedPageBreak/>
              <w:t>Asia</w:t>
            </w:r>
            <w:r>
              <w:rPr>
                <w:rFonts w:ascii="Aptos" w:eastAsia="Segoe UI" w:hAnsi="Aptos" w:cs="Segoe UI"/>
                <w:color w:val="0F1115"/>
              </w:rPr>
              <w:t>-</w:t>
            </w:r>
            <w:r w:rsidRPr="003A6336">
              <w:rPr>
                <w:rFonts w:ascii="Aptos" w:eastAsia="Segoe UI" w:hAnsi="Aptos" w:cs="Segoe UI"/>
                <w:color w:val="0F1115"/>
              </w:rPr>
              <w:t xml:space="preserve"> Pacific</w:t>
            </w:r>
            <w:r>
              <w:rPr>
                <w:rFonts w:ascii="Aptos" w:eastAsia="Segoe UI" w:hAnsi="Aptos" w:cs="Segoe UI"/>
                <w:color w:val="0F1115"/>
              </w:rPr>
              <w:t xml:space="preserve"> States</w:t>
            </w:r>
          </w:p>
        </w:tc>
        <w:tc>
          <w:tcPr>
            <w:tcW w:w="0" w:type="auto"/>
          </w:tcPr>
          <w:p w14:paraId="20870452"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05B50E35" w14:textId="77777777" w:rsidTr="009B4355">
        <w:trPr>
          <w:trHeight w:val="20"/>
        </w:trPr>
        <w:tc>
          <w:tcPr>
            <w:tcW w:w="0" w:type="auto"/>
          </w:tcPr>
          <w:p w14:paraId="5F24930D" w14:textId="77777777" w:rsidR="003246FC" w:rsidRPr="003A6336" w:rsidRDefault="003246FC" w:rsidP="009B4355">
            <w:pPr>
              <w:rPr>
                <w:rFonts w:ascii="Aptos" w:hAnsi="Aptos"/>
              </w:rPr>
            </w:pPr>
            <w:r w:rsidRPr="003A6336">
              <w:rPr>
                <w:rFonts w:ascii="Aptos" w:eastAsia="Segoe UI" w:hAnsi="Aptos" w:cs="Segoe UI"/>
                <w:color w:val="0F1115"/>
              </w:rPr>
              <w:t>Latin America</w:t>
            </w:r>
            <w:r>
              <w:rPr>
                <w:rFonts w:ascii="Aptos" w:eastAsia="Segoe UI" w:hAnsi="Aptos" w:cs="Segoe UI"/>
                <w:color w:val="0F1115"/>
              </w:rPr>
              <w:t>n</w:t>
            </w:r>
            <w:r w:rsidRPr="003A6336">
              <w:rPr>
                <w:rFonts w:ascii="Aptos" w:eastAsia="Segoe UI" w:hAnsi="Aptos" w:cs="Segoe UI"/>
                <w:color w:val="0F1115"/>
              </w:rPr>
              <w:t xml:space="preserve"> and Caribbean</w:t>
            </w:r>
            <w:r>
              <w:rPr>
                <w:rFonts w:ascii="Aptos" w:eastAsia="Segoe UI" w:hAnsi="Aptos" w:cs="Segoe UI"/>
                <w:color w:val="0F1115"/>
              </w:rPr>
              <w:t xml:space="preserve"> States</w:t>
            </w:r>
          </w:p>
        </w:tc>
        <w:tc>
          <w:tcPr>
            <w:tcW w:w="0" w:type="auto"/>
          </w:tcPr>
          <w:p w14:paraId="192A4566"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0A0F9116" w14:textId="77777777" w:rsidTr="009B4355">
        <w:trPr>
          <w:trHeight w:val="20"/>
        </w:trPr>
        <w:tc>
          <w:tcPr>
            <w:tcW w:w="0" w:type="auto"/>
          </w:tcPr>
          <w:p w14:paraId="0DEECAEB" w14:textId="77777777" w:rsidR="003246FC" w:rsidRPr="003A6336" w:rsidRDefault="003246FC" w:rsidP="009B4355">
            <w:pPr>
              <w:rPr>
                <w:rFonts w:ascii="Aptos" w:hAnsi="Aptos"/>
              </w:rPr>
            </w:pPr>
            <w:r w:rsidRPr="003A6336">
              <w:rPr>
                <w:rFonts w:ascii="Aptos" w:eastAsia="Segoe UI" w:hAnsi="Aptos" w:cs="Segoe UI"/>
                <w:color w:val="0F1115"/>
              </w:rPr>
              <w:t>Eastern Europe</w:t>
            </w:r>
            <w:r>
              <w:rPr>
                <w:rFonts w:ascii="Aptos" w:eastAsia="Segoe UI" w:hAnsi="Aptos" w:cs="Segoe UI"/>
                <w:color w:val="0F1115"/>
              </w:rPr>
              <w:t>an States</w:t>
            </w:r>
          </w:p>
        </w:tc>
        <w:tc>
          <w:tcPr>
            <w:tcW w:w="0" w:type="auto"/>
          </w:tcPr>
          <w:p w14:paraId="1CEB4DAC"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10E29BEC" w14:textId="77777777" w:rsidTr="009B4355">
        <w:trPr>
          <w:trHeight w:val="20"/>
        </w:trPr>
        <w:tc>
          <w:tcPr>
            <w:tcW w:w="0" w:type="auto"/>
          </w:tcPr>
          <w:p w14:paraId="123DA50E" w14:textId="77777777" w:rsidR="003246FC" w:rsidRPr="003A6336" w:rsidRDefault="003246FC" w:rsidP="009B4355">
            <w:pPr>
              <w:rPr>
                <w:rFonts w:ascii="Aptos" w:hAnsi="Aptos"/>
              </w:rPr>
            </w:pPr>
            <w:r w:rsidRPr="003A6336">
              <w:rPr>
                <w:rFonts w:ascii="Aptos" w:eastAsia="Segoe UI" w:hAnsi="Aptos" w:cs="Segoe UI"/>
                <w:color w:val="0F1115"/>
              </w:rPr>
              <w:t>Western Europe</w:t>
            </w:r>
            <w:r>
              <w:rPr>
                <w:rFonts w:ascii="Aptos" w:eastAsia="Segoe UI" w:hAnsi="Aptos" w:cs="Segoe UI"/>
                <w:color w:val="0F1115"/>
              </w:rPr>
              <w:t>an</w:t>
            </w:r>
            <w:r w:rsidRPr="003A6336">
              <w:rPr>
                <w:rFonts w:ascii="Aptos" w:eastAsia="Segoe UI" w:hAnsi="Aptos" w:cs="Segoe UI"/>
                <w:color w:val="0F1115"/>
              </w:rPr>
              <w:t xml:space="preserve"> and </w:t>
            </w:r>
            <w:r>
              <w:rPr>
                <w:rFonts w:ascii="Aptos" w:eastAsia="Segoe UI" w:hAnsi="Aptos" w:cs="Segoe UI"/>
                <w:color w:val="0F1115"/>
              </w:rPr>
              <w:t>o</w:t>
            </w:r>
            <w:r w:rsidRPr="003A6336">
              <w:rPr>
                <w:rFonts w:ascii="Aptos" w:eastAsia="Segoe UI" w:hAnsi="Aptos" w:cs="Segoe UI"/>
                <w:color w:val="0F1115"/>
              </w:rPr>
              <w:t xml:space="preserve">ther </w:t>
            </w:r>
            <w:r>
              <w:rPr>
                <w:rFonts w:ascii="Aptos" w:eastAsia="Segoe UI" w:hAnsi="Aptos" w:cs="Segoe UI"/>
                <w:color w:val="0F1115"/>
              </w:rPr>
              <w:t>States</w:t>
            </w:r>
          </w:p>
        </w:tc>
        <w:tc>
          <w:tcPr>
            <w:tcW w:w="0" w:type="auto"/>
          </w:tcPr>
          <w:p w14:paraId="61F1B611"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3D20E05C" w14:textId="77777777" w:rsidTr="009B4355">
        <w:trPr>
          <w:trHeight w:val="20"/>
        </w:trPr>
        <w:tc>
          <w:tcPr>
            <w:tcW w:w="0" w:type="auto"/>
          </w:tcPr>
          <w:p w14:paraId="608455DE" w14:textId="77777777" w:rsidR="003246FC" w:rsidRPr="003A6336" w:rsidRDefault="003246FC" w:rsidP="009B4355">
            <w:pPr>
              <w:rPr>
                <w:rFonts w:ascii="Aptos" w:hAnsi="Aptos"/>
              </w:rPr>
            </w:pPr>
            <w:r w:rsidRPr="003A6336">
              <w:rPr>
                <w:rFonts w:ascii="Aptos" w:eastAsia="Segoe UI" w:hAnsi="Aptos" w:cs="Segoe UI"/>
                <w:color w:val="0F1115"/>
              </w:rPr>
              <w:t>Proportion</w:t>
            </w:r>
          </w:p>
        </w:tc>
        <w:tc>
          <w:tcPr>
            <w:tcW w:w="0" w:type="auto"/>
          </w:tcPr>
          <w:p w14:paraId="4FDF1B23" w14:textId="77777777" w:rsidR="003246FC" w:rsidRPr="003A6336" w:rsidRDefault="003246FC" w:rsidP="009B4355">
            <w:pPr>
              <w:rPr>
                <w:rFonts w:ascii="Aptos" w:hAnsi="Aptos"/>
              </w:rPr>
            </w:pPr>
            <w:r w:rsidRPr="006F7AF8">
              <w:rPr>
                <w:rFonts w:ascii="Aptos" w:hAnsi="Aptos"/>
                <w:lang w:val="fr-FR"/>
              </w:rPr>
              <w:t>Proportion</w:t>
            </w:r>
          </w:p>
        </w:tc>
      </w:tr>
      <w:tr w:rsidR="003246FC" w:rsidRPr="003A6336" w14:paraId="02249DE9" w14:textId="77777777" w:rsidTr="009B4355">
        <w:trPr>
          <w:trHeight w:val="20"/>
        </w:trPr>
        <w:tc>
          <w:tcPr>
            <w:tcW w:w="0" w:type="auto"/>
          </w:tcPr>
          <w:p w14:paraId="314C10AD" w14:textId="77777777" w:rsidR="003246FC" w:rsidRPr="003A6336" w:rsidRDefault="003246FC" w:rsidP="009B4355">
            <w:pPr>
              <w:rPr>
                <w:rFonts w:ascii="Aptos" w:hAnsi="Aptos"/>
              </w:rPr>
            </w:pPr>
            <w:r w:rsidRPr="003A6336">
              <w:rPr>
                <w:rFonts w:ascii="Aptos" w:eastAsia="Segoe UI" w:hAnsi="Aptos" w:cs="Segoe UI"/>
                <w:color w:val="0F1115"/>
              </w:rPr>
              <w:t>Current Status</w:t>
            </w:r>
          </w:p>
        </w:tc>
        <w:tc>
          <w:tcPr>
            <w:tcW w:w="0" w:type="auto"/>
          </w:tcPr>
          <w:p w14:paraId="4E287BDD" w14:textId="77777777" w:rsidR="003246FC" w:rsidRPr="003A6336" w:rsidRDefault="003246FC" w:rsidP="009B4355">
            <w:pPr>
              <w:rPr>
                <w:rFonts w:ascii="Aptos" w:hAnsi="Aptos"/>
              </w:rPr>
            </w:pPr>
            <w:r w:rsidRPr="006F7AF8">
              <w:rPr>
                <w:rFonts w:ascii="Aptos" w:hAnsi="Aptos"/>
                <w:lang w:val="fr-FR"/>
              </w:rPr>
              <w:t>État actuel</w:t>
            </w:r>
          </w:p>
        </w:tc>
      </w:tr>
      <w:tr w:rsidR="003246FC" w:rsidRPr="003A6336" w14:paraId="2D2B0D4A" w14:textId="77777777" w:rsidTr="009B4355">
        <w:trPr>
          <w:trHeight w:val="20"/>
        </w:trPr>
        <w:tc>
          <w:tcPr>
            <w:tcW w:w="0" w:type="auto"/>
          </w:tcPr>
          <w:p w14:paraId="51CAB834" w14:textId="77777777" w:rsidR="003246FC" w:rsidRPr="003A6336" w:rsidRDefault="003246FC" w:rsidP="009B4355">
            <w:pPr>
              <w:rPr>
                <w:rFonts w:ascii="Aptos" w:hAnsi="Aptos"/>
              </w:rPr>
            </w:pPr>
            <w:r w:rsidRPr="003A6336">
              <w:rPr>
                <w:rFonts w:ascii="Aptos" w:eastAsia="Segoe UI" w:hAnsi="Aptos" w:cs="Segoe UI"/>
                <w:color w:val="0F1115"/>
              </w:rPr>
              <w:t>improving</w:t>
            </w:r>
          </w:p>
        </w:tc>
        <w:tc>
          <w:tcPr>
            <w:tcW w:w="0" w:type="auto"/>
          </w:tcPr>
          <w:p w14:paraId="69098473" w14:textId="77777777" w:rsidR="003246FC" w:rsidRPr="003A6336" w:rsidRDefault="003246FC" w:rsidP="009B4355">
            <w:pPr>
              <w:rPr>
                <w:rFonts w:ascii="Aptos" w:hAnsi="Aptos"/>
              </w:rPr>
            </w:pPr>
            <w:r>
              <w:rPr>
                <w:rFonts w:ascii="Aptos" w:hAnsi="Aptos"/>
                <w:lang w:val="fr-FR"/>
              </w:rPr>
              <w:t>amélioration</w:t>
            </w:r>
          </w:p>
        </w:tc>
      </w:tr>
      <w:tr w:rsidR="003246FC" w:rsidRPr="003A6336" w14:paraId="4E5D359F" w14:textId="77777777" w:rsidTr="009B4355">
        <w:trPr>
          <w:trHeight w:val="20"/>
        </w:trPr>
        <w:tc>
          <w:tcPr>
            <w:tcW w:w="0" w:type="auto"/>
          </w:tcPr>
          <w:p w14:paraId="67A99DBB" w14:textId="77777777" w:rsidR="003246FC" w:rsidRPr="003A6336" w:rsidRDefault="003246FC" w:rsidP="009B4355">
            <w:pPr>
              <w:rPr>
                <w:rFonts w:ascii="Aptos" w:hAnsi="Aptos"/>
              </w:rPr>
            </w:pPr>
            <w:r w:rsidRPr="003A6336">
              <w:rPr>
                <w:rFonts w:ascii="Aptos" w:eastAsia="Segoe UI" w:hAnsi="Aptos" w:cs="Segoe UI"/>
                <w:color w:val="0F1115"/>
              </w:rPr>
              <w:t>stable</w:t>
            </w:r>
          </w:p>
        </w:tc>
        <w:tc>
          <w:tcPr>
            <w:tcW w:w="0" w:type="auto"/>
          </w:tcPr>
          <w:p w14:paraId="71150491" w14:textId="77777777" w:rsidR="003246FC" w:rsidRPr="003A6336" w:rsidRDefault="003246FC" w:rsidP="009B4355">
            <w:pPr>
              <w:rPr>
                <w:rFonts w:ascii="Aptos" w:hAnsi="Aptos"/>
              </w:rPr>
            </w:pPr>
            <w:r>
              <w:rPr>
                <w:rFonts w:ascii="Aptos" w:hAnsi="Aptos"/>
                <w:lang w:val="fr-FR"/>
              </w:rPr>
              <w:t>s</w:t>
            </w:r>
            <w:r w:rsidRPr="006F7AF8">
              <w:rPr>
                <w:rFonts w:ascii="Aptos" w:hAnsi="Aptos"/>
                <w:lang w:val="fr-FR"/>
              </w:rPr>
              <w:t>tab</w:t>
            </w:r>
            <w:r>
              <w:rPr>
                <w:rFonts w:ascii="Aptos" w:hAnsi="Aptos"/>
                <w:lang w:val="fr-FR"/>
              </w:rPr>
              <w:t>ilité</w:t>
            </w:r>
          </w:p>
        </w:tc>
      </w:tr>
      <w:tr w:rsidR="003246FC" w:rsidRPr="003A6336" w14:paraId="712C8A22" w14:textId="77777777" w:rsidTr="009B4355">
        <w:trPr>
          <w:trHeight w:val="20"/>
        </w:trPr>
        <w:tc>
          <w:tcPr>
            <w:tcW w:w="0" w:type="auto"/>
          </w:tcPr>
          <w:p w14:paraId="68DEF3D8" w14:textId="77777777" w:rsidR="003246FC" w:rsidRPr="003A6336" w:rsidRDefault="003246FC" w:rsidP="009B4355">
            <w:pPr>
              <w:rPr>
                <w:rFonts w:ascii="Aptos" w:hAnsi="Aptos"/>
              </w:rPr>
            </w:pPr>
            <w:r w:rsidRPr="003A6336">
              <w:rPr>
                <w:rFonts w:ascii="Aptos" w:eastAsia="Segoe UI" w:hAnsi="Aptos" w:cs="Segoe UI"/>
                <w:color w:val="0F1115"/>
              </w:rPr>
              <w:t>moving away</w:t>
            </w:r>
          </w:p>
        </w:tc>
        <w:tc>
          <w:tcPr>
            <w:tcW w:w="0" w:type="auto"/>
          </w:tcPr>
          <w:p w14:paraId="4C3D9290" w14:textId="77777777" w:rsidR="003246FC" w:rsidRPr="003A6336" w:rsidRDefault="003246FC" w:rsidP="009B4355">
            <w:pPr>
              <w:rPr>
                <w:rFonts w:ascii="Aptos" w:hAnsi="Aptos"/>
              </w:rPr>
            </w:pPr>
            <w:r>
              <w:rPr>
                <w:rFonts w:ascii="Aptos" w:hAnsi="Aptos"/>
                <w:lang w:val="fr-FR"/>
              </w:rPr>
              <w:t>éloignement</w:t>
            </w:r>
          </w:p>
        </w:tc>
      </w:tr>
      <w:tr w:rsidR="003246FC" w:rsidRPr="003A6336" w14:paraId="3D9FFCC5" w14:textId="77777777" w:rsidTr="009B4355">
        <w:trPr>
          <w:trHeight w:val="20"/>
        </w:trPr>
        <w:tc>
          <w:tcPr>
            <w:tcW w:w="0" w:type="auto"/>
          </w:tcPr>
          <w:p w14:paraId="54BC22CD" w14:textId="77777777" w:rsidR="003246FC" w:rsidRPr="003A6336" w:rsidRDefault="003246FC" w:rsidP="009B4355">
            <w:pPr>
              <w:rPr>
                <w:rFonts w:ascii="Aptos" w:hAnsi="Aptos"/>
              </w:rPr>
            </w:pPr>
            <w:r w:rsidRPr="003A6336">
              <w:rPr>
                <w:rFonts w:ascii="Aptos" w:eastAsia="Segoe UI" w:hAnsi="Aptos" w:cs="Segoe UI"/>
                <w:color w:val="0F1115"/>
              </w:rPr>
              <w:t>Party count: 51</w:t>
            </w:r>
          </w:p>
        </w:tc>
        <w:tc>
          <w:tcPr>
            <w:tcW w:w="0" w:type="auto"/>
          </w:tcPr>
          <w:p w14:paraId="508FF467" w14:textId="77777777" w:rsidR="003246FC" w:rsidRPr="003A6336" w:rsidRDefault="003246FC" w:rsidP="009B4355">
            <w:pPr>
              <w:rPr>
                <w:rFonts w:ascii="Aptos" w:hAnsi="Aptos"/>
              </w:rPr>
            </w:pPr>
            <w:r w:rsidRPr="006F7AF8">
              <w:rPr>
                <w:rFonts w:ascii="Aptos" w:hAnsi="Aptos"/>
                <w:lang w:val="fr-FR"/>
              </w:rPr>
              <w:t xml:space="preserve">Nombre de Parties : </w:t>
            </w:r>
            <w:r>
              <w:rPr>
                <w:rFonts w:ascii="Aptos" w:hAnsi="Aptos"/>
                <w:lang w:val="fr-FR"/>
              </w:rPr>
              <w:t>51</w:t>
            </w:r>
          </w:p>
        </w:tc>
      </w:tr>
    </w:tbl>
    <w:p w14:paraId="24D1AFCA" w14:textId="77777777" w:rsidR="006E10A4" w:rsidRPr="00653BF4" w:rsidRDefault="006E10A4" w:rsidP="00597FE0">
      <w:pPr>
        <w:pStyle w:val="Heading5"/>
        <w:rPr>
          <w:lang w:val="fr-FR"/>
        </w:rPr>
      </w:pPr>
    </w:p>
    <w:p w14:paraId="1109CCA4" w14:textId="171F9EB3" w:rsidR="00241203" w:rsidRPr="00653BF4" w:rsidRDefault="00DD19D2" w:rsidP="00597FE0">
      <w:pPr>
        <w:pStyle w:val="Heading5"/>
        <w:rPr>
          <w:lang w:val="fr-FR"/>
        </w:rPr>
      </w:pPr>
      <w:r w:rsidRPr="00653BF4">
        <w:rPr>
          <w:lang w:val="fr-FR"/>
        </w:rPr>
        <w:t>Auto-évaluation des progrès</w:t>
      </w:r>
      <w:r w:rsidR="00851398" w:rsidRPr="00653BF4">
        <w:rPr>
          <w:lang w:val="fr-FR"/>
        </w:rPr>
        <w:t xml:space="preserve"> accomplis</w:t>
      </w:r>
    </w:p>
    <w:p w14:paraId="09E4300C" w14:textId="77777777" w:rsidR="00987CE5" w:rsidRPr="00653BF4" w:rsidRDefault="00987CE5" w:rsidP="007B7D34">
      <w:pPr>
        <w:rPr>
          <w:lang w:val="fr-FR"/>
        </w:rPr>
      </w:pPr>
    </w:p>
    <w:p w14:paraId="5A7502AD" w14:textId="5C79ACA2" w:rsidR="007B7D34" w:rsidRPr="00653BF4" w:rsidRDefault="00EF05DA" w:rsidP="007B7D34">
      <w:pPr>
        <w:rPr>
          <w:i/>
          <w:lang w:val="fr-FR"/>
        </w:rPr>
      </w:pPr>
      <w:r w:rsidRPr="00653BF4">
        <w:rPr>
          <w:lang w:val="fr-FR"/>
        </w:rPr>
        <w:t>D’après les auto-évaluations des Parties figurant dans leurs rapports nationaux, 43</w:t>
      </w:r>
      <w:r w:rsidR="002878D7">
        <w:rPr>
          <w:lang w:val="fr-FR"/>
        </w:rPr>
        <w:t> %</w:t>
      </w:r>
      <w:r w:rsidRPr="00653BF4">
        <w:rPr>
          <w:lang w:val="fr-FR"/>
        </w:rPr>
        <w:t xml:space="preserve"> des cibles nationales qu’elles ont présentées comme étroitement alignées sur la </w:t>
      </w:r>
      <w:r w:rsidR="00E34DC9">
        <w:rPr>
          <w:lang w:val="fr-FR"/>
        </w:rPr>
        <w:t>cible 2</w:t>
      </w:r>
      <w:r w:rsidRPr="00653BF4">
        <w:rPr>
          <w:lang w:val="fr-FR"/>
        </w:rPr>
        <w:t xml:space="preserve"> sont en voie d’être atteintes, alors que 50</w:t>
      </w:r>
      <w:r w:rsidR="002878D7">
        <w:rPr>
          <w:lang w:val="fr-FR"/>
        </w:rPr>
        <w:t> %</w:t>
      </w:r>
      <w:r w:rsidRPr="00653BF4">
        <w:rPr>
          <w:lang w:val="fr-FR"/>
        </w:rPr>
        <w:t xml:space="preserve"> n’enregistre</w:t>
      </w:r>
      <w:r w:rsidR="00BD62AB" w:rsidRPr="00653BF4">
        <w:rPr>
          <w:lang w:val="fr-FR"/>
        </w:rPr>
        <w:t>nt</w:t>
      </w:r>
      <w:r w:rsidRPr="00653BF4">
        <w:rPr>
          <w:lang w:val="fr-FR"/>
        </w:rPr>
        <w:t xml:space="preserve"> aucun progrès notable ou des progrès insuffisants </w:t>
      </w:r>
      <w:r w:rsidR="008A2237" w:rsidRPr="00653BF4">
        <w:rPr>
          <w:lang w:val="fr-FR"/>
        </w:rPr>
        <w:t>(</w:t>
      </w:r>
      <w:r w:rsidR="00592405" w:rsidRPr="00653BF4">
        <w:rPr>
          <w:lang w:val="fr-FR"/>
        </w:rPr>
        <w:t>voir la figure </w:t>
      </w:r>
      <w:r w:rsidR="008A2237" w:rsidRPr="00653BF4">
        <w:rPr>
          <w:lang w:val="fr-FR"/>
        </w:rPr>
        <w:t>13). Cette évaluation est relativement positive par rapport aux autres cibles du Cadre.</w:t>
      </w:r>
    </w:p>
    <w:p w14:paraId="3F1CFB5A" w14:textId="77777777" w:rsidR="0034216C" w:rsidRPr="00653BF4" w:rsidRDefault="0034216C" w:rsidP="00597FE0">
      <w:pPr>
        <w:rPr>
          <w:lang w:val="fr-FR"/>
        </w:rPr>
      </w:pPr>
    </w:p>
    <w:p w14:paraId="6808C7EB" w14:textId="629BC376" w:rsidR="00FD293F" w:rsidRPr="00653BF4" w:rsidRDefault="00FD293F" w:rsidP="00FD293F">
      <w:pPr>
        <w:rPr>
          <w:sz w:val="20"/>
          <w:szCs w:val="20"/>
          <w:lang w:val="fr-FR"/>
        </w:rPr>
      </w:pPr>
      <w:bookmarkStart w:id="96" w:name="_Ref230460036"/>
      <w:r w:rsidRPr="00653BF4">
        <w:rPr>
          <w:sz w:val="20"/>
          <w:szCs w:val="20"/>
          <w:lang w:val="fr-FR"/>
        </w:rPr>
        <w:t>Figure 13</w:t>
      </w:r>
      <w:bookmarkEnd w:id="96"/>
    </w:p>
    <w:p w14:paraId="184C8356" w14:textId="74C5ADD3" w:rsidR="00FD293F" w:rsidRPr="00653BF4" w:rsidRDefault="00630A18" w:rsidP="00FD293F">
      <w:pPr>
        <w:rPr>
          <w:b/>
          <w:bCs/>
          <w:sz w:val="20"/>
          <w:szCs w:val="20"/>
          <w:lang w:val="fr-FR"/>
        </w:rPr>
      </w:pPr>
      <w:r w:rsidRPr="00653BF4">
        <w:rPr>
          <w:b/>
          <w:bCs/>
          <w:sz w:val="20"/>
          <w:szCs w:val="20"/>
          <w:lang w:val="fr-FR"/>
        </w:rPr>
        <w:t xml:space="preserve">Progrès auto-évalués pour l’ensemble des cibles nationales présentées comme étroitement alignées </w:t>
      </w:r>
      <w:r w:rsidR="00671583" w:rsidRPr="00653BF4">
        <w:rPr>
          <w:b/>
          <w:bCs/>
          <w:sz w:val="20"/>
          <w:szCs w:val="20"/>
          <w:lang w:val="fr-FR"/>
        </w:rPr>
        <w:t>sur</w:t>
      </w:r>
      <w:r w:rsidR="008A2237" w:rsidRPr="00653BF4">
        <w:rPr>
          <w:b/>
          <w:bCs/>
          <w:sz w:val="20"/>
          <w:szCs w:val="20"/>
          <w:lang w:val="fr-FR"/>
        </w:rPr>
        <w:t xml:space="preserve"> la </w:t>
      </w:r>
      <w:r w:rsidR="00E34DC9">
        <w:rPr>
          <w:b/>
          <w:bCs/>
          <w:sz w:val="20"/>
          <w:szCs w:val="20"/>
          <w:lang w:val="fr-FR"/>
        </w:rPr>
        <w:t>cible 2</w:t>
      </w:r>
      <w:r w:rsidR="008A2237" w:rsidRPr="00653BF4">
        <w:rPr>
          <w:b/>
          <w:bCs/>
          <w:sz w:val="20"/>
          <w:szCs w:val="20"/>
          <w:lang w:val="fr-FR"/>
        </w:rPr>
        <w:t xml:space="preserve"> du Cadre</w:t>
      </w:r>
    </w:p>
    <w:p w14:paraId="4FC7C0AC" w14:textId="77777777" w:rsidR="00066372" w:rsidRPr="00653BF4" w:rsidRDefault="00066372" w:rsidP="00A76652">
      <w:pPr>
        <w:keepNext/>
        <w:rPr>
          <w:lang w:val="fr-FR"/>
        </w:rPr>
      </w:pPr>
    </w:p>
    <w:p w14:paraId="55A75CBD" w14:textId="5D8B9B0A" w:rsidR="00B37A19" w:rsidRPr="00653BF4" w:rsidRDefault="004104BF" w:rsidP="00A76652">
      <w:pPr>
        <w:keepNext/>
        <w:rPr>
          <w:lang w:val="fr-FR"/>
        </w:rPr>
      </w:pPr>
      <w:r w:rsidRPr="00653BF4">
        <w:rPr>
          <w:rFonts w:ascii="Aptos" w:eastAsia="Aptos" w:hAnsi="Aptos" w:cs="Aptos"/>
          <w:noProof/>
          <w:lang w:val="fr-FR"/>
        </w:rPr>
        <w:drawing>
          <wp:inline distT="0" distB="0" distL="0" distR="0" wp14:anchorId="0CD14439" wp14:editId="356B5079">
            <wp:extent cx="5731510" cy="2292350"/>
            <wp:effectExtent l="0" t="0" r="0" b="6350"/>
            <wp:docPr id="1673583179" name="Picture 1">
              <a:extLst xmlns:a="http://schemas.openxmlformats.org/drawingml/2006/main">
                <a:ext uri="{FF2B5EF4-FFF2-40B4-BE49-F238E27FC236}">
                  <a16:creationId xmlns:a16="http://schemas.microsoft.com/office/drawing/2014/main" id="{EFB715B5-39CA-4309-BD79-3F64FE5954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583179" name="Picture 1673583179"/>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3D3771DB" w14:textId="3BF6CE45" w:rsidR="00066372" w:rsidRPr="00653BF4" w:rsidRDefault="006A631C" w:rsidP="00066372">
      <w:pPr>
        <w:pStyle w:val="Caption"/>
        <w:rPr>
          <w:i w:val="0"/>
          <w:iCs w:val="0"/>
          <w:lang w:val="fr-FR"/>
        </w:rPr>
      </w:pPr>
      <w:r w:rsidRPr="00653BF4">
        <w:rPr>
          <w:lang w:val="fr-FR"/>
        </w:rPr>
        <w:t>Note</w:t>
      </w:r>
      <w:r w:rsidR="00E34DC9">
        <w:rPr>
          <w:lang w:val="fr-FR"/>
        </w:rPr>
        <w:t> :</w:t>
      </w:r>
      <w:r w:rsidR="00066372" w:rsidRPr="00653BF4">
        <w:rPr>
          <w:i w:val="0"/>
          <w:iCs w:val="0"/>
          <w:lang w:val="fr-FR"/>
        </w:rPr>
        <w:t xml:space="preserve"> </w:t>
      </w:r>
      <w:r w:rsidR="00BC7939" w:rsidRPr="00653BF4">
        <w:rPr>
          <w:i w:val="0"/>
          <w:iCs w:val="0"/>
          <w:lang w:val="fr-FR"/>
        </w:rPr>
        <w:t xml:space="preserve">La largeur des barres reflète la proportion de cibles nationales soumises dans chaque catégorie de progrès. </w:t>
      </w:r>
      <w:r w:rsidR="007E1153" w:rsidRPr="00653BF4">
        <w:rPr>
          <w:i w:val="0"/>
          <w:iCs w:val="0"/>
          <w:lang w:val="fr-FR"/>
        </w:rPr>
        <w:t xml:space="preserve">Les proportions sont pondérées par Partie afin que toutes les Parties aient le même poids dans l’évaluation globale des progrès, quel que soit le nombre de cibles nationales qu’elles ont soumises. </w:t>
      </w:r>
      <w:r w:rsidR="00861812" w:rsidRPr="00653BF4">
        <w:rPr>
          <w:i w:val="0"/>
          <w:iCs w:val="0"/>
          <w:lang w:val="fr-FR"/>
        </w:rPr>
        <w:t xml:space="preserve">Le diagramme circulaire représente la </w:t>
      </w:r>
      <w:r w:rsidR="00861812" w:rsidRPr="00653BF4">
        <w:rPr>
          <w:i w:val="0"/>
          <w:iCs w:val="0"/>
          <w:lang w:val="fr-FR"/>
        </w:rPr>
        <w:lastRenderedPageBreak/>
        <w:t xml:space="preserve">proportion de Parties de chaque région ayant présenté leur rapport à temps pour qu’il soit pris en compte dans le rapport mondial. </w:t>
      </w:r>
      <w:r w:rsidR="000F1A30" w:rsidRPr="00653BF4">
        <w:rPr>
          <w:i w:val="0"/>
          <w:iCs w:val="0"/>
          <w:lang w:val="fr-FR"/>
        </w:rPr>
        <w:t>La couleur de chaque région est indiquée dans la légende de la figure</w:t>
      </w:r>
      <w:r w:rsidR="00E34DC9">
        <w:rPr>
          <w:i w:val="0"/>
          <w:iCs w:val="0"/>
          <w:lang w:val="fr-FR"/>
        </w:rPr>
        <w:t> :</w:t>
      </w:r>
      <w:r w:rsidR="000F1A30"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000F1A30" w:rsidRPr="00653BF4">
        <w:rPr>
          <w:i w:val="0"/>
          <w:iCs w:val="0"/>
          <w:lang w:val="fr-FR"/>
        </w:rPr>
        <w:t xml:space="preserve"> les tons plus clairs, la proportion de Parties de la même région dont les données n’y figurent pas.</w:t>
      </w:r>
    </w:p>
    <w:tbl>
      <w:tblPr>
        <w:tblStyle w:val="TableGrid"/>
        <w:tblW w:w="0" w:type="auto"/>
        <w:tblLook w:val="06A0" w:firstRow="1" w:lastRow="0" w:firstColumn="1" w:lastColumn="0" w:noHBand="1" w:noVBand="1"/>
      </w:tblPr>
      <w:tblGrid>
        <w:gridCol w:w="4688"/>
        <w:gridCol w:w="4662"/>
      </w:tblGrid>
      <w:tr w:rsidR="003246FC" w:rsidRPr="003A6336" w14:paraId="7E5BE589" w14:textId="77777777" w:rsidTr="009B4355">
        <w:trPr>
          <w:trHeight w:val="20"/>
        </w:trPr>
        <w:tc>
          <w:tcPr>
            <w:tcW w:w="0" w:type="auto"/>
            <w:gridSpan w:val="2"/>
          </w:tcPr>
          <w:p w14:paraId="08429BB3" w14:textId="77777777" w:rsidR="003246FC" w:rsidRPr="003A6336" w:rsidRDefault="003246FC" w:rsidP="009B4355">
            <w:pPr>
              <w:rPr>
                <w:rFonts w:ascii="Aptos" w:eastAsia="Segoe UI" w:hAnsi="Aptos" w:cs="Segoe UI"/>
                <w:color w:val="0F1115"/>
              </w:rPr>
            </w:pPr>
            <w:r>
              <w:rPr>
                <w:rFonts w:ascii="Aptos" w:eastAsia="Segoe UI" w:hAnsi="Aptos" w:cs="Segoe UI"/>
                <w:color w:val="0F1115"/>
              </w:rPr>
              <w:t>Figure 13</w:t>
            </w:r>
          </w:p>
        </w:tc>
      </w:tr>
      <w:tr w:rsidR="003246FC" w:rsidRPr="003A6336" w14:paraId="53E33A83" w14:textId="77777777" w:rsidTr="009B4355">
        <w:trPr>
          <w:trHeight w:val="20"/>
        </w:trPr>
        <w:tc>
          <w:tcPr>
            <w:tcW w:w="0" w:type="auto"/>
          </w:tcPr>
          <w:p w14:paraId="2681ABDC" w14:textId="77777777" w:rsidR="003246FC" w:rsidRPr="003A6336" w:rsidRDefault="003246FC" w:rsidP="009B4355">
            <w:pPr>
              <w:rPr>
                <w:rFonts w:ascii="Aptos" w:hAnsi="Aptos"/>
              </w:rPr>
            </w:pPr>
            <w:r w:rsidRPr="003A6336">
              <w:rPr>
                <w:rFonts w:ascii="Aptos" w:eastAsia="Segoe UI" w:hAnsi="Aptos" w:cs="Segoe UI"/>
                <w:color w:val="0F1115"/>
              </w:rPr>
              <w:t xml:space="preserve">English </w:t>
            </w:r>
          </w:p>
        </w:tc>
        <w:tc>
          <w:tcPr>
            <w:tcW w:w="0" w:type="auto"/>
          </w:tcPr>
          <w:p w14:paraId="57AAF0C3" w14:textId="77777777" w:rsidR="003246FC" w:rsidRPr="003A6336" w:rsidRDefault="003246FC" w:rsidP="009B4355">
            <w:pPr>
              <w:rPr>
                <w:rFonts w:ascii="Aptos" w:hAnsi="Aptos"/>
              </w:rPr>
            </w:pPr>
            <w:r>
              <w:rPr>
                <w:rFonts w:ascii="Aptos" w:eastAsia="Segoe UI" w:hAnsi="Aptos" w:cs="Segoe UI"/>
                <w:color w:val="0F1115"/>
              </w:rPr>
              <w:t>Français</w:t>
            </w:r>
          </w:p>
        </w:tc>
      </w:tr>
      <w:tr w:rsidR="003246FC" w:rsidRPr="003A6336" w14:paraId="3BA152E6" w14:textId="77777777" w:rsidTr="009B4355">
        <w:trPr>
          <w:trHeight w:val="20"/>
        </w:trPr>
        <w:tc>
          <w:tcPr>
            <w:tcW w:w="0" w:type="auto"/>
          </w:tcPr>
          <w:p w14:paraId="4F488CFB"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0" w:type="auto"/>
            <w:tcBorders>
              <w:top w:val="single" w:sz="4" w:space="0" w:color="auto"/>
              <w:left w:val="single" w:sz="4" w:space="0" w:color="auto"/>
              <w:bottom w:val="single" w:sz="4" w:space="0" w:color="auto"/>
              <w:right w:val="single" w:sz="4" w:space="0" w:color="auto"/>
            </w:tcBorders>
          </w:tcPr>
          <w:p w14:paraId="2D554769" w14:textId="77777777" w:rsidR="003246FC" w:rsidRPr="003A6336" w:rsidRDefault="003246FC" w:rsidP="009B4355">
            <w:pPr>
              <w:rPr>
                <w:rFonts w:ascii="Aptos" w:hAnsi="Aptos"/>
              </w:rPr>
            </w:pPr>
            <w:r>
              <w:rPr>
                <w:rFonts w:ascii="Aptos" w:hAnsi="Aptos"/>
                <w:lang w:val="fr-FR"/>
              </w:rPr>
              <w:t>Région</w:t>
            </w:r>
          </w:p>
        </w:tc>
      </w:tr>
      <w:tr w:rsidR="003246FC" w:rsidRPr="003A6336" w14:paraId="67C21A66" w14:textId="77777777" w:rsidTr="009B4355">
        <w:trPr>
          <w:trHeight w:val="20"/>
        </w:trPr>
        <w:tc>
          <w:tcPr>
            <w:tcW w:w="0" w:type="auto"/>
          </w:tcPr>
          <w:p w14:paraId="36F60D88" w14:textId="77777777" w:rsidR="003246FC" w:rsidRPr="003A6336" w:rsidRDefault="003246FC" w:rsidP="009B4355">
            <w:pPr>
              <w:rPr>
                <w:rFonts w:ascii="Aptos" w:hAnsi="Aptos"/>
              </w:rPr>
            </w:pPr>
            <w:r w:rsidRPr="003A6336">
              <w:rPr>
                <w:rFonts w:ascii="Aptos" w:eastAsia="Segoe UI" w:hAnsi="Aptos" w:cs="Segoe UI"/>
                <w:color w:val="0F1115"/>
              </w:rPr>
              <w:t>Africa</w:t>
            </w:r>
            <w:r>
              <w:rPr>
                <w:rFonts w:ascii="Aptos" w:eastAsia="Segoe UI" w:hAnsi="Aptos" w:cs="Segoe UI"/>
                <w:color w:val="0F1115"/>
              </w:rPr>
              <w:t>n States</w:t>
            </w:r>
          </w:p>
        </w:tc>
        <w:tc>
          <w:tcPr>
            <w:tcW w:w="0" w:type="auto"/>
            <w:tcBorders>
              <w:top w:val="single" w:sz="4" w:space="0" w:color="auto"/>
              <w:left w:val="single" w:sz="4" w:space="0" w:color="auto"/>
              <w:bottom w:val="single" w:sz="4" w:space="0" w:color="auto"/>
              <w:right w:val="single" w:sz="4" w:space="0" w:color="auto"/>
            </w:tcBorders>
          </w:tcPr>
          <w:p w14:paraId="1871FB4B" w14:textId="77777777" w:rsidR="003246FC" w:rsidRPr="003A6336" w:rsidRDefault="003246FC" w:rsidP="009B4355">
            <w:pPr>
              <w:rPr>
                <w:rFonts w:ascii="Aptos" w:hAnsi="Aptos"/>
              </w:rPr>
            </w:pPr>
            <w:r>
              <w:rPr>
                <w:rFonts w:ascii="Aptos" w:hAnsi="Aptos"/>
                <w:lang w:val="fr-FR"/>
              </w:rPr>
              <w:t>États d’Afrique</w:t>
            </w:r>
          </w:p>
        </w:tc>
      </w:tr>
      <w:tr w:rsidR="003246FC" w:rsidRPr="003A6336" w14:paraId="6D1123D1" w14:textId="77777777" w:rsidTr="009B4355">
        <w:trPr>
          <w:trHeight w:val="20"/>
        </w:trPr>
        <w:tc>
          <w:tcPr>
            <w:tcW w:w="0" w:type="auto"/>
          </w:tcPr>
          <w:p w14:paraId="1C7BB710" w14:textId="77777777" w:rsidR="003246FC" w:rsidRPr="003A6336" w:rsidRDefault="003246FC" w:rsidP="009B4355">
            <w:pPr>
              <w:rPr>
                <w:rFonts w:ascii="Aptos" w:hAnsi="Aptos"/>
              </w:rPr>
            </w:pPr>
            <w:r w:rsidRPr="003A6336">
              <w:rPr>
                <w:rFonts w:ascii="Aptos" w:eastAsia="Segoe UI" w:hAnsi="Aptos" w:cs="Segoe UI"/>
                <w:color w:val="0F1115"/>
              </w:rPr>
              <w:t>Asia</w:t>
            </w:r>
            <w:r>
              <w:rPr>
                <w:rFonts w:ascii="Aptos" w:eastAsia="Segoe UI" w:hAnsi="Aptos" w:cs="Segoe UI"/>
                <w:color w:val="0F1115"/>
              </w:rPr>
              <w:t>-</w:t>
            </w:r>
            <w:r w:rsidRPr="003A6336">
              <w:rPr>
                <w:rFonts w:ascii="Aptos" w:eastAsia="Segoe UI" w:hAnsi="Aptos" w:cs="Segoe UI"/>
                <w:color w:val="0F1115"/>
              </w:rPr>
              <w:t>Pacific</w:t>
            </w:r>
            <w:r>
              <w:rPr>
                <w:rFonts w:ascii="Aptos" w:eastAsia="Segoe UI" w:hAnsi="Aptos" w:cs="Segoe UI"/>
                <w:color w:val="0F1115"/>
              </w:rPr>
              <w:t xml:space="preserve"> States</w:t>
            </w:r>
          </w:p>
        </w:tc>
        <w:tc>
          <w:tcPr>
            <w:tcW w:w="0" w:type="auto"/>
            <w:tcBorders>
              <w:top w:val="single" w:sz="4" w:space="0" w:color="auto"/>
              <w:left w:val="single" w:sz="4" w:space="0" w:color="auto"/>
              <w:bottom w:val="single" w:sz="4" w:space="0" w:color="auto"/>
              <w:right w:val="single" w:sz="4" w:space="0" w:color="auto"/>
            </w:tcBorders>
          </w:tcPr>
          <w:p w14:paraId="512AABE4" w14:textId="77777777" w:rsidR="003246FC" w:rsidRPr="003A6336" w:rsidRDefault="003246FC" w:rsidP="009B4355">
            <w:pPr>
              <w:rPr>
                <w:rFonts w:ascii="Aptos" w:hAnsi="Aptos"/>
              </w:rPr>
            </w:pPr>
            <w:r>
              <w:rPr>
                <w:rFonts w:ascii="Aptos" w:hAnsi="Aptos"/>
                <w:lang w:val="fr-FR"/>
              </w:rPr>
              <w:t>États d’Asie et du Pacifique</w:t>
            </w:r>
          </w:p>
        </w:tc>
      </w:tr>
      <w:tr w:rsidR="003246FC" w:rsidRPr="003A6336" w14:paraId="4BEA2658" w14:textId="77777777" w:rsidTr="009B4355">
        <w:trPr>
          <w:trHeight w:val="20"/>
        </w:trPr>
        <w:tc>
          <w:tcPr>
            <w:tcW w:w="0" w:type="auto"/>
          </w:tcPr>
          <w:p w14:paraId="4597E889" w14:textId="77777777" w:rsidR="003246FC" w:rsidRPr="003A6336" w:rsidRDefault="003246FC" w:rsidP="009B4355">
            <w:pPr>
              <w:rPr>
                <w:rFonts w:ascii="Aptos" w:hAnsi="Aptos"/>
              </w:rPr>
            </w:pPr>
            <w:r w:rsidRPr="003A6336">
              <w:rPr>
                <w:rFonts w:ascii="Aptos" w:eastAsia="Segoe UI" w:hAnsi="Aptos" w:cs="Segoe UI"/>
                <w:color w:val="0F1115"/>
              </w:rPr>
              <w:t>Latin America</w:t>
            </w:r>
            <w:r>
              <w:rPr>
                <w:rFonts w:ascii="Aptos" w:eastAsia="Segoe UI" w:hAnsi="Aptos" w:cs="Segoe UI"/>
                <w:color w:val="0F1115"/>
              </w:rPr>
              <w:t>n</w:t>
            </w:r>
            <w:r w:rsidRPr="003A6336">
              <w:rPr>
                <w:rFonts w:ascii="Aptos" w:eastAsia="Segoe UI" w:hAnsi="Aptos" w:cs="Segoe UI"/>
                <w:color w:val="0F1115"/>
              </w:rPr>
              <w:t xml:space="preserve"> and Caribbean</w:t>
            </w:r>
            <w:r>
              <w:rPr>
                <w:rFonts w:ascii="Aptos" w:eastAsia="Segoe UI" w:hAnsi="Aptos" w:cs="Segoe UI"/>
                <w:color w:val="0F1115"/>
              </w:rPr>
              <w:t xml:space="preserve"> States</w:t>
            </w:r>
          </w:p>
        </w:tc>
        <w:tc>
          <w:tcPr>
            <w:tcW w:w="0" w:type="auto"/>
            <w:tcBorders>
              <w:top w:val="single" w:sz="4" w:space="0" w:color="auto"/>
              <w:left w:val="single" w:sz="4" w:space="0" w:color="auto"/>
              <w:bottom w:val="single" w:sz="4" w:space="0" w:color="auto"/>
              <w:right w:val="single" w:sz="4" w:space="0" w:color="auto"/>
            </w:tcBorders>
          </w:tcPr>
          <w:p w14:paraId="6FC0A0EA" w14:textId="77777777" w:rsidR="003246FC" w:rsidRPr="003A6336" w:rsidRDefault="003246FC" w:rsidP="009B4355">
            <w:pPr>
              <w:rPr>
                <w:rFonts w:ascii="Aptos" w:hAnsi="Aptos"/>
              </w:rPr>
            </w:pPr>
            <w:r>
              <w:rPr>
                <w:rFonts w:ascii="Aptos" w:hAnsi="Aptos"/>
                <w:lang w:val="fr-FR"/>
              </w:rPr>
              <w:t>États d’Amérique latine et des Caraïbes</w:t>
            </w:r>
          </w:p>
        </w:tc>
      </w:tr>
      <w:tr w:rsidR="003246FC" w:rsidRPr="003A6336" w14:paraId="5E07C82F" w14:textId="77777777" w:rsidTr="009B4355">
        <w:trPr>
          <w:trHeight w:val="20"/>
        </w:trPr>
        <w:tc>
          <w:tcPr>
            <w:tcW w:w="0" w:type="auto"/>
          </w:tcPr>
          <w:p w14:paraId="70CDE930" w14:textId="77777777" w:rsidR="003246FC" w:rsidRPr="003A6336" w:rsidRDefault="003246FC" w:rsidP="009B4355">
            <w:pPr>
              <w:rPr>
                <w:rFonts w:ascii="Aptos" w:hAnsi="Aptos"/>
              </w:rPr>
            </w:pPr>
            <w:r w:rsidRPr="003A6336">
              <w:rPr>
                <w:rFonts w:ascii="Aptos" w:eastAsia="Segoe UI" w:hAnsi="Aptos" w:cs="Segoe UI"/>
                <w:color w:val="0F1115"/>
              </w:rPr>
              <w:t>Eastern Europe</w:t>
            </w:r>
            <w:r>
              <w:rPr>
                <w:rFonts w:ascii="Aptos" w:eastAsia="Segoe UI" w:hAnsi="Aptos" w:cs="Segoe UI"/>
                <w:color w:val="0F1115"/>
              </w:rPr>
              <w:t>an States</w:t>
            </w:r>
          </w:p>
        </w:tc>
        <w:tc>
          <w:tcPr>
            <w:tcW w:w="0" w:type="auto"/>
            <w:tcBorders>
              <w:top w:val="single" w:sz="4" w:space="0" w:color="auto"/>
              <w:left w:val="single" w:sz="4" w:space="0" w:color="auto"/>
              <w:bottom w:val="single" w:sz="4" w:space="0" w:color="auto"/>
              <w:right w:val="single" w:sz="4" w:space="0" w:color="auto"/>
            </w:tcBorders>
          </w:tcPr>
          <w:p w14:paraId="2677D3DF" w14:textId="77777777" w:rsidR="003246FC" w:rsidRPr="003A6336" w:rsidRDefault="003246FC" w:rsidP="009B4355">
            <w:pPr>
              <w:rPr>
                <w:rFonts w:ascii="Aptos" w:hAnsi="Aptos"/>
              </w:rPr>
            </w:pPr>
            <w:r>
              <w:rPr>
                <w:rFonts w:ascii="Aptos" w:hAnsi="Aptos"/>
                <w:lang w:val="fr-FR"/>
              </w:rPr>
              <w:t>États d’Europe orientale</w:t>
            </w:r>
          </w:p>
        </w:tc>
      </w:tr>
      <w:tr w:rsidR="003246FC" w:rsidRPr="003A6336" w14:paraId="5760066A" w14:textId="77777777" w:rsidTr="009B4355">
        <w:trPr>
          <w:trHeight w:val="20"/>
        </w:trPr>
        <w:tc>
          <w:tcPr>
            <w:tcW w:w="0" w:type="auto"/>
          </w:tcPr>
          <w:p w14:paraId="6B97996D" w14:textId="77777777" w:rsidR="003246FC" w:rsidRPr="003A6336" w:rsidRDefault="003246FC" w:rsidP="009B4355">
            <w:pPr>
              <w:rPr>
                <w:rFonts w:ascii="Aptos" w:hAnsi="Aptos"/>
              </w:rPr>
            </w:pPr>
            <w:r w:rsidRPr="003A6336">
              <w:rPr>
                <w:rFonts w:ascii="Aptos" w:eastAsia="Segoe UI" w:hAnsi="Aptos" w:cs="Segoe UI"/>
                <w:color w:val="0F1115"/>
              </w:rPr>
              <w:t>Western Europe</w:t>
            </w:r>
            <w:r>
              <w:rPr>
                <w:rFonts w:ascii="Aptos" w:eastAsia="Segoe UI" w:hAnsi="Aptos" w:cs="Segoe UI"/>
                <w:color w:val="0F1115"/>
              </w:rPr>
              <w:t>an</w:t>
            </w:r>
            <w:r w:rsidRPr="003A6336">
              <w:rPr>
                <w:rFonts w:ascii="Aptos" w:eastAsia="Segoe UI" w:hAnsi="Aptos" w:cs="Segoe UI"/>
                <w:color w:val="0F1115"/>
              </w:rPr>
              <w:t xml:space="preserve"> and </w:t>
            </w:r>
            <w:r>
              <w:rPr>
                <w:rFonts w:ascii="Aptos" w:eastAsia="Segoe UI" w:hAnsi="Aptos" w:cs="Segoe UI"/>
                <w:color w:val="0F1115"/>
              </w:rPr>
              <w:t>o</w:t>
            </w:r>
            <w:r w:rsidRPr="003A6336">
              <w:rPr>
                <w:rFonts w:ascii="Aptos" w:eastAsia="Segoe UI" w:hAnsi="Aptos" w:cs="Segoe UI"/>
                <w:color w:val="0F1115"/>
              </w:rPr>
              <w:t xml:space="preserve">ther </w:t>
            </w:r>
            <w:r>
              <w:rPr>
                <w:rFonts w:ascii="Aptos" w:eastAsia="Segoe UI" w:hAnsi="Aptos" w:cs="Segoe UI"/>
                <w:color w:val="0F1115"/>
              </w:rPr>
              <w:t>States</w:t>
            </w:r>
          </w:p>
        </w:tc>
        <w:tc>
          <w:tcPr>
            <w:tcW w:w="0" w:type="auto"/>
            <w:tcBorders>
              <w:top w:val="single" w:sz="4" w:space="0" w:color="auto"/>
              <w:left w:val="single" w:sz="4" w:space="0" w:color="auto"/>
              <w:bottom w:val="single" w:sz="4" w:space="0" w:color="auto"/>
              <w:right w:val="single" w:sz="4" w:space="0" w:color="auto"/>
            </w:tcBorders>
          </w:tcPr>
          <w:p w14:paraId="31E5C915" w14:textId="77777777" w:rsidR="003246FC" w:rsidRPr="003A6336" w:rsidRDefault="003246FC" w:rsidP="009B4355">
            <w:pPr>
              <w:rPr>
                <w:rFonts w:ascii="Aptos" w:hAnsi="Aptos"/>
              </w:rPr>
            </w:pPr>
            <w:r>
              <w:rPr>
                <w:rFonts w:ascii="Aptos" w:hAnsi="Aptos"/>
                <w:lang w:val="fr-FR"/>
              </w:rPr>
              <w:t>États d’Europe occidentale et autres États</w:t>
            </w:r>
          </w:p>
        </w:tc>
      </w:tr>
      <w:tr w:rsidR="003246FC" w:rsidRPr="003A6336" w14:paraId="33333738" w14:textId="77777777" w:rsidTr="009B4355">
        <w:trPr>
          <w:trHeight w:val="20"/>
        </w:trPr>
        <w:tc>
          <w:tcPr>
            <w:tcW w:w="0" w:type="auto"/>
          </w:tcPr>
          <w:p w14:paraId="19E2FDE8" w14:textId="77777777" w:rsidR="003246FC" w:rsidRPr="003A6336" w:rsidRDefault="003246FC" w:rsidP="009B4355">
            <w:pPr>
              <w:rPr>
                <w:rFonts w:ascii="Aptos" w:hAnsi="Aptos"/>
              </w:rPr>
            </w:pPr>
            <w:r w:rsidRPr="003A6336">
              <w:rPr>
                <w:rFonts w:ascii="Aptos" w:eastAsia="Segoe UI" w:hAnsi="Aptos" w:cs="Segoe UI"/>
                <w:color w:val="0F1115"/>
              </w:rPr>
              <w:t>Percentage of national targets</w:t>
            </w:r>
          </w:p>
        </w:tc>
        <w:tc>
          <w:tcPr>
            <w:tcW w:w="0" w:type="auto"/>
          </w:tcPr>
          <w:p w14:paraId="34336840" w14:textId="77777777" w:rsidR="003246FC" w:rsidRPr="003A6336" w:rsidRDefault="003246FC" w:rsidP="009B4355">
            <w:pPr>
              <w:rPr>
                <w:rFonts w:ascii="Aptos" w:hAnsi="Aptos"/>
              </w:rPr>
            </w:pPr>
            <w:r>
              <w:t>Pourcentage de cibles nationales</w:t>
            </w:r>
          </w:p>
        </w:tc>
      </w:tr>
      <w:tr w:rsidR="003246FC" w:rsidRPr="003A6336" w14:paraId="2A487BFB" w14:textId="77777777" w:rsidTr="009B4355">
        <w:trPr>
          <w:trHeight w:val="20"/>
        </w:trPr>
        <w:tc>
          <w:tcPr>
            <w:tcW w:w="0" w:type="auto"/>
          </w:tcPr>
          <w:p w14:paraId="4EDA1C43" w14:textId="77777777" w:rsidR="003246FC" w:rsidRPr="003A6336" w:rsidRDefault="003246FC" w:rsidP="009B4355">
            <w:pPr>
              <w:rPr>
                <w:rFonts w:ascii="Aptos" w:hAnsi="Aptos"/>
              </w:rPr>
            </w:pPr>
            <w:r w:rsidRPr="003A6336">
              <w:rPr>
                <w:rFonts w:ascii="Aptos" w:eastAsia="Segoe UI" w:hAnsi="Aptos" w:cs="Segoe UI"/>
                <w:color w:val="0F1115"/>
              </w:rPr>
              <w:t>Progress Level</w:t>
            </w:r>
          </w:p>
        </w:tc>
        <w:tc>
          <w:tcPr>
            <w:tcW w:w="0" w:type="auto"/>
          </w:tcPr>
          <w:p w14:paraId="207B03AB" w14:textId="77777777" w:rsidR="003246FC" w:rsidRPr="003A6336" w:rsidRDefault="003246FC" w:rsidP="009B4355">
            <w:pPr>
              <w:rPr>
                <w:rFonts w:ascii="Aptos" w:hAnsi="Aptos"/>
              </w:rPr>
            </w:pPr>
            <w:r w:rsidRPr="006F7AF8">
              <w:rPr>
                <w:rFonts w:ascii="Aptos" w:hAnsi="Aptos"/>
                <w:lang w:val="fr-FR"/>
              </w:rPr>
              <w:t>État d</w:t>
            </w:r>
            <w:r>
              <w:rPr>
                <w:rFonts w:ascii="Aptos" w:hAnsi="Aptos"/>
                <w:lang w:val="fr-FR"/>
              </w:rPr>
              <w:t>’</w:t>
            </w:r>
            <w:r w:rsidRPr="006F7AF8">
              <w:rPr>
                <w:rFonts w:ascii="Aptos" w:hAnsi="Aptos"/>
                <w:lang w:val="fr-FR"/>
              </w:rPr>
              <w:t>avancement</w:t>
            </w:r>
          </w:p>
        </w:tc>
      </w:tr>
      <w:tr w:rsidR="003246FC" w:rsidRPr="003A6336" w14:paraId="422287A1" w14:textId="77777777" w:rsidTr="009B4355">
        <w:trPr>
          <w:trHeight w:val="20"/>
        </w:trPr>
        <w:tc>
          <w:tcPr>
            <w:tcW w:w="0" w:type="auto"/>
          </w:tcPr>
          <w:p w14:paraId="39C92340" w14:textId="77777777" w:rsidR="003246FC" w:rsidRPr="003A6336" w:rsidRDefault="003246FC" w:rsidP="009B4355">
            <w:pPr>
              <w:rPr>
                <w:rFonts w:ascii="Aptos" w:hAnsi="Aptos"/>
              </w:rPr>
            </w:pPr>
            <w:r w:rsidRPr="003A6336">
              <w:rPr>
                <w:rFonts w:ascii="Aptos" w:eastAsia="Segoe UI" w:hAnsi="Aptos" w:cs="Segoe UI"/>
                <w:color w:val="0F1115"/>
              </w:rPr>
              <w:t>Achieved</w:t>
            </w:r>
          </w:p>
        </w:tc>
        <w:tc>
          <w:tcPr>
            <w:tcW w:w="0" w:type="auto"/>
          </w:tcPr>
          <w:p w14:paraId="745A2AA2" w14:textId="77777777" w:rsidR="003246FC" w:rsidRPr="003A6336" w:rsidRDefault="003246FC" w:rsidP="009B4355">
            <w:pPr>
              <w:rPr>
                <w:rFonts w:ascii="Aptos" w:hAnsi="Aptos"/>
              </w:rPr>
            </w:pPr>
            <w:r>
              <w:t>Cible atteinte</w:t>
            </w:r>
          </w:p>
        </w:tc>
      </w:tr>
      <w:tr w:rsidR="003246FC" w:rsidRPr="003A6336" w14:paraId="7BCCE505" w14:textId="77777777" w:rsidTr="009B4355">
        <w:trPr>
          <w:trHeight w:val="20"/>
        </w:trPr>
        <w:tc>
          <w:tcPr>
            <w:tcW w:w="0" w:type="auto"/>
          </w:tcPr>
          <w:p w14:paraId="41BA1237" w14:textId="77777777" w:rsidR="003246FC" w:rsidRPr="003A6336" w:rsidRDefault="003246FC" w:rsidP="009B4355">
            <w:pPr>
              <w:rPr>
                <w:rFonts w:ascii="Aptos" w:hAnsi="Aptos"/>
              </w:rPr>
            </w:pPr>
            <w:r w:rsidRPr="003A6336">
              <w:rPr>
                <w:rFonts w:ascii="Aptos" w:eastAsia="Segoe UI" w:hAnsi="Aptos" w:cs="Segoe UI"/>
                <w:color w:val="0F1115"/>
              </w:rPr>
              <w:t>On track to achieve target</w:t>
            </w:r>
          </w:p>
        </w:tc>
        <w:tc>
          <w:tcPr>
            <w:tcW w:w="0" w:type="auto"/>
          </w:tcPr>
          <w:p w14:paraId="1A59A2F2" w14:textId="77777777" w:rsidR="003246FC" w:rsidRPr="003A6336" w:rsidRDefault="003246FC" w:rsidP="009B4355">
            <w:pPr>
              <w:rPr>
                <w:rFonts w:ascii="Aptos" w:hAnsi="Aptos"/>
              </w:rPr>
            </w:pPr>
            <w:r>
              <w:t>En voie d’atteindre la cible</w:t>
            </w:r>
          </w:p>
        </w:tc>
      </w:tr>
      <w:tr w:rsidR="003246FC" w:rsidRPr="003A6336" w14:paraId="6A4987C0" w14:textId="77777777" w:rsidTr="009B4355">
        <w:trPr>
          <w:trHeight w:val="20"/>
        </w:trPr>
        <w:tc>
          <w:tcPr>
            <w:tcW w:w="0" w:type="auto"/>
          </w:tcPr>
          <w:p w14:paraId="7E7AD91D" w14:textId="77777777" w:rsidR="003246FC" w:rsidRPr="003A6336" w:rsidRDefault="003246FC" w:rsidP="009B4355">
            <w:pPr>
              <w:rPr>
                <w:rFonts w:ascii="Aptos" w:hAnsi="Aptos"/>
              </w:rPr>
            </w:pPr>
            <w:r w:rsidRPr="003A6336">
              <w:rPr>
                <w:rFonts w:ascii="Aptos" w:eastAsia="Segoe UI" w:hAnsi="Aptos" w:cs="Segoe UI"/>
                <w:color w:val="0F1115"/>
              </w:rPr>
              <w:t>Progress towards target but at an insufficient rate</w:t>
            </w:r>
          </w:p>
        </w:tc>
        <w:tc>
          <w:tcPr>
            <w:tcW w:w="0" w:type="auto"/>
          </w:tcPr>
          <w:p w14:paraId="49E827BE" w14:textId="77777777" w:rsidR="003246FC" w:rsidRPr="003A6336" w:rsidRDefault="003246FC" w:rsidP="009B4355">
            <w:pPr>
              <w:rPr>
                <w:rFonts w:ascii="Aptos" w:hAnsi="Aptos"/>
              </w:rPr>
            </w:pPr>
            <w:r>
              <w:t>Progrès accomplis, mais à un rythme insuffisant</w:t>
            </w:r>
          </w:p>
        </w:tc>
      </w:tr>
      <w:tr w:rsidR="003246FC" w:rsidRPr="003A6336" w14:paraId="2071B3AF" w14:textId="77777777" w:rsidTr="009B4355">
        <w:trPr>
          <w:trHeight w:val="20"/>
        </w:trPr>
        <w:tc>
          <w:tcPr>
            <w:tcW w:w="0" w:type="auto"/>
          </w:tcPr>
          <w:p w14:paraId="21E9C7E3" w14:textId="77777777" w:rsidR="003246FC" w:rsidRPr="003A6336" w:rsidRDefault="003246FC" w:rsidP="009B4355">
            <w:pPr>
              <w:rPr>
                <w:rFonts w:ascii="Aptos" w:hAnsi="Aptos"/>
              </w:rPr>
            </w:pPr>
            <w:r w:rsidRPr="003A6336">
              <w:rPr>
                <w:rFonts w:ascii="Aptos" w:eastAsia="Segoe UI" w:hAnsi="Aptos" w:cs="Segoe UI"/>
                <w:color w:val="0F1115"/>
              </w:rPr>
              <w:t>No significant change</w:t>
            </w:r>
          </w:p>
        </w:tc>
        <w:tc>
          <w:tcPr>
            <w:tcW w:w="0" w:type="auto"/>
          </w:tcPr>
          <w:p w14:paraId="20A621F7" w14:textId="77777777" w:rsidR="003246FC" w:rsidRPr="003A6336" w:rsidRDefault="003246FC" w:rsidP="009B4355">
            <w:pPr>
              <w:rPr>
                <w:rFonts w:ascii="Aptos" w:hAnsi="Aptos"/>
              </w:rPr>
            </w:pPr>
            <w:r>
              <w:t>Pas de changement notable</w:t>
            </w:r>
          </w:p>
        </w:tc>
      </w:tr>
      <w:tr w:rsidR="003246FC" w:rsidRPr="003A6336" w14:paraId="39C7F737" w14:textId="77777777" w:rsidTr="009B4355">
        <w:trPr>
          <w:trHeight w:val="20"/>
        </w:trPr>
        <w:tc>
          <w:tcPr>
            <w:tcW w:w="0" w:type="auto"/>
          </w:tcPr>
          <w:p w14:paraId="450707D5" w14:textId="77777777" w:rsidR="003246FC" w:rsidRPr="003A6336" w:rsidRDefault="003246FC" w:rsidP="009B4355">
            <w:pPr>
              <w:rPr>
                <w:rFonts w:ascii="Aptos" w:hAnsi="Aptos"/>
              </w:rPr>
            </w:pPr>
            <w:r w:rsidRPr="003A6336">
              <w:rPr>
                <w:rFonts w:ascii="Aptos" w:eastAsia="Segoe UI" w:hAnsi="Aptos" w:cs="Segoe UI"/>
                <w:color w:val="0F1115"/>
              </w:rPr>
              <w:t>Unknown</w:t>
            </w:r>
          </w:p>
        </w:tc>
        <w:tc>
          <w:tcPr>
            <w:tcW w:w="0" w:type="auto"/>
          </w:tcPr>
          <w:p w14:paraId="39C44641" w14:textId="77777777" w:rsidR="003246FC" w:rsidRPr="003A6336" w:rsidRDefault="003246FC" w:rsidP="009B4355">
            <w:pPr>
              <w:rPr>
                <w:rFonts w:ascii="Aptos" w:hAnsi="Aptos"/>
              </w:rPr>
            </w:pPr>
            <w:r>
              <w:t>Inconnu</w:t>
            </w:r>
          </w:p>
        </w:tc>
      </w:tr>
      <w:tr w:rsidR="003246FC" w:rsidRPr="003A6336" w14:paraId="37507057" w14:textId="77777777" w:rsidTr="009B4355">
        <w:trPr>
          <w:trHeight w:val="20"/>
        </w:trPr>
        <w:tc>
          <w:tcPr>
            <w:tcW w:w="0" w:type="auto"/>
          </w:tcPr>
          <w:p w14:paraId="4763DD62" w14:textId="77777777" w:rsidR="003246FC" w:rsidRPr="003A6336" w:rsidRDefault="003246FC" w:rsidP="009B4355">
            <w:pPr>
              <w:rPr>
                <w:rFonts w:ascii="Aptos" w:hAnsi="Aptos"/>
              </w:rPr>
            </w:pPr>
            <w:r w:rsidRPr="003A6336">
              <w:rPr>
                <w:rFonts w:ascii="Aptos" w:eastAsia="Segoe UI" w:hAnsi="Aptos" w:cs="Segoe UI"/>
                <w:color w:val="0F1115"/>
              </w:rPr>
              <w:t>Party count: 104</w:t>
            </w:r>
          </w:p>
        </w:tc>
        <w:tc>
          <w:tcPr>
            <w:tcW w:w="0" w:type="auto"/>
          </w:tcPr>
          <w:p w14:paraId="5D30E1B9" w14:textId="77777777" w:rsidR="003246FC" w:rsidRPr="003A6336" w:rsidRDefault="003246FC" w:rsidP="009B4355">
            <w:pPr>
              <w:rPr>
                <w:rFonts w:ascii="Aptos" w:hAnsi="Aptos"/>
              </w:rPr>
            </w:pPr>
            <w:r>
              <w:rPr>
                <w:rFonts w:ascii="Aptos" w:hAnsi="Aptos"/>
              </w:rPr>
              <w:t>Nombre de Parties : 104</w:t>
            </w:r>
          </w:p>
        </w:tc>
      </w:tr>
    </w:tbl>
    <w:p w14:paraId="76A32800" w14:textId="67CBF72B" w:rsidR="00AB1068" w:rsidRPr="00653BF4" w:rsidRDefault="00AB1068" w:rsidP="00597FE0">
      <w:pPr>
        <w:rPr>
          <w:lang w:val="fr-FR"/>
        </w:rPr>
      </w:pPr>
    </w:p>
    <w:p w14:paraId="4EEC4E05" w14:textId="2E7C946D" w:rsidR="00FC7784" w:rsidRPr="00653BF4" w:rsidRDefault="00B43BEA" w:rsidP="00FC7784">
      <w:pPr>
        <w:pStyle w:val="Heading5"/>
        <w:rPr>
          <w:lang w:val="fr-FR"/>
        </w:rPr>
      </w:pPr>
      <w:r w:rsidRPr="00653BF4">
        <w:rPr>
          <w:lang w:val="fr-FR"/>
        </w:rPr>
        <w:t>Actions, réussites et difficultés dans la mise en œuvre</w:t>
      </w:r>
    </w:p>
    <w:p w14:paraId="3A77A07B" w14:textId="77777777" w:rsidR="006C01DD" w:rsidRPr="00653BF4" w:rsidRDefault="006C01DD" w:rsidP="00FC7784">
      <w:pPr>
        <w:pStyle w:val="Heading6"/>
        <w:rPr>
          <w:lang w:val="fr-FR"/>
        </w:rPr>
      </w:pPr>
      <w:bookmarkStart w:id="97" w:name="_Toc230151250"/>
      <w:bookmarkStart w:id="98" w:name="_Toc235821069"/>
    </w:p>
    <w:p w14:paraId="15363753" w14:textId="4869907C" w:rsidR="00FC7784" w:rsidRPr="00653BF4" w:rsidRDefault="00B43BEA" w:rsidP="00FC7784">
      <w:pPr>
        <w:pStyle w:val="Heading6"/>
        <w:rPr>
          <w:lang w:val="fr-FR"/>
        </w:rPr>
      </w:pPr>
      <w:r w:rsidRPr="00653BF4">
        <w:rPr>
          <w:lang w:val="fr-FR"/>
        </w:rPr>
        <w:t xml:space="preserve">Résumé des actions menées à l’appui de la </w:t>
      </w:r>
      <w:bookmarkEnd w:id="97"/>
      <w:r w:rsidR="00E34DC9">
        <w:rPr>
          <w:lang w:val="fr-FR"/>
        </w:rPr>
        <w:t>cible 2</w:t>
      </w:r>
      <w:bookmarkEnd w:id="98"/>
      <w:r w:rsidR="006C01DD" w:rsidRPr="00653BF4">
        <w:rPr>
          <w:lang w:val="fr-FR"/>
        </w:rPr>
        <w:t xml:space="preserve"> </w:t>
      </w:r>
      <w:r w:rsidR="00272FFA" w:rsidRPr="00653BF4">
        <w:rPr>
          <w:lang w:val="fr-FR"/>
        </w:rPr>
        <w:t>du Cadre</w:t>
      </w:r>
    </w:p>
    <w:p w14:paraId="343D62B7" w14:textId="77777777" w:rsidR="006C01DD" w:rsidRPr="00653BF4" w:rsidRDefault="006C01DD" w:rsidP="006C01DD">
      <w:pPr>
        <w:rPr>
          <w:lang w:val="fr-FR"/>
        </w:rPr>
      </w:pPr>
    </w:p>
    <w:p w14:paraId="174E3BAB" w14:textId="09676EEF" w:rsidR="00BF7443" w:rsidRPr="00653BF4" w:rsidRDefault="00D24FC9" w:rsidP="00BF7443">
      <w:pPr>
        <w:rPr>
          <w:lang w:val="fr-FR"/>
        </w:rPr>
      </w:pPr>
      <w:bookmarkStart w:id="99" w:name="_Toc230151251"/>
      <w:r w:rsidRPr="00653BF4">
        <w:rPr>
          <w:lang w:val="fr-FR"/>
        </w:rPr>
        <w:t>La quasi-totalité des Parties fait état de mesures de remise en état des écosystèmes, sous une forme ou une autre. En règle générale, ces mesures concernent la remise en état de plusieurs types d</w:t>
      </w:r>
      <w:r w:rsidR="002A58C8" w:rsidRPr="00653BF4">
        <w:rPr>
          <w:lang w:val="fr-FR"/>
        </w:rPr>
        <w:t>’</w:t>
      </w:r>
      <w:r w:rsidRPr="00653BF4">
        <w:rPr>
          <w:lang w:val="fr-FR"/>
        </w:rPr>
        <w:t>écosystèmes, tels que les forêts, les zones humides, les écosystèmes côtiers et marins, les pâturages et les écosystèmes d</w:t>
      </w:r>
      <w:r w:rsidR="002A58C8" w:rsidRPr="00653BF4">
        <w:rPr>
          <w:lang w:val="fr-FR"/>
        </w:rPr>
        <w:t>’</w:t>
      </w:r>
      <w:r w:rsidRPr="00653BF4">
        <w:rPr>
          <w:lang w:val="fr-FR"/>
        </w:rPr>
        <w:t xml:space="preserve">eau douce. De nombreux rapports nationaux décrivent également des activités de recherche, de suivi et de collecte de données en lien avec </w:t>
      </w:r>
      <w:r w:rsidR="0092484B">
        <w:rPr>
          <w:lang w:val="fr-FR"/>
        </w:rPr>
        <w:t xml:space="preserve">la </w:t>
      </w:r>
      <w:r w:rsidR="00E34DC9">
        <w:rPr>
          <w:lang w:val="fr-FR"/>
        </w:rPr>
        <w:t>cible 2</w:t>
      </w:r>
      <w:r w:rsidRPr="00653BF4">
        <w:rPr>
          <w:lang w:val="fr-FR"/>
        </w:rPr>
        <w:t>, ce qui témoigne d</w:t>
      </w:r>
      <w:r w:rsidR="002A58C8" w:rsidRPr="00653BF4">
        <w:rPr>
          <w:lang w:val="fr-FR"/>
        </w:rPr>
        <w:t>’</w:t>
      </w:r>
      <w:r w:rsidRPr="00653BF4">
        <w:rPr>
          <w:lang w:val="fr-FR"/>
        </w:rPr>
        <w:t>investissements importants dans l</w:t>
      </w:r>
      <w:r w:rsidR="002A58C8" w:rsidRPr="00653BF4">
        <w:rPr>
          <w:lang w:val="fr-FR"/>
        </w:rPr>
        <w:t>’</w:t>
      </w:r>
      <w:r w:rsidRPr="00653BF4">
        <w:rPr>
          <w:lang w:val="fr-FR"/>
        </w:rPr>
        <w:t>évaluation de la dégradation, la mise en correspondance des mesures de remise en état et la mise en place de systèmes de suivi associés. L</w:t>
      </w:r>
      <w:r w:rsidR="002A58C8" w:rsidRPr="00653BF4">
        <w:rPr>
          <w:lang w:val="fr-FR"/>
        </w:rPr>
        <w:t>’</w:t>
      </w:r>
      <w:r w:rsidRPr="00653BF4">
        <w:rPr>
          <w:lang w:val="fr-FR"/>
        </w:rPr>
        <w:t>ampleur des mesures de remise en état varie, allant de la mise en œuvre à petite échelle dans le cadre de projets individuels à des programmes publics à grande échelle visant à atteindre des cibles nationales (voir</w:t>
      </w:r>
      <w:r w:rsidR="009059C9" w:rsidRPr="00653BF4">
        <w:rPr>
          <w:lang w:val="fr-FR"/>
        </w:rPr>
        <w:t xml:space="preserve"> les</w:t>
      </w:r>
      <w:r w:rsidRPr="00653BF4">
        <w:rPr>
          <w:lang w:val="fr-FR"/>
        </w:rPr>
        <w:t xml:space="preserve"> </w:t>
      </w:r>
      <w:r w:rsidR="009059C9" w:rsidRPr="00653BF4">
        <w:rPr>
          <w:lang w:val="fr-FR"/>
        </w:rPr>
        <w:t>e</w:t>
      </w:r>
      <w:r w:rsidRPr="00653BF4">
        <w:rPr>
          <w:lang w:val="fr-FR"/>
        </w:rPr>
        <w:t>ncadrés 9 et 10).</w:t>
      </w:r>
    </w:p>
    <w:p w14:paraId="766A03C8" w14:textId="77777777" w:rsidR="005E307C" w:rsidRPr="00653BF4" w:rsidRDefault="005E307C" w:rsidP="00FC7784">
      <w:pPr>
        <w:pStyle w:val="Heading6"/>
        <w:rPr>
          <w:lang w:val="fr-FR"/>
        </w:rPr>
      </w:pPr>
    </w:p>
    <w:p w14:paraId="50EE4C0E" w14:textId="0ADEABC6" w:rsidR="00CB718B" w:rsidRPr="00653BF4" w:rsidRDefault="00EF7133" w:rsidP="00755F86">
      <w:pPr>
        <w:pStyle w:val="Heading6"/>
        <w:rPr>
          <w:lang w:val="fr-FR"/>
        </w:rPr>
      </w:pPr>
      <w:r w:rsidRPr="00653BF4">
        <w:rPr>
          <w:lang w:val="fr-FR"/>
        </w:rPr>
        <w:t xml:space="preserve">Exemples de réussites et de progrès réalisées dans la mise en œuvre </w:t>
      </w:r>
      <w:bookmarkEnd w:id="99"/>
    </w:p>
    <w:tbl>
      <w:tblPr>
        <w:tblStyle w:val="TableGrid"/>
        <w:tblW w:w="0" w:type="auto"/>
        <w:tblLook w:val="04A0" w:firstRow="1" w:lastRow="0" w:firstColumn="1" w:lastColumn="0" w:noHBand="0" w:noVBand="1"/>
      </w:tblPr>
      <w:tblGrid>
        <w:gridCol w:w="9350"/>
      </w:tblGrid>
      <w:tr w:rsidR="00322D64" w:rsidRPr="00543148" w14:paraId="370AFE08" w14:textId="77777777" w:rsidTr="00803DB1">
        <w:tc>
          <w:tcPr>
            <w:tcW w:w="9350" w:type="dxa"/>
            <w:shd w:val="clear" w:color="auto" w:fill="D1D1D1" w:themeFill="background2" w:themeFillShade="E6"/>
          </w:tcPr>
          <w:p w14:paraId="3A953D13" w14:textId="77777777" w:rsidR="004F7176" w:rsidRPr="00653BF4" w:rsidRDefault="004F7176" w:rsidP="004F7176">
            <w:pPr>
              <w:pStyle w:val="Caption"/>
              <w:rPr>
                <w:i w:val="0"/>
                <w:sz w:val="20"/>
                <w:szCs w:val="20"/>
                <w:lang w:val="fr-FR"/>
              </w:rPr>
            </w:pPr>
          </w:p>
          <w:p w14:paraId="60B1429B" w14:textId="596FF4B7" w:rsidR="004F7176" w:rsidRPr="00653BF4" w:rsidRDefault="00D24FC9" w:rsidP="004F7176">
            <w:pPr>
              <w:pStyle w:val="Caption"/>
              <w:rPr>
                <w:i w:val="0"/>
                <w:iCs w:val="0"/>
                <w:sz w:val="20"/>
                <w:szCs w:val="20"/>
                <w:lang w:val="fr-FR"/>
              </w:rPr>
            </w:pPr>
            <w:r w:rsidRPr="00653BF4">
              <w:rPr>
                <w:i w:val="0"/>
                <w:sz w:val="20"/>
                <w:szCs w:val="20"/>
                <w:lang w:val="fr-FR"/>
              </w:rPr>
              <w:t>Encadré</w:t>
            </w:r>
            <w:r w:rsidR="004F7176" w:rsidRPr="00653BF4">
              <w:rPr>
                <w:i w:val="0"/>
                <w:sz w:val="20"/>
                <w:szCs w:val="20"/>
                <w:lang w:val="fr-FR"/>
              </w:rPr>
              <w:t xml:space="preserve"> </w:t>
            </w:r>
            <w:r w:rsidR="008306DF" w:rsidRPr="00653BF4">
              <w:rPr>
                <w:i w:val="0"/>
                <w:noProof/>
                <w:sz w:val="20"/>
                <w:szCs w:val="20"/>
                <w:lang w:val="fr-FR"/>
              </w:rPr>
              <w:t>9</w:t>
            </w:r>
          </w:p>
          <w:p w14:paraId="70558A06" w14:textId="290C4D15" w:rsidR="00322D64" w:rsidRPr="00653BF4" w:rsidRDefault="00CF334D" w:rsidP="00B60665">
            <w:pPr>
              <w:rPr>
                <w:rStyle w:val="eop"/>
                <w:b/>
                <w:sz w:val="20"/>
                <w:szCs w:val="20"/>
                <w:lang w:val="fr-FR"/>
              </w:rPr>
            </w:pPr>
            <w:r w:rsidRPr="00653BF4">
              <w:rPr>
                <w:rStyle w:val="normaltextrun"/>
                <w:b/>
                <w:sz w:val="20"/>
                <w:szCs w:val="20"/>
                <w:lang w:val="fr-FR"/>
              </w:rPr>
              <w:t xml:space="preserve">Remise en eau des tourbières et </w:t>
            </w:r>
            <w:r w:rsidR="00E34DC9">
              <w:rPr>
                <w:rStyle w:val="normaltextrun"/>
                <w:b/>
                <w:sz w:val="20"/>
                <w:szCs w:val="20"/>
                <w:lang w:val="fr-FR"/>
              </w:rPr>
              <w:t>« </w:t>
            </w:r>
            <w:r w:rsidRPr="00653BF4">
              <w:rPr>
                <w:rStyle w:val="normaltextrun"/>
                <w:b/>
                <w:sz w:val="20"/>
                <w:szCs w:val="20"/>
                <w:lang w:val="fr-FR"/>
              </w:rPr>
              <w:t>paludiculture</w:t>
            </w:r>
            <w:r w:rsidR="00E34DC9">
              <w:rPr>
                <w:rStyle w:val="normaltextrun"/>
                <w:b/>
                <w:sz w:val="20"/>
                <w:szCs w:val="20"/>
                <w:lang w:val="fr-FR"/>
              </w:rPr>
              <w:t> »</w:t>
            </w:r>
            <w:r w:rsidRPr="00653BF4">
              <w:rPr>
                <w:rStyle w:val="normaltextrun"/>
                <w:b/>
                <w:sz w:val="20"/>
                <w:szCs w:val="20"/>
                <w:lang w:val="fr-FR"/>
              </w:rPr>
              <w:t xml:space="preserve"> au service de la remise en état écologique et de la lutte contre les changements climatiques en Allemagne</w:t>
            </w:r>
          </w:p>
          <w:p w14:paraId="7436FCED" w14:textId="77777777" w:rsidR="004F7176" w:rsidRPr="00653BF4" w:rsidRDefault="004F7176" w:rsidP="004F7176">
            <w:pPr>
              <w:rPr>
                <w:sz w:val="20"/>
                <w:szCs w:val="20"/>
                <w:lang w:val="fr-FR"/>
              </w:rPr>
            </w:pPr>
          </w:p>
          <w:p w14:paraId="5FAFE08D" w14:textId="2634F18F" w:rsidR="00642DCC" w:rsidRPr="00653BF4" w:rsidRDefault="00642DCC" w:rsidP="00642DCC">
            <w:pPr>
              <w:spacing w:line="276" w:lineRule="auto"/>
              <w:rPr>
                <w:rFonts w:cs="Calibri"/>
                <w:color w:val="212121"/>
                <w:sz w:val="20"/>
                <w:szCs w:val="20"/>
                <w:lang w:val="fr-FR"/>
              </w:rPr>
            </w:pPr>
            <w:r w:rsidRPr="00653BF4">
              <w:rPr>
                <w:rFonts w:cs="Calibri"/>
                <w:color w:val="212121"/>
                <w:sz w:val="20"/>
                <w:szCs w:val="20"/>
                <w:lang w:val="fr-FR"/>
              </w:rPr>
              <w:t>Le drainage à grande échelle des tourbières en Allemagne a entraîné une minéralisation croissante de la tourbe, ce qui s</w:t>
            </w:r>
            <w:r w:rsidR="002A58C8" w:rsidRPr="00653BF4">
              <w:rPr>
                <w:rFonts w:cs="Calibri"/>
                <w:color w:val="212121"/>
                <w:sz w:val="20"/>
                <w:szCs w:val="20"/>
                <w:lang w:val="fr-FR"/>
              </w:rPr>
              <w:t>’</w:t>
            </w:r>
            <w:r w:rsidRPr="00653BF4">
              <w:rPr>
                <w:rFonts w:cs="Calibri"/>
                <w:color w:val="212121"/>
                <w:sz w:val="20"/>
                <w:szCs w:val="20"/>
                <w:lang w:val="fr-FR"/>
              </w:rPr>
              <w:t>est traduit par une augmentation significative des émissions de gaz à effet de serre, une perte de biodiversité et un déclin des fonctions écosystémiques telles que la rétention et l</w:t>
            </w:r>
            <w:r w:rsidR="002A58C8" w:rsidRPr="00653BF4">
              <w:rPr>
                <w:rFonts w:cs="Calibri"/>
                <w:color w:val="212121"/>
                <w:sz w:val="20"/>
                <w:szCs w:val="20"/>
                <w:lang w:val="fr-FR"/>
              </w:rPr>
              <w:t>’</w:t>
            </w:r>
            <w:r w:rsidRPr="00653BF4">
              <w:rPr>
                <w:rFonts w:cs="Calibri"/>
                <w:color w:val="212121"/>
                <w:sz w:val="20"/>
                <w:szCs w:val="20"/>
                <w:lang w:val="fr-FR"/>
              </w:rPr>
              <w:t>approvisionnement en eau. La production agricole conventionnelle sur des sols tourbeux asséchés s</w:t>
            </w:r>
            <w:r w:rsidR="002A58C8" w:rsidRPr="00653BF4">
              <w:rPr>
                <w:rFonts w:cs="Calibri"/>
                <w:color w:val="212121"/>
                <w:sz w:val="20"/>
                <w:szCs w:val="20"/>
                <w:lang w:val="fr-FR"/>
              </w:rPr>
              <w:t>’</w:t>
            </w:r>
            <w:r w:rsidRPr="00653BF4">
              <w:rPr>
                <w:rFonts w:cs="Calibri"/>
                <w:color w:val="212121"/>
                <w:sz w:val="20"/>
                <w:szCs w:val="20"/>
                <w:lang w:val="fr-FR"/>
              </w:rPr>
              <w:t>est également révélée non durable sur le plan environnemental, tandis que les alternatives économiquement viables pour la gestion des tourbières humides restent limitées. En réponse à cela, l</w:t>
            </w:r>
            <w:r w:rsidR="002A58C8" w:rsidRPr="00653BF4">
              <w:rPr>
                <w:rFonts w:cs="Calibri"/>
                <w:color w:val="212121"/>
                <w:sz w:val="20"/>
                <w:szCs w:val="20"/>
                <w:lang w:val="fr-FR"/>
              </w:rPr>
              <w:t>’</w:t>
            </w:r>
            <w:r w:rsidRPr="00653BF4">
              <w:rPr>
                <w:rFonts w:cs="Calibri"/>
                <w:color w:val="212121"/>
                <w:sz w:val="20"/>
                <w:szCs w:val="20"/>
                <w:lang w:val="fr-FR"/>
              </w:rPr>
              <w:t>Allemagne encourage la remise en eau des tourbières et la paludiculture (agriculture et sylviculture sur des tourbières remises en eau) en tant qu</w:t>
            </w:r>
            <w:r w:rsidR="002A58C8" w:rsidRPr="00653BF4">
              <w:rPr>
                <w:rFonts w:cs="Calibri"/>
                <w:color w:val="212121"/>
                <w:sz w:val="20"/>
                <w:szCs w:val="20"/>
                <w:lang w:val="fr-FR"/>
              </w:rPr>
              <w:t>’</w:t>
            </w:r>
            <w:r w:rsidRPr="00653BF4">
              <w:rPr>
                <w:rFonts w:cs="Calibri"/>
                <w:color w:val="212121"/>
                <w:sz w:val="20"/>
                <w:szCs w:val="20"/>
                <w:lang w:val="fr-FR"/>
              </w:rPr>
              <w:t>approche intégrée de la remise en état écologique, de l</w:t>
            </w:r>
            <w:r w:rsidR="002A58C8" w:rsidRPr="00653BF4">
              <w:rPr>
                <w:rFonts w:cs="Calibri"/>
                <w:color w:val="212121"/>
                <w:sz w:val="20"/>
                <w:szCs w:val="20"/>
                <w:lang w:val="fr-FR"/>
              </w:rPr>
              <w:t>’</w:t>
            </w:r>
            <w:r w:rsidRPr="00653BF4">
              <w:rPr>
                <w:rFonts w:cs="Calibri"/>
                <w:color w:val="212121"/>
                <w:sz w:val="20"/>
                <w:szCs w:val="20"/>
                <w:lang w:val="fr-FR"/>
              </w:rPr>
              <w:t>atténuation du changement climatique et du développement rural durable.</w:t>
            </w:r>
          </w:p>
          <w:p w14:paraId="1CBF164B" w14:textId="77777777" w:rsidR="00642DCC" w:rsidRPr="00653BF4" w:rsidRDefault="00642DCC" w:rsidP="00642DCC">
            <w:pPr>
              <w:spacing w:line="276" w:lineRule="auto"/>
              <w:rPr>
                <w:rFonts w:cs="Calibri"/>
                <w:color w:val="212121"/>
                <w:sz w:val="20"/>
                <w:szCs w:val="20"/>
                <w:lang w:val="fr-FR"/>
              </w:rPr>
            </w:pPr>
          </w:p>
          <w:p w14:paraId="36DA32E8" w14:textId="10E5754E" w:rsidR="00420F88" w:rsidRPr="00653BF4" w:rsidRDefault="00642DCC" w:rsidP="00420F88">
            <w:pPr>
              <w:spacing w:line="276" w:lineRule="auto"/>
              <w:rPr>
                <w:rFonts w:cs="Calibri"/>
                <w:color w:val="212121"/>
                <w:sz w:val="20"/>
                <w:szCs w:val="20"/>
                <w:lang w:val="fr-FR"/>
              </w:rPr>
            </w:pPr>
            <w:r w:rsidRPr="00653BF4">
              <w:rPr>
                <w:rFonts w:cs="Calibri"/>
                <w:color w:val="212121"/>
                <w:sz w:val="20"/>
                <w:szCs w:val="20"/>
                <w:lang w:val="fr-FR"/>
              </w:rPr>
              <w:t>Dans le cadre du Plan d</w:t>
            </w:r>
            <w:r w:rsidR="002A58C8" w:rsidRPr="00653BF4">
              <w:rPr>
                <w:rFonts w:cs="Calibri"/>
                <w:color w:val="212121"/>
                <w:sz w:val="20"/>
                <w:szCs w:val="20"/>
                <w:lang w:val="fr-FR"/>
              </w:rPr>
              <w:t>’</w:t>
            </w:r>
            <w:r w:rsidRPr="00653BF4">
              <w:rPr>
                <w:rFonts w:cs="Calibri"/>
                <w:color w:val="212121"/>
                <w:sz w:val="20"/>
                <w:szCs w:val="20"/>
                <w:lang w:val="fr-FR"/>
              </w:rPr>
              <w:t>action fédéral sur les solutions basées sur la nature pour le climat et la biodiversité, la remise en état des écosystèmes de tourbières dégradés constitue une mesure clé pour atténuer les émissions dans le secteur de l</w:t>
            </w:r>
            <w:r w:rsidR="002A58C8" w:rsidRPr="00653BF4">
              <w:rPr>
                <w:rFonts w:cs="Calibri"/>
                <w:color w:val="212121"/>
                <w:sz w:val="20"/>
                <w:szCs w:val="20"/>
                <w:lang w:val="fr-FR"/>
              </w:rPr>
              <w:t>’</w:t>
            </w:r>
            <w:r w:rsidRPr="00653BF4">
              <w:rPr>
                <w:rFonts w:cs="Calibri"/>
                <w:color w:val="212121"/>
                <w:sz w:val="20"/>
                <w:szCs w:val="20"/>
                <w:lang w:val="fr-FR"/>
              </w:rPr>
              <w:t>utilisation des sols.</w:t>
            </w:r>
            <w:r w:rsidR="00575B5E" w:rsidRPr="00653BF4">
              <w:rPr>
                <w:rFonts w:cs="Calibri"/>
                <w:color w:val="212121"/>
                <w:sz w:val="20"/>
                <w:szCs w:val="20"/>
                <w:vertAlign w:val="superscript"/>
                <w:lang w:val="fr-FR"/>
              </w:rPr>
              <w:t>a</w:t>
            </w:r>
            <w:r w:rsidR="00327588" w:rsidRPr="00653BF4">
              <w:rPr>
                <w:rFonts w:cs="Calibri"/>
                <w:color w:val="212121"/>
                <w:sz w:val="20"/>
                <w:szCs w:val="20"/>
                <w:lang w:val="fr-FR"/>
              </w:rPr>
              <w:t xml:space="preserve"> </w:t>
            </w:r>
            <w:r w:rsidR="00420F88" w:rsidRPr="00653BF4">
              <w:rPr>
                <w:rFonts w:cs="Calibri"/>
                <w:color w:val="212121"/>
                <w:sz w:val="20"/>
                <w:szCs w:val="20"/>
                <w:lang w:val="fr-FR"/>
              </w:rPr>
              <w:t>Les projets pilotes et de démonstration en cours, qui évaluent la faisabilité des pratiques de paludiculture et des chaînes de valeur associées, fournissent une base solide pour le développement à plus grande échelle de la paludiculture. S</w:t>
            </w:r>
            <w:r w:rsidR="002A58C8" w:rsidRPr="00653BF4">
              <w:rPr>
                <w:rFonts w:cs="Calibri"/>
                <w:color w:val="212121"/>
                <w:sz w:val="20"/>
                <w:szCs w:val="20"/>
                <w:lang w:val="fr-FR"/>
              </w:rPr>
              <w:t>’</w:t>
            </w:r>
            <w:r w:rsidR="00420F88" w:rsidRPr="00653BF4">
              <w:rPr>
                <w:rFonts w:cs="Calibri"/>
                <w:color w:val="212121"/>
                <w:sz w:val="20"/>
                <w:szCs w:val="20"/>
                <w:lang w:val="fr-FR"/>
              </w:rPr>
              <w:t>appuyant sur ces expériences, le régime d</w:t>
            </w:r>
            <w:r w:rsidR="002A58C8" w:rsidRPr="00653BF4">
              <w:rPr>
                <w:rFonts w:cs="Calibri"/>
                <w:color w:val="212121"/>
                <w:sz w:val="20"/>
                <w:szCs w:val="20"/>
                <w:lang w:val="fr-FR"/>
              </w:rPr>
              <w:t>’</w:t>
            </w:r>
            <w:r w:rsidR="00420F88" w:rsidRPr="00653BF4">
              <w:rPr>
                <w:rFonts w:cs="Calibri"/>
                <w:color w:val="212121"/>
                <w:sz w:val="20"/>
                <w:szCs w:val="20"/>
                <w:lang w:val="fr-FR"/>
              </w:rPr>
              <w:t>aides d</w:t>
            </w:r>
            <w:r w:rsidR="002A58C8" w:rsidRPr="00653BF4">
              <w:rPr>
                <w:rFonts w:cs="Calibri"/>
                <w:color w:val="212121"/>
                <w:sz w:val="20"/>
                <w:szCs w:val="20"/>
                <w:lang w:val="fr-FR"/>
              </w:rPr>
              <w:t>’</w:t>
            </w:r>
            <w:r w:rsidR="00420F88" w:rsidRPr="00653BF4">
              <w:rPr>
                <w:rFonts w:cs="Calibri"/>
                <w:color w:val="212121"/>
                <w:sz w:val="20"/>
                <w:szCs w:val="20"/>
                <w:lang w:val="fr-FR"/>
              </w:rPr>
              <w:t>État en faveur de la remise en eau des tourbières exploitées fournit un appui à la mise en place de systèmes d</w:t>
            </w:r>
            <w:r w:rsidR="002A58C8" w:rsidRPr="00653BF4">
              <w:rPr>
                <w:rFonts w:cs="Calibri"/>
                <w:color w:val="212121"/>
                <w:sz w:val="20"/>
                <w:szCs w:val="20"/>
                <w:lang w:val="fr-FR"/>
              </w:rPr>
              <w:t>’</w:t>
            </w:r>
            <w:r w:rsidR="00420F88" w:rsidRPr="00653BF4">
              <w:rPr>
                <w:rFonts w:cs="Calibri"/>
                <w:color w:val="212121"/>
                <w:sz w:val="20"/>
                <w:szCs w:val="20"/>
                <w:lang w:val="fr-FR"/>
              </w:rPr>
              <w:t xml:space="preserve">utilisation des sols productifs et adaptés aux conditions humides. Les éléments clés de ce processus de déploiement à plus grande échelle sont les régions dites </w:t>
            </w:r>
            <w:r w:rsidR="00E34DC9">
              <w:rPr>
                <w:rFonts w:cs="Calibri"/>
                <w:color w:val="212121"/>
                <w:sz w:val="20"/>
                <w:szCs w:val="20"/>
                <w:lang w:val="fr-FR"/>
              </w:rPr>
              <w:t>« </w:t>
            </w:r>
            <w:r w:rsidR="00420F88" w:rsidRPr="00653BF4">
              <w:rPr>
                <w:rFonts w:cs="Calibri"/>
                <w:color w:val="212121"/>
                <w:sz w:val="20"/>
                <w:szCs w:val="20"/>
                <w:lang w:val="fr-FR"/>
              </w:rPr>
              <w:t>phares</w:t>
            </w:r>
            <w:r w:rsidR="00E34DC9">
              <w:rPr>
                <w:rFonts w:cs="Calibri"/>
                <w:color w:val="212121"/>
                <w:sz w:val="20"/>
                <w:szCs w:val="20"/>
                <w:lang w:val="fr-FR"/>
              </w:rPr>
              <w:t> »</w:t>
            </w:r>
            <w:r w:rsidR="00420F88" w:rsidRPr="00653BF4">
              <w:rPr>
                <w:rFonts w:cs="Calibri"/>
                <w:color w:val="212121"/>
                <w:sz w:val="20"/>
                <w:szCs w:val="20"/>
                <w:lang w:val="fr-FR"/>
              </w:rPr>
              <w:t>, d</w:t>
            </w:r>
            <w:r w:rsidR="002A58C8" w:rsidRPr="00653BF4">
              <w:rPr>
                <w:rFonts w:cs="Calibri"/>
                <w:color w:val="212121"/>
                <w:sz w:val="20"/>
                <w:szCs w:val="20"/>
                <w:lang w:val="fr-FR"/>
              </w:rPr>
              <w:t>’</w:t>
            </w:r>
            <w:r w:rsidR="00420F88" w:rsidRPr="00653BF4">
              <w:rPr>
                <w:rFonts w:cs="Calibri"/>
                <w:color w:val="212121"/>
                <w:sz w:val="20"/>
                <w:szCs w:val="20"/>
                <w:lang w:val="fr-FR"/>
              </w:rPr>
              <w:t>une superficie d</w:t>
            </w:r>
            <w:r w:rsidR="002A58C8" w:rsidRPr="00653BF4">
              <w:rPr>
                <w:rFonts w:cs="Calibri"/>
                <w:color w:val="212121"/>
                <w:sz w:val="20"/>
                <w:szCs w:val="20"/>
                <w:lang w:val="fr-FR"/>
              </w:rPr>
              <w:t>’</w:t>
            </w:r>
            <w:r w:rsidR="00420F88" w:rsidRPr="00653BF4">
              <w:rPr>
                <w:rFonts w:cs="Calibri"/>
                <w:color w:val="212121"/>
                <w:sz w:val="20"/>
                <w:szCs w:val="20"/>
                <w:lang w:val="fr-FR"/>
              </w:rPr>
              <w:t>au moins 5 000 hectares de tourbières. La culture d</w:t>
            </w:r>
            <w:r w:rsidR="002A58C8" w:rsidRPr="00653BF4">
              <w:rPr>
                <w:rFonts w:cs="Calibri"/>
                <w:color w:val="212121"/>
                <w:sz w:val="20"/>
                <w:szCs w:val="20"/>
                <w:lang w:val="fr-FR"/>
              </w:rPr>
              <w:t>’</w:t>
            </w:r>
            <w:r w:rsidR="00420F88" w:rsidRPr="00653BF4">
              <w:rPr>
                <w:rFonts w:cs="Calibri"/>
                <w:color w:val="212121"/>
                <w:sz w:val="20"/>
                <w:szCs w:val="20"/>
                <w:lang w:val="fr-FR"/>
              </w:rPr>
              <w:t>espèces adaptées aux milieux humides, telles que le roseau commun (Phragmites australis), les quenouilles (Typha spp.), les carex et la sphaigne, constitue une piste prometteuse pour la production de biomasse sur les sites remouillés.</w:t>
            </w:r>
          </w:p>
          <w:p w14:paraId="193827B0" w14:textId="77777777" w:rsidR="004F1616" w:rsidRPr="00653BF4" w:rsidRDefault="004F1616" w:rsidP="00420F88">
            <w:pPr>
              <w:spacing w:line="276" w:lineRule="auto"/>
              <w:rPr>
                <w:rFonts w:cs="Calibri"/>
                <w:color w:val="212121"/>
                <w:sz w:val="20"/>
                <w:szCs w:val="20"/>
                <w:lang w:val="fr-FR"/>
              </w:rPr>
            </w:pPr>
          </w:p>
          <w:p w14:paraId="6BDFCFD6" w14:textId="7CB44D3E" w:rsidR="00420F88" w:rsidRPr="00653BF4" w:rsidRDefault="00420F88" w:rsidP="00420F88">
            <w:pPr>
              <w:spacing w:line="276" w:lineRule="auto"/>
              <w:rPr>
                <w:rFonts w:cs="Calibri"/>
                <w:color w:val="212121"/>
                <w:sz w:val="20"/>
                <w:szCs w:val="20"/>
                <w:lang w:val="fr-FR"/>
              </w:rPr>
            </w:pPr>
            <w:r w:rsidRPr="00653BF4">
              <w:rPr>
                <w:rFonts w:cs="Calibri"/>
                <w:color w:val="212121"/>
                <w:sz w:val="20"/>
                <w:szCs w:val="20"/>
                <w:lang w:val="fr-FR"/>
              </w:rPr>
              <w:t>Parallèlement aux efforts de remise en état, le programme fournit un appui à la recherche et à la mise à l</w:t>
            </w:r>
            <w:r w:rsidR="002A58C8" w:rsidRPr="00653BF4">
              <w:rPr>
                <w:rFonts w:cs="Calibri"/>
                <w:color w:val="212121"/>
                <w:sz w:val="20"/>
                <w:szCs w:val="20"/>
                <w:lang w:val="fr-FR"/>
              </w:rPr>
              <w:t>’</w:t>
            </w:r>
            <w:r w:rsidRPr="00653BF4">
              <w:rPr>
                <w:rFonts w:cs="Calibri"/>
                <w:color w:val="212121"/>
                <w:sz w:val="20"/>
                <w:szCs w:val="20"/>
                <w:lang w:val="fr-FR"/>
              </w:rPr>
              <w:t>échelle de l</w:t>
            </w:r>
            <w:r w:rsidR="002A58C8" w:rsidRPr="00653BF4">
              <w:rPr>
                <w:rFonts w:cs="Calibri"/>
                <w:color w:val="212121"/>
                <w:sz w:val="20"/>
                <w:szCs w:val="20"/>
                <w:lang w:val="fr-FR"/>
              </w:rPr>
              <w:t>’</w:t>
            </w:r>
            <w:r w:rsidRPr="00653BF4">
              <w:rPr>
                <w:rFonts w:cs="Calibri"/>
                <w:color w:val="212121"/>
                <w:sz w:val="20"/>
                <w:szCs w:val="20"/>
                <w:lang w:val="fr-FR"/>
              </w:rPr>
              <w:t xml:space="preserve">utilisation matérielle de la biomasse issue de la paludiculture, </w:t>
            </w:r>
            <w:r w:rsidR="004F1616" w:rsidRPr="00653BF4">
              <w:rPr>
                <w:rFonts w:cs="Calibri"/>
                <w:color w:val="212121"/>
                <w:sz w:val="20"/>
                <w:szCs w:val="20"/>
                <w:lang w:val="fr-FR"/>
              </w:rPr>
              <w:t>ainsi qu</w:t>
            </w:r>
            <w:r w:rsidR="002A58C8" w:rsidRPr="00653BF4">
              <w:rPr>
                <w:rFonts w:cs="Calibri"/>
                <w:color w:val="212121"/>
                <w:sz w:val="20"/>
                <w:szCs w:val="20"/>
                <w:lang w:val="fr-FR"/>
              </w:rPr>
              <w:t>’</w:t>
            </w:r>
            <w:r w:rsidR="004F1616" w:rsidRPr="00653BF4">
              <w:rPr>
                <w:rFonts w:cs="Calibri"/>
                <w:color w:val="212121"/>
                <w:sz w:val="20"/>
                <w:szCs w:val="20"/>
                <w:lang w:val="fr-FR"/>
              </w:rPr>
              <w:t>au</w:t>
            </w:r>
            <w:r w:rsidRPr="00653BF4">
              <w:rPr>
                <w:rFonts w:cs="Calibri"/>
                <w:color w:val="212121"/>
                <w:sz w:val="20"/>
                <w:szCs w:val="20"/>
                <w:lang w:val="fr-FR"/>
              </w:rPr>
              <w:t xml:space="preserve"> développement de produits commercialisables, notamment des matériaux d</w:t>
            </w:r>
            <w:r w:rsidR="002A58C8" w:rsidRPr="00653BF4">
              <w:rPr>
                <w:rFonts w:cs="Calibri"/>
                <w:color w:val="212121"/>
                <w:sz w:val="20"/>
                <w:szCs w:val="20"/>
                <w:lang w:val="fr-FR"/>
              </w:rPr>
              <w:t>’</w:t>
            </w:r>
            <w:r w:rsidRPr="00653BF4">
              <w:rPr>
                <w:rFonts w:cs="Calibri"/>
                <w:color w:val="212121"/>
                <w:sz w:val="20"/>
                <w:szCs w:val="20"/>
                <w:lang w:val="fr-FR"/>
              </w:rPr>
              <w:t>isolation, des emballages, des substituts de tourbe pour l</w:t>
            </w:r>
            <w:r w:rsidR="002A58C8" w:rsidRPr="00653BF4">
              <w:rPr>
                <w:rFonts w:cs="Calibri"/>
                <w:color w:val="212121"/>
                <w:sz w:val="20"/>
                <w:szCs w:val="20"/>
                <w:lang w:val="fr-FR"/>
              </w:rPr>
              <w:t>’</w:t>
            </w:r>
            <w:r w:rsidRPr="00653BF4">
              <w:rPr>
                <w:rFonts w:cs="Calibri"/>
                <w:color w:val="212121"/>
                <w:sz w:val="20"/>
                <w:szCs w:val="20"/>
                <w:lang w:val="fr-FR"/>
              </w:rPr>
              <w:t>horticulture, des bioplastiques, des produits médicinaux naturels et des textiles.</w:t>
            </w:r>
          </w:p>
          <w:p w14:paraId="28810AF6" w14:textId="74FA46DA" w:rsidR="00661CFF" w:rsidRPr="00653BF4" w:rsidRDefault="00420F88" w:rsidP="00420F88">
            <w:pPr>
              <w:spacing w:line="276" w:lineRule="auto"/>
              <w:rPr>
                <w:rFonts w:cs="Calibri"/>
                <w:color w:val="212121"/>
                <w:sz w:val="20"/>
                <w:szCs w:val="20"/>
                <w:lang w:val="fr-FR"/>
              </w:rPr>
            </w:pPr>
            <w:r w:rsidRPr="00653BF4">
              <w:rPr>
                <w:rFonts w:cs="Calibri"/>
                <w:color w:val="212121"/>
                <w:sz w:val="20"/>
                <w:szCs w:val="20"/>
                <w:lang w:val="fr-FR"/>
              </w:rPr>
              <w:t>Le programme vise à générer des bénéfices tant environnementaux que socio-économiques. La remise en eau des tourbières atténue les émissions de gaz à effet de serre et fournit un appui au rétablissement de la biodiversité et des fonctions écosystémiques. Parallèlement, la paludiculture démontre que la remise en état écologique et l</w:t>
            </w:r>
            <w:r w:rsidR="002A58C8" w:rsidRPr="00653BF4">
              <w:rPr>
                <w:rFonts w:cs="Calibri"/>
                <w:color w:val="212121"/>
                <w:sz w:val="20"/>
                <w:szCs w:val="20"/>
                <w:lang w:val="fr-FR"/>
              </w:rPr>
              <w:t>’</w:t>
            </w:r>
            <w:r w:rsidRPr="00653BF4">
              <w:rPr>
                <w:rFonts w:cs="Calibri"/>
                <w:color w:val="212121"/>
                <w:sz w:val="20"/>
                <w:szCs w:val="20"/>
                <w:lang w:val="fr-FR"/>
              </w:rPr>
              <w:t>utilisation productive des terres peuvent coexister au sein d</w:t>
            </w:r>
            <w:r w:rsidR="002A58C8" w:rsidRPr="00653BF4">
              <w:rPr>
                <w:rFonts w:cs="Calibri"/>
                <w:color w:val="212121"/>
                <w:sz w:val="20"/>
                <w:szCs w:val="20"/>
                <w:lang w:val="fr-FR"/>
              </w:rPr>
              <w:t>’</w:t>
            </w:r>
            <w:r w:rsidRPr="00653BF4">
              <w:rPr>
                <w:rFonts w:cs="Calibri"/>
                <w:color w:val="212121"/>
                <w:sz w:val="20"/>
                <w:szCs w:val="20"/>
                <w:lang w:val="fr-FR"/>
              </w:rPr>
              <w:t>un même paysage. Ce cas illustre comment les politiques de remise en état des écosystèmes peuvent intégrer l</w:t>
            </w:r>
            <w:r w:rsidR="002A58C8" w:rsidRPr="00653BF4">
              <w:rPr>
                <w:rFonts w:cs="Calibri"/>
                <w:color w:val="212121"/>
                <w:sz w:val="20"/>
                <w:szCs w:val="20"/>
                <w:lang w:val="fr-FR"/>
              </w:rPr>
              <w:t>’</w:t>
            </w:r>
            <w:r w:rsidRPr="00653BF4">
              <w:rPr>
                <w:rFonts w:cs="Calibri"/>
                <w:color w:val="212121"/>
                <w:sz w:val="20"/>
                <w:szCs w:val="20"/>
                <w:lang w:val="fr-FR"/>
              </w:rPr>
              <w:t>atténuation du changement climatique, la conservation de la biodiversité et le développement économique durable au sein d</w:t>
            </w:r>
            <w:r w:rsidR="002A58C8" w:rsidRPr="00653BF4">
              <w:rPr>
                <w:rFonts w:cs="Calibri"/>
                <w:color w:val="212121"/>
                <w:sz w:val="20"/>
                <w:szCs w:val="20"/>
                <w:lang w:val="fr-FR"/>
              </w:rPr>
              <w:t>’</w:t>
            </w:r>
            <w:r w:rsidRPr="00653BF4">
              <w:rPr>
                <w:rFonts w:cs="Calibri"/>
                <w:color w:val="212121"/>
                <w:sz w:val="20"/>
                <w:szCs w:val="20"/>
                <w:lang w:val="fr-FR"/>
              </w:rPr>
              <w:t>un seul cadre d</w:t>
            </w:r>
            <w:r w:rsidR="002A58C8" w:rsidRPr="00653BF4">
              <w:rPr>
                <w:rFonts w:cs="Calibri"/>
                <w:color w:val="212121"/>
                <w:sz w:val="20"/>
                <w:szCs w:val="20"/>
                <w:lang w:val="fr-FR"/>
              </w:rPr>
              <w:t>’</w:t>
            </w:r>
            <w:r w:rsidRPr="00653BF4">
              <w:rPr>
                <w:rFonts w:cs="Calibri"/>
                <w:color w:val="212121"/>
                <w:sz w:val="20"/>
                <w:szCs w:val="20"/>
                <w:lang w:val="fr-FR"/>
              </w:rPr>
              <w:t>aménagement du territoire.</w:t>
            </w:r>
          </w:p>
          <w:p w14:paraId="73299ADC" w14:textId="77777777" w:rsidR="00614CF1" w:rsidRPr="00653BF4" w:rsidRDefault="00614CF1" w:rsidP="00B925E5">
            <w:pPr>
              <w:spacing w:line="276" w:lineRule="auto"/>
              <w:rPr>
                <w:rFonts w:ascii="Calibri" w:hAnsi="Calibri" w:cs="Calibri"/>
                <w:color w:val="212121"/>
                <w:sz w:val="22"/>
                <w:szCs w:val="22"/>
                <w:lang w:val="fr-FR"/>
              </w:rPr>
            </w:pPr>
          </w:p>
          <w:p w14:paraId="53613CDB" w14:textId="581D58CB" w:rsidR="00614CF1" w:rsidRPr="00653BF4" w:rsidRDefault="00904C13" w:rsidP="00B925E5">
            <w:pPr>
              <w:spacing w:line="276" w:lineRule="auto"/>
              <w:rPr>
                <w:rFonts w:cs="Calibri"/>
                <w:color w:val="212121"/>
                <w:sz w:val="20"/>
                <w:szCs w:val="20"/>
                <w:lang w:val="fr-FR"/>
              </w:rPr>
            </w:pPr>
            <w:r w:rsidRPr="00653BF4">
              <w:rPr>
                <w:rFonts w:cs="Calibri"/>
                <w:i/>
                <w:color w:val="212121"/>
                <w:sz w:val="20"/>
                <w:szCs w:val="20"/>
                <w:lang w:val="fr-FR"/>
              </w:rPr>
              <w:t>C</w:t>
            </w:r>
            <w:r w:rsidR="001345EC" w:rsidRPr="00653BF4">
              <w:rPr>
                <w:rFonts w:cs="Calibri"/>
                <w:i/>
                <w:color w:val="212121"/>
                <w:sz w:val="20"/>
                <w:szCs w:val="20"/>
                <w:lang w:val="fr-FR"/>
              </w:rPr>
              <w:t>ibles concernées</w:t>
            </w:r>
            <w:r w:rsidR="00E34DC9">
              <w:rPr>
                <w:rFonts w:cs="Calibri"/>
                <w:i/>
                <w:color w:val="212121"/>
                <w:sz w:val="20"/>
                <w:szCs w:val="20"/>
                <w:lang w:val="fr-FR"/>
              </w:rPr>
              <w:t> :</w:t>
            </w:r>
            <w:r w:rsidR="00614CF1" w:rsidRPr="00653BF4">
              <w:rPr>
                <w:rFonts w:ascii="Calibri" w:hAnsi="Calibri" w:cs="Calibri"/>
                <w:i/>
                <w:iCs/>
                <w:color w:val="212121"/>
                <w:sz w:val="22"/>
                <w:szCs w:val="22"/>
                <w:lang w:val="fr-FR"/>
              </w:rPr>
              <w:t xml:space="preserve"> </w:t>
            </w:r>
            <w:r w:rsidR="008E0515" w:rsidRPr="00653BF4">
              <w:rPr>
                <w:rFonts w:cs="Calibri"/>
                <w:color w:val="212121"/>
                <w:sz w:val="20"/>
                <w:szCs w:val="20"/>
                <w:lang w:val="fr-FR"/>
              </w:rPr>
              <w:t xml:space="preserve">1, </w:t>
            </w:r>
            <w:r w:rsidR="00E66259" w:rsidRPr="00653BF4">
              <w:rPr>
                <w:rFonts w:cs="Calibri"/>
                <w:color w:val="212121"/>
                <w:sz w:val="20"/>
                <w:szCs w:val="20"/>
                <w:lang w:val="fr-FR"/>
              </w:rPr>
              <w:t xml:space="preserve">2, </w:t>
            </w:r>
            <w:r w:rsidR="008E0515" w:rsidRPr="00653BF4">
              <w:rPr>
                <w:rFonts w:cs="Calibri"/>
                <w:color w:val="212121"/>
                <w:sz w:val="20"/>
                <w:szCs w:val="20"/>
                <w:lang w:val="fr-FR"/>
              </w:rPr>
              <w:t>3, 8, 9</w:t>
            </w:r>
            <w:r w:rsidR="00327588" w:rsidRPr="00653BF4">
              <w:rPr>
                <w:rFonts w:cs="Calibri"/>
                <w:color w:val="212121"/>
                <w:sz w:val="20"/>
                <w:szCs w:val="20"/>
                <w:lang w:val="fr-FR"/>
              </w:rPr>
              <w:t xml:space="preserve"> </w:t>
            </w:r>
            <w:r w:rsidR="004F1616" w:rsidRPr="00653BF4">
              <w:rPr>
                <w:rFonts w:cs="Calibri"/>
                <w:color w:val="212121"/>
                <w:sz w:val="20"/>
                <w:szCs w:val="20"/>
                <w:lang w:val="fr-FR"/>
              </w:rPr>
              <w:t>et</w:t>
            </w:r>
            <w:r w:rsidR="008E0515" w:rsidRPr="00653BF4">
              <w:rPr>
                <w:rFonts w:cs="Calibri"/>
                <w:color w:val="212121"/>
                <w:sz w:val="20"/>
                <w:szCs w:val="20"/>
                <w:lang w:val="fr-FR"/>
              </w:rPr>
              <w:t xml:space="preserve"> 11</w:t>
            </w:r>
            <w:r w:rsidR="001071A1" w:rsidRPr="00653BF4">
              <w:rPr>
                <w:rFonts w:cs="Calibri"/>
                <w:color w:val="212121"/>
                <w:sz w:val="20"/>
                <w:szCs w:val="20"/>
                <w:lang w:val="fr-FR"/>
              </w:rPr>
              <w:t>.</w:t>
            </w:r>
          </w:p>
          <w:p w14:paraId="788A3264" w14:textId="77777777" w:rsidR="00B145D5" w:rsidRPr="00653BF4" w:rsidRDefault="00B145D5" w:rsidP="00B925E5">
            <w:pPr>
              <w:spacing w:line="276" w:lineRule="auto"/>
              <w:rPr>
                <w:rFonts w:ascii="Calibri" w:hAnsi="Calibri" w:cs="Calibri"/>
                <w:i/>
                <w:iCs/>
                <w:color w:val="212121"/>
                <w:sz w:val="22"/>
                <w:szCs w:val="22"/>
                <w:lang w:val="fr-FR"/>
              </w:rPr>
            </w:pPr>
          </w:p>
          <w:p w14:paraId="14C3054B" w14:textId="756BB25E" w:rsidR="00B145D5" w:rsidRPr="00653BF4" w:rsidRDefault="00022D94" w:rsidP="00B925E5">
            <w:pPr>
              <w:spacing w:line="276" w:lineRule="auto"/>
              <w:rPr>
                <w:rFonts w:cs="Calibri"/>
                <w:color w:val="212121"/>
                <w:sz w:val="20"/>
                <w:szCs w:val="20"/>
                <w:lang w:val="fr-FR"/>
              </w:rPr>
            </w:pPr>
            <w:r w:rsidRPr="00653BF4">
              <w:rPr>
                <w:rFonts w:cs="Calibri"/>
                <w:i/>
                <w:iCs/>
                <w:color w:val="212121"/>
                <w:sz w:val="20"/>
                <w:szCs w:val="20"/>
                <w:lang w:val="fr-FR"/>
              </w:rPr>
              <w:lastRenderedPageBreak/>
              <w:t>Source</w:t>
            </w:r>
            <w:r w:rsidRPr="00653BF4">
              <w:rPr>
                <w:rFonts w:cs="Calibri"/>
                <w:i/>
                <w:color w:val="212121"/>
                <w:sz w:val="20"/>
                <w:szCs w:val="20"/>
                <w:lang w:val="fr-FR"/>
              </w:rPr>
              <w:t xml:space="preserve">: </w:t>
            </w:r>
            <w:r w:rsidR="004F1616" w:rsidRPr="00653BF4">
              <w:rPr>
                <w:rFonts w:cs="Calibri"/>
                <w:color w:val="212121"/>
                <w:sz w:val="20"/>
                <w:szCs w:val="20"/>
                <w:lang w:val="fr-FR"/>
              </w:rPr>
              <w:t>Allemagne</w:t>
            </w:r>
            <w:r w:rsidRPr="00653BF4">
              <w:rPr>
                <w:rFonts w:cs="Calibri"/>
                <w:color w:val="212121"/>
                <w:sz w:val="20"/>
                <w:szCs w:val="20"/>
                <w:lang w:val="fr-FR"/>
              </w:rPr>
              <w:t xml:space="preserve">, </w:t>
            </w:r>
            <w:r w:rsidR="004F1616" w:rsidRPr="00653BF4">
              <w:rPr>
                <w:rFonts w:cs="Calibri"/>
                <w:color w:val="212121"/>
                <w:sz w:val="20"/>
                <w:szCs w:val="20"/>
                <w:lang w:val="fr-FR"/>
              </w:rPr>
              <w:t xml:space="preserve">septième rapport national au titre de la </w:t>
            </w:r>
            <w:r w:rsidR="00FC2F5F" w:rsidRPr="00653BF4">
              <w:rPr>
                <w:rFonts w:cs="Calibri"/>
                <w:color w:val="212121"/>
                <w:sz w:val="20"/>
                <w:szCs w:val="20"/>
                <w:lang w:val="fr-FR"/>
              </w:rPr>
              <w:t>Convention</w:t>
            </w:r>
            <w:r w:rsidR="001071A1" w:rsidRPr="00653BF4">
              <w:rPr>
                <w:rFonts w:cs="Calibri"/>
                <w:color w:val="212121"/>
                <w:sz w:val="20"/>
                <w:szCs w:val="20"/>
                <w:lang w:val="fr-FR"/>
              </w:rPr>
              <w:t>.</w:t>
            </w:r>
          </w:p>
          <w:p w14:paraId="2E654236" w14:textId="1C402B13" w:rsidR="00B145D5" w:rsidRPr="00653BF4" w:rsidRDefault="00305EF1" w:rsidP="00CB718B">
            <w:pPr>
              <w:pStyle w:val="FootnoteText"/>
              <w:rPr>
                <w:rFonts w:cs="Calibri"/>
                <w:color w:val="212121"/>
                <w:sz w:val="16"/>
                <w:szCs w:val="16"/>
                <w:lang w:val="fr-FR"/>
              </w:rPr>
            </w:pPr>
            <w:r w:rsidRPr="00E07814">
              <w:rPr>
                <w:rFonts w:ascii="Calibri" w:hAnsi="Calibri" w:cs="Calibri"/>
                <w:color w:val="212121"/>
                <w:sz w:val="18"/>
                <w:szCs w:val="18"/>
                <w:lang w:val="fr-FR"/>
              </w:rPr>
              <w:t>Voir</w:t>
            </w:r>
            <w:r w:rsidR="50787B76" w:rsidRPr="00653BF4">
              <w:rPr>
                <w:rFonts w:cs="Calibri"/>
                <w:color w:val="212121"/>
                <w:sz w:val="18"/>
                <w:szCs w:val="18"/>
                <w:lang w:val="fr-FR"/>
              </w:rPr>
              <w:t xml:space="preserve"> </w:t>
            </w:r>
            <w:hyperlink r:id="rId61">
              <w:r w:rsidR="50787B76" w:rsidRPr="00653BF4">
                <w:rPr>
                  <w:rStyle w:val="Hyperlink"/>
                  <w:sz w:val="18"/>
                  <w:szCs w:val="18"/>
                  <w:lang w:val="fr-FR"/>
                </w:rPr>
                <w:t>https://moor.fnr.de/moore-schuetzen/moorbodenschutz</w:t>
              </w:r>
            </w:hyperlink>
            <w:r w:rsidR="50787B76" w:rsidRPr="00653BF4">
              <w:rPr>
                <w:sz w:val="16"/>
                <w:szCs w:val="16"/>
                <w:lang w:val="fr-FR"/>
              </w:rPr>
              <w:t>.</w:t>
            </w:r>
          </w:p>
          <w:p w14:paraId="20A00C77" w14:textId="13D229BE" w:rsidR="00661CFF" w:rsidRPr="00653BF4" w:rsidRDefault="00661CFF" w:rsidP="00B60665">
            <w:pPr>
              <w:rPr>
                <w:lang w:val="fr-FR"/>
              </w:rPr>
            </w:pPr>
          </w:p>
        </w:tc>
      </w:tr>
      <w:tr w:rsidR="007A6144" w:rsidRPr="00543148" w14:paraId="5D2AC61C" w14:textId="77777777" w:rsidTr="00CB718B">
        <w:tc>
          <w:tcPr>
            <w:tcW w:w="9350" w:type="dxa"/>
            <w:shd w:val="clear" w:color="auto" w:fill="D1D1D1" w:themeFill="background2" w:themeFillShade="E6"/>
          </w:tcPr>
          <w:p w14:paraId="207D1F22" w14:textId="640A31C7" w:rsidR="004F7176" w:rsidRPr="00653BF4" w:rsidRDefault="006B218B" w:rsidP="004F7176">
            <w:pPr>
              <w:pStyle w:val="Caption"/>
              <w:keepNext/>
              <w:rPr>
                <w:i w:val="0"/>
                <w:iCs w:val="0"/>
                <w:sz w:val="20"/>
                <w:szCs w:val="20"/>
                <w:lang w:val="fr-FR"/>
              </w:rPr>
            </w:pPr>
            <w:r w:rsidRPr="00653BF4">
              <w:rPr>
                <w:i w:val="0"/>
                <w:sz w:val="20"/>
                <w:szCs w:val="20"/>
                <w:lang w:val="fr-FR"/>
              </w:rPr>
              <w:lastRenderedPageBreak/>
              <w:t xml:space="preserve"> </w:t>
            </w:r>
            <w:r w:rsidR="00CB718B" w:rsidRPr="00653BF4">
              <w:rPr>
                <w:i w:val="0"/>
                <w:sz w:val="20"/>
                <w:szCs w:val="20"/>
                <w:lang w:val="fr-FR"/>
              </w:rPr>
              <w:t>Encadré</w:t>
            </w:r>
            <w:r w:rsidR="004F7176" w:rsidRPr="00653BF4">
              <w:rPr>
                <w:i w:val="0"/>
                <w:sz w:val="20"/>
                <w:szCs w:val="20"/>
                <w:lang w:val="fr-FR"/>
              </w:rPr>
              <w:t xml:space="preserve"> </w:t>
            </w:r>
            <w:r w:rsidR="008306DF" w:rsidRPr="00653BF4">
              <w:rPr>
                <w:i w:val="0"/>
                <w:noProof/>
                <w:sz w:val="20"/>
                <w:szCs w:val="20"/>
                <w:lang w:val="fr-FR"/>
              </w:rPr>
              <w:t>10</w:t>
            </w:r>
            <w:r w:rsidR="004F7176" w:rsidRPr="00653BF4">
              <w:rPr>
                <w:i w:val="0"/>
                <w:sz w:val="20"/>
                <w:szCs w:val="20"/>
                <w:lang w:val="fr-FR"/>
              </w:rPr>
              <w:t xml:space="preserve"> </w:t>
            </w:r>
          </w:p>
          <w:p w14:paraId="506E829B" w14:textId="4744DE95" w:rsidR="00D84836" w:rsidRPr="00653BF4" w:rsidRDefault="000E2B35" w:rsidP="00D84836">
            <w:pPr>
              <w:spacing w:line="276" w:lineRule="auto"/>
              <w:rPr>
                <w:b/>
                <w:sz w:val="20"/>
                <w:szCs w:val="20"/>
                <w:lang w:val="fr-FR"/>
              </w:rPr>
            </w:pPr>
            <w:r w:rsidRPr="00653BF4">
              <w:rPr>
                <w:b/>
                <w:bCs/>
                <w:sz w:val="20"/>
                <w:szCs w:val="20"/>
                <w:lang w:val="fr-FR"/>
              </w:rPr>
              <w:t xml:space="preserve">Intégration des peuples autochtones et communautés locales dans la remise en état des écosystèmes dans le cadre du plan national brésilien de restauration de la végétation </w:t>
            </w:r>
            <w:r w:rsidR="007C2498" w:rsidRPr="00653BF4">
              <w:rPr>
                <w:b/>
                <w:bCs/>
                <w:sz w:val="20"/>
                <w:szCs w:val="20"/>
                <w:lang w:val="fr-FR"/>
              </w:rPr>
              <w:t>indigène</w:t>
            </w:r>
          </w:p>
          <w:p w14:paraId="03F65017" w14:textId="77777777" w:rsidR="004F7176" w:rsidRPr="00653BF4" w:rsidRDefault="004F7176" w:rsidP="004F7176">
            <w:pPr>
              <w:spacing w:line="276" w:lineRule="auto"/>
              <w:rPr>
                <w:sz w:val="22"/>
                <w:szCs w:val="22"/>
                <w:lang w:val="fr-FR"/>
              </w:rPr>
            </w:pPr>
          </w:p>
          <w:p w14:paraId="168B1B4D" w14:textId="6AFB288B" w:rsidR="006D44BF" w:rsidRPr="00653BF4" w:rsidRDefault="006D44BF" w:rsidP="006D44BF">
            <w:pPr>
              <w:spacing w:line="276" w:lineRule="auto"/>
              <w:rPr>
                <w:sz w:val="20"/>
                <w:szCs w:val="20"/>
                <w:lang w:val="fr-FR"/>
              </w:rPr>
            </w:pPr>
            <w:r w:rsidRPr="00653BF4">
              <w:rPr>
                <w:sz w:val="20"/>
                <w:szCs w:val="20"/>
                <w:lang w:val="fr-FR"/>
              </w:rPr>
              <w:t>Le plan national pour la remise en état de la végétation indigène 2025-2028 du Brésil témoigne de la manière dont la remise en état des écosystèmes à grande échelle peut s</w:t>
            </w:r>
            <w:r w:rsidR="002A58C8" w:rsidRPr="00653BF4">
              <w:rPr>
                <w:sz w:val="20"/>
                <w:szCs w:val="20"/>
                <w:lang w:val="fr-FR"/>
              </w:rPr>
              <w:t>’</w:t>
            </w:r>
            <w:r w:rsidRPr="00653BF4">
              <w:rPr>
                <w:sz w:val="20"/>
                <w:szCs w:val="20"/>
                <w:lang w:val="fr-FR"/>
              </w:rPr>
              <w:t>accompagner d</w:t>
            </w:r>
            <w:r w:rsidR="002A58C8" w:rsidRPr="00653BF4">
              <w:rPr>
                <w:sz w:val="20"/>
                <w:szCs w:val="20"/>
                <w:lang w:val="fr-FR"/>
              </w:rPr>
              <w:t>’</w:t>
            </w:r>
            <w:r w:rsidRPr="00653BF4">
              <w:rPr>
                <w:sz w:val="20"/>
                <w:szCs w:val="20"/>
                <w:lang w:val="fr-FR"/>
              </w:rPr>
              <w:t>une gouvernance inclusive et de la participation des peuples autochtones et communautés locales. Ce plan vise à restaurer 12 millions d</w:t>
            </w:r>
            <w:r w:rsidR="002A58C8" w:rsidRPr="00653BF4">
              <w:rPr>
                <w:sz w:val="20"/>
                <w:szCs w:val="20"/>
                <w:lang w:val="fr-FR"/>
              </w:rPr>
              <w:t>’</w:t>
            </w:r>
            <w:r w:rsidRPr="00653BF4">
              <w:rPr>
                <w:sz w:val="20"/>
                <w:szCs w:val="20"/>
                <w:lang w:val="fr-FR"/>
              </w:rPr>
              <w:t>hectares de végétation indigène d</w:t>
            </w:r>
            <w:r w:rsidR="002A58C8" w:rsidRPr="00653BF4">
              <w:rPr>
                <w:sz w:val="20"/>
                <w:szCs w:val="20"/>
                <w:lang w:val="fr-FR"/>
              </w:rPr>
              <w:t>’</w:t>
            </w:r>
            <w:r w:rsidRPr="00653BF4">
              <w:rPr>
                <w:sz w:val="20"/>
                <w:szCs w:val="20"/>
                <w:lang w:val="fr-FR"/>
              </w:rPr>
              <w:t>ici à 2030 dans les six principaux biomes du Brésil</w:t>
            </w:r>
            <w:r w:rsidR="00E34DC9">
              <w:rPr>
                <w:sz w:val="20"/>
                <w:szCs w:val="20"/>
                <w:lang w:val="fr-FR"/>
              </w:rPr>
              <w:t> :</w:t>
            </w:r>
            <w:r w:rsidRPr="00653BF4">
              <w:rPr>
                <w:sz w:val="20"/>
                <w:szCs w:val="20"/>
                <w:lang w:val="fr-FR"/>
              </w:rPr>
              <w:t xml:space="preserve"> l</w:t>
            </w:r>
            <w:r w:rsidR="002A58C8" w:rsidRPr="00653BF4">
              <w:rPr>
                <w:sz w:val="20"/>
                <w:szCs w:val="20"/>
                <w:lang w:val="fr-FR"/>
              </w:rPr>
              <w:t>’</w:t>
            </w:r>
            <w:r w:rsidRPr="00653BF4">
              <w:rPr>
                <w:sz w:val="20"/>
                <w:szCs w:val="20"/>
                <w:lang w:val="fr-FR"/>
              </w:rPr>
              <w:t>Amazonie, la forêt-savane du Cerrado, la forêt atlantique, la Caatinga semi-aride, les zones humides du Pantanal et les prairies de la Pampa. Il associe des cibles nationales ambitieuses en matière de remise en état à des mécanismes qui reconnaissent les savoirs traditionnels, les droits territoriaux et les pratiques de remise en état menées par les communautés.</w:t>
            </w:r>
          </w:p>
          <w:p w14:paraId="0AE31E32" w14:textId="77777777" w:rsidR="006D44BF" w:rsidRPr="00653BF4" w:rsidRDefault="006D44BF" w:rsidP="006D44BF">
            <w:pPr>
              <w:spacing w:line="276" w:lineRule="auto"/>
              <w:rPr>
                <w:sz w:val="20"/>
                <w:szCs w:val="20"/>
                <w:lang w:val="fr-FR"/>
              </w:rPr>
            </w:pPr>
          </w:p>
          <w:p w14:paraId="71A32386" w14:textId="15275EE2" w:rsidR="006D44BF" w:rsidRPr="00653BF4" w:rsidRDefault="006D44BF" w:rsidP="006D44BF">
            <w:pPr>
              <w:spacing w:line="276" w:lineRule="auto"/>
              <w:rPr>
                <w:sz w:val="20"/>
                <w:szCs w:val="20"/>
                <w:lang w:val="fr-FR"/>
              </w:rPr>
            </w:pPr>
            <w:r w:rsidRPr="00653BF4">
              <w:rPr>
                <w:sz w:val="20"/>
                <w:szCs w:val="20"/>
                <w:lang w:val="fr-FR"/>
              </w:rPr>
              <w:t>Ce plan favorise la remise en état des zones protégées à titre permanent, des réserves naturelles et des zones à usage restreint, tout en encourageant la remise en état des paysages agricoles dégradés grâce à des systèmes agroforestiers, à l</w:t>
            </w:r>
            <w:r w:rsidR="002A58C8" w:rsidRPr="00653BF4">
              <w:rPr>
                <w:sz w:val="20"/>
                <w:szCs w:val="20"/>
                <w:lang w:val="fr-FR"/>
              </w:rPr>
              <w:t>’</w:t>
            </w:r>
            <w:r w:rsidRPr="00653BF4">
              <w:rPr>
                <w:sz w:val="20"/>
                <w:szCs w:val="20"/>
                <w:lang w:val="fr-FR"/>
              </w:rPr>
              <w:t>intégration culture-élevage-forêt et à la culture d</w:t>
            </w:r>
            <w:r w:rsidR="002A58C8" w:rsidRPr="00653BF4">
              <w:rPr>
                <w:sz w:val="20"/>
                <w:szCs w:val="20"/>
                <w:lang w:val="fr-FR"/>
              </w:rPr>
              <w:t>’</w:t>
            </w:r>
            <w:r w:rsidRPr="00653BF4">
              <w:rPr>
                <w:sz w:val="20"/>
                <w:szCs w:val="20"/>
                <w:lang w:val="fr-FR"/>
              </w:rPr>
              <w:t>essences forestières indigènes. Les efforts de remise en état s</w:t>
            </w:r>
            <w:r w:rsidR="002A58C8" w:rsidRPr="00653BF4">
              <w:rPr>
                <w:sz w:val="20"/>
                <w:szCs w:val="20"/>
                <w:lang w:val="fr-FR"/>
              </w:rPr>
              <w:t>’</w:t>
            </w:r>
            <w:r w:rsidRPr="00653BF4">
              <w:rPr>
                <w:sz w:val="20"/>
                <w:szCs w:val="20"/>
                <w:lang w:val="fr-FR"/>
              </w:rPr>
              <w:t>étendent aux terres publiques, notamment aux unités de conservation, aux territoires autochtones et à d</w:t>
            </w:r>
            <w:r w:rsidR="002A58C8" w:rsidRPr="00653BF4">
              <w:rPr>
                <w:sz w:val="20"/>
                <w:szCs w:val="20"/>
                <w:lang w:val="fr-FR"/>
              </w:rPr>
              <w:t>’</w:t>
            </w:r>
            <w:r w:rsidRPr="00653BF4">
              <w:rPr>
                <w:sz w:val="20"/>
                <w:szCs w:val="20"/>
                <w:lang w:val="fr-FR"/>
              </w:rPr>
              <w:t>autres zones gérées collectivement. L</w:t>
            </w:r>
            <w:r w:rsidR="002A58C8" w:rsidRPr="00653BF4">
              <w:rPr>
                <w:sz w:val="20"/>
                <w:szCs w:val="20"/>
                <w:lang w:val="fr-FR"/>
              </w:rPr>
              <w:t>’</w:t>
            </w:r>
            <w:r w:rsidRPr="00653BF4">
              <w:rPr>
                <w:sz w:val="20"/>
                <w:szCs w:val="20"/>
                <w:lang w:val="fr-FR"/>
              </w:rPr>
              <w:t>appui comprend le développement de réseaux de collecteurs de semences indigènes, de pépinières de plantes indigènes, de chaînes d</w:t>
            </w:r>
            <w:r w:rsidR="002A58C8" w:rsidRPr="00653BF4">
              <w:rPr>
                <w:sz w:val="20"/>
                <w:szCs w:val="20"/>
                <w:lang w:val="fr-FR"/>
              </w:rPr>
              <w:t>’</w:t>
            </w:r>
            <w:r w:rsidRPr="00653BF4">
              <w:rPr>
                <w:sz w:val="20"/>
                <w:szCs w:val="20"/>
                <w:lang w:val="fr-FR"/>
              </w:rPr>
              <w:t>approvisionnement dédiées à la remise en état et de systèmes de suivi intégrés.</w:t>
            </w:r>
          </w:p>
          <w:p w14:paraId="0C64DE50" w14:textId="77777777" w:rsidR="006D44BF" w:rsidRPr="00653BF4" w:rsidRDefault="006D44BF" w:rsidP="006D44BF">
            <w:pPr>
              <w:spacing w:line="276" w:lineRule="auto"/>
              <w:rPr>
                <w:sz w:val="20"/>
                <w:szCs w:val="20"/>
                <w:lang w:val="fr-FR"/>
              </w:rPr>
            </w:pPr>
          </w:p>
          <w:p w14:paraId="1A96C19F" w14:textId="0D8E3573" w:rsidR="006D44BF" w:rsidRPr="00653BF4" w:rsidRDefault="006D44BF" w:rsidP="006D44BF">
            <w:pPr>
              <w:spacing w:line="276" w:lineRule="auto"/>
              <w:rPr>
                <w:sz w:val="20"/>
                <w:szCs w:val="20"/>
                <w:lang w:val="fr-FR"/>
              </w:rPr>
            </w:pPr>
            <w:r w:rsidRPr="00653BF4">
              <w:rPr>
                <w:sz w:val="20"/>
                <w:szCs w:val="20"/>
                <w:lang w:val="fr-FR"/>
              </w:rPr>
              <w:t>La mise en œuvre du plan implique un large éventail d</w:t>
            </w:r>
            <w:r w:rsidR="002A58C8" w:rsidRPr="00653BF4">
              <w:rPr>
                <w:sz w:val="20"/>
                <w:szCs w:val="20"/>
                <w:lang w:val="fr-FR"/>
              </w:rPr>
              <w:t>’</w:t>
            </w:r>
            <w:r w:rsidRPr="00653BF4">
              <w:rPr>
                <w:sz w:val="20"/>
                <w:szCs w:val="20"/>
                <w:lang w:val="fr-FR"/>
              </w:rPr>
              <w:t>acteurs intervenant à plusieurs niveaux de gouvernance. Les ministères fédéraux, notamment le ministère de l</w:t>
            </w:r>
            <w:r w:rsidR="002A58C8" w:rsidRPr="00653BF4">
              <w:rPr>
                <w:sz w:val="20"/>
                <w:szCs w:val="20"/>
                <w:lang w:val="fr-FR"/>
              </w:rPr>
              <w:t>’</w:t>
            </w:r>
            <w:r w:rsidRPr="00653BF4">
              <w:rPr>
                <w:sz w:val="20"/>
                <w:szCs w:val="20"/>
                <w:lang w:val="fr-FR"/>
              </w:rPr>
              <w:t>Environnement et du Changement climatique, le ministère de l</w:t>
            </w:r>
            <w:r w:rsidR="002A58C8" w:rsidRPr="00653BF4">
              <w:rPr>
                <w:sz w:val="20"/>
                <w:szCs w:val="20"/>
                <w:lang w:val="fr-FR"/>
              </w:rPr>
              <w:t>’</w:t>
            </w:r>
            <w:r w:rsidRPr="00653BF4">
              <w:rPr>
                <w:sz w:val="20"/>
                <w:szCs w:val="20"/>
                <w:lang w:val="fr-FR"/>
              </w:rPr>
              <w:t>Agriculture, de l</w:t>
            </w:r>
            <w:r w:rsidR="002A58C8" w:rsidRPr="00653BF4">
              <w:rPr>
                <w:sz w:val="20"/>
                <w:szCs w:val="20"/>
                <w:lang w:val="fr-FR"/>
              </w:rPr>
              <w:t>’</w:t>
            </w:r>
            <w:r w:rsidRPr="00653BF4">
              <w:rPr>
                <w:sz w:val="20"/>
                <w:szCs w:val="20"/>
                <w:lang w:val="fr-FR"/>
              </w:rPr>
              <w:t>Élevage et de l</w:t>
            </w:r>
            <w:r w:rsidR="002A58C8" w:rsidRPr="00653BF4">
              <w:rPr>
                <w:sz w:val="20"/>
                <w:szCs w:val="20"/>
                <w:lang w:val="fr-FR"/>
              </w:rPr>
              <w:t>’</w:t>
            </w:r>
            <w:r w:rsidRPr="00653BF4">
              <w:rPr>
                <w:sz w:val="20"/>
                <w:szCs w:val="20"/>
                <w:lang w:val="fr-FR"/>
              </w:rPr>
              <w:t>Approvisionnement alimentaire, le ministère des Finances, le ministère de la Planification, du Budget et de la Gestion, ainsi que le ministère de la Gestion et de l</w:t>
            </w:r>
            <w:r w:rsidR="002A58C8" w:rsidRPr="00653BF4">
              <w:rPr>
                <w:sz w:val="20"/>
                <w:szCs w:val="20"/>
                <w:lang w:val="fr-FR"/>
              </w:rPr>
              <w:t>’</w:t>
            </w:r>
            <w:r w:rsidRPr="00653BF4">
              <w:rPr>
                <w:sz w:val="20"/>
                <w:szCs w:val="20"/>
                <w:lang w:val="fr-FR"/>
              </w:rPr>
              <w:t>innovation dans les services publics, jouent un rôle clé dans la coordination et la mise en œuvre des politiques. Les réseaux de remise en état à l</w:t>
            </w:r>
            <w:r w:rsidR="002A58C8" w:rsidRPr="00653BF4">
              <w:rPr>
                <w:sz w:val="20"/>
                <w:szCs w:val="20"/>
                <w:lang w:val="fr-FR"/>
              </w:rPr>
              <w:t>’</w:t>
            </w:r>
            <w:r w:rsidRPr="00653BF4">
              <w:rPr>
                <w:sz w:val="20"/>
                <w:szCs w:val="20"/>
                <w:lang w:val="fr-FR"/>
              </w:rPr>
              <w:t>échelle des biomes, tels que l</w:t>
            </w:r>
            <w:r w:rsidR="002A58C8" w:rsidRPr="00653BF4">
              <w:rPr>
                <w:sz w:val="20"/>
                <w:szCs w:val="20"/>
                <w:lang w:val="fr-FR"/>
              </w:rPr>
              <w:t>’</w:t>
            </w:r>
            <w:r w:rsidRPr="00653BF4">
              <w:rPr>
                <w:sz w:val="20"/>
                <w:szCs w:val="20"/>
                <w:lang w:val="fr-FR"/>
              </w:rPr>
              <w:t>Alliance pour la remise en état de l</w:t>
            </w:r>
            <w:r w:rsidR="002A58C8" w:rsidRPr="00653BF4">
              <w:rPr>
                <w:sz w:val="20"/>
                <w:szCs w:val="20"/>
                <w:lang w:val="fr-FR"/>
              </w:rPr>
              <w:t>’</w:t>
            </w:r>
            <w:r w:rsidRPr="00653BF4">
              <w:rPr>
                <w:sz w:val="20"/>
                <w:szCs w:val="20"/>
                <w:lang w:val="fr-FR"/>
              </w:rPr>
              <w:t>Amazonie et le Pacte pour la remise en état de la Forêt atlantique, ainsi que les coalitions régionales de remise en état dans le Cerrado, la Caatinga, le Pantanal et la Pampa, apportent leur expertise technique et favorisent l</w:t>
            </w:r>
            <w:r w:rsidR="002A58C8" w:rsidRPr="00653BF4">
              <w:rPr>
                <w:sz w:val="20"/>
                <w:szCs w:val="20"/>
                <w:lang w:val="fr-FR"/>
              </w:rPr>
              <w:t>’</w:t>
            </w:r>
            <w:r w:rsidRPr="00653BF4">
              <w:rPr>
                <w:sz w:val="20"/>
                <w:szCs w:val="20"/>
                <w:lang w:val="fr-FR"/>
              </w:rPr>
              <w:t>engagement des parties prenantes, avec un niveau élevé de participation de la société civile. Cette participation s</w:t>
            </w:r>
            <w:r w:rsidR="002A58C8" w:rsidRPr="00653BF4">
              <w:rPr>
                <w:sz w:val="20"/>
                <w:szCs w:val="20"/>
                <w:lang w:val="fr-FR"/>
              </w:rPr>
              <w:t>’</w:t>
            </w:r>
            <w:r w:rsidRPr="00653BF4">
              <w:rPr>
                <w:sz w:val="20"/>
                <w:szCs w:val="20"/>
                <w:lang w:val="fr-FR"/>
              </w:rPr>
              <w:t>étend aux peuples autochtones ainsi qu</w:t>
            </w:r>
            <w:r w:rsidR="002A58C8" w:rsidRPr="00653BF4">
              <w:rPr>
                <w:sz w:val="20"/>
                <w:szCs w:val="20"/>
                <w:lang w:val="fr-FR"/>
              </w:rPr>
              <w:t>’</w:t>
            </w:r>
            <w:r w:rsidRPr="00653BF4">
              <w:rPr>
                <w:sz w:val="20"/>
                <w:szCs w:val="20"/>
                <w:lang w:val="fr-FR"/>
              </w:rPr>
              <w:t xml:space="preserve">à des communautés telles que les </w:t>
            </w:r>
            <w:r w:rsidRPr="00653BF4">
              <w:rPr>
                <w:i/>
                <w:iCs/>
                <w:sz w:val="20"/>
                <w:szCs w:val="20"/>
                <w:lang w:val="fr-FR"/>
              </w:rPr>
              <w:t>quilombolas</w:t>
            </w:r>
            <w:r w:rsidRPr="00653BF4">
              <w:rPr>
                <w:sz w:val="20"/>
                <w:szCs w:val="20"/>
                <w:lang w:val="fr-FR"/>
              </w:rPr>
              <w:t xml:space="preserve"> (descendants d</w:t>
            </w:r>
            <w:r w:rsidR="002A58C8" w:rsidRPr="00653BF4">
              <w:rPr>
                <w:sz w:val="20"/>
                <w:szCs w:val="20"/>
                <w:lang w:val="fr-FR"/>
              </w:rPr>
              <w:t>’</w:t>
            </w:r>
            <w:r w:rsidRPr="00653BF4">
              <w:rPr>
                <w:sz w:val="20"/>
                <w:szCs w:val="20"/>
                <w:lang w:val="fr-FR"/>
              </w:rPr>
              <w:t xml:space="preserve">Afro-Brésiliens), les </w:t>
            </w:r>
            <w:r w:rsidRPr="00653BF4">
              <w:rPr>
                <w:i/>
                <w:iCs/>
                <w:sz w:val="20"/>
                <w:szCs w:val="20"/>
                <w:lang w:val="fr-FR"/>
              </w:rPr>
              <w:t>geraizeiros</w:t>
            </w:r>
            <w:r w:rsidRPr="00653BF4">
              <w:rPr>
                <w:sz w:val="20"/>
                <w:szCs w:val="20"/>
                <w:lang w:val="fr-FR"/>
              </w:rPr>
              <w:t xml:space="preserve"> (éleveurs traditionnels du Cerrado) et les </w:t>
            </w:r>
            <w:r w:rsidRPr="00653BF4">
              <w:rPr>
                <w:i/>
                <w:iCs/>
                <w:sz w:val="20"/>
                <w:szCs w:val="20"/>
                <w:lang w:val="fr-FR"/>
              </w:rPr>
              <w:t>caatingueiros</w:t>
            </w:r>
            <w:r w:rsidRPr="00653BF4">
              <w:rPr>
                <w:sz w:val="20"/>
                <w:szCs w:val="20"/>
                <w:lang w:val="fr-FR"/>
              </w:rPr>
              <w:t xml:space="preserve"> (communautés traditionnelles des zones arides), ainsi qu</w:t>
            </w:r>
            <w:r w:rsidR="002A58C8" w:rsidRPr="00653BF4">
              <w:rPr>
                <w:sz w:val="20"/>
                <w:szCs w:val="20"/>
                <w:lang w:val="fr-FR"/>
              </w:rPr>
              <w:t>’</w:t>
            </w:r>
            <w:r w:rsidRPr="00653BF4">
              <w:rPr>
                <w:sz w:val="20"/>
                <w:szCs w:val="20"/>
                <w:lang w:val="fr-FR"/>
              </w:rPr>
              <w:t>aux femmes, aux jeunes et aux aînés.</w:t>
            </w:r>
          </w:p>
          <w:p w14:paraId="747C84D8" w14:textId="77777777" w:rsidR="006D44BF" w:rsidRPr="00653BF4" w:rsidRDefault="006D44BF" w:rsidP="006D44BF">
            <w:pPr>
              <w:spacing w:line="276" w:lineRule="auto"/>
              <w:rPr>
                <w:sz w:val="20"/>
                <w:szCs w:val="20"/>
                <w:lang w:val="fr-FR"/>
              </w:rPr>
            </w:pPr>
          </w:p>
          <w:p w14:paraId="607F75C3" w14:textId="6932210F" w:rsidR="00772EED" w:rsidRPr="00653BF4" w:rsidRDefault="006D44BF" w:rsidP="006D44BF">
            <w:pPr>
              <w:spacing w:line="276" w:lineRule="auto"/>
              <w:rPr>
                <w:sz w:val="20"/>
                <w:szCs w:val="20"/>
                <w:lang w:val="fr-FR"/>
              </w:rPr>
            </w:pPr>
            <w:r w:rsidRPr="00653BF4">
              <w:rPr>
                <w:sz w:val="20"/>
                <w:szCs w:val="20"/>
                <w:lang w:val="fr-FR"/>
              </w:rPr>
              <w:t>Depuis son lancement initial en 2017 et sa révision ultérieure pour la période 2025-2028, ce plan a intégré le financement public et privé, la recherche scientifique, l</w:t>
            </w:r>
            <w:r w:rsidR="002A58C8" w:rsidRPr="00653BF4">
              <w:rPr>
                <w:sz w:val="20"/>
                <w:szCs w:val="20"/>
                <w:lang w:val="fr-FR"/>
              </w:rPr>
              <w:t>’</w:t>
            </w:r>
            <w:r w:rsidRPr="00653BF4">
              <w:rPr>
                <w:sz w:val="20"/>
                <w:szCs w:val="20"/>
                <w:lang w:val="fr-FR"/>
              </w:rPr>
              <w:t>innovation technologique, le suivi territorial et les savoirs écologiques traditionnels au sein d</w:t>
            </w:r>
            <w:r w:rsidR="002A58C8" w:rsidRPr="00653BF4">
              <w:rPr>
                <w:sz w:val="20"/>
                <w:szCs w:val="20"/>
                <w:lang w:val="fr-FR"/>
              </w:rPr>
              <w:t>’</w:t>
            </w:r>
            <w:r w:rsidRPr="00653BF4">
              <w:rPr>
                <w:sz w:val="20"/>
                <w:szCs w:val="20"/>
                <w:lang w:val="fr-FR"/>
              </w:rPr>
              <w:t>un cadre de remise en état unifié. Il démontre comment la remise en état des écosystèmes peut générer de multiples avantages, en contribuant à l</w:t>
            </w:r>
            <w:r w:rsidR="002A58C8" w:rsidRPr="00653BF4">
              <w:rPr>
                <w:sz w:val="20"/>
                <w:szCs w:val="20"/>
                <w:lang w:val="fr-FR"/>
              </w:rPr>
              <w:t>’</w:t>
            </w:r>
            <w:r w:rsidRPr="00653BF4">
              <w:rPr>
                <w:sz w:val="20"/>
                <w:szCs w:val="20"/>
                <w:lang w:val="fr-FR"/>
              </w:rPr>
              <w:t>atténuation et à l</w:t>
            </w:r>
            <w:r w:rsidR="002A58C8" w:rsidRPr="00653BF4">
              <w:rPr>
                <w:sz w:val="20"/>
                <w:szCs w:val="20"/>
                <w:lang w:val="fr-FR"/>
              </w:rPr>
              <w:t>’</w:t>
            </w:r>
            <w:r w:rsidRPr="00653BF4">
              <w:rPr>
                <w:sz w:val="20"/>
                <w:szCs w:val="20"/>
                <w:lang w:val="fr-FR"/>
              </w:rPr>
              <w:t>adaptation au changement climatique, à la conservation de la biodiversité, à la connectivité des paysages et à des moyens de subsistance durables, tout en créant des opportunités d</w:t>
            </w:r>
            <w:r w:rsidR="002A58C8" w:rsidRPr="00653BF4">
              <w:rPr>
                <w:sz w:val="20"/>
                <w:szCs w:val="20"/>
                <w:lang w:val="fr-FR"/>
              </w:rPr>
              <w:t>’</w:t>
            </w:r>
            <w:r w:rsidRPr="00653BF4">
              <w:rPr>
                <w:sz w:val="20"/>
                <w:szCs w:val="20"/>
                <w:lang w:val="fr-FR"/>
              </w:rPr>
              <w:t>emploi vertes et en renforçant les sources de revenus des communautés</w:t>
            </w:r>
            <w:r w:rsidR="00772EED" w:rsidRPr="00653BF4">
              <w:rPr>
                <w:sz w:val="20"/>
                <w:szCs w:val="20"/>
                <w:lang w:val="fr-FR"/>
              </w:rPr>
              <w:t>.</w:t>
            </w:r>
          </w:p>
          <w:p w14:paraId="6FBDCE1A" w14:textId="77777777" w:rsidR="006A41C4" w:rsidRPr="00653BF4" w:rsidRDefault="006A41C4" w:rsidP="00D84836">
            <w:pPr>
              <w:spacing w:line="276" w:lineRule="auto"/>
              <w:rPr>
                <w:i/>
                <w:sz w:val="20"/>
                <w:szCs w:val="20"/>
                <w:lang w:val="fr-FR"/>
              </w:rPr>
            </w:pPr>
          </w:p>
          <w:p w14:paraId="008C0AAE" w14:textId="3F3C956E" w:rsidR="006A41C4" w:rsidRPr="00653BF4" w:rsidRDefault="00904C13" w:rsidP="00D84836">
            <w:pPr>
              <w:spacing w:line="276" w:lineRule="auto"/>
              <w:rPr>
                <w:sz w:val="20"/>
                <w:szCs w:val="20"/>
                <w:lang w:val="fr-FR"/>
              </w:rPr>
            </w:pPr>
            <w:r w:rsidRPr="00653BF4">
              <w:rPr>
                <w:i/>
                <w:sz w:val="20"/>
                <w:szCs w:val="20"/>
                <w:lang w:val="fr-FR"/>
              </w:rPr>
              <w:t>C</w:t>
            </w:r>
            <w:r w:rsidR="001345EC" w:rsidRPr="00653BF4">
              <w:rPr>
                <w:i/>
                <w:sz w:val="20"/>
                <w:szCs w:val="20"/>
                <w:lang w:val="fr-FR"/>
              </w:rPr>
              <w:t>ibles concernées</w:t>
            </w:r>
            <w:r w:rsidR="00E34DC9">
              <w:rPr>
                <w:i/>
                <w:sz w:val="20"/>
                <w:szCs w:val="20"/>
                <w:lang w:val="fr-FR"/>
              </w:rPr>
              <w:t> :</w:t>
            </w:r>
            <w:r w:rsidR="006A41C4" w:rsidRPr="00653BF4">
              <w:rPr>
                <w:i/>
                <w:sz w:val="20"/>
                <w:szCs w:val="20"/>
                <w:lang w:val="fr-FR"/>
              </w:rPr>
              <w:t xml:space="preserve"> </w:t>
            </w:r>
            <w:r w:rsidR="0027420A" w:rsidRPr="00653BF4">
              <w:rPr>
                <w:sz w:val="20"/>
                <w:szCs w:val="20"/>
                <w:lang w:val="fr-FR"/>
              </w:rPr>
              <w:t xml:space="preserve">1, 2, </w:t>
            </w:r>
            <w:r w:rsidR="000D0C84" w:rsidRPr="00653BF4">
              <w:rPr>
                <w:sz w:val="20"/>
                <w:szCs w:val="20"/>
                <w:lang w:val="fr-FR"/>
              </w:rPr>
              <w:t>3, 8,</w:t>
            </w:r>
            <w:r w:rsidR="002D30BE" w:rsidRPr="00653BF4">
              <w:rPr>
                <w:sz w:val="20"/>
                <w:szCs w:val="20"/>
                <w:lang w:val="fr-FR"/>
              </w:rPr>
              <w:t xml:space="preserve"> 9, 10,</w:t>
            </w:r>
            <w:r w:rsidR="000D0C84" w:rsidRPr="00653BF4">
              <w:rPr>
                <w:sz w:val="20"/>
                <w:szCs w:val="20"/>
                <w:lang w:val="fr-FR"/>
              </w:rPr>
              <w:t xml:space="preserve"> 11, 14, </w:t>
            </w:r>
            <w:r w:rsidR="002D30BE" w:rsidRPr="00653BF4">
              <w:rPr>
                <w:sz w:val="20"/>
                <w:szCs w:val="20"/>
                <w:lang w:val="fr-FR"/>
              </w:rPr>
              <w:t>21</w:t>
            </w:r>
            <w:r w:rsidR="00CA4521" w:rsidRPr="00653BF4">
              <w:rPr>
                <w:sz w:val="20"/>
                <w:szCs w:val="20"/>
                <w:lang w:val="fr-FR"/>
              </w:rPr>
              <w:t xml:space="preserve"> </w:t>
            </w:r>
            <w:r w:rsidR="006132A0" w:rsidRPr="00653BF4">
              <w:rPr>
                <w:sz w:val="20"/>
                <w:szCs w:val="20"/>
                <w:lang w:val="fr-FR"/>
              </w:rPr>
              <w:t>et</w:t>
            </w:r>
            <w:r w:rsidR="008A4A2E" w:rsidRPr="00653BF4">
              <w:rPr>
                <w:sz w:val="20"/>
                <w:szCs w:val="20"/>
                <w:lang w:val="fr-FR"/>
              </w:rPr>
              <w:t xml:space="preserve"> </w:t>
            </w:r>
            <w:r w:rsidR="002D30BE" w:rsidRPr="00653BF4">
              <w:rPr>
                <w:sz w:val="20"/>
                <w:szCs w:val="20"/>
                <w:lang w:val="fr-FR"/>
              </w:rPr>
              <w:t>22</w:t>
            </w:r>
            <w:r w:rsidR="001071A1" w:rsidRPr="00653BF4">
              <w:rPr>
                <w:sz w:val="20"/>
                <w:szCs w:val="20"/>
                <w:lang w:val="fr-FR"/>
              </w:rPr>
              <w:t>.</w:t>
            </w:r>
          </w:p>
          <w:p w14:paraId="03C950BB" w14:textId="5B3A05B0" w:rsidR="00C57D84" w:rsidRPr="00653BF4" w:rsidRDefault="005C5B6A" w:rsidP="006D44BF">
            <w:pPr>
              <w:rPr>
                <w:i/>
                <w:iCs/>
                <w:sz w:val="22"/>
                <w:szCs w:val="22"/>
                <w:lang w:val="fr-FR"/>
              </w:rPr>
            </w:pPr>
            <w:r w:rsidRPr="00653BF4">
              <w:rPr>
                <w:i/>
                <w:iCs/>
                <w:sz w:val="20"/>
                <w:szCs w:val="20"/>
                <w:lang w:val="fr-FR"/>
              </w:rPr>
              <w:t>Sources</w:t>
            </w:r>
            <w:r w:rsidR="00E34DC9">
              <w:rPr>
                <w:i/>
                <w:iCs/>
                <w:sz w:val="20"/>
                <w:szCs w:val="20"/>
                <w:lang w:val="fr-FR"/>
              </w:rPr>
              <w:t> :</w:t>
            </w:r>
            <w:r w:rsidRPr="00653BF4">
              <w:rPr>
                <w:i/>
                <w:iCs/>
                <w:sz w:val="20"/>
                <w:szCs w:val="20"/>
                <w:lang w:val="fr-FR"/>
              </w:rPr>
              <w:t xml:space="preserve"> </w:t>
            </w:r>
            <w:r w:rsidR="006132A0" w:rsidRPr="00653BF4">
              <w:rPr>
                <w:noProof/>
                <w:sz w:val="20"/>
                <w:szCs w:val="20"/>
                <w:lang w:val="fr-FR"/>
              </w:rPr>
              <w:t xml:space="preserve">Brésil, ministère des </w:t>
            </w:r>
            <w:r w:rsidR="007E2156" w:rsidRPr="00653BF4">
              <w:rPr>
                <w:noProof/>
                <w:sz w:val="20"/>
                <w:szCs w:val="20"/>
                <w:lang w:val="fr-FR"/>
              </w:rPr>
              <w:t>Affair</w:t>
            </w:r>
            <w:r w:rsidR="006132A0" w:rsidRPr="00653BF4">
              <w:rPr>
                <w:noProof/>
                <w:sz w:val="20"/>
                <w:szCs w:val="20"/>
                <w:lang w:val="fr-FR"/>
              </w:rPr>
              <w:t>e</w:t>
            </w:r>
            <w:r w:rsidR="007E2156" w:rsidRPr="00653BF4">
              <w:rPr>
                <w:noProof/>
                <w:sz w:val="20"/>
                <w:szCs w:val="20"/>
                <w:lang w:val="fr-FR"/>
              </w:rPr>
              <w:t>s</w:t>
            </w:r>
            <w:r w:rsidR="006132A0" w:rsidRPr="00653BF4">
              <w:rPr>
                <w:noProof/>
                <w:sz w:val="20"/>
                <w:szCs w:val="20"/>
                <w:lang w:val="fr-FR"/>
              </w:rPr>
              <w:t xml:space="preserve"> Étrangères</w:t>
            </w:r>
            <w:r w:rsidR="007E2156" w:rsidRPr="00653BF4">
              <w:rPr>
                <w:noProof/>
                <w:sz w:val="20"/>
                <w:szCs w:val="20"/>
                <w:lang w:val="fr-FR"/>
              </w:rPr>
              <w:t>, 2025; MMA, 2024</w:t>
            </w:r>
            <w:r w:rsidR="001071A1" w:rsidRPr="00653BF4">
              <w:rPr>
                <w:sz w:val="20"/>
                <w:szCs w:val="20"/>
                <w:lang w:val="fr-FR"/>
              </w:rPr>
              <w:t>.</w:t>
            </w:r>
          </w:p>
        </w:tc>
      </w:tr>
    </w:tbl>
    <w:p w14:paraId="70FF8A64" w14:textId="77777777" w:rsidR="005755F9" w:rsidRPr="00653BF4" w:rsidRDefault="005755F9" w:rsidP="005755F9">
      <w:pPr>
        <w:rPr>
          <w:lang w:val="fr-FR"/>
        </w:rPr>
      </w:pPr>
    </w:p>
    <w:p w14:paraId="69EB8473" w14:textId="1F32E0ED" w:rsidR="00FC7784" w:rsidRPr="00653BF4" w:rsidRDefault="00415859" w:rsidP="00FC7784">
      <w:pPr>
        <w:pStyle w:val="Heading6"/>
        <w:rPr>
          <w:lang w:val="fr-FR"/>
        </w:rPr>
      </w:pPr>
      <w:r w:rsidRPr="00653BF4">
        <w:rPr>
          <w:lang w:val="fr-FR"/>
        </w:rPr>
        <w:t>Difficulté</w:t>
      </w:r>
      <w:r w:rsidR="00DD19D2" w:rsidRPr="00653BF4">
        <w:rPr>
          <w:lang w:val="fr-FR"/>
        </w:rPr>
        <w:t>s</w:t>
      </w:r>
    </w:p>
    <w:p w14:paraId="1D8835F3" w14:textId="77777777" w:rsidR="0067222D" w:rsidRPr="00653BF4" w:rsidRDefault="0067222D" w:rsidP="0067222D">
      <w:pPr>
        <w:rPr>
          <w:lang w:val="fr-FR"/>
        </w:rPr>
      </w:pPr>
    </w:p>
    <w:p w14:paraId="296DDA4A" w14:textId="26E4B77B" w:rsidR="0067222D" w:rsidRPr="00653BF4" w:rsidRDefault="00E570A3" w:rsidP="0067222D">
      <w:pPr>
        <w:rPr>
          <w:lang w:val="fr-FR"/>
        </w:rPr>
      </w:pPr>
      <w:r w:rsidRPr="00653BF4">
        <w:rPr>
          <w:lang w:val="fr-FR"/>
        </w:rPr>
        <w:t>De nombreuses Parties signalent que le financement disponible pour la remise en état des écosystèmes ne représente qu</w:t>
      </w:r>
      <w:r w:rsidR="002A58C8" w:rsidRPr="00653BF4">
        <w:rPr>
          <w:lang w:val="fr-FR"/>
        </w:rPr>
        <w:t>’</w:t>
      </w:r>
      <w:r w:rsidRPr="00653BF4">
        <w:rPr>
          <w:lang w:val="fr-FR"/>
        </w:rPr>
        <w:t>une fraction des ressources nécessaires à la réalisation des cibles nationales. Ce déficit est aggravé par un décalage entre les cycles financiers à court terme, axés sur les projets, les délais à long terme inhérents à la restauration écologique et les limites des capacités sectorielles à mener à bien les projets de remise en état. Certains systèmes d</w:t>
      </w:r>
      <w:r w:rsidR="002A58C8" w:rsidRPr="00653BF4">
        <w:rPr>
          <w:lang w:val="fr-FR"/>
        </w:rPr>
        <w:t>’</w:t>
      </w:r>
      <w:r w:rsidRPr="00653BF4">
        <w:rPr>
          <w:lang w:val="fr-FR"/>
        </w:rPr>
        <w:t>établissement de rapports privilégient les résultats concrets, par exemple le nombre d</w:t>
      </w:r>
      <w:r w:rsidR="002A58C8" w:rsidRPr="00653BF4">
        <w:rPr>
          <w:lang w:val="fr-FR"/>
        </w:rPr>
        <w:t>’</w:t>
      </w:r>
      <w:r w:rsidRPr="00653BF4">
        <w:rPr>
          <w:lang w:val="fr-FR"/>
        </w:rPr>
        <w:t>arbres plantés, plutôt que les résultats écologiques vérifiés ou la remise en état elle-même, au risque de surestimer les progrès alors que l</w:t>
      </w:r>
      <w:r w:rsidR="002A58C8" w:rsidRPr="00653BF4">
        <w:rPr>
          <w:lang w:val="fr-FR"/>
        </w:rPr>
        <w:t>’</w:t>
      </w:r>
      <w:r w:rsidRPr="00653BF4">
        <w:rPr>
          <w:lang w:val="fr-FR"/>
        </w:rPr>
        <w:t>intégrité écologique continue à se dégrader. La responsabilité de la remise en état est souvent fragmentée entre différentes agences, ministères et secteurs. Cela peut conduire à des politiques contradictoires et à des décisions conflictuelles en matière d</w:t>
      </w:r>
      <w:r w:rsidR="002A58C8" w:rsidRPr="00653BF4">
        <w:rPr>
          <w:lang w:val="fr-FR"/>
        </w:rPr>
        <w:t>’</w:t>
      </w:r>
      <w:r w:rsidRPr="00653BF4">
        <w:rPr>
          <w:lang w:val="fr-FR"/>
        </w:rPr>
        <w:t>utilisation des terres et des mers, ainsi qu</w:t>
      </w:r>
      <w:r w:rsidR="002A58C8" w:rsidRPr="00653BF4">
        <w:rPr>
          <w:lang w:val="fr-FR"/>
        </w:rPr>
        <w:t>’</w:t>
      </w:r>
      <w:r w:rsidRPr="00653BF4">
        <w:rPr>
          <w:lang w:val="fr-FR"/>
        </w:rPr>
        <w:t>à une collecte de données non harmonisée, ce qui peut entraver la cohérence des rapports. Les progrès en matière de remise en état peuvent être compromis par des facteurs et des causes sous-jacentes qui continuent à dégrader les écosystèmes. Les Parties incluent les effets de la pauvreté et des conflits parmi ces causes sous-jacentes.</w:t>
      </w:r>
    </w:p>
    <w:p w14:paraId="0B450F2A" w14:textId="16A7204C" w:rsidR="00B47293" w:rsidRPr="00653BF4" w:rsidRDefault="7B4D3CFD" w:rsidP="00B47293">
      <w:pPr>
        <w:rPr>
          <w:lang w:val="fr-FR"/>
        </w:rPr>
      </w:pPr>
      <w:r w:rsidRPr="00653BF4">
        <w:rPr>
          <w:lang w:val="fr-FR"/>
        </w:rPr>
        <w:t xml:space="preserve"> </w:t>
      </w:r>
    </w:p>
    <w:p w14:paraId="73637A7F" w14:textId="0752C390" w:rsidR="00FC7784" w:rsidRPr="00653BF4" w:rsidRDefault="00BC4559" w:rsidP="00FC7784">
      <w:pPr>
        <w:pStyle w:val="Heading5"/>
        <w:rPr>
          <w:lang w:val="fr-FR"/>
        </w:rPr>
      </w:pPr>
      <w:r w:rsidRPr="00653BF4">
        <w:rPr>
          <w:lang w:val="fr-FR"/>
        </w:rPr>
        <w:t>Contributions de la part d</w:t>
      </w:r>
      <w:r w:rsidR="002A58C8" w:rsidRPr="00653BF4">
        <w:rPr>
          <w:lang w:val="fr-FR"/>
        </w:rPr>
        <w:t>’</w:t>
      </w:r>
      <w:r w:rsidRPr="00653BF4">
        <w:rPr>
          <w:lang w:val="fr-FR"/>
        </w:rPr>
        <w:t>acteurs autres que les gouvernements nationaux</w:t>
      </w:r>
    </w:p>
    <w:p w14:paraId="352E2048" w14:textId="77777777" w:rsidR="00846AA2" w:rsidRPr="00653BF4" w:rsidRDefault="00846AA2" w:rsidP="00846AA2">
      <w:pPr>
        <w:rPr>
          <w:lang w:val="fr-FR"/>
        </w:rPr>
      </w:pPr>
    </w:p>
    <w:p w14:paraId="68593022" w14:textId="64EFB37C" w:rsidR="00287FBD" w:rsidRPr="00653BF4" w:rsidRDefault="00200AEB" w:rsidP="00287FBD">
      <w:pPr>
        <w:pStyle w:val="Heading6"/>
        <w:rPr>
          <w:lang w:val="fr-FR"/>
        </w:rPr>
      </w:pPr>
      <w:r w:rsidRPr="00653BF4">
        <w:rPr>
          <w:lang w:val="fr-FR"/>
        </w:rPr>
        <w:t>Engagements communiqués directement via l</w:t>
      </w:r>
      <w:r w:rsidR="002A58C8" w:rsidRPr="00653BF4">
        <w:rPr>
          <w:lang w:val="fr-FR"/>
        </w:rPr>
        <w:t>’</w:t>
      </w:r>
      <w:r w:rsidRPr="00653BF4">
        <w:rPr>
          <w:lang w:val="fr-FR"/>
        </w:rPr>
        <w:t>outil de présentation des rapports en ligne</w:t>
      </w:r>
    </w:p>
    <w:p w14:paraId="0B866180" w14:textId="77777777" w:rsidR="0098237B" w:rsidRPr="00653BF4" w:rsidRDefault="0098237B" w:rsidP="0098237B">
      <w:pPr>
        <w:rPr>
          <w:lang w:val="fr-FR"/>
        </w:rPr>
      </w:pPr>
    </w:p>
    <w:p w14:paraId="5B90B3E6" w14:textId="4B1D608E" w:rsidR="00363DB3" w:rsidRPr="00653BF4" w:rsidRDefault="008B5420">
      <w:pPr>
        <w:rPr>
          <w:lang w:val="fr-FR"/>
        </w:rPr>
      </w:pPr>
      <w:r w:rsidRPr="008B5420">
        <w:rPr>
          <w:lang w:val="fr-FR"/>
        </w:rPr>
        <w:t>Sur les 180 engagements de fond présentés par des acteurs autres que les gouvernements nationaux</w:t>
      </w:r>
      <w:r w:rsidR="00C410E0" w:rsidRPr="00653BF4">
        <w:rPr>
          <w:lang w:val="fr-FR"/>
        </w:rPr>
        <w:t xml:space="preserve">, 13 concernent principalement la </w:t>
      </w:r>
      <w:r w:rsidR="00E34DC9">
        <w:rPr>
          <w:lang w:val="fr-FR"/>
        </w:rPr>
        <w:t>cible 2</w:t>
      </w:r>
      <w:r w:rsidR="00C410E0" w:rsidRPr="00653BF4">
        <w:rPr>
          <w:lang w:val="fr-FR"/>
        </w:rPr>
        <w:t>, dont 12 sont issus d</w:t>
      </w:r>
      <w:r w:rsidR="002A58C8" w:rsidRPr="00653BF4">
        <w:rPr>
          <w:lang w:val="fr-FR"/>
        </w:rPr>
        <w:t>’</w:t>
      </w:r>
      <w:r w:rsidR="00C410E0" w:rsidRPr="00653BF4">
        <w:rPr>
          <w:lang w:val="fr-FR"/>
        </w:rPr>
        <w:t>ONG et un d</w:t>
      </w:r>
      <w:r w:rsidR="002A58C8" w:rsidRPr="00653BF4">
        <w:rPr>
          <w:lang w:val="fr-FR"/>
        </w:rPr>
        <w:t>’</w:t>
      </w:r>
      <w:r w:rsidR="00C410E0" w:rsidRPr="00653BF4">
        <w:rPr>
          <w:lang w:val="fr-FR"/>
        </w:rPr>
        <w:t>un établissement universitaire et de recherche. Ces engagements portent sur la remise en état à différentes échelles, du niveau local au niveau mondial, et concernent un large éventail de types d</w:t>
      </w:r>
      <w:r w:rsidR="002A58C8" w:rsidRPr="00653BF4">
        <w:rPr>
          <w:lang w:val="fr-FR"/>
        </w:rPr>
        <w:t>’</w:t>
      </w:r>
      <w:r w:rsidR="00C410E0" w:rsidRPr="00653BF4">
        <w:rPr>
          <w:lang w:val="fr-FR"/>
        </w:rPr>
        <w:t>écosystèmes, allant notamment des zones humides urbaines aux forêts, savanes, prairies, cours d</w:t>
      </w:r>
      <w:r w:rsidR="002A58C8" w:rsidRPr="00653BF4">
        <w:rPr>
          <w:lang w:val="fr-FR"/>
        </w:rPr>
        <w:t>’</w:t>
      </w:r>
      <w:r w:rsidR="00C410E0" w:rsidRPr="00653BF4">
        <w:rPr>
          <w:lang w:val="fr-FR"/>
        </w:rPr>
        <w:t>eau, mangroves et marais côtiers. Ils comprennent des programmes de remise en état en Europe, en Afrique, en Asie, en Océanie et en Amérique du Sud (v</w:t>
      </w:r>
      <w:r w:rsidR="00BD6958">
        <w:rPr>
          <w:lang w:val="fr-FR"/>
        </w:rPr>
        <w:t>oir l’encadré</w:t>
      </w:r>
      <w:r w:rsidR="00C410E0" w:rsidRPr="00653BF4">
        <w:rPr>
          <w:lang w:val="fr-FR"/>
        </w:rPr>
        <w:t xml:space="preserve"> 11).</w:t>
      </w:r>
    </w:p>
    <w:p w14:paraId="540FF544" w14:textId="77777777" w:rsidR="00755F86" w:rsidRPr="00653BF4" w:rsidRDefault="00755F86">
      <w:pPr>
        <w:rPr>
          <w:rFonts w:eastAsiaTheme="minorEastAsia"/>
          <w:b/>
          <w:iCs/>
          <w:color w:val="0E2841" w:themeColor="text2"/>
          <w:kern w:val="0"/>
          <w:sz w:val="18"/>
          <w:szCs w:val="18"/>
          <w:lang w:val="fr-FR" w:eastAsia="ja-JP"/>
          <w14:ligatures w14:val="none"/>
        </w:rPr>
      </w:pPr>
    </w:p>
    <w:p w14:paraId="7092CE9B" w14:textId="77777777" w:rsidR="00755F86" w:rsidRPr="00653BF4" w:rsidRDefault="00755F86">
      <w:pPr>
        <w:rPr>
          <w:rFonts w:eastAsiaTheme="minorEastAsia"/>
          <w:b/>
          <w:iCs/>
          <w:color w:val="0E2841" w:themeColor="text2"/>
          <w:kern w:val="0"/>
          <w:sz w:val="18"/>
          <w:szCs w:val="18"/>
          <w:lang w:val="fr-FR" w:eastAsia="ja-JP"/>
          <w14:ligatures w14:val="none"/>
        </w:rPr>
      </w:pPr>
    </w:p>
    <w:tbl>
      <w:tblPr>
        <w:tblStyle w:val="TableGrid"/>
        <w:tblW w:w="0" w:type="auto"/>
        <w:tblLook w:val="04A0" w:firstRow="1" w:lastRow="0" w:firstColumn="1" w:lastColumn="0" w:noHBand="0" w:noVBand="1"/>
      </w:tblPr>
      <w:tblGrid>
        <w:gridCol w:w="9016"/>
      </w:tblGrid>
      <w:tr w:rsidR="00FE7509" w:rsidRPr="00543148" w14:paraId="0E7B6C7A" w14:textId="77777777" w:rsidTr="6A186FBE">
        <w:tc>
          <w:tcPr>
            <w:tcW w:w="9016" w:type="dxa"/>
            <w:shd w:val="clear" w:color="auto" w:fill="E8E8E8" w:themeFill="background2"/>
          </w:tcPr>
          <w:p w14:paraId="32925561" w14:textId="77777777" w:rsidR="008437C9" w:rsidRPr="00653BF4" w:rsidRDefault="008437C9" w:rsidP="007E2156">
            <w:pPr>
              <w:rPr>
                <w:rFonts w:ascii="Aptos" w:eastAsia="Aptos" w:hAnsi="Aptos" w:cs="Aptos"/>
                <w:sz w:val="20"/>
                <w:szCs w:val="20"/>
                <w:lang w:val="fr-FR"/>
              </w:rPr>
            </w:pPr>
          </w:p>
          <w:p w14:paraId="3E1263B0" w14:textId="05D59708" w:rsidR="005A6CDB" w:rsidRPr="00653BF4" w:rsidRDefault="0024766A" w:rsidP="005A6CDB">
            <w:pPr>
              <w:pStyle w:val="Caption"/>
              <w:keepNext/>
              <w:rPr>
                <w:i w:val="0"/>
                <w:iCs w:val="0"/>
                <w:sz w:val="20"/>
                <w:szCs w:val="20"/>
                <w:lang w:val="fr-FR"/>
              </w:rPr>
            </w:pPr>
            <w:bookmarkStart w:id="100" w:name="_Ref230800965"/>
            <w:r w:rsidRPr="00653BF4">
              <w:rPr>
                <w:i w:val="0"/>
                <w:sz w:val="20"/>
                <w:szCs w:val="20"/>
                <w:lang w:val="fr-FR"/>
              </w:rPr>
              <w:t>Encadré</w:t>
            </w:r>
            <w:r w:rsidR="005A6CDB" w:rsidRPr="00653BF4">
              <w:rPr>
                <w:i w:val="0"/>
                <w:sz w:val="20"/>
                <w:szCs w:val="20"/>
                <w:lang w:val="fr-FR"/>
              </w:rPr>
              <w:t xml:space="preserve"> </w:t>
            </w:r>
            <w:r w:rsidR="008306DF" w:rsidRPr="00653BF4">
              <w:rPr>
                <w:i w:val="0"/>
                <w:noProof/>
                <w:sz w:val="20"/>
                <w:szCs w:val="20"/>
                <w:lang w:val="fr-FR"/>
              </w:rPr>
              <w:t>11</w:t>
            </w:r>
            <w:bookmarkEnd w:id="100"/>
            <w:r w:rsidR="005A6CDB" w:rsidRPr="00653BF4">
              <w:rPr>
                <w:i w:val="0"/>
                <w:sz w:val="20"/>
                <w:szCs w:val="20"/>
                <w:lang w:val="fr-FR"/>
              </w:rPr>
              <w:t xml:space="preserve"> </w:t>
            </w:r>
          </w:p>
          <w:p w14:paraId="10D45D77" w14:textId="26B0974E" w:rsidR="005A6CDB" w:rsidRPr="00653BF4" w:rsidRDefault="0029121A" w:rsidP="005A6CDB">
            <w:pPr>
              <w:rPr>
                <w:b/>
                <w:sz w:val="20"/>
                <w:szCs w:val="20"/>
                <w:lang w:val="fr-FR"/>
              </w:rPr>
            </w:pPr>
            <w:r w:rsidRPr="00653BF4">
              <w:rPr>
                <w:b/>
                <w:sz w:val="20"/>
                <w:szCs w:val="20"/>
                <w:lang w:val="fr-FR"/>
              </w:rPr>
              <w:t>Une organisation non gouvernementale internationale en appui aux efforts de remise en état dans neuf pays africains</w:t>
            </w:r>
          </w:p>
          <w:p w14:paraId="48186CCD" w14:textId="77777777" w:rsidR="005A6CDB" w:rsidRPr="00653BF4" w:rsidRDefault="005A6CDB" w:rsidP="005A6CDB">
            <w:pPr>
              <w:rPr>
                <w:rFonts w:ascii="Aptos" w:eastAsia="Aptos" w:hAnsi="Aptos" w:cs="Aptos"/>
                <w:sz w:val="20"/>
                <w:szCs w:val="20"/>
                <w:lang w:val="fr-FR"/>
              </w:rPr>
            </w:pPr>
          </w:p>
          <w:p w14:paraId="0CB15578" w14:textId="0A09FCCE" w:rsidR="007E2156" w:rsidRPr="00653BF4" w:rsidRDefault="008C2C53" w:rsidP="007E2156">
            <w:pPr>
              <w:rPr>
                <w:rFonts w:ascii="Aptos" w:eastAsia="Aptos" w:hAnsi="Aptos" w:cs="Aptos"/>
                <w:sz w:val="20"/>
                <w:szCs w:val="20"/>
                <w:lang w:val="fr-FR"/>
              </w:rPr>
            </w:pPr>
            <w:r w:rsidRPr="00653BF4">
              <w:rPr>
                <w:rFonts w:ascii="Aptos" w:eastAsia="Aptos" w:hAnsi="Aptos" w:cs="Aptos"/>
                <w:sz w:val="20"/>
                <w:szCs w:val="20"/>
                <w:lang w:val="fr-FR"/>
              </w:rPr>
              <w:t>L</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 xml:space="preserve">initiative </w:t>
            </w:r>
            <w:r w:rsidR="00E34DC9">
              <w:rPr>
                <w:rFonts w:ascii="Aptos" w:eastAsia="Aptos" w:hAnsi="Aptos" w:cs="Aptos"/>
                <w:sz w:val="20"/>
                <w:szCs w:val="20"/>
                <w:lang w:val="fr-FR"/>
              </w:rPr>
              <w:t>« </w:t>
            </w:r>
            <w:r w:rsidRPr="00653BF4">
              <w:rPr>
                <w:rFonts w:ascii="Aptos" w:eastAsia="Aptos" w:hAnsi="Aptos" w:cs="Aptos"/>
                <w:sz w:val="20"/>
                <w:szCs w:val="20"/>
                <w:lang w:val="fr-FR"/>
              </w:rPr>
              <w:t>Restauration des paysages forestiers</w:t>
            </w:r>
            <w:r w:rsidR="00E34DC9">
              <w:rPr>
                <w:rFonts w:ascii="Aptos" w:eastAsia="Aptos" w:hAnsi="Aptos" w:cs="Aptos"/>
                <w:sz w:val="20"/>
                <w:szCs w:val="20"/>
                <w:lang w:val="fr-FR"/>
              </w:rPr>
              <w:t> »</w:t>
            </w:r>
            <w:r w:rsidRPr="00653BF4">
              <w:rPr>
                <w:rFonts w:ascii="Aptos" w:eastAsia="Aptos" w:hAnsi="Aptos" w:cs="Aptos"/>
                <w:sz w:val="20"/>
                <w:szCs w:val="20"/>
                <w:lang w:val="fr-FR"/>
              </w:rPr>
              <w:t xml:space="preserve"> du Fonds mondial pour la nature (WWF) est un engagement multinational visant à réaliser la remise en état de 13,5 millions d</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hectares de paysages dégradés et déboisés d</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ici à 2030 dans neuf pays africains</w:t>
            </w:r>
            <w:r w:rsidR="00E34DC9">
              <w:rPr>
                <w:rFonts w:ascii="Aptos" w:eastAsia="Aptos" w:hAnsi="Aptos" w:cs="Aptos"/>
                <w:sz w:val="20"/>
                <w:szCs w:val="20"/>
                <w:lang w:val="fr-FR"/>
              </w:rPr>
              <w:t> :</w:t>
            </w:r>
            <w:r w:rsidRPr="00653BF4">
              <w:rPr>
                <w:rFonts w:ascii="Aptos" w:eastAsia="Aptos" w:hAnsi="Aptos" w:cs="Aptos"/>
                <w:sz w:val="20"/>
                <w:szCs w:val="20"/>
                <w:lang w:val="fr-FR"/>
              </w:rPr>
              <w:t xml:space="preserve"> le Cameroun</w:t>
            </w:r>
            <w:r w:rsidR="000E6437">
              <w:rPr>
                <w:rFonts w:ascii="Aptos" w:eastAsia="Aptos" w:hAnsi="Aptos" w:cs="Aptos"/>
                <w:sz w:val="20"/>
                <w:szCs w:val="20"/>
                <w:lang w:val="fr-FR"/>
              </w:rPr>
              <w:t xml:space="preserve">, </w:t>
            </w:r>
            <w:r w:rsidRPr="00653BF4">
              <w:rPr>
                <w:rFonts w:ascii="Aptos" w:eastAsia="Aptos" w:hAnsi="Aptos" w:cs="Aptos"/>
                <w:sz w:val="20"/>
                <w:szCs w:val="20"/>
                <w:lang w:val="fr-FR"/>
              </w:rPr>
              <w:t>le Kenya, Madagascar, le Mozambique, l</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 xml:space="preserve">Ouganda, </w:t>
            </w:r>
            <w:r w:rsidR="000E6437" w:rsidRPr="000E6437">
              <w:rPr>
                <w:rFonts w:ascii="Aptos" w:eastAsia="Aptos" w:hAnsi="Aptos" w:cs="Aptos"/>
                <w:sz w:val="20"/>
                <w:szCs w:val="20"/>
                <w:lang w:val="fr-FR"/>
              </w:rPr>
              <w:t xml:space="preserve">la République démocratique du Congo, </w:t>
            </w:r>
            <w:r w:rsidRPr="00653BF4">
              <w:rPr>
                <w:rFonts w:ascii="Aptos" w:eastAsia="Aptos" w:hAnsi="Aptos" w:cs="Aptos"/>
                <w:sz w:val="20"/>
                <w:szCs w:val="20"/>
                <w:lang w:val="fr-FR"/>
              </w:rPr>
              <w:t>la République-Unie de Tanzanie, la Zambie et le Zimbabwe. Lancée en octobre 2021, cette initiative s</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articule autour de trois piliers stratégiques</w:t>
            </w:r>
            <w:r w:rsidR="00E34DC9">
              <w:rPr>
                <w:rFonts w:ascii="Aptos" w:eastAsia="Aptos" w:hAnsi="Aptos" w:cs="Aptos"/>
                <w:sz w:val="20"/>
                <w:szCs w:val="20"/>
                <w:lang w:val="fr-FR"/>
              </w:rPr>
              <w:t> :</w:t>
            </w:r>
            <w:r w:rsidRPr="00653BF4">
              <w:rPr>
                <w:rFonts w:ascii="Aptos" w:eastAsia="Aptos" w:hAnsi="Aptos" w:cs="Aptos"/>
                <w:sz w:val="20"/>
                <w:szCs w:val="20"/>
                <w:lang w:val="fr-FR"/>
              </w:rPr>
              <w:t xml:space="preserve"> les politiques, la gouvernance et la réforme institutionnelle</w:t>
            </w:r>
            <w:r w:rsidR="00E34DC9">
              <w:rPr>
                <w:rFonts w:ascii="Aptos" w:eastAsia="Aptos" w:hAnsi="Aptos" w:cs="Aptos"/>
                <w:sz w:val="20"/>
                <w:szCs w:val="20"/>
                <w:lang w:val="fr-FR"/>
              </w:rPr>
              <w:t> ;</w:t>
            </w:r>
            <w:r w:rsidRPr="00653BF4">
              <w:rPr>
                <w:rFonts w:ascii="Aptos" w:eastAsia="Aptos" w:hAnsi="Aptos" w:cs="Aptos"/>
                <w:sz w:val="20"/>
                <w:szCs w:val="20"/>
                <w:lang w:val="fr-FR"/>
              </w:rPr>
              <w:t xml:space="preserve"> le financement et les mécanismes de marché</w:t>
            </w:r>
            <w:r w:rsidR="00E34DC9">
              <w:rPr>
                <w:rFonts w:ascii="Aptos" w:eastAsia="Aptos" w:hAnsi="Aptos" w:cs="Aptos"/>
                <w:sz w:val="20"/>
                <w:szCs w:val="20"/>
                <w:lang w:val="fr-FR"/>
              </w:rPr>
              <w:t> ;</w:t>
            </w:r>
            <w:r w:rsidRPr="00653BF4">
              <w:rPr>
                <w:rFonts w:ascii="Aptos" w:eastAsia="Aptos" w:hAnsi="Aptos" w:cs="Aptos"/>
                <w:sz w:val="20"/>
                <w:szCs w:val="20"/>
                <w:lang w:val="fr-FR"/>
              </w:rPr>
              <w:t xml:space="preserve"> ainsi que la mise en œuvre transformatrice sur le terrain. En 2025, environ 3 millions d</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hectares faisaient déjà l</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objet d</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une remise en état effective. L</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initiative met en place des filières d</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investissement, mobilise des financements publics et privés, notamment par le biais de partenariats avec la Banque africaine de développement, la FAO et le PNUE, et favorise la mise en place de chaînes de valeur favorables à la remise en état dans les secteurs du bambou, du miel, du bois durable et des épices écologiques. Des systèmes de suivi numériques permettent de suivre la régénération des écosystèmes en temps réel. Dotée d</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un budget de base de 38 millions de $US et d</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un secrétariat hébergé par le WWF Tanzanie, l</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initiative considère l</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égalité entre les genres, les moyens de subsistance des communautés et les droits fonciers des peuples autochtones comme des piliers non négociables d</w:t>
            </w:r>
            <w:r w:rsidR="002A58C8" w:rsidRPr="00653BF4">
              <w:rPr>
                <w:rFonts w:ascii="Aptos" w:eastAsia="Aptos" w:hAnsi="Aptos" w:cs="Aptos"/>
                <w:sz w:val="20"/>
                <w:szCs w:val="20"/>
                <w:lang w:val="fr-FR"/>
              </w:rPr>
              <w:t>’</w:t>
            </w:r>
            <w:r w:rsidRPr="00653BF4">
              <w:rPr>
                <w:rFonts w:ascii="Aptos" w:eastAsia="Aptos" w:hAnsi="Aptos" w:cs="Aptos"/>
                <w:sz w:val="20"/>
                <w:szCs w:val="20"/>
                <w:lang w:val="fr-FR"/>
              </w:rPr>
              <w:t>un impact durable en matière de remise en état.</w:t>
            </w:r>
          </w:p>
          <w:p w14:paraId="0A288D3A" w14:textId="77777777" w:rsidR="003F1036" w:rsidRPr="00653BF4" w:rsidRDefault="003F1036" w:rsidP="003278C4">
            <w:pPr>
              <w:spacing w:after="320"/>
              <w:jc w:val="both"/>
              <w:rPr>
                <w:i/>
                <w:sz w:val="20"/>
                <w:szCs w:val="20"/>
                <w:lang w:val="fr-FR"/>
              </w:rPr>
            </w:pPr>
          </w:p>
          <w:p w14:paraId="39827043" w14:textId="7ADAD88A" w:rsidR="00E56393" w:rsidRPr="00653BF4" w:rsidRDefault="00904C13" w:rsidP="003278C4">
            <w:pPr>
              <w:spacing w:after="320"/>
              <w:jc w:val="both"/>
              <w:rPr>
                <w:i/>
                <w:sz w:val="20"/>
                <w:szCs w:val="20"/>
                <w:lang w:val="fr-FR"/>
              </w:rPr>
            </w:pPr>
            <w:r w:rsidRPr="00653BF4">
              <w:rPr>
                <w:i/>
                <w:sz w:val="20"/>
                <w:szCs w:val="20"/>
                <w:lang w:val="fr-FR"/>
              </w:rPr>
              <w:t>C</w:t>
            </w:r>
            <w:r w:rsidR="001345EC" w:rsidRPr="00653BF4">
              <w:rPr>
                <w:i/>
                <w:sz w:val="20"/>
                <w:szCs w:val="20"/>
                <w:lang w:val="fr-FR"/>
              </w:rPr>
              <w:t>ibles concernées</w:t>
            </w:r>
            <w:r w:rsidR="00E34DC9">
              <w:rPr>
                <w:i/>
                <w:sz w:val="20"/>
                <w:szCs w:val="20"/>
                <w:lang w:val="fr-FR"/>
              </w:rPr>
              <w:t> :</w:t>
            </w:r>
            <w:r w:rsidR="00E56393" w:rsidRPr="00653BF4">
              <w:rPr>
                <w:i/>
                <w:sz w:val="20"/>
                <w:szCs w:val="20"/>
                <w:lang w:val="fr-FR"/>
              </w:rPr>
              <w:t xml:space="preserve"> </w:t>
            </w:r>
            <w:r w:rsidR="0053524F" w:rsidRPr="00653BF4">
              <w:rPr>
                <w:sz w:val="20"/>
                <w:szCs w:val="20"/>
                <w:lang w:val="fr-FR"/>
              </w:rPr>
              <w:t xml:space="preserve">2, </w:t>
            </w:r>
            <w:r w:rsidR="001A37B8" w:rsidRPr="00653BF4">
              <w:rPr>
                <w:sz w:val="20"/>
                <w:szCs w:val="20"/>
                <w:lang w:val="fr-FR"/>
              </w:rPr>
              <w:t>9, 14, 19, 22</w:t>
            </w:r>
            <w:r w:rsidR="006A78E6" w:rsidRPr="00653BF4">
              <w:rPr>
                <w:sz w:val="20"/>
                <w:szCs w:val="20"/>
                <w:lang w:val="fr-FR"/>
              </w:rPr>
              <w:t xml:space="preserve"> </w:t>
            </w:r>
            <w:r w:rsidR="005B3C49" w:rsidRPr="00653BF4">
              <w:rPr>
                <w:sz w:val="20"/>
                <w:szCs w:val="20"/>
                <w:lang w:val="fr-FR"/>
              </w:rPr>
              <w:t xml:space="preserve">et </w:t>
            </w:r>
            <w:r w:rsidR="001A37B8" w:rsidRPr="00653BF4">
              <w:rPr>
                <w:sz w:val="20"/>
                <w:szCs w:val="20"/>
                <w:lang w:val="fr-FR"/>
              </w:rPr>
              <w:t>23</w:t>
            </w:r>
            <w:r w:rsidR="001071A1" w:rsidRPr="00653BF4">
              <w:rPr>
                <w:sz w:val="20"/>
                <w:szCs w:val="20"/>
                <w:lang w:val="fr-FR"/>
              </w:rPr>
              <w:t>.</w:t>
            </w:r>
          </w:p>
          <w:p w14:paraId="0EB9F1BC" w14:textId="24CBEA8C" w:rsidR="001A37B8" w:rsidRPr="00653BF4" w:rsidRDefault="799E27C9" w:rsidP="6A186FBE">
            <w:pPr>
              <w:spacing w:after="320"/>
              <w:rPr>
                <w:i/>
                <w:iCs/>
                <w:lang w:val="fr-FR"/>
              </w:rPr>
            </w:pPr>
            <w:r w:rsidRPr="00653BF4">
              <w:rPr>
                <w:i/>
                <w:iCs/>
                <w:sz w:val="20"/>
                <w:szCs w:val="20"/>
                <w:lang w:val="fr-FR"/>
              </w:rPr>
              <w:t>Source</w:t>
            </w:r>
            <w:r w:rsidR="00E34DC9">
              <w:rPr>
                <w:i/>
                <w:iCs/>
                <w:sz w:val="20"/>
                <w:szCs w:val="20"/>
                <w:lang w:val="fr-FR"/>
              </w:rPr>
              <w:t> :</w:t>
            </w:r>
            <w:r w:rsidRPr="00653BF4">
              <w:rPr>
                <w:i/>
                <w:iCs/>
                <w:sz w:val="22"/>
                <w:szCs w:val="22"/>
                <w:lang w:val="fr-FR"/>
              </w:rPr>
              <w:t xml:space="preserve"> </w:t>
            </w:r>
            <w:r w:rsidR="005B3C49" w:rsidRPr="00653BF4">
              <w:rPr>
                <w:sz w:val="20"/>
                <w:szCs w:val="20"/>
                <w:lang w:val="fr-FR"/>
              </w:rPr>
              <w:t xml:space="preserve">Engagement </w:t>
            </w:r>
            <w:r w:rsidR="00C02F0B" w:rsidRPr="00653BF4">
              <w:rPr>
                <w:sz w:val="20"/>
                <w:szCs w:val="20"/>
                <w:lang w:val="fr-FR"/>
              </w:rPr>
              <w:t xml:space="preserve">du </w:t>
            </w:r>
            <w:r w:rsidR="0874F1B0" w:rsidRPr="00653BF4">
              <w:rPr>
                <w:sz w:val="20"/>
                <w:szCs w:val="20"/>
                <w:lang w:val="fr-FR"/>
              </w:rPr>
              <w:t xml:space="preserve">WWF </w:t>
            </w:r>
            <w:r w:rsidR="00C02F0B" w:rsidRPr="00653BF4">
              <w:rPr>
                <w:sz w:val="20"/>
                <w:szCs w:val="20"/>
                <w:lang w:val="fr-FR"/>
              </w:rPr>
              <w:t xml:space="preserve">en tant que partie prenante, </w:t>
            </w:r>
            <w:r w:rsidR="003E6A8A" w:rsidRPr="00653BF4">
              <w:rPr>
                <w:sz w:val="20"/>
                <w:szCs w:val="20"/>
                <w:lang w:val="fr-FR"/>
              </w:rPr>
              <w:t>tel qu</w:t>
            </w:r>
            <w:r w:rsidR="002A58C8" w:rsidRPr="00653BF4">
              <w:rPr>
                <w:sz w:val="20"/>
                <w:szCs w:val="20"/>
                <w:lang w:val="fr-FR"/>
              </w:rPr>
              <w:t>’</w:t>
            </w:r>
            <w:r w:rsidR="00797EF7" w:rsidRPr="00653BF4">
              <w:rPr>
                <w:sz w:val="20"/>
                <w:szCs w:val="20"/>
                <w:lang w:val="fr-FR"/>
              </w:rPr>
              <w:t>il a été</w:t>
            </w:r>
            <w:r w:rsidR="003E6A8A" w:rsidRPr="00653BF4">
              <w:rPr>
                <w:sz w:val="20"/>
                <w:szCs w:val="20"/>
                <w:lang w:val="fr-FR"/>
              </w:rPr>
              <w:t xml:space="preserve"> rapporté via l</w:t>
            </w:r>
            <w:r w:rsidR="002A58C8" w:rsidRPr="00653BF4">
              <w:rPr>
                <w:sz w:val="20"/>
                <w:szCs w:val="20"/>
                <w:lang w:val="fr-FR"/>
              </w:rPr>
              <w:t>’</w:t>
            </w:r>
            <w:r w:rsidR="003E6A8A" w:rsidRPr="00653BF4">
              <w:rPr>
                <w:sz w:val="20"/>
                <w:szCs w:val="20"/>
                <w:lang w:val="fr-FR"/>
              </w:rPr>
              <w:t>outil d</w:t>
            </w:r>
            <w:r w:rsidR="002A58C8" w:rsidRPr="00653BF4">
              <w:rPr>
                <w:sz w:val="20"/>
                <w:szCs w:val="20"/>
                <w:lang w:val="fr-FR"/>
              </w:rPr>
              <w:t>’</w:t>
            </w:r>
            <w:r w:rsidR="003E6A8A" w:rsidRPr="00653BF4">
              <w:rPr>
                <w:sz w:val="20"/>
                <w:szCs w:val="20"/>
                <w:lang w:val="fr-FR"/>
              </w:rPr>
              <w:t>établissement de rapports en ligne de la Convention (disponible à l</w:t>
            </w:r>
            <w:r w:rsidR="002A58C8" w:rsidRPr="00653BF4">
              <w:rPr>
                <w:sz w:val="20"/>
                <w:szCs w:val="20"/>
                <w:lang w:val="fr-FR"/>
              </w:rPr>
              <w:t>’</w:t>
            </w:r>
            <w:r w:rsidR="003E6A8A" w:rsidRPr="00653BF4">
              <w:rPr>
                <w:sz w:val="20"/>
                <w:szCs w:val="20"/>
                <w:lang w:val="fr-FR"/>
              </w:rPr>
              <w:t xml:space="preserve">adresse </w:t>
            </w:r>
            <w:hyperlink r:id="rId62">
              <w:r w:rsidR="0874F1B0" w:rsidRPr="00653BF4">
                <w:rPr>
                  <w:rStyle w:val="Hyperlink"/>
                  <w:sz w:val="20"/>
                  <w:szCs w:val="20"/>
                  <w:lang w:val="fr-FR"/>
                </w:rPr>
                <w:t>https://ort.cbd.int/database/293975</w:t>
              </w:r>
            </w:hyperlink>
            <w:r w:rsidR="0874F1B0" w:rsidRPr="00653BF4">
              <w:rPr>
                <w:sz w:val="20"/>
                <w:szCs w:val="20"/>
                <w:lang w:val="fr-FR"/>
              </w:rPr>
              <w:t>).</w:t>
            </w:r>
          </w:p>
        </w:tc>
      </w:tr>
    </w:tbl>
    <w:p w14:paraId="60829A13" w14:textId="149BF202" w:rsidR="00A1537A" w:rsidRPr="00653BF4" w:rsidRDefault="00A1537A" w:rsidP="00A1537A">
      <w:pPr>
        <w:rPr>
          <w:lang w:val="fr-FR"/>
        </w:rPr>
      </w:pPr>
    </w:p>
    <w:p w14:paraId="1BF2B2F3" w14:textId="630534B9" w:rsidR="00A1537A" w:rsidRPr="00653BF4" w:rsidRDefault="005F09ED" w:rsidP="00A1537A">
      <w:pPr>
        <w:pStyle w:val="Heading6"/>
        <w:rPr>
          <w:lang w:val="fr-FR"/>
        </w:rPr>
      </w:pPr>
      <w:r w:rsidRPr="00653BF4">
        <w:rPr>
          <w:lang w:val="fr-FR"/>
        </w:rPr>
        <w:t>Contributions intégrées dans les rapports nationaux</w:t>
      </w:r>
    </w:p>
    <w:p w14:paraId="698390F0" w14:textId="77777777" w:rsidR="003F062D" w:rsidRPr="00653BF4" w:rsidRDefault="003F062D" w:rsidP="003F062D">
      <w:pPr>
        <w:rPr>
          <w:lang w:val="fr-FR"/>
        </w:rPr>
      </w:pPr>
    </w:p>
    <w:p w14:paraId="5921363C" w14:textId="503FD0F1" w:rsidR="00F168E8" w:rsidRPr="00653BF4" w:rsidRDefault="00F8004C" w:rsidP="00F168E8">
      <w:pPr>
        <w:rPr>
          <w:lang w:val="fr-FR"/>
        </w:rPr>
      </w:pPr>
      <w:r w:rsidRPr="00653BF4">
        <w:rPr>
          <w:lang w:val="fr-FR"/>
        </w:rPr>
        <w:t xml:space="preserve">Le rôle des acteurs autres que les gouvernements nationaux le plus souvent mentionné dans les rapports nationaux concernant </w:t>
      </w:r>
      <w:r w:rsidR="0092484B">
        <w:rPr>
          <w:lang w:val="fr-FR"/>
        </w:rPr>
        <w:t xml:space="preserve">la </w:t>
      </w:r>
      <w:r w:rsidR="00E34DC9">
        <w:rPr>
          <w:lang w:val="fr-FR"/>
        </w:rPr>
        <w:t>cible 2</w:t>
      </w:r>
      <w:r w:rsidRPr="00653BF4">
        <w:rPr>
          <w:lang w:val="fr-FR"/>
        </w:rPr>
        <w:t xml:space="preserve"> concerne le financement et le cofinancement des projets de remise en état des écosystèmes. Les partenaires internationaux tels que le FEM, le Fonds vert pour le climat et la Banque mondiale, ainsi que, dans une moindre mesure, les acteurs du secteur privé, sont les plus fréquemment cités comme sources de financement externe pour les programmes de remise en état. Plusieurs Parties indiquent que le cofinancement international constitue la condition préalable à la mise en œuvre de la remise en état à grande échelle. En ce qui concerne la mise en œuvre directe des programmes de remise en état, de nombreux rapports reconnaissent les contributions des ONG, des collectivités </w:t>
      </w:r>
      <w:r w:rsidR="006E17BF" w:rsidRPr="00653BF4">
        <w:rPr>
          <w:lang w:val="fr-FR"/>
        </w:rPr>
        <w:t>infranationales</w:t>
      </w:r>
      <w:r w:rsidRPr="00653BF4">
        <w:rPr>
          <w:lang w:val="fr-FR"/>
        </w:rPr>
        <w:t>, des peuples autochtones et communautés locales, des groupes communautaires ainsi que des acteurs sectoriels tels que les groupes communautaires de pêcheurs et d</w:t>
      </w:r>
      <w:r w:rsidR="002A58C8" w:rsidRPr="00653BF4">
        <w:rPr>
          <w:lang w:val="fr-FR"/>
        </w:rPr>
        <w:t>’</w:t>
      </w:r>
      <w:r w:rsidRPr="00653BF4">
        <w:rPr>
          <w:lang w:val="fr-FR"/>
        </w:rPr>
        <w:t xml:space="preserve">usagers de la </w:t>
      </w:r>
      <w:r w:rsidRPr="00653BF4">
        <w:rPr>
          <w:lang w:val="fr-FR"/>
        </w:rPr>
        <w:lastRenderedPageBreak/>
        <w:t>forêt. Les acteurs du secteur privé sont, dans une moindre mesure, cités comme responsables de la mise en œuvre d</w:t>
      </w:r>
      <w:r w:rsidR="002A58C8" w:rsidRPr="00653BF4">
        <w:rPr>
          <w:lang w:val="fr-FR"/>
        </w:rPr>
        <w:t>’</w:t>
      </w:r>
      <w:r w:rsidRPr="00653BF4">
        <w:rPr>
          <w:lang w:val="fr-FR"/>
        </w:rPr>
        <w:t>activités telles que la plantation, la remise en état des habitats et l</w:t>
      </w:r>
      <w:r w:rsidR="002A58C8" w:rsidRPr="00653BF4">
        <w:rPr>
          <w:lang w:val="fr-FR"/>
        </w:rPr>
        <w:t>’</w:t>
      </w:r>
      <w:r w:rsidRPr="00653BF4">
        <w:rPr>
          <w:lang w:val="fr-FR"/>
        </w:rPr>
        <w:t>élimination des espèces exotiques envahissantes. La communauté scientifique et le monde universitaire, ainsi que les partenaires internationaux et les ONG, sont largement cités pour leur contribution en matière d</w:t>
      </w:r>
      <w:r w:rsidR="002A58C8" w:rsidRPr="00653BF4">
        <w:rPr>
          <w:lang w:val="fr-FR"/>
        </w:rPr>
        <w:t>’</w:t>
      </w:r>
      <w:r w:rsidRPr="00653BF4">
        <w:rPr>
          <w:lang w:val="fr-FR"/>
        </w:rPr>
        <w:t>assistance technique, de partage des connaissances et d</w:t>
      </w:r>
      <w:r w:rsidR="002A58C8" w:rsidRPr="00653BF4">
        <w:rPr>
          <w:lang w:val="fr-FR"/>
        </w:rPr>
        <w:t>’</w:t>
      </w:r>
      <w:r w:rsidRPr="00653BF4">
        <w:rPr>
          <w:lang w:val="fr-FR"/>
        </w:rPr>
        <w:t>établissement de normes en matière de remise en état.</w:t>
      </w:r>
    </w:p>
    <w:p w14:paraId="1A955EED" w14:textId="77777777" w:rsidR="00287FBD" w:rsidRPr="00653BF4" w:rsidRDefault="00287FBD" w:rsidP="00FC7784">
      <w:pPr>
        <w:rPr>
          <w:lang w:val="fr-FR"/>
        </w:rPr>
      </w:pPr>
    </w:p>
    <w:p w14:paraId="2514728A" w14:textId="43D59531" w:rsidR="00C63700" w:rsidRPr="00653BF4" w:rsidRDefault="008A58ED" w:rsidP="00C63700">
      <w:pPr>
        <w:pStyle w:val="Heading5"/>
        <w:rPr>
          <w:lang w:val="fr-FR"/>
        </w:rPr>
      </w:pPr>
      <w:r w:rsidRPr="00653BF4">
        <w:rPr>
          <w:lang w:val="fr-FR"/>
        </w:rPr>
        <w:t>Exemples de liens avec d</w:t>
      </w:r>
      <w:r w:rsidR="002A58C8" w:rsidRPr="00653BF4">
        <w:rPr>
          <w:lang w:val="fr-FR"/>
        </w:rPr>
        <w:t>’</w:t>
      </w:r>
      <w:r w:rsidRPr="00653BF4">
        <w:rPr>
          <w:lang w:val="fr-FR"/>
        </w:rPr>
        <w:t>autres accords, organisations et processus</w:t>
      </w:r>
    </w:p>
    <w:p w14:paraId="489FA803" w14:textId="77777777" w:rsidR="00F168E8" w:rsidRPr="00653BF4" w:rsidRDefault="00F168E8" w:rsidP="00F168E8">
      <w:pPr>
        <w:rPr>
          <w:lang w:val="fr-FR"/>
        </w:rPr>
      </w:pPr>
    </w:p>
    <w:p w14:paraId="5232AEAB" w14:textId="1230B6DC" w:rsidR="0018279A" w:rsidRPr="00653BF4" w:rsidRDefault="00380D2B" w:rsidP="0018279A">
      <w:pPr>
        <w:rPr>
          <w:lang w:val="fr-FR"/>
        </w:rPr>
      </w:pPr>
      <w:r w:rsidRPr="00653BF4">
        <w:rPr>
          <w:lang w:val="fr-FR"/>
        </w:rPr>
        <w:t>La Décennie des Nations Unies pour la remise en état des écosystèmes (2021-2030) est le fruit d</w:t>
      </w:r>
      <w:r w:rsidR="002A58C8" w:rsidRPr="00653BF4">
        <w:rPr>
          <w:lang w:val="fr-FR"/>
        </w:rPr>
        <w:t>’</w:t>
      </w:r>
      <w:r w:rsidRPr="00653BF4">
        <w:rPr>
          <w:lang w:val="fr-FR"/>
        </w:rPr>
        <w:t>une collaboration entre plusieurs organisations des Nations Unies et accords multilatéraux sur l</w:t>
      </w:r>
      <w:r w:rsidR="002A58C8" w:rsidRPr="00653BF4">
        <w:rPr>
          <w:lang w:val="fr-FR"/>
        </w:rPr>
        <w:t>’</w:t>
      </w:r>
      <w:r w:rsidRPr="00653BF4">
        <w:rPr>
          <w:lang w:val="fr-FR"/>
        </w:rPr>
        <w:t>environnement, sous l</w:t>
      </w:r>
      <w:r w:rsidR="002A58C8" w:rsidRPr="00653BF4">
        <w:rPr>
          <w:lang w:val="fr-FR"/>
        </w:rPr>
        <w:t>’</w:t>
      </w:r>
      <w:r w:rsidRPr="00653BF4">
        <w:rPr>
          <w:lang w:val="fr-FR"/>
        </w:rPr>
        <w:t>égide du PNUE et de la FAO, et avec la participation des trois conventions de Rio (Convention sur la diversité biologique, Convention-cadre des Nations Unies sur les changements climatiques (CCNUCC) et Convention des Nations Unies sur la lutte contre la désertification (CNULD))</w:t>
      </w:r>
      <w:r w:rsidR="00227F93" w:rsidRPr="00653BF4">
        <w:rPr>
          <w:rStyle w:val="FootnoteReference"/>
          <w:lang w:val="fr-FR"/>
        </w:rPr>
        <w:footnoteReference w:id="15"/>
      </w:r>
      <w:r w:rsidRPr="00653BF4">
        <w:rPr>
          <w:lang w:val="fr-FR"/>
        </w:rPr>
        <w:t>.</w:t>
      </w:r>
      <w:r w:rsidR="00B93798" w:rsidRPr="00653BF4">
        <w:rPr>
          <w:lang w:val="fr-FR"/>
        </w:rPr>
        <w:t xml:space="preserve"> </w:t>
      </w:r>
      <w:r w:rsidR="003A248B" w:rsidRPr="00653BF4">
        <w:rPr>
          <w:lang w:val="fr-FR"/>
        </w:rPr>
        <w:t>Cette initiative vise à renforcer et à soutenir les engagements existants ainsi que la mise en œuvre des conventions de Rio et des Objectifs de développement durable, grâce à la création d</w:t>
      </w:r>
      <w:r w:rsidR="002A58C8" w:rsidRPr="00653BF4">
        <w:rPr>
          <w:lang w:val="fr-FR"/>
        </w:rPr>
        <w:t>’</w:t>
      </w:r>
      <w:r w:rsidR="003A248B" w:rsidRPr="00653BF4">
        <w:rPr>
          <w:lang w:val="fr-FR"/>
        </w:rPr>
        <w:t>un mouvement mondial, à la mobilisation d</w:t>
      </w:r>
      <w:r w:rsidR="002A58C8" w:rsidRPr="00653BF4">
        <w:rPr>
          <w:lang w:val="fr-FR"/>
        </w:rPr>
        <w:t>’</w:t>
      </w:r>
      <w:r w:rsidR="003A248B" w:rsidRPr="00653BF4">
        <w:rPr>
          <w:lang w:val="fr-FR"/>
        </w:rPr>
        <w:t>un appui politique et au renforcement des capacités. Le groupe de travail chargé du suivi de la Décennie des Nations Unies pour la remise en état des écosystèmes (2021-2030), dirigé par la FAO, a élaboré le Cadre de suivi de la remise en état des écosystèmes (FERM)</w:t>
      </w:r>
      <w:r w:rsidR="00F849D0" w:rsidRPr="00653BF4">
        <w:rPr>
          <w:rStyle w:val="FootnoteReference"/>
          <w:lang w:val="fr-FR"/>
        </w:rPr>
        <w:footnoteReference w:id="16"/>
      </w:r>
      <w:r w:rsidR="00335469" w:rsidRPr="00653BF4">
        <w:rPr>
          <w:lang w:val="fr-FR"/>
        </w:rPr>
        <w:t xml:space="preserve"> </w:t>
      </w:r>
      <w:r w:rsidR="00227F93" w:rsidRPr="00653BF4">
        <w:rPr>
          <w:lang w:val="fr-FR"/>
        </w:rPr>
        <w:t>(</w:t>
      </w:r>
      <w:r w:rsidR="00EC044B" w:rsidRPr="00653BF4">
        <w:rPr>
          <w:lang w:val="fr-FR"/>
        </w:rPr>
        <w:t xml:space="preserve">(voir également la section ci-dessus consacrée aux indicateurs de la </w:t>
      </w:r>
      <w:r w:rsidR="00E34DC9">
        <w:rPr>
          <w:lang w:val="fr-FR"/>
        </w:rPr>
        <w:t>cible 2</w:t>
      </w:r>
      <w:r w:rsidR="00EC044B" w:rsidRPr="00653BF4">
        <w:rPr>
          <w:lang w:val="fr-FR"/>
        </w:rPr>
        <w:t>) afin d</w:t>
      </w:r>
      <w:r w:rsidR="002A58C8" w:rsidRPr="00653BF4">
        <w:rPr>
          <w:lang w:val="fr-FR"/>
        </w:rPr>
        <w:t>’</w:t>
      </w:r>
      <w:r w:rsidR="00EC044B" w:rsidRPr="00653BF4">
        <w:rPr>
          <w:lang w:val="fr-FR"/>
        </w:rPr>
        <w:t>assurer un suivi et une communication transparents des progrès réalisés en matière de remise en état tout au long de la Décennie des Nations Unies (FAO, 2025a, 2025b</w:t>
      </w:r>
      <w:r w:rsidR="00E34DC9">
        <w:rPr>
          <w:lang w:val="fr-FR"/>
        </w:rPr>
        <w:t> ;</w:t>
      </w:r>
      <w:r w:rsidR="00EC044B" w:rsidRPr="00653BF4">
        <w:rPr>
          <w:lang w:val="fr-FR"/>
        </w:rPr>
        <w:t xml:space="preserve"> et PNUE, 2025a)</w:t>
      </w:r>
      <w:r w:rsidR="002603DA" w:rsidRPr="00653BF4">
        <w:rPr>
          <w:lang w:val="fr-FR"/>
        </w:rPr>
        <w:t>.</w:t>
      </w:r>
    </w:p>
    <w:p w14:paraId="192A211C" w14:textId="7206BBE1" w:rsidR="00EF7348" w:rsidRPr="00653BF4" w:rsidRDefault="004B477A" w:rsidP="00EF7348">
      <w:pPr>
        <w:rPr>
          <w:lang w:val="fr-FR"/>
        </w:rPr>
      </w:pPr>
      <w:r w:rsidRPr="00653BF4">
        <w:rPr>
          <w:lang w:val="fr-FR"/>
        </w:rPr>
        <w:t xml:space="preserve">Le </w:t>
      </w:r>
      <w:r w:rsidR="002C36D5" w:rsidRPr="00653BF4">
        <w:rPr>
          <w:lang w:val="fr-FR"/>
        </w:rPr>
        <w:t>secrétariat</w:t>
      </w:r>
      <w:r w:rsidRPr="00653BF4">
        <w:rPr>
          <w:lang w:val="fr-FR"/>
        </w:rPr>
        <w:t xml:space="preserve"> de la CNULCD assure la gestion de l</w:t>
      </w:r>
      <w:r w:rsidR="002A58C8" w:rsidRPr="00653BF4">
        <w:rPr>
          <w:lang w:val="fr-FR"/>
        </w:rPr>
        <w:t>’</w:t>
      </w:r>
      <w:r w:rsidRPr="00653BF4">
        <w:rPr>
          <w:lang w:val="fr-FR"/>
        </w:rPr>
        <w:t xml:space="preserve">indicateur 15.3.1 des Objectifs de développement durable (proportion de terres dégradées par rapport à la superficie totale des terres), qui constitue également un indicateur de composante de la </w:t>
      </w:r>
      <w:r w:rsidR="00E34DC9">
        <w:rPr>
          <w:lang w:val="fr-FR"/>
        </w:rPr>
        <w:t>cible 2</w:t>
      </w:r>
      <w:r w:rsidRPr="00653BF4">
        <w:rPr>
          <w:lang w:val="fr-FR"/>
        </w:rPr>
        <w:t xml:space="preserve">. Il fournit une expertise technique pour la planification, la mise en œuvre et le suivi des engagements relatifs aux écosystèmes pris au titre de la </w:t>
      </w:r>
      <w:r w:rsidR="00E34DC9">
        <w:rPr>
          <w:lang w:val="fr-FR"/>
        </w:rPr>
        <w:t>cible 2</w:t>
      </w:r>
      <w:r w:rsidRPr="00653BF4">
        <w:rPr>
          <w:lang w:val="fr-FR"/>
        </w:rPr>
        <w:t xml:space="preserve"> et contribue à faire progresser l</w:t>
      </w:r>
      <w:r w:rsidR="002A58C8" w:rsidRPr="00653BF4">
        <w:rPr>
          <w:lang w:val="fr-FR"/>
        </w:rPr>
        <w:t>’</w:t>
      </w:r>
      <w:r w:rsidRPr="00653BF4">
        <w:rPr>
          <w:lang w:val="fr-FR"/>
        </w:rPr>
        <w:t>échange de données, l</w:t>
      </w:r>
      <w:r w:rsidR="002A58C8" w:rsidRPr="00653BF4">
        <w:rPr>
          <w:lang w:val="fr-FR"/>
        </w:rPr>
        <w:t>’</w:t>
      </w:r>
      <w:r w:rsidRPr="00653BF4">
        <w:rPr>
          <w:lang w:val="fr-FR"/>
        </w:rPr>
        <w:t>interopérabilité des outils et les efforts conjoints de renforcement des capacités afin d</w:t>
      </w:r>
      <w:r w:rsidR="002A58C8" w:rsidRPr="00653BF4">
        <w:rPr>
          <w:lang w:val="fr-FR"/>
        </w:rPr>
        <w:t>’</w:t>
      </w:r>
      <w:r w:rsidRPr="00653BF4">
        <w:rPr>
          <w:lang w:val="fr-FR"/>
        </w:rPr>
        <w:t>améliorer le suivi et l</w:t>
      </w:r>
      <w:r w:rsidR="002A58C8" w:rsidRPr="00653BF4">
        <w:rPr>
          <w:lang w:val="fr-FR"/>
        </w:rPr>
        <w:t>’</w:t>
      </w:r>
      <w:r w:rsidRPr="00653BF4">
        <w:rPr>
          <w:lang w:val="fr-FR"/>
        </w:rPr>
        <w:t xml:space="preserve">établissement de rapports par les pays concernant la dégradation et la remise en état des terres et des écosystèmes. Le </w:t>
      </w:r>
      <w:r w:rsidR="002C36D5" w:rsidRPr="00653BF4">
        <w:rPr>
          <w:lang w:val="fr-FR"/>
        </w:rPr>
        <w:t>secrétariat</w:t>
      </w:r>
      <w:r w:rsidRPr="00653BF4">
        <w:rPr>
          <w:lang w:val="fr-FR"/>
        </w:rPr>
        <w:t xml:space="preserve"> de la CNULCD vise également à collaborer avec les centres régionaux afin de soutenir le suivi </w:t>
      </w:r>
      <w:r w:rsidRPr="00653BF4">
        <w:rPr>
          <w:lang w:val="fr-FR"/>
        </w:rPr>
        <w:lastRenderedPageBreak/>
        <w:t xml:space="preserve">national de la dégradation des terres, ce qui pourrait renforcer les synergies avec le </w:t>
      </w:r>
      <w:r w:rsidR="002C36D5" w:rsidRPr="00653BF4">
        <w:rPr>
          <w:lang w:val="fr-FR"/>
        </w:rPr>
        <w:t>secrétariat</w:t>
      </w:r>
      <w:r w:rsidRPr="00653BF4">
        <w:rPr>
          <w:lang w:val="fr-FR"/>
        </w:rPr>
        <w:t xml:space="preserve"> de la Convention sur la diversité biologique en s</w:t>
      </w:r>
      <w:r w:rsidR="002A58C8" w:rsidRPr="00653BF4">
        <w:rPr>
          <w:lang w:val="fr-FR"/>
        </w:rPr>
        <w:t>’</w:t>
      </w:r>
      <w:r w:rsidRPr="00653BF4">
        <w:rPr>
          <w:lang w:val="fr-FR"/>
        </w:rPr>
        <w:t>inspirant de ses centres régionaux et sous-régionaux d</w:t>
      </w:r>
      <w:r w:rsidR="002A58C8" w:rsidRPr="00653BF4">
        <w:rPr>
          <w:lang w:val="fr-FR"/>
        </w:rPr>
        <w:t>’</w:t>
      </w:r>
      <w:r w:rsidRPr="00653BF4">
        <w:rPr>
          <w:lang w:val="fr-FR"/>
        </w:rPr>
        <w:t xml:space="preserve">appui à la coopération technique et scientifique (Sims </w:t>
      </w:r>
      <w:r w:rsidRPr="00653BF4">
        <w:rPr>
          <w:i/>
          <w:iCs/>
          <w:lang w:val="fr-FR"/>
        </w:rPr>
        <w:t>et al.</w:t>
      </w:r>
      <w:r w:rsidRPr="00653BF4">
        <w:rPr>
          <w:lang w:val="fr-FR"/>
        </w:rPr>
        <w:t>, 2021</w:t>
      </w:r>
      <w:r w:rsidR="00E34DC9">
        <w:rPr>
          <w:lang w:val="fr-FR"/>
        </w:rPr>
        <w:t> ;</w:t>
      </w:r>
      <w:r w:rsidRPr="00653BF4">
        <w:rPr>
          <w:lang w:val="fr-FR"/>
        </w:rPr>
        <w:t xml:space="preserve"> Teich </w:t>
      </w:r>
      <w:r w:rsidRPr="00653BF4">
        <w:rPr>
          <w:i/>
          <w:iCs/>
          <w:lang w:val="fr-FR"/>
        </w:rPr>
        <w:t>et al.</w:t>
      </w:r>
      <w:r w:rsidRPr="00653BF4">
        <w:rPr>
          <w:lang w:val="fr-FR"/>
        </w:rPr>
        <w:t>, 2025</w:t>
      </w:r>
      <w:r w:rsidR="00E34DC9">
        <w:rPr>
          <w:lang w:val="fr-FR"/>
        </w:rPr>
        <w:t> ;</w:t>
      </w:r>
      <w:r w:rsidRPr="00653BF4">
        <w:rPr>
          <w:lang w:val="fr-FR"/>
        </w:rPr>
        <w:t xml:space="preserve"> CNULCD, 2025).</w:t>
      </w:r>
    </w:p>
    <w:p w14:paraId="58B6048C" w14:textId="32F4402A" w:rsidR="00C8028D" w:rsidRPr="00653BF4" w:rsidRDefault="00B82DAC" w:rsidP="00C8028D">
      <w:pPr>
        <w:rPr>
          <w:lang w:val="fr-FR"/>
        </w:rPr>
      </w:pPr>
      <w:r w:rsidRPr="00653BF4">
        <w:rPr>
          <w:lang w:val="fr-FR"/>
        </w:rPr>
        <w:t xml:space="preserve">Le </w:t>
      </w:r>
      <w:r w:rsidR="002C36D5" w:rsidRPr="00653BF4">
        <w:rPr>
          <w:lang w:val="fr-FR"/>
        </w:rPr>
        <w:t>secrétariat</w:t>
      </w:r>
      <w:r w:rsidRPr="00653BF4">
        <w:rPr>
          <w:lang w:val="fr-FR"/>
        </w:rPr>
        <w:t xml:space="preserve"> de la Convention relative aux zones humides d</w:t>
      </w:r>
      <w:r w:rsidR="002A58C8" w:rsidRPr="00653BF4">
        <w:rPr>
          <w:lang w:val="fr-FR"/>
        </w:rPr>
        <w:t>’</w:t>
      </w:r>
      <w:r w:rsidRPr="00653BF4">
        <w:rPr>
          <w:lang w:val="fr-FR"/>
        </w:rPr>
        <w:t>importance internationale particulièrement comme habitats des oiseaux d</w:t>
      </w:r>
      <w:r w:rsidR="002A58C8" w:rsidRPr="00653BF4">
        <w:rPr>
          <w:lang w:val="fr-FR"/>
        </w:rPr>
        <w:t>’</w:t>
      </w:r>
      <w:r w:rsidRPr="00653BF4">
        <w:rPr>
          <w:lang w:val="fr-FR"/>
        </w:rPr>
        <w:t>eau, a estimé qu</w:t>
      </w:r>
      <w:r w:rsidR="002A58C8" w:rsidRPr="00653BF4">
        <w:rPr>
          <w:lang w:val="fr-FR"/>
        </w:rPr>
        <w:t>’</w:t>
      </w:r>
      <w:r w:rsidRPr="00653BF4">
        <w:rPr>
          <w:lang w:val="fr-FR"/>
        </w:rPr>
        <w:t>au moins 123 millions d</w:t>
      </w:r>
      <w:r w:rsidR="002A58C8" w:rsidRPr="00653BF4">
        <w:rPr>
          <w:lang w:val="fr-FR"/>
        </w:rPr>
        <w:t>’</w:t>
      </w:r>
      <w:r w:rsidRPr="00653BF4">
        <w:rPr>
          <w:lang w:val="fr-FR"/>
        </w:rPr>
        <w:t>hectares de zones humides devront faire l</w:t>
      </w:r>
      <w:r w:rsidR="002A58C8" w:rsidRPr="00653BF4">
        <w:rPr>
          <w:lang w:val="fr-FR"/>
        </w:rPr>
        <w:t>’</w:t>
      </w:r>
      <w:r w:rsidRPr="00653BF4">
        <w:rPr>
          <w:lang w:val="fr-FR"/>
        </w:rPr>
        <w:t>objet d</w:t>
      </w:r>
      <w:r w:rsidR="002A58C8" w:rsidRPr="00653BF4">
        <w:rPr>
          <w:lang w:val="fr-FR"/>
        </w:rPr>
        <w:t>’</w:t>
      </w:r>
      <w:r w:rsidRPr="00653BF4">
        <w:rPr>
          <w:lang w:val="fr-FR"/>
        </w:rPr>
        <w:t>une remise en état d</w:t>
      </w:r>
      <w:r w:rsidR="002A58C8" w:rsidRPr="00653BF4">
        <w:rPr>
          <w:lang w:val="fr-FR"/>
        </w:rPr>
        <w:t>’</w:t>
      </w:r>
      <w:r w:rsidRPr="00653BF4">
        <w:rPr>
          <w:lang w:val="fr-FR"/>
        </w:rPr>
        <w:t>ici à 2030 pour respecter l</w:t>
      </w:r>
      <w:r w:rsidR="002A58C8" w:rsidRPr="00653BF4">
        <w:rPr>
          <w:lang w:val="fr-FR"/>
        </w:rPr>
        <w:t>’</w:t>
      </w:r>
      <w:r w:rsidRPr="00653BF4">
        <w:rPr>
          <w:lang w:val="fr-FR"/>
        </w:rPr>
        <w:t>engagement de remise en état de 30</w:t>
      </w:r>
      <w:r w:rsidR="002878D7">
        <w:rPr>
          <w:lang w:val="fr-FR"/>
        </w:rPr>
        <w:t> %</w:t>
      </w:r>
      <w:r w:rsidRPr="00653BF4">
        <w:rPr>
          <w:lang w:val="fr-FR"/>
        </w:rPr>
        <w:t xml:space="preserve"> prévu dans la </w:t>
      </w:r>
      <w:r w:rsidR="00E34DC9">
        <w:rPr>
          <w:lang w:val="fr-FR"/>
        </w:rPr>
        <w:t>cible 2</w:t>
      </w:r>
      <w:r w:rsidRPr="00653BF4">
        <w:rPr>
          <w:lang w:val="fr-FR"/>
        </w:rPr>
        <w:t xml:space="preserve">. Cette </w:t>
      </w:r>
      <w:r w:rsidR="00FD065A" w:rsidRPr="00653BF4">
        <w:rPr>
          <w:lang w:val="fr-FR"/>
        </w:rPr>
        <w:t>figure</w:t>
      </w:r>
      <w:r w:rsidRPr="00653BF4">
        <w:rPr>
          <w:lang w:val="fr-FR"/>
        </w:rPr>
        <w:t xml:space="preserve"> repose sur la superficie des zones humides converties à l</w:t>
      </w:r>
      <w:r w:rsidR="002A58C8" w:rsidRPr="00653BF4">
        <w:rPr>
          <w:lang w:val="fr-FR"/>
        </w:rPr>
        <w:t>’</w:t>
      </w:r>
      <w:r w:rsidRPr="00653BF4">
        <w:rPr>
          <w:lang w:val="fr-FR"/>
        </w:rPr>
        <w:t>agriculture et à d</w:t>
      </w:r>
      <w:r w:rsidR="002A58C8" w:rsidRPr="00653BF4">
        <w:rPr>
          <w:lang w:val="fr-FR"/>
        </w:rPr>
        <w:t>’</w:t>
      </w:r>
      <w:r w:rsidRPr="00653BF4">
        <w:rPr>
          <w:lang w:val="fr-FR"/>
        </w:rPr>
        <w:t>autres usages depuis 1970 (environ 411 millions d</w:t>
      </w:r>
      <w:r w:rsidR="002A58C8" w:rsidRPr="00653BF4">
        <w:rPr>
          <w:lang w:val="fr-FR"/>
        </w:rPr>
        <w:t>’</w:t>
      </w:r>
      <w:r w:rsidRPr="00653BF4">
        <w:rPr>
          <w:lang w:val="fr-FR"/>
        </w:rPr>
        <w:t>hectares) et est probablement sous-estimée, car elle ne tient pas compte des efforts nécessaires pour remettre en état les zones humides dégradées dont les caractéristiques écologiques se sont détériorées. En 2025, 45</w:t>
      </w:r>
      <w:r w:rsidR="002878D7">
        <w:rPr>
          <w:lang w:val="fr-FR"/>
        </w:rPr>
        <w:t> %</w:t>
      </w:r>
      <w:r w:rsidRPr="00653BF4">
        <w:rPr>
          <w:lang w:val="fr-FR"/>
        </w:rPr>
        <w:t xml:space="preserve"> des Parties contractantes à la Convention sur les zones humides avaient fixé des cibles nationales de remise en état des zones humides, tandis que 21</w:t>
      </w:r>
      <w:r w:rsidR="002878D7">
        <w:rPr>
          <w:lang w:val="fr-FR"/>
        </w:rPr>
        <w:t> %</w:t>
      </w:r>
      <w:r w:rsidRPr="00653BF4">
        <w:rPr>
          <w:lang w:val="fr-FR"/>
        </w:rPr>
        <w:t xml:space="preserve"> des Parties ont établi des rapports sur l</w:t>
      </w:r>
      <w:r w:rsidR="002A58C8" w:rsidRPr="00653BF4">
        <w:rPr>
          <w:lang w:val="fr-FR"/>
        </w:rPr>
        <w:t>’</w:t>
      </w:r>
      <w:r w:rsidRPr="00653BF4">
        <w:rPr>
          <w:lang w:val="fr-FR"/>
        </w:rPr>
        <w:t>établissement partiel de telles cibles et que 16</w:t>
      </w:r>
      <w:r w:rsidR="002878D7">
        <w:rPr>
          <w:lang w:val="fr-FR"/>
        </w:rPr>
        <w:t> %</w:t>
      </w:r>
      <w:r w:rsidRPr="00653BF4">
        <w:rPr>
          <w:lang w:val="fr-FR"/>
        </w:rPr>
        <w:t xml:space="preserve"> en étaient à la phase de planification. Les efforts de remise en état constituent un axe majeur des activités menées dans le cadre de la Convention sur les zones humides, qui incluent également des synergies avec d</w:t>
      </w:r>
      <w:r w:rsidR="002A58C8" w:rsidRPr="00653BF4">
        <w:rPr>
          <w:lang w:val="fr-FR"/>
        </w:rPr>
        <w:t>’</w:t>
      </w:r>
      <w:r w:rsidRPr="00653BF4">
        <w:rPr>
          <w:lang w:val="fr-FR"/>
        </w:rPr>
        <w:t>autres accords multilatéraux sur l</w:t>
      </w:r>
      <w:r w:rsidR="002A58C8" w:rsidRPr="00653BF4">
        <w:rPr>
          <w:lang w:val="fr-FR"/>
        </w:rPr>
        <w:t>’</w:t>
      </w:r>
      <w:r w:rsidRPr="00653BF4">
        <w:rPr>
          <w:lang w:val="fr-FR"/>
        </w:rPr>
        <w:t>environnement, tels que la CCNUCC, en matière de remise en état des mangroves (</w:t>
      </w:r>
      <w:r w:rsidR="009059C9" w:rsidRPr="00653BF4">
        <w:rPr>
          <w:lang w:val="fr-FR"/>
        </w:rPr>
        <w:t xml:space="preserve">voir </w:t>
      </w:r>
      <w:r w:rsidR="00CE310D" w:rsidRPr="00653BF4">
        <w:rPr>
          <w:lang w:val="fr-FR"/>
        </w:rPr>
        <w:t>l’encadré 12</w:t>
      </w:r>
      <w:r w:rsidRPr="00653BF4">
        <w:rPr>
          <w:lang w:val="fr-FR"/>
        </w:rPr>
        <w:t>) (Convention sur les zones humides, 2025a, 2025b et 2025c).</w:t>
      </w:r>
    </w:p>
    <w:p w14:paraId="3CD272EC" w14:textId="77777777" w:rsidR="00465701" w:rsidRPr="00653BF4" w:rsidRDefault="00465701" w:rsidP="00C8028D">
      <w:pPr>
        <w:rPr>
          <w:lang w:val="fr-FR"/>
        </w:rPr>
      </w:pPr>
    </w:p>
    <w:tbl>
      <w:tblPr>
        <w:tblStyle w:val="TableGrid"/>
        <w:tblW w:w="0" w:type="auto"/>
        <w:tblLook w:val="04A0" w:firstRow="1" w:lastRow="0" w:firstColumn="1" w:lastColumn="0" w:noHBand="0" w:noVBand="1"/>
      </w:tblPr>
      <w:tblGrid>
        <w:gridCol w:w="9016"/>
      </w:tblGrid>
      <w:tr w:rsidR="00072EF7" w:rsidRPr="00543148" w14:paraId="79D0742C" w14:textId="77777777" w:rsidTr="00F41BAC">
        <w:tc>
          <w:tcPr>
            <w:tcW w:w="9016" w:type="dxa"/>
            <w:shd w:val="clear" w:color="auto" w:fill="D1D1D1" w:themeFill="background2" w:themeFillShade="E6"/>
          </w:tcPr>
          <w:p w14:paraId="4CE23DCE" w14:textId="344404C3" w:rsidR="00C01030" w:rsidRPr="00653BF4" w:rsidRDefault="008431EC" w:rsidP="00C01030">
            <w:pPr>
              <w:pStyle w:val="Caption"/>
              <w:keepNext/>
              <w:rPr>
                <w:i w:val="0"/>
                <w:iCs w:val="0"/>
                <w:sz w:val="20"/>
                <w:szCs w:val="20"/>
                <w:lang w:val="fr-FR"/>
              </w:rPr>
            </w:pPr>
            <w:bookmarkStart w:id="101" w:name="_Ref231284483"/>
            <w:r w:rsidRPr="00653BF4">
              <w:rPr>
                <w:i w:val="0"/>
                <w:sz w:val="20"/>
                <w:szCs w:val="20"/>
                <w:lang w:val="fr-FR"/>
              </w:rPr>
              <w:lastRenderedPageBreak/>
              <w:t>Encadré</w:t>
            </w:r>
            <w:r w:rsidR="00C01030" w:rsidRPr="00653BF4">
              <w:rPr>
                <w:i w:val="0"/>
                <w:sz w:val="20"/>
                <w:szCs w:val="20"/>
                <w:lang w:val="fr-FR"/>
              </w:rPr>
              <w:t xml:space="preserve"> </w:t>
            </w:r>
            <w:r w:rsidR="008306DF" w:rsidRPr="00653BF4">
              <w:rPr>
                <w:i w:val="0"/>
                <w:noProof/>
                <w:sz w:val="20"/>
                <w:szCs w:val="20"/>
                <w:lang w:val="fr-FR"/>
              </w:rPr>
              <w:t>12</w:t>
            </w:r>
            <w:bookmarkEnd w:id="101"/>
          </w:p>
          <w:p w14:paraId="22E74A25" w14:textId="7DE6AF50" w:rsidR="00AA0B95" w:rsidRPr="00653BF4" w:rsidRDefault="004E3BB3" w:rsidP="00AA0B95">
            <w:pPr>
              <w:spacing w:line="276" w:lineRule="auto"/>
              <w:rPr>
                <w:b/>
                <w:sz w:val="20"/>
                <w:szCs w:val="20"/>
                <w:lang w:val="fr-FR"/>
              </w:rPr>
            </w:pPr>
            <w:r w:rsidRPr="00653BF4">
              <w:rPr>
                <w:b/>
                <w:sz w:val="20"/>
                <w:szCs w:val="20"/>
                <w:lang w:val="fr-FR"/>
              </w:rPr>
              <w:t>Mangrove Breakthrough</w:t>
            </w:r>
            <w:r w:rsidR="00E34DC9">
              <w:rPr>
                <w:b/>
                <w:sz w:val="20"/>
                <w:szCs w:val="20"/>
                <w:lang w:val="fr-FR"/>
              </w:rPr>
              <w:t> :</w:t>
            </w:r>
            <w:r w:rsidRPr="00653BF4">
              <w:rPr>
                <w:b/>
                <w:sz w:val="20"/>
                <w:szCs w:val="20"/>
                <w:lang w:val="fr-FR"/>
              </w:rPr>
              <w:t xml:space="preserve"> synergies entre les cibles en matière de biodiversité, de zones humides et de changement climatique</w:t>
            </w:r>
          </w:p>
          <w:p w14:paraId="4B25A544" w14:textId="77777777" w:rsidR="00C01030" w:rsidRPr="00653BF4" w:rsidRDefault="00C01030" w:rsidP="00C01030">
            <w:pPr>
              <w:spacing w:line="276" w:lineRule="auto"/>
              <w:rPr>
                <w:sz w:val="22"/>
                <w:szCs w:val="22"/>
                <w:lang w:val="fr-FR"/>
              </w:rPr>
            </w:pPr>
          </w:p>
          <w:p w14:paraId="674ADBB3" w14:textId="5DC417E7" w:rsidR="005C5F6C" w:rsidRPr="00653BF4" w:rsidRDefault="004E3BB3" w:rsidP="005C5F6C">
            <w:pPr>
              <w:spacing w:line="276" w:lineRule="auto"/>
              <w:rPr>
                <w:sz w:val="20"/>
                <w:szCs w:val="20"/>
                <w:lang w:val="fr-FR"/>
              </w:rPr>
            </w:pPr>
            <w:r w:rsidRPr="00653BF4">
              <w:rPr>
                <w:sz w:val="20"/>
                <w:szCs w:val="20"/>
                <w:lang w:val="fr-FR"/>
              </w:rPr>
              <w:t>L</w:t>
            </w:r>
            <w:r w:rsidR="002A58C8" w:rsidRPr="00653BF4">
              <w:rPr>
                <w:sz w:val="20"/>
                <w:szCs w:val="20"/>
                <w:lang w:val="fr-FR"/>
              </w:rPr>
              <w:t>’</w:t>
            </w:r>
            <w:r w:rsidRPr="00653BF4">
              <w:rPr>
                <w:sz w:val="20"/>
                <w:szCs w:val="20"/>
                <w:lang w:val="fr-FR"/>
              </w:rPr>
              <w:t xml:space="preserve">initiative </w:t>
            </w:r>
            <w:r w:rsidR="00E34DC9">
              <w:rPr>
                <w:sz w:val="20"/>
                <w:szCs w:val="20"/>
                <w:lang w:val="fr-FR"/>
              </w:rPr>
              <w:t>« </w:t>
            </w:r>
            <w:r w:rsidRPr="00653BF4">
              <w:rPr>
                <w:sz w:val="20"/>
                <w:szCs w:val="20"/>
                <w:lang w:val="fr-FR"/>
              </w:rPr>
              <w:t>Mangrove Breakthrough</w:t>
            </w:r>
            <w:r w:rsidR="00E34DC9">
              <w:rPr>
                <w:sz w:val="20"/>
                <w:szCs w:val="20"/>
                <w:lang w:val="fr-FR"/>
              </w:rPr>
              <w:t> »</w:t>
            </w:r>
            <w:r w:rsidRPr="00653BF4">
              <w:rPr>
                <w:sz w:val="20"/>
                <w:szCs w:val="20"/>
                <w:lang w:val="fr-FR"/>
              </w:rPr>
              <w:t xml:space="preserve"> vise à remettre en état les mangroves afin de compenser au moins la moitié des pertes récentes</w:t>
            </w:r>
            <w:r w:rsidR="000D33AB" w:rsidRPr="00653BF4">
              <w:rPr>
                <w:sz w:val="20"/>
                <w:szCs w:val="20"/>
                <w:vertAlign w:val="superscript"/>
                <w:lang w:val="fr-FR"/>
              </w:rPr>
              <w:t>a</w:t>
            </w:r>
            <w:r w:rsidRPr="00653BF4">
              <w:rPr>
                <w:sz w:val="20"/>
                <w:szCs w:val="20"/>
                <w:lang w:val="fr-FR"/>
              </w:rPr>
              <w:t xml:space="preserve">. </w:t>
            </w:r>
            <w:r w:rsidR="005634FC" w:rsidRPr="00653BF4">
              <w:rPr>
                <w:sz w:val="20"/>
                <w:szCs w:val="20"/>
                <w:lang w:val="fr-FR"/>
              </w:rPr>
              <w:t>À l</w:t>
            </w:r>
            <w:r w:rsidR="002A58C8" w:rsidRPr="00653BF4">
              <w:rPr>
                <w:sz w:val="20"/>
                <w:szCs w:val="20"/>
                <w:lang w:val="fr-FR"/>
              </w:rPr>
              <w:t>’</w:t>
            </w:r>
            <w:r w:rsidR="005634FC" w:rsidRPr="00653BF4">
              <w:rPr>
                <w:sz w:val="20"/>
                <w:szCs w:val="20"/>
                <w:lang w:val="fr-FR"/>
              </w:rPr>
              <w:t>aide des cartes de répartition et d</w:t>
            </w:r>
            <w:r w:rsidR="002A58C8" w:rsidRPr="00653BF4">
              <w:rPr>
                <w:sz w:val="20"/>
                <w:szCs w:val="20"/>
                <w:lang w:val="fr-FR"/>
              </w:rPr>
              <w:t>’</w:t>
            </w:r>
            <w:r w:rsidR="005634FC" w:rsidRPr="00653BF4">
              <w:rPr>
                <w:sz w:val="20"/>
                <w:szCs w:val="20"/>
                <w:lang w:val="fr-FR"/>
              </w:rPr>
              <w:t>évolution fournies par Global Mangrove Watch</w:t>
            </w:r>
            <w:r w:rsidR="000D33AB" w:rsidRPr="00653BF4">
              <w:rPr>
                <w:sz w:val="20"/>
                <w:szCs w:val="20"/>
                <w:vertAlign w:val="superscript"/>
                <w:lang w:val="fr-FR"/>
              </w:rPr>
              <w:t>b</w:t>
            </w:r>
            <w:r w:rsidR="005634FC" w:rsidRPr="00653BF4">
              <w:rPr>
                <w:sz w:val="20"/>
                <w:szCs w:val="20"/>
                <w:lang w:val="fr-FR"/>
              </w:rPr>
              <w:t>,</w:t>
            </w:r>
            <w:r w:rsidR="00DD53AC" w:rsidRPr="00653BF4">
              <w:rPr>
                <w:lang w:val="fr-FR"/>
              </w:rPr>
              <w:t xml:space="preserve"> </w:t>
            </w:r>
            <w:r w:rsidR="00DD53AC" w:rsidRPr="00653BF4">
              <w:rPr>
                <w:sz w:val="20"/>
                <w:szCs w:val="20"/>
                <w:lang w:val="fr-FR"/>
              </w:rPr>
              <w:t>on estime que 818 300 hectares de mangroves peuvent être remis en état. En supposant que des pratiques de remise en état fondées sur la science soient mises en œuvre et aboutissent à une remise en état durable, la remise en état de la moitié des pertes récentes représenterait plus de 409 000 hectares d</w:t>
            </w:r>
            <w:r w:rsidR="002A58C8" w:rsidRPr="00653BF4">
              <w:rPr>
                <w:sz w:val="20"/>
                <w:szCs w:val="20"/>
                <w:lang w:val="fr-FR"/>
              </w:rPr>
              <w:t>’</w:t>
            </w:r>
            <w:r w:rsidR="00DD53AC" w:rsidRPr="00653BF4">
              <w:rPr>
                <w:sz w:val="20"/>
                <w:szCs w:val="20"/>
                <w:lang w:val="fr-FR"/>
              </w:rPr>
              <w:t xml:space="preserve">ici à 2030, soit environ 51 000 hectares par an, ce qui constituerait une contribution significative à la mise en œuvre de la </w:t>
            </w:r>
            <w:r w:rsidR="00E34DC9">
              <w:rPr>
                <w:sz w:val="20"/>
                <w:szCs w:val="20"/>
                <w:lang w:val="fr-FR"/>
              </w:rPr>
              <w:t>cible 2</w:t>
            </w:r>
            <w:r w:rsidR="00DD53AC" w:rsidRPr="00653BF4">
              <w:rPr>
                <w:sz w:val="20"/>
                <w:szCs w:val="20"/>
                <w:lang w:val="fr-FR"/>
              </w:rPr>
              <w:t>. Les membres de Mangrove Breakthrough gèrent 66 141 hectares de mangroves faisant l</w:t>
            </w:r>
            <w:r w:rsidR="002A58C8" w:rsidRPr="00653BF4">
              <w:rPr>
                <w:sz w:val="20"/>
                <w:szCs w:val="20"/>
                <w:lang w:val="fr-FR"/>
              </w:rPr>
              <w:t>’</w:t>
            </w:r>
            <w:r w:rsidR="00DD53AC" w:rsidRPr="00653BF4">
              <w:rPr>
                <w:sz w:val="20"/>
                <w:szCs w:val="20"/>
                <w:lang w:val="fr-FR"/>
              </w:rPr>
              <w:t>objet de diverses mesures de protection, de remise en état ou d</w:t>
            </w:r>
            <w:r w:rsidR="002A58C8" w:rsidRPr="00653BF4">
              <w:rPr>
                <w:sz w:val="20"/>
                <w:szCs w:val="20"/>
                <w:lang w:val="fr-FR"/>
              </w:rPr>
              <w:t>’</w:t>
            </w:r>
            <w:r w:rsidR="00DD53AC" w:rsidRPr="00653BF4">
              <w:rPr>
                <w:sz w:val="20"/>
                <w:szCs w:val="20"/>
                <w:lang w:val="fr-FR"/>
              </w:rPr>
              <w:t>influence politique. Ces actions directes ont permis de préserver 25 millions de tonnes supplémentaires de carbone. Plus de 30 gouvernements ont officiellement adhéré à Mangrove Breakthrough et s</w:t>
            </w:r>
            <w:r w:rsidR="002A58C8" w:rsidRPr="00653BF4">
              <w:rPr>
                <w:sz w:val="20"/>
                <w:szCs w:val="20"/>
                <w:lang w:val="fr-FR"/>
              </w:rPr>
              <w:t>’</w:t>
            </w:r>
            <w:r w:rsidR="00DD53AC" w:rsidRPr="00653BF4">
              <w:rPr>
                <w:sz w:val="20"/>
                <w:szCs w:val="20"/>
                <w:lang w:val="fr-FR"/>
              </w:rPr>
              <w:t>engageront à inclure des cibles spécifiques, mesurables et fondées sur des données scientifiques concernant les mangroves dans les révisions de leurs contributions déterminées au niveau national (CDN) dans le cadre de la CCNUCC.</w:t>
            </w:r>
          </w:p>
          <w:p w14:paraId="1449AB6E" w14:textId="77777777" w:rsidR="00B851E6" w:rsidRPr="00653BF4" w:rsidRDefault="00B851E6" w:rsidP="00AA0B95">
            <w:pPr>
              <w:spacing w:line="276" w:lineRule="auto"/>
              <w:rPr>
                <w:sz w:val="22"/>
                <w:szCs w:val="22"/>
                <w:lang w:val="fr-FR"/>
              </w:rPr>
            </w:pPr>
          </w:p>
          <w:p w14:paraId="30ADE604" w14:textId="63532F24" w:rsidR="00B851E6" w:rsidRPr="00653BF4" w:rsidRDefault="00904C13" w:rsidP="00AA0B95">
            <w:pPr>
              <w:spacing w:line="276" w:lineRule="auto"/>
              <w:rPr>
                <w:sz w:val="20"/>
                <w:szCs w:val="20"/>
                <w:lang w:val="fr-FR"/>
              </w:rPr>
            </w:pPr>
            <w:r w:rsidRPr="00653BF4">
              <w:rPr>
                <w:i/>
                <w:sz w:val="20"/>
                <w:szCs w:val="20"/>
                <w:lang w:val="fr-FR"/>
              </w:rPr>
              <w:t>C</w:t>
            </w:r>
            <w:r w:rsidR="001345EC" w:rsidRPr="00653BF4">
              <w:rPr>
                <w:i/>
                <w:sz w:val="20"/>
                <w:szCs w:val="20"/>
                <w:lang w:val="fr-FR"/>
              </w:rPr>
              <w:t>ibles concernées</w:t>
            </w:r>
            <w:r w:rsidR="00E34DC9">
              <w:rPr>
                <w:i/>
                <w:sz w:val="20"/>
                <w:szCs w:val="20"/>
                <w:lang w:val="fr-FR"/>
              </w:rPr>
              <w:t> :</w:t>
            </w:r>
            <w:r w:rsidR="00F62E95" w:rsidRPr="00653BF4">
              <w:rPr>
                <w:i/>
                <w:sz w:val="20"/>
                <w:szCs w:val="20"/>
                <w:lang w:val="fr-FR"/>
              </w:rPr>
              <w:t xml:space="preserve"> </w:t>
            </w:r>
            <w:r w:rsidR="00080447" w:rsidRPr="00653BF4">
              <w:rPr>
                <w:sz w:val="20"/>
                <w:szCs w:val="20"/>
                <w:lang w:val="fr-FR"/>
              </w:rPr>
              <w:t>2</w:t>
            </w:r>
            <w:r w:rsidR="000B78E4" w:rsidRPr="00653BF4">
              <w:rPr>
                <w:sz w:val="20"/>
                <w:szCs w:val="20"/>
                <w:lang w:val="fr-FR"/>
              </w:rPr>
              <w:t xml:space="preserve"> </w:t>
            </w:r>
            <w:r w:rsidR="0017374B">
              <w:rPr>
                <w:sz w:val="20"/>
                <w:szCs w:val="20"/>
                <w:lang w:val="fr-FR"/>
              </w:rPr>
              <w:t>et</w:t>
            </w:r>
            <w:r w:rsidR="00080447" w:rsidRPr="00653BF4">
              <w:rPr>
                <w:sz w:val="20"/>
                <w:szCs w:val="20"/>
                <w:lang w:val="fr-FR"/>
              </w:rPr>
              <w:t xml:space="preserve"> 8</w:t>
            </w:r>
            <w:r w:rsidR="001071A1" w:rsidRPr="00653BF4">
              <w:rPr>
                <w:sz w:val="20"/>
                <w:szCs w:val="20"/>
                <w:lang w:val="fr-FR"/>
              </w:rPr>
              <w:t>.</w:t>
            </w:r>
          </w:p>
          <w:p w14:paraId="278C2BDC" w14:textId="55974F7F" w:rsidR="00080447" w:rsidRPr="00653BF4" w:rsidRDefault="008147C9" w:rsidP="00AA0B95">
            <w:pPr>
              <w:spacing w:line="276" w:lineRule="auto"/>
              <w:rPr>
                <w:sz w:val="20"/>
                <w:szCs w:val="20"/>
                <w:lang w:val="fr-FR"/>
              </w:rPr>
            </w:pPr>
            <w:r w:rsidRPr="00653BF4">
              <w:rPr>
                <w:i/>
                <w:sz w:val="20"/>
                <w:szCs w:val="20"/>
                <w:lang w:val="fr-FR"/>
              </w:rPr>
              <w:t>Sources</w:t>
            </w:r>
            <w:r w:rsidR="00E34DC9">
              <w:rPr>
                <w:i/>
                <w:sz w:val="20"/>
                <w:szCs w:val="20"/>
                <w:lang w:val="fr-FR"/>
              </w:rPr>
              <w:t> :</w:t>
            </w:r>
            <w:r w:rsidR="00E471D6" w:rsidRPr="00653BF4">
              <w:rPr>
                <w:lang w:val="fr-FR"/>
              </w:rPr>
              <w:t xml:space="preserve"> </w:t>
            </w:r>
            <w:r w:rsidR="00E471D6" w:rsidRPr="00653BF4">
              <w:rPr>
                <w:sz w:val="20"/>
                <w:szCs w:val="20"/>
                <w:lang w:val="fr-FR"/>
              </w:rPr>
              <w:t>Convention sur les zones humides, 2025a</w:t>
            </w:r>
            <w:r w:rsidR="00E34DC9">
              <w:rPr>
                <w:sz w:val="20"/>
                <w:szCs w:val="20"/>
                <w:lang w:val="fr-FR"/>
              </w:rPr>
              <w:t> ;</w:t>
            </w:r>
            <w:r w:rsidR="00E471D6" w:rsidRPr="00653BF4">
              <w:rPr>
                <w:sz w:val="20"/>
                <w:szCs w:val="20"/>
                <w:lang w:val="fr-FR"/>
              </w:rPr>
              <w:t xml:space="preserve"> et CCNUCC, 2024a</w:t>
            </w:r>
            <w:r w:rsidR="001071A1" w:rsidRPr="00653BF4">
              <w:rPr>
                <w:sz w:val="20"/>
                <w:szCs w:val="20"/>
                <w:lang w:val="fr-FR"/>
              </w:rPr>
              <w:t>.</w:t>
            </w:r>
          </w:p>
          <w:p w14:paraId="5E1CEA55" w14:textId="77777777" w:rsidR="000B78E4" w:rsidRPr="00653BF4" w:rsidRDefault="000B78E4" w:rsidP="00AA0B95">
            <w:pPr>
              <w:spacing w:line="276" w:lineRule="auto"/>
              <w:rPr>
                <w:i/>
                <w:iCs/>
                <w:sz w:val="22"/>
                <w:szCs w:val="22"/>
                <w:lang w:val="fr-FR"/>
              </w:rPr>
            </w:pPr>
          </w:p>
          <w:p w14:paraId="6439CB6F" w14:textId="62BD240C" w:rsidR="000B78E4" w:rsidRPr="00653BF4" w:rsidRDefault="000B78E4" w:rsidP="00AA0B95">
            <w:pPr>
              <w:spacing w:line="276" w:lineRule="auto"/>
              <w:rPr>
                <w:sz w:val="16"/>
                <w:szCs w:val="16"/>
                <w:lang w:val="fr-FR"/>
              </w:rPr>
            </w:pPr>
            <w:r w:rsidRPr="00653BF4">
              <w:rPr>
                <w:sz w:val="16"/>
                <w:szCs w:val="16"/>
                <w:vertAlign w:val="superscript"/>
                <w:lang w:val="fr-FR"/>
              </w:rPr>
              <w:t>a</w:t>
            </w:r>
            <w:r w:rsidR="007B590C" w:rsidRPr="00653BF4">
              <w:rPr>
                <w:sz w:val="16"/>
                <w:szCs w:val="16"/>
                <w:vertAlign w:val="superscript"/>
                <w:lang w:val="fr-FR"/>
              </w:rPr>
              <w:t xml:space="preserve"> </w:t>
            </w:r>
            <w:r w:rsidR="00421B5E" w:rsidRPr="00653BF4">
              <w:rPr>
                <w:sz w:val="16"/>
                <w:szCs w:val="16"/>
                <w:lang w:val="fr-FR"/>
              </w:rPr>
              <w:t xml:space="preserve">Voir </w:t>
            </w:r>
            <w:hyperlink r:id="rId63" w:history="1">
              <w:r w:rsidR="00421B5E" w:rsidRPr="00653BF4">
                <w:rPr>
                  <w:rStyle w:val="Hyperlink"/>
                  <w:sz w:val="16"/>
                  <w:szCs w:val="16"/>
                  <w:lang w:val="fr-FR"/>
                </w:rPr>
                <w:t>www.mangrovebreakthrough.com/</w:t>
              </w:r>
            </w:hyperlink>
            <w:r w:rsidRPr="00653BF4">
              <w:rPr>
                <w:sz w:val="16"/>
                <w:szCs w:val="16"/>
                <w:lang w:val="fr-FR"/>
              </w:rPr>
              <w:t>.</w:t>
            </w:r>
          </w:p>
          <w:p w14:paraId="0664F001" w14:textId="0D1CC764" w:rsidR="000B78E4" w:rsidRPr="00653BF4" w:rsidRDefault="000B78E4" w:rsidP="000B78E4">
            <w:pPr>
              <w:pStyle w:val="FootnoteText"/>
              <w:rPr>
                <w:sz w:val="16"/>
                <w:szCs w:val="16"/>
                <w:lang w:val="fr-FR"/>
              </w:rPr>
            </w:pPr>
            <w:r w:rsidRPr="00653BF4">
              <w:rPr>
                <w:sz w:val="16"/>
                <w:szCs w:val="16"/>
                <w:vertAlign w:val="superscript"/>
                <w:lang w:val="fr-FR"/>
              </w:rPr>
              <w:t>b</w:t>
            </w:r>
            <w:r w:rsidR="007B590C" w:rsidRPr="00653BF4">
              <w:rPr>
                <w:sz w:val="16"/>
                <w:szCs w:val="16"/>
                <w:vertAlign w:val="superscript"/>
                <w:lang w:val="fr-FR"/>
              </w:rPr>
              <w:t xml:space="preserve"> </w:t>
            </w:r>
            <w:r w:rsidR="00421B5E" w:rsidRPr="00653BF4">
              <w:rPr>
                <w:sz w:val="16"/>
                <w:szCs w:val="16"/>
                <w:lang w:val="fr-FR"/>
              </w:rPr>
              <w:t>Voir</w:t>
            </w:r>
            <w:r w:rsidRPr="00653BF4">
              <w:rPr>
                <w:sz w:val="16"/>
                <w:szCs w:val="16"/>
                <w:lang w:val="fr-FR"/>
              </w:rPr>
              <w:t xml:space="preserve"> </w:t>
            </w:r>
            <w:hyperlink r:id="rId64" w:history="1">
              <w:r w:rsidR="007E6337" w:rsidRPr="00653BF4">
                <w:rPr>
                  <w:rStyle w:val="Hyperlink"/>
                  <w:sz w:val="16"/>
                  <w:szCs w:val="16"/>
                  <w:lang w:val="fr-FR"/>
                </w:rPr>
                <w:t>www.globalmangrovewatch.org/</w:t>
              </w:r>
            </w:hyperlink>
            <w:r w:rsidRPr="00653BF4">
              <w:rPr>
                <w:sz w:val="16"/>
                <w:szCs w:val="16"/>
                <w:lang w:val="fr-FR"/>
              </w:rPr>
              <w:t>.</w:t>
            </w:r>
          </w:p>
          <w:p w14:paraId="117641A8" w14:textId="69581D3E" w:rsidR="000B78E4" w:rsidRPr="00653BF4" w:rsidRDefault="000B78E4" w:rsidP="00AA0B95">
            <w:pPr>
              <w:spacing w:line="276" w:lineRule="auto"/>
              <w:rPr>
                <w:sz w:val="16"/>
                <w:szCs w:val="16"/>
                <w:lang w:val="fr-FR"/>
              </w:rPr>
            </w:pPr>
          </w:p>
          <w:p w14:paraId="7BB56AD5" w14:textId="3E3995C7" w:rsidR="00B46A05" w:rsidRPr="00653BF4" w:rsidRDefault="00B46A05" w:rsidP="00825DF3">
            <w:pPr>
              <w:rPr>
                <w:lang w:val="fr-FR"/>
              </w:rPr>
            </w:pPr>
          </w:p>
        </w:tc>
      </w:tr>
    </w:tbl>
    <w:p w14:paraId="67465115" w14:textId="77777777" w:rsidR="00214053" w:rsidRPr="00653BF4" w:rsidRDefault="00214053" w:rsidP="00FC7784">
      <w:pPr>
        <w:rPr>
          <w:lang w:val="fr-FR"/>
        </w:rPr>
      </w:pPr>
    </w:p>
    <w:p w14:paraId="6021A616" w14:textId="77777777" w:rsidR="004D6445" w:rsidRPr="00653BF4" w:rsidRDefault="004D6445" w:rsidP="00DA5236">
      <w:pPr>
        <w:pStyle w:val="Heading4"/>
        <w:spacing w:line="276" w:lineRule="auto"/>
        <w:rPr>
          <w:lang w:val="fr-FR"/>
        </w:rPr>
      </w:pPr>
    </w:p>
    <w:p w14:paraId="225D7402" w14:textId="7F486E78" w:rsidR="003377A7" w:rsidRPr="00653BF4" w:rsidRDefault="00E34DC9" w:rsidP="74032CC2">
      <w:pPr>
        <w:pStyle w:val="Heading4"/>
        <w:spacing w:line="276" w:lineRule="auto"/>
        <w:rPr>
          <w:rFonts w:ascii="Aptos" w:eastAsia="Aptos" w:hAnsi="Aptos" w:cs="Aptos"/>
          <w:i w:val="0"/>
          <w:iCs w:val="0"/>
          <w:color w:val="000000" w:themeColor="text1"/>
          <w:lang w:val="fr-FR"/>
        </w:rPr>
      </w:pPr>
      <w:bookmarkStart w:id="102" w:name="_Toc235821076"/>
      <w:bookmarkStart w:id="103" w:name="_Toc239069197"/>
      <w:bookmarkStart w:id="104" w:name="_Toc242801234"/>
      <w:r>
        <w:rPr>
          <w:b/>
          <w:bCs/>
          <w:i w:val="0"/>
          <w:iCs w:val="0"/>
          <w:lang w:val="fr-FR"/>
        </w:rPr>
        <w:t>Cible 3</w:t>
      </w:r>
      <w:r w:rsidR="007E0FC7" w:rsidRPr="00653BF4">
        <w:rPr>
          <w:lang w:val="fr-FR"/>
        </w:rPr>
        <w:t>.</w:t>
      </w:r>
      <w:r w:rsidR="00F943AB" w:rsidRPr="00653BF4">
        <w:rPr>
          <w:lang w:val="fr-FR"/>
        </w:rPr>
        <w:t xml:space="preserve"> </w:t>
      </w:r>
      <w:bookmarkEnd w:id="102"/>
      <w:bookmarkEnd w:id="103"/>
      <w:r w:rsidR="00D9532B" w:rsidRPr="00653BF4">
        <w:rPr>
          <w:i w:val="0"/>
          <w:iCs w:val="0"/>
          <w:lang w:val="fr-FR"/>
        </w:rPr>
        <w:t>Conserver et gérer efficacement au moins 30</w:t>
      </w:r>
      <w:r w:rsidR="002878D7">
        <w:rPr>
          <w:i w:val="0"/>
          <w:iCs w:val="0"/>
          <w:lang w:val="fr-FR"/>
        </w:rPr>
        <w:t> %</w:t>
      </w:r>
      <w:r w:rsidR="00D9532B" w:rsidRPr="00653BF4">
        <w:rPr>
          <w:i w:val="0"/>
          <w:iCs w:val="0"/>
          <w:lang w:val="fr-FR"/>
        </w:rPr>
        <w:t xml:space="preserve"> des zones terrestres et des eaux intérieures, ainsi que 30</w:t>
      </w:r>
      <w:r w:rsidR="002878D7">
        <w:rPr>
          <w:i w:val="0"/>
          <w:iCs w:val="0"/>
          <w:lang w:val="fr-FR"/>
        </w:rPr>
        <w:t> %</w:t>
      </w:r>
      <w:r w:rsidR="00D9532B" w:rsidRPr="00653BF4">
        <w:rPr>
          <w:i w:val="0"/>
          <w:iCs w:val="0"/>
          <w:lang w:val="fr-FR"/>
        </w:rPr>
        <w:t xml:space="preserve"> des zones côtières et marines</w:t>
      </w:r>
      <w:bookmarkEnd w:id="104"/>
    </w:p>
    <w:p w14:paraId="58E337A5" w14:textId="77777777" w:rsidR="004A7503" w:rsidRPr="00653BF4" w:rsidRDefault="004A7503" w:rsidP="004A7503">
      <w:pPr>
        <w:rPr>
          <w:b/>
          <w:bCs/>
          <w:i/>
          <w:iCs/>
          <w:sz w:val="22"/>
          <w:szCs w:val="22"/>
          <w:lang w:val="fr-FR"/>
        </w:rPr>
      </w:pPr>
    </w:p>
    <w:p w14:paraId="5B43E86D" w14:textId="06DA7248" w:rsidR="004A7503" w:rsidRPr="00653BF4" w:rsidRDefault="00A403B1" w:rsidP="004A7503">
      <w:pPr>
        <w:rPr>
          <w:sz w:val="22"/>
          <w:szCs w:val="22"/>
          <w:lang w:val="fr-FR"/>
        </w:rPr>
      </w:pPr>
      <w:r w:rsidRPr="00653BF4">
        <w:rPr>
          <w:b/>
          <w:sz w:val="22"/>
          <w:szCs w:val="22"/>
          <w:lang w:val="fr-FR"/>
        </w:rPr>
        <w:t>T</w:t>
      </w:r>
      <w:r w:rsidR="004A7503" w:rsidRPr="00653BF4">
        <w:rPr>
          <w:b/>
          <w:sz w:val="22"/>
          <w:szCs w:val="22"/>
          <w:lang w:val="fr-FR"/>
        </w:rPr>
        <w:t>ext</w:t>
      </w:r>
      <w:r w:rsidRPr="00653BF4">
        <w:rPr>
          <w:b/>
          <w:sz w:val="22"/>
          <w:szCs w:val="22"/>
          <w:lang w:val="fr-FR"/>
        </w:rPr>
        <w:t>e de la cible</w:t>
      </w:r>
      <w:r w:rsidR="00E34DC9">
        <w:rPr>
          <w:b/>
          <w:sz w:val="22"/>
          <w:szCs w:val="22"/>
          <w:lang w:val="fr-FR"/>
        </w:rPr>
        <w:t> :</w:t>
      </w:r>
      <w:r w:rsidR="00F62E95" w:rsidRPr="00653BF4">
        <w:rPr>
          <w:b/>
          <w:bCs/>
          <w:sz w:val="22"/>
          <w:szCs w:val="22"/>
          <w:lang w:val="fr-FR"/>
        </w:rPr>
        <w:t xml:space="preserve"> </w:t>
      </w:r>
      <w:r w:rsidRPr="00653BF4">
        <w:rPr>
          <w:i/>
          <w:iCs/>
          <w:sz w:val="22"/>
          <w:szCs w:val="22"/>
          <w:lang w:val="fr-FR"/>
        </w:rPr>
        <w:t>Faire en sorte que, d</w:t>
      </w:r>
      <w:r w:rsidR="002A58C8" w:rsidRPr="00653BF4">
        <w:rPr>
          <w:i/>
          <w:iCs/>
          <w:sz w:val="22"/>
          <w:szCs w:val="22"/>
          <w:lang w:val="fr-FR"/>
        </w:rPr>
        <w:t>’</w:t>
      </w:r>
      <w:r w:rsidRPr="00653BF4">
        <w:rPr>
          <w:i/>
          <w:iCs/>
          <w:sz w:val="22"/>
          <w:szCs w:val="22"/>
          <w:lang w:val="fr-FR"/>
        </w:rPr>
        <w:t>ici à 2030, au moins 30</w:t>
      </w:r>
      <w:r w:rsidR="002878D7">
        <w:rPr>
          <w:i/>
          <w:iCs/>
          <w:sz w:val="22"/>
          <w:szCs w:val="22"/>
          <w:lang w:val="fr-FR"/>
        </w:rPr>
        <w:t> %</w:t>
      </w:r>
      <w:r w:rsidRPr="00653BF4">
        <w:rPr>
          <w:i/>
          <w:iCs/>
          <w:sz w:val="22"/>
          <w:szCs w:val="22"/>
          <w:lang w:val="fr-FR"/>
        </w:rPr>
        <w:t xml:space="preserve"> des zones terrestres et des eaux intérieures, ainsi que des zones marines et côtières, en particulier les zones d</w:t>
      </w:r>
      <w:r w:rsidR="002A58C8" w:rsidRPr="00653BF4">
        <w:rPr>
          <w:i/>
          <w:iCs/>
          <w:sz w:val="22"/>
          <w:szCs w:val="22"/>
          <w:lang w:val="fr-FR"/>
        </w:rPr>
        <w:t>’</w:t>
      </w:r>
      <w:r w:rsidRPr="00653BF4">
        <w:rPr>
          <w:i/>
          <w:iCs/>
          <w:sz w:val="22"/>
          <w:szCs w:val="22"/>
          <w:lang w:val="fr-FR"/>
        </w:rPr>
        <w:t>une grande importance pour la biodiversité et les fonctions et services écosystémiques, soient dûment conservées et gérées grâce à la mise en place d</w:t>
      </w:r>
      <w:r w:rsidR="002A58C8" w:rsidRPr="00653BF4">
        <w:rPr>
          <w:i/>
          <w:iCs/>
          <w:sz w:val="22"/>
          <w:szCs w:val="22"/>
          <w:lang w:val="fr-FR"/>
        </w:rPr>
        <w:t>’</w:t>
      </w:r>
      <w:r w:rsidRPr="00653BF4">
        <w:rPr>
          <w:i/>
          <w:iCs/>
          <w:sz w:val="22"/>
          <w:szCs w:val="22"/>
          <w:lang w:val="fr-FR"/>
        </w:rPr>
        <w:t>aires protégées écologiquement représentatives, bien reliées et équitablement gérées et à d</w:t>
      </w:r>
      <w:r w:rsidR="002A58C8" w:rsidRPr="00653BF4">
        <w:rPr>
          <w:i/>
          <w:iCs/>
          <w:sz w:val="22"/>
          <w:szCs w:val="22"/>
          <w:lang w:val="fr-FR"/>
        </w:rPr>
        <w:t>’</w:t>
      </w:r>
      <w:r w:rsidRPr="00653BF4">
        <w:rPr>
          <w:i/>
          <w:iCs/>
          <w:sz w:val="22"/>
          <w:szCs w:val="22"/>
          <w:lang w:val="fr-FR"/>
        </w:rPr>
        <w:t>autres mesures efficaces de conservation par zone, et veiller à créer les moyens nécessaires à cette fin, tout en reconnaissant les territoires autochtones et traditionnels, s</w:t>
      </w:r>
      <w:r w:rsidR="002A58C8" w:rsidRPr="00653BF4">
        <w:rPr>
          <w:i/>
          <w:iCs/>
          <w:sz w:val="22"/>
          <w:szCs w:val="22"/>
          <w:lang w:val="fr-FR"/>
        </w:rPr>
        <w:t>’</w:t>
      </w:r>
      <w:r w:rsidRPr="00653BF4">
        <w:rPr>
          <w:i/>
          <w:iCs/>
          <w:sz w:val="22"/>
          <w:szCs w:val="22"/>
          <w:lang w:val="fr-FR"/>
        </w:rPr>
        <w:t>il y a lieu, et en intégrant les zones concernées dans les paysages terrestres et marins plus vastes et les océans, en veillant en outre à ce que l</w:t>
      </w:r>
      <w:r w:rsidR="002A58C8" w:rsidRPr="00653BF4">
        <w:rPr>
          <w:i/>
          <w:iCs/>
          <w:sz w:val="22"/>
          <w:szCs w:val="22"/>
          <w:lang w:val="fr-FR"/>
        </w:rPr>
        <w:t>’</w:t>
      </w:r>
      <w:r w:rsidRPr="00653BF4">
        <w:rPr>
          <w:i/>
          <w:iCs/>
          <w:sz w:val="22"/>
          <w:szCs w:val="22"/>
          <w:lang w:val="fr-FR"/>
        </w:rPr>
        <w:t>utilisation durable, lorsqu</w:t>
      </w:r>
      <w:r w:rsidR="002A58C8" w:rsidRPr="00653BF4">
        <w:rPr>
          <w:i/>
          <w:iCs/>
          <w:sz w:val="22"/>
          <w:szCs w:val="22"/>
          <w:lang w:val="fr-FR"/>
        </w:rPr>
        <w:t>’</w:t>
      </w:r>
      <w:r w:rsidRPr="00653BF4">
        <w:rPr>
          <w:i/>
          <w:iCs/>
          <w:sz w:val="22"/>
          <w:szCs w:val="22"/>
          <w:lang w:val="fr-FR"/>
        </w:rPr>
        <w:t>elle est appropriée dans ces zones, soit pleinement compatible avec les objectifs de conservation et respecte les droits des peuples autochtones et communautés locales, y compris concernant leurs territoires traditionnels.</w:t>
      </w:r>
    </w:p>
    <w:p w14:paraId="2003D286" w14:textId="77777777" w:rsidR="004A7503" w:rsidRPr="00653BF4" w:rsidRDefault="004A7503" w:rsidP="004A7503">
      <w:pPr>
        <w:rPr>
          <w:lang w:val="fr-FR"/>
        </w:rPr>
      </w:pPr>
    </w:p>
    <w:p w14:paraId="4E197B42" w14:textId="6B233D10" w:rsidR="001A1397" w:rsidRPr="00653BF4" w:rsidRDefault="00DD19D2" w:rsidP="1D6A2DD3">
      <w:pPr>
        <w:pStyle w:val="Heading5"/>
        <w:rPr>
          <w:rFonts w:ascii="Aptos" w:eastAsia="Aptos" w:hAnsi="Aptos" w:cs="Aptos"/>
          <w:i/>
          <w:iCs/>
          <w:color w:val="000000" w:themeColor="text1"/>
          <w:lang w:val="fr-FR"/>
        </w:rPr>
      </w:pPr>
      <w:r w:rsidRPr="00653BF4">
        <w:rPr>
          <w:lang w:val="fr-FR"/>
        </w:rPr>
        <w:t>Aperçu des progrès</w:t>
      </w:r>
      <w:r w:rsidR="003E194D" w:rsidRPr="00653BF4">
        <w:rPr>
          <w:lang w:val="fr-FR"/>
        </w:rPr>
        <w:t xml:space="preserve"> accomplis</w:t>
      </w:r>
    </w:p>
    <w:tbl>
      <w:tblPr>
        <w:tblStyle w:val="TableGrid"/>
        <w:tblW w:w="0" w:type="auto"/>
        <w:tblLook w:val="04A0" w:firstRow="1" w:lastRow="0" w:firstColumn="1" w:lastColumn="0" w:noHBand="0" w:noVBand="1"/>
      </w:tblPr>
      <w:tblGrid>
        <w:gridCol w:w="9350"/>
      </w:tblGrid>
      <w:tr w:rsidR="008964BB" w:rsidRPr="00543148" w14:paraId="22C222F3" w14:textId="77777777" w:rsidTr="00217FA8">
        <w:tc>
          <w:tcPr>
            <w:tcW w:w="12753" w:type="dxa"/>
            <w:shd w:val="clear" w:color="auto" w:fill="D1D1D1" w:themeFill="background2" w:themeFillShade="E6"/>
          </w:tcPr>
          <w:p w14:paraId="35498D5F" w14:textId="77777777" w:rsidR="00217FA8" w:rsidRPr="00653BF4" w:rsidRDefault="00217FA8" w:rsidP="00B60665">
            <w:pPr>
              <w:rPr>
                <w:rFonts w:ascii="Aptos" w:eastAsia="Times New Roman" w:hAnsi="Aptos" w:cs="Calibri"/>
                <w:color w:val="000000"/>
                <w:lang w:val="fr-FR"/>
              </w:rPr>
            </w:pPr>
          </w:p>
          <w:p w14:paraId="63886059" w14:textId="7A6547B1" w:rsidR="000D7364" w:rsidRPr="00653BF4" w:rsidRDefault="0034454C" w:rsidP="000D7364">
            <w:pPr>
              <w:rPr>
                <w:rFonts w:ascii="Aptos" w:eastAsia="Times New Roman" w:hAnsi="Aptos" w:cs="Calibri"/>
                <w:color w:val="000000"/>
                <w:lang w:val="fr-FR"/>
              </w:rPr>
            </w:pPr>
            <w:r w:rsidRPr="00653BF4">
              <w:rPr>
                <w:rFonts w:ascii="Aptos" w:eastAsia="Times New Roman" w:hAnsi="Aptos" w:cs="Calibri"/>
                <w:color w:val="000000"/>
                <w:lang w:val="fr-FR"/>
              </w:rPr>
              <w:t>Les Parties continuent à accomplir des progrès en matière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extension et de gestion des zones protégées, en particulier dans les zones marines et côtières, mais le niveau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 xml:space="preserve">ambition et la mise en œuvre actuels restent insuffisants pour atteindre pleinement tous les aspects de la </w:t>
            </w:r>
            <w:r w:rsidR="00E34DC9">
              <w:rPr>
                <w:rFonts w:ascii="Aptos" w:eastAsia="Times New Roman" w:hAnsi="Aptos" w:cs="Calibri"/>
                <w:color w:val="000000"/>
                <w:lang w:val="fr-FR"/>
              </w:rPr>
              <w:t>cible 3</w:t>
            </w:r>
            <w:r w:rsidRPr="00653BF4">
              <w:rPr>
                <w:rFonts w:ascii="Aptos" w:eastAsia="Times New Roman" w:hAnsi="Aptos" w:cs="Calibri"/>
                <w:color w:val="000000"/>
                <w:lang w:val="fr-FR"/>
              </w:rPr>
              <w:t>. Les Parties continuent à progresser dans la désignation de zones terrestres et des eaux intérieures, ainsi que de zones marines et côtières, en vue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obtenir des résultats efficaces en matière de conservation et de gestion</w:t>
            </w:r>
            <w:r w:rsidR="00E34DC9">
              <w:rPr>
                <w:rFonts w:ascii="Aptos" w:eastAsia="Times New Roman" w:hAnsi="Aptos" w:cs="Calibri"/>
                <w:color w:val="000000"/>
                <w:lang w:val="fr-FR"/>
              </w:rPr>
              <w:t> ;</w:t>
            </w:r>
            <w:r w:rsidRPr="00653BF4">
              <w:rPr>
                <w:rFonts w:ascii="Aptos" w:eastAsia="Times New Roman" w:hAnsi="Aptos" w:cs="Calibri"/>
                <w:color w:val="000000"/>
                <w:lang w:val="fr-FR"/>
              </w:rPr>
              <w:t xml:space="preserve"> elles en sont encore aux prémices de la mise en œuvre et du suivi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 xml:space="preserve">autres mesures de conservation efficaces par zone (OECM), bien que des limites méthodologiques affectent la capacité à évaluer ces progrès avec précision. Les cibles nationales sont toutefois moins bien alignées sur les aspects qualitatifs de </w:t>
            </w:r>
            <w:r w:rsidR="0092484B">
              <w:rPr>
                <w:rFonts w:ascii="Aptos" w:eastAsia="Times New Roman" w:hAnsi="Aptos" w:cs="Calibri"/>
                <w:color w:val="000000"/>
                <w:lang w:val="fr-FR"/>
              </w:rPr>
              <w:t xml:space="preserve">la </w:t>
            </w:r>
            <w:r w:rsidR="00E34DC9">
              <w:rPr>
                <w:rFonts w:ascii="Aptos" w:eastAsia="Times New Roman" w:hAnsi="Aptos" w:cs="Calibri"/>
                <w:color w:val="000000"/>
                <w:lang w:val="fr-FR"/>
              </w:rPr>
              <w:t>cible 3</w:t>
            </w:r>
            <w:r w:rsidRPr="00653BF4">
              <w:rPr>
                <w:rFonts w:ascii="Aptos" w:eastAsia="Times New Roman" w:hAnsi="Aptos" w:cs="Calibri"/>
                <w:color w:val="000000"/>
                <w:lang w:val="fr-FR"/>
              </w:rPr>
              <w:t>, et le suivi et l</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établissement de rapports sur certains éléments de cet objectif restent insuffisants, notamment en ce qui concerne la gouvernance équitable des zones protégées et des OECM, la reconnaissance des territoires autochtones et locaux, ainsi que l</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intégration dans des paysages terrestres et marins à plus grande échelle. Les Parties sont confrontées à des défis importants en matière de mise en œuvre, liés notamment à un manque de financement et de capacités.</w:t>
            </w:r>
          </w:p>
          <w:p w14:paraId="391CD91E" w14:textId="6584DE1B" w:rsidR="00217FA8" w:rsidRPr="00653BF4" w:rsidRDefault="00217FA8" w:rsidP="00B60665">
            <w:pPr>
              <w:rPr>
                <w:lang w:val="fr-FR"/>
              </w:rPr>
            </w:pPr>
          </w:p>
        </w:tc>
      </w:tr>
    </w:tbl>
    <w:p w14:paraId="143B1B60" w14:textId="77777777" w:rsidR="008D612D" w:rsidRPr="00653BF4" w:rsidRDefault="008D612D" w:rsidP="008D612D">
      <w:pPr>
        <w:rPr>
          <w:lang w:val="fr-FR"/>
        </w:rPr>
      </w:pPr>
    </w:p>
    <w:p w14:paraId="1C2B5C5E" w14:textId="2C27AC71" w:rsidR="000D7364" w:rsidRPr="00653BF4" w:rsidRDefault="00543810" w:rsidP="000D7364">
      <w:pPr>
        <w:pStyle w:val="Heading5"/>
        <w:rPr>
          <w:lang w:val="fr-FR"/>
        </w:rPr>
      </w:pPr>
      <w:r w:rsidRPr="00653BF4">
        <w:rPr>
          <w:lang w:val="fr-FR"/>
        </w:rPr>
        <w:t>Prise en compte</w:t>
      </w:r>
      <w:r w:rsidR="000322A3" w:rsidRPr="00653BF4">
        <w:rPr>
          <w:lang w:val="fr-FR"/>
        </w:rPr>
        <w:t xml:space="preserve"> par les Parties </w:t>
      </w:r>
      <w:r w:rsidRPr="00653BF4">
        <w:rPr>
          <w:lang w:val="fr-FR"/>
        </w:rPr>
        <w:t xml:space="preserve">de la portée </w:t>
      </w:r>
      <w:r w:rsidR="000322A3" w:rsidRPr="00653BF4">
        <w:rPr>
          <w:lang w:val="fr-FR"/>
        </w:rPr>
        <w:t xml:space="preserve">de la </w:t>
      </w:r>
      <w:r w:rsidR="00E34DC9">
        <w:rPr>
          <w:lang w:val="fr-FR"/>
        </w:rPr>
        <w:t>cible 3</w:t>
      </w:r>
      <w:r w:rsidR="000322A3" w:rsidRPr="00653BF4">
        <w:rPr>
          <w:lang w:val="fr-FR"/>
        </w:rPr>
        <w:t xml:space="preserve"> du Cadre dans leurs cibles nationales</w:t>
      </w:r>
    </w:p>
    <w:p w14:paraId="20C3ABBF" w14:textId="77777777" w:rsidR="00FD4429" w:rsidRPr="00653BF4" w:rsidRDefault="00FD4429" w:rsidP="00FD4429">
      <w:pPr>
        <w:pStyle w:val="Caption"/>
        <w:rPr>
          <w:lang w:val="fr-FR"/>
        </w:rPr>
      </w:pPr>
    </w:p>
    <w:p w14:paraId="0D3DD37D" w14:textId="58393F0A" w:rsidR="00330A88" w:rsidRPr="00653BF4" w:rsidRDefault="00D5751A" w:rsidP="00FD4429">
      <w:pPr>
        <w:pStyle w:val="Caption"/>
        <w:rPr>
          <w:i w:val="0"/>
          <w:iCs w:val="0"/>
          <w:sz w:val="20"/>
          <w:szCs w:val="20"/>
          <w:lang w:val="fr-FR"/>
        </w:rPr>
      </w:pPr>
      <w:bookmarkStart w:id="105" w:name="_Ref230170581"/>
      <w:r w:rsidRPr="00653BF4">
        <w:rPr>
          <w:i w:val="0"/>
          <w:sz w:val="20"/>
          <w:szCs w:val="20"/>
          <w:lang w:val="fr-FR"/>
        </w:rPr>
        <w:t>Tableau</w:t>
      </w:r>
      <w:r w:rsidR="000322A3" w:rsidRPr="00653BF4">
        <w:rPr>
          <w:i w:val="0"/>
          <w:sz w:val="20"/>
          <w:szCs w:val="20"/>
          <w:lang w:val="fr-FR"/>
        </w:rPr>
        <w:t xml:space="preserve"> </w:t>
      </w:r>
      <w:r w:rsidR="00DC1793" w:rsidRPr="00653BF4">
        <w:rPr>
          <w:i w:val="0"/>
          <w:noProof/>
          <w:sz w:val="20"/>
          <w:szCs w:val="20"/>
          <w:lang w:val="fr-FR"/>
        </w:rPr>
        <w:t>8</w:t>
      </w:r>
      <w:bookmarkEnd w:id="105"/>
    </w:p>
    <w:p w14:paraId="277DD0E5" w14:textId="28A4DE15" w:rsidR="00FD4429" w:rsidRPr="00653BF4" w:rsidRDefault="00FB501E" w:rsidP="00FD4429">
      <w:pPr>
        <w:pStyle w:val="Caption"/>
        <w:rPr>
          <w:b/>
          <w:i w:val="0"/>
          <w:sz w:val="20"/>
          <w:szCs w:val="20"/>
          <w:vertAlign w:val="superscript"/>
          <w:lang w:val="fr-FR"/>
        </w:rPr>
      </w:pPr>
      <w:r w:rsidRPr="00653BF4">
        <w:rPr>
          <w:b/>
          <w:i w:val="0"/>
          <w:sz w:val="20"/>
          <w:szCs w:val="20"/>
          <w:lang w:val="fr-FR"/>
        </w:rPr>
        <w:t xml:space="preserve">Éléments de la </w:t>
      </w:r>
      <w:r w:rsidR="00E34DC9">
        <w:rPr>
          <w:b/>
          <w:i w:val="0"/>
          <w:sz w:val="20"/>
          <w:szCs w:val="20"/>
          <w:lang w:val="fr-FR"/>
        </w:rPr>
        <w:t>Cible 3</w:t>
      </w:r>
      <w:r w:rsidRPr="00653BF4">
        <w:rPr>
          <w:b/>
          <w:i w:val="0"/>
          <w:sz w:val="20"/>
          <w:szCs w:val="20"/>
          <w:lang w:val="fr-FR"/>
        </w:rPr>
        <w:t xml:space="preserve"> </w:t>
      </w:r>
      <w:r w:rsidR="00E20A0B" w:rsidRPr="00653BF4">
        <w:rPr>
          <w:b/>
          <w:i w:val="0"/>
          <w:sz w:val="20"/>
          <w:szCs w:val="20"/>
          <w:lang w:val="fr-FR"/>
        </w:rPr>
        <w:t xml:space="preserve">du Cadre et leur prise en compte dans les </w:t>
      </w:r>
      <w:r w:rsidRPr="00653BF4">
        <w:rPr>
          <w:b/>
          <w:i w:val="0"/>
          <w:sz w:val="20"/>
          <w:szCs w:val="20"/>
          <w:lang w:val="fr-FR"/>
        </w:rPr>
        <w:t>cibles nationales</w:t>
      </w:r>
      <w:r w:rsidR="00330A88" w:rsidRPr="00653BF4">
        <w:rPr>
          <w:b/>
          <w:bCs/>
          <w:i w:val="0"/>
          <w:iCs w:val="0"/>
          <w:sz w:val="20"/>
          <w:szCs w:val="20"/>
          <w:vertAlign w:val="superscript"/>
          <w:lang w:val="fr-FR"/>
        </w:rPr>
        <w:t>a</w:t>
      </w:r>
    </w:p>
    <w:tbl>
      <w:tblPr>
        <w:tblStyle w:val="TableGrid"/>
        <w:tblW w:w="0" w:type="auto"/>
        <w:tblLook w:val="04A0" w:firstRow="1" w:lastRow="0" w:firstColumn="1" w:lastColumn="0" w:noHBand="0" w:noVBand="1"/>
      </w:tblPr>
      <w:tblGrid>
        <w:gridCol w:w="8500"/>
        <w:gridCol w:w="516"/>
      </w:tblGrid>
      <w:tr w:rsidR="00067225" w:rsidRPr="00653BF4" w14:paraId="2EB3F163" w14:textId="77777777" w:rsidTr="00A94E13">
        <w:tc>
          <w:tcPr>
            <w:tcW w:w="8500" w:type="dxa"/>
          </w:tcPr>
          <w:p w14:paraId="0D632666" w14:textId="23D23012" w:rsidR="00067225" w:rsidRPr="00653BF4" w:rsidRDefault="00067225" w:rsidP="00067225">
            <w:pPr>
              <w:rPr>
                <w:sz w:val="20"/>
                <w:szCs w:val="20"/>
                <w:lang w:val="fr-FR"/>
              </w:rPr>
            </w:pPr>
            <w:r w:rsidRPr="00653BF4">
              <w:rPr>
                <w:lang w:val="fr-FR"/>
              </w:rPr>
              <w:t>Au moins 30</w:t>
            </w:r>
            <w:r w:rsidR="002878D7">
              <w:rPr>
                <w:lang w:val="fr-FR"/>
              </w:rPr>
              <w:t> %</w:t>
            </w:r>
            <w:r w:rsidRPr="00653BF4">
              <w:rPr>
                <w:lang w:val="fr-FR"/>
              </w:rPr>
              <w:t xml:space="preserve"> des zones terrestres sont intégrées dans des réseaux d</w:t>
            </w:r>
            <w:r w:rsidR="002A58C8" w:rsidRPr="00653BF4">
              <w:rPr>
                <w:lang w:val="fr-FR"/>
              </w:rPr>
              <w:t>’</w:t>
            </w:r>
            <w:r w:rsidRPr="00653BF4">
              <w:rPr>
                <w:lang w:val="fr-FR"/>
              </w:rPr>
              <w:t>aires protégées et d</w:t>
            </w:r>
            <w:r w:rsidR="002A58C8" w:rsidRPr="00653BF4">
              <w:rPr>
                <w:lang w:val="fr-FR"/>
              </w:rPr>
              <w:t>’</w:t>
            </w:r>
            <w:r w:rsidRPr="00653BF4">
              <w:rPr>
                <w:lang w:val="fr-FR"/>
              </w:rPr>
              <w:t>OECM</w:t>
            </w:r>
          </w:p>
        </w:tc>
        <w:tc>
          <w:tcPr>
            <w:tcW w:w="516" w:type="dxa"/>
            <w:shd w:val="clear" w:color="auto" w:fill="92D050"/>
          </w:tcPr>
          <w:p w14:paraId="2FC4DF36" w14:textId="4991A33D" w:rsidR="00067225" w:rsidRPr="00653BF4" w:rsidRDefault="00067225" w:rsidP="00067225">
            <w:pPr>
              <w:rPr>
                <w:sz w:val="20"/>
                <w:szCs w:val="20"/>
                <w:lang w:val="fr-FR"/>
              </w:rPr>
            </w:pPr>
            <w:r w:rsidRPr="00653BF4">
              <w:rPr>
                <w:sz w:val="20"/>
                <w:szCs w:val="20"/>
                <w:lang w:val="fr-FR"/>
              </w:rPr>
              <w:t>78</w:t>
            </w:r>
          </w:p>
        </w:tc>
      </w:tr>
      <w:tr w:rsidR="00067225" w:rsidRPr="00653BF4" w14:paraId="48341207" w14:textId="77777777" w:rsidTr="00EA7DF2">
        <w:tc>
          <w:tcPr>
            <w:tcW w:w="8500" w:type="dxa"/>
          </w:tcPr>
          <w:p w14:paraId="645B3859" w14:textId="5899EE18" w:rsidR="00067225" w:rsidRPr="00653BF4" w:rsidRDefault="00067225" w:rsidP="00067225">
            <w:pPr>
              <w:rPr>
                <w:sz w:val="20"/>
                <w:szCs w:val="20"/>
                <w:lang w:val="fr-FR"/>
              </w:rPr>
            </w:pPr>
            <w:r w:rsidRPr="00653BF4">
              <w:rPr>
                <w:lang w:val="fr-FR"/>
              </w:rPr>
              <w:t>Au moins 30</w:t>
            </w:r>
            <w:r w:rsidR="002878D7">
              <w:rPr>
                <w:lang w:val="fr-FR"/>
              </w:rPr>
              <w:t> %</w:t>
            </w:r>
            <w:r w:rsidRPr="00653BF4">
              <w:rPr>
                <w:lang w:val="fr-FR"/>
              </w:rPr>
              <w:t xml:space="preserve"> des zones d</w:t>
            </w:r>
            <w:r w:rsidR="002A58C8" w:rsidRPr="00653BF4">
              <w:rPr>
                <w:lang w:val="fr-FR"/>
              </w:rPr>
              <w:t>’</w:t>
            </w:r>
            <w:r w:rsidRPr="00653BF4">
              <w:rPr>
                <w:lang w:val="fr-FR"/>
              </w:rPr>
              <w:t>eaux intérieures sont intégrées dans des réseaux d</w:t>
            </w:r>
            <w:r w:rsidR="002A58C8" w:rsidRPr="00653BF4">
              <w:rPr>
                <w:lang w:val="fr-FR"/>
              </w:rPr>
              <w:t>’</w:t>
            </w:r>
            <w:r w:rsidRPr="00653BF4">
              <w:rPr>
                <w:lang w:val="fr-FR"/>
              </w:rPr>
              <w:t>aires protégées et d</w:t>
            </w:r>
            <w:r w:rsidR="002A58C8" w:rsidRPr="00653BF4">
              <w:rPr>
                <w:lang w:val="fr-FR"/>
              </w:rPr>
              <w:t>’</w:t>
            </w:r>
            <w:r w:rsidRPr="00653BF4">
              <w:rPr>
                <w:lang w:val="fr-FR"/>
              </w:rPr>
              <w:t>OECM</w:t>
            </w:r>
          </w:p>
        </w:tc>
        <w:tc>
          <w:tcPr>
            <w:tcW w:w="516" w:type="dxa"/>
            <w:shd w:val="clear" w:color="auto" w:fill="92D050"/>
          </w:tcPr>
          <w:p w14:paraId="1A8DAD0A" w14:textId="509F1DF4" w:rsidR="00067225" w:rsidRPr="00653BF4" w:rsidRDefault="00067225" w:rsidP="00067225">
            <w:pPr>
              <w:rPr>
                <w:sz w:val="20"/>
                <w:szCs w:val="20"/>
                <w:lang w:val="fr-FR"/>
              </w:rPr>
            </w:pPr>
            <w:r w:rsidRPr="00653BF4">
              <w:rPr>
                <w:sz w:val="20"/>
                <w:szCs w:val="20"/>
                <w:lang w:val="fr-FR"/>
              </w:rPr>
              <w:t>64</w:t>
            </w:r>
          </w:p>
        </w:tc>
      </w:tr>
      <w:tr w:rsidR="00067225" w:rsidRPr="00653BF4" w14:paraId="47E29192" w14:textId="77777777" w:rsidTr="00400247">
        <w:tc>
          <w:tcPr>
            <w:tcW w:w="8500" w:type="dxa"/>
          </w:tcPr>
          <w:p w14:paraId="4840237A" w14:textId="2BB0040F" w:rsidR="00067225" w:rsidRPr="00653BF4" w:rsidRDefault="00067225" w:rsidP="00067225">
            <w:pPr>
              <w:rPr>
                <w:sz w:val="20"/>
                <w:szCs w:val="20"/>
                <w:lang w:val="fr-FR"/>
              </w:rPr>
            </w:pPr>
            <w:r w:rsidRPr="00653BF4">
              <w:rPr>
                <w:lang w:val="fr-FR"/>
              </w:rPr>
              <w:t>Au moins 30</w:t>
            </w:r>
            <w:r w:rsidR="002878D7">
              <w:rPr>
                <w:lang w:val="fr-FR"/>
              </w:rPr>
              <w:t> %</w:t>
            </w:r>
            <w:r w:rsidRPr="00653BF4">
              <w:rPr>
                <w:lang w:val="fr-FR"/>
              </w:rPr>
              <w:t xml:space="preserve"> des zones marines et côtières sont intégrées dans des réseaux d</w:t>
            </w:r>
            <w:r w:rsidR="002A58C8" w:rsidRPr="00653BF4">
              <w:rPr>
                <w:lang w:val="fr-FR"/>
              </w:rPr>
              <w:t>’</w:t>
            </w:r>
            <w:r w:rsidRPr="00653BF4">
              <w:rPr>
                <w:lang w:val="fr-FR"/>
              </w:rPr>
              <w:t>aires protégées et d</w:t>
            </w:r>
            <w:r w:rsidR="002A58C8" w:rsidRPr="00653BF4">
              <w:rPr>
                <w:lang w:val="fr-FR"/>
              </w:rPr>
              <w:t>’</w:t>
            </w:r>
            <w:r w:rsidRPr="00653BF4">
              <w:rPr>
                <w:lang w:val="fr-FR"/>
              </w:rPr>
              <w:t>OECM</w:t>
            </w:r>
          </w:p>
        </w:tc>
        <w:tc>
          <w:tcPr>
            <w:tcW w:w="516" w:type="dxa"/>
            <w:shd w:val="clear" w:color="auto" w:fill="92D050"/>
          </w:tcPr>
          <w:p w14:paraId="5F9DE838" w14:textId="24802BD2" w:rsidR="00067225" w:rsidRPr="00653BF4" w:rsidRDefault="00067225" w:rsidP="00067225">
            <w:pPr>
              <w:rPr>
                <w:sz w:val="20"/>
                <w:szCs w:val="20"/>
                <w:lang w:val="fr-FR"/>
              </w:rPr>
            </w:pPr>
            <w:r w:rsidRPr="00653BF4">
              <w:rPr>
                <w:sz w:val="20"/>
                <w:szCs w:val="20"/>
                <w:lang w:val="fr-FR"/>
              </w:rPr>
              <w:t>72</w:t>
            </w:r>
          </w:p>
        </w:tc>
      </w:tr>
      <w:tr w:rsidR="00067225" w:rsidRPr="00653BF4" w14:paraId="787B3156" w14:textId="77777777" w:rsidTr="00CD2CB9">
        <w:tc>
          <w:tcPr>
            <w:tcW w:w="8500" w:type="dxa"/>
          </w:tcPr>
          <w:p w14:paraId="59F77716" w14:textId="079FE084" w:rsidR="00067225" w:rsidRPr="00653BF4" w:rsidRDefault="00067225" w:rsidP="00067225">
            <w:pPr>
              <w:rPr>
                <w:sz w:val="20"/>
                <w:szCs w:val="20"/>
                <w:lang w:val="fr-FR"/>
              </w:rPr>
            </w:pPr>
            <w:r w:rsidRPr="00653BF4">
              <w:rPr>
                <w:lang w:val="fr-FR"/>
              </w:rPr>
              <w:t>Les zones présentant une importance particulière pour la biodiversité, les fonctions et les services écosystémiques sont intégrées dans des réseaux d</w:t>
            </w:r>
            <w:r w:rsidR="002A58C8" w:rsidRPr="00653BF4">
              <w:rPr>
                <w:lang w:val="fr-FR"/>
              </w:rPr>
              <w:t>’</w:t>
            </w:r>
            <w:r w:rsidRPr="00653BF4">
              <w:rPr>
                <w:lang w:val="fr-FR"/>
              </w:rPr>
              <w:t>aires protégées et d</w:t>
            </w:r>
            <w:r w:rsidR="002A58C8" w:rsidRPr="00653BF4">
              <w:rPr>
                <w:lang w:val="fr-FR"/>
              </w:rPr>
              <w:t>’</w:t>
            </w:r>
            <w:r w:rsidRPr="00653BF4">
              <w:rPr>
                <w:lang w:val="fr-FR"/>
              </w:rPr>
              <w:t>OECM</w:t>
            </w:r>
          </w:p>
        </w:tc>
        <w:tc>
          <w:tcPr>
            <w:tcW w:w="516" w:type="dxa"/>
            <w:shd w:val="clear" w:color="auto" w:fill="FFFF00"/>
          </w:tcPr>
          <w:p w14:paraId="05A07A29" w14:textId="576D4091" w:rsidR="00067225" w:rsidRPr="00653BF4" w:rsidRDefault="00067225" w:rsidP="00067225">
            <w:pPr>
              <w:rPr>
                <w:sz w:val="20"/>
                <w:szCs w:val="20"/>
                <w:lang w:val="fr-FR"/>
              </w:rPr>
            </w:pPr>
            <w:r w:rsidRPr="00653BF4">
              <w:rPr>
                <w:sz w:val="20"/>
                <w:szCs w:val="20"/>
                <w:lang w:val="fr-FR"/>
              </w:rPr>
              <w:t>43</w:t>
            </w:r>
          </w:p>
        </w:tc>
      </w:tr>
      <w:tr w:rsidR="00067225" w:rsidRPr="00653BF4" w14:paraId="76CFE120" w14:textId="77777777" w:rsidTr="002F462F">
        <w:tc>
          <w:tcPr>
            <w:tcW w:w="8500" w:type="dxa"/>
          </w:tcPr>
          <w:p w14:paraId="7075D724" w14:textId="77777777" w:rsidR="00067225" w:rsidRDefault="00067225" w:rsidP="00067225">
            <w:pPr>
              <w:rPr>
                <w:lang w:val="fr-FR"/>
              </w:rPr>
            </w:pPr>
            <w:r w:rsidRPr="00653BF4">
              <w:rPr>
                <w:lang w:val="fr-FR"/>
              </w:rPr>
              <w:t xml:space="preserve">Les aires protégées et les OECM sont </w:t>
            </w:r>
            <w:r w:rsidR="00752DD2">
              <w:rPr>
                <w:lang w:val="fr-FR"/>
              </w:rPr>
              <w:t>c</w:t>
            </w:r>
            <w:r w:rsidRPr="00653BF4">
              <w:rPr>
                <w:lang w:val="fr-FR"/>
              </w:rPr>
              <w:t>onservées et gérées</w:t>
            </w:r>
            <w:r w:rsidR="00752DD2">
              <w:rPr>
                <w:lang w:val="fr-FR"/>
              </w:rPr>
              <w:t xml:space="preserve"> de manière efficace</w:t>
            </w:r>
          </w:p>
          <w:p w14:paraId="4502C677" w14:textId="26FC41D4" w:rsidR="00752DD2" w:rsidRPr="00653BF4" w:rsidRDefault="00752DD2" w:rsidP="00067225">
            <w:pPr>
              <w:rPr>
                <w:sz w:val="20"/>
                <w:szCs w:val="20"/>
                <w:lang w:val="fr-FR"/>
              </w:rPr>
            </w:pPr>
          </w:p>
        </w:tc>
        <w:tc>
          <w:tcPr>
            <w:tcW w:w="516" w:type="dxa"/>
            <w:shd w:val="clear" w:color="auto" w:fill="FFFF00"/>
          </w:tcPr>
          <w:p w14:paraId="16849189" w14:textId="6C781096" w:rsidR="00067225" w:rsidRPr="00653BF4" w:rsidRDefault="00067225" w:rsidP="00067225">
            <w:pPr>
              <w:rPr>
                <w:sz w:val="20"/>
                <w:szCs w:val="20"/>
                <w:lang w:val="fr-FR"/>
              </w:rPr>
            </w:pPr>
            <w:r w:rsidRPr="00653BF4">
              <w:rPr>
                <w:sz w:val="20"/>
                <w:szCs w:val="20"/>
                <w:lang w:val="fr-FR"/>
              </w:rPr>
              <w:t>57</w:t>
            </w:r>
          </w:p>
        </w:tc>
      </w:tr>
      <w:tr w:rsidR="00067225" w:rsidRPr="00653BF4" w14:paraId="3C4C1970" w14:textId="77777777" w:rsidTr="00F902D6">
        <w:tc>
          <w:tcPr>
            <w:tcW w:w="8500" w:type="dxa"/>
          </w:tcPr>
          <w:p w14:paraId="0F21F542" w14:textId="77777777" w:rsidR="00067225" w:rsidRDefault="00067225" w:rsidP="00067225">
            <w:pPr>
              <w:rPr>
                <w:lang w:val="fr-FR"/>
              </w:rPr>
            </w:pPr>
            <w:r w:rsidRPr="00653BF4">
              <w:rPr>
                <w:lang w:val="fr-FR"/>
              </w:rPr>
              <w:t>Les aires protégées et les OECM sont écologiquement représentatives</w:t>
            </w:r>
          </w:p>
          <w:p w14:paraId="1FFC76D9" w14:textId="15CD7388" w:rsidR="00752DD2" w:rsidRPr="00653BF4" w:rsidRDefault="00752DD2" w:rsidP="00067225">
            <w:pPr>
              <w:rPr>
                <w:sz w:val="20"/>
                <w:szCs w:val="20"/>
                <w:lang w:val="fr-FR"/>
              </w:rPr>
            </w:pPr>
          </w:p>
        </w:tc>
        <w:tc>
          <w:tcPr>
            <w:tcW w:w="516" w:type="dxa"/>
            <w:shd w:val="clear" w:color="auto" w:fill="FFFF00"/>
          </w:tcPr>
          <w:p w14:paraId="33681DCD" w14:textId="3550315D" w:rsidR="00067225" w:rsidRPr="00653BF4" w:rsidRDefault="00067225" w:rsidP="00067225">
            <w:pPr>
              <w:rPr>
                <w:sz w:val="20"/>
                <w:szCs w:val="20"/>
                <w:lang w:val="fr-FR"/>
              </w:rPr>
            </w:pPr>
            <w:r w:rsidRPr="00653BF4">
              <w:rPr>
                <w:sz w:val="20"/>
                <w:szCs w:val="20"/>
                <w:lang w:val="fr-FR"/>
              </w:rPr>
              <w:t>40</w:t>
            </w:r>
          </w:p>
        </w:tc>
      </w:tr>
      <w:tr w:rsidR="00067225" w:rsidRPr="00653BF4" w14:paraId="697C6F17" w14:textId="77777777" w:rsidTr="006F3FAE">
        <w:tc>
          <w:tcPr>
            <w:tcW w:w="8500" w:type="dxa"/>
          </w:tcPr>
          <w:p w14:paraId="0DD6CE54" w14:textId="77777777" w:rsidR="00067225" w:rsidRDefault="00067225" w:rsidP="00067225">
            <w:pPr>
              <w:rPr>
                <w:lang w:val="fr-FR"/>
              </w:rPr>
            </w:pPr>
            <w:r w:rsidRPr="00653BF4">
              <w:rPr>
                <w:lang w:val="fr-FR"/>
              </w:rPr>
              <w:t>Les aires protégées et les OECM sont bien reliées entre elles</w:t>
            </w:r>
          </w:p>
          <w:p w14:paraId="4E78C0F8" w14:textId="05D5D85D" w:rsidR="00752DD2" w:rsidRPr="00653BF4" w:rsidRDefault="00752DD2" w:rsidP="00067225">
            <w:pPr>
              <w:rPr>
                <w:lang w:val="fr-FR"/>
              </w:rPr>
            </w:pPr>
          </w:p>
        </w:tc>
        <w:tc>
          <w:tcPr>
            <w:tcW w:w="516" w:type="dxa"/>
            <w:shd w:val="clear" w:color="auto" w:fill="FFFF00"/>
          </w:tcPr>
          <w:p w14:paraId="098FB76C" w14:textId="100F2438" w:rsidR="00067225" w:rsidRPr="00653BF4" w:rsidRDefault="00067225" w:rsidP="00067225">
            <w:pPr>
              <w:rPr>
                <w:sz w:val="20"/>
                <w:szCs w:val="20"/>
                <w:lang w:val="fr-FR"/>
              </w:rPr>
            </w:pPr>
            <w:r w:rsidRPr="00653BF4">
              <w:rPr>
                <w:sz w:val="20"/>
                <w:szCs w:val="20"/>
                <w:lang w:val="fr-FR"/>
              </w:rPr>
              <w:lastRenderedPageBreak/>
              <w:t>46</w:t>
            </w:r>
          </w:p>
        </w:tc>
      </w:tr>
      <w:tr w:rsidR="00067225" w:rsidRPr="00653BF4" w14:paraId="50FBEF32" w14:textId="77777777" w:rsidTr="00092495">
        <w:tc>
          <w:tcPr>
            <w:tcW w:w="8500" w:type="dxa"/>
          </w:tcPr>
          <w:p w14:paraId="5CD04418" w14:textId="77777777" w:rsidR="00067225" w:rsidRDefault="00067225" w:rsidP="00067225">
            <w:pPr>
              <w:rPr>
                <w:lang w:val="fr-FR"/>
              </w:rPr>
            </w:pPr>
            <w:r w:rsidRPr="00653BF4">
              <w:rPr>
                <w:lang w:val="fr-FR"/>
              </w:rPr>
              <w:t>Les aires protégées et les OECM sont gérées de manière équitable</w:t>
            </w:r>
          </w:p>
          <w:p w14:paraId="65BEC2C9" w14:textId="77DA24D9" w:rsidR="00752DD2" w:rsidRPr="00653BF4" w:rsidRDefault="00752DD2" w:rsidP="00067225">
            <w:pPr>
              <w:rPr>
                <w:lang w:val="fr-FR"/>
              </w:rPr>
            </w:pPr>
          </w:p>
        </w:tc>
        <w:tc>
          <w:tcPr>
            <w:tcW w:w="516" w:type="dxa"/>
            <w:shd w:val="clear" w:color="auto" w:fill="FFC000"/>
          </w:tcPr>
          <w:p w14:paraId="62437568" w14:textId="10205792" w:rsidR="00067225" w:rsidRPr="00653BF4" w:rsidRDefault="00067225" w:rsidP="00067225">
            <w:pPr>
              <w:rPr>
                <w:sz w:val="20"/>
                <w:szCs w:val="20"/>
                <w:lang w:val="fr-FR"/>
              </w:rPr>
            </w:pPr>
            <w:r w:rsidRPr="00653BF4">
              <w:rPr>
                <w:sz w:val="20"/>
                <w:szCs w:val="20"/>
                <w:lang w:val="fr-FR"/>
              </w:rPr>
              <w:t>37</w:t>
            </w:r>
          </w:p>
        </w:tc>
      </w:tr>
      <w:tr w:rsidR="00067225" w:rsidRPr="00653BF4" w14:paraId="477832DA" w14:textId="77777777" w:rsidTr="00D577BF">
        <w:tc>
          <w:tcPr>
            <w:tcW w:w="8500" w:type="dxa"/>
          </w:tcPr>
          <w:p w14:paraId="6C1437E3" w14:textId="293CD6D5" w:rsidR="00067225" w:rsidRPr="00653BF4" w:rsidRDefault="00067225" w:rsidP="00067225">
            <w:pPr>
              <w:rPr>
                <w:lang w:val="fr-FR"/>
              </w:rPr>
            </w:pPr>
            <w:r w:rsidRPr="00653BF4">
              <w:rPr>
                <w:lang w:val="fr-FR"/>
              </w:rPr>
              <w:t xml:space="preserve">Les aires protégées et les OECM </w:t>
            </w:r>
            <w:r w:rsidR="00752DD2">
              <w:rPr>
                <w:lang w:val="fr-FR"/>
              </w:rPr>
              <w:t>sont intégrées</w:t>
            </w:r>
            <w:r w:rsidRPr="00653BF4">
              <w:rPr>
                <w:lang w:val="fr-FR"/>
              </w:rPr>
              <w:t xml:space="preserve"> dans des paysages terrestres et marins plus vastes </w:t>
            </w:r>
            <w:r w:rsidR="009B5D71">
              <w:rPr>
                <w:lang w:val="fr-FR"/>
              </w:rPr>
              <w:t xml:space="preserve">et les </w:t>
            </w:r>
            <w:r w:rsidRPr="00653BF4">
              <w:rPr>
                <w:lang w:val="fr-FR"/>
              </w:rPr>
              <w:t>océan</w:t>
            </w:r>
            <w:r w:rsidR="009B5D71">
              <w:rPr>
                <w:lang w:val="fr-FR"/>
              </w:rPr>
              <w:t>s</w:t>
            </w:r>
          </w:p>
        </w:tc>
        <w:tc>
          <w:tcPr>
            <w:tcW w:w="516" w:type="dxa"/>
            <w:shd w:val="clear" w:color="auto" w:fill="FFC000"/>
          </w:tcPr>
          <w:p w14:paraId="5EB100CA" w14:textId="2C41D0C9" w:rsidR="00067225" w:rsidRPr="00653BF4" w:rsidRDefault="00067225" w:rsidP="00067225">
            <w:pPr>
              <w:rPr>
                <w:sz w:val="20"/>
                <w:szCs w:val="20"/>
                <w:lang w:val="fr-FR"/>
              </w:rPr>
            </w:pPr>
            <w:r w:rsidRPr="00653BF4">
              <w:rPr>
                <w:sz w:val="20"/>
                <w:szCs w:val="20"/>
                <w:lang w:val="fr-FR"/>
              </w:rPr>
              <w:t>32</w:t>
            </w:r>
          </w:p>
        </w:tc>
      </w:tr>
      <w:tr w:rsidR="00067225" w:rsidRPr="00653BF4" w14:paraId="5BFF74D6" w14:textId="77777777" w:rsidTr="00A21E4B">
        <w:tc>
          <w:tcPr>
            <w:tcW w:w="8500" w:type="dxa"/>
          </w:tcPr>
          <w:p w14:paraId="6943BD7E" w14:textId="362707CE" w:rsidR="00067225" w:rsidRPr="00653BF4" w:rsidRDefault="00067225" w:rsidP="00067225">
            <w:pPr>
              <w:rPr>
                <w:sz w:val="20"/>
                <w:szCs w:val="20"/>
                <w:lang w:val="fr-FR"/>
              </w:rPr>
            </w:pPr>
            <w:r w:rsidRPr="00653BF4">
              <w:rPr>
                <w:lang w:val="fr-FR"/>
              </w:rPr>
              <w:t xml:space="preserve">Toute utilisation durable au sein des aires protégées et des OECM est pleinement compatible avec les </w:t>
            </w:r>
            <w:r w:rsidR="00FF32AF">
              <w:rPr>
                <w:lang w:val="fr-FR"/>
              </w:rPr>
              <w:t>objectifs</w:t>
            </w:r>
            <w:r w:rsidRPr="00653BF4">
              <w:rPr>
                <w:lang w:val="fr-FR"/>
              </w:rPr>
              <w:t xml:space="preserve"> de conservation</w:t>
            </w:r>
          </w:p>
        </w:tc>
        <w:tc>
          <w:tcPr>
            <w:tcW w:w="516" w:type="dxa"/>
            <w:shd w:val="clear" w:color="auto" w:fill="FFC000"/>
          </w:tcPr>
          <w:p w14:paraId="66C984FB" w14:textId="360788ED" w:rsidR="00067225" w:rsidRPr="00653BF4" w:rsidRDefault="00067225" w:rsidP="00067225">
            <w:pPr>
              <w:rPr>
                <w:sz w:val="20"/>
                <w:szCs w:val="20"/>
                <w:lang w:val="fr-FR"/>
              </w:rPr>
            </w:pPr>
            <w:r w:rsidRPr="00653BF4">
              <w:rPr>
                <w:sz w:val="20"/>
                <w:szCs w:val="20"/>
                <w:lang w:val="fr-FR"/>
              </w:rPr>
              <w:t>26</w:t>
            </w:r>
          </w:p>
        </w:tc>
      </w:tr>
      <w:tr w:rsidR="00067225" w:rsidRPr="00653BF4" w14:paraId="5BC60D47" w14:textId="77777777" w:rsidTr="00AB1FD1">
        <w:tc>
          <w:tcPr>
            <w:tcW w:w="8500" w:type="dxa"/>
          </w:tcPr>
          <w:p w14:paraId="723225E8" w14:textId="42907A76" w:rsidR="00067225" w:rsidRPr="00653BF4" w:rsidRDefault="00067225" w:rsidP="00067225">
            <w:pPr>
              <w:rPr>
                <w:sz w:val="20"/>
                <w:szCs w:val="20"/>
                <w:lang w:val="fr-FR"/>
              </w:rPr>
            </w:pPr>
            <w:r w:rsidRPr="00653BF4">
              <w:rPr>
                <w:lang w:val="fr-FR"/>
              </w:rPr>
              <w:t>Les aires protégées et les OECM reconnaissent et respectent les droits des peuples autochtones et communautés locales, notamment ceux relatifs à leurs territoires traditionnels</w:t>
            </w:r>
          </w:p>
        </w:tc>
        <w:tc>
          <w:tcPr>
            <w:tcW w:w="516" w:type="dxa"/>
            <w:shd w:val="clear" w:color="auto" w:fill="FFC000"/>
          </w:tcPr>
          <w:p w14:paraId="08E53244" w14:textId="3B2C27D5" w:rsidR="00067225" w:rsidRPr="00653BF4" w:rsidRDefault="00067225" w:rsidP="00067225">
            <w:pPr>
              <w:keepNext/>
              <w:rPr>
                <w:sz w:val="20"/>
                <w:szCs w:val="20"/>
                <w:lang w:val="fr-FR"/>
              </w:rPr>
            </w:pPr>
            <w:r w:rsidRPr="00653BF4">
              <w:rPr>
                <w:sz w:val="20"/>
                <w:szCs w:val="20"/>
                <w:lang w:val="fr-FR"/>
              </w:rPr>
              <w:t>33</w:t>
            </w:r>
          </w:p>
        </w:tc>
      </w:tr>
      <w:tr w:rsidR="006B61C6" w:rsidRPr="00543148" w14:paraId="39F290DB" w14:textId="77777777">
        <w:tc>
          <w:tcPr>
            <w:tcW w:w="9016" w:type="dxa"/>
            <w:gridSpan w:val="2"/>
          </w:tcPr>
          <w:p w14:paraId="7C96375F" w14:textId="6643A627" w:rsidR="006B61C6" w:rsidRPr="00653BF4" w:rsidRDefault="0088580B" w:rsidP="006B61C6">
            <w:pPr>
              <w:keepNext/>
              <w:tabs>
                <w:tab w:val="left" w:pos="501"/>
              </w:tabs>
              <w:rPr>
                <w:rFonts w:eastAsia="Times New Roman" w:cs="Times New Roman"/>
                <w:b/>
                <w:bCs/>
                <w:color w:val="000000"/>
                <w:kern w:val="0"/>
                <w:sz w:val="22"/>
                <w:szCs w:val="22"/>
                <w:lang w:val="fr-FR" w:eastAsia="en-GB"/>
                <w14:ligatures w14:val="none"/>
              </w:rPr>
            </w:pPr>
            <w:r w:rsidRPr="00653BF4">
              <w:rPr>
                <w:rFonts w:eastAsia="Times New Roman" w:cs="Times New Roman"/>
                <w:b/>
                <w:bCs/>
                <w:color w:val="000000"/>
                <w:kern w:val="0"/>
                <w:sz w:val="22"/>
                <w:szCs w:val="22"/>
                <w:lang w:val="fr-FR" w:eastAsia="en-GB"/>
                <w14:ligatures w14:val="none"/>
              </w:rPr>
              <w:t>En moyenne, les Parties ont abordé, au moins dans une certaine mesure, 48</w:t>
            </w:r>
            <w:r w:rsidR="002878D7">
              <w:rPr>
                <w:rFonts w:eastAsia="Times New Roman" w:cs="Times New Roman"/>
                <w:b/>
                <w:bCs/>
                <w:color w:val="000000"/>
                <w:kern w:val="0"/>
                <w:sz w:val="22"/>
                <w:szCs w:val="22"/>
                <w:lang w:val="fr-FR" w:eastAsia="en-GB"/>
                <w14:ligatures w14:val="none"/>
              </w:rPr>
              <w:t> %</w:t>
            </w:r>
            <w:r w:rsidRPr="00653BF4">
              <w:rPr>
                <w:rFonts w:eastAsia="Times New Roman" w:cs="Times New Roman"/>
                <w:b/>
                <w:bCs/>
                <w:color w:val="000000"/>
                <w:kern w:val="0"/>
                <w:sz w:val="22"/>
                <w:szCs w:val="22"/>
                <w:lang w:val="fr-FR" w:eastAsia="en-GB"/>
                <w14:ligatures w14:val="none"/>
              </w:rPr>
              <w:t xml:space="preserve"> de ces éléments dans leurs cibles nationales</w:t>
            </w:r>
          </w:p>
          <w:p w14:paraId="143114AB" w14:textId="2221414A" w:rsidR="0088580B" w:rsidRPr="00653BF4" w:rsidRDefault="0088580B" w:rsidP="006B61C6">
            <w:pPr>
              <w:keepNext/>
              <w:tabs>
                <w:tab w:val="left" w:pos="501"/>
              </w:tabs>
              <w:rPr>
                <w:sz w:val="20"/>
                <w:szCs w:val="20"/>
                <w:lang w:val="fr-FR"/>
              </w:rPr>
            </w:pPr>
          </w:p>
        </w:tc>
      </w:tr>
    </w:tbl>
    <w:p w14:paraId="332F348C" w14:textId="7BA35815" w:rsidR="008A31F8" w:rsidRPr="00653BF4" w:rsidRDefault="008A31F8" w:rsidP="008A31F8">
      <w:pPr>
        <w:pStyle w:val="Caption"/>
        <w:rPr>
          <w:lang w:val="fr-FR"/>
        </w:rPr>
      </w:pPr>
      <w:r w:rsidRPr="00653BF4">
        <w:rPr>
          <w:lang w:val="fr-FR"/>
        </w:rPr>
        <w:t xml:space="preserve"> </w:t>
      </w:r>
    </w:p>
    <w:p w14:paraId="1AF91589" w14:textId="4C68E236" w:rsidR="00331D4A" w:rsidRPr="00653BF4" w:rsidRDefault="006A631C" w:rsidP="00331D4A">
      <w:pPr>
        <w:rPr>
          <w:iCs/>
          <w:sz w:val="16"/>
          <w:szCs w:val="16"/>
          <w:lang w:val="fr-FR"/>
        </w:rPr>
      </w:pPr>
      <w:r w:rsidRPr="00653BF4">
        <w:rPr>
          <w:i/>
          <w:sz w:val="16"/>
          <w:szCs w:val="16"/>
          <w:lang w:val="fr-FR"/>
        </w:rPr>
        <w:t>Note</w:t>
      </w:r>
      <w:r w:rsidR="00E34DC9">
        <w:rPr>
          <w:i/>
          <w:sz w:val="16"/>
          <w:szCs w:val="16"/>
          <w:lang w:val="fr-FR"/>
        </w:rPr>
        <w:t> :</w:t>
      </w:r>
      <w:r w:rsidR="00331D4A" w:rsidRPr="00653BF4">
        <w:rPr>
          <w:iCs/>
          <w:sz w:val="16"/>
          <w:szCs w:val="16"/>
          <w:lang w:val="fr-FR"/>
        </w:rPr>
        <w:t xml:space="preserve"> </w:t>
      </w:r>
      <w:r w:rsidR="003D56C5" w:rsidRPr="00653BF4">
        <w:rPr>
          <w:iCs/>
          <w:sz w:val="16"/>
          <w:szCs w:val="16"/>
          <w:lang w:val="fr-FR"/>
        </w:rPr>
        <w:t>La colonne de droite du tableau indique le pourcentage de Parties dont les cibles nationales prennent en compte l’élément au moins partiellement</w:t>
      </w:r>
      <w:r w:rsidR="00331D4A" w:rsidRPr="00653BF4">
        <w:rPr>
          <w:iCs/>
          <w:sz w:val="16"/>
          <w:szCs w:val="16"/>
          <w:lang w:val="fr-FR"/>
        </w:rPr>
        <w:t>.</w:t>
      </w:r>
    </w:p>
    <w:p w14:paraId="369D0085" w14:textId="56A64B36" w:rsidR="00A42F16" w:rsidRPr="00653BF4" w:rsidRDefault="00A42F16" w:rsidP="00A42F16">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ascii="Aptos" w:hAnsi="Aptos" w:cs="Segoe UI"/>
          <w:sz w:val="16"/>
          <w:szCs w:val="16"/>
          <w:lang w:val="fr-FR"/>
        </w:rPr>
        <w:t xml:space="preserve"> </w:t>
      </w:r>
      <w:r w:rsidR="00357131" w:rsidRPr="00653BF4">
        <w:rPr>
          <w:rFonts w:ascii="Aptos" w:hAnsi="Aptos" w:cs="Segoe UI"/>
          <w:sz w:val="16"/>
          <w:szCs w:val="16"/>
          <w:lang w:val="fr-FR"/>
        </w:rPr>
        <w:t>Les éléments de chaque cible ont été définis par le Groupe spécial d</w:t>
      </w:r>
      <w:r w:rsidR="00D77549">
        <w:rPr>
          <w:rFonts w:ascii="Aptos" w:hAnsi="Aptos" w:cs="Segoe UI"/>
          <w:sz w:val="16"/>
          <w:szCs w:val="16"/>
          <w:lang w:val="fr-FR"/>
        </w:rPr>
        <w:t>’</w:t>
      </w:r>
      <w:r w:rsidR="00357131" w:rsidRPr="00653BF4">
        <w:rPr>
          <w:rFonts w:ascii="Aptos" w:hAnsi="Aptos" w:cs="Segoe UI"/>
          <w:sz w:val="16"/>
          <w:szCs w:val="16"/>
          <w:lang w:val="fr-FR"/>
        </w:rPr>
        <w:t>experts techniques sur les indicateurs du Cadre mondial de la biodiversité de Kunming-Montréal (voir annexe I du document </w:t>
      </w:r>
      <w:hyperlink r:id="rId65" w:history="1">
        <w:r w:rsidR="00042AFF" w:rsidRPr="00653BF4">
          <w:rPr>
            <w:rStyle w:val="Hyperlink"/>
            <w:rFonts w:ascii="Aptos" w:hAnsi="Aptos" w:cs="Segoe UI"/>
            <w:sz w:val="16"/>
            <w:szCs w:val="16"/>
            <w:lang w:val="fr-FR"/>
          </w:rPr>
          <w:t>CBD/COP/16/INF/4</w:t>
        </w:r>
      </w:hyperlink>
      <w:r w:rsidR="00E34DC9">
        <w:rPr>
          <w:rStyle w:val="normaltextrun"/>
          <w:rFonts w:ascii="Aptos" w:hAnsi="Aptos" w:cs="Segoe UI"/>
          <w:sz w:val="16"/>
          <w:szCs w:val="16"/>
          <w:lang w:val="fr-FR"/>
        </w:rPr>
        <w:t> ;</w:t>
      </w:r>
      <w:r w:rsidR="00042AFF" w:rsidRPr="00653BF4">
        <w:rPr>
          <w:rFonts w:ascii="Aptos" w:hAnsi="Aptos" w:cs="Segoe UI"/>
          <w:sz w:val="16"/>
          <w:szCs w:val="16"/>
          <w:lang w:val="fr-FR"/>
        </w:rPr>
        <w:t xml:space="preserve"> </w:t>
      </w:r>
      <w:r w:rsidR="00CC3440" w:rsidRPr="00653BF4">
        <w:rPr>
          <w:rFonts w:ascii="Aptos" w:hAnsi="Aptos" w:cs="Segoe UI"/>
          <w:sz w:val="16"/>
          <w:szCs w:val="16"/>
          <w:lang w:val="fr-FR"/>
        </w:rPr>
        <w:t>et</w:t>
      </w:r>
      <w:r w:rsidR="00042AFF" w:rsidRPr="00653BF4">
        <w:rPr>
          <w:rFonts w:ascii="Aptos" w:hAnsi="Aptos" w:cs="Segoe UI"/>
          <w:sz w:val="16"/>
          <w:szCs w:val="16"/>
          <w:lang w:val="fr-FR"/>
        </w:rPr>
        <w:t xml:space="preserve"> Affinito </w:t>
      </w:r>
      <w:r w:rsidR="00CC3440" w:rsidRPr="00653BF4">
        <w:rPr>
          <w:rFonts w:ascii="Aptos" w:hAnsi="Aptos" w:cs="Segoe UI"/>
          <w:i/>
          <w:iCs/>
          <w:sz w:val="16"/>
          <w:szCs w:val="16"/>
          <w:lang w:val="fr-FR"/>
        </w:rPr>
        <w:t>et al.</w:t>
      </w:r>
      <w:r w:rsidR="00042AFF" w:rsidRPr="00653BF4">
        <w:rPr>
          <w:rFonts w:ascii="Aptos" w:hAnsi="Aptos" w:cs="Segoe UI"/>
          <w:sz w:val="16"/>
          <w:szCs w:val="16"/>
          <w:lang w:val="fr-FR"/>
        </w:rPr>
        <w:t>, 2025).</w:t>
      </w:r>
      <w:r w:rsidR="00BA73C8" w:rsidRPr="00653BF4">
        <w:rPr>
          <w:rFonts w:asciiTheme="minorHAnsi" w:hAnsiTheme="minorHAnsi"/>
          <w:sz w:val="16"/>
          <w:szCs w:val="16"/>
          <w:lang w:val="fr-FR"/>
        </w:rPr>
        <w:t xml:space="preserve"> </w:t>
      </w:r>
      <w:r w:rsidR="00F670B0" w:rsidRPr="00653BF4">
        <w:rPr>
          <w:rStyle w:val="normaltextrun"/>
          <w:rFonts w:ascii="Aptos" w:hAnsi="Aptos" w:cs="Segoe UI"/>
          <w:sz w:val="16"/>
          <w:szCs w:val="16"/>
          <w:lang w:val="fr-FR"/>
        </w:rPr>
        <w:t>La méthodologie détaillée utilisée pour l</w:t>
      </w:r>
      <w:r w:rsidR="002A58C8" w:rsidRPr="00653BF4">
        <w:rPr>
          <w:rStyle w:val="normaltextrun"/>
          <w:rFonts w:ascii="Aptos" w:hAnsi="Aptos" w:cs="Segoe UI"/>
          <w:sz w:val="16"/>
          <w:szCs w:val="16"/>
          <w:lang w:val="fr-FR"/>
        </w:rPr>
        <w:t>’</w:t>
      </w:r>
      <w:r w:rsidR="00F670B0" w:rsidRPr="00653BF4">
        <w:rPr>
          <w:rStyle w:val="normaltextrun"/>
          <w:rFonts w:ascii="Aptos" w:hAnsi="Aptos" w:cs="Segoe UI"/>
          <w:sz w:val="16"/>
          <w:szCs w:val="16"/>
          <w:lang w:val="fr-FR"/>
        </w:rPr>
        <w:t xml:space="preserve">analyse des cibles nationales figure dans le document </w:t>
      </w:r>
      <w:hyperlink r:id="rId66" w:history="1">
        <w:r w:rsidRPr="00653BF4">
          <w:rPr>
            <w:rStyle w:val="Hyperlink"/>
            <w:rFonts w:ascii="Aptos" w:hAnsi="Aptos" w:cs="Segoe UI"/>
            <w:sz w:val="16"/>
            <w:szCs w:val="16"/>
            <w:lang w:val="fr-FR"/>
          </w:rPr>
          <w:t>CBD/SBI/7/INF/22</w:t>
        </w:r>
      </w:hyperlink>
      <w:r w:rsidRPr="00653BF4">
        <w:rPr>
          <w:rStyle w:val="normaltextrun"/>
          <w:rFonts w:ascii="Aptos" w:hAnsi="Aptos" w:cs="Segoe UI"/>
          <w:sz w:val="16"/>
          <w:szCs w:val="16"/>
          <w:lang w:val="fr-FR"/>
        </w:rPr>
        <w:t>.</w:t>
      </w:r>
    </w:p>
    <w:p w14:paraId="4029CB87" w14:textId="77777777" w:rsidR="00A42F16" w:rsidRPr="00653BF4" w:rsidRDefault="00A42F16" w:rsidP="00A42F16">
      <w:pPr>
        <w:rPr>
          <w:sz w:val="16"/>
          <w:szCs w:val="16"/>
          <w:lang w:val="fr-FR"/>
        </w:rPr>
      </w:pPr>
    </w:p>
    <w:p w14:paraId="039D1486" w14:textId="499C7B07" w:rsidR="001414F9" w:rsidRPr="00653BF4" w:rsidRDefault="001414F9" w:rsidP="001414F9">
      <w:pPr>
        <w:rPr>
          <w:sz w:val="16"/>
          <w:szCs w:val="16"/>
          <w:lang w:val="fr-FR" w:eastAsia="ja-JP"/>
        </w:rPr>
      </w:pPr>
    </w:p>
    <w:p w14:paraId="5D71AA63" w14:textId="20B9713D" w:rsidR="00F57935" w:rsidRPr="00653BF4" w:rsidRDefault="00A20E67" w:rsidP="00563BD4">
      <w:pPr>
        <w:rPr>
          <w:lang w:val="fr-FR"/>
        </w:rPr>
      </w:pPr>
      <w:r w:rsidRPr="00653BF4">
        <w:rPr>
          <w:lang w:val="fr-FR"/>
        </w:rPr>
        <w:t xml:space="preserve">La prise en compte des différents éléments de la </w:t>
      </w:r>
      <w:r w:rsidR="00E34DC9">
        <w:rPr>
          <w:lang w:val="fr-FR"/>
        </w:rPr>
        <w:t>cible 3</w:t>
      </w:r>
      <w:r w:rsidRPr="00653BF4">
        <w:rPr>
          <w:lang w:val="fr-FR"/>
        </w:rPr>
        <w:t xml:space="preserve"> varie considérablement d</w:t>
      </w:r>
      <w:r w:rsidR="002A58C8" w:rsidRPr="00653BF4">
        <w:rPr>
          <w:lang w:val="fr-FR"/>
        </w:rPr>
        <w:t>’</w:t>
      </w:r>
      <w:r w:rsidRPr="00653BF4">
        <w:rPr>
          <w:lang w:val="fr-FR"/>
        </w:rPr>
        <w:t>une Partie à l</w:t>
      </w:r>
      <w:r w:rsidR="002A58C8" w:rsidRPr="00653BF4">
        <w:rPr>
          <w:lang w:val="fr-FR"/>
        </w:rPr>
        <w:t>’</w:t>
      </w:r>
      <w:r w:rsidRPr="00653BF4">
        <w:rPr>
          <w:lang w:val="fr-FR"/>
        </w:rPr>
        <w:t>autre dans leurs cibles nationales. Plus des trois quarts (78</w:t>
      </w:r>
      <w:r w:rsidR="002878D7">
        <w:rPr>
          <w:lang w:val="fr-FR"/>
        </w:rPr>
        <w:t> %</w:t>
      </w:r>
      <w:r w:rsidRPr="00653BF4">
        <w:rPr>
          <w:lang w:val="fr-FR"/>
        </w:rPr>
        <w:t>) des Parties ont défini des cibles nationales portant, dans une certaine mesure, sur les zones protégées et les mesures de conservation efficaces autres que les zones protégées (OECM) dans les zones terrestres, tandis que moins des deux tiers (64</w:t>
      </w:r>
      <w:r w:rsidR="002878D7">
        <w:rPr>
          <w:lang w:val="fr-FR"/>
        </w:rPr>
        <w:t> %</w:t>
      </w:r>
      <w:r w:rsidRPr="00653BF4">
        <w:rPr>
          <w:lang w:val="fr-FR"/>
        </w:rPr>
        <w:t>) ont défini des cibles nationales équivalentes concernant les eaux intérieures. Parmi les Parties non enclavées, 72</w:t>
      </w:r>
      <w:r w:rsidR="002878D7">
        <w:rPr>
          <w:lang w:val="fr-FR"/>
        </w:rPr>
        <w:t> %</w:t>
      </w:r>
      <w:r w:rsidRPr="00653BF4">
        <w:rPr>
          <w:lang w:val="fr-FR"/>
        </w:rPr>
        <w:t xml:space="preserve"> ont défini des cibles nationales portant, dans une certaine mesure, sur les zones protégées et les mesures de conservation efficaces autres que les zones protégées (OECM) dans les zones marines et côtières (</w:t>
      </w:r>
      <w:r w:rsidR="00592405" w:rsidRPr="00653BF4">
        <w:rPr>
          <w:lang w:val="fr-FR"/>
        </w:rPr>
        <w:t>voir le tableau </w:t>
      </w:r>
      <w:r w:rsidRPr="00653BF4">
        <w:rPr>
          <w:lang w:val="fr-FR"/>
        </w:rPr>
        <w:t>8).</w:t>
      </w:r>
    </w:p>
    <w:p w14:paraId="2EE85D9F" w14:textId="1E323745" w:rsidR="00A24B04" w:rsidRPr="00653BF4" w:rsidRDefault="00B01536" w:rsidP="00A24B04">
      <w:pPr>
        <w:spacing w:line="276" w:lineRule="auto"/>
        <w:rPr>
          <w:lang w:val="fr-FR" w:eastAsia="ja-JP"/>
        </w:rPr>
      </w:pPr>
      <w:r w:rsidRPr="00653BF4">
        <w:rPr>
          <w:lang w:val="fr-FR" w:eastAsia="ja-JP"/>
        </w:rPr>
        <w:t xml:space="preserve">Les aspects qualitatifs de la cible sont moins bien pris en compte que les mesures quantitatives relatives à la superficie. Une plus faible proportion de Parties a défini des cibles nationales portant sur les éléments de la </w:t>
      </w:r>
      <w:r w:rsidR="00E34DC9">
        <w:rPr>
          <w:lang w:val="fr-FR" w:eastAsia="ja-JP"/>
        </w:rPr>
        <w:t>cible 3</w:t>
      </w:r>
      <w:r w:rsidRPr="00653BF4">
        <w:rPr>
          <w:lang w:val="fr-FR" w:eastAsia="ja-JP"/>
        </w:rPr>
        <w:t xml:space="preserve"> visant à déterminer si les zones revêtant une importance particulière pour la biodiversité et les fonctions et services écosystémiques sont incluses dans des zones protégées ou des OECM, et si ces zones sont effectivement conservées et gérées, écologiquement représentatives et bien connectées. Elles sont encore moins nombreuses à avoir défini des cibles nationales portant sur la gestion équitable des zones protégées et des OECM, sur leur intégration dans des paysages terrestres et marins plus vastes ainsi que dans l</w:t>
      </w:r>
      <w:r w:rsidR="002A58C8" w:rsidRPr="00653BF4">
        <w:rPr>
          <w:lang w:val="fr-FR" w:eastAsia="ja-JP"/>
        </w:rPr>
        <w:t>’</w:t>
      </w:r>
      <w:r w:rsidRPr="00653BF4">
        <w:rPr>
          <w:lang w:val="fr-FR" w:eastAsia="ja-JP"/>
        </w:rPr>
        <w:t xml:space="preserve">océan, et sur la reconnaissance et le respect des droits des peuples autochtones et communautés </w:t>
      </w:r>
      <w:r w:rsidRPr="00653BF4">
        <w:rPr>
          <w:lang w:val="fr-FR" w:eastAsia="ja-JP"/>
        </w:rPr>
        <w:lastRenderedPageBreak/>
        <w:t>locales, notamment sur leurs territoires traditionnels (tout en admettant que ce dernier élément n</w:t>
      </w:r>
      <w:r w:rsidR="002A58C8" w:rsidRPr="00653BF4">
        <w:rPr>
          <w:lang w:val="fr-FR" w:eastAsia="ja-JP"/>
        </w:rPr>
        <w:t>’</w:t>
      </w:r>
      <w:r w:rsidRPr="00653BF4">
        <w:rPr>
          <w:lang w:val="fr-FR" w:eastAsia="ja-JP"/>
        </w:rPr>
        <w:t>est pas considéré comme pertinent par toutes les Parties en fonction de leur contexte national). L</w:t>
      </w:r>
      <w:r w:rsidR="002A58C8" w:rsidRPr="00653BF4">
        <w:rPr>
          <w:lang w:val="fr-FR" w:eastAsia="ja-JP"/>
        </w:rPr>
        <w:t>’</w:t>
      </w:r>
      <w:r w:rsidRPr="00653BF4">
        <w:rPr>
          <w:lang w:val="fr-FR" w:eastAsia="ja-JP"/>
        </w:rPr>
        <w:t>élément abordé par le plus petit nombre de Parties (26</w:t>
      </w:r>
      <w:r w:rsidR="002878D7">
        <w:rPr>
          <w:lang w:val="fr-FR" w:eastAsia="ja-JP"/>
        </w:rPr>
        <w:t> %</w:t>
      </w:r>
      <w:r w:rsidRPr="00653BF4">
        <w:rPr>
          <w:lang w:val="fr-FR" w:eastAsia="ja-JP"/>
        </w:rPr>
        <w:t>) concerne la question de savoir si l</w:t>
      </w:r>
      <w:r w:rsidR="002A58C8" w:rsidRPr="00653BF4">
        <w:rPr>
          <w:lang w:val="fr-FR" w:eastAsia="ja-JP"/>
        </w:rPr>
        <w:t>’</w:t>
      </w:r>
      <w:r w:rsidRPr="00653BF4">
        <w:rPr>
          <w:lang w:val="fr-FR" w:eastAsia="ja-JP"/>
        </w:rPr>
        <w:t>utilisation durable dans les zones protégées est pleinement compatible avec les résultats en matière de conservation.</w:t>
      </w:r>
    </w:p>
    <w:p w14:paraId="3A18E93D" w14:textId="7A8A9690" w:rsidR="00126931" w:rsidRPr="00653BF4" w:rsidRDefault="00B611F5" w:rsidP="00F86581">
      <w:pPr>
        <w:rPr>
          <w:lang w:val="fr-FR" w:eastAsia="ja-JP"/>
        </w:rPr>
      </w:pPr>
      <w:r w:rsidRPr="00653BF4">
        <w:rPr>
          <w:lang w:val="fr-FR" w:eastAsia="ja-JP"/>
        </w:rPr>
        <w:t xml:space="preserve">Les éléments quantitatifs de la </w:t>
      </w:r>
      <w:r w:rsidR="00E34DC9">
        <w:rPr>
          <w:lang w:val="fr-FR" w:eastAsia="ja-JP"/>
        </w:rPr>
        <w:t>cible 3</w:t>
      </w:r>
      <w:r w:rsidRPr="00653BF4">
        <w:rPr>
          <w:lang w:val="fr-FR" w:eastAsia="ja-JP"/>
        </w:rPr>
        <w:t>, qui visent à garantir qu</w:t>
      </w:r>
      <w:r w:rsidR="002A58C8" w:rsidRPr="00653BF4">
        <w:rPr>
          <w:lang w:val="fr-FR" w:eastAsia="ja-JP"/>
        </w:rPr>
        <w:t>’</w:t>
      </w:r>
      <w:r w:rsidRPr="00653BF4">
        <w:rPr>
          <w:lang w:val="fr-FR" w:eastAsia="ja-JP"/>
        </w:rPr>
        <w:t>au moins 30</w:t>
      </w:r>
      <w:r w:rsidR="002878D7">
        <w:rPr>
          <w:lang w:val="fr-FR" w:eastAsia="ja-JP"/>
        </w:rPr>
        <w:t> %</w:t>
      </w:r>
      <w:r w:rsidRPr="00653BF4">
        <w:rPr>
          <w:lang w:val="fr-FR" w:eastAsia="ja-JP"/>
        </w:rPr>
        <w:t xml:space="preserve"> des zones terrestres, des eaux intérieures, ainsi que des zones marines et côtières soient conservées et gérées de manière efficace d</w:t>
      </w:r>
      <w:r w:rsidR="002A58C8" w:rsidRPr="00653BF4">
        <w:rPr>
          <w:lang w:val="fr-FR" w:eastAsia="ja-JP"/>
        </w:rPr>
        <w:t>’</w:t>
      </w:r>
      <w:r w:rsidRPr="00653BF4">
        <w:rPr>
          <w:lang w:val="fr-FR" w:eastAsia="ja-JP"/>
        </w:rPr>
        <w:t>ici à 2030, ont une portée mondiale, et le Cadre ne suggère pas que chaque Partie doive fixer des cibles nationales au même niveau. La grande majorité des Parties ont toutefois fixé des cibles nationales quantitatives pour la création de zones protégées et de mesures de conservation autres que les zones protégées (OECM) dans les zones terrestres et les eaux intérieures (respectivement 87</w:t>
      </w:r>
      <w:r w:rsidR="002878D7">
        <w:rPr>
          <w:lang w:val="fr-FR" w:eastAsia="ja-JP"/>
        </w:rPr>
        <w:t> %</w:t>
      </w:r>
      <w:r w:rsidRPr="00653BF4">
        <w:rPr>
          <w:lang w:val="fr-FR" w:eastAsia="ja-JP"/>
        </w:rPr>
        <w:t xml:space="preserve"> et 86</w:t>
      </w:r>
      <w:r w:rsidR="002878D7">
        <w:rPr>
          <w:lang w:val="fr-FR" w:eastAsia="ja-JP"/>
        </w:rPr>
        <w:t> %</w:t>
      </w:r>
      <w:r w:rsidRPr="00653BF4">
        <w:rPr>
          <w:lang w:val="fr-FR" w:eastAsia="ja-JP"/>
        </w:rPr>
        <w:t>), et une proportion encore plus élevée de Parties non enclavées (89</w:t>
      </w:r>
      <w:r w:rsidR="002878D7">
        <w:rPr>
          <w:lang w:val="fr-FR" w:eastAsia="ja-JP"/>
        </w:rPr>
        <w:t> %</w:t>
      </w:r>
      <w:r w:rsidRPr="00653BF4">
        <w:rPr>
          <w:lang w:val="fr-FR" w:eastAsia="ja-JP"/>
        </w:rPr>
        <w:t>) a fixé des cibles nationales quantitatives pour la conservation des zones marines et côtières. Parmi les Parties ayant fixé des cibles nationales, un peu plus des deux tiers se sont engagées à préserver au moins 30</w:t>
      </w:r>
      <w:r w:rsidR="002878D7">
        <w:rPr>
          <w:lang w:val="fr-FR" w:eastAsia="ja-JP"/>
        </w:rPr>
        <w:t> %</w:t>
      </w:r>
      <w:r w:rsidRPr="00653BF4">
        <w:rPr>
          <w:lang w:val="fr-FR" w:eastAsia="ja-JP"/>
        </w:rPr>
        <w:t xml:space="preserve"> des zones terrestres et des eaux intérieures d</w:t>
      </w:r>
      <w:r w:rsidR="002A58C8" w:rsidRPr="00653BF4">
        <w:rPr>
          <w:lang w:val="fr-FR" w:eastAsia="ja-JP"/>
        </w:rPr>
        <w:t>’</w:t>
      </w:r>
      <w:r w:rsidRPr="00653BF4">
        <w:rPr>
          <w:lang w:val="fr-FR" w:eastAsia="ja-JP"/>
        </w:rPr>
        <w:t>ici à 2030, tandis qu</w:t>
      </w:r>
      <w:r w:rsidR="002A58C8" w:rsidRPr="00653BF4">
        <w:rPr>
          <w:lang w:val="fr-FR" w:eastAsia="ja-JP"/>
        </w:rPr>
        <w:t>’</w:t>
      </w:r>
      <w:r w:rsidRPr="00653BF4">
        <w:rPr>
          <w:lang w:val="fr-FR" w:eastAsia="ja-JP"/>
        </w:rPr>
        <w:t>un peu moins des deux tiers (62</w:t>
      </w:r>
      <w:r w:rsidR="002878D7">
        <w:rPr>
          <w:lang w:val="fr-FR" w:eastAsia="ja-JP"/>
        </w:rPr>
        <w:t> %</w:t>
      </w:r>
      <w:r w:rsidRPr="00653BF4">
        <w:rPr>
          <w:lang w:val="fr-FR" w:eastAsia="ja-JP"/>
        </w:rPr>
        <w:t>) des Parties non enclavées ont fixé des cibles visant à préserver au moins 30</w:t>
      </w:r>
      <w:r w:rsidR="002878D7">
        <w:rPr>
          <w:lang w:val="fr-FR" w:eastAsia="ja-JP"/>
        </w:rPr>
        <w:t> %</w:t>
      </w:r>
      <w:r w:rsidRPr="00653BF4">
        <w:rPr>
          <w:lang w:val="fr-FR" w:eastAsia="ja-JP"/>
        </w:rPr>
        <w:t xml:space="preserve"> des zones marines et côtières relevant de leur juridiction. Les autres Parties ont soit fixé des cibles nationales quantitatives inférieures à 30</w:t>
      </w:r>
      <w:r w:rsidR="002878D7">
        <w:rPr>
          <w:lang w:val="fr-FR" w:eastAsia="ja-JP"/>
        </w:rPr>
        <w:t> %</w:t>
      </w:r>
      <w:r w:rsidRPr="00653BF4">
        <w:rPr>
          <w:lang w:val="fr-FR" w:eastAsia="ja-JP"/>
        </w:rPr>
        <w:t>, soit défini des cibles nationales pour certains types d</w:t>
      </w:r>
      <w:r w:rsidR="002A58C8" w:rsidRPr="00653BF4">
        <w:rPr>
          <w:lang w:val="fr-FR" w:eastAsia="ja-JP"/>
        </w:rPr>
        <w:t>’</w:t>
      </w:r>
      <w:r w:rsidRPr="00653BF4">
        <w:rPr>
          <w:lang w:val="fr-FR" w:eastAsia="ja-JP"/>
        </w:rPr>
        <w:t>écosystèmes, soit exprimé leurs cibles nationales en hectares plutôt qu</w:t>
      </w:r>
      <w:r w:rsidR="002A58C8" w:rsidRPr="00653BF4">
        <w:rPr>
          <w:lang w:val="fr-FR" w:eastAsia="ja-JP"/>
        </w:rPr>
        <w:t>’</w:t>
      </w:r>
      <w:r w:rsidRPr="00653BF4">
        <w:rPr>
          <w:lang w:val="fr-FR" w:eastAsia="ja-JP"/>
        </w:rPr>
        <w:t>en pourcentages.</w:t>
      </w:r>
    </w:p>
    <w:p w14:paraId="0D5F429A" w14:textId="079B41B5" w:rsidR="00CF6A6D" w:rsidRPr="00653BF4" w:rsidRDefault="009E39A9" w:rsidP="004C187E">
      <w:pPr>
        <w:pStyle w:val="Caption"/>
        <w:spacing w:line="276" w:lineRule="auto"/>
        <w:rPr>
          <w:rFonts w:ascii="Aptos" w:hAnsi="Aptos"/>
          <w:i w:val="0"/>
          <w:color w:val="000000" w:themeColor="text1"/>
          <w:sz w:val="24"/>
          <w:szCs w:val="24"/>
          <w:lang w:val="fr-FR"/>
        </w:rPr>
      </w:pPr>
      <w:r w:rsidRPr="00653BF4">
        <w:rPr>
          <w:rFonts w:eastAsiaTheme="minorHAnsi"/>
          <w:i w:val="0"/>
          <w:iCs w:val="0"/>
          <w:color w:val="auto"/>
          <w:kern w:val="2"/>
          <w:sz w:val="24"/>
          <w:szCs w:val="24"/>
          <w:lang w:val="fr-FR"/>
          <w14:ligatures w14:val="standardContextual"/>
        </w:rPr>
        <w:t>Une analyse distincte des cibles nationales suggère que, pour les zones terrestres et les eaux intérieures, les engagements actuels des Parties porteraient la superficie totale des zones protégées à environ 27,5</w:t>
      </w:r>
      <w:r w:rsidR="002878D7">
        <w:rPr>
          <w:rFonts w:eastAsiaTheme="minorHAnsi"/>
          <w:i w:val="0"/>
          <w:iCs w:val="0"/>
          <w:color w:val="auto"/>
          <w:kern w:val="2"/>
          <w:sz w:val="24"/>
          <w:szCs w:val="24"/>
          <w:lang w:val="fr-FR"/>
          <w14:ligatures w14:val="standardContextual"/>
        </w:rPr>
        <w:t> %</w:t>
      </w:r>
      <w:r w:rsidRPr="00653BF4">
        <w:rPr>
          <w:rFonts w:eastAsiaTheme="minorHAnsi"/>
          <w:i w:val="0"/>
          <w:iCs w:val="0"/>
          <w:color w:val="auto"/>
          <w:kern w:val="2"/>
          <w:sz w:val="24"/>
          <w:szCs w:val="24"/>
          <w:lang w:val="fr-FR"/>
          <w14:ligatures w14:val="standardContextual"/>
        </w:rPr>
        <w:t xml:space="preserve"> d</w:t>
      </w:r>
      <w:r w:rsidR="002A58C8" w:rsidRPr="00653BF4">
        <w:rPr>
          <w:rFonts w:eastAsiaTheme="minorHAnsi"/>
          <w:i w:val="0"/>
          <w:iCs w:val="0"/>
          <w:color w:val="auto"/>
          <w:kern w:val="2"/>
          <w:sz w:val="24"/>
          <w:szCs w:val="24"/>
          <w:lang w:val="fr-FR"/>
          <w14:ligatures w14:val="standardContextual"/>
        </w:rPr>
        <w:t>’</w:t>
      </w:r>
      <w:r w:rsidRPr="00653BF4">
        <w:rPr>
          <w:rFonts w:eastAsiaTheme="minorHAnsi"/>
          <w:i w:val="0"/>
          <w:iCs w:val="0"/>
          <w:color w:val="auto"/>
          <w:kern w:val="2"/>
          <w:sz w:val="24"/>
          <w:szCs w:val="24"/>
          <w:lang w:val="fr-FR"/>
          <w14:ligatures w14:val="standardContextual"/>
        </w:rPr>
        <w:t>ici à 2030. Si toutes ces cibles nationales étaient atteintes, cela représenterait une multiplication par cinq du rythme d</w:t>
      </w:r>
      <w:r w:rsidR="002A58C8" w:rsidRPr="00653BF4">
        <w:rPr>
          <w:rFonts w:eastAsiaTheme="minorHAnsi"/>
          <w:i w:val="0"/>
          <w:iCs w:val="0"/>
          <w:color w:val="auto"/>
          <w:kern w:val="2"/>
          <w:sz w:val="24"/>
          <w:szCs w:val="24"/>
          <w:lang w:val="fr-FR"/>
          <w14:ligatures w14:val="standardContextual"/>
        </w:rPr>
        <w:t>’</w:t>
      </w:r>
      <w:r w:rsidRPr="00653BF4">
        <w:rPr>
          <w:rFonts w:eastAsiaTheme="minorHAnsi"/>
          <w:i w:val="0"/>
          <w:iCs w:val="0"/>
          <w:color w:val="auto"/>
          <w:kern w:val="2"/>
          <w:sz w:val="24"/>
          <w:szCs w:val="24"/>
          <w:lang w:val="fr-FR"/>
          <w14:ligatures w14:val="standardContextual"/>
        </w:rPr>
        <w:t>extension des zones protégées entre 2020 et 2030 par rapport à la décennie précédente. Cette analyse ne tient pas compte des cibles nationales des Parties qui ont exprimé leur intention d</w:t>
      </w:r>
      <w:r w:rsidR="002A58C8" w:rsidRPr="00653BF4">
        <w:rPr>
          <w:rFonts w:eastAsiaTheme="minorHAnsi"/>
          <w:i w:val="0"/>
          <w:iCs w:val="0"/>
          <w:color w:val="auto"/>
          <w:kern w:val="2"/>
          <w:sz w:val="24"/>
          <w:szCs w:val="24"/>
          <w:lang w:val="fr-FR"/>
          <w14:ligatures w14:val="standardContextual"/>
        </w:rPr>
        <w:t>’</w:t>
      </w:r>
      <w:r w:rsidRPr="00653BF4">
        <w:rPr>
          <w:rFonts w:eastAsiaTheme="minorHAnsi"/>
          <w:i w:val="0"/>
          <w:iCs w:val="0"/>
          <w:color w:val="auto"/>
          <w:kern w:val="2"/>
          <w:sz w:val="24"/>
          <w:szCs w:val="24"/>
          <w:lang w:val="fr-FR"/>
          <w14:ligatures w14:val="standardContextual"/>
        </w:rPr>
        <w:t>accroître les zones protégées en termes qualitatifs plutôt que quantitatifs, ni de celles des Parties qui n</w:t>
      </w:r>
      <w:r w:rsidR="002A58C8" w:rsidRPr="00653BF4">
        <w:rPr>
          <w:rFonts w:eastAsiaTheme="minorHAnsi"/>
          <w:i w:val="0"/>
          <w:iCs w:val="0"/>
          <w:color w:val="auto"/>
          <w:kern w:val="2"/>
          <w:sz w:val="24"/>
          <w:szCs w:val="24"/>
          <w:lang w:val="fr-FR"/>
          <w14:ligatures w14:val="standardContextual"/>
        </w:rPr>
        <w:t>’</w:t>
      </w:r>
      <w:r w:rsidRPr="00653BF4">
        <w:rPr>
          <w:rFonts w:eastAsiaTheme="minorHAnsi"/>
          <w:i w:val="0"/>
          <w:iCs w:val="0"/>
          <w:color w:val="auto"/>
          <w:kern w:val="2"/>
          <w:sz w:val="24"/>
          <w:szCs w:val="24"/>
          <w:lang w:val="fr-FR"/>
          <w14:ligatures w14:val="standardContextual"/>
        </w:rPr>
        <w:t>avaient pas encore présenté de cibles nationales au moment de l</w:t>
      </w:r>
      <w:r w:rsidR="002A58C8" w:rsidRPr="00653BF4">
        <w:rPr>
          <w:rFonts w:eastAsiaTheme="minorHAnsi"/>
          <w:i w:val="0"/>
          <w:iCs w:val="0"/>
          <w:color w:val="auto"/>
          <w:kern w:val="2"/>
          <w:sz w:val="24"/>
          <w:szCs w:val="24"/>
          <w:lang w:val="fr-FR"/>
          <w14:ligatures w14:val="standardContextual"/>
        </w:rPr>
        <w:t>’</w:t>
      </w:r>
      <w:r w:rsidRPr="00653BF4">
        <w:rPr>
          <w:rFonts w:eastAsiaTheme="minorHAnsi"/>
          <w:i w:val="0"/>
          <w:iCs w:val="0"/>
          <w:color w:val="auto"/>
          <w:kern w:val="2"/>
          <w:sz w:val="24"/>
          <w:szCs w:val="24"/>
          <w:lang w:val="fr-FR"/>
          <w14:ligatures w14:val="standardContextual"/>
        </w:rPr>
        <w:t xml:space="preserve">analyse (Immerzeel </w:t>
      </w:r>
      <w:r w:rsidRPr="00653BF4">
        <w:rPr>
          <w:rFonts w:eastAsiaTheme="minorHAnsi"/>
          <w:color w:val="auto"/>
          <w:kern w:val="2"/>
          <w:sz w:val="24"/>
          <w:szCs w:val="24"/>
          <w:lang w:val="fr-FR"/>
          <w14:ligatures w14:val="standardContextual"/>
        </w:rPr>
        <w:t>et al.</w:t>
      </w:r>
      <w:r w:rsidRPr="00653BF4">
        <w:rPr>
          <w:rFonts w:eastAsiaTheme="minorHAnsi"/>
          <w:i w:val="0"/>
          <w:iCs w:val="0"/>
          <w:color w:val="auto"/>
          <w:kern w:val="2"/>
          <w:sz w:val="24"/>
          <w:szCs w:val="24"/>
          <w:lang w:val="fr-FR"/>
          <w14:ligatures w14:val="standardContextual"/>
        </w:rPr>
        <w:t>, 2026).</w:t>
      </w:r>
    </w:p>
    <w:p w14:paraId="020984D1" w14:textId="77777777" w:rsidR="00E3247F" w:rsidRPr="00653BF4" w:rsidRDefault="00E3247F" w:rsidP="006C0F01">
      <w:pPr>
        <w:rPr>
          <w:lang w:val="fr-FR" w:eastAsia="ja-JP"/>
        </w:rPr>
      </w:pPr>
    </w:p>
    <w:p w14:paraId="368C7FA3" w14:textId="330A35F8" w:rsidR="006C0F01" w:rsidRPr="00653BF4" w:rsidRDefault="00DD19D2" w:rsidP="006C0F01">
      <w:pPr>
        <w:pStyle w:val="Heading5"/>
        <w:rPr>
          <w:lang w:val="fr-FR"/>
        </w:rPr>
      </w:pPr>
      <w:r w:rsidRPr="00653BF4">
        <w:rPr>
          <w:lang w:val="fr-FR"/>
        </w:rPr>
        <w:t>Indicateurs de progrès</w:t>
      </w:r>
    </w:p>
    <w:p w14:paraId="1603157F" w14:textId="77777777" w:rsidR="00C6338C" w:rsidRPr="00653BF4" w:rsidRDefault="00C6338C" w:rsidP="00E51CFC">
      <w:pPr>
        <w:pStyle w:val="Caption"/>
        <w:rPr>
          <w:lang w:val="fr-FR"/>
        </w:rPr>
      </w:pPr>
    </w:p>
    <w:p w14:paraId="5034DB52" w14:textId="37EF5B80" w:rsidR="00C6338C" w:rsidRPr="00653BF4" w:rsidRDefault="00D5751A" w:rsidP="00E51CFC">
      <w:pPr>
        <w:pStyle w:val="Caption"/>
        <w:rPr>
          <w:i w:val="0"/>
          <w:iCs w:val="0"/>
          <w:sz w:val="20"/>
          <w:szCs w:val="20"/>
          <w:lang w:val="fr-FR"/>
        </w:rPr>
      </w:pPr>
      <w:bookmarkStart w:id="106" w:name="_Ref238992789"/>
      <w:r w:rsidRPr="00653BF4">
        <w:rPr>
          <w:i w:val="0"/>
          <w:sz w:val="20"/>
          <w:szCs w:val="20"/>
          <w:lang w:val="fr-FR"/>
        </w:rPr>
        <w:t>Tableau</w:t>
      </w:r>
      <w:r w:rsidR="00D32956" w:rsidRPr="00653BF4">
        <w:rPr>
          <w:i w:val="0"/>
          <w:sz w:val="20"/>
          <w:szCs w:val="20"/>
          <w:lang w:val="fr-FR"/>
        </w:rPr>
        <w:t xml:space="preserve"> </w:t>
      </w:r>
      <w:r w:rsidR="00DC1793" w:rsidRPr="00653BF4">
        <w:rPr>
          <w:i w:val="0"/>
          <w:noProof/>
          <w:sz w:val="20"/>
          <w:szCs w:val="20"/>
          <w:lang w:val="fr-FR"/>
        </w:rPr>
        <w:t>9</w:t>
      </w:r>
      <w:bookmarkEnd w:id="106"/>
    </w:p>
    <w:p w14:paraId="2D427F53" w14:textId="5B225A08" w:rsidR="009B30CA" w:rsidRPr="00653BF4" w:rsidRDefault="005A6401" w:rsidP="00E51CFC">
      <w:pPr>
        <w:pStyle w:val="Caption"/>
        <w:rPr>
          <w:rFonts w:ascii="Aptos" w:hAnsi="Aptos"/>
          <w:sz w:val="20"/>
          <w:szCs w:val="20"/>
          <w:lang w:val="fr-FR"/>
        </w:rPr>
      </w:pPr>
      <w:r w:rsidRPr="00653BF4">
        <w:rPr>
          <w:b/>
          <w:bCs/>
          <w:i w:val="0"/>
          <w:iCs w:val="0"/>
          <w:sz w:val="20"/>
          <w:szCs w:val="20"/>
          <w:lang w:val="fr-FR"/>
        </w:rPr>
        <w:t>Tableau de bord</w:t>
      </w:r>
      <w:r w:rsidR="00665CED" w:rsidRPr="00653BF4">
        <w:rPr>
          <w:b/>
          <w:bCs/>
          <w:i w:val="0"/>
          <w:iCs w:val="0"/>
          <w:sz w:val="20"/>
          <w:szCs w:val="20"/>
          <w:lang w:val="fr-FR"/>
        </w:rPr>
        <w:t xml:space="preserve"> des indicateurs pour la </w:t>
      </w:r>
      <w:r w:rsidR="00E34DC9">
        <w:rPr>
          <w:b/>
          <w:bCs/>
          <w:i w:val="0"/>
          <w:iCs w:val="0"/>
          <w:sz w:val="20"/>
          <w:szCs w:val="20"/>
          <w:lang w:val="fr-FR"/>
        </w:rPr>
        <w:t>cible 3</w:t>
      </w:r>
      <w:r w:rsidR="00665CED" w:rsidRPr="00653BF4">
        <w:rPr>
          <w:b/>
          <w:bCs/>
          <w:i w:val="0"/>
          <w:iCs w:val="0"/>
          <w:sz w:val="20"/>
          <w:szCs w:val="20"/>
          <w:lang w:val="fr-FR"/>
        </w:rPr>
        <w:t xml:space="preserve"> du Cadre</w:t>
      </w:r>
    </w:p>
    <w:tbl>
      <w:tblPr>
        <w:tblW w:w="10300" w:type="dxa"/>
        <w:tblLook w:val="04A0" w:firstRow="1" w:lastRow="0" w:firstColumn="1" w:lastColumn="0" w:noHBand="0" w:noVBand="1"/>
      </w:tblPr>
      <w:tblGrid>
        <w:gridCol w:w="3240"/>
        <w:gridCol w:w="3240"/>
        <w:gridCol w:w="600"/>
        <w:gridCol w:w="2620"/>
        <w:gridCol w:w="600"/>
      </w:tblGrid>
      <w:tr w:rsidR="009B30CA" w:rsidRPr="00653BF4" w14:paraId="2CA3C58F" w14:textId="77777777" w:rsidTr="28D2E3A4">
        <w:trPr>
          <w:trHeight w:val="631"/>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B705C" w14:textId="77777777" w:rsidR="009B30CA" w:rsidRPr="00653BF4" w:rsidRDefault="009B30CA">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3840" w:type="dxa"/>
            <w:gridSpan w:val="2"/>
            <w:tcBorders>
              <w:top w:val="single" w:sz="4" w:space="0" w:color="auto"/>
              <w:left w:val="nil"/>
              <w:bottom w:val="single" w:sz="4" w:space="0" w:color="auto"/>
              <w:right w:val="single" w:sz="4" w:space="0" w:color="auto"/>
            </w:tcBorders>
            <w:vAlign w:val="center"/>
          </w:tcPr>
          <w:p w14:paraId="16B27821" w14:textId="1BB36504" w:rsidR="009B30CA" w:rsidRPr="00653BF4" w:rsidRDefault="002F5C1B">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color w:val="000000"/>
                <w:sz w:val="20"/>
                <w:szCs w:val="20"/>
                <w:lang w:val="fr-FR"/>
              </w:rPr>
              <w:t>Utilisation de l</w:t>
            </w:r>
            <w:r w:rsidR="002A58C8" w:rsidRPr="00653BF4">
              <w:rPr>
                <w:rFonts w:ascii="Aptos" w:hAnsi="Aptos"/>
                <w:color w:val="000000"/>
                <w:sz w:val="20"/>
                <w:szCs w:val="20"/>
                <w:lang w:val="fr-FR"/>
              </w:rPr>
              <w:t>’</w:t>
            </w:r>
            <w:r w:rsidRPr="00653BF4">
              <w:rPr>
                <w:rFonts w:ascii="Aptos" w:hAnsi="Aptos"/>
                <w:color w:val="000000"/>
                <w:sz w:val="20"/>
                <w:szCs w:val="20"/>
                <w:lang w:val="fr-FR"/>
              </w:rPr>
              <w:t>indicateur</w:t>
            </w:r>
          </w:p>
        </w:tc>
        <w:tc>
          <w:tcPr>
            <w:tcW w:w="3220" w:type="dxa"/>
            <w:gridSpan w:val="2"/>
            <w:tcBorders>
              <w:top w:val="single" w:sz="4" w:space="0" w:color="auto"/>
              <w:left w:val="nil"/>
              <w:bottom w:val="single" w:sz="4" w:space="0" w:color="auto"/>
              <w:right w:val="single" w:sz="4" w:space="0" w:color="auto"/>
            </w:tcBorders>
            <w:vAlign w:val="center"/>
          </w:tcPr>
          <w:p w14:paraId="57B74375" w14:textId="747C07D9" w:rsidR="009B30CA" w:rsidRPr="00653BF4" w:rsidRDefault="002F5C1B">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color w:val="000000"/>
                <w:sz w:val="20"/>
                <w:szCs w:val="20"/>
                <w:lang w:val="fr-FR"/>
              </w:rPr>
              <w:t>Résultats de l</w:t>
            </w:r>
            <w:r w:rsidR="002A58C8" w:rsidRPr="00653BF4">
              <w:rPr>
                <w:rFonts w:ascii="Aptos" w:hAnsi="Aptos"/>
                <w:color w:val="000000"/>
                <w:sz w:val="20"/>
                <w:szCs w:val="20"/>
                <w:lang w:val="fr-FR"/>
              </w:rPr>
              <w:t>’</w:t>
            </w:r>
            <w:r w:rsidRPr="00653BF4">
              <w:rPr>
                <w:rFonts w:ascii="Aptos" w:hAnsi="Aptos"/>
                <w:color w:val="000000"/>
                <w:sz w:val="20"/>
                <w:szCs w:val="20"/>
                <w:lang w:val="fr-FR"/>
              </w:rPr>
              <w:t>indicateur</w:t>
            </w:r>
          </w:p>
        </w:tc>
      </w:tr>
      <w:tr w:rsidR="007E4AE5" w:rsidRPr="00543148" w14:paraId="459C64E8" w14:textId="77777777" w:rsidTr="001D24A3">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DEC190" w14:textId="195FD16B" w:rsidR="007E4AE5" w:rsidRPr="00653BF4" w:rsidRDefault="007E4AE5" w:rsidP="007E4AE5">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I</w:t>
            </w:r>
            <w:r w:rsidR="003C5C35" w:rsidRPr="00653BF4">
              <w:rPr>
                <w:rFonts w:ascii="Aptos" w:eastAsia="Times New Roman" w:hAnsi="Aptos" w:cs="Times New Roman"/>
                <w:color w:val="000000"/>
                <w:kern w:val="0"/>
                <w:sz w:val="20"/>
                <w:szCs w:val="20"/>
                <w:lang w:val="fr-FR" w:eastAsia="en-CA"/>
                <w14:ligatures w14:val="none"/>
              </w:rPr>
              <w:t>ndicateur phare</w:t>
            </w:r>
            <w:r w:rsidRPr="00653BF4">
              <w:rPr>
                <w:rFonts w:ascii="Aptos" w:eastAsia="Times New Roman" w:hAnsi="Aptos" w:cs="Times New Roman"/>
                <w:color w:val="000000"/>
                <w:kern w:val="0"/>
                <w:sz w:val="20"/>
                <w:szCs w:val="20"/>
                <w:lang w:val="fr-FR" w:eastAsia="en-CA"/>
                <w14:ligatures w14:val="none"/>
              </w:rPr>
              <w:t xml:space="preserve"> 3.1</w:t>
            </w:r>
            <w:r w:rsidR="00E34DC9">
              <w:rPr>
                <w:rFonts w:ascii="Aptos" w:eastAsia="Times New Roman" w:hAnsi="Aptos" w:cs="Times New Roman"/>
                <w:color w:val="000000"/>
                <w:kern w:val="0"/>
                <w:sz w:val="20"/>
                <w:szCs w:val="20"/>
                <w:lang w:val="fr-FR" w:eastAsia="en-CA"/>
                <w14:ligatures w14:val="none"/>
              </w:rPr>
              <w:t> :</w:t>
            </w:r>
            <w:r w:rsidRPr="00653BF4">
              <w:rPr>
                <w:rFonts w:ascii="Aptos" w:eastAsia="Times New Roman" w:hAnsi="Aptos" w:cs="Times New Roman"/>
                <w:color w:val="000000"/>
                <w:kern w:val="0"/>
                <w:sz w:val="20"/>
                <w:szCs w:val="20"/>
                <w:lang w:val="fr-FR" w:eastAsia="en-CA"/>
                <w14:ligatures w14:val="none"/>
              </w:rPr>
              <w:t xml:space="preserve"> couverture des </w:t>
            </w:r>
            <w:r w:rsidR="00160D52">
              <w:rPr>
                <w:rFonts w:ascii="Aptos" w:eastAsia="Times New Roman" w:hAnsi="Aptos" w:cs="Times New Roman"/>
                <w:color w:val="000000"/>
                <w:kern w:val="0"/>
                <w:sz w:val="20"/>
                <w:szCs w:val="20"/>
                <w:lang w:val="fr-FR" w:eastAsia="en-CA"/>
                <w14:ligatures w14:val="none"/>
              </w:rPr>
              <w:t>aires</w:t>
            </w:r>
            <w:r w:rsidRPr="00653BF4">
              <w:rPr>
                <w:rFonts w:ascii="Aptos" w:eastAsia="Times New Roman" w:hAnsi="Aptos" w:cs="Times New Roman"/>
                <w:color w:val="000000"/>
                <w:kern w:val="0"/>
                <w:sz w:val="20"/>
                <w:szCs w:val="20"/>
                <w:lang w:val="fr-FR" w:eastAsia="en-CA"/>
                <w14:ligatures w14:val="none"/>
              </w:rPr>
              <w:t xml:space="preserve"> protégées </w:t>
            </w:r>
            <w:r w:rsidR="00176D31">
              <w:rPr>
                <w:rFonts w:ascii="Aptos" w:eastAsia="Times New Roman" w:hAnsi="Aptos" w:cs="Times New Roman"/>
                <w:color w:val="000000"/>
                <w:kern w:val="0"/>
                <w:sz w:val="20"/>
                <w:szCs w:val="20"/>
                <w:lang w:val="fr-FR" w:eastAsia="en-CA"/>
                <w14:ligatures w14:val="none"/>
              </w:rPr>
              <w:t xml:space="preserve">et </w:t>
            </w:r>
            <w:r w:rsidR="007F0890">
              <w:rPr>
                <w:rFonts w:ascii="Aptos" w:eastAsia="Times New Roman" w:hAnsi="Aptos" w:cs="Times New Roman"/>
                <w:color w:val="000000"/>
                <w:kern w:val="0"/>
                <w:sz w:val="20"/>
                <w:szCs w:val="20"/>
                <w:lang w:val="fr-FR" w:eastAsia="en-CA"/>
                <w14:ligatures w14:val="none"/>
              </w:rPr>
              <w:t>d’autres mesures de conservation efficace par zone</w:t>
            </w:r>
          </w:p>
        </w:tc>
        <w:tc>
          <w:tcPr>
            <w:tcW w:w="3240" w:type="dxa"/>
            <w:tcBorders>
              <w:top w:val="single" w:sz="4" w:space="0" w:color="auto"/>
              <w:left w:val="nil"/>
              <w:bottom w:val="single" w:sz="4" w:space="0" w:color="auto"/>
              <w:right w:val="single" w:sz="4" w:space="0" w:color="auto"/>
            </w:tcBorders>
            <w:hideMark/>
          </w:tcPr>
          <w:p w14:paraId="79B47724" w14:textId="4033783B" w:rsidR="007E4AE5" w:rsidRPr="00653BF4" w:rsidRDefault="007E4AE5" w:rsidP="007E4AE5">
            <w:pPr>
              <w:spacing w:after="0" w:line="240" w:lineRule="auto"/>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78</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des Parties ayant établi des rapports, représentant 54</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des terres et 39</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des mers</w:t>
            </w:r>
          </w:p>
        </w:tc>
        <w:tc>
          <w:tcPr>
            <w:tcW w:w="600" w:type="dxa"/>
            <w:tcBorders>
              <w:top w:val="single" w:sz="4" w:space="0" w:color="auto"/>
              <w:left w:val="nil"/>
              <w:bottom w:val="single" w:sz="4" w:space="0" w:color="auto"/>
              <w:right w:val="single" w:sz="4" w:space="0" w:color="auto"/>
            </w:tcBorders>
            <w:shd w:val="clear" w:color="auto" w:fill="92D050"/>
            <w:vAlign w:val="center"/>
            <w:hideMark/>
          </w:tcPr>
          <w:p w14:paraId="1B4BAB5F" w14:textId="77777777" w:rsidR="007E4AE5" w:rsidRPr="00653BF4" w:rsidRDefault="007E4AE5" w:rsidP="007E4AE5">
            <w:pPr>
              <w:spacing w:after="0" w:line="240" w:lineRule="auto"/>
              <w:rPr>
                <w:rFonts w:ascii="Aptos" w:eastAsia="Times New Roman" w:hAnsi="Aptos" w:cs="Times New Roman"/>
                <w:color w:val="000000"/>
                <w:kern w:val="0"/>
                <w:sz w:val="20"/>
                <w:szCs w:val="20"/>
                <w:lang w:val="fr-FR" w:eastAsia="en-CA"/>
                <w14:ligatures w14:val="none"/>
              </w:rPr>
            </w:pPr>
          </w:p>
        </w:tc>
        <w:tc>
          <w:tcPr>
            <w:tcW w:w="2620" w:type="dxa"/>
            <w:tcBorders>
              <w:top w:val="single" w:sz="4" w:space="0" w:color="auto"/>
              <w:left w:val="nil"/>
              <w:bottom w:val="single" w:sz="4" w:space="0" w:color="auto"/>
              <w:right w:val="single" w:sz="4" w:space="0" w:color="auto"/>
            </w:tcBorders>
            <w:hideMark/>
          </w:tcPr>
          <w:p w14:paraId="40FA28C3" w14:textId="7B3F68EB" w:rsidR="007E4AE5" w:rsidRPr="00653BF4" w:rsidRDefault="007E4AE5" w:rsidP="007E4AE5">
            <w:pPr>
              <w:spacing w:after="0" w:line="240" w:lineRule="auto"/>
              <w:rPr>
                <w:rFonts w:ascii="Aptos" w:eastAsia="Times New Roman" w:hAnsi="Aptos" w:cs="Calibri"/>
                <w:color w:val="000000"/>
                <w:kern w:val="0"/>
                <w:sz w:val="20"/>
                <w:szCs w:val="20"/>
                <w:lang w:val="fr-FR" w:eastAsia="en-CA"/>
                <w14:ligatures w14:val="none"/>
              </w:rPr>
            </w:pPr>
            <w:r w:rsidRPr="00653BF4">
              <w:rPr>
                <w:rFonts w:ascii="Aptos" w:hAnsi="Aptos"/>
                <w:sz w:val="20"/>
                <w:szCs w:val="20"/>
                <w:lang w:val="fr-FR"/>
              </w:rPr>
              <w:t>Couverture en hausse depuis 2020 (16,7</w:t>
            </w:r>
            <w:r w:rsidR="002878D7">
              <w:rPr>
                <w:rFonts w:ascii="Aptos" w:hAnsi="Aptos"/>
                <w:sz w:val="20"/>
                <w:szCs w:val="20"/>
                <w:lang w:val="fr-FR"/>
              </w:rPr>
              <w:t> %</w:t>
            </w:r>
            <w:r w:rsidRPr="00653BF4">
              <w:rPr>
                <w:rFonts w:ascii="Aptos" w:hAnsi="Aptos"/>
                <w:sz w:val="20"/>
                <w:szCs w:val="20"/>
                <w:lang w:val="fr-FR"/>
              </w:rPr>
              <w:t xml:space="preserve"> des Parties ayant établi des rapports pour les zones marines et côtières et 19,5</w:t>
            </w:r>
            <w:r w:rsidR="002878D7">
              <w:rPr>
                <w:rFonts w:ascii="Aptos" w:hAnsi="Aptos"/>
                <w:sz w:val="20"/>
                <w:szCs w:val="20"/>
                <w:lang w:val="fr-FR"/>
              </w:rPr>
              <w:t> %</w:t>
            </w:r>
            <w:r w:rsidRPr="00653BF4">
              <w:rPr>
                <w:rFonts w:ascii="Aptos" w:hAnsi="Aptos"/>
                <w:sz w:val="20"/>
                <w:szCs w:val="20"/>
                <w:lang w:val="fr-FR"/>
              </w:rPr>
              <w:t xml:space="preserve"> pour les zones terrestres et les eaux intérieures, soit une augmentation de 2,9</w:t>
            </w:r>
            <w:r w:rsidR="002878D7">
              <w:rPr>
                <w:rFonts w:ascii="Aptos" w:hAnsi="Aptos"/>
                <w:sz w:val="20"/>
                <w:szCs w:val="20"/>
                <w:lang w:val="fr-FR"/>
              </w:rPr>
              <w:t> %</w:t>
            </w:r>
            <w:r w:rsidRPr="00653BF4">
              <w:rPr>
                <w:rFonts w:ascii="Aptos" w:hAnsi="Aptos"/>
                <w:sz w:val="20"/>
                <w:szCs w:val="20"/>
                <w:lang w:val="fr-FR"/>
              </w:rPr>
              <w:t xml:space="preserve"> et 2,2</w:t>
            </w:r>
            <w:r w:rsidR="002878D7">
              <w:rPr>
                <w:rFonts w:ascii="Aptos" w:hAnsi="Aptos"/>
                <w:sz w:val="20"/>
                <w:szCs w:val="20"/>
                <w:lang w:val="fr-FR"/>
              </w:rPr>
              <w:t> %</w:t>
            </w:r>
            <w:r w:rsidRPr="00653BF4">
              <w:rPr>
                <w:rFonts w:ascii="Aptos" w:hAnsi="Aptos"/>
                <w:sz w:val="20"/>
                <w:szCs w:val="20"/>
                <w:lang w:val="fr-FR"/>
              </w:rPr>
              <w:t xml:space="preserve"> respectivement), mais qui reste encore loin de la cible de 30</w:t>
            </w:r>
            <w:r w:rsidR="002878D7">
              <w:rPr>
                <w:rFonts w:ascii="Aptos" w:hAnsi="Aptos"/>
                <w:sz w:val="20"/>
                <w:szCs w:val="20"/>
                <w:lang w:val="fr-FR"/>
              </w:rPr>
              <w:t> %</w:t>
            </w:r>
          </w:p>
        </w:tc>
        <w:tc>
          <w:tcPr>
            <w:tcW w:w="600" w:type="dxa"/>
            <w:tcBorders>
              <w:top w:val="single" w:sz="4" w:space="0" w:color="auto"/>
              <w:left w:val="nil"/>
              <w:bottom w:val="single" w:sz="4" w:space="0" w:color="auto"/>
              <w:right w:val="single" w:sz="4" w:space="0" w:color="auto"/>
            </w:tcBorders>
            <w:shd w:val="clear" w:color="auto" w:fill="C00000"/>
            <w:vAlign w:val="center"/>
            <w:hideMark/>
          </w:tcPr>
          <w:p w14:paraId="57FAA518" w14:textId="77777777" w:rsidR="007E4AE5" w:rsidRPr="00653BF4" w:rsidRDefault="007E4AE5" w:rsidP="007E4AE5">
            <w:pPr>
              <w:spacing w:after="0" w:line="240" w:lineRule="auto"/>
              <w:jc w:val="center"/>
              <w:rPr>
                <w:rFonts w:ascii="Aptos" w:eastAsia="Times New Roman" w:hAnsi="Aptos" w:cs="Times New Roman"/>
                <w:color w:val="000000"/>
                <w:kern w:val="0"/>
                <w:sz w:val="20"/>
                <w:szCs w:val="20"/>
                <w:lang w:val="fr-FR" w:eastAsia="en-CA"/>
                <w14:ligatures w14:val="none"/>
              </w:rPr>
            </w:pPr>
          </w:p>
        </w:tc>
      </w:tr>
      <w:tr w:rsidR="007E4AE5" w:rsidRPr="00543148" w14:paraId="4817A1C1" w14:textId="77777777" w:rsidTr="001D24A3">
        <w:trPr>
          <w:trHeight w:val="1050"/>
        </w:trPr>
        <w:tc>
          <w:tcPr>
            <w:tcW w:w="324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BD7F44C" w14:textId="3AAB5EC6" w:rsidR="007E4AE5" w:rsidRPr="00653BF4" w:rsidRDefault="007E4AE5" w:rsidP="007E4AE5">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Ensemble des indicateurs quantitatifs</w:t>
            </w:r>
          </w:p>
        </w:tc>
        <w:tc>
          <w:tcPr>
            <w:tcW w:w="3240" w:type="dxa"/>
            <w:tcBorders>
              <w:top w:val="nil"/>
              <w:left w:val="nil"/>
              <w:bottom w:val="single" w:sz="4" w:space="0" w:color="auto"/>
              <w:right w:val="single" w:sz="4" w:space="0" w:color="auto"/>
            </w:tcBorders>
            <w:hideMark/>
          </w:tcPr>
          <w:p w14:paraId="46C3BD2F" w14:textId="4EEEACE8" w:rsidR="007E4AE5" w:rsidRPr="00653BF4" w:rsidRDefault="007E4AE5" w:rsidP="007E4AE5">
            <w:pPr>
              <w:spacing w:after="0" w:line="240" w:lineRule="auto"/>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85 Parties, soit 66</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des Parties dont les rapports nationaux sont examinés dans le rapport global</w:t>
            </w:r>
          </w:p>
        </w:tc>
        <w:tc>
          <w:tcPr>
            <w:tcW w:w="600" w:type="dxa"/>
            <w:tcBorders>
              <w:top w:val="nil"/>
              <w:left w:val="nil"/>
              <w:bottom w:val="single" w:sz="4" w:space="0" w:color="auto"/>
              <w:right w:val="single" w:sz="4" w:space="0" w:color="auto"/>
            </w:tcBorders>
            <w:shd w:val="clear" w:color="auto" w:fill="92D050"/>
            <w:vAlign w:val="center"/>
            <w:hideMark/>
          </w:tcPr>
          <w:p w14:paraId="5E3D890B" w14:textId="77777777" w:rsidR="007E4AE5" w:rsidRPr="00653BF4" w:rsidRDefault="007E4AE5" w:rsidP="007E4AE5">
            <w:pPr>
              <w:spacing w:after="0" w:line="240" w:lineRule="auto"/>
              <w:rPr>
                <w:rFonts w:ascii="Aptos" w:eastAsia="Times New Roman" w:hAnsi="Aptos" w:cs="Times New Roman"/>
                <w:color w:val="000000"/>
                <w:kern w:val="0"/>
                <w:sz w:val="20"/>
                <w:szCs w:val="20"/>
                <w:lang w:val="fr-FR" w:eastAsia="en-CA"/>
                <w14:ligatures w14:val="none"/>
              </w:rPr>
            </w:pPr>
          </w:p>
        </w:tc>
        <w:tc>
          <w:tcPr>
            <w:tcW w:w="2620" w:type="dxa"/>
            <w:tcBorders>
              <w:top w:val="nil"/>
              <w:left w:val="nil"/>
              <w:bottom w:val="single" w:sz="4" w:space="0" w:color="auto"/>
              <w:right w:val="single" w:sz="4" w:space="0" w:color="auto"/>
            </w:tcBorders>
            <w:hideMark/>
          </w:tcPr>
          <w:p w14:paraId="39A3D8B5" w14:textId="32247BE7" w:rsidR="007E4AE5" w:rsidRPr="00653BF4" w:rsidRDefault="007E4AE5" w:rsidP="007E4AE5">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hAnsi="Aptos"/>
                <w:sz w:val="20"/>
                <w:szCs w:val="20"/>
                <w:lang w:val="fr-FR"/>
              </w:rPr>
              <w:t>25</w:t>
            </w:r>
            <w:r w:rsidR="002878D7">
              <w:rPr>
                <w:rFonts w:ascii="Aptos" w:hAnsi="Aptos"/>
                <w:sz w:val="20"/>
                <w:szCs w:val="20"/>
                <w:lang w:val="fr-FR"/>
              </w:rPr>
              <w:t> %</w:t>
            </w:r>
            <w:r w:rsidRPr="00653BF4">
              <w:rPr>
                <w:rFonts w:ascii="Aptos" w:hAnsi="Aptos"/>
                <w:sz w:val="20"/>
                <w:szCs w:val="20"/>
                <w:lang w:val="fr-FR"/>
              </w:rPr>
              <w:t xml:space="preserve"> de tendances positives, 5</w:t>
            </w:r>
            <w:r w:rsidR="002878D7">
              <w:rPr>
                <w:rFonts w:ascii="Aptos" w:hAnsi="Aptos"/>
                <w:sz w:val="20"/>
                <w:szCs w:val="20"/>
                <w:lang w:val="fr-FR"/>
              </w:rPr>
              <w:t> %</w:t>
            </w:r>
            <w:r w:rsidRPr="00653BF4">
              <w:rPr>
                <w:rFonts w:ascii="Aptos" w:hAnsi="Aptos"/>
                <w:sz w:val="20"/>
                <w:szCs w:val="20"/>
                <w:lang w:val="fr-FR"/>
              </w:rPr>
              <w:t xml:space="preserve"> de tendances négatives</w:t>
            </w:r>
          </w:p>
        </w:tc>
        <w:tc>
          <w:tcPr>
            <w:tcW w:w="600" w:type="dxa"/>
            <w:tcBorders>
              <w:top w:val="nil"/>
              <w:left w:val="nil"/>
              <w:bottom w:val="single" w:sz="4" w:space="0" w:color="auto"/>
              <w:right w:val="single" w:sz="4" w:space="0" w:color="auto"/>
            </w:tcBorders>
            <w:shd w:val="clear" w:color="auto" w:fill="FFC000"/>
            <w:vAlign w:val="center"/>
            <w:hideMark/>
          </w:tcPr>
          <w:p w14:paraId="5DBD73FD" w14:textId="77777777" w:rsidR="007E4AE5" w:rsidRPr="00653BF4" w:rsidRDefault="007E4AE5" w:rsidP="007E4AE5">
            <w:pPr>
              <w:spacing w:after="0" w:line="240" w:lineRule="auto"/>
              <w:jc w:val="center"/>
              <w:rPr>
                <w:rFonts w:ascii="Aptos" w:eastAsia="Times New Roman" w:hAnsi="Aptos" w:cs="Times New Roman"/>
                <w:color w:val="000000"/>
                <w:kern w:val="0"/>
                <w:sz w:val="20"/>
                <w:szCs w:val="20"/>
                <w:lang w:val="fr-FR" w:eastAsia="en-CA"/>
                <w14:ligatures w14:val="none"/>
              </w:rPr>
            </w:pPr>
          </w:p>
        </w:tc>
      </w:tr>
      <w:tr w:rsidR="009B30CA" w:rsidRPr="00543148" w14:paraId="1F421BBB" w14:textId="77777777" w:rsidTr="28D2E3A4">
        <w:trPr>
          <w:trHeight w:val="1050"/>
        </w:trPr>
        <w:tc>
          <w:tcPr>
            <w:tcW w:w="3240" w:type="dxa"/>
            <w:tcBorders>
              <w:top w:val="nil"/>
              <w:left w:val="single" w:sz="4" w:space="0" w:color="auto"/>
              <w:bottom w:val="single" w:sz="4" w:space="0" w:color="auto"/>
              <w:right w:val="single" w:sz="4" w:space="0" w:color="auto"/>
            </w:tcBorders>
            <w:shd w:val="clear" w:color="auto" w:fill="FFFFFF" w:themeFill="background1"/>
            <w:vAlign w:val="center"/>
          </w:tcPr>
          <w:p w14:paraId="4DA531B8" w14:textId="2F233EF2" w:rsidR="009B30CA" w:rsidRPr="00653BF4" w:rsidRDefault="002F5C1B">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Notes sur les biomes</w:t>
            </w:r>
          </w:p>
        </w:tc>
        <w:tc>
          <w:tcPr>
            <w:tcW w:w="7060" w:type="dxa"/>
            <w:gridSpan w:val="4"/>
            <w:tcBorders>
              <w:top w:val="nil"/>
              <w:left w:val="nil"/>
              <w:bottom w:val="single" w:sz="4" w:space="0" w:color="auto"/>
              <w:right w:val="single" w:sz="4" w:space="0" w:color="auto"/>
            </w:tcBorders>
            <w:vAlign w:val="center"/>
          </w:tcPr>
          <w:p w14:paraId="73CD1F99" w14:textId="77898CFD" w:rsidR="009B30CA" w:rsidRPr="00653BF4" w:rsidRDefault="007E4AE5" w:rsidP="00E606C4">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Toutes les informations relatives à cette cible ont été présentées séparément pour les zones terrestres, marines et côtières. Les données disponibles étaient insuffisantes pour procéder à une ventilation plus fine par zones d</w:t>
            </w:r>
            <w:r w:rsidR="002A58C8" w:rsidRPr="00653BF4">
              <w:rPr>
                <w:rFonts w:ascii="Aptos" w:eastAsia="Times New Roman" w:hAnsi="Aptos" w:cs="Times New Roman"/>
                <w:color w:val="000000"/>
                <w:kern w:val="0"/>
                <w:sz w:val="20"/>
                <w:szCs w:val="20"/>
                <w:lang w:val="fr-FR" w:eastAsia="en-CA"/>
                <w14:ligatures w14:val="none"/>
              </w:rPr>
              <w:t>’</w:t>
            </w:r>
            <w:r w:rsidRPr="00653BF4">
              <w:rPr>
                <w:rFonts w:ascii="Aptos" w:eastAsia="Times New Roman" w:hAnsi="Aptos" w:cs="Times New Roman"/>
                <w:color w:val="000000"/>
                <w:kern w:val="0"/>
                <w:sz w:val="20"/>
                <w:szCs w:val="20"/>
                <w:lang w:val="fr-FR" w:eastAsia="en-CA"/>
                <w14:ligatures w14:val="none"/>
              </w:rPr>
              <w:t>eaux intérieures ou par OECM.</w:t>
            </w:r>
          </w:p>
        </w:tc>
      </w:tr>
    </w:tbl>
    <w:p w14:paraId="16EE85A1" w14:textId="77777777" w:rsidR="00AE554E" w:rsidRPr="00653BF4" w:rsidRDefault="00AE554E" w:rsidP="00CF2B14">
      <w:pPr>
        <w:pStyle w:val="Caption"/>
        <w:rPr>
          <w:lang w:val="fr-FR"/>
        </w:rPr>
      </w:pPr>
    </w:p>
    <w:p w14:paraId="5730F4E3" w14:textId="77777777" w:rsidR="008858E3" w:rsidRPr="00653BF4" w:rsidRDefault="008858E3" w:rsidP="008858E3">
      <w:pPr>
        <w:pStyle w:val="Caption"/>
        <w:rPr>
          <w:lang w:val="fr-FR"/>
        </w:rPr>
      </w:pPr>
    </w:p>
    <w:p w14:paraId="4483490A" w14:textId="42256DDF" w:rsidR="008858E3" w:rsidRPr="00653BF4" w:rsidRDefault="006A631C" w:rsidP="008858E3">
      <w:pPr>
        <w:rPr>
          <w:rFonts w:ascii="Aptos" w:hAnsi="Aptos"/>
          <w:sz w:val="16"/>
          <w:szCs w:val="16"/>
          <w:lang w:val="fr-FR"/>
        </w:rPr>
      </w:pPr>
      <w:r w:rsidRPr="00653BF4">
        <w:rPr>
          <w:rFonts w:ascii="Aptos" w:hAnsi="Aptos"/>
          <w:i/>
          <w:iCs/>
          <w:sz w:val="16"/>
          <w:szCs w:val="16"/>
          <w:lang w:val="fr-FR"/>
        </w:rPr>
        <w:t>Note</w:t>
      </w:r>
      <w:r w:rsidR="00E34DC9">
        <w:rPr>
          <w:rFonts w:ascii="Aptos" w:hAnsi="Aptos"/>
          <w:i/>
          <w:iCs/>
          <w:sz w:val="16"/>
          <w:szCs w:val="16"/>
          <w:lang w:val="fr-FR"/>
        </w:rPr>
        <w:t> :</w:t>
      </w:r>
      <w:r w:rsidR="008858E3" w:rsidRPr="00653BF4">
        <w:rPr>
          <w:rFonts w:ascii="Aptos" w:hAnsi="Aptos"/>
          <w:sz w:val="16"/>
          <w:szCs w:val="16"/>
          <w:lang w:val="fr-FR"/>
        </w:rPr>
        <w:t xml:space="preserve"> </w:t>
      </w:r>
      <w:r w:rsidR="00A35D00" w:rsidRPr="00653BF4">
        <w:rPr>
          <w:rFonts w:ascii="Aptos" w:hAnsi="Aptos"/>
          <w:sz w:val="16"/>
          <w:szCs w:val="16"/>
          <w:lang w:val="fr-FR"/>
        </w:rPr>
        <w:t>Le code couleur se rapporte à l’évaluation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rFonts w:ascii="Aptos" w:hAnsi="Aptos"/>
          <w:sz w:val="16"/>
          <w:szCs w:val="16"/>
          <w:lang w:val="fr-FR"/>
        </w:rPr>
        <w:t> %</w:t>
      </w:r>
      <w:r w:rsidR="00A35D00" w:rsidRPr="00653BF4">
        <w:rPr>
          <w:rFonts w:ascii="Aptos" w:hAnsi="Aptos"/>
          <w:sz w:val="16"/>
          <w:szCs w:val="16"/>
          <w:lang w:val="fr-FR"/>
        </w:rPr>
        <w:t>, le jaune aux valeurs comprises entre 25</w:t>
      </w:r>
      <w:r w:rsidR="002878D7">
        <w:rPr>
          <w:rFonts w:ascii="Aptos" w:hAnsi="Aptos"/>
          <w:sz w:val="16"/>
          <w:szCs w:val="16"/>
          <w:lang w:val="fr-FR"/>
        </w:rPr>
        <w:t> %</w:t>
      </w:r>
      <w:r w:rsidR="00A35D00" w:rsidRPr="00653BF4">
        <w:rPr>
          <w:rFonts w:ascii="Aptos" w:hAnsi="Aptos"/>
          <w:sz w:val="16"/>
          <w:szCs w:val="16"/>
          <w:lang w:val="fr-FR"/>
        </w:rPr>
        <w:t xml:space="preserve"> et 50</w:t>
      </w:r>
      <w:r w:rsidR="002878D7">
        <w:rPr>
          <w:rFonts w:ascii="Aptos" w:hAnsi="Aptos"/>
          <w:sz w:val="16"/>
          <w:szCs w:val="16"/>
          <w:lang w:val="fr-FR"/>
        </w:rPr>
        <w:t> %</w:t>
      </w:r>
      <w:r w:rsidR="00A35D00" w:rsidRPr="00653BF4">
        <w:rPr>
          <w:rFonts w:ascii="Aptos" w:hAnsi="Aptos"/>
          <w:sz w:val="16"/>
          <w:szCs w:val="16"/>
          <w:lang w:val="fr-FR"/>
        </w:rPr>
        <w:t>, et le rouge aux valeurs inférieures à 25</w:t>
      </w:r>
      <w:r w:rsidR="002878D7">
        <w:rPr>
          <w:rFonts w:ascii="Aptos" w:hAnsi="Aptos"/>
          <w:sz w:val="16"/>
          <w:szCs w:val="16"/>
          <w:lang w:val="fr-FR"/>
        </w:rPr>
        <w:t> %</w:t>
      </w:r>
      <w:r w:rsidR="00A35D00" w:rsidRPr="00653BF4">
        <w:rPr>
          <w:rFonts w:ascii="Aptos" w:hAnsi="Aptos"/>
          <w:sz w:val="16"/>
          <w:szCs w:val="16"/>
          <w:lang w:val="fr-FR"/>
        </w:rPr>
        <w:t>).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605FD310" w14:textId="77777777" w:rsidR="008858E3" w:rsidRPr="00653BF4" w:rsidRDefault="008858E3" w:rsidP="008858E3">
      <w:pPr>
        <w:rPr>
          <w:lang w:val="fr-FR" w:eastAsia="ja-JP"/>
        </w:rPr>
      </w:pPr>
    </w:p>
    <w:p w14:paraId="2C929AF2" w14:textId="3578C1AB" w:rsidR="00080A85" w:rsidRPr="00653BF4" w:rsidRDefault="00850F29" w:rsidP="00EA652B">
      <w:pPr>
        <w:pStyle w:val="Caption"/>
        <w:rPr>
          <w:i w:val="0"/>
          <w:color w:val="000000" w:themeColor="text1"/>
          <w:sz w:val="24"/>
          <w:szCs w:val="24"/>
          <w:lang w:val="fr-FR"/>
        </w:rPr>
      </w:pPr>
      <w:r w:rsidRPr="00653BF4">
        <w:rPr>
          <w:i w:val="0"/>
          <w:sz w:val="24"/>
          <w:szCs w:val="24"/>
          <w:lang w:val="fr-FR"/>
        </w:rPr>
        <w:t>Sur les 196 Parties à la Convention, 100 ont présenté des données relatives à l</w:t>
      </w:r>
      <w:r w:rsidR="002A58C8" w:rsidRPr="00653BF4">
        <w:rPr>
          <w:i w:val="0"/>
          <w:sz w:val="24"/>
          <w:szCs w:val="24"/>
          <w:lang w:val="fr-FR"/>
        </w:rPr>
        <w:t>’</w:t>
      </w:r>
      <w:r w:rsidRPr="00653BF4">
        <w:rPr>
          <w:i w:val="0"/>
          <w:sz w:val="24"/>
          <w:szCs w:val="24"/>
          <w:lang w:val="fr-FR"/>
        </w:rPr>
        <w:t>i</w:t>
      </w:r>
      <w:r w:rsidR="003C5C35" w:rsidRPr="00653BF4">
        <w:rPr>
          <w:i w:val="0"/>
          <w:sz w:val="24"/>
          <w:szCs w:val="24"/>
          <w:lang w:val="fr-FR"/>
        </w:rPr>
        <w:t>ndicateur phare</w:t>
      </w:r>
      <w:r w:rsidRPr="00653BF4">
        <w:rPr>
          <w:i w:val="0"/>
          <w:sz w:val="24"/>
          <w:szCs w:val="24"/>
          <w:lang w:val="fr-FR"/>
        </w:rPr>
        <w:t xml:space="preserve"> 3.1 (couverture des zones protégées et des OECM) dans leurs rapports nationaux reçus dans les délais prescrits pour être pris en compte dans le rapport mondial (</w:t>
      </w:r>
      <w:r w:rsidR="00592405" w:rsidRPr="00653BF4">
        <w:rPr>
          <w:i w:val="0"/>
          <w:sz w:val="24"/>
          <w:szCs w:val="24"/>
          <w:lang w:val="fr-FR"/>
        </w:rPr>
        <w:t>voir le tableau </w:t>
      </w:r>
      <w:r w:rsidRPr="00653BF4">
        <w:rPr>
          <w:i w:val="0"/>
          <w:sz w:val="24"/>
          <w:szCs w:val="24"/>
          <w:lang w:val="fr-FR"/>
        </w:rPr>
        <w:t>9). La couverture, au sein des juridictions de ces Parties ayant établi des rapports, des zones marines et côtières s</w:t>
      </w:r>
      <w:r w:rsidR="002A58C8" w:rsidRPr="00653BF4">
        <w:rPr>
          <w:i w:val="0"/>
          <w:sz w:val="24"/>
          <w:szCs w:val="24"/>
          <w:lang w:val="fr-FR"/>
        </w:rPr>
        <w:t>’</w:t>
      </w:r>
      <w:r w:rsidRPr="00653BF4">
        <w:rPr>
          <w:i w:val="0"/>
          <w:sz w:val="24"/>
          <w:szCs w:val="24"/>
          <w:lang w:val="fr-FR"/>
        </w:rPr>
        <w:t>élève actuellement à 16,7</w:t>
      </w:r>
      <w:r w:rsidR="002878D7">
        <w:rPr>
          <w:i w:val="0"/>
          <w:sz w:val="24"/>
          <w:szCs w:val="24"/>
          <w:lang w:val="fr-FR"/>
        </w:rPr>
        <w:t> %</w:t>
      </w:r>
      <w:r w:rsidRPr="00653BF4">
        <w:rPr>
          <w:i w:val="0"/>
          <w:sz w:val="24"/>
          <w:szCs w:val="24"/>
          <w:lang w:val="fr-FR"/>
        </w:rPr>
        <w:t>, tandis que celle de leurs zones terrestres et de leurs eaux intérieures est de 19,5</w:t>
      </w:r>
      <w:r w:rsidR="002878D7">
        <w:rPr>
          <w:i w:val="0"/>
          <w:sz w:val="24"/>
          <w:szCs w:val="24"/>
          <w:lang w:val="fr-FR"/>
        </w:rPr>
        <w:t> %</w:t>
      </w:r>
      <w:r w:rsidRPr="00653BF4">
        <w:rPr>
          <w:i w:val="0"/>
          <w:sz w:val="24"/>
          <w:szCs w:val="24"/>
          <w:lang w:val="fr-FR"/>
        </w:rPr>
        <w:t xml:space="preserve"> (</w:t>
      </w:r>
      <w:r w:rsidR="00592405" w:rsidRPr="00653BF4">
        <w:rPr>
          <w:i w:val="0"/>
          <w:sz w:val="24"/>
          <w:szCs w:val="24"/>
          <w:lang w:val="fr-FR"/>
        </w:rPr>
        <w:t>voir la figure </w:t>
      </w:r>
      <w:r w:rsidRPr="00653BF4">
        <w:rPr>
          <w:i w:val="0"/>
          <w:sz w:val="24"/>
          <w:szCs w:val="24"/>
          <w:lang w:val="fr-FR"/>
        </w:rPr>
        <w:t>14). En complément de ces informations, la Base de données mondiale sur les zones protégées et conservées (WDPCA) indique que la couverture mondiale des zones terrestres et des eaux intérieures s</w:t>
      </w:r>
      <w:r w:rsidR="002A58C8" w:rsidRPr="00653BF4">
        <w:rPr>
          <w:i w:val="0"/>
          <w:sz w:val="24"/>
          <w:szCs w:val="24"/>
          <w:lang w:val="fr-FR"/>
        </w:rPr>
        <w:t>’</w:t>
      </w:r>
      <w:r w:rsidRPr="00653BF4">
        <w:rPr>
          <w:i w:val="0"/>
          <w:sz w:val="24"/>
          <w:szCs w:val="24"/>
          <w:lang w:val="fr-FR"/>
        </w:rPr>
        <w:t>élève désormais à 18,4</w:t>
      </w:r>
      <w:r w:rsidR="002878D7">
        <w:rPr>
          <w:i w:val="0"/>
          <w:sz w:val="24"/>
          <w:szCs w:val="24"/>
          <w:lang w:val="fr-FR"/>
        </w:rPr>
        <w:t> %</w:t>
      </w:r>
      <w:r w:rsidRPr="00653BF4">
        <w:rPr>
          <w:i w:val="0"/>
          <w:sz w:val="24"/>
          <w:szCs w:val="24"/>
          <w:lang w:val="fr-FR"/>
        </w:rPr>
        <w:t>, et que celle des zones marines et côtières relevant de la juridiction nationale est de 23,2</w:t>
      </w:r>
      <w:r w:rsidR="002878D7">
        <w:rPr>
          <w:i w:val="0"/>
          <w:sz w:val="24"/>
          <w:szCs w:val="24"/>
          <w:lang w:val="fr-FR"/>
        </w:rPr>
        <w:t> %</w:t>
      </w:r>
      <w:r w:rsidRPr="00653BF4">
        <w:rPr>
          <w:i w:val="0"/>
          <w:sz w:val="24"/>
          <w:szCs w:val="24"/>
          <w:lang w:val="fr-FR"/>
        </w:rPr>
        <w:t xml:space="preserve"> (</w:t>
      </w:r>
      <w:r w:rsidR="00592405" w:rsidRPr="00653BF4">
        <w:rPr>
          <w:i w:val="0"/>
          <w:sz w:val="24"/>
          <w:szCs w:val="24"/>
          <w:lang w:val="fr-FR"/>
        </w:rPr>
        <w:t>voir la figure </w:t>
      </w:r>
      <w:r w:rsidRPr="00653BF4">
        <w:rPr>
          <w:i w:val="0"/>
          <w:sz w:val="24"/>
          <w:szCs w:val="24"/>
          <w:lang w:val="fr-FR"/>
        </w:rPr>
        <w:t>15)</w:t>
      </w:r>
      <w:r w:rsidR="00E34DC9">
        <w:rPr>
          <w:i w:val="0"/>
          <w:sz w:val="24"/>
          <w:szCs w:val="24"/>
          <w:lang w:val="fr-FR"/>
        </w:rPr>
        <w:t> ;</w:t>
      </w:r>
      <w:r w:rsidRPr="00653BF4">
        <w:rPr>
          <w:i w:val="0"/>
          <w:sz w:val="24"/>
          <w:szCs w:val="24"/>
          <w:lang w:val="fr-FR"/>
        </w:rPr>
        <w:t xml:space="preserve"> toutefois, elle n</w:t>
      </w:r>
      <w:r w:rsidR="002A58C8" w:rsidRPr="00653BF4">
        <w:rPr>
          <w:i w:val="0"/>
          <w:sz w:val="24"/>
          <w:szCs w:val="24"/>
          <w:lang w:val="fr-FR"/>
        </w:rPr>
        <w:t>’</w:t>
      </w:r>
      <w:r w:rsidRPr="00653BF4">
        <w:rPr>
          <w:i w:val="0"/>
          <w:sz w:val="24"/>
          <w:szCs w:val="24"/>
          <w:lang w:val="fr-FR"/>
        </w:rPr>
        <w:t>atteint que 10</w:t>
      </w:r>
      <w:r w:rsidR="002878D7">
        <w:rPr>
          <w:i w:val="0"/>
          <w:sz w:val="24"/>
          <w:szCs w:val="24"/>
          <w:lang w:val="fr-FR"/>
        </w:rPr>
        <w:t> %</w:t>
      </w:r>
      <w:r w:rsidRPr="00653BF4">
        <w:rPr>
          <w:i w:val="0"/>
          <w:sz w:val="24"/>
          <w:szCs w:val="24"/>
          <w:lang w:val="fr-FR"/>
        </w:rPr>
        <w:t xml:space="preserve"> </w:t>
      </w:r>
      <w:r w:rsidRPr="00653BF4">
        <w:rPr>
          <w:i w:val="0"/>
          <w:sz w:val="24"/>
          <w:szCs w:val="24"/>
          <w:lang w:val="fr-FR"/>
        </w:rPr>
        <w:lastRenderedPageBreak/>
        <w:t>pour l</w:t>
      </w:r>
      <w:r w:rsidR="002A58C8" w:rsidRPr="00653BF4">
        <w:rPr>
          <w:i w:val="0"/>
          <w:sz w:val="24"/>
          <w:szCs w:val="24"/>
          <w:lang w:val="fr-FR"/>
        </w:rPr>
        <w:t>’</w:t>
      </w:r>
      <w:r w:rsidRPr="00653BF4">
        <w:rPr>
          <w:i w:val="0"/>
          <w:sz w:val="24"/>
          <w:szCs w:val="24"/>
          <w:lang w:val="fr-FR"/>
        </w:rPr>
        <w:t>océan mondial, y compris les zones situées au-delà de la juridiction nationale (</w:t>
      </w:r>
      <w:r w:rsidR="00592405" w:rsidRPr="00653BF4">
        <w:rPr>
          <w:i w:val="0"/>
          <w:sz w:val="24"/>
          <w:szCs w:val="24"/>
          <w:lang w:val="fr-FR"/>
        </w:rPr>
        <w:t>voir la figure </w:t>
      </w:r>
      <w:r w:rsidRPr="00653BF4">
        <w:rPr>
          <w:i w:val="0"/>
          <w:sz w:val="24"/>
          <w:szCs w:val="24"/>
          <w:lang w:val="fr-FR"/>
        </w:rPr>
        <w:t>16)</w:t>
      </w:r>
      <w:r w:rsidR="00024039" w:rsidRPr="00653BF4">
        <w:rPr>
          <w:rStyle w:val="FootnoteReference"/>
          <w:i w:val="0"/>
          <w:color w:val="000000" w:themeColor="text1"/>
          <w:sz w:val="24"/>
          <w:szCs w:val="24"/>
          <w:lang w:val="fr-FR"/>
        </w:rPr>
        <w:footnoteReference w:id="17"/>
      </w:r>
      <w:r w:rsidRPr="00653BF4">
        <w:rPr>
          <w:i w:val="0"/>
          <w:color w:val="000000" w:themeColor="text1"/>
          <w:sz w:val="24"/>
          <w:szCs w:val="24"/>
          <w:lang w:val="fr-FR"/>
        </w:rPr>
        <w:t>.</w:t>
      </w:r>
    </w:p>
    <w:p w14:paraId="0CD65EB6" w14:textId="15B89416" w:rsidR="00B568C2" w:rsidRPr="00653BF4" w:rsidRDefault="00B230F3" w:rsidP="00B568C2">
      <w:pPr>
        <w:pStyle w:val="NormalWeb"/>
        <w:rPr>
          <w:rFonts w:asciiTheme="minorHAnsi" w:hAnsiTheme="minorHAnsi"/>
          <w:lang w:val="fr-FR"/>
        </w:rPr>
      </w:pPr>
      <w:r w:rsidRPr="00653BF4">
        <w:rPr>
          <w:rFonts w:asciiTheme="minorHAnsi" w:hAnsiTheme="minorHAnsi"/>
          <w:lang w:val="fr-FR"/>
        </w:rPr>
        <w:t>Parmi les raisons fournies par les Parties sur l</w:t>
      </w:r>
      <w:r w:rsidR="002A58C8" w:rsidRPr="00653BF4">
        <w:rPr>
          <w:rFonts w:asciiTheme="minorHAnsi" w:hAnsiTheme="minorHAnsi"/>
          <w:lang w:val="fr-FR"/>
        </w:rPr>
        <w:t>’</w:t>
      </w:r>
      <w:r w:rsidRPr="00653BF4">
        <w:rPr>
          <w:rFonts w:asciiTheme="minorHAnsi" w:hAnsiTheme="minorHAnsi"/>
          <w:lang w:val="fr-FR"/>
        </w:rPr>
        <w:t>absence de rapports concernant l</w:t>
      </w:r>
      <w:r w:rsidR="002A58C8" w:rsidRPr="00653BF4">
        <w:rPr>
          <w:rFonts w:asciiTheme="minorHAnsi" w:hAnsiTheme="minorHAnsi"/>
          <w:lang w:val="fr-FR"/>
        </w:rPr>
        <w:t>’</w:t>
      </w:r>
      <w:r w:rsidRPr="00653BF4">
        <w:rPr>
          <w:rFonts w:asciiTheme="minorHAnsi" w:hAnsiTheme="minorHAnsi"/>
          <w:lang w:val="fr-FR"/>
        </w:rPr>
        <w:t>i</w:t>
      </w:r>
      <w:r w:rsidR="003C5C35" w:rsidRPr="00653BF4">
        <w:rPr>
          <w:rFonts w:asciiTheme="minorHAnsi" w:hAnsiTheme="minorHAnsi"/>
          <w:lang w:val="fr-FR"/>
        </w:rPr>
        <w:t>ndicateur phare</w:t>
      </w:r>
      <w:r w:rsidRPr="00653BF4">
        <w:rPr>
          <w:rFonts w:asciiTheme="minorHAnsi" w:hAnsiTheme="minorHAnsi"/>
          <w:lang w:val="fr-FR"/>
        </w:rPr>
        <w:t xml:space="preserve"> de </w:t>
      </w:r>
      <w:r w:rsidR="0092484B">
        <w:rPr>
          <w:rFonts w:asciiTheme="minorHAnsi" w:hAnsiTheme="minorHAnsi"/>
          <w:lang w:val="fr-FR"/>
        </w:rPr>
        <w:t xml:space="preserve">la </w:t>
      </w:r>
      <w:r w:rsidR="00E34DC9">
        <w:rPr>
          <w:rFonts w:asciiTheme="minorHAnsi" w:hAnsiTheme="minorHAnsi"/>
          <w:lang w:val="fr-FR"/>
        </w:rPr>
        <w:t>cible 3</w:t>
      </w:r>
      <w:r w:rsidRPr="00653BF4">
        <w:rPr>
          <w:rFonts w:asciiTheme="minorHAnsi" w:hAnsiTheme="minorHAnsi"/>
          <w:lang w:val="fr-FR"/>
        </w:rPr>
        <w:t xml:space="preserve"> figurent des difficultés liées à l</w:t>
      </w:r>
      <w:r w:rsidR="002A58C8" w:rsidRPr="00653BF4">
        <w:rPr>
          <w:rFonts w:asciiTheme="minorHAnsi" w:hAnsiTheme="minorHAnsi"/>
          <w:lang w:val="fr-FR"/>
        </w:rPr>
        <w:t>’</w:t>
      </w:r>
      <w:r w:rsidRPr="00653BF4">
        <w:rPr>
          <w:rFonts w:asciiTheme="minorHAnsi" w:hAnsiTheme="minorHAnsi"/>
          <w:lang w:val="fr-FR"/>
        </w:rPr>
        <w:t>intégration des mesures de conservation autres que les zones protégées (OECM). D</w:t>
      </w:r>
      <w:r w:rsidR="002A58C8" w:rsidRPr="00653BF4">
        <w:rPr>
          <w:rFonts w:asciiTheme="minorHAnsi" w:hAnsiTheme="minorHAnsi"/>
          <w:lang w:val="fr-FR"/>
        </w:rPr>
        <w:t>’</w:t>
      </w:r>
      <w:r w:rsidRPr="00653BF4">
        <w:rPr>
          <w:rFonts w:asciiTheme="minorHAnsi" w:hAnsiTheme="minorHAnsi"/>
          <w:lang w:val="fr-FR"/>
        </w:rPr>
        <w:t>autres difficultés techniques concernent notamment la prise en compte des chevauchements entre zones protégées, l</w:t>
      </w:r>
      <w:r w:rsidR="002A58C8" w:rsidRPr="00653BF4">
        <w:rPr>
          <w:rFonts w:asciiTheme="minorHAnsi" w:hAnsiTheme="minorHAnsi"/>
          <w:lang w:val="fr-FR"/>
        </w:rPr>
        <w:t>’</w:t>
      </w:r>
      <w:r w:rsidRPr="00653BF4">
        <w:rPr>
          <w:rFonts w:asciiTheme="minorHAnsi" w:hAnsiTheme="minorHAnsi"/>
          <w:lang w:val="fr-FR"/>
        </w:rPr>
        <w:t>évolution des méthodes de calcul au fil du temps et les difficultés à reconnaître les mesures de protection mises en place sur des terres privées.</w:t>
      </w:r>
    </w:p>
    <w:p w14:paraId="44A02647" w14:textId="125737DD" w:rsidR="00B93AA7" w:rsidRPr="00653BF4" w:rsidRDefault="0093765F" w:rsidP="00B93AA7">
      <w:pPr>
        <w:pStyle w:val="NormalWeb"/>
        <w:rPr>
          <w:rFonts w:asciiTheme="minorHAnsi" w:hAnsiTheme="minorHAnsi"/>
          <w:lang w:val="fr-FR"/>
        </w:rPr>
      </w:pPr>
      <w:r w:rsidRPr="00653BF4">
        <w:rPr>
          <w:rFonts w:asciiTheme="minorHAnsi" w:hAnsiTheme="minorHAnsi"/>
          <w:lang w:val="fr-FR"/>
        </w:rPr>
        <w:t>Parmi les Parties ayant présenté des données exploitables pour l</w:t>
      </w:r>
      <w:r w:rsidR="002A58C8" w:rsidRPr="00653BF4">
        <w:rPr>
          <w:rFonts w:asciiTheme="minorHAnsi" w:hAnsiTheme="minorHAnsi"/>
          <w:lang w:val="fr-FR"/>
        </w:rPr>
        <w:t>’</w:t>
      </w:r>
      <w:r w:rsidRPr="00653BF4">
        <w:rPr>
          <w:rFonts w:asciiTheme="minorHAnsi" w:hAnsiTheme="minorHAnsi"/>
          <w:lang w:val="fr-FR"/>
        </w:rPr>
        <w:t>analyse du rapport mondial, des progrès mesurables ont été enregistrés en termes de superficie couverte</w:t>
      </w:r>
      <w:r w:rsidR="00E34DC9">
        <w:rPr>
          <w:rFonts w:asciiTheme="minorHAnsi" w:hAnsiTheme="minorHAnsi"/>
          <w:lang w:val="fr-FR"/>
        </w:rPr>
        <w:t> :</w:t>
      </w:r>
      <w:r w:rsidRPr="00653BF4">
        <w:rPr>
          <w:rFonts w:asciiTheme="minorHAnsi" w:hAnsiTheme="minorHAnsi"/>
          <w:lang w:val="fr-FR"/>
        </w:rPr>
        <w:t xml:space="preserve"> les zones terrestres protégées et conservées ont augmenté de plus de 2</w:t>
      </w:r>
      <w:r w:rsidR="002878D7">
        <w:rPr>
          <w:rFonts w:asciiTheme="minorHAnsi" w:hAnsiTheme="minorHAnsi"/>
          <w:lang w:val="fr-FR"/>
        </w:rPr>
        <w:t> %</w:t>
      </w:r>
      <w:r w:rsidRPr="00653BF4">
        <w:rPr>
          <w:rFonts w:asciiTheme="minorHAnsi" w:hAnsiTheme="minorHAnsi"/>
          <w:lang w:val="fr-FR"/>
        </w:rPr>
        <w:t xml:space="preserve"> et les zones marines de près de 3</w:t>
      </w:r>
      <w:r w:rsidR="002878D7">
        <w:rPr>
          <w:rFonts w:asciiTheme="minorHAnsi" w:hAnsiTheme="minorHAnsi"/>
          <w:lang w:val="fr-FR"/>
        </w:rPr>
        <w:t> %</w:t>
      </w:r>
      <w:r w:rsidRPr="00653BF4">
        <w:rPr>
          <w:rFonts w:asciiTheme="minorHAnsi" w:hAnsiTheme="minorHAnsi"/>
          <w:lang w:val="fr-FR"/>
        </w:rPr>
        <w:t xml:space="preserve"> entre 2020 et 2025. Si l</w:t>
      </w:r>
      <w:r w:rsidR="002A58C8" w:rsidRPr="00653BF4">
        <w:rPr>
          <w:rFonts w:asciiTheme="minorHAnsi" w:hAnsiTheme="minorHAnsi"/>
          <w:lang w:val="fr-FR"/>
        </w:rPr>
        <w:t>’</w:t>
      </w:r>
      <w:r w:rsidRPr="00653BF4">
        <w:rPr>
          <w:rFonts w:asciiTheme="minorHAnsi" w:hAnsiTheme="minorHAnsi"/>
          <w:lang w:val="fr-FR"/>
        </w:rPr>
        <w:t>on prend comme référence l</w:t>
      </w:r>
      <w:r w:rsidR="002A58C8" w:rsidRPr="00653BF4">
        <w:rPr>
          <w:rFonts w:asciiTheme="minorHAnsi" w:hAnsiTheme="minorHAnsi"/>
          <w:lang w:val="fr-FR"/>
        </w:rPr>
        <w:t>’</w:t>
      </w:r>
      <w:r w:rsidRPr="00653BF4">
        <w:rPr>
          <w:rFonts w:asciiTheme="minorHAnsi" w:hAnsiTheme="minorHAnsi"/>
          <w:lang w:val="fr-FR"/>
        </w:rPr>
        <w:t>édition 2020 du WDPCA, cela ferait passer la couverture des zones protégées et conservées pour ces Parties déclarantes d</w:t>
      </w:r>
      <w:r w:rsidR="002A58C8" w:rsidRPr="00653BF4">
        <w:rPr>
          <w:rFonts w:asciiTheme="minorHAnsi" w:hAnsiTheme="minorHAnsi"/>
          <w:lang w:val="fr-FR"/>
        </w:rPr>
        <w:t>’</w:t>
      </w:r>
      <w:r w:rsidRPr="00653BF4">
        <w:rPr>
          <w:rFonts w:asciiTheme="minorHAnsi" w:hAnsiTheme="minorHAnsi"/>
          <w:lang w:val="fr-FR"/>
        </w:rPr>
        <w:t>environ 17</w:t>
      </w:r>
      <w:r w:rsidR="002878D7">
        <w:rPr>
          <w:rFonts w:asciiTheme="minorHAnsi" w:hAnsiTheme="minorHAnsi"/>
          <w:lang w:val="fr-FR"/>
        </w:rPr>
        <w:t> %</w:t>
      </w:r>
      <w:r w:rsidRPr="00653BF4">
        <w:rPr>
          <w:rFonts w:asciiTheme="minorHAnsi" w:hAnsiTheme="minorHAnsi"/>
          <w:lang w:val="fr-FR"/>
        </w:rPr>
        <w:t xml:space="preserve"> des zones terrestres et 18</w:t>
      </w:r>
      <w:r w:rsidR="002878D7">
        <w:rPr>
          <w:rFonts w:asciiTheme="minorHAnsi" w:hAnsiTheme="minorHAnsi"/>
          <w:lang w:val="fr-FR"/>
        </w:rPr>
        <w:t> %</w:t>
      </w:r>
      <w:r w:rsidRPr="00653BF4">
        <w:rPr>
          <w:rFonts w:asciiTheme="minorHAnsi" w:hAnsiTheme="minorHAnsi"/>
          <w:lang w:val="fr-FR"/>
        </w:rPr>
        <w:t xml:space="preserve"> des zones marines relevant de leur juridiction nationale à plus de 20</w:t>
      </w:r>
      <w:r w:rsidR="002878D7">
        <w:rPr>
          <w:rFonts w:asciiTheme="minorHAnsi" w:hAnsiTheme="minorHAnsi"/>
          <w:lang w:val="fr-FR"/>
        </w:rPr>
        <w:t> %</w:t>
      </w:r>
      <w:r w:rsidRPr="00653BF4">
        <w:rPr>
          <w:rFonts w:asciiTheme="minorHAnsi" w:hAnsiTheme="minorHAnsi"/>
          <w:lang w:val="fr-FR"/>
        </w:rPr>
        <w:t xml:space="preserve"> pour chacune d</w:t>
      </w:r>
      <w:r w:rsidR="002A58C8" w:rsidRPr="00653BF4">
        <w:rPr>
          <w:rFonts w:asciiTheme="minorHAnsi" w:hAnsiTheme="minorHAnsi"/>
          <w:lang w:val="fr-FR"/>
        </w:rPr>
        <w:t>’</w:t>
      </w:r>
      <w:r w:rsidRPr="00653BF4">
        <w:rPr>
          <w:rFonts w:asciiTheme="minorHAnsi" w:hAnsiTheme="minorHAnsi"/>
          <w:lang w:val="fr-FR"/>
        </w:rPr>
        <w:t>entre elles.</w:t>
      </w:r>
    </w:p>
    <w:p w14:paraId="2E4631BA" w14:textId="11F261FF" w:rsidR="00BD34EE" w:rsidRPr="00653BF4" w:rsidRDefault="000C7C06" w:rsidP="00C42A7C">
      <w:pPr>
        <w:pStyle w:val="NormalWeb"/>
        <w:rPr>
          <w:rFonts w:asciiTheme="minorHAnsi" w:hAnsiTheme="minorHAnsi"/>
          <w:lang w:val="fr-FR"/>
        </w:rPr>
      </w:pPr>
      <w:r w:rsidRPr="00653BF4">
        <w:rPr>
          <w:rFonts w:asciiTheme="minorHAnsi" w:hAnsiTheme="minorHAnsi"/>
          <w:lang w:val="fr-FR"/>
        </w:rPr>
        <w:t xml:space="preserve">Comme indiqué ci-dessus, la </w:t>
      </w:r>
      <w:r w:rsidR="00E34DC9">
        <w:rPr>
          <w:rFonts w:asciiTheme="minorHAnsi" w:hAnsiTheme="minorHAnsi"/>
          <w:lang w:val="fr-FR"/>
        </w:rPr>
        <w:t>cible 3</w:t>
      </w:r>
      <w:r w:rsidRPr="00653BF4">
        <w:rPr>
          <w:rFonts w:asciiTheme="minorHAnsi" w:hAnsiTheme="minorHAnsi"/>
          <w:lang w:val="fr-FR"/>
        </w:rPr>
        <w:t xml:space="preserve"> comprend de nombreux éléments qui dépassent le cadre des zones protégées et conservées, et bon nombre de ces éléments ont été pris en compte dans les indicateurs supplémentaires présentés par les Parties (</w:t>
      </w:r>
      <w:r w:rsidR="00592405" w:rsidRPr="00653BF4">
        <w:rPr>
          <w:rFonts w:asciiTheme="minorHAnsi" w:hAnsiTheme="minorHAnsi"/>
          <w:lang w:val="fr-FR"/>
        </w:rPr>
        <w:t>voir la figure </w:t>
      </w:r>
      <w:r w:rsidRPr="00653BF4">
        <w:rPr>
          <w:rFonts w:asciiTheme="minorHAnsi" w:hAnsiTheme="minorHAnsi"/>
          <w:lang w:val="fr-FR"/>
        </w:rPr>
        <w:t>17). Il s</w:t>
      </w:r>
      <w:r w:rsidR="002A58C8" w:rsidRPr="00653BF4">
        <w:rPr>
          <w:rFonts w:asciiTheme="minorHAnsi" w:hAnsiTheme="minorHAnsi"/>
          <w:lang w:val="fr-FR"/>
        </w:rPr>
        <w:t>’</w:t>
      </w:r>
      <w:r w:rsidRPr="00653BF4">
        <w:rPr>
          <w:rFonts w:asciiTheme="minorHAnsi" w:hAnsiTheme="minorHAnsi"/>
          <w:lang w:val="fr-FR"/>
        </w:rPr>
        <w:t>agit notamment d</w:t>
      </w:r>
      <w:r w:rsidR="002A58C8" w:rsidRPr="00653BF4">
        <w:rPr>
          <w:rFonts w:asciiTheme="minorHAnsi" w:hAnsiTheme="minorHAnsi"/>
          <w:lang w:val="fr-FR"/>
        </w:rPr>
        <w:t>’</w:t>
      </w:r>
      <w:r w:rsidRPr="00653BF4">
        <w:rPr>
          <w:rFonts w:asciiTheme="minorHAnsi" w:hAnsiTheme="minorHAnsi"/>
          <w:lang w:val="fr-FR"/>
        </w:rPr>
        <w:t>indicateurs relatifs à l</w:t>
      </w:r>
      <w:r w:rsidR="002A58C8" w:rsidRPr="00653BF4">
        <w:rPr>
          <w:rFonts w:asciiTheme="minorHAnsi" w:hAnsiTheme="minorHAnsi"/>
          <w:lang w:val="fr-FR"/>
        </w:rPr>
        <w:t>’</w:t>
      </w:r>
      <w:r w:rsidRPr="00653BF4">
        <w:rPr>
          <w:rFonts w:asciiTheme="minorHAnsi" w:hAnsiTheme="minorHAnsi"/>
          <w:lang w:val="fr-FR"/>
        </w:rPr>
        <w:t xml:space="preserve">efficacité de la conservation (par exemple, le niveau de protection ou le pourcentage de zones </w:t>
      </w:r>
      <w:r w:rsidR="00E34DC9">
        <w:rPr>
          <w:rFonts w:asciiTheme="minorHAnsi" w:hAnsiTheme="minorHAnsi"/>
          <w:lang w:val="fr-FR"/>
        </w:rPr>
        <w:t>« </w:t>
      </w:r>
      <w:r w:rsidRPr="00653BF4">
        <w:rPr>
          <w:rFonts w:asciiTheme="minorHAnsi" w:hAnsiTheme="minorHAnsi"/>
          <w:lang w:val="fr-FR"/>
        </w:rPr>
        <w:t>hautement protégées</w:t>
      </w:r>
      <w:r w:rsidR="00E34DC9">
        <w:rPr>
          <w:rFonts w:asciiTheme="minorHAnsi" w:hAnsiTheme="minorHAnsi"/>
          <w:lang w:val="fr-FR"/>
        </w:rPr>
        <w:t> »</w:t>
      </w:r>
      <w:r w:rsidRPr="00653BF4">
        <w:rPr>
          <w:rFonts w:asciiTheme="minorHAnsi" w:hAnsiTheme="minorHAnsi"/>
          <w:lang w:val="fr-FR"/>
        </w:rPr>
        <w:t>), à l</w:t>
      </w:r>
      <w:r w:rsidR="002A58C8" w:rsidRPr="00653BF4">
        <w:rPr>
          <w:rFonts w:asciiTheme="minorHAnsi" w:hAnsiTheme="minorHAnsi"/>
          <w:lang w:val="fr-FR"/>
        </w:rPr>
        <w:t>’</w:t>
      </w:r>
      <w:r w:rsidRPr="00653BF4">
        <w:rPr>
          <w:rFonts w:asciiTheme="minorHAnsi" w:hAnsiTheme="minorHAnsi"/>
          <w:lang w:val="fr-FR"/>
        </w:rPr>
        <w:t>efficacité de la gestion et aux efforts visant à étendre les zones protégées</w:t>
      </w:r>
      <w:r w:rsidR="00E34DC9">
        <w:rPr>
          <w:rFonts w:asciiTheme="minorHAnsi" w:hAnsiTheme="minorHAnsi"/>
          <w:lang w:val="fr-FR"/>
        </w:rPr>
        <w:t> ;</w:t>
      </w:r>
      <w:r w:rsidRPr="00653BF4">
        <w:rPr>
          <w:rFonts w:asciiTheme="minorHAnsi" w:hAnsiTheme="minorHAnsi"/>
          <w:lang w:val="fr-FR"/>
        </w:rPr>
        <w:t xml:space="preserve"> toutefois, d</w:t>
      </w:r>
      <w:r w:rsidR="002A58C8" w:rsidRPr="00653BF4">
        <w:rPr>
          <w:rFonts w:asciiTheme="minorHAnsi" w:hAnsiTheme="minorHAnsi"/>
          <w:lang w:val="fr-FR"/>
        </w:rPr>
        <w:t>’</w:t>
      </w:r>
      <w:r w:rsidRPr="00653BF4">
        <w:rPr>
          <w:rFonts w:asciiTheme="minorHAnsi" w:hAnsiTheme="minorHAnsi"/>
          <w:lang w:val="fr-FR"/>
        </w:rPr>
        <w:t>autres éléments, tels que la protection des zones importantes pour la biodiversité et les fonctions et services écosystémiques, l</w:t>
      </w:r>
      <w:r w:rsidR="002A58C8" w:rsidRPr="00653BF4">
        <w:rPr>
          <w:rFonts w:asciiTheme="minorHAnsi" w:hAnsiTheme="minorHAnsi"/>
          <w:lang w:val="fr-FR"/>
        </w:rPr>
        <w:t>’</w:t>
      </w:r>
      <w:r w:rsidRPr="00653BF4">
        <w:rPr>
          <w:rFonts w:asciiTheme="minorHAnsi" w:hAnsiTheme="minorHAnsi"/>
          <w:lang w:val="fr-FR"/>
        </w:rPr>
        <w:t>utilisation durable au sein des zones protégées, ainsi que la reconnaissance et le respect des droits des peuples autochtones et communautés locales, y compris sur leurs territoires traditionnels, n</w:t>
      </w:r>
      <w:r w:rsidR="002A58C8" w:rsidRPr="00653BF4">
        <w:rPr>
          <w:rFonts w:asciiTheme="minorHAnsi" w:hAnsiTheme="minorHAnsi"/>
          <w:lang w:val="fr-FR"/>
        </w:rPr>
        <w:t>’</w:t>
      </w:r>
      <w:r w:rsidRPr="00653BF4">
        <w:rPr>
          <w:rFonts w:asciiTheme="minorHAnsi" w:hAnsiTheme="minorHAnsi"/>
          <w:lang w:val="fr-FR"/>
        </w:rPr>
        <w:t>ont été couverts par aucun des indicateurs figurant dans les rapports nationaux.</w:t>
      </w:r>
    </w:p>
    <w:p w14:paraId="414A915D" w14:textId="32EB018A" w:rsidR="00BD34EE" w:rsidRPr="00653BF4" w:rsidRDefault="00BD34EE" w:rsidP="00C42A7C">
      <w:pPr>
        <w:pStyle w:val="NormalWeb"/>
        <w:rPr>
          <w:rFonts w:asciiTheme="minorHAnsi" w:hAnsiTheme="minorHAnsi"/>
          <w:sz w:val="20"/>
          <w:szCs w:val="20"/>
          <w:lang w:val="fr-FR"/>
        </w:rPr>
      </w:pPr>
      <w:r w:rsidRPr="00653BF4">
        <w:rPr>
          <w:rFonts w:asciiTheme="minorHAnsi" w:hAnsiTheme="minorHAnsi"/>
          <w:sz w:val="20"/>
          <w:szCs w:val="20"/>
          <w:lang w:val="fr-FR"/>
        </w:rPr>
        <w:t>Figure 14</w:t>
      </w:r>
    </w:p>
    <w:p w14:paraId="36FB461B" w14:textId="47CA4634" w:rsidR="00BD34EE" w:rsidRDefault="0091611E" w:rsidP="00C42A7C">
      <w:pPr>
        <w:pStyle w:val="NormalWeb"/>
        <w:rPr>
          <w:rFonts w:asciiTheme="minorHAnsi" w:hAnsiTheme="minorHAnsi"/>
          <w:b/>
          <w:bCs/>
          <w:sz w:val="20"/>
          <w:szCs w:val="20"/>
          <w:lang w:val="fr-FR"/>
        </w:rPr>
      </w:pPr>
      <w:bookmarkStart w:id="107" w:name="_Ref235130111"/>
      <w:bookmarkStart w:id="108" w:name="_Ref235701094"/>
      <w:r w:rsidRPr="00653BF4">
        <w:rPr>
          <w:rFonts w:asciiTheme="minorHAnsi" w:hAnsiTheme="minorHAnsi"/>
          <w:b/>
          <w:bCs/>
          <w:sz w:val="20"/>
          <w:szCs w:val="20"/>
          <w:lang w:val="fr-FR"/>
        </w:rPr>
        <w:t>I</w:t>
      </w:r>
      <w:r w:rsidR="003C5C35" w:rsidRPr="00653BF4">
        <w:rPr>
          <w:rFonts w:asciiTheme="minorHAnsi" w:hAnsiTheme="minorHAnsi"/>
          <w:b/>
          <w:bCs/>
          <w:sz w:val="20"/>
          <w:szCs w:val="20"/>
          <w:lang w:val="fr-FR"/>
        </w:rPr>
        <w:t>ndicateur phare</w:t>
      </w:r>
      <w:r w:rsidRPr="00653BF4">
        <w:rPr>
          <w:rFonts w:asciiTheme="minorHAnsi" w:hAnsiTheme="minorHAnsi"/>
          <w:b/>
          <w:bCs/>
          <w:sz w:val="20"/>
          <w:szCs w:val="20"/>
          <w:lang w:val="fr-FR"/>
        </w:rPr>
        <w:t xml:space="preserve"> 3.1</w:t>
      </w:r>
      <w:r w:rsidR="00E34DC9">
        <w:rPr>
          <w:rFonts w:asciiTheme="minorHAnsi" w:hAnsiTheme="minorHAnsi"/>
          <w:b/>
          <w:bCs/>
          <w:sz w:val="20"/>
          <w:szCs w:val="20"/>
          <w:lang w:val="fr-FR"/>
        </w:rPr>
        <w:t> :</w:t>
      </w:r>
      <w:r w:rsidRPr="00653BF4">
        <w:rPr>
          <w:rFonts w:asciiTheme="minorHAnsi" w:hAnsiTheme="minorHAnsi"/>
          <w:b/>
          <w:bCs/>
          <w:sz w:val="20"/>
          <w:szCs w:val="20"/>
          <w:lang w:val="fr-FR"/>
        </w:rPr>
        <w:t xml:space="preserve"> couverture des zones protégées et </w:t>
      </w:r>
      <w:r w:rsidR="001A436E">
        <w:rPr>
          <w:rFonts w:asciiTheme="minorHAnsi" w:hAnsiTheme="minorHAnsi"/>
          <w:b/>
          <w:bCs/>
          <w:sz w:val="20"/>
          <w:szCs w:val="20"/>
          <w:lang w:val="fr-FR"/>
        </w:rPr>
        <w:t>d’</w:t>
      </w:r>
      <w:r w:rsidRPr="00653BF4">
        <w:rPr>
          <w:rFonts w:asciiTheme="minorHAnsi" w:hAnsiTheme="minorHAnsi"/>
          <w:b/>
          <w:bCs/>
          <w:sz w:val="20"/>
          <w:szCs w:val="20"/>
          <w:lang w:val="fr-FR"/>
        </w:rPr>
        <w:t>autres mesures de conservation efficaces par zone (d</w:t>
      </w:r>
      <w:r w:rsidR="002A58C8" w:rsidRPr="00653BF4">
        <w:rPr>
          <w:rFonts w:asciiTheme="minorHAnsi" w:hAnsiTheme="minorHAnsi"/>
          <w:b/>
          <w:bCs/>
          <w:sz w:val="20"/>
          <w:szCs w:val="20"/>
          <w:lang w:val="fr-FR"/>
        </w:rPr>
        <w:t>’</w:t>
      </w:r>
      <w:r w:rsidRPr="00653BF4">
        <w:rPr>
          <w:rFonts w:asciiTheme="minorHAnsi" w:hAnsiTheme="minorHAnsi"/>
          <w:b/>
          <w:bCs/>
          <w:sz w:val="20"/>
          <w:szCs w:val="20"/>
          <w:lang w:val="fr-FR"/>
        </w:rPr>
        <w:t>après les rapports nationaux)</w:t>
      </w:r>
    </w:p>
    <w:p w14:paraId="72F93383" w14:textId="4B78DD70" w:rsidR="003F3BF1" w:rsidRPr="00653BF4" w:rsidRDefault="00BD3910" w:rsidP="004C2CF6">
      <w:pPr>
        <w:pStyle w:val="Caption"/>
        <w:rPr>
          <w:lang w:val="fr-FR"/>
        </w:rPr>
      </w:pPr>
      <w:r w:rsidRPr="00653BF4">
        <w:rPr>
          <w:noProof/>
          <w:lang w:val="fr-FR"/>
          <w14:ligatures w14:val="standardContextual"/>
        </w:rPr>
        <w:lastRenderedPageBreak/>
        <w:drawing>
          <wp:inline distT="0" distB="0" distL="0" distR="0" wp14:anchorId="13FC39B9" wp14:editId="0E120A2A">
            <wp:extent cx="5943600" cy="3343275"/>
            <wp:effectExtent l="0" t="0" r="0" b="0"/>
            <wp:docPr id="120078582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85828" name="Picture 1200785828"/>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642A0EB" w14:textId="628A5487" w:rsidR="00D56883" w:rsidRPr="00653BF4" w:rsidRDefault="006A631C" w:rsidP="00D56883">
      <w:pPr>
        <w:rPr>
          <w:rFonts w:ascii="Aptos" w:hAnsi="Aptos"/>
          <w:sz w:val="18"/>
          <w:szCs w:val="18"/>
          <w:lang w:val="fr-FR"/>
        </w:rPr>
      </w:pPr>
      <w:r w:rsidRPr="00653BF4">
        <w:rPr>
          <w:rFonts w:ascii="Aptos" w:hAnsi="Aptos" w:cs="Arial"/>
          <w:i/>
          <w:iCs/>
          <w:sz w:val="18"/>
          <w:szCs w:val="18"/>
          <w:lang w:val="fr-FR"/>
        </w:rPr>
        <w:t>Note</w:t>
      </w:r>
      <w:r w:rsidR="00E34DC9">
        <w:rPr>
          <w:rFonts w:ascii="Aptos" w:hAnsi="Aptos" w:cs="Arial"/>
          <w:i/>
          <w:iCs/>
          <w:sz w:val="18"/>
          <w:szCs w:val="18"/>
          <w:lang w:val="fr-FR"/>
        </w:rPr>
        <w:t> :</w:t>
      </w:r>
      <w:r w:rsidR="00D56883" w:rsidRPr="00653BF4">
        <w:rPr>
          <w:rFonts w:ascii="Aptos" w:hAnsi="Aptos" w:cs="Arial"/>
          <w:sz w:val="18"/>
          <w:szCs w:val="18"/>
          <w:lang w:val="fr-FR"/>
        </w:rPr>
        <w:t xml:space="preserve"> </w:t>
      </w:r>
      <w:r w:rsidR="001813AD" w:rsidRPr="00653BF4">
        <w:rPr>
          <w:rFonts w:ascii="Aptos" w:hAnsi="Aptos" w:cs="Arial"/>
          <w:sz w:val="18"/>
          <w:szCs w:val="18"/>
          <w:lang w:val="fr-FR"/>
        </w:rPr>
        <w:t>La présente</w:t>
      </w:r>
      <w:r w:rsidR="00604482" w:rsidRPr="00653BF4">
        <w:rPr>
          <w:rFonts w:ascii="Aptos" w:hAnsi="Aptos" w:cs="Arial"/>
          <w:sz w:val="18"/>
          <w:szCs w:val="18"/>
          <w:lang w:val="fr-FR"/>
        </w:rPr>
        <w:t xml:space="preserve"> figure prend en compte </w:t>
      </w:r>
      <w:r w:rsidR="00AA1A91" w:rsidRPr="00653BF4">
        <w:rPr>
          <w:rFonts w:ascii="Aptos" w:hAnsi="Aptos" w:cs="Arial"/>
          <w:sz w:val="18"/>
          <w:szCs w:val="18"/>
          <w:lang w:val="fr-FR"/>
        </w:rPr>
        <w:t xml:space="preserve">uniquement </w:t>
      </w:r>
      <w:r w:rsidR="00604482" w:rsidRPr="00653BF4">
        <w:rPr>
          <w:rFonts w:ascii="Aptos" w:hAnsi="Aptos" w:cs="Arial"/>
          <w:sz w:val="18"/>
          <w:szCs w:val="18"/>
          <w:lang w:val="fr-FR"/>
        </w:rPr>
        <w:t xml:space="preserve">les données relatives aux indicateurs présentées par les Parties dans leurs rapports nationaux. Le diagramme à barres de droite présente la répartition, par région, des Parties ayant </w:t>
      </w:r>
      <w:r w:rsidR="00AA115C" w:rsidRPr="00653BF4">
        <w:rPr>
          <w:rFonts w:ascii="Aptos" w:hAnsi="Aptos" w:cs="Arial"/>
          <w:sz w:val="18"/>
          <w:szCs w:val="18"/>
          <w:lang w:val="fr-FR"/>
        </w:rPr>
        <w:t>communiqué des indicateurs</w:t>
      </w:r>
      <w:r w:rsidR="00604482" w:rsidRPr="00653BF4">
        <w:rPr>
          <w:rFonts w:ascii="Aptos" w:hAnsi="Aptos" w:cs="Arial"/>
          <w:sz w:val="18"/>
          <w:szCs w:val="18"/>
          <w:lang w:val="fr-FR"/>
        </w:rPr>
        <w:t xml:space="preserve">. </w:t>
      </w:r>
      <w:r w:rsidR="00E75D06" w:rsidRPr="00653BF4">
        <w:rPr>
          <w:rFonts w:ascii="Aptos" w:hAnsi="Aptos" w:cs="Arial"/>
          <w:sz w:val="18"/>
          <w:szCs w:val="18"/>
          <w:lang w:val="fr-FR"/>
        </w:rPr>
        <w:t>La couleur de chaque région est indiquée dans la légende de la figure</w:t>
      </w:r>
      <w:r w:rsidR="00E34DC9">
        <w:rPr>
          <w:rFonts w:ascii="Aptos" w:hAnsi="Aptos" w:cs="Arial"/>
          <w:sz w:val="18"/>
          <w:szCs w:val="18"/>
          <w:lang w:val="fr-FR"/>
        </w:rPr>
        <w:t> :</w:t>
      </w:r>
      <w:r w:rsidR="00E75D06" w:rsidRPr="00653BF4">
        <w:rPr>
          <w:rFonts w:ascii="Aptos" w:hAnsi="Aptos" w:cs="Arial"/>
          <w:sz w:val="18"/>
          <w:szCs w:val="18"/>
          <w:lang w:val="fr-FR"/>
        </w:rPr>
        <w:t xml:space="preserve"> les tons plus foncés représentent la proportion de Parties de chaque région dont les données figurent dans le graphique</w:t>
      </w:r>
      <w:r w:rsidR="00E34DC9">
        <w:rPr>
          <w:rFonts w:ascii="Aptos" w:hAnsi="Aptos" w:cs="Arial"/>
          <w:sz w:val="18"/>
          <w:szCs w:val="18"/>
          <w:lang w:val="fr-FR"/>
        </w:rPr>
        <w:t> ;</w:t>
      </w:r>
      <w:r w:rsidR="00E75D06" w:rsidRPr="00653BF4">
        <w:rPr>
          <w:rFonts w:ascii="Aptos" w:hAnsi="Aptos" w:cs="Arial"/>
          <w:sz w:val="18"/>
          <w:szCs w:val="18"/>
          <w:lang w:val="fr-FR"/>
        </w:rPr>
        <w:t xml:space="preserve"> les tons plus clairs, la proportion de Parties de la même région dont les données n’y figurent pas. </w:t>
      </w:r>
      <w:r w:rsidR="00604482" w:rsidRPr="00653BF4">
        <w:rPr>
          <w:rFonts w:ascii="Aptos" w:hAnsi="Aptos" w:cs="Arial"/>
          <w:sz w:val="18"/>
          <w:szCs w:val="18"/>
          <w:lang w:val="fr-FR"/>
        </w:rPr>
        <w:t>Les zones gris foncé des diagrammes circulaires indiquent la représentativité des données présentées, exprimée en proportion de l</w:t>
      </w:r>
      <w:r w:rsidR="002A58C8" w:rsidRPr="00653BF4">
        <w:rPr>
          <w:rFonts w:ascii="Aptos" w:hAnsi="Aptos" w:cs="Arial"/>
          <w:sz w:val="18"/>
          <w:szCs w:val="18"/>
          <w:lang w:val="fr-FR"/>
        </w:rPr>
        <w:t>’</w:t>
      </w:r>
      <w:r w:rsidR="00604482" w:rsidRPr="00653BF4">
        <w:rPr>
          <w:rFonts w:ascii="Aptos" w:hAnsi="Aptos" w:cs="Arial"/>
          <w:sz w:val="18"/>
          <w:szCs w:val="18"/>
          <w:lang w:val="fr-FR"/>
        </w:rPr>
        <w:t>ensemble des zones marines et côtières relevant de la juridiction nationale (en haut) ou des zones terrestres et des eaux intérieures (en bas) de toutes les Parties.</w:t>
      </w:r>
    </w:p>
    <w:tbl>
      <w:tblPr>
        <w:tblStyle w:val="TableGrid"/>
        <w:tblW w:w="0" w:type="auto"/>
        <w:tblLook w:val="06A0" w:firstRow="1" w:lastRow="0" w:firstColumn="1" w:lastColumn="0" w:noHBand="1" w:noVBand="1"/>
      </w:tblPr>
      <w:tblGrid>
        <w:gridCol w:w="3913"/>
        <w:gridCol w:w="5437"/>
      </w:tblGrid>
      <w:tr w:rsidR="003246FC" w:rsidRPr="003A6336" w14:paraId="4144B505" w14:textId="77777777" w:rsidTr="009B4355">
        <w:tc>
          <w:tcPr>
            <w:tcW w:w="0" w:type="auto"/>
            <w:gridSpan w:val="2"/>
          </w:tcPr>
          <w:p w14:paraId="53500E62" w14:textId="77777777" w:rsidR="003246FC" w:rsidRPr="003A6336" w:rsidRDefault="003246FC" w:rsidP="009B4355">
            <w:pPr>
              <w:rPr>
                <w:rFonts w:ascii="Aptos" w:eastAsia="Segoe UI" w:hAnsi="Aptos" w:cs="Segoe UI"/>
                <w:color w:val="0F1115"/>
              </w:rPr>
            </w:pPr>
            <w:r>
              <w:rPr>
                <w:rFonts w:ascii="Aptos" w:eastAsia="Segoe UI" w:hAnsi="Aptos" w:cs="Segoe UI"/>
                <w:color w:val="0F1115"/>
              </w:rPr>
              <w:t>Figure 14</w:t>
            </w:r>
          </w:p>
        </w:tc>
      </w:tr>
      <w:tr w:rsidR="003246FC" w:rsidRPr="003A6336" w14:paraId="2511DB35" w14:textId="77777777" w:rsidTr="009B4355">
        <w:tc>
          <w:tcPr>
            <w:tcW w:w="0" w:type="auto"/>
          </w:tcPr>
          <w:p w14:paraId="03E15E7B" w14:textId="77777777" w:rsidR="003246FC" w:rsidRPr="003A6336" w:rsidRDefault="003246FC" w:rsidP="009B4355">
            <w:pPr>
              <w:rPr>
                <w:rFonts w:ascii="Aptos" w:hAnsi="Aptos"/>
              </w:rPr>
            </w:pPr>
            <w:r w:rsidRPr="003A6336">
              <w:rPr>
                <w:rFonts w:ascii="Aptos" w:eastAsia="Segoe UI" w:hAnsi="Aptos" w:cs="Segoe UI"/>
                <w:color w:val="0F1115"/>
              </w:rPr>
              <w:t xml:space="preserve">English </w:t>
            </w:r>
          </w:p>
        </w:tc>
        <w:tc>
          <w:tcPr>
            <w:tcW w:w="0" w:type="auto"/>
          </w:tcPr>
          <w:p w14:paraId="77F24A1B" w14:textId="77777777" w:rsidR="003246FC" w:rsidRPr="003A6336" w:rsidRDefault="003246FC" w:rsidP="009B4355">
            <w:pPr>
              <w:rPr>
                <w:rFonts w:ascii="Aptos" w:hAnsi="Aptos"/>
              </w:rPr>
            </w:pPr>
            <w:r>
              <w:rPr>
                <w:rFonts w:ascii="Aptos" w:eastAsia="Segoe UI" w:hAnsi="Aptos" w:cs="Segoe UI"/>
                <w:color w:val="0F1115"/>
              </w:rPr>
              <w:t>Français</w:t>
            </w:r>
          </w:p>
        </w:tc>
      </w:tr>
      <w:tr w:rsidR="003246FC" w:rsidRPr="003A6336" w14:paraId="261F96C4" w14:textId="77777777" w:rsidTr="009B4355">
        <w:tc>
          <w:tcPr>
            <w:tcW w:w="0" w:type="auto"/>
          </w:tcPr>
          <w:p w14:paraId="39133B39" w14:textId="77777777" w:rsidR="003246FC" w:rsidRPr="003A6336" w:rsidRDefault="003246FC" w:rsidP="009B4355">
            <w:pPr>
              <w:rPr>
                <w:rFonts w:ascii="Aptos" w:hAnsi="Aptos"/>
              </w:rPr>
            </w:pPr>
            <w:r w:rsidRPr="003A6336">
              <w:rPr>
                <w:rFonts w:ascii="Aptos" w:eastAsia="Segoe UI" w:hAnsi="Aptos" w:cs="Segoe UI"/>
                <w:color w:val="0F1115"/>
              </w:rPr>
              <w:t>Marine and coastal areas (under national jurisdiction)</w:t>
            </w:r>
          </w:p>
        </w:tc>
        <w:tc>
          <w:tcPr>
            <w:tcW w:w="0" w:type="auto"/>
          </w:tcPr>
          <w:p w14:paraId="31D3D1AD" w14:textId="77777777" w:rsidR="003246FC" w:rsidRPr="003A6336" w:rsidRDefault="003246FC" w:rsidP="009B4355">
            <w:pPr>
              <w:rPr>
                <w:rFonts w:ascii="Aptos" w:hAnsi="Aptos"/>
              </w:rPr>
            </w:pPr>
            <w:r w:rsidRPr="00926809">
              <w:t>Zones marines et côtières (relevant de la juridiction nationale)</w:t>
            </w:r>
          </w:p>
        </w:tc>
      </w:tr>
      <w:tr w:rsidR="003246FC" w:rsidRPr="003A6336" w14:paraId="3A2C4FC5" w14:textId="77777777" w:rsidTr="009B4355">
        <w:tc>
          <w:tcPr>
            <w:tcW w:w="0" w:type="auto"/>
          </w:tcPr>
          <w:p w14:paraId="24E7AA88" w14:textId="77777777" w:rsidR="003246FC" w:rsidRPr="003A6336" w:rsidRDefault="003246FC" w:rsidP="009B4355">
            <w:pPr>
              <w:rPr>
                <w:rFonts w:ascii="Aptos" w:hAnsi="Aptos"/>
              </w:rPr>
            </w:pPr>
            <w:r w:rsidRPr="003A6336">
              <w:rPr>
                <w:rFonts w:ascii="Aptos" w:eastAsia="Segoe UI" w:hAnsi="Aptos" w:cs="Segoe UI"/>
                <w:color w:val="0F1115"/>
              </w:rPr>
              <w:t>Terrestrial and inland waters</w:t>
            </w:r>
          </w:p>
        </w:tc>
        <w:tc>
          <w:tcPr>
            <w:tcW w:w="0" w:type="auto"/>
          </w:tcPr>
          <w:p w14:paraId="6685E843" w14:textId="77777777" w:rsidR="003246FC" w:rsidRPr="003A6336" w:rsidRDefault="003246FC" w:rsidP="009B4355">
            <w:pPr>
              <w:rPr>
                <w:rFonts w:ascii="Aptos" w:hAnsi="Aptos"/>
              </w:rPr>
            </w:pPr>
            <w:r w:rsidRPr="00926809">
              <w:t>Zones terrestres et eaux intérieures</w:t>
            </w:r>
          </w:p>
        </w:tc>
      </w:tr>
      <w:tr w:rsidR="003246FC" w:rsidRPr="003A6336" w14:paraId="2C10D8D0" w14:textId="77777777" w:rsidTr="009B4355">
        <w:tc>
          <w:tcPr>
            <w:tcW w:w="0" w:type="auto"/>
          </w:tcPr>
          <w:p w14:paraId="50FD14F4" w14:textId="77777777" w:rsidR="003246FC" w:rsidRPr="003A6336" w:rsidRDefault="003246FC" w:rsidP="009B4355">
            <w:pPr>
              <w:rPr>
                <w:rFonts w:ascii="Aptos" w:hAnsi="Aptos"/>
              </w:rPr>
            </w:pPr>
            <w:r w:rsidRPr="003A6336">
              <w:rPr>
                <w:rFonts w:ascii="Aptos" w:eastAsia="Segoe UI" w:hAnsi="Aptos" w:cs="Segoe UI"/>
                <w:color w:val="0F1115"/>
              </w:rPr>
              <w:t>All marine and coastal areas (under national jurisdiction)</w:t>
            </w:r>
          </w:p>
        </w:tc>
        <w:tc>
          <w:tcPr>
            <w:tcW w:w="0" w:type="auto"/>
          </w:tcPr>
          <w:p w14:paraId="1819AD0F" w14:textId="77777777" w:rsidR="003246FC" w:rsidRPr="003A6336" w:rsidRDefault="003246FC" w:rsidP="009B4355">
            <w:pPr>
              <w:rPr>
                <w:rFonts w:ascii="Aptos" w:hAnsi="Aptos"/>
              </w:rPr>
            </w:pPr>
            <w:r w:rsidRPr="00926809">
              <w:t>Toutes les zones marines et côtières (relevant de la juridiction nationale)</w:t>
            </w:r>
          </w:p>
        </w:tc>
      </w:tr>
      <w:tr w:rsidR="003246FC" w:rsidRPr="003A6336" w14:paraId="396F421B" w14:textId="77777777" w:rsidTr="009B4355">
        <w:tc>
          <w:tcPr>
            <w:tcW w:w="0" w:type="auto"/>
          </w:tcPr>
          <w:p w14:paraId="1D5A7E87" w14:textId="77777777" w:rsidR="003246FC" w:rsidRPr="003A6336" w:rsidRDefault="003246FC" w:rsidP="009B4355">
            <w:pPr>
              <w:rPr>
                <w:rFonts w:ascii="Aptos" w:hAnsi="Aptos"/>
              </w:rPr>
            </w:pPr>
            <w:r w:rsidRPr="003A6336">
              <w:rPr>
                <w:rFonts w:ascii="Aptos" w:eastAsia="Segoe UI" w:hAnsi="Aptos" w:cs="Segoe UI"/>
                <w:color w:val="0F1115"/>
              </w:rPr>
              <w:t>All terrestrial and inland waters</w:t>
            </w:r>
          </w:p>
        </w:tc>
        <w:tc>
          <w:tcPr>
            <w:tcW w:w="0" w:type="auto"/>
          </w:tcPr>
          <w:p w14:paraId="33B4C827" w14:textId="77777777" w:rsidR="003246FC" w:rsidRPr="003A6336" w:rsidRDefault="003246FC" w:rsidP="009B4355">
            <w:pPr>
              <w:rPr>
                <w:rFonts w:ascii="Aptos" w:hAnsi="Aptos"/>
              </w:rPr>
            </w:pPr>
            <w:r w:rsidRPr="00926809">
              <w:t>Toutes les zones terrestres et eaux intérieures</w:t>
            </w:r>
          </w:p>
        </w:tc>
      </w:tr>
      <w:tr w:rsidR="003246FC" w:rsidRPr="003A6336" w14:paraId="1F399D1C" w14:textId="77777777" w:rsidTr="009B4355">
        <w:tc>
          <w:tcPr>
            <w:tcW w:w="0" w:type="auto"/>
          </w:tcPr>
          <w:p w14:paraId="7C47D9A6" w14:textId="77777777" w:rsidR="003246FC" w:rsidRPr="003A6336" w:rsidRDefault="003246FC" w:rsidP="009B4355">
            <w:pPr>
              <w:rPr>
                <w:rFonts w:ascii="Aptos" w:hAnsi="Aptos"/>
              </w:rPr>
            </w:pPr>
            <w:r w:rsidRPr="6D03A27B">
              <w:rPr>
                <w:rFonts w:ascii="Aptos" w:eastAsia="Segoe UI" w:hAnsi="Aptos" w:cs="Segoe UI"/>
                <w:color w:val="0F1115"/>
              </w:rPr>
              <w:t>Protected area coverage (%)</w:t>
            </w:r>
          </w:p>
        </w:tc>
        <w:tc>
          <w:tcPr>
            <w:tcW w:w="0" w:type="auto"/>
          </w:tcPr>
          <w:p w14:paraId="6B75BF52" w14:textId="77777777" w:rsidR="003246FC" w:rsidRPr="003A6336" w:rsidRDefault="003246FC" w:rsidP="009B4355">
            <w:pPr>
              <w:rPr>
                <w:rFonts w:ascii="Aptos" w:hAnsi="Aptos"/>
              </w:rPr>
            </w:pPr>
            <w:r w:rsidRPr="00926809">
              <w:t>Couverture en aires protégées (%)</w:t>
            </w:r>
          </w:p>
        </w:tc>
      </w:tr>
      <w:tr w:rsidR="003246FC" w:rsidRPr="003A6336" w14:paraId="31E20B78" w14:textId="77777777" w:rsidTr="009B4355">
        <w:tc>
          <w:tcPr>
            <w:tcW w:w="0" w:type="auto"/>
          </w:tcPr>
          <w:p w14:paraId="004CF971" w14:textId="77777777" w:rsidR="003246FC" w:rsidRPr="003A6336" w:rsidRDefault="003246FC" w:rsidP="009B4355">
            <w:pPr>
              <w:rPr>
                <w:rFonts w:ascii="Aptos" w:hAnsi="Aptos"/>
              </w:rPr>
            </w:pPr>
            <w:r w:rsidRPr="003A6336">
              <w:rPr>
                <w:rFonts w:ascii="Aptos" w:eastAsia="Segoe UI" w:hAnsi="Aptos" w:cs="Segoe UI"/>
                <w:color w:val="0F1115"/>
              </w:rPr>
              <w:t>Year</w:t>
            </w:r>
          </w:p>
        </w:tc>
        <w:tc>
          <w:tcPr>
            <w:tcW w:w="0" w:type="auto"/>
          </w:tcPr>
          <w:p w14:paraId="240A155B" w14:textId="77777777" w:rsidR="003246FC" w:rsidRPr="003A6336" w:rsidRDefault="003246FC" w:rsidP="009B4355">
            <w:pPr>
              <w:rPr>
                <w:rFonts w:ascii="Aptos" w:hAnsi="Aptos"/>
              </w:rPr>
            </w:pPr>
            <w:r>
              <w:rPr>
                <w:rFonts w:ascii="Aptos" w:eastAsia="Segoe UI" w:hAnsi="Aptos" w:cs="Segoe UI"/>
                <w:color w:val="0F1115"/>
              </w:rPr>
              <w:t>Année</w:t>
            </w:r>
          </w:p>
        </w:tc>
      </w:tr>
      <w:tr w:rsidR="003246FC" w:rsidRPr="003A6336" w14:paraId="6CFFDA37" w14:textId="77777777" w:rsidTr="009B4355">
        <w:tc>
          <w:tcPr>
            <w:tcW w:w="0" w:type="auto"/>
          </w:tcPr>
          <w:p w14:paraId="47DEC06D" w14:textId="77777777" w:rsidR="003246FC" w:rsidRPr="003A6336" w:rsidRDefault="003246FC" w:rsidP="009B4355">
            <w:pPr>
              <w:rPr>
                <w:rFonts w:ascii="Aptos" w:hAnsi="Aptos"/>
              </w:rPr>
            </w:pPr>
            <w:r w:rsidRPr="003A6336">
              <w:rPr>
                <w:rFonts w:ascii="Aptos" w:eastAsia="Segoe UI" w:hAnsi="Aptos" w:cs="Segoe UI"/>
                <w:color w:val="0F1115"/>
              </w:rPr>
              <w:t>Corresponds to 16.7% of the reported area (plus 2.9% since 2020)</w:t>
            </w:r>
          </w:p>
        </w:tc>
        <w:tc>
          <w:tcPr>
            <w:tcW w:w="0" w:type="auto"/>
          </w:tcPr>
          <w:p w14:paraId="4788FA87" w14:textId="77777777" w:rsidR="003246FC" w:rsidRPr="003A6336" w:rsidRDefault="003246FC" w:rsidP="009B4355">
            <w:pPr>
              <w:rPr>
                <w:rFonts w:ascii="Aptos" w:hAnsi="Aptos"/>
              </w:rPr>
            </w:pPr>
            <w:r w:rsidRPr="00470879">
              <w:rPr>
                <w:rFonts w:ascii="Aptos" w:hAnsi="Aptos"/>
                <w:lang w:val="fr-FR"/>
              </w:rPr>
              <w:t>Ce qui correspond à 16,7 % de la superficie déclarée (soit une augmentation de 2,9 % depuis 2020)</w:t>
            </w:r>
          </w:p>
        </w:tc>
      </w:tr>
      <w:tr w:rsidR="003246FC" w:rsidRPr="003A6336" w14:paraId="1A753B9F" w14:textId="77777777" w:rsidTr="009B4355">
        <w:tc>
          <w:tcPr>
            <w:tcW w:w="0" w:type="auto"/>
          </w:tcPr>
          <w:p w14:paraId="2E6373A2" w14:textId="77777777" w:rsidR="003246FC" w:rsidRPr="003A6336" w:rsidRDefault="003246FC" w:rsidP="009B4355">
            <w:pPr>
              <w:rPr>
                <w:rFonts w:ascii="Aptos" w:hAnsi="Aptos"/>
              </w:rPr>
            </w:pPr>
            <w:r w:rsidRPr="003A6336">
              <w:rPr>
                <w:rFonts w:ascii="Aptos" w:eastAsia="Segoe UI" w:hAnsi="Aptos" w:cs="Segoe UI"/>
                <w:color w:val="0F1115"/>
              </w:rPr>
              <w:t>Corresponds to 19.5% of the reported area (plus 2.2% since 2020)</w:t>
            </w:r>
          </w:p>
        </w:tc>
        <w:tc>
          <w:tcPr>
            <w:tcW w:w="0" w:type="auto"/>
          </w:tcPr>
          <w:p w14:paraId="3857C6DF" w14:textId="77777777" w:rsidR="003246FC" w:rsidRPr="00470879" w:rsidRDefault="003246FC" w:rsidP="009B4355">
            <w:pPr>
              <w:rPr>
                <w:rFonts w:ascii="Aptos" w:eastAsia="Segoe UI" w:hAnsi="Aptos" w:cs="Segoe UI"/>
                <w:color w:val="0F1115"/>
                <w:lang w:val="fr-FR"/>
              </w:rPr>
            </w:pPr>
            <w:r w:rsidRPr="00470879">
              <w:rPr>
                <w:rFonts w:ascii="Aptos" w:eastAsia="Segoe UI" w:hAnsi="Aptos" w:cs="Segoe UI"/>
                <w:color w:val="0F1115"/>
                <w:lang w:val="fr-FR"/>
              </w:rPr>
              <w:t>Ce qui correspond à 19,5 % de la superficie déclarée (soit une augmentation de 2,2 % depuis 2020)</w:t>
            </w:r>
          </w:p>
        </w:tc>
      </w:tr>
      <w:tr w:rsidR="003246FC" w:rsidRPr="003A6336" w14:paraId="0DC03196" w14:textId="77777777" w:rsidTr="009B4355">
        <w:tc>
          <w:tcPr>
            <w:tcW w:w="0" w:type="auto"/>
          </w:tcPr>
          <w:p w14:paraId="1E7CF7BD" w14:textId="77777777" w:rsidR="003246FC" w:rsidRPr="003A6336" w:rsidRDefault="003246FC" w:rsidP="009B4355">
            <w:pPr>
              <w:rPr>
                <w:rFonts w:ascii="Aptos" w:hAnsi="Aptos"/>
              </w:rPr>
            </w:pPr>
            <w:r w:rsidRPr="003A6336">
              <w:rPr>
                <w:rFonts w:ascii="Aptos" w:eastAsia="Segoe UI" w:hAnsi="Aptos" w:cs="Segoe UI"/>
                <w:color w:val="0F1115"/>
              </w:rPr>
              <w:t>Party count by region</w:t>
            </w:r>
          </w:p>
        </w:tc>
        <w:tc>
          <w:tcPr>
            <w:tcW w:w="0" w:type="auto"/>
          </w:tcPr>
          <w:p w14:paraId="3B38D13F" w14:textId="77777777" w:rsidR="003246FC" w:rsidRPr="003A6336" w:rsidRDefault="003246FC" w:rsidP="009B4355">
            <w:pPr>
              <w:rPr>
                <w:rFonts w:ascii="Aptos" w:hAnsi="Aptos"/>
              </w:rPr>
            </w:pPr>
            <w:r>
              <w:rPr>
                <w:rFonts w:ascii="Aptos" w:hAnsi="Aptos"/>
              </w:rPr>
              <w:t>Nombre de Parties par région</w:t>
            </w:r>
          </w:p>
        </w:tc>
      </w:tr>
      <w:tr w:rsidR="003246FC" w:rsidRPr="003A6336" w14:paraId="5E53F19B" w14:textId="77777777" w:rsidTr="009B4355">
        <w:tc>
          <w:tcPr>
            <w:tcW w:w="0" w:type="auto"/>
          </w:tcPr>
          <w:p w14:paraId="213AF6D9" w14:textId="77777777" w:rsidR="003246FC" w:rsidRPr="003A6336" w:rsidRDefault="003246FC" w:rsidP="009B4355">
            <w:pPr>
              <w:rPr>
                <w:rFonts w:ascii="Aptos" w:hAnsi="Aptos"/>
              </w:rPr>
            </w:pPr>
            <w:r w:rsidRPr="003A6336">
              <w:rPr>
                <w:rFonts w:ascii="Aptos" w:eastAsia="Segoe UI" w:hAnsi="Aptos" w:cs="Segoe UI"/>
                <w:color w:val="0F1115"/>
              </w:rPr>
              <w:lastRenderedPageBreak/>
              <w:t>Region</w:t>
            </w:r>
          </w:p>
        </w:tc>
        <w:tc>
          <w:tcPr>
            <w:tcW w:w="0" w:type="auto"/>
          </w:tcPr>
          <w:p w14:paraId="6E1CB4E0" w14:textId="77777777" w:rsidR="003246FC" w:rsidRPr="003A6336" w:rsidRDefault="003246FC" w:rsidP="009B4355">
            <w:pPr>
              <w:rPr>
                <w:rFonts w:ascii="Aptos" w:hAnsi="Aptos"/>
              </w:rPr>
            </w:pPr>
            <w:r>
              <w:rPr>
                <w:rFonts w:ascii="Aptos" w:hAnsi="Aptos"/>
                <w:lang w:val="fr-FR"/>
              </w:rPr>
              <w:t>Région</w:t>
            </w:r>
          </w:p>
        </w:tc>
      </w:tr>
      <w:tr w:rsidR="003246FC" w:rsidRPr="003A6336" w14:paraId="4C68E086" w14:textId="77777777" w:rsidTr="009B4355">
        <w:tc>
          <w:tcPr>
            <w:tcW w:w="0" w:type="auto"/>
          </w:tcPr>
          <w:p w14:paraId="5568A771" w14:textId="77777777" w:rsidR="003246FC" w:rsidRPr="003A6336" w:rsidRDefault="003246FC" w:rsidP="009B4355">
            <w:pPr>
              <w:rPr>
                <w:rFonts w:ascii="Aptos" w:hAnsi="Aptos"/>
              </w:rPr>
            </w:pPr>
            <w:r w:rsidRPr="003A6336">
              <w:rPr>
                <w:rFonts w:ascii="Aptos" w:eastAsia="Segoe UI" w:hAnsi="Aptos" w:cs="Segoe UI"/>
                <w:color w:val="0F1115"/>
              </w:rPr>
              <w:t>Africa</w:t>
            </w:r>
            <w:r>
              <w:rPr>
                <w:rFonts w:ascii="Aptos" w:eastAsia="Segoe UI" w:hAnsi="Aptos" w:cs="Segoe UI"/>
                <w:color w:val="0F1115"/>
              </w:rPr>
              <w:t>n States</w:t>
            </w:r>
          </w:p>
        </w:tc>
        <w:tc>
          <w:tcPr>
            <w:tcW w:w="0" w:type="auto"/>
          </w:tcPr>
          <w:p w14:paraId="2AEC759D" w14:textId="77777777" w:rsidR="003246FC" w:rsidRPr="003A6336" w:rsidRDefault="003246FC" w:rsidP="009B4355">
            <w:pPr>
              <w:rPr>
                <w:rFonts w:ascii="Aptos" w:hAnsi="Aptos"/>
              </w:rPr>
            </w:pPr>
            <w:r>
              <w:rPr>
                <w:rFonts w:ascii="Aptos" w:hAnsi="Aptos"/>
                <w:lang w:val="fr-FR"/>
              </w:rPr>
              <w:t>États d’Afrique</w:t>
            </w:r>
          </w:p>
        </w:tc>
      </w:tr>
      <w:tr w:rsidR="003246FC" w:rsidRPr="003A6336" w14:paraId="34F30167" w14:textId="77777777" w:rsidTr="009B4355">
        <w:tc>
          <w:tcPr>
            <w:tcW w:w="0" w:type="auto"/>
          </w:tcPr>
          <w:p w14:paraId="6E7A625F" w14:textId="77777777" w:rsidR="003246FC" w:rsidRPr="003A6336" w:rsidRDefault="003246FC" w:rsidP="009B4355">
            <w:pPr>
              <w:rPr>
                <w:rFonts w:ascii="Aptos" w:hAnsi="Aptos"/>
              </w:rPr>
            </w:pPr>
            <w:r w:rsidRPr="003A6336">
              <w:rPr>
                <w:rFonts w:ascii="Aptos" w:eastAsia="Segoe UI" w:hAnsi="Aptos" w:cs="Segoe UI"/>
                <w:color w:val="0F1115"/>
              </w:rPr>
              <w:t>Asia</w:t>
            </w:r>
            <w:r>
              <w:rPr>
                <w:rFonts w:ascii="Aptos" w:eastAsia="Segoe UI" w:hAnsi="Aptos" w:cs="Segoe UI"/>
                <w:color w:val="0F1115"/>
              </w:rPr>
              <w:t>-</w:t>
            </w:r>
            <w:r w:rsidRPr="003A6336">
              <w:rPr>
                <w:rFonts w:ascii="Aptos" w:eastAsia="Segoe UI" w:hAnsi="Aptos" w:cs="Segoe UI"/>
                <w:color w:val="0F1115"/>
              </w:rPr>
              <w:t>Pacific</w:t>
            </w:r>
            <w:r>
              <w:rPr>
                <w:rFonts w:ascii="Aptos" w:eastAsia="Segoe UI" w:hAnsi="Aptos" w:cs="Segoe UI"/>
                <w:color w:val="0F1115"/>
              </w:rPr>
              <w:t xml:space="preserve"> States</w:t>
            </w:r>
          </w:p>
        </w:tc>
        <w:tc>
          <w:tcPr>
            <w:tcW w:w="0" w:type="auto"/>
          </w:tcPr>
          <w:p w14:paraId="681CD3B7" w14:textId="77777777" w:rsidR="003246FC" w:rsidRPr="003A6336" w:rsidRDefault="003246FC" w:rsidP="009B4355">
            <w:pPr>
              <w:rPr>
                <w:rFonts w:ascii="Aptos" w:hAnsi="Aptos"/>
              </w:rPr>
            </w:pPr>
            <w:r>
              <w:rPr>
                <w:rFonts w:ascii="Aptos" w:hAnsi="Aptos"/>
                <w:lang w:val="fr-FR"/>
              </w:rPr>
              <w:t>États d’Asie et du Pacifique</w:t>
            </w:r>
          </w:p>
        </w:tc>
      </w:tr>
      <w:tr w:rsidR="003246FC" w:rsidRPr="003A6336" w14:paraId="0ECDE48C" w14:textId="77777777" w:rsidTr="009B4355">
        <w:tc>
          <w:tcPr>
            <w:tcW w:w="0" w:type="auto"/>
          </w:tcPr>
          <w:p w14:paraId="698991CD" w14:textId="77777777" w:rsidR="003246FC" w:rsidRPr="003A6336" w:rsidRDefault="003246FC" w:rsidP="009B4355">
            <w:pPr>
              <w:rPr>
                <w:rFonts w:ascii="Aptos" w:hAnsi="Aptos"/>
              </w:rPr>
            </w:pPr>
            <w:r w:rsidRPr="003A6336">
              <w:rPr>
                <w:rFonts w:ascii="Aptos" w:eastAsia="Segoe UI" w:hAnsi="Aptos" w:cs="Segoe UI"/>
                <w:color w:val="0F1115"/>
              </w:rPr>
              <w:t>Latin America</w:t>
            </w:r>
            <w:r>
              <w:rPr>
                <w:rFonts w:ascii="Aptos" w:eastAsia="Segoe UI" w:hAnsi="Aptos" w:cs="Segoe UI"/>
                <w:color w:val="0F1115"/>
              </w:rPr>
              <w:t>n</w:t>
            </w:r>
            <w:r w:rsidRPr="003A6336">
              <w:rPr>
                <w:rFonts w:ascii="Aptos" w:eastAsia="Segoe UI" w:hAnsi="Aptos" w:cs="Segoe UI"/>
                <w:color w:val="0F1115"/>
              </w:rPr>
              <w:t xml:space="preserve"> and Caribbean</w:t>
            </w:r>
            <w:r>
              <w:rPr>
                <w:rFonts w:ascii="Aptos" w:eastAsia="Segoe UI" w:hAnsi="Aptos" w:cs="Segoe UI"/>
                <w:color w:val="0F1115"/>
              </w:rPr>
              <w:t xml:space="preserve"> States</w:t>
            </w:r>
          </w:p>
        </w:tc>
        <w:tc>
          <w:tcPr>
            <w:tcW w:w="0" w:type="auto"/>
          </w:tcPr>
          <w:p w14:paraId="5DAB46F4" w14:textId="77777777" w:rsidR="003246FC" w:rsidRPr="003A6336" w:rsidRDefault="003246FC" w:rsidP="009B4355">
            <w:pPr>
              <w:rPr>
                <w:rFonts w:ascii="Aptos" w:hAnsi="Aptos"/>
              </w:rPr>
            </w:pPr>
            <w:r>
              <w:rPr>
                <w:rFonts w:ascii="Aptos" w:hAnsi="Aptos"/>
                <w:lang w:val="fr-FR"/>
              </w:rPr>
              <w:t>États d’Amérique latine et des Caraïbes</w:t>
            </w:r>
          </w:p>
        </w:tc>
      </w:tr>
      <w:tr w:rsidR="003246FC" w:rsidRPr="003A6336" w14:paraId="35B1FEA6" w14:textId="77777777" w:rsidTr="009B4355">
        <w:tc>
          <w:tcPr>
            <w:tcW w:w="0" w:type="auto"/>
          </w:tcPr>
          <w:p w14:paraId="0BC5838A" w14:textId="77777777" w:rsidR="003246FC" w:rsidRPr="003A6336" w:rsidRDefault="003246FC" w:rsidP="009B4355">
            <w:pPr>
              <w:rPr>
                <w:rFonts w:ascii="Aptos" w:hAnsi="Aptos"/>
              </w:rPr>
            </w:pPr>
            <w:r w:rsidRPr="003A6336">
              <w:rPr>
                <w:rFonts w:ascii="Aptos" w:eastAsia="Segoe UI" w:hAnsi="Aptos" w:cs="Segoe UI"/>
                <w:color w:val="0F1115"/>
              </w:rPr>
              <w:t>Eastern Europe</w:t>
            </w:r>
            <w:r>
              <w:rPr>
                <w:rFonts w:ascii="Aptos" w:eastAsia="Segoe UI" w:hAnsi="Aptos" w:cs="Segoe UI"/>
                <w:color w:val="0F1115"/>
              </w:rPr>
              <w:t>an States</w:t>
            </w:r>
          </w:p>
        </w:tc>
        <w:tc>
          <w:tcPr>
            <w:tcW w:w="0" w:type="auto"/>
          </w:tcPr>
          <w:p w14:paraId="3353ECD9" w14:textId="77777777" w:rsidR="003246FC" w:rsidRPr="003A6336" w:rsidRDefault="003246FC" w:rsidP="009B4355">
            <w:pPr>
              <w:rPr>
                <w:rFonts w:ascii="Aptos" w:hAnsi="Aptos"/>
              </w:rPr>
            </w:pPr>
            <w:r>
              <w:rPr>
                <w:rFonts w:ascii="Aptos" w:hAnsi="Aptos"/>
                <w:lang w:val="fr-FR"/>
              </w:rPr>
              <w:t>États d’Europe orientale</w:t>
            </w:r>
          </w:p>
        </w:tc>
      </w:tr>
      <w:tr w:rsidR="003246FC" w:rsidRPr="003A6336" w14:paraId="41C4F520" w14:textId="77777777" w:rsidTr="009B4355">
        <w:tc>
          <w:tcPr>
            <w:tcW w:w="0" w:type="auto"/>
          </w:tcPr>
          <w:p w14:paraId="0882FA87" w14:textId="77777777" w:rsidR="003246FC" w:rsidRPr="003A6336" w:rsidRDefault="003246FC" w:rsidP="009B4355">
            <w:pPr>
              <w:rPr>
                <w:rFonts w:ascii="Aptos" w:hAnsi="Aptos"/>
              </w:rPr>
            </w:pPr>
            <w:r w:rsidRPr="003A6336">
              <w:rPr>
                <w:rFonts w:ascii="Aptos" w:eastAsia="Segoe UI" w:hAnsi="Aptos" w:cs="Segoe UI"/>
                <w:color w:val="0F1115"/>
              </w:rPr>
              <w:t>Western Europe</w:t>
            </w:r>
            <w:r>
              <w:rPr>
                <w:rFonts w:ascii="Aptos" w:eastAsia="Segoe UI" w:hAnsi="Aptos" w:cs="Segoe UI"/>
                <w:color w:val="0F1115"/>
              </w:rPr>
              <w:t>an</w:t>
            </w:r>
            <w:r w:rsidRPr="003A6336">
              <w:rPr>
                <w:rFonts w:ascii="Aptos" w:eastAsia="Segoe UI" w:hAnsi="Aptos" w:cs="Segoe UI"/>
                <w:color w:val="0F1115"/>
              </w:rPr>
              <w:t xml:space="preserve"> and </w:t>
            </w:r>
            <w:r>
              <w:rPr>
                <w:rFonts w:ascii="Aptos" w:eastAsia="Segoe UI" w:hAnsi="Aptos" w:cs="Segoe UI"/>
                <w:color w:val="0F1115"/>
              </w:rPr>
              <w:t>o</w:t>
            </w:r>
            <w:r w:rsidRPr="003A6336">
              <w:rPr>
                <w:rFonts w:ascii="Aptos" w:eastAsia="Segoe UI" w:hAnsi="Aptos" w:cs="Segoe UI"/>
                <w:color w:val="0F1115"/>
              </w:rPr>
              <w:t xml:space="preserve">ther </w:t>
            </w:r>
            <w:r>
              <w:rPr>
                <w:rFonts w:ascii="Aptos" w:eastAsia="Segoe UI" w:hAnsi="Aptos" w:cs="Segoe UI"/>
                <w:color w:val="0F1115"/>
              </w:rPr>
              <w:t>States</w:t>
            </w:r>
          </w:p>
        </w:tc>
        <w:tc>
          <w:tcPr>
            <w:tcW w:w="0" w:type="auto"/>
          </w:tcPr>
          <w:p w14:paraId="23D1C6D1" w14:textId="77777777" w:rsidR="003246FC" w:rsidRPr="003A6336" w:rsidRDefault="003246FC" w:rsidP="009B4355">
            <w:pPr>
              <w:rPr>
                <w:rFonts w:ascii="Aptos" w:hAnsi="Aptos"/>
              </w:rPr>
            </w:pPr>
            <w:r>
              <w:rPr>
                <w:rFonts w:ascii="Aptos" w:hAnsi="Aptos"/>
                <w:lang w:val="fr-FR"/>
              </w:rPr>
              <w:t>États d’Europe occidentale et autres États</w:t>
            </w:r>
          </w:p>
        </w:tc>
      </w:tr>
      <w:tr w:rsidR="003246FC" w:rsidRPr="003A6336" w14:paraId="3AEEA947" w14:textId="77777777" w:rsidTr="009B4355">
        <w:tc>
          <w:tcPr>
            <w:tcW w:w="0" w:type="auto"/>
          </w:tcPr>
          <w:p w14:paraId="3BFCA51E" w14:textId="77777777" w:rsidR="003246FC" w:rsidRPr="003A6336" w:rsidRDefault="003246FC" w:rsidP="009B4355">
            <w:pPr>
              <w:rPr>
                <w:rFonts w:ascii="Aptos" w:hAnsi="Aptos"/>
              </w:rPr>
            </w:pPr>
            <w:r w:rsidRPr="003A6336">
              <w:rPr>
                <w:rFonts w:ascii="Aptos" w:eastAsia="Segoe UI" w:hAnsi="Aptos" w:cs="Segoe UI"/>
                <w:color w:val="0F1115"/>
              </w:rPr>
              <w:t>Party count: 78</w:t>
            </w:r>
          </w:p>
        </w:tc>
        <w:tc>
          <w:tcPr>
            <w:tcW w:w="0" w:type="auto"/>
          </w:tcPr>
          <w:p w14:paraId="6657373A" w14:textId="77777777" w:rsidR="003246FC" w:rsidRPr="003A6336" w:rsidRDefault="003246FC" w:rsidP="009B4355">
            <w:pPr>
              <w:rPr>
                <w:rFonts w:ascii="Aptos" w:hAnsi="Aptos"/>
              </w:rPr>
            </w:pPr>
            <w:r>
              <w:rPr>
                <w:rFonts w:ascii="Aptos" w:eastAsia="Segoe UI" w:hAnsi="Aptos" w:cs="Segoe UI"/>
                <w:color w:val="0F1115"/>
              </w:rPr>
              <w:t>Nombre de Parties : 78</w:t>
            </w:r>
          </w:p>
        </w:tc>
      </w:tr>
    </w:tbl>
    <w:p w14:paraId="4B3105D0" w14:textId="77777777" w:rsidR="00C40E1D" w:rsidRPr="00653BF4" w:rsidRDefault="00C40E1D" w:rsidP="00D56883">
      <w:pPr>
        <w:rPr>
          <w:rFonts w:ascii="Aptos" w:hAnsi="Aptos"/>
          <w:sz w:val="16"/>
          <w:szCs w:val="16"/>
          <w:lang w:val="fr-FR"/>
        </w:rPr>
      </w:pPr>
    </w:p>
    <w:bookmarkEnd w:id="107"/>
    <w:bookmarkEnd w:id="108"/>
    <w:p w14:paraId="6ACCA1C2" w14:textId="3F89F5ED" w:rsidR="00C40E1D" w:rsidRPr="00653BF4" w:rsidRDefault="0066420D" w:rsidP="00C40E1D">
      <w:pPr>
        <w:rPr>
          <w:rFonts w:ascii="Aptos" w:hAnsi="Aptos"/>
          <w:i/>
          <w:iCs/>
          <w:sz w:val="16"/>
          <w:szCs w:val="16"/>
          <w:lang w:val="fr-FR"/>
        </w:rPr>
      </w:pPr>
      <w:r w:rsidRPr="00653BF4">
        <w:rPr>
          <w:rFonts w:ascii="Aptos" w:hAnsi="Aptos"/>
          <w:sz w:val="20"/>
          <w:szCs w:val="20"/>
          <w:lang w:val="fr-FR"/>
        </w:rPr>
        <w:t xml:space="preserve">Figure </w:t>
      </w:r>
      <w:r w:rsidR="00C40E1D" w:rsidRPr="00653BF4">
        <w:rPr>
          <w:rFonts w:ascii="Aptos" w:hAnsi="Aptos"/>
          <w:sz w:val="20"/>
          <w:szCs w:val="20"/>
          <w:lang w:val="fr-FR"/>
        </w:rPr>
        <w:t>15</w:t>
      </w:r>
    </w:p>
    <w:p w14:paraId="2EFCA44E" w14:textId="7697303A" w:rsidR="00C40E1D" w:rsidRDefault="00D16844" w:rsidP="00C40E1D">
      <w:pPr>
        <w:rPr>
          <w:b/>
          <w:bCs/>
          <w:sz w:val="20"/>
          <w:szCs w:val="20"/>
          <w:lang w:val="fr-FR"/>
        </w:rPr>
      </w:pPr>
      <w:r w:rsidRPr="00653BF4">
        <w:rPr>
          <w:b/>
          <w:bCs/>
          <w:sz w:val="20"/>
          <w:szCs w:val="20"/>
          <w:lang w:val="fr-FR"/>
        </w:rPr>
        <w:t>I</w:t>
      </w:r>
      <w:r w:rsidR="003C5C35" w:rsidRPr="00653BF4">
        <w:rPr>
          <w:b/>
          <w:bCs/>
          <w:sz w:val="20"/>
          <w:szCs w:val="20"/>
          <w:lang w:val="fr-FR"/>
        </w:rPr>
        <w:t>ndicateur phare</w:t>
      </w:r>
      <w:r w:rsidRPr="00653BF4">
        <w:rPr>
          <w:b/>
          <w:bCs/>
          <w:sz w:val="20"/>
          <w:szCs w:val="20"/>
          <w:lang w:val="fr-FR"/>
        </w:rPr>
        <w:t xml:space="preserve"> 3.1</w:t>
      </w:r>
      <w:r w:rsidR="00E34DC9">
        <w:rPr>
          <w:b/>
          <w:bCs/>
          <w:sz w:val="20"/>
          <w:szCs w:val="20"/>
          <w:lang w:val="fr-FR"/>
        </w:rPr>
        <w:t> :</w:t>
      </w:r>
      <w:r w:rsidRPr="00653BF4">
        <w:rPr>
          <w:b/>
          <w:bCs/>
          <w:sz w:val="20"/>
          <w:szCs w:val="20"/>
          <w:lang w:val="fr-FR"/>
        </w:rPr>
        <w:t xml:space="preserve"> couverture des zones protégées et </w:t>
      </w:r>
      <w:r w:rsidR="00EF6129">
        <w:rPr>
          <w:b/>
          <w:bCs/>
          <w:sz w:val="20"/>
          <w:szCs w:val="20"/>
          <w:lang w:val="fr-FR"/>
        </w:rPr>
        <w:t>d’</w:t>
      </w:r>
      <w:r w:rsidRPr="00653BF4">
        <w:rPr>
          <w:b/>
          <w:bCs/>
          <w:sz w:val="20"/>
          <w:szCs w:val="20"/>
          <w:lang w:val="fr-FR"/>
        </w:rPr>
        <w:t>autres mesures de conservation efficaces par zone, selon la Base de données mondiale sur les zones protégées et conservées (pour les zones marines et côtières relevant de la juridiction nationale, ainsi que pour les zones terrestres et les eaux intérieures)</w:t>
      </w:r>
    </w:p>
    <w:p w14:paraId="2824E6B5" w14:textId="62F5AEE0" w:rsidR="003F3BF1" w:rsidRPr="00653BF4" w:rsidRDefault="005833DE" w:rsidP="00866D95">
      <w:pPr>
        <w:pStyle w:val="Caption"/>
        <w:rPr>
          <w:rFonts w:ascii="Aptos" w:hAnsi="Aptos"/>
          <w:lang w:val="fr-FR"/>
        </w:rPr>
      </w:pPr>
      <w:bookmarkStart w:id="109" w:name="_Ref235700647"/>
      <w:r w:rsidRPr="00653BF4">
        <w:rPr>
          <w:noProof/>
          <w:lang w:val="fr-FR"/>
          <w14:ligatures w14:val="standardContextual"/>
        </w:rPr>
        <w:drawing>
          <wp:inline distT="0" distB="0" distL="0" distR="0" wp14:anchorId="1916EE18" wp14:editId="708A1F20">
            <wp:extent cx="5943600" cy="3343275"/>
            <wp:effectExtent l="0" t="0" r="0" b="0"/>
            <wp:docPr id="34398583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85835" name="Picture 343985835"/>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167D4E6E" w14:textId="77777777" w:rsidR="00F8063D" w:rsidRPr="00653BF4" w:rsidRDefault="00F8063D" w:rsidP="00F8063D">
      <w:pPr>
        <w:rPr>
          <w:lang w:val="fr-FR" w:eastAsia="ja-JP"/>
        </w:rPr>
      </w:pPr>
    </w:p>
    <w:p w14:paraId="1BC856A4" w14:textId="1E28E124" w:rsidR="00F8063D" w:rsidRPr="00653BF4" w:rsidRDefault="006A631C" w:rsidP="00AB6C2E">
      <w:pPr>
        <w:pStyle w:val="Caption"/>
        <w:rPr>
          <w:rFonts w:ascii="Aptos" w:hAnsi="Aptos"/>
          <w:sz w:val="16"/>
          <w:szCs w:val="16"/>
          <w:lang w:val="fr-FR"/>
        </w:rPr>
      </w:pPr>
      <w:r w:rsidRPr="00653BF4">
        <w:rPr>
          <w:rFonts w:ascii="Aptos" w:hAnsi="Aptos"/>
          <w:sz w:val="16"/>
          <w:szCs w:val="16"/>
          <w:lang w:val="fr-FR"/>
        </w:rPr>
        <w:t>Note</w:t>
      </w:r>
      <w:r w:rsidR="00E34DC9">
        <w:rPr>
          <w:rFonts w:ascii="Aptos" w:hAnsi="Aptos"/>
          <w:sz w:val="16"/>
          <w:szCs w:val="16"/>
          <w:lang w:val="fr-FR"/>
        </w:rPr>
        <w:t> :</w:t>
      </w:r>
      <w:r w:rsidR="00AB6C2E" w:rsidRPr="00653BF4">
        <w:rPr>
          <w:rFonts w:ascii="Aptos" w:hAnsi="Aptos"/>
          <w:sz w:val="16"/>
          <w:szCs w:val="16"/>
          <w:lang w:val="fr-FR"/>
        </w:rPr>
        <w:t xml:space="preserve"> Ces données reposent uniquement sur les informations présentées à la WDPCA. Les valeurs des indicateurs indiquent la proportion globale de chaque type de zone faisant l</w:t>
      </w:r>
      <w:r w:rsidR="002A58C8" w:rsidRPr="00653BF4">
        <w:rPr>
          <w:rFonts w:ascii="Aptos" w:hAnsi="Aptos"/>
          <w:sz w:val="16"/>
          <w:szCs w:val="16"/>
          <w:lang w:val="fr-FR"/>
        </w:rPr>
        <w:t>’</w:t>
      </w:r>
      <w:r w:rsidR="00AB6C2E" w:rsidRPr="00653BF4">
        <w:rPr>
          <w:rFonts w:ascii="Aptos" w:hAnsi="Aptos"/>
          <w:sz w:val="16"/>
          <w:szCs w:val="16"/>
          <w:lang w:val="fr-FR"/>
        </w:rPr>
        <w:t>objet de mesures de conservation. Ces valeurs représentent 100</w:t>
      </w:r>
      <w:r w:rsidR="002878D7">
        <w:rPr>
          <w:rFonts w:ascii="Aptos" w:hAnsi="Aptos"/>
          <w:sz w:val="16"/>
          <w:szCs w:val="16"/>
          <w:lang w:val="fr-FR"/>
        </w:rPr>
        <w:t> %</w:t>
      </w:r>
      <w:r w:rsidR="00AB6C2E" w:rsidRPr="00653BF4">
        <w:rPr>
          <w:rFonts w:ascii="Aptos" w:hAnsi="Aptos"/>
          <w:sz w:val="16"/>
          <w:szCs w:val="16"/>
          <w:lang w:val="fr-FR"/>
        </w:rPr>
        <w:t xml:space="preserve"> de l</w:t>
      </w:r>
      <w:r w:rsidR="002A58C8" w:rsidRPr="00653BF4">
        <w:rPr>
          <w:rFonts w:ascii="Aptos" w:hAnsi="Aptos"/>
          <w:sz w:val="16"/>
          <w:szCs w:val="16"/>
          <w:lang w:val="fr-FR"/>
        </w:rPr>
        <w:t>’</w:t>
      </w:r>
      <w:r w:rsidR="00AB6C2E" w:rsidRPr="00653BF4">
        <w:rPr>
          <w:rFonts w:ascii="Aptos" w:hAnsi="Aptos"/>
          <w:sz w:val="16"/>
          <w:szCs w:val="16"/>
          <w:lang w:val="fr-FR"/>
        </w:rPr>
        <w:t>ensemble des zones terrestres et maritimes de toutes les Parties (voir les graphiques circulaires et à barres entièrement ombrés à droite).</w:t>
      </w:r>
    </w:p>
    <w:tbl>
      <w:tblPr>
        <w:tblStyle w:val="TableGrid"/>
        <w:tblW w:w="0" w:type="auto"/>
        <w:tblLook w:val="06A0" w:firstRow="1" w:lastRow="0" w:firstColumn="1" w:lastColumn="0" w:noHBand="1" w:noVBand="1"/>
      </w:tblPr>
      <w:tblGrid>
        <w:gridCol w:w="4200"/>
        <w:gridCol w:w="5150"/>
      </w:tblGrid>
      <w:tr w:rsidR="003246FC" w:rsidRPr="003A6336" w14:paraId="39998CAB" w14:textId="77777777" w:rsidTr="009B4355">
        <w:tc>
          <w:tcPr>
            <w:tcW w:w="0" w:type="auto"/>
            <w:gridSpan w:val="2"/>
          </w:tcPr>
          <w:p w14:paraId="0D59658D" w14:textId="77777777" w:rsidR="003246FC" w:rsidRPr="003A6336" w:rsidRDefault="003246FC" w:rsidP="009B4355">
            <w:pPr>
              <w:rPr>
                <w:rFonts w:ascii="Aptos" w:eastAsia="Segoe UI" w:hAnsi="Aptos" w:cs="Segoe UI"/>
                <w:color w:val="0F1115"/>
              </w:rPr>
            </w:pPr>
            <w:r>
              <w:rPr>
                <w:rFonts w:ascii="Aptos" w:eastAsia="Segoe UI" w:hAnsi="Aptos" w:cs="Segoe UI"/>
                <w:color w:val="0F1115"/>
              </w:rPr>
              <w:t>Figure 15</w:t>
            </w:r>
          </w:p>
        </w:tc>
      </w:tr>
      <w:tr w:rsidR="003246FC" w:rsidRPr="003A6336" w14:paraId="2FE2D2F4" w14:textId="77777777" w:rsidTr="009B4355">
        <w:tc>
          <w:tcPr>
            <w:tcW w:w="0" w:type="auto"/>
          </w:tcPr>
          <w:p w14:paraId="52B649AC" w14:textId="77777777" w:rsidR="003246FC" w:rsidRPr="003A6336" w:rsidRDefault="003246FC" w:rsidP="009B4355">
            <w:pPr>
              <w:rPr>
                <w:rFonts w:ascii="Aptos" w:hAnsi="Aptos"/>
              </w:rPr>
            </w:pPr>
            <w:r w:rsidRPr="003A6336">
              <w:rPr>
                <w:rFonts w:ascii="Aptos" w:eastAsia="Segoe UI" w:hAnsi="Aptos" w:cs="Segoe UI"/>
                <w:color w:val="0F1115"/>
              </w:rPr>
              <w:t xml:space="preserve">English </w:t>
            </w:r>
          </w:p>
        </w:tc>
        <w:tc>
          <w:tcPr>
            <w:tcW w:w="0" w:type="auto"/>
          </w:tcPr>
          <w:p w14:paraId="36352540" w14:textId="77777777" w:rsidR="003246FC" w:rsidRPr="003A6336" w:rsidRDefault="003246FC" w:rsidP="009B4355">
            <w:pPr>
              <w:rPr>
                <w:rFonts w:ascii="Aptos" w:hAnsi="Aptos"/>
              </w:rPr>
            </w:pPr>
            <w:r>
              <w:rPr>
                <w:rFonts w:ascii="Aptos" w:eastAsia="Segoe UI" w:hAnsi="Aptos" w:cs="Segoe UI"/>
                <w:color w:val="0F1115"/>
              </w:rPr>
              <w:t>Français</w:t>
            </w:r>
          </w:p>
        </w:tc>
      </w:tr>
      <w:tr w:rsidR="003246FC" w:rsidRPr="003A6336" w14:paraId="58FB5517" w14:textId="77777777" w:rsidTr="009B4355">
        <w:tc>
          <w:tcPr>
            <w:tcW w:w="0" w:type="auto"/>
          </w:tcPr>
          <w:p w14:paraId="2BC3B827" w14:textId="77777777" w:rsidR="003246FC" w:rsidRPr="003A6336" w:rsidRDefault="003246FC" w:rsidP="009B4355">
            <w:pPr>
              <w:rPr>
                <w:rFonts w:ascii="Aptos" w:hAnsi="Aptos"/>
              </w:rPr>
            </w:pPr>
            <w:r w:rsidRPr="003A6336">
              <w:rPr>
                <w:rFonts w:ascii="Aptos" w:eastAsia="Segoe UI" w:hAnsi="Aptos" w:cs="Segoe UI"/>
                <w:color w:val="0F1115"/>
              </w:rPr>
              <w:t>Marine and coastal areas (under national jurisdiction)</w:t>
            </w:r>
          </w:p>
        </w:tc>
        <w:tc>
          <w:tcPr>
            <w:tcW w:w="0" w:type="auto"/>
          </w:tcPr>
          <w:p w14:paraId="0E7C7E06" w14:textId="77777777" w:rsidR="003246FC" w:rsidRPr="003A6336" w:rsidRDefault="003246FC" w:rsidP="009B4355">
            <w:pPr>
              <w:rPr>
                <w:rFonts w:ascii="Aptos" w:hAnsi="Aptos"/>
              </w:rPr>
            </w:pPr>
            <w:r w:rsidRPr="00926809">
              <w:t>Zones marines et côtières (relevant de la juridiction nationale)</w:t>
            </w:r>
          </w:p>
        </w:tc>
      </w:tr>
      <w:tr w:rsidR="003246FC" w:rsidRPr="003A6336" w14:paraId="5C412D4A" w14:textId="77777777" w:rsidTr="009B4355">
        <w:tc>
          <w:tcPr>
            <w:tcW w:w="0" w:type="auto"/>
          </w:tcPr>
          <w:p w14:paraId="3CFC33F0" w14:textId="77777777" w:rsidR="003246FC" w:rsidRPr="003A6336" w:rsidRDefault="003246FC" w:rsidP="009B4355">
            <w:pPr>
              <w:rPr>
                <w:rFonts w:ascii="Aptos" w:hAnsi="Aptos"/>
              </w:rPr>
            </w:pPr>
            <w:r w:rsidRPr="003A6336">
              <w:rPr>
                <w:rFonts w:ascii="Aptos" w:eastAsia="Segoe UI" w:hAnsi="Aptos" w:cs="Segoe UI"/>
                <w:color w:val="0F1115"/>
              </w:rPr>
              <w:t>Terrestrial and inland waters</w:t>
            </w:r>
          </w:p>
        </w:tc>
        <w:tc>
          <w:tcPr>
            <w:tcW w:w="0" w:type="auto"/>
          </w:tcPr>
          <w:p w14:paraId="32615D33" w14:textId="77777777" w:rsidR="003246FC" w:rsidRPr="003A6336" w:rsidRDefault="003246FC" w:rsidP="009B4355">
            <w:pPr>
              <w:rPr>
                <w:rFonts w:ascii="Aptos" w:hAnsi="Aptos"/>
              </w:rPr>
            </w:pPr>
            <w:r w:rsidRPr="00926809">
              <w:t>Zones terrestres et eaux intérieures</w:t>
            </w:r>
          </w:p>
        </w:tc>
      </w:tr>
      <w:tr w:rsidR="003246FC" w:rsidRPr="003A6336" w14:paraId="61F209DF" w14:textId="77777777" w:rsidTr="009B4355">
        <w:tc>
          <w:tcPr>
            <w:tcW w:w="0" w:type="auto"/>
          </w:tcPr>
          <w:p w14:paraId="4B735FD3" w14:textId="77777777" w:rsidR="003246FC" w:rsidRPr="003A6336" w:rsidRDefault="003246FC" w:rsidP="009B4355">
            <w:pPr>
              <w:rPr>
                <w:rFonts w:ascii="Aptos" w:hAnsi="Aptos"/>
              </w:rPr>
            </w:pPr>
            <w:r w:rsidRPr="003A6336">
              <w:rPr>
                <w:rFonts w:ascii="Aptos" w:eastAsia="Segoe UI" w:hAnsi="Aptos" w:cs="Segoe UI"/>
                <w:color w:val="0F1115"/>
              </w:rPr>
              <w:lastRenderedPageBreak/>
              <w:t>All marine and coastal areas (under national jurisdiction)</w:t>
            </w:r>
          </w:p>
        </w:tc>
        <w:tc>
          <w:tcPr>
            <w:tcW w:w="0" w:type="auto"/>
          </w:tcPr>
          <w:p w14:paraId="243009BB" w14:textId="77777777" w:rsidR="003246FC" w:rsidRPr="003A6336" w:rsidRDefault="003246FC" w:rsidP="009B4355">
            <w:pPr>
              <w:rPr>
                <w:rFonts w:ascii="Aptos" w:hAnsi="Aptos"/>
              </w:rPr>
            </w:pPr>
            <w:r w:rsidRPr="00926809">
              <w:t>Toutes les zones marines et côtières (relevant de la juridiction nationale)</w:t>
            </w:r>
          </w:p>
        </w:tc>
      </w:tr>
      <w:tr w:rsidR="003246FC" w:rsidRPr="003A6336" w14:paraId="63D02AAC" w14:textId="77777777" w:rsidTr="009B4355">
        <w:tc>
          <w:tcPr>
            <w:tcW w:w="0" w:type="auto"/>
          </w:tcPr>
          <w:p w14:paraId="1D71A008" w14:textId="77777777" w:rsidR="003246FC" w:rsidRPr="003A6336" w:rsidRDefault="003246FC" w:rsidP="009B4355">
            <w:pPr>
              <w:rPr>
                <w:rFonts w:ascii="Aptos" w:hAnsi="Aptos"/>
              </w:rPr>
            </w:pPr>
            <w:r w:rsidRPr="003A6336">
              <w:rPr>
                <w:rFonts w:ascii="Aptos" w:eastAsia="Segoe UI" w:hAnsi="Aptos" w:cs="Segoe UI"/>
                <w:color w:val="0F1115"/>
              </w:rPr>
              <w:t>All terrestrial and inland waters</w:t>
            </w:r>
          </w:p>
        </w:tc>
        <w:tc>
          <w:tcPr>
            <w:tcW w:w="0" w:type="auto"/>
          </w:tcPr>
          <w:p w14:paraId="2B151B97" w14:textId="77777777" w:rsidR="003246FC" w:rsidRPr="003A6336" w:rsidRDefault="003246FC" w:rsidP="009B4355">
            <w:pPr>
              <w:rPr>
                <w:rFonts w:ascii="Aptos" w:hAnsi="Aptos"/>
              </w:rPr>
            </w:pPr>
            <w:r w:rsidRPr="00926809">
              <w:t>Toutes les zones terrestres et eaux intérieures</w:t>
            </w:r>
          </w:p>
        </w:tc>
      </w:tr>
      <w:tr w:rsidR="003246FC" w:rsidRPr="003A6336" w14:paraId="431E0822" w14:textId="77777777" w:rsidTr="009B4355">
        <w:tc>
          <w:tcPr>
            <w:tcW w:w="0" w:type="auto"/>
          </w:tcPr>
          <w:p w14:paraId="4401F8E0" w14:textId="77777777" w:rsidR="003246FC" w:rsidRPr="003A6336" w:rsidRDefault="003246FC" w:rsidP="009B4355">
            <w:pPr>
              <w:rPr>
                <w:rFonts w:ascii="Aptos" w:hAnsi="Aptos"/>
              </w:rPr>
            </w:pPr>
            <w:r w:rsidRPr="003A6336">
              <w:rPr>
                <w:rFonts w:ascii="Aptos" w:eastAsia="Segoe UI" w:hAnsi="Aptos" w:cs="Segoe UI"/>
                <w:color w:val="0F1115"/>
              </w:rPr>
              <w:t>Protected area coverage (%)</w:t>
            </w:r>
          </w:p>
        </w:tc>
        <w:tc>
          <w:tcPr>
            <w:tcW w:w="0" w:type="auto"/>
          </w:tcPr>
          <w:p w14:paraId="1AB594E6" w14:textId="77777777" w:rsidR="003246FC" w:rsidRPr="003A6336" w:rsidRDefault="003246FC" w:rsidP="009B4355">
            <w:pPr>
              <w:rPr>
                <w:rFonts w:ascii="Aptos" w:hAnsi="Aptos"/>
              </w:rPr>
            </w:pPr>
            <w:r w:rsidRPr="00926809">
              <w:t>Couverture en aires protégées (%)</w:t>
            </w:r>
          </w:p>
        </w:tc>
      </w:tr>
      <w:tr w:rsidR="003246FC" w:rsidRPr="003A6336" w14:paraId="3CF61AAF" w14:textId="77777777" w:rsidTr="009B4355">
        <w:tc>
          <w:tcPr>
            <w:tcW w:w="0" w:type="auto"/>
          </w:tcPr>
          <w:p w14:paraId="722ACC40" w14:textId="77777777" w:rsidR="003246FC" w:rsidRPr="003A6336" w:rsidRDefault="003246FC" w:rsidP="009B4355">
            <w:pPr>
              <w:rPr>
                <w:rFonts w:ascii="Aptos" w:hAnsi="Aptos"/>
              </w:rPr>
            </w:pPr>
            <w:r w:rsidRPr="003A6336">
              <w:rPr>
                <w:rFonts w:ascii="Aptos" w:eastAsia="Segoe UI" w:hAnsi="Aptos" w:cs="Segoe UI"/>
                <w:color w:val="0F1115"/>
              </w:rPr>
              <w:t>Year</w:t>
            </w:r>
          </w:p>
        </w:tc>
        <w:tc>
          <w:tcPr>
            <w:tcW w:w="0" w:type="auto"/>
          </w:tcPr>
          <w:p w14:paraId="6EEAB386" w14:textId="77777777" w:rsidR="003246FC" w:rsidRPr="003A6336" w:rsidRDefault="003246FC" w:rsidP="009B4355">
            <w:pPr>
              <w:rPr>
                <w:rFonts w:ascii="Aptos" w:hAnsi="Aptos"/>
              </w:rPr>
            </w:pPr>
            <w:r>
              <w:rPr>
                <w:rFonts w:ascii="Aptos" w:eastAsia="Segoe UI" w:hAnsi="Aptos" w:cs="Segoe UI"/>
                <w:color w:val="0F1115"/>
              </w:rPr>
              <w:t>Année</w:t>
            </w:r>
          </w:p>
        </w:tc>
      </w:tr>
      <w:tr w:rsidR="003246FC" w:rsidRPr="003A6336" w14:paraId="198BBDAA" w14:textId="77777777" w:rsidTr="009B4355">
        <w:tc>
          <w:tcPr>
            <w:tcW w:w="0" w:type="auto"/>
          </w:tcPr>
          <w:p w14:paraId="486A80EB" w14:textId="77777777" w:rsidR="003246FC" w:rsidRPr="003A6336" w:rsidRDefault="003246FC" w:rsidP="009B4355">
            <w:pPr>
              <w:rPr>
                <w:rFonts w:ascii="Aptos" w:hAnsi="Aptos"/>
              </w:rPr>
            </w:pPr>
            <w:r w:rsidRPr="003A6336">
              <w:rPr>
                <w:rFonts w:ascii="Aptos" w:eastAsia="Segoe UI" w:hAnsi="Aptos" w:cs="Segoe UI"/>
                <w:color w:val="0F1115"/>
              </w:rPr>
              <w:t>Parties covered</w:t>
            </w:r>
          </w:p>
        </w:tc>
        <w:tc>
          <w:tcPr>
            <w:tcW w:w="0" w:type="auto"/>
          </w:tcPr>
          <w:p w14:paraId="38E08CF1" w14:textId="77777777" w:rsidR="003246FC" w:rsidRPr="003A6336" w:rsidRDefault="003246FC" w:rsidP="009B4355">
            <w:pPr>
              <w:rPr>
                <w:rFonts w:ascii="Aptos" w:hAnsi="Aptos"/>
              </w:rPr>
            </w:pPr>
            <w:r w:rsidRPr="003D6215">
              <w:rPr>
                <w:rFonts w:ascii="Aptos" w:hAnsi="Aptos"/>
              </w:rPr>
              <w:t xml:space="preserve">Parties </w:t>
            </w:r>
            <w:r>
              <w:rPr>
                <w:rFonts w:ascii="Aptos" w:hAnsi="Aptos"/>
              </w:rPr>
              <w:t>visées</w:t>
            </w:r>
          </w:p>
        </w:tc>
      </w:tr>
      <w:tr w:rsidR="003246FC" w:rsidRPr="003A6336" w14:paraId="4207A1C0" w14:textId="77777777" w:rsidTr="009B4355">
        <w:tc>
          <w:tcPr>
            <w:tcW w:w="0" w:type="auto"/>
          </w:tcPr>
          <w:p w14:paraId="20F7DA82"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0" w:type="auto"/>
          </w:tcPr>
          <w:p w14:paraId="5F866618"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5BAE4038" w14:textId="77777777" w:rsidTr="009B4355">
        <w:tc>
          <w:tcPr>
            <w:tcW w:w="0" w:type="auto"/>
          </w:tcPr>
          <w:p w14:paraId="39D52655" w14:textId="77777777" w:rsidR="003246FC" w:rsidRPr="003A6336" w:rsidRDefault="003246FC" w:rsidP="009B4355">
            <w:pPr>
              <w:rPr>
                <w:rFonts w:ascii="Aptos" w:hAnsi="Aptos"/>
              </w:rPr>
            </w:pPr>
            <w:r w:rsidRPr="003A6336">
              <w:rPr>
                <w:rFonts w:ascii="Aptos" w:eastAsia="Segoe UI" w:hAnsi="Aptos" w:cs="Segoe UI"/>
                <w:color w:val="0F1115"/>
              </w:rPr>
              <w:t>Africa</w:t>
            </w:r>
            <w:r>
              <w:rPr>
                <w:rFonts w:ascii="Aptos" w:eastAsia="Segoe UI" w:hAnsi="Aptos" w:cs="Segoe UI"/>
                <w:color w:val="0F1115"/>
              </w:rPr>
              <w:t>n States</w:t>
            </w:r>
          </w:p>
        </w:tc>
        <w:tc>
          <w:tcPr>
            <w:tcW w:w="0" w:type="auto"/>
          </w:tcPr>
          <w:p w14:paraId="412C4DB7"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72364AA2" w14:textId="77777777" w:rsidTr="009B4355">
        <w:tc>
          <w:tcPr>
            <w:tcW w:w="0" w:type="auto"/>
          </w:tcPr>
          <w:p w14:paraId="46E27CE9" w14:textId="77777777" w:rsidR="003246FC" w:rsidRPr="003A6336" w:rsidRDefault="003246FC" w:rsidP="009B4355">
            <w:pPr>
              <w:rPr>
                <w:rFonts w:ascii="Aptos" w:hAnsi="Aptos"/>
              </w:rPr>
            </w:pPr>
            <w:r w:rsidRPr="003A6336">
              <w:rPr>
                <w:rFonts w:ascii="Aptos" w:eastAsia="Segoe UI" w:hAnsi="Aptos" w:cs="Segoe UI"/>
                <w:color w:val="0F1115"/>
              </w:rPr>
              <w:t>Asia</w:t>
            </w:r>
            <w:r>
              <w:rPr>
                <w:rFonts w:ascii="Aptos" w:eastAsia="Segoe UI" w:hAnsi="Aptos" w:cs="Segoe UI"/>
                <w:color w:val="0F1115"/>
              </w:rPr>
              <w:t>-</w:t>
            </w:r>
            <w:r w:rsidRPr="003A6336">
              <w:rPr>
                <w:rFonts w:ascii="Aptos" w:eastAsia="Segoe UI" w:hAnsi="Aptos" w:cs="Segoe UI"/>
                <w:color w:val="0F1115"/>
              </w:rPr>
              <w:t>Pacific</w:t>
            </w:r>
            <w:r>
              <w:rPr>
                <w:rFonts w:ascii="Aptos" w:eastAsia="Segoe UI" w:hAnsi="Aptos" w:cs="Segoe UI"/>
                <w:color w:val="0F1115"/>
              </w:rPr>
              <w:t xml:space="preserve"> States</w:t>
            </w:r>
          </w:p>
        </w:tc>
        <w:tc>
          <w:tcPr>
            <w:tcW w:w="0" w:type="auto"/>
          </w:tcPr>
          <w:p w14:paraId="79DEC4F1"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35DFB8FA" w14:textId="77777777" w:rsidTr="009B4355">
        <w:tc>
          <w:tcPr>
            <w:tcW w:w="0" w:type="auto"/>
          </w:tcPr>
          <w:p w14:paraId="27DA1713" w14:textId="77777777" w:rsidR="003246FC" w:rsidRPr="003A6336" w:rsidRDefault="003246FC" w:rsidP="009B4355">
            <w:pPr>
              <w:rPr>
                <w:rFonts w:ascii="Aptos" w:hAnsi="Aptos"/>
              </w:rPr>
            </w:pPr>
            <w:r w:rsidRPr="003A6336">
              <w:rPr>
                <w:rFonts w:ascii="Aptos" w:eastAsia="Segoe UI" w:hAnsi="Aptos" w:cs="Segoe UI"/>
                <w:color w:val="0F1115"/>
              </w:rPr>
              <w:t>Latin America</w:t>
            </w:r>
            <w:r>
              <w:rPr>
                <w:rFonts w:ascii="Aptos" w:eastAsia="Segoe UI" w:hAnsi="Aptos" w:cs="Segoe UI"/>
                <w:color w:val="0F1115"/>
              </w:rPr>
              <w:t>n</w:t>
            </w:r>
            <w:r w:rsidRPr="003A6336">
              <w:rPr>
                <w:rFonts w:ascii="Aptos" w:eastAsia="Segoe UI" w:hAnsi="Aptos" w:cs="Segoe UI"/>
                <w:color w:val="0F1115"/>
              </w:rPr>
              <w:t xml:space="preserve"> and Caribbean</w:t>
            </w:r>
            <w:r>
              <w:rPr>
                <w:rFonts w:ascii="Aptos" w:eastAsia="Segoe UI" w:hAnsi="Aptos" w:cs="Segoe UI"/>
                <w:color w:val="0F1115"/>
              </w:rPr>
              <w:t xml:space="preserve"> States</w:t>
            </w:r>
          </w:p>
        </w:tc>
        <w:tc>
          <w:tcPr>
            <w:tcW w:w="0" w:type="auto"/>
          </w:tcPr>
          <w:p w14:paraId="74B3EEDE"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714D3091" w14:textId="77777777" w:rsidTr="009B4355">
        <w:tc>
          <w:tcPr>
            <w:tcW w:w="0" w:type="auto"/>
          </w:tcPr>
          <w:p w14:paraId="62C83240" w14:textId="77777777" w:rsidR="003246FC" w:rsidRPr="003A6336" w:rsidRDefault="003246FC" w:rsidP="009B4355">
            <w:pPr>
              <w:rPr>
                <w:rFonts w:ascii="Aptos" w:hAnsi="Aptos"/>
              </w:rPr>
            </w:pPr>
            <w:r w:rsidRPr="003A6336">
              <w:rPr>
                <w:rFonts w:ascii="Aptos" w:eastAsia="Segoe UI" w:hAnsi="Aptos" w:cs="Segoe UI"/>
                <w:color w:val="0F1115"/>
              </w:rPr>
              <w:t>Eastern Europe</w:t>
            </w:r>
            <w:r>
              <w:rPr>
                <w:rFonts w:ascii="Aptos" w:eastAsia="Segoe UI" w:hAnsi="Aptos" w:cs="Segoe UI"/>
                <w:color w:val="0F1115"/>
              </w:rPr>
              <w:t>an States</w:t>
            </w:r>
          </w:p>
        </w:tc>
        <w:tc>
          <w:tcPr>
            <w:tcW w:w="0" w:type="auto"/>
          </w:tcPr>
          <w:p w14:paraId="353C9C83"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0D85297D" w14:textId="77777777" w:rsidTr="009B4355">
        <w:tc>
          <w:tcPr>
            <w:tcW w:w="0" w:type="auto"/>
          </w:tcPr>
          <w:p w14:paraId="394D28DB" w14:textId="77777777" w:rsidR="003246FC" w:rsidRPr="003A6336" w:rsidRDefault="003246FC" w:rsidP="009B4355">
            <w:pPr>
              <w:rPr>
                <w:rFonts w:ascii="Aptos" w:hAnsi="Aptos"/>
              </w:rPr>
            </w:pPr>
            <w:r w:rsidRPr="003A6336">
              <w:rPr>
                <w:rFonts w:ascii="Aptos" w:eastAsia="Segoe UI" w:hAnsi="Aptos" w:cs="Segoe UI"/>
                <w:color w:val="0F1115"/>
              </w:rPr>
              <w:t>Western Europe</w:t>
            </w:r>
            <w:r>
              <w:rPr>
                <w:rFonts w:ascii="Aptos" w:eastAsia="Segoe UI" w:hAnsi="Aptos" w:cs="Segoe UI"/>
                <w:color w:val="0F1115"/>
              </w:rPr>
              <w:t>an</w:t>
            </w:r>
            <w:r w:rsidRPr="003A6336">
              <w:rPr>
                <w:rFonts w:ascii="Aptos" w:eastAsia="Segoe UI" w:hAnsi="Aptos" w:cs="Segoe UI"/>
                <w:color w:val="0F1115"/>
              </w:rPr>
              <w:t xml:space="preserve"> and </w:t>
            </w:r>
            <w:r>
              <w:rPr>
                <w:rFonts w:ascii="Aptos" w:eastAsia="Segoe UI" w:hAnsi="Aptos" w:cs="Segoe UI"/>
                <w:color w:val="0F1115"/>
              </w:rPr>
              <w:t>o</w:t>
            </w:r>
            <w:r w:rsidRPr="003A6336">
              <w:rPr>
                <w:rFonts w:ascii="Aptos" w:eastAsia="Segoe UI" w:hAnsi="Aptos" w:cs="Segoe UI"/>
                <w:color w:val="0F1115"/>
              </w:rPr>
              <w:t xml:space="preserve">ther </w:t>
            </w:r>
            <w:r>
              <w:rPr>
                <w:rFonts w:ascii="Aptos" w:eastAsia="Segoe UI" w:hAnsi="Aptos" w:cs="Segoe UI"/>
                <w:color w:val="0F1115"/>
              </w:rPr>
              <w:t>States</w:t>
            </w:r>
          </w:p>
        </w:tc>
        <w:tc>
          <w:tcPr>
            <w:tcW w:w="0" w:type="auto"/>
          </w:tcPr>
          <w:p w14:paraId="60252EE6"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386ED4D5" w14:textId="77777777" w:rsidTr="009B4355">
        <w:tc>
          <w:tcPr>
            <w:tcW w:w="0" w:type="auto"/>
          </w:tcPr>
          <w:p w14:paraId="48956485" w14:textId="77777777" w:rsidR="003246FC" w:rsidRPr="003A6336" w:rsidRDefault="003246FC" w:rsidP="009B4355">
            <w:pPr>
              <w:rPr>
                <w:rFonts w:ascii="Aptos" w:hAnsi="Aptos"/>
              </w:rPr>
            </w:pPr>
            <w:r w:rsidRPr="003A6336">
              <w:rPr>
                <w:rFonts w:ascii="Aptos" w:eastAsia="Segoe UI" w:hAnsi="Aptos" w:cs="Segoe UI"/>
                <w:color w:val="0F1115"/>
              </w:rPr>
              <w:t>Party count: 196</w:t>
            </w:r>
          </w:p>
        </w:tc>
        <w:tc>
          <w:tcPr>
            <w:tcW w:w="0" w:type="auto"/>
          </w:tcPr>
          <w:p w14:paraId="263E206E" w14:textId="77777777" w:rsidR="003246FC" w:rsidRPr="003A6336" w:rsidRDefault="003246FC" w:rsidP="009B4355">
            <w:pPr>
              <w:rPr>
                <w:rFonts w:ascii="Aptos" w:hAnsi="Aptos"/>
              </w:rPr>
            </w:pPr>
            <w:r>
              <w:rPr>
                <w:rFonts w:ascii="Aptos" w:eastAsia="Segoe UI" w:hAnsi="Aptos" w:cs="Segoe UI"/>
                <w:color w:val="0F1115"/>
              </w:rPr>
              <w:t>Nombre de Parties :196</w:t>
            </w:r>
          </w:p>
        </w:tc>
      </w:tr>
    </w:tbl>
    <w:p w14:paraId="26734DD2" w14:textId="77777777" w:rsidR="00F8063D" w:rsidRPr="00653BF4" w:rsidRDefault="00F8063D" w:rsidP="00F8063D">
      <w:pPr>
        <w:rPr>
          <w:lang w:val="fr-FR" w:eastAsia="ja-JP"/>
        </w:rPr>
      </w:pPr>
    </w:p>
    <w:bookmarkEnd w:id="109"/>
    <w:p w14:paraId="06A7E11B" w14:textId="6B13435E" w:rsidR="00DA633A" w:rsidRPr="00653BF4" w:rsidRDefault="004C2CF6" w:rsidP="00F8063D">
      <w:pPr>
        <w:rPr>
          <w:iCs/>
          <w:sz w:val="20"/>
          <w:szCs w:val="20"/>
          <w:lang w:val="fr-FR" w:eastAsia="ja-JP"/>
        </w:rPr>
      </w:pPr>
      <w:r w:rsidRPr="00653BF4">
        <w:rPr>
          <w:sz w:val="20"/>
          <w:szCs w:val="20"/>
          <w:lang w:val="fr-FR" w:eastAsia="ja-JP"/>
        </w:rPr>
        <w:t xml:space="preserve">Figure </w:t>
      </w:r>
      <w:r w:rsidR="00DA633A" w:rsidRPr="00653BF4">
        <w:rPr>
          <w:iCs/>
          <w:sz w:val="20"/>
          <w:szCs w:val="20"/>
          <w:lang w:val="fr-FR" w:eastAsia="ja-JP"/>
        </w:rPr>
        <w:t>16</w:t>
      </w:r>
    </w:p>
    <w:p w14:paraId="6933BD5B" w14:textId="2BF24480" w:rsidR="00DA633A" w:rsidRDefault="00827D04" w:rsidP="00F8063D">
      <w:pPr>
        <w:rPr>
          <w:b/>
          <w:bCs/>
          <w:iCs/>
          <w:sz w:val="20"/>
          <w:szCs w:val="20"/>
          <w:lang w:val="fr-FR" w:eastAsia="ja-JP"/>
        </w:rPr>
      </w:pPr>
      <w:r w:rsidRPr="00653BF4">
        <w:rPr>
          <w:b/>
          <w:bCs/>
          <w:iCs/>
          <w:sz w:val="20"/>
          <w:szCs w:val="20"/>
          <w:lang w:val="fr-FR" w:eastAsia="ja-JP"/>
        </w:rPr>
        <w:t>I</w:t>
      </w:r>
      <w:r w:rsidR="003C5C35" w:rsidRPr="00653BF4">
        <w:rPr>
          <w:b/>
          <w:bCs/>
          <w:iCs/>
          <w:sz w:val="20"/>
          <w:szCs w:val="20"/>
          <w:lang w:val="fr-FR" w:eastAsia="ja-JP"/>
        </w:rPr>
        <w:t>ndicateur phare</w:t>
      </w:r>
      <w:r w:rsidRPr="00653BF4">
        <w:rPr>
          <w:b/>
          <w:bCs/>
          <w:iCs/>
          <w:sz w:val="20"/>
          <w:szCs w:val="20"/>
          <w:lang w:val="fr-FR" w:eastAsia="ja-JP"/>
        </w:rPr>
        <w:t xml:space="preserve"> 3.1</w:t>
      </w:r>
      <w:r w:rsidR="00E34DC9">
        <w:rPr>
          <w:b/>
          <w:bCs/>
          <w:iCs/>
          <w:sz w:val="20"/>
          <w:szCs w:val="20"/>
          <w:lang w:val="fr-FR" w:eastAsia="ja-JP"/>
        </w:rPr>
        <w:t> :</w:t>
      </w:r>
      <w:r w:rsidRPr="00653BF4">
        <w:rPr>
          <w:b/>
          <w:bCs/>
          <w:iCs/>
          <w:sz w:val="20"/>
          <w:szCs w:val="20"/>
          <w:lang w:val="fr-FR" w:eastAsia="ja-JP"/>
        </w:rPr>
        <w:t xml:space="preserve"> couverture des zones protégées et </w:t>
      </w:r>
      <w:r w:rsidR="00ED510E">
        <w:rPr>
          <w:b/>
          <w:bCs/>
          <w:iCs/>
          <w:sz w:val="20"/>
          <w:szCs w:val="20"/>
          <w:lang w:val="fr-FR" w:eastAsia="ja-JP"/>
        </w:rPr>
        <w:t>d’</w:t>
      </w:r>
      <w:r w:rsidRPr="00653BF4">
        <w:rPr>
          <w:b/>
          <w:bCs/>
          <w:iCs/>
          <w:sz w:val="20"/>
          <w:szCs w:val="20"/>
          <w:lang w:val="fr-FR" w:eastAsia="ja-JP"/>
        </w:rPr>
        <w:t>autres mesures de conservation efficaces par zone selon la Base de données mondiale sur les zones protégées et conservées (pour l</w:t>
      </w:r>
      <w:r w:rsidR="002A58C8" w:rsidRPr="00653BF4">
        <w:rPr>
          <w:b/>
          <w:bCs/>
          <w:iCs/>
          <w:sz w:val="20"/>
          <w:szCs w:val="20"/>
          <w:lang w:val="fr-FR" w:eastAsia="ja-JP"/>
        </w:rPr>
        <w:t>’</w:t>
      </w:r>
      <w:r w:rsidRPr="00653BF4">
        <w:rPr>
          <w:b/>
          <w:bCs/>
          <w:iCs/>
          <w:sz w:val="20"/>
          <w:szCs w:val="20"/>
          <w:lang w:val="fr-FR" w:eastAsia="ja-JP"/>
        </w:rPr>
        <w:t>ensemble des zones marines et côtières, y compris les zones situées en-dehors des juridictions nationales)</w:t>
      </w:r>
    </w:p>
    <w:p w14:paraId="0BC8560A" w14:textId="3FF5779C" w:rsidR="003F3BF1" w:rsidRPr="00653BF4" w:rsidRDefault="006077FD" w:rsidP="002B3A85">
      <w:pPr>
        <w:rPr>
          <w:i/>
          <w:iCs/>
          <w:sz w:val="18"/>
          <w:szCs w:val="18"/>
          <w:lang w:val="fr-FR"/>
        </w:rPr>
      </w:pPr>
      <w:r w:rsidRPr="00653BF4">
        <w:rPr>
          <w:i/>
          <w:iCs/>
          <w:noProof/>
          <w:sz w:val="18"/>
          <w:szCs w:val="18"/>
          <w:lang w:val="fr-FR"/>
        </w:rPr>
        <w:drawing>
          <wp:inline distT="0" distB="0" distL="0" distR="0" wp14:anchorId="2F36AE1E" wp14:editId="5EFE5D1D">
            <wp:extent cx="4233477" cy="3290131"/>
            <wp:effectExtent l="0" t="0" r="0" b="0"/>
            <wp:docPr id="268097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97849" name="Picture 268097849"/>
                    <pic:cNvPicPr/>
                  </pic:nvPicPr>
                  <pic:blipFill rotWithShape="1">
                    <a:blip r:embed="rId69" cstate="print">
                      <a:extLst>
                        <a:ext uri="{28A0092B-C50C-407E-A947-70E740481C1C}">
                          <a14:useLocalDpi xmlns:a14="http://schemas.microsoft.com/office/drawing/2010/main" val="0"/>
                        </a:ext>
                      </a:extLst>
                    </a:blip>
                    <a:srcRect r="27622"/>
                    <a:stretch>
                      <a:fillRect/>
                    </a:stretch>
                  </pic:blipFill>
                  <pic:spPr bwMode="auto">
                    <a:xfrm>
                      <a:off x="0" y="0"/>
                      <a:ext cx="4254805" cy="3306706"/>
                    </a:xfrm>
                    <a:prstGeom prst="rect">
                      <a:avLst/>
                    </a:prstGeom>
                    <a:ln>
                      <a:noFill/>
                    </a:ln>
                    <a:extLst>
                      <a:ext uri="{53640926-AAD7-44D8-BBD7-CCE9431645EC}">
                        <a14:shadowObscured xmlns:a14="http://schemas.microsoft.com/office/drawing/2010/main"/>
                      </a:ext>
                    </a:extLst>
                  </pic:spPr>
                </pic:pic>
              </a:graphicData>
            </a:graphic>
          </wp:inline>
        </w:drawing>
      </w:r>
    </w:p>
    <w:p w14:paraId="69E90565" w14:textId="5B271E02" w:rsidR="007F083F" w:rsidRPr="00653BF4" w:rsidRDefault="006A631C" w:rsidP="007F083F">
      <w:pPr>
        <w:rPr>
          <w:rFonts w:ascii="Aptos" w:hAnsi="Aptos"/>
          <w:b/>
          <w:bCs/>
          <w:sz w:val="18"/>
          <w:szCs w:val="18"/>
          <w:lang w:val="fr-FR"/>
        </w:rPr>
      </w:pPr>
      <w:r w:rsidRPr="00653BF4">
        <w:rPr>
          <w:i/>
          <w:iCs/>
          <w:sz w:val="18"/>
          <w:szCs w:val="18"/>
          <w:lang w:val="fr-FR" w:eastAsia="ja-JP"/>
        </w:rPr>
        <w:t>Note</w:t>
      </w:r>
      <w:r w:rsidR="00E34DC9">
        <w:rPr>
          <w:i/>
          <w:iCs/>
          <w:sz w:val="18"/>
          <w:szCs w:val="18"/>
          <w:lang w:val="fr-FR" w:eastAsia="ja-JP"/>
        </w:rPr>
        <w:t> :</w:t>
      </w:r>
      <w:r w:rsidR="007F083F" w:rsidRPr="00653BF4">
        <w:rPr>
          <w:sz w:val="18"/>
          <w:szCs w:val="18"/>
          <w:lang w:val="fr-FR" w:eastAsia="ja-JP"/>
        </w:rPr>
        <w:t xml:space="preserve"> </w:t>
      </w:r>
      <w:r w:rsidR="002B492C" w:rsidRPr="00653BF4">
        <w:rPr>
          <w:sz w:val="18"/>
          <w:szCs w:val="18"/>
          <w:lang w:val="fr-FR" w:eastAsia="ja-JP"/>
        </w:rPr>
        <w:t>Ces données sont établies uniquement à partir des informations présentées à la WDPCA. Les valeurs des indicateurs indiquent la proportion globale des zones faisant l</w:t>
      </w:r>
      <w:r w:rsidR="002A58C8" w:rsidRPr="00653BF4">
        <w:rPr>
          <w:sz w:val="18"/>
          <w:szCs w:val="18"/>
          <w:lang w:val="fr-FR" w:eastAsia="ja-JP"/>
        </w:rPr>
        <w:t>’</w:t>
      </w:r>
      <w:r w:rsidR="002B492C" w:rsidRPr="00653BF4">
        <w:rPr>
          <w:sz w:val="18"/>
          <w:szCs w:val="18"/>
          <w:lang w:val="fr-FR" w:eastAsia="ja-JP"/>
        </w:rPr>
        <w:t>objet de mesures de conservation. Ces valeurs correspondent à 100</w:t>
      </w:r>
      <w:r w:rsidR="002878D7">
        <w:rPr>
          <w:sz w:val="18"/>
          <w:szCs w:val="18"/>
          <w:lang w:val="fr-FR" w:eastAsia="ja-JP"/>
        </w:rPr>
        <w:t> %</w:t>
      </w:r>
      <w:r w:rsidR="002B492C" w:rsidRPr="00653BF4">
        <w:rPr>
          <w:sz w:val="18"/>
          <w:szCs w:val="18"/>
          <w:lang w:val="fr-FR" w:eastAsia="ja-JP"/>
        </w:rPr>
        <w:t xml:space="preserve"> de l</w:t>
      </w:r>
      <w:r w:rsidR="002A58C8" w:rsidRPr="00653BF4">
        <w:rPr>
          <w:sz w:val="18"/>
          <w:szCs w:val="18"/>
          <w:lang w:val="fr-FR" w:eastAsia="ja-JP"/>
        </w:rPr>
        <w:t>’</w:t>
      </w:r>
      <w:r w:rsidR="002B492C" w:rsidRPr="00653BF4">
        <w:rPr>
          <w:sz w:val="18"/>
          <w:szCs w:val="18"/>
          <w:lang w:val="fr-FR" w:eastAsia="ja-JP"/>
        </w:rPr>
        <w:t>ensemble des zones marines et côtières de toutes les Parties (voir les graphiques circulaires et à barres entièrement ombrés à droite).</w:t>
      </w:r>
      <w:r w:rsidR="007F083F" w:rsidRPr="00653BF4">
        <w:rPr>
          <w:rFonts w:ascii="Aptos" w:hAnsi="Aptos"/>
          <w:sz w:val="18"/>
          <w:szCs w:val="18"/>
          <w:lang w:val="fr-FR"/>
        </w:rPr>
        <w:t> </w:t>
      </w:r>
    </w:p>
    <w:tbl>
      <w:tblPr>
        <w:tblStyle w:val="TableGrid"/>
        <w:tblW w:w="0" w:type="auto"/>
        <w:tblLook w:val="06A0" w:firstRow="1" w:lastRow="0" w:firstColumn="1" w:lastColumn="0" w:noHBand="1" w:noVBand="1"/>
      </w:tblPr>
      <w:tblGrid>
        <w:gridCol w:w="4797"/>
        <w:gridCol w:w="4553"/>
      </w:tblGrid>
      <w:tr w:rsidR="003246FC" w:rsidRPr="003A6336" w14:paraId="5912CF62" w14:textId="77777777" w:rsidTr="009B4355">
        <w:tc>
          <w:tcPr>
            <w:tcW w:w="0" w:type="auto"/>
            <w:gridSpan w:val="2"/>
          </w:tcPr>
          <w:p w14:paraId="621BA196" w14:textId="77777777" w:rsidR="003246FC" w:rsidRPr="003A6336" w:rsidRDefault="003246FC" w:rsidP="009B4355">
            <w:pPr>
              <w:rPr>
                <w:rFonts w:ascii="Aptos" w:eastAsia="Segoe UI" w:hAnsi="Aptos" w:cs="Segoe UI"/>
                <w:color w:val="0F1115"/>
              </w:rPr>
            </w:pPr>
            <w:r>
              <w:rPr>
                <w:rFonts w:ascii="Aptos" w:eastAsia="Segoe UI" w:hAnsi="Aptos" w:cs="Segoe UI"/>
                <w:color w:val="0F1115"/>
              </w:rPr>
              <w:t>Figure 16</w:t>
            </w:r>
          </w:p>
        </w:tc>
      </w:tr>
      <w:tr w:rsidR="003246FC" w:rsidRPr="003A6336" w14:paraId="766494FC" w14:textId="77777777" w:rsidTr="009B4355">
        <w:tc>
          <w:tcPr>
            <w:tcW w:w="0" w:type="auto"/>
          </w:tcPr>
          <w:p w14:paraId="41AABEEA" w14:textId="77777777" w:rsidR="003246FC" w:rsidRPr="003A6336" w:rsidRDefault="003246FC" w:rsidP="009B4355">
            <w:pPr>
              <w:rPr>
                <w:rFonts w:ascii="Aptos" w:hAnsi="Aptos"/>
              </w:rPr>
            </w:pPr>
            <w:r w:rsidRPr="003A6336">
              <w:rPr>
                <w:rFonts w:ascii="Aptos" w:eastAsia="Segoe UI" w:hAnsi="Aptos" w:cs="Segoe UI"/>
                <w:color w:val="0F1115"/>
              </w:rPr>
              <w:lastRenderedPageBreak/>
              <w:t xml:space="preserve">English </w:t>
            </w:r>
          </w:p>
        </w:tc>
        <w:tc>
          <w:tcPr>
            <w:tcW w:w="0" w:type="auto"/>
          </w:tcPr>
          <w:p w14:paraId="4E6AE874" w14:textId="77777777" w:rsidR="003246FC" w:rsidRPr="003A6336" w:rsidRDefault="003246FC" w:rsidP="009B4355">
            <w:pPr>
              <w:rPr>
                <w:rFonts w:ascii="Aptos" w:hAnsi="Aptos"/>
              </w:rPr>
            </w:pPr>
            <w:r>
              <w:rPr>
                <w:rFonts w:ascii="Aptos" w:eastAsia="Segoe UI" w:hAnsi="Aptos" w:cs="Segoe UI"/>
                <w:color w:val="0F1115"/>
              </w:rPr>
              <w:t>Français</w:t>
            </w:r>
          </w:p>
        </w:tc>
      </w:tr>
      <w:tr w:rsidR="003246FC" w:rsidRPr="003A6336" w14:paraId="25CEE567" w14:textId="77777777" w:rsidTr="009B4355">
        <w:tc>
          <w:tcPr>
            <w:tcW w:w="0" w:type="auto"/>
          </w:tcPr>
          <w:p w14:paraId="0BB48881" w14:textId="77777777" w:rsidR="003246FC" w:rsidRPr="003A6336" w:rsidRDefault="003246FC" w:rsidP="009B4355">
            <w:pPr>
              <w:rPr>
                <w:rFonts w:ascii="Aptos" w:hAnsi="Aptos"/>
              </w:rPr>
            </w:pPr>
            <w:r w:rsidRPr="003A6336">
              <w:rPr>
                <w:rFonts w:ascii="Aptos" w:eastAsia="Segoe UI" w:hAnsi="Aptos" w:cs="Segoe UI"/>
                <w:color w:val="0F1115"/>
              </w:rPr>
              <w:t>Marine and coastal areas (under and beyond national jurisdiction)</w:t>
            </w:r>
          </w:p>
        </w:tc>
        <w:tc>
          <w:tcPr>
            <w:tcW w:w="0" w:type="auto"/>
          </w:tcPr>
          <w:p w14:paraId="27E56135" w14:textId="77777777" w:rsidR="003246FC" w:rsidRPr="003A6336" w:rsidRDefault="003246FC" w:rsidP="009B4355">
            <w:pPr>
              <w:rPr>
                <w:rFonts w:ascii="Aptos" w:hAnsi="Aptos"/>
              </w:rPr>
            </w:pPr>
            <w:r w:rsidRPr="00926809">
              <w:t>Zones marines et côtières (relevant de la juridiction nationale)</w:t>
            </w:r>
          </w:p>
        </w:tc>
      </w:tr>
      <w:tr w:rsidR="003246FC" w:rsidRPr="003A6336" w14:paraId="264E1631" w14:textId="77777777" w:rsidTr="009B4355">
        <w:tc>
          <w:tcPr>
            <w:tcW w:w="0" w:type="auto"/>
          </w:tcPr>
          <w:p w14:paraId="0D436E46" w14:textId="77777777" w:rsidR="003246FC" w:rsidRPr="003A6336" w:rsidRDefault="003246FC" w:rsidP="009B4355">
            <w:pPr>
              <w:rPr>
                <w:rFonts w:ascii="Aptos" w:hAnsi="Aptos"/>
              </w:rPr>
            </w:pPr>
            <w:r w:rsidRPr="003A6336">
              <w:rPr>
                <w:rFonts w:ascii="Aptos" w:eastAsia="Segoe UI" w:hAnsi="Aptos" w:cs="Segoe UI"/>
                <w:color w:val="0F1115"/>
              </w:rPr>
              <w:t>All marine and coastal areas</w:t>
            </w:r>
          </w:p>
        </w:tc>
        <w:tc>
          <w:tcPr>
            <w:tcW w:w="0" w:type="auto"/>
          </w:tcPr>
          <w:p w14:paraId="6EEA1C57" w14:textId="77777777" w:rsidR="003246FC" w:rsidRPr="003A6336" w:rsidRDefault="003246FC" w:rsidP="009B4355">
            <w:pPr>
              <w:rPr>
                <w:rFonts w:ascii="Aptos" w:hAnsi="Aptos"/>
              </w:rPr>
            </w:pPr>
            <w:r w:rsidRPr="00926809">
              <w:t>Zones terrestres et eaux intérieures</w:t>
            </w:r>
          </w:p>
        </w:tc>
      </w:tr>
      <w:tr w:rsidR="003246FC" w:rsidRPr="003A6336" w14:paraId="3BD534F8" w14:textId="77777777" w:rsidTr="009B4355">
        <w:tc>
          <w:tcPr>
            <w:tcW w:w="0" w:type="auto"/>
          </w:tcPr>
          <w:p w14:paraId="1CB60E86" w14:textId="77777777" w:rsidR="003246FC" w:rsidRPr="003A6336" w:rsidRDefault="003246FC" w:rsidP="009B4355">
            <w:pPr>
              <w:rPr>
                <w:rFonts w:ascii="Aptos" w:hAnsi="Aptos"/>
              </w:rPr>
            </w:pPr>
            <w:r w:rsidRPr="6D03A27B">
              <w:rPr>
                <w:rFonts w:ascii="Aptos" w:eastAsia="Segoe UI" w:hAnsi="Aptos" w:cs="Segoe UI"/>
                <w:color w:val="0F1115"/>
              </w:rPr>
              <w:t>Protected area coverage (%)</w:t>
            </w:r>
          </w:p>
        </w:tc>
        <w:tc>
          <w:tcPr>
            <w:tcW w:w="0" w:type="auto"/>
          </w:tcPr>
          <w:p w14:paraId="0F57F16A" w14:textId="77777777" w:rsidR="003246FC" w:rsidRPr="003A6336" w:rsidRDefault="003246FC" w:rsidP="009B4355">
            <w:pPr>
              <w:rPr>
                <w:rFonts w:ascii="Aptos" w:hAnsi="Aptos"/>
              </w:rPr>
            </w:pPr>
            <w:r w:rsidRPr="003A6336">
              <w:rPr>
                <w:rFonts w:ascii="Aptos" w:eastAsia="Segoe UI" w:hAnsi="Aptos" w:cs="Segoe UI"/>
                <w:color w:val="0F1115"/>
              </w:rPr>
              <w:t xml:space="preserve"> </w:t>
            </w:r>
            <w:r w:rsidRPr="003D6215">
              <w:rPr>
                <w:rFonts w:ascii="Aptos" w:eastAsia="Segoe UI" w:hAnsi="Aptos" w:cs="Segoe UI"/>
                <w:color w:val="0F1115"/>
              </w:rPr>
              <w:t>Couverture en aires protégées (%)</w:t>
            </w:r>
          </w:p>
        </w:tc>
      </w:tr>
      <w:tr w:rsidR="003246FC" w:rsidRPr="003A6336" w14:paraId="41EAFB43" w14:textId="77777777" w:rsidTr="009B4355">
        <w:tc>
          <w:tcPr>
            <w:tcW w:w="0" w:type="auto"/>
          </w:tcPr>
          <w:p w14:paraId="7D5DD02D" w14:textId="77777777" w:rsidR="003246FC" w:rsidRPr="003A6336" w:rsidRDefault="003246FC" w:rsidP="009B4355">
            <w:pPr>
              <w:rPr>
                <w:rFonts w:ascii="Aptos" w:hAnsi="Aptos"/>
              </w:rPr>
            </w:pPr>
            <w:r w:rsidRPr="003A6336">
              <w:rPr>
                <w:rFonts w:ascii="Aptos" w:eastAsia="Segoe UI" w:hAnsi="Aptos" w:cs="Segoe UI"/>
                <w:color w:val="0F1115"/>
              </w:rPr>
              <w:t>Year</w:t>
            </w:r>
          </w:p>
        </w:tc>
        <w:tc>
          <w:tcPr>
            <w:tcW w:w="0" w:type="auto"/>
          </w:tcPr>
          <w:p w14:paraId="1308567F" w14:textId="77777777" w:rsidR="003246FC" w:rsidRPr="003A6336" w:rsidRDefault="003246FC" w:rsidP="009B4355">
            <w:pPr>
              <w:rPr>
                <w:rFonts w:ascii="Aptos" w:hAnsi="Aptos"/>
              </w:rPr>
            </w:pPr>
            <w:r>
              <w:rPr>
                <w:rFonts w:ascii="Aptos" w:eastAsia="Segoe UI" w:hAnsi="Aptos" w:cs="Segoe UI"/>
                <w:color w:val="0F1115"/>
              </w:rPr>
              <w:t>Année</w:t>
            </w:r>
          </w:p>
        </w:tc>
      </w:tr>
      <w:tr w:rsidR="003246FC" w:rsidRPr="003A6336" w14:paraId="13BCA835" w14:textId="77777777" w:rsidTr="009B4355">
        <w:tc>
          <w:tcPr>
            <w:tcW w:w="0" w:type="auto"/>
          </w:tcPr>
          <w:p w14:paraId="6EB60ADC" w14:textId="77777777" w:rsidR="003246FC" w:rsidRPr="003A6336" w:rsidRDefault="003246FC" w:rsidP="009B4355">
            <w:pPr>
              <w:rPr>
                <w:rFonts w:ascii="Aptos" w:hAnsi="Aptos"/>
              </w:rPr>
            </w:pPr>
            <w:r w:rsidRPr="003A6336">
              <w:rPr>
                <w:rFonts w:ascii="Aptos" w:eastAsia="Segoe UI" w:hAnsi="Aptos" w:cs="Segoe UI"/>
                <w:color w:val="0F1115"/>
              </w:rPr>
              <w:t>Parties covered</w:t>
            </w:r>
          </w:p>
        </w:tc>
        <w:tc>
          <w:tcPr>
            <w:tcW w:w="0" w:type="auto"/>
          </w:tcPr>
          <w:p w14:paraId="58CB8BBD" w14:textId="77777777" w:rsidR="003246FC" w:rsidRPr="003A6336" w:rsidRDefault="003246FC" w:rsidP="009B4355">
            <w:pPr>
              <w:rPr>
                <w:rFonts w:ascii="Aptos" w:hAnsi="Aptos"/>
              </w:rPr>
            </w:pPr>
            <w:r w:rsidRPr="003D6215">
              <w:rPr>
                <w:rFonts w:ascii="Aptos" w:hAnsi="Aptos"/>
              </w:rPr>
              <w:t>Parties visées</w:t>
            </w:r>
          </w:p>
        </w:tc>
      </w:tr>
      <w:tr w:rsidR="003246FC" w:rsidRPr="003A6336" w14:paraId="683ACC2D" w14:textId="77777777" w:rsidTr="009B4355">
        <w:tc>
          <w:tcPr>
            <w:tcW w:w="0" w:type="auto"/>
          </w:tcPr>
          <w:p w14:paraId="478DA4DD"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0" w:type="auto"/>
          </w:tcPr>
          <w:p w14:paraId="1FFA8130"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5686C0F3" w14:textId="77777777" w:rsidTr="009B4355">
        <w:tc>
          <w:tcPr>
            <w:tcW w:w="0" w:type="auto"/>
          </w:tcPr>
          <w:p w14:paraId="32B7CDF7" w14:textId="77777777" w:rsidR="003246FC" w:rsidRPr="003A6336" w:rsidRDefault="003246FC" w:rsidP="009B4355">
            <w:pPr>
              <w:rPr>
                <w:rFonts w:ascii="Aptos" w:hAnsi="Aptos"/>
              </w:rPr>
            </w:pPr>
            <w:r w:rsidRPr="003A6336">
              <w:rPr>
                <w:rFonts w:ascii="Aptos" w:eastAsia="Segoe UI" w:hAnsi="Aptos" w:cs="Segoe UI"/>
                <w:color w:val="0F1115"/>
              </w:rPr>
              <w:t>Africa</w:t>
            </w:r>
            <w:r>
              <w:rPr>
                <w:rFonts w:ascii="Aptos" w:eastAsia="Segoe UI" w:hAnsi="Aptos" w:cs="Segoe UI"/>
                <w:color w:val="0F1115"/>
              </w:rPr>
              <w:t>n States</w:t>
            </w:r>
          </w:p>
        </w:tc>
        <w:tc>
          <w:tcPr>
            <w:tcW w:w="0" w:type="auto"/>
          </w:tcPr>
          <w:p w14:paraId="50653A9F"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2BCAED42" w14:textId="77777777" w:rsidTr="009B4355">
        <w:tc>
          <w:tcPr>
            <w:tcW w:w="0" w:type="auto"/>
          </w:tcPr>
          <w:p w14:paraId="0AA5064B" w14:textId="77777777" w:rsidR="003246FC" w:rsidRPr="003A6336" w:rsidRDefault="003246FC" w:rsidP="009B4355">
            <w:pPr>
              <w:rPr>
                <w:rFonts w:ascii="Aptos" w:hAnsi="Aptos"/>
              </w:rPr>
            </w:pPr>
            <w:r w:rsidRPr="003A6336">
              <w:rPr>
                <w:rFonts w:ascii="Aptos" w:eastAsia="Segoe UI" w:hAnsi="Aptos" w:cs="Segoe UI"/>
                <w:color w:val="0F1115"/>
              </w:rPr>
              <w:t>Asia</w:t>
            </w:r>
            <w:r>
              <w:rPr>
                <w:rFonts w:ascii="Aptos" w:eastAsia="Segoe UI" w:hAnsi="Aptos" w:cs="Segoe UI"/>
                <w:color w:val="0F1115"/>
              </w:rPr>
              <w:t>-</w:t>
            </w:r>
            <w:r w:rsidRPr="003A6336">
              <w:rPr>
                <w:rFonts w:ascii="Aptos" w:eastAsia="Segoe UI" w:hAnsi="Aptos" w:cs="Segoe UI"/>
                <w:color w:val="0F1115"/>
              </w:rPr>
              <w:t>Pacific</w:t>
            </w:r>
            <w:r>
              <w:rPr>
                <w:rFonts w:ascii="Aptos" w:eastAsia="Segoe UI" w:hAnsi="Aptos" w:cs="Segoe UI"/>
                <w:color w:val="0F1115"/>
              </w:rPr>
              <w:t xml:space="preserve"> States</w:t>
            </w:r>
          </w:p>
        </w:tc>
        <w:tc>
          <w:tcPr>
            <w:tcW w:w="0" w:type="auto"/>
          </w:tcPr>
          <w:p w14:paraId="77EF20D1"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61AD34D8" w14:textId="77777777" w:rsidTr="009B4355">
        <w:tc>
          <w:tcPr>
            <w:tcW w:w="0" w:type="auto"/>
          </w:tcPr>
          <w:p w14:paraId="22FCD638" w14:textId="77777777" w:rsidR="003246FC" w:rsidRPr="003A6336" w:rsidRDefault="003246FC" w:rsidP="009B4355">
            <w:pPr>
              <w:rPr>
                <w:rFonts w:ascii="Aptos" w:hAnsi="Aptos"/>
              </w:rPr>
            </w:pPr>
            <w:r w:rsidRPr="003A6336">
              <w:rPr>
                <w:rFonts w:ascii="Aptos" w:eastAsia="Segoe UI" w:hAnsi="Aptos" w:cs="Segoe UI"/>
                <w:color w:val="0F1115"/>
              </w:rPr>
              <w:t>Latin America</w:t>
            </w:r>
            <w:r>
              <w:rPr>
                <w:rFonts w:ascii="Aptos" w:eastAsia="Segoe UI" w:hAnsi="Aptos" w:cs="Segoe UI"/>
                <w:color w:val="0F1115"/>
              </w:rPr>
              <w:t>n</w:t>
            </w:r>
            <w:r w:rsidRPr="003A6336">
              <w:rPr>
                <w:rFonts w:ascii="Aptos" w:eastAsia="Segoe UI" w:hAnsi="Aptos" w:cs="Segoe UI"/>
                <w:color w:val="0F1115"/>
              </w:rPr>
              <w:t xml:space="preserve"> and Caribbean</w:t>
            </w:r>
            <w:r>
              <w:rPr>
                <w:rFonts w:ascii="Aptos" w:eastAsia="Segoe UI" w:hAnsi="Aptos" w:cs="Segoe UI"/>
                <w:color w:val="0F1115"/>
              </w:rPr>
              <w:t xml:space="preserve"> States</w:t>
            </w:r>
          </w:p>
        </w:tc>
        <w:tc>
          <w:tcPr>
            <w:tcW w:w="0" w:type="auto"/>
          </w:tcPr>
          <w:p w14:paraId="58B2E2A2"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3F0C393E" w14:textId="77777777" w:rsidTr="009B4355">
        <w:tc>
          <w:tcPr>
            <w:tcW w:w="0" w:type="auto"/>
          </w:tcPr>
          <w:p w14:paraId="4CD1340F" w14:textId="77777777" w:rsidR="003246FC" w:rsidRPr="003A6336" w:rsidRDefault="003246FC" w:rsidP="009B4355">
            <w:pPr>
              <w:rPr>
                <w:rFonts w:ascii="Aptos" w:hAnsi="Aptos"/>
              </w:rPr>
            </w:pPr>
            <w:r w:rsidRPr="003A6336">
              <w:rPr>
                <w:rFonts w:ascii="Aptos" w:eastAsia="Segoe UI" w:hAnsi="Aptos" w:cs="Segoe UI"/>
                <w:color w:val="0F1115"/>
              </w:rPr>
              <w:t>Eastern Europe</w:t>
            </w:r>
            <w:r>
              <w:rPr>
                <w:rFonts w:ascii="Aptos" w:eastAsia="Segoe UI" w:hAnsi="Aptos" w:cs="Segoe UI"/>
                <w:color w:val="0F1115"/>
              </w:rPr>
              <w:t>an States</w:t>
            </w:r>
          </w:p>
        </w:tc>
        <w:tc>
          <w:tcPr>
            <w:tcW w:w="0" w:type="auto"/>
          </w:tcPr>
          <w:p w14:paraId="10C70B61"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7F10077B" w14:textId="77777777" w:rsidTr="009B4355">
        <w:tc>
          <w:tcPr>
            <w:tcW w:w="0" w:type="auto"/>
          </w:tcPr>
          <w:p w14:paraId="52FCD16B" w14:textId="77777777" w:rsidR="003246FC" w:rsidRPr="003A6336" w:rsidRDefault="003246FC" w:rsidP="009B4355">
            <w:pPr>
              <w:rPr>
                <w:rFonts w:ascii="Aptos" w:hAnsi="Aptos"/>
              </w:rPr>
            </w:pPr>
            <w:r w:rsidRPr="003A6336">
              <w:rPr>
                <w:rFonts w:ascii="Aptos" w:eastAsia="Segoe UI" w:hAnsi="Aptos" w:cs="Segoe UI"/>
                <w:color w:val="0F1115"/>
              </w:rPr>
              <w:t>Western Europe</w:t>
            </w:r>
            <w:r>
              <w:rPr>
                <w:rFonts w:ascii="Aptos" w:eastAsia="Segoe UI" w:hAnsi="Aptos" w:cs="Segoe UI"/>
                <w:color w:val="0F1115"/>
              </w:rPr>
              <w:t>an</w:t>
            </w:r>
            <w:r w:rsidRPr="003A6336">
              <w:rPr>
                <w:rFonts w:ascii="Aptos" w:eastAsia="Segoe UI" w:hAnsi="Aptos" w:cs="Segoe UI"/>
                <w:color w:val="0F1115"/>
              </w:rPr>
              <w:t xml:space="preserve"> and </w:t>
            </w:r>
            <w:r>
              <w:rPr>
                <w:rFonts w:ascii="Aptos" w:eastAsia="Segoe UI" w:hAnsi="Aptos" w:cs="Segoe UI"/>
                <w:color w:val="0F1115"/>
              </w:rPr>
              <w:t>o</w:t>
            </w:r>
            <w:r w:rsidRPr="003A6336">
              <w:rPr>
                <w:rFonts w:ascii="Aptos" w:eastAsia="Segoe UI" w:hAnsi="Aptos" w:cs="Segoe UI"/>
                <w:color w:val="0F1115"/>
              </w:rPr>
              <w:t xml:space="preserve">ther </w:t>
            </w:r>
            <w:r>
              <w:rPr>
                <w:rFonts w:ascii="Aptos" w:eastAsia="Segoe UI" w:hAnsi="Aptos" w:cs="Segoe UI"/>
                <w:color w:val="0F1115"/>
              </w:rPr>
              <w:t>States</w:t>
            </w:r>
          </w:p>
        </w:tc>
        <w:tc>
          <w:tcPr>
            <w:tcW w:w="0" w:type="auto"/>
          </w:tcPr>
          <w:p w14:paraId="47FAE42A"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40F587C3" w14:textId="77777777" w:rsidTr="009B4355">
        <w:tc>
          <w:tcPr>
            <w:tcW w:w="0" w:type="auto"/>
          </w:tcPr>
          <w:p w14:paraId="24FBECED" w14:textId="77777777" w:rsidR="003246FC" w:rsidRPr="003A6336" w:rsidRDefault="003246FC" w:rsidP="009B4355">
            <w:pPr>
              <w:rPr>
                <w:rFonts w:ascii="Aptos" w:hAnsi="Aptos"/>
              </w:rPr>
            </w:pPr>
            <w:r w:rsidRPr="003A6336">
              <w:rPr>
                <w:rFonts w:ascii="Aptos" w:eastAsia="Segoe UI" w:hAnsi="Aptos" w:cs="Segoe UI"/>
                <w:color w:val="0F1115"/>
              </w:rPr>
              <w:t>Party count: 196</w:t>
            </w:r>
          </w:p>
        </w:tc>
        <w:tc>
          <w:tcPr>
            <w:tcW w:w="0" w:type="auto"/>
          </w:tcPr>
          <w:p w14:paraId="6FBD01A8" w14:textId="77777777" w:rsidR="003246FC" w:rsidRPr="003A6336" w:rsidRDefault="003246FC" w:rsidP="009B4355">
            <w:pPr>
              <w:rPr>
                <w:rFonts w:ascii="Aptos" w:hAnsi="Aptos"/>
              </w:rPr>
            </w:pPr>
            <w:r w:rsidRPr="005175FA">
              <w:rPr>
                <w:rFonts w:ascii="Aptos" w:hAnsi="Aptos"/>
              </w:rPr>
              <w:t>Nombre de Parties :</w:t>
            </w:r>
            <w:r>
              <w:rPr>
                <w:rFonts w:ascii="Aptos" w:hAnsi="Aptos"/>
              </w:rPr>
              <w:t xml:space="preserve"> 196</w:t>
            </w:r>
          </w:p>
        </w:tc>
      </w:tr>
    </w:tbl>
    <w:p w14:paraId="6F09A745" w14:textId="7EE341C3" w:rsidR="00916B32" w:rsidRPr="00653BF4" w:rsidRDefault="00916B32" w:rsidP="00916B32">
      <w:pPr>
        <w:rPr>
          <w:lang w:val="fr-FR"/>
        </w:rPr>
      </w:pPr>
    </w:p>
    <w:p w14:paraId="1F5E9C9F" w14:textId="79F29A7D" w:rsidR="007F083F" w:rsidRPr="00653BF4" w:rsidRDefault="007F083F" w:rsidP="00916B32">
      <w:pPr>
        <w:rPr>
          <w:sz w:val="20"/>
          <w:szCs w:val="20"/>
          <w:lang w:val="fr-FR"/>
        </w:rPr>
      </w:pPr>
      <w:r w:rsidRPr="00653BF4">
        <w:rPr>
          <w:sz w:val="20"/>
          <w:szCs w:val="20"/>
          <w:lang w:val="fr-FR"/>
        </w:rPr>
        <w:t xml:space="preserve">Figure 17 </w:t>
      </w:r>
    </w:p>
    <w:p w14:paraId="7A6C9DF7" w14:textId="7636D2AD" w:rsidR="007F083F" w:rsidRDefault="00F932C7" w:rsidP="00916B32">
      <w:pPr>
        <w:rPr>
          <w:rFonts w:ascii="Aptos" w:hAnsi="Aptos"/>
          <w:b/>
          <w:bCs/>
          <w:sz w:val="20"/>
          <w:szCs w:val="20"/>
          <w:lang w:val="fr-FR"/>
        </w:rPr>
      </w:pPr>
      <w:r w:rsidRPr="00653BF4">
        <w:rPr>
          <w:rFonts w:ascii="Aptos" w:hAnsi="Aptos"/>
          <w:b/>
          <w:bCs/>
          <w:sz w:val="20"/>
          <w:szCs w:val="20"/>
          <w:lang w:val="fr-FR"/>
        </w:rPr>
        <w:t xml:space="preserve">Pourcentage d’indicateurs alignés sur la </w:t>
      </w:r>
      <w:r w:rsidR="00E34DC9">
        <w:rPr>
          <w:rFonts w:ascii="Aptos" w:hAnsi="Aptos"/>
          <w:b/>
          <w:bCs/>
          <w:sz w:val="20"/>
          <w:szCs w:val="20"/>
          <w:lang w:val="fr-FR"/>
        </w:rPr>
        <w:t>cible 3</w:t>
      </w:r>
      <w:r w:rsidRPr="00653BF4">
        <w:rPr>
          <w:rFonts w:ascii="Aptos" w:hAnsi="Aptos"/>
          <w:b/>
          <w:bCs/>
          <w:sz w:val="20"/>
          <w:szCs w:val="20"/>
          <w:lang w:val="fr-FR"/>
        </w:rPr>
        <w:t xml:space="preserve"> du Cadre, selon qu’ils indiquent une tendance positive, stable ou négative</w:t>
      </w:r>
    </w:p>
    <w:p w14:paraId="49FFAB4D" w14:textId="302105A6" w:rsidR="00286EB4" w:rsidRPr="00653BF4" w:rsidRDefault="00492806" w:rsidP="00866D95">
      <w:pPr>
        <w:pStyle w:val="Caption"/>
        <w:rPr>
          <w:lang w:val="fr-FR"/>
        </w:rPr>
      </w:pPr>
      <w:bookmarkStart w:id="110" w:name="_Ref235129411"/>
      <w:r w:rsidRPr="00653BF4">
        <w:rPr>
          <w:noProof/>
          <w:lang w:val="fr-FR"/>
          <w14:ligatures w14:val="standardContextual"/>
        </w:rPr>
        <w:drawing>
          <wp:inline distT="0" distB="0" distL="0" distR="0" wp14:anchorId="74375A31" wp14:editId="6F5EE480">
            <wp:extent cx="5731510" cy="2456180"/>
            <wp:effectExtent l="0" t="0" r="0" b="0"/>
            <wp:docPr id="12459178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917813" name="Picture 1245917813"/>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110"/>
    <w:p w14:paraId="5CACF806" w14:textId="77777777" w:rsidR="00CD7996" w:rsidRPr="00653BF4" w:rsidRDefault="00CD7996" w:rsidP="00916B32">
      <w:pPr>
        <w:rPr>
          <w:lang w:val="fr-FR"/>
        </w:rPr>
      </w:pPr>
    </w:p>
    <w:p w14:paraId="1D137302" w14:textId="33794D4E" w:rsidR="00DD73CA" w:rsidRPr="00653BF4" w:rsidRDefault="006A631C" w:rsidP="00DD73CA">
      <w:pPr>
        <w:pStyle w:val="Caption"/>
        <w:rPr>
          <w:rFonts w:ascii="Aptos" w:hAnsi="Aptos"/>
          <w:i w:val="0"/>
          <w:sz w:val="16"/>
          <w:szCs w:val="16"/>
          <w:lang w:val="fr-FR"/>
        </w:rPr>
      </w:pPr>
      <w:r w:rsidRPr="00653BF4">
        <w:rPr>
          <w:rFonts w:ascii="Aptos" w:hAnsi="Aptos"/>
          <w:lang w:val="fr-FR"/>
        </w:rPr>
        <w:t>Note</w:t>
      </w:r>
      <w:r w:rsidR="00E34DC9">
        <w:rPr>
          <w:rFonts w:ascii="Aptos" w:hAnsi="Aptos"/>
          <w:lang w:val="fr-FR"/>
        </w:rPr>
        <w:t> :</w:t>
      </w:r>
      <w:r w:rsidR="00DD73CA" w:rsidRPr="00653BF4">
        <w:rPr>
          <w:rFonts w:ascii="Aptos" w:hAnsi="Aptos"/>
          <w:i w:val="0"/>
          <w:iCs w:val="0"/>
          <w:lang w:val="fr-FR"/>
        </w:rPr>
        <w:t xml:space="preserve"> </w:t>
      </w:r>
      <w:r w:rsidR="00A62189" w:rsidRPr="00653BF4">
        <w:rPr>
          <w:i w:val="0"/>
          <w:iCs w:val="0"/>
          <w:lang w:val="fr-FR"/>
        </w:rPr>
        <w:t>Les proportions sont pondérées par Partie. Les tendances incluent les données relatives à un i</w:t>
      </w:r>
      <w:r w:rsidR="003C5C35" w:rsidRPr="00653BF4">
        <w:rPr>
          <w:i w:val="0"/>
          <w:iCs w:val="0"/>
          <w:lang w:val="fr-FR"/>
        </w:rPr>
        <w:t>ndicateur phare</w:t>
      </w:r>
      <w:r w:rsidR="00A62189" w:rsidRPr="00653BF4">
        <w:rPr>
          <w:i w:val="0"/>
          <w:iCs w:val="0"/>
          <w:lang w:val="fr-FR"/>
        </w:rPr>
        <w:t xml:space="preserve"> provenant de 79 Parties, ainsi qu</w:t>
      </w:r>
      <w:r w:rsidR="002A58C8" w:rsidRPr="00653BF4">
        <w:rPr>
          <w:i w:val="0"/>
          <w:iCs w:val="0"/>
          <w:lang w:val="fr-FR"/>
        </w:rPr>
        <w:t>’</w:t>
      </w:r>
      <w:r w:rsidR="00A62189" w:rsidRPr="00653BF4">
        <w:rPr>
          <w:i w:val="0"/>
          <w:iCs w:val="0"/>
          <w:lang w:val="fr-FR"/>
        </w:rPr>
        <w:t xml:space="preserve">à </w:t>
      </w:r>
      <w:r w:rsidR="001E65FA" w:rsidRPr="00653BF4">
        <w:rPr>
          <w:i w:val="0"/>
          <w:iCs w:val="0"/>
          <w:lang w:val="fr-FR"/>
        </w:rPr>
        <w:t>1 </w:t>
      </w:r>
      <w:r w:rsidR="00A62189" w:rsidRPr="00653BF4">
        <w:rPr>
          <w:i w:val="0"/>
          <w:iCs w:val="0"/>
          <w:lang w:val="fr-FR"/>
        </w:rPr>
        <w:t xml:space="preserve">indicateur de composante, </w:t>
      </w:r>
      <w:r w:rsidR="001E65FA" w:rsidRPr="00653BF4">
        <w:rPr>
          <w:i w:val="0"/>
          <w:iCs w:val="0"/>
          <w:lang w:val="fr-FR"/>
        </w:rPr>
        <w:t>2 </w:t>
      </w:r>
      <w:r w:rsidR="00A62189" w:rsidRPr="00653BF4">
        <w:rPr>
          <w:i w:val="0"/>
          <w:iCs w:val="0"/>
          <w:lang w:val="fr-FR"/>
        </w:rPr>
        <w:t>indicateurs complémentaires et 92</w:t>
      </w:r>
      <w:r w:rsidR="001E65FA" w:rsidRPr="00653BF4">
        <w:rPr>
          <w:i w:val="0"/>
          <w:iCs w:val="0"/>
          <w:lang w:val="fr-FR"/>
        </w:rPr>
        <w:t> </w:t>
      </w:r>
      <w:r w:rsidR="00A62189" w:rsidRPr="00653BF4">
        <w:rPr>
          <w:i w:val="0"/>
          <w:iCs w:val="0"/>
          <w:lang w:val="fr-FR"/>
        </w:rPr>
        <w:t xml:space="preserve">indicateurs nationaux provenant </w:t>
      </w:r>
      <w:r w:rsidR="00FC6E08" w:rsidRPr="00653BF4">
        <w:rPr>
          <w:i w:val="0"/>
          <w:iCs w:val="0"/>
          <w:lang w:val="fr-FR"/>
        </w:rPr>
        <w:t xml:space="preserve">de </w:t>
      </w:r>
      <w:r w:rsidR="00A62189" w:rsidRPr="00653BF4">
        <w:rPr>
          <w:i w:val="0"/>
          <w:iCs w:val="0"/>
          <w:lang w:val="fr-FR"/>
        </w:rPr>
        <w:t>27</w:t>
      </w:r>
      <w:r w:rsidR="00FC6E08" w:rsidRPr="00653BF4">
        <w:rPr>
          <w:i w:val="0"/>
          <w:iCs w:val="0"/>
          <w:lang w:val="fr-FR"/>
        </w:rPr>
        <w:t> </w:t>
      </w:r>
      <w:r w:rsidR="00A62189" w:rsidRPr="00653BF4">
        <w:rPr>
          <w:i w:val="0"/>
          <w:iCs w:val="0"/>
          <w:lang w:val="fr-FR"/>
        </w:rPr>
        <w:t>Parties</w:t>
      </w:r>
      <w:r w:rsidR="00FC6E08" w:rsidRPr="00653BF4">
        <w:rPr>
          <w:i w:val="0"/>
          <w:iCs w:val="0"/>
          <w:lang w:val="fr-FR"/>
        </w:rPr>
        <w:t xml:space="preserve"> au total</w:t>
      </w:r>
      <w:r w:rsidR="00A62189" w:rsidRPr="00653BF4">
        <w:rPr>
          <w:i w:val="0"/>
          <w:iCs w:val="0"/>
          <w:lang w:val="fr-FR"/>
        </w:rPr>
        <w:t xml:space="preserve">. Le diagramme circulaire présente la répartition, par région, des Parties ayant présenté des indicateurs pour </w:t>
      </w:r>
      <w:r w:rsidR="008A11DE" w:rsidRPr="00653BF4">
        <w:rPr>
          <w:i w:val="0"/>
          <w:iCs w:val="0"/>
          <w:lang w:val="fr-FR"/>
        </w:rPr>
        <w:t xml:space="preserve">la </w:t>
      </w:r>
      <w:r w:rsidR="00E34DC9">
        <w:rPr>
          <w:i w:val="0"/>
          <w:iCs w:val="0"/>
          <w:lang w:val="fr-FR"/>
        </w:rPr>
        <w:t>cible 3</w:t>
      </w:r>
      <w:r w:rsidR="00A62189" w:rsidRPr="00653BF4">
        <w:rPr>
          <w:i w:val="0"/>
          <w:iCs w:val="0"/>
          <w:lang w:val="fr-FR"/>
        </w:rPr>
        <w:t xml:space="preserve">. </w:t>
      </w:r>
      <w:r w:rsidR="00E5631E" w:rsidRPr="00653BF4">
        <w:rPr>
          <w:i w:val="0"/>
          <w:iCs w:val="0"/>
          <w:lang w:val="fr-FR"/>
        </w:rPr>
        <w:t>La couleur de chaque région est indiquée dans la légende de la figure</w:t>
      </w:r>
      <w:r w:rsidR="00E34DC9">
        <w:rPr>
          <w:i w:val="0"/>
          <w:iCs w:val="0"/>
          <w:lang w:val="fr-FR"/>
        </w:rPr>
        <w:t> :</w:t>
      </w:r>
      <w:r w:rsidR="00E5631E"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00E5631E" w:rsidRPr="00653BF4">
        <w:rPr>
          <w:i w:val="0"/>
          <w:iCs w:val="0"/>
          <w:lang w:val="fr-FR"/>
        </w:rPr>
        <w:t xml:space="preserve"> les tons plus clairs, la proportion de Parties de la même région dont les données n’y figurent pas.</w:t>
      </w:r>
    </w:p>
    <w:tbl>
      <w:tblPr>
        <w:tblStyle w:val="TableGrid"/>
        <w:tblW w:w="0" w:type="auto"/>
        <w:tblLook w:val="06A0" w:firstRow="1" w:lastRow="0" w:firstColumn="1" w:lastColumn="0" w:noHBand="1" w:noVBand="1"/>
      </w:tblPr>
      <w:tblGrid>
        <w:gridCol w:w="4060"/>
        <w:gridCol w:w="4545"/>
      </w:tblGrid>
      <w:tr w:rsidR="003246FC" w:rsidRPr="003A6336" w14:paraId="5F8F6F45" w14:textId="77777777" w:rsidTr="009B4355">
        <w:tc>
          <w:tcPr>
            <w:tcW w:w="0" w:type="auto"/>
            <w:gridSpan w:val="2"/>
          </w:tcPr>
          <w:p w14:paraId="506576E7" w14:textId="77777777" w:rsidR="003246FC" w:rsidRPr="003A6336" w:rsidRDefault="003246FC" w:rsidP="009B4355">
            <w:pPr>
              <w:rPr>
                <w:rFonts w:ascii="Aptos" w:eastAsia="Segoe UI" w:hAnsi="Aptos" w:cs="Segoe UI"/>
                <w:color w:val="0F1115"/>
              </w:rPr>
            </w:pPr>
            <w:r>
              <w:rPr>
                <w:rFonts w:ascii="Aptos" w:eastAsia="Segoe UI" w:hAnsi="Aptos" w:cs="Segoe UI"/>
                <w:color w:val="0F1115"/>
              </w:rPr>
              <w:t>Figure 17</w:t>
            </w:r>
          </w:p>
        </w:tc>
      </w:tr>
      <w:tr w:rsidR="003246FC" w:rsidRPr="003A6336" w14:paraId="61BCF07C" w14:textId="77777777" w:rsidTr="009B4355">
        <w:tc>
          <w:tcPr>
            <w:tcW w:w="0" w:type="auto"/>
          </w:tcPr>
          <w:p w14:paraId="1CAC8914" w14:textId="77777777" w:rsidR="003246FC" w:rsidRPr="003A6336" w:rsidRDefault="003246FC" w:rsidP="009B4355">
            <w:pPr>
              <w:rPr>
                <w:rFonts w:ascii="Aptos" w:hAnsi="Aptos"/>
              </w:rPr>
            </w:pPr>
            <w:r w:rsidRPr="003A6336">
              <w:rPr>
                <w:rFonts w:ascii="Aptos" w:eastAsia="Segoe UI" w:hAnsi="Aptos" w:cs="Segoe UI"/>
                <w:color w:val="0F1115"/>
              </w:rPr>
              <w:t xml:space="preserve">English </w:t>
            </w:r>
          </w:p>
        </w:tc>
        <w:tc>
          <w:tcPr>
            <w:tcW w:w="0" w:type="auto"/>
          </w:tcPr>
          <w:p w14:paraId="22138408" w14:textId="77777777" w:rsidR="003246FC" w:rsidRPr="003A6336" w:rsidRDefault="003246FC" w:rsidP="009B4355">
            <w:pPr>
              <w:rPr>
                <w:rFonts w:ascii="Aptos" w:hAnsi="Aptos"/>
              </w:rPr>
            </w:pPr>
            <w:r>
              <w:rPr>
                <w:rFonts w:ascii="Aptos" w:eastAsia="Segoe UI" w:hAnsi="Aptos" w:cs="Segoe UI"/>
                <w:color w:val="0F1115"/>
              </w:rPr>
              <w:t>Français</w:t>
            </w:r>
          </w:p>
        </w:tc>
      </w:tr>
      <w:tr w:rsidR="003246FC" w:rsidRPr="003A6336" w14:paraId="2D307B55" w14:textId="77777777" w:rsidTr="009B4355">
        <w:tc>
          <w:tcPr>
            <w:tcW w:w="0" w:type="auto"/>
          </w:tcPr>
          <w:p w14:paraId="2862AD20"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0" w:type="auto"/>
          </w:tcPr>
          <w:p w14:paraId="6C986390"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78CDD345" w14:textId="77777777" w:rsidTr="009B4355">
        <w:tc>
          <w:tcPr>
            <w:tcW w:w="0" w:type="auto"/>
          </w:tcPr>
          <w:p w14:paraId="37F834A3" w14:textId="77777777" w:rsidR="003246FC" w:rsidRPr="003A6336" w:rsidRDefault="003246FC" w:rsidP="009B4355">
            <w:pPr>
              <w:rPr>
                <w:rFonts w:ascii="Aptos" w:hAnsi="Aptos"/>
              </w:rPr>
            </w:pPr>
            <w:r w:rsidRPr="003A6336">
              <w:rPr>
                <w:rFonts w:ascii="Aptos" w:eastAsia="Segoe UI" w:hAnsi="Aptos" w:cs="Segoe UI"/>
                <w:color w:val="0F1115"/>
              </w:rPr>
              <w:lastRenderedPageBreak/>
              <w:t>Africa</w:t>
            </w:r>
            <w:r>
              <w:rPr>
                <w:rFonts w:ascii="Aptos" w:eastAsia="Segoe UI" w:hAnsi="Aptos" w:cs="Segoe UI"/>
                <w:color w:val="0F1115"/>
              </w:rPr>
              <w:t>n States</w:t>
            </w:r>
          </w:p>
        </w:tc>
        <w:tc>
          <w:tcPr>
            <w:tcW w:w="0" w:type="auto"/>
          </w:tcPr>
          <w:p w14:paraId="48081300"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216409AF" w14:textId="77777777" w:rsidTr="009B4355">
        <w:tc>
          <w:tcPr>
            <w:tcW w:w="0" w:type="auto"/>
          </w:tcPr>
          <w:p w14:paraId="0B2EE9F7" w14:textId="77777777" w:rsidR="003246FC" w:rsidRPr="003A6336" w:rsidRDefault="003246FC" w:rsidP="009B4355">
            <w:pPr>
              <w:rPr>
                <w:rFonts w:ascii="Aptos" w:hAnsi="Aptos"/>
              </w:rPr>
            </w:pPr>
            <w:r w:rsidRPr="003A6336">
              <w:rPr>
                <w:rFonts w:ascii="Aptos" w:eastAsia="Segoe UI" w:hAnsi="Aptos" w:cs="Segoe UI"/>
                <w:color w:val="0F1115"/>
              </w:rPr>
              <w:t>Asia</w:t>
            </w:r>
            <w:r>
              <w:rPr>
                <w:rFonts w:ascii="Aptos" w:eastAsia="Segoe UI" w:hAnsi="Aptos" w:cs="Segoe UI"/>
                <w:color w:val="0F1115"/>
              </w:rPr>
              <w:t>-</w:t>
            </w:r>
            <w:r w:rsidRPr="003A6336">
              <w:rPr>
                <w:rFonts w:ascii="Aptos" w:eastAsia="Segoe UI" w:hAnsi="Aptos" w:cs="Segoe UI"/>
                <w:color w:val="0F1115"/>
              </w:rPr>
              <w:t xml:space="preserve"> Pacific</w:t>
            </w:r>
            <w:r>
              <w:rPr>
                <w:rFonts w:ascii="Aptos" w:eastAsia="Segoe UI" w:hAnsi="Aptos" w:cs="Segoe UI"/>
                <w:color w:val="0F1115"/>
              </w:rPr>
              <w:t xml:space="preserve"> States</w:t>
            </w:r>
          </w:p>
        </w:tc>
        <w:tc>
          <w:tcPr>
            <w:tcW w:w="0" w:type="auto"/>
          </w:tcPr>
          <w:p w14:paraId="21D271CA"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6E3D333C" w14:textId="77777777" w:rsidTr="009B4355">
        <w:tc>
          <w:tcPr>
            <w:tcW w:w="0" w:type="auto"/>
          </w:tcPr>
          <w:p w14:paraId="15D43400" w14:textId="77777777" w:rsidR="003246FC" w:rsidRPr="003A6336" w:rsidRDefault="003246FC" w:rsidP="009B4355">
            <w:pPr>
              <w:rPr>
                <w:rFonts w:ascii="Aptos" w:hAnsi="Aptos"/>
              </w:rPr>
            </w:pPr>
            <w:r w:rsidRPr="003A6336">
              <w:rPr>
                <w:rFonts w:ascii="Aptos" w:eastAsia="Segoe UI" w:hAnsi="Aptos" w:cs="Segoe UI"/>
                <w:color w:val="0F1115"/>
              </w:rPr>
              <w:t>Latin America</w:t>
            </w:r>
            <w:r>
              <w:rPr>
                <w:rFonts w:ascii="Aptos" w:eastAsia="Segoe UI" w:hAnsi="Aptos" w:cs="Segoe UI"/>
                <w:color w:val="0F1115"/>
              </w:rPr>
              <w:t>n</w:t>
            </w:r>
            <w:r w:rsidRPr="003A6336">
              <w:rPr>
                <w:rFonts w:ascii="Aptos" w:eastAsia="Segoe UI" w:hAnsi="Aptos" w:cs="Segoe UI"/>
                <w:color w:val="0F1115"/>
              </w:rPr>
              <w:t xml:space="preserve"> and Caribbean</w:t>
            </w:r>
            <w:r>
              <w:rPr>
                <w:rFonts w:ascii="Aptos" w:eastAsia="Segoe UI" w:hAnsi="Aptos" w:cs="Segoe UI"/>
                <w:color w:val="0F1115"/>
              </w:rPr>
              <w:t xml:space="preserve"> States</w:t>
            </w:r>
          </w:p>
        </w:tc>
        <w:tc>
          <w:tcPr>
            <w:tcW w:w="0" w:type="auto"/>
          </w:tcPr>
          <w:p w14:paraId="08DBAB09"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13CE625A" w14:textId="77777777" w:rsidTr="009B4355">
        <w:tc>
          <w:tcPr>
            <w:tcW w:w="0" w:type="auto"/>
          </w:tcPr>
          <w:p w14:paraId="3CE38320" w14:textId="77777777" w:rsidR="003246FC" w:rsidRPr="003A6336" w:rsidRDefault="003246FC" w:rsidP="009B4355">
            <w:pPr>
              <w:rPr>
                <w:rFonts w:ascii="Aptos" w:hAnsi="Aptos"/>
              </w:rPr>
            </w:pPr>
            <w:r w:rsidRPr="003A6336">
              <w:rPr>
                <w:rFonts w:ascii="Aptos" w:eastAsia="Segoe UI" w:hAnsi="Aptos" w:cs="Segoe UI"/>
                <w:color w:val="0F1115"/>
              </w:rPr>
              <w:t>Eastern Europe</w:t>
            </w:r>
            <w:r>
              <w:rPr>
                <w:rFonts w:ascii="Aptos" w:eastAsia="Segoe UI" w:hAnsi="Aptos" w:cs="Segoe UI"/>
                <w:color w:val="0F1115"/>
              </w:rPr>
              <w:t>an States</w:t>
            </w:r>
          </w:p>
        </w:tc>
        <w:tc>
          <w:tcPr>
            <w:tcW w:w="0" w:type="auto"/>
          </w:tcPr>
          <w:p w14:paraId="7F2A460D"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0F7C1004" w14:textId="77777777" w:rsidTr="009B4355">
        <w:tc>
          <w:tcPr>
            <w:tcW w:w="0" w:type="auto"/>
          </w:tcPr>
          <w:p w14:paraId="6F9FD376" w14:textId="77777777" w:rsidR="003246FC" w:rsidRPr="003A6336" w:rsidRDefault="003246FC" w:rsidP="009B4355">
            <w:pPr>
              <w:rPr>
                <w:rFonts w:ascii="Aptos" w:hAnsi="Aptos"/>
              </w:rPr>
            </w:pPr>
            <w:r w:rsidRPr="003A6336">
              <w:rPr>
                <w:rFonts w:ascii="Aptos" w:eastAsia="Segoe UI" w:hAnsi="Aptos" w:cs="Segoe UI"/>
                <w:color w:val="0F1115"/>
              </w:rPr>
              <w:t>Western Europe</w:t>
            </w:r>
            <w:r>
              <w:rPr>
                <w:rFonts w:ascii="Aptos" w:eastAsia="Segoe UI" w:hAnsi="Aptos" w:cs="Segoe UI"/>
                <w:color w:val="0F1115"/>
              </w:rPr>
              <w:t>an</w:t>
            </w:r>
            <w:r w:rsidRPr="003A6336">
              <w:rPr>
                <w:rFonts w:ascii="Aptos" w:eastAsia="Segoe UI" w:hAnsi="Aptos" w:cs="Segoe UI"/>
                <w:color w:val="0F1115"/>
              </w:rPr>
              <w:t xml:space="preserve"> and </w:t>
            </w:r>
            <w:r>
              <w:rPr>
                <w:rFonts w:ascii="Aptos" w:eastAsia="Segoe UI" w:hAnsi="Aptos" w:cs="Segoe UI"/>
                <w:color w:val="0F1115"/>
              </w:rPr>
              <w:t>o</w:t>
            </w:r>
            <w:r w:rsidRPr="003A6336">
              <w:rPr>
                <w:rFonts w:ascii="Aptos" w:eastAsia="Segoe UI" w:hAnsi="Aptos" w:cs="Segoe UI"/>
                <w:color w:val="0F1115"/>
              </w:rPr>
              <w:t xml:space="preserve">ther </w:t>
            </w:r>
            <w:r>
              <w:rPr>
                <w:rFonts w:ascii="Aptos" w:eastAsia="Segoe UI" w:hAnsi="Aptos" w:cs="Segoe UI"/>
                <w:color w:val="0F1115"/>
              </w:rPr>
              <w:t>States</w:t>
            </w:r>
          </w:p>
        </w:tc>
        <w:tc>
          <w:tcPr>
            <w:tcW w:w="0" w:type="auto"/>
          </w:tcPr>
          <w:p w14:paraId="61803B9E"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3ACB788B" w14:textId="77777777" w:rsidTr="009B4355">
        <w:tc>
          <w:tcPr>
            <w:tcW w:w="0" w:type="auto"/>
          </w:tcPr>
          <w:p w14:paraId="257F2759" w14:textId="77777777" w:rsidR="003246FC" w:rsidRPr="003A6336" w:rsidRDefault="003246FC" w:rsidP="009B4355">
            <w:pPr>
              <w:rPr>
                <w:rFonts w:ascii="Aptos" w:hAnsi="Aptos"/>
              </w:rPr>
            </w:pPr>
            <w:r w:rsidRPr="003A6336">
              <w:rPr>
                <w:rFonts w:ascii="Aptos" w:eastAsia="Segoe UI" w:hAnsi="Aptos" w:cs="Segoe UI"/>
                <w:color w:val="0F1115"/>
              </w:rPr>
              <w:t>Proportion</w:t>
            </w:r>
          </w:p>
        </w:tc>
        <w:tc>
          <w:tcPr>
            <w:tcW w:w="0" w:type="auto"/>
            <w:tcBorders>
              <w:top w:val="single" w:sz="4" w:space="0" w:color="auto"/>
              <w:left w:val="single" w:sz="4" w:space="0" w:color="auto"/>
              <w:bottom w:val="single" w:sz="4" w:space="0" w:color="auto"/>
              <w:right w:val="single" w:sz="4" w:space="0" w:color="auto"/>
            </w:tcBorders>
          </w:tcPr>
          <w:p w14:paraId="1A153629" w14:textId="77777777" w:rsidR="003246FC" w:rsidRPr="003A6336" w:rsidRDefault="003246FC" w:rsidP="009B4355">
            <w:pPr>
              <w:rPr>
                <w:rFonts w:ascii="Aptos" w:hAnsi="Aptos"/>
              </w:rPr>
            </w:pPr>
            <w:r w:rsidRPr="006F7AF8">
              <w:rPr>
                <w:rFonts w:ascii="Aptos" w:hAnsi="Aptos"/>
                <w:lang w:val="fr-FR"/>
              </w:rPr>
              <w:t>Proportion</w:t>
            </w:r>
          </w:p>
        </w:tc>
      </w:tr>
      <w:tr w:rsidR="003246FC" w:rsidRPr="003A6336" w14:paraId="5492D956" w14:textId="77777777" w:rsidTr="009B4355">
        <w:tc>
          <w:tcPr>
            <w:tcW w:w="0" w:type="auto"/>
          </w:tcPr>
          <w:p w14:paraId="2ADC486F" w14:textId="77777777" w:rsidR="003246FC" w:rsidRPr="003A6336" w:rsidRDefault="003246FC" w:rsidP="009B4355">
            <w:pPr>
              <w:rPr>
                <w:rFonts w:ascii="Aptos" w:hAnsi="Aptos"/>
              </w:rPr>
            </w:pPr>
            <w:r w:rsidRPr="003A6336">
              <w:rPr>
                <w:rFonts w:ascii="Aptos" w:eastAsia="Segoe UI" w:hAnsi="Aptos" w:cs="Segoe UI"/>
                <w:color w:val="0F1115"/>
              </w:rPr>
              <w:t>Current Status</w:t>
            </w:r>
          </w:p>
        </w:tc>
        <w:tc>
          <w:tcPr>
            <w:tcW w:w="0" w:type="auto"/>
            <w:tcBorders>
              <w:top w:val="single" w:sz="4" w:space="0" w:color="auto"/>
              <w:left w:val="single" w:sz="4" w:space="0" w:color="auto"/>
              <w:bottom w:val="single" w:sz="4" w:space="0" w:color="auto"/>
              <w:right w:val="single" w:sz="4" w:space="0" w:color="auto"/>
            </w:tcBorders>
          </w:tcPr>
          <w:p w14:paraId="5FD39F4B" w14:textId="77777777" w:rsidR="003246FC" w:rsidRPr="003A6336" w:rsidRDefault="003246FC" w:rsidP="009B4355">
            <w:pPr>
              <w:rPr>
                <w:rFonts w:ascii="Aptos" w:hAnsi="Aptos"/>
              </w:rPr>
            </w:pPr>
            <w:r w:rsidRPr="006F7AF8">
              <w:rPr>
                <w:rFonts w:ascii="Aptos" w:hAnsi="Aptos"/>
                <w:lang w:val="fr-FR"/>
              </w:rPr>
              <w:t>État actuel</w:t>
            </w:r>
          </w:p>
        </w:tc>
      </w:tr>
      <w:tr w:rsidR="003246FC" w:rsidRPr="003A6336" w14:paraId="5E938C00" w14:textId="77777777" w:rsidTr="009B4355">
        <w:tc>
          <w:tcPr>
            <w:tcW w:w="0" w:type="auto"/>
          </w:tcPr>
          <w:p w14:paraId="20A890F6" w14:textId="77777777" w:rsidR="003246FC" w:rsidRPr="003A6336" w:rsidRDefault="003246FC" w:rsidP="009B4355">
            <w:pPr>
              <w:rPr>
                <w:rFonts w:ascii="Aptos" w:hAnsi="Aptos"/>
              </w:rPr>
            </w:pPr>
            <w:r w:rsidRPr="003A6336">
              <w:rPr>
                <w:rFonts w:ascii="Aptos" w:eastAsia="Segoe UI" w:hAnsi="Aptos" w:cs="Segoe UI"/>
                <w:color w:val="0F1115"/>
              </w:rPr>
              <w:t>improving</w:t>
            </w:r>
          </w:p>
        </w:tc>
        <w:tc>
          <w:tcPr>
            <w:tcW w:w="0" w:type="auto"/>
            <w:tcBorders>
              <w:top w:val="single" w:sz="4" w:space="0" w:color="auto"/>
              <w:left w:val="single" w:sz="4" w:space="0" w:color="auto"/>
              <w:bottom w:val="single" w:sz="4" w:space="0" w:color="auto"/>
              <w:right w:val="single" w:sz="4" w:space="0" w:color="auto"/>
            </w:tcBorders>
          </w:tcPr>
          <w:p w14:paraId="7DCDE33D" w14:textId="77777777" w:rsidR="003246FC" w:rsidRPr="003A6336" w:rsidRDefault="003246FC" w:rsidP="009B4355">
            <w:pPr>
              <w:rPr>
                <w:rFonts w:ascii="Aptos" w:hAnsi="Aptos"/>
              </w:rPr>
            </w:pPr>
            <w:r>
              <w:rPr>
                <w:rFonts w:ascii="Aptos" w:hAnsi="Aptos"/>
                <w:lang w:val="fr-FR"/>
              </w:rPr>
              <w:t>amélioration</w:t>
            </w:r>
          </w:p>
        </w:tc>
      </w:tr>
      <w:tr w:rsidR="003246FC" w:rsidRPr="003A6336" w14:paraId="228786A2" w14:textId="77777777" w:rsidTr="009B4355">
        <w:tc>
          <w:tcPr>
            <w:tcW w:w="0" w:type="auto"/>
          </w:tcPr>
          <w:p w14:paraId="5D6ECB1E" w14:textId="77777777" w:rsidR="003246FC" w:rsidRPr="003A6336" w:rsidRDefault="003246FC" w:rsidP="009B4355">
            <w:pPr>
              <w:rPr>
                <w:rFonts w:ascii="Aptos" w:hAnsi="Aptos"/>
              </w:rPr>
            </w:pPr>
            <w:r w:rsidRPr="003A6336">
              <w:rPr>
                <w:rFonts w:ascii="Aptos" w:eastAsia="Segoe UI" w:hAnsi="Aptos" w:cs="Segoe UI"/>
                <w:color w:val="0F1115"/>
              </w:rPr>
              <w:t>stable</w:t>
            </w:r>
          </w:p>
        </w:tc>
        <w:tc>
          <w:tcPr>
            <w:tcW w:w="0" w:type="auto"/>
            <w:tcBorders>
              <w:top w:val="single" w:sz="4" w:space="0" w:color="auto"/>
              <w:left w:val="single" w:sz="4" w:space="0" w:color="auto"/>
              <w:bottom w:val="single" w:sz="4" w:space="0" w:color="auto"/>
              <w:right w:val="single" w:sz="4" w:space="0" w:color="auto"/>
            </w:tcBorders>
          </w:tcPr>
          <w:p w14:paraId="7E73260C" w14:textId="77777777" w:rsidR="003246FC" w:rsidRPr="003A6336" w:rsidRDefault="003246FC" w:rsidP="009B4355">
            <w:pPr>
              <w:rPr>
                <w:rFonts w:ascii="Aptos" w:hAnsi="Aptos"/>
              </w:rPr>
            </w:pPr>
            <w:r>
              <w:rPr>
                <w:rFonts w:ascii="Aptos" w:hAnsi="Aptos"/>
                <w:lang w:val="fr-FR"/>
              </w:rPr>
              <w:t>s</w:t>
            </w:r>
            <w:r w:rsidRPr="006F7AF8">
              <w:rPr>
                <w:rFonts w:ascii="Aptos" w:hAnsi="Aptos"/>
                <w:lang w:val="fr-FR"/>
              </w:rPr>
              <w:t>tab</w:t>
            </w:r>
            <w:r>
              <w:rPr>
                <w:rFonts w:ascii="Aptos" w:hAnsi="Aptos"/>
                <w:lang w:val="fr-FR"/>
              </w:rPr>
              <w:t>ilité</w:t>
            </w:r>
          </w:p>
        </w:tc>
      </w:tr>
      <w:tr w:rsidR="003246FC" w:rsidRPr="003A6336" w14:paraId="193ED45F" w14:textId="77777777" w:rsidTr="009B4355">
        <w:tc>
          <w:tcPr>
            <w:tcW w:w="0" w:type="auto"/>
          </w:tcPr>
          <w:p w14:paraId="4444BA76" w14:textId="77777777" w:rsidR="003246FC" w:rsidRPr="003A6336" w:rsidRDefault="003246FC" w:rsidP="009B4355">
            <w:pPr>
              <w:rPr>
                <w:rFonts w:ascii="Aptos" w:hAnsi="Aptos"/>
              </w:rPr>
            </w:pPr>
            <w:r w:rsidRPr="003A6336">
              <w:rPr>
                <w:rFonts w:ascii="Aptos" w:eastAsia="Segoe UI" w:hAnsi="Aptos" w:cs="Segoe UI"/>
                <w:color w:val="0F1115"/>
              </w:rPr>
              <w:t>moving away</w:t>
            </w:r>
          </w:p>
        </w:tc>
        <w:tc>
          <w:tcPr>
            <w:tcW w:w="0" w:type="auto"/>
            <w:tcBorders>
              <w:top w:val="single" w:sz="4" w:space="0" w:color="auto"/>
              <w:left w:val="single" w:sz="4" w:space="0" w:color="auto"/>
              <w:bottom w:val="single" w:sz="4" w:space="0" w:color="auto"/>
              <w:right w:val="single" w:sz="4" w:space="0" w:color="auto"/>
            </w:tcBorders>
          </w:tcPr>
          <w:p w14:paraId="1BB210E5" w14:textId="77777777" w:rsidR="003246FC" w:rsidRPr="003A6336" w:rsidRDefault="003246FC" w:rsidP="009B4355">
            <w:pPr>
              <w:rPr>
                <w:rFonts w:ascii="Aptos" w:hAnsi="Aptos"/>
              </w:rPr>
            </w:pPr>
            <w:r>
              <w:rPr>
                <w:rFonts w:ascii="Aptos" w:hAnsi="Aptos"/>
                <w:lang w:val="fr-FR"/>
              </w:rPr>
              <w:t>éloignement</w:t>
            </w:r>
          </w:p>
        </w:tc>
      </w:tr>
      <w:tr w:rsidR="003246FC" w:rsidRPr="003A6336" w14:paraId="2A4CBA21" w14:textId="77777777" w:rsidTr="009B4355">
        <w:tc>
          <w:tcPr>
            <w:tcW w:w="0" w:type="auto"/>
          </w:tcPr>
          <w:p w14:paraId="1A65F650" w14:textId="77777777" w:rsidR="003246FC" w:rsidRPr="003A6336" w:rsidRDefault="003246FC" w:rsidP="009B4355">
            <w:pPr>
              <w:rPr>
                <w:rFonts w:ascii="Aptos" w:hAnsi="Aptos"/>
              </w:rPr>
            </w:pPr>
            <w:r w:rsidRPr="003A6336">
              <w:rPr>
                <w:rFonts w:ascii="Aptos" w:eastAsia="Segoe UI" w:hAnsi="Aptos" w:cs="Segoe UI"/>
                <w:color w:val="0F1115"/>
              </w:rPr>
              <w:t>Party count: 85</w:t>
            </w:r>
          </w:p>
        </w:tc>
        <w:tc>
          <w:tcPr>
            <w:tcW w:w="0" w:type="auto"/>
            <w:tcBorders>
              <w:top w:val="single" w:sz="4" w:space="0" w:color="auto"/>
              <w:left w:val="single" w:sz="4" w:space="0" w:color="auto"/>
              <w:bottom w:val="single" w:sz="4" w:space="0" w:color="auto"/>
              <w:right w:val="single" w:sz="4" w:space="0" w:color="auto"/>
            </w:tcBorders>
          </w:tcPr>
          <w:p w14:paraId="54A71E92" w14:textId="77777777" w:rsidR="003246FC" w:rsidRPr="003A6336" w:rsidRDefault="003246FC" w:rsidP="009B4355">
            <w:pPr>
              <w:rPr>
                <w:rFonts w:ascii="Aptos" w:hAnsi="Aptos"/>
              </w:rPr>
            </w:pPr>
            <w:r>
              <w:rPr>
                <w:rFonts w:ascii="Aptos" w:hAnsi="Aptos"/>
                <w:lang w:val="fr-FR"/>
              </w:rPr>
              <w:t>Nombre de Parties : 85</w:t>
            </w:r>
          </w:p>
        </w:tc>
      </w:tr>
    </w:tbl>
    <w:p w14:paraId="60CC6A36" w14:textId="77777777" w:rsidR="00DD73CA" w:rsidRPr="00653BF4" w:rsidRDefault="00DD73CA" w:rsidP="00916B32">
      <w:pPr>
        <w:rPr>
          <w:lang w:val="fr-FR"/>
        </w:rPr>
      </w:pPr>
    </w:p>
    <w:p w14:paraId="0ACD8F79" w14:textId="719D4F75" w:rsidR="006C0F01" w:rsidRPr="00653BF4" w:rsidRDefault="00DD19D2" w:rsidP="00A1328A">
      <w:pPr>
        <w:pStyle w:val="Heading5"/>
        <w:rPr>
          <w:lang w:val="fr-FR"/>
        </w:rPr>
      </w:pPr>
      <w:r w:rsidRPr="00653BF4">
        <w:rPr>
          <w:lang w:val="fr-FR"/>
        </w:rPr>
        <w:t>Auto-évaluation des progrès</w:t>
      </w:r>
      <w:r w:rsidR="00851398" w:rsidRPr="00653BF4">
        <w:rPr>
          <w:lang w:val="fr-FR"/>
        </w:rPr>
        <w:t xml:space="preserve"> accomplis</w:t>
      </w:r>
    </w:p>
    <w:p w14:paraId="0510D383" w14:textId="77777777" w:rsidR="00914F9B" w:rsidRPr="00653BF4" w:rsidRDefault="00914F9B" w:rsidP="00914F9B">
      <w:pPr>
        <w:rPr>
          <w:lang w:val="fr-FR"/>
        </w:rPr>
      </w:pPr>
    </w:p>
    <w:p w14:paraId="54A5307B" w14:textId="5AC6ED48" w:rsidR="00846541" w:rsidRPr="00653BF4" w:rsidRDefault="006B31A0" w:rsidP="00846541">
      <w:pPr>
        <w:rPr>
          <w:lang w:val="fr-FR"/>
        </w:rPr>
      </w:pPr>
      <w:r w:rsidRPr="00653BF4">
        <w:rPr>
          <w:lang w:val="fr-FR"/>
        </w:rPr>
        <w:t>D’après les auto-évaluations des Parties figurant dans leurs rapports nationaux</w:t>
      </w:r>
      <w:r w:rsidR="00FA2A4B" w:rsidRPr="00653BF4">
        <w:rPr>
          <w:lang w:val="fr-FR"/>
        </w:rPr>
        <w:t>, 47</w:t>
      </w:r>
      <w:r w:rsidR="002878D7">
        <w:rPr>
          <w:lang w:val="fr-FR"/>
        </w:rPr>
        <w:t> %</w:t>
      </w:r>
      <w:r w:rsidR="00FA2A4B" w:rsidRPr="00653BF4">
        <w:rPr>
          <w:lang w:val="fr-FR"/>
        </w:rPr>
        <w:t xml:space="preserve"> des cibles nationales présentées comme étant en parfaite adéquation </w:t>
      </w:r>
      <w:r w:rsidR="00E82916" w:rsidRPr="00653BF4">
        <w:rPr>
          <w:lang w:val="fr-FR"/>
        </w:rPr>
        <w:t xml:space="preserve">avec la </w:t>
      </w:r>
      <w:r w:rsidR="00E34DC9">
        <w:rPr>
          <w:lang w:val="fr-FR"/>
        </w:rPr>
        <w:t>cible 3</w:t>
      </w:r>
      <w:r w:rsidR="00FA2A4B" w:rsidRPr="00653BF4">
        <w:rPr>
          <w:lang w:val="fr-FR"/>
        </w:rPr>
        <w:t xml:space="preserve"> sont en bonne voie d</w:t>
      </w:r>
      <w:r w:rsidR="002A58C8" w:rsidRPr="00653BF4">
        <w:rPr>
          <w:lang w:val="fr-FR"/>
        </w:rPr>
        <w:t>’</w:t>
      </w:r>
      <w:r w:rsidR="00FA2A4B" w:rsidRPr="00653BF4">
        <w:rPr>
          <w:lang w:val="fr-FR"/>
        </w:rPr>
        <w:t>être atteintes, tandis que 3</w:t>
      </w:r>
      <w:r w:rsidR="002878D7">
        <w:rPr>
          <w:lang w:val="fr-FR"/>
        </w:rPr>
        <w:t> %</w:t>
      </w:r>
      <w:r w:rsidR="00FA2A4B" w:rsidRPr="00653BF4">
        <w:rPr>
          <w:lang w:val="fr-FR"/>
        </w:rPr>
        <w:t xml:space="preserve"> sont </w:t>
      </w:r>
      <w:r w:rsidR="005E36F3" w:rsidRPr="00653BF4">
        <w:rPr>
          <w:lang w:val="fr-FR"/>
        </w:rPr>
        <w:t xml:space="preserve">déclarées comme </w:t>
      </w:r>
      <w:r w:rsidR="00FA2A4B" w:rsidRPr="00653BF4">
        <w:rPr>
          <w:lang w:val="fr-FR"/>
        </w:rPr>
        <w:t>atteintes et que 50</w:t>
      </w:r>
      <w:r w:rsidR="002878D7">
        <w:rPr>
          <w:lang w:val="fr-FR"/>
        </w:rPr>
        <w:t> %</w:t>
      </w:r>
      <w:r w:rsidR="00FA2A4B" w:rsidRPr="00653BF4">
        <w:rPr>
          <w:lang w:val="fr-FR"/>
        </w:rPr>
        <w:t xml:space="preserve"> </w:t>
      </w:r>
      <w:r w:rsidR="00170726" w:rsidRPr="00653BF4">
        <w:rPr>
          <w:lang w:val="fr-FR"/>
        </w:rPr>
        <w:t xml:space="preserve">n’enregistrent aucun progrès notable ou des progrès insuffisants </w:t>
      </w:r>
      <w:r w:rsidR="00FA2A4B" w:rsidRPr="00653BF4">
        <w:rPr>
          <w:lang w:val="fr-FR"/>
        </w:rPr>
        <w:t>(</w:t>
      </w:r>
      <w:r w:rsidR="00592405" w:rsidRPr="00653BF4">
        <w:rPr>
          <w:lang w:val="fr-FR"/>
        </w:rPr>
        <w:t>voir la figure </w:t>
      </w:r>
      <w:r w:rsidR="00FA2A4B" w:rsidRPr="00653BF4">
        <w:rPr>
          <w:lang w:val="fr-FR"/>
        </w:rPr>
        <w:t>18).</w:t>
      </w:r>
    </w:p>
    <w:p w14:paraId="2000E4C5" w14:textId="33E5588E" w:rsidR="00742970" w:rsidRPr="00653BF4" w:rsidRDefault="00742970" w:rsidP="006C0F01">
      <w:pPr>
        <w:rPr>
          <w:rFonts w:ascii="Aptos" w:hAnsi="Aptos"/>
          <w:lang w:val="fr-FR"/>
        </w:rPr>
      </w:pPr>
      <w:bookmarkStart w:id="111" w:name="_Ref230618391"/>
      <w:r w:rsidRPr="00653BF4">
        <w:rPr>
          <w:rFonts w:ascii="Aptos" w:hAnsi="Aptos"/>
          <w:sz w:val="20"/>
          <w:szCs w:val="20"/>
          <w:lang w:val="fr-FR"/>
        </w:rPr>
        <w:t>Figure 18</w:t>
      </w:r>
      <w:bookmarkEnd w:id="111"/>
      <w:r w:rsidRPr="00653BF4">
        <w:rPr>
          <w:rFonts w:ascii="Aptos" w:hAnsi="Aptos"/>
          <w:lang w:val="fr-FR"/>
        </w:rPr>
        <w:t xml:space="preserve"> </w:t>
      </w:r>
    </w:p>
    <w:p w14:paraId="4BF36CE3" w14:textId="4C7CB041" w:rsidR="00846541" w:rsidRPr="00653BF4" w:rsidRDefault="007C3CE5" w:rsidP="006C0F01">
      <w:pPr>
        <w:rPr>
          <w:rStyle w:val="normaltextrun"/>
          <w:rFonts w:ascii="Aptos" w:hAnsi="Aptos"/>
          <w:b/>
          <w:sz w:val="20"/>
          <w:szCs w:val="20"/>
          <w:lang w:val="fr-FR"/>
        </w:rPr>
      </w:pPr>
      <w:r w:rsidRPr="00653BF4">
        <w:rPr>
          <w:rFonts w:ascii="Aptos" w:hAnsi="Aptos"/>
          <w:b/>
          <w:bCs/>
          <w:sz w:val="20"/>
          <w:szCs w:val="20"/>
          <w:lang w:val="fr-FR"/>
        </w:rPr>
        <w:t xml:space="preserve">Progrès auto-évalués pour l’ensemble des cibles nationales présentées comme étroitement alignées </w:t>
      </w:r>
      <w:r w:rsidR="00D270BE" w:rsidRPr="00653BF4">
        <w:rPr>
          <w:rFonts w:ascii="Aptos" w:hAnsi="Aptos"/>
          <w:b/>
          <w:bCs/>
          <w:sz w:val="20"/>
          <w:szCs w:val="20"/>
          <w:lang w:val="fr-FR"/>
        </w:rPr>
        <w:t>sur</w:t>
      </w:r>
      <w:r w:rsidR="006B70C3" w:rsidRPr="00653BF4">
        <w:rPr>
          <w:rFonts w:ascii="Aptos" w:hAnsi="Aptos"/>
          <w:b/>
          <w:bCs/>
          <w:sz w:val="20"/>
          <w:szCs w:val="20"/>
          <w:lang w:val="fr-FR"/>
        </w:rPr>
        <w:t xml:space="preserve"> la </w:t>
      </w:r>
      <w:r w:rsidR="00E34DC9">
        <w:rPr>
          <w:rFonts w:ascii="Aptos" w:hAnsi="Aptos"/>
          <w:b/>
          <w:bCs/>
          <w:sz w:val="20"/>
          <w:szCs w:val="20"/>
          <w:lang w:val="fr-FR"/>
        </w:rPr>
        <w:t>cible 3</w:t>
      </w:r>
      <w:r w:rsidR="006B70C3" w:rsidRPr="00653BF4">
        <w:rPr>
          <w:rFonts w:ascii="Aptos" w:hAnsi="Aptos"/>
          <w:b/>
          <w:bCs/>
          <w:sz w:val="20"/>
          <w:szCs w:val="20"/>
          <w:lang w:val="fr-FR"/>
        </w:rPr>
        <w:t xml:space="preserve"> du Cadre</w:t>
      </w:r>
    </w:p>
    <w:p w14:paraId="0DF0C596" w14:textId="4E82BC2B" w:rsidR="00286EB4" w:rsidRPr="00653BF4" w:rsidRDefault="00E576B8" w:rsidP="006C0F01">
      <w:pPr>
        <w:rPr>
          <w:rStyle w:val="normaltextrun"/>
          <w:rFonts w:ascii="Aptos" w:hAnsi="Aptos"/>
          <w:lang w:val="fr-FR"/>
        </w:rPr>
      </w:pPr>
      <w:r w:rsidRPr="00653BF4">
        <w:rPr>
          <w:rFonts w:ascii="Aptos" w:eastAsia="Aptos" w:hAnsi="Aptos" w:cs="Aptos"/>
          <w:noProof/>
          <w:lang w:val="fr-FR"/>
        </w:rPr>
        <w:drawing>
          <wp:inline distT="0" distB="0" distL="0" distR="0" wp14:anchorId="26BC29BE" wp14:editId="1B9A382A">
            <wp:extent cx="5731510" cy="2292350"/>
            <wp:effectExtent l="0" t="0" r="0" b="6350"/>
            <wp:docPr id="1375381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381267" name="Picture 1375381267"/>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6A3B27C4" w14:textId="343C2720" w:rsidR="001416C4" w:rsidRPr="00653BF4" w:rsidRDefault="006A631C" w:rsidP="001416C4">
      <w:pPr>
        <w:pStyle w:val="Caption"/>
        <w:rPr>
          <w:i w:val="0"/>
          <w:iCs w:val="0"/>
          <w:lang w:val="fr-FR"/>
        </w:rPr>
      </w:pPr>
      <w:r w:rsidRPr="00653BF4">
        <w:rPr>
          <w:lang w:val="fr-FR"/>
        </w:rPr>
        <w:t>Note</w:t>
      </w:r>
      <w:r w:rsidR="00E34DC9">
        <w:rPr>
          <w:lang w:val="fr-FR"/>
        </w:rPr>
        <w:t> :</w:t>
      </w:r>
      <w:r w:rsidR="001416C4" w:rsidRPr="00653BF4">
        <w:rPr>
          <w:i w:val="0"/>
          <w:iCs w:val="0"/>
          <w:lang w:val="fr-FR"/>
        </w:rPr>
        <w:t xml:space="preserve"> </w:t>
      </w:r>
      <w:r w:rsidR="00965FED"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00965FED"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00965FED" w:rsidRPr="00653BF4">
        <w:rPr>
          <w:i w:val="0"/>
          <w:iCs w:val="0"/>
          <w:lang w:val="fr-FR"/>
        </w:rPr>
        <w:t xml:space="preserve"> les tons plus clairs, la proportion de Parties de la même région dont les données n’y figurent pas.</w:t>
      </w:r>
    </w:p>
    <w:tbl>
      <w:tblPr>
        <w:tblStyle w:val="TableGrid"/>
        <w:tblW w:w="0" w:type="auto"/>
        <w:tblLook w:val="06A0" w:firstRow="1" w:lastRow="0" w:firstColumn="1" w:lastColumn="0" w:noHBand="1" w:noVBand="1"/>
      </w:tblPr>
      <w:tblGrid>
        <w:gridCol w:w="4688"/>
        <w:gridCol w:w="4662"/>
      </w:tblGrid>
      <w:tr w:rsidR="003246FC" w:rsidRPr="003A6336" w14:paraId="1B5AC3D6" w14:textId="77777777" w:rsidTr="009B4355">
        <w:trPr>
          <w:trHeight w:val="20"/>
        </w:trPr>
        <w:tc>
          <w:tcPr>
            <w:tcW w:w="0" w:type="auto"/>
            <w:gridSpan w:val="2"/>
          </w:tcPr>
          <w:p w14:paraId="3E2E9018" w14:textId="77777777" w:rsidR="003246FC" w:rsidRPr="003A6336" w:rsidRDefault="003246FC" w:rsidP="009B4355">
            <w:pPr>
              <w:rPr>
                <w:rFonts w:ascii="Aptos" w:eastAsia="Segoe UI" w:hAnsi="Aptos" w:cs="Segoe UI"/>
                <w:color w:val="0F1115"/>
              </w:rPr>
            </w:pPr>
            <w:r>
              <w:rPr>
                <w:rFonts w:ascii="Aptos" w:eastAsia="Segoe UI" w:hAnsi="Aptos" w:cs="Segoe UI"/>
                <w:color w:val="0F1115"/>
              </w:rPr>
              <w:lastRenderedPageBreak/>
              <w:t>Figure 18</w:t>
            </w:r>
          </w:p>
        </w:tc>
      </w:tr>
      <w:tr w:rsidR="003246FC" w:rsidRPr="003A6336" w14:paraId="0EE113D8" w14:textId="77777777" w:rsidTr="009B4355">
        <w:trPr>
          <w:trHeight w:val="20"/>
        </w:trPr>
        <w:tc>
          <w:tcPr>
            <w:tcW w:w="0" w:type="auto"/>
          </w:tcPr>
          <w:p w14:paraId="0417976D" w14:textId="77777777" w:rsidR="003246FC" w:rsidRPr="003A6336" w:rsidRDefault="003246FC" w:rsidP="009B4355">
            <w:pPr>
              <w:rPr>
                <w:rFonts w:ascii="Aptos" w:hAnsi="Aptos"/>
              </w:rPr>
            </w:pPr>
            <w:r w:rsidRPr="003A6336">
              <w:rPr>
                <w:rFonts w:ascii="Aptos" w:eastAsia="Segoe UI" w:hAnsi="Aptos" w:cs="Segoe UI"/>
                <w:color w:val="0F1115"/>
              </w:rPr>
              <w:t xml:space="preserve">English </w:t>
            </w:r>
          </w:p>
        </w:tc>
        <w:tc>
          <w:tcPr>
            <w:tcW w:w="0" w:type="auto"/>
          </w:tcPr>
          <w:p w14:paraId="1818EA4C" w14:textId="77777777" w:rsidR="003246FC" w:rsidRPr="003A6336" w:rsidRDefault="003246FC" w:rsidP="009B4355">
            <w:pPr>
              <w:rPr>
                <w:rFonts w:ascii="Aptos" w:hAnsi="Aptos"/>
              </w:rPr>
            </w:pPr>
            <w:r>
              <w:rPr>
                <w:rFonts w:ascii="Aptos" w:eastAsia="Segoe UI" w:hAnsi="Aptos" w:cs="Segoe UI"/>
                <w:color w:val="0F1115"/>
              </w:rPr>
              <w:t>Français</w:t>
            </w:r>
          </w:p>
        </w:tc>
      </w:tr>
      <w:tr w:rsidR="003246FC" w:rsidRPr="003A6336" w14:paraId="4A6FFAE9" w14:textId="77777777" w:rsidTr="009B4355">
        <w:trPr>
          <w:trHeight w:val="20"/>
        </w:trPr>
        <w:tc>
          <w:tcPr>
            <w:tcW w:w="0" w:type="auto"/>
          </w:tcPr>
          <w:p w14:paraId="6BC2FBB7"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0" w:type="auto"/>
          </w:tcPr>
          <w:p w14:paraId="323F88CD"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703E20C8" w14:textId="77777777" w:rsidTr="009B4355">
        <w:trPr>
          <w:trHeight w:val="20"/>
        </w:trPr>
        <w:tc>
          <w:tcPr>
            <w:tcW w:w="0" w:type="auto"/>
          </w:tcPr>
          <w:p w14:paraId="44F99FB3" w14:textId="77777777" w:rsidR="003246FC" w:rsidRPr="003A6336" w:rsidRDefault="003246FC" w:rsidP="009B4355">
            <w:pPr>
              <w:rPr>
                <w:rFonts w:ascii="Aptos" w:hAnsi="Aptos"/>
              </w:rPr>
            </w:pPr>
            <w:r w:rsidRPr="003A6336">
              <w:rPr>
                <w:rFonts w:ascii="Aptos" w:eastAsia="Segoe UI" w:hAnsi="Aptos" w:cs="Segoe UI"/>
                <w:color w:val="0F1115"/>
              </w:rPr>
              <w:t>Africa</w:t>
            </w:r>
            <w:r>
              <w:rPr>
                <w:rFonts w:ascii="Aptos" w:eastAsia="Segoe UI" w:hAnsi="Aptos" w:cs="Segoe UI"/>
                <w:color w:val="0F1115"/>
              </w:rPr>
              <w:t>n States</w:t>
            </w:r>
          </w:p>
        </w:tc>
        <w:tc>
          <w:tcPr>
            <w:tcW w:w="0" w:type="auto"/>
          </w:tcPr>
          <w:p w14:paraId="377074D0"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105C5B2B" w14:textId="77777777" w:rsidTr="009B4355">
        <w:trPr>
          <w:trHeight w:val="20"/>
        </w:trPr>
        <w:tc>
          <w:tcPr>
            <w:tcW w:w="0" w:type="auto"/>
          </w:tcPr>
          <w:p w14:paraId="1A7C94F7" w14:textId="77777777" w:rsidR="003246FC" w:rsidRPr="003A6336" w:rsidRDefault="003246FC" w:rsidP="009B4355">
            <w:pPr>
              <w:rPr>
                <w:rFonts w:ascii="Aptos" w:hAnsi="Aptos"/>
              </w:rPr>
            </w:pPr>
            <w:r w:rsidRPr="003A6336">
              <w:rPr>
                <w:rFonts w:ascii="Aptos" w:eastAsia="Segoe UI" w:hAnsi="Aptos" w:cs="Segoe UI"/>
                <w:color w:val="0F1115"/>
              </w:rPr>
              <w:t>Asia</w:t>
            </w:r>
            <w:r>
              <w:rPr>
                <w:rFonts w:ascii="Aptos" w:eastAsia="Segoe UI" w:hAnsi="Aptos" w:cs="Segoe UI"/>
                <w:color w:val="0F1115"/>
              </w:rPr>
              <w:t>-</w:t>
            </w:r>
            <w:r w:rsidRPr="003A6336">
              <w:rPr>
                <w:rFonts w:ascii="Aptos" w:eastAsia="Segoe UI" w:hAnsi="Aptos" w:cs="Segoe UI"/>
                <w:color w:val="0F1115"/>
              </w:rPr>
              <w:t xml:space="preserve"> Pacific</w:t>
            </w:r>
            <w:r>
              <w:rPr>
                <w:rFonts w:ascii="Aptos" w:eastAsia="Segoe UI" w:hAnsi="Aptos" w:cs="Segoe UI"/>
                <w:color w:val="0F1115"/>
              </w:rPr>
              <w:t xml:space="preserve"> States</w:t>
            </w:r>
          </w:p>
        </w:tc>
        <w:tc>
          <w:tcPr>
            <w:tcW w:w="0" w:type="auto"/>
          </w:tcPr>
          <w:p w14:paraId="386B8865"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765A48E8" w14:textId="77777777" w:rsidTr="009B4355">
        <w:trPr>
          <w:trHeight w:val="20"/>
        </w:trPr>
        <w:tc>
          <w:tcPr>
            <w:tcW w:w="0" w:type="auto"/>
          </w:tcPr>
          <w:p w14:paraId="4222373E" w14:textId="77777777" w:rsidR="003246FC" w:rsidRPr="003A6336" w:rsidRDefault="003246FC" w:rsidP="009B4355">
            <w:pPr>
              <w:rPr>
                <w:rFonts w:ascii="Aptos" w:hAnsi="Aptos"/>
              </w:rPr>
            </w:pPr>
            <w:r w:rsidRPr="003A6336">
              <w:rPr>
                <w:rFonts w:ascii="Aptos" w:eastAsia="Segoe UI" w:hAnsi="Aptos" w:cs="Segoe UI"/>
                <w:color w:val="0F1115"/>
              </w:rPr>
              <w:t>Latin America</w:t>
            </w:r>
            <w:r>
              <w:rPr>
                <w:rFonts w:ascii="Aptos" w:eastAsia="Segoe UI" w:hAnsi="Aptos" w:cs="Segoe UI"/>
                <w:color w:val="0F1115"/>
              </w:rPr>
              <w:t>n</w:t>
            </w:r>
            <w:r w:rsidRPr="003A6336">
              <w:rPr>
                <w:rFonts w:ascii="Aptos" w:eastAsia="Segoe UI" w:hAnsi="Aptos" w:cs="Segoe UI"/>
                <w:color w:val="0F1115"/>
              </w:rPr>
              <w:t xml:space="preserve"> and Caribbean</w:t>
            </w:r>
            <w:r>
              <w:rPr>
                <w:rFonts w:ascii="Aptos" w:eastAsia="Segoe UI" w:hAnsi="Aptos" w:cs="Segoe UI"/>
                <w:color w:val="0F1115"/>
              </w:rPr>
              <w:t xml:space="preserve"> States</w:t>
            </w:r>
          </w:p>
        </w:tc>
        <w:tc>
          <w:tcPr>
            <w:tcW w:w="0" w:type="auto"/>
          </w:tcPr>
          <w:p w14:paraId="35AE2F53"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581345F6" w14:textId="77777777" w:rsidTr="009B4355">
        <w:trPr>
          <w:trHeight w:val="20"/>
        </w:trPr>
        <w:tc>
          <w:tcPr>
            <w:tcW w:w="0" w:type="auto"/>
          </w:tcPr>
          <w:p w14:paraId="00ABF09C" w14:textId="77777777" w:rsidR="003246FC" w:rsidRPr="003A6336" w:rsidRDefault="003246FC" w:rsidP="009B4355">
            <w:pPr>
              <w:rPr>
                <w:rFonts w:ascii="Aptos" w:hAnsi="Aptos"/>
              </w:rPr>
            </w:pPr>
            <w:r w:rsidRPr="003A6336">
              <w:rPr>
                <w:rFonts w:ascii="Aptos" w:eastAsia="Segoe UI" w:hAnsi="Aptos" w:cs="Segoe UI"/>
                <w:color w:val="0F1115"/>
              </w:rPr>
              <w:t>Eastern Europe</w:t>
            </w:r>
            <w:r>
              <w:rPr>
                <w:rFonts w:ascii="Aptos" w:eastAsia="Segoe UI" w:hAnsi="Aptos" w:cs="Segoe UI"/>
                <w:color w:val="0F1115"/>
              </w:rPr>
              <w:t>an States</w:t>
            </w:r>
          </w:p>
        </w:tc>
        <w:tc>
          <w:tcPr>
            <w:tcW w:w="0" w:type="auto"/>
          </w:tcPr>
          <w:p w14:paraId="5F3A3BC1"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79C84BBD" w14:textId="77777777" w:rsidTr="009B4355">
        <w:trPr>
          <w:trHeight w:val="20"/>
        </w:trPr>
        <w:tc>
          <w:tcPr>
            <w:tcW w:w="0" w:type="auto"/>
          </w:tcPr>
          <w:p w14:paraId="766FD46B" w14:textId="77777777" w:rsidR="003246FC" w:rsidRPr="003A6336" w:rsidRDefault="003246FC" w:rsidP="009B4355">
            <w:pPr>
              <w:rPr>
                <w:rFonts w:ascii="Aptos" w:hAnsi="Aptos"/>
              </w:rPr>
            </w:pPr>
            <w:r w:rsidRPr="003A6336">
              <w:rPr>
                <w:rFonts w:ascii="Aptos" w:eastAsia="Segoe UI" w:hAnsi="Aptos" w:cs="Segoe UI"/>
                <w:color w:val="0F1115"/>
              </w:rPr>
              <w:t>Western Europe</w:t>
            </w:r>
            <w:r>
              <w:rPr>
                <w:rFonts w:ascii="Aptos" w:eastAsia="Segoe UI" w:hAnsi="Aptos" w:cs="Segoe UI"/>
                <w:color w:val="0F1115"/>
              </w:rPr>
              <w:t>an</w:t>
            </w:r>
            <w:r w:rsidRPr="003A6336">
              <w:rPr>
                <w:rFonts w:ascii="Aptos" w:eastAsia="Segoe UI" w:hAnsi="Aptos" w:cs="Segoe UI"/>
                <w:color w:val="0F1115"/>
              </w:rPr>
              <w:t xml:space="preserve"> and </w:t>
            </w:r>
            <w:r>
              <w:rPr>
                <w:rFonts w:ascii="Aptos" w:eastAsia="Segoe UI" w:hAnsi="Aptos" w:cs="Segoe UI"/>
                <w:color w:val="0F1115"/>
              </w:rPr>
              <w:t>o</w:t>
            </w:r>
            <w:r w:rsidRPr="003A6336">
              <w:rPr>
                <w:rFonts w:ascii="Aptos" w:eastAsia="Segoe UI" w:hAnsi="Aptos" w:cs="Segoe UI"/>
                <w:color w:val="0F1115"/>
              </w:rPr>
              <w:t xml:space="preserve">ther </w:t>
            </w:r>
            <w:r>
              <w:rPr>
                <w:rFonts w:ascii="Aptos" w:eastAsia="Segoe UI" w:hAnsi="Aptos" w:cs="Segoe UI"/>
                <w:color w:val="0F1115"/>
              </w:rPr>
              <w:t>States</w:t>
            </w:r>
          </w:p>
        </w:tc>
        <w:tc>
          <w:tcPr>
            <w:tcW w:w="0" w:type="auto"/>
          </w:tcPr>
          <w:p w14:paraId="3B34F5D9"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3F4E2406" w14:textId="77777777" w:rsidTr="009B4355">
        <w:trPr>
          <w:trHeight w:val="20"/>
        </w:trPr>
        <w:tc>
          <w:tcPr>
            <w:tcW w:w="0" w:type="auto"/>
          </w:tcPr>
          <w:p w14:paraId="140E7D8F" w14:textId="77777777" w:rsidR="003246FC" w:rsidRPr="003A6336" w:rsidRDefault="003246FC" w:rsidP="009B4355">
            <w:pPr>
              <w:rPr>
                <w:rFonts w:ascii="Aptos" w:hAnsi="Aptos"/>
              </w:rPr>
            </w:pPr>
            <w:r w:rsidRPr="003A6336">
              <w:rPr>
                <w:rFonts w:ascii="Aptos" w:eastAsia="Segoe UI" w:hAnsi="Aptos" w:cs="Segoe UI"/>
                <w:color w:val="0F1115"/>
              </w:rPr>
              <w:t>Percentage of national targets</w:t>
            </w:r>
          </w:p>
        </w:tc>
        <w:tc>
          <w:tcPr>
            <w:tcW w:w="0" w:type="auto"/>
          </w:tcPr>
          <w:p w14:paraId="0AF3A002" w14:textId="77777777" w:rsidR="003246FC" w:rsidRPr="003A6336" w:rsidRDefault="003246FC" w:rsidP="009B4355">
            <w:pPr>
              <w:rPr>
                <w:rFonts w:ascii="Aptos" w:hAnsi="Aptos"/>
              </w:rPr>
            </w:pPr>
            <w:r>
              <w:t>Pourcentage de cibles nationales</w:t>
            </w:r>
          </w:p>
        </w:tc>
      </w:tr>
      <w:tr w:rsidR="003246FC" w:rsidRPr="003A6336" w14:paraId="3EEC76F5" w14:textId="77777777" w:rsidTr="009B4355">
        <w:trPr>
          <w:trHeight w:val="20"/>
        </w:trPr>
        <w:tc>
          <w:tcPr>
            <w:tcW w:w="0" w:type="auto"/>
          </w:tcPr>
          <w:p w14:paraId="33C8D5F8" w14:textId="77777777" w:rsidR="003246FC" w:rsidRPr="003A6336" w:rsidRDefault="003246FC" w:rsidP="009B4355">
            <w:pPr>
              <w:rPr>
                <w:rFonts w:ascii="Aptos" w:hAnsi="Aptos"/>
              </w:rPr>
            </w:pPr>
            <w:r w:rsidRPr="003A6336">
              <w:rPr>
                <w:rFonts w:ascii="Aptos" w:eastAsia="Segoe UI" w:hAnsi="Aptos" w:cs="Segoe UI"/>
                <w:color w:val="0F1115"/>
              </w:rPr>
              <w:t>Progress Level</w:t>
            </w:r>
          </w:p>
        </w:tc>
        <w:tc>
          <w:tcPr>
            <w:tcW w:w="0" w:type="auto"/>
          </w:tcPr>
          <w:p w14:paraId="3AC55220" w14:textId="77777777" w:rsidR="003246FC" w:rsidRPr="003A6336" w:rsidRDefault="003246FC" w:rsidP="009B4355">
            <w:pPr>
              <w:rPr>
                <w:rFonts w:ascii="Aptos" w:hAnsi="Aptos"/>
              </w:rPr>
            </w:pPr>
            <w:r w:rsidRPr="006F7AF8">
              <w:rPr>
                <w:rFonts w:ascii="Aptos" w:hAnsi="Aptos"/>
                <w:lang w:val="fr-FR"/>
              </w:rPr>
              <w:t>État d</w:t>
            </w:r>
            <w:r>
              <w:rPr>
                <w:rFonts w:ascii="Aptos" w:hAnsi="Aptos"/>
                <w:lang w:val="fr-FR"/>
              </w:rPr>
              <w:t>’</w:t>
            </w:r>
            <w:r w:rsidRPr="006F7AF8">
              <w:rPr>
                <w:rFonts w:ascii="Aptos" w:hAnsi="Aptos"/>
                <w:lang w:val="fr-FR"/>
              </w:rPr>
              <w:t>avancement</w:t>
            </w:r>
          </w:p>
        </w:tc>
      </w:tr>
      <w:tr w:rsidR="003246FC" w:rsidRPr="003A6336" w14:paraId="04C4B534" w14:textId="77777777" w:rsidTr="009B4355">
        <w:trPr>
          <w:trHeight w:val="20"/>
        </w:trPr>
        <w:tc>
          <w:tcPr>
            <w:tcW w:w="0" w:type="auto"/>
          </w:tcPr>
          <w:p w14:paraId="109C6CF9" w14:textId="77777777" w:rsidR="003246FC" w:rsidRPr="003A6336" w:rsidRDefault="003246FC" w:rsidP="009B4355">
            <w:pPr>
              <w:rPr>
                <w:rFonts w:ascii="Aptos" w:hAnsi="Aptos"/>
              </w:rPr>
            </w:pPr>
            <w:r w:rsidRPr="003A6336">
              <w:rPr>
                <w:rFonts w:ascii="Aptos" w:eastAsia="Segoe UI" w:hAnsi="Aptos" w:cs="Segoe UI"/>
                <w:color w:val="0F1115"/>
              </w:rPr>
              <w:t>Achieved</w:t>
            </w:r>
          </w:p>
        </w:tc>
        <w:tc>
          <w:tcPr>
            <w:tcW w:w="0" w:type="auto"/>
          </w:tcPr>
          <w:p w14:paraId="5C0D495F" w14:textId="77777777" w:rsidR="003246FC" w:rsidRPr="003A6336" w:rsidRDefault="003246FC" w:rsidP="009B4355">
            <w:pPr>
              <w:rPr>
                <w:rFonts w:ascii="Aptos" w:hAnsi="Aptos"/>
              </w:rPr>
            </w:pPr>
            <w:r>
              <w:t>Cible atteinte</w:t>
            </w:r>
          </w:p>
        </w:tc>
      </w:tr>
      <w:tr w:rsidR="003246FC" w:rsidRPr="003A6336" w14:paraId="3C68AA50" w14:textId="77777777" w:rsidTr="009B4355">
        <w:trPr>
          <w:trHeight w:val="20"/>
        </w:trPr>
        <w:tc>
          <w:tcPr>
            <w:tcW w:w="0" w:type="auto"/>
          </w:tcPr>
          <w:p w14:paraId="096850C1" w14:textId="77777777" w:rsidR="003246FC" w:rsidRPr="003A6336" w:rsidRDefault="003246FC" w:rsidP="009B4355">
            <w:pPr>
              <w:rPr>
                <w:rFonts w:ascii="Aptos" w:hAnsi="Aptos"/>
              </w:rPr>
            </w:pPr>
            <w:r w:rsidRPr="003A6336">
              <w:rPr>
                <w:rFonts w:ascii="Aptos" w:eastAsia="Segoe UI" w:hAnsi="Aptos" w:cs="Segoe UI"/>
                <w:color w:val="0F1115"/>
              </w:rPr>
              <w:t>On track to achieve target</w:t>
            </w:r>
          </w:p>
        </w:tc>
        <w:tc>
          <w:tcPr>
            <w:tcW w:w="0" w:type="auto"/>
          </w:tcPr>
          <w:p w14:paraId="01EEACD2" w14:textId="77777777" w:rsidR="003246FC" w:rsidRPr="003A6336" w:rsidRDefault="003246FC" w:rsidP="009B4355">
            <w:pPr>
              <w:rPr>
                <w:rFonts w:ascii="Aptos" w:hAnsi="Aptos"/>
              </w:rPr>
            </w:pPr>
            <w:r>
              <w:t>En voie d’atteindre la cible</w:t>
            </w:r>
          </w:p>
        </w:tc>
      </w:tr>
      <w:tr w:rsidR="003246FC" w:rsidRPr="003A6336" w14:paraId="316AC19F" w14:textId="77777777" w:rsidTr="009B4355">
        <w:trPr>
          <w:trHeight w:val="20"/>
        </w:trPr>
        <w:tc>
          <w:tcPr>
            <w:tcW w:w="0" w:type="auto"/>
          </w:tcPr>
          <w:p w14:paraId="165A977C" w14:textId="77777777" w:rsidR="003246FC" w:rsidRPr="003A6336" w:rsidRDefault="003246FC" w:rsidP="009B4355">
            <w:pPr>
              <w:rPr>
                <w:rFonts w:ascii="Aptos" w:hAnsi="Aptos"/>
              </w:rPr>
            </w:pPr>
            <w:r w:rsidRPr="003A6336">
              <w:rPr>
                <w:rFonts w:ascii="Aptos" w:eastAsia="Segoe UI" w:hAnsi="Aptos" w:cs="Segoe UI"/>
                <w:color w:val="0F1115"/>
              </w:rPr>
              <w:t>Progress towards target but at an insufficient rate</w:t>
            </w:r>
          </w:p>
        </w:tc>
        <w:tc>
          <w:tcPr>
            <w:tcW w:w="0" w:type="auto"/>
          </w:tcPr>
          <w:p w14:paraId="2C72210D" w14:textId="77777777" w:rsidR="003246FC" w:rsidRPr="003A6336" w:rsidRDefault="003246FC" w:rsidP="009B4355">
            <w:pPr>
              <w:rPr>
                <w:rFonts w:ascii="Aptos" w:hAnsi="Aptos"/>
              </w:rPr>
            </w:pPr>
            <w:r>
              <w:t>Progrès accomplis, mais à un rythme insuffisant</w:t>
            </w:r>
          </w:p>
        </w:tc>
      </w:tr>
      <w:tr w:rsidR="003246FC" w:rsidRPr="003A6336" w14:paraId="3ED275EB" w14:textId="77777777" w:rsidTr="009B4355">
        <w:trPr>
          <w:trHeight w:val="20"/>
        </w:trPr>
        <w:tc>
          <w:tcPr>
            <w:tcW w:w="0" w:type="auto"/>
          </w:tcPr>
          <w:p w14:paraId="6792B8B1" w14:textId="77777777" w:rsidR="003246FC" w:rsidRPr="003A6336" w:rsidRDefault="003246FC" w:rsidP="009B4355">
            <w:pPr>
              <w:rPr>
                <w:rFonts w:ascii="Aptos" w:hAnsi="Aptos"/>
              </w:rPr>
            </w:pPr>
            <w:r w:rsidRPr="003A6336">
              <w:rPr>
                <w:rFonts w:ascii="Aptos" w:eastAsia="Segoe UI" w:hAnsi="Aptos" w:cs="Segoe UI"/>
                <w:color w:val="0F1115"/>
              </w:rPr>
              <w:t>No significant change</w:t>
            </w:r>
          </w:p>
        </w:tc>
        <w:tc>
          <w:tcPr>
            <w:tcW w:w="0" w:type="auto"/>
          </w:tcPr>
          <w:p w14:paraId="02C44688" w14:textId="77777777" w:rsidR="003246FC" w:rsidRPr="003A6336" w:rsidRDefault="003246FC" w:rsidP="009B4355">
            <w:pPr>
              <w:rPr>
                <w:rFonts w:ascii="Aptos" w:hAnsi="Aptos"/>
              </w:rPr>
            </w:pPr>
            <w:r>
              <w:t>Pas de changement notable</w:t>
            </w:r>
          </w:p>
        </w:tc>
      </w:tr>
      <w:tr w:rsidR="003246FC" w:rsidRPr="003A6336" w14:paraId="47B09F3C" w14:textId="77777777" w:rsidTr="009B4355">
        <w:trPr>
          <w:trHeight w:val="20"/>
        </w:trPr>
        <w:tc>
          <w:tcPr>
            <w:tcW w:w="0" w:type="auto"/>
          </w:tcPr>
          <w:p w14:paraId="2B02A027" w14:textId="77777777" w:rsidR="003246FC" w:rsidRPr="003A6336" w:rsidRDefault="003246FC" w:rsidP="009B4355">
            <w:pPr>
              <w:rPr>
                <w:rFonts w:ascii="Aptos" w:hAnsi="Aptos"/>
              </w:rPr>
            </w:pPr>
            <w:r w:rsidRPr="003A6336">
              <w:rPr>
                <w:rFonts w:ascii="Aptos" w:eastAsia="Segoe UI" w:hAnsi="Aptos" w:cs="Segoe UI"/>
                <w:color w:val="0F1115"/>
              </w:rPr>
              <w:t>Unknown</w:t>
            </w:r>
          </w:p>
        </w:tc>
        <w:tc>
          <w:tcPr>
            <w:tcW w:w="0" w:type="auto"/>
          </w:tcPr>
          <w:p w14:paraId="1EC6B23D" w14:textId="77777777" w:rsidR="003246FC" w:rsidRPr="003A6336" w:rsidRDefault="003246FC" w:rsidP="009B4355">
            <w:pPr>
              <w:rPr>
                <w:rFonts w:ascii="Aptos" w:hAnsi="Aptos"/>
              </w:rPr>
            </w:pPr>
            <w:r>
              <w:t>Inconnu</w:t>
            </w:r>
          </w:p>
        </w:tc>
      </w:tr>
      <w:tr w:rsidR="003246FC" w:rsidRPr="003A6336" w14:paraId="35FFDBE1" w14:textId="77777777" w:rsidTr="009B4355">
        <w:trPr>
          <w:trHeight w:val="20"/>
        </w:trPr>
        <w:tc>
          <w:tcPr>
            <w:tcW w:w="0" w:type="auto"/>
          </w:tcPr>
          <w:p w14:paraId="5DD988CD" w14:textId="77777777" w:rsidR="003246FC" w:rsidRPr="003A6336" w:rsidRDefault="003246FC" w:rsidP="009B4355">
            <w:pPr>
              <w:rPr>
                <w:rFonts w:ascii="Aptos" w:hAnsi="Aptos"/>
              </w:rPr>
            </w:pPr>
            <w:r w:rsidRPr="003A6336">
              <w:rPr>
                <w:rFonts w:ascii="Aptos" w:eastAsia="Segoe UI" w:hAnsi="Aptos" w:cs="Segoe UI"/>
                <w:color w:val="0F1115"/>
              </w:rPr>
              <w:t>Party count: 103</w:t>
            </w:r>
          </w:p>
        </w:tc>
        <w:tc>
          <w:tcPr>
            <w:tcW w:w="0" w:type="auto"/>
          </w:tcPr>
          <w:p w14:paraId="7D620FAA" w14:textId="77777777" w:rsidR="003246FC" w:rsidRPr="003A6336" w:rsidRDefault="003246FC" w:rsidP="009B4355">
            <w:pPr>
              <w:rPr>
                <w:rFonts w:ascii="Aptos" w:hAnsi="Aptos"/>
              </w:rPr>
            </w:pPr>
            <w:r>
              <w:rPr>
                <w:rFonts w:ascii="Aptos" w:hAnsi="Aptos"/>
              </w:rPr>
              <w:t>Nombre de Parties : 103</w:t>
            </w:r>
          </w:p>
        </w:tc>
      </w:tr>
    </w:tbl>
    <w:p w14:paraId="284BC2B9" w14:textId="77777777" w:rsidR="00E576B8" w:rsidRPr="00653BF4" w:rsidRDefault="00E576B8" w:rsidP="006C0F01">
      <w:pPr>
        <w:rPr>
          <w:lang w:val="fr-FR"/>
        </w:rPr>
      </w:pPr>
    </w:p>
    <w:p w14:paraId="7774212B" w14:textId="2C561D6D" w:rsidR="006C0F01" w:rsidRPr="00653BF4" w:rsidRDefault="00B43BEA" w:rsidP="006C0F01">
      <w:pPr>
        <w:pStyle w:val="Heading5"/>
        <w:rPr>
          <w:lang w:val="fr-FR"/>
        </w:rPr>
      </w:pPr>
      <w:r w:rsidRPr="00653BF4">
        <w:rPr>
          <w:lang w:val="fr-FR"/>
        </w:rPr>
        <w:t>Actions, réussites et difficultés dans la mise en œuvre</w:t>
      </w:r>
    </w:p>
    <w:p w14:paraId="2BBB9B19" w14:textId="77777777" w:rsidR="00026D18" w:rsidRPr="00653BF4" w:rsidRDefault="00026D18" w:rsidP="00026D18">
      <w:pPr>
        <w:rPr>
          <w:lang w:val="fr-FR"/>
        </w:rPr>
      </w:pPr>
    </w:p>
    <w:p w14:paraId="757155BB" w14:textId="3B286111" w:rsidR="006C0F01" w:rsidRPr="00653BF4" w:rsidRDefault="00B43BEA" w:rsidP="006C0F01">
      <w:pPr>
        <w:pStyle w:val="Heading6"/>
        <w:rPr>
          <w:lang w:val="fr-FR"/>
        </w:rPr>
      </w:pPr>
      <w:bookmarkStart w:id="112" w:name="_Toc235821082"/>
      <w:r w:rsidRPr="00653BF4">
        <w:rPr>
          <w:lang w:val="fr-FR"/>
        </w:rPr>
        <w:t xml:space="preserve">Résumé des actions menées à l’appui de la </w:t>
      </w:r>
      <w:r w:rsidR="00E34DC9">
        <w:rPr>
          <w:lang w:val="fr-FR"/>
        </w:rPr>
        <w:t>cible 3</w:t>
      </w:r>
      <w:bookmarkEnd w:id="112"/>
      <w:r w:rsidR="00A04A94" w:rsidRPr="00653BF4">
        <w:rPr>
          <w:lang w:val="fr-FR"/>
        </w:rPr>
        <w:t xml:space="preserve"> </w:t>
      </w:r>
      <w:r w:rsidR="00272FFA" w:rsidRPr="00653BF4">
        <w:rPr>
          <w:lang w:val="fr-FR"/>
        </w:rPr>
        <w:t>du Cadre</w:t>
      </w:r>
    </w:p>
    <w:p w14:paraId="20895389" w14:textId="77777777" w:rsidR="00026D18" w:rsidRPr="00653BF4" w:rsidRDefault="00026D18" w:rsidP="00026D18">
      <w:pPr>
        <w:rPr>
          <w:lang w:val="fr-FR"/>
        </w:rPr>
      </w:pPr>
    </w:p>
    <w:p w14:paraId="3DE9ECEE" w14:textId="5F331592" w:rsidR="00474949" w:rsidRPr="00653BF4" w:rsidRDefault="00F5384E" w:rsidP="00474949">
      <w:pPr>
        <w:rPr>
          <w:lang w:val="fr-FR"/>
        </w:rPr>
      </w:pPr>
      <w:r w:rsidRPr="00653BF4">
        <w:rPr>
          <w:lang w:val="fr-FR"/>
        </w:rPr>
        <w:t>La quasi-totalité des Parties font état de mesures destinées à créer de nouvelles zones protégées, à étendre les réseaux existants ou à identifier des OECM. Au moins 40 Parties signalent des processus en cours concernant les OECM, allant de l</w:t>
      </w:r>
      <w:r w:rsidR="002A58C8" w:rsidRPr="00653BF4">
        <w:rPr>
          <w:lang w:val="fr-FR"/>
        </w:rPr>
        <w:t>’</w:t>
      </w:r>
      <w:r w:rsidRPr="00653BF4">
        <w:rPr>
          <w:lang w:val="fr-FR"/>
        </w:rPr>
        <w:t>élaboration d</w:t>
      </w:r>
      <w:r w:rsidR="002A58C8" w:rsidRPr="00653BF4">
        <w:rPr>
          <w:lang w:val="fr-FR"/>
        </w:rPr>
        <w:t>’</w:t>
      </w:r>
      <w:r w:rsidRPr="00653BF4">
        <w:rPr>
          <w:lang w:val="fr-FR"/>
        </w:rPr>
        <w:t>un cadre permettant de les reconnaître jusqu</w:t>
      </w:r>
      <w:r w:rsidR="002A58C8" w:rsidRPr="00653BF4">
        <w:rPr>
          <w:lang w:val="fr-FR"/>
        </w:rPr>
        <w:t>’</w:t>
      </w:r>
      <w:r w:rsidRPr="00653BF4">
        <w:rPr>
          <w:lang w:val="fr-FR"/>
        </w:rPr>
        <w:t>à leur création officielle et à la communication de rapports au WDPCA. De nombreuses Parties font état de l</w:t>
      </w:r>
      <w:r w:rsidR="002A58C8" w:rsidRPr="00653BF4">
        <w:rPr>
          <w:lang w:val="fr-FR"/>
        </w:rPr>
        <w:t>’</w:t>
      </w:r>
      <w:r w:rsidRPr="00653BF4">
        <w:rPr>
          <w:lang w:val="fr-FR"/>
        </w:rPr>
        <w:t>utilisation de divers outils, certains élaborés à l</w:t>
      </w:r>
      <w:r w:rsidR="002A58C8" w:rsidRPr="00653BF4">
        <w:rPr>
          <w:lang w:val="fr-FR"/>
        </w:rPr>
        <w:t>’</w:t>
      </w:r>
      <w:r w:rsidRPr="00653BF4">
        <w:rPr>
          <w:lang w:val="fr-FR"/>
        </w:rPr>
        <w:t>échelle mondiale et d</w:t>
      </w:r>
      <w:r w:rsidR="002A58C8" w:rsidRPr="00653BF4">
        <w:rPr>
          <w:lang w:val="fr-FR"/>
        </w:rPr>
        <w:t>’</w:t>
      </w:r>
      <w:r w:rsidRPr="00653BF4">
        <w:rPr>
          <w:lang w:val="fr-FR"/>
        </w:rPr>
        <w:t>autres au niveau national, pour évaluer l</w:t>
      </w:r>
      <w:r w:rsidR="002A58C8" w:rsidRPr="00653BF4">
        <w:rPr>
          <w:lang w:val="fr-FR"/>
        </w:rPr>
        <w:t>’</w:t>
      </w:r>
      <w:r w:rsidRPr="00653BF4">
        <w:rPr>
          <w:lang w:val="fr-FR"/>
        </w:rPr>
        <w:t>efficacité de la gestion des zones protégées et de la conservation</w:t>
      </w:r>
      <w:r w:rsidR="00FB256E" w:rsidRPr="00653BF4">
        <w:rPr>
          <w:rStyle w:val="FootnoteReference"/>
          <w:lang w:val="fr-FR"/>
        </w:rPr>
        <w:footnoteReference w:id="18"/>
      </w:r>
      <w:r w:rsidRPr="00653BF4">
        <w:rPr>
          <w:lang w:val="fr-FR"/>
        </w:rPr>
        <w:t>.</w:t>
      </w:r>
      <w:r w:rsidR="00C26F18" w:rsidRPr="00653BF4">
        <w:rPr>
          <w:lang w:val="fr-FR"/>
        </w:rPr>
        <w:t xml:space="preserve"> </w:t>
      </w:r>
      <w:r w:rsidR="00E1661B" w:rsidRPr="00653BF4">
        <w:rPr>
          <w:lang w:val="fr-FR"/>
        </w:rPr>
        <w:t>La conservation communautaire et la cogestion des zones protégées sont fréquemment mentionnées, en particulier parmi les pays en développement et les petits États insulaires en développement. De nombreuses Parties font état d</w:t>
      </w:r>
      <w:r w:rsidR="002A58C8" w:rsidRPr="00653BF4">
        <w:rPr>
          <w:lang w:val="fr-FR"/>
        </w:rPr>
        <w:t>’</w:t>
      </w:r>
      <w:r w:rsidR="00E1661B" w:rsidRPr="00653BF4">
        <w:rPr>
          <w:lang w:val="fr-FR"/>
        </w:rPr>
        <w:t>activités de suivi des espèces et des écosystèmes visant à fournir un appui à la gestion des zones protégées existantes et à identifier de nouvelles zones susceptibles d</w:t>
      </w:r>
      <w:r w:rsidR="002A58C8" w:rsidRPr="00653BF4">
        <w:rPr>
          <w:lang w:val="fr-FR"/>
        </w:rPr>
        <w:t>’</w:t>
      </w:r>
      <w:r w:rsidR="00E1661B" w:rsidRPr="00653BF4">
        <w:rPr>
          <w:lang w:val="fr-FR"/>
        </w:rPr>
        <w:t>être protégées. Bien que les mesures économiques et financières constituent la catégorie l</w:t>
      </w:r>
      <w:r w:rsidR="00FF53FD" w:rsidRPr="00653BF4">
        <w:rPr>
          <w:lang w:val="fr-FR"/>
        </w:rPr>
        <w:t>a</w:t>
      </w:r>
      <w:r w:rsidR="00E1661B" w:rsidRPr="00653BF4">
        <w:rPr>
          <w:lang w:val="fr-FR"/>
        </w:rPr>
        <w:t xml:space="preserve"> moins souvent mentionnée en </w:t>
      </w:r>
      <w:r w:rsidR="00E1661B" w:rsidRPr="00653BF4">
        <w:rPr>
          <w:lang w:val="fr-FR"/>
        </w:rPr>
        <w:lastRenderedPageBreak/>
        <w:t xml:space="preserve">rapport avec la </w:t>
      </w:r>
      <w:r w:rsidR="00E34DC9">
        <w:rPr>
          <w:lang w:val="fr-FR"/>
        </w:rPr>
        <w:t>cible 3</w:t>
      </w:r>
      <w:r w:rsidR="00E1661B" w:rsidRPr="00653BF4">
        <w:rPr>
          <w:lang w:val="fr-FR"/>
        </w:rPr>
        <w:t>, on peut citer, à titre d</w:t>
      </w:r>
      <w:r w:rsidR="002A58C8" w:rsidRPr="00653BF4">
        <w:rPr>
          <w:lang w:val="fr-FR"/>
        </w:rPr>
        <w:t>’</w:t>
      </w:r>
      <w:r w:rsidR="00E1661B" w:rsidRPr="00653BF4">
        <w:rPr>
          <w:lang w:val="fr-FR"/>
        </w:rPr>
        <w:t>exemples, les fonds de dotation dédiés, la conversion de dettes en investissements écologiques, le paiement des services écosystémiques, la rémunération de citoyens pour qu</w:t>
      </w:r>
      <w:r w:rsidR="002A58C8" w:rsidRPr="00653BF4">
        <w:rPr>
          <w:lang w:val="fr-FR"/>
        </w:rPr>
        <w:t>’</w:t>
      </w:r>
      <w:r w:rsidR="00E1661B" w:rsidRPr="00653BF4">
        <w:rPr>
          <w:lang w:val="fr-FR"/>
        </w:rPr>
        <w:t>ils agissent en tant que gardes écologiques, ainsi que le partage des recettes issues des droits d</w:t>
      </w:r>
      <w:r w:rsidR="002A58C8" w:rsidRPr="00653BF4">
        <w:rPr>
          <w:lang w:val="fr-FR"/>
        </w:rPr>
        <w:t>’</w:t>
      </w:r>
      <w:r w:rsidR="00E1661B" w:rsidRPr="00653BF4">
        <w:rPr>
          <w:lang w:val="fr-FR"/>
        </w:rPr>
        <w:t xml:space="preserve">entrée dans les parcs et du tourisme (voir </w:t>
      </w:r>
      <w:r w:rsidR="00BD6958">
        <w:rPr>
          <w:lang w:val="fr-FR"/>
        </w:rPr>
        <w:t xml:space="preserve">les </w:t>
      </w:r>
      <w:r w:rsidR="00E1661B" w:rsidRPr="00653BF4">
        <w:rPr>
          <w:lang w:val="fr-FR"/>
        </w:rPr>
        <w:t>encadrés 13 et 14).</w:t>
      </w:r>
    </w:p>
    <w:p w14:paraId="17F2D36F" w14:textId="77777777" w:rsidR="006C0F01" w:rsidRPr="00653BF4" w:rsidRDefault="006C0F01" w:rsidP="006C0F01">
      <w:pPr>
        <w:rPr>
          <w:lang w:val="fr-FR"/>
        </w:rPr>
      </w:pPr>
    </w:p>
    <w:p w14:paraId="59A5FD66" w14:textId="16A9E539" w:rsidR="006C0F01" w:rsidRPr="00653BF4" w:rsidRDefault="00EF7133" w:rsidP="006C0F01">
      <w:pPr>
        <w:pStyle w:val="Heading6"/>
        <w:rPr>
          <w:lang w:val="fr-FR"/>
        </w:rPr>
      </w:pPr>
      <w:r w:rsidRPr="00653BF4">
        <w:rPr>
          <w:lang w:val="fr-FR"/>
        </w:rPr>
        <w:t xml:space="preserve">Exemples de réussites et de progrès réalisées dans la mise en œuvre </w:t>
      </w:r>
    </w:p>
    <w:p w14:paraId="2ECF32F6" w14:textId="77777777" w:rsidR="006831DD" w:rsidRPr="00653BF4" w:rsidRDefault="006831DD" w:rsidP="006831DD">
      <w:pPr>
        <w:rPr>
          <w:lang w:val="fr-FR"/>
        </w:rPr>
      </w:pPr>
    </w:p>
    <w:p w14:paraId="36B59189" w14:textId="6523FA6B" w:rsidR="00307842" w:rsidRPr="00653BF4" w:rsidRDefault="00307842" w:rsidP="00866D95">
      <w:pPr>
        <w:pStyle w:val="Caption"/>
        <w:rPr>
          <w:b/>
          <w:i w:val="0"/>
          <w:lang w:val="fr-FR"/>
        </w:rPr>
      </w:pPr>
    </w:p>
    <w:tbl>
      <w:tblPr>
        <w:tblStyle w:val="TableGrid"/>
        <w:tblW w:w="0" w:type="auto"/>
        <w:tblLook w:val="04A0" w:firstRow="1" w:lastRow="0" w:firstColumn="1" w:lastColumn="0" w:noHBand="0" w:noVBand="1"/>
      </w:tblPr>
      <w:tblGrid>
        <w:gridCol w:w="9350"/>
      </w:tblGrid>
      <w:tr w:rsidR="00600B0B" w:rsidRPr="00543148" w14:paraId="505526FC" w14:textId="77777777" w:rsidTr="000323E4">
        <w:tc>
          <w:tcPr>
            <w:tcW w:w="11902" w:type="dxa"/>
            <w:shd w:val="clear" w:color="auto" w:fill="D1D1D1" w:themeFill="background2" w:themeFillShade="E6"/>
          </w:tcPr>
          <w:p w14:paraId="304AD30F" w14:textId="741F9A51" w:rsidR="003742D8" w:rsidRPr="00653BF4" w:rsidRDefault="00E1661B" w:rsidP="003742D8">
            <w:pPr>
              <w:pStyle w:val="Caption"/>
              <w:rPr>
                <w:i w:val="0"/>
                <w:iCs w:val="0"/>
                <w:sz w:val="20"/>
                <w:szCs w:val="20"/>
                <w:lang w:val="fr-FR"/>
              </w:rPr>
            </w:pPr>
            <w:bookmarkStart w:id="113" w:name="_Ref235160605"/>
            <w:r w:rsidRPr="00653BF4">
              <w:rPr>
                <w:i w:val="0"/>
                <w:sz w:val="20"/>
                <w:szCs w:val="20"/>
                <w:lang w:val="fr-FR"/>
              </w:rPr>
              <w:t>Encadré</w:t>
            </w:r>
            <w:r w:rsidR="003742D8" w:rsidRPr="00653BF4">
              <w:rPr>
                <w:i w:val="0"/>
                <w:sz w:val="20"/>
                <w:szCs w:val="20"/>
                <w:lang w:val="fr-FR"/>
              </w:rPr>
              <w:t xml:space="preserve"> </w:t>
            </w:r>
            <w:r w:rsidR="008306DF" w:rsidRPr="00653BF4">
              <w:rPr>
                <w:i w:val="0"/>
                <w:noProof/>
                <w:sz w:val="20"/>
                <w:szCs w:val="20"/>
                <w:lang w:val="fr-FR"/>
              </w:rPr>
              <w:t>13</w:t>
            </w:r>
            <w:bookmarkEnd w:id="113"/>
          </w:p>
          <w:p w14:paraId="05811B01" w14:textId="300EC15B" w:rsidR="00600B0B" w:rsidRPr="00653BF4" w:rsidRDefault="00ED005C" w:rsidP="00600B0B">
            <w:pPr>
              <w:rPr>
                <w:b/>
                <w:sz w:val="20"/>
                <w:szCs w:val="20"/>
                <w:lang w:val="fr-FR"/>
              </w:rPr>
            </w:pPr>
            <w:r w:rsidRPr="00653BF4">
              <w:rPr>
                <w:b/>
                <w:sz w:val="20"/>
                <w:szCs w:val="20"/>
                <w:lang w:val="fr-FR"/>
              </w:rPr>
              <w:t xml:space="preserve">Cadre juridique unifié et gouvernance </w:t>
            </w:r>
            <w:r w:rsidR="00E34DC9">
              <w:rPr>
                <w:b/>
                <w:sz w:val="20"/>
                <w:szCs w:val="20"/>
                <w:lang w:val="fr-FR"/>
              </w:rPr>
              <w:t>« </w:t>
            </w:r>
            <w:r w:rsidRPr="00653BF4">
              <w:rPr>
                <w:b/>
                <w:sz w:val="20"/>
                <w:szCs w:val="20"/>
                <w:lang w:val="fr-FR"/>
              </w:rPr>
              <w:t>de</w:t>
            </w:r>
            <w:r w:rsidR="00523637" w:rsidRPr="00653BF4">
              <w:rPr>
                <w:b/>
                <w:sz w:val="20"/>
                <w:szCs w:val="20"/>
                <w:lang w:val="fr-FR"/>
              </w:rPr>
              <w:t>s</w:t>
            </w:r>
            <w:r w:rsidRPr="00653BF4">
              <w:rPr>
                <w:b/>
                <w:sz w:val="20"/>
                <w:szCs w:val="20"/>
                <w:lang w:val="fr-FR"/>
              </w:rPr>
              <w:t xml:space="preserve"> crête</w:t>
            </w:r>
            <w:r w:rsidR="00523637" w:rsidRPr="00653BF4">
              <w:rPr>
                <w:b/>
                <w:sz w:val="20"/>
                <w:szCs w:val="20"/>
                <w:lang w:val="fr-FR"/>
              </w:rPr>
              <w:t>s</w:t>
            </w:r>
            <w:r w:rsidRPr="00653BF4">
              <w:rPr>
                <w:b/>
                <w:sz w:val="20"/>
                <w:szCs w:val="20"/>
                <w:lang w:val="fr-FR"/>
              </w:rPr>
              <w:t xml:space="preserve"> au</w:t>
            </w:r>
            <w:r w:rsidR="00523637" w:rsidRPr="00653BF4">
              <w:rPr>
                <w:b/>
                <w:sz w:val="20"/>
                <w:szCs w:val="20"/>
                <w:lang w:val="fr-FR"/>
              </w:rPr>
              <w:t>x</w:t>
            </w:r>
            <w:r w:rsidRPr="00653BF4">
              <w:rPr>
                <w:b/>
                <w:sz w:val="20"/>
                <w:szCs w:val="20"/>
                <w:lang w:val="fr-FR"/>
              </w:rPr>
              <w:t xml:space="preserve"> récif</w:t>
            </w:r>
            <w:r w:rsidR="00523637" w:rsidRPr="00653BF4">
              <w:rPr>
                <w:b/>
                <w:sz w:val="20"/>
                <w:szCs w:val="20"/>
                <w:lang w:val="fr-FR"/>
              </w:rPr>
              <w:t>s</w:t>
            </w:r>
            <w:r w:rsidR="00E34DC9">
              <w:rPr>
                <w:b/>
                <w:sz w:val="20"/>
                <w:szCs w:val="20"/>
                <w:lang w:val="fr-FR"/>
              </w:rPr>
              <w:t> »</w:t>
            </w:r>
            <w:r w:rsidRPr="00653BF4">
              <w:rPr>
                <w:b/>
                <w:sz w:val="20"/>
                <w:szCs w:val="20"/>
                <w:lang w:val="fr-FR"/>
              </w:rPr>
              <w:t xml:space="preserve"> aux Seychelles</w:t>
            </w:r>
            <w:r w:rsidR="00E34DC9">
              <w:rPr>
                <w:b/>
                <w:sz w:val="20"/>
                <w:szCs w:val="20"/>
                <w:lang w:val="fr-FR"/>
              </w:rPr>
              <w:t> :</w:t>
            </w:r>
            <w:r w:rsidRPr="00653BF4">
              <w:rPr>
                <w:b/>
                <w:sz w:val="20"/>
                <w:szCs w:val="20"/>
                <w:lang w:val="fr-FR"/>
              </w:rPr>
              <w:t xml:space="preserve"> dépasser les cibles </w:t>
            </w:r>
            <w:r w:rsidR="00E34DC9">
              <w:rPr>
                <w:b/>
                <w:sz w:val="20"/>
                <w:szCs w:val="20"/>
                <w:lang w:val="fr-FR"/>
              </w:rPr>
              <w:t>« </w:t>
            </w:r>
            <w:r w:rsidRPr="00653BF4">
              <w:rPr>
                <w:b/>
                <w:sz w:val="20"/>
                <w:szCs w:val="20"/>
                <w:lang w:val="fr-FR"/>
              </w:rPr>
              <w:t>30</w:t>
            </w:r>
            <w:r w:rsidR="00721BD5" w:rsidRPr="00653BF4">
              <w:rPr>
                <w:b/>
                <w:sz w:val="20"/>
                <w:szCs w:val="20"/>
                <w:lang w:val="fr-FR"/>
              </w:rPr>
              <w:t>x</w:t>
            </w:r>
            <w:r w:rsidRPr="00653BF4">
              <w:rPr>
                <w:b/>
                <w:sz w:val="20"/>
                <w:szCs w:val="20"/>
                <w:lang w:val="fr-FR"/>
              </w:rPr>
              <w:t>30</w:t>
            </w:r>
            <w:r w:rsidR="00E34DC9">
              <w:rPr>
                <w:b/>
                <w:sz w:val="20"/>
                <w:szCs w:val="20"/>
                <w:lang w:val="fr-FR"/>
              </w:rPr>
              <w:t> »</w:t>
            </w:r>
            <w:r w:rsidR="004A3F37" w:rsidRPr="00653BF4">
              <w:rPr>
                <w:b/>
                <w:sz w:val="20"/>
                <w:szCs w:val="20"/>
                <w:lang w:val="fr-FR"/>
              </w:rPr>
              <w:t xml:space="preserve">, un </w:t>
            </w:r>
            <w:r w:rsidRPr="00653BF4">
              <w:rPr>
                <w:b/>
                <w:sz w:val="20"/>
                <w:szCs w:val="20"/>
                <w:lang w:val="fr-FR"/>
              </w:rPr>
              <w:t>modèle pour les petits États insulaires en développement</w:t>
            </w:r>
          </w:p>
          <w:p w14:paraId="568DD546" w14:textId="77777777" w:rsidR="003742D8" w:rsidRPr="00653BF4" w:rsidRDefault="003742D8" w:rsidP="003742D8">
            <w:pPr>
              <w:rPr>
                <w:i/>
                <w:iCs/>
                <w:sz w:val="22"/>
                <w:szCs w:val="22"/>
                <w:lang w:val="fr-FR"/>
              </w:rPr>
            </w:pPr>
          </w:p>
          <w:p w14:paraId="694C41CE" w14:textId="7DDF058A" w:rsidR="007C2EF2" w:rsidRPr="00653BF4" w:rsidRDefault="00143C2B" w:rsidP="007C2EF2">
            <w:pPr>
              <w:pStyle w:val="wordsection1"/>
              <w:spacing w:before="0" w:beforeAutospacing="0" w:after="0" w:afterAutospacing="0"/>
              <w:rPr>
                <w:rFonts w:ascii="Aptos" w:hAnsi="Aptos"/>
                <w:sz w:val="20"/>
                <w:szCs w:val="20"/>
                <w:lang w:val="fr-FR"/>
              </w:rPr>
            </w:pPr>
            <w:r w:rsidRPr="00653BF4">
              <w:rPr>
                <w:rFonts w:ascii="Aptos" w:hAnsi="Aptos"/>
                <w:sz w:val="20"/>
                <w:szCs w:val="20"/>
                <w:lang w:val="fr-FR"/>
              </w:rPr>
              <w:t xml:space="preserve">Les Seychelles ont montré comment un petit État insulaire en développement pouvait renforcer la conservation de la biodiversité grâce à une gouvernance intégrée, à une réforme législative et à un aménagement du territoire fondé sur les écosystèmes. Le pays a adopté une approche globale </w:t>
            </w:r>
            <w:r w:rsidR="00E34DC9">
              <w:rPr>
                <w:rFonts w:ascii="Aptos" w:hAnsi="Aptos"/>
                <w:sz w:val="20"/>
                <w:szCs w:val="20"/>
                <w:lang w:val="fr-FR"/>
              </w:rPr>
              <w:t>« </w:t>
            </w:r>
            <w:r w:rsidRPr="00653BF4">
              <w:rPr>
                <w:rFonts w:ascii="Aptos" w:hAnsi="Aptos"/>
                <w:sz w:val="20"/>
                <w:szCs w:val="20"/>
                <w:lang w:val="fr-FR"/>
              </w:rPr>
              <w:t>des crêtes aux récifs</w:t>
            </w:r>
            <w:r w:rsidR="00E34DC9">
              <w:rPr>
                <w:rFonts w:ascii="Aptos" w:hAnsi="Aptos"/>
                <w:sz w:val="20"/>
                <w:szCs w:val="20"/>
                <w:lang w:val="fr-FR"/>
              </w:rPr>
              <w:t> »</w:t>
            </w:r>
            <w:r w:rsidRPr="00653BF4">
              <w:rPr>
                <w:rFonts w:ascii="Aptos" w:hAnsi="Aptos"/>
                <w:sz w:val="20"/>
                <w:szCs w:val="20"/>
                <w:lang w:val="fr-FR"/>
              </w:rPr>
              <w:t xml:space="preserve"> qui fait le lien entre la gestion terrestre, côtière et marine au sein d</w:t>
            </w:r>
            <w:r w:rsidR="002A58C8" w:rsidRPr="00653BF4">
              <w:rPr>
                <w:rFonts w:ascii="Aptos" w:hAnsi="Aptos"/>
                <w:sz w:val="20"/>
                <w:szCs w:val="20"/>
                <w:lang w:val="fr-FR"/>
              </w:rPr>
              <w:t>’</w:t>
            </w:r>
            <w:r w:rsidRPr="00653BF4">
              <w:rPr>
                <w:rFonts w:ascii="Aptos" w:hAnsi="Aptos"/>
                <w:sz w:val="20"/>
                <w:szCs w:val="20"/>
                <w:lang w:val="fr-FR"/>
              </w:rPr>
              <w:t>un Cadre politique unifié, offrant ainsi un appui à l</w:t>
            </w:r>
            <w:r w:rsidR="002A58C8" w:rsidRPr="00653BF4">
              <w:rPr>
                <w:rFonts w:ascii="Aptos" w:hAnsi="Aptos"/>
                <w:sz w:val="20"/>
                <w:szCs w:val="20"/>
                <w:lang w:val="fr-FR"/>
              </w:rPr>
              <w:t>’</w:t>
            </w:r>
            <w:r w:rsidRPr="00653BF4">
              <w:rPr>
                <w:rFonts w:ascii="Aptos" w:hAnsi="Aptos"/>
                <w:sz w:val="20"/>
                <w:szCs w:val="20"/>
                <w:lang w:val="fr-FR"/>
              </w:rPr>
              <w:t>extension et à la gestion efficace des zones protégées et conservées. Grâce à la loi sur les réserves naturelles et la conservation (2022) et au plan d</w:t>
            </w:r>
            <w:r w:rsidR="002A58C8" w:rsidRPr="00653BF4">
              <w:rPr>
                <w:rFonts w:ascii="Aptos" w:hAnsi="Aptos"/>
                <w:sz w:val="20"/>
                <w:szCs w:val="20"/>
                <w:lang w:val="fr-FR"/>
              </w:rPr>
              <w:t>’</w:t>
            </w:r>
            <w:r w:rsidRPr="00653BF4">
              <w:rPr>
                <w:rFonts w:ascii="Aptos" w:hAnsi="Aptos"/>
                <w:sz w:val="20"/>
                <w:szCs w:val="20"/>
                <w:lang w:val="fr-FR"/>
              </w:rPr>
              <w:t>aménagement de l</w:t>
            </w:r>
            <w:r w:rsidR="002A58C8" w:rsidRPr="00653BF4">
              <w:rPr>
                <w:rFonts w:ascii="Aptos" w:hAnsi="Aptos"/>
                <w:sz w:val="20"/>
                <w:szCs w:val="20"/>
                <w:lang w:val="fr-FR"/>
              </w:rPr>
              <w:t>’</w:t>
            </w:r>
            <w:r w:rsidRPr="00653BF4">
              <w:rPr>
                <w:rFonts w:ascii="Aptos" w:hAnsi="Aptos"/>
                <w:sz w:val="20"/>
                <w:szCs w:val="20"/>
                <w:lang w:val="fr-FR"/>
              </w:rPr>
              <w:t>espace marin des Seychelles de 2025, les Seychelles ont modernisé leur législation en matière de conservation, amélioré la cohérence réglementaire et intégré la gestion fondée sur les écosystèmes dans les processus nationaux de planification.</w:t>
            </w:r>
          </w:p>
          <w:p w14:paraId="1964A35B" w14:textId="77777777" w:rsidR="000323E4" w:rsidRPr="00653BF4" w:rsidRDefault="000323E4" w:rsidP="000323E4">
            <w:pPr>
              <w:pStyle w:val="wordsection1"/>
              <w:spacing w:before="0" w:beforeAutospacing="0" w:after="0" w:afterAutospacing="0"/>
              <w:jc w:val="both"/>
              <w:rPr>
                <w:rFonts w:ascii="Aptos" w:hAnsi="Aptos"/>
                <w:sz w:val="20"/>
                <w:szCs w:val="20"/>
                <w:lang w:val="fr-FR"/>
              </w:rPr>
            </w:pPr>
          </w:p>
          <w:p w14:paraId="2F7FC1A5" w14:textId="0D50DDE7" w:rsidR="00032F5F" w:rsidRPr="00653BF4" w:rsidRDefault="00563C25" w:rsidP="008768AF">
            <w:pPr>
              <w:pStyle w:val="wordsection1"/>
              <w:spacing w:before="0" w:beforeAutospacing="0" w:after="0" w:afterAutospacing="0"/>
              <w:rPr>
                <w:rFonts w:ascii="Aptos" w:hAnsi="Aptos"/>
                <w:sz w:val="20"/>
                <w:szCs w:val="20"/>
                <w:lang w:val="fr-FR"/>
              </w:rPr>
            </w:pPr>
            <w:r w:rsidRPr="00653BF4">
              <w:rPr>
                <w:rFonts w:ascii="Aptos" w:hAnsi="Aptos"/>
                <w:sz w:val="20"/>
                <w:szCs w:val="20"/>
                <w:lang w:val="fr-FR"/>
              </w:rPr>
              <w:t>Cette initiative a été menée principalement par les ministères et les organismes gouvernementaux nationaux, qui ont coordonné les réformes juridiques, les évaluations en matière de conservation, l</w:t>
            </w:r>
            <w:r w:rsidR="002A58C8" w:rsidRPr="00653BF4">
              <w:rPr>
                <w:rFonts w:ascii="Aptos" w:hAnsi="Aptos"/>
                <w:sz w:val="20"/>
                <w:szCs w:val="20"/>
                <w:lang w:val="fr-FR"/>
              </w:rPr>
              <w:t>’</w:t>
            </w:r>
            <w:r w:rsidRPr="00653BF4">
              <w:rPr>
                <w:rFonts w:ascii="Aptos" w:hAnsi="Aptos"/>
                <w:sz w:val="20"/>
                <w:szCs w:val="20"/>
                <w:lang w:val="fr-FR"/>
              </w:rPr>
              <w:t>extension des zones protégées et l</w:t>
            </w:r>
            <w:r w:rsidR="002A58C8" w:rsidRPr="00653BF4">
              <w:rPr>
                <w:rFonts w:ascii="Aptos" w:hAnsi="Aptos"/>
                <w:sz w:val="20"/>
                <w:szCs w:val="20"/>
                <w:lang w:val="fr-FR"/>
              </w:rPr>
              <w:t>’</w:t>
            </w:r>
            <w:r w:rsidRPr="00653BF4">
              <w:rPr>
                <w:rFonts w:ascii="Aptos" w:hAnsi="Aptos"/>
                <w:sz w:val="20"/>
                <w:szCs w:val="20"/>
                <w:lang w:val="fr-FR"/>
              </w:rPr>
              <w:t>évaluation de l</w:t>
            </w:r>
            <w:r w:rsidR="002A58C8" w:rsidRPr="00653BF4">
              <w:rPr>
                <w:rFonts w:ascii="Aptos" w:hAnsi="Aptos"/>
                <w:sz w:val="20"/>
                <w:szCs w:val="20"/>
                <w:lang w:val="fr-FR"/>
              </w:rPr>
              <w:t>’</w:t>
            </w:r>
            <w:r w:rsidRPr="00653BF4">
              <w:rPr>
                <w:rFonts w:ascii="Aptos" w:hAnsi="Aptos"/>
                <w:sz w:val="20"/>
                <w:szCs w:val="20"/>
                <w:lang w:val="fr-FR"/>
              </w:rPr>
              <w:t>efficacité de la gestion. L</w:t>
            </w:r>
            <w:r w:rsidR="002A58C8" w:rsidRPr="00653BF4">
              <w:rPr>
                <w:rFonts w:ascii="Aptos" w:hAnsi="Aptos"/>
                <w:sz w:val="20"/>
                <w:szCs w:val="20"/>
                <w:lang w:val="fr-FR"/>
              </w:rPr>
              <w:t>’</w:t>
            </w:r>
            <w:r w:rsidRPr="00653BF4">
              <w:rPr>
                <w:rFonts w:ascii="Aptos" w:hAnsi="Aptos"/>
                <w:sz w:val="20"/>
                <w:szCs w:val="20"/>
                <w:lang w:val="fr-FR"/>
              </w:rPr>
              <w:t>élaboration du plan d</w:t>
            </w:r>
            <w:r w:rsidR="002A58C8" w:rsidRPr="00653BF4">
              <w:rPr>
                <w:rFonts w:ascii="Aptos" w:hAnsi="Aptos"/>
                <w:sz w:val="20"/>
                <w:szCs w:val="20"/>
                <w:lang w:val="fr-FR"/>
              </w:rPr>
              <w:t>’</w:t>
            </w:r>
            <w:r w:rsidRPr="00653BF4">
              <w:rPr>
                <w:rFonts w:ascii="Aptos" w:hAnsi="Aptos"/>
                <w:sz w:val="20"/>
                <w:szCs w:val="20"/>
                <w:lang w:val="fr-FR"/>
              </w:rPr>
              <w:t>aménagement de l</w:t>
            </w:r>
            <w:r w:rsidR="002A58C8" w:rsidRPr="00653BF4">
              <w:rPr>
                <w:rFonts w:ascii="Aptos" w:hAnsi="Aptos"/>
                <w:sz w:val="20"/>
                <w:szCs w:val="20"/>
                <w:lang w:val="fr-FR"/>
              </w:rPr>
              <w:t>’</w:t>
            </w:r>
            <w:r w:rsidRPr="00653BF4">
              <w:rPr>
                <w:rFonts w:ascii="Aptos" w:hAnsi="Aptos"/>
                <w:sz w:val="20"/>
                <w:szCs w:val="20"/>
                <w:lang w:val="fr-FR"/>
              </w:rPr>
              <w:t>espace marin s</w:t>
            </w:r>
            <w:r w:rsidR="002A58C8" w:rsidRPr="00653BF4">
              <w:rPr>
                <w:rFonts w:ascii="Aptos" w:hAnsi="Aptos"/>
                <w:sz w:val="20"/>
                <w:szCs w:val="20"/>
                <w:lang w:val="fr-FR"/>
              </w:rPr>
              <w:t>’</w:t>
            </w:r>
            <w:r w:rsidRPr="00653BF4">
              <w:rPr>
                <w:rFonts w:ascii="Aptos" w:hAnsi="Aptos"/>
                <w:sz w:val="20"/>
                <w:szCs w:val="20"/>
                <w:lang w:val="fr-FR"/>
              </w:rPr>
              <w:t>est également appuyée sur des analyses scientifiques et une large consultation des parties prenantes afin d</w:t>
            </w:r>
            <w:r w:rsidR="002A58C8" w:rsidRPr="00653BF4">
              <w:rPr>
                <w:rFonts w:ascii="Aptos" w:hAnsi="Aptos"/>
                <w:sz w:val="20"/>
                <w:szCs w:val="20"/>
                <w:lang w:val="fr-FR"/>
              </w:rPr>
              <w:t>’</w:t>
            </w:r>
            <w:r w:rsidRPr="00653BF4">
              <w:rPr>
                <w:rFonts w:ascii="Aptos" w:hAnsi="Aptos"/>
                <w:sz w:val="20"/>
                <w:szCs w:val="20"/>
                <w:lang w:val="fr-FR"/>
              </w:rPr>
              <w:t>offrir un appui à l</w:t>
            </w:r>
            <w:r w:rsidR="002A58C8" w:rsidRPr="00653BF4">
              <w:rPr>
                <w:rFonts w:ascii="Aptos" w:hAnsi="Aptos"/>
                <w:sz w:val="20"/>
                <w:szCs w:val="20"/>
                <w:lang w:val="fr-FR"/>
              </w:rPr>
              <w:t>’</w:t>
            </w:r>
            <w:r w:rsidRPr="00653BF4">
              <w:rPr>
                <w:rFonts w:ascii="Aptos" w:hAnsi="Aptos"/>
                <w:sz w:val="20"/>
                <w:szCs w:val="20"/>
                <w:lang w:val="fr-FR"/>
              </w:rPr>
              <w:t>élaboration des politiques dans de multiples secteurs.</w:t>
            </w:r>
          </w:p>
          <w:p w14:paraId="53349F3F" w14:textId="77777777" w:rsidR="000323E4" w:rsidRPr="00653BF4" w:rsidRDefault="000323E4" w:rsidP="008768AF">
            <w:pPr>
              <w:pStyle w:val="wordsection1"/>
              <w:spacing w:before="0" w:beforeAutospacing="0" w:after="0" w:afterAutospacing="0"/>
              <w:rPr>
                <w:rFonts w:ascii="Aptos" w:hAnsi="Aptos"/>
                <w:sz w:val="20"/>
                <w:szCs w:val="20"/>
                <w:lang w:val="fr-FR"/>
              </w:rPr>
            </w:pPr>
          </w:p>
          <w:p w14:paraId="24CE1898" w14:textId="4CF0F3A6" w:rsidR="000323E4" w:rsidRPr="00653BF4" w:rsidRDefault="00D37878" w:rsidP="00101BC8">
            <w:pPr>
              <w:pStyle w:val="wordsection1"/>
              <w:spacing w:before="0" w:beforeAutospacing="0" w:after="0" w:afterAutospacing="0"/>
              <w:rPr>
                <w:rFonts w:ascii="Aptos" w:hAnsi="Aptos"/>
                <w:sz w:val="20"/>
                <w:szCs w:val="20"/>
                <w:lang w:val="fr-FR"/>
              </w:rPr>
            </w:pPr>
            <w:r w:rsidRPr="00653BF4">
              <w:rPr>
                <w:rFonts w:ascii="Aptos" w:hAnsi="Aptos"/>
                <w:sz w:val="20"/>
                <w:szCs w:val="20"/>
                <w:lang w:val="fr-FR"/>
              </w:rPr>
              <w:t>La mise en œuvre a été menée à l</w:t>
            </w:r>
            <w:r w:rsidR="002A58C8" w:rsidRPr="00653BF4">
              <w:rPr>
                <w:rFonts w:ascii="Aptos" w:hAnsi="Aptos"/>
                <w:sz w:val="20"/>
                <w:szCs w:val="20"/>
                <w:lang w:val="fr-FR"/>
              </w:rPr>
              <w:t>’</w:t>
            </w:r>
            <w:r w:rsidRPr="00653BF4">
              <w:rPr>
                <w:rFonts w:ascii="Aptos" w:hAnsi="Aptos"/>
                <w:sz w:val="20"/>
                <w:szCs w:val="20"/>
                <w:lang w:val="fr-FR"/>
              </w:rPr>
              <w:t>échelle nationale et couvre les forêts, les habitats côtiers, les récifs coralliens, les écosystèmes d</w:t>
            </w:r>
            <w:r w:rsidR="002A58C8" w:rsidRPr="00653BF4">
              <w:rPr>
                <w:rFonts w:ascii="Aptos" w:hAnsi="Aptos"/>
                <w:sz w:val="20"/>
                <w:szCs w:val="20"/>
                <w:lang w:val="fr-FR"/>
              </w:rPr>
              <w:t>’</w:t>
            </w:r>
            <w:r w:rsidRPr="00653BF4">
              <w:rPr>
                <w:rFonts w:ascii="Aptos" w:hAnsi="Aptos"/>
                <w:sz w:val="20"/>
                <w:szCs w:val="20"/>
                <w:lang w:val="fr-FR"/>
              </w:rPr>
              <w:t>herbiers marins et les milieux marins au large. Parmi les principales mesures figurent la mise en place d</w:t>
            </w:r>
            <w:r w:rsidR="002A58C8" w:rsidRPr="00653BF4">
              <w:rPr>
                <w:rFonts w:ascii="Aptos" w:hAnsi="Aptos"/>
                <w:sz w:val="20"/>
                <w:szCs w:val="20"/>
                <w:lang w:val="fr-FR"/>
              </w:rPr>
              <w:t>’</w:t>
            </w:r>
            <w:r w:rsidRPr="00653BF4">
              <w:rPr>
                <w:rFonts w:ascii="Aptos" w:hAnsi="Aptos"/>
                <w:sz w:val="20"/>
                <w:szCs w:val="20"/>
                <w:lang w:val="fr-FR"/>
              </w:rPr>
              <w:t>un aménagement de l</w:t>
            </w:r>
            <w:r w:rsidR="002A58C8" w:rsidRPr="00653BF4">
              <w:rPr>
                <w:rFonts w:ascii="Aptos" w:hAnsi="Aptos"/>
                <w:sz w:val="20"/>
                <w:szCs w:val="20"/>
                <w:lang w:val="fr-FR"/>
              </w:rPr>
              <w:t>’</w:t>
            </w:r>
            <w:r w:rsidRPr="00653BF4">
              <w:rPr>
                <w:rFonts w:ascii="Aptos" w:hAnsi="Aptos"/>
                <w:sz w:val="20"/>
                <w:szCs w:val="20"/>
                <w:lang w:val="fr-FR"/>
              </w:rPr>
              <w:t>espace marin juridiquement contraignant, l</w:t>
            </w:r>
            <w:r w:rsidR="002A58C8" w:rsidRPr="00653BF4">
              <w:rPr>
                <w:rFonts w:ascii="Aptos" w:hAnsi="Aptos"/>
                <w:sz w:val="20"/>
                <w:szCs w:val="20"/>
                <w:lang w:val="fr-FR"/>
              </w:rPr>
              <w:t>’</w:t>
            </w:r>
            <w:r w:rsidRPr="00653BF4">
              <w:rPr>
                <w:rFonts w:ascii="Aptos" w:hAnsi="Aptos"/>
                <w:sz w:val="20"/>
                <w:szCs w:val="20"/>
                <w:lang w:val="fr-FR"/>
              </w:rPr>
              <w:t>identification et la gestion des zones d</w:t>
            </w:r>
            <w:r w:rsidR="002A58C8" w:rsidRPr="00653BF4">
              <w:rPr>
                <w:rFonts w:ascii="Aptos" w:hAnsi="Aptos"/>
                <w:sz w:val="20"/>
                <w:szCs w:val="20"/>
                <w:lang w:val="fr-FR"/>
              </w:rPr>
              <w:t>’</w:t>
            </w:r>
            <w:r w:rsidRPr="00653BF4">
              <w:rPr>
                <w:rFonts w:ascii="Aptos" w:hAnsi="Aptos"/>
                <w:sz w:val="20"/>
                <w:szCs w:val="20"/>
                <w:lang w:val="fr-FR"/>
              </w:rPr>
              <w:t>importance écologique, la création de corridors écologiques et la désignation de zones de protection saisonnières pour les espèces menacées. Les Seychelles ont également procédé à des évaluations de l</w:t>
            </w:r>
            <w:r w:rsidR="002A58C8" w:rsidRPr="00653BF4">
              <w:rPr>
                <w:rFonts w:ascii="Aptos" w:hAnsi="Aptos"/>
                <w:sz w:val="20"/>
                <w:szCs w:val="20"/>
                <w:lang w:val="fr-FR"/>
              </w:rPr>
              <w:t>’</w:t>
            </w:r>
            <w:r w:rsidRPr="00653BF4">
              <w:rPr>
                <w:rFonts w:ascii="Aptos" w:hAnsi="Aptos"/>
                <w:sz w:val="20"/>
                <w:szCs w:val="20"/>
                <w:lang w:val="fr-FR"/>
              </w:rPr>
              <w:t>efficacité de la gestion des zones protégées afin de renforcer l</w:t>
            </w:r>
            <w:r w:rsidR="00CB6EF6" w:rsidRPr="00653BF4">
              <w:rPr>
                <w:rFonts w:ascii="Aptos" w:hAnsi="Aptos"/>
                <w:sz w:val="20"/>
                <w:szCs w:val="20"/>
                <w:lang w:val="fr-FR"/>
              </w:rPr>
              <w:t>eur</w:t>
            </w:r>
            <w:r w:rsidRPr="00653BF4">
              <w:rPr>
                <w:rFonts w:ascii="Aptos" w:hAnsi="Aptos"/>
                <w:sz w:val="20"/>
                <w:szCs w:val="20"/>
                <w:lang w:val="fr-FR"/>
              </w:rPr>
              <w:t xml:space="preserve"> gouvernance et les performances en matière de gestion.</w:t>
            </w:r>
          </w:p>
          <w:p w14:paraId="1192377E" w14:textId="77777777" w:rsidR="000323E4" w:rsidRPr="00653BF4" w:rsidRDefault="000323E4" w:rsidP="00101BC8">
            <w:pPr>
              <w:pStyle w:val="wordsection1"/>
              <w:spacing w:before="0" w:beforeAutospacing="0" w:after="0" w:afterAutospacing="0"/>
              <w:rPr>
                <w:rFonts w:ascii="Aptos" w:hAnsi="Aptos"/>
                <w:sz w:val="20"/>
                <w:szCs w:val="20"/>
                <w:lang w:val="fr-FR"/>
              </w:rPr>
            </w:pPr>
          </w:p>
          <w:p w14:paraId="3167A00F" w14:textId="7ED527A9" w:rsidR="000323E4" w:rsidRPr="00653BF4" w:rsidRDefault="00CB6EF6" w:rsidP="00101BC8">
            <w:pPr>
              <w:pStyle w:val="wordsection1"/>
              <w:spacing w:before="0" w:beforeAutospacing="0" w:after="0" w:afterAutospacing="0"/>
              <w:rPr>
                <w:rFonts w:ascii="Aptos" w:hAnsi="Aptos"/>
                <w:sz w:val="20"/>
                <w:szCs w:val="20"/>
                <w:lang w:val="fr-FR"/>
              </w:rPr>
            </w:pPr>
            <w:r w:rsidRPr="00653BF4">
              <w:rPr>
                <w:rFonts w:ascii="Aptos" w:hAnsi="Aptos"/>
                <w:sz w:val="20"/>
                <w:szCs w:val="20"/>
                <w:lang w:val="fr-FR"/>
              </w:rPr>
              <w:t>Ces mesures ont été conçues pour répondre à plusieurs défis interdépendants. Les Seychelles sont fortement dépendantes de la pêche maritime et du tourisme, disposent de ressources financières et techniques limitées et sont de plus en plus vulnérables aux effets des changements climatiques, notamment le blanchissement des coraux, l</w:t>
            </w:r>
            <w:r w:rsidR="002A58C8" w:rsidRPr="00653BF4">
              <w:rPr>
                <w:rFonts w:ascii="Aptos" w:hAnsi="Aptos"/>
                <w:sz w:val="20"/>
                <w:szCs w:val="20"/>
                <w:lang w:val="fr-FR"/>
              </w:rPr>
              <w:t>’</w:t>
            </w:r>
            <w:r w:rsidRPr="00653BF4">
              <w:rPr>
                <w:rFonts w:ascii="Aptos" w:hAnsi="Aptos"/>
                <w:sz w:val="20"/>
                <w:szCs w:val="20"/>
                <w:lang w:val="fr-FR"/>
              </w:rPr>
              <w:t>élévation du niveau de la mer et les phénomènes météorologiques extrêmes. Ce cadre intégré offre un mécanisme permettant de concilier les objectifs de conservation et de développement tout en renforçant la résilience écologique au sein d</w:t>
            </w:r>
            <w:r w:rsidR="002A58C8" w:rsidRPr="00653BF4">
              <w:rPr>
                <w:rFonts w:ascii="Aptos" w:hAnsi="Aptos"/>
                <w:sz w:val="20"/>
                <w:szCs w:val="20"/>
                <w:lang w:val="fr-FR"/>
              </w:rPr>
              <w:t>’</w:t>
            </w:r>
            <w:r w:rsidRPr="00653BF4">
              <w:rPr>
                <w:rFonts w:ascii="Aptos" w:hAnsi="Aptos"/>
                <w:sz w:val="20"/>
                <w:szCs w:val="20"/>
                <w:lang w:val="fr-FR"/>
              </w:rPr>
              <w:t>écosystèmes interdépendants.</w:t>
            </w:r>
          </w:p>
          <w:p w14:paraId="6F743DA2" w14:textId="77777777" w:rsidR="000323E4" w:rsidRPr="00653BF4" w:rsidRDefault="000323E4" w:rsidP="00101BC8">
            <w:pPr>
              <w:pStyle w:val="wordsection1"/>
              <w:spacing w:before="0" w:beforeAutospacing="0" w:after="0" w:afterAutospacing="0"/>
              <w:rPr>
                <w:rFonts w:ascii="Aptos" w:hAnsi="Aptos"/>
                <w:sz w:val="20"/>
                <w:szCs w:val="20"/>
                <w:lang w:val="fr-FR"/>
              </w:rPr>
            </w:pPr>
          </w:p>
          <w:p w14:paraId="596D560D" w14:textId="5171E4AC" w:rsidR="000323E4" w:rsidRPr="00653BF4" w:rsidRDefault="00011A01" w:rsidP="00101BC8">
            <w:pPr>
              <w:pStyle w:val="wordsection1"/>
              <w:spacing w:before="0" w:beforeAutospacing="0" w:after="0" w:afterAutospacing="0"/>
              <w:rPr>
                <w:rFonts w:ascii="Aptos" w:hAnsi="Aptos"/>
                <w:sz w:val="20"/>
                <w:szCs w:val="20"/>
                <w:lang w:val="fr-FR"/>
              </w:rPr>
            </w:pPr>
            <w:r w:rsidRPr="00653BF4">
              <w:rPr>
                <w:rFonts w:ascii="Aptos" w:hAnsi="Aptos"/>
                <w:sz w:val="20"/>
                <w:szCs w:val="20"/>
                <w:lang w:val="fr-FR"/>
              </w:rPr>
              <w:lastRenderedPageBreak/>
              <w:t xml:space="preserve">Ces mesures ont dépassé les cibles globales de conservation </w:t>
            </w:r>
            <w:r w:rsidR="00E34DC9">
              <w:rPr>
                <w:rFonts w:ascii="Aptos" w:hAnsi="Aptos"/>
                <w:sz w:val="20"/>
                <w:szCs w:val="20"/>
                <w:lang w:val="fr-FR"/>
              </w:rPr>
              <w:t>« </w:t>
            </w:r>
            <w:r w:rsidRPr="00653BF4">
              <w:rPr>
                <w:rFonts w:ascii="Aptos" w:hAnsi="Aptos"/>
                <w:sz w:val="20"/>
                <w:szCs w:val="20"/>
                <w:lang w:val="fr-FR"/>
              </w:rPr>
              <w:t>30×30</w:t>
            </w:r>
            <w:r w:rsidR="00E34DC9">
              <w:rPr>
                <w:rFonts w:ascii="Aptos" w:hAnsi="Aptos"/>
                <w:sz w:val="20"/>
                <w:szCs w:val="20"/>
                <w:lang w:val="fr-FR"/>
              </w:rPr>
              <w:t> »</w:t>
            </w:r>
            <w:r w:rsidRPr="00653BF4">
              <w:rPr>
                <w:rFonts w:ascii="Aptos" w:hAnsi="Aptos"/>
                <w:sz w:val="20"/>
                <w:szCs w:val="20"/>
                <w:lang w:val="fr-FR"/>
              </w:rPr>
              <w:t>, permettant d</w:t>
            </w:r>
            <w:r w:rsidR="002A58C8" w:rsidRPr="00653BF4">
              <w:rPr>
                <w:rFonts w:ascii="Aptos" w:hAnsi="Aptos"/>
                <w:sz w:val="20"/>
                <w:szCs w:val="20"/>
                <w:lang w:val="fr-FR"/>
              </w:rPr>
              <w:t>’</w:t>
            </w:r>
            <w:r w:rsidRPr="00653BF4">
              <w:rPr>
                <w:rFonts w:ascii="Aptos" w:hAnsi="Aptos"/>
                <w:sz w:val="20"/>
                <w:szCs w:val="20"/>
                <w:lang w:val="fr-FR"/>
              </w:rPr>
              <w:t>assurer une couverture de protection et de conservation de 48,1</w:t>
            </w:r>
            <w:r w:rsidR="002878D7">
              <w:rPr>
                <w:rFonts w:ascii="Aptos" w:hAnsi="Aptos"/>
                <w:sz w:val="20"/>
                <w:szCs w:val="20"/>
                <w:lang w:val="fr-FR"/>
              </w:rPr>
              <w:t> %</w:t>
            </w:r>
            <w:r w:rsidRPr="00653BF4">
              <w:rPr>
                <w:rFonts w:ascii="Aptos" w:hAnsi="Aptos"/>
                <w:sz w:val="20"/>
                <w:szCs w:val="20"/>
                <w:lang w:val="fr-FR"/>
              </w:rPr>
              <w:t xml:space="preserve"> des zones terrestres et de 32,6</w:t>
            </w:r>
            <w:r w:rsidR="002878D7">
              <w:rPr>
                <w:rFonts w:ascii="Aptos" w:hAnsi="Aptos"/>
                <w:sz w:val="20"/>
                <w:szCs w:val="20"/>
                <w:lang w:val="fr-FR"/>
              </w:rPr>
              <w:t> %</w:t>
            </w:r>
            <w:r w:rsidRPr="00653BF4">
              <w:rPr>
                <w:rFonts w:ascii="Aptos" w:hAnsi="Aptos"/>
                <w:sz w:val="20"/>
                <w:szCs w:val="20"/>
                <w:lang w:val="fr-FR"/>
              </w:rPr>
              <w:t xml:space="preserve"> des zones marines relevant de la juridiction des Seychelles. Au-delà de ces résultats quantitatifs, cette initiative a renforcé la connectivité des écosystèmes, amélioré la protection des espèces, accru la résilience face au changement climatique et établi un modèle de gouvernance destiné aux autres petits États insulaires en développement qui cherchent à intégrer la conservation des milieux terrestres et marins au sein d</w:t>
            </w:r>
            <w:r w:rsidR="002A58C8" w:rsidRPr="00653BF4">
              <w:rPr>
                <w:rFonts w:ascii="Aptos" w:hAnsi="Aptos"/>
                <w:sz w:val="20"/>
                <w:szCs w:val="20"/>
                <w:lang w:val="fr-FR"/>
              </w:rPr>
              <w:t>’</w:t>
            </w:r>
            <w:r w:rsidRPr="00653BF4">
              <w:rPr>
                <w:rFonts w:ascii="Aptos" w:hAnsi="Aptos"/>
                <w:sz w:val="20"/>
                <w:szCs w:val="20"/>
                <w:lang w:val="fr-FR"/>
              </w:rPr>
              <w:t>un cadre national unique.</w:t>
            </w:r>
          </w:p>
          <w:p w14:paraId="7B17B00B" w14:textId="77777777" w:rsidR="0035306F" w:rsidRPr="00653BF4" w:rsidRDefault="0035306F" w:rsidP="00101BC8">
            <w:pPr>
              <w:pStyle w:val="wordsection1"/>
              <w:spacing w:before="0" w:beforeAutospacing="0" w:after="0" w:afterAutospacing="0"/>
              <w:rPr>
                <w:rFonts w:ascii="Aptos" w:hAnsi="Aptos"/>
                <w:i/>
                <w:sz w:val="20"/>
                <w:szCs w:val="20"/>
                <w:lang w:val="fr-FR"/>
              </w:rPr>
            </w:pPr>
          </w:p>
          <w:p w14:paraId="17393D6D" w14:textId="5CF3C6BC" w:rsidR="0035306F" w:rsidRPr="00653BF4" w:rsidRDefault="00904C13" w:rsidP="000323E4">
            <w:pPr>
              <w:pStyle w:val="wordsection1"/>
              <w:spacing w:before="0" w:beforeAutospacing="0" w:after="0" w:afterAutospacing="0"/>
              <w:jc w:val="both"/>
              <w:rPr>
                <w:rFonts w:ascii="Aptos" w:hAnsi="Aptos"/>
                <w:sz w:val="20"/>
                <w:szCs w:val="20"/>
                <w:lang w:val="fr-FR"/>
              </w:rPr>
            </w:pPr>
            <w:r w:rsidRPr="00653BF4">
              <w:rPr>
                <w:rFonts w:ascii="Aptos" w:hAnsi="Aptos"/>
                <w:i/>
                <w:sz w:val="20"/>
                <w:szCs w:val="20"/>
                <w:lang w:val="fr-FR"/>
              </w:rPr>
              <w:t>C</w:t>
            </w:r>
            <w:r w:rsidR="001345EC" w:rsidRPr="00653BF4">
              <w:rPr>
                <w:rFonts w:ascii="Aptos" w:hAnsi="Aptos"/>
                <w:i/>
                <w:sz w:val="20"/>
                <w:szCs w:val="20"/>
                <w:lang w:val="fr-FR"/>
              </w:rPr>
              <w:t>ibles concernées</w:t>
            </w:r>
            <w:r w:rsidR="00E34DC9">
              <w:rPr>
                <w:rFonts w:ascii="Aptos" w:hAnsi="Aptos"/>
                <w:i/>
                <w:sz w:val="20"/>
                <w:szCs w:val="20"/>
                <w:lang w:val="fr-FR"/>
              </w:rPr>
              <w:t> :</w:t>
            </w:r>
            <w:r w:rsidR="00022C17" w:rsidRPr="00653BF4">
              <w:rPr>
                <w:rFonts w:ascii="Aptos" w:hAnsi="Aptos"/>
                <w:i/>
                <w:sz w:val="20"/>
                <w:szCs w:val="20"/>
                <w:lang w:val="fr-FR"/>
              </w:rPr>
              <w:t xml:space="preserve"> </w:t>
            </w:r>
            <w:r w:rsidR="00022C17" w:rsidRPr="00653BF4">
              <w:rPr>
                <w:rFonts w:ascii="Aptos" w:hAnsi="Aptos"/>
                <w:sz w:val="20"/>
                <w:szCs w:val="20"/>
                <w:lang w:val="fr-FR"/>
              </w:rPr>
              <w:t>1, 3, 4, 8, 11</w:t>
            </w:r>
            <w:r w:rsidR="00101BC8" w:rsidRPr="00653BF4">
              <w:rPr>
                <w:rFonts w:ascii="Aptos" w:hAnsi="Aptos"/>
                <w:sz w:val="20"/>
                <w:szCs w:val="20"/>
                <w:lang w:val="fr-FR"/>
              </w:rPr>
              <w:t xml:space="preserve"> </w:t>
            </w:r>
            <w:r w:rsidR="00011A01" w:rsidRPr="00653BF4">
              <w:rPr>
                <w:rFonts w:ascii="Aptos" w:hAnsi="Aptos"/>
                <w:sz w:val="20"/>
                <w:szCs w:val="20"/>
                <w:lang w:val="fr-FR"/>
              </w:rPr>
              <w:t>et</w:t>
            </w:r>
            <w:r w:rsidR="00022C17" w:rsidRPr="00653BF4">
              <w:rPr>
                <w:rFonts w:ascii="Aptos" w:hAnsi="Aptos"/>
                <w:sz w:val="20"/>
                <w:szCs w:val="20"/>
                <w:lang w:val="fr-FR"/>
              </w:rPr>
              <w:t xml:space="preserve"> 21</w:t>
            </w:r>
            <w:r w:rsidR="00894821" w:rsidRPr="00653BF4">
              <w:rPr>
                <w:rFonts w:ascii="Aptos" w:hAnsi="Aptos"/>
                <w:sz w:val="20"/>
                <w:szCs w:val="20"/>
                <w:lang w:val="fr-FR"/>
              </w:rPr>
              <w:t>.</w:t>
            </w:r>
          </w:p>
          <w:p w14:paraId="623FE8A6" w14:textId="418B10B1" w:rsidR="000323E4" w:rsidRPr="00653BF4" w:rsidRDefault="00022C17" w:rsidP="000323E4">
            <w:pPr>
              <w:pStyle w:val="wordsection1"/>
              <w:spacing w:before="0" w:beforeAutospacing="0" w:after="0" w:afterAutospacing="0"/>
              <w:jc w:val="both"/>
              <w:rPr>
                <w:rFonts w:ascii="Aptos" w:hAnsi="Aptos"/>
                <w:sz w:val="20"/>
                <w:szCs w:val="20"/>
                <w:lang w:val="fr-FR"/>
              </w:rPr>
            </w:pPr>
            <w:r w:rsidRPr="00653BF4">
              <w:rPr>
                <w:rFonts w:ascii="Aptos" w:hAnsi="Aptos"/>
                <w:i/>
                <w:sz w:val="20"/>
                <w:szCs w:val="20"/>
                <w:lang w:val="fr-FR"/>
              </w:rPr>
              <w:t>Source</w:t>
            </w:r>
            <w:r w:rsidR="00E34DC9">
              <w:rPr>
                <w:rFonts w:ascii="Aptos" w:hAnsi="Aptos"/>
                <w:i/>
                <w:sz w:val="20"/>
                <w:szCs w:val="20"/>
                <w:lang w:val="fr-FR"/>
              </w:rPr>
              <w:t> :</w:t>
            </w:r>
            <w:r w:rsidRPr="00653BF4">
              <w:rPr>
                <w:rFonts w:ascii="Aptos" w:hAnsi="Aptos"/>
                <w:i/>
                <w:sz w:val="20"/>
                <w:szCs w:val="20"/>
                <w:lang w:val="fr-FR"/>
              </w:rPr>
              <w:t xml:space="preserve"> </w:t>
            </w:r>
            <w:r w:rsidRPr="00653BF4">
              <w:rPr>
                <w:rFonts w:ascii="Aptos" w:hAnsi="Aptos"/>
                <w:sz w:val="20"/>
                <w:szCs w:val="20"/>
                <w:lang w:val="fr-FR"/>
              </w:rPr>
              <w:t xml:space="preserve">Seychelles, </w:t>
            </w:r>
            <w:r w:rsidR="00011A01" w:rsidRPr="00653BF4">
              <w:rPr>
                <w:rFonts w:ascii="Aptos" w:hAnsi="Aptos"/>
                <w:sz w:val="20"/>
                <w:szCs w:val="20"/>
                <w:lang w:val="fr-FR"/>
              </w:rPr>
              <w:t>septième rapport national au titre de la Convention</w:t>
            </w:r>
            <w:r w:rsidR="00894821" w:rsidRPr="00653BF4">
              <w:rPr>
                <w:rFonts w:ascii="Aptos" w:hAnsi="Aptos"/>
                <w:sz w:val="20"/>
                <w:szCs w:val="20"/>
                <w:lang w:val="fr-FR"/>
              </w:rPr>
              <w:t>.</w:t>
            </w:r>
          </w:p>
          <w:p w14:paraId="21D93512" w14:textId="1ADE3E46" w:rsidR="00600B0B" w:rsidRPr="00653BF4" w:rsidRDefault="00600B0B" w:rsidP="00600B0B">
            <w:pPr>
              <w:rPr>
                <w:sz w:val="22"/>
                <w:szCs w:val="22"/>
                <w:lang w:val="fr-FR"/>
              </w:rPr>
            </w:pPr>
          </w:p>
          <w:p w14:paraId="53DC9536" w14:textId="54CF6271" w:rsidR="00600B0B" w:rsidRPr="00653BF4" w:rsidRDefault="00600B0B" w:rsidP="00B60665">
            <w:pPr>
              <w:rPr>
                <w:lang w:val="fr-FR"/>
              </w:rPr>
            </w:pPr>
          </w:p>
        </w:tc>
      </w:tr>
    </w:tbl>
    <w:p w14:paraId="7F02D093" w14:textId="5F6A5F42" w:rsidR="00C26F18" w:rsidRPr="00653BF4" w:rsidRDefault="00C26F18" w:rsidP="006C0F01">
      <w:pPr>
        <w:rPr>
          <w:sz w:val="20"/>
          <w:szCs w:val="20"/>
          <w:lang w:val="fr-FR"/>
        </w:rPr>
      </w:pPr>
    </w:p>
    <w:tbl>
      <w:tblPr>
        <w:tblStyle w:val="TableGrid"/>
        <w:tblW w:w="0" w:type="auto"/>
        <w:tblLook w:val="04A0" w:firstRow="1" w:lastRow="0" w:firstColumn="1" w:lastColumn="0" w:noHBand="0" w:noVBand="1"/>
      </w:tblPr>
      <w:tblGrid>
        <w:gridCol w:w="9350"/>
      </w:tblGrid>
      <w:tr w:rsidR="00022C17" w:rsidRPr="00543148" w14:paraId="1C82A321" w14:textId="77777777" w:rsidTr="00E74807">
        <w:trPr>
          <w:trHeight w:val="379"/>
        </w:trPr>
        <w:tc>
          <w:tcPr>
            <w:tcW w:w="9350" w:type="dxa"/>
            <w:shd w:val="clear" w:color="auto" w:fill="D1D1D1" w:themeFill="background2" w:themeFillShade="E6"/>
          </w:tcPr>
          <w:p w14:paraId="2F95817A" w14:textId="519AC96F" w:rsidR="000C2749" w:rsidRPr="00653BF4" w:rsidRDefault="00011A01" w:rsidP="000C2749">
            <w:pPr>
              <w:pStyle w:val="Caption"/>
              <w:keepNext/>
              <w:rPr>
                <w:i w:val="0"/>
                <w:iCs w:val="0"/>
                <w:sz w:val="20"/>
                <w:szCs w:val="20"/>
                <w:lang w:val="fr-FR"/>
              </w:rPr>
            </w:pPr>
            <w:r w:rsidRPr="00653BF4">
              <w:rPr>
                <w:i w:val="0"/>
                <w:sz w:val="20"/>
                <w:szCs w:val="20"/>
                <w:lang w:val="fr-FR"/>
              </w:rPr>
              <w:lastRenderedPageBreak/>
              <w:t>Encadré</w:t>
            </w:r>
            <w:r w:rsidR="000C2749" w:rsidRPr="00653BF4">
              <w:rPr>
                <w:i w:val="0"/>
                <w:sz w:val="20"/>
                <w:szCs w:val="20"/>
                <w:lang w:val="fr-FR"/>
              </w:rPr>
              <w:t xml:space="preserve"> </w:t>
            </w:r>
            <w:r w:rsidR="008306DF" w:rsidRPr="00653BF4">
              <w:rPr>
                <w:i w:val="0"/>
                <w:noProof/>
                <w:sz w:val="20"/>
                <w:szCs w:val="20"/>
                <w:lang w:val="fr-FR"/>
              </w:rPr>
              <w:t>14</w:t>
            </w:r>
            <w:r w:rsidR="000C2749" w:rsidRPr="00653BF4">
              <w:rPr>
                <w:i w:val="0"/>
                <w:sz w:val="20"/>
                <w:szCs w:val="20"/>
                <w:lang w:val="fr-FR"/>
              </w:rPr>
              <w:t xml:space="preserve"> </w:t>
            </w:r>
          </w:p>
          <w:p w14:paraId="478BE2F4" w14:textId="0260F231" w:rsidR="00F159C4" w:rsidRPr="00653BF4" w:rsidRDefault="00285706" w:rsidP="00F159C4">
            <w:pPr>
              <w:rPr>
                <w:b/>
                <w:sz w:val="20"/>
                <w:szCs w:val="20"/>
                <w:lang w:val="fr-FR"/>
              </w:rPr>
            </w:pPr>
            <w:r w:rsidRPr="00653BF4">
              <w:rPr>
                <w:b/>
                <w:sz w:val="20"/>
                <w:szCs w:val="20"/>
                <w:lang w:val="fr-FR"/>
              </w:rPr>
              <w:t>Amélioration de la gouvernance grâce à l</w:t>
            </w:r>
            <w:r w:rsidR="002A58C8" w:rsidRPr="00653BF4">
              <w:rPr>
                <w:b/>
                <w:sz w:val="20"/>
                <w:szCs w:val="20"/>
                <w:lang w:val="fr-FR"/>
              </w:rPr>
              <w:t>’</w:t>
            </w:r>
            <w:r w:rsidRPr="00653BF4">
              <w:rPr>
                <w:b/>
                <w:sz w:val="20"/>
                <w:szCs w:val="20"/>
                <w:lang w:val="fr-FR"/>
              </w:rPr>
              <w:t>outil de suivi de l</w:t>
            </w:r>
            <w:r w:rsidR="002A58C8" w:rsidRPr="00653BF4">
              <w:rPr>
                <w:b/>
                <w:sz w:val="20"/>
                <w:szCs w:val="20"/>
                <w:lang w:val="fr-FR"/>
              </w:rPr>
              <w:t>’</w:t>
            </w:r>
            <w:r w:rsidRPr="00653BF4">
              <w:rPr>
                <w:b/>
                <w:sz w:val="20"/>
                <w:szCs w:val="20"/>
                <w:lang w:val="fr-FR"/>
              </w:rPr>
              <w:t>efficacité de la gestion et mise en œuvre systématique de la conservation des zones clés pour la biodiversité aux Émirats arabes unis</w:t>
            </w:r>
          </w:p>
          <w:p w14:paraId="641F85D1" w14:textId="77777777" w:rsidR="003742D8" w:rsidRPr="00653BF4" w:rsidRDefault="003742D8" w:rsidP="000C2749">
            <w:pPr>
              <w:rPr>
                <w:rFonts w:ascii="Aptos" w:hAnsi="Aptos"/>
                <w:color w:val="212121"/>
                <w:lang w:val="fr-FR"/>
              </w:rPr>
            </w:pPr>
          </w:p>
          <w:p w14:paraId="566A1A9C" w14:textId="5A3F2FF3" w:rsidR="00E74807" w:rsidRPr="00653BF4" w:rsidRDefault="00E74807" w:rsidP="00E74807">
            <w:pPr>
              <w:rPr>
                <w:rFonts w:ascii="Aptos" w:hAnsi="Aptos"/>
                <w:color w:val="212121"/>
                <w:sz w:val="20"/>
                <w:szCs w:val="20"/>
                <w:lang w:val="fr-FR"/>
              </w:rPr>
            </w:pPr>
            <w:r w:rsidRPr="00653BF4">
              <w:rPr>
                <w:rFonts w:ascii="Aptos" w:hAnsi="Aptos"/>
                <w:color w:val="212121"/>
                <w:sz w:val="20"/>
                <w:szCs w:val="20"/>
                <w:lang w:val="fr-FR"/>
              </w:rPr>
              <w:t>Depuis 2014, les Émirats arabes unis ont étendu leur réseau de zones protégées à 54 sites officiellement désignés, dont 35 zones terrestres et 19 zones marines protégées, qui couvrent actuellement plus de 20</w:t>
            </w:r>
            <w:r w:rsidR="002878D7">
              <w:rPr>
                <w:rFonts w:ascii="Aptos" w:hAnsi="Aptos"/>
                <w:color w:val="212121"/>
                <w:sz w:val="20"/>
                <w:szCs w:val="20"/>
                <w:lang w:val="fr-FR"/>
              </w:rPr>
              <w:t> %</w:t>
            </w:r>
            <w:r w:rsidRPr="00653BF4">
              <w:rPr>
                <w:rFonts w:ascii="Aptos" w:hAnsi="Aptos"/>
                <w:color w:val="212121"/>
                <w:sz w:val="20"/>
                <w:szCs w:val="20"/>
                <w:lang w:val="fr-FR"/>
              </w:rPr>
              <w:t xml:space="preserve"> de la superficie terrestre nationale et près de 18</w:t>
            </w:r>
            <w:r w:rsidR="002878D7">
              <w:rPr>
                <w:rFonts w:ascii="Aptos" w:hAnsi="Aptos"/>
                <w:color w:val="212121"/>
                <w:sz w:val="20"/>
                <w:szCs w:val="20"/>
                <w:lang w:val="fr-FR"/>
              </w:rPr>
              <w:t> %</w:t>
            </w:r>
            <w:r w:rsidRPr="00653BF4">
              <w:rPr>
                <w:rFonts w:ascii="Aptos" w:hAnsi="Aptos"/>
                <w:color w:val="212121"/>
                <w:sz w:val="20"/>
                <w:szCs w:val="20"/>
                <w:lang w:val="fr-FR"/>
              </w:rPr>
              <w:t xml:space="preserve"> des eaux marines et côtières. Cette extension s</w:t>
            </w:r>
            <w:r w:rsidR="002A58C8" w:rsidRPr="00653BF4">
              <w:rPr>
                <w:rFonts w:ascii="Aptos" w:hAnsi="Aptos"/>
                <w:color w:val="212121"/>
                <w:sz w:val="20"/>
                <w:szCs w:val="20"/>
                <w:lang w:val="fr-FR"/>
              </w:rPr>
              <w:t>’</w:t>
            </w:r>
            <w:r w:rsidRPr="00653BF4">
              <w:rPr>
                <w:rFonts w:ascii="Aptos" w:hAnsi="Aptos"/>
                <w:color w:val="212121"/>
                <w:sz w:val="20"/>
                <w:szCs w:val="20"/>
                <w:lang w:val="fr-FR"/>
              </w:rPr>
              <w:t>inscrit dans le cadre des objectifs de conservation du pays d</w:t>
            </w:r>
            <w:r w:rsidR="002A58C8" w:rsidRPr="00653BF4">
              <w:rPr>
                <w:rFonts w:ascii="Aptos" w:hAnsi="Aptos"/>
                <w:color w:val="212121"/>
                <w:sz w:val="20"/>
                <w:szCs w:val="20"/>
                <w:lang w:val="fr-FR"/>
              </w:rPr>
              <w:t>’</w:t>
            </w:r>
            <w:r w:rsidRPr="00653BF4">
              <w:rPr>
                <w:rFonts w:ascii="Aptos" w:hAnsi="Aptos"/>
                <w:color w:val="212121"/>
                <w:sz w:val="20"/>
                <w:szCs w:val="20"/>
                <w:lang w:val="fr-FR"/>
              </w:rPr>
              <w:t>ici à 2030 et englobe les écosystèmes désertiques intérieurs, les zones humides, les habitats côtiers et les milieux marins au large.</w:t>
            </w:r>
          </w:p>
          <w:p w14:paraId="1ECC975C" w14:textId="77777777" w:rsidR="00E74807" w:rsidRPr="00653BF4" w:rsidRDefault="00E74807" w:rsidP="00E74807">
            <w:pPr>
              <w:rPr>
                <w:rFonts w:ascii="Aptos" w:hAnsi="Aptos"/>
                <w:color w:val="212121"/>
                <w:sz w:val="20"/>
                <w:szCs w:val="20"/>
                <w:lang w:val="fr-FR"/>
              </w:rPr>
            </w:pPr>
          </w:p>
          <w:p w14:paraId="3F8BA7B7" w14:textId="5D5AE693" w:rsidR="00E74807" w:rsidRPr="00653BF4" w:rsidRDefault="00E74807" w:rsidP="00E74807">
            <w:pPr>
              <w:rPr>
                <w:rFonts w:ascii="Aptos" w:hAnsi="Aptos"/>
                <w:color w:val="212121"/>
                <w:sz w:val="20"/>
                <w:szCs w:val="20"/>
                <w:lang w:val="fr-FR"/>
              </w:rPr>
            </w:pPr>
            <w:r w:rsidRPr="00653BF4">
              <w:rPr>
                <w:rFonts w:ascii="Aptos" w:hAnsi="Aptos"/>
                <w:color w:val="212121"/>
                <w:sz w:val="20"/>
                <w:szCs w:val="20"/>
                <w:lang w:val="fr-FR"/>
              </w:rPr>
              <w:t>Dans le cadre de leur stratégie, les Émirats arabes unis ont adopté l</w:t>
            </w:r>
            <w:r w:rsidR="002A58C8" w:rsidRPr="00653BF4">
              <w:rPr>
                <w:rFonts w:ascii="Aptos" w:hAnsi="Aptos"/>
                <w:color w:val="212121"/>
                <w:sz w:val="20"/>
                <w:szCs w:val="20"/>
                <w:lang w:val="fr-FR"/>
              </w:rPr>
              <w:t>’</w:t>
            </w:r>
            <w:r w:rsidRPr="00653BF4">
              <w:rPr>
                <w:rFonts w:ascii="Aptos" w:hAnsi="Aptos"/>
                <w:color w:val="212121"/>
                <w:sz w:val="20"/>
                <w:szCs w:val="20"/>
                <w:lang w:val="fr-FR"/>
              </w:rPr>
              <w:t>outil de suivi de l</w:t>
            </w:r>
            <w:r w:rsidR="002A58C8" w:rsidRPr="00653BF4">
              <w:rPr>
                <w:rFonts w:ascii="Aptos" w:hAnsi="Aptos"/>
                <w:color w:val="212121"/>
                <w:sz w:val="20"/>
                <w:szCs w:val="20"/>
                <w:lang w:val="fr-FR"/>
              </w:rPr>
              <w:t>’</w:t>
            </w:r>
            <w:r w:rsidRPr="00653BF4">
              <w:rPr>
                <w:rFonts w:ascii="Aptos" w:hAnsi="Aptos"/>
                <w:color w:val="212121"/>
                <w:sz w:val="20"/>
                <w:szCs w:val="20"/>
                <w:lang w:val="fr-FR"/>
              </w:rPr>
              <w:t xml:space="preserve">efficacité de la gestion (Stolton </w:t>
            </w:r>
            <w:r w:rsidRPr="00653BF4">
              <w:rPr>
                <w:rFonts w:ascii="Aptos" w:hAnsi="Aptos"/>
                <w:i/>
                <w:iCs/>
                <w:color w:val="212121"/>
                <w:sz w:val="20"/>
                <w:szCs w:val="20"/>
                <w:lang w:val="fr-FR"/>
              </w:rPr>
              <w:t>et al.</w:t>
            </w:r>
            <w:r w:rsidRPr="00653BF4">
              <w:rPr>
                <w:rFonts w:ascii="Aptos" w:hAnsi="Aptos"/>
                <w:color w:val="212121"/>
                <w:sz w:val="20"/>
                <w:szCs w:val="20"/>
                <w:lang w:val="fr-FR"/>
              </w:rPr>
              <w:t>, 2021) en tant que mécanisme national visant à améliorer et à renforcer la gestion des zones protégées, tout en faisant progresser la planification systématique de la conservation et la protection des zones clés pour la biodiversité (UICN, 2016).</w:t>
            </w:r>
          </w:p>
          <w:p w14:paraId="46289AA8" w14:textId="77777777" w:rsidR="00E74807" w:rsidRPr="00653BF4" w:rsidRDefault="00E74807" w:rsidP="00E74807">
            <w:pPr>
              <w:rPr>
                <w:rFonts w:ascii="Aptos" w:hAnsi="Aptos"/>
                <w:color w:val="212121"/>
                <w:sz w:val="20"/>
                <w:szCs w:val="20"/>
                <w:lang w:val="fr-FR"/>
              </w:rPr>
            </w:pPr>
          </w:p>
          <w:p w14:paraId="6BADF789" w14:textId="5FA763EF" w:rsidR="00E74807" w:rsidRPr="00653BF4" w:rsidRDefault="00E74807" w:rsidP="00E74807">
            <w:pPr>
              <w:rPr>
                <w:rFonts w:ascii="Aptos" w:hAnsi="Aptos"/>
                <w:color w:val="212121"/>
                <w:sz w:val="20"/>
                <w:szCs w:val="20"/>
                <w:lang w:val="fr-FR"/>
              </w:rPr>
            </w:pPr>
            <w:r w:rsidRPr="00653BF4">
              <w:rPr>
                <w:rFonts w:ascii="Aptos" w:hAnsi="Aptos"/>
                <w:color w:val="212121"/>
                <w:sz w:val="20"/>
                <w:szCs w:val="20"/>
                <w:lang w:val="fr-FR"/>
              </w:rPr>
              <w:t>S</w:t>
            </w:r>
            <w:r w:rsidR="002A58C8" w:rsidRPr="00653BF4">
              <w:rPr>
                <w:rFonts w:ascii="Aptos" w:hAnsi="Aptos"/>
                <w:color w:val="212121"/>
                <w:sz w:val="20"/>
                <w:szCs w:val="20"/>
                <w:lang w:val="fr-FR"/>
              </w:rPr>
              <w:t>’</w:t>
            </w:r>
            <w:r w:rsidRPr="00653BF4">
              <w:rPr>
                <w:rFonts w:ascii="Aptos" w:hAnsi="Aptos"/>
                <w:color w:val="212121"/>
                <w:sz w:val="20"/>
                <w:szCs w:val="20"/>
                <w:lang w:val="fr-FR"/>
              </w:rPr>
              <w:t>appuyant sur cette approche systématique, les Émirats arabes unis ont également été l</w:t>
            </w:r>
            <w:r w:rsidR="002A58C8" w:rsidRPr="00653BF4">
              <w:rPr>
                <w:rFonts w:ascii="Aptos" w:hAnsi="Aptos"/>
                <w:color w:val="212121"/>
                <w:sz w:val="20"/>
                <w:szCs w:val="20"/>
                <w:lang w:val="fr-FR"/>
              </w:rPr>
              <w:t>’</w:t>
            </w:r>
            <w:r w:rsidRPr="00653BF4">
              <w:rPr>
                <w:rFonts w:ascii="Aptos" w:hAnsi="Aptos"/>
                <w:color w:val="212121"/>
                <w:sz w:val="20"/>
                <w:szCs w:val="20"/>
                <w:lang w:val="fr-FR"/>
              </w:rPr>
              <w:t>un des premiers pays à entreprendre une évaluation exhaustive de leurs zones clés pour la biodiversité, qui a été achevée et publiée dans la Base de données mondiale sur les zones clés pour la biodiversité en 2023. Des scientifiques des Émirats arabes unis, en collaboration avec l</w:t>
            </w:r>
            <w:r w:rsidR="002A58C8" w:rsidRPr="00653BF4">
              <w:rPr>
                <w:rFonts w:ascii="Aptos" w:hAnsi="Aptos"/>
                <w:color w:val="212121"/>
                <w:sz w:val="20"/>
                <w:szCs w:val="20"/>
                <w:lang w:val="fr-FR"/>
              </w:rPr>
              <w:t>’</w:t>
            </w:r>
            <w:r w:rsidRPr="00653BF4">
              <w:rPr>
                <w:rFonts w:ascii="Aptos" w:hAnsi="Aptos"/>
                <w:color w:val="212121"/>
                <w:sz w:val="20"/>
                <w:szCs w:val="20"/>
                <w:lang w:val="fr-FR"/>
              </w:rPr>
              <w:t>UICN, ont identifié neuf zones clés pour la biodiversité à l</w:t>
            </w:r>
            <w:r w:rsidR="002A58C8" w:rsidRPr="00653BF4">
              <w:rPr>
                <w:rFonts w:ascii="Aptos" w:hAnsi="Aptos"/>
                <w:color w:val="212121"/>
                <w:sz w:val="20"/>
                <w:szCs w:val="20"/>
                <w:lang w:val="fr-FR"/>
              </w:rPr>
              <w:t>’</w:t>
            </w:r>
            <w:r w:rsidRPr="00653BF4">
              <w:rPr>
                <w:rFonts w:ascii="Aptos" w:hAnsi="Aptos"/>
                <w:color w:val="212121"/>
                <w:sz w:val="20"/>
                <w:szCs w:val="20"/>
                <w:lang w:val="fr-FR"/>
              </w:rPr>
              <w:t>échelle mondiale qui constituent des sites importants pour les populations de 22 espèces d</w:t>
            </w:r>
            <w:r w:rsidR="002A58C8" w:rsidRPr="00653BF4">
              <w:rPr>
                <w:rFonts w:ascii="Aptos" w:hAnsi="Aptos"/>
                <w:color w:val="212121"/>
                <w:sz w:val="20"/>
                <w:szCs w:val="20"/>
                <w:lang w:val="fr-FR"/>
              </w:rPr>
              <w:t>’</w:t>
            </w:r>
            <w:r w:rsidRPr="00653BF4">
              <w:rPr>
                <w:rFonts w:ascii="Aptos" w:hAnsi="Aptos"/>
                <w:color w:val="212121"/>
                <w:sz w:val="20"/>
                <w:szCs w:val="20"/>
                <w:lang w:val="fr-FR"/>
              </w:rPr>
              <w:t>oiseaux, de mammifères et de reptiles. Cette évaluation a établi une base scientifique solide pour la planification nationale de la conservation, contribuant ainsi à hiérarchiser l</w:t>
            </w:r>
            <w:r w:rsidR="002A58C8" w:rsidRPr="00653BF4">
              <w:rPr>
                <w:rFonts w:ascii="Aptos" w:hAnsi="Aptos"/>
                <w:color w:val="212121"/>
                <w:sz w:val="20"/>
                <w:szCs w:val="20"/>
                <w:lang w:val="fr-FR"/>
              </w:rPr>
              <w:t>’</w:t>
            </w:r>
            <w:r w:rsidRPr="00653BF4">
              <w:rPr>
                <w:rFonts w:ascii="Aptos" w:hAnsi="Aptos"/>
                <w:color w:val="212121"/>
                <w:sz w:val="20"/>
                <w:szCs w:val="20"/>
                <w:lang w:val="fr-FR"/>
              </w:rPr>
              <w:t>extension des zones protégées, à améliorer la gestion des sites et à renforcer l</w:t>
            </w:r>
            <w:r w:rsidR="002A58C8" w:rsidRPr="00653BF4">
              <w:rPr>
                <w:rFonts w:ascii="Aptos" w:hAnsi="Aptos"/>
                <w:color w:val="212121"/>
                <w:sz w:val="20"/>
                <w:szCs w:val="20"/>
                <w:lang w:val="fr-FR"/>
              </w:rPr>
              <w:t>’</w:t>
            </w:r>
            <w:r w:rsidRPr="00653BF4">
              <w:rPr>
                <w:rFonts w:ascii="Aptos" w:hAnsi="Aptos"/>
                <w:color w:val="212121"/>
                <w:sz w:val="20"/>
                <w:szCs w:val="20"/>
                <w:lang w:val="fr-FR"/>
              </w:rPr>
              <w:t>alignement sur les normes mondiales en matière de conservation de la biodiversité.</w:t>
            </w:r>
          </w:p>
          <w:p w14:paraId="12AED21A" w14:textId="77777777" w:rsidR="00E74807" w:rsidRPr="00653BF4" w:rsidRDefault="00E74807" w:rsidP="00E74807">
            <w:pPr>
              <w:rPr>
                <w:rFonts w:ascii="Aptos" w:hAnsi="Aptos"/>
                <w:color w:val="212121"/>
                <w:sz w:val="20"/>
                <w:szCs w:val="20"/>
                <w:lang w:val="fr-FR"/>
              </w:rPr>
            </w:pPr>
          </w:p>
          <w:p w14:paraId="0BFE3DBB" w14:textId="09C75988" w:rsidR="00E74807" w:rsidRPr="00653BF4" w:rsidRDefault="00E74807" w:rsidP="00E74807">
            <w:pPr>
              <w:rPr>
                <w:rFonts w:ascii="Aptos" w:hAnsi="Aptos"/>
                <w:color w:val="212121"/>
                <w:sz w:val="20"/>
                <w:szCs w:val="20"/>
                <w:lang w:val="fr-FR"/>
              </w:rPr>
            </w:pPr>
            <w:r w:rsidRPr="00653BF4">
              <w:rPr>
                <w:rFonts w:ascii="Aptos" w:hAnsi="Aptos"/>
                <w:color w:val="212121"/>
                <w:sz w:val="20"/>
                <w:szCs w:val="20"/>
                <w:lang w:val="fr-FR"/>
              </w:rPr>
              <w:t>L</w:t>
            </w:r>
            <w:r w:rsidR="002A58C8" w:rsidRPr="00653BF4">
              <w:rPr>
                <w:rFonts w:ascii="Aptos" w:hAnsi="Aptos"/>
                <w:color w:val="212121"/>
                <w:sz w:val="20"/>
                <w:szCs w:val="20"/>
                <w:lang w:val="fr-FR"/>
              </w:rPr>
              <w:t>’</w:t>
            </w:r>
            <w:r w:rsidRPr="00653BF4">
              <w:rPr>
                <w:rFonts w:ascii="Aptos" w:hAnsi="Aptos"/>
                <w:color w:val="212121"/>
                <w:sz w:val="20"/>
                <w:szCs w:val="20"/>
                <w:lang w:val="fr-FR"/>
              </w:rPr>
              <w:t>un des éléments clés de cette initiative est l</w:t>
            </w:r>
            <w:r w:rsidR="002A58C8" w:rsidRPr="00653BF4">
              <w:rPr>
                <w:rFonts w:ascii="Aptos" w:hAnsi="Aptos"/>
                <w:color w:val="212121"/>
                <w:sz w:val="20"/>
                <w:szCs w:val="20"/>
                <w:lang w:val="fr-FR"/>
              </w:rPr>
              <w:t>’</w:t>
            </w:r>
            <w:r w:rsidRPr="00653BF4">
              <w:rPr>
                <w:rFonts w:ascii="Aptos" w:hAnsi="Aptos"/>
                <w:color w:val="212121"/>
                <w:sz w:val="20"/>
                <w:szCs w:val="20"/>
                <w:lang w:val="fr-FR"/>
              </w:rPr>
              <w:t>institutionnalisation d</w:t>
            </w:r>
            <w:r w:rsidR="002A58C8" w:rsidRPr="00653BF4">
              <w:rPr>
                <w:rFonts w:ascii="Aptos" w:hAnsi="Aptos"/>
                <w:color w:val="212121"/>
                <w:sz w:val="20"/>
                <w:szCs w:val="20"/>
                <w:lang w:val="fr-FR"/>
              </w:rPr>
              <w:t>’</w:t>
            </w:r>
            <w:r w:rsidRPr="00653BF4">
              <w:rPr>
                <w:rFonts w:ascii="Aptos" w:hAnsi="Aptos"/>
                <w:color w:val="212121"/>
                <w:sz w:val="20"/>
                <w:szCs w:val="20"/>
                <w:lang w:val="fr-FR"/>
              </w:rPr>
              <w:t>évaluations biennales à l</w:t>
            </w:r>
            <w:r w:rsidR="002A58C8" w:rsidRPr="00653BF4">
              <w:rPr>
                <w:rFonts w:ascii="Aptos" w:hAnsi="Aptos"/>
                <w:color w:val="212121"/>
                <w:sz w:val="20"/>
                <w:szCs w:val="20"/>
                <w:lang w:val="fr-FR"/>
              </w:rPr>
              <w:t>’</w:t>
            </w:r>
            <w:r w:rsidRPr="00653BF4">
              <w:rPr>
                <w:rFonts w:ascii="Aptos" w:hAnsi="Aptos"/>
                <w:color w:val="212121"/>
                <w:sz w:val="20"/>
                <w:szCs w:val="20"/>
                <w:lang w:val="fr-FR"/>
              </w:rPr>
              <w:t>aide de l</w:t>
            </w:r>
            <w:r w:rsidR="002A58C8" w:rsidRPr="00653BF4">
              <w:rPr>
                <w:rFonts w:ascii="Aptos" w:hAnsi="Aptos"/>
                <w:color w:val="212121"/>
                <w:sz w:val="20"/>
                <w:szCs w:val="20"/>
                <w:lang w:val="fr-FR"/>
              </w:rPr>
              <w:t>’</w:t>
            </w:r>
            <w:r w:rsidRPr="00653BF4">
              <w:rPr>
                <w:rFonts w:ascii="Aptos" w:hAnsi="Aptos"/>
                <w:color w:val="212121"/>
                <w:sz w:val="20"/>
                <w:szCs w:val="20"/>
                <w:lang w:val="fr-FR"/>
              </w:rPr>
              <w:t>outil de suivi de l</w:t>
            </w:r>
            <w:r w:rsidR="002A58C8" w:rsidRPr="00653BF4">
              <w:rPr>
                <w:rFonts w:ascii="Aptos" w:hAnsi="Aptos"/>
                <w:color w:val="212121"/>
                <w:sz w:val="20"/>
                <w:szCs w:val="20"/>
                <w:lang w:val="fr-FR"/>
              </w:rPr>
              <w:t>’</w:t>
            </w:r>
            <w:r w:rsidRPr="00653BF4">
              <w:rPr>
                <w:rFonts w:ascii="Aptos" w:hAnsi="Aptos"/>
                <w:color w:val="212121"/>
                <w:sz w:val="20"/>
                <w:szCs w:val="20"/>
                <w:lang w:val="fr-FR"/>
              </w:rPr>
              <w:t>efficacité de la gestion, qui fournit une base factuelle normalisée permettant d</w:t>
            </w:r>
            <w:r w:rsidR="002A58C8" w:rsidRPr="00653BF4">
              <w:rPr>
                <w:rFonts w:ascii="Aptos" w:hAnsi="Aptos"/>
                <w:color w:val="212121"/>
                <w:sz w:val="20"/>
                <w:szCs w:val="20"/>
                <w:lang w:val="fr-FR"/>
              </w:rPr>
              <w:t>’</w:t>
            </w:r>
            <w:r w:rsidRPr="00653BF4">
              <w:rPr>
                <w:rFonts w:ascii="Aptos" w:hAnsi="Aptos"/>
                <w:color w:val="212121"/>
                <w:sz w:val="20"/>
                <w:szCs w:val="20"/>
                <w:lang w:val="fr-FR"/>
              </w:rPr>
              <w:t>identifier les lacunes en matière de gestion, de hiérarchiser les interventions et d</w:t>
            </w:r>
            <w:r w:rsidR="002A58C8" w:rsidRPr="00653BF4">
              <w:rPr>
                <w:rFonts w:ascii="Aptos" w:hAnsi="Aptos"/>
                <w:color w:val="212121"/>
                <w:sz w:val="20"/>
                <w:szCs w:val="20"/>
                <w:lang w:val="fr-FR"/>
              </w:rPr>
              <w:t>’</w:t>
            </w:r>
            <w:r w:rsidRPr="00653BF4">
              <w:rPr>
                <w:rFonts w:ascii="Aptos" w:hAnsi="Aptos"/>
                <w:color w:val="212121"/>
                <w:sz w:val="20"/>
                <w:szCs w:val="20"/>
                <w:lang w:val="fr-FR"/>
              </w:rPr>
              <w:t>améliorer les dispositifs de gouvernance. Cette approche systématique a contribué à faire passer le score national moyen d</w:t>
            </w:r>
            <w:r w:rsidR="002A58C8" w:rsidRPr="00653BF4">
              <w:rPr>
                <w:rFonts w:ascii="Aptos" w:hAnsi="Aptos"/>
                <w:color w:val="212121"/>
                <w:sz w:val="20"/>
                <w:szCs w:val="20"/>
                <w:lang w:val="fr-FR"/>
              </w:rPr>
              <w:t>’</w:t>
            </w:r>
            <w:r w:rsidRPr="00653BF4">
              <w:rPr>
                <w:rFonts w:ascii="Aptos" w:hAnsi="Aptos"/>
                <w:color w:val="212121"/>
                <w:sz w:val="20"/>
                <w:szCs w:val="20"/>
                <w:lang w:val="fr-FR"/>
              </w:rPr>
              <w:t>efficacité de la gestion de 57</w:t>
            </w:r>
            <w:r w:rsidR="002878D7">
              <w:rPr>
                <w:rFonts w:ascii="Aptos" w:hAnsi="Aptos"/>
                <w:color w:val="212121"/>
                <w:sz w:val="20"/>
                <w:szCs w:val="20"/>
                <w:lang w:val="fr-FR"/>
              </w:rPr>
              <w:t> %</w:t>
            </w:r>
            <w:r w:rsidRPr="00653BF4">
              <w:rPr>
                <w:rFonts w:ascii="Aptos" w:hAnsi="Aptos"/>
                <w:color w:val="212121"/>
                <w:sz w:val="20"/>
                <w:szCs w:val="20"/>
                <w:lang w:val="fr-FR"/>
              </w:rPr>
              <w:t xml:space="preserve"> en 2014 à plus de 74</w:t>
            </w:r>
            <w:r w:rsidR="002878D7">
              <w:rPr>
                <w:rFonts w:ascii="Aptos" w:hAnsi="Aptos"/>
                <w:color w:val="212121"/>
                <w:sz w:val="20"/>
                <w:szCs w:val="20"/>
                <w:lang w:val="fr-FR"/>
              </w:rPr>
              <w:t> %</w:t>
            </w:r>
            <w:r w:rsidRPr="00653BF4">
              <w:rPr>
                <w:rFonts w:ascii="Aptos" w:hAnsi="Aptos"/>
                <w:color w:val="212121"/>
                <w:sz w:val="20"/>
                <w:szCs w:val="20"/>
                <w:lang w:val="fr-FR"/>
              </w:rPr>
              <w:t xml:space="preserve"> en 2024, ce qui reflète des progrès substantiels dans la gestion des zones protégées.</w:t>
            </w:r>
          </w:p>
          <w:p w14:paraId="3F5FEB29" w14:textId="77777777" w:rsidR="00E74807" w:rsidRPr="00653BF4" w:rsidRDefault="00E74807" w:rsidP="00E74807">
            <w:pPr>
              <w:rPr>
                <w:rFonts w:ascii="Aptos" w:hAnsi="Aptos"/>
                <w:color w:val="212121"/>
                <w:sz w:val="20"/>
                <w:szCs w:val="20"/>
                <w:lang w:val="fr-FR"/>
              </w:rPr>
            </w:pPr>
          </w:p>
          <w:p w14:paraId="3392E542" w14:textId="445D9D5F" w:rsidR="00E74807" w:rsidRPr="00653BF4" w:rsidRDefault="00E74807" w:rsidP="00E74807">
            <w:pPr>
              <w:rPr>
                <w:rFonts w:ascii="Aptos" w:hAnsi="Aptos"/>
                <w:color w:val="212121"/>
                <w:sz w:val="20"/>
                <w:szCs w:val="20"/>
                <w:lang w:val="fr-FR"/>
              </w:rPr>
            </w:pPr>
            <w:r w:rsidRPr="00653BF4">
              <w:rPr>
                <w:rFonts w:ascii="Aptos" w:hAnsi="Aptos"/>
                <w:color w:val="212121"/>
                <w:sz w:val="20"/>
                <w:szCs w:val="20"/>
                <w:lang w:val="fr-FR"/>
              </w:rPr>
              <w:t>L</w:t>
            </w:r>
            <w:r w:rsidR="002A58C8" w:rsidRPr="00653BF4">
              <w:rPr>
                <w:rFonts w:ascii="Aptos" w:hAnsi="Aptos"/>
                <w:color w:val="212121"/>
                <w:sz w:val="20"/>
                <w:szCs w:val="20"/>
                <w:lang w:val="fr-FR"/>
              </w:rPr>
              <w:t>’</w:t>
            </w:r>
            <w:r w:rsidRPr="00653BF4">
              <w:rPr>
                <w:rFonts w:ascii="Aptos" w:hAnsi="Aptos"/>
                <w:color w:val="212121"/>
                <w:sz w:val="20"/>
                <w:szCs w:val="20"/>
                <w:lang w:val="fr-FR"/>
              </w:rPr>
              <w:t>initiative a été menée par les autorités nationales chargées de l</w:t>
            </w:r>
            <w:r w:rsidR="002A58C8" w:rsidRPr="00653BF4">
              <w:rPr>
                <w:rFonts w:ascii="Aptos" w:hAnsi="Aptos"/>
                <w:color w:val="212121"/>
                <w:sz w:val="20"/>
                <w:szCs w:val="20"/>
                <w:lang w:val="fr-FR"/>
              </w:rPr>
              <w:t>’</w:t>
            </w:r>
            <w:r w:rsidRPr="00653BF4">
              <w:rPr>
                <w:rFonts w:ascii="Aptos" w:hAnsi="Aptos"/>
                <w:color w:val="212121"/>
                <w:sz w:val="20"/>
                <w:szCs w:val="20"/>
                <w:lang w:val="fr-FR"/>
              </w:rPr>
              <w:t>environnement, responsables de l</w:t>
            </w:r>
            <w:r w:rsidR="002A58C8" w:rsidRPr="00653BF4">
              <w:rPr>
                <w:rFonts w:ascii="Aptos" w:hAnsi="Aptos"/>
                <w:color w:val="212121"/>
                <w:sz w:val="20"/>
                <w:szCs w:val="20"/>
                <w:lang w:val="fr-FR"/>
              </w:rPr>
              <w:t>’</w:t>
            </w:r>
            <w:r w:rsidRPr="00653BF4">
              <w:rPr>
                <w:rFonts w:ascii="Aptos" w:hAnsi="Aptos"/>
                <w:color w:val="212121"/>
                <w:sz w:val="20"/>
                <w:szCs w:val="20"/>
                <w:lang w:val="fr-FR"/>
              </w:rPr>
              <w:t>élaboration des politiques en matière de biodiversité, de l</w:t>
            </w:r>
            <w:r w:rsidR="002A58C8" w:rsidRPr="00653BF4">
              <w:rPr>
                <w:rFonts w:ascii="Aptos" w:hAnsi="Aptos"/>
                <w:color w:val="212121"/>
                <w:sz w:val="20"/>
                <w:szCs w:val="20"/>
                <w:lang w:val="fr-FR"/>
              </w:rPr>
              <w:t>’</w:t>
            </w:r>
            <w:r w:rsidRPr="00653BF4">
              <w:rPr>
                <w:rFonts w:ascii="Aptos" w:hAnsi="Aptos"/>
                <w:color w:val="212121"/>
                <w:sz w:val="20"/>
                <w:szCs w:val="20"/>
                <w:lang w:val="fr-FR"/>
              </w:rPr>
              <w:t>aménagement du territoire et du développement des normes d</w:t>
            </w:r>
            <w:r w:rsidR="002A58C8" w:rsidRPr="00653BF4">
              <w:rPr>
                <w:rFonts w:ascii="Aptos" w:hAnsi="Aptos"/>
                <w:color w:val="212121"/>
                <w:sz w:val="20"/>
                <w:szCs w:val="20"/>
                <w:lang w:val="fr-FR"/>
              </w:rPr>
              <w:t>’</w:t>
            </w:r>
            <w:r w:rsidRPr="00653BF4">
              <w:rPr>
                <w:rFonts w:ascii="Aptos" w:hAnsi="Aptos"/>
                <w:color w:val="212121"/>
                <w:sz w:val="20"/>
                <w:szCs w:val="20"/>
                <w:lang w:val="fr-FR"/>
              </w:rPr>
              <w:t>évaluation unifiées. Des organisations internationales de conservation ont apporté un appui à l</w:t>
            </w:r>
            <w:r w:rsidR="002A58C8" w:rsidRPr="00653BF4">
              <w:rPr>
                <w:rFonts w:ascii="Aptos" w:hAnsi="Aptos"/>
                <w:color w:val="212121"/>
                <w:sz w:val="20"/>
                <w:szCs w:val="20"/>
                <w:lang w:val="fr-FR"/>
              </w:rPr>
              <w:t>’</w:t>
            </w:r>
            <w:r w:rsidRPr="00653BF4">
              <w:rPr>
                <w:rFonts w:ascii="Aptos" w:hAnsi="Aptos"/>
                <w:color w:val="212121"/>
                <w:sz w:val="20"/>
                <w:szCs w:val="20"/>
                <w:lang w:val="fr-FR"/>
              </w:rPr>
              <w:t>intégration des zones protégées dans les cadres mondiaux de conservation, notamment le WDPCA, les sites inscrits sur la Liste de Ramsar des zones humides d</w:t>
            </w:r>
            <w:r w:rsidR="002A58C8" w:rsidRPr="00653BF4">
              <w:rPr>
                <w:rFonts w:ascii="Aptos" w:hAnsi="Aptos"/>
                <w:color w:val="212121"/>
                <w:sz w:val="20"/>
                <w:szCs w:val="20"/>
                <w:lang w:val="fr-FR"/>
              </w:rPr>
              <w:t>’</w:t>
            </w:r>
            <w:r w:rsidRPr="00653BF4">
              <w:rPr>
                <w:rFonts w:ascii="Aptos" w:hAnsi="Aptos"/>
                <w:color w:val="212121"/>
                <w:sz w:val="20"/>
                <w:szCs w:val="20"/>
                <w:lang w:val="fr-FR"/>
              </w:rPr>
              <w:t>importance internationale en vertu de la Convention relative aux zones humides d</w:t>
            </w:r>
            <w:r w:rsidR="002A58C8" w:rsidRPr="00653BF4">
              <w:rPr>
                <w:rFonts w:ascii="Aptos" w:hAnsi="Aptos"/>
                <w:color w:val="212121"/>
                <w:sz w:val="20"/>
                <w:szCs w:val="20"/>
                <w:lang w:val="fr-FR"/>
              </w:rPr>
              <w:t>’</w:t>
            </w:r>
            <w:r w:rsidRPr="00653BF4">
              <w:rPr>
                <w:rFonts w:ascii="Aptos" w:hAnsi="Aptos"/>
                <w:color w:val="212121"/>
                <w:sz w:val="20"/>
                <w:szCs w:val="20"/>
                <w:lang w:val="fr-FR"/>
              </w:rPr>
              <w:t>importance internationale, notamment comme habitats des oiseaux d</w:t>
            </w:r>
            <w:r w:rsidR="002A58C8" w:rsidRPr="00653BF4">
              <w:rPr>
                <w:rFonts w:ascii="Aptos" w:hAnsi="Aptos"/>
                <w:color w:val="212121"/>
                <w:sz w:val="20"/>
                <w:szCs w:val="20"/>
                <w:lang w:val="fr-FR"/>
              </w:rPr>
              <w:t>’</w:t>
            </w:r>
            <w:r w:rsidRPr="00653BF4">
              <w:rPr>
                <w:rFonts w:ascii="Aptos" w:hAnsi="Aptos"/>
                <w:color w:val="212121"/>
                <w:sz w:val="20"/>
                <w:szCs w:val="20"/>
                <w:lang w:val="fr-FR"/>
              </w:rPr>
              <w:t>eau (sites Ramsar), le Réseau mondial des réserves de biosphère de l</w:t>
            </w:r>
            <w:r w:rsidR="002A58C8" w:rsidRPr="00653BF4">
              <w:rPr>
                <w:rFonts w:ascii="Aptos" w:hAnsi="Aptos"/>
                <w:color w:val="212121"/>
                <w:sz w:val="20"/>
                <w:szCs w:val="20"/>
                <w:lang w:val="fr-FR"/>
              </w:rPr>
              <w:t>’</w:t>
            </w:r>
            <w:r w:rsidRPr="00653BF4">
              <w:rPr>
                <w:rFonts w:ascii="Aptos" w:hAnsi="Aptos"/>
                <w:color w:val="212121"/>
                <w:sz w:val="20"/>
                <w:szCs w:val="20"/>
                <w:lang w:val="fr-FR"/>
              </w:rPr>
              <w:t>UNESCO, la Liste verte de l</w:t>
            </w:r>
            <w:r w:rsidR="002A58C8" w:rsidRPr="00653BF4">
              <w:rPr>
                <w:rFonts w:ascii="Aptos" w:hAnsi="Aptos"/>
                <w:color w:val="212121"/>
                <w:sz w:val="20"/>
                <w:szCs w:val="20"/>
                <w:lang w:val="fr-FR"/>
              </w:rPr>
              <w:t>’</w:t>
            </w:r>
            <w:r w:rsidRPr="00653BF4">
              <w:rPr>
                <w:rFonts w:ascii="Aptos" w:hAnsi="Aptos"/>
                <w:color w:val="212121"/>
                <w:sz w:val="20"/>
                <w:szCs w:val="20"/>
                <w:lang w:val="fr-FR"/>
              </w:rPr>
              <w:t>UICN des aires protégées et conservées, ainsi que le processus relatif aux zones marines d</w:t>
            </w:r>
            <w:r w:rsidR="002A58C8" w:rsidRPr="00653BF4">
              <w:rPr>
                <w:rFonts w:ascii="Aptos" w:hAnsi="Aptos"/>
                <w:color w:val="212121"/>
                <w:sz w:val="20"/>
                <w:szCs w:val="20"/>
                <w:lang w:val="fr-FR"/>
              </w:rPr>
              <w:t>’</w:t>
            </w:r>
            <w:r w:rsidRPr="00653BF4">
              <w:rPr>
                <w:rFonts w:ascii="Aptos" w:hAnsi="Aptos"/>
                <w:color w:val="212121"/>
                <w:sz w:val="20"/>
                <w:szCs w:val="20"/>
                <w:lang w:val="fr-FR"/>
              </w:rPr>
              <w:t>importance écologique ou biologique.</w:t>
            </w:r>
          </w:p>
          <w:p w14:paraId="2B9A3B13" w14:textId="77777777" w:rsidR="00E74807" w:rsidRPr="00653BF4" w:rsidRDefault="00E74807" w:rsidP="00E74807">
            <w:pPr>
              <w:rPr>
                <w:rFonts w:ascii="Aptos" w:hAnsi="Aptos"/>
                <w:color w:val="212121"/>
                <w:sz w:val="20"/>
                <w:szCs w:val="20"/>
                <w:lang w:val="fr-FR"/>
              </w:rPr>
            </w:pPr>
          </w:p>
          <w:p w14:paraId="4DF4677A" w14:textId="49578059" w:rsidR="008D2740" w:rsidRPr="00653BF4" w:rsidRDefault="00E74807" w:rsidP="00E74807">
            <w:pPr>
              <w:rPr>
                <w:rFonts w:ascii="Aptos" w:hAnsi="Aptos"/>
                <w:color w:val="212121"/>
                <w:sz w:val="20"/>
                <w:szCs w:val="20"/>
                <w:lang w:val="fr-FR"/>
              </w:rPr>
            </w:pPr>
            <w:r w:rsidRPr="00653BF4">
              <w:rPr>
                <w:rFonts w:ascii="Aptos" w:hAnsi="Aptos"/>
                <w:color w:val="212121"/>
                <w:sz w:val="20"/>
                <w:szCs w:val="20"/>
                <w:lang w:val="fr-FR"/>
              </w:rPr>
              <w:t>L</w:t>
            </w:r>
            <w:r w:rsidR="002A58C8" w:rsidRPr="00653BF4">
              <w:rPr>
                <w:rFonts w:ascii="Aptos" w:hAnsi="Aptos"/>
                <w:color w:val="212121"/>
                <w:sz w:val="20"/>
                <w:szCs w:val="20"/>
                <w:lang w:val="fr-FR"/>
              </w:rPr>
              <w:t>’</w:t>
            </w:r>
            <w:r w:rsidRPr="00653BF4">
              <w:rPr>
                <w:rFonts w:ascii="Aptos" w:hAnsi="Aptos"/>
                <w:color w:val="212121"/>
                <w:sz w:val="20"/>
                <w:szCs w:val="20"/>
                <w:lang w:val="fr-FR"/>
              </w:rPr>
              <w:t>appui à la mise en œuvre a été assuré par des mesures réglementaires et d</w:t>
            </w:r>
            <w:r w:rsidR="002A58C8" w:rsidRPr="00653BF4">
              <w:rPr>
                <w:rFonts w:ascii="Aptos" w:hAnsi="Aptos"/>
                <w:color w:val="212121"/>
                <w:sz w:val="20"/>
                <w:szCs w:val="20"/>
                <w:lang w:val="fr-FR"/>
              </w:rPr>
              <w:t>’</w:t>
            </w:r>
            <w:r w:rsidRPr="00653BF4">
              <w:rPr>
                <w:rFonts w:ascii="Aptos" w:hAnsi="Aptos"/>
                <w:color w:val="212121"/>
                <w:sz w:val="20"/>
                <w:szCs w:val="20"/>
                <w:lang w:val="fr-FR"/>
              </w:rPr>
              <w:t>aménagement du territoire complémentaires qui intègrent les objectifs de biodiversité dans la planification de l</w:t>
            </w:r>
            <w:r w:rsidR="002A58C8" w:rsidRPr="00653BF4">
              <w:rPr>
                <w:rFonts w:ascii="Aptos" w:hAnsi="Aptos"/>
                <w:color w:val="212121"/>
                <w:sz w:val="20"/>
                <w:szCs w:val="20"/>
                <w:lang w:val="fr-FR"/>
              </w:rPr>
              <w:t>’</w:t>
            </w:r>
            <w:r w:rsidRPr="00653BF4">
              <w:rPr>
                <w:rFonts w:ascii="Aptos" w:hAnsi="Aptos"/>
                <w:color w:val="212121"/>
                <w:sz w:val="20"/>
                <w:szCs w:val="20"/>
                <w:lang w:val="fr-FR"/>
              </w:rPr>
              <w:t>utilisation des sols, la remise en état des écosystèmes et les stratégies de développement urbain. Les Émirats arabes unis ont également introduit des innovations technologiques, notamment la restauration écologique assistée par drones et des systèmes de suivi basés sur l</w:t>
            </w:r>
            <w:r w:rsidR="002A58C8" w:rsidRPr="00653BF4">
              <w:rPr>
                <w:rFonts w:ascii="Aptos" w:hAnsi="Aptos"/>
                <w:color w:val="212121"/>
                <w:sz w:val="20"/>
                <w:szCs w:val="20"/>
                <w:lang w:val="fr-FR"/>
              </w:rPr>
              <w:t>’</w:t>
            </w:r>
            <w:r w:rsidRPr="00653BF4">
              <w:rPr>
                <w:rFonts w:ascii="Aptos" w:hAnsi="Aptos"/>
                <w:color w:val="212121"/>
                <w:sz w:val="20"/>
                <w:szCs w:val="20"/>
                <w:lang w:val="fr-FR"/>
              </w:rPr>
              <w:t>intelligence artificielle, afin d</w:t>
            </w:r>
            <w:r w:rsidR="002A58C8" w:rsidRPr="00653BF4">
              <w:rPr>
                <w:rFonts w:ascii="Aptos" w:hAnsi="Aptos"/>
                <w:color w:val="212121"/>
                <w:sz w:val="20"/>
                <w:szCs w:val="20"/>
                <w:lang w:val="fr-FR"/>
              </w:rPr>
              <w:t>’</w:t>
            </w:r>
            <w:r w:rsidRPr="00653BF4">
              <w:rPr>
                <w:rFonts w:ascii="Aptos" w:hAnsi="Aptos"/>
                <w:color w:val="212121"/>
                <w:sz w:val="20"/>
                <w:szCs w:val="20"/>
                <w:lang w:val="fr-FR"/>
              </w:rPr>
              <w:t>améliorer la gestion de la conservation dans des environnements arides et côtiers difficiles.</w:t>
            </w:r>
          </w:p>
          <w:p w14:paraId="24CD48EE" w14:textId="77777777" w:rsidR="00207D2B" w:rsidRPr="00653BF4" w:rsidRDefault="00207D2B" w:rsidP="00F159C4">
            <w:pPr>
              <w:rPr>
                <w:rFonts w:ascii="Aptos" w:hAnsi="Aptos"/>
                <w:color w:val="212121"/>
                <w:sz w:val="20"/>
                <w:szCs w:val="20"/>
                <w:lang w:val="fr-FR"/>
              </w:rPr>
            </w:pPr>
          </w:p>
          <w:p w14:paraId="13AE8395" w14:textId="6393D03F" w:rsidR="008B6909" w:rsidRPr="00653BF4" w:rsidRDefault="00904C13" w:rsidP="00207D2B">
            <w:pPr>
              <w:rPr>
                <w:rFonts w:ascii="Aptos" w:hAnsi="Aptos"/>
                <w:color w:val="212121"/>
                <w:sz w:val="20"/>
                <w:szCs w:val="20"/>
                <w:lang w:val="fr-FR"/>
              </w:rPr>
            </w:pPr>
            <w:r w:rsidRPr="00653BF4">
              <w:rPr>
                <w:rFonts w:ascii="Aptos" w:hAnsi="Aptos"/>
                <w:i/>
                <w:color w:val="212121"/>
                <w:sz w:val="20"/>
                <w:szCs w:val="20"/>
                <w:lang w:val="fr-FR"/>
              </w:rPr>
              <w:t>C</w:t>
            </w:r>
            <w:r w:rsidR="001345EC" w:rsidRPr="00653BF4">
              <w:rPr>
                <w:rFonts w:ascii="Aptos" w:hAnsi="Aptos"/>
                <w:i/>
                <w:color w:val="212121"/>
                <w:sz w:val="20"/>
                <w:szCs w:val="20"/>
                <w:lang w:val="fr-FR"/>
              </w:rPr>
              <w:t>ibles concernées</w:t>
            </w:r>
            <w:r w:rsidR="00E34DC9">
              <w:rPr>
                <w:rFonts w:ascii="Aptos" w:hAnsi="Aptos"/>
                <w:i/>
                <w:color w:val="212121"/>
                <w:sz w:val="20"/>
                <w:szCs w:val="20"/>
                <w:lang w:val="fr-FR"/>
              </w:rPr>
              <w:t> :</w:t>
            </w:r>
            <w:r w:rsidR="00207D2B" w:rsidRPr="00653BF4">
              <w:rPr>
                <w:rFonts w:ascii="Aptos" w:hAnsi="Aptos"/>
                <w:i/>
                <w:color w:val="212121"/>
                <w:sz w:val="20"/>
                <w:szCs w:val="20"/>
                <w:lang w:val="fr-FR"/>
              </w:rPr>
              <w:t xml:space="preserve"> </w:t>
            </w:r>
            <w:r w:rsidR="00207D2B" w:rsidRPr="00653BF4">
              <w:rPr>
                <w:rFonts w:ascii="Aptos" w:hAnsi="Aptos"/>
                <w:color w:val="212121"/>
                <w:sz w:val="20"/>
                <w:szCs w:val="20"/>
                <w:lang w:val="fr-FR"/>
              </w:rPr>
              <w:t>1,3,4</w:t>
            </w:r>
            <w:r w:rsidR="00A068EE" w:rsidRPr="00653BF4">
              <w:rPr>
                <w:rFonts w:ascii="Aptos" w:hAnsi="Aptos"/>
                <w:color w:val="212121"/>
                <w:sz w:val="20"/>
                <w:szCs w:val="20"/>
                <w:lang w:val="fr-FR"/>
              </w:rPr>
              <w:t xml:space="preserve"> </w:t>
            </w:r>
            <w:r w:rsidR="003303E4" w:rsidRPr="00653BF4">
              <w:rPr>
                <w:rFonts w:ascii="Aptos" w:hAnsi="Aptos"/>
                <w:color w:val="212121"/>
                <w:sz w:val="20"/>
                <w:szCs w:val="20"/>
                <w:lang w:val="fr-FR"/>
              </w:rPr>
              <w:t>et</w:t>
            </w:r>
            <w:r w:rsidR="00207D2B" w:rsidRPr="00653BF4">
              <w:rPr>
                <w:rFonts w:ascii="Aptos" w:hAnsi="Aptos"/>
                <w:color w:val="212121"/>
                <w:sz w:val="20"/>
                <w:szCs w:val="20"/>
                <w:lang w:val="fr-FR"/>
              </w:rPr>
              <w:t xml:space="preserve"> </w:t>
            </w:r>
            <w:r w:rsidR="00365923" w:rsidRPr="00653BF4">
              <w:rPr>
                <w:rFonts w:ascii="Aptos" w:hAnsi="Aptos"/>
                <w:color w:val="212121"/>
                <w:sz w:val="20"/>
                <w:szCs w:val="20"/>
                <w:lang w:val="fr-FR"/>
              </w:rPr>
              <w:t>21</w:t>
            </w:r>
            <w:r w:rsidR="00894821" w:rsidRPr="00653BF4">
              <w:rPr>
                <w:rFonts w:ascii="Aptos" w:hAnsi="Aptos"/>
                <w:color w:val="212121"/>
                <w:sz w:val="20"/>
                <w:szCs w:val="20"/>
                <w:lang w:val="fr-FR"/>
              </w:rPr>
              <w:t>.</w:t>
            </w:r>
          </w:p>
          <w:p w14:paraId="69DD5B6E" w14:textId="77777777" w:rsidR="002330BF" w:rsidRPr="00653BF4" w:rsidRDefault="002330BF" w:rsidP="00207D2B">
            <w:pPr>
              <w:rPr>
                <w:rFonts w:ascii="Aptos" w:hAnsi="Aptos"/>
                <w:i/>
                <w:color w:val="212121"/>
                <w:sz w:val="20"/>
                <w:szCs w:val="20"/>
                <w:lang w:val="fr-FR"/>
              </w:rPr>
            </w:pPr>
          </w:p>
          <w:p w14:paraId="53C3E059" w14:textId="4290CF96" w:rsidR="00365923" w:rsidRPr="00653BF4" w:rsidRDefault="00365923" w:rsidP="00207D2B">
            <w:pPr>
              <w:rPr>
                <w:lang w:val="fr-FR"/>
              </w:rPr>
            </w:pPr>
            <w:r w:rsidRPr="00653BF4">
              <w:rPr>
                <w:i/>
                <w:sz w:val="20"/>
                <w:szCs w:val="20"/>
                <w:lang w:val="fr-FR"/>
              </w:rPr>
              <w:lastRenderedPageBreak/>
              <w:t>Source</w:t>
            </w:r>
            <w:r w:rsidR="00E34DC9">
              <w:rPr>
                <w:i/>
                <w:sz w:val="20"/>
                <w:szCs w:val="20"/>
                <w:lang w:val="fr-FR"/>
              </w:rPr>
              <w:t> :</w:t>
            </w:r>
            <w:r w:rsidRPr="00653BF4">
              <w:rPr>
                <w:i/>
                <w:sz w:val="20"/>
                <w:szCs w:val="20"/>
                <w:lang w:val="fr-FR"/>
              </w:rPr>
              <w:t xml:space="preserve"> </w:t>
            </w:r>
            <w:r w:rsidR="009E5E35" w:rsidRPr="00653BF4">
              <w:rPr>
                <w:sz w:val="20"/>
                <w:szCs w:val="20"/>
                <w:lang w:val="fr-FR"/>
              </w:rPr>
              <w:t>Émirats arabes unis, septième rapport national au titre de la Convention.</w:t>
            </w:r>
          </w:p>
        </w:tc>
      </w:tr>
    </w:tbl>
    <w:p w14:paraId="327098B1" w14:textId="77777777" w:rsidR="00022C17" w:rsidRPr="00653BF4" w:rsidRDefault="00022C17" w:rsidP="006C0F01">
      <w:pPr>
        <w:rPr>
          <w:lang w:val="fr-FR"/>
        </w:rPr>
      </w:pPr>
    </w:p>
    <w:p w14:paraId="5D4250B9" w14:textId="77777777" w:rsidR="00E337BC" w:rsidRPr="00653BF4" w:rsidRDefault="00E337BC" w:rsidP="006C0F01">
      <w:pPr>
        <w:pStyle w:val="Heading6"/>
        <w:rPr>
          <w:lang w:val="fr-FR"/>
        </w:rPr>
      </w:pPr>
      <w:bookmarkStart w:id="114" w:name="_Toc235821084"/>
    </w:p>
    <w:p w14:paraId="54F1B1F5" w14:textId="57109B4D" w:rsidR="006C0F01" w:rsidRPr="00653BF4" w:rsidRDefault="00415859" w:rsidP="006C0F01">
      <w:pPr>
        <w:pStyle w:val="Heading6"/>
        <w:rPr>
          <w:lang w:val="fr-FR"/>
        </w:rPr>
      </w:pPr>
      <w:r w:rsidRPr="00653BF4">
        <w:rPr>
          <w:lang w:val="fr-FR"/>
        </w:rPr>
        <w:t>Difficulté</w:t>
      </w:r>
      <w:r w:rsidR="00DD19D2" w:rsidRPr="00653BF4">
        <w:rPr>
          <w:lang w:val="fr-FR"/>
        </w:rPr>
        <w:t>s</w:t>
      </w:r>
      <w:bookmarkEnd w:id="114"/>
    </w:p>
    <w:p w14:paraId="67BDAD9A" w14:textId="77777777" w:rsidR="00E337BC" w:rsidRPr="00653BF4" w:rsidRDefault="00E337BC" w:rsidP="00E337BC">
      <w:pPr>
        <w:tabs>
          <w:tab w:val="left" w:pos="0"/>
          <w:tab w:val="left" w:pos="720"/>
        </w:tabs>
        <w:spacing w:line="276" w:lineRule="auto"/>
        <w:rPr>
          <w:rFonts w:ascii="Aptos" w:eastAsia="Aptos" w:hAnsi="Aptos" w:cs="Aptos"/>
          <w:lang w:val="fr-FR"/>
        </w:rPr>
      </w:pPr>
    </w:p>
    <w:p w14:paraId="0455C43B" w14:textId="028407F3" w:rsidR="00E337BC" w:rsidRPr="00653BF4" w:rsidRDefault="00014C5E" w:rsidP="00E337BC">
      <w:pPr>
        <w:tabs>
          <w:tab w:val="left" w:pos="0"/>
          <w:tab w:val="left" w:pos="720"/>
        </w:tabs>
        <w:spacing w:line="276" w:lineRule="auto"/>
        <w:rPr>
          <w:rFonts w:ascii="Aptos" w:eastAsia="Aptos" w:hAnsi="Aptos" w:cs="Aptos"/>
          <w:lang w:val="fr-FR"/>
        </w:rPr>
      </w:pPr>
      <w:r w:rsidRPr="00653BF4">
        <w:rPr>
          <w:rFonts w:ascii="Aptos" w:eastAsia="Aptos" w:hAnsi="Aptos" w:cs="Aptos"/>
          <w:lang w:val="fr-FR"/>
        </w:rPr>
        <w:t xml:space="preserve">Les contraintes en matière de capacités et de ressources financières constituent les difficultés les plus fréquemment signalées concernant la </w:t>
      </w:r>
      <w:r w:rsidR="00E34DC9">
        <w:rPr>
          <w:rFonts w:ascii="Aptos" w:eastAsia="Aptos" w:hAnsi="Aptos" w:cs="Aptos"/>
          <w:lang w:val="fr-FR"/>
        </w:rPr>
        <w:t>cible 3</w:t>
      </w:r>
      <w:r w:rsidRPr="00653BF4">
        <w:rPr>
          <w:rFonts w:ascii="Aptos" w:eastAsia="Aptos" w:hAnsi="Aptos" w:cs="Aptos"/>
          <w:lang w:val="fr-FR"/>
        </w:rPr>
        <w:t>. Les Parties indiquent que la conservation de la biodiversité ne figure pas parmi les priorités des budgets des gouvernements centraux, ce qui entraîne un écart entre les dotations actuelles et les besoins réels. Les Parties, en particulier les pays les moins avancés et les petits États insulaires en développement, font état d</w:t>
      </w:r>
      <w:r w:rsidR="002A58C8" w:rsidRPr="00653BF4">
        <w:rPr>
          <w:rFonts w:ascii="Aptos" w:eastAsia="Aptos" w:hAnsi="Aptos" w:cs="Aptos"/>
          <w:lang w:val="fr-FR"/>
        </w:rPr>
        <w:t>’</w:t>
      </w:r>
      <w:r w:rsidRPr="00653BF4">
        <w:rPr>
          <w:rFonts w:ascii="Aptos" w:eastAsia="Aptos" w:hAnsi="Aptos" w:cs="Aptos"/>
          <w:lang w:val="fr-FR"/>
        </w:rPr>
        <w:t>une forte dépendance vis-à-vis des partenaires internationaux et des financements des donateurs. Cela crée le risque d</w:t>
      </w:r>
      <w:r w:rsidR="002A58C8" w:rsidRPr="00653BF4">
        <w:rPr>
          <w:rFonts w:ascii="Aptos" w:eastAsia="Aptos" w:hAnsi="Aptos" w:cs="Aptos"/>
          <w:lang w:val="fr-FR"/>
        </w:rPr>
        <w:t>’</w:t>
      </w:r>
      <w:r w:rsidRPr="00653BF4">
        <w:rPr>
          <w:rFonts w:ascii="Aptos" w:eastAsia="Aptos" w:hAnsi="Aptos" w:cs="Aptos"/>
          <w:lang w:val="fr-FR"/>
        </w:rPr>
        <w:t xml:space="preserve">une </w:t>
      </w:r>
      <w:r w:rsidR="00E34DC9">
        <w:rPr>
          <w:rFonts w:ascii="Aptos" w:eastAsia="Aptos" w:hAnsi="Aptos" w:cs="Aptos"/>
          <w:lang w:val="fr-FR"/>
        </w:rPr>
        <w:t>« </w:t>
      </w:r>
      <w:r w:rsidRPr="00653BF4">
        <w:rPr>
          <w:rFonts w:ascii="Aptos" w:eastAsia="Aptos" w:hAnsi="Aptos" w:cs="Aptos"/>
          <w:lang w:val="fr-FR"/>
        </w:rPr>
        <w:t>rupture de financement</w:t>
      </w:r>
      <w:r w:rsidR="00E34DC9">
        <w:rPr>
          <w:rFonts w:ascii="Aptos" w:eastAsia="Aptos" w:hAnsi="Aptos" w:cs="Aptos"/>
          <w:lang w:val="fr-FR"/>
        </w:rPr>
        <w:t> »</w:t>
      </w:r>
      <w:r w:rsidRPr="00653BF4">
        <w:rPr>
          <w:rFonts w:ascii="Aptos" w:eastAsia="Aptos" w:hAnsi="Aptos" w:cs="Aptos"/>
          <w:lang w:val="fr-FR"/>
        </w:rPr>
        <w:t>, les efforts de conservation s</w:t>
      </w:r>
      <w:r w:rsidR="002A58C8" w:rsidRPr="00653BF4">
        <w:rPr>
          <w:rFonts w:ascii="Aptos" w:eastAsia="Aptos" w:hAnsi="Aptos" w:cs="Aptos"/>
          <w:lang w:val="fr-FR"/>
        </w:rPr>
        <w:t>’</w:t>
      </w:r>
      <w:r w:rsidRPr="00653BF4">
        <w:rPr>
          <w:rFonts w:ascii="Aptos" w:eastAsia="Aptos" w:hAnsi="Aptos" w:cs="Aptos"/>
          <w:lang w:val="fr-FR"/>
        </w:rPr>
        <w:t>enlisant à l</w:t>
      </w:r>
      <w:r w:rsidR="002A58C8" w:rsidRPr="00653BF4">
        <w:rPr>
          <w:rFonts w:ascii="Aptos" w:eastAsia="Aptos" w:hAnsi="Aptos" w:cs="Aptos"/>
          <w:lang w:val="fr-FR"/>
        </w:rPr>
        <w:t>’</w:t>
      </w:r>
      <w:r w:rsidRPr="00653BF4">
        <w:rPr>
          <w:rFonts w:ascii="Aptos" w:eastAsia="Aptos" w:hAnsi="Aptos" w:cs="Aptos"/>
          <w:lang w:val="fr-FR"/>
        </w:rPr>
        <w:t>expiration des subventions liées à des projets spécifiques. Les Parties font état de lacunes en matière de capacités allant d</w:t>
      </w:r>
      <w:r w:rsidR="002A58C8" w:rsidRPr="00653BF4">
        <w:rPr>
          <w:rFonts w:ascii="Aptos" w:eastAsia="Aptos" w:hAnsi="Aptos" w:cs="Aptos"/>
          <w:lang w:val="fr-FR"/>
        </w:rPr>
        <w:t>’</w:t>
      </w:r>
      <w:r w:rsidRPr="00653BF4">
        <w:rPr>
          <w:rFonts w:ascii="Aptos" w:eastAsia="Aptos" w:hAnsi="Aptos" w:cs="Aptos"/>
          <w:lang w:val="fr-FR"/>
        </w:rPr>
        <w:t>une pénurie aiguë de personnel à des défis structurels liés à la gouvernance. L</w:t>
      </w:r>
      <w:r w:rsidR="002A58C8" w:rsidRPr="00653BF4">
        <w:rPr>
          <w:rFonts w:ascii="Aptos" w:eastAsia="Aptos" w:hAnsi="Aptos" w:cs="Aptos"/>
          <w:lang w:val="fr-FR"/>
        </w:rPr>
        <w:t>’</w:t>
      </w:r>
      <w:r w:rsidRPr="00653BF4">
        <w:rPr>
          <w:rFonts w:ascii="Aptos" w:eastAsia="Aptos" w:hAnsi="Aptos" w:cs="Aptos"/>
          <w:lang w:val="fr-FR"/>
        </w:rPr>
        <w:t>un des principaux défis mentionnés par les Parties est le décalage entre la déclaration officielle d</w:t>
      </w:r>
      <w:r w:rsidR="002A58C8" w:rsidRPr="00653BF4">
        <w:rPr>
          <w:rFonts w:ascii="Aptos" w:eastAsia="Aptos" w:hAnsi="Aptos" w:cs="Aptos"/>
          <w:lang w:val="fr-FR"/>
        </w:rPr>
        <w:t>’</w:t>
      </w:r>
      <w:r w:rsidRPr="00653BF4">
        <w:rPr>
          <w:rFonts w:ascii="Aptos" w:eastAsia="Aptos" w:hAnsi="Aptos" w:cs="Aptos"/>
          <w:lang w:val="fr-FR"/>
        </w:rPr>
        <w:t>une zone protégée ou conservée et sa gestion effective. Certaines Parties indiquent que, bien qu</w:t>
      </w:r>
      <w:r w:rsidR="002A58C8" w:rsidRPr="00653BF4">
        <w:rPr>
          <w:rFonts w:ascii="Aptos" w:eastAsia="Aptos" w:hAnsi="Aptos" w:cs="Aptos"/>
          <w:lang w:val="fr-FR"/>
        </w:rPr>
        <w:t>’</w:t>
      </w:r>
      <w:r w:rsidRPr="00653BF4">
        <w:rPr>
          <w:rFonts w:ascii="Aptos" w:eastAsia="Aptos" w:hAnsi="Aptos" w:cs="Aptos"/>
          <w:lang w:val="fr-FR"/>
        </w:rPr>
        <w:t>elles puissent atteindre la cible de 30</w:t>
      </w:r>
      <w:r w:rsidR="002878D7">
        <w:rPr>
          <w:rFonts w:ascii="Aptos" w:eastAsia="Aptos" w:hAnsi="Aptos" w:cs="Aptos"/>
          <w:lang w:val="fr-FR"/>
        </w:rPr>
        <w:t> %</w:t>
      </w:r>
      <w:r w:rsidRPr="00653BF4">
        <w:rPr>
          <w:rFonts w:ascii="Aptos" w:eastAsia="Aptos" w:hAnsi="Aptos" w:cs="Aptos"/>
          <w:lang w:val="fr-FR"/>
        </w:rPr>
        <w:t xml:space="preserve"> de superficie en termes de désignation officielle, elles ne disposent pas de la supervision opérationnelle, des plans de gestion ou du personnel nécessaires pour rendre efficaces la protection ou la conservation. On observe une pénurie quasi universelle de personnel qualifié, notamment de gardes forestiers, d</w:t>
      </w:r>
      <w:r w:rsidR="002A58C8" w:rsidRPr="00653BF4">
        <w:rPr>
          <w:rFonts w:ascii="Aptos" w:eastAsia="Aptos" w:hAnsi="Aptos" w:cs="Aptos"/>
          <w:lang w:val="fr-FR"/>
        </w:rPr>
        <w:t>’</w:t>
      </w:r>
      <w:r w:rsidRPr="00653BF4">
        <w:rPr>
          <w:rFonts w:ascii="Aptos" w:eastAsia="Aptos" w:hAnsi="Aptos" w:cs="Aptos"/>
          <w:lang w:val="fr-FR"/>
        </w:rPr>
        <w:t>éco-gardes et de spécialistes en écologie ou en taxonomie. Un taux de rotation élevé du personnel spécialisé affaiblit encore davantage la mémoire institutionnelle et la continuité. L</w:t>
      </w:r>
      <w:r w:rsidR="002A58C8" w:rsidRPr="00653BF4">
        <w:rPr>
          <w:rFonts w:ascii="Aptos" w:eastAsia="Aptos" w:hAnsi="Aptos" w:cs="Aptos"/>
          <w:lang w:val="fr-FR"/>
        </w:rPr>
        <w:t>’</w:t>
      </w:r>
      <w:r w:rsidRPr="00653BF4">
        <w:rPr>
          <w:rFonts w:ascii="Aptos" w:eastAsia="Aptos" w:hAnsi="Aptos" w:cs="Aptos"/>
          <w:lang w:val="fr-FR"/>
        </w:rPr>
        <w:t xml:space="preserve">absence de cadres juridiques nationaux reconnaissant les OECM constitue un obstacle majeur à la réalisation de la composante </w:t>
      </w:r>
      <w:r w:rsidR="00E34DC9">
        <w:rPr>
          <w:rFonts w:ascii="Aptos" w:eastAsia="Aptos" w:hAnsi="Aptos" w:cs="Aptos"/>
          <w:lang w:val="fr-FR"/>
        </w:rPr>
        <w:t>« </w:t>
      </w:r>
      <w:r w:rsidRPr="00653BF4">
        <w:rPr>
          <w:rFonts w:ascii="Aptos" w:eastAsia="Aptos" w:hAnsi="Aptos" w:cs="Aptos"/>
          <w:lang w:val="fr-FR"/>
        </w:rPr>
        <w:t>30</w:t>
      </w:r>
      <w:r w:rsidR="002878D7">
        <w:rPr>
          <w:rFonts w:ascii="Aptos" w:eastAsia="Aptos" w:hAnsi="Aptos" w:cs="Aptos"/>
          <w:lang w:val="fr-FR"/>
        </w:rPr>
        <w:t> %</w:t>
      </w:r>
      <w:r w:rsidR="00E34DC9">
        <w:rPr>
          <w:rFonts w:ascii="Aptos" w:eastAsia="Aptos" w:hAnsi="Aptos" w:cs="Aptos"/>
          <w:lang w:val="fr-FR"/>
        </w:rPr>
        <w:t> »</w:t>
      </w:r>
      <w:r w:rsidRPr="00653BF4">
        <w:rPr>
          <w:rFonts w:ascii="Aptos" w:eastAsia="Aptos" w:hAnsi="Aptos" w:cs="Aptos"/>
          <w:lang w:val="fr-FR"/>
        </w:rPr>
        <w:t xml:space="preserve"> de la </w:t>
      </w:r>
      <w:r w:rsidR="00E34DC9">
        <w:rPr>
          <w:rFonts w:ascii="Aptos" w:eastAsia="Aptos" w:hAnsi="Aptos" w:cs="Aptos"/>
          <w:lang w:val="fr-FR"/>
        </w:rPr>
        <w:t>cible 3</w:t>
      </w:r>
      <w:r w:rsidRPr="00653BF4">
        <w:rPr>
          <w:rFonts w:ascii="Aptos" w:eastAsia="Aptos" w:hAnsi="Aptos" w:cs="Aptos"/>
          <w:lang w:val="fr-FR"/>
        </w:rPr>
        <w:t>. Cela empêche de nombreuses terres communautaires ou privées efficacement conservées d</w:t>
      </w:r>
      <w:r w:rsidR="002A58C8" w:rsidRPr="00653BF4">
        <w:rPr>
          <w:rFonts w:ascii="Aptos" w:eastAsia="Aptos" w:hAnsi="Aptos" w:cs="Aptos"/>
          <w:lang w:val="fr-FR"/>
        </w:rPr>
        <w:t>’</w:t>
      </w:r>
      <w:r w:rsidRPr="00653BF4">
        <w:rPr>
          <w:rFonts w:ascii="Aptos" w:eastAsia="Aptos" w:hAnsi="Aptos" w:cs="Aptos"/>
          <w:lang w:val="fr-FR"/>
        </w:rPr>
        <w:t>être officiellement prises en compte dans les totaux nationaux. Les Parties mentionnent également un manque d</w:t>
      </w:r>
      <w:r w:rsidR="002A58C8" w:rsidRPr="00653BF4">
        <w:rPr>
          <w:rFonts w:ascii="Aptos" w:eastAsia="Aptos" w:hAnsi="Aptos" w:cs="Aptos"/>
          <w:lang w:val="fr-FR"/>
        </w:rPr>
        <w:t>’</w:t>
      </w:r>
      <w:r w:rsidRPr="00653BF4">
        <w:rPr>
          <w:rFonts w:ascii="Aptos" w:eastAsia="Aptos" w:hAnsi="Aptos" w:cs="Aptos"/>
          <w:lang w:val="fr-FR"/>
        </w:rPr>
        <w:t>infrastructures techniques et de données de référence nécessaires pour évaluer la santé des écosystèmes ou l</w:t>
      </w:r>
      <w:r w:rsidR="002A58C8" w:rsidRPr="00653BF4">
        <w:rPr>
          <w:rFonts w:ascii="Aptos" w:eastAsia="Aptos" w:hAnsi="Aptos" w:cs="Aptos"/>
          <w:lang w:val="fr-FR"/>
        </w:rPr>
        <w:t>’</w:t>
      </w:r>
      <w:r w:rsidRPr="00653BF4">
        <w:rPr>
          <w:rFonts w:ascii="Aptos" w:eastAsia="Aptos" w:hAnsi="Aptos" w:cs="Aptos"/>
          <w:lang w:val="fr-FR"/>
        </w:rPr>
        <w:t xml:space="preserve">efficacité de leur gestion. En outre, les Parties indiquent que les types de biomes relevant de leur juridiction peuvent aggraver les difficultés liées à la </w:t>
      </w:r>
      <w:r w:rsidR="00E34DC9">
        <w:rPr>
          <w:rFonts w:ascii="Aptos" w:eastAsia="Aptos" w:hAnsi="Aptos" w:cs="Aptos"/>
          <w:lang w:val="fr-FR"/>
        </w:rPr>
        <w:t>cible 3 ;</w:t>
      </w:r>
      <w:r w:rsidRPr="00653BF4">
        <w:rPr>
          <w:rFonts w:ascii="Aptos" w:eastAsia="Aptos" w:hAnsi="Aptos" w:cs="Aptos"/>
          <w:lang w:val="fr-FR"/>
        </w:rPr>
        <w:t xml:space="preserve"> par exemple, les lacunes sont particulièrement marquées dans les écosystèmes arides, marins et en eaux profondes, où le suivi est techniquement complexe et coûteux.</w:t>
      </w:r>
    </w:p>
    <w:p w14:paraId="5744D53A" w14:textId="77777777" w:rsidR="006C0F01" w:rsidRPr="00653BF4" w:rsidRDefault="006C0F01" w:rsidP="006C0F01">
      <w:pPr>
        <w:rPr>
          <w:lang w:val="fr-FR"/>
        </w:rPr>
      </w:pPr>
    </w:p>
    <w:p w14:paraId="06B4E804" w14:textId="0B980054" w:rsidR="006C0F01" w:rsidRPr="00653BF4" w:rsidRDefault="00BC4559" w:rsidP="006C0F01">
      <w:pPr>
        <w:pStyle w:val="Heading5"/>
        <w:rPr>
          <w:lang w:val="fr-FR"/>
        </w:rPr>
      </w:pPr>
      <w:r w:rsidRPr="00653BF4">
        <w:rPr>
          <w:lang w:val="fr-FR"/>
        </w:rPr>
        <w:t>Contributions de la part d</w:t>
      </w:r>
      <w:r w:rsidR="002A58C8" w:rsidRPr="00653BF4">
        <w:rPr>
          <w:lang w:val="fr-FR"/>
        </w:rPr>
        <w:t>’</w:t>
      </w:r>
      <w:r w:rsidRPr="00653BF4">
        <w:rPr>
          <w:lang w:val="fr-FR"/>
        </w:rPr>
        <w:t>acteurs autres que les gouvernements nationaux</w:t>
      </w:r>
    </w:p>
    <w:p w14:paraId="20BB71A6" w14:textId="77777777" w:rsidR="00813533" w:rsidRPr="00653BF4" w:rsidRDefault="00813533" w:rsidP="00813533">
      <w:pPr>
        <w:rPr>
          <w:lang w:val="fr-FR"/>
        </w:rPr>
      </w:pPr>
    </w:p>
    <w:p w14:paraId="40249477" w14:textId="07B599C2" w:rsidR="00206CE6" w:rsidRPr="00653BF4" w:rsidRDefault="00200AEB" w:rsidP="00DE5EE8">
      <w:pPr>
        <w:pStyle w:val="Heading6"/>
        <w:rPr>
          <w:lang w:val="fr-FR"/>
        </w:rPr>
      </w:pPr>
      <w:r w:rsidRPr="00653BF4">
        <w:rPr>
          <w:lang w:val="fr-FR"/>
        </w:rPr>
        <w:lastRenderedPageBreak/>
        <w:t>Engagements communiqués directement via l</w:t>
      </w:r>
      <w:r w:rsidR="002A58C8" w:rsidRPr="00653BF4">
        <w:rPr>
          <w:lang w:val="fr-FR"/>
        </w:rPr>
        <w:t>’</w:t>
      </w:r>
      <w:r w:rsidRPr="00653BF4">
        <w:rPr>
          <w:lang w:val="fr-FR"/>
        </w:rPr>
        <w:t>outil de présentation des rapports en ligne</w:t>
      </w:r>
    </w:p>
    <w:p w14:paraId="780FB182" w14:textId="77777777" w:rsidR="00813533" w:rsidRPr="00653BF4" w:rsidRDefault="00813533" w:rsidP="00813533">
      <w:pPr>
        <w:rPr>
          <w:lang w:val="fr-FR"/>
        </w:rPr>
      </w:pPr>
    </w:p>
    <w:p w14:paraId="76E463DB" w14:textId="7BEFA099" w:rsidR="005B6A56" w:rsidRPr="00653BF4" w:rsidRDefault="008B5420" w:rsidP="00DE5EE8">
      <w:pPr>
        <w:rPr>
          <w:lang w:val="fr-FR"/>
        </w:rPr>
      </w:pPr>
      <w:r w:rsidRPr="008B5420">
        <w:rPr>
          <w:lang w:val="fr-FR"/>
        </w:rPr>
        <w:t>Sur les 180 engagements de fond présentés par des acteurs autres que les gouvernements nationaux</w:t>
      </w:r>
      <w:r w:rsidR="004F53C5" w:rsidRPr="00653BF4">
        <w:rPr>
          <w:lang w:val="fr-FR"/>
        </w:rPr>
        <w:t xml:space="preserve">, 17 sont principalement liés à </w:t>
      </w:r>
      <w:r w:rsidR="0092484B">
        <w:rPr>
          <w:lang w:val="fr-FR"/>
        </w:rPr>
        <w:t xml:space="preserve">la </w:t>
      </w:r>
      <w:r w:rsidR="00E34DC9">
        <w:rPr>
          <w:lang w:val="fr-FR"/>
        </w:rPr>
        <w:t>cible 3</w:t>
      </w:r>
      <w:r w:rsidR="004F53C5" w:rsidRPr="00653BF4">
        <w:rPr>
          <w:lang w:val="fr-FR"/>
        </w:rPr>
        <w:t xml:space="preserve">, dont 16 </w:t>
      </w:r>
      <w:r w:rsidR="00E0176A">
        <w:rPr>
          <w:lang w:val="fr-FR"/>
        </w:rPr>
        <w:t>proviennent</w:t>
      </w:r>
      <w:r w:rsidR="004F53C5" w:rsidRPr="00653BF4">
        <w:rPr>
          <w:lang w:val="fr-FR"/>
        </w:rPr>
        <w:t xml:space="preserve"> d</w:t>
      </w:r>
      <w:r w:rsidR="002A58C8" w:rsidRPr="00653BF4">
        <w:rPr>
          <w:lang w:val="fr-FR"/>
        </w:rPr>
        <w:t>’</w:t>
      </w:r>
      <w:r w:rsidR="004F53C5" w:rsidRPr="00653BF4">
        <w:rPr>
          <w:lang w:val="fr-FR"/>
        </w:rPr>
        <w:t xml:space="preserve">ONG et </w:t>
      </w:r>
      <w:r w:rsidR="00E0176A">
        <w:rPr>
          <w:lang w:val="fr-FR"/>
        </w:rPr>
        <w:t>1</w:t>
      </w:r>
      <w:r w:rsidR="004F53C5" w:rsidRPr="00653BF4">
        <w:rPr>
          <w:lang w:val="fr-FR"/>
        </w:rPr>
        <w:t>, d</w:t>
      </w:r>
      <w:r w:rsidR="002A58C8" w:rsidRPr="00653BF4">
        <w:rPr>
          <w:lang w:val="fr-FR"/>
        </w:rPr>
        <w:t>’</w:t>
      </w:r>
      <w:r w:rsidR="004F53C5" w:rsidRPr="00653BF4">
        <w:rPr>
          <w:lang w:val="fr-FR"/>
        </w:rPr>
        <w:t>une agence bilatérale de développement. Ces engagements mettent fortement l</w:t>
      </w:r>
      <w:r w:rsidR="002A58C8" w:rsidRPr="00653BF4">
        <w:rPr>
          <w:lang w:val="fr-FR"/>
        </w:rPr>
        <w:t>’</w:t>
      </w:r>
      <w:r w:rsidR="004F53C5" w:rsidRPr="00653BF4">
        <w:rPr>
          <w:lang w:val="fr-FR"/>
        </w:rPr>
        <w:t>accent sur la gestion des zones protégées, la remise en état des écosystèmes et la conservation par zone. Plusieurs de ces engagements portent sur l</w:t>
      </w:r>
      <w:r w:rsidR="002A58C8" w:rsidRPr="00653BF4">
        <w:rPr>
          <w:lang w:val="fr-FR"/>
        </w:rPr>
        <w:t>’</w:t>
      </w:r>
      <w:r w:rsidR="004F53C5" w:rsidRPr="00653BF4">
        <w:rPr>
          <w:lang w:val="fr-FR"/>
        </w:rPr>
        <w:t>appui aux approches communautaires de la conservation et au développement des OECM (v</w:t>
      </w:r>
      <w:r w:rsidR="00BD6958">
        <w:rPr>
          <w:lang w:val="fr-FR"/>
        </w:rPr>
        <w:t>oir l’encadré</w:t>
      </w:r>
      <w:r w:rsidR="004F53C5" w:rsidRPr="00653BF4">
        <w:rPr>
          <w:lang w:val="fr-FR"/>
        </w:rPr>
        <w:t xml:space="preserve"> 15). Ces engagements concernent l</w:t>
      </w:r>
      <w:r w:rsidR="002A58C8" w:rsidRPr="00653BF4">
        <w:rPr>
          <w:lang w:val="fr-FR"/>
        </w:rPr>
        <w:t>’</w:t>
      </w:r>
      <w:r w:rsidR="004F53C5" w:rsidRPr="00653BF4">
        <w:rPr>
          <w:lang w:val="fr-FR"/>
        </w:rPr>
        <w:t>Europe, l</w:t>
      </w:r>
      <w:r w:rsidR="002A58C8" w:rsidRPr="00653BF4">
        <w:rPr>
          <w:lang w:val="fr-FR"/>
        </w:rPr>
        <w:t>’</w:t>
      </w:r>
      <w:r w:rsidR="004F53C5" w:rsidRPr="00653BF4">
        <w:rPr>
          <w:lang w:val="fr-FR"/>
        </w:rPr>
        <w:t>Afrique, l</w:t>
      </w:r>
      <w:r w:rsidR="002A58C8" w:rsidRPr="00653BF4">
        <w:rPr>
          <w:lang w:val="fr-FR"/>
        </w:rPr>
        <w:t>’</w:t>
      </w:r>
      <w:r w:rsidR="004F53C5" w:rsidRPr="00653BF4">
        <w:rPr>
          <w:lang w:val="fr-FR"/>
        </w:rPr>
        <w:t>Amérique du Sud, l</w:t>
      </w:r>
      <w:r w:rsidR="002A58C8" w:rsidRPr="00653BF4">
        <w:rPr>
          <w:lang w:val="fr-FR"/>
        </w:rPr>
        <w:t>’</w:t>
      </w:r>
      <w:r w:rsidR="004F53C5" w:rsidRPr="00653BF4">
        <w:rPr>
          <w:lang w:val="fr-FR"/>
        </w:rPr>
        <w:t>Asie et l</w:t>
      </w:r>
      <w:r w:rsidR="002A58C8" w:rsidRPr="00653BF4">
        <w:rPr>
          <w:lang w:val="fr-FR"/>
        </w:rPr>
        <w:t>’</w:t>
      </w:r>
      <w:r w:rsidR="004F53C5" w:rsidRPr="00653BF4">
        <w:rPr>
          <w:lang w:val="fr-FR"/>
        </w:rPr>
        <w:t>Océanie.</w:t>
      </w:r>
    </w:p>
    <w:p w14:paraId="62DF4F99" w14:textId="73D1CC1D" w:rsidR="00980E55" w:rsidRPr="00653BF4" w:rsidRDefault="00980E55" w:rsidP="00980E55">
      <w:pPr>
        <w:rPr>
          <w:sz w:val="20"/>
          <w:szCs w:val="20"/>
          <w:lang w:val="fr-FR"/>
        </w:rPr>
      </w:pPr>
    </w:p>
    <w:tbl>
      <w:tblPr>
        <w:tblStyle w:val="TableGrid"/>
        <w:tblW w:w="0" w:type="auto"/>
        <w:tblLook w:val="04A0" w:firstRow="1" w:lastRow="0" w:firstColumn="1" w:lastColumn="0" w:noHBand="0" w:noVBand="1"/>
      </w:tblPr>
      <w:tblGrid>
        <w:gridCol w:w="9016"/>
      </w:tblGrid>
      <w:tr w:rsidR="00973E96" w:rsidRPr="00543148" w14:paraId="598F8E59" w14:textId="77777777" w:rsidTr="38573CF5">
        <w:tc>
          <w:tcPr>
            <w:tcW w:w="9016" w:type="dxa"/>
            <w:shd w:val="clear" w:color="auto" w:fill="E8E8E8" w:themeFill="background2"/>
          </w:tcPr>
          <w:p w14:paraId="0A85CD95" w14:textId="0166B00B" w:rsidR="00802648" w:rsidRPr="00653BF4" w:rsidRDefault="00802648" w:rsidP="00802648">
            <w:pPr>
              <w:pStyle w:val="Caption"/>
              <w:keepNext/>
              <w:rPr>
                <w:lang w:val="fr-FR"/>
              </w:rPr>
            </w:pPr>
            <w:bookmarkStart w:id="115" w:name="_Ref230803584"/>
            <w:r w:rsidRPr="00653BF4">
              <w:rPr>
                <w:i w:val="0"/>
                <w:sz w:val="20"/>
                <w:szCs w:val="20"/>
                <w:lang w:val="fr-FR"/>
              </w:rPr>
              <w:t>Encadré 15</w:t>
            </w:r>
            <w:bookmarkEnd w:id="115"/>
          </w:p>
          <w:p w14:paraId="70C205E5" w14:textId="0CD7BF8F" w:rsidR="00797E09" w:rsidRPr="00653BF4" w:rsidRDefault="00EE47BF" w:rsidP="00802648">
            <w:pPr>
              <w:rPr>
                <w:b/>
                <w:bCs/>
                <w:lang w:val="fr-FR"/>
              </w:rPr>
            </w:pPr>
            <w:r w:rsidRPr="00653BF4">
              <w:rPr>
                <w:b/>
                <w:sz w:val="20"/>
                <w:szCs w:val="20"/>
                <w:lang w:val="fr-FR"/>
              </w:rPr>
              <w:t>Une organisation non gouvernementale nationale promouvant des mesures de conservation volontaires et efficaces à l</w:t>
            </w:r>
            <w:r w:rsidR="002A58C8" w:rsidRPr="00653BF4">
              <w:rPr>
                <w:b/>
                <w:sz w:val="20"/>
                <w:szCs w:val="20"/>
                <w:lang w:val="fr-FR"/>
              </w:rPr>
              <w:t>’</w:t>
            </w:r>
            <w:r w:rsidRPr="00653BF4">
              <w:rPr>
                <w:b/>
                <w:sz w:val="20"/>
                <w:szCs w:val="20"/>
                <w:lang w:val="fr-FR"/>
              </w:rPr>
              <w:t>échelle locale, ainsi que les zones de conservation gérées par les communautés en Chine</w:t>
            </w:r>
          </w:p>
          <w:p w14:paraId="5B45622E" w14:textId="77777777" w:rsidR="00802648" w:rsidRPr="00653BF4" w:rsidRDefault="00802648" w:rsidP="00802648">
            <w:pPr>
              <w:rPr>
                <w:lang w:val="fr-FR"/>
              </w:rPr>
            </w:pPr>
          </w:p>
          <w:p w14:paraId="46F5E1B5" w14:textId="62503C84" w:rsidR="00617836" w:rsidRPr="00653BF4" w:rsidRDefault="00C93243" w:rsidP="008043DA">
            <w:pPr>
              <w:spacing w:line="276" w:lineRule="auto"/>
              <w:rPr>
                <w:rFonts w:asciiTheme="majorHAnsi" w:eastAsia="Aptos" w:hAnsiTheme="majorHAnsi" w:cs="Aptos"/>
                <w:sz w:val="20"/>
                <w:szCs w:val="20"/>
                <w:lang w:val="fr-FR"/>
              </w:rPr>
            </w:pPr>
            <w:r w:rsidRPr="00653BF4">
              <w:rPr>
                <w:rFonts w:asciiTheme="majorHAnsi" w:eastAsia="Aptos" w:hAnsiTheme="majorHAnsi" w:cs="Aptos"/>
                <w:sz w:val="20"/>
                <w:szCs w:val="20"/>
                <w:lang w:val="fr-FR"/>
              </w:rPr>
              <w:t xml:space="preserve">Le </w:t>
            </w:r>
            <w:r w:rsidR="001623E2" w:rsidRPr="00653BF4">
              <w:rPr>
                <w:rFonts w:asciiTheme="majorHAnsi" w:eastAsia="Aptos" w:hAnsiTheme="majorHAnsi" w:cs="Aptos"/>
                <w:sz w:val="20"/>
                <w:szCs w:val="20"/>
                <w:lang w:val="fr-FR"/>
              </w:rPr>
              <w:t>P</w:t>
            </w:r>
            <w:r w:rsidRPr="00653BF4">
              <w:rPr>
                <w:rFonts w:asciiTheme="majorHAnsi" w:eastAsia="Aptos" w:hAnsiTheme="majorHAnsi" w:cs="Aptos"/>
                <w:sz w:val="20"/>
                <w:szCs w:val="20"/>
                <w:lang w:val="fr-FR"/>
              </w:rPr>
              <w:t xml:space="preserve">artenariat pour les OECM </w:t>
            </w:r>
            <w:r w:rsidR="001623E2" w:rsidRPr="00653BF4">
              <w:rPr>
                <w:rFonts w:asciiTheme="majorHAnsi" w:eastAsia="Aptos" w:hAnsiTheme="majorHAnsi" w:cs="Aptos"/>
                <w:sz w:val="20"/>
                <w:szCs w:val="20"/>
                <w:lang w:val="fr-FR"/>
              </w:rPr>
              <w:t xml:space="preserve">en Chine </w:t>
            </w:r>
            <w:r w:rsidRPr="00653BF4">
              <w:rPr>
                <w:rFonts w:asciiTheme="majorHAnsi" w:eastAsia="Aptos" w:hAnsiTheme="majorHAnsi" w:cs="Aptos"/>
                <w:sz w:val="20"/>
                <w:szCs w:val="20"/>
                <w:lang w:val="fr-FR"/>
              </w:rPr>
              <w:t>est une initiative multipartite qui s</w:t>
            </w:r>
            <w:r w:rsidR="002A58C8" w:rsidRPr="00653BF4">
              <w:rPr>
                <w:rFonts w:asciiTheme="majorHAnsi" w:eastAsia="Aptos" w:hAnsiTheme="majorHAnsi" w:cs="Aptos"/>
                <w:sz w:val="20"/>
                <w:szCs w:val="20"/>
                <w:lang w:val="fr-FR"/>
              </w:rPr>
              <w:t>’</w:t>
            </w:r>
            <w:r w:rsidRPr="00653BF4">
              <w:rPr>
                <w:rFonts w:asciiTheme="majorHAnsi" w:eastAsia="Aptos" w:hAnsiTheme="majorHAnsi" w:cs="Aptos"/>
                <w:sz w:val="20"/>
                <w:szCs w:val="20"/>
                <w:lang w:val="fr-FR"/>
              </w:rPr>
              <w:t xml:space="preserve">engage à promouvoir, à titre volontaire, les OECM — appelées en chinois </w:t>
            </w:r>
            <w:r w:rsidR="00E34DC9">
              <w:rPr>
                <w:rFonts w:asciiTheme="majorHAnsi" w:eastAsia="Aptos" w:hAnsiTheme="majorHAnsi" w:cs="Aptos"/>
                <w:sz w:val="20"/>
                <w:szCs w:val="20"/>
                <w:lang w:val="fr-FR"/>
              </w:rPr>
              <w:t>« </w:t>
            </w:r>
            <w:r w:rsidRPr="00653BF4">
              <w:rPr>
                <w:rFonts w:asciiTheme="majorHAnsi" w:eastAsia="Aptos" w:hAnsiTheme="majorHAnsi" w:cs="Aptos"/>
                <w:sz w:val="20"/>
                <w:szCs w:val="20"/>
                <w:lang w:val="fr-FR"/>
              </w:rPr>
              <w:t>zones de coexistence avec la nature</w:t>
            </w:r>
            <w:r w:rsidR="00E34DC9">
              <w:rPr>
                <w:rFonts w:asciiTheme="majorHAnsi" w:eastAsia="Aptos" w:hAnsiTheme="majorHAnsi" w:cs="Aptos"/>
                <w:sz w:val="20"/>
                <w:szCs w:val="20"/>
                <w:lang w:val="fr-FR"/>
              </w:rPr>
              <w:t> »</w:t>
            </w:r>
            <w:r w:rsidRPr="00653BF4">
              <w:rPr>
                <w:rFonts w:asciiTheme="majorHAnsi" w:eastAsia="Aptos" w:hAnsiTheme="majorHAnsi" w:cs="Aptos"/>
                <w:sz w:val="20"/>
                <w:szCs w:val="20"/>
                <w:lang w:val="fr-FR"/>
              </w:rPr>
              <w:t xml:space="preserve"> — sur l</w:t>
            </w:r>
            <w:r w:rsidR="002A58C8" w:rsidRPr="00653BF4">
              <w:rPr>
                <w:rFonts w:asciiTheme="majorHAnsi" w:eastAsia="Aptos" w:hAnsiTheme="majorHAnsi" w:cs="Aptos"/>
                <w:sz w:val="20"/>
                <w:szCs w:val="20"/>
                <w:lang w:val="fr-FR"/>
              </w:rPr>
              <w:t>’</w:t>
            </w:r>
            <w:r w:rsidRPr="00653BF4">
              <w:rPr>
                <w:rFonts w:asciiTheme="majorHAnsi" w:eastAsia="Aptos" w:hAnsiTheme="majorHAnsi" w:cs="Aptos"/>
                <w:sz w:val="20"/>
                <w:szCs w:val="20"/>
                <w:lang w:val="fr-FR"/>
              </w:rPr>
              <w:t>ensemble des espaces terrestres et marins du pays d</w:t>
            </w:r>
            <w:r w:rsidR="002A58C8" w:rsidRPr="00653BF4">
              <w:rPr>
                <w:rFonts w:asciiTheme="majorHAnsi" w:eastAsia="Aptos" w:hAnsiTheme="majorHAnsi" w:cs="Aptos"/>
                <w:sz w:val="20"/>
                <w:szCs w:val="20"/>
                <w:lang w:val="fr-FR"/>
              </w:rPr>
              <w:t>’</w:t>
            </w:r>
            <w:r w:rsidRPr="00653BF4">
              <w:rPr>
                <w:rFonts w:asciiTheme="majorHAnsi" w:eastAsia="Aptos" w:hAnsiTheme="majorHAnsi" w:cs="Aptos"/>
                <w:sz w:val="20"/>
                <w:szCs w:val="20"/>
                <w:lang w:val="fr-FR"/>
              </w:rPr>
              <w:t>ici à 2030.</w:t>
            </w:r>
          </w:p>
          <w:p w14:paraId="28B3BB9B" w14:textId="77777777" w:rsidR="00617836" w:rsidRPr="00653BF4" w:rsidRDefault="00617836" w:rsidP="008043DA">
            <w:pPr>
              <w:spacing w:line="276" w:lineRule="auto"/>
              <w:rPr>
                <w:rFonts w:asciiTheme="majorHAnsi" w:eastAsia="Aptos" w:hAnsiTheme="majorHAnsi" w:cs="Aptos"/>
                <w:sz w:val="20"/>
                <w:szCs w:val="20"/>
                <w:lang w:val="fr-FR"/>
              </w:rPr>
            </w:pPr>
          </w:p>
          <w:p w14:paraId="39060137" w14:textId="71B96A92" w:rsidR="008043DA" w:rsidRPr="00653BF4" w:rsidRDefault="001355AA" w:rsidP="008043DA">
            <w:pPr>
              <w:spacing w:line="276" w:lineRule="auto"/>
              <w:rPr>
                <w:rFonts w:asciiTheme="majorHAnsi" w:eastAsia="Aptos" w:hAnsiTheme="majorHAnsi" w:cs="Aptos"/>
                <w:sz w:val="20"/>
                <w:szCs w:val="20"/>
                <w:lang w:val="fr-FR"/>
              </w:rPr>
            </w:pPr>
            <w:r w:rsidRPr="00653BF4">
              <w:rPr>
                <w:rFonts w:asciiTheme="majorHAnsi" w:eastAsia="Microsoft YaHei UI" w:hAnsiTheme="majorHAnsi" w:cs="Microsoft YaHei UI"/>
                <w:color w:val="000000" w:themeColor="text1"/>
                <w:sz w:val="20"/>
                <w:szCs w:val="20"/>
                <w:lang w:val="fr-FR"/>
              </w:rPr>
              <w:t>Grâce aux conseils techniques du Groupe d</w:t>
            </w:r>
            <w:r w:rsidR="002A58C8" w:rsidRPr="00653BF4">
              <w:rPr>
                <w:rFonts w:asciiTheme="majorHAnsi" w:eastAsia="Microsoft YaHei UI" w:hAnsiTheme="majorHAnsi" w:cs="Microsoft YaHei UI"/>
                <w:color w:val="000000" w:themeColor="text1"/>
                <w:sz w:val="20"/>
                <w:szCs w:val="20"/>
                <w:lang w:val="fr-FR"/>
              </w:rPr>
              <w:t>’</w:t>
            </w:r>
            <w:r w:rsidRPr="00653BF4">
              <w:rPr>
                <w:rFonts w:asciiTheme="majorHAnsi" w:eastAsia="Microsoft YaHei UI" w:hAnsiTheme="majorHAnsi" w:cs="Microsoft YaHei UI"/>
                <w:color w:val="000000" w:themeColor="text1"/>
                <w:sz w:val="20"/>
                <w:szCs w:val="20"/>
                <w:lang w:val="fr-FR"/>
              </w:rPr>
              <w:t>experts de l</w:t>
            </w:r>
            <w:r w:rsidR="002A58C8" w:rsidRPr="00653BF4">
              <w:rPr>
                <w:rFonts w:asciiTheme="majorHAnsi" w:eastAsia="Microsoft YaHei UI" w:hAnsiTheme="majorHAnsi" w:cs="Microsoft YaHei UI"/>
                <w:color w:val="000000" w:themeColor="text1"/>
                <w:sz w:val="20"/>
                <w:szCs w:val="20"/>
                <w:lang w:val="fr-FR"/>
              </w:rPr>
              <w:t>’</w:t>
            </w:r>
            <w:r w:rsidRPr="00653BF4">
              <w:rPr>
                <w:rFonts w:asciiTheme="majorHAnsi" w:eastAsia="Microsoft YaHei UI" w:hAnsiTheme="majorHAnsi" w:cs="Microsoft YaHei UI"/>
                <w:color w:val="000000" w:themeColor="text1"/>
                <w:sz w:val="20"/>
                <w:szCs w:val="20"/>
                <w:lang w:val="fr-FR"/>
              </w:rPr>
              <w:t>UICN sur les OECM pour la Chine et avec le soutien conjoint du Shan Shui Conservation Center et de treize institutions partenaires, l</w:t>
            </w:r>
            <w:r w:rsidR="002A58C8" w:rsidRPr="00653BF4">
              <w:rPr>
                <w:rFonts w:asciiTheme="majorHAnsi" w:eastAsia="Microsoft YaHei UI" w:hAnsiTheme="majorHAnsi" w:cs="Microsoft YaHei UI"/>
                <w:color w:val="000000" w:themeColor="text1"/>
                <w:sz w:val="20"/>
                <w:szCs w:val="20"/>
                <w:lang w:val="fr-FR"/>
              </w:rPr>
              <w:t>’</w:t>
            </w:r>
            <w:r w:rsidRPr="00653BF4">
              <w:rPr>
                <w:rFonts w:asciiTheme="majorHAnsi" w:eastAsia="Microsoft YaHei UI" w:hAnsiTheme="majorHAnsi" w:cs="Microsoft YaHei UI"/>
                <w:color w:val="000000" w:themeColor="text1"/>
                <w:sz w:val="20"/>
                <w:szCs w:val="20"/>
                <w:lang w:val="fr-FR"/>
              </w:rPr>
              <w:t>initiative a pour cible de mettre en place une centaine d</w:t>
            </w:r>
            <w:r w:rsidR="002A58C8" w:rsidRPr="00653BF4">
              <w:rPr>
                <w:rFonts w:asciiTheme="majorHAnsi" w:eastAsia="Microsoft YaHei UI" w:hAnsiTheme="majorHAnsi" w:cs="Microsoft YaHei UI"/>
                <w:color w:val="000000" w:themeColor="text1"/>
                <w:sz w:val="20"/>
                <w:szCs w:val="20"/>
                <w:lang w:val="fr-FR"/>
              </w:rPr>
              <w:t>’</w:t>
            </w:r>
            <w:r w:rsidRPr="00653BF4">
              <w:rPr>
                <w:rFonts w:asciiTheme="majorHAnsi" w:eastAsia="Microsoft YaHei UI" w:hAnsiTheme="majorHAnsi" w:cs="Microsoft YaHei UI"/>
                <w:color w:val="000000" w:themeColor="text1"/>
                <w:sz w:val="20"/>
                <w:szCs w:val="20"/>
                <w:lang w:val="fr-FR"/>
              </w:rPr>
              <w:t>OECM couvrant au moins 3 000 km2, comprenant des forêts, des prairies, des zones humides, des parcs urbains, des fermes écologiques et des campus universitaires. En 2025, deux cycles de sélection de sites avaient permis d</w:t>
            </w:r>
            <w:r w:rsidR="002A58C8" w:rsidRPr="00653BF4">
              <w:rPr>
                <w:rFonts w:asciiTheme="majorHAnsi" w:eastAsia="Microsoft YaHei UI" w:hAnsiTheme="majorHAnsi" w:cs="Microsoft YaHei UI"/>
                <w:color w:val="000000" w:themeColor="text1"/>
                <w:sz w:val="20"/>
                <w:szCs w:val="20"/>
                <w:lang w:val="fr-FR"/>
              </w:rPr>
              <w:t>’</w:t>
            </w:r>
            <w:r w:rsidRPr="00653BF4">
              <w:rPr>
                <w:rFonts w:asciiTheme="majorHAnsi" w:eastAsia="Microsoft YaHei UI" w:hAnsiTheme="majorHAnsi" w:cs="Microsoft YaHei UI"/>
                <w:color w:val="000000" w:themeColor="text1"/>
                <w:sz w:val="20"/>
                <w:szCs w:val="20"/>
                <w:lang w:val="fr-FR"/>
              </w:rPr>
              <w:t>identifier 85 OECM potentielles couvrant 2 219 km2, dont 78</w:t>
            </w:r>
            <w:r w:rsidR="002878D7">
              <w:rPr>
                <w:rFonts w:asciiTheme="majorHAnsi" w:eastAsia="Microsoft YaHei UI" w:hAnsiTheme="majorHAnsi" w:cs="Microsoft YaHei UI"/>
                <w:color w:val="000000" w:themeColor="text1"/>
                <w:sz w:val="20"/>
                <w:szCs w:val="20"/>
                <w:lang w:val="fr-FR"/>
              </w:rPr>
              <w:t> %</w:t>
            </w:r>
            <w:r w:rsidRPr="00653BF4">
              <w:rPr>
                <w:rFonts w:asciiTheme="majorHAnsi" w:eastAsia="Microsoft YaHei UI" w:hAnsiTheme="majorHAnsi" w:cs="Microsoft YaHei UI"/>
                <w:color w:val="000000" w:themeColor="text1"/>
                <w:sz w:val="20"/>
                <w:szCs w:val="20"/>
                <w:lang w:val="fr-FR"/>
              </w:rPr>
              <w:t xml:space="preserve"> étaient dirigées par des acteurs autres que les gouvernements nationaux, notamment des communautés locales, des ONG, des entreprises et des campus universitaires. Opérant sous l</w:t>
            </w:r>
            <w:r w:rsidR="002A58C8" w:rsidRPr="00653BF4">
              <w:rPr>
                <w:rFonts w:asciiTheme="majorHAnsi" w:eastAsia="Microsoft YaHei UI" w:hAnsiTheme="majorHAnsi" w:cs="Microsoft YaHei UI"/>
                <w:color w:val="000000" w:themeColor="text1"/>
                <w:sz w:val="20"/>
                <w:szCs w:val="20"/>
                <w:lang w:val="fr-FR"/>
              </w:rPr>
              <w:t>’</w:t>
            </w:r>
            <w:r w:rsidRPr="00653BF4">
              <w:rPr>
                <w:rFonts w:asciiTheme="majorHAnsi" w:eastAsia="Microsoft YaHei UI" w:hAnsiTheme="majorHAnsi" w:cs="Microsoft YaHei UI"/>
                <w:color w:val="000000" w:themeColor="text1"/>
                <w:sz w:val="20"/>
                <w:szCs w:val="20"/>
                <w:lang w:val="fr-FR"/>
              </w:rPr>
              <w:t>égide du ministère chinois de l</w:t>
            </w:r>
            <w:r w:rsidR="002A58C8" w:rsidRPr="00653BF4">
              <w:rPr>
                <w:rFonts w:asciiTheme="majorHAnsi" w:eastAsia="Microsoft YaHei UI" w:hAnsiTheme="majorHAnsi" w:cs="Microsoft YaHei UI"/>
                <w:color w:val="000000" w:themeColor="text1"/>
                <w:sz w:val="20"/>
                <w:szCs w:val="20"/>
                <w:lang w:val="fr-FR"/>
              </w:rPr>
              <w:t>’</w:t>
            </w:r>
            <w:r w:rsidRPr="00653BF4">
              <w:rPr>
                <w:rFonts w:asciiTheme="majorHAnsi" w:eastAsia="Microsoft YaHei UI" w:hAnsiTheme="majorHAnsi" w:cs="Microsoft YaHei UI"/>
                <w:color w:val="000000" w:themeColor="text1"/>
                <w:sz w:val="20"/>
                <w:szCs w:val="20"/>
                <w:lang w:val="fr-FR"/>
              </w:rPr>
              <w:t>Écologie et de l</w:t>
            </w:r>
            <w:r w:rsidR="002A58C8" w:rsidRPr="00653BF4">
              <w:rPr>
                <w:rFonts w:asciiTheme="majorHAnsi" w:eastAsia="Microsoft YaHei UI" w:hAnsiTheme="majorHAnsi" w:cs="Microsoft YaHei UI"/>
                <w:color w:val="000000" w:themeColor="text1"/>
                <w:sz w:val="20"/>
                <w:szCs w:val="20"/>
                <w:lang w:val="fr-FR"/>
              </w:rPr>
              <w:t>’</w:t>
            </w:r>
            <w:r w:rsidRPr="00653BF4">
              <w:rPr>
                <w:rFonts w:asciiTheme="majorHAnsi" w:eastAsia="Microsoft YaHei UI" w:hAnsiTheme="majorHAnsi" w:cs="Microsoft YaHei UI"/>
                <w:color w:val="000000" w:themeColor="text1"/>
                <w:sz w:val="20"/>
                <w:szCs w:val="20"/>
                <w:lang w:val="fr-FR"/>
              </w:rPr>
              <w:t>environnement, ce partenariat associe le renforcement des capacités, le plaidoyer politique et une plateforme de connaissances dédiée afin d</w:t>
            </w:r>
            <w:r w:rsidR="002A58C8" w:rsidRPr="00653BF4">
              <w:rPr>
                <w:rFonts w:asciiTheme="majorHAnsi" w:eastAsia="Microsoft YaHei UI" w:hAnsiTheme="majorHAnsi" w:cs="Microsoft YaHei UI"/>
                <w:color w:val="000000" w:themeColor="text1"/>
                <w:sz w:val="20"/>
                <w:szCs w:val="20"/>
                <w:lang w:val="fr-FR"/>
              </w:rPr>
              <w:t>’</w:t>
            </w:r>
            <w:r w:rsidRPr="00653BF4">
              <w:rPr>
                <w:rFonts w:asciiTheme="majorHAnsi" w:eastAsia="Microsoft YaHei UI" w:hAnsiTheme="majorHAnsi" w:cs="Microsoft YaHei UI"/>
                <w:color w:val="000000" w:themeColor="text1"/>
                <w:sz w:val="20"/>
                <w:szCs w:val="20"/>
                <w:lang w:val="fr-FR"/>
              </w:rPr>
              <w:t>intégrer la conservation de la biodiversité au-delà du système officiel des zones protégées.</w:t>
            </w:r>
          </w:p>
          <w:p w14:paraId="7106EAD3" w14:textId="77777777" w:rsidR="008E1741" w:rsidRPr="00653BF4" w:rsidRDefault="008E1741" w:rsidP="008043DA">
            <w:pPr>
              <w:spacing w:line="276" w:lineRule="auto"/>
              <w:rPr>
                <w:rFonts w:ascii="Aptos" w:eastAsia="Aptos" w:hAnsi="Aptos" w:cs="Aptos"/>
                <w:i/>
                <w:iCs/>
                <w:lang w:val="fr-FR"/>
              </w:rPr>
            </w:pPr>
          </w:p>
          <w:p w14:paraId="04F67386" w14:textId="50F8700E" w:rsidR="008E1741" w:rsidRPr="00653BF4" w:rsidRDefault="00904C13" w:rsidP="008043DA">
            <w:pPr>
              <w:spacing w:line="276" w:lineRule="auto"/>
              <w:rPr>
                <w:rFonts w:ascii="Aptos" w:eastAsia="Aptos" w:hAnsi="Aptos" w:cs="Aptos"/>
                <w:i/>
                <w:sz w:val="20"/>
                <w:szCs w:val="20"/>
                <w:lang w:val="fr-FR"/>
              </w:rPr>
            </w:pPr>
            <w:r w:rsidRPr="00653BF4">
              <w:rPr>
                <w:rFonts w:ascii="Aptos" w:eastAsia="Aptos" w:hAnsi="Aptos" w:cs="Aptos"/>
                <w:i/>
                <w:sz w:val="20"/>
                <w:szCs w:val="20"/>
                <w:lang w:val="fr-FR"/>
              </w:rPr>
              <w:t>C</w:t>
            </w:r>
            <w:r w:rsidR="001345EC" w:rsidRPr="00653BF4">
              <w:rPr>
                <w:rFonts w:ascii="Aptos" w:eastAsia="Aptos" w:hAnsi="Aptos" w:cs="Aptos"/>
                <w:i/>
                <w:sz w:val="20"/>
                <w:szCs w:val="20"/>
                <w:lang w:val="fr-FR"/>
              </w:rPr>
              <w:t>ibles concernées</w:t>
            </w:r>
            <w:r w:rsidR="00E34DC9">
              <w:rPr>
                <w:rFonts w:ascii="Aptos" w:eastAsia="Aptos" w:hAnsi="Aptos" w:cs="Aptos"/>
                <w:i/>
                <w:sz w:val="20"/>
                <w:szCs w:val="20"/>
                <w:lang w:val="fr-FR"/>
              </w:rPr>
              <w:t> :</w:t>
            </w:r>
            <w:r w:rsidR="008E1741" w:rsidRPr="00653BF4">
              <w:rPr>
                <w:rFonts w:ascii="Aptos" w:eastAsia="Aptos" w:hAnsi="Aptos" w:cs="Aptos"/>
                <w:i/>
                <w:sz w:val="20"/>
                <w:szCs w:val="20"/>
                <w:lang w:val="fr-FR"/>
              </w:rPr>
              <w:t xml:space="preserve"> </w:t>
            </w:r>
            <w:r w:rsidR="008E1741" w:rsidRPr="00653BF4">
              <w:rPr>
                <w:rFonts w:ascii="Aptos" w:eastAsia="Aptos" w:hAnsi="Aptos" w:cs="Aptos"/>
                <w:sz w:val="20"/>
                <w:szCs w:val="20"/>
                <w:lang w:val="fr-FR"/>
              </w:rPr>
              <w:t xml:space="preserve">3, </w:t>
            </w:r>
            <w:r w:rsidR="005F3F12" w:rsidRPr="00653BF4">
              <w:rPr>
                <w:rFonts w:ascii="Aptos" w:eastAsia="Aptos" w:hAnsi="Aptos" w:cs="Aptos"/>
                <w:sz w:val="20"/>
                <w:szCs w:val="20"/>
                <w:lang w:val="fr-FR"/>
              </w:rPr>
              <w:t>4, 10, 11, 12, 20</w:t>
            </w:r>
            <w:r w:rsidR="00261420" w:rsidRPr="00653BF4">
              <w:rPr>
                <w:rFonts w:ascii="Aptos" w:eastAsia="Aptos" w:hAnsi="Aptos" w:cs="Aptos"/>
                <w:sz w:val="20"/>
                <w:szCs w:val="20"/>
                <w:lang w:val="fr-FR"/>
              </w:rPr>
              <w:t xml:space="preserve"> </w:t>
            </w:r>
            <w:r w:rsidR="001355AA" w:rsidRPr="00653BF4">
              <w:rPr>
                <w:rFonts w:ascii="Aptos" w:eastAsia="Aptos" w:hAnsi="Aptos" w:cs="Aptos"/>
                <w:sz w:val="20"/>
                <w:szCs w:val="20"/>
                <w:lang w:val="fr-FR"/>
              </w:rPr>
              <w:t>et</w:t>
            </w:r>
            <w:r w:rsidR="00261420" w:rsidRPr="00653BF4">
              <w:rPr>
                <w:rFonts w:ascii="Aptos" w:eastAsia="Aptos" w:hAnsi="Aptos" w:cs="Aptos"/>
                <w:sz w:val="20"/>
                <w:szCs w:val="20"/>
                <w:lang w:val="fr-FR"/>
              </w:rPr>
              <w:t xml:space="preserve"> </w:t>
            </w:r>
            <w:r w:rsidR="005F3F12" w:rsidRPr="00653BF4">
              <w:rPr>
                <w:rFonts w:ascii="Aptos" w:eastAsia="Aptos" w:hAnsi="Aptos" w:cs="Aptos"/>
                <w:sz w:val="20"/>
                <w:szCs w:val="20"/>
                <w:lang w:val="fr-FR"/>
              </w:rPr>
              <w:t>22</w:t>
            </w:r>
            <w:r w:rsidR="00894821" w:rsidRPr="00653BF4">
              <w:rPr>
                <w:rFonts w:ascii="Aptos" w:eastAsia="Aptos" w:hAnsi="Aptos" w:cs="Aptos"/>
                <w:sz w:val="20"/>
                <w:szCs w:val="20"/>
                <w:lang w:val="fr-FR"/>
              </w:rPr>
              <w:t>.</w:t>
            </w:r>
          </w:p>
          <w:p w14:paraId="5F371903" w14:textId="3372C4FB" w:rsidR="002046DF" w:rsidRPr="00653BF4" w:rsidRDefault="002046DF" w:rsidP="38573CF5">
            <w:pPr>
              <w:spacing w:line="276" w:lineRule="auto"/>
              <w:rPr>
                <w:rFonts w:ascii="Aptos" w:eastAsia="Aptos" w:hAnsi="Aptos" w:cs="Aptos"/>
                <w:i/>
                <w:iCs/>
                <w:sz w:val="20"/>
                <w:szCs w:val="20"/>
                <w:lang w:val="fr-FR"/>
              </w:rPr>
            </w:pPr>
            <w:r w:rsidRPr="00653BF4">
              <w:rPr>
                <w:rFonts w:ascii="Aptos" w:eastAsia="Aptos" w:hAnsi="Aptos" w:cs="Aptos"/>
                <w:i/>
                <w:iCs/>
                <w:sz w:val="20"/>
                <w:szCs w:val="20"/>
                <w:lang w:val="fr-FR"/>
              </w:rPr>
              <w:t>Source</w:t>
            </w:r>
            <w:r w:rsidR="00E34DC9">
              <w:rPr>
                <w:rFonts w:ascii="Aptos" w:eastAsia="Aptos" w:hAnsi="Aptos" w:cs="Aptos"/>
                <w:i/>
                <w:iCs/>
                <w:sz w:val="20"/>
                <w:szCs w:val="20"/>
                <w:lang w:val="fr-FR"/>
              </w:rPr>
              <w:t> :</w:t>
            </w:r>
            <w:r w:rsidRPr="00653BF4">
              <w:rPr>
                <w:rFonts w:ascii="Aptos" w:eastAsia="Aptos" w:hAnsi="Aptos" w:cs="Aptos"/>
                <w:i/>
                <w:iCs/>
                <w:sz w:val="20"/>
                <w:szCs w:val="20"/>
                <w:lang w:val="fr-FR"/>
              </w:rPr>
              <w:t xml:space="preserve"> </w:t>
            </w:r>
            <w:r w:rsidR="001623E2" w:rsidRPr="00653BF4">
              <w:rPr>
                <w:rFonts w:ascii="Aptos" w:eastAsia="Aptos" w:hAnsi="Aptos" w:cs="Aptos"/>
                <w:sz w:val="20"/>
                <w:szCs w:val="20"/>
                <w:lang w:val="fr-FR"/>
              </w:rPr>
              <w:t xml:space="preserve">Partenariat pour les OECM en Chine, engagement en tant que partie prenante (voir </w:t>
            </w:r>
            <w:hyperlink r:id="rId72" w:history="1">
              <w:r w:rsidR="001623E2" w:rsidRPr="00653BF4">
                <w:rPr>
                  <w:rStyle w:val="Hyperlink"/>
                  <w:sz w:val="20"/>
                  <w:szCs w:val="20"/>
                  <w:lang w:val="fr-FR"/>
                </w:rPr>
                <w:t>https://ort.cbd.int/database/293966</w:t>
              </w:r>
            </w:hyperlink>
            <w:r w:rsidR="00D74816" w:rsidRPr="00653BF4">
              <w:rPr>
                <w:sz w:val="20"/>
                <w:szCs w:val="20"/>
                <w:lang w:val="fr-FR"/>
              </w:rPr>
              <w:t>)</w:t>
            </w:r>
            <w:r w:rsidR="00894821" w:rsidRPr="00653BF4">
              <w:rPr>
                <w:sz w:val="20"/>
                <w:szCs w:val="20"/>
                <w:lang w:val="fr-FR"/>
              </w:rPr>
              <w:t>.</w:t>
            </w:r>
          </w:p>
          <w:p w14:paraId="7EA9F7AC" w14:textId="6F449C69" w:rsidR="00C36C21" w:rsidRPr="00653BF4" w:rsidRDefault="00C36C21" w:rsidP="00C36C21">
            <w:pPr>
              <w:rPr>
                <w:lang w:val="fr-FR"/>
              </w:rPr>
            </w:pPr>
          </w:p>
        </w:tc>
      </w:tr>
    </w:tbl>
    <w:p w14:paraId="4FF63509" w14:textId="29C5C4E8" w:rsidR="00DE5EE8" w:rsidRPr="00653BF4" w:rsidRDefault="00DE5EE8" w:rsidP="00DE5EE8">
      <w:pPr>
        <w:pStyle w:val="Heading6"/>
        <w:rPr>
          <w:i w:val="0"/>
          <w:iCs w:val="0"/>
          <w:lang w:val="fr-FR"/>
        </w:rPr>
      </w:pPr>
    </w:p>
    <w:p w14:paraId="7094649C" w14:textId="65EEC14A" w:rsidR="00206CE6" w:rsidRPr="00653BF4" w:rsidRDefault="005F09ED" w:rsidP="00DE5EE8">
      <w:pPr>
        <w:pStyle w:val="Heading6"/>
        <w:rPr>
          <w:lang w:val="fr-FR"/>
        </w:rPr>
      </w:pPr>
      <w:r w:rsidRPr="00653BF4">
        <w:rPr>
          <w:lang w:val="fr-FR"/>
        </w:rPr>
        <w:t>Contributions intégrées dans les rapports nationaux</w:t>
      </w:r>
    </w:p>
    <w:p w14:paraId="0008012F" w14:textId="77777777" w:rsidR="006C29BC" w:rsidRPr="00653BF4" w:rsidRDefault="006C29BC" w:rsidP="00D01813">
      <w:pPr>
        <w:rPr>
          <w:lang w:val="fr-FR"/>
        </w:rPr>
      </w:pPr>
    </w:p>
    <w:p w14:paraId="313A4A94" w14:textId="56C44CEA" w:rsidR="006D6A86" w:rsidRPr="00653BF4" w:rsidRDefault="003F0CEF" w:rsidP="006D6A86">
      <w:pPr>
        <w:rPr>
          <w:lang w:val="fr-FR"/>
        </w:rPr>
      </w:pPr>
      <w:r w:rsidRPr="00653BF4">
        <w:rPr>
          <w:lang w:val="fr-FR"/>
        </w:rPr>
        <w:t xml:space="preserve">Les acteurs autres que les gouvernements nationaux sont le plus souvent cités comme participants de la mise en œuvre de la </w:t>
      </w:r>
      <w:r w:rsidR="00E34DC9">
        <w:rPr>
          <w:lang w:val="fr-FR"/>
        </w:rPr>
        <w:t>cible 3</w:t>
      </w:r>
      <w:r w:rsidRPr="00653BF4">
        <w:rPr>
          <w:lang w:val="fr-FR"/>
        </w:rPr>
        <w:t xml:space="preserve"> dans le cadre de la cogestion et de la gouvernance des zones protégées et conservées. Les acteurs généralement impliqués </w:t>
      </w:r>
      <w:r w:rsidRPr="00653BF4">
        <w:rPr>
          <w:lang w:val="fr-FR"/>
        </w:rPr>
        <w:lastRenderedPageBreak/>
        <w:t>dans ce rôle sont les peuples autochtones et communautés locales, les collectivités infranationales et les ONG. Les Parties font également état de la participation d</w:t>
      </w:r>
      <w:r w:rsidR="002A58C8" w:rsidRPr="00653BF4">
        <w:rPr>
          <w:lang w:val="fr-FR"/>
        </w:rPr>
        <w:t>’</w:t>
      </w:r>
      <w:r w:rsidRPr="00653BF4">
        <w:rPr>
          <w:lang w:val="fr-FR"/>
        </w:rPr>
        <w:t>ONG, de peuples autochtones et communautés locales, et de partenaires internationaux à des activités telles que l</w:t>
      </w:r>
      <w:r w:rsidR="002A58C8" w:rsidRPr="00653BF4">
        <w:rPr>
          <w:lang w:val="fr-FR"/>
        </w:rPr>
        <w:t>’</w:t>
      </w:r>
      <w:r w:rsidRPr="00653BF4">
        <w:rPr>
          <w:lang w:val="fr-FR"/>
        </w:rPr>
        <w:t>exécution directe de programmes de conservation, la gestion des sites et les activités de remise en état. Les institutions scientifiques et universitaires sont citées comme répondant à d</w:t>
      </w:r>
      <w:r w:rsidR="002A58C8" w:rsidRPr="00653BF4">
        <w:rPr>
          <w:lang w:val="fr-FR"/>
        </w:rPr>
        <w:t>’</w:t>
      </w:r>
      <w:r w:rsidRPr="00653BF4">
        <w:rPr>
          <w:lang w:val="fr-FR"/>
        </w:rPr>
        <w:t xml:space="preserve">importants besoins en matière de suivi et de connaissances pour la mise en œuvre de </w:t>
      </w:r>
      <w:r w:rsidR="0092484B">
        <w:rPr>
          <w:lang w:val="fr-FR"/>
        </w:rPr>
        <w:t xml:space="preserve">la </w:t>
      </w:r>
      <w:r w:rsidR="00E34DC9">
        <w:rPr>
          <w:lang w:val="fr-FR"/>
        </w:rPr>
        <w:t>cible 3 ;</w:t>
      </w:r>
      <w:r w:rsidRPr="00653BF4">
        <w:rPr>
          <w:lang w:val="fr-FR"/>
        </w:rPr>
        <w:t xml:space="preserve"> des rôles connexes sont également signalés pour les peuples autochtones </w:t>
      </w:r>
      <w:r w:rsidR="000B36B2" w:rsidRPr="00653BF4">
        <w:rPr>
          <w:lang w:val="fr-FR"/>
        </w:rPr>
        <w:t>et communautés</w:t>
      </w:r>
      <w:r w:rsidRPr="00653BF4">
        <w:rPr>
          <w:lang w:val="fr-FR"/>
        </w:rPr>
        <w:t xml:space="preserve"> locales, grâce à leurs savoirs traditionnels et au suivi communautaire, ainsi que pour les ONG, notamment par le biais de projets de science citoyenne.</w:t>
      </w:r>
    </w:p>
    <w:p w14:paraId="30EA71B1" w14:textId="77777777" w:rsidR="00D01813" w:rsidRPr="00653BF4" w:rsidRDefault="00D01813" w:rsidP="00D01813">
      <w:pPr>
        <w:rPr>
          <w:lang w:val="fr-FR"/>
        </w:rPr>
      </w:pPr>
    </w:p>
    <w:p w14:paraId="1C949E8A" w14:textId="0C66AAE9" w:rsidR="00E071EB" w:rsidRPr="00653BF4" w:rsidRDefault="008A58ED" w:rsidP="00E071EB">
      <w:pPr>
        <w:pStyle w:val="Heading5"/>
        <w:rPr>
          <w:lang w:val="fr-FR"/>
        </w:rPr>
      </w:pPr>
      <w:r w:rsidRPr="00653BF4">
        <w:rPr>
          <w:lang w:val="fr-FR"/>
        </w:rPr>
        <w:t>Exemples de liens avec d</w:t>
      </w:r>
      <w:r w:rsidR="002A58C8" w:rsidRPr="00653BF4">
        <w:rPr>
          <w:lang w:val="fr-FR"/>
        </w:rPr>
        <w:t>’</w:t>
      </w:r>
      <w:r w:rsidRPr="00653BF4">
        <w:rPr>
          <w:lang w:val="fr-FR"/>
        </w:rPr>
        <w:t>autres accords, organisations et processus</w:t>
      </w:r>
    </w:p>
    <w:p w14:paraId="0292F182" w14:textId="77777777" w:rsidR="00D205B7" w:rsidRPr="00653BF4" w:rsidRDefault="00D205B7" w:rsidP="00D01813">
      <w:pPr>
        <w:rPr>
          <w:rFonts w:eastAsia="Times New Roman" w:cs="Times New Roman"/>
          <w:lang w:val="fr-FR"/>
        </w:rPr>
      </w:pPr>
    </w:p>
    <w:p w14:paraId="70D69CF9" w14:textId="422F5DCF" w:rsidR="00D01813" w:rsidRPr="00653BF4" w:rsidRDefault="000874ED" w:rsidP="00D01813">
      <w:pPr>
        <w:rPr>
          <w:rFonts w:cs="Times New Roman"/>
          <w:lang w:val="fr-FR"/>
        </w:rPr>
      </w:pPr>
      <w:r w:rsidRPr="00653BF4">
        <w:rPr>
          <w:rFonts w:eastAsia="Times New Roman" w:cs="Times New Roman"/>
          <w:lang w:val="fr-FR"/>
        </w:rPr>
        <w:t xml:space="preserve">La Convention sur la conservation des espèces migratrices appartenant à la faune sauvage a lancé le Partenariat mondial sur la connectivité écologique lors de la quatorzième réunion de la Conférence des Parties, en février 2024. En réponse à une résolution adoptée par la Convention sur la connectivité écologique, ce partenariat reconnaît que la mise en œuvre du volet </w:t>
      </w:r>
      <w:r w:rsidR="00E34DC9">
        <w:rPr>
          <w:rFonts w:eastAsia="Times New Roman" w:cs="Times New Roman"/>
          <w:lang w:val="fr-FR"/>
        </w:rPr>
        <w:t>« </w:t>
      </w:r>
      <w:r w:rsidRPr="00653BF4">
        <w:rPr>
          <w:rFonts w:eastAsia="Times New Roman" w:cs="Times New Roman"/>
          <w:lang w:val="fr-FR"/>
        </w:rPr>
        <w:t>connectivité</w:t>
      </w:r>
      <w:r w:rsidR="00E34DC9">
        <w:rPr>
          <w:rFonts w:eastAsia="Times New Roman" w:cs="Times New Roman"/>
          <w:lang w:val="fr-FR"/>
        </w:rPr>
        <w:t> »</w:t>
      </w:r>
      <w:r w:rsidRPr="00653BF4">
        <w:rPr>
          <w:rFonts w:eastAsia="Times New Roman" w:cs="Times New Roman"/>
          <w:lang w:val="fr-FR"/>
        </w:rPr>
        <w:t xml:space="preserve"> de </w:t>
      </w:r>
      <w:r w:rsidR="0092484B">
        <w:rPr>
          <w:rFonts w:eastAsia="Times New Roman" w:cs="Times New Roman"/>
          <w:lang w:val="fr-FR"/>
        </w:rPr>
        <w:t xml:space="preserve">la </w:t>
      </w:r>
      <w:r w:rsidR="00E34DC9">
        <w:rPr>
          <w:rFonts w:eastAsia="Times New Roman" w:cs="Times New Roman"/>
          <w:lang w:val="fr-FR"/>
        </w:rPr>
        <w:t>cible 3</w:t>
      </w:r>
      <w:r w:rsidRPr="00653BF4">
        <w:rPr>
          <w:rFonts w:eastAsia="Times New Roman" w:cs="Times New Roman"/>
          <w:lang w:val="fr-FR"/>
        </w:rPr>
        <w:t xml:space="preserve"> (qui concerne également les objectifs n° 1, 2 et 12) nécessite une coopération et une collaboration entre de multiples parties prenantes, secteurs et au-delà des frontières nationales. Ce partenariat regroupe trois autres accords multilatéraux sur l</w:t>
      </w:r>
      <w:r w:rsidR="002A58C8" w:rsidRPr="00653BF4">
        <w:rPr>
          <w:rFonts w:eastAsia="Times New Roman" w:cs="Times New Roman"/>
          <w:lang w:val="fr-FR"/>
        </w:rPr>
        <w:t>’</w:t>
      </w:r>
      <w:r w:rsidRPr="00653BF4">
        <w:rPr>
          <w:rFonts w:eastAsia="Times New Roman" w:cs="Times New Roman"/>
          <w:lang w:val="fr-FR"/>
        </w:rPr>
        <w:t>environnement (la Convention sur la diversité biologique, la Convention des Nations unies sur la lutte contre la désertification (UNCCD) et la Convention relative aux zones humides), ainsi que la Banque mondiale, le Centre mondial de suivi de la conservation du PNUE, l</w:t>
      </w:r>
      <w:r w:rsidR="002A58C8" w:rsidRPr="00653BF4">
        <w:rPr>
          <w:rFonts w:eastAsia="Times New Roman" w:cs="Times New Roman"/>
          <w:lang w:val="fr-FR"/>
        </w:rPr>
        <w:t>’</w:t>
      </w:r>
      <w:r w:rsidRPr="00653BF4">
        <w:rPr>
          <w:rFonts w:eastAsia="Times New Roman" w:cs="Times New Roman"/>
          <w:lang w:val="fr-FR"/>
        </w:rPr>
        <w:t>ICLEI (Collectif des collectivités locales pour le développement durable), BirdLife International et d</w:t>
      </w:r>
      <w:r w:rsidR="002A58C8" w:rsidRPr="00653BF4">
        <w:rPr>
          <w:rFonts w:eastAsia="Times New Roman" w:cs="Times New Roman"/>
          <w:lang w:val="fr-FR"/>
        </w:rPr>
        <w:t>’</w:t>
      </w:r>
      <w:r w:rsidRPr="00653BF4">
        <w:rPr>
          <w:rFonts w:eastAsia="Times New Roman" w:cs="Times New Roman"/>
          <w:lang w:val="fr-FR"/>
        </w:rPr>
        <w:t>autres organisations. L</w:t>
      </w:r>
      <w:r w:rsidR="002A58C8" w:rsidRPr="00653BF4">
        <w:rPr>
          <w:rFonts w:eastAsia="Times New Roman" w:cs="Times New Roman"/>
          <w:lang w:val="fr-FR"/>
        </w:rPr>
        <w:t>’</w:t>
      </w:r>
      <w:r w:rsidR="002878D7">
        <w:rPr>
          <w:rFonts w:eastAsia="Times New Roman" w:cs="Times New Roman"/>
          <w:lang w:val="fr-FR"/>
        </w:rPr>
        <w:t>objectif D</w:t>
      </w:r>
      <w:r w:rsidRPr="00653BF4">
        <w:rPr>
          <w:rFonts w:eastAsia="Times New Roman" w:cs="Times New Roman"/>
          <w:lang w:val="fr-FR"/>
        </w:rPr>
        <w:t>u Partenariat est de préserver, de mettre en état et de renforcer la connectivité écologique à l</w:t>
      </w:r>
      <w:r w:rsidR="002A58C8" w:rsidRPr="00653BF4">
        <w:rPr>
          <w:rFonts w:eastAsia="Times New Roman" w:cs="Times New Roman"/>
          <w:lang w:val="fr-FR"/>
        </w:rPr>
        <w:t>’</w:t>
      </w:r>
      <w:r w:rsidRPr="00653BF4">
        <w:rPr>
          <w:rFonts w:eastAsia="Times New Roman" w:cs="Times New Roman"/>
          <w:lang w:val="fr-FR"/>
        </w:rPr>
        <w:t>échelle mondiale en améliorant les données et les connaissances en la matière, en renforçant la législation et les politiques, et en mobilisant les actions et l</w:t>
      </w:r>
      <w:r w:rsidR="002A58C8" w:rsidRPr="00653BF4">
        <w:rPr>
          <w:rFonts w:eastAsia="Times New Roman" w:cs="Times New Roman"/>
          <w:lang w:val="fr-FR"/>
        </w:rPr>
        <w:t>’</w:t>
      </w:r>
      <w:r w:rsidRPr="00653BF4">
        <w:rPr>
          <w:rFonts w:eastAsia="Times New Roman" w:cs="Times New Roman"/>
          <w:lang w:val="fr-FR"/>
        </w:rPr>
        <w:t>appui nécessaires. Il renforce l</w:t>
      </w:r>
      <w:r w:rsidR="002A58C8" w:rsidRPr="00653BF4">
        <w:rPr>
          <w:rFonts w:eastAsia="Times New Roman" w:cs="Times New Roman"/>
          <w:lang w:val="fr-FR"/>
        </w:rPr>
        <w:t>’</w:t>
      </w:r>
      <w:r w:rsidRPr="00653BF4">
        <w:rPr>
          <w:rFonts w:eastAsia="Times New Roman" w:cs="Times New Roman"/>
          <w:lang w:val="fr-FR"/>
        </w:rPr>
        <w:t>action collective et cohérente visant au maintien et à l</w:t>
      </w:r>
      <w:r w:rsidR="002A58C8" w:rsidRPr="00653BF4">
        <w:rPr>
          <w:rFonts w:eastAsia="Times New Roman" w:cs="Times New Roman"/>
          <w:lang w:val="fr-FR"/>
        </w:rPr>
        <w:t>’</w:t>
      </w:r>
      <w:r w:rsidRPr="00653BF4">
        <w:rPr>
          <w:rFonts w:eastAsia="Times New Roman" w:cs="Times New Roman"/>
          <w:lang w:val="fr-FR"/>
        </w:rPr>
        <w:t>amélioration de la connectivité naturelle existante, ainsi que à la remise en état des écosystèmes fragmentés à travers les paysages terrestres, les réseaux fluviaux et les paysages marins. Parmi les outils promus par le Partenariat figurent les modules d</w:t>
      </w:r>
      <w:r w:rsidR="002A58C8" w:rsidRPr="00653BF4">
        <w:rPr>
          <w:rFonts w:eastAsia="Times New Roman" w:cs="Times New Roman"/>
          <w:lang w:val="fr-FR"/>
        </w:rPr>
        <w:t>’</w:t>
      </w:r>
      <w:r w:rsidRPr="00653BF4">
        <w:rPr>
          <w:rFonts w:eastAsia="Times New Roman" w:cs="Times New Roman"/>
          <w:lang w:val="fr-FR"/>
        </w:rPr>
        <w:t>un atlas mondial sur la migration animale</w:t>
      </w:r>
      <w:r w:rsidR="006C6FCE" w:rsidRPr="00653BF4">
        <w:rPr>
          <w:rStyle w:val="FootnoteReference"/>
          <w:rFonts w:cs="Times New Roman"/>
          <w:lang w:val="fr-FR"/>
        </w:rPr>
        <w:footnoteReference w:id="19"/>
      </w:r>
      <w:r w:rsidR="00D01813" w:rsidRPr="00653BF4">
        <w:rPr>
          <w:rFonts w:cs="Times New Roman"/>
          <w:lang w:val="fr-FR"/>
        </w:rPr>
        <w:t xml:space="preserve"> </w:t>
      </w:r>
      <w:r w:rsidR="001465EF" w:rsidRPr="00653BF4">
        <w:rPr>
          <w:rFonts w:cs="Times New Roman"/>
          <w:lang w:val="fr-FR"/>
        </w:rPr>
        <w:t>qui fournit des cartes de migration actualisées en appui à l</w:t>
      </w:r>
      <w:r w:rsidR="002A58C8" w:rsidRPr="00653BF4">
        <w:rPr>
          <w:rFonts w:cs="Times New Roman"/>
          <w:lang w:val="fr-FR"/>
        </w:rPr>
        <w:t>’</w:t>
      </w:r>
      <w:r w:rsidR="001465EF" w:rsidRPr="00653BF4">
        <w:rPr>
          <w:rFonts w:cs="Times New Roman"/>
          <w:lang w:val="fr-FR"/>
        </w:rPr>
        <w:t>aménagement du territoire et aux mesures de conservation par zone (CMS, 2024 et 2025a</w:t>
      </w:r>
      <w:r w:rsidR="006C6FCE" w:rsidRPr="00653BF4">
        <w:rPr>
          <w:rFonts w:cs="Times New Roman"/>
          <w:noProof/>
          <w:lang w:val="fr-FR"/>
        </w:rPr>
        <w:t>)</w:t>
      </w:r>
      <w:r w:rsidR="00D01813" w:rsidRPr="00653BF4">
        <w:rPr>
          <w:rFonts w:cs="Times New Roman"/>
          <w:lang w:val="fr-FR"/>
        </w:rPr>
        <w:t xml:space="preserve">. </w:t>
      </w:r>
    </w:p>
    <w:p w14:paraId="2CEE0D37" w14:textId="6976B827" w:rsidR="00833B30" w:rsidRPr="00653BF4" w:rsidRDefault="008719F3" w:rsidP="00833B30">
      <w:pPr>
        <w:rPr>
          <w:rFonts w:cs="Times New Roman"/>
          <w:lang w:val="fr-FR"/>
        </w:rPr>
      </w:pPr>
      <w:r w:rsidRPr="00653BF4">
        <w:rPr>
          <w:rFonts w:cs="Times New Roman"/>
          <w:lang w:val="fr-FR"/>
        </w:rPr>
        <w:lastRenderedPageBreak/>
        <w:t>La Liste Ramsar des zones humides d</w:t>
      </w:r>
      <w:r w:rsidR="002A58C8" w:rsidRPr="00653BF4">
        <w:rPr>
          <w:rFonts w:cs="Times New Roman"/>
          <w:lang w:val="fr-FR"/>
        </w:rPr>
        <w:t>’</w:t>
      </w:r>
      <w:r w:rsidRPr="00653BF4">
        <w:rPr>
          <w:rFonts w:cs="Times New Roman"/>
          <w:lang w:val="fr-FR"/>
        </w:rPr>
        <w:t xml:space="preserve">importance internationale, communément appelée </w:t>
      </w:r>
      <w:r w:rsidR="00E34DC9">
        <w:rPr>
          <w:rFonts w:cs="Times New Roman"/>
          <w:lang w:val="fr-FR"/>
        </w:rPr>
        <w:t>« </w:t>
      </w:r>
      <w:r w:rsidRPr="00653BF4">
        <w:rPr>
          <w:rFonts w:cs="Times New Roman"/>
          <w:lang w:val="fr-FR"/>
        </w:rPr>
        <w:t>sites Ramsar</w:t>
      </w:r>
      <w:r w:rsidR="00E34DC9">
        <w:rPr>
          <w:rFonts w:cs="Times New Roman"/>
          <w:lang w:val="fr-FR"/>
        </w:rPr>
        <w:t> »</w:t>
      </w:r>
      <w:r w:rsidRPr="00653BF4">
        <w:rPr>
          <w:rFonts w:cs="Times New Roman"/>
          <w:lang w:val="fr-FR"/>
        </w:rPr>
        <w:t>, établie dans le cadre de la Convention relative aux zones humides, constitue le plus grand réseau mondial de sites écologiques d</w:t>
      </w:r>
      <w:r w:rsidR="002A58C8" w:rsidRPr="00653BF4">
        <w:rPr>
          <w:rFonts w:cs="Times New Roman"/>
          <w:lang w:val="fr-FR"/>
        </w:rPr>
        <w:t>’</w:t>
      </w:r>
      <w:r w:rsidRPr="00653BF4">
        <w:rPr>
          <w:rFonts w:cs="Times New Roman"/>
          <w:lang w:val="fr-FR"/>
        </w:rPr>
        <w:t xml:space="preserve">importance internationale reconnus, et représente un mécanisme essentiel pour la mise en œuvre et le suivi de </w:t>
      </w:r>
      <w:r w:rsidR="0092484B">
        <w:rPr>
          <w:rFonts w:cs="Times New Roman"/>
          <w:lang w:val="fr-FR"/>
        </w:rPr>
        <w:t xml:space="preserve">la </w:t>
      </w:r>
      <w:r w:rsidR="00E34DC9">
        <w:rPr>
          <w:rFonts w:cs="Times New Roman"/>
          <w:lang w:val="fr-FR"/>
        </w:rPr>
        <w:t>cible 3</w:t>
      </w:r>
      <w:r w:rsidRPr="00653BF4">
        <w:rPr>
          <w:rFonts w:cs="Times New Roman"/>
          <w:lang w:val="fr-FR"/>
        </w:rPr>
        <w:t>. Le Service d</w:t>
      </w:r>
      <w:r w:rsidR="002A58C8" w:rsidRPr="00653BF4">
        <w:rPr>
          <w:rFonts w:cs="Times New Roman"/>
          <w:lang w:val="fr-FR"/>
        </w:rPr>
        <w:t>’</w:t>
      </w:r>
      <w:r w:rsidRPr="00653BF4">
        <w:rPr>
          <w:rFonts w:cs="Times New Roman"/>
          <w:lang w:val="fr-FR"/>
        </w:rPr>
        <w:t>information sur les sites Ramsar</w:t>
      </w:r>
      <w:r w:rsidR="00AE5B8B" w:rsidRPr="00653BF4">
        <w:rPr>
          <w:rStyle w:val="FootnoteReference"/>
          <w:rFonts w:cs="Times New Roman"/>
          <w:lang w:val="fr-FR"/>
        </w:rPr>
        <w:footnoteReference w:id="20"/>
      </w:r>
      <w:r w:rsidR="00AE5B8B" w:rsidRPr="00653BF4">
        <w:rPr>
          <w:rFonts w:cs="Times New Roman"/>
          <w:lang w:val="fr-FR"/>
        </w:rPr>
        <w:t xml:space="preserve"> </w:t>
      </w:r>
      <w:r w:rsidR="00FE1482" w:rsidRPr="00653BF4">
        <w:rPr>
          <w:rFonts w:cs="Times New Roman"/>
          <w:lang w:val="fr-FR"/>
        </w:rPr>
        <w:t>f</w:t>
      </w:r>
      <w:r w:rsidR="00FE1482" w:rsidRPr="00653BF4">
        <w:rPr>
          <w:lang w:val="fr-FR"/>
        </w:rPr>
        <w:t>ournit des informations concernant les superficies couvertes par ces sites ainsi que d</w:t>
      </w:r>
      <w:r w:rsidR="002A58C8" w:rsidRPr="00653BF4">
        <w:rPr>
          <w:lang w:val="fr-FR"/>
        </w:rPr>
        <w:t>’</w:t>
      </w:r>
      <w:r w:rsidR="00FE1482" w:rsidRPr="00653BF4">
        <w:rPr>
          <w:lang w:val="fr-FR"/>
        </w:rPr>
        <w:t>autres données, notamment leurs caractéristiques écologiques, leurs modèles de gouvernance et leurs plans de gestion, les menaces auxquelles ils sont exposés et leurs liens avec d</w:t>
      </w:r>
      <w:r w:rsidR="002A58C8" w:rsidRPr="00653BF4">
        <w:rPr>
          <w:lang w:val="fr-FR"/>
        </w:rPr>
        <w:t>’</w:t>
      </w:r>
      <w:r w:rsidR="00FE1482" w:rsidRPr="00653BF4">
        <w:rPr>
          <w:lang w:val="fr-FR"/>
        </w:rPr>
        <w:t>autres dispositifs de zones protégées. Les rapports nationaux soumis à la Convention sur les zones humides indiquent qu</w:t>
      </w:r>
      <w:r w:rsidR="002A58C8" w:rsidRPr="00653BF4">
        <w:rPr>
          <w:lang w:val="fr-FR"/>
        </w:rPr>
        <w:t>’</w:t>
      </w:r>
      <w:r w:rsidR="00FE1482" w:rsidRPr="00653BF4">
        <w:rPr>
          <w:lang w:val="fr-FR"/>
        </w:rPr>
        <w:t>à la date de la quinzième réunion de sa Conférence des Parties, en 2025, 221</w:t>
      </w:r>
      <w:r w:rsidR="00456A7E" w:rsidRPr="00653BF4">
        <w:rPr>
          <w:lang w:val="fr-FR"/>
        </w:rPr>
        <w:t> </w:t>
      </w:r>
      <w:r w:rsidR="00FE1482" w:rsidRPr="00653BF4">
        <w:rPr>
          <w:lang w:val="fr-FR"/>
        </w:rPr>
        <w:t>nouvelles zones humides d</w:t>
      </w:r>
      <w:r w:rsidR="002A58C8" w:rsidRPr="00653BF4">
        <w:rPr>
          <w:lang w:val="fr-FR"/>
        </w:rPr>
        <w:t>’</w:t>
      </w:r>
      <w:r w:rsidR="00FE1482" w:rsidRPr="00653BF4">
        <w:rPr>
          <w:lang w:val="fr-FR"/>
        </w:rPr>
        <w:t>importance internationale avaient été ajoutées à la liste depuis 2015, portant le nombre total de sites à 2</w:t>
      </w:r>
      <w:r w:rsidR="00456A7E" w:rsidRPr="00653BF4">
        <w:rPr>
          <w:lang w:val="fr-FR"/>
        </w:rPr>
        <w:t> </w:t>
      </w:r>
      <w:r w:rsidR="00FE1482" w:rsidRPr="00653BF4">
        <w:rPr>
          <w:lang w:val="fr-FR"/>
        </w:rPr>
        <w:t>535, couvrant près de 258 millions d</w:t>
      </w:r>
      <w:r w:rsidR="002A58C8" w:rsidRPr="00653BF4">
        <w:rPr>
          <w:lang w:val="fr-FR"/>
        </w:rPr>
        <w:t>’</w:t>
      </w:r>
      <w:r w:rsidR="00FE1482" w:rsidRPr="00653BF4">
        <w:rPr>
          <w:lang w:val="fr-FR"/>
        </w:rPr>
        <w:t>hectares. Cela représente une augmentation de 16</w:t>
      </w:r>
      <w:r w:rsidR="002878D7">
        <w:rPr>
          <w:lang w:val="fr-FR"/>
        </w:rPr>
        <w:t> %</w:t>
      </w:r>
      <w:r w:rsidR="00FE1482" w:rsidRPr="00653BF4">
        <w:rPr>
          <w:lang w:val="fr-FR"/>
        </w:rPr>
        <w:t xml:space="preserve"> en nombre et de 24</w:t>
      </w:r>
      <w:r w:rsidR="002878D7">
        <w:rPr>
          <w:lang w:val="fr-FR"/>
        </w:rPr>
        <w:t> %</w:t>
      </w:r>
      <w:r w:rsidR="00FE1482" w:rsidRPr="00653BF4">
        <w:rPr>
          <w:lang w:val="fr-FR"/>
        </w:rPr>
        <w:t xml:space="preserve"> en superficie par rapport à la décennie précédente. On estime que les trois quarts des sites disposent de plans de gestion efficaces et mis en œuvre, ce qui constitue une augmentation significative par rapport aux évaluations antérieures</w:t>
      </w:r>
      <w:r w:rsidR="00E34DC9">
        <w:rPr>
          <w:lang w:val="fr-FR"/>
        </w:rPr>
        <w:t> ;</w:t>
      </w:r>
      <w:r w:rsidR="00FE1482" w:rsidRPr="00653BF4">
        <w:rPr>
          <w:lang w:val="fr-FR"/>
        </w:rPr>
        <w:t xml:space="preserve"> toutefois, moins d</w:t>
      </w:r>
      <w:r w:rsidR="002A58C8" w:rsidRPr="00653BF4">
        <w:rPr>
          <w:lang w:val="fr-FR"/>
        </w:rPr>
        <w:t>’</w:t>
      </w:r>
      <w:r w:rsidR="00FE1482" w:rsidRPr="00653BF4">
        <w:rPr>
          <w:lang w:val="fr-FR"/>
        </w:rPr>
        <w:t>un tiers des Parties contractantes ont évalué l</w:t>
      </w:r>
      <w:r w:rsidR="002A58C8" w:rsidRPr="00653BF4">
        <w:rPr>
          <w:lang w:val="fr-FR"/>
        </w:rPr>
        <w:t>’</w:t>
      </w:r>
      <w:r w:rsidR="00FE1482" w:rsidRPr="00653BF4">
        <w:rPr>
          <w:lang w:val="fr-FR"/>
        </w:rPr>
        <w:t>efficacité de la gestion de l</w:t>
      </w:r>
      <w:r w:rsidR="002A58C8" w:rsidRPr="00653BF4">
        <w:rPr>
          <w:lang w:val="fr-FR"/>
        </w:rPr>
        <w:t>’</w:t>
      </w:r>
      <w:r w:rsidR="00FE1482" w:rsidRPr="00653BF4">
        <w:rPr>
          <w:lang w:val="fr-FR"/>
        </w:rPr>
        <w:t>ensemble de leurs zones humides d</w:t>
      </w:r>
      <w:r w:rsidR="002A58C8" w:rsidRPr="00653BF4">
        <w:rPr>
          <w:lang w:val="fr-FR"/>
        </w:rPr>
        <w:t>’</w:t>
      </w:r>
      <w:r w:rsidR="00FE1482" w:rsidRPr="00653BF4">
        <w:rPr>
          <w:lang w:val="fr-FR"/>
        </w:rPr>
        <w:t xml:space="preserve">importance internationale. </w:t>
      </w:r>
      <w:r w:rsidR="00FE1482" w:rsidRPr="00653BF4">
        <w:rPr>
          <w:i/>
          <w:iCs/>
          <w:lang w:val="fr-FR"/>
        </w:rPr>
        <w:t xml:space="preserve">Le Bilan mondial des zones humides 2025 </w:t>
      </w:r>
      <w:r w:rsidR="00FE1482" w:rsidRPr="00653BF4">
        <w:rPr>
          <w:lang w:val="fr-FR"/>
        </w:rPr>
        <w:t>estime qu</w:t>
      </w:r>
      <w:r w:rsidR="002A58C8" w:rsidRPr="00653BF4">
        <w:rPr>
          <w:lang w:val="fr-FR"/>
        </w:rPr>
        <w:t>’</w:t>
      </w:r>
      <w:r w:rsidR="00FE1482" w:rsidRPr="00653BF4">
        <w:rPr>
          <w:lang w:val="fr-FR"/>
        </w:rPr>
        <w:t>environ 428</w:t>
      </w:r>
      <w:r w:rsidR="00460136" w:rsidRPr="00653BF4">
        <w:rPr>
          <w:lang w:val="fr-FR"/>
        </w:rPr>
        <w:t> </w:t>
      </w:r>
      <w:r w:rsidR="00FE1482" w:rsidRPr="00653BF4">
        <w:rPr>
          <w:lang w:val="fr-FR"/>
        </w:rPr>
        <w:t>millions d</w:t>
      </w:r>
      <w:r w:rsidR="002A58C8" w:rsidRPr="00653BF4">
        <w:rPr>
          <w:lang w:val="fr-FR"/>
        </w:rPr>
        <w:t>’</w:t>
      </w:r>
      <w:r w:rsidR="00FE1482" w:rsidRPr="00653BF4">
        <w:rPr>
          <w:lang w:val="fr-FR"/>
        </w:rPr>
        <w:t xml:space="preserve">hectares de zones humides doivent être gérés efficacement au sein de zones protégées ou de mesures de conservation alternatives (OECM) pour atteindre la </w:t>
      </w:r>
      <w:r w:rsidR="00E34DC9">
        <w:rPr>
          <w:lang w:val="fr-FR"/>
        </w:rPr>
        <w:t>cible 3</w:t>
      </w:r>
      <w:r w:rsidR="00FE1482" w:rsidRPr="00653BF4">
        <w:rPr>
          <w:lang w:val="fr-FR"/>
        </w:rPr>
        <w:t xml:space="preserve"> du Cadre (Convention sur les zones humides, 2025a, 2025d et 2025b). Lors de la quinzième réunion de la Conférence des Parties à la Convention sur les zones humides, en 2026, les Parties contractantes ont encore renforcé l</w:t>
      </w:r>
      <w:r w:rsidR="002A58C8" w:rsidRPr="00653BF4">
        <w:rPr>
          <w:lang w:val="fr-FR"/>
        </w:rPr>
        <w:t>’</w:t>
      </w:r>
      <w:r w:rsidR="00FE1482" w:rsidRPr="00653BF4">
        <w:rPr>
          <w:lang w:val="fr-FR"/>
        </w:rPr>
        <w:t>alignement sur le Cadre mondial de la biodiversité de Kunming-Montréal en adoptant une résolution qui reconnaissait le rôle des zones humides au sein des OECM, avec l</w:t>
      </w:r>
      <w:r w:rsidR="002A58C8" w:rsidRPr="00653BF4">
        <w:rPr>
          <w:lang w:val="fr-FR"/>
        </w:rPr>
        <w:t>’</w:t>
      </w:r>
      <w:r w:rsidR="00FE1482" w:rsidRPr="00653BF4">
        <w:rPr>
          <w:lang w:val="fr-FR"/>
        </w:rPr>
        <w:t>appui à leur identification, à l</w:t>
      </w:r>
      <w:r w:rsidR="002A58C8" w:rsidRPr="00653BF4">
        <w:rPr>
          <w:lang w:val="fr-FR"/>
        </w:rPr>
        <w:t>’</w:t>
      </w:r>
      <w:r w:rsidR="00FE1482" w:rsidRPr="00653BF4">
        <w:rPr>
          <w:lang w:val="fr-FR"/>
        </w:rPr>
        <w:t xml:space="preserve">établissement de rapports et à leur intégration dans les approches nationales </w:t>
      </w:r>
      <w:r w:rsidR="00E34DC9">
        <w:rPr>
          <w:lang w:val="fr-FR"/>
        </w:rPr>
        <w:t>« </w:t>
      </w:r>
      <w:r w:rsidR="00FE1482" w:rsidRPr="00653BF4">
        <w:rPr>
          <w:lang w:val="fr-FR"/>
        </w:rPr>
        <w:t>30</w:t>
      </w:r>
      <w:r w:rsidR="0076467F" w:rsidRPr="00653BF4">
        <w:rPr>
          <w:lang w:val="fr-FR"/>
        </w:rPr>
        <w:t>x</w:t>
      </w:r>
      <w:r w:rsidR="00FE1482" w:rsidRPr="00653BF4">
        <w:rPr>
          <w:lang w:val="fr-FR"/>
        </w:rPr>
        <w:t>30</w:t>
      </w:r>
      <w:r w:rsidR="00E34DC9">
        <w:rPr>
          <w:lang w:val="fr-FR"/>
        </w:rPr>
        <w:t> »</w:t>
      </w:r>
      <w:r w:rsidR="00FE1482" w:rsidRPr="00653BF4">
        <w:rPr>
          <w:lang w:val="fr-FR"/>
        </w:rPr>
        <w:t xml:space="preserve"> parallèlement au réseau des sites Ramsar.</w:t>
      </w:r>
    </w:p>
    <w:p w14:paraId="33571773" w14:textId="77777777" w:rsidR="00AF3652" w:rsidRPr="00653BF4" w:rsidRDefault="00AF3652" w:rsidP="00D01813">
      <w:pPr>
        <w:rPr>
          <w:rFonts w:cs="Times New Roman"/>
          <w:lang w:val="fr-FR"/>
        </w:rPr>
      </w:pPr>
    </w:p>
    <w:p w14:paraId="79D84C93" w14:textId="26EA59A3" w:rsidR="00086E63" w:rsidRPr="00653BF4" w:rsidRDefault="00E34DC9" w:rsidP="00971268">
      <w:pPr>
        <w:pStyle w:val="Heading4"/>
        <w:rPr>
          <w:lang w:val="fr-FR"/>
        </w:rPr>
      </w:pPr>
      <w:bookmarkStart w:id="116" w:name="_Toc235821089"/>
      <w:bookmarkStart w:id="117" w:name="_Toc239069198"/>
      <w:bookmarkStart w:id="118" w:name="_Toc242801235"/>
      <w:r>
        <w:rPr>
          <w:b/>
          <w:bCs/>
          <w:i w:val="0"/>
          <w:iCs w:val="0"/>
          <w:lang w:val="fr-FR"/>
        </w:rPr>
        <w:t>Cible 4</w:t>
      </w:r>
      <w:r w:rsidR="001110C3" w:rsidRPr="00653BF4">
        <w:rPr>
          <w:b/>
          <w:bCs/>
          <w:i w:val="0"/>
          <w:iCs w:val="0"/>
          <w:lang w:val="fr-FR"/>
        </w:rPr>
        <w:t>.</w:t>
      </w:r>
      <w:r w:rsidR="007E7D26" w:rsidRPr="00653BF4">
        <w:rPr>
          <w:lang w:val="fr-FR"/>
        </w:rPr>
        <w:t xml:space="preserve"> </w:t>
      </w:r>
      <w:bookmarkEnd w:id="116"/>
      <w:bookmarkEnd w:id="117"/>
      <w:r w:rsidR="00971268" w:rsidRPr="00653BF4">
        <w:rPr>
          <w:i w:val="0"/>
          <w:iCs w:val="0"/>
          <w:lang w:val="fr-FR"/>
        </w:rPr>
        <w:t>Faire cesser l</w:t>
      </w:r>
      <w:r w:rsidR="002A58C8" w:rsidRPr="00653BF4">
        <w:rPr>
          <w:i w:val="0"/>
          <w:iCs w:val="0"/>
          <w:lang w:val="fr-FR"/>
        </w:rPr>
        <w:t>’</w:t>
      </w:r>
      <w:r w:rsidR="00971268" w:rsidRPr="00653BF4">
        <w:rPr>
          <w:i w:val="0"/>
          <w:iCs w:val="0"/>
          <w:lang w:val="fr-FR"/>
        </w:rPr>
        <w:t>extinction des espèces, protéger la diversité génétique et gérer les conflits entre l</w:t>
      </w:r>
      <w:r w:rsidR="002A58C8" w:rsidRPr="00653BF4">
        <w:rPr>
          <w:i w:val="0"/>
          <w:iCs w:val="0"/>
          <w:lang w:val="fr-FR"/>
        </w:rPr>
        <w:t>’</w:t>
      </w:r>
      <w:r w:rsidR="00971268" w:rsidRPr="00653BF4">
        <w:rPr>
          <w:i w:val="0"/>
          <w:iCs w:val="0"/>
          <w:lang w:val="fr-FR"/>
        </w:rPr>
        <w:t>homme et la faune et la flore sauvages</w:t>
      </w:r>
      <w:bookmarkEnd w:id="118"/>
    </w:p>
    <w:p w14:paraId="29833E77" w14:textId="77777777" w:rsidR="00C37EE5" w:rsidRPr="00653BF4" w:rsidRDefault="00C37EE5" w:rsidP="00086E63">
      <w:pPr>
        <w:rPr>
          <w:b/>
          <w:bCs/>
          <w:sz w:val="22"/>
          <w:szCs w:val="22"/>
          <w:lang w:val="fr-FR"/>
        </w:rPr>
      </w:pPr>
    </w:p>
    <w:p w14:paraId="501BBB3D" w14:textId="539830F9" w:rsidR="00086E63" w:rsidRPr="00653BF4" w:rsidRDefault="00251578" w:rsidP="00086E63">
      <w:pPr>
        <w:rPr>
          <w:i/>
          <w:iCs/>
          <w:sz w:val="22"/>
          <w:szCs w:val="22"/>
          <w:lang w:val="fr-FR"/>
        </w:rPr>
      </w:pPr>
      <w:r w:rsidRPr="00653BF4">
        <w:rPr>
          <w:b/>
          <w:bCs/>
          <w:sz w:val="22"/>
          <w:szCs w:val="22"/>
          <w:lang w:val="fr-FR"/>
        </w:rPr>
        <w:t>Texte de la cible</w:t>
      </w:r>
      <w:r w:rsidR="00E34DC9">
        <w:rPr>
          <w:b/>
          <w:bCs/>
          <w:sz w:val="22"/>
          <w:szCs w:val="22"/>
          <w:lang w:val="fr-FR"/>
        </w:rPr>
        <w:t> :</w:t>
      </w:r>
      <w:r w:rsidR="00086E63" w:rsidRPr="00653BF4">
        <w:rPr>
          <w:i/>
          <w:iCs/>
          <w:sz w:val="22"/>
          <w:szCs w:val="22"/>
          <w:lang w:val="fr-FR"/>
        </w:rPr>
        <w:t xml:space="preserve"> </w:t>
      </w:r>
      <w:r w:rsidR="00E20008" w:rsidRPr="00653BF4">
        <w:rPr>
          <w:i/>
          <w:iCs/>
          <w:sz w:val="22"/>
          <w:szCs w:val="22"/>
          <w:lang w:val="fr-FR"/>
        </w:rPr>
        <w:t>Prendre des mesures urgentes en matière de gestion en vue de faire cesser l</w:t>
      </w:r>
      <w:r w:rsidR="002A58C8" w:rsidRPr="00653BF4">
        <w:rPr>
          <w:i/>
          <w:iCs/>
          <w:sz w:val="22"/>
          <w:szCs w:val="22"/>
          <w:lang w:val="fr-FR"/>
        </w:rPr>
        <w:t>’</w:t>
      </w:r>
      <w:r w:rsidR="00E20008" w:rsidRPr="00653BF4">
        <w:rPr>
          <w:i/>
          <w:iCs/>
          <w:sz w:val="22"/>
          <w:szCs w:val="22"/>
          <w:lang w:val="fr-FR"/>
        </w:rPr>
        <w:t>extinction d</w:t>
      </w:r>
      <w:r w:rsidR="002A58C8" w:rsidRPr="00653BF4">
        <w:rPr>
          <w:i/>
          <w:iCs/>
          <w:sz w:val="22"/>
          <w:szCs w:val="22"/>
          <w:lang w:val="fr-FR"/>
        </w:rPr>
        <w:t>’</w:t>
      </w:r>
      <w:r w:rsidR="00E20008" w:rsidRPr="00653BF4">
        <w:rPr>
          <w:i/>
          <w:iCs/>
          <w:sz w:val="22"/>
          <w:szCs w:val="22"/>
          <w:lang w:val="fr-FR"/>
        </w:rPr>
        <w:t>origine humaine des espèces menacées connues et d</w:t>
      </w:r>
      <w:r w:rsidR="002A58C8" w:rsidRPr="00653BF4">
        <w:rPr>
          <w:i/>
          <w:iCs/>
          <w:sz w:val="22"/>
          <w:szCs w:val="22"/>
          <w:lang w:val="fr-FR"/>
        </w:rPr>
        <w:t>’</w:t>
      </w:r>
      <w:r w:rsidR="00E20008" w:rsidRPr="00653BF4">
        <w:rPr>
          <w:i/>
          <w:iCs/>
          <w:sz w:val="22"/>
          <w:szCs w:val="22"/>
          <w:lang w:val="fr-FR"/>
        </w:rPr>
        <w:t>assurer leur rétablissement et leur conservation, en particulier les espèces menacées, afin de réduire significativement leur risque d</w:t>
      </w:r>
      <w:r w:rsidR="002A58C8" w:rsidRPr="00653BF4">
        <w:rPr>
          <w:i/>
          <w:iCs/>
          <w:sz w:val="22"/>
          <w:szCs w:val="22"/>
          <w:lang w:val="fr-FR"/>
        </w:rPr>
        <w:t>’</w:t>
      </w:r>
      <w:r w:rsidR="00E20008" w:rsidRPr="00653BF4">
        <w:rPr>
          <w:i/>
          <w:iCs/>
          <w:sz w:val="22"/>
          <w:szCs w:val="22"/>
          <w:lang w:val="fr-FR"/>
        </w:rPr>
        <w:t xml:space="preserve">extinction ainsi que de sauvegarder et de rétablir la diversité génétique au sein des </w:t>
      </w:r>
      <w:r w:rsidR="00E20008" w:rsidRPr="00653BF4">
        <w:rPr>
          <w:i/>
          <w:iCs/>
          <w:sz w:val="22"/>
          <w:szCs w:val="22"/>
          <w:lang w:val="fr-FR"/>
        </w:rPr>
        <w:lastRenderedPageBreak/>
        <w:t>populations d</w:t>
      </w:r>
      <w:r w:rsidR="002A58C8" w:rsidRPr="00653BF4">
        <w:rPr>
          <w:i/>
          <w:iCs/>
          <w:sz w:val="22"/>
          <w:szCs w:val="22"/>
          <w:lang w:val="fr-FR"/>
        </w:rPr>
        <w:t>’</w:t>
      </w:r>
      <w:r w:rsidR="00E20008" w:rsidRPr="00653BF4">
        <w:rPr>
          <w:i/>
          <w:iCs/>
          <w:sz w:val="22"/>
          <w:szCs w:val="22"/>
          <w:lang w:val="fr-FR"/>
        </w:rPr>
        <w:t>espèces indigènes, sauvages et domestiquées et entre elles, en vue de préserver leur potentiel d</w:t>
      </w:r>
      <w:r w:rsidR="002A58C8" w:rsidRPr="00653BF4">
        <w:rPr>
          <w:i/>
          <w:iCs/>
          <w:sz w:val="22"/>
          <w:szCs w:val="22"/>
          <w:lang w:val="fr-FR"/>
        </w:rPr>
        <w:t>’</w:t>
      </w:r>
      <w:r w:rsidR="00E20008" w:rsidRPr="00653BF4">
        <w:rPr>
          <w:i/>
          <w:iCs/>
          <w:sz w:val="22"/>
          <w:szCs w:val="22"/>
          <w:lang w:val="fr-FR"/>
        </w:rPr>
        <w:t>adaptation, notamment grâce à des mesures de conservation in situ et ex situ et à des méthodes de gestion durable, et gérer efficacement les interactions entre l</w:t>
      </w:r>
      <w:r w:rsidR="002A58C8" w:rsidRPr="00653BF4">
        <w:rPr>
          <w:i/>
          <w:iCs/>
          <w:sz w:val="22"/>
          <w:szCs w:val="22"/>
          <w:lang w:val="fr-FR"/>
        </w:rPr>
        <w:t>’</w:t>
      </w:r>
      <w:r w:rsidR="00E20008" w:rsidRPr="00653BF4">
        <w:rPr>
          <w:i/>
          <w:iCs/>
          <w:sz w:val="22"/>
          <w:szCs w:val="22"/>
          <w:lang w:val="fr-FR"/>
        </w:rPr>
        <w:t>homme et la faune de manière à limiter les conflits liés à leur coexistence.</w:t>
      </w:r>
    </w:p>
    <w:p w14:paraId="6AFD36F3" w14:textId="77777777" w:rsidR="00086E63" w:rsidRPr="00653BF4" w:rsidRDefault="00086E63" w:rsidP="00086E63">
      <w:pPr>
        <w:rPr>
          <w:lang w:val="fr-FR"/>
        </w:rPr>
      </w:pPr>
    </w:p>
    <w:p w14:paraId="1EF6BA7A" w14:textId="52885065" w:rsidR="00B85FFF" w:rsidRPr="00653BF4" w:rsidRDefault="00DD19D2" w:rsidP="00B85FFF">
      <w:pPr>
        <w:pStyle w:val="Heading5"/>
        <w:rPr>
          <w:lang w:val="fr-FR"/>
        </w:rPr>
      </w:pPr>
      <w:r w:rsidRPr="00653BF4">
        <w:rPr>
          <w:lang w:val="fr-FR"/>
        </w:rPr>
        <w:t>Aperçu des progrès</w:t>
      </w:r>
      <w:r w:rsidR="003E194D" w:rsidRPr="00653BF4">
        <w:rPr>
          <w:lang w:val="fr-FR"/>
        </w:rPr>
        <w:t xml:space="preserve"> accomplis</w:t>
      </w:r>
    </w:p>
    <w:tbl>
      <w:tblPr>
        <w:tblStyle w:val="TableGrid"/>
        <w:tblW w:w="0" w:type="auto"/>
        <w:tblLook w:val="04A0" w:firstRow="1" w:lastRow="0" w:firstColumn="1" w:lastColumn="0" w:noHBand="0" w:noVBand="1"/>
      </w:tblPr>
      <w:tblGrid>
        <w:gridCol w:w="9016"/>
      </w:tblGrid>
      <w:tr w:rsidR="00B85FFF" w:rsidRPr="00543148" w14:paraId="165CCE13" w14:textId="77777777" w:rsidTr="00B85FFF">
        <w:tc>
          <w:tcPr>
            <w:tcW w:w="9016" w:type="dxa"/>
            <w:shd w:val="clear" w:color="auto" w:fill="D1D1D1" w:themeFill="background2" w:themeFillShade="E6"/>
          </w:tcPr>
          <w:p w14:paraId="1D12D0D2" w14:textId="77777777" w:rsidR="00086E63" w:rsidRPr="00653BF4" w:rsidRDefault="00086E63" w:rsidP="00B60665">
            <w:pPr>
              <w:rPr>
                <w:rFonts w:ascii="Aptos" w:eastAsia="Times New Roman" w:hAnsi="Aptos" w:cs="Calibri"/>
                <w:color w:val="000000"/>
                <w:lang w:val="fr-FR"/>
              </w:rPr>
            </w:pPr>
          </w:p>
          <w:p w14:paraId="56F50298" w14:textId="0E21E014" w:rsidR="00CD7821" w:rsidRPr="00653BF4" w:rsidRDefault="00F23995" w:rsidP="00CD7821">
            <w:pPr>
              <w:rPr>
                <w:rFonts w:ascii="Aptos" w:eastAsia="Times New Roman" w:hAnsi="Aptos" w:cs="Calibri"/>
                <w:color w:val="000000"/>
                <w:lang w:val="fr-FR"/>
              </w:rPr>
            </w:pPr>
            <w:r w:rsidRPr="00653BF4">
              <w:rPr>
                <w:rFonts w:ascii="Aptos" w:eastAsia="Times New Roman" w:hAnsi="Aptos" w:cs="Calibri"/>
                <w:color w:val="000000"/>
                <w:lang w:val="fr-FR"/>
              </w:rPr>
              <w:t>Les données disponibles indiquent que la pression sur les espèces menacées s</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exerce toujours et que les risques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extinction persistent</w:t>
            </w:r>
            <w:r w:rsidR="00E34DC9">
              <w:rPr>
                <w:rFonts w:ascii="Aptos" w:eastAsia="Times New Roman" w:hAnsi="Aptos" w:cs="Calibri"/>
                <w:color w:val="000000"/>
                <w:lang w:val="fr-FR"/>
              </w:rPr>
              <w:t> ;</w:t>
            </w:r>
            <w:r w:rsidRPr="00653BF4">
              <w:rPr>
                <w:rFonts w:ascii="Aptos" w:eastAsia="Times New Roman" w:hAnsi="Aptos" w:cs="Calibri"/>
                <w:color w:val="000000"/>
                <w:lang w:val="fr-FR"/>
              </w:rPr>
              <w:t xml:space="preserve"> toutefois, l</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évaluation des progrès collectifs reste limitée par des capacités nationales de suivi inégales, une couverture taxonomique incomplète et des données restreintes sur la diversité génétique. Les cibles nationales portent généralement sur la conservation des espèces</w:t>
            </w:r>
            <w:r w:rsidR="00E34DC9">
              <w:rPr>
                <w:rFonts w:ascii="Aptos" w:eastAsia="Times New Roman" w:hAnsi="Aptos" w:cs="Calibri"/>
                <w:color w:val="000000"/>
                <w:lang w:val="fr-FR"/>
              </w:rPr>
              <w:t> ;</w:t>
            </w:r>
            <w:r w:rsidRPr="00653BF4">
              <w:rPr>
                <w:rFonts w:ascii="Aptos" w:eastAsia="Times New Roman" w:hAnsi="Aptos" w:cs="Calibri"/>
                <w:color w:val="000000"/>
                <w:lang w:val="fr-FR"/>
              </w:rPr>
              <w:t xml:space="preserve"> cependant, les questions liées au maintien et à la remise en état de la diversité génétique au sein des populations d</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espèces domestiquées et entre celles-ci, ainsi qu</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à la gestion efficace des interactions entre l</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homme et la faune et la flore sauvages afin de minimiser les conflits entre les deux pour favoriser leur coexistence, ne sont pas abordées dans la même mesure. Le renforcement des programmes de rétablissement des espèces, l</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extension des systèmes de suivi et la lutte contre les facteurs à l</w:t>
            </w:r>
            <w:r w:rsidR="002A58C8" w:rsidRPr="00653BF4">
              <w:rPr>
                <w:rFonts w:ascii="Aptos" w:eastAsia="Times New Roman" w:hAnsi="Aptos" w:cs="Calibri"/>
                <w:color w:val="000000"/>
                <w:lang w:val="fr-FR"/>
              </w:rPr>
              <w:t>’</w:t>
            </w:r>
            <w:r w:rsidRPr="00653BF4">
              <w:rPr>
                <w:rFonts w:ascii="Aptos" w:eastAsia="Times New Roman" w:hAnsi="Aptos" w:cs="Calibri"/>
                <w:color w:val="000000"/>
                <w:lang w:val="fr-FR"/>
              </w:rPr>
              <w:t>origine du déclin des espèces ont été identifiés comme des priorités.</w:t>
            </w:r>
          </w:p>
          <w:p w14:paraId="7C3EF57E" w14:textId="44B85908" w:rsidR="00BC6F04" w:rsidRPr="00653BF4" w:rsidRDefault="00BC6F04" w:rsidP="00B60665">
            <w:pPr>
              <w:rPr>
                <w:lang w:val="fr-FR"/>
              </w:rPr>
            </w:pPr>
          </w:p>
        </w:tc>
      </w:tr>
    </w:tbl>
    <w:p w14:paraId="29AB81E2" w14:textId="77777777" w:rsidR="00975CCA" w:rsidRPr="00653BF4" w:rsidRDefault="00975CCA" w:rsidP="006E369A">
      <w:pPr>
        <w:pStyle w:val="Heading5"/>
        <w:rPr>
          <w:lang w:val="fr-FR"/>
        </w:rPr>
      </w:pPr>
    </w:p>
    <w:p w14:paraId="6585FCDE" w14:textId="065F947A" w:rsidR="00803A83" w:rsidRPr="00653BF4" w:rsidRDefault="00BB117B" w:rsidP="00803A83">
      <w:pPr>
        <w:pStyle w:val="Heading5"/>
        <w:rPr>
          <w:lang w:val="fr-FR"/>
        </w:rPr>
      </w:pPr>
      <w:r w:rsidRPr="00653BF4">
        <w:rPr>
          <w:lang w:val="fr-FR"/>
        </w:rPr>
        <w:t>Prise en compte</w:t>
      </w:r>
      <w:r w:rsidR="008248C8" w:rsidRPr="00653BF4">
        <w:rPr>
          <w:lang w:val="fr-FR"/>
        </w:rPr>
        <w:t xml:space="preserve"> par les Parties </w:t>
      </w:r>
      <w:r w:rsidRPr="00653BF4">
        <w:rPr>
          <w:lang w:val="fr-FR"/>
        </w:rPr>
        <w:t xml:space="preserve">de la portée de </w:t>
      </w:r>
      <w:r w:rsidR="008248C8" w:rsidRPr="00653BF4">
        <w:rPr>
          <w:lang w:val="fr-FR"/>
        </w:rPr>
        <w:t xml:space="preserve">la </w:t>
      </w:r>
      <w:r w:rsidR="00E34DC9">
        <w:rPr>
          <w:lang w:val="fr-FR"/>
        </w:rPr>
        <w:t>cible 4</w:t>
      </w:r>
      <w:r w:rsidR="008248C8" w:rsidRPr="00653BF4">
        <w:rPr>
          <w:lang w:val="fr-FR"/>
        </w:rPr>
        <w:t xml:space="preserve"> du Cadre dans leurs cibles nationales</w:t>
      </w:r>
    </w:p>
    <w:p w14:paraId="52488937" w14:textId="77777777" w:rsidR="00AF3652" w:rsidRPr="00653BF4" w:rsidRDefault="00AF3652" w:rsidP="00AF3652">
      <w:pPr>
        <w:rPr>
          <w:lang w:val="fr-FR"/>
        </w:rPr>
      </w:pPr>
    </w:p>
    <w:p w14:paraId="27A83381" w14:textId="73ECE2D1" w:rsidR="00316CF1" w:rsidRPr="00653BF4" w:rsidRDefault="00D5751A" w:rsidP="005901A1">
      <w:pPr>
        <w:pStyle w:val="Caption"/>
        <w:rPr>
          <w:i w:val="0"/>
          <w:iCs w:val="0"/>
          <w:sz w:val="20"/>
          <w:szCs w:val="20"/>
          <w:lang w:val="fr-FR"/>
        </w:rPr>
      </w:pPr>
      <w:bookmarkStart w:id="119" w:name="_Ref230690184"/>
      <w:r w:rsidRPr="00653BF4">
        <w:rPr>
          <w:i w:val="0"/>
          <w:sz w:val="20"/>
          <w:szCs w:val="20"/>
          <w:lang w:val="fr-FR"/>
        </w:rPr>
        <w:t>Tableau</w:t>
      </w:r>
      <w:r w:rsidR="008248C8" w:rsidRPr="00653BF4">
        <w:rPr>
          <w:i w:val="0"/>
          <w:sz w:val="20"/>
          <w:szCs w:val="20"/>
          <w:lang w:val="fr-FR"/>
        </w:rPr>
        <w:t xml:space="preserve"> </w:t>
      </w:r>
      <w:r w:rsidR="00DC1793" w:rsidRPr="00653BF4">
        <w:rPr>
          <w:i w:val="0"/>
          <w:noProof/>
          <w:sz w:val="20"/>
          <w:szCs w:val="20"/>
          <w:lang w:val="fr-FR"/>
        </w:rPr>
        <w:t>10</w:t>
      </w:r>
      <w:bookmarkEnd w:id="119"/>
      <w:r w:rsidR="005901A1" w:rsidRPr="00653BF4">
        <w:rPr>
          <w:i w:val="0"/>
          <w:sz w:val="20"/>
          <w:szCs w:val="20"/>
          <w:lang w:val="fr-FR"/>
        </w:rPr>
        <w:t xml:space="preserve"> </w:t>
      </w:r>
    </w:p>
    <w:p w14:paraId="227ADE4B" w14:textId="0ACFF45D" w:rsidR="009C2D72" w:rsidRPr="00653BF4" w:rsidRDefault="00F65829" w:rsidP="005901A1">
      <w:pPr>
        <w:pStyle w:val="Caption"/>
        <w:rPr>
          <w:i w:val="0"/>
          <w:sz w:val="22"/>
          <w:szCs w:val="22"/>
          <w:vertAlign w:val="superscript"/>
          <w:lang w:val="fr-FR"/>
        </w:rPr>
      </w:pPr>
      <w:r w:rsidRPr="00653BF4">
        <w:rPr>
          <w:b/>
          <w:i w:val="0"/>
          <w:sz w:val="20"/>
          <w:szCs w:val="20"/>
          <w:lang w:val="fr-FR"/>
        </w:rPr>
        <w:t xml:space="preserve">Éléments de la </w:t>
      </w:r>
      <w:r w:rsidR="00E34DC9">
        <w:rPr>
          <w:b/>
          <w:i w:val="0"/>
          <w:sz w:val="20"/>
          <w:szCs w:val="20"/>
          <w:lang w:val="fr-FR"/>
        </w:rPr>
        <w:t>cible 4</w:t>
      </w:r>
      <w:r w:rsidRPr="00653BF4">
        <w:rPr>
          <w:b/>
          <w:i w:val="0"/>
          <w:sz w:val="20"/>
          <w:szCs w:val="20"/>
          <w:lang w:val="fr-FR"/>
        </w:rPr>
        <w:t xml:space="preserve"> du Cadre et </w:t>
      </w:r>
      <w:r w:rsidR="00B278EE" w:rsidRPr="00653BF4">
        <w:rPr>
          <w:b/>
          <w:i w:val="0"/>
          <w:sz w:val="20"/>
          <w:szCs w:val="20"/>
          <w:lang w:val="fr-FR"/>
        </w:rPr>
        <w:t xml:space="preserve">leur </w:t>
      </w:r>
      <w:r w:rsidRPr="00653BF4">
        <w:rPr>
          <w:b/>
          <w:i w:val="0"/>
          <w:sz w:val="20"/>
          <w:szCs w:val="20"/>
          <w:lang w:val="fr-FR"/>
        </w:rPr>
        <w:t>prise en compte dans les cibles nationales</w:t>
      </w:r>
      <w:r w:rsidRPr="00653BF4">
        <w:rPr>
          <w:i w:val="0"/>
          <w:iCs w:val="0"/>
          <w:vertAlign w:val="superscript"/>
          <w:lang w:val="fr-FR"/>
        </w:rPr>
        <w:t>a</w:t>
      </w:r>
      <w:r w:rsidRPr="00653BF4">
        <w:rPr>
          <w:b/>
          <w:i w:val="0"/>
          <w:sz w:val="20"/>
          <w:szCs w:val="20"/>
          <w:lang w:val="fr-FR"/>
        </w:rPr>
        <w:t>.</w:t>
      </w:r>
    </w:p>
    <w:tbl>
      <w:tblPr>
        <w:tblStyle w:val="TableGrid"/>
        <w:tblW w:w="0" w:type="auto"/>
        <w:tblLook w:val="04A0" w:firstRow="1" w:lastRow="0" w:firstColumn="1" w:lastColumn="0" w:noHBand="0" w:noVBand="1"/>
      </w:tblPr>
      <w:tblGrid>
        <w:gridCol w:w="8500"/>
        <w:gridCol w:w="516"/>
      </w:tblGrid>
      <w:tr w:rsidR="0058678D" w:rsidRPr="00653BF4" w14:paraId="416930A8" w14:textId="77777777" w:rsidTr="00AE2A8C">
        <w:tc>
          <w:tcPr>
            <w:tcW w:w="8500" w:type="dxa"/>
          </w:tcPr>
          <w:p w14:paraId="1F7A6037" w14:textId="4875266B" w:rsidR="0058678D" w:rsidRPr="00653BF4" w:rsidRDefault="0058678D" w:rsidP="0058678D">
            <w:pPr>
              <w:rPr>
                <w:sz w:val="20"/>
                <w:szCs w:val="20"/>
                <w:lang w:val="fr-FR"/>
              </w:rPr>
            </w:pPr>
            <w:r w:rsidRPr="00653BF4">
              <w:rPr>
                <w:sz w:val="20"/>
                <w:szCs w:val="20"/>
                <w:lang w:val="fr-FR"/>
              </w:rPr>
              <w:t xml:space="preserve">Garantir la mise en œuvre de mesures de gestion urgentes, notamment </w:t>
            </w:r>
            <w:r w:rsidR="00A40150">
              <w:rPr>
                <w:sz w:val="20"/>
                <w:szCs w:val="20"/>
                <w:lang w:val="fr-FR"/>
              </w:rPr>
              <w:t>grâce à des mesures</w:t>
            </w:r>
            <w:r w:rsidRPr="00653BF4">
              <w:rPr>
                <w:sz w:val="20"/>
                <w:szCs w:val="20"/>
                <w:lang w:val="fr-FR"/>
              </w:rPr>
              <w:t xml:space="preserve"> de conservation in situ et ex situ et </w:t>
            </w:r>
            <w:r w:rsidR="00320A33">
              <w:rPr>
                <w:sz w:val="20"/>
                <w:szCs w:val="20"/>
                <w:lang w:val="fr-FR"/>
              </w:rPr>
              <w:t xml:space="preserve">à des méthodes </w:t>
            </w:r>
            <w:r w:rsidRPr="00653BF4">
              <w:rPr>
                <w:sz w:val="20"/>
                <w:szCs w:val="20"/>
                <w:lang w:val="fr-FR"/>
              </w:rPr>
              <w:t>de gestion durable</w:t>
            </w:r>
          </w:p>
        </w:tc>
        <w:tc>
          <w:tcPr>
            <w:tcW w:w="516" w:type="dxa"/>
            <w:shd w:val="clear" w:color="auto" w:fill="00B050"/>
          </w:tcPr>
          <w:p w14:paraId="34C9EBD6" w14:textId="3C448612" w:rsidR="0058678D" w:rsidRPr="00653BF4" w:rsidRDefault="0058678D" w:rsidP="0058678D">
            <w:pPr>
              <w:rPr>
                <w:sz w:val="20"/>
                <w:szCs w:val="20"/>
                <w:lang w:val="fr-FR"/>
              </w:rPr>
            </w:pPr>
            <w:r w:rsidRPr="00653BF4">
              <w:rPr>
                <w:sz w:val="20"/>
                <w:szCs w:val="20"/>
                <w:lang w:val="fr-FR"/>
              </w:rPr>
              <w:t>81</w:t>
            </w:r>
          </w:p>
        </w:tc>
      </w:tr>
      <w:tr w:rsidR="0058678D" w:rsidRPr="00653BF4" w14:paraId="5F2AB26D" w14:textId="77777777" w:rsidTr="00990294">
        <w:tc>
          <w:tcPr>
            <w:tcW w:w="8500" w:type="dxa"/>
          </w:tcPr>
          <w:p w14:paraId="25227DDB" w14:textId="77777777" w:rsidR="0058678D" w:rsidRDefault="001D0DB0" w:rsidP="0058678D">
            <w:pPr>
              <w:rPr>
                <w:sz w:val="20"/>
                <w:szCs w:val="20"/>
                <w:lang w:val="fr-FR"/>
              </w:rPr>
            </w:pPr>
            <w:r>
              <w:rPr>
                <w:sz w:val="20"/>
                <w:szCs w:val="20"/>
                <w:lang w:val="fr-FR"/>
              </w:rPr>
              <w:t xml:space="preserve">Faire cesser </w:t>
            </w:r>
            <w:r w:rsidR="0058678D" w:rsidRPr="00653BF4">
              <w:rPr>
                <w:sz w:val="20"/>
                <w:szCs w:val="20"/>
                <w:lang w:val="fr-FR"/>
              </w:rPr>
              <w:t>à l</w:t>
            </w:r>
            <w:r w:rsidR="002A58C8" w:rsidRPr="00653BF4">
              <w:rPr>
                <w:sz w:val="20"/>
                <w:szCs w:val="20"/>
                <w:lang w:val="fr-FR"/>
              </w:rPr>
              <w:t>’</w:t>
            </w:r>
            <w:r w:rsidR="0058678D" w:rsidRPr="00653BF4">
              <w:rPr>
                <w:sz w:val="20"/>
                <w:szCs w:val="20"/>
                <w:lang w:val="fr-FR"/>
              </w:rPr>
              <w:t xml:space="preserve">extinction </w:t>
            </w:r>
            <w:r>
              <w:rPr>
                <w:sz w:val="20"/>
                <w:szCs w:val="20"/>
                <w:lang w:val="fr-FR"/>
              </w:rPr>
              <w:t xml:space="preserve">d’origine humaine </w:t>
            </w:r>
            <w:r w:rsidR="0058678D" w:rsidRPr="00653BF4">
              <w:rPr>
                <w:sz w:val="20"/>
                <w:szCs w:val="20"/>
                <w:lang w:val="fr-FR"/>
              </w:rPr>
              <w:t xml:space="preserve">des espèces menacées connues </w:t>
            </w:r>
          </w:p>
          <w:p w14:paraId="7B7C748B" w14:textId="544357DF" w:rsidR="001D0DB0" w:rsidRPr="00653BF4" w:rsidRDefault="001D0DB0" w:rsidP="0058678D">
            <w:pPr>
              <w:rPr>
                <w:sz w:val="20"/>
                <w:szCs w:val="20"/>
                <w:lang w:val="fr-FR"/>
              </w:rPr>
            </w:pPr>
          </w:p>
        </w:tc>
        <w:tc>
          <w:tcPr>
            <w:tcW w:w="516" w:type="dxa"/>
            <w:shd w:val="clear" w:color="auto" w:fill="92D050"/>
          </w:tcPr>
          <w:p w14:paraId="708FFEB1" w14:textId="556AB60A" w:rsidR="0058678D" w:rsidRPr="00653BF4" w:rsidRDefault="0058678D" w:rsidP="0058678D">
            <w:pPr>
              <w:rPr>
                <w:sz w:val="20"/>
                <w:szCs w:val="20"/>
                <w:lang w:val="fr-FR"/>
              </w:rPr>
            </w:pPr>
            <w:r w:rsidRPr="00653BF4">
              <w:rPr>
                <w:sz w:val="20"/>
                <w:szCs w:val="20"/>
                <w:lang w:val="fr-FR"/>
              </w:rPr>
              <w:t>66</w:t>
            </w:r>
          </w:p>
        </w:tc>
      </w:tr>
      <w:tr w:rsidR="0058678D" w:rsidRPr="00653BF4" w14:paraId="2EA46573" w14:textId="77777777" w:rsidTr="00EB48A7">
        <w:trPr>
          <w:trHeight w:val="505"/>
        </w:trPr>
        <w:tc>
          <w:tcPr>
            <w:tcW w:w="8500" w:type="dxa"/>
          </w:tcPr>
          <w:p w14:paraId="040BEF9F" w14:textId="34E8A647" w:rsidR="0058678D" w:rsidRPr="00653BF4" w:rsidRDefault="001D0DB0" w:rsidP="0058678D">
            <w:pPr>
              <w:rPr>
                <w:sz w:val="20"/>
                <w:szCs w:val="20"/>
                <w:lang w:val="fr-FR"/>
              </w:rPr>
            </w:pPr>
            <w:r>
              <w:rPr>
                <w:sz w:val="20"/>
                <w:szCs w:val="20"/>
                <w:lang w:val="fr-FR"/>
              </w:rPr>
              <w:t>Assurer</w:t>
            </w:r>
            <w:r w:rsidR="0058678D" w:rsidRPr="00653BF4">
              <w:rPr>
                <w:sz w:val="20"/>
                <w:szCs w:val="20"/>
                <w:lang w:val="fr-FR"/>
              </w:rPr>
              <w:t xml:space="preserve"> le rétablissement et la conservation des espèces, en particulier </w:t>
            </w:r>
            <w:r>
              <w:rPr>
                <w:sz w:val="20"/>
                <w:szCs w:val="20"/>
                <w:lang w:val="fr-FR"/>
              </w:rPr>
              <w:t>d</w:t>
            </w:r>
            <w:r w:rsidR="0058678D" w:rsidRPr="00653BF4">
              <w:rPr>
                <w:sz w:val="20"/>
                <w:szCs w:val="20"/>
                <w:lang w:val="fr-FR"/>
              </w:rPr>
              <w:t>es espèces menacées</w:t>
            </w:r>
            <w:r w:rsidR="00355059">
              <w:rPr>
                <w:sz w:val="20"/>
                <w:szCs w:val="20"/>
                <w:lang w:val="fr-FR"/>
              </w:rPr>
              <w:t>,</w:t>
            </w:r>
            <w:r w:rsidR="0058678D" w:rsidRPr="00653BF4">
              <w:rPr>
                <w:sz w:val="20"/>
                <w:szCs w:val="20"/>
                <w:lang w:val="fr-FR"/>
              </w:rPr>
              <w:t xml:space="preserve"> afin </w:t>
            </w:r>
            <w:r>
              <w:rPr>
                <w:sz w:val="20"/>
                <w:szCs w:val="20"/>
                <w:lang w:val="fr-FR"/>
              </w:rPr>
              <w:t xml:space="preserve">de réduire significativement </w:t>
            </w:r>
            <w:r w:rsidR="0058678D" w:rsidRPr="00653BF4">
              <w:rPr>
                <w:sz w:val="20"/>
                <w:szCs w:val="20"/>
                <w:lang w:val="fr-FR"/>
              </w:rPr>
              <w:t>le</w:t>
            </w:r>
            <w:r>
              <w:rPr>
                <w:sz w:val="20"/>
                <w:szCs w:val="20"/>
                <w:lang w:val="fr-FR"/>
              </w:rPr>
              <w:t>ur</w:t>
            </w:r>
            <w:r w:rsidR="0058678D" w:rsidRPr="00653BF4">
              <w:rPr>
                <w:sz w:val="20"/>
                <w:szCs w:val="20"/>
                <w:lang w:val="fr-FR"/>
              </w:rPr>
              <w:t xml:space="preserve"> risque d</w:t>
            </w:r>
            <w:r w:rsidR="002A58C8" w:rsidRPr="00653BF4">
              <w:rPr>
                <w:sz w:val="20"/>
                <w:szCs w:val="20"/>
                <w:lang w:val="fr-FR"/>
              </w:rPr>
              <w:t>’</w:t>
            </w:r>
            <w:r w:rsidR="0058678D" w:rsidRPr="00653BF4">
              <w:rPr>
                <w:sz w:val="20"/>
                <w:szCs w:val="20"/>
                <w:lang w:val="fr-FR"/>
              </w:rPr>
              <w:t>extinction</w:t>
            </w:r>
          </w:p>
        </w:tc>
        <w:tc>
          <w:tcPr>
            <w:tcW w:w="516" w:type="dxa"/>
            <w:shd w:val="clear" w:color="auto" w:fill="00B050"/>
          </w:tcPr>
          <w:p w14:paraId="58F44914" w14:textId="4EA193AE" w:rsidR="0058678D" w:rsidRPr="00653BF4" w:rsidRDefault="0058678D" w:rsidP="0058678D">
            <w:pPr>
              <w:rPr>
                <w:sz w:val="20"/>
                <w:szCs w:val="20"/>
                <w:lang w:val="fr-FR"/>
              </w:rPr>
            </w:pPr>
            <w:r w:rsidRPr="00653BF4">
              <w:rPr>
                <w:sz w:val="20"/>
                <w:szCs w:val="20"/>
                <w:lang w:val="fr-FR"/>
              </w:rPr>
              <w:t>90</w:t>
            </w:r>
          </w:p>
        </w:tc>
      </w:tr>
      <w:tr w:rsidR="0058678D" w:rsidRPr="00653BF4" w14:paraId="405FDE13" w14:textId="77777777" w:rsidTr="00AA430A">
        <w:tc>
          <w:tcPr>
            <w:tcW w:w="8500" w:type="dxa"/>
          </w:tcPr>
          <w:p w14:paraId="73D4B6CE" w14:textId="0258B3BE" w:rsidR="0058678D" w:rsidRPr="00653BF4" w:rsidRDefault="00C21877" w:rsidP="0058678D">
            <w:pPr>
              <w:rPr>
                <w:sz w:val="20"/>
                <w:szCs w:val="20"/>
                <w:lang w:val="fr-FR"/>
              </w:rPr>
            </w:pPr>
            <w:r>
              <w:rPr>
                <w:sz w:val="20"/>
                <w:szCs w:val="20"/>
                <w:lang w:val="fr-FR"/>
              </w:rPr>
              <w:t>Sauvegarder et rétablir</w:t>
            </w:r>
            <w:r w:rsidR="0058678D" w:rsidRPr="00653BF4">
              <w:rPr>
                <w:sz w:val="20"/>
                <w:szCs w:val="20"/>
                <w:lang w:val="fr-FR"/>
              </w:rPr>
              <w:t xml:space="preserve"> la diversité génétique au sein des populations d</w:t>
            </w:r>
            <w:r w:rsidR="002A58C8" w:rsidRPr="00653BF4">
              <w:rPr>
                <w:sz w:val="20"/>
                <w:szCs w:val="20"/>
                <w:lang w:val="fr-FR"/>
              </w:rPr>
              <w:t>’</w:t>
            </w:r>
            <w:r w:rsidR="0058678D" w:rsidRPr="00653BF4">
              <w:rPr>
                <w:sz w:val="20"/>
                <w:szCs w:val="20"/>
                <w:lang w:val="fr-FR"/>
              </w:rPr>
              <w:t xml:space="preserve">espèces indigènes et </w:t>
            </w:r>
            <w:r>
              <w:rPr>
                <w:sz w:val="20"/>
                <w:szCs w:val="20"/>
                <w:lang w:val="fr-FR"/>
              </w:rPr>
              <w:t xml:space="preserve">sauvages et </w:t>
            </w:r>
            <w:r w:rsidR="0058678D" w:rsidRPr="00653BF4">
              <w:rPr>
                <w:sz w:val="20"/>
                <w:szCs w:val="20"/>
                <w:lang w:val="fr-FR"/>
              </w:rPr>
              <w:t xml:space="preserve">entre </w:t>
            </w:r>
            <w:r>
              <w:rPr>
                <w:sz w:val="20"/>
                <w:szCs w:val="20"/>
                <w:lang w:val="fr-FR"/>
              </w:rPr>
              <w:t>elles</w:t>
            </w:r>
            <w:r w:rsidR="0058678D" w:rsidRPr="00653BF4">
              <w:rPr>
                <w:sz w:val="20"/>
                <w:szCs w:val="20"/>
                <w:lang w:val="fr-FR"/>
              </w:rPr>
              <w:t xml:space="preserve">, </w:t>
            </w:r>
            <w:r>
              <w:rPr>
                <w:sz w:val="20"/>
                <w:szCs w:val="20"/>
                <w:lang w:val="fr-FR"/>
              </w:rPr>
              <w:t xml:space="preserve">en vue de préserver </w:t>
            </w:r>
            <w:r w:rsidR="0058678D" w:rsidRPr="00653BF4">
              <w:rPr>
                <w:sz w:val="20"/>
                <w:szCs w:val="20"/>
                <w:lang w:val="fr-FR"/>
              </w:rPr>
              <w:t>leur potentiel d</w:t>
            </w:r>
            <w:r w:rsidR="002A58C8" w:rsidRPr="00653BF4">
              <w:rPr>
                <w:sz w:val="20"/>
                <w:szCs w:val="20"/>
                <w:lang w:val="fr-FR"/>
              </w:rPr>
              <w:t>’</w:t>
            </w:r>
            <w:r w:rsidR="0058678D" w:rsidRPr="00653BF4">
              <w:rPr>
                <w:sz w:val="20"/>
                <w:szCs w:val="20"/>
                <w:lang w:val="fr-FR"/>
              </w:rPr>
              <w:t>adaptation</w:t>
            </w:r>
          </w:p>
        </w:tc>
        <w:tc>
          <w:tcPr>
            <w:tcW w:w="516" w:type="dxa"/>
            <w:shd w:val="clear" w:color="auto" w:fill="92D050"/>
          </w:tcPr>
          <w:p w14:paraId="4275E85C" w14:textId="71CA33A5" w:rsidR="0058678D" w:rsidRPr="00653BF4" w:rsidRDefault="0058678D" w:rsidP="0058678D">
            <w:pPr>
              <w:rPr>
                <w:sz w:val="20"/>
                <w:szCs w:val="20"/>
                <w:lang w:val="fr-FR"/>
              </w:rPr>
            </w:pPr>
            <w:r w:rsidRPr="00653BF4">
              <w:rPr>
                <w:sz w:val="20"/>
                <w:szCs w:val="20"/>
                <w:lang w:val="fr-FR"/>
              </w:rPr>
              <w:t>73</w:t>
            </w:r>
          </w:p>
        </w:tc>
      </w:tr>
      <w:tr w:rsidR="0058678D" w:rsidRPr="00653BF4" w14:paraId="4F9B0839" w14:textId="77777777" w:rsidTr="0054703D">
        <w:tc>
          <w:tcPr>
            <w:tcW w:w="8500" w:type="dxa"/>
          </w:tcPr>
          <w:p w14:paraId="38D751C6" w14:textId="1E2947D7" w:rsidR="0058678D" w:rsidRPr="00653BF4" w:rsidRDefault="00EB48A7" w:rsidP="0058678D">
            <w:pPr>
              <w:rPr>
                <w:sz w:val="20"/>
                <w:szCs w:val="20"/>
                <w:lang w:val="fr-FR"/>
              </w:rPr>
            </w:pPr>
            <w:r w:rsidRPr="00EB48A7">
              <w:rPr>
                <w:sz w:val="20"/>
                <w:szCs w:val="20"/>
                <w:lang w:val="fr-FR"/>
              </w:rPr>
              <w:t xml:space="preserve">Sauvegarder et rétablir la diversité génétique au sein des populations d’espèces </w:t>
            </w:r>
            <w:r w:rsidR="0058678D" w:rsidRPr="00653BF4">
              <w:rPr>
                <w:sz w:val="20"/>
                <w:szCs w:val="20"/>
                <w:lang w:val="fr-FR"/>
              </w:rPr>
              <w:t xml:space="preserve">domestiquées et entre celles-ci, </w:t>
            </w:r>
            <w:r w:rsidRPr="00EB48A7">
              <w:rPr>
                <w:sz w:val="20"/>
                <w:szCs w:val="20"/>
                <w:lang w:val="fr-FR"/>
              </w:rPr>
              <w:t xml:space="preserve">en vue de préserver leur </w:t>
            </w:r>
            <w:r w:rsidR="0058678D" w:rsidRPr="00653BF4">
              <w:rPr>
                <w:sz w:val="20"/>
                <w:szCs w:val="20"/>
                <w:lang w:val="fr-FR"/>
              </w:rPr>
              <w:t>potentiel d</w:t>
            </w:r>
            <w:r w:rsidR="002A58C8" w:rsidRPr="00653BF4">
              <w:rPr>
                <w:sz w:val="20"/>
                <w:szCs w:val="20"/>
                <w:lang w:val="fr-FR"/>
              </w:rPr>
              <w:t>’</w:t>
            </w:r>
            <w:r w:rsidR="0058678D" w:rsidRPr="00653BF4">
              <w:rPr>
                <w:sz w:val="20"/>
                <w:szCs w:val="20"/>
                <w:lang w:val="fr-FR"/>
              </w:rPr>
              <w:t>adaptation</w:t>
            </w:r>
          </w:p>
        </w:tc>
        <w:tc>
          <w:tcPr>
            <w:tcW w:w="516" w:type="dxa"/>
            <w:shd w:val="clear" w:color="auto" w:fill="FFFF00"/>
          </w:tcPr>
          <w:p w14:paraId="3768EEB9" w14:textId="5ACFC822" w:rsidR="0058678D" w:rsidRPr="00653BF4" w:rsidRDefault="0058678D" w:rsidP="0058678D">
            <w:pPr>
              <w:rPr>
                <w:sz w:val="20"/>
                <w:szCs w:val="20"/>
                <w:lang w:val="fr-FR"/>
              </w:rPr>
            </w:pPr>
            <w:r w:rsidRPr="00653BF4">
              <w:rPr>
                <w:sz w:val="20"/>
                <w:szCs w:val="20"/>
                <w:lang w:val="fr-FR"/>
              </w:rPr>
              <w:t>55</w:t>
            </w:r>
          </w:p>
        </w:tc>
      </w:tr>
      <w:tr w:rsidR="0058678D" w:rsidRPr="00653BF4" w14:paraId="63E2569A" w14:textId="77777777" w:rsidTr="00DA2097">
        <w:tc>
          <w:tcPr>
            <w:tcW w:w="8500" w:type="dxa"/>
          </w:tcPr>
          <w:p w14:paraId="09974475" w14:textId="4E33D8CA" w:rsidR="0058678D" w:rsidRPr="002E1475" w:rsidRDefault="002E1475" w:rsidP="0058678D">
            <w:pPr>
              <w:rPr>
                <w:sz w:val="20"/>
                <w:szCs w:val="20"/>
                <w:lang w:val="fr-FR"/>
              </w:rPr>
            </w:pPr>
            <w:r w:rsidRPr="002E1475">
              <w:rPr>
                <w:sz w:val="20"/>
                <w:szCs w:val="20"/>
                <w:lang w:val="fr-FR"/>
              </w:rPr>
              <w:t>Gérer efficacement les interactions entre l’homme et la faune de manière à limiter les conflits liés à leur coexistence</w:t>
            </w:r>
          </w:p>
        </w:tc>
        <w:tc>
          <w:tcPr>
            <w:tcW w:w="516" w:type="dxa"/>
            <w:shd w:val="clear" w:color="auto" w:fill="FFFF00"/>
          </w:tcPr>
          <w:p w14:paraId="0B29F681" w14:textId="39F7C637" w:rsidR="0058678D" w:rsidRPr="00653BF4" w:rsidRDefault="0058678D" w:rsidP="0058678D">
            <w:pPr>
              <w:rPr>
                <w:sz w:val="20"/>
                <w:szCs w:val="20"/>
                <w:lang w:val="fr-FR"/>
              </w:rPr>
            </w:pPr>
            <w:r w:rsidRPr="00653BF4">
              <w:rPr>
                <w:sz w:val="20"/>
                <w:szCs w:val="20"/>
                <w:lang w:val="fr-FR"/>
              </w:rPr>
              <w:t>56</w:t>
            </w:r>
          </w:p>
        </w:tc>
      </w:tr>
      <w:tr w:rsidR="00F03915" w:rsidRPr="00543148" w14:paraId="38566EAC" w14:textId="77777777">
        <w:tc>
          <w:tcPr>
            <w:tcW w:w="9016" w:type="dxa"/>
            <w:gridSpan w:val="2"/>
          </w:tcPr>
          <w:p w14:paraId="079F9229" w14:textId="73E1F9EE" w:rsidR="00693060" w:rsidRPr="00653BF4" w:rsidRDefault="00927118" w:rsidP="00693060">
            <w:pPr>
              <w:pStyle w:val="p1"/>
              <w:keepNext/>
              <w:rPr>
                <w:rFonts w:asciiTheme="minorHAnsi" w:hAnsiTheme="minorHAnsi"/>
                <w:b/>
                <w:bCs/>
                <w:sz w:val="22"/>
                <w:szCs w:val="22"/>
                <w:lang w:val="fr-FR"/>
              </w:rPr>
            </w:pPr>
            <w:r w:rsidRPr="00653BF4">
              <w:rPr>
                <w:rFonts w:asciiTheme="minorHAnsi" w:hAnsiTheme="minorHAnsi"/>
                <w:b/>
                <w:bCs/>
                <w:sz w:val="22"/>
                <w:szCs w:val="22"/>
                <w:lang w:val="fr-FR"/>
              </w:rPr>
              <w:lastRenderedPageBreak/>
              <w:t>En moyenne, les Parties ont abordé, au moins dans une certaine mesure, 70</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0CD3E720" w14:textId="77777777" w:rsidR="00F03915" w:rsidRPr="00653BF4" w:rsidRDefault="00F03915" w:rsidP="006E369A">
            <w:pPr>
              <w:rPr>
                <w:sz w:val="20"/>
                <w:szCs w:val="20"/>
                <w:lang w:val="fr-FR"/>
              </w:rPr>
            </w:pPr>
          </w:p>
        </w:tc>
      </w:tr>
    </w:tbl>
    <w:p w14:paraId="5E0A3F43" w14:textId="756D8F04" w:rsidR="00125297" w:rsidRPr="00653BF4" w:rsidRDefault="00125297" w:rsidP="00125297">
      <w:pPr>
        <w:pStyle w:val="Caption"/>
        <w:keepNext/>
        <w:rPr>
          <w:lang w:val="fr-FR"/>
        </w:rPr>
      </w:pPr>
    </w:p>
    <w:p w14:paraId="59A1E4E1" w14:textId="406EF9C2" w:rsidR="000D1AF9" w:rsidRPr="00653BF4" w:rsidRDefault="006A631C" w:rsidP="000D1AF9">
      <w:pPr>
        <w:rPr>
          <w:iCs/>
          <w:sz w:val="16"/>
          <w:szCs w:val="16"/>
          <w:lang w:val="fr-FR"/>
        </w:rPr>
      </w:pPr>
      <w:r w:rsidRPr="00653BF4">
        <w:rPr>
          <w:i/>
          <w:sz w:val="16"/>
          <w:szCs w:val="16"/>
          <w:lang w:val="fr-FR"/>
        </w:rPr>
        <w:t>Note</w:t>
      </w:r>
      <w:r w:rsidR="00E34DC9">
        <w:rPr>
          <w:i/>
          <w:sz w:val="16"/>
          <w:szCs w:val="16"/>
          <w:lang w:val="fr-FR"/>
        </w:rPr>
        <w:t> :</w:t>
      </w:r>
      <w:r w:rsidR="000D1AF9" w:rsidRPr="00653BF4">
        <w:rPr>
          <w:iCs/>
          <w:sz w:val="16"/>
          <w:szCs w:val="16"/>
          <w:lang w:val="fr-FR"/>
        </w:rPr>
        <w:t xml:space="preserve"> </w:t>
      </w:r>
      <w:r w:rsidR="002358ED" w:rsidRPr="00653BF4">
        <w:rPr>
          <w:iCs/>
          <w:sz w:val="16"/>
          <w:szCs w:val="16"/>
          <w:lang w:val="fr-FR"/>
        </w:rPr>
        <w:t>La colonne de droite du tableau indique le pourcentage de Parties dont les cibles nationales prennent en compte l’élément au moins partiellement.</w:t>
      </w:r>
    </w:p>
    <w:p w14:paraId="32D6662E" w14:textId="001F2ABE" w:rsidR="000D1AF9" w:rsidRPr="00653BF4" w:rsidRDefault="000D1AF9" w:rsidP="000D1AF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ascii="Aptos" w:hAnsi="Aptos" w:cs="Segoe UI"/>
          <w:sz w:val="16"/>
          <w:szCs w:val="16"/>
          <w:lang w:val="fr-FR"/>
        </w:rPr>
        <w:t xml:space="preserve"> </w:t>
      </w:r>
      <w:r w:rsidR="007A52DB" w:rsidRPr="00653BF4">
        <w:rPr>
          <w:rFonts w:ascii="Aptos" w:hAnsi="Aptos" w:cs="Segoe UI"/>
          <w:sz w:val="16"/>
          <w:szCs w:val="16"/>
          <w:lang w:val="fr-FR"/>
        </w:rPr>
        <w:t>Les éléments de chaque cible ont été définis par le Groupe spécial d</w:t>
      </w:r>
      <w:r w:rsidR="00D77549">
        <w:rPr>
          <w:rFonts w:ascii="Aptos" w:hAnsi="Aptos" w:cs="Segoe UI"/>
          <w:sz w:val="16"/>
          <w:szCs w:val="16"/>
          <w:lang w:val="fr-FR"/>
        </w:rPr>
        <w:t>’</w:t>
      </w:r>
      <w:r w:rsidR="007A52DB" w:rsidRPr="00653BF4">
        <w:rPr>
          <w:rFonts w:ascii="Aptos" w:hAnsi="Aptos" w:cs="Segoe UI"/>
          <w:sz w:val="16"/>
          <w:szCs w:val="16"/>
          <w:lang w:val="fr-FR"/>
        </w:rPr>
        <w:t>experts techniques sur les indicateurs du Cadre mondial de la biodiversité de Kunming-Montréal (voir annexe I du document </w:t>
      </w:r>
      <w:hyperlink r:id="rId73" w:history="1">
        <w:r w:rsidR="00877BBA" w:rsidRPr="00653BF4">
          <w:rPr>
            <w:rStyle w:val="Hyperlink"/>
            <w:rFonts w:ascii="Aptos" w:hAnsi="Aptos" w:cs="Segoe UI"/>
            <w:sz w:val="16"/>
            <w:szCs w:val="16"/>
            <w:lang w:val="fr-FR"/>
          </w:rPr>
          <w:t>CBD/COP/16/INF/4</w:t>
        </w:r>
      </w:hyperlink>
      <w:r w:rsidR="00E34DC9">
        <w:rPr>
          <w:rFonts w:ascii="Aptos" w:hAnsi="Aptos" w:cs="Segoe UI"/>
          <w:sz w:val="16"/>
          <w:szCs w:val="16"/>
          <w:lang w:val="fr-FR"/>
        </w:rPr>
        <w:t> ;</w:t>
      </w:r>
      <w:r w:rsidR="00877BBA" w:rsidRPr="00653BF4">
        <w:rPr>
          <w:rFonts w:ascii="Aptos" w:hAnsi="Aptos" w:cs="Segoe UI"/>
          <w:sz w:val="16"/>
          <w:szCs w:val="16"/>
          <w:lang w:val="fr-FR"/>
        </w:rPr>
        <w:t xml:space="preserve"> et Affinito </w:t>
      </w:r>
      <w:r w:rsidR="00877BBA" w:rsidRPr="00653BF4">
        <w:rPr>
          <w:rFonts w:ascii="Aptos" w:hAnsi="Aptos" w:cs="Segoe UI"/>
          <w:i/>
          <w:iCs/>
          <w:sz w:val="16"/>
          <w:szCs w:val="16"/>
          <w:lang w:val="fr-FR"/>
        </w:rPr>
        <w:t>et al.</w:t>
      </w:r>
      <w:r w:rsidR="00877BBA" w:rsidRPr="00653BF4">
        <w:rPr>
          <w:rFonts w:ascii="Aptos" w:hAnsi="Aptos" w:cs="Segoe UI"/>
          <w:sz w:val="16"/>
          <w:szCs w:val="16"/>
          <w:lang w:val="fr-FR"/>
        </w:rPr>
        <w:t xml:space="preserve">, 2025). </w:t>
      </w:r>
      <w:r w:rsidR="003A5A9E" w:rsidRPr="00653BF4">
        <w:rPr>
          <w:rFonts w:ascii="Aptos" w:hAnsi="Aptos" w:cs="Segoe UI"/>
          <w:sz w:val="16"/>
          <w:szCs w:val="16"/>
          <w:lang w:val="fr-FR"/>
        </w:rPr>
        <w:t>La méthode détaillée employée pour l’analyse des cibles nationales est présentée dans le document </w:t>
      </w:r>
      <w:hyperlink r:id="rId74" w:history="1">
        <w:r w:rsidR="00877BBA" w:rsidRPr="00653BF4">
          <w:rPr>
            <w:rStyle w:val="Hyperlink"/>
            <w:rFonts w:ascii="Aptos" w:hAnsi="Aptos" w:cs="Segoe UI"/>
            <w:sz w:val="16"/>
            <w:szCs w:val="16"/>
            <w:lang w:val="fr-FR"/>
          </w:rPr>
          <w:t>CBD/SBI/7/INF/22</w:t>
        </w:r>
      </w:hyperlink>
      <w:r w:rsidR="00877BBA" w:rsidRPr="00653BF4">
        <w:rPr>
          <w:rFonts w:ascii="Aptos" w:hAnsi="Aptos" w:cs="Segoe UI"/>
          <w:sz w:val="16"/>
          <w:szCs w:val="16"/>
          <w:lang w:val="fr-FR"/>
        </w:rPr>
        <w:t>.</w:t>
      </w:r>
    </w:p>
    <w:p w14:paraId="13204FCB" w14:textId="77777777" w:rsidR="000D1AF9" w:rsidRPr="00653BF4" w:rsidRDefault="000D1AF9" w:rsidP="000D1AF9">
      <w:pPr>
        <w:rPr>
          <w:lang w:val="fr-FR" w:eastAsia="ja-JP"/>
        </w:rPr>
      </w:pPr>
    </w:p>
    <w:p w14:paraId="50F1555A" w14:textId="47E57773" w:rsidR="00B36945" w:rsidRPr="00653BF4" w:rsidRDefault="00A56AC2" w:rsidP="00B36945">
      <w:pPr>
        <w:rPr>
          <w:lang w:val="fr-FR"/>
        </w:rPr>
      </w:pPr>
      <w:r w:rsidRPr="00653BF4">
        <w:rPr>
          <w:lang w:val="fr-FR"/>
        </w:rPr>
        <w:t xml:space="preserve">La plupart des éléments de la </w:t>
      </w:r>
      <w:r w:rsidR="00E34DC9">
        <w:rPr>
          <w:lang w:val="fr-FR"/>
        </w:rPr>
        <w:t>cible 4</w:t>
      </w:r>
      <w:r w:rsidRPr="00653BF4">
        <w:rPr>
          <w:lang w:val="fr-FR"/>
        </w:rPr>
        <w:t xml:space="preserve"> sont abordés dans une certaine mesure par une grande majorité des Parties dans leurs cibles nationales (</w:t>
      </w:r>
      <w:r w:rsidR="00592405" w:rsidRPr="00653BF4">
        <w:rPr>
          <w:lang w:val="fr-FR"/>
        </w:rPr>
        <w:t>voir le tableau </w:t>
      </w:r>
      <w:r w:rsidRPr="00653BF4">
        <w:rPr>
          <w:lang w:val="fr-FR"/>
        </w:rPr>
        <w:t>10). Par exemple, 90</w:t>
      </w:r>
      <w:r w:rsidR="002878D7">
        <w:rPr>
          <w:lang w:val="fr-FR"/>
        </w:rPr>
        <w:t> %</w:t>
      </w:r>
      <w:r w:rsidRPr="00653BF4">
        <w:rPr>
          <w:lang w:val="fr-FR"/>
        </w:rPr>
        <w:t xml:space="preserve"> des Parties abordent la réduction du risque d</w:t>
      </w:r>
      <w:r w:rsidR="002A58C8" w:rsidRPr="00653BF4">
        <w:rPr>
          <w:lang w:val="fr-FR"/>
        </w:rPr>
        <w:t>’</w:t>
      </w:r>
      <w:r w:rsidRPr="00653BF4">
        <w:rPr>
          <w:lang w:val="fr-FR"/>
        </w:rPr>
        <w:t>extinction en favorisant le rétablissement et la conservation des espèces, en particulier des espèces menacées, et 81</w:t>
      </w:r>
      <w:r w:rsidR="002878D7">
        <w:rPr>
          <w:lang w:val="fr-FR"/>
        </w:rPr>
        <w:t> %</w:t>
      </w:r>
      <w:r w:rsidRPr="00653BF4">
        <w:rPr>
          <w:lang w:val="fr-FR"/>
        </w:rPr>
        <w:t xml:space="preserve"> abordent les mesures de gestion urgentes, notamment par le biais de la conservation in situ et ex situ et de pratiques de gestion durable. Plus des deux tiers des Parties ont fixé des cibles nationales visant à enrayer l</w:t>
      </w:r>
      <w:r w:rsidR="002A58C8" w:rsidRPr="00653BF4">
        <w:rPr>
          <w:lang w:val="fr-FR"/>
        </w:rPr>
        <w:t>’</w:t>
      </w:r>
      <w:r w:rsidRPr="00653BF4">
        <w:rPr>
          <w:lang w:val="fr-FR"/>
        </w:rPr>
        <w:t>extinction, due à l</w:t>
      </w:r>
      <w:r w:rsidR="002A58C8" w:rsidRPr="00653BF4">
        <w:rPr>
          <w:lang w:val="fr-FR"/>
        </w:rPr>
        <w:t>’</w:t>
      </w:r>
      <w:r w:rsidRPr="00653BF4">
        <w:rPr>
          <w:lang w:val="fr-FR"/>
        </w:rPr>
        <w:t>activité humaine, des espèces menacées connues, ainsi qu</w:t>
      </w:r>
      <w:r w:rsidR="002A58C8" w:rsidRPr="00653BF4">
        <w:rPr>
          <w:lang w:val="fr-FR"/>
        </w:rPr>
        <w:t>’</w:t>
      </w:r>
      <w:r w:rsidRPr="00653BF4">
        <w:rPr>
          <w:lang w:val="fr-FR"/>
        </w:rPr>
        <w:t>à maintenir et à remettre en état la diversité génétique au sein des populations d</w:t>
      </w:r>
      <w:r w:rsidR="002A58C8" w:rsidRPr="00653BF4">
        <w:rPr>
          <w:lang w:val="fr-FR"/>
        </w:rPr>
        <w:t>’</w:t>
      </w:r>
      <w:r w:rsidRPr="00653BF4">
        <w:rPr>
          <w:lang w:val="fr-FR"/>
        </w:rPr>
        <w:t>espèces sauvages indigènes et entre celles-ci. Une proportion plus faible de Parties s</w:t>
      </w:r>
      <w:r w:rsidR="002A58C8" w:rsidRPr="00653BF4">
        <w:rPr>
          <w:lang w:val="fr-FR"/>
        </w:rPr>
        <w:t>’</w:t>
      </w:r>
      <w:r w:rsidRPr="00653BF4">
        <w:rPr>
          <w:lang w:val="fr-FR"/>
        </w:rPr>
        <w:t xml:space="preserve">attache aux éléments de la </w:t>
      </w:r>
      <w:r w:rsidR="00E34DC9">
        <w:rPr>
          <w:lang w:val="fr-FR"/>
        </w:rPr>
        <w:t>cible 4</w:t>
      </w:r>
      <w:r w:rsidRPr="00653BF4">
        <w:rPr>
          <w:lang w:val="fr-FR"/>
        </w:rPr>
        <w:t xml:space="preserve"> relatifs au maintien et à la restauration de la diversité génétique au sein des populations d</w:t>
      </w:r>
      <w:r w:rsidR="002A58C8" w:rsidRPr="00653BF4">
        <w:rPr>
          <w:lang w:val="fr-FR"/>
        </w:rPr>
        <w:t>’</w:t>
      </w:r>
      <w:r w:rsidRPr="00653BF4">
        <w:rPr>
          <w:lang w:val="fr-FR"/>
        </w:rPr>
        <w:t>espèces domestiquées et entre celles-ci, ainsi qu</w:t>
      </w:r>
      <w:r w:rsidR="002A58C8" w:rsidRPr="00653BF4">
        <w:rPr>
          <w:lang w:val="fr-FR"/>
        </w:rPr>
        <w:t>’</w:t>
      </w:r>
      <w:r w:rsidRPr="00653BF4">
        <w:rPr>
          <w:lang w:val="fr-FR"/>
        </w:rPr>
        <w:t>à la gestion efficace des interactions entre l</w:t>
      </w:r>
      <w:r w:rsidR="002A58C8" w:rsidRPr="00653BF4">
        <w:rPr>
          <w:lang w:val="fr-FR"/>
        </w:rPr>
        <w:t>’</w:t>
      </w:r>
      <w:r w:rsidRPr="00653BF4">
        <w:rPr>
          <w:lang w:val="fr-FR"/>
        </w:rPr>
        <w:t>homme et la faune et la flore sauvages afin de minimiser les conflits entre l</w:t>
      </w:r>
      <w:r w:rsidR="002A58C8" w:rsidRPr="00653BF4">
        <w:rPr>
          <w:lang w:val="fr-FR"/>
        </w:rPr>
        <w:t>’</w:t>
      </w:r>
      <w:r w:rsidRPr="00653BF4">
        <w:rPr>
          <w:lang w:val="fr-FR"/>
        </w:rPr>
        <w:t>homme et la faune et la flore sauvages dans une optique de coexistence (respectivement 55</w:t>
      </w:r>
      <w:r w:rsidR="002878D7">
        <w:rPr>
          <w:lang w:val="fr-FR"/>
        </w:rPr>
        <w:t> %</w:t>
      </w:r>
      <w:r w:rsidRPr="00653BF4">
        <w:rPr>
          <w:lang w:val="fr-FR"/>
        </w:rPr>
        <w:t xml:space="preserve"> et 56</w:t>
      </w:r>
      <w:r w:rsidR="002878D7">
        <w:rPr>
          <w:lang w:val="fr-FR"/>
        </w:rPr>
        <w:t> %</w:t>
      </w:r>
      <w:r w:rsidRPr="00653BF4">
        <w:rPr>
          <w:lang w:val="fr-FR"/>
        </w:rPr>
        <w:t xml:space="preserve"> des Parties).</w:t>
      </w:r>
    </w:p>
    <w:p w14:paraId="2CCFF632" w14:textId="55645162" w:rsidR="009D6940" w:rsidRPr="00653BF4" w:rsidRDefault="009D6940" w:rsidP="00B36945">
      <w:pPr>
        <w:rPr>
          <w:lang w:val="fr-FR"/>
        </w:rPr>
      </w:pPr>
    </w:p>
    <w:p w14:paraId="06DFC7C0" w14:textId="0D79F2F3" w:rsidR="006E369A" w:rsidRPr="00653BF4" w:rsidRDefault="00DD19D2" w:rsidP="006E369A">
      <w:pPr>
        <w:pStyle w:val="Heading5"/>
        <w:rPr>
          <w:lang w:val="fr-FR"/>
        </w:rPr>
      </w:pPr>
      <w:r w:rsidRPr="00653BF4">
        <w:rPr>
          <w:lang w:val="fr-FR"/>
        </w:rPr>
        <w:t>Indicateurs de progrès</w:t>
      </w:r>
    </w:p>
    <w:p w14:paraId="67F6174B" w14:textId="77777777" w:rsidR="00DA78A5" w:rsidRPr="00653BF4" w:rsidRDefault="00DA78A5" w:rsidP="00DA78A5">
      <w:pPr>
        <w:rPr>
          <w:lang w:val="fr-FR"/>
        </w:rPr>
      </w:pPr>
    </w:p>
    <w:p w14:paraId="72C51848" w14:textId="12D388C4" w:rsidR="009976FD" w:rsidRPr="00653BF4" w:rsidRDefault="00D5751A" w:rsidP="00DF1DCB">
      <w:pPr>
        <w:pStyle w:val="Caption"/>
        <w:rPr>
          <w:i w:val="0"/>
          <w:iCs w:val="0"/>
          <w:sz w:val="20"/>
          <w:szCs w:val="20"/>
          <w:lang w:val="fr-FR"/>
        </w:rPr>
      </w:pPr>
      <w:bookmarkStart w:id="120" w:name="_Ref238580670"/>
      <w:r w:rsidRPr="00653BF4">
        <w:rPr>
          <w:i w:val="0"/>
          <w:sz w:val="20"/>
          <w:szCs w:val="20"/>
          <w:lang w:val="fr-FR"/>
        </w:rPr>
        <w:t>Tableau</w:t>
      </w:r>
      <w:r w:rsidR="003942DE" w:rsidRPr="00653BF4">
        <w:rPr>
          <w:i w:val="0"/>
          <w:sz w:val="20"/>
          <w:szCs w:val="20"/>
          <w:lang w:val="fr-FR"/>
        </w:rPr>
        <w:t> </w:t>
      </w:r>
      <w:r w:rsidR="00DC1793" w:rsidRPr="00653BF4">
        <w:rPr>
          <w:i w:val="0"/>
          <w:noProof/>
          <w:sz w:val="20"/>
          <w:szCs w:val="20"/>
          <w:lang w:val="fr-FR"/>
        </w:rPr>
        <w:t>11</w:t>
      </w:r>
      <w:bookmarkEnd w:id="120"/>
      <w:r w:rsidR="00DF1DCB" w:rsidRPr="00653BF4">
        <w:rPr>
          <w:i w:val="0"/>
          <w:iCs w:val="0"/>
          <w:sz w:val="20"/>
          <w:szCs w:val="20"/>
          <w:lang w:val="fr-FR"/>
        </w:rPr>
        <w:t xml:space="preserve"> </w:t>
      </w:r>
    </w:p>
    <w:p w14:paraId="1A153530" w14:textId="6349C3FE" w:rsidR="00DF1DCB" w:rsidRPr="00653BF4" w:rsidRDefault="005A6401" w:rsidP="001276CA">
      <w:pPr>
        <w:rPr>
          <w:rFonts w:ascii="Aptos" w:hAnsi="Aptos"/>
          <w:sz w:val="20"/>
          <w:szCs w:val="20"/>
          <w:lang w:val="fr-FR"/>
        </w:rPr>
      </w:pPr>
      <w:r w:rsidRPr="00653BF4">
        <w:rPr>
          <w:rFonts w:eastAsiaTheme="minorEastAsia"/>
          <w:b/>
          <w:bCs/>
          <w:color w:val="0E2841" w:themeColor="text2"/>
          <w:kern w:val="0"/>
          <w:sz w:val="20"/>
          <w:szCs w:val="20"/>
          <w:lang w:val="fr-FR" w:eastAsia="ja-JP"/>
          <w14:ligatures w14:val="none"/>
        </w:rPr>
        <w:t>Tableau de bord</w:t>
      </w:r>
      <w:r w:rsidR="00C76DEB" w:rsidRPr="00653BF4">
        <w:rPr>
          <w:rFonts w:eastAsiaTheme="minorEastAsia"/>
          <w:b/>
          <w:bCs/>
          <w:color w:val="0E2841" w:themeColor="text2"/>
          <w:kern w:val="0"/>
          <w:sz w:val="20"/>
          <w:szCs w:val="20"/>
          <w:lang w:val="fr-FR" w:eastAsia="ja-JP"/>
          <w14:ligatures w14:val="none"/>
        </w:rPr>
        <w:t xml:space="preserve"> des indicateurs pour la </w:t>
      </w:r>
      <w:r w:rsidR="00E34DC9">
        <w:rPr>
          <w:rFonts w:eastAsiaTheme="minorEastAsia"/>
          <w:b/>
          <w:bCs/>
          <w:color w:val="0E2841" w:themeColor="text2"/>
          <w:kern w:val="0"/>
          <w:sz w:val="20"/>
          <w:szCs w:val="20"/>
          <w:lang w:val="fr-FR" w:eastAsia="ja-JP"/>
          <w14:ligatures w14:val="none"/>
        </w:rPr>
        <w:t>cible 4</w:t>
      </w:r>
      <w:r w:rsidR="00C76DEB" w:rsidRPr="00653BF4">
        <w:rPr>
          <w:rFonts w:eastAsiaTheme="minorEastAsia"/>
          <w:b/>
          <w:bCs/>
          <w:color w:val="0E2841" w:themeColor="text2"/>
          <w:kern w:val="0"/>
          <w:sz w:val="20"/>
          <w:szCs w:val="20"/>
          <w:lang w:val="fr-FR" w:eastAsia="ja-JP"/>
          <w14:ligatures w14:val="none"/>
        </w:rPr>
        <w:t xml:space="preserve"> du Cadre</w:t>
      </w:r>
    </w:p>
    <w:tbl>
      <w:tblPr>
        <w:tblW w:w="9493" w:type="dxa"/>
        <w:tblLook w:val="04A0" w:firstRow="1" w:lastRow="0" w:firstColumn="1" w:lastColumn="0" w:noHBand="0" w:noVBand="1"/>
      </w:tblPr>
      <w:tblGrid>
        <w:gridCol w:w="3240"/>
        <w:gridCol w:w="2425"/>
        <w:gridCol w:w="567"/>
        <w:gridCol w:w="2694"/>
        <w:gridCol w:w="567"/>
      </w:tblGrid>
      <w:tr w:rsidR="00F235D3" w:rsidRPr="00653BF4" w14:paraId="473862CD" w14:textId="77777777">
        <w:trPr>
          <w:trHeight w:val="773"/>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7F3DDF10" w14:textId="77777777" w:rsidR="00F235D3" w:rsidRPr="00653BF4" w:rsidRDefault="00F235D3" w:rsidP="00DF1DCB">
            <w:pPr>
              <w:spacing w:after="0" w:line="240" w:lineRule="auto"/>
              <w:rPr>
                <w:rFonts w:ascii="Aptos" w:eastAsia="Times New Roman" w:hAnsi="Aptos" w:cs="Times New Roman"/>
                <w:color w:val="000000"/>
                <w:kern w:val="0"/>
                <w:sz w:val="20"/>
                <w:szCs w:val="20"/>
                <w:lang w:val="fr-FR"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03A37828" w14:textId="6CF316ED" w:rsidR="00F235D3" w:rsidRPr="00653BF4" w:rsidRDefault="003942DE">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color w:val="000000"/>
                <w:sz w:val="20"/>
                <w:szCs w:val="20"/>
                <w:lang w:val="fr-FR"/>
              </w:rPr>
              <w:t>Utilisation de l</w:t>
            </w:r>
            <w:r w:rsidR="002A58C8" w:rsidRPr="00653BF4">
              <w:rPr>
                <w:rFonts w:ascii="Aptos" w:hAnsi="Aptos"/>
                <w:color w:val="000000"/>
                <w:sz w:val="20"/>
                <w:szCs w:val="20"/>
                <w:lang w:val="fr-FR"/>
              </w:rPr>
              <w:t>’</w:t>
            </w:r>
            <w:r w:rsidRPr="00653BF4">
              <w:rPr>
                <w:rFonts w:ascii="Aptos" w:hAnsi="Aptos"/>
                <w:color w:val="000000"/>
                <w:sz w:val="20"/>
                <w:szCs w:val="20"/>
                <w:lang w:val="fr-FR"/>
              </w:rPr>
              <w:t>indicateur</w:t>
            </w:r>
          </w:p>
        </w:tc>
        <w:tc>
          <w:tcPr>
            <w:tcW w:w="3261" w:type="dxa"/>
            <w:gridSpan w:val="2"/>
            <w:tcBorders>
              <w:top w:val="single" w:sz="4" w:space="0" w:color="auto"/>
              <w:left w:val="nil"/>
              <w:bottom w:val="single" w:sz="4" w:space="0" w:color="auto"/>
              <w:right w:val="single" w:sz="4" w:space="0" w:color="auto"/>
            </w:tcBorders>
            <w:vAlign w:val="center"/>
          </w:tcPr>
          <w:p w14:paraId="31453614" w14:textId="1959AD85" w:rsidR="00F235D3" w:rsidRPr="00653BF4" w:rsidRDefault="003942DE">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color w:val="000000"/>
                <w:sz w:val="20"/>
                <w:szCs w:val="20"/>
                <w:lang w:val="fr-FR"/>
              </w:rPr>
              <w:t>Résultats de l</w:t>
            </w:r>
            <w:r w:rsidR="002A58C8" w:rsidRPr="00653BF4">
              <w:rPr>
                <w:rFonts w:ascii="Aptos" w:hAnsi="Aptos"/>
                <w:color w:val="000000"/>
                <w:sz w:val="20"/>
                <w:szCs w:val="20"/>
                <w:lang w:val="fr-FR"/>
              </w:rPr>
              <w:t>’</w:t>
            </w:r>
            <w:r w:rsidRPr="00653BF4">
              <w:rPr>
                <w:rFonts w:ascii="Aptos" w:hAnsi="Aptos"/>
                <w:color w:val="000000"/>
                <w:sz w:val="20"/>
                <w:szCs w:val="20"/>
                <w:lang w:val="fr-FR"/>
              </w:rPr>
              <w:t>indicateur</w:t>
            </w:r>
          </w:p>
        </w:tc>
      </w:tr>
      <w:tr w:rsidR="00C875F1" w:rsidRPr="00543148" w14:paraId="2E617AF5" w14:textId="77777777" w:rsidTr="00512246">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hideMark/>
          </w:tcPr>
          <w:p w14:paraId="59331B87" w14:textId="7F54E674" w:rsidR="00C875F1" w:rsidRPr="00653BF4" w:rsidRDefault="00C875F1" w:rsidP="00C875F1">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sz w:val="20"/>
                <w:szCs w:val="20"/>
                <w:lang w:val="fr-FR"/>
              </w:rPr>
              <w:t>I</w:t>
            </w:r>
            <w:r w:rsidR="003C5C35" w:rsidRPr="00653BF4">
              <w:rPr>
                <w:rFonts w:ascii="Aptos" w:hAnsi="Aptos"/>
                <w:sz w:val="20"/>
                <w:szCs w:val="20"/>
                <w:lang w:val="fr-FR"/>
              </w:rPr>
              <w:t>ndicateur phare</w:t>
            </w:r>
            <w:r w:rsidRPr="00653BF4">
              <w:rPr>
                <w:rFonts w:ascii="Aptos" w:hAnsi="Aptos"/>
                <w:sz w:val="20"/>
                <w:szCs w:val="20"/>
                <w:lang w:val="fr-FR"/>
              </w:rPr>
              <w:t xml:space="preserve"> A.3</w:t>
            </w:r>
            <w:r w:rsidR="00E34DC9">
              <w:rPr>
                <w:rFonts w:ascii="Aptos" w:hAnsi="Aptos"/>
                <w:sz w:val="20"/>
                <w:szCs w:val="20"/>
                <w:lang w:val="fr-FR"/>
              </w:rPr>
              <w:t> :</w:t>
            </w:r>
            <w:r w:rsidRPr="00653BF4">
              <w:rPr>
                <w:rFonts w:ascii="Aptos" w:hAnsi="Aptos"/>
                <w:sz w:val="20"/>
                <w:szCs w:val="20"/>
                <w:lang w:val="fr-FR"/>
              </w:rPr>
              <w:t xml:space="preserve"> Indice de la Liste rouge</w:t>
            </w:r>
          </w:p>
        </w:tc>
        <w:tc>
          <w:tcPr>
            <w:tcW w:w="2425" w:type="dxa"/>
            <w:tcBorders>
              <w:top w:val="single" w:sz="4" w:space="0" w:color="auto"/>
              <w:left w:val="nil"/>
              <w:bottom w:val="single" w:sz="4" w:space="0" w:color="auto"/>
              <w:right w:val="single" w:sz="4" w:space="0" w:color="auto"/>
            </w:tcBorders>
            <w:hideMark/>
          </w:tcPr>
          <w:p w14:paraId="18B3E7B5" w14:textId="0F6F6382" w:rsidR="00C875F1" w:rsidRPr="00653BF4" w:rsidRDefault="00C875F1" w:rsidP="00C875F1">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hAnsi="Aptos"/>
                <w:sz w:val="20"/>
                <w:szCs w:val="20"/>
                <w:lang w:val="fr-FR"/>
              </w:rPr>
              <w:t>70</w:t>
            </w:r>
            <w:r w:rsidR="002878D7">
              <w:rPr>
                <w:rFonts w:ascii="Aptos" w:hAnsi="Aptos"/>
                <w:sz w:val="20"/>
                <w:szCs w:val="20"/>
                <w:lang w:val="fr-FR"/>
              </w:rPr>
              <w:t> %</w:t>
            </w:r>
            <w:r w:rsidRPr="00653BF4">
              <w:rPr>
                <w:rFonts w:ascii="Aptos" w:hAnsi="Aptos"/>
                <w:sz w:val="20"/>
                <w:szCs w:val="20"/>
                <w:lang w:val="fr-FR"/>
              </w:rPr>
              <w:t xml:space="preserve"> des Parties</w:t>
            </w:r>
          </w:p>
        </w:tc>
        <w:tc>
          <w:tcPr>
            <w:tcW w:w="567" w:type="dxa"/>
            <w:tcBorders>
              <w:top w:val="single" w:sz="4" w:space="0" w:color="auto"/>
              <w:left w:val="nil"/>
              <w:bottom w:val="single" w:sz="4" w:space="0" w:color="auto"/>
              <w:right w:val="single" w:sz="4" w:space="0" w:color="auto"/>
            </w:tcBorders>
            <w:shd w:val="clear" w:color="000000" w:fill="92D050"/>
            <w:vAlign w:val="center"/>
            <w:hideMark/>
          </w:tcPr>
          <w:p w14:paraId="48CCC02D" w14:textId="77777777" w:rsidR="00C875F1" w:rsidRPr="00653BF4" w:rsidRDefault="00C875F1" w:rsidP="00C875F1">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694" w:type="dxa"/>
            <w:tcBorders>
              <w:top w:val="single" w:sz="4" w:space="0" w:color="auto"/>
              <w:left w:val="nil"/>
              <w:bottom w:val="single" w:sz="4" w:space="0" w:color="auto"/>
              <w:right w:val="single" w:sz="4" w:space="0" w:color="auto"/>
            </w:tcBorders>
            <w:vAlign w:val="center"/>
            <w:hideMark/>
          </w:tcPr>
          <w:p w14:paraId="53FC6CA2" w14:textId="31285856" w:rsidR="00F839D7" w:rsidRPr="00653BF4" w:rsidRDefault="00F839D7" w:rsidP="00C875F1">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Indice de la Liste rouge mondiale</w:t>
            </w:r>
            <w:r w:rsidR="00E34DC9">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0,85 (fourchette</w:t>
            </w:r>
            <w:r w:rsidR="00E34DC9">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0,65–0,99)</w:t>
            </w:r>
          </w:p>
          <w:p w14:paraId="1B2C301A" w14:textId="3DC1D713" w:rsidR="00C875F1" w:rsidRPr="00653BF4" w:rsidRDefault="00F839D7" w:rsidP="00C875F1">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Indice de la Liste rouge nationale</w:t>
            </w:r>
            <w:r w:rsidR="00E34DC9">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0,8 (fourchette</w:t>
            </w:r>
            <w:r w:rsidR="00E34DC9">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0,45–0,97) (les deux tendances sont à la baisse)</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093E1969" w14:textId="77777777" w:rsidR="00C875F1" w:rsidRPr="00653BF4" w:rsidRDefault="00C875F1" w:rsidP="00C875F1">
            <w:pPr>
              <w:spacing w:after="0" w:line="240" w:lineRule="auto"/>
              <w:jc w:val="center"/>
              <w:rPr>
                <w:rFonts w:ascii="Aptos" w:eastAsia="Times New Roman" w:hAnsi="Aptos" w:cs="Times New Roman"/>
                <w:color w:val="000000"/>
                <w:kern w:val="0"/>
                <w:sz w:val="20"/>
                <w:szCs w:val="20"/>
                <w:lang w:val="fr-FR" w:eastAsia="en-CA"/>
                <w14:ligatures w14:val="none"/>
              </w:rPr>
            </w:pPr>
          </w:p>
        </w:tc>
      </w:tr>
      <w:tr w:rsidR="00CD1684" w:rsidRPr="00653BF4" w14:paraId="044057DA" w14:textId="77777777" w:rsidTr="00FF4359">
        <w:trPr>
          <w:trHeight w:val="1050"/>
        </w:trPr>
        <w:tc>
          <w:tcPr>
            <w:tcW w:w="3240" w:type="dxa"/>
            <w:tcBorders>
              <w:top w:val="nil"/>
              <w:left w:val="single" w:sz="4" w:space="0" w:color="auto"/>
              <w:bottom w:val="single" w:sz="4" w:space="0" w:color="auto"/>
              <w:right w:val="single" w:sz="4" w:space="0" w:color="auto"/>
            </w:tcBorders>
            <w:shd w:val="clear" w:color="000000" w:fill="FFFFFF"/>
            <w:hideMark/>
          </w:tcPr>
          <w:p w14:paraId="5EEA68EC" w14:textId="46808055" w:rsidR="00AE231B" w:rsidRPr="00AE231B" w:rsidRDefault="00CD1684" w:rsidP="00AE231B">
            <w:pPr>
              <w:spacing w:after="0" w:line="240" w:lineRule="auto"/>
              <w:jc w:val="center"/>
              <w:rPr>
                <w:rFonts w:ascii="Aptos" w:hAnsi="Aptos"/>
                <w:sz w:val="20"/>
                <w:szCs w:val="20"/>
                <w:lang w:val="fr-FR"/>
              </w:rPr>
            </w:pPr>
            <w:r w:rsidRPr="00653BF4">
              <w:rPr>
                <w:rFonts w:ascii="Aptos" w:hAnsi="Aptos"/>
                <w:sz w:val="20"/>
                <w:szCs w:val="20"/>
                <w:lang w:val="fr-FR"/>
              </w:rPr>
              <w:lastRenderedPageBreak/>
              <w:t>I</w:t>
            </w:r>
            <w:r w:rsidR="003C5C35" w:rsidRPr="00653BF4">
              <w:rPr>
                <w:rFonts w:ascii="Aptos" w:hAnsi="Aptos"/>
                <w:sz w:val="20"/>
                <w:szCs w:val="20"/>
                <w:lang w:val="fr-FR"/>
              </w:rPr>
              <w:t>ndicateur phare</w:t>
            </w:r>
            <w:r w:rsidRPr="00653BF4">
              <w:rPr>
                <w:rFonts w:ascii="Aptos" w:hAnsi="Aptos"/>
                <w:sz w:val="20"/>
                <w:szCs w:val="20"/>
                <w:lang w:val="fr-FR"/>
              </w:rPr>
              <w:t xml:space="preserve"> A.4</w:t>
            </w:r>
            <w:r w:rsidR="00E34DC9">
              <w:rPr>
                <w:rFonts w:ascii="Aptos" w:hAnsi="Aptos"/>
                <w:sz w:val="20"/>
                <w:szCs w:val="20"/>
                <w:lang w:val="fr-FR"/>
              </w:rPr>
              <w:t> :</w:t>
            </w:r>
            <w:r w:rsidRPr="00653BF4">
              <w:rPr>
                <w:rFonts w:ascii="Aptos" w:hAnsi="Aptos"/>
                <w:sz w:val="20"/>
                <w:szCs w:val="20"/>
                <w:lang w:val="fr-FR"/>
              </w:rPr>
              <w:t xml:space="preserve"> </w:t>
            </w:r>
            <w:r w:rsidR="00AE231B" w:rsidRPr="00AE231B">
              <w:rPr>
                <w:rFonts w:ascii="Aptos" w:hAnsi="Aptos"/>
                <w:sz w:val="20"/>
                <w:szCs w:val="20"/>
                <w:lang w:val="fr-FR"/>
              </w:rPr>
              <w:t>Proportion de populations sein d’une</w:t>
            </w:r>
          </w:p>
          <w:p w14:paraId="61C80FFB" w14:textId="77777777" w:rsidR="00AE231B" w:rsidRPr="00AE231B" w:rsidRDefault="00AE231B" w:rsidP="00AE231B">
            <w:pPr>
              <w:spacing w:after="0" w:line="240" w:lineRule="auto"/>
              <w:jc w:val="center"/>
              <w:rPr>
                <w:rFonts w:ascii="Aptos" w:hAnsi="Aptos"/>
                <w:sz w:val="20"/>
                <w:szCs w:val="20"/>
                <w:lang w:val="fr-FR"/>
              </w:rPr>
            </w:pPr>
            <w:r w:rsidRPr="00AE231B">
              <w:rPr>
                <w:rFonts w:ascii="Aptos" w:hAnsi="Aptos"/>
                <w:sz w:val="20"/>
                <w:szCs w:val="20"/>
                <w:lang w:val="fr-FR"/>
              </w:rPr>
              <w:t>espèce dont la taille de la population</w:t>
            </w:r>
          </w:p>
          <w:p w14:paraId="5319FFC0" w14:textId="77777777" w:rsidR="00AE231B" w:rsidRPr="00AE231B" w:rsidRDefault="00AE231B" w:rsidP="00AE231B">
            <w:pPr>
              <w:spacing w:after="0" w:line="240" w:lineRule="auto"/>
              <w:jc w:val="center"/>
              <w:rPr>
                <w:rFonts w:ascii="Aptos" w:hAnsi="Aptos"/>
                <w:sz w:val="20"/>
                <w:szCs w:val="20"/>
                <w:lang w:val="fr-FR"/>
              </w:rPr>
            </w:pPr>
            <w:r w:rsidRPr="00AE231B">
              <w:rPr>
                <w:rFonts w:ascii="Aptos" w:hAnsi="Aptos"/>
                <w:sz w:val="20"/>
                <w:szCs w:val="20"/>
                <w:lang w:val="fr-FR"/>
              </w:rPr>
              <w:t>génétiquement efficace est supérieure à</w:t>
            </w:r>
          </w:p>
          <w:p w14:paraId="6CB6CA1D" w14:textId="27755459" w:rsidR="00CD1684" w:rsidRPr="00653BF4" w:rsidRDefault="00AE231B" w:rsidP="00AE231B">
            <w:pPr>
              <w:spacing w:after="0" w:line="240" w:lineRule="auto"/>
              <w:jc w:val="center"/>
              <w:rPr>
                <w:rFonts w:ascii="Aptos" w:eastAsia="Times New Roman" w:hAnsi="Aptos" w:cs="Times New Roman"/>
                <w:color w:val="000000"/>
                <w:kern w:val="0"/>
                <w:sz w:val="20"/>
                <w:szCs w:val="20"/>
                <w:lang w:val="fr-FR" w:eastAsia="en-CA"/>
                <w14:ligatures w14:val="none"/>
              </w:rPr>
            </w:pPr>
            <w:r w:rsidRPr="00AE231B">
              <w:rPr>
                <w:rFonts w:ascii="Aptos" w:hAnsi="Aptos"/>
                <w:sz w:val="20"/>
                <w:szCs w:val="20"/>
                <w:lang w:val="fr-FR"/>
              </w:rPr>
              <w:t>500 individus</w:t>
            </w:r>
          </w:p>
        </w:tc>
        <w:tc>
          <w:tcPr>
            <w:tcW w:w="2425" w:type="dxa"/>
            <w:tcBorders>
              <w:top w:val="nil"/>
              <w:left w:val="nil"/>
              <w:bottom w:val="single" w:sz="4" w:space="0" w:color="auto"/>
              <w:right w:val="single" w:sz="4" w:space="0" w:color="auto"/>
            </w:tcBorders>
            <w:hideMark/>
          </w:tcPr>
          <w:p w14:paraId="3B74B4D2" w14:textId="73FEBEA5" w:rsidR="00CD1684" w:rsidRPr="00653BF4" w:rsidRDefault="00CD1684" w:rsidP="00CD1684">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hAnsi="Aptos"/>
                <w:sz w:val="20"/>
                <w:szCs w:val="20"/>
                <w:lang w:val="fr-FR"/>
              </w:rPr>
              <w:t>13</w:t>
            </w:r>
            <w:r w:rsidR="002878D7">
              <w:rPr>
                <w:rFonts w:ascii="Aptos" w:hAnsi="Aptos"/>
                <w:sz w:val="20"/>
                <w:szCs w:val="20"/>
                <w:lang w:val="fr-FR"/>
              </w:rPr>
              <w:t> %</w:t>
            </w:r>
            <w:r w:rsidRPr="00653BF4">
              <w:rPr>
                <w:rFonts w:ascii="Aptos" w:hAnsi="Aptos"/>
                <w:sz w:val="20"/>
                <w:szCs w:val="20"/>
                <w:lang w:val="fr-FR"/>
              </w:rPr>
              <w:t xml:space="preserve"> des Parties</w:t>
            </w:r>
          </w:p>
        </w:tc>
        <w:tc>
          <w:tcPr>
            <w:tcW w:w="567" w:type="dxa"/>
            <w:tcBorders>
              <w:top w:val="nil"/>
              <w:left w:val="nil"/>
              <w:bottom w:val="single" w:sz="4" w:space="0" w:color="auto"/>
              <w:right w:val="single" w:sz="4" w:space="0" w:color="auto"/>
            </w:tcBorders>
            <w:shd w:val="clear" w:color="000000" w:fill="C00000"/>
            <w:vAlign w:val="center"/>
            <w:hideMark/>
          </w:tcPr>
          <w:p w14:paraId="0749A08D" w14:textId="77777777" w:rsidR="00CD1684" w:rsidRPr="00653BF4" w:rsidRDefault="00CD1684" w:rsidP="00CD1684">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694" w:type="dxa"/>
            <w:tcBorders>
              <w:top w:val="nil"/>
              <w:left w:val="nil"/>
              <w:bottom w:val="single" w:sz="4" w:space="0" w:color="auto"/>
              <w:right w:val="single" w:sz="4" w:space="0" w:color="auto"/>
            </w:tcBorders>
            <w:hideMark/>
          </w:tcPr>
          <w:p w14:paraId="2EA106E8" w14:textId="414CC18C" w:rsidR="00CD1684" w:rsidRPr="00653BF4" w:rsidRDefault="00CD1684" w:rsidP="00CD1684">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hAnsi="Aptos"/>
                <w:sz w:val="20"/>
                <w:szCs w:val="20"/>
                <w:lang w:val="fr-FR"/>
              </w:rPr>
              <w:t>Moyenne globale</w:t>
            </w:r>
            <w:r w:rsidR="00E34DC9">
              <w:rPr>
                <w:rFonts w:ascii="Aptos" w:hAnsi="Aptos"/>
                <w:sz w:val="20"/>
                <w:szCs w:val="20"/>
                <w:lang w:val="fr-FR"/>
              </w:rPr>
              <w:t> :</w:t>
            </w:r>
            <w:r w:rsidRPr="00653BF4">
              <w:rPr>
                <w:rFonts w:ascii="Aptos" w:hAnsi="Aptos"/>
                <w:sz w:val="20"/>
                <w:szCs w:val="20"/>
                <w:lang w:val="fr-FR"/>
              </w:rPr>
              <w:t xml:space="preserve"> 0,58 (fourchette</w:t>
            </w:r>
            <w:r w:rsidR="00E34DC9">
              <w:rPr>
                <w:rFonts w:ascii="Aptos" w:hAnsi="Aptos"/>
                <w:sz w:val="20"/>
                <w:szCs w:val="20"/>
                <w:lang w:val="fr-FR"/>
              </w:rPr>
              <w:t> :</w:t>
            </w:r>
            <w:r w:rsidRPr="00653BF4">
              <w:rPr>
                <w:rFonts w:ascii="Aptos" w:hAnsi="Aptos"/>
                <w:sz w:val="20"/>
                <w:szCs w:val="20"/>
                <w:lang w:val="fr-FR"/>
              </w:rPr>
              <w:t xml:space="preserve"> 0,17–0,93)</w:t>
            </w:r>
          </w:p>
        </w:tc>
        <w:tc>
          <w:tcPr>
            <w:tcW w:w="567" w:type="dxa"/>
            <w:tcBorders>
              <w:top w:val="nil"/>
              <w:left w:val="nil"/>
              <w:bottom w:val="single" w:sz="4" w:space="0" w:color="auto"/>
              <w:right w:val="single" w:sz="4" w:space="0" w:color="auto"/>
            </w:tcBorders>
            <w:shd w:val="clear" w:color="000000" w:fill="C00000"/>
            <w:vAlign w:val="center"/>
            <w:hideMark/>
          </w:tcPr>
          <w:p w14:paraId="7292C945" w14:textId="77777777" w:rsidR="00CD1684" w:rsidRPr="00653BF4" w:rsidRDefault="00CD1684" w:rsidP="00CD1684">
            <w:pPr>
              <w:spacing w:after="0" w:line="240" w:lineRule="auto"/>
              <w:jc w:val="center"/>
              <w:rPr>
                <w:rFonts w:ascii="Aptos" w:eastAsia="Times New Roman" w:hAnsi="Aptos" w:cs="Times New Roman"/>
                <w:color w:val="000000"/>
                <w:kern w:val="0"/>
                <w:sz w:val="20"/>
                <w:szCs w:val="20"/>
                <w:lang w:val="fr-FR" w:eastAsia="en-CA"/>
                <w14:ligatures w14:val="none"/>
              </w:rPr>
            </w:pPr>
          </w:p>
        </w:tc>
      </w:tr>
      <w:tr w:rsidR="00CD1684" w:rsidRPr="00543148" w14:paraId="75E07FCD" w14:textId="77777777" w:rsidTr="00FF4359">
        <w:trPr>
          <w:trHeight w:val="1050"/>
        </w:trPr>
        <w:tc>
          <w:tcPr>
            <w:tcW w:w="3240" w:type="dxa"/>
            <w:tcBorders>
              <w:top w:val="nil"/>
              <w:left w:val="single" w:sz="4" w:space="0" w:color="auto"/>
              <w:bottom w:val="single" w:sz="4" w:space="0" w:color="auto"/>
              <w:right w:val="single" w:sz="4" w:space="0" w:color="auto"/>
            </w:tcBorders>
            <w:shd w:val="clear" w:color="000000" w:fill="FFFFFF"/>
            <w:hideMark/>
          </w:tcPr>
          <w:p w14:paraId="3376FC5F" w14:textId="09707D68" w:rsidR="00CD1684" w:rsidRPr="00653BF4" w:rsidRDefault="00CD1684" w:rsidP="00CD1684">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sz w:val="20"/>
                <w:szCs w:val="20"/>
                <w:lang w:val="fr-FR"/>
              </w:rPr>
              <w:t>Ensemble des indicateurs quantitatifs</w:t>
            </w:r>
          </w:p>
        </w:tc>
        <w:tc>
          <w:tcPr>
            <w:tcW w:w="2425" w:type="dxa"/>
            <w:tcBorders>
              <w:top w:val="nil"/>
              <w:left w:val="nil"/>
              <w:bottom w:val="single" w:sz="4" w:space="0" w:color="auto"/>
              <w:right w:val="single" w:sz="4" w:space="0" w:color="auto"/>
            </w:tcBorders>
            <w:hideMark/>
          </w:tcPr>
          <w:p w14:paraId="76BC887F" w14:textId="79755422" w:rsidR="00CD1684" w:rsidRPr="00653BF4" w:rsidRDefault="00CD1684" w:rsidP="00CD1684">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hAnsi="Aptos"/>
                <w:sz w:val="20"/>
                <w:szCs w:val="20"/>
                <w:lang w:val="fr-FR"/>
              </w:rPr>
              <w:t>88 Parties, soit 68</w:t>
            </w:r>
            <w:r w:rsidR="002878D7">
              <w:rPr>
                <w:rFonts w:ascii="Aptos" w:hAnsi="Aptos"/>
                <w:sz w:val="20"/>
                <w:szCs w:val="20"/>
                <w:lang w:val="fr-FR"/>
              </w:rPr>
              <w:t> %</w:t>
            </w:r>
          </w:p>
        </w:tc>
        <w:tc>
          <w:tcPr>
            <w:tcW w:w="567" w:type="dxa"/>
            <w:tcBorders>
              <w:top w:val="nil"/>
              <w:left w:val="nil"/>
              <w:bottom w:val="single" w:sz="4" w:space="0" w:color="auto"/>
              <w:right w:val="single" w:sz="4" w:space="0" w:color="auto"/>
            </w:tcBorders>
            <w:shd w:val="clear" w:color="000000" w:fill="92D050"/>
            <w:vAlign w:val="center"/>
            <w:hideMark/>
          </w:tcPr>
          <w:p w14:paraId="39CD74FC" w14:textId="77777777" w:rsidR="00CD1684" w:rsidRPr="00653BF4" w:rsidRDefault="00CD1684" w:rsidP="00CD1684">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694" w:type="dxa"/>
            <w:tcBorders>
              <w:top w:val="nil"/>
              <w:left w:val="nil"/>
              <w:bottom w:val="single" w:sz="4" w:space="0" w:color="auto"/>
              <w:right w:val="single" w:sz="4" w:space="0" w:color="auto"/>
            </w:tcBorders>
            <w:hideMark/>
          </w:tcPr>
          <w:p w14:paraId="1D0B8147" w14:textId="74FA2613" w:rsidR="00CD1684" w:rsidRPr="00653BF4" w:rsidRDefault="00CD1684" w:rsidP="00CD1684">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sz w:val="20"/>
                <w:szCs w:val="20"/>
                <w:lang w:val="fr-FR"/>
              </w:rPr>
              <w:t>6</w:t>
            </w:r>
            <w:r w:rsidR="002878D7">
              <w:rPr>
                <w:rFonts w:ascii="Aptos" w:hAnsi="Aptos"/>
                <w:sz w:val="20"/>
                <w:szCs w:val="20"/>
                <w:lang w:val="fr-FR"/>
              </w:rPr>
              <w:t> %</w:t>
            </w:r>
            <w:r w:rsidRPr="00653BF4">
              <w:rPr>
                <w:rFonts w:ascii="Aptos" w:hAnsi="Aptos"/>
                <w:sz w:val="20"/>
                <w:szCs w:val="20"/>
                <w:lang w:val="fr-FR"/>
              </w:rPr>
              <w:t xml:space="preserve"> de tendances positives, 4</w:t>
            </w:r>
            <w:r w:rsidR="002878D7">
              <w:rPr>
                <w:rFonts w:ascii="Aptos" w:hAnsi="Aptos"/>
                <w:sz w:val="20"/>
                <w:szCs w:val="20"/>
                <w:lang w:val="fr-FR"/>
              </w:rPr>
              <w:t> %</w:t>
            </w:r>
            <w:r w:rsidRPr="00653BF4">
              <w:rPr>
                <w:rFonts w:ascii="Aptos" w:hAnsi="Aptos"/>
                <w:sz w:val="20"/>
                <w:szCs w:val="20"/>
                <w:lang w:val="fr-FR"/>
              </w:rPr>
              <w:t xml:space="preserve"> de tendances négatives</w:t>
            </w:r>
          </w:p>
        </w:tc>
        <w:tc>
          <w:tcPr>
            <w:tcW w:w="567" w:type="dxa"/>
            <w:tcBorders>
              <w:top w:val="nil"/>
              <w:left w:val="nil"/>
              <w:bottom w:val="single" w:sz="4" w:space="0" w:color="auto"/>
              <w:right w:val="single" w:sz="4" w:space="0" w:color="auto"/>
            </w:tcBorders>
            <w:shd w:val="clear" w:color="000000" w:fill="C00000"/>
            <w:vAlign w:val="center"/>
            <w:hideMark/>
          </w:tcPr>
          <w:p w14:paraId="5D6B3BC3" w14:textId="77777777" w:rsidR="00CD1684" w:rsidRPr="00653BF4" w:rsidRDefault="00CD1684" w:rsidP="00CD1684">
            <w:pPr>
              <w:spacing w:after="0" w:line="240" w:lineRule="auto"/>
              <w:jc w:val="center"/>
              <w:rPr>
                <w:rFonts w:ascii="Aptos" w:eastAsia="Times New Roman" w:hAnsi="Aptos" w:cs="Times New Roman"/>
                <w:color w:val="000000"/>
                <w:kern w:val="0"/>
                <w:sz w:val="20"/>
                <w:szCs w:val="20"/>
                <w:lang w:val="fr-FR" w:eastAsia="en-CA"/>
                <w14:ligatures w14:val="none"/>
              </w:rPr>
            </w:pPr>
          </w:p>
        </w:tc>
      </w:tr>
      <w:tr w:rsidR="00E56773" w:rsidRPr="00543148" w14:paraId="210392A2" w14:textId="77777777" w:rsidTr="0036280D">
        <w:trPr>
          <w:trHeight w:val="1050"/>
        </w:trPr>
        <w:tc>
          <w:tcPr>
            <w:tcW w:w="3240" w:type="dxa"/>
            <w:tcBorders>
              <w:top w:val="nil"/>
              <w:left w:val="single" w:sz="4" w:space="0" w:color="auto"/>
              <w:bottom w:val="single" w:sz="4" w:space="0" w:color="auto"/>
              <w:right w:val="single" w:sz="4" w:space="0" w:color="auto"/>
            </w:tcBorders>
            <w:shd w:val="clear" w:color="000000" w:fill="FFFFFF"/>
          </w:tcPr>
          <w:p w14:paraId="4093E51E" w14:textId="600D9CCD" w:rsidR="00E56773" w:rsidRPr="00653BF4" w:rsidRDefault="00E56773" w:rsidP="00E5677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sz w:val="20"/>
                <w:szCs w:val="20"/>
                <w:lang w:val="fr-FR"/>
              </w:rPr>
              <w:t>Notes taxonomiques</w:t>
            </w:r>
          </w:p>
        </w:tc>
        <w:tc>
          <w:tcPr>
            <w:tcW w:w="6253" w:type="dxa"/>
            <w:gridSpan w:val="4"/>
            <w:tcBorders>
              <w:top w:val="nil"/>
              <w:left w:val="nil"/>
              <w:bottom w:val="single" w:sz="4" w:space="0" w:color="auto"/>
              <w:right w:val="single" w:sz="4" w:space="0" w:color="auto"/>
            </w:tcBorders>
            <w:vAlign w:val="center"/>
          </w:tcPr>
          <w:p w14:paraId="561C916B" w14:textId="3482E2E0" w:rsidR="00E56773" w:rsidRPr="00653BF4" w:rsidRDefault="00EC0930" w:rsidP="00E56773">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hAnsi="Aptos"/>
                <w:sz w:val="20"/>
                <w:szCs w:val="20"/>
                <w:lang w:val="fr-FR"/>
              </w:rPr>
              <w:t>La couverture taxonomique des Listes rouges reste très inégale, les vertébrés et les plantes vasculaires étant bien mieux représentés que les invertébrés, les champignons et les algues. Très peu d</w:t>
            </w:r>
            <w:r w:rsidR="002A58C8" w:rsidRPr="00653BF4">
              <w:rPr>
                <w:rFonts w:ascii="Aptos" w:hAnsi="Aptos"/>
                <w:sz w:val="20"/>
                <w:szCs w:val="20"/>
                <w:lang w:val="fr-FR"/>
              </w:rPr>
              <w:t>’</w:t>
            </w:r>
            <w:r w:rsidRPr="00653BF4">
              <w:rPr>
                <w:rFonts w:ascii="Aptos" w:hAnsi="Aptos"/>
                <w:sz w:val="20"/>
                <w:szCs w:val="20"/>
                <w:lang w:val="fr-FR"/>
              </w:rPr>
              <w:t>espèces disposent de données au niveau des populations.</w:t>
            </w:r>
          </w:p>
        </w:tc>
      </w:tr>
    </w:tbl>
    <w:p w14:paraId="211D25BF" w14:textId="77777777" w:rsidR="00F235D3" w:rsidRPr="00653BF4" w:rsidRDefault="00F235D3" w:rsidP="00F235D3">
      <w:pPr>
        <w:pStyle w:val="p1"/>
        <w:rPr>
          <w:rFonts w:ascii="Aptos" w:hAnsi="Aptos"/>
          <w:sz w:val="24"/>
          <w:szCs w:val="24"/>
          <w:lang w:val="fr-FR"/>
        </w:rPr>
      </w:pPr>
    </w:p>
    <w:p w14:paraId="14D0C1E6" w14:textId="5B2661F4" w:rsidR="00110E13" w:rsidRPr="00653BF4" w:rsidRDefault="006A631C" w:rsidP="00F80B0E">
      <w:pPr>
        <w:rPr>
          <w:rFonts w:ascii="Aptos" w:hAnsi="Aptos"/>
          <w:lang w:val="fr-FR"/>
        </w:rPr>
      </w:pPr>
      <w:r w:rsidRPr="00653BF4">
        <w:rPr>
          <w:rFonts w:ascii="Aptos" w:hAnsi="Aptos"/>
          <w:i/>
          <w:iCs/>
          <w:sz w:val="16"/>
          <w:szCs w:val="16"/>
          <w:lang w:val="fr-FR"/>
        </w:rPr>
        <w:t>Note</w:t>
      </w:r>
      <w:r w:rsidR="00E34DC9">
        <w:rPr>
          <w:rFonts w:ascii="Aptos" w:hAnsi="Aptos"/>
          <w:i/>
          <w:iCs/>
          <w:sz w:val="16"/>
          <w:szCs w:val="16"/>
          <w:lang w:val="fr-FR"/>
        </w:rPr>
        <w:t> :</w:t>
      </w:r>
      <w:r w:rsidR="00110E13" w:rsidRPr="00653BF4">
        <w:rPr>
          <w:rFonts w:ascii="Aptos" w:hAnsi="Aptos"/>
          <w:sz w:val="16"/>
          <w:szCs w:val="16"/>
          <w:lang w:val="fr-FR"/>
        </w:rPr>
        <w:t xml:space="preserve"> </w:t>
      </w:r>
      <w:r w:rsidR="00F00425" w:rsidRPr="00653BF4">
        <w:rPr>
          <w:rFonts w:ascii="Aptos" w:hAnsi="Aptos"/>
          <w:sz w:val="16"/>
          <w:szCs w:val="16"/>
          <w:lang w:val="fr-FR"/>
        </w:rPr>
        <w:t>Le code couleur se rapporte à l’évaluation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rFonts w:ascii="Aptos" w:hAnsi="Aptos"/>
          <w:sz w:val="16"/>
          <w:szCs w:val="16"/>
          <w:lang w:val="fr-FR"/>
        </w:rPr>
        <w:t> %</w:t>
      </w:r>
      <w:r w:rsidR="00F00425" w:rsidRPr="00653BF4">
        <w:rPr>
          <w:rFonts w:ascii="Aptos" w:hAnsi="Aptos"/>
          <w:sz w:val="16"/>
          <w:szCs w:val="16"/>
          <w:lang w:val="fr-FR"/>
        </w:rPr>
        <w:t>, le jaune aux valeurs comprises entre 25</w:t>
      </w:r>
      <w:r w:rsidR="002878D7">
        <w:rPr>
          <w:rFonts w:ascii="Aptos" w:hAnsi="Aptos"/>
          <w:sz w:val="16"/>
          <w:szCs w:val="16"/>
          <w:lang w:val="fr-FR"/>
        </w:rPr>
        <w:t> %</w:t>
      </w:r>
      <w:r w:rsidR="00F00425" w:rsidRPr="00653BF4">
        <w:rPr>
          <w:rFonts w:ascii="Aptos" w:hAnsi="Aptos"/>
          <w:sz w:val="16"/>
          <w:szCs w:val="16"/>
          <w:lang w:val="fr-FR"/>
        </w:rPr>
        <w:t xml:space="preserve"> et 50</w:t>
      </w:r>
      <w:r w:rsidR="002878D7">
        <w:rPr>
          <w:rFonts w:ascii="Aptos" w:hAnsi="Aptos"/>
          <w:sz w:val="16"/>
          <w:szCs w:val="16"/>
          <w:lang w:val="fr-FR"/>
        </w:rPr>
        <w:t> %</w:t>
      </w:r>
      <w:r w:rsidR="00F00425" w:rsidRPr="00653BF4">
        <w:rPr>
          <w:rFonts w:ascii="Aptos" w:hAnsi="Aptos"/>
          <w:sz w:val="16"/>
          <w:szCs w:val="16"/>
          <w:lang w:val="fr-FR"/>
        </w:rPr>
        <w:t>, et le rouge aux valeurs inférieures à 25</w:t>
      </w:r>
      <w:r w:rsidR="002878D7">
        <w:rPr>
          <w:rFonts w:ascii="Aptos" w:hAnsi="Aptos"/>
          <w:sz w:val="16"/>
          <w:szCs w:val="16"/>
          <w:lang w:val="fr-FR"/>
        </w:rPr>
        <w:t> %</w:t>
      </w:r>
      <w:r w:rsidR="00F00425" w:rsidRPr="00653BF4">
        <w:rPr>
          <w:rFonts w:ascii="Aptos" w:hAnsi="Aptos"/>
          <w:sz w:val="16"/>
          <w:szCs w:val="16"/>
          <w:lang w:val="fr-FR"/>
        </w:rPr>
        <w:t>).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38632537" w14:textId="77777777" w:rsidR="00F5789C" w:rsidRPr="00653BF4" w:rsidRDefault="00F5789C" w:rsidP="00CC16A3">
      <w:pPr>
        <w:rPr>
          <w:rStyle w:val="normaltextrun"/>
          <w:rFonts w:ascii="Aptos" w:hAnsi="Aptos"/>
          <w:color w:val="000000" w:themeColor="text1"/>
          <w:lang w:val="fr-FR"/>
        </w:rPr>
      </w:pPr>
    </w:p>
    <w:p w14:paraId="553383B3" w14:textId="69F15756" w:rsidR="00E071C9" w:rsidRPr="00653BF4" w:rsidRDefault="00A21575" w:rsidP="00CC16A3">
      <w:pPr>
        <w:rPr>
          <w:rStyle w:val="normaltextrun"/>
          <w:rFonts w:ascii="Aptos" w:hAnsi="Aptos"/>
          <w:color w:val="000000" w:themeColor="text1"/>
          <w:lang w:val="fr-FR"/>
        </w:rPr>
      </w:pPr>
      <w:r w:rsidRPr="00653BF4">
        <w:rPr>
          <w:lang w:val="fr-FR"/>
        </w:rPr>
        <w:t>Les données disponibles pour l</w:t>
      </w:r>
      <w:r w:rsidR="002A58C8" w:rsidRPr="00653BF4">
        <w:rPr>
          <w:lang w:val="fr-FR"/>
        </w:rPr>
        <w:t>’</w:t>
      </w:r>
      <w:r w:rsidRPr="00653BF4">
        <w:rPr>
          <w:lang w:val="fr-FR"/>
        </w:rPr>
        <w:t>i</w:t>
      </w:r>
      <w:r w:rsidR="003C5C35" w:rsidRPr="00653BF4">
        <w:rPr>
          <w:lang w:val="fr-FR"/>
        </w:rPr>
        <w:t>ndicateur phare</w:t>
      </w:r>
      <w:r w:rsidRPr="00653BF4">
        <w:rPr>
          <w:lang w:val="fr-FR"/>
        </w:rPr>
        <w:t xml:space="preserve"> A.3 (indice de la Liste rouge) sont de deux types (</w:t>
      </w:r>
      <w:r w:rsidR="00592405" w:rsidRPr="00653BF4">
        <w:rPr>
          <w:lang w:val="fr-FR"/>
        </w:rPr>
        <w:t>voir le tableau </w:t>
      </w:r>
      <w:r w:rsidRPr="00653BF4">
        <w:rPr>
          <w:lang w:val="fr-FR"/>
        </w:rPr>
        <w:t>11). Alors que certaines Parties ont établi des rapports sur le risque moyen d</w:t>
      </w:r>
      <w:r w:rsidR="002A58C8" w:rsidRPr="00653BF4">
        <w:rPr>
          <w:lang w:val="fr-FR"/>
        </w:rPr>
        <w:t>’</w:t>
      </w:r>
      <w:r w:rsidRPr="00653BF4">
        <w:rPr>
          <w:lang w:val="fr-FR"/>
        </w:rPr>
        <w:t>extinction mondiale des espèces évaluées présentes sur leur territoire (ventilation nationale de l</w:t>
      </w:r>
      <w:r w:rsidR="002A58C8" w:rsidRPr="00653BF4">
        <w:rPr>
          <w:lang w:val="fr-FR"/>
        </w:rPr>
        <w:t>’</w:t>
      </w:r>
      <w:r w:rsidRPr="00653BF4">
        <w:rPr>
          <w:lang w:val="fr-FR"/>
        </w:rPr>
        <w:t>indice mondial de la Liste rouge), d</w:t>
      </w:r>
      <w:r w:rsidR="002A58C8" w:rsidRPr="00653BF4">
        <w:rPr>
          <w:lang w:val="fr-FR"/>
        </w:rPr>
        <w:t>’</w:t>
      </w:r>
      <w:r w:rsidRPr="00653BF4">
        <w:rPr>
          <w:lang w:val="fr-FR"/>
        </w:rPr>
        <w:t>autres Parties ont établi des rapports sur le risque moyen d</w:t>
      </w:r>
      <w:r w:rsidR="002A58C8" w:rsidRPr="00653BF4">
        <w:rPr>
          <w:lang w:val="fr-FR"/>
        </w:rPr>
        <w:t>’</w:t>
      </w:r>
      <w:r w:rsidRPr="00653BF4">
        <w:rPr>
          <w:lang w:val="fr-FR"/>
        </w:rPr>
        <w:t>extinction des espèces évaluées à l</w:t>
      </w:r>
      <w:r w:rsidR="002A58C8" w:rsidRPr="00653BF4">
        <w:rPr>
          <w:lang w:val="fr-FR"/>
        </w:rPr>
        <w:t>’</w:t>
      </w:r>
      <w:r w:rsidRPr="00653BF4">
        <w:rPr>
          <w:lang w:val="fr-FR"/>
        </w:rPr>
        <w:t>intérieur de leur pays (indice national de la Liste rouge).</w:t>
      </w:r>
    </w:p>
    <w:p w14:paraId="2CEAF752" w14:textId="25B11B71" w:rsidR="00CC16A3" w:rsidRPr="00653BF4" w:rsidRDefault="005E5D52" w:rsidP="00DF73E3">
      <w:pPr>
        <w:rPr>
          <w:color w:val="000000" w:themeColor="text1"/>
          <w:lang w:val="fr-FR"/>
        </w:rPr>
      </w:pPr>
      <w:r w:rsidRPr="00653BF4">
        <w:rPr>
          <w:rStyle w:val="normaltextrun"/>
          <w:rFonts w:ascii="Aptos" w:hAnsi="Aptos"/>
          <w:color w:val="000000" w:themeColor="text1"/>
          <w:lang w:val="fr-FR"/>
        </w:rPr>
        <w:t>Depuis 2020, les valeurs moyennes communiquées par les Parties pour les données de l</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indice de la Liste rouge, tant au niveau mondial que national, ont affiché une baisse (</w:t>
      </w:r>
      <w:r w:rsidR="00592405" w:rsidRPr="00653BF4">
        <w:rPr>
          <w:rStyle w:val="normaltextrun"/>
          <w:rFonts w:ascii="Aptos" w:hAnsi="Aptos"/>
          <w:color w:val="000000" w:themeColor="text1"/>
          <w:lang w:val="fr-FR"/>
        </w:rPr>
        <w:t>voir la figure </w:t>
      </w:r>
      <w:r w:rsidRPr="00653BF4">
        <w:rPr>
          <w:rStyle w:val="normaltextrun"/>
          <w:rFonts w:ascii="Aptos" w:hAnsi="Aptos"/>
          <w:color w:val="000000" w:themeColor="text1"/>
          <w:lang w:val="fr-FR"/>
        </w:rPr>
        <w:t>19), ce qui indique un risque d</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extinction croissant pour les espèces, tant à l</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échelle mondiale qu</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à l</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échelle nationale, en raison des impacts anthropiques. Ce constat est cohérent avec l</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indice global de la Liste rouge fourni par l</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UICN (</w:t>
      </w:r>
      <w:r w:rsidR="00592405" w:rsidRPr="00653BF4">
        <w:rPr>
          <w:rStyle w:val="normaltextrun"/>
          <w:rFonts w:ascii="Aptos" w:hAnsi="Aptos"/>
          <w:color w:val="000000" w:themeColor="text1"/>
          <w:lang w:val="fr-FR"/>
        </w:rPr>
        <w:t>voir la figure </w:t>
      </w:r>
      <w:r w:rsidRPr="00653BF4">
        <w:rPr>
          <w:rStyle w:val="normaltextrun"/>
          <w:rFonts w:ascii="Aptos" w:hAnsi="Aptos"/>
          <w:color w:val="000000" w:themeColor="text1"/>
          <w:lang w:val="fr-FR"/>
        </w:rPr>
        <w:t>20). Il faut s</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attendre à ce que le score moyen de l</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indice soit plus faible (ce qui signifie un risque d</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extinction plus élevé) pour les Listes rouges établies au niveau national par rapport aux ventilations nationales de l</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 xml:space="preserve">indice mondial de la Liste rouge, étant donné </w:t>
      </w:r>
      <w:r w:rsidRPr="00653BF4">
        <w:rPr>
          <w:rStyle w:val="normaltextrun"/>
          <w:rFonts w:ascii="Aptos" w:hAnsi="Aptos"/>
          <w:color w:val="000000" w:themeColor="text1"/>
          <w:lang w:val="fr-FR"/>
        </w:rPr>
        <w:lastRenderedPageBreak/>
        <w:t>que les populations sous-mondiales d</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une espèce donnée ont tendance à présenter un risque d</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extinction plus élevé que l</w:t>
      </w:r>
      <w:r w:rsidR="002A58C8" w:rsidRPr="00653BF4">
        <w:rPr>
          <w:rStyle w:val="normaltextrun"/>
          <w:rFonts w:ascii="Aptos" w:hAnsi="Aptos"/>
          <w:color w:val="000000" w:themeColor="text1"/>
          <w:lang w:val="fr-FR"/>
        </w:rPr>
        <w:t>’</w:t>
      </w:r>
      <w:r w:rsidRPr="00653BF4">
        <w:rPr>
          <w:rStyle w:val="normaltextrun"/>
          <w:rFonts w:ascii="Aptos" w:hAnsi="Aptos"/>
          <w:color w:val="000000" w:themeColor="text1"/>
          <w:lang w:val="fr-FR"/>
        </w:rPr>
        <w:t xml:space="preserve">ensemble de la population mondiale (Brito </w:t>
      </w:r>
      <w:r w:rsidRPr="00653BF4">
        <w:rPr>
          <w:rStyle w:val="normaltextrun"/>
          <w:rFonts w:ascii="Aptos" w:hAnsi="Aptos"/>
          <w:i/>
          <w:iCs/>
          <w:color w:val="000000" w:themeColor="text1"/>
          <w:lang w:val="fr-FR"/>
        </w:rPr>
        <w:t>et al.</w:t>
      </w:r>
      <w:r w:rsidRPr="00653BF4">
        <w:rPr>
          <w:rStyle w:val="normaltextrun"/>
          <w:rFonts w:ascii="Aptos" w:hAnsi="Aptos"/>
          <w:color w:val="000000" w:themeColor="text1"/>
          <w:lang w:val="fr-FR"/>
        </w:rPr>
        <w:t>, 2010).</w:t>
      </w:r>
    </w:p>
    <w:p w14:paraId="42AB8D77" w14:textId="13D85D34" w:rsidR="00DF2993" w:rsidRPr="00653BF4" w:rsidRDefault="008857E5" w:rsidP="00DF2993">
      <w:pPr>
        <w:rPr>
          <w:rFonts w:ascii="Aptos" w:hAnsi="Aptos"/>
          <w:lang w:val="fr-FR"/>
        </w:rPr>
      </w:pPr>
      <w:r w:rsidRPr="00653BF4">
        <w:rPr>
          <w:rFonts w:ascii="Aptos" w:hAnsi="Aptos"/>
          <w:lang w:val="fr-FR"/>
        </w:rPr>
        <w:t>De nombreuses Parties ne disposant pas de listes rouges nationales ont pris note de la nécessité de s</w:t>
      </w:r>
      <w:r w:rsidR="002A58C8" w:rsidRPr="00653BF4">
        <w:rPr>
          <w:rFonts w:ascii="Aptos" w:hAnsi="Aptos"/>
          <w:lang w:val="fr-FR"/>
        </w:rPr>
        <w:t>’</w:t>
      </w:r>
      <w:r w:rsidRPr="00653BF4">
        <w:rPr>
          <w:rFonts w:ascii="Aptos" w:hAnsi="Aptos"/>
          <w:lang w:val="fr-FR"/>
        </w:rPr>
        <w:t>appuyer sur les données de l</w:t>
      </w:r>
      <w:r w:rsidR="002A58C8" w:rsidRPr="00653BF4">
        <w:rPr>
          <w:rFonts w:ascii="Aptos" w:hAnsi="Aptos"/>
          <w:lang w:val="fr-FR"/>
        </w:rPr>
        <w:t>’</w:t>
      </w:r>
      <w:r w:rsidRPr="00653BF4">
        <w:rPr>
          <w:rFonts w:ascii="Aptos" w:hAnsi="Aptos"/>
          <w:lang w:val="fr-FR"/>
        </w:rPr>
        <w:t>UICN en raison du manque de données sur les tendances relatives aux risques d</w:t>
      </w:r>
      <w:r w:rsidR="002A58C8" w:rsidRPr="00653BF4">
        <w:rPr>
          <w:rFonts w:ascii="Aptos" w:hAnsi="Aptos"/>
          <w:lang w:val="fr-FR"/>
        </w:rPr>
        <w:t>’</w:t>
      </w:r>
      <w:r w:rsidRPr="00653BF4">
        <w:rPr>
          <w:rFonts w:ascii="Aptos" w:hAnsi="Aptos"/>
          <w:lang w:val="fr-FR"/>
        </w:rPr>
        <w:t>extinction des espèces nationales ou d</w:t>
      </w:r>
      <w:r w:rsidR="002A58C8" w:rsidRPr="00653BF4">
        <w:rPr>
          <w:rFonts w:ascii="Aptos" w:hAnsi="Aptos"/>
          <w:lang w:val="fr-FR"/>
        </w:rPr>
        <w:t>’</w:t>
      </w:r>
      <w:r w:rsidRPr="00653BF4">
        <w:rPr>
          <w:rFonts w:ascii="Aptos" w:hAnsi="Aptos"/>
          <w:lang w:val="fr-FR"/>
        </w:rPr>
        <w:t xml:space="preserve">une couverture taxonomique incomplète (Butchart </w:t>
      </w:r>
      <w:r w:rsidRPr="00653BF4">
        <w:rPr>
          <w:rFonts w:ascii="Aptos" w:hAnsi="Aptos"/>
          <w:i/>
          <w:iCs/>
          <w:lang w:val="fr-FR"/>
        </w:rPr>
        <w:t>et al.</w:t>
      </w:r>
      <w:r w:rsidRPr="00653BF4">
        <w:rPr>
          <w:rFonts w:ascii="Aptos" w:hAnsi="Aptos"/>
          <w:lang w:val="fr-FR"/>
        </w:rPr>
        <w:t>, 2025). Par ailleurs, les Parties ont fait des remarques concernant le</w:t>
      </w:r>
      <w:r w:rsidR="008C1BC4" w:rsidRPr="00653BF4">
        <w:rPr>
          <w:rFonts w:ascii="Aptos" w:hAnsi="Aptos"/>
          <w:lang w:val="fr-FR"/>
        </w:rPr>
        <w:t>s</w:t>
      </w:r>
      <w:r w:rsidRPr="00653BF4">
        <w:rPr>
          <w:rFonts w:ascii="Aptos" w:hAnsi="Aptos"/>
          <w:lang w:val="fr-FR"/>
        </w:rPr>
        <w:t xml:space="preserve"> coûts en temps et en ressources </w:t>
      </w:r>
      <w:r w:rsidR="008C1BC4" w:rsidRPr="00653BF4">
        <w:rPr>
          <w:rFonts w:ascii="Aptos" w:hAnsi="Aptos"/>
          <w:lang w:val="fr-FR"/>
        </w:rPr>
        <w:t>associés à la réalisation d</w:t>
      </w:r>
      <w:r w:rsidR="002A58C8" w:rsidRPr="00653BF4">
        <w:rPr>
          <w:rFonts w:ascii="Aptos" w:hAnsi="Aptos"/>
          <w:lang w:val="fr-FR"/>
        </w:rPr>
        <w:t>’</w:t>
      </w:r>
      <w:r w:rsidR="00D76442" w:rsidRPr="00653BF4">
        <w:rPr>
          <w:rFonts w:ascii="Aptos" w:hAnsi="Aptos"/>
          <w:lang w:val="fr-FR"/>
        </w:rPr>
        <w:t xml:space="preserve">évaluations </w:t>
      </w:r>
      <w:r w:rsidRPr="00653BF4">
        <w:rPr>
          <w:rFonts w:ascii="Aptos" w:hAnsi="Aptos"/>
          <w:lang w:val="fr-FR"/>
        </w:rPr>
        <w:t>nationales</w:t>
      </w:r>
      <w:r w:rsidR="00D76442" w:rsidRPr="00653BF4">
        <w:rPr>
          <w:rFonts w:ascii="Aptos" w:hAnsi="Aptos"/>
          <w:lang w:val="fr-FR"/>
        </w:rPr>
        <w:t xml:space="preserve"> régulières</w:t>
      </w:r>
      <w:r w:rsidRPr="00653BF4">
        <w:rPr>
          <w:rFonts w:ascii="Aptos" w:hAnsi="Aptos"/>
          <w:lang w:val="fr-FR"/>
        </w:rPr>
        <w:t>.</w:t>
      </w:r>
    </w:p>
    <w:p w14:paraId="6EBC3256" w14:textId="1879A0C1" w:rsidR="00DE212D" w:rsidRPr="00653BF4" w:rsidRDefault="00083775" w:rsidP="00DE212D">
      <w:pPr>
        <w:rPr>
          <w:rFonts w:ascii="Aptos" w:hAnsi="Aptos"/>
          <w:lang w:val="fr-FR"/>
        </w:rPr>
      </w:pPr>
      <w:r w:rsidRPr="00653BF4">
        <w:rPr>
          <w:lang w:val="fr-FR"/>
        </w:rPr>
        <w:t>Parmi les Parties dont les rapports nationaux étaient disponibles pour analyse, seules 13</w:t>
      </w:r>
      <w:r w:rsidR="002878D7">
        <w:rPr>
          <w:lang w:val="fr-FR"/>
        </w:rPr>
        <w:t> %</w:t>
      </w:r>
      <w:r w:rsidRPr="00653BF4">
        <w:rPr>
          <w:lang w:val="fr-FR"/>
        </w:rPr>
        <w:t xml:space="preserve"> ont fourni des données concernant l</w:t>
      </w:r>
      <w:r w:rsidR="002A58C8" w:rsidRPr="00653BF4">
        <w:rPr>
          <w:lang w:val="fr-FR"/>
        </w:rPr>
        <w:t>’</w:t>
      </w:r>
      <w:r w:rsidRPr="00653BF4">
        <w:rPr>
          <w:lang w:val="fr-FR"/>
        </w:rPr>
        <w:t>i</w:t>
      </w:r>
      <w:r w:rsidR="003C5C35" w:rsidRPr="00653BF4">
        <w:rPr>
          <w:lang w:val="fr-FR"/>
        </w:rPr>
        <w:t>ndicateur phare</w:t>
      </w:r>
      <w:r w:rsidRPr="00653BF4">
        <w:rPr>
          <w:lang w:val="fr-FR"/>
        </w:rPr>
        <w:t xml:space="preserve"> A.4 (proportion de populations au sein d</w:t>
      </w:r>
      <w:r w:rsidR="002A58C8" w:rsidRPr="00653BF4">
        <w:rPr>
          <w:lang w:val="fr-FR"/>
        </w:rPr>
        <w:t>’</w:t>
      </w:r>
      <w:r w:rsidRPr="00653BF4">
        <w:rPr>
          <w:lang w:val="fr-FR"/>
        </w:rPr>
        <w:t xml:space="preserve">une espèce dont la taille </w:t>
      </w:r>
      <w:r w:rsidR="003A01D5">
        <w:rPr>
          <w:lang w:val="fr-FR"/>
        </w:rPr>
        <w:t>de la population génétique efficace</w:t>
      </w:r>
      <w:r w:rsidRPr="00653BF4">
        <w:rPr>
          <w:lang w:val="fr-FR"/>
        </w:rPr>
        <w:t xml:space="preserve"> est supérieure à 500 individus). Cela ne signifie pas nécessairement un manque d</w:t>
      </w:r>
      <w:r w:rsidR="002A58C8" w:rsidRPr="00653BF4">
        <w:rPr>
          <w:lang w:val="fr-FR"/>
        </w:rPr>
        <w:t>’</w:t>
      </w:r>
      <w:r w:rsidRPr="00653BF4">
        <w:rPr>
          <w:lang w:val="fr-FR"/>
        </w:rPr>
        <w:t xml:space="preserve">ambition quant au respect des engagements en matière de diversité génétique prévus dans </w:t>
      </w:r>
      <w:r w:rsidR="0092484B">
        <w:rPr>
          <w:lang w:val="fr-FR"/>
        </w:rPr>
        <w:t xml:space="preserve">la </w:t>
      </w:r>
      <w:r w:rsidR="00E34DC9">
        <w:rPr>
          <w:lang w:val="fr-FR"/>
        </w:rPr>
        <w:t>cible 4</w:t>
      </w:r>
      <w:r w:rsidRPr="00653BF4">
        <w:rPr>
          <w:lang w:val="fr-FR"/>
        </w:rPr>
        <w:t>. Plus des deux tiers des Parties ont fixé des cibles nationales en matière de diversité génétique, et le recours relativement faible à cet indicateur reflète davantage des besoins en capacités techniques — tels que l</w:t>
      </w:r>
      <w:r w:rsidR="002A58C8" w:rsidRPr="00653BF4">
        <w:rPr>
          <w:lang w:val="fr-FR"/>
        </w:rPr>
        <w:t>’</w:t>
      </w:r>
      <w:r w:rsidRPr="00653BF4">
        <w:rPr>
          <w:lang w:val="fr-FR"/>
        </w:rPr>
        <w:t>assistance nécessaire pour identifier et mobiliser les données existantes, interpréter ces données, ainsi que la nouveauté globale de l</w:t>
      </w:r>
      <w:r w:rsidR="002A58C8" w:rsidRPr="00653BF4">
        <w:rPr>
          <w:lang w:val="fr-FR"/>
        </w:rPr>
        <w:t>’</w:t>
      </w:r>
      <w:r w:rsidRPr="00653BF4">
        <w:rPr>
          <w:lang w:val="fr-FR"/>
        </w:rPr>
        <w:t>indicateur — que l</w:t>
      </w:r>
      <w:r w:rsidR="002A58C8" w:rsidRPr="00653BF4">
        <w:rPr>
          <w:lang w:val="fr-FR"/>
        </w:rPr>
        <w:t>’</w:t>
      </w:r>
      <w:r w:rsidRPr="00653BF4">
        <w:rPr>
          <w:lang w:val="fr-FR"/>
        </w:rPr>
        <w:t xml:space="preserve">absence de mesures de conservation de la diversité génétique. Un certain nombre de Parties ont indiqué </w:t>
      </w:r>
      <w:r w:rsidR="00E34DC9">
        <w:rPr>
          <w:lang w:val="fr-FR"/>
        </w:rPr>
        <w:t>« </w:t>
      </w:r>
      <w:r w:rsidRPr="00653BF4">
        <w:rPr>
          <w:lang w:val="fr-FR"/>
        </w:rPr>
        <w:t>aucune donnée</w:t>
      </w:r>
      <w:r w:rsidR="00E34DC9">
        <w:rPr>
          <w:lang w:val="fr-FR"/>
        </w:rPr>
        <w:t> »</w:t>
      </w:r>
      <w:r w:rsidRPr="00653BF4">
        <w:rPr>
          <w:lang w:val="fr-FR"/>
        </w:rPr>
        <w:t xml:space="preserve"> pour l</w:t>
      </w:r>
      <w:r w:rsidR="002A58C8" w:rsidRPr="00653BF4">
        <w:rPr>
          <w:lang w:val="fr-FR"/>
        </w:rPr>
        <w:t>’</w:t>
      </w:r>
      <w:r w:rsidRPr="00653BF4">
        <w:rPr>
          <w:lang w:val="fr-FR"/>
        </w:rPr>
        <w:t>indicateur A.4, tout en prenant note que les procédures nécessaires à la collecte de données sur les populations d</w:t>
      </w:r>
      <w:r w:rsidR="002A58C8" w:rsidRPr="00653BF4">
        <w:rPr>
          <w:lang w:val="fr-FR"/>
        </w:rPr>
        <w:t>’</w:t>
      </w:r>
      <w:r w:rsidRPr="00653BF4">
        <w:rPr>
          <w:lang w:val="fr-FR"/>
        </w:rPr>
        <w:t>espèces et à l</w:t>
      </w:r>
      <w:r w:rsidR="002A58C8" w:rsidRPr="00653BF4">
        <w:rPr>
          <w:lang w:val="fr-FR"/>
        </w:rPr>
        <w:t>’</w:t>
      </w:r>
      <w:r w:rsidRPr="00653BF4">
        <w:rPr>
          <w:lang w:val="fr-FR"/>
        </w:rPr>
        <w:t>établissement de rapports à l</w:t>
      </w:r>
      <w:r w:rsidR="002A58C8" w:rsidRPr="00653BF4">
        <w:rPr>
          <w:lang w:val="fr-FR"/>
        </w:rPr>
        <w:t>’</w:t>
      </w:r>
      <w:r w:rsidRPr="00653BF4">
        <w:rPr>
          <w:lang w:val="fr-FR"/>
        </w:rPr>
        <w:t>avenir étaient en cours de mise en place. Les résultats présentés ici ne concernent donc qu</w:t>
      </w:r>
      <w:r w:rsidR="002A58C8" w:rsidRPr="00653BF4">
        <w:rPr>
          <w:lang w:val="fr-FR"/>
        </w:rPr>
        <w:t>’</w:t>
      </w:r>
      <w:r w:rsidRPr="00653BF4">
        <w:rPr>
          <w:lang w:val="fr-FR"/>
        </w:rPr>
        <w:t>un petit nombre de Parties et de groupes taxonomiques, et ne doivent pas être considérés comme représentatifs (</w:t>
      </w:r>
      <w:r w:rsidR="00592405" w:rsidRPr="00653BF4">
        <w:rPr>
          <w:lang w:val="fr-FR"/>
        </w:rPr>
        <w:t>voir la figure </w:t>
      </w:r>
      <w:r w:rsidRPr="00653BF4">
        <w:rPr>
          <w:lang w:val="fr-FR"/>
        </w:rPr>
        <w:t>21). Les quelques Parties qui ont été en mesure d</w:t>
      </w:r>
      <w:r w:rsidR="002A58C8" w:rsidRPr="00653BF4">
        <w:rPr>
          <w:lang w:val="fr-FR"/>
        </w:rPr>
        <w:t>’</w:t>
      </w:r>
      <w:r w:rsidRPr="00653BF4">
        <w:rPr>
          <w:lang w:val="fr-FR"/>
        </w:rPr>
        <w:t>établir des rapports, ou pour lesquelles des données sont disponibles issues de l</w:t>
      </w:r>
      <w:r w:rsidR="002A58C8" w:rsidRPr="00653BF4">
        <w:rPr>
          <w:lang w:val="fr-FR"/>
        </w:rPr>
        <w:t>’</w:t>
      </w:r>
      <w:r w:rsidRPr="00653BF4">
        <w:rPr>
          <w:lang w:val="fr-FR"/>
        </w:rPr>
        <w:t xml:space="preserve">étude pilote sur cet indicateur entreprise par la Coalition pour la génétique de la conservation (Mastretta-Yanes </w:t>
      </w:r>
      <w:r w:rsidRPr="00653BF4">
        <w:rPr>
          <w:i/>
          <w:iCs/>
          <w:lang w:val="fr-FR"/>
        </w:rPr>
        <w:t>et al.</w:t>
      </w:r>
      <w:r w:rsidRPr="00653BF4">
        <w:rPr>
          <w:lang w:val="fr-FR"/>
        </w:rPr>
        <w:t>, 2024), suggèrent qu</w:t>
      </w:r>
      <w:r w:rsidR="002A58C8" w:rsidRPr="00653BF4">
        <w:rPr>
          <w:lang w:val="fr-FR"/>
        </w:rPr>
        <w:t>’</w:t>
      </w:r>
      <w:r w:rsidRPr="00653BF4">
        <w:rPr>
          <w:lang w:val="fr-FR"/>
        </w:rPr>
        <w:t>en moyenne, les espèces évaluées ne disposent pas actuellement de populations suffisamment importantes pour maintenir leur diversité génétique.</w:t>
      </w:r>
    </w:p>
    <w:p w14:paraId="763DE281" w14:textId="76E1D5FA" w:rsidR="00F235D3" w:rsidRPr="00653BF4" w:rsidRDefault="00372D45" w:rsidP="0038782A">
      <w:pPr>
        <w:rPr>
          <w:i/>
          <w:color w:val="000000" w:themeColor="text1"/>
          <w:lang w:val="fr-FR"/>
        </w:rPr>
      </w:pPr>
      <w:r w:rsidRPr="00653BF4">
        <w:rPr>
          <w:lang w:val="fr-FR"/>
        </w:rPr>
        <w:t>Les parties ont également présenté toute une série d</w:t>
      </w:r>
      <w:r w:rsidR="002A58C8" w:rsidRPr="00653BF4">
        <w:rPr>
          <w:lang w:val="fr-FR"/>
        </w:rPr>
        <w:t>’</w:t>
      </w:r>
      <w:r w:rsidRPr="00653BF4">
        <w:rPr>
          <w:lang w:val="fr-FR"/>
        </w:rPr>
        <w:t xml:space="preserve">indicateurs supplémentaires qui correspondaient bien aux éléments de la </w:t>
      </w:r>
      <w:r w:rsidR="00E34DC9">
        <w:rPr>
          <w:lang w:val="fr-FR"/>
        </w:rPr>
        <w:t>cible 4 ;</w:t>
      </w:r>
      <w:r w:rsidRPr="00653BF4">
        <w:rPr>
          <w:lang w:val="fr-FR"/>
        </w:rPr>
        <w:t xml:space="preserve"> or, parmi ces indicateurs, rares sont ceux qui affichent une tendance positive, ce qui suggère que des efforts supplémentaires sont nécessaires pour progresser collectivement vers la réalisation de la cible (</w:t>
      </w:r>
      <w:r w:rsidR="00592405" w:rsidRPr="00653BF4">
        <w:rPr>
          <w:lang w:val="fr-FR"/>
        </w:rPr>
        <w:t>voir la figure </w:t>
      </w:r>
      <w:r w:rsidRPr="00653BF4">
        <w:rPr>
          <w:lang w:val="fr-FR"/>
        </w:rPr>
        <w:t>22).</w:t>
      </w:r>
    </w:p>
    <w:p w14:paraId="070A7336" w14:textId="1A9872EC" w:rsidR="00372D45" w:rsidRPr="00653BF4" w:rsidRDefault="00372D45" w:rsidP="00372D45">
      <w:pPr>
        <w:rPr>
          <w:lang w:val="fr-FR"/>
        </w:rPr>
      </w:pPr>
      <w:r w:rsidRPr="00653BF4">
        <w:rPr>
          <w:lang w:val="fr-FR"/>
        </w:rPr>
        <w:t xml:space="preserve">Étant donné que les </w:t>
      </w:r>
      <w:r w:rsidR="00163FDD" w:rsidRPr="00653BF4">
        <w:rPr>
          <w:lang w:val="fr-FR"/>
        </w:rPr>
        <w:t>indicateurs phares</w:t>
      </w:r>
      <w:r w:rsidRPr="00653BF4">
        <w:rPr>
          <w:lang w:val="fr-FR"/>
        </w:rPr>
        <w:t xml:space="preserve"> A.3 et A.4 permettent également de suivre les progrès accomplis dans la réalisation de </w:t>
      </w:r>
      <w:r w:rsidR="0092484B">
        <w:rPr>
          <w:lang w:val="fr-FR"/>
        </w:rPr>
        <w:t>la cible</w:t>
      </w:r>
      <w:r w:rsidRPr="00653BF4">
        <w:rPr>
          <w:lang w:val="fr-FR"/>
        </w:rPr>
        <w:t xml:space="preserve"> A du Cadre, ils sont examinés plus en détail dans la division II.C du présent rapport.</w:t>
      </w:r>
    </w:p>
    <w:p w14:paraId="674FABBF" w14:textId="47EDC0CE" w:rsidR="00F235D3" w:rsidRPr="00653BF4" w:rsidRDefault="00F235D3" w:rsidP="00CE3DE9">
      <w:pPr>
        <w:rPr>
          <w:rFonts w:ascii="Aptos" w:hAnsi="Aptos"/>
          <w:lang w:val="fr-FR"/>
        </w:rPr>
      </w:pPr>
    </w:p>
    <w:p w14:paraId="278D71B7" w14:textId="25908CB3" w:rsidR="00193611" w:rsidRPr="00653BF4" w:rsidRDefault="00193611" w:rsidP="00193611">
      <w:pPr>
        <w:rPr>
          <w:sz w:val="20"/>
          <w:szCs w:val="20"/>
          <w:lang w:val="fr-FR" w:eastAsia="ja-JP"/>
        </w:rPr>
      </w:pPr>
      <w:r w:rsidRPr="00653BF4">
        <w:rPr>
          <w:sz w:val="20"/>
          <w:szCs w:val="20"/>
          <w:lang w:val="fr-FR" w:eastAsia="ja-JP"/>
        </w:rPr>
        <w:t>Figure 19</w:t>
      </w:r>
    </w:p>
    <w:p w14:paraId="743EC80C" w14:textId="681D362D" w:rsidR="00193611" w:rsidRDefault="00D064C7" w:rsidP="00193611">
      <w:pPr>
        <w:rPr>
          <w:b/>
          <w:bCs/>
          <w:sz w:val="20"/>
          <w:szCs w:val="20"/>
          <w:lang w:val="fr-FR" w:eastAsia="ja-JP"/>
        </w:rPr>
      </w:pPr>
      <w:r w:rsidRPr="00653BF4">
        <w:rPr>
          <w:b/>
          <w:bCs/>
          <w:sz w:val="20"/>
          <w:szCs w:val="20"/>
          <w:lang w:val="fr-FR" w:eastAsia="ja-JP"/>
        </w:rPr>
        <w:t>I</w:t>
      </w:r>
      <w:r w:rsidR="003C5C35" w:rsidRPr="00653BF4">
        <w:rPr>
          <w:b/>
          <w:bCs/>
          <w:sz w:val="20"/>
          <w:szCs w:val="20"/>
          <w:lang w:val="fr-FR" w:eastAsia="ja-JP"/>
        </w:rPr>
        <w:t>ndicateur phare</w:t>
      </w:r>
      <w:r w:rsidRPr="00653BF4">
        <w:rPr>
          <w:b/>
          <w:bCs/>
          <w:sz w:val="20"/>
          <w:szCs w:val="20"/>
          <w:lang w:val="fr-FR" w:eastAsia="ja-JP"/>
        </w:rPr>
        <w:t xml:space="preserve"> A.3</w:t>
      </w:r>
      <w:r w:rsidR="00E34DC9">
        <w:rPr>
          <w:b/>
          <w:bCs/>
          <w:sz w:val="20"/>
          <w:szCs w:val="20"/>
          <w:lang w:val="fr-FR" w:eastAsia="ja-JP"/>
        </w:rPr>
        <w:t> :</w:t>
      </w:r>
      <w:r w:rsidRPr="00653BF4">
        <w:rPr>
          <w:b/>
          <w:bCs/>
          <w:sz w:val="20"/>
          <w:szCs w:val="20"/>
          <w:lang w:val="fr-FR" w:eastAsia="ja-JP"/>
        </w:rPr>
        <w:t xml:space="preserve"> Indice de la Liste rouge (</w:t>
      </w:r>
      <w:r w:rsidR="00AF6229" w:rsidRPr="00653BF4">
        <w:rPr>
          <w:b/>
          <w:bCs/>
          <w:sz w:val="20"/>
          <w:szCs w:val="20"/>
          <w:lang w:val="fr-FR" w:eastAsia="ja-JP"/>
        </w:rPr>
        <w:t>selon</w:t>
      </w:r>
      <w:r w:rsidRPr="00653BF4">
        <w:rPr>
          <w:b/>
          <w:bCs/>
          <w:sz w:val="20"/>
          <w:szCs w:val="20"/>
          <w:lang w:val="fr-FR" w:eastAsia="ja-JP"/>
        </w:rPr>
        <w:t xml:space="preserve"> les rapports nationaux)</w:t>
      </w:r>
    </w:p>
    <w:p w14:paraId="2A8AE911" w14:textId="5BCD8F7F" w:rsidR="00CB6E85" w:rsidRPr="00653BF4" w:rsidRDefault="00B66A20" w:rsidP="009B7444">
      <w:pPr>
        <w:pStyle w:val="Caption"/>
        <w:rPr>
          <w:lang w:val="fr-FR"/>
        </w:rPr>
      </w:pPr>
      <w:bookmarkStart w:id="121" w:name="_Ref231220246"/>
      <w:bookmarkStart w:id="122" w:name="_Ref235723758"/>
      <w:r w:rsidRPr="00653BF4">
        <w:rPr>
          <w:noProof/>
          <w:lang w:val="fr-FR"/>
          <w14:ligatures w14:val="standardContextual"/>
        </w:rPr>
        <w:drawing>
          <wp:inline distT="0" distB="0" distL="0" distR="0" wp14:anchorId="07231847" wp14:editId="02CDB4D5">
            <wp:extent cx="5943600" cy="1981200"/>
            <wp:effectExtent l="0" t="0" r="0" b="0"/>
            <wp:docPr id="213806990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69909" name="Picture 2138069909"/>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43600" cy="1981200"/>
                    </a:xfrm>
                    <a:prstGeom prst="rect">
                      <a:avLst/>
                    </a:prstGeom>
                  </pic:spPr>
                </pic:pic>
              </a:graphicData>
            </a:graphic>
          </wp:inline>
        </w:drawing>
      </w:r>
    </w:p>
    <w:bookmarkEnd w:id="121"/>
    <w:bookmarkEnd w:id="122"/>
    <w:p w14:paraId="6F9A6F3D" w14:textId="77777777" w:rsidR="00F235D3" w:rsidRPr="00653BF4" w:rsidRDefault="00F235D3" w:rsidP="00F235D3">
      <w:pPr>
        <w:pStyle w:val="p1"/>
        <w:ind w:left="720"/>
        <w:rPr>
          <w:rFonts w:ascii="Aptos" w:hAnsi="Aptos"/>
          <w:lang w:val="fr-FR"/>
        </w:rPr>
      </w:pPr>
    </w:p>
    <w:p w14:paraId="12AA63E2" w14:textId="3D84DDDE" w:rsidR="00F235D3" w:rsidRDefault="006A631C" w:rsidP="00F235D3">
      <w:pPr>
        <w:pStyle w:val="p1"/>
        <w:rPr>
          <w:rFonts w:ascii="Aptos" w:hAnsi="Aptos"/>
          <w:sz w:val="18"/>
          <w:szCs w:val="18"/>
          <w:lang w:val="fr-FR"/>
        </w:rPr>
      </w:pPr>
      <w:r w:rsidRPr="00653BF4">
        <w:rPr>
          <w:rFonts w:ascii="Aptos" w:hAnsi="Aptos"/>
          <w:i/>
          <w:iCs/>
          <w:sz w:val="18"/>
          <w:szCs w:val="18"/>
          <w:lang w:val="fr-FR"/>
        </w:rPr>
        <w:t>Note</w:t>
      </w:r>
      <w:r w:rsidR="00E34DC9">
        <w:rPr>
          <w:rFonts w:ascii="Aptos" w:hAnsi="Aptos"/>
          <w:i/>
          <w:iCs/>
          <w:sz w:val="18"/>
          <w:szCs w:val="18"/>
          <w:lang w:val="fr-FR"/>
        </w:rPr>
        <w:t> :</w:t>
      </w:r>
      <w:r w:rsidR="00B0403F" w:rsidRPr="00653BF4">
        <w:rPr>
          <w:rFonts w:ascii="Aptos" w:hAnsi="Aptos"/>
          <w:i/>
          <w:iCs/>
          <w:sz w:val="18"/>
          <w:szCs w:val="18"/>
          <w:lang w:val="fr-FR"/>
        </w:rPr>
        <w:t xml:space="preserve"> </w:t>
      </w:r>
      <w:r w:rsidR="002F7C08" w:rsidRPr="00653BF4">
        <w:rPr>
          <w:rFonts w:ascii="Aptos" w:hAnsi="Aptos"/>
          <w:sz w:val="18"/>
          <w:szCs w:val="18"/>
          <w:lang w:val="fr-FR"/>
        </w:rPr>
        <w:t>Les valeurs des indicateurs correspondent à la moyenne générale et à l’écart interquartile des données communiquées chaque année par les Parties.</w:t>
      </w:r>
      <w:r w:rsidR="00214EBE" w:rsidRPr="00653BF4">
        <w:rPr>
          <w:rFonts w:ascii="Aptos" w:hAnsi="Aptos"/>
          <w:sz w:val="18"/>
          <w:szCs w:val="18"/>
          <w:lang w:val="fr-FR"/>
        </w:rPr>
        <w:t xml:space="preserve"> </w:t>
      </w:r>
      <w:r w:rsidR="00AE090D" w:rsidRPr="00653BF4">
        <w:rPr>
          <w:rFonts w:ascii="Aptos" w:hAnsi="Aptos"/>
          <w:sz w:val="18"/>
          <w:szCs w:val="18"/>
          <w:lang w:val="fr-FR"/>
        </w:rPr>
        <w:t>À gauche</w:t>
      </w:r>
      <w:r w:rsidR="00E34DC9">
        <w:rPr>
          <w:rFonts w:ascii="Aptos" w:hAnsi="Aptos"/>
          <w:sz w:val="18"/>
          <w:szCs w:val="18"/>
          <w:lang w:val="fr-FR"/>
        </w:rPr>
        <w:t> :</w:t>
      </w:r>
      <w:r w:rsidR="00AE090D" w:rsidRPr="00653BF4">
        <w:rPr>
          <w:rFonts w:ascii="Aptos" w:hAnsi="Aptos"/>
          <w:sz w:val="18"/>
          <w:szCs w:val="18"/>
          <w:lang w:val="fr-FR"/>
        </w:rPr>
        <w:t xml:space="preserve"> valeurs relatives aux Parties ayant présenté des données concernant </w:t>
      </w:r>
      <w:r w:rsidR="007B77C3" w:rsidRPr="00653BF4">
        <w:rPr>
          <w:rFonts w:ascii="Aptos" w:hAnsi="Aptos"/>
          <w:sz w:val="18"/>
          <w:szCs w:val="18"/>
          <w:lang w:val="fr-FR"/>
        </w:rPr>
        <w:t xml:space="preserve">les </w:t>
      </w:r>
      <w:r w:rsidR="00AE090D" w:rsidRPr="00653BF4">
        <w:rPr>
          <w:rFonts w:ascii="Aptos" w:hAnsi="Aptos"/>
          <w:sz w:val="18"/>
          <w:szCs w:val="18"/>
          <w:lang w:val="fr-FR"/>
        </w:rPr>
        <w:t>indices nationaux de la Liste rouge, qui reflètent le risque d</w:t>
      </w:r>
      <w:r w:rsidR="002A58C8" w:rsidRPr="00653BF4">
        <w:rPr>
          <w:rFonts w:ascii="Aptos" w:hAnsi="Aptos"/>
          <w:sz w:val="18"/>
          <w:szCs w:val="18"/>
          <w:lang w:val="fr-FR"/>
        </w:rPr>
        <w:t>’</w:t>
      </w:r>
      <w:r w:rsidR="00AE090D" w:rsidRPr="00653BF4">
        <w:rPr>
          <w:rFonts w:ascii="Aptos" w:hAnsi="Aptos"/>
          <w:sz w:val="18"/>
          <w:szCs w:val="18"/>
          <w:lang w:val="fr-FR"/>
        </w:rPr>
        <w:t xml:space="preserve">extinction national des espèces sur la base de leurs propres évaluations nationales </w:t>
      </w:r>
      <w:r w:rsidR="00F169B3" w:rsidRPr="00653BF4">
        <w:rPr>
          <w:rFonts w:ascii="Aptos" w:hAnsi="Aptos"/>
          <w:sz w:val="18"/>
          <w:szCs w:val="18"/>
          <w:lang w:val="fr-FR"/>
        </w:rPr>
        <w:t xml:space="preserve">au titre </w:t>
      </w:r>
      <w:r w:rsidR="00246DE4" w:rsidRPr="00653BF4">
        <w:rPr>
          <w:rFonts w:ascii="Aptos" w:hAnsi="Aptos"/>
          <w:sz w:val="18"/>
          <w:szCs w:val="18"/>
          <w:lang w:val="fr-FR"/>
        </w:rPr>
        <w:t>de la</w:t>
      </w:r>
      <w:r w:rsidR="00AE090D" w:rsidRPr="00653BF4">
        <w:rPr>
          <w:rFonts w:ascii="Aptos" w:hAnsi="Aptos"/>
          <w:sz w:val="18"/>
          <w:szCs w:val="18"/>
          <w:lang w:val="fr-FR"/>
        </w:rPr>
        <w:t xml:space="preserve"> Liste rouge. À droite</w:t>
      </w:r>
      <w:r w:rsidR="00E34DC9">
        <w:rPr>
          <w:rFonts w:ascii="Aptos" w:hAnsi="Aptos"/>
          <w:sz w:val="18"/>
          <w:szCs w:val="18"/>
          <w:lang w:val="fr-FR"/>
        </w:rPr>
        <w:t> :</w:t>
      </w:r>
      <w:r w:rsidR="00AE090D" w:rsidRPr="00653BF4">
        <w:rPr>
          <w:rFonts w:ascii="Aptos" w:hAnsi="Aptos"/>
          <w:sz w:val="18"/>
          <w:szCs w:val="18"/>
          <w:lang w:val="fr-FR"/>
        </w:rPr>
        <w:t xml:space="preserve"> valeurs relatives aux Parties ayant présenté, dans leurs rapports nationaux, des données sur la ventilation nationale de l</w:t>
      </w:r>
      <w:r w:rsidR="002A58C8" w:rsidRPr="00653BF4">
        <w:rPr>
          <w:rFonts w:ascii="Aptos" w:hAnsi="Aptos"/>
          <w:sz w:val="18"/>
          <w:szCs w:val="18"/>
          <w:lang w:val="fr-FR"/>
        </w:rPr>
        <w:t>’</w:t>
      </w:r>
      <w:r w:rsidR="00AE090D" w:rsidRPr="00653BF4">
        <w:rPr>
          <w:rFonts w:ascii="Aptos" w:hAnsi="Aptos"/>
          <w:sz w:val="18"/>
          <w:szCs w:val="18"/>
          <w:lang w:val="fr-FR"/>
        </w:rPr>
        <w:t>indice mondial de la Liste rouge, reflétant la contribution de chaque pays au risque d</w:t>
      </w:r>
      <w:r w:rsidR="002A58C8" w:rsidRPr="00653BF4">
        <w:rPr>
          <w:rFonts w:ascii="Aptos" w:hAnsi="Aptos"/>
          <w:sz w:val="18"/>
          <w:szCs w:val="18"/>
          <w:lang w:val="fr-FR"/>
        </w:rPr>
        <w:t>’</w:t>
      </w:r>
      <w:r w:rsidR="00AE090D" w:rsidRPr="00653BF4">
        <w:rPr>
          <w:rFonts w:ascii="Aptos" w:hAnsi="Aptos"/>
          <w:sz w:val="18"/>
          <w:szCs w:val="18"/>
          <w:lang w:val="fr-FR"/>
        </w:rPr>
        <w:t xml:space="preserve">extinction mondial des espèces. </w:t>
      </w:r>
      <w:r w:rsidR="007D5E0D" w:rsidRPr="00653BF4">
        <w:rPr>
          <w:rFonts w:ascii="Aptos" w:hAnsi="Aptos"/>
          <w:sz w:val="18"/>
          <w:szCs w:val="18"/>
          <w:lang w:val="fr-FR"/>
        </w:rPr>
        <w:t xml:space="preserve">Le diagramme à barres de droite présente la répartition, par région, des Parties ayant communiqué des indicateurs. </w:t>
      </w:r>
      <w:r w:rsidR="000714AF" w:rsidRPr="00653BF4">
        <w:rPr>
          <w:rFonts w:ascii="Aptos" w:hAnsi="Aptos"/>
          <w:sz w:val="18"/>
          <w:szCs w:val="18"/>
          <w:lang w:val="fr-FR"/>
        </w:rPr>
        <w:t>La couleur de chaque région est indiquée dans la légende de la figure</w:t>
      </w:r>
      <w:r w:rsidR="00E34DC9">
        <w:rPr>
          <w:rFonts w:ascii="Aptos" w:hAnsi="Aptos"/>
          <w:sz w:val="18"/>
          <w:szCs w:val="18"/>
          <w:lang w:val="fr-FR"/>
        </w:rPr>
        <w:t> :</w:t>
      </w:r>
      <w:r w:rsidR="000714AF" w:rsidRPr="00653BF4">
        <w:rPr>
          <w:rFonts w:ascii="Aptos" w:hAnsi="Aptos"/>
          <w:sz w:val="18"/>
          <w:szCs w:val="18"/>
          <w:lang w:val="fr-FR"/>
        </w:rPr>
        <w:t xml:space="preserve"> les tons plus foncés représentent la proportion de Parties de chaque région dont les données figurent dans le graphique</w:t>
      </w:r>
      <w:r w:rsidR="00E34DC9">
        <w:rPr>
          <w:rFonts w:ascii="Aptos" w:hAnsi="Aptos"/>
          <w:sz w:val="18"/>
          <w:szCs w:val="18"/>
          <w:lang w:val="fr-FR"/>
        </w:rPr>
        <w:t> ;</w:t>
      </w:r>
      <w:r w:rsidR="000714AF" w:rsidRPr="00653BF4">
        <w:rPr>
          <w:rFonts w:ascii="Aptos" w:hAnsi="Aptos"/>
          <w:sz w:val="18"/>
          <w:szCs w:val="18"/>
          <w:lang w:val="fr-FR"/>
        </w:rPr>
        <w:t xml:space="preserve"> les tons plus clairs, la proportion de Parties de la même région dont les données n’y figurent pas.</w:t>
      </w:r>
    </w:p>
    <w:p w14:paraId="0470FFE2" w14:textId="77777777" w:rsidR="003246FC" w:rsidRDefault="003246FC" w:rsidP="00F235D3">
      <w:pPr>
        <w:pStyle w:val="p1"/>
        <w:rPr>
          <w:rFonts w:ascii="Aptos" w:hAnsi="Aptos"/>
          <w:sz w:val="18"/>
          <w:szCs w:val="18"/>
          <w:lang w:val="fr-FR"/>
        </w:rPr>
      </w:pPr>
    </w:p>
    <w:tbl>
      <w:tblPr>
        <w:tblStyle w:val="TableGrid"/>
        <w:tblW w:w="0" w:type="auto"/>
        <w:tblLook w:val="06A0" w:firstRow="1" w:lastRow="0" w:firstColumn="1" w:lastColumn="0" w:noHBand="1" w:noVBand="1"/>
      </w:tblPr>
      <w:tblGrid>
        <w:gridCol w:w="4060"/>
        <w:gridCol w:w="4545"/>
      </w:tblGrid>
      <w:tr w:rsidR="003246FC" w:rsidRPr="003A6336" w14:paraId="7DB54EE5" w14:textId="77777777" w:rsidTr="009B4355">
        <w:tc>
          <w:tcPr>
            <w:tcW w:w="0" w:type="auto"/>
            <w:gridSpan w:val="2"/>
          </w:tcPr>
          <w:p w14:paraId="636390C2" w14:textId="77777777" w:rsidR="003246FC" w:rsidRPr="003A6336" w:rsidRDefault="003246FC" w:rsidP="009B4355">
            <w:pPr>
              <w:rPr>
                <w:rFonts w:ascii="Aptos" w:eastAsia="Segoe UI" w:hAnsi="Aptos" w:cs="Segoe UI"/>
                <w:color w:val="0F1115"/>
              </w:rPr>
            </w:pPr>
            <w:r>
              <w:rPr>
                <w:rFonts w:ascii="Aptos" w:eastAsia="Segoe UI" w:hAnsi="Aptos" w:cs="Segoe UI"/>
                <w:color w:val="0F1115"/>
              </w:rPr>
              <w:t>Figure 19</w:t>
            </w:r>
          </w:p>
        </w:tc>
      </w:tr>
      <w:tr w:rsidR="003246FC" w:rsidRPr="003A6336" w14:paraId="168D2336" w14:textId="77777777" w:rsidTr="009B4355">
        <w:tc>
          <w:tcPr>
            <w:tcW w:w="0" w:type="auto"/>
          </w:tcPr>
          <w:p w14:paraId="2FA0A107" w14:textId="77777777" w:rsidR="003246FC" w:rsidRPr="003A6336" w:rsidRDefault="003246FC" w:rsidP="009B4355">
            <w:pPr>
              <w:rPr>
                <w:rFonts w:ascii="Aptos" w:hAnsi="Aptos"/>
              </w:rPr>
            </w:pPr>
            <w:r w:rsidRPr="003A6336">
              <w:rPr>
                <w:rFonts w:ascii="Aptos" w:eastAsia="Segoe UI" w:hAnsi="Aptos" w:cs="Segoe UI"/>
                <w:color w:val="0F1115"/>
              </w:rPr>
              <w:t xml:space="preserve">English </w:t>
            </w:r>
          </w:p>
        </w:tc>
        <w:tc>
          <w:tcPr>
            <w:tcW w:w="0" w:type="auto"/>
          </w:tcPr>
          <w:p w14:paraId="404E4A82" w14:textId="77777777" w:rsidR="003246FC" w:rsidRPr="003A6336" w:rsidRDefault="003246FC" w:rsidP="009B4355">
            <w:pPr>
              <w:rPr>
                <w:rFonts w:ascii="Aptos" w:hAnsi="Aptos"/>
              </w:rPr>
            </w:pPr>
            <w:r>
              <w:rPr>
                <w:rFonts w:ascii="Aptos" w:eastAsia="Segoe UI" w:hAnsi="Aptos" w:cs="Segoe UI"/>
                <w:color w:val="0F1115"/>
              </w:rPr>
              <w:t>Français</w:t>
            </w:r>
          </w:p>
        </w:tc>
      </w:tr>
      <w:tr w:rsidR="003246FC" w:rsidRPr="003A6336" w14:paraId="5EF89133" w14:textId="77777777" w:rsidTr="009B4355">
        <w:tc>
          <w:tcPr>
            <w:tcW w:w="0" w:type="auto"/>
          </w:tcPr>
          <w:p w14:paraId="3F8C9B1F" w14:textId="77777777" w:rsidR="003246FC" w:rsidRPr="003A6336" w:rsidRDefault="003246FC" w:rsidP="009B4355">
            <w:pPr>
              <w:rPr>
                <w:rFonts w:ascii="Aptos" w:hAnsi="Aptos"/>
              </w:rPr>
            </w:pPr>
            <w:r w:rsidRPr="003A6336">
              <w:rPr>
                <w:rFonts w:ascii="Aptos" w:eastAsia="Segoe UI" w:hAnsi="Aptos" w:cs="Segoe UI"/>
                <w:color w:val="0F1115"/>
              </w:rPr>
              <w:t>National RLIs</w:t>
            </w:r>
          </w:p>
        </w:tc>
        <w:tc>
          <w:tcPr>
            <w:tcW w:w="0" w:type="auto"/>
          </w:tcPr>
          <w:p w14:paraId="1027B933" w14:textId="77777777" w:rsidR="003246FC" w:rsidRPr="003A6336" w:rsidRDefault="003246FC" w:rsidP="009B4355">
            <w:pPr>
              <w:rPr>
                <w:rFonts w:ascii="Aptos" w:hAnsi="Aptos"/>
              </w:rPr>
            </w:pPr>
            <w:r>
              <w:rPr>
                <w:rFonts w:ascii="Aptos" w:hAnsi="Aptos"/>
              </w:rPr>
              <w:t>ILR national</w:t>
            </w:r>
          </w:p>
        </w:tc>
      </w:tr>
      <w:tr w:rsidR="003246FC" w:rsidRPr="003A6336" w14:paraId="5BB54FF9" w14:textId="77777777" w:rsidTr="009B4355">
        <w:tc>
          <w:tcPr>
            <w:tcW w:w="0" w:type="auto"/>
          </w:tcPr>
          <w:p w14:paraId="00E729CC" w14:textId="77777777" w:rsidR="003246FC" w:rsidRPr="003A6336" w:rsidRDefault="003246FC" w:rsidP="009B4355">
            <w:pPr>
              <w:rPr>
                <w:rFonts w:ascii="Aptos" w:hAnsi="Aptos"/>
              </w:rPr>
            </w:pPr>
            <w:r w:rsidRPr="003A6336">
              <w:rPr>
                <w:rFonts w:ascii="Aptos" w:eastAsia="Segoe UI" w:hAnsi="Aptos" w:cs="Segoe UI"/>
                <w:color w:val="0F1115"/>
              </w:rPr>
              <w:t>Global RLI</w:t>
            </w:r>
          </w:p>
        </w:tc>
        <w:tc>
          <w:tcPr>
            <w:tcW w:w="0" w:type="auto"/>
          </w:tcPr>
          <w:p w14:paraId="3F3B2989" w14:textId="77777777" w:rsidR="003246FC" w:rsidRPr="003A6336" w:rsidRDefault="003246FC" w:rsidP="009B4355">
            <w:pPr>
              <w:rPr>
                <w:rFonts w:ascii="Aptos" w:hAnsi="Aptos"/>
              </w:rPr>
            </w:pPr>
            <w:r>
              <w:rPr>
                <w:rFonts w:ascii="Aptos" w:hAnsi="Aptos"/>
              </w:rPr>
              <w:t>ILR Mondial</w:t>
            </w:r>
          </w:p>
        </w:tc>
      </w:tr>
      <w:tr w:rsidR="003246FC" w:rsidRPr="003A6336" w14:paraId="46CDEF44" w14:textId="77777777" w:rsidTr="009B4355">
        <w:tc>
          <w:tcPr>
            <w:tcW w:w="0" w:type="auto"/>
          </w:tcPr>
          <w:p w14:paraId="55C9FBA4" w14:textId="77777777" w:rsidR="003246FC" w:rsidRPr="003A6336" w:rsidRDefault="003246FC" w:rsidP="009B4355">
            <w:pPr>
              <w:rPr>
                <w:rFonts w:ascii="Aptos" w:hAnsi="Aptos"/>
              </w:rPr>
            </w:pPr>
            <w:r w:rsidRPr="003A6336">
              <w:rPr>
                <w:rFonts w:ascii="Aptos" w:eastAsia="Segoe UI" w:hAnsi="Aptos" w:cs="Segoe UI"/>
                <w:color w:val="0F1115"/>
              </w:rPr>
              <w:t xml:space="preserve">Red List Index </w:t>
            </w:r>
          </w:p>
        </w:tc>
        <w:tc>
          <w:tcPr>
            <w:tcW w:w="0" w:type="auto"/>
          </w:tcPr>
          <w:p w14:paraId="40C7A9E8" w14:textId="77777777" w:rsidR="003246FC" w:rsidRPr="003A6336" w:rsidRDefault="003246FC" w:rsidP="009B4355">
            <w:pPr>
              <w:rPr>
                <w:rFonts w:ascii="Aptos" w:hAnsi="Aptos"/>
              </w:rPr>
            </w:pPr>
            <w:r>
              <w:rPr>
                <w:rFonts w:ascii="Aptos" w:hAnsi="Aptos"/>
              </w:rPr>
              <w:t>Indice de la Liste rouge</w:t>
            </w:r>
          </w:p>
        </w:tc>
      </w:tr>
      <w:tr w:rsidR="003246FC" w:rsidRPr="003A6336" w14:paraId="47317D79" w14:textId="77777777" w:rsidTr="009B4355">
        <w:tc>
          <w:tcPr>
            <w:tcW w:w="0" w:type="auto"/>
          </w:tcPr>
          <w:p w14:paraId="6560D034" w14:textId="77777777" w:rsidR="003246FC" w:rsidRPr="003A6336" w:rsidRDefault="003246FC" w:rsidP="009B4355">
            <w:pPr>
              <w:rPr>
                <w:rFonts w:ascii="Aptos" w:hAnsi="Aptos"/>
              </w:rPr>
            </w:pPr>
            <w:r w:rsidRPr="003A6336">
              <w:rPr>
                <w:rFonts w:ascii="Aptos" w:eastAsia="Segoe UI" w:hAnsi="Aptos" w:cs="Segoe UI"/>
                <w:color w:val="0F1115"/>
              </w:rPr>
              <w:t>Year</w:t>
            </w:r>
          </w:p>
        </w:tc>
        <w:tc>
          <w:tcPr>
            <w:tcW w:w="0" w:type="auto"/>
          </w:tcPr>
          <w:p w14:paraId="4E204630" w14:textId="77777777" w:rsidR="003246FC" w:rsidRPr="003A6336" w:rsidRDefault="003246FC" w:rsidP="009B4355">
            <w:pPr>
              <w:rPr>
                <w:rFonts w:ascii="Aptos" w:hAnsi="Aptos"/>
              </w:rPr>
            </w:pPr>
            <w:r>
              <w:rPr>
                <w:rFonts w:ascii="Aptos" w:hAnsi="Aptos"/>
              </w:rPr>
              <w:t>Année</w:t>
            </w:r>
          </w:p>
        </w:tc>
      </w:tr>
      <w:tr w:rsidR="003246FC" w:rsidRPr="003A6336" w14:paraId="631A9D57" w14:textId="77777777" w:rsidTr="009B4355">
        <w:tc>
          <w:tcPr>
            <w:tcW w:w="0" w:type="auto"/>
          </w:tcPr>
          <w:p w14:paraId="50A76339" w14:textId="77777777" w:rsidR="003246FC" w:rsidRPr="003A6336" w:rsidRDefault="003246FC" w:rsidP="009B4355">
            <w:pPr>
              <w:rPr>
                <w:rFonts w:ascii="Aptos" w:hAnsi="Aptos"/>
              </w:rPr>
            </w:pPr>
            <w:r w:rsidRPr="003A6336">
              <w:rPr>
                <w:rFonts w:ascii="Aptos" w:eastAsia="Segoe UI" w:hAnsi="Aptos" w:cs="Segoe UI"/>
                <w:color w:val="0F1115"/>
              </w:rPr>
              <w:t>Party count by region</w:t>
            </w:r>
          </w:p>
        </w:tc>
        <w:tc>
          <w:tcPr>
            <w:tcW w:w="0" w:type="auto"/>
          </w:tcPr>
          <w:p w14:paraId="40965A7F" w14:textId="77777777" w:rsidR="003246FC" w:rsidRPr="003A6336" w:rsidRDefault="003246FC" w:rsidP="009B4355">
            <w:pPr>
              <w:rPr>
                <w:rFonts w:ascii="Aptos" w:hAnsi="Aptos"/>
              </w:rPr>
            </w:pPr>
            <w:r w:rsidRPr="00872132">
              <w:rPr>
                <w:rFonts w:ascii="Aptos" w:eastAsia="Segoe UI" w:hAnsi="Aptos" w:cs="Segoe UI"/>
                <w:color w:val="0F1115"/>
              </w:rPr>
              <w:t>Nombre de Parties</w:t>
            </w:r>
            <w:r>
              <w:rPr>
                <w:rFonts w:ascii="Aptos" w:eastAsia="Segoe UI" w:hAnsi="Aptos" w:cs="Segoe UI"/>
                <w:color w:val="0F1115"/>
              </w:rPr>
              <w:t xml:space="preserve"> par région</w:t>
            </w:r>
            <w:r w:rsidRPr="00872132">
              <w:rPr>
                <w:rFonts w:ascii="Aptos" w:eastAsia="Segoe UI" w:hAnsi="Aptos" w:cs="Segoe UI"/>
                <w:color w:val="0F1115"/>
              </w:rPr>
              <w:t> : 196</w:t>
            </w:r>
          </w:p>
        </w:tc>
      </w:tr>
      <w:tr w:rsidR="003246FC" w:rsidRPr="003A6336" w14:paraId="549E98D4" w14:textId="77777777" w:rsidTr="009B4355">
        <w:tc>
          <w:tcPr>
            <w:tcW w:w="0" w:type="auto"/>
          </w:tcPr>
          <w:p w14:paraId="0F12FF54"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0" w:type="auto"/>
          </w:tcPr>
          <w:p w14:paraId="66DA027E"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23AA6EF8" w14:textId="77777777" w:rsidTr="009B4355">
        <w:tc>
          <w:tcPr>
            <w:tcW w:w="0" w:type="auto"/>
          </w:tcPr>
          <w:p w14:paraId="6359DCEC" w14:textId="77777777" w:rsidR="003246FC" w:rsidRPr="003A6336" w:rsidRDefault="003246FC" w:rsidP="009B4355">
            <w:pPr>
              <w:rPr>
                <w:rFonts w:ascii="Aptos" w:eastAsia="Segoe UI" w:hAnsi="Aptos" w:cs="Segoe UI"/>
                <w:color w:val="0F1115"/>
              </w:rPr>
            </w:pPr>
            <w:r w:rsidRPr="6D03A27B">
              <w:rPr>
                <w:rFonts w:ascii="Aptos" w:eastAsia="Segoe UI" w:hAnsi="Aptos" w:cs="Segoe UI"/>
                <w:color w:val="0F1115"/>
              </w:rPr>
              <w:t>African States</w:t>
            </w:r>
          </w:p>
        </w:tc>
        <w:tc>
          <w:tcPr>
            <w:tcW w:w="0" w:type="auto"/>
          </w:tcPr>
          <w:p w14:paraId="097D36C2"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5D85DD2C" w14:textId="77777777" w:rsidTr="009B4355">
        <w:tc>
          <w:tcPr>
            <w:tcW w:w="0" w:type="auto"/>
          </w:tcPr>
          <w:p w14:paraId="5C6FE64D" w14:textId="77777777" w:rsidR="003246FC" w:rsidRPr="003A6336" w:rsidRDefault="003246FC" w:rsidP="009B4355">
            <w:pPr>
              <w:rPr>
                <w:rFonts w:ascii="Aptos" w:eastAsia="Segoe UI" w:hAnsi="Aptos" w:cs="Segoe UI"/>
                <w:color w:val="0F1115"/>
              </w:rPr>
            </w:pPr>
            <w:r w:rsidRPr="6D03A27B">
              <w:rPr>
                <w:rFonts w:ascii="Aptos" w:eastAsia="Segoe UI" w:hAnsi="Aptos" w:cs="Segoe UI"/>
                <w:color w:val="0F1115"/>
              </w:rPr>
              <w:t>Asia- Pacific States</w:t>
            </w:r>
          </w:p>
        </w:tc>
        <w:tc>
          <w:tcPr>
            <w:tcW w:w="0" w:type="auto"/>
          </w:tcPr>
          <w:p w14:paraId="4BE2F961"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235B61DB" w14:textId="77777777" w:rsidTr="009B4355">
        <w:tc>
          <w:tcPr>
            <w:tcW w:w="0" w:type="auto"/>
          </w:tcPr>
          <w:p w14:paraId="7382C024" w14:textId="77777777" w:rsidR="003246FC" w:rsidRPr="003A6336" w:rsidRDefault="003246FC" w:rsidP="009B4355">
            <w:pPr>
              <w:rPr>
                <w:rFonts w:ascii="Aptos" w:eastAsia="Segoe UI" w:hAnsi="Aptos" w:cs="Segoe UI"/>
                <w:color w:val="0F1115"/>
              </w:rPr>
            </w:pPr>
            <w:r w:rsidRPr="6D03A27B">
              <w:rPr>
                <w:rFonts w:ascii="Aptos" w:eastAsia="Segoe UI" w:hAnsi="Aptos" w:cs="Segoe UI"/>
                <w:color w:val="0F1115"/>
              </w:rPr>
              <w:t>Latin American and Caribbean States</w:t>
            </w:r>
          </w:p>
        </w:tc>
        <w:tc>
          <w:tcPr>
            <w:tcW w:w="0" w:type="auto"/>
          </w:tcPr>
          <w:p w14:paraId="7A121924"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62EF26CB" w14:textId="77777777" w:rsidTr="009B4355">
        <w:tc>
          <w:tcPr>
            <w:tcW w:w="0" w:type="auto"/>
          </w:tcPr>
          <w:p w14:paraId="03C5D811" w14:textId="77777777" w:rsidR="003246FC" w:rsidRPr="003A6336" w:rsidRDefault="003246FC" w:rsidP="009B4355">
            <w:pPr>
              <w:rPr>
                <w:rFonts w:ascii="Aptos" w:hAnsi="Aptos"/>
              </w:rPr>
            </w:pPr>
            <w:r>
              <w:rPr>
                <w:rFonts w:ascii="Aptos" w:eastAsia="Segoe UI" w:hAnsi="Aptos" w:cs="Segoe UI"/>
                <w:color w:val="0F1115"/>
              </w:rPr>
              <w:t>Eastern</w:t>
            </w:r>
            <w:r w:rsidRPr="6D03A27B">
              <w:rPr>
                <w:rFonts w:ascii="Aptos" w:eastAsia="Segoe UI" w:hAnsi="Aptos" w:cs="Segoe UI"/>
                <w:color w:val="0F1115"/>
              </w:rPr>
              <w:t xml:space="preserve"> Europe States</w:t>
            </w:r>
          </w:p>
        </w:tc>
        <w:tc>
          <w:tcPr>
            <w:tcW w:w="0" w:type="auto"/>
          </w:tcPr>
          <w:p w14:paraId="57FEBEEB"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667E09D4" w14:textId="77777777" w:rsidTr="009B4355">
        <w:tc>
          <w:tcPr>
            <w:tcW w:w="0" w:type="auto"/>
          </w:tcPr>
          <w:p w14:paraId="0BB02965" w14:textId="77777777" w:rsidR="003246FC" w:rsidRPr="003A6336" w:rsidRDefault="003246FC" w:rsidP="009B4355">
            <w:pPr>
              <w:rPr>
                <w:rFonts w:ascii="Aptos" w:hAnsi="Aptos"/>
              </w:rPr>
            </w:pPr>
            <w:r w:rsidRPr="6D03A27B">
              <w:rPr>
                <w:rFonts w:ascii="Aptos" w:eastAsia="Segoe UI" w:hAnsi="Aptos" w:cs="Segoe UI"/>
                <w:color w:val="0F1115"/>
              </w:rPr>
              <w:t>Western European and other States</w:t>
            </w:r>
          </w:p>
        </w:tc>
        <w:tc>
          <w:tcPr>
            <w:tcW w:w="0" w:type="auto"/>
          </w:tcPr>
          <w:p w14:paraId="0030AD89"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321A33D1" w14:textId="77777777" w:rsidTr="009B4355">
        <w:tc>
          <w:tcPr>
            <w:tcW w:w="0" w:type="auto"/>
          </w:tcPr>
          <w:p w14:paraId="0C4BF88A" w14:textId="77777777" w:rsidR="003246FC" w:rsidRPr="003A6336" w:rsidRDefault="003246FC" w:rsidP="009B4355">
            <w:pPr>
              <w:rPr>
                <w:rFonts w:ascii="Aptos" w:hAnsi="Aptos"/>
              </w:rPr>
            </w:pPr>
            <w:r w:rsidRPr="003A6336">
              <w:rPr>
                <w:rFonts w:ascii="Aptos" w:eastAsia="Segoe UI" w:hAnsi="Aptos" w:cs="Segoe UI"/>
                <w:color w:val="0F1115"/>
              </w:rPr>
              <w:t>Party count: 24</w:t>
            </w:r>
          </w:p>
        </w:tc>
        <w:tc>
          <w:tcPr>
            <w:tcW w:w="0" w:type="auto"/>
          </w:tcPr>
          <w:p w14:paraId="598A84EC" w14:textId="77777777" w:rsidR="003246FC" w:rsidRPr="003A6336" w:rsidRDefault="003246FC" w:rsidP="009B4355">
            <w:pPr>
              <w:rPr>
                <w:rFonts w:ascii="Aptos" w:hAnsi="Aptos"/>
              </w:rPr>
            </w:pPr>
            <w:r w:rsidRPr="006470FB">
              <w:rPr>
                <w:rFonts w:ascii="Aptos" w:hAnsi="Aptos"/>
              </w:rPr>
              <w:t xml:space="preserve">Nombre de Parties : </w:t>
            </w:r>
            <w:r>
              <w:rPr>
                <w:rFonts w:ascii="Aptos" w:hAnsi="Aptos"/>
              </w:rPr>
              <w:t>24</w:t>
            </w:r>
          </w:p>
        </w:tc>
      </w:tr>
      <w:tr w:rsidR="003246FC" w:rsidRPr="003A6336" w14:paraId="7BAE63C6" w14:textId="77777777" w:rsidTr="009B4355">
        <w:tc>
          <w:tcPr>
            <w:tcW w:w="0" w:type="auto"/>
          </w:tcPr>
          <w:p w14:paraId="3242A9D9" w14:textId="77777777" w:rsidR="003246FC" w:rsidRPr="003A6336" w:rsidRDefault="003246FC" w:rsidP="009B4355">
            <w:pPr>
              <w:rPr>
                <w:rFonts w:ascii="Aptos" w:hAnsi="Aptos"/>
              </w:rPr>
            </w:pPr>
            <w:r w:rsidRPr="003A6336">
              <w:rPr>
                <w:rFonts w:ascii="Aptos" w:eastAsia="Segoe UI" w:hAnsi="Aptos" w:cs="Segoe UI"/>
                <w:color w:val="0F1115"/>
              </w:rPr>
              <w:t>Party count: 57</w:t>
            </w:r>
          </w:p>
        </w:tc>
        <w:tc>
          <w:tcPr>
            <w:tcW w:w="0" w:type="auto"/>
          </w:tcPr>
          <w:p w14:paraId="427ACA44" w14:textId="77777777" w:rsidR="003246FC" w:rsidRPr="003A6336" w:rsidRDefault="003246FC" w:rsidP="009B4355">
            <w:pPr>
              <w:rPr>
                <w:rFonts w:ascii="Aptos" w:hAnsi="Aptos"/>
              </w:rPr>
            </w:pPr>
            <w:r w:rsidRPr="006470FB">
              <w:rPr>
                <w:rFonts w:ascii="Aptos" w:hAnsi="Aptos"/>
              </w:rPr>
              <w:t xml:space="preserve">Nombre de Parties : </w:t>
            </w:r>
            <w:r>
              <w:rPr>
                <w:rFonts w:ascii="Aptos" w:hAnsi="Aptos"/>
              </w:rPr>
              <w:t>57</w:t>
            </w:r>
          </w:p>
        </w:tc>
      </w:tr>
    </w:tbl>
    <w:p w14:paraId="7B8B8CDD" w14:textId="77777777" w:rsidR="003246FC" w:rsidRPr="00653BF4" w:rsidRDefault="003246FC" w:rsidP="00F235D3">
      <w:pPr>
        <w:pStyle w:val="p1"/>
        <w:rPr>
          <w:rFonts w:ascii="Aptos" w:hAnsi="Aptos"/>
          <w:sz w:val="18"/>
          <w:szCs w:val="18"/>
          <w:lang w:val="fr-FR"/>
        </w:rPr>
      </w:pPr>
    </w:p>
    <w:p w14:paraId="159D5E33" w14:textId="77777777" w:rsidR="00CF55FC" w:rsidRPr="00653BF4" w:rsidRDefault="00CF55FC" w:rsidP="00F235D3">
      <w:pPr>
        <w:pStyle w:val="p1"/>
        <w:rPr>
          <w:rFonts w:ascii="Aptos" w:hAnsi="Aptos"/>
          <w:sz w:val="20"/>
          <w:szCs w:val="20"/>
          <w:lang w:val="fr-FR"/>
        </w:rPr>
      </w:pPr>
      <w:bookmarkStart w:id="123" w:name="_Ref230630512"/>
      <w:bookmarkStart w:id="124" w:name="_Ref231328178"/>
    </w:p>
    <w:bookmarkEnd w:id="123"/>
    <w:bookmarkEnd w:id="124"/>
    <w:p w14:paraId="20152DDF" w14:textId="0FCC1452" w:rsidR="0041268F" w:rsidRPr="00653BF4" w:rsidRDefault="0041268F" w:rsidP="00F235D3">
      <w:pPr>
        <w:pStyle w:val="p1"/>
        <w:rPr>
          <w:rFonts w:ascii="Aptos" w:hAnsi="Aptos"/>
          <w:sz w:val="20"/>
          <w:szCs w:val="20"/>
          <w:lang w:val="fr-FR"/>
        </w:rPr>
      </w:pPr>
      <w:r w:rsidRPr="00653BF4">
        <w:rPr>
          <w:rFonts w:ascii="Aptos" w:hAnsi="Aptos"/>
          <w:sz w:val="20"/>
          <w:szCs w:val="20"/>
          <w:lang w:val="fr-FR"/>
        </w:rPr>
        <w:t>Figure 20</w:t>
      </w:r>
    </w:p>
    <w:p w14:paraId="075A9EEB" w14:textId="25AC78DE" w:rsidR="0041268F" w:rsidRDefault="00DB65C3" w:rsidP="00F235D3">
      <w:pPr>
        <w:pStyle w:val="p1"/>
        <w:rPr>
          <w:rFonts w:ascii="Aptos" w:hAnsi="Aptos"/>
          <w:b/>
          <w:bCs/>
          <w:sz w:val="20"/>
          <w:szCs w:val="20"/>
          <w:lang w:val="fr-FR"/>
        </w:rPr>
      </w:pPr>
      <w:r w:rsidRPr="00653BF4">
        <w:rPr>
          <w:rFonts w:ascii="Aptos" w:hAnsi="Aptos"/>
          <w:b/>
          <w:bCs/>
          <w:sz w:val="20"/>
          <w:szCs w:val="20"/>
          <w:lang w:val="fr-FR"/>
        </w:rPr>
        <w:lastRenderedPageBreak/>
        <w:t>I</w:t>
      </w:r>
      <w:r w:rsidR="003C5C35" w:rsidRPr="00653BF4">
        <w:rPr>
          <w:rFonts w:ascii="Aptos" w:hAnsi="Aptos"/>
          <w:b/>
          <w:bCs/>
          <w:sz w:val="20"/>
          <w:szCs w:val="20"/>
          <w:lang w:val="fr-FR"/>
        </w:rPr>
        <w:t>ndicateur phare</w:t>
      </w:r>
      <w:r w:rsidRPr="00653BF4">
        <w:rPr>
          <w:rFonts w:ascii="Aptos" w:hAnsi="Aptos"/>
          <w:b/>
          <w:bCs/>
          <w:sz w:val="20"/>
          <w:szCs w:val="20"/>
          <w:lang w:val="fr-FR"/>
        </w:rPr>
        <w:t xml:space="preserve"> A.3</w:t>
      </w:r>
      <w:r w:rsidR="00E34DC9">
        <w:rPr>
          <w:rFonts w:ascii="Aptos" w:hAnsi="Aptos"/>
          <w:b/>
          <w:bCs/>
          <w:sz w:val="20"/>
          <w:szCs w:val="20"/>
          <w:lang w:val="fr-FR"/>
        </w:rPr>
        <w:t> :</w:t>
      </w:r>
      <w:r w:rsidRPr="00653BF4">
        <w:rPr>
          <w:rFonts w:ascii="Aptos" w:hAnsi="Aptos"/>
          <w:b/>
          <w:bCs/>
          <w:sz w:val="20"/>
          <w:szCs w:val="20"/>
          <w:lang w:val="fr-FR"/>
        </w:rPr>
        <w:t xml:space="preserve"> Indice de la Liste rouge (basé sur les ventilations nationales de l</w:t>
      </w:r>
      <w:r w:rsidR="002A58C8" w:rsidRPr="00653BF4">
        <w:rPr>
          <w:rFonts w:ascii="Aptos" w:hAnsi="Aptos"/>
          <w:b/>
          <w:bCs/>
          <w:sz w:val="20"/>
          <w:szCs w:val="20"/>
          <w:lang w:val="fr-FR"/>
        </w:rPr>
        <w:t>’</w:t>
      </w:r>
      <w:r w:rsidRPr="00653BF4">
        <w:rPr>
          <w:rFonts w:ascii="Aptos" w:hAnsi="Aptos"/>
          <w:b/>
          <w:bCs/>
          <w:sz w:val="20"/>
          <w:szCs w:val="20"/>
          <w:lang w:val="fr-FR"/>
        </w:rPr>
        <w:t>indice mondial de la Liste rouge de l</w:t>
      </w:r>
      <w:r w:rsidR="002A58C8" w:rsidRPr="00653BF4">
        <w:rPr>
          <w:rFonts w:ascii="Aptos" w:hAnsi="Aptos"/>
          <w:b/>
          <w:bCs/>
          <w:sz w:val="20"/>
          <w:szCs w:val="20"/>
          <w:lang w:val="fr-FR"/>
        </w:rPr>
        <w:t>’</w:t>
      </w:r>
      <w:r w:rsidRPr="00653BF4">
        <w:rPr>
          <w:rFonts w:ascii="Aptos" w:hAnsi="Aptos"/>
          <w:b/>
          <w:bCs/>
          <w:sz w:val="20"/>
          <w:szCs w:val="20"/>
          <w:lang w:val="fr-FR"/>
        </w:rPr>
        <w:t>UICN)</w:t>
      </w:r>
    </w:p>
    <w:p w14:paraId="4DF95FB7" w14:textId="3CB970B9" w:rsidR="00A26DC5" w:rsidRPr="00653BF4" w:rsidRDefault="00DB2F08" w:rsidP="009B7444">
      <w:pPr>
        <w:pStyle w:val="Caption"/>
        <w:rPr>
          <w:lang w:val="fr-FR"/>
        </w:rPr>
      </w:pPr>
      <w:bookmarkStart w:id="125" w:name="_Ref230714757"/>
      <w:r w:rsidRPr="00653BF4">
        <w:rPr>
          <w:noProof/>
          <w:lang w:val="fr-FR"/>
          <w14:ligatures w14:val="standardContextual"/>
        </w:rPr>
        <w:drawing>
          <wp:inline distT="0" distB="0" distL="0" distR="0" wp14:anchorId="0B71D39F" wp14:editId="631D23AB">
            <wp:extent cx="4204775" cy="2803028"/>
            <wp:effectExtent l="0" t="0" r="0" b="3810"/>
            <wp:docPr id="2794445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444570" name="Picture 279444570"/>
                    <pic:cNvPicPr/>
                  </pic:nvPicPr>
                  <pic:blipFill>
                    <a:blip r:embed="rId76" cstate="print">
                      <a:extLst>
                        <a:ext uri="{28A0092B-C50C-407E-A947-70E740481C1C}">
                          <a14:useLocalDpi xmlns:a14="http://schemas.microsoft.com/office/drawing/2010/main" val="0"/>
                        </a:ext>
                      </a:extLst>
                    </a:blip>
                    <a:stretch>
                      <a:fillRect/>
                    </a:stretch>
                  </pic:blipFill>
                  <pic:spPr>
                    <a:xfrm>
                      <a:off x="0" y="0"/>
                      <a:ext cx="4219379" cy="2812763"/>
                    </a:xfrm>
                    <a:prstGeom prst="rect">
                      <a:avLst/>
                    </a:prstGeom>
                  </pic:spPr>
                </pic:pic>
              </a:graphicData>
            </a:graphic>
          </wp:inline>
        </w:drawing>
      </w:r>
    </w:p>
    <w:bookmarkEnd w:id="125"/>
    <w:p w14:paraId="1828BFD6" w14:textId="1CA38301" w:rsidR="00EB1CD9" w:rsidRPr="00653BF4" w:rsidRDefault="006A631C" w:rsidP="00C26801">
      <w:pPr>
        <w:rPr>
          <w:rFonts w:ascii="Aptos" w:eastAsiaTheme="minorEastAsia" w:hAnsi="Aptos"/>
          <w:iCs/>
          <w:color w:val="0E2841" w:themeColor="text2"/>
          <w:kern w:val="0"/>
          <w:sz w:val="16"/>
          <w:szCs w:val="16"/>
          <w:lang w:val="fr-FR" w:eastAsia="ja-JP"/>
          <w14:ligatures w14:val="none"/>
        </w:rPr>
      </w:pPr>
      <w:r w:rsidRPr="00653BF4">
        <w:rPr>
          <w:rFonts w:ascii="Aptos" w:hAnsi="Aptos"/>
          <w:i/>
          <w:iCs/>
          <w:sz w:val="18"/>
          <w:szCs w:val="18"/>
          <w:lang w:val="fr-FR"/>
        </w:rPr>
        <w:t>Note</w:t>
      </w:r>
      <w:r w:rsidR="00E34DC9">
        <w:rPr>
          <w:rFonts w:ascii="Aptos" w:hAnsi="Aptos"/>
          <w:i/>
          <w:iCs/>
          <w:sz w:val="18"/>
          <w:szCs w:val="18"/>
          <w:lang w:val="fr-FR"/>
        </w:rPr>
        <w:t> :</w:t>
      </w:r>
      <w:r w:rsidR="00F235D3" w:rsidRPr="00653BF4">
        <w:rPr>
          <w:rFonts w:ascii="Aptos" w:hAnsi="Aptos"/>
          <w:sz w:val="28"/>
          <w:szCs w:val="28"/>
          <w:lang w:val="fr-FR"/>
        </w:rPr>
        <w:t xml:space="preserve"> </w:t>
      </w:r>
      <w:r w:rsidR="007D0EA5" w:rsidRPr="00653BF4">
        <w:rPr>
          <w:rFonts w:ascii="Aptos" w:eastAsiaTheme="minorEastAsia" w:hAnsi="Aptos"/>
          <w:iCs/>
          <w:color w:val="0E2841" w:themeColor="text2"/>
          <w:kern w:val="0"/>
          <w:sz w:val="18"/>
          <w:szCs w:val="18"/>
          <w:lang w:val="fr-FR" w:eastAsia="ja-JP"/>
          <w14:ligatures w14:val="none"/>
        </w:rPr>
        <w:t xml:space="preserve">Les valeurs des indicateurs correspondent à la moyenne générale et à l’écart interquartile des données communiquées chaque année par les Parties. </w:t>
      </w:r>
      <w:r w:rsidR="0091315F" w:rsidRPr="00653BF4">
        <w:rPr>
          <w:rFonts w:ascii="Aptos" w:eastAsiaTheme="minorEastAsia" w:hAnsi="Aptos"/>
          <w:iCs/>
          <w:color w:val="0E2841" w:themeColor="text2"/>
          <w:kern w:val="0"/>
          <w:sz w:val="18"/>
          <w:szCs w:val="18"/>
          <w:lang w:val="fr-FR" w:eastAsia="ja-JP"/>
          <w14:ligatures w14:val="none"/>
        </w:rPr>
        <w:t xml:space="preserve">Le diagramme à barres de droite présente la répartition, par région, des Parties ayant communiqué des indicateurs. </w:t>
      </w:r>
      <w:r w:rsidR="00CA428F" w:rsidRPr="00653BF4">
        <w:rPr>
          <w:rFonts w:ascii="Aptos" w:eastAsiaTheme="minorEastAsia" w:hAnsi="Aptos"/>
          <w:iCs/>
          <w:color w:val="0E2841" w:themeColor="text2"/>
          <w:kern w:val="0"/>
          <w:sz w:val="18"/>
          <w:szCs w:val="18"/>
          <w:lang w:val="fr-FR" w:eastAsia="ja-JP"/>
          <w14:ligatures w14:val="none"/>
        </w:rPr>
        <w:t>La couleur de chaque région est indiquée dans la légende de la figure</w:t>
      </w:r>
      <w:r w:rsidR="00E34DC9">
        <w:rPr>
          <w:rFonts w:ascii="Aptos" w:eastAsiaTheme="minorEastAsia" w:hAnsi="Aptos"/>
          <w:iCs/>
          <w:color w:val="0E2841" w:themeColor="text2"/>
          <w:kern w:val="0"/>
          <w:sz w:val="18"/>
          <w:szCs w:val="18"/>
          <w:lang w:val="fr-FR" w:eastAsia="ja-JP"/>
          <w14:ligatures w14:val="none"/>
        </w:rPr>
        <w:t> :</w:t>
      </w:r>
      <w:r w:rsidR="00CA428F" w:rsidRPr="00653BF4">
        <w:rPr>
          <w:rFonts w:ascii="Aptos" w:eastAsiaTheme="minorEastAsia" w:hAnsi="Aptos"/>
          <w:iCs/>
          <w:color w:val="0E2841" w:themeColor="text2"/>
          <w:kern w:val="0"/>
          <w:sz w:val="18"/>
          <w:szCs w:val="18"/>
          <w:lang w:val="fr-FR" w:eastAsia="ja-JP"/>
          <w14:ligatures w14:val="none"/>
        </w:rPr>
        <w:t xml:space="preserve"> les tons plus foncés représentent la proportion de Parties de chaque région dont les données figurent dans le graphique</w:t>
      </w:r>
      <w:r w:rsidR="00E34DC9">
        <w:rPr>
          <w:rFonts w:ascii="Aptos" w:eastAsiaTheme="minorEastAsia" w:hAnsi="Aptos"/>
          <w:iCs/>
          <w:color w:val="0E2841" w:themeColor="text2"/>
          <w:kern w:val="0"/>
          <w:sz w:val="18"/>
          <w:szCs w:val="18"/>
          <w:lang w:val="fr-FR" w:eastAsia="ja-JP"/>
          <w14:ligatures w14:val="none"/>
        </w:rPr>
        <w:t> ;</w:t>
      </w:r>
      <w:r w:rsidR="00CA428F" w:rsidRPr="00653BF4">
        <w:rPr>
          <w:rFonts w:ascii="Aptos" w:eastAsiaTheme="minorEastAsia" w:hAnsi="Aptos"/>
          <w:iCs/>
          <w:color w:val="0E2841" w:themeColor="text2"/>
          <w:kern w:val="0"/>
          <w:sz w:val="18"/>
          <w:szCs w:val="18"/>
          <w:lang w:val="fr-FR" w:eastAsia="ja-JP"/>
          <w14:ligatures w14:val="none"/>
        </w:rPr>
        <w:t xml:space="preserve"> les tons plus clairs, la proportion de Parties de la même région dont les données n’y figurent pas.</w:t>
      </w:r>
    </w:p>
    <w:tbl>
      <w:tblPr>
        <w:tblStyle w:val="TableGrid"/>
        <w:tblW w:w="0" w:type="auto"/>
        <w:tblLook w:val="06A0" w:firstRow="1" w:lastRow="0" w:firstColumn="1" w:lastColumn="0" w:noHBand="1" w:noVBand="1"/>
      </w:tblPr>
      <w:tblGrid>
        <w:gridCol w:w="4060"/>
        <w:gridCol w:w="4545"/>
      </w:tblGrid>
      <w:tr w:rsidR="003246FC" w:rsidRPr="003A6336" w14:paraId="2D5B8BDA" w14:textId="77777777" w:rsidTr="009B4355">
        <w:trPr>
          <w:trHeight w:val="20"/>
        </w:trPr>
        <w:tc>
          <w:tcPr>
            <w:tcW w:w="0" w:type="auto"/>
            <w:gridSpan w:val="2"/>
          </w:tcPr>
          <w:p w14:paraId="2D6240C5" w14:textId="77777777" w:rsidR="003246FC" w:rsidRPr="003A6336" w:rsidRDefault="003246FC" w:rsidP="009B4355">
            <w:pPr>
              <w:rPr>
                <w:rFonts w:ascii="Aptos" w:eastAsia="Segoe UI" w:hAnsi="Aptos" w:cs="Segoe UI"/>
                <w:color w:val="0F1115"/>
              </w:rPr>
            </w:pPr>
            <w:r>
              <w:rPr>
                <w:rFonts w:ascii="Aptos" w:eastAsia="Segoe UI" w:hAnsi="Aptos" w:cs="Segoe UI"/>
                <w:color w:val="0F1115"/>
              </w:rPr>
              <w:t>Figure 20</w:t>
            </w:r>
          </w:p>
        </w:tc>
      </w:tr>
      <w:tr w:rsidR="003246FC" w:rsidRPr="003A6336" w14:paraId="336AD3B6" w14:textId="77777777" w:rsidTr="009B4355">
        <w:trPr>
          <w:trHeight w:val="20"/>
        </w:trPr>
        <w:tc>
          <w:tcPr>
            <w:tcW w:w="0" w:type="auto"/>
          </w:tcPr>
          <w:p w14:paraId="2C10EC35" w14:textId="77777777" w:rsidR="003246FC" w:rsidRPr="003A6336" w:rsidRDefault="003246FC" w:rsidP="009B4355">
            <w:pPr>
              <w:rPr>
                <w:rFonts w:ascii="Aptos" w:hAnsi="Aptos"/>
              </w:rPr>
            </w:pPr>
            <w:r w:rsidRPr="6D03A27B">
              <w:rPr>
                <w:rFonts w:ascii="Aptos" w:eastAsia="Segoe UI" w:hAnsi="Aptos" w:cs="Segoe UI"/>
                <w:color w:val="0F1115"/>
              </w:rPr>
              <w:t xml:space="preserve">English </w:t>
            </w:r>
          </w:p>
        </w:tc>
        <w:tc>
          <w:tcPr>
            <w:tcW w:w="0" w:type="auto"/>
          </w:tcPr>
          <w:p w14:paraId="20428812" w14:textId="77777777" w:rsidR="003246FC" w:rsidRPr="003A6336" w:rsidRDefault="003246FC" w:rsidP="009B4355">
            <w:pPr>
              <w:rPr>
                <w:rFonts w:ascii="Aptos" w:hAnsi="Aptos"/>
              </w:rPr>
            </w:pPr>
            <w:r>
              <w:rPr>
                <w:rFonts w:ascii="Aptos" w:eastAsia="Segoe UI" w:hAnsi="Aptos" w:cs="Segoe UI"/>
                <w:color w:val="0F1115"/>
              </w:rPr>
              <w:t>Français</w:t>
            </w:r>
          </w:p>
        </w:tc>
      </w:tr>
      <w:tr w:rsidR="003246FC" w:rsidRPr="003A6336" w14:paraId="402A3117" w14:textId="77777777" w:rsidTr="009B4355">
        <w:trPr>
          <w:trHeight w:val="20"/>
        </w:trPr>
        <w:tc>
          <w:tcPr>
            <w:tcW w:w="0" w:type="auto"/>
          </w:tcPr>
          <w:p w14:paraId="2448B74C" w14:textId="77777777" w:rsidR="003246FC" w:rsidRPr="003A6336" w:rsidRDefault="003246FC" w:rsidP="009B4355">
            <w:pPr>
              <w:rPr>
                <w:rFonts w:ascii="Aptos" w:hAnsi="Aptos"/>
              </w:rPr>
            </w:pPr>
            <w:r w:rsidRPr="6D03A27B">
              <w:rPr>
                <w:rFonts w:ascii="Aptos" w:eastAsia="Segoe UI" w:hAnsi="Aptos" w:cs="Segoe UI"/>
                <w:color w:val="0F1115"/>
              </w:rPr>
              <w:t xml:space="preserve">Red List Index </w:t>
            </w:r>
          </w:p>
        </w:tc>
        <w:tc>
          <w:tcPr>
            <w:tcW w:w="0" w:type="auto"/>
          </w:tcPr>
          <w:p w14:paraId="14ACB1B5" w14:textId="77777777" w:rsidR="003246FC" w:rsidRPr="003A6336" w:rsidRDefault="003246FC" w:rsidP="009B4355">
            <w:pPr>
              <w:rPr>
                <w:rFonts w:ascii="Aptos" w:hAnsi="Aptos"/>
              </w:rPr>
            </w:pPr>
            <w:r w:rsidRPr="000F77EB">
              <w:rPr>
                <w:rFonts w:ascii="Aptos" w:hAnsi="Aptos"/>
              </w:rPr>
              <w:t>Indice de la Liste rouge</w:t>
            </w:r>
          </w:p>
        </w:tc>
      </w:tr>
      <w:tr w:rsidR="003246FC" w:rsidRPr="003A6336" w14:paraId="3AE17260" w14:textId="77777777" w:rsidTr="009B4355">
        <w:trPr>
          <w:trHeight w:val="20"/>
        </w:trPr>
        <w:tc>
          <w:tcPr>
            <w:tcW w:w="0" w:type="auto"/>
          </w:tcPr>
          <w:p w14:paraId="2DAA0C02" w14:textId="77777777" w:rsidR="003246FC" w:rsidRPr="003A6336" w:rsidRDefault="003246FC" w:rsidP="009B4355">
            <w:pPr>
              <w:rPr>
                <w:rFonts w:ascii="Aptos" w:hAnsi="Aptos"/>
              </w:rPr>
            </w:pPr>
            <w:r w:rsidRPr="003A6336">
              <w:rPr>
                <w:rFonts w:ascii="Aptos" w:eastAsia="Segoe UI" w:hAnsi="Aptos" w:cs="Segoe UI"/>
                <w:color w:val="0F1115"/>
              </w:rPr>
              <w:t>Year</w:t>
            </w:r>
          </w:p>
        </w:tc>
        <w:tc>
          <w:tcPr>
            <w:tcW w:w="0" w:type="auto"/>
          </w:tcPr>
          <w:p w14:paraId="6F9B7B98" w14:textId="77777777" w:rsidR="003246FC" w:rsidRPr="003A6336" w:rsidRDefault="003246FC" w:rsidP="009B4355">
            <w:pPr>
              <w:rPr>
                <w:rFonts w:ascii="Aptos" w:hAnsi="Aptos"/>
              </w:rPr>
            </w:pPr>
            <w:r>
              <w:rPr>
                <w:rFonts w:ascii="Aptos" w:hAnsi="Aptos"/>
              </w:rPr>
              <w:t>Année</w:t>
            </w:r>
          </w:p>
        </w:tc>
      </w:tr>
      <w:tr w:rsidR="003246FC" w:rsidRPr="003A6336" w14:paraId="084A6AA8" w14:textId="77777777" w:rsidTr="009B4355">
        <w:trPr>
          <w:trHeight w:val="20"/>
        </w:trPr>
        <w:tc>
          <w:tcPr>
            <w:tcW w:w="0" w:type="auto"/>
          </w:tcPr>
          <w:p w14:paraId="75EDA5F6" w14:textId="77777777" w:rsidR="003246FC" w:rsidRPr="003A6336" w:rsidRDefault="003246FC" w:rsidP="009B4355">
            <w:pPr>
              <w:rPr>
                <w:rFonts w:ascii="Aptos" w:hAnsi="Aptos"/>
              </w:rPr>
            </w:pPr>
            <w:r w:rsidRPr="003A6336">
              <w:rPr>
                <w:rFonts w:ascii="Aptos" w:eastAsia="Segoe UI" w:hAnsi="Aptos" w:cs="Segoe UI"/>
                <w:color w:val="0F1115"/>
              </w:rPr>
              <w:t>Parties covered</w:t>
            </w:r>
          </w:p>
        </w:tc>
        <w:tc>
          <w:tcPr>
            <w:tcW w:w="0" w:type="auto"/>
          </w:tcPr>
          <w:p w14:paraId="3904CD72" w14:textId="77777777" w:rsidR="003246FC" w:rsidRPr="003A6336" w:rsidRDefault="003246FC" w:rsidP="009B4355">
            <w:pPr>
              <w:rPr>
                <w:rFonts w:ascii="Aptos" w:hAnsi="Aptos"/>
              </w:rPr>
            </w:pPr>
            <w:r w:rsidRPr="003D6215">
              <w:rPr>
                <w:rFonts w:ascii="Aptos" w:hAnsi="Aptos"/>
              </w:rPr>
              <w:t>Parties visées</w:t>
            </w:r>
          </w:p>
        </w:tc>
      </w:tr>
      <w:tr w:rsidR="003246FC" w:rsidRPr="003A6336" w14:paraId="0431135D" w14:textId="77777777" w:rsidTr="009B4355">
        <w:trPr>
          <w:trHeight w:val="20"/>
        </w:trPr>
        <w:tc>
          <w:tcPr>
            <w:tcW w:w="0" w:type="auto"/>
          </w:tcPr>
          <w:p w14:paraId="29EA5326"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0" w:type="auto"/>
          </w:tcPr>
          <w:p w14:paraId="1D84A16A"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48290B89" w14:textId="77777777" w:rsidTr="009B4355">
        <w:trPr>
          <w:trHeight w:val="20"/>
        </w:trPr>
        <w:tc>
          <w:tcPr>
            <w:tcW w:w="0" w:type="auto"/>
          </w:tcPr>
          <w:p w14:paraId="69C07E92" w14:textId="77777777" w:rsidR="003246FC" w:rsidRPr="003A6336" w:rsidRDefault="003246FC" w:rsidP="009B4355">
            <w:pPr>
              <w:rPr>
                <w:rFonts w:ascii="Aptos" w:hAnsi="Aptos"/>
              </w:rPr>
            </w:pPr>
            <w:r w:rsidRPr="6D03A27B">
              <w:rPr>
                <w:rFonts w:ascii="Aptos" w:eastAsia="Segoe UI" w:hAnsi="Aptos" w:cs="Segoe UI"/>
                <w:color w:val="0F1115"/>
              </w:rPr>
              <w:t>African States</w:t>
            </w:r>
          </w:p>
        </w:tc>
        <w:tc>
          <w:tcPr>
            <w:tcW w:w="0" w:type="auto"/>
          </w:tcPr>
          <w:p w14:paraId="18C49230"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085E63A2" w14:textId="77777777" w:rsidTr="009B4355">
        <w:trPr>
          <w:trHeight w:val="20"/>
        </w:trPr>
        <w:tc>
          <w:tcPr>
            <w:tcW w:w="0" w:type="auto"/>
          </w:tcPr>
          <w:p w14:paraId="69AC6746" w14:textId="77777777" w:rsidR="003246FC" w:rsidRPr="003A6336" w:rsidRDefault="003246FC" w:rsidP="009B4355">
            <w:pPr>
              <w:rPr>
                <w:rFonts w:ascii="Aptos" w:hAnsi="Aptos"/>
              </w:rPr>
            </w:pPr>
            <w:r w:rsidRPr="6D03A27B">
              <w:rPr>
                <w:rFonts w:ascii="Aptos" w:eastAsia="Segoe UI" w:hAnsi="Aptos" w:cs="Segoe UI"/>
                <w:color w:val="0F1115"/>
              </w:rPr>
              <w:t>Asia- Pacific States</w:t>
            </w:r>
          </w:p>
        </w:tc>
        <w:tc>
          <w:tcPr>
            <w:tcW w:w="0" w:type="auto"/>
          </w:tcPr>
          <w:p w14:paraId="1602E6D6"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3A79381A" w14:textId="77777777" w:rsidTr="009B4355">
        <w:trPr>
          <w:trHeight w:val="20"/>
        </w:trPr>
        <w:tc>
          <w:tcPr>
            <w:tcW w:w="0" w:type="auto"/>
          </w:tcPr>
          <w:p w14:paraId="2820E0B2" w14:textId="77777777" w:rsidR="003246FC" w:rsidRPr="003A6336" w:rsidRDefault="003246FC" w:rsidP="009B4355">
            <w:pPr>
              <w:rPr>
                <w:rFonts w:ascii="Aptos" w:hAnsi="Aptos"/>
              </w:rPr>
            </w:pPr>
            <w:r w:rsidRPr="6D03A27B">
              <w:rPr>
                <w:rFonts w:ascii="Aptos" w:eastAsia="Segoe UI" w:hAnsi="Aptos" w:cs="Segoe UI"/>
                <w:color w:val="0F1115"/>
              </w:rPr>
              <w:t>Latin American and Caribbean States</w:t>
            </w:r>
          </w:p>
        </w:tc>
        <w:tc>
          <w:tcPr>
            <w:tcW w:w="0" w:type="auto"/>
          </w:tcPr>
          <w:p w14:paraId="1058D1E7"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477F0A8A" w14:textId="77777777" w:rsidTr="009B4355">
        <w:trPr>
          <w:trHeight w:val="20"/>
        </w:trPr>
        <w:tc>
          <w:tcPr>
            <w:tcW w:w="0" w:type="auto"/>
          </w:tcPr>
          <w:p w14:paraId="576A053A" w14:textId="77777777" w:rsidR="003246FC" w:rsidRPr="003A6336" w:rsidRDefault="003246FC" w:rsidP="009B4355">
            <w:pPr>
              <w:rPr>
                <w:rFonts w:ascii="Aptos" w:hAnsi="Aptos"/>
              </w:rPr>
            </w:pPr>
            <w:r>
              <w:rPr>
                <w:rFonts w:ascii="Aptos" w:eastAsia="Segoe UI" w:hAnsi="Aptos" w:cs="Segoe UI"/>
                <w:color w:val="0F1115"/>
              </w:rPr>
              <w:t>Eastern</w:t>
            </w:r>
            <w:r w:rsidRPr="6D03A27B">
              <w:rPr>
                <w:rFonts w:ascii="Aptos" w:eastAsia="Segoe UI" w:hAnsi="Aptos" w:cs="Segoe UI"/>
                <w:color w:val="0F1115"/>
              </w:rPr>
              <w:t xml:space="preserve"> European States</w:t>
            </w:r>
          </w:p>
        </w:tc>
        <w:tc>
          <w:tcPr>
            <w:tcW w:w="0" w:type="auto"/>
          </w:tcPr>
          <w:p w14:paraId="19575C5D"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68062348" w14:textId="77777777" w:rsidTr="009B4355">
        <w:trPr>
          <w:trHeight w:val="20"/>
        </w:trPr>
        <w:tc>
          <w:tcPr>
            <w:tcW w:w="0" w:type="auto"/>
          </w:tcPr>
          <w:p w14:paraId="6FC43728" w14:textId="77777777" w:rsidR="003246FC" w:rsidRPr="003A6336" w:rsidRDefault="003246FC" w:rsidP="009B4355">
            <w:pPr>
              <w:rPr>
                <w:rFonts w:ascii="Aptos" w:hAnsi="Aptos"/>
              </w:rPr>
            </w:pPr>
            <w:r w:rsidRPr="6D03A27B">
              <w:rPr>
                <w:rFonts w:ascii="Aptos" w:eastAsia="Segoe UI" w:hAnsi="Aptos" w:cs="Segoe UI"/>
                <w:color w:val="0F1115"/>
              </w:rPr>
              <w:t>Western European and other States</w:t>
            </w:r>
          </w:p>
        </w:tc>
        <w:tc>
          <w:tcPr>
            <w:tcW w:w="0" w:type="auto"/>
          </w:tcPr>
          <w:p w14:paraId="5584F05E"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71EE4C76" w14:textId="77777777" w:rsidTr="009B4355">
        <w:trPr>
          <w:trHeight w:val="20"/>
        </w:trPr>
        <w:tc>
          <w:tcPr>
            <w:tcW w:w="0" w:type="auto"/>
          </w:tcPr>
          <w:p w14:paraId="4E8478E4" w14:textId="77777777" w:rsidR="003246FC" w:rsidRPr="003A6336" w:rsidRDefault="003246FC" w:rsidP="009B4355">
            <w:pPr>
              <w:rPr>
                <w:rFonts w:ascii="Aptos" w:hAnsi="Aptos"/>
              </w:rPr>
            </w:pPr>
            <w:r w:rsidRPr="003A6336">
              <w:rPr>
                <w:rFonts w:ascii="Aptos" w:eastAsia="Segoe UI" w:hAnsi="Aptos" w:cs="Segoe UI"/>
                <w:color w:val="0F1115"/>
              </w:rPr>
              <w:t>Party count: 195</w:t>
            </w:r>
          </w:p>
        </w:tc>
        <w:tc>
          <w:tcPr>
            <w:tcW w:w="0" w:type="auto"/>
          </w:tcPr>
          <w:p w14:paraId="4B1EA6B5" w14:textId="77777777" w:rsidR="003246FC" w:rsidRPr="003A6336" w:rsidRDefault="003246FC" w:rsidP="009B4355">
            <w:pPr>
              <w:rPr>
                <w:rFonts w:ascii="Aptos" w:hAnsi="Aptos"/>
              </w:rPr>
            </w:pPr>
            <w:r w:rsidRPr="00943C51">
              <w:rPr>
                <w:rFonts w:ascii="Aptos" w:hAnsi="Aptos"/>
              </w:rPr>
              <w:t>Nombre de Parties : 19</w:t>
            </w:r>
            <w:r>
              <w:rPr>
                <w:rFonts w:ascii="Aptos" w:hAnsi="Aptos"/>
              </w:rPr>
              <w:t>5</w:t>
            </w:r>
          </w:p>
        </w:tc>
      </w:tr>
    </w:tbl>
    <w:p w14:paraId="37AE4231" w14:textId="6E5443A4" w:rsidR="00F235D3" w:rsidRPr="00653BF4" w:rsidRDefault="00F235D3" w:rsidP="00DF1DCB">
      <w:pPr>
        <w:pStyle w:val="Caption"/>
        <w:rPr>
          <w:rFonts w:ascii="Aptos" w:hAnsi="Aptos"/>
          <w:lang w:val="fr-FR"/>
        </w:rPr>
      </w:pPr>
    </w:p>
    <w:p w14:paraId="75157ABC" w14:textId="238DEC6E" w:rsidR="00104072" w:rsidRPr="00653BF4" w:rsidRDefault="00104072" w:rsidP="00104072">
      <w:pPr>
        <w:rPr>
          <w:sz w:val="20"/>
          <w:szCs w:val="20"/>
          <w:lang w:val="fr-FR" w:eastAsia="ja-JP"/>
        </w:rPr>
      </w:pPr>
      <w:r w:rsidRPr="00653BF4">
        <w:rPr>
          <w:sz w:val="20"/>
          <w:szCs w:val="20"/>
          <w:lang w:val="fr-FR" w:eastAsia="ja-JP"/>
        </w:rPr>
        <w:t>Figure 21</w:t>
      </w:r>
    </w:p>
    <w:p w14:paraId="3057B6B6" w14:textId="3CE5D375" w:rsidR="00104072" w:rsidRPr="00653BF4" w:rsidRDefault="00942FF0" w:rsidP="00104072">
      <w:pPr>
        <w:rPr>
          <w:b/>
          <w:bCs/>
          <w:sz w:val="20"/>
          <w:szCs w:val="20"/>
          <w:lang w:val="fr-FR" w:eastAsia="ja-JP"/>
        </w:rPr>
      </w:pPr>
      <w:r w:rsidRPr="00653BF4">
        <w:rPr>
          <w:b/>
          <w:bCs/>
          <w:sz w:val="20"/>
          <w:szCs w:val="20"/>
          <w:lang w:val="fr-FR" w:eastAsia="ja-JP"/>
        </w:rPr>
        <w:t>I</w:t>
      </w:r>
      <w:r w:rsidR="003C5C35" w:rsidRPr="00653BF4">
        <w:rPr>
          <w:b/>
          <w:bCs/>
          <w:sz w:val="20"/>
          <w:szCs w:val="20"/>
          <w:lang w:val="fr-FR" w:eastAsia="ja-JP"/>
        </w:rPr>
        <w:t>ndicateur phare</w:t>
      </w:r>
      <w:r w:rsidRPr="00653BF4">
        <w:rPr>
          <w:b/>
          <w:bCs/>
          <w:sz w:val="20"/>
          <w:szCs w:val="20"/>
          <w:lang w:val="fr-FR" w:eastAsia="ja-JP"/>
        </w:rPr>
        <w:t xml:space="preserve"> A.4</w:t>
      </w:r>
      <w:r w:rsidR="00E34DC9">
        <w:rPr>
          <w:b/>
          <w:bCs/>
          <w:sz w:val="20"/>
          <w:szCs w:val="20"/>
          <w:lang w:val="fr-FR" w:eastAsia="ja-JP"/>
        </w:rPr>
        <w:t> :</w:t>
      </w:r>
      <w:r w:rsidRPr="00653BF4">
        <w:rPr>
          <w:b/>
          <w:bCs/>
          <w:sz w:val="20"/>
          <w:szCs w:val="20"/>
          <w:lang w:val="fr-FR" w:eastAsia="ja-JP"/>
        </w:rPr>
        <w:t xml:space="preserve"> pourcentage des populations au sein d</w:t>
      </w:r>
      <w:r w:rsidR="002A58C8" w:rsidRPr="00653BF4">
        <w:rPr>
          <w:b/>
          <w:bCs/>
          <w:sz w:val="20"/>
          <w:szCs w:val="20"/>
          <w:lang w:val="fr-FR" w:eastAsia="ja-JP"/>
        </w:rPr>
        <w:t>’</w:t>
      </w:r>
      <w:r w:rsidRPr="00653BF4">
        <w:rPr>
          <w:b/>
          <w:bCs/>
          <w:sz w:val="20"/>
          <w:szCs w:val="20"/>
          <w:lang w:val="fr-FR" w:eastAsia="ja-JP"/>
        </w:rPr>
        <w:t xml:space="preserve">une espèce dont la taille </w:t>
      </w:r>
      <w:r w:rsidR="00F40F74">
        <w:rPr>
          <w:b/>
          <w:bCs/>
          <w:sz w:val="20"/>
          <w:szCs w:val="20"/>
          <w:lang w:val="fr-FR" w:eastAsia="ja-JP"/>
        </w:rPr>
        <w:t xml:space="preserve">de la population génétiquement efficace </w:t>
      </w:r>
      <w:r w:rsidRPr="00653BF4">
        <w:rPr>
          <w:b/>
          <w:bCs/>
          <w:sz w:val="20"/>
          <w:szCs w:val="20"/>
          <w:lang w:val="fr-FR" w:eastAsia="ja-JP"/>
        </w:rPr>
        <w:t>est supérieure à 500</w:t>
      </w:r>
    </w:p>
    <w:p w14:paraId="0C5DEA6E" w14:textId="1C9D1665" w:rsidR="00A26DC5" w:rsidRPr="00653BF4" w:rsidRDefault="00F235D3" w:rsidP="009B7444">
      <w:pPr>
        <w:pStyle w:val="Caption"/>
        <w:rPr>
          <w:lang w:val="fr-FR"/>
        </w:rPr>
      </w:pPr>
      <w:bookmarkStart w:id="126" w:name="_Ref230630440"/>
      <w:r w:rsidRPr="00653BF4">
        <w:rPr>
          <w:rFonts w:ascii="Aptos" w:hAnsi="Aptos"/>
          <w:noProof/>
          <w:lang w:val="fr-FR"/>
        </w:rPr>
        <w:lastRenderedPageBreak/>
        <w:drawing>
          <wp:inline distT="0" distB="0" distL="0" distR="0" wp14:anchorId="1459ED50" wp14:editId="58F1C81E">
            <wp:extent cx="5721350" cy="3219450"/>
            <wp:effectExtent l="0" t="0" r="0" b="0"/>
            <wp:docPr id="183862419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21350" cy="3219450"/>
                    </a:xfrm>
                    <a:prstGeom prst="rect">
                      <a:avLst/>
                    </a:prstGeom>
                    <a:noFill/>
                    <a:ln>
                      <a:noFill/>
                    </a:ln>
                  </pic:spPr>
                </pic:pic>
              </a:graphicData>
            </a:graphic>
          </wp:inline>
        </w:drawing>
      </w:r>
    </w:p>
    <w:bookmarkEnd w:id="126"/>
    <w:p w14:paraId="747C8187" w14:textId="4AE6FA18" w:rsidR="009D0486" w:rsidRPr="00653BF4" w:rsidRDefault="006A631C" w:rsidP="009D0486">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00C13C88" w:rsidRPr="00653BF4">
        <w:rPr>
          <w:rFonts w:ascii="Aptos" w:hAnsi="Aptos"/>
          <w:i w:val="0"/>
          <w:iCs w:val="0"/>
          <w:lang w:val="fr-FR"/>
        </w:rPr>
        <w:t xml:space="preserve"> </w:t>
      </w:r>
      <w:r w:rsidR="00B57ACA" w:rsidRPr="00653BF4">
        <w:rPr>
          <w:rFonts w:ascii="Aptos" w:hAnsi="Aptos"/>
          <w:i w:val="0"/>
          <w:iCs w:val="0"/>
          <w:lang w:val="fr-FR"/>
        </w:rPr>
        <w:t>En haut</w:t>
      </w:r>
      <w:r w:rsidR="00E34DC9">
        <w:rPr>
          <w:rFonts w:ascii="Aptos" w:hAnsi="Aptos"/>
          <w:i w:val="0"/>
          <w:iCs w:val="0"/>
          <w:lang w:val="fr-FR"/>
        </w:rPr>
        <w:t> :</w:t>
      </w:r>
      <w:r w:rsidR="00C13C88" w:rsidRPr="00653BF4">
        <w:rPr>
          <w:rFonts w:ascii="Aptos" w:hAnsi="Aptos"/>
          <w:i w:val="0"/>
          <w:iCs w:val="0"/>
          <w:lang w:val="fr-FR"/>
        </w:rPr>
        <w:t xml:space="preserve"> </w:t>
      </w:r>
      <w:r w:rsidR="007E6010" w:rsidRPr="00653BF4">
        <w:rPr>
          <w:rFonts w:ascii="Aptos" w:hAnsi="Aptos"/>
          <w:i w:val="0"/>
          <w:iCs w:val="0"/>
          <w:lang w:val="fr-FR"/>
        </w:rPr>
        <w:t>Moyenne globale et fourchette de valeurs de l</w:t>
      </w:r>
      <w:r w:rsidR="002A58C8" w:rsidRPr="00653BF4">
        <w:rPr>
          <w:rFonts w:ascii="Aptos" w:hAnsi="Aptos"/>
          <w:i w:val="0"/>
          <w:iCs w:val="0"/>
          <w:lang w:val="fr-FR"/>
        </w:rPr>
        <w:t>’</w:t>
      </w:r>
      <w:r w:rsidR="007E6010" w:rsidRPr="00653BF4">
        <w:rPr>
          <w:rFonts w:ascii="Aptos" w:hAnsi="Aptos"/>
          <w:i w:val="0"/>
          <w:iCs w:val="0"/>
          <w:lang w:val="fr-FR"/>
        </w:rPr>
        <w:t>indicateur issues des données communiquées par les Parties. En bas</w:t>
      </w:r>
      <w:r w:rsidR="00E34DC9">
        <w:rPr>
          <w:rFonts w:ascii="Aptos" w:hAnsi="Aptos"/>
          <w:i w:val="0"/>
          <w:iCs w:val="0"/>
          <w:lang w:val="fr-FR"/>
        </w:rPr>
        <w:t> :</w:t>
      </w:r>
      <w:r w:rsidR="007E6010" w:rsidRPr="00653BF4">
        <w:rPr>
          <w:rFonts w:ascii="Aptos" w:hAnsi="Aptos"/>
          <w:i w:val="0"/>
          <w:iCs w:val="0"/>
          <w:lang w:val="fr-FR"/>
        </w:rPr>
        <w:t xml:space="preserve"> moyenne globale et fourchette de valeurs de l</w:t>
      </w:r>
      <w:r w:rsidR="002A58C8" w:rsidRPr="00653BF4">
        <w:rPr>
          <w:rFonts w:ascii="Aptos" w:hAnsi="Aptos"/>
          <w:i w:val="0"/>
          <w:iCs w:val="0"/>
          <w:lang w:val="fr-FR"/>
        </w:rPr>
        <w:t>’</w:t>
      </w:r>
      <w:r w:rsidR="007E6010" w:rsidRPr="00653BF4">
        <w:rPr>
          <w:rFonts w:ascii="Aptos" w:hAnsi="Aptos"/>
          <w:i w:val="0"/>
          <w:iCs w:val="0"/>
          <w:lang w:val="fr-FR"/>
        </w:rPr>
        <w:t>indicateur issues des données communiquées par les Parties ayant participé à l</w:t>
      </w:r>
      <w:r w:rsidR="002A58C8" w:rsidRPr="00653BF4">
        <w:rPr>
          <w:rFonts w:ascii="Aptos" w:hAnsi="Aptos"/>
          <w:i w:val="0"/>
          <w:iCs w:val="0"/>
          <w:lang w:val="fr-FR"/>
        </w:rPr>
        <w:t>’</w:t>
      </w:r>
      <w:r w:rsidR="007E6010" w:rsidRPr="00653BF4">
        <w:rPr>
          <w:rFonts w:ascii="Aptos" w:hAnsi="Aptos"/>
          <w:i w:val="0"/>
          <w:iCs w:val="0"/>
          <w:lang w:val="fr-FR"/>
        </w:rPr>
        <w:t>étude pilote menée pour l</w:t>
      </w:r>
      <w:r w:rsidR="002A58C8" w:rsidRPr="00653BF4">
        <w:rPr>
          <w:rFonts w:ascii="Aptos" w:hAnsi="Aptos"/>
          <w:i w:val="0"/>
          <w:iCs w:val="0"/>
          <w:lang w:val="fr-FR"/>
        </w:rPr>
        <w:t>’</w:t>
      </w:r>
      <w:r w:rsidR="007E6010" w:rsidRPr="00653BF4">
        <w:rPr>
          <w:rFonts w:ascii="Aptos" w:hAnsi="Aptos"/>
          <w:i w:val="0"/>
          <w:iCs w:val="0"/>
          <w:lang w:val="fr-FR"/>
        </w:rPr>
        <w:t>élaboration de l</w:t>
      </w:r>
      <w:r w:rsidR="002A58C8" w:rsidRPr="00653BF4">
        <w:rPr>
          <w:rFonts w:ascii="Aptos" w:hAnsi="Aptos"/>
          <w:i w:val="0"/>
          <w:iCs w:val="0"/>
          <w:lang w:val="fr-FR"/>
        </w:rPr>
        <w:t>’</w:t>
      </w:r>
      <w:r w:rsidR="007E6010" w:rsidRPr="00653BF4">
        <w:rPr>
          <w:rFonts w:ascii="Aptos" w:hAnsi="Aptos"/>
          <w:i w:val="0"/>
          <w:iCs w:val="0"/>
          <w:lang w:val="fr-FR"/>
        </w:rPr>
        <w:t xml:space="preserve">indicateur (Mastretta-Yanes </w:t>
      </w:r>
      <w:r w:rsidR="007E6010" w:rsidRPr="00653BF4">
        <w:rPr>
          <w:rFonts w:ascii="Aptos" w:hAnsi="Aptos"/>
          <w:lang w:val="fr-FR"/>
        </w:rPr>
        <w:t>et al.</w:t>
      </w:r>
      <w:r w:rsidR="007E6010" w:rsidRPr="00653BF4">
        <w:rPr>
          <w:rFonts w:ascii="Aptos" w:hAnsi="Aptos"/>
          <w:i w:val="0"/>
          <w:iCs w:val="0"/>
          <w:lang w:val="fr-FR"/>
        </w:rPr>
        <w:t xml:space="preserve">, 2024). Seules deux Parties </w:t>
      </w:r>
      <w:r w:rsidR="00B44E55" w:rsidRPr="00653BF4">
        <w:rPr>
          <w:rFonts w:ascii="Aptos" w:hAnsi="Aptos"/>
          <w:i w:val="0"/>
          <w:iCs w:val="0"/>
          <w:lang w:val="fr-FR"/>
        </w:rPr>
        <w:t>sont comprises</w:t>
      </w:r>
      <w:r w:rsidR="007E6010" w:rsidRPr="00653BF4">
        <w:rPr>
          <w:rFonts w:ascii="Aptos" w:hAnsi="Aptos"/>
          <w:i w:val="0"/>
          <w:iCs w:val="0"/>
          <w:lang w:val="fr-FR"/>
        </w:rPr>
        <w:t xml:space="preserve"> dans les deux moyennes. Dans </w:t>
      </w:r>
      <w:r w:rsidR="00A94986" w:rsidRPr="00653BF4">
        <w:rPr>
          <w:rFonts w:ascii="Aptos" w:hAnsi="Aptos"/>
          <w:i w:val="0"/>
          <w:iCs w:val="0"/>
          <w:lang w:val="fr-FR"/>
        </w:rPr>
        <w:t>c</w:t>
      </w:r>
      <w:r w:rsidR="007E6010" w:rsidRPr="00653BF4">
        <w:rPr>
          <w:rFonts w:ascii="Aptos" w:hAnsi="Aptos"/>
          <w:i w:val="0"/>
          <w:iCs w:val="0"/>
          <w:lang w:val="fr-FR"/>
        </w:rPr>
        <w:t xml:space="preserve">es deux cas, une seule valeur globale est indiquée, </w:t>
      </w:r>
      <w:r w:rsidR="00230287" w:rsidRPr="00653BF4">
        <w:rPr>
          <w:rFonts w:ascii="Aptos" w:hAnsi="Aptos"/>
          <w:i w:val="0"/>
          <w:iCs w:val="0"/>
          <w:lang w:val="fr-FR"/>
        </w:rPr>
        <w:t xml:space="preserve">en </w:t>
      </w:r>
      <w:r w:rsidR="007E6010" w:rsidRPr="00653BF4">
        <w:rPr>
          <w:rFonts w:ascii="Aptos" w:hAnsi="Aptos"/>
          <w:i w:val="0"/>
          <w:iCs w:val="0"/>
          <w:lang w:val="fr-FR"/>
        </w:rPr>
        <w:t xml:space="preserve">regroupant toutes les valeurs présentées ou disponibles, car une seule Partie a fourni une </w:t>
      </w:r>
      <w:r w:rsidR="006C3CB8" w:rsidRPr="00653BF4">
        <w:rPr>
          <w:rFonts w:ascii="Aptos" w:hAnsi="Aptos"/>
          <w:i w:val="0"/>
          <w:iCs w:val="0"/>
          <w:lang w:val="fr-FR"/>
        </w:rPr>
        <w:t xml:space="preserve">nouvelle </w:t>
      </w:r>
      <w:r w:rsidR="007E6010" w:rsidRPr="00653BF4">
        <w:rPr>
          <w:rFonts w:ascii="Aptos" w:hAnsi="Aptos"/>
          <w:i w:val="0"/>
          <w:iCs w:val="0"/>
          <w:lang w:val="fr-FR"/>
        </w:rPr>
        <w:t>évaluation de la valeur de l</w:t>
      </w:r>
      <w:r w:rsidR="002A58C8" w:rsidRPr="00653BF4">
        <w:rPr>
          <w:rFonts w:ascii="Aptos" w:hAnsi="Aptos"/>
          <w:i w:val="0"/>
          <w:iCs w:val="0"/>
          <w:lang w:val="fr-FR"/>
        </w:rPr>
        <w:t>’</w:t>
      </w:r>
      <w:r w:rsidR="007E6010" w:rsidRPr="00653BF4">
        <w:rPr>
          <w:rFonts w:ascii="Aptos" w:hAnsi="Aptos"/>
          <w:i w:val="0"/>
          <w:iCs w:val="0"/>
          <w:lang w:val="fr-FR"/>
        </w:rPr>
        <w:t xml:space="preserve">indicateur pour une année différente. Ces valeurs ne </w:t>
      </w:r>
      <w:r w:rsidR="00E444C2" w:rsidRPr="00653BF4">
        <w:rPr>
          <w:rFonts w:ascii="Aptos" w:hAnsi="Aptos"/>
          <w:i w:val="0"/>
          <w:iCs w:val="0"/>
          <w:lang w:val="fr-FR"/>
        </w:rPr>
        <w:t xml:space="preserve">sauraient </w:t>
      </w:r>
      <w:r w:rsidR="007E6010" w:rsidRPr="00653BF4">
        <w:rPr>
          <w:rFonts w:ascii="Aptos" w:hAnsi="Aptos"/>
          <w:i w:val="0"/>
          <w:iCs w:val="0"/>
          <w:lang w:val="fr-FR"/>
        </w:rPr>
        <w:t xml:space="preserve">être comparées directement, car elles ne concernent pas le même ensemble de Parties ni les mêmes espèces. Le diagramme à barres illustre la répartition, par région, des Parties pour lesquelles des données sont disponibles pour le graphique. </w:t>
      </w:r>
      <w:r w:rsidR="00290DBC" w:rsidRPr="00653BF4">
        <w:rPr>
          <w:rFonts w:ascii="Aptos" w:hAnsi="Aptos"/>
          <w:i w:val="0"/>
          <w:iCs w:val="0"/>
          <w:lang w:val="fr-FR"/>
        </w:rPr>
        <w:t>La couleur de chaque région est indiquée dans la légende de la figure</w:t>
      </w:r>
      <w:r w:rsidR="00E34DC9">
        <w:rPr>
          <w:rFonts w:ascii="Aptos" w:hAnsi="Aptos"/>
          <w:i w:val="0"/>
          <w:iCs w:val="0"/>
          <w:lang w:val="fr-FR"/>
        </w:rPr>
        <w:t> :</w:t>
      </w:r>
      <w:r w:rsidR="00290DBC"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290DBC" w:rsidRPr="00653BF4">
        <w:rPr>
          <w:rFonts w:ascii="Aptos" w:hAnsi="Aptos"/>
          <w:i w:val="0"/>
          <w:iCs w:val="0"/>
          <w:lang w:val="fr-FR"/>
        </w:rPr>
        <w:t xml:space="preserve"> les tons plus clairs, la proportion de Parties de la même région dont les données n’y figurent pas.</w:t>
      </w:r>
    </w:p>
    <w:p w14:paraId="19AC5719" w14:textId="77777777" w:rsidR="003246FC" w:rsidRPr="00653BF4" w:rsidRDefault="00F235D3" w:rsidP="009D0486">
      <w:pPr>
        <w:pStyle w:val="Caption"/>
        <w:rPr>
          <w:rFonts w:ascii="Aptos" w:hAnsi="Aptos"/>
          <w:lang w:val="fr-FR"/>
        </w:rPr>
      </w:pPr>
      <w:r w:rsidRPr="00653BF4">
        <w:rPr>
          <w:rFonts w:ascii="Aptos" w:hAnsi="Aptos"/>
          <w:lang w:val="fr-FR"/>
        </w:rPr>
        <w:t> </w:t>
      </w:r>
    </w:p>
    <w:tbl>
      <w:tblPr>
        <w:tblStyle w:val="TableGrid"/>
        <w:tblW w:w="0" w:type="auto"/>
        <w:tblLook w:val="06A0" w:firstRow="1" w:lastRow="0" w:firstColumn="1" w:lastColumn="0" w:noHBand="1" w:noVBand="1"/>
      </w:tblPr>
      <w:tblGrid>
        <w:gridCol w:w="4390"/>
        <w:gridCol w:w="4960"/>
      </w:tblGrid>
      <w:tr w:rsidR="003246FC" w:rsidRPr="003A6336" w14:paraId="31675808" w14:textId="77777777" w:rsidTr="009B4355">
        <w:trPr>
          <w:trHeight w:val="20"/>
        </w:trPr>
        <w:tc>
          <w:tcPr>
            <w:tcW w:w="0" w:type="auto"/>
            <w:gridSpan w:val="2"/>
          </w:tcPr>
          <w:p w14:paraId="03962072" w14:textId="77777777" w:rsidR="003246FC" w:rsidRPr="003A6336" w:rsidRDefault="003246FC" w:rsidP="009B4355">
            <w:pPr>
              <w:rPr>
                <w:rFonts w:ascii="Aptos" w:eastAsia="Segoe UI" w:hAnsi="Aptos" w:cs="Segoe UI"/>
                <w:color w:val="0F1115"/>
              </w:rPr>
            </w:pPr>
            <w:r>
              <w:rPr>
                <w:rFonts w:ascii="Aptos" w:eastAsia="Segoe UI" w:hAnsi="Aptos" w:cs="Segoe UI"/>
                <w:color w:val="0F1115"/>
              </w:rPr>
              <w:t>Figure 21</w:t>
            </w:r>
          </w:p>
        </w:tc>
      </w:tr>
      <w:tr w:rsidR="003246FC" w:rsidRPr="003A6336" w14:paraId="54FDEA6E" w14:textId="77777777" w:rsidTr="009B4355">
        <w:trPr>
          <w:trHeight w:val="20"/>
        </w:trPr>
        <w:tc>
          <w:tcPr>
            <w:tcW w:w="4390" w:type="dxa"/>
          </w:tcPr>
          <w:p w14:paraId="64A90199" w14:textId="77777777" w:rsidR="003246FC" w:rsidRPr="003A6336" w:rsidRDefault="003246FC" w:rsidP="009B4355">
            <w:pPr>
              <w:rPr>
                <w:rFonts w:ascii="Aptos" w:hAnsi="Aptos"/>
              </w:rPr>
            </w:pPr>
            <w:r w:rsidRPr="6D03A27B">
              <w:rPr>
                <w:rFonts w:ascii="Aptos" w:eastAsia="Segoe UI" w:hAnsi="Aptos" w:cs="Segoe UI"/>
                <w:color w:val="0F1115"/>
              </w:rPr>
              <w:t xml:space="preserve">English </w:t>
            </w:r>
          </w:p>
        </w:tc>
        <w:tc>
          <w:tcPr>
            <w:tcW w:w="4960" w:type="dxa"/>
          </w:tcPr>
          <w:p w14:paraId="42AF2A7E" w14:textId="77777777" w:rsidR="003246FC" w:rsidRPr="003A6336" w:rsidRDefault="003246FC" w:rsidP="009B4355">
            <w:pPr>
              <w:rPr>
                <w:rFonts w:ascii="Aptos" w:hAnsi="Aptos"/>
              </w:rPr>
            </w:pPr>
            <w:r>
              <w:rPr>
                <w:rFonts w:ascii="Aptos" w:eastAsia="Segoe UI" w:hAnsi="Aptos" w:cs="Segoe UI"/>
                <w:color w:val="0F1115"/>
              </w:rPr>
              <w:t>Français</w:t>
            </w:r>
          </w:p>
        </w:tc>
      </w:tr>
      <w:tr w:rsidR="003246FC" w:rsidRPr="003A6336" w14:paraId="055CA3C3" w14:textId="77777777" w:rsidTr="009B4355">
        <w:trPr>
          <w:trHeight w:val="20"/>
        </w:trPr>
        <w:tc>
          <w:tcPr>
            <w:tcW w:w="4390" w:type="dxa"/>
          </w:tcPr>
          <w:p w14:paraId="2C1762D1" w14:textId="77777777" w:rsidR="003246FC" w:rsidRPr="003A6336" w:rsidRDefault="003246FC" w:rsidP="009B4355">
            <w:pPr>
              <w:rPr>
                <w:rFonts w:ascii="Aptos" w:hAnsi="Aptos"/>
              </w:rPr>
            </w:pPr>
            <w:r w:rsidRPr="003A6336">
              <w:rPr>
                <w:rFonts w:ascii="Aptos" w:eastAsia="Segoe UI" w:hAnsi="Aptos" w:cs="Segoe UI"/>
                <w:color w:val="0F1115"/>
              </w:rPr>
              <w:t>National submissions</w:t>
            </w:r>
          </w:p>
        </w:tc>
        <w:tc>
          <w:tcPr>
            <w:tcW w:w="4960" w:type="dxa"/>
          </w:tcPr>
          <w:p w14:paraId="1836B223" w14:textId="77777777" w:rsidR="003246FC" w:rsidRPr="003A6336" w:rsidRDefault="003246FC" w:rsidP="009B4355">
            <w:pPr>
              <w:rPr>
                <w:rFonts w:ascii="Aptos" w:hAnsi="Aptos"/>
              </w:rPr>
            </w:pPr>
            <w:r>
              <w:rPr>
                <w:rFonts w:ascii="Aptos" w:hAnsi="Aptos"/>
              </w:rPr>
              <w:t>Soumissions nationales</w:t>
            </w:r>
          </w:p>
        </w:tc>
      </w:tr>
      <w:tr w:rsidR="003246FC" w:rsidRPr="003A6336" w14:paraId="2081350A" w14:textId="77777777" w:rsidTr="009B4355">
        <w:trPr>
          <w:trHeight w:val="20"/>
        </w:trPr>
        <w:tc>
          <w:tcPr>
            <w:tcW w:w="4390" w:type="dxa"/>
          </w:tcPr>
          <w:p w14:paraId="4E032869" w14:textId="77777777" w:rsidR="003246FC" w:rsidRPr="003A6336" w:rsidRDefault="003246FC" w:rsidP="009B4355">
            <w:pPr>
              <w:rPr>
                <w:rFonts w:ascii="Aptos" w:hAnsi="Aptos"/>
              </w:rPr>
            </w:pPr>
            <w:r w:rsidRPr="003A6336">
              <w:rPr>
                <w:rFonts w:ascii="Aptos" w:eastAsia="Segoe UI" w:hAnsi="Aptos" w:cs="Segoe UI"/>
                <w:color w:val="0F1115"/>
              </w:rPr>
              <w:t>Coalition for Conservation Genetics data</w:t>
            </w:r>
          </w:p>
        </w:tc>
        <w:tc>
          <w:tcPr>
            <w:tcW w:w="4960" w:type="dxa"/>
          </w:tcPr>
          <w:p w14:paraId="6A32234D" w14:textId="77777777" w:rsidR="003246FC" w:rsidRPr="003A6336" w:rsidRDefault="003246FC" w:rsidP="009B4355">
            <w:pPr>
              <w:rPr>
                <w:rFonts w:ascii="Aptos" w:hAnsi="Aptos"/>
              </w:rPr>
            </w:pPr>
            <w:r w:rsidRPr="00A82E97">
              <w:rPr>
                <w:rFonts w:ascii="Aptos" w:hAnsi="Aptos"/>
              </w:rPr>
              <w:t>Données de la Coalition pour la génétique de la conservation</w:t>
            </w:r>
          </w:p>
        </w:tc>
      </w:tr>
      <w:tr w:rsidR="003246FC" w:rsidRPr="003A6336" w14:paraId="316AE8A2" w14:textId="77777777" w:rsidTr="009B4355">
        <w:trPr>
          <w:trHeight w:val="20"/>
        </w:trPr>
        <w:tc>
          <w:tcPr>
            <w:tcW w:w="4390" w:type="dxa"/>
          </w:tcPr>
          <w:p w14:paraId="17DC81F9" w14:textId="77777777" w:rsidR="003246FC" w:rsidRPr="003A6336" w:rsidRDefault="003246FC" w:rsidP="009B4355">
            <w:pPr>
              <w:rPr>
                <w:rFonts w:ascii="Aptos" w:hAnsi="Aptos"/>
              </w:rPr>
            </w:pPr>
            <w:r w:rsidRPr="003A6336">
              <w:rPr>
                <w:rFonts w:ascii="Aptos" w:eastAsia="Segoe UI" w:hAnsi="Aptos" w:cs="Segoe UI"/>
                <w:color w:val="0F1115"/>
              </w:rPr>
              <w:t>Party count by region</w:t>
            </w:r>
          </w:p>
        </w:tc>
        <w:tc>
          <w:tcPr>
            <w:tcW w:w="4960" w:type="dxa"/>
          </w:tcPr>
          <w:p w14:paraId="0172EFEC" w14:textId="77777777" w:rsidR="003246FC" w:rsidRPr="003A6336" w:rsidRDefault="003246FC" w:rsidP="009B4355">
            <w:pPr>
              <w:rPr>
                <w:rFonts w:ascii="Aptos" w:hAnsi="Aptos"/>
              </w:rPr>
            </w:pPr>
            <w:r>
              <w:rPr>
                <w:rFonts w:ascii="Aptos" w:hAnsi="Aptos"/>
              </w:rPr>
              <w:t>Nombre de Parties par région</w:t>
            </w:r>
          </w:p>
        </w:tc>
      </w:tr>
      <w:tr w:rsidR="003246FC" w:rsidRPr="003A6336" w14:paraId="345F98CE" w14:textId="77777777" w:rsidTr="009B4355">
        <w:trPr>
          <w:trHeight w:val="20"/>
        </w:trPr>
        <w:tc>
          <w:tcPr>
            <w:tcW w:w="4390" w:type="dxa"/>
          </w:tcPr>
          <w:p w14:paraId="6D6B55A8"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4960" w:type="dxa"/>
          </w:tcPr>
          <w:p w14:paraId="49C20C53"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099CC5E1" w14:textId="77777777" w:rsidTr="009B4355">
        <w:trPr>
          <w:trHeight w:val="20"/>
        </w:trPr>
        <w:tc>
          <w:tcPr>
            <w:tcW w:w="4390" w:type="dxa"/>
          </w:tcPr>
          <w:p w14:paraId="5275E9B5" w14:textId="77777777" w:rsidR="003246FC" w:rsidRPr="003A6336" w:rsidRDefault="003246FC" w:rsidP="009B4355">
            <w:pPr>
              <w:rPr>
                <w:rFonts w:ascii="Aptos" w:hAnsi="Aptos"/>
              </w:rPr>
            </w:pPr>
            <w:r w:rsidRPr="6D03A27B">
              <w:rPr>
                <w:rFonts w:ascii="Aptos" w:eastAsia="Segoe UI" w:hAnsi="Aptos" w:cs="Segoe UI"/>
                <w:color w:val="0F1115"/>
              </w:rPr>
              <w:t>African States</w:t>
            </w:r>
          </w:p>
        </w:tc>
        <w:tc>
          <w:tcPr>
            <w:tcW w:w="4960" w:type="dxa"/>
          </w:tcPr>
          <w:p w14:paraId="10939A8D"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06BA82DF" w14:textId="77777777" w:rsidTr="009B4355">
        <w:trPr>
          <w:trHeight w:val="20"/>
        </w:trPr>
        <w:tc>
          <w:tcPr>
            <w:tcW w:w="4390" w:type="dxa"/>
          </w:tcPr>
          <w:p w14:paraId="5E5FF41F" w14:textId="77777777" w:rsidR="003246FC" w:rsidRPr="003A6336" w:rsidRDefault="003246FC" w:rsidP="009B4355">
            <w:pPr>
              <w:rPr>
                <w:rFonts w:ascii="Aptos" w:hAnsi="Aptos"/>
              </w:rPr>
            </w:pPr>
            <w:r w:rsidRPr="6D03A27B">
              <w:rPr>
                <w:rFonts w:ascii="Aptos" w:eastAsia="Segoe UI" w:hAnsi="Aptos" w:cs="Segoe UI"/>
                <w:color w:val="0F1115"/>
              </w:rPr>
              <w:t>Asia-Pacific States</w:t>
            </w:r>
          </w:p>
        </w:tc>
        <w:tc>
          <w:tcPr>
            <w:tcW w:w="4960" w:type="dxa"/>
          </w:tcPr>
          <w:p w14:paraId="2225299F"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12AE9E08" w14:textId="77777777" w:rsidTr="009B4355">
        <w:trPr>
          <w:trHeight w:val="20"/>
        </w:trPr>
        <w:tc>
          <w:tcPr>
            <w:tcW w:w="4390" w:type="dxa"/>
          </w:tcPr>
          <w:p w14:paraId="3C3B4AC7" w14:textId="77777777" w:rsidR="003246FC" w:rsidRPr="003A6336" w:rsidRDefault="003246FC" w:rsidP="009B4355">
            <w:pPr>
              <w:rPr>
                <w:rFonts w:ascii="Aptos" w:hAnsi="Aptos"/>
              </w:rPr>
            </w:pPr>
            <w:r w:rsidRPr="6D03A27B">
              <w:rPr>
                <w:rFonts w:ascii="Aptos" w:eastAsia="Segoe UI" w:hAnsi="Aptos" w:cs="Segoe UI"/>
                <w:color w:val="0F1115"/>
              </w:rPr>
              <w:t>Latin American and Caribbean States</w:t>
            </w:r>
          </w:p>
        </w:tc>
        <w:tc>
          <w:tcPr>
            <w:tcW w:w="4960" w:type="dxa"/>
          </w:tcPr>
          <w:p w14:paraId="49B07CC0"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5624D8D9" w14:textId="77777777" w:rsidTr="009B4355">
        <w:trPr>
          <w:trHeight w:val="20"/>
        </w:trPr>
        <w:tc>
          <w:tcPr>
            <w:tcW w:w="4390" w:type="dxa"/>
          </w:tcPr>
          <w:p w14:paraId="4FF148EF" w14:textId="77777777" w:rsidR="003246FC" w:rsidRPr="003A6336" w:rsidRDefault="003246FC" w:rsidP="009B4355">
            <w:pPr>
              <w:rPr>
                <w:rFonts w:ascii="Aptos" w:hAnsi="Aptos"/>
              </w:rPr>
            </w:pPr>
            <w:r w:rsidRPr="6D03A27B">
              <w:rPr>
                <w:rFonts w:ascii="Aptos" w:eastAsia="Segoe UI" w:hAnsi="Aptos" w:cs="Segoe UI"/>
                <w:color w:val="0F1115"/>
              </w:rPr>
              <w:t>Eastern European States</w:t>
            </w:r>
          </w:p>
        </w:tc>
        <w:tc>
          <w:tcPr>
            <w:tcW w:w="4960" w:type="dxa"/>
          </w:tcPr>
          <w:p w14:paraId="7687E338"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4C5A07ED" w14:textId="77777777" w:rsidTr="009B4355">
        <w:trPr>
          <w:trHeight w:val="20"/>
        </w:trPr>
        <w:tc>
          <w:tcPr>
            <w:tcW w:w="4390" w:type="dxa"/>
          </w:tcPr>
          <w:p w14:paraId="5E9FE043" w14:textId="77777777" w:rsidR="003246FC" w:rsidRPr="003A6336" w:rsidRDefault="003246FC" w:rsidP="009B4355">
            <w:pPr>
              <w:rPr>
                <w:rFonts w:ascii="Aptos" w:hAnsi="Aptos"/>
              </w:rPr>
            </w:pPr>
            <w:r w:rsidRPr="6D03A27B">
              <w:rPr>
                <w:rFonts w:ascii="Aptos" w:eastAsia="Segoe UI" w:hAnsi="Aptos" w:cs="Segoe UI"/>
                <w:color w:val="0F1115"/>
              </w:rPr>
              <w:t>Western European and other States</w:t>
            </w:r>
          </w:p>
        </w:tc>
        <w:tc>
          <w:tcPr>
            <w:tcW w:w="4960" w:type="dxa"/>
          </w:tcPr>
          <w:p w14:paraId="366B459A"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21057644" w14:textId="77777777" w:rsidTr="009B4355">
        <w:trPr>
          <w:trHeight w:val="20"/>
        </w:trPr>
        <w:tc>
          <w:tcPr>
            <w:tcW w:w="4390" w:type="dxa"/>
          </w:tcPr>
          <w:p w14:paraId="34EEE6EA" w14:textId="77777777" w:rsidR="003246FC" w:rsidRPr="003A6336" w:rsidRDefault="003246FC" w:rsidP="009B4355">
            <w:pPr>
              <w:rPr>
                <w:rFonts w:ascii="Aptos" w:hAnsi="Aptos"/>
              </w:rPr>
            </w:pPr>
            <w:r w:rsidRPr="003A6336">
              <w:rPr>
                <w:rFonts w:ascii="Aptos" w:eastAsia="Segoe UI" w:hAnsi="Aptos" w:cs="Segoe UI"/>
                <w:color w:val="0F1115"/>
              </w:rPr>
              <w:t>Party count: 19</w:t>
            </w:r>
          </w:p>
        </w:tc>
        <w:tc>
          <w:tcPr>
            <w:tcW w:w="4960" w:type="dxa"/>
          </w:tcPr>
          <w:p w14:paraId="4C1D745A" w14:textId="77777777" w:rsidR="003246FC" w:rsidRPr="003A6336" w:rsidRDefault="003246FC" w:rsidP="009B4355">
            <w:pPr>
              <w:rPr>
                <w:rFonts w:ascii="Aptos" w:hAnsi="Aptos"/>
              </w:rPr>
            </w:pPr>
            <w:r w:rsidRPr="006633C0">
              <w:rPr>
                <w:rFonts w:ascii="Aptos" w:hAnsi="Aptos"/>
              </w:rPr>
              <w:t>Nombre de Parties : 19</w:t>
            </w:r>
          </w:p>
        </w:tc>
      </w:tr>
      <w:tr w:rsidR="003246FC" w:rsidRPr="003A6336" w14:paraId="71F0CCB7" w14:textId="77777777" w:rsidTr="009B4355">
        <w:trPr>
          <w:trHeight w:val="20"/>
        </w:trPr>
        <w:tc>
          <w:tcPr>
            <w:tcW w:w="4390" w:type="dxa"/>
          </w:tcPr>
          <w:p w14:paraId="6996D2D0" w14:textId="77777777" w:rsidR="003246FC" w:rsidRPr="003A6336" w:rsidRDefault="003246FC" w:rsidP="009B4355">
            <w:pPr>
              <w:rPr>
                <w:rFonts w:ascii="Aptos" w:hAnsi="Aptos"/>
              </w:rPr>
            </w:pPr>
            <w:r w:rsidRPr="003A6336">
              <w:rPr>
                <w:rFonts w:ascii="Aptos" w:eastAsia="Segoe UI" w:hAnsi="Aptos" w:cs="Segoe UI"/>
                <w:color w:val="0F1115"/>
              </w:rPr>
              <w:t>Party count: 8</w:t>
            </w:r>
          </w:p>
        </w:tc>
        <w:tc>
          <w:tcPr>
            <w:tcW w:w="4960" w:type="dxa"/>
          </w:tcPr>
          <w:p w14:paraId="5A2253AC" w14:textId="77777777" w:rsidR="003246FC" w:rsidRPr="003A6336" w:rsidRDefault="003246FC" w:rsidP="009B4355">
            <w:pPr>
              <w:rPr>
                <w:rFonts w:ascii="Aptos" w:hAnsi="Aptos"/>
              </w:rPr>
            </w:pPr>
            <w:r w:rsidRPr="003A6336">
              <w:rPr>
                <w:rFonts w:ascii="Aptos" w:eastAsia="Segoe UI" w:hAnsi="Aptos" w:cs="Segoe UI"/>
                <w:color w:val="0F1115"/>
              </w:rPr>
              <w:t xml:space="preserve"> </w:t>
            </w:r>
            <w:r w:rsidRPr="006633C0">
              <w:rPr>
                <w:rFonts w:ascii="Aptos" w:eastAsia="Segoe UI" w:hAnsi="Aptos" w:cs="Segoe UI"/>
                <w:color w:val="0F1115"/>
              </w:rPr>
              <w:t>Nombre de Parties :</w:t>
            </w:r>
            <w:r>
              <w:rPr>
                <w:rFonts w:ascii="Aptos" w:eastAsia="Segoe UI" w:hAnsi="Aptos" w:cs="Segoe UI"/>
                <w:color w:val="0F1115"/>
              </w:rPr>
              <w:t>8</w:t>
            </w:r>
          </w:p>
        </w:tc>
      </w:tr>
    </w:tbl>
    <w:p w14:paraId="11CFA5CD" w14:textId="79DFCC44" w:rsidR="00F235D3" w:rsidRPr="00653BF4" w:rsidRDefault="00F235D3" w:rsidP="009D0486">
      <w:pPr>
        <w:pStyle w:val="Caption"/>
        <w:rPr>
          <w:rFonts w:ascii="Aptos" w:hAnsi="Aptos"/>
          <w:lang w:val="fr-FR"/>
        </w:rPr>
      </w:pPr>
    </w:p>
    <w:p w14:paraId="0B2A4091" w14:textId="6B77593E" w:rsidR="0090144F" w:rsidRPr="00653BF4" w:rsidRDefault="0090144F" w:rsidP="0090144F">
      <w:pPr>
        <w:rPr>
          <w:rFonts w:ascii="Aptos" w:hAnsi="Aptos"/>
          <w:sz w:val="20"/>
          <w:szCs w:val="20"/>
          <w:lang w:val="fr-FR"/>
        </w:rPr>
      </w:pPr>
      <w:r w:rsidRPr="00653BF4">
        <w:rPr>
          <w:sz w:val="20"/>
          <w:szCs w:val="20"/>
          <w:lang w:val="fr-FR"/>
        </w:rPr>
        <w:lastRenderedPageBreak/>
        <w:t xml:space="preserve">Figure </w:t>
      </w:r>
      <w:r w:rsidRPr="00653BF4">
        <w:rPr>
          <w:noProof/>
          <w:sz w:val="20"/>
          <w:szCs w:val="20"/>
          <w:lang w:val="fr-FR"/>
        </w:rPr>
        <w:t>22</w:t>
      </w:r>
      <w:r w:rsidRPr="00653BF4">
        <w:rPr>
          <w:rFonts w:ascii="Aptos" w:hAnsi="Aptos"/>
          <w:sz w:val="20"/>
          <w:szCs w:val="20"/>
          <w:lang w:val="fr-FR"/>
        </w:rPr>
        <w:t xml:space="preserve"> </w:t>
      </w:r>
    </w:p>
    <w:p w14:paraId="38768CE1" w14:textId="76E04D06" w:rsidR="0090144F" w:rsidRDefault="00674E4A" w:rsidP="0090144F">
      <w:pPr>
        <w:rPr>
          <w:rFonts w:ascii="Aptos" w:hAnsi="Aptos"/>
          <w:b/>
          <w:bCs/>
          <w:sz w:val="20"/>
          <w:szCs w:val="20"/>
          <w:lang w:val="fr-FR"/>
        </w:rPr>
      </w:pPr>
      <w:r w:rsidRPr="00653BF4">
        <w:rPr>
          <w:rFonts w:ascii="Aptos" w:hAnsi="Aptos"/>
          <w:b/>
          <w:bCs/>
          <w:sz w:val="20"/>
          <w:szCs w:val="20"/>
          <w:lang w:val="fr-FR"/>
        </w:rPr>
        <w:t xml:space="preserve">Pourcentage d’indicateurs alignés sur la </w:t>
      </w:r>
      <w:r w:rsidR="00E34DC9">
        <w:rPr>
          <w:rFonts w:ascii="Aptos" w:hAnsi="Aptos"/>
          <w:b/>
          <w:bCs/>
          <w:sz w:val="20"/>
          <w:szCs w:val="20"/>
          <w:lang w:val="fr-FR"/>
        </w:rPr>
        <w:t>cible 4</w:t>
      </w:r>
      <w:r w:rsidRPr="00653BF4">
        <w:rPr>
          <w:rFonts w:ascii="Aptos" w:hAnsi="Aptos"/>
          <w:b/>
          <w:bCs/>
          <w:sz w:val="20"/>
          <w:szCs w:val="20"/>
          <w:lang w:val="fr-FR"/>
        </w:rPr>
        <w:t xml:space="preserve"> du Cadre, selon qu’ils indiquent une tendance positive, stable ou négative</w:t>
      </w:r>
    </w:p>
    <w:p w14:paraId="35D686B2" w14:textId="0C60227A" w:rsidR="00A26DC5" w:rsidRPr="00653BF4" w:rsidRDefault="00F235D3" w:rsidP="009B7444">
      <w:pPr>
        <w:pStyle w:val="Caption"/>
        <w:rPr>
          <w:rFonts w:ascii="Aptos" w:hAnsi="Aptos"/>
          <w:i w:val="0"/>
          <w:lang w:val="fr-FR"/>
        </w:rPr>
      </w:pPr>
      <w:r w:rsidRPr="00653BF4">
        <w:rPr>
          <w:rFonts w:ascii="Aptos" w:hAnsi="Aptos"/>
          <w:i w:val="0"/>
          <w:lang w:val="fr-FR"/>
        </w:rPr>
        <w:t xml:space="preserve"> </w:t>
      </w:r>
      <w:bookmarkStart w:id="127" w:name="_Ref230979439"/>
      <w:r w:rsidR="00135E05" w:rsidRPr="00653BF4">
        <w:rPr>
          <w:noProof/>
          <w:lang w:val="fr-FR"/>
          <w14:ligatures w14:val="standardContextual"/>
        </w:rPr>
        <w:drawing>
          <wp:inline distT="0" distB="0" distL="0" distR="0" wp14:anchorId="74C50207" wp14:editId="0439D772">
            <wp:extent cx="5731510" cy="2456180"/>
            <wp:effectExtent l="0" t="0" r="0" b="0"/>
            <wp:docPr id="21112164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16470" name="Picture 2111216470"/>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127"/>
    <w:p w14:paraId="5209DB0F" w14:textId="60922C4F" w:rsidR="00EE7063" w:rsidRPr="00653BF4" w:rsidRDefault="006A631C" w:rsidP="00EE7063">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00EE7063" w:rsidRPr="00653BF4">
        <w:rPr>
          <w:rFonts w:ascii="Aptos" w:hAnsi="Aptos"/>
          <w:i w:val="0"/>
          <w:iCs w:val="0"/>
          <w:lang w:val="fr-FR"/>
        </w:rPr>
        <w:t xml:space="preserve"> </w:t>
      </w:r>
      <w:r w:rsidR="00EE46BD" w:rsidRPr="00653BF4">
        <w:rPr>
          <w:rFonts w:ascii="Aptos" w:hAnsi="Aptos"/>
          <w:i w:val="0"/>
          <w:iCs w:val="0"/>
          <w:lang w:val="fr-FR"/>
        </w:rPr>
        <w:t xml:space="preserve">Les proportions sont pondérées par Partie. Les tendances incluent les données relatives à 2 </w:t>
      </w:r>
      <w:r w:rsidR="00163FDD" w:rsidRPr="00653BF4">
        <w:rPr>
          <w:rFonts w:ascii="Aptos" w:hAnsi="Aptos"/>
          <w:i w:val="0"/>
          <w:iCs w:val="0"/>
          <w:lang w:val="fr-FR"/>
        </w:rPr>
        <w:t>indicateurs phares</w:t>
      </w:r>
      <w:r w:rsidR="00EE46BD" w:rsidRPr="00653BF4">
        <w:rPr>
          <w:rFonts w:ascii="Aptos" w:hAnsi="Aptos"/>
          <w:i w:val="0"/>
          <w:iCs w:val="0"/>
          <w:lang w:val="fr-FR"/>
        </w:rPr>
        <w:t xml:space="preserve"> provenant de 84 Parties, ainsi qu</w:t>
      </w:r>
      <w:r w:rsidR="002A58C8" w:rsidRPr="00653BF4">
        <w:rPr>
          <w:rFonts w:ascii="Aptos" w:hAnsi="Aptos"/>
          <w:i w:val="0"/>
          <w:iCs w:val="0"/>
          <w:lang w:val="fr-FR"/>
        </w:rPr>
        <w:t>’</w:t>
      </w:r>
      <w:r w:rsidR="00EE46BD" w:rsidRPr="00653BF4">
        <w:rPr>
          <w:rFonts w:ascii="Aptos" w:hAnsi="Aptos"/>
          <w:i w:val="0"/>
          <w:iCs w:val="0"/>
          <w:lang w:val="fr-FR"/>
        </w:rPr>
        <w:t xml:space="preserve">à 4 indicateurs de composante, 1 indicateur complémentaire et 76 indicateurs nationaux provenant de 25 Parties au total. Le diagramme circulaire présente la répartition, par région, des Parties ayant présenté des indicateurs pour la </w:t>
      </w:r>
      <w:r w:rsidR="00E34DC9">
        <w:rPr>
          <w:rFonts w:ascii="Aptos" w:hAnsi="Aptos"/>
          <w:i w:val="0"/>
          <w:iCs w:val="0"/>
          <w:lang w:val="fr-FR"/>
        </w:rPr>
        <w:t>cible 4</w:t>
      </w:r>
      <w:r w:rsidR="00EE46BD" w:rsidRPr="00653BF4">
        <w:rPr>
          <w:rFonts w:ascii="Aptos" w:hAnsi="Aptos"/>
          <w:i w:val="0"/>
          <w:iCs w:val="0"/>
          <w:lang w:val="fr-FR"/>
        </w:rPr>
        <w:t xml:space="preserve">. </w:t>
      </w:r>
      <w:r w:rsidR="00370AE0" w:rsidRPr="00653BF4">
        <w:rPr>
          <w:rFonts w:ascii="Aptos" w:hAnsi="Aptos"/>
          <w:i w:val="0"/>
          <w:iCs w:val="0"/>
          <w:lang w:val="fr-FR"/>
        </w:rPr>
        <w:t>La couleur de chaque région est indiquée dans la légende de la figure</w:t>
      </w:r>
      <w:r w:rsidR="00E34DC9">
        <w:rPr>
          <w:rFonts w:ascii="Aptos" w:hAnsi="Aptos"/>
          <w:i w:val="0"/>
          <w:iCs w:val="0"/>
          <w:lang w:val="fr-FR"/>
        </w:rPr>
        <w:t> :</w:t>
      </w:r>
      <w:r w:rsidR="00370AE0"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370AE0" w:rsidRPr="00653BF4">
        <w:rPr>
          <w:rFonts w:ascii="Aptos" w:hAnsi="Aptos"/>
          <w:i w:val="0"/>
          <w:iCs w:val="0"/>
          <w:lang w:val="fr-FR"/>
        </w:rPr>
        <w:t xml:space="preserve"> les tons plus clairs, la proportion de Parties de la même région dont les données n’y figurent pas.</w:t>
      </w:r>
    </w:p>
    <w:tbl>
      <w:tblPr>
        <w:tblStyle w:val="TableGrid"/>
        <w:tblW w:w="0" w:type="auto"/>
        <w:tblLook w:val="06A0" w:firstRow="1" w:lastRow="0" w:firstColumn="1" w:lastColumn="0" w:noHBand="1" w:noVBand="1"/>
      </w:tblPr>
      <w:tblGrid>
        <w:gridCol w:w="4060"/>
        <w:gridCol w:w="4545"/>
      </w:tblGrid>
      <w:tr w:rsidR="003246FC" w:rsidRPr="003A6336" w14:paraId="4F9A24F4" w14:textId="77777777" w:rsidTr="009B4355">
        <w:tc>
          <w:tcPr>
            <w:tcW w:w="0" w:type="auto"/>
            <w:gridSpan w:val="2"/>
          </w:tcPr>
          <w:p w14:paraId="3754E9CD" w14:textId="77777777" w:rsidR="003246FC" w:rsidRPr="003A6336" w:rsidRDefault="003246FC" w:rsidP="009B4355">
            <w:pPr>
              <w:rPr>
                <w:rFonts w:ascii="Aptos" w:eastAsia="Segoe UI" w:hAnsi="Aptos" w:cs="Segoe UI"/>
                <w:color w:val="0F1115"/>
              </w:rPr>
            </w:pPr>
            <w:r>
              <w:rPr>
                <w:rFonts w:ascii="Aptos" w:eastAsia="Segoe UI" w:hAnsi="Aptos" w:cs="Segoe UI"/>
                <w:color w:val="0F1115"/>
              </w:rPr>
              <w:t>Figure 22</w:t>
            </w:r>
          </w:p>
        </w:tc>
      </w:tr>
      <w:tr w:rsidR="003246FC" w:rsidRPr="003A6336" w14:paraId="0E4E0E7D" w14:textId="77777777" w:rsidTr="009B4355">
        <w:tc>
          <w:tcPr>
            <w:tcW w:w="0" w:type="auto"/>
          </w:tcPr>
          <w:p w14:paraId="6788896B" w14:textId="77777777" w:rsidR="003246FC" w:rsidRPr="003A6336" w:rsidRDefault="003246FC" w:rsidP="009B4355">
            <w:pPr>
              <w:rPr>
                <w:rFonts w:ascii="Aptos" w:hAnsi="Aptos"/>
              </w:rPr>
            </w:pPr>
            <w:r w:rsidRPr="6D03A27B">
              <w:rPr>
                <w:rFonts w:ascii="Aptos" w:eastAsia="Segoe UI" w:hAnsi="Aptos" w:cs="Segoe UI"/>
                <w:color w:val="0F1115"/>
              </w:rPr>
              <w:t xml:space="preserve">English </w:t>
            </w:r>
          </w:p>
        </w:tc>
        <w:tc>
          <w:tcPr>
            <w:tcW w:w="0" w:type="auto"/>
          </w:tcPr>
          <w:p w14:paraId="7C0CB378" w14:textId="77777777" w:rsidR="003246FC" w:rsidRPr="003A6336" w:rsidRDefault="003246FC" w:rsidP="009B4355">
            <w:pPr>
              <w:rPr>
                <w:rFonts w:ascii="Aptos" w:hAnsi="Aptos"/>
              </w:rPr>
            </w:pPr>
            <w:r>
              <w:rPr>
                <w:rFonts w:ascii="Aptos" w:eastAsia="Segoe UI" w:hAnsi="Aptos" w:cs="Segoe UI"/>
                <w:color w:val="0F1115"/>
              </w:rPr>
              <w:t>Français</w:t>
            </w:r>
          </w:p>
        </w:tc>
      </w:tr>
      <w:tr w:rsidR="003246FC" w:rsidRPr="003A6336" w14:paraId="5ECDF31B" w14:textId="77777777" w:rsidTr="009B4355">
        <w:tc>
          <w:tcPr>
            <w:tcW w:w="0" w:type="auto"/>
          </w:tcPr>
          <w:p w14:paraId="638E89AE"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0" w:type="auto"/>
          </w:tcPr>
          <w:p w14:paraId="6E44C1DB"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2F04D310" w14:textId="77777777" w:rsidTr="009B4355">
        <w:tc>
          <w:tcPr>
            <w:tcW w:w="0" w:type="auto"/>
          </w:tcPr>
          <w:p w14:paraId="1DF43917" w14:textId="77777777" w:rsidR="003246FC" w:rsidRPr="003A6336" w:rsidRDefault="003246FC" w:rsidP="009B4355">
            <w:pPr>
              <w:rPr>
                <w:rFonts w:ascii="Aptos" w:hAnsi="Aptos"/>
              </w:rPr>
            </w:pPr>
            <w:r w:rsidRPr="6D03A27B">
              <w:rPr>
                <w:rFonts w:ascii="Aptos" w:eastAsia="Segoe UI" w:hAnsi="Aptos" w:cs="Segoe UI"/>
                <w:color w:val="0F1115"/>
              </w:rPr>
              <w:t>African States</w:t>
            </w:r>
          </w:p>
        </w:tc>
        <w:tc>
          <w:tcPr>
            <w:tcW w:w="0" w:type="auto"/>
          </w:tcPr>
          <w:p w14:paraId="3D3ED882"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5A569527" w14:textId="77777777" w:rsidTr="009B4355">
        <w:tc>
          <w:tcPr>
            <w:tcW w:w="0" w:type="auto"/>
          </w:tcPr>
          <w:p w14:paraId="6721CC80" w14:textId="77777777" w:rsidR="003246FC" w:rsidRPr="003A6336" w:rsidRDefault="003246FC" w:rsidP="009B4355">
            <w:pPr>
              <w:rPr>
                <w:rFonts w:ascii="Aptos" w:hAnsi="Aptos"/>
              </w:rPr>
            </w:pPr>
            <w:r w:rsidRPr="6D03A27B">
              <w:rPr>
                <w:rFonts w:ascii="Aptos" w:eastAsia="Segoe UI" w:hAnsi="Aptos" w:cs="Segoe UI"/>
                <w:color w:val="0F1115"/>
              </w:rPr>
              <w:t>Asia- Pacific States</w:t>
            </w:r>
          </w:p>
        </w:tc>
        <w:tc>
          <w:tcPr>
            <w:tcW w:w="0" w:type="auto"/>
          </w:tcPr>
          <w:p w14:paraId="16AF337A"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3639EB43" w14:textId="77777777" w:rsidTr="009B4355">
        <w:tc>
          <w:tcPr>
            <w:tcW w:w="0" w:type="auto"/>
          </w:tcPr>
          <w:p w14:paraId="46A4DE19" w14:textId="77777777" w:rsidR="003246FC" w:rsidRPr="003A6336" w:rsidRDefault="003246FC" w:rsidP="009B4355">
            <w:pPr>
              <w:rPr>
                <w:rFonts w:ascii="Aptos" w:hAnsi="Aptos"/>
              </w:rPr>
            </w:pPr>
            <w:r w:rsidRPr="6D03A27B">
              <w:rPr>
                <w:rFonts w:ascii="Aptos" w:eastAsia="Segoe UI" w:hAnsi="Aptos" w:cs="Segoe UI"/>
                <w:color w:val="0F1115"/>
              </w:rPr>
              <w:t>Latin American and Caribbean States</w:t>
            </w:r>
          </w:p>
        </w:tc>
        <w:tc>
          <w:tcPr>
            <w:tcW w:w="0" w:type="auto"/>
          </w:tcPr>
          <w:p w14:paraId="3DE93242"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17637403" w14:textId="77777777" w:rsidTr="009B4355">
        <w:tc>
          <w:tcPr>
            <w:tcW w:w="0" w:type="auto"/>
          </w:tcPr>
          <w:p w14:paraId="670348A6" w14:textId="77777777" w:rsidR="003246FC" w:rsidRPr="003A6336" w:rsidRDefault="003246FC" w:rsidP="009B4355">
            <w:pPr>
              <w:rPr>
                <w:rFonts w:ascii="Aptos" w:hAnsi="Aptos"/>
              </w:rPr>
            </w:pPr>
            <w:r>
              <w:rPr>
                <w:rFonts w:ascii="Aptos" w:eastAsia="Segoe UI" w:hAnsi="Aptos" w:cs="Segoe UI"/>
                <w:color w:val="0F1115"/>
              </w:rPr>
              <w:t>Eastern</w:t>
            </w:r>
            <w:r w:rsidRPr="6D03A27B">
              <w:rPr>
                <w:rFonts w:ascii="Aptos" w:eastAsia="Segoe UI" w:hAnsi="Aptos" w:cs="Segoe UI"/>
                <w:color w:val="0F1115"/>
              </w:rPr>
              <w:t xml:space="preserve"> European States</w:t>
            </w:r>
          </w:p>
        </w:tc>
        <w:tc>
          <w:tcPr>
            <w:tcW w:w="0" w:type="auto"/>
          </w:tcPr>
          <w:p w14:paraId="0406E3F2"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1D2402C3" w14:textId="77777777" w:rsidTr="009B4355">
        <w:tc>
          <w:tcPr>
            <w:tcW w:w="0" w:type="auto"/>
          </w:tcPr>
          <w:p w14:paraId="5D665A4D" w14:textId="77777777" w:rsidR="003246FC" w:rsidRPr="003A6336" w:rsidRDefault="003246FC" w:rsidP="009B4355">
            <w:pPr>
              <w:rPr>
                <w:rFonts w:ascii="Aptos" w:hAnsi="Aptos"/>
              </w:rPr>
            </w:pPr>
            <w:r w:rsidRPr="6D03A27B">
              <w:rPr>
                <w:rFonts w:ascii="Aptos" w:eastAsia="Segoe UI" w:hAnsi="Aptos" w:cs="Segoe UI"/>
                <w:color w:val="0F1115"/>
              </w:rPr>
              <w:t>Western European and other States</w:t>
            </w:r>
          </w:p>
        </w:tc>
        <w:tc>
          <w:tcPr>
            <w:tcW w:w="0" w:type="auto"/>
          </w:tcPr>
          <w:p w14:paraId="3AA31331"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57425B98" w14:textId="77777777" w:rsidTr="009B4355">
        <w:tc>
          <w:tcPr>
            <w:tcW w:w="0" w:type="auto"/>
          </w:tcPr>
          <w:p w14:paraId="098AC304" w14:textId="77777777" w:rsidR="003246FC" w:rsidRPr="003A6336" w:rsidRDefault="003246FC" w:rsidP="009B4355">
            <w:pPr>
              <w:rPr>
                <w:rFonts w:ascii="Aptos" w:hAnsi="Aptos"/>
              </w:rPr>
            </w:pPr>
            <w:r w:rsidRPr="003A6336">
              <w:rPr>
                <w:rFonts w:ascii="Aptos" w:eastAsia="Segoe UI" w:hAnsi="Aptos" w:cs="Segoe UI"/>
                <w:color w:val="0F1115"/>
              </w:rPr>
              <w:t>Proportion</w:t>
            </w:r>
          </w:p>
        </w:tc>
        <w:tc>
          <w:tcPr>
            <w:tcW w:w="0" w:type="auto"/>
          </w:tcPr>
          <w:p w14:paraId="2B683191" w14:textId="77777777" w:rsidR="003246FC" w:rsidRPr="003A6336" w:rsidRDefault="003246FC" w:rsidP="009B4355">
            <w:pPr>
              <w:rPr>
                <w:rFonts w:ascii="Aptos" w:hAnsi="Aptos"/>
              </w:rPr>
            </w:pPr>
            <w:r w:rsidRPr="006F7AF8">
              <w:rPr>
                <w:rFonts w:ascii="Aptos" w:hAnsi="Aptos"/>
                <w:lang w:val="fr-FR"/>
              </w:rPr>
              <w:t>Proportion</w:t>
            </w:r>
          </w:p>
        </w:tc>
      </w:tr>
      <w:tr w:rsidR="003246FC" w:rsidRPr="003A6336" w14:paraId="71E78328" w14:textId="77777777" w:rsidTr="009B4355">
        <w:tc>
          <w:tcPr>
            <w:tcW w:w="0" w:type="auto"/>
          </w:tcPr>
          <w:p w14:paraId="27C0C0D8" w14:textId="77777777" w:rsidR="003246FC" w:rsidRPr="003A6336" w:rsidRDefault="003246FC" w:rsidP="009B4355">
            <w:pPr>
              <w:rPr>
                <w:rFonts w:ascii="Aptos" w:hAnsi="Aptos"/>
              </w:rPr>
            </w:pPr>
            <w:r w:rsidRPr="003A6336">
              <w:rPr>
                <w:rFonts w:ascii="Aptos" w:eastAsia="Segoe UI" w:hAnsi="Aptos" w:cs="Segoe UI"/>
                <w:color w:val="0F1115"/>
              </w:rPr>
              <w:t>Current Status</w:t>
            </w:r>
          </w:p>
        </w:tc>
        <w:tc>
          <w:tcPr>
            <w:tcW w:w="0" w:type="auto"/>
          </w:tcPr>
          <w:p w14:paraId="28B2E427" w14:textId="77777777" w:rsidR="003246FC" w:rsidRPr="003A6336" w:rsidRDefault="003246FC" w:rsidP="009B4355">
            <w:pPr>
              <w:rPr>
                <w:rFonts w:ascii="Aptos" w:hAnsi="Aptos"/>
              </w:rPr>
            </w:pPr>
            <w:r w:rsidRPr="006F7AF8">
              <w:rPr>
                <w:rFonts w:ascii="Aptos" w:hAnsi="Aptos"/>
                <w:lang w:val="fr-FR"/>
              </w:rPr>
              <w:t>État actuel</w:t>
            </w:r>
          </w:p>
        </w:tc>
      </w:tr>
      <w:tr w:rsidR="003246FC" w:rsidRPr="003A6336" w14:paraId="7EB681EE" w14:textId="77777777" w:rsidTr="009B4355">
        <w:tc>
          <w:tcPr>
            <w:tcW w:w="0" w:type="auto"/>
          </w:tcPr>
          <w:p w14:paraId="599F9150" w14:textId="77777777" w:rsidR="003246FC" w:rsidRPr="003A6336" w:rsidRDefault="003246FC" w:rsidP="009B4355">
            <w:pPr>
              <w:rPr>
                <w:rFonts w:ascii="Aptos" w:hAnsi="Aptos"/>
              </w:rPr>
            </w:pPr>
            <w:r w:rsidRPr="003A6336">
              <w:rPr>
                <w:rFonts w:ascii="Aptos" w:eastAsia="Segoe UI" w:hAnsi="Aptos" w:cs="Segoe UI"/>
                <w:color w:val="0F1115"/>
              </w:rPr>
              <w:t>improving</w:t>
            </w:r>
          </w:p>
        </w:tc>
        <w:tc>
          <w:tcPr>
            <w:tcW w:w="0" w:type="auto"/>
          </w:tcPr>
          <w:p w14:paraId="59968699" w14:textId="77777777" w:rsidR="003246FC" w:rsidRPr="003A6336" w:rsidRDefault="003246FC" w:rsidP="009B4355">
            <w:pPr>
              <w:rPr>
                <w:rFonts w:ascii="Aptos" w:hAnsi="Aptos"/>
              </w:rPr>
            </w:pPr>
            <w:r>
              <w:rPr>
                <w:rFonts w:ascii="Aptos" w:hAnsi="Aptos"/>
                <w:lang w:val="fr-FR"/>
              </w:rPr>
              <w:t>amélioration</w:t>
            </w:r>
          </w:p>
        </w:tc>
      </w:tr>
      <w:tr w:rsidR="003246FC" w:rsidRPr="003A6336" w14:paraId="5A491871" w14:textId="77777777" w:rsidTr="009B4355">
        <w:tc>
          <w:tcPr>
            <w:tcW w:w="0" w:type="auto"/>
          </w:tcPr>
          <w:p w14:paraId="3AA38C4F" w14:textId="77777777" w:rsidR="003246FC" w:rsidRPr="003A6336" w:rsidRDefault="003246FC" w:rsidP="009B4355">
            <w:pPr>
              <w:rPr>
                <w:rFonts w:ascii="Aptos" w:hAnsi="Aptos"/>
              </w:rPr>
            </w:pPr>
            <w:r w:rsidRPr="003A6336">
              <w:rPr>
                <w:rFonts w:ascii="Aptos" w:eastAsia="Segoe UI" w:hAnsi="Aptos" w:cs="Segoe UI"/>
                <w:color w:val="0F1115"/>
              </w:rPr>
              <w:t>stable</w:t>
            </w:r>
          </w:p>
        </w:tc>
        <w:tc>
          <w:tcPr>
            <w:tcW w:w="0" w:type="auto"/>
          </w:tcPr>
          <w:p w14:paraId="2F4A8E7D" w14:textId="77777777" w:rsidR="003246FC" w:rsidRPr="003A6336" w:rsidRDefault="003246FC" w:rsidP="009B4355">
            <w:pPr>
              <w:rPr>
                <w:rFonts w:ascii="Aptos" w:hAnsi="Aptos"/>
              </w:rPr>
            </w:pPr>
            <w:r>
              <w:rPr>
                <w:rFonts w:ascii="Aptos" w:hAnsi="Aptos"/>
                <w:lang w:val="fr-FR"/>
              </w:rPr>
              <w:t>s</w:t>
            </w:r>
            <w:r w:rsidRPr="006F7AF8">
              <w:rPr>
                <w:rFonts w:ascii="Aptos" w:hAnsi="Aptos"/>
                <w:lang w:val="fr-FR"/>
              </w:rPr>
              <w:t>tab</w:t>
            </w:r>
            <w:r>
              <w:rPr>
                <w:rFonts w:ascii="Aptos" w:hAnsi="Aptos"/>
                <w:lang w:val="fr-FR"/>
              </w:rPr>
              <w:t>ilité</w:t>
            </w:r>
          </w:p>
        </w:tc>
      </w:tr>
      <w:tr w:rsidR="003246FC" w:rsidRPr="003A6336" w14:paraId="2D5270F5" w14:textId="77777777" w:rsidTr="009B4355">
        <w:tc>
          <w:tcPr>
            <w:tcW w:w="0" w:type="auto"/>
          </w:tcPr>
          <w:p w14:paraId="413B8862" w14:textId="77777777" w:rsidR="003246FC" w:rsidRPr="003A6336" w:rsidRDefault="003246FC" w:rsidP="009B4355">
            <w:pPr>
              <w:rPr>
                <w:rFonts w:ascii="Aptos" w:hAnsi="Aptos"/>
              </w:rPr>
            </w:pPr>
            <w:r w:rsidRPr="003A6336">
              <w:rPr>
                <w:rFonts w:ascii="Aptos" w:eastAsia="Segoe UI" w:hAnsi="Aptos" w:cs="Segoe UI"/>
                <w:color w:val="0F1115"/>
              </w:rPr>
              <w:t>moving away</w:t>
            </w:r>
          </w:p>
        </w:tc>
        <w:tc>
          <w:tcPr>
            <w:tcW w:w="0" w:type="auto"/>
          </w:tcPr>
          <w:p w14:paraId="23EBEF92" w14:textId="77777777" w:rsidR="003246FC" w:rsidRPr="003A6336" w:rsidRDefault="003246FC" w:rsidP="009B4355">
            <w:pPr>
              <w:rPr>
                <w:rFonts w:ascii="Aptos" w:hAnsi="Aptos"/>
              </w:rPr>
            </w:pPr>
            <w:r>
              <w:rPr>
                <w:rFonts w:ascii="Aptos" w:hAnsi="Aptos"/>
                <w:lang w:val="fr-FR"/>
              </w:rPr>
              <w:t>éloignement</w:t>
            </w:r>
          </w:p>
        </w:tc>
      </w:tr>
      <w:tr w:rsidR="003246FC" w:rsidRPr="003A6336" w14:paraId="3B03DABA" w14:textId="77777777" w:rsidTr="009B4355">
        <w:tc>
          <w:tcPr>
            <w:tcW w:w="0" w:type="auto"/>
          </w:tcPr>
          <w:p w14:paraId="4EC43454" w14:textId="77777777" w:rsidR="003246FC" w:rsidRPr="003A6336" w:rsidRDefault="003246FC" w:rsidP="009B4355">
            <w:pPr>
              <w:rPr>
                <w:rFonts w:ascii="Aptos" w:hAnsi="Aptos"/>
              </w:rPr>
            </w:pPr>
            <w:r w:rsidRPr="003A6336">
              <w:rPr>
                <w:rFonts w:ascii="Aptos" w:eastAsia="Segoe UI" w:hAnsi="Aptos" w:cs="Segoe UI"/>
                <w:color w:val="0F1115"/>
              </w:rPr>
              <w:t>Party count: 88</w:t>
            </w:r>
          </w:p>
        </w:tc>
        <w:tc>
          <w:tcPr>
            <w:tcW w:w="0" w:type="auto"/>
          </w:tcPr>
          <w:p w14:paraId="581865BD" w14:textId="77777777" w:rsidR="003246FC" w:rsidRPr="003A6336" w:rsidRDefault="003246FC" w:rsidP="009B4355">
            <w:pPr>
              <w:rPr>
                <w:rFonts w:ascii="Aptos" w:hAnsi="Aptos"/>
              </w:rPr>
            </w:pPr>
            <w:r w:rsidRPr="006F7AF8">
              <w:rPr>
                <w:rFonts w:ascii="Aptos" w:hAnsi="Aptos"/>
                <w:lang w:val="fr-FR"/>
              </w:rPr>
              <w:t xml:space="preserve">Nombre de Parties : </w:t>
            </w:r>
            <w:r>
              <w:rPr>
                <w:rFonts w:ascii="Aptos" w:hAnsi="Aptos"/>
                <w:lang w:val="fr-FR"/>
              </w:rPr>
              <w:t>88</w:t>
            </w:r>
          </w:p>
        </w:tc>
      </w:tr>
    </w:tbl>
    <w:p w14:paraId="19384503" w14:textId="77777777" w:rsidR="00F235D3" w:rsidRPr="00653BF4" w:rsidRDefault="00F235D3" w:rsidP="00F235D3">
      <w:pPr>
        <w:rPr>
          <w:lang w:val="fr-FR"/>
        </w:rPr>
      </w:pPr>
    </w:p>
    <w:p w14:paraId="307DF067" w14:textId="2903CBFB" w:rsidR="006E369A" w:rsidRPr="00653BF4" w:rsidRDefault="00DD19D2" w:rsidP="00E576B8">
      <w:pPr>
        <w:pStyle w:val="Heading5"/>
        <w:rPr>
          <w:lang w:val="fr-FR"/>
        </w:rPr>
      </w:pPr>
      <w:r w:rsidRPr="00653BF4">
        <w:rPr>
          <w:lang w:val="fr-FR"/>
        </w:rPr>
        <w:t>Auto-évaluation des progrès</w:t>
      </w:r>
      <w:r w:rsidR="00B11830" w:rsidRPr="00653BF4">
        <w:rPr>
          <w:lang w:val="fr-FR"/>
        </w:rPr>
        <w:t xml:space="preserve"> accomplis</w:t>
      </w:r>
    </w:p>
    <w:p w14:paraId="53A1373B" w14:textId="77777777" w:rsidR="00CA6060" w:rsidRPr="00653BF4" w:rsidRDefault="00CA6060" w:rsidP="00273B13">
      <w:pPr>
        <w:rPr>
          <w:lang w:val="fr-FR"/>
        </w:rPr>
      </w:pPr>
    </w:p>
    <w:p w14:paraId="3EE43E86" w14:textId="3E5A4331" w:rsidR="006834E3" w:rsidRPr="00653BF4" w:rsidRDefault="00853CE6" w:rsidP="00AE089E">
      <w:pPr>
        <w:pStyle w:val="Caption"/>
        <w:rPr>
          <w:lang w:val="fr-FR"/>
        </w:rPr>
      </w:pPr>
      <w:r w:rsidRPr="00653BF4">
        <w:rPr>
          <w:i w:val="0"/>
          <w:iCs w:val="0"/>
          <w:sz w:val="24"/>
          <w:szCs w:val="24"/>
          <w:lang w:val="fr-FR"/>
        </w:rPr>
        <w:lastRenderedPageBreak/>
        <w:t>D</w:t>
      </w:r>
      <w:r w:rsidR="002A58C8" w:rsidRPr="00653BF4">
        <w:rPr>
          <w:i w:val="0"/>
          <w:iCs w:val="0"/>
          <w:sz w:val="24"/>
          <w:szCs w:val="24"/>
          <w:lang w:val="fr-FR"/>
        </w:rPr>
        <w:t>’</w:t>
      </w:r>
      <w:r w:rsidRPr="00653BF4">
        <w:rPr>
          <w:i w:val="0"/>
          <w:iCs w:val="0"/>
          <w:sz w:val="24"/>
          <w:szCs w:val="24"/>
          <w:lang w:val="fr-FR"/>
        </w:rPr>
        <w:t>après l</w:t>
      </w:r>
      <w:r w:rsidR="002A58C8" w:rsidRPr="00653BF4">
        <w:rPr>
          <w:i w:val="0"/>
          <w:iCs w:val="0"/>
          <w:sz w:val="24"/>
          <w:szCs w:val="24"/>
          <w:lang w:val="fr-FR"/>
        </w:rPr>
        <w:t>’</w:t>
      </w:r>
      <w:r w:rsidRPr="00653BF4">
        <w:rPr>
          <w:i w:val="0"/>
          <w:iCs w:val="0"/>
          <w:sz w:val="24"/>
          <w:szCs w:val="24"/>
          <w:lang w:val="fr-FR"/>
        </w:rPr>
        <w:t>auto-évaluation réalisée par les Parties dans leurs rapports nationaux, 35</w:t>
      </w:r>
      <w:r w:rsidR="002878D7">
        <w:rPr>
          <w:i w:val="0"/>
          <w:iCs w:val="0"/>
          <w:sz w:val="24"/>
          <w:szCs w:val="24"/>
          <w:lang w:val="fr-FR"/>
        </w:rPr>
        <w:t> %</w:t>
      </w:r>
      <w:r w:rsidRPr="00653BF4">
        <w:rPr>
          <w:i w:val="0"/>
          <w:iCs w:val="0"/>
          <w:sz w:val="24"/>
          <w:szCs w:val="24"/>
          <w:lang w:val="fr-FR"/>
        </w:rPr>
        <w:t xml:space="preserve"> </w:t>
      </w:r>
      <w:r w:rsidR="00985A7A" w:rsidRPr="00653BF4">
        <w:rPr>
          <w:i w:val="0"/>
          <w:iCs w:val="0"/>
          <w:sz w:val="24"/>
          <w:szCs w:val="24"/>
          <w:lang w:val="fr-FR"/>
        </w:rPr>
        <w:t xml:space="preserve">des cibles nationales qu’elles ont présentées comme étroitement alignées sur la </w:t>
      </w:r>
      <w:r w:rsidR="00E34DC9">
        <w:rPr>
          <w:i w:val="0"/>
          <w:iCs w:val="0"/>
          <w:sz w:val="24"/>
          <w:szCs w:val="24"/>
          <w:lang w:val="fr-FR"/>
        </w:rPr>
        <w:t>cible 3</w:t>
      </w:r>
      <w:r w:rsidR="00985A7A" w:rsidRPr="00653BF4">
        <w:rPr>
          <w:i w:val="0"/>
          <w:iCs w:val="0"/>
          <w:sz w:val="24"/>
          <w:szCs w:val="24"/>
          <w:lang w:val="fr-FR"/>
        </w:rPr>
        <w:t xml:space="preserve"> sont en voie d’être atteintes,</w:t>
      </w:r>
      <w:r w:rsidRPr="00653BF4">
        <w:rPr>
          <w:i w:val="0"/>
          <w:iCs w:val="0"/>
          <w:sz w:val="24"/>
          <w:szCs w:val="24"/>
          <w:lang w:val="fr-FR"/>
        </w:rPr>
        <w:t xml:space="preserve"> 1</w:t>
      </w:r>
      <w:r w:rsidR="002878D7">
        <w:rPr>
          <w:i w:val="0"/>
          <w:iCs w:val="0"/>
          <w:sz w:val="24"/>
          <w:szCs w:val="24"/>
          <w:lang w:val="fr-FR"/>
        </w:rPr>
        <w:t> %</w:t>
      </w:r>
      <w:r w:rsidRPr="00653BF4">
        <w:rPr>
          <w:i w:val="0"/>
          <w:iCs w:val="0"/>
          <w:sz w:val="24"/>
          <w:szCs w:val="24"/>
          <w:lang w:val="fr-FR"/>
        </w:rPr>
        <w:t xml:space="preserve"> </w:t>
      </w:r>
      <w:r w:rsidR="00985A7A" w:rsidRPr="00653BF4">
        <w:rPr>
          <w:i w:val="0"/>
          <w:iCs w:val="0"/>
          <w:sz w:val="24"/>
          <w:szCs w:val="24"/>
          <w:lang w:val="fr-FR"/>
        </w:rPr>
        <w:t>le sont déjà</w:t>
      </w:r>
      <w:r w:rsidRPr="00653BF4">
        <w:rPr>
          <w:i w:val="0"/>
          <w:iCs w:val="0"/>
          <w:sz w:val="24"/>
          <w:szCs w:val="24"/>
          <w:lang w:val="fr-FR"/>
        </w:rPr>
        <w:t>, tandis que 59</w:t>
      </w:r>
      <w:r w:rsidR="002878D7">
        <w:rPr>
          <w:i w:val="0"/>
          <w:iCs w:val="0"/>
          <w:sz w:val="24"/>
          <w:szCs w:val="24"/>
          <w:lang w:val="fr-FR"/>
        </w:rPr>
        <w:t> %</w:t>
      </w:r>
      <w:r w:rsidRPr="00653BF4">
        <w:rPr>
          <w:i w:val="0"/>
          <w:iCs w:val="0"/>
          <w:sz w:val="24"/>
          <w:szCs w:val="24"/>
          <w:lang w:val="fr-FR"/>
        </w:rPr>
        <w:t xml:space="preserve"> </w:t>
      </w:r>
      <w:r w:rsidR="00462700" w:rsidRPr="00653BF4">
        <w:rPr>
          <w:i w:val="0"/>
          <w:iCs w:val="0"/>
          <w:sz w:val="24"/>
          <w:szCs w:val="24"/>
          <w:lang w:val="fr-FR"/>
        </w:rPr>
        <w:t>n’enregistre aucun progrès notable ou des progrès insuffisants</w:t>
      </w:r>
      <w:r w:rsidRPr="00653BF4">
        <w:rPr>
          <w:i w:val="0"/>
          <w:iCs w:val="0"/>
          <w:sz w:val="24"/>
          <w:szCs w:val="24"/>
          <w:lang w:val="fr-FR"/>
        </w:rPr>
        <w:t xml:space="preserve"> (</w:t>
      </w:r>
      <w:r w:rsidR="00592405" w:rsidRPr="00653BF4">
        <w:rPr>
          <w:i w:val="0"/>
          <w:iCs w:val="0"/>
          <w:sz w:val="24"/>
          <w:szCs w:val="24"/>
          <w:lang w:val="fr-FR"/>
        </w:rPr>
        <w:t>voir la figure </w:t>
      </w:r>
      <w:r w:rsidRPr="00653BF4">
        <w:rPr>
          <w:i w:val="0"/>
          <w:iCs w:val="0"/>
          <w:sz w:val="24"/>
          <w:szCs w:val="24"/>
          <w:lang w:val="fr-FR"/>
        </w:rPr>
        <w:t>23).</w:t>
      </w:r>
      <w:r w:rsidR="00F62E95" w:rsidRPr="00653BF4">
        <w:rPr>
          <w:lang w:val="fr-FR"/>
        </w:rPr>
        <w:t xml:space="preserve"> </w:t>
      </w:r>
    </w:p>
    <w:p w14:paraId="1861E6B4" w14:textId="77777777" w:rsidR="005B4BD5" w:rsidRPr="00653BF4" w:rsidRDefault="005B4BD5" w:rsidP="005B4BD5">
      <w:pPr>
        <w:rPr>
          <w:lang w:val="fr-FR" w:eastAsia="ja-JP"/>
        </w:rPr>
      </w:pPr>
    </w:p>
    <w:p w14:paraId="2A91F88F" w14:textId="5C8E7E1F" w:rsidR="005B4BD5" w:rsidRPr="00653BF4" w:rsidRDefault="005B4BD5" w:rsidP="005B4BD5">
      <w:pPr>
        <w:rPr>
          <w:sz w:val="20"/>
          <w:szCs w:val="20"/>
          <w:lang w:val="fr-FR" w:eastAsia="ja-JP"/>
        </w:rPr>
      </w:pPr>
      <w:r w:rsidRPr="00653BF4">
        <w:rPr>
          <w:sz w:val="20"/>
          <w:szCs w:val="20"/>
          <w:lang w:val="fr-FR" w:eastAsia="ja-JP"/>
        </w:rPr>
        <w:t>Figure 23</w:t>
      </w:r>
    </w:p>
    <w:p w14:paraId="631B7930" w14:textId="33ACDFEE" w:rsidR="005B4BD5" w:rsidRDefault="00053DA9" w:rsidP="005B4BD5">
      <w:pPr>
        <w:rPr>
          <w:b/>
          <w:bCs/>
          <w:sz w:val="20"/>
          <w:szCs w:val="20"/>
          <w:lang w:val="fr-FR" w:eastAsia="ja-JP"/>
        </w:rPr>
      </w:pPr>
      <w:r w:rsidRPr="00653BF4">
        <w:rPr>
          <w:b/>
          <w:bCs/>
          <w:sz w:val="20"/>
          <w:szCs w:val="20"/>
          <w:lang w:val="fr-FR" w:eastAsia="ja-JP"/>
        </w:rPr>
        <w:t>Progrès auto-évalués pour l’ensemble des cibles nationales présentées comme étroitement alignées</w:t>
      </w:r>
      <w:r w:rsidR="00671583" w:rsidRPr="00653BF4">
        <w:rPr>
          <w:b/>
          <w:bCs/>
          <w:sz w:val="20"/>
          <w:szCs w:val="20"/>
          <w:lang w:val="fr-FR" w:eastAsia="ja-JP"/>
        </w:rPr>
        <w:t xml:space="preserve"> sur</w:t>
      </w:r>
      <w:r w:rsidR="00660DD2" w:rsidRPr="00653BF4">
        <w:rPr>
          <w:b/>
          <w:bCs/>
          <w:sz w:val="20"/>
          <w:szCs w:val="20"/>
          <w:lang w:val="fr-FR" w:eastAsia="ja-JP"/>
        </w:rPr>
        <w:t xml:space="preserve"> la </w:t>
      </w:r>
      <w:r w:rsidR="00E34DC9">
        <w:rPr>
          <w:b/>
          <w:bCs/>
          <w:sz w:val="20"/>
          <w:szCs w:val="20"/>
          <w:lang w:val="fr-FR" w:eastAsia="ja-JP"/>
        </w:rPr>
        <w:t>cible 4</w:t>
      </w:r>
      <w:r w:rsidR="00660DD2" w:rsidRPr="00653BF4">
        <w:rPr>
          <w:b/>
          <w:bCs/>
          <w:sz w:val="20"/>
          <w:szCs w:val="20"/>
          <w:lang w:val="fr-FR" w:eastAsia="ja-JP"/>
        </w:rPr>
        <w:t xml:space="preserve"> du Cadre</w:t>
      </w:r>
    </w:p>
    <w:p w14:paraId="230A1151" w14:textId="06E83EE8" w:rsidR="00A26DC5" w:rsidRPr="00653BF4" w:rsidRDefault="00BB4018" w:rsidP="009B7444">
      <w:pPr>
        <w:pStyle w:val="Caption"/>
        <w:rPr>
          <w:lang w:val="fr-FR"/>
        </w:rPr>
      </w:pPr>
      <w:bookmarkStart w:id="128" w:name="_Ref230618491"/>
      <w:r w:rsidRPr="00653BF4">
        <w:rPr>
          <w:noProof/>
          <w:lang w:val="fr-FR"/>
          <w14:ligatures w14:val="standardContextual"/>
        </w:rPr>
        <w:drawing>
          <wp:inline distT="0" distB="0" distL="0" distR="0" wp14:anchorId="4F16E5CD" wp14:editId="4F77F5A4">
            <wp:extent cx="5731510" cy="2292350"/>
            <wp:effectExtent l="0" t="0" r="0" b="6350"/>
            <wp:docPr id="3742327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32753" name="Picture 374232753"/>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128"/>
    <w:p w14:paraId="51E644B7" w14:textId="7EA3581F" w:rsidR="00BE5006" w:rsidRPr="00653BF4" w:rsidRDefault="006A631C" w:rsidP="00BE5006">
      <w:pPr>
        <w:pStyle w:val="Caption"/>
        <w:rPr>
          <w:i w:val="0"/>
          <w:iCs w:val="0"/>
          <w:lang w:val="fr-FR"/>
        </w:rPr>
      </w:pPr>
      <w:r w:rsidRPr="00653BF4">
        <w:rPr>
          <w:lang w:val="fr-FR"/>
        </w:rPr>
        <w:t>Note</w:t>
      </w:r>
      <w:r w:rsidR="00E34DC9">
        <w:rPr>
          <w:lang w:val="fr-FR"/>
        </w:rPr>
        <w:t> :</w:t>
      </w:r>
      <w:r w:rsidR="00BE5006" w:rsidRPr="00653BF4">
        <w:rPr>
          <w:i w:val="0"/>
          <w:iCs w:val="0"/>
          <w:lang w:val="fr-FR"/>
        </w:rPr>
        <w:t xml:space="preserve"> </w:t>
      </w:r>
      <w:r w:rsidR="001C0906" w:rsidRPr="00653BF4">
        <w:rPr>
          <w:i w:val="0"/>
          <w:iCs w:val="0"/>
          <w:lang w:val="fr-FR"/>
        </w:rPr>
        <w:t xml:space="preserve">La largeur des barres reflète la proportion de cibles nationales soumises dans chaque catégorie de progrès </w:t>
      </w:r>
      <w:r w:rsidR="00F95A20" w:rsidRPr="00653BF4">
        <w:rPr>
          <w:i w:val="0"/>
          <w:iCs w:val="0"/>
          <w:lang w:val="fr-FR"/>
        </w:rPr>
        <w:t xml:space="preserve">Les proportions sont pondérées par Partie afin que toutes les Parties aient le même poids dans l’évaluation globale des progrès, quel que soit le nombre de cibles nationales qu’elles ont soumises. </w:t>
      </w:r>
      <w:r w:rsidR="009D63EB" w:rsidRPr="00653BF4">
        <w:rPr>
          <w:i w:val="0"/>
          <w:iCs w:val="0"/>
          <w:lang w:val="fr-FR"/>
        </w:rPr>
        <w:t xml:space="preserve">Le diagramme circulaire représente la proportion de Parties de chaque région ayant présenté leur rapport à temps pour qu’il soit pris en compte dans le rapport mondial. </w:t>
      </w:r>
      <w:r w:rsidR="004A243F" w:rsidRPr="00653BF4">
        <w:rPr>
          <w:i w:val="0"/>
          <w:iCs w:val="0"/>
          <w:lang w:val="fr-FR"/>
        </w:rPr>
        <w:t>La couleur de chaque région est indiquée dans la légende de la figure</w:t>
      </w:r>
      <w:r w:rsidR="00E34DC9">
        <w:rPr>
          <w:i w:val="0"/>
          <w:iCs w:val="0"/>
          <w:lang w:val="fr-FR"/>
        </w:rPr>
        <w:t> :</w:t>
      </w:r>
      <w:r w:rsidR="004A243F"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004A243F" w:rsidRPr="00653BF4">
        <w:rPr>
          <w:i w:val="0"/>
          <w:iCs w:val="0"/>
          <w:lang w:val="fr-FR"/>
        </w:rPr>
        <w:t xml:space="preserve"> les tons plus clairs, la proportion de Parties de la même région dont les données n’y figurent pas.</w:t>
      </w:r>
    </w:p>
    <w:tbl>
      <w:tblPr>
        <w:tblStyle w:val="TableGrid"/>
        <w:tblW w:w="0" w:type="auto"/>
        <w:tblLook w:val="06A0" w:firstRow="1" w:lastRow="0" w:firstColumn="1" w:lastColumn="0" w:noHBand="1" w:noVBand="1"/>
      </w:tblPr>
      <w:tblGrid>
        <w:gridCol w:w="4688"/>
        <w:gridCol w:w="4662"/>
      </w:tblGrid>
      <w:tr w:rsidR="003246FC" w:rsidRPr="003A6336" w14:paraId="73925668" w14:textId="77777777" w:rsidTr="009B4355">
        <w:tc>
          <w:tcPr>
            <w:tcW w:w="0" w:type="auto"/>
            <w:gridSpan w:val="2"/>
          </w:tcPr>
          <w:p w14:paraId="4980F70C" w14:textId="77777777" w:rsidR="003246FC" w:rsidRPr="003A6336" w:rsidRDefault="003246FC" w:rsidP="009B4355">
            <w:pPr>
              <w:rPr>
                <w:rFonts w:ascii="Aptos" w:eastAsia="Segoe UI" w:hAnsi="Aptos" w:cs="Segoe UI"/>
                <w:color w:val="0F1115"/>
              </w:rPr>
            </w:pPr>
            <w:r>
              <w:rPr>
                <w:rFonts w:ascii="Aptos" w:eastAsia="Segoe UI" w:hAnsi="Aptos" w:cs="Segoe UI"/>
                <w:color w:val="0F1115"/>
              </w:rPr>
              <w:t>Figure 23</w:t>
            </w:r>
          </w:p>
        </w:tc>
      </w:tr>
      <w:tr w:rsidR="003246FC" w:rsidRPr="003A6336" w14:paraId="1A1A9C24" w14:textId="77777777" w:rsidTr="009B4355">
        <w:tc>
          <w:tcPr>
            <w:tcW w:w="0" w:type="auto"/>
          </w:tcPr>
          <w:p w14:paraId="5009C5D2" w14:textId="77777777" w:rsidR="003246FC" w:rsidRPr="003A6336" w:rsidRDefault="003246FC" w:rsidP="009B4355">
            <w:pPr>
              <w:rPr>
                <w:rFonts w:ascii="Aptos" w:hAnsi="Aptos"/>
              </w:rPr>
            </w:pPr>
            <w:r w:rsidRPr="6D03A27B">
              <w:rPr>
                <w:rFonts w:ascii="Aptos" w:eastAsia="Segoe UI" w:hAnsi="Aptos" w:cs="Segoe UI"/>
                <w:color w:val="0F1115"/>
              </w:rPr>
              <w:t xml:space="preserve">English </w:t>
            </w:r>
          </w:p>
        </w:tc>
        <w:tc>
          <w:tcPr>
            <w:tcW w:w="0" w:type="auto"/>
          </w:tcPr>
          <w:p w14:paraId="21F6F4D0" w14:textId="77777777" w:rsidR="003246FC" w:rsidRPr="003A6336" w:rsidRDefault="003246FC" w:rsidP="009B4355">
            <w:pPr>
              <w:rPr>
                <w:rFonts w:ascii="Aptos" w:hAnsi="Aptos"/>
              </w:rPr>
            </w:pPr>
            <w:r>
              <w:rPr>
                <w:rFonts w:ascii="Aptos" w:eastAsia="Segoe UI" w:hAnsi="Aptos" w:cs="Segoe UI"/>
                <w:color w:val="0F1115"/>
              </w:rPr>
              <w:t>Français</w:t>
            </w:r>
          </w:p>
        </w:tc>
      </w:tr>
      <w:tr w:rsidR="003246FC" w:rsidRPr="003A6336" w14:paraId="592C8EB9" w14:textId="77777777" w:rsidTr="009B4355">
        <w:tc>
          <w:tcPr>
            <w:tcW w:w="0" w:type="auto"/>
          </w:tcPr>
          <w:p w14:paraId="09E4DCFC" w14:textId="77777777" w:rsidR="003246FC" w:rsidRPr="003A6336" w:rsidRDefault="003246FC" w:rsidP="009B4355">
            <w:pPr>
              <w:rPr>
                <w:rFonts w:ascii="Aptos" w:hAnsi="Aptos"/>
              </w:rPr>
            </w:pPr>
            <w:r w:rsidRPr="003A6336">
              <w:rPr>
                <w:rFonts w:ascii="Aptos" w:eastAsia="Segoe UI" w:hAnsi="Aptos" w:cs="Segoe UI"/>
                <w:color w:val="0F1115"/>
              </w:rPr>
              <w:t>Region</w:t>
            </w:r>
          </w:p>
        </w:tc>
        <w:tc>
          <w:tcPr>
            <w:tcW w:w="0" w:type="auto"/>
          </w:tcPr>
          <w:p w14:paraId="2BFE6319" w14:textId="77777777" w:rsidR="003246FC" w:rsidRPr="003A6336" w:rsidRDefault="003246FC" w:rsidP="009B4355">
            <w:pPr>
              <w:rPr>
                <w:rFonts w:ascii="Aptos" w:hAnsi="Aptos"/>
              </w:rPr>
            </w:pPr>
            <w:r w:rsidRPr="006F7AF8">
              <w:rPr>
                <w:rFonts w:ascii="Aptos" w:hAnsi="Aptos"/>
                <w:lang w:val="fr-FR"/>
              </w:rPr>
              <w:t>Région</w:t>
            </w:r>
          </w:p>
        </w:tc>
      </w:tr>
      <w:tr w:rsidR="003246FC" w:rsidRPr="003A6336" w14:paraId="5F3B67F7" w14:textId="77777777" w:rsidTr="009B4355">
        <w:tc>
          <w:tcPr>
            <w:tcW w:w="0" w:type="auto"/>
          </w:tcPr>
          <w:p w14:paraId="1D6C247A" w14:textId="77777777" w:rsidR="003246FC" w:rsidRPr="003A6336" w:rsidRDefault="003246FC" w:rsidP="009B4355">
            <w:pPr>
              <w:rPr>
                <w:rFonts w:ascii="Aptos" w:hAnsi="Aptos"/>
              </w:rPr>
            </w:pPr>
            <w:r w:rsidRPr="6D03A27B">
              <w:rPr>
                <w:rFonts w:ascii="Aptos" w:eastAsia="Segoe UI" w:hAnsi="Aptos" w:cs="Segoe UI"/>
                <w:color w:val="0F1115"/>
              </w:rPr>
              <w:t>African States</w:t>
            </w:r>
          </w:p>
        </w:tc>
        <w:tc>
          <w:tcPr>
            <w:tcW w:w="0" w:type="auto"/>
          </w:tcPr>
          <w:p w14:paraId="58C02AEB"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246FC" w:rsidRPr="003A6336" w14:paraId="3A6CD3D2" w14:textId="77777777" w:rsidTr="009B4355">
        <w:tc>
          <w:tcPr>
            <w:tcW w:w="0" w:type="auto"/>
          </w:tcPr>
          <w:p w14:paraId="05104C78" w14:textId="77777777" w:rsidR="003246FC" w:rsidRPr="003A6336" w:rsidRDefault="003246FC" w:rsidP="009B4355">
            <w:pPr>
              <w:rPr>
                <w:rFonts w:ascii="Aptos" w:hAnsi="Aptos"/>
              </w:rPr>
            </w:pPr>
            <w:r w:rsidRPr="6D03A27B">
              <w:rPr>
                <w:rFonts w:ascii="Aptos" w:eastAsia="Segoe UI" w:hAnsi="Aptos" w:cs="Segoe UI"/>
                <w:color w:val="0F1115"/>
              </w:rPr>
              <w:t>Asia- Pacific States</w:t>
            </w:r>
          </w:p>
        </w:tc>
        <w:tc>
          <w:tcPr>
            <w:tcW w:w="0" w:type="auto"/>
          </w:tcPr>
          <w:p w14:paraId="5D5253FC"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246FC" w:rsidRPr="003A6336" w14:paraId="1CBBF362" w14:textId="77777777" w:rsidTr="009B4355">
        <w:tc>
          <w:tcPr>
            <w:tcW w:w="0" w:type="auto"/>
          </w:tcPr>
          <w:p w14:paraId="7C0700FE" w14:textId="77777777" w:rsidR="003246FC" w:rsidRPr="003A6336" w:rsidRDefault="003246FC" w:rsidP="009B4355">
            <w:pPr>
              <w:rPr>
                <w:rFonts w:ascii="Aptos" w:hAnsi="Aptos"/>
              </w:rPr>
            </w:pPr>
            <w:r w:rsidRPr="6D03A27B">
              <w:rPr>
                <w:rFonts w:ascii="Aptos" w:eastAsia="Segoe UI" w:hAnsi="Aptos" w:cs="Segoe UI"/>
                <w:color w:val="0F1115"/>
              </w:rPr>
              <w:t>Latin American and Caribbean States</w:t>
            </w:r>
          </w:p>
        </w:tc>
        <w:tc>
          <w:tcPr>
            <w:tcW w:w="0" w:type="auto"/>
          </w:tcPr>
          <w:p w14:paraId="33BE0B15"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246FC" w:rsidRPr="003A6336" w14:paraId="39709603" w14:textId="77777777" w:rsidTr="009B4355">
        <w:tc>
          <w:tcPr>
            <w:tcW w:w="0" w:type="auto"/>
          </w:tcPr>
          <w:p w14:paraId="7174A667" w14:textId="77777777" w:rsidR="003246FC" w:rsidRPr="003A6336" w:rsidRDefault="003246FC" w:rsidP="009B4355">
            <w:pPr>
              <w:rPr>
                <w:rFonts w:ascii="Aptos" w:hAnsi="Aptos"/>
              </w:rPr>
            </w:pPr>
            <w:r>
              <w:rPr>
                <w:rFonts w:ascii="Aptos" w:eastAsia="Segoe UI" w:hAnsi="Aptos" w:cs="Segoe UI"/>
                <w:color w:val="0F1115"/>
              </w:rPr>
              <w:t>Eastern</w:t>
            </w:r>
            <w:r w:rsidRPr="6D03A27B">
              <w:rPr>
                <w:rFonts w:ascii="Aptos" w:eastAsia="Segoe UI" w:hAnsi="Aptos" w:cs="Segoe UI"/>
                <w:color w:val="0F1115"/>
              </w:rPr>
              <w:t xml:space="preserve"> European States</w:t>
            </w:r>
          </w:p>
        </w:tc>
        <w:tc>
          <w:tcPr>
            <w:tcW w:w="0" w:type="auto"/>
          </w:tcPr>
          <w:p w14:paraId="2320B947"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246FC" w:rsidRPr="003A6336" w14:paraId="68959B4E" w14:textId="77777777" w:rsidTr="009B4355">
        <w:tc>
          <w:tcPr>
            <w:tcW w:w="0" w:type="auto"/>
          </w:tcPr>
          <w:p w14:paraId="2F37B3ED" w14:textId="77777777" w:rsidR="003246FC" w:rsidRPr="003A6336" w:rsidRDefault="003246FC" w:rsidP="009B4355">
            <w:pPr>
              <w:rPr>
                <w:rFonts w:ascii="Aptos" w:hAnsi="Aptos"/>
              </w:rPr>
            </w:pPr>
            <w:r w:rsidRPr="6D03A27B">
              <w:rPr>
                <w:rFonts w:ascii="Aptos" w:eastAsia="Segoe UI" w:hAnsi="Aptos" w:cs="Segoe UI"/>
                <w:color w:val="0F1115"/>
              </w:rPr>
              <w:t>Western European and other States</w:t>
            </w:r>
          </w:p>
        </w:tc>
        <w:tc>
          <w:tcPr>
            <w:tcW w:w="0" w:type="auto"/>
          </w:tcPr>
          <w:p w14:paraId="06FE65D7" w14:textId="77777777" w:rsidR="003246FC" w:rsidRPr="003A6336" w:rsidRDefault="003246FC"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r w:rsidR="003246FC" w:rsidRPr="003A6336" w14:paraId="162B5F11" w14:textId="77777777" w:rsidTr="009B4355">
        <w:tc>
          <w:tcPr>
            <w:tcW w:w="0" w:type="auto"/>
          </w:tcPr>
          <w:p w14:paraId="4E73F400" w14:textId="77777777" w:rsidR="003246FC" w:rsidRPr="003A6336" w:rsidRDefault="003246FC" w:rsidP="009B4355">
            <w:pPr>
              <w:rPr>
                <w:rFonts w:ascii="Aptos" w:hAnsi="Aptos"/>
              </w:rPr>
            </w:pPr>
            <w:r w:rsidRPr="003A6336">
              <w:rPr>
                <w:rFonts w:ascii="Aptos" w:eastAsia="Segoe UI" w:hAnsi="Aptos" w:cs="Segoe UI"/>
                <w:color w:val="0F1115"/>
              </w:rPr>
              <w:t>Percentage of national targets</w:t>
            </w:r>
          </w:p>
        </w:tc>
        <w:tc>
          <w:tcPr>
            <w:tcW w:w="0" w:type="auto"/>
          </w:tcPr>
          <w:p w14:paraId="516476B8" w14:textId="77777777" w:rsidR="003246FC" w:rsidRPr="003A6336" w:rsidRDefault="003246FC" w:rsidP="009B4355">
            <w:pPr>
              <w:rPr>
                <w:rFonts w:ascii="Aptos" w:hAnsi="Aptos"/>
              </w:rPr>
            </w:pPr>
            <w:r>
              <w:t>Pourcentage de cibles nationales</w:t>
            </w:r>
          </w:p>
        </w:tc>
      </w:tr>
      <w:tr w:rsidR="003246FC" w:rsidRPr="003A6336" w14:paraId="5AB0A02B" w14:textId="77777777" w:rsidTr="009B4355">
        <w:tc>
          <w:tcPr>
            <w:tcW w:w="0" w:type="auto"/>
          </w:tcPr>
          <w:p w14:paraId="18EACA12" w14:textId="77777777" w:rsidR="003246FC" w:rsidRPr="003A6336" w:rsidRDefault="003246FC" w:rsidP="009B4355">
            <w:pPr>
              <w:rPr>
                <w:rFonts w:ascii="Aptos" w:hAnsi="Aptos"/>
              </w:rPr>
            </w:pPr>
            <w:r w:rsidRPr="003A6336">
              <w:rPr>
                <w:rFonts w:ascii="Aptos" w:eastAsia="Segoe UI" w:hAnsi="Aptos" w:cs="Segoe UI"/>
                <w:color w:val="0F1115"/>
              </w:rPr>
              <w:t>Progress Level</w:t>
            </w:r>
          </w:p>
        </w:tc>
        <w:tc>
          <w:tcPr>
            <w:tcW w:w="0" w:type="auto"/>
          </w:tcPr>
          <w:p w14:paraId="0256E58A" w14:textId="77777777" w:rsidR="003246FC" w:rsidRPr="003A6336" w:rsidRDefault="003246FC" w:rsidP="009B4355">
            <w:pPr>
              <w:rPr>
                <w:rFonts w:ascii="Aptos" w:hAnsi="Aptos"/>
              </w:rPr>
            </w:pPr>
            <w:r w:rsidRPr="006F7AF8">
              <w:rPr>
                <w:rFonts w:ascii="Aptos" w:hAnsi="Aptos"/>
                <w:lang w:val="fr-FR"/>
              </w:rPr>
              <w:t>État d</w:t>
            </w:r>
            <w:r>
              <w:rPr>
                <w:rFonts w:ascii="Aptos" w:hAnsi="Aptos"/>
                <w:lang w:val="fr-FR"/>
              </w:rPr>
              <w:t>’</w:t>
            </w:r>
            <w:r w:rsidRPr="006F7AF8">
              <w:rPr>
                <w:rFonts w:ascii="Aptos" w:hAnsi="Aptos"/>
                <w:lang w:val="fr-FR"/>
              </w:rPr>
              <w:t>avancement</w:t>
            </w:r>
          </w:p>
        </w:tc>
      </w:tr>
      <w:tr w:rsidR="003246FC" w:rsidRPr="003A6336" w14:paraId="0D2525A6" w14:textId="77777777" w:rsidTr="009B4355">
        <w:tc>
          <w:tcPr>
            <w:tcW w:w="0" w:type="auto"/>
          </w:tcPr>
          <w:p w14:paraId="44FD84F0" w14:textId="77777777" w:rsidR="003246FC" w:rsidRPr="003A6336" w:rsidRDefault="003246FC" w:rsidP="009B4355">
            <w:pPr>
              <w:rPr>
                <w:rFonts w:ascii="Aptos" w:hAnsi="Aptos"/>
              </w:rPr>
            </w:pPr>
            <w:r w:rsidRPr="003A6336">
              <w:rPr>
                <w:rFonts w:ascii="Aptos" w:eastAsia="Segoe UI" w:hAnsi="Aptos" w:cs="Segoe UI"/>
                <w:color w:val="0F1115"/>
              </w:rPr>
              <w:t>Achieved</w:t>
            </w:r>
          </w:p>
        </w:tc>
        <w:tc>
          <w:tcPr>
            <w:tcW w:w="0" w:type="auto"/>
          </w:tcPr>
          <w:p w14:paraId="4CE1CA92" w14:textId="77777777" w:rsidR="003246FC" w:rsidRPr="003A6336" w:rsidRDefault="003246FC" w:rsidP="009B4355">
            <w:pPr>
              <w:rPr>
                <w:rFonts w:ascii="Aptos" w:hAnsi="Aptos"/>
              </w:rPr>
            </w:pPr>
            <w:r>
              <w:t>Cible atteinte</w:t>
            </w:r>
          </w:p>
        </w:tc>
      </w:tr>
      <w:tr w:rsidR="003246FC" w:rsidRPr="003A6336" w14:paraId="71CA3BB7" w14:textId="77777777" w:rsidTr="009B4355">
        <w:tc>
          <w:tcPr>
            <w:tcW w:w="0" w:type="auto"/>
          </w:tcPr>
          <w:p w14:paraId="65220647" w14:textId="77777777" w:rsidR="003246FC" w:rsidRPr="003A6336" w:rsidRDefault="003246FC" w:rsidP="009B4355">
            <w:pPr>
              <w:rPr>
                <w:rFonts w:ascii="Aptos" w:hAnsi="Aptos"/>
              </w:rPr>
            </w:pPr>
            <w:r w:rsidRPr="003A6336">
              <w:rPr>
                <w:rFonts w:ascii="Aptos" w:eastAsia="Segoe UI" w:hAnsi="Aptos" w:cs="Segoe UI"/>
                <w:color w:val="0F1115"/>
              </w:rPr>
              <w:t>On track to achieve target</w:t>
            </w:r>
          </w:p>
        </w:tc>
        <w:tc>
          <w:tcPr>
            <w:tcW w:w="0" w:type="auto"/>
          </w:tcPr>
          <w:p w14:paraId="6557BBBD" w14:textId="77777777" w:rsidR="003246FC" w:rsidRPr="003A6336" w:rsidRDefault="003246FC" w:rsidP="009B4355">
            <w:pPr>
              <w:rPr>
                <w:rFonts w:ascii="Aptos" w:hAnsi="Aptos"/>
              </w:rPr>
            </w:pPr>
            <w:r>
              <w:t>En voie d’atteindre la cible</w:t>
            </w:r>
          </w:p>
        </w:tc>
      </w:tr>
      <w:tr w:rsidR="003246FC" w:rsidRPr="003A6336" w14:paraId="294A7C5E" w14:textId="77777777" w:rsidTr="009B4355">
        <w:tc>
          <w:tcPr>
            <w:tcW w:w="0" w:type="auto"/>
          </w:tcPr>
          <w:p w14:paraId="7661D78F" w14:textId="77777777" w:rsidR="003246FC" w:rsidRPr="003A6336" w:rsidRDefault="003246FC" w:rsidP="009B4355">
            <w:pPr>
              <w:rPr>
                <w:rFonts w:ascii="Aptos" w:hAnsi="Aptos"/>
              </w:rPr>
            </w:pPr>
            <w:r w:rsidRPr="003A6336">
              <w:rPr>
                <w:rFonts w:ascii="Aptos" w:eastAsia="Segoe UI" w:hAnsi="Aptos" w:cs="Segoe UI"/>
                <w:color w:val="0F1115"/>
              </w:rPr>
              <w:t>Progress towards target but at an insufficient rate</w:t>
            </w:r>
          </w:p>
        </w:tc>
        <w:tc>
          <w:tcPr>
            <w:tcW w:w="0" w:type="auto"/>
          </w:tcPr>
          <w:p w14:paraId="2297815C" w14:textId="77777777" w:rsidR="003246FC" w:rsidRPr="003A6336" w:rsidRDefault="003246FC" w:rsidP="009B4355">
            <w:pPr>
              <w:rPr>
                <w:rFonts w:ascii="Aptos" w:hAnsi="Aptos"/>
              </w:rPr>
            </w:pPr>
            <w:r>
              <w:t>Progrès accomplis, mais à un rythme insuffisant</w:t>
            </w:r>
          </w:p>
        </w:tc>
      </w:tr>
      <w:tr w:rsidR="003246FC" w:rsidRPr="003A6336" w14:paraId="088ECA5E" w14:textId="77777777" w:rsidTr="009B4355">
        <w:tc>
          <w:tcPr>
            <w:tcW w:w="0" w:type="auto"/>
          </w:tcPr>
          <w:p w14:paraId="2991E2BD" w14:textId="77777777" w:rsidR="003246FC" w:rsidRPr="003A6336" w:rsidRDefault="003246FC" w:rsidP="009B4355">
            <w:pPr>
              <w:rPr>
                <w:rFonts w:ascii="Aptos" w:hAnsi="Aptos"/>
              </w:rPr>
            </w:pPr>
            <w:r w:rsidRPr="003A6336">
              <w:rPr>
                <w:rFonts w:ascii="Aptos" w:eastAsia="Segoe UI" w:hAnsi="Aptos" w:cs="Segoe UI"/>
                <w:color w:val="0F1115"/>
              </w:rPr>
              <w:lastRenderedPageBreak/>
              <w:t>No significant change</w:t>
            </w:r>
          </w:p>
        </w:tc>
        <w:tc>
          <w:tcPr>
            <w:tcW w:w="0" w:type="auto"/>
          </w:tcPr>
          <w:p w14:paraId="5CB4362A" w14:textId="77777777" w:rsidR="003246FC" w:rsidRPr="003A6336" w:rsidRDefault="003246FC" w:rsidP="009B4355">
            <w:pPr>
              <w:rPr>
                <w:rFonts w:ascii="Aptos" w:hAnsi="Aptos"/>
              </w:rPr>
            </w:pPr>
            <w:r>
              <w:t>Pas de changement notable</w:t>
            </w:r>
          </w:p>
        </w:tc>
      </w:tr>
      <w:tr w:rsidR="003246FC" w:rsidRPr="003A6336" w14:paraId="42E7F6C2" w14:textId="77777777" w:rsidTr="009B4355">
        <w:tc>
          <w:tcPr>
            <w:tcW w:w="0" w:type="auto"/>
          </w:tcPr>
          <w:p w14:paraId="68F63B35" w14:textId="77777777" w:rsidR="003246FC" w:rsidRPr="003A6336" w:rsidRDefault="003246FC" w:rsidP="009B4355">
            <w:pPr>
              <w:rPr>
                <w:rFonts w:ascii="Aptos" w:hAnsi="Aptos"/>
              </w:rPr>
            </w:pPr>
            <w:r w:rsidRPr="003A6336">
              <w:rPr>
                <w:rFonts w:ascii="Aptos" w:eastAsia="Segoe UI" w:hAnsi="Aptos" w:cs="Segoe UI"/>
                <w:color w:val="0F1115"/>
              </w:rPr>
              <w:t>Unknown</w:t>
            </w:r>
          </w:p>
        </w:tc>
        <w:tc>
          <w:tcPr>
            <w:tcW w:w="0" w:type="auto"/>
          </w:tcPr>
          <w:p w14:paraId="494A4FE6" w14:textId="77777777" w:rsidR="003246FC" w:rsidRPr="003A6336" w:rsidRDefault="003246FC" w:rsidP="009B4355">
            <w:pPr>
              <w:rPr>
                <w:rFonts w:ascii="Aptos" w:hAnsi="Aptos"/>
              </w:rPr>
            </w:pPr>
            <w:r>
              <w:t>Inconnu</w:t>
            </w:r>
          </w:p>
        </w:tc>
      </w:tr>
      <w:tr w:rsidR="003246FC" w:rsidRPr="003A6336" w14:paraId="6B2234AB" w14:textId="77777777" w:rsidTr="009B4355">
        <w:tc>
          <w:tcPr>
            <w:tcW w:w="0" w:type="auto"/>
          </w:tcPr>
          <w:p w14:paraId="57F23FE6" w14:textId="77777777" w:rsidR="003246FC" w:rsidRPr="003A6336" w:rsidRDefault="003246FC" w:rsidP="009B4355">
            <w:pPr>
              <w:rPr>
                <w:rFonts w:ascii="Aptos" w:hAnsi="Aptos"/>
              </w:rPr>
            </w:pPr>
            <w:r w:rsidRPr="003A6336">
              <w:rPr>
                <w:rFonts w:ascii="Aptos" w:eastAsia="Segoe UI" w:hAnsi="Aptos" w:cs="Segoe UI"/>
                <w:color w:val="0F1115"/>
              </w:rPr>
              <w:t>Party count: 100</w:t>
            </w:r>
          </w:p>
        </w:tc>
        <w:tc>
          <w:tcPr>
            <w:tcW w:w="0" w:type="auto"/>
          </w:tcPr>
          <w:p w14:paraId="038A4914" w14:textId="77777777" w:rsidR="003246FC" w:rsidRPr="003A6336" w:rsidRDefault="003246FC" w:rsidP="009B4355">
            <w:pPr>
              <w:rPr>
                <w:rFonts w:ascii="Aptos" w:hAnsi="Aptos"/>
              </w:rPr>
            </w:pPr>
            <w:r>
              <w:rPr>
                <w:rFonts w:ascii="Aptos" w:hAnsi="Aptos"/>
              </w:rPr>
              <w:t>Nombre de Parties : 98</w:t>
            </w:r>
          </w:p>
        </w:tc>
      </w:tr>
    </w:tbl>
    <w:p w14:paraId="12473C70" w14:textId="77777777" w:rsidR="006E369A" w:rsidRPr="00653BF4" w:rsidRDefault="006E369A" w:rsidP="006E369A">
      <w:pPr>
        <w:pStyle w:val="Heading5"/>
        <w:rPr>
          <w:lang w:val="fr-FR"/>
        </w:rPr>
      </w:pPr>
    </w:p>
    <w:p w14:paraId="42957E0C" w14:textId="2ECC38E6" w:rsidR="006E369A" w:rsidRPr="00653BF4" w:rsidRDefault="00B43BEA" w:rsidP="006E369A">
      <w:pPr>
        <w:pStyle w:val="Heading5"/>
        <w:rPr>
          <w:lang w:val="fr-FR"/>
        </w:rPr>
      </w:pPr>
      <w:r w:rsidRPr="00653BF4">
        <w:rPr>
          <w:lang w:val="fr-FR"/>
        </w:rPr>
        <w:t>Actions, réussites et difficultés dans la mise en œuvre</w:t>
      </w:r>
    </w:p>
    <w:p w14:paraId="7CA2673C" w14:textId="77777777" w:rsidR="00D01780" w:rsidRPr="00653BF4" w:rsidRDefault="00D01780" w:rsidP="006E369A">
      <w:pPr>
        <w:pStyle w:val="Heading6"/>
        <w:rPr>
          <w:lang w:val="fr-FR"/>
        </w:rPr>
      </w:pPr>
      <w:bookmarkStart w:id="129" w:name="_Toc235821095"/>
    </w:p>
    <w:p w14:paraId="44062B79" w14:textId="3F61782D" w:rsidR="006E369A" w:rsidRPr="00653BF4" w:rsidRDefault="00B43BEA" w:rsidP="006E369A">
      <w:pPr>
        <w:pStyle w:val="Heading6"/>
        <w:rPr>
          <w:lang w:val="fr-FR"/>
        </w:rPr>
      </w:pPr>
      <w:r w:rsidRPr="00653BF4">
        <w:rPr>
          <w:lang w:val="fr-FR"/>
        </w:rPr>
        <w:t xml:space="preserve">Résumé des actions menées à l’appui de la </w:t>
      </w:r>
      <w:r w:rsidR="00E34DC9">
        <w:rPr>
          <w:lang w:val="fr-FR"/>
        </w:rPr>
        <w:t>cible 4</w:t>
      </w:r>
      <w:bookmarkEnd w:id="129"/>
      <w:r w:rsidR="00E1381E" w:rsidRPr="00653BF4">
        <w:rPr>
          <w:lang w:val="fr-FR"/>
        </w:rPr>
        <w:t xml:space="preserve"> </w:t>
      </w:r>
      <w:r w:rsidR="00272FFA" w:rsidRPr="00653BF4">
        <w:rPr>
          <w:lang w:val="fr-FR"/>
        </w:rPr>
        <w:t>du Cadre</w:t>
      </w:r>
    </w:p>
    <w:p w14:paraId="516889DE" w14:textId="77777777" w:rsidR="00D01780" w:rsidRPr="00653BF4" w:rsidRDefault="00D01780" w:rsidP="005652DA">
      <w:pPr>
        <w:rPr>
          <w:lang w:val="fr-FR"/>
        </w:rPr>
      </w:pPr>
    </w:p>
    <w:p w14:paraId="3BBEAA3B" w14:textId="4C70C886" w:rsidR="006E369A" w:rsidRPr="00653BF4" w:rsidRDefault="00991790" w:rsidP="006E369A">
      <w:pPr>
        <w:rPr>
          <w:lang w:val="fr-FR"/>
        </w:rPr>
      </w:pPr>
      <w:r w:rsidRPr="00653BF4">
        <w:rPr>
          <w:lang w:val="fr-FR"/>
        </w:rPr>
        <w:t>Le type d</w:t>
      </w:r>
      <w:r w:rsidR="002A58C8" w:rsidRPr="00653BF4">
        <w:rPr>
          <w:lang w:val="fr-FR"/>
        </w:rPr>
        <w:t>’</w:t>
      </w:r>
      <w:r w:rsidRPr="00653BF4">
        <w:rPr>
          <w:lang w:val="fr-FR"/>
        </w:rPr>
        <w:t xml:space="preserve">action le plus fréquemment rapporté en appui à la </w:t>
      </w:r>
      <w:r w:rsidR="00E34DC9">
        <w:rPr>
          <w:lang w:val="fr-FR"/>
        </w:rPr>
        <w:t>cible 4</w:t>
      </w:r>
      <w:r w:rsidRPr="00653BF4">
        <w:rPr>
          <w:lang w:val="fr-FR"/>
        </w:rPr>
        <w:t xml:space="preserve"> est l</w:t>
      </w:r>
      <w:r w:rsidR="002A58C8" w:rsidRPr="00653BF4">
        <w:rPr>
          <w:lang w:val="fr-FR"/>
        </w:rPr>
        <w:t>’</w:t>
      </w:r>
      <w:r w:rsidRPr="00653BF4">
        <w:rPr>
          <w:lang w:val="fr-FR"/>
        </w:rPr>
        <w:t>établissement ou la mise en œuvre de programmes coordonnés de sauvegarde des espèces et de plans d</w:t>
      </w:r>
      <w:r w:rsidR="002A58C8" w:rsidRPr="00653BF4">
        <w:rPr>
          <w:lang w:val="fr-FR"/>
        </w:rPr>
        <w:t>’</w:t>
      </w:r>
      <w:r w:rsidRPr="00653BF4">
        <w:rPr>
          <w:lang w:val="fr-FR"/>
        </w:rPr>
        <w:t>action axés sur les espèces prioritaires, telles que les espèces phares, les espèces parapluie ou les espèces clés, ainsi que les espèces menacées. Les actions de conservation directes comprennent la réintroduction d</w:t>
      </w:r>
      <w:r w:rsidR="002A58C8" w:rsidRPr="00653BF4">
        <w:rPr>
          <w:lang w:val="fr-FR"/>
        </w:rPr>
        <w:t>’</w:t>
      </w:r>
      <w:r w:rsidRPr="00653BF4">
        <w:rPr>
          <w:lang w:val="fr-FR"/>
        </w:rPr>
        <w:t xml:space="preserve">espèces, la remise en état des habitats, y compris la renaturation, et les patrouilles </w:t>
      </w:r>
      <w:r w:rsidR="004C68D3" w:rsidRPr="00653BF4">
        <w:rPr>
          <w:lang w:val="fr-FR"/>
        </w:rPr>
        <w:t>d</w:t>
      </w:r>
      <w:r w:rsidR="002A58C8" w:rsidRPr="00653BF4">
        <w:rPr>
          <w:lang w:val="fr-FR"/>
        </w:rPr>
        <w:t>’</w:t>
      </w:r>
      <w:r w:rsidR="00D72EF8" w:rsidRPr="00653BF4">
        <w:rPr>
          <w:lang w:val="fr-FR"/>
        </w:rPr>
        <w:t>antibraconnage</w:t>
      </w:r>
      <w:r w:rsidRPr="00653BF4">
        <w:rPr>
          <w:lang w:val="fr-FR"/>
        </w:rPr>
        <w:t>. De nombreuses Parties établissent des rapports sur leurs activités de recherche et de suivi, notamment les évaluations au titre de la Liste rouge et le suivi des populations d</w:t>
      </w:r>
      <w:r w:rsidR="002A58C8" w:rsidRPr="00653BF4">
        <w:rPr>
          <w:lang w:val="fr-FR"/>
        </w:rPr>
        <w:t>’</w:t>
      </w:r>
      <w:r w:rsidRPr="00653BF4">
        <w:rPr>
          <w:lang w:val="fr-FR"/>
        </w:rPr>
        <w:t>espèces à l</w:t>
      </w:r>
      <w:r w:rsidR="002A58C8" w:rsidRPr="00653BF4">
        <w:rPr>
          <w:lang w:val="fr-FR"/>
        </w:rPr>
        <w:t>’</w:t>
      </w:r>
      <w:r w:rsidRPr="00653BF4">
        <w:rPr>
          <w:lang w:val="fr-FR"/>
        </w:rPr>
        <w:t>aide de technologies telles que les pièges photographiques, la surveillance acoustique et l</w:t>
      </w:r>
      <w:r w:rsidR="002A58C8" w:rsidRPr="00653BF4">
        <w:rPr>
          <w:lang w:val="fr-FR"/>
        </w:rPr>
        <w:t>’</w:t>
      </w:r>
      <w:r w:rsidRPr="00653BF4">
        <w:rPr>
          <w:lang w:val="fr-FR"/>
        </w:rPr>
        <w:t>ADN environnemental (eDNA). Les instruments juridiques relatifs à cette cible comprennent une législation spécifique à la protection des espèces, l</w:t>
      </w:r>
      <w:r w:rsidR="002A58C8" w:rsidRPr="00653BF4">
        <w:rPr>
          <w:lang w:val="fr-FR"/>
        </w:rPr>
        <w:t>’</w:t>
      </w:r>
      <w:r w:rsidRPr="00653BF4">
        <w:rPr>
          <w:lang w:val="fr-FR"/>
        </w:rPr>
        <w:t>adoption ou la révision de lois plus générales sur la conservation de la faune et de la flore sauvages, des réglementations en matière de chasse et une législation nationale liée à la Convention sur le commerce international des espèces de faune et de flore sauvages menacées d</w:t>
      </w:r>
      <w:r w:rsidR="002A58C8" w:rsidRPr="00653BF4">
        <w:rPr>
          <w:lang w:val="fr-FR"/>
        </w:rPr>
        <w:t>’</w:t>
      </w:r>
      <w:r w:rsidRPr="00653BF4">
        <w:rPr>
          <w:lang w:val="fr-FR"/>
        </w:rPr>
        <w:t>extinction (CITES). La plupart des Parties établissent également des rapports sur des mesures visant à préserver la diversité génétique, par exemple par le biais de banques de gènes, de banques de semences, de jardins botaniques, de programmes d</w:t>
      </w:r>
      <w:r w:rsidR="002A58C8" w:rsidRPr="00653BF4">
        <w:rPr>
          <w:lang w:val="fr-FR"/>
        </w:rPr>
        <w:t>’</w:t>
      </w:r>
      <w:r w:rsidRPr="00653BF4">
        <w:rPr>
          <w:lang w:val="fr-FR"/>
        </w:rPr>
        <w:t>élevage en captivité et de conservation in vitro. Plusieurs Parties mentionnent des instruments économiques destinés à gérer les conflits entre l</w:t>
      </w:r>
      <w:r w:rsidR="002A58C8" w:rsidRPr="00653BF4">
        <w:rPr>
          <w:lang w:val="fr-FR"/>
        </w:rPr>
        <w:t>’</w:t>
      </w:r>
      <w:r w:rsidRPr="00653BF4">
        <w:rPr>
          <w:lang w:val="fr-FR"/>
        </w:rPr>
        <w:t>homme et la faune sauvages, notamment des régimes d</w:t>
      </w:r>
      <w:r w:rsidR="002A58C8" w:rsidRPr="00653BF4">
        <w:rPr>
          <w:lang w:val="fr-FR"/>
        </w:rPr>
        <w:t>’</w:t>
      </w:r>
      <w:r w:rsidRPr="00653BF4">
        <w:rPr>
          <w:lang w:val="fr-FR"/>
        </w:rPr>
        <w:t>assurance visant à indemniser les dommages causés aux cultures et au bétail, ainsi que des appuis financiers à des infrastructures telles que des clôtures et d</w:t>
      </w:r>
      <w:r w:rsidR="002A58C8" w:rsidRPr="00653BF4">
        <w:rPr>
          <w:lang w:val="fr-FR"/>
        </w:rPr>
        <w:t>’</w:t>
      </w:r>
      <w:r w:rsidRPr="00653BF4">
        <w:rPr>
          <w:lang w:val="fr-FR"/>
        </w:rPr>
        <w:t>autres moyens de dissuasion destinés à gérer les déplacements de la faune et de la flore sauvages (voir</w:t>
      </w:r>
      <w:r w:rsidR="00BD6958">
        <w:rPr>
          <w:lang w:val="fr-FR"/>
        </w:rPr>
        <w:t xml:space="preserve"> les</w:t>
      </w:r>
      <w:r w:rsidRPr="00653BF4">
        <w:rPr>
          <w:lang w:val="fr-FR"/>
        </w:rPr>
        <w:t xml:space="preserve"> encadrés 16 et 17).</w:t>
      </w:r>
    </w:p>
    <w:p w14:paraId="4CC1793C" w14:textId="77777777" w:rsidR="00A71825" w:rsidRPr="00653BF4" w:rsidRDefault="00A71825" w:rsidP="006E369A">
      <w:pPr>
        <w:pStyle w:val="Heading6"/>
        <w:rPr>
          <w:lang w:val="fr-FR"/>
        </w:rPr>
      </w:pPr>
      <w:bookmarkStart w:id="130" w:name="_Toc235821096"/>
    </w:p>
    <w:p w14:paraId="21E93BA5" w14:textId="475A6F35" w:rsidR="002E63AC" w:rsidRPr="00653BF4" w:rsidRDefault="00EF7133" w:rsidP="00B14DEC">
      <w:pPr>
        <w:pStyle w:val="Heading6"/>
        <w:rPr>
          <w:lang w:val="fr-FR"/>
        </w:rPr>
      </w:pPr>
      <w:r w:rsidRPr="00653BF4">
        <w:rPr>
          <w:lang w:val="fr-FR"/>
        </w:rPr>
        <w:t xml:space="preserve">Exemples de réussites et de progrès réalisées dans la mise en œuvre </w:t>
      </w:r>
      <w:bookmarkEnd w:id="130"/>
    </w:p>
    <w:p w14:paraId="0818ACB9" w14:textId="77B1C4E8" w:rsidR="002F59FB" w:rsidRPr="00653BF4" w:rsidRDefault="002F59FB" w:rsidP="00B219AE">
      <w:pPr>
        <w:pStyle w:val="Caption"/>
        <w:rPr>
          <w:lang w:val="fr-FR"/>
        </w:rPr>
      </w:pPr>
    </w:p>
    <w:tbl>
      <w:tblPr>
        <w:tblStyle w:val="TableGrid"/>
        <w:tblW w:w="0" w:type="auto"/>
        <w:tblLook w:val="04A0" w:firstRow="1" w:lastRow="0" w:firstColumn="1" w:lastColumn="0" w:noHBand="0" w:noVBand="1"/>
      </w:tblPr>
      <w:tblGrid>
        <w:gridCol w:w="9016"/>
        <w:gridCol w:w="44"/>
      </w:tblGrid>
      <w:tr w:rsidR="00C371CA" w:rsidRPr="00543148" w14:paraId="737BFC33" w14:textId="77777777" w:rsidTr="00C371CA">
        <w:trPr>
          <w:gridAfter w:val="1"/>
          <w:wAfter w:w="44" w:type="dxa"/>
        </w:trPr>
        <w:tc>
          <w:tcPr>
            <w:tcW w:w="9016" w:type="dxa"/>
            <w:shd w:val="clear" w:color="auto" w:fill="D1D1D1" w:themeFill="background2" w:themeFillShade="E6"/>
          </w:tcPr>
          <w:p w14:paraId="3360B3D9" w14:textId="5A4E3B2C" w:rsidR="00694B4A" w:rsidRPr="00653BF4" w:rsidRDefault="0024766A" w:rsidP="009A6756">
            <w:pPr>
              <w:rPr>
                <w:sz w:val="20"/>
                <w:szCs w:val="20"/>
                <w:lang w:val="fr-FR"/>
              </w:rPr>
            </w:pPr>
            <w:r w:rsidRPr="00653BF4">
              <w:rPr>
                <w:sz w:val="20"/>
                <w:szCs w:val="20"/>
                <w:lang w:val="fr-FR"/>
              </w:rPr>
              <w:t>Encadré</w:t>
            </w:r>
            <w:r w:rsidR="00901AC9" w:rsidRPr="00653BF4">
              <w:rPr>
                <w:sz w:val="20"/>
                <w:szCs w:val="20"/>
                <w:lang w:val="fr-FR"/>
              </w:rPr>
              <w:t xml:space="preserve"> </w:t>
            </w:r>
            <w:r w:rsidR="008306DF" w:rsidRPr="00653BF4">
              <w:rPr>
                <w:noProof/>
                <w:sz w:val="20"/>
                <w:szCs w:val="20"/>
                <w:lang w:val="fr-FR"/>
              </w:rPr>
              <w:t>16</w:t>
            </w:r>
          </w:p>
          <w:p w14:paraId="5C95A5D2" w14:textId="77777777" w:rsidR="00DD5D02" w:rsidRPr="00653BF4" w:rsidRDefault="00DD5D02" w:rsidP="009A6756">
            <w:pPr>
              <w:rPr>
                <w:sz w:val="20"/>
                <w:szCs w:val="20"/>
                <w:lang w:val="fr-FR"/>
              </w:rPr>
            </w:pPr>
          </w:p>
          <w:p w14:paraId="187B8F08" w14:textId="135039EC" w:rsidR="00C371CA" w:rsidRPr="00653BF4" w:rsidRDefault="00901AC9" w:rsidP="009A6756">
            <w:pPr>
              <w:rPr>
                <w:b/>
                <w:sz w:val="20"/>
                <w:szCs w:val="20"/>
                <w:lang w:val="fr-FR"/>
              </w:rPr>
            </w:pPr>
            <w:r w:rsidRPr="00653BF4">
              <w:rPr>
                <w:b/>
                <w:bCs/>
                <w:sz w:val="20"/>
                <w:szCs w:val="20"/>
                <w:lang w:val="fr-FR"/>
              </w:rPr>
              <w:lastRenderedPageBreak/>
              <w:t>Saint</w:t>
            </w:r>
            <w:r w:rsidR="007E4B38" w:rsidRPr="00653BF4">
              <w:rPr>
                <w:b/>
                <w:bCs/>
                <w:sz w:val="20"/>
                <w:szCs w:val="20"/>
                <w:lang w:val="fr-FR"/>
              </w:rPr>
              <w:t>-</w:t>
            </w:r>
            <w:r w:rsidRPr="00653BF4">
              <w:rPr>
                <w:b/>
                <w:bCs/>
                <w:sz w:val="20"/>
                <w:szCs w:val="20"/>
                <w:lang w:val="fr-FR"/>
              </w:rPr>
              <w:t>Vincent</w:t>
            </w:r>
            <w:r w:rsidR="007E4B38" w:rsidRPr="00653BF4">
              <w:rPr>
                <w:b/>
                <w:bCs/>
                <w:sz w:val="20"/>
                <w:szCs w:val="20"/>
                <w:lang w:val="fr-FR"/>
              </w:rPr>
              <w:t>-et-les-</w:t>
            </w:r>
            <w:r w:rsidRPr="00653BF4">
              <w:rPr>
                <w:b/>
                <w:bCs/>
                <w:sz w:val="20"/>
                <w:szCs w:val="20"/>
                <w:lang w:val="fr-FR"/>
              </w:rPr>
              <w:t>Grenadines</w:t>
            </w:r>
            <w:r w:rsidR="00E34DC9">
              <w:rPr>
                <w:b/>
                <w:bCs/>
                <w:sz w:val="20"/>
                <w:szCs w:val="20"/>
                <w:lang w:val="fr-FR"/>
              </w:rPr>
              <w:t> :</w:t>
            </w:r>
            <w:r w:rsidRPr="00653BF4">
              <w:rPr>
                <w:b/>
                <w:bCs/>
                <w:sz w:val="20"/>
                <w:szCs w:val="20"/>
                <w:lang w:val="fr-FR"/>
              </w:rPr>
              <w:t xml:space="preserve"> </w:t>
            </w:r>
            <w:r w:rsidR="007A5D1F" w:rsidRPr="00653BF4">
              <w:rPr>
                <w:b/>
                <w:bCs/>
                <w:sz w:val="20"/>
                <w:szCs w:val="20"/>
                <w:lang w:val="fr-FR"/>
              </w:rPr>
              <w:t>une conservation des espèces menacées axée sur la gestion communautaire</w:t>
            </w:r>
          </w:p>
          <w:p w14:paraId="72CD584A" w14:textId="77777777" w:rsidR="00694B4A" w:rsidRPr="00653BF4" w:rsidRDefault="00694B4A" w:rsidP="009A6756">
            <w:pPr>
              <w:rPr>
                <w:i/>
                <w:iCs/>
                <w:lang w:val="fr-FR"/>
              </w:rPr>
            </w:pPr>
          </w:p>
          <w:p w14:paraId="1387E555" w14:textId="2A8AB4DE" w:rsidR="00E7386A" w:rsidRPr="00653BF4" w:rsidRDefault="00757A50" w:rsidP="00E7386A">
            <w:pPr>
              <w:rPr>
                <w:rFonts w:ascii="Aptos" w:eastAsia="Aptos" w:hAnsi="Aptos" w:cs="Aptos"/>
                <w:color w:val="000000" w:themeColor="text1"/>
                <w:sz w:val="20"/>
                <w:szCs w:val="20"/>
                <w:lang w:val="fr-FR" w:eastAsia="zh-CN"/>
              </w:rPr>
            </w:pPr>
            <w:r w:rsidRPr="00653BF4">
              <w:rPr>
                <w:rFonts w:ascii="Aptos" w:eastAsia="Aptos" w:hAnsi="Aptos" w:cs="Aptos"/>
                <w:color w:val="000000" w:themeColor="text1"/>
                <w:sz w:val="20"/>
                <w:szCs w:val="20"/>
                <w:lang w:val="fr-FR" w:eastAsia="zh-CN"/>
              </w:rPr>
              <w:t>Saint-Vincent-et-les-Grenadines a mis en place un modèle de conservation systématique associant réglementation juridique, gouvernance communautaire, remise en état écologique et collaboration internationale. Ce modèle offre une expérience concrète et reproductible aux petits États insulaires en développement confrontés à la dégradation de la biodiversité et aux pressions liées au changement climatique.</w:t>
            </w:r>
          </w:p>
          <w:p w14:paraId="0AF1F9D8" w14:textId="77777777" w:rsidR="00E7386A" w:rsidRPr="00653BF4" w:rsidRDefault="00E7386A" w:rsidP="00E7386A">
            <w:pPr>
              <w:rPr>
                <w:rFonts w:ascii="Aptos" w:eastAsia="Aptos" w:hAnsi="Aptos" w:cs="Aptos"/>
                <w:color w:val="000000" w:themeColor="text1"/>
                <w:sz w:val="20"/>
                <w:szCs w:val="20"/>
                <w:lang w:val="fr-FR" w:eastAsia="zh-CN"/>
              </w:rPr>
            </w:pPr>
          </w:p>
          <w:p w14:paraId="5CC8F9AB" w14:textId="0439A2B9" w:rsidR="009F06E1" w:rsidRPr="00653BF4" w:rsidRDefault="003039EB" w:rsidP="00E7386A">
            <w:pPr>
              <w:rPr>
                <w:rFonts w:ascii="Aptos" w:eastAsia="Aptos" w:hAnsi="Aptos" w:cs="Aptos"/>
                <w:color w:val="000000" w:themeColor="text1"/>
                <w:sz w:val="20"/>
                <w:szCs w:val="20"/>
                <w:lang w:val="fr-FR" w:eastAsia="zh-CN"/>
              </w:rPr>
            </w:pPr>
            <w:r w:rsidRPr="00653BF4">
              <w:rPr>
                <w:rFonts w:ascii="Aptos" w:eastAsia="Aptos" w:hAnsi="Aptos" w:cs="Aptos"/>
                <w:color w:val="000000" w:themeColor="text1"/>
                <w:sz w:val="20"/>
                <w:szCs w:val="20"/>
                <w:lang w:val="fr-FR" w:eastAsia="zh-CN"/>
              </w:rPr>
              <w:t>Les initiatives menées dans cet État insulaire des Caraïbes ont permis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obtenir des conclusions tangibles en matière de rétablissement écologique pour plusieurs espèces phares menacées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extinction. La population du gecko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Union Island (</w:t>
            </w:r>
            <w:r w:rsidRPr="00653BF4">
              <w:rPr>
                <w:rFonts w:ascii="Aptos" w:eastAsia="Aptos" w:hAnsi="Aptos" w:cs="Aptos"/>
                <w:i/>
                <w:iCs/>
                <w:color w:val="000000" w:themeColor="text1"/>
                <w:sz w:val="20"/>
                <w:szCs w:val="20"/>
                <w:lang w:val="fr-FR" w:eastAsia="zh-CN"/>
              </w:rPr>
              <w:t>Gonatodes daudini</w:t>
            </w:r>
            <w:r w:rsidRPr="00653BF4">
              <w:rPr>
                <w:rFonts w:ascii="Aptos" w:eastAsia="Aptos" w:hAnsi="Aptos" w:cs="Aptos"/>
                <w:color w:val="000000" w:themeColor="text1"/>
                <w:sz w:val="20"/>
                <w:szCs w:val="20"/>
                <w:lang w:val="fr-FR" w:eastAsia="zh-CN"/>
              </w:rPr>
              <w:t>), espèce en danger critique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extinction, a augmenté de 80</w:t>
            </w:r>
            <w:r w:rsidR="002878D7">
              <w:rPr>
                <w:rFonts w:ascii="Aptos" w:eastAsia="Aptos" w:hAnsi="Aptos" w:cs="Aptos"/>
                <w:color w:val="000000" w:themeColor="text1"/>
                <w:sz w:val="20"/>
                <w:szCs w:val="20"/>
                <w:lang w:val="fr-FR" w:eastAsia="zh-CN"/>
              </w:rPr>
              <w:t> %</w:t>
            </w:r>
            <w:r w:rsidRPr="00653BF4">
              <w:rPr>
                <w:rFonts w:ascii="Aptos" w:eastAsia="Aptos" w:hAnsi="Aptos" w:cs="Aptos"/>
                <w:color w:val="000000" w:themeColor="text1"/>
                <w:sz w:val="20"/>
                <w:szCs w:val="20"/>
                <w:lang w:val="fr-FR" w:eastAsia="zh-CN"/>
              </w:rPr>
              <w:t xml:space="preserve"> grâce à des mesures ciblées de protection et de gestion de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habitat. Des perroquets de Saint-Vincent (</w:t>
            </w:r>
            <w:r w:rsidRPr="00653BF4">
              <w:rPr>
                <w:rFonts w:ascii="Aptos" w:eastAsia="Aptos" w:hAnsi="Aptos" w:cs="Aptos"/>
                <w:i/>
                <w:iCs/>
                <w:color w:val="000000" w:themeColor="text1"/>
                <w:sz w:val="20"/>
                <w:szCs w:val="20"/>
                <w:lang w:val="fr-FR" w:eastAsia="zh-CN"/>
              </w:rPr>
              <w:t>Amazona guildingii</w:t>
            </w:r>
            <w:r w:rsidRPr="00653BF4">
              <w:rPr>
                <w:rFonts w:ascii="Aptos" w:eastAsia="Aptos" w:hAnsi="Aptos" w:cs="Aptos"/>
                <w:color w:val="000000" w:themeColor="text1"/>
                <w:sz w:val="20"/>
                <w:szCs w:val="20"/>
                <w:lang w:val="fr-FR" w:eastAsia="zh-CN"/>
              </w:rPr>
              <w:t>) élevés en captivité ont été réintroduits avec succès afin de stabiliser les populations sauvages, tandis que le nombre de nids de tortues marines n</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 cessé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augmenter grâce à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atténuation des activités de chasse illégale.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exploitation marine réglementée a également favorisé le rétablissement des ressources halieutiques herbivores et amélioré les conditions écologiques des récifs coralliens.</w:t>
            </w:r>
          </w:p>
          <w:p w14:paraId="1E1930AF" w14:textId="77777777" w:rsidR="003039EB" w:rsidRPr="00653BF4" w:rsidRDefault="003039EB" w:rsidP="00E7386A">
            <w:pPr>
              <w:rPr>
                <w:rFonts w:ascii="Aptos" w:eastAsia="Aptos" w:hAnsi="Aptos" w:cs="Aptos"/>
                <w:color w:val="000000" w:themeColor="text1"/>
                <w:sz w:val="20"/>
                <w:szCs w:val="20"/>
                <w:lang w:val="fr-FR" w:eastAsia="zh-CN"/>
              </w:rPr>
            </w:pPr>
          </w:p>
          <w:p w14:paraId="319F2410" w14:textId="0B0E612E" w:rsidR="009F06E1" w:rsidRPr="00653BF4" w:rsidRDefault="007C734E" w:rsidP="00E7386A">
            <w:pPr>
              <w:rPr>
                <w:rFonts w:ascii="Aptos" w:eastAsia="Aptos" w:hAnsi="Aptos" w:cs="Aptos"/>
                <w:color w:val="000000" w:themeColor="text1"/>
                <w:sz w:val="20"/>
                <w:szCs w:val="20"/>
                <w:lang w:val="fr-FR" w:eastAsia="zh-CN"/>
              </w:rPr>
            </w:pPr>
            <w:r w:rsidRPr="00653BF4">
              <w:rPr>
                <w:rFonts w:ascii="Aptos" w:eastAsia="Aptos" w:hAnsi="Aptos" w:cs="Aptos"/>
                <w:color w:val="000000" w:themeColor="text1"/>
                <w:sz w:val="20"/>
                <w:szCs w:val="20"/>
                <w:lang w:val="fr-FR" w:eastAsia="zh-CN"/>
              </w:rPr>
              <w:t>De nombreuses parties prenantes sont impliquées dans la mise en œuvre de mesures de conservation à long terme au sein des écosystèmes terrestres et marins de Saint-Vincent-et-les-Grenadines. Parmi les principaux organismes gouvernementaux figurent le Département des forêts et la Division des pêches, qui se chargent de la planification, de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application de la loi et du suivi écologique. Les communautés locales mènent des patrouilles quotidiennes et des actions de sensibilisation du public, avec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appui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une ONG locale</w:t>
            </w:r>
            <w:r w:rsidR="00E34DC9">
              <w:rPr>
                <w:rFonts w:ascii="Aptos" w:eastAsia="Aptos" w:hAnsi="Aptos" w:cs="Aptos"/>
                <w:color w:val="000000" w:themeColor="text1"/>
                <w:sz w:val="20"/>
                <w:szCs w:val="20"/>
                <w:lang w:val="fr-FR" w:eastAsia="zh-CN"/>
              </w:rPr>
              <w:t> :</w:t>
            </w:r>
            <w:r w:rsidRPr="00653BF4">
              <w:rPr>
                <w:rFonts w:ascii="Aptos" w:eastAsia="Aptos" w:hAnsi="Aptos" w:cs="Aptos"/>
                <w:color w:val="000000" w:themeColor="text1"/>
                <w:sz w:val="20"/>
                <w:szCs w:val="20"/>
                <w:lang w:val="fr-FR" w:eastAsia="zh-CN"/>
              </w:rPr>
              <w:t xml:space="preserve">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Union Island Environmental Alliance. Des conseils techniques et un financement durable sont fournis par des partenaires internationaux, notamment Fauna and Flora International et le Fonds pour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environnement de Saint-Vincent-et-les-Grenadines.</w:t>
            </w:r>
          </w:p>
          <w:p w14:paraId="00622769" w14:textId="77777777" w:rsidR="00424DCE" w:rsidRPr="00653BF4" w:rsidRDefault="00424DCE" w:rsidP="009E0B86">
            <w:pPr>
              <w:rPr>
                <w:rFonts w:ascii="Aptos" w:eastAsia="Aptos" w:hAnsi="Aptos" w:cs="Aptos"/>
                <w:color w:val="000000" w:themeColor="text1"/>
                <w:sz w:val="20"/>
                <w:szCs w:val="20"/>
                <w:lang w:val="fr-FR" w:eastAsia="zh-CN"/>
              </w:rPr>
            </w:pPr>
          </w:p>
          <w:p w14:paraId="6D898CA9" w14:textId="5A85A84F" w:rsidR="00424DCE" w:rsidRPr="00653BF4" w:rsidRDefault="0062785F" w:rsidP="00424DCE">
            <w:pPr>
              <w:rPr>
                <w:rFonts w:ascii="Aptos" w:eastAsia="Aptos" w:hAnsi="Aptos" w:cs="Aptos"/>
                <w:color w:val="000000" w:themeColor="text1"/>
                <w:sz w:val="20"/>
                <w:szCs w:val="20"/>
                <w:lang w:val="fr-FR" w:eastAsia="zh-CN"/>
              </w:rPr>
            </w:pPr>
            <w:r w:rsidRPr="00653BF4">
              <w:rPr>
                <w:rFonts w:ascii="Aptos" w:eastAsia="Aptos" w:hAnsi="Aptos" w:cs="Aptos"/>
                <w:color w:val="000000" w:themeColor="text1"/>
                <w:sz w:val="20"/>
                <w:szCs w:val="20"/>
                <w:lang w:val="fr-FR" w:eastAsia="zh-CN"/>
              </w:rPr>
              <w:t>Les mesures de conservation concernent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ensemble du territoire de Saint-Vincent-et-les-Grenadines, en mettant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accent sur les forêts insulaires, les zones boisées des hautes terres, les plages de nidification côtières et les systèmes de récifs coralliens au large. Les projets s</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attaquent à de multiples défis inhérents à la conservation auxquels sont confrontés Saint-Vincent-et-les-Grenadines, notamment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instabilité du financement de la conservation et la dépendance excessive vis-à-vis des subventions extérieures, la faiblesse de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application de la loi, le braconnage illégal généralisé, le trafic de la faune et de la flore sauvages et la pêche non réglementée. Pour résoudre ces problèmes,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État a mis en œuvre des interdictions légales ciblées et élaboré une réglementation standardisée en matière de gestion des prises accessoires. Il a également mis en place des plans de rétablissement des espèces, des mécanismes de patrouilles communautaires et des projets de remise en état de récifs coralliens artificiels. La reconnaissance de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équipe de gardes forestiers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Union Island par les Prix internationaux des gardes forestiers de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UICN a confirmé l</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efficacité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une conservation centrée sur les communautés, renforçant ainsi son statut de modèle à reproduire dans d</w:t>
            </w:r>
            <w:r w:rsidR="002A58C8" w:rsidRPr="00653BF4">
              <w:rPr>
                <w:rFonts w:ascii="Aptos" w:eastAsia="Aptos" w:hAnsi="Aptos" w:cs="Aptos"/>
                <w:color w:val="000000" w:themeColor="text1"/>
                <w:sz w:val="20"/>
                <w:szCs w:val="20"/>
                <w:lang w:val="fr-FR" w:eastAsia="zh-CN"/>
              </w:rPr>
              <w:t>’</w:t>
            </w:r>
            <w:r w:rsidRPr="00653BF4">
              <w:rPr>
                <w:rFonts w:ascii="Aptos" w:eastAsia="Aptos" w:hAnsi="Aptos" w:cs="Aptos"/>
                <w:color w:val="000000" w:themeColor="text1"/>
                <w:sz w:val="20"/>
                <w:szCs w:val="20"/>
                <w:lang w:val="fr-FR" w:eastAsia="zh-CN"/>
              </w:rPr>
              <w:t>autres petits États insulaires en développement.</w:t>
            </w:r>
          </w:p>
          <w:p w14:paraId="44AE2A58" w14:textId="77777777" w:rsidR="00D65DDB" w:rsidRPr="00653BF4" w:rsidRDefault="00D65DDB" w:rsidP="00E7386A">
            <w:pPr>
              <w:rPr>
                <w:rFonts w:ascii="Aptos" w:eastAsia="Aptos" w:hAnsi="Aptos" w:cs="Aptos"/>
                <w:color w:val="000000" w:themeColor="text1"/>
                <w:sz w:val="20"/>
                <w:szCs w:val="20"/>
                <w:lang w:val="fr-FR" w:eastAsia="zh-CN"/>
              </w:rPr>
            </w:pPr>
          </w:p>
          <w:p w14:paraId="2753A5E9" w14:textId="0278DD55" w:rsidR="00D65DDB" w:rsidRPr="00653BF4" w:rsidRDefault="00904C13" w:rsidP="00E7386A">
            <w:pPr>
              <w:rPr>
                <w:rFonts w:ascii="Aptos" w:eastAsia="Aptos" w:hAnsi="Aptos" w:cs="Aptos"/>
                <w:color w:val="000000" w:themeColor="text1"/>
                <w:sz w:val="20"/>
                <w:szCs w:val="20"/>
                <w:lang w:val="fr-FR" w:eastAsia="zh-CN"/>
              </w:rPr>
            </w:pPr>
            <w:r w:rsidRPr="00653BF4">
              <w:rPr>
                <w:rFonts w:ascii="Aptos" w:eastAsia="Aptos" w:hAnsi="Aptos" w:cs="Aptos"/>
                <w:i/>
                <w:color w:val="000000" w:themeColor="text1"/>
                <w:sz w:val="20"/>
                <w:szCs w:val="20"/>
                <w:lang w:val="fr-FR" w:eastAsia="zh-CN"/>
              </w:rPr>
              <w:t>C</w:t>
            </w:r>
            <w:r w:rsidR="001345EC" w:rsidRPr="00653BF4">
              <w:rPr>
                <w:rFonts w:ascii="Aptos" w:eastAsia="Aptos" w:hAnsi="Aptos" w:cs="Aptos"/>
                <w:i/>
                <w:color w:val="000000" w:themeColor="text1"/>
                <w:sz w:val="20"/>
                <w:szCs w:val="20"/>
                <w:lang w:val="fr-FR" w:eastAsia="zh-CN"/>
              </w:rPr>
              <w:t>ibles concernées</w:t>
            </w:r>
            <w:r w:rsidR="00E34DC9">
              <w:rPr>
                <w:rFonts w:ascii="Aptos" w:eastAsia="Aptos" w:hAnsi="Aptos" w:cs="Aptos"/>
                <w:i/>
                <w:color w:val="000000" w:themeColor="text1"/>
                <w:sz w:val="20"/>
                <w:szCs w:val="20"/>
                <w:lang w:val="fr-FR" w:eastAsia="zh-CN"/>
              </w:rPr>
              <w:t> :</w:t>
            </w:r>
            <w:r w:rsidR="00D65DDB" w:rsidRPr="00653BF4">
              <w:rPr>
                <w:rFonts w:ascii="Aptos" w:eastAsia="Aptos" w:hAnsi="Aptos" w:cs="Aptos"/>
                <w:i/>
                <w:color w:val="000000" w:themeColor="text1"/>
                <w:sz w:val="20"/>
                <w:szCs w:val="20"/>
                <w:lang w:val="fr-FR" w:eastAsia="zh-CN"/>
              </w:rPr>
              <w:t xml:space="preserve"> </w:t>
            </w:r>
            <w:r w:rsidR="00D65DDB" w:rsidRPr="00653BF4">
              <w:rPr>
                <w:rFonts w:ascii="Aptos" w:eastAsia="Aptos" w:hAnsi="Aptos" w:cs="Aptos"/>
                <w:color w:val="000000" w:themeColor="text1"/>
                <w:sz w:val="20"/>
                <w:szCs w:val="20"/>
                <w:lang w:val="fr-FR" w:eastAsia="zh-CN"/>
              </w:rPr>
              <w:t xml:space="preserve">4, </w:t>
            </w:r>
            <w:r w:rsidR="009D5528" w:rsidRPr="00653BF4">
              <w:rPr>
                <w:rFonts w:ascii="Aptos" w:eastAsia="Aptos" w:hAnsi="Aptos" w:cs="Aptos"/>
                <w:color w:val="000000" w:themeColor="text1"/>
                <w:sz w:val="20"/>
                <w:szCs w:val="20"/>
                <w:lang w:val="fr-FR" w:eastAsia="zh-CN"/>
              </w:rPr>
              <w:t>5, 19</w:t>
            </w:r>
            <w:r w:rsidR="00424DCE" w:rsidRPr="00653BF4">
              <w:rPr>
                <w:rFonts w:ascii="Aptos" w:eastAsia="Aptos" w:hAnsi="Aptos" w:cs="Aptos"/>
                <w:iCs/>
                <w:color w:val="000000" w:themeColor="text1"/>
                <w:sz w:val="20"/>
                <w:szCs w:val="20"/>
                <w:lang w:val="fr-FR" w:eastAsia="zh-CN"/>
              </w:rPr>
              <w:t xml:space="preserve"> </w:t>
            </w:r>
            <w:r w:rsidRPr="00653BF4">
              <w:rPr>
                <w:rFonts w:ascii="Aptos" w:eastAsia="Aptos" w:hAnsi="Aptos" w:cs="Aptos"/>
                <w:iCs/>
                <w:color w:val="000000" w:themeColor="text1"/>
                <w:sz w:val="20"/>
                <w:szCs w:val="20"/>
                <w:lang w:val="fr-FR" w:eastAsia="zh-CN"/>
              </w:rPr>
              <w:t>et</w:t>
            </w:r>
            <w:r w:rsidR="009D5528" w:rsidRPr="00653BF4">
              <w:rPr>
                <w:rFonts w:ascii="Aptos" w:eastAsia="Aptos" w:hAnsi="Aptos" w:cs="Aptos"/>
                <w:color w:val="000000" w:themeColor="text1"/>
                <w:sz w:val="20"/>
                <w:szCs w:val="20"/>
                <w:lang w:val="fr-FR" w:eastAsia="zh-CN"/>
              </w:rPr>
              <w:t xml:space="preserve"> 22</w:t>
            </w:r>
            <w:r w:rsidR="002B4C1A" w:rsidRPr="00653BF4">
              <w:rPr>
                <w:rFonts w:ascii="Aptos" w:eastAsia="Aptos" w:hAnsi="Aptos" w:cs="Aptos"/>
                <w:iCs/>
                <w:color w:val="000000" w:themeColor="text1"/>
                <w:sz w:val="20"/>
                <w:szCs w:val="20"/>
                <w:lang w:val="fr-FR" w:eastAsia="zh-CN"/>
              </w:rPr>
              <w:t>.</w:t>
            </w:r>
          </w:p>
          <w:p w14:paraId="25982F50" w14:textId="48A7CE00" w:rsidR="009D5528" w:rsidRPr="00653BF4" w:rsidRDefault="009D5528" w:rsidP="00E7386A">
            <w:pPr>
              <w:rPr>
                <w:rFonts w:ascii="Aptos" w:eastAsia="Aptos" w:hAnsi="Aptos" w:cs="Aptos"/>
                <w:color w:val="000000" w:themeColor="text1"/>
                <w:sz w:val="20"/>
                <w:szCs w:val="20"/>
                <w:lang w:val="fr-FR" w:eastAsia="zh-CN"/>
              </w:rPr>
            </w:pPr>
            <w:r w:rsidRPr="00653BF4">
              <w:rPr>
                <w:rFonts w:ascii="Aptos" w:eastAsia="Aptos" w:hAnsi="Aptos" w:cs="Aptos"/>
                <w:i/>
                <w:color w:val="000000" w:themeColor="text1"/>
                <w:sz w:val="20"/>
                <w:szCs w:val="20"/>
                <w:lang w:val="fr-FR" w:eastAsia="zh-CN"/>
              </w:rPr>
              <w:t>Source</w:t>
            </w:r>
            <w:r w:rsidR="00E34DC9">
              <w:rPr>
                <w:rFonts w:ascii="Aptos" w:eastAsia="Aptos" w:hAnsi="Aptos" w:cs="Aptos"/>
                <w:i/>
                <w:color w:val="000000" w:themeColor="text1"/>
                <w:sz w:val="20"/>
                <w:szCs w:val="20"/>
                <w:lang w:val="fr-FR" w:eastAsia="zh-CN"/>
              </w:rPr>
              <w:t> :</w:t>
            </w:r>
            <w:r w:rsidRPr="00653BF4">
              <w:rPr>
                <w:rFonts w:ascii="Aptos" w:eastAsia="Aptos" w:hAnsi="Aptos" w:cs="Aptos"/>
                <w:i/>
                <w:color w:val="000000" w:themeColor="text1"/>
                <w:sz w:val="20"/>
                <w:szCs w:val="20"/>
                <w:lang w:val="fr-FR" w:eastAsia="zh-CN"/>
              </w:rPr>
              <w:t xml:space="preserve"> </w:t>
            </w:r>
            <w:r w:rsidRPr="00653BF4">
              <w:rPr>
                <w:rFonts w:ascii="Aptos" w:eastAsia="Aptos" w:hAnsi="Aptos" w:cs="Aptos"/>
                <w:iCs/>
                <w:color w:val="000000" w:themeColor="text1"/>
                <w:sz w:val="20"/>
                <w:szCs w:val="20"/>
                <w:lang w:val="fr-FR" w:eastAsia="zh-CN"/>
              </w:rPr>
              <w:t>S</w:t>
            </w:r>
            <w:r w:rsidR="00A72A05" w:rsidRPr="00653BF4">
              <w:rPr>
                <w:rFonts w:ascii="Aptos" w:eastAsia="Aptos" w:hAnsi="Aptos" w:cs="Aptos"/>
                <w:iCs/>
                <w:color w:val="000000" w:themeColor="text1"/>
                <w:sz w:val="20"/>
                <w:szCs w:val="20"/>
                <w:lang w:val="fr-FR" w:eastAsia="zh-CN"/>
              </w:rPr>
              <w:t>ain</w:t>
            </w:r>
            <w:r w:rsidRPr="00653BF4">
              <w:rPr>
                <w:rFonts w:ascii="Aptos" w:eastAsia="Aptos" w:hAnsi="Aptos" w:cs="Aptos"/>
                <w:iCs/>
                <w:color w:val="000000" w:themeColor="text1"/>
                <w:sz w:val="20"/>
                <w:szCs w:val="20"/>
                <w:lang w:val="fr-FR" w:eastAsia="zh-CN"/>
              </w:rPr>
              <w:t>t</w:t>
            </w:r>
            <w:r w:rsidR="00062530" w:rsidRPr="00653BF4">
              <w:rPr>
                <w:rFonts w:ascii="Aptos" w:eastAsia="Aptos" w:hAnsi="Aptos" w:cs="Aptos"/>
                <w:iCs/>
                <w:color w:val="000000" w:themeColor="text1"/>
                <w:sz w:val="20"/>
                <w:szCs w:val="20"/>
                <w:lang w:val="fr-FR" w:eastAsia="zh-CN"/>
              </w:rPr>
              <w:t>-</w:t>
            </w:r>
            <w:r w:rsidRPr="00653BF4">
              <w:rPr>
                <w:rFonts w:ascii="Aptos" w:eastAsia="Aptos" w:hAnsi="Aptos" w:cs="Aptos"/>
                <w:color w:val="000000" w:themeColor="text1"/>
                <w:sz w:val="20"/>
                <w:szCs w:val="20"/>
                <w:lang w:val="fr-FR" w:eastAsia="zh-CN"/>
              </w:rPr>
              <w:t>Vincent</w:t>
            </w:r>
            <w:r w:rsidR="00062530" w:rsidRPr="00653BF4">
              <w:rPr>
                <w:rFonts w:ascii="Aptos" w:eastAsia="Aptos" w:hAnsi="Aptos" w:cs="Aptos"/>
                <w:color w:val="000000" w:themeColor="text1"/>
                <w:sz w:val="20"/>
                <w:szCs w:val="20"/>
                <w:lang w:val="fr-FR" w:eastAsia="zh-CN"/>
              </w:rPr>
              <w:t>-et-les-</w:t>
            </w:r>
            <w:r w:rsidRPr="00653BF4">
              <w:rPr>
                <w:rFonts w:ascii="Aptos" w:eastAsia="Aptos" w:hAnsi="Aptos" w:cs="Aptos"/>
                <w:color w:val="000000" w:themeColor="text1"/>
                <w:sz w:val="20"/>
                <w:szCs w:val="20"/>
                <w:lang w:val="fr-FR" w:eastAsia="zh-CN"/>
              </w:rPr>
              <w:t xml:space="preserve">Grenadines, </w:t>
            </w:r>
            <w:r w:rsidR="00062530" w:rsidRPr="00653BF4">
              <w:rPr>
                <w:rFonts w:ascii="Aptos" w:eastAsia="Aptos" w:hAnsi="Aptos" w:cs="Aptos"/>
                <w:color w:val="000000" w:themeColor="text1"/>
                <w:sz w:val="20"/>
                <w:szCs w:val="20"/>
                <w:lang w:val="fr-FR" w:eastAsia="zh-CN"/>
              </w:rPr>
              <w:t xml:space="preserve">septième rapport national au titre de la </w:t>
            </w:r>
            <w:r w:rsidRPr="00653BF4">
              <w:rPr>
                <w:rFonts w:ascii="Aptos" w:eastAsia="Aptos" w:hAnsi="Aptos" w:cs="Aptos"/>
                <w:color w:val="000000" w:themeColor="text1"/>
                <w:sz w:val="20"/>
                <w:szCs w:val="20"/>
                <w:lang w:val="fr-FR" w:eastAsia="zh-CN"/>
              </w:rPr>
              <w:t>Convention</w:t>
            </w:r>
            <w:r w:rsidR="00D97DA1" w:rsidRPr="00653BF4">
              <w:rPr>
                <w:rFonts w:ascii="Aptos" w:eastAsia="Aptos" w:hAnsi="Aptos" w:cs="Aptos"/>
                <w:iCs/>
                <w:color w:val="000000" w:themeColor="text1"/>
                <w:sz w:val="20"/>
                <w:szCs w:val="20"/>
                <w:lang w:val="fr-FR" w:eastAsia="zh-CN"/>
              </w:rPr>
              <w:t>.</w:t>
            </w:r>
          </w:p>
          <w:p w14:paraId="203384D7" w14:textId="5628BA65" w:rsidR="00B219AE" w:rsidRPr="00653BF4" w:rsidRDefault="00B219AE" w:rsidP="009A6756">
            <w:pPr>
              <w:rPr>
                <w:lang w:val="fr-FR"/>
              </w:rPr>
            </w:pPr>
          </w:p>
        </w:tc>
      </w:tr>
      <w:tr w:rsidR="00F60453" w:rsidRPr="00543148" w14:paraId="6287E8A6" w14:textId="77777777" w:rsidTr="00F60453">
        <w:trPr>
          <w:trHeight w:val="379"/>
        </w:trPr>
        <w:tc>
          <w:tcPr>
            <w:tcW w:w="9060" w:type="dxa"/>
            <w:gridSpan w:val="2"/>
            <w:shd w:val="clear" w:color="auto" w:fill="D1D1D1" w:themeFill="background2" w:themeFillShade="E6"/>
          </w:tcPr>
          <w:p w14:paraId="1FB8C8C7" w14:textId="05A6E62B" w:rsidR="00202AFA" w:rsidRPr="00653BF4" w:rsidRDefault="0024766A" w:rsidP="00202AFA">
            <w:pPr>
              <w:pStyle w:val="Caption"/>
              <w:keepNext/>
              <w:rPr>
                <w:i w:val="0"/>
                <w:iCs w:val="0"/>
                <w:sz w:val="20"/>
                <w:szCs w:val="20"/>
                <w:lang w:val="fr-FR"/>
              </w:rPr>
            </w:pPr>
            <w:r w:rsidRPr="00653BF4">
              <w:rPr>
                <w:i w:val="0"/>
                <w:iCs w:val="0"/>
                <w:sz w:val="20"/>
                <w:szCs w:val="20"/>
                <w:lang w:val="fr-FR"/>
              </w:rPr>
              <w:lastRenderedPageBreak/>
              <w:t>Encadré</w:t>
            </w:r>
            <w:r w:rsidR="00202AFA" w:rsidRPr="00653BF4">
              <w:rPr>
                <w:i w:val="0"/>
                <w:iCs w:val="0"/>
                <w:sz w:val="20"/>
                <w:szCs w:val="20"/>
                <w:lang w:val="fr-FR"/>
              </w:rPr>
              <w:t xml:space="preserve"> </w:t>
            </w:r>
            <w:r w:rsidR="008306DF" w:rsidRPr="00653BF4">
              <w:rPr>
                <w:i w:val="0"/>
                <w:iCs w:val="0"/>
                <w:noProof/>
                <w:sz w:val="20"/>
                <w:szCs w:val="20"/>
                <w:lang w:val="fr-FR"/>
              </w:rPr>
              <w:t>17</w:t>
            </w:r>
            <w:r w:rsidR="00202AFA" w:rsidRPr="00653BF4">
              <w:rPr>
                <w:i w:val="0"/>
                <w:iCs w:val="0"/>
                <w:sz w:val="20"/>
                <w:szCs w:val="20"/>
                <w:lang w:val="fr-FR"/>
              </w:rPr>
              <w:t xml:space="preserve"> </w:t>
            </w:r>
          </w:p>
          <w:p w14:paraId="71F71B06" w14:textId="1DEE63ED" w:rsidR="00F60453" w:rsidRPr="00653BF4" w:rsidRDefault="00467BA8" w:rsidP="006E369A">
            <w:pPr>
              <w:rPr>
                <w:b/>
                <w:sz w:val="20"/>
                <w:szCs w:val="20"/>
                <w:lang w:val="fr-FR"/>
              </w:rPr>
            </w:pPr>
            <w:r>
              <w:rPr>
                <w:rFonts w:ascii="Aptos" w:hAnsi="Aptos"/>
                <w:b/>
                <w:bCs/>
                <w:color w:val="000000"/>
                <w:sz w:val="20"/>
                <w:szCs w:val="20"/>
                <w:lang w:val="fr-FR"/>
              </w:rPr>
              <w:t>Un m</w:t>
            </w:r>
            <w:r w:rsidR="00D43267" w:rsidRPr="00653BF4">
              <w:rPr>
                <w:rFonts w:ascii="Aptos" w:hAnsi="Aptos"/>
                <w:b/>
                <w:bCs/>
                <w:color w:val="000000"/>
                <w:sz w:val="20"/>
                <w:szCs w:val="20"/>
                <w:lang w:val="fr-FR"/>
              </w:rPr>
              <w:t>odèle de gouvernance en matière d</w:t>
            </w:r>
            <w:r w:rsidR="00D77549">
              <w:rPr>
                <w:rFonts w:ascii="Aptos" w:hAnsi="Aptos"/>
                <w:b/>
                <w:bCs/>
                <w:color w:val="000000"/>
                <w:sz w:val="20"/>
                <w:szCs w:val="20"/>
                <w:lang w:val="fr-FR"/>
              </w:rPr>
              <w:t>’</w:t>
            </w:r>
            <w:r w:rsidR="00D43267" w:rsidRPr="00653BF4">
              <w:rPr>
                <w:rFonts w:ascii="Aptos" w:hAnsi="Aptos"/>
                <w:b/>
                <w:bCs/>
                <w:color w:val="000000"/>
                <w:sz w:val="20"/>
                <w:szCs w:val="20"/>
                <w:lang w:val="fr-FR"/>
              </w:rPr>
              <w:t>assurance contre les conflits entre l</w:t>
            </w:r>
            <w:r w:rsidR="00D77549">
              <w:rPr>
                <w:rFonts w:ascii="Aptos" w:hAnsi="Aptos"/>
                <w:b/>
                <w:bCs/>
                <w:color w:val="000000"/>
                <w:sz w:val="20"/>
                <w:szCs w:val="20"/>
                <w:lang w:val="fr-FR"/>
              </w:rPr>
              <w:t>’</w:t>
            </w:r>
            <w:r w:rsidR="00D43267" w:rsidRPr="00653BF4">
              <w:rPr>
                <w:rFonts w:ascii="Aptos" w:hAnsi="Aptos"/>
                <w:b/>
                <w:bCs/>
                <w:color w:val="000000"/>
                <w:sz w:val="20"/>
                <w:szCs w:val="20"/>
                <w:lang w:val="fr-FR"/>
              </w:rPr>
              <w:t>homme et la faune et la flore sauvages en Chine</w:t>
            </w:r>
          </w:p>
          <w:p w14:paraId="614BB45C" w14:textId="77777777" w:rsidR="00C7362C" w:rsidRPr="00653BF4" w:rsidRDefault="00C7362C" w:rsidP="00455D2B">
            <w:pPr>
              <w:autoSpaceDE w:val="0"/>
              <w:autoSpaceDN w:val="0"/>
              <w:adjustRightInd w:val="0"/>
              <w:spacing w:after="319" w:line="276" w:lineRule="auto"/>
              <w:rPr>
                <w:rFonts w:cs="Helvetica Neue"/>
                <w:color w:val="191919"/>
                <w:kern w:val="0"/>
                <w:sz w:val="22"/>
                <w:szCs w:val="22"/>
                <w:lang w:val="fr-FR"/>
              </w:rPr>
            </w:pPr>
          </w:p>
          <w:p w14:paraId="7A64CB1F" w14:textId="77777777" w:rsidR="00487854" w:rsidRPr="00653BF4" w:rsidRDefault="00487854" w:rsidP="00487854">
            <w:pPr>
              <w:autoSpaceDE w:val="0"/>
              <w:autoSpaceDN w:val="0"/>
              <w:adjustRightInd w:val="0"/>
              <w:spacing w:after="319" w:line="276" w:lineRule="auto"/>
              <w:rPr>
                <w:rFonts w:cs="Helvetica Neue"/>
                <w:color w:val="191919"/>
                <w:kern w:val="0"/>
                <w:sz w:val="20"/>
                <w:szCs w:val="20"/>
                <w:lang w:val="fr-FR"/>
              </w:rPr>
            </w:pPr>
            <w:r w:rsidRPr="00653BF4">
              <w:rPr>
                <w:rFonts w:cs="Helvetica Neue"/>
                <w:color w:val="191919"/>
                <w:kern w:val="0"/>
                <w:sz w:val="20"/>
                <w:szCs w:val="20"/>
                <w:lang w:val="fr-FR"/>
              </w:rPr>
              <w:t>Les conflits entre homme/faune sauvage sont devenus un défi majeur en matière de gouvernance, qui accompagne les efforts de conservation des espèces sauvages dans de nombreux pays. À mesure que les populations d’espèces protégées augmentent, les dégâts causés aux cultures, au bétail et aux biens peuvent susciter une résistance locale aux mesures de conservation et compromettre les conclusions à long terme de ces efforts. Dans la province du Yunnan, en Chine, un modèle financier et technique innovant a été mis en place afin d’atténuer ces conflits entre l’homme et la faune et la flore sauvages.</w:t>
            </w:r>
          </w:p>
          <w:p w14:paraId="07D1522F" w14:textId="4C24960D" w:rsidR="00487854" w:rsidRPr="00653BF4" w:rsidRDefault="00487854" w:rsidP="00487854">
            <w:pPr>
              <w:autoSpaceDE w:val="0"/>
              <w:autoSpaceDN w:val="0"/>
              <w:adjustRightInd w:val="0"/>
              <w:spacing w:after="319" w:line="276" w:lineRule="auto"/>
              <w:rPr>
                <w:rFonts w:cs="Helvetica Neue"/>
                <w:color w:val="191919"/>
                <w:kern w:val="0"/>
                <w:sz w:val="20"/>
                <w:szCs w:val="20"/>
                <w:lang w:val="fr-FR"/>
              </w:rPr>
            </w:pPr>
            <w:r w:rsidRPr="00653BF4">
              <w:rPr>
                <w:rFonts w:cs="Helvetica Neue"/>
                <w:color w:val="191919"/>
                <w:kern w:val="0"/>
                <w:sz w:val="20"/>
                <w:szCs w:val="20"/>
                <w:lang w:val="fr-FR"/>
              </w:rPr>
              <w:t xml:space="preserve">La province du Yunnan </w:t>
            </w:r>
            <w:r w:rsidR="001B1929" w:rsidRPr="00653BF4">
              <w:rPr>
                <w:rFonts w:cs="Helvetica Neue"/>
                <w:color w:val="191919"/>
                <w:kern w:val="0"/>
                <w:sz w:val="20"/>
                <w:szCs w:val="20"/>
                <w:lang w:val="fr-FR"/>
              </w:rPr>
              <w:t>recèle</w:t>
            </w:r>
            <w:r w:rsidRPr="00653BF4">
              <w:rPr>
                <w:rFonts w:cs="Helvetica Neue"/>
                <w:color w:val="191919"/>
                <w:kern w:val="0"/>
                <w:sz w:val="20"/>
                <w:szCs w:val="20"/>
                <w:lang w:val="fr-FR"/>
              </w:rPr>
              <w:t xml:space="preserve"> une biodiversité exceptionnelle, mais est confrontée à de graves pressions résultant du chevauchement entre les zones d’habitation humaines et les habitats de la faune et de la flore sauvages, avec des dégâts fréquents causés par les éléphants d’Asie, les ours noirs, les sangliers, les macaques et les oiseaux sauvages. Depuis 1998, la province du Yunnan a continué à augmenter les dotations financières destinées à protéger les intérêts des résidents locaux, en rehaussant progressivement les barèmes d’indemnisation afin d’offrir une compensation économique appropriée aux personnes touchées par les dégâts causés par la faune et la flore sauvages. Cette politique a contribué à atténuer les conflits entre l’homme et la faune et la flore sauvages en compensant les pertes causées par celles-ci et a permis de maintenir l’enthousiasme du public pour la conservation de la biodiversité.</w:t>
            </w:r>
          </w:p>
          <w:p w14:paraId="044A9A89" w14:textId="77777777" w:rsidR="00487854" w:rsidRPr="00653BF4" w:rsidRDefault="00487854" w:rsidP="00487854">
            <w:pPr>
              <w:autoSpaceDE w:val="0"/>
              <w:autoSpaceDN w:val="0"/>
              <w:adjustRightInd w:val="0"/>
              <w:spacing w:after="319" w:line="276" w:lineRule="auto"/>
              <w:rPr>
                <w:rFonts w:cs="Helvetica Neue"/>
                <w:color w:val="191919"/>
                <w:kern w:val="0"/>
                <w:sz w:val="20"/>
                <w:szCs w:val="20"/>
                <w:lang w:val="fr-FR"/>
              </w:rPr>
            </w:pPr>
            <w:r w:rsidRPr="00653BF4">
              <w:rPr>
                <w:rFonts w:cs="Helvetica Neue"/>
                <w:color w:val="191919"/>
                <w:kern w:val="0"/>
                <w:sz w:val="20"/>
                <w:szCs w:val="20"/>
                <w:lang w:val="fr-FR"/>
              </w:rPr>
              <w:t>Afin de concilier davantage la conservation de la faune et de la flore sauvages et la sécurité des moyens de subsistance locaux, le Yunnan a mis en place, avec le financement du gouvernement, un système d’assurance responsabilité civile pour la faune et la flore sauvages à couverture intégrale, qui offre une indemnisation rapide pour les pertes liées à la faune et à la flore sauvages. Un projet pilote d’assurance a été lancé en 2010 dans la préfecture autonome dai de Xishuangbanna et dans le comté autonome va de Cangyuan. Cette initiative a été élevée au rang de projet prioritaire provincial en 2014 et a atteint une couverture complète dans l’ensemble des 16 préfectures et des 129 comtés au cours de la même année. Au cours de la décennie allant de 2014 à 2024, le montant total des primes versées s’est élevé à 764 millions de RMB, tandis que les indemnités versées ont atteint 667 millions de RMB.</w:t>
            </w:r>
          </w:p>
          <w:p w14:paraId="3D173BDB" w14:textId="3AEE199E" w:rsidR="00487854" w:rsidRPr="00653BF4" w:rsidRDefault="00487854" w:rsidP="00487854">
            <w:pPr>
              <w:autoSpaceDE w:val="0"/>
              <w:autoSpaceDN w:val="0"/>
              <w:adjustRightInd w:val="0"/>
              <w:spacing w:after="319" w:line="276" w:lineRule="auto"/>
              <w:rPr>
                <w:rFonts w:cs="Helvetica Neue"/>
                <w:color w:val="191919"/>
                <w:kern w:val="0"/>
                <w:sz w:val="20"/>
                <w:szCs w:val="20"/>
                <w:lang w:val="fr-FR"/>
              </w:rPr>
            </w:pPr>
            <w:r w:rsidRPr="00653BF4">
              <w:rPr>
                <w:rFonts w:cs="Helvetica Neue"/>
                <w:color w:val="191919"/>
                <w:kern w:val="0"/>
                <w:sz w:val="20"/>
                <w:szCs w:val="20"/>
                <w:lang w:val="fr-FR"/>
              </w:rPr>
              <w:t xml:space="preserve">Des améliorations institutionnelles et techniques ont permis d’affiner davantage la gestion des conflits, et de nouvelles mesures adoptées en 2025 ont harmonisé les normes d’indemnisation et jeté les bases juridiques de la couverture d’assurance. Afin d’accélérer la prestation des services, le Bureau des forêts et des prairies du Yunnan s’est associé à la China Pacific Insurance Company pour mettre en place </w:t>
            </w:r>
            <w:r w:rsidR="00E34DC9">
              <w:rPr>
                <w:rFonts w:cs="Helvetica Neue"/>
                <w:color w:val="191919"/>
                <w:kern w:val="0"/>
                <w:sz w:val="20"/>
                <w:szCs w:val="20"/>
                <w:lang w:val="fr-FR"/>
              </w:rPr>
              <w:t>« </w:t>
            </w:r>
            <w:r w:rsidRPr="00653BF4">
              <w:rPr>
                <w:rFonts w:cs="Helvetica Neue"/>
                <w:color w:val="191919"/>
                <w:kern w:val="0"/>
                <w:sz w:val="20"/>
                <w:szCs w:val="20"/>
                <w:lang w:val="fr-FR"/>
              </w:rPr>
              <w:t>Aixiangsui</w:t>
            </w:r>
            <w:r w:rsidR="00E34DC9">
              <w:rPr>
                <w:rFonts w:cs="Helvetica Neue"/>
                <w:color w:val="191919"/>
                <w:kern w:val="0"/>
                <w:sz w:val="20"/>
                <w:szCs w:val="20"/>
                <w:lang w:val="fr-FR"/>
              </w:rPr>
              <w:t> »</w:t>
            </w:r>
            <w:r w:rsidRPr="00653BF4">
              <w:rPr>
                <w:rFonts w:cs="Helvetica Neue"/>
                <w:color w:val="191919"/>
                <w:kern w:val="0"/>
                <w:sz w:val="20"/>
                <w:szCs w:val="20"/>
                <w:lang w:val="fr-FR"/>
              </w:rPr>
              <w:t xml:space="preserve">, une plateforme </w:t>
            </w:r>
            <w:r w:rsidR="00E34DC9">
              <w:rPr>
                <w:rFonts w:cs="Helvetica Neue"/>
                <w:color w:val="191919"/>
                <w:kern w:val="0"/>
                <w:sz w:val="20"/>
                <w:szCs w:val="20"/>
                <w:lang w:val="fr-FR"/>
              </w:rPr>
              <w:t>« </w:t>
            </w:r>
            <w:r w:rsidRPr="00653BF4">
              <w:rPr>
                <w:rFonts w:cs="Helvetica Neue"/>
                <w:color w:val="191919"/>
                <w:kern w:val="0"/>
                <w:sz w:val="20"/>
                <w:szCs w:val="20"/>
                <w:lang w:val="fr-FR"/>
              </w:rPr>
              <w:t>intelligente</w:t>
            </w:r>
            <w:r w:rsidR="00E34DC9">
              <w:rPr>
                <w:rFonts w:cs="Helvetica Neue"/>
                <w:color w:val="191919"/>
                <w:kern w:val="0"/>
                <w:sz w:val="20"/>
                <w:szCs w:val="20"/>
                <w:lang w:val="fr-FR"/>
              </w:rPr>
              <w:t> »</w:t>
            </w:r>
            <w:r w:rsidRPr="00653BF4">
              <w:rPr>
                <w:rFonts w:cs="Helvetica Neue"/>
                <w:color w:val="191919"/>
                <w:kern w:val="0"/>
                <w:sz w:val="20"/>
                <w:szCs w:val="20"/>
                <w:lang w:val="fr-FR"/>
              </w:rPr>
              <w:t xml:space="preserve"> d’assurance responsabilité civile destinée à la gestion des conflits liés à la faune et à la flore sauvages, dans le but d’atténuer le délai de traitement des demandes d’indemnisation, passant d’un règlement annuel à une indemnisation quasi instantanée grâce à l’établissement de rapports numériques et à la vérification à distance.</w:t>
            </w:r>
          </w:p>
          <w:p w14:paraId="2AD18C53" w14:textId="71D6FF2E" w:rsidR="005472AF" w:rsidRPr="00653BF4" w:rsidRDefault="00487854" w:rsidP="00487854">
            <w:pPr>
              <w:autoSpaceDE w:val="0"/>
              <w:autoSpaceDN w:val="0"/>
              <w:adjustRightInd w:val="0"/>
              <w:spacing w:line="276" w:lineRule="auto"/>
              <w:rPr>
                <w:rFonts w:eastAsia="PingFang SC" w:cs="Helvetica Neue"/>
                <w:color w:val="191919"/>
                <w:kern w:val="0"/>
                <w:sz w:val="20"/>
                <w:szCs w:val="20"/>
                <w:lang w:val="fr-FR"/>
              </w:rPr>
            </w:pPr>
            <w:r w:rsidRPr="00653BF4">
              <w:rPr>
                <w:rFonts w:cs="Helvetica Neue"/>
                <w:color w:val="191919"/>
                <w:kern w:val="0"/>
                <w:sz w:val="20"/>
                <w:szCs w:val="20"/>
                <w:lang w:val="fr-FR"/>
              </w:rPr>
              <w:lastRenderedPageBreak/>
              <w:t xml:space="preserve">Cette intervention axée sur le marché en matière de conflits a apaisé les tensions entre les populations locales et la faune et la flore sauvages protégées, mettant fin aux abattages en représailles d’espèces menacées telles que les éléphants d’Asie et les ours noirs. En garantissant la sécurité des biens et des personnes grâce à une indemnisation rapide et normalisée, ce mécanisme atténue les tensions entre l’homme et la faune et la flore sauvages, favorise l’acceptation sociale de la conservation des espèces et permet d’aboutir à une situation triplement gagnante pour l’administration publique, les assureurs </w:t>
            </w:r>
            <w:r w:rsidR="000B36B2" w:rsidRPr="00653BF4">
              <w:rPr>
                <w:rFonts w:cs="Helvetica Neue"/>
                <w:color w:val="191919"/>
                <w:kern w:val="0"/>
                <w:sz w:val="20"/>
                <w:szCs w:val="20"/>
                <w:lang w:val="fr-FR"/>
              </w:rPr>
              <w:t>et communautés</w:t>
            </w:r>
            <w:r w:rsidRPr="00653BF4">
              <w:rPr>
                <w:rFonts w:cs="Helvetica Neue"/>
                <w:color w:val="191919"/>
                <w:kern w:val="0"/>
                <w:sz w:val="20"/>
                <w:szCs w:val="20"/>
                <w:lang w:val="fr-FR"/>
              </w:rPr>
              <w:t xml:space="preserve"> locales.</w:t>
            </w:r>
          </w:p>
          <w:p w14:paraId="33675580" w14:textId="77777777" w:rsidR="005472AF" w:rsidRPr="00653BF4" w:rsidRDefault="005472AF" w:rsidP="00992D3C">
            <w:pPr>
              <w:autoSpaceDE w:val="0"/>
              <w:autoSpaceDN w:val="0"/>
              <w:adjustRightInd w:val="0"/>
              <w:spacing w:line="276" w:lineRule="auto"/>
              <w:rPr>
                <w:rFonts w:eastAsia="PingFang SC" w:cs="Helvetica Neue"/>
                <w:color w:val="191919"/>
                <w:kern w:val="0"/>
                <w:sz w:val="20"/>
                <w:szCs w:val="20"/>
                <w:lang w:val="fr-FR"/>
              </w:rPr>
            </w:pPr>
          </w:p>
          <w:p w14:paraId="37C88620" w14:textId="78A813FB" w:rsidR="00553CCD" w:rsidRPr="00653BF4" w:rsidRDefault="00904C13" w:rsidP="00455D2B">
            <w:pPr>
              <w:autoSpaceDE w:val="0"/>
              <w:autoSpaceDN w:val="0"/>
              <w:adjustRightInd w:val="0"/>
              <w:spacing w:line="276" w:lineRule="auto"/>
              <w:rPr>
                <w:rFonts w:eastAsia="PingFang SC" w:cs="Helvetica Neue"/>
                <w:color w:val="191919"/>
                <w:kern w:val="0"/>
                <w:sz w:val="20"/>
                <w:szCs w:val="20"/>
                <w:lang w:val="fr-FR"/>
              </w:rPr>
            </w:pPr>
            <w:r w:rsidRPr="00653BF4">
              <w:rPr>
                <w:rFonts w:eastAsia="PingFang SC" w:cs="Helvetica Neue"/>
                <w:i/>
                <w:color w:val="191919"/>
                <w:kern w:val="0"/>
                <w:sz w:val="20"/>
                <w:szCs w:val="20"/>
                <w:lang w:val="fr-FR"/>
              </w:rPr>
              <w:t>C</w:t>
            </w:r>
            <w:r w:rsidR="001345EC" w:rsidRPr="00653BF4">
              <w:rPr>
                <w:rFonts w:eastAsia="PingFang SC" w:cs="Helvetica Neue"/>
                <w:i/>
                <w:color w:val="191919"/>
                <w:kern w:val="0"/>
                <w:sz w:val="20"/>
                <w:szCs w:val="20"/>
                <w:lang w:val="fr-FR"/>
              </w:rPr>
              <w:t>ibles concernées</w:t>
            </w:r>
            <w:r w:rsidR="00E34DC9">
              <w:rPr>
                <w:rFonts w:eastAsia="PingFang SC" w:cs="Helvetica Neue"/>
                <w:i/>
                <w:color w:val="191919"/>
                <w:kern w:val="0"/>
                <w:sz w:val="20"/>
                <w:szCs w:val="20"/>
                <w:lang w:val="fr-FR"/>
              </w:rPr>
              <w:t> :</w:t>
            </w:r>
            <w:r w:rsidR="00280ABD" w:rsidRPr="00653BF4">
              <w:rPr>
                <w:rFonts w:eastAsia="PingFang SC" w:cs="Helvetica Neue"/>
                <w:color w:val="191919"/>
                <w:kern w:val="0"/>
                <w:sz w:val="20"/>
                <w:szCs w:val="20"/>
                <w:lang w:val="fr-FR"/>
              </w:rPr>
              <w:t xml:space="preserve"> </w:t>
            </w:r>
            <w:r w:rsidR="00E40BDA" w:rsidRPr="00653BF4">
              <w:rPr>
                <w:rFonts w:eastAsia="PingFang SC" w:cs="Helvetica Neue"/>
                <w:color w:val="191919"/>
                <w:kern w:val="0"/>
                <w:sz w:val="20"/>
                <w:szCs w:val="20"/>
                <w:lang w:val="fr-FR"/>
              </w:rPr>
              <w:t>4, 9, 11</w:t>
            </w:r>
            <w:r w:rsidR="005472AF" w:rsidRPr="00653BF4">
              <w:rPr>
                <w:rFonts w:eastAsia="PingFang SC" w:cs="Helvetica Neue"/>
                <w:color w:val="191919"/>
                <w:kern w:val="0"/>
                <w:sz w:val="20"/>
                <w:szCs w:val="20"/>
                <w:lang w:val="fr-FR"/>
              </w:rPr>
              <w:t xml:space="preserve"> </w:t>
            </w:r>
            <w:r w:rsidR="00487854" w:rsidRPr="00653BF4">
              <w:rPr>
                <w:rFonts w:eastAsia="PingFang SC" w:cs="Helvetica Neue"/>
                <w:color w:val="191919"/>
                <w:kern w:val="0"/>
                <w:sz w:val="20"/>
                <w:szCs w:val="20"/>
                <w:lang w:val="fr-FR"/>
              </w:rPr>
              <w:t>et</w:t>
            </w:r>
            <w:r w:rsidR="00E40BDA" w:rsidRPr="00653BF4">
              <w:rPr>
                <w:rFonts w:eastAsia="PingFang SC" w:cs="Helvetica Neue"/>
                <w:color w:val="191919"/>
                <w:kern w:val="0"/>
                <w:sz w:val="20"/>
                <w:szCs w:val="20"/>
                <w:lang w:val="fr-FR"/>
              </w:rPr>
              <w:t xml:space="preserve"> 19</w:t>
            </w:r>
            <w:r w:rsidR="002B4C1A" w:rsidRPr="00653BF4">
              <w:rPr>
                <w:rFonts w:eastAsia="PingFang SC" w:cs="Helvetica Neue"/>
                <w:color w:val="191919"/>
                <w:kern w:val="0"/>
                <w:sz w:val="20"/>
                <w:szCs w:val="20"/>
                <w:lang w:val="fr-FR"/>
              </w:rPr>
              <w:t>.</w:t>
            </w:r>
          </w:p>
          <w:p w14:paraId="126F4375" w14:textId="77777777" w:rsidR="006D65AF" w:rsidRPr="00653BF4" w:rsidRDefault="006D65AF" w:rsidP="00455D2B">
            <w:pPr>
              <w:autoSpaceDE w:val="0"/>
              <w:autoSpaceDN w:val="0"/>
              <w:adjustRightInd w:val="0"/>
              <w:spacing w:line="276" w:lineRule="auto"/>
              <w:rPr>
                <w:rFonts w:eastAsia="PingFang SC" w:cs="Helvetica Neue"/>
                <w:color w:val="191919"/>
                <w:kern w:val="0"/>
                <w:sz w:val="20"/>
                <w:szCs w:val="20"/>
                <w:lang w:val="fr-FR"/>
              </w:rPr>
            </w:pPr>
          </w:p>
          <w:p w14:paraId="37DFEB7C" w14:textId="7CF8F0A9" w:rsidR="007B13BD" w:rsidRPr="00653BF4" w:rsidRDefault="00ED5DF2" w:rsidP="00E40BDA">
            <w:pPr>
              <w:spacing w:line="276" w:lineRule="auto"/>
              <w:rPr>
                <w:rFonts w:eastAsia="PingFang SC" w:cs="Arial"/>
                <w:color w:val="212223"/>
                <w:kern w:val="0"/>
                <w:sz w:val="20"/>
                <w:szCs w:val="20"/>
                <w:lang w:val="fr-FR"/>
              </w:rPr>
            </w:pPr>
            <w:r w:rsidRPr="00653BF4">
              <w:rPr>
                <w:rFonts w:eastAsia="PingFang SC" w:cs="Arial"/>
                <w:i/>
                <w:color w:val="212223"/>
                <w:kern w:val="0"/>
                <w:sz w:val="20"/>
                <w:szCs w:val="20"/>
                <w:lang w:val="fr-FR"/>
              </w:rPr>
              <w:t>Source</w:t>
            </w:r>
            <w:r w:rsidR="00E34DC9">
              <w:rPr>
                <w:rFonts w:eastAsia="PingFang SC" w:cs="Arial"/>
                <w:i/>
                <w:color w:val="212223"/>
                <w:kern w:val="0"/>
                <w:sz w:val="20"/>
                <w:szCs w:val="20"/>
                <w:lang w:val="fr-FR"/>
              </w:rPr>
              <w:t> :</w:t>
            </w:r>
            <w:r w:rsidRPr="00653BF4">
              <w:rPr>
                <w:rFonts w:eastAsia="PingFang SC" w:cs="Arial"/>
                <w:color w:val="212223"/>
                <w:kern w:val="0"/>
                <w:sz w:val="20"/>
                <w:szCs w:val="20"/>
                <w:lang w:val="fr-FR"/>
              </w:rPr>
              <w:t xml:space="preserve"> Chin</w:t>
            </w:r>
            <w:r w:rsidR="00487854" w:rsidRPr="00653BF4">
              <w:rPr>
                <w:rFonts w:eastAsia="PingFang SC" w:cs="Arial"/>
                <w:color w:val="212223"/>
                <w:kern w:val="0"/>
                <w:sz w:val="20"/>
                <w:szCs w:val="20"/>
                <w:lang w:val="fr-FR"/>
              </w:rPr>
              <w:t>e</w:t>
            </w:r>
            <w:r w:rsidRPr="00653BF4">
              <w:rPr>
                <w:rFonts w:eastAsia="PingFang SC" w:cs="Arial"/>
                <w:color w:val="212223"/>
                <w:kern w:val="0"/>
                <w:sz w:val="20"/>
                <w:szCs w:val="20"/>
                <w:lang w:val="fr-FR"/>
              </w:rPr>
              <w:t xml:space="preserve">, </w:t>
            </w:r>
            <w:r w:rsidR="00487854" w:rsidRPr="00653BF4">
              <w:rPr>
                <w:rFonts w:eastAsia="PingFang SC" w:cs="Arial"/>
                <w:color w:val="212223"/>
                <w:kern w:val="0"/>
                <w:sz w:val="20"/>
                <w:szCs w:val="20"/>
                <w:lang w:val="fr-FR"/>
              </w:rPr>
              <w:t xml:space="preserve">septième rapport national au titre de la </w:t>
            </w:r>
            <w:r w:rsidRPr="00653BF4">
              <w:rPr>
                <w:rFonts w:eastAsia="PingFang SC" w:cs="Arial"/>
                <w:color w:val="212223"/>
                <w:kern w:val="0"/>
                <w:sz w:val="20"/>
                <w:szCs w:val="20"/>
                <w:lang w:val="fr-FR"/>
              </w:rPr>
              <w:t>Convention</w:t>
            </w:r>
            <w:r w:rsidR="00D97DA1" w:rsidRPr="00653BF4">
              <w:rPr>
                <w:rFonts w:eastAsia="PingFang SC" w:cs="Arial"/>
                <w:color w:val="212223"/>
                <w:kern w:val="0"/>
                <w:sz w:val="20"/>
                <w:szCs w:val="20"/>
                <w:lang w:val="fr-FR"/>
              </w:rPr>
              <w:t>.</w:t>
            </w:r>
          </w:p>
          <w:p w14:paraId="030B45F8" w14:textId="73E1E86F" w:rsidR="00ED5DF2" w:rsidRPr="00653BF4" w:rsidRDefault="00ED5DF2" w:rsidP="00E40BDA">
            <w:pPr>
              <w:spacing w:line="276" w:lineRule="auto"/>
              <w:rPr>
                <w:sz w:val="22"/>
                <w:szCs w:val="22"/>
                <w:lang w:val="fr-FR"/>
              </w:rPr>
            </w:pPr>
          </w:p>
        </w:tc>
      </w:tr>
    </w:tbl>
    <w:p w14:paraId="1AC4460F" w14:textId="77777777" w:rsidR="00F60453" w:rsidRPr="00653BF4" w:rsidRDefault="00F60453" w:rsidP="006E369A">
      <w:pPr>
        <w:rPr>
          <w:lang w:val="fr-FR"/>
        </w:rPr>
      </w:pPr>
    </w:p>
    <w:p w14:paraId="5FFB9014" w14:textId="77777777" w:rsidR="003B2A78" w:rsidRPr="00653BF4" w:rsidRDefault="003B2A78" w:rsidP="006E369A">
      <w:pPr>
        <w:rPr>
          <w:lang w:val="fr-FR"/>
        </w:rPr>
      </w:pPr>
    </w:p>
    <w:p w14:paraId="37622B5B" w14:textId="543B725B" w:rsidR="006E369A" w:rsidRPr="00653BF4" w:rsidRDefault="00415859" w:rsidP="006E369A">
      <w:pPr>
        <w:pStyle w:val="Heading6"/>
        <w:rPr>
          <w:lang w:val="fr-FR"/>
        </w:rPr>
      </w:pPr>
      <w:r w:rsidRPr="00653BF4">
        <w:rPr>
          <w:lang w:val="fr-FR"/>
        </w:rPr>
        <w:t>Difficulté</w:t>
      </w:r>
      <w:r w:rsidR="00DD19D2" w:rsidRPr="00653BF4">
        <w:rPr>
          <w:lang w:val="fr-FR"/>
        </w:rPr>
        <w:t>s</w:t>
      </w:r>
    </w:p>
    <w:p w14:paraId="4A6A158D" w14:textId="77777777" w:rsidR="00EB2DD4" w:rsidRPr="00653BF4" w:rsidRDefault="00EB2DD4" w:rsidP="00EB2DD4">
      <w:pPr>
        <w:rPr>
          <w:lang w:val="fr-FR"/>
        </w:rPr>
      </w:pPr>
    </w:p>
    <w:p w14:paraId="62F0E361" w14:textId="59D6DB88" w:rsidR="00EB2DD4" w:rsidRPr="00653BF4" w:rsidRDefault="00945CFE" w:rsidP="00EB2DD4">
      <w:pPr>
        <w:rPr>
          <w:lang w:val="fr-FR"/>
        </w:rPr>
      </w:pPr>
      <w:r w:rsidRPr="00653BF4">
        <w:rPr>
          <w:lang w:val="fr-FR"/>
        </w:rPr>
        <w:t xml:space="preserve">De nombreuses Parties soulignent que l’insuffisance des ressources financières consacrées à la protection des espèces constitue un défi majeur. Le rétablissement des espèces, la conservation de la diversité génétique et la gestion des conflits entre l’homme et la faune et la flore sauvages sont des actions qui nécessitent d’importantes ressources et ne peuvent être évaluées de manière adéquate sans moyens de mise en œuvre prévisibles et accessibles. Dans de nombreux pays, les dotations budgétaires restent largement axées sur des projets, ce qui constitue un obstacle au suivi à long terme des espèces, à la poursuite des actions et à l’intensification des efforts de conservation. Les conflits entre l’homme et la faune et la flore sauvages restent un défi majeur et persistant, même lorsque des outils de gestion sont mis en œuvre. L’insuffisance des systèmes de suivi, des données de référence et des cadres d’indicateurs est régulièrement citée comme un obstacle à la mise en œuvre. Le manque de coordination entre les agences nationales et les différents secteurs, ainsi que le taux de rotation élevé du personnel technique, sont mentionnés dans les rapports nationaux comme des obstacles institutionnels à la mise en œuvre des cibles nationales alignées sur la </w:t>
      </w:r>
      <w:r w:rsidR="00E34DC9">
        <w:rPr>
          <w:lang w:val="fr-FR"/>
        </w:rPr>
        <w:t>cible 4</w:t>
      </w:r>
      <w:r w:rsidRPr="00653BF4">
        <w:rPr>
          <w:lang w:val="fr-FR"/>
        </w:rPr>
        <w:t>.</w:t>
      </w:r>
    </w:p>
    <w:p w14:paraId="4C261142" w14:textId="77777777" w:rsidR="006E369A" w:rsidRPr="00653BF4" w:rsidRDefault="006E369A" w:rsidP="006E369A">
      <w:pPr>
        <w:rPr>
          <w:lang w:val="fr-FR"/>
        </w:rPr>
      </w:pPr>
    </w:p>
    <w:p w14:paraId="6B70EA97" w14:textId="36ADDDBD" w:rsidR="006E369A" w:rsidRPr="00653BF4" w:rsidRDefault="00BC4559" w:rsidP="006E369A">
      <w:pPr>
        <w:pStyle w:val="Heading5"/>
        <w:rPr>
          <w:lang w:val="fr-FR"/>
        </w:rPr>
      </w:pPr>
      <w:r w:rsidRPr="00653BF4">
        <w:rPr>
          <w:lang w:val="fr-FR"/>
        </w:rPr>
        <w:t>Contributions de la part d</w:t>
      </w:r>
      <w:r w:rsidR="002A58C8" w:rsidRPr="00653BF4">
        <w:rPr>
          <w:lang w:val="fr-FR"/>
        </w:rPr>
        <w:t>’</w:t>
      </w:r>
      <w:r w:rsidRPr="00653BF4">
        <w:rPr>
          <w:lang w:val="fr-FR"/>
        </w:rPr>
        <w:t>acteurs autres que les gouvernements nationaux</w:t>
      </w:r>
    </w:p>
    <w:p w14:paraId="2A1BE4B2" w14:textId="77777777" w:rsidR="009E6A9C" w:rsidRPr="00653BF4" w:rsidRDefault="009E6A9C" w:rsidP="00F31623">
      <w:pPr>
        <w:pStyle w:val="Heading6"/>
        <w:rPr>
          <w:lang w:val="fr-FR"/>
        </w:rPr>
      </w:pPr>
    </w:p>
    <w:p w14:paraId="1060C780" w14:textId="40D2FD7F" w:rsidR="00F31623" w:rsidRPr="00653BF4" w:rsidRDefault="00200AEB" w:rsidP="00F31623">
      <w:pPr>
        <w:pStyle w:val="Heading6"/>
        <w:rPr>
          <w:lang w:val="fr-FR"/>
        </w:rPr>
      </w:pPr>
      <w:r w:rsidRPr="00653BF4">
        <w:rPr>
          <w:lang w:val="fr-FR"/>
        </w:rPr>
        <w:t>Engagements communiqués directement via l</w:t>
      </w:r>
      <w:r w:rsidR="002A58C8" w:rsidRPr="00653BF4">
        <w:rPr>
          <w:lang w:val="fr-FR"/>
        </w:rPr>
        <w:t>’</w:t>
      </w:r>
      <w:r w:rsidRPr="00653BF4">
        <w:rPr>
          <w:lang w:val="fr-FR"/>
        </w:rPr>
        <w:t>outil de présentation des rapports en ligne</w:t>
      </w:r>
    </w:p>
    <w:p w14:paraId="5DDE4132" w14:textId="77777777" w:rsidR="004C62BE" w:rsidRPr="00653BF4" w:rsidRDefault="004C62BE" w:rsidP="004C62BE">
      <w:pPr>
        <w:rPr>
          <w:lang w:val="fr-FR"/>
        </w:rPr>
      </w:pPr>
    </w:p>
    <w:p w14:paraId="14263636" w14:textId="72FE080C" w:rsidR="009369F6" w:rsidRPr="00653BF4" w:rsidRDefault="008B5420" w:rsidP="00F31623">
      <w:pPr>
        <w:rPr>
          <w:lang w:val="fr-FR"/>
        </w:rPr>
      </w:pPr>
      <w:r w:rsidRPr="008B5420">
        <w:rPr>
          <w:lang w:val="fr-FR"/>
        </w:rPr>
        <w:lastRenderedPageBreak/>
        <w:t>Sur les 180 engagements de fond présentés par des acteurs autres que les gouvernements nationaux</w:t>
      </w:r>
      <w:r w:rsidR="00FF5BCE" w:rsidRPr="00653BF4">
        <w:rPr>
          <w:lang w:val="fr-FR"/>
        </w:rPr>
        <w:t xml:space="preserve">, 12 sont principalement liés à </w:t>
      </w:r>
      <w:r w:rsidR="0092484B">
        <w:rPr>
          <w:lang w:val="fr-FR"/>
        </w:rPr>
        <w:t xml:space="preserve">la </w:t>
      </w:r>
      <w:r w:rsidR="00E34DC9">
        <w:rPr>
          <w:lang w:val="fr-FR"/>
        </w:rPr>
        <w:t>cible 4</w:t>
      </w:r>
      <w:r w:rsidR="00FF5BCE" w:rsidRPr="00653BF4">
        <w:rPr>
          <w:lang w:val="fr-FR"/>
        </w:rPr>
        <w:t>. Ils ont été présentés par 10 ONG, un établissement universitaire et de recherche, ainsi qu’un centre international de recherche agricole. Ces engagements portent principalement sur la collecte de données et l’enrichissement des connaissances</w:t>
      </w:r>
      <w:r w:rsidR="00E34DC9">
        <w:rPr>
          <w:lang w:val="fr-FR"/>
        </w:rPr>
        <w:t> ;</w:t>
      </w:r>
      <w:r w:rsidR="00FF5BCE" w:rsidRPr="00653BF4">
        <w:rPr>
          <w:lang w:val="fr-FR"/>
        </w:rPr>
        <w:t xml:space="preserve"> l’articulation des efforts de rétablissement des espèces et de la conservation de la diversité génétique avec les connaissances scientifiques</w:t>
      </w:r>
      <w:r w:rsidR="00E34DC9">
        <w:rPr>
          <w:lang w:val="fr-FR"/>
        </w:rPr>
        <w:t> ;</w:t>
      </w:r>
      <w:r w:rsidR="00FF5BCE" w:rsidRPr="00653BF4">
        <w:rPr>
          <w:lang w:val="fr-FR"/>
        </w:rPr>
        <w:t xml:space="preserve"> le suivi</w:t>
      </w:r>
      <w:r w:rsidR="00E34DC9">
        <w:rPr>
          <w:lang w:val="fr-FR"/>
        </w:rPr>
        <w:t> ;</w:t>
      </w:r>
      <w:r w:rsidR="00FF5BCE" w:rsidRPr="00653BF4">
        <w:rPr>
          <w:lang w:val="fr-FR"/>
        </w:rPr>
        <w:t xml:space="preserve"> et la production de données. Ces engagements comprennent des activités allant de la veille bioacoustique sur la biodiversité dans les paysages agroécologiques au suivi de la diversité génétique des cultures grâce à des banques de gènes, en passant par la collecte de données via des réseaux de science citoyenne, les patrouilles </w:t>
      </w:r>
      <w:r w:rsidR="00E112C6" w:rsidRPr="00653BF4">
        <w:rPr>
          <w:lang w:val="fr-FR"/>
        </w:rPr>
        <w:t>antibraconnage</w:t>
      </w:r>
      <w:r w:rsidR="00FF5BCE" w:rsidRPr="00653BF4">
        <w:rPr>
          <w:lang w:val="fr-FR"/>
        </w:rPr>
        <w:t>, les mesures visant à prévenir la mortalité des espèces due aux infrastructures de transport, ainsi que la réintroduction d’animaux élevés en captivité (</w:t>
      </w:r>
      <w:r w:rsidR="009059C9" w:rsidRPr="00653BF4">
        <w:rPr>
          <w:lang w:val="fr-FR"/>
        </w:rPr>
        <w:t xml:space="preserve">voir </w:t>
      </w:r>
      <w:r w:rsidR="00F101B7" w:rsidRPr="00653BF4">
        <w:rPr>
          <w:lang w:val="fr-FR"/>
        </w:rPr>
        <w:t>l’encadré 18</w:t>
      </w:r>
      <w:r w:rsidR="00FF5BCE" w:rsidRPr="00653BF4">
        <w:rPr>
          <w:lang w:val="fr-FR"/>
        </w:rPr>
        <w:t>).</w:t>
      </w:r>
    </w:p>
    <w:p w14:paraId="5C200B66" w14:textId="29CB3C1F" w:rsidR="00DC4680" w:rsidRPr="00653BF4" w:rsidRDefault="00DC4680" w:rsidP="00DC4680">
      <w:pPr>
        <w:pStyle w:val="Caption"/>
        <w:keepNext/>
        <w:rPr>
          <w:b/>
          <w:i w:val="0"/>
          <w:sz w:val="20"/>
          <w:szCs w:val="20"/>
          <w:lang w:val="fr-FR"/>
        </w:rPr>
      </w:pPr>
    </w:p>
    <w:tbl>
      <w:tblPr>
        <w:tblStyle w:val="TableGrid"/>
        <w:tblW w:w="0" w:type="auto"/>
        <w:tblLook w:val="04A0" w:firstRow="1" w:lastRow="0" w:firstColumn="1" w:lastColumn="0" w:noHBand="0" w:noVBand="1"/>
      </w:tblPr>
      <w:tblGrid>
        <w:gridCol w:w="9350"/>
      </w:tblGrid>
      <w:tr w:rsidR="00510BEF" w:rsidRPr="00543148" w14:paraId="260A3859" w14:textId="77777777" w:rsidTr="38573CF5">
        <w:tc>
          <w:tcPr>
            <w:tcW w:w="12328" w:type="dxa"/>
            <w:shd w:val="clear" w:color="auto" w:fill="E8E8E8" w:themeFill="background2"/>
          </w:tcPr>
          <w:p w14:paraId="276F09C7" w14:textId="77777777" w:rsidR="00F90EC9" w:rsidRPr="00653BF4" w:rsidRDefault="00F90EC9" w:rsidP="007C5D73">
            <w:pPr>
              <w:rPr>
                <w:rFonts w:ascii="Aptos" w:hAnsi="Aptos"/>
                <w:color w:val="000000" w:themeColor="text1"/>
                <w:lang w:val="fr-FR"/>
              </w:rPr>
            </w:pPr>
          </w:p>
          <w:p w14:paraId="510B6124" w14:textId="0FBE9782" w:rsidR="004C1F4E" w:rsidRPr="00653BF4" w:rsidRDefault="0024766A" w:rsidP="004C1F4E">
            <w:pPr>
              <w:pStyle w:val="Caption"/>
              <w:keepNext/>
              <w:rPr>
                <w:i w:val="0"/>
                <w:iCs w:val="0"/>
                <w:sz w:val="20"/>
                <w:szCs w:val="20"/>
                <w:lang w:val="fr-FR"/>
              </w:rPr>
            </w:pPr>
            <w:bookmarkStart w:id="131" w:name="_Ref230810891"/>
            <w:r w:rsidRPr="00653BF4">
              <w:rPr>
                <w:i w:val="0"/>
                <w:iCs w:val="0"/>
                <w:sz w:val="20"/>
                <w:szCs w:val="20"/>
                <w:lang w:val="fr-FR"/>
              </w:rPr>
              <w:t>Encadré</w:t>
            </w:r>
            <w:r w:rsidR="004C1F4E" w:rsidRPr="00653BF4">
              <w:rPr>
                <w:i w:val="0"/>
                <w:iCs w:val="0"/>
                <w:sz w:val="20"/>
                <w:szCs w:val="20"/>
                <w:lang w:val="fr-FR"/>
              </w:rPr>
              <w:t xml:space="preserve"> </w:t>
            </w:r>
            <w:r w:rsidR="008306DF" w:rsidRPr="00653BF4">
              <w:rPr>
                <w:i w:val="0"/>
                <w:iCs w:val="0"/>
                <w:noProof/>
                <w:sz w:val="20"/>
                <w:szCs w:val="20"/>
                <w:lang w:val="fr-FR"/>
              </w:rPr>
              <w:t>18</w:t>
            </w:r>
            <w:bookmarkEnd w:id="131"/>
          </w:p>
          <w:p w14:paraId="77429998" w14:textId="737D5E7F" w:rsidR="004C1F4E" w:rsidRPr="00653BF4" w:rsidRDefault="00EE6F54" w:rsidP="004C1F4E">
            <w:pPr>
              <w:rPr>
                <w:b/>
                <w:bCs/>
                <w:sz w:val="20"/>
                <w:szCs w:val="20"/>
                <w:lang w:val="fr-FR"/>
              </w:rPr>
            </w:pPr>
            <w:r w:rsidRPr="00653BF4">
              <w:rPr>
                <w:b/>
                <w:bCs/>
                <w:sz w:val="20"/>
                <w:szCs w:val="20"/>
                <w:lang w:val="fr-FR"/>
              </w:rPr>
              <w:t>Le Jardin zoologique de Berlin contribue à la préservation des espèces à l</w:t>
            </w:r>
            <w:r w:rsidR="00D77549">
              <w:rPr>
                <w:b/>
                <w:bCs/>
                <w:sz w:val="20"/>
                <w:szCs w:val="20"/>
                <w:lang w:val="fr-FR"/>
              </w:rPr>
              <w:t>’</w:t>
            </w:r>
            <w:r w:rsidRPr="00653BF4">
              <w:rPr>
                <w:b/>
                <w:bCs/>
                <w:sz w:val="20"/>
                <w:szCs w:val="20"/>
                <w:lang w:val="fr-FR"/>
              </w:rPr>
              <w:t>échelle mondiale</w:t>
            </w:r>
          </w:p>
          <w:p w14:paraId="7B3CC9B3" w14:textId="77777777" w:rsidR="00EE6F54" w:rsidRPr="00653BF4" w:rsidRDefault="00EE6F54" w:rsidP="004C1F4E">
            <w:pPr>
              <w:rPr>
                <w:rFonts w:ascii="Aptos" w:hAnsi="Aptos"/>
                <w:color w:val="000000" w:themeColor="text1"/>
                <w:lang w:val="fr-FR"/>
              </w:rPr>
            </w:pPr>
          </w:p>
          <w:p w14:paraId="7F9F839B" w14:textId="0BD03F5C" w:rsidR="00C70698" w:rsidRPr="00653BF4" w:rsidRDefault="00D417AA" w:rsidP="00C70698">
            <w:pPr>
              <w:rPr>
                <w:rFonts w:ascii="Aptos" w:hAnsi="Aptos"/>
                <w:color w:val="000000" w:themeColor="text1"/>
                <w:sz w:val="20"/>
                <w:szCs w:val="20"/>
                <w:lang w:val="fr-FR"/>
              </w:rPr>
            </w:pPr>
            <w:r w:rsidRPr="00653BF4">
              <w:rPr>
                <w:rFonts w:ascii="Aptos" w:hAnsi="Aptos"/>
                <w:color w:val="000000" w:themeColor="text1"/>
                <w:sz w:val="20"/>
                <w:szCs w:val="20"/>
                <w:lang w:val="fr-FR"/>
              </w:rPr>
              <w:t>Le zoo et le parc animalier de Berlin sont des institutions zoologiques à but non lucratif qui coordonnent, par l’intermédiaire de l’Association européenne des zoos et aquariums, dix programmes internationaux d’élevage de conservation pour les espèces menacées, et contribuent à plus de 240 programmes d’élevage actifs couvrant un large éventail de taxons. En tant que zoos gérés selon des principes scientifiques, ils apportent leur expertise en matière de planification des populations, d’élevage, de soins vétérinaires et de biologie de la conservation. Ils travaillent en étroite collaboration avec les autorités gouvernementales et leurs partenaires de conservation afin d’apporter un appui à toute une série d’initiatives de translocation et de réintroduction, visant à remettre en état et à renforcer des populations sauvages autonomes. Parmi les exemples notables, citons le bison d’Europe (</w:t>
            </w:r>
            <w:r w:rsidRPr="00653BF4">
              <w:rPr>
                <w:rFonts w:ascii="Aptos" w:hAnsi="Aptos"/>
                <w:i/>
                <w:iCs/>
                <w:color w:val="000000" w:themeColor="text1"/>
                <w:sz w:val="20"/>
                <w:szCs w:val="20"/>
                <w:lang w:val="fr-FR"/>
              </w:rPr>
              <w:t>Bison bonasus</w:t>
            </w:r>
            <w:r w:rsidRPr="00653BF4">
              <w:rPr>
                <w:rFonts w:ascii="Aptos" w:hAnsi="Aptos"/>
                <w:color w:val="000000" w:themeColor="text1"/>
                <w:sz w:val="20"/>
                <w:szCs w:val="20"/>
                <w:lang w:val="fr-FR"/>
              </w:rPr>
              <w:t>), transféré vers le parc national de Shahdag en Azerbaïdjan en partenariat avec le ministère de l’Écologie et des Ressources naturelles de ce pays et le WWF</w:t>
            </w:r>
            <w:r w:rsidR="00E34DC9">
              <w:rPr>
                <w:rFonts w:ascii="Aptos" w:hAnsi="Aptos"/>
                <w:color w:val="000000" w:themeColor="text1"/>
                <w:sz w:val="20"/>
                <w:szCs w:val="20"/>
                <w:lang w:val="fr-FR"/>
              </w:rPr>
              <w:t> ;</w:t>
            </w:r>
            <w:r w:rsidRPr="00653BF4">
              <w:rPr>
                <w:rFonts w:ascii="Aptos" w:hAnsi="Aptos"/>
                <w:color w:val="000000" w:themeColor="text1"/>
                <w:sz w:val="20"/>
                <w:szCs w:val="20"/>
                <w:lang w:val="fr-FR"/>
              </w:rPr>
              <w:t xml:space="preserve"> le cheval de Przewalski (</w:t>
            </w:r>
            <w:r w:rsidRPr="00653BF4">
              <w:rPr>
                <w:rFonts w:ascii="Aptos" w:hAnsi="Aptos"/>
                <w:i/>
                <w:iCs/>
                <w:color w:val="000000" w:themeColor="text1"/>
                <w:sz w:val="20"/>
                <w:szCs w:val="20"/>
                <w:lang w:val="fr-FR"/>
              </w:rPr>
              <w:t>Equus przewalskii</w:t>
            </w:r>
            <w:r w:rsidRPr="00653BF4">
              <w:rPr>
                <w:rFonts w:ascii="Aptos" w:hAnsi="Aptos"/>
                <w:color w:val="000000" w:themeColor="text1"/>
                <w:sz w:val="20"/>
                <w:szCs w:val="20"/>
                <w:lang w:val="fr-FR"/>
              </w:rPr>
              <w:t>), réintroduit au Kazakhstan en coopération avec le zoo de Prague, la Société zoologique de Francfort et des partenaires nationaux</w:t>
            </w:r>
            <w:r w:rsidR="00E34DC9">
              <w:rPr>
                <w:rFonts w:ascii="Aptos" w:hAnsi="Aptos"/>
                <w:color w:val="000000" w:themeColor="text1"/>
                <w:sz w:val="20"/>
                <w:szCs w:val="20"/>
                <w:lang w:val="fr-FR"/>
              </w:rPr>
              <w:t> ;</w:t>
            </w:r>
            <w:r w:rsidRPr="00653BF4">
              <w:rPr>
                <w:rFonts w:ascii="Aptos" w:hAnsi="Aptos"/>
                <w:color w:val="000000" w:themeColor="text1"/>
                <w:sz w:val="20"/>
                <w:szCs w:val="20"/>
                <w:lang w:val="fr-FR"/>
              </w:rPr>
              <w:t xml:space="preserve"> le gypaète barbu (</w:t>
            </w:r>
            <w:r w:rsidRPr="00653BF4">
              <w:rPr>
                <w:rFonts w:ascii="Aptos" w:hAnsi="Aptos"/>
                <w:i/>
                <w:iCs/>
                <w:color w:val="000000" w:themeColor="text1"/>
                <w:sz w:val="20"/>
                <w:szCs w:val="20"/>
                <w:lang w:val="fr-FR"/>
              </w:rPr>
              <w:t>Gypaetus barbatus</w:t>
            </w:r>
            <w:r w:rsidRPr="00653BF4">
              <w:rPr>
                <w:rFonts w:ascii="Aptos" w:hAnsi="Aptos"/>
                <w:color w:val="000000" w:themeColor="text1"/>
                <w:sz w:val="20"/>
                <w:szCs w:val="20"/>
                <w:lang w:val="fr-FR"/>
              </w:rPr>
              <w:t>), dans le cadre du programme européen de réintroduction coordonné par la Vulture Conservation Foundation</w:t>
            </w:r>
            <w:r w:rsidR="00E34DC9">
              <w:rPr>
                <w:rFonts w:ascii="Aptos" w:hAnsi="Aptos"/>
                <w:color w:val="000000" w:themeColor="text1"/>
                <w:sz w:val="20"/>
                <w:szCs w:val="20"/>
                <w:lang w:val="fr-FR"/>
              </w:rPr>
              <w:t> ;</w:t>
            </w:r>
            <w:r w:rsidRPr="00653BF4">
              <w:rPr>
                <w:rFonts w:ascii="Aptos" w:hAnsi="Aptos"/>
                <w:color w:val="000000" w:themeColor="text1"/>
                <w:sz w:val="20"/>
                <w:szCs w:val="20"/>
                <w:lang w:val="fr-FR"/>
              </w:rPr>
              <w:t xml:space="preserve"> et les populations de hamsters communs (</w:t>
            </w:r>
            <w:r w:rsidRPr="00653BF4">
              <w:rPr>
                <w:rFonts w:ascii="Aptos" w:hAnsi="Aptos"/>
                <w:i/>
                <w:iCs/>
                <w:color w:val="000000" w:themeColor="text1"/>
                <w:sz w:val="20"/>
                <w:szCs w:val="20"/>
                <w:lang w:val="fr-FR"/>
              </w:rPr>
              <w:t>Cricetus cricetus</w:t>
            </w:r>
            <w:r w:rsidRPr="00653BF4">
              <w:rPr>
                <w:rFonts w:ascii="Aptos" w:hAnsi="Aptos"/>
                <w:color w:val="000000" w:themeColor="text1"/>
                <w:sz w:val="20"/>
                <w:szCs w:val="20"/>
                <w:lang w:val="fr-FR"/>
              </w:rPr>
              <w:t>) réintroduites en Saxe, en Allemagne, en coopération avec le zoo de Leipzig. Tous les transferts à des fins de conservation sont mis en œuvre conformément aux lignes directrices de l’UICN reconnues à l’échelle internationale et aux stratégies nationales pertinentes en matière de conservation des espèces.</w:t>
            </w:r>
          </w:p>
          <w:p w14:paraId="0DE39657" w14:textId="77777777" w:rsidR="00D417AA" w:rsidRPr="00653BF4" w:rsidRDefault="00D417AA" w:rsidP="00C70698">
            <w:pPr>
              <w:rPr>
                <w:rFonts w:ascii="Aptos" w:hAnsi="Aptos"/>
                <w:color w:val="000000" w:themeColor="text1"/>
                <w:sz w:val="20"/>
                <w:szCs w:val="20"/>
                <w:lang w:val="fr-FR"/>
              </w:rPr>
            </w:pPr>
          </w:p>
          <w:p w14:paraId="6C6B5120" w14:textId="1E90D294" w:rsidR="002656D0" w:rsidRPr="00653BF4" w:rsidRDefault="00904C13" w:rsidP="009A6756">
            <w:pPr>
              <w:spacing w:after="320"/>
              <w:jc w:val="both"/>
              <w:rPr>
                <w:sz w:val="20"/>
                <w:szCs w:val="20"/>
                <w:lang w:val="fr-FR"/>
              </w:rPr>
            </w:pPr>
            <w:r w:rsidRPr="00653BF4">
              <w:rPr>
                <w:i/>
                <w:iCs/>
                <w:sz w:val="20"/>
                <w:szCs w:val="20"/>
                <w:lang w:val="fr-FR"/>
              </w:rPr>
              <w:t>C</w:t>
            </w:r>
            <w:r w:rsidR="001345EC" w:rsidRPr="00653BF4">
              <w:rPr>
                <w:i/>
                <w:iCs/>
                <w:sz w:val="20"/>
                <w:szCs w:val="20"/>
                <w:lang w:val="fr-FR"/>
              </w:rPr>
              <w:t>ibles concernées</w:t>
            </w:r>
            <w:r w:rsidR="00E34DC9">
              <w:rPr>
                <w:i/>
                <w:iCs/>
                <w:sz w:val="20"/>
                <w:szCs w:val="20"/>
                <w:lang w:val="fr-FR"/>
              </w:rPr>
              <w:t> :</w:t>
            </w:r>
            <w:r w:rsidR="002656D0" w:rsidRPr="00653BF4">
              <w:rPr>
                <w:sz w:val="20"/>
                <w:szCs w:val="20"/>
                <w:lang w:val="fr-FR"/>
              </w:rPr>
              <w:t xml:space="preserve"> 4, </w:t>
            </w:r>
            <w:r w:rsidR="001D4315" w:rsidRPr="00653BF4">
              <w:rPr>
                <w:sz w:val="20"/>
                <w:szCs w:val="20"/>
                <w:lang w:val="fr-FR"/>
              </w:rPr>
              <w:t>19, 20</w:t>
            </w:r>
            <w:r w:rsidR="005D3D88" w:rsidRPr="00653BF4">
              <w:rPr>
                <w:sz w:val="20"/>
                <w:szCs w:val="20"/>
                <w:lang w:val="fr-FR"/>
              </w:rPr>
              <w:t xml:space="preserve"> </w:t>
            </w:r>
            <w:r w:rsidR="003B640D" w:rsidRPr="00653BF4">
              <w:rPr>
                <w:sz w:val="20"/>
                <w:szCs w:val="20"/>
                <w:lang w:val="fr-FR"/>
              </w:rPr>
              <w:t>et</w:t>
            </w:r>
            <w:r w:rsidR="005D3D88" w:rsidRPr="00653BF4">
              <w:rPr>
                <w:sz w:val="20"/>
                <w:szCs w:val="20"/>
                <w:lang w:val="fr-FR"/>
              </w:rPr>
              <w:t xml:space="preserve"> </w:t>
            </w:r>
            <w:r w:rsidR="001D4315" w:rsidRPr="00653BF4">
              <w:rPr>
                <w:sz w:val="20"/>
                <w:szCs w:val="20"/>
                <w:lang w:val="fr-FR"/>
              </w:rPr>
              <w:t>22</w:t>
            </w:r>
            <w:r w:rsidR="002B4C1A" w:rsidRPr="00653BF4">
              <w:rPr>
                <w:sz w:val="20"/>
                <w:szCs w:val="20"/>
                <w:lang w:val="fr-FR"/>
              </w:rPr>
              <w:t>.</w:t>
            </w:r>
          </w:p>
          <w:p w14:paraId="619ED97B" w14:textId="3FDD990E" w:rsidR="001D4315" w:rsidRPr="00653BF4" w:rsidRDefault="0B2E8379" w:rsidP="009A6756">
            <w:pPr>
              <w:spacing w:after="320"/>
              <w:jc w:val="both"/>
              <w:rPr>
                <w:sz w:val="20"/>
                <w:szCs w:val="20"/>
                <w:lang w:val="fr-FR"/>
              </w:rPr>
            </w:pPr>
            <w:r w:rsidRPr="00653BF4">
              <w:rPr>
                <w:i/>
                <w:iCs/>
                <w:sz w:val="20"/>
                <w:szCs w:val="20"/>
                <w:lang w:val="fr-FR"/>
              </w:rPr>
              <w:t>Source</w:t>
            </w:r>
            <w:r w:rsidR="00E34DC9">
              <w:rPr>
                <w:i/>
                <w:iCs/>
                <w:sz w:val="20"/>
                <w:szCs w:val="20"/>
                <w:lang w:val="fr-FR"/>
              </w:rPr>
              <w:t> :</w:t>
            </w:r>
            <w:r w:rsidRPr="00653BF4">
              <w:rPr>
                <w:sz w:val="20"/>
                <w:szCs w:val="20"/>
                <w:lang w:val="fr-FR"/>
              </w:rPr>
              <w:t xml:space="preserve"> </w:t>
            </w:r>
            <w:r w:rsidR="2FE70D1C" w:rsidRPr="00653BF4">
              <w:rPr>
                <w:sz w:val="20"/>
                <w:szCs w:val="20"/>
                <w:lang w:val="fr-FR"/>
              </w:rPr>
              <w:t xml:space="preserve">Zoo </w:t>
            </w:r>
            <w:r w:rsidR="001D1B84" w:rsidRPr="00653BF4">
              <w:rPr>
                <w:sz w:val="20"/>
                <w:szCs w:val="20"/>
                <w:lang w:val="fr-FR"/>
              </w:rPr>
              <w:t>et parc animalier de</w:t>
            </w:r>
            <w:r w:rsidR="2FE70D1C" w:rsidRPr="00653BF4">
              <w:rPr>
                <w:sz w:val="20"/>
                <w:szCs w:val="20"/>
                <w:lang w:val="fr-FR"/>
              </w:rPr>
              <w:t xml:space="preserve"> Berlin, </w:t>
            </w:r>
            <w:r w:rsidR="001D1B84" w:rsidRPr="00653BF4">
              <w:rPr>
                <w:sz w:val="20"/>
                <w:szCs w:val="20"/>
                <w:lang w:val="fr-FR"/>
              </w:rPr>
              <w:t xml:space="preserve">engagement en tant que partie prenante </w:t>
            </w:r>
            <w:r w:rsidR="3C2361AC" w:rsidRPr="00653BF4">
              <w:rPr>
                <w:sz w:val="20"/>
                <w:szCs w:val="20"/>
                <w:lang w:val="fr-FR"/>
              </w:rPr>
              <w:t>(</w:t>
            </w:r>
            <w:r w:rsidR="001D1B84" w:rsidRPr="00653BF4">
              <w:rPr>
                <w:sz w:val="20"/>
                <w:szCs w:val="20"/>
                <w:lang w:val="fr-FR"/>
              </w:rPr>
              <w:t xml:space="preserve">voir </w:t>
            </w:r>
            <w:hyperlink r:id="rId80">
              <w:r w:rsidR="3278B498" w:rsidRPr="00653BF4">
                <w:rPr>
                  <w:rStyle w:val="Hyperlink"/>
                  <w:sz w:val="20"/>
                  <w:szCs w:val="20"/>
                  <w:lang w:val="fr-FR"/>
                </w:rPr>
                <w:t>https://ort.cbd.int/database/286541</w:t>
              </w:r>
            </w:hyperlink>
            <w:r w:rsidR="3278B498" w:rsidRPr="00653BF4">
              <w:rPr>
                <w:sz w:val="20"/>
                <w:szCs w:val="20"/>
                <w:lang w:val="fr-FR"/>
              </w:rPr>
              <w:t>).</w:t>
            </w:r>
          </w:p>
        </w:tc>
      </w:tr>
    </w:tbl>
    <w:p w14:paraId="077292A8" w14:textId="77777777" w:rsidR="00F31623" w:rsidRPr="00653BF4" w:rsidRDefault="00F31623" w:rsidP="00F31623">
      <w:pPr>
        <w:pStyle w:val="Heading6"/>
        <w:rPr>
          <w:i w:val="0"/>
          <w:iCs w:val="0"/>
          <w:lang w:val="fr-FR"/>
        </w:rPr>
      </w:pPr>
    </w:p>
    <w:p w14:paraId="380DCDF1" w14:textId="5063F63A" w:rsidR="00F31623" w:rsidRPr="00653BF4" w:rsidRDefault="005F09ED" w:rsidP="00F31623">
      <w:pPr>
        <w:pStyle w:val="Heading6"/>
        <w:rPr>
          <w:lang w:val="fr-FR"/>
        </w:rPr>
      </w:pPr>
      <w:r w:rsidRPr="00653BF4">
        <w:rPr>
          <w:lang w:val="fr-FR"/>
        </w:rPr>
        <w:t>Contributions intégrées dans les rapports nationaux</w:t>
      </w:r>
    </w:p>
    <w:p w14:paraId="7A038675" w14:textId="77777777" w:rsidR="00AD399D" w:rsidRPr="00653BF4" w:rsidRDefault="00AD399D" w:rsidP="00AD399D">
      <w:pPr>
        <w:rPr>
          <w:lang w:val="fr-FR"/>
        </w:rPr>
      </w:pPr>
    </w:p>
    <w:p w14:paraId="2BC92F09" w14:textId="6E82F181" w:rsidR="00AD399D" w:rsidRPr="00653BF4" w:rsidRDefault="00BE76C4" w:rsidP="00AD399D">
      <w:pPr>
        <w:rPr>
          <w:lang w:val="fr-FR"/>
        </w:rPr>
      </w:pPr>
      <w:r w:rsidRPr="00653BF4">
        <w:rPr>
          <w:lang w:val="fr-FR"/>
        </w:rPr>
        <w:t>Les Parties indiquent généralement que</w:t>
      </w:r>
      <w:r w:rsidR="00F101B7">
        <w:rPr>
          <w:lang w:val="fr-FR"/>
        </w:rPr>
        <w:t xml:space="preserve"> ce sont</w:t>
      </w:r>
      <w:r w:rsidRPr="00653BF4">
        <w:rPr>
          <w:lang w:val="fr-FR"/>
        </w:rPr>
        <w:t xml:space="preserve"> les institutions scientifiques et les organisations intergouvernementales </w:t>
      </w:r>
      <w:r w:rsidR="000E301A">
        <w:rPr>
          <w:lang w:val="fr-FR"/>
        </w:rPr>
        <w:t xml:space="preserve">qui </w:t>
      </w:r>
      <w:r w:rsidRPr="00653BF4">
        <w:rPr>
          <w:lang w:val="fr-FR"/>
        </w:rPr>
        <w:t xml:space="preserve">remplissent des rôles tels que la mise à disposition de connaissances, la mise en œuvre technique conjointe et le financement d’actions liées à la </w:t>
      </w:r>
      <w:r w:rsidR="00E34DC9">
        <w:rPr>
          <w:lang w:val="fr-FR"/>
        </w:rPr>
        <w:t>cible 4</w:t>
      </w:r>
      <w:r w:rsidRPr="00653BF4">
        <w:rPr>
          <w:lang w:val="fr-FR"/>
        </w:rPr>
        <w:t xml:space="preserve">. Plus précisément, elles contribuent à l’élaboration d’évaluations des menaces pesant sur les espèces et les écosystèmes, gèrent des collections ex situ, mènent des recherches appliquées sur le terrain et fournissent des méthodologies à l’appui de la conservation et de l’utilisation durable. Les ONG </w:t>
      </w:r>
      <w:r w:rsidR="00AD77F1" w:rsidRPr="00653BF4">
        <w:rPr>
          <w:lang w:val="fr-FR"/>
        </w:rPr>
        <w:t xml:space="preserve">font </w:t>
      </w:r>
      <w:r w:rsidRPr="00653BF4">
        <w:rPr>
          <w:lang w:val="fr-FR"/>
        </w:rPr>
        <w:t xml:space="preserve">souvent </w:t>
      </w:r>
      <w:r w:rsidR="00AD77F1" w:rsidRPr="00653BF4">
        <w:rPr>
          <w:lang w:val="fr-FR"/>
        </w:rPr>
        <w:t>office d</w:t>
      </w:r>
      <w:r w:rsidR="009B653E" w:rsidRPr="00653BF4">
        <w:rPr>
          <w:lang w:val="fr-FR"/>
        </w:rPr>
        <w:t>’</w:t>
      </w:r>
      <w:r w:rsidRPr="00653BF4">
        <w:rPr>
          <w:lang w:val="fr-FR"/>
        </w:rPr>
        <w:t xml:space="preserve">agence d’exécution </w:t>
      </w:r>
      <w:r w:rsidR="009B653E" w:rsidRPr="00653BF4">
        <w:rPr>
          <w:lang w:val="fr-FR"/>
        </w:rPr>
        <w:t xml:space="preserve">principale </w:t>
      </w:r>
      <w:r w:rsidRPr="00653BF4">
        <w:rPr>
          <w:lang w:val="fr-FR"/>
        </w:rPr>
        <w:t xml:space="preserve">des programmes de rétablissement des espèces et, </w:t>
      </w:r>
      <w:r w:rsidR="00BE7443" w:rsidRPr="00653BF4">
        <w:rPr>
          <w:lang w:val="fr-FR"/>
        </w:rPr>
        <w:t>notamment</w:t>
      </w:r>
      <w:r w:rsidRPr="00653BF4">
        <w:rPr>
          <w:lang w:val="fr-FR"/>
        </w:rPr>
        <w:t xml:space="preserve"> dans certains pays en développement, </w:t>
      </w:r>
      <w:r w:rsidR="00643D88" w:rsidRPr="00653BF4">
        <w:rPr>
          <w:lang w:val="fr-FR"/>
        </w:rPr>
        <w:t xml:space="preserve">elles </w:t>
      </w:r>
      <w:r w:rsidRPr="00653BF4">
        <w:rPr>
          <w:lang w:val="fr-FR"/>
        </w:rPr>
        <w:t xml:space="preserve">comblent les lacunes institutionnelles que les agences nationales ne peuvent pas </w:t>
      </w:r>
      <w:r w:rsidR="00FB4018" w:rsidRPr="00653BF4">
        <w:rPr>
          <w:lang w:val="fr-FR"/>
        </w:rPr>
        <w:t>combler</w:t>
      </w:r>
      <w:r w:rsidRPr="00653BF4">
        <w:rPr>
          <w:lang w:val="fr-FR"/>
        </w:rPr>
        <w:t xml:space="preserve"> seules. Les peuples autochtones et communautés locales remplissent plusieurs rôles, notamment en tant qu’institutions coutumières régissant l’accès aux ressources, en tant que gardes forestiers communautaires effectuant des patrouilles, et en tant que banques de semences communautaires œuvrant à la conservation de l’agrobiodiversité.</w:t>
      </w:r>
    </w:p>
    <w:p w14:paraId="65E485FC" w14:textId="77777777" w:rsidR="006E369A" w:rsidRPr="00653BF4" w:rsidRDefault="006E369A" w:rsidP="006E369A">
      <w:pPr>
        <w:rPr>
          <w:lang w:val="fr-FR"/>
        </w:rPr>
      </w:pPr>
    </w:p>
    <w:p w14:paraId="5C75BFC1" w14:textId="7A3A5FDD" w:rsidR="00973268" w:rsidRPr="00653BF4" w:rsidRDefault="008A58ED" w:rsidP="00973268">
      <w:pPr>
        <w:pStyle w:val="Heading5"/>
        <w:rPr>
          <w:lang w:val="fr-FR"/>
        </w:rPr>
      </w:pPr>
      <w:r w:rsidRPr="00653BF4">
        <w:rPr>
          <w:lang w:val="fr-FR"/>
        </w:rPr>
        <w:t>Exemples de liens avec d</w:t>
      </w:r>
      <w:r w:rsidR="002A58C8" w:rsidRPr="00653BF4">
        <w:rPr>
          <w:lang w:val="fr-FR"/>
        </w:rPr>
        <w:t>’</w:t>
      </w:r>
      <w:r w:rsidRPr="00653BF4">
        <w:rPr>
          <w:lang w:val="fr-FR"/>
        </w:rPr>
        <w:t>autres accords, organisations et processus</w:t>
      </w:r>
    </w:p>
    <w:p w14:paraId="5BA64C01" w14:textId="77777777" w:rsidR="00AD399D" w:rsidRPr="00653BF4" w:rsidRDefault="00AD399D" w:rsidP="00AD399D">
      <w:pPr>
        <w:rPr>
          <w:lang w:val="fr-FR"/>
        </w:rPr>
      </w:pPr>
    </w:p>
    <w:p w14:paraId="7955F105" w14:textId="7F233AC8" w:rsidR="00EA4133" w:rsidRPr="00653BF4" w:rsidRDefault="003E441A" w:rsidP="00EA4133">
      <w:pPr>
        <w:rPr>
          <w:lang w:val="fr-FR"/>
        </w:rPr>
      </w:pPr>
      <w:r w:rsidRPr="00653BF4">
        <w:rPr>
          <w:lang w:val="fr-FR"/>
        </w:rPr>
        <w:t xml:space="preserve">La CITES joue un rôle important dans la mise en œuvre de la </w:t>
      </w:r>
      <w:r w:rsidR="00E34DC9">
        <w:rPr>
          <w:lang w:val="fr-FR"/>
        </w:rPr>
        <w:t>cible 4</w:t>
      </w:r>
      <w:r w:rsidRPr="00653BF4">
        <w:rPr>
          <w:lang w:val="fr-FR"/>
        </w:rPr>
        <w:t xml:space="preserve">, ainsi que des cibles 5 et 9, grâce à ses mécanismes visant à réglementer le commerce international des espèces menacées d’extinction, notamment les avis de non-préjudice, les avis d’acquisition légale et les quotas d’exportation fondés sur des données scientifiques. En outre, l’inscription d’espèces dans les catégories CITES de l’annexe I (pas de commerce) et de l’annexe II (commerce contrôlé) peut s’inscrire dans le cadre de stratégies adaptatives plus larges visant à conserver et à utiliser durablement les espèces, en fonction des menaces particulières susceptibles d’accroître leur risque d’extinction. De même, le </w:t>
      </w:r>
      <w:r w:rsidR="00E34DC9">
        <w:rPr>
          <w:lang w:val="fr-FR"/>
        </w:rPr>
        <w:t>« </w:t>
      </w:r>
      <w:r w:rsidRPr="00653BF4">
        <w:rPr>
          <w:lang w:val="fr-FR"/>
        </w:rPr>
        <w:t>reclassement</w:t>
      </w:r>
      <w:r w:rsidR="00E34DC9">
        <w:rPr>
          <w:lang w:val="fr-FR"/>
        </w:rPr>
        <w:t> »</w:t>
      </w:r>
      <w:r w:rsidRPr="00653BF4">
        <w:rPr>
          <w:lang w:val="fr-FR"/>
        </w:rPr>
        <w:t xml:space="preserve"> d’espèces d’une catégorie CITES à une autre peut témoigner de la réussite de mesures de conservation qui pourraient nécessiter de poursuivre leur mise en œuvre (</w:t>
      </w:r>
      <w:r w:rsidR="009059C9" w:rsidRPr="00653BF4">
        <w:rPr>
          <w:lang w:val="fr-FR"/>
        </w:rPr>
        <w:t>voir l’encadré </w:t>
      </w:r>
      <w:r w:rsidRPr="00653BF4">
        <w:rPr>
          <w:lang w:val="fr-FR"/>
        </w:rPr>
        <w:t>19). Par exemple, à la vingtième réunion de la Conférence des Parties à la Convention sur le commerce international des espèces de faune et de flore sauvages menacées d’extinction, en 2025, les modifications suivantes ont été apportées (CITES, 2025a et 2026)</w:t>
      </w:r>
      <w:r w:rsidR="00E34DC9">
        <w:rPr>
          <w:lang w:val="fr-FR"/>
        </w:rPr>
        <w:t> :</w:t>
      </w:r>
    </w:p>
    <w:p w14:paraId="7CD4F016" w14:textId="1D290939" w:rsidR="005C5A90" w:rsidRPr="00653BF4" w:rsidRDefault="00315842" w:rsidP="005C5A90">
      <w:pPr>
        <w:pStyle w:val="ListParagraph"/>
        <w:numPr>
          <w:ilvl w:val="0"/>
          <w:numId w:val="40"/>
        </w:numPr>
        <w:spacing w:line="279" w:lineRule="auto"/>
        <w:rPr>
          <w:lang w:val="fr-FR"/>
        </w:rPr>
      </w:pPr>
      <w:r>
        <w:rPr>
          <w:lang w:val="fr-FR"/>
        </w:rPr>
        <w:lastRenderedPageBreak/>
        <w:t>L’</w:t>
      </w:r>
      <w:r w:rsidR="00D023B9" w:rsidRPr="00D023B9">
        <w:rPr>
          <w:lang w:val="fr-FR"/>
        </w:rPr>
        <w:t>otarie de Guadeloupe (</w:t>
      </w:r>
      <w:r w:rsidR="00D023B9" w:rsidRPr="00D023B9">
        <w:rPr>
          <w:i/>
          <w:iCs/>
          <w:lang w:val="fr-FR"/>
        </w:rPr>
        <w:t>Arctocephalus townsendi</w:t>
      </w:r>
      <w:r w:rsidR="00D023B9" w:rsidRPr="00D023B9">
        <w:rPr>
          <w:lang w:val="fr-FR"/>
        </w:rPr>
        <w:t>) a été transférée de l'annexe I à l'annexe II de la CITES. Cette espèce avait été considérée comme éteinte en raison de la pression exercée par une surexploitation historique, mais elle a ensuite été redécouverte et a connu un rétablissement à long terme de sa population, avec l'appui de mesures de protection nationales au Mexique et de coopération internationale, ce qui illustre comment une protection et une gestion durables peuvent inverser le déclin.</w:t>
      </w:r>
    </w:p>
    <w:p w14:paraId="7C4061F2" w14:textId="59962124" w:rsidR="00EA4133" w:rsidRPr="00027DA6" w:rsidRDefault="00027DA6" w:rsidP="0001551D">
      <w:pPr>
        <w:pStyle w:val="ListParagraph"/>
        <w:numPr>
          <w:ilvl w:val="0"/>
          <w:numId w:val="40"/>
        </w:numPr>
        <w:spacing w:line="279" w:lineRule="auto"/>
        <w:rPr>
          <w:lang w:val="fr-FR"/>
        </w:rPr>
      </w:pPr>
      <w:r w:rsidRPr="00027DA6">
        <w:rPr>
          <w:lang w:val="fr-FR"/>
        </w:rPr>
        <w:t>Le podocarp de Parlatore (</w:t>
      </w:r>
      <w:r w:rsidRPr="00027DA6">
        <w:rPr>
          <w:i/>
          <w:iCs/>
          <w:lang w:val="fr-FR"/>
        </w:rPr>
        <w:t>Podocarpus parlatorei</w:t>
      </w:r>
      <w:r w:rsidRPr="00027DA6">
        <w:rPr>
          <w:lang w:val="fr-FR"/>
        </w:rPr>
        <w:t>), une espèce d’arbre originaire de certaines régions d’Argentine et de l’État plurinational de Bolivie, a été transférée de l’annexe I à l’annexe II, mais s’est vu attribuer un quota d’exportation nul pour les spécimens sauvages à des fins commerciales. Les perspectives de conservation de cette espèce se sont améliorées, mais elles ne se sont pas encore pleinement rétablies, et ce quota d’exportation nul reflète une approche de précaution, agissant dans le meilleur intérêt de la conservation de l’espèce.</w:t>
      </w:r>
    </w:p>
    <w:p w14:paraId="44ACE260" w14:textId="7FFA8EB8" w:rsidR="00EA4133" w:rsidRPr="00653BF4" w:rsidRDefault="007D4107" w:rsidP="00306E04">
      <w:pPr>
        <w:pStyle w:val="ListParagraph"/>
        <w:numPr>
          <w:ilvl w:val="0"/>
          <w:numId w:val="40"/>
        </w:numPr>
        <w:spacing w:line="279" w:lineRule="auto"/>
        <w:rPr>
          <w:lang w:val="fr-FR"/>
        </w:rPr>
      </w:pPr>
      <w:r w:rsidRPr="007D4107">
        <w:rPr>
          <w:lang w:val="fr-FR"/>
        </w:rPr>
        <w:t>Le bontebok (</w:t>
      </w:r>
      <w:r w:rsidRPr="007D4107">
        <w:rPr>
          <w:i/>
          <w:iCs/>
          <w:lang w:val="fr-FR"/>
        </w:rPr>
        <w:t>Damaliscus pygargus</w:t>
      </w:r>
      <w:r w:rsidRPr="007D4107">
        <w:rPr>
          <w:lang w:val="fr-FR"/>
        </w:rPr>
        <w:t xml:space="preserve">, sous-espèce </w:t>
      </w:r>
      <w:r w:rsidRPr="007D4107">
        <w:rPr>
          <w:i/>
          <w:iCs/>
          <w:lang w:val="fr-FR"/>
        </w:rPr>
        <w:t>pygargus</w:t>
      </w:r>
      <w:r w:rsidRPr="007D4107">
        <w:rPr>
          <w:lang w:val="fr-FR"/>
        </w:rPr>
        <w:t>) a été totalement retiré des restrictions de la CITES, alors qu’il figurait auparavant à l’annexe II. Cette décision s’explique par le rétablissement à long terme de cette espèce d’antilope, grâce à une gestion de conservation efficace en Afrique du Sud. Son retrait complet des annexes de la CITES constitue un exemple clair de l’amélioration de son statut de conservation et de l’atténuation du risque d’extinction.</w:t>
      </w:r>
    </w:p>
    <w:p w14:paraId="475E2444" w14:textId="76817B51" w:rsidR="00EC18F6" w:rsidRPr="00653BF4" w:rsidRDefault="00705743" w:rsidP="00EC18F6">
      <w:pPr>
        <w:spacing w:line="279" w:lineRule="auto"/>
        <w:rPr>
          <w:lang w:val="fr-FR"/>
        </w:rPr>
      </w:pPr>
      <w:r w:rsidRPr="00705743">
        <w:rPr>
          <w:lang w:val="fr-FR"/>
        </w:rPr>
        <w:t xml:space="preserve">La Commission baleinière internationale, en tant qu’autorité intergouvernementale mondiale chargée de la conservation et de la gestion des baleines et autres cétacés, </w:t>
      </w:r>
      <w:r w:rsidR="00733079">
        <w:rPr>
          <w:lang w:val="fr-FR"/>
        </w:rPr>
        <w:t>apporte sa contribution</w:t>
      </w:r>
      <w:r w:rsidRPr="00705743">
        <w:rPr>
          <w:lang w:val="fr-FR"/>
        </w:rPr>
        <w:t xml:space="preserve"> à la </w:t>
      </w:r>
      <w:r w:rsidR="00E34DC9">
        <w:rPr>
          <w:lang w:val="fr-FR"/>
        </w:rPr>
        <w:t>cible 4</w:t>
      </w:r>
      <w:r w:rsidRPr="00705743">
        <w:rPr>
          <w:lang w:val="fr-FR"/>
        </w:rPr>
        <w:t>. La Commission sert de centre de collecte des données mondiales et réalise des évaluations détaillées sur la répartition, l’abondance et l’état des populations de cétacés à travers le monde. À partir de ces données, elle prend des mesures pour faire face aux menaces et élabore des plans multinationaux de gestion et de conservation pour les espèces vulnérables, parfois en collaboration avec la Convention sur la conservation des espèces migratrices appartenant à la faune sauvage (CMS). Selon les évaluations du Comité scientifique de la Commission, le moratoire sur la chasse commerciale de toutes les espèces et populations de baleines, en vigueur depuis la saison 1985/1986, a contribué au rétablissement de nombreuses populations (CBI, 2025).</w:t>
      </w:r>
    </w:p>
    <w:p w14:paraId="48098181" w14:textId="220A5557" w:rsidR="00E40171" w:rsidRPr="00653BF4" w:rsidRDefault="008B1DD3" w:rsidP="00E40171">
      <w:pPr>
        <w:spacing w:line="279" w:lineRule="auto"/>
        <w:rPr>
          <w:lang w:val="fr-FR"/>
        </w:rPr>
      </w:pPr>
      <w:r w:rsidRPr="008B1DD3">
        <w:rPr>
          <w:lang w:val="fr-FR"/>
        </w:rPr>
        <w:t xml:space="preserve">La promotion de la conservation ex situ, en particulier celle des ressources phytogénétiques pour l’alimentation et l’agriculture dans les banques de gènes, les banques de semences et la conservation in vitro, est assurée par l’Organe directeur du Traité international sur les ressources phytogénétiques pour l’alimentation et l’agriculture. La Commission des ressources génétiques pour l’alimentation et l’agriculture de la FAO est le seul organe intergouvernemental permanent qui traite spécifiquement de toutes les </w:t>
      </w:r>
      <w:r w:rsidRPr="008B1DD3">
        <w:rPr>
          <w:lang w:val="fr-FR"/>
        </w:rPr>
        <w:lastRenderedPageBreak/>
        <w:t>composantes de la diversité biologique au service de l’alimentation et de l’agriculture. Elle s’efforce de parvenir à un consensus international sur les politiques relatives à l’utilisation durable et à la conservation des ressources génétiques pour l’alimentation et l’agriculture, ainsi qu’au partage juste et équitable des avantages découlant de leur utilisation. Ses objectifs sont similaires à ceux de la Convention sur la diversité biologique, tout en se concentrant spécifiquement sur la biodiversité pour l’alimentation et l’agriculture. La Commission a négocié et approuvé de nombreux instruments mondiaux, notamment des plans d’action mondiaux pour les ressources génétiques, ainsi que des codes, des normes et des lignes directrices (ITPGRFA, 2026).</w:t>
      </w:r>
    </w:p>
    <w:p w14:paraId="3F01E098" w14:textId="2CB05018" w:rsidR="00DA135E" w:rsidRPr="00653BF4" w:rsidRDefault="00F7444E" w:rsidP="00DA135E">
      <w:pPr>
        <w:spacing w:line="279" w:lineRule="auto"/>
        <w:rPr>
          <w:lang w:val="fr-FR"/>
        </w:rPr>
      </w:pPr>
      <w:r w:rsidRPr="00F7444E">
        <w:rPr>
          <w:lang w:val="fr-FR"/>
        </w:rPr>
        <w:t xml:space="preserve">À la quinzième réunion de la Conférence des Parties contractantes à la Convention relative aux zones humides, les Parties contractantes ont adopté une résolution portant création du Partenariat mondial pour l’estimation des populations d’oiseaux d’eau et ont défini les modalités de publication de l’édition 2027 des </w:t>
      </w:r>
      <w:r w:rsidRPr="00F7444E">
        <w:rPr>
          <w:i/>
          <w:iCs/>
          <w:lang w:val="fr-FR"/>
        </w:rPr>
        <w:t>Estimations des populations d’oiseaux d’eau</w:t>
      </w:r>
      <w:r w:rsidRPr="00F7444E">
        <w:rPr>
          <w:lang w:val="fr-FR"/>
        </w:rPr>
        <w:t xml:space="preserve">. Le Partenariat mondial pour les estimations des populations d’oiseaux d’eau offre un cadre pour la coordination à long terme, l’orientation scientifique et technique, ainsi que la mobilisation des ressources nécessaires à la production des futures évaluations des </w:t>
      </w:r>
      <w:r w:rsidRPr="00F7444E">
        <w:rPr>
          <w:i/>
          <w:iCs/>
          <w:lang w:val="fr-FR"/>
        </w:rPr>
        <w:t>Estimations des populations d’oiseaux d’eau</w:t>
      </w:r>
      <w:r w:rsidRPr="00F7444E">
        <w:rPr>
          <w:lang w:val="fr-FR"/>
        </w:rPr>
        <w:t>. Ce processus vise à réviser les informations sur les populations d’oiseaux d’eau afin d’éclairer de meilleures décisions en matière de planification de la conservation et de contribuer à enrayer la disparition ou le déclin des espèces ou des populations d’oiseaux d’eau (Convention sur les zones humides, 2025a)</w:t>
      </w:r>
      <w:r w:rsidR="00DA135E" w:rsidRPr="00653BF4">
        <w:rPr>
          <w:lang w:val="fr-FR"/>
        </w:rPr>
        <w:t>.</w:t>
      </w:r>
    </w:p>
    <w:p w14:paraId="45ED85E4" w14:textId="13A633CC" w:rsidR="00581BB9" w:rsidRPr="00653BF4" w:rsidRDefault="00581BB9" w:rsidP="00581BB9">
      <w:pPr>
        <w:pStyle w:val="Caption"/>
        <w:keepNext/>
        <w:rPr>
          <w:b/>
          <w:i w:val="0"/>
          <w:sz w:val="20"/>
          <w:szCs w:val="20"/>
          <w:lang w:val="fr-FR"/>
        </w:rPr>
      </w:pPr>
    </w:p>
    <w:tbl>
      <w:tblPr>
        <w:tblStyle w:val="TableGrid"/>
        <w:tblW w:w="0" w:type="auto"/>
        <w:tblLook w:val="04A0" w:firstRow="1" w:lastRow="0" w:firstColumn="1" w:lastColumn="0" w:noHBand="0" w:noVBand="1"/>
      </w:tblPr>
      <w:tblGrid>
        <w:gridCol w:w="9016"/>
      </w:tblGrid>
      <w:tr w:rsidR="006253BC" w:rsidRPr="00543148" w14:paraId="75F971B6" w14:textId="77777777" w:rsidTr="38573CF5">
        <w:tc>
          <w:tcPr>
            <w:tcW w:w="9016" w:type="dxa"/>
            <w:shd w:val="clear" w:color="auto" w:fill="E8E8E8" w:themeFill="background2"/>
          </w:tcPr>
          <w:p w14:paraId="741697D8" w14:textId="77777777" w:rsidR="00F82064" w:rsidRPr="00653BF4" w:rsidRDefault="00F82064" w:rsidP="00AF2AD4">
            <w:pPr>
              <w:rPr>
                <w:lang w:val="fr-FR"/>
              </w:rPr>
            </w:pPr>
          </w:p>
          <w:p w14:paraId="6A1DD905" w14:textId="6A378CD8" w:rsidR="00DA135E" w:rsidRPr="00653BF4" w:rsidRDefault="0024766A" w:rsidP="00DA135E">
            <w:pPr>
              <w:pStyle w:val="Caption"/>
              <w:keepNext/>
              <w:rPr>
                <w:i w:val="0"/>
                <w:iCs w:val="0"/>
                <w:sz w:val="20"/>
                <w:szCs w:val="20"/>
                <w:lang w:val="fr-FR"/>
              </w:rPr>
            </w:pPr>
            <w:bookmarkStart w:id="132" w:name="_Ref231281702"/>
            <w:r w:rsidRPr="00653BF4">
              <w:rPr>
                <w:i w:val="0"/>
                <w:iCs w:val="0"/>
                <w:sz w:val="20"/>
                <w:szCs w:val="20"/>
                <w:lang w:val="fr-FR"/>
              </w:rPr>
              <w:t>Encadré</w:t>
            </w:r>
            <w:r w:rsidR="00DA135E" w:rsidRPr="00653BF4">
              <w:rPr>
                <w:i w:val="0"/>
                <w:iCs w:val="0"/>
                <w:sz w:val="20"/>
                <w:szCs w:val="20"/>
                <w:lang w:val="fr-FR"/>
              </w:rPr>
              <w:t xml:space="preserve"> </w:t>
            </w:r>
            <w:r w:rsidR="008306DF" w:rsidRPr="00653BF4">
              <w:rPr>
                <w:i w:val="0"/>
                <w:iCs w:val="0"/>
                <w:noProof/>
                <w:sz w:val="20"/>
                <w:szCs w:val="20"/>
                <w:lang w:val="fr-FR"/>
              </w:rPr>
              <w:t>19</w:t>
            </w:r>
            <w:bookmarkEnd w:id="132"/>
            <w:r w:rsidR="00DA135E" w:rsidRPr="00653BF4">
              <w:rPr>
                <w:i w:val="0"/>
                <w:iCs w:val="0"/>
                <w:sz w:val="20"/>
                <w:szCs w:val="20"/>
                <w:lang w:val="fr-FR"/>
              </w:rPr>
              <w:t xml:space="preserve"> </w:t>
            </w:r>
          </w:p>
          <w:p w14:paraId="33826503" w14:textId="65CCAD5D" w:rsidR="00F82064" w:rsidRPr="00653BF4" w:rsidRDefault="0033602E" w:rsidP="00AF2AD4">
            <w:pPr>
              <w:rPr>
                <w:b/>
                <w:sz w:val="20"/>
                <w:szCs w:val="20"/>
                <w:lang w:val="fr-FR"/>
              </w:rPr>
            </w:pPr>
            <w:r w:rsidRPr="0033602E">
              <w:rPr>
                <w:b/>
                <w:bCs/>
                <w:sz w:val="20"/>
                <w:szCs w:val="20"/>
                <w:lang w:val="fr-FR"/>
              </w:rPr>
              <w:t>Coordination entre les accords multilatéraux sur l'environnement visant à fournir un appui au rétablissement de l'antilope saïga au Kazakhstan</w:t>
            </w:r>
          </w:p>
          <w:p w14:paraId="7BB56C30" w14:textId="77777777" w:rsidR="00DA135E" w:rsidRPr="00653BF4" w:rsidRDefault="00DA135E" w:rsidP="00DA135E">
            <w:pPr>
              <w:rPr>
                <w:lang w:val="fr-FR"/>
              </w:rPr>
            </w:pPr>
          </w:p>
          <w:p w14:paraId="7148948F" w14:textId="3A6991A0" w:rsidR="00EC2C81" w:rsidRPr="00653BF4" w:rsidRDefault="006D489F" w:rsidP="00EC2C81">
            <w:pPr>
              <w:spacing w:line="276" w:lineRule="auto"/>
              <w:rPr>
                <w:sz w:val="20"/>
                <w:szCs w:val="20"/>
                <w:lang w:val="fr-FR"/>
              </w:rPr>
            </w:pPr>
            <w:r w:rsidRPr="006D489F">
              <w:rPr>
                <w:sz w:val="20"/>
                <w:szCs w:val="20"/>
                <w:lang w:val="fr-FR"/>
              </w:rPr>
              <w:t>L’antilope saïga (</w:t>
            </w:r>
            <w:r w:rsidRPr="002604FD">
              <w:rPr>
                <w:i/>
                <w:iCs/>
                <w:sz w:val="20"/>
                <w:szCs w:val="20"/>
                <w:lang w:val="fr-FR"/>
              </w:rPr>
              <w:t>Saiga tatarica</w:t>
            </w:r>
            <w:r w:rsidRPr="006D489F">
              <w:rPr>
                <w:sz w:val="20"/>
                <w:szCs w:val="20"/>
                <w:lang w:val="fr-FR"/>
              </w:rPr>
              <w:t xml:space="preserve">) a subi ces dernières années un effondrement catastrophique de ses effectifs, dû à la fois au braconnage et à des maladies. Le gouvernement du Kazakhstan a collaboré avec des partenaires internationaux et dans le cadre d’accords multilatéraux sur l’environnement, notamment la CMS et la CITES, afin d’apporter un appui à l’une des initiatives de rétablissement de la faune et de la flore sauvages les plus fructueuses de la région. Les mesures de conservation ont notamment consisté à renforcer les patrouilles </w:t>
            </w:r>
            <w:r w:rsidR="006547BC" w:rsidRPr="006D489F">
              <w:rPr>
                <w:sz w:val="20"/>
                <w:szCs w:val="20"/>
                <w:lang w:val="fr-FR"/>
              </w:rPr>
              <w:t>antibraconnage</w:t>
            </w:r>
            <w:r w:rsidRPr="006D489F">
              <w:rPr>
                <w:sz w:val="20"/>
                <w:szCs w:val="20"/>
                <w:lang w:val="fr-FR"/>
              </w:rPr>
              <w:t>, à mettre en place des contrôles stricts du commerce et à étendre les zones protégées sur l’ensemble de l’aire de migration de l’antilope. Des programmes d’implication des communautés ont contribué à atténuer les incitations au braconnage en favorisant des moyens de subsistance alternatifs</w:t>
            </w:r>
            <w:r w:rsidR="00ED1658" w:rsidRPr="00653BF4">
              <w:rPr>
                <w:sz w:val="20"/>
                <w:szCs w:val="20"/>
                <w:vertAlign w:val="superscript"/>
                <w:lang w:val="fr-FR"/>
              </w:rPr>
              <w:t>a</w:t>
            </w:r>
            <w:r>
              <w:rPr>
                <w:sz w:val="20"/>
                <w:szCs w:val="20"/>
                <w:lang w:val="fr-FR"/>
              </w:rPr>
              <w:t xml:space="preserve">. </w:t>
            </w:r>
            <w:r w:rsidR="00C05405" w:rsidRPr="00C05405">
              <w:rPr>
                <w:sz w:val="20"/>
                <w:szCs w:val="20"/>
                <w:lang w:val="fr-FR"/>
              </w:rPr>
              <w:t xml:space="preserve">Les cadres établis par la CMS, tels que l’Initiative pour les mammifères d’Asie centrale et le Programme de travail international à moyen terme pour l’antilope saïga (2021-2025), ont facilité la collaboration transfrontalière, l’harmonisation des politiques et la connectivité des habitats entre les États de l’aire de répartition, tandis que la CITES a fourni le cadre juridique permettant de réglementer et de réaliser le suivi strict du commerce </w:t>
            </w:r>
            <w:r w:rsidR="00C05405" w:rsidRPr="00C05405">
              <w:rPr>
                <w:sz w:val="20"/>
                <w:szCs w:val="20"/>
                <w:lang w:val="fr-FR"/>
              </w:rPr>
              <w:lastRenderedPageBreak/>
              <w:t>international. En conséquence, la population d’antilopes saïga au Kazakhstan est passée de moins de 20</w:t>
            </w:r>
            <w:r w:rsidR="005A6D77">
              <w:rPr>
                <w:sz w:val="20"/>
                <w:szCs w:val="20"/>
                <w:lang w:val="fr-FR"/>
              </w:rPr>
              <w:t> </w:t>
            </w:r>
            <w:r w:rsidR="00C05405" w:rsidRPr="00C05405">
              <w:rPr>
                <w:sz w:val="20"/>
                <w:szCs w:val="20"/>
                <w:lang w:val="fr-FR"/>
              </w:rPr>
              <w:t>000</w:t>
            </w:r>
            <w:r w:rsidR="005A6D77">
              <w:rPr>
                <w:sz w:val="20"/>
                <w:szCs w:val="20"/>
                <w:lang w:val="fr-FR"/>
              </w:rPr>
              <w:t> </w:t>
            </w:r>
            <w:r w:rsidR="00C05405" w:rsidRPr="00C05405">
              <w:rPr>
                <w:sz w:val="20"/>
                <w:szCs w:val="20"/>
                <w:lang w:val="fr-FR"/>
              </w:rPr>
              <w:t>individus à plus de 2,8</w:t>
            </w:r>
            <w:r w:rsidR="005A6D77">
              <w:rPr>
                <w:sz w:val="20"/>
                <w:szCs w:val="20"/>
                <w:lang w:val="fr-FR"/>
              </w:rPr>
              <w:t xml:space="preserve"> </w:t>
            </w:r>
            <w:r w:rsidR="00C05405" w:rsidRPr="00C05405">
              <w:rPr>
                <w:sz w:val="20"/>
                <w:szCs w:val="20"/>
                <w:lang w:val="fr-FR"/>
              </w:rPr>
              <w:t>millions. Bien que d’importants défis subsistent, ce rétablissement a nourri les discussions lors de la vingtième réunion de la Conférence des Parties à la Convention en 2025, au cours de laquelle les Parties ont convenu d’autoriser un commerce strictement limité au titre de l’annexe II de la CITES, sous réserve d’exigences de vérification, conformément au statut amélioré mais toujours vulnérable de l’espèce, tout en conservant une approche prudente.</w:t>
            </w:r>
          </w:p>
          <w:p w14:paraId="08783647" w14:textId="77777777" w:rsidR="00FC4461" w:rsidRPr="00653BF4" w:rsidRDefault="00FC4461" w:rsidP="00EC2C81">
            <w:pPr>
              <w:spacing w:line="276" w:lineRule="auto"/>
              <w:rPr>
                <w:sz w:val="20"/>
                <w:szCs w:val="20"/>
                <w:lang w:val="fr-FR"/>
              </w:rPr>
            </w:pPr>
          </w:p>
          <w:p w14:paraId="16C4F73D" w14:textId="5A6D84B4" w:rsidR="009339DB" w:rsidRPr="00653BF4" w:rsidRDefault="00904C13" w:rsidP="00B64A73">
            <w:pPr>
              <w:spacing w:line="276" w:lineRule="auto"/>
              <w:jc w:val="both"/>
              <w:rPr>
                <w:sz w:val="20"/>
                <w:szCs w:val="20"/>
                <w:lang w:val="fr-FR"/>
              </w:rPr>
            </w:pPr>
            <w:r w:rsidRPr="00653BF4">
              <w:rPr>
                <w:i/>
                <w:sz w:val="20"/>
                <w:szCs w:val="20"/>
                <w:lang w:val="fr-FR"/>
              </w:rPr>
              <w:t>C</w:t>
            </w:r>
            <w:r w:rsidR="001345EC" w:rsidRPr="00653BF4">
              <w:rPr>
                <w:i/>
                <w:sz w:val="20"/>
                <w:szCs w:val="20"/>
                <w:lang w:val="fr-FR"/>
              </w:rPr>
              <w:t>ibles concernées</w:t>
            </w:r>
            <w:r w:rsidR="00E34DC9">
              <w:rPr>
                <w:i/>
                <w:sz w:val="20"/>
                <w:szCs w:val="20"/>
                <w:lang w:val="fr-FR"/>
              </w:rPr>
              <w:t> :</w:t>
            </w:r>
            <w:r w:rsidR="009339DB" w:rsidRPr="00653BF4">
              <w:rPr>
                <w:i/>
                <w:sz w:val="20"/>
                <w:szCs w:val="20"/>
                <w:lang w:val="fr-FR"/>
              </w:rPr>
              <w:t xml:space="preserve"> </w:t>
            </w:r>
            <w:r w:rsidR="009339DB" w:rsidRPr="00653BF4">
              <w:rPr>
                <w:sz w:val="20"/>
                <w:szCs w:val="20"/>
                <w:lang w:val="fr-FR"/>
              </w:rPr>
              <w:t>4</w:t>
            </w:r>
            <w:r w:rsidR="00897418" w:rsidRPr="00653BF4">
              <w:rPr>
                <w:sz w:val="20"/>
                <w:szCs w:val="20"/>
                <w:lang w:val="fr-FR"/>
              </w:rPr>
              <w:t xml:space="preserve"> </w:t>
            </w:r>
            <w:r w:rsidR="002E566B" w:rsidRPr="00653BF4">
              <w:rPr>
                <w:sz w:val="20"/>
                <w:szCs w:val="20"/>
                <w:lang w:val="fr-FR"/>
              </w:rPr>
              <w:t>e</w:t>
            </w:r>
            <w:r w:rsidR="00897418" w:rsidRPr="00653BF4">
              <w:rPr>
                <w:sz w:val="20"/>
                <w:szCs w:val="20"/>
                <w:lang w:val="fr-FR"/>
              </w:rPr>
              <w:t xml:space="preserve"> </w:t>
            </w:r>
            <w:r w:rsidR="009339DB" w:rsidRPr="00653BF4">
              <w:rPr>
                <w:sz w:val="20"/>
                <w:szCs w:val="20"/>
                <w:lang w:val="fr-FR"/>
              </w:rPr>
              <w:t>5</w:t>
            </w:r>
            <w:r w:rsidR="002B4C1A" w:rsidRPr="00653BF4">
              <w:rPr>
                <w:sz w:val="20"/>
                <w:szCs w:val="20"/>
                <w:lang w:val="fr-FR"/>
              </w:rPr>
              <w:t>.</w:t>
            </w:r>
          </w:p>
          <w:p w14:paraId="67C7D6E3" w14:textId="77777777" w:rsidR="00CF1A81" w:rsidRPr="00653BF4" w:rsidRDefault="00CF1A81" w:rsidP="006E369A">
            <w:pPr>
              <w:rPr>
                <w:i/>
                <w:sz w:val="20"/>
                <w:szCs w:val="20"/>
                <w:lang w:val="fr-FR"/>
              </w:rPr>
            </w:pPr>
          </w:p>
          <w:p w14:paraId="2A228F5B" w14:textId="38BD2F31" w:rsidR="00221146" w:rsidRPr="00653BF4" w:rsidRDefault="009339DB" w:rsidP="00221146">
            <w:pPr>
              <w:rPr>
                <w:sz w:val="20"/>
                <w:szCs w:val="20"/>
                <w:lang w:val="fr-FR"/>
              </w:rPr>
            </w:pPr>
            <w:r w:rsidRPr="00653BF4">
              <w:rPr>
                <w:i/>
                <w:sz w:val="20"/>
                <w:szCs w:val="20"/>
                <w:lang w:val="fr-FR"/>
              </w:rPr>
              <w:t>Sources</w:t>
            </w:r>
            <w:r w:rsidR="00E34DC9">
              <w:rPr>
                <w:i/>
                <w:sz w:val="20"/>
                <w:szCs w:val="20"/>
                <w:lang w:val="fr-FR"/>
              </w:rPr>
              <w:t> :</w:t>
            </w:r>
            <w:r w:rsidRPr="00653BF4">
              <w:rPr>
                <w:i/>
                <w:sz w:val="20"/>
                <w:szCs w:val="20"/>
                <w:lang w:val="fr-FR"/>
              </w:rPr>
              <w:t xml:space="preserve"> </w:t>
            </w:r>
            <w:r w:rsidR="002371F1" w:rsidRPr="00653BF4">
              <w:rPr>
                <w:sz w:val="20"/>
                <w:szCs w:val="20"/>
                <w:lang w:val="fr-FR"/>
              </w:rPr>
              <w:t>CITES, 2025a</w:t>
            </w:r>
            <w:r w:rsidR="002F6DB7" w:rsidRPr="00653BF4">
              <w:rPr>
                <w:sz w:val="20"/>
                <w:szCs w:val="20"/>
                <w:lang w:val="fr-FR"/>
              </w:rPr>
              <w:t xml:space="preserve">, </w:t>
            </w:r>
            <w:r w:rsidR="002371F1" w:rsidRPr="00653BF4">
              <w:rPr>
                <w:sz w:val="20"/>
                <w:szCs w:val="20"/>
                <w:lang w:val="fr-FR"/>
              </w:rPr>
              <w:t xml:space="preserve">2026; </w:t>
            </w:r>
            <w:r w:rsidR="00A37410" w:rsidRPr="00653BF4">
              <w:rPr>
                <w:sz w:val="20"/>
                <w:szCs w:val="20"/>
                <w:lang w:val="fr-FR"/>
              </w:rPr>
              <w:t xml:space="preserve">and </w:t>
            </w:r>
            <w:r w:rsidR="002371F1" w:rsidRPr="00653BF4">
              <w:rPr>
                <w:sz w:val="20"/>
                <w:szCs w:val="20"/>
                <w:lang w:val="fr-FR"/>
              </w:rPr>
              <w:t>CMS, 2021</w:t>
            </w:r>
            <w:r w:rsidR="002F6DB7" w:rsidRPr="00653BF4">
              <w:rPr>
                <w:sz w:val="20"/>
                <w:szCs w:val="20"/>
                <w:lang w:val="fr-FR"/>
              </w:rPr>
              <w:t xml:space="preserve">, </w:t>
            </w:r>
            <w:r w:rsidR="002371F1" w:rsidRPr="00653BF4">
              <w:rPr>
                <w:sz w:val="20"/>
                <w:szCs w:val="20"/>
                <w:lang w:val="fr-FR"/>
              </w:rPr>
              <w:t>2025a)</w:t>
            </w:r>
            <w:r w:rsidR="00221146" w:rsidRPr="00653BF4">
              <w:rPr>
                <w:sz w:val="20"/>
                <w:szCs w:val="20"/>
                <w:lang w:val="fr-FR"/>
              </w:rPr>
              <w:t xml:space="preserve">. </w:t>
            </w:r>
          </w:p>
          <w:p w14:paraId="1A13A979" w14:textId="77777777" w:rsidR="00897418" w:rsidRPr="00653BF4" w:rsidRDefault="00897418" w:rsidP="38573CF5">
            <w:pPr>
              <w:rPr>
                <w:sz w:val="18"/>
                <w:szCs w:val="18"/>
                <w:lang w:val="fr-FR"/>
              </w:rPr>
            </w:pPr>
          </w:p>
          <w:p w14:paraId="2ADF3E2F" w14:textId="4FD2846D" w:rsidR="00B94549" w:rsidRPr="00653BF4" w:rsidRDefault="2E98B835" w:rsidP="38573CF5">
            <w:pPr>
              <w:pStyle w:val="FootnoteText"/>
              <w:rPr>
                <w:sz w:val="18"/>
                <w:szCs w:val="18"/>
                <w:lang w:val="fr-FR"/>
              </w:rPr>
            </w:pPr>
            <w:r w:rsidRPr="00653BF4">
              <w:rPr>
                <w:sz w:val="18"/>
                <w:szCs w:val="18"/>
                <w:vertAlign w:val="superscript"/>
                <w:lang w:val="fr-FR"/>
              </w:rPr>
              <w:t>a</w:t>
            </w:r>
            <w:r w:rsidRPr="00653BF4">
              <w:rPr>
                <w:sz w:val="18"/>
                <w:szCs w:val="18"/>
                <w:lang w:val="fr-FR"/>
              </w:rPr>
              <w:t xml:space="preserve"> </w:t>
            </w:r>
            <w:r w:rsidR="00634C92" w:rsidRPr="00653BF4">
              <w:rPr>
                <w:sz w:val="18"/>
                <w:szCs w:val="18"/>
                <w:lang w:val="fr-FR"/>
              </w:rPr>
              <w:t xml:space="preserve">Voir </w:t>
            </w:r>
            <w:hyperlink r:id="rId81" w:history="1">
              <w:r w:rsidR="00634C92" w:rsidRPr="00653BF4">
                <w:rPr>
                  <w:rStyle w:val="Hyperlink"/>
                  <w:sz w:val="18"/>
                  <w:szCs w:val="18"/>
                  <w:lang w:val="fr-FR"/>
                </w:rPr>
                <w:t>https://altyndala.org/</w:t>
              </w:r>
            </w:hyperlink>
            <w:r w:rsidRPr="00653BF4">
              <w:rPr>
                <w:sz w:val="18"/>
                <w:szCs w:val="18"/>
                <w:lang w:val="fr-FR"/>
              </w:rPr>
              <w:t>.</w:t>
            </w:r>
          </w:p>
          <w:p w14:paraId="0A08E6CA" w14:textId="5161509D" w:rsidR="005652DD" w:rsidRPr="00653BF4" w:rsidRDefault="005652DD" w:rsidP="00221146">
            <w:pPr>
              <w:rPr>
                <w:sz w:val="16"/>
                <w:szCs w:val="16"/>
                <w:lang w:val="fr-FR"/>
              </w:rPr>
            </w:pPr>
          </w:p>
          <w:p w14:paraId="0293AA50" w14:textId="2F4DD589" w:rsidR="00CF1A81" w:rsidRPr="00653BF4" w:rsidRDefault="00CF1A81" w:rsidP="00F82064">
            <w:pPr>
              <w:rPr>
                <w:i/>
                <w:lang w:val="fr-FR"/>
              </w:rPr>
            </w:pPr>
          </w:p>
        </w:tc>
      </w:tr>
    </w:tbl>
    <w:p w14:paraId="716D45AD" w14:textId="77777777" w:rsidR="00975CCA" w:rsidRPr="00653BF4" w:rsidRDefault="00975CCA" w:rsidP="00975CCA">
      <w:pPr>
        <w:rPr>
          <w:lang w:val="fr-FR"/>
        </w:rPr>
      </w:pPr>
    </w:p>
    <w:p w14:paraId="73C70A13" w14:textId="77777777" w:rsidR="00830941" w:rsidRPr="00653BF4" w:rsidRDefault="00830941" w:rsidP="00975CCA">
      <w:pPr>
        <w:rPr>
          <w:lang w:val="fr-FR"/>
        </w:rPr>
      </w:pPr>
    </w:p>
    <w:p w14:paraId="01A038C1" w14:textId="77E8455B" w:rsidR="00120352" w:rsidRPr="00653BF4" w:rsidRDefault="00E34DC9" w:rsidP="74032CC2">
      <w:pPr>
        <w:pStyle w:val="Heading4"/>
        <w:rPr>
          <w:i w:val="0"/>
          <w:iCs w:val="0"/>
          <w:lang w:val="fr-FR"/>
        </w:rPr>
      </w:pPr>
      <w:bookmarkStart w:id="133" w:name="_Toc235821102"/>
      <w:bookmarkStart w:id="134" w:name="_Toc239069199"/>
      <w:bookmarkStart w:id="135" w:name="_Toc242801236"/>
      <w:r>
        <w:rPr>
          <w:b/>
          <w:bCs/>
          <w:i w:val="0"/>
          <w:iCs w:val="0"/>
          <w:lang w:val="fr-FR"/>
        </w:rPr>
        <w:t>Cible 5</w:t>
      </w:r>
      <w:r w:rsidR="00F247F6" w:rsidRPr="00653BF4">
        <w:rPr>
          <w:b/>
          <w:bCs/>
          <w:i w:val="0"/>
          <w:iCs w:val="0"/>
          <w:lang w:val="fr-FR"/>
        </w:rPr>
        <w:t>.</w:t>
      </w:r>
      <w:r w:rsidR="007E7D26" w:rsidRPr="00653BF4">
        <w:rPr>
          <w:i w:val="0"/>
          <w:iCs w:val="0"/>
          <w:lang w:val="fr-FR"/>
        </w:rPr>
        <w:t xml:space="preserve"> </w:t>
      </w:r>
      <w:bookmarkEnd w:id="133"/>
      <w:bookmarkEnd w:id="134"/>
      <w:r w:rsidR="003E17B4" w:rsidRPr="00653BF4">
        <w:rPr>
          <w:i w:val="0"/>
          <w:iCs w:val="0"/>
          <w:lang w:val="fr-FR"/>
        </w:rPr>
        <w:t>Assurer une utilisation, des prélèvements et un commerce durables, sûrs et légaux des espèces sauvages</w:t>
      </w:r>
      <w:bookmarkEnd w:id="135"/>
    </w:p>
    <w:p w14:paraId="45C3ABE9" w14:textId="77777777" w:rsidR="00EF7F17" w:rsidRPr="00653BF4" w:rsidRDefault="00EF7F17" w:rsidP="006916B1">
      <w:pPr>
        <w:rPr>
          <w:b/>
          <w:bCs/>
          <w:i/>
          <w:iCs/>
          <w:sz w:val="22"/>
          <w:szCs w:val="22"/>
          <w:lang w:val="fr-FR"/>
        </w:rPr>
      </w:pPr>
    </w:p>
    <w:p w14:paraId="5791A407" w14:textId="39741F75" w:rsidR="006916B1" w:rsidRPr="00653BF4" w:rsidRDefault="00971268" w:rsidP="006916B1">
      <w:pPr>
        <w:rPr>
          <w:i/>
          <w:iCs/>
          <w:sz w:val="22"/>
          <w:szCs w:val="22"/>
          <w:lang w:val="fr-FR"/>
        </w:rPr>
      </w:pPr>
      <w:r w:rsidRPr="00653BF4">
        <w:rPr>
          <w:b/>
          <w:sz w:val="22"/>
          <w:szCs w:val="22"/>
          <w:lang w:val="fr-FR"/>
        </w:rPr>
        <w:t>T</w:t>
      </w:r>
      <w:r w:rsidR="006916B1" w:rsidRPr="00653BF4">
        <w:rPr>
          <w:b/>
          <w:sz w:val="22"/>
          <w:szCs w:val="22"/>
          <w:lang w:val="fr-FR"/>
        </w:rPr>
        <w:t>ext</w:t>
      </w:r>
      <w:r w:rsidRPr="00653BF4">
        <w:rPr>
          <w:b/>
          <w:sz w:val="22"/>
          <w:szCs w:val="22"/>
          <w:lang w:val="fr-FR"/>
        </w:rPr>
        <w:t>e de la cible</w:t>
      </w:r>
      <w:r w:rsidR="00E34DC9">
        <w:rPr>
          <w:b/>
          <w:sz w:val="22"/>
          <w:szCs w:val="22"/>
          <w:lang w:val="fr-FR"/>
        </w:rPr>
        <w:t> :</w:t>
      </w:r>
      <w:r w:rsidR="006916B1" w:rsidRPr="00653BF4">
        <w:rPr>
          <w:sz w:val="22"/>
          <w:szCs w:val="22"/>
          <w:lang w:val="fr-FR"/>
        </w:rPr>
        <w:t xml:space="preserve"> </w:t>
      </w:r>
      <w:r w:rsidR="003E17B4" w:rsidRPr="00653BF4">
        <w:rPr>
          <w:i/>
          <w:iCs/>
          <w:sz w:val="22"/>
          <w:szCs w:val="22"/>
          <w:lang w:val="fr-FR"/>
        </w:rPr>
        <w:t>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w:t>
      </w:r>
      <w:r w:rsidR="002A58C8" w:rsidRPr="00653BF4">
        <w:rPr>
          <w:i/>
          <w:iCs/>
          <w:sz w:val="22"/>
          <w:szCs w:val="22"/>
          <w:lang w:val="fr-FR"/>
        </w:rPr>
        <w:t>’</w:t>
      </w:r>
      <w:r w:rsidR="003E17B4" w:rsidRPr="00653BF4">
        <w:rPr>
          <w:i/>
          <w:iCs/>
          <w:sz w:val="22"/>
          <w:szCs w:val="22"/>
          <w:lang w:val="fr-FR"/>
        </w:rPr>
        <w:t>approche écosystémique, tout en respectant et en protégeant les pratiques traditionnelles des peuples autochtones et des communautés locales en matière d</w:t>
      </w:r>
      <w:r w:rsidR="002A58C8" w:rsidRPr="00653BF4">
        <w:rPr>
          <w:i/>
          <w:iCs/>
          <w:sz w:val="22"/>
          <w:szCs w:val="22"/>
          <w:lang w:val="fr-FR"/>
        </w:rPr>
        <w:t>’</w:t>
      </w:r>
      <w:r w:rsidR="003E17B4" w:rsidRPr="00653BF4">
        <w:rPr>
          <w:i/>
          <w:iCs/>
          <w:sz w:val="22"/>
          <w:szCs w:val="22"/>
          <w:lang w:val="fr-FR"/>
        </w:rPr>
        <w:t>utilisation durable.</w:t>
      </w:r>
    </w:p>
    <w:p w14:paraId="3DD804F4" w14:textId="77777777" w:rsidR="006916B1" w:rsidRPr="00653BF4" w:rsidRDefault="006916B1" w:rsidP="006916B1">
      <w:pPr>
        <w:rPr>
          <w:lang w:val="fr-FR"/>
        </w:rPr>
      </w:pPr>
    </w:p>
    <w:p w14:paraId="18DAB3A4" w14:textId="1133BC7C" w:rsidR="00426A22" w:rsidRPr="00653BF4" w:rsidRDefault="00DD19D2" w:rsidP="00B552F5">
      <w:pPr>
        <w:pStyle w:val="Heading5"/>
        <w:rPr>
          <w:lang w:val="fr-FR"/>
        </w:rPr>
      </w:pPr>
      <w:r w:rsidRPr="00653BF4">
        <w:rPr>
          <w:lang w:val="fr-FR"/>
        </w:rPr>
        <w:t>Aperçu des progrès</w:t>
      </w:r>
      <w:r w:rsidR="003E194D" w:rsidRPr="00653BF4">
        <w:rPr>
          <w:lang w:val="fr-FR"/>
        </w:rPr>
        <w:t xml:space="preserve"> accomplis</w:t>
      </w:r>
    </w:p>
    <w:tbl>
      <w:tblPr>
        <w:tblStyle w:val="TableGrid"/>
        <w:tblW w:w="0" w:type="auto"/>
        <w:tblLook w:val="04A0" w:firstRow="1" w:lastRow="0" w:firstColumn="1" w:lastColumn="0" w:noHBand="0" w:noVBand="1"/>
      </w:tblPr>
      <w:tblGrid>
        <w:gridCol w:w="9016"/>
      </w:tblGrid>
      <w:tr w:rsidR="00B552F5" w:rsidRPr="00543148" w14:paraId="24132EA4" w14:textId="77777777" w:rsidTr="00B552F5">
        <w:tc>
          <w:tcPr>
            <w:tcW w:w="9016" w:type="dxa"/>
            <w:shd w:val="clear" w:color="auto" w:fill="D1D1D1" w:themeFill="background2" w:themeFillShade="E6"/>
          </w:tcPr>
          <w:p w14:paraId="54530C83" w14:textId="77777777" w:rsidR="00FD330F" w:rsidRPr="00653BF4" w:rsidRDefault="00FD330F" w:rsidP="009A6756">
            <w:pPr>
              <w:rPr>
                <w:rFonts w:ascii="Aptos" w:eastAsia="Times New Roman" w:hAnsi="Aptos" w:cs="Calibri"/>
                <w:color w:val="000000"/>
                <w:lang w:val="fr-FR"/>
              </w:rPr>
            </w:pPr>
          </w:p>
          <w:p w14:paraId="0A186262" w14:textId="4FC9AA39" w:rsidR="00E03029" w:rsidRPr="00653BF4" w:rsidRDefault="00B90590" w:rsidP="00E03029">
            <w:pPr>
              <w:rPr>
                <w:rFonts w:ascii="Aptos" w:eastAsia="Times New Roman" w:hAnsi="Aptos" w:cs="Calibri"/>
                <w:color w:val="000000"/>
                <w:lang w:val="fr-FR"/>
              </w:rPr>
            </w:pPr>
            <w:r>
              <w:rPr>
                <w:rFonts w:ascii="Aptos" w:eastAsia="Times New Roman" w:hAnsi="Aptos" w:cs="Calibri"/>
                <w:color w:val="000000"/>
                <w:lang w:val="fr-FR"/>
              </w:rPr>
              <w:t>Si d</w:t>
            </w:r>
            <w:r w:rsidR="00E059E1" w:rsidRPr="00E059E1">
              <w:rPr>
                <w:rFonts w:ascii="Aptos" w:eastAsia="Times New Roman" w:hAnsi="Aptos" w:cs="Calibri"/>
                <w:color w:val="000000"/>
                <w:lang w:val="fr-FR"/>
              </w:rPr>
              <w:t xml:space="preserve">es progrès </w:t>
            </w:r>
            <w:r>
              <w:rPr>
                <w:rFonts w:ascii="Aptos" w:eastAsia="Times New Roman" w:hAnsi="Aptos" w:cs="Calibri"/>
                <w:color w:val="000000"/>
                <w:lang w:val="fr-FR"/>
              </w:rPr>
              <w:t>ont été</w:t>
            </w:r>
            <w:r w:rsidR="00E059E1" w:rsidRPr="00E059E1">
              <w:rPr>
                <w:rFonts w:ascii="Aptos" w:eastAsia="Times New Roman" w:hAnsi="Aptos" w:cs="Calibri"/>
                <w:color w:val="000000"/>
                <w:lang w:val="fr-FR"/>
              </w:rPr>
              <w:t xml:space="preserve"> accomplis dans le renforcement des cadres juridiques et politiques relatifs à l’utilisation et au commerce durables des espèces sauvages, les données disponibles sont insuffisantes pour </w:t>
            </w:r>
            <w:r w:rsidR="00D4497F">
              <w:rPr>
                <w:rFonts w:ascii="Aptos" w:eastAsia="Times New Roman" w:hAnsi="Aptos" w:cs="Calibri"/>
                <w:color w:val="000000"/>
                <w:lang w:val="fr-FR"/>
              </w:rPr>
              <w:t>procéder à une évaluation d</w:t>
            </w:r>
            <w:r w:rsidR="00E059E1" w:rsidRPr="00E059E1">
              <w:rPr>
                <w:rFonts w:ascii="Aptos" w:eastAsia="Times New Roman" w:hAnsi="Aptos" w:cs="Calibri"/>
                <w:color w:val="000000"/>
                <w:lang w:val="fr-FR"/>
              </w:rPr>
              <w:t xml:space="preserve">es progrès collectifs </w:t>
            </w:r>
            <w:r w:rsidR="00076F17">
              <w:rPr>
                <w:rFonts w:ascii="Aptos" w:eastAsia="Times New Roman" w:hAnsi="Aptos" w:cs="Calibri"/>
                <w:color w:val="000000"/>
                <w:lang w:val="fr-FR"/>
              </w:rPr>
              <w:t>sur</w:t>
            </w:r>
            <w:r w:rsidR="00E059E1" w:rsidRPr="00E059E1">
              <w:rPr>
                <w:rFonts w:ascii="Aptos" w:eastAsia="Times New Roman" w:hAnsi="Aptos" w:cs="Calibri"/>
                <w:color w:val="000000"/>
                <w:lang w:val="fr-FR"/>
              </w:rPr>
              <w:t xml:space="preserve"> l’ensemble des éléments de la cible. Les avancées signalées se concentrent sur le commerce réglementé et les pratiques d’exploitation durable, tandis que d’importantes lacunes en matière de connaissances, de suivi et de capacités entravent la mise en œuvre et l’évaluation de l’exploitation durable. Les cibles nationales s’alignent généralement sur la plupart des aspects de la cible, à l’exception de l’atténuation du risque de transmission d’agents pathogènes. D’importantes lacunes en matière de connaissances, de données et de compétences techniques entravent les progrès, et des contraintes juridiques, financières, administratives et de capacités continuent de peser sur la mise en œuvre.</w:t>
            </w:r>
          </w:p>
          <w:p w14:paraId="5A41A992" w14:textId="13EF09AE" w:rsidR="00FD330F" w:rsidRPr="00653BF4" w:rsidRDefault="00FD330F" w:rsidP="009A6756">
            <w:pPr>
              <w:rPr>
                <w:lang w:val="fr-FR"/>
              </w:rPr>
            </w:pPr>
          </w:p>
        </w:tc>
      </w:tr>
    </w:tbl>
    <w:p w14:paraId="3FC664F4" w14:textId="77777777" w:rsidR="00514E88" w:rsidRPr="00653BF4" w:rsidRDefault="00514E88" w:rsidP="00514E88">
      <w:pPr>
        <w:rPr>
          <w:lang w:val="fr-FR"/>
        </w:rPr>
      </w:pPr>
    </w:p>
    <w:p w14:paraId="70874CA1" w14:textId="77777777" w:rsidR="00E03029" w:rsidRPr="00653BF4" w:rsidRDefault="00E03029" w:rsidP="00E03029">
      <w:pPr>
        <w:pStyle w:val="Heading5"/>
        <w:rPr>
          <w:lang w:val="fr-FR"/>
        </w:rPr>
      </w:pPr>
    </w:p>
    <w:p w14:paraId="3A0A72DD" w14:textId="1577464F" w:rsidR="00E03029" w:rsidRPr="00653BF4" w:rsidRDefault="006E0312" w:rsidP="00E03029">
      <w:pPr>
        <w:pStyle w:val="Heading5"/>
        <w:rPr>
          <w:lang w:val="fr-FR"/>
        </w:rPr>
      </w:pPr>
      <w:r w:rsidRPr="00653BF4">
        <w:rPr>
          <w:lang w:val="fr-FR"/>
        </w:rPr>
        <w:t xml:space="preserve">Prise en compte par les Parties de la portée de la </w:t>
      </w:r>
      <w:r w:rsidR="00E34DC9">
        <w:rPr>
          <w:lang w:val="fr-FR"/>
        </w:rPr>
        <w:t>cible 5</w:t>
      </w:r>
      <w:r w:rsidRPr="00653BF4">
        <w:rPr>
          <w:lang w:val="fr-FR"/>
        </w:rPr>
        <w:t xml:space="preserve"> du Cadre dans leurs cibles nationales</w:t>
      </w:r>
    </w:p>
    <w:p w14:paraId="717A396A" w14:textId="77777777" w:rsidR="00EA404B" w:rsidRPr="00653BF4" w:rsidRDefault="00EA404B" w:rsidP="00E03029">
      <w:pPr>
        <w:pStyle w:val="Caption"/>
        <w:rPr>
          <w:lang w:val="fr-FR"/>
        </w:rPr>
      </w:pPr>
    </w:p>
    <w:p w14:paraId="3384E5BA" w14:textId="43E23CED" w:rsidR="0028090B" w:rsidRPr="00653BF4" w:rsidRDefault="00D5751A" w:rsidP="0009187B">
      <w:pPr>
        <w:pStyle w:val="Caption"/>
        <w:keepNext/>
        <w:rPr>
          <w:i w:val="0"/>
          <w:iCs w:val="0"/>
          <w:sz w:val="20"/>
          <w:szCs w:val="20"/>
          <w:lang w:val="fr-FR"/>
        </w:rPr>
      </w:pPr>
      <w:r w:rsidRPr="00653BF4">
        <w:rPr>
          <w:i w:val="0"/>
          <w:sz w:val="20"/>
          <w:szCs w:val="20"/>
          <w:lang w:val="fr-FR"/>
        </w:rPr>
        <w:t>Tableau</w:t>
      </w:r>
      <w:r w:rsidR="00DC1793" w:rsidRPr="00653BF4">
        <w:rPr>
          <w:i w:val="0"/>
          <w:noProof/>
          <w:sz w:val="20"/>
          <w:szCs w:val="20"/>
          <w:lang w:val="fr-FR"/>
        </w:rPr>
        <w:t>12</w:t>
      </w:r>
    </w:p>
    <w:p w14:paraId="5700362C" w14:textId="3E571F48" w:rsidR="0009187B" w:rsidRPr="00653BF4" w:rsidRDefault="0009187B" w:rsidP="0009187B">
      <w:pPr>
        <w:pStyle w:val="Caption"/>
        <w:keepNext/>
        <w:rPr>
          <w:lang w:val="fr-FR"/>
        </w:rPr>
      </w:pPr>
      <w:r w:rsidRPr="00653BF4">
        <w:rPr>
          <w:i w:val="0"/>
          <w:sz w:val="20"/>
          <w:szCs w:val="20"/>
          <w:lang w:val="fr-FR"/>
        </w:rPr>
        <w:t xml:space="preserve"> </w:t>
      </w:r>
      <w:r w:rsidR="00B04E11" w:rsidRPr="00653BF4">
        <w:rPr>
          <w:b/>
          <w:i w:val="0"/>
          <w:sz w:val="20"/>
          <w:szCs w:val="20"/>
          <w:lang w:val="fr-FR"/>
        </w:rPr>
        <w:t xml:space="preserve">Éléments de la </w:t>
      </w:r>
      <w:r w:rsidR="00E34DC9">
        <w:rPr>
          <w:b/>
          <w:i w:val="0"/>
          <w:sz w:val="20"/>
          <w:szCs w:val="20"/>
          <w:lang w:val="fr-FR"/>
        </w:rPr>
        <w:t>cible 5</w:t>
      </w:r>
      <w:r w:rsidR="00B04E11" w:rsidRPr="00653BF4">
        <w:rPr>
          <w:b/>
          <w:i w:val="0"/>
          <w:sz w:val="20"/>
          <w:szCs w:val="20"/>
          <w:lang w:val="fr-FR"/>
        </w:rPr>
        <w:t xml:space="preserve"> du Cadre et leur prise en compte dans les cibles nationales</w:t>
      </w:r>
      <w:r w:rsidR="00A14A6B" w:rsidRPr="00653BF4">
        <w:rPr>
          <w:i w:val="0"/>
          <w:iCs w:val="0"/>
          <w:sz w:val="20"/>
          <w:szCs w:val="20"/>
          <w:vertAlign w:val="superscript"/>
          <w:lang w:val="fr-FR"/>
        </w:rPr>
        <w:t>a</w:t>
      </w:r>
      <w:r w:rsidR="00B04E11" w:rsidRPr="00653BF4">
        <w:rPr>
          <w:i w:val="0"/>
          <w:iCs w:val="0"/>
          <w:sz w:val="20"/>
          <w:szCs w:val="20"/>
          <w:lang w:val="fr-FR"/>
        </w:rPr>
        <w:t>.</w:t>
      </w:r>
    </w:p>
    <w:tbl>
      <w:tblPr>
        <w:tblStyle w:val="TableGrid"/>
        <w:tblW w:w="0" w:type="auto"/>
        <w:tblLook w:val="04A0" w:firstRow="1" w:lastRow="0" w:firstColumn="1" w:lastColumn="0" w:noHBand="0" w:noVBand="1"/>
      </w:tblPr>
      <w:tblGrid>
        <w:gridCol w:w="8359"/>
        <w:gridCol w:w="657"/>
      </w:tblGrid>
      <w:tr w:rsidR="00115344" w:rsidRPr="00115344" w14:paraId="7BCC6DE5" w14:textId="77777777" w:rsidTr="00600DBF">
        <w:tc>
          <w:tcPr>
            <w:tcW w:w="8359" w:type="dxa"/>
          </w:tcPr>
          <w:p w14:paraId="51A1D70F" w14:textId="56E971D8" w:rsidR="00115344" w:rsidRPr="00115344" w:rsidRDefault="002735D6" w:rsidP="00115344">
            <w:pPr>
              <w:rPr>
                <w:sz w:val="20"/>
                <w:szCs w:val="20"/>
                <w:lang w:val="fr-FR"/>
              </w:rPr>
            </w:pPr>
            <w:r>
              <w:rPr>
                <w:sz w:val="20"/>
                <w:szCs w:val="20"/>
                <w:lang w:val="fr-FR"/>
              </w:rPr>
              <w:t>Assurer une utilisation et des prélèvements durables</w:t>
            </w:r>
            <w:r w:rsidR="00115344" w:rsidRPr="00115344">
              <w:rPr>
                <w:sz w:val="20"/>
                <w:szCs w:val="20"/>
                <w:lang w:val="fr-FR"/>
              </w:rPr>
              <w:t xml:space="preserve"> des espèces sauvages</w:t>
            </w:r>
          </w:p>
          <w:p w14:paraId="0EB60FB3" w14:textId="7D053808" w:rsidR="00115344" w:rsidRPr="00115344" w:rsidRDefault="00115344" w:rsidP="00115344">
            <w:pPr>
              <w:rPr>
                <w:sz w:val="20"/>
                <w:szCs w:val="20"/>
                <w:lang w:val="fr-FR"/>
              </w:rPr>
            </w:pPr>
          </w:p>
        </w:tc>
        <w:tc>
          <w:tcPr>
            <w:tcW w:w="657" w:type="dxa"/>
            <w:shd w:val="clear" w:color="auto" w:fill="00B050"/>
          </w:tcPr>
          <w:p w14:paraId="7984EEDC" w14:textId="1E59392F" w:rsidR="00115344" w:rsidRPr="00115344" w:rsidRDefault="00115344" w:rsidP="00115344">
            <w:pPr>
              <w:rPr>
                <w:sz w:val="20"/>
                <w:szCs w:val="20"/>
                <w:lang w:val="fr-FR"/>
              </w:rPr>
            </w:pPr>
            <w:r w:rsidRPr="00115344">
              <w:rPr>
                <w:sz w:val="20"/>
                <w:szCs w:val="20"/>
                <w:lang w:val="fr-FR"/>
              </w:rPr>
              <w:t>86</w:t>
            </w:r>
          </w:p>
        </w:tc>
      </w:tr>
      <w:tr w:rsidR="00115344" w:rsidRPr="00115344" w14:paraId="31B25190" w14:textId="77777777" w:rsidTr="004F5CE1">
        <w:tc>
          <w:tcPr>
            <w:tcW w:w="8359" w:type="dxa"/>
          </w:tcPr>
          <w:p w14:paraId="2D69A647" w14:textId="6A811A69" w:rsidR="00115344" w:rsidRPr="00115344" w:rsidRDefault="002735D6" w:rsidP="00115344">
            <w:pPr>
              <w:rPr>
                <w:sz w:val="20"/>
                <w:szCs w:val="20"/>
                <w:lang w:val="fr-FR"/>
              </w:rPr>
            </w:pPr>
            <w:r w:rsidRPr="002735D6">
              <w:rPr>
                <w:sz w:val="20"/>
                <w:szCs w:val="20"/>
                <w:lang w:val="fr-FR"/>
              </w:rPr>
              <w:t xml:space="preserve">Assurer </w:t>
            </w:r>
            <w:r>
              <w:rPr>
                <w:sz w:val="20"/>
                <w:szCs w:val="20"/>
                <w:lang w:val="fr-FR"/>
              </w:rPr>
              <w:t>un commerce</w:t>
            </w:r>
            <w:r w:rsidRPr="002735D6">
              <w:rPr>
                <w:sz w:val="20"/>
                <w:szCs w:val="20"/>
                <w:lang w:val="fr-FR"/>
              </w:rPr>
              <w:t xml:space="preserve"> durable des espèces sauvages</w:t>
            </w:r>
          </w:p>
          <w:p w14:paraId="6CA0F3AF" w14:textId="4C438BEF" w:rsidR="00115344" w:rsidRPr="00115344" w:rsidRDefault="00115344" w:rsidP="00115344">
            <w:pPr>
              <w:rPr>
                <w:sz w:val="20"/>
                <w:szCs w:val="20"/>
                <w:lang w:val="fr-FR"/>
              </w:rPr>
            </w:pPr>
          </w:p>
        </w:tc>
        <w:tc>
          <w:tcPr>
            <w:tcW w:w="657" w:type="dxa"/>
            <w:shd w:val="clear" w:color="auto" w:fill="92D050"/>
          </w:tcPr>
          <w:p w14:paraId="75B16666" w14:textId="5B9B5648" w:rsidR="00115344" w:rsidRPr="00115344" w:rsidRDefault="00115344" w:rsidP="00115344">
            <w:pPr>
              <w:rPr>
                <w:sz w:val="20"/>
                <w:szCs w:val="20"/>
                <w:lang w:val="fr-FR"/>
              </w:rPr>
            </w:pPr>
            <w:r w:rsidRPr="00115344">
              <w:rPr>
                <w:sz w:val="20"/>
                <w:szCs w:val="20"/>
                <w:lang w:val="fr-FR"/>
              </w:rPr>
              <w:t>70</w:t>
            </w:r>
          </w:p>
        </w:tc>
      </w:tr>
      <w:tr w:rsidR="00115344" w:rsidRPr="00115344" w14:paraId="19D91A5F" w14:textId="77777777" w:rsidTr="001A26D1">
        <w:tc>
          <w:tcPr>
            <w:tcW w:w="8359" w:type="dxa"/>
          </w:tcPr>
          <w:p w14:paraId="6C16CD10" w14:textId="3E25B75E" w:rsidR="00115344" w:rsidRPr="00115344" w:rsidRDefault="00124002" w:rsidP="00115344">
            <w:pPr>
              <w:rPr>
                <w:sz w:val="20"/>
                <w:szCs w:val="20"/>
                <w:lang w:val="fr-FR"/>
              </w:rPr>
            </w:pPr>
            <w:r w:rsidRPr="00124002">
              <w:rPr>
                <w:sz w:val="20"/>
                <w:szCs w:val="20"/>
                <w:lang w:val="fr-FR"/>
              </w:rPr>
              <w:t>Assurer un</w:t>
            </w:r>
            <w:r>
              <w:rPr>
                <w:sz w:val="20"/>
                <w:szCs w:val="20"/>
                <w:lang w:val="fr-FR"/>
              </w:rPr>
              <w:t>e</w:t>
            </w:r>
            <w:r w:rsidRPr="00124002">
              <w:rPr>
                <w:sz w:val="20"/>
                <w:szCs w:val="20"/>
                <w:lang w:val="fr-FR"/>
              </w:rPr>
              <w:t xml:space="preserve"> </w:t>
            </w:r>
            <w:r w:rsidR="00115344" w:rsidRPr="00115344">
              <w:rPr>
                <w:sz w:val="20"/>
                <w:szCs w:val="20"/>
                <w:lang w:val="fr-FR"/>
              </w:rPr>
              <w:t xml:space="preserve">utilisation, </w:t>
            </w:r>
            <w:r>
              <w:rPr>
                <w:sz w:val="20"/>
                <w:szCs w:val="20"/>
                <w:lang w:val="fr-FR"/>
              </w:rPr>
              <w:t xml:space="preserve">des prélèvements et un commerce sûrs des </w:t>
            </w:r>
            <w:r w:rsidR="00115344" w:rsidRPr="00115344">
              <w:rPr>
                <w:sz w:val="20"/>
                <w:szCs w:val="20"/>
                <w:lang w:val="fr-FR"/>
              </w:rPr>
              <w:t xml:space="preserve">espèces sauvages </w:t>
            </w:r>
          </w:p>
          <w:p w14:paraId="20EFDA8E" w14:textId="565C2192" w:rsidR="00115344" w:rsidRPr="00115344" w:rsidRDefault="00115344" w:rsidP="00115344">
            <w:pPr>
              <w:rPr>
                <w:sz w:val="20"/>
                <w:szCs w:val="20"/>
                <w:lang w:val="fr-FR"/>
              </w:rPr>
            </w:pPr>
          </w:p>
        </w:tc>
        <w:tc>
          <w:tcPr>
            <w:tcW w:w="657" w:type="dxa"/>
            <w:shd w:val="clear" w:color="auto" w:fill="FFFF00"/>
          </w:tcPr>
          <w:p w14:paraId="2CA039E0" w14:textId="5CB354FF" w:rsidR="00115344" w:rsidRPr="00115344" w:rsidRDefault="00115344" w:rsidP="00115344">
            <w:pPr>
              <w:rPr>
                <w:sz w:val="20"/>
                <w:szCs w:val="20"/>
                <w:lang w:val="fr-FR"/>
              </w:rPr>
            </w:pPr>
            <w:r w:rsidRPr="00115344">
              <w:rPr>
                <w:sz w:val="20"/>
                <w:szCs w:val="20"/>
                <w:lang w:val="fr-FR"/>
              </w:rPr>
              <w:t>50</w:t>
            </w:r>
          </w:p>
        </w:tc>
      </w:tr>
      <w:tr w:rsidR="00115344" w:rsidRPr="00115344" w14:paraId="45FB4D12" w14:textId="77777777" w:rsidTr="009D4669">
        <w:tc>
          <w:tcPr>
            <w:tcW w:w="8359" w:type="dxa"/>
          </w:tcPr>
          <w:p w14:paraId="06D9CCF8" w14:textId="7F39A083" w:rsidR="00115344" w:rsidRPr="00115344" w:rsidRDefault="009B2B3D" w:rsidP="009B2B3D">
            <w:pPr>
              <w:rPr>
                <w:sz w:val="20"/>
                <w:szCs w:val="20"/>
                <w:lang w:val="fr-FR"/>
              </w:rPr>
            </w:pPr>
            <w:r w:rsidRPr="009B2B3D">
              <w:rPr>
                <w:sz w:val="20"/>
                <w:szCs w:val="20"/>
                <w:lang w:val="fr-FR"/>
              </w:rPr>
              <w:t xml:space="preserve">Assurer une utilisation, des prélèvements et un commerce </w:t>
            </w:r>
            <w:r w:rsidR="00115344" w:rsidRPr="00115344">
              <w:rPr>
                <w:sz w:val="20"/>
                <w:szCs w:val="20"/>
                <w:lang w:val="fr-FR"/>
              </w:rPr>
              <w:t xml:space="preserve">des espèces sauvages </w:t>
            </w:r>
            <w:r>
              <w:rPr>
                <w:sz w:val="20"/>
                <w:szCs w:val="20"/>
                <w:lang w:val="fr-FR"/>
              </w:rPr>
              <w:t>qui réduise le risque de propagation des agents pathogènes</w:t>
            </w:r>
          </w:p>
        </w:tc>
        <w:tc>
          <w:tcPr>
            <w:tcW w:w="657" w:type="dxa"/>
            <w:shd w:val="clear" w:color="auto" w:fill="FFC000"/>
          </w:tcPr>
          <w:p w14:paraId="6C990901" w14:textId="1BBF1965" w:rsidR="00115344" w:rsidRPr="00115344" w:rsidRDefault="00115344" w:rsidP="00115344">
            <w:pPr>
              <w:rPr>
                <w:sz w:val="20"/>
                <w:szCs w:val="20"/>
                <w:lang w:val="fr-FR"/>
              </w:rPr>
            </w:pPr>
            <w:r w:rsidRPr="00115344">
              <w:rPr>
                <w:sz w:val="20"/>
                <w:szCs w:val="20"/>
                <w:lang w:val="fr-FR"/>
              </w:rPr>
              <w:t>32</w:t>
            </w:r>
          </w:p>
        </w:tc>
      </w:tr>
      <w:tr w:rsidR="00115344" w:rsidRPr="00115344" w14:paraId="18AA64DC" w14:textId="77777777" w:rsidTr="00A04933">
        <w:tc>
          <w:tcPr>
            <w:tcW w:w="8359" w:type="dxa"/>
          </w:tcPr>
          <w:p w14:paraId="1591A89C" w14:textId="1994AA7D" w:rsidR="00115344" w:rsidRPr="00115344" w:rsidRDefault="009B2B3D" w:rsidP="00115344">
            <w:pPr>
              <w:rPr>
                <w:sz w:val="20"/>
                <w:szCs w:val="20"/>
                <w:lang w:val="fr-FR"/>
              </w:rPr>
            </w:pPr>
            <w:r w:rsidRPr="009B2B3D">
              <w:rPr>
                <w:sz w:val="20"/>
                <w:szCs w:val="20"/>
                <w:lang w:val="fr-FR"/>
              </w:rPr>
              <w:t xml:space="preserve">Assurer une utilisation, des prélèvements et un commerce </w:t>
            </w:r>
            <w:r>
              <w:rPr>
                <w:sz w:val="20"/>
                <w:szCs w:val="20"/>
                <w:lang w:val="fr-FR"/>
              </w:rPr>
              <w:t>légaux</w:t>
            </w:r>
            <w:r w:rsidRPr="009B2B3D">
              <w:rPr>
                <w:sz w:val="20"/>
                <w:szCs w:val="20"/>
                <w:lang w:val="fr-FR"/>
              </w:rPr>
              <w:t xml:space="preserve"> des espèces sauvages</w:t>
            </w:r>
          </w:p>
          <w:p w14:paraId="38D579BE" w14:textId="11151929" w:rsidR="00115344" w:rsidRPr="00115344" w:rsidRDefault="00115344" w:rsidP="00115344">
            <w:pPr>
              <w:rPr>
                <w:sz w:val="20"/>
                <w:szCs w:val="20"/>
                <w:lang w:val="fr-FR"/>
              </w:rPr>
            </w:pPr>
          </w:p>
        </w:tc>
        <w:tc>
          <w:tcPr>
            <w:tcW w:w="657" w:type="dxa"/>
            <w:shd w:val="clear" w:color="auto" w:fill="92D050"/>
          </w:tcPr>
          <w:p w14:paraId="70AC2F95" w14:textId="4226C266" w:rsidR="00115344" w:rsidRPr="00115344" w:rsidRDefault="00115344" w:rsidP="00115344">
            <w:pPr>
              <w:rPr>
                <w:sz w:val="20"/>
                <w:szCs w:val="20"/>
                <w:lang w:val="fr-FR"/>
              </w:rPr>
            </w:pPr>
            <w:r w:rsidRPr="00115344">
              <w:rPr>
                <w:sz w:val="20"/>
                <w:szCs w:val="20"/>
                <w:lang w:val="fr-FR"/>
              </w:rPr>
              <w:t>68</w:t>
            </w:r>
          </w:p>
        </w:tc>
      </w:tr>
      <w:tr w:rsidR="00115344" w:rsidRPr="00115344" w14:paraId="2C745192" w14:textId="77777777" w:rsidTr="008F5391">
        <w:tc>
          <w:tcPr>
            <w:tcW w:w="8359" w:type="dxa"/>
          </w:tcPr>
          <w:p w14:paraId="5BEC1DD1" w14:textId="79C9F00F" w:rsidR="00115344" w:rsidRPr="00115344" w:rsidRDefault="00115344" w:rsidP="00115344">
            <w:pPr>
              <w:rPr>
                <w:sz w:val="20"/>
                <w:szCs w:val="20"/>
                <w:lang w:val="fr-FR"/>
              </w:rPr>
            </w:pPr>
            <w:r w:rsidRPr="00115344">
              <w:rPr>
                <w:sz w:val="20"/>
                <w:szCs w:val="20"/>
                <w:lang w:val="fr-FR"/>
              </w:rPr>
              <w:t xml:space="preserve">Appliquer l’approche écosystémique pour garantir une utilisation, </w:t>
            </w:r>
            <w:r w:rsidR="001F6DBC">
              <w:rPr>
                <w:sz w:val="20"/>
                <w:szCs w:val="20"/>
                <w:lang w:val="fr-FR"/>
              </w:rPr>
              <w:t>des prélèvements</w:t>
            </w:r>
            <w:r w:rsidRPr="00115344">
              <w:rPr>
                <w:sz w:val="20"/>
                <w:szCs w:val="20"/>
                <w:lang w:val="fr-FR"/>
              </w:rPr>
              <w:t xml:space="preserve"> et un commerce durables, sûrs et légaux des espèces sauvages</w:t>
            </w:r>
          </w:p>
        </w:tc>
        <w:tc>
          <w:tcPr>
            <w:tcW w:w="657" w:type="dxa"/>
            <w:shd w:val="clear" w:color="auto" w:fill="92D050"/>
          </w:tcPr>
          <w:p w14:paraId="0C40C939" w14:textId="599854FD" w:rsidR="00115344" w:rsidRPr="00115344" w:rsidRDefault="00115344" w:rsidP="00115344">
            <w:pPr>
              <w:rPr>
                <w:sz w:val="20"/>
                <w:szCs w:val="20"/>
                <w:lang w:val="fr-FR"/>
              </w:rPr>
            </w:pPr>
            <w:r w:rsidRPr="00115344">
              <w:rPr>
                <w:sz w:val="20"/>
                <w:szCs w:val="20"/>
                <w:lang w:val="fr-FR"/>
              </w:rPr>
              <w:t>61</w:t>
            </w:r>
          </w:p>
        </w:tc>
      </w:tr>
      <w:tr w:rsidR="00115344" w:rsidRPr="00115344" w14:paraId="15E86A74" w14:textId="77777777" w:rsidTr="00D72D78">
        <w:tc>
          <w:tcPr>
            <w:tcW w:w="8359" w:type="dxa"/>
          </w:tcPr>
          <w:p w14:paraId="056A1AEB" w14:textId="0275C9C6" w:rsidR="00115344" w:rsidRPr="00115344" w:rsidRDefault="00115344" w:rsidP="00115344">
            <w:pPr>
              <w:rPr>
                <w:sz w:val="20"/>
                <w:szCs w:val="20"/>
                <w:lang w:val="fr-FR"/>
              </w:rPr>
            </w:pPr>
            <w:r w:rsidRPr="00115344">
              <w:rPr>
                <w:sz w:val="20"/>
                <w:szCs w:val="20"/>
                <w:lang w:val="fr-FR"/>
              </w:rPr>
              <w:t>Respecter et protéger</w:t>
            </w:r>
            <w:r w:rsidR="00BD7E23">
              <w:rPr>
                <w:sz w:val="20"/>
                <w:szCs w:val="20"/>
                <w:lang w:val="fr-FR"/>
              </w:rPr>
              <w:t xml:space="preserve"> les pratiques traditionnelles</w:t>
            </w:r>
            <w:r w:rsidRPr="00115344">
              <w:rPr>
                <w:sz w:val="20"/>
                <w:szCs w:val="20"/>
                <w:lang w:val="fr-FR"/>
              </w:rPr>
              <w:t xml:space="preserve"> </w:t>
            </w:r>
            <w:r w:rsidR="00BD7E23">
              <w:rPr>
                <w:sz w:val="20"/>
                <w:szCs w:val="20"/>
                <w:lang w:val="fr-FR"/>
              </w:rPr>
              <w:t>d</w:t>
            </w:r>
            <w:r w:rsidRPr="00115344">
              <w:rPr>
                <w:sz w:val="20"/>
                <w:szCs w:val="20"/>
                <w:lang w:val="fr-FR"/>
              </w:rPr>
              <w:t>es peuples autochtones et communautés locales</w:t>
            </w:r>
            <w:r w:rsidR="00302E26">
              <w:rPr>
                <w:sz w:val="20"/>
                <w:szCs w:val="20"/>
                <w:lang w:val="fr-FR"/>
              </w:rPr>
              <w:t xml:space="preserve"> en matière d’utilisation durable</w:t>
            </w:r>
          </w:p>
        </w:tc>
        <w:tc>
          <w:tcPr>
            <w:tcW w:w="657" w:type="dxa"/>
            <w:shd w:val="clear" w:color="auto" w:fill="FFFF00"/>
          </w:tcPr>
          <w:p w14:paraId="52976AC8" w14:textId="4F53300B" w:rsidR="00115344" w:rsidRPr="00115344" w:rsidRDefault="00115344" w:rsidP="00115344">
            <w:pPr>
              <w:rPr>
                <w:sz w:val="20"/>
                <w:szCs w:val="20"/>
                <w:lang w:val="fr-FR"/>
              </w:rPr>
            </w:pPr>
            <w:r w:rsidRPr="00115344">
              <w:rPr>
                <w:sz w:val="20"/>
                <w:szCs w:val="20"/>
                <w:lang w:val="fr-FR"/>
              </w:rPr>
              <w:t>53</w:t>
            </w:r>
          </w:p>
        </w:tc>
      </w:tr>
      <w:tr w:rsidR="00693060" w:rsidRPr="00543148" w14:paraId="7915A1B8" w14:textId="77777777">
        <w:tc>
          <w:tcPr>
            <w:tcW w:w="9016" w:type="dxa"/>
            <w:gridSpan w:val="2"/>
          </w:tcPr>
          <w:p w14:paraId="20A76482" w14:textId="33B00525" w:rsidR="00693060" w:rsidRPr="00115344" w:rsidRDefault="002D652A" w:rsidP="00693060">
            <w:pPr>
              <w:pStyle w:val="p1"/>
              <w:keepNext/>
              <w:rPr>
                <w:rFonts w:asciiTheme="minorHAnsi" w:hAnsiTheme="minorHAnsi"/>
                <w:b/>
                <w:bCs/>
                <w:sz w:val="22"/>
                <w:szCs w:val="22"/>
                <w:lang w:val="fr-FR"/>
              </w:rPr>
            </w:pPr>
            <w:r w:rsidRPr="00115344">
              <w:rPr>
                <w:rFonts w:asciiTheme="minorHAnsi" w:hAnsiTheme="minorHAnsi"/>
                <w:b/>
                <w:bCs/>
                <w:sz w:val="22"/>
                <w:szCs w:val="22"/>
                <w:lang w:val="fr-FR"/>
              </w:rPr>
              <w:t>En moyenne, les Parties ont pris en compte, au moins partiellement, 61</w:t>
            </w:r>
            <w:r w:rsidR="002878D7">
              <w:rPr>
                <w:rFonts w:asciiTheme="minorHAnsi" w:hAnsiTheme="minorHAnsi"/>
                <w:b/>
                <w:bCs/>
                <w:sz w:val="22"/>
                <w:szCs w:val="22"/>
                <w:lang w:val="fr-FR"/>
              </w:rPr>
              <w:t> %</w:t>
            </w:r>
            <w:r w:rsidRPr="00115344">
              <w:rPr>
                <w:rFonts w:asciiTheme="minorHAnsi" w:hAnsiTheme="minorHAnsi"/>
                <w:b/>
                <w:bCs/>
                <w:sz w:val="22"/>
                <w:szCs w:val="22"/>
                <w:lang w:val="fr-FR"/>
              </w:rPr>
              <w:t xml:space="preserve"> de ces éléments dans leurs cibles nationales</w:t>
            </w:r>
          </w:p>
          <w:p w14:paraId="7F8A5617" w14:textId="77777777" w:rsidR="00693060" w:rsidRPr="00115344" w:rsidRDefault="00693060" w:rsidP="006D1392">
            <w:pPr>
              <w:rPr>
                <w:sz w:val="20"/>
                <w:szCs w:val="20"/>
                <w:lang w:val="fr-FR"/>
              </w:rPr>
            </w:pPr>
          </w:p>
        </w:tc>
      </w:tr>
    </w:tbl>
    <w:p w14:paraId="6A7992A9" w14:textId="77777777" w:rsidR="00D31C9C" w:rsidRPr="00653BF4" w:rsidRDefault="00D31C9C" w:rsidP="00D31C9C">
      <w:pPr>
        <w:rPr>
          <w:lang w:val="fr-FR"/>
        </w:rPr>
      </w:pPr>
    </w:p>
    <w:p w14:paraId="3AB3DB5A" w14:textId="7093A911" w:rsidR="00A14A6B" w:rsidRPr="00653BF4" w:rsidRDefault="006A631C" w:rsidP="00A14A6B">
      <w:pPr>
        <w:rPr>
          <w:iCs/>
          <w:sz w:val="16"/>
          <w:szCs w:val="16"/>
          <w:lang w:val="fr-FR"/>
        </w:rPr>
      </w:pPr>
      <w:r w:rsidRPr="00653BF4">
        <w:rPr>
          <w:i/>
          <w:sz w:val="16"/>
          <w:szCs w:val="16"/>
          <w:lang w:val="fr-FR"/>
        </w:rPr>
        <w:t>Note</w:t>
      </w:r>
      <w:r w:rsidR="00E34DC9">
        <w:rPr>
          <w:i/>
          <w:sz w:val="16"/>
          <w:szCs w:val="16"/>
          <w:lang w:val="fr-FR"/>
        </w:rPr>
        <w:t> :</w:t>
      </w:r>
      <w:r w:rsidR="00A14A6B" w:rsidRPr="00653BF4">
        <w:rPr>
          <w:iCs/>
          <w:sz w:val="16"/>
          <w:szCs w:val="16"/>
          <w:lang w:val="fr-FR"/>
        </w:rPr>
        <w:t xml:space="preserve"> </w:t>
      </w:r>
      <w:r w:rsidR="00696444" w:rsidRPr="00653BF4">
        <w:rPr>
          <w:iCs/>
          <w:sz w:val="16"/>
          <w:szCs w:val="16"/>
          <w:lang w:val="fr-FR"/>
        </w:rPr>
        <w:t>La colonne de droite du tableau indique le pourcentage de Parties dont les cibles nationales prennent en compte l’élément au moins partiellement</w:t>
      </w:r>
      <w:r w:rsidR="00A14A6B" w:rsidRPr="00653BF4">
        <w:rPr>
          <w:iCs/>
          <w:sz w:val="16"/>
          <w:szCs w:val="16"/>
          <w:lang w:val="fr-FR"/>
        </w:rPr>
        <w:t>.</w:t>
      </w:r>
    </w:p>
    <w:p w14:paraId="20BB91B0" w14:textId="6AEF8D0F" w:rsidR="00A14A6B" w:rsidRPr="00653BF4" w:rsidRDefault="00A14A6B" w:rsidP="00E01253">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ascii="Aptos" w:hAnsi="Aptos" w:cs="Segoe UI"/>
          <w:sz w:val="16"/>
          <w:szCs w:val="16"/>
          <w:lang w:val="fr-FR"/>
        </w:rPr>
        <w:t xml:space="preserve"> </w:t>
      </w:r>
      <w:r w:rsidR="00046E23" w:rsidRPr="00653BF4">
        <w:rPr>
          <w:rStyle w:val="normaltextrun"/>
          <w:rFonts w:ascii="Aptos" w:hAnsi="Aptos" w:cs="Segoe UI"/>
          <w:sz w:val="16"/>
          <w:szCs w:val="16"/>
          <w:lang w:val="fr-FR"/>
        </w:rPr>
        <w:t>Les éléments de chaque cible ont été définis par le Groupe spécial d</w:t>
      </w:r>
      <w:r w:rsidR="00D77549">
        <w:rPr>
          <w:rStyle w:val="normaltextrun"/>
          <w:rFonts w:ascii="Aptos" w:hAnsi="Aptos" w:cs="Segoe UI"/>
          <w:sz w:val="16"/>
          <w:szCs w:val="16"/>
          <w:lang w:val="fr-FR"/>
        </w:rPr>
        <w:t>’</w:t>
      </w:r>
      <w:r w:rsidR="00046E23" w:rsidRPr="00653BF4">
        <w:rPr>
          <w:rStyle w:val="normaltextrun"/>
          <w:rFonts w:ascii="Aptos" w:hAnsi="Aptos" w:cs="Segoe UI"/>
          <w:sz w:val="16"/>
          <w:szCs w:val="16"/>
          <w:lang w:val="fr-FR"/>
        </w:rPr>
        <w:t xml:space="preserve">experts techniques sur les indicateurs du Cadre mondial de la biodiversité de Kunming-Montréal (voir annexe I du document </w:t>
      </w:r>
      <w:hyperlink r:id="rId82" w:history="1">
        <w:r w:rsidR="00F37203" w:rsidRPr="00653BF4">
          <w:rPr>
            <w:rStyle w:val="Hyperlink"/>
            <w:rFonts w:ascii="Aptos" w:hAnsi="Aptos" w:cs="Segoe UI"/>
            <w:sz w:val="16"/>
            <w:szCs w:val="16"/>
            <w:lang w:val="fr-FR"/>
          </w:rPr>
          <w:t>CBD/COP/16/INF/4</w:t>
        </w:r>
      </w:hyperlink>
      <w:r w:rsidR="00E34DC9">
        <w:rPr>
          <w:rFonts w:ascii="Aptos" w:hAnsi="Aptos"/>
          <w:sz w:val="16"/>
          <w:szCs w:val="16"/>
          <w:lang w:val="fr-FR"/>
        </w:rPr>
        <w:t> ;</w:t>
      </w:r>
      <w:r w:rsidR="00515DC8" w:rsidRPr="00653BF4">
        <w:rPr>
          <w:rFonts w:ascii="Aptos" w:hAnsi="Aptos" w:cs="Segoe UI"/>
          <w:sz w:val="16"/>
          <w:szCs w:val="16"/>
          <w:lang w:val="fr-FR"/>
        </w:rPr>
        <w:t xml:space="preserve"> et </w:t>
      </w:r>
      <w:r w:rsidR="00F37203" w:rsidRPr="00653BF4">
        <w:rPr>
          <w:rFonts w:ascii="Aptos" w:hAnsi="Aptos" w:cs="Segoe UI"/>
          <w:sz w:val="16"/>
          <w:szCs w:val="16"/>
          <w:lang w:val="fr-FR"/>
        </w:rPr>
        <w:t xml:space="preserve">Affinito </w:t>
      </w:r>
      <w:r w:rsidR="00515DC8" w:rsidRPr="00653BF4">
        <w:rPr>
          <w:rFonts w:ascii="Aptos" w:hAnsi="Aptos" w:cs="Segoe UI"/>
          <w:i/>
          <w:iCs/>
          <w:sz w:val="16"/>
          <w:szCs w:val="16"/>
          <w:lang w:val="fr-FR"/>
        </w:rPr>
        <w:t>et al.</w:t>
      </w:r>
      <w:r w:rsidR="00F37203" w:rsidRPr="00653BF4">
        <w:rPr>
          <w:rFonts w:ascii="Aptos" w:hAnsi="Aptos" w:cs="Segoe UI"/>
          <w:sz w:val="16"/>
          <w:szCs w:val="16"/>
          <w:lang w:val="fr-FR"/>
        </w:rPr>
        <w:t>, 2025).</w:t>
      </w:r>
      <w:r w:rsidR="00A352B8" w:rsidRPr="00653BF4">
        <w:rPr>
          <w:lang w:val="fr-FR"/>
        </w:rPr>
        <w:t xml:space="preserve"> </w:t>
      </w:r>
      <w:r w:rsidR="00A352B8" w:rsidRPr="00653BF4">
        <w:rPr>
          <w:rStyle w:val="normaltextrun"/>
          <w:rFonts w:ascii="Aptos" w:hAnsi="Aptos" w:cs="Segoe UI"/>
          <w:sz w:val="16"/>
          <w:szCs w:val="16"/>
          <w:lang w:val="fr-FR"/>
        </w:rPr>
        <w:t>La méthode détaillée employée pour l’analyse des cibles nationales est présentée dans le document</w:t>
      </w:r>
      <w:r w:rsidRPr="00653BF4">
        <w:rPr>
          <w:rStyle w:val="normaltextrun"/>
          <w:rFonts w:ascii="Aptos" w:hAnsi="Aptos" w:cs="Segoe UI"/>
          <w:sz w:val="16"/>
          <w:szCs w:val="16"/>
          <w:lang w:val="fr-FR"/>
        </w:rPr>
        <w:t> </w:t>
      </w:r>
      <w:hyperlink r:id="rId83" w:history="1">
        <w:r w:rsidRPr="00653BF4">
          <w:rPr>
            <w:rStyle w:val="Hyperlink"/>
            <w:rFonts w:ascii="Aptos" w:hAnsi="Aptos" w:cs="Segoe UI"/>
            <w:sz w:val="16"/>
            <w:szCs w:val="16"/>
            <w:lang w:val="fr-FR"/>
          </w:rPr>
          <w:t>CBD/SBI/7/INF/22</w:t>
        </w:r>
      </w:hyperlink>
      <w:r w:rsidRPr="00653BF4">
        <w:rPr>
          <w:rStyle w:val="normaltextrun"/>
          <w:rFonts w:ascii="Aptos" w:hAnsi="Aptos" w:cs="Segoe UI"/>
          <w:sz w:val="16"/>
          <w:szCs w:val="16"/>
          <w:lang w:val="fr-FR"/>
        </w:rPr>
        <w:t>. </w:t>
      </w:r>
    </w:p>
    <w:p w14:paraId="4D77BFC3" w14:textId="77777777" w:rsidR="00811663" w:rsidRPr="00653BF4" w:rsidRDefault="00811663" w:rsidP="00D31C9C">
      <w:pPr>
        <w:rPr>
          <w:lang w:val="fr-FR"/>
        </w:rPr>
      </w:pPr>
    </w:p>
    <w:p w14:paraId="35497E9A" w14:textId="28EDE3A9" w:rsidR="00AF6FD3" w:rsidRPr="00653BF4" w:rsidRDefault="00B00393" w:rsidP="00AF6FD3">
      <w:pPr>
        <w:rPr>
          <w:lang w:val="fr-FR"/>
        </w:rPr>
      </w:pPr>
      <w:r w:rsidRPr="00B00393">
        <w:rPr>
          <w:lang w:val="fr-FR"/>
        </w:rPr>
        <w:t xml:space="preserve">La plupart des éléments de la </w:t>
      </w:r>
      <w:r w:rsidR="00E34DC9">
        <w:rPr>
          <w:lang w:val="fr-FR"/>
        </w:rPr>
        <w:t>cible 5</w:t>
      </w:r>
      <w:r w:rsidRPr="00B00393">
        <w:rPr>
          <w:lang w:val="fr-FR"/>
        </w:rPr>
        <w:t xml:space="preserve"> sont </w:t>
      </w:r>
      <w:r w:rsidR="008163A0">
        <w:rPr>
          <w:lang w:val="fr-FR"/>
        </w:rPr>
        <w:t>correctement</w:t>
      </w:r>
      <w:r w:rsidRPr="00B00393">
        <w:rPr>
          <w:lang w:val="fr-FR"/>
        </w:rPr>
        <w:t xml:space="preserve"> pris en compte par les Parties dans leurs cibles nationales</w:t>
      </w:r>
      <w:r w:rsidR="00E34DC9">
        <w:rPr>
          <w:lang w:val="fr-FR"/>
        </w:rPr>
        <w:t> ;</w:t>
      </w:r>
      <w:r w:rsidRPr="00B00393">
        <w:rPr>
          <w:lang w:val="fr-FR"/>
        </w:rPr>
        <w:t xml:space="preserve"> toutefois, des lacunes notables subsistent (voir le tableau</w:t>
      </w:r>
      <w:r w:rsidR="00100935">
        <w:rPr>
          <w:lang w:val="fr-FR"/>
        </w:rPr>
        <w:t> </w:t>
      </w:r>
      <w:r w:rsidRPr="00B00393">
        <w:rPr>
          <w:lang w:val="fr-FR"/>
        </w:rPr>
        <w:t>12). Une grande majorité des Parties (86</w:t>
      </w:r>
      <w:r w:rsidR="002878D7">
        <w:rPr>
          <w:lang w:val="fr-FR"/>
        </w:rPr>
        <w:t> %</w:t>
      </w:r>
      <w:r w:rsidRPr="00B00393">
        <w:rPr>
          <w:lang w:val="fr-FR"/>
        </w:rPr>
        <w:t xml:space="preserve">) ont défini des cibles nationales qui traitent, dans une certaine mesure, de la durabilité de l’utilisation et du prélèvement des espèces sauvages. Plus des deux tiers des Parties </w:t>
      </w:r>
      <w:r w:rsidR="00DF1D05">
        <w:rPr>
          <w:lang w:val="fr-FR"/>
        </w:rPr>
        <w:t>couvrent</w:t>
      </w:r>
      <w:r w:rsidRPr="00B00393">
        <w:rPr>
          <w:lang w:val="fr-FR"/>
        </w:rPr>
        <w:t xml:space="preserve"> également la durabilité du commerce des espèces sauvages (70</w:t>
      </w:r>
      <w:r w:rsidR="002878D7">
        <w:rPr>
          <w:lang w:val="fr-FR"/>
        </w:rPr>
        <w:t> %</w:t>
      </w:r>
      <w:r w:rsidRPr="00B00393">
        <w:rPr>
          <w:lang w:val="fr-FR"/>
        </w:rPr>
        <w:t xml:space="preserve">) et la légalité de l’utilisation, </w:t>
      </w:r>
      <w:r w:rsidR="00DF1D05">
        <w:rPr>
          <w:lang w:val="fr-FR"/>
        </w:rPr>
        <w:t xml:space="preserve">des prélèvements </w:t>
      </w:r>
      <w:r w:rsidRPr="00B00393">
        <w:rPr>
          <w:lang w:val="fr-FR"/>
        </w:rPr>
        <w:t>et du commerce des espèces sauvages (68</w:t>
      </w:r>
      <w:r w:rsidR="002878D7">
        <w:rPr>
          <w:lang w:val="fr-FR"/>
        </w:rPr>
        <w:t> %</w:t>
      </w:r>
      <w:r w:rsidRPr="00B00393">
        <w:rPr>
          <w:lang w:val="fr-FR"/>
        </w:rPr>
        <w:t>). Moins des deux tiers (61</w:t>
      </w:r>
      <w:r w:rsidR="002878D7">
        <w:rPr>
          <w:lang w:val="fr-FR"/>
        </w:rPr>
        <w:t> %</w:t>
      </w:r>
      <w:r w:rsidRPr="00B00393">
        <w:rPr>
          <w:lang w:val="fr-FR"/>
        </w:rPr>
        <w:t>) ont défini des cibles nationales appliquant l’approche écosystémique, et un peu plus de la moitié (53</w:t>
      </w:r>
      <w:r w:rsidR="002878D7">
        <w:rPr>
          <w:lang w:val="fr-FR"/>
        </w:rPr>
        <w:t> %</w:t>
      </w:r>
      <w:r w:rsidRPr="00B00393">
        <w:rPr>
          <w:lang w:val="fr-FR"/>
        </w:rPr>
        <w:t xml:space="preserve">) traitent de l’élément de la </w:t>
      </w:r>
      <w:r w:rsidR="00E34DC9">
        <w:rPr>
          <w:lang w:val="fr-FR"/>
        </w:rPr>
        <w:t>cible 5</w:t>
      </w:r>
      <w:r w:rsidRPr="00B00393">
        <w:rPr>
          <w:lang w:val="fr-FR"/>
        </w:rPr>
        <w:t xml:space="preserve"> lié au respect et à la protection d</w:t>
      </w:r>
      <w:r w:rsidR="00DF1D05">
        <w:rPr>
          <w:lang w:val="fr-FR"/>
        </w:rPr>
        <w:t xml:space="preserve">es pratiques </w:t>
      </w:r>
      <w:r w:rsidR="00DF1D05">
        <w:rPr>
          <w:lang w:val="fr-FR"/>
        </w:rPr>
        <w:lastRenderedPageBreak/>
        <w:t>traditionnelles d</w:t>
      </w:r>
      <w:r w:rsidRPr="00B00393">
        <w:rPr>
          <w:lang w:val="fr-FR"/>
        </w:rPr>
        <w:t>es peuples autochtones et communautés locales</w:t>
      </w:r>
      <w:r w:rsidR="00DF1D05">
        <w:rPr>
          <w:lang w:val="fr-FR"/>
        </w:rPr>
        <w:t xml:space="preserve"> en matière d’utilisation durable</w:t>
      </w:r>
      <w:r w:rsidRPr="00B00393">
        <w:rPr>
          <w:lang w:val="fr-FR"/>
        </w:rPr>
        <w:t xml:space="preserve">. Toutefois, seule la moitié des Parties abordent la question de la </w:t>
      </w:r>
      <w:r w:rsidR="00B54EA4">
        <w:rPr>
          <w:lang w:val="fr-FR"/>
        </w:rPr>
        <w:t>sûreté</w:t>
      </w:r>
      <w:r w:rsidRPr="00B00393">
        <w:rPr>
          <w:lang w:val="fr-FR"/>
        </w:rPr>
        <w:t xml:space="preserve"> de l’utilisation, de la collecte et du commerce des espèces sauvages, et moins d’un tiers des Parties (32</w:t>
      </w:r>
      <w:r w:rsidR="002878D7">
        <w:rPr>
          <w:lang w:val="fr-FR"/>
        </w:rPr>
        <w:t> %</w:t>
      </w:r>
      <w:r w:rsidRPr="00B00393">
        <w:rPr>
          <w:lang w:val="fr-FR"/>
        </w:rPr>
        <w:t>) ont défini des cibles nationales visant à prévenir la transmission d’agents pathogènes résultant de l’utilisation, de la collecte et du commerce des espèces sauvages.</w:t>
      </w:r>
    </w:p>
    <w:p w14:paraId="26E5D8B1" w14:textId="77777777" w:rsidR="00AF6FD3" w:rsidRPr="00653BF4" w:rsidRDefault="00AF6FD3" w:rsidP="00AF6FD3">
      <w:pPr>
        <w:rPr>
          <w:lang w:val="fr-FR"/>
        </w:rPr>
      </w:pPr>
      <w:bookmarkStart w:id="136" w:name="_Toc235821105"/>
    </w:p>
    <w:p w14:paraId="1E39EBC2" w14:textId="4C951B43" w:rsidR="00B70AA4" w:rsidRPr="00653BF4" w:rsidRDefault="00DD19D2" w:rsidP="00B70AA4">
      <w:pPr>
        <w:pStyle w:val="Heading5"/>
        <w:rPr>
          <w:lang w:val="fr-FR"/>
        </w:rPr>
      </w:pPr>
      <w:r w:rsidRPr="00653BF4">
        <w:rPr>
          <w:lang w:val="fr-FR"/>
        </w:rPr>
        <w:t>Indicateurs de progrès</w:t>
      </w:r>
      <w:bookmarkEnd w:id="136"/>
    </w:p>
    <w:p w14:paraId="718F9A92" w14:textId="77777777" w:rsidR="00242366" w:rsidRPr="00653BF4" w:rsidRDefault="00242366" w:rsidP="00242366">
      <w:pPr>
        <w:rPr>
          <w:lang w:val="fr-FR"/>
        </w:rPr>
      </w:pPr>
    </w:p>
    <w:p w14:paraId="788AD9AE" w14:textId="42F61168" w:rsidR="00242366" w:rsidRPr="00653BF4" w:rsidRDefault="00D5751A" w:rsidP="000927E9">
      <w:pPr>
        <w:pStyle w:val="Caption"/>
        <w:rPr>
          <w:i w:val="0"/>
          <w:iCs w:val="0"/>
          <w:sz w:val="20"/>
          <w:szCs w:val="20"/>
          <w:lang w:val="fr-FR"/>
        </w:rPr>
      </w:pPr>
      <w:r w:rsidRPr="00653BF4">
        <w:rPr>
          <w:i w:val="0"/>
          <w:sz w:val="20"/>
          <w:szCs w:val="20"/>
          <w:lang w:val="fr-FR"/>
        </w:rPr>
        <w:t>Tableau</w:t>
      </w:r>
      <w:r w:rsidR="00DC1793" w:rsidRPr="00653BF4">
        <w:rPr>
          <w:i w:val="0"/>
          <w:noProof/>
          <w:sz w:val="20"/>
          <w:szCs w:val="20"/>
          <w:lang w:val="fr-FR"/>
        </w:rPr>
        <w:t>13</w:t>
      </w:r>
      <w:r w:rsidR="000927E9" w:rsidRPr="00653BF4">
        <w:rPr>
          <w:i w:val="0"/>
          <w:iCs w:val="0"/>
          <w:sz w:val="20"/>
          <w:szCs w:val="20"/>
          <w:lang w:val="fr-FR"/>
        </w:rPr>
        <w:t xml:space="preserve"> </w:t>
      </w:r>
    </w:p>
    <w:p w14:paraId="7FD2D54C" w14:textId="467432E0" w:rsidR="000927E9" w:rsidRPr="00653BF4" w:rsidRDefault="005A6401" w:rsidP="000927E9">
      <w:pPr>
        <w:pStyle w:val="Caption"/>
        <w:rPr>
          <w:b/>
          <w:sz w:val="20"/>
          <w:szCs w:val="20"/>
          <w:lang w:val="fr-FR"/>
        </w:rPr>
      </w:pPr>
      <w:r w:rsidRPr="00653BF4">
        <w:rPr>
          <w:b/>
          <w:bCs/>
          <w:i w:val="0"/>
          <w:iCs w:val="0"/>
          <w:sz w:val="20"/>
          <w:szCs w:val="20"/>
          <w:lang w:val="fr-FR"/>
        </w:rPr>
        <w:t>Tableau de bord</w:t>
      </w:r>
      <w:r w:rsidR="009B3C1D" w:rsidRPr="00653BF4">
        <w:rPr>
          <w:b/>
          <w:bCs/>
          <w:i w:val="0"/>
          <w:iCs w:val="0"/>
          <w:sz w:val="20"/>
          <w:szCs w:val="20"/>
          <w:lang w:val="fr-FR"/>
        </w:rPr>
        <w:t xml:space="preserve"> des indicateurs pour la </w:t>
      </w:r>
      <w:r w:rsidR="00E34DC9">
        <w:rPr>
          <w:b/>
          <w:bCs/>
          <w:i w:val="0"/>
          <w:iCs w:val="0"/>
          <w:sz w:val="20"/>
          <w:szCs w:val="20"/>
          <w:lang w:val="fr-FR"/>
        </w:rPr>
        <w:t>cible 5</w:t>
      </w:r>
      <w:r w:rsidR="009B3C1D" w:rsidRPr="00653BF4">
        <w:rPr>
          <w:b/>
          <w:bCs/>
          <w:i w:val="0"/>
          <w:iCs w:val="0"/>
          <w:sz w:val="20"/>
          <w:szCs w:val="20"/>
          <w:lang w:val="fr-FR"/>
        </w:rPr>
        <w:t xml:space="preserve"> du Cadre</w:t>
      </w:r>
    </w:p>
    <w:tbl>
      <w:tblPr>
        <w:tblW w:w="9016" w:type="dxa"/>
        <w:tblLook w:val="04A0" w:firstRow="1" w:lastRow="0" w:firstColumn="1" w:lastColumn="0" w:noHBand="0" w:noVBand="1"/>
      </w:tblPr>
      <w:tblGrid>
        <w:gridCol w:w="2634"/>
        <w:gridCol w:w="1754"/>
        <w:gridCol w:w="672"/>
        <w:gridCol w:w="3302"/>
        <w:gridCol w:w="654"/>
      </w:tblGrid>
      <w:tr w:rsidR="009F0402" w:rsidRPr="00653BF4" w14:paraId="34CF260F" w14:textId="77777777" w:rsidTr="00184A43">
        <w:trPr>
          <w:trHeight w:val="1050"/>
        </w:trPr>
        <w:tc>
          <w:tcPr>
            <w:tcW w:w="2634" w:type="dxa"/>
            <w:tcBorders>
              <w:top w:val="single" w:sz="4" w:space="0" w:color="auto"/>
              <w:left w:val="single" w:sz="4" w:space="0" w:color="auto"/>
              <w:bottom w:val="single" w:sz="4" w:space="0" w:color="auto"/>
              <w:right w:val="single" w:sz="4" w:space="0" w:color="auto"/>
            </w:tcBorders>
            <w:shd w:val="clear" w:color="000000" w:fill="FFFFFF"/>
            <w:vAlign w:val="center"/>
          </w:tcPr>
          <w:p w14:paraId="0299ACCF" w14:textId="77777777" w:rsidR="009F0402" w:rsidRPr="00653BF4" w:rsidRDefault="009F0402">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426" w:type="dxa"/>
            <w:gridSpan w:val="2"/>
            <w:tcBorders>
              <w:top w:val="single" w:sz="4" w:space="0" w:color="auto"/>
              <w:left w:val="nil"/>
              <w:bottom w:val="single" w:sz="4" w:space="0" w:color="auto"/>
              <w:right w:val="single" w:sz="4" w:space="0" w:color="auto"/>
            </w:tcBorders>
            <w:vAlign w:val="center"/>
          </w:tcPr>
          <w:p w14:paraId="5C873EB7" w14:textId="4DF243A1" w:rsidR="009F0402" w:rsidRPr="00653BF4" w:rsidRDefault="00E04592">
            <w:pPr>
              <w:spacing w:after="0" w:line="240" w:lineRule="auto"/>
              <w:jc w:val="center"/>
              <w:rPr>
                <w:rFonts w:ascii="Aptos" w:eastAsia="Times New Roman" w:hAnsi="Aptos" w:cs="Times New Roman"/>
                <w:color w:val="000000"/>
                <w:kern w:val="0"/>
                <w:sz w:val="20"/>
                <w:szCs w:val="20"/>
                <w:lang w:val="fr-FR" w:eastAsia="en-CA"/>
                <w14:ligatures w14:val="none"/>
              </w:rPr>
            </w:pPr>
            <w:r>
              <w:rPr>
                <w:rFonts w:ascii="Aptos" w:hAnsi="Aptos"/>
                <w:color w:val="000000"/>
                <w:sz w:val="20"/>
                <w:szCs w:val="20"/>
                <w:lang w:val="fr-FR"/>
              </w:rPr>
              <w:t>Utilisation de l’indicateur</w:t>
            </w:r>
          </w:p>
        </w:tc>
        <w:tc>
          <w:tcPr>
            <w:tcW w:w="3956" w:type="dxa"/>
            <w:gridSpan w:val="2"/>
            <w:tcBorders>
              <w:top w:val="single" w:sz="4" w:space="0" w:color="auto"/>
              <w:left w:val="nil"/>
              <w:bottom w:val="single" w:sz="4" w:space="0" w:color="auto"/>
              <w:right w:val="single" w:sz="4" w:space="0" w:color="auto"/>
            </w:tcBorders>
            <w:vAlign w:val="center"/>
          </w:tcPr>
          <w:p w14:paraId="4B7DD131" w14:textId="0206184A" w:rsidR="009F0402" w:rsidRPr="00653BF4" w:rsidRDefault="00A443C9">
            <w:pPr>
              <w:spacing w:after="0" w:line="240" w:lineRule="auto"/>
              <w:jc w:val="center"/>
              <w:rPr>
                <w:rFonts w:ascii="Aptos" w:eastAsia="Times New Roman" w:hAnsi="Aptos" w:cs="Calibri"/>
                <w:color w:val="000000"/>
                <w:kern w:val="0"/>
                <w:sz w:val="20"/>
                <w:szCs w:val="20"/>
                <w:lang w:val="fr-FR" w:eastAsia="en-CA"/>
                <w14:ligatures w14:val="none"/>
              </w:rPr>
            </w:pPr>
            <w:r>
              <w:rPr>
                <w:rFonts w:ascii="Aptos" w:hAnsi="Aptos"/>
                <w:color w:val="000000"/>
                <w:sz w:val="20"/>
                <w:szCs w:val="20"/>
                <w:lang w:val="fr-FR"/>
              </w:rPr>
              <w:t>Résultats de l’indicateur</w:t>
            </w:r>
          </w:p>
        </w:tc>
      </w:tr>
      <w:tr w:rsidR="0007613E" w:rsidRPr="00543148" w14:paraId="39BE7C73" w14:textId="77777777" w:rsidTr="00BA318C">
        <w:trPr>
          <w:trHeight w:val="1050"/>
        </w:trPr>
        <w:tc>
          <w:tcPr>
            <w:tcW w:w="26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F3DE73" w14:textId="3D776566" w:rsidR="0007613E" w:rsidRPr="00653BF4" w:rsidRDefault="0007613E" w:rsidP="0007613E">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Indicateur phare 5.1</w:t>
            </w:r>
            <w:r w:rsidR="00E34DC9">
              <w:rPr>
                <w:rFonts w:ascii="Aptos" w:eastAsia="Times New Roman" w:hAnsi="Aptos" w:cs="Times New Roman"/>
                <w:color w:val="000000"/>
                <w:kern w:val="0"/>
                <w:sz w:val="20"/>
                <w:szCs w:val="20"/>
                <w:lang w:val="fr-FR" w:eastAsia="en-CA"/>
                <w14:ligatures w14:val="none"/>
              </w:rPr>
              <w:t> :</w:t>
            </w:r>
            <w:r w:rsidRPr="00653BF4">
              <w:rPr>
                <w:rFonts w:ascii="Aptos" w:eastAsia="Times New Roman" w:hAnsi="Aptos" w:cs="Times New Roman"/>
                <w:color w:val="000000"/>
                <w:kern w:val="0"/>
                <w:sz w:val="20"/>
                <w:szCs w:val="20"/>
                <w:lang w:val="fr-FR" w:eastAsia="en-CA"/>
                <w14:ligatures w14:val="none"/>
              </w:rPr>
              <w:t xml:space="preserve"> proportion des stocks halieutiques se situant dans des limites biologiquement durables</w:t>
            </w:r>
          </w:p>
        </w:tc>
        <w:tc>
          <w:tcPr>
            <w:tcW w:w="1754" w:type="dxa"/>
            <w:tcBorders>
              <w:top w:val="single" w:sz="4" w:space="0" w:color="auto"/>
              <w:left w:val="nil"/>
              <w:bottom w:val="single" w:sz="4" w:space="0" w:color="auto"/>
              <w:right w:val="single" w:sz="4" w:space="0" w:color="auto"/>
            </w:tcBorders>
            <w:hideMark/>
          </w:tcPr>
          <w:p w14:paraId="6BA9A2D0" w14:textId="3E7717B7" w:rsidR="0007613E" w:rsidRPr="00653BF4" w:rsidRDefault="0007613E" w:rsidP="0007613E">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hAnsi="Aptos"/>
                <w:sz w:val="20"/>
                <w:szCs w:val="20"/>
                <w:lang w:val="fr-FR"/>
              </w:rPr>
              <w:t>27</w:t>
            </w:r>
            <w:r w:rsidR="002878D7">
              <w:rPr>
                <w:rFonts w:ascii="Aptos" w:hAnsi="Aptos"/>
                <w:sz w:val="20"/>
                <w:szCs w:val="20"/>
                <w:lang w:val="fr-FR"/>
              </w:rPr>
              <w:t> %</w:t>
            </w:r>
            <w:r w:rsidRPr="00653BF4">
              <w:rPr>
                <w:rFonts w:ascii="Aptos" w:hAnsi="Aptos"/>
                <w:sz w:val="20"/>
                <w:szCs w:val="20"/>
                <w:lang w:val="fr-FR"/>
              </w:rPr>
              <w:t xml:space="preserve"> des Parties</w:t>
            </w:r>
          </w:p>
        </w:tc>
        <w:tc>
          <w:tcPr>
            <w:tcW w:w="672" w:type="dxa"/>
            <w:tcBorders>
              <w:top w:val="single" w:sz="4" w:space="0" w:color="auto"/>
              <w:left w:val="nil"/>
              <w:bottom w:val="single" w:sz="4" w:space="0" w:color="auto"/>
              <w:right w:val="single" w:sz="4" w:space="0" w:color="auto"/>
            </w:tcBorders>
            <w:shd w:val="clear" w:color="auto" w:fill="C00000"/>
            <w:vAlign w:val="center"/>
            <w:hideMark/>
          </w:tcPr>
          <w:p w14:paraId="65D7F8E0" w14:textId="77777777" w:rsidR="0007613E" w:rsidRPr="00653BF4" w:rsidRDefault="0007613E" w:rsidP="0007613E">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3302" w:type="dxa"/>
            <w:tcBorders>
              <w:top w:val="single" w:sz="4" w:space="0" w:color="auto"/>
              <w:left w:val="nil"/>
              <w:bottom w:val="single" w:sz="4" w:space="0" w:color="auto"/>
              <w:right w:val="single" w:sz="4" w:space="0" w:color="auto"/>
            </w:tcBorders>
            <w:hideMark/>
          </w:tcPr>
          <w:p w14:paraId="52A28271" w14:textId="78FD7A59" w:rsidR="0007613E" w:rsidRPr="00653BF4" w:rsidRDefault="0007613E" w:rsidP="0007613E">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hAnsi="Aptos"/>
                <w:sz w:val="20"/>
                <w:szCs w:val="20"/>
                <w:lang w:val="fr-FR"/>
              </w:rPr>
              <w:t>Moyenne globale</w:t>
            </w:r>
            <w:r w:rsidR="00E34DC9">
              <w:rPr>
                <w:rFonts w:ascii="Aptos" w:hAnsi="Aptos"/>
                <w:sz w:val="20"/>
                <w:szCs w:val="20"/>
                <w:lang w:val="fr-FR"/>
              </w:rPr>
              <w:t> :</w:t>
            </w:r>
            <w:r w:rsidRPr="00653BF4">
              <w:rPr>
                <w:rFonts w:ascii="Aptos" w:hAnsi="Aptos"/>
                <w:sz w:val="20"/>
                <w:szCs w:val="20"/>
                <w:lang w:val="fr-FR"/>
              </w:rPr>
              <w:t xml:space="preserve"> 60</w:t>
            </w:r>
            <w:r w:rsidR="002878D7">
              <w:rPr>
                <w:rFonts w:ascii="Aptos" w:hAnsi="Aptos"/>
                <w:sz w:val="20"/>
                <w:szCs w:val="20"/>
                <w:lang w:val="fr-FR"/>
              </w:rPr>
              <w:t> %</w:t>
            </w:r>
            <w:r w:rsidRPr="00653BF4">
              <w:rPr>
                <w:rFonts w:ascii="Aptos" w:hAnsi="Aptos"/>
                <w:sz w:val="20"/>
                <w:szCs w:val="20"/>
                <w:lang w:val="fr-FR"/>
              </w:rPr>
              <w:t xml:space="preserve"> (fourchette</w:t>
            </w:r>
            <w:r w:rsidR="00E34DC9">
              <w:rPr>
                <w:rFonts w:ascii="Aptos" w:hAnsi="Aptos"/>
                <w:sz w:val="20"/>
                <w:szCs w:val="20"/>
                <w:lang w:val="fr-FR"/>
              </w:rPr>
              <w:t> :</w:t>
            </w:r>
            <w:r w:rsidRPr="00653BF4">
              <w:rPr>
                <w:rFonts w:ascii="Aptos" w:hAnsi="Aptos"/>
                <w:sz w:val="20"/>
                <w:szCs w:val="20"/>
                <w:lang w:val="fr-FR"/>
              </w:rPr>
              <w:t xml:space="preserve"> de 14 à 100</w:t>
            </w:r>
            <w:r w:rsidR="002878D7">
              <w:rPr>
                <w:rFonts w:ascii="Aptos" w:hAnsi="Aptos"/>
                <w:sz w:val="20"/>
                <w:szCs w:val="20"/>
                <w:lang w:val="fr-FR"/>
              </w:rPr>
              <w:t> %</w:t>
            </w:r>
            <w:r w:rsidRPr="00653BF4">
              <w:rPr>
                <w:rFonts w:ascii="Aptos" w:hAnsi="Aptos"/>
                <w:sz w:val="20"/>
                <w:szCs w:val="20"/>
                <w:lang w:val="fr-FR"/>
              </w:rPr>
              <w:t>)</w:t>
            </w:r>
            <w:r w:rsidR="00E34DC9">
              <w:rPr>
                <w:rFonts w:ascii="Aptos" w:hAnsi="Aptos"/>
                <w:sz w:val="20"/>
                <w:szCs w:val="20"/>
                <w:lang w:val="fr-FR"/>
              </w:rPr>
              <w:t> ;</w:t>
            </w:r>
            <w:r w:rsidRPr="00653BF4">
              <w:rPr>
                <w:rFonts w:ascii="Aptos" w:hAnsi="Aptos"/>
                <w:sz w:val="20"/>
                <w:szCs w:val="20"/>
                <w:lang w:val="fr-FR"/>
              </w:rPr>
              <w:t xml:space="preserve"> tendance à la hausse au fil du temps</w:t>
            </w:r>
          </w:p>
        </w:tc>
        <w:tc>
          <w:tcPr>
            <w:tcW w:w="654" w:type="dxa"/>
            <w:tcBorders>
              <w:top w:val="single" w:sz="4" w:space="0" w:color="auto"/>
              <w:left w:val="nil"/>
              <w:bottom w:val="single" w:sz="4" w:space="0" w:color="auto"/>
              <w:right w:val="single" w:sz="4" w:space="0" w:color="auto"/>
            </w:tcBorders>
            <w:shd w:val="clear" w:color="auto" w:fill="92D050"/>
          </w:tcPr>
          <w:p w14:paraId="3F72FF72" w14:textId="77777777" w:rsidR="0007613E" w:rsidRPr="00653BF4" w:rsidRDefault="0007613E" w:rsidP="0007613E">
            <w:pPr>
              <w:spacing w:after="0" w:line="240" w:lineRule="auto"/>
              <w:rPr>
                <w:rFonts w:ascii="Aptos" w:eastAsia="Times New Roman" w:hAnsi="Aptos" w:cs="Calibri"/>
                <w:color w:val="000000"/>
                <w:kern w:val="0"/>
                <w:sz w:val="20"/>
                <w:szCs w:val="20"/>
                <w:lang w:val="fr-FR" w:eastAsia="en-CA"/>
                <w14:ligatures w14:val="none"/>
              </w:rPr>
            </w:pPr>
          </w:p>
        </w:tc>
      </w:tr>
      <w:tr w:rsidR="0007613E" w:rsidRPr="00543148" w14:paraId="1C62AB1E" w14:textId="77777777" w:rsidTr="00BA318C">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hideMark/>
          </w:tcPr>
          <w:p w14:paraId="5BB91EEB" w14:textId="5D326EE2" w:rsidR="0007613E" w:rsidRPr="00653BF4" w:rsidRDefault="0007613E" w:rsidP="0007613E">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Indicateur binaire 5.b</w:t>
            </w:r>
            <w:r w:rsidR="00E34DC9">
              <w:rPr>
                <w:rFonts w:ascii="Aptos" w:eastAsia="Times New Roman" w:hAnsi="Aptos" w:cs="Times New Roman"/>
                <w:color w:val="000000"/>
                <w:kern w:val="0"/>
                <w:sz w:val="20"/>
                <w:szCs w:val="20"/>
                <w:lang w:val="fr-FR" w:eastAsia="en-CA"/>
                <w14:ligatures w14:val="none"/>
              </w:rPr>
              <w:t> :</w:t>
            </w:r>
            <w:r w:rsidRPr="00653BF4">
              <w:rPr>
                <w:rFonts w:ascii="Aptos" w:eastAsia="Times New Roman" w:hAnsi="Aptos" w:cs="Times New Roman"/>
                <w:color w:val="000000"/>
                <w:kern w:val="0"/>
                <w:sz w:val="20"/>
                <w:szCs w:val="20"/>
                <w:lang w:val="fr-FR" w:eastAsia="en-CA"/>
                <w14:ligatures w14:val="none"/>
              </w:rPr>
              <w:t xml:space="preserve"> nombre de pays disposant d</w:t>
            </w:r>
            <w:r w:rsidR="00D77549">
              <w:rPr>
                <w:rFonts w:ascii="Aptos" w:eastAsia="Times New Roman" w:hAnsi="Aptos" w:cs="Times New Roman"/>
                <w:color w:val="000000"/>
                <w:kern w:val="0"/>
                <w:sz w:val="20"/>
                <w:szCs w:val="20"/>
                <w:lang w:val="fr-FR" w:eastAsia="en-CA"/>
                <w14:ligatures w14:val="none"/>
              </w:rPr>
              <w:t>’</w:t>
            </w:r>
            <w:r w:rsidRPr="00653BF4">
              <w:rPr>
                <w:rFonts w:ascii="Aptos" w:eastAsia="Times New Roman" w:hAnsi="Aptos" w:cs="Times New Roman"/>
                <w:color w:val="000000"/>
                <w:kern w:val="0"/>
                <w:sz w:val="20"/>
                <w:szCs w:val="20"/>
                <w:lang w:val="fr-FR" w:eastAsia="en-CA"/>
                <w14:ligatures w14:val="none"/>
              </w:rPr>
              <w:t>instruments juridiques ou d</w:t>
            </w:r>
            <w:r w:rsidR="00D77549">
              <w:rPr>
                <w:rFonts w:ascii="Aptos" w:eastAsia="Times New Roman" w:hAnsi="Aptos" w:cs="Times New Roman"/>
                <w:color w:val="000000"/>
                <w:kern w:val="0"/>
                <w:sz w:val="20"/>
                <w:szCs w:val="20"/>
                <w:lang w:val="fr-FR" w:eastAsia="en-CA"/>
                <w14:ligatures w14:val="none"/>
              </w:rPr>
              <w:t>’</w:t>
            </w:r>
            <w:r w:rsidRPr="00653BF4">
              <w:rPr>
                <w:rFonts w:ascii="Aptos" w:eastAsia="Times New Roman" w:hAnsi="Aptos" w:cs="Times New Roman"/>
                <w:color w:val="000000"/>
                <w:kern w:val="0"/>
                <w:sz w:val="20"/>
                <w:szCs w:val="20"/>
                <w:lang w:val="fr-FR" w:eastAsia="en-CA"/>
                <w14:ligatures w14:val="none"/>
              </w:rPr>
              <w:t>autres cadres politiques de réglementation du commerce des espèces sauvages</w:t>
            </w:r>
          </w:p>
        </w:tc>
        <w:tc>
          <w:tcPr>
            <w:tcW w:w="1754" w:type="dxa"/>
            <w:tcBorders>
              <w:top w:val="nil"/>
              <w:left w:val="nil"/>
              <w:bottom w:val="single" w:sz="4" w:space="0" w:color="auto"/>
              <w:right w:val="single" w:sz="4" w:space="0" w:color="auto"/>
            </w:tcBorders>
            <w:hideMark/>
          </w:tcPr>
          <w:p w14:paraId="67E400B9" w14:textId="12A71449" w:rsidR="0007613E" w:rsidRPr="00653BF4" w:rsidRDefault="0007613E" w:rsidP="0007613E">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sz w:val="20"/>
                <w:szCs w:val="20"/>
                <w:lang w:val="fr-FR"/>
              </w:rPr>
              <w:t>127</w:t>
            </w:r>
            <w:r w:rsidR="006B2E57" w:rsidRPr="00653BF4">
              <w:rPr>
                <w:rFonts w:ascii="Aptos" w:hAnsi="Aptos"/>
                <w:sz w:val="20"/>
                <w:szCs w:val="20"/>
                <w:lang w:val="fr-FR"/>
              </w:rPr>
              <w:t> </w:t>
            </w:r>
            <w:r w:rsidRPr="00653BF4">
              <w:rPr>
                <w:rFonts w:ascii="Aptos" w:hAnsi="Aptos"/>
                <w:sz w:val="20"/>
                <w:szCs w:val="20"/>
                <w:lang w:val="fr-FR"/>
              </w:rPr>
              <w:t>Parties</w:t>
            </w:r>
          </w:p>
        </w:tc>
        <w:tc>
          <w:tcPr>
            <w:tcW w:w="672" w:type="dxa"/>
            <w:tcBorders>
              <w:top w:val="nil"/>
              <w:left w:val="nil"/>
              <w:bottom w:val="single" w:sz="4" w:space="0" w:color="auto"/>
              <w:right w:val="single" w:sz="4" w:space="0" w:color="auto"/>
            </w:tcBorders>
            <w:vAlign w:val="center"/>
            <w:hideMark/>
          </w:tcPr>
          <w:p w14:paraId="30FCB3DE" w14:textId="7F11FBFD" w:rsidR="0007613E" w:rsidRPr="00653BF4" w:rsidRDefault="0007613E" w:rsidP="0007613E">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s.o.</w:t>
            </w:r>
            <w:r w:rsidRPr="00653BF4">
              <w:rPr>
                <w:rFonts w:ascii="Aptos" w:eastAsia="Times New Roman" w:hAnsi="Aptos" w:cs="Times New Roman"/>
                <w:i/>
                <w:iCs/>
                <w:color w:val="000000"/>
                <w:kern w:val="0"/>
                <w:sz w:val="20"/>
                <w:szCs w:val="20"/>
                <w:vertAlign w:val="superscript"/>
                <w:lang w:val="fr-FR" w:eastAsia="en-CA"/>
                <w14:ligatures w14:val="none"/>
              </w:rPr>
              <w:t>a</w:t>
            </w:r>
          </w:p>
        </w:tc>
        <w:tc>
          <w:tcPr>
            <w:tcW w:w="3302" w:type="dxa"/>
            <w:tcBorders>
              <w:top w:val="nil"/>
              <w:left w:val="nil"/>
              <w:bottom w:val="single" w:sz="4" w:space="0" w:color="auto"/>
              <w:right w:val="single" w:sz="4" w:space="0" w:color="auto"/>
            </w:tcBorders>
            <w:hideMark/>
          </w:tcPr>
          <w:p w14:paraId="698D0C62" w14:textId="01740537" w:rsidR="0007613E" w:rsidRPr="00653BF4" w:rsidRDefault="0007613E" w:rsidP="0007613E">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sz w:val="20"/>
                <w:szCs w:val="20"/>
                <w:lang w:val="fr-FR"/>
              </w:rPr>
              <w:t>98</w:t>
            </w:r>
            <w:r w:rsidR="002878D7">
              <w:rPr>
                <w:rFonts w:ascii="Aptos" w:hAnsi="Aptos"/>
                <w:sz w:val="20"/>
                <w:szCs w:val="20"/>
                <w:lang w:val="fr-FR"/>
              </w:rPr>
              <w:t> %</w:t>
            </w:r>
            <w:r w:rsidRPr="00653BF4">
              <w:rPr>
                <w:rFonts w:ascii="Aptos" w:hAnsi="Aptos"/>
                <w:sz w:val="20"/>
                <w:szCs w:val="20"/>
                <w:lang w:val="fr-FR"/>
              </w:rPr>
              <w:t xml:space="preserve"> des Parties ont obtenu un score élevé (4/5)</w:t>
            </w:r>
          </w:p>
        </w:tc>
        <w:tc>
          <w:tcPr>
            <w:tcW w:w="654" w:type="dxa"/>
            <w:tcBorders>
              <w:top w:val="nil"/>
              <w:left w:val="nil"/>
              <w:bottom w:val="single" w:sz="4" w:space="0" w:color="auto"/>
              <w:right w:val="single" w:sz="4" w:space="0" w:color="auto"/>
            </w:tcBorders>
            <w:shd w:val="clear" w:color="auto" w:fill="92D050"/>
          </w:tcPr>
          <w:p w14:paraId="63210968" w14:textId="77777777" w:rsidR="0007613E" w:rsidRPr="00653BF4" w:rsidRDefault="0007613E" w:rsidP="0007613E">
            <w:pPr>
              <w:spacing w:after="0" w:line="240" w:lineRule="auto"/>
              <w:rPr>
                <w:rFonts w:ascii="Aptos" w:eastAsia="Times New Roman" w:hAnsi="Aptos" w:cs="Times New Roman"/>
                <w:color w:val="000000"/>
                <w:kern w:val="0"/>
                <w:sz w:val="20"/>
                <w:szCs w:val="20"/>
                <w:lang w:val="fr-FR" w:eastAsia="en-CA"/>
                <w14:ligatures w14:val="none"/>
              </w:rPr>
            </w:pPr>
          </w:p>
          <w:p w14:paraId="0572B3A6" w14:textId="77777777" w:rsidR="0007613E" w:rsidRPr="00653BF4" w:rsidRDefault="0007613E" w:rsidP="0007613E">
            <w:pPr>
              <w:spacing w:after="0" w:line="240" w:lineRule="auto"/>
              <w:rPr>
                <w:rFonts w:ascii="Aptos" w:eastAsia="Times New Roman" w:hAnsi="Aptos" w:cs="Times New Roman"/>
                <w:color w:val="000000"/>
                <w:kern w:val="0"/>
                <w:sz w:val="20"/>
                <w:szCs w:val="20"/>
                <w:lang w:val="fr-FR" w:eastAsia="en-CA"/>
                <w14:ligatures w14:val="none"/>
              </w:rPr>
            </w:pPr>
          </w:p>
        </w:tc>
      </w:tr>
      <w:tr w:rsidR="006810A5" w:rsidRPr="00543148" w14:paraId="7323D90C" w14:textId="77777777" w:rsidTr="009A1A3B">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hideMark/>
          </w:tcPr>
          <w:p w14:paraId="104B6023" w14:textId="386E7C26" w:rsidR="006810A5" w:rsidRPr="00653BF4" w:rsidRDefault="006F4EF1" w:rsidP="006810A5">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Ensemble des indicateurs quantitatifs</w:t>
            </w:r>
          </w:p>
        </w:tc>
        <w:tc>
          <w:tcPr>
            <w:tcW w:w="1754" w:type="dxa"/>
            <w:tcBorders>
              <w:top w:val="nil"/>
              <w:left w:val="nil"/>
              <w:bottom w:val="single" w:sz="4" w:space="0" w:color="auto"/>
              <w:right w:val="single" w:sz="4" w:space="0" w:color="auto"/>
            </w:tcBorders>
            <w:vAlign w:val="center"/>
            <w:hideMark/>
          </w:tcPr>
          <w:p w14:paraId="36B3E812" w14:textId="133D8035" w:rsidR="006810A5" w:rsidRPr="00653BF4" w:rsidRDefault="006810A5" w:rsidP="006810A5">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43</w:t>
            </w:r>
            <w:r w:rsidR="00741EEC" w:rsidRPr="00653BF4">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Parties, 33</w:t>
            </w:r>
            <w:r w:rsidR="002878D7">
              <w:rPr>
                <w:rFonts w:ascii="Aptos" w:eastAsia="Times New Roman" w:hAnsi="Aptos" w:cs="Calibri"/>
                <w:color w:val="000000"/>
                <w:kern w:val="0"/>
                <w:sz w:val="20"/>
                <w:szCs w:val="20"/>
                <w:lang w:val="fr-FR" w:eastAsia="en-CA"/>
                <w14:ligatures w14:val="none"/>
              </w:rPr>
              <w:t> %</w:t>
            </w:r>
          </w:p>
        </w:tc>
        <w:tc>
          <w:tcPr>
            <w:tcW w:w="672" w:type="dxa"/>
            <w:tcBorders>
              <w:top w:val="nil"/>
              <w:left w:val="nil"/>
              <w:bottom w:val="single" w:sz="4" w:space="0" w:color="auto"/>
              <w:right w:val="single" w:sz="4" w:space="0" w:color="auto"/>
            </w:tcBorders>
            <w:shd w:val="clear" w:color="000000" w:fill="FFC000"/>
            <w:vAlign w:val="center"/>
            <w:hideMark/>
          </w:tcPr>
          <w:p w14:paraId="2EDACDB6" w14:textId="77777777" w:rsidR="006810A5" w:rsidRPr="00653BF4" w:rsidRDefault="006810A5" w:rsidP="006810A5">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3302" w:type="dxa"/>
            <w:tcBorders>
              <w:top w:val="nil"/>
              <w:left w:val="nil"/>
              <w:bottom w:val="single" w:sz="4" w:space="0" w:color="auto"/>
              <w:right w:val="single" w:sz="4" w:space="0" w:color="auto"/>
            </w:tcBorders>
            <w:hideMark/>
          </w:tcPr>
          <w:p w14:paraId="315519C4" w14:textId="5071880B" w:rsidR="006810A5" w:rsidRPr="00653BF4" w:rsidRDefault="006810A5" w:rsidP="006810A5">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sz w:val="20"/>
                <w:szCs w:val="20"/>
                <w:lang w:val="fr-FR"/>
              </w:rPr>
              <w:t>33</w:t>
            </w:r>
            <w:r w:rsidR="002878D7">
              <w:rPr>
                <w:rFonts w:ascii="Aptos" w:hAnsi="Aptos"/>
                <w:sz w:val="20"/>
                <w:szCs w:val="20"/>
                <w:lang w:val="fr-FR"/>
              </w:rPr>
              <w:t> %</w:t>
            </w:r>
            <w:r w:rsidRPr="00653BF4">
              <w:rPr>
                <w:rFonts w:ascii="Aptos" w:hAnsi="Aptos"/>
                <w:sz w:val="20"/>
                <w:szCs w:val="20"/>
                <w:lang w:val="fr-FR"/>
              </w:rPr>
              <w:t xml:space="preserve"> de tendances positives</w:t>
            </w:r>
            <w:r w:rsidR="00E34DC9">
              <w:rPr>
                <w:rFonts w:ascii="Aptos" w:hAnsi="Aptos"/>
                <w:sz w:val="20"/>
                <w:szCs w:val="20"/>
                <w:lang w:val="fr-FR"/>
              </w:rPr>
              <w:t> ;</w:t>
            </w:r>
            <w:r w:rsidRPr="00653BF4">
              <w:rPr>
                <w:rFonts w:ascii="Aptos" w:hAnsi="Aptos"/>
                <w:sz w:val="20"/>
                <w:szCs w:val="20"/>
                <w:lang w:val="fr-FR"/>
              </w:rPr>
              <w:t xml:space="preserve"> 17</w:t>
            </w:r>
            <w:r w:rsidR="002878D7">
              <w:rPr>
                <w:rFonts w:ascii="Aptos" w:hAnsi="Aptos"/>
                <w:sz w:val="20"/>
                <w:szCs w:val="20"/>
                <w:lang w:val="fr-FR"/>
              </w:rPr>
              <w:t> %</w:t>
            </w:r>
            <w:r w:rsidRPr="00653BF4">
              <w:rPr>
                <w:rFonts w:ascii="Aptos" w:hAnsi="Aptos"/>
                <w:sz w:val="20"/>
                <w:szCs w:val="20"/>
                <w:lang w:val="fr-FR"/>
              </w:rPr>
              <w:t xml:space="preserve"> de tendances négatives</w:t>
            </w:r>
          </w:p>
        </w:tc>
        <w:tc>
          <w:tcPr>
            <w:tcW w:w="654" w:type="dxa"/>
            <w:tcBorders>
              <w:top w:val="nil"/>
              <w:left w:val="nil"/>
              <w:bottom w:val="single" w:sz="4" w:space="0" w:color="auto"/>
              <w:right w:val="single" w:sz="4" w:space="0" w:color="auto"/>
            </w:tcBorders>
            <w:shd w:val="clear" w:color="auto" w:fill="FFC000"/>
          </w:tcPr>
          <w:p w14:paraId="28CA4773" w14:textId="77777777" w:rsidR="006810A5" w:rsidRPr="00653BF4" w:rsidRDefault="006810A5" w:rsidP="006810A5">
            <w:pPr>
              <w:spacing w:after="0" w:line="240" w:lineRule="auto"/>
              <w:rPr>
                <w:rFonts w:ascii="Aptos" w:eastAsia="Times New Roman" w:hAnsi="Aptos" w:cs="Times New Roman"/>
                <w:color w:val="000000"/>
                <w:kern w:val="0"/>
                <w:sz w:val="20"/>
                <w:szCs w:val="20"/>
                <w:lang w:val="fr-FR" w:eastAsia="en-CA"/>
                <w14:ligatures w14:val="none"/>
              </w:rPr>
            </w:pPr>
          </w:p>
        </w:tc>
      </w:tr>
      <w:tr w:rsidR="009F0402" w:rsidRPr="00543148" w14:paraId="5A7D4A13" w14:textId="77777777" w:rsidTr="00184A43">
        <w:trPr>
          <w:trHeight w:val="1050"/>
        </w:trPr>
        <w:tc>
          <w:tcPr>
            <w:tcW w:w="2634" w:type="dxa"/>
            <w:tcBorders>
              <w:top w:val="nil"/>
              <w:left w:val="single" w:sz="4" w:space="0" w:color="auto"/>
              <w:bottom w:val="single" w:sz="4" w:space="0" w:color="auto"/>
              <w:right w:val="single" w:sz="4" w:space="0" w:color="auto"/>
            </w:tcBorders>
            <w:shd w:val="clear" w:color="000000" w:fill="FFFFFF"/>
            <w:vAlign w:val="center"/>
          </w:tcPr>
          <w:p w14:paraId="414A8C22" w14:textId="77777777" w:rsidR="009F0402" w:rsidRPr="00653BF4" w:rsidRDefault="009F0402">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Notes</w:t>
            </w:r>
          </w:p>
        </w:tc>
        <w:tc>
          <w:tcPr>
            <w:tcW w:w="6382" w:type="dxa"/>
            <w:gridSpan w:val="4"/>
            <w:tcBorders>
              <w:top w:val="nil"/>
              <w:left w:val="nil"/>
              <w:bottom w:val="single" w:sz="4" w:space="0" w:color="auto"/>
              <w:right w:val="single" w:sz="4" w:space="0" w:color="auto"/>
            </w:tcBorders>
            <w:vAlign w:val="center"/>
          </w:tcPr>
          <w:p w14:paraId="63EEC80B" w14:textId="6919933B" w:rsidR="009F0402" w:rsidRPr="00653BF4" w:rsidRDefault="00284D4C">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Les valeurs des indicateurs portent principalement sur les stocks halieutiques d</w:t>
            </w:r>
            <w:r w:rsidR="00D77549">
              <w:rPr>
                <w:rFonts w:ascii="Aptos" w:eastAsia="Times New Roman" w:hAnsi="Aptos" w:cs="Times New Roman"/>
                <w:color w:val="000000"/>
                <w:kern w:val="0"/>
                <w:sz w:val="20"/>
                <w:szCs w:val="20"/>
                <w:lang w:val="fr-FR" w:eastAsia="en-CA"/>
                <w14:ligatures w14:val="none"/>
              </w:rPr>
              <w:t>’</w:t>
            </w:r>
            <w:r w:rsidRPr="00653BF4">
              <w:rPr>
                <w:rFonts w:ascii="Aptos" w:eastAsia="Times New Roman" w:hAnsi="Aptos" w:cs="Times New Roman"/>
                <w:color w:val="000000"/>
                <w:kern w:val="0"/>
                <w:sz w:val="20"/>
                <w:szCs w:val="20"/>
                <w:lang w:val="fr-FR" w:eastAsia="en-CA"/>
                <w14:ligatures w14:val="none"/>
              </w:rPr>
              <w:t>intérêt national</w:t>
            </w:r>
          </w:p>
        </w:tc>
      </w:tr>
    </w:tbl>
    <w:p w14:paraId="138FB351" w14:textId="77777777" w:rsidR="009F0402" w:rsidRPr="00653BF4" w:rsidRDefault="009F0402" w:rsidP="009F0402">
      <w:pPr>
        <w:rPr>
          <w:rFonts w:ascii="Aptos" w:hAnsi="Aptos"/>
          <w:strike/>
          <w:lang w:val="fr-FR"/>
        </w:rPr>
      </w:pPr>
    </w:p>
    <w:p w14:paraId="1E0AA189" w14:textId="35964847" w:rsidR="00D128AB" w:rsidRPr="00653BF4" w:rsidRDefault="006A631C" w:rsidP="00D128AB">
      <w:pPr>
        <w:rPr>
          <w:rFonts w:ascii="Aptos" w:hAnsi="Aptos"/>
          <w:sz w:val="16"/>
          <w:szCs w:val="16"/>
          <w:lang w:val="fr-FR"/>
        </w:rPr>
      </w:pPr>
      <w:r w:rsidRPr="00653BF4">
        <w:rPr>
          <w:rFonts w:ascii="Aptos" w:hAnsi="Aptos"/>
          <w:i/>
          <w:iCs/>
          <w:sz w:val="16"/>
          <w:szCs w:val="16"/>
          <w:lang w:val="fr-FR"/>
        </w:rPr>
        <w:t>Note</w:t>
      </w:r>
      <w:r w:rsidR="00E34DC9">
        <w:rPr>
          <w:rFonts w:ascii="Aptos" w:hAnsi="Aptos"/>
          <w:i/>
          <w:iCs/>
          <w:sz w:val="16"/>
          <w:szCs w:val="16"/>
          <w:lang w:val="fr-FR"/>
        </w:rPr>
        <w:t> :</w:t>
      </w:r>
      <w:r w:rsidR="00D128AB" w:rsidRPr="00653BF4">
        <w:rPr>
          <w:rFonts w:ascii="Aptos" w:hAnsi="Aptos"/>
          <w:sz w:val="16"/>
          <w:szCs w:val="16"/>
          <w:lang w:val="fr-FR"/>
        </w:rPr>
        <w:t xml:space="preserve"> </w:t>
      </w:r>
      <w:r w:rsidR="00E413C7" w:rsidRPr="00653BF4">
        <w:rPr>
          <w:rFonts w:ascii="Aptos" w:hAnsi="Aptos"/>
          <w:sz w:val="16"/>
          <w:szCs w:val="16"/>
          <w:lang w:val="fr-FR"/>
        </w:rPr>
        <w:t>Le code couleur se rapporte à l’évaluation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rFonts w:ascii="Aptos" w:hAnsi="Aptos"/>
          <w:sz w:val="16"/>
          <w:szCs w:val="16"/>
          <w:lang w:val="fr-FR"/>
        </w:rPr>
        <w:t> %</w:t>
      </w:r>
      <w:r w:rsidR="00E413C7" w:rsidRPr="00653BF4">
        <w:rPr>
          <w:rFonts w:ascii="Aptos" w:hAnsi="Aptos"/>
          <w:sz w:val="16"/>
          <w:szCs w:val="16"/>
          <w:lang w:val="fr-FR"/>
        </w:rPr>
        <w:t>, le jaune aux valeurs comprises entre 25</w:t>
      </w:r>
      <w:r w:rsidR="002878D7">
        <w:rPr>
          <w:rFonts w:ascii="Aptos" w:hAnsi="Aptos"/>
          <w:sz w:val="16"/>
          <w:szCs w:val="16"/>
          <w:lang w:val="fr-FR"/>
        </w:rPr>
        <w:t> %</w:t>
      </w:r>
      <w:r w:rsidR="00E413C7" w:rsidRPr="00653BF4">
        <w:rPr>
          <w:rFonts w:ascii="Aptos" w:hAnsi="Aptos"/>
          <w:sz w:val="16"/>
          <w:szCs w:val="16"/>
          <w:lang w:val="fr-FR"/>
        </w:rPr>
        <w:t xml:space="preserve"> et 50</w:t>
      </w:r>
      <w:r w:rsidR="002878D7">
        <w:rPr>
          <w:rFonts w:ascii="Aptos" w:hAnsi="Aptos"/>
          <w:sz w:val="16"/>
          <w:szCs w:val="16"/>
          <w:lang w:val="fr-FR"/>
        </w:rPr>
        <w:t> %</w:t>
      </w:r>
      <w:r w:rsidR="00E413C7" w:rsidRPr="00653BF4">
        <w:rPr>
          <w:rFonts w:ascii="Aptos" w:hAnsi="Aptos"/>
          <w:sz w:val="16"/>
          <w:szCs w:val="16"/>
          <w:lang w:val="fr-FR"/>
        </w:rPr>
        <w:t>, et le rouge aux valeurs inférieures à 25</w:t>
      </w:r>
      <w:r w:rsidR="002878D7">
        <w:rPr>
          <w:rFonts w:ascii="Aptos" w:hAnsi="Aptos"/>
          <w:sz w:val="16"/>
          <w:szCs w:val="16"/>
          <w:lang w:val="fr-FR"/>
        </w:rPr>
        <w:t> %</w:t>
      </w:r>
      <w:r w:rsidR="00E413C7" w:rsidRPr="00653BF4">
        <w:rPr>
          <w:rFonts w:ascii="Aptos" w:hAnsi="Aptos"/>
          <w:sz w:val="16"/>
          <w:szCs w:val="16"/>
          <w:lang w:val="fr-FR"/>
        </w:rPr>
        <w:t xml:space="preserve">). Les couleurs des résultats des indicateurs phares sont fondées sur les progrès accomplis par rapport à la </w:t>
      </w:r>
      <w:r w:rsidR="00E413C7" w:rsidRPr="00653BF4">
        <w:rPr>
          <w:rFonts w:ascii="Aptos" w:hAnsi="Aptos"/>
          <w:sz w:val="16"/>
          <w:szCs w:val="16"/>
          <w:lang w:val="fr-FR"/>
        </w:rPr>
        <w:lastRenderedPageBreak/>
        <w:t>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18E3D5D8" w14:textId="6E25C501" w:rsidR="00D128AB" w:rsidRPr="00653BF4" w:rsidRDefault="00D128AB" w:rsidP="00D128AB">
      <w:pPr>
        <w:pStyle w:val="FootnoteText"/>
        <w:rPr>
          <w:sz w:val="16"/>
          <w:szCs w:val="16"/>
          <w:lang w:val="fr-FR"/>
        </w:rPr>
      </w:pPr>
      <w:r w:rsidRPr="00653BF4">
        <w:rPr>
          <w:vertAlign w:val="superscript"/>
          <w:lang w:val="fr-FR"/>
        </w:rPr>
        <w:t>a</w:t>
      </w:r>
      <w:r w:rsidRPr="00653BF4">
        <w:rPr>
          <w:lang w:val="fr-FR"/>
        </w:rPr>
        <w:t xml:space="preserve"> </w:t>
      </w:r>
      <w:r w:rsidR="00A51853" w:rsidRPr="00653BF4">
        <w:rPr>
          <w:sz w:val="16"/>
          <w:szCs w:val="16"/>
          <w:lang w:val="fr-FR"/>
        </w:rPr>
        <w:t>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p>
    <w:p w14:paraId="12673FE3" w14:textId="77777777" w:rsidR="00D128AB" w:rsidRPr="00653BF4" w:rsidRDefault="00D128AB" w:rsidP="009F0402">
      <w:pPr>
        <w:rPr>
          <w:rFonts w:ascii="Aptos" w:hAnsi="Aptos"/>
          <w:strike/>
          <w:lang w:val="fr-FR"/>
        </w:rPr>
      </w:pPr>
    </w:p>
    <w:p w14:paraId="5E35EFD0" w14:textId="77777777" w:rsidR="00457D18" w:rsidRPr="00653BF4" w:rsidRDefault="00457D18" w:rsidP="009F0402">
      <w:pPr>
        <w:rPr>
          <w:rFonts w:ascii="Aptos" w:hAnsi="Aptos"/>
          <w:strike/>
          <w:lang w:val="fr-FR"/>
        </w:rPr>
      </w:pPr>
    </w:p>
    <w:p w14:paraId="44218379" w14:textId="704AF605" w:rsidR="005A10B5" w:rsidRPr="00653BF4" w:rsidRDefault="00FA3280" w:rsidP="005A10B5">
      <w:pPr>
        <w:rPr>
          <w:rFonts w:ascii="Aptos" w:hAnsi="Aptos"/>
          <w:lang w:val="fr-FR"/>
        </w:rPr>
      </w:pPr>
      <w:r w:rsidRPr="00FA3280">
        <w:rPr>
          <w:rFonts w:ascii="Aptos" w:hAnsi="Aptos"/>
          <w:lang w:val="fr-FR"/>
        </w:rPr>
        <w:t>Plusieurs Parties ont souligné la difficulté liée à l’établissement de rapports sur l’indicateur principal 5.1 (proportion de stocks halieutiques se situant à des niveaux biologiquement durables) en raison de l’absence de suivi fiable des pêcheries, et du fait qu’elles s’appuient sur des organismes régionaux de pêche ou des organisations internationales pour évaluer la durabilité des stocks. Malgré cela, plus d’un quart (27</w:t>
      </w:r>
      <w:r w:rsidR="002878D7">
        <w:rPr>
          <w:rFonts w:ascii="Aptos" w:hAnsi="Aptos"/>
          <w:lang w:val="fr-FR"/>
        </w:rPr>
        <w:t> %</w:t>
      </w:r>
      <w:r w:rsidRPr="00FA3280">
        <w:rPr>
          <w:rFonts w:ascii="Aptos" w:hAnsi="Aptos"/>
          <w:lang w:val="fr-FR"/>
        </w:rPr>
        <w:t>) des Parties dont les rapports nationaux étaient disponibles pour analyse ont fourni des données relatives à cet indicateur (voir tableau 13). Ces données, qui représentent environ 19</w:t>
      </w:r>
      <w:r w:rsidR="002878D7">
        <w:rPr>
          <w:rFonts w:ascii="Aptos" w:hAnsi="Aptos"/>
          <w:lang w:val="fr-FR"/>
        </w:rPr>
        <w:t> %</w:t>
      </w:r>
      <w:r w:rsidRPr="00FA3280">
        <w:rPr>
          <w:rFonts w:ascii="Aptos" w:hAnsi="Aptos"/>
          <w:lang w:val="fr-FR"/>
        </w:rPr>
        <w:t xml:space="preserve"> de la pêche de capture pour l’ensemble des Parties et dans lesquelles les Parties du Groupe des États d’Europe occidentale et autres États sont surreprésentées, montrent une tendance collective à l’amélioration de la durabilité des stocks halieutiques entre 2020 et 2025 (voir Figure 24). De nombreuses Parties établissent toutefois régulièrement des rapports sur les données nationales à la FAO au titre de l’indicateur 14.4.1 des Objectifs de développement durable, relatif à l’état des stocks halieutiques (FAO, 2026). Les données montrent que la proportion de stocks halieutiques évalués se situant à des niveaux biologiquement durables a considérablement diminué au cours des décennies précédentes, passant de 90</w:t>
      </w:r>
      <w:r w:rsidR="002878D7">
        <w:rPr>
          <w:rFonts w:ascii="Aptos" w:hAnsi="Aptos"/>
          <w:lang w:val="fr-FR"/>
        </w:rPr>
        <w:t> %</w:t>
      </w:r>
      <w:r w:rsidRPr="00FA3280">
        <w:rPr>
          <w:rFonts w:ascii="Aptos" w:hAnsi="Aptos"/>
          <w:lang w:val="fr-FR"/>
        </w:rPr>
        <w:t xml:space="preserve"> en 1974 à 65</w:t>
      </w:r>
      <w:r w:rsidR="002878D7">
        <w:rPr>
          <w:rFonts w:ascii="Aptos" w:hAnsi="Aptos"/>
          <w:lang w:val="fr-FR"/>
        </w:rPr>
        <w:t> %</w:t>
      </w:r>
      <w:r w:rsidRPr="00FA3280">
        <w:rPr>
          <w:rFonts w:ascii="Aptos" w:hAnsi="Aptos"/>
          <w:lang w:val="fr-FR"/>
        </w:rPr>
        <w:t xml:space="preserve"> en 2021, puis à 63</w:t>
      </w:r>
      <w:r w:rsidR="002878D7">
        <w:rPr>
          <w:rFonts w:ascii="Aptos" w:hAnsi="Aptos"/>
          <w:lang w:val="fr-FR"/>
        </w:rPr>
        <w:t> %</w:t>
      </w:r>
      <w:r w:rsidRPr="00FA3280">
        <w:rPr>
          <w:rFonts w:ascii="Aptos" w:hAnsi="Aptos"/>
          <w:lang w:val="fr-FR"/>
        </w:rPr>
        <w:t xml:space="preserve"> en 2023, mais le rythme de ce déclin semble s’être ralenti ces dernières années.</w:t>
      </w:r>
    </w:p>
    <w:p w14:paraId="6A22A7DE" w14:textId="46A8B446" w:rsidR="00743CB7" w:rsidRPr="00653BF4" w:rsidRDefault="0071002F" w:rsidP="00743CB7">
      <w:pPr>
        <w:rPr>
          <w:rFonts w:ascii="Aptos" w:hAnsi="Aptos"/>
          <w:lang w:val="fr-FR"/>
        </w:rPr>
      </w:pPr>
      <w:r w:rsidRPr="0071002F">
        <w:rPr>
          <w:rFonts w:ascii="Aptos" w:hAnsi="Aptos"/>
          <w:lang w:val="fr-FR"/>
        </w:rPr>
        <w:t xml:space="preserve">La majorité des Parties déclarent, par le biais de l’indicateur binaire relatif à la </w:t>
      </w:r>
      <w:r w:rsidR="00E34DC9">
        <w:rPr>
          <w:rFonts w:ascii="Aptos" w:hAnsi="Aptos"/>
          <w:lang w:val="fr-FR"/>
        </w:rPr>
        <w:t>cible 5</w:t>
      </w:r>
      <w:r w:rsidRPr="0071002F">
        <w:rPr>
          <w:rFonts w:ascii="Aptos" w:hAnsi="Aptos"/>
          <w:lang w:val="fr-FR"/>
        </w:rPr>
        <w:t>, que les instruments juridiques et les cadres politiques visant à réglementer le commerce des espèces sauvages sont pleinement en place (voir la figure 25). Si les espèces d’eau douce et marines sont moins bien représentées dans ces politiques, celles-ci portent presque toutes sur les espèces terrestres et le commerce international. Ces résultats témoignent de progrès significatifs dans la mise en place d’un environnement propice à la réglementation du commerce des espèces sauvages.</w:t>
      </w:r>
      <w:r w:rsidR="00743CB7" w:rsidRPr="00653BF4">
        <w:rPr>
          <w:rFonts w:ascii="Aptos" w:hAnsi="Aptos"/>
          <w:lang w:val="fr-FR"/>
        </w:rPr>
        <w:t xml:space="preserve"> </w:t>
      </w:r>
    </w:p>
    <w:p w14:paraId="2B1F835B" w14:textId="00100F3E" w:rsidR="002E1EDB" w:rsidRPr="00653BF4" w:rsidRDefault="005D5266" w:rsidP="00743CB7">
      <w:pPr>
        <w:pStyle w:val="Caption"/>
        <w:rPr>
          <w:rFonts w:ascii="Aptos" w:hAnsi="Aptos"/>
          <w:lang w:val="fr-FR"/>
        </w:rPr>
      </w:pPr>
      <w:r w:rsidRPr="005D5266">
        <w:rPr>
          <w:rFonts w:ascii="Aptos" w:hAnsi="Aptos"/>
          <w:i w:val="0"/>
          <w:sz w:val="24"/>
          <w:szCs w:val="24"/>
          <w:lang w:val="fr-FR"/>
        </w:rPr>
        <w:t xml:space="preserve">Lorsque l'on examine l'ensemble des indicateurs quantitatifs présentés pour la </w:t>
      </w:r>
      <w:r w:rsidR="00E34DC9">
        <w:rPr>
          <w:rFonts w:ascii="Aptos" w:hAnsi="Aptos"/>
          <w:i w:val="0"/>
          <w:sz w:val="24"/>
          <w:szCs w:val="24"/>
          <w:lang w:val="fr-FR"/>
        </w:rPr>
        <w:t>cible 5</w:t>
      </w:r>
      <w:r w:rsidRPr="005D5266">
        <w:rPr>
          <w:rFonts w:ascii="Aptos" w:hAnsi="Aptos"/>
          <w:i w:val="0"/>
          <w:sz w:val="24"/>
          <w:szCs w:val="24"/>
          <w:lang w:val="fr-FR"/>
        </w:rPr>
        <w:t>, 33</w:t>
      </w:r>
      <w:r w:rsidR="002878D7">
        <w:rPr>
          <w:rFonts w:ascii="Aptos" w:hAnsi="Aptos"/>
          <w:i w:val="0"/>
          <w:sz w:val="24"/>
          <w:szCs w:val="24"/>
          <w:lang w:val="fr-FR"/>
        </w:rPr>
        <w:t> %</w:t>
      </w:r>
      <w:r w:rsidRPr="005D5266">
        <w:rPr>
          <w:rFonts w:ascii="Aptos" w:hAnsi="Aptos"/>
          <w:i w:val="0"/>
          <w:sz w:val="24"/>
          <w:szCs w:val="24"/>
          <w:lang w:val="fr-FR"/>
        </w:rPr>
        <w:t xml:space="preserve"> d'entre eux affichent des tendances positives, contre 17</w:t>
      </w:r>
      <w:r w:rsidR="002878D7">
        <w:rPr>
          <w:rFonts w:ascii="Aptos" w:hAnsi="Aptos"/>
          <w:i w:val="0"/>
          <w:sz w:val="24"/>
          <w:szCs w:val="24"/>
          <w:lang w:val="fr-FR"/>
        </w:rPr>
        <w:t> %</w:t>
      </w:r>
      <w:r w:rsidRPr="005D5266">
        <w:rPr>
          <w:rFonts w:ascii="Aptos" w:hAnsi="Aptos"/>
          <w:i w:val="0"/>
          <w:sz w:val="24"/>
          <w:szCs w:val="24"/>
          <w:lang w:val="fr-FR"/>
        </w:rPr>
        <w:t xml:space="preserve"> qui affichent des tendances négatives (voir la figure 26).</w:t>
      </w:r>
    </w:p>
    <w:p w14:paraId="4C64BD2A" w14:textId="53D5CBF2" w:rsidR="007F32EC" w:rsidRPr="00653BF4" w:rsidRDefault="005D5266" w:rsidP="007F32EC">
      <w:pPr>
        <w:rPr>
          <w:rFonts w:ascii="Aptos" w:hAnsi="Aptos"/>
          <w:lang w:val="fr-FR"/>
        </w:rPr>
      </w:pPr>
      <w:r w:rsidRPr="005D5266">
        <w:rPr>
          <w:rFonts w:ascii="Aptos" w:hAnsi="Aptos"/>
          <w:lang w:val="fr-FR"/>
        </w:rPr>
        <w:t xml:space="preserve">Bien que ces résultats laissent entrevoir certains progrès dans la mise en œuvre de la </w:t>
      </w:r>
      <w:r w:rsidR="00E34DC9">
        <w:rPr>
          <w:rFonts w:ascii="Aptos" w:hAnsi="Aptos"/>
          <w:lang w:val="fr-FR"/>
        </w:rPr>
        <w:t>cible 5</w:t>
      </w:r>
      <w:r w:rsidRPr="005D5266">
        <w:rPr>
          <w:rFonts w:ascii="Aptos" w:hAnsi="Aptos"/>
          <w:lang w:val="fr-FR"/>
        </w:rPr>
        <w:t xml:space="preserve">, aucun des indicateurs nationaux présentés par les Parties ne porte sur le risque de </w:t>
      </w:r>
      <w:r w:rsidRPr="005D5266">
        <w:rPr>
          <w:rFonts w:ascii="Aptos" w:hAnsi="Aptos"/>
          <w:lang w:val="fr-FR"/>
        </w:rPr>
        <w:lastRenderedPageBreak/>
        <w:t xml:space="preserve">zoonoses ni sur la protection de l’utilisation coutumière et durable, ce qui révèle une lacune potentielle dans le suivi des progrès réalisés </w:t>
      </w:r>
      <w:r w:rsidR="00A10F56">
        <w:rPr>
          <w:rFonts w:ascii="Aptos" w:hAnsi="Aptos"/>
          <w:lang w:val="fr-FR"/>
        </w:rPr>
        <w:t>vers</w:t>
      </w:r>
      <w:r w:rsidRPr="005D5266">
        <w:rPr>
          <w:rFonts w:ascii="Aptos" w:hAnsi="Aptos"/>
          <w:lang w:val="fr-FR"/>
        </w:rPr>
        <w:t xml:space="preserve"> certains éléments de la cible.</w:t>
      </w:r>
    </w:p>
    <w:p w14:paraId="0559CFCA" w14:textId="77777777" w:rsidR="00110280" w:rsidRPr="00653BF4" w:rsidRDefault="00110280" w:rsidP="009F0402">
      <w:pPr>
        <w:rPr>
          <w:rFonts w:ascii="Aptos" w:hAnsi="Aptos"/>
          <w:lang w:val="fr-FR"/>
        </w:rPr>
      </w:pPr>
    </w:p>
    <w:p w14:paraId="76FE3EA3" w14:textId="0C2D7798" w:rsidR="001641F0" w:rsidRPr="00653BF4" w:rsidRDefault="001641F0" w:rsidP="009F0402">
      <w:pPr>
        <w:rPr>
          <w:rFonts w:ascii="Arial" w:hAnsi="Arial" w:cs="Arial"/>
          <w:sz w:val="20"/>
          <w:szCs w:val="20"/>
          <w:lang w:val="fr-FR"/>
        </w:rPr>
      </w:pPr>
      <w:r w:rsidRPr="00653BF4">
        <w:rPr>
          <w:rFonts w:ascii="Aptos" w:hAnsi="Aptos"/>
          <w:sz w:val="20"/>
          <w:szCs w:val="20"/>
          <w:lang w:val="fr-FR"/>
        </w:rPr>
        <w:t xml:space="preserve">Figure 24 </w:t>
      </w:r>
      <w:r w:rsidRPr="00653BF4">
        <w:rPr>
          <w:rFonts w:ascii="Arial" w:hAnsi="Arial" w:cs="Arial"/>
          <w:sz w:val="20"/>
          <w:szCs w:val="20"/>
          <w:lang w:val="fr-FR"/>
        </w:rPr>
        <w:t> </w:t>
      </w:r>
    </w:p>
    <w:p w14:paraId="7951CBB9" w14:textId="794F5932" w:rsidR="001641F0" w:rsidRDefault="005D5266" w:rsidP="009F0402">
      <w:pPr>
        <w:rPr>
          <w:rFonts w:ascii="Aptos" w:hAnsi="Aptos"/>
          <w:b/>
          <w:bCs/>
          <w:sz w:val="20"/>
          <w:szCs w:val="20"/>
          <w:lang w:val="fr-FR"/>
        </w:rPr>
      </w:pPr>
      <w:r>
        <w:rPr>
          <w:rFonts w:ascii="Aptos" w:hAnsi="Aptos"/>
          <w:b/>
          <w:bCs/>
          <w:sz w:val="20"/>
          <w:szCs w:val="20"/>
          <w:lang w:val="fr-FR"/>
        </w:rPr>
        <w:t>Indicateur principal</w:t>
      </w:r>
      <w:r w:rsidR="001641F0" w:rsidRPr="00653BF4">
        <w:rPr>
          <w:rFonts w:ascii="Aptos" w:hAnsi="Aptos"/>
          <w:b/>
          <w:bCs/>
          <w:sz w:val="20"/>
          <w:szCs w:val="20"/>
          <w:lang w:val="fr-FR"/>
        </w:rPr>
        <w:t xml:space="preserve"> 5.1</w:t>
      </w:r>
      <w:r w:rsidR="00E34DC9">
        <w:rPr>
          <w:rFonts w:ascii="Aptos" w:hAnsi="Aptos"/>
          <w:b/>
          <w:bCs/>
          <w:sz w:val="20"/>
          <w:szCs w:val="20"/>
          <w:lang w:val="fr-FR"/>
        </w:rPr>
        <w:t> :</w:t>
      </w:r>
      <w:r w:rsidR="001641F0" w:rsidRPr="00653BF4">
        <w:rPr>
          <w:rFonts w:ascii="Aptos" w:hAnsi="Aptos"/>
          <w:b/>
          <w:bCs/>
          <w:sz w:val="20"/>
          <w:szCs w:val="20"/>
          <w:lang w:val="fr-FR"/>
        </w:rPr>
        <w:t xml:space="preserve"> </w:t>
      </w:r>
      <w:r w:rsidR="00F03231" w:rsidRPr="00F03231">
        <w:rPr>
          <w:rFonts w:ascii="Aptos" w:hAnsi="Aptos"/>
          <w:b/>
          <w:bCs/>
          <w:sz w:val="20"/>
          <w:szCs w:val="20"/>
          <w:lang w:val="fr-FR"/>
        </w:rPr>
        <w:t>proportion des stocks halieutiques se situant à des niveaux biologiquement durables</w:t>
      </w:r>
      <w:r w:rsidR="001641F0" w:rsidRPr="00653BF4">
        <w:rPr>
          <w:rFonts w:ascii="Aptos" w:hAnsi="Aptos"/>
          <w:b/>
          <w:bCs/>
          <w:sz w:val="20"/>
          <w:szCs w:val="20"/>
          <w:lang w:val="fr-FR"/>
        </w:rPr>
        <w:t> </w:t>
      </w:r>
    </w:p>
    <w:p w14:paraId="724E4725" w14:textId="088CBBDB" w:rsidR="00D559FF" w:rsidRPr="00653BF4" w:rsidRDefault="009F0402" w:rsidP="008E7C15">
      <w:pPr>
        <w:pStyle w:val="Caption"/>
        <w:rPr>
          <w:lang w:val="fr-FR"/>
        </w:rPr>
      </w:pPr>
      <w:bookmarkStart w:id="137" w:name="_Ref230620102"/>
      <w:r w:rsidRPr="00653BF4">
        <w:rPr>
          <w:noProof/>
          <w:lang w:val="fr-FR"/>
        </w:rPr>
        <w:drawing>
          <wp:inline distT="0" distB="0" distL="0" distR="0" wp14:anchorId="6282A76A" wp14:editId="5BCD50D2">
            <wp:extent cx="4529271" cy="3408264"/>
            <wp:effectExtent l="0" t="0" r="5080" b="0"/>
            <wp:docPr id="188829975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549337" cy="3423364"/>
                    </a:xfrm>
                    <a:prstGeom prst="rect">
                      <a:avLst/>
                    </a:prstGeom>
                    <a:noFill/>
                    <a:ln>
                      <a:noFill/>
                    </a:ln>
                  </pic:spPr>
                </pic:pic>
              </a:graphicData>
            </a:graphic>
          </wp:inline>
        </w:drawing>
      </w:r>
    </w:p>
    <w:bookmarkEnd w:id="137"/>
    <w:p w14:paraId="0D3865EA" w14:textId="7BC5FD24" w:rsidR="00184A41" w:rsidRPr="00653BF4" w:rsidRDefault="006A631C" w:rsidP="00184A41">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00184A41" w:rsidRPr="00653BF4">
        <w:rPr>
          <w:rFonts w:ascii="Aptos" w:hAnsi="Aptos"/>
          <w:i w:val="0"/>
          <w:iCs w:val="0"/>
          <w:lang w:val="fr-FR"/>
        </w:rPr>
        <w:t xml:space="preserve"> </w:t>
      </w:r>
      <w:r w:rsidR="00702951" w:rsidRPr="00653BF4">
        <w:rPr>
          <w:rFonts w:ascii="Aptos" w:hAnsi="Aptos"/>
          <w:i w:val="0"/>
          <w:iCs w:val="0"/>
          <w:lang w:val="fr-FR"/>
        </w:rPr>
        <w:t xml:space="preserve">Les valeurs des indicateurs correspondent à la moyenne générale et à l’écart interquartile des données communiquées chaque année par les Parties. </w:t>
      </w:r>
      <w:r w:rsidR="00976E86" w:rsidRPr="00653BF4">
        <w:rPr>
          <w:rFonts w:ascii="Aptos" w:hAnsi="Aptos"/>
          <w:i w:val="0"/>
          <w:iCs w:val="0"/>
          <w:lang w:val="fr-FR"/>
        </w:rPr>
        <w:t>Le diagramme à barres de droite présente la répartition, par région, des Parties ayant communiqué des indicateurs.</w:t>
      </w:r>
      <w:r w:rsidR="00FB0BBA" w:rsidRPr="00653BF4">
        <w:rPr>
          <w:rFonts w:ascii="Aptos" w:hAnsi="Aptos"/>
          <w:i w:val="0"/>
          <w:iCs w:val="0"/>
          <w:lang w:val="fr-FR"/>
        </w:rPr>
        <w:t xml:space="preserve"> La couleur de chaque région est indiquée dans la légende de la figure</w:t>
      </w:r>
      <w:r w:rsidR="00E34DC9">
        <w:rPr>
          <w:rFonts w:ascii="Aptos" w:hAnsi="Aptos"/>
          <w:i w:val="0"/>
          <w:iCs w:val="0"/>
          <w:lang w:val="fr-FR"/>
        </w:rPr>
        <w:t> :</w:t>
      </w:r>
      <w:r w:rsidR="00FB0BBA"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FB0BBA" w:rsidRPr="00653BF4">
        <w:rPr>
          <w:rFonts w:ascii="Aptos" w:hAnsi="Aptos"/>
          <w:i w:val="0"/>
          <w:iCs w:val="0"/>
          <w:lang w:val="fr-FR"/>
        </w:rPr>
        <w:t xml:space="preserve"> les tons plus clairs, la proportion de Parties de la même région dont les données n’y figurent pas. </w:t>
      </w:r>
      <w:r w:rsidR="00B13487" w:rsidRPr="00653BF4">
        <w:rPr>
          <w:rFonts w:ascii="Aptos" w:hAnsi="Aptos" w:cs="Arial"/>
          <w:i w:val="0"/>
          <w:iCs w:val="0"/>
          <w:lang w:val="fr-FR"/>
        </w:rPr>
        <w:t>Le diagramme circulaire indique, en gris foncé, la part des prises mondiales de poissons réalisée par les Parties ayant présenté des données.</w:t>
      </w:r>
    </w:p>
    <w:p w14:paraId="1938E224" w14:textId="77777777" w:rsidR="00DD6272" w:rsidRPr="00653BF4" w:rsidRDefault="009F0402" w:rsidP="003B65B3">
      <w:pPr>
        <w:rPr>
          <w:rFonts w:ascii="Aptos" w:hAnsi="Aptos"/>
          <w:lang w:val="fr-FR"/>
        </w:rPr>
      </w:pPr>
      <w:r w:rsidRPr="00653BF4">
        <w:rPr>
          <w:rFonts w:ascii="Aptos" w:hAnsi="Aptos"/>
          <w:lang w:val="fr-FR"/>
        </w:rPr>
        <w:t> </w:t>
      </w:r>
    </w:p>
    <w:tbl>
      <w:tblPr>
        <w:tblStyle w:val="TableGrid"/>
        <w:tblW w:w="9067" w:type="dxa"/>
        <w:tblLook w:val="04A0" w:firstRow="1" w:lastRow="0" w:firstColumn="1" w:lastColumn="0" w:noHBand="0" w:noVBand="1"/>
      </w:tblPr>
      <w:tblGrid>
        <w:gridCol w:w="4248"/>
        <w:gridCol w:w="4819"/>
      </w:tblGrid>
      <w:tr w:rsidR="00DD6272" w:rsidRPr="004E0525" w14:paraId="0B385E38" w14:textId="77777777" w:rsidTr="009B4355">
        <w:tc>
          <w:tcPr>
            <w:tcW w:w="9067" w:type="dxa"/>
            <w:gridSpan w:val="2"/>
          </w:tcPr>
          <w:p w14:paraId="3648357A" w14:textId="77777777" w:rsidR="00DD6272" w:rsidRPr="004E0525" w:rsidRDefault="00DD6272" w:rsidP="009B4355">
            <w:pPr>
              <w:rPr>
                <w:rFonts w:ascii="Aptos" w:hAnsi="Aptos"/>
              </w:rPr>
            </w:pPr>
            <w:r>
              <w:rPr>
                <w:rFonts w:ascii="Aptos" w:hAnsi="Aptos"/>
              </w:rPr>
              <w:t>Figure 24</w:t>
            </w:r>
          </w:p>
        </w:tc>
      </w:tr>
      <w:tr w:rsidR="00DD6272" w:rsidRPr="004E0525" w14:paraId="68DD8604" w14:textId="77777777" w:rsidTr="009B4355">
        <w:tc>
          <w:tcPr>
            <w:tcW w:w="4248" w:type="dxa"/>
          </w:tcPr>
          <w:p w14:paraId="0C83361B" w14:textId="77777777" w:rsidR="00DD6272" w:rsidRPr="004E0525" w:rsidRDefault="00DD6272" w:rsidP="009B4355">
            <w:pPr>
              <w:rPr>
                <w:rFonts w:ascii="Aptos" w:hAnsi="Aptos"/>
              </w:rPr>
            </w:pPr>
            <w:r w:rsidRPr="004E0525">
              <w:rPr>
                <w:rFonts w:ascii="Aptos" w:hAnsi="Aptos"/>
              </w:rPr>
              <w:t xml:space="preserve">English </w:t>
            </w:r>
          </w:p>
        </w:tc>
        <w:tc>
          <w:tcPr>
            <w:tcW w:w="4819" w:type="dxa"/>
          </w:tcPr>
          <w:p w14:paraId="20BF6049" w14:textId="77777777" w:rsidR="00DD6272" w:rsidRPr="004E0525" w:rsidRDefault="00DD6272" w:rsidP="009B4355">
            <w:pPr>
              <w:rPr>
                <w:rFonts w:ascii="Aptos" w:hAnsi="Aptos"/>
              </w:rPr>
            </w:pPr>
            <w:r>
              <w:rPr>
                <w:rFonts w:ascii="Aptos" w:hAnsi="Aptos"/>
              </w:rPr>
              <w:t>Français</w:t>
            </w:r>
          </w:p>
        </w:tc>
      </w:tr>
      <w:tr w:rsidR="00DD6272" w:rsidRPr="003A6336" w14:paraId="09D97D0F" w14:textId="77777777" w:rsidTr="009B4355">
        <w:tc>
          <w:tcPr>
            <w:tcW w:w="4248" w:type="dxa"/>
          </w:tcPr>
          <w:p w14:paraId="156B3BD2" w14:textId="77777777" w:rsidR="00DD6272" w:rsidRPr="003A6336" w:rsidRDefault="00DD6272" w:rsidP="009B4355">
            <w:pPr>
              <w:rPr>
                <w:rFonts w:ascii="Aptos" w:hAnsi="Aptos"/>
              </w:rPr>
            </w:pPr>
            <w:r w:rsidRPr="6D03A27B">
              <w:rPr>
                <w:rFonts w:ascii="Aptos" w:hAnsi="Aptos"/>
              </w:rPr>
              <w:t>Stocks within biologically sustainable levels (percentage)</w:t>
            </w:r>
          </w:p>
        </w:tc>
        <w:tc>
          <w:tcPr>
            <w:tcW w:w="4819" w:type="dxa"/>
          </w:tcPr>
          <w:p w14:paraId="4DE29E23" w14:textId="77777777" w:rsidR="00DD6272" w:rsidRPr="009644EA" w:rsidRDefault="00DD6272" w:rsidP="009B4355">
            <w:pPr>
              <w:rPr>
                <w:rFonts w:ascii="Aptos" w:hAnsi="Aptos"/>
                <w:lang w:val="fr-FR"/>
              </w:rPr>
            </w:pPr>
            <w:r w:rsidRPr="009644EA">
              <w:rPr>
                <w:rFonts w:ascii="Aptos" w:hAnsi="Aptos"/>
                <w:lang w:val="fr-FR"/>
              </w:rPr>
              <w:t>Stocks se situant dans des limites biologiquement durables (pourcentage)</w:t>
            </w:r>
          </w:p>
        </w:tc>
      </w:tr>
      <w:tr w:rsidR="00DD6272" w:rsidRPr="003A6336" w14:paraId="275F6065" w14:textId="77777777" w:rsidTr="009B4355">
        <w:tc>
          <w:tcPr>
            <w:tcW w:w="4248" w:type="dxa"/>
          </w:tcPr>
          <w:p w14:paraId="779F61D7" w14:textId="77777777" w:rsidR="00DD6272" w:rsidRPr="003A6336" w:rsidRDefault="00DD6272" w:rsidP="009B4355">
            <w:pPr>
              <w:rPr>
                <w:rFonts w:ascii="Aptos" w:hAnsi="Aptos"/>
              </w:rPr>
            </w:pPr>
            <w:r w:rsidRPr="003A6336">
              <w:rPr>
                <w:rFonts w:ascii="Aptos" w:hAnsi="Aptos"/>
              </w:rPr>
              <w:t>Year</w:t>
            </w:r>
          </w:p>
        </w:tc>
        <w:tc>
          <w:tcPr>
            <w:tcW w:w="4819" w:type="dxa"/>
          </w:tcPr>
          <w:p w14:paraId="38797A8E" w14:textId="77777777" w:rsidR="00DD6272" w:rsidRPr="009644EA" w:rsidRDefault="00DD6272" w:rsidP="009B4355">
            <w:pPr>
              <w:rPr>
                <w:rFonts w:ascii="Aptos" w:hAnsi="Aptos"/>
                <w:lang w:val="fr-FR"/>
              </w:rPr>
            </w:pPr>
            <w:r w:rsidRPr="009644EA">
              <w:rPr>
                <w:rFonts w:ascii="Aptos" w:hAnsi="Aptos"/>
                <w:lang w:val="fr-FR"/>
              </w:rPr>
              <w:t>Année</w:t>
            </w:r>
          </w:p>
        </w:tc>
      </w:tr>
      <w:tr w:rsidR="00DD6272" w:rsidRPr="003A6336" w14:paraId="2657113A" w14:textId="77777777" w:rsidTr="009B4355">
        <w:tc>
          <w:tcPr>
            <w:tcW w:w="4248" w:type="dxa"/>
          </w:tcPr>
          <w:p w14:paraId="1101CF1F" w14:textId="77777777" w:rsidR="00DD6272" w:rsidRPr="003A6336" w:rsidRDefault="00DD6272" w:rsidP="009B4355">
            <w:pPr>
              <w:rPr>
                <w:rFonts w:ascii="Aptos" w:hAnsi="Aptos"/>
              </w:rPr>
            </w:pPr>
            <w:r w:rsidRPr="003A6336">
              <w:rPr>
                <w:rFonts w:ascii="Aptos" w:hAnsi="Aptos"/>
              </w:rPr>
              <w:t>Party Count: 20</w:t>
            </w:r>
          </w:p>
        </w:tc>
        <w:tc>
          <w:tcPr>
            <w:tcW w:w="4819" w:type="dxa"/>
          </w:tcPr>
          <w:p w14:paraId="0D73963B" w14:textId="77777777" w:rsidR="00DD6272" w:rsidRPr="005631EC" w:rsidRDefault="00DD6272" w:rsidP="009B4355">
            <w:pPr>
              <w:rPr>
                <w:rFonts w:ascii="Aptos" w:hAnsi="Aptos"/>
                <w:lang w:val="fr-FR"/>
              </w:rPr>
            </w:pPr>
            <w:r w:rsidRPr="005631EC">
              <w:rPr>
                <w:rFonts w:ascii="Aptos" w:hAnsi="Aptos"/>
                <w:lang w:val="fr-FR"/>
              </w:rPr>
              <w:t>Nombre de Parties : 20</w:t>
            </w:r>
          </w:p>
        </w:tc>
      </w:tr>
      <w:tr w:rsidR="00DD6272" w:rsidRPr="003A6336" w14:paraId="46F836A8" w14:textId="77777777" w:rsidTr="009B4355">
        <w:tc>
          <w:tcPr>
            <w:tcW w:w="4248" w:type="dxa"/>
          </w:tcPr>
          <w:p w14:paraId="753CB5F5" w14:textId="77777777" w:rsidR="00DD6272" w:rsidRPr="003A6336" w:rsidRDefault="00DD6272" w:rsidP="009B4355">
            <w:pPr>
              <w:rPr>
                <w:rFonts w:ascii="Aptos" w:hAnsi="Aptos"/>
              </w:rPr>
            </w:pPr>
            <w:r w:rsidRPr="003A6336">
              <w:rPr>
                <w:rFonts w:ascii="Aptos" w:hAnsi="Aptos"/>
              </w:rPr>
              <w:t>Share of Parties</w:t>
            </w:r>
            <w:r>
              <w:rPr>
                <w:rFonts w:ascii="Aptos" w:hAnsi="Aptos"/>
              </w:rPr>
              <w:t>’</w:t>
            </w:r>
            <w:r w:rsidRPr="003A6336">
              <w:rPr>
                <w:rFonts w:ascii="Aptos" w:hAnsi="Aptos"/>
              </w:rPr>
              <w:t xml:space="preserve"> catch</w:t>
            </w:r>
          </w:p>
        </w:tc>
        <w:tc>
          <w:tcPr>
            <w:tcW w:w="4819" w:type="dxa"/>
          </w:tcPr>
          <w:p w14:paraId="351D7AAE" w14:textId="77777777" w:rsidR="00DD6272" w:rsidRPr="005631EC" w:rsidRDefault="00DD6272" w:rsidP="009B4355">
            <w:pPr>
              <w:rPr>
                <w:rFonts w:ascii="Aptos" w:hAnsi="Aptos"/>
                <w:lang w:val="fr-FR"/>
              </w:rPr>
            </w:pPr>
            <w:r w:rsidRPr="005631EC">
              <w:rPr>
                <w:rFonts w:ascii="Aptos" w:hAnsi="Aptos"/>
                <w:lang w:val="fr-FR"/>
              </w:rPr>
              <w:t xml:space="preserve">Part des prises des </w:t>
            </w:r>
            <w:r>
              <w:rPr>
                <w:rFonts w:ascii="Aptos" w:hAnsi="Aptos"/>
                <w:lang w:val="fr-FR"/>
              </w:rPr>
              <w:t>P</w:t>
            </w:r>
            <w:r w:rsidRPr="005631EC">
              <w:rPr>
                <w:rFonts w:ascii="Aptos" w:hAnsi="Aptos"/>
                <w:lang w:val="fr-FR"/>
              </w:rPr>
              <w:t>arties</w:t>
            </w:r>
          </w:p>
        </w:tc>
      </w:tr>
      <w:tr w:rsidR="00DD6272" w:rsidRPr="003A6336" w14:paraId="4C9C8825" w14:textId="77777777" w:rsidTr="009B4355">
        <w:tc>
          <w:tcPr>
            <w:tcW w:w="4248" w:type="dxa"/>
          </w:tcPr>
          <w:p w14:paraId="3B55B5E1" w14:textId="77777777" w:rsidR="00DD6272" w:rsidRPr="003A6336" w:rsidRDefault="00DD6272" w:rsidP="009B4355">
            <w:pPr>
              <w:rPr>
                <w:rFonts w:ascii="Aptos" w:hAnsi="Aptos"/>
              </w:rPr>
            </w:pPr>
            <w:r w:rsidRPr="003A6336">
              <w:rPr>
                <w:rFonts w:ascii="Aptos" w:hAnsi="Aptos"/>
              </w:rPr>
              <w:t>Party count by region</w:t>
            </w:r>
          </w:p>
        </w:tc>
        <w:tc>
          <w:tcPr>
            <w:tcW w:w="4819" w:type="dxa"/>
          </w:tcPr>
          <w:p w14:paraId="622F5353" w14:textId="77777777" w:rsidR="00DD6272" w:rsidRPr="003A6336" w:rsidRDefault="00DD6272" w:rsidP="009B4355">
            <w:pPr>
              <w:rPr>
                <w:rFonts w:ascii="Aptos" w:hAnsi="Aptos"/>
              </w:rPr>
            </w:pPr>
            <w:r>
              <w:rPr>
                <w:rFonts w:ascii="Aptos" w:hAnsi="Aptos"/>
              </w:rPr>
              <w:t>Nombre de Parties par région</w:t>
            </w:r>
          </w:p>
        </w:tc>
      </w:tr>
      <w:tr w:rsidR="00DD6272" w:rsidRPr="003A6336" w14:paraId="11F8AF38" w14:textId="77777777" w:rsidTr="009B4355">
        <w:tc>
          <w:tcPr>
            <w:tcW w:w="4248" w:type="dxa"/>
          </w:tcPr>
          <w:p w14:paraId="2C1FC9FC" w14:textId="77777777" w:rsidR="00DD6272" w:rsidRPr="003A6336" w:rsidRDefault="00DD6272" w:rsidP="009B4355">
            <w:pPr>
              <w:rPr>
                <w:rFonts w:ascii="Aptos" w:hAnsi="Aptos"/>
              </w:rPr>
            </w:pPr>
            <w:r w:rsidRPr="003A6336">
              <w:rPr>
                <w:rFonts w:ascii="Aptos" w:hAnsi="Aptos"/>
              </w:rPr>
              <w:t>Region</w:t>
            </w:r>
          </w:p>
        </w:tc>
        <w:tc>
          <w:tcPr>
            <w:tcW w:w="4819" w:type="dxa"/>
          </w:tcPr>
          <w:p w14:paraId="5A949A84" w14:textId="77777777" w:rsidR="00DD6272" w:rsidRPr="003A6336" w:rsidRDefault="00DD6272" w:rsidP="009B4355">
            <w:pPr>
              <w:rPr>
                <w:rFonts w:ascii="Aptos" w:hAnsi="Aptos"/>
              </w:rPr>
            </w:pPr>
            <w:r w:rsidRPr="006F7AF8">
              <w:rPr>
                <w:rFonts w:ascii="Aptos" w:hAnsi="Aptos"/>
                <w:lang w:val="fr-FR"/>
              </w:rPr>
              <w:t>Région</w:t>
            </w:r>
          </w:p>
        </w:tc>
      </w:tr>
      <w:tr w:rsidR="00DD6272" w:rsidRPr="003A6336" w14:paraId="6EEA60C6" w14:textId="77777777" w:rsidTr="009B4355">
        <w:tc>
          <w:tcPr>
            <w:tcW w:w="4248" w:type="dxa"/>
          </w:tcPr>
          <w:p w14:paraId="0C66B517" w14:textId="77777777" w:rsidR="00DD6272" w:rsidRPr="003A6336" w:rsidRDefault="00DD6272" w:rsidP="009B4355">
            <w:pPr>
              <w:rPr>
                <w:rFonts w:ascii="Aptos" w:hAnsi="Aptos"/>
              </w:rPr>
            </w:pPr>
            <w:r w:rsidRPr="6D03A27B">
              <w:rPr>
                <w:rFonts w:ascii="Aptos" w:hAnsi="Aptos"/>
              </w:rPr>
              <w:lastRenderedPageBreak/>
              <w:t>African States</w:t>
            </w:r>
          </w:p>
        </w:tc>
        <w:tc>
          <w:tcPr>
            <w:tcW w:w="4819" w:type="dxa"/>
          </w:tcPr>
          <w:p w14:paraId="5B3DDA3E"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DD6272" w:rsidRPr="003A6336" w14:paraId="6952FF78" w14:textId="77777777" w:rsidTr="009B4355">
        <w:tc>
          <w:tcPr>
            <w:tcW w:w="4248" w:type="dxa"/>
          </w:tcPr>
          <w:p w14:paraId="308F8D7B" w14:textId="77777777" w:rsidR="00DD6272" w:rsidRPr="003A6336" w:rsidRDefault="00DD6272" w:rsidP="009B4355">
            <w:pPr>
              <w:rPr>
                <w:rFonts w:ascii="Aptos" w:hAnsi="Aptos"/>
              </w:rPr>
            </w:pPr>
            <w:r w:rsidRPr="6D03A27B">
              <w:rPr>
                <w:rFonts w:ascii="Aptos" w:hAnsi="Aptos"/>
              </w:rPr>
              <w:t>Asia-Pacific States</w:t>
            </w:r>
          </w:p>
        </w:tc>
        <w:tc>
          <w:tcPr>
            <w:tcW w:w="4819" w:type="dxa"/>
          </w:tcPr>
          <w:p w14:paraId="0E3383C6"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DD6272" w:rsidRPr="003A6336" w14:paraId="3C17342B" w14:textId="77777777" w:rsidTr="009B4355">
        <w:tc>
          <w:tcPr>
            <w:tcW w:w="4248" w:type="dxa"/>
          </w:tcPr>
          <w:p w14:paraId="301F95CE" w14:textId="77777777" w:rsidR="00DD6272" w:rsidRPr="003A6336" w:rsidRDefault="00DD6272" w:rsidP="009B4355">
            <w:pPr>
              <w:rPr>
                <w:rFonts w:ascii="Aptos" w:hAnsi="Aptos"/>
              </w:rPr>
            </w:pPr>
            <w:r w:rsidRPr="6D03A27B">
              <w:rPr>
                <w:rFonts w:ascii="Aptos" w:hAnsi="Aptos"/>
              </w:rPr>
              <w:t>Latin American and Caribbean States</w:t>
            </w:r>
          </w:p>
        </w:tc>
        <w:tc>
          <w:tcPr>
            <w:tcW w:w="4819" w:type="dxa"/>
          </w:tcPr>
          <w:p w14:paraId="46C2D94D"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DD6272" w:rsidRPr="003A6336" w14:paraId="6DF86B17" w14:textId="77777777" w:rsidTr="009B4355">
        <w:tc>
          <w:tcPr>
            <w:tcW w:w="4248" w:type="dxa"/>
          </w:tcPr>
          <w:p w14:paraId="61391D40" w14:textId="77777777" w:rsidR="00DD6272" w:rsidRPr="003A6336" w:rsidRDefault="00DD6272" w:rsidP="009B4355">
            <w:pPr>
              <w:rPr>
                <w:rFonts w:ascii="Aptos" w:hAnsi="Aptos"/>
              </w:rPr>
            </w:pPr>
            <w:r>
              <w:rPr>
                <w:rFonts w:ascii="Aptos" w:hAnsi="Aptos"/>
              </w:rPr>
              <w:t>Eastern</w:t>
            </w:r>
            <w:r w:rsidRPr="6D03A27B">
              <w:rPr>
                <w:rFonts w:ascii="Aptos" w:hAnsi="Aptos"/>
              </w:rPr>
              <w:t xml:space="preserve"> European States</w:t>
            </w:r>
          </w:p>
        </w:tc>
        <w:tc>
          <w:tcPr>
            <w:tcW w:w="4819" w:type="dxa"/>
          </w:tcPr>
          <w:p w14:paraId="672412F7"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DD6272" w:rsidRPr="003A6336" w14:paraId="5D4CEAED" w14:textId="77777777" w:rsidTr="009B4355">
        <w:tc>
          <w:tcPr>
            <w:tcW w:w="4248" w:type="dxa"/>
          </w:tcPr>
          <w:p w14:paraId="6E3137A1" w14:textId="77777777" w:rsidR="00DD6272" w:rsidRPr="003A6336" w:rsidRDefault="00DD6272" w:rsidP="009B4355">
            <w:pPr>
              <w:rPr>
                <w:rFonts w:ascii="Aptos" w:hAnsi="Aptos"/>
              </w:rPr>
            </w:pPr>
            <w:r w:rsidRPr="6D03A27B">
              <w:rPr>
                <w:rFonts w:ascii="Aptos" w:hAnsi="Aptos"/>
              </w:rPr>
              <w:t>Western European and other States</w:t>
            </w:r>
          </w:p>
        </w:tc>
        <w:tc>
          <w:tcPr>
            <w:tcW w:w="4819" w:type="dxa"/>
          </w:tcPr>
          <w:p w14:paraId="71301971"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57B2DD2" w14:textId="0658D6E6" w:rsidR="009F0402" w:rsidRPr="00653BF4" w:rsidRDefault="009F0402" w:rsidP="003B65B3">
      <w:pPr>
        <w:rPr>
          <w:rFonts w:ascii="Aptos" w:hAnsi="Aptos"/>
          <w:lang w:val="fr-FR"/>
        </w:rPr>
      </w:pPr>
    </w:p>
    <w:p w14:paraId="1D1DC775" w14:textId="7BFB7EDF" w:rsidR="00426226" w:rsidRPr="00653BF4" w:rsidRDefault="00426226" w:rsidP="003B65B3">
      <w:pPr>
        <w:rPr>
          <w:rFonts w:ascii="Aptos" w:hAnsi="Aptos"/>
          <w:sz w:val="20"/>
          <w:szCs w:val="20"/>
          <w:lang w:val="fr-FR"/>
        </w:rPr>
      </w:pPr>
      <w:bookmarkStart w:id="138" w:name="_Ref235781728"/>
      <w:r w:rsidRPr="00653BF4">
        <w:rPr>
          <w:rFonts w:ascii="Aptos" w:hAnsi="Aptos"/>
          <w:sz w:val="20"/>
          <w:szCs w:val="20"/>
          <w:lang w:val="fr-FR"/>
        </w:rPr>
        <w:t>Figure 25</w:t>
      </w:r>
      <w:bookmarkEnd w:id="138"/>
    </w:p>
    <w:p w14:paraId="459F584B" w14:textId="588F364F" w:rsidR="00426226" w:rsidRPr="00653BF4" w:rsidRDefault="007179C0" w:rsidP="003B65B3">
      <w:pPr>
        <w:rPr>
          <w:rFonts w:ascii="Aptos" w:hAnsi="Aptos"/>
          <w:b/>
          <w:bCs/>
          <w:sz w:val="20"/>
          <w:szCs w:val="20"/>
          <w:lang w:val="fr-FR"/>
        </w:rPr>
      </w:pPr>
      <w:r w:rsidRPr="007179C0">
        <w:rPr>
          <w:rFonts w:ascii="Aptos" w:hAnsi="Aptos"/>
          <w:b/>
          <w:bCs/>
          <w:sz w:val="20"/>
          <w:szCs w:val="20"/>
          <w:lang w:val="fr-FR"/>
        </w:rPr>
        <w:t>Indicateur binaire 5.b</w:t>
      </w:r>
      <w:r w:rsidR="00E34DC9">
        <w:rPr>
          <w:rFonts w:ascii="Aptos" w:hAnsi="Aptos"/>
          <w:b/>
          <w:bCs/>
          <w:sz w:val="20"/>
          <w:szCs w:val="20"/>
          <w:lang w:val="fr-FR"/>
        </w:rPr>
        <w:t> :</w:t>
      </w:r>
      <w:r w:rsidRPr="007179C0">
        <w:rPr>
          <w:rFonts w:ascii="Aptos" w:hAnsi="Aptos"/>
          <w:b/>
          <w:bCs/>
          <w:sz w:val="20"/>
          <w:szCs w:val="20"/>
          <w:lang w:val="fr-FR"/>
        </w:rPr>
        <w:t xml:space="preserve"> nombre de pays disposant d'instruments juridiques ou d'autres cadres politiques visant à réglementer le commerce des espèces sauvages</w:t>
      </w:r>
    </w:p>
    <w:p w14:paraId="60BE8AC3" w14:textId="081AF094" w:rsidR="00A8486E" w:rsidRPr="00653BF4" w:rsidRDefault="003B65B3" w:rsidP="008E7C15">
      <w:pPr>
        <w:pStyle w:val="Caption"/>
        <w:rPr>
          <w:lang w:val="fr-FR"/>
        </w:rPr>
      </w:pPr>
      <w:bookmarkStart w:id="139" w:name="_Ref231150989"/>
      <w:r w:rsidRPr="00653BF4">
        <w:rPr>
          <w:noProof/>
          <w:lang w:val="fr-FR"/>
          <w14:ligatures w14:val="standardContextual"/>
        </w:rPr>
        <w:drawing>
          <wp:inline distT="0" distB="0" distL="0" distR="0" wp14:anchorId="7623ECF9" wp14:editId="74E64D4D">
            <wp:extent cx="5943600" cy="2264410"/>
            <wp:effectExtent l="0" t="0" r="0" b="0"/>
            <wp:docPr id="32567494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74948" name="Picture 325674948"/>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31570E3B" w14:textId="49AD6A25" w:rsidR="005779EB" w:rsidRPr="00653BF4" w:rsidRDefault="006A631C" w:rsidP="005779EB">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005779EB" w:rsidRPr="00653BF4">
        <w:rPr>
          <w:rFonts w:ascii="Aptos" w:hAnsi="Aptos"/>
          <w:lang w:val="fr-FR"/>
        </w:rPr>
        <w:t xml:space="preserve"> </w:t>
      </w:r>
      <w:r w:rsidR="00414F59" w:rsidRPr="00653BF4">
        <w:rPr>
          <w:rFonts w:ascii="Aptos" w:hAnsi="Aptos"/>
          <w:i w:val="0"/>
          <w:iCs w:val="0"/>
          <w:lang w:val="fr-FR"/>
        </w:rPr>
        <w:t>La largeur des barres indique le pourcentage de Parties dans chaque catégorie de note, une note plus élevée correspondant à des progrès plus importants. Les notes sont établies d’après les réponses aux questions de l’indicateur</w:t>
      </w:r>
      <w:r w:rsidR="00414F59" w:rsidRPr="00653BF4">
        <w:rPr>
          <w:rFonts w:ascii="Aptos" w:hAnsi="Aptos"/>
          <w:i w:val="0"/>
          <w:iCs w:val="0"/>
          <w:vertAlign w:val="superscript"/>
          <w:lang w:val="fr-FR"/>
        </w:rPr>
        <w:t>a</w:t>
      </w:r>
      <w:r w:rsidR="00414F59" w:rsidRPr="00653BF4">
        <w:rPr>
          <w:rFonts w:ascii="Aptos" w:hAnsi="Aptos"/>
          <w:i w:val="0"/>
          <w:iCs w:val="0"/>
          <w:lang w:val="fr-FR"/>
        </w:rPr>
        <w:t>. Le diagramme circulaire représente la répartition par région des Parties ayant répondu à toutes les questions.</w:t>
      </w:r>
      <w:r w:rsidR="005779EB" w:rsidRPr="00653BF4">
        <w:rPr>
          <w:rFonts w:ascii="Aptos" w:hAnsi="Aptos"/>
          <w:i w:val="0"/>
          <w:iCs w:val="0"/>
          <w:lang w:val="fr-FR"/>
        </w:rPr>
        <w:t xml:space="preserve"> </w:t>
      </w:r>
      <w:r w:rsidR="00F05237" w:rsidRPr="00653BF4">
        <w:rPr>
          <w:rFonts w:ascii="Aptos" w:hAnsi="Aptos"/>
          <w:i w:val="0"/>
          <w:iCs w:val="0"/>
          <w:lang w:val="fr-FR"/>
        </w:rPr>
        <w:t>La couleur de chaque région est indiquée dans la légende de la figure</w:t>
      </w:r>
      <w:r w:rsidR="00E34DC9">
        <w:rPr>
          <w:rFonts w:ascii="Aptos" w:hAnsi="Aptos"/>
          <w:i w:val="0"/>
          <w:iCs w:val="0"/>
          <w:lang w:val="fr-FR"/>
        </w:rPr>
        <w:t> :</w:t>
      </w:r>
      <w:r w:rsidR="00F05237"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F05237" w:rsidRPr="00653BF4">
        <w:rPr>
          <w:rFonts w:ascii="Aptos" w:hAnsi="Aptos"/>
          <w:i w:val="0"/>
          <w:iCs w:val="0"/>
          <w:lang w:val="fr-FR"/>
        </w:rPr>
        <w:t xml:space="preserve"> les tons plus clairs, la proportion de Parties de la même région dont les données n’y figurent pas.</w:t>
      </w:r>
    </w:p>
    <w:p w14:paraId="73C9BF1A" w14:textId="4424D260" w:rsidR="005779EB" w:rsidRPr="00653BF4" w:rsidRDefault="005779EB" w:rsidP="005779EB">
      <w:pPr>
        <w:pStyle w:val="Caption"/>
        <w:rPr>
          <w:i w:val="0"/>
          <w:lang w:val="fr-FR"/>
        </w:rPr>
      </w:pPr>
      <w:r w:rsidRPr="00653BF4">
        <w:rPr>
          <w:i w:val="0"/>
          <w:iCs w:val="0"/>
          <w:vertAlign w:val="superscript"/>
          <w:lang w:val="fr-FR"/>
        </w:rPr>
        <w:t xml:space="preserve">a </w:t>
      </w:r>
      <w:r w:rsidR="00B57767" w:rsidRPr="00653BF4">
        <w:rPr>
          <w:i w:val="0"/>
          <w:iCs w:val="0"/>
          <w:lang w:val="fr-FR"/>
        </w:rPr>
        <w:t>La méthode de calcul des notes pour chaque indicateur binaire, ainsi que les questions associées à chaque indicateur, figurent dans le document </w:t>
      </w:r>
      <w:hyperlink r:id="rId86" w:history="1">
        <w:r w:rsidR="005058EA" w:rsidRPr="00653BF4">
          <w:rPr>
            <w:rStyle w:val="Hyperlink"/>
            <w:i w:val="0"/>
            <w:iCs w:val="0"/>
            <w:lang w:val="fr-FR"/>
          </w:rPr>
          <w:t>CBD/COP/16/INF/3/Rev.1</w:t>
        </w:r>
      </w:hyperlink>
      <w:r w:rsidR="005058EA" w:rsidRPr="00653BF4">
        <w:rPr>
          <w:i w:val="0"/>
          <w:iCs w:val="0"/>
          <w:lang w:val="fr-FR"/>
        </w:rPr>
        <w:t>.</w:t>
      </w:r>
    </w:p>
    <w:tbl>
      <w:tblPr>
        <w:tblStyle w:val="TableGrid"/>
        <w:tblW w:w="8870" w:type="dxa"/>
        <w:tblLook w:val="04A0" w:firstRow="1" w:lastRow="0" w:firstColumn="1" w:lastColumn="0" w:noHBand="0" w:noVBand="1"/>
      </w:tblPr>
      <w:tblGrid>
        <w:gridCol w:w="4188"/>
        <w:gridCol w:w="4673"/>
        <w:gridCol w:w="9"/>
      </w:tblGrid>
      <w:tr w:rsidR="00DD6272" w:rsidRPr="003A6336" w14:paraId="09D6CFA1" w14:textId="77777777" w:rsidTr="009B4355">
        <w:tc>
          <w:tcPr>
            <w:tcW w:w="8870" w:type="dxa"/>
            <w:gridSpan w:val="3"/>
          </w:tcPr>
          <w:p w14:paraId="21C125E0" w14:textId="77777777" w:rsidR="00DD6272" w:rsidRPr="00FE3C61" w:rsidRDefault="00DD6272" w:rsidP="009B4355">
            <w:pPr>
              <w:rPr>
                <w:rFonts w:ascii="Aptos" w:hAnsi="Aptos"/>
              </w:rPr>
            </w:pPr>
            <w:r>
              <w:rPr>
                <w:rFonts w:ascii="Aptos" w:hAnsi="Aptos"/>
              </w:rPr>
              <w:t>Figure 25</w:t>
            </w:r>
          </w:p>
        </w:tc>
      </w:tr>
      <w:tr w:rsidR="00DD6272" w:rsidRPr="003A6336" w14:paraId="4EAADE9C" w14:textId="77777777" w:rsidTr="009B4355">
        <w:trPr>
          <w:gridAfter w:val="1"/>
          <w:wAfter w:w="9" w:type="dxa"/>
        </w:trPr>
        <w:tc>
          <w:tcPr>
            <w:tcW w:w="4188" w:type="dxa"/>
          </w:tcPr>
          <w:p w14:paraId="10E81162" w14:textId="77777777" w:rsidR="00DD6272" w:rsidRPr="00FE3C61" w:rsidRDefault="00DD6272" w:rsidP="009B4355">
            <w:pPr>
              <w:rPr>
                <w:rFonts w:ascii="Aptos" w:hAnsi="Aptos"/>
              </w:rPr>
            </w:pPr>
            <w:r w:rsidRPr="00FE3C61">
              <w:rPr>
                <w:rFonts w:ascii="Aptos" w:hAnsi="Aptos"/>
              </w:rPr>
              <w:t xml:space="preserve">English </w:t>
            </w:r>
          </w:p>
        </w:tc>
        <w:tc>
          <w:tcPr>
            <w:tcW w:w="4673" w:type="dxa"/>
          </w:tcPr>
          <w:p w14:paraId="31EF916D" w14:textId="77777777" w:rsidR="00DD6272" w:rsidRPr="00FE3C61" w:rsidRDefault="00DD6272" w:rsidP="009B4355">
            <w:pPr>
              <w:rPr>
                <w:rFonts w:ascii="Aptos" w:hAnsi="Aptos"/>
              </w:rPr>
            </w:pPr>
            <w:r>
              <w:rPr>
                <w:rFonts w:ascii="Aptos" w:hAnsi="Aptos"/>
              </w:rPr>
              <w:t>Français</w:t>
            </w:r>
          </w:p>
        </w:tc>
      </w:tr>
      <w:tr w:rsidR="00DD6272" w:rsidRPr="003A6336" w14:paraId="2BB01FAB" w14:textId="77777777" w:rsidTr="009B4355">
        <w:trPr>
          <w:gridAfter w:val="1"/>
          <w:wAfter w:w="9" w:type="dxa"/>
        </w:trPr>
        <w:tc>
          <w:tcPr>
            <w:tcW w:w="4188" w:type="dxa"/>
          </w:tcPr>
          <w:p w14:paraId="0C2AE29D" w14:textId="77777777" w:rsidR="00DD6272" w:rsidRPr="003A6336" w:rsidRDefault="00DD6272" w:rsidP="009B4355">
            <w:pPr>
              <w:rPr>
                <w:rFonts w:ascii="Aptos" w:hAnsi="Aptos"/>
              </w:rPr>
            </w:pPr>
            <w:r w:rsidRPr="003A6336">
              <w:rPr>
                <w:rFonts w:ascii="Aptos" w:hAnsi="Aptos"/>
              </w:rPr>
              <w:t>Answers (percentage)</w:t>
            </w:r>
          </w:p>
        </w:tc>
        <w:tc>
          <w:tcPr>
            <w:tcW w:w="4673" w:type="dxa"/>
          </w:tcPr>
          <w:p w14:paraId="64444FA3" w14:textId="77777777" w:rsidR="00DD6272" w:rsidRPr="003A6336" w:rsidRDefault="00DD6272" w:rsidP="009B4355">
            <w:pPr>
              <w:rPr>
                <w:rFonts w:ascii="Aptos" w:hAnsi="Aptos"/>
              </w:rPr>
            </w:pPr>
            <w:r>
              <w:rPr>
                <w:rFonts w:ascii="Aptos" w:hAnsi="Aptos"/>
              </w:rPr>
              <w:t>Réponses (pourcentage)</w:t>
            </w:r>
          </w:p>
        </w:tc>
      </w:tr>
      <w:tr w:rsidR="00DD6272" w:rsidRPr="003A6336" w14:paraId="652753A9" w14:textId="77777777" w:rsidTr="009B4355">
        <w:trPr>
          <w:gridAfter w:val="1"/>
          <w:wAfter w:w="9" w:type="dxa"/>
        </w:trPr>
        <w:tc>
          <w:tcPr>
            <w:tcW w:w="4188" w:type="dxa"/>
          </w:tcPr>
          <w:p w14:paraId="1EBBBBD7" w14:textId="77777777" w:rsidR="00DD6272" w:rsidRPr="003A6336" w:rsidRDefault="00DD6272" w:rsidP="009B4355">
            <w:pPr>
              <w:rPr>
                <w:rFonts w:ascii="Aptos" w:hAnsi="Aptos"/>
              </w:rPr>
            </w:pPr>
            <w:r w:rsidRPr="003A6336">
              <w:rPr>
                <w:rFonts w:ascii="Aptos" w:hAnsi="Aptos"/>
              </w:rPr>
              <w:t>Score Level</w:t>
            </w:r>
          </w:p>
        </w:tc>
        <w:tc>
          <w:tcPr>
            <w:tcW w:w="4673" w:type="dxa"/>
          </w:tcPr>
          <w:p w14:paraId="2321DCFB" w14:textId="77777777" w:rsidR="00DD6272" w:rsidRPr="003A6336" w:rsidRDefault="00DD6272" w:rsidP="009B4355">
            <w:pPr>
              <w:rPr>
                <w:rFonts w:ascii="Aptos" w:hAnsi="Aptos"/>
              </w:rPr>
            </w:pPr>
            <w:r>
              <w:rPr>
                <w:rFonts w:ascii="Aptos" w:hAnsi="Aptos"/>
              </w:rPr>
              <w:t>Note</w:t>
            </w:r>
          </w:p>
        </w:tc>
      </w:tr>
      <w:tr w:rsidR="00DD6272" w:rsidRPr="003A6336" w14:paraId="5724A126" w14:textId="77777777" w:rsidTr="009B4355">
        <w:trPr>
          <w:gridAfter w:val="1"/>
          <w:wAfter w:w="9" w:type="dxa"/>
        </w:trPr>
        <w:tc>
          <w:tcPr>
            <w:tcW w:w="4188" w:type="dxa"/>
          </w:tcPr>
          <w:p w14:paraId="30C1695D" w14:textId="77777777" w:rsidR="00DD6272" w:rsidRPr="003A6336" w:rsidRDefault="00DD6272" w:rsidP="009B4355">
            <w:pPr>
              <w:rPr>
                <w:rFonts w:ascii="Aptos" w:hAnsi="Aptos"/>
              </w:rPr>
            </w:pPr>
            <w:r w:rsidRPr="003A6336">
              <w:rPr>
                <w:rFonts w:ascii="Aptos" w:hAnsi="Aptos"/>
              </w:rPr>
              <w:t>Party count: 127</w:t>
            </w:r>
          </w:p>
        </w:tc>
        <w:tc>
          <w:tcPr>
            <w:tcW w:w="4673" w:type="dxa"/>
          </w:tcPr>
          <w:p w14:paraId="06F3EF01" w14:textId="77777777" w:rsidR="00DD6272" w:rsidRPr="003A6336" w:rsidRDefault="00DD6272" w:rsidP="009B4355">
            <w:pPr>
              <w:rPr>
                <w:rFonts w:ascii="Aptos" w:hAnsi="Aptos"/>
              </w:rPr>
            </w:pPr>
            <w:r>
              <w:rPr>
                <w:rFonts w:ascii="Aptos" w:hAnsi="Aptos"/>
              </w:rPr>
              <w:t>Nombre de Parties : 127</w:t>
            </w:r>
          </w:p>
        </w:tc>
      </w:tr>
      <w:tr w:rsidR="00DD6272" w:rsidRPr="003A6336" w14:paraId="37A0B42B" w14:textId="77777777" w:rsidTr="009B4355">
        <w:trPr>
          <w:gridAfter w:val="1"/>
          <w:wAfter w:w="9" w:type="dxa"/>
        </w:trPr>
        <w:tc>
          <w:tcPr>
            <w:tcW w:w="4188" w:type="dxa"/>
          </w:tcPr>
          <w:p w14:paraId="334719F4" w14:textId="77777777" w:rsidR="00DD6272" w:rsidRPr="003A6336" w:rsidRDefault="00DD6272" w:rsidP="009B4355">
            <w:pPr>
              <w:rPr>
                <w:rFonts w:ascii="Aptos" w:hAnsi="Aptos"/>
              </w:rPr>
            </w:pPr>
            <w:r w:rsidRPr="003A6336">
              <w:rPr>
                <w:rFonts w:ascii="Aptos" w:hAnsi="Aptos"/>
              </w:rPr>
              <w:t>Region</w:t>
            </w:r>
          </w:p>
        </w:tc>
        <w:tc>
          <w:tcPr>
            <w:tcW w:w="4673" w:type="dxa"/>
          </w:tcPr>
          <w:p w14:paraId="49BB75BD" w14:textId="77777777" w:rsidR="00DD6272" w:rsidRPr="003A6336" w:rsidRDefault="00DD6272" w:rsidP="009B4355">
            <w:pPr>
              <w:rPr>
                <w:rFonts w:ascii="Aptos" w:hAnsi="Aptos"/>
              </w:rPr>
            </w:pPr>
            <w:r w:rsidRPr="006F7AF8">
              <w:rPr>
                <w:rFonts w:ascii="Aptos" w:hAnsi="Aptos"/>
                <w:lang w:val="fr-FR"/>
              </w:rPr>
              <w:t>Région</w:t>
            </w:r>
          </w:p>
        </w:tc>
      </w:tr>
      <w:tr w:rsidR="00DD6272" w:rsidRPr="003A6336" w14:paraId="19E48126" w14:textId="77777777" w:rsidTr="009B4355">
        <w:trPr>
          <w:gridAfter w:val="1"/>
          <w:wAfter w:w="9" w:type="dxa"/>
        </w:trPr>
        <w:tc>
          <w:tcPr>
            <w:tcW w:w="4188" w:type="dxa"/>
          </w:tcPr>
          <w:p w14:paraId="2B2CADAA" w14:textId="77777777" w:rsidR="00DD6272" w:rsidRPr="003A6336" w:rsidRDefault="00DD6272" w:rsidP="009B4355">
            <w:pPr>
              <w:rPr>
                <w:rFonts w:ascii="Aptos" w:hAnsi="Aptos"/>
              </w:rPr>
            </w:pPr>
            <w:r w:rsidRPr="6D03A27B">
              <w:rPr>
                <w:rFonts w:ascii="Aptos" w:hAnsi="Aptos"/>
              </w:rPr>
              <w:t>African States</w:t>
            </w:r>
          </w:p>
        </w:tc>
        <w:tc>
          <w:tcPr>
            <w:tcW w:w="4673" w:type="dxa"/>
          </w:tcPr>
          <w:p w14:paraId="6C0F16A4"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DD6272" w:rsidRPr="003A6336" w14:paraId="03793163" w14:textId="77777777" w:rsidTr="009B4355">
        <w:trPr>
          <w:gridAfter w:val="1"/>
          <w:wAfter w:w="9" w:type="dxa"/>
        </w:trPr>
        <w:tc>
          <w:tcPr>
            <w:tcW w:w="4188" w:type="dxa"/>
          </w:tcPr>
          <w:p w14:paraId="6E3B541C" w14:textId="77777777" w:rsidR="00DD6272" w:rsidRPr="003A6336" w:rsidRDefault="00DD6272" w:rsidP="009B4355">
            <w:pPr>
              <w:rPr>
                <w:rFonts w:ascii="Aptos" w:hAnsi="Aptos"/>
              </w:rPr>
            </w:pPr>
            <w:r w:rsidRPr="6D03A27B">
              <w:rPr>
                <w:rFonts w:ascii="Aptos" w:hAnsi="Aptos"/>
              </w:rPr>
              <w:t>Asia-Pacific States</w:t>
            </w:r>
          </w:p>
        </w:tc>
        <w:tc>
          <w:tcPr>
            <w:tcW w:w="4673" w:type="dxa"/>
          </w:tcPr>
          <w:p w14:paraId="7516B70C"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DD6272" w:rsidRPr="003A6336" w14:paraId="012DCF4A" w14:textId="77777777" w:rsidTr="009B4355">
        <w:trPr>
          <w:gridAfter w:val="1"/>
          <w:wAfter w:w="9" w:type="dxa"/>
        </w:trPr>
        <w:tc>
          <w:tcPr>
            <w:tcW w:w="4188" w:type="dxa"/>
          </w:tcPr>
          <w:p w14:paraId="5B685757" w14:textId="77777777" w:rsidR="00DD6272" w:rsidRPr="003A6336" w:rsidRDefault="00DD6272" w:rsidP="009B4355">
            <w:pPr>
              <w:rPr>
                <w:rFonts w:ascii="Aptos" w:hAnsi="Aptos"/>
              </w:rPr>
            </w:pPr>
            <w:r w:rsidRPr="6D03A27B">
              <w:rPr>
                <w:rFonts w:ascii="Aptos" w:hAnsi="Aptos"/>
              </w:rPr>
              <w:t>Latin American and Caribbean States</w:t>
            </w:r>
          </w:p>
        </w:tc>
        <w:tc>
          <w:tcPr>
            <w:tcW w:w="4673" w:type="dxa"/>
          </w:tcPr>
          <w:p w14:paraId="4CEB7D2C"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DD6272" w:rsidRPr="003A6336" w14:paraId="730825F5" w14:textId="77777777" w:rsidTr="009B4355">
        <w:trPr>
          <w:gridAfter w:val="1"/>
          <w:wAfter w:w="9" w:type="dxa"/>
        </w:trPr>
        <w:tc>
          <w:tcPr>
            <w:tcW w:w="4188" w:type="dxa"/>
          </w:tcPr>
          <w:p w14:paraId="5575F63D" w14:textId="77777777" w:rsidR="00DD6272" w:rsidRPr="003A6336" w:rsidRDefault="00DD6272" w:rsidP="009B4355">
            <w:pPr>
              <w:rPr>
                <w:rFonts w:ascii="Aptos" w:hAnsi="Aptos"/>
              </w:rPr>
            </w:pPr>
            <w:r>
              <w:rPr>
                <w:rFonts w:ascii="Aptos" w:hAnsi="Aptos"/>
              </w:rPr>
              <w:t>Eastern</w:t>
            </w:r>
            <w:r w:rsidRPr="6D03A27B">
              <w:rPr>
                <w:rFonts w:ascii="Aptos" w:hAnsi="Aptos"/>
              </w:rPr>
              <w:t xml:space="preserve"> European States</w:t>
            </w:r>
          </w:p>
        </w:tc>
        <w:tc>
          <w:tcPr>
            <w:tcW w:w="4673" w:type="dxa"/>
          </w:tcPr>
          <w:p w14:paraId="29747062"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DD6272" w:rsidRPr="003A6336" w14:paraId="4CDDEDD4" w14:textId="77777777" w:rsidTr="009B4355">
        <w:trPr>
          <w:gridAfter w:val="1"/>
          <w:wAfter w:w="9" w:type="dxa"/>
        </w:trPr>
        <w:tc>
          <w:tcPr>
            <w:tcW w:w="4188" w:type="dxa"/>
          </w:tcPr>
          <w:p w14:paraId="1AA5175A" w14:textId="77777777" w:rsidR="00DD6272" w:rsidRPr="003A6336" w:rsidRDefault="00DD6272" w:rsidP="009B4355">
            <w:pPr>
              <w:rPr>
                <w:rFonts w:ascii="Aptos" w:hAnsi="Aptos"/>
              </w:rPr>
            </w:pPr>
            <w:r w:rsidRPr="6D03A27B">
              <w:rPr>
                <w:rFonts w:ascii="Aptos" w:hAnsi="Aptos"/>
              </w:rPr>
              <w:t>Western European and other States</w:t>
            </w:r>
          </w:p>
        </w:tc>
        <w:tc>
          <w:tcPr>
            <w:tcW w:w="4673" w:type="dxa"/>
          </w:tcPr>
          <w:p w14:paraId="4A7D882C"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DB54833" w14:textId="77777777" w:rsidR="005779EB" w:rsidRPr="00653BF4" w:rsidRDefault="005779EB" w:rsidP="005779EB">
      <w:pPr>
        <w:pStyle w:val="Heading5"/>
        <w:rPr>
          <w:lang w:val="fr-FR"/>
        </w:rPr>
      </w:pPr>
    </w:p>
    <w:p w14:paraId="37FBA961" w14:textId="4D61A422" w:rsidR="004B1255" w:rsidRPr="00653BF4" w:rsidRDefault="004B1255" w:rsidP="004B1255">
      <w:pPr>
        <w:rPr>
          <w:sz w:val="20"/>
          <w:szCs w:val="20"/>
          <w:lang w:val="fr-FR" w:eastAsia="ja-JP"/>
        </w:rPr>
      </w:pPr>
      <w:r w:rsidRPr="00653BF4">
        <w:rPr>
          <w:sz w:val="20"/>
          <w:szCs w:val="20"/>
          <w:lang w:val="fr-FR" w:eastAsia="ja-JP"/>
        </w:rPr>
        <w:t xml:space="preserve">Figure 26 </w:t>
      </w:r>
    </w:p>
    <w:p w14:paraId="4C9DCB4C" w14:textId="68ADFFE2" w:rsidR="004B1255" w:rsidRDefault="005F553B" w:rsidP="004B1255">
      <w:pPr>
        <w:rPr>
          <w:b/>
          <w:bCs/>
          <w:sz w:val="20"/>
          <w:szCs w:val="20"/>
          <w:lang w:val="fr-FR" w:eastAsia="ja-JP"/>
        </w:rPr>
      </w:pPr>
      <w:r w:rsidRPr="00653BF4">
        <w:rPr>
          <w:b/>
          <w:bCs/>
          <w:sz w:val="20"/>
          <w:szCs w:val="20"/>
          <w:lang w:val="fr-FR" w:eastAsia="ja-JP"/>
        </w:rPr>
        <w:t xml:space="preserve">Pourcentage d’indicateurs alignés sur la </w:t>
      </w:r>
      <w:r w:rsidR="00E34DC9">
        <w:rPr>
          <w:b/>
          <w:bCs/>
          <w:sz w:val="20"/>
          <w:szCs w:val="20"/>
          <w:lang w:val="fr-FR" w:eastAsia="ja-JP"/>
        </w:rPr>
        <w:t>cible 5</w:t>
      </w:r>
      <w:r w:rsidRPr="00653BF4">
        <w:rPr>
          <w:b/>
          <w:bCs/>
          <w:sz w:val="20"/>
          <w:szCs w:val="20"/>
          <w:lang w:val="fr-FR" w:eastAsia="ja-JP"/>
        </w:rPr>
        <w:t xml:space="preserve"> du Cadre, selon qu’ils indiquent une tendance positive, stable ou négative</w:t>
      </w:r>
    </w:p>
    <w:p w14:paraId="61F7C9FF" w14:textId="15880806" w:rsidR="00A8486E" w:rsidRPr="00653BF4" w:rsidRDefault="009F0402" w:rsidP="008E7C15">
      <w:pPr>
        <w:pStyle w:val="Caption"/>
        <w:rPr>
          <w:rFonts w:ascii="Aptos" w:hAnsi="Aptos"/>
          <w:i w:val="0"/>
          <w:lang w:val="fr-FR"/>
        </w:rPr>
      </w:pPr>
      <w:bookmarkStart w:id="140" w:name="_Ref231151144"/>
      <w:bookmarkEnd w:id="139"/>
      <w:r w:rsidRPr="00653BF4">
        <w:rPr>
          <w:rFonts w:ascii="Aptos" w:hAnsi="Aptos"/>
          <w:noProof/>
          <w:lang w:val="fr-FR"/>
        </w:rPr>
        <w:drawing>
          <wp:inline distT="0" distB="0" distL="0" distR="0" wp14:anchorId="0D3D2E80" wp14:editId="7F2D9307">
            <wp:extent cx="5721350" cy="2451100"/>
            <wp:effectExtent l="0" t="0" r="0" b="6350"/>
            <wp:docPr id="134890154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21350" cy="2451100"/>
                    </a:xfrm>
                    <a:prstGeom prst="rect">
                      <a:avLst/>
                    </a:prstGeom>
                    <a:noFill/>
                    <a:ln>
                      <a:noFill/>
                    </a:ln>
                  </pic:spPr>
                </pic:pic>
              </a:graphicData>
            </a:graphic>
          </wp:inline>
        </w:drawing>
      </w:r>
      <w:r w:rsidRPr="00653BF4">
        <w:rPr>
          <w:rFonts w:ascii="Aptos" w:hAnsi="Aptos"/>
          <w:i w:val="0"/>
          <w:lang w:val="fr-FR"/>
        </w:rPr>
        <w:t xml:space="preserve"> </w:t>
      </w:r>
    </w:p>
    <w:p w14:paraId="2F1F90A5" w14:textId="5241D511" w:rsidR="005F593E" w:rsidRPr="00653BF4" w:rsidRDefault="006A631C" w:rsidP="005F593E">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005F593E" w:rsidRPr="00653BF4">
        <w:rPr>
          <w:rFonts w:ascii="Aptos" w:hAnsi="Aptos"/>
          <w:i w:val="0"/>
          <w:iCs w:val="0"/>
          <w:lang w:val="fr-FR"/>
        </w:rPr>
        <w:t xml:space="preserve"> </w:t>
      </w:r>
      <w:r w:rsidR="00850EB5" w:rsidRPr="00653BF4">
        <w:rPr>
          <w:rFonts w:ascii="Aptos" w:hAnsi="Aptos"/>
          <w:i w:val="0"/>
          <w:iCs w:val="0"/>
          <w:lang w:val="fr-FR"/>
        </w:rPr>
        <w:t xml:space="preserve">Les proportions sont pondérées par Partie. </w:t>
      </w:r>
      <w:r w:rsidR="00336832" w:rsidRPr="00653BF4">
        <w:rPr>
          <w:rFonts w:ascii="Aptos" w:hAnsi="Aptos"/>
          <w:i w:val="0"/>
          <w:iCs w:val="0"/>
          <w:lang w:val="fr-FR"/>
        </w:rPr>
        <w:t>Les tendances incluent des données relatives à un indicateur phare provenant de 30 Parties, ainsi qu’à 1 indicateur complémentaire et 63 indicateurs nationaux provenant au total de 19</w:t>
      </w:r>
      <w:r w:rsidR="008428BB">
        <w:rPr>
          <w:rFonts w:ascii="Aptos" w:hAnsi="Aptos"/>
          <w:i w:val="0"/>
          <w:iCs w:val="0"/>
          <w:lang w:val="fr-FR"/>
        </w:rPr>
        <w:t> </w:t>
      </w:r>
      <w:r w:rsidR="00336832" w:rsidRPr="00653BF4">
        <w:rPr>
          <w:rFonts w:ascii="Aptos" w:hAnsi="Aptos"/>
          <w:i w:val="0"/>
          <w:iCs w:val="0"/>
          <w:lang w:val="fr-FR"/>
        </w:rPr>
        <w:t xml:space="preserve">Parties. </w:t>
      </w:r>
      <w:r w:rsidR="00C86A6E" w:rsidRPr="00653BF4">
        <w:rPr>
          <w:rFonts w:ascii="Aptos" w:hAnsi="Aptos"/>
          <w:i w:val="0"/>
          <w:iCs w:val="0"/>
          <w:lang w:val="fr-FR"/>
        </w:rPr>
        <w:t xml:space="preserve">Le diagramme circulaire présente la répartition, par région, des Parties ayant communiqué des indicateurs pour la </w:t>
      </w:r>
      <w:r w:rsidR="00E34DC9">
        <w:rPr>
          <w:rFonts w:ascii="Aptos" w:hAnsi="Aptos"/>
          <w:i w:val="0"/>
          <w:iCs w:val="0"/>
          <w:lang w:val="fr-FR"/>
        </w:rPr>
        <w:t>cible 5</w:t>
      </w:r>
      <w:r w:rsidR="005F593E" w:rsidRPr="00653BF4">
        <w:rPr>
          <w:rFonts w:ascii="Aptos" w:hAnsi="Aptos"/>
          <w:i w:val="0"/>
          <w:iCs w:val="0"/>
          <w:lang w:val="fr-FR"/>
        </w:rPr>
        <w:t xml:space="preserve">. </w:t>
      </w:r>
      <w:r w:rsidR="001B751D" w:rsidRPr="00653BF4">
        <w:rPr>
          <w:rFonts w:ascii="Aptos" w:hAnsi="Aptos"/>
          <w:i w:val="0"/>
          <w:iCs w:val="0"/>
          <w:lang w:val="fr-FR"/>
        </w:rPr>
        <w:t>La couleur de chaque région est indiquée dans la légende de la figure</w:t>
      </w:r>
      <w:r w:rsidR="00E34DC9">
        <w:rPr>
          <w:rFonts w:ascii="Aptos" w:hAnsi="Aptos"/>
          <w:i w:val="0"/>
          <w:iCs w:val="0"/>
          <w:lang w:val="fr-FR"/>
        </w:rPr>
        <w:t> :</w:t>
      </w:r>
      <w:r w:rsidR="001B751D"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1B751D" w:rsidRPr="00653BF4">
        <w:rPr>
          <w:rFonts w:ascii="Aptos" w:hAnsi="Aptos"/>
          <w:i w:val="0"/>
          <w:iCs w:val="0"/>
          <w:lang w:val="fr-FR"/>
        </w:rPr>
        <w:t xml:space="preserve"> les tons plus clairs, la proportion de Parties de la même région dont les données n’y figurent pas.</w:t>
      </w:r>
    </w:p>
    <w:tbl>
      <w:tblPr>
        <w:tblStyle w:val="TableGrid"/>
        <w:tblW w:w="0" w:type="auto"/>
        <w:tblLook w:val="04A0" w:firstRow="1" w:lastRow="0" w:firstColumn="1" w:lastColumn="0" w:noHBand="0" w:noVBand="1"/>
      </w:tblPr>
      <w:tblGrid>
        <w:gridCol w:w="4060"/>
        <w:gridCol w:w="4545"/>
      </w:tblGrid>
      <w:tr w:rsidR="00DD6272" w:rsidRPr="003A6336" w14:paraId="17AEE8E4" w14:textId="77777777" w:rsidTr="009B4355">
        <w:tc>
          <w:tcPr>
            <w:tcW w:w="0" w:type="auto"/>
            <w:gridSpan w:val="2"/>
          </w:tcPr>
          <w:bookmarkEnd w:id="140"/>
          <w:p w14:paraId="11DE494E" w14:textId="77777777" w:rsidR="00DD6272" w:rsidRPr="001C7831" w:rsidRDefault="00DD6272" w:rsidP="009B4355">
            <w:pPr>
              <w:rPr>
                <w:rFonts w:ascii="Aptos" w:hAnsi="Aptos"/>
              </w:rPr>
            </w:pPr>
            <w:r w:rsidRPr="001C7831">
              <w:rPr>
                <w:rFonts w:ascii="Aptos" w:hAnsi="Aptos"/>
              </w:rPr>
              <w:t>Figure 26</w:t>
            </w:r>
          </w:p>
        </w:tc>
      </w:tr>
      <w:tr w:rsidR="00DD6272" w:rsidRPr="003A6336" w14:paraId="193697DE" w14:textId="77777777" w:rsidTr="009B4355">
        <w:tc>
          <w:tcPr>
            <w:tcW w:w="0" w:type="auto"/>
          </w:tcPr>
          <w:p w14:paraId="2C29251B" w14:textId="77777777" w:rsidR="00DD6272" w:rsidRPr="001C7831" w:rsidRDefault="00DD6272" w:rsidP="009B4355">
            <w:pPr>
              <w:rPr>
                <w:rFonts w:ascii="Aptos" w:hAnsi="Aptos"/>
              </w:rPr>
            </w:pPr>
            <w:r w:rsidRPr="001C7831">
              <w:rPr>
                <w:rFonts w:ascii="Aptos" w:hAnsi="Aptos"/>
              </w:rPr>
              <w:t>English</w:t>
            </w:r>
          </w:p>
        </w:tc>
        <w:tc>
          <w:tcPr>
            <w:tcW w:w="0" w:type="auto"/>
          </w:tcPr>
          <w:p w14:paraId="41815214" w14:textId="77777777" w:rsidR="00DD6272" w:rsidRPr="001C7831" w:rsidRDefault="00DD6272" w:rsidP="009B4355">
            <w:pPr>
              <w:rPr>
                <w:rFonts w:ascii="Aptos" w:hAnsi="Aptos"/>
              </w:rPr>
            </w:pPr>
            <w:r>
              <w:rPr>
                <w:rFonts w:ascii="Aptos" w:hAnsi="Aptos"/>
              </w:rPr>
              <w:t>Français</w:t>
            </w:r>
          </w:p>
        </w:tc>
      </w:tr>
      <w:tr w:rsidR="00DD6272" w:rsidRPr="003A6336" w14:paraId="483584B6" w14:textId="77777777" w:rsidTr="009B4355">
        <w:tc>
          <w:tcPr>
            <w:tcW w:w="0" w:type="auto"/>
          </w:tcPr>
          <w:p w14:paraId="5E6CE7E1" w14:textId="77777777" w:rsidR="00DD6272" w:rsidRPr="003A6336" w:rsidRDefault="00DD6272" w:rsidP="009B4355">
            <w:pPr>
              <w:rPr>
                <w:rFonts w:ascii="Aptos" w:hAnsi="Aptos"/>
              </w:rPr>
            </w:pPr>
            <w:r w:rsidRPr="003A6336">
              <w:rPr>
                <w:rFonts w:ascii="Aptos" w:hAnsi="Aptos"/>
              </w:rPr>
              <w:t>Proportion</w:t>
            </w:r>
          </w:p>
        </w:tc>
        <w:tc>
          <w:tcPr>
            <w:tcW w:w="0" w:type="auto"/>
          </w:tcPr>
          <w:p w14:paraId="1308807A" w14:textId="77777777" w:rsidR="00DD6272" w:rsidRPr="003A6336" w:rsidRDefault="00DD6272" w:rsidP="009B4355">
            <w:pPr>
              <w:rPr>
                <w:rFonts w:ascii="Aptos" w:hAnsi="Aptos"/>
              </w:rPr>
            </w:pPr>
            <w:r w:rsidRPr="006F7AF8">
              <w:rPr>
                <w:rFonts w:ascii="Aptos" w:hAnsi="Aptos"/>
                <w:lang w:val="fr-FR"/>
              </w:rPr>
              <w:t>Proportion</w:t>
            </w:r>
          </w:p>
        </w:tc>
      </w:tr>
      <w:tr w:rsidR="00DD6272" w:rsidRPr="003A6336" w14:paraId="298D4EB7" w14:textId="77777777" w:rsidTr="009B4355">
        <w:tc>
          <w:tcPr>
            <w:tcW w:w="0" w:type="auto"/>
          </w:tcPr>
          <w:p w14:paraId="48312364" w14:textId="77777777" w:rsidR="00DD6272" w:rsidRPr="003A6336" w:rsidRDefault="00DD6272" w:rsidP="009B4355">
            <w:pPr>
              <w:rPr>
                <w:rFonts w:ascii="Aptos" w:hAnsi="Aptos"/>
              </w:rPr>
            </w:pPr>
            <w:r w:rsidRPr="003A6336">
              <w:rPr>
                <w:rFonts w:ascii="Aptos" w:hAnsi="Aptos"/>
              </w:rPr>
              <w:t>Current Status</w:t>
            </w:r>
          </w:p>
        </w:tc>
        <w:tc>
          <w:tcPr>
            <w:tcW w:w="0" w:type="auto"/>
          </w:tcPr>
          <w:p w14:paraId="20279509" w14:textId="77777777" w:rsidR="00DD6272" w:rsidRPr="003A6336" w:rsidRDefault="00DD6272" w:rsidP="009B4355">
            <w:pPr>
              <w:rPr>
                <w:rFonts w:ascii="Aptos" w:hAnsi="Aptos"/>
              </w:rPr>
            </w:pPr>
            <w:r w:rsidRPr="006F7AF8">
              <w:rPr>
                <w:rFonts w:ascii="Aptos" w:hAnsi="Aptos"/>
                <w:lang w:val="fr-FR"/>
              </w:rPr>
              <w:t>État actuel</w:t>
            </w:r>
          </w:p>
        </w:tc>
      </w:tr>
      <w:tr w:rsidR="00DD6272" w:rsidRPr="003A6336" w14:paraId="4543318C" w14:textId="77777777" w:rsidTr="009B4355">
        <w:tc>
          <w:tcPr>
            <w:tcW w:w="0" w:type="auto"/>
          </w:tcPr>
          <w:p w14:paraId="2D119128" w14:textId="77777777" w:rsidR="00DD6272" w:rsidRPr="003A6336" w:rsidRDefault="00DD6272" w:rsidP="009B4355">
            <w:pPr>
              <w:rPr>
                <w:rFonts w:ascii="Aptos" w:hAnsi="Aptos"/>
              </w:rPr>
            </w:pPr>
            <w:r w:rsidRPr="003A6336">
              <w:rPr>
                <w:rFonts w:ascii="Aptos" w:hAnsi="Aptos"/>
              </w:rPr>
              <w:t>improving</w:t>
            </w:r>
          </w:p>
        </w:tc>
        <w:tc>
          <w:tcPr>
            <w:tcW w:w="0" w:type="auto"/>
          </w:tcPr>
          <w:p w14:paraId="15FA7ABC" w14:textId="77777777" w:rsidR="00DD6272" w:rsidRPr="003A6336" w:rsidRDefault="00DD6272" w:rsidP="009B4355">
            <w:pPr>
              <w:rPr>
                <w:rFonts w:ascii="Aptos" w:hAnsi="Aptos"/>
              </w:rPr>
            </w:pPr>
            <w:r>
              <w:rPr>
                <w:rFonts w:ascii="Aptos" w:hAnsi="Aptos"/>
                <w:lang w:val="fr-FR"/>
              </w:rPr>
              <w:t>amélioration</w:t>
            </w:r>
          </w:p>
        </w:tc>
      </w:tr>
      <w:tr w:rsidR="00DD6272" w:rsidRPr="003A6336" w14:paraId="73ACF3DB" w14:textId="77777777" w:rsidTr="009B4355">
        <w:tc>
          <w:tcPr>
            <w:tcW w:w="0" w:type="auto"/>
          </w:tcPr>
          <w:p w14:paraId="3DD0AAFD" w14:textId="77777777" w:rsidR="00DD6272" w:rsidRPr="003A6336" w:rsidRDefault="00DD6272" w:rsidP="009B4355">
            <w:pPr>
              <w:rPr>
                <w:rFonts w:ascii="Aptos" w:hAnsi="Aptos"/>
              </w:rPr>
            </w:pPr>
            <w:r w:rsidRPr="003A6336">
              <w:rPr>
                <w:rFonts w:ascii="Aptos" w:hAnsi="Aptos"/>
              </w:rPr>
              <w:t>stable</w:t>
            </w:r>
          </w:p>
        </w:tc>
        <w:tc>
          <w:tcPr>
            <w:tcW w:w="0" w:type="auto"/>
          </w:tcPr>
          <w:p w14:paraId="093C91AB" w14:textId="77777777" w:rsidR="00DD6272" w:rsidRPr="003A6336" w:rsidRDefault="00DD6272" w:rsidP="009B4355">
            <w:pPr>
              <w:rPr>
                <w:rFonts w:ascii="Aptos" w:hAnsi="Aptos"/>
              </w:rPr>
            </w:pPr>
            <w:r>
              <w:rPr>
                <w:rFonts w:ascii="Aptos" w:hAnsi="Aptos"/>
                <w:lang w:val="fr-FR"/>
              </w:rPr>
              <w:t>s</w:t>
            </w:r>
            <w:r w:rsidRPr="006F7AF8">
              <w:rPr>
                <w:rFonts w:ascii="Aptos" w:hAnsi="Aptos"/>
                <w:lang w:val="fr-FR"/>
              </w:rPr>
              <w:t>tab</w:t>
            </w:r>
            <w:r>
              <w:rPr>
                <w:rFonts w:ascii="Aptos" w:hAnsi="Aptos"/>
                <w:lang w:val="fr-FR"/>
              </w:rPr>
              <w:t>ilité</w:t>
            </w:r>
          </w:p>
        </w:tc>
      </w:tr>
      <w:tr w:rsidR="00DD6272" w:rsidRPr="003A6336" w14:paraId="3A73841E" w14:textId="77777777" w:rsidTr="009B4355">
        <w:tc>
          <w:tcPr>
            <w:tcW w:w="0" w:type="auto"/>
          </w:tcPr>
          <w:p w14:paraId="4D14153D" w14:textId="77777777" w:rsidR="00DD6272" w:rsidRPr="003A6336" w:rsidRDefault="00DD6272" w:rsidP="009B4355">
            <w:pPr>
              <w:rPr>
                <w:rFonts w:ascii="Aptos" w:hAnsi="Aptos"/>
              </w:rPr>
            </w:pPr>
            <w:r w:rsidRPr="003A6336">
              <w:rPr>
                <w:rFonts w:ascii="Aptos" w:hAnsi="Aptos"/>
              </w:rPr>
              <w:t>moving away</w:t>
            </w:r>
          </w:p>
        </w:tc>
        <w:tc>
          <w:tcPr>
            <w:tcW w:w="0" w:type="auto"/>
          </w:tcPr>
          <w:p w14:paraId="167FA898" w14:textId="77777777" w:rsidR="00DD6272" w:rsidRPr="003A6336" w:rsidRDefault="00DD6272" w:rsidP="009B4355">
            <w:pPr>
              <w:rPr>
                <w:rFonts w:ascii="Aptos" w:hAnsi="Aptos"/>
              </w:rPr>
            </w:pPr>
            <w:r>
              <w:rPr>
                <w:rFonts w:ascii="Aptos" w:hAnsi="Aptos"/>
                <w:lang w:val="fr-FR"/>
              </w:rPr>
              <w:t>éloignement</w:t>
            </w:r>
          </w:p>
        </w:tc>
      </w:tr>
      <w:tr w:rsidR="00DD6272" w:rsidRPr="003A6336" w14:paraId="07E9CCEF" w14:textId="77777777" w:rsidTr="009B4355">
        <w:tc>
          <w:tcPr>
            <w:tcW w:w="0" w:type="auto"/>
          </w:tcPr>
          <w:p w14:paraId="7CA055E0" w14:textId="77777777" w:rsidR="00DD6272" w:rsidRPr="003A6336" w:rsidRDefault="00DD6272" w:rsidP="009B4355">
            <w:pPr>
              <w:rPr>
                <w:rFonts w:ascii="Aptos" w:hAnsi="Aptos"/>
              </w:rPr>
            </w:pPr>
            <w:r w:rsidRPr="003A6336">
              <w:rPr>
                <w:rFonts w:ascii="Aptos" w:hAnsi="Aptos"/>
              </w:rPr>
              <w:t>Party count: 43</w:t>
            </w:r>
          </w:p>
        </w:tc>
        <w:tc>
          <w:tcPr>
            <w:tcW w:w="0" w:type="auto"/>
          </w:tcPr>
          <w:p w14:paraId="2E0B708E" w14:textId="77777777" w:rsidR="00DD6272" w:rsidRPr="003A6336" w:rsidRDefault="00DD6272" w:rsidP="009B4355">
            <w:pPr>
              <w:rPr>
                <w:rFonts w:ascii="Aptos" w:hAnsi="Aptos"/>
              </w:rPr>
            </w:pPr>
            <w:r w:rsidRPr="006F7AF8">
              <w:rPr>
                <w:rFonts w:ascii="Aptos" w:hAnsi="Aptos"/>
                <w:lang w:val="fr-FR"/>
              </w:rPr>
              <w:t xml:space="preserve">Nombre de Parties : </w:t>
            </w:r>
            <w:r>
              <w:rPr>
                <w:rFonts w:ascii="Aptos" w:hAnsi="Aptos"/>
                <w:lang w:val="fr-FR"/>
              </w:rPr>
              <w:t>43</w:t>
            </w:r>
          </w:p>
        </w:tc>
      </w:tr>
      <w:tr w:rsidR="00DD6272" w:rsidRPr="003A6336" w14:paraId="1C4FAE91" w14:textId="77777777" w:rsidTr="009B4355">
        <w:tc>
          <w:tcPr>
            <w:tcW w:w="0" w:type="auto"/>
          </w:tcPr>
          <w:p w14:paraId="2F679C08" w14:textId="77777777" w:rsidR="00DD6272" w:rsidRPr="003A6336" w:rsidRDefault="00DD6272" w:rsidP="009B4355">
            <w:pPr>
              <w:rPr>
                <w:rFonts w:ascii="Aptos" w:hAnsi="Aptos"/>
              </w:rPr>
            </w:pPr>
            <w:r w:rsidRPr="003A6336">
              <w:rPr>
                <w:rFonts w:ascii="Aptos" w:hAnsi="Aptos"/>
              </w:rPr>
              <w:t>Region</w:t>
            </w:r>
          </w:p>
        </w:tc>
        <w:tc>
          <w:tcPr>
            <w:tcW w:w="0" w:type="auto"/>
          </w:tcPr>
          <w:p w14:paraId="34D9A304" w14:textId="77777777" w:rsidR="00DD6272" w:rsidRPr="003A6336" w:rsidRDefault="00DD6272" w:rsidP="009B4355">
            <w:pPr>
              <w:rPr>
                <w:rFonts w:ascii="Aptos" w:hAnsi="Aptos"/>
              </w:rPr>
            </w:pPr>
            <w:r w:rsidRPr="006F7AF8">
              <w:rPr>
                <w:rFonts w:ascii="Aptos" w:hAnsi="Aptos"/>
                <w:lang w:val="fr-FR"/>
              </w:rPr>
              <w:t>Région</w:t>
            </w:r>
          </w:p>
        </w:tc>
      </w:tr>
      <w:tr w:rsidR="00DD6272" w:rsidRPr="003A6336" w14:paraId="3C9502A0" w14:textId="77777777" w:rsidTr="009B4355">
        <w:tc>
          <w:tcPr>
            <w:tcW w:w="0" w:type="auto"/>
          </w:tcPr>
          <w:p w14:paraId="37E8A98C" w14:textId="77777777" w:rsidR="00DD6272" w:rsidRPr="003A6336" w:rsidRDefault="00DD6272" w:rsidP="009B4355">
            <w:pPr>
              <w:rPr>
                <w:rFonts w:ascii="Aptos" w:hAnsi="Aptos"/>
              </w:rPr>
            </w:pPr>
            <w:r w:rsidRPr="6D03A27B">
              <w:rPr>
                <w:rFonts w:ascii="Aptos" w:hAnsi="Aptos"/>
              </w:rPr>
              <w:t>African States</w:t>
            </w:r>
          </w:p>
        </w:tc>
        <w:tc>
          <w:tcPr>
            <w:tcW w:w="0" w:type="auto"/>
          </w:tcPr>
          <w:p w14:paraId="73BD3487"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DD6272" w:rsidRPr="003A6336" w14:paraId="3CD3CC44" w14:textId="77777777" w:rsidTr="009B4355">
        <w:tc>
          <w:tcPr>
            <w:tcW w:w="0" w:type="auto"/>
          </w:tcPr>
          <w:p w14:paraId="3B927709" w14:textId="77777777" w:rsidR="00DD6272" w:rsidRPr="003A6336" w:rsidRDefault="00DD6272" w:rsidP="009B4355">
            <w:pPr>
              <w:rPr>
                <w:rFonts w:ascii="Aptos" w:hAnsi="Aptos"/>
              </w:rPr>
            </w:pPr>
            <w:r w:rsidRPr="6D03A27B">
              <w:rPr>
                <w:rFonts w:ascii="Aptos" w:hAnsi="Aptos"/>
              </w:rPr>
              <w:t>Asia-Pacific States</w:t>
            </w:r>
          </w:p>
        </w:tc>
        <w:tc>
          <w:tcPr>
            <w:tcW w:w="0" w:type="auto"/>
          </w:tcPr>
          <w:p w14:paraId="7CED75F9"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DD6272" w:rsidRPr="003A6336" w14:paraId="3D373731" w14:textId="77777777" w:rsidTr="009B4355">
        <w:tc>
          <w:tcPr>
            <w:tcW w:w="0" w:type="auto"/>
          </w:tcPr>
          <w:p w14:paraId="24501B74" w14:textId="77777777" w:rsidR="00DD6272" w:rsidRPr="003A6336" w:rsidRDefault="00DD6272" w:rsidP="009B4355">
            <w:pPr>
              <w:rPr>
                <w:rFonts w:ascii="Aptos" w:hAnsi="Aptos"/>
              </w:rPr>
            </w:pPr>
            <w:r w:rsidRPr="6D03A27B">
              <w:rPr>
                <w:rFonts w:ascii="Aptos" w:hAnsi="Aptos"/>
              </w:rPr>
              <w:t>Latin American and Caribbean States</w:t>
            </w:r>
          </w:p>
        </w:tc>
        <w:tc>
          <w:tcPr>
            <w:tcW w:w="0" w:type="auto"/>
          </w:tcPr>
          <w:p w14:paraId="303A074F"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DD6272" w:rsidRPr="003A6336" w14:paraId="7A390988" w14:textId="77777777" w:rsidTr="009B4355">
        <w:tc>
          <w:tcPr>
            <w:tcW w:w="0" w:type="auto"/>
          </w:tcPr>
          <w:p w14:paraId="0A4D364F" w14:textId="77777777" w:rsidR="00DD6272" w:rsidRPr="003A6336" w:rsidRDefault="00DD6272" w:rsidP="009B4355">
            <w:pPr>
              <w:rPr>
                <w:rFonts w:ascii="Aptos" w:hAnsi="Aptos"/>
              </w:rPr>
            </w:pPr>
            <w:r>
              <w:rPr>
                <w:rFonts w:ascii="Aptos" w:hAnsi="Aptos"/>
              </w:rPr>
              <w:t>Eastern</w:t>
            </w:r>
            <w:r w:rsidRPr="6D03A27B">
              <w:rPr>
                <w:rFonts w:ascii="Aptos" w:hAnsi="Aptos"/>
              </w:rPr>
              <w:t xml:space="preserve"> European States</w:t>
            </w:r>
          </w:p>
        </w:tc>
        <w:tc>
          <w:tcPr>
            <w:tcW w:w="0" w:type="auto"/>
          </w:tcPr>
          <w:p w14:paraId="4F293091"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DD6272" w:rsidRPr="003A6336" w14:paraId="0A994FB6" w14:textId="77777777" w:rsidTr="009B4355">
        <w:tc>
          <w:tcPr>
            <w:tcW w:w="0" w:type="auto"/>
          </w:tcPr>
          <w:p w14:paraId="792FA4F5" w14:textId="77777777" w:rsidR="00DD6272" w:rsidRPr="003A6336" w:rsidRDefault="00DD6272" w:rsidP="009B4355">
            <w:pPr>
              <w:rPr>
                <w:rFonts w:ascii="Aptos" w:hAnsi="Aptos"/>
              </w:rPr>
            </w:pPr>
            <w:r w:rsidRPr="6D03A27B">
              <w:rPr>
                <w:rFonts w:ascii="Aptos" w:hAnsi="Aptos"/>
              </w:rPr>
              <w:t>Western European and other States</w:t>
            </w:r>
          </w:p>
        </w:tc>
        <w:tc>
          <w:tcPr>
            <w:tcW w:w="0" w:type="auto"/>
          </w:tcPr>
          <w:p w14:paraId="33D84344"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68FCD804" w14:textId="77777777" w:rsidR="005F593E" w:rsidRPr="00653BF4" w:rsidRDefault="005F593E" w:rsidP="005F593E">
      <w:pPr>
        <w:rPr>
          <w:sz w:val="18"/>
          <w:szCs w:val="18"/>
          <w:lang w:val="fr-FR" w:eastAsia="ja-JP"/>
        </w:rPr>
      </w:pPr>
    </w:p>
    <w:p w14:paraId="64A75B16" w14:textId="77777777" w:rsidR="009F0402" w:rsidRPr="00653BF4" w:rsidRDefault="009F0402" w:rsidP="009F0402">
      <w:pPr>
        <w:rPr>
          <w:lang w:val="fr-FR"/>
        </w:rPr>
      </w:pPr>
    </w:p>
    <w:p w14:paraId="52C5C12B" w14:textId="29C935EB" w:rsidR="00B70AA4" w:rsidRPr="00653BF4" w:rsidRDefault="00DD19D2" w:rsidP="00273B13">
      <w:pPr>
        <w:pStyle w:val="Heading5"/>
        <w:rPr>
          <w:lang w:val="fr-FR"/>
        </w:rPr>
      </w:pPr>
      <w:r w:rsidRPr="00653BF4">
        <w:rPr>
          <w:lang w:val="fr-FR"/>
        </w:rPr>
        <w:lastRenderedPageBreak/>
        <w:t>Auto-évaluation des progrès</w:t>
      </w:r>
      <w:r w:rsidR="00B11830" w:rsidRPr="00653BF4">
        <w:rPr>
          <w:lang w:val="fr-FR"/>
        </w:rPr>
        <w:t xml:space="preserve"> accomplis</w:t>
      </w:r>
    </w:p>
    <w:p w14:paraId="1955F8BD" w14:textId="77777777" w:rsidR="00D80FA5" w:rsidRPr="00653BF4" w:rsidRDefault="00D80FA5" w:rsidP="00377C60">
      <w:pPr>
        <w:rPr>
          <w:rStyle w:val="normaltextrun"/>
          <w:rFonts w:ascii="Aptos" w:hAnsi="Aptos"/>
          <w:lang w:val="fr-FR"/>
        </w:rPr>
      </w:pPr>
    </w:p>
    <w:p w14:paraId="47E9C176" w14:textId="2BACD777" w:rsidR="00377C60" w:rsidRPr="00653BF4" w:rsidRDefault="00625116" w:rsidP="00377C60">
      <w:pPr>
        <w:rPr>
          <w:rStyle w:val="eop"/>
          <w:rFonts w:ascii="Aptos" w:hAnsi="Aptos"/>
          <w:lang w:val="fr-FR"/>
        </w:rPr>
      </w:pPr>
      <w:r w:rsidRPr="00653BF4">
        <w:rPr>
          <w:rStyle w:val="normaltextrun"/>
          <w:rFonts w:ascii="Aptos" w:hAnsi="Aptos"/>
          <w:lang w:val="fr-FR"/>
        </w:rPr>
        <w:t xml:space="preserve">D’après les auto-évaluations des Parties figurant dans leurs rapports nationaux, </w:t>
      </w:r>
      <w:r w:rsidR="00987AE1" w:rsidRPr="00653BF4">
        <w:rPr>
          <w:rStyle w:val="normaltextrun"/>
          <w:rFonts w:ascii="Aptos" w:hAnsi="Aptos"/>
          <w:lang w:val="fr-FR"/>
        </w:rPr>
        <w:t>42</w:t>
      </w:r>
      <w:r w:rsidR="002878D7">
        <w:rPr>
          <w:rStyle w:val="normaltextrun"/>
          <w:rFonts w:ascii="Aptos" w:hAnsi="Aptos"/>
          <w:lang w:val="fr-FR"/>
        </w:rPr>
        <w:t> %</w:t>
      </w:r>
      <w:r w:rsidR="00F15BAB" w:rsidRPr="00653BF4">
        <w:rPr>
          <w:rStyle w:val="normaltextrun"/>
          <w:rFonts w:ascii="Aptos" w:hAnsi="Aptos"/>
          <w:lang w:val="fr-FR"/>
        </w:rPr>
        <w:t xml:space="preserve"> des cibles nationales qu’elles ont présentées comme étroitement alignées sur la </w:t>
      </w:r>
      <w:r w:rsidR="00E34DC9">
        <w:rPr>
          <w:rStyle w:val="normaltextrun"/>
          <w:rFonts w:ascii="Aptos" w:hAnsi="Aptos"/>
          <w:lang w:val="fr-FR"/>
        </w:rPr>
        <w:t>cible 5</w:t>
      </w:r>
      <w:r w:rsidR="00377C60" w:rsidRPr="00653BF4">
        <w:rPr>
          <w:rStyle w:val="normaltextrun"/>
          <w:rFonts w:ascii="Aptos" w:hAnsi="Aptos"/>
          <w:lang w:val="fr-FR"/>
        </w:rPr>
        <w:t xml:space="preserve"> </w:t>
      </w:r>
      <w:r w:rsidR="00F217DC" w:rsidRPr="00653BF4">
        <w:rPr>
          <w:rStyle w:val="normaltextrun"/>
          <w:rFonts w:ascii="Aptos" w:hAnsi="Aptos"/>
          <w:lang w:val="fr-FR"/>
        </w:rPr>
        <w:t>sont déclarées comme atteintes ou en voie d’être atteintes,</w:t>
      </w:r>
      <w:r w:rsidR="00377C60" w:rsidRPr="00653BF4">
        <w:rPr>
          <w:rStyle w:val="normaltextrun"/>
          <w:rFonts w:ascii="Aptos" w:hAnsi="Aptos"/>
          <w:lang w:val="fr-FR"/>
        </w:rPr>
        <w:t xml:space="preserve"> 54</w:t>
      </w:r>
      <w:r w:rsidR="002878D7">
        <w:rPr>
          <w:rStyle w:val="normaltextrun"/>
          <w:rFonts w:ascii="Aptos" w:hAnsi="Aptos"/>
          <w:lang w:val="fr-FR"/>
        </w:rPr>
        <w:t> %</w:t>
      </w:r>
      <w:r w:rsidR="00F217DC" w:rsidRPr="00653BF4">
        <w:rPr>
          <w:rStyle w:val="normaltextrun"/>
          <w:rFonts w:ascii="Aptos" w:hAnsi="Aptos"/>
          <w:lang w:val="fr-FR"/>
        </w:rPr>
        <w:t xml:space="preserve"> </w:t>
      </w:r>
      <w:r w:rsidR="00076F90" w:rsidRPr="00653BF4">
        <w:rPr>
          <w:rStyle w:val="normaltextrun"/>
          <w:rFonts w:ascii="Aptos" w:hAnsi="Aptos"/>
          <w:lang w:val="fr-FR"/>
        </w:rPr>
        <w:t>n’enregistre</w:t>
      </w:r>
      <w:r w:rsidR="003C11E7" w:rsidRPr="00653BF4">
        <w:rPr>
          <w:rStyle w:val="normaltextrun"/>
          <w:rFonts w:ascii="Aptos" w:hAnsi="Aptos"/>
          <w:lang w:val="fr-FR"/>
        </w:rPr>
        <w:t>nt</w:t>
      </w:r>
      <w:r w:rsidR="00076F90" w:rsidRPr="00653BF4">
        <w:rPr>
          <w:rStyle w:val="normaltextrun"/>
          <w:rFonts w:ascii="Aptos" w:hAnsi="Aptos"/>
          <w:lang w:val="fr-FR"/>
        </w:rPr>
        <w:t xml:space="preserve"> aucun progrès notable ou des progrès insuffisants </w:t>
      </w:r>
      <w:r w:rsidR="00377C60" w:rsidRPr="00653BF4">
        <w:rPr>
          <w:rStyle w:val="normaltextrun"/>
          <w:rFonts w:ascii="Aptos" w:hAnsi="Aptos"/>
          <w:lang w:val="fr-FR"/>
        </w:rPr>
        <w:t>(</w:t>
      </w:r>
      <w:r w:rsidR="00076F90" w:rsidRPr="00653BF4">
        <w:rPr>
          <w:rStyle w:val="normaltextrun"/>
          <w:rFonts w:ascii="Aptos" w:hAnsi="Aptos"/>
          <w:lang w:val="fr-FR"/>
        </w:rPr>
        <w:t xml:space="preserve">voir la </w:t>
      </w:r>
      <w:r w:rsidR="00D80FA5" w:rsidRPr="00653BF4">
        <w:rPr>
          <w:lang w:val="fr-FR"/>
        </w:rPr>
        <w:t>f</w:t>
      </w:r>
      <w:r w:rsidR="00F770B4" w:rsidRPr="00653BF4">
        <w:rPr>
          <w:lang w:val="fr-FR"/>
        </w:rPr>
        <w:t xml:space="preserve">igure </w:t>
      </w:r>
      <w:r w:rsidR="007904D8" w:rsidRPr="00653BF4">
        <w:rPr>
          <w:noProof/>
          <w:lang w:val="fr-FR"/>
        </w:rPr>
        <w:t>27</w:t>
      </w:r>
      <w:r w:rsidR="00377C60" w:rsidRPr="00653BF4">
        <w:rPr>
          <w:rStyle w:val="normaltextrun"/>
          <w:rFonts w:ascii="Aptos" w:hAnsi="Aptos"/>
          <w:lang w:val="fr-FR"/>
        </w:rPr>
        <w:t>).</w:t>
      </w:r>
      <w:r w:rsidR="00377C60" w:rsidRPr="00653BF4">
        <w:rPr>
          <w:rStyle w:val="eop"/>
          <w:rFonts w:ascii="Aptos" w:hAnsi="Aptos"/>
          <w:lang w:val="fr-FR"/>
        </w:rPr>
        <w:t> </w:t>
      </w:r>
    </w:p>
    <w:p w14:paraId="10A5CD98" w14:textId="77777777" w:rsidR="001E30CC" w:rsidRPr="00653BF4" w:rsidRDefault="001E30CC" w:rsidP="00377C60">
      <w:pPr>
        <w:rPr>
          <w:rStyle w:val="eop"/>
          <w:rFonts w:ascii="Aptos" w:hAnsi="Aptos"/>
          <w:lang w:val="fr-FR"/>
        </w:rPr>
      </w:pPr>
    </w:p>
    <w:p w14:paraId="7A92B293" w14:textId="5662FE5B" w:rsidR="001E30CC" w:rsidRPr="00653BF4" w:rsidRDefault="001E30CC" w:rsidP="001E30CC">
      <w:pPr>
        <w:rPr>
          <w:rFonts w:ascii="Aptos" w:hAnsi="Aptos"/>
          <w:sz w:val="20"/>
          <w:szCs w:val="20"/>
          <w:lang w:val="fr-FR"/>
        </w:rPr>
      </w:pPr>
      <w:r w:rsidRPr="00653BF4">
        <w:rPr>
          <w:rFonts w:ascii="Aptos" w:hAnsi="Aptos"/>
          <w:sz w:val="20"/>
          <w:szCs w:val="20"/>
          <w:lang w:val="fr-FR"/>
        </w:rPr>
        <w:t>Figure 27</w:t>
      </w:r>
    </w:p>
    <w:p w14:paraId="68D9A8FC" w14:textId="162757D1" w:rsidR="001E30CC" w:rsidRPr="00653BF4" w:rsidRDefault="00C63F43" w:rsidP="001E30CC">
      <w:pPr>
        <w:rPr>
          <w:rFonts w:ascii="Aptos" w:hAnsi="Aptos"/>
          <w:b/>
          <w:bCs/>
          <w:sz w:val="20"/>
          <w:szCs w:val="20"/>
          <w:lang w:val="fr-FR"/>
        </w:rPr>
      </w:pPr>
      <w:r w:rsidRPr="00653BF4">
        <w:rPr>
          <w:rFonts w:ascii="Aptos" w:hAnsi="Aptos"/>
          <w:b/>
          <w:bCs/>
          <w:sz w:val="20"/>
          <w:szCs w:val="20"/>
          <w:lang w:val="fr-FR"/>
        </w:rPr>
        <w:t xml:space="preserve">Progrès auto-évalués pour l’ensemble des cibles nationales présentées comme étroitement alignées sur la </w:t>
      </w:r>
      <w:r w:rsidR="00E34DC9">
        <w:rPr>
          <w:rFonts w:ascii="Aptos" w:hAnsi="Aptos"/>
          <w:b/>
          <w:bCs/>
          <w:sz w:val="20"/>
          <w:szCs w:val="20"/>
          <w:lang w:val="fr-FR"/>
        </w:rPr>
        <w:t>cible 5</w:t>
      </w:r>
      <w:r w:rsidRPr="00653BF4">
        <w:rPr>
          <w:rFonts w:ascii="Aptos" w:hAnsi="Aptos"/>
          <w:b/>
          <w:bCs/>
          <w:sz w:val="20"/>
          <w:szCs w:val="20"/>
          <w:lang w:val="fr-FR"/>
        </w:rPr>
        <w:t xml:space="preserve"> du Cadre</w:t>
      </w:r>
    </w:p>
    <w:p w14:paraId="399D1431" w14:textId="7DEC6F24" w:rsidR="001E0D56" w:rsidRPr="00653BF4" w:rsidRDefault="00377C60" w:rsidP="008E7C15">
      <w:pPr>
        <w:pStyle w:val="Caption"/>
        <w:rPr>
          <w:lang w:val="fr-FR"/>
        </w:rPr>
      </w:pPr>
      <w:r w:rsidRPr="00653BF4">
        <w:rPr>
          <w:rFonts w:ascii="Aptos" w:eastAsia="Aptos" w:hAnsi="Aptos" w:cs="Aptos"/>
          <w:noProof/>
          <w:lang w:val="fr-FR"/>
        </w:rPr>
        <w:drawing>
          <wp:inline distT="0" distB="0" distL="0" distR="0" wp14:anchorId="03F6BF24" wp14:editId="2C0F7543">
            <wp:extent cx="5731510" cy="2292350"/>
            <wp:effectExtent l="0" t="0" r="0" b="6350"/>
            <wp:docPr id="1529366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66879" name="Picture 1529366879"/>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60A8C0E9" w14:textId="62B8E081" w:rsidR="00DB4365" w:rsidRPr="00653BF4" w:rsidRDefault="006A631C" w:rsidP="00B93A3A">
      <w:pPr>
        <w:pStyle w:val="Caption"/>
        <w:rPr>
          <w:rStyle w:val="normaltextrun"/>
          <w:i w:val="0"/>
          <w:iCs w:val="0"/>
          <w:lang w:val="fr-FR"/>
        </w:rPr>
      </w:pPr>
      <w:r w:rsidRPr="00653BF4">
        <w:rPr>
          <w:lang w:val="fr-FR"/>
        </w:rPr>
        <w:t>Note</w:t>
      </w:r>
      <w:r w:rsidR="00E34DC9">
        <w:rPr>
          <w:lang w:val="fr-FR"/>
        </w:rPr>
        <w:t> :</w:t>
      </w:r>
      <w:r w:rsidR="00DB4365" w:rsidRPr="00653BF4">
        <w:rPr>
          <w:i w:val="0"/>
          <w:iCs w:val="0"/>
          <w:lang w:val="fr-FR"/>
        </w:rPr>
        <w:t xml:space="preserve"> </w:t>
      </w:r>
      <w:r w:rsidR="00071676" w:rsidRPr="00653BF4">
        <w:rPr>
          <w:rFonts w:ascii="Aptos" w:hAnsi="Aptos"/>
          <w:i w:val="0"/>
          <w:iCs w:val="0"/>
          <w:lang w:val="fr-FR"/>
        </w:rPr>
        <w:t>La largeur des barres indique le pourcentage de Parties dans chaque catégorie de note, une note plus élevée correspondant à des progrès plus importants. Les notes sont établies d’après les réponses aux questions de l’indicateur. Le diagramme circulaire représente la répartition par région des Parties ayant répondu à toutes les questions. La couleur de chaque région est indiquée dans la légende de la figure</w:t>
      </w:r>
      <w:r w:rsidR="00E34DC9">
        <w:rPr>
          <w:rFonts w:ascii="Aptos" w:hAnsi="Aptos"/>
          <w:i w:val="0"/>
          <w:iCs w:val="0"/>
          <w:lang w:val="fr-FR"/>
        </w:rPr>
        <w:t> :</w:t>
      </w:r>
      <w:r w:rsidR="00071676"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071676" w:rsidRPr="00653BF4">
        <w:rPr>
          <w:rFonts w:ascii="Aptos" w:hAnsi="Aptos"/>
          <w:i w:val="0"/>
          <w:iCs w:val="0"/>
          <w:lang w:val="fr-FR"/>
        </w:rPr>
        <w:t xml:space="preserve"> les tons plus clairs, la proportion de Parties de la même région dont les données n’y figurent pas.</w:t>
      </w:r>
    </w:p>
    <w:tbl>
      <w:tblPr>
        <w:tblStyle w:val="TableGrid"/>
        <w:tblW w:w="0" w:type="auto"/>
        <w:tblLook w:val="04A0" w:firstRow="1" w:lastRow="0" w:firstColumn="1" w:lastColumn="0" w:noHBand="0" w:noVBand="1"/>
      </w:tblPr>
      <w:tblGrid>
        <w:gridCol w:w="4688"/>
        <w:gridCol w:w="4662"/>
      </w:tblGrid>
      <w:tr w:rsidR="00DD6272" w:rsidRPr="003A6336" w14:paraId="04592DDC" w14:textId="77777777" w:rsidTr="009B4355">
        <w:tc>
          <w:tcPr>
            <w:tcW w:w="0" w:type="auto"/>
            <w:gridSpan w:val="2"/>
          </w:tcPr>
          <w:p w14:paraId="61869D9B" w14:textId="77777777" w:rsidR="00DD6272" w:rsidRPr="00AC517C" w:rsidRDefault="00DD6272" w:rsidP="009B4355">
            <w:pPr>
              <w:rPr>
                <w:rFonts w:ascii="Aptos" w:hAnsi="Aptos"/>
              </w:rPr>
            </w:pPr>
            <w:r w:rsidRPr="00AC517C">
              <w:rPr>
                <w:rFonts w:ascii="Aptos" w:hAnsi="Aptos"/>
              </w:rPr>
              <w:t>Figure 27</w:t>
            </w:r>
          </w:p>
        </w:tc>
      </w:tr>
      <w:tr w:rsidR="00DD6272" w:rsidRPr="003A6336" w14:paraId="387C5A8F" w14:textId="77777777" w:rsidTr="009B4355">
        <w:tc>
          <w:tcPr>
            <w:tcW w:w="0" w:type="auto"/>
          </w:tcPr>
          <w:p w14:paraId="6C410FA2" w14:textId="77777777" w:rsidR="00DD6272" w:rsidRPr="00AC517C" w:rsidRDefault="00DD6272" w:rsidP="009B4355">
            <w:pPr>
              <w:rPr>
                <w:rFonts w:ascii="Aptos" w:hAnsi="Aptos"/>
              </w:rPr>
            </w:pPr>
            <w:r w:rsidRPr="00AC517C">
              <w:rPr>
                <w:rFonts w:ascii="Aptos" w:hAnsi="Aptos"/>
              </w:rPr>
              <w:t>English</w:t>
            </w:r>
          </w:p>
        </w:tc>
        <w:tc>
          <w:tcPr>
            <w:tcW w:w="0" w:type="auto"/>
          </w:tcPr>
          <w:p w14:paraId="1701BB55" w14:textId="77777777" w:rsidR="00DD6272" w:rsidRPr="00AC517C" w:rsidRDefault="00DD6272" w:rsidP="009B4355">
            <w:pPr>
              <w:rPr>
                <w:rFonts w:ascii="Aptos" w:hAnsi="Aptos"/>
              </w:rPr>
            </w:pPr>
            <w:r>
              <w:rPr>
                <w:rFonts w:ascii="Aptos" w:hAnsi="Aptos"/>
              </w:rPr>
              <w:t>Français</w:t>
            </w:r>
          </w:p>
        </w:tc>
      </w:tr>
      <w:tr w:rsidR="00DD6272" w:rsidRPr="003A6336" w14:paraId="24072367" w14:textId="77777777" w:rsidTr="009B4355">
        <w:tc>
          <w:tcPr>
            <w:tcW w:w="0" w:type="auto"/>
          </w:tcPr>
          <w:p w14:paraId="15AB0003" w14:textId="77777777" w:rsidR="00DD6272" w:rsidRPr="003A6336" w:rsidRDefault="00DD6272" w:rsidP="009B4355">
            <w:pPr>
              <w:rPr>
                <w:rFonts w:ascii="Aptos" w:hAnsi="Aptos"/>
              </w:rPr>
            </w:pPr>
            <w:r w:rsidRPr="003A6336">
              <w:rPr>
                <w:rFonts w:ascii="Aptos" w:hAnsi="Aptos"/>
              </w:rPr>
              <w:t>Percentage of national targets</w:t>
            </w:r>
          </w:p>
        </w:tc>
        <w:tc>
          <w:tcPr>
            <w:tcW w:w="0" w:type="auto"/>
          </w:tcPr>
          <w:p w14:paraId="5C2C2152" w14:textId="77777777" w:rsidR="00DD6272" w:rsidRPr="003A6336" w:rsidRDefault="00DD6272" w:rsidP="009B4355">
            <w:pPr>
              <w:rPr>
                <w:rFonts w:ascii="Aptos" w:hAnsi="Aptos"/>
              </w:rPr>
            </w:pPr>
            <w:r>
              <w:t>Pourcentage de cibles nationales</w:t>
            </w:r>
          </w:p>
        </w:tc>
      </w:tr>
      <w:tr w:rsidR="00DD6272" w:rsidRPr="003A6336" w14:paraId="06893E40" w14:textId="77777777" w:rsidTr="009B4355">
        <w:tc>
          <w:tcPr>
            <w:tcW w:w="0" w:type="auto"/>
          </w:tcPr>
          <w:p w14:paraId="40E5ED60" w14:textId="77777777" w:rsidR="00DD6272" w:rsidRPr="003A6336" w:rsidRDefault="00DD6272" w:rsidP="009B4355">
            <w:pPr>
              <w:rPr>
                <w:rFonts w:ascii="Aptos" w:hAnsi="Aptos"/>
              </w:rPr>
            </w:pPr>
            <w:r w:rsidRPr="003A6336">
              <w:rPr>
                <w:rFonts w:ascii="Aptos" w:hAnsi="Aptos"/>
              </w:rPr>
              <w:t>Progress Level</w:t>
            </w:r>
          </w:p>
        </w:tc>
        <w:tc>
          <w:tcPr>
            <w:tcW w:w="0" w:type="auto"/>
          </w:tcPr>
          <w:p w14:paraId="4FD0563D" w14:textId="77777777" w:rsidR="00DD6272" w:rsidRPr="003A6336" w:rsidRDefault="00DD6272" w:rsidP="009B4355">
            <w:pPr>
              <w:rPr>
                <w:rFonts w:ascii="Aptos" w:hAnsi="Aptos"/>
              </w:rPr>
            </w:pPr>
            <w:r w:rsidRPr="006F7AF8">
              <w:rPr>
                <w:rFonts w:ascii="Aptos" w:hAnsi="Aptos"/>
                <w:lang w:val="fr-FR"/>
              </w:rPr>
              <w:t>État d</w:t>
            </w:r>
            <w:r>
              <w:rPr>
                <w:rFonts w:ascii="Aptos" w:hAnsi="Aptos"/>
                <w:lang w:val="fr-FR"/>
              </w:rPr>
              <w:t>’</w:t>
            </w:r>
            <w:r w:rsidRPr="006F7AF8">
              <w:rPr>
                <w:rFonts w:ascii="Aptos" w:hAnsi="Aptos"/>
                <w:lang w:val="fr-FR"/>
              </w:rPr>
              <w:t>avancement</w:t>
            </w:r>
          </w:p>
        </w:tc>
      </w:tr>
      <w:tr w:rsidR="00DD6272" w:rsidRPr="003A6336" w14:paraId="04ACCDB0" w14:textId="77777777" w:rsidTr="009B4355">
        <w:tc>
          <w:tcPr>
            <w:tcW w:w="0" w:type="auto"/>
          </w:tcPr>
          <w:p w14:paraId="5A25D9CA" w14:textId="77777777" w:rsidR="00DD6272" w:rsidRPr="003A6336" w:rsidRDefault="00DD6272" w:rsidP="009B4355">
            <w:pPr>
              <w:rPr>
                <w:rFonts w:ascii="Aptos" w:hAnsi="Aptos"/>
              </w:rPr>
            </w:pPr>
            <w:r w:rsidRPr="003A6336">
              <w:rPr>
                <w:rFonts w:ascii="Aptos" w:hAnsi="Aptos"/>
              </w:rPr>
              <w:t>Achieved</w:t>
            </w:r>
          </w:p>
        </w:tc>
        <w:tc>
          <w:tcPr>
            <w:tcW w:w="0" w:type="auto"/>
          </w:tcPr>
          <w:p w14:paraId="79211197" w14:textId="77777777" w:rsidR="00DD6272" w:rsidRPr="003A6336" w:rsidRDefault="00DD6272" w:rsidP="009B4355">
            <w:pPr>
              <w:rPr>
                <w:rFonts w:ascii="Aptos" w:hAnsi="Aptos"/>
              </w:rPr>
            </w:pPr>
            <w:r>
              <w:t>Cible atteinte</w:t>
            </w:r>
          </w:p>
        </w:tc>
      </w:tr>
      <w:tr w:rsidR="00DD6272" w:rsidRPr="003A6336" w14:paraId="44F53CCF" w14:textId="77777777" w:rsidTr="009B4355">
        <w:tc>
          <w:tcPr>
            <w:tcW w:w="0" w:type="auto"/>
          </w:tcPr>
          <w:p w14:paraId="745B87EA" w14:textId="77777777" w:rsidR="00DD6272" w:rsidRPr="003A6336" w:rsidRDefault="00DD6272" w:rsidP="009B4355">
            <w:pPr>
              <w:rPr>
                <w:rFonts w:ascii="Aptos" w:hAnsi="Aptos"/>
              </w:rPr>
            </w:pPr>
            <w:r w:rsidRPr="003A6336">
              <w:rPr>
                <w:rFonts w:ascii="Aptos" w:hAnsi="Aptos"/>
              </w:rPr>
              <w:t>On track to achieve target</w:t>
            </w:r>
          </w:p>
        </w:tc>
        <w:tc>
          <w:tcPr>
            <w:tcW w:w="0" w:type="auto"/>
          </w:tcPr>
          <w:p w14:paraId="767A17F0" w14:textId="77777777" w:rsidR="00DD6272" w:rsidRPr="003A6336" w:rsidRDefault="00DD6272" w:rsidP="009B4355">
            <w:pPr>
              <w:rPr>
                <w:rFonts w:ascii="Aptos" w:hAnsi="Aptos"/>
              </w:rPr>
            </w:pPr>
            <w:r>
              <w:t>En voie d’atteindre la cible</w:t>
            </w:r>
          </w:p>
        </w:tc>
      </w:tr>
      <w:tr w:rsidR="00DD6272" w:rsidRPr="003A6336" w14:paraId="282E270D" w14:textId="77777777" w:rsidTr="009B4355">
        <w:tc>
          <w:tcPr>
            <w:tcW w:w="0" w:type="auto"/>
          </w:tcPr>
          <w:p w14:paraId="0F2ABD53" w14:textId="77777777" w:rsidR="00DD6272" w:rsidRPr="003A6336" w:rsidRDefault="00DD6272" w:rsidP="009B4355">
            <w:pPr>
              <w:rPr>
                <w:rFonts w:ascii="Aptos" w:hAnsi="Aptos"/>
              </w:rPr>
            </w:pPr>
            <w:r w:rsidRPr="003A6336">
              <w:rPr>
                <w:rFonts w:ascii="Aptos" w:hAnsi="Aptos"/>
              </w:rPr>
              <w:t>Progress towards target but at an insufficient rate</w:t>
            </w:r>
          </w:p>
        </w:tc>
        <w:tc>
          <w:tcPr>
            <w:tcW w:w="0" w:type="auto"/>
          </w:tcPr>
          <w:p w14:paraId="75ADD0BF" w14:textId="77777777" w:rsidR="00DD6272" w:rsidRPr="003A6336" w:rsidRDefault="00DD6272" w:rsidP="009B4355">
            <w:pPr>
              <w:rPr>
                <w:rFonts w:ascii="Aptos" w:hAnsi="Aptos"/>
              </w:rPr>
            </w:pPr>
            <w:r>
              <w:t>Progrès accomplis, mais à un rythme insuffisant</w:t>
            </w:r>
          </w:p>
        </w:tc>
      </w:tr>
      <w:tr w:rsidR="00DD6272" w:rsidRPr="003A6336" w14:paraId="7801D452" w14:textId="77777777" w:rsidTr="009B4355">
        <w:tc>
          <w:tcPr>
            <w:tcW w:w="0" w:type="auto"/>
          </w:tcPr>
          <w:p w14:paraId="0D9CD459" w14:textId="77777777" w:rsidR="00DD6272" w:rsidRPr="003A6336" w:rsidRDefault="00DD6272" w:rsidP="009B4355">
            <w:pPr>
              <w:rPr>
                <w:rFonts w:ascii="Aptos" w:hAnsi="Aptos"/>
              </w:rPr>
            </w:pPr>
            <w:r w:rsidRPr="003A6336">
              <w:rPr>
                <w:rFonts w:ascii="Aptos" w:hAnsi="Aptos"/>
              </w:rPr>
              <w:t>No significant change</w:t>
            </w:r>
          </w:p>
        </w:tc>
        <w:tc>
          <w:tcPr>
            <w:tcW w:w="0" w:type="auto"/>
          </w:tcPr>
          <w:p w14:paraId="548B1DC4" w14:textId="77777777" w:rsidR="00DD6272" w:rsidRPr="003A6336" w:rsidRDefault="00DD6272" w:rsidP="009B4355">
            <w:pPr>
              <w:rPr>
                <w:rFonts w:ascii="Aptos" w:hAnsi="Aptos"/>
              </w:rPr>
            </w:pPr>
            <w:r>
              <w:t>Pas de changement notable</w:t>
            </w:r>
          </w:p>
        </w:tc>
      </w:tr>
      <w:tr w:rsidR="00DD6272" w:rsidRPr="003A6336" w14:paraId="25A1CF1C" w14:textId="77777777" w:rsidTr="009B4355">
        <w:tc>
          <w:tcPr>
            <w:tcW w:w="0" w:type="auto"/>
          </w:tcPr>
          <w:p w14:paraId="793B521C" w14:textId="77777777" w:rsidR="00DD6272" w:rsidRPr="003A6336" w:rsidRDefault="00DD6272" w:rsidP="009B4355">
            <w:pPr>
              <w:rPr>
                <w:rFonts w:ascii="Aptos" w:hAnsi="Aptos"/>
              </w:rPr>
            </w:pPr>
            <w:r w:rsidRPr="003A6336">
              <w:rPr>
                <w:rFonts w:ascii="Aptos" w:hAnsi="Aptos"/>
              </w:rPr>
              <w:t>Unknown</w:t>
            </w:r>
          </w:p>
        </w:tc>
        <w:tc>
          <w:tcPr>
            <w:tcW w:w="0" w:type="auto"/>
          </w:tcPr>
          <w:p w14:paraId="73C9F3FB" w14:textId="77777777" w:rsidR="00DD6272" w:rsidRPr="003A6336" w:rsidRDefault="00DD6272" w:rsidP="009B4355">
            <w:pPr>
              <w:rPr>
                <w:rFonts w:ascii="Aptos" w:hAnsi="Aptos"/>
              </w:rPr>
            </w:pPr>
            <w:r>
              <w:t>Inconnu</w:t>
            </w:r>
          </w:p>
        </w:tc>
      </w:tr>
      <w:tr w:rsidR="00DD6272" w:rsidRPr="003A6336" w14:paraId="33FA79D7" w14:textId="77777777" w:rsidTr="009B4355">
        <w:tc>
          <w:tcPr>
            <w:tcW w:w="0" w:type="auto"/>
          </w:tcPr>
          <w:p w14:paraId="4B932071" w14:textId="77777777" w:rsidR="00DD6272" w:rsidRPr="003A6336" w:rsidRDefault="00DD6272" w:rsidP="009B4355">
            <w:pPr>
              <w:rPr>
                <w:rFonts w:ascii="Aptos" w:hAnsi="Aptos"/>
              </w:rPr>
            </w:pPr>
            <w:r w:rsidRPr="003A6336">
              <w:rPr>
                <w:rFonts w:ascii="Aptos" w:hAnsi="Aptos"/>
              </w:rPr>
              <w:t>Party count: 98</w:t>
            </w:r>
          </w:p>
        </w:tc>
        <w:tc>
          <w:tcPr>
            <w:tcW w:w="0" w:type="auto"/>
          </w:tcPr>
          <w:p w14:paraId="66505C86" w14:textId="77777777" w:rsidR="00DD6272" w:rsidRPr="003A6336" w:rsidRDefault="00DD6272" w:rsidP="009B4355">
            <w:pPr>
              <w:rPr>
                <w:rFonts w:ascii="Aptos" w:hAnsi="Aptos"/>
              </w:rPr>
            </w:pPr>
            <w:r>
              <w:rPr>
                <w:rFonts w:ascii="Aptos" w:hAnsi="Aptos"/>
              </w:rPr>
              <w:t>Nombre de Parties : 98</w:t>
            </w:r>
          </w:p>
        </w:tc>
      </w:tr>
      <w:tr w:rsidR="00DD6272" w:rsidRPr="003A6336" w14:paraId="2B02DCF5" w14:textId="77777777" w:rsidTr="009B4355">
        <w:tc>
          <w:tcPr>
            <w:tcW w:w="0" w:type="auto"/>
          </w:tcPr>
          <w:p w14:paraId="2B20FBEE" w14:textId="77777777" w:rsidR="00DD6272" w:rsidRPr="003A6336" w:rsidRDefault="00DD6272" w:rsidP="009B4355">
            <w:pPr>
              <w:rPr>
                <w:rFonts w:ascii="Aptos" w:hAnsi="Aptos"/>
              </w:rPr>
            </w:pPr>
            <w:r w:rsidRPr="003A6336">
              <w:rPr>
                <w:rFonts w:ascii="Aptos" w:hAnsi="Aptos"/>
              </w:rPr>
              <w:lastRenderedPageBreak/>
              <w:t>Region</w:t>
            </w:r>
          </w:p>
        </w:tc>
        <w:tc>
          <w:tcPr>
            <w:tcW w:w="0" w:type="auto"/>
          </w:tcPr>
          <w:p w14:paraId="2B6DB699" w14:textId="77777777" w:rsidR="00DD6272" w:rsidRPr="003A6336" w:rsidRDefault="00DD6272" w:rsidP="009B4355">
            <w:pPr>
              <w:rPr>
                <w:rFonts w:ascii="Aptos" w:hAnsi="Aptos"/>
              </w:rPr>
            </w:pPr>
            <w:r w:rsidRPr="006F7AF8">
              <w:rPr>
                <w:rFonts w:ascii="Aptos" w:hAnsi="Aptos"/>
                <w:lang w:val="fr-FR"/>
              </w:rPr>
              <w:t>Région</w:t>
            </w:r>
          </w:p>
        </w:tc>
      </w:tr>
      <w:tr w:rsidR="00DD6272" w:rsidRPr="003A6336" w14:paraId="23CCAFCD" w14:textId="77777777" w:rsidTr="009B4355">
        <w:tc>
          <w:tcPr>
            <w:tcW w:w="0" w:type="auto"/>
          </w:tcPr>
          <w:p w14:paraId="27E36086" w14:textId="77777777" w:rsidR="00DD6272" w:rsidRPr="003A6336" w:rsidRDefault="00DD6272" w:rsidP="009B4355">
            <w:pPr>
              <w:rPr>
                <w:rFonts w:ascii="Aptos" w:hAnsi="Aptos"/>
              </w:rPr>
            </w:pPr>
            <w:r w:rsidRPr="6D03A27B">
              <w:rPr>
                <w:rFonts w:ascii="Aptos" w:hAnsi="Aptos"/>
              </w:rPr>
              <w:t>African States</w:t>
            </w:r>
          </w:p>
        </w:tc>
        <w:tc>
          <w:tcPr>
            <w:tcW w:w="0" w:type="auto"/>
          </w:tcPr>
          <w:p w14:paraId="58FAAD06"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DD6272" w:rsidRPr="003A6336" w14:paraId="26765E6A" w14:textId="77777777" w:rsidTr="009B4355">
        <w:tc>
          <w:tcPr>
            <w:tcW w:w="0" w:type="auto"/>
          </w:tcPr>
          <w:p w14:paraId="7E80FF2B" w14:textId="77777777" w:rsidR="00DD6272" w:rsidRPr="003A6336" w:rsidRDefault="00DD6272" w:rsidP="009B4355">
            <w:pPr>
              <w:rPr>
                <w:rFonts w:ascii="Aptos" w:hAnsi="Aptos"/>
              </w:rPr>
            </w:pPr>
            <w:r w:rsidRPr="6D03A27B">
              <w:rPr>
                <w:rFonts w:ascii="Aptos" w:hAnsi="Aptos"/>
              </w:rPr>
              <w:t>Asia-Pacific States</w:t>
            </w:r>
          </w:p>
        </w:tc>
        <w:tc>
          <w:tcPr>
            <w:tcW w:w="0" w:type="auto"/>
          </w:tcPr>
          <w:p w14:paraId="35CA2190"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DD6272" w:rsidRPr="003A6336" w14:paraId="0EAB88E5" w14:textId="77777777" w:rsidTr="009B4355">
        <w:tc>
          <w:tcPr>
            <w:tcW w:w="0" w:type="auto"/>
          </w:tcPr>
          <w:p w14:paraId="2610DED4" w14:textId="77777777" w:rsidR="00DD6272" w:rsidRPr="003A6336" w:rsidRDefault="00DD6272" w:rsidP="009B4355">
            <w:pPr>
              <w:rPr>
                <w:rFonts w:ascii="Aptos" w:hAnsi="Aptos"/>
              </w:rPr>
            </w:pPr>
            <w:r w:rsidRPr="6D03A27B">
              <w:rPr>
                <w:rFonts w:ascii="Aptos" w:hAnsi="Aptos"/>
              </w:rPr>
              <w:t>Latin American and Caribbean States</w:t>
            </w:r>
          </w:p>
        </w:tc>
        <w:tc>
          <w:tcPr>
            <w:tcW w:w="0" w:type="auto"/>
          </w:tcPr>
          <w:p w14:paraId="70412814"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DD6272" w:rsidRPr="003A6336" w14:paraId="047B6895" w14:textId="77777777" w:rsidTr="009B4355">
        <w:tc>
          <w:tcPr>
            <w:tcW w:w="0" w:type="auto"/>
          </w:tcPr>
          <w:p w14:paraId="65AF75F5" w14:textId="77777777" w:rsidR="00DD6272" w:rsidRPr="003A6336" w:rsidRDefault="00DD6272" w:rsidP="009B4355">
            <w:pPr>
              <w:rPr>
                <w:rFonts w:ascii="Aptos" w:hAnsi="Aptos"/>
              </w:rPr>
            </w:pPr>
            <w:r>
              <w:rPr>
                <w:rFonts w:ascii="Aptos" w:hAnsi="Aptos"/>
              </w:rPr>
              <w:t>Eastern</w:t>
            </w:r>
            <w:r w:rsidRPr="6D03A27B">
              <w:rPr>
                <w:rFonts w:ascii="Aptos" w:hAnsi="Aptos"/>
              </w:rPr>
              <w:t xml:space="preserve"> European States</w:t>
            </w:r>
          </w:p>
        </w:tc>
        <w:tc>
          <w:tcPr>
            <w:tcW w:w="0" w:type="auto"/>
          </w:tcPr>
          <w:p w14:paraId="174D1DC2"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DD6272" w:rsidRPr="003A6336" w14:paraId="2D538BB7" w14:textId="77777777" w:rsidTr="009B4355">
        <w:tc>
          <w:tcPr>
            <w:tcW w:w="0" w:type="auto"/>
          </w:tcPr>
          <w:p w14:paraId="0D67CC16" w14:textId="77777777" w:rsidR="00DD6272" w:rsidRPr="003A6336" w:rsidRDefault="00DD6272" w:rsidP="009B4355">
            <w:pPr>
              <w:rPr>
                <w:rFonts w:ascii="Aptos" w:hAnsi="Aptos"/>
              </w:rPr>
            </w:pPr>
            <w:r w:rsidRPr="6D03A27B">
              <w:rPr>
                <w:rFonts w:ascii="Aptos" w:hAnsi="Aptos"/>
              </w:rPr>
              <w:t xml:space="preserve">Western European and other States </w:t>
            </w:r>
          </w:p>
        </w:tc>
        <w:tc>
          <w:tcPr>
            <w:tcW w:w="0" w:type="auto"/>
          </w:tcPr>
          <w:p w14:paraId="620D250F"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5F22F745" w14:textId="77777777" w:rsidR="009A12FE" w:rsidRPr="00653BF4" w:rsidRDefault="009A12FE" w:rsidP="00B7016F">
      <w:pPr>
        <w:pStyle w:val="Heading5"/>
        <w:rPr>
          <w:lang w:val="fr-FR"/>
        </w:rPr>
      </w:pPr>
    </w:p>
    <w:p w14:paraId="0982656C" w14:textId="4D475642" w:rsidR="00D31C9C" w:rsidRPr="00653BF4" w:rsidRDefault="00B43BEA" w:rsidP="00B7016F">
      <w:pPr>
        <w:pStyle w:val="Heading5"/>
        <w:rPr>
          <w:lang w:val="fr-FR"/>
        </w:rPr>
      </w:pPr>
      <w:r w:rsidRPr="00653BF4">
        <w:rPr>
          <w:lang w:val="fr-FR"/>
        </w:rPr>
        <w:t>Actions, réussites et difficultés dans la mise en œuvre</w:t>
      </w:r>
    </w:p>
    <w:p w14:paraId="78D0CEC8" w14:textId="77777777" w:rsidR="008B5591" w:rsidRPr="00653BF4" w:rsidRDefault="008B5591" w:rsidP="008B5591">
      <w:pPr>
        <w:rPr>
          <w:lang w:val="fr-FR"/>
        </w:rPr>
      </w:pPr>
    </w:p>
    <w:p w14:paraId="6BEEF520" w14:textId="5E462A79" w:rsidR="00010A63" w:rsidRPr="00653BF4" w:rsidRDefault="00B43BEA" w:rsidP="000E5F6C">
      <w:pPr>
        <w:pStyle w:val="Heading6"/>
        <w:rPr>
          <w:lang w:val="fr-FR"/>
        </w:rPr>
      </w:pPr>
      <w:bookmarkStart w:id="141" w:name="_Toc235821108"/>
      <w:r w:rsidRPr="00653BF4">
        <w:rPr>
          <w:lang w:val="fr-FR"/>
        </w:rPr>
        <w:t xml:space="preserve">Résumé des actions menées à l’appui de la </w:t>
      </w:r>
      <w:r w:rsidR="00E34DC9">
        <w:rPr>
          <w:lang w:val="fr-FR"/>
        </w:rPr>
        <w:t>cible 5</w:t>
      </w:r>
      <w:bookmarkEnd w:id="141"/>
      <w:r w:rsidR="00FB5C0F" w:rsidRPr="00653BF4">
        <w:rPr>
          <w:lang w:val="fr-FR"/>
        </w:rPr>
        <w:t xml:space="preserve"> </w:t>
      </w:r>
      <w:r w:rsidR="00272FFA" w:rsidRPr="00653BF4">
        <w:rPr>
          <w:lang w:val="fr-FR"/>
        </w:rPr>
        <w:t>du Cadre</w:t>
      </w:r>
    </w:p>
    <w:p w14:paraId="1084E0F7" w14:textId="77777777" w:rsidR="008B5591" w:rsidRPr="00653BF4" w:rsidRDefault="008B5591" w:rsidP="008B5591">
      <w:pPr>
        <w:rPr>
          <w:lang w:val="fr-FR"/>
        </w:rPr>
      </w:pPr>
    </w:p>
    <w:p w14:paraId="1ED7FB4A" w14:textId="0D8F57F0" w:rsidR="00141CE0" w:rsidRPr="00653BF4" w:rsidRDefault="008757A9" w:rsidP="00141CE0">
      <w:pPr>
        <w:rPr>
          <w:lang w:val="fr-FR"/>
        </w:rPr>
      </w:pPr>
      <w:r w:rsidRPr="008757A9">
        <w:rPr>
          <w:lang w:val="fr-FR"/>
        </w:rPr>
        <w:t xml:space="preserve">Les types d’actions les plus courants liés à </w:t>
      </w:r>
      <w:r w:rsidR="007179C0">
        <w:rPr>
          <w:lang w:val="fr-FR"/>
        </w:rPr>
        <w:t xml:space="preserve">la </w:t>
      </w:r>
      <w:r w:rsidR="00E34DC9">
        <w:rPr>
          <w:lang w:val="fr-FR"/>
        </w:rPr>
        <w:t>cible 5</w:t>
      </w:r>
      <w:r w:rsidRPr="008757A9">
        <w:rPr>
          <w:lang w:val="fr-FR"/>
        </w:rPr>
        <w:t xml:space="preserve"> dans les rapports des Parties sont la mise en œuvre des contrôles du commerce international établis par la CITES, associée à des cadres juridiques nationaux régissant la chasse, la pêche et la récolte d’espèces sauvages (voir les encadrés 20 et 21). Ces actions s’accompagnent d’opérations de contrôle et, dans de nombreux cas, d’une mobilisation des communautés. Parmi les mesures spécifiques relatives à la gestion durable de la pêche figurent les fermetures saisonnières, les quotas, les restrictions concernant les engins de pêche et la lutte contre la pêche illicite, non déclarée et non réglementée. Les activités de recherche et de suivi comprennent l’évaluation des stocks d’espèces, les programmes de suivi des populations, y compris l’utilisation de l’ADN environnemental (ADN-e), et les conclusions d’absence d’effet préjudiciable. De nombreuses Parties font état de campagnes de sensibilisation du public et de mesures telles que</w:t>
      </w:r>
      <w:r w:rsidR="00BE6933">
        <w:rPr>
          <w:lang w:val="fr-FR"/>
        </w:rPr>
        <w:t xml:space="preserve"> l’éco</w:t>
      </w:r>
      <w:r w:rsidR="000C2BE4">
        <w:rPr>
          <w:lang w:val="fr-FR"/>
        </w:rPr>
        <w:t>certification</w:t>
      </w:r>
      <w:r w:rsidR="00BE6933">
        <w:rPr>
          <w:lang w:val="fr-FR"/>
        </w:rPr>
        <w:t xml:space="preserve"> </w:t>
      </w:r>
      <w:r w:rsidRPr="008757A9">
        <w:rPr>
          <w:lang w:val="fr-FR"/>
        </w:rPr>
        <w:t xml:space="preserve">et la certification volontaire visant à fournir un appui à la récolte durable des espèces sauvages. Une minorité de Parties fait état de mesures visant à lutter contre la transmission d’agents pathogènes, notamment par le biais d’approches </w:t>
      </w:r>
      <w:r w:rsidR="00E34DC9">
        <w:rPr>
          <w:lang w:val="fr-FR"/>
        </w:rPr>
        <w:t>« </w:t>
      </w:r>
      <w:r w:rsidRPr="008757A9">
        <w:rPr>
          <w:lang w:val="fr-FR"/>
        </w:rPr>
        <w:t>Une seule santé</w:t>
      </w:r>
      <w:r w:rsidR="00E34DC9">
        <w:rPr>
          <w:lang w:val="fr-FR"/>
        </w:rPr>
        <w:t> »</w:t>
      </w:r>
      <w:r w:rsidRPr="008757A9">
        <w:rPr>
          <w:lang w:val="fr-FR"/>
        </w:rPr>
        <w:t>.</w:t>
      </w:r>
    </w:p>
    <w:p w14:paraId="6CC23F0C" w14:textId="77777777" w:rsidR="00781B43" w:rsidRPr="00653BF4" w:rsidRDefault="00781B43" w:rsidP="006D1392">
      <w:pPr>
        <w:rPr>
          <w:lang w:val="fr-FR"/>
        </w:rPr>
      </w:pPr>
    </w:p>
    <w:p w14:paraId="7037688E" w14:textId="7E40B350" w:rsidR="00B7016F" w:rsidRPr="00653BF4" w:rsidRDefault="00EF7133" w:rsidP="00781B43">
      <w:pPr>
        <w:pStyle w:val="Heading6"/>
        <w:rPr>
          <w:lang w:val="fr-FR"/>
        </w:rPr>
      </w:pPr>
      <w:r w:rsidRPr="00653BF4">
        <w:rPr>
          <w:lang w:val="fr-FR"/>
        </w:rPr>
        <w:t xml:space="preserve">Exemples de réussites et de progrès réalisées dans la mise en œuvre </w:t>
      </w:r>
    </w:p>
    <w:p w14:paraId="5910CE6C" w14:textId="77777777" w:rsidR="00356384" w:rsidRPr="00653BF4" w:rsidRDefault="00356384" w:rsidP="003153D8">
      <w:pPr>
        <w:rPr>
          <w:sz w:val="20"/>
          <w:szCs w:val="20"/>
          <w:lang w:val="fr-FR"/>
        </w:rPr>
      </w:pPr>
    </w:p>
    <w:p w14:paraId="79F4822D" w14:textId="2218051A" w:rsidR="00356384" w:rsidRPr="00653BF4" w:rsidRDefault="00356384" w:rsidP="003153D8">
      <w:pPr>
        <w:pStyle w:val="Caption"/>
        <w:rPr>
          <w:b/>
          <w:i w:val="0"/>
          <w:sz w:val="20"/>
          <w:szCs w:val="20"/>
          <w:lang w:val="fr-FR"/>
        </w:rPr>
      </w:pPr>
    </w:p>
    <w:tbl>
      <w:tblPr>
        <w:tblStyle w:val="TableGrid"/>
        <w:tblW w:w="0" w:type="auto"/>
        <w:tblLook w:val="04A0" w:firstRow="1" w:lastRow="0" w:firstColumn="1" w:lastColumn="0" w:noHBand="0" w:noVBand="1"/>
      </w:tblPr>
      <w:tblGrid>
        <w:gridCol w:w="9350"/>
      </w:tblGrid>
      <w:tr w:rsidR="000B720B" w:rsidRPr="00543148" w14:paraId="05116448" w14:textId="77777777" w:rsidTr="00E15DFE">
        <w:tc>
          <w:tcPr>
            <w:tcW w:w="10627" w:type="dxa"/>
            <w:shd w:val="clear" w:color="auto" w:fill="D1D1D1" w:themeFill="background2" w:themeFillShade="E6"/>
          </w:tcPr>
          <w:p w14:paraId="75A8E13B" w14:textId="5EFA7D30" w:rsidR="000B720B" w:rsidRPr="00653BF4" w:rsidRDefault="000B720B" w:rsidP="000B720B">
            <w:pPr>
              <w:rPr>
                <w:i/>
                <w:iCs/>
                <w:lang w:val="fr-FR"/>
              </w:rPr>
            </w:pPr>
          </w:p>
          <w:p w14:paraId="051E0269" w14:textId="5FA79186" w:rsidR="00882511" w:rsidRPr="00653BF4" w:rsidRDefault="0024766A" w:rsidP="00882511">
            <w:pPr>
              <w:rPr>
                <w:sz w:val="20"/>
                <w:szCs w:val="20"/>
                <w:lang w:val="fr-FR"/>
              </w:rPr>
            </w:pPr>
            <w:r w:rsidRPr="00653BF4">
              <w:rPr>
                <w:sz w:val="20"/>
                <w:szCs w:val="20"/>
                <w:lang w:val="fr-FR"/>
              </w:rPr>
              <w:t>Encadré</w:t>
            </w:r>
            <w:r w:rsidR="00882511" w:rsidRPr="00653BF4">
              <w:rPr>
                <w:sz w:val="20"/>
                <w:szCs w:val="20"/>
                <w:lang w:val="fr-FR"/>
              </w:rPr>
              <w:t xml:space="preserve"> </w:t>
            </w:r>
            <w:r w:rsidR="008306DF" w:rsidRPr="00653BF4">
              <w:rPr>
                <w:noProof/>
                <w:sz w:val="20"/>
                <w:szCs w:val="20"/>
                <w:lang w:val="fr-FR"/>
              </w:rPr>
              <w:t>20</w:t>
            </w:r>
          </w:p>
          <w:p w14:paraId="6B877ACC" w14:textId="77777777" w:rsidR="00882511" w:rsidRPr="00653BF4" w:rsidRDefault="00882511" w:rsidP="00882511">
            <w:pPr>
              <w:rPr>
                <w:sz w:val="20"/>
                <w:szCs w:val="20"/>
                <w:lang w:val="fr-FR"/>
              </w:rPr>
            </w:pPr>
          </w:p>
          <w:p w14:paraId="33D81EB0" w14:textId="123CB0F6" w:rsidR="00882511" w:rsidRPr="00653BF4" w:rsidRDefault="00537EF0" w:rsidP="00882511">
            <w:pPr>
              <w:rPr>
                <w:b/>
                <w:bCs/>
                <w:sz w:val="20"/>
                <w:szCs w:val="20"/>
                <w:lang w:val="fr-FR"/>
              </w:rPr>
            </w:pPr>
            <w:r w:rsidRPr="00537EF0">
              <w:rPr>
                <w:b/>
                <w:bCs/>
                <w:sz w:val="20"/>
                <w:szCs w:val="20"/>
                <w:lang w:val="fr-FR"/>
              </w:rPr>
              <w:t>Une entreprise axée sur la biodiversité qui lie la collecte d’espèces sauvages à des chaînes de valeur réglementées au Zimbabwe</w:t>
            </w:r>
          </w:p>
          <w:p w14:paraId="6A573F3E" w14:textId="77777777" w:rsidR="00882511" w:rsidRPr="00653BF4" w:rsidRDefault="00882511" w:rsidP="00882511">
            <w:pPr>
              <w:rPr>
                <w:sz w:val="20"/>
                <w:szCs w:val="20"/>
                <w:lang w:val="fr-FR"/>
              </w:rPr>
            </w:pPr>
          </w:p>
          <w:p w14:paraId="26BFDE0A" w14:textId="49E23996" w:rsidR="007C0064" w:rsidRDefault="007C0064" w:rsidP="007C0064">
            <w:pPr>
              <w:spacing w:line="276" w:lineRule="auto"/>
              <w:rPr>
                <w:rFonts w:ascii="Aptos" w:eastAsia="Aptos" w:hAnsi="Aptos" w:cs="Aptos"/>
                <w:color w:val="000000" w:themeColor="text1"/>
                <w:sz w:val="20"/>
                <w:szCs w:val="20"/>
                <w:lang w:val="fr-FR" w:eastAsia="zh-CN"/>
              </w:rPr>
            </w:pPr>
            <w:r w:rsidRPr="007C0064">
              <w:rPr>
                <w:rFonts w:ascii="Aptos" w:eastAsia="Aptos" w:hAnsi="Aptos" w:cs="Aptos"/>
                <w:color w:val="000000" w:themeColor="text1"/>
                <w:sz w:val="20"/>
                <w:szCs w:val="20"/>
                <w:lang w:val="fr-FR" w:eastAsia="zh-CN"/>
              </w:rPr>
              <w:lastRenderedPageBreak/>
              <w:t xml:space="preserve">Le Zimbabwe a démontré comment renforcer les chaînes de valeur </w:t>
            </w:r>
            <w:r w:rsidR="00022615">
              <w:rPr>
                <w:rFonts w:ascii="Aptos" w:eastAsia="Aptos" w:hAnsi="Aptos" w:cs="Aptos"/>
                <w:color w:val="000000" w:themeColor="text1"/>
                <w:sz w:val="20"/>
                <w:szCs w:val="20"/>
                <w:lang w:val="fr-FR" w:eastAsia="zh-CN"/>
              </w:rPr>
              <w:t>fondées</w:t>
            </w:r>
            <w:r w:rsidRPr="007C0064">
              <w:rPr>
                <w:rFonts w:ascii="Aptos" w:eastAsia="Aptos" w:hAnsi="Aptos" w:cs="Aptos"/>
                <w:color w:val="000000" w:themeColor="text1"/>
                <w:sz w:val="20"/>
                <w:szCs w:val="20"/>
                <w:lang w:val="fr-FR" w:eastAsia="zh-CN"/>
              </w:rPr>
              <w:t xml:space="preserve"> sur la biodiversité en </w:t>
            </w:r>
            <w:r w:rsidR="002E68A4">
              <w:rPr>
                <w:rFonts w:ascii="Aptos" w:eastAsia="Aptos" w:hAnsi="Aptos" w:cs="Aptos"/>
                <w:color w:val="000000" w:themeColor="text1"/>
                <w:sz w:val="20"/>
                <w:szCs w:val="20"/>
                <w:lang w:val="fr-FR" w:eastAsia="zh-CN"/>
              </w:rPr>
              <w:t>procédant à l’intégration de</w:t>
            </w:r>
            <w:r w:rsidRPr="007C0064">
              <w:rPr>
                <w:rFonts w:ascii="Aptos" w:eastAsia="Aptos" w:hAnsi="Aptos" w:cs="Aptos"/>
                <w:color w:val="000000" w:themeColor="text1"/>
                <w:sz w:val="20"/>
                <w:szCs w:val="20"/>
                <w:lang w:val="fr-FR" w:eastAsia="zh-CN"/>
              </w:rPr>
              <w:t xml:space="preserve"> la gouvernance de la faune et de la flore sauvages, </w:t>
            </w:r>
            <w:r w:rsidR="002E68A4">
              <w:rPr>
                <w:rFonts w:ascii="Aptos" w:eastAsia="Aptos" w:hAnsi="Aptos" w:cs="Aptos"/>
                <w:color w:val="000000" w:themeColor="text1"/>
                <w:sz w:val="20"/>
                <w:szCs w:val="20"/>
                <w:lang w:val="fr-FR" w:eastAsia="zh-CN"/>
              </w:rPr>
              <w:t xml:space="preserve">de </w:t>
            </w:r>
            <w:r w:rsidRPr="007C0064">
              <w:rPr>
                <w:rFonts w:ascii="Aptos" w:eastAsia="Aptos" w:hAnsi="Aptos" w:cs="Aptos"/>
                <w:color w:val="000000" w:themeColor="text1"/>
                <w:sz w:val="20"/>
                <w:szCs w:val="20"/>
                <w:lang w:val="fr-FR" w:eastAsia="zh-CN"/>
              </w:rPr>
              <w:t xml:space="preserve">la participation communautaire </w:t>
            </w:r>
            <w:r w:rsidR="002E68A4">
              <w:rPr>
                <w:rFonts w:ascii="Aptos" w:eastAsia="Aptos" w:hAnsi="Aptos" w:cs="Aptos"/>
                <w:color w:val="000000" w:themeColor="text1"/>
                <w:sz w:val="20"/>
                <w:szCs w:val="20"/>
                <w:lang w:val="fr-FR" w:eastAsia="zh-CN"/>
              </w:rPr>
              <w:t xml:space="preserve">et </w:t>
            </w:r>
            <w:r w:rsidRPr="007C0064">
              <w:rPr>
                <w:rFonts w:ascii="Aptos" w:eastAsia="Aptos" w:hAnsi="Aptos" w:cs="Aptos"/>
                <w:color w:val="000000" w:themeColor="text1"/>
                <w:sz w:val="20"/>
                <w:szCs w:val="20"/>
                <w:lang w:val="fr-FR" w:eastAsia="zh-CN"/>
              </w:rPr>
              <w:t xml:space="preserve">des mesures visant à créer de la valeur commerciale. Le pays s’est attaqué aux </w:t>
            </w:r>
            <w:r w:rsidR="009D3194">
              <w:rPr>
                <w:rFonts w:ascii="Aptos" w:eastAsia="Aptos" w:hAnsi="Aptos" w:cs="Aptos"/>
                <w:color w:val="000000" w:themeColor="text1"/>
                <w:sz w:val="20"/>
                <w:szCs w:val="20"/>
                <w:lang w:val="fr-FR" w:eastAsia="zh-CN"/>
              </w:rPr>
              <w:t>difficultés</w:t>
            </w:r>
            <w:r w:rsidRPr="007C0064">
              <w:rPr>
                <w:rFonts w:ascii="Aptos" w:eastAsia="Aptos" w:hAnsi="Aptos" w:cs="Aptos"/>
                <w:color w:val="000000" w:themeColor="text1"/>
                <w:sz w:val="20"/>
                <w:szCs w:val="20"/>
                <w:lang w:val="fr-FR" w:eastAsia="zh-CN"/>
              </w:rPr>
              <w:t xml:space="preserve"> persistant</w:t>
            </w:r>
            <w:r w:rsidR="009D3194">
              <w:rPr>
                <w:rFonts w:ascii="Aptos" w:eastAsia="Aptos" w:hAnsi="Aptos" w:cs="Aptos"/>
                <w:color w:val="000000" w:themeColor="text1"/>
                <w:sz w:val="20"/>
                <w:szCs w:val="20"/>
                <w:lang w:val="fr-FR" w:eastAsia="zh-CN"/>
              </w:rPr>
              <w:t>e</w:t>
            </w:r>
            <w:r w:rsidRPr="007C0064">
              <w:rPr>
                <w:rFonts w:ascii="Aptos" w:eastAsia="Aptos" w:hAnsi="Aptos" w:cs="Aptos"/>
                <w:color w:val="000000" w:themeColor="text1"/>
                <w:sz w:val="20"/>
                <w:szCs w:val="20"/>
                <w:lang w:val="fr-FR" w:eastAsia="zh-CN"/>
              </w:rPr>
              <w:t>s lié</w:t>
            </w:r>
            <w:r w:rsidR="009D3194">
              <w:rPr>
                <w:rFonts w:ascii="Aptos" w:eastAsia="Aptos" w:hAnsi="Aptos" w:cs="Aptos"/>
                <w:color w:val="000000" w:themeColor="text1"/>
                <w:sz w:val="20"/>
                <w:szCs w:val="20"/>
                <w:lang w:val="fr-FR" w:eastAsia="zh-CN"/>
              </w:rPr>
              <w:t>e</w:t>
            </w:r>
            <w:r w:rsidRPr="007C0064">
              <w:rPr>
                <w:rFonts w:ascii="Aptos" w:eastAsia="Aptos" w:hAnsi="Aptos" w:cs="Aptos"/>
                <w:color w:val="000000" w:themeColor="text1"/>
                <w:sz w:val="20"/>
                <w:szCs w:val="20"/>
                <w:lang w:val="fr-FR" w:eastAsia="zh-CN"/>
              </w:rPr>
              <w:t>s à l’exploitation non durable des espèces sauvages et des produits forestiers non ligneux, notamment l’extraction illégale, la dégradation des habitats, la faiblesse des cadres réglementaires, les capacités de transformation locales limitées et les faibles revenus des producteurs ruraux. Ces défis étaient particulièrement évidents dans des paysages riches en biodiversité tels que la vallée du Zambèze et la région du Lowveld, où le commerce illégal de la faune et de la flore sauvages et l’épuisement des ressources menaçaient à la fois les moyens de subsistance et les résultats en matière de conservation.</w:t>
            </w:r>
          </w:p>
          <w:p w14:paraId="5DA2ABFC" w14:textId="77777777" w:rsidR="007C0064" w:rsidRPr="007C0064" w:rsidRDefault="007C0064" w:rsidP="007C0064">
            <w:pPr>
              <w:spacing w:line="276" w:lineRule="auto"/>
              <w:rPr>
                <w:rFonts w:ascii="Aptos" w:eastAsia="Aptos" w:hAnsi="Aptos" w:cs="Aptos"/>
                <w:color w:val="000000" w:themeColor="text1"/>
                <w:sz w:val="20"/>
                <w:szCs w:val="20"/>
                <w:lang w:val="fr-FR" w:eastAsia="zh-CN"/>
              </w:rPr>
            </w:pPr>
          </w:p>
          <w:p w14:paraId="29B5F608" w14:textId="77777777" w:rsidR="007C0064" w:rsidRDefault="007C0064" w:rsidP="007C0064">
            <w:pPr>
              <w:spacing w:line="276" w:lineRule="auto"/>
              <w:rPr>
                <w:rFonts w:ascii="Aptos" w:eastAsia="Aptos" w:hAnsi="Aptos" w:cs="Aptos"/>
                <w:color w:val="000000" w:themeColor="text1"/>
                <w:sz w:val="20"/>
                <w:szCs w:val="20"/>
                <w:lang w:val="fr-FR" w:eastAsia="zh-CN"/>
              </w:rPr>
            </w:pPr>
            <w:r w:rsidRPr="007C0064">
              <w:rPr>
                <w:rFonts w:ascii="Aptos" w:eastAsia="Aptos" w:hAnsi="Aptos" w:cs="Aptos"/>
                <w:color w:val="000000" w:themeColor="text1"/>
                <w:sz w:val="20"/>
                <w:szCs w:val="20"/>
                <w:lang w:val="fr-FR" w:eastAsia="zh-CN"/>
              </w:rPr>
              <w:t>Depuis 2021, le Zimbabwe a mis en œuvre une série d’interventions complémentaires à travers le pays, avec des initiatives phares axées sur le marula (</w:t>
            </w:r>
            <w:r w:rsidRPr="007C0064">
              <w:rPr>
                <w:rFonts w:ascii="Aptos" w:eastAsia="Aptos" w:hAnsi="Aptos" w:cs="Aptos"/>
                <w:i/>
                <w:iCs/>
                <w:color w:val="000000" w:themeColor="text1"/>
                <w:sz w:val="20"/>
                <w:szCs w:val="20"/>
                <w:lang w:val="fr-FR" w:eastAsia="zh-CN"/>
              </w:rPr>
              <w:t>Sclerocarya birrea</w:t>
            </w:r>
            <w:r w:rsidRPr="007C0064">
              <w:rPr>
                <w:rFonts w:ascii="Aptos" w:eastAsia="Aptos" w:hAnsi="Aptos" w:cs="Aptos"/>
                <w:color w:val="000000" w:themeColor="text1"/>
                <w:sz w:val="20"/>
                <w:szCs w:val="20"/>
                <w:lang w:val="fr-FR" w:eastAsia="zh-CN"/>
              </w:rPr>
              <w:t xml:space="preserve">) à Mwenezi, sur le ver du mopane </w:t>
            </w:r>
            <w:r w:rsidRPr="007C0064">
              <w:rPr>
                <w:rFonts w:ascii="Aptos" w:eastAsia="Aptos" w:hAnsi="Aptos" w:cs="Aptos"/>
                <w:i/>
                <w:iCs/>
                <w:color w:val="000000" w:themeColor="text1"/>
                <w:sz w:val="20"/>
                <w:szCs w:val="20"/>
                <w:lang w:val="fr-FR" w:eastAsia="zh-CN"/>
              </w:rPr>
              <w:t>(Gonimbrasia belina)</w:t>
            </w:r>
            <w:r w:rsidRPr="007C0064">
              <w:rPr>
                <w:rFonts w:ascii="Aptos" w:eastAsia="Aptos" w:hAnsi="Aptos" w:cs="Aptos"/>
                <w:color w:val="000000" w:themeColor="text1"/>
                <w:sz w:val="20"/>
                <w:szCs w:val="20"/>
                <w:lang w:val="fr-FR" w:eastAsia="zh-CN"/>
              </w:rPr>
              <w:t xml:space="preserve"> à Beitbridge et Matobo, sur le masawu (</w:t>
            </w:r>
            <w:r w:rsidRPr="007C0064">
              <w:rPr>
                <w:rFonts w:ascii="Aptos" w:eastAsia="Aptos" w:hAnsi="Aptos" w:cs="Aptos"/>
                <w:i/>
                <w:iCs/>
                <w:color w:val="000000" w:themeColor="text1"/>
                <w:sz w:val="20"/>
                <w:szCs w:val="20"/>
                <w:lang w:val="fr-FR" w:eastAsia="zh-CN"/>
              </w:rPr>
              <w:t>Ziziphus</w:t>
            </w:r>
            <w:r w:rsidRPr="007C0064">
              <w:rPr>
                <w:rFonts w:ascii="Aptos" w:eastAsia="Aptos" w:hAnsi="Aptos" w:cs="Aptos"/>
                <w:color w:val="000000" w:themeColor="text1"/>
                <w:sz w:val="20"/>
                <w:szCs w:val="20"/>
                <w:lang w:val="fr-FR" w:eastAsia="zh-CN"/>
              </w:rPr>
              <w:t xml:space="preserve"> spp.) à Muzarabani, sur le tamarin (</w:t>
            </w:r>
            <w:r w:rsidRPr="007C0064">
              <w:rPr>
                <w:rFonts w:ascii="Aptos" w:eastAsia="Aptos" w:hAnsi="Aptos" w:cs="Aptos"/>
                <w:i/>
                <w:iCs/>
                <w:color w:val="000000" w:themeColor="text1"/>
                <w:sz w:val="20"/>
                <w:szCs w:val="20"/>
                <w:lang w:val="fr-FR" w:eastAsia="zh-CN"/>
              </w:rPr>
              <w:t>Tamarindus indica</w:t>
            </w:r>
            <w:r w:rsidRPr="007C0064">
              <w:rPr>
                <w:rFonts w:ascii="Aptos" w:eastAsia="Aptos" w:hAnsi="Aptos" w:cs="Aptos"/>
                <w:color w:val="000000" w:themeColor="text1"/>
                <w:sz w:val="20"/>
                <w:szCs w:val="20"/>
                <w:lang w:val="fr-FR" w:eastAsia="zh-CN"/>
              </w:rPr>
              <w:t>) à Binga et sur la pêche dans le lac Kariba. Une étape décisive a été franchie avec la loi de 2025 portant modification de la loi sur les parcs et la faune et la flore sauvages, qui a introduit des quotas de récolte fondés sur des données scientifiques, renforcé les dispositions de lutte contre le trafic et officialisé les mécanismes de partage des bénéfices. Ces réformes juridiques ont reçu un appui important de données issues de recherches nationales évaluant les opportunités économiques liées à la biodiversité, la disponibilité des ressources et les pressions exercées par l’exploitation.</w:t>
            </w:r>
          </w:p>
          <w:p w14:paraId="3292EA54" w14:textId="77777777" w:rsidR="007C0064" w:rsidRPr="007C0064" w:rsidRDefault="007C0064" w:rsidP="007C0064">
            <w:pPr>
              <w:spacing w:line="276" w:lineRule="auto"/>
              <w:rPr>
                <w:rFonts w:ascii="Aptos" w:eastAsia="Aptos" w:hAnsi="Aptos" w:cs="Aptos"/>
                <w:color w:val="000000" w:themeColor="text1"/>
                <w:sz w:val="20"/>
                <w:szCs w:val="20"/>
                <w:lang w:val="fr-FR" w:eastAsia="zh-CN"/>
              </w:rPr>
            </w:pPr>
          </w:p>
          <w:p w14:paraId="44AC66ED" w14:textId="77777777" w:rsidR="007C0064" w:rsidRDefault="007C0064" w:rsidP="007C0064">
            <w:pPr>
              <w:spacing w:line="276" w:lineRule="auto"/>
              <w:rPr>
                <w:rFonts w:ascii="Aptos" w:eastAsia="Aptos" w:hAnsi="Aptos" w:cs="Aptos"/>
                <w:color w:val="000000" w:themeColor="text1"/>
                <w:sz w:val="20"/>
                <w:szCs w:val="20"/>
                <w:lang w:val="fr-FR" w:eastAsia="zh-CN"/>
              </w:rPr>
            </w:pPr>
            <w:r w:rsidRPr="007C0064">
              <w:rPr>
                <w:rFonts w:ascii="Aptos" w:eastAsia="Aptos" w:hAnsi="Aptos" w:cs="Aptos"/>
                <w:color w:val="000000" w:themeColor="text1"/>
                <w:sz w:val="20"/>
                <w:szCs w:val="20"/>
                <w:lang w:val="fr-FR" w:eastAsia="zh-CN"/>
              </w:rPr>
              <w:t>La mise en œuvre a mobilisé une large coalition d’acteurs. Les agences gouvernementales ont dirigé les activités relatives à la réforme législative, à la fixation des quotas et à leur application, tandis que l’Autorité nationale de biotechnologie du Zimbabwe a soutenu la mise en place d’installations de transformation normalisées pour les ressources biologiques sauvages. Les partenaires internationaux ont apporté un financement, une assistance technique et des formations aux observateurs communautaires de la faune et de la flore sauvages. Les institutions universitaires ont collaboré au développement de produits et aux technologies de transformation, tandis que les partenaires du secteur privé et les fondations ont soutenu les investissements et l’intégration sur les marchés. Les communautés locales ont joué un rôle central dans la cogestion des ressources, le suivi et l’exploitation durable.</w:t>
            </w:r>
          </w:p>
          <w:p w14:paraId="77C9D021" w14:textId="77777777" w:rsidR="007C0064" w:rsidRPr="007C0064" w:rsidRDefault="007C0064" w:rsidP="007C0064">
            <w:pPr>
              <w:spacing w:line="276" w:lineRule="auto"/>
              <w:rPr>
                <w:rFonts w:ascii="Aptos" w:eastAsia="Aptos" w:hAnsi="Aptos" w:cs="Aptos"/>
                <w:color w:val="000000" w:themeColor="text1"/>
                <w:sz w:val="20"/>
                <w:szCs w:val="20"/>
                <w:lang w:val="fr-FR" w:eastAsia="zh-CN"/>
              </w:rPr>
            </w:pPr>
          </w:p>
          <w:p w14:paraId="075322F0" w14:textId="1B09C8E8" w:rsidR="00FD7137" w:rsidRPr="00653BF4" w:rsidRDefault="007C0064" w:rsidP="007C0064">
            <w:pPr>
              <w:spacing w:line="276" w:lineRule="auto"/>
              <w:rPr>
                <w:rFonts w:ascii="Aptos" w:eastAsia="Aptos" w:hAnsi="Aptos" w:cs="Aptos"/>
                <w:color w:val="000000" w:themeColor="text1"/>
                <w:sz w:val="20"/>
                <w:szCs w:val="20"/>
                <w:lang w:val="fr-FR" w:eastAsia="zh-CN"/>
              </w:rPr>
            </w:pPr>
            <w:r w:rsidRPr="007C0064">
              <w:rPr>
                <w:rFonts w:ascii="Aptos" w:eastAsia="Aptos" w:hAnsi="Aptos" w:cs="Aptos"/>
                <w:color w:val="000000" w:themeColor="text1"/>
                <w:sz w:val="20"/>
                <w:szCs w:val="20"/>
                <w:lang w:val="fr-FR" w:eastAsia="zh-CN"/>
              </w:rPr>
              <w:t>Ces interventions ont combiné réforme réglementaire, systèmes de suivi, gouvernance communautaire et création de valeur à grande échelle. Les installations de transformation du marula, du ver de mopane, du baobab, du masawu et du tamarin ont accru la capacité de transformation nationale et atténué les pertes post-récolte, tandis que l’appui des évaluations annuelles des pêcheries favorise la gestion durable des stocks de kapenta (</w:t>
            </w:r>
            <w:r w:rsidRPr="007C0064">
              <w:rPr>
                <w:rFonts w:ascii="Aptos" w:eastAsia="Aptos" w:hAnsi="Aptos" w:cs="Aptos"/>
                <w:i/>
                <w:iCs/>
                <w:color w:val="000000" w:themeColor="text1"/>
                <w:sz w:val="20"/>
                <w:szCs w:val="20"/>
                <w:lang w:val="fr-FR" w:eastAsia="zh-CN"/>
              </w:rPr>
              <w:t>Limnothrissa miodon</w:t>
            </w:r>
            <w:r w:rsidRPr="007C0064">
              <w:rPr>
                <w:rFonts w:ascii="Aptos" w:eastAsia="Aptos" w:hAnsi="Aptos" w:cs="Aptos"/>
                <w:color w:val="000000" w:themeColor="text1"/>
                <w:sz w:val="20"/>
                <w:szCs w:val="20"/>
                <w:lang w:val="fr-FR" w:eastAsia="zh-CN"/>
              </w:rPr>
              <w:t xml:space="preserve"> et </w:t>
            </w:r>
            <w:r w:rsidRPr="007C0064">
              <w:rPr>
                <w:rFonts w:ascii="Aptos" w:eastAsia="Aptos" w:hAnsi="Aptos" w:cs="Aptos"/>
                <w:i/>
                <w:iCs/>
                <w:color w:val="000000" w:themeColor="text1"/>
                <w:sz w:val="20"/>
                <w:szCs w:val="20"/>
                <w:lang w:val="fr-FR" w:eastAsia="zh-CN"/>
              </w:rPr>
              <w:t>Stolothrissa tanganicae</w:t>
            </w:r>
            <w:r w:rsidRPr="007C0064">
              <w:rPr>
                <w:rFonts w:ascii="Aptos" w:eastAsia="Aptos" w:hAnsi="Aptos" w:cs="Aptos"/>
                <w:color w:val="000000" w:themeColor="text1"/>
                <w:sz w:val="20"/>
                <w:szCs w:val="20"/>
                <w:lang w:val="fr-FR" w:eastAsia="zh-CN"/>
              </w:rPr>
              <w:t>) et de tilapia (</w:t>
            </w:r>
            <w:r w:rsidRPr="007C0064">
              <w:rPr>
                <w:rFonts w:ascii="Aptos" w:eastAsia="Aptos" w:hAnsi="Aptos" w:cs="Aptos"/>
                <w:i/>
                <w:iCs/>
                <w:color w:val="000000" w:themeColor="text1"/>
                <w:sz w:val="20"/>
                <w:szCs w:val="20"/>
                <w:lang w:val="fr-FR" w:eastAsia="zh-CN"/>
              </w:rPr>
              <w:t>Oreochromis</w:t>
            </w:r>
            <w:r w:rsidRPr="007C0064">
              <w:rPr>
                <w:rFonts w:ascii="Aptos" w:eastAsia="Aptos" w:hAnsi="Aptos" w:cs="Aptos"/>
                <w:color w:val="000000" w:themeColor="text1"/>
                <w:sz w:val="20"/>
                <w:szCs w:val="20"/>
                <w:lang w:val="fr-FR" w:eastAsia="zh-CN"/>
              </w:rPr>
              <w:t xml:space="preserve"> spp.) dans le lac Kariba. Ces mesures ont contribué au développement de marchés légaux et traçables profitant à plus de 30 000 ménages ruraux, ont fourni un appui au commerce formel de vers de mopane évalué à environ 1 million de $US par saison, et ont renforcé le respect des obligations de la CITES.</w:t>
            </w:r>
          </w:p>
          <w:p w14:paraId="56A308A3" w14:textId="77777777" w:rsidR="00D46CCB" w:rsidRPr="00653BF4" w:rsidRDefault="00D46CCB" w:rsidP="00E15DFE">
            <w:pPr>
              <w:keepNext/>
              <w:keepLines/>
              <w:spacing w:line="276" w:lineRule="auto"/>
              <w:rPr>
                <w:rFonts w:ascii="Aptos" w:eastAsia="Aptos" w:hAnsi="Aptos" w:cs="Aptos"/>
                <w:color w:val="000000" w:themeColor="text1"/>
                <w:lang w:val="fr-FR" w:eastAsia="zh-CN"/>
              </w:rPr>
            </w:pPr>
          </w:p>
          <w:p w14:paraId="2F42E612" w14:textId="00A0C033" w:rsidR="00026592" w:rsidRPr="00653BF4" w:rsidRDefault="00904C13" w:rsidP="00E15DFE">
            <w:pPr>
              <w:keepNext/>
              <w:keepLines/>
              <w:spacing w:line="276" w:lineRule="auto"/>
              <w:rPr>
                <w:rFonts w:ascii="Aptos" w:eastAsia="Aptos" w:hAnsi="Aptos" w:cs="Aptos"/>
                <w:color w:val="000000" w:themeColor="text1"/>
                <w:sz w:val="20"/>
                <w:szCs w:val="20"/>
                <w:lang w:val="fr-FR" w:eastAsia="zh-CN"/>
              </w:rPr>
            </w:pPr>
            <w:r w:rsidRPr="00653BF4">
              <w:rPr>
                <w:rFonts w:ascii="Aptos" w:eastAsia="Aptos" w:hAnsi="Aptos" w:cs="Aptos"/>
                <w:i/>
                <w:color w:val="000000" w:themeColor="text1"/>
                <w:sz w:val="20"/>
                <w:szCs w:val="20"/>
                <w:lang w:val="fr-FR" w:eastAsia="zh-CN"/>
              </w:rPr>
              <w:t>C</w:t>
            </w:r>
            <w:r w:rsidR="001345EC" w:rsidRPr="00653BF4">
              <w:rPr>
                <w:rFonts w:ascii="Aptos" w:eastAsia="Aptos" w:hAnsi="Aptos" w:cs="Aptos"/>
                <w:i/>
                <w:color w:val="000000" w:themeColor="text1"/>
                <w:sz w:val="20"/>
                <w:szCs w:val="20"/>
                <w:lang w:val="fr-FR" w:eastAsia="zh-CN"/>
              </w:rPr>
              <w:t>ibles concernées</w:t>
            </w:r>
            <w:r w:rsidR="00E34DC9">
              <w:rPr>
                <w:rFonts w:ascii="Aptos" w:eastAsia="Aptos" w:hAnsi="Aptos" w:cs="Aptos"/>
                <w:i/>
                <w:color w:val="000000" w:themeColor="text1"/>
                <w:sz w:val="20"/>
                <w:szCs w:val="20"/>
                <w:lang w:val="fr-FR" w:eastAsia="zh-CN"/>
              </w:rPr>
              <w:t> :</w:t>
            </w:r>
            <w:r w:rsidR="00026592" w:rsidRPr="00653BF4">
              <w:rPr>
                <w:rFonts w:ascii="Aptos" w:eastAsia="Aptos" w:hAnsi="Aptos" w:cs="Aptos"/>
                <w:color w:val="000000" w:themeColor="text1"/>
                <w:sz w:val="20"/>
                <w:szCs w:val="20"/>
                <w:lang w:val="fr-FR" w:eastAsia="zh-CN"/>
              </w:rPr>
              <w:t xml:space="preserve"> </w:t>
            </w:r>
            <w:r w:rsidR="00460559" w:rsidRPr="00653BF4">
              <w:rPr>
                <w:rFonts w:ascii="Aptos" w:eastAsia="Aptos" w:hAnsi="Aptos" w:cs="Aptos"/>
                <w:color w:val="000000" w:themeColor="text1"/>
                <w:sz w:val="20"/>
                <w:szCs w:val="20"/>
                <w:lang w:val="fr-FR" w:eastAsia="zh-CN"/>
              </w:rPr>
              <w:t>4, 5, 9</w:t>
            </w:r>
            <w:r w:rsidR="007A009A" w:rsidRPr="00653BF4">
              <w:rPr>
                <w:rFonts w:ascii="Aptos" w:eastAsia="Aptos" w:hAnsi="Aptos" w:cs="Aptos"/>
                <w:color w:val="000000" w:themeColor="text1"/>
                <w:sz w:val="20"/>
                <w:szCs w:val="20"/>
                <w:lang w:val="fr-FR" w:eastAsia="zh-CN"/>
              </w:rPr>
              <w:t xml:space="preserve"> and</w:t>
            </w:r>
            <w:r w:rsidR="00460559" w:rsidRPr="00653BF4">
              <w:rPr>
                <w:rFonts w:ascii="Aptos" w:eastAsia="Aptos" w:hAnsi="Aptos" w:cs="Aptos"/>
                <w:color w:val="000000" w:themeColor="text1"/>
                <w:sz w:val="20"/>
                <w:szCs w:val="20"/>
                <w:lang w:val="fr-FR" w:eastAsia="zh-CN"/>
              </w:rPr>
              <w:t xml:space="preserve"> 20</w:t>
            </w:r>
            <w:r w:rsidR="00EC7F01" w:rsidRPr="00653BF4">
              <w:rPr>
                <w:rFonts w:ascii="Aptos" w:eastAsia="Aptos" w:hAnsi="Aptos" w:cs="Aptos"/>
                <w:color w:val="000000" w:themeColor="text1"/>
                <w:sz w:val="20"/>
                <w:szCs w:val="20"/>
                <w:lang w:val="fr-FR" w:eastAsia="zh-CN"/>
              </w:rPr>
              <w:t>.</w:t>
            </w:r>
          </w:p>
          <w:p w14:paraId="644EAEC5" w14:textId="7A52731B" w:rsidR="00720397" w:rsidRPr="00653BF4" w:rsidRDefault="00213F27" w:rsidP="000B720B">
            <w:pPr>
              <w:rPr>
                <w:i/>
                <w:sz w:val="20"/>
                <w:szCs w:val="20"/>
                <w:lang w:val="fr-FR"/>
              </w:rPr>
            </w:pPr>
            <w:r w:rsidRPr="00653BF4">
              <w:rPr>
                <w:i/>
                <w:sz w:val="20"/>
                <w:szCs w:val="20"/>
                <w:lang w:val="fr-FR"/>
              </w:rPr>
              <w:t xml:space="preserve">Source: </w:t>
            </w:r>
            <w:r w:rsidR="00460559" w:rsidRPr="00653BF4">
              <w:rPr>
                <w:sz w:val="20"/>
                <w:szCs w:val="20"/>
                <w:lang w:val="fr-FR"/>
              </w:rPr>
              <w:t xml:space="preserve">Zimbabwe, </w:t>
            </w:r>
            <w:r w:rsidR="00CA2E35">
              <w:rPr>
                <w:sz w:val="20"/>
                <w:szCs w:val="20"/>
                <w:lang w:val="fr-FR"/>
              </w:rPr>
              <w:t>septième rapport national au titre de la</w:t>
            </w:r>
            <w:r w:rsidR="00460559" w:rsidRPr="00653BF4">
              <w:rPr>
                <w:sz w:val="20"/>
                <w:szCs w:val="20"/>
                <w:lang w:val="fr-FR"/>
              </w:rPr>
              <w:t xml:space="preserve"> Convention</w:t>
            </w:r>
          </w:p>
          <w:p w14:paraId="79C52B86" w14:textId="77777777" w:rsidR="000B720B" w:rsidRPr="00653BF4" w:rsidRDefault="000B720B" w:rsidP="000B720B">
            <w:pPr>
              <w:rPr>
                <w:i/>
                <w:sz w:val="20"/>
                <w:szCs w:val="20"/>
                <w:lang w:val="fr-FR"/>
              </w:rPr>
            </w:pPr>
          </w:p>
          <w:p w14:paraId="11FF2A96" w14:textId="17C76C63" w:rsidR="000B720B" w:rsidRPr="00653BF4" w:rsidRDefault="000B720B" w:rsidP="00D02AAA">
            <w:pPr>
              <w:rPr>
                <w:lang w:val="fr-FR"/>
              </w:rPr>
            </w:pPr>
          </w:p>
        </w:tc>
      </w:tr>
    </w:tbl>
    <w:p w14:paraId="1268E798" w14:textId="77777777" w:rsidR="00791B88" w:rsidRPr="00653BF4" w:rsidRDefault="00791B88" w:rsidP="00781B43">
      <w:pPr>
        <w:rPr>
          <w:i/>
          <w:iCs/>
          <w:lang w:val="fr-FR"/>
        </w:rPr>
      </w:pPr>
    </w:p>
    <w:p w14:paraId="7DC3F02A" w14:textId="775A4839" w:rsidR="00791B88" w:rsidRPr="00653BF4" w:rsidRDefault="00415859" w:rsidP="00791B88">
      <w:pPr>
        <w:pStyle w:val="Heading6"/>
        <w:rPr>
          <w:lang w:val="fr-FR"/>
        </w:rPr>
      </w:pPr>
      <w:r w:rsidRPr="00653BF4">
        <w:rPr>
          <w:lang w:val="fr-FR"/>
        </w:rPr>
        <w:lastRenderedPageBreak/>
        <w:t>Difficulté</w:t>
      </w:r>
      <w:r w:rsidR="00DD19D2" w:rsidRPr="00653BF4">
        <w:rPr>
          <w:lang w:val="fr-FR"/>
        </w:rPr>
        <w:t>s</w:t>
      </w:r>
    </w:p>
    <w:p w14:paraId="084FF157" w14:textId="77777777" w:rsidR="00E11B52" w:rsidRPr="00653BF4" w:rsidRDefault="00E11B52" w:rsidP="002D0F4A">
      <w:pPr>
        <w:spacing w:line="276" w:lineRule="auto"/>
        <w:rPr>
          <w:rFonts w:ascii="Aptos" w:eastAsia="Aptos" w:hAnsi="Aptos" w:cs="Aptos"/>
          <w:lang w:val="fr-FR"/>
        </w:rPr>
      </w:pPr>
    </w:p>
    <w:p w14:paraId="32E57B61" w14:textId="1F0EFFE2" w:rsidR="002D0F4A" w:rsidRPr="00653BF4" w:rsidRDefault="00FD7833" w:rsidP="002D0F4A">
      <w:pPr>
        <w:spacing w:line="276" w:lineRule="auto"/>
        <w:rPr>
          <w:rFonts w:ascii="Aptos" w:eastAsia="Aptos" w:hAnsi="Aptos" w:cs="Aptos"/>
          <w:lang w:val="fr-FR"/>
        </w:rPr>
      </w:pPr>
      <w:r w:rsidRPr="00FD7833">
        <w:rPr>
          <w:rFonts w:ascii="Aptos" w:eastAsia="Aptos" w:hAnsi="Aptos" w:cs="Aptos"/>
          <w:lang w:val="fr-FR"/>
        </w:rPr>
        <w:t>De nombreuses Parties indiquent qu’elles ne sont pas en mesure de déterminer de manière fiable si l’exploitation des espèces sauvages est durable, faute de données scientifiques complètes. Les évaluations des populations peuvent faire défaut ou être obsolètes</w:t>
      </w:r>
      <w:r w:rsidR="00E34DC9">
        <w:rPr>
          <w:rFonts w:ascii="Aptos" w:eastAsia="Aptos" w:hAnsi="Aptos" w:cs="Aptos"/>
          <w:lang w:val="fr-FR"/>
        </w:rPr>
        <w:t> ;</w:t>
      </w:r>
      <w:r w:rsidRPr="00FD7833">
        <w:rPr>
          <w:rFonts w:ascii="Aptos" w:eastAsia="Aptos" w:hAnsi="Aptos" w:cs="Aptos"/>
          <w:lang w:val="fr-FR"/>
        </w:rPr>
        <w:t xml:space="preserve"> les repères biologiques et les règles de régulation des prélèvements n’ont pas été établis</w:t>
      </w:r>
      <w:r w:rsidR="00E34DC9">
        <w:rPr>
          <w:rFonts w:ascii="Aptos" w:eastAsia="Aptos" w:hAnsi="Aptos" w:cs="Aptos"/>
          <w:lang w:val="fr-FR"/>
        </w:rPr>
        <w:t> ;</w:t>
      </w:r>
      <w:r w:rsidRPr="00FD7833">
        <w:rPr>
          <w:rFonts w:ascii="Aptos" w:eastAsia="Aptos" w:hAnsi="Aptos" w:cs="Aptos"/>
          <w:lang w:val="fr-FR"/>
        </w:rPr>
        <w:t xml:space="preserve"> et les données relatives aux captures ne sont souvent enregistrées que par grands groupes d’espèces, ce qui masque les tendances propres à chaque espèce. Le changement climatique rend les références historiques moins fiables, ce qui ajoute encore à l’incertitude. Outre ces lacunes dans les connaissances, les Parties signalent que les prélèvements illégaux et non réglementés restent très répandus, et que les systèmes de contrôle peinent à suivre le rythme. Parmi les autres défis signalés par les Parties figurent des capacités de suivi et de surveillance limitées, des infrastructures surchargées pour l’accueil des spécimens confisqués, l’entrée de marchandises illégales sur les marchés légaux par le biais de failles réglementaires, ainsi qu’une coopération transfrontalière inégale. De plus, les ressources financières, techniques et humaines sont jugées insuffisantes</w:t>
      </w:r>
      <w:r w:rsidR="00E34DC9">
        <w:rPr>
          <w:rFonts w:ascii="Aptos" w:eastAsia="Aptos" w:hAnsi="Aptos" w:cs="Aptos"/>
          <w:lang w:val="fr-FR"/>
        </w:rPr>
        <w:t> :</w:t>
      </w:r>
      <w:r w:rsidRPr="00FD7833">
        <w:rPr>
          <w:rFonts w:ascii="Aptos" w:eastAsia="Aptos" w:hAnsi="Aptos" w:cs="Aptos"/>
          <w:lang w:val="fr-FR"/>
        </w:rPr>
        <w:t xml:space="preserve"> le financement est à court terme et axé sur des projets plutôt que durable, il y a une pénurie de personnel spécialisé et les infrastructures de laboratoire et numériques sont déficientes. Dans certains pays, les cadres juridiques sont incomplets ou fragmentés, et le chevauchement des compétences entre les agences chargées de la pêche, de la sylviculture, de la faune et de la flore sauvages, des douanes et de l’environnement entraîne des retards et une application incohérente de la réglementation.</w:t>
      </w:r>
    </w:p>
    <w:p w14:paraId="731E5D95" w14:textId="77777777" w:rsidR="00710AB9" w:rsidRPr="00653BF4" w:rsidRDefault="00710AB9" w:rsidP="00946318">
      <w:pPr>
        <w:pStyle w:val="Heading5"/>
        <w:rPr>
          <w:lang w:val="fr-FR"/>
        </w:rPr>
      </w:pPr>
      <w:bookmarkStart w:id="142" w:name="_Toc235821111"/>
    </w:p>
    <w:p w14:paraId="177EE599" w14:textId="11CAD38E" w:rsidR="00946318" w:rsidRPr="00653BF4" w:rsidRDefault="00BC4559" w:rsidP="00946318">
      <w:pPr>
        <w:pStyle w:val="Heading5"/>
        <w:rPr>
          <w:lang w:val="fr-FR"/>
        </w:rPr>
      </w:pPr>
      <w:r w:rsidRPr="00653BF4">
        <w:rPr>
          <w:lang w:val="fr-FR"/>
        </w:rPr>
        <w:t>Contributions de la part d</w:t>
      </w:r>
      <w:r w:rsidR="002A58C8" w:rsidRPr="00653BF4">
        <w:rPr>
          <w:lang w:val="fr-FR"/>
        </w:rPr>
        <w:t>’</w:t>
      </w:r>
      <w:r w:rsidRPr="00653BF4">
        <w:rPr>
          <w:lang w:val="fr-FR"/>
        </w:rPr>
        <w:t>acteurs autres que les gouvernements nationaux</w:t>
      </w:r>
      <w:bookmarkEnd w:id="142"/>
    </w:p>
    <w:p w14:paraId="0BCC8888" w14:textId="77777777" w:rsidR="009914E3" w:rsidRPr="00653BF4" w:rsidRDefault="009914E3" w:rsidP="000F0985">
      <w:pPr>
        <w:pStyle w:val="Heading6"/>
        <w:rPr>
          <w:lang w:val="fr-FR"/>
        </w:rPr>
      </w:pPr>
    </w:p>
    <w:p w14:paraId="751550A6" w14:textId="19EF3FA2" w:rsidR="005B3C70" w:rsidRPr="00653BF4" w:rsidRDefault="00200AEB" w:rsidP="000F0985">
      <w:pPr>
        <w:pStyle w:val="Heading6"/>
        <w:rPr>
          <w:lang w:val="fr-FR"/>
        </w:rPr>
      </w:pPr>
      <w:r w:rsidRPr="00653BF4">
        <w:rPr>
          <w:lang w:val="fr-FR"/>
        </w:rPr>
        <w:t>Engagements communiqués directement via l</w:t>
      </w:r>
      <w:r w:rsidR="002A58C8" w:rsidRPr="00653BF4">
        <w:rPr>
          <w:lang w:val="fr-FR"/>
        </w:rPr>
        <w:t>’</w:t>
      </w:r>
      <w:r w:rsidRPr="00653BF4">
        <w:rPr>
          <w:lang w:val="fr-FR"/>
        </w:rPr>
        <w:t>outil de présentation des rapports en ligne</w:t>
      </w:r>
    </w:p>
    <w:p w14:paraId="1AE79EC0" w14:textId="77777777" w:rsidR="009914E3" w:rsidRPr="00653BF4" w:rsidRDefault="009914E3" w:rsidP="005B3C70">
      <w:pPr>
        <w:rPr>
          <w:lang w:val="fr-FR"/>
        </w:rPr>
      </w:pPr>
    </w:p>
    <w:p w14:paraId="6D5D6E96" w14:textId="168B9FCC" w:rsidR="00BF3BA6" w:rsidRPr="00653BF4" w:rsidRDefault="006A5494" w:rsidP="00BF3BA6">
      <w:pPr>
        <w:rPr>
          <w:lang w:val="fr-FR"/>
        </w:rPr>
      </w:pPr>
      <w:r w:rsidRPr="006A5494">
        <w:rPr>
          <w:lang w:val="fr-FR"/>
        </w:rPr>
        <w:t xml:space="preserve">Sur les 180 engagements de fond présentés par des acteurs autres que les gouvernements nationaux, </w:t>
      </w:r>
      <w:r>
        <w:rPr>
          <w:lang w:val="fr-FR"/>
        </w:rPr>
        <w:t>seulement </w:t>
      </w:r>
      <w:r w:rsidR="00BF3BA6" w:rsidRPr="00653BF4">
        <w:rPr>
          <w:lang w:val="fr-FR"/>
        </w:rPr>
        <w:t xml:space="preserve">2 </w:t>
      </w:r>
      <w:r>
        <w:rPr>
          <w:lang w:val="fr-FR"/>
        </w:rPr>
        <w:t xml:space="preserve">concernent principalement la </w:t>
      </w:r>
      <w:r w:rsidR="00E34DC9">
        <w:rPr>
          <w:lang w:val="fr-FR"/>
        </w:rPr>
        <w:t>cible 5</w:t>
      </w:r>
      <w:r w:rsidR="00BF3BA6" w:rsidRPr="00653BF4">
        <w:rPr>
          <w:lang w:val="fr-FR"/>
        </w:rPr>
        <w:t xml:space="preserve">. </w:t>
      </w:r>
      <w:r w:rsidR="0001127F" w:rsidRPr="0001127F">
        <w:rPr>
          <w:lang w:val="fr-FR"/>
        </w:rPr>
        <w:t xml:space="preserve">L'une provient du </w:t>
      </w:r>
      <w:r w:rsidR="00E34DC9">
        <w:rPr>
          <w:lang w:val="fr-FR"/>
        </w:rPr>
        <w:t>« </w:t>
      </w:r>
      <w:r w:rsidR="0001127F" w:rsidRPr="0001127F">
        <w:rPr>
          <w:lang w:val="fr-FR"/>
        </w:rPr>
        <w:t>92 Group</w:t>
      </w:r>
      <w:r w:rsidR="00E34DC9">
        <w:rPr>
          <w:lang w:val="fr-FR"/>
        </w:rPr>
        <w:t> »</w:t>
      </w:r>
      <w:r w:rsidR="0001127F" w:rsidRPr="0001127F">
        <w:rPr>
          <w:lang w:val="fr-FR"/>
        </w:rPr>
        <w:t xml:space="preserve"> danois, un réseau de la société civile qui se consacre à l'extraction durable des ressources par la transformation des réseaux de chaînes d'approvisionnement, et l'autre, du WWF Japon, dont l'engagement vise à promouvoir le développement durable dans le secteur de la pêche.</w:t>
      </w:r>
    </w:p>
    <w:p w14:paraId="5FD42879" w14:textId="77777777" w:rsidR="004E5780" w:rsidRPr="00653BF4" w:rsidRDefault="004E5780" w:rsidP="005B3C70">
      <w:pPr>
        <w:rPr>
          <w:lang w:val="fr-FR"/>
        </w:rPr>
      </w:pPr>
    </w:p>
    <w:p w14:paraId="69BB116C" w14:textId="19FD9FCB" w:rsidR="005B3C70" w:rsidRPr="00653BF4" w:rsidRDefault="005F09ED" w:rsidP="000F0985">
      <w:pPr>
        <w:pStyle w:val="Heading6"/>
        <w:rPr>
          <w:lang w:val="fr-FR"/>
        </w:rPr>
      </w:pPr>
      <w:r w:rsidRPr="00653BF4">
        <w:rPr>
          <w:lang w:val="fr-FR"/>
        </w:rPr>
        <w:lastRenderedPageBreak/>
        <w:t>Contributions intégrées dans les rapports nationaux</w:t>
      </w:r>
      <w:r w:rsidR="00D53638" w:rsidRPr="00653BF4">
        <w:rPr>
          <w:lang w:val="fr-FR"/>
        </w:rPr>
        <w:t xml:space="preserve"> </w:t>
      </w:r>
    </w:p>
    <w:p w14:paraId="5EE307F0" w14:textId="77777777" w:rsidR="008D71AE" w:rsidRPr="00653BF4" w:rsidRDefault="008D71AE" w:rsidP="008D71AE">
      <w:pPr>
        <w:rPr>
          <w:lang w:val="fr-FR"/>
        </w:rPr>
      </w:pPr>
      <w:bookmarkStart w:id="143" w:name="_Toc228191277"/>
    </w:p>
    <w:p w14:paraId="6A931770" w14:textId="12977FD3" w:rsidR="008D71AE" w:rsidRPr="00653BF4" w:rsidRDefault="004E0C82" w:rsidP="008D71AE">
      <w:pPr>
        <w:rPr>
          <w:lang w:val="fr-FR"/>
        </w:rPr>
      </w:pPr>
      <w:r w:rsidRPr="004E0C82">
        <w:rPr>
          <w:lang w:val="fr-FR"/>
        </w:rPr>
        <w:t xml:space="preserve">Les acteurs autres que les gouvernements nationaux occupent, selon les rapports, divers rôles de cogestion et de gouvernance liés à la mise en œuvre de la </w:t>
      </w:r>
      <w:r w:rsidR="00E34DC9">
        <w:rPr>
          <w:lang w:val="fr-FR"/>
        </w:rPr>
        <w:t>cible 5</w:t>
      </w:r>
      <w:r w:rsidRPr="004E0C82">
        <w:rPr>
          <w:lang w:val="fr-FR"/>
        </w:rPr>
        <w:t>, en particulier les peuples autochtones et communautés locales, les acteurs sectoriels et les collectivités infranationales. Par exemple, un certain nombre de Parties indiquent que les peuples autochtones et communautés locales détiennent une autorité formelle en matière de gouvernance concernant l’utilisation des espèces sauvages</w:t>
      </w:r>
      <w:r w:rsidR="00E34DC9">
        <w:rPr>
          <w:lang w:val="fr-FR"/>
        </w:rPr>
        <w:t> :</w:t>
      </w:r>
      <w:r w:rsidRPr="004E0C82">
        <w:rPr>
          <w:lang w:val="fr-FR"/>
        </w:rPr>
        <w:t xml:space="preserve"> ils gèrent les quotas de prélèvement, organisent des patrouilles communautaires et mettent en œuvre des systèmes de gouvernance coutumiers. Les acteurs sectoriels, tels que les associations de pêcheurs, les organisations de chasseurs, les conseils communautaires de gestion des ressources et les ONG, participent couramment à des instances de cogestion dotées de responsabilités bien définies en matière d’utilisation durable. Les collectivités infranationales, en particulier dans les systèmes fédéraux ou décentralisés, agissent souvent en tant que principaux responsables de la mise en œuvre réglementaire des mesures relevant de la </w:t>
      </w:r>
      <w:r w:rsidR="00E34DC9">
        <w:rPr>
          <w:lang w:val="fr-FR"/>
        </w:rPr>
        <w:t>cible 5</w:t>
      </w:r>
      <w:r w:rsidRPr="004E0C82">
        <w:rPr>
          <w:lang w:val="fr-FR"/>
        </w:rPr>
        <w:t>. En ce qui concerne le suivi et la collecte de données, les institutions scientifiques mènent ou fournissent l’appui pour des évaluations des stocks, des conclusions d’absence d’effet préjudiciable et des études génétiques qui sous-tendent directement la fixation des quotas et l’autorisation des échanges commerciaux. Les acteurs sectoriels fournissent des statistiques sur les prélèvements et les captures qui alimentent la gestion adaptative, tandis que les ONG et les plateformes de science citoyenne fournissent des données de suivi qui constituent des références en matière de biodiversité.</w:t>
      </w:r>
    </w:p>
    <w:p w14:paraId="27F71402" w14:textId="77777777" w:rsidR="008D71AE" w:rsidRPr="00653BF4" w:rsidRDefault="008D71AE" w:rsidP="008D71AE">
      <w:pPr>
        <w:rPr>
          <w:lang w:val="fr-FR"/>
        </w:rPr>
      </w:pPr>
    </w:p>
    <w:p w14:paraId="451A29C3" w14:textId="77777777" w:rsidR="0005243B" w:rsidRPr="00653BF4" w:rsidRDefault="0005243B" w:rsidP="0005243B">
      <w:pPr>
        <w:rPr>
          <w:lang w:val="fr-FR"/>
        </w:rPr>
      </w:pPr>
    </w:p>
    <w:bookmarkEnd w:id="143"/>
    <w:p w14:paraId="24BD3DDD" w14:textId="74DA275B" w:rsidR="00860210" w:rsidRPr="00653BF4" w:rsidRDefault="008A58ED" w:rsidP="00860210">
      <w:pPr>
        <w:pStyle w:val="Heading5"/>
        <w:rPr>
          <w:lang w:val="fr-FR"/>
        </w:rPr>
      </w:pPr>
      <w:r w:rsidRPr="00653BF4">
        <w:rPr>
          <w:lang w:val="fr-FR"/>
        </w:rPr>
        <w:t>Exemples de liens avec d</w:t>
      </w:r>
      <w:r w:rsidR="002A58C8" w:rsidRPr="00653BF4">
        <w:rPr>
          <w:lang w:val="fr-FR"/>
        </w:rPr>
        <w:t>’</w:t>
      </w:r>
      <w:r w:rsidRPr="00653BF4">
        <w:rPr>
          <w:lang w:val="fr-FR"/>
        </w:rPr>
        <w:t>autres accords, organisations et processus</w:t>
      </w:r>
    </w:p>
    <w:p w14:paraId="2E66D633" w14:textId="77777777" w:rsidR="00DD370F" w:rsidRPr="00653BF4" w:rsidRDefault="00DD370F" w:rsidP="00BC24AE">
      <w:pPr>
        <w:rPr>
          <w:lang w:val="fr-FR"/>
        </w:rPr>
      </w:pPr>
    </w:p>
    <w:p w14:paraId="6FD61E3C" w14:textId="5EFAD5E8" w:rsidR="004A179D" w:rsidRPr="00653BF4" w:rsidRDefault="004A179D" w:rsidP="004A179D">
      <w:pPr>
        <w:pStyle w:val="Caption"/>
        <w:keepNext/>
        <w:rPr>
          <w:b/>
          <w:i w:val="0"/>
          <w:sz w:val="20"/>
          <w:szCs w:val="20"/>
          <w:lang w:val="fr-FR"/>
        </w:rPr>
      </w:pPr>
      <w:r w:rsidRPr="00653BF4">
        <w:rPr>
          <w:b/>
          <w:bCs/>
          <w:i w:val="0"/>
          <w:iCs w:val="0"/>
          <w:sz w:val="20"/>
          <w:szCs w:val="20"/>
          <w:lang w:val="fr-FR"/>
        </w:rPr>
        <w:t xml:space="preserve"> </w:t>
      </w:r>
    </w:p>
    <w:tbl>
      <w:tblPr>
        <w:tblStyle w:val="TableGrid"/>
        <w:tblW w:w="0" w:type="auto"/>
        <w:tblLook w:val="04A0" w:firstRow="1" w:lastRow="0" w:firstColumn="1" w:lastColumn="0" w:noHBand="0" w:noVBand="1"/>
      </w:tblPr>
      <w:tblGrid>
        <w:gridCol w:w="9016"/>
      </w:tblGrid>
      <w:tr w:rsidR="00AF6625" w:rsidRPr="00543148" w14:paraId="5A7D483B" w14:textId="77777777" w:rsidTr="00AF6625">
        <w:tc>
          <w:tcPr>
            <w:tcW w:w="9016" w:type="dxa"/>
            <w:shd w:val="clear" w:color="auto" w:fill="E8E8E8" w:themeFill="background2"/>
          </w:tcPr>
          <w:p w14:paraId="37390C89" w14:textId="77777777" w:rsidR="00FE3AFF" w:rsidRPr="00653BF4" w:rsidRDefault="00FE3AFF" w:rsidP="000426D2">
            <w:pPr>
              <w:spacing w:line="276" w:lineRule="auto"/>
              <w:jc w:val="both"/>
              <w:rPr>
                <w:lang w:val="fr-FR"/>
              </w:rPr>
            </w:pPr>
          </w:p>
          <w:p w14:paraId="55ADFA7D" w14:textId="5C9845FE" w:rsidR="00943C58" w:rsidRPr="00653BF4" w:rsidRDefault="0024766A" w:rsidP="00943C58">
            <w:pPr>
              <w:pStyle w:val="Caption"/>
              <w:keepNext/>
              <w:rPr>
                <w:i w:val="0"/>
                <w:iCs w:val="0"/>
                <w:sz w:val="20"/>
                <w:szCs w:val="20"/>
                <w:lang w:val="fr-FR"/>
              </w:rPr>
            </w:pPr>
            <w:r w:rsidRPr="00653BF4">
              <w:rPr>
                <w:i w:val="0"/>
                <w:iCs w:val="0"/>
                <w:sz w:val="20"/>
                <w:szCs w:val="20"/>
                <w:lang w:val="fr-FR"/>
              </w:rPr>
              <w:t>Encadré</w:t>
            </w:r>
            <w:r w:rsidR="00943C58" w:rsidRPr="00653BF4">
              <w:rPr>
                <w:i w:val="0"/>
                <w:iCs w:val="0"/>
                <w:sz w:val="20"/>
                <w:szCs w:val="20"/>
                <w:lang w:val="fr-FR"/>
              </w:rPr>
              <w:t xml:space="preserve"> </w:t>
            </w:r>
            <w:r w:rsidR="008306DF" w:rsidRPr="00653BF4">
              <w:rPr>
                <w:i w:val="0"/>
                <w:iCs w:val="0"/>
                <w:noProof/>
                <w:sz w:val="20"/>
                <w:szCs w:val="20"/>
                <w:lang w:val="fr-FR"/>
              </w:rPr>
              <w:t>21</w:t>
            </w:r>
          </w:p>
          <w:p w14:paraId="3D2BD598" w14:textId="4FC41F78" w:rsidR="00943C58" w:rsidRPr="00653BF4" w:rsidRDefault="006C078F" w:rsidP="00943C58">
            <w:pPr>
              <w:spacing w:line="276" w:lineRule="auto"/>
              <w:jc w:val="both"/>
              <w:rPr>
                <w:b/>
                <w:bCs/>
                <w:sz w:val="20"/>
                <w:szCs w:val="20"/>
                <w:lang w:val="fr-FR"/>
              </w:rPr>
            </w:pPr>
            <w:r w:rsidRPr="006C078F">
              <w:rPr>
                <w:b/>
                <w:bCs/>
                <w:sz w:val="20"/>
                <w:szCs w:val="20"/>
                <w:lang w:val="fr-FR"/>
              </w:rPr>
              <w:t>Une action coordonnée dans le cadre des accords multilatéraux sur l'environnement pour lutter contre l'exploitation forestière illégale et le commerce illicite à Madagascar</w:t>
            </w:r>
          </w:p>
          <w:p w14:paraId="4D1CB203" w14:textId="77777777" w:rsidR="00943C58" w:rsidRPr="00653BF4" w:rsidRDefault="00943C58" w:rsidP="00943C58">
            <w:pPr>
              <w:spacing w:line="276" w:lineRule="auto"/>
              <w:jc w:val="both"/>
              <w:rPr>
                <w:lang w:val="fr-FR"/>
              </w:rPr>
            </w:pPr>
          </w:p>
          <w:p w14:paraId="3E9BFED3" w14:textId="4F320225" w:rsidR="00157AB1" w:rsidRPr="00653BF4" w:rsidRDefault="00337DCC" w:rsidP="00157AB1">
            <w:pPr>
              <w:spacing w:line="276" w:lineRule="auto"/>
              <w:rPr>
                <w:sz w:val="20"/>
                <w:szCs w:val="20"/>
                <w:lang w:val="fr-FR"/>
              </w:rPr>
            </w:pPr>
            <w:r w:rsidRPr="00337DCC">
              <w:rPr>
                <w:sz w:val="20"/>
                <w:szCs w:val="20"/>
                <w:lang w:val="fr-FR"/>
              </w:rPr>
              <w:t xml:space="preserve">Les forêts tropicales de l'Atsinanana à Madagascar ont été inscrites sur la Liste du patrimoine mondial de l'UNESCO en 2007 en raison de leur biodiversité exceptionnelle et de leur importance pour le </w:t>
            </w:r>
            <w:r w:rsidRPr="00337DCC">
              <w:rPr>
                <w:sz w:val="20"/>
                <w:szCs w:val="20"/>
                <w:lang w:val="fr-FR"/>
              </w:rPr>
              <w:lastRenderedPageBreak/>
              <w:t>maintien des processus écologiques. Ce bien du patrimoine mondial, composé de six zones protégées distinctes, a été confronté à de graves menaces liées à l’exploitation forestière illégale et au trafic d’ébènes malgaches (</w:t>
            </w:r>
            <w:r w:rsidRPr="00337DCC">
              <w:rPr>
                <w:i/>
                <w:iCs/>
                <w:sz w:val="20"/>
                <w:szCs w:val="20"/>
                <w:lang w:val="fr-FR"/>
              </w:rPr>
              <w:t xml:space="preserve">Diospyros </w:t>
            </w:r>
            <w:r w:rsidRPr="00F346FA">
              <w:rPr>
                <w:sz w:val="20"/>
                <w:szCs w:val="20"/>
                <w:lang w:val="fr-FR"/>
              </w:rPr>
              <w:t>spp.</w:t>
            </w:r>
            <w:r w:rsidRPr="00337DCC">
              <w:rPr>
                <w:sz w:val="20"/>
                <w:szCs w:val="20"/>
                <w:lang w:val="fr-FR"/>
              </w:rPr>
              <w:t>) et de palissandres (</w:t>
            </w:r>
            <w:r w:rsidRPr="00337DCC">
              <w:rPr>
                <w:i/>
                <w:iCs/>
                <w:sz w:val="20"/>
                <w:szCs w:val="20"/>
                <w:lang w:val="fr-FR"/>
              </w:rPr>
              <w:t xml:space="preserve">Dalbergia </w:t>
            </w:r>
            <w:r w:rsidRPr="00F346FA">
              <w:rPr>
                <w:sz w:val="20"/>
                <w:szCs w:val="20"/>
                <w:lang w:val="fr-FR"/>
              </w:rPr>
              <w:t>spp.</w:t>
            </w:r>
            <w:r w:rsidRPr="00337DCC">
              <w:rPr>
                <w:sz w:val="20"/>
                <w:szCs w:val="20"/>
                <w:lang w:val="fr-FR"/>
              </w:rPr>
              <w:t>), la déforestation qui en a résulté affectant également des espèces telles que les lémuriens. Cela a conduit l’UNESCO à inscrire le site sur sa Liste du patrimoine mondial en péril en 2010, puis à inscrire les espèces d’arbres concernées à l’annexe II de la CITES en 2013, conformément aux mesures correctives recommandées au titre de la Convention pour la protection du patrimoine mondial culturel et naturel. Ces actions conjointes ont catalysé des réformes nationales, notamment l’interdiction de l’exploitation forestière commerciale et la mise en place d’un système de traçabilité pour le bois saisi. Un projet pilote a permis de recenser et de marquer avec succès les stocks à l’aide d’étiquettes à code QR reliées à une base de données publique. En 2025, Madagascar a adopté un quota d’exportation nul pour l’ensemble du commerce de ces espèces. Une mission conjointe de suivi UNESCO-UICN-CITES menée dans le cadre de la Convention en 2025 a confirmé une réduction significative de l’exploitation forestière illégale, la remise en état de 63</w:t>
            </w:r>
            <w:r w:rsidR="002878D7">
              <w:rPr>
                <w:sz w:val="20"/>
                <w:szCs w:val="20"/>
                <w:lang w:val="fr-FR"/>
              </w:rPr>
              <w:t> %</w:t>
            </w:r>
            <w:r w:rsidRPr="00337DCC">
              <w:rPr>
                <w:sz w:val="20"/>
                <w:szCs w:val="20"/>
                <w:lang w:val="fr-FR"/>
              </w:rPr>
              <w:t xml:space="preserve"> du couvert forestier précédemment perdu, ainsi que le niveau le plus bas de braconnage des lémuriens enregistré depuis une décennie. En conséquence, le Comité du patrimoine mondial a retiré les forêts tropicales de l’Atsinanana de la Liste du patrimoine mondial en péril en 2025. Ce cas illustre comment la collaboration entre les accords multilatéraux sur l'environnement peut déboucher sur des actions se renforçant mutuellement pour lutter contre le commerce illégal et renforcer la gouvernance, apportant ainsi un appui à la conservation à long terme des habitats et des espèces.</w:t>
            </w:r>
          </w:p>
          <w:p w14:paraId="018BC949" w14:textId="77777777" w:rsidR="00793AA7" w:rsidRPr="00653BF4" w:rsidRDefault="00793AA7" w:rsidP="002D0F4A">
            <w:pPr>
              <w:rPr>
                <w:i/>
                <w:iCs/>
                <w:lang w:val="fr-FR"/>
              </w:rPr>
            </w:pPr>
          </w:p>
          <w:p w14:paraId="0C8E31CA" w14:textId="49498F07" w:rsidR="00FA47AA" w:rsidRPr="00653BF4" w:rsidRDefault="00904C13" w:rsidP="002D0F4A">
            <w:pPr>
              <w:rPr>
                <w:sz w:val="20"/>
                <w:szCs w:val="20"/>
                <w:lang w:val="fr-FR"/>
              </w:rPr>
            </w:pPr>
            <w:r w:rsidRPr="00653BF4">
              <w:rPr>
                <w:i/>
                <w:sz w:val="20"/>
                <w:szCs w:val="20"/>
                <w:lang w:val="fr-FR"/>
              </w:rPr>
              <w:t>C</w:t>
            </w:r>
            <w:r w:rsidR="001345EC" w:rsidRPr="00653BF4">
              <w:rPr>
                <w:i/>
                <w:sz w:val="20"/>
                <w:szCs w:val="20"/>
                <w:lang w:val="fr-FR"/>
              </w:rPr>
              <w:t>ibles concernées</w:t>
            </w:r>
            <w:r w:rsidR="00E34DC9">
              <w:rPr>
                <w:i/>
                <w:sz w:val="20"/>
                <w:szCs w:val="20"/>
                <w:lang w:val="fr-FR"/>
              </w:rPr>
              <w:t> :</w:t>
            </w:r>
            <w:r w:rsidR="00FA47AA" w:rsidRPr="00653BF4">
              <w:rPr>
                <w:i/>
                <w:sz w:val="20"/>
                <w:szCs w:val="20"/>
                <w:lang w:val="fr-FR"/>
              </w:rPr>
              <w:t xml:space="preserve"> </w:t>
            </w:r>
            <w:r w:rsidR="00FA47AA" w:rsidRPr="00653BF4">
              <w:rPr>
                <w:sz w:val="20"/>
                <w:szCs w:val="20"/>
                <w:lang w:val="fr-FR"/>
              </w:rPr>
              <w:t>3, 4</w:t>
            </w:r>
            <w:r w:rsidR="00C16363" w:rsidRPr="00653BF4">
              <w:rPr>
                <w:sz w:val="20"/>
                <w:szCs w:val="20"/>
                <w:lang w:val="fr-FR"/>
              </w:rPr>
              <w:t xml:space="preserve"> </w:t>
            </w:r>
            <w:r w:rsidR="00D06F09">
              <w:rPr>
                <w:sz w:val="20"/>
                <w:szCs w:val="20"/>
                <w:lang w:val="fr-FR"/>
              </w:rPr>
              <w:t>et</w:t>
            </w:r>
            <w:r w:rsidR="00FA47AA" w:rsidRPr="00653BF4">
              <w:rPr>
                <w:sz w:val="20"/>
                <w:szCs w:val="20"/>
                <w:lang w:val="fr-FR"/>
              </w:rPr>
              <w:t xml:space="preserve"> 5</w:t>
            </w:r>
            <w:r w:rsidR="00DA71EE" w:rsidRPr="00653BF4">
              <w:rPr>
                <w:sz w:val="20"/>
                <w:szCs w:val="20"/>
                <w:lang w:val="fr-FR"/>
              </w:rPr>
              <w:t>.</w:t>
            </w:r>
          </w:p>
          <w:p w14:paraId="046E09C7" w14:textId="1D93C14C" w:rsidR="00DB6307" w:rsidRPr="00653BF4" w:rsidRDefault="008147C9" w:rsidP="002D0F4A">
            <w:pPr>
              <w:rPr>
                <w:i/>
                <w:sz w:val="20"/>
                <w:szCs w:val="20"/>
                <w:lang w:val="fr-FR"/>
              </w:rPr>
            </w:pPr>
            <w:r w:rsidRPr="00653BF4">
              <w:rPr>
                <w:i/>
                <w:iCs/>
                <w:sz w:val="20"/>
                <w:szCs w:val="20"/>
                <w:lang w:val="fr-FR"/>
              </w:rPr>
              <w:t>Sources</w:t>
            </w:r>
            <w:r w:rsidR="00E34DC9">
              <w:rPr>
                <w:i/>
                <w:iCs/>
                <w:sz w:val="20"/>
                <w:szCs w:val="20"/>
                <w:lang w:val="fr-FR"/>
              </w:rPr>
              <w:t> :</w:t>
            </w:r>
            <w:r w:rsidR="00AD5449">
              <w:rPr>
                <w:sz w:val="20"/>
                <w:szCs w:val="20"/>
                <w:lang w:val="fr-FR"/>
              </w:rPr>
              <w:t xml:space="preserve"> </w:t>
            </w:r>
            <w:r w:rsidR="00522820" w:rsidRPr="00653BF4">
              <w:rPr>
                <w:noProof/>
                <w:sz w:val="20"/>
                <w:szCs w:val="20"/>
                <w:lang w:val="fr-FR"/>
              </w:rPr>
              <w:t>CITES, 2025a</w:t>
            </w:r>
            <w:r w:rsidR="003F2FC1">
              <w:rPr>
                <w:noProof/>
                <w:sz w:val="20"/>
                <w:szCs w:val="20"/>
                <w:lang w:val="fr-FR"/>
              </w:rPr>
              <w:t> </w:t>
            </w:r>
            <w:r w:rsidR="00522820" w:rsidRPr="00653BF4">
              <w:rPr>
                <w:noProof/>
                <w:sz w:val="20"/>
                <w:szCs w:val="20"/>
                <w:lang w:val="fr-FR"/>
              </w:rPr>
              <w:t>, 2025b</w:t>
            </w:r>
            <w:r w:rsidR="00E34DC9">
              <w:rPr>
                <w:noProof/>
                <w:sz w:val="20"/>
                <w:szCs w:val="20"/>
                <w:lang w:val="fr-FR"/>
              </w:rPr>
              <w:t> ;</w:t>
            </w:r>
            <w:r w:rsidR="00766B39" w:rsidRPr="00653BF4">
              <w:rPr>
                <w:noProof/>
                <w:sz w:val="20"/>
                <w:szCs w:val="20"/>
                <w:lang w:val="fr-FR"/>
              </w:rPr>
              <w:t xml:space="preserve"> </w:t>
            </w:r>
            <w:r w:rsidR="003F2FC1">
              <w:rPr>
                <w:noProof/>
                <w:sz w:val="20"/>
                <w:szCs w:val="20"/>
                <w:lang w:val="fr-FR"/>
              </w:rPr>
              <w:t>et</w:t>
            </w:r>
            <w:r w:rsidR="00522820" w:rsidRPr="00653BF4">
              <w:rPr>
                <w:noProof/>
                <w:sz w:val="20"/>
                <w:szCs w:val="20"/>
                <w:lang w:val="fr-FR"/>
              </w:rPr>
              <w:t xml:space="preserve"> UNESCO, 2025a, 2025b</w:t>
            </w:r>
            <w:r w:rsidR="00DB6307" w:rsidRPr="00653BF4">
              <w:rPr>
                <w:sz w:val="20"/>
                <w:szCs w:val="20"/>
                <w:lang w:val="fr-FR"/>
              </w:rPr>
              <w:t>.</w:t>
            </w:r>
          </w:p>
          <w:p w14:paraId="0A03822C" w14:textId="77777777" w:rsidR="00793AA7" w:rsidRPr="00653BF4" w:rsidRDefault="00793AA7" w:rsidP="002D0F4A">
            <w:pPr>
              <w:rPr>
                <w:lang w:val="fr-FR"/>
              </w:rPr>
            </w:pPr>
          </w:p>
          <w:p w14:paraId="73FD60F3" w14:textId="06527CD2" w:rsidR="00793AA7" w:rsidRPr="00653BF4" w:rsidRDefault="00793AA7" w:rsidP="002D0F4A">
            <w:pPr>
              <w:rPr>
                <w:lang w:val="fr-FR"/>
              </w:rPr>
            </w:pPr>
          </w:p>
        </w:tc>
      </w:tr>
    </w:tbl>
    <w:p w14:paraId="03AC908B" w14:textId="77777777" w:rsidR="00C70CBD" w:rsidRPr="00653BF4" w:rsidRDefault="00C70CBD" w:rsidP="002D0F4A">
      <w:pPr>
        <w:rPr>
          <w:lang w:val="fr-FR"/>
        </w:rPr>
      </w:pPr>
    </w:p>
    <w:p w14:paraId="31BD5DCC" w14:textId="4500A28C" w:rsidR="00CA1DF0" w:rsidRPr="00653BF4" w:rsidRDefault="003C2F34" w:rsidP="00CA1DF0">
      <w:pPr>
        <w:rPr>
          <w:lang w:val="fr-FR"/>
        </w:rPr>
      </w:pPr>
      <w:r w:rsidRPr="003C2F34">
        <w:rPr>
          <w:lang w:val="fr-FR"/>
        </w:rPr>
        <w:t xml:space="preserve">Le Partenariat collaboratif pour la gestion de la faune et de la flore sauvages est un partenariat volontaire regroupant 13 organisations internationales dont les mandats et les programmes visent spécifiquement à promouvoir l’utilisation durable et la conservation des ressources fauniques. Doté d’un secrétariat rattaché à la Division des forêts de la FAO, ce partenariat a été créé en mars 2013 par une décision de la Conférence des Parties à la Convention sur la diversité biologique, et s’est vu confier pour mission de renforcer la coopération et la coordination entre ses membres sur les questions relatives à la gestion de la faune et de la flore sauvages, afin de promouvoir la gestion durable de la faune et de la flore sauvages dans tous les biomes et toutes les zones géographiques, contribuant ainsi à la conservation et à l’utilisation durable de la biodiversité, ainsi qu’à la sécurité alimentaire, aux moyens de subsistance et au bien-être des populations </w:t>
      </w:r>
      <w:r w:rsidR="000931A8" w:rsidRPr="00653BF4">
        <w:rPr>
          <w:lang w:val="fr-FR"/>
        </w:rPr>
        <w:t>(d</w:t>
      </w:r>
      <w:r>
        <w:rPr>
          <w:lang w:val="fr-FR"/>
        </w:rPr>
        <w:t>é</w:t>
      </w:r>
      <w:r w:rsidR="000931A8" w:rsidRPr="00653BF4">
        <w:rPr>
          <w:lang w:val="fr-FR"/>
        </w:rPr>
        <w:t>c</w:t>
      </w:r>
      <w:r w:rsidR="005D5D8F" w:rsidRPr="00653BF4">
        <w:rPr>
          <w:lang w:val="fr-FR"/>
        </w:rPr>
        <w:t>.</w:t>
      </w:r>
      <w:r>
        <w:rPr>
          <w:lang w:val="fr-FR"/>
        </w:rPr>
        <w:t> </w:t>
      </w:r>
      <w:r w:rsidR="00F3778C" w:rsidRPr="00653BF4">
        <w:rPr>
          <w:lang w:val="fr-FR"/>
        </w:rPr>
        <w:t>XI/25</w:t>
      </w:r>
      <w:r w:rsidR="000931A8" w:rsidRPr="00653BF4">
        <w:rPr>
          <w:lang w:val="fr-FR"/>
        </w:rPr>
        <w:t xml:space="preserve"> </w:t>
      </w:r>
      <w:r w:rsidR="005D5D8F" w:rsidRPr="003C2F34">
        <w:rPr>
          <w:i/>
          <w:iCs/>
          <w:noProof/>
          <w:lang w:val="fr-FR"/>
        </w:rPr>
        <w:t>in</w:t>
      </w:r>
      <w:r w:rsidR="005D5D8F" w:rsidRPr="00653BF4">
        <w:rPr>
          <w:noProof/>
          <w:lang w:val="fr-FR"/>
        </w:rPr>
        <w:t xml:space="preserve"> </w:t>
      </w:r>
      <w:r w:rsidR="00604B6B">
        <w:rPr>
          <w:noProof/>
          <w:lang w:val="fr-FR"/>
        </w:rPr>
        <w:t>CDB</w:t>
      </w:r>
      <w:r w:rsidR="000931A8" w:rsidRPr="00653BF4">
        <w:rPr>
          <w:noProof/>
          <w:lang w:val="fr-FR"/>
        </w:rPr>
        <w:t>, 2012</w:t>
      </w:r>
      <w:r w:rsidR="00F3778C" w:rsidRPr="00653BF4">
        <w:rPr>
          <w:lang w:val="fr-FR"/>
        </w:rPr>
        <w:t>)</w:t>
      </w:r>
      <w:r w:rsidR="005D2C0F" w:rsidRPr="00653BF4">
        <w:rPr>
          <w:rStyle w:val="FootnoteReference"/>
          <w:lang w:val="fr-FR"/>
        </w:rPr>
        <w:footnoteReference w:id="21"/>
      </w:r>
      <w:r>
        <w:rPr>
          <w:lang w:val="fr-FR"/>
        </w:rPr>
        <w:t>.</w:t>
      </w:r>
      <w:r w:rsidR="002508C6" w:rsidRPr="004A6081">
        <w:rPr>
          <w:lang w:val="fr-CA"/>
        </w:rPr>
        <w:t xml:space="preserve"> </w:t>
      </w:r>
      <w:r w:rsidR="002508C6" w:rsidRPr="002508C6">
        <w:rPr>
          <w:rFonts w:cs="Arial"/>
          <w:color w:val="000000"/>
          <w:shd w:val="clear" w:color="auto" w:fill="FFFFFF"/>
          <w:lang w:val="fr-FR"/>
        </w:rPr>
        <w:t xml:space="preserve">Le Partenariat collaboratif dispose d’un plan de travail ambitieux et mène de multiples programmes et initiatives conjoints entre ses organisations membres, notamment le Programme de gestion de la faune et de la flore sauvages, qui a mis en </w:t>
      </w:r>
      <w:r w:rsidR="002508C6" w:rsidRPr="002508C6">
        <w:rPr>
          <w:rFonts w:cs="Arial"/>
          <w:color w:val="000000"/>
          <w:shd w:val="clear" w:color="auto" w:fill="FFFFFF"/>
          <w:lang w:val="fr-FR"/>
        </w:rPr>
        <w:lastRenderedPageBreak/>
        <w:t>œuvre des projets sur le terrain dans 16 pays d’Afrique, d’Asie, des Caraïbes et du Pacifique, élaborés en collaboration avec les peuples autochtones et communautés locales</w:t>
      </w:r>
      <w:r w:rsidR="008C3622" w:rsidRPr="00653BF4">
        <w:rPr>
          <w:rStyle w:val="FootnoteReference"/>
          <w:rFonts w:cs="Arial"/>
          <w:color w:val="000000"/>
          <w:shd w:val="clear" w:color="auto" w:fill="FFFFFF"/>
          <w:lang w:val="fr-FR"/>
        </w:rPr>
        <w:footnoteReference w:id="22"/>
      </w:r>
      <w:r w:rsidR="002508C6">
        <w:rPr>
          <w:rFonts w:cs="Arial"/>
          <w:color w:val="000000"/>
          <w:shd w:val="clear" w:color="auto" w:fill="FFFFFF"/>
          <w:lang w:val="fr-FR"/>
        </w:rPr>
        <w:t>.</w:t>
      </w:r>
      <w:r w:rsidR="001E1B74" w:rsidRPr="00653BF4">
        <w:rPr>
          <w:rFonts w:cs="Arial"/>
          <w:color w:val="000000"/>
          <w:shd w:val="clear" w:color="auto" w:fill="FFFFFF"/>
          <w:lang w:val="fr-FR"/>
        </w:rPr>
        <w:t xml:space="preserve"> </w:t>
      </w:r>
      <w:r w:rsidR="001D3373" w:rsidRPr="001D3373">
        <w:rPr>
          <w:rFonts w:cs="Arial"/>
          <w:color w:val="000000"/>
          <w:shd w:val="clear" w:color="auto" w:fill="FFFFFF"/>
          <w:lang w:val="fr-FR"/>
        </w:rPr>
        <w:t xml:space="preserve">Les travaux du Partenariat collaboratif portent directement sur la réglementation de la chasse de la faune sauvage, le développement de sources alternatives durables de protéines, le renforcement des capacités de gestion des peuples autochtones et communautés locales, la réduction de la demande urbaine non durable en viande sauvage et l’atténuation des risques liés aux maladies zoonotiques grâce à une approche </w:t>
      </w:r>
      <w:r w:rsidR="00E34DC9">
        <w:rPr>
          <w:rFonts w:cs="Arial"/>
          <w:color w:val="000000"/>
          <w:shd w:val="clear" w:color="auto" w:fill="FFFFFF"/>
          <w:lang w:val="fr-FR"/>
        </w:rPr>
        <w:t>« </w:t>
      </w:r>
      <w:r w:rsidR="001D3373" w:rsidRPr="001D3373">
        <w:rPr>
          <w:rFonts w:cs="Arial"/>
          <w:color w:val="000000"/>
          <w:shd w:val="clear" w:color="auto" w:fill="FFFFFF"/>
          <w:lang w:val="fr-FR"/>
        </w:rPr>
        <w:t>Une seule santé</w:t>
      </w:r>
      <w:r w:rsidR="00E34DC9">
        <w:rPr>
          <w:rFonts w:cs="Arial"/>
          <w:color w:val="000000"/>
          <w:shd w:val="clear" w:color="auto" w:fill="FFFFFF"/>
          <w:lang w:val="fr-FR"/>
        </w:rPr>
        <w:t> »</w:t>
      </w:r>
      <w:r w:rsidR="001D3373" w:rsidRPr="001D3373">
        <w:rPr>
          <w:rFonts w:cs="Arial"/>
          <w:color w:val="000000"/>
          <w:shd w:val="clear" w:color="auto" w:fill="FFFFFF"/>
          <w:lang w:val="fr-FR"/>
        </w:rPr>
        <w:t>, conformément aux cibles 4, 5 et 9 du Cadre.</w:t>
      </w:r>
    </w:p>
    <w:p w14:paraId="450A78EE" w14:textId="48C42596" w:rsidR="00A00F85" w:rsidRPr="00653BF4" w:rsidRDefault="00A00F85" w:rsidP="002D0F4A">
      <w:pPr>
        <w:rPr>
          <w:lang w:val="fr-FR"/>
        </w:rPr>
      </w:pPr>
    </w:p>
    <w:p w14:paraId="7C2D0F5D" w14:textId="77777777" w:rsidR="00781B43" w:rsidRPr="00653BF4" w:rsidRDefault="00781B43" w:rsidP="00781B43">
      <w:pPr>
        <w:rPr>
          <w:lang w:val="fr-FR"/>
        </w:rPr>
      </w:pPr>
    </w:p>
    <w:p w14:paraId="6C2F2547" w14:textId="67FB366B" w:rsidR="00120352" w:rsidRPr="00653BF4" w:rsidRDefault="00E34DC9" w:rsidP="74032CC2">
      <w:pPr>
        <w:pStyle w:val="Heading4"/>
        <w:rPr>
          <w:i w:val="0"/>
          <w:iCs w:val="0"/>
          <w:lang w:val="fr-FR"/>
        </w:rPr>
      </w:pPr>
      <w:bookmarkStart w:id="144" w:name="_Toc235821115"/>
      <w:bookmarkStart w:id="145" w:name="_Toc239069200"/>
      <w:bookmarkStart w:id="146" w:name="_Toc242801237"/>
      <w:r>
        <w:rPr>
          <w:b/>
          <w:bCs/>
          <w:i w:val="0"/>
          <w:iCs w:val="0"/>
          <w:lang w:val="fr-FR"/>
        </w:rPr>
        <w:t>Cible 6</w:t>
      </w:r>
      <w:r w:rsidR="00522847" w:rsidRPr="00653BF4">
        <w:rPr>
          <w:b/>
          <w:bCs/>
          <w:i w:val="0"/>
          <w:iCs w:val="0"/>
          <w:lang w:val="fr-FR"/>
        </w:rPr>
        <w:t>.</w:t>
      </w:r>
      <w:r w:rsidR="00CC2838" w:rsidRPr="00653BF4">
        <w:rPr>
          <w:i w:val="0"/>
          <w:iCs w:val="0"/>
          <w:lang w:val="fr-FR"/>
        </w:rPr>
        <w:t xml:space="preserve"> </w:t>
      </w:r>
      <w:r w:rsidR="00BC61C7" w:rsidRPr="00653BF4">
        <w:rPr>
          <w:i w:val="0"/>
          <w:iCs w:val="0"/>
          <w:lang w:val="fr-FR"/>
        </w:rPr>
        <w:t>Réduire l</w:t>
      </w:r>
      <w:r w:rsidR="002A58C8" w:rsidRPr="00653BF4">
        <w:rPr>
          <w:i w:val="0"/>
          <w:iCs w:val="0"/>
          <w:lang w:val="fr-FR"/>
        </w:rPr>
        <w:t>’</w:t>
      </w:r>
      <w:r w:rsidR="00BC61C7" w:rsidRPr="00653BF4">
        <w:rPr>
          <w:i w:val="0"/>
          <w:iCs w:val="0"/>
          <w:lang w:val="fr-FR"/>
        </w:rPr>
        <w:t>introduction des espèces exotiques envahissantes</w:t>
      </w:r>
      <w:r w:rsidR="00BC61C7" w:rsidRPr="00653BF4">
        <w:rPr>
          <w:lang w:val="fr-FR"/>
        </w:rPr>
        <w:t xml:space="preserve"> </w:t>
      </w:r>
      <w:r w:rsidR="00BC61C7" w:rsidRPr="00653BF4">
        <w:rPr>
          <w:i w:val="0"/>
          <w:iCs w:val="0"/>
          <w:lang w:val="fr-FR"/>
        </w:rPr>
        <w:t>de</w:t>
      </w:r>
      <w:r w:rsidR="00BC61C7" w:rsidRPr="00653BF4">
        <w:rPr>
          <w:lang w:val="fr-FR"/>
        </w:rPr>
        <w:t xml:space="preserve"> </w:t>
      </w:r>
      <w:r w:rsidR="00730A8F" w:rsidRPr="00653BF4">
        <w:rPr>
          <w:i w:val="0"/>
          <w:iCs w:val="0"/>
          <w:lang w:val="fr-FR"/>
        </w:rPr>
        <w:t>moitié</w:t>
      </w:r>
      <w:r w:rsidR="00BC61C7" w:rsidRPr="00653BF4">
        <w:rPr>
          <w:i w:val="0"/>
          <w:iCs w:val="0"/>
          <w:lang w:val="fr-FR"/>
        </w:rPr>
        <w:t xml:space="preserve"> et</w:t>
      </w:r>
      <w:bookmarkEnd w:id="144"/>
      <w:bookmarkEnd w:id="145"/>
      <w:r w:rsidR="00E54C47" w:rsidRPr="00653BF4">
        <w:rPr>
          <w:i w:val="0"/>
          <w:iCs w:val="0"/>
          <w:lang w:val="fr-FR"/>
        </w:rPr>
        <w:t xml:space="preserve"> limiter leurs incidences</w:t>
      </w:r>
      <w:bookmarkEnd w:id="146"/>
    </w:p>
    <w:p w14:paraId="50B6A11D" w14:textId="2EA0A3EE" w:rsidR="009446ED" w:rsidRPr="00653BF4" w:rsidRDefault="009446ED" w:rsidP="009446ED">
      <w:pPr>
        <w:rPr>
          <w:b/>
          <w:bCs/>
          <w:i/>
          <w:iCs/>
          <w:sz w:val="22"/>
          <w:szCs w:val="22"/>
          <w:lang w:val="fr-FR"/>
        </w:rPr>
      </w:pPr>
    </w:p>
    <w:p w14:paraId="6B7FFCF6" w14:textId="4D30A781" w:rsidR="009446ED" w:rsidRPr="00653BF4" w:rsidRDefault="000569A2" w:rsidP="009446ED">
      <w:pPr>
        <w:rPr>
          <w:i/>
          <w:iCs/>
          <w:sz w:val="22"/>
          <w:szCs w:val="22"/>
          <w:lang w:val="fr-FR"/>
        </w:rPr>
      </w:pPr>
      <w:r w:rsidRPr="00653BF4">
        <w:rPr>
          <w:b/>
          <w:sz w:val="22"/>
          <w:szCs w:val="22"/>
          <w:lang w:val="fr-FR"/>
        </w:rPr>
        <w:t>T</w:t>
      </w:r>
      <w:r w:rsidR="009446ED" w:rsidRPr="00653BF4">
        <w:rPr>
          <w:b/>
          <w:sz w:val="22"/>
          <w:szCs w:val="22"/>
          <w:lang w:val="fr-FR"/>
        </w:rPr>
        <w:t>ext</w:t>
      </w:r>
      <w:r w:rsidRPr="00653BF4">
        <w:rPr>
          <w:b/>
          <w:sz w:val="22"/>
          <w:szCs w:val="22"/>
          <w:lang w:val="fr-FR"/>
        </w:rPr>
        <w:t>e de la cible</w:t>
      </w:r>
      <w:r w:rsidR="00FC4408" w:rsidRPr="00653BF4">
        <w:rPr>
          <w:b/>
          <w:bCs/>
          <w:sz w:val="22"/>
          <w:szCs w:val="22"/>
          <w:lang w:val="fr-FR"/>
        </w:rPr>
        <w:t>.</w:t>
      </w:r>
      <w:r w:rsidR="009446ED" w:rsidRPr="00653BF4">
        <w:rPr>
          <w:i/>
          <w:iCs/>
          <w:sz w:val="22"/>
          <w:szCs w:val="22"/>
          <w:lang w:val="fr-FR"/>
        </w:rPr>
        <w:t xml:space="preserve"> </w:t>
      </w:r>
      <w:r w:rsidRPr="00653BF4">
        <w:rPr>
          <w:i/>
          <w:iCs/>
          <w:sz w:val="22"/>
          <w:szCs w:val="22"/>
          <w:lang w:val="fr-FR"/>
        </w:rPr>
        <w:t>Éviter, limiter, réduire ou atténuer les incidences des espèces exotiques envahissantes sur la biodiversité et les services écosystémiques en identifiant et en contrôlant leurs voies d</w:t>
      </w:r>
      <w:r w:rsidR="002A58C8" w:rsidRPr="00653BF4">
        <w:rPr>
          <w:i/>
          <w:iCs/>
          <w:sz w:val="22"/>
          <w:szCs w:val="22"/>
          <w:lang w:val="fr-FR"/>
        </w:rPr>
        <w:t>’</w:t>
      </w:r>
      <w:r w:rsidRPr="00653BF4">
        <w:rPr>
          <w:i/>
          <w:iCs/>
          <w:sz w:val="22"/>
          <w:szCs w:val="22"/>
          <w:lang w:val="fr-FR"/>
        </w:rPr>
        <w:t>introduction, en empêchant l</w:t>
      </w:r>
      <w:r w:rsidR="002A58C8" w:rsidRPr="00653BF4">
        <w:rPr>
          <w:i/>
          <w:iCs/>
          <w:sz w:val="22"/>
          <w:szCs w:val="22"/>
          <w:lang w:val="fr-FR"/>
        </w:rPr>
        <w:t>’</w:t>
      </w:r>
      <w:r w:rsidRPr="00653BF4">
        <w:rPr>
          <w:i/>
          <w:iCs/>
          <w:sz w:val="22"/>
          <w:szCs w:val="22"/>
          <w:lang w:val="fr-FR"/>
        </w:rPr>
        <w:t>introduction et la propagation des principales espèces exotiques envahissantes, en réduisant de moitié au moins les taux d</w:t>
      </w:r>
      <w:r w:rsidR="002A58C8" w:rsidRPr="00653BF4">
        <w:rPr>
          <w:i/>
          <w:iCs/>
          <w:sz w:val="22"/>
          <w:szCs w:val="22"/>
          <w:lang w:val="fr-FR"/>
        </w:rPr>
        <w:t>’</w:t>
      </w:r>
      <w:r w:rsidRPr="00653BF4">
        <w:rPr>
          <w:i/>
          <w:iCs/>
          <w:sz w:val="22"/>
          <w:szCs w:val="22"/>
          <w:lang w:val="fr-FR"/>
        </w:rPr>
        <w:t>introduction et de propagation des autres espèces exotiques envahissantes connues ou potentielles d</w:t>
      </w:r>
      <w:r w:rsidR="002A58C8" w:rsidRPr="00653BF4">
        <w:rPr>
          <w:i/>
          <w:iCs/>
          <w:sz w:val="22"/>
          <w:szCs w:val="22"/>
          <w:lang w:val="fr-FR"/>
        </w:rPr>
        <w:t>’</w:t>
      </w:r>
      <w:r w:rsidRPr="00653BF4">
        <w:rPr>
          <w:i/>
          <w:iCs/>
          <w:sz w:val="22"/>
          <w:szCs w:val="22"/>
          <w:lang w:val="fr-FR"/>
        </w:rPr>
        <w:t>ici à 2030, et en éradiquant ou en contrôlant les espèces exotiques envahissantes, en particulier dans les zones prioritaires, notamment dans les îles.</w:t>
      </w:r>
    </w:p>
    <w:p w14:paraId="2B515D96" w14:textId="77777777" w:rsidR="009446ED" w:rsidRPr="00653BF4" w:rsidRDefault="009446ED" w:rsidP="009446ED">
      <w:pPr>
        <w:rPr>
          <w:lang w:val="fr-FR"/>
        </w:rPr>
      </w:pPr>
    </w:p>
    <w:p w14:paraId="0883AB12" w14:textId="1B8BB3E3" w:rsidR="00CA3D30" w:rsidRPr="00653BF4" w:rsidRDefault="00DD19D2" w:rsidP="00CA3D30">
      <w:pPr>
        <w:pStyle w:val="Heading5"/>
        <w:rPr>
          <w:lang w:val="fr-FR"/>
        </w:rPr>
      </w:pPr>
      <w:r w:rsidRPr="00653BF4">
        <w:rPr>
          <w:lang w:val="fr-FR"/>
        </w:rPr>
        <w:t>Aperçu des progrès</w:t>
      </w:r>
      <w:r w:rsidR="003E194D" w:rsidRPr="00653BF4">
        <w:rPr>
          <w:lang w:val="fr-FR"/>
        </w:rPr>
        <w:t xml:space="preserve"> accomplis</w:t>
      </w:r>
    </w:p>
    <w:tbl>
      <w:tblPr>
        <w:tblStyle w:val="TableGrid"/>
        <w:tblW w:w="0" w:type="auto"/>
        <w:tblLook w:val="04A0" w:firstRow="1" w:lastRow="0" w:firstColumn="1" w:lastColumn="0" w:noHBand="0" w:noVBand="1"/>
      </w:tblPr>
      <w:tblGrid>
        <w:gridCol w:w="9016"/>
      </w:tblGrid>
      <w:tr w:rsidR="00CA3D30" w:rsidRPr="00543148" w14:paraId="5CD32174" w14:textId="77777777" w:rsidTr="0083121E">
        <w:tc>
          <w:tcPr>
            <w:tcW w:w="9016" w:type="dxa"/>
            <w:shd w:val="clear" w:color="auto" w:fill="D1D1D1" w:themeFill="background2" w:themeFillShade="E6"/>
          </w:tcPr>
          <w:p w14:paraId="1877D292" w14:textId="77777777" w:rsidR="001E2BFF" w:rsidRPr="00653BF4" w:rsidRDefault="001E2BFF" w:rsidP="008266A0">
            <w:pPr>
              <w:rPr>
                <w:rFonts w:ascii="Aptos" w:eastAsia="Times New Roman" w:hAnsi="Aptos" w:cs="Calibri"/>
                <w:color w:val="000000"/>
                <w:lang w:val="fr-FR"/>
              </w:rPr>
            </w:pPr>
          </w:p>
          <w:p w14:paraId="382A234D" w14:textId="27E8AD2F" w:rsidR="006E69C5" w:rsidRPr="00653BF4" w:rsidRDefault="002D172C" w:rsidP="006E69C5">
            <w:pPr>
              <w:rPr>
                <w:rFonts w:ascii="Aptos" w:eastAsia="Times New Roman" w:hAnsi="Aptos" w:cs="Calibri"/>
                <w:color w:val="000000"/>
                <w:lang w:val="fr-FR"/>
              </w:rPr>
            </w:pPr>
            <w:r w:rsidRPr="002D172C">
              <w:rPr>
                <w:rFonts w:ascii="Aptos" w:eastAsia="Times New Roman" w:hAnsi="Aptos" w:cs="Calibri"/>
                <w:color w:val="000000"/>
                <w:lang w:val="fr-FR"/>
              </w:rPr>
              <w:t xml:space="preserve">Les Parties prennent des mesures pour lutter contre les espèces exotiques envahissantes, mais les progrès restent difficiles à évaluer. La plupart des Parties indiquent ne pas être en voie d’atteindre les cibles nationales liées à </w:t>
            </w:r>
            <w:r w:rsidR="0092484B">
              <w:rPr>
                <w:rFonts w:ascii="Aptos" w:eastAsia="Times New Roman" w:hAnsi="Aptos" w:cs="Calibri"/>
                <w:color w:val="000000"/>
                <w:lang w:val="fr-FR"/>
              </w:rPr>
              <w:t xml:space="preserve">la </w:t>
            </w:r>
            <w:r w:rsidR="00E34DC9">
              <w:rPr>
                <w:rFonts w:ascii="Aptos" w:eastAsia="Times New Roman" w:hAnsi="Aptos" w:cs="Calibri"/>
                <w:color w:val="000000"/>
                <w:lang w:val="fr-FR"/>
              </w:rPr>
              <w:t>cible 6</w:t>
            </w:r>
            <w:r w:rsidRPr="002D172C">
              <w:rPr>
                <w:rFonts w:ascii="Aptos" w:eastAsia="Times New Roman" w:hAnsi="Aptos" w:cs="Calibri"/>
                <w:color w:val="000000"/>
                <w:lang w:val="fr-FR"/>
              </w:rPr>
              <w:t xml:space="preserve">. Dans l’ensemble, les cibles nationales ne reflètent pas explicitement la portée complète de cet objectif, et seule une minorité de Parties dispose d’éléments quantitatifs correspondant à l’ambition mondiale de la </w:t>
            </w:r>
            <w:r w:rsidR="00E34DC9">
              <w:rPr>
                <w:rFonts w:ascii="Aptos" w:eastAsia="Times New Roman" w:hAnsi="Aptos" w:cs="Calibri"/>
                <w:color w:val="000000"/>
                <w:lang w:val="fr-FR"/>
              </w:rPr>
              <w:t>cible 6</w:t>
            </w:r>
            <w:r w:rsidRPr="002D172C">
              <w:rPr>
                <w:rFonts w:ascii="Aptos" w:eastAsia="Times New Roman" w:hAnsi="Aptos" w:cs="Calibri"/>
                <w:color w:val="000000"/>
                <w:lang w:val="fr-FR"/>
              </w:rPr>
              <w:t xml:space="preserve">. Les Parties soulignent également les défis liés au suivi, tels que le manque de données de référence et une faible capacité à détecter les espèces exotiques envahissantes. Bien que les Parties aient fait état de mesures importantes prises pour atteindre la cible, il n’est pas encore possible de discerner les effets à long terme de ces efforts sur l’implantation ou les impacts des espèces exotiques envahissantes. Parmi les mesures efficaces figurent des mesures de biosécurité rigoureuses axées sur la prévention, qui ne sont pas </w:t>
            </w:r>
            <w:r w:rsidRPr="002D172C">
              <w:rPr>
                <w:rFonts w:ascii="Aptos" w:eastAsia="Times New Roman" w:hAnsi="Aptos" w:cs="Calibri"/>
                <w:color w:val="000000"/>
                <w:lang w:val="fr-FR"/>
              </w:rPr>
              <w:lastRenderedPageBreak/>
              <w:t>généralisées parmi les Parties en raison des différences de capacités et de contextes nationaux.</w:t>
            </w:r>
          </w:p>
          <w:p w14:paraId="4AD15C6A" w14:textId="24901ADF" w:rsidR="00CA3D30" w:rsidRPr="00653BF4" w:rsidRDefault="00CA3D30" w:rsidP="00D02AAA">
            <w:pPr>
              <w:rPr>
                <w:lang w:val="fr-FR"/>
              </w:rPr>
            </w:pPr>
          </w:p>
        </w:tc>
      </w:tr>
    </w:tbl>
    <w:p w14:paraId="1CF192DD" w14:textId="77777777" w:rsidR="00D72D78" w:rsidRPr="00653BF4" w:rsidRDefault="00D72D78" w:rsidP="00D72D78">
      <w:pPr>
        <w:rPr>
          <w:lang w:val="fr-FR"/>
        </w:rPr>
      </w:pPr>
    </w:p>
    <w:p w14:paraId="3966ADE8" w14:textId="13322822" w:rsidR="003D0F17" w:rsidRPr="00653BF4" w:rsidRDefault="0043459E" w:rsidP="00B60BA6">
      <w:pPr>
        <w:pStyle w:val="Heading5"/>
        <w:rPr>
          <w:lang w:val="fr-FR"/>
        </w:rPr>
      </w:pPr>
      <w:r w:rsidRPr="00653BF4">
        <w:rPr>
          <w:lang w:val="fr-FR"/>
        </w:rPr>
        <w:t xml:space="preserve">Prise en compte par les Parties de la portée de la </w:t>
      </w:r>
      <w:r w:rsidR="00E34DC9">
        <w:rPr>
          <w:lang w:val="fr-FR"/>
        </w:rPr>
        <w:t>cible 6</w:t>
      </w:r>
      <w:r w:rsidRPr="00653BF4">
        <w:rPr>
          <w:lang w:val="fr-FR"/>
        </w:rPr>
        <w:t xml:space="preserve"> du Cadre dans leurs cibles nationales</w:t>
      </w:r>
    </w:p>
    <w:p w14:paraId="3F7D92EA" w14:textId="77777777" w:rsidR="00BC05DE" w:rsidRPr="00653BF4" w:rsidRDefault="00BC05DE" w:rsidP="009375BE">
      <w:pPr>
        <w:rPr>
          <w:i/>
          <w:iCs/>
          <w:lang w:val="fr-FR"/>
        </w:rPr>
      </w:pPr>
    </w:p>
    <w:p w14:paraId="4DC84CAA" w14:textId="1BBE79E6" w:rsidR="009477DC" w:rsidRPr="00653BF4" w:rsidRDefault="00D5751A" w:rsidP="00CF1235">
      <w:pPr>
        <w:pStyle w:val="Caption"/>
        <w:keepNext/>
        <w:rPr>
          <w:i w:val="0"/>
          <w:iCs w:val="0"/>
          <w:sz w:val="20"/>
          <w:szCs w:val="20"/>
          <w:lang w:val="fr-FR"/>
        </w:rPr>
      </w:pPr>
      <w:r w:rsidRPr="00653BF4">
        <w:rPr>
          <w:i w:val="0"/>
          <w:sz w:val="20"/>
          <w:szCs w:val="20"/>
          <w:lang w:val="fr-FR"/>
        </w:rPr>
        <w:t>Tableau</w:t>
      </w:r>
      <w:r w:rsidR="00DC1793" w:rsidRPr="00653BF4">
        <w:rPr>
          <w:i w:val="0"/>
          <w:noProof/>
          <w:sz w:val="20"/>
          <w:szCs w:val="20"/>
          <w:lang w:val="fr-FR"/>
        </w:rPr>
        <w:t>14</w:t>
      </w:r>
      <w:r w:rsidR="00CF1235" w:rsidRPr="00653BF4">
        <w:rPr>
          <w:i w:val="0"/>
          <w:iCs w:val="0"/>
          <w:sz w:val="20"/>
          <w:szCs w:val="20"/>
          <w:lang w:val="fr-FR"/>
        </w:rPr>
        <w:t xml:space="preserve"> </w:t>
      </w:r>
    </w:p>
    <w:p w14:paraId="1F697845" w14:textId="0A40D491" w:rsidR="009477DC" w:rsidRPr="00653BF4" w:rsidRDefault="006447A4" w:rsidP="009477DC">
      <w:pPr>
        <w:pStyle w:val="Caption"/>
        <w:keepNext/>
        <w:rPr>
          <w:b/>
          <w:bCs/>
          <w:i w:val="0"/>
          <w:iCs w:val="0"/>
          <w:sz w:val="20"/>
          <w:szCs w:val="20"/>
          <w:lang w:val="fr-FR"/>
        </w:rPr>
      </w:pPr>
      <w:r w:rsidRPr="00653BF4">
        <w:rPr>
          <w:b/>
          <w:bCs/>
          <w:i w:val="0"/>
          <w:iCs w:val="0"/>
          <w:sz w:val="20"/>
          <w:szCs w:val="20"/>
          <w:lang w:val="fr-FR"/>
        </w:rPr>
        <w:t xml:space="preserve">Éléments de la </w:t>
      </w:r>
      <w:r w:rsidR="00E34DC9">
        <w:rPr>
          <w:b/>
          <w:bCs/>
          <w:i w:val="0"/>
          <w:iCs w:val="0"/>
          <w:sz w:val="20"/>
          <w:szCs w:val="20"/>
          <w:lang w:val="fr-FR"/>
        </w:rPr>
        <w:t>cible 6</w:t>
      </w:r>
      <w:r w:rsidR="002D172C">
        <w:rPr>
          <w:b/>
          <w:bCs/>
          <w:i w:val="0"/>
          <w:iCs w:val="0"/>
          <w:sz w:val="20"/>
          <w:szCs w:val="20"/>
          <w:lang w:val="fr-FR"/>
        </w:rPr>
        <w:t xml:space="preserve"> </w:t>
      </w:r>
      <w:r w:rsidRPr="00653BF4">
        <w:rPr>
          <w:b/>
          <w:bCs/>
          <w:i w:val="0"/>
          <w:iCs w:val="0"/>
          <w:sz w:val="20"/>
          <w:szCs w:val="20"/>
          <w:lang w:val="fr-FR"/>
        </w:rPr>
        <w:t xml:space="preserve">du Cadre et leur prise en compte dans les cibles nationales </w:t>
      </w:r>
      <w:r w:rsidR="009477DC" w:rsidRPr="00653BF4">
        <w:rPr>
          <w:b/>
          <w:bCs/>
          <w:i w:val="0"/>
          <w:iCs w:val="0"/>
          <w:sz w:val="20"/>
          <w:szCs w:val="20"/>
          <w:vertAlign w:val="superscript"/>
          <w:lang w:val="fr-FR"/>
        </w:rPr>
        <w:t>a</w:t>
      </w:r>
      <w:r w:rsidR="009477DC" w:rsidRPr="00653BF4">
        <w:rPr>
          <w:b/>
          <w:bCs/>
          <w:i w:val="0"/>
          <w:iCs w:val="0"/>
          <w:sz w:val="20"/>
          <w:szCs w:val="20"/>
          <w:lang w:val="fr-FR"/>
        </w:rPr>
        <w:t xml:space="preserve"> </w:t>
      </w:r>
    </w:p>
    <w:tbl>
      <w:tblPr>
        <w:tblStyle w:val="TableGrid"/>
        <w:tblW w:w="0" w:type="auto"/>
        <w:tblLook w:val="04A0" w:firstRow="1" w:lastRow="0" w:firstColumn="1" w:lastColumn="0" w:noHBand="0" w:noVBand="1"/>
      </w:tblPr>
      <w:tblGrid>
        <w:gridCol w:w="8359"/>
        <w:gridCol w:w="657"/>
      </w:tblGrid>
      <w:tr w:rsidR="00AB1599" w:rsidRPr="00AB1599" w14:paraId="450D0192" w14:textId="77777777" w:rsidTr="00A0688A">
        <w:tc>
          <w:tcPr>
            <w:tcW w:w="8359" w:type="dxa"/>
          </w:tcPr>
          <w:p w14:paraId="76C7EADD" w14:textId="6387A1F8" w:rsidR="00AB1599" w:rsidRPr="00684902" w:rsidRDefault="00684902" w:rsidP="00AB1599">
            <w:pPr>
              <w:rPr>
                <w:sz w:val="20"/>
                <w:szCs w:val="20"/>
                <w:lang w:val="fr-FR"/>
              </w:rPr>
            </w:pPr>
            <w:r w:rsidRPr="00684902">
              <w:rPr>
                <w:sz w:val="20"/>
                <w:szCs w:val="20"/>
                <w:lang w:val="fr-FR"/>
              </w:rPr>
              <w:t>Éviter, limiter, réduire ou atténuer les incidences des espèces exotiques envahissantes sur la biodiversité</w:t>
            </w:r>
          </w:p>
        </w:tc>
        <w:tc>
          <w:tcPr>
            <w:tcW w:w="657" w:type="dxa"/>
            <w:shd w:val="clear" w:color="auto" w:fill="FFFF00"/>
          </w:tcPr>
          <w:p w14:paraId="6E8A2727" w14:textId="3BD042B9" w:rsidR="00AB1599" w:rsidRPr="00AB1599" w:rsidRDefault="00AB1599" w:rsidP="00AB1599">
            <w:pPr>
              <w:rPr>
                <w:sz w:val="20"/>
                <w:szCs w:val="20"/>
                <w:lang w:val="fr-FR"/>
              </w:rPr>
            </w:pPr>
            <w:r w:rsidRPr="00AB1599">
              <w:rPr>
                <w:sz w:val="20"/>
                <w:szCs w:val="20"/>
                <w:lang w:val="fr-FR"/>
              </w:rPr>
              <w:t>59</w:t>
            </w:r>
          </w:p>
        </w:tc>
      </w:tr>
      <w:tr w:rsidR="00AB1599" w:rsidRPr="00AB1599" w14:paraId="347C697B" w14:textId="77777777" w:rsidTr="00DC7F18">
        <w:tc>
          <w:tcPr>
            <w:tcW w:w="8359" w:type="dxa"/>
          </w:tcPr>
          <w:p w14:paraId="1F02285D" w14:textId="2A642057" w:rsidR="00AB1599" w:rsidRPr="00AB1599" w:rsidRDefault="00684902" w:rsidP="00AB1599">
            <w:pPr>
              <w:rPr>
                <w:sz w:val="20"/>
                <w:szCs w:val="20"/>
                <w:lang w:val="fr-FR"/>
              </w:rPr>
            </w:pPr>
            <w:r w:rsidRPr="00684902">
              <w:rPr>
                <w:sz w:val="20"/>
                <w:szCs w:val="20"/>
                <w:lang w:val="fr-FR"/>
              </w:rPr>
              <w:t>Éviter, limiter, réduire ou atténuer les incidences des espèces exotiques envahissantes</w:t>
            </w:r>
            <w:r w:rsidRPr="00684902">
              <w:rPr>
                <w:i/>
                <w:iCs/>
                <w:sz w:val="20"/>
                <w:szCs w:val="20"/>
                <w:lang w:val="fr-FR"/>
              </w:rPr>
              <w:t xml:space="preserve"> </w:t>
            </w:r>
            <w:r w:rsidR="00AB1599" w:rsidRPr="00AB1599">
              <w:rPr>
                <w:sz w:val="20"/>
                <w:szCs w:val="20"/>
                <w:lang w:val="fr-FR"/>
              </w:rPr>
              <w:t>sur les services écosystémiques</w:t>
            </w:r>
          </w:p>
        </w:tc>
        <w:tc>
          <w:tcPr>
            <w:tcW w:w="657" w:type="dxa"/>
            <w:shd w:val="clear" w:color="auto" w:fill="FFFF00"/>
          </w:tcPr>
          <w:p w14:paraId="30D347F6" w14:textId="517E662B" w:rsidR="00AB1599" w:rsidRPr="00AB1599" w:rsidRDefault="00AB1599" w:rsidP="00AB1599">
            <w:pPr>
              <w:rPr>
                <w:sz w:val="20"/>
                <w:szCs w:val="20"/>
                <w:lang w:val="fr-FR"/>
              </w:rPr>
            </w:pPr>
            <w:r w:rsidRPr="00AB1599">
              <w:rPr>
                <w:sz w:val="20"/>
                <w:szCs w:val="20"/>
                <w:lang w:val="fr-FR"/>
              </w:rPr>
              <w:t>56</w:t>
            </w:r>
          </w:p>
        </w:tc>
      </w:tr>
      <w:tr w:rsidR="00AB1599" w:rsidRPr="00AB1599" w14:paraId="2FA4CBB9" w14:textId="77777777" w:rsidTr="00900C45">
        <w:tc>
          <w:tcPr>
            <w:tcW w:w="8359" w:type="dxa"/>
          </w:tcPr>
          <w:p w14:paraId="0DDEF370" w14:textId="77777777" w:rsidR="0088372B" w:rsidRDefault="00AB1599" w:rsidP="00AB1599">
            <w:pPr>
              <w:rPr>
                <w:sz w:val="20"/>
                <w:szCs w:val="20"/>
                <w:lang w:val="fr-FR"/>
              </w:rPr>
            </w:pPr>
            <w:r w:rsidRPr="00AB1599">
              <w:rPr>
                <w:sz w:val="20"/>
                <w:szCs w:val="20"/>
                <w:lang w:val="fr-FR"/>
              </w:rPr>
              <w:t>Identifier les voies d’introduction des espèces exotiques envahissantes</w:t>
            </w:r>
          </w:p>
          <w:p w14:paraId="23E7679B" w14:textId="33C331C5" w:rsidR="0088372B" w:rsidRPr="00AB1599" w:rsidRDefault="0088372B" w:rsidP="00AB1599">
            <w:pPr>
              <w:rPr>
                <w:sz w:val="20"/>
                <w:szCs w:val="20"/>
                <w:lang w:val="fr-FR"/>
              </w:rPr>
            </w:pPr>
          </w:p>
        </w:tc>
        <w:tc>
          <w:tcPr>
            <w:tcW w:w="657" w:type="dxa"/>
            <w:shd w:val="clear" w:color="auto" w:fill="FFFF00"/>
          </w:tcPr>
          <w:p w14:paraId="7F7E6991" w14:textId="1D9290D0" w:rsidR="00AB1599" w:rsidRPr="00AB1599" w:rsidRDefault="00AB1599" w:rsidP="00AB1599">
            <w:pPr>
              <w:rPr>
                <w:sz w:val="20"/>
                <w:szCs w:val="20"/>
                <w:lang w:val="fr-FR"/>
              </w:rPr>
            </w:pPr>
            <w:r w:rsidRPr="00AB1599">
              <w:rPr>
                <w:sz w:val="20"/>
                <w:szCs w:val="20"/>
                <w:lang w:val="fr-FR"/>
              </w:rPr>
              <w:t>40</w:t>
            </w:r>
          </w:p>
        </w:tc>
      </w:tr>
      <w:tr w:rsidR="00AB1599" w:rsidRPr="00AB1599" w14:paraId="2E901C74" w14:textId="77777777" w:rsidTr="007A6B8E">
        <w:tc>
          <w:tcPr>
            <w:tcW w:w="8359" w:type="dxa"/>
          </w:tcPr>
          <w:p w14:paraId="1EBC1E68" w14:textId="1D46C53D" w:rsidR="00AB1599" w:rsidRDefault="004977EC" w:rsidP="00AB1599">
            <w:pPr>
              <w:rPr>
                <w:sz w:val="20"/>
                <w:szCs w:val="20"/>
                <w:lang w:val="fr-FR"/>
              </w:rPr>
            </w:pPr>
            <w:r>
              <w:rPr>
                <w:sz w:val="20"/>
                <w:szCs w:val="20"/>
                <w:lang w:val="fr-FR"/>
              </w:rPr>
              <w:t>Contrôler</w:t>
            </w:r>
            <w:r w:rsidR="00AB1599" w:rsidRPr="00AB1599">
              <w:rPr>
                <w:sz w:val="20"/>
                <w:szCs w:val="20"/>
                <w:lang w:val="fr-FR"/>
              </w:rPr>
              <w:t xml:space="preserve"> les voies d’introduction des espèces exotiques envahissantes</w:t>
            </w:r>
          </w:p>
          <w:p w14:paraId="60284F32" w14:textId="54EDAA29" w:rsidR="0088372B" w:rsidRPr="00AB1599" w:rsidRDefault="0088372B" w:rsidP="00AB1599">
            <w:pPr>
              <w:rPr>
                <w:sz w:val="20"/>
                <w:szCs w:val="20"/>
                <w:lang w:val="fr-FR"/>
              </w:rPr>
            </w:pPr>
          </w:p>
        </w:tc>
        <w:tc>
          <w:tcPr>
            <w:tcW w:w="657" w:type="dxa"/>
            <w:shd w:val="clear" w:color="auto" w:fill="FFFF00"/>
          </w:tcPr>
          <w:p w14:paraId="05732CF3" w14:textId="328781B7" w:rsidR="00AB1599" w:rsidRPr="00AB1599" w:rsidRDefault="00AB1599" w:rsidP="00AB1599">
            <w:pPr>
              <w:rPr>
                <w:sz w:val="20"/>
                <w:szCs w:val="20"/>
                <w:lang w:val="fr-FR"/>
              </w:rPr>
            </w:pPr>
            <w:r w:rsidRPr="00AB1599">
              <w:rPr>
                <w:sz w:val="20"/>
                <w:szCs w:val="20"/>
                <w:lang w:val="fr-FR"/>
              </w:rPr>
              <w:t>41</w:t>
            </w:r>
          </w:p>
        </w:tc>
      </w:tr>
      <w:tr w:rsidR="00AB1599" w:rsidRPr="00AB1599" w14:paraId="0FEACBAC" w14:textId="77777777" w:rsidTr="00480453">
        <w:tc>
          <w:tcPr>
            <w:tcW w:w="8359" w:type="dxa"/>
          </w:tcPr>
          <w:p w14:paraId="11037B00" w14:textId="1B6240B7" w:rsidR="00AB1599" w:rsidRDefault="00AB1599" w:rsidP="00AB1599">
            <w:pPr>
              <w:rPr>
                <w:sz w:val="20"/>
                <w:szCs w:val="20"/>
                <w:lang w:val="fr-FR"/>
              </w:rPr>
            </w:pPr>
            <w:r w:rsidRPr="00AB1599">
              <w:rPr>
                <w:sz w:val="20"/>
                <w:szCs w:val="20"/>
                <w:lang w:val="fr-FR"/>
              </w:rPr>
              <w:t xml:space="preserve">Empêcher l’introduction et </w:t>
            </w:r>
            <w:r w:rsidR="007A42E5">
              <w:rPr>
                <w:sz w:val="20"/>
                <w:szCs w:val="20"/>
                <w:lang w:val="fr-FR"/>
              </w:rPr>
              <w:t>la propagation</w:t>
            </w:r>
            <w:r w:rsidRPr="00AB1599">
              <w:rPr>
                <w:sz w:val="20"/>
                <w:szCs w:val="20"/>
                <w:lang w:val="fr-FR"/>
              </w:rPr>
              <w:t xml:space="preserve"> </w:t>
            </w:r>
            <w:r w:rsidR="007A42E5">
              <w:rPr>
                <w:sz w:val="20"/>
                <w:szCs w:val="20"/>
                <w:lang w:val="fr-FR"/>
              </w:rPr>
              <w:t>d</w:t>
            </w:r>
            <w:r w:rsidR="000D4604">
              <w:rPr>
                <w:sz w:val="20"/>
                <w:szCs w:val="20"/>
                <w:lang w:val="fr-FR"/>
              </w:rPr>
              <w:t xml:space="preserve">es principales </w:t>
            </w:r>
            <w:r w:rsidRPr="00AB1599">
              <w:rPr>
                <w:sz w:val="20"/>
                <w:szCs w:val="20"/>
                <w:lang w:val="fr-FR"/>
              </w:rPr>
              <w:t xml:space="preserve">espèces </w:t>
            </w:r>
            <w:r w:rsidR="000D4604">
              <w:rPr>
                <w:sz w:val="20"/>
                <w:szCs w:val="20"/>
                <w:lang w:val="fr-FR"/>
              </w:rPr>
              <w:t xml:space="preserve">exotiques </w:t>
            </w:r>
            <w:r w:rsidRPr="00AB1599">
              <w:rPr>
                <w:sz w:val="20"/>
                <w:szCs w:val="20"/>
                <w:lang w:val="fr-FR"/>
              </w:rPr>
              <w:t>envahissantes</w:t>
            </w:r>
          </w:p>
          <w:p w14:paraId="69A04E21" w14:textId="3CA5CCDF" w:rsidR="0088372B" w:rsidRPr="00AB1599" w:rsidRDefault="0088372B" w:rsidP="00AB1599">
            <w:pPr>
              <w:rPr>
                <w:sz w:val="20"/>
                <w:szCs w:val="20"/>
                <w:lang w:val="fr-FR"/>
              </w:rPr>
            </w:pPr>
          </w:p>
        </w:tc>
        <w:tc>
          <w:tcPr>
            <w:tcW w:w="657" w:type="dxa"/>
            <w:shd w:val="clear" w:color="auto" w:fill="FFFF00"/>
          </w:tcPr>
          <w:p w14:paraId="45E22679" w14:textId="4329DEAB" w:rsidR="00AB1599" w:rsidRPr="00AB1599" w:rsidRDefault="00AB1599" w:rsidP="00AB1599">
            <w:pPr>
              <w:rPr>
                <w:sz w:val="20"/>
                <w:szCs w:val="20"/>
                <w:lang w:val="fr-FR"/>
              </w:rPr>
            </w:pPr>
            <w:r w:rsidRPr="00AB1599">
              <w:rPr>
                <w:sz w:val="20"/>
                <w:szCs w:val="20"/>
                <w:lang w:val="fr-FR"/>
              </w:rPr>
              <w:t>48</w:t>
            </w:r>
          </w:p>
        </w:tc>
      </w:tr>
      <w:tr w:rsidR="00AB1599" w:rsidRPr="00AB1599" w14:paraId="490261A7" w14:textId="77777777" w:rsidTr="009A5335">
        <w:tc>
          <w:tcPr>
            <w:tcW w:w="8359" w:type="dxa"/>
          </w:tcPr>
          <w:p w14:paraId="3D94458C" w14:textId="0E367B72" w:rsidR="00AB1599" w:rsidRPr="00956C8D" w:rsidRDefault="00956C8D" w:rsidP="00AB1599">
            <w:pPr>
              <w:rPr>
                <w:sz w:val="20"/>
                <w:szCs w:val="20"/>
                <w:lang w:val="fr-FR"/>
              </w:rPr>
            </w:pPr>
            <w:r w:rsidRPr="00956C8D">
              <w:rPr>
                <w:sz w:val="20"/>
                <w:szCs w:val="20"/>
                <w:lang w:val="fr-FR"/>
              </w:rPr>
              <w:t>Réduire de moitié au moins les taux d’introduction et de propagation des autres espèces exotiques envahissantes connues ou potentielles d’ici à 2030</w:t>
            </w:r>
          </w:p>
        </w:tc>
        <w:tc>
          <w:tcPr>
            <w:tcW w:w="657" w:type="dxa"/>
            <w:shd w:val="clear" w:color="auto" w:fill="92D050"/>
          </w:tcPr>
          <w:p w14:paraId="7C3CF14F" w14:textId="40C2E2F2" w:rsidR="00AB1599" w:rsidRPr="00AB1599" w:rsidRDefault="00AB1599" w:rsidP="00AB1599">
            <w:pPr>
              <w:rPr>
                <w:sz w:val="20"/>
                <w:szCs w:val="20"/>
                <w:lang w:val="fr-FR"/>
              </w:rPr>
            </w:pPr>
            <w:r w:rsidRPr="00AB1599">
              <w:rPr>
                <w:sz w:val="20"/>
                <w:szCs w:val="20"/>
                <w:lang w:val="fr-FR"/>
              </w:rPr>
              <w:t>65</w:t>
            </w:r>
          </w:p>
        </w:tc>
      </w:tr>
      <w:tr w:rsidR="00AB1599" w:rsidRPr="00AB1599" w14:paraId="57FFAAEB" w14:textId="77777777" w:rsidTr="00991F58">
        <w:tc>
          <w:tcPr>
            <w:tcW w:w="8359" w:type="dxa"/>
          </w:tcPr>
          <w:p w14:paraId="7B692A8B" w14:textId="34AA6DE2" w:rsidR="00AB1599" w:rsidRPr="00AB1599" w:rsidRDefault="00AB1599" w:rsidP="00AB1599">
            <w:pPr>
              <w:rPr>
                <w:sz w:val="20"/>
                <w:szCs w:val="20"/>
                <w:lang w:val="fr-FR"/>
              </w:rPr>
            </w:pPr>
            <w:r w:rsidRPr="00AB1599">
              <w:rPr>
                <w:sz w:val="20"/>
                <w:szCs w:val="20"/>
                <w:lang w:val="fr-FR"/>
              </w:rPr>
              <w:t xml:space="preserve">Éradiquer ou </w:t>
            </w:r>
            <w:r w:rsidR="00956C8D">
              <w:rPr>
                <w:sz w:val="20"/>
                <w:szCs w:val="20"/>
                <w:lang w:val="fr-FR"/>
              </w:rPr>
              <w:t>contrôler</w:t>
            </w:r>
            <w:r w:rsidRPr="00AB1599">
              <w:rPr>
                <w:sz w:val="20"/>
                <w:szCs w:val="20"/>
                <w:lang w:val="fr-FR"/>
              </w:rPr>
              <w:t xml:space="preserve"> les espèces exotiques envahissantes, en particulier </w:t>
            </w:r>
            <w:r w:rsidR="00956C8D">
              <w:rPr>
                <w:sz w:val="20"/>
                <w:szCs w:val="20"/>
                <w:lang w:val="fr-FR"/>
              </w:rPr>
              <w:t>dans les zones</w:t>
            </w:r>
            <w:r w:rsidRPr="00AB1599">
              <w:rPr>
                <w:sz w:val="20"/>
                <w:szCs w:val="20"/>
                <w:lang w:val="fr-FR"/>
              </w:rPr>
              <w:t xml:space="preserve"> prioritaires</w:t>
            </w:r>
            <w:r w:rsidR="008742C5">
              <w:rPr>
                <w:sz w:val="20"/>
                <w:szCs w:val="20"/>
                <w:lang w:val="fr-FR"/>
              </w:rPr>
              <w:t xml:space="preserve">, notamment dans </w:t>
            </w:r>
            <w:r w:rsidRPr="00AB1599">
              <w:rPr>
                <w:sz w:val="20"/>
                <w:szCs w:val="20"/>
                <w:lang w:val="fr-FR"/>
              </w:rPr>
              <w:t>les îles</w:t>
            </w:r>
          </w:p>
        </w:tc>
        <w:tc>
          <w:tcPr>
            <w:tcW w:w="657" w:type="dxa"/>
            <w:shd w:val="clear" w:color="auto" w:fill="92D050"/>
          </w:tcPr>
          <w:p w14:paraId="0C91FF66" w14:textId="1F94089F" w:rsidR="00AB1599" w:rsidRPr="00AB1599" w:rsidRDefault="00AB1599" w:rsidP="00AB1599">
            <w:pPr>
              <w:rPr>
                <w:sz w:val="20"/>
                <w:szCs w:val="20"/>
                <w:lang w:val="fr-FR"/>
              </w:rPr>
            </w:pPr>
            <w:r w:rsidRPr="00AB1599">
              <w:rPr>
                <w:sz w:val="20"/>
                <w:szCs w:val="20"/>
                <w:lang w:val="fr-FR"/>
              </w:rPr>
              <w:t>71</w:t>
            </w:r>
          </w:p>
        </w:tc>
      </w:tr>
      <w:tr w:rsidR="00113217" w:rsidRPr="00543148" w14:paraId="0B60F2C3" w14:textId="77777777">
        <w:tc>
          <w:tcPr>
            <w:tcW w:w="9016" w:type="dxa"/>
            <w:gridSpan w:val="2"/>
          </w:tcPr>
          <w:p w14:paraId="0A868613" w14:textId="449B9227" w:rsidR="00113217" w:rsidRPr="00AB1599" w:rsidRDefault="006447A4" w:rsidP="00113217">
            <w:pPr>
              <w:pStyle w:val="p1"/>
              <w:keepNext/>
              <w:rPr>
                <w:rFonts w:asciiTheme="minorHAnsi" w:hAnsiTheme="minorHAnsi"/>
                <w:b/>
                <w:bCs/>
                <w:sz w:val="22"/>
                <w:szCs w:val="22"/>
                <w:lang w:val="fr-FR"/>
              </w:rPr>
            </w:pPr>
            <w:r w:rsidRPr="00AB1599">
              <w:rPr>
                <w:rFonts w:asciiTheme="minorHAnsi" w:hAnsiTheme="minorHAnsi"/>
                <w:b/>
                <w:bCs/>
                <w:sz w:val="22"/>
                <w:szCs w:val="22"/>
                <w:lang w:val="fr-FR"/>
              </w:rPr>
              <w:t>En moyenne, les Parties ont pris en compte, au moins partiellement, 54</w:t>
            </w:r>
            <w:r w:rsidR="002878D7">
              <w:rPr>
                <w:rFonts w:asciiTheme="minorHAnsi" w:hAnsiTheme="minorHAnsi"/>
                <w:b/>
                <w:bCs/>
                <w:sz w:val="22"/>
                <w:szCs w:val="22"/>
                <w:lang w:val="fr-FR"/>
              </w:rPr>
              <w:t> %</w:t>
            </w:r>
            <w:r w:rsidRPr="00AB1599">
              <w:rPr>
                <w:rFonts w:asciiTheme="minorHAnsi" w:hAnsiTheme="minorHAnsi"/>
                <w:b/>
                <w:bCs/>
                <w:sz w:val="22"/>
                <w:szCs w:val="22"/>
                <w:lang w:val="fr-FR"/>
              </w:rPr>
              <w:t xml:space="preserve"> de ces éléments dans leurs cibles nationales</w:t>
            </w:r>
          </w:p>
          <w:p w14:paraId="42713091" w14:textId="77777777" w:rsidR="00113217" w:rsidRPr="00AB1599" w:rsidRDefault="00113217" w:rsidP="00113217">
            <w:pPr>
              <w:ind w:firstLine="720"/>
              <w:rPr>
                <w:sz w:val="20"/>
                <w:szCs w:val="20"/>
                <w:lang w:val="fr-FR"/>
              </w:rPr>
            </w:pPr>
          </w:p>
        </w:tc>
      </w:tr>
    </w:tbl>
    <w:p w14:paraId="74163761" w14:textId="77777777" w:rsidR="00447446" w:rsidRPr="00653BF4" w:rsidRDefault="00447446" w:rsidP="00101A9D">
      <w:pPr>
        <w:rPr>
          <w:lang w:val="fr-FR"/>
        </w:rPr>
      </w:pPr>
    </w:p>
    <w:p w14:paraId="6FE5DC51" w14:textId="700E09AF" w:rsidR="00683E97" w:rsidRPr="00653BF4" w:rsidRDefault="006A631C" w:rsidP="00683E97">
      <w:pPr>
        <w:rPr>
          <w:iCs/>
          <w:sz w:val="16"/>
          <w:szCs w:val="16"/>
          <w:lang w:val="fr-FR"/>
        </w:rPr>
      </w:pPr>
      <w:r w:rsidRPr="00653BF4">
        <w:rPr>
          <w:i/>
          <w:sz w:val="16"/>
          <w:szCs w:val="16"/>
          <w:lang w:val="fr-FR"/>
        </w:rPr>
        <w:t>Note</w:t>
      </w:r>
      <w:r w:rsidR="00E34DC9">
        <w:rPr>
          <w:i/>
          <w:sz w:val="16"/>
          <w:szCs w:val="16"/>
          <w:lang w:val="fr-FR"/>
        </w:rPr>
        <w:t> :</w:t>
      </w:r>
      <w:r w:rsidR="00683E97" w:rsidRPr="00653BF4">
        <w:rPr>
          <w:iCs/>
          <w:sz w:val="16"/>
          <w:szCs w:val="16"/>
          <w:lang w:val="fr-FR"/>
        </w:rPr>
        <w:t xml:space="preserve"> </w:t>
      </w:r>
      <w:r w:rsidR="00977881" w:rsidRPr="00653BF4">
        <w:rPr>
          <w:iCs/>
          <w:sz w:val="16"/>
          <w:szCs w:val="16"/>
          <w:lang w:val="fr-FR"/>
        </w:rPr>
        <w:t>La colonne de droite du tableau indique le pourcentage de Parties dont les cibles nationales prennent en compte l’élément au moins partiellement</w:t>
      </w:r>
      <w:r w:rsidR="00683E97" w:rsidRPr="00653BF4">
        <w:rPr>
          <w:iCs/>
          <w:sz w:val="16"/>
          <w:szCs w:val="16"/>
          <w:lang w:val="fr-FR"/>
        </w:rPr>
        <w:t>.</w:t>
      </w:r>
    </w:p>
    <w:p w14:paraId="60420489" w14:textId="57579805" w:rsidR="00683E97" w:rsidRPr="00653BF4" w:rsidRDefault="00683E97" w:rsidP="00683E97">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ascii="Aptos" w:hAnsi="Aptos" w:cs="Segoe UI"/>
          <w:sz w:val="16"/>
          <w:szCs w:val="16"/>
          <w:lang w:val="fr-FR"/>
        </w:rPr>
        <w:t xml:space="preserve"> </w:t>
      </w:r>
      <w:r w:rsidR="007907A1" w:rsidRPr="00653BF4">
        <w:rPr>
          <w:rStyle w:val="normaltextrun"/>
          <w:rFonts w:ascii="Aptos" w:hAnsi="Aptos" w:cs="Segoe UI"/>
          <w:sz w:val="16"/>
          <w:szCs w:val="16"/>
          <w:lang w:val="fr-FR"/>
        </w:rPr>
        <w:t>Les éléments de chaque cible ont été définis par le Groupe spécial d</w:t>
      </w:r>
      <w:r w:rsidR="00D77549">
        <w:rPr>
          <w:rStyle w:val="normaltextrun"/>
          <w:rFonts w:ascii="Aptos" w:hAnsi="Aptos" w:cs="Segoe UI"/>
          <w:sz w:val="16"/>
          <w:szCs w:val="16"/>
          <w:lang w:val="fr-FR"/>
        </w:rPr>
        <w:t>’</w:t>
      </w:r>
      <w:r w:rsidR="007907A1" w:rsidRPr="00653BF4">
        <w:rPr>
          <w:rStyle w:val="normaltextrun"/>
          <w:rFonts w:ascii="Aptos" w:hAnsi="Aptos" w:cs="Segoe UI"/>
          <w:sz w:val="16"/>
          <w:szCs w:val="16"/>
          <w:lang w:val="fr-FR"/>
        </w:rPr>
        <w:t xml:space="preserve">experts techniques sur les indicateurs du Cadre mondial de la biodiversité de Kunming-Montréal (voir annexe I du document </w:t>
      </w:r>
      <w:hyperlink r:id="rId89" w:history="1">
        <w:r w:rsidR="00EF3D31" w:rsidRPr="00653BF4">
          <w:rPr>
            <w:rStyle w:val="Hyperlink"/>
            <w:rFonts w:ascii="Aptos" w:hAnsi="Aptos" w:cs="Segoe UI"/>
            <w:sz w:val="16"/>
            <w:szCs w:val="16"/>
            <w:lang w:val="fr-FR"/>
          </w:rPr>
          <w:t>CBD/COP/16/INF/4</w:t>
        </w:r>
      </w:hyperlink>
      <w:r w:rsidR="00E34DC9">
        <w:rPr>
          <w:rFonts w:asciiTheme="minorHAnsi" w:hAnsiTheme="minorHAnsi"/>
          <w:sz w:val="16"/>
          <w:szCs w:val="16"/>
          <w:lang w:val="fr-FR"/>
        </w:rPr>
        <w:t> ;</w:t>
      </w:r>
      <w:r w:rsidR="00EF3D31" w:rsidRPr="00653BF4">
        <w:rPr>
          <w:rFonts w:ascii="Aptos" w:hAnsi="Aptos" w:cs="Segoe UI"/>
          <w:sz w:val="16"/>
          <w:szCs w:val="16"/>
          <w:lang w:val="fr-FR"/>
        </w:rPr>
        <w:t xml:space="preserve"> </w:t>
      </w:r>
      <w:r w:rsidR="007907A1" w:rsidRPr="00653BF4">
        <w:rPr>
          <w:rFonts w:ascii="Aptos" w:hAnsi="Aptos" w:cs="Segoe UI"/>
          <w:sz w:val="16"/>
          <w:szCs w:val="16"/>
          <w:lang w:val="fr-FR"/>
        </w:rPr>
        <w:t xml:space="preserve">et </w:t>
      </w:r>
      <w:r w:rsidR="00EF3D31" w:rsidRPr="00653BF4">
        <w:rPr>
          <w:rFonts w:ascii="Aptos" w:hAnsi="Aptos" w:cs="Segoe UI"/>
          <w:sz w:val="16"/>
          <w:szCs w:val="16"/>
          <w:lang w:val="fr-FR"/>
        </w:rPr>
        <w:t xml:space="preserve">Affinito </w:t>
      </w:r>
      <w:r w:rsidR="007907A1" w:rsidRPr="00653BF4">
        <w:rPr>
          <w:rFonts w:ascii="Aptos" w:hAnsi="Aptos" w:cs="Segoe UI"/>
          <w:i/>
          <w:iCs/>
          <w:sz w:val="16"/>
          <w:szCs w:val="16"/>
          <w:lang w:val="fr-FR"/>
        </w:rPr>
        <w:t>et al.</w:t>
      </w:r>
      <w:r w:rsidR="00EF3D31" w:rsidRPr="00653BF4">
        <w:rPr>
          <w:rFonts w:ascii="Aptos" w:hAnsi="Aptos" w:cs="Segoe UI"/>
          <w:sz w:val="16"/>
          <w:szCs w:val="16"/>
          <w:lang w:val="fr-FR"/>
        </w:rPr>
        <w:t>, 2025).</w:t>
      </w:r>
      <w:r w:rsidR="004A03E1" w:rsidRPr="00653BF4">
        <w:rPr>
          <w:lang w:val="fr-FR"/>
        </w:rPr>
        <w:t xml:space="preserve"> </w:t>
      </w:r>
      <w:r w:rsidR="004A03E1" w:rsidRPr="00653BF4">
        <w:rPr>
          <w:rStyle w:val="normaltextrun"/>
          <w:rFonts w:ascii="Aptos" w:hAnsi="Aptos" w:cs="Segoe UI"/>
          <w:sz w:val="16"/>
          <w:szCs w:val="16"/>
          <w:lang w:val="fr-FR"/>
        </w:rPr>
        <w:t>La méthode détaillée employée pour l’analyse des cibles nationales est présentée dans le document </w:t>
      </w:r>
      <w:hyperlink r:id="rId90" w:history="1">
        <w:r w:rsidRPr="00653BF4">
          <w:rPr>
            <w:rStyle w:val="Hyperlink"/>
            <w:rFonts w:ascii="Aptos" w:hAnsi="Aptos" w:cs="Segoe UI"/>
            <w:sz w:val="16"/>
            <w:szCs w:val="16"/>
            <w:lang w:val="fr-FR"/>
          </w:rPr>
          <w:t>CBD/SBI/7/INF/22</w:t>
        </w:r>
      </w:hyperlink>
      <w:r w:rsidRPr="00653BF4">
        <w:rPr>
          <w:rStyle w:val="normaltextrun"/>
          <w:rFonts w:ascii="Aptos" w:hAnsi="Aptos" w:cs="Segoe UI"/>
          <w:sz w:val="16"/>
          <w:szCs w:val="16"/>
          <w:lang w:val="fr-FR"/>
        </w:rPr>
        <w:t>. </w:t>
      </w:r>
    </w:p>
    <w:p w14:paraId="5FB4F860" w14:textId="77777777" w:rsidR="00683E97" w:rsidRPr="00653BF4" w:rsidRDefault="00683E97" w:rsidP="00683E97">
      <w:pPr>
        <w:rPr>
          <w:lang w:val="fr-FR" w:eastAsia="ja-JP"/>
        </w:rPr>
      </w:pPr>
    </w:p>
    <w:p w14:paraId="416BF189" w14:textId="40084036" w:rsidR="006D0718" w:rsidRPr="00653BF4" w:rsidRDefault="0055736B" w:rsidP="006D0718">
      <w:pPr>
        <w:rPr>
          <w:lang w:val="fr-FR"/>
        </w:rPr>
      </w:pPr>
      <w:r w:rsidRPr="0055736B">
        <w:rPr>
          <w:lang w:val="fr-FR"/>
        </w:rPr>
        <w:t xml:space="preserve">La majorité des Parties a défini des cibles nationales qui, dans une certaine mesure, répondent aux éléments de la </w:t>
      </w:r>
      <w:r w:rsidR="00E34DC9">
        <w:rPr>
          <w:lang w:val="fr-FR"/>
        </w:rPr>
        <w:t>cible 6</w:t>
      </w:r>
      <w:r w:rsidRPr="0055736B">
        <w:rPr>
          <w:lang w:val="fr-FR"/>
        </w:rPr>
        <w:t xml:space="preserve"> concernant</w:t>
      </w:r>
      <w:r w:rsidR="00E34DC9">
        <w:rPr>
          <w:lang w:val="fr-FR"/>
        </w:rPr>
        <w:t> :</w:t>
      </w:r>
      <w:r w:rsidRPr="0055736B">
        <w:rPr>
          <w:lang w:val="fr-FR"/>
        </w:rPr>
        <w:t xml:space="preserve"> l’éradication ou le contrôle des espèces exotiques envahissantes, en particulier dans les zones prioritaires telles que les îles (71</w:t>
      </w:r>
      <w:r w:rsidR="002878D7">
        <w:rPr>
          <w:lang w:val="fr-FR"/>
        </w:rPr>
        <w:t> %</w:t>
      </w:r>
      <w:r w:rsidRPr="0055736B">
        <w:rPr>
          <w:lang w:val="fr-FR"/>
        </w:rPr>
        <w:t xml:space="preserve"> des Parties)</w:t>
      </w:r>
      <w:r w:rsidR="00E34DC9">
        <w:rPr>
          <w:lang w:val="fr-FR"/>
        </w:rPr>
        <w:t> ;</w:t>
      </w:r>
      <w:r w:rsidRPr="0055736B">
        <w:rPr>
          <w:lang w:val="fr-FR"/>
        </w:rPr>
        <w:t xml:space="preserve"> la réduction des taux d’introduction et d</w:t>
      </w:r>
      <w:r w:rsidR="00B3495B">
        <w:rPr>
          <w:lang w:val="fr-FR"/>
        </w:rPr>
        <w:t xml:space="preserve">’implantation </w:t>
      </w:r>
      <w:r w:rsidRPr="0055736B">
        <w:rPr>
          <w:lang w:val="fr-FR"/>
        </w:rPr>
        <w:t>des espèces exotiques envahissantes connues ou potentielles (65</w:t>
      </w:r>
      <w:r w:rsidR="002878D7">
        <w:rPr>
          <w:lang w:val="fr-FR"/>
        </w:rPr>
        <w:t> %</w:t>
      </w:r>
      <w:r w:rsidRPr="0055736B">
        <w:rPr>
          <w:lang w:val="fr-FR"/>
        </w:rPr>
        <w:t>)</w:t>
      </w:r>
      <w:r w:rsidR="00E34DC9">
        <w:rPr>
          <w:lang w:val="fr-FR"/>
        </w:rPr>
        <w:t> ;</w:t>
      </w:r>
      <w:r w:rsidRPr="0055736B">
        <w:rPr>
          <w:lang w:val="fr-FR"/>
        </w:rPr>
        <w:t xml:space="preserve"> ainsi que les </w:t>
      </w:r>
      <w:r w:rsidR="002E4A81">
        <w:rPr>
          <w:lang w:val="fr-FR"/>
        </w:rPr>
        <w:t>impacts</w:t>
      </w:r>
      <w:r w:rsidRPr="0055736B">
        <w:rPr>
          <w:lang w:val="fr-FR"/>
        </w:rPr>
        <w:t xml:space="preserve"> des espèces exotiques envahissantes sur la biodiversité (59</w:t>
      </w:r>
      <w:r w:rsidR="002878D7">
        <w:rPr>
          <w:lang w:val="fr-FR"/>
        </w:rPr>
        <w:t> %</w:t>
      </w:r>
      <w:r w:rsidRPr="0055736B">
        <w:rPr>
          <w:lang w:val="fr-FR"/>
        </w:rPr>
        <w:t>) et les services écosystémiques (56</w:t>
      </w:r>
      <w:r w:rsidR="002878D7">
        <w:rPr>
          <w:lang w:val="fr-FR"/>
        </w:rPr>
        <w:t> %</w:t>
      </w:r>
      <w:r w:rsidRPr="0055736B">
        <w:rPr>
          <w:lang w:val="fr-FR"/>
        </w:rPr>
        <w:t>) (voir le tableau 14). Moins de la moitié des Parties ont fixé des cibles nationales visant à empêcher l’introduction des principales espèces exotiques envahissantes (48</w:t>
      </w:r>
      <w:r w:rsidR="002878D7">
        <w:rPr>
          <w:lang w:val="fr-FR"/>
        </w:rPr>
        <w:t> %</w:t>
      </w:r>
      <w:r w:rsidRPr="0055736B">
        <w:rPr>
          <w:lang w:val="fr-FR"/>
        </w:rPr>
        <w:t xml:space="preserve">) ou à </w:t>
      </w:r>
      <w:r w:rsidRPr="0055736B">
        <w:rPr>
          <w:lang w:val="fr-FR"/>
        </w:rPr>
        <w:lastRenderedPageBreak/>
        <w:t>identifier et contrôler les voies d’introduction de ces espèces (40</w:t>
      </w:r>
      <w:r w:rsidR="002878D7">
        <w:rPr>
          <w:lang w:val="fr-FR"/>
        </w:rPr>
        <w:t> %</w:t>
      </w:r>
      <w:r w:rsidRPr="0055736B">
        <w:rPr>
          <w:lang w:val="fr-FR"/>
        </w:rPr>
        <w:t xml:space="preserve"> et 41</w:t>
      </w:r>
      <w:r w:rsidR="002878D7">
        <w:rPr>
          <w:lang w:val="fr-FR"/>
        </w:rPr>
        <w:t> %</w:t>
      </w:r>
      <w:r w:rsidRPr="0055736B">
        <w:rPr>
          <w:lang w:val="fr-FR"/>
        </w:rPr>
        <w:t xml:space="preserve"> respectivement).</w:t>
      </w:r>
    </w:p>
    <w:p w14:paraId="6A6AD543" w14:textId="67464AB3" w:rsidR="00405896" w:rsidRPr="00653BF4" w:rsidRDefault="0055736B" w:rsidP="00B70AA4">
      <w:pPr>
        <w:pStyle w:val="Heading5"/>
        <w:rPr>
          <w:lang w:val="fr-FR"/>
        </w:rPr>
      </w:pPr>
      <w:r w:rsidRPr="0055736B">
        <w:rPr>
          <w:lang w:val="fr-FR"/>
        </w:rPr>
        <w:t>Moins d’un tiers des Parties (30</w:t>
      </w:r>
      <w:r w:rsidR="002878D7">
        <w:rPr>
          <w:lang w:val="fr-FR"/>
        </w:rPr>
        <w:t> %</w:t>
      </w:r>
      <w:r w:rsidRPr="0055736B">
        <w:rPr>
          <w:lang w:val="fr-FR"/>
        </w:rPr>
        <w:t>) ont fixé des cibles nationales quantifiant la cible de réduction du taux d’introduction et de prolifération des espèces exotiques envahissantes. Lorsque les cibles nationales comportent un volet quantitatif, plus des trois quarts d'entre elles (78</w:t>
      </w:r>
      <w:r w:rsidR="002878D7">
        <w:rPr>
          <w:lang w:val="fr-FR"/>
        </w:rPr>
        <w:t> %</w:t>
      </w:r>
      <w:r w:rsidRPr="0055736B">
        <w:rPr>
          <w:lang w:val="fr-FR"/>
        </w:rPr>
        <w:t>) visent une réduction de 50</w:t>
      </w:r>
      <w:r w:rsidR="002878D7">
        <w:rPr>
          <w:lang w:val="fr-FR"/>
        </w:rPr>
        <w:t> %</w:t>
      </w:r>
      <w:r w:rsidRPr="0055736B">
        <w:rPr>
          <w:lang w:val="fr-FR"/>
        </w:rPr>
        <w:t xml:space="preserve"> du taux d’introduction et </w:t>
      </w:r>
      <w:r w:rsidR="00B3495B">
        <w:rPr>
          <w:lang w:val="fr-FR"/>
        </w:rPr>
        <w:t>d’établissement</w:t>
      </w:r>
      <w:r w:rsidRPr="0055736B">
        <w:rPr>
          <w:lang w:val="fr-FR"/>
        </w:rPr>
        <w:t xml:space="preserve"> des espèces exotiques envahissantes, conformément au rythme de réduction mondial prévu par la </w:t>
      </w:r>
      <w:r w:rsidR="00E34DC9">
        <w:rPr>
          <w:lang w:val="fr-FR"/>
        </w:rPr>
        <w:t>cible 6</w:t>
      </w:r>
      <w:r w:rsidR="00FC67D5" w:rsidRPr="00653BF4">
        <w:rPr>
          <w:lang w:val="fr-FR"/>
        </w:rPr>
        <w:t>.</w:t>
      </w:r>
    </w:p>
    <w:p w14:paraId="67BBF9DD" w14:textId="77777777" w:rsidR="00C71545" w:rsidRPr="00653BF4" w:rsidRDefault="00C71545" w:rsidP="00C71545">
      <w:pPr>
        <w:rPr>
          <w:lang w:val="fr-FR"/>
        </w:rPr>
      </w:pPr>
    </w:p>
    <w:p w14:paraId="2E981F40" w14:textId="392CCAED" w:rsidR="00B70AA4" w:rsidRPr="00653BF4" w:rsidRDefault="00DD19D2" w:rsidP="00B70AA4">
      <w:pPr>
        <w:pStyle w:val="Heading5"/>
        <w:rPr>
          <w:lang w:val="fr-FR"/>
        </w:rPr>
      </w:pPr>
      <w:r w:rsidRPr="00653BF4">
        <w:rPr>
          <w:lang w:val="fr-FR"/>
        </w:rPr>
        <w:t>Indicateurs de progrès</w:t>
      </w:r>
    </w:p>
    <w:p w14:paraId="40AB04BF" w14:textId="77777777" w:rsidR="0084748F" w:rsidRPr="00653BF4" w:rsidRDefault="0084748F" w:rsidP="000927E9">
      <w:pPr>
        <w:pStyle w:val="Caption"/>
        <w:rPr>
          <w:lang w:val="fr-FR"/>
        </w:rPr>
      </w:pPr>
    </w:p>
    <w:p w14:paraId="733F6187" w14:textId="72C3FE6C" w:rsidR="0084748F" w:rsidRPr="00653BF4" w:rsidRDefault="00D5751A" w:rsidP="000927E9">
      <w:pPr>
        <w:pStyle w:val="Caption"/>
        <w:rPr>
          <w:i w:val="0"/>
          <w:iCs w:val="0"/>
          <w:sz w:val="20"/>
          <w:szCs w:val="20"/>
          <w:lang w:val="fr-FR"/>
        </w:rPr>
      </w:pPr>
      <w:r w:rsidRPr="00653BF4">
        <w:rPr>
          <w:i w:val="0"/>
          <w:sz w:val="20"/>
          <w:szCs w:val="20"/>
          <w:lang w:val="fr-FR"/>
        </w:rPr>
        <w:t>Tableau</w:t>
      </w:r>
      <w:r w:rsidR="00563D4A" w:rsidRPr="00653BF4">
        <w:rPr>
          <w:i w:val="0"/>
          <w:sz w:val="20"/>
          <w:szCs w:val="20"/>
          <w:lang w:val="fr-FR"/>
        </w:rPr>
        <w:t xml:space="preserve"> </w:t>
      </w:r>
      <w:r w:rsidR="00DC1793" w:rsidRPr="00653BF4">
        <w:rPr>
          <w:i w:val="0"/>
          <w:noProof/>
          <w:sz w:val="20"/>
          <w:szCs w:val="20"/>
          <w:lang w:val="fr-FR"/>
        </w:rPr>
        <w:t>15</w:t>
      </w:r>
      <w:r w:rsidR="000927E9" w:rsidRPr="00653BF4">
        <w:rPr>
          <w:i w:val="0"/>
          <w:iCs w:val="0"/>
          <w:sz w:val="20"/>
          <w:szCs w:val="20"/>
          <w:lang w:val="fr-FR"/>
        </w:rPr>
        <w:t xml:space="preserve"> </w:t>
      </w:r>
    </w:p>
    <w:p w14:paraId="125A5262" w14:textId="7EA8E7BF" w:rsidR="009C6941" w:rsidRPr="00653BF4" w:rsidRDefault="005A6401" w:rsidP="00563D4A">
      <w:pPr>
        <w:rPr>
          <w:rFonts w:eastAsiaTheme="minorEastAsia"/>
          <w:b/>
          <w:bCs/>
          <w:color w:val="0E2841" w:themeColor="text2"/>
          <w:kern w:val="0"/>
          <w:sz w:val="20"/>
          <w:szCs w:val="20"/>
          <w:lang w:val="fr-FR" w:eastAsia="ja-JP"/>
          <w14:ligatures w14:val="none"/>
        </w:rPr>
      </w:pPr>
      <w:r w:rsidRPr="00653BF4">
        <w:rPr>
          <w:rFonts w:eastAsiaTheme="minorEastAsia"/>
          <w:b/>
          <w:bCs/>
          <w:color w:val="0E2841" w:themeColor="text2"/>
          <w:kern w:val="0"/>
          <w:sz w:val="20"/>
          <w:szCs w:val="20"/>
          <w:lang w:val="fr-FR" w:eastAsia="ja-JP"/>
          <w14:ligatures w14:val="none"/>
        </w:rPr>
        <w:t>Tableau de bord</w:t>
      </w:r>
      <w:r w:rsidR="00563D4A" w:rsidRPr="00653BF4">
        <w:rPr>
          <w:rFonts w:eastAsiaTheme="minorEastAsia"/>
          <w:b/>
          <w:bCs/>
          <w:color w:val="0E2841" w:themeColor="text2"/>
          <w:kern w:val="0"/>
          <w:sz w:val="20"/>
          <w:szCs w:val="20"/>
          <w:lang w:val="fr-FR" w:eastAsia="ja-JP"/>
          <w14:ligatures w14:val="none"/>
        </w:rPr>
        <w:t xml:space="preserve"> des indicateurs pour la </w:t>
      </w:r>
      <w:r w:rsidR="00E34DC9">
        <w:rPr>
          <w:rFonts w:eastAsiaTheme="minorEastAsia"/>
          <w:b/>
          <w:bCs/>
          <w:color w:val="0E2841" w:themeColor="text2"/>
          <w:kern w:val="0"/>
          <w:sz w:val="20"/>
          <w:szCs w:val="20"/>
          <w:lang w:val="fr-FR" w:eastAsia="ja-JP"/>
          <w14:ligatures w14:val="none"/>
        </w:rPr>
        <w:t>cible 6</w:t>
      </w:r>
      <w:r w:rsidR="00563D4A" w:rsidRPr="00653BF4">
        <w:rPr>
          <w:rFonts w:eastAsiaTheme="minorEastAsia"/>
          <w:b/>
          <w:bCs/>
          <w:color w:val="0E2841" w:themeColor="text2"/>
          <w:kern w:val="0"/>
          <w:sz w:val="20"/>
          <w:szCs w:val="20"/>
          <w:lang w:val="fr-FR" w:eastAsia="ja-JP"/>
          <w14:ligatures w14:val="none"/>
        </w:rPr>
        <w:t xml:space="preserve"> du Cadre</w:t>
      </w:r>
    </w:p>
    <w:tbl>
      <w:tblPr>
        <w:tblW w:w="9776" w:type="dxa"/>
        <w:tblLook w:val="04A0" w:firstRow="1" w:lastRow="0" w:firstColumn="1" w:lastColumn="0" w:noHBand="0" w:noVBand="1"/>
      </w:tblPr>
      <w:tblGrid>
        <w:gridCol w:w="3229"/>
        <w:gridCol w:w="2415"/>
        <w:gridCol w:w="602"/>
        <w:gridCol w:w="2965"/>
        <w:gridCol w:w="565"/>
      </w:tblGrid>
      <w:tr w:rsidR="009C6941" w:rsidRPr="00653BF4" w14:paraId="579E53AA"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2E1729A2" w14:textId="77777777" w:rsidR="009C6941" w:rsidRPr="00653BF4" w:rsidRDefault="009C6941">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49A4EFE3" w14:textId="019CC1E5" w:rsidR="009C6941" w:rsidRPr="00653BF4" w:rsidRDefault="00E67EF7">
            <w:pPr>
              <w:spacing w:after="0" w:line="240" w:lineRule="auto"/>
              <w:jc w:val="center"/>
              <w:rPr>
                <w:rFonts w:ascii="Aptos" w:eastAsia="Times New Roman" w:hAnsi="Aptos" w:cs="Times New Roman"/>
                <w:color w:val="000000"/>
                <w:kern w:val="0"/>
                <w:sz w:val="20"/>
                <w:szCs w:val="20"/>
                <w:lang w:val="fr-FR" w:eastAsia="en-CA"/>
                <w14:ligatures w14:val="none"/>
              </w:rPr>
            </w:pPr>
            <w:r>
              <w:rPr>
                <w:rFonts w:ascii="Aptos" w:hAnsi="Aptos"/>
                <w:color w:val="000000"/>
                <w:sz w:val="20"/>
                <w:szCs w:val="20"/>
                <w:lang w:val="fr-FR"/>
              </w:rPr>
              <w:t>Utilisation de l’indicateur</w:t>
            </w:r>
          </w:p>
        </w:tc>
        <w:tc>
          <w:tcPr>
            <w:tcW w:w="3544" w:type="dxa"/>
            <w:gridSpan w:val="2"/>
            <w:tcBorders>
              <w:top w:val="single" w:sz="4" w:space="0" w:color="auto"/>
              <w:left w:val="nil"/>
              <w:bottom w:val="single" w:sz="4" w:space="0" w:color="auto"/>
              <w:right w:val="single" w:sz="4" w:space="0" w:color="auto"/>
            </w:tcBorders>
            <w:vAlign w:val="center"/>
          </w:tcPr>
          <w:p w14:paraId="5793AE9B" w14:textId="3AB05F14" w:rsidR="009C6941" w:rsidRPr="00653BF4" w:rsidRDefault="00E67EF7">
            <w:pPr>
              <w:spacing w:after="0" w:line="240" w:lineRule="auto"/>
              <w:jc w:val="center"/>
              <w:rPr>
                <w:rFonts w:ascii="Aptos" w:eastAsia="Times New Roman" w:hAnsi="Aptos" w:cs="Times New Roman"/>
                <w:color w:val="000000"/>
                <w:kern w:val="0"/>
                <w:sz w:val="20"/>
                <w:szCs w:val="20"/>
                <w:lang w:val="fr-FR" w:eastAsia="en-CA"/>
                <w14:ligatures w14:val="none"/>
              </w:rPr>
            </w:pPr>
            <w:r>
              <w:rPr>
                <w:rFonts w:ascii="Aptos" w:hAnsi="Aptos"/>
                <w:color w:val="000000"/>
                <w:sz w:val="20"/>
                <w:szCs w:val="20"/>
                <w:lang w:val="fr-FR"/>
              </w:rPr>
              <w:t>Résultats de l’indicateur</w:t>
            </w:r>
          </w:p>
        </w:tc>
      </w:tr>
      <w:tr w:rsidR="009C6941" w:rsidRPr="00543148" w14:paraId="4894C5C2" w14:textId="77777777">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6EB83A" w14:textId="6C096994" w:rsidR="00E67EF7" w:rsidRPr="00E67EF7" w:rsidRDefault="00E67EF7" w:rsidP="00E67EF7">
            <w:pPr>
              <w:spacing w:after="0" w:line="240" w:lineRule="auto"/>
              <w:jc w:val="center"/>
              <w:rPr>
                <w:rFonts w:ascii="Aptos" w:eastAsia="Times New Roman" w:hAnsi="Aptos" w:cs="Times New Roman"/>
                <w:color w:val="000000"/>
                <w:kern w:val="0"/>
                <w:sz w:val="20"/>
                <w:szCs w:val="20"/>
                <w:lang w:val="fr-FR" w:eastAsia="en-CA"/>
                <w14:ligatures w14:val="none"/>
              </w:rPr>
            </w:pPr>
            <w:r>
              <w:rPr>
                <w:rFonts w:ascii="Aptos" w:eastAsia="Times New Roman" w:hAnsi="Aptos" w:cs="Times New Roman"/>
                <w:color w:val="000000"/>
                <w:kern w:val="0"/>
                <w:sz w:val="20"/>
                <w:szCs w:val="20"/>
                <w:lang w:val="fr-FR" w:eastAsia="en-CA"/>
                <w14:ligatures w14:val="none"/>
              </w:rPr>
              <w:t>Indicateur phare</w:t>
            </w:r>
            <w:r w:rsidR="006F3005" w:rsidRPr="00653BF4">
              <w:rPr>
                <w:rFonts w:ascii="Aptos" w:eastAsia="Times New Roman" w:hAnsi="Aptos" w:cs="Times New Roman"/>
                <w:color w:val="000000"/>
                <w:kern w:val="0"/>
                <w:sz w:val="20"/>
                <w:szCs w:val="20"/>
                <w:lang w:val="fr-FR" w:eastAsia="en-CA"/>
                <w14:ligatures w14:val="none"/>
              </w:rPr>
              <w:t xml:space="preserve"> </w:t>
            </w:r>
            <w:r w:rsidR="009C6941" w:rsidRPr="00653BF4">
              <w:rPr>
                <w:rFonts w:ascii="Aptos" w:eastAsia="Times New Roman" w:hAnsi="Aptos" w:cs="Times New Roman"/>
                <w:color w:val="000000"/>
                <w:kern w:val="0"/>
                <w:sz w:val="20"/>
                <w:szCs w:val="20"/>
                <w:lang w:val="fr-FR" w:eastAsia="en-CA"/>
                <w14:ligatures w14:val="none"/>
              </w:rPr>
              <w:t>6.1</w:t>
            </w:r>
            <w:r w:rsidR="00D52633" w:rsidRPr="00653BF4">
              <w:rPr>
                <w:rFonts w:ascii="Aptos" w:eastAsia="Times New Roman" w:hAnsi="Aptos" w:cs="Times New Roman"/>
                <w:color w:val="000000"/>
                <w:kern w:val="0"/>
                <w:sz w:val="20"/>
                <w:szCs w:val="20"/>
                <w:lang w:val="fr-FR" w:eastAsia="en-CA"/>
                <w14:ligatures w14:val="none"/>
              </w:rPr>
              <w:t>:</w:t>
            </w:r>
            <w:r w:rsidR="009C6941" w:rsidRPr="00653BF4">
              <w:rPr>
                <w:rFonts w:ascii="Aptos" w:eastAsia="Times New Roman" w:hAnsi="Aptos" w:cs="Times New Roman"/>
                <w:color w:val="000000"/>
                <w:kern w:val="0"/>
                <w:sz w:val="20"/>
                <w:szCs w:val="20"/>
                <w:lang w:val="fr-FR" w:eastAsia="en-CA"/>
                <w14:ligatures w14:val="none"/>
              </w:rPr>
              <w:t xml:space="preserve"> </w:t>
            </w:r>
            <w:r>
              <w:rPr>
                <w:rFonts w:ascii="Aptos" w:eastAsia="Times New Roman" w:hAnsi="Aptos" w:cs="Times New Roman"/>
                <w:color w:val="000000"/>
                <w:kern w:val="0"/>
                <w:sz w:val="20"/>
                <w:szCs w:val="20"/>
                <w:lang w:val="fr-FR" w:eastAsia="en-CA"/>
                <w14:ligatures w14:val="none"/>
              </w:rPr>
              <w:t>t</w:t>
            </w:r>
            <w:r w:rsidRPr="00E67EF7">
              <w:rPr>
                <w:rFonts w:ascii="Aptos" w:eastAsia="Times New Roman" w:hAnsi="Aptos" w:cs="Times New Roman"/>
                <w:color w:val="000000"/>
                <w:kern w:val="0"/>
                <w:sz w:val="20"/>
                <w:szCs w:val="20"/>
                <w:lang w:val="fr-FR" w:eastAsia="en-CA"/>
                <w14:ligatures w14:val="none"/>
              </w:rPr>
              <w:t>aux d’établissement d’espèces exotiques</w:t>
            </w:r>
          </w:p>
          <w:p w14:paraId="6FFC750D" w14:textId="779E4DED" w:rsidR="009C6941" w:rsidRPr="00653BF4" w:rsidRDefault="00E67EF7" w:rsidP="00E67EF7">
            <w:pPr>
              <w:spacing w:after="0" w:line="240" w:lineRule="auto"/>
              <w:jc w:val="center"/>
              <w:rPr>
                <w:rFonts w:ascii="Aptos" w:eastAsia="Times New Roman" w:hAnsi="Aptos" w:cs="Times New Roman"/>
                <w:color w:val="000000"/>
                <w:kern w:val="0"/>
                <w:sz w:val="20"/>
                <w:szCs w:val="20"/>
                <w:lang w:val="fr-FR" w:eastAsia="en-CA"/>
                <w14:ligatures w14:val="none"/>
              </w:rPr>
            </w:pPr>
            <w:r w:rsidRPr="00E67EF7">
              <w:rPr>
                <w:rFonts w:ascii="Aptos" w:eastAsia="Times New Roman" w:hAnsi="Aptos" w:cs="Times New Roman"/>
                <w:color w:val="000000"/>
                <w:kern w:val="0"/>
                <w:sz w:val="20"/>
                <w:szCs w:val="20"/>
                <w:lang w:val="fr-FR" w:eastAsia="en-CA"/>
                <w14:ligatures w14:val="none"/>
              </w:rPr>
              <w:t>envahissantes</w:t>
            </w:r>
          </w:p>
        </w:tc>
        <w:tc>
          <w:tcPr>
            <w:tcW w:w="2425" w:type="dxa"/>
            <w:tcBorders>
              <w:top w:val="single" w:sz="4" w:space="0" w:color="auto"/>
              <w:left w:val="nil"/>
              <w:bottom w:val="single" w:sz="4" w:space="0" w:color="auto"/>
              <w:right w:val="single" w:sz="4" w:space="0" w:color="auto"/>
            </w:tcBorders>
            <w:vAlign w:val="center"/>
            <w:hideMark/>
          </w:tcPr>
          <w:p w14:paraId="43235AD3" w14:textId="0E19BF01" w:rsidR="009C6941" w:rsidRPr="00653BF4" w:rsidRDefault="009C6941">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21</w:t>
            </w:r>
            <w:r w:rsidR="002878D7">
              <w:rPr>
                <w:rFonts w:ascii="Aptos" w:eastAsia="Times New Roman" w:hAnsi="Aptos" w:cs="Calibri"/>
                <w:color w:val="000000"/>
                <w:kern w:val="0"/>
                <w:sz w:val="20"/>
                <w:szCs w:val="20"/>
                <w:lang w:val="fr-FR" w:eastAsia="en-CA"/>
                <w14:ligatures w14:val="none"/>
              </w:rPr>
              <w:t> %</w:t>
            </w:r>
            <w:r w:rsidR="00A443C9">
              <w:rPr>
                <w:rFonts w:ascii="Aptos" w:eastAsia="Times New Roman" w:hAnsi="Aptos" w:cs="Calibri"/>
                <w:color w:val="000000"/>
                <w:kern w:val="0"/>
                <w:sz w:val="20"/>
                <w:szCs w:val="20"/>
                <w:lang w:val="fr-FR" w:eastAsia="en-CA"/>
                <w14:ligatures w14:val="none"/>
              </w:rPr>
              <w:t xml:space="preserve"> des </w:t>
            </w:r>
            <w:r w:rsidRPr="00653BF4">
              <w:rPr>
                <w:rFonts w:ascii="Aptos" w:eastAsia="Times New Roman" w:hAnsi="Aptos" w:cs="Calibri"/>
                <w:color w:val="000000"/>
                <w:kern w:val="0"/>
                <w:sz w:val="20"/>
                <w:szCs w:val="20"/>
                <w:lang w:val="fr-FR" w:eastAsia="en-CA"/>
                <w14:ligatures w14:val="none"/>
              </w:rPr>
              <w:t>Parties</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3E602818" w14:textId="77777777" w:rsidR="009C6941" w:rsidRPr="00653BF4" w:rsidRDefault="009C6941">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977" w:type="dxa"/>
            <w:tcBorders>
              <w:top w:val="single" w:sz="4" w:space="0" w:color="auto"/>
              <w:left w:val="nil"/>
              <w:bottom w:val="single" w:sz="4" w:space="0" w:color="auto"/>
              <w:right w:val="single" w:sz="4" w:space="0" w:color="auto"/>
            </w:tcBorders>
            <w:vAlign w:val="center"/>
            <w:hideMark/>
          </w:tcPr>
          <w:p w14:paraId="707C1AB4" w14:textId="77777777" w:rsidR="00856351" w:rsidRDefault="00856351">
            <w:pPr>
              <w:spacing w:after="0" w:line="240" w:lineRule="auto"/>
              <w:jc w:val="center"/>
              <w:rPr>
                <w:rFonts w:ascii="Aptos" w:eastAsia="Times New Roman" w:hAnsi="Aptos" w:cs="Calibri"/>
                <w:color w:val="000000"/>
                <w:kern w:val="0"/>
                <w:sz w:val="20"/>
                <w:szCs w:val="20"/>
                <w:lang w:val="fr-FR" w:eastAsia="en-CA"/>
                <w14:ligatures w14:val="none"/>
              </w:rPr>
            </w:pPr>
            <w:r w:rsidRPr="00856351">
              <w:rPr>
                <w:rFonts w:ascii="Aptos" w:eastAsia="Times New Roman" w:hAnsi="Aptos" w:cs="Calibri"/>
                <w:color w:val="000000"/>
                <w:kern w:val="0"/>
                <w:sz w:val="20"/>
                <w:szCs w:val="20"/>
                <w:lang w:val="fr-FR" w:eastAsia="en-CA"/>
                <w14:ligatures w14:val="none"/>
              </w:rPr>
              <w:t xml:space="preserve">Dans l'ensemble, la moitié des Parties ayant établi des rapports affichent un taux égal ou supérieur à 2,5 espèces par an. </w:t>
            </w:r>
          </w:p>
          <w:p w14:paraId="2FE9B34E" w14:textId="4BC57090" w:rsidR="009C6941" w:rsidRPr="00653BF4" w:rsidRDefault="00856351">
            <w:pPr>
              <w:spacing w:after="0" w:line="240" w:lineRule="auto"/>
              <w:jc w:val="center"/>
              <w:rPr>
                <w:rFonts w:ascii="Aptos" w:eastAsia="Times New Roman" w:hAnsi="Aptos" w:cs="Calibri"/>
                <w:color w:val="000000"/>
                <w:kern w:val="0"/>
                <w:sz w:val="20"/>
                <w:szCs w:val="20"/>
                <w:lang w:val="fr-FR" w:eastAsia="en-CA"/>
                <w14:ligatures w14:val="none"/>
              </w:rPr>
            </w:pPr>
            <w:r w:rsidRPr="00856351">
              <w:rPr>
                <w:rFonts w:ascii="Aptos" w:eastAsia="Times New Roman" w:hAnsi="Aptos" w:cs="Calibri"/>
                <w:color w:val="000000"/>
                <w:kern w:val="0"/>
                <w:sz w:val="20"/>
                <w:szCs w:val="20"/>
                <w:lang w:val="fr-FR" w:eastAsia="en-CA"/>
                <w14:ligatures w14:val="none"/>
              </w:rPr>
              <w:t>Aucune tendance générale ne se dégage.</w:t>
            </w:r>
          </w:p>
        </w:tc>
        <w:tc>
          <w:tcPr>
            <w:tcW w:w="567" w:type="dxa"/>
            <w:tcBorders>
              <w:top w:val="single" w:sz="4" w:space="0" w:color="auto"/>
              <w:left w:val="nil"/>
              <w:bottom w:val="single" w:sz="4" w:space="0" w:color="auto"/>
              <w:right w:val="single" w:sz="4" w:space="0" w:color="auto"/>
            </w:tcBorders>
            <w:shd w:val="clear" w:color="000000" w:fill="FFC000"/>
            <w:vAlign w:val="bottom"/>
            <w:hideMark/>
          </w:tcPr>
          <w:p w14:paraId="33907993" w14:textId="77777777" w:rsidR="009C6941" w:rsidRPr="00653BF4" w:rsidRDefault="009C6941">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 </w:t>
            </w:r>
          </w:p>
        </w:tc>
      </w:tr>
      <w:tr w:rsidR="009C6941" w:rsidRPr="00543148" w14:paraId="20CF3252"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0E7376A6" w14:textId="48022FD4" w:rsidR="009C6941" w:rsidRPr="00653BF4" w:rsidRDefault="008F24C7">
            <w:pPr>
              <w:spacing w:after="0" w:line="240" w:lineRule="auto"/>
              <w:jc w:val="center"/>
              <w:rPr>
                <w:rFonts w:ascii="Aptos" w:eastAsia="Times New Roman" w:hAnsi="Aptos" w:cs="Times New Roman"/>
                <w:color w:val="000000"/>
                <w:kern w:val="0"/>
                <w:sz w:val="20"/>
                <w:szCs w:val="20"/>
                <w:lang w:val="fr-FR" w:eastAsia="en-CA"/>
                <w14:ligatures w14:val="none"/>
              </w:rPr>
            </w:pPr>
            <w:r w:rsidRPr="008F24C7">
              <w:rPr>
                <w:rFonts w:ascii="Aptos" w:eastAsia="Times New Roman" w:hAnsi="Aptos" w:cs="Times New Roman"/>
                <w:color w:val="000000"/>
                <w:kern w:val="0"/>
                <w:sz w:val="20"/>
                <w:szCs w:val="20"/>
                <w:lang w:val="fr-FR" w:eastAsia="en-CA"/>
                <w14:ligatures w14:val="none"/>
              </w:rPr>
              <w:t>Indicateur binaire 6.b</w:t>
            </w:r>
            <w:r w:rsidR="00E34DC9">
              <w:rPr>
                <w:rFonts w:ascii="Aptos" w:eastAsia="Times New Roman" w:hAnsi="Aptos" w:cs="Times New Roman"/>
                <w:color w:val="000000"/>
                <w:kern w:val="0"/>
                <w:sz w:val="20"/>
                <w:szCs w:val="20"/>
                <w:lang w:val="fr-FR" w:eastAsia="en-CA"/>
                <w14:ligatures w14:val="none"/>
              </w:rPr>
              <w:t> :</w:t>
            </w:r>
            <w:r w:rsidRPr="008F24C7">
              <w:rPr>
                <w:rFonts w:ascii="Aptos" w:eastAsia="Times New Roman" w:hAnsi="Aptos" w:cs="Times New Roman"/>
                <w:color w:val="000000"/>
                <w:kern w:val="0"/>
                <w:sz w:val="20"/>
                <w:szCs w:val="20"/>
                <w:lang w:val="fr-FR" w:eastAsia="en-CA"/>
                <w14:ligatures w14:val="none"/>
              </w:rPr>
              <w:t xml:space="preserve"> </w:t>
            </w:r>
            <w:r w:rsidR="00B3495B" w:rsidRPr="00B3495B">
              <w:rPr>
                <w:rFonts w:ascii="Aptos" w:eastAsia="Times New Roman" w:hAnsi="Aptos" w:cs="Times New Roman"/>
                <w:color w:val="000000"/>
                <w:kern w:val="0"/>
                <w:sz w:val="20"/>
                <w:szCs w:val="20"/>
                <w:lang w:val="fr-FR" w:eastAsia="en-CA"/>
                <w14:ligatures w14:val="none"/>
              </w:rPr>
              <w:t xml:space="preserve">nombre de pays ayant adopté une réglementation, des procédures et des mesures appropriées visant à atténuer </w:t>
            </w:r>
            <w:r w:rsidR="00B3495B">
              <w:rPr>
                <w:rFonts w:ascii="Aptos" w:eastAsia="Times New Roman" w:hAnsi="Aptos" w:cs="Times New Roman"/>
                <w:color w:val="000000"/>
                <w:kern w:val="0"/>
                <w:sz w:val="20"/>
                <w:szCs w:val="20"/>
                <w:lang w:val="fr-FR" w:eastAsia="en-CA"/>
                <w14:ligatures w14:val="none"/>
              </w:rPr>
              <w:t xml:space="preserve">les </w:t>
            </w:r>
            <w:r w:rsidR="002E4A81">
              <w:rPr>
                <w:rFonts w:ascii="Aptos" w:eastAsia="Times New Roman" w:hAnsi="Aptos" w:cs="Times New Roman"/>
                <w:color w:val="000000"/>
                <w:kern w:val="0"/>
                <w:sz w:val="20"/>
                <w:szCs w:val="20"/>
                <w:lang w:val="fr-FR" w:eastAsia="en-CA"/>
                <w14:ligatures w14:val="none"/>
              </w:rPr>
              <w:t>impacts</w:t>
            </w:r>
            <w:r w:rsidR="00B3495B" w:rsidRPr="00B3495B">
              <w:rPr>
                <w:rFonts w:ascii="Aptos" w:eastAsia="Times New Roman" w:hAnsi="Aptos" w:cs="Times New Roman"/>
                <w:color w:val="000000"/>
                <w:kern w:val="0"/>
                <w:sz w:val="20"/>
                <w:szCs w:val="20"/>
                <w:lang w:val="fr-FR" w:eastAsia="en-CA"/>
                <w14:ligatures w14:val="none"/>
              </w:rPr>
              <w:t xml:space="preserve"> des espèces exotiques envahissantes</w:t>
            </w:r>
          </w:p>
        </w:tc>
        <w:tc>
          <w:tcPr>
            <w:tcW w:w="2425" w:type="dxa"/>
            <w:tcBorders>
              <w:top w:val="nil"/>
              <w:left w:val="nil"/>
              <w:bottom w:val="single" w:sz="4" w:space="0" w:color="auto"/>
              <w:right w:val="single" w:sz="4" w:space="0" w:color="auto"/>
            </w:tcBorders>
            <w:vAlign w:val="center"/>
            <w:hideMark/>
          </w:tcPr>
          <w:p w14:paraId="7E9B899B" w14:textId="77777777" w:rsidR="009C6941" w:rsidRPr="00653BF4" w:rsidRDefault="009C6941">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127 Parties</w:t>
            </w:r>
          </w:p>
        </w:tc>
        <w:tc>
          <w:tcPr>
            <w:tcW w:w="567" w:type="dxa"/>
            <w:tcBorders>
              <w:top w:val="nil"/>
              <w:left w:val="nil"/>
              <w:bottom w:val="single" w:sz="4" w:space="0" w:color="auto"/>
              <w:right w:val="single" w:sz="4" w:space="0" w:color="auto"/>
            </w:tcBorders>
            <w:vAlign w:val="center"/>
            <w:hideMark/>
          </w:tcPr>
          <w:p w14:paraId="2FFAEE34" w14:textId="0C8DCE04" w:rsidR="009C6941" w:rsidRPr="00653BF4" w:rsidRDefault="00B31D48">
            <w:pPr>
              <w:spacing w:after="0" w:line="240" w:lineRule="auto"/>
              <w:jc w:val="center"/>
              <w:rPr>
                <w:rFonts w:ascii="Aptos" w:eastAsia="Times New Roman" w:hAnsi="Aptos" w:cs="Times New Roman"/>
                <w:color w:val="000000"/>
                <w:kern w:val="0"/>
                <w:sz w:val="20"/>
                <w:szCs w:val="20"/>
                <w:lang w:val="fr-FR" w:eastAsia="en-CA"/>
                <w14:ligatures w14:val="none"/>
              </w:rPr>
            </w:pPr>
            <w:r>
              <w:rPr>
                <w:rFonts w:ascii="Aptos" w:eastAsia="Times New Roman" w:hAnsi="Aptos" w:cs="Times New Roman"/>
                <w:color w:val="000000"/>
                <w:kern w:val="0"/>
                <w:sz w:val="20"/>
                <w:szCs w:val="20"/>
                <w:lang w:val="fr-FR" w:eastAsia="en-CA"/>
                <w14:ligatures w14:val="none"/>
              </w:rPr>
              <w:t>s.o.</w:t>
            </w:r>
            <w:r w:rsidR="006E3B9C" w:rsidRPr="00653BF4">
              <w:rPr>
                <w:rFonts w:ascii="Aptos" w:eastAsia="Times New Roman" w:hAnsi="Aptos" w:cs="Times New Roman"/>
                <w:i/>
                <w:iCs/>
                <w:color w:val="000000"/>
                <w:kern w:val="0"/>
                <w:sz w:val="20"/>
                <w:szCs w:val="20"/>
                <w:vertAlign w:val="superscript"/>
                <w:lang w:val="fr-FR" w:eastAsia="en-CA"/>
                <w14:ligatures w14:val="none"/>
              </w:rPr>
              <w:t>a</w:t>
            </w:r>
          </w:p>
        </w:tc>
        <w:tc>
          <w:tcPr>
            <w:tcW w:w="2977" w:type="dxa"/>
            <w:tcBorders>
              <w:top w:val="nil"/>
              <w:left w:val="nil"/>
              <w:bottom w:val="single" w:sz="4" w:space="0" w:color="auto"/>
              <w:right w:val="single" w:sz="4" w:space="0" w:color="auto"/>
            </w:tcBorders>
            <w:vAlign w:val="center"/>
            <w:hideMark/>
          </w:tcPr>
          <w:p w14:paraId="48911423" w14:textId="6BD7BAD2" w:rsidR="009C6941" w:rsidRPr="00653BF4" w:rsidRDefault="00856351">
            <w:pPr>
              <w:spacing w:after="0" w:line="240" w:lineRule="auto"/>
              <w:jc w:val="center"/>
              <w:rPr>
                <w:rFonts w:ascii="Aptos" w:eastAsia="Times New Roman" w:hAnsi="Aptos" w:cs="Times New Roman"/>
                <w:color w:val="000000"/>
                <w:kern w:val="0"/>
                <w:sz w:val="20"/>
                <w:szCs w:val="20"/>
                <w:lang w:val="fr-FR" w:eastAsia="en-CA"/>
                <w14:ligatures w14:val="none"/>
              </w:rPr>
            </w:pPr>
            <w:r w:rsidRPr="00856351">
              <w:rPr>
                <w:rFonts w:ascii="Aptos" w:eastAsia="Times New Roman" w:hAnsi="Aptos" w:cs="Times New Roman"/>
                <w:color w:val="000000"/>
                <w:kern w:val="0"/>
                <w:sz w:val="20"/>
                <w:szCs w:val="20"/>
                <w:lang w:val="fr-FR" w:eastAsia="en-CA"/>
                <w14:ligatures w14:val="none"/>
              </w:rPr>
              <w:t>77</w:t>
            </w:r>
            <w:r w:rsidR="002878D7">
              <w:rPr>
                <w:rFonts w:ascii="Aptos" w:eastAsia="Times New Roman" w:hAnsi="Aptos" w:cs="Times New Roman"/>
                <w:color w:val="000000"/>
                <w:kern w:val="0"/>
                <w:sz w:val="20"/>
                <w:szCs w:val="20"/>
                <w:lang w:val="fr-FR" w:eastAsia="en-CA"/>
                <w14:ligatures w14:val="none"/>
              </w:rPr>
              <w:t> %</w:t>
            </w:r>
            <w:r w:rsidRPr="00856351">
              <w:rPr>
                <w:rFonts w:ascii="Aptos" w:eastAsia="Times New Roman" w:hAnsi="Aptos" w:cs="Times New Roman"/>
                <w:color w:val="000000"/>
                <w:kern w:val="0"/>
                <w:sz w:val="20"/>
                <w:szCs w:val="20"/>
                <w:lang w:val="fr-FR" w:eastAsia="en-CA"/>
                <w14:ligatures w14:val="none"/>
              </w:rPr>
              <w:t xml:space="preserve"> des Parties ont obtenu un score élevé (4 sur 5)</w:t>
            </w:r>
          </w:p>
        </w:tc>
        <w:tc>
          <w:tcPr>
            <w:tcW w:w="567" w:type="dxa"/>
            <w:tcBorders>
              <w:top w:val="nil"/>
              <w:left w:val="nil"/>
              <w:bottom w:val="single" w:sz="4" w:space="0" w:color="auto"/>
              <w:right w:val="single" w:sz="4" w:space="0" w:color="auto"/>
            </w:tcBorders>
            <w:shd w:val="clear" w:color="000000" w:fill="92D050"/>
            <w:vAlign w:val="bottom"/>
            <w:hideMark/>
          </w:tcPr>
          <w:p w14:paraId="00BE54FE" w14:textId="77777777" w:rsidR="009C6941" w:rsidRPr="00653BF4" w:rsidRDefault="009C6941">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 </w:t>
            </w:r>
          </w:p>
        </w:tc>
      </w:tr>
      <w:tr w:rsidR="009C6941" w:rsidRPr="00543148" w14:paraId="3333A9F9"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47CA4769" w14:textId="6A7335D9" w:rsidR="009C6941" w:rsidRPr="00653BF4" w:rsidRDefault="00B3495B">
            <w:pPr>
              <w:spacing w:after="0" w:line="240" w:lineRule="auto"/>
              <w:jc w:val="center"/>
              <w:rPr>
                <w:rFonts w:ascii="Aptos" w:eastAsia="Times New Roman" w:hAnsi="Aptos" w:cs="Times New Roman"/>
                <w:color w:val="000000"/>
                <w:kern w:val="0"/>
                <w:sz w:val="20"/>
                <w:szCs w:val="20"/>
                <w:lang w:val="fr-FR" w:eastAsia="en-CA"/>
                <w14:ligatures w14:val="none"/>
              </w:rPr>
            </w:pPr>
            <w:r w:rsidRPr="00B3495B">
              <w:rPr>
                <w:rFonts w:ascii="Aptos" w:eastAsia="Times New Roman" w:hAnsi="Aptos" w:cs="Times New Roman"/>
                <w:color w:val="000000"/>
                <w:kern w:val="0"/>
                <w:sz w:val="20"/>
                <w:szCs w:val="20"/>
                <w:lang w:val="fr-FR" w:eastAsia="en-CA"/>
                <w14:ligatures w14:val="none"/>
              </w:rPr>
              <w:t>Ensemble des indicateurs quantitatifs</w:t>
            </w:r>
          </w:p>
        </w:tc>
        <w:tc>
          <w:tcPr>
            <w:tcW w:w="2425" w:type="dxa"/>
            <w:tcBorders>
              <w:top w:val="nil"/>
              <w:left w:val="nil"/>
              <w:bottom w:val="single" w:sz="4" w:space="0" w:color="auto"/>
              <w:right w:val="single" w:sz="4" w:space="0" w:color="auto"/>
            </w:tcBorders>
            <w:vAlign w:val="center"/>
            <w:hideMark/>
          </w:tcPr>
          <w:p w14:paraId="36226166" w14:textId="46102C0B" w:rsidR="009C6941" w:rsidRPr="00653BF4" w:rsidRDefault="009C6941">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35 Parties, 27</w:t>
            </w:r>
            <w:r w:rsidR="002878D7">
              <w:rPr>
                <w:rFonts w:ascii="Aptos" w:eastAsia="Times New Roman" w:hAnsi="Aptos" w:cs="Calibri"/>
                <w:color w:val="000000"/>
                <w:kern w:val="0"/>
                <w:sz w:val="20"/>
                <w:szCs w:val="20"/>
                <w:lang w:val="fr-FR" w:eastAsia="en-CA"/>
                <w14:ligatures w14:val="none"/>
              </w:rPr>
              <w:t> %</w:t>
            </w:r>
          </w:p>
        </w:tc>
        <w:tc>
          <w:tcPr>
            <w:tcW w:w="567" w:type="dxa"/>
            <w:tcBorders>
              <w:top w:val="nil"/>
              <w:left w:val="nil"/>
              <w:bottom w:val="single" w:sz="4" w:space="0" w:color="auto"/>
              <w:right w:val="single" w:sz="4" w:space="0" w:color="auto"/>
            </w:tcBorders>
            <w:shd w:val="clear" w:color="000000" w:fill="FFC000"/>
            <w:vAlign w:val="center"/>
            <w:hideMark/>
          </w:tcPr>
          <w:p w14:paraId="5FFF448B" w14:textId="77777777" w:rsidR="009C6941" w:rsidRPr="00653BF4" w:rsidRDefault="009C6941">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977" w:type="dxa"/>
            <w:tcBorders>
              <w:top w:val="nil"/>
              <w:left w:val="nil"/>
              <w:bottom w:val="single" w:sz="4" w:space="0" w:color="auto"/>
              <w:right w:val="single" w:sz="4" w:space="0" w:color="auto"/>
            </w:tcBorders>
            <w:vAlign w:val="center"/>
            <w:hideMark/>
          </w:tcPr>
          <w:p w14:paraId="1B3098DA" w14:textId="5B09CE7A" w:rsidR="00856351" w:rsidRPr="00856351" w:rsidRDefault="00856351" w:rsidP="00856351">
            <w:pPr>
              <w:spacing w:after="0" w:line="240" w:lineRule="auto"/>
              <w:jc w:val="center"/>
              <w:rPr>
                <w:rFonts w:ascii="Aptos" w:eastAsia="Times New Roman" w:hAnsi="Aptos" w:cs="Times New Roman"/>
                <w:color w:val="000000"/>
                <w:kern w:val="0"/>
                <w:sz w:val="20"/>
                <w:szCs w:val="20"/>
                <w:lang w:val="fr-FR" w:eastAsia="en-CA"/>
                <w14:ligatures w14:val="none"/>
              </w:rPr>
            </w:pPr>
            <w:r w:rsidRPr="00856351">
              <w:rPr>
                <w:rFonts w:ascii="Aptos" w:eastAsia="Times New Roman" w:hAnsi="Aptos" w:cs="Times New Roman"/>
                <w:color w:val="000000"/>
                <w:kern w:val="0"/>
                <w:sz w:val="20"/>
                <w:szCs w:val="20"/>
                <w:lang w:val="fr-FR" w:eastAsia="en-CA"/>
                <w14:ligatures w14:val="none"/>
              </w:rPr>
              <w:t>25</w:t>
            </w:r>
            <w:r w:rsidR="002878D7">
              <w:rPr>
                <w:rFonts w:ascii="Aptos" w:eastAsia="Times New Roman" w:hAnsi="Aptos" w:cs="Times New Roman"/>
                <w:color w:val="000000"/>
                <w:kern w:val="0"/>
                <w:sz w:val="20"/>
                <w:szCs w:val="20"/>
                <w:lang w:val="fr-FR" w:eastAsia="en-CA"/>
                <w14:ligatures w14:val="none"/>
              </w:rPr>
              <w:t> %</w:t>
            </w:r>
            <w:r w:rsidRPr="00856351">
              <w:rPr>
                <w:rFonts w:ascii="Aptos" w:eastAsia="Times New Roman" w:hAnsi="Aptos" w:cs="Times New Roman"/>
                <w:color w:val="000000"/>
                <w:kern w:val="0"/>
                <w:sz w:val="20"/>
                <w:szCs w:val="20"/>
                <w:lang w:val="fr-FR" w:eastAsia="en-CA"/>
                <w14:ligatures w14:val="none"/>
              </w:rPr>
              <w:t xml:space="preserve"> de tendances positives</w:t>
            </w:r>
          </w:p>
          <w:p w14:paraId="0998EE96" w14:textId="7FF1BAA6" w:rsidR="009C6941" w:rsidRPr="00653BF4" w:rsidRDefault="00856351" w:rsidP="00856351">
            <w:pPr>
              <w:spacing w:after="0" w:line="240" w:lineRule="auto"/>
              <w:jc w:val="center"/>
              <w:rPr>
                <w:rFonts w:ascii="Aptos" w:eastAsia="Times New Roman" w:hAnsi="Aptos" w:cs="Times New Roman"/>
                <w:color w:val="000000"/>
                <w:kern w:val="0"/>
                <w:sz w:val="20"/>
                <w:szCs w:val="20"/>
                <w:lang w:val="fr-FR" w:eastAsia="en-CA"/>
                <w14:ligatures w14:val="none"/>
              </w:rPr>
            </w:pPr>
            <w:r w:rsidRPr="00856351">
              <w:rPr>
                <w:rFonts w:ascii="Aptos" w:eastAsia="Times New Roman" w:hAnsi="Aptos" w:cs="Times New Roman"/>
                <w:color w:val="000000"/>
                <w:kern w:val="0"/>
                <w:sz w:val="20"/>
                <w:szCs w:val="20"/>
                <w:lang w:val="fr-FR" w:eastAsia="en-CA"/>
                <w14:ligatures w14:val="none"/>
              </w:rPr>
              <w:t>13</w:t>
            </w:r>
            <w:r w:rsidR="002878D7">
              <w:rPr>
                <w:rFonts w:ascii="Aptos" w:eastAsia="Times New Roman" w:hAnsi="Aptos" w:cs="Times New Roman"/>
                <w:color w:val="000000"/>
                <w:kern w:val="0"/>
                <w:sz w:val="20"/>
                <w:szCs w:val="20"/>
                <w:lang w:val="fr-FR" w:eastAsia="en-CA"/>
                <w14:ligatures w14:val="none"/>
              </w:rPr>
              <w:t> %</w:t>
            </w:r>
            <w:r w:rsidRPr="00856351">
              <w:rPr>
                <w:rFonts w:ascii="Aptos" w:eastAsia="Times New Roman" w:hAnsi="Aptos" w:cs="Times New Roman"/>
                <w:color w:val="000000"/>
                <w:kern w:val="0"/>
                <w:sz w:val="20"/>
                <w:szCs w:val="20"/>
                <w:lang w:val="fr-FR" w:eastAsia="en-CA"/>
                <w14:ligatures w14:val="none"/>
              </w:rPr>
              <w:t xml:space="preserve"> de tendances négatives</w:t>
            </w:r>
          </w:p>
        </w:tc>
        <w:tc>
          <w:tcPr>
            <w:tcW w:w="567" w:type="dxa"/>
            <w:tcBorders>
              <w:top w:val="nil"/>
              <w:left w:val="nil"/>
              <w:bottom w:val="single" w:sz="4" w:space="0" w:color="auto"/>
              <w:right w:val="single" w:sz="4" w:space="0" w:color="auto"/>
            </w:tcBorders>
            <w:shd w:val="clear" w:color="000000" w:fill="FFC000"/>
            <w:vAlign w:val="bottom"/>
            <w:hideMark/>
          </w:tcPr>
          <w:p w14:paraId="4B05A910" w14:textId="77777777" w:rsidR="009C6941" w:rsidRPr="00653BF4" w:rsidRDefault="009C6941">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 </w:t>
            </w:r>
          </w:p>
        </w:tc>
      </w:tr>
      <w:tr w:rsidR="009C6941" w:rsidRPr="00543148" w14:paraId="15F495F8" w14:textId="77777777">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600C8328" w14:textId="77777777" w:rsidR="009C6941" w:rsidRPr="00653BF4" w:rsidRDefault="009C6941">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sz w:val="20"/>
                <w:szCs w:val="20"/>
                <w:lang w:val="fr-FR"/>
              </w:rPr>
              <w:t>Notes</w:t>
            </w:r>
          </w:p>
        </w:tc>
        <w:tc>
          <w:tcPr>
            <w:tcW w:w="6536" w:type="dxa"/>
            <w:gridSpan w:val="4"/>
            <w:tcBorders>
              <w:top w:val="nil"/>
              <w:left w:val="nil"/>
              <w:bottom w:val="single" w:sz="4" w:space="0" w:color="auto"/>
              <w:right w:val="single" w:sz="4" w:space="0" w:color="auto"/>
            </w:tcBorders>
          </w:tcPr>
          <w:p w14:paraId="147A72F8" w14:textId="77777777" w:rsidR="00B3495B" w:rsidRPr="00B3495B" w:rsidRDefault="00B3495B" w:rsidP="00B3495B">
            <w:pPr>
              <w:pStyle w:val="p1"/>
              <w:rPr>
                <w:rFonts w:ascii="Aptos" w:eastAsiaTheme="minorEastAsia" w:hAnsi="Aptos" w:cstheme="minorBidi"/>
                <w:sz w:val="20"/>
                <w:szCs w:val="20"/>
                <w:lang w:val="fr-FR"/>
              </w:rPr>
            </w:pPr>
            <w:r w:rsidRPr="00B3495B">
              <w:rPr>
                <w:rFonts w:ascii="Aptos" w:eastAsiaTheme="minorEastAsia" w:hAnsi="Aptos" w:cstheme="minorBidi"/>
                <w:sz w:val="20"/>
                <w:szCs w:val="20"/>
                <w:lang w:val="fr-FR"/>
              </w:rPr>
              <w:t>La faible capacité de suivi des espèces exotiques envahissantes se traduit par de faibles taux de détection.</w:t>
            </w:r>
          </w:p>
          <w:p w14:paraId="1BB8A73D" w14:textId="1BEC68F9" w:rsidR="009C6941" w:rsidRPr="00653BF4" w:rsidRDefault="00B3495B" w:rsidP="00B3495B">
            <w:pPr>
              <w:spacing w:after="0" w:line="240" w:lineRule="auto"/>
              <w:rPr>
                <w:rFonts w:ascii="Aptos" w:eastAsia="Times New Roman" w:hAnsi="Aptos" w:cs="Times New Roman"/>
                <w:color w:val="000000"/>
                <w:kern w:val="0"/>
                <w:sz w:val="20"/>
                <w:szCs w:val="20"/>
                <w:lang w:val="fr-FR" w:eastAsia="en-CA"/>
                <w14:ligatures w14:val="none"/>
              </w:rPr>
            </w:pPr>
            <w:r w:rsidRPr="00B3495B">
              <w:rPr>
                <w:rFonts w:ascii="Aptos" w:eastAsiaTheme="minorEastAsia" w:hAnsi="Aptos"/>
                <w:sz w:val="20"/>
                <w:szCs w:val="20"/>
                <w:lang w:val="fr-FR"/>
              </w:rPr>
              <w:t xml:space="preserve">Les Parties s’emploient principalement à établir des données de référence concernant les taux </w:t>
            </w:r>
            <w:r w:rsidR="000D1597">
              <w:rPr>
                <w:rFonts w:ascii="Aptos" w:eastAsiaTheme="minorEastAsia" w:hAnsi="Aptos"/>
                <w:sz w:val="20"/>
                <w:szCs w:val="20"/>
                <w:lang w:val="fr-FR"/>
              </w:rPr>
              <w:t>de propagation</w:t>
            </w:r>
            <w:r w:rsidRPr="00B3495B">
              <w:rPr>
                <w:rFonts w:ascii="Aptos" w:eastAsiaTheme="minorEastAsia" w:hAnsi="Aptos"/>
                <w:sz w:val="20"/>
                <w:szCs w:val="20"/>
                <w:lang w:val="fr-FR"/>
              </w:rPr>
              <w:t>.</w:t>
            </w:r>
          </w:p>
        </w:tc>
      </w:tr>
    </w:tbl>
    <w:p w14:paraId="632A1785" w14:textId="77777777" w:rsidR="009C6941" w:rsidRPr="00653BF4" w:rsidRDefault="009C6941" w:rsidP="009C6941">
      <w:pPr>
        <w:rPr>
          <w:rFonts w:ascii="Aptos" w:hAnsi="Aptos"/>
          <w:lang w:val="fr-FR"/>
        </w:rPr>
      </w:pPr>
    </w:p>
    <w:p w14:paraId="1BFD9F2C" w14:textId="71F97D5F" w:rsidR="00501D3A" w:rsidRPr="00653BF4" w:rsidRDefault="006A631C" w:rsidP="00501D3A">
      <w:pPr>
        <w:rPr>
          <w:rFonts w:ascii="Aptos" w:hAnsi="Aptos"/>
          <w:sz w:val="16"/>
          <w:szCs w:val="16"/>
          <w:lang w:val="fr-FR"/>
        </w:rPr>
      </w:pPr>
      <w:r w:rsidRPr="00653BF4">
        <w:rPr>
          <w:rFonts w:ascii="Aptos" w:hAnsi="Aptos"/>
          <w:i/>
          <w:iCs/>
          <w:sz w:val="16"/>
          <w:szCs w:val="16"/>
          <w:lang w:val="fr-FR"/>
        </w:rPr>
        <w:t>Note</w:t>
      </w:r>
      <w:r w:rsidR="00E34DC9">
        <w:rPr>
          <w:rFonts w:ascii="Aptos" w:hAnsi="Aptos"/>
          <w:i/>
          <w:iCs/>
          <w:sz w:val="16"/>
          <w:szCs w:val="16"/>
          <w:lang w:val="fr-FR"/>
        </w:rPr>
        <w:t> :</w:t>
      </w:r>
      <w:r w:rsidR="00501D3A" w:rsidRPr="00653BF4">
        <w:rPr>
          <w:rFonts w:ascii="Aptos" w:hAnsi="Aptos"/>
          <w:sz w:val="16"/>
          <w:szCs w:val="16"/>
          <w:lang w:val="fr-FR"/>
        </w:rPr>
        <w:t xml:space="preserve"> </w:t>
      </w:r>
      <w:r w:rsidR="00D64D3A" w:rsidRPr="00653BF4">
        <w:rPr>
          <w:rFonts w:ascii="Aptos" w:hAnsi="Aptos"/>
          <w:sz w:val="16"/>
          <w:szCs w:val="16"/>
          <w:lang w:val="fr-FR"/>
        </w:rPr>
        <w:t xml:space="preserve">Le code couleur se rapporte à l’évaluation globale des progrès accomplis pour l’ensemble des cibles. La méthode de cette évaluation est expliquée dans le tableau de bord récapitulatif global (voir le tableau 3). </w:t>
      </w:r>
      <w:r w:rsidR="00B62C55" w:rsidRPr="00653BF4">
        <w:rPr>
          <w:rFonts w:ascii="Aptos" w:hAnsi="Aptos"/>
          <w:sz w:val="16"/>
          <w:szCs w:val="16"/>
          <w:lang w:val="fr-FR"/>
        </w:rPr>
        <w:t xml:space="preserve">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w:t>
      </w:r>
      <w:r w:rsidR="00B62C55" w:rsidRPr="00653BF4">
        <w:rPr>
          <w:rFonts w:ascii="Aptos" w:hAnsi="Aptos"/>
          <w:sz w:val="16"/>
          <w:szCs w:val="16"/>
          <w:lang w:val="fr-FR"/>
        </w:rPr>
        <w:lastRenderedPageBreak/>
        <w:t>supérieur de la fourchette totale, le jaune au tiers intermédiaire et le rouge au tiers inférieur).</w:t>
      </w:r>
      <w:r w:rsidR="00501D3A" w:rsidRPr="00653BF4">
        <w:rPr>
          <w:rFonts w:ascii="Aptos" w:hAnsi="Aptos"/>
          <w:sz w:val="16"/>
          <w:szCs w:val="16"/>
          <w:lang w:val="fr-FR"/>
        </w:rPr>
        <w:t xml:space="preserve"> </w:t>
      </w:r>
      <w:r w:rsidR="003946E4" w:rsidRPr="00653BF4">
        <w:rPr>
          <w:rFonts w:ascii="Aptos" w:hAnsi="Aptos"/>
          <w:sz w:val="16"/>
          <w:szCs w:val="16"/>
          <w:lang w:val="fr-FR"/>
        </w:rPr>
        <w:t>Les couleurs des indicateurs binaires sont fondées sur le pourcentage de Parties ayant obtenu une note élevée (4 ou 5) pour l’indicateur dans son ensemble (le vert est attribué aux valeurs égales ou supérieures à 50</w:t>
      </w:r>
      <w:r w:rsidR="002878D7">
        <w:rPr>
          <w:rFonts w:ascii="Aptos" w:hAnsi="Aptos"/>
          <w:sz w:val="16"/>
          <w:szCs w:val="16"/>
          <w:lang w:val="fr-FR"/>
        </w:rPr>
        <w:t> %</w:t>
      </w:r>
      <w:r w:rsidR="003946E4" w:rsidRPr="00653BF4">
        <w:rPr>
          <w:rFonts w:ascii="Aptos" w:hAnsi="Aptos"/>
          <w:sz w:val="16"/>
          <w:szCs w:val="16"/>
          <w:lang w:val="fr-FR"/>
        </w:rPr>
        <w:t>, le jaune aux valeurs comprises entre 25</w:t>
      </w:r>
      <w:r w:rsidR="002878D7">
        <w:rPr>
          <w:rFonts w:ascii="Aptos" w:hAnsi="Aptos"/>
          <w:sz w:val="16"/>
          <w:szCs w:val="16"/>
          <w:lang w:val="fr-FR"/>
        </w:rPr>
        <w:t> %</w:t>
      </w:r>
      <w:r w:rsidR="003946E4" w:rsidRPr="00653BF4">
        <w:rPr>
          <w:rFonts w:ascii="Aptos" w:hAnsi="Aptos"/>
          <w:sz w:val="16"/>
          <w:szCs w:val="16"/>
          <w:lang w:val="fr-FR"/>
        </w:rPr>
        <w:t xml:space="preserve"> et 50</w:t>
      </w:r>
      <w:r w:rsidR="002878D7">
        <w:rPr>
          <w:rFonts w:ascii="Aptos" w:hAnsi="Aptos"/>
          <w:sz w:val="16"/>
          <w:szCs w:val="16"/>
          <w:lang w:val="fr-FR"/>
        </w:rPr>
        <w:t> %</w:t>
      </w:r>
      <w:r w:rsidR="003946E4" w:rsidRPr="00653BF4">
        <w:rPr>
          <w:rFonts w:ascii="Aptos" w:hAnsi="Aptos"/>
          <w:sz w:val="16"/>
          <w:szCs w:val="16"/>
          <w:lang w:val="fr-FR"/>
        </w:rPr>
        <w:t>, et le rouge aux valeurs inférieures à 25</w:t>
      </w:r>
      <w:r w:rsidR="002878D7">
        <w:rPr>
          <w:rFonts w:ascii="Aptos" w:hAnsi="Aptos"/>
          <w:sz w:val="16"/>
          <w:szCs w:val="16"/>
          <w:lang w:val="fr-FR"/>
        </w:rPr>
        <w:t> %</w:t>
      </w:r>
      <w:r w:rsidR="003946E4" w:rsidRPr="00653BF4">
        <w:rPr>
          <w:rFonts w:ascii="Aptos" w:hAnsi="Aptos"/>
          <w:sz w:val="16"/>
          <w:szCs w:val="16"/>
          <w:lang w:val="fr-FR"/>
        </w:rPr>
        <w:t xml:space="preserve">). </w:t>
      </w:r>
      <w:r w:rsidR="003A2E33" w:rsidRPr="00653BF4">
        <w:rPr>
          <w:rFonts w:ascii="Aptos" w:hAnsi="Aptos"/>
          <w:sz w:val="16"/>
          <w:szCs w:val="16"/>
          <w:lang w:val="fr-FR"/>
        </w:rPr>
        <w:t xml:space="preserve">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w:t>
      </w:r>
      <w:r w:rsidR="00DC640E" w:rsidRPr="00653BF4">
        <w:rPr>
          <w:rFonts w:ascii="Aptos" w:hAnsi="Aptos"/>
          <w:sz w:val="16"/>
          <w:szCs w:val="16"/>
          <w:lang w:val="fr-FR"/>
        </w:rPr>
        <w:t>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6BD01487" w14:textId="300E214A" w:rsidR="00501D3A" w:rsidRPr="00653BF4" w:rsidRDefault="00501D3A" w:rsidP="00501D3A">
      <w:pPr>
        <w:pStyle w:val="FootnoteText"/>
        <w:rPr>
          <w:sz w:val="16"/>
          <w:szCs w:val="16"/>
          <w:lang w:val="fr-FR"/>
        </w:rPr>
      </w:pPr>
      <w:r w:rsidRPr="00653BF4">
        <w:rPr>
          <w:vertAlign w:val="superscript"/>
          <w:lang w:val="fr-FR"/>
        </w:rPr>
        <w:t>a</w:t>
      </w:r>
      <w:r w:rsidRPr="00653BF4">
        <w:rPr>
          <w:lang w:val="fr-FR"/>
        </w:rPr>
        <w:t xml:space="preserve"> </w:t>
      </w:r>
      <w:r w:rsidR="00701A7D" w:rsidRPr="00653BF4">
        <w:rPr>
          <w:sz w:val="16"/>
          <w:szCs w:val="16"/>
          <w:lang w:val="fr-FR"/>
        </w:rPr>
        <w:t>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p>
    <w:p w14:paraId="28B06C11" w14:textId="77777777" w:rsidR="00501D3A" w:rsidRPr="00653BF4" w:rsidRDefault="00501D3A" w:rsidP="00501D3A">
      <w:pPr>
        <w:rPr>
          <w:rFonts w:ascii="Aptos" w:hAnsi="Aptos"/>
          <w:strike/>
          <w:lang w:val="fr-FR"/>
        </w:rPr>
      </w:pPr>
    </w:p>
    <w:p w14:paraId="04BB2EC3" w14:textId="77777777" w:rsidR="00501D3A" w:rsidRPr="00653BF4" w:rsidRDefault="00501D3A" w:rsidP="009C6941">
      <w:pPr>
        <w:rPr>
          <w:rFonts w:ascii="Aptos" w:hAnsi="Aptos"/>
          <w:lang w:val="fr-FR"/>
        </w:rPr>
      </w:pPr>
    </w:p>
    <w:p w14:paraId="4A942750" w14:textId="7015AFBE" w:rsidR="009F35CE" w:rsidRPr="00653BF4" w:rsidRDefault="0022546B" w:rsidP="006B3F48">
      <w:pPr>
        <w:rPr>
          <w:rFonts w:ascii="Aptos" w:hAnsi="Aptos"/>
          <w:lang w:val="fr-FR"/>
        </w:rPr>
      </w:pPr>
      <w:r w:rsidRPr="0022546B">
        <w:rPr>
          <w:rFonts w:ascii="Aptos" w:hAnsi="Aptos"/>
          <w:lang w:val="fr-FR"/>
        </w:rPr>
        <w:t>De nombreuses Parties font état de difficultés techniques et de manque de capacités en matière de suivi des espèces exotiques envahissantes, précisant que de nombreuses espèces passent inaperçues pendant des années avant que leurs impacts ne deviennent manifestes. Il est donc difficile de constater une réduction quantitative spécifique du taux d’introduction et d'implantation des espèces exotiques envahissantes, comme le préconise la cible. Les données présentées au titre de l’indicateur principal 6.1 (taux d’établissement des espèces exotiques envahissantes), soumises par 21</w:t>
      </w:r>
      <w:r w:rsidR="002878D7">
        <w:rPr>
          <w:rFonts w:ascii="Aptos" w:hAnsi="Aptos"/>
          <w:lang w:val="fr-FR"/>
        </w:rPr>
        <w:t> %</w:t>
      </w:r>
      <w:r w:rsidRPr="0022546B">
        <w:rPr>
          <w:rFonts w:ascii="Aptos" w:hAnsi="Aptos"/>
          <w:lang w:val="fr-FR"/>
        </w:rPr>
        <w:t xml:space="preserve"> des Parties dont les rapports nationaux sont disponibles pour analyse (voir le tableau 15), révèlent une grande disparité dans les taux et aucune tendance générale entre 2020 (médiane de 2,37, minimum de 0,45 et maximum de 40 espèces par an) et 2025 (médiane de 2,39, minimum de 0,45 et maximum de 40 espèces par an) (voir la figure 28).</w:t>
      </w:r>
    </w:p>
    <w:p w14:paraId="694FDB2B" w14:textId="3E635D60" w:rsidR="007A24C7" w:rsidRPr="00653BF4" w:rsidRDefault="0022546B" w:rsidP="007A24C7">
      <w:pPr>
        <w:rPr>
          <w:rFonts w:ascii="Aptos" w:hAnsi="Aptos"/>
          <w:lang w:val="fr-FR"/>
        </w:rPr>
      </w:pPr>
      <w:r w:rsidRPr="0022546B">
        <w:rPr>
          <w:rFonts w:ascii="Aptos" w:hAnsi="Aptos"/>
          <w:lang w:val="fr-FR"/>
        </w:rPr>
        <w:t xml:space="preserve">D’après l’indicateur binaire relatif à </w:t>
      </w:r>
      <w:r w:rsidR="008403E0">
        <w:rPr>
          <w:rFonts w:ascii="Aptos" w:hAnsi="Aptos"/>
          <w:lang w:val="fr-FR"/>
        </w:rPr>
        <w:t>la cible </w:t>
      </w:r>
      <w:r w:rsidRPr="0022546B">
        <w:rPr>
          <w:rFonts w:ascii="Aptos" w:hAnsi="Aptos"/>
          <w:lang w:val="fr-FR"/>
        </w:rPr>
        <w:t xml:space="preserve">6 (voir la figure 29), la plupart des Parties ont fait état de progrès dans la mise en œuvre de mesures de gestion des espèces exotiques envahissantes. Ces mesures ont principalement porté sur l’atténuation du taux d’introduction et des impacts des espèces exotiques envahissantes, tandis que les mesures visant à éradiquer et à lutter contre ces espèces sont présentées comme étant partiellement en place. Ces différences se reflètent dans les types d’indicateurs nationaux présentés par les Parties, qui se concentrent principalement sur l’atténuation des taux d’introduction et d’établissement. Un quart de ces indicateurs fait état de tendances positives, tandis qu’un cinquième fait état de tendances négatives (voir la figure 30). Bien que les Parties aient fait état de mesures importantes visant à atteindre la </w:t>
      </w:r>
      <w:r w:rsidR="00E34DC9">
        <w:rPr>
          <w:rFonts w:ascii="Aptos" w:hAnsi="Aptos"/>
          <w:lang w:val="fr-FR"/>
        </w:rPr>
        <w:t>cible 6</w:t>
      </w:r>
      <w:r w:rsidRPr="0022546B">
        <w:rPr>
          <w:rFonts w:ascii="Aptos" w:hAnsi="Aptos"/>
          <w:lang w:val="fr-FR"/>
        </w:rPr>
        <w:t>, il n’est pas encore possible de discerner les effets à long terme de ces efforts sur la biodiversité et les services écosystémiques sur la base des données communiquées.</w:t>
      </w:r>
    </w:p>
    <w:p w14:paraId="60D52DA5" w14:textId="3797FE34" w:rsidR="009C6941" w:rsidRPr="00653BF4" w:rsidRDefault="009C6941" w:rsidP="009C6941">
      <w:pPr>
        <w:rPr>
          <w:rFonts w:ascii="Aptos" w:hAnsi="Aptos"/>
          <w:lang w:val="fr-FR"/>
        </w:rPr>
      </w:pPr>
    </w:p>
    <w:p w14:paraId="11E80ADB" w14:textId="01BFB2E9" w:rsidR="006D2CC0" w:rsidRPr="00653BF4" w:rsidRDefault="006D2CC0" w:rsidP="006D2CC0">
      <w:pPr>
        <w:pStyle w:val="Caption"/>
        <w:rPr>
          <w:i w:val="0"/>
          <w:iCs w:val="0"/>
          <w:sz w:val="20"/>
          <w:szCs w:val="20"/>
          <w:lang w:val="fr-FR"/>
        </w:rPr>
      </w:pPr>
      <w:r w:rsidRPr="00653BF4">
        <w:rPr>
          <w:i w:val="0"/>
          <w:iCs w:val="0"/>
          <w:sz w:val="20"/>
          <w:szCs w:val="20"/>
          <w:lang w:val="fr-FR"/>
        </w:rPr>
        <w:t xml:space="preserve">Figure </w:t>
      </w:r>
      <w:r w:rsidRPr="00653BF4">
        <w:rPr>
          <w:i w:val="0"/>
          <w:iCs w:val="0"/>
          <w:noProof/>
          <w:sz w:val="20"/>
          <w:szCs w:val="20"/>
          <w:lang w:val="fr-FR"/>
        </w:rPr>
        <w:t>28</w:t>
      </w:r>
      <w:r w:rsidRPr="00653BF4">
        <w:rPr>
          <w:i w:val="0"/>
          <w:iCs w:val="0"/>
          <w:sz w:val="20"/>
          <w:szCs w:val="20"/>
          <w:lang w:val="fr-FR"/>
        </w:rPr>
        <w:t xml:space="preserve"> </w:t>
      </w:r>
    </w:p>
    <w:p w14:paraId="0DF52AEF" w14:textId="1674472F" w:rsidR="006D2CC0" w:rsidRDefault="0022546B" w:rsidP="006D2CC0">
      <w:pPr>
        <w:pStyle w:val="Caption"/>
        <w:rPr>
          <w:rFonts w:ascii="Aptos" w:hAnsi="Aptos"/>
          <w:b/>
          <w:bCs/>
          <w:i w:val="0"/>
          <w:iCs w:val="0"/>
          <w:sz w:val="20"/>
          <w:szCs w:val="20"/>
          <w:lang w:val="fr-FR"/>
        </w:rPr>
      </w:pPr>
      <w:r w:rsidRPr="0022546B">
        <w:rPr>
          <w:rFonts w:ascii="Aptos" w:hAnsi="Aptos"/>
          <w:b/>
          <w:bCs/>
          <w:i w:val="0"/>
          <w:iCs w:val="0"/>
          <w:sz w:val="20"/>
          <w:szCs w:val="20"/>
          <w:lang w:val="fr-FR"/>
        </w:rPr>
        <w:t>Indicateur principal n° 6</w:t>
      </w:r>
      <w:r w:rsidR="00E34DC9">
        <w:rPr>
          <w:rFonts w:ascii="Aptos" w:hAnsi="Aptos"/>
          <w:b/>
          <w:bCs/>
          <w:i w:val="0"/>
          <w:iCs w:val="0"/>
          <w:sz w:val="20"/>
          <w:szCs w:val="20"/>
          <w:lang w:val="fr-FR"/>
        </w:rPr>
        <w:t> :</w:t>
      </w:r>
      <w:r w:rsidRPr="0022546B">
        <w:rPr>
          <w:rFonts w:ascii="Aptos" w:hAnsi="Aptos"/>
          <w:b/>
          <w:bCs/>
          <w:i w:val="0"/>
          <w:iCs w:val="0"/>
          <w:sz w:val="20"/>
          <w:szCs w:val="20"/>
          <w:lang w:val="fr-FR"/>
        </w:rPr>
        <w:t xml:space="preserve"> taux d'établissement d'espèces exotiques envahissantes</w:t>
      </w:r>
    </w:p>
    <w:p w14:paraId="352AE329" w14:textId="183B7B78" w:rsidR="00F034CD" w:rsidRPr="00653BF4" w:rsidRDefault="006D2CC0" w:rsidP="009C6941">
      <w:pPr>
        <w:rPr>
          <w:rFonts w:ascii="Aptos" w:hAnsi="Aptos"/>
          <w:lang w:val="fr-FR"/>
        </w:rPr>
      </w:pPr>
      <w:r w:rsidRPr="00653BF4">
        <w:rPr>
          <w:rFonts w:ascii="Aptos" w:hAnsi="Aptos"/>
          <w:lang w:val="fr-FR"/>
        </w:rPr>
        <w:lastRenderedPageBreak/>
        <w:t> </w:t>
      </w:r>
      <w:r w:rsidR="009C6941" w:rsidRPr="00653BF4">
        <w:rPr>
          <w:rFonts w:ascii="Aptos" w:hAnsi="Aptos"/>
          <w:noProof/>
          <w:lang w:val="fr-FR"/>
        </w:rPr>
        <w:drawing>
          <wp:inline distT="0" distB="0" distL="0" distR="0" wp14:anchorId="55DB8F2F" wp14:editId="30EE9978">
            <wp:extent cx="3913974" cy="2925445"/>
            <wp:effectExtent l="0" t="0" r="0" b="0"/>
            <wp:docPr id="194102611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933433" cy="2939990"/>
                    </a:xfrm>
                    <a:prstGeom prst="rect">
                      <a:avLst/>
                    </a:prstGeom>
                    <a:noFill/>
                    <a:ln>
                      <a:noFill/>
                    </a:ln>
                  </pic:spPr>
                </pic:pic>
              </a:graphicData>
            </a:graphic>
          </wp:inline>
        </w:drawing>
      </w:r>
      <w:r w:rsidR="009C6941" w:rsidRPr="00653BF4">
        <w:rPr>
          <w:rFonts w:ascii="Aptos" w:hAnsi="Aptos"/>
          <w:lang w:val="fr-FR"/>
        </w:rPr>
        <w:t> </w:t>
      </w:r>
    </w:p>
    <w:p w14:paraId="2EF34A7F" w14:textId="5A85BE73" w:rsidR="004C7810" w:rsidRPr="00653BF4" w:rsidRDefault="006A631C" w:rsidP="004C7810">
      <w:pPr>
        <w:pStyle w:val="Caption"/>
        <w:rPr>
          <w:rFonts w:ascii="Arial" w:hAnsi="Arial" w:cs="Arial"/>
          <w:i w:val="0"/>
          <w:iCs w:val="0"/>
          <w:lang w:val="fr-FR"/>
        </w:rPr>
      </w:pPr>
      <w:r w:rsidRPr="00653BF4">
        <w:rPr>
          <w:rFonts w:ascii="Aptos" w:hAnsi="Aptos"/>
          <w:lang w:val="fr-FR"/>
        </w:rPr>
        <w:t>Note</w:t>
      </w:r>
      <w:r w:rsidR="00E34DC9">
        <w:rPr>
          <w:rFonts w:ascii="Aptos" w:hAnsi="Aptos"/>
          <w:lang w:val="fr-FR"/>
        </w:rPr>
        <w:t> :</w:t>
      </w:r>
      <w:r w:rsidR="004C7810" w:rsidRPr="00653BF4">
        <w:rPr>
          <w:rFonts w:ascii="Aptos" w:hAnsi="Aptos"/>
          <w:i w:val="0"/>
          <w:iCs w:val="0"/>
          <w:lang w:val="fr-FR"/>
        </w:rPr>
        <w:t xml:space="preserve"> </w:t>
      </w:r>
      <w:r w:rsidR="00B24953" w:rsidRPr="00653BF4">
        <w:rPr>
          <w:rFonts w:ascii="Aptos" w:hAnsi="Aptos"/>
          <w:i w:val="0"/>
          <w:iCs w:val="0"/>
          <w:lang w:val="fr-FR"/>
        </w:rPr>
        <w:t xml:space="preserve">Les valeurs des indicateurs correspondent à la moyenne générale et à l’écart interquartile des données communiquées chaque année par les Parties. </w:t>
      </w:r>
      <w:r w:rsidR="007833D5" w:rsidRPr="00653BF4">
        <w:rPr>
          <w:rFonts w:ascii="Aptos" w:hAnsi="Aptos"/>
          <w:i w:val="0"/>
          <w:iCs w:val="0"/>
          <w:lang w:val="fr-FR"/>
        </w:rPr>
        <w:t>Le diagramme à barres de droite présente la répartition, par région, des Parties ayant communiqué des indicateurs.</w:t>
      </w:r>
      <w:r w:rsidR="00852F5F" w:rsidRPr="00653BF4">
        <w:rPr>
          <w:rFonts w:ascii="Aptos" w:hAnsi="Aptos"/>
          <w:i w:val="0"/>
          <w:iCs w:val="0"/>
          <w:lang w:val="fr-FR"/>
        </w:rPr>
        <w:t xml:space="preserve"> </w:t>
      </w:r>
      <w:r w:rsidR="00704774" w:rsidRPr="00653BF4">
        <w:rPr>
          <w:rFonts w:ascii="Aptos" w:hAnsi="Aptos"/>
          <w:i w:val="0"/>
          <w:iCs w:val="0"/>
          <w:lang w:val="fr-FR"/>
        </w:rPr>
        <w:t>La couleur de chaque région est indiquée dans la légende de la figure</w:t>
      </w:r>
      <w:r w:rsidR="00E34DC9">
        <w:rPr>
          <w:rFonts w:ascii="Aptos" w:hAnsi="Aptos"/>
          <w:i w:val="0"/>
          <w:iCs w:val="0"/>
          <w:lang w:val="fr-FR"/>
        </w:rPr>
        <w:t> :</w:t>
      </w:r>
      <w:r w:rsidR="00704774"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704774" w:rsidRPr="00653BF4">
        <w:rPr>
          <w:rFonts w:ascii="Aptos" w:hAnsi="Aptos"/>
          <w:i w:val="0"/>
          <w:iCs w:val="0"/>
          <w:lang w:val="fr-FR"/>
        </w:rPr>
        <w:t xml:space="preserve"> les tons plus clairs, la proportion de Parties de la même région dont les données n’y figurent pas.</w:t>
      </w:r>
      <w:r w:rsidR="004C7810" w:rsidRPr="00653BF4">
        <w:rPr>
          <w:rFonts w:ascii="Arial" w:hAnsi="Arial" w:cs="Arial"/>
          <w:i w:val="0"/>
          <w:iCs w:val="0"/>
          <w:lang w:val="fr-FR"/>
        </w:rPr>
        <w:t> </w:t>
      </w:r>
    </w:p>
    <w:tbl>
      <w:tblPr>
        <w:tblStyle w:val="TableGrid"/>
        <w:tblW w:w="9463" w:type="dxa"/>
        <w:tblLook w:val="04A0" w:firstRow="1" w:lastRow="0" w:firstColumn="1" w:lastColumn="0" w:noHBand="0" w:noVBand="1"/>
      </w:tblPr>
      <w:tblGrid>
        <w:gridCol w:w="4233"/>
        <w:gridCol w:w="5230"/>
      </w:tblGrid>
      <w:tr w:rsidR="00DD6272" w:rsidRPr="003A6336" w14:paraId="25B73A18" w14:textId="77777777" w:rsidTr="009B4355">
        <w:tc>
          <w:tcPr>
            <w:tcW w:w="9463" w:type="dxa"/>
            <w:gridSpan w:val="2"/>
          </w:tcPr>
          <w:p w14:paraId="600B1F28" w14:textId="77777777" w:rsidR="00DD6272" w:rsidRPr="00DA7A1C" w:rsidRDefault="00DD6272" w:rsidP="009B4355">
            <w:pPr>
              <w:rPr>
                <w:rFonts w:ascii="Aptos" w:hAnsi="Aptos"/>
              </w:rPr>
            </w:pPr>
            <w:r w:rsidRPr="00DA7A1C">
              <w:rPr>
                <w:rFonts w:ascii="Aptos" w:hAnsi="Aptos"/>
              </w:rPr>
              <w:t>Figure 28</w:t>
            </w:r>
          </w:p>
        </w:tc>
      </w:tr>
      <w:tr w:rsidR="00DD6272" w:rsidRPr="003A6336" w14:paraId="2A196C07" w14:textId="77777777" w:rsidTr="009B4355">
        <w:tc>
          <w:tcPr>
            <w:tcW w:w="4233" w:type="dxa"/>
          </w:tcPr>
          <w:p w14:paraId="013C7F2B" w14:textId="77777777" w:rsidR="00DD6272" w:rsidRPr="00DA7A1C" w:rsidRDefault="00DD6272" w:rsidP="009B4355">
            <w:pPr>
              <w:rPr>
                <w:rFonts w:ascii="Aptos" w:hAnsi="Aptos"/>
              </w:rPr>
            </w:pPr>
            <w:r w:rsidRPr="00DA7A1C">
              <w:rPr>
                <w:rFonts w:ascii="Aptos" w:hAnsi="Aptos"/>
              </w:rPr>
              <w:t xml:space="preserve">English </w:t>
            </w:r>
          </w:p>
        </w:tc>
        <w:tc>
          <w:tcPr>
            <w:tcW w:w="5230" w:type="dxa"/>
          </w:tcPr>
          <w:p w14:paraId="08E73CF0" w14:textId="77777777" w:rsidR="00DD6272" w:rsidRPr="00DA7A1C" w:rsidRDefault="00DD6272" w:rsidP="009B4355">
            <w:pPr>
              <w:rPr>
                <w:rFonts w:ascii="Aptos" w:hAnsi="Aptos"/>
              </w:rPr>
            </w:pPr>
            <w:r>
              <w:rPr>
                <w:rFonts w:ascii="Aptos" w:hAnsi="Aptos"/>
              </w:rPr>
              <w:t>Français</w:t>
            </w:r>
          </w:p>
        </w:tc>
      </w:tr>
      <w:tr w:rsidR="00DD6272" w:rsidRPr="003A6336" w14:paraId="1E635E59" w14:textId="77777777" w:rsidTr="009B4355">
        <w:tc>
          <w:tcPr>
            <w:tcW w:w="4233" w:type="dxa"/>
          </w:tcPr>
          <w:p w14:paraId="2C52074C" w14:textId="77777777" w:rsidR="00DD6272" w:rsidRPr="003A6336" w:rsidRDefault="00DD6272" w:rsidP="009B4355">
            <w:pPr>
              <w:rPr>
                <w:rFonts w:ascii="Aptos" w:hAnsi="Aptos"/>
              </w:rPr>
            </w:pPr>
            <w:r w:rsidRPr="6D03A27B">
              <w:rPr>
                <w:rFonts w:ascii="Aptos" w:hAnsi="Aptos"/>
              </w:rPr>
              <w:t xml:space="preserve"> IAS establishment rate (species/year)</w:t>
            </w:r>
          </w:p>
        </w:tc>
        <w:tc>
          <w:tcPr>
            <w:tcW w:w="5230" w:type="dxa"/>
          </w:tcPr>
          <w:p w14:paraId="61EEBA06" w14:textId="77777777" w:rsidR="00DD6272" w:rsidRPr="003A6336" w:rsidRDefault="00DD6272" w:rsidP="009B4355">
            <w:pPr>
              <w:rPr>
                <w:rFonts w:ascii="Aptos" w:hAnsi="Aptos"/>
              </w:rPr>
            </w:pPr>
            <w:r w:rsidRPr="00081C15">
              <w:rPr>
                <w:rFonts w:ascii="Aptos" w:hAnsi="Aptos"/>
              </w:rPr>
              <w:t>Taux d</w:t>
            </w:r>
            <w:r>
              <w:rPr>
                <w:rFonts w:ascii="Aptos" w:hAnsi="Aptos"/>
              </w:rPr>
              <w:t>’</w:t>
            </w:r>
            <w:r w:rsidRPr="00081C15">
              <w:rPr>
                <w:rFonts w:ascii="Aptos" w:hAnsi="Aptos"/>
              </w:rPr>
              <w:t>implantation des espèces exotiques envahissantes (espèces/an)</w:t>
            </w:r>
          </w:p>
        </w:tc>
      </w:tr>
      <w:tr w:rsidR="00DD6272" w:rsidRPr="003A6336" w14:paraId="03B7121D" w14:textId="77777777" w:rsidTr="009B4355">
        <w:tc>
          <w:tcPr>
            <w:tcW w:w="4233" w:type="dxa"/>
          </w:tcPr>
          <w:p w14:paraId="6527362D" w14:textId="77777777" w:rsidR="00DD6272" w:rsidRPr="003A6336" w:rsidRDefault="00DD6272" w:rsidP="009B4355">
            <w:pPr>
              <w:rPr>
                <w:rFonts w:ascii="Aptos" w:hAnsi="Aptos"/>
              </w:rPr>
            </w:pPr>
            <w:r w:rsidRPr="003A6336">
              <w:rPr>
                <w:rFonts w:ascii="Aptos" w:hAnsi="Aptos"/>
              </w:rPr>
              <w:t>Year</w:t>
            </w:r>
          </w:p>
        </w:tc>
        <w:tc>
          <w:tcPr>
            <w:tcW w:w="5230" w:type="dxa"/>
          </w:tcPr>
          <w:p w14:paraId="2C563EE1" w14:textId="77777777" w:rsidR="00DD6272" w:rsidRPr="003A6336" w:rsidRDefault="00DD6272" w:rsidP="009B4355">
            <w:pPr>
              <w:rPr>
                <w:rFonts w:ascii="Aptos" w:hAnsi="Aptos"/>
              </w:rPr>
            </w:pPr>
            <w:r>
              <w:rPr>
                <w:rFonts w:ascii="Aptos" w:hAnsi="Aptos"/>
              </w:rPr>
              <w:t>Année</w:t>
            </w:r>
          </w:p>
        </w:tc>
      </w:tr>
      <w:tr w:rsidR="00DD6272" w:rsidRPr="003A6336" w14:paraId="616572B0" w14:textId="77777777" w:rsidTr="009B4355">
        <w:tc>
          <w:tcPr>
            <w:tcW w:w="4233" w:type="dxa"/>
          </w:tcPr>
          <w:p w14:paraId="213E83E1" w14:textId="77777777" w:rsidR="00DD6272" w:rsidRPr="003A6336" w:rsidRDefault="00DD6272" w:rsidP="009B4355">
            <w:pPr>
              <w:rPr>
                <w:rFonts w:ascii="Aptos" w:hAnsi="Aptos"/>
              </w:rPr>
            </w:pPr>
            <w:r w:rsidRPr="003A6336">
              <w:rPr>
                <w:rFonts w:ascii="Aptos" w:hAnsi="Aptos"/>
              </w:rPr>
              <w:t>Party count: 12</w:t>
            </w:r>
          </w:p>
        </w:tc>
        <w:tc>
          <w:tcPr>
            <w:tcW w:w="5230" w:type="dxa"/>
          </w:tcPr>
          <w:p w14:paraId="7656220E" w14:textId="77777777" w:rsidR="00DD6272" w:rsidRPr="003A6336" w:rsidRDefault="00DD6272" w:rsidP="009B4355">
            <w:pPr>
              <w:rPr>
                <w:rFonts w:ascii="Aptos" w:hAnsi="Aptos"/>
              </w:rPr>
            </w:pPr>
            <w:r>
              <w:rPr>
                <w:rFonts w:ascii="Aptos" w:hAnsi="Aptos"/>
              </w:rPr>
              <w:t>Nombre de Parties : 12</w:t>
            </w:r>
          </w:p>
        </w:tc>
      </w:tr>
      <w:tr w:rsidR="00DD6272" w:rsidRPr="003A6336" w14:paraId="511C3450" w14:textId="77777777" w:rsidTr="009B4355">
        <w:tc>
          <w:tcPr>
            <w:tcW w:w="4233" w:type="dxa"/>
          </w:tcPr>
          <w:p w14:paraId="0BEDB0AB" w14:textId="77777777" w:rsidR="00DD6272" w:rsidRPr="003A6336" w:rsidRDefault="00DD6272" w:rsidP="009B4355">
            <w:pPr>
              <w:rPr>
                <w:rFonts w:ascii="Aptos" w:hAnsi="Aptos"/>
              </w:rPr>
            </w:pPr>
            <w:r w:rsidRPr="003A6336">
              <w:rPr>
                <w:rFonts w:ascii="Aptos" w:hAnsi="Aptos"/>
              </w:rPr>
              <w:t>Party count by region</w:t>
            </w:r>
          </w:p>
        </w:tc>
        <w:tc>
          <w:tcPr>
            <w:tcW w:w="5230" w:type="dxa"/>
          </w:tcPr>
          <w:p w14:paraId="389F44B9" w14:textId="77777777" w:rsidR="00DD6272" w:rsidRPr="003A6336" w:rsidRDefault="00DD6272" w:rsidP="009B4355">
            <w:pPr>
              <w:rPr>
                <w:rFonts w:ascii="Aptos" w:hAnsi="Aptos"/>
              </w:rPr>
            </w:pPr>
            <w:r>
              <w:rPr>
                <w:rFonts w:ascii="Aptos" w:hAnsi="Aptos"/>
              </w:rPr>
              <w:t>Nombre de Parties par région</w:t>
            </w:r>
          </w:p>
        </w:tc>
      </w:tr>
      <w:tr w:rsidR="00DD6272" w:rsidRPr="003A6336" w14:paraId="6999AC24" w14:textId="77777777" w:rsidTr="009B4355">
        <w:tc>
          <w:tcPr>
            <w:tcW w:w="4233" w:type="dxa"/>
          </w:tcPr>
          <w:p w14:paraId="420FC95D" w14:textId="77777777" w:rsidR="00DD6272" w:rsidRPr="003A6336" w:rsidRDefault="00DD6272" w:rsidP="009B4355">
            <w:pPr>
              <w:rPr>
                <w:rFonts w:ascii="Aptos" w:hAnsi="Aptos"/>
              </w:rPr>
            </w:pPr>
            <w:r w:rsidRPr="003A6336">
              <w:rPr>
                <w:rFonts w:ascii="Aptos" w:hAnsi="Aptos"/>
              </w:rPr>
              <w:t>Region</w:t>
            </w:r>
          </w:p>
        </w:tc>
        <w:tc>
          <w:tcPr>
            <w:tcW w:w="5230" w:type="dxa"/>
          </w:tcPr>
          <w:p w14:paraId="72ACC8A1" w14:textId="77777777" w:rsidR="00DD6272" w:rsidRPr="003A6336" w:rsidRDefault="00DD6272" w:rsidP="009B4355">
            <w:pPr>
              <w:rPr>
                <w:rFonts w:ascii="Aptos" w:hAnsi="Aptos"/>
              </w:rPr>
            </w:pPr>
            <w:r w:rsidRPr="006F7AF8">
              <w:rPr>
                <w:rFonts w:ascii="Aptos" w:hAnsi="Aptos"/>
                <w:lang w:val="fr-FR"/>
              </w:rPr>
              <w:t>Région</w:t>
            </w:r>
          </w:p>
        </w:tc>
      </w:tr>
      <w:tr w:rsidR="00DD6272" w:rsidRPr="003A6336" w14:paraId="34D4E596" w14:textId="77777777" w:rsidTr="009B4355">
        <w:tc>
          <w:tcPr>
            <w:tcW w:w="4233" w:type="dxa"/>
          </w:tcPr>
          <w:p w14:paraId="476DD165" w14:textId="77777777" w:rsidR="00DD6272" w:rsidRPr="003A6336" w:rsidRDefault="00DD6272" w:rsidP="009B4355">
            <w:pPr>
              <w:rPr>
                <w:rFonts w:ascii="Aptos" w:hAnsi="Aptos"/>
              </w:rPr>
            </w:pPr>
            <w:r w:rsidRPr="6D03A27B">
              <w:rPr>
                <w:rFonts w:ascii="Aptos" w:hAnsi="Aptos"/>
              </w:rPr>
              <w:t>African States</w:t>
            </w:r>
          </w:p>
        </w:tc>
        <w:tc>
          <w:tcPr>
            <w:tcW w:w="5230" w:type="dxa"/>
          </w:tcPr>
          <w:p w14:paraId="5B06F43E"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DD6272" w:rsidRPr="003A6336" w14:paraId="21C6FC7F" w14:textId="77777777" w:rsidTr="009B4355">
        <w:tc>
          <w:tcPr>
            <w:tcW w:w="4233" w:type="dxa"/>
          </w:tcPr>
          <w:p w14:paraId="66787705" w14:textId="77777777" w:rsidR="00DD6272" w:rsidRPr="003A6336" w:rsidRDefault="00DD6272" w:rsidP="009B4355">
            <w:pPr>
              <w:rPr>
                <w:rFonts w:ascii="Aptos" w:hAnsi="Aptos"/>
              </w:rPr>
            </w:pPr>
            <w:r w:rsidRPr="6D03A27B">
              <w:rPr>
                <w:rFonts w:ascii="Aptos" w:hAnsi="Aptos"/>
              </w:rPr>
              <w:t>Asia-Pacific States</w:t>
            </w:r>
          </w:p>
        </w:tc>
        <w:tc>
          <w:tcPr>
            <w:tcW w:w="5230" w:type="dxa"/>
          </w:tcPr>
          <w:p w14:paraId="367AD841"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DD6272" w:rsidRPr="003A6336" w14:paraId="6D53E590" w14:textId="77777777" w:rsidTr="009B4355">
        <w:tc>
          <w:tcPr>
            <w:tcW w:w="4233" w:type="dxa"/>
          </w:tcPr>
          <w:p w14:paraId="69D16788" w14:textId="77777777" w:rsidR="00DD6272" w:rsidRPr="003A6336" w:rsidRDefault="00DD6272" w:rsidP="009B4355">
            <w:pPr>
              <w:rPr>
                <w:rFonts w:ascii="Aptos" w:hAnsi="Aptos"/>
              </w:rPr>
            </w:pPr>
            <w:r w:rsidRPr="6D03A27B">
              <w:rPr>
                <w:rFonts w:ascii="Aptos" w:hAnsi="Aptos"/>
              </w:rPr>
              <w:t>Latin American and Caribbean States</w:t>
            </w:r>
          </w:p>
        </w:tc>
        <w:tc>
          <w:tcPr>
            <w:tcW w:w="5230" w:type="dxa"/>
          </w:tcPr>
          <w:p w14:paraId="217DAC9E"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DD6272" w:rsidRPr="003A6336" w14:paraId="0899A33E" w14:textId="77777777" w:rsidTr="009B4355">
        <w:tc>
          <w:tcPr>
            <w:tcW w:w="4233" w:type="dxa"/>
          </w:tcPr>
          <w:p w14:paraId="469AC00C" w14:textId="77777777" w:rsidR="00DD6272" w:rsidRPr="003A6336" w:rsidRDefault="00DD6272" w:rsidP="009B4355">
            <w:pPr>
              <w:rPr>
                <w:rFonts w:ascii="Aptos" w:hAnsi="Aptos"/>
              </w:rPr>
            </w:pPr>
            <w:r>
              <w:rPr>
                <w:rFonts w:ascii="Aptos" w:hAnsi="Aptos"/>
              </w:rPr>
              <w:t>Eastern</w:t>
            </w:r>
            <w:r w:rsidRPr="6D03A27B">
              <w:rPr>
                <w:rFonts w:ascii="Aptos" w:hAnsi="Aptos"/>
              </w:rPr>
              <w:t xml:space="preserve"> Europe States</w:t>
            </w:r>
          </w:p>
        </w:tc>
        <w:tc>
          <w:tcPr>
            <w:tcW w:w="5230" w:type="dxa"/>
          </w:tcPr>
          <w:p w14:paraId="39C65437"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DD6272" w:rsidRPr="003A6336" w14:paraId="0F825AC7" w14:textId="77777777" w:rsidTr="009B4355">
        <w:tc>
          <w:tcPr>
            <w:tcW w:w="4233" w:type="dxa"/>
          </w:tcPr>
          <w:p w14:paraId="09182C29" w14:textId="77777777" w:rsidR="00DD6272" w:rsidRPr="003A6336" w:rsidRDefault="00DD6272" w:rsidP="009B4355">
            <w:pPr>
              <w:rPr>
                <w:rFonts w:ascii="Aptos" w:hAnsi="Aptos"/>
              </w:rPr>
            </w:pPr>
            <w:r w:rsidRPr="6D03A27B">
              <w:rPr>
                <w:rFonts w:ascii="Aptos" w:hAnsi="Aptos"/>
              </w:rPr>
              <w:t>Western European and other States</w:t>
            </w:r>
          </w:p>
        </w:tc>
        <w:tc>
          <w:tcPr>
            <w:tcW w:w="5230" w:type="dxa"/>
          </w:tcPr>
          <w:p w14:paraId="7F62E1EE"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0965B52A" w14:textId="77777777" w:rsidR="004C7810" w:rsidRPr="00653BF4" w:rsidRDefault="004C7810" w:rsidP="004C7810">
      <w:pPr>
        <w:rPr>
          <w:lang w:val="fr-FR" w:eastAsia="ja-JP"/>
        </w:rPr>
      </w:pPr>
    </w:p>
    <w:p w14:paraId="45E61978" w14:textId="77777777" w:rsidR="004C7810" w:rsidRPr="00653BF4" w:rsidRDefault="004C7810" w:rsidP="004C7810">
      <w:pPr>
        <w:rPr>
          <w:lang w:val="fr-FR" w:eastAsia="ja-JP"/>
        </w:rPr>
      </w:pPr>
    </w:p>
    <w:p w14:paraId="6FF182F5" w14:textId="0D70C183" w:rsidR="00F40FF8" w:rsidRPr="00653BF4" w:rsidRDefault="009C6941" w:rsidP="00F40FF8">
      <w:pPr>
        <w:pStyle w:val="Caption"/>
        <w:rPr>
          <w:i w:val="0"/>
          <w:iCs w:val="0"/>
          <w:sz w:val="20"/>
          <w:szCs w:val="20"/>
          <w:lang w:val="fr-FR"/>
        </w:rPr>
      </w:pPr>
      <w:bookmarkStart w:id="147" w:name="_Ref231153656"/>
      <w:r w:rsidRPr="00653BF4">
        <w:rPr>
          <w:i w:val="0"/>
          <w:sz w:val="20"/>
          <w:szCs w:val="20"/>
          <w:lang w:val="fr-FR"/>
        </w:rPr>
        <w:t xml:space="preserve">Figure </w:t>
      </w:r>
      <w:r w:rsidR="00F40FF8" w:rsidRPr="00653BF4">
        <w:rPr>
          <w:i w:val="0"/>
          <w:iCs w:val="0"/>
          <w:noProof/>
          <w:sz w:val="20"/>
          <w:szCs w:val="20"/>
          <w:lang w:val="fr-FR"/>
        </w:rPr>
        <w:t>29</w:t>
      </w:r>
      <w:bookmarkEnd w:id="147"/>
      <w:r w:rsidR="00F40FF8" w:rsidRPr="00653BF4">
        <w:rPr>
          <w:i w:val="0"/>
          <w:iCs w:val="0"/>
          <w:sz w:val="20"/>
          <w:szCs w:val="20"/>
          <w:lang w:val="fr-FR"/>
        </w:rPr>
        <w:t xml:space="preserve"> </w:t>
      </w:r>
    </w:p>
    <w:p w14:paraId="1F39ED76" w14:textId="3286BDBE" w:rsidR="00F40FF8" w:rsidRPr="00653BF4" w:rsidRDefault="008F24C7" w:rsidP="00F40FF8">
      <w:pPr>
        <w:pStyle w:val="Caption"/>
        <w:rPr>
          <w:rFonts w:ascii="Aptos" w:hAnsi="Aptos"/>
          <w:b/>
          <w:bCs/>
          <w:i w:val="0"/>
          <w:iCs w:val="0"/>
          <w:sz w:val="20"/>
          <w:szCs w:val="20"/>
          <w:lang w:val="fr-FR"/>
        </w:rPr>
      </w:pPr>
      <w:r w:rsidRPr="008F24C7">
        <w:rPr>
          <w:rFonts w:ascii="Aptos" w:hAnsi="Aptos"/>
          <w:b/>
          <w:bCs/>
          <w:i w:val="0"/>
          <w:iCs w:val="0"/>
          <w:sz w:val="20"/>
          <w:szCs w:val="20"/>
          <w:lang w:val="fr-FR"/>
        </w:rPr>
        <w:t>Indicateur binaire 6.b</w:t>
      </w:r>
      <w:r w:rsidR="00E34DC9">
        <w:rPr>
          <w:rFonts w:ascii="Aptos" w:hAnsi="Aptos"/>
          <w:b/>
          <w:bCs/>
          <w:i w:val="0"/>
          <w:iCs w:val="0"/>
          <w:sz w:val="20"/>
          <w:szCs w:val="20"/>
          <w:lang w:val="fr-FR"/>
        </w:rPr>
        <w:t> :</w:t>
      </w:r>
      <w:r w:rsidRPr="008F24C7">
        <w:rPr>
          <w:rFonts w:ascii="Aptos" w:hAnsi="Aptos"/>
          <w:b/>
          <w:bCs/>
          <w:i w:val="0"/>
          <w:iCs w:val="0"/>
          <w:sz w:val="20"/>
          <w:szCs w:val="20"/>
          <w:lang w:val="fr-FR"/>
        </w:rPr>
        <w:t xml:space="preserve"> nombre de pays ayant adopté une réglementation, des procédures et des mesures appropriées visant à atténuer les impacts des espèces exotiques envahissantes</w:t>
      </w:r>
    </w:p>
    <w:p w14:paraId="431D2DB1" w14:textId="66085A43" w:rsidR="00E61F26" w:rsidRPr="00653BF4" w:rsidRDefault="003F3B9E" w:rsidP="005463F7">
      <w:pPr>
        <w:pStyle w:val="Caption"/>
        <w:rPr>
          <w:lang w:val="fr-FR"/>
        </w:rPr>
      </w:pPr>
      <w:r w:rsidRPr="00653BF4">
        <w:rPr>
          <w:noProof/>
          <w:lang w:val="fr-FR"/>
          <w14:ligatures w14:val="standardContextual"/>
        </w:rPr>
        <w:lastRenderedPageBreak/>
        <w:drawing>
          <wp:inline distT="0" distB="0" distL="0" distR="0" wp14:anchorId="38EB34A3" wp14:editId="67702BCF">
            <wp:extent cx="5943600" cy="2264410"/>
            <wp:effectExtent l="0" t="0" r="0" b="0"/>
            <wp:docPr id="1899491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9134" name="Picture 189949134"/>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12890620" w14:textId="7F4D047F" w:rsidR="00852F5F" w:rsidRPr="00653BF4" w:rsidRDefault="00852F5F" w:rsidP="00852F5F">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Pr="00653BF4">
        <w:rPr>
          <w:rFonts w:ascii="Aptos" w:hAnsi="Aptos"/>
          <w:lang w:val="fr-FR"/>
        </w:rPr>
        <w:t xml:space="preserve"> </w:t>
      </w:r>
      <w:r w:rsidRPr="00653BF4">
        <w:rPr>
          <w:rFonts w:ascii="Aptos" w:hAnsi="Aptos"/>
          <w:i w:val="0"/>
          <w:iCs w:val="0"/>
          <w:lang w:val="fr-FR"/>
        </w:rPr>
        <w:t>La largeur des barres indique le pourcentage de Parties dans chaque catégorie de note, une note plus élevée correspondant à des progrès plus importants. Les notes sont établies d’après les réponses aux questions de l’indicateur</w:t>
      </w:r>
      <w:r w:rsidRPr="00653BF4">
        <w:rPr>
          <w:rFonts w:ascii="Aptos" w:hAnsi="Aptos"/>
          <w:i w:val="0"/>
          <w:iCs w:val="0"/>
          <w:vertAlign w:val="superscript"/>
          <w:lang w:val="fr-FR"/>
        </w:rPr>
        <w:t>a</w:t>
      </w:r>
      <w:r w:rsidRPr="00653BF4">
        <w:rPr>
          <w:rFonts w:ascii="Aptos" w:hAnsi="Aptos"/>
          <w:i w:val="0"/>
          <w:iCs w:val="0"/>
          <w:lang w:val="fr-FR"/>
        </w:rPr>
        <w:t>. Le diagramme circulaire représente la répartition par région des Parties ayant répondu à toutes les questions. La couleur de chaque région est indiquée dans la légende de la figure</w:t>
      </w:r>
      <w:r w:rsidR="00E34DC9">
        <w:rPr>
          <w:rFonts w:ascii="Aptos" w:hAnsi="Aptos"/>
          <w:i w:val="0"/>
          <w:iCs w:val="0"/>
          <w:lang w:val="fr-FR"/>
        </w:rPr>
        <w:t> :</w:t>
      </w:r>
      <w:r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Pr="00653BF4">
        <w:rPr>
          <w:rFonts w:ascii="Aptos" w:hAnsi="Aptos"/>
          <w:i w:val="0"/>
          <w:iCs w:val="0"/>
          <w:lang w:val="fr-FR"/>
        </w:rPr>
        <w:t xml:space="preserve"> les tons plus clairs, la proportion de Parties de la même région dont les données n’y figurent pas.</w:t>
      </w:r>
    </w:p>
    <w:p w14:paraId="32DFAE21" w14:textId="2DBCBEC9" w:rsidR="00990F0C" w:rsidRPr="00653BF4" w:rsidRDefault="00852F5F" w:rsidP="00852F5F">
      <w:pPr>
        <w:pStyle w:val="Caption"/>
        <w:rPr>
          <w:i w:val="0"/>
          <w:lang w:val="fr-FR"/>
        </w:rPr>
      </w:pPr>
      <w:r w:rsidRPr="00653BF4">
        <w:rPr>
          <w:i w:val="0"/>
          <w:iCs w:val="0"/>
          <w:vertAlign w:val="superscript"/>
          <w:lang w:val="fr-FR"/>
        </w:rPr>
        <w:t xml:space="preserve">a </w:t>
      </w:r>
      <w:r w:rsidRPr="00653BF4">
        <w:rPr>
          <w:i w:val="0"/>
          <w:iCs w:val="0"/>
          <w:lang w:val="fr-FR"/>
        </w:rPr>
        <w:t>La méthode de calcul des notes pour chaque indicateur binaire, ainsi que les questions associées à chaque indicateur, figurent dans le document </w:t>
      </w:r>
      <w:hyperlink r:id="rId93" w:history="1">
        <w:r w:rsidRPr="00653BF4">
          <w:rPr>
            <w:rStyle w:val="Hyperlink"/>
            <w:i w:val="0"/>
            <w:iCs w:val="0"/>
            <w:lang w:val="fr-FR"/>
          </w:rPr>
          <w:t>CBD/COP/16/INF/3/Rev.1</w:t>
        </w:r>
      </w:hyperlink>
      <w:r w:rsidRPr="00653BF4">
        <w:rPr>
          <w:i w:val="0"/>
          <w:iCs w:val="0"/>
          <w:lang w:val="fr-FR"/>
        </w:rPr>
        <w:t>.</w:t>
      </w:r>
    </w:p>
    <w:tbl>
      <w:tblPr>
        <w:tblStyle w:val="TableGrid"/>
        <w:tblW w:w="0" w:type="auto"/>
        <w:tblLook w:val="04A0" w:firstRow="1" w:lastRow="0" w:firstColumn="1" w:lastColumn="0" w:noHBand="0" w:noVBand="1"/>
      </w:tblPr>
      <w:tblGrid>
        <w:gridCol w:w="4060"/>
        <w:gridCol w:w="4545"/>
      </w:tblGrid>
      <w:tr w:rsidR="00DD6272" w:rsidRPr="00B709F9" w14:paraId="7F6D93C2" w14:textId="77777777" w:rsidTr="009B4355">
        <w:tc>
          <w:tcPr>
            <w:tcW w:w="0" w:type="auto"/>
            <w:gridSpan w:val="2"/>
          </w:tcPr>
          <w:p w14:paraId="4955E636" w14:textId="77777777" w:rsidR="00DD6272" w:rsidRPr="00B709F9" w:rsidRDefault="00DD6272" w:rsidP="009B4355">
            <w:pPr>
              <w:rPr>
                <w:rFonts w:ascii="Aptos" w:hAnsi="Aptos"/>
              </w:rPr>
            </w:pPr>
            <w:r w:rsidRPr="00B709F9">
              <w:rPr>
                <w:rFonts w:ascii="Aptos" w:hAnsi="Aptos"/>
              </w:rPr>
              <w:t>Figure 29</w:t>
            </w:r>
          </w:p>
        </w:tc>
      </w:tr>
      <w:tr w:rsidR="00DD6272" w:rsidRPr="00B709F9" w14:paraId="661EE7B4" w14:textId="77777777" w:rsidTr="009B4355">
        <w:tc>
          <w:tcPr>
            <w:tcW w:w="0" w:type="auto"/>
          </w:tcPr>
          <w:p w14:paraId="29CA7A21" w14:textId="77777777" w:rsidR="00DD6272" w:rsidRPr="00B709F9" w:rsidRDefault="00DD6272" w:rsidP="009B4355">
            <w:pPr>
              <w:rPr>
                <w:rFonts w:ascii="Aptos" w:hAnsi="Aptos"/>
              </w:rPr>
            </w:pPr>
            <w:r w:rsidRPr="00B709F9">
              <w:rPr>
                <w:rFonts w:ascii="Aptos" w:hAnsi="Aptos"/>
              </w:rPr>
              <w:t>English</w:t>
            </w:r>
          </w:p>
        </w:tc>
        <w:tc>
          <w:tcPr>
            <w:tcW w:w="0" w:type="auto"/>
          </w:tcPr>
          <w:p w14:paraId="57BC192E" w14:textId="77777777" w:rsidR="00DD6272" w:rsidRPr="00B709F9" w:rsidRDefault="00DD6272" w:rsidP="009B4355">
            <w:pPr>
              <w:rPr>
                <w:rFonts w:ascii="Aptos" w:hAnsi="Aptos"/>
              </w:rPr>
            </w:pPr>
            <w:r>
              <w:rPr>
                <w:rFonts w:ascii="Aptos" w:hAnsi="Aptos"/>
              </w:rPr>
              <w:t>Français</w:t>
            </w:r>
          </w:p>
        </w:tc>
      </w:tr>
      <w:tr w:rsidR="00DD6272" w:rsidRPr="003A6336" w14:paraId="5A74CBE6" w14:textId="77777777" w:rsidTr="009B4355">
        <w:tc>
          <w:tcPr>
            <w:tcW w:w="0" w:type="auto"/>
          </w:tcPr>
          <w:p w14:paraId="4AABD71B" w14:textId="77777777" w:rsidR="00DD6272" w:rsidRPr="003A6336" w:rsidRDefault="00DD6272" w:rsidP="009B4355">
            <w:pPr>
              <w:rPr>
                <w:rFonts w:ascii="Aptos" w:hAnsi="Aptos"/>
              </w:rPr>
            </w:pPr>
            <w:r w:rsidRPr="003A6336">
              <w:rPr>
                <w:rFonts w:ascii="Aptos" w:hAnsi="Aptos"/>
              </w:rPr>
              <w:t>Answers (percentage)</w:t>
            </w:r>
          </w:p>
        </w:tc>
        <w:tc>
          <w:tcPr>
            <w:tcW w:w="0" w:type="auto"/>
          </w:tcPr>
          <w:p w14:paraId="3D68042B" w14:textId="77777777" w:rsidR="00DD6272" w:rsidRPr="003A6336" w:rsidRDefault="00DD6272" w:rsidP="009B4355">
            <w:pPr>
              <w:rPr>
                <w:rFonts w:ascii="Aptos" w:hAnsi="Aptos"/>
              </w:rPr>
            </w:pPr>
            <w:r>
              <w:rPr>
                <w:rFonts w:ascii="Aptos" w:hAnsi="Aptos"/>
              </w:rPr>
              <w:t>Réponses (pourcentage)</w:t>
            </w:r>
          </w:p>
        </w:tc>
      </w:tr>
      <w:tr w:rsidR="00DD6272" w:rsidRPr="003A6336" w14:paraId="49C72A90" w14:textId="77777777" w:rsidTr="009B4355">
        <w:tc>
          <w:tcPr>
            <w:tcW w:w="0" w:type="auto"/>
          </w:tcPr>
          <w:p w14:paraId="4DBF0E12" w14:textId="77777777" w:rsidR="00DD6272" w:rsidRPr="003A6336" w:rsidRDefault="00DD6272" w:rsidP="009B4355">
            <w:pPr>
              <w:rPr>
                <w:rFonts w:ascii="Aptos" w:hAnsi="Aptos"/>
              </w:rPr>
            </w:pPr>
            <w:r w:rsidRPr="003A6336">
              <w:rPr>
                <w:rFonts w:ascii="Aptos" w:hAnsi="Aptos"/>
              </w:rPr>
              <w:t>Score Level</w:t>
            </w:r>
          </w:p>
        </w:tc>
        <w:tc>
          <w:tcPr>
            <w:tcW w:w="0" w:type="auto"/>
          </w:tcPr>
          <w:p w14:paraId="358BA860" w14:textId="77777777" w:rsidR="00DD6272" w:rsidRPr="003A6336" w:rsidRDefault="00DD6272" w:rsidP="009B4355">
            <w:pPr>
              <w:rPr>
                <w:rFonts w:ascii="Aptos" w:hAnsi="Aptos"/>
              </w:rPr>
            </w:pPr>
            <w:r>
              <w:rPr>
                <w:rFonts w:ascii="Aptos" w:hAnsi="Aptos"/>
              </w:rPr>
              <w:t>Note</w:t>
            </w:r>
          </w:p>
        </w:tc>
      </w:tr>
      <w:tr w:rsidR="00DD6272" w:rsidRPr="003A6336" w14:paraId="2C8C3469" w14:textId="77777777" w:rsidTr="009B4355">
        <w:tc>
          <w:tcPr>
            <w:tcW w:w="0" w:type="auto"/>
          </w:tcPr>
          <w:p w14:paraId="78B8BF49" w14:textId="77777777" w:rsidR="00DD6272" w:rsidRPr="003A6336" w:rsidRDefault="00DD6272" w:rsidP="009B4355">
            <w:pPr>
              <w:rPr>
                <w:rFonts w:ascii="Aptos" w:hAnsi="Aptos"/>
              </w:rPr>
            </w:pPr>
            <w:r w:rsidRPr="003A6336">
              <w:rPr>
                <w:rFonts w:ascii="Aptos" w:hAnsi="Aptos"/>
              </w:rPr>
              <w:t>Party count: 127</w:t>
            </w:r>
          </w:p>
        </w:tc>
        <w:tc>
          <w:tcPr>
            <w:tcW w:w="0" w:type="auto"/>
          </w:tcPr>
          <w:p w14:paraId="628F3FB7" w14:textId="77777777" w:rsidR="00DD6272" w:rsidRPr="003A6336" w:rsidRDefault="00DD6272" w:rsidP="009B4355">
            <w:pPr>
              <w:rPr>
                <w:rFonts w:ascii="Aptos" w:hAnsi="Aptos"/>
              </w:rPr>
            </w:pPr>
            <w:r>
              <w:rPr>
                <w:rFonts w:ascii="Aptos" w:hAnsi="Aptos"/>
              </w:rPr>
              <w:t>Nombre de Parties : 127</w:t>
            </w:r>
          </w:p>
        </w:tc>
      </w:tr>
      <w:tr w:rsidR="00DD6272" w:rsidRPr="003A6336" w14:paraId="03E67837" w14:textId="77777777" w:rsidTr="009B4355">
        <w:tc>
          <w:tcPr>
            <w:tcW w:w="0" w:type="auto"/>
          </w:tcPr>
          <w:p w14:paraId="19C36D53" w14:textId="77777777" w:rsidR="00DD6272" w:rsidRPr="003A6336" w:rsidRDefault="00DD6272" w:rsidP="009B4355">
            <w:pPr>
              <w:rPr>
                <w:rFonts w:ascii="Aptos" w:hAnsi="Aptos"/>
              </w:rPr>
            </w:pPr>
            <w:r w:rsidRPr="003A6336">
              <w:rPr>
                <w:rFonts w:ascii="Aptos" w:hAnsi="Aptos"/>
              </w:rPr>
              <w:t>Region</w:t>
            </w:r>
          </w:p>
        </w:tc>
        <w:tc>
          <w:tcPr>
            <w:tcW w:w="0" w:type="auto"/>
          </w:tcPr>
          <w:p w14:paraId="7945C012" w14:textId="77777777" w:rsidR="00DD6272" w:rsidRPr="003A6336" w:rsidRDefault="00DD6272" w:rsidP="009B4355">
            <w:pPr>
              <w:rPr>
                <w:rFonts w:ascii="Aptos" w:hAnsi="Aptos"/>
              </w:rPr>
            </w:pPr>
            <w:r w:rsidRPr="006F7AF8">
              <w:rPr>
                <w:rFonts w:ascii="Aptos" w:hAnsi="Aptos"/>
                <w:lang w:val="fr-FR"/>
              </w:rPr>
              <w:t>Région</w:t>
            </w:r>
          </w:p>
        </w:tc>
      </w:tr>
      <w:tr w:rsidR="00DD6272" w:rsidRPr="003A6336" w14:paraId="5EAEC81D" w14:textId="77777777" w:rsidTr="009B4355">
        <w:tc>
          <w:tcPr>
            <w:tcW w:w="0" w:type="auto"/>
          </w:tcPr>
          <w:p w14:paraId="3B9E8B41" w14:textId="77777777" w:rsidR="00DD6272" w:rsidRPr="003A6336" w:rsidRDefault="00DD6272" w:rsidP="009B4355">
            <w:pPr>
              <w:rPr>
                <w:rFonts w:ascii="Aptos" w:hAnsi="Aptos"/>
              </w:rPr>
            </w:pPr>
            <w:r w:rsidRPr="6D03A27B">
              <w:rPr>
                <w:rFonts w:ascii="Aptos" w:hAnsi="Aptos"/>
              </w:rPr>
              <w:t>African States</w:t>
            </w:r>
          </w:p>
        </w:tc>
        <w:tc>
          <w:tcPr>
            <w:tcW w:w="0" w:type="auto"/>
          </w:tcPr>
          <w:p w14:paraId="4C511C12"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DD6272" w:rsidRPr="003A6336" w14:paraId="682F6826" w14:textId="77777777" w:rsidTr="009B4355">
        <w:tc>
          <w:tcPr>
            <w:tcW w:w="0" w:type="auto"/>
          </w:tcPr>
          <w:p w14:paraId="723FD7C0" w14:textId="77777777" w:rsidR="00DD6272" w:rsidRPr="003A6336" w:rsidRDefault="00DD6272" w:rsidP="009B4355">
            <w:pPr>
              <w:rPr>
                <w:rFonts w:ascii="Aptos" w:hAnsi="Aptos"/>
              </w:rPr>
            </w:pPr>
            <w:r w:rsidRPr="6D03A27B">
              <w:rPr>
                <w:rFonts w:ascii="Aptos" w:hAnsi="Aptos"/>
              </w:rPr>
              <w:t>Asia-Pacific States</w:t>
            </w:r>
          </w:p>
        </w:tc>
        <w:tc>
          <w:tcPr>
            <w:tcW w:w="0" w:type="auto"/>
          </w:tcPr>
          <w:p w14:paraId="1644CB13"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DD6272" w:rsidRPr="003A6336" w14:paraId="7168CA6E" w14:textId="77777777" w:rsidTr="009B4355">
        <w:tc>
          <w:tcPr>
            <w:tcW w:w="0" w:type="auto"/>
          </w:tcPr>
          <w:p w14:paraId="7DBB683F" w14:textId="77777777" w:rsidR="00DD6272" w:rsidRPr="003A6336" w:rsidRDefault="00DD6272" w:rsidP="009B4355">
            <w:pPr>
              <w:rPr>
                <w:rFonts w:ascii="Aptos" w:hAnsi="Aptos"/>
              </w:rPr>
            </w:pPr>
            <w:r w:rsidRPr="6D03A27B">
              <w:rPr>
                <w:rFonts w:ascii="Aptos" w:hAnsi="Aptos"/>
              </w:rPr>
              <w:t>Latin American and Caribbean States</w:t>
            </w:r>
          </w:p>
        </w:tc>
        <w:tc>
          <w:tcPr>
            <w:tcW w:w="0" w:type="auto"/>
          </w:tcPr>
          <w:p w14:paraId="199B2F0D"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DD6272" w:rsidRPr="003A6336" w14:paraId="5D81C03B" w14:textId="77777777" w:rsidTr="009B4355">
        <w:tc>
          <w:tcPr>
            <w:tcW w:w="0" w:type="auto"/>
          </w:tcPr>
          <w:p w14:paraId="5C2ACD74" w14:textId="77777777" w:rsidR="00DD6272" w:rsidRPr="003A6336" w:rsidRDefault="00DD6272" w:rsidP="009B4355">
            <w:pPr>
              <w:rPr>
                <w:rFonts w:ascii="Aptos" w:hAnsi="Aptos"/>
              </w:rPr>
            </w:pPr>
            <w:r w:rsidRPr="6D03A27B">
              <w:rPr>
                <w:rFonts w:ascii="Aptos" w:hAnsi="Aptos"/>
              </w:rPr>
              <w:t>Eastern European States</w:t>
            </w:r>
          </w:p>
        </w:tc>
        <w:tc>
          <w:tcPr>
            <w:tcW w:w="0" w:type="auto"/>
          </w:tcPr>
          <w:p w14:paraId="7118BFC4"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DD6272" w:rsidRPr="003A6336" w14:paraId="22370589" w14:textId="77777777" w:rsidTr="009B4355">
        <w:tc>
          <w:tcPr>
            <w:tcW w:w="0" w:type="auto"/>
          </w:tcPr>
          <w:p w14:paraId="55B8855A" w14:textId="77777777" w:rsidR="00DD6272" w:rsidRPr="003A6336" w:rsidRDefault="00DD6272" w:rsidP="009B4355">
            <w:pPr>
              <w:rPr>
                <w:rFonts w:ascii="Aptos" w:hAnsi="Aptos"/>
              </w:rPr>
            </w:pPr>
            <w:r w:rsidRPr="6D03A27B">
              <w:rPr>
                <w:rFonts w:ascii="Aptos" w:hAnsi="Aptos"/>
              </w:rPr>
              <w:t>Western European and Other States</w:t>
            </w:r>
          </w:p>
        </w:tc>
        <w:tc>
          <w:tcPr>
            <w:tcW w:w="0" w:type="auto"/>
          </w:tcPr>
          <w:p w14:paraId="22E0B972"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454DDBE1" w14:textId="77777777" w:rsidR="00B32FCB" w:rsidRPr="00653BF4" w:rsidRDefault="00B32FCB" w:rsidP="00B32FCB">
      <w:pPr>
        <w:rPr>
          <w:lang w:val="fr-FR" w:eastAsia="ja-JP"/>
        </w:rPr>
      </w:pPr>
    </w:p>
    <w:p w14:paraId="14821EC1" w14:textId="6C5D87D6" w:rsidR="00AF630E" w:rsidRPr="00653BF4" w:rsidRDefault="00AF630E" w:rsidP="00AF630E">
      <w:pPr>
        <w:pStyle w:val="Caption"/>
        <w:rPr>
          <w:i w:val="0"/>
          <w:iCs w:val="0"/>
          <w:sz w:val="20"/>
          <w:szCs w:val="20"/>
          <w:lang w:val="fr-FR"/>
        </w:rPr>
      </w:pPr>
      <w:r w:rsidRPr="00653BF4">
        <w:rPr>
          <w:i w:val="0"/>
          <w:iCs w:val="0"/>
          <w:sz w:val="20"/>
          <w:szCs w:val="20"/>
          <w:lang w:val="fr-FR"/>
        </w:rPr>
        <w:t xml:space="preserve">Figure </w:t>
      </w:r>
      <w:r w:rsidRPr="00653BF4">
        <w:rPr>
          <w:i w:val="0"/>
          <w:iCs w:val="0"/>
          <w:noProof/>
          <w:sz w:val="20"/>
          <w:szCs w:val="20"/>
          <w:lang w:val="fr-FR"/>
        </w:rPr>
        <w:t>30</w:t>
      </w:r>
    </w:p>
    <w:p w14:paraId="5EE2A0F0" w14:textId="35ECB39F" w:rsidR="00AF630E" w:rsidRPr="00653BF4" w:rsidRDefault="005F553B" w:rsidP="00AF630E">
      <w:pPr>
        <w:pStyle w:val="Caption"/>
        <w:rPr>
          <w:rFonts w:ascii="Aptos" w:hAnsi="Aptos"/>
          <w:b/>
          <w:bCs/>
          <w:i w:val="0"/>
          <w:iCs w:val="0"/>
          <w:sz w:val="20"/>
          <w:szCs w:val="20"/>
          <w:lang w:val="fr-FR"/>
        </w:rPr>
      </w:pPr>
      <w:r w:rsidRPr="00653BF4">
        <w:rPr>
          <w:rFonts w:ascii="Aptos" w:hAnsi="Aptos"/>
          <w:b/>
          <w:bCs/>
          <w:i w:val="0"/>
          <w:iCs w:val="0"/>
          <w:sz w:val="20"/>
          <w:szCs w:val="20"/>
          <w:lang w:val="fr-FR"/>
        </w:rPr>
        <w:t xml:space="preserve">Pourcentage d’indicateurs alignés sur la </w:t>
      </w:r>
      <w:r w:rsidR="00E34DC9">
        <w:rPr>
          <w:rFonts w:ascii="Aptos" w:hAnsi="Aptos"/>
          <w:b/>
          <w:bCs/>
          <w:i w:val="0"/>
          <w:iCs w:val="0"/>
          <w:sz w:val="20"/>
          <w:szCs w:val="20"/>
          <w:lang w:val="fr-FR"/>
        </w:rPr>
        <w:t>cible 6</w:t>
      </w:r>
      <w:r w:rsidRPr="00653BF4">
        <w:rPr>
          <w:rFonts w:ascii="Aptos" w:hAnsi="Aptos"/>
          <w:b/>
          <w:bCs/>
          <w:i w:val="0"/>
          <w:iCs w:val="0"/>
          <w:sz w:val="20"/>
          <w:szCs w:val="20"/>
          <w:lang w:val="fr-FR"/>
        </w:rPr>
        <w:t xml:space="preserve"> du Cadre, selon qu’ils indiquent une tendance positive, stable ou négative</w:t>
      </w:r>
    </w:p>
    <w:p w14:paraId="4AEAD535" w14:textId="70BF24BE" w:rsidR="00E61F26" w:rsidRPr="00653BF4" w:rsidRDefault="00BE57E9" w:rsidP="005463F7">
      <w:pPr>
        <w:pStyle w:val="Caption"/>
        <w:rPr>
          <w:rFonts w:ascii="Aptos" w:hAnsi="Aptos"/>
          <w:i w:val="0"/>
          <w:lang w:val="fr-FR"/>
        </w:rPr>
      </w:pPr>
      <w:bookmarkStart w:id="148" w:name="_Ref231153832"/>
      <w:r w:rsidRPr="00653BF4">
        <w:rPr>
          <w:noProof/>
          <w:lang w:val="fr-FR"/>
          <w14:ligatures w14:val="standardContextual"/>
        </w:rPr>
        <w:lastRenderedPageBreak/>
        <w:drawing>
          <wp:inline distT="0" distB="0" distL="0" distR="0" wp14:anchorId="35D3E1A5" wp14:editId="302AC262">
            <wp:extent cx="5731510" cy="2456180"/>
            <wp:effectExtent l="0" t="0" r="0" b="0"/>
            <wp:docPr id="17423750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75090" name="Picture 1742375090"/>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148"/>
    <w:p w14:paraId="28639DD2" w14:textId="0AD14464" w:rsidR="004B1E88" w:rsidRPr="00653BF4" w:rsidRDefault="006A631C" w:rsidP="004B1E88">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004B1E88" w:rsidRPr="00653BF4">
        <w:rPr>
          <w:rFonts w:ascii="Aptos" w:hAnsi="Aptos"/>
          <w:i w:val="0"/>
          <w:iCs w:val="0"/>
          <w:lang w:val="fr-FR"/>
        </w:rPr>
        <w:t xml:space="preserve"> </w:t>
      </w:r>
      <w:r w:rsidR="00894CCC" w:rsidRPr="00653BF4">
        <w:rPr>
          <w:i w:val="0"/>
          <w:iCs w:val="0"/>
          <w:lang w:val="fr-FR"/>
        </w:rPr>
        <w:t>Les proportions sont pondérées par Partie.</w:t>
      </w:r>
      <w:r w:rsidR="004B1E88" w:rsidRPr="00653BF4">
        <w:rPr>
          <w:i w:val="0"/>
          <w:iCs w:val="0"/>
          <w:lang w:val="fr-FR"/>
        </w:rPr>
        <w:t xml:space="preserve"> </w:t>
      </w:r>
      <w:r w:rsidR="00CA041F" w:rsidRPr="00653BF4">
        <w:rPr>
          <w:i w:val="0"/>
          <w:iCs w:val="0"/>
          <w:lang w:val="fr-FR"/>
        </w:rPr>
        <w:t xml:space="preserve">Les tendances incluent des données relatives à un indicateur phare provenant de </w:t>
      </w:r>
      <w:r w:rsidR="004B1E88" w:rsidRPr="00653BF4">
        <w:rPr>
          <w:i w:val="0"/>
          <w:iCs w:val="0"/>
          <w:lang w:val="fr-FR"/>
        </w:rPr>
        <w:t>21</w:t>
      </w:r>
      <w:r w:rsidR="004B1E88" w:rsidRPr="00653BF4">
        <w:rPr>
          <w:rFonts w:ascii="Arial" w:hAnsi="Arial" w:cs="Arial"/>
          <w:i w:val="0"/>
          <w:iCs w:val="0"/>
          <w:lang w:val="fr-FR"/>
        </w:rPr>
        <w:t> </w:t>
      </w:r>
      <w:r w:rsidR="004B1E88" w:rsidRPr="00653BF4">
        <w:rPr>
          <w:i w:val="0"/>
          <w:iCs w:val="0"/>
          <w:lang w:val="fr-FR"/>
        </w:rPr>
        <w:t xml:space="preserve">Parties </w:t>
      </w:r>
      <w:r w:rsidR="00CA041F" w:rsidRPr="00653BF4">
        <w:rPr>
          <w:i w:val="0"/>
          <w:iCs w:val="0"/>
          <w:lang w:val="fr-FR"/>
        </w:rPr>
        <w:t>et</w:t>
      </w:r>
      <w:r w:rsidR="004B1E88" w:rsidRPr="00653BF4">
        <w:rPr>
          <w:i w:val="0"/>
          <w:iCs w:val="0"/>
          <w:lang w:val="fr-FR"/>
        </w:rPr>
        <w:t xml:space="preserve"> </w:t>
      </w:r>
      <w:r w:rsidR="00CA041F" w:rsidRPr="00653BF4">
        <w:rPr>
          <w:i w:val="0"/>
          <w:iCs w:val="0"/>
          <w:lang w:val="fr-FR"/>
        </w:rPr>
        <w:t xml:space="preserve">des </w:t>
      </w:r>
      <w:r w:rsidR="004B1E88" w:rsidRPr="00653BF4">
        <w:rPr>
          <w:i w:val="0"/>
          <w:iCs w:val="0"/>
          <w:lang w:val="fr-FR"/>
        </w:rPr>
        <w:t>indicat</w:t>
      </w:r>
      <w:r w:rsidR="00CA041F" w:rsidRPr="00653BF4">
        <w:rPr>
          <w:i w:val="0"/>
          <w:iCs w:val="0"/>
          <w:lang w:val="fr-FR"/>
        </w:rPr>
        <w:t>eurs de 17 Parties au total</w:t>
      </w:r>
      <w:r w:rsidR="004B1E88" w:rsidRPr="00653BF4">
        <w:rPr>
          <w:i w:val="0"/>
          <w:iCs w:val="0"/>
          <w:lang w:val="fr-FR"/>
        </w:rPr>
        <w:t xml:space="preserve">. </w:t>
      </w:r>
      <w:r w:rsidR="00CD3C39" w:rsidRPr="00653BF4">
        <w:rPr>
          <w:i w:val="0"/>
          <w:iCs w:val="0"/>
          <w:lang w:val="fr-FR"/>
        </w:rPr>
        <w:t xml:space="preserve">Le diagramme circulaire présente la répartition, par région, des Parties ayant communiqué des indicateurs pour la </w:t>
      </w:r>
      <w:r w:rsidR="00E34DC9">
        <w:rPr>
          <w:i w:val="0"/>
          <w:iCs w:val="0"/>
          <w:lang w:val="fr-FR"/>
        </w:rPr>
        <w:t>cible 6</w:t>
      </w:r>
      <w:r w:rsidR="004B1E88" w:rsidRPr="00653BF4">
        <w:rPr>
          <w:i w:val="0"/>
          <w:iCs w:val="0"/>
          <w:lang w:val="fr-FR"/>
        </w:rPr>
        <w:t xml:space="preserve">. </w:t>
      </w:r>
      <w:r w:rsidR="006E483A" w:rsidRPr="00653BF4">
        <w:rPr>
          <w:i w:val="0"/>
          <w:iCs w:val="0"/>
          <w:lang w:val="fr-FR"/>
        </w:rPr>
        <w:t>La couleur de chaque région est indiquée dans la légende de la figure</w:t>
      </w:r>
      <w:r w:rsidR="00E34DC9">
        <w:rPr>
          <w:i w:val="0"/>
          <w:iCs w:val="0"/>
          <w:lang w:val="fr-FR"/>
        </w:rPr>
        <w:t> :</w:t>
      </w:r>
      <w:r w:rsidR="006E483A" w:rsidRPr="00653BF4">
        <w:rPr>
          <w:i w:val="0"/>
          <w:iCs w:val="0"/>
          <w:lang w:val="fr-FR"/>
        </w:rPr>
        <w:t xml:space="preserve"> les tons plus foncés représentent la proportion de Parties de chaque région dont les données figurent dans le graph</w:t>
      </w:r>
      <w:r w:rsidR="006E483A" w:rsidRPr="00653BF4">
        <w:rPr>
          <w:rFonts w:ascii="Aptos" w:hAnsi="Aptos"/>
          <w:i w:val="0"/>
          <w:iCs w:val="0"/>
          <w:lang w:val="fr-FR"/>
        </w:rPr>
        <w:t>ique</w:t>
      </w:r>
      <w:r w:rsidR="00E34DC9">
        <w:rPr>
          <w:rFonts w:ascii="Aptos" w:hAnsi="Aptos"/>
          <w:i w:val="0"/>
          <w:iCs w:val="0"/>
          <w:lang w:val="fr-FR"/>
        </w:rPr>
        <w:t> ;</w:t>
      </w:r>
      <w:r w:rsidR="006E483A" w:rsidRPr="00653BF4">
        <w:rPr>
          <w:rFonts w:ascii="Aptos" w:hAnsi="Aptos"/>
          <w:i w:val="0"/>
          <w:iCs w:val="0"/>
          <w:lang w:val="fr-FR"/>
        </w:rPr>
        <w:t xml:space="preserve"> les tons plus clairs, la proportion de Parties de la même région dont les données n’y figurent pas.</w:t>
      </w:r>
    </w:p>
    <w:tbl>
      <w:tblPr>
        <w:tblStyle w:val="TableGrid"/>
        <w:tblW w:w="8874" w:type="dxa"/>
        <w:tblLook w:val="04A0" w:firstRow="1" w:lastRow="0" w:firstColumn="1" w:lastColumn="0" w:noHBand="0" w:noVBand="1"/>
      </w:tblPr>
      <w:tblGrid>
        <w:gridCol w:w="4188"/>
        <w:gridCol w:w="4673"/>
        <w:gridCol w:w="13"/>
      </w:tblGrid>
      <w:tr w:rsidR="00DD6272" w:rsidRPr="003A6336" w14:paraId="61157C36" w14:textId="77777777" w:rsidTr="009B4355">
        <w:tc>
          <w:tcPr>
            <w:tcW w:w="8874" w:type="dxa"/>
            <w:gridSpan w:val="3"/>
          </w:tcPr>
          <w:p w14:paraId="1341DF05" w14:textId="77777777" w:rsidR="00DD6272" w:rsidRPr="00C75512" w:rsidRDefault="00DD6272" w:rsidP="009B4355">
            <w:pPr>
              <w:rPr>
                <w:rFonts w:ascii="Aptos" w:hAnsi="Aptos"/>
              </w:rPr>
            </w:pPr>
            <w:r w:rsidRPr="00C75512">
              <w:rPr>
                <w:rFonts w:ascii="Aptos" w:hAnsi="Aptos"/>
              </w:rPr>
              <w:t>Figure 30</w:t>
            </w:r>
          </w:p>
        </w:tc>
      </w:tr>
      <w:tr w:rsidR="00DD6272" w:rsidRPr="003A6336" w14:paraId="0860E316" w14:textId="77777777" w:rsidTr="009B4355">
        <w:trPr>
          <w:gridAfter w:val="1"/>
          <w:wAfter w:w="13" w:type="dxa"/>
        </w:trPr>
        <w:tc>
          <w:tcPr>
            <w:tcW w:w="4188" w:type="dxa"/>
          </w:tcPr>
          <w:p w14:paraId="104B02B4" w14:textId="77777777" w:rsidR="00DD6272" w:rsidRPr="00C75512" w:rsidRDefault="00DD6272" w:rsidP="009B4355">
            <w:pPr>
              <w:rPr>
                <w:rFonts w:ascii="Aptos" w:hAnsi="Aptos"/>
              </w:rPr>
            </w:pPr>
            <w:r w:rsidRPr="00C75512">
              <w:rPr>
                <w:rFonts w:ascii="Aptos" w:hAnsi="Aptos"/>
              </w:rPr>
              <w:t xml:space="preserve">English </w:t>
            </w:r>
          </w:p>
        </w:tc>
        <w:tc>
          <w:tcPr>
            <w:tcW w:w="4673" w:type="dxa"/>
          </w:tcPr>
          <w:p w14:paraId="28B37A20" w14:textId="77777777" w:rsidR="00DD6272" w:rsidRPr="00C75512" w:rsidRDefault="00DD6272" w:rsidP="009B4355">
            <w:pPr>
              <w:rPr>
                <w:rFonts w:ascii="Aptos" w:hAnsi="Aptos"/>
              </w:rPr>
            </w:pPr>
            <w:r>
              <w:rPr>
                <w:rFonts w:ascii="Aptos" w:hAnsi="Aptos"/>
              </w:rPr>
              <w:t>Français</w:t>
            </w:r>
          </w:p>
        </w:tc>
      </w:tr>
      <w:tr w:rsidR="00DD6272" w:rsidRPr="003A6336" w14:paraId="4B66D1C6" w14:textId="77777777" w:rsidTr="009B4355">
        <w:trPr>
          <w:gridAfter w:val="1"/>
          <w:wAfter w:w="13" w:type="dxa"/>
        </w:trPr>
        <w:tc>
          <w:tcPr>
            <w:tcW w:w="4188" w:type="dxa"/>
          </w:tcPr>
          <w:p w14:paraId="07F48515" w14:textId="77777777" w:rsidR="00DD6272" w:rsidRPr="003A6336" w:rsidRDefault="00DD6272" w:rsidP="009B4355">
            <w:pPr>
              <w:rPr>
                <w:rFonts w:ascii="Aptos" w:hAnsi="Aptos"/>
              </w:rPr>
            </w:pPr>
            <w:r w:rsidRPr="003A6336">
              <w:rPr>
                <w:rFonts w:ascii="Aptos" w:hAnsi="Aptos"/>
              </w:rPr>
              <w:t>Proportion</w:t>
            </w:r>
          </w:p>
        </w:tc>
        <w:tc>
          <w:tcPr>
            <w:tcW w:w="4673" w:type="dxa"/>
          </w:tcPr>
          <w:p w14:paraId="4AA2320C" w14:textId="77777777" w:rsidR="00DD6272" w:rsidRPr="003A6336" w:rsidRDefault="00DD6272" w:rsidP="009B4355">
            <w:pPr>
              <w:rPr>
                <w:rFonts w:ascii="Aptos" w:hAnsi="Aptos"/>
              </w:rPr>
            </w:pPr>
            <w:r w:rsidRPr="006F7AF8">
              <w:rPr>
                <w:rFonts w:ascii="Aptos" w:hAnsi="Aptos"/>
                <w:lang w:val="fr-FR"/>
              </w:rPr>
              <w:t>Proportion</w:t>
            </w:r>
          </w:p>
        </w:tc>
      </w:tr>
      <w:tr w:rsidR="00DD6272" w:rsidRPr="003A6336" w14:paraId="6522B8DA" w14:textId="77777777" w:rsidTr="009B4355">
        <w:trPr>
          <w:gridAfter w:val="1"/>
          <w:wAfter w:w="13" w:type="dxa"/>
        </w:trPr>
        <w:tc>
          <w:tcPr>
            <w:tcW w:w="4188" w:type="dxa"/>
          </w:tcPr>
          <w:p w14:paraId="428A637C" w14:textId="77777777" w:rsidR="00DD6272" w:rsidRPr="003A6336" w:rsidRDefault="00DD6272" w:rsidP="009B4355">
            <w:pPr>
              <w:rPr>
                <w:rFonts w:ascii="Aptos" w:hAnsi="Aptos"/>
              </w:rPr>
            </w:pPr>
            <w:r w:rsidRPr="003A6336">
              <w:rPr>
                <w:rFonts w:ascii="Aptos" w:hAnsi="Aptos"/>
              </w:rPr>
              <w:t>Current Status</w:t>
            </w:r>
          </w:p>
        </w:tc>
        <w:tc>
          <w:tcPr>
            <w:tcW w:w="4673" w:type="dxa"/>
          </w:tcPr>
          <w:p w14:paraId="52175B9F" w14:textId="77777777" w:rsidR="00DD6272" w:rsidRPr="003A6336" w:rsidRDefault="00DD6272" w:rsidP="009B4355">
            <w:pPr>
              <w:rPr>
                <w:rFonts w:ascii="Aptos" w:hAnsi="Aptos"/>
              </w:rPr>
            </w:pPr>
            <w:r w:rsidRPr="006F7AF8">
              <w:rPr>
                <w:rFonts w:ascii="Aptos" w:hAnsi="Aptos"/>
                <w:lang w:val="fr-FR"/>
              </w:rPr>
              <w:t>État actuel</w:t>
            </w:r>
          </w:p>
        </w:tc>
      </w:tr>
      <w:tr w:rsidR="00DD6272" w:rsidRPr="003A6336" w14:paraId="79399078" w14:textId="77777777" w:rsidTr="009B4355">
        <w:trPr>
          <w:gridAfter w:val="1"/>
          <w:wAfter w:w="13" w:type="dxa"/>
        </w:trPr>
        <w:tc>
          <w:tcPr>
            <w:tcW w:w="4188" w:type="dxa"/>
          </w:tcPr>
          <w:p w14:paraId="001A7816" w14:textId="77777777" w:rsidR="00DD6272" w:rsidRPr="003A6336" w:rsidRDefault="00DD6272" w:rsidP="009B4355">
            <w:pPr>
              <w:rPr>
                <w:rFonts w:ascii="Aptos" w:hAnsi="Aptos"/>
              </w:rPr>
            </w:pPr>
            <w:r w:rsidRPr="003A6336">
              <w:rPr>
                <w:rFonts w:ascii="Aptos" w:hAnsi="Aptos"/>
              </w:rPr>
              <w:t>improving</w:t>
            </w:r>
          </w:p>
        </w:tc>
        <w:tc>
          <w:tcPr>
            <w:tcW w:w="4673" w:type="dxa"/>
          </w:tcPr>
          <w:p w14:paraId="127DA542" w14:textId="77777777" w:rsidR="00DD6272" w:rsidRPr="003A6336" w:rsidRDefault="00DD6272" w:rsidP="009B4355">
            <w:pPr>
              <w:rPr>
                <w:rFonts w:ascii="Aptos" w:hAnsi="Aptos"/>
              </w:rPr>
            </w:pPr>
            <w:r>
              <w:rPr>
                <w:rFonts w:ascii="Aptos" w:hAnsi="Aptos"/>
                <w:lang w:val="fr-FR"/>
              </w:rPr>
              <w:t>amélioration</w:t>
            </w:r>
          </w:p>
        </w:tc>
      </w:tr>
      <w:tr w:rsidR="00DD6272" w:rsidRPr="003A6336" w14:paraId="08A79411" w14:textId="77777777" w:rsidTr="009B4355">
        <w:trPr>
          <w:gridAfter w:val="1"/>
          <w:wAfter w:w="13" w:type="dxa"/>
        </w:trPr>
        <w:tc>
          <w:tcPr>
            <w:tcW w:w="4188" w:type="dxa"/>
          </w:tcPr>
          <w:p w14:paraId="30683C58" w14:textId="77777777" w:rsidR="00DD6272" w:rsidRPr="003A6336" w:rsidRDefault="00DD6272" w:rsidP="009B4355">
            <w:pPr>
              <w:rPr>
                <w:rFonts w:ascii="Aptos" w:hAnsi="Aptos"/>
              </w:rPr>
            </w:pPr>
            <w:r w:rsidRPr="003A6336">
              <w:rPr>
                <w:rFonts w:ascii="Aptos" w:hAnsi="Aptos"/>
              </w:rPr>
              <w:t>stable</w:t>
            </w:r>
          </w:p>
        </w:tc>
        <w:tc>
          <w:tcPr>
            <w:tcW w:w="4673" w:type="dxa"/>
          </w:tcPr>
          <w:p w14:paraId="29DFC57A" w14:textId="77777777" w:rsidR="00DD6272" w:rsidRPr="003A6336" w:rsidRDefault="00DD6272" w:rsidP="009B4355">
            <w:pPr>
              <w:rPr>
                <w:rFonts w:ascii="Aptos" w:hAnsi="Aptos"/>
              </w:rPr>
            </w:pPr>
            <w:r>
              <w:rPr>
                <w:rFonts w:ascii="Aptos" w:hAnsi="Aptos"/>
                <w:lang w:val="fr-FR"/>
              </w:rPr>
              <w:t>s</w:t>
            </w:r>
            <w:r w:rsidRPr="006F7AF8">
              <w:rPr>
                <w:rFonts w:ascii="Aptos" w:hAnsi="Aptos"/>
                <w:lang w:val="fr-FR"/>
              </w:rPr>
              <w:t>tab</w:t>
            </w:r>
            <w:r>
              <w:rPr>
                <w:rFonts w:ascii="Aptos" w:hAnsi="Aptos"/>
                <w:lang w:val="fr-FR"/>
              </w:rPr>
              <w:t>ilité</w:t>
            </w:r>
          </w:p>
        </w:tc>
      </w:tr>
      <w:tr w:rsidR="00DD6272" w:rsidRPr="003A6336" w14:paraId="4380BF41" w14:textId="77777777" w:rsidTr="009B4355">
        <w:trPr>
          <w:gridAfter w:val="1"/>
          <w:wAfter w:w="13" w:type="dxa"/>
        </w:trPr>
        <w:tc>
          <w:tcPr>
            <w:tcW w:w="4188" w:type="dxa"/>
          </w:tcPr>
          <w:p w14:paraId="1FE8133D" w14:textId="77777777" w:rsidR="00DD6272" w:rsidRPr="003A6336" w:rsidRDefault="00DD6272" w:rsidP="009B4355">
            <w:pPr>
              <w:rPr>
                <w:rFonts w:ascii="Aptos" w:hAnsi="Aptos"/>
              </w:rPr>
            </w:pPr>
            <w:r w:rsidRPr="003A6336">
              <w:rPr>
                <w:rFonts w:ascii="Aptos" w:hAnsi="Aptos"/>
              </w:rPr>
              <w:t>moving away</w:t>
            </w:r>
          </w:p>
        </w:tc>
        <w:tc>
          <w:tcPr>
            <w:tcW w:w="4673" w:type="dxa"/>
          </w:tcPr>
          <w:p w14:paraId="2536D471" w14:textId="77777777" w:rsidR="00DD6272" w:rsidRPr="003A6336" w:rsidRDefault="00DD6272" w:rsidP="009B4355">
            <w:pPr>
              <w:rPr>
                <w:rFonts w:ascii="Aptos" w:hAnsi="Aptos"/>
              </w:rPr>
            </w:pPr>
            <w:r>
              <w:rPr>
                <w:rFonts w:ascii="Aptos" w:hAnsi="Aptos"/>
                <w:lang w:val="fr-FR"/>
              </w:rPr>
              <w:t>éloignement</w:t>
            </w:r>
          </w:p>
        </w:tc>
      </w:tr>
      <w:tr w:rsidR="00DD6272" w:rsidRPr="003A6336" w14:paraId="7F6E5725" w14:textId="77777777" w:rsidTr="009B4355">
        <w:trPr>
          <w:gridAfter w:val="1"/>
          <w:wAfter w:w="13" w:type="dxa"/>
        </w:trPr>
        <w:tc>
          <w:tcPr>
            <w:tcW w:w="4188" w:type="dxa"/>
          </w:tcPr>
          <w:p w14:paraId="3D35F00A" w14:textId="77777777" w:rsidR="00DD6272" w:rsidRPr="003A6336" w:rsidRDefault="00DD6272" w:rsidP="009B4355">
            <w:pPr>
              <w:rPr>
                <w:rFonts w:ascii="Aptos" w:hAnsi="Aptos"/>
              </w:rPr>
            </w:pPr>
            <w:r w:rsidRPr="003A6336">
              <w:rPr>
                <w:rFonts w:ascii="Aptos" w:hAnsi="Aptos"/>
              </w:rPr>
              <w:t>Party count: 35</w:t>
            </w:r>
          </w:p>
        </w:tc>
        <w:tc>
          <w:tcPr>
            <w:tcW w:w="4673" w:type="dxa"/>
          </w:tcPr>
          <w:p w14:paraId="594677CA" w14:textId="77777777" w:rsidR="00DD6272" w:rsidRPr="003A6336" w:rsidRDefault="00DD6272" w:rsidP="009B4355">
            <w:pPr>
              <w:rPr>
                <w:rFonts w:ascii="Aptos" w:hAnsi="Aptos"/>
              </w:rPr>
            </w:pPr>
            <w:r w:rsidRPr="006F7AF8">
              <w:rPr>
                <w:rFonts w:ascii="Aptos" w:hAnsi="Aptos"/>
                <w:lang w:val="fr-FR"/>
              </w:rPr>
              <w:t xml:space="preserve">Nombre de Parties : </w:t>
            </w:r>
            <w:r>
              <w:rPr>
                <w:rFonts w:ascii="Aptos" w:hAnsi="Aptos"/>
                <w:lang w:val="fr-FR"/>
              </w:rPr>
              <w:t>35</w:t>
            </w:r>
          </w:p>
        </w:tc>
      </w:tr>
      <w:tr w:rsidR="00DD6272" w:rsidRPr="003A6336" w14:paraId="0B968E46" w14:textId="77777777" w:rsidTr="009B4355">
        <w:trPr>
          <w:gridAfter w:val="1"/>
          <w:wAfter w:w="13" w:type="dxa"/>
        </w:trPr>
        <w:tc>
          <w:tcPr>
            <w:tcW w:w="4188" w:type="dxa"/>
          </w:tcPr>
          <w:p w14:paraId="471233AE" w14:textId="77777777" w:rsidR="00DD6272" w:rsidRPr="003A6336" w:rsidRDefault="00DD6272" w:rsidP="009B4355">
            <w:pPr>
              <w:rPr>
                <w:rFonts w:ascii="Aptos" w:hAnsi="Aptos"/>
              </w:rPr>
            </w:pPr>
            <w:r w:rsidRPr="003A6336">
              <w:rPr>
                <w:rFonts w:ascii="Aptos" w:hAnsi="Aptos"/>
              </w:rPr>
              <w:t>Region</w:t>
            </w:r>
          </w:p>
        </w:tc>
        <w:tc>
          <w:tcPr>
            <w:tcW w:w="4673" w:type="dxa"/>
          </w:tcPr>
          <w:p w14:paraId="20558330" w14:textId="77777777" w:rsidR="00DD6272" w:rsidRPr="003A6336" w:rsidRDefault="00DD6272" w:rsidP="009B4355">
            <w:pPr>
              <w:rPr>
                <w:rFonts w:ascii="Aptos" w:hAnsi="Aptos"/>
              </w:rPr>
            </w:pPr>
            <w:r w:rsidRPr="006F7AF8">
              <w:rPr>
                <w:rFonts w:ascii="Aptos" w:hAnsi="Aptos"/>
                <w:lang w:val="fr-FR"/>
              </w:rPr>
              <w:t>Région</w:t>
            </w:r>
          </w:p>
        </w:tc>
      </w:tr>
      <w:tr w:rsidR="00DD6272" w:rsidRPr="003A6336" w14:paraId="62D338D9" w14:textId="77777777" w:rsidTr="009B4355">
        <w:trPr>
          <w:gridAfter w:val="1"/>
          <w:wAfter w:w="13" w:type="dxa"/>
        </w:trPr>
        <w:tc>
          <w:tcPr>
            <w:tcW w:w="4188" w:type="dxa"/>
          </w:tcPr>
          <w:p w14:paraId="29DCD1FF" w14:textId="77777777" w:rsidR="00DD6272" w:rsidRPr="003A6336" w:rsidRDefault="00DD6272" w:rsidP="009B4355">
            <w:pPr>
              <w:rPr>
                <w:rFonts w:ascii="Aptos" w:hAnsi="Aptos"/>
              </w:rPr>
            </w:pPr>
            <w:r w:rsidRPr="6D03A27B">
              <w:rPr>
                <w:rFonts w:ascii="Aptos" w:hAnsi="Aptos"/>
              </w:rPr>
              <w:t>African States</w:t>
            </w:r>
          </w:p>
        </w:tc>
        <w:tc>
          <w:tcPr>
            <w:tcW w:w="4673" w:type="dxa"/>
          </w:tcPr>
          <w:p w14:paraId="1770F0D1"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DD6272" w:rsidRPr="003A6336" w14:paraId="35A127F1" w14:textId="77777777" w:rsidTr="009B4355">
        <w:trPr>
          <w:gridAfter w:val="1"/>
          <w:wAfter w:w="13" w:type="dxa"/>
        </w:trPr>
        <w:tc>
          <w:tcPr>
            <w:tcW w:w="4188" w:type="dxa"/>
          </w:tcPr>
          <w:p w14:paraId="5C38BC24" w14:textId="77777777" w:rsidR="00DD6272" w:rsidRPr="003A6336" w:rsidRDefault="00DD6272" w:rsidP="009B4355">
            <w:pPr>
              <w:rPr>
                <w:rFonts w:ascii="Aptos" w:hAnsi="Aptos"/>
              </w:rPr>
            </w:pPr>
            <w:r w:rsidRPr="6D03A27B">
              <w:rPr>
                <w:rFonts w:ascii="Aptos" w:hAnsi="Aptos"/>
              </w:rPr>
              <w:t>Asia-Pacific States</w:t>
            </w:r>
          </w:p>
        </w:tc>
        <w:tc>
          <w:tcPr>
            <w:tcW w:w="4673" w:type="dxa"/>
          </w:tcPr>
          <w:p w14:paraId="07968CB8"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DD6272" w:rsidRPr="003A6336" w14:paraId="5E147669" w14:textId="77777777" w:rsidTr="009B4355">
        <w:trPr>
          <w:gridAfter w:val="1"/>
          <w:wAfter w:w="13" w:type="dxa"/>
        </w:trPr>
        <w:tc>
          <w:tcPr>
            <w:tcW w:w="4188" w:type="dxa"/>
          </w:tcPr>
          <w:p w14:paraId="02860BC4" w14:textId="77777777" w:rsidR="00DD6272" w:rsidRPr="003A6336" w:rsidRDefault="00DD6272" w:rsidP="009B4355">
            <w:pPr>
              <w:rPr>
                <w:rFonts w:ascii="Aptos" w:hAnsi="Aptos"/>
              </w:rPr>
            </w:pPr>
            <w:r w:rsidRPr="6D03A27B">
              <w:rPr>
                <w:rFonts w:ascii="Aptos" w:hAnsi="Aptos"/>
              </w:rPr>
              <w:t>Latin American and Caribbean States</w:t>
            </w:r>
          </w:p>
        </w:tc>
        <w:tc>
          <w:tcPr>
            <w:tcW w:w="4673" w:type="dxa"/>
          </w:tcPr>
          <w:p w14:paraId="6B7E0F0E"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DD6272" w:rsidRPr="003A6336" w14:paraId="4E914A45" w14:textId="77777777" w:rsidTr="009B4355">
        <w:trPr>
          <w:gridAfter w:val="1"/>
          <w:wAfter w:w="13" w:type="dxa"/>
        </w:trPr>
        <w:tc>
          <w:tcPr>
            <w:tcW w:w="4188" w:type="dxa"/>
          </w:tcPr>
          <w:p w14:paraId="520F8152" w14:textId="77777777" w:rsidR="00DD6272" w:rsidRPr="003A6336" w:rsidRDefault="00DD6272" w:rsidP="009B4355">
            <w:pPr>
              <w:rPr>
                <w:rFonts w:ascii="Aptos" w:hAnsi="Aptos"/>
              </w:rPr>
            </w:pPr>
            <w:r w:rsidRPr="6D03A27B">
              <w:rPr>
                <w:rFonts w:ascii="Aptos" w:hAnsi="Aptos"/>
              </w:rPr>
              <w:t>Eastern European States</w:t>
            </w:r>
          </w:p>
        </w:tc>
        <w:tc>
          <w:tcPr>
            <w:tcW w:w="4673" w:type="dxa"/>
          </w:tcPr>
          <w:p w14:paraId="37E10533"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DD6272" w:rsidRPr="003A6336" w14:paraId="5739EAA6" w14:textId="77777777" w:rsidTr="009B4355">
        <w:trPr>
          <w:gridAfter w:val="1"/>
          <w:wAfter w:w="13" w:type="dxa"/>
        </w:trPr>
        <w:tc>
          <w:tcPr>
            <w:tcW w:w="4188" w:type="dxa"/>
          </w:tcPr>
          <w:p w14:paraId="36DB239E" w14:textId="77777777" w:rsidR="00DD6272" w:rsidRPr="003A6336" w:rsidRDefault="00DD6272" w:rsidP="009B4355">
            <w:pPr>
              <w:rPr>
                <w:rFonts w:ascii="Aptos" w:hAnsi="Aptos"/>
              </w:rPr>
            </w:pPr>
            <w:r w:rsidRPr="6D03A27B">
              <w:rPr>
                <w:rFonts w:ascii="Aptos" w:hAnsi="Aptos"/>
              </w:rPr>
              <w:t>Western European and other States</w:t>
            </w:r>
          </w:p>
        </w:tc>
        <w:tc>
          <w:tcPr>
            <w:tcW w:w="4673" w:type="dxa"/>
          </w:tcPr>
          <w:p w14:paraId="0FF2231E"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055C68DF" w14:textId="77777777" w:rsidR="00B70AA4" w:rsidRPr="00653BF4" w:rsidRDefault="00B70AA4" w:rsidP="00B70AA4">
      <w:pPr>
        <w:rPr>
          <w:lang w:val="fr-FR"/>
        </w:rPr>
      </w:pPr>
    </w:p>
    <w:p w14:paraId="452FF001" w14:textId="7C0835B9" w:rsidR="00B70AA4" w:rsidRPr="00653BF4" w:rsidRDefault="00DD19D2" w:rsidP="00377C60">
      <w:pPr>
        <w:pStyle w:val="Heading5"/>
        <w:rPr>
          <w:lang w:val="fr-FR"/>
        </w:rPr>
      </w:pPr>
      <w:r w:rsidRPr="00653BF4">
        <w:rPr>
          <w:lang w:val="fr-FR"/>
        </w:rPr>
        <w:t>Auto-évaluation des progrès</w:t>
      </w:r>
      <w:r w:rsidR="00B11830" w:rsidRPr="00653BF4">
        <w:rPr>
          <w:lang w:val="fr-FR"/>
        </w:rPr>
        <w:t xml:space="preserve"> accomplis</w:t>
      </w:r>
    </w:p>
    <w:p w14:paraId="3E279923" w14:textId="25E2D97D" w:rsidR="00C2078E" w:rsidRPr="00653BF4" w:rsidRDefault="00DD160B" w:rsidP="00C2078E">
      <w:pPr>
        <w:rPr>
          <w:rStyle w:val="eop"/>
          <w:rFonts w:ascii="Aptos" w:hAnsi="Aptos"/>
          <w:lang w:val="fr-FR"/>
        </w:rPr>
      </w:pPr>
      <w:r w:rsidRPr="00653BF4">
        <w:rPr>
          <w:rStyle w:val="normaltextrun"/>
          <w:rFonts w:ascii="Aptos" w:hAnsi="Aptos"/>
          <w:lang w:val="fr-FR"/>
        </w:rPr>
        <w:t>D’après les auto-évaluations des Parties figurant dans leurs rapports nationaux,</w:t>
      </w:r>
      <w:r w:rsidR="00C2078E" w:rsidRPr="00653BF4">
        <w:rPr>
          <w:rStyle w:val="normaltextrun"/>
          <w:rFonts w:ascii="Aptos" w:hAnsi="Aptos"/>
          <w:lang w:val="fr-FR"/>
        </w:rPr>
        <w:t xml:space="preserve"> </w:t>
      </w:r>
      <w:r w:rsidRPr="00653BF4">
        <w:rPr>
          <w:rStyle w:val="normaltextrun"/>
          <w:rFonts w:ascii="Aptos" w:hAnsi="Aptos"/>
          <w:lang w:val="fr-FR"/>
        </w:rPr>
        <w:t xml:space="preserve">moins d’un tiers </w:t>
      </w:r>
      <w:r w:rsidR="00C2078E" w:rsidRPr="00653BF4">
        <w:rPr>
          <w:rStyle w:val="normaltextrun"/>
          <w:rFonts w:ascii="Aptos" w:hAnsi="Aptos"/>
          <w:lang w:val="fr-FR"/>
        </w:rPr>
        <w:t>(3</w:t>
      </w:r>
      <w:r w:rsidRPr="00653BF4">
        <w:rPr>
          <w:rStyle w:val="normaltextrun"/>
          <w:rFonts w:ascii="Aptos" w:hAnsi="Aptos"/>
          <w:lang w:val="fr-FR"/>
        </w:rPr>
        <w:t>1</w:t>
      </w:r>
      <w:r w:rsidR="002878D7">
        <w:rPr>
          <w:rStyle w:val="normaltextrun"/>
          <w:rFonts w:ascii="Aptos" w:hAnsi="Aptos"/>
          <w:lang w:val="fr-FR"/>
        </w:rPr>
        <w:t> %</w:t>
      </w:r>
      <w:r w:rsidR="00C2078E" w:rsidRPr="00653BF4">
        <w:rPr>
          <w:rStyle w:val="normaltextrun"/>
          <w:rFonts w:ascii="Aptos" w:hAnsi="Aptos"/>
          <w:lang w:val="fr-FR"/>
        </w:rPr>
        <w:t xml:space="preserve">) </w:t>
      </w:r>
      <w:r w:rsidR="0068025E" w:rsidRPr="00653BF4">
        <w:rPr>
          <w:rStyle w:val="normaltextrun"/>
          <w:rFonts w:ascii="Aptos" w:hAnsi="Aptos"/>
          <w:lang w:val="fr-FR"/>
        </w:rPr>
        <w:t xml:space="preserve">des cibles nationales qu’elles ont présentées comme étroitement alignées sur la </w:t>
      </w:r>
      <w:r w:rsidR="00E34DC9">
        <w:rPr>
          <w:rStyle w:val="normaltextrun"/>
          <w:rFonts w:ascii="Aptos" w:hAnsi="Aptos"/>
          <w:lang w:val="fr-FR"/>
        </w:rPr>
        <w:t>cible 6</w:t>
      </w:r>
      <w:r w:rsidR="00C2078E" w:rsidRPr="00653BF4">
        <w:rPr>
          <w:rStyle w:val="normaltextrun"/>
          <w:rFonts w:ascii="Aptos" w:hAnsi="Aptos"/>
          <w:lang w:val="fr-FR"/>
        </w:rPr>
        <w:t xml:space="preserve"> </w:t>
      </w:r>
      <w:r w:rsidR="00FF7200" w:rsidRPr="00653BF4">
        <w:rPr>
          <w:rStyle w:val="normaltextrun"/>
          <w:rFonts w:ascii="Aptos" w:hAnsi="Aptos"/>
          <w:lang w:val="fr-FR"/>
        </w:rPr>
        <w:t>sont en voie d’être atteintes,</w:t>
      </w:r>
      <w:r w:rsidR="00C2078E" w:rsidRPr="00653BF4">
        <w:rPr>
          <w:rStyle w:val="normaltextrun"/>
          <w:rFonts w:ascii="Aptos" w:hAnsi="Aptos"/>
          <w:lang w:val="fr-FR"/>
        </w:rPr>
        <w:t xml:space="preserve"> </w:t>
      </w:r>
      <w:r w:rsidR="00FF7200" w:rsidRPr="00653BF4">
        <w:rPr>
          <w:rStyle w:val="normaltextrun"/>
          <w:rFonts w:ascii="Aptos" w:hAnsi="Aptos"/>
          <w:lang w:val="fr-FR"/>
        </w:rPr>
        <w:t>alors que</w:t>
      </w:r>
      <w:r w:rsidR="00C2078E" w:rsidRPr="00653BF4">
        <w:rPr>
          <w:rStyle w:val="apple-converted-space"/>
          <w:rFonts w:ascii="Aptos" w:hAnsi="Aptos"/>
          <w:lang w:val="fr-FR"/>
        </w:rPr>
        <w:t> </w:t>
      </w:r>
      <w:r w:rsidR="00C2078E" w:rsidRPr="00653BF4">
        <w:rPr>
          <w:rStyle w:val="normaltextrun"/>
          <w:rFonts w:ascii="Aptos" w:hAnsi="Aptos"/>
          <w:lang w:val="fr-FR"/>
        </w:rPr>
        <w:t>6</w:t>
      </w:r>
      <w:r w:rsidR="005E3654" w:rsidRPr="00653BF4">
        <w:rPr>
          <w:rStyle w:val="normaltextrun"/>
          <w:rFonts w:ascii="Aptos" w:hAnsi="Aptos"/>
          <w:lang w:val="fr-FR"/>
        </w:rPr>
        <w:t>6</w:t>
      </w:r>
      <w:r w:rsidR="002878D7">
        <w:rPr>
          <w:rStyle w:val="normaltextrun"/>
          <w:rFonts w:ascii="Aptos" w:hAnsi="Aptos"/>
          <w:lang w:val="fr-FR"/>
        </w:rPr>
        <w:t> %</w:t>
      </w:r>
      <w:r w:rsidR="00FF7200" w:rsidRPr="00653BF4">
        <w:rPr>
          <w:rStyle w:val="normaltextrun"/>
          <w:rFonts w:ascii="Aptos" w:hAnsi="Aptos"/>
          <w:lang w:val="fr-FR"/>
        </w:rPr>
        <w:t xml:space="preserve"> </w:t>
      </w:r>
      <w:r w:rsidR="00040582" w:rsidRPr="00653BF4">
        <w:rPr>
          <w:rStyle w:val="normaltextrun"/>
          <w:rFonts w:ascii="Aptos" w:hAnsi="Aptos"/>
          <w:lang w:val="fr-FR"/>
        </w:rPr>
        <w:t>n’enregistre aucun progrès notable ou des progrès insuffisants</w:t>
      </w:r>
      <w:r w:rsidR="00C2078E" w:rsidRPr="00653BF4">
        <w:rPr>
          <w:rStyle w:val="normaltextrun"/>
          <w:rFonts w:ascii="Aptos" w:hAnsi="Aptos"/>
          <w:lang w:val="fr-FR"/>
        </w:rPr>
        <w:t xml:space="preserve">, </w:t>
      </w:r>
      <w:r w:rsidR="00040582" w:rsidRPr="00653BF4">
        <w:rPr>
          <w:rStyle w:val="normaltextrun"/>
          <w:rFonts w:ascii="Aptos" w:hAnsi="Aptos"/>
          <w:lang w:val="fr-FR"/>
        </w:rPr>
        <w:t xml:space="preserve">et une très faible proportion </w:t>
      </w:r>
      <w:r w:rsidR="00C2078E" w:rsidRPr="00653BF4">
        <w:rPr>
          <w:rStyle w:val="normaltextrun"/>
          <w:rFonts w:ascii="Aptos" w:hAnsi="Aptos"/>
          <w:lang w:val="fr-FR"/>
        </w:rPr>
        <w:t>(1</w:t>
      </w:r>
      <w:r w:rsidR="002878D7">
        <w:rPr>
          <w:rStyle w:val="normaltextrun"/>
          <w:rFonts w:ascii="Aptos" w:hAnsi="Aptos"/>
          <w:lang w:val="fr-FR"/>
        </w:rPr>
        <w:t> %</w:t>
      </w:r>
      <w:r w:rsidR="00672082" w:rsidRPr="00653BF4">
        <w:rPr>
          <w:rStyle w:val="normaltextrun"/>
          <w:rFonts w:ascii="Aptos" w:hAnsi="Aptos"/>
          <w:lang w:val="fr-FR"/>
        </w:rPr>
        <w:t>,</w:t>
      </w:r>
      <w:r w:rsidR="00C2078E" w:rsidRPr="00653BF4">
        <w:rPr>
          <w:rStyle w:val="normaltextrun"/>
          <w:rFonts w:ascii="Aptos" w:hAnsi="Aptos"/>
          <w:lang w:val="fr-FR"/>
        </w:rPr>
        <w:t xml:space="preserve"> </w:t>
      </w:r>
      <w:r w:rsidR="006A7C32" w:rsidRPr="00653BF4">
        <w:rPr>
          <w:rStyle w:val="normaltextrun"/>
          <w:rFonts w:ascii="Aptos" w:hAnsi="Aptos"/>
          <w:lang w:val="fr-FR"/>
        </w:rPr>
        <w:t>ce qui représente deux cibles nationales</w:t>
      </w:r>
      <w:r w:rsidR="00C2078E" w:rsidRPr="00653BF4">
        <w:rPr>
          <w:rStyle w:val="normaltextrun"/>
          <w:rFonts w:ascii="Aptos" w:hAnsi="Aptos"/>
          <w:lang w:val="fr-FR"/>
        </w:rPr>
        <w:t>)</w:t>
      </w:r>
      <w:r w:rsidR="00C2078E" w:rsidRPr="00653BF4">
        <w:rPr>
          <w:rStyle w:val="apple-converted-space"/>
          <w:rFonts w:ascii="Aptos" w:hAnsi="Aptos"/>
          <w:lang w:val="fr-FR"/>
        </w:rPr>
        <w:t> </w:t>
      </w:r>
      <w:r w:rsidR="006A7C32" w:rsidRPr="00653BF4">
        <w:rPr>
          <w:rStyle w:val="normaltextrun"/>
          <w:rFonts w:ascii="Aptos" w:hAnsi="Aptos"/>
          <w:lang w:val="fr-FR"/>
        </w:rPr>
        <w:t xml:space="preserve">sont déclarées déjà atteintes </w:t>
      </w:r>
      <w:r w:rsidR="00C2078E" w:rsidRPr="00653BF4">
        <w:rPr>
          <w:rStyle w:val="normaltextrun"/>
          <w:rFonts w:ascii="Aptos" w:hAnsi="Aptos"/>
          <w:lang w:val="fr-FR"/>
        </w:rPr>
        <w:t>(</w:t>
      </w:r>
      <w:r w:rsidR="006A7C32" w:rsidRPr="00653BF4">
        <w:rPr>
          <w:rStyle w:val="normaltextrun"/>
          <w:rFonts w:ascii="Aptos" w:hAnsi="Aptos"/>
          <w:lang w:val="fr-FR"/>
        </w:rPr>
        <w:t xml:space="preserve">voir la </w:t>
      </w:r>
      <w:r w:rsidR="00672082" w:rsidRPr="00653BF4">
        <w:rPr>
          <w:lang w:val="fr-FR"/>
        </w:rPr>
        <w:t>f</w:t>
      </w:r>
      <w:r w:rsidR="00F770B4" w:rsidRPr="00653BF4">
        <w:rPr>
          <w:lang w:val="fr-FR"/>
        </w:rPr>
        <w:t xml:space="preserve">igure </w:t>
      </w:r>
      <w:r w:rsidR="007904D8" w:rsidRPr="00653BF4">
        <w:rPr>
          <w:noProof/>
          <w:lang w:val="fr-FR"/>
        </w:rPr>
        <w:t>31</w:t>
      </w:r>
      <w:r w:rsidR="00C2078E" w:rsidRPr="00653BF4">
        <w:rPr>
          <w:rStyle w:val="normaltextrun"/>
          <w:rFonts w:ascii="Aptos" w:hAnsi="Aptos"/>
          <w:lang w:val="fr-FR"/>
        </w:rPr>
        <w:t>).</w:t>
      </w:r>
      <w:r w:rsidR="00C2078E" w:rsidRPr="00653BF4">
        <w:rPr>
          <w:rStyle w:val="eop"/>
          <w:rFonts w:ascii="Aptos" w:hAnsi="Aptos"/>
          <w:lang w:val="fr-FR"/>
        </w:rPr>
        <w:t> </w:t>
      </w:r>
    </w:p>
    <w:p w14:paraId="146DCC52" w14:textId="77777777" w:rsidR="00D35C02" w:rsidRPr="00653BF4" w:rsidRDefault="00D35C02" w:rsidP="00C2078E">
      <w:pPr>
        <w:rPr>
          <w:rStyle w:val="eop"/>
          <w:rFonts w:ascii="Aptos" w:hAnsi="Aptos"/>
          <w:lang w:val="fr-FR"/>
        </w:rPr>
      </w:pPr>
    </w:p>
    <w:p w14:paraId="026A69E4" w14:textId="2CF848A8" w:rsidR="00D35C02" w:rsidRPr="00653BF4" w:rsidRDefault="00D35C02" w:rsidP="00D35C02">
      <w:pPr>
        <w:pStyle w:val="Caption"/>
        <w:rPr>
          <w:i w:val="0"/>
          <w:iCs w:val="0"/>
          <w:sz w:val="20"/>
          <w:szCs w:val="20"/>
          <w:lang w:val="fr-FR"/>
        </w:rPr>
      </w:pPr>
      <w:r w:rsidRPr="00653BF4">
        <w:rPr>
          <w:i w:val="0"/>
          <w:iCs w:val="0"/>
          <w:sz w:val="20"/>
          <w:szCs w:val="20"/>
          <w:lang w:val="fr-FR"/>
        </w:rPr>
        <w:lastRenderedPageBreak/>
        <w:t xml:space="preserve">Figure </w:t>
      </w:r>
      <w:r w:rsidRPr="00653BF4">
        <w:rPr>
          <w:i w:val="0"/>
          <w:iCs w:val="0"/>
          <w:noProof/>
          <w:sz w:val="20"/>
          <w:szCs w:val="20"/>
          <w:lang w:val="fr-FR"/>
        </w:rPr>
        <w:t>31</w:t>
      </w:r>
      <w:r w:rsidRPr="00653BF4">
        <w:rPr>
          <w:i w:val="0"/>
          <w:iCs w:val="0"/>
          <w:sz w:val="20"/>
          <w:szCs w:val="20"/>
          <w:lang w:val="fr-FR"/>
        </w:rPr>
        <w:t xml:space="preserve"> </w:t>
      </w:r>
    </w:p>
    <w:p w14:paraId="476CFDAF" w14:textId="105725F2" w:rsidR="00D35C02" w:rsidRPr="00653BF4" w:rsidRDefault="00C63F43" w:rsidP="00D35C02">
      <w:pPr>
        <w:pStyle w:val="Caption"/>
        <w:rPr>
          <w:b/>
          <w:bCs/>
          <w:i w:val="0"/>
          <w:iCs w:val="0"/>
          <w:sz w:val="20"/>
          <w:szCs w:val="20"/>
          <w:lang w:val="fr-FR"/>
        </w:rPr>
      </w:pPr>
      <w:r w:rsidRPr="00653BF4">
        <w:rPr>
          <w:b/>
          <w:bCs/>
          <w:i w:val="0"/>
          <w:iCs w:val="0"/>
          <w:sz w:val="20"/>
          <w:szCs w:val="20"/>
          <w:lang w:val="fr-FR"/>
        </w:rPr>
        <w:t xml:space="preserve">Progrès auto-évalués pour l’ensemble des cibles nationales présentées comme étroitement alignées sur la </w:t>
      </w:r>
      <w:r w:rsidR="00E34DC9">
        <w:rPr>
          <w:b/>
          <w:bCs/>
          <w:i w:val="0"/>
          <w:iCs w:val="0"/>
          <w:sz w:val="20"/>
          <w:szCs w:val="20"/>
          <w:lang w:val="fr-FR"/>
        </w:rPr>
        <w:t>cible 6</w:t>
      </w:r>
      <w:r w:rsidRPr="00653BF4">
        <w:rPr>
          <w:b/>
          <w:bCs/>
          <w:i w:val="0"/>
          <w:iCs w:val="0"/>
          <w:sz w:val="20"/>
          <w:szCs w:val="20"/>
          <w:lang w:val="fr-FR"/>
        </w:rPr>
        <w:t xml:space="preserve"> du Cadre</w:t>
      </w:r>
      <w:r w:rsidR="00D35C02" w:rsidRPr="00653BF4">
        <w:rPr>
          <w:b/>
          <w:bCs/>
          <w:i w:val="0"/>
          <w:iCs w:val="0"/>
          <w:sz w:val="20"/>
          <w:szCs w:val="20"/>
          <w:lang w:val="fr-FR"/>
        </w:rPr>
        <w:t xml:space="preserve"> </w:t>
      </w:r>
    </w:p>
    <w:p w14:paraId="3A837A40" w14:textId="31F53F54" w:rsidR="00E61F26" w:rsidRPr="00653BF4" w:rsidRDefault="00C2078E" w:rsidP="005463F7">
      <w:pPr>
        <w:pStyle w:val="Caption"/>
        <w:rPr>
          <w:lang w:val="fr-FR"/>
        </w:rPr>
      </w:pPr>
      <w:bookmarkStart w:id="149" w:name="_Ref231154082"/>
      <w:r w:rsidRPr="00653BF4">
        <w:rPr>
          <w:rFonts w:ascii="Aptos" w:eastAsia="Aptos" w:hAnsi="Aptos" w:cs="Aptos"/>
          <w:noProof/>
          <w:lang w:val="fr-FR"/>
        </w:rPr>
        <w:drawing>
          <wp:inline distT="0" distB="0" distL="0" distR="0" wp14:anchorId="4E00CCE6" wp14:editId="0FC171E5">
            <wp:extent cx="5731510" cy="2292350"/>
            <wp:effectExtent l="0" t="0" r="0" b="6350"/>
            <wp:docPr id="2100142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42132" name="Picture 2100142132"/>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149"/>
    <w:p w14:paraId="5499245E" w14:textId="72BF4F3F" w:rsidR="00807E50" w:rsidRPr="00653BF4" w:rsidRDefault="006A631C" w:rsidP="00807E50">
      <w:pPr>
        <w:pStyle w:val="Caption"/>
        <w:rPr>
          <w:i w:val="0"/>
          <w:iCs w:val="0"/>
          <w:lang w:val="fr-FR"/>
        </w:rPr>
      </w:pPr>
      <w:r w:rsidRPr="00653BF4">
        <w:rPr>
          <w:lang w:val="fr-FR"/>
        </w:rPr>
        <w:t>Note</w:t>
      </w:r>
      <w:r w:rsidR="00E34DC9">
        <w:rPr>
          <w:lang w:val="fr-FR"/>
        </w:rPr>
        <w:t> :</w:t>
      </w:r>
      <w:r w:rsidR="00807E50" w:rsidRPr="00653BF4">
        <w:rPr>
          <w:i w:val="0"/>
          <w:iCs w:val="0"/>
          <w:lang w:val="fr-FR"/>
        </w:rPr>
        <w:t xml:space="preserve"> </w:t>
      </w:r>
      <w:r w:rsidR="00C0399D" w:rsidRPr="00653BF4">
        <w:rPr>
          <w:i w:val="0"/>
          <w:iCs w:val="0"/>
          <w:lang w:val="fr-FR"/>
        </w:rPr>
        <w:t xml:space="preserve">La largeur des barres reflète la proportion de cibles nationales soumises dans chaque catégorie de progrès. </w:t>
      </w:r>
      <w:r w:rsidR="009101D7" w:rsidRPr="00653BF4">
        <w:rPr>
          <w:i w:val="0"/>
          <w:iCs w:val="0"/>
          <w:lang w:val="fr-FR"/>
        </w:rPr>
        <w:t xml:space="preserve">Les proportions sont pondérées par Partie afin que toutes les Parties aient le même poids dans l’évaluation globale des progrès, quel que soit le nombre de cibles nationales qu’elles ont soumises. </w:t>
      </w:r>
      <w:r w:rsidR="0072327C" w:rsidRPr="00653BF4">
        <w:rPr>
          <w:i w:val="0"/>
          <w:iCs w:val="0"/>
          <w:lang w:val="fr-FR"/>
        </w:rPr>
        <w:t xml:space="preserve">Le diagramme circulaire représente la proportion de Parties de chaque région ayant présenté leur rapport à temps pour qu’il soit pris en compte dans le rapport mondial. </w:t>
      </w:r>
      <w:r w:rsidR="00B07B9C" w:rsidRPr="00653BF4">
        <w:rPr>
          <w:rFonts w:ascii="Aptos" w:hAnsi="Aptos"/>
          <w:i w:val="0"/>
          <w:iCs w:val="0"/>
          <w:lang w:val="fr-FR"/>
        </w:rPr>
        <w:t>La couleur de chaque région est indiquée dans la légende de la figure</w:t>
      </w:r>
      <w:r w:rsidR="00E34DC9">
        <w:rPr>
          <w:rFonts w:ascii="Aptos" w:hAnsi="Aptos"/>
          <w:i w:val="0"/>
          <w:iCs w:val="0"/>
          <w:lang w:val="fr-FR"/>
        </w:rPr>
        <w:t> :</w:t>
      </w:r>
      <w:r w:rsidR="00B07B9C"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B07B9C" w:rsidRPr="00653BF4">
        <w:rPr>
          <w:rFonts w:ascii="Aptos" w:hAnsi="Aptos"/>
          <w:i w:val="0"/>
          <w:iCs w:val="0"/>
          <w:lang w:val="fr-FR"/>
        </w:rPr>
        <w:t xml:space="preserve"> les tons plus clairs, la proportion de Parties de la même région dont les données n’y figurent pas.</w:t>
      </w:r>
    </w:p>
    <w:tbl>
      <w:tblPr>
        <w:tblStyle w:val="TableGrid"/>
        <w:tblW w:w="9464" w:type="dxa"/>
        <w:tblLook w:val="04A0" w:firstRow="1" w:lastRow="0" w:firstColumn="1" w:lastColumn="0" w:noHBand="0" w:noVBand="1"/>
      </w:tblPr>
      <w:tblGrid>
        <w:gridCol w:w="4165"/>
        <w:gridCol w:w="5299"/>
      </w:tblGrid>
      <w:tr w:rsidR="00DD6272" w:rsidRPr="00356DA6" w14:paraId="729011BB" w14:textId="77777777" w:rsidTr="009B4355">
        <w:tc>
          <w:tcPr>
            <w:tcW w:w="9464" w:type="dxa"/>
            <w:gridSpan w:val="2"/>
          </w:tcPr>
          <w:p w14:paraId="688C89D1" w14:textId="77777777" w:rsidR="00DD6272" w:rsidRPr="00356DA6" w:rsidRDefault="00DD6272" w:rsidP="009B4355">
            <w:pPr>
              <w:rPr>
                <w:rFonts w:ascii="Aptos" w:hAnsi="Aptos"/>
              </w:rPr>
            </w:pPr>
            <w:r w:rsidRPr="00356DA6">
              <w:rPr>
                <w:rFonts w:ascii="Aptos" w:hAnsi="Aptos"/>
              </w:rPr>
              <w:t>Figure 31</w:t>
            </w:r>
          </w:p>
        </w:tc>
      </w:tr>
      <w:tr w:rsidR="00DD6272" w:rsidRPr="003A6336" w14:paraId="53D1A863" w14:textId="77777777" w:rsidTr="009B4355">
        <w:tc>
          <w:tcPr>
            <w:tcW w:w="4165" w:type="dxa"/>
          </w:tcPr>
          <w:p w14:paraId="1C0527F9" w14:textId="77777777" w:rsidR="00DD6272" w:rsidRPr="00356DA6" w:rsidRDefault="00DD6272" w:rsidP="009B4355">
            <w:pPr>
              <w:rPr>
                <w:rFonts w:ascii="Aptos" w:hAnsi="Aptos"/>
              </w:rPr>
            </w:pPr>
            <w:r w:rsidRPr="00356DA6">
              <w:rPr>
                <w:rFonts w:ascii="Aptos" w:hAnsi="Aptos"/>
              </w:rPr>
              <w:t xml:space="preserve">English </w:t>
            </w:r>
          </w:p>
        </w:tc>
        <w:tc>
          <w:tcPr>
            <w:tcW w:w="5298" w:type="dxa"/>
          </w:tcPr>
          <w:p w14:paraId="0CDB4ACF" w14:textId="77777777" w:rsidR="00DD6272" w:rsidRPr="00356DA6" w:rsidRDefault="00DD6272" w:rsidP="009B4355">
            <w:pPr>
              <w:rPr>
                <w:rFonts w:ascii="Aptos" w:hAnsi="Aptos"/>
              </w:rPr>
            </w:pPr>
            <w:r>
              <w:rPr>
                <w:rFonts w:ascii="Aptos" w:hAnsi="Aptos"/>
              </w:rPr>
              <w:t>Français</w:t>
            </w:r>
          </w:p>
        </w:tc>
      </w:tr>
      <w:tr w:rsidR="00DD6272" w:rsidRPr="003A6336" w14:paraId="2E40BE16" w14:textId="77777777" w:rsidTr="009B4355">
        <w:tc>
          <w:tcPr>
            <w:tcW w:w="4165" w:type="dxa"/>
          </w:tcPr>
          <w:p w14:paraId="2D35B8DB" w14:textId="77777777" w:rsidR="00DD6272" w:rsidRPr="003A6336" w:rsidRDefault="00DD6272" w:rsidP="009B4355">
            <w:pPr>
              <w:rPr>
                <w:rFonts w:ascii="Aptos" w:hAnsi="Aptos"/>
              </w:rPr>
            </w:pPr>
            <w:r w:rsidRPr="003A6336">
              <w:rPr>
                <w:rFonts w:ascii="Aptos" w:hAnsi="Aptos"/>
              </w:rPr>
              <w:t>Percentage of national targets</w:t>
            </w:r>
          </w:p>
        </w:tc>
        <w:tc>
          <w:tcPr>
            <w:tcW w:w="5298" w:type="dxa"/>
          </w:tcPr>
          <w:p w14:paraId="010169B4" w14:textId="77777777" w:rsidR="00DD6272" w:rsidRPr="003A6336" w:rsidRDefault="00DD6272" w:rsidP="009B4355">
            <w:pPr>
              <w:rPr>
                <w:rFonts w:ascii="Aptos" w:hAnsi="Aptos"/>
              </w:rPr>
            </w:pPr>
            <w:r>
              <w:t>Pourcentage de cibles nationales</w:t>
            </w:r>
          </w:p>
        </w:tc>
      </w:tr>
      <w:tr w:rsidR="00DD6272" w:rsidRPr="003A6336" w14:paraId="5E674B8D" w14:textId="77777777" w:rsidTr="009B4355">
        <w:tc>
          <w:tcPr>
            <w:tcW w:w="4165" w:type="dxa"/>
          </w:tcPr>
          <w:p w14:paraId="04C92578" w14:textId="77777777" w:rsidR="00DD6272" w:rsidRPr="003A6336" w:rsidRDefault="00DD6272" w:rsidP="009B4355">
            <w:pPr>
              <w:rPr>
                <w:rFonts w:ascii="Aptos" w:hAnsi="Aptos"/>
              </w:rPr>
            </w:pPr>
            <w:r w:rsidRPr="003A6336">
              <w:rPr>
                <w:rFonts w:ascii="Aptos" w:hAnsi="Aptos"/>
              </w:rPr>
              <w:t>Progress Level</w:t>
            </w:r>
          </w:p>
        </w:tc>
        <w:tc>
          <w:tcPr>
            <w:tcW w:w="5298" w:type="dxa"/>
          </w:tcPr>
          <w:p w14:paraId="33AF128C" w14:textId="77777777" w:rsidR="00DD6272" w:rsidRPr="003A6336" w:rsidRDefault="00DD6272" w:rsidP="009B4355">
            <w:pPr>
              <w:rPr>
                <w:rFonts w:ascii="Aptos" w:hAnsi="Aptos"/>
              </w:rPr>
            </w:pPr>
            <w:r w:rsidRPr="006F7AF8">
              <w:rPr>
                <w:rFonts w:ascii="Aptos" w:hAnsi="Aptos"/>
                <w:lang w:val="fr-FR"/>
              </w:rPr>
              <w:t>État d</w:t>
            </w:r>
            <w:r>
              <w:rPr>
                <w:rFonts w:ascii="Aptos" w:hAnsi="Aptos"/>
                <w:lang w:val="fr-FR"/>
              </w:rPr>
              <w:t>’</w:t>
            </w:r>
            <w:r w:rsidRPr="006F7AF8">
              <w:rPr>
                <w:rFonts w:ascii="Aptos" w:hAnsi="Aptos"/>
                <w:lang w:val="fr-FR"/>
              </w:rPr>
              <w:t>avancement</w:t>
            </w:r>
          </w:p>
        </w:tc>
      </w:tr>
      <w:tr w:rsidR="00DD6272" w:rsidRPr="003A6336" w14:paraId="570E5139" w14:textId="77777777" w:rsidTr="009B4355">
        <w:tc>
          <w:tcPr>
            <w:tcW w:w="4165" w:type="dxa"/>
          </w:tcPr>
          <w:p w14:paraId="3BCA5BBE" w14:textId="77777777" w:rsidR="00DD6272" w:rsidRPr="003A6336" w:rsidRDefault="00DD6272" w:rsidP="009B4355">
            <w:pPr>
              <w:rPr>
                <w:rFonts w:ascii="Aptos" w:hAnsi="Aptos"/>
              </w:rPr>
            </w:pPr>
            <w:r w:rsidRPr="003A6336">
              <w:rPr>
                <w:rFonts w:ascii="Aptos" w:hAnsi="Aptos"/>
              </w:rPr>
              <w:t>Achieved</w:t>
            </w:r>
          </w:p>
        </w:tc>
        <w:tc>
          <w:tcPr>
            <w:tcW w:w="5298" w:type="dxa"/>
          </w:tcPr>
          <w:p w14:paraId="5D2E5F63" w14:textId="77777777" w:rsidR="00DD6272" w:rsidRPr="003A6336" w:rsidRDefault="00DD6272" w:rsidP="009B4355">
            <w:pPr>
              <w:rPr>
                <w:rFonts w:ascii="Aptos" w:hAnsi="Aptos"/>
              </w:rPr>
            </w:pPr>
            <w:r>
              <w:t>Cible atteinte</w:t>
            </w:r>
          </w:p>
        </w:tc>
      </w:tr>
      <w:tr w:rsidR="00DD6272" w:rsidRPr="003A6336" w14:paraId="63F65BF2" w14:textId="77777777" w:rsidTr="009B4355">
        <w:tc>
          <w:tcPr>
            <w:tcW w:w="4165" w:type="dxa"/>
          </w:tcPr>
          <w:p w14:paraId="5B4EE600" w14:textId="77777777" w:rsidR="00DD6272" w:rsidRPr="003A6336" w:rsidRDefault="00DD6272" w:rsidP="009B4355">
            <w:pPr>
              <w:rPr>
                <w:rFonts w:ascii="Aptos" w:hAnsi="Aptos"/>
              </w:rPr>
            </w:pPr>
            <w:r w:rsidRPr="003A6336">
              <w:rPr>
                <w:rFonts w:ascii="Aptos" w:hAnsi="Aptos"/>
              </w:rPr>
              <w:t>On track to achieve target</w:t>
            </w:r>
          </w:p>
        </w:tc>
        <w:tc>
          <w:tcPr>
            <w:tcW w:w="5298" w:type="dxa"/>
          </w:tcPr>
          <w:p w14:paraId="7CDA7639" w14:textId="77777777" w:rsidR="00DD6272" w:rsidRPr="003A6336" w:rsidRDefault="00DD6272" w:rsidP="009B4355">
            <w:pPr>
              <w:rPr>
                <w:rFonts w:ascii="Aptos" w:hAnsi="Aptos"/>
              </w:rPr>
            </w:pPr>
            <w:r>
              <w:t>En voie d’atteindre la cible</w:t>
            </w:r>
          </w:p>
        </w:tc>
      </w:tr>
      <w:tr w:rsidR="00DD6272" w:rsidRPr="003A6336" w14:paraId="51F8F101" w14:textId="77777777" w:rsidTr="009B4355">
        <w:tc>
          <w:tcPr>
            <w:tcW w:w="4165" w:type="dxa"/>
          </w:tcPr>
          <w:p w14:paraId="7D323AD6" w14:textId="77777777" w:rsidR="00DD6272" w:rsidRPr="003A6336" w:rsidRDefault="00DD6272" w:rsidP="009B4355">
            <w:pPr>
              <w:rPr>
                <w:rFonts w:ascii="Aptos" w:hAnsi="Aptos"/>
              </w:rPr>
            </w:pPr>
            <w:r w:rsidRPr="003A6336">
              <w:rPr>
                <w:rFonts w:ascii="Aptos" w:hAnsi="Aptos"/>
              </w:rPr>
              <w:t>Progress towards target but at an insufficient rate</w:t>
            </w:r>
          </w:p>
        </w:tc>
        <w:tc>
          <w:tcPr>
            <w:tcW w:w="5298" w:type="dxa"/>
          </w:tcPr>
          <w:p w14:paraId="0B08217A" w14:textId="77777777" w:rsidR="00DD6272" w:rsidRPr="003A6336" w:rsidRDefault="00DD6272" w:rsidP="009B4355">
            <w:pPr>
              <w:rPr>
                <w:rFonts w:ascii="Aptos" w:hAnsi="Aptos"/>
              </w:rPr>
            </w:pPr>
            <w:r>
              <w:t>Progrès accomplis, mais à un rythme insuffisant</w:t>
            </w:r>
          </w:p>
        </w:tc>
      </w:tr>
      <w:tr w:rsidR="00DD6272" w:rsidRPr="003A6336" w14:paraId="3B8CE27F" w14:textId="77777777" w:rsidTr="009B4355">
        <w:tc>
          <w:tcPr>
            <w:tcW w:w="4165" w:type="dxa"/>
          </w:tcPr>
          <w:p w14:paraId="5642893B" w14:textId="77777777" w:rsidR="00DD6272" w:rsidRPr="003A6336" w:rsidRDefault="00DD6272" w:rsidP="009B4355">
            <w:pPr>
              <w:rPr>
                <w:rFonts w:ascii="Aptos" w:hAnsi="Aptos"/>
              </w:rPr>
            </w:pPr>
            <w:r w:rsidRPr="003A6336">
              <w:rPr>
                <w:rFonts w:ascii="Aptos" w:hAnsi="Aptos"/>
              </w:rPr>
              <w:t>No significant change</w:t>
            </w:r>
          </w:p>
        </w:tc>
        <w:tc>
          <w:tcPr>
            <w:tcW w:w="5298" w:type="dxa"/>
          </w:tcPr>
          <w:p w14:paraId="51977C6A" w14:textId="77777777" w:rsidR="00DD6272" w:rsidRPr="003A6336" w:rsidRDefault="00DD6272" w:rsidP="009B4355">
            <w:pPr>
              <w:rPr>
                <w:rFonts w:ascii="Aptos" w:hAnsi="Aptos"/>
              </w:rPr>
            </w:pPr>
            <w:r>
              <w:t>Pas de changement notable</w:t>
            </w:r>
          </w:p>
        </w:tc>
      </w:tr>
      <w:tr w:rsidR="00DD6272" w:rsidRPr="003A6336" w14:paraId="48D7041B" w14:textId="77777777" w:rsidTr="009B4355">
        <w:tc>
          <w:tcPr>
            <w:tcW w:w="4165" w:type="dxa"/>
          </w:tcPr>
          <w:p w14:paraId="26DA02DF" w14:textId="77777777" w:rsidR="00DD6272" w:rsidRPr="003A6336" w:rsidRDefault="00DD6272" w:rsidP="009B4355">
            <w:pPr>
              <w:rPr>
                <w:rFonts w:ascii="Aptos" w:hAnsi="Aptos"/>
              </w:rPr>
            </w:pPr>
            <w:r w:rsidRPr="003A6336">
              <w:rPr>
                <w:rFonts w:ascii="Aptos" w:hAnsi="Aptos"/>
              </w:rPr>
              <w:t>Unknown</w:t>
            </w:r>
          </w:p>
        </w:tc>
        <w:tc>
          <w:tcPr>
            <w:tcW w:w="5298" w:type="dxa"/>
          </w:tcPr>
          <w:p w14:paraId="14ACEB99" w14:textId="77777777" w:rsidR="00DD6272" w:rsidRPr="003A6336" w:rsidRDefault="00DD6272" w:rsidP="009B4355">
            <w:pPr>
              <w:rPr>
                <w:rFonts w:ascii="Aptos" w:hAnsi="Aptos"/>
              </w:rPr>
            </w:pPr>
            <w:r>
              <w:t>Inconnu</w:t>
            </w:r>
          </w:p>
        </w:tc>
      </w:tr>
      <w:tr w:rsidR="00DD6272" w:rsidRPr="003A6336" w14:paraId="2CE1DEEB" w14:textId="77777777" w:rsidTr="009B4355">
        <w:tc>
          <w:tcPr>
            <w:tcW w:w="4165" w:type="dxa"/>
          </w:tcPr>
          <w:p w14:paraId="7BC54A22" w14:textId="77777777" w:rsidR="00DD6272" w:rsidRPr="003A6336" w:rsidRDefault="00DD6272" w:rsidP="009B4355">
            <w:pPr>
              <w:rPr>
                <w:rFonts w:ascii="Aptos" w:hAnsi="Aptos"/>
              </w:rPr>
            </w:pPr>
            <w:r w:rsidRPr="003A6336">
              <w:rPr>
                <w:rFonts w:ascii="Aptos" w:hAnsi="Aptos"/>
              </w:rPr>
              <w:t>Party count: 93</w:t>
            </w:r>
          </w:p>
        </w:tc>
        <w:tc>
          <w:tcPr>
            <w:tcW w:w="5298" w:type="dxa"/>
          </w:tcPr>
          <w:p w14:paraId="5ABA01BF" w14:textId="77777777" w:rsidR="00DD6272" w:rsidRPr="003A6336" w:rsidRDefault="00DD6272" w:rsidP="009B4355">
            <w:pPr>
              <w:rPr>
                <w:rFonts w:ascii="Aptos" w:hAnsi="Aptos"/>
              </w:rPr>
            </w:pPr>
            <w:r>
              <w:rPr>
                <w:rFonts w:ascii="Aptos" w:hAnsi="Aptos"/>
              </w:rPr>
              <w:t>Nombre de Parties : 93</w:t>
            </w:r>
          </w:p>
        </w:tc>
      </w:tr>
      <w:tr w:rsidR="00DD6272" w:rsidRPr="003A6336" w14:paraId="6E561254" w14:textId="77777777" w:rsidTr="009B4355">
        <w:tc>
          <w:tcPr>
            <w:tcW w:w="4165" w:type="dxa"/>
          </w:tcPr>
          <w:p w14:paraId="7031B1BD" w14:textId="77777777" w:rsidR="00DD6272" w:rsidRPr="003A6336" w:rsidRDefault="00DD6272" w:rsidP="009B4355">
            <w:pPr>
              <w:rPr>
                <w:rFonts w:ascii="Aptos" w:hAnsi="Aptos"/>
              </w:rPr>
            </w:pPr>
            <w:r w:rsidRPr="003A6336">
              <w:rPr>
                <w:rFonts w:ascii="Aptos" w:hAnsi="Aptos"/>
              </w:rPr>
              <w:t>Region</w:t>
            </w:r>
          </w:p>
        </w:tc>
        <w:tc>
          <w:tcPr>
            <w:tcW w:w="5298" w:type="dxa"/>
          </w:tcPr>
          <w:p w14:paraId="3D7C8DBB" w14:textId="77777777" w:rsidR="00DD6272" w:rsidRPr="003A6336" w:rsidRDefault="00DD6272" w:rsidP="009B4355">
            <w:pPr>
              <w:rPr>
                <w:rFonts w:ascii="Aptos" w:hAnsi="Aptos"/>
              </w:rPr>
            </w:pPr>
            <w:r w:rsidRPr="006F7AF8">
              <w:rPr>
                <w:rFonts w:ascii="Aptos" w:hAnsi="Aptos"/>
                <w:lang w:val="fr-FR"/>
              </w:rPr>
              <w:t>Région</w:t>
            </w:r>
          </w:p>
        </w:tc>
      </w:tr>
      <w:tr w:rsidR="00DD6272" w:rsidRPr="003A6336" w14:paraId="58C5761A" w14:textId="77777777" w:rsidTr="009B4355">
        <w:tc>
          <w:tcPr>
            <w:tcW w:w="4165" w:type="dxa"/>
          </w:tcPr>
          <w:p w14:paraId="770A00B8" w14:textId="77777777" w:rsidR="00DD6272" w:rsidRPr="003A6336" w:rsidRDefault="00DD6272" w:rsidP="009B4355">
            <w:pPr>
              <w:rPr>
                <w:rFonts w:ascii="Aptos" w:hAnsi="Aptos"/>
              </w:rPr>
            </w:pPr>
            <w:r w:rsidRPr="6D03A27B">
              <w:rPr>
                <w:rFonts w:ascii="Aptos" w:hAnsi="Aptos"/>
              </w:rPr>
              <w:t>African States</w:t>
            </w:r>
          </w:p>
        </w:tc>
        <w:tc>
          <w:tcPr>
            <w:tcW w:w="5298" w:type="dxa"/>
          </w:tcPr>
          <w:p w14:paraId="55CA9BBD"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DD6272" w:rsidRPr="003A6336" w14:paraId="378E1680" w14:textId="77777777" w:rsidTr="009B4355">
        <w:tc>
          <w:tcPr>
            <w:tcW w:w="4165" w:type="dxa"/>
          </w:tcPr>
          <w:p w14:paraId="2A50B87C" w14:textId="77777777" w:rsidR="00DD6272" w:rsidRPr="003A6336" w:rsidRDefault="00DD6272" w:rsidP="009B4355">
            <w:pPr>
              <w:rPr>
                <w:rFonts w:ascii="Aptos" w:hAnsi="Aptos"/>
              </w:rPr>
            </w:pPr>
            <w:r w:rsidRPr="6D03A27B">
              <w:rPr>
                <w:rFonts w:ascii="Aptos" w:hAnsi="Aptos"/>
              </w:rPr>
              <w:t>Asia-Pacific States</w:t>
            </w:r>
          </w:p>
        </w:tc>
        <w:tc>
          <w:tcPr>
            <w:tcW w:w="5298" w:type="dxa"/>
          </w:tcPr>
          <w:p w14:paraId="75C23C3E"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DD6272" w:rsidRPr="003A6336" w14:paraId="571E0CA0" w14:textId="77777777" w:rsidTr="009B4355">
        <w:tc>
          <w:tcPr>
            <w:tcW w:w="4165" w:type="dxa"/>
          </w:tcPr>
          <w:p w14:paraId="61020FA1" w14:textId="77777777" w:rsidR="00DD6272" w:rsidRPr="003A6336" w:rsidRDefault="00DD6272" w:rsidP="009B4355">
            <w:pPr>
              <w:rPr>
                <w:rFonts w:ascii="Aptos" w:hAnsi="Aptos"/>
              </w:rPr>
            </w:pPr>
            <w:r w:rsidRPr="6D03A27B">
              <w:rPr>
                <w:rFonts w:ascii="Aptos" w:hAnsi="Aptos"/>
              </w:rPr>
              <w:t>Latin American and Caribbean States</w:t>
            </w:r>
          </w:p>
        </w:tc>
        <w:tc>
          <w:tcPr>
            <w:tcW w:w="5298" w:type="dxa"/>
          </w:tcPr>
          <w:p w14:paraId="271E793E"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DD6272" w:rsidRPr="003A6336" w14:paraId="208E1FF3" w14:textId="77777777" w:rsidTr="009B4355">
        <w:tc>
          <w:tcPr>
            <w:tcW w:w="4165" w:type="dxa"/>
          </w:tcPr>
          <w:p w14:paraId="36D72C71" w14:textId="77777777" w:rsidR="00DD6272" w:rsidRPr="003A6336" w:rsidRDefault="00DD6272" w:rsidP="009B4355">
            <w:pPr>
              <w:rPr>
                <w:rFonts w:ascii="Aptos" w:hAnsi="Aptos"/>
              </w:rPr>
            </w:pPr>
            <w:r w:rsidRPr="6D03A27B">
              <w:rPr>
                <w:rFonts w:ascii="Aptos" w:hAnsi="Aptos"/>
              </w:rPr>
              <w:t>Eastern European States</w:t>
            </w:r>
          </w:p>
        </w:tc>
        <w:tc>
          <w:tcPr>
            <w:tcW w:w="5298" w:type="dxa"/>
          </w:tcPr>
          <w:p w14:paraId="77D0CE7A"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DD6272" w:rsidRPr="003A6336" w14:paraId="0C754BDB" w14:textId="77777777" w:rsidTr="009B4355">
        <w:tc>
          <w:tcPr>
            <w:tcW w:w="4165" w:type="dxa"/>
          </w:tcPr>
          <w:p w14:paraId="076C6A0C" w14:textId="77777777" w:rsidR="00DD6272" w:rsidRPr="003A6336" w:rsidRDefault="00DD6272" w:rsidP="009B4355">
            <w:pPr>
              <w:rPr>
                <w:rFonts w:ascii="Aptos" w:hAnsi="Aptos"/>
              </w:rPr>
            </w:pPr>
            <w:r w:rsidRPr="6D03A27B">
              <w:rPr>
                <w:rFonts w:ascii="Aptos" w:hAnsi="Aptos"/>
              </w:rPr>
              <w:t>Western European and other States</w:t>
            </w:r>
          </w:p>
        </w:tc>
        <w:tc>
          <w:tcPr>
            <w:tcW w:w="5298" w:type="dxa"/>
          </w:tcPr>
          <w:p w14:paraId="652D0DBF"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466CBA63" w14:textId="77777777" w:rsidR="00951174" w:rsidRPr="00653BF4" w:rsidRDefault="00951174" w:rsidP="00601DF3">
      <w:pPr>
        <w:pStyle w:val="Heading6"/>
        <w:rPr>
          <w:lang w:val="fr-FR" w:eastAsia="ja-JP"/>
        </w:rPr>
      </w:pPr>
    </w:p>
    <w:p w14:paraId="67AD8474" w14:textId="565EB72E" w:rsidR="00951174" w:rsidRPr="00653BF4" w:rsidRDefault="00B43BEA" w:rsidP="00951174">
      <w:pPr>
        <w:pStyle w:val="Heading5"/>
        <w:rPr>
          <w:lang w:val="fr-FR" w:eastAsia="ja-JP"/>
        </w:rPr>
      </w:pPr>
      <w:r w:rsidRPr="00653BF4">
        <w:rPr>
          <w:lang w:val="fr-FR" w:eastAsia="ja-JP"/>
        </w:rPr>
        <w:t>Actions, réussites et difficultés dans la mise en œuvre</w:t>
      </w:r>
    </w:p>
    <w:p w14:paraId="6DACE45B" w14:textId="77777777" w:rsidR="00E92D34" w:rsidRPr="00653BF4" w:rsidRDefault="00E92D34" w:rsidP="009345F3">
      <w:pPr>
        <w:pStyle w:val="Heading6"/>
        <w:rPr>
          <w:lang w:val="fr-FR" w:eastAsia="ja-JP"/>
        </w:rPr>
      </w:pPr>
    </w:p>
    <w:p w14:paraId="181724D0" w14:textId="06BCB0F6" w:rsidR="009345F3" w:rsidRPr="00653BF4" w:rsidRDefault="00B43BEA" w:rsidP="009345F3">
      <w:pPr>
        <w:pStyle w:val="Heading6"/>
        <w:rPr>
          <w:lang w:val="fr-FR" w:eastAsia="ja-JP"/>
        </w:rPr>
      </w:pPr>
      <w:bookmarkStart w:id="150" w:name="_Toc235821121"/>
      <w:r w:rsidRPr="00653BF4">
        <w:rPr>
          <w:lang w:val="fr-FR" w:eastAsia="ja-JP"/>
        </w:rPr>
        <w:t xml:space="preserve">Résumé des actions menées à l’appui de la </w:t>
      </w:r>
      <w:r w:rsidR="00E34DC9">
        <w:rPr>
          <w:lang w:val="fr-FR" w:eastAsia="ja-JP"/>
        </w:rPr>
        <w:t>cible 6</w:t>
      </w:r>
      <w:bookmarkEnd w:id="150"/>
      <w:r w:rsidR="00D818C5" w:rsidRPr="00653BF4">
        <w:rPr>
          <w:lang w:val="fr-FR" w:eastAsia="ja-JP"/>
        </w:rPr>
        <w:t xml:space="preserve"> </w:t>
      </w:r>
      <w:r w:rsidR="00272FFA" w:rsidRPr="00653BF4">
        <w:rPr>
          <w:lang w:val="fr-FR" w:eastAsia="ja-JP"/>
        </w:rPr>
        <w:t>du Cadre</w:t>
      </w:r>
    </w:p>
    <w:p w14:paraId="4553D3B9" w14:textId="77777777" w:rsidR="00E92D34" w:rsidRPr="00653BF4" w:rsidRDefault="00E92D34" w:rsidP="00B908BE">
      <w:pPr>
        <w:rPr>
          <w:lang w:val="fr-FR"/>
        </w:rPr>
      </w:pPr>
    </w:p>
    <w:p w14:paraId="37FE889C" w14:textId="6E1F4A50" w:rsidR="003F2CE4" w:rsidRPr="00653BF4" w:rsidRDefault="00224B9C" w:rsidP="003F2CE4">
      <w:pPr>
        <w:rPr>
          <w:lang w:val="fr-FR"/>
        </w:rPr>
      </w:pPr>
      <w:r w:rsidRPr="00224B9C">
        <w:rPr>
          <w:lang w:val="fr-FR"/>
        </w:rPr>
        <w:t xml:space="preserve">Parmi les actions signalées à l'appui de la </w:t>
      </w:r>
      <w:r w:rsidR="00E34DC9">
        <w:rPr>
          <w:lang w:val="fr-FR"/>
        </w:rPr>
        <w:t>cible 6</w:t>
      </w:r>
      <w:r w:rsidRPr="00224B9C">
        <w:rPr>
          <w:lang w:val="fr-FR"/>
        </w:rPr>
        <w:t xml:space="preserve"> figurent des programmes de biosécurité insulaire et des plans de gestion dédiés à des espèces exotiques envahissantes particulières. De nombreuses Parties ont fait état de mesures visant à intercepter les espèces exotiques envahissantes aux frontières, ainsi que de campagnes visant à éradiquer ces espèces par des méthodes d’élimination mécanique ou de lutte biologique. Les mesures juridiques et réglementaires courantes comprennent une législation nationale relative aux espèces exotiques envahissantes, ainsi que des restrictions concernant certaines espèces exotiques envahissantes particulièrement préoccupantes. Les mesures liées à la recherche, au suivi et à la collecte de données sont largement mentionnées, notamment les enquêtes et inventaires nationaux sur les espèces exotiques envahissantes, la mise en place de systèmes de suivi et de bases de données, la surveillance participative et l’analyse des voies de transport de ces espèces. De nombreuses Parties ont indiqué mener des campagnes de sensibilisation du public afin d’attirer l’attention sur les risques posés par les espèces exotiques envahissantes, et d’inciter les populations à contribuer à leur éradication ou à la prévention de leur propagation (voir les encadrés 22 et 23).</w:t>
      </w:r>
    </w:p>
    <w:p w14:paraId="3C3DD326" w14:textId="77777777" w:rsidR="003F2CE4" w:rsidRPr="00653BF4" w:rsidRDefault="003F2CE4" w:rsidP="009345F3">
      <w:pPr>
        <w:pStyle w:val="Heading6"/>
        <w:rPr>
          <w:lang w:val="fr-FR" w:eastAsia="ja-JP"/>
        </w:rPr>
      </w:pPr>
      <w:bookmarkStart w:id="151" w:name="_Toc235821122"/>
    </w:p>
    <w:p w14:paraId="340C42D7" w14:textId="52FDC2B4" w:rsidR="009345F3" w:rsidRPr="00653BF4" w:rsidRDefault="00EF7133" w:rsidP="009345F3">
      <w:pPr>
        <w:pStyle w:val="Heading6"/>
        <w:rPr>
          <w:lang w:val="fr-FR" w:eastAsia="ja-JP"/>
        </w:rPr>
      </w:pPr>
      <w:r w:rsidRPr="00653BF4">
        <w:rPr>
          <w:lang w:val="fr-FR" w:eastAsia="ja-JP"/>
        </w:rPr>
        <w:t xml:space="preserve">Exemples de réussites et de progrès réalisées dans la mise en œuvre </w:t>
      </w:r>
      <w:bookmarkEnd w:id="151"/>
    </w:p>
    <w:p w14:paraId="67F19B74" w14:textId="77777777" w:rsidR="00CF7532" w:rsidRPr="00653BF4" w:rsidRDefault="00CF7532" w:rsidP="00CF7532">
      <w:pPr>
        <w:rPr>
          <w:lang w:val="fr-FR" w:eastAsia="ja-JP"/>
        </w:rPr>
      </w:pPr>
    </w:p>
    <w:p w14:paraId="23A062EE" w14:textId="19AB5F9F" w:rsidR="00E07F83" w:rsidRPr="00653BF4" w:rsidRDefault="00E07F83" w:rsidP="006340D0">
      <w:pPr>
        <w:pStyle w:val="Caption"/>
        <w:rPr>
          <w:b/>
          <w:i w:val="0"/>
          <w:sz w:val="20"/>
          <w:szCs w:val="20"/>
          <w:lang w:val="fr-FR"/>
        </w:rPr>
      </w:pPr>
    </w:p>
    <w:tbl>
      <w:tblPr>
        <w:tblStyle w:val="TableGrid"/>
        <w:tblW w:w="0" w:type="auto"/>
        <w:tblLook w:val="04A0" w:firstRow="1" w:lastRow="0" w:firstColumn="1" w:lastColumn="0" w:noHBand="0" w:noVBand="1"/>
      </w:tblPr>
      <w:tblGrid>
        <w:gridCol w:w="9350"/>
      </w:tblGrid>
      <w:tr w:rsidR="00B4756C" w:rsidRPr="00543148" w14:paraId="3DC47576" w14:textId="77777777" w:rsidTr="00461950">
        <w:tc>
          <w:tcPr>
            <w:tcW w:w="9350" w:type="dxa"/>
            <w:shd w:val="clear" w:color="auto" w:fill="D1D1D1" w:themeFill="background2" w:themeFillShade="E6"/>
          </w:tcPr>
          <w:p w14:paraId="66D86CDB" w14:textId="77777777" w:rsidR="00B4756C" w:rsidRPr="00653BF4" w:rsidRDefault="00B4756C" w:rsidP="00980EC3">
            <w:pPr>
              <w:rPr>
                <w:i/>
                <w:iCs/>
                <w:lang w:val="fr-FR"/>
              </w:rPr>
            </w:pPr>
          </w:p>
          <w:p w14:paraId="055F5665" w14:textId="246C7D7A" w:rsidR="00FF5106" w:rsidRPr="00653BF4" w:rsidRDefault="0024766A" w:rsidP="00FF5106">
            <w:pPr>
              <w:pStyle w:val="Caption"/>
              <w:rPr>
                <w:i w:val="0"/>
                <w:iCs w:val="0"/>
                <w:sz w:val="20"/>
                <w:szCs w:val="20"/>
                <w:lang w:val="fr-FR"/>
              </w:rPr>
            </w:pPr>
            <w:r w:rsidRPr="00653BF4">
              <w:rPr>
                <w:i w:val="0"/>
                <w:iCs w:val="0"/>
                <w:sz w:val="20"/>
                <w:szCs w:val="20"/>
                <w:lang w:val="fr-FR"/>
              </w:rPr>
              <w:t>Encadré</w:t>
            </w:r>
            <w:r w:rsidR="00FF5106" w:rsidRPr="00653BF4">
              <w:rPr>
                <w:i w:val="0"/>
                <w:iCs w:val="0"/>
                <w:sz w:val="20"/>
                <w:szCs w:val="20"/>
                <w:lang w:val="fr-FR"/>
              </w:rPr>
              <w:t xml:space="preserve"> </w:t>
            </w:r>
            <w:r w:rsidR="008306DF" w:rsidRPr="00653BF4">
              <w:rPr>
                <w:i w:val="0"/>
                <w:iCs w:val="0"/>
                <w:noProof/>
                <w:sz w:val="20"/>
                <w:szCs w:val="20"/>
                <w:lang w:val="fr-FR"/>
              </w:rPr>
              <w:t>22</w:t>
            </w:r>
          </w:p>
          <w:p w14:paraId="744E92B6" w14:textId="2B772AC7" w:rsidR="00FF5106" w:rsidRPr="00653BF4" w:rsidRDefault="004F6EA1" w:rsidP="00FF5106">
            <w:pPr>
              <w:rPr>
                <w:b/>
                <w:bCs/>
                <w:sz w:val="20"/>
                <w:szCs w:val="20"/>
                <w:lang w:val="fr-FR"/>
              </w:rPr>
            </w:pPr>
            <w:r w:rsidRPr="004F6EA1">
              <w:rPr>
                <w:b/>
                <w:bCs/>
                <w:sz w:val="20"/>
                <w:szCs w:val="20"/>
                <w:lang w:val="fr-FR"/>
              </w:rPr>
              <w:t>Financement mixte pour la lutte contre les espèces envahissantes dans les bassins versants urbains en Afrique du Sud</w:t>
            </w:r>
          </w:p>
          <w:p w14:paraId="7E853D9F" w14:textId="77777777" w:rsidR="00FF5106" w:rsidRPr="00653BF4" w:rsidRDefault="00FF5106" w:rsidP="00FF5106">
            <w:pPr>
              <w:rPr>
                <w:i/>
                <w:iCs/>
                <w:lang w:val="fr-FR"/>
              </w:rPr>
            </w:pPr>
          </w:p>
          <w:p w14:paraId="121E76D0" w14:textId="77777777" w:rsidR="007A4EF8" w:rsidRDefault="007A4EF8" w:rsidP="007A4EF8">
            <w:pPr>
              <w:spacing w:line="276" w:lineRule="auto"/>
              <w:rPr>
                <w:rFonts w:ascii="Aptos" w:eastAsia="Aptos" w:hAnsi="Aptos" w:cs="Aptos"/>
                <w:color w:val="000000" w:themeColor="text1"/>
                <w:sz w:val="20"/>
                <w:szCs w:val="20"/>
                <w:lang w:val="fr-FR" w:eastAsia="zh-CN"/>
              </w:rPr>
            </w:pPr>
            <w:r w:rsidRPr="007A4EF8">
              <w:rPr>
                <w:rFonts w:ascii="Aptos" w:eastAsia="Aptos" w:hAnsi="Aptos" w:cs="Aptos"/>
                <w:color w:val="000000" w:themeColor="text1"/>
                <w:sz w:val="20"/>
                <w:szCs w:val="20"/>
                <w:lang w:val="fr-FR" w:eastAsia="zh-CN"/>
              </w:rPr>
              <w:t>L'insuffisance et l'instabilité des financements ont longtemps entravé la gestion efficace des espèces exotiques envahissantes en Afrique du Sud. L'ampleur et la persistance des invasions biologiques dans les bassins versants, les zones protégées, les écosystèmes côtiers et les zones de haute importance pour la biodiversité terrestre ont dépassé les capacités des mécanismes conventionnels de financement public. En reconnaissance de ces limites, l'Afrique du Sud a élaboré un cadre de gouvernance qui combine réforme réglementaire, remise en état des écosystèmes et instruments de financement innovants afin d'offrir un appui à la gestion à long terme des espèces exotiques envahissantes.</w:t>
            </w:r>
          </w:p>
          <w:p w14:paraId="3A32922D" w14:textId="77777777" w:rsidR="007A4EF8" w:rsidRPr="007A4EF8" w:rsidRDefault="007A4EF8" w:rsidP="007A4EF8">
            <w:pPr>
              <w:spacing w:line="276" w:lineRule="auto"/>
              <w:rPr>
                <w:rFonts w:ascii="Aptos" w:eastAsia="Aptos" w:hAnsi="Aptos" w:cs="Aptos"/>
                <w:color w:val="000000" w:themeColor="text1"/>
                <w:sz w:val="20"/>
                <w:szCs w:val="20"/>
                <w:lang w:val="fr-FR" w:eastAsia="zh-CN"/>
              </w:rPr>
            </w:pPr>
          </w:p>
          <w:p w14:paraId="35C0CA4D" w14:textId="77777777" w:rsidR="007A4EF8" w:rsidRDefault="007A4EF8" w:rsidP="007A4EF8">
            <w:pPr>
              <w:spacing w:line="276" w:lineRule="auto"/>
              <w:rPr>
                <w:rFonts w:ascii="Aptos" w:eastAsia="Aptos" w:hAnsi="Aptos" w:cs="Aptos"/>
                <w:color w:val="000000" w:themeColor="text1"/>
                <w:sz w:val="20"/>
                <w:szCs w:val="20"/>
                <w:lang w:val="fr-FR" w:eastAsia="zh-CN"/>
              </w:rPr>
            </w:pPr>
            <w:r w:rsidRPr="007A4EF8">
              <w:rPr>
                <w:rFonts w:ascii="Aptos" w:eastAsia="Aptos" w:hAnsi="Aptos" w:cs="Aptos"/>
                <w:color w:val="000000" w:themeColor="text1"/>
                <w:sz w:val="20"/>
                <w:szCs w:val="20"/>
                <w:lang w:val="fr-FR" w:eastAsia="zh-CN"/>
              </w:rPr>
              <w:t>Mise en œuvre à l’échelle nationale, avec des interventions notables dans les bassins versants du Cap et le système fluvial du Haut-Jukskei, cette approche a évolué grâce à la législation sur la biodiversité et l’agriculture promulguée entre 1983 et 2004, suivie par une révision de la réglementation relative aux espèces envahissantes entrée en vigueur en 2021. Une nouvelle stratégie nationale et un nouveau plan de gestion des espèces exotiques envahissantes orienteront l’action pour la période 2026-2036.</w:t>
            </w:r>
          </w:p>
          <w:p w14:paraId="4CC87990" w14:textId="77777777" w:rsidR="007A4EF8" w:rsidRPr="007A4EF8" w:rsidRDefault="007A4EF8" w:rsidP="007A4EF8">
            <w:pPr>
              <w:spacing w:line="276" w:lineRule="auto"/>
              <w:rPr>
                <w:rFonts w:ascii="Aptos" w:eastAsia="Aptos" w:hAnsi="Aptos" w:cs="Aptos"/>
                <w:color w:val="000000" w:themeColor="text1"/>
                <w:sz w:val="20"/>
                <w:szCs w:val="20"/>
                <w:lang w:val="fr-FR" w:eastAsia="zh-CN"/>
              </w:rPr>
            </w:pPr>
          </w:p>
          <w:p w14:paraId="401DC36A" w14:textId="77777777" w:rsidR="007A4EF8" w:rsidRDefault="007A4EF8" w:rsidP="007A4EF8">
            <w:pPr>
              <w:spacing w:line="276" w:lineRule="auto"/>
              <w:rPr>
                <w:rFonts w:ascii="Aptos" w:eastAsia="Aptos" w:hAnsi="Aptos" w:cs="Aptos"/>
                <w:color w:val="000000" w:themeColor="text1"/>
                <w:sz w:val="20"/>
                <w:szCs w:val="20"/>
                <w:lang w:val="fr-FR" w:eastAsia="zh-CN"/>
              </w:rPr>
            </w:pPr>
            <w:r w:rsidRPr="007A4EF8">
              <w:rPr>
                <w:rFonts w:ascii="Aptos" w:eastAsia="Aptos" w:hAnsi="Aptos" w:cs="Aptos"/>
                <w:color w:val="000000" w:themeColor="text1"/>
                <w:sz w:val="20"/>
                <w:szCs w:val="20"/>
                <w:lang w:val="fr-FR" w:eastAsia="zh-CN"/>
              </w:rPr>
              <w:t>L’une des caractéristiques déterminantes de l’approche sud-africaine réside dans la mise en place de mécanismes de financement mixte combinant les dotations budgétaires de l’État, les investissements du secteur privé et les contributions des ONG. Ces dispositifs ont permis d’accroître les ressources financières disponibles pour la lutte contre les espèces envahissantes, tout en atténuant la dépendance exclusive vis-à-vis des dépenses publiques. Le Fonds pour l’eau du Grand Cap, par exemple, a mobilisé plus de 180 millions de rands auprès de partenaires du secteur privé afin d’offrir un appui à l’élimination des poissons d’eau douce envahissants et des espèces végétales exotiques au sein des bassins versants alimentant Le Cap.</w:t>
            </w:r>
          </w:p>
          <w:p w14:paraId="2276F9EE" w14:textId="77777777" w:rsidR="007A4EF8" w:rsidRPr="007A4EF8" w:rsidRDefault="007A4EF8" w:rsidP="007A4EF8">
            <w:pPr>
              <w:spacing w:line="276" w:lineRule="auto"/>
              <w:rPr>
                <w:rFonts w:ascii="Aptos" w:eastAsia="Aptos" w:hAnsi="Aptos" w:cs="Aptos"/>
                <w:color w:val="000000" w:themeColor="text1"/>
                <w:sz w:val="20"/>
                <w:szCs w:val="20"/>
                <w:lang w:val="fr-FR" w:eastAsia="zh-CN"/>
              </w:rPr>
            </w:pPr>
          </w:p>
          <w:p w14:paraId="56CA18CE" w14:textId="592AD66E" w:rsidR="00166953" w:rsidRPr="00653BF4" w:rsidRDefault="007A4EF8" w:rsidP="007A4EF8">
            <w:pPr>
              <w:spacing w:line="276" w:lineRule="auto"/>
              <w:rPr>
                <w:rFonts w:ascii="Aptos" w:eastAsia="Aptos" w:hAnsi="Aptos" w:cs="Aptos"/>
                <w:color w:val="000000" w:themeColor="text1"/>
                <w:sz w:val="20"/>
                <w:szCs w:val="20"/>
                <w:lang w:val="fr-FR" w:eastAsia="zh-CN"/>
              </w:rPr>
            </w:pPr>
            <w:r w:rsidRPr="007A4EF8">
              <w:rPr>
                <w:rFonts w:ascii="Aptos" w:eastAsia="Aptos" w:hAnsi="Aptos" w:cs="Aptos"/>
                <w:color w:val="000000" w:themeColor="text1"/>
                <w:sz w:val="20"/>
                <w:szCs w:val="20"/>
                <w:lang w:val="fr-FR" w:eastAsia="zh-CN"/>
              </w:rPr>
              <w:t xml:space="preserve">En ce qui concerne la mise en œuvre, les ministères ont piloté l’élaboration de la législation, la planification stratégique, les systèmes d’autorisation et les mécanismes d’appui financier. Les ONG et les entreprises partenaires ont apporté des ressources financières et une expertise technique par le biais d’initiatives de financement conjointes et de programmes de remise en état. Un appui supplémentaire a été apporté par des initiatives internationales, notamment le projet du Fonds pour l’environnement mondial (FEM) consacré aux espèces exotiques envahissantes, qui a renforcé les cadres politiques, les capacités institutionnelles, la sensibilisation du public et les mesures de biosécurité aux points d’entrée. Un projet de réduction des risques de catastrophes écologiques, soutenu par le Fonds vert pour le climat, a permis de lier davantage la gestion des espèces envahissantes aux objectifs de remise en état des écosystèmes et de résilience climatique, tandis que l’initiative </w:t>
            </w:r>
            <w:r w:rsidR="00E34DC9">
              <w:rPr>
                <w:rFonts w:ascii="Aptos" w:eastAsia="Aptos" w:hAnsi="Aptos" w:cs="Aptos"/>
                <w:color w:val="000000" w:themeColor="text1"/>
                <w:sz w:val="20"/>
                <w:szCs w:val="20"/>
                <w:lang w:val="fr-FR" w:eastAsia="zh-CN"/>
              </w:rPr>
              <w:t>« </w:t>
            </w:r>
            <w:r w:rsidRPr="007A4EF8">
              <w:rPr>
                <w:rFonts w:ascii="Aptos" w:eastAsia="Aptos" w:hAnsi="Aptos" w:cs="Aptos"/>
                <w:color w:val="000000" w:themeColor="text1"/>
                <w:sz w:val="20"/>
                <w:szCs w:val="20"/>
                <w:lang w:val="fr-FR" w:eastAsia="zh-CN"/>
              </w:rPr>
              <w:t>Communautés durables et adaptation au changement climatique en Afrique du Sud</w:t>
            </w:r>
            <w:r w:rsidR="00E34DC9">
              <w:rPr>
                <w:rFonts w:ascii="Aptos" w:eastAsia="Aptos" w:hAnsi="Aptos" w:cs="Aptos"/>
                <w:color w:val="000000" w:themeColor="text1"/>
                <w:sz w:val="20"/>
                <w:szCs w:val="20"/>
                <w:lang w:val="fr-FR" w:eastAsia="zh-CN"/>
              </w:rPr>
              <w:t> »</w:t>
            </w:r>
            <w:r w:rsidRPr="007A4EF8">
              <w:rPr>
                <w:rFonts w:ascii="Aptos" w:eastAsia="Aptos" w:hAnsi="Aptos" w:cs="Aptos"/>
                <w:color w:val="000000" w:themeColor="text1"/>
                <w:sz w:val="20"/>
                <w:szCs w:val="20"/>
                <w:lang w:val="fr-FR" w:eastAsia="zh-CN"/>
              </w:rPr>
              <w:t xml:space="preserve"> a contribué à la réhabilitation du bassin versant de la partie supérieure de la rivière Jukskei.</w:t>
            </w:r>
          </w:p>
          <w:p w14:paraId="2050199B" w14:textId="77777777" w:rsidR="00D85F3C" w:rsidRPr="00653BF4" w:rsidRDefault="00D85F3C" w:rsidP="000F42F3">
            <w:pPr>
              <w:spacing w:line="276" w:lineRule="auto"/>
              <w:jc w:val="both"/>
              <w:rPr>
                <w:rFonts w:ascii="Aptos" w:eastAsia="Aptos" w:hAnsi="Aptos" w:cs="Aptos"/>
                <w:color w:val="000000" w:themeColor="text1"/>
                <w:lang w:val="fr-FR" w:eastAsia="zh-CN"/>
              </w:rPr>
            </w:pPr>
          </w:p>
          <w:p w14:paraId="76D272C3" w14:textId="33568651" w:rsidR="00D85F3C" w:rsidRPr="00653BF4" w:rsidRDefault="00904C13" w:rsidP="000F42F3">
            <w:pPr>
              <w:spacing w:line="276" w:lineRule="auto"/>
              <w:jc w:val="both"/>
              <w:rPr>
                <w:rFonts w:ascii="Aptos" w:eastAsia="Aptos" w:hAnsi="Aptos" w:cs="Aptos"/>
                <w:color w:val="000000" w:themeColor="text1"/>
                <w:sz w:val="20"/>
                <w:szCs w:val="20"/>
                <w:lang w:val="fr-FR" w:eastAsia="zh-CN"/>
              </w:rPr>
            </w:pPr>
            <w:r w:rsidRPr="00653BF4">
              <w:rPr>
                <w:rFonts w:ascii="Aptos" w:eastAsia="Aptos" w:hAnsi="Aptos" w:cs="Aptos"/>
                <w:i/>
                <w:color w:val="000000" w:themeColor="text1"/>
                <w:sz w:val="20"/>
                <w:szCs w:val="20"/>
                <w:lang w:val="fr-FR" w:eastAsia="zh-CN"/>
              </w:rPr>
              <w:t>C</w:t>
            </w:r>
            <w:r w:rsidR="001345EC" w:rsidRPr="00653BF4">
              <w:rPr>
                <w:rFonts w:ascii="Aptos" w:eastAsia="Aptos" w:hAnsi="Aptos" w:cs="Aptos"/>
                <w:i/>
                <w:color w:val="000000" w:themeColor="text1"/>
                <w:sz w:val="20"/>
                <w:szCs w:val="20"/>
                <w:lang w:val="fr-FR" w:eastAsia="zh-CN"/>
              </w:rPr>
              <w:t>ibles concernées</w:t>
            </w:r>
            <w:r w:rsidR="00E34DC9">
              <w:rPr>
                <w:rFonts w:ascii="Aptos" w:eastAsia="Aptos" w:hAnsi="Aptos" w:cs="Aptos"/>
                <w:i/>
                <w:color w:val="000000" w:themeColor="text1"/>
                <w:sz w:val="20"/>
                <w:szCs w:val="20"/>
                <w:lang w:val="fr-FR" w:eastAsia="zh-CN"/>
              </w:rPr>
              <w:t> :</w:t>
            </w:r>
            <w:r w:rsidR="00D85F3C" w:rsidRPr="00653BF4">
              <w:rPr>
                <w:rFonts w:ascii="Aptos" w:eastAsia="Aptos" w:hAnsi="Aptos" w:cs="Aptos"/>
                <w:color w:val="000000" w:themeColor="text1"/>
                <w:sz w:val="20"/>
                <w:szCs w:val="20"/>
                <w:lang w:val="fr-FR" w:eastAsia="zh-CN"/>
              </w:rPr>
              <w:t xml:space="preserve"> </w:t>
            </w:r>
            <w:r w:rsidR="000A4A81" w:rsidRPr="00653BF4">
              <w:rPr>
                <w:rFonts w:ascii="Aptos" w:eastAsia="Aptos" w:hAnsi="Aptos" w:cs="Aptos"/>
                <w:color w:val="000000" w:themeColor="text1"/>
                <w:sz w:val="20"/>
                <w:szCs w:val="20"/>
                <w:lang w:val="fr-FR" w:eastAsia="zh-CN"/>
              </w:rPr>
              <w:t>4, 6</w:t>
            </w:r>
            <w:r w:rsidR="00540ECA" w:rsidRPr="00653BF4">
              <w:rPr>
                <w:rFonts w:ascii="Aptos" w:eastAsia="Aptos" w:hAnsi="Aptos" w:cs="Aptos"/>
                <w:color w:val="000000" w:themeColor="text1"/>
                <w:sz w:val="20"/>
                <w:szCs w:val="20"/>
                <w:lang w:val="fr-FR" w:eastAsia="zh-CN"/>
              </w:rPr>
              <w:t xml:space="preserve"> </w:t>
            </w:r>
            <w:r w:rsidR="007A4EF8">
              <w:rPr>
                <w:rFonts w:ascii="Aptos" w:eastAsia="Aptos" w:hAnsi="Aptos" w:cs="Aptos"/>
                <w:color w:val="000000" w:themeColor="text1"/>
                <w:sz w:val="20"/>
                <w:szCs w:val="20"/>
                <w:lang w:val="fr-FR" w:eastAsia="zh-CN"/>
              </w:rPr>
              <w:t>et</w:t>
            </w:r>
            <w:r w:rsidR="000A4A81" w:rsidRPr="00653BF4">
              <w:rPr>
                <w:rFonts w:ascii="Aptos" w:eastAsia="Aptos" w:hAnsi="Aptos" w:cs="Aptos"/>
                <w:color w:val="000000" w:themeColor="text1"/>
                <w:sz w:val="20"/>
                <w:szCs w:val="20"/>
                <w:lang w:val="fr-FR" w:eastAsia="zh-CN"/>
              </w:rPr>
              <w:t xml:space="preserve"> 19</w:t>
            </w:r>
            <w:r w:rsidR="00540ECA" w:rsidRPr="00653BF4">
              <w:rPr>
                <w:rFonts w:ascii="Aptos" w:eastAsia="Aptos" w:hAnsi="Aptos" w:cs="Aptos"/>
                <w:color w:val="000000" w:themeColor="text1"/>
                <w:sz w:val="20"/>
                <w:szCs w:val="20"/>
                <w:lang w:val="fr-FR" w:eastAsia="zh-CN"/>
              </w:rPr>
              <w:t>.</w:t>
            </w:r>
          </w:p>
          <w:p w14:paraId="225387F3" w14:textId="4FA7E321" w:rsidR="000A4A81" w:rsidRPr="00653BF4" w:rsidRDefault="000A4A81" w:rsidP="000F42F3">
            <w:pPr>
              <w:spacing w:line="276" w:lineRule="auto"/>
              <w:jc w:val="both"/>
              <w:rPr>
                <w:rFonts w:ascii="Aptos" w:eastAsia="Aptos" w:hAnsi="Aptos" w:cs="Aptos"/>
                <w:color w:val="000000" w:themeColor="text1"/>
                <w:sz w:val="20"/>
                <w:szCs w:val="20"/>
                <w:lang w:val="fr-FR" w:eastAsia="zh-CN"/>
              </w:rPr>
            </w:pPr>
            <w:r w:rsidRPr="00653BF4">
              <w:rPr>
                <w:rFonts w:ascii="Aptos" w:eastAsia="Aptos" w:hAnsi="Aptos" w:cs="Aptos"/>
                <w:i/>
                <w:color w:val="000000" w:themeColor="text1"/>
                <w:sz w:val="20"/>
                <w:szCs w:val="20"/>
                <w:lang w:val="fr-FR" w:eastAsia="zh-CN"/>
              </w:rPr>
              <w:t>Source</w:t>
            </w:r>
            <w:r w:rsidR="00E34DC9">
              <w:rPr>
                <w:rFonts w:ascii="Aptos" w:eastAsia="Aptos" w:hAnsi="Aptos" w:cs="Aptos"/>
                <w:i/>
                <w:color w:val="000000" w:themeColor="text1"/>
                <w:sz w:val="20"/>
                <w:szCs w:val="20"/>
                <w:lang w:val="fr-FR" w:eastAsia="zh-CN"/>
              </w:rPr>
              <w:t> :</w:t>
            </w:r>
            <w:r w:rsidRPr="00653BF4">
              <w:rPr>
                <w:rFonts w:ascii="Aptos" w:eastAsia="Aptos" w:hAnsi="Aptos" w:cs="Aptos"/>
                <w:i/>
                <w:color w:val="000000" w:themeColor="text1"/>
                <w:sz w:val="20"/>
                <w:szCs w:val="20"/>
                <w:lang w:val="fr-FR" w:eastAsia="zh-CN"/>
              </w:rPr>
              <w:t xml:space="preserve"> </w:t>
            </w:r>
            <w:r w:rsidR="007A4EF8">
              <w:rPr>
                <w:rFonts w:ascii="Aptos" w:eastAsia="Aptos" w:hAnsi="Aptos" w:cs="Aptos"/>
                <w:color w:val="000000" w:themeColor="text1"/>
                <w:sz w:val="20"/>
                <w:szCs w:val="20"/>
                <w:lang w:val="fr-FR" w:eastAsia="zh-CN"/>
              </w:rPr>
              <w:t>Afrique du Sud</w:t>
            </w:r>
            <w:r w:rsidRPr="00653BF4">
              <w:rPr>
                <w:rFonts w:ascii="Aptos" w:eastAsia="Aptos" w:hAnsi="Aptos" w:cs="Aptos"/>
                <w:color w:val="000000" w:themeColor="text1"/>
                <w:sz w:val="20"/>
                <w:szCs w:val="20"/>
                <w:lang w:val="fr-FR" w:eastAsia="zh-CN"/>
              </w:rPr>
              <w:t xml:space="preserve">, </w:t>
            </w:r>
            <w:r w:rsidR="007A4EF8" w:rsidRPr="007A4EF8">
              <w:rPr>
                <w:rFonts w:ascii="Aptos" w:eastAsia="Aptos" w:hAnsi="Aptos" w:cs="Aptos"/>
                <w:color w:val="000000" w:themeColor="text1"/>
                <w:sz w:val="20"/>
                <w:szCs w:val="20"/>
                <w:lang w:val="fr-FR" w:eastAsia="zh-CN"/>
              </w:rPr>
              <w:t>septième rapport national au titre de la Convention</w:t>
            </w:r>
            <w:r w:rsidR="00540ECA" w:rsidRPr="00653BF4">
              <w:rPr>
                <w:rFonts w:ascii="Aptos" w:eastAsia="Aptos" w:hAnsi="Aptos" w:cs="Aptos"/>
                <w:color w:val="000000" w:themeColor="text1"/>
                <w:sz w:val="20"/>
                <w:szCs w:val="20"/>
                <w:lang w:val="fr-FR" w:eastAsia="zh-CN"/>
              </w:rPr>
              <w:t>.</w:t>
            </w:r>
          </w:p>
          <w:p w14:paraId="5D5C6CBD" w14:textId="33CD1489" w:rsidR="006340D0" w:rsidRPr="00653BF4" w:rsidRDefault="006340D0" w:rsidP="00980EC3">
            <w:pPr>
              <w:rPr>
                <w:lang w:val="fr-FR" w:eastAsia="ja-JP"/>
              </w:rPr>
            </w:pPr>
          </w:p>
        </w:tc>
      </w:tr>
      <w:tr w:rsidR="002E142D" w:rsidRPr="00543148" w14:paraId="0437DAF2" w14:textId="77777777" w:rsidTr="00461950">
        <w:trPr>
          <w:trHeight w:val="274"/>
        </w:trPr>
        <w:tc>
          <w:tcPr>
            <w:tcW w:w="9350" w:type="dxa"/>
            <w:shd w:val="clear" w:color="auto" w:fill="D1D1D1" w:themeFill="background2" w:themeFillShade="E6"/>
          </w:tcPr>
          <w:p w14:paraId="357557E6" w14:textId="77777777" w:rsidR="00461950" w:rsidRDefault="00461950" w:rsidP="006A5D88">
            <w:pPr>
              <w:pStyle w:val="Caption"/>
              <w:keepNext/>
              <w:rPr>
                <w:i w:val="0"/>
                <w:iCs w:val="0"/>
                <w:sz w:val="20"/>
                <w:szCs w:val="20"/>
                <w:lang w:val="fr-FR"/>
              </w:rPr>
            </w:pPr>
          </w:p>
          <w:p w14:paraId="236861DA" w14:textId="3AC8691D" w:rsidR="006A5D88" w:rsidRPr="00653BF4" w:rsidRDefault="0024766A" w:rsidP="006A5D88">
            <w:pPr>
              <w:pStyle w:val="Caption"/>
              <w:keepNext/>
              <w:rPr>
                <w:i w:val="0"/>
                <w:iCs w:val="0"/>
                <w:sz w:val="20"/>
                <w:szCs w:val="20"/>
                <w:lang w:val="fr-FR"/>
              </w:rPr>
            </w:pPr>
            <w:r w:rsidRPr="00653BF4">
              <w:rPr>
                <w:i w:val="0"/>
                <w:iCs w:val="0"/>
                <w:sz w:val="20"/>
                <w:szCs w:val="20"/>
                <w:lang w:val="fr-FR"/>
              </w:rPr>
              <w:t>Encadré</w:t>
            </w:r>
            <w:r w:rsidR="006A5D88" w:rsidRPr="00653BF4">
              <w:rPr>
                <w:i w:val="0"/>
                <w:iCs w:val="0"/>
                <w:sz w:val="20"/>
                <w:szCs w:val="20"/>
                <w:lang w:val="fr-FR"/>
              </w:rPr>
              <w:t xml:space="preserve"> </w:t>
            </w:r>
            <w:r w:rsidR="008306DF" w:rsidRPr="00653BF4">
              <w:rPr>
                <w:i w:val="0"/>
                <w:iCs w:val="0"/>
                <w:noProof/>
                <w:sz w:val="20"/>
                <w:szCs w:val="20"/>
                <w:lang w:val="fr-FR"/>
              </w:rPr>
              <w:t>23</w:t>
            </w:r>
            <w:r w:rsidR="006A5D88" w:rsidRPr="00653BF4">
              <w:rPr>
                <w:i w:val="0"/>
                <w:iCs w:val="0"/>
                <w:sz w:val="20"/>
                <w:szCs w:val="20"/>
                <w:lang w:val="fr-FR"/>
              </w:rPr>
              <w:t xml:space="preserve"> </w:t>
            </w:r>
          </w:p>
          <w:p w14:paraId="60C263A4" w14:textId="2DECD11E" w:rsidR="000D568A" w:rsidRPr="00653BF4" w:rsidRDefault="00B76C13" w:rsidP="006A5D88">
            <w:pPr>
              <w:pStyle w:val="NormalWeb"/>
              <w:rPr>
                <w:rFonts w:asciiTheme="minorHAnsi" w:hAnsiTheme="minorHAnsi"/>
                <w:color w:val="000000"/>
                <w:lang w:val="fr-FR"/>
              </w:rPr>
            </w:pPr>
            <w:r w:rsidRPr="00B76C13">
              <w:rPr>
                <w:rFonts w:asciiTheme="minorHAnsi" w:hAnsiTheme="minorHAnsi"/>
                <w:b/>
                <w:bCs/>
                <w:sz w:val="20"/>
                <w:szCs w:val="20"/>
                <w:lang w:val="fr-FR"/>
              </w:rPr>
              <w:t>Collaboration transfrontalière et technologie de l'ADN environnemental pour lutte</w:t>
            </w:r>
            <w:r>
              <w:rPr>
                <w:rFonts w:asciiTheme="minorHAnsi" w:hAnsiTheme="minorHAnsi"/>
                <w:b/>
                <w:bCs/>
                <w:sz w:val="20"/>
                <w:szCs w:val="20"/>
                <w:lang w:val="fr-FR"/>
              </w:rPr>
              <w:t>r</w:t>
            </w:r>
            <w:r w:rsidRPr="00B76C13">
              <w:rPr>
                <w:rFonts w:asciiTheme="minorHAnsi" w:hAnsiTheme="minorHAnsi"/>
                <w:b/>
                <w:bCs/>
                <w:sz w:val="20"/>
                <w:szCs w:val="20"/>
                <w:lang w:val="fr-FR"/>
              </w:rPr>
              <w:t xml:space="preserve"> contre l'invasion du rat musqué et du ragondin</w:t>
            </w:r>
          </w:p>
          <w:p w14:paraId="1E9092E7" w14:textId="4CF1E852" w:rsidR="000D568A" w:rsidRPr="00B76C13" w:rsidRDefault="00B76C13" w:rsidP="00EF09FC">
            <w:pPr>
              <w:pStyle w:val="NormalWeb"/>
              <w:spacing w:line="276" w:lineRule="auto"/>
              <w:rPr>
                <w:rFonts w:ascii="Aptos" w:hAnsi="Aptos"/>
                <w:color w:val="000000"/>
                <w:sz w:val="20"/>
                <w:szCs w:val="20"/>
                <w:lang w:val="fr-FR"/>
              </w:rPr>
            </w:pPr>
            <w:r w:rsidRPr="00B76C13">
              <w:rPr>
                <w:rFonts w:ascii="Aptos" w:hAnsi="Aptos"/>
                <w:color w:val="000000"/>
                <w:sz w:val="20"/>
                <w:szCs w:val="20"/>
                <w:lang w:val="fr-FR"/>
              </w:rPr>
              <w:t>Le Royaume des Pays-Bas est confronté à des problèmes persistants liés à la présence de mammifères semi-aquatiques envahissants, en particulier le rat musqué (</w:t>
            </w:r>
            <w:r w:rsidRPr="00B76C13">
              <w:rPr>
                <w:rFonts w:ascii="Aptos" w:hAnsi="Aptos"/>
                <w:i/>
                <w:iCs/>
                <w:color w:val="000000"/>
                <w:sz w:val="20"/>
                <w:szCs w:val="20"/>
                <w:lang w:val="fr-FR"/>
              </w:rPr>
              <w:t>Ondatra zibethicus</w:t>
            </w:r>
            <w:r w:rsidRPr="00B76C13">
              <w:rPr>
                <w:rFonts w:ascii="Aptos" w:hAnsi="Aptos"/>
                <w:color w:val="000000"/>
                <w:sz w:val="20"/>
                <w:szCs w:val="20"/>
                <w:lang w:val="fr-FR"/>
              </w:rPr>
              <w:t>) et le ragondin (</w:t>
            </w:r>
            <w:r w:rsidRPr="00B76C13">
              <w:rPr>
                <w:rFonts w:ascii="Aptos" w:hAnsi="Aptos"/>
                <w:i/>
                <w:iCs/>
                <w:color w:val="000000"/>
                <w:sz w:val="20"/>
                <w:szCs w:val="20"/>
                <w:lang w:val="fr-FR"/>
              </w:rPr>
              <w:t>Myocastor coypus</w:t>
            </w:r>
            <w:r w:rsidRPr="00B76C13">
              <w:rPr>
                <w:rFonts w:ascii="Aptos" w:hAnsi="Aptos"/>
                <w:color w:val="000000"/>
                <w:sz w:val="20"/>
                <w:szCs w:val="20"/>
                <w:lang w:val="fr-FR"/>
              </w:rPr>
              <w:t>), dont les activités de creusement fragilisent les digues, les berges et d’autres infrastructures de gestion de l’eau. Ces impacts font peser des risques importants sur la protection contre les inondations et la sécurité de l’approvisionnement en eau dans un pays où de vastes zones se trouvent sous le niveau de la mer. Les efforts de gestion ont été encore compliqués par la dispersion continue de rats musqués en provenance des pays voisins, notamment de l’Allemagne, ce qui rend difficile leur éradication totale à l’intérieur des frontières nationales. Les méthodes traditionnelles de piégeage nécessitent par ailleurs des ressources humaines et financières considérables, tandis que la nature cachée des réseaux de terriers complique la détection et l’élimination de ces espèces.</w:t>
            </w:r>
            <w:r w:rsidR="00F62E95" w:rsidRPr="00653BF4">
              <w:rPr>
                <w:rFonts w:ascii="Aptos" w:hAnsi="Aptos"/>
                <w:color w:val="000000"/>
                <w:sz w:val="20"/>
                <w:szCs w:val="20"/>
                <w:lang w:val="fr-FR"/>
              </w:rPr>
              <w:t xml:space="preserve"> </w:t>
            </w:r>
          </w:p>
          <w:p w14:paraId="2B605793" w14:textId="585D6420" w:rsidR="000D568A" w:rsidRPr="00653BF4" w:rsidRDefault="00B76C13" w:rsidP="00EF09FC">
            <w:pPr>
              <w:pStyle w:val="NormalWeb"/>
              <w:spacing w:line="276" w:lineRule="auto"/>
              <w:rPr>
                <w:rFonts w:ascii="Aptos" w:hAnsi="Aptos"/>
                <w:color w:val="212121"/>
                <w:sz w:val="20"/>
                <w:szCs w:val="20"/>
                <w:lang w:val="fr-FR"/>
              </w:rPr>
            </w:pPr>
            <w:r w:rsidRPr="00B76C13">
              <w:rPr>
                <w:rFonts w:ascii="Aptos" w:hAnsi="Aptos"/>
                <w:color w:val="000000"/>
                <w:sz w:val="20"/>
                <w:szCs w:val="20"/>
                <w:lang w:val="fr-FR"/>
              </w:rPr>
              <w:t>Depuis le lancement d’un programme national de réduction des populations en 2019, des mesures de gestion ont été mises en œuvre sur l’ensemble des voies navigables intérieures, des zones humides, des berges et des régions frontalières à travers tout le pays. L’une des caractéristiques déterminantes de ce programme réside dans l’utilisation de techniques d’ADN environnemental (eDNA), qui reposent sur le prélèvement d’échantillons d’eau et l’analyse par réaction en chaîne par polymérase quantitative afin de détecter la présence d’espèces de manière efficace et précise. Ces méthodes complètent le piégeage conventionnel en atténuant les coûts de suivi, en améliorant la précision de la détection et en minimisant les impacts sur les espèces non ciblées. La coopération transfrontalière a également facilité le développement de systèmes de piégeage intelligents, de protocoles standardisés de collecte de données et de mesures de gestion coordonnées.</w:t>
            </w:r>
            <w:r w:rsidR="000D568A" w:rsidRPr="00653BF4">
              <w:rPr>
                <w:rFonts w:ascii="Aptos" w:hAnsi="Aptos"/>
                <w:color w:val="000000"/>
                <w:sz w:val="20"/>
                <w:szCs w:val="20"/>
                <w:lang w:val="fr-FR"/>
              </w:rPr>
              <w:t> </w:t>
            </w:r>
          </w:p>
          <w:p w14:paraId="2A0C69F6" w14:textId="40605CB3" w:rsidR="00E14BE8" w:rsidRPr="00653BF4" w:rsidRDefault="00B76C13" w:rsidP="00EF09FC">
            <w:pPr>
              <w:pStyle w:val="NormalWeb"/>
              <w:spacing w:line="276" w:lineRule="auto"/>
              <w:rPr>
                <w:rFonts w:ascii="Aptos" w:hAnsi="Aptos"/>
                <w:color w:val="212121"/>
                <w:sz w:val="20"/>
                <w:szCs w:val="20"/>
                <w:lang w:val="fr-FR"/>
              </w:rPr>
            </w:pPr>
            <w:r w:rsidRPr="00B76C13">
              <w:rPr>
                <w:rFonts w:ascii="Aptos" w:hAnsi="Aptos"/>
                <w:color w:val="000000"/>
                <w:sz w:val="20"/>
                <w:szCs w:val="20"/>
                <w:lang w:val="fr-FR"/>
              </w:rPr>
              <w:t>L'un des objectifs centraux du programme consiste à éliminer les populations viables de ragondins dans l'arrière-pays et à confiner les populations de rats musqués aux zones frontalières, avec pour cible d'éradiquer du pays, d'ici 2034, toutes les populations de rats musqués autonomes de l'arrière-pays. Le programme a donné des conclusions significatives, notamment l'éradication réussie des ragondins dans l'arrière-pays et une réduction spectaculaire de l'abondance des rats musqués. Les captures annuelles de rats musqués ont diminué, passant d’environ 500 000 individus à 85 000, ce qui témoigne d’une réduction significative de la pression démographique et des dégâts causés aux infrastructures qui y sont associés.</w:t>
            </w:r>
          </w:p>
          <w:p w14:paraId="3949C7C0" w14:textId="2A1D9D8B" w:rsidR="000D568A" w:rsidRPr="00653BF4" w:rsidRDefault="00B76C13" w:rsidP="00EF09FC">
            <w:pPr>
              <w:pStyle w:val="NormalWeb"/>
              <w:spacing w:line="276" w:lineRule="auto"/>
              <w:rPr>
                <w:rStyle w:val="apple-converted-space"/>
                <w:rFonts w:ascii="Aptos" w:hAnsi="Aptos"/>
                <w:color w:val="000000"/>
                <w:sz w:val="20"/>
                <w:szCs w:val="20"/>
                <w:lang w:val="fr-FR"/>
              </w:rPr>
            </w:pPr>
            <w:r w:rsidRPr="00B76C13">
              <w:rPr>
                <w:rFonts w:ascii="Aptos" w:hAnsi="Aptos"/>
                <w:color w:val="000000"/>
                <w:sz w:val="20"/>
                <w:szCs w:val="20"/>
                <w:lang w:val="fr-FR"/>
              </w:rPr>
              <w:t>Pour ce qui est de la mise en œuvre, ce sont les autorités chargées de la gestion de l'eau qui supervisent les opérations sur le terrain, déploient des équipes professionnelles de capture et coordonnent les mesures de contrôle aux frontières. Les agences nationales engagent un dialogue avec les pays voisins afin de renforcer la coordination des efforts de gestion. Les instituts de recherche contribuent au développement et à l'application de technologies de suivi innovantes, tandis que les citoyens participent par le biais de plateformes officielles d'établissement de rapports qui fournissent l'appui nécessaire à la surveillance et à la détection précoce</w:t>
            </w:r>
            <w:r w:rsidR="000D568A" w:rsidRPr="00653BF4">
              <w:rPr>
                <w:rFonts w:ascii="Aptos" w:hAnsi="Aptos"/>
                <w:color w:val="000000"/>
                <w:sz w:val="20"/>
                <w:szCs w:val="20"/>
                <w:lang w:val="fr-FR"/>
              </w:rPr>
              <w:t>.</w:t>
            </w:r>
            <w:r w:rsidR="000D568A" w:rsidRPr="00653BF4">
              <w:rPr>
                <w:rStyle w:val="apple-converted-space"/>
                <w:rFonts w:ascii="Aptos" w:hAnsi="Aptos"/>
                <w:color w:val="000000"/>
                <w:sz w:val="20"/>
                <w:szCs w:val="20"/>
                <w:lang w:val="fr-FR"/>
              </w:rPr>
              <w:t> </w:t>
            </w:r>
          </w:p>
          <w:p w14:paraId="56F66994" w14:textId="6F52EF01" w:rsidR="00C646E9" w:rsidRPr="00653BF4" w:rsidRDefault="00904C13" w:rsidP="006A5D88">
            <w:pPr>
              <w:pStyle w:val="NormalWeb"/>
              <w:spacing w:line="276" w:lineRule="auto"/>
              <w:rPr>
                <w:rStyle w:val="apple-converted-space"/>
                <w:rFonts w:asciiTheme="minorHAnsi" w:hAnsiTheme="minorHAnsi"/>
                <w:sz w:val="20"/>
                <w:szCs w:val="20"/>
                <w:lang w:val="fr-FR"/>
              </w:rPr>
            </w:pPr>
            <w:r w:rsidRPr="00653BF4">
              <w:rPr>
                <w:rStyle w:val="apple-converted-space"/>
                <w:rFonts w:asciiTheme="minorHAnsi" w:hAnsiTheme="minorHAnsi"/>
                <w:i/>
                <w:sz w:val="20"/>
                <w:szCs w:val="20"/>
                <w:lang w:val="fr-FR"/>
              </w:rPr>
              <w:lastRenderedPageBreak/>
              <w:t>C</w:t>
            </w:r>
            <w:r w:rsidR="001345EC" w:rsidRPr="00653BF4">
              <w:rPr>
                <w:rStyle w:val="apple-converted-space"/>
                <w:rFonts w:asciiTheme="minorHAnsi" w:hAnsiTheme="minorHAnsi"/>
                <w:i/>
                <w:sz w:val="20"/>
                <w:szCs w:val="20"/>
                <w:lang w:val="fr-FR"/>
              </w:rPr>
              <w:t>ibles concernées</w:t>
            </w:r>
            <w:r w:rsidR="00E34DC9">
              <w:rPr>
                <w:rStyle w:val="apple-converted-space"/>
                <w:rFonts w:asciiTheme="minorHAnsi" w:hAnsiTheme="minorHAnsi"/>
                <w:i/>
                <w:sz w:val="20"/>
                <w:szCs w:val="20"/>
                <w:lang w:val="fr-FR"/>
              </w:rPr>
              <w:t> :</w:t>
            </w:r>
            <w:r w:rsidR="00C646E9" w:rsidRPr="00653BF4">
              <w:rPr>
                <w:rStyle w:val="apple-converted-space"/>
                <w:rFonts w:asciiTheme="minorHAnsi" w:hAnsiTheme="minorHAnsi"/>
                <w:i/>
                <w:sz w:val="20"/>
                <w:szCs w:val="20"/>
                <w:lang w:val="fr-FR"/>
              </w:rPr>
              <w:t xml:space="preserve"> </w:t>
            </w:r>
            <w:r w:rsidR="00C646E9" w:rsidRPr="00653BF4">
              <w:rPr>
                <w:rStyle w:val="apple-converted-space"/>
                <w:rFonts w:asciiTheme="minorHAnsi" w:hAnsiTheme="minorHAnsi"/>
                <w:sz w:val="20"/>
                <w:szCs w:val="20"/>
                <w:lang w:val="fr-FR"/>
              </w:rPr>
              <w:t>4, 6, 20</w:t>
            </w:r>
            <w:r w:rsidR="00F62554" w:rsidRPr="00653BF4">
              <w:rPr>
                <w:rStyle w:val="apple-converted-space"/>
                <w:rFonts w:asciiTheme="minorHAnsi" w:hAnsiTheme="minorHAnsi"/>
                <w:sz w:val="20"/>
                <w:szCs w:val="20"/>
                <w:lang w:val="fr-FR"/>
              </w:rPr>
              <w:t xml:space="preserve"> </w:t>
            </w:r>
            <w:r w:rsidR="00B76C13">
              <w:rPr>
                <w:rStyle w:val="apple-converted-space"/>
                <w:rFonts w:asciiTheme="minorHAnsi" w:hAnsiTheme="minorHAnsi"/>
                <w:sz w:val="20"/>
                <w:szCs w:val="20"/>
                <w:lang w:val="fr-FR"/>
              </w:rPr>
              <w:t>e</w:t>
            </w:r>
            <w:r w:rsidR="00B76C13" w:rsidRPr="004A6081">
              <w:rPr>
                <w:rStyle w:val="apple-converted-space"/>
                <w:rFonts w:asciiTheme="minorHAnsi" w:hAnsiTheme="minorHAnsi"/>
                <w:sz w:val="20"/>
                <w:szCs w:val="20"/>
                <w:lang w:val="fr-CA"/>
              </w:rPr>
              <w:t>t</w:t>
            </w:r>
            <w:r w:rsidR="00C646E9" w:rsidRPr="00653BF4">
              <w:rPr>
                <w:rStyle w:val="apple-converted-space"/>
                <w:rFonts w:asciiTheme="minorHAnsi" w:hAnsiTheme="minorHAnsi"/>
                <w:sz w:val="20"/>
                <w:szCs w:val="20"/>
                <w:lang w:val="fr-FR"/>
              </w:rPr>
              <w:t xml:space="preserve"> 21</w:t>
            </w:r>
            <w:r w:rsidR="00F62554" w:rsidRPr="00653BF4">
              <w:rPr>
                <w:rStyle w:val="apple-converted-space"/>
                <w:rFonts w:asciiTheme="minorHAnsi" w:hAnsiTheme="minorHAnsi"/>
                <w:sz w:val="20"/>
                <w:szCs w:val="20"/>
                <w:lang w:val="fr-FR"/>
              </w:rPr>
              <w:t>.</w:t>
            </w:r>
          </w:p>
          <w:p w14:paraId="4950C1CC" w14:textId="53C81C52" w:rsidR="00C646E9" w:rsidRPr="00653BF4" w:rsidRDefault="00C646E9" w:rsidP="006A5D88">
            <w:pPr>
              <w:pStyle w:val="NormalWeb"/>
              <w:spacing w:line="276" w:lineRule="auto"/>
              <w:rPr>
                <w:rFonts w:asciiTheme="minorHAnsi" w:hAnsiTheme="minorHAnsi"/>
                <w:color w:val="212121"/>
                <w:sz w:val="20"/>
                <w:szCs w:val="20"/>
                <w:lang w:val="fr-FR"/>
              </w:rPr>
            </w:pPr>
            <w:r w:rsidRPr="00653BF4">
              <w:rPr>
                <w:rStyle w:val="apple-converted-space"/>
                <w:rFonts w:asciiTheme="minorHAnsi" w:hAnsiTheme="minorHAnsi"/>
                <w:i/>
                <w:sz w:val="20"/>
                <w:szCs w:val="20"/>
                <w:lang w:val="fr-FR"/>
              </w:rPr>
              <w:t>Source</w:t>
            </w:r>
            <w:r w:rsidR="00E34DC9">
              <w:rPr>
                <w:rStyle w:val="apple-converted-space"/>
                <w:rFonts w:asciiTheme="minorHAnsi" w:hAnsiTheme="minorHAnsi"/>
                <w:i/>
                <w:sz w:val="20"/>
                <w:szCs w:val="20"/>
                <w:lang w:val="fr-FR"/>
              </w:rPr>
              <w:t> :</w:t>
            </w:r>
            <w:r w:rsidRPr="00653BF4">
              <w:rPr>
                <w:rStyle w:val="apple-converted-space"/>
                <w:rFonts w:asciiTheme="minorHAnsi" w:hAnsiTheme="minorHAnsi"/>
                <w:i/>
                <w:sz w:val="20"/>
                <w:szCs w:val="20"/>
                <w:lang w:val="fr-FR"/>
              </w:rPr>
              <w:t xml:space="preserve"> </w:t>
            </w:r>
            <w:r w:rsidR="008B5420" w:rsidRPr="008B5420">
              <w:rPr>
                <w:rStyle w:val="apple-converted-space"/>
                <w:rFonts w:asciiTheme="minorHAnsi" w:hAnsiTheme="minorHAnsi"/>
                <w:sz w:val="20"/>
                <w:szCs w:val="20"/>
                <w:lang w:val="fr-FR"/>
              </w:rPr>
              <w:t>Royaume des Pays-Bas, septième rapport national au titre de la Convention</w:t>
            </w:r>
            <w:r w:rsidR="00F62554" w:rsidRPr="00653BF4">
              <w:rPr>
                <w:rStyle w:val="apple-converted-space"/>
                <w:rFonts w:asciiTheme="minorHAnsi" w:hAnsiTheme="minorHAnsi"/>
                <w:sz w:val="20"/>
                <w:szCs w:val="20"/>
                <w:lang w:val="fr-FR"/>
              </w:rPr>
              <w:t>.</w:t>
            </w:r>
          </w:p>
          <w:p w14:paraId="08E2EA01" w14:textId="77777777" w:rsidR="002E142D" w:rsidRPr="00653BF4" w:rsidRDefault="002E142D" w:rsidP="00B908BE">
            <w:pPr>
              <w:rPr>
                <w:i/>
                <w:iCs/>
                <w:lang w:val="fr-FR" w:eastAsia="ja-JP"/>
              </w:rPr>
            </w:pPr>
          </w:p>
        </w:tc>
      </w:tr>
    </w:tbl>
    <w:p w14:paraId="547F892B" w14:textId="77777777" w:rsidR="002E142D" w:rsidRPr="00653BF4" w:rsidRDefault="002E142D" w:rsidP="00B908BE">
      <w:pPr>
        <w:rPr>
          <w:i/>
          <w:iCs/>
          <w:lang w:val="fr-FR" w:eastAsia="ja-JP"/>
        </w:rPr>
      </w:pPr>
    </w:p>
    <w:p w14:paraId="24D76EFE" w14:textId="36D1C5B0" w:rsidR="00C2078E" w:rsidRPr="00653BF4" w:rsidRDefault="00415859" w:rsidP="00601DF3">
      <w:pPr>
        <w:pStyle w:val="Heading6"/>
        <w:rPr>
          <w:lang w:val="fr-FR" w:eastAsia="ja-JP"/>
        </w:rPr>
      </w:pPr>
      <w:r w:rsidRPr="00653BF4">
        <w:rPr>
          <w:lang w:val="fr-FR" w:eastAsia="ja-JP"/>
        </w:rPr>
        <w:t>Difficulté</w:t>
      </w:r>
      <w:r w:rsidR="00DD19D2" w:rsidRPr="00653BF4">
        <w:rPr>
          <w:lang w:val="fr-FR" w:eastAsia="ja-JP"/>
        </w:rPr>
        <w:t>s</w:t>
      </w:r>
    </w:p>
    <w:p w14:paraId="297F85A1" w14:textId="77777777" w:rsidR="000A4A81" w:rsidRPr="00653BF4" w:rsidRDefault="000A4A81" w:rsidP="000A4A81">
      <w:pPr>
        <w:rPr>
          <w:lang w:val="fr-FR" w:eastAsia="ja-JP"/>
        </w:rPr>
      </w:pPr>
    </w:p>
    <w:p w14:paraId="50BAABEF" w14:textId="45F36B70" w:rsidR="00B72FBE" w:rsidRPr="00653BF4" w:rsidRDefault="008B5420" w:rsidP="00B72FBE">
      <w:pPr>
        <w:rPr>
          <w:lang w:val="fr-FR"/>
        </w:rPr>
      </w:pPr>
      <w:r w:rsidRPr="008B5420">
        <w:rPr>
          <w:lang w:val="fr-FR"/>
        </w:rPr>
        <w:t>Les Parties font état du fait que l’absence de données de référence et de systèmes de suivi pour les espèces exotiques envahissantes peut entraver les évaluations d’impact indispensables à la justification des mesures nationales de réglementation et de gestion. En outre, sans données de référence, il est impossible de calculer les taux d’introduction ou d’établissement, ni de vérifier les progrès accomplis vers l’</w:t>
      </w:r>
      <w:r w:rsidR="002878D7">
        <w:rPr>
          <w:lang w:val="fr-FR"/>
        </w:rPr>
        <w:t>objectif D</w:t>
      </w:r>
      <w:r w:rsidRPr="008B5420">
        <w:rPr>
          <w:lang w:val="fr-FR"/>
        </w:rPr>
        <w:t>e réduction de 50</w:t>
      </w:r>
      <w:r w:rsidR="002878D7">
        <w:rPr>
          <w:lang w:val="fr-FR"/>
        </w:rPr>
        <w:t> %</w:t>
      </w:r>
      <w:r w:rsidRPr="008B5420">
        <w:rPr>
          <w:lang w:val="fr-FR"/>
        </w:rPr>
        <w:t xml:space="preserve">. Les systèmes fonctionnels de détection précoce et d’intervention rapide font souvent défaut ou sont insuffisamment développés. La réapparition et la réinvasion d’espèces exotiques envahissantes en provenance de pays voisins ou d’autres régions peuvent compromettre les efforts d’éradication, qui sont souvent de courte durée et localisés. Plusieurs Parties soulignent que l’absence de législation spécifique aux espèces exotiques envahissantes constitue un obstacle à la mise en œuvre de la </w:t>
      </w:r>
      <w:r w:rsidR="00E34DC9">
        <w:rPr>
          <w:lang w:val="fr-FR"/>
        </w:rPr>
        <w:t>cible 6</w:t>
      </w:r>
      <w:r w:rsidRPr="008B5420">
        <w:rPr>
          <w:lang w:val="fr-FR"/>
        </w:rPr>
        <w:t>. Les contraintes financières sont également évoquées, car l’absence de financement durable empêche les efforts à long terme requis pour contrôler ou éradiquer les populations d’espèces envahissantes. L’absence d’intégration sectorielle dans la gestion des espèces exotiques envahissantes a été prise note comme un autre obstacle à la maîtrise de leur propagation. Certaines Parties signalent que, malgré les mesures de lutte, les taux d’établissement des espèces exotiques envahissantes continuent à augmenter. Certaines Parties soulignent également les difficultés particulières posées par les espèces aquatiques envahissantes, qui sont souvent plus difficiles à détecter et à gérer.</w:t>
      </w:r>
    </w:p>
    <w:p w14:paraId="477F42A6" w14:textId="77777777" w:rsidR="004A1EBB" w:rsidRPr="00653BF4" w:rsidRDefault="004A1EBB" w:rsidP="00601DF3">
      <w:pPr>
        <w:rPr>
          <w:lang w:val="fr-FR"/>
        </w:rPr>
      </w:pPr>
    </w:p>
    <w:p w14:paraId="653E8A2A" w14:textId="315F729E" w:rsidR="004A1EBB" w:rsidRPr="00653BF4" w:rsidRDefault="00BC4559" w:rsidP="00D3143B">
      <w:pPr>
        <w:pStyle w:val="Heading5"/>
        <w:rPr>
          <w:lang w:val="fr-FR"/>
        </w:rPr>
      </w:pPr>
      <w:r w:rsidRPr="00653BF4">
        <w:rPr>
          <w:lang w:val="fr-FR"/>
        </w:rPr>
        <w:t>Contributions de la part d</w:t>
      </w:r>
      <w:r w:rsidR="002A58C8" w:rsidRPr="00653BF4">
        <w:rPr>
          <w:lang w:val="fr-FR"/>
        </w:rPr>
        <w:t>’</w:t>
      </w:r>
      <w:r w:rsidRPr="00653BF4">
        <w:rPr>
          <w:lang w:val="fr-FR"/>
        </w:rPr>
        <w:t>acteurs autres que les gouvernements nationaux</w:t>
      </w:r>
    </w:p>
    <w:p w14:paraId="25E05952" w14:textId="77777777" w:rsidR="00766EE7" w:rsidRPr="00653BF4" w:rsidRDefault="00766EE7" w:rsidP="00766EE7">
      <w:pPr>
        <w:rPr>
          <w:lang w:val="fr-FR"/>
        </w:rPr>
      </w:pPr>
    </w:p>
    <w:p w14:paraId="492CD875" w14:textId="2BCA6AFB" w:rsidR="00B078D1" w:rsidRPr="00653BF4" w:rsidRDefault="00200AEB" w:rsidP="00731084">
      <w:pPr>
        <w:pStyle w:val="Heading6"/>
        <w:rPr>
          <w:lang w:val="fr-FR"/>
        </w:rPr>
      </w:pPr>
      <w:r w:rsidRPr="00653BF4">
        <w:rPr>
          <w:lang w:val="fr-FR"/>
        </w:rPr>
        <w:t>Engagements communiqués directement via l</w:t>
      </w:r>
      <w:r w:rsidR="002A58C8" w:rsidRPr="00653BF4">
        <w:rPr>
          <w:lang w:val="fr-FR"/>
        </w:rPr>
        <w:t>’</w:t>
      </w:r>
      <w:r w:rsidRPr="00653BF4">
        <w:rPr>
          <w:lang w:val="fr-FR"/>
        </w:rPr>
        <w:t>outil de présentation des rapports en ligne</w:t>
      </w:r>
    </w:p>
    <w:p w14:paraId="73597569" w14:textId="77777777" w:rsidR="00766EE7" w:rsidRPr="00653BF4" w:rsidRDefault="00766EE7" w:rsidP="00766EE7">
      <w:pPr>
        <w:rPr>
          <w:lang w:val="fr-FR"/>
        </w:rPr>
      </w:pPr>
    </w:p>
    <w:p w14:paraId="26ED9963" w14:textId="15A11B7C" w:rsidR="00F33843" w:rsidRPr="00653BF4" w:rsidRDefault="00255D1A" w:rsidP="00324C2D">
      <w:pPr>
        <w:rPr>
          <w:lang w:val="fr-FR"/>
        </w:rPr>
      </w:pPr>
      <w:r w:rsidRPr="00255D1A">
        <w:rPr>
          <w:lang w:val="fr-FR"/>
        </w:rPr>
        <w:t>Sur les 180 engagements de fond présentés par des acteurs autres que les gouvernements nationaux</w:t>
      </w:r>
      <w:r w:rsidR="00A2580E" w:rsidRPr="00653BF4">
        <w:rPr>
          <w:lang w:val="fr-FR"/>
        </w:rPr>
        <w:t xml:space="preserve">, </w:t>
      </w:r>
      <w:r>
        <w:rPr>
          <w:lang w:val="fr-FR"/>
        </w:rPr>
        <w:t>seulement</w:t>
      </w:r>
      <w:r w:rsidR="00A2580E" w:rsidRPr="00653BF4">
        <w:rPr>
          <w:lang w:val="fr-FR"/>
        </w:rPr>
        <w:t xml:space="preserve"> 5 </w:t>
      </w:r>
      <w:r>
        <w:rPr>
          <w:lang w:val="fr-FR"/>
        </w:rPr>
        <w:t xml:space="preserve">sont principalement associés à la </w:t>
      </w:r>
      <w:r w:rsidR="00E34DC9">
        <w:rPr>
          <w:lang w:val="fr-FR"/>
        </w:rPr>
        <w:t>cible 6</w:t>
      </w:r>
      <w:r w:rsidR="00A2580E" w:rsidRPr="00653BF4">
        <w:rPr>
          <w:lang w:val="fr-FR"/>
        </w:rPr>
        <w:t xml:space="preserve">. </w:t>
      </w:r>
      <w:r w:rsidRPr="00255D1A">
        <w:rPr>
          <w:lang w:val="fr-FR"/>
        </w:rPr>
        <w:t xml:space="preserve">Quatre de ces engagements proviennent d'ONG, et un, d'un établissement universitaire et de recherche. Quatre des cinq engagements portent sur les données et les connaissances, soulignant </w:t>
      </w:r>
      <w:r w:rsidRPr="00255D1A">
        <w:rPr>
          <w:lang w:val="fr-FR"/>
        </w:rPr>
        <w:lastRenderedPageBreak/>
        <w:t xml:space="preserve">l'importance du suivi, des systèmes d'alerte précoce et du partage des connaissances dans la gestion des espèces exotiques envahissantes. Quatre de ces engagements concernent des pays européens, tandis qu'un autre traite de la gestion des espèces envahissantes dans les pâturages en Afrique (voir </w:t>
      </w:r>
      <w:r w:rsidR="00E42FFC">
        <w:rPr>
          <w:lang w:val="fr-FR"/>
        </w:rPr>
        <w:t>l’</w:t>
      </w:r>
      <w:r w:rsidRPr="00255D1A">
        <w:rPr>
          <w:lang w:val="fr-FR"/>
        </w:rPr>
        <w:t>encadré 24).</w:t>
      </w:r>
    </w:p>
    <w:p w14:paraId="34DAC249" w14:textId="7122CB5E" w:rsidR="00D102C3" w:rsidRPr="00653BF4" w:rsidRDefault="00D102C3" w:rsidP="00D102C3">
      <w:pPr>
        <w:pStyle w:val="Caption"/>
        <w:keepNext/>
        <w:rPr>
          <w:b/>
          <w:i w:val="0"/>
          <w:sz w:val="20"/>
          <w:szCs w:val="20"/>
          <w:lang w:val="fr-FR"/>
        </w:rPr>
      </w:pPr>
    </w:p>
    <w:tbl>
      <w:tblPr>
        <w:tblStyle w:val="TableGrid"/>
        <w:tblW w:w="0" w:type="auto"/>
        <w:tblLook w:val="04A0" w:firstRow="1" w:lastRow="0" w:firstColumn="1" w:lastColumn="0" w:noHBand="0" w:noVBand="1"/>
      </w:tblPr>
      <w:tblGrid>
        <w:gridCol w:w="9016"/>
      </w:tblGrid>
      <w:tr w:rsidR="00A231A2" w:rsidRPr="00543148" w14:paraId="47DBFB42" w14:textId="77777777" w:rsidTr="38573CF5">
        <w:tc>
          <w:tcPr>
            <w:tcW w:w="9016" w:type="dxa"/>
            <w:shd w:val="clear" w:color="auto" w:fill="E8E8E8" w:themeFill="background2"/>
          </w:tcPr>
          <w:p w14:paraId="3EE20560" w14:textId="77777777" w:rsidR="001C55AD" w:rsidRPr="00653BF4" w:rsidRDefault="001C55AD" w:rsidP="00731084">
            <w:pPr>
              <w:rPr>
                <w:i/>
                <w:iCs/>
                <w:lang w:val="fr-FR"/>
              </w:rPr>
            </w:pPr>
          </w:p>
          <w:p w14:paraId="5F88A838" w14:textId="7E5E51EF" w:rsidR="00750E59" w:rsidRPr="00653BF4" w:rsidRDefault="0024766A" w:rsidP="00750E59">
            <w:pPr>
              <w:pStyle w:val="Caption"/>
              <w:keepNext/>
              <w:rPr>
                <w:i w:val="0"/>
                <w:iCs w:val="0"/>
                <w:sz w:val="20"/>
                <w:szCs w:val="20"/>
                <w:lang w:val="fr-FR"/>
              </w:rPr>
            </w:pPr>
            <w:bookmarkStart w:id="152" w:name="_Ref230814913"/>
            <w:r w:rsidRPr="00653BF4">
              <w:rPr>
                <w:i w:val="0"/>
                <w:iCs w:val="0"/>
                <w:sz w:val="20"/>
                <w:szCs w:val="20"/>
                <w:lang w:val="fr-FR"/>
              </w:rPr>
              <w:t>Encadré</w:t>
            </w:r>
            <w:r w:rsidR="00750E59" w:rsidRPr="00653BF4">
              <w:rPr>
                <w:i w:val="0"/>
                <w:iCs w:val="0"/>
                <w:sz w:val="20"/>
                <w:szCs w:val="20"/>
                <w:lang w:val="fr-FR"/>
              </w:rPr>
              <w:t xml:space="preserve"> </w:t>
            </w:r>
            <w:r w:rsidR="008306DF" w:rsidRPr="00653BF4">
              <w:rPr>
                <w:i w:val="0"/>
                <w:iCs w:val="0"/>
                <w:noProof/>
                <w:sz w:val="20"/>
                <w:szCs w:val="20"/>
                <w:lang w:val="fr-FR"/>
              </w:rPr>
              <w:t>24</w:t>
            </w:r>
            <w:bookmarkEnd w:id="152"/>
            <w:r w:rsidR="00750E59" w:rsidRPr="00653BF4">
              <w:rPr>
                <w:i w:val="0"/>
                <w:iCs w:val="0"/>
                <w:sz w:val="20"/>
                <w:szCs w:val="20"/>
                <w:lang w:val="fr-FR"/>
              </w:rPr>
              <w:t xml:space="preserve"> </w:t>
            </w:r>
          </w:p>
          <w:p w14:paraId="729F2CDA" w14:textId="6F6CC894" w:rsidR="00750E59" w:rsidRPr="00653BF4" w:rsidRDefault="00A2443A" w:rsidP="00750E59">
            <w:pPr>
              <w:rPr>
                <w:sz w:val="20"/>
                <w:szCs w:val="20"/>
                <w:lang w:val="fr-FR"/>
              </w:rPr>
            </w:pPr>
            <w:r w:rsidRPr="00A2443A">
              <w:rPr>
                <w:b/>
                <w:bCs/>
                <w:sz w:val="20"/>
                <w:szCs w:val="20"/>
                <w:lang w:val="fr-FR"/>
              </w:rPr>
              <w:t xml:space="preserve">Lutte contre les espèces exotiques envahissantes dans le cadre de la gestion participative des pâturages en Afrique par le biais de l'Organisation du </w:t>
            </w:r>
            <w:r w:rsidR="008722AD">
              <w:rPr>
                <w:b/>
                <w:bCs/>
                <w:sz w:val="20"/>
                <w:szCs w:val="20"/>
                <w:lang w:val="fr-FR"/>
              </w:rPr>
              <w:t>s</w:t>
            </w:r>
            <w:r w:rsidRPr="00A2443A">
              <w:rPr>
                <w:b/>
                <w:bCs/>
                <w:sz w:val="20"/>
                <w:szCs w:val="20"/>
                <w:lang w:val="fr-FR"/>
              </w:rPr>
              <w:t>ystème CGIAR</w:t>
            </w:r>
          </w:p>
          <w:p w14:paraId="5BF9A2D2" w14:textId="77777777" w:rsidR="00750E59" w:rsidRPr="00653BF4" w:rsidRDefault="00750E59" w:rsidP="00956BCB">
            <w:pPr>
              <w:spacing w:line="276" w:lineRule="auto"/>
              <w:jc w:val="both"/>
              <w:rPr>
                <w:rFonts w:ascii="Aptos" w:eastAsia="Aptos" w:hAnsi="Aptos" w:cs="Aptos"/>
                <w:lang w:val="fr-FR"/>
              </w:rPr>
            </w:pPr>
          </w:p>
          <w:p w14:paraId="697C7A5B" w14:textId="2B47E51B" w:rsidR="00D1506D" w:rsidRPr="00653BF4" w:rsidRDefault="00A07E94" w:rsidP="005C2919">
            <w:pPr>
              <w:spacing w:line="276" w:lineRule="auto"/>
              <w:rPr>
                <w:rFonts w:ascii="Aptos" w:eastAsia="Aptos" w:hAnsi="Aptos" w:cs="Aptos"/>
                <w:sz w:val="20"/>
                <w:szCs w:val="20"/>
                <w:lang w:val="fr-FR"/>
              </w:rPr>
            </w:pPr>
            <w:r w:rsidRPr="00A07E94">
              <w:rPr>
                <w:rFonts w:ascii="Aptos" w:eastAsia="Aptos" w:hAnsi="Aptos" w:cs="Aptos"/>
                <w:sz w:val="20"/>
                <w:szCs w:val="20"/>
                <w:lang w:val="fr-FR"/>
              </w:rPr>
              <w:t xml:space="preserve">L’Organisation du système CGIAR s’est engagée à concevoir et à mettre en œuvre des processus participatifs de gestion des pâturages en Éthiopie, au Kenya, au Sénégal et en République-Unie de Tanzanie, dans le but de garantir une utilisation et une gestion durables d’un million d’hectares de pâturages. Cette initiative comprend l’élaboration de plans conjoints de gestion participative des pâturages, de stratégies de remise en état des pâturages conçues conjointement, ainsi que le développement d’outils et de méthodologies dédiés à la gestion des espèces exotiques envahissantes et à la restauration des pâturages. Les progrès sont évalués à l’aune de deux indicateurs relatifs à la </w:t>
            </w:r>
            <w:r w:rsidR="00E34DC9">
              <w:rPr>
                <w:rFonts w:ascii="Aptos" w:eastAsia="Aptos" w:hAnsi="Aptos" w:cs="Aptos"/>
                <w:sz w:val="20"/>
                <w:szCs w:val="20"/>
                <w:lang w:val="fr-FR"/>
              </w:rPr>
              <w:t>cible 6</w:t>
            </w:r>
            <w:r w:rsidRPr="00A07E94">
              <w:rPr>
                <w:rFonts w:ascii="Aptos" w:eastAsia="Aptos" w:hAnsi="Aptos" w:cs="Aptos"/>
                <w:sz w:val="20"/>
                <w:szCs w:val="20"/>
                <w:lang w:val="fr-FR"/>
              </w:rPr>
              <w:t xml:space="preserve"> du Cadre</w:t>
            </w:r>
            <w:r w:rsidR="00E34DC9">
              <w:rPr>
                <w:rFonts w:ascii="Aptos" w:eastAsia="Aptos" w:hAnsi="Aptos" w:cs="Aptos"/>
                <w:sz w:val="20"/>
                <w:szCs w:val="20"/>
                <w:lang w:val="fr-FR"/>
              </w:rPr>
              <w:t> :</w:t>
            </w:r>
            <w:r w:rsidRPr="00A07E94">
              <w:rPr>
                <w:rFonts w:ascii="Aptos" w:eastAsia="Aptos" w:hAnsi="Aptos" w:cs="Aptos"/>
                <w:sz w:val="20"/>
                <w:szCs w:val="20"/>
                <w:lang w:val="fr-FR"/>
              </w:rPr>
              <w:t xml:space="preserve"> le taux d’établissement d'espèces exotiques envahissantes (indicateur principal 6.1) et le nombre de pays ayant adopté une réglementation pertinente pour réduire les impacts des espèces exotiques envahissantes (indicateur binaire 6.b). Au centre de la conception figure l'inclusivité des structures de gouvernance, et les communautés locales tout comme les pouvoirs publics sont activement impliqués tout au long de la mise en œuvre. Cet engagement est financé par le Fonds fiduciaire du CGIAR, un mécanisme pluriannuel à donateurs multiples aligné sur la stratégie de recherche et d’innovation à l'horizon 2030 du système, et est mis en œuvre par un consortium de centres du CGIAR. Les progrès sont rapportés chaque année par le biais des publications et des canaux de communication du CGIAR.</w:t>
            </w:r>
          </w:p>
          <w:p w14:paraId="1F686D00" w14:textId="77777777" w:rsidR="004B592C" w:rsidRPr="00653BF4" w:rsidRDefault="004B592C" w:rsidP="00956BCB">
            <w:pPr>
              <w:spacing w:line="276" w:lineRule="auto"/>
              <w:jc w:val="both"/>
              <w:rPr>
                <w:rFonts w:ascii="Aptos" w:eastAsia="Aptos" w:hAnsi="Aptos" w:cs="Aptos"/>
                <w:i/>
                <w:iCs/>
                <w:lang w:val="fr-FR"/>
              </w:rPr>
            </w:pPr>
          </w:p>
          <w:p w14:paraId="1269D10A" w14:textId="383CF713" w:rsidR="00083224" w:rsidRPr="00653BF4" w:rsidRDefault="00904C13" w:rsidP="00956BCB">
            <w:pPr>
              <w:spacing w:line="276" w:lineRule="auto"/>
              <w:jc w:val="both"/>
              <w:rPr>
                <w:rFonts w:ascii="Aptos" w:eastAsia="Aptos" w:hAnsi="Aptos" w:cs="Aptos"/>
                <w:sz w:val="20"/>
                <w:szCs w:val="20"/>
                <w:lang w:val="fr-FR"/>
              </w:rPr>
            </w:pPr>
            <w:r w:rsidRPr="00653BF4">
              <w:rPr>
                <w:rFonts w:ascii="Aptos" w:eastAsia="Aptos" w:hAnsi="Aptos" w:cs="Aptos"/>
                <w:i/>
                <w:iCs/>
                <w:sz w:val="20"/>
                <w:szCs w:val="20"/>
                <w:lang w:val="fr-FR"/>
              </w:rPr>
              <w:t>C</w:t>
            </w:r>
            <w:r w:rsidR="001345EC" w:rsidRPr="00653BF4">
              <w:rPr>
                <w:rFonts w:ascii="Aptos" w:eastAsia="Aptos" w:hAnsi="Aptos" w:cs="Aptos"/>
                <w:i/>
                <w:iCs/>
                <w:sz w:val="20"/>
                <w:szCs w:val="20"/>
                <w:lang w:val="fr-FR"/>
              </w:rPr>
              <w:t>ibles concernées</w:t>
            </w:r>
            <w:r w:rsidR="00E34DC9">
              <w:rPr>
                <w:rFonts w:ascii="Aptos" w:eastAsia="Aptos" w:hAnsi="Aptos" w:cs="Aptos"/>
                <w:i/>
                <w:iCs/>
                <w:sz w:val="20"/>
                <w:szCs w:val="20"/>
                <w:lang w:val="fr-FR"/>
              </w:rPr>
              <w:t> :</w:t>
            </w:r>
            <w:r w:rsidR="00083224" w:rsidRPr="00653BF4">
              <w:rPr>
                <w:rFonts w:ascii="Aptos" w:eastAsia="Aptos" w:hAnsi="Aptos" w:cs="Aptos"/>
                <w:i/>
                <w:iCs/>
                <w:sz w:val="20"/>
                <w:szCs w:val="20"/>
                <w:lang w:val="fr-FR"/>
              </w:rPr>
              <w:t xml:space="preserve"> </w:t>
            </w:r>
            <w:r w:rsidR="00083224" w:rsidRPr="00653BF4">
              <w:rPr>
                <w:rFonts w:ascii="Aptos" w:eastAsia="Aptos" w:hAnsi="Aptos" w:cs="Aptos"/>
                <w:sz w:val="20"/>
                <w:szCs w:val="20"/>
                <w:lang w:val="fr-FR"/>
              </w:rPr>
              <w:t>2, 6</w:t>
            </w:r>
            <w:r w:rsidR="004B592C" w:rsidRPr="00653BF4">
              <w:rPr>
                <w:rFonts w:ascii="Aptos" w:eastAsia="Aptos" w:hAnsi="Aptos" w:cs="Aptos"/>
                <w:sz w:val="20"/>
                <w:szCs w:val="20"/>
                <w:lang w:val="fr-FR"/>
              </w:rPr>
              <w:t xml:space="preserve"> </w:t>
            </w:r>
            <w:r w:rsidR="00A2443A">
              <w:rPr>
                <w:rFonts w:ascii="Aptos" w:eastAsia="Aptos" w:hAnsi="Aptos" w:cs="Aptos"/>
                <w:sz w:val="20"/>
                <w:szCs w:val="20"/>
                <w:lang w:val="fr-FR"/>
              </w:rPr>
              <w:t>et</w:t>
            </w:r>
            <w:r w:rsidR="00083224" w:rsidRPr="00653BF4">
              <w:rPr>
                <w:rFonts w:ascii="Aptos" w:eastAsia="Aptos" w:hAnsi="Aptos" w:cs="Aptos"/>
                <w:sz w:val="20"/>
                <w:szCs w:val="20"/>
                <w:lang w:val="fr-FR"/>
              </w:rPr>
              <w:t xml:space="preserve"> </w:t>
            </w:r>
            <w:r w:rsidR="00AA13BC" w:rsidRPr="00653BF4">
              <w:rPr>
                <w:rFonts w:ascii="Aptos" w:eastAsia="Aptos" w:hAnsi="Aptos" w:cs="Aptos"/>
                <w:sz w:val="20"/>
                <w:szCs w:val="20"/>
                <w:lang w:val="fr-FR"/>
              </w:rPr>
              <w:t>22</w:t>
            </w:r>
            <w:r w:rsidR="004B592C" w:rsidRPr="00653BF4">
              <w:rPr>
                <w:rFonts w:ascii="Aptos" w:eastAsia="Aptos" w:hAnsi="Aptos" w:cs="Aptos"/>
                <w:sz w:val="20"/>
                <w:szCs w:val="20"/>
                <w:lang w:val="fr-FR"/>
              </w:rPr>
              <w:t>.</w:t>
            </w:r>
          </w:p>
          <w:p w14:paraId="448F4878" w14:textId="3493A573" w:rsidR="00A231A2" w:rsidRPr="00653BF4" w:rsidRDefault="2921E5C7" w:rsidP="38573CF5">
            <w:pPr>
              <w:spacing w:line="276" w:lineRule="auto"/>
              <w:rPr>
                <w:i/>
                <w:iCs/>
                <w:sz w:val="20"/>
                <w:szCs w:val="20"/>
                <w:lang w:val="fr-FR"/>
              </w:rPr>
            </w:pPr>
            <w:r w:rsidRPr="00653BF4">
              <w:rPr>
                <w:i/>
                <w:iCs/>
                <w:sz w:val="20"/>
                <w:szCs w:val="20"/>
                <w:lang w:val="fr-FR"/>
              </w:rPr>
              <w:t>Source</w:t>
            </w:r>
            <w:r w:rsidR="00E34DC9">
              <w:rPr>
                <w:i/>
                <w:iCs/>
                <w:sz w:val="20"/>
                <w:szCs w:val="20"/>
                <w:lang w:val="fr-FR"/>
              </w:rPr>
              <w:t> :</w:t>
            </w:r>
            <w:r w:rsidRPr="00653BF4">
              <w:rPr>
                <w:sz w:val="20"/>
                <w:szCs w:val="20"/>
                <w:lang w:val="fr-FR"/>
              </w:rPr>
              <w:t xml:space="preserve"> </w:t>
            </w:r>
            <w:r w:rsidR="00A2443A" w:rsidRPr="00A2443A">
              <w:rPr>
                <w:sz w:val="20"/>
                <w:szCs w:val="20"/>
                <w:lang w:val="fr-FR"/>
              </w:rPr>
              <w:t xml:space="preserve">Organisation du système CGIAR, engagement </w:t>
            </w:r>
            <w:r w:rsidR="00A2443A">
              <w:rPr>
                <w:sz w:val="20"/>
                <w:szCs w:val="20"/>
                <w:lang w:val="fr-FR"/>
              </w:rPr>
              <w:t>en tant que</w:t>
            </w:r>
            <w:r w:rsidR="00A2443A" w:rsidRPr="00A2443A">
              <w:rPr>
                <w:sz w:val="20"/>
                <w:szCs w:val="20"/>
                <w:lang w:val="fr-FR"/>
              </w:rPr>
              <w:t xml:space="preserve"> partie prenante</w:t>
            </w:r>
            <w:r w:rsidRPr="00653BF4">
              <w:rPr>
                <w:sz w:val="20"/>
                <w:szCs w:val="20"/>
                <w:lang w:val="fr-FR"/>
              </w:rPr>
              <w:t xml:space="preserve"> (</w:t>
            </w:r>
            <w:r w:rsidR="00A2443A">
              <w:rPr>
                <w:sz w:val="20"/>
                <w:szCs w:val="20"/>
                <w:lang w:val="fr-FR"/>
              </w:rPr>
              <w:t xml:space="preserve">voir </w:t>
            </w:r>
            <w:hyperlink r:id="rId96">
              <w:r w:rsidRPr="00653BF4">
                <w:rPr>
                  <w:rStyle w:val="Hyperlink"/>
                  <w:sz w:val="20"/>
                  <w:szCs w:val="20"/>
                  <w:lang w:val="fr-FR"/>
                </w:rPr>
                <w:t>https://ort.cbd.int/database/293918</w:t>
              </w:r>
            </w:hyperlink>
            <w:r w:rsidRPr="00653BF4">
              <w:rPr>
                <w:sz w:val="20"/>
                <w:szCs w:val="20"/>
                <w:lang w:val="fr-FR"/>
              </w:rPr>
              <w:t>).</w:t>
            </w:r>
          </w:p>
        </w:tc>
      </w:tr>
    </w:tbl>
    <w:p w14:paraId="2DF92F93" w14:textId="77777777" w:rsidR="00F33843" w:rsidRPr="00653BF4" w:rsidRDefault="00F33843" w:rsidP="00324C2D">
      <w:pPr>
        <w:rPr>
          <w:lang w:val="fr-FR"/>
        </w:rPr>
      </w:pPr>
    </w:p>
    <w:p w14:paraId="5F760A5D" w14:textId="292EC740" w:rsidR="00B078D1" w:rsidRPr="00653BF4" w:rsidRDefault="005F09ED" w:rsidP="00731084">
      <w:pPr>
        <w:pStyle w:val="Heading6"/>
        <w:rPr>
          <w:lang w:val="fr-FR"/>
        </w:rPr>
      </w:pPr>
      <w:r w:rsidRPr="00653BF4">
        <w:rPr>
          <w:lang w:val="fr-FR"/>
        </w:rPr>
        <w:t>Contributions intégrées dans les rapports nationaux</w:t>
      </w:r>
    </w:p>
    <w:p w14:paraId="766AA4B2" w14:textId="77777777" w:rsidR="00541791" w:rsidRPr="00653BF4" w:rsidRDefault="00541791" w:rsidP="00541791">
      <w:pPr>
        <w:rPr>
          <w:lang w:val="fr-FR"/>
        </w:rPr>
      </w:pPr>
    </w:p>
    <w:p w14:paraId="70D01213" w14:textId="57A34B56" w:rsidR="00B22C62" w:rsidRPr="00653BF4" w:rsidRDefault="00A27389" w:rsidP="00B22C62">
      <w:pPr>
        <w:rPr>
          <w:lang w:val="fr-FR" w:eastAsia="ja-JP"/>
        </w:rPr>
      </w:pPr>
      <w:r w:rsidRPr="00A27389">
        <w:rPr>
          <w:lang w:val="fr-FR"/>
        </w:rPr>
        <w:t xml:space="preserve">Les Parties signalent que la communauté scientifique et le monde universitaire jouent un rôle clé dans la production de connaissances afin d’apporter l’appui nécessaire à la mise en œuvre de la </w:t>
      </w:r>
      <w:r w:rsidR="00E34DC9">
        <w:rPr>
          <w:lang w:val="fr-FR"/>
        </w:rPr>
        <w:t>cible 6</w:t>
      </w:r>
      <w:r w:rsidRPr="00A27389">
        <w:rPr>
          <w:lang w:val="fr-FR"/>
        </w:rPr>
        <w:t xml:space="preserve">, notamment par l’élaboration d’inventaires, de listes de contrôle et d’évaluations des risques liés aux espèces exotiques envahissantes, ainsi que par le suivi et la surveillance, le développement d’outils et de plateformes, des interventions directes telles que la lutte biologique et l’élimination physique, des conseils en matière de politiques et le renforcement des capacités. Les organisations intergouvernementales et </w:t>
      </w:r>
      <w:r w:rsidRPr="00A27389">
        <w:rPr>
          <w:lang w:val="fr-FR"/>
        </w:rPr>
        <w:lastRenderedPageBreak/>
        <w:t>les partenaires internationaux interviennent à la fois en tant que cofinanceurs par le biais de mécanismes tels que le FEM, et en tant que prestataires d’assistance technique par l’intermédiaire de la FAO, du CABI, de l’UICN et de programmes bilatéraux. Les collectivités infranationales et les autorités locales sont souvent chargées de mettre en œuvre les programmes de lutte contre les espèces exotiques envahissantes, ainsi que de faire respecter la législation ou les règlements pertinents. Certaines Parties indiquent que les peuples autochtones et communautés locales contribuent, entre autres, à la surveillance de première ligne en matière de prévention des risques biotechnologiques, à l’élimination mécanique des espèces exotiques envahissantes et à l’intégration des savoirs traditionnels.</w:t>
      </w:r>
    </w:p>
    <w:p w14:paraId="7DD0B139" w14:textId="77777777" w:rsidR="00E30431" w:rsidRPr="00653BF4" w:rsidRDefault="00E30431" w:rsidP="00EF3328">
      <w:pPr>
        <w:pStyle w:val="Heading5"/>
        <w:rPr>
          <w:lang w:val="fr-FR" w:eastAsia="ja-JP"/>
        </w:rPr>
      </w:pPr>
    </w:p>
    <w:p w14:paraId="79AD728C" w14:textId="01BB9F60" w:rsidR="00601DF3" w:rsidRPr="00653BF4" w:rsidRDefault="008A58ED" w:rsidP="00EF3328">
      <w:pPr>
        <w:pStyle w:val="Heading5"/>
        <w:rPr>
          <w:lang w:val="fr-FR" w:eastAsia="ja-JP"/>
        </w:rPr>
      </w:pPr>
      <w:r w:rsidRPr="00653BF4">
        <w:rPr>
          <w:lang w:val="fr-FR" w:eastAsia="ja-JP"/>
        </w:rPr>
        <w:t>Exemples de liens avec d</w:t>
      </w:r>
      <w:r w:rsidR="002A58C8" w:rsidRPr="00653BF4">
        <w:rPr>
          <w:lang w:val="fr-FR" w:eastAsia="ja-JP"/>
        </w:rPr>
        <w:t>’</w:t>
      </w:r>
      <w:r w:rsidRPr="00653BF4">
        <w:rPr>
          <w:lang w:val="fr-FR" w:eastAsia="ja-JP"/>
        </w:rPr>
        <w:t>autres accords, organisations et processus</w:t>
      </w:r>
    </w:p>
    <w:p w14:paraId="0B5F68F5" w14:textId="77777777" w:rsidR="008721A7" w:rsidRPr="00653BF4" w:rsidRDefault="008721A7" w:rsidP="008721A7">
      <w:pPr>
        <w:rPr>
          <w:lang w:val="fr-FR" w:eastAsia="ja-JP"/>
        </w:rPr>
      </w:pPr>
    </w:p>
    <w:p w14:paraId="56CBBC46" w14:textId="54760E0A" w:rsidR="009C7556" w:rsidRPr="00653BF4" w:rsidRDefault="009A5C81" w:rsidP="009C7556">
      <w:pPr>
        <w:rPr>
          <w:lang w:val="fr-FR"/>
        </w:rPr>
      </w:pPr>
      <w:r w:rsidRPr="009A5C81">
        <w:rPr>
          <w:lang w:val="fr-FR"/>
        </w:rPr>
        <w:t>La voie principale de transfert des espèces aquatiques envahissantes est le transport maritime, les vecteurs liés à ce dernier (eaux de ballast et encrassement biologique) représentant la majorité de ces transferts (Zhang et al., 2026). Parallèlement, la voie du transport maritime est de loin celle qui fait l’objet de la gestion la plus complète, notamment grâce à la Convention internationale de 2004 sur le contrôle et la gestion des eaux de ballast et des sédiments des navires (Convention BWM). Il s’agit d’un traité juridiquement contraignant négocié par l’intermédiaire de l’Organisation maritime internationale (OMI), en vigueur depuis 2017, et qui compte actuellement plus de 100 Parties, représentant plus de 93</w:t>
      </w:r>
      <w:r w:rsidR="002878D7">
        <w:rPr>
          <w:lang w:val="fr-FR"/>
        </w:rPr>
        <w:t> %</w:t>
      </w:r>
      <w:r w:rsidRPr="009A5C81">
        <w:rPr>
          <w:lang w:val="fr-FR"/>
        </w:rPr>
        <w:t xml:space="preserve"> du trafic maritime mondial. La Convention BWM a été créée dans le but de prévenir le transfert d’espèces aquatiques envahissantes en garantissant que les eaux de ballast et les sédiments des navires ne puissent être rejetés que s’ils ont été gérés conformément à ses dispositions. En 2023, le Comité de la protection du milieu marin de l’OMI a adopté des lignes directrices révisées relatives au contrôle et à la gestion de l’encrassement biologique des navires afin de réduire au minimum le transfert d’espèces aquatiques envahissantes. Ces lignes directrices proposent une approche cohérente à l’échelle mondiale pour la gestion de l’encrassement biologique, c’est-à-dire l’accumulation de divers organismes aquatiques sur les surfaces des navires (y compris les coques). Comme toutes les lignes directrices, celles-ci ne sont pas obligatoires, mais les États membres de l’OMI ont décidé d’élaborer un cadre juridiquement contraignant pour le contrôle et la gestion de l’encrassement biologique des navires</w:t>
      </w:r>
      <w:r w:rsidR="00E34DC9">
        <w:rPr>
          <w:lang w:val="fr-FR"/>
        </w:rPr>
        <w:t> ;</w:t>
      </w:r>
      <w:r w:rsidRPr="009A5C81">
        <w:rPr>
          <w:lang w:val="fr-FR"/>
        </w:rPr>
        <w:t xml:space="preserve"> les travaux à cet effet ont débuté en 2026 (OMI, 2023a, 2023b et 2025).</w:t>
      </w:r>
    </w:p>
    <w:p w14:paraId="6102AC2F" w14:textId="19BE9E29" w:rsidR="009C7556" w:rsidRPr="00653BF4" w:rsidRDefault="009A5C81" w:rsidP="009C7556">
      <w:pPr>
        <w:rPr>
          <w:lang w:val="fr-FR"/>
        </w:rPr>
      </w:pPr>
      <w:r w:rsidRPr="009A5C81">
        <w:rPr>
          <w:lang w:val="fr-FR"/>
        </w:rPr>
        <w:t xml:space="preserve">Les voies de propagation sont également abordées par la Convention internationale pour la protection des végétaux (CIPV). Bien que la CIPV se concentre principalement sur les </w:t>
      </w:r>
      <w:r w:rsidRPr="009A5C81">
        <w:rPr>
          <w:lang w:val="fr-FR"/>
        </w:rPr>
        <w:lastRenderedPageBreak/>
        <w:t xml:space="preserve">risques liés aux organismes nuisibles aux végétaux, ses mesures ont également des retombées positives sur les espèces exotiques envahissantes et contribuent ainsi à la </w:t>
      </w:r>
      <w:r w:rsidR="00E34DC9">
        <w:rPr>
          <w:lang w:val="fr-FR"/>
        </w:rPr>
        <w:t>cible 6</w:t>
      </w:r>
      <w:r w:rsidRPr="009A5C81">
        <w:rPr>
          <w:lang w:val="fr-FR"/>
        </w:rPr>
        <w:t>. Par exemple, la Commission des mesures phytosanitaires de la CIPV a publié en 2024 une recommandation visant à réduire au minimum le risque phytosanitaire lié au transport dans des conteneurs maritimes (secrétariat de la CIPV, 2024).</w:t>
      </w:r>
    </w:p>
    <w:p w14:paraId="3E947059" w14:textId="59EF34FB" w:rsidR="009C7556" w:rsidRPr="00653BF4" w:rsidRDefault="009A5C81" w:rsidP="009C7556">
      <w:pPr>
        <w:rPr>
          <w:lang w:val="fr-FR"/>
        </w:rPr>
      </w:pPr>
      <w:r w:rsidRPr="009A5C81">
        <w:rPr>
          <w:lang w:val="fr-FR"/>
        </w:rPr>
        <w:t xml:space="preserve">Les actions visant à fournir l'appui nécessaire à la mise en œuvre de </w:t>
      </w:r>
      <w:r w:rsidR="008403E0">
        <w:rPr>
          <w:lang w:val="fr-FR"/>
        </w:rPr>
        <w:t>la cible </w:t>
      </w:r>
      <w:r w:rsidRPr="009A5C81">
        <w:rPr>
          <w:lang w:val="fr-FR"/>
        </w:rPr>
        <w:t>6 sont également coordonnées par le Groupe de liaison interinstitutions sur les espèces exotiques envahissantes, mis en place par la Convention sur la diversité biologique et auquel participent le CABI, la CITES, la FAO, le Centre mondial d'information sur la biodiversité (GBIF), l'Organisation de l'aviation civile internationale, l'OMI, la CIPV, l'UICN, l'Organisation mondiale de la santé animale, l'Organisation mondiale des douanes et l'Organisation mondiale du commerce</w:t>
      </w:r>
      <w:r w:rsidR="0085450E" w:rsidRPr="00653BF4">
        <w:rPr>
          <w:rStyle w:val="FootnoteReference"/>
          <w:lang w:val="fr-FR"/>
        </w:rPr>
        <w:footnoteReference w:id="23"/>
      </w:r>
      <w:r>
        <w:rPr>
          <w:lang w:val="fr-FR"/>
        </w:rPr>
        <w:t>.</w:t>
      </w:r>
      <w:r w:rsidR="00EA0C33" w:rsidRPr="00653BF4">
        <w:rPr>
          <w:lang w:val="fr-FR"/>
        </w:rPr>
        <w:t xml:space="preserve"> </w:t>
      </w:r>
    </w:p>
    <w:p w14:paraId="5AFA3D82" w14:textId="140549A3" w:rsidR="00601058" w:rsidRPr="00653BF4" w:rsidRDefault="009A5C81" w:rsidP="00601058">
      <w:pPr>
        <w:rPr>
          <w:lang w:val="fr-FR"/>
        </w:rPr>
      </w:pPr>
      <w:r w:rsidRPr="009A5C81">
        <w:rPr>
          <w:rStyle w:val="citation-23"/>
          <w:lang w:val="fr-FR"/>
        </w:rPr>
        <w:t xml:space="preserve">Comme indiqué dans l’encadré 5, les auteurs de l’évaluation de l’IPBES sur les espèces exotiques envahissantes (IPBES, 2023a) soulignent que la lutte contre les </w:t>
      </w:r>
      <w:r w:rsidR="001041E2">
        <w:rPr>
          <w:rStyle w:val="citation-23"/>
          <w:lang w:val="fr-FR"/>
        </w:rPr>
        <w:t>espèces envahissantes</w:t>
      </w:r>
      <w:r w:rsidRPr="009A5C81">
        <w:rPr>
          <w:rStyle w:val="citation-23"/>
          <w:lang w:val="fr-FR"/>
        </w:rPr>
        <w:t xml:space="preserve"> </w:t>
      </w:r>
      <w:r w:rsidR="001041E2">
        <w:rPr>
          <w:rStyle w:val="citation-23"/>
          <w:lang w:val="fr-FR"/>
        </w:rPr>
        <w:t xml:space="preserve">requiert </w:t>
      </w:r>
      <w:r w:rsidRPr="009A5C81">
        <w:rPr>
          <w:rStyle w:val="citation-23"/>
          <w:lang w:val="fr-FR"/>
        </w:rPr>
        <w:t xml:space="preserve">un cadre de gouvernance intégré, articulé autour de la prévention, de la détection précoce et de la lutte stratégique. La prévention au moyen d'une prévention frontalière rigoureuse des risques biotechnologiques frontalière et à une gestion des voies d’introduction est considérée comme la défense la plus efficace et la plus économique. Lorsque la prévention échoue, les protocoles de détection précoce et d’intervention rapide sont essentiels pour minimiser les taux d’établissement, en particulier dans les réseaux marins et aquatiques connectés vulnérables. Pour les populations déjà établies, des interventions adaptées au contexte, telles que l’éradication, le confinement physique ou biologique et la remise en état des écosystèmes, sont recommandées. Les auteurs préconisent surtout une collaboration intersectorielle, un financement durable et l’intégration de systèmes de données en libre accès. Ils soulignent que l’élaboration conjointe de politiques avec les parties prenantes, les peuples autochtones et communautés locales est essentielle pour atteindre les cibles mondiales en matière d’environnement, notamment la </w:t>
      </w:r>
      <w:r w:rsidR="00E34DC9">
        <w:rPr>
          <w:rStyle w:val="citation-23"/>
          <w:lang w:val="fr-FR"/>
        </w:rPr>
        <w:t>cible 6</w:t>
      </w:r>
      <w:r w:rsidRPr="009A5C81">
        <w:rPr>
          <w:rStyle w:val="citation-23"/>
          <w:lang w:val="fr-FR"/>
        </w:rPr>
        <w:t xml:space="preserve"> du Cadre.</w:t>
      </w:r>
    </w:p>
    <w:p w14:paraId="0C824BDE" w14:textId="4D1699CA" w:rsidR="008F71EA" w:rsidRPr="00653BF4" w:rsidRDefault="008F71EA" w:rsidP="00EF3328">
      <w:pPr>
        <w:rPr>
          <w:lang w:val="fr-FR" w:eastAsia="ja-JP"/>
        </w:rPr>
      </w:pPr>
    </w:p>
    <w:p w14:paraId="3B5C0D0F" w14:textId="7E40A45D" w:rsidR="00120352" w:rsidRPr="00653BF4" w:rsidRDefault="00E34DC9" w:rsidP="74032CC2">
      <w:pPr>
        <w:pStyle w:val="Heading4"/>
        <w:rPr>
          <w:i w:val="0"/>
          <w:iCs w:val="0"/>
          <w:lang w:val="fr-FR"/>
        </w:rPr>
      </w:pPr>
      <w:bookmarkStart w:id="153" w:name="_Toc235821128"/>
      <w:bookmarkStart w:id="154" w:name="_Toc239069201"/>
      <w:bookmarkStart w:id="155" w:name="_Toc242801238"/>
      <w:r>
        <w:rPr>
          <w:b/>
          <w:bCs/>
          <w:i w:val="0"/>
          <w:iCs w:val="0"/>
          <w:lang w:val="fr-FR"/>
        </w:rPr>
        <w:t>Cible 7</w:t>
      </w:r>
      <w:r w:rsidR="00D6422E" w:rsidRPr="00653BF4">
        <w:rPr>
          <w:i w:val="0"/>
          <w:iCs w:val="0"/>
          <w:lang w:val="fr-FR"/>
        </w:rPr>
        <w:t>.</w:t>
      </w:r>
      <w:r w:rsidR="00CC2838" w:rsidRPr="00653BF4">
        <w:rPr>
          <w:i w:val="0"/>
          <w:iCs w:val="0"/>
          <w:lang w:val="fr-FR"/>
        </w:rPr>
        <w:t xml:space="preserve"> </w:t>
      </w:r>
      <w:bookmarkEnd w:id="153"/>
      <w:bookmarkEnd w:id="154"/>
      <w:r w:rsidR="00A33581" w:rsidRPr="00653BF4">
        <w:rPr>
          <w:i w:val="0"/>
          <w:iCs w:val="0"/>
          <w:lang w:val="fr-FR"/>
        </w:rPr>
        <w:t xml:space="preserve">Atténuer la pollution à des niveaux </w:t>
      </w:r>
      <w:r w:rsidR="004A12CD" w:rsidRPr="00653BF4">
        <w:rPr>
          <w:i w:val="0"/>
          <w:iCs w:val="0"/>
          <w:lang w:val="fr-FR"/>
        </w:rPr>
        <w:t>sans danger pour</w:t>
      </w:r>
      <w:r w:rsidR="00A33581" w:rsidRPr="00653BF4">
        <w:rPr>
          <w:i w:val="0"/>
          <w:iCs w:val="0"/>
          <w:lang w:val="fr-FR"/>
        </w:rPr>
        <w:t xml:space="preserve"> la biodiversité</w:t>
      </w:r>
      <w:bookmarkEnd w:id="155"/>
    </w:p>
    <w:p w14:paraId="264F6168" w14:textId="77777777" w:rsidR="00D6422E" w:rsidRPr="00653BF4" w:rsidRDefault="00D6422E" w:rsidP="00D6422E">
      <w:pPr>
        <w:rPr>
          <w:lang w:val="fr-FR"/>
        </w:rPr>
      </w:pPr>
    </w:p>
    <w:p w14:paraId="3E59F11D" w14:textId="5DE1A61B" w:rsidR="00E870FA" w:rsidRPr="00653BF4" w:rsidRDefault="004A12CD" w:rsidP="00E870FA">
      <w:pPr>
        <w:rPr>
          <w:i/>
          <w:iCs/>
          <w:sz w:val="20"/>
          <w:szCs w:val="20"/>
          <w:lang w:val="fr-FR"/>
        </w:rPr>
      </w:pPr>
      <w:r w:rsidRPr="00653BF4">
        <w:rPr>
          <w:b/>
          <w:sz w:val="22"/>
          <w:szCs w:val="22"/>
          <w:lang w:val="fr-FR"/>
        </w:rPr>
        <w:t>T</w:t>
      </w:r>
      <w:r w:rsidR="00E870FA" w:rsidRPr="00653BF4">
        <w:rPr>
          <w:b/>
          <w:sz w:val="22"/>
          <w:szCs w:val="22"/>
          <w:lang w:val="fr-FR"/>
        </w:rPr>
        <w:t>ext</w:t>
      </w:r>
      <w:r w:rsidRPr="00653BF4">
        <w:rPr>
          <w:b/>
          <w:sz w:val="22"/>
          <w:szCs w:val="22"/>
          <w:lang w:val="fr-FR"/>
        </w:rPr>
        <w:t>e de la cible</w:t>
      </w:r>
      <w:r w:rsidR="00E34DC9">
        <w:rPr>
          <w:b/>
          <w:sz w:val="22"/>
          <w:szCs w:val="22"/>
          <w:lang w:val="fr-FR"/>
        </w:rPr>
        <w:t> :</w:t>
      </w:r>
      <w:r w:rsidR="00F62E95" w:rsidRPr="00653BF4">
        <w:rPr>
          <w:b/>
          <w:bCs/>
          <w:i/>
          <w:iCs/>
          <w:sz w:val="22"/>
          <w:szCs w:val="22"/>
          <w:lang w:val="fr-FR"/>
        </w:rPr>
        <w:t xml:space="preserve"> </w:t>
      </w:r>
      <w:r w:rsidRPr="00653BF4">
        <w:rPr>
          <w:i/>
          <w:iCs/>
          <w:sz w:val="22"/>
          <w:szCs w:val="22"/>
          <w:lang w:val="fr-FR"/>
        </w:rPr>
        <w:t>Réduire les risques liés à la pollution et les incidences négatives de la pollution provenant de toutes les sources d</w:t>
      </w:r>
      <w:r w:rsidR="002A58C8" w:rsidRPr="00653BF4">
        <w:rPr>
          <w:i/>
          <w:iCs/>
          <w:sz w:val="22"/>
          <w:szCs w:val="22"/>
          <w:lang w:val="fr-FR"/>
        </w:rPr>
        <w:t>’</w:t>
      </w:r>
      <w:r w:rsidRPr="00653BF4">
        <w:rPr>
          <w:i/>
          <w:iCs/>
          <w:sz w:val="22"/>
          <w:szCs w:val="22"/>
          <w:lang w:val="fr-FR"/>
        </w:rPr>
        <w:t xml:space="preserve">ici à 2030, en les portant à des niveaux sans danger pour la biodiversité et les fonctions et services écosystémiques, en tenant compte des effets cumulatifs, </w:t>
      </w:r>
      <w:r w:rsidRPr="00653BF4">
        <w:rPr>
          <w:i/>
          <w:iCs/>
          <w:sz w:val="22"/>
          <w:szCs w:val="22"/>
          <w:lang w:val="fr-FR"/>
        </w:rPr>
        <w:lastRenderedPageBreak/>
        <w:t>notamment</w:t>
      </w:r>
      <w:r w:rsidR="00E34DC9">
        <w:rPr>
          <w:i/>
          <w:iCs/>
          <w:sz w:val="22"/>
          <w:szCs w:val="22"/>
          <w:lang w:val="fr-FR"/>
        </w:rPr>
        <w:t> :</w:t>
      </w:r>
      <w:r w:rsidRPr="00653BF4">
        <w:rPr>
          <w:i/>
          <w:iCs/>
          <w:sz w:val="22"/>
          <w:szCs w:val="22"/>
          <w:lang w:val="fr-FR"/>
        </w:rPr>
        <w:t xml:space="preserve"> a) en réduisant au moins de moitié l</w:t>
      </w:r>
      <w:r w:rsidR="002A58C8" w:rsidRPr="00653BF4">
        <w:rPr>
          <w:i/>
          <w:iCs/>
          <w:sz w:val="22"/>
          <w:szCs w:val="22"/>
          <w:lang w:val="fr-FR"/>
        </w:rPr>
        <w:t>’</w:t>
      </w:r>
      <w:r w:rsidRPr="00653BF4">
        <w:rPr>
          <w:i/>
          <w:iCs/>
          <w:sz w:val="22"/>
          <w:szCs w:val="22"/>
          <w:lang w:val="fr-FR"/>
        </w:rPr>
        <w:t>excès de nutriments perdus dans l</w:t>
      </w:r>
      <w:r w:rsidR="002A58C8" w:rsidRPr="00653BF4">
        <w:rPr>
          <w:i/>
          <w:iCs/>
          <w:sz w:val="22"/>
          <w:szCs w:val="22"/>
          <w:lang w:val="fr-FR"/>
        </w:rPr>
        <w:t>’</w:t>
      </w:r>
      <w:r w:rsidRPr="00653BF4">
        <w:rPr>
          <w:i/>
          <w:iCs/>
          <w:sz w:val="22"/>
          <w:szCs w:val="22"/>
          <w:lang w:val="fr-FR"/>
        </w:rPr>
        <w:t>environnement, notamment grâce à un cycle et à une utilisation plus efficaces des nutriments</w:t>
      </w:r>
      <w:r w:rsidR="00E34DC9">
        <w:rPr>
          <w:i/>
          <w:iCs/>
          <w:sz w:val="22"/>
          <w:szCs w:val="22"/>
          <w:lang w:val="fr-FR"/>
        </w:rPr>
        <w:t> ;</w:t>
      </w:r>
      <w:r w:rsidRPr="00653BF4">
        <w:rPr>
          <w:i/>
          <w:iCs/>
          <w:sz w:val="22"/>
          <w:szCs w:val="22"/>
          <w:lang w:val="fr-FR"/>
        </w:rPr>
        <w:t xml:space="preserve"> b) en réduisant au moins de moitié les risques globaux liés aux pesticides et aux produits chimiques particulièrement dangereux, notamment grâce à des mesures intégrées de contrôle des ravageurs, sur la base de données scientifiques, en tenant compte des questions de sécurité alimentaire et de moyens d</w:t>
      </w:r>
      <w:r w:rsidR="002A58C8" w:rsidRPr="00653BF4">
        <w:rPr>
          <w:i/>
          <w:iCs/>
          <w:sz w:val="22"/>
          <w:szCs w:val="22"/>
          <w:lang w:val="fr-FR"/>
        </w:rPr>
        <w:t>’</w:t>
      </w:r>
      <w:r w:rsidRPr="00653BF4">
        <w:rPr>
          <w:i/>
          <w:iCs/>
          <w:sz w:val="22"/>
          <w:szCs w:val="22"/>
          <w:lang w:val="fr-FR"/>
        </w:rPr>
        <w:t>existence</w:t>
      </w:r>
      <w:r w:rsidR="00E34DC9">
        <w:rPr>
          <w:i/>
          <w:iCs/>
          <w:sz w:val="22"/>
          <w:szCs w:val="22"/>
          <w:lang w:val="fr-FR"/>
        </w:rPr>
        <w:t> ;</w:t>
      </w:r>
      <w:r w:rsidRPr="00653BF4">
        <w:rPr>
          <w:i/>
          <w:iCs/>
          <w:sz w:val="22"/>
          <w:szCs w:val="22"/>
          <w:lang w:val="fr-FR"/>
        </w:rPr>
        <w:t xml:space="preserve"> c) en prévenant la pollution plastique, en la réduisant et en s</w:t>
      </w:r>
      <w:r w:rsidR="002A58C8" w:rsidRPr="00653BF4">
        <w:rPr>
          <w:i/>
          <w:iCs/>
          <w:sz w:val="22"/>
          <w:szCs w:val="22"/>
          <w:lang w:val="fr-FR"/>
        </w:rPr>
        <w:t>’</w:t>
      </w:r>
      <w:r w:rsidRPr="00653BF4">
        <w:rPr>
          <w:i/>
          <w:iCs/>
          <w:sz w:val="22"/>
          <w:szCs w:val="22"/>
          <w:lang w:val="fr-FR"/>
        </w:rPr>
        <w:t>employant à l</w:t>
      </w:r>
      <w:r w:rsidR="002A58C8" w:rsidRPr="00653BF4">
        <w:rPr>
          <w:i/>
          <w:iCs/>
          <w:sz w:val="22"/>
          <w:szCs w:val="22"/>
          <w:lang w:val="fr-FR"/>
        </w:rPr>
        <w:t>’</w:t>
      </w:r>
      <w:r w:rsidRPr="00653BF4">
        <w:rPr>
          <w:i/>
          <w:iCs/>
          <w:sz w:val="22"/>
          <w:szCs w:val="22"/>
          <w:lang w:val="fr-FR"/>
        </w:rPr>
        <w:t>éliminer.</w:t>
      </w:r>
    </w:p>
    <w:p w14:paraId="08DDC1A1" w14:textId="77777777" w:rsidR="00E870FA" w:rsidRPr="00653BF4" w:rsidRDefault="00E870FA" w:rsidP="00E870FA">
      <w:pPr>
        <w:rPr>
          <w:lang w:val="fr-FR"/>
        </w:rPr>
      </w:pPr>
    </w:p>
    <w:p w14:paraId="31CF9BC1" w14:textId="39EDF543" w:rsidR="00EC0425" w:rsidRPr="00653BF4" w:rsidRDefault="00DD19D2" w:rsidP="00EC0425">
      <w:pPr>
        <w:pStyle w:val="Heading5"/>
        <w:rPr>
          <w:lang w:val="fr-FR"/>
        </w:rPr>
      </w:pPr>
      <w:r w:rsidRPr="00653BF4">
        <w:rPr>
          <w:lang w:val="fr-FR"/>
        </w:rPr>
        <w:t>Aperçu des progrès</w:t>
      </w:r>
      <w:r w:rsidR="003E194D" w:rsidRPr="00653BF4">
        <w:rPr>
          <w:lang w:val="fr-FR"/>
        </w:rPr>
        <w:t xml:space="preserve"> accomplis</w:t>
      </w:r>
    </w:p>
    <w:p w14:paraId="43550B1C" w14:textId="77777777" w:rsidR="00F118B4" w:rsidRPr="00653BF4" w:rsidRDefault="00F118B4" w:rsidP="00F118B4">
      <w:pPr>
        <w:rPr>
          <w:lang w:val="fr-FR"/>
        </w:rPr>
      </w:pPr>
    </w:p>
    <w:tbl>
      <w:tblPr>
        <w:tblStyle w:val="TableGrid"/>
        <w:tblW w:w="0" w:type="auto"/>
        <w:tblLook w:val="04A0" w:firstRow="1" w:lastRow="0" w:firstColumn="1" w:lastColumn="0" w:noHBand="0" w:noVBand="1"/>
      </w:tblPr>
      <w:tblGrid>
        <w:gridCol w:w="9016"/>
      </w:tblGrid>
      <w:tr w:rsidR="004D0CD9" w:rsidRPr="00543148" w14:paraId="733EF1B4" w14:textId="77777777" w:rsidTr="00062226">
        <w:tc>
          <w:tcPr>
            <w:tcW w:w="9016" w:type="dxa"/>
            <w:shd w:val="clear" w:color="auto" w:fill="D1D1D1" w:themeFill="background2" w:themeFillShade="E6"/>
          </w:tcPr>
          <w:p w14:paraId="50E0C0AD" w14:textId="77777777" w:rsidR="00E870FA" w:rsidRPr="00653BF4" w:rsidRDefault="00E870FA" w:rsidP="00EC0425">
            <w:pPr>
              <w:rPr>
                <w:rFonts w:ascii="Aptos" w:eastAsia="Times New Roman" w:hAnsi="Aptos" w:cs="Calibri"/>
                <w:color w:val="000000"/>
                <w:lang w:val="fr-FR"/>
              </w:rPr>
            </w:pPr>
            <w:bookmarkStart w:id="156" w:name="_Toc230654687"/>
          </w:p>
          <w:bookmarkEnd w:id="156"/>
          <w:p w14:paraId="4733AFF2" w14:textId="7B9246A0" w:rsidR="00E870FA" w:rsidRDefault="001041E2" w:rsidP="00EC0425">
            <w:pPr>
              <w:rPr>
                <w:rFonts w:ascii="Aptos" w:eastAsia="Times New Roman" w:hAnsi="Aptos" w:cs="Calibri"/>
                <w:color w:val="000000"/>
                <w:lang w:val="fr-FR"/>
              </w:rPr>
            </w:pPr>
            <w:r w:rsidRPr="001041E2">
              <w:rPr>
                <w:rFonts w:ascii="Aptos" w:eastAsia="Times New Roman" w:hAnsi="Aptos" w:cs="Calibri"/>
                <w:color w:val="000000"/>
                <w:lang w:val="fr-FR"/>
              </w:rPr>
              <w:t xml:space="preserve">Les progrès accomplis dans la lutte contre la pollution sont inégaux, et d’importantes lacunes dans la disponibilité des données entravent l’évaluation des avancées. La </w:t>
            </w:r>
            <w:r w:rsidR="00E34DC9">
              <w:rPr>
                <w:rFonts w:ascii="Aptos" w:eastAsia="Times New Roman" w:hAnsi="Aptos" w:cs="Calibri"/>
                <w:color w:val="000000"/>
                <w:lang w:val="fr-FR"/>
              </w:rPr>
              <w:t>cible 7</w:t>
            </w:r>
            <w:r w:rsidRPr="001041E2">
              <w:rPr>
                <w:rFonts w:ascii="Aptos" w:eastAsia="Times New Roman" w:hAnsi="Aptos" w:cs="Calibri"/>
                <w:color w:val="000000"/>
                <w:lang w:val="fr-FR"/>
              </w:rPr>
              <w:t xml:space="preserve"> englobe diverses sources de pollution, que les Parties ont abordées de différentes manières lors de la définition de leurs cibles nationales. Les tendances rapportées pour les indicateurs nationaux sont divergentes. Le nombre restreint de rapports sur les indicateurs principaux, la variabilité ou le caractère incomplet des systèmes de suivi, ainsi que le manque de comparabilité entre les indicateurs, entravent l’évaluation globale des risques liés à la pollution et des progrès réalisés. La plupart des Parties (60</w:t>
            </w:r>
            <w:r w:rsidR="002878D7">
              <w:rPr>
                <w:rFonts w:ascii="Aptos" w:eastAsia="Times New Roman" w:hAnsi="Aptos" w:cs="Calibri"/>
                <w:color w:val="000000"/>
                <w:lang w:val="fr-FR"/>
              </w:rPr>
              <w:t> %</w:t>
            </w:r>
            <w:r w:rsidRPr="001041E2">
              <w:rPr>
                <w:rFonts w:ascii="Aptos" w:eastAsia="Times New Roman" w:hAnsi="Aptos" w:cs="Calibri"/>
                <w:color w:val="000000"/>
                <w:lang w:val="fr-FR"/>
              </w:rPr>
              <w:t xml:space="preserve">) reconnaissent qu’elles ne sont actuellement pas en voie d’atteindre les cibles nationales liées à la </w:t>
            </w:r>
            <w:r w:rsidR="00E34DC9">
              <w:rPr>
                <w:rFonts w:ascii="Aptos" w:eastAsia="Times New Roman" w:hAnsi="Aptos" w:cs="Calibri"/>
                <w:color w:val="000000"/>
                <w:lang w:val="fr-FR"/>
              </w:rPr>
              <w:t>cible 7</w:t>
            </w:r>
            <w:r w:rsidRPr="001041E2">
              <w:rPr>
                <w:rFonts w:ascii="Aptos" w:eastAsia="Times New Roman" w:hAnsi="Aptos" w:cs="Calibri"/>
                <w:color w:val="000000"/>
                <w:lang w:val="fr-FR"/>
              </w:rPr>
              <w:t xml:space="preserve">. Une des principales difficultés pour faire progresser la </w:t>
            </w:r>
            <w:r w:rsidR="00E34DC9">
              <w:rPr>
                <w:rFonts w:ascii="Aptos" w:eastAsia="Times New Roman" w:hAnsi="Aptos" w:cs="Calibri"/>
                <w:color w:val="000000"/>
                <w:lang w:val="fr-FR"/>
              </w:rPr>
              <w:t>cible 7</w:t>
            </w:r>
            <w:r w:rsidRPr="001041E2">
              <w:rPr>
                <w:rFonts w:ascii="Aptos" w:eastAsia="Times New Roman" w:hAnsi="Aptos" w:cs="Calibri"/>
                <w:color w:val="000000"/>
                <w:lang w:val="fr-FR"/>
              </w:rPr>
              <w:t xml:space="preserve"> consiste à garantir une prise en compte et une gestion efficaces et équitables des impacts sur la sécurité alimentaire et les moyens de subsistance.</w:t>
            </w:r>
          </w:p>
          <w:p w14:paraId="219F319C" w14:textId="51921EB8" w:rsidR="001041E2" w:rsidRPr="00653BF4" w:rsidRDefault="001041E2" w:rsidP="00EC0425">
            <w:pPr>
              <w:rPr>
                <w:rFonts w:ascii="Aptos" w:eastAsia="Times New Roman" w:hAnsi="Aptos" w:cs="Calibri"/>
                <w:color w:val="000000"/>
                <w:lang w:val="fr-FR"/>
              </w:rPr>
            </w:pPr>
          </w:p>
        </w:tc>
      </w:tr>
    </w:tbl>
    <w:p w14:paraId="7104466F" w14:textId="77777777" w:rsidR="00743ADD" w:rsidRPr="00653BF4" w:rsidRDefault="00743ADD" w:rsidP="00743ADD">
      <w:pPr>
        <w:rPr>
          <w:lang w:val="fr-FR"/>
        </w:rPr>
      </w:pPr>
    </w:p>
    <w:p w14:paraId="363AEE38" w14:textId="5CBE40FA" w:rsidR="00552D47" w:rsidRPr="00653BF4" w:rsidRDefault="00B60BA6" w:rsidP="00552D47">
      <w:pPr>
        <w:pStyle w:val="Heading5"/>
        <w:rPr>
          <w:lang w:val="fr-FR"/>
        </w:rPr>
      </w:pPr>
      <w:r w:rsidRPr="00653BF4">
        <w:rPr>
          <w:lang w:val="fr-FR"/>
        </w:rPr>
        <w:t xml:space="preserve">Prise en compte par les Parties de la portée de la </w:t>
      </w:r>
      <w:r w:rsidR="00E34DC9">
        <w:rPr>
          <w:lang w:val="fr-FR"/>
        </w:rPr>
        <w:t>cible 7</w:t>
      </w:r>
      <w:r w:rsidRPr="00653BF4">
        <w:rPr>
          <w:lang w:val="fr-FR"/>
        </w:rPr>
        <w:t xml:space="preserve"> du Cadre dans leurs cibles nationales</w:t>
      </w:r>
    </w:p>
    <w:p w14:paraId="63B2BCC4" w14:textId="77777777" w:rsidR="00F118B4" w:rsidRPr="00653BF4" w:rsidRDefault="00F118B4" w:rsidP="00A33A9C">
      <w:pPr>
        <w:pStyle w:val="Heading5"/>
        <w:rPr>
          <w:lang w:val="fr-FR"/>
        </w:rPr>
      </w:pPr>
    </w:p>
    <w:p w14:paraId="4A322BA5" w14:textId="5B4B08EB" w:rsidR="00552D47" w:rsidRPr="00653BF4" w:rsidRDefault="00D5751A" w:rsidP="00C61BA9">
      <w:pPr>
        <w:pStyle w:val="Caption"/>
        <w:keepNext/>
        <w:rPr>
          <w:i w:val="0"/>
          <w:iCs w:val="0"/>
          <w:sz w:val="20"/>
          <w:szCs w:val="20"/>
          <w:lang w:val="fr-FR"/>
        </w:rPr>
      </w:pPr>
      <w:bookmarkStart w:id="157" w:name="_Ref230697525"/>
      <w:r w:rsidRPr="00653BF4">
        <w:rPr>
          <w:i w:val="0"/>
          <w:sz w:val="20"/>
          <w:szCs w:val="20"/>
          <w:lang w:val="fr-FR"/>
        </w:rPr>
        <w:t>Tableau</w:t>
      </w:r>
      <w:r w:rsidR="00DC1793" w:rsidRPr="00653BF4">
        <w:rPr>
          <w:i w:val="0"/>
          <w:noProof/>
          <w:sz w:val="20"/>
          <w:szCs w:val="20"/>
          <w:lang w:val="fr-FR"/>
        </w:rPr>
        <w:t>16</w:t>
      </w:r>
      <w:bookmarkEnd w:id="157"/>
      <w:r w:rsidR="00C61BA9" w:rsidRPr="00653BF4">
        <w:rPr>
          <w:i w:val="0"/>
          <w:sz w:val="20"/>
          <w:szCs w:val="20"/>
          <w:lang w:val="fr-FR"/>
        </w:rPr>
        <w:t xml:space="preserve"> </w:t>
      </w:r>
    </w:p>
    <w:p w14:paraId="6A0B9F7F" w14:textId="7C4385AC" w:rsidR="00C61BA9" w:rsidRPr="00653BF4" w:rsidRDefault="006447A4" w:rsidP="00C61BA9">
      <w:pPr>
        <w:pStyle w:val="Caption"/>
        <w:keepNext/>
        <w:rPr>
          <w:i w:val="0"/>
          <w:sz w:val="20"/>
          <w:szCs w:val="20"/>
          <w:lang w:val="fr-FR"/>
        </w:rPr>
      </w:pPr>
      <w:r w:rsidRPr="00653BF4">
        <w:rPr>
          <w:b/>
          <w:i w:val="0"/>
          <w:sz w:val="20"/>
          <w:szCs w:val="20"/>
          <w:lang w:val="fr-FR"/>
        </w:rPr>
        <w:t xml:space="preserve">Éléments de la </w:t>
      </w:r>
      <w:r w:rsidR="00E34DC9">
        <w:rPr>
          <w:b/>
          <w:i w:val="0"/>
          <w:sz w:val="20"/>
          <w:szCs w:val="20"/>
          <w:lang w:val="fr-FR"/>
        </w:rPr>
        <w:t>cible 7</w:t>
      </w:r>
      <w:r w:rsidRPr="00653BF4">
        <w:rPr>
          <w:b/>
          <w:i w:val="0"/>
          <w:sz w:val="20"/>
          <w:szCs w:val="20"/>
          <w:lang w:val="fr-FR"/>
        </w:rPr>
        <w:t xml:space="preserve"> du Cadre et leur prise en compte dans les cibles nationales </w:t>
      </w:r>
      <w:r w:rsidR="00EC0C6A" w:rsidRPr="00653BF4">
        <w:rPr>
          <w:i w:val="0"/>
          <w:iCs w:val="0"/>
          <w:sz w:val="20"/>
          <w:szCs w:val="20"/>
          <w:vertAlign w:val="superscript"/>
          <w:lang w:val="fr-FR"/>
        </w:rPr>
        <w:t>a</w:t>
      </w:r>
    </w:p>
    <w:tbl>
      <w:tblPr>
        <w:tblStyle w:val="TableGrid"/>
        <w:tblW w:w="0" w:type="auto"/>
        <w:tblLook w:val="04A0" w:firstRow="1" w:lastRow="0" w:firstColumn="1" w:lastColumn="0" w:noHBand="0" w:noVBand="1"/>
      </w:tblPr>
      <w:tblGrid>
        <w:gridCol w:w="8359"/>
        <w:gridCol w:w="657"/>
      </w:tblGrid>
      <w:tr w:rsidR="003573F7" w:rsidRPr="00653BF4" w14:paraId="3D0EB929" w14:textId="77777777" w:rsidTr="005A4608">
        <w:tc>
          <w:tcPr>
            <w:tcW w:w="8359" w:type="dxa"/>
          </w:tcPr>
          <w:p w14:paraId="56C98E86" w14:textId="38843A32" w:rsidR="003573F7" w:rsidRPr="00ED0FD1" w:rsidRDefault="00ED0FD1" w:rsidP="00A33A9C">
            <w:pPr>
              <w:rPr>
                <w:sz w:val="20"/>
                <w:szCs w:val="20"/>
                <w:lang w:val="fr-FR"/>
              </w:rPr>
            </w:pPr>
            <w:r w:rsidRPr="00ED0FD1">
              <w:rPr>
                <w:sz w:val="20"/>
                <w:szCs w:val="20"/>
                <w:lang w:val="fr-FR"/>
              </w:rPr>
              <w:t>Réduire les risques liés à la pollution et les incidences négatives de la pollution provenant de toutes les sources d’ici à 2030, en les portant à des niveaux sans danger pour la biodiversité,</w:t>
            </w:r>
            <w:r w:rsidRPr="00ED0FD1">
              <w:rPr>
                <w:sz w:val="22"/>
                <w:szCs w:val="22"/>
                <w:lang w:val="fr-FR"/>
              </w:rPr>
              <w:t xml:space="preserve"> </w:t>
            </w:r>
            <w:r w:rsidRPr="00ED0FD1">
              <w:rPr>
                <w:sz w:val="20"/>
                <w:szCs w:val="20"/>
                <w:lang w:val="fr-FR"/>
              </w:rPr>
              <w:t>en tenant compte des effets cumulatifs</w:t>
            </w:r>
          </w:p>
        </w:tc>
        <w:tc>
          <w:tcPr>
            <w:tcW w:w="657" w:type="dxa"/>
            <w:shd w:val="clear" w:color="auto" w:fill="92D050"/>
          </w:tcPr>
          <w:p w14:paraId="0D6D8186" w14:textId="5C5919E7" w:rsidR="003573F7" w:rsidRPr="00653BF4" w:rsidRDefault="00C00E51" w:rsidP="00A33A9C">
            <w:pPr>
              <w:rPr>
                <w:sz w:val="20"/>
                <w:szCs w:val="20"/>
                <w:lang w:val="fr-FR"/>
              </w:rPr>
            </w:pPr>
            <w:r w:rsidRPr="00653BF4">
              <w:rPr>
                <w:sz w:val="20"/>
                <w:szCs w:val="20"/>
                <w:lang w:val="fr-FR"/>
              </w:rPr>
              <w:t>7</w:t>
            </w:r>
            <w:r w:rsidR="00A0688A" w:rsidRPr="00653BF4">
              <w:rPr>
                <w:sz w:val="20"/>
                <w:szCs w:val="20"/>
                <w:lang w:val="fr-FR"/>
              </w:rPr>
              <w:t>1</w:t>
            </w:r>
          </w:p>
        </w:tc>
      </w:tr>
      <w:tr w:rsidR="00ED0FD1" w:rsidRPr="00653BF4" w14:paraId="690D5B85" w14:textId="77777777" w:rsidTr="005A4608">
        <w:tc>
          <w:tcPr>
            <w:tcW w:w="8359" w:type="dxa"/>
          </w:tcPr>
          <w:p w14:paraId="78E23EAC" w14:textId="43B960F0" w:rsidR="00ED0FD1" w:rsidRPr="00653BF4" w:rsidRDefault="00ED0FD1" w:rsidP="00ED0FD1">
            <w:pPr>
              <w:rPr>
                <w:sz w:val="20"/>
                <w:szCs w:val="20"/>
                <w:lang w:val="fr-FR"/>
              </w:rPr>
            </w:pPr>
            <w:r w:rsidRPr="00ED0FD1">
              <w:rPr>
                <w:sz w:val="20"/>
                <w:szCs w:val="20"/>
                <w:lang w:val="fr-FR"/>
              </w:rPr>
              <w:t xml:space="preserve">Réduire les risques liés à la pollution et les incidences négatives de la pollution provenant de toutes les sources d’ici à 2030, en les portant à des niveaux sans danger pour </w:t>
            </w:r>
            <w:r>
              <w:rPr>
                <w:sz w:val="20"/>
                <w:szCs w:val="20"/>
                <w:lang w:val="fr-FR"/>
              </w:rPr>
              <w:t>les fonctions et les services écosystémiques</w:t>
            </w:r>
            <w:r w:rsidRPr="00ED0FD1">
              <w:rPr>
                <w:sz w:val="20"/>
                <w:szCs w:val="20"/>
                <w:lang w:val="fr-FR"/>
              </w:rPr>
              <w:t>,</w:t>
            </w:r>
            <w:r w:rsidRPr="00ED0FD1">
              <w:rPr>
                <w:sz w:val="22"/>
                <w:szCs w:val="22"/>
                <w:lang w:val="fr-FR"/>
              </w:rPr>
              <w:t xml:space="preserve"> </w:t>
            </w:r>
            <w:r w:rsidRPr="00ED0FD1">
              <w:rPr>
                <w:sz w:val="20"/>
                <w:szCs w:val="20"/>
                <w:lang w:val="fr-FR"/>
              </w:rPr>
              <w:t>en tenant compte des effets cumulatifs</w:t>
            </w:r>
          </w:p>
        </w:tc>
        <w:tc>
          <w:tcPr>
            <w:tcW w:w="657" w:type="dxa"/>
            <w:shd w:val="clear" w:color="auto" w:fill="92D050"/>
          </w:tcPr>
          <w:p w14:paraId="1A8B3217" w14:textId="4058C685" w:rsidR="00ED0FD1" w:rsidRPr="00653BF4" w:rsidRDefault="00ED0FD1" w:rsidP="00ED0FD1">
            <w:pPr>
              <w:rPr>
                <w:sz w:val="20"/>
                <w:szCs w:val="20"/>
                <w:lang w:val="fr-FR"/>
              </w:rPr>
            </w:pPr>
            <w:r w:rsidRPr="00653BF4">
              <w:rPr>
                <w:sz w:val="20"/>
                <w:szCs w:val="20"/>
                <w:lang w:val="fr-FR"/>
              </w:rPr>
              <w:t>60</w:t>
            </w:r>
          </w:p>
        </w:tc>
      </w:tr>
      <w:tr w:rsidR="003573F7" w:rsidRPr="00653BF4" w14:paraId="14DE1265" w14:textId="77777777" w:rsidTr="005A4608">
        <w:tc>
          <w:tcPr>
            <w:tcW w:w="8359" w:type="dxa"/>
          </w:tcPr>
          <w:p w14:paraId="734833BB" w14:textId="77777777" w:rsidR="003573F7" w:rsidRDefault="00ED0FD1" w:rsidP="00A33A9C">
            <w:pPr>
              <w:rPr>
                <w:sz w:val="20"/>
                <w:szCs w:val="20"/>
                <w:lang w:val="fr-FR"/>
              </w:rPr>
            </w:pPr>
            <w:r>
              <w:rPr>
                <w:sz w:val="20"/>
                <w:szCs w:val="20"/>
                <w:lang w:val="fr-FR"/>
              </w:rPr>
              <w:t xml:space="preserve">Réduire </w:t>
            </w:r>
            <w:r w:rsidRPr="00ED0FD1">
              <w:rPr>
                <w:sz w:val="20"/>
                <w:szCs w:val="20"/>
                <w:lang w:val="fr-FR"/>
              </w:rPr>
              <w:t>au moins de moitié l’excès de nutriments perdus dans l’environnement, notamment grâce à un cycle et à une utilisation plus efficaces des nutriment</w:t>
            </w:r>
            <w:r w:rsidR="002C15E6">
              <w:rPr>
                <w:sz w:val="20"/>
                <w:szCs w:val="20"/>
                <w:lang w:val="fr-FR"/>
              </w:rPr>
              <w:t>s</w:t>
            </w:r>
          </w:p>
          <w:p w14:paraId="407CDBE0" w14:textId="4F343440" w:rsidR="009B41C6" w:rsidRPr="00653BF4" w:rsidRDefault="009B41C6" w:rsidP="00A33A9C">
            <w:pPr>
              <w:rPr>
                <w:sz w:val="20"/>
                <w:szCs w:val="20"/>
                <w:lang w:val="fr-FR"/>
              </w:rPr>
            </w:pPr>
          </w:p>
        </w:tc>
        <w:tc>
          <w:tcPr>
            <w:tcW w:w="657" w:type="dxa"/>
            <w:shd w:val="clear" w:color="auto" w:fill="FFFF00"/>
          </w:tcPr>
          <w:p w14:paraId="110C030F" w14:textId="798F8838" w:rsidR="003573F7" w:rsidRPr="00653BF4" w:rsidRDefault="00D16AFB" w:rsidP="00A33A9C">
            <w:pPr>
              <w:rPr>
                <w:sz w:val="20"/>
                <w:szCs w:val="20"/>
                <w:lang w:val="fr-FR"/>
              </w:rPr>
            </w:pPr>
            <w:r w:rsidRPr="00653BF4">
              <w:rPr>
                <w:sz w:val="20"/>
                <w:szCs w:val="20"/>
                <w:lang w:val="fr-FR"/>
              </w:rPr>
              <w:t>5</w:t>
            </w:r>
            <w:r w:rsidR="00A0688A" w:rsidRPr="00653BF4">
              <w:rPr>
                <w:sz w:val="20"/>
                <w:szCs w:val="20"/>
                <w:lang w:val="fr-FR"/>
              </w:rPr>
              <w:t>5</w:t>
            </w:r>
          </w:p>
        </w:tc>
      </w:tr>
      <w:tr w:rsidR="003573F7" w:rsidRPr="00653BF4" w14:paraId="754AFC24" w14:textId="77777777" w:rsidTr="005A4608">
        <w:tc>
          <w:tcPr>
            <w:tcW w:w="8359" w:type="dxa"/>
          </w:tcPr>
          <w:p w14:paraId="26746C28" w14:textId="3DA17C38" w:rsidR="003573F7" w:rsidRPr="00653BF4" w:rsidRDefault="00ED0FD1" w:rsidP="00A33A9C">
            <w:pPr>
              <w:rPr>
                <w:sz w:val="20"/>
                <w:szCs w:val="20"/>
                <w:lang w:val="fr-FR"/>
              </w:rPr>
            </w:pPr>
            <w:r>
              <w:rPr>
                <w:sz w:val="20"/>
                <w:szCs w:val="20"/>
                <w:lang w:val="fr-FR"/>
              </w:rPr>
              <w:lastRenderedPageBreak/>
              <w:t>Réduire</w:t>
            </w:r>
            <w:r w:rsidRPr="004A6081">
              <w:rPr>
                <w:lang w:val="fr-CA"/>
              </w:rPr>
              <w:t xml:space="preserve"> </w:t>
            </w:r>
            <w:r w:rsidRPr="00ED0FD1">
              <w:rPr>
                <w:sz w:val="20"/>
                <w:szCs w:val="20"/>
                <w:lang w:val="fr-FR"/>
              </w:rPr>
              <w:t>au moins de moitié les risques globaux liés aux pesticides et aux produits chimiques particulièrement dangereux, sur la base de données scientifiques, en tenant compte des questions de sécurité alimentaire et de moyens d’existence</w:t>
            </w:r>
          </w:p>
        </w:tc>
        <w:tc>
          <w:tcPr>
            <w:tcW w:w="657" w:type="dxa"/>
            <w:shd w:val="clear" w:color="auto" w:fill="FFFF00"/>
          </w:tcPr>
          <w:p w14:paraId="5B660E99" w14:textId="6FE1B691" w:rsidR="003573F7" w:rsidRPr="00653BF4" w:rsidRDefault="00DD333B" w:rsidP="00A33A9C">
            <w:pPr>
              <w:rPr>
                <w:sz w:val="20"/>
                <w:szCs w:val="20"/>
                <w:lang w:val="fr-FR"/>
              </w:rPr>
            </w:pPr>
            <w:r w:rsidRPr="00653BF4">
              <w:rPr>
                <w:sz w:val="20"/>
                <w:szCs w:val="20"/>
                <w:lang w:val="fr-FR"/>
              </w:rPr>
              <w:t>56</w:t>
            </w:r>
          </w:p>
        </w:tc>
      </w:tr>
      <w:tr w:rsidR="003573F7" w:rsidRPr="00653BF4" w14:paraId="75DC61D7" w14:textId="77777777" w:rsidTr="005A4608">
        <w:tc>
          <w:tcPr>
            <w:tcW w:w="8359" w:type="dxa"/>
          </w:tcPr>
          <w:p w14:paraId="6AE72F7B" w14:textId="77777777" w:rsidR="0032427D" w:rsidRDefault="00ED0FD1" w:rsidP="002C15E6">
            <w:pPr>
              <w:rPr>
                <w:sz w:val="20"/>
                <w:szCs w:val="20"/>
                <w:lang w:val="fr-FR"/>
              </w:rPr>
            </w:pPr>
            <w:r>
              <w:rPr>
                <w:sz w:val="20"/>
                <w:szCs w:val="20"/>
                <w:lang w:val="fr-FR"/>
              </w:rPr>
              <w:t xml:space="preserve">Réduire </w:t>
            </w:r>
            <w:r w:rsidRPr="00ED0FD1">
              <w:rPr>
                <w:sz w:val="20"/>
                <w:szCs w:val="20"/>
                <w:lang w:val="fr-FR"/>
              </w:rPr>
              <w:t>au moins de moitié les risques globaux liés aux pesticides et aux produits chimiques particulièrement dangereux</w:t>
            </w:r>
          </w:p>
          <w:p w14:paraId="58B7D4E2" w14:textId="26BC54F9" w:rsidR="009B41C6" w:rsidRPr="00653BF4" w:rsidRDefault="009B41C6" w:rsidP="002C15E6">
            <w:pPr>
              <w:rPr>
                <w:sz w:val="20"/>
                <w:szCs w:val="20"/>
                <w:lang w:val="fr-FR"/>
              </w:rPr>
            </w:pPr>
          </w:p>
        </w:tc>
        <w:tc>
          <w:tcPr>
            <w:tcW w:w="657" w:type="dxa"/>
            <w:shd w:val="clear" w:color="auto" w:fill="FFFF00"/>
          </w:tcPr>
          <w:p w14:paraId="1F6EB9D8" w14:textId="04439567" w:rsidR="003573F7" w:rsidRPr="00653BF4" w:rsidRDefault="00245005" w:rsidP="00A33A9C">
            <w:pPr>
              <w:rPr>
                <w:sz w:val="20"/>
                <w:szCs w:val="20"/>
                <w:lang w:val="fr-FR"/>
              </w:rPr>
            </w:pPr>
            <w:r w:rsidRPr="00653BF4">
              <w:rPr>
                <w:sz w:val="20"/>
                <w:szCs w:val="20"/>
                <w:lang w:val="fr-FR"/>
              </w:rPr>
              <w:t>43</w:t>
            </w:r>
          </w:p>
        </w:tc>
      </w:tr>
      <w:tr w:rsidR="003573F7" w:rsidRPr="00653BF4" w14:paraId="2C6506FE" w14:textId="77777777" w:rsidTr="005A4608">
        <w:tc>
          <w:tcPr>
            <w:tcW w:w="8359" w:type="dxa"/>
          </w:tcPr>
          <w:p w14:paraId="52A1F73F" w14:textId="31427ADE" w:rsidR="003573F7" w:rsidRDefault="00ED0FD1" w:rsidP="00A33A9C">
            <w:pPr>
              <w:rPr>
                <w:sz w:val="20"/>
                <w:szCs w:val="20"/>
                <w:lang w:val="fr-FR"/>
              </w:rPr>
            </w:pPr>
            <w:r w:rsidRPr="00ED0FD1">
              <w:rPr>
                <w:sz w:val="20"/>
                <w:szCs w:val="20"/>
                <w:lang w:val="fr-FR"/>
              </w:rPr>
              <w:t>Prévenir la pollution plastique, en la réduisant et en s’employant à l’éliminer</w:t>
            </w:r>
          </w:p>
          <w:p w14:paraId="4CB7A390" w14:textId="77777777" w:rsidR="009B41C6" w:rsidRPr="00ED0FD1" w:rsidRDefault="009B41C6" w:rsidP="00A33A9C">
            <w:pPr>
              <w:rPr>
                <w:sz w:val="20"/>
                <w:szCs w:val="20"/>
                <w:lang w:val="fr-FR"/>
              </w:rPr>
            </w:pPr>
          </w:p>
          <w:p w14:paraId="22A27529" w14:textId="0E505CD2" w:rsidR="0032427D" w:rsidRPr="00653BF4" w:rsidRDefault="0032427D" w:rsidP="00A33A9C">
            <w:pPr>
              <w:rPr>
                <w:sz w:val="20"/>
                <w:szCs w:val="20"/>
                <w:lang w:val="fr-FR"/>
              </w:rPr>
            </w:pPr>
          </w:p>
        </w:tc>
        <w:tc>
          <w:tcPr>
            <w:tcW w:w="657" w:type="dxa"/>
            <w:shd w:val="clear" w:color="auto" w:fill="FFFF00"/>
          </w:tcPr>
          <w:p w14:paraId="4D7569B4" w14:textId="3694FFEB" w:rsidR="003573F7" w:rsidRPr="00653BF4" w:rsidRDefault="009F5B1F" w:rsidP="00A33A9C">
            <w:pPr>
              <w:rPr>
                <w:sz w:val="20"/>
                <w:szCs w:val="20"/>
                <w:lang w:val="fr-FR"/>
              </w:rPr>
            </w:pPr>
            <w:r w:rsidRPr="00653BF4">
              <w:rPr>
                <w:sz w:val="20"/>
                <w:szCs w:val="20"/>
                <w:lang w:val="fr-FR"/>
              </w:rPr>
              <w:t>44</w:t>
            </w:r>
          </w:p>
        </w:tc>
      </w:tr>
      <w:tr w:rsidR="006B174F" w:rsidRPr="00543148" w14:paraId="792EF53A" w14:textId="77777777">
        <w:tc>
          <w:tcPr>
            <w:tcW w:w="9016" w:type="dxa"/>
            <w:gridSpan w:val="2"/>
          </w:tcPr>
          <w:p w14:paraId="170CECC4" w14:textId="3219F10A" w:rsidR="006B174F" w:rsidRPr="00653BF4" w:rsidRDefault="006447A4" w:rsidP="006B174F">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55</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1C3D5D3F" w14:textId="77777777" w:rsidR="006B174F" w:rsidRPr="00653BF4" w:rsidRDefault="006B174F" w:rsidP="00A33A9C">
            <w:pPr>
              <w:rPr>
                <w:sz w:val="20"/>
                <w:szCs w:val="20"/>
                <w:lang w:val="fr-FR"/>
              </w:rPr>
            </w:pPr>
          </w:p>
        </w:tc>
      </w:tr>
    </w:tbl>
    <w:p w14:paraId="20134EC8" w14:textId="0EBDEBC2" w:rsidR="0051516C" w:rsidRPr="00653BF4" w:rsidRDefault="0051516C" w:rsidP="00101A9D">
      <w:pPr>
        <w:rPr>
          <w:lang w:val="fr-FR"/>
        </w:rPr>
      </w:pPr>
    </w:p>
    <w:p w14:paraId="25745F2F" w14:textId="5E26830F" w:rsidR="00F87E0E" w:rsidRPr="00653BF4" w:rsidRDefault="006A631C" w:rsidP="00F87E0E">
      <w:pPr>
        <w:rPr>
          <w:iCs/>
          <w:sz w:val="16"/>
          <w:szCs w:val="16"/>
          <w:lang w:val="fr-FR"/>
        </w:rPr>
      </w:pPr>
      <w:r w:rsidRPr="00653BF4">
        <w:rPr>
          <w:i/>
          <w:sz w:val="16"/>
          <w:szCs w:val="16"/>
          <w:lang w:val="fr-FR"/>
        </w:rPr>
        <w:t>Note</w:t>
      </w:r>
      <w:r w:rsidR="00E34DC9">
        <w:rPr>
          <w:i/>
          <w:sz w:val="16"/>
          <w:szCs w:val="16"/>
          <w:lang w:val="fr-FR"/>
        </w:rPr>
        <w:t> :</w:t>
      </w:r>
      <w:r w:rsidR="00F87E0E" w:rsidRPr="00653BF4">
        <w:rPr>
          <w:iCs/>
          <w:sz w:val="16"/>
          <w:szCs w:val="16"/>
          <w:lang w:val="fr-FR"/>
        </w:rPr>
        <w:t xml:space="preserve"> </w:t>
      </w:r>
      <w:r w:rsidR="00977881" w:rsidRPr="00653BF4">
        <w:rPr>
          <w:iCs/>
          <w:sz w:val="16"/>
          <w:szCs w:val="16"/>
          <w:lang w:val="fr-FR"/>
        </w:rPr>
        <w:t>La colonne de droite du tableau indique le pourcentage de Parties dont les cibles nationales prennent en compte l’élément au moins partiellement</w:t>
      </w:r>
      <w:r w:rsidR="00F87E0E" w:rsidRPr="00653BF4">
        <w:rPr>
          <w:iCs/>
          <w:sz w:val="16"/>
          <w:szCs w:val="16"/>
          <w:lang w:val="fr-FR"/>
        </w:rPr>
        <w:t>.</w:t>
      </w:r>
    </w:p>
    <w:p w14:paraId="273488E4" w14:textId="1E9DA3D3" w:rsidR="00F87E0E" w:rsidRPr="00653BF4" w:rsidRDefault="00F87E0E" w:rsidP="006B2804">
      <w:pPr>
        <w:pStyle w:val="paragraph"/>
        <w:spacing w:before="0" w:beforeAutospacing="0" w:after="0" w:afterAutospacing="0"/>
        <w:textAlignment w:val="baseline"/>
        <w:rPr>
          <w:lang w:val="fr-FR"/>
        </w:rPr>
      </w:pPr>
      <w:r w:rsidRPr="00653BF4">
        <w:rPr>
          <w:sz w:val="16"/>
          <w:szCs w:val="16"/>
          <w:vertAlign w:val="superscript"/>
          <w:lang w:val="fr-FR"/>
        </w:rPr>
        <w:t>a</w:t>
      </w:r>
      <w:r w:rsidRPr="00653BF4">
        <w:rPr>
          <w:rStyle w:val="normaltextrun"/>
          <w:rFonts w:ascii="Aptos" w:hAnsi="Aptos" w:cs="Segoe UI"/>
          <w:sz w:val="16"/>
          <w:szCs w:val="16"/>
          <w:lang w:val="fr-FR"/>
        </w:rPr>
        <w:t xml:space="preserve"> </w:t>
      </w:r>
      <w:r w:rsidR="00402A62" w:rsidRPr="00653BF4">
        <w:rPr>
          <w:rStyle w:val="normaltextrun"/>
          <w:rFonts w:ascii="Aptos" w:hAnsi="Aptos" w:cs="Segoe UI"/>
          <w:sz w:val="16"/>
          <w:szCs w:val="16"/>
          <w:lang w:val="fr-FR"/>
        </w:rPr>
        <w:t>Les éléments de chaque cible ont été définis par le Groupe spécial d</w:t>
      </w:r>
      <w:r w:rsidR="00D77549">
        <w:rPr>
          <w:rStyle w:val="normaltextrun"/>
          <w:rFonts w:ascii="Aptos" w:hAnsi="Aptos" w:cs="Segoe UI"/>
          <w:sz w:val="16"/>
          <w:szCs w:val="16"/>
          <w:lang w:val="fr-FR"/>
        </w:rPr>
        <w:t>’</w:t>
      </w:r>
      <w:r w:rsidR="00402A62" w:rsidRPr="00653BF4">
        <w:rPr>
          <w:rStyle w:val="normaltextrun"/>
          <w:rFonts w:ascii="Aptos" w:hAnsi="Aptos" w:cs="Segoe UI"/>
          <w:sz w:val="16"/>
          <w:szCs w:val="16"/>
          <w:lang w:val="fr-FR"/>
        </w:rPr>
        <w:t>experts techniques sur les indicateurs du Cadre mondial de la biodiversité de Kunming-Montréal (voir annexe I du document </w:t>
      </w:r>
      <w:hyperlink r:id="rId97" w:history="1">
        <w:r w:rsidR="00924EF1" w:rsidRPr="00653BF4">
          <w:rPr>
            <w:rStyle w:val="Hyperlink"/>
            <w:rFonts w:ascii="Aptos" w:hAnsi="Aptos" w:cs="Segoe UI"/>
            <w:sz w:val="16"/>
            <w:szCs w:val="16"/>
            <w:lang w:val="fr-FR"/>
          </w:rPr>
          <w:t>CBD/COP/16/INF/4</w:t>
        </w:r>
      </w:hyperlink>
      <w:r w:rsidR="00E34DC9">
        <w:rPr>
          <w:sz w:val="16"/>
          <w:szCs w:val="16"/>
          <w:lang w:val="fr-FR"/>
        </w:rPr>
        <w:t> ;</w:t>
      </w:r>
      <w:r w:rsidR="00924EF1" w:rsidRPr="00653BF4">
        <w:rPr>
          <w:rFonts w:ascii="Aptos" w:hAnsi="Aptos" w:cs="Segoe UI"/>
          <w:sz w:val="16"/>
          <w:szCs w:val="16"/>
          <w:lang w:val="fr-FR"/>
        </w:rPr>
        <w:t xml:space="preserve"> </w:t>
      </w:r>
      <w:r w:rsidR="00402A62" w:rsidRPr="00653BF4">
        <w:rPr>
          <w:rFonts w:ascii="Aptos" w:hAnsi="Aptos" w:cs="Segoe UI"/>
          <w:sz w:val="16"/>
          <w:szCs w:val="16"/>
          <w:lang w:val="fr-FR"/>
        </w:rPr>
        <w:t xml:space="preserve">et </w:t>
      </w:r>
      <w:r w:rsidR="00924EF1" w:rsidRPr="00653BF4">
        <w:rPr>
          <w:rFonts w:ascii="Aptos" w:hAnsi="Aptos" w:cs="Segoe UI"/>
          <w:sz w:val="16"/>
          <w:szCs w:val="16"/>
          <w:lang w:val="fr-FR"/>
        </w:rPr>
        <w:t xml:space="preserve">Affinito </w:t>
      </w:r>
      <w:r w:rsidR="00402A62" w:rsidRPr="00653BF4">
        <w:rPr>
          <w:rFonts w:ascii="Aptos" w:hAnsi="Aptos" w:cs="Segoe UI"/>
          <w:i/>
          <w:iCs/>
          <w:sz w:val="16"/>
          <w:szCs w:val="16"/>
          <w:lang w:val="fr-FR"/>
        </w:rPr>
        <w:t>et al.</w:t>
      </w:r>
      <w:r w:rsidR="00924EF1" w:rsidRPr="00653BF4">
        <w:rPr>
          <w:rFonts w:ascii="Aptos" w:hAnsi="Aptos" w:cs="Segoe UI"/>
          <w:sz w:val="16"/>
          <w:szCs w:val="16"/>
          <w:lang w:val="fr-FR"/>
        </w:rPr>
        <w:t>, 2025).</w:t>
      </w:r>
      <w:r w:rsidR="009014BC" w:rsidRPr="00653BF4">
        <w:rPr>
          <w:lang w:val="fr-FR"/>
        </w:rPr>
        <w:t xml:space="preserve"> </w:t>
      </w:r>
      <w:r w:rsidR="009014BC" w:rsidRPr="00653BF4">
        <w:rPr>
          <w:rStyle w:val="normaltextrun"/>
          <w:rFonts w:ascii="Aptos" w:hAnsi="Aptos" w:cs="Segoe UI"/>
          <w:sz w:val="16"/>
          <w:szCs w:val="16"/>
          <w:lang w:val="fr-FR"/>
        </w:rPr>
        <w:t>La méthode détaillée employée pour l’analyse des cibles nationales est présentée dans le document </w:t>
      </w:r>
      <w:hyperlink r:id="rId98" w:history="1">
        <w:r w:rsidRPr="00653BF4">
          <w:rPr>
            <w:rStyle w:val="Hyperlink"/>
            <w:rFonts w:ascii="Aptos" w:hAnsi="Aptos" w:cs="Segoe UI"/>
            <w:sz w:val="16"/>
            <w:szCs w:val="16"/>
            <w:lang w:val="fr-FR"/>
          </w:rPr>
          <w:t>CBD/SBI/7/INF/22</w:t>
        </w:r>
      </w:hyperlink>
      <w:r w:rsidRPr="00653BF4">
        <w:rPr>
          <w:rStyle w:val="normaltextrun"/>
          <w:rFonts w:ascii="Aptos" w:hAnsi="Aptos" w:cs="Segoe UI"/>
          <w:sz w:val="16"/>
          <w:szCs w:val="16"/>
          <w:lang w:val="fr-FR"/>
        </w:rPr>
        <w:t>. </w:t>
      </w:r>
    </w:p>
    <w:p w14:paraId="61AAEBA2" w14:textId="77777777" w:rsidR="002F3327" w:rsidRPr="00653BF4" w:rsidRDefault="002F3327" w:rsidP="00101A9D">
      <w:pPr>
        <w:rPr>
          <w:lang w:val="fr-FR"/>
        </w:rPr>
      </w:pPr>
    </w:p>
    <w:p w14:paraId="2C5B5415" w14:textId="711140A2" w:rsidR="00572D6F" w:rsidRPr="00653BF4" w:rsidRDefault="00ED0FD1" w:rsidP="00572D6F">
      <w:pPr>
        <w:rPr>
          <w:lang w:val="fr-FR"/>
        </w:rPr>
      </w:pPr>
      <w:r w:rsidRPr="00ED0FD1">
        <w:rPr>
          <w:lang w:val="fr-FR"/>
        </w:rPr>
        <w:t xml:space="preserve">Les éléments de la </w:t>
      </w:r>
      <w:r w:rsidR="00E34DC9">
        <w:rPr>
          <w:lang w:val="fr-FR"/>
        </w:rPr>
        <w:t>cible 7</w:t>
      </w:r>
      <w:r w:rsidRPr="00ED0FD1">
        <w:rPr>
          <w:lang w:val="fr-FR"/>
        </w:rPr>
        <w:t xml:space="preserve"> pris en compte par la plupart des Parties dans leurs cibles nationales concernent la réduction des risques de pollution à des niveaux sans danger pour la biodiversité (71</w:t>
      </w:r>
      <w:r w:rsidR="002878D7">
        <w:rPr>
          <w:lang w:val="fr-FR"/>
        </w:rPr>
        <w:t> %</w:t>
      </w:r>
      <w:r w:rsidRPr="00ED0FD1">
        <w:rPr>
          <w:lang w:val="fr-FR"/>
        </w:rPr>
        <w:t xml:space="preserve"> des Parties) et pour les fonctions et services écosystémiques (60</w:t>
      </w:r>
      <w:r w:rsidR="002878D7">
        <w:rPr>
          <w:lang w:val="fr-FR"/>
        </w:rPr>
        <w:t> %</w:t>
      </w:r>
      <w:r w:rsidRPr="00ED0FD1">
        <w:rPr>
          <w:lang w:val="fr-FR"/>
        </w:rPr>
        <w:t>) (voir le tableau 16). Une proportion plus faible comprend des cibles nationales visant à réduire les pertes excessives de nutriments dans l’environnement et à réduire les risques globaux lié aux pesticides (respectivement 55</w:t>
      </w:r>
      <w:r w:rsidR="002878D7">
        <w:rPr>
          <w:lang w:val="fr-FR"/>
        </w:rPr>
        <w:t> %</w:t>
      </w:r>
      <w:r w:rsidRPr="00ED0FD1">
        <w:rPr>
          <w:lang w:val="fr-FR"/>
        </w:rPr>
        <w:t xml:space="preserve"> et 56</w:t>
      </w:r>
      <w:r w:rsidR="002878D7">
        <w:rPr>
          <w:lang w:val="fr-FR"/>
        </w:rPr>
        <w:t> %</w:t>
      </w:r>
      <w:r w:rsidRPr="00ED0FD1">
        <w:rPr>
          <w:lang w:val="fr-FR"/>
        </w:rPr>
        <w:t>). Les éléments les moins souvent pris en compte par les Parties dans leurs cibles nationales sont ceux relatifs à la réduction des risques globaux liés aux produits chimiques hautement dangereux. En outre, bien que de nombreuses Parties fassent l’objet de rapports concernant des mesures spécifiques concernant les plastiques, peu de cibles nationales couvrent l’ensemble de la portée de cet objectif en matière de prévention, d’atténuation et d’efforts visant à éliminer la pollution plastique.</w:t>
      </w:r>
    </w:p>
    <w:p w14:paraId="31F59C4F" w14:textId="4308D498" w:rsidR="00821CCF" w:rsidRPr="00653BF4" w:rsidRDefault="00ED0FD1" w:rsidP="00821CCF">
      <w:pPr>
        <w:rPr>
          <w:lang w:val="fr-FR"/>
        </w:rPr>
      </w:pPr>
      <w:r w:rsidRPr="00ED0FD1">
        <w:rPr>
          <w:lang w:val="fr-FR"/>
        </w:rPr>
        <w:t xml:space="preserve">La </w:t>
      </w:r>
      <w:r w:rsidR="00E34DC9">
        <w:rPr>
          <w:lang w:val="fr-FR"/>
        </w:rPr>
        <w:t>cible 7</w:t>
      </w:r>
      <w:r w:rsidRPr="00ED0FD1">
        <w:rPr>
          <w:lang w:val="fr-FR"/>
        </w:rPr>
        <w:t xml:space="preserve"> comporte des éléments quantitatifs concernant l’atténuation des pertes excessives de nutriments dans l’environnement et l’atténuation des risques globaux liés aux pesticides et aux produits chimiques extrêmement dangereux (à savoir </w:t>
      </w:r>
      <w:r w:rsidR="00E34DC9">
        <w:rPr>
          <w:lang w:val="fr-FR"/>
        </w:rPr>
        <w:t>« </w:t>
      </w:r>
      <w:r w:rsidRPr="00ED0FD1">
        <w:rPr>
          <w:lang w:val="fr-FR"/>
        </w:rPr>
        <w:t>au moins de moitié</w:t>
      </w:r>
      <w:r w:rsidR="00E34DC9">
        <w:rPr>
          <w:lang w:val="fr-FR"/>
        </w:rPr>
        <w:t> »</w:t>
      </w:r>
      <w:r w:rsidRPr="00ED0FD1">
        <w:rPr>
          <w:lang w:val="fr-FR"/>
        </w:rPr>
        <w:t>). Environ un cinquième des Parties ont intégré des éléments quantitatifs dans leurs cibles nationales relatives à l’atténuation des pertes de nutriments et des risques liés aux pesticides, et elles sont moins nombreuses (13</w:t>
      </w:r>
      <w:r w:rsidR="002878D7">
        <w:rPr>
          <w:lang w:val="fr-FR"/>
        </w:rPr>
        <w:t> %</w:t>
      </w:r>
      <w:r w:rsidRPr="00ED0FD1">
        <w:rPr>
          <w:lang w:val="fr-FR"/>
        </w:rPr>
        <w:t>) à avoir fixé des cibles nationales visant une réduction chiffrée des risques liés aux produits chimiques particulièrement dangereux.</w:t>
      </w:r>
    </w:p>
    <w:p w14:paraId="4B53B2C4" w14:textId="0F4CAD02" w:rsidR="00101A9D" w:rsidRPr="00653BF4" w:rsidRDefault="00101A9D" w:rsidP="00101A9D">
      <w:pPr>
        <w:rPr>
          <w:lang w:val="fr-FR"/>
        </w:rPr>
      </w:pPr>
      <w:r w:rsidRPr="00653BF4">
        <w:rPr>
          <w:lang w:val="fr-FR"/>
        </w:rPr>
        <w:tab/>
        <w:t xml:space="preserve"> </w:t>
      </w:r>
    </w:p>
    <w:p w14:paraId="24759B41" w14:textId="52B264D2" w:rsidR="00B70AA4" w:rsidRPr="00653BF4" w:rsidRDefault="00DD19D2" w:rsidP="00B70AA4">
      <w:pPr>
        <w:pStyle w:val="Heading5"/>
        <w:rPr>
          <w:lang w:val="fr-FR"/>
        </w:rPr>
      </w:pPr>
      <w:r w:rsidRPr="00653BF4">
        <w:rPr>
          <w:lang w:val="fr-FR"/>
        </w:rPr>
        <w:lastRenderedPageBreak/>
        <w:t>Indicateurs de progrès</w:t>
      </w:r>
    </w:p>
    <w:p w14:paraId="577F3F13" w14:textId="77777777" w:rsidR="00792428" w:rsidRPr="00653BF4" w:rsidRDefault="00792428" w:rsidP="000927E9">
      <w:pPr>
        <w:pStyle w:val="Caption"/>
        <w:rPr>
          <w:i w:val="0"/>
          <w:iCs w:val="0"/>
          <w:sz w:val="20"/>
          <w:szCs w:val="20"/>
          <w:lang w:val="fr-FR"/>
        </w:rPr>
      </w:pPr>
    </w:p>
    <w:p w14:paraId="6FF3FDA0" w14:textId="280DA7DC" w:rsidR="00291A90" w:rsidRPr="00653BF4" w:rsidRDefault="00D5751A" w:rsidP="000927E9">
      <w:pPr>
        <w:pStyle w:val="Caption"/>
        <w:rPr>
          <w:i w:val="0"/>
          <w:iCs w:val="0"/>
          <w:sz w:val="20"/>
          <w:szCs w:val="20"/>
          <w:lang w:val="fr-FR"/>
        </w:rPr>
      </w:pPr>
      <w:r w:rsidRPr="00653BF4">
        <w:rPr>
          <w:i w:val="0"/>
          <w:sz w:val="20"/>
          <w:szCs w:val="20"/>
          <w:lang w:val="fr-FR"/>
        </w:rPr>
        <w:t>Tableau</w:t>
      </w:r>
      <w:r w:rsidR="00DC1793" w:rsidRPr="00653BF4">
        <w:rPr>
          <w:i w:val="0"/>
          <w:noProof/>
          <w:sz w:val="20"/>
          <w:szCs w:val="20"/>
          <w:lang w:val="fr-FR"/>
        </w:rPr>
        <w:t>17</w:t>
      </w:r>
    </w:p>
    <w:p w14:paraId="23635524" w14:textId="7F6773FC" w:rsidR="00A76A52" w:rsidRPr="00653BF4" w:rsidRDefault="001D36BE" w:rsidP="000927E9">
      <w:pPr>
        <w:pStyle w:val="Caption"/>
        <w:rPr>
          <w:b/>
          <w:i w:val="0"/>
          <w:sz w:val="20"/>
          <w:szCs w:val="20"/>
          <w:lang w:val="fr-FR"/>
        </w:rPr>
      </w:pPr>
      <w:r w:rsidRPr="001D36BE">
        <w:rPr>
          <w:b/>
          <w:bCs/>
          <w:i w:val="0"/>
          <w:iCs w:val="0"/>
          <w:sz w:val="20"/>
          <w:szCs w:val="20"/>
          <w:lang w:val="fr-FR"/>
        </w:rPr>
        <w:t xml:space="preserve">Tableau de bord des indicateurs pour la </w:t>
      </w:r>
      <w:r w:rsidR="00E34DC9">
        <w:rPr>
          <w:b/>
          <w:bCs/>
          <w:i w:val="0"/>
          <w:iCs w:val="0"/>
          <w:sz w:val="20"/>
          <w:szCs w:val="20"/>
          <w:lang w:val="fr-FR"/>
        </w:rPr>
        <w:t>cible 7</w:t>
      </w:r>
      <w:r w:rsidRPr="001D36BE">
        <w:rPr>
          <w:b/>
          <w:bCs/>
          <w:i w:val="0"/>
          <w:iCs w:val="0"/>
          <w:sz w:val="20"/>
          <w:szCs w:val="20"/>
          <w:lang w:val="fr-FR"/>
        </w:rPr>
        <w:t xml:space="preserve"> du Cadre</w:t>
      </w:r>
    </w:p>
    <w:tbl>
      <w:tblPr>
        <w:tblW w:w="9016" w:type="dxa"/>
        <w:tblLook w:val="04A0" w:firstRow="1" w:lastRow="0" w:firstColumn="1" w:lastColumn="0" w:noHBand="0" w:noVBand="1"/>
      </w:tblPr>
      <w:tblGrid>
        <w:gridCol w:w="2818"/>
        <w:gridCol w:w="2139"/>
        <w:gridCol w:w="567"/>
        <w:gridCol w:w="2976"/>
        <w:gridCol w:w="516"/>
      </w:tblGrid>
      <w:tr w:rsidR="00A76A52" w:rsidRPr="00653BF4" w14:paraId="61F609DC" w14:textId="77777777">
        <w:trPr>
          <w:trHeight w:val="1050"/>
        </w:trPr>
        <w:tc>
          <w:tcPr>
            <w:tcW w:w="2818" w:type="dxa"/>
            <w:tcBorders>
              <w:top w:val="single" w:sz="4" w:space="0" w:color="auto"/>
              <w:left w:val="single" w:sz="4" w:space="0" w:color="auto"/>
              <w:bottom w:val="single" w:sz="4" w:space="0" w:color="auto"/>
              <w:right w:val="single" w:sz="4" w:space="0" w:color="auto"/>
            </w:tcBorders>
            <w:shd w:val="clear" w:color="000000" w:fill="FFFFFF"/>
            <w:vAlign w:val="center"/>
          </w:tcPr>
          <w:p w14:paraId="34C61C79" w14:textId="77777777" w:rsidR="00A76A52" w:rsidRPr="00653BF4" w:rsidRDefault="00A76A52">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706" w:type="dxa"/>
            <w:gridSpan w:val="2"/>
            <w:tcBorders>
              <w:top w:val="single" w:sz="4" w:space="0" w:color="auto"/>
              <w:left w:val="nil"/>
              <w:bottom w:val="single" w:sz="4" w:space="0" w:color="auto"/>
              <w:right w:val="single" w:sz="4" w:space="0" w:color="auto"/>
            </w:tcBorders>
            <w:vAlign w:val="center"/>
          </w:tcPr>
          <w:p w14:paraId="2F3F11FE" w14:textId="011B0C24" w:rsidR="00A76A52" w:rsidRPr="00653BF4" w:rsidRDefault="00E04592">
            <w:pPr>
              <w:spacing w:after="0" w:line="240" w:lineRule="auto"/>
              <w:jc w:val="center"/>
              <w:rPr>
                <w:rFonts w:ascii="Aptos" w:eastAsia="Times New Roman" w:hAnsi="Aptos" w:cs="Times New Roman"/>
                <w:color w:val="000000"/>
                <w:kern w:val="0"/>
                <w:sz w:val="20"/>
                <w:szCs w:val="20"/>
                <w:lang w:val="fr-FR" w:eastAsia="en-CA"/>
                <w14:ligatures w14:val="none"/>
              </w:rPr>
            </w:pPr>
            <w:r>
              <w:rPr>
                <w:rFonts w:ascii="Aptos" w:hAnsi="Aptos"/>
                <w:color w:val="000000"/>
                <w:sz w:val="20"/>
                <w:szCs w:val="20"/>
                <w:lang w:val="fr-FR"/>
              </w:rPr>
              <w:t>Utilisation de l’indicateur</w:t>
            </w:r>
          </w:p>
        </w:tc>
        <w:tc>
          <w:tcPr>
            <w:tcW w:w="3492" w:type="dxa"/>
            <w:gridSpan w:val="2"/>
            <w:tcBorders>
              <w:top w:val="single" w:sz="4" w:space="0" w:color="auto"/>
              <w:left w:val="nil"/>
              <w:bottom w:val="single" w:sz="4" w:space="0" w:color="auto"/>
              <w:right w:val="single" w:sz="4" w:space="0" w:color="auto"/>
            </w:tcBorders>
            <w:vAlign w:val="center"/>
          </w:tcPr>
          <w:p w14:paraId="21A2146B" w14:textId="7A302A1A" w:rsidR="00A76A52" w:rsidRPr="00653BF4" w:rsidRDefault="00A443C9">
            <w:pPr>
              <w:spacing w:after="0" w:line="240" w:lineRule="auto"/>
              <w:jc w:val="center"/>
              <w:rPr>
                <w:rFonts w:ascii="Aptos" w:eastAsia="Times New Roman" w:hAnsi="Aptos" w:cs="Calibri"/>
                <w:color w:val="000000"/>
                <w:kern w:val="0"/>
                <w:sz w:val="20"/>
                <w:szCs w:val="20"/>
                <w:lang w:val="fr-FR" w:eastAsia="en-CA"/>
                <w14:ligatures w14:val="none"/>
              </w:rPr>
            </w:pPr>
            <w:r>
              <w:rPr>
                <w:rFonts w:ascii="Aptos" w:hAnsi="Aptos"/>
                <w:color w:val="000000"/>
                <w:sz w:val="20"/>
                <w:szCs w:val="20"/>
                <w:lang w:val="fr-FR"/>
              </w:rPr>
              <w:t>Résultats de l’indicateur</w:t>
            </w:r>
          </w:p>
        </w:tc>
      </w:tr>
      <w:tr w:rsidR="00A76A52" w:rsidRPr="00543148" w14:paraId="46A9B4A1" w14:textId="77777777">
        <w:trPr>
          <w:trHeight w:val="1050"/>
        </w:trPr>
        <w:tc>
          <w:tcPr>
            <w:tcW w:w="28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39443E" w14:textId="49F2425E" w:rsidR="00F16C39" w:rsidRPr="00F16C39" w:rsidRDefault="00F16C39" w:rsidP="00F16C39">
            <w:pPr>
              <w:spacing w:after="0" w:line="240" w:lineRule="auto"/>
              <w:jc w:val="center"/>
              <w:rPr>
                <w:rFonts w:ascii="Aptos" w:eastAsia="Times New Roman" w:hAnsi="Aptos" w:cs="Times New Roman"/>
                <w:color w:val="000000"/>
                <w:kern w:val="0"/>
                <w:sz w:val="20"/>
                <w:szCs w:val="20"/>
                <w:lang w:val="fr-FR" w:eastAsia="en-CA"/>
                <w14:ligatures w14:val="none"/>
              </w:rPr>
            </w:pPr>
            <w:r>
              <w:rPr>
                <w:rFonts w:ascii="Aptos" w:eastAsia="Times New Roman" w:hAnsi="Aptos" w:cs="Times New Roman"/>
                <w:color w:val="000000"/>
                <w:kern w:val="0"/>
                <w:sz w:val="20"/>
                <w:szCs w:val="20"/>
                <w:lang w:val="fr-FR" w:eastAsia="en-CA"/>
                <w14:ligatures w14:val="none"/>
              </w:rPr>
              <w:t>Indicateur phare</w:t>
            </w:r>
            <w:r w:rsidR="00FF3A27" w:rsidRPr="00653BF4">
              <w:rPr>
                <w:rFonts w:ascii="Aptos" w:eastAsia="Times New Roman" w:hAnsi="Aptos" w:cs="Times New Roman"/>
                <w:color w:val="000000"/>
                <w:kern w:val="0"/>
                <w:sz w:val="20"/>
                <w:szCs w:val="20"/>
                <w:lang w:val="fr-FR" w:eastAsia="en-CA"/>
                <w14:ligatures w14:val="none"/>
              </w:rPr>
              <w:t xml:space="preserve"> </w:t>
            </w:r>
            <w:r w:rsidR="00A76A52" w:rsidRPr="00653BF4">
              <w:rPr>
                <w:rFonts w:ascii="Aptos" w:eastAsia="Times New Roman" w:hAnsi="Aptos" w:cs="Times New Roman"/>
                <w:color w:val="000000"/>
                <w:kern w:val="0"/>
                <w:sz w:val="20"/>
                <w:szCs w:val="20"/>
                <w:lang w:val="fr-FR" w:eastAsia="en-CA"/>
                <w14:ligatures w14:val="none"/>
              </w:rPr>
              <w:t>7.1</w:t>
            </w:r>
            <w:r w:rsidR="00E34DC9">
              <w:rPr>
                <w:rFonts w:ascii="Aptos" w:eastAsia="Times New Roman" w:hAnsi="Aptos" w:cs="Times New Roman"/>
                <w:color w:val="000000"/>
                <w:kern w:val="0"/>
                <w:sz w:val="20"/>
                <w:szCs w:val="20"/>
                <w:lang w:val="fr-FR" w:eastAsia="en-CA"/>
                <w14:ligatures w14:val="none"/>
              </w:rPr>
              <w:t> :</w:t>
            </w:r>
            <w:r>
              <w:rPr>
                <w:rFonts w:ascii="Aptos" w:eastAsia="Times New Roman" w:hAnsi="Aptos" w:cs="Times New Roman"/>
                <w:color w:val="000000"/>
                <w:kern w:val="0"/>
                <w:sz w:val="20"/>
                <w:szCs w:val="20"/>
                <w:lang w:val="fr-FR" w:eastAsia="en-CA"/>
                <w14:ligatures w14:val="none"/>
              </w:rPr>
              <w:t xml:space="preserve"> i</w:t>
            </w:r>
            <w:r w:rsidRPr="00F16C39">
              <w:rPr>
                <w:rFonts w:ascii="Aptos" w:eastAsia="Times New Roman" w:hAnsi="Aptos" w:cs="Times New Roman"/>
                <w:color w:val="000000"/>
                <w:kern w:val="0"/>
                <w:sz w:val="20"/>
                <w:szCs w:val="20"/>
                <w:lang w:val="fr-FR" w:eastAsia="en-CA"/>
                <w14:ligatures w14:val="none"/>
              </w:rPr>
              <w:t>ndice sur le potentiel d’eutrophisation</w:t>
            </w:r>
          </w:p>
          <w:p w14:paraId="36E53795" w14:textId="2CFBBF57" w:rsidR="00A76A52" w:rsidRPr="00653BF4" w:rsidRDefault="00F16C39" w:rsidP="00F16C39">
            <w:pPr>
              <w:spacing w:after="0" w:line="240" w:lineRule="auto"/>
              <w:jc w:val="center"/>
              <w:rPr>
                <w:rFonts w:ascii="Aptos" w:eastAsia="Times New Roman" w:hAnsi="Aptos" w:cs="Times New Roman"/>
                <w:color w:val="000000"/>
                <w:kern w:val="0"/>
                <w:sz w:val="20"/>
                <w:szCs w:val="20"/>
                <w:lang w:val="fr-FR" w:eastAsia="en-CA"/>
                <w14:ligatures w14:val="none"/>
              </w:rPr>
            </w:pPr>
            <w:r w:rsidRPr="00F16C39">
              <w:rPr>
                <w:rFonts w:ascii="Aptos" w:eastAsia="Times New Roman" w:hAnsi="Aptos" w:cs="Times New Roman"/>
                <w:color w:val="000000"/>
                <w:kern w:val="0"/>
                <w:sz w:val="20"/>
                <w:szCs w:val="20"/>
                <w:lang w:val="fr-FR" w:eastAsia="en-CA"/>
                <w14:ligatures w14:val="none"/>
              </w:rPr>
              <w:t>côtière</w:t>
            </w:r>
          </w:p>
        </w:tc>
        <w:tc>
          <w:tcPr>
            <w:tcW w:w="2139" w:type="dxa"/>
            <w:tcBorders>
              <w:top w:val="single" w:sz="4" w:space="0" w:color="auto"/>
              <w:left w:val="nil"/>
              <w:bottom w:val="single" w:sz="4" w:space="0" w:color="auto"/>
              <w:right w:val="single" w:sz="4" w:space="0" w:color="auto"/>
            </w:tcBorders>
            <w:vAlign w:val="center"/>
            <w:hideMark/>
          </w:tcPr>
          <w:p w14:paraId="12920FDF" w14:textId="12D89F20" w:rsidR="00A76A52" w:rsidRPr="00653BF4" w:rsidRDefault="00A76A52">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10</w:t>
            </w:r>
            <w:r w:rsidR="002878D7">
              <w:rPr>
                <w:rFonts w:ascii="Aptos" w:eastAsia="Times New Roman" w:hAnsi="Aptos" w:cs="Calibri"/>
                <w:color w:val="000000"/>
                <w:kern w:val="0"/>
                <w:sz w:val="20"/>
                <w:szCs w:val="20"/>
                <w:lang w:val="fr-FR" w:eastAsia="en-CA"/>
                <w14:ligatures w14:val="none"/>
              </w:rPr>
              <w:t> %</w:t>
            </w:r>
            <w:r w:rsidR="00F16C39">
              <w:rPr>
                <w:rFonts w:ascii="Aptos" w:eastAsia="Times New Roman" w:hAnsi="Aptos" w:cs="Calibri"/>
                <w:color w:val="000000"/>
                <w:kern w:val="0"/>
                <w:sz w:val="20"/>
                <w:szCs w:val="20"/>
                <w:lang w:val="fr-FR" w:eastAsia="en-CA"/>
                <w14:ligatures w14:val="none"/>
              </w:rPr>
              <w:t xml:space="preserve"> des </w:t>
            </w:r>
            <w:r w:rsidR="00086D63" w:rsidRPr="00653BF4">
              <w:rPr>
                <w:rFonts w:ascii="Aptos" w:eastAsia="Times New Roman" w:hAnsi="Aptos" w:cs="Calibri"/>
                <w:color w:val="000000"/>
                <w:kern w:val="0"/>
                <w:sz w:val="20"/>
                <w:szCs w:val="20"/>
                <w:lang w:val="fr-FR" w:eastAsia="en-CA"/>
                <w14:ligatures w14:val="none"/>
              </w:rPr>
              <w:t>Parties,</w:t>
            </w:r>
            <w:r w:rsidRPr="00653BF4">
              <w:rPr>
                <w:rFonts w:ascii="Aptos" w:eastAsia="Times New Roman" w:hAnsi="Aptos" w:cs="Calibri"/>
                <w:color w:val="000000"/>
                <w:kern w:val="0"/>
                <w:sz w:val="20"/>
                <w:szCs w:val="20"/>
                <w:lang w:val="fr-FR" w:eastAsia="en-CA"/>
                <w14:ligatures w14:val="none"/>
              </w:rPr>
              <w:t xml:space="preserve"> &lt;1</w:t>
            </w:r>
            <w:r w:rsidR="002878D7">
              <w:rPr>
                <w:rFonts w:ascii="Aptos" w:eastAsia="Times New Roman" w:hAnsi="Aptos" w:cs="Calibri"/>
                <w:color w:val="000000"/>
                <w:kern w:val="0"/>
                <w:sz w:val="20"/>
                <w:szCs w:val="20"/>
                <w:lang w:val="fr-FR" w:eastAsia="en-CA"/>
                <w14:ligatures w14:val="none"/>
              </w:rPr>
              <w:t> %</w:t>
            </w:r>
            <w:r w:rsidR="00086D63" w:rsidRPr="00653BF4">
              <w:rPr>
                <w:rFonts w:ascii="Aptos" w:eastAsia="Times New Roman" w:hAnsi="Aptos" w:cs="Calibri"/>
                <w:color w:val="000000"/>
                <w:kern w:val="0"/>
                <w:sz w:val="20"/>
                <w:szCs w:val="20"/>
                <w:lang w:val="fr-FR" w:eastAsia="en-CA"/>
                <w14:ligatures w14:val="none"/>
              </w:rPr>
              <w:t xml:space="preserve"> </w:t>
            </w:r>
            <w:r w:rsidR="00F16C39">
              <w:rPr>
                <w:rFonts w:ascii="Aptos" w:eastAsia="Times New Roman" w:hAnsi="Aptos" w:cs="Calibri"/>
                <w:color w:val="000000"/>
                <w:kern w:val="0"/>
                <w:sz w:val="20"/>
                <w:szCs w:val="20"/>
                <w:lang w:val="fr-FR" w:eastAsia="en-CA"/>
                <w14:ligatures w14:val="none"/>
              </w:rPr>
              <w:t>contiennent des données historisées</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08778F18" w14:textId="77777777" w:rsidR="00A76A52" w:rsidRPr="00653BF4" w:rsidRDefault="00A76A52">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976" w:type="dxa"/>
            <w:tcBorders>
              <w:top w:val="single" w:sz="4" w:space="0" w:color="auto"/>
              <w:left w:val="nil"/>
              <w:bottom w:val="single" w:sz="4" w:space="0" w:color="auto"/>
              <w:right w:val="single" w:sz="4" w:space="0" w:color="auto"/>
            </w:tcBorders>
            <w:vAlign w:val="center"/>
            <w:hideMark/>
          </w:tcPr>
          <w:p w14:paraId="6DB93E38" w14:textId="1B45C202" w:rsidR="00A76A52" w:rsidRPr="00653BF4" w:rsidRDefault="00F16C39">
            <w:pPr>
              <w:spacing w:after="0" w:line="240" w:lineRule="auto"/>
              <w:jc w:val="center"/>
              <w:rPr>
                <w:rFonts w:ascii="Aptos" w:eastAsia="Times New Roman" w:hAnsi="Aptos" w:cs="Calibri"/>
                <w:color w:val="000000"/>
                <w:kern w:val="0"/>
                <w:sz w:val="20"/>
                <w:szCs w:val="20"/>
                <w:lang w:val="fr-FR" w:eastAsia="en-CA"/>
                <w14:ligatures w14:val="none"/>
              </w:rPr>
            </w:pPr>
            <w:r w:rsidRPr="00F16C39">
              <w:rPr>
                <w:rFonts w:ascii="Aptos" w:eastAsia="Times New Roman" w:hAnsi="Aptos" w:cs="Calibri"/>
                <w:color w:val="000000"/>
                <w:kern w:val="0"/>
                <w:sz w:val="20"/>
                <w:szCs w:val="20"/>
                <w:lang w:val="fr-FR" w:eastAsia="en-CA"/>
                <w14:ligatures w14:val="none"/>
              </w:rPr>
              <w:t>Aucun résultat</w:t>
            </w:r>
            <w:r w:rsidR="00E34DC9">
              <w:rPr>
                <w:rFonts w:ascii="Aptos" w:eastAsia="Times New Roman" w:hAnsi="Aptos" w:cs="Calibri"/>
                <w:color w:val="000000"/>
                <w:kern w:val="0"/>
                <w:sz w:val="20"/>
                <w:szCs w:val="20"/>
                <w:lang w:val="fr-FR" w:eastAsia="en-CA"/>
                <w14:ligatures w14:val="none"/>
              </w:rPr>
              <w:t> :</w:t>
            </w:r>
            <w:r w:rsidRPr="00F16C39">
              <w:rPr>
                <w:rFonts w:ascii="Aptos" w:eastAsia="Times New Roman" w:hAnsi="Aptos" w:cs="Calibri"/>
                <w:color w:val="000000"/>
                <w:kern w:val="0"/>
                <w:sz w:val="20"/>
                <w:szCs w:val="20"/>
                <w:lang w:val="fr-FR" w:eastAsia="en-CA"/>
                <w14:ligatures w14:val="none"/>
              </w:rPr>
              <w:t xml:space="preserve"> seules deux Parties ont présenté des données relatives aux indicateurs conformément à la description figurant dans les métadonnées</w:t>
            </w:r>
          </w:p>
        </w:tc>
        <w:tc>
          <w:tcPr>
            <w:tcW w:w="516" w:type="dxa"/>
            <w:tcBorders>
              <w:top w:val="single" w:sz="4" w:space="0" w:color="auto"/>
              <w:left w:val="nil"/>
              <w:bottom w:val="single" w:sz="4" w:space="0" w:color="auto"/>
              <w:right w:val="single" w:sz="4" w:space="0" w:color="auto"/>
            </w:tcBorders>
            <w:shd w:val="clear" w:color="auto" w:fill="ADADAD" w:themeFill="background2" w:themeFillShade="BF"/>
            <w:vAlign w:val="center"/>
          </w:tcPr>
          <w:p w14:paraId="7694D484" w14:textId="77777777" w:rsidR="00A76A52" w:rsidRPr="00653BF4" w:rsidRDefault="00A76A52">
            <w:pPr>
              <w:spacing w:after="0" w:line="240" w:lineRule="auto"/>
              <w:jc w:val="center"/>
              <w:rPr>
                <w:rFonts w:ascii="Aptos" w:eastAsia="Times New Roman" w:hAnsi="Aptos" w:cs="Calibri"/>
                <w:color w:val="000000"/>
                <w:kern w:val="0"/>
                <w:sz w:val="20"/>
                <w:szCs w:val="20"/>
                <w:lang w:val="fr-FR" w:eastAsia="en-CA"/>
                <w14:ligatures w14:val="none"/>
              </w:rPr>
            </w:pPr>
          </w:p>
        </w:tc>
      </w:tr>
      <w:tr w:rsidR="00A76A52" w:rsidRPr="00543148" w14:paraId="4A030A8F" w14:textId="77777777">
        <w:trPr>
          <w:trHeight w:val="1050"/>
        </w:trPr>
        <w:tc>
          <w:tcPr>
            <w:tcW w:w="2818" w:type="dxa"/>
            <w:tcBorders>
              <w:top w:val="nil"/>
              <w:left w:val="single" w:sz="4" w:space="0" w:color="auto"/>
              <w:bottom w:val="single" w:sz="4" w:space="0" w:color="auto"/>
              <w:right w:val="single" w:sz="4" w:space="0" w:color="auto"/>
            </w:tcBorders>
            <w:shd w:val="clear" w:color="000000" w:fill="FFFFFF"/>
            <w:vAlign w:val="center"/>
            <w:hideMark/>
          </w:tcPr>
          <w:p w14:paraId="778354E2" w14:textId="05C9E330" w:rsidR="00A76A52" w:rsidRPr="00653BF4" w:rsidRDefault="00F16C39" w:rsidP="00F16C39">
            <w:pPr>
              <w:rPr>
                <w:sz w:val="20"/>
                <w:szCs w:val="20"/>
                <w:lang w:val="fr-FR" w:eastAsia="en-CA"/>
              </w:rPr>
            </w:pPr>
            <w:bookmarkStart w:id="158" w:name="RANGE!B48"/>
            <w:r w:rsidRPr="00F16C39">
              <w:rPr>
                <w:sz w:val="20"/>
                <w:szCs w:val="20"/>
                <w:lang w:val="fr-FR" w:eastAsia="en-CA"/>
              </w:rPr>
              <w:t xml:space="preserve">Indicateur phare </w:t>
            </w:r>
            <w:r w:rsidR="00A76A52" w:rsidRPr="00653BF4">
              <w:rPr>
                <w:sz w:val="20"/>
                <w:szCs w:val="20"/>
                <w:lang w:val="fr-FR" w:eastAsia="en-CA"/>
              </w:rPr>
              <w:t>7.2</w:t>
            </w:r>
            <w:r w:rsidR="00E34DC9">
              <w:rPr>
                <w:sz w:val="20"/>
                <w:szCs w:val="20"/>
                <w:lang w:val="fr-FR" w:eastAsia="en-CA"/>
              </w:rPr>
              <w:t> :</w:t>
            </w:r>
            <w:r w:rsidR="00A76A52" w:rsidRPr="00653BF4">
              <w:rPr>
                <w:sz w:val="20"/>
                <w:szCs w:val="20"/>
                <w:lang w:val="fr-FR" w:eastAsia="en-CA"/>
              </w:rPr>
              <w:t xml:space="preserve"> </w:t>
            </w:r>
            <w:r w:rsidRPr="00F16C39">
              <w:rPr>
                <w:sz w:val="20"/>
                <w:szCs w:val="20"/>
                <w:lang w:val="fr-FR" w:eastAsia="en-CA"/>
              </w:rPr>
              <w:t>Concentration de pesticides dans</w:t>
            </w:r>
            <w:r>
              <w:rPr>
                <w:sz w:val="20"/>
                <w:szCs w:val="20"/>
                <w:lang w:val="fr-FR" w:eastAsia="en-CA"/>
              </w:rPr>
              <w:t xml:space="preserve"> </w:t>
            </w:r>
            <w:r w:rsidRPr="00F16C39">
              <w:rPr>
                <w:sz w:val="20"/>
                <w:szCs w:val="20"/>
                <w:lang w:val="fr-FR" w:eastAsia="en-CA"/>
              </w:rPr>
              <w:t>l’environnement et/ou la toxicité totale cumulée appliquée</w:t>
            </w:r>
            <w:bookmarkEnd w:id="158"/>
          </w:p>
        </w:tc>
        <w:tc>
          <w:tcPr>
            <w:tcW w:w="2139" w:type="dxa"/>
            <w:tcBorders>
              <w:top w:val="nil"/>
              <w:left w:val="nil"/>
              <w:bottom w:val="single" w:sz="4" w:space="0" w:color="auto"/>
              <w:right w:val="single" w:sz="4" w:space="0" w:color="auto"/>
            </w:tcBorders>
            <w:vAlign w:val="center"/>
            <w:hideMark/>
          </w:tcPr>
          <w:p w14:paraId="045C5E7D" w14:textId="6752A7DC" w:rsidR="00A76A52" w:rsidRPr="00653BF4" w:rsidRDefault="00786A9C">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14</w:t>
            </w:r>
            <w:r w:rsidR="002878D7">
              <w:rPr>
                <w:rFonts w:ascii="Aptos" w:eastAsia="Times New Roman" w:hAnsi="Aptos" w:cs="Calibri"/>
                <w:color w:val="000000"/>
                <w:kern w:val="0"/>
                <w:sz w:val="20"/>
                <w:szCs w:val="20"/>
                <w:lang w:val="fr-FR" w:eastAsia="en-CA"/>
                <w14:ligatures w14:val="none"/>
              </w:rPr>
              <w:t> %</w:t>
            </w:r>
            <w:r w:rsidR="00F16C39">
              <w:rPr>
                <w:rFonts w:ascii="Aptos" w:eastAsia="Times New Roman" w:hAnsi="Aptos" w:cs="Calibri"/>
                <w:color w:val="000000"/>
                <w:kern w:val="0"/>
                <w:sz w:val="20"/>
                <w:szCs w:val="20"/>
                <w:lang w:val="fr-FR" w:eastAsia="en-CA"/>
                <w14:ligatures w14:val="none"/>
              </w:rPr>
              <w:t xml:space="preserve"> des </w:t>
            </w:r>
            <w:r w:rsidRPr="00653BF4">
              <w:rPr>
                <w:rFonts w:ascii="Aptos" w:eastAsia="Times New Roman" w:hAnsi="Aptos" w:cs="Calibri"/>
                <w:color w:val="000000"/>
                <w:kern w:val="0"/>
                <w:sz w:val="20"/>
                <w:szCs w:val="20"/>
                <w:lang w:val="fr-FR" w:eastAsia="en-CA"/>
                <w14:ligatures w14:val="none"/>
              </w:rPr>
              <w:t>Parties</w:t>
            </w:r>
          </w:p>
        </w:tc>
        <w:tc>
          <w:tcPr>
            <w:tcW w:w="567" w:type="dxa"/>
            <w:tcBorders>
              <w:top w:val="nil"/>
              <w:left w:val="nil"/>
              <w:bottom w:val="single" w:sz="4" w:space="0" w:color="auto"/>
              <w:right w:val="single" w:sz="4" w:space="0" w:color="auto"/>
            </w:tcBorders>
            <w:shd w:val="clear" w:color="000000" w:fill="C00000"/>
            <w:vAlign w:val="center"/>
            <w:hideMark/>
          </w:tcPr>
          <w:p w14:paraId="66A1829A" w14:textId="77777777" w:rsidR="00A76A52" w:rsidRPr="00653BF4" w:rsidRDefault="00A76A52">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976" w:type="dxa"/>
            <w:tcBorders>
              <w:top w:val="nil"/>
              <w:left w:val="nil"/>
              <w:bottom w:val="single" w:sz="4" w:space="0" w:color="auto"/>
              <w:right w:val="single" w:sz="4" w:space="0" w:color="auto"/>
            </w:tcBorders>
            <w:vAlign w:val="center"/>
            <w:hideMark/>
          </w:tcPr>
          <w:p w14:paraId="5D1C39B1" w14:textId="684F537A" w:rsidR="00A76A52" w:rsidRPr="00653BF4" w:rsidRDefault="00F16C39">
            <w:pPr>
              <w:spacing w:after="0" w:line="240" w:lineRule="auto"/>
              <w:jc w:val="center"/>
              <w:rPr>
                <w:rFonts w:ascii="Aptos" w:eastAsia="Times New Roman" w:hAnsi="Aptos" w:cs="Calibri"/>
                <w:color w:val="000000"/>
                <w:kern w:val="0"/>
                <w:sz w:val="20"/>
                <w:szCs w:val="20"/>
                <w:lang w:val="fr-FR" w:eastAsia="en-CA"/>
                <w14:ligatures w14:val="none"/>
              </w:rPr>
            </w:pPr>
            <w:r w:rsidRPr="00F16C39">
              <w:rPr>
                <w:rFonts w:ascii="Aptos" w:eastAsia="Times New Roman" w:hAnsi="Aptos" w:cs="Calibri"/>
                <w:color w:val="000000"/>
                <w:kern w:val="0"/>
                <w:sz w:val="20"/>
                <w:szCs w:val="20"/>
                <w:lang w:val="fr-FR" w:eastAsia="en-CA"/>
                <w14:ligatures w14:val="none"/>
              </w:rPr>
              <w:t>Aucun résultat</w:t>
            </w:r>
            <w:r w:rsidR="00E34DC9">
              <w:rPr>
                <w:rFonts w:ascii="Aptos" w:eastAsia="Times New Roman" w:hAnsi="Aptos" w:cs="Calibri"/>
                <w:color w:val="000000"/>
                <w:kern w:val="0"/>
                <w:sz w:val="20"/>
                <w:szCs w:val="20"/>
                <w:lang w:val="fr-FR" w:eastAsia="en-CA"/>
                <w14:ligatures w14:val="none"/>
              </w:rPr>
              <w:t> :</w:t>
            </w:r>
            <w:r w:rsidRPr="00F16C39">
              <w:rPr>
                <w:rFonts w:ascii="Aptos" w:eastAsia="Times New Roman" w:hAnsi="Aptos" w:cs="Calibri"/>
                <w:color w:val="000000"/>
                <w:kern w:val="0"/>
                <w:sz w:val="20"/>
                <w:szCs w:val="20"/>
                <w:lang w:val="fr-FR" w:eastAsia="en-CA"/>
                <w14:ligatures w14:val="none"/>
              </w:rPr>
              <w:t xml:space="preserve"> seules 5 Parties ont présenté des données relatives aux indicateurs conformément à la description figurant dans les métadonnées, mais ont utilisé des unités différentes</w:t>
            </w:r>
          </w:p>
        </w:tc>
        <w:tc>
          <w:tcPr>
            <w:tcW w:w="516" w:type="dxa"/>
            <w:tcBorders>
              <w:top w:val="nil"/>
              <w:left w:val="nil"/>
              <w:bottom w:val="single" w:sz="4" w:space="0" w:color="auto"/>
              <w:right w:val="single" w:sz="4" w:space="0" w:color="auto"/>
            </w:tcBorders>
            <w:shd w:val="clear" w:color="auto" w:fill="ADADAD" w:themeFill="background2" w:themeFillShade="BF"/>
            <w:vAlign w:val="center"/>
          </w:tcPr>
          <w:p w14:paraId="1EDE1CC9" w14:textId="77777777" w:rsidR="00A76A52" w:rsidRPr="00653BF4" w:rsidRDefault="00A76A52">
            <w:pPr>
              <w:spacing w:after="0" w:line="240" w:lineRule="auto"/>
              <w:jc w:val="center"/>
              <w:rPr>
                <w:rFonts w:ascii="Aptos" w:eastAsia="Times New Roman" w:hAnsi="Aptos" w:cs="Calibri"/>
                <w:color w:val="000000"/>
                <w:kern w:val="0"/>
                <w:sz w:val="20"/>
                <w:szCs w:val="20"/>
                <w:lang w:val="fr-FR" w:eastAsia="en-CA"/>
                <w14:ligatures w14:val="none"/>
              </w:rPr>
            </w:pPr>
          </w:p>
        </w:tc>
      </w:tr>
      <w:tr w:rsidR="00A76A52" w:rsidRPr="00543148" w14:paraId="2413FF72" w14:textId="77777777">
        <w:trPr>
          <w:trHeight w:val="1050"/>
        </w:trPr>
        <w:tc>
          <w:tcPr>
            <w:tcW w:w="2818" w:type="dxa"/>
            <w:tcBorders>
              <w:top w:val="nil"/>
              <w:left w:val="single" w:sz="4" w:space="0" w:color="auto"/>
              <w:bottom w:val="single" w:sz="4" w:space="0" w:color="auto"/>
              <w:right w:val="single" w:sz="4" w:space="0" w:color="auto"/>
            </w:tcBorders>
            <w:shd w:val="clear" w:color="000000" w:fill="FFFFFF"/>
            <w:vAlign w:val="center"/>
            <w:hideMark/>
          </w:tcPr>
          <w:p w14:paraId="71B8EAFC" w14:textId="55F28924" w:rsidR="00A76A52" w:rsidRPr="00653BF4" w:rsidRDefault="00F16C39">
            <w:pPr>
              <w:spacing w:after="0" w:line="240" w:lineRule="auto"/>
              <w:jc w:val="center"/>
              <w:rPr>
                <w:rFonts w:ascii="Aptos" w:eastAsia="Times New Roman" w:hAnsi="Aptos" w:cs="Times New Roman"/>
                <w:color w:val="000000"/>
                <w:kern w:val="0"/>
                <w:sz w:val="20"/>
                <w:szCs w:val="20"/>
                <w:lang w:val="fr-FR" w:eastAsia="en-CA"/>
                <w14:ligatures w14:val="none"/>
              </w:rPr>
            </w:pPr>
            <w:r w:rsidRPr="00F16C39">
              <w:rPr>
                <w:rFonts w:ascii="Aptos" w:eastAsia="Times New Roman" w:hAnsi="Aptos" w:cs="Times New Roman"/>
                <w:color w:val="000000"/>
                <w:kern w:val="0"/>
                <w:sz w:val="20"/>
                <w:szCs w:val="20"/>
                <w:lang w:val="fr-FR" w:eastAsia="en-CA"/>
                <w14:ligatures w14:val="none"/>
              </w:rPr>
              <w:t>Ensemble des indicateurs quantitatifs</w:t>
            </w:r>
          </w:p>
        </w:tc>
        <w:tc>
          <w:tcPr>
            <w:tcW w:w="2139" w:type="dxa"/>
            <w:tcBorders>
              <w:top w:val="nil"/>
              <w:left w:val="nil"/>
              <w:bottom w:val="single" w:sz="4" w:space="0" w:color="auto"/>
              <w:right w:val="single" w:sz="4" w:space="0" w:color="auto"/>
            </w:tcBorders>
            <w:vAlign w:val="center"/>
            <w:hideMark/>
          </w:tcPr>
          <w:p w14:paraId="5E1BB9FC" w14:textId="0A29C6CB" w:rsidR="00A76A52" w:rsidRPr="00653BF4" w:rsidRDefault="00A76A52">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39 Parties, 3</w:t>
            </w:r>
            <w:r w:rsidR="00F16C39">
              <w:rPr>
                <w:rFonts w:ascii="Aptos" w:eastAsia="Times New Roman" w:hAnsi="Aptos" w:cs="Calibri"/>
                <w:color w:val="000000"/>
                <w:kern w:val="0"/>
                <w:sz w:val="20"/>
                <w:szCs w:val="20"/>
                <w:lang w:val="fr-FR" w:eastAsia="en-CA"/>
                <w14:ligatures w14:val="none"/>
              </w:rPr>
              <w:t>0</w:t>
            </w:r>
            <w:r w:rsidR="002878D7">
              <w:rPr>
                <w:rFonts w:ascii="Aptos" w:eastAsia="Times New Roman" w:hAnsi="Aptos" w:cs="Calibri"/>
                <w:color w:val="000000"/>
                <w:kern w:val="0"/>
                <w:sz w:val="20"/>
                <w:szCs w:val="20"/>
                <w:lang w:val="fr-FR" w:eastAsia="en-CA"/>
                <w14:ligatures w14:val="none"/>
              </w:rPr>
              <w:t> %</w:t>
            </w:r>
          </w:p>
        </w:tc>
        <w:tc>
          <w:tcPr>
            <w:tcW w:w="567" w:type="dxa"/>
            <w:tcBorders>
              <w:top w:val="nil"/>
              <w:left w:val="nil"/>
              <w:bottom w:val="single" w:sz="4" w:space="0" w:color="auto"/>
              <w:right w:val="single" w:sz="4" w:space="0" w:color="auto"/>
            </w:tcBorders>
            <w:shd w:val="clear" w:color="000000" w:fill="FFC000"/>
            <w:vAlign w:val="center"/>
            <w:hideMark/>
          </w:tcPr>
          <w:p w14:paraId="68BADCB9" w14:textId="77777777" w:rsidR="00A76A52" w:rsidRPr="00653BF4" w:rsidRDefault="00A76A52">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976" w:type="dxa"/>
            <w:tcBorders>
              <w:top w:val="nil"/>
              <w:left w:val="nil"/>
              <w:bottom w:val="single" w:sz="4" w:space="0" w:color="auto"/>
              <w:right w:val="single" w:sz="4" w:space="0" w:color="auto"/>
            </w:tcBorders>
            <w:vAlign w:val="center"/>
            <w:hideMark/>
          </w:tcPr>
          <w:p w14:paraId="375E7F75" w14:textId="6E569E3A" w:rsidR="00F16C39" w:rsidRPr="00F16C39" w:rsidRDefault="00F16C39" w:rsidP="00F16C39">
            <w:pPr>
              <w:spacing w:after="0" w:line="240" w:lineRule="auto"/>
              <w:jc w:val="center"/>
              <w:rPr>
                <w:rFonts w:ascii="Aptos" w:eastAsia="Times New Roman" w:hAnsi="Aptos" w:cs="Times New Roman"/>
                <w:color w:val="000000"/>
                <w:kern w:val="0"/>
                <w:sz w:val="20"/>
                <w:szCs w:val="20"/>
                <w:lang w:val="fr-FR" w:eastAsia="en-CA"/>
                <w14:ligatures w14:val="none"/>
              </w:rPr>
            </w:pPr>
            <w:r w:rsidRPr="00F16C39">
              <w:rPr>
                <w:rFonts w:ascii="Aptos" w:eastAsia="Times New Roman" w:hAnsi="Aptos" w:cs="Times New Roman"/>
                <w:color w:val="000000"/>
                <w:kern w:val="0"/>
                <w:sz w:val="20"/>
                <w:szCs w:val="20"/>
                <w:lang w:val="fr-FR" w:eastAsia="en-CA"/>
                <w14:ligatures w14:val="none"/>
              </w:rPr>
              <w:t>31</w:t>
            </w:r>
            <w:r w:rsidR="002878D7">
              <w:rPr>
                <w:rFonts w:ascii="Aptos" w:eastAsia="Times New Roman" w:hAnsi="Aptos" w:cs="Times New Roman"/>
                <w:color w:val="000000"/>
                <w:kern w:val="0"/>
                <w:sz w:val="20"/>
                <w:szCs w:val="20"/>
                <w:lang w:val="fr-FR" w:eastAsia="en-CA"/>
                <w14:ligatures w14:val="none"/>
              </w:rPr>
              <w:t> %</w:t>
            </w:r>
            <w:r w:rsidRPr="00F16C39">
              <w:rPr>
                <w:rFonts w:ascii="Aptos" w:eastAsia="Times New Roman" w:hAnsi="Aptos" w:cs="Times New Roman"/>
                <w:color w:val="000000"/>
                <w:kern w:val="0"/>
                <w:sz w:val="20"/>
                <w:szCs w:val="20"/>
                <w:lang w:val="fr-FR" w:eastAsia="en-CA"/>
                <w14:ligatures w14:val="none"/>
              </w:rPr>
              <w:t xml:space="preserve"> de tendances positives</w:t>
            </w:r>
          </w:p>
          <w:p w14:paraId="56A8E884" w14:textId="1F87F9F5" w:rsidR="00A76A52" w:rsidRPr="00653BF4" w:rsidRDefault="00F16C39" w:rsidP="00F16C39">
            <w:pPr>
              <w:spacing w:after="0" w:line="240" w:lineRule="auto"/>
              <w:jc w:val="center"/>
              <w:rPr>
                <w:rFonts w:ascii="Aptos" w:eastAsia="Times New Roman" w:hAnsi="Aptos" w:cs="Times New Roman"/>
                <w:color w:val="000000"/>
                <w:kern w:val="0"/>
                <w:sz w:val="20"/>
                <w:szCs w:val="20"/>
                <w:lang w:val="fr-FR" w:eastAsia="en-CA"/>
                <w14:ligatures w14:val="none"/>
              </w:rPr>
            </w:pPr>
            <w:r w:rsidRPr="00F16C39">
              <w:rPr>
                <w:rFonts w:ascii="Aptos" w:eastAsia="Times New Roman" w:hAnsi="Aptos" w:cs="Times New Roman"/>
                <w:color w:val="000000"/>
                <w:kern w:val="0"/>
                <w:sz w:val="20"/>
                <w:szCs w:val="20"/>
                <w:lang w:val="fr-FR" w:eastAsia="en-CA"/>
                <w14:ligatures w14:val="none"/>
              </w:rPr>
              <w:t>24</w:t>
            </w:r>
            <w:r w:rsidR="002878D7">
              <w:rPr>
                <w:rFonts w:ascii="Aptos" w:eastAsia="Times New Roman" w:hAnsi="Aptos" w:cs="Times New Roman"/>
                <w:color w:val="000000"/>
                <w:kern w:val="0"/>
                <w:sz w:val="20"/>
                <w:szCs w:val="20"/>
                <w:lang w:val="fr-FR" w:eastAsia="en-CA"/>
                <w14:ligatures w14:val="none"/>
              </w:rPr>
              <w:t> %</w:t>
            </w:r>
            <w:r w:rsidRPr="00F16C39">
              <w:rPr>
                <w:rFonts w:ascii="Aptos" w:eastAsia="Times New Roman" w:hAnsi="Aptos" w:cs="Times New Roman"/>
                <w:color w:val="000000"/>
                <w:kern w:val="0"/>
                <w:sz w:val="20"/>
                <w:szCs w:val="20"/>
                <w:lang w:val="fr-FR" w:eastAsia="en-CA"/>
                <w14:ligatures w14:val="none"/>
              </w:rPr>
              <w:t xml:space="preserve"> de tendances négatives</w:t>
            </w:r>
          </w:p>
        </w:tc>
        <w:tc>
          <w:tcPr>
            <w:tcW w:w="516" w:type="dxa"/>
            <w:tcBorders>
              <w:top w:val="nil"/>
              <w:left w:val="nil"/>
              <w:bottom w:val="single" w:sz="4" w:space="0" w:color="auto"/>
              <w:right w:val="single" w:sz="4" w:space="0" w:color="auto"/>
            </w:tcBorders>
            <w:shd w:val="clear" w:color="auto" w:fill="FFC000"/>
            <w:vAlign w:val="center"/>
          </w:tcPr>
          <w:p w14:paraId="28ECEB84" w14:textId="77777777" w:rsidR="00A76A52" w:rsidRPr="00653BF4" w:rsidRDefault="00A76A52">
            <w:pPr>
              <w:spacing w:after="0" w:line="240" w:lineRule="auto"/>
              <w:jc w:val="center"/>
              <w:rPr>
                <w:rFonts w:ascii="Aptos" w:eastAsia="Times New Roman" w:hAnsi="Aptos" w:cs="Times New Roman"/>
                <w:color w:val="000000"/>
                <w:kern w:val="0"/>
                <w:sz w:val="20"/>
                <w:szCs w:val="20"/>
                <w:lang w:val="fr-FR" w:eastAsia="en-CA"/>
                <w14:ligatures w14:val="none"/>
              </w:rPr>
            </w:pPr>
          </w:p>
        </w:tc>
      </w:tr>
      <w:tr w:rsidR="00A76A52" w:rsidRPr="00543148" w14:paraId="308B7CCA" w14:textId="77777777">
        <w:trPr>
          <w:trHeight w:val="978"/>
        </w:trPr>
        <w:tc>
          <w:tcPr>
            <w:tcW w:w="2818" w:type="dxa"/>
            <w:tcBorders>
              <w:top w:val="nil"/>
              <w:left w:val="single" w:sz="4" w:space="0" w:color="auto"/>
              <w:bottom w:val="single" w:sz="4" w:space="0" w:color="auto"/>
              <w:right w:val="single" w:sz="4" w:space="0" w:color="auto"/>
            </w:tcBorders>
            <w:shd w:val="clear" w:color="000000" w:fill="FFFFFF"/>
            <w:vAlign w:val="center"/>
          </w:tcPr>
          <w:p w14:paraId="2E3B7FBF" w14:textId="77777777" w:rsidR="00A76A52" w:rsidRPr="00653BF4" w:rsidRDefault="00A76A52">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Notes</w:t>
            </w:r>
          </w:p>
        </w:tc>
        <w:tc>
          <w:tcPr>
            <w:tcW w:w="6198" w:type="dxa"/>
            <w:gridSpan w:val="4"/>
            <w:tcBorders>
              <w:top w:val="nil"/>
              <w:left w:val="nil"/>
              <w:bottom w:val="single" w:sz="4" w:space="0" w:color="auto"/>
              <w:right w:val="single" w:sz="4" w:space="0" w:color="auto"/>
            </w:tcBorders>
            <w:vAlign w:val="center"/>
          </w:tcPr>
          <w:p w14:paraId="338A4A3E" w14:textId="77777777" w:rsidR="00F16C39" w:rsidRDefault="00F16C39" w:rsidP="00F16C39">
            <w:pPr>
              <w:spacing w:after="0" w:line="240" w:lineRule="auto"/>
              <w:rPr>
                <w:rFonts w:ascii="Aptos" w:eastAsia="Times New Roman" w:hAnsi="Aptos" w:cs="Times New Roman"/>
                <w:color w:val="000000"/>
                <w:kern w:val="0"/>
                <w:sz w:val="20"/>
                <w:szCs w:val="20"/>
                <w:lang w:val="fr-FR" w:eastAsia="en-CA"/>
                <w14:ligatures w14:val="none"/>
              </w:rPr>
            </w:pPr>
            <w:r w:rsidRPr="00F16C39">
              <w:rPr>
                <w:rFonts w:ascii="Aptos" w:eastAsia="Times New Roman" w:hAnsi="Aptos" w:cs="Times New Roman"/>
                <w:color w:val="000000"/>
                <w:kern w:val="0"/>
                <w:sz w:val="20"/>
                <w:szCs w:val="20"/>
                <w:lang w:val="fr-FR" w:eastAsia="en-CA"/>
                <w14:ligatures w14:val="none"/>
              </w:rPr>
              <w:t>L'utilisation des indicateurs principaux est limitée, mais certaines soumissions partielles de rapports nationaux présentent les données intermédiaires nécessaires à l'élaboration de ces indicateurs.</w:t>
            </w:r>
          </w:p>
          <w:p w14:paraId="4C1E9A35" w14:textId="77777777" w:rsidR="00F16C39" w:rsidRPr="00F16C39" w:rsidRDefault="00F16C39" w:rsidP="00F16C39">
            <w:pPr>
              <w:spacing w:after="0" w:line="240" w:lineRule="auto"/>
              <w:rPr>
                <w:rFonts w:ascii="Aptos" w:eastAsia="Times New Roman" w:hAnsi="Aptos" w:cs="Times New Roman"/>
                <w:color w:val="000000"/>
                <w:kern w:val="0"/>
                <w:sz w:val="20"/>
                <w:szCs w:val="20"/>
                <w:lang w:val="fr-FR" w:eastAsia="en-CA"/>
                <w14:ligatures w14:val="none"/>
              </w:rPr>
            </w:pPr>
          </w:p>
          <w:p w14:paraId="1B2333EB" w14:textId="5B4EEE29" w:rsidR="00A76A52" w:rsidRPr="00653BF4" w:rsidRDefault="00F16C39" w:rsidP="00F16C39">
            <w:pPr>
              <w:spacing w:after="0" w:line="240" w:lineRule="auto"/>
              <w:rPr>
                <w:rFonts w:ascii="Aptos" w:eastAsia="Times New Roman" w:hAnsi="Aptos" w:cs="Times New Roman"/>
                <w:color w:val="000000"/>
                <w:kern w:val="0"/>
                <w:sz w:val="20"/>
                <w:szCs w:val="20"/>
                <w:lang w:val="fr-FR" w:eastAsia="en-CA"/>
                <w14:ligatures w14:val="none"/>
              </w:rPr>
            </w:pPr>
            <w:r w:rsidRPr="00F16C39">
              <w:rPr>
                <w:rFonts w:ascii="Aptos" w:eastAsia="Times New Roman" w:hAnsi="Aptos" w:cs="Times New Roman"/>
                <w:color w:val="000000"/>
                <w:kern w:val="0"/>
                <w:sz w:val="20"/>
                <w:szCs w:val="20"/>
                <w:lang w:val="fr-FR" w:eastAsia="en-CA"/>
                <w14:ligatures w14:val="none"/>
              </w:rPr>
              <w:t>Les données présentées comprennent principalement des valeurs approximatives pour ces indicateurs</w:t>
            </w:r>
            <w:r w:rsidR="00A76A52" w:rsidRPr="00653BF4">
              <w:rPr>
                <w:rFonts w:ascii="Aptos" w:eastAsia="Times New Roman" w:hAnsi="Aptos" w:cs="Times New Roman"/>
                <w:color w:val="000000"/>
                <w:kern w:val="0"/>
                <w:sz w:val="20"/>
                <w:szCs w:val="20"/>
                <w:lang w:val="fr-FR" w:eastAsia="en-CA"/>
                <w14:ligatures w14:val="none"/>
              </w:rPr>
              <w:t>.</w:t>
            </w:r>
          </w:p>
        </w:tc>
      </w:tr>
    </w:tbl>
    <w:p w14:paraId="723F109F" w14:textId="77777777" w:rsidR="00A76A52" w:rsidRPr="00653BF4" w:rsidRDefault="00A76A52" w:rsidP="00A76A52">
      <w:pPr>
        <w:pStyle w:val="p1"/>
        <w:rPr>
          <w:rFonts w:ascii="Aptos" w:hAnsi="Aptos"/>
          <w:sz w:val="24"/>
          <w:szCs w:val="24"/>
          <w:lang w:val="fr-FR"/>
        </w:rPr>
      </w:pPr>
    </w:p>
    <w:p w14:paraId="2FB3283B" w14:textId="3C97B5A7" w:rsidR="00997234" w:rsidRPr="00653BF4" w:rsidRDefault="006A631C" w:rsidP="00997234">
      <w:pPr>
        <w:rPr>
          <w:rFonts w:ascii="Aptos" w:hAnsi="Aptos"/>
          <w:sz w:val="16"/>
          <w:szCs w:val="16"/>
          <w:lang w:val="fr-FR"/>
        </w:rPr>
      </w:pPr>
      <w:r w:rsidRPr="00653BF4">
        <w:rPr>
          <w:rFonts w:ascii="Aptos" w:hAnsi="Aptos"/>
          <w:i/>
          <w:iCs/>
          <w:sz w:val="16"/>
          <w:szCs w:val="16"/>
          <w:lang w:val="fr-FR"/>
        </w:rPr>
        <w:t>Note</w:t>
      </w:r>
      <w:r w:rsidR="00E34DC9">
        <w:rPr>
          <w:rFonts w:ascii="Aptos" w:hAnsi="Aptos"/>
          <w:i/>
          <w:iCs/>
          <w:sz w:val="16"/>
          <w:szCs w:val="16"/>
          <w:lang w:val="fr-FR"/>
        </w:rPr>
        <w:t> :</w:t>
      </w:r>
      <w:r w:rsidR="00997234" w:rsidRPr="00653BF4">
        <w:rPr>
          <w:rFonts w:ascii="Aptos" w:hAnsi="Aptos"/>
          <w:sz w:val="16"/>
          <w:szCs w:val="16"/>
          <w:lang w:val="fr-FR"/>
        </w:rPr>
        <w:t xml:space="preserve"> </w:t>
      </w:r>
      <w:r w:rsidR="0024154A" w:rsidRPr="00653BF4">
        <w:rPr>
          <w:rFonts w:ascii="Aptos" w:hAnsi="Aptos"/>
          <w:sz w:val="16"/>
          <w:szCs w:val="16"/>
          <w:lang w:val="fr-FR"/>
        </w:rPr>
        <w:t>Le code couleur se rapporte à l’évaluation globale des progrès accomplis pour l’ensemble des cibles. La méthode de cette évaluation est expliquée dans le tableau de bord récapitulatif global (voir le tableau 3).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rFonts w:ascii="Aptos" w:hAnsi="Aptos"/>
          <w:sz w:val="16"/>
          <w:szCs w:val="16"/>
          <w:lang w:val="fr-FR"/>
        </w:rPr>
        <w:t> %</w:t>
      </w:r>
      <w:r w:rsidR="0024154A" w:rsidRPr="00653BF4">
        <w:rPr>
          <w:rFonts w:ascii="Aptos" w:hAnsi="Aptos"/>
          <w:sz w:val="16"/>
          <w:szCs w:val="16"/>
          <w:lang w:val="fr-FR"/>
        </w:rPr>
        <w:t>, le jaune aux valeurs comprises entre 25</w:t>
      </w:r>
      <w:r w:rsidR="002878D7">
        <w:rPr>
          <w:rFonts w:ascii="Aptos" w:hAnsi="Aptos"/>
          <w:sz w:val="16"/>
          <w:szCs w:val="16"/>
          <w:lang w:val="fr-FR"/>
        </w:rPr>
        <w:t> %</w:t>
      </w:r>
      <w:r w:rsidR="0024154A" w:rsidRPr="00653BF4">
        <w:rPr>
          <w:rFonts w:ascii="Aptos" w:hAnsi="Aptos"/>
          <w:sz w:val="16"/>
          <w:szCs w:val="16"/>
          <w:lang w:val="fr-FR"/>
        </w:rPr>
        <w:t xml:space="preserve"> et 50</w:t>
      </w:r>
      <w:r w:rsidR="002878D7">
        <w:rPr>
          <w:rFonts w:ascii="Aptos" w:hAnsi="Aptos"/>
          <w:sz w:val="16"/>
          <w:szCs w:val="16"/>
          <w:lang w:val="fr-FR"/>
        </w:rPr>
        <w:t> %</w:t>
      </w:r>
      <w:r w:rsidR="0024154A" w:rsidRPr="00653BF4">
        <w:rPr>
          <w:rFonts w:ascii="Aptos" w:hAnsi="Aptos"/>
          <w:sz w:val="16"/>
          <w:szCs w:val="16"/>
          <w:lang w:val="fr-FR"/>
        </w:rPr>
        <w:t>, et le rouge aux valeurs inférieures à 25</w:t>
      </w:r>
      <w:r w:rsidR="002878D7">
        <w:rPr>
          <w:rFonts w:ascii="Aptos" w:hAnsi="Aptos"/>
          <w:sz w:val="16"/>
          <w:szCs w:val="16"/>
          <w:lang w:val="fr-FR"/>
        </w:rPr>
        <w:t> %</w:t>
      </w:r>
      <w:r w:rsidR="0024154A" w:rsidRPr="00653BF4">
        <w:rPr>
          <w:rFonts w:ascii="Aptos" w:hAnsi="Aptos"/>
          <w:sz w:val="16"/>
          <w:szCs w:val="16"/>
          <w:lang w:val="fr-FR"/>
        </w:rPr>
        <w:t>).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55761FEA" w14:textId="77777777" w:rsidR="00997234" w:rsidRPr="00653BF4" w:rsidRDefault="00997234" w:rsidP="009A12FE">
      <w:pPr>
        <w:rPr>
          <w:lang w:val="fr-FR"/>
        </w:rPr>
      </w:pPr>
    </w:p>
    <w:p w14:paraId="15F528B8" w14:textId="37311AC5" w:rsidR="00A77D98" w:rsidRPr="00653BF4" w:rsidRDefault="00F16C39" w:rsidP="00A77D98">
      <w:pPr>
        <w:rPr>
          <w:rFonts w:ascii="Aptos" w:hAnsi="Aptos"/>
          <w:lang w:val="fr-FR"/>
        </w:rPr>
      </w:pPr>
      <w:r w:rsidRPr="00F16C39">
        <w:rPr>
          <w:lang w:val="fr-FR"/>
        </w:rPr>
        <w:t xml:space="preserve">Les Parties ont rencontré des difficultés pour composer les deux indicateurs principaux de la </w:t>
      </w:r>
      <w:r w:rsidR="00E34DC9">
        <w:rPr>
          <w:lang w:val="fr-FR"/>
        </w:rPr>
        <w:t>cible 7</w:t>
      </w:r>
      <w:r w:rsidRPr="00F16C39">
        <w:rPr>
          <w:lang w:val="fr-FR"/>
        </w:rPr>
        <w:t xml:space="preserve"> (voir le tableau 17). Il s’agissait notamment de problèmes méthodologiques liés à </w:t>
      </w:r>
      <w:r w:rsidRPr="00F16C39">
        <w:rPr>
          <w:lang w:val="fr-FR"/>
        </w:rPr>
        <w:lastRenderedPageBreak/>
        <w:t>la modélisation requise pour l’indicateur principal 7.1 (indice d’eutrophisation côtière) et au caractère incomplet de la méthodologie de l’indicateur principal 7.2 (concentration environnementale de pesticides et/ou toxicité totale cumulée appliquée). De nombreuses Parties ont également pris note de la disponibilité limitée des données en raison du caractère incomplet des systèmes de suivi. Les différences entre les cadres nationaux de notification des Parties ont conduit à l’utilisation d’indicateurs nationaux et d’indicateurs de substitution exprimés en unités différentes, ce qui a compliqué l’agrégation à l’échelle mondiale. Cinq Parties ont toutefois fourni des estimations pour l’indicateur principal 7.2, en utilisant le projet de méthodologie relative à la toxicité totale appliquée cumulée. Parmi celles-ci, au moins une Partie a atteint une réduction de 50</w:t>
      </w:r>
      <w:r w:rsidR="002878D7">
        <w:rPr>
          <w:lang w:val="fr-FR"/>
        </w:rPr>
        <w:t> %</w:t>
      </w:r>
      <w:r w:rsidRPr="00F16C39">
        <w:rPr>
          <w:lang w:val="fr-FR"/>
        </w:rPr>
        <w:t xml:space="preserve"> de la toxicité totale appliquée cumulée, réalisant ainsi l’</w:t>
      </w:r>
      <w:r w:rsidR="002878D7">
        <w:rPr>
          <w:lang w:val="fr-FR"/>
        </w:rPr>
        <w:t>objectif C</w:t>
      </w:r>
      <w:r w:rsidRPr="00F16C39">
        <w:rPr>
          <w:lang w:val="fr-FR"/>
        </w:rPr>
        <w:t xml:space="preserve">onsistant à réduire de moitié le risque global lié aux pesticides. De nombreux autres indicateurs nationaux liés à la qualité de l’eau, à la pollution par les plastiques et à l’utilisation des pesticides ont été présentés par les Parties, faisant apparaître des tendances tant positives que négatives par rapport à la cible (voir la figure 32). Dans l’ensemble, il apparaît clairement que de nombreuses Parties ont fixé des cibles prenant en compte plusieurs éléments de la </w:t>
      </w:r>
      <w:r w:rsidR="00E34DC9">
        <w:rPr>
          <w:lang w:val="fr-FR"/>
        </w:rPr>
        <w:t>cible 7</w:t>
      </w:r>
      <w:r w:rsidRPr="00F16C39">
        <w:rPr>
          <w:lang w:val="fr-FR"/>
        </w:rPr>
        <w:t>, et que des efforts de suivi sont en cours pour évaluer les progrès nationaux</w:t>
      </w:r>
      <w:r w:rsidR="00E34DC9">
        <w:rPr>
          <w:lang w:val="fr-FR"/>
        </w:rPr>
        <w:t> ;</w:t>
      </w:r>
      <w:r w:rsidRPr="00F16C39">
        <w:rPr>
          <w:lang w:val="fr-FR"/>
        </w:rPr>
        <w:t xml:space="preserve"> toutefois, les données utilisées actuellement ne présentent pas la comparabilité nécessaire pour établir des indicateurs agrégés permettant d’évaluer les progrès réalisés dans la mise en œuvre.</w:t>
      </w:r>
      <w:r w:rsidR="00F62E95" w:rsidRPr="00653BF4">
        <w:rPr>
          <w:rFonts w:ascii="Aptos" w:hAnsi="Aptos"/>
          <w:lang w:val="fr-FR"/>
        </w:rPr>
        <w:t xml:space="preserve"> </w:t>
      </w:r>
    </w:p>
    <w:p w14:paraId="429AFB30" w14:textId="77777777" w:rsidR="00043C70" w:rsidRPr="00653BF4" w:rsidRDefault="00043C70" w:rsidP="00A77D98">
      <w:pPr>
        <w:rPr>
          <w:rFonts w:ascii="Aptos" w:hAnsi="Aptos"/>
          <w:lang w:val="fr-FR"/>
        </w:rPr>
      </w:pPr>
    </w:p>
    <w:p w14:paraId="170DAD93" w14:textId="6BA56490" w:rsidR="002643E2" w:rsidRPr="00653BF4" w:rsidRDefault="002643E2" w:rsidP="002643E2">
      <w:pPr>
        <w:pStyle w:val="Caption"/>
        <w:rPr>
          <w:i w:val="0"/>
          <w:iCs w:val="0"/>
          <w:sz w:val="20"/>
          <w:szCs w:val="20"/>
          <w:lang w:val="fr-FR"/>
        </w:rPr>
      </w:pPr>
      <w:r w:rsidRPr="00653BF4">
        <w:rPr>
          <w:i w:val="0"/>
          <w:iCs w:val="0"/>
          <w:sz w:val="20"/>
          <w:szCs w:val="20"/>
          <w:lang w:val="fr-FR"/>
        </w:rPr>
        <w:t xml:space="preserve">Figure </w:t>
      </w:r>
      <w:r w:rsidRPr="00653BF4">
        <w:rPr>
          <w:i w:val="0"/>
          <w:iCs w:val="0"/>
          <w:noProof/>
          <w:sz w:val="20"/>
          <w:szCs w:val="20"/>
          <w:lang w:val="fr-FR"/>
        </w:rPr>
        <w:t>32</w:t>
      </w:r>
      <w:r w:rsidRPr="00653BF4">
        <w:rPr>
          <w:i w:val="0"/>
          <w:iCs w:val="0"/>
          <w:sz w:val="20"/>
          <w:szCs w:val="20"/>
          <w:lang w:val="fr-FR"/>
        </w:rPr>
        <w:t xml:space="preserve"> </w:t>
      </w:r>
    </w:p>
    <w:p w14:paraId="63876A5F" w14:textId="4D526E65" w:rsidR="002643E2" w:rsidRPr="00653BF4" w:rsidRDefault="005F553B" w:rsidP="002643E2">
      <w:pPr>
        <w:pStyle w:val="Caption"/>
        <w:rPr>
          <w:b/>
          <w:bCs/>
          <w:i w:val="0"/>
          <w:iCs w:val="0"/>
          <w:sz w:val="20"/>
          <w:szCs w:val="20"/>
          <w:lang w:val="fr-FR"/>
        </w:rPr>
      </w:pPr>
      <w:r w:rsidRPr="00653BF4">
        <w:rPr>
          <w:b/>
          <w:bCs/>
          <w:i w:val="0"/>
          <w:iCs w:val="0"/>
          <w:sz w:val="20"/>
          <w:szCs w:val="20"/>
          <w:lang w:val="fr-FR"/>
        </w:rPr>
        <w:t xml:space="preserve">Pourcentage d’indicateurs alignés sur la </w:t>
      </w:r>
      <w:r w:rsidR="00E34DC9">
        <w:rPr>
          <w:b/>
          <w:bCs/>
          <w:i w:val="0"/>
          <w:iCs w:val="0"/>
          <w:sz w:val="20"/>
          <w:szCs w:val="20"/>
          <w:lang w:val="fr-FR"/>
        </w:rPr>
        <w:t>cible 7</w:t>
      </w:r>
      <w:r w:rsidRPr="00653BF4">
        <w:rPr>
          <w:b/>
          <w:bCs/>
          <w:i w:val="0"/>
          <w:iCs w:val="0"/>
          <w:sz w:val="20"/>
          <w:szCs w:val="20"/>
          <w:lang w:val="fr-FR"/>
        </w:rPr>
        <w:t xml:space="preserve"> du Cadre, selon qu’ils indiquent une tendance positive, stable ou négative</w:t>
      </w:r>
    </w:p>
    <w:p w14:paraId="305007C3" w14:textId="32FAEAB1" w:rsidR="00C3106C" w:rsidRPr="00653BF4" w:rsidRDefault="006B693E" w:rsidP="00A77D98">
      <w:pPr>
        <w:rPr>
          <w:rFonts w:ascii="Aptos" w:hAnsi="Aptos"/>
          <w:lang w:val="fr-FR"/>
        </w:rPr>
      </w:pPr>
      <w:r w:rsidRPr="00653BF4">
        <w:rPr>
          <w:noProof/>
          <w:lang w:val="fr-FR"/>
        </w:rPr>
        <w:drawing>
          <wp:inline distT="0" distB="0" distL="0" distR="0" wp14:anchorId="55EE806B" wp14:editId="2FEAAD43">
            <wp:extent cx="5731510" cy="2456180"/>
            <wp:effectExtent l="0" t="0" r="0" b="0"/>
            <wp:docPr id="2507332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33211" name="Picture 25073321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bookmarkStart w:id="159" w:name="_Ref231159593"/>
    </w:p>
    <w:bookmarkEnd w:id="159"/>
    <w:p w14:paraId="712B1EBC" w14:textId="6029E1F3" w:rsidR="00B70AA4" w:rsidRPr="00653BF4" w:rsidRDefault="00B70AA4" w:rsidP="003D2E7D">
      <w:pPr>
        <w:pStyle w:val="p1"/>
        <w:rPr>
          <w:lang w:val="fr-FR"/>
        </w:rPr>
      </w:pPr>
    </w:p>
    <w:p w14:paraId="6F521F46" w14:textId="3D0CCF50" w:rsidR="001B710E" w:rsidRPr="00653BF4" w:rsidRDefault="006A631C" w:rsidP="001B710E">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005436C3" w:rsidRPr="00653BF4">
        <w:rPr>
          <w:rFonts w:ascii="Aptos" w:hAnsi="Aptos"/>
          <w:i w:val="0"/>
          <w:iCs w:val="0"/>
          <w:lang w:val="fr-FR"/>
        </w:rPr>
        <w:t xml:space="preserve"> </w:t>
      </w:r>
      <w:r w:rsidR="00F279CF" w:rsidRPr="00653BF4">
        <w:rPr>
          <w:rFonts w:ascii="Aptos" w:hAnsi="Aptos"/>
          <w:i w:val="0"/>
          <w:iCs w:val="0"/>
          <w:lang w:val="fr-FR"/>
        </w:rPr>
        <w:t>Les proportions sont pondérées par Partie.</w:t>
      </w:r>
      <w:r w:rsidR="002B36FD" w:rsidRPr="00653BF4">
        <w:rPr>
          <w:rFonts w:ascii="Aptos" w:hAnsi="Aptos"/>
          <w:i w:val="0"/>
          <w:iCs w:val="0"/>
          <w:lang w:val="fr-FR"/>
        </w:rPr>
        <w:t xml:space="preserve"> Les tendances incluent des données relatives à </w:t>
      </w:r>
      <w:r w:rsidR="005436C3" w:rsidRPr="00653BF4">
        <w:rPr>
          <w:rFonts w:ascii="Aptos" w:hAnsi="Aptos"/>
          <w:i w:val="0"/>
          <w:iCs w:val="0"/>
          <w:lang w:val="fr-FR"/>
        </w:rPr>
        <w:t>2</w:t>
      </w:r>
      <w:r w:rsidR="005436C3" w:rsidRPr="00653BF4">
        <w:rPr>
          <w:rFonts w:ascii="Arial" w:hAnsi="Arial" w:cs="Arial"/>
          <w:i w:val="0"/>
          <w:iCs w:val="0"/>
          <w:lang w:val="fr-FR"/>
        </w:rPr>
        <w:t> </w:t>
      </w:r>
      <w:r w:rsidR="002B36FD" w:rsidRPr="00653BF4">
        <w:rPr>
          <w:rFonts w:ascii="Aptos" w:hAnsi="Aptos"/>
          <w:i w:val="0"/>
          <w:iCs w:val="0"/>
          <w:lang w:val="fr-FR"/>
        </w:rPr>
        <w:t xml:space="preserve">indicateurs phares provenant de 24 </w:t>
      </w:r>
      <w:r w:rsidR="00F07278" w:rsidRPr="00653BF4">
        <w:rPr>
          <w:rFonts w:ascii="Aptos" w:hAnsi="Aptos"/>
          <w:i w:val="0"/>
          <w:iCs w:val="0"/>
          <w:lang w:val="fr-FR"/>
        </w:rPr>
        <w:t>Parties</w:t>
      </w:r>
      <w:r w:rsidR="005436C3" w:rsidRPr="00653BF4">
        <w:rPr>
          <w:rFonts w:ascii="Aptos" w:hAnsi="Aptos"/>
          <w:i w:val="0"/>
          <w:iCs w:val="0"/>
          <w:lang w:val="fr-FR"/>
        </w:rPr>
        <w:t>,</w:t>
      </w:r>
      <w:r w:rsidR="00F07278" w:rsidRPr="00653BF4">
        <w:rPr>
          <w:rFonts w:ascii="Aptos" w:hAnsi="Aptos" w:cs="Arial"/>
          <w:i w:val="0"/>
          <w:iCs w:val="0"/>
          <w:lang w:val="fr-FR"/>
        </w:rPr>
        <w:t xml:space="preserve"> ainsi qu’à </w:t>
      </w:r>
      <w:r w:rsidR="005436C3" w:rsidRPr="00653BF4">
        <w:rPr>
          <w:rFonts w:ascii="Aptos" w:hAnsi="Aptos"/>
          <w:i w:val="0"/>
          <w:iCs w:val="0"/>
          <w:lang w:val="fr-FR"/>
        </w:rPr>
        <w:t>2</w:t>
      </w:r>
      <w:r w:rsidR="00F07278" w:rsidRPr="00653BF4">
        <w:rPr>
          <w:rFonts w:ascii="Aptos" w:hAnsi="Aptos" w:cs="Arial"/>
          <w:i w:val="0"/>
          <w:iCs w:val="0"/>
          <w:lang w:val="fr-FR"/>
        </w:rPr>
        <w:t xml:space="preserve"> indicateurs de composante</w:t>
      </w:r>
      <w:r w:rsidR="005436C3" w:rsidRPr="00653BF4">
        <w:rPr>
          <w:rFonts w:ascii="Aptos" w:hAnsi="Aptos"/>
          <w:i w:val="0"/>
          <w:iCs w:val="0"/>
          <w:lang w:val="fr-FR"/>
        </w:rPr>
        <w:t>,</w:t>
      </w:r>
      <w:r w:rsidR="00F07278" w:rsidRPr="00653BF4">
        <w:rPr>
          <w:rFonts w:ascii="Aptos" w:hAnsi="Aptos" w:cs="Arial"/>
          <w:i w:val="0"/>
          <w:iCs w:val="0"/>
          <w:lang w:val="fr-FR"/>
        </w:rPr>
        <w:t xml:space="preserve">3 indicateurs complémentaires et </w:t>
      </w:r>
      <w:r w:rsidR="00AD6693" w:rsidRPr="00653BF4">
        <w:rPr>
          <w:rFonts w:ascii="Aptos" w:hAnsi="Aptos" w:cs="Arial"/>
          <w:i w:val="0"/>
          <w:iCs w:val="0"/>
          <w:lang w:val="fr-FR"/>
        </w:rPr>
        <w:t xml:space="preserve">97 indicateurs </w:t>
      </w:r>
      <w:r w:rsidR="00AD6693" w:rsidRPr="00653BF4">
        <w:rPr>
          <w:rFonts w:ascii="Aptos" w:hAnsi="Aptos" w:cs="Arial"/>
          <w:i w:val="0"/>
          <w:iCs w:val="0"/>
          <w:lang w:val="fr-FR"/>
        </w:rPr>
        <w:lastRenderedPageBreak/>
        <w:t xml:space="preserve">nationaux provenant au total de </w:t>
      </w:r>
      <w:r w:rsidR="005436C3" w:rsidRPr="00653BF4">
        <w:rPr>
          <w:rFonts w:ascii="Aptos" w:hAnsi="Aptos"/>
          <w:i w:val="0"/>
          <w:iCs w:val="0"/>
          <w:lang w:val="fr-FR"/>
        </w:rPr>
        <w:t>of</w:t>
      </w:r>
      <w:r w:rsidR="005436C3" w:rsidRPr="00653BF4">
        <w:rPr>
          <w:rFonts w:ascii="Arial" w:hAnsi="Arial" w:cs="Arial"/>
          <w:i w:val="0"/>
          <w:iCs w:val="0"/>
          <w:lang w:val="fr-FR"/>
        </w:rPr>
        <w:t> </w:t>
      </w:r>
      <w:r w:rsidR="005436C3" w:rsidRPr="00653BF4">
        <w:rPr>
          <w:rFonts w:ascii="Aptos" w:hAnsi="Aptos"/>
          <w:i w:val="0"/>
          <w:iCs w:val="0"/>
          <w:lang w:val="fr-FR"/>
        </w:rPr>
        <w:t>22</w:t>
      </w:r>
      <w:r w:rsidR="005436C3" w:rsidRPr="00653BF4">
        <w:rPr>
          <w:rFonts w:ascii="Arial" w:hAnsi="Arial" w:cs="Arial"/>
          <w:i w:val="0"/>
          <w:iCs w:val="0"/>
          <w:lang w:val="fr-FR"/>
        </w:rPr>
        <w:t> </w:t>
      </w:r>
      <w:r w:rsidR="005436C3" w:rsidRPr="00653BF4">
        <w:rPr>
          <w:rFonts w:ascii="Aptos" w:hAnsi="Aptos"/>
          <w:i w:val="0"/>
          <w:iCs w:val="0"/>
          <w:lang w:val="fr-FR"/>
        </w:rPr>
        <w:t xml:space="preserve">Parties. </w:t>
      </w:r>
      <w:r w:rsidR="00DF6095" w:rsidRPr="00653BF4">
        <w:rPr>
          <w:rFonts w:ascii="Aptos" w:hAnsi="Aptos"/>
          <w:i w:val="0"/>
          <w:iCs w:val="0"/>
          <w:lang w:val="fr-FR"/>
        </w:rPr>
        <w:t xml:space="preserve">Le diagramme circulaire présente la répartition, par région, des Parties ayant communiqué des indicateurs pour la </w:t>
      </w:r>
      <w:r w:rsidR="00E34DC9">
        <w:rPr>
          <w:rFonts w:ascii="Aptos" w:hAnsi="Aptos"/>
          <w:i w:val="0"/>
          <w:iCs w:val="0"/>
          <w:lang w:val="fr-FR"/>
        </w:rPr>
        <w:t>cible 7</w:t>
      </w:r>
      <w:r w:rsidR="001B710E" w:rsidRPr="00653BF4">
        <w:rPr>
          <w:rFonts w:ascii="Aptos" w:hAnsi="Aptos"/>
          <w:i w:val="0"/>
          <w:iCs w:val="0"/>
          <w:lang w:val="fr-FR"/>
        </w:rPr>
        <w:t xml:space="preserve">. </w:t>
      </w:r>
      <w:r w:rsidR="003A0A42" w:rsidRPr="00653BF4">
        <w:rPr>
          <w:rFonts w:ascii="Aptos" w:hAnsi="Aptos"/>
          <w:i w:val="0"/>
          <w:iCs w:val="0"/>
          <w:lang w:val="fr-FR"/>
        </w:rPr>
        <w:t>La couleur de chaque région est indiquée dans la légende de la figure</w:t>
      </w:r>
      <w:r w:rsidR="00E34DC9">
        <w:rPr>
          <w:rFonts w:ascii="Aptos" w:hAnsi="Aptos"/>
          <w:i w:val="0"/>
          <w:iCs w:val="0"/>
          <w:lang w:val="fr-FR"/>
        </w:rPr>
        <w:t> :</w:t>
      </w:r>
      <w:r w:rsidR="003A0A42"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3A0A42" w:rsidRPr="00653BF4">
        <w:rPr>
          <w:rFonts w:ascii="Aptos" w:hAnsi="Aptos"/>
          <w:i w:val="0"/>
          <w:iCs w:val="0"/>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DD6272" w:rsidRPr="003A6336" w14:paraId="5311FC8D" w14:textId="77777777" w:rsidTr="009B4355">
        <w:tc>
          <w:tcPr>
            <w:tcW w:w="8861" w:type="dxa"/>
            <w:gridSpan w:val="2"/>
          </w:tcPr>
          <w:p w14:paraId="5E7BEBCD" w14:textId="77777777" w:rsidR="00DD6272" w:rsidRPr="000A1990" w:rsidRDefault="00DD6272" w:rsidP="009B4355">
            <w:pPr>
              <w:rPr>
                <w:rFonts w:ascii="Aptos" w:hAnsi="Aptos"/>
              </w:rPr>
            </w:pPr>
            <w:r w:rsidRPr="000A1990">
              <w:rPr>
                <w:rFonts w:ascii="Aptos" w:hAnsi="Aptos"/>
              </w:rPr>
              <w:t>Figure 32</w:t>
            </w:r>
          </w:p>
        </w:tc>
      </w:tr>
      <w:tr w:rsidR="00DD6272" w:rsidRPr="003A6336" w14:paraId="0DB470A8" w14:textId="77777777" w:rsidTr="009B4355">
        <w:tc>
          <w:tcPr>
            <w:tcW w:w="4188" w:type="dxa"/>
          </w:tcPr>
          <w:p w14:paraId="74128855" w14:textId="77777777" w:rsidR="00DD6272" w:rsidRPr="000A1990" w:rsidRDefault="00DD6272" w:rsidP="009B4355">
            <w:pPr>
              <w:rPr>
                <w:rFonts w:ascii="Aptos" w:hAnsi="Aptos"/>
              </w:rPr>
            </w:pPr>
            <w:r w:rsidRPr="000A1990">
              <w:rPr>
                <w:rFonts w:ascii="Aptos" w:hAnsi="Aptos"/>
              </w:rPr>
              <w:t xml:space="preserve">English </w:t>
            </w:r>
          </w:p>
        </w:tc>
        <w:tc>
          <w:tcPr>
            <w:tcW w:w="4673" w:type="dxa"/>
          </w:tcPr>
          <w:p w14:paraId="0605204A" w14:textId="77777777" w:rsidR="00DD6272" w:rsidRPr="000A1990" w:rsidRDefault="00DD6272" w:rsidP="009B4355">
            <w:pPr>
              <w:rPr>
                <w:rFonts w:ascii="Aptos" w:hAnsi="Aptos"/>
              </w:rPr>
            </w:pPr>
            <w:r>
              <w:rPr>
                <w:rFonts w:ascii="Aptos" w:hAnsi="Aptos"/>
              </w:rPr>
              <w:t>Français</w:t>
            </w:r>
          </w:p>
        </w:tc>
      </w:tr>
      <w:tr w:rsidR="00DD6272" w:rsidRPr="003A6336" w14:paraId="1CA9806F" w14:textId="77777777" w:rsidTr="009B4355">
        <w:tc>
          <w:tcPr>
            <w:tcW w:w="4188" w:type="dxa"/>
          </w:tcPr>
          <w:p w14:paraId="5E52923B" w14:textId="77777777" w:rsidR="00DD6272" w:rsidRPr="003A6336" w:rsidRDefault="00DD6272" w:rsidP="009B4355">
            <w:pPr>
              <w:rPr>
                <w:rFonts w:ascii="Aptos" w:hAnsi="Aptos"/>
              </w:rPr>
            </w:pPr>
            <w:r w:rsidRPr="003A6336">
              <w:rPr>
                <w:rFonts w:ascii="Aptos" w:hAnsi="Aptos"/>
              </w:rPr>
              <w:t>Proportion</w:t>
            </w:r>
          </w:p>
        </w:tc>
        <w:tc>
          <w:tcPr>
            <w:tcW w:w="4673" w:type="dxa"/>
          </w:tcPr>
          <w:p w14:paraId="20C0B9ED" w14:textId="77777777" w:rsidR="00DD6272" w:rsidRPr="003A6336" w:rsidRDefault="00DD6272" w:rsidP="009B4355">
            <w:pPr>
              <w:rPr>
                <w:rFonts w:ascii="Aptos" w:hAnsi="Aptos"/>
              </w:rPr>
            </w:pPr>
            <w:r w:rsidRPr="006F7AF8">
              <w:rPr>
                <w:rFonts w:ascii="Aptos" w:hAnsi="Aptos"/>
                <w:lang w:val="fr-FR"/>
              </w:rPr>
              <w:t>Proportion</w:t>
            </w:r>
          </w:p>
        </w:tc>
      </w:tr>
      <w:tr w:rsidR="00DD6272" w:rsidRPr="003A6336" w14:paraId="0D773835" w14:textId="77777777" w:rsidTr="009B4355">
        <w:tc>
          <w:tcPr>
            <w:tcW w:w="4188" w:type="dxa"/>
          </w:tcPr>
          <w:p w14:paraId="2DB0D2CE" w14:textId="77777777" w:rsidR="00DD6272" w:rsidRPr="003A6336" w:rsidRDefault="00DD6272" w:rsidP="009B4355">
            <w:pPr>
              <w:rPr>
                <w:rFonts w:ascii="Aptos" w:hAnsi="Aptos"/>
              </w:rPr>
            </w:pPr>
            <w:r w:rsidRPr="003A6336">
              <w:rPr>
                <w:rFonts w:ascii="Aptos" w:hAnsi="Aptos"/>
              </w:rPr>
              <w:t>Current Status</w:t>
            </w:r>
          </w:p>
        </w:tc>
        <w:tc>
          <w:tcPr>
            <w:tcW w:w="4673" w:type="dxa"/>
          </w:tcPr>
          <w:p w14:paraId="7393F051" w14:textId="77777777" w:rsidR="00DD6272" w:rsidRPr="003A6336" w:rsidRDefault="00DD6272" w:rsidP="009B4355">
            <w:pPr>
              <w:rPr>
                <w:rFonts w:ascii="Aptos" w:hAnsi="Aptos"/>
              </w:rPr>
            </w:pPr>
            <w:r w:rsidRPr="006F7AF8">
              <w:rPr>
                <w:rFonts w:ascii="Aptos" w:hAnsi="Aptos"/>
                <w:lang w:val="fr-FR"/>
              </w:rPr>
              <w:t>État actuel</w:t>
            </w:r>
          </w:p>
        </w:tc>
      </w:tr>
      <w:tr w:rsidR="00DD6272" w:rsidRPr="003A6336" w14:paraId="03B6656D" w14:textId="77777777" w:rsidTr="009B4355">
        <w:tc>
          <w:tcPr>
            <w:tcW w:w="4188" w:type="dxa"/>
          </w:tcPr>
          <w:p w14:paraId="31B40892" w14:textId="77777777" w:rsidR="00DD6272" w:rsidRPr="003A6336" w:rsidRDefault="00DD6272" w:rsidP="009B4355">
            <w:pPr>
              <w:rPr>
                <w:rFonts w:ascii="Aptos" w:hAnsi="Aptos"/>
              </w:rPr>
            </w:pPr>
            <w:r w:rsidRPr="003A6336">
              <w:rPr>
                <w:rFonts w:ascii="Aptos" w:hAnsi="Aptos"/>
              </w:rPr>
              <w:t>improving</w:t>
            </w:r>
          </w:p>
        </w:tc>
        <w:tc>
          <w:tcPr>
            <w:tcW w:w="4673" w:type="dxa"/>
          </w:tcPr>
          <w:p w14:paraId="62B98F2C" w14:textId="77777777" w:rsidR="00DD6272" w:rsidRPr="003A6336" w:rsidRDefault="00DD6272" w:rsidP="009B4355">
            <w:pPr>
              <w:rPr>
                <w:rFonts w:ascii="Aptos" w:hAnsi="Aptos"/>
              </w:rPr>
            </w:pPr>
            <w:r>
              <w:rPr>
                <w:rFonts w:ascii="Aptos" w:hAnsi="Aptos"/>
                <w:lang w:val="fr-FR"/>
              </w:rPr>
              <w:t>amélioration</w:t>
            </w:r>
          </w:p>
        </w:tc>
      </w:tr>
      <w:tr w:rsidR="00DD6272" w:rsidRPr="003A6336" w14:paraId="7FCD8D57" w14:textId="77777777" w:rsidTr="009B4355">
        <w:tc>
          <w:tcPr>
            <w:tcW w:w="4188" w:type="dxa"/>
          </w:tcPr>
          <w:p w14:paraId="075DC34B" w14:textId="77777777" w:rsidR="00DD6272" w:rsidRPr="003A6336" w:rsidRDefault="00DD6272" w:rsidP="009B4355">
            <w:pPr>
              <w:rPr>
                <w:rFonts w:ascii="Aptos" w:hAnsi="Aptos"/>
              </w:rPr>
            </w:pPr>
            <w:r w:rsidRPr="003A6336">
              <w:rPr>
                <w:rFonts w:ascii="Aptos" w:hAnsi="Aptos"/>
              </w:rPr>
              <w:t>stable</w:t>
            </w:r>
          </w:p>
        </w:tc>
        <w:tc>
          <w:tcPr>
            <w:tcW w:w="4673" w:type="dxa"/>
          </w:tcPr>
          <w:p w14:paraId="3319CCAB" w14:textId="77777777" w:rsidR="00DD6272" w:rsidRPr="003A6336" w:rsidRDefault="00DD6272" w:rsidP="009B4355">
            <w:pPr>
              <w:rPr>
                <w:rFonts w:ascii="Aptos" w:hAnsi="Aptos"/>
              </w:rPr>
            </w:pPr>
            <w:r>
              <w:rPr>
                <w:rFonts w:ascii="Aptos" w:hAnsi="Aptos"/>
                <w:lang w:val="fr-FR"/>
              </w:rPr>
              <w:t>s</w:t>
            </w:r>
            <w:r w:rsidRPr="006F7AF8">
              <w:rPr>
                <w:rFonts w:ascii="Aptos" w:hAnsi="Aptos"/>
                <w:lang w:val="fr-FR"/>
              </w:rPr>
              <w:t>tab</w:t>
            </w:r>
            <w:r>
              <w:rPr>
                <w:rFonts w:ascii="Aptos" w:hAnsi="Aptos"/>
                <w:lang w:val="fr-FR"/>
              </w:rPr>
              <w:t>ilité</w:t>
            </w:r>
          </w:p>
        </w:tc>
      </w:tr>
      <w:tr w:rsidR="00DD6272" w:rsidRPr="003A6336" w14:paraId="18D631F6" w14:textId="77777777" w:rsidTr="009B4355">
        <w:tc>
          <w:tcPr>
            <w:tcW w:w="4188" w:type="dxa"/>
          </w:tcPr>
          <w:p w14:paraId="0BB43EEA" w14:textId="77777777" w:rsidR="00DD6272" w:rsidRPr="003A6336" w:rsidRDefault="00DD6272" w:rsidP="009B4355">
            <w:pPr>
              <w:rPr>
                <w:rFonts w:ascii="Aptos" w:hAnsi="Aptos"/>
              </w:rPr>
            </w:pPr>
            <w:r w:rsidRPr="003A6336">
              <w:rPr>
                <w:rFonts w:ascii="Aptos" w:hAnsi="Aptos"/>
              </w:rPr>
              <w:t>moving away</w:t>
            </w:r>
          </w:p>
        </w:tc>
        <w:tc>
          <w:tcPr>
            <w:tcW w:w="4673" w:type="dxa"/>
          </w:tcPr>
          <w:p w14:paraId="1CDE57AC" w14:textId="77777777" w:rsidR="00DD6272" w:rsidRPr="003A6336" w:rsidRDefault="00DD6272" w:rsidP="009B4355">
            <w:pPr>
              <w:rPr>
                <w:rFonts w:ascii="Aptos" w:hAnsi="Aptos"/>
              </w:rPr>
            </w:pPr>
            <w:r>
              <w:rPr>
                <w:rFonts w:ascii="Aptos" w:hAnsi="Aptos"/>
                <w:lang w:val="fr-FR"/>
              </w:rPr>
              <w:t>éloignement</w:t>
            </w:r>
          </w:p>
        </w:tc>
      </w:tr>
      <w:tr w:rsidR="00DD6272" w:rsidRPr="003A6336" w14:paraId="5DDB12E0" w14:textId="77777777" w:rsidTr="009B4355">
        <w:tc>
          <w:tcPr>
            <w:tcW w:w="4188" w:type="dxa"/>
          </w:tcPr>
          <w:p w14:paraId="6C4760FD" w14:textId="77777777" w:rsidR="00DD6272" w:rsidRPr="003A6336" w:rsidRDefault="00DD6272" w:rsidP="009B4355">
            <w:pPr>
              <w:rPr>
                <w:rFonts w:ascii="Aptos" w:hAnsi="Aptos"/>
              </w:rPr>
            </w:pPr>
            <w:r w:rsidRPr="003A6336">
              <w:rPr>
                <w:rFonts w:ascii="Aptos" w:hAnsi="Aptos"/>
              </w:rPr>
              <w:t>Party count: 39</w:t>
            </w:r>
          </w:p>
        </w:tc>
        <w:tc>
          <w:tcPr>
            <w:tcW w:w="4673" w:type="dxa"/>
          </w:tcPr>
          <w:p w14:paraId="0960B3B6" w14:textId="77777777" w:rsidR="00DD6272" w:rsidRPr="003A6336" w:rsidRDefault="00DD6272" w:rsidP="009B4355">
            <w:pPr>
              <w:rPr>
                <w:rFonts w:ascii="Aptos" w:hAnsi="Aptos"/>
              </w:rPr>
            </w:pPr>
            <w:r w:rsidRPr="006F7AF8">
              <w:rPr>
                <w:rFonts w:ascii="Aptos" w:hAnsi="Aptos"/>
                <w:lang w:val="fr-FR"/>
              </w:rPr>
              <w:t xml:space="preserve">Nombre de Parties : </w:t>
            </w:r>
            <w:r>
              <w:rPr>
                <w:rFonts w:ascii="Aptos" w:hAnsi="Aptos"/>
                <w:lang w:val="fr-FR"/>
              </w:rPr>
              <w:t>39</w:t>
            </w:r>
          </w:p>
        </w:tc>
      </w:tr>
      <w:tr w:rsidR="00DD6272" w:rsidRPr="003A6336" w14:paraId="05EF700C" w14:textId="77777777" w:rsidTr="009B4355">
        <w:tc>
          <w:tcPr>
            <w:tcW w:w="4188" w:type="dxa"/>
          </w:tcPr>
          <w:p w14:paraId="386FF956" w14:textId="77777777" w:rsidR="00DD6272" w:rsidRPr="003A6336" w:rsidRDefault="00DD6272" w:rsidP="009B4355">
            <w:pPr>
              <w:rPr>
                <w:rFonts w:ascii="Aptos" w:hAnsi="Aptos"/>
              </w:rPr>
            </w:pPr>
            <w:r w:rsidRPr="003A6336">
              <w:rPr>
                <w:rFonts w:ascii="Aptos" w:hAnsi="Aptos"/>
              </w:rPr>
              <w:t>Region</w:t>
            </w:r>
          </w:p>
        </w:tc>
        <w:tc>
          <w:tcPr>
            <w:tcW w:w="4673" w:type="dxa"/>
          </w:tcPr>
          <w:p w14:paraId="3ABD298A" w14:textId="77777777" w:rsidR="00DD6272" w:rsidRPr="003A6336" w:rsidRDefault="00DD6272" w:rsidP="009B4355">
            <w:pPr>
              <w:rPr>
                <w:rFonts w:ascii="Aptos" w:hAnsi="Aptos"/>
              </w:rPr>
            </w:pPr>
            <w:r w:rsidRPr="006F7AF8">
              <w:rPr>
                <w:rFonts w:ascii="Aptos" w:hAnsi="Aptos"/>
                <w:lang w:val="fr-FR"/>
              </w:rPr>
              <w:t>Région</w:t>
            </w:r>
          </w:p>
        </w:tc>
      </w:tr>
      <w:tr w:rsidR="00DD6272" w:rsidRPr="003A6336" w14:paraId="0570BCC8" w14:textId="77777777" w:rsidTr="009B4355">
        <w:tc>
          <w:tcPr>
            <w:tcW w:w="4188" w:type="dxa"/>
          </w:tcPr>
          <w:p w14:paraId="4DAA38D3" w14:textId="77777777" w:rsidR="00DD6272" w:rsidRPr="003A6336" w:rsidRDefault="00DD6272" w:rsidP="009B4355">
            <w:pPr>
              <w:rPr>
                <w:rFonts w:ascii="Aptos" w:hAnsi="Aptos"/>
              </w:rPr>
            </w:pPr>
            <w:r w:rsidRPr="6D03A27B">
              <w:rPr>
                <w:rFonts w:ascii="Aptos" w:hAnsi="Aptos"/>
              </w:rPr>
              <w:t>African States</w:t>
            </w:r>
          </w:p>
        </w:tc>
        <w:tc>
          <w:tcPr>
            <w:tcW w:w="4673" w:type="dxa"/>
          </w:tcPr>
          <w:p w14:paraId="1652E6E6"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DD6272" w:rsidRPr="003A6336" w14:paraId="086EC2E6" w14:textId="77777777" w:rsidTr="009B4355">
        <w:tc>
          <w:tcPr>
            <w:tcW w:w="4188" w:type="dxa"/>
          </w:tcPr>
          <w:p w14:paraId="5106F31C" w14:textId="77777777" w:rsidR="00DD6272" w:rsidRPr="003A6336" w:rsidRDefault="00DD6272" w:rsidP="009B4355">
            <w:pPr>
              <w:rPr>
                <w:rFonts w:ascii="Aptos" w:hAnsi="Aptos"/>
              </w:rPr>
            </w:pPr>
            <w:r w:rsidRPr="6D03A27B">
              <w:rPr>
                <w:rFonts w:ascii="Aptos" w:hAnsi="Aptos"/>
              </w:rPr>
              <w:t>Asia-Pacific States</w:t>
            </w:r>
          </w:p>
        </w:tc>
        <w:tc>
          <w:tcPr>
            <w:tcW w:w="4673" w:type="dxa"/>
          </w:tcPr>
          <w:p w14:paraId="12A96AB1"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DD6272" w:rsidRPr="003A6336" w14:paraId="556121C0" w14:textId="77777777" w:rsidTr="009B4355">
        <w:tc>
          <w:tcPr>
            <w:tcW w:w="4188" w:type="dxa"/>
          </w:tcPr>
          <w:p w14:paraId="1C37A6AE" w14:textId="77777777" w:rsidR="00DD6272" w:rsidRPr="003A6336" w:rsidRDefault="00DD6272" w:rsidP="009B4355">
            <w:pPr>
              <w:rPr>
                <w:rFonts w:ascii="Aptos" w:hAnsi="Aptos"/>
              </w:rPr>
            </w:pPr>
            <w:r w:rsidRPr="6D03A27B">
              <w:rPr>
                <w:rFonts w:ascii="Aptos" w:hAnsi="Aptos"/>
              </w:rPr>
              <w:t>Latin American and Caribbean States</w:t>
            </w:r>
          </w:p>
        </w:tc>
        <w:tc>
          <w:tcPr>
            <w:tcW w:w="4673" w:type="dxa"/>
          </w:tcPr>
          <w:p w14:paraId="1E0232BC"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DD6272" w:rsidRPr="003A6336" w14:paraId="464B5D5A" w14:textId="77777777" w:rsidTr="009B4355">
        <w:tc>
          <w:tcPr>
            <w:tcW w:w="4188" w:type="dxa"/>
          </w:tcPr>
          <w:p w14:paraId="0A589939" w14:textId="77777777" w:rsidR="00DD6272" w:rsidRPr="003A6336" w:rsidRDefault="00DD6272" w:rsidP="009B4355">
            <w:pPr>
              <w:rPr>
                <w:rFonts w:ascii="Aptos" w:hAnsi="Aptos"/>
              </w:rPr>
            </w:pPr>
            <w:r>
              <w:rPr>
                <w:rFonts w:ascii="Aptos" w:hAnsi="Aptos"/>
              </w:rPr>
              <w:t>Eastern</w:t>
            </w:r>
            <w:r w:rsidRPr="6D03A27B">
              <w:rPr>
                <w:rFonts w:ascii="Aptos" w:hAnsi="Aptos"/>
              </w:rPr>
              <w:t xml:space="preserve"> European States</w:t>
            </w:r>
          </w:p>
        </w:tc>
        <w:tc>
          <w:tcPr>
            <w:tcW w:w="4673" w:type="dxa"/>
          </w:tcPr>
          <w:p w14:paraId="03FAC45A"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DD6272" w:rsidRPr="003A6336" w14:paraId="100C0E03" w14:textId="77777777" w:rsidTr="009B4355">
        <w:tc>
          <w:tcPr>
            <w:tcW w:w="4188" w:type="dxa"/>
          </w:tcPr>
          <w:p w14:paraId="5449296D" w14:textId="77777777" w:rsidR="00DD6272" w:rsidRPr="003A6336" w:rsidRDefault="00DD6272" w:rsidP="009B4355">
            <w:pPr>
              <w:rPr>
                <w:rFonts w:ascii="Aptos" w:hAnsi="Aptos"/>
              </w:rPr>
            </w:pPr>
            <w:r w:rsidRPr="6D03A27B">
              <w:rPr>
                <w:rFonts w:ascii="Aptos" w:hAnsi="Aptos"/>
              </w:rPr>
              <w:t>Western European and other States</w:t>
            </w:r>
          </w:p>
        </w:tc>
        <w:tc>
          <w:tcPr>
            <w:tcW w:w="4673" w:type="dxa"/>
          </w:tcPr>
          <w:p w14:paraId="15C70B60"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64F3E954" w14:textId="77777777" w:rsidR="005837B7" w:rsidRDefault="005837B7" w:rsidP="003D2E7D">
      <w:pPr>
        <w:pStyle w:val="p1"/>
        <w:rPr>
          <w:lang w:val="fr-FR"/>
        </w:rPr>
      </w:pPr>
    </w:p>
    <w:p w14:paraId="54463941" w14:textId="77777777" w:rsidR="00DD6272" w:rsidRPr="00653BF4" w:rsidRDefault="00DD6272" w:rsidP="003D2E7D">
      <w:pPr>
        <w:pStyle w:val="p1"/>
        <w:rPr>
          <w:lang w:val="fr-FR"/>
        </w:rPr>
      </w:pPr>
    </w:p>
    <w:p w14:paraId="1E46F8F3" w14:textId="1CDEFDA2" w:rsidR="00B70AA4" w:rsidRPr="00653BF4" w:rsidRDefault="00DD19D2" w:rsidP="00C2078E">
      <w:pPr>
        <w:pStyle w:val="Heading5"/>
        <w:rPr>
          <w:lang w:val="fr-FR"/>
        </w:rPr>
      </w:pPr>
      <w:r w:rsidRPr="00653BF4">
        <w:rPr>
          <w:lang w:val="fr-FR"/>
        </w:rPr>
        <w:t>Auto-évaluation des progrès</w:t>
      </w:r>
      <w:r w:rsidR="00B11830" w:rsidRPr="00653BF4">
        <w:rPr>
          <w:lang w:val="fr-FR"/>
        </w:rPr>
        <w:t xml:space="preserve"> accomplis</w:t>
      </w:r>
    </w:p>
    <w:p w14:paraId="74413DD2" w14:textId="77777777" w:rsidR="00357617" w:rsidRPr="00653BF4" w:rsidRDefault="00357617" w:rsidP="00E05E2B">
      <w:pPr>
        <w:rPr>
          <w:rStyle w:val="normaltextrun"/>
          <w:rFonts w:ascii="Aptos" w:hAnsi="Aptos"/>
          <w:lang w:val="fr-FR"/>
        </w:rPr>
      </w:pPr>
    </w:p>
    <w:p w14:paraId="44372CAC" w14:textId="38486648" w:rsidR="00E05E2B" w:rsidRPr="00653BF4" w:rsidRDefault="00395FE2" w:rsidP="00E05E2B">
      <w:pPr>
        <w:rPr>
          <w:rStyle w:val="eop"/>
          <w:rFonts w:ascii="Aptos" w:hAnsi="Aptos"/>
          <w:lang w:val="fr-FR"/>
        </w:rPr>
      </w:pPr>
      <w:r w:rsidRPr="00653BF4">
        <w:rPr>
          <w:rStyle w:val="normaltextrun"/>
          <w:rFonts w:ascii="Aptos" w:hAnsi="Aptos"/>
          <w:lang w:val="fr-FR"/>
        </w:rPr>
        <w:t>D’après les auto-évaluations des Parties figurant dans leurs rapports nationaux,</w:t>
      </w:r>
      <w:r w:rsidR="005C08E5" w:rsidRPr="00653BF4">
        <w:rPr>
          <w:rStyle w:val="normaltextrun"/>
          <w:rFonts w:ascii="Aptos" w:hAnsi="Aptos"/>
          <w:lang w:val="fr-FR"/>
        </w:rPr>
        <w:t xml:space="preserve"> </w:t>
      </w:r>
      <w:r w:rsidRPr="00653BF4">
        <w:rPr>
          <w:rStyle w:val="normaltextrun"/>
          <w:rFonts w:ascii="Aptos" w:hAnsi="Aptos"/>
          <w:lang w:val="fr-FR"/>
        </w:rPr>
        <w:t xml:space="preserve">plus d’un tiers </w:t>
      </w:r>
      <w:r w:rsidR="005C08E5" w:rsidRPr="00653BF4">
        <w:rPr>
          <w:rStyle w:val="normaltextrun"/>
          <w:rFonts w:ascii="Aptos" w:hAnsi="Aptos"/>
          <w:lang w:val="fr-FR"/>
        </w:rPr>
        <w:t>(35</w:t>
      </w:r>
      <w:r w:rsidR="002878D7">
        <w:rPr>
          <w:rStyle w:val="normaltextrun"/>
          <w:rFonts w:ascii="Aptos" w:hAnsi="Aptos"/>
          <w:lang w:val="fr-FR"/>
        </w:rPr>
        <w:t> %</w:t>
      </w:r>
      <w:r w:rsidR="005C08E5" w:rsidRPr="00653BF4">
        <w:rPr>
          <w:rStyle w:val="normaltextrun"/>
          <w:rFonts w:ascii="Aptos" w:hAnsi="Aptos"/>
          <w:lang w:val="fr-FR"/>
        </w:rPr>
        <w:t xml:space="preserve">) </w:t>
      </w:r>
      <w:r w:rsidR="003A6B94" w:rsidRPr="00653BF4">
        <w:rPr>
          <w:rStyle w:val="normaltextrun"/>
          <w:rFonts w:ascii="Aptos" w:hAnsi="Aptos"/>
          <w:lang w:val="fr-FR"/>
        </w:rPr>
        <w:t xml:space="preserve">des cibles nationales qu’elles ont présentées comme étroitement alignées sur la </w:t>
      </w:r>
      <w:r w:rsidR="00E34DC9">
        <w:rPr>
          <w:rStyle w:val="normaltextrun"/>
          <w:rFonts w:ascii="Aptos" w:hAnsi="Aptos"/>
          <w:lang w:val="fr-FR"/>
        </w:rPr>
        <w:t>cible 7</w:t>
      </w:r>
      <w:r w:rsidR="005C08E5" w:rsidRPr="00653BF4">
        <w:rPr>
          <w:rStyle w:val="normaltextrun"/>
          <w:rFonts w:ascii="Aptos" w:hAnsi="Aptos"/>
          <w:lang w:val="fr-FR"/>
        </w:rPr>
        <w:t xml:space="preserve"> </w:t>
      </w:r>
      <w:r w:rsidR="00EE6D69" w:rsidRPr="00653BF4">
        <w:rPr>
          <w:rStyle w:val="normaltextrun"/>
          <w:rFonts w:ascii="Aptos" w:hAnsi="Aptos"/>
          <w:lang w:val="fr-FR"/>
        </w:rPr>
        <w:t xml:space="preserve">sont en voie d’être atteintes, alors que </w:t>
      </w:r>
      <w:r w:rsidR="005C08E5" w:rsidRPr="00653BF4">
        <w:rPr>
          <w:rStyle w:val="normaltextrun"/>
          <w:rFonts w:ascii="Aptos" w:hAnsi="Aptos"/>
          <w:lang w:val="fr-FR"/>
        </w:rPr>
        <w:t>60</w:t>
      </w:r>
      <w:r w:rsidR="002878D7">
        <w:rPr>
          <w:rStyle w:val="normaltextrun"/>
          <w:rFonts w:ascii="Aptos" w:hAnsi="Aptos"/>
          <w:lang w:val="fr-FR"/>
        </w:rPr>
        <w:t> %</w:t>
      </w:r>
      <w:r w:rsidR="00EE6D69" w:rsidRPr="00653BF4">
        <w:rPr>
          <w:rStyle w:val="normaltextrun"/>
          <w:rFonts w:ascii="Aptos" w:hAnsi="Aptos"/>
          <w:lang w:val="fr-FR"/>
        </w:rPr>
        <w:t xml:space="preserve"> </w:t>
      </w:r>
      <w:r w:rsidR="00E67F0F" w:rsidRPr="00653BF4">
        <w:rPr>
          <w:rStyle w:val="normaltextrun"/>
          <w:rFonts w:ascii="Aptos" w:hAnsi="Aptos"/>
          <w:lang w:val="fr-FR"/>
        </w:rPr>
        <w:t xml:space="preserve">n’enregistre aucun progrès notable ou des progrès insuffisants </w:t>
      </w:r>
      <w:r w:rsidR="00E05E2B" w:rsidRPr="00653BF4">
        <w:rPr>
          <w:rStyle w:val="normaltextrun"/>
          <w:rFonts w:ascii="Aptos" w:hAnsi="Aptos"/>
          <w:lang w:val="fr-FR"/>
        </w:rPr>
        <w:t>(</w:t>
      </w:r>
      <w:r w:rsidR="00E67F0F" w:rsidRPr="00653BF4">
        <w:rPr>
          <w:rStyle w:val="normaltextrun"/>
          <w:rFonts w:ascii="Aptos" w:hAnsi="Aptos"/>
          <w:lang w:val="fr-FR"/>
        </w:rPr>
        <w:t xml:space="preserve">voir la </w:t>
      </w:r>
      <w:r w:rsidR="005C08E5" w:rsidRPr="00653BF4">
        <w:rPr>
          <w:lang w:val="fr-FR"/>
        </w:rPr>
        <w:t>f</w:t>
      </w:r>
      <w:r w:rsidR="00F770B4" w:rsidRPr="00653BF4">
        <w:rPr>
          <w:lang w:val="fr-FR"/>
        </w:rPr>
        <w:t xml:space="preserve">igure </w:t>
      </w:r>
      <w:r w:rsidR="007904D8" w:rsidRPr="00653BF4">
        <w:rPr>
          <w:noProof/>
          <w:lang w:val="fr-FR"/>
        </w:rPr>
        <w:t>33</w:t>
      </w:r>
      <w:r w:rsidR="00E05E2B" w:rsidRPr="00653BF4">
        <w:rPr>
          <w:rStyle w:val="normaltextrun"/>
          <w:rFonts w:ascii="Aptos" w:hAnsi="Aptos"/>
          <w:lang w:val="fr-FR"/>
        </w:rPr>
        <w:t>).</w:t>
      </w:r>
    </w:p>
    <w:p w14:paraId="4AF63432" w14:textId="77777777" w:rsidR="000D3AC4" w:rsidRPr="00653BF4" w:rsidRDefault="000D3AC4" w:rsidP="00E05E2B">
      <w:pPr>
        <w:rPr>
          <w:rStyle w:val="eop"/>
          <w:rFonts w:ascii="Aptos" w:hAnsi="Aptos"/>
          <w:lang w:val="fr-FR"/>
        </w:rPr>
      </w:pPr>
    </w:p>
    <w:p w14:paraId="5CEB1245" w14:textId="4107F2CD" w:rsidR="00542EA1" w:rsidRPr="00653BF4" w:rsidRDefault="00542EA1" w:rsidP="00542EA1">
      <w:pPr>
        <w:pStyle w:val="Caption"/>
        <w:rPr>
          <w:rStyle w:val="eop"/>
          <w:i w:val="0"/>
          <w:iCs w:val="0"/>
          <w:sz w:val="20"/>
          <w:szCs w:val="20"/>
          <w:lang w:val="fr-FR"/>
        </w:rPr>
      </w:pPr>
      <w:r w:rsidRPr="00653BF4">
        <w:rPr>
          <w:i w:val="0"/>
          <w:iCs w:val="0"/>
          <w:sz w:val="20"/>
          <w:szCs w:val="20"/>
          <w:lang w:val="fr-FR"/>
        </w:rPr>
        <w:t xml:space="preserve">Figure </w:t>
      </w:r>
      <w:r w:rsidRPr="00653BF4">
        <w:rPr>
          <w:i w:val="0"/>
          <w:iCs w:val="0"/>
          <w:noProof/>
          <w:sz w:val="20"/>
          <w:szCs w:val="20"/>
          <w:lang w:val="fr-FR"/>
        </w:rPr>
        <w:t>33</w:t>
      </w:r>
      <w:r w:rsidRPr="00653BF4">
        <w:rPr>
          <w:i w:val="0"/>
          <w:iCs w:val="0"/>
          <w:sz w:val="20"/>
          <w:szCs w:val="20"/>
          <w:lang w:val="fr-FR"/>
        </w:rPr>
        <w:t xml:space="preserve"> </w:t>
      </w:r>
    </w:p>
    <w:p w14:paraId="1F40BB40" w14:textId="7F8ED360" w:rsidR="000D3AC4" w:rsidRPr="00653BF4" w:rsidRDefault="00520DFC" w:rsidP="000D3AC4">
      <w:pPr>
        <w:pStyle w:val="Caption"/>
        <w:rPr>
          <w:b/>
          <w:bCs/>
          <w:i w:val="0"/>
          <w:iCs w:val="0"/>
          <w:sz w:val="20"/>
          <w:szCs w:val="20"/>
          <w:lang w:val="fr-FR"/>
        </w:rPr>
      </w:pPr>
      <w:r w:rsidRPr="00653BF4">
        <w:rPr>
          <w:b/>
          <w:bCs/>
          <w:i w:val="0"/>
          <w:iCs w:val="0"/>
          <w:sz w:val="20"/>
          <w:szCs w:val="20"/>
          <w:lang w:val="fr-FR"/>
        </w:rPr>
        <w:t xml:space="preserve">Progrès auto-évalués pour l’ensemble des cibles nationales présentées comme étroitement alignées sur la </w:t>
      </w:r>
      <w:r w:rsidR="00E34DC9">
        <w:rPr>
          <w:b/>
          <w:bCs/>
          <w:i w:val="0"/>
          <w:iCs w:val="0"/>
          <w:sz w:val="20"/>
          <w:szCs w:val="20"/>
          <w:lang w:val="fr-FR"/>
        </w:rPr>
        <w:t>cible 7</w:t>
      </w:r>
      <w:r w:rsidRPr="00653BF4">
        <w:rPr>
          <w:b/>
          <w:bCs/>
          <w:i w:val="0"/>
          <w:iCs w:val="0"/>
          <w:sz w:val="20"/>
          <w:szCs w:val="20"/>
          <w:lang w:val="fr-FR"/>
        </w:rPr>
        <w:t xml:space="preserve"> du Cadre</w:t>
      </w:r>
    </w:p>
    <w:p w14:paraId="30BC71D2" w14:textId="5DB32B5E" w:rsidR="00414078" w:rsidRPr="00653BF4" w:rsidRDefault="00E05E2B" w:rsidP="003564C1">
      <w:pPr>
        <w:pStyle w:val="Caption"/>
        <w:rPr>
          <w:lang w:val="fr-FR"/>
        </w:rPr>
      </w:pPr>
      <w:bookmarkStart w:id="160" w:name="_Ref231159776"/>
      <w:r w:rsidRPr="00653BF4">
        <w:rPr>
          <w:rFonts w:ascii="Aptos" w:eastAsia="Aptos" w:hAnsi="Aptos" w:cs="Aptos"/>
          <w:noProof/>
          <w:lang w:val="fr-FR"/>
        </w:rPr>
        <w:lastRenderedPageBreak/>
        <w:drawing>
          <wp:inline distT="0" distB="0" distL="0" distR="0" wp14:anchorId="529DAE99" wp14:editId="064015B4">
            <wp:extent cx="5731510" cy="2292350"/>
            <wp:effectExtent l="0" t="0" r="0" b="6350"/>
            <wp:docPr id="4564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4385" name="Picture 4564385"/>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160"/>
    <w:p w14:paraId="05E0B94A" w14:textId="5955436B" w:rsidR="007273D2" w:rsidRPr="00653BF4" w:rsidRDefault="006A631C" w:rsidP="007273D2">
      <w:pPr>
        <w:pStyle w:val="Caption"/>
        <w:rPr>
          <w:i w:val="0"/>
          <w:iCs w:val="0"/>
          <w:lang w:val="fr-FR"/>
        </w:rPr>
      </w:pPr>
      <w:r w:rsidRPr="00653BF4">
        <w:rPr>
          <w:lang w:val="fr-FR"/>
        </w:rPr>
        <w:t>Note</w:t>
      </w:r>
      <w:r w:rsidR="00E34DC9">
        <w:rPr>
          <w:lang w:val="fr-FR"/>
        </w:rPr>
        <w:t> :</w:t>
      </w:r>
      <w:r w:rsidR="007273D2" w:rsidRPr="00653BF4">
        <w:rPr>
          <w:i w:val="0"/>
          <w:iCs w:val="0"/>
          <w:lang w:val="fr-FR"/>
        </w:rPr>
        <w:t xml:space="preserve"> </w:t>
      </w:r>
      <w:r w:rsidR="006649EF" w:rsidRPr="00653BF4">
        <w:rPr>
          <w:i w:val="0"/>
          <w:iCs w:val="0"/>
          <w:lang w:val="fr-FR"/>
        </w:rPr>
        <w:t xml:space="preserve">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w:t>
      </w:r>
      <w:r w:rsidR="003A0A42" w:rsidRPr="00653BF4">
        <w:rPr>
          <w:rFonts w:ascii="Aptos" w:hAnsi="Aptos"/>
          <w:i w:val="0"/>
          <w:iCs w:val="0"/>
          <w:lang w:val="fr-FR"/>
        </w:rPr>
        <w:t>La couleur de chaque région est indiquée dans la légende de la figure</w:t>
      </w:r>
      <w:r w:rsidR="00E34DC9">
        <w:rPr>
          <w:rFonts w:ascii="Aptos" w:hAnsi="Aptos"/>
          <w:i w:val="0"/>
          <w:iCs w:val="0"/>
          <w:lang w:val="fr-FR"/>
        </w:rPr>
        <w:t> :</w:t>
      </w:r>
      <w:r w:rsidR="003A0A42"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3A0A42" w:rsidRPr="00653BF4">
        <w:rPr>
          <w:rFonts w:ascii="Aptos" w:hAnsi="Aptos"/>
          <w:i w:val="0"/>
          <w:iCs w:val="0"/>
          <w:lang w:val="fr-FR"/>
        </w:rPr>
        <w:t xml:space="preserve"> les tons plus clairs, la proportion de Parties de la même région dont les données n’y figurent pas.</w:t>
      </w:r>
    </w:p>
    <w:tbl>
      <w:tblPr>
        <w:tblStyle w:val="TableGrid"/>
        <w:tblW w:w="8359" w:type="dxa"/>
        <w:tblLook w:val="04A0" w:firstRow="1" w:lastRow="0" w:firstColumn="1" w:lastColumn="0" w:noHBand="0" w:noVBand="1"/>
      </w:tblPr>
      <w:tblGrid>
        <w:gridCol w:w="3964"/>
        <w:gridCol w:w="4395"/>
      </w:tblGrid>
      <w:tr w:rsidR="00DD6272" w:rsidRPr="003A6336" w14:paraId="65425548" w14:textId="77777777" w:rsidTr="009B4355">
        <w:tc>
          <w:tcPr>
            <w:tcW w:w="8359" w:type="dxa"/>
            <w:gridSpan w:val="2"/>
          </w:tcPr>
          <w:p w14:paraId="530E438D" w14:textId="77777777" w:rsidR="00DD6272" w:rsidRPr="003A6336" w:rsidRDefault="00DD6272" w:rsidP="009B4355">
            <w:pPr>
              <w:rPr>
                <w:rFonts w:ascii="Aptos" w:hAnsi="Aptos"/>
              </w:rPr>
            </w:pPr>
            <w:r>
              <w:rPr>
                <w:rFonts w:ascii="Aptos" w:hAnsi="Aptos"/>
              </w:rPr>
              <w:t>Figure 33</w:t>
            </w:r>
          </w:p>
        </w:tc>
      </w:tr>
      <w:tr w:rsidR="00DD6272" w:rsidRPr="006648D9" w14:paraId="1196CEA2" w14:textId="77777777" w:rsidTr="009B4355">
        <w:tc>
          <w:tcPr>
            <w:tcW w:w="3964" w:type="dxa"/>
          </w:tcPr>
          <w:p w14:paraId="3CCE9BED" w14:textId="77777777" w:rsidR="00DD6272" w:rsidRPr="006648D9" w:rsidRDefault="00DD6272" w:rsidP="009B4355">
            <w:pPr>
              <w:rPr>
                <w:rFonts w:ascii="Aptos" w:hAnsi="Aptos"/>
              </w:rPr>
            </w:pPr>
            <w:r w:rsidRPr="006648D9">
              <w:rPr>
                <w:rFonts w:ascii="Aptos" w:hAnsi="Aptos"/>
              </w:rPr>
              <w:t>English</w:t>
            </w:r>
          </w:p>
        </w:tc>
        <w:tc>
          <w:tcPr>
            <w:tcW w:w="4395" w:type="dxa"/>
          </w:tcPr>
          <w:p w14:paraId="5D4094BC" w14:textId="77777777" w:rsidR="00DD6272" w:rsidRPr="006648D9" w:rsidRDefault="00DD6272" w:rsidP="009B4355">
            <w:pPr>
              <w:rPr>
                <w:rFonts w:ascii="Aptos" w:hAnsi="Aptos"/>
              </w:rPr>
            </w:pPr>
            <w:r>
              <w:rPr>
                <w:rFonts w:ascii="Aptos" w:hAnsi="Aptos"/>
              </w:rPr>
              <w:t>Français</w:t>
            </w:r>
          </w:p>
        </w:tc>
      </w:tr>
      <w:tr w:rsidR="00DD6272" w:rsidRPr="003A6336" w14:paraId="00C65274" w14:textId="77777777" w:rsidTr="009B4355">
        <w:tc>
          <w:tcPr>
            <w:tcW w:w="3964" w:type="dxa"/>
          </w:tcPr>
          <w:p w14:paraId="6181EAA0" w14:textId="77777777" w:rsidR="00DD6272" w:rsidRPr="003A6336" w:rsidRDefault="00DD6272" w:rsidP="009B4355">
            <w:pPr>
              <w:rPr>
                <w:rFonts w:ascii="Aptos" w:hAnsi="Aptos"/>
              </w:rPr>
            </w:pPr>
            <w:r w:rsidRPr="003A6336">
              <w:rPr>
                <w:rFonts w:ascii="Aptos" w:hAnsi="Aptos"/>
              </w:rPr>
              <w:t>Percentage of national targets</w:t>
            </w:r>
          </w:p>
        </w:tc>
        <w:tc>
          <w:tcPr>
            <w:tcW w:w="4395" w:type="dxa"/>
          </w:tcPr>
          <w:p w14:paraId="5012EACB" w14:textId="77777777" w:rsidR="00DD6272" w:rsidRPr="003A6336" w:rsidRDefault="00DD6272" w:rsidP="009B4355">
            <w:pPr>
              <w:rPr>
                <w:rFonts w:ascii="Aptos" w:hAnsi="Aptos"/>
              </w:rPr>
            </w:pPr>
            <w:r>
              <w:t>Pourcentage de cibles nationales</w:t>
            </w:r>
          </w:p>
        </w:tc>
      </w:tr>
      <w:tr w:rsidR="00DD6272" w:rsidRPr="003A6336" w14:paraId="28D54A66" w14:textId="77777777" w:rsidTr="009B4355">
        <w:tc>
          <w:tcPr>
            <w:tcW w:w="3964" w:type="dxa"/>
          </w:tcPr>
          <w:p w14:paraId="5355E469" w14:textId="77777777" w:rsidR="00DD6272" w:rsidRPr="003A6336" w:rsidRDefault="00DD6272" w:rsidP="009B4355">
            <w:pPr>
              <w:rPr>
                <w:rFonts w:ascii="Aptos" w:hAnsi="Aptos"/>
              </w:rPr>
            </w:pPr>
            <w:r w:rsidRPr="003A6336">
              <w:rPr>
                <w:rFonts w:ascii="Aptos" w:hAnsi="Aptos"/>
              </w:rPr>
              <w:t>Progress Level</w:t>
            </w:r>
          </w:p>
        </w:tc>
        <w:tc>
          <w:tcPr>
            <w:tcW w:w="4395" w:type="dxa"/>
          </w:tcPr>
          <w:p w14:paraId="212879CC" w14:textId="77777777" w:rsidR="00DD6272" w:rsidRPr="003A6336" w:rsidRDefault="00DD6272" w:rsidP="009B4355">
            <w:pPr>
              <w:rPr>
                <w:rFonts w:ascii="Aptos" w:hAnsi="Aptos"/>
              </w:rPr>
            </w:pPr>
            <w:r w:rsidRPr="006F7AF8">
              <w:rPr>
                <w:rFonts w:ascii="Aptos" w:hAnsi="Aptos"/>
                <w:lang w:val="fr-FR"/>
              </w:rPr>
              <w:t>État d</w:t>
            </w:r>
            <w:r>
              <w:rPr>
                <w:rFonts w:ascii="Aptos" w:hAnsi="Aptos"/>
                <w:lang w:val="fr-FR"/>
              </w:rPr>
              <w:t>’</w:t>
            </w:r>
            <w:r w:rsidRPr="006F7AF8">
              <w:rPr>
                <w:rFonts w:ascii="Aptos" w:hAnsi="Aptos"/>
                <w:lang w:val="fr-FR"/>
              </w:rPr>
              <w:t>avancement</w:t>
            </w:r>
          </w:p>
        </w:tc>
      </w:tr>
      <w:tr w:rsidR="00DD6272" w:rsidRPr="003A6336" w14:paraId="41A4AB50" w14:textId="77777777" w:rsidTr="009B4355">
        <w:tc>
          <w:tcPr>
            <w:tcW w:w="3964" w:type="dxa"/>
          </w:tcPr>
          <w:p w14:paraId="1993E2E1" w14:textId="77777777" w:rsidR="00DD6272" w:rsidRPr="003A6336" w:rsidRDefault="00DD6272" w:rsidP="009B4355">
            <w:pPr>
              <w:rPr>
                <w:rFonts w:ascii="Aptos" w:hAnsi="Aptos"/>
              </w:rPr>
            </w:pPr>
            <w:r w:rsidRPr="003A6336">
              <w:rPr>
                <w:rFonts w:ascii="Aptos" w:hAnsi="Aptos"/>
              </w:rPr>
              <w:t>Achieved</w:t>
            </w:r>
          </w:p>
        </w:tc>
        <w:tc>
          <w:tcPr>
            <w:tcW w:w="4395" w:type="dxa"/>
          </w:tcPr>
          <w:p w14:paraId="59739193" w14:textId="77777777" w:rsidR="00DD6272" w:rsidRPr="003A6336" w:rsidRDefault="00DD6272" w:rsidP="009B4355">
            <w:pPr>
              <w:rPr>
                <w:rFonts w:ascii="Aptos" w:hAnsi="Aptos"/>
              </w:rPr>
            </w:pPr>
            <w:r>
              <w:t>Cible atteinte</w:t>
            </w:r>
          </w:p>
        </w:tc>
      </w:tr>
      <w:tr w:rsidR="00DD6272" w:rsidRPr="003A6336" w14:paraId="5248017C" w14:textId="77777777" w:rsidTr="009B4355">
        <w:tc>
          <w:tcPr>
            <w:tcW w:w="3964" w:type="dxa"/>
          </w:tcPr>
          <w:p w14:paraId="654D0004" w14:textId="77777777" w:rsidR="00DD6272" w:rsidRPr="003A6336" w:rsidRDefault="00DD6272" w:rsidP="009B4355">
            <w:pPr>
              <w:rPr>
                <w:rFonts w:ascii="Aptos" w:hAnsi="Aptos"/>
              </w:rPr>
            </w:pPr>
            <w:r w:rsidRPr="003A6336">
              <w:rPr>
                <w:rFonts w:ascii="Aptos" w:hAnsi="Aptos"/>
              </w:rPr>
              <w:t>On track to achieve target</w:t>
            </w:r>
          </w:p>
        </w:tc>
        <w:tc>
          <w:tcPr>
            <w:tcW w:w="4395" w:type="dxa"/>
          </w:tcPr>
          <w:p w14:paraId="56067F21" w14:textId="77777777" w:rsidR="00DD6272" w:rsidRPr="003A6336" w:rsidRDefault="00DD6272" w:rsidP="009B4355">
            <w:pPr>
              <w:rPr>
                <w:rFonts w:ascii="Aptos" w:hAnsi="Aptos"/>
              </w:rPr>
            </w:pPr>
            <w:r>
              <w:t>En voie d’atteindre la cible</w:t>
            </w:r>
          </w:p>
        </w:tc>
      </w:tr>
      <w:tr w:rsidR="00DD6272" w:rsidRPr="003A6336" w14:paraId="2220883B" w14:textId="77777777" w:rsidTr="009B4355">
        <w:tc>
          <w:tcPr>
            <w:tcW w:w="3964" w:type="dxa"/>
          </w:tcPr>
          <w:p w14:paraId="2F6DCC7D" w14:textId="77777777" w:rsidR="00DD6272" w:rsidRPr="003A6336" w:rsidRDefault="00DD6272" w:rsidP="009B4355">
            <w:pPr>
              <w:rPr>
                <w:rFonts w:ascii="Aptos" w:hAnsi="Aptos"/>
              </w:rPr>
            </w:pPr>
            <w:r w:rsidRPr="003A6336">
              <w:rPr>
                <w:rFonts w:ascii="Aptos" w:hAnsi="Aptos"/>
              </w:rPr>
              <w:t>Progress towards target but at an insufficient rate</w:t>
            </w:r>
          </w:p>
        </w:tc>
        <w:tc>
          <w:tcPr>
            <w:tcW w:w="4395" w:type="dxa"/>
          </w:tcPr>
          <w:p w14:paraId="224A941B" w14:textId="77777777" w:rsidR="00DD6272" w:rsidRPr="003A6336" w:rsidRDefault="00DD6272" w:rsidP="009B4355">
            <w:pPr>
              <w:rPr>
                <w:rFonts w:ascii="Aptos" w:hAnsi="Aptos"/>
              </w:rPr>
            </w:pPr>
            <w:r>
              <w:t>Progrès accomplis, mais à un rythme insuffisant</w:t>
            </w:r>
          </w:p>
        </w:tc>
      </w:tr>
      <w:tr w:rsidR="00DD6272" w:rsidRPr="003A6336" w14:paraId="62388168" w14:textId="77777777" w:rsidTr="009B4355">
        <w:tc>
          <w:tcPr>
            <w:tcW w:w="3964" w:type="dxa"/>
          </w:tcPr>
          <w:p w14:paraId="551710A8" w14:textId="77777777" w:rsidR="00DD6272" w:rsidRPr="003A6336" w:rsidRDefault="00DD6272" w:rsidP="009B4355">
            <w:pPr>
              <w:rPr>
                <w:rFonts w:ascii="Aptos" w:hAnsi="Aptos"/>
              </w:rPr>
            </w:pPr>
            <w:r w:rsidRPr="003A6336">
              <w:rPr>
                <w:rFonts w:ascii="Aptos" w:hAnsi="Aptos"/>
              </w:rPr>
              <w:t>No significant change</w:t>
            </w:r>
          </w:p>
        </w:tc>
        <w:tc>
          <w:tcPr>
            <w:tcW w:w="4395" w:type="dxa"/>
          </w:tcPr>
          <w:p w14:paraId="70E6D2F9" w14:textId="77777777" w:rsidR="00DD6272" w:rsidRPr="003A6336" w:rsidRDefault="00DD6272" w:rsidP="009B4355">
            <w:pPr>
              <w:rPr>
                <w:rFonts w:ascii="Aptos" w:hAnsi="Aptos"/>
              </w:rPr>
            </w:pPr>
            <w:r>
              <w:t>Pas de changement notable</w:t>
            </w:r>
          </w:p>
        </w:tc>
      </w:tr>
      <w:tr w:rsidR="00DD6272" w:rsidRPr="003A6336" w14:paraId="647E8859" w14:textId="77777777" w:rsidTr="009B4355">
        <w:tc>
          <w:tcPr>
            <w:tcW w:w="3964" w:type="dxa"/>
          </w:tcPr>
          <w:p w14:paraId="2CC962CD" w14:textId="77777777" w:rsidR="00DD6272" w:rsidRPr="003A6336" w:rsidRDefault="00DD6272" w:rsidP="009B4355">
            <w:pPr>
              <w:rPr>
                <w:rFonts w:ascii="Aptos" w:hAnsi="Aptos"/>
              </w:rPr>
            </w:pPr>
            <w:r w:rsidRPr="003A6336">
              <w:rPr>
                <w:rFonts w:ascii="Aptos" w:hAnsi="Aptos"/>
              </w:rPr>
              <w:t>Unknown</w:t>
            </w:r>
          </w:p>
        </w:tc>
        <w:tc>
          <w:tcPr>
            <w:tcW w:w="4395" w:type="dxa"/>
          </w:tcPr>
          <w:p w14:paraId="44E01B27" w14:textId="77777777" w:rsidR="00DD6272" w:rsidRPr="003A6336" w:rsidRDefault="00DD6272" w:rsidP="009B4355">
            <w:pPr>
              <w:rPr>
                <w:rFonts w:ascii="Aptos" w:hAnsi="Aptos"/>
              </w:rPr>
            </w:pPr>
            <w:r>
              <w:t>Inconnu</w:t>
            </w:r>
          </w:p>
        </w:tc>
      </w:tr>
      <w:tr w:rsidR="00DD6272" w:rsidRPr="003A6336" w14:paraId="514C0482" w14:textId="77777777" w:rsidTr="009B4355">
        <w:tc>
          <w:tcPr>
            <w:tcW w:w="3964" w:type="dxa"/>
          </w:tcPr>
          <w:p w14:paraId="6541AEB9" w14:textId="77777777" w:rsidR="00DD6272" w:rsidRPr="003A6336" w:rsidRDefault="00DD6272" w:rsidP="009B4355">
            <w:pPr>
              <w:rPr>
                <w:rFonts w:ascii="Aptos" w:hAnsi="Aptos"/>
              </w:rPr>
            </w:pPr>
            <w:r w:rsidRPr="003A6336">
              <w:rPr>
                <w:rFonts w:ascii="Aptos" w:hAnsi="Aptos"/>
              </w:rPr>
              <w:t>Party count: 89</w:t>
            </w:r>
          </w:p>
        </w:tc>
        <w:tc>
          <w:tcPr>
            <w:tcW w:w="4395" w:type="dxa"/>
          </w:tcPr>
          <w:p w14:paraId="23D8DABB" w14:textId="77777777" w:rsidR="00DD6272" w:rsidRPr="003A6336" w:rsidRDefault="00DD6272" w:rsidP="009B4355">
            <w:pPr>
              <w:rPr>
                <w:rFonts w:ascii="Aptos" w:hAnsi="Aptos"/>
              </w:rPr>
            </w:pPr>
            <w:r>
              <w:rPr>
                <w:rFonts w:ascii="Aptos" w:hAnsi="Aptos"/>
              </w:rPr>
              <w:t>Nombre de Parties : 89</w:t>
            </w:r>
          </w:p>
        </w:tc>
      </w:tr>
      <w:tr w:rsidR="00DD6272" w:rsidRPr="003A6336" w14:paraId="00FAD095" w14:textId="77777777" w:rsidTr="009B4355">
        <w:tc>
          <w:tcPr>
            <w:tcW w:w="3964" w:type="dxa"/>
          </w:tcPr>
          <w:p w14:paraId="6C55E17D" w14:textId="77777777" w:rsidR="00DD6272" w:rsidRPr="003A6336" w:rsidRDefault="00DD6272" w:rsidP="009B4355">
            <w:pPr>
              <w:rPr>
                <w:rFonts w:ascii="Aptos" w:hAnsi="Aptos"/>
              </w:rPr>
            </w:pPr>
            <w:r w:rsidRPr="003A6336">
              <w:rPr>
                <w:rFonts w:ascii="Aptos" w:hAnsi="Aptos"/>
              </w:rPr>
              <w:t>Region</w:t>
            </w:r>
          </w:p>
        </w:tc>
        <w:tc>
          <w:tcPr>
            <w:tcW w:w="4395" w:type="dxa"/>
          </w:tcPr>
          <w:p w14:paraId="35B878B0" w14:textId="77777777" w:rsidR="00DD6272" w:rsidRPr="003A6336" w:rsidRDefault="00DD6272" w:rsidP="009B4355">
            <w:pPr>
              <w:rPr>
                <w:rFonts w:ascii="Aptos" w:hAnsi="Aptos"/>
              </w:rPr>
            </w:pPr>
            <w:r w:rsidRPr="006F7AF8">
              <w:rPr>
                <w:rFonts w:ascii="Aptos" w:hAnsi="Aptos"/>
                <w:lang w:val="fr-FR"/>
              </w:rPr>
              <w:t>Région</w:t>
            </w:r>
          </w:p>
        </w:tc>
      </w:tr>
      <w:tr w:rsidR="00DD6272" w:rsidRPr="003A6336" w14:paraId="5536D4BE" w14:textId="77777777" w:rsidTr="009B4355">
        <w:tc>
          <w:tcPr>
            <w:tcW w:w="3964" w:type="dxa"/>
          </w:tcPr>
          <w:p w14:paraId="31209309" w14:textId="77777777" w:rsidR="00DD6272" w:rsidRPr="003A6336" w:rsidRDefault="00DD6272" w:rsidP="009B4355">
            <w:pPr>
              <w:rPr>
                <w:rFonts w:ascii="Aptos" w:hAnsi="Aptos"/>
              </w:rPr>
            </w:pPr>
            <w:r w:rsidRPr="6D03A27B">
              <w:rPr>
                <w:rFonts w:ascii="Aptos" w:hAnsi="Aptos"/>
              </w:rPr>
              <w:t>African States</w:t>
            </w:r>
          </w:p>
        </w:tc>
        <w:tc>
          <w:tcPr>
            <w:tcW w:w="4395" w:type="dxa"/>
          </w:tcPr>
          <w:p w14:paraId="49B58EDF"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DD6272" w:rsidRPr="003A6336" w14:paraId="70F91462" w14:textId="77777777" w:rsidTr="009B4355">
        <w:tc>
          <w:tcPr>
            <w:tcW w:w="3964" w:type="dxa"/>
          </w:tcPr>
          <w:p w14:paraId="338C695F" w14:textId="77777777" w:rsidR="00DD6272" w:rsidRPr="003A6336" w:rsidRDefault="00DD6272" w:rsidP="009B4355">
            <w:pPr>
              <w:rPr>
                <w:rFonts w:ascii="Aptos" w:hAnsi="Aptos"/>
              </w:rPr>
            </w:pPr>
            <w:r w:rsidRPr="6D03A27B">
              <w:rPr>
                <w:rFonts w:ascii="Aptos" w:hAnsi="Aptos"/>
              </w:rPr>
              <w:t>Asia-Pacific States</w:t>
            </w:r>
          </w:p>
        </w:tc>
        <w:tc>
          <w:tcPr>
            <w:tcW w:w="4395" w:type="dxa"/>
          </w:tcPr>
          <w:p w14:paraId="2CB32E04"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DD6272" w:rsidRPr="003A6336" w14:paraId="27F6195E" w14:textId="77777777" w:rsidTr="009B4355">
        <w:tc>
          <w:tcPr>
            <w:tcW w:w="3964" w:type="dxa"/>
          </w:tcPr>
          <w:p w14:paraId="1E8FF801" w14:textId="77777777" w:rsidR="00DD6272" w:rsidRPr="003A6336" w:rsidRDefault="00DD6272" w:rsidP="009B4355">
            <w:pPr>
              <w:rPr>
                <w:rFonts w:ascii="Aptos" w:hAnsi="Aptos"/>
              </w:rPr>
            </w:pPr>
            <w:r w:rsidRPr="6D03A27B">
              <w:rPr>
                <w:rFonts w:ascii="Aptos" w:hAnsi="Aptos"/>
              </w:rPr>
              <w:t>Latin American and Caribbean States</w:t>
            </w:r>
          </w:p>
        </w:tc>
        <w:tc>
          <w:tcPr>
            <w:tcW w:w="4395" w:type="dxa"/>
          </w:tcPr>
          <w:p w14:paraId="1429F058"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DD6272" w:rsidRPr="003A6336" w14:paraId="40AF6CD8" w14:textId="77777777" w:rsidTr="009B4355">
        <w:tc>
          <w:tcPr>
            <w:tcW w:w="3964" w:type="dxa"/>
          </w:tcPr>
          <w:p w14:paraId="2737E3DF" w14:textId="77777777" w:rsidR="00DD6272" w:rsidRPr="003A6336" w:rsidRDefault="00DD6272" w:rsidP="009B4355">
            <w:pPr>
              <w:rPr>
                <w:rFonts w:ascii="Aptos" w:hAnsi="Aptos"/>
              </w:rPr>
            </w:pPr>
            <w:r w:rsidRPr="6D03A27B">
              <w:rPr>
                <w:rFonts w:ascii="Aptos" w:hAnsi="Aptos"/>
              </w:rPr>
              <w:t>Eastern European States</w:t>
            </w:r>
          </w:p>
        </w:tc>
        <w:tc>
          <w:tcPr>
            <w:tcW w:w="4395" w:type="dxa"/>
          </w:tcPr>
          <w:p w14:paraId="262DA8BF"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DD6272" w:rsidRPr="003A6336" w14:paraId="7048DA94" w14:textId="77777777" w:rsidTr="009B4355">
        <w:tc>
          <w:tcPr>
            <w:tcW w:w="3964" w:type="dxa"/>
          </w:tcPr>
          <w:p w14:paraId="24EF82EC" w14:textId="77777777" w:rsidR="00DD6272" w:rsidRPr="003A6336" w:rsidRDefault="00DD6272" w:rsidP="009B4355">
            <w:pPr>
              <w:rPr>
                <w:rFonts w:ascii="Aptos" w:hAnsi="Aptos"/>
              </w:rPr>
            </w:pPr>
            <w:r w:rsidRPr="6D03A27B">
              <w:rPr>
                <w:rFonts w:ascii="Aptos" w:hAnsi="Aptos"/>
              </w:rPr>
              <w:t xml:space="preserve">Western European and other States </w:t>
            </w:r>
          </w:p>
        </w:tc>
        <w:tc>
          <w:tcPr>
            <w:tcW w:w="4395" w:type="dxa"/>
          </w:tcPr>
          <w:p w14:paraId="137E5328" w14:textId="77777777" w:rsidR="00DD6272" w:rsidRPr="003A6336" w:rsidRDefault="00DD6272"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05F63A8" w14:textId="77777777" w:rsidR="0091356A" w:rsidRPr="00653BF4" w:rsidRDefault="0091356A" w:rsidP="00C36B3B">
      <w:pPr>
        <w:rPr>
          <w:lang w:val="fr-FR" w:eastAsia="ja-JP"/>
        </w:rPr>
      </w:pPr>
    </w:p>
    <w:p w14:paraId="382C24EB" w14:textId="3AE42AC5" w:rsidR="00C36B3B" w:rsidRPr="00653BF4" w:rsidRDefault="00415859" w:rsidP="00C577F7">
      <w:pPr>
        <w:pStyle w:val="Heading5"/>
        <w:rPr>
          <w:lang w:val="fr-FR" w:eastAsia="ja-JP"/>
        </w:rPr>
      </w:pPr>
      <w:r w:rsidRPr="00653BF4">
        <w:rPr>
          <w:lang w:val="fr-FR" w:eastAsia="ja-JP"/>
        </w:rPr>
        <w:t>Actions, réussites et difficultés dans la mise en œuvre</w:t>
      </w:r>
    </w:p>
    <w:p w14:paraId="1A6814B8" w14:textId="77777777" w:rsidR="008E423B" w:rsidRPr="00653BF4" w:rsidRDefault="008E423B" w:rsidP="008E423B">
      <w:pPr>
        <w:rPr>
          <w:lang w:val="fr-FR" w:eastAsia="ja-JP"/>
        </w:rPr>
      </w:pPr>
    </w:p>
    <w:p w14:paraId="3AAB6D12" w14:textId="0CDB795B" w:rsidR="0091356A" w:rsidRPr="00653BF4" w:rsidRDefault="00B43BEA" w:rsidP="00C577F7">
      <w:pPr>
        <w:pStyle w:val="Heading6"/>
        <w:rPr>
          <w:lang w:val="fr-FR" w:eastAsia="ja-JP"/>
        </w:rPr>
      </w:pPr>
      <w:bookmarkStart w:id="161" w:name="_Toc235821134"/>
      <w:r w:rsidRPr="00653BF4">
        <w:rPr>
          <w:lang w:val="fr-FR" w:eastAsia="ja-JP"/>
        </w:rPr>
        <w:lastRenderedPageBreak/>
        <w:t xml:space="preserve">Résumé des actions menées à l’appui de la </w:t>
      </w:r>
      <w:r w:rsidR="00E34DC9">
        <w:rPr>
          <w:lang w:val="fr-FR" w:eastAsia="ja-JP"/>
        </w:rPr>
        <w:t>cible 7</w:t>
      </w:r>
      <w:bookmarkEnd w:id="161"/>
      <w:r w:rsidR="00FD4EEB" w:rsidRPr="00653BF4">
        <w:rPr>
          <w:lang w:val="fr-FR" w:eastAsia="ja-JP"/>
        </w:rPr>
        <w:t xml:space="preserve"> </w:t>
      </w:r>
      <w:r w:rsidR="00272FFA" w:rsidRPr="00653BF4">
        <w:rPr>
          <w:lang w:val="fr-FR" w:eastAsia="ja-JP"/>
        </w:rPr>
        <w:t>du Cadre</w:t>
      </w:r>
    </w:p>
    <w:p w14:paraId="73DC0377" w14:textId="77777777" w:rsidR="008E423B" w:rsidRPr="00653BF4" w:rsidRDefault="008E423B" w:rsidP="008E423B">
      <w:pPr>
        <w:rPr>
          <w:lang w:val="fr-FR" w:eastAsia="ja-JP"/>
        </w:rPr>
      </w:pPr>
    </w:p>
    <w:p w14:paraId="7E17F50E" w14:textId="2C22ED4E" w:rsidR="00623B8F" w:rsidRPr="00653BF4" w:rsidRDefault="002D24AC" w:rsidP="00623B8F">
      <w:pPr>
        <w:rPr>
          <w:lang w:val="fr-FR"/>
        </w:rPr>
      </w:pPr>
      <w:r>
        <w:rPr>
          <w:lang w:val="fr-FR"/>
        </w:rPr>
        <w:t>Ce sont l</w:t>
      </w:r>
      <w:r w:rsidR="00D66D73" w:rsidRPr="00D66D73">
        <w:rPr>
          <w:lang w:val="fr-FR"/>
        </w:rPr>
        <w:t xml:space="preserve">es mesures de lutte contre la pollution plastique </w:t>
      </w:r>
      <w:r>
        <w:rPr>
          <w:lang w:val="fr-FR"/>
        </w:rPr>
        <w:t xml:space="preserve">qui </w:t>
      </w:r>
      <w:r w:rsidR="00D66D73" w:rsidRPr="00D66D73">
        <w:rPr>
          <w:lang w:val="fr-FR"/>
        </w:rPr>
        <w:t xml:space="preserve">sont le plus souvent mentionnées par les Parties </w:t>
      </w:r>
      <w:r>
        <w:rPr>
          <w:lang w:val="fr-FR"/>
        </w:rPr>
        <w:t xml:space="preserve">pour </w:t>
      </w:r>
      <w:r w:rsidR="00D66D73" w:rsidRPr="00D66D73">
        <w:rPr>
          <w:lang w:val="fr-FR"/>
        </w:rPr>
        <w:t xml:space="preserve">la </w:t>
      </w:r>
      <w:r w:rsidR="00E34DC9">
        <w:rPr>
          <w:lang w:val="fr-FR"/>
        </w:rPr>
        <w:t>cible 7</w:t>
      </w:r>
      <w:r w:rsidR="00D66D73" w:rsidRPr="00D66D73">
        <w:rPr>
          <w:lang w:val="fr-FR"/>
        </w:rPr>
        <w:t>, la grande majorité d’entre elles faisant état d’interdictions ou de restrictions concernant les plastiques à usage unique, notamment les sacs, les pailles, les couverts et le polystyrène. Un grand nombre de Parties indiquent recourir à la lutte intégrée contre les ravageurs et imposer des interdictions sur les pesticides hautement dangereux afin d’atténuer les risques liés à l’utilisation de ces produits. Un autre groupe important de Parties, principalement en Europe et en Asie, indique avoir mis en place des mesures réglementaires et techniques visant à atténuer les pertes de nutriments provenant des engrais et du lisier. Un groupe plus restreint de pays fait état de mesures visant à éliminer la pollution due au mercure et aux polluants organiques persistants, en mettant en avant les actions menées dans le cadre de la Convention de Minamata sur le mercure et de la Convention de Stockholm sur les polluants organiques persistants. Un nombre croissant de Parties font état d’investissements dans les infrastructures de recyclage et les cadres d’économie circulaire, en tant que réponse structurelle à la pollution par les plastiques et les déchets (voir les encadrés 25 et 26).</w:t>
      </w:r>
    </w:p>
    <w:p w14:paraId="73C5E8D1" w14:textId="77777777" w:rsidR="009A12FE" w:rsidRPr="00653BF4" w:rsidRDefault="009A12FE" w:rsidP="00B8722B">
      <w:pPr>
        <w:rPr>
          <w:lang w:val="fr-FR"/>
        </w:rPr>
      </w:pPr>
    </w:p>
    <w:p w14:paraId="1F4ED261" w14:textId="0C203205" w:rsidR="0091356A" w:rsidRPr="00653BF4" w:rsidRDefault="00EF7133" w:rsidP="00C577F7">
      <w:pPr>
        <w:pStyle w:val="Heading6"/>
        <w:rPr>
          <w:lang w:val="fr-FR" w:eastAsia="ja-JP"/>
        </w:rPr>
      </w:pPr>
      <w:r w:rsidRPr="00653BF4">
        <w:rPr>
          <w:lang w:val="fr-FR" w:eastAsia="ja-JP"/>
        </w:rPr>
        <w:t xml:space="preserve">Exemples de réussites et de progrès réalisées dans la mise en œuvre </w:t>
      </w:r>
    </w:p>
    <w:p w14:paraId="68672686" w14:textId="77777777" w:rsidR="00FA3DF5" w:rsidRPr="00653BF4" w:rsidRDefault="00FA3DF5" w:rsidP="00FA3DF5">
      <w:pPr>
        <w:rPr>
          <w:lang w:val="fr-FR" w:eastAsia="ja-JP"/>
        </w:rPr>
      </w:pPr>
    </w:p>
    <w:p w14:paraId="3FA14E92" w14:textId="4075BF90" w:rsidR="00353033" w:rsidRPr="00653BF4" w:rsidRDefault="00353033" w:rsidP="00353033">
      <w:pPr>
        <w:pStyle w:val="Caption"/>
        <w:keepNext/>
        <w:rPr>
          <w:i w:val="0"/>
          <w:iCs w:val="0"/>
          <w:sz w:val="20"/>
          <w:szCs w:val="20"/>
          <w:lang w:val="fr-FR"/>
        </w:rPr>
      </w:pPr>
    </w:p>
    <w:tbl>
      <w:tblPr>
        <w:tblStyle w:val="TableGrid"/>
        <w:tblW w:w="0" w:type="auto"/>
        <w:tblLook w:val="04A0" w:firstRow="1" w:lastRow="0" w:firstColumn="1" w:lastColumn="0" w:noHBand="0" w:noVBand="1"/>
      </w:tblPr>
      <w:tblGrid>
        <w:gridCol w:w="9350"/>
      </w:tblGrid>
      <w:tr w:rsidR="00353033" w:rsidRPr="00543148" w14:paraId="733CC0D3" w14:textId="77777777" w:rsidTr="00977BD2">
        <w:tc>
          <w:tcPr>
            <w:tcW w:w="10910" w:type="dxa"/>
            <w:shd w:val="clear" w:color="auto" w:fill="D1D1D1" w:themeFill="background2" w:themeFillShade="E6"/>
          </w:tcPr>
          <w:p w14:paraId="1E8CD320" w14:textId="77777777" w:rsidR="00931BC4" w:rsidRPr="00653BF4" w:rsidRDefault="00931BC4" w:rsidP="00353033">
            <w:pPr>
              <w:rPr>
                <w:i/>
                <w:iCs/>
                <w:lang w:val="fr-FR"/>
              </w:rPr>
            </w:pPr>
          </w:p>
          <w:p w14:paraId="46D91166" w14:textId="67F46894" w:rsidR="00930675" w:rsidRPr="00653BF4" w:rsidRDefault="0024766A" w:rsidP="00930675">
            <w:pPr>
              <w:pStyle w:val="Caption"/>
              <w:keepNext/>
              <w:rPr>
                <w:i w:val="0"/>
                <w:iCs w:val="0"/>
                <w:sz w:val="20"/>
                <w:szCs w:val="20"/>
                <w:lang w:val="fr-FR"/>
              </w:rPr>
            </w:pPr>
            <w:r w:rsidRPr="00653BF4">
              <w:rPr>
                <w:i w:val="0"/>
                <w:iCs w:val="0"/>
                <w:sz w:val="20"/>
                <w:szCs w:val="20"/>
                <w:lang w:val="fr-FR"/>
              </w:rPr>
              <w:t>Encadré</w:t>
            </w:r>
            <w:r w:rsidR="00930675" w:rsidRPr="00653BF4">
              <w:rPr>
                <w:i w:val="0"/>
                <w:iCs w:val="0"/>
                <w:sz w:val="20"/>
                <w:szCs w:val="20"/>
                <w:lang w:val="fr-FR"/>
              </w:rPr>
              <w:t xml:space="preserve"> </w:t>
            </w:r>
            <w:r w:rsidR="008306DF" w:rsidRPr="00653BF4">
              <w:rPr>
                <w:i w:val="0"/>
                <w:iCs w:val="0"/>
                <w:noProof/>
                <w:sz w:val="20"/>
                <w:szCs w:val="20"/>
                <w:lang w:val="fr-FR"/>
              </w:rPr>
              <w:t>25</w:t>
            </w:r>
          </w:p>
          <w:p w14:paraId="0DFAA55B" w14:textId="71320078" w:rsidR="00930675" w:rsidRPr="00653BF4" w:rsidRDefault="00795E45" w:rsidP="00200963">
            <w:pPr>
              <w:pStyle w:val="Caption"/>
              <w:keepNext/>
              <w:rPr>
                <w:i w:val="0"/>
                <w:iCs w:val="0"/>
                <w:lang w:val="fr-FR"/>
              </w:rPr>
            </w:pPr>
            <w:r w:rsidRPr="00795E45">
              <w:rPr>
                <w:b/>
                <w:bCs/>
                <w:i w:val="0"/>
                <w:iCs w:val="0"/>
                <w:sz w:val="20"/>
                <w:szCs w:val="20"/>
                <w:lang w:val="fr-FR"/>
              </w:rPr>
              <w:t>Le cadre national australien pour l'économie circulaire, comprenant des objectifs chiffrés de réduction de la pollution dans tous les secteurs</w:t>
            </w:r>
          </w:p>
          <w:p w14:paraId="6D9A33A2" w14:textId="2EEDA4DE" w:rsidR="00200963" w:rsidRPr="00200963" w:rsidRDefault="00200963" w:rsidP="00200963">
            <w:pPr>
              <w:spacing w:line="276" w:lineRule="auto"/>
              <w:rPr>
                <w:rFonts w:ascii="Aptos" w:hAnsi="Aptos"/>
                <w:color w:val="000000"/>
                <w:sz w:val="20"/>
                <w:szCs w:val="20"/>
                <w:lang w:val="fr-FR"/>
              </w:rPr>
            </w:pPr>
            <w:r w:rsidRPr="00200963">
              <w:rPr>
                <w:rFonts w:ascii="Aptos" w:hAnsi="Aptos"/>
                <w:color w:val="000000"/>
                <w:sz w:val="20"/>
                <w:szCs w:val="20"/>
                <w:lang w:val="fr-FR"/>
              </w:rPr>
              <w:t xml:space="preserve">L'augmentation de la consommation de matières premières, de la production de déchets et les pressions persistantes liées à la pollution constituent des menaces croissantes pour la biodiversité terrestre, d'eau douce et marine dans toute l'Australie. Afin d'y remédier, l'Australie a progressivement mis en place une politique nationale intégrée en matière d'économie circulaire ainsi qu'un cadre réglementaire qui relie la réduction des déchets, la valorisation des ressources, la gestion responsable des produits, la gestion des produits chimiques industriels, la production et la consommation durables, ainsi que l'établissement de rapports relatifs à l'économie circulaire. À partir de la mise en œuvre de la loi de 2020 sur le recyclage et la réduction des déchets (Recycling and Waste Reduction Act 2020), l’Australie a progressivement renforcé son cadre réglementaire, ses investissements, ses mécanismes nationaux d’établissement de rapports et la collaboration </w:t>
            </w:r>
            <w:r w:rsidR="0012744E">
              <w:rPr>
                <w:rFonts w:ascii="Aptos" w:hAnsi="Aptos"/>
                <w:color w:val="000000"/>
                <w:sz w:val="20"/>
                <w:szCs w:val="20"/>
                <w:lang w:val="fr-FR"/>
              </w:rPr>
              <w:t>entre les juridictions</w:t>
            </w:r>
            <w:r w:rsidRPr="00200963">
              <w:rPr>
                <w:rFonts w:ascii="Aptos" w:hAnsi="Aptos"/>
                <w:color w:val="000000"/>
                <w:sz w:val="20"/>
                <w:szCs w:val="20"/>
                <w:lang w:val="fr-FR"/>
              </w:rPr>
              <w:t xml:space="preserve"> afin d’atténuer l</w:t>
            </w:r>
            <w:r w:rsidR="00AB5CE6">
              <w:rPr>
                <w:rFonts w:ascii="Aptos" w:hAnsi="Aptos"/>
                <w:color w:val="000000"/>
                <w:sz w:val="20"/>
                <w:szCs w:val="20"/>
                <w:lang w:val="fr-FR"/>
              </w:rPr>
              <w:t xml:space="preserve">es </w:t>
            </w:r>
            <w:r w:rsidRPr="00200963">
              <w:rPr>
                <w:rFonts w:ascii="Aptos" w:hAnsi="Aptos"/>
                <w:color w:val="000000"/>
                <w:sz w:val="20"/>
                <w:szCs w:val="20"/>
                <w:lang w:val="fr-FR"/>
              </w:rPr>
              <w:t>impact</w:t>
            </w:r>
            <w:r w:rsidR="00AB5CE6">
              <w:rPr>
                <w:rFonts w:ascii="Aptos" w:hAnsi="Aptos"/>
                <w:color w:val="000000"/>
                <w:sz w:val="20"/>
                <w:szCs w:val="20"/>
                <w:lang w:val="fr-FR"/>
              </w:rPr>
              <w:t>s</w:t>
            </w:r>
            <w:r w:rsidRPr="00200963">
              <w:rPr>
                <w:rFonts w:ascii="Aptos" w:hAnsi="Aptos"/>
                <w:color w:val="000000"/>
                <w:sz w:val="20"/>
                <w:szCs w:val="20"/>
                <w:lang w:val="fr-FR"/>
              </w:rPr>
              <w:t xml:space="preserve"> de la pollution sur la biodiversité tout en améliorant l’efficacité de</w:t>
            </w:r>
            <w:r w:rsidR="00FF6761">
              <w:rPr>
                <w:rFonts w:ascii="Aptos" w:hAnsi="Aptos"/>
                <w:color w:val="000000"/>
                <w:sz w:val="20"/>
                <w:szCs w:val="20"/>
                <w:lang w:val="fr-FR"/>
              </w:rPr>
              <w:t xml:space="preserve"> l’utilisation des</w:t>
            </w:r>
            <w:r w:rsidRPr="00200963">
              <w:rPr>
                <w:rFonts w:ascii="Aptos" w:hAnsi="Aptos"/>
                <w:color w:val="000000"/>
                <w:sz w:val="20"/>
                <w:szCs w:val="20"/>
                <w:lang w:val="fr-FR"/>
              </w:rPr>
              <w:t xml:space="preserve"> ressources.</w:t>
            </w:r>
          </w:p>
          <w:p w14:paraId="4FBBC55D" w14:textId="77777777" w:rsidR="00200963" w:rsidRPr="00200963" w:rsidRDefault="00200963" w:rsidP="00200963">
            <w:pPr>
              <w:spacing w:line="276" w:lineRule="auto"/>
              <w:rPr>
                <w:rFonts w:ascii="Aptos" w:hAnsi="Aptos"/>
                <w:color w:val="000000"/>
                <w:sz w:val="20"/>
                <w:szCs w:val="20"/>
                <w:lang w:val="fr-FR"/>
              </w:rPr>
            </w:pPr>
            <w:r w:rsidRPr="00200963">
              <w:rPr>
                <w:rFonts w:ascii="Aptos" w:hAnsi="Aptos"/>
                <w:color w:val="000000"/>
                <w:sz w:val="20"/>
                <w:szCs w:val="20"/>
                <w:lang w:val="fr-FR"/>
              </w:rPr>
              <w:lastRenderedPageBreak/>
              <w:t xml:space="preserve"> </w:t>
            </w:r>
          </w:p>
          <w:p w14:paraId="718F4FD5" w14:textId="49CDC82F" w:rsidR="00200963" w:rsidRDefault="00200963" w:rsidP="00200963">
            <w:pPr>
              <w:spacing w:line="276" w:lineRule="auto"/>
              <w:rPr>
                <w:rFonts w:ascii="Aptos" w:hAnsi="Aptos"/>
                <w:color w:val="000000"/>
                <w:sz w:val="20"/>
                <w:szCs w:val="20"/>
                <w:lang w:val="fr-FR"/>
              </w:rPr>
            </w:pPr>
            <w:r w:rsidRPr="00200963">
              <w:rPr>
                <w:rFonts w:ascii="Aptos" w:hAnsi="Aptos"/>
                <w:color w:val="000000"/>
                <w:sz w:val="20"/>
                <w:szCs w:val="20"/>
                <w:lang w:val="fr-FR"/>
              </w:rPr>
              <w:t>Le rapport national soumis à la Convention par l’Australie définit une cible nationale visant à accroître le taux de circularité du pays et à atténuer la pollution ainsi que ses impacts sur la biodiversité d’ici à 2030. La publication du cadre national pour l'économie circulaire en décembre 2024 a constitué une étape clé, en établissant l'ambition nationale de doubler la circularité économique en Australie d'ici 2035, avec des cibles visant à valoriser de manière sûre 80</w:t>
            </w:r>
            <w:r w:rsidR="002878D7">
              <w:rPr>
                <w:rFonts w:ascii="Aptos" w:hAnsi="Aptos"/>
                <w:color w:val="000000"/>
                <w:sz w:val="20"/>
                <w:szCs w:val="20"/>
                <w:lang w:val="fr-FR"/>
              </w:rPr>
              <w:t> %</w:t>
            </w:r>
            <w:r w:rsidRPr="00200963">
              <w:rPr>
                <w:rFonts w:ascii="Aptos" w:hAnsi="Aptos"/>
                <w:color w:val="000000"/>
                <w:sz w:val="20"/>
                <w:szCs w:val="20"/>
                <w:lang w:val="fr-FR"/>
              </w:rPr>
              <w:t xml:space="preserve"> des ressources, à améliorer la productivité des matériaux de 30</w:t>
            </w:r>
            <w:r w:rsidR="002878D7">
              <w:rPr>
                <w:rFonts w:ascii="Aptos" w:hAnsi="Aptos"/>
                <w:color w:val="000000"/>
                <w:sz w:val="20"/>
                <w:szCs w:val="20"/>
                <w:lang w:val="fr-FR"/>
              </w:rPr>
              <w:t> %</w:t>
            </w:r>
            <w:r w:rsidRPr="00200963">
              <w:rPr>
                <w:rFonts w:ascii="Aptos" w:hAnsi="Aptos"/>
                <w:color w:val="000000"/>
                <w:sz w:val="20"/>
                <w:szCs w:val="20"/>
                <w:lang w:val="fr-FR"/>
              </w:rPr>
              <w:t xml:space="preserve"> et à atténuer l'empreinte matérielle par habitant de 10</w:t>
            </w:r>
            <w:r w:rsidR="002878D7">
              <w:rPr>
                <w:rFonts w:ascii="Aptos" w:hAnsi="Aptos"/>
                <w:color w:val="000000"/>
                <w:sz w:val="20"/>
                <w:szCs w:val="20"/>
                <w:lang w:val="fr-FR"/>
              </w:rPr>
              <w:t> %</w:t>
            </w:r>
            <w:r w:rsidRPr="00200963">
              <w:rPr>
                <w:rFonts w:ascii="Aptos" w:hAnsi="Aptos"/>
                <w:color w:val="000000"/>
                <w:sz w:val="20"/>
                <w:szCs w:val="20"/>
                <w:lang w:val="fr-FR"/>
              </w:rPr>
              <w:t xml:space="preserve">. Ce cadre s’appuie sur des réformes antérieures, notamment les interdictions d’exportation des déchets, les programmes de gestion responsable des produits, les réformes en matière d’emballage, les mesures relevant de la politique nationale en matière de déchets et le renforcement de la gestion environnementale des produits chimiques industriels. </w:t>
            </w:r>
          </w:p>
          <w:p w14:paraId="2FA53D6B" w14:textId="77777777" w:rsidR="00200963" w:rsidRPr="00200963" w:rsidRDefault="00200963" w:rsidP="00200963">
            <w:pPr>
              <w:spacing w:line="276" w:lineRule="auto"/>
              <w:rPr>
                <w:rFonts w:ascii="Aptos" w:hAnsi="Aptos"/>
                <w:color w:val="000000"/>
                <w:sz w:val="20"/>
                <w:szCs w:val="20"/>
                <w:lang w:val="fr-FR"/>
              </w:rPr>
            </w:pPr>
          </w:p>
          <w:p w14:paraId="21F6906C" w14:textId="77777777" w:rsidR="00200963" w:rsidRPr="00200963" w:rsidRDefault="00200963" w:rsidP="00200963">
            <w:pPr>
              <w:spacing w:line="276" w:lineRule="auto"/>
              <w:rPr>
                <w:rFonts w:ascii="Aptos" w:hAnsi="Aptos"/>
                <w:color w:val="000000"/>
                <w:sz w:val="20"/>
                <w:szCs w:val="20"/>
                <w:lang w:val="fr-FR"/>
              </w:rPr>
            </w:pPr>
            <w:r w:rsidRPr="00200963">
              <w:rPr>
                <w:rFonts w:ascii="Aptos" w:hAnsi="Aptos"/>
                <w:color w:val="000000"/>
                <w:sz w:val="20"/>
                <w:szCs w:val="20"/>
                <w:lang w:val="fr-FR"/>
              </w:rPr>
              <w:t xml:space="preserve">L’une des caractéristiques notables de l’approche du pays a été l’évolution des systèmes nationaux de données, de mesure et d’établissement de rapports. L’Australie a collaboré avec l’Organisation de la recherche scientifique et industrielle du Commonwealth (CSIRO), les gouvernements des États et des territoires, le secteur privé et les chercheurs afin d’élaborer des indicateurs sur la circularité de l'économie, des statistiques sur les flux de matières et des processus d'établissement de rapports sur la valorisation des ressources qui soient cohérents à l’échelle nationale. Ces systèmes de données fournissent désormais l’appui nécessaire à la mesure de la circularité, de la productivité des matériaux, de l’empreinte matérielle et des résultats en matière de valorisation des ressources. </w:t>
            </w:r>
          </w:p>
          <w:p w14:paraId="0B0F4466" w14:textId="77777777" w:rsidR="00200963" w:rsidRPr="00200963" w:rsidRDefault="00200963" w:rsidP="00200963">
            <w:pPr>
              <w:spacing w:line="276" w:lineRule="auto"/>
              <w:rPr>
                <w:rFonts w:ascii="Aptos" w:hAnsi="Aptos"/>
                <w:color w:val="000000"/>
                <w:sz w:val="20"/>
                <w:szCs w:val="20"/>
                <w:lang w:val="fr-FR"/>
              </w:rPr>
            </w:pPr>
            <w:r w:rsidRPr="00200963">
              <w:rPr>
                <w:rFonts w:ascii="Aptos" w:hAnsi="Aptos"/>
                <w:color w:val="000000"/>
                <w:sz w:val="20"/>
                <w:szCs w:val="20"/>
                <w:lang w:val="fr-FR"/>
              </w:rPr>
              <w:t xml:space="preserve"> </w:t>
            </w:r>
          </w:p>
          <w:p w14:paraId="63BFA344" w14:textId="023364DC" w:rsidR="00200963" w:rsidRPr="00200963" w:rsidRDefault="00200963" w:rsidP="00200963">
            <w:pPr>
              <w:spacing w:line="276" w:lineRule="auto"/>
              <w:rPr>
                <w:rFonts w:ascii="Aptos" w:hAnsi="Aptos"/>
                <w:color w:val="000000"/>
                <w:sz w:val="20"/>
                <w:szCs w:val="20"/>
                <w:lang w:val="fr-FR"/>
              </w:rPr>
            </w:pPr>
            <w:r w:rsidRPr="00200963">
              <w:rPr>
                <w:rFonts w:ascii="Aptos" w:hAnsi="Aptos"/>
                <w:color w:val="000000"/>
                <w:sz w:val="20"/>
                <w:szCs w:val="20"/>
                <w:lang w:val="fr-FR"/>
              </w:rPr>
              <w:t>La mise en œuvre a mobilisé une large coalition regroupant les pouvoirs publics, les instituts de recherche, les entreprises, les investisseurs et les collectivités. Parmi les initiatives clés figurent</w:t>
            </w:r>
            <w:r w:rsidR="00E34DC9">
              <w:rPr>
                <w:rFonts w:ascii="Aptos" w:hAnsi="Aptos"/>
                <w:color w:val="000000"/>
                <w:sz w:val="20"/>
                <w:szCs w:val="20"/>
                <w:lang w:val="fr-FR"/>
              </w:rPr>
              <w:t> :</w:t>
            </w:r>
            <w:r w:rsidRPr="00200963">
              <w:rPr>
                <w:rFonts w:ascii="Aptos" w:hAnsi="Aptos"/>
                <w:color w:val="000000"/>
                <w:sz w:val="20"/>
                <w:szCs w:val="20"/>
                <w:lang w:val="fr-FR"/>
              </w:rPr>
              <w:t xml:space="preserve"> l’extension des infrastructures de recyclage et de retraitement grâce au Fonds de modernisation du recyclage et aux investissements connexes</w:t>
            </w:r>
            <w:r w:rsidR="00E34DC9">
              <w:rPr>
                <w:rFonts w:ascii="Aptos" w:hAnsi="Aptos"/>
                <w:color w:val="000000"/>
                <w:sz w:val="20"/>
                <w:szCs w:val="20"/>
                <w:lang w:val="fr-FR"/>
              </w:rPr>
              <w:t> ;</w:t>
            </w:r>
            <w:r w:rsidRPr="00200963">
              <w:rPr>
                <w:rFonts w:ascii="Aptos" w:hAnsi="Aptos"/>
                <w:color w:val="000000"/>
                <w:sz w:val="20"/>
                <w:szCs w:val="20"/>
                <w:lang w:val="fr-FR"/>
              </w:rPr>
              <w:t xml:space="preserve"> la couverture nationale des systèmes de consigne des emballages</w:t>
            </w:r>
            <w:r w:rsidR="00E34DC9">
              <w:rPr>
                <w:rFonts w:ascii="Aptos" w:hAnsi="Aptos"/>
                <w:color w:val="000000"/>
                <w:sz w:val="20"/>
                <w:szCs w:val="20"/>
                <w:lang w:val="fr-FR"/>
              </w:rPr>
              <w:t> ;</w:t>
            </w:r>
            <w:r w:rsidRPr="00200963">
              <w:rPr>
                <w:rFonts w:ascii="Aptos" w:hAnsi="Aptos"/>
                <w:color w:val="000000"/>
                <w:sz w:val="20"/>
                <w:szCs w:val="20"/>
                <w:lang w:val="fr-FR"/>
              </w:rPr>
              <w:t xml:space="preserve"> les mesures d’élimination progressive des plastiques problématiques et inutiles</w:t>
            </w:r>
            <w:r w:rsidR="00E34DC9">
              <w:rPr>
                <w:rFonts w:ascii="Aptos" w:hAnsi="Aptos"/>
                <w:color w:val="000000"/>
                <w:sz w:val="20"/>
                <w:szCs w:val="20"/>
                <w:lang w:val="fr-FR"/>
              </w:rPr>
              <w:t> ;</w:t>
            </w:r>
            <w:r w:rsidRPr="00200963">
              <w:rPr>
                <w:rFonts w:ascii="Aptos" w:hAnsi="Aptos"/>
                <w:color w:val="000000"/>
                <w:sz w:val="20"/>
                <w:szCs w:val="20"/>
                <w:lang w:val="fr-FR"/>
              </w:rPr>
              <w:t xml:space="preserve"> les accords de gestion responsable des produits</w:t>
            </w:r>
            <w:r w:rsidR="00E34DC9">
              <w:rPr>
                <w:rFonts w:ascii="Aptos" w:hAnsi="Aptos"/>
                <w:color w:val="000000"/>
                <w:sz w:val="20"/>
                <w:szCs w:val="20"/>
                <w:lang w:val="fr-FR"/>
              </w:rPr>
              <w:t> ;</w:t>
            </w:r>
            <w:r w:rsidRPr="00200963">
              <w:rPr>
                <w:rFonts w:ascii="Aptos" w:hAnsi="Aptos"/>
                <w:color w:val="000000"/>
                <w:sz w:val="20"/>
                <w:szCs w:val="20"/>
                <w:lang w:val="fr-FR"/>
              </w:rPr>
              <w:t xml:space="preserve"> les réformes en matière de conception et de recyclabilité des emballages</w:t>
            </w:r>
            <w:r w:rsidR="00E34DC9">
              <w:rPr>
                <w:rFonts w:ascii="Aptos" w:hAnsi="Aptos"/>
                <w:color w:val="000000"/>
                <w:sz w:val="20"/>
                <w:szCs w:val="20"/>
                <w:lang w:val="fr-FR"/>
              </w:rPr>
              <w:t> ;</w:t>
            </w:r>
            <w:r w:rsidRPr="00200963">
              <w:rPr>
                <w:rFonts w:ascii="Aptos" w:hAnsi="Aptos"/>
                <w:color w:val="000000"/>
                <w:sz w:val="20"/>
                <w:szCs w:val="20"/>
                <w:lang w:val="fr-FR"/>
              </w:rPr>
              <w:t xml:space="preserve"> la réglementation des exportations de déchets</w:t>
            </w:r>
            <w:r w:rsidR="00E34DC9">
              <w:rPr>
                <w:rFonts w:ascii="Aptos" w:hAnsi="Aptos"/>
                <w:color w:val="000000"/>
                <w:sz w:val="20"/>
                <w:szCs w:val="20"/>
                <w:lang w:val="fr-FR"/>
              </w:rPr>
              <w:t> ;</w:t>
            </w:r>
            <w:r w:rsidRPr="00200963">
              <w:rPr>
                <w:rFonts w:ascii="Aptos" w:hAnsi="Aptos"/>
                <w:color w:val="000000"/>
                <w:sz w:val="20"/>
                <w:szCs w:val="20"/>
                <w:lang w:val="fr-FR"/>
              </w:rPr>
              <w:t xml:space="preserve"> et la mise en œuvre de la Norme de gestion environnementale des produits chimiques industriels, qui prévoit des contrôles environnementaux cohérents à l’échelle nationale pour les produits chimiques industriels à haut risque.</w:t>
            </w:r>
          </w:p>
          <w:p w14:paraId="49E759F8" w14:textId="77777777" w:rsidR="00200963" w:rsidRPr="00200963" w:rsidRDefault="00200963" w:rsidP="00200963">
            <w:pPr>
              <w:spacing w:line="276" w:lineRule="auto"/>
              <w:rPr>
                <w:rFonts w:ascii="Aptos" w:hAnsi="Aptos"/>
                <w:color w:val="000000"/>
                <w:sz w:val="20"/>
                <w:szCs w:val="20"/>
                <w:lang w:val="fr-FR"/>
              </w:rPr>
            </w:pPr>
            <w:r w:rsidRPr="00200963">
              <w:rPr>
                <w:rFonts w:ascii="Aptos" w:hAnsi="Aptos"/>
                <w:color w:val="000000"/>
                <w:sz w:val="20"/>
                <w:szCs w:val="20"/>
                <w:lang w:val="fr-FR"/>
              </w:rPr>
              <w:t xml:space="preserve">  </w:t>
            </w:r>
          </w:p>
          <w:p w14:paraId="04C64342" w14:textId="5ED2CC0C" w:rsidR="000C756A" w:rsidRPr="00653BF4" w:rsidRDefault="00200963" w:rsidP="00200963">
            <w:pPr>
              <w:spacing w:line="276" w:lineRule="auto"/>
              <w:rPr>
                <w:rFonts w:ascii="Aptos" w:hAnsi="Aptos"/>
                <w:color w:val="000000"/>
                <w:lang w:val="fr-FR"/>
              </w:rPr>
            </w:pPr>
            <w:r w:rsidRPr="00200963">
              <w:rPr>
                <w:rFonts w:ascii="Aptos" w:hAnsi="Aptos"/>
                <w:color w:val="000000"/>
                <w:sz w:val="20"/>
                <w:szCs w:val="20"/>
                <w:lang w:val="fr-FR"/>
              </w:rPr>
              <w:t>L’approche adoptée par l’Australie a produit des résultats mesurables sur le plan environnemental. Le suivi à long terme mené par l’Organisation de recherche scientifique et industrielle du Commonwealth a enregistré une réduction de 39</w:t>
            </w:r>
            <w:r w:rsidR="002878D7">
              <w:rPr>
                <w:rFonts w:ascii="Aptos" w:hAnsi="Aptos"/>
                <w:color w:val="000000"/>
                <w:sz w:val="20"/>
                <w:szCs w:val="20"/>
                <w:lang w:val="fr-FR"/>
              </w:rPr>
              <w:t> %</w:t>
            </w:r>
            <w:r w:rsidRPr="00200963">
              <w:rPr>
                <w:rFonts w:ascii="Aptos" w:hAnsi="Aptos"/>
                <w:color w:val="000000"/>
                <w:sz w:val="20"/>
                <w:szCs w:val="20"/>
                <w:lang w:val="fr-FR"/>
              </w:rPr>
              <w:t xml:space="preserve"> de la densité des déchets plastiques côtiers dans l’ensemble des régions métropolitaines étudiées entre 2013 et 2023. Le taux national de valorisation des ressources est passé de 62,7</w:t>
            </w:r>
            <w:r w:rsidR="002878D7">
              <w:rPr>
                <w:rFonts w:ascii="Aptos" w:hAnsi="Aptos"/>
                <w:color w:val="000000"/>
                <w:sz w:val="20"/>
                <w:szCs w:val="20"/>
                <w:lang w:val="fr-FR"/>
              </w:rPr>
              <w:t> %</w:t>
            </w:r>
            <w:r w:rsidRPr="00200963">
              <w:rPr>
                <w:rFonts w:ascii="Aptos" w:hAnsi="Aptos"/>
                <w:color w:val="000000"/>
                <w:sz w:val="20"/>
                <w:szCs w:val="20"/>
                <w:lang w:val="fr-FR"/>
              </w:rPr>
              <w:t xml:space="preserve"> en 2019/20 à 66,0</w:t>
            </w:r>
            <w:r w:rsidR="002878D7">
              <w:rPr>
                <w:rFonts w:ascii="Aptos" w:hAnsi="Aptos"/>
                <w:color w:val="000000"/>
                <w:sz w:val="20"/>
                <w:szCs w:val="20"/>
                <w:lang w:val="fr-FR"/>
              </w:rPr>
              <w:t> %</w:t>
            </w:r>
            <w:r w:rsidRPr="00200963">
              <w:rPr>
                <w:rFonts w:ascii="Aptos" w:hAnsi="Aptos"/>
                <w:color w:val="000000"/>
                <w:sz w:val="20"/>
                <w:szCs w:val="20"/>
                <w:lang w:val="fr-FR"/>
              </w:rPr>
              <w:t xml:space="preserve"> en 2022/23, tandis que les capacités nationales de recyclage et de retraitement se sont accrues à la suite de la mise en œuvre des interdictions d’exportation des déchets et des investissements dans les infrastructures associées. Les indicateurs nationaux relatifs à l’économie circulaire montrent également des améliorations progressives du taux de circularité et de la productivité des matériaux, ainsi qu’une diminution progressive de l’empreinte matérielle par habitant à long terme.</w:t>
            </w:r>
            <w:r w:rsidR="00FD5CC9" w:rsidRPr="00653BF4">
              <w:rPr>
                <w:rFonts w:ascii="Aptos" w:hAnsi="Aptos"/>
                <w:color w:val="000000"/>
                <w:lang w:val="fr-FR"/>
              </w:rPr>
              <w:t> </w:t>
            </w:r>
          </w:p>
          <w:p w14:paraId="4502CA33" w14:textId="5FAA0ECE" w:rsidR="00A530AE" w:rsidRPr="00653BF4" w:rsidRDefault="00FD5CC9" w:rsidP="00846BBA">
            <w:pPr>
              <w:spacing w:line="276" w:lineRule="auto"/>
              <w:rPr>
                <w:rFonts w:ascii="Aptos" w:hAnsi="Aptos"/>
                <w:color w:val="000000"/>
                <w:sz w:val="20"/>
                <w:szCs w:val="20"/>
                <w:lang w:val="fr-FR"/>
              </w:rPr>
            </w:pPr>
            <w:r w:rsidRPr="00653BF4">
              <w:rPr>
                <w:rFonts w:ascii="Aptos" w:hAnsi="Aptos"/>
                <w:color w:val="000000"/>
                <w:lang w:val="fr-FR"/>
              </w:rPr>
              <w:br/>
            </w:r>
            <w:r w:rsidR="00904C13" w:rsidRPr="00653BF4">
              <w:rPr>
                <w:rFonts w:ascii="Aptos" w:eastAsia="Aptos" w:hAnsi="Aptos" w:cs="Aptos"/>
                <w:i/>
                <w:iCs/>
                <w:color w:val="000000" w:themeColor="text1"/>
                <w:sz w:val="20"/>
                <w:szCs w:val="20"/>
                <w:lang w:val="fr-FR" w:eastAsia="zh-CN"/>
              </w:rPr>
              <w:t>C</w:t>
            </w:r>
            <w:r w:rsidR="001345EC" w:rsidRPr="00653BF4">
              <w:rPr>
                <w:rFonts w:ascii="Aptos" w:eastAsia="Aptos" w:hAnsi="Aptos" w:cs="Aptos"/>
                <w:i/>
                <w:iCs/>
                <w:color w:val="000000" w:themeColor="text1"/>
                <w:sz w:val="20"/>
                <w:szCs w:val="20"/>
                <w:lang w:val="fr-FR" w:eastAsia="zh-CN"/>
              </w:rPr>
              <w:t>ibles concernées</w:t>
            </w:r>
            <w:r w:rsidR="00E34DC9">
              <w:rPr>
                <w:rFonts w:ascii="Aptos" w:eastAsia="Aptos" w:hAnsi="Aptos" w:cs="Aptos"/>
                <w:i/>
                <w:iCs/>
                <w:color w:val="000000" w:themeColor="text1"/>
                <w:sz w:val="20"/>
                <w:szCs w:val="20"/>
                <w:lang w:val="fr-FR" w:eastAsia="zh-CN"/>
              </w:rPr>
              <w:t> :</w:t>
            </w:r>
            <w:r w:rsidR="00A530AE" w:rsidRPr="00653BF4">
              <w:rPr>
                <w:rFonts w:ascii="Aptos" w:eastAsia="Aptos" w:hAnsi="Aptos" w:cs="Aptos"/>
                <w:i/>
                <w:iCs/>
                <w:color w:val="000000" w:themeColor="text1"/>
                <w:sz w:val="20"/>
                <w:szCs w:val="20"/>
                <w:lang w:val="fr-FR" w:eastAsia="zh-CN"/>
              </w:rPr>
              <w:t xml:space="preserve"> </w:t>
            </w:r>
            <w:r w:rsidR="00A530AE" w:rsidRPr="00653BF4">
              <w:rPr>
                <w:rFonts w:ascii="Aptos" w:eastAsia="Aptos" w:hAnsi="Aptos" w:cs="Aptos"/>
                <w:color w:val="000000" w:themeColor="text1"/>
                <w:sz w:val="20"/>
                <w:szCs w:val="20"/>
                <w:lang w:val="fr-FR" w:eastAsia="zh-CN"/>
              </w:rPr>
              <w:t>7, 11, 16</w:t>
            </w:r>
            <w:r w:rsidR="000C756A" w:rsidRPr="00653BF4">
              <w:rPr>
                <w:rFonts w:ascii="Aptos" w:eastAsia="Aptos" w:hAnsi="Aptos" w:cs="Aptos"/>
                <w:color w:val="000000" w:themeColor="text1"/>
                <w:sz w:val="20"/>
                <w:szCs w:val="20"/>
                <w:lang w:val="fr-FR" w:eastAsia="zh-CN"/>
              </w:rPr>
              <w:t xml:space="preserve"> </w:t>
            </w:r>
            <w:r w:rsidR="00795E45">
              <w:rPr>
                <w:rFonts w:ascii="Aptos" w:eastAsia="Aptos" w:hAnsi="Aptos" w:cs="Aptos"/>
                <w:color w:val="000000" w:themeColor="text1"/>
                <w:sz w:val="20"/>
                <w:szCs w:val="20"/>
                <w:lang w:val="fr-FR" w:eastAsia="zh-CN"/>
              </w:rPr>
              <w:t>et</w:t>
            </w:r>
            <w:r w:rsidR="00A530AE" w:rsidRPr="00653BF4">
              <w:rPr>
                <w:rFonts w:ascii="Aptos" w:eastAsia="Aptos" w:hAnsi="Aptos" w:cs="Aptos"/>
                <w:color w:val="000000" w:themeColor="text1"/>
                <w:sz w:val="20"/>
                <w:szCs w:val="20"/>
                <w:lang w:val="fr-FR" w:eastAsia="zh-CN"/>
              </w:rPr>
              <w:t xml:space="preserve"> 21</w:t>
            </w:r>
            <w:r w:rsidR="009705C3" w:rsidRPr="00653BF4">
              <w:rPr>
                <w:rFonts w:ascii="Aptos" w:eastAsia="Aptos" w:hAnsi="Aptos" w:cs="Aptos"/>
                <w:color w:val="000000" w:themeColor="text1"/>
                <w:sz w:val="20"/>
                <w:szCs w:val="20"/>
                <w:lang w:val="fr-FR" w:eastAsia="zh-CN"/>
              </w:rPr>
              <w:t>.</w:t>
            </w:r>
          </w:p>
          <w:p w14:paraId="6FAF4404" w14:textId="0AB86CEC" w:rsidR="00931BC4" w:rsidRPr="00653BF4" w:rsidRDefault="008147C9" w:rsidP="00A530AE">
            <w:pPr>
              <w:spacing w:line="276" w:lineRule="auto"/>
              <w:rPr>
                <w:rFonts w:ascii="Aptos" w:eastAsia="Aptos" w:hAnsi="Aptos" w:cs="Aptos"/>
                <w:i/>
                <w:iCs/>
                <w:color w:val="000000" w:themeColor="text1"/>
                <w:sz w:val="20"/>
                <w:szCs w:val="20"/>
                <w:lang w:val="fr-FR" w:eastAsia="zh-CN"/>
              </w:rPr>
            </w:pPr>
            <w:r w:rsidRPr="00653BF4">
              <w:rPr>
                <w:rFonts w:ascii="Aptos" w:eastAsia="Aptos" w:hAnsi="Aptos" w:cs="Aptos"/>
                <w:i/>
                <w:iCs/>
                <w:color w:val="000000" w:themeColor="text1"/>
                <w:sz w:val="20"/>
                <w:szCs w:val="20"/>
                <w:lang w:val="fr-FR" w:eastAsia="zh-CN"/>
              </w:rPr>
              <w:t>Sources</w:t>
            </w:r>
            <w:r w:rsidR="00E34DC9">
              <w:rPr>
                <w:rFonts w:ascii="Aptos" w:eastAsia="Aptos" w:hAnsi="Aptos" w:cs="Aptos"/>
                <w:i/>
                <w:iCs/>
                <w:color w:val="000000" w:themeColor="text1"/>
                <w:sz w:val="20"/>
                <w:szCs w:val="20"/>
                <w:lang w:val="fr-FR" w:eastAsia="zh-CN"/>
              </w:rPr>
              <w:t> :</w:t>
            </w:r>
            <w:r w:rsidR="00795E45">
              <w:rPr>
                <w:rFonts w:ascii="Aptos" w:eastAsia="Aptos" w:hAnsi="Aptos" w:cs="Aptos"/>
                <w:i/>
                <w:iCs/>
                <w:color w:val="000000" w:themeColor="text1"/>
                <w:sz w:val="20"/>
                <w:szCs w:val="20"/>
                <w:lang w:val="fr-FR" w:eastAsia="zh-CN"/>
              </w:rPr>
              <w:t xml:space="preserve"> </w:t>
            </w:r>
            <w:r w:rsidR="00795E45" w:rsidRPr="00795E45">
              <w:rPr>
                <w:rFonts w:ascii="Aptos" w:eastAsia="Aptos" w:hAnsi="Aptos" w:cs="Aptos"/>
                <w:color w:val="000000" w:themeColor="text1"/>
                <w:sz w:val="20"/>
                <w:szCs w:val="20"/>
                <w:lang w:val="fr-FR" w:eastAsia="zh-CN"/>
              </w:rPr>
              <w:t>Australie, septième rapport national au titre de la Convention</w:t>
            </w:r>
            <w:r w:rsidR="00E34DC9">
              <w:rPr>
                <w:rFonts w:ascii="Aptos" w:eastAsia="Aptos" w:hAnsi="Aptos" w:cs="Aptos"/>
                <w:color w:val="000000" w:themeColor="text1"/>
                <w:sz w:val="20"/>
                <w:szCs w:val="20"/>
                <w:lang w:val="fr-FR" w:eastAsia="zh-CN"/>
              </w:rPr>
              <w:t> ;</w:t>
            </w:r>
            <w:r w:rsidR="00795E45" w:rsidRPr="00795E45">
              <w:rPr>
                <w:rFonts w:ascii="Aptos" w:eastAsia="Aptos" w:hAnsi="Aptos" w:cs="Aptos"/>
                <w:color w:val="000000" w:themeColor="text1"/>
                <w:sz w:val="20"/>
                <w:szCs w:val="20"/>
                <w:lang w:val="fr-FR" w:eastAsia="zh-CN"/>
              </w:rPr>
              <w:t xml:space="preserve"> et DCCEEW</w:t>
            </w:r>
            <w:r w:rsidR="00522820" w:rsidRPr="00653BF4">
              <w:rPr>
                <w:noProof/>
                <w:sz w:val="20"/>
                <w:szCs w:val="20"/>
                <w:lang w:val="fr-FR" w:eastAsia="ja-JP"/>
              </w:rPr>
              <w:t>, 2024</w:t>
            </w:r>
            <w:r w:rsidR="009705C3" w:rsidRPr="00653BF4">
              <w:rPr>
                <w:sz w:val="20"/>
                <w:szCs w:val="20"/>
                <w:lang w:val="fr-FR" w:eastAsia="ja-JP"/>
              </w:rPr>
              <w:t>.</w:t>
            </w:r>
          </w:p>
          <w:p w14:paraId="463FFB2D" w14:textId="77777777" w:rsidR="00100470" w:rsidRPr="00653BF4" w:rsidRDefault="00100470" w:rsidP="00353033">
            <w:pPr>
              <w:rPr>
                <w:i/>
                <w:iCs/>
                <w:lang w:val="fr-FR" w:eastAsia="ja-JP"/>
              </w:rPr>
            </w:pPr>
          </w:p>
          <w:p w14:paraId="71660E3A" w14:textId="0F3C1B74" w:rsidR="00027E58" w:rsidRPr="00653BF4" w:rsidRDefault="00027E58" w:rsidP="00980EC3">
            <w:pPr>
              <w:rPr>
                <w:lang w:val="fr-FR" w:eastAsia="ja-JP"/>
              </w:rPr>
            </w:pPr>
          </w:p>
        </w:tc>
      </w:tr>
    </w:tbl>
    <w:p w14:paraId="26DF2999" w14:textId="77777777" w:rsidR="001802DE" w:rsidRPr="00653BF4" w:rsidRDefault="001802DE" w:rsidP="00B8722B">
      <w:pPr>
        <w:rPr>
          <w:lang w:val="fr-FR" w:eastAsia="ja-JP"/>
        </w:rPr>
      </w:pPr>
    </w:p>
    <w:p w14:paraId="70FC855B" w14:textId="554C0536" w:rsidR="005A4634" w:rsidRPr="00653BF4" w:rsidRDefault="005A4634" w:rsidP="005A4634">
      <w:pPr>
        <w:pStyle w:val="Caption"/>
        <w:keepNext/>
        <w:rPr>
          <w:lang w:val="fr-FR"/>
        </w:rPr>
      </w:pPr>
    </w:p>
    <w:tbl>
      <w:tblPr>
        <w:tblStyle w:val="TableGrid"/>
        <w:tblW w:w="0" w:type="auto"/>
        <w:tblLook w:val="04A0" w:firstRow="1" w:lastRow="0" w:firstColumn="1" w:lastColumn="0" w:noHBand="0" w:noVBand="1"/>
      </w:tblPr>
      <w:tblGrid>
        <w:gridCol w:w="9350"/>
      </w:tblGrid>
      <w:tr w:rsidR="00977BD2" w:rsidRPr="00543148" w14:paraId="7388DF61" w14:textId="77777777" w:rsidTr="00977BD2">
        <w:tc>
          <w:tcPr>
            <w:tcW w:w="12950" w:type="dxa"/>
            <w:shd w:val="clear" w:color="auto" w:fill="D1D1D1" w:themeFill="background2" w:themeFillShade="E6"/>
          </w:tcPr>
          <w:p w14:paraId="6D9042DC" w14:textId="529AD336" w:rsidR="00AC3E30" w:rsidRPr="00653BF4" w:rsidRDefault="0024766A" w:rsidP="00AC3E30">
            <w:pPr>
              <w:spacing w:before="100" w:beforeAutospacing="1" w:after="100" w:afterAutospacing="1"/>
              <w:rPr>
                <w:noProof/>
                <w:sz w:val="20"/>
                <w:szCs w:val="20"/>
                <w:lang w:val="fr-FR"/>
              </w:rPr>
            </w:pPr>
            <w:r w:rsidRPr="00653BF4">
              <w:rPr>
                <w:sz w:val="20"/>
                <w:szCs w:val="20"/>
                <w:lang w:val="fr-FR"/>
              </w:rPr>
              <w:t>Encadré</w:t>
            </w:r>
            <w:r w:rsidR="00AC3E30" w:rsidRPr="00653BF4">
              <w:rPr>
                <w:sz w:val="20"/>
                <w:szCs w:val="20"/>
                <w:lang w:val="fr-FR"/>
              </w:rPr>
              <w:t xml:space="preserve"> </w:t>
            </w:r>
            <w:r w:rsidR="008306DF" w:rsidRPr="00653BF4">
              <w:rPr>
                <w:noProof/>
                <w:sz w:val="20"/>
                <w:szCs w:val="20"/>
                <w:lang w:val="fr-FR"/>
              </w:rPr>
              <w:t>26</w:t>
            </w:r>
          </w:p>
          <w:p w14:paraId="7662B315" w14:textId="1296FB4C" w:rsidR="00AC3E30" w:rsidRPr="00653BF4" w:rsidRDefault="00200963" w:rsidP="00AC3E30">
            <w:pPr>
              <w:spacing w:before="100" w:beforeAutospacing="1" w:after="100" w:afterAutospacing="1"/>
              <w:rPr>
                <w:sz w:val="20"/>
                <w:szCs w:val="20"/>
                <w:lang w:val="fr-FR"/>
              </w:rPr>
            </w:pPr>
            <w:r w:rsidRPr="00200963">
              <w:rPr>
                <w:b/>
                <w:bCs/>
                <w:sz w:val="20"/>
                <w:szCs w:val="20"/>
                <w:lang w:val="fr-FR"/>
              </w:rPr>
              <w:t xml:space="preserve">Progrès </w:t>
            </w:r>
            <w:r>
              <w:rPr>
                <w:b/>
                <w:bCs/>
                <w:sz w:val="20"/>
                <w:szCs w:val="20"/>
                <w:lang w:val="fr-FR"/>
              </w:rPr>
              <w:t>accomplis</w:t>
            </w:r>
            <w:r w:rsidRPr="00200963">
              <w:rPr>
                <w:b/>
                <w:bCs/>
                <w:sz w:val="20"/>
                <w:szCs w:val="20"/>
                <w:lang w:val="fr-FR"/>
              </w:rPr>
              <w:t xml:space="preserve"> par la Jordanie pour réduire l'utilisation du mercure et renforcer le contrôle des importations</w:t>
            </w:r>
          </w:p>
          <w:p w14:paraId="351AA4FB" w14:textId="56F67406" w:rsidR="00CD2B1B" w:rsidRPr="00CD2B1B" w:rsidRDefault="00CD2B1B" w:rsidP="00CD2B1B">
            <w:pPr>
              <w:spacing w:before="100" w:beforeAutospacing="1" w:after="100" w:afterAutospacing="1"/>
              <w:rPr>
                <w:rFonts w:eastAsia="Times New Roman" w:cs="Times New Roman"/>
                <w:sz w:val="20"/>
                <w:szCs w:val="20"/>
                <w:lang w:val="fr-FR"/>
              </w:rPr>
            </w:pPr>
            <w:r w:rsidRPr="00CD2B1B">
              <w:rPr>
                <w:rFonts w:eastAsia="Times New Roman" w:cs="Times New Roman"/>
                <w:sz w:val="20"/>
                <w:szCs w:val="20"/>
                <w:lang w:val="fr-FR"/>
              </w:rPr>
              <w:t xml:space="preserve">La Jordanie a réalisé des progrès significatifs dans la mise en œuvre de mesures visant à atténuer l’utilisation du mercure et des produits contenant du mercure, tout en renforçant le contrôle réglementaire de leur importation, conformément à ses engagements au titre de la Convention de Minamata sur le mercure et de la </w:t>
            </w:r>
            <w:r w:rsidR="00E34DC9">
              <w:rPr>
                <w:rFonts w:eastAsia="Times New Roman" w:cs="Times New Roman"/>
                <w:sz w:val="20"/>
                <w:szCs w:val="20"/>
                <w:lang w:val="fr-FR"/>
              </w:rPr>
              <w:t>cible 7</w:t>
            </w:r>
            <w:r w:rsidRPr="00CD2B1B">
              <w:rPr>
                <w:rFonts w:eastAsia="Times New Roman" w:cs="Times New Roman"/>
                <w:sz w:val="20"/>
                <w:szCs w:val="20"/>
                <w:lang w:val="fr-FR"/>
              </w:rPr>
              <w:t xml:space="preserve"> du Cadre. Dans un premier temps, la Jordanie a achevé un inventaire national du mercure, des composés de mercure et des produits contenant du mercure, ainsi que de leurs sources et utilisations, dans différents secteurs. Sur la base de ces résultats, la Jordanie a élaboré son évaluation initiale en vue de la deuxième réunion de la Conférence des Parties à la Convention de Minamata sur le mercure en 2018, laquelle a servi de fondement au renforcement de son cadre juridique et institutionnel national en matière de gestion du mercure.</w:t>
            </w:r>
          </w:p>
          <w:p w14:paraId="5A380DB8" w14:textId="77777777" w:rsidR="00CD2B1B" w:rsidRPr="00CD2B1B" w:rsidRDefault="00CD2B1B" w:rsidP="00CD2B1B">
            <w:pPr>
              <w:spacing w:before="100" w:beforeAutospacing="1" w:after="100" w:afterAutospacing="1"/>
              <w:rPr>
                <w:rFonts w:eastAsia="Times New Roman" w:cs="Times New Roman"/>
                <w:sz w:val="20"/>
                <w:szCs w:val="20"/>
                <w:lang w:val="fr-FR"/>
              </w:rPr>
            </w:pPr>
            <w:r w:rsidRPr="00CD2B1B">
              <w:rPr>
                <w:rFonts w:eastAsia="Times New Roman" w:cs="Times New Roman"/>
                <w:sz w:val="20"/>
                <w:szCs w:val="20"/>
                <w:lang w:val="fr-FR"/>
              </w:rPr>
              <w:t>À la suite de cette évaluation, la Jordanie a modifié plusieurs réglementations nationales régissant les produits chimiques et les déchets dangereux. Les instructions relatives à la gestion et à la manipulation des déchets dangereux, publiées en 2019, ont classé les déchets contenant du mercure parmi les déchets dangereux, exigeant que leur collecte, leur stockage, leur transport et leur élimination s’effectuent de manière écologiquement rationnelle afin de protéger la santé humaine et la biodiversité. En outre, en vertu du règlement n° 68 de 2020, l’importation de mercure élémentaire et des composés du mercure a été interdite.</w:t>
            </w:r>
          </w:p>
          <w:p w14:paraId="33733232" w14:textId="26719956" w:rsidR="00CD2B1B" w:rsidRPr="00CD2B1B" w:rsidRDefault="00CD2B1B" w:rsidP="00CD2B1B">
            <w:pPr>
              <w:spacing w:before="100" w:beforeAutospacing="1" w:after="100" w:afterAutospacing="1"/>
              <w:rPr>
                <w:rFonts w:eastAsia="Times New Roman" w:cs="Times New Roman"/>
                <w:sz w:val="20"/>
                <w:szCs w:val="20"/>
                <w:lang w:val="fr-FR"/>
              </w:rPr>
            </w:pPr>
            <w:r w:rsidRPr="00CD2B1B">
              <w:rPr>
                <w:rFonts w:eastAsia="Times New Roman" w:cs="Times New Roman"/>
                <w:sz w:val="20"/>
                <w:szCs w:val="20"/>
                <w:lang w:val="fr-FR"/>
              </w:rPr>
              <w:t xml:space="preserve">La Jordanie a également mis en œuvre un projet intitulé </w:t>
            </w:r>
            <w:r w:rsidR="00E34DC9">
              <w:rPr>
                <w:rFonts w:eastAsia="Times New Roman" w:cs="Times New Roman"/>
                <w:sz w:val="20"/>
                <w:szCs w:val="20"/>
                <w:lang w:val="fr-FR"/>
              </w:rPr>
              <w:t>« </w:t>
            </w:r>
            <w:r w:rsidRPr="00CD2B1B">
              <w:rPr>
                <w:rFonts w:eastAsia="Times New Roman" w:cs="Times New Roman"/>
                <w:sz w:val="20"/>
                <w:szCs w:val="20"/>
                <w:lang w:val="fr-FR"/>
              </w:rPr>
              <w:t>Gestion écologiquement rationnelle des déchets contenant du mercure et réduction des produits contenant du mercure en Jordanie</w:t>
            </w:r>
            <w:r w:rsidR="00E34DC9">
              <w:rPr>
                <w:rFonts w:eastAsia="Times New Roman" w:cs="Times New Roman"/>
                <w:sz w:val="20"/>
                <w:szCs w:val="20"/>
                <w:lang w:val="fr-FR"/>
              </w:rPr>
              <w:t> »</w:t>
            </w:r>
            <w:r w:rsidRPr="00CD2B1B">
              <w:rPr>
                <w:rFonts w:eastAsia="Times New Roman" w:cs="Times New Roman"/>
                <w:sz w:val="20"/>
                <w:szCs w:val="20"/>
                <w:lang w:val="fr-FR"/>
              </w:rPr>
              <w:t>, en coopération avec le secrétariat de la Convention de Minamata sur le mercure et le Programme des Nations Unies pour l’environnement (PNUE). Ce projet visait à renforcer les capacités nationales en matière de gestion écologiquement rationnelle des produits et déchets contenant du mercure et à prévenir les rejets de mercure dans l’environnement.</w:t>
            </w:r>
          </w:p>
          <w:p w14:paraId="655986A6" w14:textId="77777777" w:rsidR="00CD2B1B" w:rsidRPr="00CD2B1B" w:rsidRDefault="00CD2B1B" w:rsidP="00CD2B1B">
            <w:pPr>
              <w:spacing w:before="100" w:beforeAutospacing="1" w:after="100" w:afterAutospacing="1"/>
              <w:rPr>
                <w:rFonts w:eastAsia="Times New Roman" w:cs="Times New Roman"/>
                <w:sz w:val="20"/>
                <w:szCs w:val="20"/>
                <w:lang w:val="fr-FR"/>
              </w:rPr>
            </w:pPr>
            <w:r w:rsidRPr="00CD2B1B">
              <w:rPr>
                <w:rFonts w:eastAsia="Times New Roman" w:cs="Times New Roman"/>
                <w:sz w:val="20"/>
                <w:szCs w:val="20"/>
                <w:lang w:val="fr-FR"/>
              </w:rPr>
              <w:t>Sur la base des études analytiques menées dans le cadre de ce projet, la Jordanie a interdit l’importation de plusieurs produits contenant du mercure. Afin d’améliorer la collecte et de prévenir les rejets de mercure dans l’environnement, la Jordanie a mis en place 32 points de collecte pour les déchets ménagers contenant du mercure, notamment les lampes fluorescentes usagées et les déchets électriques et électroniques, répartis dans toutes les provinces. Neuf de ces points de collecte étaient situés dans des parcs publics afin de faciliter l’accès du public et d’encourager les ménages à s’en débarrasser de manière sûre.</w:t>
            </w:r>
          </w:p>
          <w:p w14:paraId="368F6A05" w14:textId="77777777" w:rsidR="00CD2B1B" w:rsidRPr="00CD2B1B" w:rsidRDefault="00CD2B1B" w:rsidP="00CD2B1B">
            <w:pPr>
              <w:spacing w:before="100" w:beforeAutospacing="1" w:after="100" w:afterAutospacing="1"/>
              <w:rPr>
                <w:rFonts w:eastAsia="Times New Roman" w:cs="Times New Roman"/>
                <w:sz w:val="20"/>
                <w:szCs w:val="20"/>
                <w:lang w:val="fr-FR"/>
              </w:rPr>
            </w:pPr>
            <w:r w:rsidRPr="00CD2B1B">
              <w:rPr>
                <w:rFonts w:eastAsia="Times New Roman" w:cs="Times New Roman"/>
                <w:sz w:val="20"/>
                <w:szCs w:val="20"/>
                <w:lang w:val="fr-FR"/>
              </w:rPr>
              <w:t>La Jordanie a également élaboré un projet de plan d’action national visant à réaliser l’élimination progressive de l’utilisation des amalgames dentaires d’ici à 2030, conformément aux dispositions de la Convention de Minamata sur le mercure. En outre, le ministère de l’Agriculture interdit depuis de nombreuses années l’utilisation du mercure dans les pesticides agricoles, ce qui contribue à prévenir la contamination des sols et des ressources en eau ainsi qu’à protéger les écosystèmes et la biodiversité.</w:t>
            </w:r>
          </w:p>
          <w:p w14:paraId="2FDFF291" w14:textId="42D38CEB" w:rsidR="00FA2B4A" w:rsidRPr="00653BF4" w:rsidRDefault="00CD2B1B" w:rsidP="00CD2B1B">
            <w:pPr>
              <w:spacing w:before="100" w:beforeAutospacing="1" w:after="100" w:afterAutospacing="1"/>
              <w:rPr>
                <w:rFonts w:eastAsia="Times New Roman" w:cs="Times New Roman"/>
                <w:sz w:val="20"/>
                <w:szCs w:val="20"/>
                <w:lang w:val="fr-FR"/>
              </w:rPr>
            </w:pPr>
            <w:r w:rsidRPr="00CD2B1B">
              <w:rPr>
                <w:rFonts w:eastAsia="Times New Roman" w:cs="Times New Roman"/>
                <w:sz w:val="20"/>
                <w:szCs w:val="20"/>
                <w:lang w:val="fr-FR"/>
              </w:rPr>
              <w:t xml:space="preserve">Dans leur ensemble, ces actions témoignent de l’approche intégrée adoptée par le pays en matière de gestion du mercure, qui passe par une réforme législative, un renforcement des contrôles à l’importation, l’amélioration des infrastructures de gestion des déchets dangereux, la sensibilisation du public et le renforcement des systèmes de collecte. Ces mesures contribuent directement à atténuer la pollution, à </w:t>
            </w:r>
            <w:r w:rsidRPr="00CD2B1B">
              <w:rPr>
                <w:rFonts w:eastAsia="Times New Roman" w:cs="Times New Roman"/>
                <w:sz w:val="20"/>
                <w:szCs w:val="20"/>
                <w:lang w:val="fr-FR"/>
              </w:rPr>
              <w:lastRenderedPageBreak/>
              <w:t xml:space="preserve">prévenir les rejets de mercure dans l’environnement, à protéger la biodiversité et les services écosystémiques, ainsi qu’à respecter les obligations de la Jordanie au titre de la Convention de Minamata sur le mercure, tout en apportant un appui à la mise en œuvre de la </w:t>
            </w:r>
            <w:r w:rsidR="00E34DC9">
              <w:rPr>
                <w:rFonts w:eastAsia="Times New Roman" w:cs="Times New Roman"/>
                <w:sz w:val="20"/>
                <w:szCs w:val="20"/>
                <w:lang w:val="fr-FR"/>
              </w:rPr>
              <w:t>cible 7</w:t>
            </w:r>
            <w:r w:rsidRPr="00CD2B1B">
              <w:rPr>
                <w:rFonts w:eastAsia="Times New Roman" w:cs="Times New Roman"/>
                <w:sz w:val="20"/>
                <w:szCs w:val="20"/>
                <w:lang w:val="fr-FR"/>
              </w:rPr>
              <w:t xml:space="preserve"> du Cadre.</w:t>
            </w:r>
          </w:p>
          <w:p w14:paraId="19A69AB7" w14:textId="4B1E2757" w:rsidR="006C3ABA" w:rsidRPr="00653BF4" w:rsidRDefault="00180368" w:rsidP="00F74FCF">
            <w:pPr>
              <w:spacing w:before="100" w:beforeAutospacing="1" w:after="100" w:afterAutospacing="1"/>
              <w:rPr>
                <w:rFonts w:eastAsia="Times New Roman" w:cs="Times New Roman"/>
                <w:sz w:val="20"/>
                <w:szCs w:val="20"/>
                <w:lang w:val="fr-FR"/>
              </w:rPr>
            </w:pPr>
            <w:r>
              <w:rPr>
                <w:rFonts w:eastAsia="Times New Roman" w:cs="Times New Roman"/>
                <w:i/>
                <w:iCs/>
                <w:sz w:val="20"/>
                <w:szCs w:val="20"/>
                <w:lang w:val="fr-FR"/>
              </w:rPr>
              <w:t>Cible concernée</w:t>
            </w:r>
            <w:r w:rsidR="00E34DC9">
              <w:rPr>
                <w:rFonts w:eastAsia="Times New Roman" w:cs="Times New Roman"/>
                <w:i/>
                <w:iCs/>
                <w:sz w:val="20"/>
                <w:szCs w:val="20"/>
                <w:lang w:val="fr-FR"/>
              </w:rPr>
              <w:t> :</w:t>
            </w:r>
            <w:r w:rsidR="006C3ABA" w:rsidRPr="00653BF4">
              <w:rPr>
                <w:rFonts w:eastAsia="Times New Roman" w:cs="Times New Roman"/>
                <w:i/>
                <w:iCs/>
                <w:sz w:val="20"/>
                <w:szCs w:val="20"/>
                <w:lang w:val="fr-FR"/>
              </w:rPr>
              <w:t xml:space="preserve"> </w:t>
            </w:r>
            <w:r w:rsidR="006C3ABA" w:rsidRPr="00653BF4">
              <w:rPr>
                <w:rFonts w:eastAsia="Times New Roman" w:cs="Times New Roman"/>
                <w:sz w:val="20"/>
                <w:szCs w:val="20"/>
                <w:lang w:val="fr-FR"/>
              </w:rPr>
              <w:t>7</w:t>
            </w:r>
            <w:r w:rsidR="000B7440" w:rsidRPr="00653BF4">
              <w:rPr>
                <w:rFonts w:eastAsia="Times New Roman" w:cs="Times New Roman"/>
                <w:sz w:val="20"/>
                <w:szCs w:val="20"/>
                <w:lang w:val="fr-FR"/>
              </w:rPr>
              <w:t>.</w:t>
            </w:r>
          </w:p>
          <w:p w14:paraId="7893B143" w14:textId="1FF45101" w:rsidR="006C3ABA" w:rsidRPr="00653BF4" w:rsidRDefault="006C3ABA" w:rsidP="00F74FCF">
            <w:pPr>
              <w:spacing w:before="100" w:beforeAutospacing="1" w:after="100" w:afterAutospacing="1"/>
              <w:rPr>
                <w:rFonts w:eastAsia="Times New Roman" w:cs="Times New Roman"/>
                <w:sz w:val="20"/>
                <w:szCs w:val="20"/>
                <w:lang w:val="fr-FR"/>
              </w:rPr>
            </w:pPr>
            <w:r w:rsidRPr="00653BF4">
              <w:rPr>
                <w:rFonts w:eastAsia="Times New Roman" w:cs="Times New Roman"/>
                <w:i/>
                <w:iCs/>
                <w:sz w:val="20"/>
                <w:szCs w:val="20"/>
                <w:lang w:val="fr-FR"/>
              </w:rPr>
              <w:t>Source</w:t>
            </w:r>
            <w:r w:rsidR="00E34DC9">
              <w:rPr>
                <w:rFonts w:eastAsia="Times New Roman" w:cs="Times New Roman"/>
                <w:i/>
                <w:iCs/>
                <w:sz w:val="20"/>
                <w:szCs w:val="20"/>
                <w:lang w:val="fr-FR"/>
              </w:rPr>
              <w:t> :</w:t>
            </w:r>
            <w:r w:rsidRPr="00653BF4">
              <w:rPr>
                <w:rFonts w:eastAsia="Times New Roman" w:cs="Times New Roman"/>
                <w:i/>
                <w:iCs/>
                <w:sz w:val="20"/>
                <w:szCs w:val="20"/>
                <w:lang w:val="fr-FR"/>
              </w:rPr>
              <w:t xml:space="preserve"> </w:t>
            </w:r>
            <w:r w:rsidRPr="00653BF4">
              <w:rPr>
                <w:rFonts w:eastAsia="Times New Roman" w:cs="Times New Roman"/>
                <w:sz w:val="20"/>
                <w:szCs w:val="20"/>
                <w:lang w:val="fr-FR"/>
              </w:rPr>
              <w:t>Jordan</w:t>
            </w:r>
            <w:r w:rsidR="00CD2B1B">
              <w:rPr>
                <w:rFonts w:eastAsia="Times New Roman" w:cs="Times New Roman"/>
                <w:sz w:val="20"/>
                <w:szCs w:val="20"/>
                <w:lang w:val="fr-FR"/>
              </w:rPr>
              <w:t>ie</w:t>
            </w:r>
            <w:r w:rsidRPr="00653BF4">
              <w:rPr>
                <w:rFonts w:eastAsia="Times New Roman" w:cs="Times New Roman"/>
                <w:sz w:val="20"/>
                <w:szCs w:val="20"/>
                <w:lang w:val="fr-FR"/>
              </w:rPr>
              <w:t xml:space="preserve">, </w:t>
            </w:r>
            <w:r w:rsidR="00CD2B1B" w:rsidRPr="00CD2B1B">
              <w:rPr>
                <w:rFonts w:eastAsia="Times New Roman" w:cs="Times New Roman"/>
                <w:sz w:val="20"/>
                <w:szCs w:val="20"/>
                <w:lang w:val="fr-FR"/>
              </w:rPr>
              <w:t>septième rapport national au titre de la Convention</w:t>
            </w:r>
            <w:r w:rsidRPr="00653BF4">
              <w:rPr>
                <w:rFonts w:eastAsia="Times New Roman" w:cs="Times New Roman"/>
                <w:sz w:val="20"/>
                <w:szCs w:val="20"/>
                <w:lang w:val="fr-FR"/>
              </w:rPr>
              <w:t>.</w:t>
            </w:r>
          </w:p>
          <w:p w14:paraId="573DA8FD" w14:textId="77777777" w:rsidR="00977BD2" w:rsidRPr="00653BF4" w:rsidRDefault="00977BD2" w:rsidP="00B8722B">
            <w:pPr>
              <w:rPr>
                <w:lang w:val="fr-FR" w:eastAsia="ja-JP"/>
              </w:rPr>
            </w:pPr>
          </w:p>
        </w:tc>
      </w:tr>
    </w:tbl>
    <w:p w14:paraId="0C554EB9" w14:textId="77777777" w:rsidR="00977BD2" w:rsidRPr="00653BF4" w:rsidRDefault="00977BD2" w:rsidP="00B8722B">
      <w:pPr>
        <w:rPr>
          <w:lang w:val="fr-FR" w:eastAsia="ja-JP"/>
        </w:rPr>
      </w:pPr>
    </w:p>
    <w:p w14:paraId="5B453414" w14:textId="481EF21C" w:rsidR="00C577F7" w:rsidRPr="00653BF4" w:rsidRDefault="00415859" w:rsidP="00C577F7">
      <w:pPr>
        <w:pStyle w:val="Heading6"/>
        <w:rPr>
          <w:lang w:val="fr-FR" w:eastAsia="ja-JP"/>
        </w:rPr>
      </w:pPr>
      <w:r w:rsidRPr="00653BF4">
        <w:rPr>
          <w:lang w:val="fr-FR" w:eastAsia="ja-JP"/>
        </w:rPr>
        <w:t>Difficulté</w:t>
      </w:r>
      <w:r w:rsidR="00DD19D2" w:rsidRPr="00653BF4">
        <w:rPr>
          <w:lang w:val="fr-FR" w:eastAsia="ja-JP"/>
        </w:rPr>
        <w:t>s</w:t>
      </w:r>
    </w:p>
    <w:p w14:paraId="58480E8B" w14:textId="77777777" w:rsidR="00B22558" w:rsidRPr="00653BF4" w:rsidRDefault="00B22558" w:rsidP="00B22558">
      <w:pPr>
        <w:rPr>
          <w:rStyle w:val="normaltextrun"/>
          <w:rFonts w:ascii="Aptos" w:hAnsi="Aptos" w:cs="Segoe UI"/>
          <w:lang w:val="fr-FR"/>
        </w:rPr>
      </w:pPr>
    </w:p>
    <w:p w14:paraId="1562061B" w14:textId="36191E39" w:rsidR="00B22558" w:rsidRPr="00653BF4" w:rsidRDefault="00E220E3" w:rsidP="00B22558">
      <w:pPr>
        <w:rPr>
          <w:rFonts w:ascii="Segoe UI" w:hAnsi="Segoe UI" w:cs="Segoe UI"/>
          <w:sz w:val="18"/>
          <w:szCs w:val="18"/>
          <w:lang w:val="fr-FR"/>
        </w:rPr>
      </w:pPr>
      <w:r w:rsidRPr="00E220E3">
        <w:rPr>
          <w:rStyle w:val="normaltextrun"/>
          <w:rFonts w:ascii="Aptos" w:hAnsi="Aptos" w:cs="Segoe UI"/>
          <w:lang w:val="fr-FR"/>
        </w:rPr>
        <w:t xml:space="preserve">Les Parties ont pris note de la tension entre l'élimination progressive des produits dangereux et la protection de la sécurité alimentaire et des moyens de subsistance des agriculteurs. Même lorsque des cadres juridiques visant à atténuer la pollution existent, les mesures d'application sont souvent inefficaces et les capacités de mise en œuvre peuvent s'avérer insuffisantes. Plusieurs Parties identifient l'insuffisance des financements nationaux comme un obstacle majeur à la mise en œuvre. Un certain nombre de Parties, en particulier les pays en développement, soulignent que l'insuffisance des infrastructures de traitement des eaux usées constitue un défi persistant. Certaines Parties notent la difficulté particulière d'évaluer le rétablissement des espèces à la suite d'une pollution côtière et marine résultant d'accidents maritimes. De nombreuses Parties reconnaissent que l'insuffisance des capacités de suivi constitue un obstacle à l'évaluation des progrès accomplis vers la réalisation de la </w:t>
      </w:r>
      <w:r w:rsidR="00E34DC9">
        <w:rPr>
          <w:rStyle w:val="normaltextrun"/>
          <w:rFonts w:ascii="Aptos" w:hAnsi="Aptos" w:cs="Segoe UI"/>
          <w:lang w:val="fr-FR"/>
        </w:rPr>
        <w:t>cible 7</w:t>
      </w:r>
      <w:r w:rsidRPr="00E220E3">
        <w:rPr>
          <w:rStyle w:val="normaltextrun"/>
          <w:rFonts w:ascii="Aptos" w:hAnsi="Aptos" w:cs="Segoe UI"/>
          <w:lang w:val="fr-FR"/>
        </w:rPr>
        <w:t>, notamment en raison d'un manque de données sur la pollution provenant de toutes les sources, ainsi que d'un manque de données sur les ventes et les utilisations de pesticides et d'engrais synthétiques.</w:t>
      </w:r>
      <w:r w:rsidR="00F62E95" w:rsidRPr="00653BF4">
        <w:rPr>
          <w:rStyle w:val="normaltextrun"/>
          <w:rFonts w:ascii="Aptos" w:hAnsi="Aptos" w:cs="Segoe UI"/>
          <w:lang w:val="fr-FR"/>
        </w:rPr>
        <w:t xml:space="preserve"> </w:t>
      </w:r>
    </w:p>
    <w:p w14:paraId="39B7A1D0" w14:textId="77777777" w:rsidR="001802DE" w:rsidRPr="00653BF4" w:rsidRDefault="001802DE" w:rsidP="00C36B3B">
      <w:pPr>
        <w:rPr>
          <w:lang w:val="fr-FR" w:eastAsia="ja-JP"/>
        </w:rPr>
      </w:pPr>
    </w:p>
    <w:p w14:paraId="470DE7E5" w14:textId="4C13BAC0" w:rsidR="00C577F7" w:rsidRPr="00653BF4" w:rsidRDefault="00BC4559" w:rsidP="00C577F7">
      <w:pPr>
        <w:pStyle w:val="Heading5"/>
        <w:rPr>
          <w:lang w:val="fr-FR" w:eastAsia="ja-JP"/>
        </w:rPr>
      </w:pPr>
      <w:r w:rsidRPr="00653BF4">
        <w:rPr>
          <w:lang w:val="fr-FR" w:eastAsia="ja-JP"/>
        </w:rPr>
        <w:t>Contributions de la part d</w:t>
      </w:r>
      <w:r w:rsidR="002A58C8" w:rsidRPr="00653BF4">
        <w:rPr>
          <w:lang w:val="fr-FR" w:eastAsia="ja-JP"/>
        </w:rPr>
        <w:t>’</w:t>
      </w:r>
      <w:r w:rsidRPr="00653BF4">
        <w:rPr>
          <w:lang w:val="fr-FR" w:eastAsia="ja-JP"/>
        </w:rPr>
        <w:t>acteurs autres que les gouvernements nationaux</w:t>
      </w:r>
    </w:p>
    <w:p w14:paraId="2FA65D1C" w14:textId="77777777" w:rsidR="006F45DD" w:rsidRPr="00653BF4" w:rsidRDefault="006F45DD" w:rsidP="00814AF1">
      <w:pPr>
        <w:pStyle w:val="Heading6"/>
        <w:rPr>
          <w:lang w:val="fr-FR" w:eastAsia="ja-JP"/>
        </w:rPr>
      </w:pPr>
    </w:p>
    <w:p w14:paraId="5DEA7C5A" w14:textId="39633740" w:rsidR="00C44D3E" w:rsidRPr="00653BF4" w:rsidRDefault="00200AEB" w:rsidP="00814AF1">
      <w:pPr>
        <w:pStyle w:val="Heading6"/>
        <w:rPr>
          <w:lang w:val="fr-FR" w:eastAsia="ja-JP"/>
        </w:rPr>
      </w:pPr>
      <w:r w:rsidRPr="00653BF4">
        <w:rPr>
          <w:lang w:val="fr-FR" w:eastAsia="ja-JP"/>
        </w:rPr>
        <w:t>Engagements communiqués directement via l</w:t>
      </w:r>
      <w:r w:rsidR="002A58C8" w:rsidRPr="00653BF4">
        <w:rPr>
          <w:lang w:val="fr-FR" w:eastAsia="ja-JP"/>
        </w:rPr>
        <w:t>’</w:t>
      </w:r>
      <w:r w:rsidRPr="00653BF4">
        <w:rPr>
          <w:lang w:val="fr-FR" w:eastAsia="ja-JP"/>
        </w:rPr>
        <w:t>outil de présentation des rapports en ligne</w:t>
      </w:r>
    </w:p>
    <w:p w14:paraId="14D4D248" w14:textId="77777777" w:rsidR="009B19C1" w:rsidRPr="00653BF4" w:rsidRDefault="009B19C1" w:rsidP="009B19C1">
      <w:pPr>
        <w:rPr>
          <w:lang w:val="fr-FR" w:eastAsia="ja-JP"/>
        </w:rPr>
      </w:pPr>
    </w:p>
    <w:p w14:paraId="3239FE1D" w14:textId="06B761DC" w:rsidR="009B19C1" w:rsidRPr="00653BF4" w:rsidRDefault="00A62D78" w:rsidP="009B19C1">
      <w:pPr>
        <w:rPr>
          <w:lang w:val="fr-FR" w:eastAsia="ja-JP"/>
        </w:rPr>
      </w:pPr>
      <w:r w:rsidRPr="00A62D78">
        <w:rPr>
          <w:lang w:val="fr-FR" w:eastAsia="ja-JP"/>
        </w:rPr>
        <w:t>Sur les 180 engagements de fond présentés par des acteurs autres que les gouvernements nationaux</w:t>
      </w:r>
      <w:r w:rsidR="009B19C1" w:rsidRPr="00653BF4">
        <w:rPr>
          <w:lang w:val="fr-FR" w:eastAsia="ja-JP"/>
        </w:rPr>
        <w:t xml:space="preserve">, </w:t>
      </w:r>
      <w:r>
        <w:rPr>
          <w:lang w:val="fr-FR" w:eastAsia="ja-JP"/>
        </w:rPr>
        <w:t xml:space="preserve">seulement </w:t>
      </w:r>
      <w:r w:rsidR="009B19C1" w:rsidRPr="00653BF4">
        <w:rPr>
          <w:lang w:val="fr-FR" w:eastAsia="ja-JP"/>
        </w:rPr>
        <w:t xml:space="preserve">5 </w:t>
      </w:r>
      <w:r>
        <w:rPr>
          <w:lang w:val="fr-FR" w:eastAsia="ja-JP"/>
        </w:rPr>
        <w:t xml:space="preserve">sont principalement associés à la </w:t>
      </w:r>
      <w:r w:rsidR="00E34DC9">
        <w:rPr>
          <w:lang w:val="fr-FR" w:eastAsia="ja-JP"/>
        </w:rPr>
        <w:t>cible 7</w:t>
      </w:r>
      <w:r w:rsidR="009B19C1" w:rsidRPr="00653BF4">
        <w:rPr>
          <w:lang w:val="fr-FR" w:eastAsia="ja-JP"/>
        </w:rPr>
        <w:t xml:space="preserve">. </w:t>
      </w:r>
      <w:r w:rsidR="00E85CB1" w:rsidRPr="00E85CB1">
        <w:rPr>
          <w:lang w:val="fr-FR" w:eastAsia="ja-JP"/>
        </w:rPr>
        <w:t>Trois d’entre eux ont été soumis par une seule entreprise privée (voir l'encadré 27), un par une ONG et un par un institut de recherche. Ces trois engagements d’entreprise ont une portée mondiale, et celui provenant d'une ONG concerne spécifiquement le Danemark, et celui provenant d'un institut de recherche (CGIAR) couvre l’Afrique, l’Amérique du Sud et l’Asie.</w:t>
      </w:r>
    </w:p>
    <w:p w14:paraId="571C4C95" w14:textId="5D3415ED" w:rsidR="009B19C1" w:rsidRPr="00653BF4" w:rsidRDefault="009B19C1" w:rsidP="009B19C1">
      <w:pPr>
        <w:rPr>
          <w:lang w:val="fr-FR" w:eastAsia="ja-JP"/>
        </w:rPr>
      </w:pPr>
      <w:r w:rsidRPr="00653BF4">
        <w:rPr>
          <w:lang w:val="fr-FR" w:eastAsia="ja-JP"/>
        </w:rPr>
        <w:lastRenderedPageBreak/>
        <w:t xml:space="preserve"> </w:t>
      </w:r>
    </w:p>
    <w:tbl>
      <w:tblPr>
        <w:tblStyle w:val="TableGrid"/>
        <w:tblW w:w="0" w:type="auto"/>
        <w:tblLook w:val="04A0" w:firstRow="1" w:lastRow="0" w:firstColumn="1" w:lastColumn="0" w:noHBand="0" w:noVBand="1"/>
      </w:tblPr>
      <w:tblGrid>
        <w:gridCol w:w="9016"/>
      </w:tblGrid>
      <w:tr w:rsidR="00FB74C0" w:rsidRPr="00543148" w14:paraId="5E3AC339" w14:textId="77777777" w:rsidTr="38573CF5">
        <w:tc>
          <w:tcPr>
            <w:tcW w:w="9016" w:type="dxa"/>
            <w:shd w:val="clear" w:color="auto" w:fill="E8E8E8" w:themeFill="background2"/>
          </w:tcPr>
          <w:p w14:paraId="65084EBE" w14:textId="77777777" w:rsidR="00C73769" w:rsidRPr="00653BF4" w:rsidRDefault="00C73769" w:rsidP="00C73769">
            <w:pPr>
              <w:rPr>
                <w:rFonts w:ascii="Aptos" w:hAnsi="Aptos"/>
                <w:color w:val="212121"/>
                <w:sz w:val="22"/>
                <w:szCs w:val="22"/>
                <w:lang w:val="fr-FR"/>
              </w:rPr>
            </w:pPr>
          </w:p>
          <w:p w14:paraId="0456BF95" w14:textId="250FE415" w:rsidR="009B19C1" w:rsidRPr="00653BF4" w:rsidRDefault="0024766A" w:rsidP="00C73769">
            <w:pPr>
              <w:rPr>
                <w:sz w:val="20"/>
                <w:szCs w:val="20"/>
                <w:lang w:val="fr-FR"/>
              </w:rPr>
            </w:pPr>
            <w:r w:rsidRPr="00653BF4">
              <w:rPr>
                <w:sz w:val="20"/>
                <w:szCs w:val="20"/>
                <w:lang w:val="fr-FR"/>
              </w:rPr>
              <w:t>Encadré</w:t>
            </w:r>
            <w:r w:rsidR="009B19C1" w:rsidRPr="00653BF4">
              <w:rPr>
                <w:sz w:val="20"/>
                <w:szCs w:val="20"/>
                <w:lang w:val="fr-FR"/>
              </w:rPr>
              <w:t xml:space="preserve"> </w:t>
            </w:r>
            <w:r w:rsidR="008306DF" w:rsidRPr="00653BF4">
              <w:rPr>
                <w:noProof/>
                <w:sz w:val="20"/>
                <w:szCs w:val="20"/>
                <w:lang w:val="fr-FR"/>
              </w:rPr>
              <w:t>27</w:t>
            </w:r>
          </w:p>
          <w:p w14:paraId="44FC97B8" w14:textId="77777777" w:rsidR="0068148B" w:rsidRPr="00653BF4" w:rsidRDefault="0068148B" w:rsidP="00C73769">
            <w:pPr>
              <w:rPr>
                <w:sz w:val="20"/>
                <w:szCs w:val="20"/>
                <w:lang w:val="fr-FR"/>
              </w:rPr>
            </w:pPr>
          </w:p>
          <w:p w14:paraId="1B0A6ABC" w14:textId="3FBC549A" w:rsidR="0068148B" w:rsidRPr="00653BF4" w:rsidRDefault="005D7EEA" w:rsidP="0068148B">
            <w:pPr>
              <w:rPr>
                <w:rFonts w:ascii="Aptos" w:hAnsi="Aptos"/>
                <w:b/>
                <w:bCs/>
                <w:color w:val="212121"/>
                <w:sz w:val="20"/>
                <w:szCs w:val="20"/>
                <w:lang w:val="fr-FR"/>
              </w:rPr>
            </w:pPr>
            <w:r w:rsidRPr="005D7EEA">
              <w:rPr>
                <w:b/>
                <w:bCs/>
                <w:sz w:val="20"/>
                <w:szCs w:val="20"/>
                <w:lang w:val="fr-FR"/>
              </w:rPr>
              <w:t>Veolia</w:t>
            </w:r>
            <w:r w:rsidR="00E34DC9">
              <w:rPr>
                <w:b/>
                <w:bCs/>
                <w:sz w:val="20"/>
                <w:szCs w:val="20"/>
                <w:lang w:val="fr-FR"/>
              </w:rPr>
              <w:t> :</w:t>
            </w:r>
            <w:r w:rsidRPr="005D7EEA">
              <w:rPr>
                <w:b/>
                <w:bCs/>
                <w:sz w:val="20"/>
                <w:szCs w:val="20"/>
                <w:lang w:val="fr-FR"/>
              </w:rPr>
              <w:t xml:space="preserve"> une multinationale qui lutte contre la pollution et les déchets dans le cadre de ses activités à l'échelle mondiale</w:t>
            </w:r>
          </w:p>
          <w:p w14:paraId="0CB1B8F1" w14:textId="77777777" w:rsidR="009B19C1" w:rsidRPr="00653BF4" w:rsidRDefault="009B19C1" w:rsidP="00C73769">
            <w:pPr>
              <w:rPr>
                <w:rFonts w:ascii="Aptos" w:hAnsi="Aptos"/>
                <w:color w:val="212121"/>
                <w:sz w:val="22"/>
                <w:szCs w:val="22"/>
                <w:lang w:val="fr-FR"/>
              </w:rPr>
            </w:pPr>
          </w:p>
          <w:p w14:paraId="24C265E1" w14:textId="17FA0805" w:rsidR="00B87440" w:rsidRPr="00653BF4" w:rsidRDefault="00F44956" w:rsidP="00B87440">
            <w:pPr>
              <w:rPr>
                <w:rFonts w:ascii="Aptos" w:hAnsi="Aptos"/>
                <w:color w:val="212121"/>
                <w:sz w:val="22"/>
                <w:szCs w:val="22"/>
                <w:lang w:val="fr-FR"/>
              </w:rPr>
            </w:pPr>
            <w:r w:rsidRPr="00F44956">
              <w:rPr>
                <w:rFonts w:ascii="Aptos" w:hAnsi="Aptos"/>
                <w:color w:val="212121"/>
                <w:sz w:val="22"/>
                <w:szCs w:val="22"/>
                <w:lang w:val="fr-FR"/>
              </w:rPr>
              <w:t>Veolia SA, une multinationale française spécialisée dans les services de gestion de l'eau, des déchets et de l'énergie, a présenté huit engagements complémentaires d'envergure mondiale, couvrant la période de 2024 à 2027. Ces engagements portent notamment sur la réduction de la pollution grâce à l’élimination des produits phytosanitaires (pesticides, herbicides et fongicides) sur 95</w:t>
            </w:r>
            <w:r w:rsidR="002878D7">
              <w:rPr>
                <w:rFonts w:ascii="Aptos" w:hAnsi="Aptos"/>
                <w:color w:val="212121"/>
                <w:sz w:val="22"/>
                <w:szCs w:val="22"/>
                <w:lang w:val="fr-FR"/>
              </w:rPr>
              <w:t> %</w:t>
            </w:r>
            <w:r w:rsidRPr="00F44956">
              <w:rPr>
                <w:rFonts w:ascii="Aptos" w:hAnsi="Aptos"/>
                <w:color w:val="212121"/>
                <w:sz w:val="22"/>
                <w:szCs w:val="22"/>
                <w:lang w:val="fr-FR"/>
              </w:rPr>
              <w:t xml:space="preserve"> de ses sites</w:t>
            </w:r>
            <w:r w:rsidR="00E34DC9">
              <w:rPr>
                <w:rFonts w:ascii="Aptos" w:hAnsi="Aptos"/>
                <w:color w:val="212121"/>
                <w:sz w:val="22"/>
                <w:szCs w:val="22"/>
                <w:lang w:val="fr-FR"/>
              </w:rPr>
              <w:t> ;</w:t>
            </w:r>
            <w:r w:rsidRPr="00F44956">
              <w:rPr>
                <w:rFonts w:ascii="Aptos" w:hAnsi="Aptos"/>
                <w:color w:val="212121"/>
                <w:sz w:val="22"/>
                <w:szCs w:val="22"/>
                <w:lang w:val="fr-FR"/>
              </w:rPr>
              <w:t xml:space="preserve"> une cible d’efficacité de traitement des eaux usées de 92</w:t>
            </w:r>
            <w:r w:rsidR="002878D7">
              <w:rPr>
                <w:rFonts w:ascii="Aptos" w:hAnsi="Aptos"/>
                <w:color w:val="212121"/>
                <w:sz w:val="22"/>
                <w:szCs w:val="22"/>
                <w:lang w:val="fr-FR"/>
              </w:rPr>
              <w:t> %</w:t>
            </w:r>
            <w:r w:rsidRPr="00F44956">
              <w:rPr>
                <w:rFonts w:ascii="Aptos" w:hAnsi="Aptos"/>
                <w:color w:val="212121"/>
                <w:sz w:val="22"/>
                <w:szCs w:val="22"/>
                <w:lang w:val="fr-FR"/>
              </w:rPr>
              <w:t xml:space="preserve"> en termes de rendement d’épuration de la demande chimique en oxygène pour ses grandes stations d’épuration (plus de 100 000 équivalents-habitants)</w:t>
            </w:r>
            <w:r w:rsidR="00E34DC9">
              <w:rPr>
                <w:rFonts w:ascii="Aptos" w:hAnsi="Aptos"/>
                <w:color w:val="212121"/>
                <w:sz w:val="22"/>
                <w:szCs w:val="22"/>
                <w:lang w:val="fr-FR"/>
              </w:rPr>
              <w:t> ;</w:t>
            </w:r>
            <w:r w:rsidRPr="00F44956">
              <w:rPr>
                <w:rFonts w:ascii="Aptos" w:hAnsi="Aptos"/>
                <w:color w:val="212121"/>
                <w:sz w:val="22"/>
                <w:szCs w:val="22"/>
                <w:lang w:val="fr-FR"/>
              </w:rPr>
              <w:t xml:space="preserve"> et le traitement de 10 millions de tonnes de déchets dangereux, notamment par le recyclage des batteries au lithium et du plastique.</w:t>
            </w:r>
          </w:p>
          <w:p w14:paraId="50CB225C" w14:textId="14A39B8D" w:rsidR="00B87440" w:rsidRPr="00653BF4" w:rsidRDefault="00B87440" w:rsidP="00B87440">
            <w:pPr>
              <w:rPr>
                <w:rFonts w:ascii="Aptos" w:hAnsi="Aptos"/>
                <w:color w:val="212121"/>
                <w:sz w:val="22"/>
                <w:szCs w:val="22"/>
                <w:lang w:val="fr-FR"/>
              </w:rPr>
            </w:pPr>
            <w:r w:rsidRPr="00653BF4">
              <w:rPr>
                <w:rFonts w:ascii="Aptos" w:hAnsi="Aptos"/>
                <w:color w:val="212121"/>
                <w:sz w:val="22"/>
                <w:szCs w:val="22"/>
                <w:lang w:val="fr-FR"/>
              </w:rPr>
              <w:br/>
            </w:r>
            <w:r w:rsidR="000A261B" w:rsidRPr="000A261B">
              <w:rPr>
                <w:rFonts w:ascii="Aptos" w:hAnsi="Aptos"/>
                <w:color w:val="212121"/>
                <w:sz w:val="22"/>
                <w:szCs w:val="22"/>
                <w:lang w:val="fr-FR"/>
              </w:rPr>
              <w:t>En matière de biodiversité, Veolia s'est engagée à mettre en œuvre sa Charte des espaces verts, élaborée en collaboration avec l'UICN, sur 95</w:t>
            </w:r>
            <w:r w:rsidR="002878D7">
              <w:rPr>
                <w:rFonts w:ascii="Aptos" w:hAnsi="Aptos"/>
                <w:color w:val="212121"/>
                <w:sz w:val="22"/>
                <w:szCs w:val="22"/>
                <w:lang w:val="fr-FR"/>
              </w:rPr>
              <w:t> %</w:t>
            </w:r>
            <w:r w:rsidR="000A261B" w:rsidRPr="000A261B">
              <w:rPr>
                <w:rFonts w:ascii="Aptos" w:hAnsi="Aptos"/>
                <w:color w:val="212121"/>
                <w:sz w:val="22"/>
                <w:szCs w:val="22"/>
                <w:lang w:val="fr-FR"/>
              </w:rPr>
              <w:t xml:space="preserve"> de ses sites disposant de plus d'un hectare d'espaces verts, ainsi qu'à réaliser des évaluations de l'empreinte sur la biodiversité et à mettre en place des plans d'action (avec un </w:t>
            </w:r>
            <w:r w:rsidR="002878D7">
              <w:rPr>
                <w:rFonts w:ascii="Aptos" w:hAnsi="Aptos"/>
                <w:color w:val="212121"/>
                <w:sz w:val="22"/>
                <w:szCs w:val="22"/>
                <w:lang w:val="fr-FR"/>
              </w:rPr>
              <w:t>objectif D</w:t>
            </w:r>
            <w:r w:rsidR="000A261B" w:rsidRPr="000A261B">
              <w:rPr>
                <w:rFonts w:ascii="Aptos" w:hAnsi="Aptos"/>
                <w:color w:val="212121"/>
                <w:sz w:val="22"/>
                <w:szCs w:val="22"/>
                <w:lang w:val="fr-FR"/>
              </w:rPr>
              <w:t>e 85</w:t>
            </w:r>
            <w:r w:rsidR="002878D7">
              <w:rPr>
                <w:rFonts w:ascii="Aptos" w:hAnsi="Aptos"/>
                <w:color w:val="212121"/>
                <w:sz w:val="22"/>
                <w:szCs w:val="22"/>
                <w:lang w:val="fr-FR"/>
              </w:rPr>
              <w:t> %</w:t>
            </w:r>
            <w:r w:rsidR="000A261B" w:rsidRPr="000A261B">
              <w:rPr>
                <w:rFonts w:ascii="Aptos" w:hAnsi="Aptos"/>
                <w:color w:val="212121"/>
                <w:sz w:val="22"/>
                <w:szCs w:val="22"/>
                <w:lang w:val="fr-FR"/>
              </w:rPr>
              <w:t xml:space="preserve"> de taux de mise en œuvre global) sur l'ensemble de ses quelque 150 sites sensibles.</w:t>
            </w:r>
          </w:p>
          <w:p w14:paraId="1BF1F10D" w14:textId="188F5AF2" w:rsidR="00B87440" w:rsidRPr="00653BF4" w:rsidRDefault="00B87440" w:rsidP="00B87440">
            <w:pPr>
              <w:rPr>
                <w:rFonts w:ascii="Aptos" w:hAnsi="Aptos"/>
                <w:color w:val="212121"/>
                <w:sz w:val="22"/>
                <w:szCs w:val="22"/>
                <w:lang w:val="fr-FR"/>
              </w:rPr>
            </w:pPr>
            <w:r w:rsidRPr="00653BF4">
              <w:rPr>
                <w:rFonts w:ascii="Aptos" w:hAnsi="Aptos"/>
                <w:color w:val="212121"/>
                <w:sz w:val="22"/>
                <w:szCs w:val="22"/>
                <w:lang w:val="fr-FR"/>
              </w:rPr>
              <w:br/>
            </w:r>
            <w:r w:rsidR="003400A4" w:rsidRPr="003400A4">
              <w:rPr>
                <w:rFonts w:ascii="Aptos" w:hAnsi="Aptos"/>
                <w:color w:val="212121"/>
                <w:sz w:val="22"/>
                <w:szCs w:val="22"/>
                <w:lang w:val="fr-FR"/>
              </w:rPr>
              <w:t>Les engagements en matière de ressources naturelles comprennent la préservation de 1,5 milliard de mètres cubes d’eau douce grâce à la réutilisation de l’eau, au dessalement et à la réduction des fuites, ainsi qu’une politique de déforestation zéro avec un approvisionnement en bois entièrement traçable et certifié pour son secteur énergétique. Tous ces engagements s’inscrivent dans une trajectoire visant la neutralité carbone d’ici 2050 et font l’objet d’un suivi annuel dans le cadre de l’établissement de rapports de développement durable de Veolia.</w:t>
            </w:r>
          </w:p>
          <w:p w14:paraId="1B3904A1" w14:textId="77777777" w:rsidR="00594409" w:rsidRPr="00653BF4" w:rsidRDefault="00594409" w:rsidP="00C73769">
            <w:pPr>
              <w:rPr>
                <w:rFonts w:ascii="Aptos" w:hAnsi="Aptos"/>
                <w:color w:val="212121"/>
                <w:sz w:val="22"/>
                <w:szCs w:val="22"/>
                <w:lang w:val="fr-FR"/>
              </w:rPr>
            </w:pPr>
          </w:p>
          <w:p w14:paraId="66B5D132" w14:textId="0BFA8CB2" w:rsidR="00594409" w:rsidRPr="00653BF4" w:rsidRDefault="00904C13" w:rsidP="00C73769">
            <w:pPr>
              <w:rPr>
                <w:rFonts w:ascii="Aptos" w:hAnsi="Aptos"/>
                <w:color w:val="212121"/>
                <w:sz w:val="20"/>
                <w:szCs w:val="20"/>
                <w:lang w:val="fr-FR"/>
              </w:rPr>
            </w:pPr>
            <w:r w:rsidRPr="00653BF4">
              <w:rPr>
                <w:rFonts w:ascii="Aptos" w:hAnsi="Aptos"/>
                <w:i/>
                <w:iCs/>
                <w:color w:val="212121"/>
                <w:sz w:val="20"/>
                <w:szCs w:val="20"/>
                <w:lang w:val="fr-FR"/>
              </w:rPr>
              <w:t>C</w:t>
            </w:r>
            <w:r w:rsidR="001345EC" w:rsidRPr="00653BF4">
              <w:rPr>
                <w:rFonts w:ascii="Aptos" w:hAnsi="Aptos"/>
                <w:i/>
                <w:iCs/>
                <w:color w:val="212121"/>
                <w:sz w:val="20"/>
                <w:szCs w:val="20"/>
                <w:lang w:val="fr-FR"/>
              </w:rPr>
              <w:t>ibles concernées</w:t>
            </w:r>
            <w:r w:rsidR="00E34DC9">
              <w:rPr>
                <w:rFonts w:ascii="Aptos" w:hAnsi="Aptos"/>
                <w:i/>
                <w:iCs/>
                <w:color w:val="212121"/>
                <w:sz w:val="20"/>
                <w:szCs w:val="20"/>
                <w:lang w:val="fr-FR"/>
              </w:rPr>
              <w:t> :</w:t>
            </w:r>
            <w:r w:rsidR="00594409" w:rsidRPr="00653BF4">
              <w:rPr>
                <w:rFonts w:ascii="Aptos" w:hAnsi="Aptos"/>
                <w:i/>
                <w:iCs/>
                <w:color w:val="212121"/>
                <w:sz w:val="20"/>
                <w:szCs w:val="20"/>
                <w:lang w:val="fr-FR"/>
              </w:rPr>
              <w:t xml:space="preserve"> </w:t>
            </w:r>
            <w:r w:rsidR="000E04DC" w:rsidRPr="00653BF4">
              <w:rPr>
                <w:rFonts w:ascii="Aptos" w:hAnsi="Aptos"/>
                <w:color w:val="212121"/>
                <w:sz w:val="20"/>
                <w:szCs w:val="20"/>
                <w:lang w:val="fr-FR"/>
              </w:rPr>
              <w:t xml:space="preserve">7, </w:t>
            </w:r>
            <w:r w:rsidR="00FC3638" w:rsidRPr="00653BF4">
              <w:rPr>
                <w:rFonts w:ascii="Aptos" w:hAnsi="Aptos"/>
                <w:color w:val="212121"/>
                <w:sz w:val="20"/>
                <w:szCs w:val="20"/>
                <w:lang w:val="fr-FR"/>
              </w:rPr>
              <w:t xml:space="preserve">8, </w:t>
            </w:r>
            <w:r w:rsidR="00DF0A74" w:rsidRPr="00653BF4">
              <w:rPr>
                <w:rFonts w:ascii="Aptos" w:hAnsi="Aptos"/>
                <w:color w:val="212121"/>
                <w:sz w:val="20"/>
                <w:szCs w:val="20"/>
                <w:lang w:val="fr-FR"/>
              </w:rPr>
              <w:t xml:space="preserve">10, </w:t>
            </w:r>
            <w:r w:rsidR="000E04DC" w:rsidRPr="00653BF4">
              <w:rPr>
                <w:rFonts w:ascii="Aptos" w:hAnsi="Aptos"/>
                <w:color w:val="212121"/>
                <w:sz w:val="20"/>
                <w:szCs w:val="20"/>
                <w:lang w:val="fr-FR"/>
              </w:rPr>
              <w:t xml:space="preserve">12, </w:t>
            </w:r>
            <w:r w:rsidR="00FC3638" w:rsidRPr="00653BF4">
              <w:rPr>
                <w:rFonts w:ascii="Aptos" w:hAnsi="Aptos"/>
                <w:color w:val="212121"/>
                <w:sz w:val="20"/>
                <w:szCs w:val="20"/>
                <w:lang w:val="fr-FR"/>
              </w:rPr>
              <w:t>15</w:t>
            </w:r>
            <w:r w:rsidR="006E24B2" w:rsidRPr="00653BF4">
              <w:rPr>
                <w:rFonts w:ascii="Aptos" w:hAnsi="Aptos"/>
                <w:color w:val="212121"/>
                <w:sz w:val="20"/>
                <w:szCs w:val="20"/>
                <w:lang w:val="fr-FR"/>
              </w:rPr>
              <w:t xml:space="preserve"> </w:t>
            </w:r>
            <w:r w:rsidR="003400A4">
              <w:rPr>
                <w:rFonts w:ascii="Aptos" w:hAnsi="Aptos"/>
                <w:color w:val="212121"/>
                <w:sz w:val="20"/>
                <w:szCs w:val="20"/>
                <w:lang w:val="fr-FR"/>
              </w:rPr>
              <w:t>et</w:t>
            </w:r>
            <w:r w:rsidR="00FC3638" w:rsidRPr="00653BF4">
              <w:rPr>
                <w:rFonts w:ascii="Aptos" w:hAnsi="Aptos"/>
                <w:color w:val="212121"/>
                <w:sz w:val="20"/>
                <w:szCs w:val="20"/>
                <w:lang w:val="fr-FR"/>
              </w:rPr>
              <w:t xml:space="preserve"> 16</w:t>
            </w:r>
            <w:r w:rsidR="006E24B2" w:rsidRPr="00653BF4">
              <w:rPr>
                <w:rFonts w:ascii="Aptos" w:hAnsi="Aptos"/>
                <w:color w:val="212121"/>
                <w:sz w:val="20"/>
                <w:szCs w:val="20"/>
                <w:lang w:val="fr-FR"/>
              </w:rPr>
              <w:t>.</w:t>
            </w:r>
          </w:p>
          <w:p w14:paraId="7515781E" w14:textId="1B2A96F1" w:rsidR="00E62B97" w:rsidRPr="00653BF4" w:rsidRDefault="73AABA35" w:rsidP="00906227">
            <w:pPr>
              <w:rPr>
                <w:lang w:val="fr-FR"/>
              </w:rPr>
            </w:pPr>
            <w:r w:rsidRPr="00653BF4">
              <w:rPr>
                <w:rFonts w:ascii="Aptos" w:hAnsi="Aptos"/>
                <w:i/>
                <w:iCs/>
                <w:color w:val="212121"/>
                <w:sz w:val="18"/>
                <w:szCs w:val="18"/>
                <w:lang w:val="fr-FR"/>
              </w:rPr>
              <w:t>Source</w:t>
            </w:r>
            <w:r w:rsidR="00E34DC9">
              <w:rPr>
                <w:rFonts w:ascii="Aptos" w:hAnsi="Aptos"/>
                <w:i/>
                <w:iCs/>
                <w:color w:val="212121"/>
                <w:sz w:val="18"/>
                <w:szCs w:val="18"/>
                <w:lang w:val="fr-FR"/>
              </w:rPr>
              <w:t> :</w:t>
            </w:r>
            <w:r w:rsidRPr="00653BF4">
              <w:rPr>
                <w:rFonts w:ascii="Aptos" w:hAnsi="Aptos"/>
                <w:color w:val="212121"/>
                <w:sz w:val="18"/>
                <w:szCs w:val="18"/>
                <w:lang w:val="fr-FR"/>
              </w:rPr>
              <w:t xml:space="preserve"> </w:t>
            </w:r>
            <w:r w:rsidR="008B036B" w:rsidRPr="008B036B">
              <w:rPr>
                <w:rFonts w:ascii="Aptos" w:hAnsi="Aptos"/>
                <w:color w:val="212121"/>
                <w:sz w:val="18"/>
                <w:szCs w:val="18"/>
                <w:lang w:val="fr-FR"/>
              </w:rPr>
              <w:t xml:space="preserve">Veolia, engagements en tant que partie prenante </w:t>
            </w:r>
            <w:r w:rsidR="47AE99E2" w:rsidRPr="00653BF4">
              <w:rPr>
                <w:rFonts w:ascii="Aptos" w:hAnsi="Aptos"/>
                <w:color w:val="212121"/>
                <w:sz w:val="18"/>
                <w:szCs w:val="18"/>
                <w:lang w:val="fr-FR"/>
              </w:rPr>
              <w:t>(</w:t>
            </w:r>
            <w:r w:rsidR="008B036B">
              <w:rPr>
                <w:rFonts w:ascii="Aptos" w:hAnsi="Aptos"/>
                <w:color w:val="212121"/>
                <w:sz w:val="18"/>
                <w:szCs w:val="18"/>
                <w:lang w:val="fr-FR"/>
              </w:rPr>
              <w:t>disponibles aux adresses suivantes</w:t>
            </w:r>
            <w:r w:rsidR="00E34DC9">
              <w:rPr>
                <w:rFonts w:ascii="Aptos" w:hAnsi="Aptos"/>
                <w:color w:val="212121"/>
                <w:sz w:val="18"/>
                <w:szCs w:val="18"/>
                <w:lang w:val="fr-FR"/>
              </w:rPr>
              <w:t> :</w:t>
            </w:r>
            <w:r w:rsidR="47AE99E2" w:rsidRPr="00653BF4">
              <w:rPr>
                <w:rFonts w:ascii="Aptos" w:hAnsi="Aptos"/>
                <w:color w:val="212121"/>
                <w:sz w:val="18"/>
                <w:szCs w:val="18"/>
                <w:lang w:val="fr-FR"/>
              </w:rPr>
              <w:t xml:space="preserve"> </w:t>
            </w:r>
            <w:hyperlink r:id="rId101" w:history="1">
              <w:r w:rsidR="47AE99E2" w:rsidRPr="00653BF4">
                <w:rPr>
                  <w:rStyle w:val="Hyperlink"/>
                  <w:sz w:val="18"/>
                  <w:szCs w:val="18"/>
                  <w:lang w:val="fr-FR"/>
                </w:rPr>
                <w:t>https://ort.cbd.int/database/287708</w:t>
              </w:r>
            </w:hyperlink>
            <w:r w:rsidR="47AE99E2" w:rsidRPr="00653BF4">
              <w:rPr>
                <w:rStyle w:val="FootnoteTextChar"/>
                <w:sz w:val="18"/>
                <w:szCs w:val="18"/>
                <w:lang w:val="fr-FR"/>
              </w:rPr>
              <w:t xml:space="preserve">, </w:t>
            </w:r>
            <w:hyperlink r:id="rId102">
              <w:r w:rsidR="47AE99E2" w:rsidRPr="00653BF4">
                <w:rPr>
                  <w:rStyle w:val="Hyperlink"/>
                  <w:sz w:val="18"/>
                  <w:szCs w:val="18"/>
                  <w:lang w:val="fr-FR"/>
                </w:rPr>
                <w:t>https://ort.cbd.int/database/287712</w:t>
              </w:r>
            </w:hyperlink>
            <w:r w:rsidR="47AE99E2" w:rsidRPr="00653BF4">
              <w:rPr>
                <w:rStyle w:val="FootnoteTextChar"/>
                <w:sz w:val="18"/>
                <w:szCs w:val="18"/>
                <w:lang w:val="fr-FR"/>
              </w:rPr>
              <w:t xml:space="preserve">, </w:t>
            </w:r>
            <w:hyperlink r:id="rId103">
              <w:r w:rsidR="47AE99E2" w:rsidRPr="00653BF4">
                <w:rPr>
                  <w:rStyle w:val="Hyperlink"/>
                  <w:sz w:val="18"/>
                  <w:szCs w:val="18"/>
                  <w:lang w:val="fr-FR"/>
                </w:rPr>
                <w:t>https://ort.cbd.int/database/287714</w:t>
              </w:r>
            </w:hyperlink>
            <w:r w:rsidR="47AE99E2" w:rsidRPr="00653BF4">
              <w:rPr>
                <w:rStyle w:val="FootnoteTextChar"/>
                <w:sz w:val="18"/>
                <w:szCs w:val="18"/>
                <w:lang w:val="fr-FR"/>
              </w:rPr>
              <w:t xml:space="preserve">, </w:t>
            </w:r>
            <w:hyperlink r:id="rId104">
              <w:r w:rsidR="47AE99E2" w:rsidRPr="00653BF4">
                <w:rPr>
                  <w:rStyle w:val="Hyperlink"/>
                  <w:sz w:val="18"/>
                  <w:szCs w:val="18"/>
                  <w:lang w:val="fr-FR"/>
                </w:rPr>
                <w:t>https://ort.cbd.int/database/287709</w:t>
              </w:r>
            </w:hyperlink>
            <w:r w:rsidR="47AE99E2" w:rsidRPr="00653BF4">
              <w:rPr>
                <w:rStyle w:val="FootnoteTextChar"/>
                <w:sz w:val="18"/>
                <w:szCs w:val="18"/>
                <w:lang w:val="fr-FR"/>
              </w:rPr>
              <w:t xml:space="preserve">, </w:t>
            </w:r>
            <w:hyperlink r:id="rId105">
              <w:r w:rsidR="47AE99E2" w:rsidRPr="00653BF4">
                <w:rPr>
                  <w:rStyle w:val="Hyperlink"/>
                  <w:sz w:val="18"/>
                  <w:szCs w:val="18"/>
                  <w:lang w:val="fr-FR"/>
                </w:rPr>
                <w:t>https://ort.cbd.int/database/287710</w:t>
              </w:r>
            </w:hyperlink>
            <w:r w:rsidR="47AE99E2" w:rsidRPr="00653BF4">
              <w:rPr>
                <w:rStyle w:val="FootnoteTextChar"/>
                <w:sz w:val="18"/>
                <w:szCs w:val="18"/>
                <w:lang w:val="fr-FR"/>
              </w:rPr>
              <w:t xml:space="preserve">, </w:t>
            </w:r>
            <w:hyperlink r:id="rId106">
              <w:r w:rsidR="47AE99E2" w:rsidRPr="00653BF4">
                <w:rPr>
                  <w:rStyle w:val="Hyperlink"/>
                  <w:sz w:val="18"/>
                  <w:szCs w:val="18"/>
                  <w:lang w:val="fr-FR"/>
                </w:rPr>
                <w:t>https://ort.cbd.int/database/287711</w:t>
              </w:r>
            </w:hyperlink>
            <w:r w:rsidR="47AE99E2" w:rsidRPr="00653BF4">
              <w:rPr>
                <w:rStyle w:val="FootnoteTextChar"/>
                <w:sz w:val="18"/>
                <w:szCs w:val="18"/>
                <w:lang w:val="fr-FR"/>
              </w:rPr>
              <w:t xml:space="preserve">, </w:t>
            </w:r>
            <w:hyperlink r:id="rId107">
              <w:r w:rsidR="47AE99E2" w:rsidRPr="00653BF4">
                <w:rPr>
                  <w:rStyle w:val="Hyperlink"/>
                  <w:sz w:val="18"/>
                  <w:szCs w:val="18"/>
                  <w:lang w:val="fr-FR"/>
                </w:rPr>
                <w:t>https://ort.cbd.int/database/287707</w:t>
              </w:r>
            </w:hyperlink>
            <w:r w:rsidR="47AE99E2" w:rsidRPr="00653BF4">
              <w:rPr>
                <w:sz w:val="18"/>
                <w:szCs w:val="18"/>
                <w:lang w:val="fr-FR"/>
              </w:rPr>
              <w:t xml:space="preserve"> and </w:t>
            </w:r>
            <w:hyperlink r:id="rId108" w:history="1">
              <w:r w:rsidR="47AE99E2" w:rsidRPr="00653BF4">
                <w:rPr>
                  <w:rStyle w:val="Hyperlink"/>
                  <w:kern w:val="0"/>
                  <w:sz w:val="18"/>
                  <w:szCs w:val="18"/>
                  <w:lang w:val="fr-FR" w:eastAsia="ja-JP"/>
                  <w14:ligatures w14:val="none"/>
                </w:rPr>
                <w:t>http</w:t>
              </w:r>
              <w:r w:rsidR="47AE99E2" w:rsidRPr="00653BF4">
                <w:rPr>
                  <w:rStyle w:val="Hyperlink"/>
                  <w:sz w:val="18"/>
                  <w:szCs w:val="18"/>
                  <w:lang w:val="fr-FR" w:eastAsia="ja-JP"/>
                </w:rPr>
                <w:t>s://ort.cbd.int/database/287715</w:t>
              </w:r>
            </w:hyperlink>
            <w:r w:rsidR="5239C295" w:rsidRPr="00653BF4">
              <w:rPr>
                <w:rStyle w:val="FootnoteTextChar"/>
                <w:sz w:val="18"/>
                <w:szCs w:val="18"/>
                <w:lang w:val="fr-FR"/>
              </w:rPr>
              <w:t>).</w:t>
            </w:r>
          </w:p>
          <w:p w14:paraId="1DAD5ABB" w14:textId="6C387C92" w:rsidR="00DF0A74" w:rsidRPr="00653BF4" w:rsidRDefault="00DF0A74" w:rsidP="00C73769">
            <w:pPr>
              <w:rPr>
                <w:rFonts w:ascii="Aptos" w:hAnsi="Aptos"/>
                <w:color w:val="212121"/>
                <w:sz w:val="22"/>
                <w:szCs w:val="22"/>
                <w:lang w:val="fr-FR"/>
              </w:rPr>
            </w:pPr>
          </w:p>
          <w:p w14:paraId="61E9B7BD" w14:textId="3DEE0437" w:rsidR="00EC738D" w:rsidRPr="00653BF4" w:rsidRDefault="00EC738D" w:rsidP="00814AF1">
            <w:pPr>
              <w:rPr>
                <w:lang w:val="fr-FR" w:eastAsia="ja-JP"/>
              </w:rPr>
            </w:pPr>
          </w:p>
        </w:tc>
      </w:tr>
    </w:tbl>
    <w:p w14:paraId="5DB8B7B9" w14:textId="4AE8E182" w:rsidR="00814AF1" w:rsidRPr="00653BF4" w:rsidRDefault="00C452A6" w:rsidP="00814AF1">
      <w:pPr>
        <w:rPr>
          <w:lang w:val="fr-FR" w:eastAsia="ja-JP"/>
        </w:rPr>
      </w:pPr>
      <w:r w:rsidRPr="00653BF4">
        <w:rPr>
          <w:lang w:val="fr-FR" w:eastAsia="ja-JP"/>
        </w:rPr>
        <w:t xml:space="preserve"> </w:t>
      </w:r>
    </w:p>
    <w:p w14:paraId="08CB9344" w14:textId="1B4CD671" w:rsidR="001E6B13" w:rsidRPr="00653BF4" w:rsidRDefault="005F09ED" w:rsidP="00814AF1">
      <w:pPr>
        <w:pStyle w:val="Heading6"/>
        <w:rPr>
          <w:lang w:val="fr-FR" w:eastAsia="ja-JP"/>
        </w:rPr>
      </w:pPr>
      <w:r w:rsidRPr="00653BF4">
        <w:rPr>
          <w:lang w:val="fr-FR" w:eastAsia="ja-JP"/>
        </w:rPr>
        <w:t>Contributions intégrées dans les rapports nationaux</w:t>
      </w:r>
    </w:p>
    <w:p w14:paraId="041D167D" w14:textId="77777777" w:rsidR="00E62B97" w:rsidRPr="00653BF4" w:rsidRDefault="00E62B97" w:rsidP="00E62B97">
      <w:pPr>
        <w:rPr>
          <w:lang w:val="fr-FR" w:eastAsia="ja-JP"/>
        </w:rPr>
      </w:pPr>
    </w:p>
    <w:p w14:paraId="2DDC017C" w14:textId="07226573" w:rsidR="00E62B97" w:rsidRPr="00653BF4" w:rsidRDefault="00BF0A5F" w:rsidP="00E62B97">
      <w:pPr>
        <w:rPr>
          <w:lang w:val="fr-FR" w:eastAsia="ja-JP"/>
        </w:rPr>
      </w:pPr>
      <w:r w:rsidRPr="00BF0A5F">
        <w:rPr>
          <w:lang w:val="fr-FR" w:eastAsia="ja-JP"/>
        </w:rPr>
        <w:t xml:space="preserve">Les Parties rapportent que les autorités infranationales et les autorités locales assument plusieurs rôles dans la mise en œuvre de la </w:t>
      </w:r>
      <w:r w:rsidR="00E34DC9">
        <w:rPr>
          <w:lang w:val="fr-FR" w:eastAsia="ja-JP"/>
        </w:rPr>
        <w:t>cible 7</w:t>
      </w:r>
      <w:r w:rsidRPr="00BF0A5F">
        <w:rPr>
          <w:lang w:val="fr-FR" w:eastAsia="ja-JP"/>
        </w:rPr>
        <w:t xml:space="preserve">, par exemple en mettant en place des infrastructures de gestion des déchets, en faisant respecter les arrêtés locaux et en gérant des programmes agro-environnementaux destinés à réduire la pollution. Les acteurs du </w:t>
      </w:r>
      <w:r w:rsidRPr="00BF0A5F">
        <w:rPr>
          <w:lang w:val="fr-FR" w:eastAsia="ja-JP"/>
        </w:rPr>
        <w:lastRenderedPageBreak/>
        <w:t xml:space="preserve">monde des affaires et de la finance sont également souvent cités pour leur rôle, notamment dans l’exploitation d’entreprises de collecte et de recyclage des déchets, la participation à des cadres de responsabilité élargie des producteurs, ainsi que le financement d’infrastructures de réduction de la pollution par le biais de la responsabilité sociale des entreprises et de mécanismes de cofinancement. Les contributions des acteurs sectoriels, en particulier des agriculteurs, à la mise en œuvre de la </w:t>
      </w:r>
      <w:r w:rsidR="00E34DC9">
        <w:rPr>
          <w:lang w:val="fr-FR" w:eastAsia="ja-JP"/>
        </w:rPr>
        <w:t>cible 7</w:t>
      </w:r>
      <w:r w:rsidRPr="00BF0A5F">
        <w:rPr>
          <w:lang w:val="fr-FR" w:eastAsia="ja-JP"/>
        </w:rPr>
        <w:t xml:space="preserve"> comprennent la mise en œuvre d’une lutte intégrée contre les ravageurs, l’adoption de pratiques à faibles intrants et la participation à des programmes agro-environnementaux. En ce qui concerne le suivi et les connaissances, la communauté scientifique et le monde universitaire génèrent des données sur les résidus de pesticides, la qualité de l’eau et les microplastiques, et développent des outils, des indicateurs et des données factuelles pour fournir un appui aux efforts visant à atténuer la pollution et les déchets.</w:t>
      </w:r>
    </w:p>
    <w:p w14:paraId="51828373" w14:textId="77777777" w:rsidR="00EA3199" w:rsidRPr="00653BF4" w:rsidRDefault="00EA3199" w:rsidP="00EA3199">
      <w:pPr>
        <w:rPr>
          <w:lang w:val="fr-FR" w:eastAsia="ja-JP"/>
        </w:rPr>
      </w:pPr>
    </w:p>
    <w:p w14:paraId="671086E9" w14:textId="14577BD0" w:rsidR="00C577F7" w:rsidRPr="00653BF4" w:rsidRDefault="008A58ED" w:rsidP="00C577F7">
      <w:pPr>
        <w:pStyle w:val="Heading5"/>
        <w:rPr>
          <w:lang w:val="fr-FR" w:eastAsia="ja-JP"/>
        </w:rPr>
      </w:pPr>
      <w:r w:rsidRPr="00653BF4">
        <w:rPr>
          <w:lang w:val="fr-FR" w:eastAsia="ja-JP"/>
        </w:rPr>
        <w:t>Exemples de liens avec d</w:t>
      </w:r>
      <w:r w:rsidR="002A58C8" w:rsidRPr="00653BF4">
        <w:rPr>
          <w:lang w:val="fr-FR" w:eastAsia="ja-JP"/>
        </w:rPr>
        <w:t>’</w:t>
      </w:r>
      <w:r w:rsidRPr="00653BF4">
        <w:rPr>
          <w:lang w:val="fr-FR" w:eastAsia="ja-JP"/>
        </w:rPr>
        <w:t>autres accords, organisations et processus</w:t>
      </w:r>
    </w:p>
    <w:p w14:paraId="22A10B4A" w14:textId="77777777" w:rsidR="009949F5" w:rsidRPr="00653BF4" w:rsidRDefault="009949F5" w:rsidP="00491E90">
      <w:pPr>
        <w:rPr>
          <w:rFonts w:cs="Times New Roman"/>
          <w:lang w:val="fr-FR"/>
        </w:rPr>
      </w:pPr>
    </w:p>
    <w:p w14:paraId="75614B37" w14:textId="3FD4B15B" w:rsidR="00491E90" w:rsidRPr="00653BF4" w:rsidRDefault="007C6ED3" w:rsidP="00491E90">
      <w:pPr>
        <w:rPr>
          <w:rFonts w:eastAsia="Aptos Narrow"/>
          <w:color w:val="000000" w:themeColor="text1"/>
          <w:lang w:val="fr-FR"/>
        </w:rPr>
      </w:pPr>
      <w:r w:rsidRPr="007C6ED3">
        <w:rPr>
          <w:rFonts w:cs="Times New Roman"/>
          <w:lang w:val="fr-FR"/>
        </w:rPr>
        <w:t>Le Cadre mondial sur les produits chimiques – Pour une planète à l’abri des risques liés aux produits chimiques et aux déchets (GFC), établi en 2023 lors de la cinquième Conférence internationale sur la gestion des produits chimiques, définit cinq objectifs stratégiques et 28 cibles portant sur le cycle de vie des produits chimiques, y compris les produits et les déchets, avec pour vision globale celle d’une planète à l’abri des risques liés aux produits chimiques et aux déchets</w:t>
      </w:r>
      <w:r w:rsidR="006B5361" w:rsidRPr="00653BF4">
        <w:rPr>
          <w:rStyle w:val="FootnoteReference"/>
          <w:rFonts w:cs="Times New Roman"/>
          <w:lang w:val="fr-FR"/>
        </w:rPr>
        <w:footnoteReference w:id="24"/>
      </w:r>
      <w:r>
        <w:rPr>
          <w:rFonts w:cs="Times New Roman"/>
          <w:lang w:val="fr-FR"/>
        </w:rPr>
        <w:t>.</w:t>
      </w:r>
      <w:r w:rsidR="006B5361" w:rsidRPr="00653BF4">
        <w:rPr>
          <w:rFonts w:cs="Times New Roman"/>
          <w:lang w:val="fr-FR"/>
        </w:rPr>
        <w:t xml:space="preserve"> </w:t>
      </w:r>
      <w:r w:rsidR="00B424B6" w:rsidRPr="00B424B6">
        <w:rPr>
          <w:rFonts w:eastAsia="Aptos Narrow"/>
          <w:lang w:val="fr-FR"/>
        </w:rPr>
        <w:t xml:space="preserve">Pour suivre les progrès et les impacts, le GFC intègre un cadre de mesurabilité assorti d’indicateurs, proposant notamment un indicateur de haut niveau portant sur la </w:t>
      </w:r>
      <w:r w:rsidR="00E34DC9">
        <w:rPr>
          <w:rFonts w:eastAsia="Aptos Narrow"/>
          <w:lang w:val="fr-FR"/>
        </w:rPr>
        <w:t>« </w:t>
      </w:r>
      <w:r w:rsidR="00B424B6" w:rsidRPr="00B424B6">
        <w:rPr>
          <w:rFonts w:eastAsia="Aptos Narrow"/>
          <w:lang w:val="fr-FR"/>
        </w:rPr>
        <w:t>charge environnementale mondiale imputable aux produits chimiques et aux déchets</w:t>
      </w:r>
      <w:r w:rsidR="00E34DC9">
        <w:rPr>
          <w:rFonts w:eastAsia="Aptos Narrow"/>
          <w:lang w:val="fr-FR"/>
        </w:rPr>
        <w:t> »</w:t>
      </w:r>
      <w:r w:rsidR="00B424B6" w:rsidRPr="00B424B6">
        <w:rPr>
          <w:rFonts w:eastAsia="Aptos Narrow"/>
          <w:lang w:val="fr-FR"/>
        </w:rPr>
        <w:t xml:space="preserve">. Le PNUE et le secrétariat du GFC apportent leur appui à l’élaboration d’indicateurs susceptibles de compléter le suivi de la </w:t>
      </w:r>
      <w:r w:rsidR="00E34DC9">
        <w:rPr>
          <w:rFonts w:eastAsia="Aptos Narrow"/>
          <w:lang w:val="fr-FR"/>
        </w:rPr>
        <w:t>cible 7</w:t>
      </w:r>
      <w:r w:rsidR="00B424B6" w:rsidRPr="00B424B6">
        <w:rPr>
          <w:rFonts w:eastAsia="Aptos Narrow"/>
          <w:lang w:val="fr-FR"/>
        </w:rPr>
        <w:t xml:space="preserve"> du Cadre, notamment en contribuant à rendre compte des impacts de la pollution par les produits chimiques et les déchets sur la biodiversité, les fonctions écosystémiques et les services écosystémiques (PNUE, 2024a, 2024b, 2025a et 2025b).</w:t>
      </w:r>
    </w:p>
    <w:p w14:paraId="4D228656" w14:textId="143321A1" w:rsidR="00664465" w:rsidRPr="00653BF4" w:rsidRDefault="001B1762" w:rsidP="00F21562">
      <w:pPr>
        <w:rPr>
          <w:rFonts w:cs="Times New Roman"/>
          <w:lang w:val="fr-FR"/>
        </w:rPr>
      </w:pPr>
      <w:r w:rsidRPr="001B1762">
        <w:rPr>
          <w:lang w:val="fr-FR"/>
        </w:rPr>
        <w:t xml:space="preserve">L’exploitation artisanale et à petite échelle de l’or, qui repose principalement sur l’utilisation du mercure, constitue un domaine spécifique de convergence entre la Convention de Minamata sur le mercure et le Cadre. Cette pratique, très répandue dans les pays en développement d’Amérique du Sud, d’Afrique subsaharienne et d’Asie, a des effets directs et majeurs sur la santé humaine et les écosystèmes. À ce jour, 37 Parties à la Convention de Minamata sur le mercure ont présenté des plans d’action nationaux relatifs </w:t>
      </w:r>
      <w:r w:rsidRPr="001B1762">
        <w:rPr>
          <w:lang w:val="fr-FR"/>
        </w:rPr>
        <w:lastRenderedPageBreak/>
        <w:t xml:space="preserve">à l’exploitation artisanale et à petite échelle de l’or, axés sur la formalisation ou la réglementation du secteur ainsi que sur d’autres éléments obligatoires. La mise en œuvre de ces plans devrait permettre de réduire considérablement les émissions de mercure et contribuer ainsi à la </w:t>
      </w:r>
      <w:r w:rsidR="00E34DC9">
        <w:rPr>
          <w:lang w:val="fr-FR"/>
        </w:rPr>
        <w:t>cible 7</w:t>
      </w:r>
      <w:r w:rsidRPr="001B1762">
        <w:rPr>
          <w:lang w:val="fr-FR"/>
        </w:rPr>
        <w:t xml:space="preserve"> du Cadre. </w:t>
      </w:r>
      <w:r w:rsidR="00A46B16" w:rsidRPr="00A46B16">
        <w:rPr>
          <w:lang w:val="fr-FR"/>
        </w:rPr>
        <w:t xml:space="preserve">Le PNUE, avec l'appui du FEM, collabore avec le Secrétariat de la Convention de Minamata sur le mercure et d'autres partenaires dans le cadre d'un programme intitulé </w:t>
      </w:r>
      <w:r w:rsidR="00E34DC9">
        <w:rPr>
          <w:lang w:val="fr-FR"/>
        </w:rPr>
        <w:t>« </w:t>
      </w:r>
      <w:r w:rsidR="00A46B16" w:rsidRPr="00A46B16">
        <w:rPr>
          <w:lang w:val="fr-FR"/>
        </w:rPr>
        <w:t>planetGOLD</w:t>
      </w:r>
      <w:r w:rsidR="00E34DC9">
        <w:rPr>
          <w:lang w:val="fr-FR"/>
        </w:rPr>
        <w:t> »</w:t>
      </w:r>
      <w:r w:rsidR="00394F8D" w:rsidRPr="00653BF4">
        <w:rPr>
          <w:rStyle w:val="FootnoteReference"/>
          <w:lang w:val="fr-FR"/>
        </w:rPr>
        <w:footnoteReference w:id="25"/>
      </w:r>
      <w:r w:rsidR="00A46B16">
        <w:rPr>
          <w:lang w:val="fr-FR"/>
        </w:rPr>
        <w:t>,</w:t>
      </w:r>
      <w:r w:rsidR="00664465" w:rsidRPr="00653BF4">
        <w:rPr>
          <w:lang w:val="fr-FR"/>
        </w:rPr>
        <w:t xml:space="preserve"> </w:t>
      </w:r>
      <w:r w:rsidR="00A46B16" w:rsidRPr="00A46B16">
        <w:rPr>
          <w:lang w:val="fr-FR"/>
        </w:rPr>
        <w:t xml:space="preserve">qui vise à éliminer le mercure de la chaîne d'approvisionnement en or et à rendre l'exploitation aurifère à petite échelle plus sûre, plus propre et plus rentable (Dossou Etui </w:t>
      </w:r>
      <w:r w:rsidR="00A46B16" w:rsidRPr="00A46B16">
        <w:rPr>
          <w:i/>
          <w:iCs/>
          <w:lang w:val="fr-FR"/>
        </w:rPr>
        <w:t>et al.</w:t>
      </w:r>
      <w:r w:rsidR="00A46B16" w:rsidRPr="00A46B16">
        <w:rPr>
          <w:lang w:val="fr-FR"/>
        </w:rPr>
        <w:t>, 2024</w:t>
      </w:r>
      <w:r w:rsidR="00E34DC9">
        <w:rPr>
          <w:lang w:val="fr-FR"/>
        </w:rPr>
        <w:t> ;</w:t>
      </w:r>
      <w:r w:rsidR="00A46B16" w:rsidRPr="00A46B16">
        <w:rPr>
          <w:lang w:val="fr-FR"/>
        </w:rPr>
        <w:t xml:space="preserve"> Convention de Minamata sur le mercure, 2024, 2025a et 2025b</w:t>
      </w:r>
      <w:r w:rsidR="00E34DC9">
        <w:rPr>
          <w:lang w:val="fr-FR"/>
        </w:rPr>
        <w:t> ;</w:t>
      </w:r>
      <w:r w:rsidR="00A46B16" w:rsidRPr="00A46B16">
        <w:rPr>
          <w:lang w:val="fr-FR"/>
        </w:rPr>
        <w:t xml:space="preserve"> et PNUE, 2025a).</w:t>
      </w:r>
    </w:p>
    <w:p w14:paraId="40886A55" w14:textId="3B002C16" w:rsidR="00664465" w:rsidRPr="00653BF4" w:rsidRDefault="000C317F" w:rsidP="00664465">
      <w:pPr>
        <w:rPr>
          <w:lang w:val="fr-FR"/>
        </w:rPr>
      </w:pPr>
      <w:r w:rsidRPr="000C317F">
        <w:rPr>
          <w:rFonts w:cs="Times New Roman"/>
          <w:lang w:val="fr-FR"/>
        </w:rPr>
        <w:t>En outre, la Commission baleinière internationale collabore à la fois avec la Convention de Stockholm sur les polluants organiques persistants et la Convention de Minamata sur le mercure afin de lutter contre la contamination des cétacés. Par ailleurs, d’après les rapports nationaux des Parties à la Convention relative aux zones humides, la pollution constitue la menace la plus fréquemment signalée pour les sites figurant sur la Liste Ramsar des zones humides d’importance internationale (CBI, 2025</w:t>
      </w:r>
      <w:r w:rsidR="00E34DC9">
        <w:rPr>
          <w:rFonts w:cs="Times New Roman"/>
          <w:lang w:val="fr-FR"/>
        </w:rPr>
        <w:t> ;</w:t>
      </w:r>
      <w:r w:rsidRPr="000C317F">
        <w:rPr>
          <w:rFonts w:cs="Times New Roman"/>
          <w:lang w:val="fr-FR"/>
        </w:rPr>
        <w:t xml:space="preserve"> et Convention relative aux zones humides, 2025c). Le Partenariat sur les déchets plastiques, dans le cadre de la Convention de Bâle sur le contrôle des mouvements transfrontières de déchets dangereux et de leur élimination, met en œuvre des projets pilotes visant à renforcer le renforcement des capacités, la gestion des déchets et les cadres politiques afin d’aider les pays à prévenir l’accumulation de déchets plastiques et à réduire au minimum la pollution à la source (secrétariat des Conventions de Bâle, de Rotterdam et de Stockholm, 2025).</w:t>
      </w:r>
    </w:p>
    <w:p w14:paraId="53AA6605" w14:textId="5046809A" w:rsidR="00066DE1" w:rsidRPr="00653BF4" w:rsidRDefault="00DA01B3" w:rsidP="00066DE1">
      <w:pPr>
        <w:rPr>
          <w:lang w:val="fr-FR"/>
        </w:rPr>
      </w:pPr>
      <w:r w:rsidRPr="00DA01B3">
        <w:rPr>
          <w:lang w:val="fr-FR"/>
        </w:rPr>
        <w:t>Enfin, il existe des synergies entre les efforts déployés pour la mise en œuvre du Cadre et le Mémorandum d'Entente sur la Conservation des oiseaux de proie migrateurs d'Afrique et d'Eurasie de la CMS (CMS, 2008), notamment en vue d'éviter l'empoisonnement des oiseaux par les pesticides et les produits chimiques nocifs.</w:t>
      </w:r>
    </w:p>
    <w:p w14:paraId="0846AD42" w14:textId="29FBDEAE" w:rsidR="00772BC7" w:rsidRPr="00653BF4" w:rsidRDefault="00692346" w:rsidP="00772BC7">
      <w:pPr>
        <w:rPr>
          <w:lang w:val="fr-FR"/>
        </w:rPr>
      </w:pPr>
      <w:r w:rsidRPr="00692346">
        <w:rPr>
          <w:lang w:val="fr-FR"/>
        </w:rPr>
        <w:t xml:space="preserve">Les activités menées dans le cadre des programmes de coopération internationale relevant de la Convention sur la pollution atmosphérique transfrontière à longue distance (CEE, 1979) et du Système international de gestion de l’azote (INMS, 2026) du PNUE peuvent contribuer à la gestion des charges en nutriments dans les écosystèmes. Ces initiatives apportent un appui à la coopération internationale en matière d’atténuation et aux investissements nécessaires à la mise en œuvre de solutions permettant de progresser vers la réalisation de la </w:t>
      </w:r>
      <w:r w:rsidR="00E34DC9">
        <w:rPr>
          <w:lang w:val="fr-FR"/>
        </w:rPr>
        <w:t>cible 7</w:t>
      </w:r>
      <w:r w:rsidRPr="00692346">
        <w:rPr>
          <w:lang w:val="fr-FR"/>
        </w:rPr>
        <w:t>.</w:t>
      </w:r>
    </w:p>
    <w:p w14:paraId="371B0C43" w14:textId="77777777" w:rsidR="00CC139B" w:rsidRPr="00653BF4" w:rsidRDefault="00CC139B" w:rsidP="00664465">
      <w:pPr>
        <w:rPr>
          <w:rFonts w:cs="Times New Roman"/>
          <w:lang w:val="fr-FR"/>
        </w:rPr>
      </w:pPr>
    </w:p>
    <w:p w14:paraId="1B2F4DD3" w14:textId="1C01145A" w:rsidR="00120352" w:rsidRPr="00653BF4" w:rsidRDefault="00E34DC9" w:rsidP="74032CC2">
      <w:pPr>
        <w:pStyle w:val="Heading4"/>
        <w:rPr>
          <w:i w:val="0"/>
          <w:iCs w:val="0"/>
          <w:lang w:val="fr-FR"/>
        </w:rPr>
      </w:pPr>
      <w:bookmarkStart w:id="162" w:name="_Toc235821141"/>
      <w:bookmarkStart w:id="163" w:name="_Toc239069202"/>
      <w:bookmarkStart w:id="164" w:name="_Toc242801239"/>
      <w:r>
        <w:rPr>
          <w:b/>
          <w:bCs/>
          <w:i w:val="0"/>
          <w:iCs w:val="0"/>
          <w:lang w:val="fr-FR"/>
        </w:rPr>
        <w:lastRenderedPageBreak/>
        <w:t>Cible 8</w:t>
      </w:r>
      <w:r w:rsidR="003576E2" w:rsidRPr="00653BF4">
        <w:rPr>
          <w:b/>
          <w:bCs/>
          <w:i w:val="0"/>
          <w:iCs w:val="0"/>
          <w:lang w:val="fr-FR"/>
        </w:rPr>
        <w:t xml:space="preserve">. </w:t>
      </w:r>
      <w:bookmarkEnd w:id="162"/>
      <w:bookmarkEnd w:id="163"/>
      <w:r w:rsidR="00B969C3" w:rsidRPr="00653BF4">
        <w:rPr>
          <w:i w:val="0"/>
          <w:iCs w:val="0"/>
          <w:lang w:val="fr-FR"/>
        </w:rPr>
        <w:t>Réduire au minimum les effets des changements climatiques sur la biodiversité et renforcer la résilience</w:t>
      </w:r>
      <w:bookmarkEnd w:id="164"/>
    </w:p>
    <w:p w14:paraId="2E38F649" w14:textId="77777777" w:rsidR="003576E2" w:rsidRPr="00653BF4" w:rsidRDefault="003576E2" w:rsidP="00856E28">
      <w:pPr>
        <w:rPr>
          <w:b/>
          <w:bCs/>
          <w:i/>
          <w:iCs/>
          <w:sz w:val="22"/>
          <w:szCs w:val="22"/>
          <w:lang w:val="fr-FR"/>
        </w:rPr>
      </w:pPr>
    </w:p>
    <w:p w14:paraId="072927EA" w14:textId="06A184FE" w:rsidR="00856E28" w:rsidRPr="00653BF4" w:rsidRDefault="002D11C3" w:rsidP="00856E28">
      <w:pPr>
        <w:rPr>
          <w:i/>
          <w:iCs/>
          <w:sz w:val="22"/>
          <w:szCs w:val="22"/>
          <w:lang w:val="fr-FR"/>
        </w:rPr>
      </w:pPr>
      <w:r w:rsidRPr="00653BF4">
        <w:rPr>
          <w:b/>
          <w:bCs/>
          <w:sz w:val="22"/>
          <w:szCs w:val="22"/>
          <w:lang w:val="fr-FR"/>
        </w:rPr>
        <w:t>T</w:t>
      </w:r>
      <w:r w:rsidR="00856E28" w:rsidRPr="00653BF4">
        <w:rPr>
          <w:b/>
          <w:bCs/>
          <w:sz w:val="22"/>
          <w:szCs w:val="22"/>
          <w:lang w:val="fr-FR"/>
        </w:rPr>
        <w:t>ext</w:t>
      </w:r>
      <w:r w:rsidRPr="00653BF4">
        <w:rPr>
          <w:b/>
          <w:bCs/>
          <w:sz w:val="22"/>
          <w:szCs w:val="22"/>
          <w:lang w:val="fr-FR"/>
        </w:rPr>
        <w:t>e de la cible</w:t>
      </w:r>
      <w:r w:rsidR="003576E2" w:rsidRPr="00653BF4">
        <w:rPr>
          <w:b/>
          <w:bCs/>
          <w:sz w:val="22"/>
          <w:szCs w:val="22"/>
          <w:lang w:val="fr-FR"/>
        </w:rPr>
        <w:t>.</w:t>
      </w:r>
      <w:r w:rsidR="00F62E95" w:rsidRPr="00653BF4">
        <w:rPr>
          <w:b/>
          <w:bCs/>
          <w:sz w:val="22"/>
          <w:szCs w:val="22"/>
          <w:lang w:val="fr-FR"/>
        </w:rPr>
        <w:t xml:space="preserve"> </w:t>
      </w:r>
      <w:r w:rsidRPr="00653BF4">
        <w:rPr>
          <w:i/>
          <w:iCs/>
          <w:sz w:val="22"/>
          <w:szCs w:val="22"/>
          <w:lang w:val="fr-FR"/>
        </w:rPr>
        <w:t>Atténuer les effets des changements climatiques et de l</w:t>
      </w:r>
      <w:r w:rsidR="002A58C8" w:rsidRPr="00653BF4">
        <w:rPr>
          <w:i/>
          <w:iCs/>
          <w:sz w:val="22"/>
          <w:szCs w:val="22"/>
          <w:lang w:val="fr-FR"/>
        </w:rPr>
        <w:t>’</w:t>
      </w:r>
      <w:r w:rsidRPr="00653BF4">
        <w:rPr>
          <w:i/>
          <w:iCs/>
          <w:sz w:val="22"/>
          <w:szCs w:val="22"/>
          <w:lang w:val="fr-FR"/>
        </w:rPr>
        <w:t>acidification des océans sur la biodiversité et renforcer la résilience de celle-ci grâce à des mesures d</w:t>
      </w:r>
      <w:r w:rsidR="002A58C8" w:rsidRPr="00653BF4">
        <w:rPr>
          <w:i/>
          <w:iCs/>
          <w:sz w:val="22"/>
          <w:szCs w:val="22"/>
          <w:lang w:val="fr-FR"/>
        </w:rPr>
        <w:t>’</w:t>
      </w:r>
      <w:r w:rsidRPr="00653BF4">
        <w:rPr>
          <w:i/>
          <w:iCs/>
          <w:sz w:val="22"/>
          <w:szCs w:val="22"/>
          <w:lang w:val="fr-FR"/>
        </w:rPr>
        <w:t>atténuation et d</w:t>
      </w:r>
      <w:r w:rsidR="002A58C8" w:rsidRPr="00653BF4">
        <w:rPr>
          <w:i/>
          <w:iCs/>
          <w:sz w:val="22"/>
          <w:szCs w:val="22"/>
          <w:lang w:val="fr-FR"/>
        </w:rPr>
        <w:t>’</w:t>
      </w:r>
      <w:r w:rsidRPr="00653BF4">
        <w:rPr>
          <w:i/>
          <w:iCs/>
          <w:sz w:val="22"/>
          <w:szCs w:val="22"/>
          <w:lang w:val="fr-FR"/>
        </w:rPr>
        <w:t>adaptation ainsi qu</w:t>
      </w:r>
      <w:r w:rsidR="002A58C8" w:rsidRPr="00653BF4">
        <w:rPr>
          <w:i/>
          <w:iCs/>
          <w:sz w:val="22"/>
          <w:szCs w:val="22"/>
          <w:lang w:val="fr-FR"/>
        </w:rPr>
        <w:t>’</w:t>
      </w:r>
      <w:r w:rsidRPr="00653BF4">
        <w:rPr>
          <w:i/>
          <w:iCs/>
          <w:sz w:val="22"/>
          <w:szCs w:val="22"/>
          <w:lang w:val="fr-FR"/>
        </w:rPr>
        <w:t>à des mesures de réduction des risques de catastrophe naturelle, y compris au moyen de solutions fondées sur la nature et/ou d</w:t>
      </w:r>
      <w:r w:rsidR="002A58C8" w:rsidRPr="00653BF4">
        <w:rPr>
          <w:i/>
          <w:iCs/>
          <w:sz w:val="22"/>
          <w:szCs w:val="22"/>
          <w:lang w:val="fr-FR"/>
        </w:rPr>
        <w:t>’</w:t>
      </w:r>
      <w:r w:rsidRPr="00653BF4">
        <w:rPr>
          <w:i/>
          <w:iCs/>
          <w:sz w:val="22"/>
          <w:szCs w:val="22"/>
          <w:lang w:val="fr-FR"/>
        </w:rPr>
        <w:t>approches écosystémiques, en réduisant au minimum toute incidence négative et en favorisant les retombées positives de l</w:t>
      </w:r>
      <w:r w:rsidR="002A58C8" w:rsidRPr="00653BF4">
        <w:rPr>
          <w:i/>
          <w:iCs/>
          <w:sz w:val="22"/>
          <w:szCs w:val="22"/>
          <w:lang w:val="fr-FR"/>
        </w:rPr>
        <w:t>’</w:t>
      </w:r>
      <w:r w:rsidRPr="00653BF4">
        <w:rPr>
          <w:i/>
          <w:iCs/>
          <w:sz w:val="22"/>
          <w:szCs w:val="22"/>
          <w:lang w:val="fr-FR"/>
        </w:rPr>
        <w:t>action climatique sur la biodiversité.</w:t>
      </w:r>
    </w:p>
    <w:p w14:paraId="50ECEB5D" w14:textId="77777777" w:rsidR="00856E28" w:rsidRPr="00653BF4" w:rsidRDefault="00856E28" w:rsidP="00856E28">
      <w:pPr>
        <w:rPr>
          <w:i/>
          <w:iCs/>
          <w:sz w:val="22"/>
          <w:szCs w:val="22"/>
          <w:lang w:val="fr-FR"/>
        </w:rPr>
      </w:pPr>
    </w:p>
    <w:p w14:paraId="2DADC70C" w14:textId="43B0FBBC" w:rsidR="0077417D" w:rsidRPr="00653BF4" w:rsidRDefault="00DD19D2" w:rsidP="0077417D">
      <w:pPr>
        <w:pStyle w:val="Heading5"/>
        <w:rPr>
          <w:lang w:val="fr-FR"/>
        </w:rPr>
      </w:pPr>
      <w:r w:rsidRPr="00653BF4">
        <w:rPr>
          <w:lang w:val="fr-FR"/>
        </w:rPr>
        <w:t>Aperçu des progrès</w:t>
      </w:r>
      <w:r w:rsidR="003E194D" w:rsidRPr="00653BF4">
        <w:rPr>
          <w:lang w:val="fr-FR"/>
        </w:rPr>
        <w:t xml:space="preserve"> accomplis</w:t>
      </w:r>
    </w:p>
    <w:tbl>
      <w:tblPr>
        <w:tblStyle w:val="TableGrid"/>
        <w:tblW w:w="0" w:type="auto"/>
        <w:tblLook w:val="04A0" w:firstRow="1" w:lastRow="0" w:firstColumn="1" w:lastColumn="0" w:noHBand="0" w:noVBand="1"/>
      </w:tblPr>
      <w:tblGrid>
        <w:gridCol w:w="9016"/>
      </w:tblGrid>
      <w:tr w:rsidR="0077417D" w:rsidRPr="00543148" w14:paraId="60762105" w14:textId="77777777" w:rsidTr="0077417D">
        <w:tc>
          <w:tcPr>
            <w:tcW w:w="9016" w:type="dxa"/>
            <w:shd w:val="clear" w:color="auto" w:fill="D1D1D1" w:themeFill="background2" w:themeFillShade="E6"/>
          </w:tcPr>
          <w:p w14:paraId="6C284F3A" w14:textId="77777777" w:rsidR="0084605A" w:rsidRPr="00653BF4" w:rsidRDefault="0084605A" w:rsidP="00640359">
            <w:pPr>
              <w:rPr>
                <w:rFonts w:ascii="Aptos" w:eastAsia="Times New Roman" w:hAnsi="Aptos" w:cs="Calibri"/>
                <w:color w:val="000000"/>
                <w:lang w:val="fr-FR"/>
              </w:rPr>
            </w:pPr>
          </w:p>
          <w:p w14:paraId="006F2CF4" w14:textId="59B1A7B6" w:rsidR="001B6768" w:rsidRPr="00653BF4" w:rsidRDefault="00A3029D" w:rsidP="001B6768">
            <w:pPr>
              <w:rPr>
                <w:rFonts w:ascii="Aptos" w:eastAsia="Times New Roman" w:hAnsi="Aptos" w:cs="Calibri"/>
                <w:color w:val="000000"/>
                <w:lang w:val="fr-FR"/>
              </w:rPr>
            </w:pPr>
            <w:r w:rsidRPr="00A3029D">
              <w:rPr>
                <w:rFonts w:ascii="Aptos" w:eastAsia="Times New Roman" w:hAnsi="Aptos" w:cs="Calibri"/>
                <w:color w:val="000000"/>
                <w:lang w:val="fr-FR"/>
              </w:rPr>
              <w:t xml:space="preserve">Les mesures visant à renforcer la résilience climatique et l’adaptation progressent, mais leur mise en œuvre reste entravée par des lacunes en matière de données, des moyens de mise en œuvre limités et la nécessité d’une plus grande cohérence entre la planification en matière de biodiversité, de climat et de réduction des risques de catastrophe. On observe globalement une bonne adéquation entre les cibles nationales et la </w:t>
            </w:r>
            <w:r w:rsidR="00E34DC9">
              <w:rPr>
                <w:rFonts w:ascii="Aptos" w:eastAsia="Times New Roman" w:hAnsi="Aptos" w:cs="Calibri"/>
                <w:color w:val="000000"/>
                <w:lang w:val="fr-FR"/>
              </w:rPr>
              <w:t>cible 8</w:t>
            </w:r>
            <w:r w:rsidRPr="00A3029D">
              <w:rPr>
                <w:rFonts w:ascii="Aptos" w:eastAsia="Times New Roman" w:hAnsi="Aptos" w:cs="Calibri"/>
                <w:color w:val="000000"/>
                <w:lang w:val="fr-FR"/>
              </w:rPr>
              <w:t xml:space="preserve"> pour chacun des éléments, à l’exception des cibles liées à la minimisation des effets de l’acidification des océans. La moitié des indicateurs présentés par les Parties font état de tendances positives, ce qui suggère que les mesures mises en œuvre sont globalement efficaces. Les Parties reconnaissent toutefois dans leurs auto-évaluations que les progrès ne sont pas suffisamment rapides pour permettre d’atteindre la moitié des cibles. Parmi les approches importantes mentionnées pour traiter les différents éléments de la </w:t>
            </w:r>
            <w:r w:rsidR="00E34DC9">
              <w:rPr>
                <w:rFonts w:ascii="Aptos" w:eastAsia="Times New Roman" w:hAnsi="Aptos" w:cs="Calibri"/>
                <w:color w:val="000000"/>
                <w:lang w:val="fr-FR"/>
              </w:rPr>
              <w:t>cible 8</w:t>
            </w:r>
            <w:r w:rsidRPr="00A3029D">
              <w:rPr>
                <w:rFonts w:ascii="Aptos" w:eastAsia="Times New Roman" w:hAnsi="Aptos" w:cs="Calibri"/>
                <w:color w:val="000000"/>
                <w:lang w:val="fr-FR"/>
              </w:rPr>
              <w:t xml:space="preserve"> figurent la remise en état des écosystèmes, également mentionnée dans la </w:t>
            </w:r>
            <w:r w:rsidR="00E34DC9">
              <w:rPr>
                <w:rFonts w:ascii="Aptos" w:eastAsia="Times New Roman" w:hAnsi="Aptos" w:cs="Calibri"/>
                <w:color w:val="000000"/>
                <w:lang w:val="fr-FR"/>
              </w:rPr>
              <w:t>cible 2</w:t>
            </w:r>
            <w:r w:rsidRPr="00A3029D">
              <w:rPr>
                <w:rFonts w:ascii="Aptos" w:eastAsia="Times New Roman" w:hAnsi="Aptos" w:cs="Calibri"/>
                <w:color w:val="000000"/>
                <w:lang w:val="fr-FR"/>
              </w:rPr>
              <w:t xml:space="preserve">, et les solutions </w:t>
            </w:r>
            <w:r w:rsidR="00CC65D3">
              <w:rPr>
                <w:rFonts w:ascii="Aptos" w:eastAsia="Times New Roman" w:hAnsi="Aptos" w:cs="Calibri"/>
                <w:color w:val="000000"/>
                <w:lang w:val="fr-FR"/>
              </w:rPr>
              <w:t>fondées</w:t>
            </w:r>
            <w:r w:rsidRPr="00A3029D">
              <w:rPr>
                <w:rFonts w:ascii="Aptos" w:eastAsia="Times New Roman" w:hAnsi="Aptos" w:cs="Calibri"/>
                <w:color w:val="000000"/>
                <w:lang w:val="fr-FR"/>
              </w:rPr>
              <w:t xml:space="preserve"> sur la nature</w:t>
            </w:r>
            <w:r w:rsidR="00E34DC9">
              <w:rPr>
                <w:rFonts w:ascii="Aptos" w:eastAsia="Times New Roman" w:hAnsi="Aptos" w:cs="Calibri"/>
                <w:color w:val="000000"/>
                <w:lang w:val="fr-FR"/>
              </w:rPr>
              <w:t> ;</w:t>
            </w:r>
            <w:r w:rsidRPr="00A3029D">
              <w:rPr>
                <w:rFonts w:ascii="Aptos" w:eastAsia="Times New Roman" w:hAnsi="Aptos" w:cs="Calibri"/>
                <w:color w:val="000000"/>
                <w:lang w:val="fr-FR"/>
              </w:rPr>
              <w:t xml:space="preserve"> toutefois, celles-ci ne sont pas déployées à une échelle suffisante.</w:t>
            </w:r>
          </w:p>
          <w:p w14:paraId="6167A6C8" w14:textId="0780FE9B" w:rsidR="008404EF" w:rsidRPr="00653BF4" w:rsidRDefault="008404EF" w:rsidP="00980EC3">
            <w:pPr>
              <w:rPr>
                <w:lang w:val="fr-FR"/>
              </w:rPr>
            </w:pPr>
          </w:p>
        </w:tc>
      </w:tr>
    </w:tbl>
    <w:p w14:paraId="77565D7B" w14:textId="2C0438B0" w:rsidR="00A00FA5" w:rsidRPr="00653BF4" w:rsidRDefault="00A00FA5" w:rsidP="00A00FA5">
      <w:pPr>
        <w:rPr>
          <w:lang w:val="fr-FR"/>
        </w:rPr>
      </w:pPr>
    </w:p>
    <w:p w14:paraId="5740EFF5" w14:textId="1C98B9FF" w:rsidR="006F0690" w:rsidRPr="00653BF4" w:rsidRDefault="00B60BA6" w:rsidP="006F0690">
      <w:pPr>
        <w:pStyle w:val="Heading5"/>
        <w:rPr>
          <w:lang w:val="fr-FR"/>
        </w:rPr>
      </w:pPr>
      <w:r w:rsidRPr="00653BF4">
        <w:rPr>
          <w:lang w:val="fr-FR"/>
        </w:rPr>
        <w:t xml:space="preserve">Prise en compte par les Parties de la portée de la </w:t>
      </w:r>
      <w:r w:rsidR="00E34DC9">
        <w:rPr>
          <w:lang w:val="fr-FR"/>
        </w:rPr>
        <w:t>cible 8</w:t>
      </w:r>
      <w:r w:rsidRPr="00653BF4">
        <w:rPr>
          <w:lang w:val="fr-FR"/>
        </w:rPr>
        <w:t xml:space="preserve"> du Cadre dans leurs cibles nationales</w:t>
      </w:r>
    </w:p>
    <w:p w14:paraId="71427C31" w14:textId="77777777" w:rsidR="006F0690" w:rsidRPr="00653BF4" w:rsidRDefault="006F0690" w:rsidP="006F0690">
      <w:pPr>
        <w:pStyle w:val="Caption"/>
        <w:rPr>
          <w:lang w:val="fr-FR"/>
        </w:rPr>
      </w:pPr>
    </w:p>
    <w:p w14:paraId="5668C24D" w14:textId="677C1AA6" w:rsidR="00DA4F94" w:rsidRPr="00653BF4" w:rsidRDefault="00D5751A" w:rsidP="00DA4F94">
      <w:pPr>
        <w:pStyle w:val="Caption"/>
        <w:keepNext/>
        <w:rPr>
          <w:i w:val="0"/>
          <w:iCs w:val="0"/>
          <w:sz w:val="20"/>
          <w:szCs w:val="20"/>
          <w:lang w:val="fr-FR"/>
        </w:rPr>
      </w:pPr>
      <w:r w:rsidRPr="00653BF4">
        <w:rPr>
          <w:i w:val="0"/>
          <w:iCs w:val="0"/>
          <w:sz w:val="20"/>
          <w:szCs w:val="20"/>
          <w:lang w:val="fr-FR"/>
        </w:rPr>
        <w:t>Tableau</w:t>
      </w:r>
      <w:r w:rsidR="00DC1793" w:rsidRPr="00653BF4">
        <w:rPr>
          <w:i w:val="0"/>
          <w:iCs w:val="0"/>
          <w:noProof/>
          <w:sz w:val="20"/>
          <w:szCs w:val="20"/>
          <w:lang w:val="fr-FR"/>
        </w:rPr>
        <w:t>18</w:t>
      </w:r>
      <w:r w:rsidR="00DA4F94" w:rsidRPr="00653BF4">
        <w:rPr>
          <w:i w:val="0"/>
          <w:iCs w:val="0"/>
          <w:sz w:val="20"/>
          <w:szCs w:val="20"/>
          <w:lang w:val="fr-FR"/>
        </w:rPr>
        <w:t xml:space="preserve"> </w:t>
      </w:r>
    </w:p>
    <w:p w14:paraId="0B613F25" w14:textId="478B048B" w:rsidR="006A3EDD" w:rsidRPr="00653BF4" w:rsidRDefault="00B60BA6" w:rsidP="00C33FBC">
      <w:pPr>
        <w:pStyle w:val="Caption"/>
        <w:keepNext/>
        <w:rPr>
          <w:i w:val="0"/>
          <w:iCs w:val="0"/>
          <w:sz w:val="20"/>
          <w:szCs w:val="20"/>
          <w:vertAlign w:val="superscript"/>
          <w:lang w:val="fr-FR"/>
        </w:rPr>
      </w:pPr>
      <w:r w:rsidRPr="00653BF4">
        <w:rPr>
          <w:b/>
          <w:i w:val="0"/>
          <w:sz w:val="20"/>
          <w:szCs w:val="20"/>
          <w:lang w:val="fr-FR"/>
        </w:rPr>
        <w:t xml:space="preserve">Éléments de la </w:t>
      </w:r>
      <w:r w:rsidR="00E34DC9">
        <w:rPr>
          <w:b/>
          <w:i w:val="0"/>
          <w:sz w:val="20"/>
          <w:szCs w:val="20"/>
          <w:lang w:val="fr-FR"/>
        </w:rPr>
        <w:t>cible 8</w:t>
      </w:r>
      <w:r w:rsidRPr="00653BF4">
        <w:rPr>
          <w:b/>
          <w:i w:val="0"/>
          <w:sz w:val="20"/>
          <w:szCs w:val="20"/>
          <w:lang w:val="fr-FR"/>
        </w:rPr>
        <w:t xml:space="preserve"> du Cadre et leur prise en compte dans les cibles nationales</w:t>
      </w:r>
      <w:r w:rsidR="00C33FBC" w:rsidRPr="00653BF4">
        <w:rPr>
          <w:i w:val="0"/>
          <w:iCs w:val="0"/>
          <w:sz w:val="20"/>
          <w:szCs w:val="20"/>
          <w:vertAlign w:val="superscript"/>
          <w:lang w:val="fr-FR"/>
        </w:rPr>
        <w:t>a</w:t>
      </w:r>
    </w:p>
    <w:p w14:paraId="2061AF40" w14:textId="77777777" w:rsidR="00C33FBC" w:rsidRPr="00653BF4" w:rsidRDefault="00C33FBC" w:rsidP="00C33FBC">
      <w:pPr>
        <w:rPr>
          <w:lang w:val="fr-FR" w:eastAsia="ja-JP"/>
        </w:rPr>
      </w:pPr>
    </w:p>
    <w:tbl>
      <w:tblPr>
        <w:tblStyle w:val="TableGrid"/>
        <w:tblW w:w="0" w:type="auto"/>
        <w:tblLook w:val="04A0" w:firstRow="1" w:lastRow="0" w:firstColumn="1" w:lastColumn="0" w:noHBand="0" w:noVBand="1"/>
      </w:tblPr>
      <w:tblGrid>
        <w:gridCol w:w="8359"/>
        <w:gridCol w:w="657"/>
      </w:tblGrid>
      <w:tr w:rsidR="006F2942" w:rsidRPr="00653BF4" w14:paraId="6DD14154" w14:textId="77777777" w:rsidTr="00D03086">
        <w:tc>
          <w:tcPr>
            <w:tcW w:w="8359" w:type="dxa"/>
          </w:tcPr>
          <w:p w14:paraId="2D678A5B" w14:textId="0F56308E" w:rsidR="006F2942" w:rsidRPr="0073544F" w:rsidRDefault="0073544F" w:rsidP="00A00FA5">
            <w:pPr>
              <w:rPr>
                <w:sz w:val="20"/>
                <w:szCs w:val="20"/>
                <w:lang w:val="fr-FR"/>
              </w:rPr>
            </w:pPr>
            <w:r w:rsidRPr="0073544F">
              <w:rPr>
                <w:sz w:val="20"/>
                <w:szCs w:val="20"/>
                <w:lang w:val="fr-FR"/>
              </w:rPr>
              <w:t>Atténuer les effets des changements climatiques sur la biodiversité et renforcer la résilience de celle-ci grâce à des mesures d’atténuation et d’adaptation ainsi qu’à des mesures de réduction des risques de catastrophe naturelle</w:t>
            </w:r>
          </w:p>
        </w:tc>
        <w:tc>
          <w:tcPr>
            <w:tcW w:w="657" w:type="dxa"/>
            <w:shd w:val="clear" w:color="auto" w:fill="00B050"/>
          </w:tcPr>
          <w:p w14:paraId="78339468" w14:textId="53BFB210" w:rsidR="006F2942" w:rsidRPr="00653BF4" w:rsidRDefault="0058409F" w:rsidP="00A00FA5">
            <w:pPr>
              <w:rPr>
                <w:sz w:val="20"/>
                <w:szCs w:val="20"/>
                <w:lang w:val="fr-FR"/>
              </w:rPr>
            </w:pPr>
            <w:r w:rsidRPr="00653BF4">
              <w:rPr>
                <w:sz w:val="20"/>
                <w:szCs w:val="20"/>
                <w:lang w:val="fr-FR"/>
              </w:rPr>
              <w:t>83</w:t>
            </w:r>
          </w:p>
        </w:tc>
      </w:tr>
      <w:tr w:rsidR="006F2942" w:rsidRPr="00653BF4" w14:paraId="4734AAAF" w14:textId="77777777" w:rsidTr="00D03086">
        <w:tc>
          <w:tcPr>
            <w:tcW w:w="8359" w:type="dxa"/>
          </w:tcPr>
          <w:p w14:paraId="0FC434C5" w14:textId="7B62BA07" w:rsidR="006F2942" w:rsidRPr="00653CAA" w:rsidRDefault="00653CAA" w:rsidP="00A00FA5">
            <w:pPr>
              <w:rPr>
                <w:sz w:val="20"/>
                <w:szCs w:val="20"/>
                <w:lang w:val="fr-FR"/>
              </w:rPr>
            </w:pPr>
            <w:r w:rsidRPr="00653CAA">
              <w:rPr>
                <w:sz w:val="20"/>
                <w:szCs w:val="20"/>
                <w:lang w:val="fr-FR"/>
              </w:rPr>
              <w:lastRenderedPageBreak/>
              <w:t>Atténuer les effets de l’acidification des océans sur la biodiversité et renforcer la résilience de celle-ci grâce à des mesures d’atténuation et d’adaptation ainsi qu’à des mesures de réduction des risques de catastrophe naturelle</w:t>
            </w:r>
          </w:p>
        </w:tc>
        <w:tc>
          <w:tcPr>
            <w:tcW w:w="657" w:type="dxa"/>
            <w:shd w:val="clear" w:color="auto" w:fill="FFC000"/>
          </w:tcPr>
          <w:p w14:paraId="752929C7" w14:textId="5FED9D60" w:rsidR="006F2942" w:rsidRPr="00653BF4" w:rsidRDefault="00396077" w:rsidP="00A00FA5">
            <w:pPr>
              <w:rPr>
                <w:sz w:val="20"/>
                <w:szCs w:val="20"/>
                <w:lang w:val="fr-FR"/>
              </w:rPr>
            </w:pPr>
            <w:r w:rsidRPr="00653BF4">
              <w:rPr>
                <w:sz w:val="20"/>
                <w:szCs w:val="20"/>
                <w:lang w:val="fr-FR"/>
              </w:rPr>
              <w:t>32</w:t>
            </w:r>
          </w:p>
        </w:tc>
      </w:tr>
      <w:tr w:rsidR="006F2942" w:rsidRPr="00653BF4" w14:paraId="67437668" w14:textId="77777777" w:rsidTr="00D03086">
        <w:tc>
          <w:tcPr>
            <w:tcW w:w="8359" w:type="dxa"/>
          </w:tcPr>
          <w:p w14:paraId="6FFC7311" w14:textId="12113420" w:rsidR="006F2942" w:rsidRPr="00653BF4" w:rsidRDefault="00653CAA" w:rsidP="00A00FA5">
            <w:pPr>
              <w:rPr>
                <w:sz w:val="20"/>
                <w:szCs w:val="20"/>
                <w:lang w:val="fr-FR"/>
              </w:rPr>
            </w:pPr>
            <w:r>
              <w:rPr>
                <w:sz w:val="20"/>
                <w:szCs w:val="20"/>
                <w:lang w:val="fr-FR"/>
              </w:rPr>
              <w:t>Utiliser des solutions fondées sur la nature</w:t>
            </w:r>
          </w:p>
          <w:p w14:paraId="4A84CAEC" w14:textId="4FFF762D" w:rsidR="005A4608" w:rsidRPr="00653BF4" w:rsidRDefault="005A4608" w:rsidP="00A00FA5">
            <w:pPr>
              <w:rPr>
                <w:sz w:val="20"/>
                <w:szCs w:val="20"/>
                <w:lang w:val="fr-FR"/>
              </w:rPr>
            </w:pPr>
          </w:p>
        </w:tc>
        <w:tc>
          <w:tcPr>
            <w:tcW w:w="657" w:type="dxa"/>
            <w:shd w:val="clear" w:color="auto" w:fill="FFFF00"/>
          </w:tcPr>
          <w:p w14:paraId="6369A749" w14:textId="5A47E355" w:rsidR="006F2942" w:rsidRPr="00653BF4" w:rsidRDefault="00E1799F" w:rsidP="00A00FA5">
            <w:pPr>
              <w:rPr>
                <w:sz w:val="20"/>
                <w:szCs w:val="20"/>
                <w:lang w:val="fr-FR"/>
              </w:rPr>
            </w:pPr>
            <w:r w:rsidRPr="00653BF4">
              <w:rPr>
                <w:sz w:val="20"/>
                <w:szCs w:val="20"/>
                <w:lang w:val="fr-FR"/>
              </w:rPr>
              <w:t>6</w:t>
            </w:r>
            <w:r w:rsidR="002C6950" w:rsidRPr="00653BF4">
              <w:rPr>
                <w:sz w:val="20"/>
                <w:szCs w:val="20"/>
                <w:lang w:val="fr-FR"/>
              </w:rPr>
              <w:t>5</w:t>
            </w:r>
          </w:p>
        </w:tc>
      </w:tr>
      <w:tr w:rsidR="006F2942" w:rsidRPr="00653BF4" w14:paraId="472EC93C" w14:textId="77777777" w:rsidTr="00D03086">
        <w:tc>
          <w:tcPr>
            <w:tcW w:w="8359" w:type="dxa"/>
          </w:tcPr>
          <w:p w14:paraId="570B3C51" w14:textId="24350590" w:rsidR="00653CAA" w:rsidRPr="00653CAA" w:rsidRDefault="00653CAA" w:rsidP="00653CAA">
            <w:pPr>
              <w:rPr>
                <w:sz w:val="20"/>
                <w:szCs w:val="20"/>
                <w:lang w:val="fr-FR"/>
              </w:rPr>
            </w:pPr>
            <w:r w:rsidRPr="00653CAA">
              <w:rPr>
                <w:sz w:val="20"/>
                <w:szCs w:val="20"/>
                <w:lang w:val="fr-FR"/>
              </w:rPr>
              <w:t xml:space="preserve">Utiliser des </w:t>
            </w:r>
            <w:r w:rsidR="00F05EEC">
              <w:rPr>
                <w:sz w:val="20"/>
                <w:szCs w:val="20"/>
                <w:lang w:val="fr-FR"/>
              </w:rPr>
              <w:t>approches écosystémiques</w:t>
            </w:r>
          </w:p>
          <w:p w14:paraId="22225A49" w14:textId="3513B493" w:rsidR="005A4608" w:rsidRPr="00653BF4" w:rsidRDefault="005A4608" w:rsidP="00A00FA5">
            <w:pPr>
              <w:rPr>
                <w:sz w:val="20"/>
                <w:szCs w:val="20"/>
                <w:lang w:val="fr-FR"/>
              </w:rPr>
            </w:pPr>
          </w:p>
        </w:tc>
        <w:tc>
          <w:tcPr>
            <w:tcW w:w="657" w:type="dxa"/>
            <w:shd w:val="clear" w:color="auto" w:fill="FFFF00"/>
          </w:tcPr>
          <w:p w14:paraId="1AEE6894" w14:textId="446C7290" w:rsidR="006F2942" w:rsidRPr="00653BF4" w:rsidRDefault="00AB667B" w:rsidP="00A00FA5">
            <w:pPr>
              <w:rPr>
                <w:sz w:val="20"/>
                <w:szCs w:val="20"/>
                <w:lang w:val="fr-FR"/>
              </w:rPr>
            </w:pPr>
            <w:r w:rsidRPr="00653BF4">
              <w:rPr>
                <w:sz w:val="20"/>
                <w:szCs w:val="20"/>
                <w:lang w:val="fr-FR"/>
              </w:rPr>
              <w:t>61</w:t>
            </w:r>
          </w:p>
        </w:tc>
      </w:tr>
      <w:tr w:rsidR="006F2942" w:rsidRPr="00653BF4" w14:paraId="14B2C065" w14:textId="77777777" w:rsidTr="00D03086">
        <w:tc>
          <w:tcPr>
            <w:tcW w:w="8359" w:type="dxa"/>
          </w:tcPr>
          <w:p w14:paraId="2C8D387D" w14:textId="45DF6E4A" w:rsidR="006F2942" w:rsidRPr="00206228" w:rsidRDefault="00F05EEC" w:rsidP="00A00FA5">
            <w:pPr>
              <w:rPr>
                <w:sz w:val="20"/>
                <w:szCs w:val="20"/>
                <w:lang w:val="fr-FR"/>
              </w:rPr>
            </w:pPr>
            <w:r w:rsidRPr="00206228">
              <w:rPr>
                <w:sz w:val="20"/>
                <w:szCs w:val="20"/>
                <w:lang w:val="fr-FR"/>
              </w:rPr>
              <w:t>Réduire au minimum toute incidence négative de l’action climatique sur la biodiversité.</w:t>
            </w:r>
          </w:p>
          <w:p w14:paraId="68EAE9F9" w14:textId="46FF0D33" w:rsidR="005A4608" w:rsidRPr="00653BF4" w:rsidRDefault="005A4608" w:rsidP="00A00FA5">
            <w:pPr>
              <w:rPr>
                <w:sz w:val="20"/>
                <w:szCs w:val="20"/>
                <w:lang w:val="fr-FR"/>
              </w:rPr>
            </w:pPr>
          </w:p>
        </w:tc>
        <w:tc>
          <w:tcPr>
            <w:tcW w:w="657" w:type="dxa"/>
            <w:shd w:val="clear" w:color="auto" w:fill="FFFF00"/>
          </w:tcPr>
          <w:p w14:paraId="171ED3DF" w14:textId="14A5BC27" w:rsidR="006F2942" w:rsidRPr="00653BF4" w:rsidRDefault="00F05AD5" w:rsidP="00A00FA5">
            <w:pPr>
              <w:rPr>
                <w:sz w:val="20"/>
                <w:szCs w:val="20"/>
                <w:lang w:val="fr-FR"/>
              </w:rPr>
            </w:pPr>
            <w:r w:rsidRPr="00653BF4">
              <w:rPr>
                <w:sz w:val="20"/>
                <w:szCs w:val="20"/>
                <w:lang w:val="fr-FR"/>
              </w:rPr>
              <w:t>6</w:t>
            </w:r>
            <w:r w:rsidR="002C6950" w:rsidRPr="00653BF4">
              <w:rPr>
                <w:sz w:val="20"/>
                <w:szCs w:val="20"/>
                <w:lang w:val="fr-FR"/>
              </w:rPr>
              <w:t>4</w:t>
            </w:r>
          </w:p>
        </w:tc>
      </w:tr>
      <w:tr w:rsidR="006F2942" w:rsidRPr="00653BF4" w14:paraId="29B67141" w14:textId="77777777" w:rsidTr="00D03086">
        <w:tc>
          <w:tcPr>
            <w:tcW w:w="8359" w:type="dxa"/>
          </w:tcPr>
          <w:p w14:paraId="2859FF48" w14:textId="6E84ACDE" w:rsidR="006F2942" w:rsidRPr="00206228" w:rsidRDefault="00206228" w:rsidP="00A00FA5">
            <w:pPr>
              <w:rPr>
                <w:sz w:val="20"/>
                <w:szCs w:val="20"/>
                <w:lang w:val="fr-FR"/>
              </w:rPr>
            </w:pPr>
            <w:r w:rsidRPr="00206228">
              <w:rPr>
                <w:sz w:val="20"/>
                <w:szCs w:val="20"/>
                <w:lang w:val="fr-FR"/>
              </w:rPr>
              <w:t>Favoriser les retombées positives de l’action climatique sur la biodiversité</w:t>
            </w:r>
          </w:p>
          <w:p w14:paraId="288BA6E1" w14:textId="1D2CCBA1" w:rsidR="005A4608" w:rsidRPr="00653BF4" w:rsidRDefault="005A4608" w:rsidP="00A00FA5">
            <w:pPr>
              <w:rPr>
                <w:sz w:val="20"/>
                <w:szCs w:val="20"/>
                <w:lang w:val="fr-FR"/>
              </w:rPr>
            </w:pPr>
          </w:p>
        </w:tc>
        <w:tc>
          <w:tcPr>
            <w:tcW w:w="657" w:type="dxa"/>
            <w:shd w:val="clear" w:color="auto" w:fill="FFFF00"/>
          </w:tcPr>
          <w:p w14:paraId="108DC475" w14:textId="09031483" w:rsidR="006F2942" w:rsidRPr="00653BF4" w:rsidRDefault="00D03086" w:rsidP="00A00FA5">
            <w:pPr>
              <w:rPr>
                <w:sz w:val="20"/>
                <w:szCs w:val="20"/>
                <w:lang w:val="fr-FR"/>
              </w:rPr>
            </w:pPr>
            <w:r w:rsidRPr="00653BF4">
              <w:rPr>
                <w:sz w:val="20"/>
                <w:szCs w:val="20"/>
                <w:lang w:val="fr-FR"/>
              </w:rPr>
              <w:t>6</w:t>
            </w:r>
            <w:r w:rsidR="002C6950" w:rsidRPr="00653BF4">
              <w:rPr>
                <w:sz w:val="20"/>
                <w:szCs w:val="20"/>
                <w:lang w:val="fr-FR"/>
              </w:rPr>
              <w:t>6</w:t>
            </w:r>
          </w:p>
        </w:tc>
      </w:tr>
      <w:tr w:rsidR="00D0078C" w:rsidRPr="00543148" w14:paraId="2C2E82AA" w14:textId="77777777">
        <w:tc>
          <w:tcPr>
            <w:tcW w:w="9016" w:type="dxa"/>
            <w:gridSpan w:val="2"/>
          </w:tcPr>
          <w:p w14:paraId="5F95803F" w14:textId="216DFD70" w:rsidR="00EC2507" w:rsidRPr="00653BF4" w:rsidRDefault="00F303E3" w:rsidP="00EC2507">
            <w:pPr>
              <w:pStyle w:val="p1"/>
              <w:keepNext/>
              <w:rPr>
                <w:rFonts w:asciiTheme="minorHAnsi" w:hAnsiTheme="minorHAnsi"/>
                <w:b/>
                <w:bCs/>
                <w:sz w:val="22"/>
                <w:szCs w:val="22"/>
                <w:lang w:val="fr-FR"/>
              </w:rPr>
            </w:pPr>
            <w:r w:rsidRPr="00F303E3">
              <w:rPr>
                <w:rFonts w:asciiTheme="minorHAnsi" w:hAnsiTheme="minorHAnsi"/>
                <w:b/>
                <w:bCs/>
                <w:sz w:val="22"/>
                <w:szCs w:val="22"/>
                <w:lang w:val="fr-FR"/>
              </w:rPr>
              <w:t>En moyenne, les Parties ont pris en compte, au moins partiellement,</w:t>
            </w:r>
            <w:r>
              <w:rPr>
                <w:rFonts w:asciiTheme="minorHAnsi" w:hAnsiTheme="minorHAnsi"/>
                <w:b/>
                <w:bCs/>
                <w:sz w:val="22"/>
                <w:szCs w:val="22"/>
                <w:lang w:val="fr-FR"/>
              </w:rPr>
              <w:t>62</w:t>
            </w:r>
            <w:r w:rsidR="002878D7">
              <w:rPr>
                <w:rFonts w:asciiTheme="minorHAnsi" w:hAnsiTheme="minorHAnsi"/>
                <w:b/>
                <w:bCs/>
                <w:sz w:val="22"/>
                <w:szCs w:val="22"/>
                <w:lang w:val="fr-FR"/>
              </w:rPr>
              <w:t> %</w:t>
            </w:r>
            <w:r w:rsidRPr="00F303E3">
              <w:rPr>
                <w:rFonts w:asciiTheme="minorHAnsi" w:hAnsiTheme="minorHAnsi"/>
                <w:b/>
                <w:bCs/>
                <w:sz w:val="22"/>
                <w:szCs w:val="22"/>
                <w:lang w:val="fr-FR"/>
              </w:rPr>
              <w:t xml:space="preserve"> de ces éléments dans leurs cibles nationales</w:t>
            </w:r>
          </w:p>
          <w:p w14:paraId="12D5B933" w14:textId="77777777" w:rsidR="00D0078C" w:rsidRPr="00653BF4" w:rsidRDefault="00D0078C" w:rsidP="00A00FA5">
            <w:pPr>
              <w:rPr>
                <w:sz w:val="20"/>
                <w:szCs w:val="20"/>
                <w:lang w:val="fr-FR"/>
              </w:rPr>
            </w:pPr>
          </w:p>
        </w:tc>
      </w:tr>
    </w:tbl>
    <w:p w14:paraId="281675E5" w14:textId="77777777" w:rsidR="00101A9D" w:rsidRPr="00653BF4" w:rsidRDefault="00101A9D" w:rsidP="00101A9D">
      <w:pPr>
        <w:rPr>
          <w:lang w:val="fr-FR"/>
        </w:rPr>
      </w:pPr>
    </w:p>
    <w:p w14:paraId="24121BBD" w14:textId="6CFA2ED0" w:rsidR="00B46085" w:rsidRPr="00653BF4" w:rsidRDefault="006A631C" w:rsidP="00B46085">
      <w:pPr>
        <w:rPr>
          <w:iCs/>
          <w:sz w:val="16"/>
          <w:szCs w:val="16"/>
          <w:lang w:val="fr-FR"/>
        </w:rPr>
      </w:pPr>
      <w:r w:rsidRPr="00653BF4">
        <w:rPr>
          <w:i/>
          <w:sz w:val="16"/>
          <w:szCs w:val="16"/>
          <w:lang w:val="fr-FR"/>
        </w:rPr>
        <w:t>Note</w:t>
      </w:r>
      <w:r w:rsidR="00E34DC9">
        <w:rPr>
          <w:i/>
          <w:sz w:val="16"/>
          <w:szCs w:val="16"/>
          <w:lang w:val="fr-FR"/>
        </w:rPr>
        <w:t> :</w:t>
      </w:r>
      <w:r w:rsidR="00B46085" w:rsidRPr="00653BF4">
        <w:rPr>
          <w:iCs/>
          <w:sz w:val="16"/>
          <w:szCs w:val="16"/>
          <w:lang w:val="fr-FR"/>
        </w:rPr>
        <w:t xml:space="preserve"> </w:t>
      </w:r>
      <w:r w:rsidR="00977881" w:rsidRPr="00653BF4">
        <w:rPr>
          <w:iCs/>
          <w:sz w:val="16"/>
          <w:szCs w:val="16"/>
          <w:lang w:val="fr-FR"/>
        </w:rPr>
        <w:t>La colonne de droite du tableau indique le pourcentage de Parties dont les cibles nationales prennent en compte l’élément au moins partiellement</w:t>
      </w:r>
      <w:r w:rsidR="00B46085" w:rsidRPr="00653BF4">
        <w:rPr>
          <w:iCs/>
          <w:sz w:val="16"/>
          <w:szCs w:val="16"/>
          <w:lang w:val="fr-FR"/>
        </w:rPr>
        <w:t>.</w:t>
      </w:r>
    </w:p>
    <w:p w14:paraId="65BEDDC0" w14:textId="1DD0F06A" w:rsidR="00B46085" w:rsidRPr="00653BF4" w:rsidRDefault="00B46085" w:rsidP="00B46085">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ascii="Aptos" w:hAnsi="Aptos" w:cs="Segoe UI"/>
          <w:sz w:val="16"/>
          <w:szCs w:val="16"/>
          <w:lang w:val="fr-FR"/>
        </w:rPr>
        <w:t xml:space="preserve"> </w:t>
      </w:r>
      <w:r w:rsidR="00C111E9" w:rsidRPr="00653BF4">
        <w:rPr>
          <w:rFonts w:ascii="Aptos" w:hAnsi="Aptos" w:cs="Segoe UI"/>
          <w:sz w:val="16"/>
          <w:szCs w:val="16"/>
          <w:lang w:val="fr-FR"/>
        </w:rPr>
        <w:t>Les éléments de chaque cible ont été définis par le Groupe spécial d</w:t>
      </w:r>
      <w:r w:rsidR="00D77549">
        <w:rPr>
          <w:rFonts w:ascii="Aptos" w:hAnsi="Aptos" w:cs="Segoe UI"/>
          <w:sz w:val="16"/>
          <w:szCs w:val="16"/>
          <w:lang w:val="fr-FR"/>
        </w:rPr>
        <w:t>’</w:t>
      </w:r>
      <w:r w:rsidR="00C111E9" w:rsidRPr="00653BF4">
        <w:rPr>
          <w:rFonts w:ascii="Aptos" w:hAnsi="Aptos" w:cs="Segoe UI"/>
          <w:sz w:val="16"/>
          <w:szCs w:val="16"/>
          <w:lang w:val="fr-FR"/>
        </w:rPr>
        <w:t>experts techniques sur les indicateurs du Cadre mondial de la biodiversité de Kunming-Montréal (voir annexe I du document </w:t>
      </w:r>
      <w:hyperlink r:id="rId109" w:history="1">
        <w:r w:rsidR="00C111E9" w:rsidRPr="00653BF4">
          <w:rPr>
            <w:rStyle w:val="Hyperlink"/>
            <w:rFonts w:ascii="Aptos" w:hAnsi="Aptos" w:cs="Segoe UI"/>
            <w:sz w:val="16"/>
            <w:szCs w:val="16"/>
            <w:lang w:val="fr-FR"/>
          </w:rPr>
          <w:t>CBD/COP/16/INF/4</w:t>
        </w:r>
      </w:hyperlink>
      <w:r w:rsidR="00E34DC9">
        <w:rPr>
          <w:rFonts w:ascii="Aptos" w:hAnsi="Aptos" w:cs="Segoe UI"/>
          <w:sz w:val="16"/>
          <w:szCs w:val="16"/>
          <w:lang w:val="fr-FR"/>
        </w:rPr>
        <w:t> ;</w:t>
      </w:r>
      <w:r w:rsidR="00C111E9" w:rsidRPr="00653BF4">
        <w:rPr>
          <w:rFonts w:ascii="Aptos" w:hAnsi="Aptos" w:cs="Segoe UI"/>
          <w:sz w:val="16"/>
          <w:szCs w:val="16"/>
          <w:lang w:val="fr-FR"/>
        </w:rPr>
        <w:t xml:space="preserve"> et Affinito </w:t>
      </w:r>
      <w:r w:rsidR="00C111E9" w:rsidRPr="00653BF4">
        <w:rPr>
          <w:rFonts w:ascii="Aptos" w:hAnsi="Aptos" w:cs="Segoe UI"/>
          <w:i/>
          <w:iCs/>
          <w:sz w:val="16"/>
          <w:szCs w:val="16"/>
          <w:lang w:val="fr-FR"/>
        </w:rPr>
        <w:t>et al.</w:t>
      </w:r>
      <w:r w:rsidR="00C111E9" w:rsidRPr="00653BF4">
        <w:rPr>
          <w:rFonts w:ascii="Aptos" w:hAnsi="Aptos" w:cs="Segoe UI"/>
          <w:sz w:val="16"/>
          <w:szCs w:val="16"/>
          <w:lang w:val="fr-FR"/>
        </w:rPr>
        <w:t>, 2025). La méthode détaillée employée pour l’analyse des cibles nationales est présentée dans le document </w:t>
      </w:r>
      <w:hyperlink r:id="rId110" w:history="1">
        <w:r w:rsidR="00C111E9" w:rsidRPr="00653BF4">
          <w:rPr>
            <w:rStyle w:val="Hyperlink"/>
            <w:rFonts w:ascii="Aptos" w:hAnsi="Aptos" w:cs="Segoe UI"/>
            <w:sz w:val="16"/>
            <w:szCs w:val="16"/>
            <w:lang w:val="fr-FR"/>
          </w:rPr>
          <w:t>CBD/SBI/7/INF/22</w:t>
        </w:r>
      </w:hyperlink>
      <w:r w:rsidRPr="00653BF4">
        <w:rPr>
          <w:rStyle w:val="normaltextrun"/>
          <w:rFonts w:ascii="Aptos" w:hAnsi="Aptos" w:cs="Segoe UI"/>
          <w:sz w:val="16"/>
          <w:szCs w:val="16"/>
          <w:lang w:val="fr-FR"/>
        </w:rPr>
        <w:t>.</w:t>
      </w:r>
    </w:p>
    <w:p w14:paraId="2AE338B3" w14:textId="736E2CBE" w:rsidR="00852172" w:rsidRPr="00653BF4" w:rsidRDefault="00852172" w:rsidP="00101A9D">
      <w:pPr>
        <w:rPr>
          <w:lang w:val="fr-FR"/>
        </w:rPr>
      </w:pPr>
    </w:p>
    <w:p w14:paraId="3A0429D8" w14:textId="6E7D2EE7" w:rsidR="000B6971" w:rsidRPr="00653BF4" w:rsidRDefault="005603C6" w:rsidP="000B6971">
      <w:pPr>
        <w:rPr>
          <w:lang w:val="fr-FR"/>
        </w:rPr>
      </w:pPr>
      <w:r w:rsidRPr="005603C6">
        <w:rPr>
          <w:lang w:val="fr-FR"/>
        </w:rPr>
        <w:t>La grande majorité des Parties (83</w:t>
      </w:r>
      <w:r w:rsidR="002878D7">
        <w:rPr>
          <w:lang w:val="fr-FR"/>
        </w:rPr>
        <w:t> %</w:t>
      </w:r>
      <w:r w:rsidRPr="005603C6">
        <w:rPr>
          <w:lang w:val="fr-FR"/>
        </w:rPr>
        <w:t>) ont fixé des cibles nationales qui, dans une certaine mesure au moins, répondent à l’élément de la cible consistant à minimiser les effets des changements climatiques sur la biodiversité et à renforcer sa résilience grâce à des mesures d’atténuation, d’adaptation et de réduction des risques de catastrophe (voir tableau 18). Une large majorité des Parties traitent également des éléments de la cible qui consistent à mettre en œuvre des solutions fondées sur la nature (65</w:t>
      </w:r>
      <w:r w:rsidR="002878D7">
        <w:rPr>
          <w:lang w:val="fr-FR"/>
        </w:rPr>
        <w:t> %</w:t>
      </w:r>
      <w:r w:rsidRPr="005603C6">
        <w:rPr>
          <w:lang w:val="fr-FR"/>
        </w:rPr>
        <w:t>), à appliquer des approches écosystémiques (61</w:t>
      </w:r>
      <w:r w:rsidR="002878D7">
        <w:rPr>
          <w:lang w:val="fr-FR"/>
        </w:rPr>
        <w:t> %</w:t>
      </w:r>
      <w:r w:rsidRPr="005603C6">
        <w:rPr>
          <w:lang w:val="fr-FR"/>
        </w:rPr>
        <w:t>), à réduire au minimum les impacts négatifs de la lutte contre les changements climatiques sur la biodiversité (64</w:t>
      </w:r>
      <w:r w:rsidR="002878D7">
        <w:rPr>
          <w:lang w:val="fr-FR"/>
        </w:rPr>
        <w:t> %</w:t>
      </w:r>
      <w:r w:rsidRPr="005603C6">
        <w:rPr>
          <w:lang w:val="fr-FR"/>
        </w:rPr>
        <w:t>) et à favoriser les impacts positifs de la lutte contre les changements climatiques sur la biodiversité (66</w:t>
      </w:r>
      <w:r w:rsidR="002878D7">
        <w:rPr>
          <w:lang w:val="fr-FR"/>
        </w:rPr>
        <w:t> %</w:t>
      </w:r>
      <w:r w:rsidRPr="005603C6">
        <w:rPr>
          <w:lang w:val="fr-FR"/>
        </w:rPr>
        <w:t>). Moins d’un tiers des Parties (32</w:t>
      </w:r>
      <w:r w:rsidR="002878D7">
        <w:rPr>
          <w:lang w:val="fr-FR"/>
        </w:rPr>
        <w:t> %</w:t>
      </w:r>
      <w:r w:rsidRPr="005603C6">
        <w:rPr>
          <w:lang w:val="fr-FR"/>
        </w:rPr>
        <w:t xml:space="preserve">) ont fixé des cibles nationales visant à lutter contre les </w:t>
      </w:r>
      <w:r>
        <w:rPr>
          <w:lang w:val="fr-FR"/>
        </w:rPr>
        <w:t>impacts</w:t>
      </w:r>
      <w:r w:rsidRPr="005603C6">
        <w:rPr>
          <w:lang w:val="fr-FR"/>
        </w:rPr>
        <w:t xml:space="preserve"> de l’acidification des océans sur la biodiversité.</w:t>
      </w:r>
    </w:p>
    <w:p w14:paraId="678A4F6E" w14:textId="3C522465" w:rsidR="000B6971" w:rsidRPr="00653BF4" w:rsidRDefault="001B2168" w:rsidP="000B6971">
      <w:pPr>
        <w:rPr>
          <w:lang w:val="fr-FR"/>
        </w:rPr>
      </w:pPr>
      <w:r w:rsidRPr="001B2168">
        <w:rPr>
          <w:lang w:val="fr-FR"/>
        </w:rPr>
        <w:t>Ainsi, hormis l'aspect relatif à l'acidification des océans, les Parties ont généralement aligné leurs cibles nationales sur la portée générale de la cible n° 8. Cette cible ne comporte aucun élément quantitatif.</w:t>
      </w:r>
    </w:p>
    <w:p w14:paraId="69B6E2BC" w14:textId="77777777" w:rsidR="00BF6B5C" w:rsidRPr="00653BF4" w:rsidRDefault="00BF6B5C" w:rsidP="00B70AA4">
      <w:pPr>
        <w:pStyle w:val="Heading5"/>
        <w:rPr>
          <w:lang w:val="fr-FR"/>
        </w:rPr>
      </w:pPr>
    </w:p>
    <w:p w14:paraId="71BC253B" w14:textId="4AA10427" w:rsidR="00B70AA4" w:rsidRPr="00653BF4" w:rsidRDefault="00DD19D2" w:rsidP="00B70AA4">
      <w:pPr>
        <w:pStyle w:val="Heading5"/>
        <w:rPr>
          <w:lang w:val="fr-FR"/>
        </w:rPr>
      </w:pPr>
      <w:r w:rsidRPr="00653BF4">
        <w:rPr>
          <w:lang w:val="fr-FR"/>
        </w:rPr>
        <w:t>Indicateurs de progrès</w:t>
      </w:r>
    </w:p>
    <w:p w14:paraId="3DB51E39" w14:textId="77777777" w:rsidR="000B6971" w:rsidRPr="00653BF4" w:rsidRDefault="000B6971" w:rsidP="000927E9">
      <w:pPr>
        <w:pStyle w:val="Caption"/>
        <w:rPr>
          <w:i w:val="0"/>
          <w:sz w:val="20"/>
          <w:szCs w:val="20"/>
          <w:lang w:val="fr-FR"/>
        </w:rPr>
      </w:pPr>
    </w:p>
    <w:p w14:paraId="08F7A437" w14:textId="5977FCEB" w:rsidR="00EA33B8" w:rsidRPr="00653BF4" w:rsidRDefault="00D5751A" w:rsidP="000927E9">
      <w:pPr>
        <w:pStyle w:val="Caption"/>
        <w:rPr>
          <w:i w:val="0"/>
          <w:sz w:val="20"/>
          <w:szCs w:val="20"/>
          <w:lang w:val="fr-FR"/>
        </w:rPr>
      </w:pPr>
      <w:r w:rsidRPr="00653BF4">
        <w:rPr>
          <w:i w:val="0"/>
          <w:sz w:val="20"/>
          <w:szCs w:val="20"/>
          <w:lang w:val="fr-FR"/>
        </w:rPr>
        <w:t>Tableau</w:t>
      </w:r>
      <w:r w:rsidR="00DC1793" w:rsidRPr="00653BF4">
        <w:rPr>
          <w:i w:val="0"/>
          <w:noProof/>
          <w:sz w:val="20"/>
          <w:szCs w:val="20"/>
          <w:lang w:val="fr-FR"/>
        </w:rPr>
        <w:t>19</w:t>
      </w:r>
      <w:r w:rsidR="000927E9" w:rsidRPr="00653BF4">
        <w:rPr>
          <w:i w:val="0"/>
          <w:iCs w:val="0"/>
          <w:sz w:val="20"/>
          <w:szCs w:val="20"/>
          <w:lang w:val="fr-FR"/>
        </w:rPr>
        <w:t xml:space="preserve"> </w:t>
      </w:r>
    </w:p>
    <w:p w14:paraId="740A94F2" w14:textId="3F107CC1" w:rsidR="00A27C6B" w:rsidRPr="00653BF4" w:rsidRDefault="005A6401" w:rsidP="00A27C6B">
      <w:pPr>
        <w:pStyle w:val="Caption"/>
        <w:rPr>
          <w:b/>
          <w:bCs/>
          <w:i w:val="0"/>
          <w:iCs w:val="0"/>
          <w:sz w:val="20"/>
          <w:szCs w:val="20"/>
          <w:lang w:val="fr-FR"/>
        </w:rPr>
      </w:pPr>
      <w:r w:rsidRPr="00653BF4">
        <w:rPr>
          <w:b/>
          <w:bCs/>
          <w:i w:val="0"/>
          <w:iCs w:val="0"/>
          <w:sz w:val="20"/>
          <w:szCs w:val="20"/>
          <w:lang w:val="fr-FR"/>
        </w:rPr>
        <w:t>Tableau de bord</w:t>
      </w:r>
      <w:r w:rsidR="004C22C5" w:rsidRPr="00653BF4">
        <w:rPr>
          <w:b/>
          <w:bCs/>
          <w:i w:val="0"/>
          <w:iCs w:val="0"/>
          <w:sz w:val="20"/>
          <w:szCs w:val="20"/>
          <w:lang w:val="fr-FR"/>
        </w:rPr>
        <w:t xml:space="preserve"> des indicateurs pour la </w:t>
      </w:r>
      <w:r w:rsidR="00E34DC9">
        <w:rPr>
          <w:b/>
          <w:bCs/>
          <w:i w:val="0"/>
          <w:iCs w:val="0"/>
          <w:sz w:val="20"/>
          <w:szCs w:val="20"/>
          <w:lang w:val="fr-FR"/>
        </w:rPr>
        <w:t>cible 8</w:t>
      </w:r>
      <w:r w:rsidR="004C22C5" w:rsidRPr="00653BF4">
        <w:rPr>
          <w:b/>
          <w:bCs/>
          <w:i w:val="0"/>
          <w:iCs w:val="0"/>
          <w:sz w:val="20"/>
          <w:szCs w:val="20"/>
          <w:lang w:val="fr-FR"/>
        </w:rPr>
        <w:t xml:space="preserve"> du Cadre</w:t>
      </w:r>
    </w:p>
    <w:p w14:paraId="0B0DC089" w14:textId="77777777" w:rsidR="007638A8" w:rsidRPr="00653BF4" w:rsidRDefault="007638A8" w:rsidP="007638A8">
      <w:pPr>
        <w:rPr>
          <w:lang w:val="fr-FR" w:eastAsia="ja-JP"/>
        </w:rPr>
      </w:pPr>
    </w:p>
    <w:tbl>
      <w:tblPr>
        <w:tblW w:w="9351" w:type="dxa"/>
        <w:tblLook w:val="04A0" w:firstRow="1" w:lastRow="0" w:firstColumn="1" w:lastColumn="0" w:noHBand="0" w:noVBand="1"/>
      </w:tblPr>
      <w:tblGrid>
        <w:gridCol w:w="3202"/>
        <w:gridCol w:w="2257"/>
        <w:gridCol w:w="672"/>
        <w:gridCol w:w="2659"/>
        <w:gridCol w:w="561"/>
      </w:tblGrid>
      <w:tr w:rsidR="00EA33B8" w:rsidRPr="00653BF4" w14:paraId="5705393A" w14:textId="77777777" w:rsidTr="008F2E2A">
        <w:trPr>
          <w:trHeight w:val="631"/>
        </w:trPr>
        <w:tc>
          <w:tcPr>
            <w:tcW w:w="3202" w:type="dxa"/>
            <w:tcBorders>
              <w:top w:val="single" w:sz="4" w:space="0" w:color="auto"/>
              <w:left w:val="single" w:sz="4" w:space="0" w:color="auto"/>
              <w:bottom w:val="single" w:sz="4" w:space="0" w:color="auto"/>
              <w:right w:val="single" w:sz="4" w:space="0" w:color="auto"/>
            </w:tcBorders>
            <w:shd w:val="clear" w:color="000000" w:fill="FFFFFF"/>
            <w:vAlign w:val="center"/>
          </w:tcPr>
          <w:p w14:paraId="1F638948" w14:textId="77777777" w:rsidR="00EA33B8" w:rsidRPr="00653BF4" w:rsidRDefault="00EA33B8">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929" w:type="dxa"/>
            <w:gridSpan w:val="2"/>
            <w:tcBorders>
              <w:top w:val="single" w:sz="4" w:space="0" w:color="auto"/>
              <w:left w:val="nil"/>
              <w:bottom w:val="single" w:sz="4" w:space="0" w:color="auto"/>
              <w:right w:val="single" w:sz="4" w:space="0" w:color="auto"/>
            </w:tcBorders>
            <w:vAlign w:val="center"/>
          </w:tcPr>
          <w:p w14:paraId="48964494" w14:textId="3C2FEF7A" w:rsidR="00EA33B8" w:rsidRPr="00653BF4" w:rsidRDefault="001B2168">
            <w:pPr>
              <w:spacing w:after="0" w:line="240" w:lineRule="auto"/>
              <w:jc w:val="center"/>
              <w:rPr>
                <w:rFonts w:ascii="Aptos" w:eastAsia="Times New Roman" w:hAnsi="Aptos" w:cs="Calibri"/>
                <w:color w:val="000000"/>
                <w:kern w:val="0"/>
                <w:sz w:val="20"/>
                <w:szCs w:val="20"/>
                <w:lang w:val="fr-FR" w:eastAsia="en-CA"/>
                <w14:ligatures w14:val="none"/>
              </w:rPr>
            </w:pPr>
            <w:r>
              <w:rPr>
                <w:rFonts w:ascii="Aptos" w:hAnsi="Aptos"/>
                <w:color w:val="000000"/>
                <w:sz w:val="20"/>
                <w:szCs w:val="20"/>
                <w:lang w:val="fr-FR"/>
              </w:rPr>
              <w:t>Utilisation de l’indicateur</w:t>
            </w:r>
          </w:p>
        </w:tc>
        <w:tc>
          <w:tcPr>
            <w:tcW w:w="3220" w:type="dxa"/>
            <w:gridSpan w:val="2"/>
            <w:tcBorders>
              <w:top w:val="single" w:sz="4" w:space="0" w:color="auto"/>
              <w:left w:val="nil"/>
              <w:bottom w:val="single" w:sz="4" w:space="0" w:color="auto"/>
              <w:right w:val="single" w:sz="4" w:space="0" w:color="auto"/>
            </w:tcBorders>
            <w:vAlign w:val="center"/>
          </w:tcPr>
          <w:p w14:paraId="47D1CF29" w14:textId="52AEEB65" w:rsidR="00EA33B8" w:rsidRPr="00653BF4" w:rsidRDefault="001B2168">
            <w:pPr>
              <w:spacing w:after="0" w:line="240" w:lineRule="auto"/>
              <w:jc w:val="center"/>
              <w:rPr>
                <w:rFonts w:ascii="Aptos" w:eastAsia="Times New Roman" w:hAnsi="Aptos" w:cs="Times New Roman"/>
                <w:color w:val="000000"/>
                <w:kern w:val="0"/>
                <w:sz w:val="20"/>
                <w:szCs w:val="20"/>
                <w:lang w:val="fr-FR" w:eastAsia="en-CA"/>
                <w14:ligatures w14:val="none"/>
              </w:rPr>
            </w:pPr>
            <w:r>
              <w:rPr>
                <w:rFonts w:ascii="Aptos" w:hAnsi="Aptos"/>
                <w:color w:val="000000"/>
                <w:sz w:val="20"/>
                <w:szCs w:val="20"/>
                <w:lang w:val="fr-FR"/>
              </w:rPr>
              <w:t>Résultat de l’indicateur</w:t>
            </w:r>
          </w:p>
        </w:tc>
      </w:tr>
      <w:tr w:rsidR="0038715B" w:rsidRPr="00543148" w14:paraId="21D10341" w14:textId="77777777" w:rsidTr="008F2E2A">
        <w:trPr>
          <w:trHeight w:val="1050"/>
        </w:trPr>
        <w:tc>
          <w:tcPr>
            <w:tcW w:w="32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713E08" w14:textId="1B9D94C0" w:rsidR="0038715B" w:rsidRPr="00653BF4" w:rsidRDefault="001B2168" w:rsidP="0038715B">
            <w:pPr>
              <w:spacing w:after="0" w:line="240" w:lineRule="auto"/>
              <w:jc w:val="center"/>
              <w:rPr>
                <w:rFonts w:ascii="Aptos" w:eastAsia="Times New Roman" w:hAnsi="Aptos" w:cs="Times New Roman"/>
                <w:color w:val="000000"/>
                <w:kern w:val="0"/>
                <w:sz w:val="20"/>
                <w:szCs w:val="20"/>
                <w:lang w:val="fr-FR" w:eastAsia="en-CA"/>
                <w14:ligatures w14:val="none"/>
              </w:rPr>
            </w:pPr>
            <w:r>
              <w:rPr>
                <w:rFonts w:ascii="Aptos" w:eastAsia="Times New Roman" w:hAnsi="Aptos" w:cs="Times New Roman"/>
                <w:color w:val="000000"/>
                <w:kern w:val="0"/>
                <w:sz w:val="20"/>
                <w:szCs w:val="20"/>
                <w:lang w:val="fr-FR" w:eastAsia="en-CA"/>
                <w14:ligatures w14:val="none"/>
              </w:rPr>
              <w:t>Indicateur binaire</w:t>
            </w:r>
            <w:r w:rsidR="0038715B" w:rsidRPr="00653BF4">
              <w:rPr>
                <w:rFonts w:ascii="Aptos" w:eastAsia="Times New Roman" w:hAnsi="Aptos" w:cs="Times New Roman"/>
                <w:color w:val="000000"/>
                <w:kern w:val="0"/>
                <w:sz w:val="20"/>
                <w:szCs w:val="20"/>
                <w:lang w:val="fr-FR" w:eastAsia="en-CA"/>
                <w14:ligatures w14:val="none"/>
              </w:rPr>
              <w:t xml:space="preserve"> 8.b</w:t>
            </w:r>
            <w:r w:rsidR="00E34DC9">
              <w:rPr>
                <w:rFonts w:ascii="Aptos" w:eastAsia="Times New Roman" w:hAnsi="Aptos" w:cs="Times New Roman"/>
                <w:color w:val="000000"/>
                <w:kern w:val="0"/>
                <w:sz w:val="20"/>
                <w:szCs w:val="20"/>
                <w:lang w:val="fr-FR" w:eastAsia="en-CA"/>
                <w14:ligatures w14:val="none"/>
              </w:rPr>
              <w:t> :</w:t>
            </w:r>
            <w:r w:rsidR="0038715B" w:rsidRPr="00653BF4">
              <w:rPr>
                <w:rFonts w:ascii="Aptos" w:eastAsia="Times New Roman" w:hAnsi="Aptos" w:cs="Times New Roman"/>
                <w:color w:val="000000"/>
                <w:kern w:val="0"/>
                <w:sz w:val="20"/>
                <w:szCs w:val="20"/>
                <w:lang w:val="fr-FR" w:eastAsia="en-CA"/>
                <w14:ligatures w14:val="none"/>
              </w:rPr>
              <w:t xml:space="preserve"> </w:t>
            </w:r>
            <w:r w:rsidR="00DC01A5" w:rsidRPr="000A259A">
              <w:rPr>
                <w:rFonts w:ascii="Aptos" w:eastAsia="Times New Roman" w:hAnsi="Aptos" w:cs="Times New Roman"/>
                <w:color w:val="000000"/>
                <w:kern w:val="0"/>
                <w:sz w:val="20"/>
                <w:szCs w:val="20"/>
                <w:lang w:val="fr-FR" w:eastAsia="en-CA"/>
                <w14:ligatures w14:val="none"/>
              </w:rPr>
              <w:t xml:space="preserve">nombre de pays ayant pris des mesures </w:t>
            </w:r>
            <w:r w:rsidR="000A259A" w:rsidRPr="000A259A">
              <w:rPr>
                <w:rFonts w:ascii="Aptos" w:eastAsia="Times New Roman" w:hAnsi="Aptos" w:cs="Times New Roman"/>
                <w:color w:val="000000"/>
                <w:kern w:val="0"/>
                <w:sz w:val="20"/>
                <w:szCs w:val="20"/>
                <w:lang w:val="fr-FR" w:eastAsia="en-CA"/>
                <w14:ligatures w14:val="none"/>
              </w:rPr>
              <w:t>visant à a</w:t>
            </w:r>
            <w:r w:rsidR="00DC01A5" w:rsidRPr="000A259A">
              <w:rPr>
                <w:rFonts w:ascii="Aptos" w:eastAsia="Times New Roman" w:hAnsi="Aptos" w:cs="Times New Roman"/>
                <w:color w:val="000000"/>
                <w:kern w:val="0"/>
                <w:sz w:val="20"/>
                <w:szCs w:val="20"/>
                <w:lang w:val="fr-FR" w:eastAsia="en-CA"/>
                <w14:ligatures w14:val="none"/>
              </w:rPr>
              <w:t>tténuer les effets des changements climatiques et de l’acidification des océans sur la biodiversité</w:t>
            </w:r>
            <w:r w:rsidR="005D5799">
              <w:rPr>
                <w:rFonts w:ascii="Aptos" w:eastAsia="Times New Roman" w:hAnsi="Aptos" w:cs="Times New Roman"/>
                <w:color w:val="000000"/>
                <w:kern w:val="0"/>
                <w:sz w:val="20"/>
                <w:szCs w:val="20"/>
                <w:lang w:val="fr-FR" w:eastAsia="en-CA"/>
                <w14:ligatures w14:val="none"/>
              </w:rPr>
              <w:t>,</w:t>
            </w:r>
            <w:r w:rsidR="00DC01A5" w:rsidRPr="000A259A">
              <w:rPr>
                <w:rFonts w:ascii="Aptos" w:eastAsia="Times New Roman" w:hAnsi="Aptos" w:cs="Times New Roman"/>
                <w:color w:val="000000"/>
                <w:kern w:val="0"/>
                <w:sz w:val="20"/>
                <w:szCs w:val="20"/>
                <w:lang w:val="fr-FR" w:eastAsia="en-CA"/>
                <w14:ligatures w14:val="none"/>
              </w:rPr>
              <w:t xml:space="preserve"> </w:t>
            </w:r>
            <w:r w:rsidR="0096071C">
              <w:rPr>
                <w:rFonts w:ascii="Aptos" w:eastAsia="Times New Roman" w:hAnsi="Aptos" w:cs="Times New Roman"/>
                <w:color w:val="000000"/>
                <w:kern w:val="0"/>
                <w:sz w:val="20"/>
                <w:szCs w:val="20"/>
                <w:lang w:val="fr-FR" w:eastAsia="en-CA"/>
                <w14:ligatures w14:val="none"/>
              </w:rPr>
              <w:t xml:space="preserve">en réduisant au minimum toute incidence négative et </w:t>
            </w:r>
            <w:r w:rsidR="00DC01A5" w:rsidRPr="000A259A">
              <w:rPr>
                <w:rFonts w:ascii="Aptos" w:eastAsia="Times New Roman" w:hAnsi="Aptos" w:cs="Times New Roman"/>
                <w:color w:val="000000"/>
                <w:kern w:val="0"/>
                <w:sz w:val="20"/>
                <w:szCs w:val="20"/>
                <w:lang w:val="fr-FR" w:eastAsia="en-CA"/>
                <w14:ligatures w14:val="none"/>
              </w:rPr>
              <w:t>en favorisant les retombées positives de l’action climatique sur la biodiversité.</w:t>
            </w:r>
          </w:p>
        </w:tc>
        <w:tc>
          <w:tcPr>
            <w:tcW w:w="2257" w:type="dxa"/>
            <w:tcBorders>
              <w:top w:val="single" w:sz="4" w:space="0" w:color="auto"/>
              <w:left w:val="nil"/>
              <w:bottom w:val="single" w:sz="4" w:space="0" w:color="auto"/>
              <w:right w:val="single" w:sz="4" w:space="0" w:color="auto"/>
            </w:tcBorders>
            <w:vAlign w:val="center"/>
            <w:hideMark/>
          </w:tcPr>
          <w:p w14:paraId="5965C28C" w14:textId="77777777" w:rsidR="0038715B" w:rsidRPr="00653BF4" w:rsidRDefault="0038715B" w:rsidP="0038715B">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127 Parties</w:t>
            </w:r>
          </w:p>
        </w:tc>
        <w:tc>
          <w:tcPr>
            <w:tcW w:w="672" w:type="dxa"/>
            <w:tcBorders>
              <w:top w:val="single" w:sz="4" w:space="0" w:color="auto"/>
              <w:left w:val="nil"/>
              <w:bottom w:val="single" w:sz="4" w:space="0" w:color="auto"/>
              <w:right w:val="single" w:sz="4" w:space="0" w:color="auto"/>
            </w:tcBorders>
            <w:vAlign w:val="center"/>
            <w:hideMark/>
          </w:tcPr>
          <w:p w14:paraId="2FE568A0" w14:textId="6971BF95" w:rsidR="0038715B" w:rsidRPr="00653BF4" w:rsidRDefault="001B2168" w:rsidP="0038715B">
            <w:pPr>
              <w:spacing w:after="0" w:line="240" w:lineRule="auto"/>
              <w:jc w:val="center"/>
              <w:rPr>
                <w:rFonts w:ascii="Aptos" w:eastAsia="Times New Roman" w:hAnsi="Aptos" w:cs="Calibri"/>
                <w:color w:val="000000"/>
                <w:kern w:val="0"/>
                <w:sz w:val="20"/>
                <w:szCs w:val="20"/>
                <w:lang w:val="fr-FR" w:eastAsia="en-CA"/>
                <w14:ligatures w14:val="none"/>
              </w:rPr>
            </w:pPr>
            <w:r>
              <w:rPr>
                <w:rFonts w:ascii="Aptos" w:eastAsia="Times New Roman" w:hAnsi="Aptos" w:cs="Calibri"/>
                <w:color w:val="000000"/>
                <w:kern w:val="0"/>
                <w:sz w:val="20"/>
                <w:szCs w:val="20"/>
                <w:lang w:val="fr-FR" w:eastAsia="en-CA"/>
                <w14:ligatures w14:val="none"/>
              </w:rPr>
              <w:t>s.o.</w:t>
            </w:r>
            <w:r w:rsidR="0038715B" w:rsidRPr="00653BF4">
              <w:rPr>
                <w:rFonts w:ascii="Aptos" w:eastAsia="Times New Roman" w:hAnsi="Aptos" w:cs="Calibri"/>
                <w:i/>
                <w:iCs/>
                <w:color w:val="000000"/>
                <w:kern w:val="0"/>
                <w:sz w:val="20"/>
                <w:szCs w:val="20"/>
                <w:vertAlign w:val="superscript"/>
                <w:lang w:val="fr-FR" w:eastAsia="en-CA"/>
                <w14:ligatures w14:val="none"/>
              </w:rPr>
              <w:t>a</w:t>
            </w:r>
          </w:p>
        </w:tc>
        <w:tc>
          <w:tcPr>
            <w:tcW w:w="2659" w:type="dxa"/>
            <w:tcBorders>
              <w:top w:val="single" w:sz="4" w:space="0" w:color="auto"/>
              <w:left w:val="nil"/>
              <w:bottom w:val="single" w:sz="4" w:space="0" w:color="auto"/>
              <w:right w:val="single" w:sz="4" w:space="0" w:color="auto"/>
            </w:tcBorders>
            <w:vAlign w:val="center"/>
            <w:hideMark/>
          </w:tcPr>
          <w:p w14:paraId="0EEB8DF5" w14:textId="076D7954" w:rsidR="0038715B" w:rsidRPr="00653BF4" w:rsidRDefault="001B2168" w:rsidP="0038715B">
            <w:pPr>
              <w:spacing w:after="0" w:line="240" w:lineRule="auto"/>
              <w:jc w:val="center"/>
              <w:rPr>
                <w:rFonts w:ascii="Aptos" w:eastAsia="Times New Roman" w:hAnsi="Aptos" w:cs="Times New Roman"/>
                <w:color w:val="000000"/>
                <w:kern w:val="0"/>
                <w:sz w:val="20"/>
                <w:szCs w:val="20"/>
                <w:lang w:val="fr-FR" w:eastAsia="en-CA"/>
                <w14:ligatures w14:val="none"/>
              </w:rPr>
            </w:pPr>
            <w:r w:rsidRPr="001B2168">
              <w:rPr>
                <w:rFonts w:ascii="Aptos" w:eastAsia="Times New Roman" w:hAnsi="Aptos" w:cs="Times New Roman"/>
                <w:color w:val="000000"/>
                <w:kern w:val="0"/>
                <w:sz w:val="20"/>
                <w:szCs w:val="20"/>
                <w:lang w:val="fr-FR" w:eastAsia="en-CA"/>
                <w14:ligatures w14:val="none"/>
              </w:rPr>
              <w:t>24</w:t>
            </w:r>
            <w:r w:rsidR="002878D7">
              <w:rPr>
                <w:rFonts w:ascii="Aptos" w:eastAsia="Times New Roman" w:hAnsi="Aptos" w:cs="Times New Roman"/>
                <w:color w:val="000000"/>
                <w:kern w:val="0"/>
                <w:sz w:val="20"/>
                <w:szCs w:val="20"/>
                <w:lang w:val="fr-FR" w:eastAsia="en-CA"/>
                <w14:ligatures w14:val="none"/>
              </w:rPr>
              <w:t> %</w:t>
            </w:r>
            <w:r w:rsidRPr="001B2168">
              <w:rPr>
                <w:rFonts w:ascii="Aptos" w:eastAsia="Times New Roman" w:hAnsi="Aptos" w:cs="Times New Roman"/>
                <w:color w:val="000000"/>
                <w:kern w:val="0"/>
                <w:sz w:val="20"/>
                <w:szCs w:val="20"/>
                <w:lang w:val="fr-FR" w:eastAsia="en-CA"/>
                <w14:ligatures w14:val="none"/>
              </w:rPr>
              <w:t xml:space="preserve"> des Parties ont obtenu un score élevé (4/5)</w:t>
            </w:r>
          </w:p>
        </w:tc>
        <w:tc>
          <w:tcPr>
            <w:tcW w:w="561" w:type="dxa"/>
            <w:tcBorders>
              <w:top w:val="single" w:sz="4" w:space="0" w:color="auto"/>
              <w:left w:val="nil"/>
              <w:bottom w:val="single" w:sz="4" w:space="0" w:color="auto"/>
              <w:right w:val="single" w:sz="4" w:space="0" w:color="auto"/>
            </w:tcBorders>
            <w:shd w:val="clear" w:color="000000" w:fill="C00000"/>
            <w:vAlign w:val="center"/>
            <w:hideMark/>
          </w:tcPr>
          <w:p w14:paraId="7DB19C95" w14:textId="77777777" w:rsidR="0038715B" w:rsidRPr="00653BF4" w:rsidRDefault="0038715B" w:rsidP="0038715B">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 </w:t>
            </w:r>
          </w:p>
        </w:tc>
      </w:tr>
      <w:tr w:rsidR="0038715B" w:rsidRPr="00543148" w14:paraId="5612DE4E" w14:textId="77777777" w:rsidTr="008F2E2A">
        <w:trPr>
          <w:trHeight w:val="1050"/>
        </w:trPr>
        <w:tc>
          <w:tcPr>
            <w:tcW w:w="3202" w:type="dxa"/>
            <w:tcBorders>
              <w:top w:val="nil"/>
              <w:left w:val="single" w:sz="4" w:space="0" w:color="auto"/>
              <w:bottom w:val="single" w:sz="4" w:space="0" w:color="auto"/>
              <w:right w:val="single" w:sz="4" w:space="0" w:color="auto"/>
            </w:tcBorders>
            <w:shd w:val="clear" w:color="000000" w:fill="FFFFFF"/>
            <w:vAlign w:val="center"/>
            <w:hideMark/>
          </w:tcPr>
          <w:p w14:paraId="6A76A981" w14:textId="2FCD2A09" w:rsidR="0038715B" w:rsidRPr="00653BF4" w:rsidRDefault="00C63295" w:rsidP="0038715B">
            <w:pPr>
              <w:spacing w:after="0" w:line="240" w:lineRule="auto"/>
              <w:jc w:val="center"/>
              <w:rPr>
                <w:rFonts w:ascii="Aptos" w:eastAsia="Times New Roman" w:hAnsi="Aptos" w:cs="Times New Roman"/>
                <w:color w:val="000000"/>
                <w:kern w:val="0"/>
                <w:sz w:val="20"/>
                <w:szCs w:val="20"/>
                <w:lang w:val="fr-FR" w:eastAsia="en-CA"/>
                <w14:ligatures w14:val="none"/>
              </w:rPr>
            </w:pPr>
            <w:r>
              <w:rPr>
                <w:rFonts w:ascii="Aptos" w:eastAsia="Times New Roman" w:hAnsi="Aptos" w:cs="Times New Roman"/>
                <w:color w:val="000000"/>
                <w:kern w:val="0"/>
                <w:sz w:val="20"/>
                <w:szCs w:val="20"/>
                <w:lang w:val="fr-FR" w:eastAsia="en-CA"/>
                <w14:ligatures w14:val="none"/>
              </w:rPr>
              <w:t>Ensemble des indicateurs quantitatifs</w:t>
            </w:r>
          </w:p>
        </w:tc>
        <w:tc>
          <w:tcPr>
            <w:tcW w:w="2257" w:type="dxa"/>
            <w:tcBorders>
              <w:top w:val="nil"/>
              <w:left w:val="nil"/>
              <w:bottom w:val="single" w:sz="4" w:space="0" w:color="auto"/>
              <w:right w:val="single" w:sz="4" w:space="0" w:color="auto"/>
            </w:tcBorders>
            <w:vAlign w:val="center"/>
            <w:hideMark/>
          </w:tcPr>
          <w:p w14:paraId="6551B259" w14:textId="23D7788F" w:rsidR="0038715B" w:rsidRPr="00653BF4" w:rsidRDefault="001F3C3D" w:rsidP="0038715B">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32 Parties, 18</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t</w:t>
            </w:r>
          </w:p>
        </w:tc>
        <w:tc>
          <w:tcPr>
            <w:tcW w:w="672" w:type="dxa"/>
            <w:tcBorders>
              <w:top w:val="nil"/>
              <w:left w:val="nil"/>
              <w:bottom w:val="single" w:sz="4" w:space="0" w:color="auto"/>
              <w:right w:val="single" w:sz="4" w:space="0" w:color="auto"/>
            </w:tcBorders>
            <w:shd w:val="clear" w:color="000000" w:fill="C00000"/>
            <w:vAlign w:val="center"/>
            <w:hideMark/>
          </w:tcPr>
          <w:p w14:paraId="0A33DD2C" w14:textId="77777777" w:rsidR="0038715B" w:rsidRPr="00653BF4" w:rsidRDefault="0038715B" w:rsidP="0038715B">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659" w:type="dxa"/>
            <w:tcBorders>
              <w:top w:val="nil"/>
              <w:left w:val="nil"/>
              <w:bottom w:val="single" w:sz="4" w:space="0" w:color="auto"/>
              <w:right w:val="single" w:sz="4" w:space="0" w:color="auto"/>
            </w:tcBorders>
            <w:vAlign w:val="center"/>
            <w:hideMark/>
          </w:tcPr>
          <w:p w14:paraId="244F6C87" w14:textId="485C2EB1" w:rsidR="001B2168" w:rsidRPr="001B2168" w:rsidRDefault="001B2168" w:rsidP="001B2168">
            <w:pPr>
              <w:spacing w:after="0" w:line="240" w:lineRule="auto"/>
              <w:jc w:val="center"/>
              <w:rPr>
                <w:rFonts w:ascii="Aptos" w:eastAsia="Times New Roman" w:hAnsi="Aptos" w:cs="Times New Roman"/>
                <w:color w:val="000000"/>
                <w:kern w:val="0"/>
                <w:sz w:val="20"/>
                <w:szCs w:val="20"/>
                <w:lang w:val="fr-FR" w:eastAsia="en-CA"/>
                <w14:ligatures w14:val="none"/>
              </w:rPr>
            </w:pPr>
            <w:r w:rsidRPr="001B2168">
              <w:rPr>
                <w:rFonts w:ascii="Aptos" w:eastAsia="Times New Roman" w:hAnsi="Aptos" w:cs="Times New Roman"/>
                <w:color w:val="000000"/>
                <w:kern w:val="0"/>
                <w:sz w:val="20"/>
                <w:szCs w:val="20"/>
                <w:lang w:val="fr-FR" w:eastAsia="en-CA"/>
                <w14:ligatures w14:val="none"/>
              </w:rPr>
              <w:t>42</w:t>
            </w:r>
            <w:r w:rsidR="002878D7">
              <w:rPr>
                <w:rFonts w:ascii="Aptos" w:eastAsia="Times New Roman" w:hAnsi="Aptos" w:cs="Times New Roman"/>
                <w:color w:val="000000"/>
                <w:kern w:val="0"/>
                <w:sz w:val="20"/>
                <w:szCs w:val="20"/>
                <w:lang w:val="fr-FR" w:eastAsia="en-CA"/>
                <w14:ligatures w14:val="none"/>
              </w:rPr>
              <w:t> %</w:t>
            </w:r>
            <w:r w:rsidRPr="001B2168">
              <w:rPr>
                <w:rFonts w:ascii="Aptos" w:eastAsia="Times New Roman" w:hAnsi="Aptos" w:cs="Times New Roman"/>
                <w:color w:val="000000"/>
                <w:kern w:val="0"/>
                <w:sz w:val="20"/>
                <w:szCs w:val="20"/>
                <w:lang w:val="fr-FR" w:eastAsia="en-CA"/>
                <w14:ligatures w14:val="none"/>
              </w:rPr>
              <w:t xml:space="preserve"> de tendances positives</w:t>
            </w:r>
          </w:p>
          <w:p w14:paraId="7E71E10B" w14:textId="7F49E804" w:rsidR="0038715B" w:rsidRPr="00653BF4" w:rsidRDefault="001B2168" w:rsidP="001B2168">
            <w:pPr>
              <w:spacing w:after="0" w:line="240" w:lineRule="auto"/>
              <w:jc w:val="center"/>
              <w:rPr>
                <w:rFonts w:ascii="Aptos" w:eastAsia="Times New Roman" w:hAnsi="Aptos" w:cs="Times New Roman"/>
                <w:color w:val="000000"/>
                <w:kern w:val="0"/>
                <w:sz w:val="20"/>
                <w:szCs w:val="20"/>
                <w:lang w:val="fr-FR" w:eastAsia="en-CA"/>
                <w14:ligatures w14:val="none"/>
              </w:rPr>
            </w:pPr>
            <w:r w:rsidRPr="001B2168">
              <w:rPr>
                <w:rFonts w:ascii="Aptos" w:eastAsia="Times New Roman" w:hAnsi="Aptos" w:cs="Times New Roman"/>
                <w:color w:val="000000"/>
                <w:kern w:val="0"/>
                <w:sz w:val="20"/>
                <w:szCs w:val="20"/>
                <w:lang w:val="fr-FR" w:eastAsia="en-CA"/>
                <w14:ligatures w14:val="none"/>
              </w:rPr>
              <w:t>16</w:t>
            </w:r>
            <w:r w:rsidR="002878D7">
              <w:rPr>
                <w:rFonts w:ascii="Aptos" w:eastAsia="Times New Roman" w:hAnsi="Aptos" w:cs="Times New Roman"/>
                <w:color w:val="000000"/>
                <w:kern w:val="0"/>
                <w:sz w:val="20"/>
                <w:szCs w:val="20"/>
                <w:lang w:val="fr-FR" w:eastAsia="en-CA"/>
                <w14:ligatures w14:val="none"/>
              </w:rPr>
              <w:t> %</w:t>
            </w:r>
            <w:r w:rsidRPr="001B2168">
              <w:rPr>
                <w:rFonts w:ascii="Aptos" w:eastAsia="Times New Roman" w:hAnsi="Aptos" w:cs="Times New Roman"/>
                <w:color w:val="000000"/>
                <w:kern w:val="0"/>
                <w:sz w:val="20"/>
                <w:szCs w:val="20"/>
                <w:lang w:val="fr-FR" w:eastAsia="en-CA"/>
                <w14:ligatures w14:val="none"/>
              </w:rPr>
              <w:t xml:space="preserve"> de tendances négatives</w:t>
            </w:r>
          </w:p>
        </w:tc>
        <w:tc>
          <w:tcPr>
            <w:tcW w:w="561" w:type="dxa"/>
            <w:tcBorders>
              <w:top w:val="nil"/>
              <w:left w:val="nil"/>
              <w:bottom w:val="single" w:sz="4" w:space="0" w:color="auto"/>
              <w:right w:val="single" w:sz="4" w:space="0" w:color="auto"/>
            </w:tcBorders>
            <w:shd w:val="clear" w:color="000000" w:fill="92D050"/>
            <w:vAlign w:val="bottom"/>
            <w:hideMark/>
          </w:tcPr>
          <w:p w14:paraId="71D36692" w14:textId="77777777" w:rsidR="0038715B" w:rsidRPr="00653BF4" w:rsidRDefault="0038715B" w:rsidP="0038715B">
            <w:pPr>
              <w:spacing w:after="0" w:line="240" w:lineRule="auto"/>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 </w:t>
            </w:r>
          </w:p>
        </w:tc>
      </w:tr>
    </w:tbl>
    <w:p w14:paraId="2CE74C80" w14:textId="77777777" w:rsidR="00EA33B8" w:rsidRPr="00653BF4" w:rsidRDefault="00EA33B8" w:rsidP="00EA33B8">
      <w:pPr>
        <w:rPr>
          <w:rFonts w:ascii="Aptos" w:hAnsi="Aptos"/>
          <w:lang w:val="fr-FR" w:eastAsia="en-GB"/>
        </w:rPr>
      </w:pPr>
    </w:p>
    <w:p w14:paraId="795C5475" w14:textId="3084816B" w:rsidR="00BB5772" w:rsidRPr="00653BF4" w:rsidRDefault="006A631C" w:rsidP="00BB5772">
      <w:pPr>
        <w:rPr>
          <w:rFonts w:ascii="Aptos" w:hAnsi="Aptos"/>
          <w:sz w:val="16"/>
          <w:szCs w:val="16"/>
          <w:lang w:val="fr-FR"/>
        </w:rPr>
      </w:pPr>
      <w:r w:rsidRPr="00653BF4">
        <w:rPr>
          <w:rFonts w:ascii="Aptos" w:hAnsi="Aptos"/>
          <w:i/>
          <w:iCs/>
          <w:sz w:val="16"/>
          <w:szCs w:val="16"/>
          <w:lang w:val="fr-FR"/>
        </w:rPr>
        <w:t>Note</w:t>
      </w:r>
      <w:r w:rsidR="00E34DC9">
        <w:rPr>
          <w:rFonts w:ascii="Aptos" w:hAnsi="Aptos"/>
          <w:i/>
          <w:iCs/>
          <w:sz w:val="16"/>
          <w:szCs w:val="16"/>
          <w:lang w:val="fr-FR"/>
        </w:rPr>
        <w:t> :</w:t>
      </w:r>
      <w:r w:rsidR="00BB5772" w:rsidRPr="00653BF4">
        <w:rPr>
          <w:rFonts w:ascii="Aptos" w:hAnsi="Aptos"/>
          <w:sz w:val="16"/>
          <w:szCs w:val="16"/>
          <w:lang w:val="fr-FR"/>
        </w:rPr>
        <w:t xml:space="preserve"> </w:t>
      </w:r>
      <w:r w:rsidR="0024154A" w:rsidRPr="00653BF4">
        <w:rPr>
          <w:rFonts w:ascii="Aptos" w:hAnsi="Aptos"/>
          <w:sz w:val="16"/>
          <w:szCs w:val="16"/>
          <w:lang w:val="fr-FR"/>
        </w:rPr>
        <w:t>Le code couleur se rapporte à l’évaluation globale des progrès accomplis pour l’ensemble des cibles. La méthode de cette évaluation est expliquée dans le tableau de bord récapitulatif global (voir le tableau 3).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rFonts w:ascii="Aptos" w:hAnsi="Aptos"/>
          <w:sz w:val="16"/>
          <w:szCs w:val="16"/>
          <w:lang w:val="fr-FR"/>
        </w:rPr>
        <w:t> %</w:t>
      </w:r>
      <w:r w:rsidR="0024154A" w:rsidRPr="00653BF4">
        <w:rPr>
          <w:rFonts w:ascii="Aptos" w:hAnsi="Aptos"/>
          <w:sz w:val="16"/>
          <w:szCs w:val="16"/>
          <w:lang w:val="fr-FR"/>
        </w:rPr>
        <w:t>, le jaune aux valeurs comprises entre 25</w:t>
      </w:r>
      <w:r w:rsidR="002878D7">
        <w:rPr>
          <w:rFonts w:ascii="Aptos" w:hAnsi="Aptos"/>
          <w:sz w:val="16"/>
          <w:szCs w:val="16"/>
          <w:lang w:val="fr-FR"/>
        </w:rPr>
        <w:t> %</w:t>
      </w:r>
      <w:r w:rsidR="0024154A" w:rsidRPr="00653BF4">
        <w:rPr>
          <w:rFonts w:ascii="Aptos" w:hAnsi="Aptos"/>
          <w:sz w:val="16"/>
          <w:szCs w:val="16"/>
          <w:lang w:val="fr-FR"/>
        </w:rPr>
        <w:t xml:space="preserve"> et 50</w:t>
      </w:r>
      <w:r w:rsidR="002878D7">
        <w:rPr>
          <w:rFonts w:ascii="Aptos" w:hAnsi="Aptos"/>
          <w:sz w:val="16"/>
          <w:szCs w:val="16"/>
          <w:lang w:val="fr-FR"/>
        </w:rPr>
        <w:t> %</w:t>
      </w:r>
      <w:r w:rsidR="0024154A" w:rsidRPr="00653BF4">
        <w:rPr>
          <w:rFonts w:ascii="Aptos" w:hAnsi="Aptos"/>
          <w:sz w:val="16"/>
          <w:szCs w:val="16"/>
          <w:lang w:val="fr-FR"/>
        </w:rPr>
        <w:t>, et le rouge aux valeurs inférieures à 25</w:t>
      </w:r>
      <w:r w:rsidR="002878D7">
        <w:rPr>
          <w:rFonts w:ascii="Aptos" w:hAnsi="Aptos"/>
          <w:sz w:val="16"/>
          <w:szCs w:val="16"/>
          <w:lang w:val="fr-FR"/>
        </w:rPr>
        <w:t> %</w:t>
      </w:r>
      <w:r w:rsidR="0024154A" w:rsidRPr="00653BF4">
        <w:rPr>
          <w:rFonts w:ascii="Aptos" w:hAnsi="Aptos"/>
          <w:sz w:val="16"/>
          <w:szCs w:val="16"/>
          <w:lang w:val="fr-FR"/>
        </w:rPr>
        <w:t>).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66211313" w14:textId="1436DFC5" w:rsidR="00BB5772" w:rsidRPr="00653BF4" w:rsidRDefault="00BB5772" w:rsidP="00BB5772">
      <w:pPr>
        <w:pStyle w:val="FootnoteText"/>
        <w:rPr>
          <w:sz w:val="16"/>
          <w:szCs w:val="16"/>
          <w:lang w:val="fr-FR"/>
        </w:rPr>
      </w:pPr>
      <w:r w:rsidRPr="00653BF4">
        <w:rPr>
          <w:vertAlign w:val="superscript"/>
          <w:lang w:val="fr-FR"/>
        </w:rPr>
        <w:t>a</w:t>
      </w:r>
      <w:r w:rsidRPr="00653BF4">
        <w:rPr>
          <w:lang w:val="fr-FR"/>
        </w:rPr>
        <w:t xml:space="preserve"> </w:t>
      </w:r>
      <w:r w:rsidR="00C24B19" w:rsidRPr="00653BF4">
        <w:rPr>
          <w:sz w:val="16"/>
          <w:szCs w:val="16"/>
          <w:lang w:val="fr-FR"/>
        </w:rPr>
        <w:t>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p>
    <w:p w14:paraId="1DE5A26F" w14:textId="77777777" w:rsidR="00BB5772" w:rsidRPr="00653BF4" w:rsidRDefault="00BB5772" w:rsidP="00BB5772">
      <w:pPr>
        <w:rPr>
          <w:rFonts w:ascii="Aptos" w:hAnsi="Aptos"/>
          <w:strike/>
          <w:lang w:val="fr-FR"/>
        </w:rPr>
      </w:pPr>
    </w:p>
    <w:p w14:paraId="225CC377" w14:textId="77777777" w:rsidR="00B10570" w:rsidRPr="00653BF4" w:rsidRDefault="00B10570" w:rsidP="00EA33B8">
      <w:pPr>
        <w:rPr>
          <w:rFonts w:ascii="Aptos" w:hAnsi="Aptos"/>
          <w:lang w:val="fr-FR" w:eastAsia="en-GB"/>
        </w:rPr>
      </w:pPr>
    </w:p>
    <w:p w14:paraId="025DB42D" w14:textId="43430A06" w:rsidR="0052024A" w:rsidRPr="00653BF4" w:rsidRDefault="00AD5780" w:rsidP="00FF7FAA">
      <w:pPr>
        <w:rPr>
          <w:rFonts w:ascii="Aptos" w:hAnsi="Aptos"/>
          <w:lang w:val="fr-FR" w:eastAsia="en-GB"/>
        </w:rPr>
      </w:pPr>
      <w:r w:rsidRPr="00AD5780">
        <w:rPr>
          <w:rFonts w:ascii="Aptos" w:hAnsi="Aptos"/>
          <w:lang w:val="fr-FR" w:eastAsia="en-GB"/>
        </w:rPr>
        <w:t xml:space="preserve">En ce qui concerne l’indicateur binaire relatif à la </w:t>
      </w:r>
      <w:r w:rsidR="00E34DC9">
        <w:rPr>
          <w:rFonts w:ascii="Aptos" w:hAnsi="Aptos"/>
          <w:lang w:val="fr-FR" w:eastAsia="en-GB"/>
        </w:rPr>
        <w:t>cible 8</w:t>
      </w:r>
      <w:r w:rsidRPr="00AD5780">
        <w:rPr>
          <w:rFonts w:ascii="Aptos" w:hAnsi="Aptos"/>
          <w:lang w:val="fr-FR" w:eastAsia="en-GB"/>
        </w:rPr>
        <w:t xml:space="preserve">, les Parties ont pour la plupart indiqué se situer à un niveau intermédiaire de mise en œuvre des mesures relatives aux </w:t>
      </w:r>
      <w:r w:rsidR="0072030C">
        <w:rPr>
          <w:rFonts w:ascii="Aptos" w:hAnsi="Aptos"/>
          <w:lang w:val="fr-FR" w:eastAsia="en-GB"/>
        </w:rPr>
        <w:t>impacts</w:t>
      </w:r>
      <w:r w:rsidRPr="00AD5780">
        <w:rPr>
          <w:rFonts w:ascii="Aptos" w:hAnsi="Aptos"/>
          <w:lang w:val="fr-FR" w:eastAsia="en-GB"/>
        </w:rPr>
        <w:t xml:space="preserve"> des changements climatiques et </w:t>
      </w:r>
      <w:r w:rsidR="00D83422">
        <w:rPr>
          <w:rFonts w:ascii="Aptos" w:hAnsi="Aptos"/>
          <w:lang w:val="fr-FR" w:eastAsia="en-GB"/>
        </w:rPr>
        <w:t>de</w:t>
      </w:r>
      <w:r w:rsidRPr="00AD5780">
        <w:rPr>
          <w:rFonts w:ascii="Aptos" w:hAnsi="Aptos"/>
          <w:lang w:val="fr-FR" w:eastAsia="en-GB"/>
        </w:rPr>
        <w:t xml:space="preserve"> l’acidification des océans sur la biodiversité (voir le tableau 19 et la figure 34). Toutes les Parties ont fait état de certains progrès concernant ces mesures, mais seules 2</w:t>
      </w:r>
      <w:r w:rsidR="002878D7">
        <w:rPr>
          <w:rFonts w:ascii="Aptos" w:hAnsi="Aptos"/>
          <w:lang w:val="fr-FR" w:eastAsia="en-GB"/>
        </w:rPr>
        <w:t> %</w:t>
      </w:r>
      <w:r w:rsidRPr="00AD5780">
        <w:rPr>
          <w:rFonts w:ascii="Aptos" w:hAnsi="Aptos"/>
          <w:lang w:val="fr-FR" w:eastAsia="en-GB"/>
        </w:rPr>
        <w:t xml:space="preserve"> ont déclaré les avoir pleinement mises en œuvre. En effet, la quasi-totalité des Parties (97</w:t>
      </w:r>
      <w:r w:rsidR="002878D7">
        <w:rPr>
          <w:rFonts w:ascii="Aptos" w:hAnsi="Aptos"/>
          <w:lang w:val="fr-FR" w:eastAsia="en-GB"/>
        </w:rPr>
        <w:t> %</w:t>
      </w:r>
      <w:r w:rsidRPr="00AD5780">
        <w:rPr>
          <w:rFonts w:ascii="Aptos" w:hAnsi="Aptos"/>
          <w:lang w:val="fr-FR" w:eastAsia="en-GB"/>
        </w:rPr>
        <w:t>) indiquent que leurs SPANB comprennent des actions visant à réduire au minimum les impacts des changements climatiques, et 90</w:t>
      </w:r>
      <w:r w:rsidR="002878D7">
        <w:rPr>
          <w:rFonts w:ascii="Aptos" w:hAnsi="Aptos"/>
          <w:lang w:val="fr-FR" w:eastAsia="en-GB"/>
        </w:rPr>
        <w:t> %</w:t>
      </w:r>
      <w:r w:rsidRPr="00AD5780">
        <w:rPr>
          <w:rFonts w:ascii="Aptos" w:hAnsi="Aptos"/>
          <w:lang w:val="fr-FR" w:eastAsia="en-GB"/>
        </w:rPr>
        <w:t xml:space="preserve"> précisent que leurs politiques et plans d’action intègrent des solutions fondées</w:t>
      </w:r>
      <w:r>
        <w:rPr>
          <w:rFonts w:ascii="Aptos" w:hAnsi="Aptos"/>
          <w:lang w:val="fr-FR" w:eastAsia="en-GB"/>
        </w:rPr>
        <w:t xml:space="preserve"> </w:t>
      </w:r>
      <w:r w:rsidRPr="00AD5780">
        <w:rPr>
          <w:rFonts w:ascii="Aptos" w:hAnsi="Aptos"/>
          <w:lang w:val="fr-FR" w:eastAsia="en-GB"/>
        </w:rPr>
        <w:t xml:space="preserve">sur la nature. Un nombre plus restreint de Parties a présenté des progrès </w:t>
      </w:r>
      <w:r w:rsidRPr="00AD5780">
        <w:rPr>
          <w:rFonts w:ascii="Aptos" w:hAnsi="Aptos"/>
          <w:lang w:val="fr-FR" w:eastAsia="en-GB"/>
        </w:rPr>
        <w:lastRenderedPageBreak/>
        <w:t xml:space="preserve">dans la mise en œuvre de mesures visant à minimiser les impacts de l’acidification des océans. Les indicateurs nationaux présentés, qui étaient conformes à la </w:t>
      </w:r>
      <w:r w:rsidR="00E34DC9">
        <w:rPr>
          <w:rFonts w:ascii="Aptos" w:hAnsi="Aptos"/>
          <w:lang w:val="fr-FR" w:eastAsia="en-GB"/>
        </w:rPr>
        <w:t>cible 8</w:t>
      </w:r>
      <w:r w:rsidRPr="00AD5780">
        <w:rPr>
          <w:rFonts w:ascii="Aptos" w:hAnsi="Aptos"/>
          <w:lang w:val="fr-FR" w:eastAsia="en-GB"/>
        </w:rPr>
        <w:t xml:space="preserve">, portaient principalement sur les effets des changements climatiques plutôt que sur ceux de l’acidification des océans. Néanmoins, les mesures plus larges liées au climat </w:t>
      </w:r>
      <w:r w:rsidR="003F69C6">
        <w:rPr>
          <w:rFonts w:ascii="Aptos" w:hAnsi="Aptos"/>
          <w:lang w:val="fr-FR" w:eastAsia="en-GB"/>
        </w:rPr>
        <w:t>prises</w:t>
      </w:r>
      <w:r w:rsidRPr="00AD5780">
        <w:rPr>
          <w:rFonts w:ascii="Aptos" w:hAnsi="Aptos"/>
          <w:lang w:val="fr-FR" w:eastAsia="en-GB"/>
        </w:rPr>
        <w:t xml:space="preserve"> par les Parties peuvent également contribuer à atténuer et/ou à minimiser les impacts de l’acidification des océans (voir la figure 35).</w:t>
      </w:r>
    </w:p>
    <w:p w14:paraId="7EFD73DF" w14:textId="77777777" w:rsidR="0052024A" w:rsidRPr="00653BF4" w:rsidRDefault="0052024A" w:rsidP="00FF7FAA">
      <w:pPr>
        <w:rPr>
          <w:rFonts w:ascii="Aptos" w:hAnsi="Aptos"/>
          <w:lang w:val="fr-FR" w:eastAsia="en-GB"/>
        </w:rPr>
      </w:pPr>
    </w:p>
    <w:p w14:paraId="7C7593D9" w14:textId="0AF3AC28" w:rsidR="0052024A" w:rsidRPr="00653BF4" w:rsidRDefault="0052024A" w:rsidP="00FF7FAA">
      <w:pPr>
        <w:rPr>
          <w:sz w:val="20"/>
          <w:szCs w:val="20"/>
          <w:lang w:val="fr-FR"/>
        </w:rPr>
      </w:pPr>
      <w:r w:rsidRPr="00653BF4">
        <w:rPr>
          <w:sz w:val="20"/>
          <w:szCs w:val="20"/>
          <w:lang w:val="fr-FR"/>
        </w:rPr>
        <w:t xml:space="preserve">Figure </w:t>
      </w:r>
      <w:r w:rsidRPr="00653BF4">
        <w:rPr>
          <w:noProof/>
          <w:sz w:val="20"/>
          <w:szCs w:val="20"/>
          <w:lang w:val="fr-FR"/>
        </w:rPr>
        <w:t>34</w:t>
      </w:r>
    </w:p>
    <w:p w14:paraId="2270E5F8" w14:textId="773556E4" w:rsidR="00D26899" w:rsidRPr="00653BF4" w:rsidRDefault="0096071C" w:rsidP="00D26899">
      <w:pPr>
        <w:pStyle w:val="Caption"/>
        <w:rPr>
          <w:rFonts w:ascii="Aptos" w:hAnsi="Aptos"/>
          <w:b/>
          <w:bCs/>
          <w:i w:val="0"/>
          <w:iCs w:val="0"/>
          <w:sz w:val="20"/>
          <w:szCs w:val="20"/>
          <w:lang w:val="fr-FR"/>
        </w:rPr>
      </w:pPr>
      <w:r w:rsidRPr="0096071C">
        <w:rPr>
          <w:rFonts w:ascii="Aptos" w:hAnsi="Aptos"/>
          <w:b/>
          <w:bCs/>
          <w:i w:val="0"/>
          <w:iCs w:val="0"/>
          <w:sz w:val="20"/>
          <w:szCs w:val="20"/>
          <w:lang w:val="fr-FR"/>
        </w:rPr>
        <w:t>Indicateur binaire 8.b</w:t>
      </w:r>
      <w:r w:rsidR="00E34DC9">
        <w:rPr>
          <w:rFonts w:ascii="Aptos" w:hAnsi="Aptos"/>
          <w:b/>
          <w:bCs/>
          <w:i w:val="0"/>
          <w:iCs w:val="0"/>
          <w:sz w:val="20"/>
          <w:szCs w:val="20"/>
          <w:lang w:val="fr-FR"/>
        </w:rPr>
        <w:t> :</w:t>
      </w:r>
      <w:r w:rsidRPr="0096071C">
        <w:rPr>
          <w:rFonts w:ascii="Aptos" w:hAnsi="Aptos"/>
          <w:b/>
          <w:bCs/>
          <w:i w:val="0"/>
          <w:iCs w:val="0"/>
          <w:sz w:val="20"/>
          <w:szCs w:val="20"/>
          <w:lang w:val="fr-FR"/>
        </w:rPr>
        <w:t xml:space="preserve"> nombre de pays ayant pris des mesures visant à atténuer les effets des changements climatiques et de l’acidification des océans sur la biodiversité, en réduisant au minimum toute incidence négative et en favorisant les retombées positives de l’action climatique sur la biodiversité.</w:t>
      </w:r>
    </w:p>
    <w:p w14:paraId="1C766AF0" w14:textId="7927AE7C" w:rsidR="00471C0F" w:rsidRPr="00653BF4" w:rsidRDefault="004C6F02" w:rsidP="00FF7FAA">
      <w:pPr>
        <w:rPr>
          <w:lang w:val="fr-FR"/>
        </w:rPr>
      </w:pPr>
      <w:r w:rsidRPr="00653BF4">
        <w:rPr>
          <w:noProof/>
          <w:lang w:val="fr-FR"/>
        </w:rPr>
        <w:drawing>
          <wp:inline distT="0" distB="0" distL="0" distR="0" wp14:anchorId="1284D5C0" wp14:editId="0653C574">
            <wp:extent cx="5943600" cy="2264410"/>
            <wp:effectExtent l="0" t="0" r="0" b="0"/>
            <wp:docPr id="7391914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91489" name="Picture 739191489"/>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565E8AD7" w14:textId="6CD26782" w:rsidR="007E1A6A" w:rsidRPr="00653BF4" w:rsidRDefault="006A631C" w:rsidP="007E1A6A">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007E1A6A" w:rsidRPr="00653BF4">
        <w:rPr>
          <w:rFonts w:ascii="Aptos" w:hAnsi="Aptos"/>
          <w:lang w:val="fr-FR"/>
        </w:rPr>
        <w:t xml:space="preserve"> </w:t>
      </w:r>
      <w:r w:rsidR="006859B1" w:rsidRPr="00653BF4">
        <w:rPr>
          <w:rFonts w:ascii="Aptos" w:hAnsi="Aptos"/>
          <w:i w:val="0"/>
          <w:iCs w:val="0"/>
          <w:lang w:val="fr-FR"/>
        </w:rPr>
        <w:t>La largeur des barres indique le pourcentage de Parties dans chaque catégorie de note, une note plus élevée correspondant à des progrès plus importants. Les notes sont établies d’après les réponses aux questions de l’indicateur</w:t>
      </w:r>
      <w:r w:rsidR="007E1A6A" w:rsidRPr="00653BF4">
        <w:rPr>
          <w:rFonts w:ascii="Aptos" w:hAnsi="Aptos"/>
          <w:i w:val="0"/>
          <w:iCs w:val="0"/>
          <w:vertAlign w:val="superscript"/>
          <w:lang w:val="fr-FR"/>
        </w:rPr>
        <w:t>a</w:t>
      </w:r>
      <w:r w:rsidR="007E1A6A" w:rsidRPr="00653BF4">
        <w:rPr>
          <w:rFonts w:ascii="Aptos" w:hAnsi="Aptos"/>
          <w:i w:val="0"/>
          <w:iCs w:val="0"/>
          <w:lang w:val="fr-FR"/>
        </w:rPr>
        <w:t xml:space="preserve"> </w:t>
      </w:r>
      <w:r w:rsidR="00434453" w:rsidRPr="00653BF4">
        <w:rPr>
          <w:rFonts w:ascii="Aptos" w:hAnsi="Aptos"/>
          <w:i w:val="0"/>
          <w:iCs w:val="0"/>
          <w:lang w:val="fr-FR"/>
        </w:rPr>
        <w:t>Le diagramme circulaire représente la répartition par région des Parties ayant répondu à toutes les questions.</w:t>
      </w:r>
      <w:r w:rsidR="007E1A6A" w:rsidRPr="00653BF4">
        <w:rPr>
          <w:rFonts w:ascii="Aptos" w:hAnsi="Aptos"/>
          <w:i w:val="0"/>
          <w:iCs w:val="0"/>
          <w:lang w:val="fr-FR"/>
        </w:rPr>
        <w:t xml:space="preserve"> </w:t>
      </w:r>
      <w:r w:rsidR="00C54DC2" w:rsidRPr="00653BF4">
        <w:rPr>
          <w:rFonts w:ascii="Aptos" w:hAnsi="Aptos"/>
          <w:i w:val="0"/>
          <w:iCs w:val="0"/>
          <w:lang w:val="fr-FR"/>
        </w:rPr>
        <w:t>La couleur de chaque région est indiquée dans la légende de la figure</w:t>
      </w:r>
      <w:r w:rsidR="00E34DC9">
        <w:rPr>
          <w:rFonts w:ascii="Aptos" w:hAnsi="Aptos"/>
          <w:i w:val="0"/>
          <w:iCs w:val="0"/>
          <w:lang w:val="fr-FR"/>
        </w:rPr>
        <w:t> :</w:t>
      </w:r>
      <w:r w:rsidR="00C54DC2"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C54DC2" w:rsidRPr="00653BF4">
        <w:rPr>
          <w:rFonts w:ascii="Aptos" w:hAnsi="Aptos"/>
          <w:i w:val="0"/>
          <w:iCs w:val="0"/>
          <w:lang w:val="fr-FR"/>
        </w:rPr>
        <w:t xml:space="preserve"> les tons plus clairs, la proportion de Parties de la même région dont les données n’y figurent pas.</w:t>
      </w:r>
    </w:p>
    <w:p w14:paraId="04013E37" w14:textId="01862419" w:rsidR="007E1A6A" w:rsidRPr="00653BF4" w:rsidRDefault="007E1A6A" w:rsidP="007E1A6A">
      <w:pPr>
        <w:rPr>
          <w:sz w:val="18"/>
          <w:szCs w:val="18"/>
          <w:lang w:val="fr-FR"/>
        </w:rPr>
      </w:pPr>
      <w:r w:rsidRPr="00653BF4">
        <w:rPr>
          <w:sz w:val="18"/>
          <w:szCs w:val="18"/>
          <w:vertAlign w:val="superscript"/>
          <w:lang w:val="fr-FR"/>
        </w:rPr>
        <w:t xml:space="preserve">a </w:t>
      </w:r>
      <w:r w:rsidR="005005B3" w:rsidRPr="00653BF4">
        <w:rPr>
          <w:sz w:val="18"/>
          <w:szCs w:val="18"/>
          <w:lang w:val="fr-FR"/>
        </w:rPr>
        <w:t>La méthode de calcul des notes pour chaque indicateur binaire, ainsi que les questions associées à chaque indicateur, figurent dans le document </w:t>
      </w:r>
      <w:hyperlink r:id="rId112" w:history="1">
        <w:r w:rsidR="005058EA" w:rsidRPr="00653BF4">
          <w:rPr>
            <w:rStyle w:val="Hyperlink"/>
            <w:sz w:val="18"/>
            <w:szCs w:val="18"/>
            <w:lang w:val="fr-FR"/>
          </w:rPr>
          <w:t>CBD/COP/16/INF/3/Rev.1</w:t>
        </w:r>
      </w:hyperlink>
      <w:r w:rsidR="005058EA" w:rsidRPr="00653BF4">
        <w:rPr>
          <w:sz w:val="18"/>
          <w:szCs w:val="18"/>
          <w:lang w:val="fr-FR"/>
        </w:rPr>
        <w:t>.</w:t>
      </w:r>
    </w:p>
    <w:tbl>
      <w:tblPr>
        <w:tblStyle w:val="TableGrid"/>
        <w:tblW w:w="8861" w:type="dxa"/>
        <w:tblLook w:val="04A0" w:firstRow="1" w:lastRow="0" w:firstColumn="1" w:lastColumn="0" w:noHBand="0" w:noVBand="1"/>
      </w:tblPr>
      <w:tblGrid>
        <w:gridCol w:w="4188"/>
        <w:gridCol w:w="4673"/>
      </w:tblGrid>
      <w:tr w:rsidR="00394619" w:rsidRPr="003A6336" w14:paraId="7FE8DB89" w14:textId="77777777" w:rsidTr="009B4355">
        <w:tc>
          <w:tcPr>
            <w:tcW w:w="8861" w:type="dxa"/>
            <w:gridSpan w:val="2"/>
          </w:tcPr>
          <w:p w14:paraId="5138823A" w14:textId="77777777" w:rsidR="00394619" w:rsidRPr="003A6336" w:rsidRDefault="00394619" w:rsidP="009B4355">
            <w:pPr>
              <w:rPr>
                <w:rFonts w:ascii="Aptos" w:hAnsi="Aptos"/>
              </w:rPr>
            </w:pPr>
            <w:r>
              <w:rPr>
                <w:rFonts w:ascii="Aptos" w:hAnsi="Aptos"/>
              </w:rPr>
              <w:t>Figure 34</w:t>
            </w:r>
          </w:p>
        </w:tc>
      </w:tr>
      <w:tr w:rsidR="00394619" w:rsidRPr="003A6336" w14:paraId="4BA0B963" w14:textId="77777777" w:rsidTr="009B4355">
        <w:tc>
          <w:tcPr>
            <w:tcW w:w="4188" w:type="dxa"/>
          </w:tcPr>
          <w:p w14:paraId="233B0943" w14:textId="77777777" w:rsidR="00394619" w:rsidRPr="005C518C" w:rsidRDefault="00394619" w:rsidP="009B4355">
            <w:pPr>
              <w:rPr>
                <w:rFonts w:ascii="Aptos" w:hAnsi="Aptos"/>
              </w:rPr>
            </w:pPr>
            <w:r w:rsidRPr="005C518C">
              <w:rPr>
                <w:rFonts w:ascii="Aptos" w:hAnsi="Aptos"/>
              </w:rPr>
              <w:t xml:space="preserve">English </w:t>
            </w:r>
          </w:p>
        </w:tc>
        <w:tc>
          <w:tcPr>
            <w:tcW w:w="4673" w:type="dxa"/>
          </w:tcPr>
          <w:p w14:paraId="2ADF17CC" w14:textId="77777777" w:rsidR="00394619" w:rsidRPr="005C518C" w:rsidRDefault="00394619" w:rsidP="009B4355">
            <w:pPr>
              <w:rPr>
                <w:rFonts w:ascii="Aptos" w:hAnsi="Aptos"/>
              </w:rPr>
            </w:pPr>
            <w:r>
              <w:rPr>
                <w:rFonts w:ascii="Aptos" w:hAnsi="Aptos"/>
              </w:rPr>
              <w:t>Français</w:t>
            </w:r>
          </w:p>
        </w:tc>
      </w:tr>
      <w:tr w:rsidR="00394619" w:rsidRPr="003A6336" w14:paraId="751341A5" w14:textId="77777777" w:rsidTr="009B4355">
        <w:tc>
          <w:tcPr>
            <w:tcW w:w="4188" w:type="dxa"/>
          </w:tcPr>
          <w:p w14:paraId="6FF4E15B" w14:textId="77777777" w:rsidR="00394619" w:rsidRPr="003A6336" w:rsidRDefault="00394619" w:rsidP="009B4355">
            <w:pPr>
              <w:rPr>
                <w:rFonts w:ascii="Aptos" w:hAnsi="Aptos"/>
              </w:rPr>
            </w:pPr>
            <w:r w:rsidRPr="003A6336">
              <w:rPr>
                <w:rFonts w:ascii="Aptos" w:hAnsi="Aptos"/>
              </w:rPr>
              <w:t>Answers (percentage)</w:t>
            </w:r>
          </w:p>
        </w:tc>
        <w:tc>
          <w:tcPr>
            <w:tcW w:w="4673" w:type="dxa"/>
          </w:tcPr>
          <w:p w14:paraId="20764A76" w14:textId="77777777" w:rsidR="00394619" w:rsidRPr="003A6336" w:rsidRDefault="00394619" w:rsidP="009B4355">
            <w:pPr>
              <w:rPr>
                <w:rFonts w:ascii="Aptos" w:hAnsi="Aptos"/>
              </w:rPr>
            </w:pPr>
            <w:r>
              <w:rPr>
                <w:rFonts w:ascii="Aptos" w:hAnsi="Aptos"/>
              </w:rPr>
              <w:t>Réponses (pourcentage)</w:t>
            </w:r>
          </w:p>
        </w:tc>
      </w:tr>
      <w:tr w:rsidR="00394619" w:rsidRPr="003A6336" w14:paraId="2AC4C9D6" w14:textId="77777777" w:rsidTr="009B4355">
        <w:tc>
          <w:tcPr>
            <w:tcW w:w="4188" w:type="dxa"/>
          </w:tcPr>
          <w:p w14:paraId="7ECA3A4B" w14:textId="77777777" w:rsidR="00394619" w:rsidRPr="003A6336" w:rsidRDefault="00394619" w:rsidP="009B4355">
            <w:pPr>
              <w:rPr>
                <w:rFonts w:ascii="Aptos" w:hAnsi="Aptos"/>
              </w:rPr>
            </w:pPr>
            <w:r w:rsidRPr="003A6336">
              <w:rPr>
                <w:rFonts w:ascii="Aptos" w:hAnsi="Aptos"/>
              </w:rPr>
              <w:t>Score Level</w:t>
            </w:r>
          </w:p>
        </w:tc>
        <w:tc>
          <w:tcPr>
            <w:tcW w:w="4673" w:type="dxa"/>
          </w:tcPr>
          <w:p w14:paraId="2F2B4A0E" w14:textId="77777777" w:rsidR="00394619" w:rsidRPr="003A6336" w:rsidRDefault="00394619" w:rsidP="009B4355">
            <w:pPr>
              <w:rPr>
                <w:rFonts w:ascii="Aptos" w:hAnsi="Aptos"/>
              </w:rPr>
            </w:pPr>
            <w:r>
              <w:rPr>
                <w:rFonts w:ascii="Aptos" w:hAnsi="Aptos"/>
              </w:rPr>
              <w:t>Note</w:t>
            </w:r>
          </w:p>
        </w:tc>
      </w:tr>
      <w:tr w:rsidR="00394619" w:rsidRPr="003A6336" w14:paraId="25972E39" w14:textId="77777777" w:rsidTr="009B4355">
        <w:tc>
          <w:tcPr>
            <w:tcW w:w="4188" w:type="dxa"/>
          </w:tcPr>
          <w:p w14:paraId="5A7FECE9" w14:textId="77777777" w:rsidR="00394619" w:rsidRPr="003A6336" w:rsidRDefault="00394619" w:rsidP="009B4355">
            <w:pPr>
              <w:rPr>
                <w:rFonts w:ascii="Aptos" w:hAnsi="Aptos"/>
              </w:rPr>
            </w:pPr>
            <w:r w:rsidRPr="003A6336">
              <w:rPr>
                <w:rFonts w:ascii="Aptos" w:hAnsi="Aptos"/>
              </w:rPr>
              <w:t>Party count: 127</w:t>
            </w:r>
          </w:p>
        </w:tc>
        <w:tc>
          <w:tcPr>
            <w:tcW w:w="4673" w:type="dxa"/>
          </w:tcPr>
          <w:p w14:paraId="78B07C22" w14:textId="77777777" w:rsidR="00394619" w:rsidRPr="003A6336" w:rsidRDefault="00394619" w:rsidP="009B4355">
            <w:pPr>
              <w:rPr>
                <w:rFonts w:ascii="Aptos" w:hAnsi="Aptos"/>
              </w:rPr>
            </w:pPr>
            <w:r>
              <w:rPr>
                <w:rFonts w:ascii="Aptos" w:hAnsi="Aptos"/>
              </w:rPr>
              <w:t>Nombre de Parties : 127</w:t>
            </w:r>
          </w:p>
        </w:tc>
      </w:tr>
      <w:tr w:rsidR="00394619" w:rsidRPr="003A6336" w14:paraId="192E4C88" w14:textId="77777777" w:rsidTr="009B4355">
        <w:tc>
          <w:tcPr>
            <w:tcW w:w="4188" w:type="dxa"/>
          </w:tcPr>
          <w:p w14:paraId="33D4FC93" w14:textId="77777777" w:rsidR="00394619" w:rsidRPr="003A6336" w:rsidRDefault="00394619" w:rsidP="009B4355">
            <w:pPr>
              <w:rPr>
                <w:rFonts w:ascii="Aptos" w:hAnsi="Aptos"/>
              </w:rPr>
            </w:pPr>
            <w:r w:rsidRPr="003A6336">
              <w:rPr>
                <w:rFonts w:ascii="Aptos" w:hAnsi="Aptos"/>
              </w:rPr>
              <w:t>Region</w:t>
            </w:r>
          </w:p>
        </w:tc>
        <w:tc>
          <w:tcPr>
            <w:tcW w:w="4673" w:type="dxa"/>
          </w:tcPr>
          <w:p w14:paraId="0CEA7244" w14:textId="77777777" w:rsidR="00394619" w:rsidRPr="003A6336" w:rsidRDefault="00394619" w:rsidP="009B4355">
            <w:pPr>
              <w:rPr>
                <w:rFonts w:ascii="Aptos" w:hAnsi="Aptos"/>
              </w:rPr>
            </w:pPr>
            <w:r w:rsidRPr="006F7AF8">
              <w:rPr>
                <w:rFonts w:ascii="Aptos" w:hAnsi="Aptos"/>
                <w:lang w:val="fr-FR"/>
              </w:rPr>
              <w:t>Région</w:t>
            </w:r>
          </w:p>
        </w:tc>
      </w:tr>
      <w:tr w:rsidR="00394619" w:rsidRPr="003A6336" w14:paraId="5083CE09" w14:textId="77777777" w:rsidTr="009B4355">
        <w:tc>
          <w:tcPr>
            <w:tcW w:w="4188" w:type="dxa"/>
          </w:tcPr>
          <w:p w14:paraId="203ACF3B" w14:textId="77777777" w:rsidR="00394619" w:rsidRPr="003A6336" w:rsidRDefault="00394619" w:rsidP="009B4355">
            <w:pPr>
              <w:rPr>
                <w:rFonts w:ascii="Aptos" w:hAnsi="Aptos"/>
              </w:rPr>
            </w:pPr>
            <w:r w:rsidRPr="6D03A27B">
              <w:rPr>
                <w:rFonts w:ascii="Aptos" w:hAnsi="Aptos"/>
              </w:rPr>
              <w:t>African States</w:t>
            </w:r>
          </w:p>
        </w:tc>
        <w:tc>
          <w:tcPr>
            <w:tcW w:w="4673" w:type="dxa"/>
          </w:tcPr>
          <w:p w14:paraId="0B2CCB66"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94619" w:rsidRPr="003A6336" w14:paraId="72FB8756" w14:textId="77777777" w:rsidTr="009B4355">
        <w:tc>
          <w:tcPr>
            <w:tcW w:w="4188" w:type="dxa"/>
          </w:tcPr>
          <w:p w14:paraId="6B842222" w14:textId="77777777" w:rsidR="00394619" w:rsidRPr="003A6336" w:rsidRDefault="00394619" w:rsidP="009B4355">
            <w:pPr>
              <w:rPr>
                <w:rFonts w:ascii="Aptos" w:hAnsi="Aptos"/>
              </w:rPr>
            </w:pPr>
            <w:r w:rsidRPr="6D03A27B">
              <w:rPr>
                <w:rFonts w:ascii="Aptos" w:hAnsi="Aptos"/>
              </w:rPr>
              <w:t>Asia-Pacific States</w:t>
            </w:r>
          </w:p>
        </w:tc>
        <w:tc>
          <w:tcPr>
            <w:tcW w:w="4673" w:type="dxa"/>
          </w:tcPr>
          <w:p w14:paraId="471E5DA6"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94619" w:rsidRPr="003A6336" w14:paraId="1FC1FE6C" w14:textId="77777777" w:rsidTr="009B4355">
        <w:tc>
          <w:tcPr>
            <w:tcW w:w="4188" w:type="dxa"/>
          </w:tcPr>
          <w:p w14:paraId="3683ECDF" w14:textId="77777777" w:rsidR="00394619" w:rsidRPr="003A6336" w:rsidRDefault="00394619" w:rsidP="009B4355">
            <w:pPr>
              <w:rPr>
                <w:rFonts w:ascii="Aptos" w:hAnsi="Aptos"/>
              </w:rPr>
            </w:pPr>
            <w:r w:rsidRPr="6D03A27B">
              <w:rPr>
                <w:rFonts w:ascii="Aptos" w:hAnsi="Aptos"/>
              </w:rPr>
              <w:lastRenderedPageBreak/>
              <w:t>Latin American and Caribbean States</w:t>
            </w:r>
          </w:p>
        </w:tc>
        <w:tc>
          <w:tcPr>
            <w:tcW w:w="4673" w:type="dxa"/>
          </w:tcPr>
          <w:p w14:paraId="7E22FFF3"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94619" w:rsidRPr="003A6336" w14:paraId="3582722E" w14:textId="77777777" w:rsidTr="009B4355">
        <w:tc>
          <w:tcPr>
            <w:tcW w:w="4188" w:type="dxa"/>
          </w:tcPr>
          <w:p w14:paraId="704A337F" w14:textId="77777777" w:rsidR="00394619" w:rsidRPr="003A6336" w:rsidRDefault="00394619" w:rsidP="009B4355">
            <w:pPr>
              <w:rPr>
                <w:rFonts w:ascii="Aptos" w:hAnsi="Aptos"/>
              </w:rPr>
            </w:pPr>
            <w:r>
              <w:rPr>
                <w:rFonts w:ascii="Aptos" w:hAnsi="Aptos"/>
              </w:rPr>
              <w:t>Eastern</w:t>
            </w:r>
            <w:r w:rsidRPr="6D03A27B">
              <w:rPr>
                <w:rFonts w:ascii="Aptos" w:hAnsi="Aptos"/>
              </w:rPr>
              <w:t xml:space="preserve"> European States</w:t>
            </w:r>
          </w:p>
        </w:tc>
        <w:tc>
          <w:tcPr>
            <w:tcW w:w="4673" w:type="dxa"/>
          </w:tcPr>
          <w:p w14:paraId="69A68D2A"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94619" w:rsidRPr="003A6336" w14:paraId="69BB906D" w14:textId="77777777" w:rsidTr="009B4355">
        <w:tc>
          <w:tcPr>
            <w:tcW w:w="4188" w:type="dxa"/>
          </w:tcPr>
          <w:p w14:paraId="68631418" w14:textId="77777777" w:rsidR="00394619" w:rsidRPr="003A6336" w:rsidRDefault="00394619" w:rsidP="009B4355">
            <w:pPr>
              <w:rPr>
                <w:rFonts w:ascii="Aptos" w:hAnsi="Aptos"/>
              </w:rPr>
            </w:pPr>
            <w:r w:rsidRPr="6D03A27B">
              <w:rPr>
                <w:rFonts w:ascii="Aptos" w:hAnsi="Aptos"/>
              </w:rPr>
              <w:t>Western European and other States</w:t>
            </w:r>
          </w:p>
        </w:tc>
        <w:tc>
          <w:tcPr>
            <w:tcW w:w="4673" w:type="dxa"/>
          </w:tcPr>
          <w:p w14:paraId="3C06BE33"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0DFF3FC6" w14:textId="77777777" w:rsidR="007E1A6A" w:rsidRPr="00653BF4" w:rsidRDefault="007E1A6A" w:rsidP="00EA33B8">
      <w:pPr>
        <w:rPr>
          <w:sz w:val="20"/>
          <w:szCs w:val="20"/>
          <w:lang w:val="fr-FR"/>
        </w:rPr>
      </w:pPr>
    </w:p>
    <w:p w14:paraId="3746E48B" w14:textId="4F6BDE19" w:rsidR="009B6034" w:rsidRPr="00653BF4" w:rsidRDefault="009B6034" w:rsidP="00EA33B8">
      <w:pPr>
        <w:rPr>
          <w:rFonts w:ascii="Aptos" w:hAnsi="Aptos"/>
          <w:sz w:val="20"/>
          <w:szCs w:val="20"/>
          <w:lang w:val="fr-FR" w:eastAsia="ja-JP"/>
        </w:rPr>
      </w:pPr>
      <w:r w:rsidRPr="00653BF4">
        <w:rPr>
          <w:sz w:val="20"/>
          <w:szCs w:val="20"/>
          <w:lang w:val="fr-FR"/>
        </w:rPr>
        <w:t xml:space="preserve">Figure </w:t>
      </w:r>
      <w:r w:rsidRPr="00653BF4">
        <w:rPr>
          <w:noProof/>
          <w:sz w:val="20"/>
          <w:szCs w:val="20"/>
          <w:lang w:val="fr-FR"/>
        </w:rPr>
        <w:t>35</w:t>
      </w:r>
    </w:p>
    <w:p w14:paraId="665CAECA" w14:textId="3B0C91E4" w:rsidR="005D69A5" w:rsidRPr="00653BF4" w:rsidRDefault="0054137D" w:rsidP="005D69A5">
      <w:pPr>
        <w:pStyle w:val="Caption"/>
        <w:rPr>
          <w:b/>
          <w:bCs/>
          <w:i w:val="0"/>
          <w:iCs w:val="0"/>
          <w:sz w:val="20"/>
          <w:szCs w:val="20"/>
          <w:lang w:val="fr-FR"/>
        </w:rPr>
      </w:pPr>
      <w:r w:rsidRPr="00653BF4">
        <w:rPr>
          <w:b/>
          <w:bCs/>
          <w:i w:val="0"/>
          <w:iCs w:val="0"/>
          <w:sz w:val="20"/>
          <w:szCs w:val="20"/>
          <w:lang w:val="fr-FR"/>
        </w:rPr>
        <w:t xml:space="preserve">Pourcentage d’indicateurs alignés sur la </w:t>
      </w:r>
      <w:r w:rsidR="00E34DC9">
        <w:rPr>
          <w:b/>
          <w:bCs/>
          <w:i w:val="0"/>
          <w:iCs w:val="0"/>
          <w:sz w:val="20"/>
          <w:szCs w:val="20"/>
          <w:lang w:val="fr-FR"/>
        </w:rPr>
        <w:t>cible 8</w:t>
      </w:r>
      <w:r w:rsidRPr="00653BF4">
        <w:rPr>
          <w:b/>
          <w:bCs/>
          <w:i w:val="0"/>
          <w:iCs w:val="0"/>
          <w:sz w:val="20"/>
          <w:szCs w:val="20"/>
          <w:lang w:val="fr-FR"/>
        </w:rPr>
        <w:t xml:space="preserve"> du Cadre, selon qu’ils indiquent une tendance positive, stable ou négative</w:t>
      </w:r>
    </w:p>
    <w:p w14:paraId="6D3D1021" w14:textId="10DA4E4D" w:rsidR="00471C0F" w:rsidRPr="00653BF4" w:rsidRDefault="00EA33B8" w:rsidP="00C36B3B">
      <w:pPr>
        <w:pStyle w:val="Caption"/>
        <w:rPr>
          <w:rFonts w:ascii="Aptos" w:hAnsi="Aptos"/>
          <w:i w:val="0"/>
          <w:iCs w:val="0"/>
          <w:lang w:val="fr-FR"/>
        </w:rPr>
      </w:pPr>
      <w:r w:rsidRPr="00653BF4">
        <w:rPr>
          <w:rFonts w:ascii="Aptos" w:hAnsi="Aptos"/>
          <w:i w:val="0"/>
          <w:iCs w:val="0"/>
          <w:lang w:val="fr-FR"/>
        </w:rPr>
        <w:t xml:space="preserve"> </w:t>
      </w:r>
      <w:r w:rsidR="005B1CEF" w:rsidRPr="00653BF4">
        <w:rPr>
          <w:noProof/>
          <w:lang w:val="fr-FR"/>
          <w14:ligatures w14:val="standardContextual"/>
        </w:rPr>
        <w:drawing>
          <wp:inline distT="0" distB="0" distL="0" distR="0" wp14:anchorId="61BBA629" wp14:editId="3EB4E84F">
            <wp:extent cx="5731510" cy="2456180"/>
            <wp:effectExtent l="0" t="0" r="0" b="0"/>
            <wp:docPr id="5235297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529711" name="Picture 52352971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30822201" w14:textId="499DF4B5" w:rsidR="001B710E" w:rsidRPr="00653BF4" w:rsidRDefault="006A631C" w:rsidP="00C947A7">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00007C4C" w:rsidRPr="00653BF4">
        <w:rPr>
          <w:rFonts w:ascii="Aptos" w:hAnsi="Aptos"/>
          <w:i w:val="0"/>
          <w:iCs w:val="0"/>
          <w:lang w:val="fr-FR"/>
        </w:rPr>
        <w:t xml:space="preserve"> </w:t>
      </w:r>
      <w:r w:rsidR="00F81494" w:rsidRPr="00653BF4">
        <w:rPr>
          <w:rFonts w:ascii="Aptos" w:hAnsi="Aptos"/>
          <w:i w:val="0"/>
          <w:iCs w:val="0"/>
          <w:lang w:val="fr-FR"/>
        </w:rPr>
        <w:t>Les proportions sont pondérées par Partie. Les tendances incluent des données relatives à 2 indicateurs de composante,</w:t>
      </w:r>
      <w:r w:rsidR="00785EB4" w:rsidRPr="00653BF4">
        <w:rPr>
          <w:rFonts w:ascii="Aptos" w:hAnsi="Aptos"/>
          <w:i w:val="0"/>
          <w:iCs w:val="0"/>
          <w:lang w:val="fr-FR"/>
        </w:rPr>
        <w:t>4</w:t>
      </w:r>
      <w:r w:rsidR="00F81494" w:rsidRPr="00653BF4">
        <w:rPr>
          <w:rFonts w:ascii="Aptos" w:hAnsi="Aptos"/>
          <w:i w:val="0"/>
          <w:iCs w:val="0"/>
          <w:lang w:val="fr-FR"/>
        </w:rPr>
        <w:t xml:space="preserve"> indicateurs complémentaires et </w:t>
      </w:r>
      <w:r w:rsidR="00785EB4" w:rsidRPr="00653BF4">
        <w:rPr>
          <w:rFonts w:ascii="Aptos" w:hAnsi="Aptos"/>
          <w:i w:val="0"/>
          <w:iCs w:val="0"/>
          <w:lang w:val="fr-FR"/>
        </w:rPr>
        <w:t>74</w:t>
      </w:r>
      <w:r w:rsidR="00F81494" w:rsidRPr="00653BF4">
        <w:rPr>
          <w:rFonts w:ascii="Aptos" w:hAnsi="Aptos"/>
          <w:i w:val="0"/>
          <w:iCs w:val="0"/>
          <w:lang w:val="fr-FR"/>
        </w:rPr>
        <w:t xml:space="preserve"> indicateurs nationaux provenant de </w:t>
      </w:r>
      <w:r w:rsidR="00785EB4" w:rsidRPr="00653BF4">
        <w:rPr>
          <w:rFonts w:ascii="Aptos" w:hAnsi="Aptos"/>
          <w:i w:val="0"/>
          <w:iCs w:val="0"/>
          <w:lang w:val="fr-FR"/>
        </w:rPr>
        <w:t>32 Parties</w:t>
      </w:r>
      <w:r w:rsidR="006F7667">
        <w:rPr>
          <w:rFonts w:ascii="Aptos" w:hAnsi="Aptos"/>
          <w:i w:val="0"/>
          <w:iCs w:val="0"/>
          <w:lang w:val="fr-FR"/>
        </w:rPr>
        <w:t xml:space="preserve"> au total</w:t>
      </w:r>
      <w:r w:rsidR="00F81494" w:rsidRPr="00653BF4">
        <w:rPr>
          <w:rFonts w:ascii="Aptos" w:hAnsi="Aptos"/>
          <w:i w:val="0"/>
          <w:iCs w:val="0"/>
          <w:lang w:val="fr-FR"/>
        </w:rPr>
        <w:t xml:space="preserve">. Le diagramme circulaire présente la répartition, par région, des Parties ayant communiqué des indicateurs pour la </w:t>
      </w:r>
      <w:r w:rsidR="00E34DC9">
        <w:rPr>
          <w:rFonts w:ascii="Aptos" w:hAnsi="Aptos"/>
          <w:i w:val="0"/>
          <w:iCs w:val="0"/>
          <w:lang w:val="fr-FR"/>
        </w:rPr>
        <w:t>cible 8</w:t>
      </w:r>
      <w:r w:rsidR="00F81494" w:rsidRPr="00653BF4">
        <w:rPr>
          <w:rFonts w:ascii="Aptos" w:hAnsi="Aptos"/>
          <w:i w:val="0"/>
          <w:iCs w:val="0"/>
          <w:lang w:val="fr-FR"/>
        </w:rPr>
        <w:t>. La couleur de chaque région est indiquée dans la légende de la figure</w:t>
      </w:r>
      <w:r w:rsidR="00E34DC9">
        <w:rPr>
          <w:rFonts w:ascii="Aptos" w:hAnsi="Aptos"/>
          <w:i w:val="0"/>
          <w:iCs w:val="0"/>
          <w:lang w:val="fr-FR"/>
        </w:rPr>
        <w:t> :</w:t>
      </w:r>
      <w:r w:rsidR="00F81494"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F81494" w:rsidRPr="00653BF4">
        <w:rPr>
          <w:rFonts w:ascii="Aptos" w:hAnsi="Aptos"/>
          <w:i w:val="0"/>
          <w:iCs w:val="0"/>
          <w:lang w:val="fr-FR"/>
        </w:rPr>
        <w:t xml:space="preserve"> les tons plus clairs, la proportion de Parties de la même région dont les données n’y figurent pas.</w:t>
      </w:r>
    </w:p>
    <w:tbl>
      <w:tblPr>
        <w:tblStyle w:val="TableGrid"/>
        <w:tblW w:w="8876" w:type="dxa"/>
        <w:tblLook w:val="04A0" w:firstRow="1" w:lastRow="0" w:firstColumn="1" w:lastColumn="0" w:noHBand="0" w:noVBand="1"/>
      </w:tblPr>
      <w:tblGrid>
        <w:gridCol w:w="4188"/>
        <w:gridCol w:w="4673"/>
        <w:gridCol w:w="15"/>
      </w:tblGrid>
      <w:tr w:rsidR="00394619" w:rsidRPr="003A6336" w14:paraId="0399D790" w14:textId="77777777" w:rsidTr="009B4355">
        <w:tc>
          <w:tcPr>
            <w:tcW w:w="8876" w:type="dxa"/>
            <w:gridSpan w:val="3"/>
          </w:tcPr>
          <w:p w14:paraId="3E66AA23" w14:textId="77777777" w:rsidR="00394619" w:rsidRPr="003616FF" w:rsidRDefault="00394619" w:rsidP="009B4355">
            <w:pPr>
              <w:rPr>
                <w:rFonts w:ascii="Aptos" w:hAnsi="Aptos"/>
              </w:rPr>
            </w:pPr>
            <w:r>
              <w:rPr>
                <w:rFonts w:ascii="Aptos" w:hAnsi="Aptos"/>
              </w:rPr>
              <w:t>Figure 35</w:t>
            </w:r>
          </w:p>
        </w:tc>
      </w:tr>
      <w:tr w:rsidR="00394619" w:rsidRPr="003A6336" w14:paraId="620AE843" w14:textId="77777777" w:rsidTr="009B4355">
        <w:trPr>
          <w:gridAfter w:val="1"/>
          <w:wAfter w:w="15" w:type="dxa"/>
        </w:trPr>
        <w:tc>
          <w:tcPr>
            <w:tcW w:w="4188" w:type="dxa"/>
          </w:tcPr>
          <w:p w14:paraId="3FEF506E" w14:textId="77777777" w:rsidR="00394619" w:rsidRPr="003616FF" w:rsidRDefault="00394619" w:rsidP="009B4355">
            <w:pPr>
              <w:rPr>
                <w:rFonts w:ascii="Aptos" w:hAnsi="Aptos"/>
              </w:rPr>
            </w:pPr>
            <w:r w:rsidRPr="003616FF">
              <w:rPr>
                <w:rFonts w:ascii="Aptos" w:hAnsi="Aptos"/>
              </w:rPr>
              <w:t xml:space="preserve">English </w:t>
            </w:r>
          </w:p>
        </w:tc>
        <w:tc>
          <w:tcPr>
            <w:tcW w:w="4673" w:type="dxa"/>
          </w:tcPr>
          <w:p w14:paraId="5AED70BD" w14:textId="77777777" w:rsidR="00394619" w:rsidRPr="003616FF" w:rsidRDefault="00394619" w:rsidP="009B4355">
            <w:pPr>
              <w:rPr>
                <w:rFonts w:ascii="Aptos" w:hAnsi="Aptos"/>
              </w:rPr>
            </w:pPr>
            <w:r>
              <w:rPr>
                <w:rFonts w:ascii="Aptos" w:hAnsi="Aptos"/>
              </w:rPr>
              <w:t>Français</w:t>
            </w:r>
          </w:p>
        </w:tc>
      </w:tr>
      <w:tr w:rsidR="00394619" w:rsidRPr="003A6336" w14:paraId="7FF4B9EE" w14:textId="77777777" w:rsidTr="009B4355">
        <w:trPr>
          <w:gridAfter w:val="1"/>
          <w:wAfter w:w="15" w:type="dxa"/>
        </w:trPr>
        <w:tc>
          <w:tcPr>
            <w:tcW w:w="4188" w:type="dxa"/>
          </w:tcPr>
          <w:p w14:paraId="577D37DE" w14:textId="77777777" w:rsidR="00394619" w:rsidRPr="003A6336" w:rsidRDefault="00394619" w:rsidP="009B4355">
            <w:pPr>
              <w:rPr>
                <w:rFonts w:ascii="Aptos" w:hAnsi="Aptos"/>
              </w:rPr>
            </w:pPr>
            <w:r w:rsidRPr="003A6336">
              <w:rPr>
                <w:rFonts w:ascii="Aptos" w:hAnsi="Aptos"/>
              </w:rPr>
              <w:t>Proportion</w:t>
            </w:r>
          </w:p>
        </w:tc>
        <w:tc>
          <w:tcPr>
            <w:tcW w:w="4673" w:type="dxa"/>
          </w:tcPr>
          <w:p w14:paraId="79D51E34" w14:textId="77777777" w:rsidR="00394619" w:rsidRPr="003A6336" w:rsidRDefault="00394619" w:rsidP="009B4355">
            <w:pPr>
              <w:rPr>
                <w:rFonts w:ascii="Aptos" w:hAnsi="Aptos"/>
              </w:rPr>
            </w:pPr>
            <w:r w:rsidRPr="006F7AF8">
              <w:rPr>
                <w:rFonts w:ascii="Aptos" w:hAnsi="Aptos"/>
                <w:lang w:val="fr-FR"/>
              </w:rPr>
              <w:t>Proportion</w:t>
            </w:r>
          </w:p>
        </w:tc>
      </w:tr>
      <w:tr w:rsidR="00394619" w:rsidRPr="003A6336" w14:paraId="0A8DB2C3" w14:textId="77777777" w:rsidTr="009B4355">
        <w:trPr>
          <w:gridAfter w:val="1"/>
          <w:wAfter w:w="15" w:type="dxa"/>
        </w:trPr>
        <w:tc>
          <w:tcPr>
            <w:tcW w:w="4188" w:type="dxa"/>
          </w:tcPr>
          <w:p w14:paraId="6A8DE834" w14:textId="77777777" w:rsidR="00394619" w:rsidRPr="003A6336" w:rsidRDefault="00394619" w:rsidP="009B4355">
            <w:pPr>
              <w:rPr>
                <w:rFonts w:ascii="Aptos" w:hAnsi="Aptos"/>
              </w:rPr>
            </w:pPr>
            <w:r w:rsidRPr="003A6336">
              <w:rPr>
                <w:rFonts w:ascii="Aptos" w:hAnsi="Aptos"/>
              </w:rPr>
              <w:t>Current Status</w:t>
            </w:r>
          </w:p>
        </w:tc>
        <w:tc>
          <w:tcPr>
            <w:tcW w:w="4673" w:type="dxa"/>
          </w:tcPr>
          <w:p w14:paraId="6111FFC2" w14:textId="77777777" w:rsidR="00394619" w:rsidRPr="003A6336" w:rsidRDefault="00394619" w:rsidP="009B4355">
            <w:pPr>
              <w:rPr>
                <w:rFonts w:ascii="Aptos" w:hAnsi="Aptos"/>
              </w:rPr>
            </w:pPr>
            <w:r w:rsidRPr="006F7AF8">
              <w:rPr>
                <w:rFonts w:ascii="Aptos" w:hAnsi="Aptos"/>
                <w:lang w:val="fr-FR"/>
              </w:rPr>
              <w:t>État actuel</w:t>
            </w:r>
          </w:p>
        </w:tc>
      </w:tr>
      <w:tr w:rsidR="00394619" w:rsidRPr="003A6336" w14:paraId="26AB803E" w14:textId="77777777" w:rsidTr="009B4355">
        <w:trPr>
          <w:gridAfter w:val="1"/>
          <w:wAfter w:w="15" w:type="dxa"/>
        </w:trPr>
        <w:tc>
          <w:tcPr>
            <w:tcW w:w="4188" w:type="dxa"/>
          </w:tcPr>
          <w:p w14:paraId="790F8AEC" w14:textId="77777777" w:rsidR="00394619" w:rsidRPr="003A6336" w:rsidRDefault="00394619" w:rsidP="009B4355">
            <w:pPr>
              <w:rPr>
                <w:rFonts w:ascii="Aptos" w:hAnsi="Aptos"/>
              </w:rPr>
            </w:pPr>
            <w:r w:rsidRPr="003A6336">
              <w:rPr>
                <w:rFonts w:ascii="Aptos" w:hAnsi="Aptos"/>
              </w:rPr>
              <w:t>improving</w:t>
            </w:r>
          </w:p>
        </w:tc>
        <w:tc>
          <w:tcPr>
            <w:tcW w:w="4673" w:type="dxa"/>
          </w:tcPr>
          <w:p w14:paraId="645186C1" w14:textId="77777777" w:rsidR="00394619" w:rsidRPr="003A6336" w:rsidRDefault="00394619" w:rsidP="009B4355">
            <w:pPr>
              <w:rPr>
                <w:rFonts w:ascii="Aptos" w:hAnsi="Aptos"/>
              </w:rPr>
            </w:pPr>
            <w:r>
              <w:rPr>
                <w:rFonts w:ascii="Aptos" w:hAnsi="Aptos"/>
                <w:lang w:val="fr-FR"/>
              </w:rPr>
              <w:t>amélioration</w:t>
            </w:r>
          </w:p>
        </w:tc>
      </w:tr>
      <w:tr w:rsidR="00394619" w:rsidRPr="003A6336" w14:paraId="291C809F" w14:textId="77777777" w:rsidTr="009B4355">
        <w:trPr>
          <w:gridAfter w:val="1"/>
          <w:wAfter w:w="15" w:type="dxa"/>
        </w:trPr>
        <w:tc>
          <w:tcPr>
            <w:tcW w:w="4188" w:type="dxa"/>
          </w:tcPr>
          <w:p w14:paraId="1C63941B" w14:textId="77777777" w:rsidR="00394619" w:rsidRPr="003A6336" w:rsidRDefault="00394619" w:rsidP="009B4355">
            <w:pPr>
              <w:rPr>
                <w:rFonts w:ascii="Aptos" w:hAnsi="Aptos"/>
              </w:rPr>
            </w:pPr>
            <w:r w:rsidRPr="003A6336">
              <w:rPr>
                <w:rFonts w:ascii="Aptos" w:hAnsi="Aptos"/>
              </w:rPr>
              <w:t>stable</w:t>
            </w:r>
          </w:p>
        </w:tc>
        <w:tc>
          <w:tcPr>
            <w:tcW w:w="4673" w:type="dxa"/>
          </w:tcPr>
          <w:p w14:paraId="33359186" w14:textId="77777777" w:rsidR="00394619" w:rsidRPr="003A6336" w:rsidRDefault="00394619" w:rsidP="009B4355">
            <w:pPr>
              <w:rPr>
                <w:rFonts w:ascii="Aptos" w:hAnsi="Aptos"/>
              </w:rPr>
            </w:pPr>
            <w:r>
              <w:rPr>
                <w:rFonts w:ascii="Aptos" w:hAnsi="Aptos"/>
                <w:lang w:val="fr-FR"/>
              </w:rPr>
              <w:t>s</w:t>
            </w:r>
            <w:r w:rsidRPr="006F7AF8">
              <w:rPr>
                <w:rFonts w:ascii="Aptos" w:hAnsi="Aptos"/>
                <w:lang w:val="fr-FR"/>
              </w:rPr>
              <w:t>tab</w:t>
            </w:r>
            <w:r>
              <w:rPr>
                <w:rFonts w:ascii="Aptos" w:hAnsi="Aptos"/>
                <w:lang w:val="fr-FR"/>
              </w:rPr>
              <w:t>ilité</w:t>
            </w:r>
          </w:p>
        </w:tc>
      </w:tr>
      <w:tr w:rsidR="00394619" w:rsidRPr="003A6336" w14:paraId="47D6B468" w14:textId="77777777" w:rsidTr="009B4355">
        <w:trPr>
          <w:gridAfter w:val="1"/>
          <w:wAfter w:w="15" w:type="dxa"/>
        </w:trPr>
        <w:tc>
          <w:tcPr>
            <w:tcW w:w="4188" w:type="dxa"/>
          </w:tcPr>
          <w:p w14:paraId="457F1D6B" w14:textId="77777777" w:rsidR="00394619" w:rsidRPr="003A6336" w:rsidRDefault="00394619" w:rsidP="009B4355">
            <w:pPr>
              <w:rPr>
                <w:rFonts w:ascii="Aptos" w:hAnsi="Aptos"/>
              </w:rPr>
            </w:pPr>
            <w:r w:rsidRPr="003A6336">
              <w:rPr>
                <w:rFonts w:ascii="Aptos" w:hAnsi="Aptos"/>
              </w:rPr>
              <w:t>moving away</w:t>
            </w:r>
          </w:p>
        </w:tc>
        <w:tc>
          <w:tcPr>
            <w:tcW w:w="4673" w:type="dxa"/>
          </w:tcPr>
          <w:p w14:paraId="38985A8D" w14:textId="77777777" w:rsidR="00394619" w:rsidRPr="003A6336" w:rsidRDefault="00394619" w:rsidP="009B4355">
            <w:pPr>
              <w:rPr>
                <w:rFonts w:ascii="Aptos" w:hAnsi="Aptos"/>
              </w:rPr>
            </w:pPr>
            <w:r>
              <w:rPr>
                <w:rFonts w:ascii="Aptos" w:hAnsi="Aptos"/>
                <w:lang w:val="fr-FR"/>
              </w:rPr>
              <w:t>éloignement</w:t>
            </w:r>
          </w:p>
        </w:tc>
      </w:tr>
      <w:tr w:rsidR="00394619" w:rsidRPr="003A6336" w14:paraId="1BF9D0C9" w14:textId="77777777" w:rsidTr="009B4355">
        <w:trPr>
          <w:gridAfter w:val="1"/>
          <w:wAfter w:w="15" w:type="dxa"/>
        </w:trPr>
        <w:tc>
          <w:tcPr>
            <w:tcW w:w="4188" w:type="dxa"/>
          </w:tcPr>
          <w:p w14:paraId="12D3C3D0" w14:textId="77777777" w:rsidR="00394619" w:rsidRPr="003A6336" w:rsidRDefault="00394619" w:rsidP="009B4355">
            <w:pPr>
              <w:rPr>
                <w:rFonts w:ascii="Aptos" w:hAnsi="Aptos"/>
              </w:rPr>
            </w:pPr>
            <w:r w:rsidRPr="003A6336">
              <w:rPr>
                <w:rFonts w:ascii="Aptos" w:hAnsi="Aptos"/>
              </w:rPr>
              <w:t>Party count: 32</w:t>
            </w:r>
          </w:p>
        </w:tc>
        <w:tc>
          <w:tcPr>
            <w:tcW w:w="4673" w:type="dxa"/>
          </w:tcPr>
          <w:p w14:paraId="610BC7B8" w14:textId="77777777" w:rsidR="00394619" w:rsidRPr="003A6336" w:rsidRDefault="00394619" w:rsidP="009B4355">
            <w:pPr>
              <w:rPr>
                <w:rFonts w:ascii="Aptos" w:hAnsi="Aptos"/>
              </w:rPr>
            </w:pPr>
            <w:r w:rsidRPr="006F7AF8">
              <w:rPr>
                <w:rFonts w:ascii="Aptos" w:hAnsi="Aptos"/>
                <w:lang w:val="fr-FR"/>
              </w:rPr>
              <w:t xml:space="preserve">Nombre de Parties : </w:t>
            </w:r>
            <w:r>
              <w:rPr>
                <w:rFonts w:ascii="Aptos" w:hAnsi="Aptos"/>
                <w:lang w:val="fr-FR"/>
              </w:rPr>
              <w:t>32</w:t>
            </w:r>
          </w:p>
        </w:tc>
      </w:tr>
      <w:tr w:rsidR="00394619" w:rsidRPr="003A6336" w14:paraId="63A87DF1" w14:textId="77777777" w:rsidTr="009B4355">
        <w:trPr>
          <w:gridAfter w:val="1"/>
          <w:wAfter w:w="15" w:type="dxa"/>
        </w:trPr>
        <w:tc>
          <w:tcPr>
            <w:tcW w:w="4188" w:type="dxa"/>
          </w:tcPr>
          <w:p w14:paraId="59CB7AEC" w14:textId="77777777" w:rsidR="00394619" w:rsidRPr="003A6336" w:rsidRDefault="00394619" w:rsidP="009B4355">
            <w:pPr>
              <w:rPr>
                <w:rFonts w:ascii="Aptos" w:hAnsi="Aptos"/>
              </w:rPr>
            </w:pPr>
            <w:r w:rsidRPr="003A6336">
              <w:rPr>
                <w:rFonts w:ascii="Aptos" w:hAnsi="Aptos"/>
              </w:rPr>
              <w:t>Region</w:t>
            </w:r>
          </w:p>
        </w:tc>
        <w:tc>
          <w:tcPr>
            <w:tcW w:w="4673" w:type="dxa"/>
          </w:tcPr>
          <w:p w14:paraId="6E3789A5" w14:textId="77777777" w:rsidR="00394619" w:rsidRPr="003A6336" w:rsidRDefault="00394619" w:rsidP="009B4355">
            <w:pPr>
              <w:rPr>
                <w:rFonts w:ascii="Aptos" w:hAnsi="Aptos"/>
              </w:rPr>
            </w:pPr>
            <w:r w:rsidRPr="006F7AF8">
              <w:rPr>
                <w:rFonts w:ascii="Aptos" w:hAnsi="Aptos"/>
                <w:lang w:val="fr-FR"/>
              </w:rPr>
              <w:t>Région</w:t>
            </w:r>
          </w:p>
        </w:tc>
      </w:tr>
      <w:tr w:rsidR="00394619" w:rsidRPr="003A6336" w14:paraId="2CCD05F8" w14:textId="77777777" w:rsidTr="009B4355">
        <w:trPr>
          <w:gridAfter w:val="1"/>
          <w:wAfter w:w="15" w:type="dxa"/>
        </w:trPr>
        <w:tc>
          <w:tcPr>
            <w:tcW w:w="4188" w:type="dxa"/>
          </w:tcPr>
          <w:p w14:paraId="51F48242" w14:textId="77777777" w:rsidR="00394619" w:rsidRPr="003A6336" w:rsidRDefault="00394619" w:rsidP="009B4355">
            <w:pPr>
              <w:rPr>
                <w:rFonts w:ascii="Aptos" w:hAnsi="Aptos"/>
              </w:rPr>
            </w:pPr>
            <w:r w:rsidRPr="6D03A27B">
              <w:rPr>
                <w:rFonts w:ascii="Aptos" w:hAnsi="Aptos"/>
              </w:rPr>
              <w:t>African States</w:t>
            </w:r>
          </w:p>
        </w:tc>
        <w:tc>
          <w:tcPr>
            <w:tcW w:w="4673" w:type="dxa"/>
          </w:tcPr>
          <w:p w14:paraId="2C35F38C"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94619" w:rsidRPr="003A6336" w14:paraId="6FE8C34B" w14:textId="77777777" w:rsidTr="009B4355">
        <w:trPr>
          <w:gridAfter w:val="1"/>
          <w:wAfter w:w="15" w:type="dxa"/>
        </w:trPr>
        <w:tc>
          <w:tcPr>
            <w:tcW w:w="4188" w:type="dxa"/>
          </w:tcPr>
          <w:p w14:paraId="506AD934" w14:textId="77777777" w:rsidR="00394619" w:rsidRPr="003A6336" w:rsidRDefault="00394619" w:rsidP="009B4355">
            <w:pPr>
              <w:rPr>
                <w:rFonts w:ascii="Aptos" w:hAnsi="Aptos"/>
              </w:rPr>
            </w:pPr>
            <w:r w:rsidRPr="6D03A27B">
              <w:rPr>
                <w:rFonts w:ascii="Aptos" w:hAnsi="Aptos"/>
              </w:rPr>
              <w:t>Asia-Pacific States</w:t>
            </w:r>
          </w:p>
        </w:tc>
        <w:tc>
          <w:tcPr>
            <w:tcW w:w="4673" w:type="dxa"/>
          </w:tcPr>
          <w:p w14:paraId="2E1B7F20"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94619" w:rsidRPr="003A6336" w14:paraId="4CDC5FCE" w14:textId="77777777" w:rsidTr="009B4355">
        <w:trPr>
          <w:gridAfter w:val="1"/>
          <w:wAfter w:w="15" w:type="dxa"/>
        </w:trPr>
        <w:tc>
          <w:tcPr>
            <w:tcW w:w="4188" w:type="dxa"/>
          </w:tcPr>
          <w:p w14:paraId="4F98F7D3" w14:textId="77777777" w:rsidR="00394619" w:rsidRPr="003A6336" w:rsidRDefault="00394619" w:rsidP="009B4355">
            <w:pPr>
              <w:rPr>
                <w:rFonts w:ascii="Aptos" w:hAnsi="Aptos"/>
              </w:rPr>
            </w:pPr>
            <w:r w:rsidRPr="6D03A27B">
              <w:rPr>
                <w:rFonts w:ascii="Aptos" w:hAnsi="Aptos"/>
              </w:rPr>
              <w:t>Latin American and Caribbean States</w:t>
            </w:r>
          </w:p>
        </w:tc>
        <w:tc>
          <w:tcPr>
            <w:tcW w:w="4673" w:type="dxa"/>
          </w:tcPr>
          <w:p w14:paraId="3A6842ED"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94619" w:rsidRPr="003A6336" w14:paraId="104B5895" w14:textId="77777777" w:rsidTr="009B4355">
        <w:trPr>
          <w:gridAfter w:val="1"/>
          <w:wAfter w:w="15" w:type="dxa"/>
        </w:trPr>
        <w:tc>
          <w:tcPr>
            <w:tcW w:w="4188" w:type="dxa"/>
          </w:tcPr>
          <w:p w14:paraId="3D543648" w14:textId="77777777" w:rsidR="00394619" w:rsidRPr="003A6336" w:rsidRDefault="00394619" w:rsidP="009B4355">
            <w:pPr>
              <w:rPr>
                <w:rFonts w:ascii="Aptos" w:hAnsi="Aptos"/>
              </w:rPr>
            </w:pPr>
            <w:r w:rsidRPr="6D03A27B">
              <w:rPr>
                <w:rFonts w:ascii="Aptos" w:hAnsi="Aptos"/>
              </w:rPr>
              <w:t>Eastern European States</w:t>
            </w:r>
          </w:p>
        </w:tc>
        <w:tc>
          <w:tcPr>
            <w:tcW w:w="4673" w:type="dxa"/>
          </w:tcPr>
          <w:p w14:paraId="62B336D4"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94619" w:rsidRPr="003A6336" w14:paraId="1FFD6EE7" w14:textId="77777777" w:rsidTr="009B4355">
        <w:trPr>
          <w:gridAfter w:val="1"/>
          <w:wAfter w:w="15" w:type="dxa"/>
        </w:trPr>
        <w:tc>
          <w:tcPr>
            <w:tcW w:w="4188" w:type="dxa"/>
          </w:tcPr>
          <w:p w14:paraId="3591FF61" w14:textId="77777777" w:rsidR="00394619" w:rsidRPr="003A6336" w:rsidRDefault="00394619" w:rsidP="009B4355">
            <w:pPr>
              <w:rPr>
                <w:rFonts w:ascii="Aptos" w:hAnsi="Aptos"/>
              </w:rPr>
            </w:pPr>
            <w:r w:rsidRPr="6D03A27B">
              <w:rPr>
                <w:rFonts w:ascii="Aptos" w:hAnsi="Aptos"/>
              </w:rPr>
              <w:t>Western European and other States</w:t>
            </w:r>
          </w:p>
        </w:tc>
        <w:tc>
          <w:tcPr>
            <w:tcW w:w="4673" w:type="dxa"/>
          </w:tcPr>
          <w:p w14:paraId="3CFF0F5E"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57CB622C" w14:textId="77777777" w:rsidR="001B710E" w:rsidRPr="00653BF4" w:rsidRDefault="001B710E" w:rsidP="001B710E">
      <w:pPr>
        <w:rPr>
          <w:lang w:val="fr-FR" w:eastAsia="ja-JP"/>
        </w:rPr>
      </w:pPr>
    </w:p>
    <w:p w14:paraId="633B50EE" w14:textId="77777777" w:rsidR="00B70AA4" w:rsidRPr="00653BF4" w:rsidRDefault="00B70AA4" w:rsidP="00B70AA4">
      <w:pPr>
        <w:rPr>
          <w:lang w:val="fr-FR"/>
        </w:rPr>
      </w:pPr>
    </w:p>
    <w:p w14:paraId="759CA53B" w14:textId="5B7E98DF" w:rsidR="00B70AA4" w:rsidRPr="00653BF4" w:rsidRDefault="00DD19D2" w:rsidP="00E05E2B">
      <w:pPr>
        <w:pStyle w:val="Heading5"/>
        <w:rPr>
          <w:lang w:val="fr-FR"/>
        </w:rPr>
      </w:pPr>
      <w:r w:rsidRPr="00653BF4">
        <w:rPr>
          <w:lang w:val="fr-FR"/>
        </w:rPr>
        <w:t>Auto-évaluation des progrès</w:t>
      </w:r>
      <w:r w:rsidR="00B11830" w:rsidRPr="00653BF4">
        <w:rPr>
          <w:lang w:val="fr-FR"/>
        </w:rPr>
        <w:t xml:space="preserve"> accomplis</w:t>
      </w:r>
    </w:p>
    <w:p w14:paraId="7FA3DB15" w14:textId="05E8A74C" w:rsidR="00BD2557" w:rsidRPr="00653BF4" w:rsidRDefault="00323989" w:rsidP="00BD2557">
      <w:pPr>
        <w:rPr>
          <w:rStyle w:val="normaltextrun"/>
          <w:rFonts w:ascii="Aptos" w:hAnsi="Aptos"/>
          <w:lang w:val="fr-FR"/>
        </w:rPr>
      </w:pPr>
      <w:r w:rsidRPr="00653BF4">
        <w:rPr>
          <w:rStyle w:val="normaltextrun"/>
          <w:rFonts w:ascii="Aptos" w:hAnsi="Aptos"/>
          <w:lang w:val="fr-FR"/>
        </w:rPr>
        <w:t>D’après les auto-évaluations des Parties figurant dans leurs rapports nationaux,</w:t>
      </w:r>
      <w:r w:rsidR="008C3D26" w:rsidRPr="00653BF4">
        <w:rPr>
          <w:rStyle w:val="apple-converted-space"/>
          <w:rFonts w:ascii="Aptos" w:hAnsi="Aptos"/>
          <w:lang w:val="fr-FR"/>
        </w:rPr>
        <w:t> </w:t>
      </w:r>
      <w:r w:rsidR="008C3D26" w:rsidRPr="00653BF4">
        <w:rPr>
          <w:rStyle w:val="normaltextrun"/>
          <w:rFonts w:ascii="Aptos" w:hAnsi="Aptos"/>
          <w:lang w:val="fr-FR"/>
        </w:rPr>
        <w:t>42</w:t>
      </w:r>
      <w:r w:rsidR="002878D7">
        <w:rPr>
          <w:rStyle w:val="normaltextrun"/>
          <w:rFonts w:ascii="Aptos" w:hAnsi="Aptos"/>
          <w:lang w:val="fr-FR"/>
        </w:rPr>
        <w:t> %</w:t>
      </w:r>
      <w:r w:rsidR="008C3D26" w:rsidRPr="00653BF4">
        <w:rPr>
          <w:rStyle w:val="apple-converted-space"/>
          <w:rFonts w:ascii="Aptos" w:hAnsi="Aptos"/>
          <w:lang w:val="fr-FR"/>
        </w:rPr>
        <w:t> </w:t>
      </w:r>
      <w:r w:rsidR="00143906" w:rsidRPr="00653BF4">
        <w:rPr>
          <w:rStyle w:val="normaltextrun"/>
          <w:rFonts w:ascii="Aptos" w:hAnsi="Aptos"/>
          <w:lang w:val="fr-FR"/>
        </w:rPr>
        <w:t xml:space="preserve">des cibles nationales qu’elles ont présentées comme étroitement alignées sur la </w:t>
      </w:r>
      <w:r w:rsidR="00E34DC9">
        <w:rPr>
          <w:rStyle w:val="normaltextrun"/>
          <w:rFonts w:ascii="Aptos" w:hAnsi="Aptos"/>
          <w:lang w:val="fr-FR"/>
        </w:rPr>
        <w:t>cible 8</w:t>
      </w:r>
      <w:r w:rsidR="008C3D26" w:rsidRPr="00653BF4">
        <w:rPr>
          <w:rStyle w:val="normaltextrun"/>
          <w:rFonts w:ascii="Aptos" w:hAnsi="Aptos"/>
          <w:lang w:val="fr-FR"/>
        </w:rPr>
        <w:t xml:space="preserve"> </w:t>
      </w:r>
      <w:r w:rsidR="007E164C" w:rsidRPr="00653BF4">
        <w:rPr>
          <w:rStyle w:val="normaltextrun"/>
          <w:rFonts w:ascii="Aptos" w:hAnsi="Aptos"/>
          <w:lang w:val="fr-FR"/>
        </w:rPr>
        <w:t xml:space="preserve">sont en voie d’être atteintes, alors qu’une proportion </w:t>
      </w:r>
      <w:r w:rsidR="001168B5">
        <w:rPr>
          <w:rStyle w:val="normaltextrun"/>
          <w:rFonts w:ascii="Aptos" w:hAnsi="Aptos"/>
          <w:lang w:val="fr-FR"/>
        </w:rPr>
        <w:t>p</w:t>
      </w:r>
      <w:r w:rsidR="007E164C" w:rsidRPr="00653BF4">
        <w:rPr>
          <w:rStyle w:val="normaltextrun"/>
          <w:rFonts w:ascii="Aptos" w:hAnsi="Aptos"/>
          <w:lang w:val="fr-FR"/>
        </w:rPr>
        <w:t>lus importante (53</w:t>
      </w:r>
      <w:r w:rsidR="002878D7">
        <w:rPr>
          <w:rStyle w:val="normaltextrun"/>
          <w:rFonts w:ascii="Aptos" w:hAnsi="Aptos"/>
          <w:lang w:val="fr-FR"/>
        </w:rPr>
        <w:t> %</w:t>
      </w:r>
      <w:r w:rsidR="007E164C" w:rsidRPr="00653BF4">
        <w:rPr>
          <w:rStyle w:val="normaltextrun"/>
          <w:rFonts w:ascii="Aptos" w:hAnsi="Aptos"/>
          <w:lang w:val="fr-FR"/>
        </w:rPr>
        <w:t>) n’enregistre aucun progrès notable ou des progrès insuffisants et que deux cibles nationales seulement (1</w:t>
      </w:r>
      <w:r w:rsidR="002878D7">
        <w:rPr>
          <w:rStyle w:val="normaltextrun"/>
          <w:rFonts w:ascii="Aptos" w:hAnsi="Aptos"/>
          <w:lang w:val="fr-FR"/>
        </w:rPr>
        <w:t> %</w:t>
      </w:r>
      <w:r w:rsidR="007E164C" w:rsidRPr="00653BF4">
        <w:rPr>
          <w:rStyle w:val="normaltextrun"/>
          <w:rFonts w:ascii="Aptos" w:hAnsi="Aptos"/>
          <w:lang w:val="fr-FR"/>
        </w:rPr>
        <w:t>) sont déclarées déjà atteintes (voir la f</w:t>
      </w:r>
      <w:r w:rsidR="00705596" w:rsidRPr="00653BF4">
        <w:rPr>
          <w:lang w:val="fr-FR"/>
        </w:rPr>
        <w:t xml:space="preserve">igure </w:t>
      </w:r>
      <w:r w:rsidR="007904D8" w:rsidRPr="00653BF4">
        <w:rPr>
          <w:noProof/>
          <w:lang w:val="fr-FR"/>
        </w:rPr>
        <w:t>36</w:t>
      </w:r>
      <w:r w:rsidR="00BD2557" w:rsidRPr="00653BF4">
        <w:rPr>
          <w:rStyle w:val="normaltextrun"/>
          <w:rFonts w:ascii="Aptos" w:hAnsi="Aptos"/>
          <w:lang w:val="fr-FR"/>
        </w:rPr>
        <w:t>).</w:t>
      </w:r>
    </w:p>
    <w:p w14:paraId="51DF5677" w14:textId="77777777" w:rsidR="00BD7C37" w:rsidRPr="00653BF4" w:rsidRDefault="00BD7C37" w:rsidP="00BD2557">
      <w:pPr>
        <w:rPr>
          <w:rStyle w:val="normaltextrun"/>
          <w:rFonts w:ascii="Aptos" w:hAnsi="Aptos"/>
          <w:sz w:val="20"/>
          <w:szCs w:val="20"/>
          <w:lang w:val="fr-FR"/>
        </w:rPr>
      </w:pPr>
    </w:p>
    <w:p w14:paraId="6EBA1F8E" w14:textId="2E83DCDD" w:rsidR="003B45E1" w:rsidRPr="00653BF4" w:rsidRDefault="003B45E1" w:rsidP="003B45E1">
      <w:pPr>
        <w:pStyle w:val="Caption"/>
        <w:rPr>
          <w:i w:val="0"/>
          <w:iCs w:val="0"/>
          <w:sz w:val="20"/>
          <w:szCs w:val="20"/>
          <w:lang w:val="fr-FR"/>
        </w:rPr>
      </w:pPr>
      <w:r w:rsidRPr="00653BF4">
        <w:rPr>
          <w:i w:val="0"/>
          <w:iCs w:val="0"/>
          <w:sz w:val="20"/>
          <w:szCs w:val="20"/>
          <w:lang w:val="fr-FR"/>
        </w:rPr>
        <w:t xml:space="preserve">Figure </w:t>
      </w:r>
      <w:r w:rsidRPr="00653BF4">
        <w:rPr>
          <w:i w:val="0"/>
          <w:iCs w:val="0"/>
          <w:noProof/>
          <w:sz w:val="20"/>
          <w:szCs w:val="20"/>
          <w:lang w:val="fr-FR"/>
        </w:rPr>
        <w:t>36</w:t>
      </w:r>
      <w:r w:rsidRPr="00653BF4">
        <w:rPr>
          <w:i w:val="0"/>
          <w:iCs w:val="0"/>
          <w:sz w:val="20"/>
          <w:szCs w:val="20"/>
          <w:lang w:val="fr-FR"/>
        </w:rPr>
        <w:t xml:space="preserve"> </w:t>
      </w:r>
    </w:p>
    <w:p w14:paraId="2D472E5F" w14:textId="04BD6705" w:rsidR="00BD7C37" w:rsidRPr="00653BF4" w:rsidRDefault="00520DFC" w:rsidP="00BD7C37">
      <w:pPr>
        <w:pStyle w:val="Caption"/>
        <w:rPr>
          <w:b/>
          <w:bCs/>
          <w:i w:val="0"/>
          <w:iCs w:val="0"/>
          <w:sz w:val="20"/>
          <w:szCs w:val="20"/>
          <w:lang w:val="fr-FR"/>
        </w:rPr>
      </w:pPr>
      <w:r w:rsidRPr="00653BF4">
        <w:rPr>
          <w:b/>
          <w:bCs/>
          <w:i w:val="0"/>
          <w:iCs w:val="0"/>
          <w:sz w:val="20"/>
          <w:szCs w:val="20"/>
          <w:lang w:val="fr-FR"/>
        </w:rPr>
        <w:t xml:space="preserve">Progrès auto-évalués pour l’ensemble des cibles nationales présentées comme étroitement alignées sur la </w:t>
      </w:r>
      <w:r w:rsidR="00E34DC9">
        <w:rPr>
          <w:b/>
          <w:bCs/>
          <w:i w:val="0"/>
          <w:iCs w:val="0"/>
          <w:sz w:val="20"/>
          <w:szCs w:val="20"/>
          <w:lang w:val="fr-FR"/>
        </w:rPr>
        <w:t>cible 8</w:t>
      </w:r>
      <w:r w:rsidRPr="00653BF4">
        <w:rPr>
          <w:b/>
          <w:bCs/>
          <w:i w:val="0"/>
          <w:iCs w:val="0"/>
          <w:sz w:val="20"/>
          <w:szCs w:val="20"/>
          <w:lang w:val="fr-FR"/>
        </w:rPr>
        <w:t xml:space="preserve"> du Cadre</w:t>
      </w:r>
    </w:p>
    <w:p w14:paraId="7DE88DFE" w14:textId="540127FC" w:rsidR="00471C0F" w:rsidRPr="00653BF4" w:rsidRDefault="00DA5BC5" w:rsidP="00BD2557">
      <w:pPr>
        <w:pStyle w:val="Caption"/>
        <w:rPr>
          <w:lang w:val="fr-FR"/>
        </w:rPr>
      </w:pPr>
      <w:r w:rsidRPr="00653BF4">
        <w:rPr>
          <w:noProof/>
          <w:lang w:val="fr-FR"/>
          <w14:ligatures w14:val="standardContextual"/>
        </w:rPr>
        <w:drawing>
          <wp:inline distT="0" distB="0" distL="0" distR="0" wp14:anchorId="2DAFAA5A" wp14:editId="1323DDAD">
            <wp:extent cx="5731510" cy="2292350"/>
            <wp:effectExtent l="0" t="0" r="0" b="6350"/>
            <wp:docPr id="8849273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27366" name="Picture 884927366"/>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2224F30F" w14:textId="58EF1C20" w:rsidR="006A5857" w:rsidRPr="00653BF4" w:rsidRDefault="006A631C" w:rsidP="006A5857">
      <w:pPr>
        <w:pStyle w:val="Caption"/>
        <w:rPr>
          <w:i w:val="0"/>
          <w:iCs w:val="0"/>
          <w:lang w:val="fr-FR"/>
        </w:rPr>
      </w:pPr>
      <w:r w:rsidRPr="00653BF4">
        <w:rPr>
          <w:lang w:val="fr-FR"/>
        </w:rPr>
        <w:t>Note</w:t>
      </w:r>
      <w:r w:rsidR="00E34DC9">
        <w:rPr>
          <w:lang w:val="fr-FR"/>
        </w:rPr>
        <w:t> :</w:t>
      </w:r>
      <w:r w:rsidR="006A5857" w:rsidRPr="00653BF4">
        <w:rPr>
          <w:i w:val="0"/>
          <w:iCs w:val="0"/>
          <w:lang w:val="fr-FR"/>
        </w:rPr>
        <w:t xml:space="preserve"> </w:t>
      </w:r>
      <w:r w:rsidR="00581E56" w:rsidRPr="00653BF4">
        <w:rPr>
          <w:i w:val="0"/>
          <w:iCs w:val="0"/>
          <w:lang w:val="fr-FR"/>
        </w:rPr>
        <w:t xml:space="preserve">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w:t>
      </w:r>
      <w:r w:rsidR="003A0A42" w:rsidRPr="00653BF4">
        <w:rPr>
          <w:rFonts w:ascii="Aptos" w:hAnsi="Aptos"/>
          <w:i w:val="0"/>
          <w:iCs w:val="0"/>
          <w:lang w:val="fr-FR"/>
        </w:rPr>
        <w:t>La couleur de chaque région est indiquée dans la légende de la figure</w:t>
      </w:r>
      <w:r w:rsidR="00E34DC9">
        <w:rPr>
          <w:rFonts w:ascii="Aptos" w:hAnsi="Aptos"/>
          <w:i w:val="0"/>
          <w:iCs w:val="0"/>
          <w:lang w:val="fr-FR"/>
        </w:rPr>
        <w:t> :</w:t>
      </w:r>
      <w:r w:rsidR="003A0A42"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003A0A42" w:rsidRPr="00653BF4">
        <w:rPr>
          <w:rFonts w:ascii="Aptos" w:hAnsi="Aptos"/>
          <w:i w:val="0"/>
          <w:iCs w:val="0"/>
          <w:lang w:val="fr-FR"/>
        </w:rPr>
        <w:t xml:space="preserve"> les tons plus clairs, la proportion de Parties de la même région dont les données n’y figurent pas.</w:t>
      </w:r>
    </w:p>
    <w:tbl>
      <w:tblPr>
        <w:tblStyle w:val="TableGrid"/>
        <w:tblW w:w="9463" w:type="dxa"/>
        <w:tblLook w:val="04A0" w:firstRow="1" w:lastRow="0" w:firstColumn="1" w:lastColumn="0" w:noHBand="0" w:noVBand="1"/>
      </w:tblPr>
      <w:tblGrid>
        <w:gridCol w:w="5098"/>
        <w:gridCol w:w="4365"/>
      </w:tblGrid>
      <w:tr w:rsidR="00394619" w:rsidRPr="003A6336" w14:paraId="17E69262" w14:textId="77777777" w:rsidTr="009B4355">
        <w:tc>
          <w:tcPr>
            <w:tcW w:w="9463" w:type="dxa"/>
            <w:gridSpan w:val="2"/>
          </w:tcPr>
          <w:p w14:paraId="5F9951DE" w14:textId="77777777" w:rsidR="00394619" w:rsidRPr="003A6336" w:rsidRDefault="00394619" w:rsidP="009B4355">
            <w:pPr>
              <w:rPr>
                <w:rFonts w:ascii="Aptos" w:hAnsi="Aptos"/>
              </w:rPr>
            </w:pPr>
            <w:r>
              <w:rPr>
                <w:rFonts w:ascii="Aptos" w:hAnsi="Aptos"/>
              </w:rPr>
              <w:t>Figure 36</w:t>
            </w:r>
          </w:p>
        </w:tc>
      </w:tr>
      <w:tr w:rsidR="00394619" w:rsidRPr="003A6336" w14:paraId="6E1B6FB2" w14:textId="77777777" w:rsidTr="009B4355">
        <w:tc>
          <w:tcPr>
            <w:tcW w:w="5098" w:type="dxa"/>
          </w:tcPr>
          <w:p w14:paraId="038A8030" w14:textId="77777777" w:rsidR="00394619" w:rsidRPr="00420D14" w:rsidRDefault="00394619" w:rsidP="009B4355">
            <w:pPr>
              <w:rPr>
                <w:rFonts w:ascii="Aptos" w:hAnsi="Aptos"/>
              </w:rPr>
            </w:pPr>
            <w:r w:rsidRPr="00420D14">
              <w:rPr>
                <w:rFonts w:ascii="Aptos" w:hAnsi="Aptos"/>
              </w:rPr>
              <w:t xml:space="preserve">English </w:t>
            </w:r>
          </w:p>
        </w:tc>
        <w:tc>
          <w:tcPr>
            <w:tcW w:w="4365" w:type="dxa"/>
          </w:tcPr>
          <w:p w14:paraId="736468F5" w14:textId="77777777" w:rsidR="00394619" w:rsidRPr="00420D14" w:rsidRDefault="00394619" w:rsidP="009B4355">
            <w:pPr>
              <w:rPr>
                <w:rFonts w:ascii="Aptos" w:hAnsi="Aptos"/>
              </w:rPr>
            </w:pPr>
            <w:r>
              <w:rPr>
                <w:rFonts w:ascii="Aptos" w:hAnsi="Aptos"/>
              </w:rPr>
              <w:t>Français</w:t>
            </w:r>
          </w:p>
        </w:tc>
      </w:tr>
      <w:tr w:rsidR="00394619" w:rsidRPr="003A6336" w14:paraId="22152589" w14:textId="77777777" w:rsidTr="009B4355">
        <w:tc>
          <w:tcPr>
            <w:tcW w:w="5098" w:type="dxa"/>
          </w:tcPr>
          <w:p w14:paraId="2D98E0B3" w14:textId="77777777" w:rsidR="00394619" w:rsidRPr="003A6336" w:rsidRDefault="00394619" w:rsidP="009B4355">
            <w:pPr>
              <w:rPr>
                <w:rFonts w:ascii="Aptos" w:hAnsi="Aptos"/>
              </w:rPr>
            </w:pPr>
            <w:r w:rsidRPr="003A6336">
              <w:rPr>
                <w:rFonts w:ascii="Aptos" w:hAnsi="Aptos"/>
              </w:rPr>
              <w:t>Percentage of national targets</w:t>
            </w:r>
          </w:p>
        </w:tc>
        <w:tc>
          <w:tcPr>
            <w:tcW w:w="4365" w:type="dxa"/>
          </w:tcPr>
          <w:p w14:paraId="5CF0EF31" w14:textId="77777777" w:rsidR="00394619" w:rsidRPr="003A6336" w:rsidRDefault="00394619" w:rsidP="009B4355">
            <w:pPr>
              <w:rPr>
                <w:rFonts w:ascii="Aptos" w:hAnsi="Aptos"/>
              </w:rPr>
            </w:pPr>
            <w:r>
              <w:t>Pourcentage de cibles nationales</w:t>
            </w:r>
          </w:p>
        </w:tc>
      </w:tr>
      <w:tr w:rsidR="00394619" w:rsidRPr="003A6336" w14:paraId="173FFBD2" w14:textId="77777777" w:rsidTr="009B4355">
        <w:tc>
          <w:tcPr>
            <w:tcW w:w="5098" w:type="dxa"/>
          </w:tcPr>
          <w:p w14:paraId="204DC07A" w14:textId="77777777" w:rsidR="00394619" w:rsidRPr="003A6336" w:rsidRDefault="00394619" w:rsidP="009B4355">
            <w:pPr>
              <w:rPr>
                <w:rFonts w:ascii="Aptos" w:hAnsi="Aptos"/>
              </w:rPr>
            </w:pPr>
            <w:r w:rsidRPr="003A6336">
              <w:rPr>
                <w:rFonts w:ascii="Aptos" w:hAnsi="Aptos"/>
              </w:rPr>
              <w:t>Progress Level</w:t>
            </w:r>
          </w:p>
        </w:tc>
        <w:tc>
          <w:tcPr>
            <w:tcW w:w="4365" w:type="dxa"/>
          </w:tcPr>
          <w:p w14:paraId="61DDDBA4" w14:textId="77777777" w:rsidR="00394619" w:rsidRPr="003A6336" w:rsidRDefault="00394619" w:rsidP="009B4355">
            <w:pPr>
              <w:rPr>
                <w:rFonts w:ascii="Aptos" w:hAnsi="Aptos"/>
              </w:rPr>
            </w:pPr>
            <w:r>
              <w:t>État d’avancement</w:t>
            </w:r>
          </w:p>
        </w:tc>
      </w:tr>
      <w:tr w:rsidR="00394619" w:rsidRPr="003A6336" w14:paraId="3D6F4011" w14:textId="77777777" w:rsidTr="009B4355">
        <w:tc>
          <w:tcPr>
            <w:tcW w:w="5098" w:type="dxa"/>
          </w:tcPr>
          <w:p w14:paraId="0CAC6795" w14:textId="77777777" w:rsidR="00394619" w:rsidRPr="003A6336" w:rsidRDefault="00394619" w:rsidP="009B4355">
            <w:pPr>
              <w:rPr>
                <w:rFonts w:ascii="Aptos" w:hAnsi="Aptos"/>
              </w:rPr>
            </w:pPr>
            <w:r w:rsidRPr="003A6336">
              <w:rPr>
                <w:rFonts w:ascii="Aptos" w:hAnsi="Aptos"/>
              </w:rPr>
              <w:t>Achieved</w:t>
            </w:r>
          </w:p>
        </w:tc>
        <w:tc>
          <w:tcPr>
            <w:tcW w:w="4365" w:type="dxa"/>
          </w:tcPr>
          <w:p w14:paraId="4D0E6CC3" w14:textId="77777777" w:rsidR="00394619" w:rsidRPr="003A6336" w:rsidRDefault="00394619" w:rsidP="009B4355">
            <w:pPr>
              <w:rPr>
                <w:rFonts w:ascii="Aptos" w:hAnsi="Aptos"/>
              </w:rPr>
            </w:pPr>
            <w:r>
              <w:t>Cible atteinte</w:t>
            </w:r>
          </w:p>
        </w:tc>
      </w:tr>
      <w:tr w:rsidR="00394619" w:rsidRPr="003A6336" w14:paraId="7D1A9D9B" w14:textId="77777777" w:rsidTr="009B4355">
        <w:tc>
          <w:tcPr>
            <w:tcW w:w="5098" w:type="dxa"/>
          </w:tcPr>
          <w:p w14:paraId="6FF9B419" w14:textId="77777777" w:rsidR="00394619" w:rsidRPr="003A6336" w:rsidRDefault="00394619" w:rsidP="009B4355">
            <w:pPr>
              <w:rPr>
                <w:rFonts w:ascii="Aptos" w:hAnsi="Aptos"/>
              </w:rPr>
            </w:pPr>
            <w:r w:rsidRPr="003A6336">
              <w:rPr>
                <w:rFonts w:ascii="Aptos" w:hAnsi="Aptos"/>
              </w:rPr>
              <w:t>On track to achieve target</w:t>
            </w:r>
          </w:p>
        </w:tc>
        <w:tc>
          <w:tcPr>
            <w:tcW w:w="4365" w:type="dxa"/>
          </w:tcPr>
          <w:p w14:paraId="597F20CF" w14:textId="77777777" w:rsidR="00394619" w:rsidRPr="003A6336" w:rsidRDefault="00394619" w:rsidP="009B4355">
            <w:pPr>
              <w:rPr>
                <w:rFonts w:ascii="Aptos" w:hAnsi="Aptos"/>
              </w:rPr>
            </w:pPr>
            <w:r>
              <w:t>En voie d’atteindre la cible</w:t>
            </w:r>
          </w:p>
        </w:tc>
      </w:tr>
      <w:tr w:rsidR="00394619" w:rsidRPr="003A6336" w14:paraId="69D51944" w14:textId="77777777" w:rsidTr="009B4355">
        <w:tc>
          <w:tcPr>
            <w:tcW w:w="5098" w:type="dxa"/>
          </w:tcPr>
          <w:p w14:paraId="011D3F8B" w14:textId="77777777" w:rsidR="00394619" w:rsidRPr="003A6336" w:rsidRDefault="00394619" w:rsidP="009B4355">
            <w:pPr>
              <w:rPr>
                <w:rFonts w:ascii="Aptos" w:hAnsi="Aptos"/>
              </w:rPr>
            </w:pPr>
            <w:r w:rsidRPr="003A6336">
              <w:rPr>
                <w:rFonts w:ascii="Aptos" w:hAnsi="Aptos"/>
              </w:rPr>
              <w:t>Progress towards target but at an insufficient rate</w:t>
            </w:r>
          </w:p>
        </w:tc>
        <w:tc>
          <w:tcPr>
            <w:tcW w:w="4365" w:type="dxa"/>
          </w:tcPr>
          <w:p w14:paraId="5A1B7144" w14:textId="77777777" w:rsidR="00394619" w:rsidRPr="003A6336" w:rsidRDefault="00394619" w:rsidP="009B4355">
            <w:pPr>
              <w:rPr>
                <w:rFonts w:ascii="Aptos" w:hAnsi="Aptos"/>
              </w:rPr>
            </w:pPr>
            <w:r>
              <w:t>Progrès accomplis, mais à un rythme insuffisant</w:t>
            </w:r>
          </w:p>
        </w:tc>
      </w:tr>
      <w:tr w:rsidR="00394619" w:rsidRPr="003A6336" w14:paraId="013CC741" w14:textId="77777777" w:rsidTr="009B4355">
        <w:tc>
          <w:tcPr>
            <w:tcW w:w="5098" w:type="dxa"/>
          </w:tcPr>
          <w:p w14:paraId="2F3729A9" w14:textId="77777777" w:rsidR="00394619" w:rsidRPr="003A6336" w:rsidRDefault="00394619" w:rsidP="009B4355">
            <w:pPr>
              <w:rPr>
                <w:rFonts w:ascii="Aptos" w:hAnsi="Aptos"/>
              </w:rPr>
            </w:pPr>
            <w:r w:rsidRPr="003A6336">
              <w:rPr>
                <w:rFonts w:ascii="Aptos" w:hAnsi="Aptos"/>
              </w:rPr>
              <w:t>No significant change</w:t>
            </w:r>
          </w:p>
        </w:tc>
        <w:tc>
          <w:tcPr>
            <w:tcW w:w="4365" w:type="dxa"/>
          </w:tcPr>
          <w:p w14:paraId="7245F7B5" w14:textId="77777777" w:rsidR="00394619" w:rsidRPr="003A6336" w:rsidRDefault="00394619" w:rsidP="009B4355">
            <w:pPr>
              <w:rPr>
                <w:rFonts w:ascii="Aptos" w:hAnsi="Aptos"/>
              </w:rPr>
            </w:pPr>
            <w:r>
              <w:t>Pas de changement notable</w:t>
            </w:r>
          </w:p>
        </w:tc>
      </w:tr>
      <w:tr w:rsidR="00394619" w:rsidRPr="003A6336" w14:paraId="77F5908E" w14:textId="77777777" w:rsidTr="009B4355">
        <w:tc>
          <w:tcPr>
            <w:tcW w:w="5098" w:type="dxa"/>
          </w:tcPr>
          <w:p w14:paraId="13B4BCB1" w14:textId="77777777" w:rsidR="00394619" w:rsidRPr="003A6336" w:rsidRDefault="00394619" w:rsidP="009B4355">
            <w:pPr>
              <w:rPr>
                <w:rFonts w:ascii="Aptos" w:hAnsi="Aptos"/>
              </w:rPr>
            </w:pPr>
            <w:r w:rsidRPr="003A6336">
              <w:rPr>
                <w:rFonts w:ascii="Aptos" w:hAnsi="Aptos"/>
              </w:rPr>
              <w:t>Unknown</w:t>
            </w:r>
          </w:p>
        </w:tc>
        <w:tc>
          <w:tcPr>
            <w:tcW w:w="4365" w:type="dxa"/>
          </w:tcPr>
          <w:p w14:paraId="17B78EFF" w14:textId="77777777" w:rsidR="00394619" w:rsidRPr="003A6336" w:rsidRDefault="00394619" w:rsidP="009B4355">
            <w:pPr>
              <w:rPr>
                <w:rFonts w:ascii="Aptos" w:hAnsi="Aptos"/>
              </w:rPr>
            </w:pPr>
            <w:r>
              <w:t>Inconnu</w:t>
            </w:r>
          </w:p>
        </w:tc>
      </w:tr>
      <w:tr w:rsidR="00394619" w:rsidRPr="003A6336" w14:paraId="01E6989D" w14:textId="77777777" w:rsidTr="009B4355">
        <w:tc>
          <w:tcPr>
            <w:tcW w:w="5098" w:type="dxa"/>
          </w:tcPr>
          <w:p w14:paraId="22B79DD2" w14:textId="77777777" w:rsidR="00394619" w:rsidRPr="003A6336" w:rsidRDefault="00394619" w:rsidP="009B4355">
            <w:pPr>
              <w:rPr>
                <w:rFonts w:ascii="Aptos" w:hAnsi="Aptos"/>
              </w:rPr>
            </w:pPr>
            <w:r w:rsidRPr="003A6336">
              <w:rPr>
                <w:rFonts w:ascii="Aptos" w:hAnsi="Aptos"/>
              </w:rPr>
              <w:lastRenderedPageBreak/>
              <w:t>Party count: 101</w:t>
            </w:r>
          </w:p>
        </w:tc>
        <w:tc>
          <w:tcPr>
            <w:tcW w:w="4365" w:type="dxa"/>
          </w:tcPr>
          <w:p w14:paraId="792E57AE" w14:textId="77777777" w:rsidR="00394619" w:rsidRPr="003A6336" w:rsidRDefault="00394619" w:rsidP="009B4355">
            <w:pPr>
              <w:rPr>
                <w:rFonts w:ascii="Aptos" w:hAnsi="Aptos"/>
              </w:rPr>
            </w:pPr>
            <w:r>
              <w:rPr>
                <w:rFonts w:ascii="Aptos" w:hAnsi="Aptos"/>
              </w:rPr>
              <w:t>Nombre de Parties : 101</w:t>
            </w:r>
          </w:p>
        </w:tc>
      </w:tr>
      <w:tr w:rsidR="00394619" w:rsidRPr="003A6336" w14:paraId="11905FAA" w14:textId="77777777" w:rsidTr="009B4355">
        <w:tc>
          <w:tcPr>
            <w:tcW w:w="5098" w:type="dxa"/>
          </w:tcPr>
          <w:p w14:paraId="06796FD1" w14:textId="77777777" w:rsidR="00394619" w:rsidRPr="003A6336" w:rsidRDefault="00394619" w:rsidP="009B4355">
            <w:pPr>
              <w:rPr>
                <w:rFonts w:ascii="Aptos" w:hAnsi="Aptos"/>
              </w:rPr>
            </w:pPr>
            <w:r w:rsidRPr="003A6336">
              <w:rPr>
                <w:rFonts w:ascii="Aptos" w:hAnsi="Aptos"/>
              </w:rPr>
              <w:t>Region</w:t>
            </w:r>
          </w:p>
        </w:tc>
        <w:tc>
          <w:tcPr>
            <w:tcW w:w="4365" w:type="dxa"/>
          </w:tcPr>
          <w:p w14:paraId="7BC361EB" w14:textId="77777777" w:rsidR="00394619" w:rsidRPr="003A6336" w:rsidRDefault="00394619" w:rsidP="009B4355">
            <w:pPr>
              <w:rPr>
                <w:rFonts w:ascii="Aptos" w:hAnsi="Aptos"/>
              </w:rPr>
            </w:pPr>
            <w:r w:rsidRPr="006F7AF8">
              <w:rPr>
                <w:rFonts w:ascii="Aptos" w:hAnsi="Aptos"/>
                <w:lang w:val="fr-FR"/>
              </w:rPr>
              <w:t>Région</w:t>
            </w:r>
          </w:p>
        </w:tc>
      </w:tr>
      <w:tr w:rsidR="00394619" w:rsidRPr="003A6336" w14:paraId="4CD8D3F2" w14:textId="77777777" w:rsidTr="009B4355">
        <w:tc>
          <w:tcPr>
            <w:tcW w:w="5098" w:type="dxa"/>
          </w:tcPr>
          <w:p w14:paraId="6AB2A54B" w14:textId="77777777" w:rsidR="00394619" w:rsidRPr="003A6336" w:rsidRDefault="00394619" w:rsidP="009B4355">
            <w:pPr>
              <w:rPr>
                <w:rFonts w:ascii="Aptos" w:hAnsi="Aptos"/>
              </w:rPr>
            </w:pPr>
            <w:r w:rsidRPr="6D03A27B">
              <w:rPr>
                <w:rFonts w:ascii="Aptos" w:hAnsi="Aptos"/>
              </w:rPr>
              <w:t>African States</w:t>
            </w:r>
          </w:p>
        </w:tc>
        <w:tc>
          <w:tcPr>
            <w:tcW w:w="4365" w:type="dxa"/>
          </w:tcPr>
          <w:p w14:paraId="627C1259"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394619" w:rsidRPr="003A6336" w14:paraId="18AB0437" w14:textId="77777777" w:rsidTr="009B4355">
        <w:tc>
          <w:tcPr>
            <w:tcW w:w="5098" w:type="dxa"/>
          </w:tcPr>
          <w:p w14:paraId="3547CF2B" w14:textId="77777777" w:rsidR="00394619" w:rsidRPr="003A6336" w:rsidRDefault="00394619" w:rsidP="009B4355">
            <w:pPr>
              <w:rPr>
                <w:rFonts w:ascii="Aptos" w:hAnsi="Aptos"/>
              </w:rPr>
            </w:pPr>
            <w:r w:rsidRPr="6D03A27B">
              <w:rPr>
                <w:rFonts w:ascii="Aptos" w:hAnsi="Aptos"/>
              </w:rPr>
              <w:t>Asia</w:t>
            </w:r>
            <w:r>
              <w:rPr>
                <w:rFonts w:ascii="Aptos" w:hAnsi="Aptos"/>
              </w:rPr>
              <w:t>-</w:t>
            </w:r>
            <w:r w:rsidRPr="6D03A27B">
              <w:rPr>
                <w:rFonts w:ascii="Aptos" w:hAnsi="Aptos"/>
              </w:rPr>
              <w:t>Pacific States</w:t>
            </w:r>
          </w:p>
        </w:tc>
        <w:tc>
          <w:tcPr>
            <w:tcW w:w="4365" w:type="dxa"/>
          </w:tcPr>
          <w:p w14:paraId="1EE37FD0"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394619" w:rsidRPr="003A6336" w14:paraId="70FF2BD3" w14:textId="77777777" w:rsidTr="009B4355">
        <w:tc>
          <w:tcPr>
            <w:tcW w:w="5098" w:type="dxa"/>
          </w:tcPr>
          <w:p w14:paraId="73CD678D" w14:textId="77777777" w:rsidR="00394619" w:rsidRPr="003A6336" w:rsidRDefault="00394619" w:rsidP="009B4355">
            <w:pPr>
              <w:rPr>
                <w:rFonts w:ascii="Aptos" w:hAnsi="Aptos"/>
              </w:rPr>
            </w:pPr>
            <w:r w:rsidRPr="6D03A27B">
              <w:rPr>
                <w:rFonts w:ascii="Aptos" w:hAnsi="Aptos"/>
              </w:rPr>
              <w:t>Latin American and Caribbean States</w:t>
            </w:r>
          </w:p>
        </w:tc>
        <w:tc>
          <w:tcPr>
            <w:tcW w:w="4365" w:type="dxa"/>
          </w:tcPr>
          <w:p w14:paraId="2A0A878E"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394619" w:rsidRPr="003A6336" w14:paraId="05587FDA" w14:textId="77777777" w:rsidTr="009B4355">
        <w:tc>
          <w:tcPr>
            <w:tcW w:w="5098" w:type="dxa"/>
          </w:tcPr>
          <w:p w14:paraId="0841244F" w14:textId="77777777" w:rsidR="00394619" w:rsidRPr="003A6336" w:rsidRDefault="00394619" w:rsidP="009B4355">
            <w:pPr>
              <w:rPr>
                <w:rFonts w:ascii="Aptos" w:hAnsi="Aptos"/>
              </w:rPr>
            </w:pPr>
            <w:r w:rsidRPr="6D03A27B">
              <w:rPr>
                <w:rFonts w:ascii="Aptos" w:hAnsi="Aptos"/>
              </w:rPr>
              <w:t>Eastern European States</w:t>
            </w:r>
          </w:p>
        </w:tc>
        <w:tc>
          <w:tcPr>
            <w:tcW w:w="4365" w:type="dxa"/>
          </w:tcPr>
          <w:p w14:paraId="461A987B"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394619" w:rsidRPr="003A6336" w14:paraId="2E139C65" w14:textId="77777777" w:rsidTr="009B4355">
        <w:tc>
          <w:tcPr>
            <w:tcW w:w="5098" w:type="dxa"/>
          </w:tcPr>
          <w:p w14:paraId="2F2D8784" w14:textId="77777777" w:rsidR="00394619" w:rsidRPr="003A6336" w:rsidRDefault="00394619" w:rsidP="009B4355">
            <w:pPr>
              <w:rPr>
                <w:rFonts w:ascii="Aptos" w:hAnsi="Aptos"/>
              </w:rPr>
            </w:pPr>
            <w:r w:rsidRPr="6D03A27B">
              <w:rPr>
                <w:rFonts w:ascii="Aptos" w:hAnsi="Aptos"/>
              </w:rPr>
              <w:t>Western European and other States</w:t>
            </w:r>
          </w:p>
        </w:tc>
        <w:tc>
          <w:tcPr>
            <w:tcW w:w="4365" w:type="dxa"/>
          </w:tcPr>
          <w:p w14:paraId="00B4AB13" w14:textId="77777777" w:rsidR="00394619" w:rsidRPr="003A6336" w:rsidRDefault="00394619" w:rsidP="009B4355">
            <w:pPr>
              <w:rPr>
                <w:rFonts w:ascii="Aptos" w:hAnsi="Aptos"/>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3DE39A62" w14:textId="77777777" w:rsidR="009A12FE" w:rsidRPr="00653BF4" w:rsidRDefault="009A12FE" w:rsidP="000B5B2B">
      <w:pPr>
        <w:pStyle w:val="Heading5"/>
        <w:rPr>
          <w:lang w:val="fr-FR"/>
        </w:rPr>
      </w:pPr>
    </w:p>
    <w:p w14:paraId="4B1CB9F3" w14:textId="59F75BC1" w:rsidR="00101A9D" w:rsidRPr="00653BF4" w:rsidRDefault="002104BC" w:rsidP="000B5B2B">
      <w:pPr>
        <w:pStyle w:val="Heading5"/>
        <w:rPr>
          <w:lang w:val="fr-FR"/>
        </w:rPr>
      </w:pPr>
      <w:bookmarkStart w:id="165" w:name="_Toc235821146"/>
      <w:r w:rsidRPr="00653BF4">
        <w:rPr>
          <w:lang w:val="fr-FR"/>
        </w:rPr>
        <w:t xml:space="preserve">Actions, </w:t>
      </w:r>
      <w:r w:rsidR="007F7838" w:rsidRPr="00653BF4">
        <w:rPr>
          <w:lang w:val="fr-FR"/>
        </w:rPr>
        <w:t>réussites</w:t>
      </w:r>
      <w:r w:rsidRPr="00653BF4">
        <w:rPr>
          <w:lang w:val="fr-FR"/>
        </w:rPr>
        <w:t xml:space="preserve"> </w:t>
      </w:r>
      <w:bookmarkEnd w:id="165"/>
      <w:r w:rsidR="007F7838" w:rsidRPr="00653BF4">
        <w:rPr>
          <w:lang w:val="fr-FR"/>
        </w:rPr>
        <w:t>et difficultés dans la mise en œuvre</w:t>
      </w:r>
    </w:p>
    <w:p w14:paraId="4264BA0A" w14:textId="77777777" w:rsidR="0052495E" w:rsidRPr="00653BF4" w:rsidRDefault="0052495E" w:rsidP="0052495E">
      <w:pPr>
        <w:rPr>
          <w:lang w:val="fr-FR"/>
        </w:rPr>
      </w:pPr>
    </w:p>
    <w:p w14:paraId="7570833B" w14:textId="54C2356F" w:rsidR="002104BC" w:rsidRPr="00653BF4" w:rsidRDefault="00B43BEA" w:rsidP="00BB0AB3">
      <w:pPr>
        <w:pStyle w:val="Heading6"/>
        <w:rPr>
          <w:lang w:val="fr-FR"/>
        </w:rPr>
      </w:pPr>
      <w:bookmarkStart w:id="166" w:name="_Toc235821147"/>
      <w:r w:rsidRPr="00653BF4">
        <w:rPr>
          <w:lang w:val="fr-FR"/>
        </w:rPr>
        <w:t xml:space="preserve">Résumé des actions menées à l’appui de la </w:t>
      </w:r>
      <w:r w:rsidR="00E34DC9">
        <w:rPr>
          <w:lang w:val="fr-FR"/>
        </w:rPr>
        <w:t>cible 8</w:t>
      </w:r>
      <w:bookmarkEnd w:id="166"/>
      <w:r w:rsidR="00903654" w:rsidRPr="00653BF4">
        <w:rPr>
          <w:lang w:val="fr-FR"/>
        </w:rPr>
        <w:t xml:space="preserve"> </w:t>
      </w:r>
      <w:r w:rsidR="00272FFA" w:rsidRPr="00653BF4">
        <w:rPr>
          <w:lang w:val="fr-FR"/>
        </w:rPr>
        <w:t>du Cadre</w:t>
      </w:r>
    </w:p>
    <w:p w14:paraId="544C9A21" w14:textId="77777777" w:rsidR="0052495E" w:rsidRPr="00653BF4" w:rsidRDefault="0052495E" w:rsidP="0052495E">
      <w:pPr>
        <w:rPr>
          <w:lang w:val="fr-FR"/>
        </w:rPr>
      </w:pPr>
    </w:p>
    <w:p w14:paraId="2CC8D840" w14:textId="281F5FBB" w:rsidR="008E6050" w:rsidRPr="00653BF4" w:rsidRDefault="00BA39F3" w:rsidP="008E6050">
      <w:pPr>
        <w:rPr>
          <w:lang w:val="fr-FR"/>
        </w:rPr>
      </w:pPr>
      <w:r w:rsidRPr="00BA39F3">
        <w:rPr>
          <w:lang w:val="fr-FR"/>
        </w:rPr>
        <w:t xml:space="preserve">L’approche prédominante de la mise en œuvre de la </w:t>
      </w:r>
      <w:r w:rsidR="00E34DC9">
        <w:rPr>
          <w:lang w:val="fr-FR"/>
        </w:rPr>
        <w:t>cible 8</w:t>
      </w:r>
      <w:r w:rsidRPr="00BA39F3">
        <w:rPr>
          <w:lang w:val="fr-FR"/>
        </w:rPr>
        <w:t xml:space="preserve"> repose sur la remise en état des écosystèmes en tant que mesure d’adaptation au changement climatique et d’atténuation de ses effets, ce qui aligne étroitement ces actions sur celles associées à la </w:t>
      </w:r>
      <w:r w:rsidR="00E34DC9">
        <w:rPr>
          <w:lang w:val="fr-FR"/>
        </w:rPr>
        <w:t>cible 2</w:t>
      </w:r>
      <w:r w:rsidRPr="00BA39F3">
        <w:rPr>
          <w:lang w:val="fr-FR"/>
        </w:rPr>
        <w:t xml:space="preserve">. La remise en état des mangroves est mentionnée par le plus grand nombre de Parties dans les régions d’Afrique, d’Asie-Pacifique et d’Amérique latine, ainsi que parmi les petits États insulaires en développement. La remise en eau des tourbières est concentrée en Europe et en Asie centrale, tandis que la remise en état des récifs coralliens est mentionnée par un groupe plus restreint d’États côtiers. Les actions de recherche et de suivi associées comprennent les évaluations de la vulnérabilité climatique, le suivi des espèces et des habitats, l'inventaire des gaz à effet de serre, les systèmes d'alerte précoce, le suivi de l'acidification des océans et les plateformes de télédétection. De nombreuses Parties, en particulier parmi les pays en développement et les petits États insulaires en développement, indiquent avoir intégré la biodiversité dans leurs instruments de planification climatique, notamment les contributions déterminées au niveau national et les plans nationaux d'adaptation dans le cadre de la CCNUCC, ainsi que dans leurs cadres de réduction des risques de catastrophe (voir l'encadré 28). Une quarantaine de Parties indiquent recourir à des instruments économiques et financiers pour fournir de l’appui à la mise en œuvre de </w:t>
      </w:r>
      <w:r w:rsidR="008403E0">
        <w:rPr>
          <w:lang w:val="fr-FR"/>
        </w:rPr>
        <w:t>la cible </w:t>
      </w:r>
      <w:r w:rsidRPr="00BA39F3">
        <w:rPr>
          <w:lang w:val="fr-FR"/>
        </w:rPr>
        <w:t>8, notamment les paiements pour services écosystémiques, les marchés du carbone, les fonds climatiques et les financements issus de la réduction des émissions dans le cadre des programmes REDD+ dans les pays en développement.</w:t>
      </w:r>
    </w:p>
    <w:p w14:paraId="16052B22" w14:textId="77777777" w:rsidR="00FE1505" w:rsidRPr="00653BF4" w:rsidRDefault="00FE1505" w:rsidP="00A349E8">
      <w:pPr>
        <w:rPr>
          <w:lang w:val="fr-FR"/>
        </w:rPr>
      </w:pPr>
    </w:p>
    <w:p w14:paraId="75749DF4" w14:textId="044CCE4C" w:rsidR="00C46B59" w:rsidRPr="00653BF4" w:rsidRDefault="00EF7133" w:rsidP="00BB0AB3">
      <w:pPr>
        <w:pStyle w:val="Heading6"/>
        <w:rPr>
          <w:lang w:val="fr-FR"/>
        </w:rPr>
      </w:pPr>
      <w:r w:rsidRPr="00653BF4">
        <w:rPr>
          <w:lang w:val="fr-FR"/>
        </w:rPr>
        <w:lastRenderedPageBreak/>
        <w:t xml:space="preserve">Exemples de réussites et de progrès réalisées dans la mise en œuvre </w:t>
      </w:r>
    </w:p>
    <w:p w14:paraId="1AF78DB1" w14:textId="77777777" w:rsidR="00B20B22" w:rsidRPr="00653BF4" w:rsidRDefault="00B20B22" w:rsidP="00F77750">
      <w:pPr>
        <w:pStyle w:val="Caption"/>
        <w:keepNext/>
        <w:rPr>
          <w:lang w:val="fr-FR"/>
        </w:rPr>
      </w:pPr>
    </w:p>
    <w:p w14:paraId="36A88FAB" w14:textId="3D7CCA3A" w:rsidR="00F77750" w:rsidRPr="00653BF4" w:rsidRDefault="00F77750" w:rsidP="00F77750">
      <w:pPr>
        <w:pStyle w:val="Caption"/>
        <w:keepNext/>
        <w:rPr>
          <w:lang w:val="fr-FR"/>
        </w:rPr>
      </w:pPr>
    </w:p>
    <w:tbl>
      <w:tblPr>
        <w:tblStyle w:val="TableGrid"/>
        <w:tblW w:w="0" w:type="auto"/>
        <w:tblLook w:val="04A0" w:firstRow="1" w:lastRow="0" w:firstColumn="1" w:lastColumn="0" w:noHBand="0" w:noVBand="1"/>
      </w:tblPr>
      <w:tblGrid>
        <w:gridCol w:w="9016"/>
      </w:tblGrid>
      <w:tr w:rsidR="00F77750" w:rsidRPr="00543148" w14:paraId="43098006" w14:textId="77777777">
        <w:tc>
          <w:tcPr>
            <w:tcW w:w="9016" w:type="dxa"/>
            <w:shd w:val="clear" w:color="auto" w:fill="D1D1D1" w:themeFill="background2" w:themeFillShade="E6"/>
          </w:tcPr>
          <w:p w14:paraId="40DB237F" w14:textId="77777777" w:rsidR="00C6139D" w:rsidRPr="00653BF4" w:rsidRDefault="00C6139D" w:rsidP="00C6139D">
            <w:pPr>
              <w:pStyle w:val="Caption"/>
              <w:keepNext/>
              <w:rPr>
                <w:i w:val="0"/>
                <w:iCs w:val="0"/>
                <w:sz w:val="20"/>
                <w:szCs w:val="20"/>
                <w:lang w:val="fr-FR"/>
              </w:rPr>
            </w:pPr>
          </w:p>
          <w:p w14:paraId="184BD26D" w14:textId="3C71C3FD" w:rsidR="00C6139D" w:rsidRPr="00653BF4" w:rsidRDefault="0024766A" w:rsidP="00C6139D">
            <w:pPr>
              <w:pStyle w:val="Caption"/>
              <w:keepNext/>
              <w:rPr>
                <w:i w:val="0"/>
                <w:iCs w:val="0"/>
                <w:sz w:val="20"/>
                <w:szCs w:val="20"/>
                <w:lang w:val="fr-FR"/>
              </w:rPr>
            </w:pPr>
            <w:r w:rsidRPr="00653BF4">
              <w:rPr>
                <w:i w:val="0"/>
                <w:iCs w:val="0"/>
                <w:sz w:val="20"/>
                <w:szCs w:val="20"/>
                <w:lang w:val="fr-FR"/>
              </w:rPr>
              <w:t>Encadré</w:t>
            </w:r>
            <w:r w:rsidR="00C6139D" w:rsidRPr="00653BF4">
              <w:rPr>
                <w:i w:val="0"/>
                <w:iCs w:val="0"/>
                <w:sz w:val="20"/>
                <w:szCs w:val="20"/>
                <w:lang w:val="fr-FR"/>
              </w:rPr>
              <w:t xml:space="preserve"> </w:t>
            </w:r>
            <w:r w:rsidR="008306DF" w:rsidRPr="00653BF4">
              <w:rPr>
                <w:i w:val="0"/>
                <w:iCs w:val="0"/>
                <w:noProof/>
                <w:sz w:val="20"/>
                <w:szCs w:val="20"/>
                <w:lang w:val="fr-FR"/>
              </w:rPr>
              <w:t>28</w:t>
            </w:r>
          </w:p>
          <w:p w14:paraId="0FFB47DB" w14:textId="54BAF4AA" w:rsidR="00C6139D" w:rsidRPr="00653BF4" w:rsidRDefault="0072030C" w:rsidP="00C6139D">
            <w:pPr>
              <w:rPr>
                <w:b/>
                <w:bCs/>
                <w:sz w:val="20"/>
                <w:szCs w:val="20"/>
                <w:lang w:val="fr-FR"/>
              </w:rPr>
            </w:pPr>
            <w:r w:rsidRPr="0072030C">
              <w:rPr>
                <w:b/>
                <w:bCs/>
                <w:sz w:val="20"/>
                <w:szCs w:val="20"/>
                <w:lang w:val="fr-FR"/>
              </w:rPr>
              <w:t>La gestion intégrée des incendies au Brésil</w:t>
            </w:r>
            <w:r w:rsidR="00E34DC9">
              <w:rPr>
                <w:b/>
                <w:bCs/>
                <w:sz w:val="20"/>
                <w:szCs w:val="20"/>
                <w:lang w:val="fr-FR"/>
              </w:rPr>
              <w:t> :</w:t>
            </w:r>
            <w:r w:rsidRPr="0072030C">
              <w:rPr>
                <w:b/>
                <w:bCs/>
                <w:sz w:val="20"/>
                <w:szCs w:val="20"/>
                <w:lang w:val="fr-FR"/>
              </w:rPr>
              <w:t xml:space="preserve"> une approche écosystémique pour renforcer la résilience face au</w:t>
            </w:r>
            <w:r>
              <w:rPr>
                <w:b/>
                <w:bCs/>
                <w:sz w:val="20"/>
                <w:szCs w:val="20"/>
                <w:lang w:val="fr-FR"/>
              </w:rPr>
              <w:t>x</w:t>
            </w:r>
            <w:r w:rsidRPr="0072030C">
              <w:rPr>
                <w:b/>
                <w:bCs/>
                <w:sz w:val="20"/>
                <w:szCs w:val="20"/>
                <w:lang w:val="fr-FR"/>
              </w:rPr>
              <w:t xml:space="preserve"> changement</w:t>
            </w:r>
            <w:r>
              <w:rPr>
                <w:b/>
                <w:bCs/>
                <w:sz w:val="20"/>
                <w:szCs w:val="20"/>
                <w:lang w:val="fr-FR"/>
              </w:rPr>
              <w:t>s</w:t>
            </w:r>
            <w:r w:rsidRPr="0072030C">
              <w:rPr>
                <w:b/>
                <w:bCs/>
                <w:sz w:val="20"/>
                <w:szCs w:val="20"/>
                <w:lang w:val="fr-FR"/>
              </w:rPr>
              <w:t xml:space="preserve"> climatique</w:t>
            </w:r>
            <w:r>
              <w:rPr>
                <w:b/>
                <w:bCs/>
                <w:sz w:val="20"/>
                <w:szCs w:val="20"/>
                <w:lang w:val="fr-FR"/>
              </w:rPr>
              <w:t>s</w:t>
            </w:r>
          </w:p>
          <w:p w14:paraId="29580873" w14:textId="77777777" w:rsidR="00C6139D" w:rsidRPr="00653BF4" w:rsidRDefault="00C6139D">
            <w:pPr>
              <w:rPr>
                <w:lang w:val="fr-FR"/>
              </w:rPr>
            </w:pPr>
          </w:p>
          <w:p w14:paraId="33D5DC6F" w14:textId="389DB93D" w:rsidR="00EF605F" w:rsidRPr="00653BF4" w:rsidRDefault="004F51C7" w:rsidP="00EF605F">
            <w:pPr>
              <w:rPr>
                <w:sz w:val="20"/>
                <w:szCs w:val="20"/>
                <w:lang w:val="fr-FR"/>
              </w:rPr>
            </w:pPr>
            <w:r w:rsidRPr="004F51C7">
              <w:rPr>
                <w:sz w:val="20"/>
                <w:szCs w:val="20"/>
                <w:lang w:val="fr-FR"/>
              </w:rPr>
              <w:t>Les biomes du Cerrado (forêt-savane), de la forêt amazonienne, du Pantanal (zones humides) et de la forêt atlantique au Brésil ont été touchés par des feux de forêt plus fréquents et plus violents, aggravés par les températures élevées et la sécheresse induites par les changements climatiques. Cette recrudescence porte atteinte à l’intégrité des écosystèmes et menace la biodiversité indigène. Afin de minimiser les effets des changements climatiques sur la biodiversité et de renforcer la résilience des écosystèmes grâce à des mesures d’adaptation fondées sur les écosystèmes, le Brésil a mis en œuvre, depuis 2014, un modèle intégré de gestion des feux dans l’ensemble de ces biomes. Entre 2014 et 2019, la mise en œuvre de ce modèle dans les zones protégées du biome du Cerrado a entraîné une augmentation de 137</w:t>
            </w:r>
            <w:r w:rsidR="002878D7">
              <w:rPr>
                <w:sz w:val="20"/>
                <w:szCs w:val="20"/>
                <w:lang w:val="fr-FR"/>
              </w:rPr>
              <w:t> %</w:t>
            </w:r>
            <w:r w:rsidRPr="004F51C7">
              <w:rPr>
                <w:sz w:val="20"/>
                <w:szCs w:val="20"/>
                <w:lang w:val="fr-FR"/>
              </w:rPr>
              <w:t xml:space="preserve"> du nombre de brûlages dirigés effectués en début de saison sèche, tout en permettant une réduction de 62</w:t>
            </w:r>
            <w:r w:rsidR="002878D7">
              <w:rPr>
                <w:sz w:val="20"/>
                <w:szCs w:val="20"/>
                <w:lang w:val="fr-FR"/>
              </w:rPr>
              <w:t> %</w:t>
            </w:r>
            <w:r w:rsidRPr="004F51C7">
              <w:rPr>
                <w:sz w:val="20"/>
                <w:szCs w:val="20"/>
                <w:lang w:val="fr-FR"/>
              </w:rPr>
              <w:t xml:space="preserve"> de la superficie totale brûlée, avec un potentiel estimé de réduction des émissions de plus d’un million de tonnes métriques d’équivalent dioxyde de carbone (CO2e). Le modèle de gestion intégrée des incendies couvre l’ensemble du cycle de prévention des incendies – préparation, détection, intervention et remise en état après l’incendie – en combinant des techniques scientifiques et des règles adaptées à chaque biome au sein de plans de gestion intégrée des incendies. L’exemple du Brésil illustre comment une gestion des incendies fondée sur les écosystèmes peut atténuer l’étendue et la gravité des feux de forêt, diminuer les émissions de carbone et renforcer la résilience des écosystèmes face aux risques d’incendie liés au changement climatique, contribuant de ce fait à la </w:t>
            </w:r>
            <w:r w:rsidR="00E34DC9">
              <w:rPr>
                <w:sz w:val="20"/>
                <w:szCs w:val="20"/>
                <w:lang w:val="fr-FR"/>
              </w:rPr>
              <w:t>cible 8</w:t>
            </w:r>
            <w:r w:rsidRPr="004F51C7">
              <w:rPr>
                <w:sz w:val="20"/>
                <w:szCs w:val="20"/>
                <w:lang w:val="fr-FR"/>
              </w:rPr>
              <w:t>.</w:t>
            </w:r>
          </w:p>
          <w:p w14:paraId="66AFBD2A" w14:textId="77777777" w:rsidR="00EF605F" w:rsidRPr="00653BF4" w:rsidRDefault="00EF605F" w:rsidP="00EF605F">
            <w:pPr>
              <w:rPr>
                <w:sz w:val="20"/>
                <w:szCs w:val="20"/>
                <w:lang w:val="fr-FR"/>
              </w:rPr>
            </w:pPr>
          </w:p>
          <w:p w14:paraId="2AB0FF20" w14:textId="42F8E71D" w:rsidR="008A2AE1" w:rsidRPr="00653BF4" w:rsidRDefault="00904C13" w:rsidP="009B12E8">
            <w:pPr>
              <w:rPr>
                <w:sz w:val="20"/>
                <w:szCs w:val="20"/>
                <w:lang w:val="fr-FR"/>
              </w:rPr>
            </w:pPr>
            <w:r w:rsidRPr="00653BF4">
              <w:rPr>
                <w:i/>
                <w:iCs/>
                <w:sz w:val="20"/>
                <w:szCs w:val="20"/>
                <w:lang w:val="fr-FR"/>
              </w:rPr>
              <w:t>C</w:t>
            </w:r>
            <w:r w:rsidR="001345EC" w:rsidRPr="00653BF4">
              <w:rPr>
                <w:i/>
                <w:iCs/>
                <w:sz w:val="20"/>
                <w:szCs w:val="20"/>
                <w:lang w:val="fr-FR"/>
              </w:rPr>
              <w:t>ibles concernées</w:t>
            </w:r>
            <w:r w:rsidR="00E34DC9">
              <w:rPr>
                <w:i/>
                <w:iCs/>
                <w:sz w:val="20"/>
                <w:szCs w:val="20"/>
                <w:lang w:val="fr-FR"/>
              </w:rPr>
              <w:t> :</w:t>
            </w:r>
            <w:r w:rsidR="008A2AE1" w:rsidRPr="00653BF4">
              <w:rPr>
                <w:sz w:val="20"/>
                <w:szCs w:val="20"/>
                <w:lang w:val="fr-FR"/>
              </w:rPr>
              <w:t xml:space="preserve"> 8, 10</w:t>
            </w:r>
            <w:r w:rsidR="00EF605F" w:rsidRPr="00653BF4">
              <w:rPr>
                <w:sz w:val="20"/>
                <w:szCs w:val="20"/>
                <w:lang w:val="fr-FR"/>
              </w:rPr>
              <w:t xml:space="preserve"> </w:t>
            </w:r>
            <w:r w:rsidR="00B92D90">
              <w:rPr>
                <w:sz w:val="20"/>
                <w:szCs w:val="20"/>
                <w:lang w:val="fr-FR"/>
              </w:rPr>
              <w:t>et</w:t>
            </w:r>
            <w:r w:rsidR="00EF605F" w:rsidRPr="00653BF4">
              <w:rPr>
                <w:sz w:val="20"/>
                <w:szCs w:val="20"/>
                <w:lang w:val="fr-FR"/>
              </w:rPr>
              <w:t xml:space="preserve"> </w:t>
            </w:r>
            <w:r w:rsidR="008A2AE1" w:rsidRPr="00653BF4">
              <w:rPr>
                <w:sz w:val="20"/>
                <w:szCs w:val="20"/>
                <w:lang w:val="fr-FR"/>
              </w:rPr>
              <w:t>11</w:t>
            </w:r>
            <w:r w:rsidR="009256B1" w:rsidRPr="00653BF4">
              <w:rPr>
                <w:sz w:val="20"/>
                <w:szCs w:val="20"/>
                <w:lang w:val="fr-FR"/>
              </w:rPr>
              <w:t>.</w:t>
            </w:r>
          </w:p>
          <w:p w14:paraId="71BF2D97" w14:textId="527C4537" w:rsidR="00A24F71" w:rsidRPr="00653BF4" w:rsidRDefault="008147C9">
            <w:pPr>
              <w:rPr>
                <w:sz w:val="20"/>
                <w:szCs w:val="20"/>
                <w:lang w:val="fr-FR"/>
              </w:rPr>
            </w:pPr>
            <w:r w:rsidRPr="00653BF4">
              <w:rPr>
                <w:i/>
                <w:iCs/>
                <w:sz w:val="20"/>
                <w:szCs w:val="20"/>
                <w:lang w:val="fr-FR"/>
              </w:rPr>
              <w:t>Sources</w:t>
            </w:r>
            <w:r w:rsidR="00E34DC9">
              <w:rPr>
                <w:i/>
                <w:iCs/>
                <w:sz w:val="20"/>
                <w:szCs w:val="20"/>
                <w:lang w:val="fr-FR"/>
              </w:rPr>
              <w:t> :</w:t>
            </w:r>
            <w:r w:rsidR="00B92D90" w:rsidRPr="00665960">
              <w:rPr>
                <w:lang w:val="fr-CA"/>
              </w:rPr>
              <w:t xml:space="preserve"> </w:t>
            </w:r>
            <w:r w:rsidR="00B92D90" w:rsidRPr="00B92D90">
              <w:rPr>
                <w:sz w:val="20"/>
                <w:szCs w:val="20"/>
                <w:lang w:val="fr-FR"/>
              </w:rPr>
              <w:t>Brésil, septième rapport national au titre de la Convention</w:t>
            </w:r>
            <w:r w:rsidR="00E34DC9">
              <w:rPr>
                <w:sz w:val="20"/>
                <w:szCs w:val="20"/>
                <w:lang w:val="fr-FR"/>
              </w:rPr>
              <w:t> ;</w:t>
            </w:r>
            <w:r w:rsidR="009256B1" w:rsidRPr="00653BF4">
              <w:rPr>
                <w:sz w:val="20"/>
                <w:szCs w:val="20"/>
                <w:lang w:val="fr-FR"/>
              </w:rPr>
              <w:t xml:space="preserve"> </w:t>
            </w:r>
            <w:r w:rsidR="00B92D90">
              <w:rPr>
                <w:sz w:val="20"/>
                <w:szCs w:val="20"/>
                <w:lang w:val="fr-FR"/>
              </w:rPr>
              <w:t>et</w:t>
            </w:r>
            <w:r w:rsidR="009256B1" w:rsidRPr="00653BF4">
              <w:rPr>
                <w:sz w:val="20"/>
                <w:szCs w:val="20"/>
                <w:lang w:val="fr-FR"/>
              </w:rPr>
              <w:t xml:space="preserve"> </w:t>
            </w:r>
            <w:r w:rsidR="003B6A34" w:rsidRPr="00653BF4">
              <w:rPr>
                <w:noProof/>
                <w:sz w:val="20"/>
                <w:szCs w:val="20"/>
                <w:lang w:val="fr-FR"/>
              </w:rPr>
              <w:t xml:space="preserve">Franke </w:t>
            </w:r>
            <w:r w:rsidR="00B92D90" w:rsidRPr="00B92D90">
              <w:rPr>
                <w:i/>
                <w:iCs/>
                <w:noProof/>
                <w:sz w:val="20"/>
                <w:szCs w:val="20"/>
                <w:lang w:val="fr-FR"/>
              </w:rPr>
              <w:t>et al.</w:t>
            </w:r>
            <w:r w:rsidR="003B6A34" w:rsidRPr="00653BF4">
              <w:rPr>
                <w:noProof/>
                <w:sz w:val="20"/>
                <w:szCs w:val="20"/>
                <w:lang w:val="fr-FR"/>
              </w:rPr>
              <w:t>, 2024</w:t>
            </w:r>
            <w:r w:rsidR="009256B1" w:rsidRPr="00653BF4">
              <w:rPr>
                <w:sz w:val="20"/>
                <w:szCs w:val="20"/>
                <w:lang w:val="fr-FR"/>
              </w:rPr>
              <w:t>.</w:t>
            </w:r>
          </w:p>
          <w:p w14:paraId="557BE77F" w14:textId="77777777" w:rsidR="00F77750" w:rsidRPr="00653BF4" w:rsidRDefault="00F77750">
            <w:pPr>
              <w:rPr>
                <w:lang w:val="fr-FR"/>
              </w:rPr>
            </w:pPr>
          </w:p>
          <w:p w14:paraId="22877E6A" w14:textId="44B36A94" w:rsidR="00F77750" w:rsidRPr="00653BF4" w:rsidRDefault="00F77750" w:rsidP="006201B5">
            <w:pPr>
              <w:rPr>
                <w:lang w:val="fr-FR"/>
              </w:rPr>
            </w:pPr>
          </w:p>
        </w:tc>
      </w:tr>
    </w:tbl>
    <w:p w14:paraId="095F85EB" w14:textId="77777777" w:rsidR="003F709B" w:rsidRPr="00653BF4" w:rsidRDefault="003F709B" w:rsidP="0050685D">
      <w:pPr>
        <w:rPr>
          <w:lang w:val="fr-FR"/>
        </w:rPr>
      </w:pPr>
    </w:p>
    <w:p w14:paraId="3970B326" w14:textId="7D4A9649" w:rsidR="00BB0AB3" w:rsidRPr="00653BF4" w:rsidRDefault="00415859" w:rsidP="00BB0AB3">
      <w:pPr>
        <w:pStyle w:val="Heading6"/>
        <w:rPr>
          <w:lang w:val="fr-FR"/>
        </w:rPr>
      </w:pPr>
      <w:r w:rsidRPr="00653BF4">
        <w:rPr>
          <w:lang w:val="fr-FR"/>
        </w:rPr>
        <w:t>Difficulté</w:t>
      </w:r>
      <w:r w:rsidR="00DD19D2" w:rsidRPr="00653BF4">
        <w:rPr>
          <w:lang w:val="fr-FR"/>
        </w:rPr>
        <w:t>s</w:t>
      </w:r>
    </w:p>
    <w:p w14:paraId="4BA77287" w14:textId="77777777" w:rsidR="009C48D4" w:rsidRPr="00653BF4" w:rsidRDefault="009C48D4" w:rsidP="009C48D4">
      <w:pPr>
        <w:rPr>
          <w:lang w:val="fr-FR"/>
        </w:rPr>
      </w:pPr>
    </w:p>
    <w:p w14:paraId="6294FC39" w14:textId="3590C9A9" w:rsidR="009C48D4" w:rsidRPr="00653BF4" w:rsidRDefault="00F52885" w:rsidP="009C48D4">
      <w:pPr>
        <w:rPr>
          <w:rFonts w:ascii="Aptos" w:eastAsia="Aptos" w:hAnsi="Aptos" w:cs="Aptos"/>
          <w:lang w:val="fr-FR"/>
        </w:rPr>
      </w:pPr>
      <w:r w:rsidRPr="00F52885">
        <w:rPr>
          <w:lang w:val="fr-FR"/>
        </w:rPr>
        <w:t xml:space="preserve">De nombreux pays en développement Parties soulignent le manque de financements internationaux disponibles pour soutenir efficacement l’adaptation aux changements climatiques et la résilience de la biodiversité. Plusieurs Parties constatent une incapacité persistante à intégrer les plans relatifs à la biodiversité, au climat et à la prévention des catastrophes au niveau national. La fragmentation des institutions signifie que la planification en matière de climat et de biodiversité s’effectue souvent sans coordination formelle, et que l'intégration des systèmes de suivi entre les institutions est insuffisante. Les solutions fondées sur la nature et les approches écosystémiques restent souvent fragmentées et ne sont pas mises en œuvre à une échelle suffisante pour assurer la </w:t>
      </w:r>
      <w:r w:rsidRPr="00F52885">
        <w:rPr>
          <w:lang w:val="fr-FR"/>
        </w:rPr>
        <w:lastRenderedPageBreak/>
        <w:t>résilience au niveau national. Autre difficulté mentionnée par les Parties, la tension entre les objectifs d’atténuation des changements climatiques et ceux de conservation de la biodiversité. Même lorsque ces approches sont officiellement reconnues, le manque de spécialistes qualifiés entrave leur mise en œuvre effective. Plusieurs Parties soulignent également le manque de données sur l’acidification des océans et ses impacts.</w:t>
      </w:r>
    </w:p>
    <w:p w14:paraId="2781B5B0" w14:textId="77777777" w:rsidR="000612CD" w:rsidRPr="00653BF4" w:rsidRDefault="000612CD" w:rsidP="00BB0AB3">
      <w:pPr>
        <w:pStyle w:val="Heading5"/>
        <w:rPr>
          <w:lang w:val="fr-FR"/>
        </w:rPr>
      </w:pPr>
    </w:p>
    <w:p w14:paraId="7710F0C6" w14:textId="6BA0A780" w:rsidR="00251370" w:rsidRPr="00653BF4" w:rsidRDefault="00BC4559" w:rsidP="00BB0AB3">
      <w:pPr>
        <w:pStyle w:val="Heading5"/>
        <w:rPr>
          <w:lang w:val="fr-FR"/>
        </w:rPr>
      </w:pPr>
      <w:r w:rsidRPr="00653BF4">
        <w:rPr>
          <w:lang w:val="fr-FR"/>
        </w:rPr>
        <w:t>Contributions de la part d</w:t>
      </w:r>
      <w:r w:rsidR="002A58C8" w:rsidRPr="00653BF4">
        <w:rPr>
          <w:lang w:val="fr-FR"/>
        </w:rPr>
        <w:t>’</w:t>
      </w:r>
      <w:r w:rsidRPr="00653BF4">
        <w:rPr>
          <w:lang w:val="fr-FR"/>
        </w:rPr>
        <w:t>acteurs autres que les gouvernements nationaux</w:t>
      </w:r>
    </w:p>
    <w:p w14:paraId="78E331C3" w14:textId="77777777" w:rsidR="007E7F10" w:rsidRPr="00653BF4" w:rsidRDefault="007E7F10" w:rsidP="008C2CC6">
      <w:pPr>
        <w:pStyle w:val="Heading6"/>
        <w:rPr>
          <w:lang w:val="fr-FR"/>
        </w:rPr>
      </w:pPr>
    </w:p>
    <w:p w14:paraId="31060C06" w14:textId="72655CC6" w:rsidR="00591079" w:rsidRPr="00653BF4" w:rsidRDefault="00200AEB" w:rsidP="008C2CC6">
      <w:pPr>
        <w:pStyle w:val="Heading6"/>
        <w:rPr>
          <w:lang w:val="fr-FR"/>
        </w:rPr>
      </w:pPr>
      <w:r w:rsidRPr="00653BF4">
        <w:rPr>
          <w:lang w:val="fr-FR"/>
        </w:rPr>
        <w:t>Engagements communiqués directement via l</w:t>
      </w:r>
      <w:r w:rsidR="002A58C8" w:rsidRPr="00653BF4">
        <w:rPr>
          <w:lang w:val="fr-FR"/>
        </w:rPr>
        <w:t>’</w:t>
      </w:r>
      <w:r w:rsidRPr="00653BF4">
        <w:rPr>
          <w:lang w:val="fr-FR"/>
        </w:rPr>
        <w:t>outil de présentation des rapports en ligne</w:t>
      </w:r>
    </w:p>
    <w:p w14:paraId="6F6A2832" w14:textId="77777777" w:rsidR="007E7F10" w:rsidRPr="00653BF4" w:rsidRDefault="007E7F10" w:rsidP="008C2CC6">
      <w:pPr>
        <w:rPr>
          <w:lang w:val="fr-FR"/>
        </w:rPr>
      </w:pPr>
    </w:p>
    <w:p w14:paraId="2115F661" w14:textId="768B09B5" w:rsidR="00F27CF4" w:rsidRPr="00653BF4" w:rsidRDefault="00B14D75" w:rsidP="00F27CF4">
      <w:pPr>
        <w:rPr>
          <w:lang w:val="fr-FR"/>
        </w:rPr>
      </w:pPr>
      <w:r w:rsidRPr="00B14D75">
        <w:rPr>
          <w:lang w:val="fr-FR"/>
        </w:rPr>
        <w:t>Sur les 180 engagements de fond soumis par des acteurs autres que les gouvernements nationaux</w:t>
      </w:r>
      <w:r w:rsidR="00F27CF4" w:rsidRPr="00653BF4">
        <w:rPr>
          <w:lang w:val="fr-FR"/>
        </w:rPr>
        <w:t xml:space="preserve">, </w:t>
      </w:r>
      <w:r>
        <w:rPr>
          <w:lang w:val="fr-FR"/>
        </w:rPr>
        <w:t xml:space="preserve">seulement </w:t>
      </w:r>
      <w:r w:rsidR="00F27CF4" w:rsidRPr="00653BF4">
        <w:rPr>
          <w:lang w:val="fr-FR"/>
        </w:rPr>
        <w:t xml:space="preserve">5 </w:t>
      </w:r>
      <w:r>
        <w:rPr>
          <w:lang w:val="fr-FR"/>
        </w:rPr>
        <w:t xml:space="preserve">sont principalement associés à la </w:t>
      </w:r>
      <w:r w:rsidR="00E34DC9">
        <w:rPr>
          <w:lang w:val="fr-FR"/>
        </w:rPr>
        <w:t>cible 8</w:t>
      </w:r>
      <w:r w:rsidR="00F27CF4" w:rsidRPr="00653BF4">
        <w:rPr>
          <w:lang w:val="fr-FR"/>
        </w:rPr>
        <w:t xml:space="preserve">. </w:t>
      </w:r>
      <w:r w:rsidR="00CE726D" w:rsidRPr="00CE726D">
        <w:rPr>
          <w:lang w:val="fr-FR"/>
        </w:rPr>
        <w:t>Quatre d’entre eux proviennent d’ONG, et un d’une multinationale. Ces engagements ont une portée allant du niveau mondial à celui des Balkans occidentaux, et comprennent notamment une initiative nationale en provenance d’Argentine. Les activités thématiques comprennent notamment l’appui aux solutions fondées sur la nature, le renforcement de la résilience des écosystèmes, l’élaboration de cadres de gestion des zones protégées résilients face aux changements climatiques et le soutien à la lutte contre les changements climatiques fondée sur les océans.</w:t>
      </w:r>
    </w:p>
    <w:p w14:paraId="198E0333" w14:textId="77777777" w:rsidR="00C72A35" w:rsidRPr="00653BF4" w:rsidRDefault="00C72A35" w:rsidP="008C2CC6">
      <w:pPr>
        <w:pStyle w:val="Heading6"/>
        <w:rPr>
          <w:lang w:val="fr-FR"/>
        </w:rPr>
      </w:pPr>
    </w:p>
    <w:p w14:paraId="6E2FB1E0" w14:textId="2DA4EAD5" w:rsidR="00591079" w:rsidRPr="00653BF4" w:rsidRDefault="005F09ED" w:rsidP="008C2CC6">
      <w:pPr>
        <w:pStyle w:val="Heading6"/>
        <w:rPr>
          <w:lang w:val="fr-FR"/>
        </w:rPr>
      </w:pPr>
      <w:r w:rsidRPr="00653BF4">
        <w:rPr>
          <w:lang w:val="fr-FR"/>
        </w:rPr>
        <w:t>Contributions intégrées dans les rapports nationaux</w:t>
      </w:r>
    </w:p>
    <w:p w14:paraId="7E10B98E" w14:textId="77777777" w:rsidR="00715EA0" w:rsidRPr="00653BF4" w:rsidRDefault="00715EA0" w:rsidP="00715EA0">
      <w:pPr>
        <w:rPr>
          <w:lang w:val="fr-FR"/>
        </w:rPr>
      </w:pPr>
    </w:p>
    <w:p w14:paraId="3599F552" w14:textId="5E7EB842" w:rsidR="00DF79B5" w:rsidRPr="00653BF4" w:rsidRDefault="000C1C4F" w:rsidP="00DF79B5">
      <w:pPr>
        <w:rPr>
          <w:lang w:val="fr-FR"/>
        </w:rPr>
      </w:pPr>
      <w:r w:rsidRPr="000C1C4F">
        <w:rPr>
          <w:lang w:val="fr-FR"/>
        </w:rPr>
        <w:t xml:space="preserve">Les rapports nationaux soulignent le rôle des partenaires internationaux tels que le PNUD, le PNUE, le FEM et le Fonds vert pour le climat (FVC), ainsi que des agences bilatérales de développement, dans la mise en œuvre de mesures relevant de la </w:t>
      </w:r>
      <w:r w:rsidR="00E34DC9">
        <w:rPr>
          <w:lang w:val="fr-FR"/>
        </w:rPr>
        <w:t>cible 8</w:t>
      </w:r>
      <w:r w:rsidRPr="000C1C4F">
        <w:rPr>
          <w:lang w:val="fr-FR"/>
        </w:rPr>
        <w:t xml:space="preserve">, notamment la remise en état des écosystèmes, les solutions basées sur la nature et les projets d’adaptation au changement climatique. Dans de nombreux pays, les ONG jouent un rôle de premier plan sur le terrain dans la mise en œuvre d’activités telles que le reboisement, la remise en état des écosystèmes et d’autres mesures associées à la </w:t>
      </w:r>
      <w:r w:rsidR="00E34DC9">
        <w:rPr>
          <w:lang w:val="fr-FR"/>
        </w:rPr>
        <w:t>cible 8</w:t>
      </w:r>
      <w:r w:rsidRPr="000C1C4F">
        <w:rPr>
          <w:lang w:val="fr-FR"/>
        </w:rPr>
        <w:t xml:space="preserve">. Les acteurs sectoriels, notamment les groupements d’agriculteurs, les communautés de pêcheurs et les propriétaires forestiers, sont souvent chargés de la mise en œuvre directe de solutions fondées sur la nature et d’approches écosystémiques visant à atténuer les impacts des changements climatiques et à s’y adapter. Les collectivités infranationales et locales mettent souvent en œuvre des programmes nationaux sur leur territoire et, dans les </w:t>
      </w:r>
      <w:r w:rsidRPr="000C1C4F">
        <w:rPr>
          <w:lang w:val="fr-FR"/>
        </w:rPr>
        <w:lastRenderedPageBreak/>
        <w:t xml:space="preserve">systèmes fédéraux, elles peuvent jouer un rôle de premier plan dans le cofinancement et la gouvernance des activités nécessaires à la mise en œuvre de la </w:t>
      </w:r>
      <w:r w:rsidR="00E34DC9">
        <w:rPr>
          <w:lang w:val="fr-FR"/>
        </w:rPr>
        <w:t>cible 8</w:t>
      </w:r>
      <w:r w:rsidRPr="000C1C4F">
        <w:rPr>
          <w:lang w:val="fr-FR"/>
        </w:rPr>
        <w:t>.</w:t>
      </w:r>
    </w:p>
    <w:p w14:paraId="1DEAFF05" w14:textId="77777777" w:rsidR="001756AF" w:rsidRPr="00653BF4" w:rsidRDefault="001756AF" w:rsidP="00BB0AB3">
      <w:pPr>
        <w:pStyle w:val="Heading5"/>
        <w:rPr>
          <w:lang w:val="fr-FR"/>
        </w:rPr>
      </w:pPr>
    </w:p>
    <w:p w14:paraId="1BD97EFE" w14:textId="1606AB48" w:rsidR="0043487E" w:rsidRPr="00653BF4" w:rsidRDefault="008A58ED" w:rsidP="00462973">
      <w:pPr>
        <w:pStyle w:val="Heading5"/>
        <w:rPr>
          <w:lang w:val="fr-FR"/>
        </w:rPr>
      </w:pPr>
      <w:r w:rsidRPr="00653BF4">
        <w:rPr>
          <w:lang w:val="fr-FR"/>
        </w:rPr>
        <w:t>Exemples de liens avec d</w:t>
      </w:r>
      <w:r w:rsidR="002A58C8" w:rsidRPr="00653BF4">
        <w:rPr>
          <w:lang w:val="fr-FR"/>
        </w:rPr>
        <w:t>’</w:t>
      </w:r>
      <w:r w:rsidRPr="00653BF4">
        <w:rPr>
          <w:lang w:val="fr-FR"/>
        </w:rPr>
        <w:t>autres accords, organisations et processus</w:t>
      </w:r>
    </w:p>
    <w:p w14:paraId="02021C17" w14:textId="77777777" w:rsidR="00846709" w:rsidRPr="00653BF4" w:rsidRDefault="00846709" w:rsidP="0043487E">
      <w:pPr>
        <w:pStyle w:val="Default"/>
        <w:spacing w:line="276" w:lineRule="auto"/>
        <w:rPr>
          <w:rFonts w:asciiTheme="minorHAnsi" w:hAnsiTheme="minorHAnsi"/>
          <w:lang w:val="fr-FR"/>
        </w:rPr>
      </w:pPr>
    </w:p>
    <w:p w14:paraId="383AEB92" w14:textId="570E33E0" w:rsidR="006074DD" w:rsidRPr="00653BF4" w:rsidRDefault="00E21F15" w:rsidP="0043487E">
      <w:pPr>
        <w:pStyle w:val="Default"/>
        <w:spacing w:line="276" w:lineRule="auto"/>
        <w:rPr>
          <w:rFonts w:asciiTheme="minorHAnsi" w:hAnsiTheme="minorHAnsi"/>
          <w:lang w:val="fr-FR"/>
        </w:rPr>
      </w:pPr>
      <w:r w:rsidRPr="00E21F15">
        <w:rPr>
          <w:rFonts w:asciiTheme="minorHAnsi" w:hAnsiTheme="minorHAnsi"/>
          <w:lang w:val="fr-FR"/>
        </w:rPr>
        <w:t xml:space="preserve">Comme évoqué dans la </w:t>
      </w:r>
      <w:r w:rsidR="002878D7">
        <w:rPr>
          <w:rFonts w:asciiTheme="minorHAnsi" w:hAnsiTheme="minorHAnsi"/>
          <w:lang w:val="fr-FR"/>
        </w:rPr>
        <w:t>section I</w:t>
      </w:r>
      <w:r w:rsidRPr="00E21F15">
        <w:rPr>
          <w:rFonts w:asciiTheme="minorHAnsi" w:hAnsiTheme="minorHAnsi"/>
          <w:lang w:val="fr-FR"/>
        </w:rPr>
        <w:t>I.E ci-dessous, la mise en œuvre effective du Cadre repose sur des actions coordonnées à tous les niveaux entre les conventions de Rio sur le climat, la biodiversité et la désertification, notamment par l'intermédiaire du Groupe de liaison conjoint des conventions de Rio</w:t>
      </w:r>
      <w:r w:rsidR="00DD2695" w:rsidRPr="00653BF4">
        <w:rPr>
          <w:rStyle w:val="FootnoteReference"/>
          <w:rFonts w:asciiTheme="minorHAnsi" w:hAnsiTheme="minorHAnsi"/>
          <w:lang w:val="fr-FR"/>
        </w:rPr>
        <w:footnoteReference w:id="26"/>
      </w:r>
      <w:r>
        <w:rPr>
          <w:rFonts w:asciiTheme="minorHAnsi" w:hAnsiTheme="minorHAnsi"/>
          <w:lang w:val="fr-FR"/>
        </w:rPr>
        <w:t>.</w:t>
      </w:r>
      <w:r w:rsidR="00DD2695" w:rsidRPr="00653BF4">
        <w:rPr>
          <w:rFonts w:asciiTheme="minorHAnsi" w:hAnsiTheme="minorHAnsi"/>
          <w:lang w:val="fr-FR"/>
        </w:rPr>
        <w:t xml:space="preserve"> </w:t>
      </w:r>
      <w:r w:rsidR="000401A6" w:rsidRPr="000401A6">
        <w:rPr>
          <w:rFonts w:asciiTheme="minorHAnsi" w:hAnsiTheme="minorHAnsi"/>
          <w:lang w:val="fr-FR"/>
        </w:rPr>
        <w:t xml:space="preserve">La mise en œuvre de la </w:t>
      </w:r>
      <w:r w:rsidR="00E34DC9">
        <w:rPr>
          <w:rFonts w:asciiTheme="minorHAnsi" w:hAnsiTheme="minorHAnsi"/>
          <w:lang w:val="fr-FR"/>
        </w:rPr>
        <w:t>cible 8</w:t>
      </w:r>
      <w:r w:rsidR="000401A6" w:rsidRPr="000401A6">
        <w:rPr>
          <w:rFonts w:asciiTheme="minorHAnsi" w:hAnsiTheme="minorHAnsi"/>
          <w:lang w:val="fr-FR"/>
        </w:rPr>
        <w:t xml:space="preserve">, en particulier, est étroitement liée aux politiques et mesures adoptées par les gouvernements en appui de la CCNUCC et de l’Accord de Paris. Par exemple, en 2023, les Parties à l’Accord de Paris ont adopté le Cadre des Émirats arabes unis pour la résilience climatique mondiale, qui comprend, parmi d’autres cibles à l'horizon 2030 et au-delà, </w:t>
      </w:r>
      <w:r w:rsidR="00E34DC9">
        <w:rPr>
          <w:rFonts w:asciiTheme="minorHAnsi" w:hAnsiTheme="minorHAnsi"/>
          <w:lang w:val="fr-FR"/>
        </w:rPr>
        <w:t>« </w:t>
      </w:r>
      <w:r w:rsidR="000401A6" w:rsidRPr="000401A6">
        <w:rPr>
          <w:rFonts w:asciiTheme="minorHAnsi" w:hAnsiTheme="minorHAnsi"/>
          <w:lang w:val="fr-FR"/>
        </w:rPr>
        <w:t>l’atténuation des impacts du changement climatique sur les écosystèmes et la biodiversité, ainsi que l’accélération du recours à l’adaptation fondée sur les écosystèmes et aux solutions basées sur la nature, notamment par leur gestion, leur valorisation, leur restauration et leur conservation, ainsi que par la protection des écosystèmes terrestres, des eaux intérieures, des montagnes, des milieux marins et des zones côtières</w:t>
      </w:r>
      <w:r w:rsidR="00E34DC9">
        <w:rPr>
          <w:rFonts w:asciiTheme="minorHAnsi" w:hAnsiTheme="minorHAnsi"/>
          <w:lang w:val="fr-FR"/>
        </w:rPr>
        <w:t> »</w:t>
      </w:r>
      <w:r w:rsidR="000401A6" w:rsidRPr="000401A6">
        <w:rPr>
          <w:rFonts w:asciiTheme="minorHAnsi" w:hAnsiTheme="minorHAnsi"/>
          <w:lang w:val="fr-FR"/>
        </w:rPr>
        <w:t xml:space="preserve"> (CCNUCC, 2024b)</w:t>
      </w:r>
      <w:r w:rsidR="00E34DC9">
        <w:rPr>
          <w:rFonts w:asciiTheme="minorHAnsi" w:hAnsiTheme="minorHAnsi"/>
          <w:lang w:val="fr-FR"/>
        </w:rPr>
        <w:t> »</w:t>
      </w:r>
      <w:r w:rsidR="000401A6" w:rsidRPr="000401A6">
        <w:rPr>
          <w:rFonts w:asciiTheme="minorHAnsi" w:hAnsiTheme="minorHAnsi"/>
          <w:lang w:val="fr-FR"/>
        </w:rPr>
        <w:t>. Les approches fondées sur la nature trouvent également de plus en plus leur place dans les plans nationaux relatifs au climat, notamment par le biais de mesures d’atténuation et d’adaptation liées aux forêts et aux océans dans les contributions déterminées au niveau national (CDN) au titre de l’Accord de Paris, ainsi que par l’intégration de l’adaptation fondée sur les écosystèmes dans les plans nationaux d’adaptation au titre de la CCNUCC (PNUE, 2021</w:t>
      </w:r>
      <w:r w:rsidR="00E34DC9">
        <w:rPr>
          <w:rFonts w:asciiTheme="minorHAnsi" w:hAnsiTheme="minorHAnsi"/>
          <w:lang w:val="fr-FR"/>
        </w:rPr>
        <w:t> ;</w:t>
      </w:r>
      <w:r w:rsidR="000401A6" w:rsidRPr="000401A6">
        <w:rPr>
          <w:rFonts w:asciiTheme="minorHAnsi" w:hAnsiTheme="minorHAnsi"/>
          <w:lang w:val="fr-FR"/>
        </w:rPr>
        <w:t xml:space="preserve"> et CCNUCC, 2025). Cela offre aux Parties d’importantes opportunités de créer des synergies dans la mise en œuvre de la </w:t>
      </w:r>
      <w:r w:rsidR="00E34DC9">
        <w:rPr>
          <w:rFonts w:asciiTheme="minorHAnsi" w:hAnsiTheme="minorHAnsi"/>
          <w:lang w:val="fr-FR"/>
        </w:rPr>
        <w:t>cible 8</w:t>
      </w:r>
      <w:r w:rsidR="000401A6" w:rsidRPr="000401A6">
        <w:rPr>
          <w:rFonts w:asciiTheme="minorHAnsi" w:hAnsiTheme="minorHAnsi"/>
          <w:lang w:val="fr-FR"/>
        </w:rPr>
        <w:t xml:space="preserve"> par le biais de leurs SPANB, de leurs contributions déterminées au niveau national et de leurs plans nationaux d’adaptation.</w:t>
      </w:r>
    </w:p>
    <w:p w14:paraId="743BDBC7" w14:textId="77777777" w:rsidR="001F0C46" w:rsidRPr="00653BF4" w:rsidRDefault="001F0C46" w:rsidP="0043487E">
      <w:pPr>
        <w:pStyle w:val="Default"/>
        <w:spacing w:line="276" w:lineRule="auto"/>
        <w:rPr>
          <w:rFonts w:asciiTheme="minorHAnsi" w:hAnsiTheme="minorHAnsi"/>
          <w:lang w:val="fr-FR"/>
        </w:rPr>
      </w:pPr>
    </w:p>
    <w:p w14:paraId="08962CF1" w14:textId="2A659D66" w:rsidR="001F0C46" w:rsidRPr="00653BF4" w:rsidRDefault="00D81574" w:rsidP="001F0C46">
      <w:pPr>
        <w:pStyle w:val="Default"/>
        <w:spacing w:line="276" w:lineRule="auto"/>
        <w:rPr>
          <w:rFonts w:asciiTheme="minorHAnsi" w:hAnsiTheme="minorHAnsi"/>
          <w:lang w:val="fr-FR"/>
        </w:rPr>
      </w:pPr>
      <w:r w:rsidRPr="00D81574">
        <w:rPr>
          <w:rFonts w:asciiTheme="minorHAnsi" w:hAnsiTheme="minorHAnsi"/>
          <w:lang w:val="fr-FR"/>
        </w:rPr>
        <w:t>En ce qui concerne les autres conventions relatives à la biodiversité, on observe une augmentation constante de la proportion de Parties contractantes à la Convention sur les zones humides qui ont mis en place des politiques ou des lignes directrices visant à renforcer le rôle des zones humides dans l’atténuation des changements climatiques et l’adaptation à ceux-ci</w:t>
      </w:r>
      <w:r w:rsidR="00E34DC9">
        <w:rPr>
          <w:rFonts w:asciiTheme="minorHAnsi" w:hAnsiTheme="minorHAnsi"/>
          <w:lang w:val="fr-FR"/>
        </w:rPr>
        <w:t> ;</w:t>
      </w:r>
      <w:r w:rsidRPr="00D81574">
        <w:rPr>
          <w:rFonts w:asciiTheme="minorHAnsi" w:hAnsiTheme="minorHAnsi"/>
          <w:lang w:val="fr-FR"/>
        </w:rPr>
        <w:t xml:space="preserve"> toutefois, des progrès supplémentaires sont nécessaires pour continuer à intégrer les mesures relatives aux zones humides dans les contributions déterminées au niveau national (CDN) au titre de la CCNUCC, ainsi que dans d’autres </w:t>
      </w:r>
      <w:r w:rsidRPr="00D81574">
        <w:rPr>
          <w:rFonts w:asciiTheme="minorHAnsi" w:hAnsiTheme="minorHAnsi"/>
          <w:lang w:val="fr-FR"/>
        </w:rPr>
        <w:lastRenderedPageBreak/>
        <w:t>stratégies et plans d’atténuation et d’adaptation aux changements climatiques (Convention sur les zones humides</w:t>
      </w:r>
      <w:r>
        <w:rPr>
          <w:rFonts w:asciiTheme="minorHAnsi" w:hAnsiTheme="minorHAnsi"/>
          <w:lang w:val="fr-FR"/>
        </w:rPr>
        <w:t>,</w:t>
      </w:r>
      <w:r w:rsidRPr="00D81574">
        <w:rPr>
          <w:rFonts w:asciiTheme="minorHAnsi" w:hAnsiTheme="minorHAnsi"/>
          <w:lang w:val="fr-FR"/>
        </w:rPr>
        <w:t xml:space="preserve"> 2025c).</w:t>
      </w:r>
    </w:p>
    <w:p w14:paraId="0446DA38" w14:textId="77777777" w:rsidR="001F0C46" w:rsidRPr="00653BF4" w:rsidRDefault="001F0C46" w:rsidP="001F0C46">
      <w:pPr>
        <w:pStyle w:val="Default"/>
        <w:spacing w:line="276" w:lineRule="auto"/>
        <w:rPr>
          <w:rFonts w:asciiTheme="minorHAnsi" w:hAnsiTheme="minorHAnsi"/>
          <w:lang w:val="fr-FR"/>
        </w:rPr>
      </w:pPr>
    </w:p>
    <w:p w14:paraId="7B00B7E1" w14:textId="1661742D" w:rsidR="0043487E" w:rsidRPr="00653BF4" w:rsidRDefault="00116D00" w:rsidP="0043487E">
      <w:pPr>
        <w:pStyle w:val="Default"/>
        <w:spacing w:line="276" w:lineRule="auto"/>
        <w:rPr>
          <w:rFonts w:asciiTheme="minorHAnsi" w:hAnsiTheme="minorHAnsi"/>
          <w:lang w:val="fr-FR"/>
        </w:rPr>
      </w:pPr>
      <w:r w:rsidRPr="00116D00">
        <w:rPr>
          <w:rFonts w:asciiTheme="minorHAnsi" w:hAnsiTheme="minorHAnsi"/>
          <w:lang w:val="fr-FR"/>
        </w:rPr>
        <w:t xml:space="preserve">Les Parties à la Convention pour la protection du patrimoine mondial, culturel et naturel apportent leur appui à la réalisation de la </w:t>
      </w:r>
      <w:r w:rsidR="00E34DC9">
        <w:rPr>
          <w:rFonts w:asciiTheme="minorHAnsi" w:hAnsiTheme="minorHAnsi"/>
          <w:lang w:val="fr-FR"/>
        </w:rPr>
        <w:t>cible 8</w:t>
      </w:r>
      <w:r w:rsidRPr="00116D00">
        <w:rPr>
          <w:rFonts w:asciiTheme="minorHAnsi" w:hAnsiTheme="minorHAnsi"/>
          <w:lang w:val="fr-FR"/>
        </w:rPr>
        <w:t xml:space="preserve"> par le biais de l’Initiative </w:t>
      </w:r>
      <w:r w:rsidR="00E34DC9">
        <w:rPr>
          <w:rFonts w:asciiTheme="minorHAnsi" w:hAnsiTheme="minorHAnsi"/>
          <w:lang w:val="fr-FR"/>
        </w:rPr>
        <w:t>« </w:t>
      </w:r>
      <w:r w:rsidRPr="00116D00">
        <w:rPr>
          <w:rFonts w:asciiTheme="minorHAnsi" w:hAnsiTheme="minorHAnsi"/>
          <w:lang w:val="fr-FR"/>
        </w:rPr>
        <w:t>Récifs résilients</w:t>
      </w:r>
      <w:r w:rsidR="00E34DC9">
        <w:rPr>
          <w:rFonts w:asciiTheme="minorHAnsi" w:hAnsiTheme="minorHAnsi"/>
          <w:lang w:val="fr-FR"/>
        </w:rPr>
        <w:t> »</w:t>
      </w:r>
      <w:r w:rsidRPr="00116D00">
        <w:rPr>
          <w:rFonts w:asciiTheme="minorHAnsi" w:hAnsiTheme="minorHAnsi"/>
          <w:lang w:val="fr-FR"/>
        </w:rPr>
        <w:t>, un programme mondial qui aide les communautés vivant à proximité des récifs coralliens inscrits sur la Liste du patrimoine mondial à faire face aux effets des changements climatiques, de la surpêche, de la pollution et du développement côtier</w:t>
      </w:r>
      <w:r w:rsidR="003875FB" w:rsidRPr="00653BF4">
        <w:rPr>
          <w:rStyle w:val="FootnoteReference"/>
          <w:rFonts w:asciiTheme="minorHAnsi" w:hAnsiTheme="minorHAnsi"/>
          <w:lang w:val="fr-FR"/>
        </w:rPr>
        <w:footnoteReference w:id="27"/>
      </w:r>
      <w:r>
        <w:rPr>
          <w:rFonts w:asciiTheme="minorHAnsi" w:hAnsiTheme="minorHAnsi"/>
          <w:lang w:val="fr-FR"/>
        </w:rPr>
        <w:t>.</w:t>
      </w:r>
      <w:r w:rsidR="0043487E" w:rsidRPr="00653BF4">
        <w:rPr>
          <w:rFonts w:asciiTheme="minorHAnsi" w:hAnsiTheme="minorHAnsi"/>
          <w:lang w:val="fr-FR"/>
        </w:rPr>
        <w:t xml:space="preserve"> </w:t>
      </w:r>
      <w:r w:rsidR="002F6450" w:rsidRPr="002F6450">
        <w:rPr>
          <w:rFonts w:asciiTheme="minorHAnsi" w:hAnsiTheme="minorHAnsi"/>
          <w:lang w:val="fr-FR"/>
        </w:rPr>
        <w:t>Cette initiative rassemble des gestionnaires de récifs, des communautés locales, des scientifiques, des ONG et des institutions financières afin d’élaborer des stratégies visant à renforcer la résilience tant écologique que sociale. L’Initiative est mise en œuvre sur quatre sites pilotes présentant une valeur universelle exceptionnelle</w:t>
      </w:r>
      <w:r w:rsidR="00E34DC9">
        <w:rPr>
          <w:rFonts w:asciiTheme="minorHAnsi" w:hAnsiTheme="minorHAnsi"/>
          <w:lang w:val="fr-FR"/>
        </w:rPr>
        <w:t> :</w:t>
      </w:r>
      <w:r w:rsidR="002F6450" w:rsidRPr="002F6450">
        <w:rPr>
          <w:rFonts w:asciiTheme="minorHAnsi" w:hAnsiTheme="minorHAnsi"/>
          <w:lang w:val="fr-FR"/>
        </w:rPr>
        <w:t xml:space="preserve"> la Grande Barrière de corail et la côte de Ningaloo (Australie), le Système de réserves de la barrière de corail du Belize (Belize) et les lagons de Nouvelle-Calédonie (France). Sur chaque site, l’Initiative apporte un appui à l’élaboration de stratégies de résilience intégrées, intégrant des évaluations des risques climatiques dans la gestion des récifs et la planification à long terme (UNESCO, 2025a).</w:t>
      </w:r>
    </w:p>
    <w:p w14:paraId="4B97C1C8" w14:textId="77777777" w:rsidR="00BA683B" w:rsidRPr="00653BF4" w:rsidRDefault="00BA683B" w:rsidP="0043487E">
      <w:pPr>
        <w:pStyle w:val="Default"/>
        <w:spacing w:line="276" w:lineRule="auto"/>
        <w:rPr>
          <w:b/>
          <w:bCs/>
          <w:sz w:val="22"/>
          <w:szCs w:val="22"/>
          <w:lang w:val="fr-FR"/>
        </w:rPr>
      </w:pPr>
    </w:p>
    <w:p w14:paraId="7A14FF55" w14:textId="2060D892" w:rsidR="005A052D" w:rsidRPr="005A052D" w:rsidRDefault="005A052D" w:rsidP="005A052D">
      <w:pPr>
        <w:rPr>
          <w:rFonts w:eastAsia="Times New Roman" w:cs="Times New Roman"/>
          <w:kern w:val="0"/>
          <w:lang w:val="fr-FR"/>
          <w14:ligatures w14:val="none"/>
        </w:rPr>
      </w:pPr>
      <w:r w:rsidRPr="005A052D">
        <w:rPr>
          <w:rFonts w:eastAsia="Times New Roman" w:cs="Times New Roman"/>
          <w:kern w:val="0"/>
          <w:lang w:val="fr-FR"/>
          <w14:ligatures w14:val="none"/>
        </w:rPr>
        <w:t>En limitant les rejets de polluants organiques persistants (POP), les mesures prises par les Parties à la Convention de Stockholm sur les polluants organiques persistants permettent de réduire la pression à long terme exercée sur les écosystèmes, contribuant ainsi à renforcer leur résilience face au changement climatique. De même, en fournissant une assistance technique, le secrétariat de la Convention de Rotterdam sur la procédure de consentement préalable en connaissance de cause applicable à certains produits chimiques et pesticides dangereux qui font l'objet d'un commerce international, en collaboration avec divers partenaires, aide les pays à mener des actions concertées visant à réduire les risques liés aux pesticides, notamment grâce à des alternatives et des techniques plus sûres de gestion des ravageurs dont la présence peut être aggravée par des conditions liées au changement climatique. Ces efforts s’inscrivent pleinement dans l’</w:t>
      </w:r>
      <w:r w:rsidR="002878D7">
        <w:rPr>
          <w:rFonts w:eastAsia="Times New Roman" w:cs="Times New Roman"/>
          <w:kern w:val="0"/>
          <w:lang w:val="fr-FR"/>
          <w14:ligatures w14:val="none"/>
        </w:rPr>
        <w:t>objectif D</w:t>
      </w:r>
      <w:r w:rsidRPr="005A052D">
        <w:rPr>
          <w:rFonts w:eastAsia="Times New Roman" w:cs="Times New Roman"/>
          <w:kern w:val="0"/>
          <w:lang w:val="fr-FR"/>
          <w14:ligatures w14:val="none"/>
        </w:rPr>
        <w:t xml:space="preserve">e la </w:t>
      </w:r>
      <w:r w:rsidR="00E34DC9">
        <w:rPr>
          <w:rFonts w:eastAsia="Times New Roman" w:cs="Times New Roman"/>
          <w:kern w:val="0"/>
          <w:lang w:val="fr-FR"/>
          <w14:ligatures w14:val="none"/>
        </w:rPr>
        <w:t>cible 8</w:t>
      </w:r>
      <w:r w:rsidRPr="005A052D">
        <w:rPr>
          <w:rFonts w:eastAsia="Times New Roman" w:cs="Times New Roman"/>
          <w:kern w:val="0"/>
          <w:lang w:val="fr-FR"/>
          <w14:ligatures w14:val="none"/>
        </w:rPr>
        <w:t>, qui vise à accroître la résilience des écosystèmes tout en luttant contre les polluants chimiques qui exacerbent les impacts liés au climat sur la biodiversité (secrétariat du BRS</w:t>
      </w:r>
      <w:r>
        <w:rPr>
          <w:rFonts w:eastAsia="Times New Roman" w:cs="Times New Roman"/>
          <w:kern w:val="0"/>
          <w:lang w:val="fr-FR"/>
          <w14:ligatures w14:val="none"/>
        </w:rPr>
        <w:t>,</w:t>
      </w:r>
      <w:r w:rsidRPr="005A052D">
        <w:rPr>
          <w:rFonts w:eastAsia="Times New Roman" w:cs="Times New Roman"/>
          <w:kern w:val="0"/>
          <w:lang w:val="fr-FR"/>
          <w14:ligatures w14:val="none"/>
        </w:rPr>
        <w:t xml:space="preserve"> 2025).</w:t>
      </w:r>
    </w:p>
    <w:p w14:paraId="6BEB2118" w14:textId="6FADD017" w:rsidR="0043487E" w:rsidRPr="00653BF4" w:rsidRDefault="0043487E" w:rsidP="0043487E">
      <w:pPr>
        <w:pStyle w:val="Normalnumber"/>
        <w:keepNext w:val="0"/>
        <w:keepLines w:val="0"/>
        <w:suppressAutoHyphens w:val="0"/>
        <w:spacing w:before="0" w:line="276" w:lineRule="auto"/>
        <w:ind w:right="0"/>
        <w:rPr>
          <w:rFonts w:asciiTheme="minorHAnsi" w:hAnsiTheme="minorHAnsi"/>
          <w:sz w:val="24"/>
          <w:szCs w:val="24"/>
          <w:lang w:val="fr-FR"/>
        </w:rPr>
      </w:pPr>
    </w:p>
    <w:p w14:paraId="6E881C86" w14:textId="227ABEA3" w:rsidR="003802FD" w:rsidRPr="00653BF4" w:rsidRDefault="00A85086" w:rsidP="005F6131">
      <w:pPr>
        <w:pStyle w:val="Normalnumber"/>
        <w:keepNext w:val="0"/>
        <w:keepLines w:val="0"/>
        <w:suppressAutoHyphens w:val="0"/>
        <w:spacing w:before="0" w:line="276" w:lineRule="auto"/>
        <w:ind w:right="0"/>
        <w:rPr>
          <w:lang w:val="fr-FR"/>
        </w:rPr>
      </w:pPr>
      <w:r w:rsidRPr="00A85086">
        <w:rPr>
          <w:rFonts w:asciiTheme="minorHAnsi" w:hAnsiTheme="minorHAnsi"/>
          <w:sz w:val="24"/>
          <w:szCs w:val="24"/>
          <w:lang w:val="fr-FR"/>
        </w:rPr>
        <w:t xml:space="preserve">L’Agence internationale de l’énergie atomique, par l’intermédiaire de son Centre international de coordination sur l’acidification des océans situé à Monaco, encourage la collaboration internationale et le renforcement des capacités afin d’offrir un appui aux </w:t>
      </w:r>
      <w:r w:rsidRPr="00A85086">
        <w:rPr>
          <w:rFonts w:asciiTheme="minorHAnsi" w:hAnsiTheme="minorHAnsi"/>
          <w:sz w:val="24"/>
          <w:szCs w:val="24"/>
          <w:lang w:val="fr-FR"/>
        </w:rPr>
        <w:lastRenderedPageBreak/>
        <w:t>pays pour réduire au minimum l’acidification des océans et y faire face. En collaboration avec la COI-UNESCO, et en coordination avec la Convention sur la diversité biologique, l’agence est en train de mettre en place un groupe de travail sur l’acidification des océans et la biodiversité, qui s’attachera tout particulièrement à déterminer la meilleure façon d’offrir un appui aux États membres pour évaluer l’impact de l’acidification des océans et d’autres facteurs de stress sur la biodiversité marine, tout en tenant compte des savoirs traditionnels et en collaborant avec les peuples autochtones et communautés locales afin de développer les connaissances scientifiques nécessaires à l’élaboration de solutions adaptées au contexte local (AIEA, 2025).</w:t>
      </w:r>
      <w:r w:rsidR="006840FC" w:rsidRPr="00653BF4">
        <w:rPr>
          <w:lang w:val="fr-FR"/>
        </w:rPr>
        <w:t xml:space="preserve"> </w:t>
      </w:r>
    </w:p>
    <w:p w14:paraId="7B3B7BC0" w14:textId="77777777" w:rsidR="00112529" w:rsidRPr="00653BF4" w:rsidRDefault="00112529" w:rsidP="005F6131">
      <w:pPr>
        <w:pStyle w:val="Normalnumber"/>
        <w:keepNext w:val="0"/>
        <w:keepLines w:val="0"/>
        <w:suppressAutoHyphens w:val="0"/>
        <w:spacing w:before="0" w:line="276" w:lineRule="auto"/>
        <w:ind w:right="0"/>
        <w:rPr>
          <w:lang w:val="fr-FR"/>
        </w:rPr>
      </w:pPr>
    </w:p>
    <w:p w14:paraId="73836EB4" w14:textId="62F22C3E" w:rsidR="00771DD3" w:rsidRPr="00653BF4" w:rsidRDefault="00653BF4" w:rsidP="00653BF4">
      <w:pPr>
        <w:pStyle w:val="Heading3"/>
        <w:rPr>
          <w:lang w:val="fr-FR"/>
        </w:rPr>
      </w:pPr>
      <w:bookmarkStart w:id="167" w:name="_Toc242801240"/>
      <w:r w:rsidRPr="00653BF4">
        <w:rPr>
          <w:lang w:val="fr-FR"/>
        </w:rPr>
        <w:t>Répondre aux besoins des populations par l’utilisation durable et le partage des avantages</w:t>
      </w:r>
      <w:bookmarkEnd w:id="167"/>
    </w:p>
    <w:p w14:paraId="1DF61CC4" w14:textId="77777777" w:rsidR="00112529" w:rsidRPr="00653BF4" w:rsidRDefault="00112529" w:rsidP="005F6131">
      <w:pPr>
        <w:pStyle w:val="Normalnumber"/>
        <w:keepNext w:val="0"/>
        <w:keepLines w:val="0"/>
        <w:suppressAutoHyphens w:val="0"/>
        <w:spacing w:before="0" w:line="276" w:lineRule="auto"/>
        <w:ind w:right="0"/>
        <w:rPr>
          <w:lang w:val="fr-FR"/>
        </w:rPr>
      </w:pPr>
    </w:p>
    <w:p w14:paraId="2DFCF613" w14:textId="7B402B6B" w:rsidR="00B87039" w:rsidRPr="00653BF4" w:rsidRDefault="00E34DC9" w:rsidP="00B87039">
      <w:pPr>
        <w:pStyle w:val="Heading4"/>
        <w:rPr>
          <w:i w:val="0"/>
          <w:iCs w:val="0"/>
          <w:lang w:val="fr-FR"/>
        </w:rPr>
      </w:pPr>
      <w:bookmarkStart w:id="168" w:name="_Toc235821155"/>
      <w:bookmarkStart w:id="169" w:name="_Toc239069204"/>
      <w:bookmarkStart w:id="170" w:name="_Toc1061794379"/>
      <w:bookmarkStart w:id="171" w:name="_Toc242801241"/>
      <w:r>
        <w:rPr>
          <w:b/>
          <w:bCs/>
          <w:i w:val="0"/>
          <w:iCs w:val="0"/>
          <w:lang w:val="fr-FR"/>
        </w:rPr>
        <w:t>Cible 9</w:t>
      </w:r>
      <w:r w:rsidR="00B87039" w:rsidRPr="00653BF4">
        <w:rPr>
          <w:b/>
          <w:bCs/>
          <w:i w:val="0"/>
          <w:iCs w:val="0"/>
          <w:lang w:val="fr-FR"/>
        </w:rPr>
        <w:t>.</w:t>
      </w:r>
      <w:r w:rsidR="00B87039" w:rsidRPr="00653BF4">
        <w:rPr>
          <w:i w:val="0"/>
          <w:iCs w:val="0"/>
          <w:lang w:val="fr-FR"/>
        </w:rPr>
        <w:t xml:space="preserve"> Gérer durablement les espèces sauvages de façon à procurer des avantages aux populations</w:t>
      </w:r>
      <w:bookmarkEnd w:id="168"/>
      <w:bookmarkEnd w:id="169"/>
      <w:bookmarkEnd w:id="170"/>
      <w:bookmarkEnd w:id="171"/>
    </w:p>
    <w:p w14:paraId="5C790C18" w14:textId="77777777" w:rsidR="00B87039" w:rsidRPr="00653BF4" w:rsidRDefault="00B87039" w:rsidP="00B87039">
      <w:pPr>
        <w:rPr>
          <w:b/>
          <w:bCs/>
          <w:i/>
          <w:iCs/>
          <w:sz w:val="22"/>
          <w:szCs w:val="22"/>
          <w:lang w:val="fr-FR"/>
        </w:rPr>
      </w:pPr>
    </w:p>
    <w:p w14:paraId="2AD1E2B7" w14:textId="4B605489" w:rsidR="00B87039" w:rsidRPr="00653BF4" w:rsidRDefault="00B87039" w:rsidP="00B87039">
      <w:pPr>
        <w:rPr>
          <w:sz w:val="22"/>
          <w:szCs w:val="22"/>
          <w:lang w:val="fr-FR"/>
        </w:rPr>
      </w:pPr>
      <w:r w:rsidRPr="00653BF4">
        <w:rPr>
          <w:b/>
          <w:bCs/>
          <w:sz w:val="22"/>
          <w:szCs w:val="22"/>
          <w:lang w:val="fr-FR"/>
        </w:rPr>
        <w:t>Texte de la cible</w:t>
      </w:r>
      <w:r w:rsidRPr="00653BF4">
        <w:rPr>
          <w:b/>
          <w:bCs/>
          <w:i/>
          <w:iCs/>
          <w:sz w:val="22"/>
          <w:szCs w:val="22"/>
          <w:lang w:val="fr-FR"/>
        </w:rPr>
        <w:t xml:space="preserve">. </w:t>
      </w:r>
      <w:r w:rsidRPr="00653BF4">
        <w:rPr>
          <w:i/>
          <w:iCs/>
          <w:sz w:val="22"/>
          <w:szCs w:val="22"/>
          <w:lang w:val="fr-FR"/>
        </w:rPr>
        <w:t>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w:t>
      </w:r>
      <w:r w:rsidR="00D77549">
        <w:rPr>
          <w:i/>
          <w:iCs/>
          <w:sz w:val="22"/>
          <w:szCs w:val="22"/>
          <w:lang w:val="fr-FR"/>
        </w:rPr>
        <w:t>’</w:t>
      </w:r>
      <w:r w:rsidRPr="00653BF4">
        <w:rPr>
          <w:i/>
          <w:iCs/>
          <w:sz w:val="22"/>
          <w:szCs w:val="22"/>
          <w:lang w:val="fr-FR"/>
        </w:rPr>
        <w:t>utilisation durable des peuples autochtones et des communautés locales.</w:t>
      </w:r>
    </w:p>
    <w:p w14:paraId="50F352D5" w14:textId="77777777" w:rsidR="00B87039" w:rsidRPr="00653BF4" w:rsidRDefault="00B87039" w:rsidP="00B87039">
      <w:pPr>
        <w:rPr>
          <w:sz w:val="22"/>
          <w:szCs w:val="22"/>
          <w:lang w:val="fr-FR"/>
        </w:rPr>
      </w:pPr>
    </w:p>
    <w:p w14:paraId="21BD92BE" w14:textId="77777777" w:rsidR="00B87039" w:rsidRPr="00653BF4" w:rsidRDefault="00B87039" w:rsidP="00B87039">
      <w:pPr>
        <w:rPr>
          <w:lang w:val="fr-FR"/>
        </w:rPr>
      </w:pPr>
    </w:p>
    <w:p w14:paraId="00B342F1" w14:textId="77777777" w:rsidR="00B87039" w:rsidRPr="00653BF4" w:rsidRDefault="00B87039" w:rsidP="00B87039">
      <w:pPr>
        <w:pStyle w:val="Heading5"/>
        <w:rPr>
          <w:lang w:val="fr-FR"/>
        </w:rPr>
      </w:pPr>
      <w:r w:rsidRPr="00653BF4">
        <w:rPr>
          <w:lang w:val="fr-FR"/>
        </w:rPr>
        <w:t>Aperçu des progrès accomplis</w:t>
      </w:r>
    </w:p>
    <w:tbl>
      <w:tblPr>
        <w:tblStyle w:val="TableGrid"/>
        <w:tblW w:w="0" w:type="auto"/>
        <w:tblLook w:val="04A0" w:firstRow="1" w:lastRow="0" w:firstColumn="1" w:lastColumn="0" w:noHBand="0" w:noVBand="1"/>
      </w:tblPr>
      <w:tblGrid>
        <w:gridCol w:w="9016"/>
      </w:tblGrid>
      <w:tr w:rsidR="00B87039" w:rsidRPr="00543148" w14:paraId="2B9A8068" w14:textId="77777777" w:rsidTr="00557FB3">
        <w:tc>
          <w:tcPr>
            <w:tcW w:w="9016" w:type="dxa"/>
            <w:shd w:val="clear" w:color="auto" w:fill="D1D1D1" w:themeFill="background2" w:themeFillShade="E6"/>
          </w:tcPr>
          <w:p w14:paraId="781BC8B3" w14:textId="77777777" w:rsidR="00B87039" w:rsidRPr="00653BF4" w:rsidRDefault="00B87039" w:rsidP="00557FB3">
            <w:pPr>
              <w:rPr>
                <w:rFonts w:eastAsia="Times New Roman" w:cs="Calibri"/>
                <w:color w:val="000000"/>
                <w:lang w:val="fr-FR"/>
              </w:rPr>
            </w:pPr>
          </w:p>
          <w:p w14:paraId="5CEF8139" w14:textId="6B1E78F2" w:rsidR="00B87039" w:rsidRPr="00653BF4" w:rsidRDefault="00B87039" w:rsidP="00557FB3">
            <w:pPr>
              <w:rPr>
                <w:rFonts w:eastAsia="Times New Roman" w:cs="Calibri"/>
                <w:color w:val="000000"/>
                <w:lang w:val="fr-FR"/>
              </w:rPr>
            </w:pPr>
            <w:r w:rsidRPr="00653BF4">
              <w:rPr>
                <w:rFonts w:eastAsia="Times New Roman" w:cs="Calibri"/>
                <w:color w:val="000000"/>
                <w:lang w:val="fr-FR"/>
              </w:rPr>
              <w:t>Les progrès accomplis dans l</w:t>
            </w:r>
            <w:r w:rsidR="00D77549">
              <w:rPr>
                <w:rFonts w:eastAsia="Times New Roman" w:cs="Calibri"/>
                <w:color w:val="000000"/>
                <w:lang w:val="fr-FR"/>
              </w:rPr>
              <w:t>’</w:t>
            </w:r>
            <w:r w:rsidRPr="00653BF4">
              <w:rPr>
                <w:rFonts w:eastAsia="Times New Roman" w:cs="Calibri"/>
                <w:color w:val="000000"/>
                <w:lang w:val="fr-FR"/>
              </w:rPr>
              <w:t>utilisation durable des espèces sauvages et des avantages qui y sont associés restent inégaux</w:t>
            </w:r>
            <w:r w:rsidR="00E34DC9">
              <w:rPr>
                <w:rFonts w:eastAsia="Times New Roman" w:cs="Calibri"/>
                <w:color w:val="000000"/>
                <w:lang w:val="fr-FR"/>
              </w:rPr>
              <w:t> ;</w:t>
            </w:r>
            <w:r w:rsidRPr="00653BF4">
              <w:rPr>
                <w:rFonts w:eastAsia="Times New Roman" w:cs="Calibri"/>
                <w:color w:val="000000"/>
                <w:lang w:val="fr-FR"/>
              </w:rPr>
              <w:t xml:space="preserve"> cependant, plusieurs Parties font état d</w:t>
            </w:r>
            <w:r w:rsidR="00D77549">
              <w:rPr>
                <w:rFonts w:eastAsia="Times New Roman" w:cs="Calibri"/>
                <w:color w:val="000000"/>
                <w:lang w:val="fr-FR"/>
              </w:rPr>
              <w:t>’</w:t>
            </w:r>
            <w:r w:rsidRPr="00653BF4">
              <w:rPr>
                <w:rFonts w:eastAsia="Times New Roman" w:cs="Calibri"/>
                <w:color w:val="000000"/>
                <w:lang w:val="fr-FR"/>
              </w:rPr>
              <w:t>importantes mesures de facilitation et d</w:t>
            </w:r>
            <w:r w:rsidR="00D77549">
              <w:rPr>
                <w:rFonts w:eastAsia="Times New Roman" w:cs="Calibri"/>
                <w:color w:val="000000"/>
                <w:lang w:val="fr-FR"/>
              </w:rPr>
              <w:t>’</w:t>
            </w:r>
            <w:r w:rsidRPr="00653BF4">
              <w:rPr>
                <w:rFonts w:eastAsia="Times New Roman" w:cs="Calibri"/>
                <w:color w:val="000000"/>
                <w:lang w:val="fr-FR"/>
              </w:rPr>
              <w:t>approches communautaires visant à préserver les moyens de subsistance, à favoriser l</w:t>
            </w:r>
            <w:r w:rsidR="00D77549">
              <w:rPr>
                <w:rFonts w:eastAsia="Times New Roman" w:cs="Calibri"/>
                <w:color w:val="000000"/>
                <w:lang w:val="fr-FR"/>
              </w:rPr>
              <w:t>’</w:t>
            </w:r>
            <w:r w:rsidRPr="00653BF4">
              <w:rPr>
                <w:rFonts w:eastAsia="Times New Roman" w:cs="Calibri"/>
                <w:color w:val="000000"/>
                <w:lang w:val="fr-FR"/>
              </w:rPr>
              <w:t xml:space="preserve">utilisation durable coutumière et à soutenir les objectifs de conservation. Si la portée étendue de la </w:t>
            </w:r>
            <w:r w:rsidR="00E34DC9">
              <w:rPr>
                <w:rFonts w:eastAsia="Times New Roman" w:cs="Calibri"/>
                <w:color w:val="000000"/>
                <w:lang w:val="fr-FR"/>
              </w:rPr>
              <w:t>cible 9</w:t>
            </w:r>
            <w:r w:rsidRPr="00653BF4">
              <w:rPr>
                <w:rFonts w:eastAsia="Times New Roman" w:cs="Calibri"/>
                <w:color w:val="000000"/>
                <w:lang w:val="fr-FR"/>
              </w:rPr>
              <w:t xml:space="preserve"> est prise en compte dans les cibles nationales, les éléments spécifiques aux peuples autochtones et communautés locales, ainsi qu</w:t>
            </w:r>
            <w:r w:rsidR="00D77549">
              <w:rPr>
                <w:rFonts w:eastAsia="Times New Roman" w:cs="Calibri"/>
                <w:color w:val="000000"/>
                <w:lang w:val="fr-FR"/>
              </w:rPr>
              <w:t>’</w:t>
            </w:r>
            <w:r w:rsidRPr="00653BF4">
              <w:rPr>
                <w:rFonts w:eastAsia="Times New Roman" w:cs="Calibri"/>
                <w:color w:val="000000"/>
                <w:lang w:val="fr-FR"/>
              </w:rPr>
              <w:t>aux personnes en situation vulnérable, sont moins bien couverts. Il est difficile de dégager des tendances collectives à partir des indicateurs phares relatifs à cette cible, en raison des lacunes et de la variabilité des données, ainsi que des questions méthodologiques. Les progrès signalés dans la mise en œuvre des politiques, évalués à l</w:t>
            </w:r>
            <w:r w:rsidR="00D77549">
              <w:rPr>
                <w:rFonts w:eastAsia="Times New Roman" w:cs="Calibri"/>
                <w:color w:val="000000"/>
                <w:lang w:val="fr-FR"/>
              </w:rPr>
              <w:t>’</w:t>
            </w:r>
            <w:r w:rsidRPr="00653BF4">
              <w:rPr>
                <w:rFonts w:eastAsia="Times New Roman" w:cs="Calibri"/>
                <w:color w:val="000000"/>
                <w:lang w:val="fr-FR"/>
              </w:rPr>
              <w:t>aide de l</w:t>
            </w:r>
            <w:r w:rsidR="00D77549">
              <w:rPr>
                <w:rFonts w:eastAsia="Times New Roman" w:cs="Calibri"/>
                <w:color w:val="000000"/>
                <w:lang w:val="fr-FR"/>
              </w:rPr>
              <w:t>’</w:t>
            </w:r>
            <w:r w:rsidRPr="00653BF4">
              <w:rPr>
                <w:rFonts w:eastAsia="Times New Roman" w:cs="Calibri"/>
                <w:color w:val="000000"/>
                <w:lang w:val="fr-FR"/>
              </w:rPr>
              <w:t xml:space="preserve">indicateur </w:t>
            </w:r>
            <w:r w:rsidRPr="00653BF4">
              <w:rPr>
                <w:rFonts w:eastAsia="Times New Roman" w:cs="Calibri"/>
                <w:color w:val="000000"/>
                <w:lang w:val="fr-FR"/>
              </w:rPr>
              <w:lastRenderedPageBreak/>
              <w:t>binaire, ainsi que les progrès autoévalués concernant les cibles nationales, étaient relativement faibles. Les difficultés rencontrées dans la mise en œuvre concernaient l</w:t>
            </w:r>
            <w:r w:rsidR="00D77549">
              <w:rPr>
                <w:rFonts w:eastAsia="Times New Roman" w:cs="Calibri"/>
                <w:color w:val="000000"/>
                <w:lang w:val="fr-FR"/>
              </w:rPr>
              <w:t>’</w:t>
            </w:r>
            <w:r w:rsidRPr="00653BF4">
              <w:rPr>
                <w:rFonts w:eastAsia="Times New Roman" w:cs="Calibri"/>
                <w:color w:val="000000"/>
                <w:lang w:val="fr-FR"/>
              </w:rPr>
              <w:t>insuffisance des ressources nécessaires au financement, la persistance des incitations, y compris les subventions préjudiciables à la biodiversité, la faiblesse des mécanismes d</w:t>
            </w:r>
            <w:r w:rsidR="00D77549">
              <w:rPr>
                <w:rFonts w:eastAsia="Times New Roman" w:cs="Calibri"/>
                <w:color w:val="000000"/>
                <w:lang w:val="fr-FR"/>
              </w:rPr>
              <w:t>’</w:t>
            </w:r>
            <w:r w:rsidRPr="00653BF4">
              <w:rPr>
                <w:rFonts w:eastAsia="Times New Roman" w:cs="Calibri"/>
                <w:color w:val="000000"/>
                <w:lang w:val="fr-FR"/>
              </w:rPr>
              <w:t>application et des systèmes de suivi inadéquats.</w:t>
            </w:r>
          </w:p>
          <w:p w14:paraId="6B3D595F" w14:textId="77777777" w:rsidR="00B87039" w:rsidRPr="00653BF4" w:rsidRDefault="00B87039" w:rsidP="00557FB3">
            <w:pPr>
              <w:rPr>
                <w:lang w:val="fr-FR"/>
              </w:rPr>
            </w:pPr>
          </w:p>
        </w:tc>
      </w:tr>
    </w:tbl>
    <w:p w14:paraId="613CE906" w14:textId="77777777" w:rsidR="00B87039" w:rsidRPr="00653BF4" w:rsidRDefault="00B87039" w:rsidP="00B87039">
      <w:pPr>
        <w:rPr>
          <w:lang w:val="fr-FR"/>
        </w:rPr>
      </w:pPr>
    </w:p>
    <w:p w14:paraId="78C483D0" w14:textId="68F5D1B9" w:rsidR="00B87039" w:rsidRPr="00653BF4" w:rsidRDefault="00B87039" w:rsidP="00B87039">
      <w:pPr>
        <w:pStyle w:val="Heading5"/>
        <w:rPr>
          <w:lang w:val="fr-FR"/>
        </w:rPr>
      </w:pPr>
      <w:r w:rsidRPr="00653BF4">
        <w:rPr>
          <w:lang w:val="fr-FR"/>
        </w:rPr>
        <w:t xml:space="preserve">Prise en compte par les Parties de la portée de la </w:t>
      </w:r>
      <w:r w:rsidR="00E34DC9">
        <w:rPr>
          <w:lang w:val="fr-FR"/>
        </w:rPr>
        <w:t>cible 9</w:t>
      </w:r>
      <w:r w:rsidRPr="00653BF4">
        <w:rPr>
          <w:lang w:val="fr-FR"/>
        </w:rPr>
        <w:t xml:space="preserve"> du Cadre dans leurs cibles nationales</w:t>
      </w:r>
    </w:p>
    <w:p w14:paraId="2601AD56" w14:textId="77777777" w:rsidR="00B87039" w:rsidRPr="00653BF4" w:rsidRDefault="00B87039" w:rsidP="00B87039">
      <w:pPr>
        <w:pStyle w:val="Caption"/>
        <w:rPr>
          <w:lang w:val="fr-FR"/>
        </w:rPr>
      </w:pPr>
    </w:p>
    <w:p w14:paraId="29638FF0" w14:textId="77777777" w:rsidR="00B87039" w:rsidRPr="00653BF4" w:rsidRDefault="00B87039" w:rsidP="00B87039">
      <w:pPr>
        <w:pStyle w:val="Caption"/>
        <w:keepNext/>
        <w:rPr>
          <w:i w:val="0"/>
          <w:iCs w:val="0"/>
          <w:sz w:val="20"/>
          <w:szCs w:val="20"/>
          <w:lang w:val="fr-FR"/>
        </w:rPr>
      </w:pPr>
      <w:r w:rsidRPr="00653BF4">
        <w:rPr>
          <w:i w:val="0"/>
          <w:iCs w:val="0"/>
          <w:sz w:val="20"/>
          <w:szCs w:val="20"/>
          <w:lang w:val="fr-FR"/>
        </w:rPr>
        <w:t xml:space="preserve">Tableau 20 </w:t>
      </w:r>
    </w:p>
    <w:p w14:paraId="6B95BFE7" w14:textId="52B834D9" w:rsidR="00B87039" w:rsidRPr="00653BF4" w:rsidRDefault="00B87039" w:rsidP="00B87039">
      <w:pPr>
        <w:pStyle w:val="Caption"/>
        <w:keepNext/>
        <w:rPr>
          <w:i w:val="0"/>
          <w:iCs w:val="0"/>
          <w:sz w:val="20"/>
          <w:szCs w:val="20"/>
          <w:vertAlign w:val="superscript"/>
          <w:lang w:val="fr-FR"/>
        </w:rPr>
      </w:pPr>
      <w:r w:rsidRPr="00653BF4">
        <w:rPr>
          <w:b/>
          <w:i w:val="0"/>
          <w:sz w:val="20"/>
          <w:szCs w:val="20"/>
          <w:lang w:val="fr-FR"/>
        </w:rPr>
        <w:t xml:space="preserve">Éléments de la </w:t>
      </w:r>
      <w:r w:rsidR="00E34DC9">
        <w:rPr>
          <w:b/>
          <w:i w:val="0"/>
          <w:sz w:val="20"/>
          <w:szCs w:val="20"/>
          <w:lang w:val="fr-FR"/>
        </w:rPr>
        <w:t>cible 9</w:t>
      </w:r>
      <w:r w:rsidRPr="00653BF4">
        <w:rPr>
          <w:b/>
          <w:i w:val="0"/>
          <w:sz w:val="20"/>
          <w:szCs w:val="20"/>
          <w:lang w:val="fr-FR"/>
        </w:rPr>
        <w:t xml:space="preserve"> du Cadre et </w:t>
      </w:r>
      <w:r w:rsidRPr="00653BF4">
        <w:rPr>
          <w:b/>
          <w:bCs/>
          <w:i w:val="0"/>
          <w:iCs w:val="0"/>
          <w:sz w:val="20"/>
          <w:szCs w:val="20"/>
          <w:lang w:val="fr-FR"/>
        </w:rPr>
        <w:t>leur prise en compte dans les cibles nationales</w:t>
      </w:r>
      <w:r w:rsidRPr="00653BF4">
        <w:rPr>
          <w:i w:val="0"/>
          <w:iCs w:val="0"/>
          <w:sz w:val="20"/>
          <w:szCs w:val="20"/>
          <w:vertAlign w:val="superscript"/>
          <w:lang w:val="fr-FR"/>
        </w:rPr>
        <w:t>a</w:t>
      </w:r>
    </w:p>
    <w:p w14:paraId="6AEFF953" w14:textId="77777777" w:rsidR="00B87039" w:rsidRPr="00653BF4" w:rsidRDefault="00B87039" w:rsidP="00B87039">
      <w:pPr>
        <w:rPr>
          <w:lang w:val="fr-FR" w:eastAsia="ja-JP"/>
        </w:rPr>
      </w:pPr>
    </w:p>
    <w:tbl>
      <w:tblPr>
        <w:tblStyle w:val="TableGrid"/>
        <w:tblW w:w="0" w:type="auto"/>
        <w:tblLook w:val="04A0" w:firstRow="1" w:lastRow="0" w:firstColumn="1" w:lastColumn="0" w:noHBand="0" w:noVBand="1"/>
      </w:tblPr>
      <w:tblGrid>
        <w:gridCol w:w="8217"/>
        <w:gridCol w:w="799"/>
      </w:tblGrid>
      <w:tr w:rsidR="00B87039" w:rsidRPr="00653BF4" w14:paraId="65932DE1" w14:textId="77777777" w:rsidTr="00557FB3">
        <w:tc>
          <w:tcPr>
            <w:tcW w:w="8217" w:type="dxa"/>
          </w:tcPr>
          <w:p w14:paraId="133CE176" w14:textId="77777777" w:rsidR="00B87039" w:rsidRPr="00653BF4" w:rsidRDefault="00B87039" w:rsidP="00557FB3">
            <w:pPr>
              <w:rPr>
                <w:sz w:val="20"/>
                <w:szCs w:val="20"/>
                <w:lang w:val="fr-FR"/>
              </w:rPr>
            </w:pPr>
            <w:r w:rsidRPr="00653BF4">
              <w:rPr>
                <w:sz w:val="20"/>
                <w:szCs w:val="20"/>
                <w:lang w:val="fr-FR"/>
              </w:rPr>
              <w:t>Garantir une gestion et une utilisation durables des espèces sauvages, de façon à procurer des avantages sociaux aux populations</w:t>
            </w:r>
          </w:p>
        </w:tc>
        <w:tc>
          <w:tcPr>
            <w:tcW w:w="799" w:type="dxa"/>
            <w:shd w:val="clear" w:color="auto" w:fill="92D050"/>
          </w:tcPr>
          <w:p w14:paraId="21A22C88" w14:textId="77777777" w:rsidR="00B87039" w:rsidRPr="00653BF4" w:rsidRDefault="00B87039" w:rsidP="00557FB3">
            <w:pPr>
              <w:rPr>
                <w:sz w:val="20"/>
                <w:szCs w:val="20"/>
                <w:lang w:val="fr-FR"/>
              </w:rPr>
            </w:pPr>
            <w:r w:rsidRPr="00653BF4">
              <w:rPr>
                <w:sz w:val="20"/>
                <w:szCs w:val="20"/>
                <w:lang w:val="fr-FR"/>
              </w:rPr>
              <w:t>67</w:t>
            </w:r>
          </w:p>
        </w:tc>
      </w:tr>
      <w:tr w:rsidR="00B87039" w:rsidRPr="00653BF4" w14:paraId="35E05E7C" w14:textId="77777777" w:rsidTr="00557FB3">
        <w:tc>
          <w:tcPr>
            <w:tcW w:w="8217" w:type="dxa"/>
          </w:tcPr>
          <w:p w14:paraId="5A53EDB9" w14:textId="77777777" w:rsidR="00B87039" w:rsidRPr="00653BF4" w:rsidRDefault="00B87039" w:rsidP="00557FB3">
            <w:pPr>
              <w:rPr>
                <w:sz w:val="20"/>
                <w:szCs w:val="20"/>
                <w:lang w:val="fr-FR"/>
              </w:rPr>
            </w:pPr>
            <w:r w:rsidRPr="00653BF4">
              <w:rPr>
                <w:sz w:val="20"/>
                <w:szCs w:val="20"/>
                <w:lang w:val="fr-FR"/>
              </w:rPr>
              <w:t>Garantir une gestion et une utilisation durables des espèces sauvages, de façon à procurer des avantages économiques aux populations</w:t>
            </w:r>
          </w:p>
        </w:tc>
        <w:tc>
          <w:tcPr>
            <w:tcW w:w="799" w:type="dxa"/>
            <w:shd w:val="clear" w:color="auto" w:fill="92D050"/>
          </w:tcPr>
          <w:p w14:paraId="60D3BC01" w14:textId="77777777" w:rsidR="00B87039" w:rsidRPr="00653BF4" w:rsidRDefault="00B87039" w:rsidP="00557FB3">
            <w:pPr>
              <w:rPr>
                <w:sz w:val="20"/>
                <w:szCs w:val="20"/>
                <w:lang w:val="fr-FR"/>
              </w:rPr>
            </w:pPr>
            <w:r w:rsidRPr="00653BF4">
              <w:rPr>
                <w:sz w:val="20"/>
                <w:szCs w:val="20"/>
                <w:lang w:val="fr-FR"/>
              </w:rPr>
              <w:t>65</w:t>
            </w:r>
          </w:p>
        </w:tc>
      </w:tr>
      <w:tr w:rsidR="00B87039" w:rsidRPr="00653BF4" w14:paraId="02AFCA2B" w14:textId="77777777" w:rsidTr="00557FB3">
        <w:tc>
          <w:tcPr>
            <w:tcW w:w="8217" w:type="dxa"/>
          </w:tcPr>
          <w:p w14:paraId="7B959901" w14:textId="77777777" w:rsidR="00B87039" w:rsidRPr="00653BF4" w:rsidRDefault="00B87039" w:rsidP="00557FB3">
            <w:pPr>
              <w:rPr>
                <w:sz w:val="20"/>
                <w:szCs w:val="20"/>
                <w:lang w:val="fr-FR"/>
              </w:rPr>
            </w:pPr>
            <w:r w:rsidRPr="00653BF4">
              <w:rPr>
                <w:sz w:val="20"/>
                <w:szCs w:val="20"/>
                <w:lang w:val="fr-FR"/>
              </w:rPr>
              <w:t>Garantir une gestion et une utilisation durables des espèces sauvages, de façon à procurer des avantages environnementaux aux populations</w:t>
            </w:r>
          </w:p>
        </w:tc>
        <w:tc>
          <w:tcPr>
            <w:tcW w:w="799" w:type="dxa"/>
            <w:shd w:val="clear" w:color="auto" w:fill="00B050"/>
          </w:tcPr>
          <w:p w14:paraId="351BB306" w14:textId="77777777" w:rsidR="00B87039" w:rsidRPr="00653BF4" w:rsidRDefault="00B87039" w:rsidP="00557FB3">
            <w:pPr>
              <w:rPr>
                <w:sz w:val="20"/>
                <w:szCs w:val="20"/>
                <w:lang w:val="fr-FR"/>
              </w:rPr>
            </w:pPr>
            <w:r w:rsidRPr="00653BF4">
              <w:rPr>
                <w:sz w:val="20"/>
                <w:szCs w:val="20"/>
                <w:lang w:val="fr-FR"/>
              </w:rPr>
              <w:t>81</w:t>
            </w:r>
          </w:p>
        </w:tc>
      </w:tr>
      <w:tr w:rsidR="00B87039" w:rsidRPr="00653BF4" w14:paraId="06BC4639" w14:textId="77777777" w:rsidTr="00557FB3">
        <w:tc>
          <w:tcPr>
            <w:tcW w:w="8217" w:type="dxa"/>
          </w:tcPr>
          <w:p w14:paraId="2CEB970F" w14:textId="1AA5023B" w:rsidR="00B87039" w:rsidRPr="00653BF4" w:rsidRDefault="00B87039" w:rsidP="00557FB3">
            <w:pPr>
              <w:rPr>
                <w:sz w:val="20"/>
                <w:szCs w:val="20"/>
                <w:lang w:val="fr-FR"/>
              </w:rPr>
            </w:pPr>
            <w:r w:rsidRPr="00653BF4">
              <w:rPr>
                <w:sz w:val="20"/>
                <w:szCs w:val="20"/>
                <w:lang w:val="fr-FR"/>
              </w:rPr>
              <w:t>La gestion et l</w:t>
            </w:r>
            <w:r w:rsidR="00D77549">
              <w:rPr>
                <w:sz w:val="20"/>
                <w:szCs w:val="20"/>
                <w:lang w:val="fr-FR"/>
              </w:rPr>
              <w:t>’</w:t>
            </w:r>
            <w:r w:rsidRPr="00653BF4">
              <w:rPr>
                <w:sz w:val="20"/>
                <w:szCs w:val="20"/>
                <w:lang w:val="fr-FR"/>
              </w:rPr>
              <w:t>utilisation durables des espèces sauvages procurent des avantages aux personnes en situation vulnérable et à celles qui dépendent le plus de la biodiversité</w:t>
            </w:r>
          </w:p>
        </w:tc>
        <w:tc>
          <w:tcPr>
            <w:tcW w:w="799" w:type="dxa"/>
            <w:shd w:val="clear" w:color="auto" w:fill="FFC000"/>
          </w:tcPr>
          <w:p w14:paraId="650EE035" w14:textId="77777777" w:rsidR="00B87039" w:rsidRPr="00653BF4" w:rsidRDefault="00B87039" w:rsidP="00557FB3">
            <w:pPr>
              <w:rPr>
                <w:sz w:val="20"/>
                <w:szCs w:val="20"/>
                <w:lang w:val="fr-FR"/>
              </w:rPr>
            </w:pPr>
            <w:r w:rsidRPr="00653BF4">
              <w:rPr>
                <w:sz w:val="20"/>
                <w:szCs w:val="20"/>
                <w:lang w:val="fr-FR"/>
              </w:rPr>
              <w:t>38</w:t>
            </w:r>
          </w:p>
        </w:tc>
      </w:tr>
      <w:tr w:rsidR="00B87039" w:rsidRPr="00653BF4" w14:paraId="48363C8C" w14:textId="77777777" w:rsidTr="00557FB3">
        <w:tc>
          <w:tcPr>
            <w:tcW w:w="8217" w:type="dxa"/>
          </w:tcPr>
          <w:p w14:paraId="7FDE9A92" w14:textId="77777777" w:rsidR="00B87039" w:rsidRPr="00653BF4" w:rsidRDefault="00B87039" w:rsidP="00557FB3">
            <w:pPr>
              <w:rPr>
                <w:sz w:val="20"/>
                <w:szCs w:val="20"/>
                <w:lang w:val="fr-FR"/>
              </w:rPr>
            </w:pPr>
            <w:r w:rsidRPr="00653BF4">
              <w:rPr>
                <w:sz w:val="20"/>
                <w:szCs w:val="20"/>
                <w:lang w:val="fr-FR"/>
              </w:rPr>
              <w:t>Garantir des avantages aux populations grâce à des activités, des produits et des services durables liés à la biodiversité qui contribuent à son amélioration</w:t>
            </w:r>
          </w:p>
        </w:tc>
        <w:tc>
          <w:tcPr>
            <w:tcW w:w="799" w:type="dxa"/>
            <w:shd w:val="clear" w:color="auto" w:fill="92D050"/>
          </w:tcPr>
          <w:p w14:paraId="19DCD724" w14:textId="77777777" w:rsidR="00B87039" w:rsidRPr="00653BF4" w:rsidRDefault="00B87039" w:rsidP="00557FB3">
            <w:pPr>
              <w:rPr>
                <w:sz w:val="20"/>
                <w:szCs w:val="20"/>
                <w:lang w:val="fr-FR"/>
              </w:rPr>
            </w:pPr>
            <w:r w:rsidRPr="00653BF4">
              <w:rPr>
                <w:sz w:val="20"/>
                <w:szCs w:val="20"/>
                <w:lang w:val="fr-FR"/>
              </w:rPr>
              <w:t>65</w:t>
            </w:r>
          </w:p>
        </w:tc>
      </w:tr>
      <w:tr w:rsidR="00B87039" w:rsidRPr="00653BF4" w14:paraId="4952C5B5" w14:textId="77777777" w:rsidTr="00557FB3">
        <w:tc>
          <w:tcPr>
            <w:tcW w:w="8217" w:type="dxa"/>
          </w:tcPr>
          <w:p w14:paraId="63BD90BD" w14:textId="62CEF610" w:rsidR="00B87039" w:rsidRPr="00653BF4" w:rsidRDefault="00B87039" w:rsidP="00557FB3">
            <w:pPr>
              <w:rPr>
                <w:sz w:val="20"/>
                <w:szCs w:val="20"/>
                <w:lang w:val="fr-FR"/>
              </w:rPr>
            </w:pPr>
            <w:r w:rsidRPr="00653BF4">
              <w:rPr>
                <w:sz w:val="20"/>
                <w:szCs w:val="20"/>
                <w:lang w:val="fr-FR"/>
              </w:rPr>
              <w:t>Protéger et promouvoir les pratiques d</w:t>
            </w:r>
            <w:r w:rsidR="00D77549">
              <w:rPr>
                <w:sz w:val="20"/>
                <w:szCs w:val="20"/>
                <w:lang w:val="fr-FR"/>
              </w:rPr>
              <w:t>’</w:t>
            </w:r>
            <w:r w:rsidRPr="00653BF4">
              <w:rPr>
                <w:sz w:val="20"/>
                <w:szCs w:val="20"/>
                <w:lang w:val="fr-FR"/>
              </w:rPr>
              <w:t>utilisation coutumière durable par les peuples autochtones et communautés locales</w:t>
            </w:r>
          </w:p>
        </w:tc>
        <w:tc>
          <w:tcPr>
            <w:tcW w:w="799" w:type="dxa"/>
            <w:shd w:val="clear" w:color="auto" w:fill="FFFF00"/>
          </w:tcPr>
          <w:p w14:paraId="7A66803E" w14:textId="77777777" w:rsidR="00B87039" w:rsidRPr="00653BF4" w:rsidRDefault="00B87039" w:rsidP="00557FB3">
            <w:pPr>
              <w:rPr>
                <w:sz w:val="20"/>
                <w:szCs w:val="20"/>
                <w:lang w:val="fr-FR"/>
              </w:rPr>
            </w:pPr>
            <w:r w:rsidRPr="00653BF4">
              <w:rPr>
                <w:sz w:val="20"/>
                <w:szCs w:val="20"/>
                <w:lang w:val="fr-FR"/>
              </w:rPr>
              <w:t>47</w:t>
            </w:r>
          </w:p>
        </w:tc>
      </w:tr>
      <w:tr w:rsidR="00B87039" w:rsidRPr="00543148" w14:paraId="34A448D4" w14:textId="77777777" w:rsidTr="00557FB3">
        <w:tc>
          <w:tcPr>
            <w:tcW w:w="9016" w:type="dxa"/>
            <w:gridSpan w:val="2"/>
          </w:tcPr>
          <w:p w14:paraId="07777BE9" w14:textId="77777777" w:rsidR="00B87039" w:rsidRPr="00653BF4" w:rsidRDefault="00B87039" w:rsidP="00557FB3">
            <w:pPr>
              <w:pStyle w:val="p1"/>
              <w:keepNext/>
              <w:rPr>
                <w:rFonts w:asciiTheme="minorHAnsi" w:hAnsiTheme="minorHAnsi"/>
                <w:b/>
                <w:bCs/>
                <w:sz w:val="22"/>
                <w:szCs w:val="22"/>
                <w:lang w:val="fr-FR"/>
              </w:rPr>
            </w:pPr>
          </w:p>
          <w:p w14:paraId="0DD9543E" w14:textId="2040AEA9"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61</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658183A5" w14:textId="77777777" w:rsidR="00B87039" w:rsidRPr="00653BF4" w:rsidRDefault="00B87039" w:rsidP="00557FB3">
            <w:pPr>
              <w:rPr>
                <w:sz w:val="20"/>
                <w:szCs w:val="20"/>
                <w:lang w:val="fr-FR"/>
              </w:rPr>
            </w:pPr>
          </w:p>
        </w:tc>
      </w:tr>
    </w:tbl>
    <w:p w14:paraId="1D8AB879" w14:textId="77777777" w:rsidR="00B87039" w:rsidRPr="00653BF4" w:rsidRDefault="00B87039" w:rsidP="00B87039">
      <w:pPr>
        <w:rPr>
          <w:i/>
          <w:sz w:val="16"/>
          <w:szCs w:val="16"/>
          <w:lang w:val="fr-FR"/>
        </w:rPr>
      </w:pPr>
    </w:p>
    <w:p w14:paraId="6DD3AA0F" w14:textId="75E4AC93" w:rsidR="00B87039" w:rsidRPr="00653BF4" w:rsidRDefault="00B87039" w:rsidP="00B87039">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w:t>
      </w:r>
      <w:r w:rsidR="00D77549">
        <w:rPr>
          <w:iCs/>
          <w:sz w:val="16"/>
          <w:szCs w:val="16"/>
          <w:lang w:val="fr-FR"/>
        </w:rPr>
        <w:t>’</w:t>
      </w:r>
      <w:r w:rsidRPr="00653BF4">
        <w:rPr>
          <w:iCs/>
          <w:sz w:val="16"/>
          <w:szCs w:val="16"/>
          <w:lang w:val="fr-FR"/>
        </w:rPr>
        <w:t>élément, au moins partiellement.</w:t>
      </w:r>
    </w:p>
    <w:p w14:paraId="6C2FF2D0" w14:textId="36F19B68" w:rsidR="00B87039" w:rsidRPr="00653BF4" w:rsidRDefault="00B87039" w:rsidP="00B8703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cs="Segoe UI"/>
          <w:sz w:val="16"/>
          <w:szCs w:val="16"/>
          <w:lang w:val="fr-FR"/>
        </w:rPr>
        <w:t xml:space="preserve"> Les éléments de chaque cible ont été définis par le Groupe spécial d</w:t>
      </w:r>
      <w:r w:rsidR="00D77549">
        <w:rPr>
          <w:rStyle w:val="normaltextrun"/>
          <w:rFonts w:cs="Segoe UI"/>
          <w:sz w:val="16"/>
          <w:szCs w:val="16"/>
          <w:lang w:val="fr-FR"/>
        </w:rPr>
        <w:t>’</w:t>
      </w:r>
      <w:r w:rsidRPr="00653BF4">
        <w:rPr>
          <w:rStyle w:val="normaltextrun"/>
          <w:rFonts w:cs="Segoe UI"/>
          <w:sz w:val="16"/>
          <w:szCs w:val="16"/>
          <w:lang w:val="fr-FR"/>
        </w:rPr>
        <w:t xml:space="preserve">experts techniques sur les indicateurs du Cadre mondial de la biodiversité de Kunming-Montréal </w:t>
      </w:r>
      <w:r w:rsidRPr="00653BF4">
        <w:rPr>
          <w:rFonts w:ascii="Aptos" w:hAnsi="Aptos" w:cs="Segoe UI"/>
          <w:sz w:val="16"/>
          <w:szCs w:val="16"/>
          <w:lang w:val="fr-FR"/>
        </w:rPr>
        <w:t xml:space="preserve">(voir annexe I du document </w:t>
      </w:r>
      <w:hyperlink r:id="rId115" w:history="1">
        <w:r w:rsidRPr="00653BF4">
          <w:rPr>
            <w:rStyle w:val="Hyperlink"/>
            <w:rFonts w:ascii="Aptos" w:hAnsi="Aptos" w:cs="Segoe UI"/>
            <w:sz w:val="16"/>
            <w:szCs w:val="16"/>
            <w:lang w:val="fr-FR"/>
          </w:rPr>
          <w:t>CBD/COP/16/INF/4</w:t>
        </w:r>
      </w:hyperlink>
      <w:r w:rsidR="00E34DC9">
        <w:rPr>
          <w:rStyle w:val="normaltextrun"/>
          <w:rFonts w:cs="Segoe UI"/>
          <w:sz w:val="16"/>
          <w:szCs w:val="16"/>
          <w:lang w:val="fr-FR"/>
        </w:rPr>
        <w:t> ;</w:t>
      </w:r>
      <w:r w:rsidRPr="00653BF4">
        <w:rPr>
          <w:rFonts w:ascii="Aptos" w:hAnsi="Aptos" w:cs="Segoe UI"/>
          <w:sz w:val="16"/>
          <w:szCs w:val="16"/>
          <w:lang w:val="fr-FR"/>
        </w:rPr>
        <w:t xml:space="preserve"> et Affinito </w:t>
      </w:r>
      <w:r w:rsidRPr="00653BF4">
        <w:rPr>
          <w:rFonts w:ascii="Aptos" w:hAnsi="Aptos" w:cs="Segoe UI"/>
          <w:i/>
          <w:iCs/>
          <w:sz w:val="16"/>
          <w:szCs w:val="16"/>
          <w:lang w:val="fr-FR"/>
        </w:rPr>
        <w:t>et al.</w:t>
      </w:r>
      <w:r w:rsidRPr="00653BF4">
        <w:rPr>
          <w:rFonts w:ascii="Aptos" w:hAnsi="Aptos" w:cs="Segoe UI"/>
          <w:sz w:val="16"/>
          <w:szCs w:val="16"/>
          <w:lang w:val="fr-FR"/>
        </w:rPr>
        <w:t>, 2025)</w:t>
      </w:r>
      <w:r w:rsidRPr="00653BF4">
        <w:rPr>
          <w:rStyle w:val="normaltextrun"/>
          <w:rFonts w:cs="Segoe UI"/>
          <w:sz w:val="16"/>
          <w:szCs w:val="16"/>
          <w:lang w:val="fr-FR"/>
        </w:rPr>
        <w:t>.La méthode détaillée employée pour l</w:t>
      </w:r>
      <w:r w:rsidR="00D77549">
        <w:rPr>
          <w:rStyle w:val="normaltextrun"/>
          <w:rFonts w:cs="Segoe UI"/>
          <w:sz w:val="16"/>
          <w:szCs w:val="16"/>
          <w:lang w:val="fr-FR"/>
        </w:rPr>
        <w:t>’</w:t>
      </w:r>
      <w:r w:rsidRPr="00653BF4">
        <w:rPr>
          <w:rStyle w:val="normaltextrun"/>
          <w:rFonts w:cs="Segoe UI"/>
          <w:sz w:val="16"/>
          <w:szCs w:val="16"/>
          <w:lang w:val="fr-FR"/>
        </w:rPr>
        <w:t>analyse des cibles nationales est présentée dans le document </w:t>
      </w:r>
      <w:hyperlink r:id="rId116" w:history="1">
        <w:r w:rsidRPr="00653BF4">
          <w:rPr>
            <w:rStyle w:val="Hyperlink"/>
            <w:rFonts w:ascii="Aptos" w:hAnsi="Aptos" w:cs="Segoe UI"/>
            <w:sz w:val="16"/>
            <w:szCs w:val="16"/>
            <w:lang w:val="fr-FR"/>
          </w:rPr>
          <w:t>CBD/SBI/7/INF/22</w:t>
        </w:r>
      </w:hyperlink>
      <w:r w:rsidRPr="00653BF4">
        <w:rPr>
          <w:rStyle w:val="normaltextrun"/>
          <w:rFonts w:cs="Segoe UI"/>
          <w:sz w:val="16"/>
          <w:szCs w:val="16"/>
          <w:lang w:val="fr-FR"/>
        </w:rPr>
        <w:t>. </w:t>
      </w:r>
    </w:p>
    <w:p w14:paraId="06830F06" w14:textId="77777777" w:rsidR="00B87039" w:rsidRPr="00653BF4" w:rsidRDefault="00B87039" w:rsidP="00B87039">
      <w:pPr>
        <w:rPr>
          <w:lang w:val="fr-FR"/>
        </w:rPr>
      </w:pPr>
    </w:p>
    <w:p w14:paraId="6CE41D96" w14:textId="0D799825" w:rsidR="00B87039" w:rsidRPr="00653BF4" w:rsidRDefault="00B87039" w:rsidP="00B87039">
      <w:pPr>
        <w:rPr>
          <w:lang w:val="fr-FR"/>
        </w:rPr>
      </w:pPr>
      <w:r w:rsidRPr="00653BF4">
        <w:rPr>
          <w:lang w:val="fr-FR"/>
        </w:rPr>
        <w:t xml:space="preserve">Une large majorité de Parties ont communiqué des cibles nationales qui prennent en compte les éléments de la </w:t>
      </w:r>
      <w:r w:rsidR="00E34DC9">
        <w:rPr>
          <w:lang w:val="fr-FR"/>
        </w:rPr>
        <w:t>cible 9</w:t>
      </w:r>
      <w:r w:rsidRPr="00653BF4">
        <w:rPr>
          <w:lang w:val="fr-FR"/>
        </w:rPr>
        <w:t xml:space="preserve"> relatifs aux avantages environnementaux (81</w:t>
      </w:r>
      <w:r w:rsidR="002878D7">
        <w:rPr>
          <w:lang w:val="fr-FR"/>
        </w:rPr>
        <w:t> %</w:t>
      </w:r>
      <w:r w:rsidRPr="00653BF4">
        <w:rPr>
          <w:lang w:val="fr-FR"/>
        </w:rPr>
        <w:t xml:space="preserve"> des Parties), sociaux (67</w:t>
      </w:r>
      <w:r w:rsidR="002878D7">
        <w:rPr>
          <w:lang w:val="fr-FR"/>
        </w:rPr>
        <w:t> %</w:t>
      </w:r>
      <w:r w:rsidRPr="00653BF4">
        <w:rPr>
          <w:lang w:val="fr-FR"/>
        </w:rPr>
        <w:t>) et économiques (65</w:t>
      </w:r>
      <w:r w:rsidR="002878D7">
        <w:rPr>
          <w:lang w:val="fr-FR"/>
        </w:rPr>
        <w:t> %</w:t>
      </w:r>
      <w:r w:rsidRPr="00653BF4">
        <w:rPr>
          <w:lang w:val="fr-FR"/>
        </w:rPr>
        <w:t>) découlant de la gestion et de l</w:t>
      </w:r>
      <w:r w:rsidR="00D77549">
        <w:rPr>
          <w:lang w:val="fr-FR"/>
        </w:rPr>
        <w:t>’</w:t>
      </w:r>
      <w:r w:rsidRPr="00653BF4">
        <w:rPr>
          <w:lang w:val="fr-FR"/>
        </w:rPr>
        <w:t>utilisation durables de la biodiversité (voir le tableau 20). Une grande majorité de Parties (65</w:t>
      </w:r>
      <w:r w:rsidR="002878D7">
        <w:rPr>
          <w:lang w:val="fr-FR"/>
        </w:rPr>
        <w:t> %</w:t>
      </w:r>
      <w:r w:rsidRPr="00653BF4">
        <w:rPr>
          <w:lang w:val="fr-FR"/>
        </w:rPr>
        <w:t xml:space="preserve">) ont également fixé des cibles nationales garantissant des avantages aux populations grâce à des activités, des produits et des services durables liés à la biodiversité qui contribuent à </w:t>
      </w:r>
      <w:r w:rsidRPr="00653BF4">
        <w:rPr>
          <w:lang w:val="fr-FR"/>
        </w:rPr>
        <w:lastRenderedPageBreak/>
        <w:t>son amélioration. Moins de la moitié des Parties (47</w:t>
      </w:r>
      <w:r w:rsidR="002878D7">
        <w:rPr>
          <w:lang w:val="fr-FR"/>
        </w:rPr>
        <w:t> %</w:t>
      </w:r>
      <w:r w:rsidRPr="00653BF4">
        <w:rPr>
          <w:lang w:val="fr-FR"/>
        </w:rPr>
        <w:t>) ont fixé des cibles nationales visant à protéger et promouvoir les pratiques d</w:t>
      </w:r>
      <w:r w:rsidR="00D77549">
        <w:rPr>
          <w:lang w:val="fr-FR"/>
        </w:rPr>
        <w:t>’</w:t>
      </w:r>
      <w:r w:rsidRPr="00653BF4">
        <w:rPr>
          <w:lang w:val="fr-FR"/>
        </w:rPr>
        <w:t>utilisation coutumière durable des peuples autochtones et communautés locales, bien que toutes les Parties ne considèrent pas cet élément comme pertinent au regard de leur situation nationale. Une proportion encore plus réduite (38</w:t>
      </w:r>
      <w:r w:rsidR="002878D7">
        <w:rPr>
          <w:lang w:val="fr-FR"/>
        </w:rPr>
        <w:t> %</w:t>
      </w:r>
      <w:r w:rsidRPr="00653BF4">
        <w:rPr>
          <w:lang w:val="fr-FR"/>
        </w:rPr>
        <w:t>) prend en compte l</w:t>
      </w:r>
      <w:r w:rsidR="00D77549">
        <w:rPr>
          <w:lang w:val="fr-FR"/>
        </w:rPr>
        <w:t>’</w:t>
      </w:r>
      <w:r w:rsidRPr="00653BF4">
        <w:rPr>
          <w:lang w:val="fr-FR"/>
        </w:rPr>
        <w:t xml:space="preserve">élément de la </w:t>
      </w:r>
      <w:r w:rsidR="00E34DC9">
        <w:rPr>
          <w:lang w:val="fr-FR"/>
        </w:rPr>
        <w:t>cible 9</w:t>
      </w:r>
      <w:r w:rsidRPr="00653BF4">
        <w:rPr>
          <w:lang w:val="fr-FR"/>
        </w:rPr>
        <w:t xml:space="preserve"> concernant les avantages procurés aux personnes en situation vulnérable et à celles qui dépendent le plus de la biodiversité. La cible ne comporte pas d</w:t>
      </w:r>
      <w:r w:rsidR="00D77549">
        <w:rPr>
          <w:lang w:val="fr-FR"/>
        </w:rPr>
        <w:t>’</w:t>
      </w:r>
      <w:r w:rsidRPr="00653BF4">
        <w:rPr>
          <w:lang w:val="fr-FR"/>
        </w:rPr>
        <w:t>éléments quantitatifs.</w:t>
      </w:r>
    </w:p>
    <w:p w14:paraId="064FFD7B" w14:textId="77777777" w:rsidR="00B87039" w:rsidRPr="00653BF4" w:rsidRDefault="00B87039" w:rsidP="00B87039">
      <w:pPr>
        <w:rPr>
          <w:lang w:val="fr-FR"/>
        </w:rPr>
      </w:pPr>
    </w:p>
    <w:p w14:paraId="45BC0012" w14:textId="3D5DD633" w:rsidR="00B87039" w:rsidRPr="00653BF4" w:rsidRDefault="00B87039" w:rsidP="00B87039">
      <w:pPr>
        <w:pStyle w:val="Heading5"/>
        <w:rPr>
          <w:lang w:val="fr-FR"/>
        </w:rPr>
      </w:pPr>
      <w:bookmarkStart w:id="172" w:name="_Toc235821158"/>
      <w:r w:rsidRPr="00653BF4">
        <w:rPr>
          <w:lang w:val="fr-FR"/>
        </w:rPr>
        <w:t>Indicateurs de progrès</w:t>
      </w:r>
      <w:bookmarkEnd w:id="172"/>
    </w:p>
    <w:p w14:paraId="585B88B5" w14:textId="77777777" w:rsidR="00B87039" w:rsidRPr="00653BF4" w:rsidRDefault="00B87039" w:rsidP="00B87039">
      <w:pPr>
        <w:pStyle w:val="Caption"/>
        <w:rPr>
          <w:i w:val="0"/>
          <w:iCs w:val="0"/>
          <w:sz w:val="20"/>
          <w:szCs w:val="20"/>
          <w:lang w:val="fr-FR"/>
        </w:rPr>
      </w:pPr>
    </w:p>
    <w:p w14:paraId="4A985D3F" w14:textId="77777777" w:rsidR="00B87039" w:rsidRPr="00653BF4" w:rsidRDefault="00B87039" w:rsidP="00B87039">
      <w:pPr>
        <w:pStyle w:val="Caption"/>
        <w:rPr>
          <w:i w:val="0"/>
          <w:sz w:val="20"/>
          <w:szCs w:val="20"/>
          <w:lang w:val="fr-FR"/>
        </w:rPr>
      </w:pPr>
      <w:r w:rsidRPr="00653BF4">
        <w:rPr>
          <w:i w:val="0"/>
          <w:iCs w:val="0"/>
          <w:sz w:val="20"/>
          <w:szCs w:val="20"/>
          <w:lang w:val="fr-FR"/>
        </w:rPr>
        <w:t xml:space="preserve">Tableau 21 </w:t>
      </w:r>
    </w:p>
    <w:p w14:paraId="523E1D64" w14:textId="6281122C"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9</w:t>
      </w:r>
      <w:r w:rsidRPr="00653BF4">
        <w:rPr>
          <w:b/>
          <w:bCs/>
          <w:i w:val="0"/>
          <w:iCs w:val="0"/>
          <w:sz w:val="20"/>
          <w:szCs w:val="20"/>
          <w:lang w:val="fr-FR"/>
        </w:rPr>
        <w:t xml:space="preserve"> du Cadre</w:t>
      </w:r>
    </w:p>
    <w:p w14:paraId="33FA678F" w14:textId="77777777" w:rsidR="00B87039" w:rsidRPr="00653BF4" w:rsidRDefault="00B87039" w:rsidP="00B87039">
      <w:pPr>
        <w:rPr>
          <w:lang w:val="fr-FR" w:eastAsia="ja-JP"/>
        </w:rPr>
      </w:pPr>
    </w:p>
    <w:tbl>
      <w:tblPr>
        <w:tblW w:w="9209" w:type="dxa"/>
        <w:tblLook w:val="04A0" w:firstRow="1" w:lastRow="0" w:firstColumn="1" w:lastColumn="0" w:noHBand="0" w:noVBand="1"/>
      </w:tblPr>
      <w:tblGrid>
        <w:gridCol w:w="2754"/>
        <w:gridCol w:w="2203"/>
        <w:gridCol w:w="708"/>
        <w:gridCol w:w="2835"/>
        <w:gridCol w:w="709"/>
      </w:tblGrid>
      <w:tr w:rsidR="00B87039" w:rsidRPr="00653BF4" w14:paraId="35448722" w14:textId="77777777" w:rsidTr="00557FB3">
        <w:trPr>
          <w:trHeight w:val="773"/>
        </w:trPr>
        <w:tc>
          <w:tcPr>
            <w:tcW w:w="2754" w:type="dxa"/>
            <w:tcBorders>
              <w:top w:val="single" w:sz="4" w:space="0" w:color="auto"/>
              <w:left w:val="single" w:sz="4" w:space="0" w:color="auto"/>
              <w:bottom w:val="single" w:sz="4" w:space="0" w:color="auto"/>
              <w:right w:val="single" w:sz="4" w:space="0" w:color="auto"/>
            </w:tcBorders>
            <w:shd w:val="clear" w:color="000000" w:fill="FFFFFF"/>
            <w:vAlign w:val="center"/>
          </w:tcPr>
          <w:p w14:paraId="2863B7CF"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911" w:type="dxa"/>
            <w:gridSpan w:val="2"/>
            <w:tcBorders>
              <w:top w:val="single" w:sz="4" w:space="0" w:color="auto"/>
              <w:left w:val="nil"/>
              <w:bottom w:val="single" w:sz="4" w:space="0" w:color="auto"/>
              <w:right w:val="single" w:sz="4" w:space="0" w:color="auto"/>
            </w:tcBorders>
            <w:vAlign w:val="center"/>
          </w:tcPr>
          <w:p w14:paraId="148F5865" w14:textId="674F606F" w:rsidR="00B87039" w:rsidRPr="00653BF4" w:rsidRDefault="00E04592"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3544" w:type="dxa"/>
            <w:gridSpan w:val="2"/>
            <w:tcBorders>
              <w:top w:val="single" w:sz="4" w:space="0" w:color="auto"/>
              <w:left w:val="nil"/>
              <w:bottom w:val="single" w:sz="4" w:space="0" w:color="auto"/>
              <w:right w:val="single" w:sz="4" w:space="0" w:color="auto"/>
            </w:tcBorders>
            <w:vAlign w:val="center"/>
          </w:tcPr>
          <w:p w14:paraId="5A3EC626" w14:textId="34EE4F7A" w:rsidR="00B87039" w:rsidRPr="00653BF4" w:rsidRDefault="00A443C9" w:rsidP="00557FB3">
            <w:pPr>
              <w:spacing w:after="0" w:line="240" w:lineRule="auto"/>
              <w:jc w:val="center"/>
              <w:rPr>
                <w:rFonts w:eastAsia="Times New Roman" w:cs="Calibri"/>
                <w:color w:val="000000"/>
                <w:kern w:val="0"/>
                <w:sz w:val="20"/>
                <w:szCs w:val="20"/>
                <w:lang w:val="fr-FR" w:eastAsia="en-CA"/>
                <w14:ligatures w14:val="none"/>
              </w:rPr>
            </w:pPr>
            <w:r>
              <w:rPr>
                <w:color w:val="000000"/>
                <w:sz w:val="20"/>
                <w:szCs w:val="20"/>
                <w:lang w:val="fr-FR"/>
              </w:rPr>
              <w:t>Résultats de l’indicateur</w:t>
            </w:r>
          </w:p>
        </w:tc>
      </w:tr>
      <w:tr w:rsidR="00B87039" w:rsidRPr="00543148" w14:paraId="1B6FF0AD" w14:textId="77777777" w:rsidTr="00557FB3">
        <w:trPr>
          <w:trHeight w:val="1050"/>
        </w:trPr>
        <w:tc>
          <w:tcPr>
            <w:tcW w:w="275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00E956" w14:textId="5E2748D1"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phare 9.1</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avantages découlant de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utilisation durable des espèces sauvages</w:t>
            </w:r>
          </w:p>
        </w:tc>
        <w:tc>
          <w:tcPr>
            <w:tcW w:w="2203" w:type="dxa"/>
            <w:tcBorders>
              <w:top w:val="single" w:sz="4" w:space="0" w:color="auto"/>
              <w:left w:val="nil"/>
              <w:bottom w:val="single" w:sz="4" w:space="0" w:color="auto"/>
              <w:right w:val="single" w:sz="4" w:space="0" w:color="auto"/>
            </w:tcBorders>
            <w:hideMark/>
          </w:tcPr>
          <w:p w14:paraId="3B0454BF"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p w14:paraId="3033E852"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p w14:paraId="52646FD3" w14:textId="6B2D1F14"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10</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708" w:type="dxa"/>
            <w:tcBorders>
              <w:top w:val="single" w:sz="4" w:space="0" w:color="auto"/>
              <w:left w:val="nil"/>
              <w:bottom w:val="single" w:sz="4" w:space="0" w:color="auto"/>
              <w:right w:val="single" w:sz="4" w:space="0" w:color="auto"/>
            </w:tcBorders>
            <w:shd w:val="clear" w:color="000000" w:fill="C00000"/>
            <w:hideMark/>
          </w:tcPr>
          <w:p w14:paraId="7222C9EA"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3BA91529" w14:textId="30ADD450"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Aucun résultat</w:t>
            </w:r>
            <w:r w:rsidR="00E34DC9">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les types d</w:t>
            </w:r>
            <w:r w:rsidR="00D77549">
              <w:rPr>
                <w:rFonts w:eastAsia="Times New Roman" w:cs="Calibri"/>
                <w:color w:val="000000"/>
                <w:kern w:val="0"/>
                <w:sz w:val="20"/>
                <w:szCs w:val="20"/>
                <w:lang w:val="fr-FR"/>
                <w14:ligatures w14:val="none"/>
              </w:rPr>
              <w:t>’</w:t>
            </w:r>
            <w:r w:rsidRPr="00653BF4">
              <w:rPr>
                <w:rFonts w:eastAsia="Times New Roman" w:cs="Calibri"/>
                <w:color w:val="000000"/>
                <w:kern w:val="0"/>
                <w:sz w:val="20"/>
                <w:szCs w:val="20"/>
                <w:lang w:val="fr-FR"/>
                <w14:ligatures w14:val="none"/>
              </w:rPr>
              <w:t>avantages signalés sont trop variés pour pouvoir être regroupés de manière pertinente</w:t>
            </w:r>
          </w:p>
        </w:tc>
        <w:tc>
          <w:tcPr>
            <w:tcW w:w="709" w:type="dxa"/>
            <w:tcBorders>
              <w:top w:val="single" w:sz="4" w:space="0" w:color="auto"/>
              <w:left w:val="nil"/>
              <w:bottom w:val="single" w:sz="4" w:space="0" w:color="auto"/>
              <w:right w:val="single" w:sz="4" w:space="0" w:color="auto"/>
            </w:tcBorders>
            <w:shd w:val="clear" w:color="auto" w:fill="ADADAD" w:themeFill="background2" w:themeFillShade="BF"/>
            <w:vAlign w:val="center"/>
          </w:tcPr>
          <w:p w14:paraId="609DA92C"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tc>
      </w:tr>
      <w:tr w:rsidR="00B87039" w:rsidRPr="00543148" w14:paraId="2689AADB" w14:textId="77777777" w:rsidTr="00557FB3">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hideMark/>
          </w:tcPr>
          <w:p w14:paraId="3070E1B5" w14:textId="59CB2630"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phare 9.2</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pourcentage de la population exerçant des activités traditionnelles</w:t>
            </w:r>
          </w:p>
        </w:tc>
        <w:tc>
          <w:tcPr>
            <w:tcW w:w="2203" w:type="dxa"/>
            <w:tcBorders>
              <w:top w:val="nil"/>
              <w:left w:val="nil"/>
              <w:bottom w:val="single" w:sz="4" w:space="0" w:color="auto"/>
              <w:right w:val="single" w:sz="4" w:space="0" w:color="auto"/>
            </w:tcBorders>
            <w:vAlign w:val="center"/>
            <w:hideMark/>
          </w:tcPr>
          <w:p w14:paraId="758FB3D1" w14:textId="65EAF4FE"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19</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p w14:paraId="24F25BAD" w14:textId="168A3670"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13</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ont mentionné </w:t>
            </w:r>
            <w:r w:rsidR="00E34DC9">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non pertinent</w:t>
            </w:r>
            <w:r w:rsidR="00E34DC9">
              <w:rPr>
                <w:rFonts w:eastAsia="Times New Roman" w:cs="Calibri"/>
                <w:color w:val="000000"/>
                <w:kern w:val="0"/>
                <w:sz w:val="20"/>
                <w:szCs w:val="20"/>
                <w:lang w:val="fr-FR"/>
                <w14:ligatures w14:val="none"/>
              </w:rPr>
              <w:t> »</w:t>
            </w:r>
          </w:p>
        </w:tc>
        <w:tc>
          <w:tcPr>
            <w:tcW w:w="708" w:type="dxa"/>
            <w:tcBorders>
              <w:top w:val="nil"/>
              <w:left w:val="nil"/>
              <w:bottom w:val="single" w:sz="4" w:space="0" w:color="auto"/>
              <w:right w:val="single" w:sz="4" w:space="0" w:color="auto"/>
            </w:tcBorders>
            <w:shd w:val="clear" w:color="000000" w:fill="C00000"/>
            <w:vAlign w:val="center"/>
            <w:hideMark/>
          </w:tcPr>
          <w:p w14:paraId="00B3D458"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835" w:type="dxa"/>
            <w:tcBorders>
              <w:top w:val="nil"/>
              <w:left w:val="nil"/>
              <w:bottom w:val="single" w:sz="4" w:space="0" w:color="auto"/>
              <w:right w:val="single" w:sz="4" w:space="0" w:color="auto"/>
            </w:tcBorders>
            <w:vAlign w:val="center"/>
            <w:hideMark/>
          </w:tcPr>
          <w:p w14:paraId="0DE5D4F1" w14:textId="21CB3912"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Moyenne générale</w:t>
            </w:r>
            <w:r w:rsidR="00E34DC9">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27</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(plage</w:t>
            </w:r>
            <w:r w:rsidR="00E34DC9">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0 à 80</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w:t>
            </w:r>
          </w:p>
          <w:p w14:paraId="4526D208"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(tendance à la baisse au fil du temps)</w:t>
            </w:r>
          </w:p>
        </w:tc>
        <w:tc>
          <w:tcPr>
            <w:tcW w:w="709" w:type="dxa"/>
            <w:tcBorders>
              <w:top w:val="nil"/>
              <w:left w:val="nil"/>
              <w:bottom w:val="single" w:sz="4" w:space="0" w:color="auto"/>
              <w:right w:val="single" w:sz="4" w:space="0" w:color="auto"/>
            </w:tcBorders>
            <w:shd w:val="clear" w:color="auto" w:fill="C00000"/>
            <w:vAlign w:val="center"/>
          </w:tcPr>
          <w:p w14:paraId="7D544FE3"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tc>
      </w:tr>
      <w:tr w:rsidR="00B87039" w:rsidRPr="00543148" w14:paraId="3BC1F76D" w14:textId="77777777" w:rsidTr="00557FB3">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hideMark/>
          </w:tcPr>
          <w:p w14:paraId="0A6C62E9" w14:textId="31A9421F"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binaire 9.b</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nombre de pays ayant adopté des mesures visant à favoriser la gestion et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utilisation durables des espèces sauvages, procurant des avantages sociaux, économiques et environnementaux aux populations, et à protéger et promouvoir les pratiques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utilisation coutumière durable des peuples autochtones et communautés locales</w:t>
            </w:r>
          </w:p>
        </w:tc>
        <w:tc>
          <w:tcPr>
            <w:tcW w:w="2203" w:type="dxa"/>
            <w:tcBorders>
              <w:top w:val="nil"/>
              <w:left w:val="nil"/>
              <w:bottom w:val="single" w:sz="4" w:space="0" w:color="auto"/>
              <w:right w:val="single" w:sz="4" w:space="0" w:color="auto"/>
            </w:tcBorders>
            <w:vAlign w:val="center"/>
            <w:hideMark/>
          </w:tcPr>
          <w:p w14:paraId="7B1B45D4"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127 Parties</w:t>
            </w:r>
          </w:p>
        </w:tc>
        <w:tc>
          <w:tcPr>
            <w:tcW w:w="708" w:type="dxa"/>
            <w:tcBorders>
              <w:top w:val="nil"/>
              <w:left w:val="nil"/>
              <w:bottom w:val="single" w:sz="4" w:space="0" w:color="auto"/>
              <w:right w:val="single" w:sz="4" w:space="0" w:color="auto"/>
            </w:tcBorders>
            <w:vAlign w:val="center"/>
            <w:hideMark/>
          </w:tcPr>
          <w:p w14:paraId="6052D744" w14:textId="2DCD60A1" w:rsidR="00B87039" w:rsidRPr="00653BF4" w:rsidRDefault="000F4D75" w:rsidP="00557FB3">
            <w:pPr>
              <w:spacing w:after="0" w:line="240" w:lineRule="auto"/>
              <w:jc w:val="center"/>
              <w:rPr>
                <w:rFonts w:eastAsia="Times New Roman" w:cs="Times New Roman"/>
                <w:color w:val="000000"/>
                <w:kern w:val="0"/>
                <w:sz w:val="20"/>
                <w:szCs w:val="20"/>
                <w:lang w:val="fr-FR" w:eastAsia="en-CA"/>
                <w14:ligatures w14:val="none"/>
              </w:rPr>
            </w:pPr>
            <w:r>
              <w:rPr>
                <w:rFonts w:eastAsia="Times New Roman" w:cs="Times New Roman"/>
                <w:color w:val="000000"/>
                <w:kern w:val="0"/>
                <w:sz w:val="20"/>
                <w:szCs w:val="20"/>
                <w:lang w:val="fr-FR"/>
                <w14:ligatures w14:val="none"/>
              </w:rPr>
              <w:t>s.o.</w:t>
            </w:r>
            <w:r w:rsidR="00B87039" w:rsidRPr="00653BF4">
              <w:rPr>
                <w:rFonts w:eastAsia="Times New Roman" w:cs="Times New Roman"/>
                <w:i/>
                <w:iCs/>
                <w:color w:val="000000"/>
                <w:kern w:val="0"/>
                <w:sz w:val="20"/>
                <w:szCs w:val="20"/>
                <w:vertAlign w:val="superscript"/>
                <w:lang w:val="fr-FR"/>
                <w14:ligatures w14:val="none"/>
              </w:rPr>
              <w:t>a</w:t>
            </w:r>
          </w:p>
        </w:tc>
        <w:tc>
          <w:tcPr>
            <w:tcW w:w="2835" w:type="dxa"/>
            <w:tcBorders>
              <w:top w:val="nil"/>
              <w:left w:val="nil"/>
              <w:bottom w:val="single" w:sz="4" w:space="0" w:color="auto"/>
              <w:right w:val="single" w:sz="4" w:space="0" w:color="auto"/>
            </w:tcBorders>
            <w:vAlign w:val="center"/>
            <w:hideMark/>
          </w:tcPr>
          <w:p w14:paraId="65193247" w14:textId="51293D3A"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44</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des Parties ont obtenu de très bons résultats (note</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4/5)</w:t>
            </w:r>
          </w:p>
        </w:tc>
        <w:tc>
          <w:tcPr>
            <w:tcW w:w="709" w:type="dxa"/>
            <w:tcBorders>
              <w:top w:val="nil"/>
              <w:left w:val="nil"/>
              <w:bottom w:val="single" w:sz="4" w:space="0" w:color="auto"/>
              <w:right w:val="single" w:sz="4" w:space="0" w:color="auto"/>
            </w:tcBorders>
            <w:shd w:val="clear" w:color="auto" w:fill="FFC000"/>
            <w:vAlign w:val="center"/>
          </w:tcPr>
          <w:p w14:paraId="12AAC130"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01E4BA1D" w14:textId="77777777" w:rsidTr="00557FB3">
        <w:trPr>
          <w:trHeight w:val="1050"/>
        </w:trPr>
        <w:tc>
          <w:tcPr>
            <w:tcW w:w="2754" w:type="dxa"/>
            <w:tcBorders>
              <w:top w:val="nil"/>
              <w:left w:val="single" w:sz="4" w:space="0" w:color="auto"/>
              <w:bottom w:val="single" w:sz="4" w:space="0" w:color="auto"/>
              <w:right w:val="single" w:sz="4" w:space="0" w:color="auto"/>
            </w:tcBorders>
            <w:shd w:val="clear" w:color="000000" w:fill="FFFFFF"/>
            <w:vAlign w:val="center"/>
            <w:hideMark/>
          </w:tcPr>
          <w:p w14:paraId="1B3DD1CA"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lastRenderedPageBreak/>
              <w:t>Tous les indicateurs quantitatifs combinés</w:t>
            </w:r>
          </w:p>
        </w:tc>
        <w:tc>
          <w:tcPr>
            <w:tcW w:w="2203" w:type="dxa"/>
            <w:tcBorders>
              <w:top w:val="nil"/>
              <w:left w:val="nil"/>
              <w:bottom w:val="single" w:sz="4" w:space="0" w:color="auto"/>
              <w:right w:val="single" w:sz="4" w:space="0" w:color="auto"/>
            </w:tcBorders>
            <w:vAlign w:val="center"/>
            <w:hideMark/>
          </w:tcPr>
          <w:p w14:paraId="2DA5E6E9" w14:textId="562A5DD0"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32 Parties, 25</w:t>
            </w:r>
            <w:r w:rsidR="002878D7">
              <w:rPr>
                <w:rFonts w:eastAsia="Times New Roman" w:cs="Calibri"/>
                <w:color w:val="000000"/>
                <w:kern w:val="0"/>
                <w:sz w:val="20"/>
                <w:szCs w:val="20"/>
                <w:lang w:val="fr-FR"/>
                <w14:ligatures w14:val="none"/>
              </w:rPr>
              <w:t> %</w:t>
            </w:r>
          </w:p>
        </w:tc>
        <w:tc>
          <w:tcPr>
            <w:tcW w:w="708" w:type="dxa"/>
            <w:tcBorders>
              <w:top w:val="nil"/>
              <w:left w:val="nil"/>
              <w:bottom w:val="single" w:sz="4" w:space="0" w:color="auto"/>
              <w:right w:val="nil"/>
            </w:tcBorders>
            <w:shd w:val="clear" w:color="auto" w:fill="C00000"/>
            <w:vAlign w:val="center"/>
            <w:hideMark/>
          </w:tcPr>
          <w:p w14:paraId="509838C8"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7AC73D13" w14:textId="52D2A1F4"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28</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positives</w:t>
            </w:r>
          </w:p>
          <w:p w14:paraId="487EFBBC" w14:textId="791D6A94"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22</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négatives</w:t>
            </w:r>
          </w:p>
        </w:tc>
        <w:tc>
          <w:tcPr>
            <w:tcW w:w="709" w:type="dxa"/>
            <w:tcBorders>
              <w:top w:val="nil"/>
              <w:left w:val="single" w:sz="4" w:space="0" w:color="auto"/>
              <w:bottom w:val="single" w:sz="4" w:space="0" w:color="auto"/>
              <w:right w:val="single" w:sz="4" w:space="0" w:color="auto"/>
            </w:tcBorders>
            <w:shd w:val="clear" w:color="auto" w:fill="FFC000"/>
            <w:vAlign w:val="center"/>
          </w:tcPr>
          <w:p w14:paraId="4A8C429F"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bl>
    <w:p w14:paraId="3EC490AD" w14:textId="77777777" w:rsidR="00B87039" w:rsidRPr="00653BF4" w:rsidRDefault="00B87039" w:rsidP="00B87039">
      <w:pPr>
        <w:pStyle w:val="p1"/>
        <w:rPr>
          <w:rFonts w:ascii="Aptos" w:hAnsi="Aptos"/>
          <w:sz w:val="24"/>
          <w:szCs w:val="24"/>
          <w:lang w:val="fr-FR"/>
        </w:rPr>
      </w:pPr>
    </w:p>
    <w:p w14:paraId="15EF01C9" w14:textId="27237B69"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sz w:val="16"/>
          <w:szCs w:val="16"/>
          <w:lang w:val="fr-FR"/>
        </w:rPr>
        <w:t> %</w:t>
      </w:r>
      <w:r w:rsidRPr="00653BF4">
        <w:rPr>
          <w:sz w:val="16"/>
          <w:szCs w:val="16"/>
          <w:lang w:val="fr-FR"/>
        </w:rPr>
        <w:t>, le jaune aux valeurs comprises entre 25</w:t>
      </w:r>
      <w:r w:rsidR="002878D7">
        <w:rPr>
          <w:sz w:val="16"/>
          <w:szCs w:val="16"/>
          <w:lang w:val="fr-FR"/>
        </w:rPr>
        <w:t> %</w:t>
      </w:r>
      <w:r w:rsidRPr="00653BF4">
        <w:rPr>
          <w:sz w:val="16"/>
          <w:szCs w:val="16"/>
          <w:lang w:val="fr-FR"/>
        </w:rPr>
        <w:t xml:space="preserve"> et 50 </w:t>
      </w:r>
      <w:r w:rsidR="002878D7">
        <w:rPr>
          <w:sz w:val="16"/>
          <w:szCs w:val="16"/>
          <w:lang w:val="fr-FR"/>
        </w:rPr>
        <w:t> %</w:t>
      </w:r>
      <w:r w:rsidRPr="00653BF4">
        <w:rPr>
          <w:sz w:val="16"/>
          <w:szCs w:val="16"/>
          <w:lang w:val="fr-FR"/>
        </w:rPr>
        <w:t>, et le rouge aux valeurs inférieures à 25</w:t>
      </w:r>
      <w:r w:rsidR="002878D7">
        <w:rPr>
          <w:sz w:val="16"/>
          <w:szCs w:val="16"/>
          <w:lang w:val="fr-FR"/>
        </w:rPr>
        <w:t> %</w:t>
      </w:r>
      <w:r w:rsidRPr="00653BF4">
        <w:rPr>
          <w:sz w:val="16"/>
          <w:szCs w:val="16"/>
          <w:lang w:val="fr-FR"/>
        </w:rPr>
        <w:t>)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0D244AB3" w14:textId="77777777" w:rsidR="00B87039" w:rsidRPr="00653BF4" w:rsidRDefault="00B87039" w:rsidP="00B87039">
      <w:pPr>
        <w:pStyle w:val="FootnoteText"/>
        <w:rPr>
          <w:sz w:val="16"/>
          <w:szCs w:val="16"/>
          <w:lang w:val="fr-FR"/>
        </w:rPr>
      </w:pPr>
      <w:r w:rsidRPr="00653BF4">
        <w:rPr>
          <w:vertAlign w:val="superscript"/>
          <w:lang w:val="fr-FR"/>
        </w:rPr>
        <w:t>a</w:t>
      </w:r>
      <w:r w:rsidRPr="00653BF4">
        <w:rPr>
          <w:lang w:val="fr-FR"/>
        </w:rPr>
        <w:t xml:space="preserve"> </w:t>
      </w:r>
      <w:r w:rsidRPr="00653BF4">
        <w:rPr>
          <w:sz w:val="16"/>
          <w:szCs w:val="16"/>
          <w:lang w:val="fr-FR"/>
        </w:rPr>
        <w:t>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p>
    <w:p w14:paraId="44525DDD" w14:textId="77777777" w:rsidR="00B87039" w:rsidRPr="00653BF4" w:rsidRDefault="00B87039" w:rsidP="00B87039">
      <w:pPr>
        <w:rPr>
          <w:strike/>
          <w:lang w:val="fr-FR"/>
        </w:rPr>
      </w:pPr>
    </w:p>
    <w:p w14:paraId="26E7C0E7" w14:textId="77777777" w:rsidR="00B87039" w:rsidRPr="00653BF4" w:rsidRDefault="00B87039" w:rsidP="00B87039">
      <w:pPr>
        <w:rPr>
          <w:lang w:val="fr-FR"/>
        </w:rPr>
      </w:pPr>
    </w:p>
    <w:p w14:paraId="23E01AB0" w14:textId="6E559822" w:rsidR="00B87039" w:rsidRPr="00653BF4" w:rsidRDefault="00B87039" w:rsidP="00B87039">
      <w:pPr>
        <w:rPr>
          <w:lang w:val="fr-FR"/>
        </w:rPr>
      </w:pPr>
      <w:r w:rsidRPr="00653BF4">
        <w:rPr>
          <w:rFonts w:eastAsia="Aptos" w:cs="Aptos"/>
          <w:lang w:val="fr-FR"/>
        </w:rPr>
        <w:t>L</w:t>
      </w:r>
      <w:r w:rsidR="00D77549">
        <w:rPr>
          <w:rFonts w:eastAsia="Aptos" w:cs="Aptos"/>
          <w:lang w:val="fr-FR"/>
        </w:rPr>
        <w:t>’</w:t>
      </w:r>
      <w:r w:rsidRPr="00653BF4">
        <w:rPr>
          <w:rFonts w:eastAsia="Aptos" w:cs="Aptos"/>
          <w:lang w:val="fr-FR"/>
        </w:rPr>
        <w:t>établissement de rapports sur l</w:t>
      </w:r>
      <w:r w:rsidR="00D77549">
        <w:rPr>
          <w:rFonts w:eastAsia="Aptos" w:cs="Aptos"/>
          <w:lang w:val="fr-FR"/>
        </w:rPr>
        <w:t>’</w:t>
      </w:r>
      <w:r w:rsidRPr="00653BF4">
        <w:rPr>
          <w:rFonts w:eastAsia="Aptos" w:cs="Aptos"/>
          <w:lang w:val="fr-FR"/>
        </w:rPr>
        <w:t>indicateur phare 9.1 (avantages découlant de l</w:t>
      </w:r>
      <w:r w:rsidR="00D77549">
        <w:rPr>
          <w:rFonts w:eastAsia="Aptos" w:cs="Aptos"/>
          <w:lang w:val="fr-FR"/>
        </w:rPr>
        <w:t>’</w:t>
      </w:r>
      <w:r w:rsidRPr="00653BF4">
        <w:rPr>
          <w:rFonts w:eastAsia="Aptos" w:cs="Aptos"/>
          <w:lang w:val="fr-FR"/>
        </w:rPr>
        <w:t>utilisation durable des espèces sauvages) a été limité et a manqué de normalisation, ce qui s</w:t>
      </w:r>
      <w:r w:rsidR="00D77549">
        <w:rPr>
          <w:rFonts w:eastAsia="Aptos" w:cs="Aptos"/>
          <w:lang w:val="fr-FR"/>
        </w:rPr>
        <w:t>’</w:t>
      </w:r>
      <w:r w:rsidRPr="00653BF4">
        <w:rPr>
          <w:rFonts w:eastAsia="Aptos" w:cs="Aptos"/>
          <w:lang w:val="fr-FR"/>
        </w:rPr>
        <w:t xml:space="preserve">explique très probablement par le caractère incomplet des orientations méthodologiques mises à la disposition des Parties (voir le tableau 21). </w:t>
      </w:r>
      <w:r w:rsidRPr="00653BF4">
        <w:rPr>
          <w:lang w:val="fr-FR"/>
        </w:rPr>
        <w:t>Parmi les Parties dont les rapports nationaux ont été pris en compte dans l</w:t>
      </w:r>
      <w:r w:rsidR="00D77549">
        <w:rPr>
          <w:lang w:val="fr-FR"/>
        </w:rPr>
        <w:t>’</w:t>
      </w:r>
      <w:r w:rsidRPr="00653BF4">
        <w:rPr>
          <w:lang w:val="fr-FR"/>
        </w:rPr>
        <w:t>analyse, 10</w:t>
      </w:r>
      <w:r w:rsidR="002878D7">
        <w:rPr>
          <w:lang w:val="fr-FR"/>
        </w:rPr>
        <w:t> %</w:t>
      </w:r>
      <w:r w:rsidRPr="00653BF4">
        <w:rPr>
          <w:lang w:val="fr-FR"/>
        </w:rPr>
        <w:t xml:space="preserve"> ont communiqué des informations pour cet indicateur, et comprenaient de nombreux types d</w:t>
      </w:r>
      <w:r w:rsidR="00D77549">
        <w:rPr>
          <w:lang w:val="fr-FR"/>
        </w:rPr>
        <w:t>’</w:t>
      </w:r>
      <w:r w:rsidRPr="00653BF4">
        <w:rPr>
          <w:lang w:val="fr-FR"/>
        </w:rPr>
        <w:t>avantages différents (par ex. revenus, emploi, alimentation, valeur des exportations, etc.). Bien que les avantages ne soient pas directement comparables et qu</w:t>
      </w:r>
      <w:r w:rsidR="00D77549">
        <w:rPr>
          <w:lang w:val="fr-FR"/>
        </w:rPr>
        <w:t>’</w:t>
      </w:r>
      <w:r w:rsidRPr="00653BF4">
        <w:rPr>
          <w:lang w:val="fr-FR"/>
        </w:rPr>
        <w:t>il n</w:t>
      </w:r>
      <w:r w:rsidR="00D77549">
        <w:rPr>
          <w:lang w:val="fr-FR"/>
        </w:rPr>
        <w:t>’</w:t>
      </w:r>
      <w:r w:rsidRPr="00653BF4">
        <w:rPr>
          <w:lang w:val="fr-FR"/>
        </w:rPr>
        <w:t>ait pas été possible de les regrouper pour dégager une tendance unique, l</w:t>
      </w:r>
      <w:r w:rsidR="00D77549">
        <w:rPr>
          <w:lang w:val="fr-FR"/>
        </w:rPr>
        <w:t>’</w:t>
      </w:r>
      <w:r w:rsidRPr="00653BF4">
        <w:rPr>
          <w:lang w:val="fr-FR"/>
        </w:rPr>
        <w:t>analyse des tendances individuelles a révélé davantage de baisses que d</w:t>
      </w:r>
      <w:r w:rsidR="00D77549">
        <w:rPr>
          <w:lang w:val="fr-FR"/>
        </w:rPr>
        <w:t>’</w:t>
      </w:r>
      <w:r w:rsidRPr="00653BF4">
        <w:rPr>
          <w:lang w:val="fr-FR"/>
        </w:rPr>
        <w:t>augmentations des avantages. Environ la moitié des Parties ont indiqué qu</w:t>
      </w:r>
      <w:r w:rsidR="00D77549">
        <w:rPr>
          <w:lang w:val="fr-FR"/>
        </w:rPr>
        <w:t>’</w:t>
      </w:r>
      <w:r w:rsidRPr="00653BF4">
        <w:rPr>
          <w:lang w:val="fr-FR"/>
        </w:rPr>
        <w:t>actuellement, elles n</w:t>
      </w:r>
      <w:r w:rsidR="00D77549">
        <w:rPr>
          <w:lang w:val="fr-FR"/>
        </w:rPr>
        <w:t>’</w:t>
      </w:r>
      <w:r w:rsidRPr="00653BF4">
        <w:rPr>
          <w:lang w:val="fr-FR"/>
        </w:rPr>
        <w:t>assuraient pas de suivi des avantages découlant de l</w:t>
      </w:r>
      <w:r w:rsidR="00D77549">
        <w:rPr>
          <w:lang w:val="fr-FR"/>
        </w:rPr>
        <w:t>’</w:t>
      </w:r>
      <w:r w:rsidRPr="00653BF4">
        <w:rPr>
          <w:lang w:val="fr-FR"/>
        </w:rPr>
        <w:t>utilisation durable, invoquant des difficultés liées à la fois aux méthodes et aux données. En ce qui concerne l</w:t>
      </w:r>
      <w:r w:rsidR="00D77549">
        <w:rPr>
          <w:lang w:val="fr-FR"/>
        </w:rPr>
        <w:t>’</w:t>
      </w:r>
      <w:r w:rsidRPr="00653BF4">
        <w:rPr>
          <w:lang w:val="fr-FR"/>
        </w:rPr>
        <w:t>indicateur phare 9.2 (pourcentage de la population exerçant des activités traditionnelles), plusieurs Parties ont fait état de difficultés à identifier ces activités, soulignant qu</w:t>
      </w:r>
      <w:r w:rsidR="00D77549">
        <w:rPr>
          <w:lang w:val="fr-FR"/>
        </w:rPr>
        <w:t>’</w:t>
      </w:r>
      <w:r w:rsidRPr="00653BF4">
        <w:rPr>
          <w:lang w:val="fr-FR"/>
        </w:rPr>
        <w:t>elles dépendent fortement du contexte local. Plus d</w:t>
      </w:r>
      <w:r w:rsidR="00D77549">
        <w:rPr>
          <w:lang w:val="fr-FR"/>
        </w:rPr>
        <w:t>’</w:t>
      </w:r>
      <w:r w:rsidRPr="00653BF4">
        <w:rPr>
          <w:lang w:val="fr-FR"/>
        </w:rPr>
        <w:t>une Partie sur dix a déclaré que cet indicateur n</w:t>
      </w:r>
      <w:r w:rsidR="00D77549">
        <w:rPr>
          <w:lang w:val="fr-FR"/>
        </w:rPr>
        <w:t>’</w:t>
      </w:r>
      <w:r w:rsidRPr="00653BF4">
        <w:rPr>
          <w:lang w:val="fr-FR"/>
        </w:rPr>
        <w:t>était pas pertinent eu égard à la situation locale. Le pourcentage de personnes exerçant des activités traditionnelles variait fortement parmi les 19</w:t>
      </w:r>
      <w:r w:rsidR="002878D7">
        <w:rPr>
          <w:lang w:val="fr-FR"/>
        </w:rPr>
        <w:t> %</w:t>
      </w:r>
      <w:r w:rsidRPr="00653BF4">
        <w:rPr>
          <w:lang w:val="fr-FR"/>
        </w:rPr>
        <w:t xml:space="preserve"> de Parties ayant communiqué des données, la situation évoluant peu entre 2020 et 2025, période visée par le rapport (voir la figure 37).</w:t>
      </w:r>
    </w:p>
    <w:p w14:paraId="676C9153" w14:textId="66809E58" w:rsidR="00B87039" w:rsidRPr="00653BF4" w:rsidRDefault="00B87039" w:rsidP="00B87039">
      <w:pPr>
        <w:rPr>
          <w:lang w:val="fr-FR"/>
        </w:rPr>
      </w:pPr>
      <w:r w:rsidRPr="00653BF4">
        <w:rPr>
          <w:lang w:val="fr-FR"/>
        </w:rPr>
        <w:lastRenderedPageBreak/>
        <w:t>En ce qui concerne la mise en œuvre des politiques, telle qu</w:t>
      </w:r>
      <w:r w:rsidR="00D77549">
        <w:rPr>
          <w:lang w:val="fr-FR"/>
        </w:rPr>
        <w:t>’</w:t>
      </w:r>
      <w:r w:rsidRPr="00653BF4">
        <w:rPr>
          <w:lang w:val="fr-FR"/>
        </w:rPr>
        <w:t>elle est présentée par l</w:t>
      </w:r>
      <w:r w:rsidR="00D77549">
        <w:rPr>
          <w:lang w:val="fr-FR"/>
        </w:rPr>
        <w:t>’</w:t>
      </w:r>
      <w:r w:rsidRPr="00653BF4">
        <w:rPr>
          <w:lang w:val="fr-FR"/>
        </w:rPr>
        <w:t xml:space="preserve">indicateur binaire relatif à la </w:t>
      </w:r>
      <w:r w:rsidR="00E34DC9">
        <w:rPr>
          <w:lang w:val="fr-FR"/>
        </w:rPr>
        <w:t>cible 9</w:t>
      </w:r>
      <w:r w:rsidRPr="00653BF4">
        <w:rPr>
          <w:lang w:val="fr-FR"/>
        </w:rPr>
        <w:t>, de nombreuses Parties indiquent avoir pris des mesures importantes en vue de la mise en œuvre de politiques relatives à l</w:t>
      </w:r>
      <w:r w:rsidR="00D77549">
        <w:rPr>
          <w:lang w:val="fr-FR"/>
        </w:rPr>
        <w:t>’</w:t>
      </w:r>
      <w:r w:rsidRPr="00653BF4">
        <w:rPr>
          <w:lang w:val="fr-FR"/>
        </w:rPr>
        <w:t>utilisation durable des espèces sauvages, près de la moitié d</w:t>
      </w:r>
      <w:r w:rsidR="00D77549">
        <w:rPr>
          <w:lang w:val="fr-FR"/>
        </w:rPr>
        <w:t>’</w:t>
      </w:r>
      <w:r w:rsidRPr="00653BF4">
        <w:rPr>
          <w:lang w:val="fr-FR"/>
        </w:rPr>
        <w:t>entre elles précisant que des instruments juridiques ou des mesures administratives sont pleinement instaurés (voir la figure 38). Par ailleurs, environ les trois quarts des Parties indiquent avoir mis en place au moins des mesures partielles visant à protéger et à promouvoir les pratiques d</w:t>
      </w:r>
      <w:r w:rsidR="00D77549">
        <w:rPr>
          <w:lang w:val="fr-FR"/>
        </w:rPr>
        <w:t>’</w:t>
      </w:r>
      <w:r w:rsidRPr="00653BF4">
        <w:rPr>
          <w:lang w:val="fr-FR"/>
        </w:rPr>
        <w:t>utilisation coutumière durable de la biodiversité des peuples autochtones et communautés locales. Parmi les indicateurs nationaux alignés sur certains éléments de la cible, la plupart étaient liés à l</w:t>
      </w:r>
      <w:r w:rsidR="00D77549">
        <w:rPr>
          <w:lang w:val="fr-FR"/>
        </w:rPr>
        <w:t>’</w:t>
      </w:r>
      <w:r w:rsidRPr="00653BF4">
        <w:rPr>
          <w:lang w:val="fr-FR"/>
        </w:rPr>
        <w:t>utilisation coutumière durable. Par conséquent, même si des efforts supplémentaires sont nécessaires pour améliorer les méthodes de suivi, les Parties font état de progrès dans l</w:t>
      </w:r>
      <w:r w:rsidR="00D77549">
        <w:rPr>
          <w:lang w:val="fr-FR"/>
        </w:rPr>
        <w:t>’</w:t>
      </w:r>
      <w:r w:rsidRPr="00653BF4">
        <w:rPr>
          <w:lang w:val="fr-FR"/>
        </w:rPr>
        <w:t>amélioration d</w:t>
      </w:r>
      <w:r w:rsidR="00D77549">
        <w:rPr>
          <w:lang w:val="fr-FR"/>
        </w:rPr>
        <w:t>’</w:t>
      </w:r>
      <w:r w:rsidRPr="00653BF4">
        <w:rPr>
          <w:lang w:val="fr-FR"/>
        </w:rPr>
        <w:t>un environnement propice à l</w:t>
      </w:r>
      <w:r w:rsidR="00D77549">
        <w:rPr>
          <w:lang w:val="fr-FR"/>
        </w:rPr>
        <w:t>’</w:t>
      </w:r>
      <w:r w:rsidRPr="00653BF4">
        <w:rPr>
          <w:lang w:val="fr-FR"/>
        </w:rPr>
        <w:t>utilisation durable des espèces sauvages (voir la figure 39).</w:t>
      </w:r>
    </w:p>
    <w:p w14:paraId="4B10109E" w14:textId="77777777" w:rsidR="00B87039" w:rsidRPr="00653BF4" w:rsidRDefault="00B87039" w:rsidP="00B87039">
      <w:pPr>
        <w:rPr>
          <w:lang w:val="fr-FR"/>
        </w:rPr>
      </w:pPr>
    </w:p>
    <w:p w14:paraId="425A53B7" w14:textId="77777777" w:rsidR="00B87039" w:rsidRPr="00653BF4" w:rsidRDefault="00B87039" w:rsidP="00B87039">
      <w:pPr>
        <w:rPr>
          <w:sz w:val="20"/>
          <w:szCs w:val="20"/>
          <w:lang w:val="fr-FR"/>
        </w:rPr>
      </w:pPr>
      <w:r w:rsidRPr="00653BF4">
        <w:rPr>
          <w:sz w:val="20"/>
          <w:szCs w:val="20"/>
          <w:lang w:val="fr-FR"/>
        </w:rPr>
        <w:t>Figure 37</w:t>
      </w:r>
    </w:p>
    <w:p w14:paraId="1E4A76EA" w14:textId="78F2026E" w:rsidR="00B87039" w:rsidRPr="00653BF4" w:rsidRDefault="00B87039" w:rsidP="00B87039">
      <w:pPr>
        <w:rPr>
          <w:rFonts w:eastAsiaTheme="minorEastAsia"/>
          <w:b/>
          <w:bCs/>
          <w:color w:val="0E2841" w:themeColor="text2"/>
          <w:kern w:val="0"/>
          <w:sz w:val="20"/>
          <w:szCs w:val="20"/>
          <w:lang w:val="fr-FR" w:eastAsia="ja-JP"/>
          <w14:ligatures w14:val="none"/>
        </w:rPr>
      </w:pPr>
      <w:r w:rsidRPr="00653BF4">
        <w:rPr>
          <w:rFonts w:eastAsiaTheme="minorEastAsia"/>
          <w:b/>
          <w:bCs/>
          <w:color w:val="0E2841" w:themeColor="text2"/>
          <w:kern w:val="0"/>
          <w:sz w:val="20"/>
          <w:szCs w:val="20"/>
          <w:lang w:val="fr-FR"/>
          <w14:ligatures w14:val="none"/>
        </w:rPr>
        <w:t>Indicateur phare 9.2</w:t>
      </w:r>
      <w:r w:rsidR="00E34DC9">
        <w:rPr>
          <w:rFonts w:eastAsiaTheme="minorEastAsia"/>
          <w:b/>
          <w:bCs/>
          <w:color w:val="0E2841" w:themeColor="text2"/>
          <w:kern w:val="0"/>
          <w:sz w:val="20"/>
          <w:szCs w:val="20"/>
          <w:lang w:val="fr-FR"/>
          <w14:ligatures w14:val="none"/>
        </w:rPr>
        <w:t> :</w:t>
      </w:r>
      <w:r w:rsidRPr="00653BF4">
        <w:rPr>
          <w:rFonts w:eastAsiaTheme="minorEastAsia"/>
          <w:b/>
          <w:bCs/>
          <w:color w:val="0E2841" w:themeColor="text2"/>
          <w:kern w:val="0"/>
          <w:sz w:val="20"/>
          <w:szCs w:val="20"/>
          <w:lang w:val="fr-FR"/>
          <w14:ligatures w14:val="none"/>
        </w:rPr>
        <w:t xml:space="preserve"> pourcentage de la population exerçant des activités traditionnelles</w:t>
      </w:r>
    </w:p>
    <w:p w14:paraId="5E5CDE43" w14:textId="77777777" w:rsidR="00B87039" w:rsidRPr="00653BF4" w:rsidRDefault="00B87039" w:rsidP="00B87039">
      <w:pPr>
        <w:pStyle w:val="Caption"/>
        <w:rPr>
          <w:lang w:val="fr-FR"/>
        </w:rPr>
      </w:pPr>
      <w:bookmarkStart w:id="173" w:name="_Ref231164788"/>
      <w:r w:rsidRPr="00653BF4">
        <w:rPr>
          <w:rFonts w:cs="Segoe UI"/>
          <w:i w:val="0"/>
          <w:noProof/>
          <w:lang w:val="fr-FR"/>
        </w:rPr>
        <w:drawing>
          <wp:inline distT="0" distB="0" distL="0" distR="0" wp14:anchorId="20F2D372" wp14:editId="1EA68E9D">
            <wp:extent cx="4042161" cy="3031845"/>
            <wp:effectExtent l="0" t="0" r="0" b="3810"/>
            <wp:docPr id="145500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0078" name="Picture 14550078"/>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4067290" cy="3050693"/>
                    </a:xfrm>
                    <a:prstGeom prst="rect">
                      <a:avLst/>
                    </a:prstGeom>
                  </pic:spPr>
                </pic:pic>
              </a:graphicData>
            </a:graphic>
          </wp:inline>
        </w:drawing>
      </w:r>
    </w:p>
    <w:bookmarkEnd w:id="173"/>
    <w:p w14:paraId="2BC78828" w14:textId="77777777" w:rsidR="00B87039" w:rsidRPr="00653BF4" w:rsidRDefault="00B87039" w:rsidP="00B87039">
      <w:pPr>
        <w:pStyle w:val="Caption"/>
        <w:rPr>
          <w:lang w:val="fr-FR"/>
        </w:rPr>
      </w:pPr>
      <w:r w:rsidRPr="00653BF4">
        <w:rPr>
          <w:lang w:val="fr-FR"/>
        </w:rPr>
        <w:t xml:space="preserve"> </w:t>
      </w:r>
    </w:p>
    <w:p w14:paraId="20BF3BE0" w14:textId="526B6A15" w:rsidR="00B87039" w:rsidRPr="00653BF4" w:rsidRDefault="00B87039" w:rsidP="00B87039">
      <w:pPr>
        <w:rPr>
          <w:rFonts w:eastAsiaTheme="minorEastAsia"/>
          <w:color w:val="0E2841" w:themeColor="text2"/>
          <w:kern w:val="0"/>
          <w:sz w:val="18"/>
          <w:szCs w:val="18"/>
          <w:lang w:val="fr-FR" w:eastAsia="ja-JP"/>
          <w14:ligatures w14:val="none"/>
        </w:rPr>
      </w:pPr>
      <w:r w:rsidRPr="00653BF4">
        <w:rPr>
          <w:rFonts w:eastAsiaTheme="minorEastAsia"/>
          <w:i/>
          <w:iCs/>
          <w:color w:val="0E2841" w:themeColor="text2"/>
          <w:kern w:val="0"/>
          <w:sz w:val="18"/>
          <w:szCs w:val="18"/>
          <w:lang w:val="fr-FR"/>
          <w14:ligatures w14:val="none"/>
        </w:rPr>
        <w:t>Note</w:t>
      </w:r>
      <w:r w:rsidR="00E34DC9">
        <w:rPr>
          <w:rFonts w:eastAsiaTheme="minorEastAsia"/>
          <w:i/>
          <w:iCs/>
          <w:color w:val="0E2841" w:themeColor="text2"/>
          <w:kern w:val="0"/>
          <w:sz w:val="18"/>
          <w:szCs w:val="18"/>
          <w:lang w:val="fr-FR"/>
          <w14:ligatures w14:val="none"/>
        </w:rPr>
        <w:t> :</w:t>
      </w:r>
      <w:r w:rsidRPr="00653BF4">
        <w:rPr>
          <w:rFonts w:eastAsiaTheme="minorEastAsia"/>
          <w:color w:val="0E2841" w:themeColor="text2"/>
          <w:kern w:val="0"/>
          <w:sz w:val="18"/>
          <w:szCs w:val="18"/>
          <w:lang w:val="fr-FR"/>
          <w14:ligatures w14:val="none"/>
        </w:rPr>
        <w:t xml:space="preserve"> Les valeurs de l</w:t>
      </w:r>
      <w:r w:rsidR="00D77549">
        <w:rPr>
          <w:rFonts w:eastAsiaTheme="minorEastAsia"/>
          <w:color w:val="0E2841" w:themeColor="text2"/>
          <w:kern w:val="0"/>
          <w:sz w:val="18"/>
          <w:szCs w:val="18"/>
          <w:lang w:val="fr-FR"/>
          <w14:ligatures w14:val="none"/>
        </w:rPr>
        <w:t>’</w:t>
      </w:r>
      <w:r w:rsidRPr="00653BF4">
        <w:rPr>
          <w:rFonts w:eastAsiaTheme="minorEastAsia"/>
          <w:color w:val="0E2841" w:themeColor="text2"/>
          <w:kern w:val="0"/>
          <w:sz w:val="18"/>
          <w:szCs w:val="18"/>
          <w:lang w:val="fr-FR"/>
          <w14:ligatures w14:val="none"/>
        </w:rPr>
        <w:t>indicateur correspondent à la moyenne générale et à l’écart interquartile des données communiquées chaque année par les Parties. Le diagramme à barres de droite présente la répartition, par région, des Parties ayant communiqué des indicateurs. Les couleurs attribuées à chaque région sont indiquées dans la légende de la figure</w:t>
      </w:r>
      <w:r w:rsidR="00E34DC9">
        <w:rPr>
          <w:rFonts w:eastAsiaTheme="minorEastAsia"/>
          <w:color w:val="0E2841" w:themeColor="text2"/>
          <w:kern w:val="0"/>
          <w:sz w:val="18"/>
          <w:szCs w:val="18"/>
          <w:lang w:val="fr-FR"/>
          <w14:ligatures w14:val="none"/>
        </w:rPr>
        <w:t> :</w:t>
      </w:r>
      <w:r w:rsidRPr="00653BF4">
        <w:rPr>
          <w:rFonts w:eastAsiaTheme="minorEastAsia"/>
          <w:color w:val="0E2841" w:themeColor="text2"/>
          <w:kern w:val="0"/>
          <w:sz w:val="18"/>
          <w:szCs w:val="18"/>
          <w:lang w:val="fr-FR"/>
          <w14:ligatures w14:val="none"/>
        </w:rPr>
        <w:t xml:space="preserve"> les teintes plus foncées représentent la proportion des Parties d</w:t>
      </w:r>
      <w:r w:rsidR="00D77549">
        <w:rPr>
          <w:rFonts w:eastAsiaTheme="minorEastAsia"/>
          <w:color w:val="0E2841" w:themeColor="text2"/>
          <w:kern w:val="0"/>
          <w:sz w:val="18"/>
          <w:szCs w:val="18"/>
          <w:lang w:val="fr-FR"/>
          <w14:ligatures w14:val="none"/>
        </w:rPr>
        <w:t>’</w:t>
      </w:r>
      <w:r w:rsidRPr="00653BF4">
        <w:rPr>
          <w:rFonts w:eastAsiaTheme="minorEastAsia"/>
          <w:color w:val="0E2841" w:themeColor="text2"/>
          <w:kern w:val="0"/>
          <w:sz w:val="18"/>
          <w:szCs w:val="18"/>
          <w:lang w:val="fr-FR"/>
          <w14:ligatures w14:val="none"/>
        </w:rPr>
        <w:t>une région pour lesquelles des données sont intégrées dans le graphique</w:t>
      </w:r>
      <w:r w:rsidR="00E34DC9">
        <w:rPr>
          <w:rFonts w:eastAsiaTheme="minorEastAsia"/>
          <w:color w:val="0E2841" w:themeColor="text2"/>
          <w:kern w:val="0"/>
          <w:sz w:val="18"/>
          <w:szCs w:val="18"/>
          <w:lang w:val="fr-FR"/>
          <w14:ligatures w14:val="none"/>
        </w:rPr>
        <w:t> ;</w:t>
      </w:r>
      <w:r w:rsidRPr="00653BF4">
        <w:rPr>
          <w:rFonts w:eastAsiaTheme="minorEastAsia"/>
          <w:color w:val="0E2841" w:themeColor="text2"/>
          <w:kern w:val="0"/>
          <w:sz w:val="18"/>
          <w:szCs w:val="18"/>
          <w:lang w:val="fr-FR"/>
          <w14:ligatures w14:val="none"/>
        </w:rPr>
        <w:t xml:space="preserve"> les teintes plus claires représentent la proportion des Parties de cette même région pour lesquelles aucune donnée n</w:t>
      </w:r>
      <w:r w:rsidR="00D77549">
        <w:rPr>
          <w:rFonts w:eastAsiaTheme="minorEastAsia"/>
          <w:color w:val="0E2841" w:themeColor="text2"/>
          <w:kern w:val="0"/>
          <w:sz w:val="18"/>
          <w:szCs w:val="18"/>
          <w:lang w:val="fr-FR"/>
          <w14:ligatures w14:val="none"/>
        </w:rPr>
        <w:t>’</w:t>
      </w:r>
      <w:r w:rsidRPr="00653BF4">
        <w:rPr>
          <w:rFonts w:eastAsiaTheme="minorEastAsia"/>
          <w:color w:val="0E2841" w:themeColor="text2"/>
          <w:kern w:val="0"/>
          <w:sz w:val="18"/>
          <w:szCs w:val="18"/>
          <w:lang w:val="fr-FR"/>
          <w14:ligatures w14:val="none"/>
        </w:rPr>
        <w:t>est intégrée dans le graphique.</w:t>
      </w:r>
    </w:p>
    <w:tbl>
      <w:tblPr>
        <w:tblStyle w:val="TableGrid"/>
        <w:tblW w:w="8075" w:type="dxa"/>
        <w:tblLook w:val="04A0" w:firstRow="1" w:lastRow="0" w:firstColumn="1" w:lastColumn="0" w:noHBand="0" w:noVBand="1"/>
      </w:tblPr>
      <w:tblGrid>
        <w:gridCol w:w="3603"/>
        <w:gridCol w:w="4472"/>
      </w:tblGrid>
      <w:tr w:rsidR="00735F5E" w:rsidRPr="006F7AF8" w14:paraId="434E762E" w14:textId="77777777" w:rsidTr="009B4355">
        <w:tc>
          <w:tcPr>
            <w:tcW w:w="8075" w:type="dxa"/>
            <w:gridSpan w:val="2"/>
          </w:tcPr>
          <w:p w14:paraId="2A636CB7" w14:textId="77777777" w:rsidR="00735F5E" w:rsidRPr="006F7AF8" w:rsidRDefault="00735F5E" w:rsidP="009B4355">
            <w:pPr>
              <w:rPr>
                <w:rFonts w:ascii="Aptos" w:hAnsi="Aptos"/>
                <w:lang w:val="fr-FR"/>
              </w:rPr>
            </w:pPr>
            <w:r>
              <w:rPr>
                <w:rFonts w:ascii="Aptos" w:hAnsi="Aptos"/>
                <w:lang w:val="fr-FR"/>
              </w:rPr>
              <w:lastRenderedPageBreak/>
              <w:t>Figure 37</w:t>
            </w:r>
          </w:p>
        </w:tc>
      </w:tr>
      <w:tr w:rsidR="00735F5E" w:rsidRPr="00DB07B1" w14:paraId="27D1165B" w14:textId="77777777" w:rsidTr="009B4355">
        <w:tc>
          <w:tcPr>
            <w:tcW w:w="3603" w:type="dxa"/>
          </w:tcPr>
          <w:p w14:paraId="3418AA6A" w14:textId="77777777" w:rsidR="00735F5E" w:rsidRPr="00DB07B1" w:rsidRDefault="00735F5E" w:rsidP="009B4355">
            <w:pPr>
              <w:rPr>
                <w:rFonts w:ascii="Aptos" w:hAnsi="Aptos"/>
                <w:lang w:val="fr-FR"/>
              </w:rPr>
            </w:pPr>
            <w:r w:rsidRPr="00DB07B1">
              <w:rPr>
                <w:rFonts w:ascii="Aptos" w:hAnsi="Aptos"/>
                <w:lang w:val="fr-FR"/>
              </w:rPr>
              <w:t xml:space="preserve">English </w:t>
            </w:r>
          </w:p>
        </w:tc>
        <w:tc>
          <w:tcPr>
            <w:tcW w:w="4472" w:type="dxa"/>
          </w:tcPr>
          <w:p w14:paraId="314E66F8" w14:textId="77777777" w:rsidR="00735F5E" w:rsidRPr="00DB07B1" w:rsidRDefault="00735F5E" w:rsidP="009B4355">
            <w:pPr>
              <w:rPr>
                <w:rFonts w:ascii="Aptos" w:hAnsi="Aptos"/>
                <w:lang w:val="fr-FR"/>
              </w:rPr>
            </w:pPr>
            <w:r>
              <w:rPr>
                <w:rFonts w:ascii="Aptos" w:hAnsi="Aptos"/>
                <w:lang w:val="fr-FR"/>
              </w:rPr>
              <w:t>Français</w:t>
            </w:r>
          </w:p>
        </w:tc>
      </w:tr>
      <w:tr w:rsidR="00735F5E" w:rsidRPr="006F7AF8" w14:paraId="31D8C93C" w14:textId="77777777" w:rsidTr="009B4355">
        <w:tc>
          <w:tcPr>
            <w:tcW w:w="3603" w:type="dxa"/>
          </w:tcPr>
          <w:p w14:paraId="1B5367DE" w14:textId="77777777" w:rsidR="00735F5E" w:rsidRPr="006F7AF8" w:rsidRDefault="00735F5E" w:rsidP="009B4355">
            <w:pPr>
              <w:rPr>
                <w:rFonts w:ascii="Aptos" w:hAnsi="Aptos"/>
                <w:lang w:val="fr-FR"/>
              </w:rPr>
            </w:pPr>
            <w:r w:rsidRPr="006F7AF8">
              <w:rPr>
                <w:rFonts w:ascii="Aptos" w:hAnsi="Aptos"/>
                <w:lang w:val="fr-FR"/>
              </w:rPr>
              <w:t>Population in traditional occupations (percentage)</w:t>
            </w:r>
          </w:p>
        </w:tc>
        <w:tc>
          <w:tcPr>
            <w:tcW w:w="4472" w:type="dxa"/>
          </w:tcPr>
          <w:p w14:paraId="69C47C13" w14:textId="77777777" w:rsidR="00735F5E" w:rsidRPr="006F7AF8" w:rsidRDefault="00735F5E" w:rsidP="009B4355">
            <w:pPr>
              <w:rPr>
                <w:rFonts w:ascii="Aptos" w:hAnsi="Aptos"/>
                <w:lang w:val="fr-FR"/>
              </w:rPr>
            </w:pPr>
            <w:r w:rsidRPr="006F7AF8">
              <w:rPr>
                <w:rFonts w:ascii="Aptos" w:hAnsi="Aptos"/>
                <w:lang w:val="fr-FR"/>
              </w:rPr>
              <w:t>Population exerçant des activités traditionnelles (pourcentage)</w:t>
            </w:r>
          </w:p>
        </w:tc>
      </w:tr>
      <w:tr w:rsidR="00735F5E" w:rsidRPr="006F7AF8" w14:paraId="10C341B4" w14:textId="77777777" w:rsidTr="009B4355">
        <w:tc>
          <w:tcPr>
            <w:tcW w:w="3603" w:type="dxa"/>
          </w:tcPr>
          <w:p w14:paraId="64ACBE96" w14:textId="77777777" w:rsidR="00735F5E" w:rsidRPr="006F7AF8" w:rsidRDefault="00735F5E" w:rsidP="009B4355">
            <w:pPr>
              <w:rPr>
                <w:rFonts w:ascii="Aptos" w:hAnsi="Aptos"/>
                <w:lang w:val="fr-FR"/>
              </w:rPr>
            </w:pPr>
            <w:r w:rsidRPr="006F7AF8">
              <w:rPr>
                <w:rFonts w:ascii="Aptos" w:hAnsi="Aptos"/>
                <w:lang w:val="fr-FR"/>
              </w:rPr>
              <w:t>Year</w:t>
            </w:r>
          </w:p>
        </w:tc>
        <w:tc>
          <w:tcPr>
            <w:tcW w:w="4472" w:type="dxa"/>
          </w:tcPr>
          <w:p w14:paraId="52187EBF" w14:textId="77777777" w:rsidR="00735F5E" w:rsidRPr="006F7AF8" w:rsidRDefault="00735F5E" w:rsidP="009B4355">
            <w:pPr>
              <w:rPr>
                <w:rFonts w:ascii="Aptos" w:hAnsi="Aptos"/>
                <w:lang w:val="fr-FR"/>
              </w:rPr>
            </w:pPr>
            <w:r w:rsidRPr="006F7AF8">
              <w:rPr>
                <w:rFonts w:ascii="Aptos" w:hAnsi="Aptos"/>
                <w:lang w:val="fr-FR"/>
              </w:rPr>
              <w:t>Année</w:t>
            </w:r>
          </w:p>
        </w:tc>
      </w:tr>
      <w:tr w:rsidR="00735F5E" w:rsidRPr="006F7AF8" w14:paraId="75071E6C" w14:textId="77777777" w:rsidTr="009B4355">
        <w:tc>
          <w:tcPr>
            <w:tcW w:w="3603" w:type="dxa"/>
          </w:tcPr>
          <w:p w14:paraId="2DBC417A" w14:textId="77777777" w:rsidR="00735F5E" w:rsidRPr="006F7AF8" w:rsidRDefault="00735F5E" w:rsidP="009B4355">
            <w:pPr>
              <w:rPr>
                <w:rFonts w:ascii="Aptos" w:hAnsi="Aptos"/>
                <w:lang w:val="fr-FR"/>
              </w:rPr>
            </w:pPr>
            <w:r w:rsidRPr="006F7AF8">
              <w:rPr>
                <w:rFonts w:ascii="Aptos" w:hAnsi="Aptos"/>
                <w:lang w:val="fr-FR"/>
              </w:rPr>
              <w:t>Party count: 13</w:t>
            </w:r>
          </w:p>
        </w:tc>
        <w:tc>
          <w:tcPr>
            <w:tcW w:w="4472" w:type="dxa"/>
          </w:tcPr>
          <w:p w14:paraId="2A28A9CE" w14:textId="77777777" w:rsidR="00735F5E" w:rsidRPr="006F7AF8" w:rsidRDefault="00735F5E" w:rsidP="009B4355">
            <w:pPr>
              <w:rPr>
                <w:rFonts w:ascii="Aptos" w:hAnsi="Aptos"/>
                <w:lang w:val="fr-FR"/>
              </w:rPr>
            </w:pPr>
            <w:r w:rsidRPr="006F7AF8">
              <w:rPr>
                <w:rFonts w:ascii="Aptos" w:hAnsi="Aptos"/>
                <w:lang w:val="fr-FR"/>
              </w:rPr>
              <w:t>Nombre de Parties : 13</w:t>
            </w:r>
          </w:p>
        </w:tc>
      </w:tr>
      <w:tr w:rsidR="00735F5E" w:rsidRPr="006F7AF8" w14:paraId="61121A01" w14:textId="77777777" w:rsidTr="009B4355">
        <w:tc>
          <w:tcPr>
            <w:tcW w:w="3603" w:type="dxa"/>
          </w:tcPr>
          <w:p w14:paraId="2D27063A" w14:textId="77777777" w:rsidR="00735F5E" w:rsidRPr="006F7AF8" w:rsidRDefault="00735F5E" w:rsidP="009B4355">
            <w:pPr>
              <w:rPr>
                <w:rFonts w:ascii="Aptos" w:hAnsi="Aptos"/>
                <w:lang w:val="fr-FR"/>
              </w:rPr>
            </w:pPr>
            <w:r w:rsidRPr="006F7AF8">
              <w:rPr>
                <w:rFonts w:ascii="Aptos" w:hAnsi="Aptos"/>
                <w:lang w:val="fr-FR"/>
              </w:rPr>
              <w:t>Party count by region</w:t>
            </w:r>
          </w:p>
        </w:tc>
        <w:tc>
          <w:tcPr>
            <w:tcW w:w="4472" w:type="dxa"/>
          </w:tcPr>
          <w:p w14:paraId="4D26B59D" w14:textId="77777777" w:rsidR="00735F5E" w:rsidRPr="006F7AF8" w:rsidRDefault="00735F5E" w:rsidP="009B4355">
            <w:pPr>
              <w:rPr>
                <w:rFonts w:ascii="Aptos" w:hAnsi="Aptos"/>
                <w:lang w:val="fr-FR"/>
              </w:rPr>
            </w:pPr>
            <w:r w:rsidRPr="006F7AF8">
              <w:rPr>
                <w:rFonts w:ascii="Aptos" w:hAnsi="Aptos"/>
                <w:lang w:val="fr-FR"/>
              </w:rPr>
              <w:t>Nombre de Parties par région</w:t>
            </w:r>
          </w:p>
        </w:tc>
      </w:tr>
      <w:tr w:rsidR="00735F5E" w:rsidRPr="006F7AF8" w14:paraId="7751FFAE" w14:textId="77777777" w:rsidTr="009B4355">
        <w:tc>
          <w:tcPr>
            <w:tcW w:w="3603" w:type="dxa"/>
          </w:tcPr>
          <w:p w14:paraId="0E7C8DA1" w14:textId="77777777" w:rsidR="00735F5E" w:rsidRPr="006F7AF8" w:rsidRDefault="00735F5E" w:rsidP="009B4355">
            <w:pPr>
              <w:rPr>
                <w:rFonts w:ascii="Aptos" w:hAnsi="Aptos"/>
                <w:lang w:val="fr-FR"/>
              </w:rPr>
            </w:pPr>
            <w:r w:rsidRPr="006F7AF8">
              <w:rPr>
                <w:rFonts w:ascii="Aptos" w:hAnsi="Aptos"/>
                <w:lang w:val="fr-FR"/>
              </w:rPr>
              <w:t>Region</w:t>
            </w:r>
          </w:p>
        </w:tc>
        <w:tc>
          <w:tcPr>
            <w:tcW w:w="4472" w:type="dxa"/>
          </w:tcPr>
          <w:p w14:paraId="5B52173A"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000146A6" w14:textId="77777777" w:rsidTr="009B4355">
        <w:tc>
          <w:tcPr>
            <w:tcW w:w="3603" w:type="dxa"/>
          </w:tcPr>
          <w:p w14:paraId="1FCAC0D5" w14:textId="77777777" w:rsidR="00735F5E" w:rsidRPr="006F7AF8" w:rsidRDefault="00735F5E" w:rsidP="009B4355">
            <w:pPr>
              <w:rPr>
                <w:rFonts w:ascii="Aptos" w:hAnsi="Aptos"/>
                <w:lang w:val="fr-FR"/>
              </w:rPr>
            </w:pPr>
            <w:r w:rsidRPr="006F7AF8">
              <w:rPr>
                <w:rFonts w:ascii="Aptos" w:hAnsi="Aptos"/>
                <w:lang w:val="fr-FR"/>
              </w:rPr>
              <w:t>African States</w:t>
            </w:r>
          </w:p>
        </w:tc>
        <w:tc>
          <w:tcPr>
            <w:tcW w:w="4472" w:type="dxa"/>
          </w:tcPr>
          <w:p w14:paraId="4054605B"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6CD0BDBB" w14:textId="77777777" w:rsidTr="009B4355">
        <w:tc>
          <w:tcPr>
            <w:tcW w:w="3603" w:type="dxa"/>
          </w:tcPr>
          <w:p w14:paraId="4BFFFBA3"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472" w:type="dxa"/>
          </w:tcPr>
          <w:p w14:paraId="366571EF"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6A03E237" w14:textId="77777777" w:rsidTr="009B4355">
        <w:tc>
          <w:tcPr>
            <w:tcW w:w="3603" w:type="dxa"/>
          </w:tcPr>
          <w:p w14:paraId="1F0B9BF5"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472" w:type="dxa"/>
          </w:tcPr>
          <w:p w14:paraId="1B6AC492"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3CF2BBBA" w14:textId="77777777" w:rsidTr="009B4355">
        <w:tc>
          <w:tcPr>
            <w:tcW w:w="3603" w:type="dxa"/>
          </w:tcPr>
          <w:p w14:paraId="320A3544"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472" w:type="dxa"/>
          </w:tcPr>
          <w:p w14:paraId="4CAA5103"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5E7E521D" w14:textId="77777777" w:rsidTr="009B4355">
        <w:tc>
          <w:tcPr>
            <w:tcW w:w="3603" w:type="dxa"/>
          </w:tcPr>
          <w:p w14:paraId="4718AE07"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472" w:type="dxa"/>
          </w:tcPr>
          <w:p w14:paraId="18D92C1F"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6368D5F1" w14:textId="77777777" w:rsidR="00B87039" w:rsidRPr="00653BF4" w:rsidRDefault="00B87039" w:rsidP="00B87039">
      <w:pPr>
        <w:rPr>
          <w:lang w:val="fr-FR" w:eastAsia="ja-JP"/>
        </w:rPr>
      </w:pPr>
    </w:p>
    <w:p w14:paraId="47E46906" w14:textId="77777777" w:rsidR="00B87039" w:rsidRPr="00653BF4" w:rsidRDefault="00B87039" w:rsidP="00B87039">
      <w:pPr>
        <w:rPr>
          <w:sz w:val="20"/>
          <w:szCs w:val="20"/>
          <w:lang w:val="fr-FR" w:eastAsia="ja-JP"/>
        </w:rPr>
      </w:pPr>
      <w:r w:rsidRPr="00653BF4">
        <w:rPr>
          <w:sz w:val="20"/>
          <w:szCs w:val="20"/>
          <w:lang w:val="fr-FR"/>
        </w:rPr>
        <w:t>Figure 38</w:t>
      </w:r>
    </w:p>
    <w:p w14:paraId="209DE94B" w14:textId="6266777D" w:rsidR="00B87039" w:rsidRPr="00653BF4" w:rsidRDefault="00B87039" w:rsidP="00B87039">
      <w:pPr>
        <w:pStyle w:val="Caption"/>
        <w:rPr>
          <w:b/>
          <w:bCs/>
          <w:i w:val="0"/>
          <w:iCs w:val="0"/>
          <w:sz w:val="20"/>
          <w:szCs w:val="20"/>
          <w:lang w:val="fr-FR"/>
        </w:rPr>
      </w:pPr>
      <w:r w:rsidRPr="00653BF4">
        <w:rPr>
          <w:rStyle w:val="normaltextrun"/>
          <w:rFonts w:cs="Segoe UI"/>
          <w:b/>
          <w:bCs/>
          <w:i w:val="0"/>
          <w:iCs w:val="0"/>
          <w:sz w:val="20"/>
          <w:szCs w:val="20"/>
          <w:lang w:val="fr-FR"/>
        </w:rPr>
        <w:t>Indicateur binaire 9.b</w:t>
      </w:r>
      <w:r w:rsidR="00E34DC9">
        <w:rPr>
          <w:rStyle w:val="normaltextrun"/>
          <w:rFonts w:cs="Segoe UI"/>
          <w:b/>
          <w:bCs/>
          <w:i w:val="0"/>
          <w:iCs w:val="0"/>
          <w:sz w:val="20"/>
          <w:szCs w:val="20"/>
          <w:lang w:val="fr-FR"/>
        </w:rPr>
        <w:t> :</w:t>
      </w:r>
      <w:r w:rsidRPr="00653BF4">
        <w:rPr>
          <w:rStyle w:val="normaltextrun"/>
          <w:rFonts w:cs="Segoe UI"/>
          <w:b/>
          <w:bCs/>
          <w:i w:val="0"/>
          <w:iCs w:val="0"/>
          <w:sz w:val="20"/>
          <w:szCs w:val="20"/>
          <w:lang w:val="fr-FR"/>
        </w:rPr>
        <w:t xml:space="preserve"> nombre de pays ayant adopté des mesures visant à favoriser la gestion et l</w:t>
      </w:r>
      <w:r w:rsidR="00D77549">
        <w:rPr>
          <w:rStyle w:val="normaltextrun"/>
          <w:rFonts w:cs="Segoe UI"/>
          <w:b/>
          <w:bCs/>
          <w:i w:val="0"/>
          <w:iCs w:val="0"/>
          <w:sz w:val="20"/>
          <w:szCs w:val="20"/>
          <w:lang w:val="fr-FR"/>
        </w:rPr>
        <w:t>’</w:t>
      </w:r>
      <w:r w:rsidRPr="00653BF4">
        <w:rPr>
          <w:rStyle w:val="normaltextrun"/>
          <w:rFonts w:cs="Segoe UI"/>
          <w:b/>
          <w:bCs/>
          <w:i w:val="0"/>
          <w:iCs w:val="0"/>
          <w:sz w:val="20"/>
          <w:szCs w:val="20"/>
          <w:lang w:val="fr-FR"/>
        </w:rPr>
        <w:t>utilisation durables des espèces sauvages, procurant des avantages sociaux, économiques et environnementaux aux populations, et à protéger et promouvoir les pratiques d</w:t>
      </w:r>
      <w:r w:rsidR="00D77549">
        <w:rPr>
          <w:rStyle w:val="normaltextrun"/>
          <w:rFonts w:cs="Segoe UI"/>
          <w:b/>
          <w:bCs/>
          <w:i w:val="0"/>
          <w:iCs w:val="0"/>
          <w:sz w:val="20"/>
          <w:szCs w:val="20"/>
          <w:lang w:val="fr-FR"/>
        </w:rPr>
        <w:t>’</w:t>
      </w:r>
      <w:r w:rsidRPr="00653BF4">
        <w:rPr>
          <w:rStyle w:val="normaltextrun"/>
          <w:rFonts w:cs="Segoe UI"/>
          <w:b/>
          <w:bCs/>
          <w:i w:val="0"/>
          <w:iCs w:val="0"/>
          <w:sz w:val="20"/>
          <w:szCs w:val="20"/>
          <w:lang w:val="fr-FR"/>
        </w:rPr>
        <w:t xml:space="preserve">utilisation coutumière durable des peuples autochtones et communautés locales </w:t>
      </w:r>
    </w:p>
    <w:p w14:paraId="094AA292" w14:textId="77777777" w:rsidR="00B87039" w:rsidRPr="00653BF4" w:rsidRDefault="00B87039" w:rsidP="00B87039">
      <w:pPr>
        <w:pStyle w:val="Caption"/>
        <w:rPr>
          <w:lang w:val="fr-FR"/>
        </w:rPr>
      </w:pPr>
      <w:bookmarkStart w:id="174" w:name="_Ref231164864"/>
      <w:r w:rsidRPr="00653BF4">
        <w:rPr>
          <w:noProof/>
          <w:lang w:val="fr-FR"/>
          <w14:ligatures w14:val="standardContextual"/>
        </w:rPr>
        <w:drawing>
          <wp:inline distT="0" distB="0" distL="0" distR="0" wp14:anchorId="76B9DA79" wp14:editId="52FF520F">
            <wp:extent cx="5943600" cy="2264410"/>
            <wp:effectExtent l="0" t="0" r="0" b="0"/>
            <wp:docPr id="2185327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32730" name="Picture 218532730"/>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174"/>
    <w:p w14:paraId="0F4B7842" w14:textId="6BF5CC85" w:rsidR="00B87039" w:rsidRPr="00653BF4" w:rsidRDefault="00B87039" w:rsidP="00B87039">
      <w:pPr>
        <w:pStyle w:val="Caption"/>
        <w:rPr>
          <w:i w:val="0"/>
          <w:iCs w:val="0"/>
          <w:lang w:val="fr-FR"/>
        </w:rPr>
      </w:pPr>
      <w:r w:rsidRPr="00653BF4">
        <w:rPr>
          <w:i w:val="0"/>
          <w:iCs w:val="0"/>
          <w:lang w:val="fr-FR"/>
        </w:rPr>
        <w:t>Note</w:t>
      </w:r>
      <w:r w:rsidR="00E34DC9">
        <w:rPr>
          <w:i w:val="0"/>
          <w:iCs w:val="0"/>
          <w:lang w:val="fr-FR"/>
        </w:rPr>
        <w:t> :</w:t>
      </w:r>
      <w:r w:rsidRPr="00653BF4">
        <w:rPr>
          <w:i w:val="0"/>
          <w:iCs w:val="0"/>
          <w:lang w:val="fr-FR"/>
        </w:rPr>
        <w:t xml:space="preserve"> La largeur des barres indique le pourcentage de Parties dans chaque catégorie de note, une note plus élevée correspondant à des progrès plus importants. Les notes sont établies d’après les réponses aux questions de l’indicateur</w:t>
      </w:r>
      <w:r w:rsidRPr="00653BF4">
        <w:rPr>
          <w:i w:val="0"/>
          <w:iCs w:val="0"/>
          <w:vertAlign w:val="superscript"/>
          <w:lang w:val="fr-FR"/>
        </w:rPr>
        <w:t>a</w:t>
      </w:r>
      <w:r w:rsidRPr="00653BF4">
        <w:rPr>
          <w:i w:val="0"/>
          <w:iCs w:val="0"/>
          <w:lang w:val="fr-FR"/>
        </w:rPr>
        <w:t>. Le diagramme circulaire représente la répartition par région des Parties ayant répondu à toutes les questions.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p w14:paraId="5D513ED0" w14:textId="77777777" w:rsidR="00B87039" w:rsidRPr="00653BF4" w:rsidRDefault="00B87039" w:rsidP="00B87039">
      <w:pPr>
        <w:rPr>
          <w:sz w:val="18"/>
          <w:szCs w:val="18"/>
          <w:lang w:val="fr-FR"/>
        </w:rPr>
      </w:pPr>
      <w:r w:rsidRPr="00653BF4">
        <w:rPr>
          <w:sz w:val="18"/>
          <w:szCs w:val="18"/>
          <w:vertAlign w:val="superscript"/>
          <w:lang w:val="fr-FR"/>
        </w:rPr>
        <w:t xml:space="preserve">a </w:t>
      </w:r>
      <w:r w:rsidRPr="00653BF4">
        <w:rPr>
          <w:sz w:val="18"/>
          <w:szCs w:val="18"/>
          <w:lang w:val="fr-FR"/>
        </w:rPr>
        <w:t xml:space="preserve">La méthode de calcul des notes pour chaque indicateur binaire, ainsi que les questions associées à chaque indicateur, figurent dans le document </w:t>
      </w:r>
      <w:hyperlink r:id="rId119" w:history="1">
        <w:r w:rsidRPr="00653BF4">
          <w:rPr>
            <w:rStyle w:val="Hyperlink"/>
            <w:sz w:val="18"/>
            <w:szCs w:val="18"/>
            <w:lang w:val="fr-FR"/>
          </w:rPr>
          <w:t>CBD/COP/16/INF/3/Rev.1</w:t>
        </w:r>
      </w:hyperlink>
      <w:r w:rsidRPr="00653BF4">
        <w:rPr>
          <w:sz w:val="18"/>
          <w:szCs w:val="18"/>
          <w:lang w:val="fr-FR"/>
        </w:rPr>
        <w:t>.</w:t>
      </w:r>
    </w:p>
    <w:tbl>
      <w:tblPr>
        <w:tblStyle w:val="TableGrid"/>
        <w:tblW w:w="8861" w:type="dxa"/>
        <w:tblLook w:val="04A0" w:firstRow="1" w:lastRow="0" w:firstColumn="1" w:lastColumn="0" w:noHBand="0" w:noVBand="1"/>
      </w:tblPr>
      <w:tblGrid>
        <w:gridCol w:w="4188"/>
        <w:gridCol w:w="4673"/>
      </w:tblGrid>
      <w:tr w:rsidR="00735F5E" w:rsidRPr="006F7AF8" w14:paraId="178ABF77" w14:textId="77777777" w:rsidTr="009B4355">
        <w:tc>
          <w:tcPr>
            <w:tcW w:w="8861" w:type="dxa"/>
            <w:gridSpan w:val="2"/>
          </w:tcPr>
          <w:p w14:paraId="39694BB9" w14:textId="77777777" w:rsidR="00735F5E" w:rsidRPr="006F7AF8" w:rsidRDefault="00735F5E" w:rsidP="009B4355">
            <w:pPr>
              <w:rPr>
                <w:rFonts w:ascii="Aptos" w:hAnsi="Aptos"/>
                <w:lang w:val="fr-FR"/>
              </w:rPr>
            </w:pPr>
            <w:r>
              <w:rPr>
                <w:rFonts w:ascii="Aptos" w:hAnsi="Aptos"/>
                <w:lang w:val="fr-FR"/>
              </w:rPr>
              <w:t>Figure 38</w:t>
            </w:r>
          </w:p>
        </w:tc>
      </w:tr>
      <w:tr w:rsidR="00735F5E" w:rsidRPr="005E759B" w14:paraId="3DF3038D" w14:textId="77777777" w:rsidTr="009B4355">
        <w:tc>
          <w:tcPr>
            <w:tcW w:w="4188" w:type="dxa"/>
          </w:tcPr>
          <w:p w14:paraId="40E0081B" w14:textId="77777777" w:rsidR="00735F5E" w:rsidRPr="005E759B" w:rsidRDefault="00735F5E" w:rsidP="009B4355">
            <w:pPr>
              <w:rPr>
                <w:rFonts w:ascii="Aptos" w:hAnsi="Aptos"/>
                <w:lang w:val="fr-FR"/>
              </w:rPr>
            </w:pPr>
            <w:r w:rsidRPr="005E759B">
              <w:rPr>
                <w:rFonts w:ascii="Aptos" w:hAnsi="Aptos"/>
                <w:lang w:val="fr-FR"/>
              </w:rPr>
              <w:lastRenderedPageBreak/>
              <w:t xml:space="preserve">English </w:t>
            </w:r>
          </w:p>
        </w:tc>
        <w:tc>
          <w:tcPr>
            <w:tcW w:w="4673" w:type="dxa"/>
          </w:tcPr>
          <w:p w14:paraId="6DA3BF69" w14:textId="77777777" w:rsidR="00735F5E" w:rsidRPr="005E759B" w:rsidRDefault="00735F5E" w:rsidP="009B4355">
            <w:pPr>
              <w:rPr>
                <w:rFonts w:ascii="Aptos" w:hAnsi="Aptos"/>
                <w:lang w:val="fr-FR"/>
              </w:rPr>
            </w:pPr>
            <w:r>
              <w:rPr>
                <w:rFonts w:ascii="Aptos" w:hAnsi="Aptos"/>
                <w:lang w:val="fr-FR"/>
              </w:rPr>
              <w:t>Français</w:t>
            </w:r>
          </w:p>
        </w:tc>
      </w:tr>
      <w:tr w:rsidR="00735F5E" w:rsidRPr="006F7AF8" w14:paraId="372D251D" w14:textId="77777777" w:rsidTr="009B4355">
        <w:tc>
          <w:tcPr>
            <w:tcW w:w="4188" w:type="dxa"/>
          </w:tcPr>
          <w:p w14:paraId="2EDBFAFC" w14:textId="77777777" w:rsidR="00735F5E" w:rsidRPr="006F7AF8" w:rsidRDefault="00735F5E" w:rsidP="009B4355">
            <w:pPr>
              <w:rPr>
                <w:rFonts w:ascii="Aptos" w:hAnsi="Aptos"/>
                <w:lang w:val="fr-FR"/>
              </w:rPr>
            </w:pPr>
            <w:r w:rsidRPr="006F7AF8">
              <w:rPr>
                <w:rFonts w:ascii="Aptos" w:hAnsi="Aptos"/>
                <w:lang w:val="fr-FR"/>
              </w:rPr>
              <w:t>Answers (percentage)</w:t>
            </w:r>
          </w:p>
        </w:tc>
        <w:tc>
          <w:tcPr>
            <w:tcW w:w="4673" w:type="dxa"/>
          </w:tcPr>
          <w:p w14:paraId="48386951" w14:textId="77777777" w:rsidR="00735F5E" w:rsidRPr="006F7AF8" w:rsidRDefault="00735F5E" w:rsidP="009B4355">
            <w:pPr>
              <w:rPr>
                <w:rFonts w:ascii="Aptos" w:hAnsi="Aptos"/>
                <w:lang w:val="fr-FR"/>
              </w:rPr>
            </w:pPr>
            <w:r w:rsidRPr="006F7AF8">
              <w:rPr>
                <w:rFonts w:ascii="Aptos" w:hAnsi="Aptos"/>
                <w:lang w:val="fr-FR"/>
              </w:rPr>
              <w:t>Réponses (pourcentage)</w:t>
            </w:r>
          </w:p>
        </w:tc>
      </w:tr>
      <w:tr w:rsidR="00735F5E" w:rsidRPr="006F7AF8" w14:paraId="1833EEA3" w14:textId="77777777" w:rsidTr="009B4355">
        <w:tc>
          <w:tcPr>
            <w:tcW w:w="4188" w:type="dxa"/>
          </w:tcPr>
          <w:p w14:paraId="59F59776" w14:textId="77777777" w:rsidR="00735F5E" w:rsidRPr="006F7AF8" w:rsidRDefault="00735F5E" w:rsidP="009B4355">
            <w:pPr>
              <w:rPr>
                <w:rFonts w:ascii="Aptos" w:hAnsi="Aptos"/>
                <w:lang w:val="fr-FR"/>
              </w:rPr>
            </w:pPr>
            <w:r w:rsidRPr="006F7AF8">
              <w:rPr>
                <w:rFonts w:ascii="Aptos" w:hAnsi="Aptos"/>
                <w:lang w:val="fr-FR"/>
              </w:rPr>
              <w:t>Score Level</w:t>
            </w:r>
          </w:p>
        </w:tc>
        <w:tc>
          <w:tcPr>
            <w:tcW w:w="4673" w:type="dxa"/>
          </w:tcPr>
          <w:p w14:paraId="3DC0601C" w14:textId="77777777" w:rsidR="00735F5E" w:rsidRPr="006F7AF8" w:rsidRDefault="00735F5E" w:rsidP="009B4355">
            <w:pPr>
              <w:rPr>
                <w:rFonts w:ascii="Aptos" w:hAnsi="Aptos"/>
                <w:lang w:val="fr-FR"/>
              </w:rPr>
            </w:pPr>
            <w:r>
              <w:rPr>
                <w:rFonts w:ascii="Aptos" w:hAnsi="Aptos"/>
                <w:lang w:val="fr-FR"/>
              </w:rPr>
              <w:t>Note</w:t>
            </w:r>
          </w:p>
        </w:tc>
      </w:tr>
      <w:tr w:rsidR="00735F5E" w:rsidRPr="006F7AF8" w14:paraId="7D7B26C1" w14:textId="77777777" w:rsidTr="009B4355">
        <w:tc>
          <w:tcPr>
            <w:tcW w:w="4188" w:type="dxa"/>
          </w:tcPr>
          <w:p w14:paraId="1B569C3D" w14:textId="77777777" w:rsidR="00735F5E" w:rsidRPr="006F7AF8" w:rsidRDefault="00735F5E" w:rsidP="009B4355">
            <w:pPr>
              <w:rPr>
                <w:rFonts w:ascii="Aptos" w:hAnsi="Aptos"/>
                <w:lang w:val="fr-FR"/>
              </w:rPr>
            </w:pPr>
            <w:r w:rsidRPr="006F7AF8">
              <w:rPr>
                <w:rFonts w:ascii="Aptos" w:hAnsi="Aptos"/>
                <w:lang w:val="fr-FR"/>
              </w:rPr>
              <w:t>Party count: 127</w:t>
            </w:r>
          </w:p>
        </w:tc>
        <w:tc>
          <w:tcPr>
            <w:tcW w:w="4673" w:type="dxa"/>
          </w:tcPr>
          <w:p w14:paraId="64B48C67" w14:textId="77777777" w:rsidR="00735F5E" w:rsidRPr="006F7AF8" w:rsidRDefault="00735F5E" w:rsidP="009B4355">
            <w:pPr>
              <w:rPr>
                <w:rFonts w:ascii="Aptos" w:hAnsi="Aptos"/>
                <w:lang w:val="fr-FR"/>
              </w:rPr>
            </w:pPr>
            <w:r w:rsidRPr="006F7AF8">
              <w:rPr>
                <w:rFonts w:ascii="Aptos" w:hAnsi="Aptos"/>
                <w:lang w:val="fr-FR"/>
              </w:rPr>
              <w:t>Nombre de Parties : 127</w:t>
            </w:r>
          </w:p>
        </w:tc>
      </w:tr>
      <w:tr w:rsidR="00735F5E" w:rsidRPr="006F7AF8" w14:paraId="0E1289C4" w14:textId="77777777" w:rsidTr="009B4355">
        <w:tc>
          <w:tcPr>
            <w:tcW w:w="4188" w:type="dxa"/>
          </w:tcPr>
          <w:p w14:paraId="788AA40F" w14:textId="77777777" w:rsidR="00735F5E" w:rsidRPr="006F7AF8" w:rsidRDefault="00735F5E" w:rsidP="009B4355">
            <w:pPr>
              <w:rPr>
                <w:rFonts w:ascii="Aptos" w:hAnsi="Aptos"/>
                <w:lang w:val="fr-FR"/>
              </w:rPr>
            </w:pPr>
            <w:r w:rsidRPr="006F7AF8">
              <w:rPr>
                <w:rFonts w:ascii="Aptos" w:hAnsi="Aptos"/>
                <w:lang w:val="fr-FR"/>
              </w:rPr>
              <w:t>Region</w:t>
            </w:r>
          </w:p>
        </w:tc>
        <w:tc>
          <w:tcPr>
            <w:tcW w:w="4673" w:type="dxa"/>
          </w:tcPr>
          <w:p w14:paraId="79C4CDA7"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0ADCB7C4" w14:textId="77777777" w:rsidTr="009B4355">
        <w:tc>
          <w:tcPr>
            <w:tcW w:w="4188" w:type="dxa"/>
          </w:tcPr>
          <w:p w14:paraId="783BCEAF" w14:textId="77777777" w:rsidR="00735F5E" w:rsidRPr="006F7AF8" w:rsidRDefault="00735F5E" w:rsidP="009B4355">
            <w:pPr>
              <w:rPr>
                <w:rFonts w:ascii="Aptos" w:hAnsi="Aptos"/>
                <w:lang w:val="fr-FR"/>
              </w:rPr>
            </w:pPr>
            <w:r w:rsidRPr="006F7AF8">
              <w:rPr>
                <w:rFonts w:ascii="Aptos" w:hAnsi="Aptos"/>
                <w:lang w:val="fr-FR"/>
              </w:rPr>
              <w:t>African States</w:t>
            </w:r>
          </w:p>
        </w:tc>
        <w:tc>
          <w:tcPr>
            <w:tcW w:w="4673" w:type="dxa"/>
          </w:tcPr>
          <w:p w14:paraId="29750F67"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7C13ACB8" w14:textId="77777777" w:rsidTr="009B4355">
        <w:tc>
          <w:tcPr>
            <w:tcW w:w="4188" w:type="dxa"/>
          </w:tcPr>
          <w:p w14:paraId="50828968"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673" w:type="dxa"/>
          </w:tcPr>
          <w:p w14:paraId="3ADE4541"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21C6E14C" w14:textId="77777777" w:rsidTr="009B4355">
        <w:tc>
          <w:tcPr>
            <w:tcW w:w="4188" w:type="dxa"/>
          </w:tcPr>
          <w:p w14:paraId="19D61472"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673" w:type="dxa"/>
          </w:tcPr>
          <w:p w14:paraId="44DB07CB"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25205BC0" w14:textId="77777777" w:rsidTr="009B4355">
        <w:tc>
          <w:tcPr>
            <w:tcW w:w="4188" w:type="dxa"/>
          </w:tcPr>
          <w:p w14:paraId="65BDDF53"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673" w:type="dxa"/>
          </w:tcPr>
          <w:p w14:paraId="402D4E44"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1EB8A957" w14:textId="77777777" w:rsidTr="009B4355">
        <w:tc>
          <w:tcPr>
            <w:tcW w:w="4188" w:type="dxa"/>
          </w:tcPr>
          <w:p w14:paraId="656C8E71"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673" w:type="dxa"/>
          </w:tcPr>
          <w:p w14:paraId="10A18003"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0E38C4E" w14:textId="77777777" w:rsidR="00B87039" w:rsidRPr="00653BF4" w:rsidRDefault="00B87039" w:rsidP="00B87039">
      <w:pPr>
        <w:pStyle w:val="Caption"/>
        <w:rPr>
          <w:lang w:val="fr-FR"/>
        </w:rPr>
      </w:pPr>
    </w:p>
    <w:p w14:paraId="048A3E8B" w14:textId="77777777" w:rsidR="00B87039" w:rsidRPr="00653BF4" w:rsidRDefault="00B87039" w:rsidP="00B87039">
      <w:pPr>
        <w:pStyle w:val="Caption"/>
        <w:rPr>
          <w:b/>
          <w:bCs/>
          <w:i w:val="0"/>
          <w:iCs w:val="0"/>
          <w:sz w:val="20"/>
          <w:szCs w:val="20"/>
          <w:lang w:val="fr-FR"/>
        </w:rPr>
      </w:pPr>
      <w:r w:rsidRPr="00653BF4">
        <w:rPr>
          <w:i w:val="0"/>
          <w:iCs w:val="0"/>
          <w:sz w:val="20"/>
          <w:szCs w:val="20"/>
          <w:lang w:val="fr-FR"/>
        </w:rPr>
        <w:t>Figure 39</w:t>
      </w:r>
    </w:p>
    <w:p w14:paraId="468E026F" w14:textId="2605E26E" w:rsidR="00B87039" w:rsidRPr="00653BF4"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9</w:t>
      </w:r>
      <w:r w:rsidRPr="00653BF4">
        <w:rPr>
          <w:b/>
          <w:bCs/>
          <w:i w:val="0"/>
          <w:iCs w:val="0"/>
          <w:sz w:val="20"/>
          <w:szCs w:val="20"/>
          <w:lang w:val="fr-FR"/>
        </w:rPr>
        <w:t xml:space="preserve">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0F19A738" w14:textId="77777777" w:rsidR="00B87039" w:rsidRPr="00653BF4" w:rsidRDefault="00B87039" w:rsidP="00B87039">
      <w:pPr>
        <w:pStyle w:val="paragraph"/>
        <w:spacing w:before="0" w:beforeAutospacing="0" w:after="0" w:afterAutospacing="0"/>
        <w:textAlignment w:val="baseline"/>
        <w:rPr>
          <w:rStyle w:val="normaltextrun"/>
          <w:rFonts w:cs="Segoe UI"/>
          <w:lang w:val="fr-FR"/>
        </w:rPr>
      </w:pPr>
    </w:p>
    <w:p w14:paraId="6630CA3C" w14:textId="77777777" w:rsidR="00B87039" w:rsidRPr="00653BF4" w:rsidRDefault="00B87039" w:rsidP="00B87039">
      <w:pPr>
        <w:pStyle w:val="Caption"/>
        <w:rPr>
          <w:lang w:val="fr-FR"/>
        </w:rPr>
      </w:pPr>
      <w:bookmarkStart w:id="175" w:name="_Ref231164943"/>
      <w:r w:rsidRPr="00653BF4">
        <w:rPr>
          <w:noProof/>
          <w:lang w:val="fr-FR"/>
          <w14:ligatures w14:val="standardContextual"/>
        </w:rPr>
        <w:drawing>
          <wp:inline distT="0" distB="0" distL="0" distR="0" wp14:anchorId="27FBFE44" wp14:editId="09563100">
            <wp:extent cx="5731510" cy="2456180"/>
            <wp:effectExtent l="0" t="0" r="0" b="0"/>
            <wp:docPr id="14077983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798373" name="Picture 1407798373"/>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175"/>
    <w:p w14:paraId="78CB5728" w14:textId="1B77905C"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lang w:val="fr-FR"/>
        </w:rPr>
        <w:t xml:space="preserve"> </w:t>
      </w:r>
      <w:r w:rsidRPr="00653BF4">
        <w:rPr>
          <w:i w:val="0"/>
          <w:iCs w:val="0"/>
          <w:lang w:val="fr-FR"/>
        </w:rPr>
        <w:t xml:space="preserve">Les proportions sont pondérées par Partie. Les tendances incluent des données relatives à 2 indicateurs phares provenant de 23 Parties, ainsi qu’à 1 indicateur de composante, 1 indicateur complémentaire et 36 indicateurs nationaux provenant au total de 16 Parties.  Le diagramme circulaire représente la répartition, par région, des Parties ayant communiqué des indicateurs pour la </w:t>
      </w:r>
      <w:r w:rsidR="00E34DC9">
        <w:rPr>
          <w:i w:val="0"/>
          <w:iCs w:val="0"/>
          <w:lang w:val="fr-FR"/>
        </w:rPr>
        <w:t>cible 9</w:t>
      </w:r>
      <w:r w:rsidRPr="00653BF4">
        <w:rPr>
          <w:i w:val="0"/>
          <w:iCs w:val="0"/>
          <w:lang w:val="fr-FR"/>
        </w:rPr>
        <w:t>.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735F5E" w:rsidRPr="006F7AF8" w14:paraId="294E9111" w14:textId="77777777" w:rsidTr="009B4355">
        <w:tc>
          <w:tcPr>
            <w:tcW w:w="8861" w:type="dxa"/>
            <w:gridSpan w:val="2"/>
          </w:tcPr>
          <w:p w14:paraId="77985054" w14:textId="77777777" w:rsidR="00735F5E" w:rsidRPr="006F7AF8" w:rsidRDefault="00735F5E" w:rsidP="009B4355">
            <w:pPr>
              <w:rPr>
                <w:rFonts w:ascii="Aptos" w:hAnsi="Aptos"/>
                <w:lang w:val="fr-FR"/>
              </w:rPr>
            </w:pPr>
            <w:bookmarkStart w:id="176" w:name="_Toc235821159"/>
            <w:r>
              <w:rPr>
                <w:rFonts w:ascii="Aptos" w:hAnsi="Aptos"/>
                <w:lang w:val="fr-FR"/>
              </w:rPr>
              <w:t>Figure 39</w:t>
            </w:r>
          </w:p>
        </w:tc>
      </w:tr>
      <w:tr w:rsidR="00735F5E" w:rsidRPr="00757D2E" w14:paraId="44048660" w14:textId="77777777" w:rsidTr="009B4355">
        <w:tc>
          <w:tcPr>
            <w:tcW w:w="4188" w:type="dxa"/>
          </w:tcPr>
          <w:p w14:paraId="461FF80A" w14:textId="77777777" w:rsidR="00735F5E" w:rsidRPr="00757D2E" w:rsidRDefault="00735F5E" w:rsidP="009B4355">
            <w:pPr>
              <w:rPr>
                <w:rFonts w:ascii="Aptos" w:hAnsi="Aptos"/>
                <w:lang w:val="fr-FR"/>
              </w:rPr>
            </w:pPr>
            <w:r w:rsidRPr="00757D2E">
              <w:rPr>
                <w:rFonts w:ascii="Aptos" w:hAnsi="Aptos"/>
                <w:lang w:val="fr-FR"/>
              </w:rPr>
              <w:t xml:space="preserve">English </w:t>
            </w:r>
          </w:p>
        </w:tc>
        <w:tc>
          <w:tcPr>
            <w:tcW w:w="4673" w:type="dxa"/>
          </w:tcPr>
          <w:p w14:paraId="537B80AE" w14:textId="77777777" w:rsidR="00735F5E" w:rsidRPr="00757D2E" w:rsidRDefault="00735F5E" w:rsidP="009B4355">
            <w:pPr>
              <w:rPr>
                <w:rFonts w:ascii="Aptos" w:hAnsi="Aptos"/>
                <w:lang w:val="fr-FR"/>
              </w:rPr>
            </w:pPr>
            <w:r>
              <w:rPr>
                <w:rFonts w:ascii="Aptos" w:hAnsi="Aptos"/>
                <w:lang w:val="fr-FR"/>
              </w:rPr>
              <w:t>Français</w:t>
            </w:r>
          </w:p>
        </w:tc>
      </w:tr>
      <w:tr w:rsidR="00735F5E" w:rsidRPr="006F7AF8" w14:paraId="77EE6976" w14:textId="77777777" w:rsidTr="009B4355">
        <w:tc>
          <w:tcPr>
            <w:tcW w:w="4188" w:type="dxa"/>
          </w:tcPr>
          <w:p w14:paraId="7CA3F1AE" w14:textId="77777777" w:rsidR="00735F5E" w:rsidRPr="006F7AF8" w:rsidRDefault="00735F5E" w:rsidP="009B4355">
            <w:pPr>
              <w:rPr>
                <w:rFonts w:ascii="Aptos" w:hAnsi="Aptos"/>
                <w:lang w:val="fr-FR"/>
              </w:rPr>
            </w:pPr>
            <w:r w:rsidRPr="006F7AF8">
              <w:rPr>
                <w:rFonts w:ascii="Aptos" w:hAnsi="Aptos"/>
                <w:lang w:val="fr-FR"/>
              </w:rPr>
              <w:t>Proportion</w:t>
            </w:r>
          </w:p>
        </w:tc>
        <w:tc>
          <w:tcPr>
            <w:tcW w:w="4673" w:type="dxa"/>
          </w:tcPr>
          <w:p w14:paraId="387B9420" w14:textId="77777777" w:rsidR="00735F5E" w:rsidRPr="006F7AF8" w:rsidRDefault="00735F5E" w:rsidP="009B4355">
            <w:pPr>
              <w:rPr>
                <w:rFonts w:ascii="Aptos" w:hAnsi="Aptos"/>
                <w:lang w:val="fr-FR"/>
              </w:rPr>
            </w:pPr>
            <w:r w:rsidRPr="006F7AF8">
              <w:rPr>
                <w:rFonts w:ascii="Aptos" w:hAnsi="Aptos"/>
                <w:lang w:val="fr-FR"/>
              </w:rPr>
              <w:t>Proportion</w:t>
            </w:r>
          </w:p>
        </w:tc>
      </w:tr>
      <w:tr w:rsidR="00735F5E" w:rsidRPr="006F7AF8" w14:paraId="715502AA" w14:textId="77777777" w:rsidTr="009B4355">
        <w:tc>
          <w:tcPr>
            <w:tcW w:w="4188" w:type="dxa"/>
          </w:tcPr>
          <w:p w14:paraId="1050CBE8" w14:textId="77777777" w:rsidR="00735F5E" w:rsidRPr="006F7AF8" w:rsidRDefault="00735F5E" w:rsidP="009B4355">
            <w:pPr>
              <w:rPr>
                <w:rFonts w:ascii="Aptos" w:hAnsi="Aptos"/>
                <w:lang w:val="fr-FR"/>
              </w:rPr>
            </w:pPr>
            <w:r w:rsidRPr="006F7AF8">
              <w:rPr>
                <w:rFonts w:ascii="Aptos" w:hAnsi="Aptos"/>
                <w:lang w:val="fr-FR"/>
              </w:rPr>
              <w:t>Current Status</w:t>
            </w:r>
          </w:p>
        </w:tc>
        <w:tc>
          <w:tcPr>
            <w:tcW w:w="4673" w:type="dxa"/>
          </w:tcPr>
          <w:p w14:paraId="06AB3676" w14:textId="77777777" w:rsidR="00735F5E" w:rsidRPr="006F7AF8" w:rsidRDefault="00735F5E" w:rsidP="009B4355">
            <w:pPr>
              <w:rPr>
                <w:rFonts w:ascii="Aptos" w:hAnsi="Aptos"/>
                <w:lang w:val="fr-FR"/>
              </w:rPr>
            </w:pPr>
            <w:r w:rsidRPr="006F7AF8">
              <w:rPr>
                <w:rFonts w:ascii="Aptos" w:hAnsi="Aptos"/>
                <w:lang w:val="fr-FR"/>
              </w:rPr>
              <w:t>État actuel</w:t>
            </w:r>
          </w:p>
        </w:tc>
      </w:tr>
      <w:tr w:rsidR="00735F5E" w:rsidRPr="006F7AF8" w14:paraId="43E3937A" w14:textId="77777777" w:rsidTr="009B4355">
        <w:tc>
          <w:tcPr>
            <w:tcW w:w="4188" w:type="dxa"/>
          </w:tcPr>
          <w:p w14:paraId="65541DA1" w14:textId="77777777" w:rsidR="00735F5E" w:rsidRPr="006F7AF8" w:rsidRDefault="00735F5E" w:rsidP="009B4355">
            <w:pPr>
              <w:rPr>
                <w:rFonts w:ascii="Aptos" w:hAnsi="Aptos"/>
                <w:lang w:val="fr-FR"/>
              </w:rPr>
            </w:pPr>
            <w:r w:rsidRPr="006F7AF8">
              <w:rPr>
                <w:rFonts w:ascii="Aptos" w:hAnsi="Aptos"/>
                <w:lang w:val="fr-FR"/>
              </w:rPr>
              <w:t>improving</w:t>
            </w:r>
          </w:p>
        </w:tc>
        <w:tc>
          <w:tcPr>
            <w:tcW w:w="4673" w:type="dxa"/>
          </w:tcPr>
          <w:p w14:paraId="67019CA7" w14:textId="77777777" w:rsidR="00735F5E" w:rsidRPr="006F7AF8" w:rsidRDefault="00735F5E" w:rsidP="009B4355">
            <w:pPr>
              <w:rPr>
                <w:rFonts w:ascii="Aptos" w:hAnsi="Aptos"/>
                <w:lang w:val="fr-FR"/>
              </w:rPr>
            </w:pPr>
            <w:r>
              <w:rPr>
                <w:rFonts w:ascii="Aptos" w:hAnsi="Aptos"/>
                <w:lang w:val="fr-FR"/>
              </w:rPr>
              <w:t>amélioration</w:t>
            </w:r>
          </w:p>
        </w:tc>
      </w:tr>
      <w:tr w:rsidR="00735F5E" w:rsidRPr="006F7AF8" w14:paraId="0943AD00" w14:textId="77777777" w:rsidTr="009B4355">
        <w:tc>
          <w:tcPr>
            <w:tcW w:w="4188" w:type="dxa"/>
          </w:tcPr>
          <w:p w14:paraId="0C9D7CE0" w14:textId="77777777" w:rsidR="00735F5E" w:rsidRPr="006F7AF8" w:rsidRDefault="00735F5E" w:rsidP="009B4355">
            <w:pPr>
              <w:rPr>
                <w:rFonts w:ascii="Aptos" w:hAnsi="Aptos"/>
                <w:lang w:val="fr-FR"/>
              </w:rPr>
            </w:pPr>
            <w:r w:rsidRPr="006F7AF8">
              <w:rPr>
                <w:rFonts w:ascii="Aptos" w:hAnsi="Aptos"/>
                <w:lang w:val="fr-FR"/>
              </w:rPr>
              <w:t>stable</w:t>
            </w:r>
          </w:p>
        </w:tc>
        <w:tc>
          <w:tcPr>
            <w:tcW w:w="4673" w:type="dxa"/>
          </w:tcPr>
          <w:p w14:paraId="10CC50C7" w14:textId="77777777" w:rsidR="00735F5E" w:rsidRPr="006F7AF8" w:rsidRDefault="00735F5E"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735F5E" w:rsidRPr="006F7AF8" w14:paraId="7D492F4D" w14:textId="77777777" w:rsidTr="009B4355">
        <w:tc>
          <w:tcPr>
            <w:tcW w:w="4188" w:type="dxa"/>
          </w:tcPr>
          <w:p w14:paraId="04509027" w14:textId="77777777" w:rsidR="00735F5E" w:rsidRPr="006F7AF8" w:rsidRDefault="00735F5E" w:rsidP="009B4355">
            <w:pPr>
              <w:rPr>
                <w:rFonts w:ascii="Aptos" w:hAnsi="Aptos"/>
                <w:lang w:val="fr-FR"/>
              </w:rPr>
            </w:pPr>
            <w:r w:rsidRPr="006F7AF8">
              <w:rPr>
                <w:rFonts w:ascii="Aptos" w:hAnsi="Aptos"/>
                <w:lang w:val="fr-FR"/>
              </w:rPr>
              <w:t>moving away</w:t>
            </w:r>
          </w:p>
        </w:tc>
        <w:tc>
          <w:tcPr>
            <w:tcW w:w="4673" w:type="dxa"/>
          </w:tcPr>
          <w:p w14:paraId="21B6CFA8" w14:textId="77777777" w:rsidR="00735F5E" w:rsidRPr="006F7AF8" w:rsidRDefault="00735F5E" w:rsidP="009B4355">
            <w:pPr>
              <w:rPr>
                <w:rFonts w:ascii="Aptos" w:hAnsi="Aptos"/>
                <w:lang w:val="fr-FR"/>
              </w:rPr>
            </w:pPr>
            <w:r>
              <w:rPr>
                <w:rFonts w:ascii="Aptos" w:hAnsi="Aptos"/>
                <w:lang w:val="fr-FR"/>
              </w:rPr>
              <w:t>éloignement</w:t>
            </w:r>
          </w:p>
        </w:tc>
      </w:tr>
      <w:tr w:rsidR="00735F5E" w:rsidRPr="006F7AF8" w14:paraId="5399484F" w14:textId="77777777" w:rsidTr="009B4355">
        <w:tc>
          <w:tcPr>
            <w:tcW w:w="4188" w:type="dxa"/>
          </w:tcPr>
          <w:p w14:paraId="7BA8A3EA" w14:textId="77777777" w:rsidR="00735F5E" w:rsidRPr="006F7AF8" w:rsidRDefault="00735F5E" w:rsidP="009B4355">
            <w:pPr>
              <w:rPr>
                <w:rFonts w:ascii="Aptos" w:hAnsi="Aptos"/>
                <w:lang w:val="fr-FR"/>
              </w:rPr>
            </w:pPr>
            <w:r w:rsidRPr="006F7AF8">
              <w:rPr>
                <w:rFonts w:ascii="Aptos" w:hAnsi="Aptos"/>
                <w:lang w:val="fr-FR"/>
              </w:rPr>
              <w:t>Party count: 33</w:t>
            </w:r>
          </w:p>
        </w:tc>
        <w:tc>
          <w:tcPr>
            <w:tcW w:w="4673" w:type="dxa"/>
          </w:tcPr>
          <w:p w14:paraId="0FA54D75" w14:textId="77777777" w:rsidR="00735F5E" w:rsidRPr="006F7AF8" w:rsidRDefault="00735F5E" w:rsidP="009B4355">
            <w:pPr>
              <w:rPr>
                <w:rFonts w:ascii="Aptos" w:hAnsi="Aptos"/>
                <w:lang w:val="fr-FR"/>
              </w:rPr>
            </w:pPr>
            <w:r w:rsidRPr="006F7AF8">
              <w:rPr>
                <w:rFonts w:ascii="Aptos" w:hAnsi="Aptos"/>
                <w:lang w:val="fr-FR"/>
              </w:rPr>
              <w:t xml:space="preserve">Nombre de Parties : </w:t>
            </w:r>
            <w:r>
              <w:rPr>
                <w:rFonts w:ascii="Aptos" w:hAnsi="Aptos"/>
                <w:lang w:val="fr-FR"/>
              </w:rPr>
              <w:t>33</w:t>
            </w:r>
          </w:p>
        </w:tc>
      </w:tr>
      <w:tr w:rsidR="00735F5E" w:rsidRPr="006F7AF8" w14:paraId="6B5930D0" w14:textId="77777777" w:rsidTr="009B4355">
        <w:tc>
          <w:tcPr>
            <w:tcW w:w="4188" w:type="dxa"/>
          </w:tcPr>
          <w:p w14:paraId="3A77F17D" w14:textId="77777777" w:rsidR="00735F5E" w:rsidRPr="006F7AF8" w:rsidRDefault="00735F5E" w:rsidP="009B4355">
            <w:pPr>
              <w:rPr>
                <w:rFonts w:ascii="Aptos" w:hAnsi="Aptos"/>
                <w:lang w:val="fr-FR"/>
              </w:rPr>
            </w:pPr>
            <w:r w:rsidRPr="006F7AF8">
              <w:rPr>
                <w:rFonts w:ascii="Aptos" w:hAnsi="Aptos"/>
                <w:lang w:val="fr-FR"/>
              </w:rPr>
              <w:lastRenderedPageBreak/>
              <w:t>Region</w:t>
            </w:r>
          </w:p>
        </w:tc>
        <w:tc>
          <w:tcPr>
            <w:tcW w:w="4673" w:type="dxa"/>
          </w:tcPr>
          <w:p w14:paraId="26782CBE"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6628AC7A" w14:textId="77777777" w:rsidTr="009B4355">
        <w:tc>
          <w:tcPr>
            <w:tcW w:w="4188" w:type="dxa"/>
          </w:tcPr>
          <w:p w14:paraId="57B299D1" w14:textId="77777777" w:rsidR="00735F5E" w:rsidRPr="006F7AF8" w:rsidRDefault="00735F5E" w:rsidP="009B4355">
            <w:pPr>
              <w:rPr>
                <w:rFonts w:ascii="Aptos" w:hAnsi="Aptos"/>
                <w:lang w:val="fr-FR"/>
              </w:rPr>
            </w:pPr>
            <w:r w:rsidRPr="006F7AF8">
              <w:rPr>
                <w:rFonts w:ascii="Aptos" w:hAnsi="Aptos"/>
                <w:lang w:val="fr-FR"/>
              </w:rPr>
              <w:t>African States</w:t>
            </w:r>
          </w:p>
        </w:tc>
        <w:tc>
          <w:tcPr>
            <w:tcW w:w="4673" w:type="dxa"/>
          </w:tcPr>
          <w:p w14:paraId="79C3C34F"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07902543" w14:textId="77777777" w:rsidTr="009B4355">
        <w:tc>
          <w:tcPr>
            <w:tcW w:w="4188" w:type="dxa"/>
          </w:tcPr>
          <w:p w14:paraId="416DAB0C"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673" w:type="dxa"/>
          </w:tcPr>
          <w:p w14:paraId="2747C653"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7D9070DE" w14:textId="77777777" w:rsidTr="009B4355">
        <w:tc>
          <w:tcPr>
            <w:tcW w:w="4188" w:type="dxa"/>
          </w:tcPr>
          <w:p w14:paraId="3FF23D47"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673" w:type="dxa"/>
          </w:tcPr>
          <w:p w14:paraId="4B25A0A3"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631C194E" w14:textId="77777777" w:rsidTr="009B4355">
        <w:tc>
          <w:tcPr>
            <w:tcW w:w="4188" w:type="dxa"/>
          </w:tcPr>
          <w:p w14:paraId="2946E4D1"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673" w:type="dxa"/>
          </w:tcPr>
          <w:p w14:paraId="1FC4FC9F"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772DA436" w14:textId="77777777" w:rsidTr="009B4355">
        <w:tc>
          <w:tcPr>
            <w:tcW w:w="4188" w:type="dxa"/>
          </w:tcPr>
          <w:p w14:paraId="4803B25B"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673" w:type="dxa"/>
          </w:tcPr>
          <w:p w14:paraId="50DE31E9"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2BDB80EF" w14:textId="77777777" w:rsidR="00B87039" w:rsidRPr="00653BF4" w:rsidRDefault="00B87039" w:rsidP="00B87039">
      <w:pPr>
        <w:pStyle w:val="Heading5"/>
        <w:rPr>
          <w:lang w:val="fr-FR"/>
        </w:rPr>
      </w:pPr>
    </w:p>
    <w:p w14:paraId="1EEE1DC7" w14:textId="74C92C36" w:rsidR="00B87039" w:rsidRPr="00653BF4" w:rsidRDefault="00B87039" w:rsidP="00B87039">
      <w:pPr>
        <w:pStyle w:val="Heading5"/>
        <w:rPr>
          <w:lang w:val="fr-FR"/>
        </w:rPr>
      </w:pPr>
      <w:r w:rsidRPr="00653BF4">
        <w:rPr>
          <w:lang w:val="fr-FR"/>
        </w:rPr>
        <w:t>Auto-évaluation des progrès accomplis</w:t>
      </w:r>
      <w:bookmarkEnd w:id="176"/>
    </w:p>
    <w:p w14:paraId="2FF923AD" w14:textId="77777777" w:rsidR="00B87039" w:rsidRPr="00653BF4" w:rsidRDefault="00B87039" w:rsidP="00B87039">
      <w:pPr>
        <w:rPr>
          <w:rStyle w:val="normaltextrun"/>
          <w:lang w:val="fr-FR"/>
        </w:rPr>
      </w:pPr>
    </w:p>
    <w:p w14:paraId="03DA6929" w14:textId="1CB0A889" w:rsidR="00B87039" w:rsidRPr="00653BF4" w:rsidRDefault="00B87039" w:rsidP="00B87039">
      <w:pPr>
        <w:pStyle w:val="Caption"/>
        <w:rPr>
          <w:b/>
          <w:bCs/>
          <w:i w:val="0"/>
          <w:iCs w:val="0"/>
          <w:sz w:val="24"/>
          <w:szCs w:val="24"/>
          <w:lang w:val="fr-FR"/>
        </w:rPr>
      </w:pPr>
      <w:r w:rsidRPr="00653BF4">
        <w:rPr>
          <w:rStyle w:val="normaltextrun"/>
          <w:i w:val="0"/>
          <w:iCs w:val="0"/>
          <w:sz w:val="24"/>
          <w:szCs w:val="24"/>
          <w:lang w:val="fr-FR"/>
        </w:rPr>
        <w:t>D’après les auto-évaluations des Parties figurant dans leurs rapports nationaux, 35</w:t>
      </w:r>
      <w:r w:rsidR="002878D7">
        <w:rPr>
          <w:rStyle w:val="normaltextrun"/>
          <w:i w:val="0"/>
          <w:iCs w:val="0"/>
          <w:sz w:val="24"/>
          <w:szCs w:val="24"/>
          <w:lang w:val="fr-FR"/>
        </w:rPr>
        <w:t> %</w:t>
      </w:r>
      <w:r w:rsidRPr="00653BF4">
        <w:rPr>
          <w:rStyle w:val="normaltextrun"/>
          <w:i w:val="0"/>
          <w:iCs w:val="0"/>
          <w:sz w:val="24"/>
          <w:szCs w:val="24"/>
          <w:lang w:val="fr-FR"/>
        </w:rPr>
        <w:t xml:space="preserve"> seulement des cibles nationales qu’elles ont présentées comme étroitement alignées sur la </w:t>
      </w:r>
      <w:r w:rsidR="00E34DC9">
        <w:rPr>
          <w:rStyle w:val="normaltextrun"/>
          <w:i w:val="0"/>
          <w:iCs w:val="0"/>
          <w:sz w:val="24"/>
          <w:szCs w:val="24"/>
          <w:lang w:val="fr-FR"/>
        </w:rPr>
        <w:t>cible 9</w:t>
      </w:r>
      <w:r w:rsidRPr="00653BF4">
        <w:rPr>
          <w:rStyle w:val="normaltextrun"/>
          <w:i w:val="0"/>
          <w:iCs w:val="0"/>
          <w:sz w:val="24"/>
          <w:szCs w:val="24"/>
          <w:lang w:val="fr-FR"/>
        </w:rPr>
        <w:t xml:space="preserve"> sont en voie d’être atteintes, alors qu’une proportion bien plus importante (58</w:t>
      </w:r>
      <w:r w:rsidR="002878D7">
        <w:rPr>
          <w:rStyle w:val="normaltextrun"/>
          <w:i w:val="0"/>
          <w:iCs w:val="0"/>
          <w:sz w:val="24"/>
          <w:szCs w:val="24"/>
          <w:lang w:val="fr-FR"/>
        </w:rPr>
        <w:t> %</w:t>
      </w:r>
      <w:r w:rsidRPr="00653BF4">
        <w:rPr>
          <w:rStyle w:val="normaltextrun"/>
          <w:i w:val="0"/>
          <w:iCs w:val="0"/>
          <w:sz w:val="24"/>
          <w:szCs w:val="24"/>
          <w:lang w:val="fr-FR"/>
        </w:rPr>
        <w:t>) n’enregistre aucun changement notable ou des progrès insuffisants et que deux cibles nationales seulement (1</w:t>
      </w:r>
      <w:r w:rsidR="002878D7">
        <w:rPr>
          <w:rStyle w:val="normaltextrun"/>
          <w:i w:val="0"/>
          <w:iCs w:val="0"/>
          <w:sz w:val="24"/>
          <w:szCs w:val="24"/>
          <w:lang w:val="fr-FR"/>
        </w:rPr>
        <w:t> %</w:t>
      </w:r>
      <w:r w:rsidRPr="00653BF4">
        <w:rPr>
          <w:rStyle w:val="normaltextrun"/>
          <w:i w:val="0"/>
          <w:iCs w:val="0"/>
          <w:sz w:val="24"/>
          <w:szCs w:val="24"/>
          <w:lang w:val="fr-FR"/>
        </w:rPr>
        <w:t>) sont déclarées déjà atteintes (voir la figure 40).</w:t>
      </w:r>
    </w:p>
    <w:p w14:paraId="6D00FE0B" w14:textId="77777777" w:rsidR="00B87039" w:rsidRPr="00653BF4" w:rsidRDefault="00B87039" w:rsidP="00B87039">
      <w:pPr>
        <w:pStyle w:val="Caption"/>
        <w:rPr>
          <w:i w:val="0"/>
          <w:iCs w:val="0"/>
          <w:sz w:val="20"/>
          <w:szCs w:val="20"/>
          <w:lang w:val="fr-FR"/>
        </w:rPr>
      </w:pPr>
    </w:p>
    <w:p w14:paraId="5A1ED605" w14:textId="77777777" w:rsidR="00B87039" w:rsidRPr="00653BF4" w:rsidRDefault="00B87039" w:rsidP="00B87039">
      <w:pPr>
        <w:pStyle w:val="Caption"/>
        <w:rPr>
          <w:b/>
          <w:bCs/>
          <w:i w:val="0"/>
          <w:iCs w:val="0"/>
          <w:sz w:val="20"/>
          <w:szCs w:val="20"/>
          <w:lang w:val="fr-FR"/>
        </w:rPr>
      </w:pPr>
      <w:r w:rsidRPr="00653BF4">
        <w:rPr>
          <w:i w:val="0"/>
          <w:iCs w:val="0"/>
          <w:sz w:val="20"/>
          <w:szCs w:val="20"/>
          <w:lang w:val="fr-FR"/>
        </w:rPr>
        <w:t>Figure 40</w:t>
      </w:r>
    </w:p>
    <w:p w14:paraId="6C05588D" w14:textId="4AE082D7" w:rsidR="00B87039" w:rsidRPr="00653BF4"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9</w:t>
      </w:r>
      <w:r w:rsidRPr="00653BF4">
        <w:rPr>
          <w:b/>
          <w:bCs/>
          <w:i w:val="0"/>
          <w:iCs w:val="0"/>
          <w:sz w:val="20"/>
          <w:szCs w:val="20"/>
          <w:lang w:val="fr-FR"/>
        </w:rPr>
        <w:t xml:space="preserve"> du Cadre</w:t>
      </w:r>
    </w:p>
    <w:p w14:paraId="71625E9D" w14:textId="77777777" w:rsidR="00B87039" w:rsidRPr="00653BF4" w:rsidRDefault="00B87039" w:rsidP="00B87039">
      <w:pPr>
        <w:pStyle w:val="Caption"/>
        <w:rPr>
          <w:lang w:val="fr-FR"/>
        </w:rPr>
      </w:pPr>
      <w:r w:rsidRPr="00653BF4">
        <w:rPr>
          <w:rFonts w:eastAsia="Aptos" w:cs="Aptos"/>
          <w:noProof/>
          <w:lang w:val="fr-FR"/>
        </w:rPr>
        <w:drawing>
          <wp:inline distT="0" distB="0" distL="0" distR="0" wp14:anchorId="4AA28C9D" wp14:editId="58F9450A">
            <wp:extent cx="5731510" cy="2292350"/>
            <wp:effectExtent l="0" t="0" r="0" b="6350"/>
            <wp:docPr id="1037874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74450" name="Picture 1037874450"/>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65D4B40E" w14:textId="251B7779" w:rsidR="00B87039" w:rsidRPr="00653BF4" w:rsidRDefault="00B87039" w:rsidP="00B87039">
      <w:pPr>
        <w:pStyle w:val="Caption"/>
        <w:rPr>
          <w:i w:val="0"/>
          <w:iCs w:val="0"/>
          <w:lang w:val="fr-FR"/>
        </w:rPr>
      </w:pPr>
      <w:bookmarkStart w:id="177" w:name="_Toc235821160"/>
      <w:r w:rsidRPr="00653BF4">
        <w:rPr>
          <w:lang w:val="fr-FR"/>
        </w:rPr>
        <w:t>Note</w:t>
      </w:r>
      <w:r w:rsidR="00E34DC9">
        <w:rPr>
          <w:lang w:val="fr-FR"/>
        </w:rPr>
        <w:t> :</w:t>
      </w:r>
      <w:r w:rsidRPr="00653BF4">
        <w:rPr>
          <w:lang w:val="fr-FR"/>
        </w:rPr>
        <w:t xml:space="preserve"> </w:t>
      </w:r>
      <w:r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7650" w:type="dxa"/>
        <w:tblLook w:val="04A0" w:firstRow="1" w:lastRow="0" w:firstColumn="1" w:lastColumn="0" w:noHBand="0" w:noVBand="1"/>
      </w:tblPr>
      <w:tblGrid>
        <w:gridCol w:w="3681"/>
        <w:gridCol w:w="3969"/>
      </w:tblGrid>
      <w:tr w:rsidR="00735F5E" w:rsidRPr="006F7AF8" w14:paraId="49BFCEAF" w14:textId="77777777" w:rsidTr="009B4355">
        <w:tc>
          <w:tcPr>
            <w:tcW w:w="7650" w:type="dxa"/>
            <w:gridSpan w:val="2"/>
          </w:tcPr>
          <w:p w14:paraId="1F2AD87C" w14:textId="77777777" w:rsidR="00735F5E" w:rsidRPr="006F7AF8" w:rsidRDefault="00735F5E" w:rsidP="009B4355">
            <w:pPr>
              <w:rPr>
                <w:rFonts w:ascii="Aptos" w:hAnsi="Aptos"/>
                <w:lang w:val="fr-FR"/>
              </w:rPr>
            </w:pPr>
            <w:r>
              <w:rPr>
                <w:rFonts w:ascii="Aptos" w:hAnsi="Aptos"/>
                <w:lang w:val="fr-FR"/>
              </w:rPr>
              <w:t>Figure 40</w:t>
            </w:r>
          </w:p>
        </w:tc>
      </w:tr>
      <w:tr w:rsidR="00735F5E" w:rsidRPr="008747DC" w14:paraId="7B1DE489" w14:textId="77777777" w:rsidTr="009B4355">
        <w:tc>
          <w:tcPr>
            <w:tcW w:w="3681" w:type="dxa"/>
          </w:tcPr>
          <w:p w14:paraId="5E68EDE8" w14:textId="77777777" w:rsidR="00735F5E" w:rsidRPr="008747DC" w:rsidRDefault="00735F5E" w:rsidP="009B4355">
            <w:pPr>
              <w:rPr>
                <w:rFonts w:ascii="Aptos" w:hAnsi="Aptos"/>
                <w:lang w:val="fr-FR"/>
              </w:rPr>
            </w:pPr>
            <w:r w:rsidRPr="008747DC">
              <w:rPr>
                <w:rFonts w:ascii="Aptos" w:hAnsi="Aptos"/>
                <w:lang w:val="fr-FR"/>
              </w:rPr>
              <w:t>English</w:t>
            </w:r>
          </w:p>
        </w:tc>
        <w:tc>
          <w:tcPr>
            <w:tcW w:w="3969" w:type="dxa"/>
          </w:tcPr>
          <w:p w14:paraId="7A7BD16B" w14:textId="77777777" w:rsidR="00735F5E" w:rsidRPr="008747DC" w:rsidRDefault="00735F5E" w:rsidP="009B4355">
            <w:pPr>
              <w:rPr>
                <w:rFonts w:ascii="Aptos" w:hAnsi="Aptos"/>
                <w:lang w:val="fr-FR"/>
              </w:rPr>
            </w:pPr>
            <w:r>
              <w:rPr>
                <w:rFonts w:ascii="Aptos" w:hAnsi="Aptos"/>
                <w:lang w:val="fr-FR"/>
              </w:rPr>
              <w:t>Français</w:t>
            </w:r>
          </w:p>
        </w:tc>
      </w:tr>
      <w:tr w:rsidR="00735F5E" w:rsidRPr="006F7AF8" w14:paraId="4632DC49" w14:textId="77777777" w:rsidTr="009B4355">
        <w:tc>
          <w:tcPr>
            <w:tcW w:w="3681" w:type="dxa"/>
          </w:tcPr>
          <w:p w14:paraId="44D566E9" w14:textId="77777777" w:rsidR="00735F5E" w:rsidRPr="006F7AF8" w:rsidRDefault="00735F5E" w:rsidP="009B4355">
            <w:pPr>
              <w:rPr>
                <w:rFonts w:ascii="Aptos" w:hAnsi="Aptos"/>
                <w:lang w:val="fr-FR"/>
              </w:rPr>
            </w:pPr>
            <w:r w:rsidRPr="006F7AF8">
              <w:rPr>
                <w:rFonts w:ascii="Aptos" w:hAnsi="Aptos"/>
                <w:lang w:val="fr-FR"/>
              </w:rPr>
              <w:t>Percentage of national targets</w:t>
            </w:r>
          </w:p>
        </w:tc>
        <w:tc>
          <w:tcPr>
            <w:tcW w:w="3969" w:type="dxa"/>
          </w:tcPr>
          <w:p w14:paraId="49D9DE52" w14:textId="77777777" w:rsidR="00735F5E" w:rsidRPr="006F7AF8" w:rsidRDefault="00735F5E" w:rsidP="009B4355">
            <w:pPr>
              <w:rPr>
                <w:rFonts w:ascii="Aptos" w:hAnsi="Aptos"/>
                <w:lang w:val="fr-FR"/>
              </w:rPr>
            </w:pPr>
            <w:r>
              <w:t>Pourcentage de cibles nationales</w:t>
            </w:r>
          </w:p>
        </w:tc>
      </w:tr>
      <w:tr w:rsidR="00735F5E" w:rsidRPr="006F7AF8" w14:paraId="539DF63C" w14:textId="77777777" w:rsidTr="009B4355">
        <w:tc>
          <w:tcPr>
            <w:tcW w:w="3681" w:type="dxa"/>
          </w:tcPr>
          <w:p w14:paraId="2839B6F6" w14:textId="77777777" w:rsidR="00735F5E" w:rsidRPr="006F7AF8" w:rsidRDefault="00735F5E" w:rsidP="009B4355">
            <w:pPr>
              <w:rPr>
                <w:rFonts w:ascii="Aptos" w:hAnsi="Aptos"/>
                <w:lang w:val="fr-FR"/>
              </w:rPr>
            </w:pPr>
            <w:r w:rsidRPr="006F7AF8">
              <w:rPr>
                <w:rFonts w:ascii="Aptos" w:hAnsi="Aptos"/>
                <w:lang w:val="fr-FR"/>
              </w:rPr>
              <w:lastRenderedPageBreak/>
              <w:t>Progress Level</w:t>
            </w:r>
          </w:p>
        </w:tc>
        <w:tc>
          <w:tcPr>
            <w:tcW w:w="3969" w:type="dxa"/>
          </w:tcPr>
          <w:p w14:paraId="492CB80F" w14:textId="77777777" w:rsidR="00735F5E" w:rsidRPr="006F7AF8" w:rsidRDefault="00735F5E" w:rsidP="009B4355">
            <w:pPr>
              <w:rPr>
                <w:rFonts w:ascii="Aptos" w:hAnsi="Aptos"/>
                <w:lang w:val="fr-FR"/>
              </w:rPr>
            </w:pPr>
            <w:r>
              <w:t>État d’avancement</w:t>
            </w:r>
          </w:p>
        </w:tc>
      </w:tr>
      <w:tr w:rsidR="00735F5E" w:rsidRPr="006F7AF8" w14:paraId="0E6F6F82" w14:textId="77777777" w:rsidTr="009B4355">
        <w:tc>
          <w:tcPr>
            <w:tcW w:w="3681" w:type="dxa"/>
          </w:tcPr>
          <w:p w14:paraId="6DFC2D04" w14:textId="77777777" w:rsidR="00735F5E" w:rsidRPr="006F7AF8" w:rsidRDefault="00735F5E" w:rsidP="009B4355">
            <w:pPr>
              <w:rPr>
                <w:rFonts w:ascii="Aptos" w:hAnsi="Aptos"/>
                <w:lang w:val="fr-FR"/>
              </w:rPr>
            </w:pPr>
            <w:r w:rsidRPr="006F7AF8">
              <w:rPr>
                <w:rFonts w:ascii="Aptos" w:hAnsi="Aptos"/>
                <w:lang w:val="fr-FR"/>
              </w:rPr>
              <w:t>Achieved</w:t>
            </w:r>
          </w:p>
        </w:tc>
        <w:tc>
          <w:tcPr>
            <w:tcW w:w="3969" w:type="dxa"/>
          </w:tcPr>
          <w:p w14:paraId="7E57EEC1" w14:textId="77777777" w:rsidR="00735F5E" w:rsidRPr="006F7AF8" w:rsidRDefault="00735F5E" w:rsidP="009B4355">
            <w:pPr>
              <w:rPr>
                <w:rFonts w:ascii="Aptos" w:hAnsi="Aptos"/>
                <w:lang w:val="fr-FR"/>
              </w:rPr>
            </w:pPr>
            <w:r>
              <w:t>Cible atteinte</w:t>
            </w:r>
          </w:p>
        </w:tc>
      </w:tr>
      <w:tr w:rsidR="00735F5E" w:rsidRPr="006F7AF8" w14:paraId="2AA9FCC3" w14:textId="77777777" w:rsidTr="009B4355">
        <w:tc>
          <w:tcPr>
            <w:tcW w:w="3681" w:type="dxa"/>
          </w:tcPr>
          <w:p w14:paraId="64157869" w14:textId="77777777" w:rsidR="00735F5E" w:rsidRPr="006F7AF8" w:rsidRDefault="00735F5E" w:rsidP="009B4355">
            <w:pPr>
              <w:rPr>
                <w:rFonts w:ascii="Aptos" w:hAnsi="Aptos"/>
                <w:lang w:val="fr-FR"/>
              </w:rPr>
            </w:pPr>
            <w:r w:rsidRPr="006F7AF8">
              <w:rPr>
                <w:rFonts w:ascii="Aptos" w:hAnsi="Aptos"/>
                <w:lang w:val="fr-FR"/>
              </w:rPr>
              <w:t>On track to achieve target</w:t>
            </w:r>
          </w:p>
        </w:tc>
        <w:tc>
          <w:tcPr>
            <w:tcW w:w="3969" w:type="dxa"/>
          </w:tcPr>
          <w:p w14:paraId="26B9381A" w14:textId="77777777" w:rsidR="00735F5E" w:rsidRPr="006F7AF8" w:rsidRDefault="00735F5E" w:rsidP="009B4355">
            <w:pPr>
              <w:rPr>
                <w:rFonts w:ascii="Aptos" w:hAnsi="Aptos"/>
                <w:lang w:val="fr-FR"/>
              </w:rPr>
            </w:pPr>
            <w:r>
              <w:t>En voie d’atteindre la cible</w:t>
            </w:r>
          </w:p>
        </w:tc>
      </w:tr>
      <w:tr w:rsidR="00735F5E" w:rsidRPr="006F7AF8" w14:paraId="1B54D040" w14:textId="77777777" w:rsidTr="009B4355">
        <w:tc>
          <w:tcPr>
            <w:tcW w:w="3681" w:type="dxa"/>
          </w:tcPr>
          <w:p w14:paraId="56528AF9" w14:textId="77777777" w:rsidR="00735F5E" w:rsidRPr="006F7AF8" w:rsidRDefault="00735F5E" w:rsidP="009B4355">
            <w:pPr>
              <w:rPr>
                <w:rFonts w:ascii="Aptos" w:hAnsi="Aptos"/>
                <w:lang w:val="fr-FR"/>
              </w:rPr>
            </w:pPr>
            <w:r w:rsidRPr="006F7AF8">
              <w:rPr>
                <w:rFonts w:ascii="Aptos" w:hAnsi="Aptos"/>
                <w:lang w:val="fr-FR"/>
              </w:rPr>
              <w:t>Progress towards target but at an insufficient rate</w:t>
            </w:r>
          </w:p>
        </w:tc>
        <w:tc>
          <w:tcPr>
            <w:tcW w:w="3969" w:type="dxa"/>
          </w:tcPr>
          <w:p w14:paraId="37AA4CE5" w14:textId="77777777" w:rsidR="00735F5E" w:rsidRPr="006F7AF8" w:rsidRDefault="00735F5E" w:rsidP="009B4355">
            <w:pPr>
              <w:rPr>
                <w:rFonts w:ascii="Aptos" w:hAnsi="Aptos"/>
                <w:lang w:val="fr-FR"/>
              </w:rPr>
            </w:pPr>
            <w:r>
              <w:t>Progrès accomplis, mais à un rythme insuffisant</w:t>
            </w:r>
          </w:p>
        </w:tc>
      </w:tr>
      <w:tr w:rsidR="00735F5E" w:rsidRPr="006F7AF8" w14:paraId="1B95E7B3" w14:textId="77777777" w:rsidTr="009B4355">
        <w:tc>
          <w:tcPr>
            <w:tcW w:w="3681" w:type="dxa"/>
          </w:tcPr>
          <w:p w14:paraId="1FC5DFAC" w14:textId="77777777" w:rsidR="00735F5E" w:rsidRPr="006F7AF8" w:rsidRDefault="00735F5E" w:rsidP="009B4355">
            <w:pPr>
              <w:rPr>
                <w:rFonts w:ascii="Aptos" w:hAnsi="Aptos"/>
                <w:lang w:val="fr-FR"/>
              </w:rPr>
            </w:pPr>
            <w:r w:rsidRPr="006F7AF8">
              <w:rPr>
                <w:rFonts w:ascii="Aptos" w:hAnsi="Aptos"/>
                <w:lang w:val="fr-FR"/>
              </w:rPr>
              <w:t>No significant change</w:t>
            </w:r>
          </w:p>
        </w:tc>
        <w:tc>
          <w:tcPr>
            <w:tcW w:w="3969" w:type="dxa"/>
          </w:tcPr>
          <w:p w14:paraId="05229AB6" w14:textId="77777777" w:rsidR="00735F5E" w:rsidRPr="006F7AF8" w:rsidRDefault="00735F5E" w:rsidP="009B4355">
            <w:pPr>
              <w:rPr>
                <w:rFonts w:ascii="Aptos" w:hAnsi="Aptos"/>
                <w:lang w:val="fr-FR"/>
              </w:rPr>
            </w:pPr>
            <w:r>
              <w:t>Pas de changement notable</w:t>
            </w:r>
          </w:p>
        </w:tc>
      </w:tr>
      <w:tr w:rsidR="00735F5E" w:rsidRPr="006F7AF8" w14:paraId="22F14B07" w14:textId="77777777" w:rsidTr="009B4355">
        <w:tc>
          <w:tcPr>
            <w:tcW w:w="3681" w:type="dxa"/>
          </w:tcPr>
          <w:p w14:paraId="60E67E9D" w14:textId="77777777" w:rsidR="00735F5E" w:rsidRPr="006F7AF8" w:rsidRDefault="00735F5E" w:rsidP="009B4355">
            <w:pPr>
              <w:rPr>
                <w:rFonts w:ascii="Aptos" w:hAnsi="Aptos"/>
                <w:lang w:val="fr-FR"/>
              </w:rPr>
            </w:pPr>
            <w:r w:rsidRPr="006F7AF8">
              <w:rPr>
                <w:rFonts w:ascii="Aptos" w:hAnsi="Aptos"/>
                <w:lang w:val="fr-FR"/>
              </w:rPr>
              <w:t>Unknown</w:t>
            </w:r>
          </w:p>
        </w:tc>
        <w:tc>
          <w:tcPr>
            <w:tcW w:w="3969" w:type="dxa"/>
          </w:tcPr>
          <w:p w14:paraId="05943CE8" w14:textId="77777777" w:rsidR="00735F5E" w:rsidRPr="006F7AF8" w:rsidRDefault="00735F5E" w:rsidP="009B4355">
            <w:pPr>
              <w:rPr>
                <w:rFonts w:ascii="Aptos" w:hAnsi="Aptos"/>
                <w:lang w:val="fr-FR"/>
              </w:rPr>
            </w:pPr>
            <w:r>
              <w:t>Inconnu</w:t>
            </w:r>
          </w:p>
        </w:tc>
      </w:tr>
      <w:tr w:rsidR="00735F5E" w:rsidRPr="006F7AF8" w14:paraId="32A3820F" w14:textId="77777777" w:rsidTr="009B4355">
        <w:tc>
          <w:tcPr>
            <w:tcW w:w="3681" w:type="dxa"/>
          </w:tcPr>
          <w:p w14:paraId="1DD80E9B" w14:textId="77777777" w:rsidR="00735F5E" w:rsidRPr="006F7AF8" w:rsidRDefault="00735F5E" w:rsidP="009B4355">
            <w:pPr>
              <w:rPr>
                <w:rFonts w:ascii="Aptos" w:hAnsi="Aptos"/>
                <w:lang w:val="fr-FR"/>
              </w:rPr>
            </w:pPr>
            <w:r w:rsidRPr="006F7AF8">
              <w:rPr>
                <w:rFonts w:ascii="Aptos" w:hAnsi="Aptos"/>
                <w:lang w:val="fr-FR"/>
              </w:rPr>
              <w:t>Party count: 85</w:t>
            </w:r>
          </w:p>
        </w:tc>
        <w:tc>
          <w:tcPr>
            <w:tcW w:w="3969" w:type="dxa"/>
          </w:tcPr>
          <w:p w14:paraId="04B51998" w14:textId="77777777" w:rsidR="00735F5E" w:rsidRPr="006F7AF8" w:rsidRDefault="00735F5E" w:rsidP="009B4355">
            <w:pPr>
              <w:rPr>
                <w:rFonts w:ascii="Aptos" w:hAnsi="Aptos"/>
                <w:lang w:val="fr-FR"/>
              </w:rPr>
            </w:pPr>
            <w:r w:rsidRPr="006F7AF8">
              <w:rPr>
                <w:rFonts w:ascii="Aptos" w:hAnsi="Aptos"/>
                <w:lang w:val="fr-FR"/>
              </w:rPr>
              <w:t>Nombre de Parties : 85</w:t>
            </w:r>
          </w:p>
        </w:tc>
      </w:tr>
      <w:tr w:rsidR="00735F5E" w:rsidRPr="006F7AF8" w14:paraId="0B17152D" w14:textId="77777777" w:rsidTr="009B4355">
        <w:tc>
          <w:tcPr>
            <w:tcW w:w="3681" w:type="dxa"/>
          </w:tcPr>
          <w:p w14:paraId="45C148E0" w14:textId="77777777" w:rsidR="00735F5E" w:rsidRPr="006F7AF8" w:rsidRDefault="00735F5E" w:rsidP="009B4355">
            <w:pPr>
              <w:rPr>
                <w:rFonts w:ascii="Aptos" w:hAnsi="Aptos"/>
                <w:lang w:val="fr-FR"/>
              </w:rPr>
            </w:pPr>
            <w:r w:rsidRPr="006F7AF8">
              <w:rPr>
                <w:rFonts w:ascii="Aptos" w:hAnsi="Aptos"/>
                <w:lang w:val="fr-FR"/>
              </w:rPr>
              <w:t>Region</w:t>
            </w:r>
          </w:p>
        </w:tc>
        <w:tc>
          <w:tcPr>
            <w:tcW w:w="3969" w:type="dxa"/>
          </w:tcPr>
          <w:p w14:paraId="23158188"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01461485" w14:textId="77777777" w:rsidTr="009B4355">
        <w:tc>
          <w:tcPr>
            <w:tcW w:w="3681" w:type="dxa"/>
          </w:tcPr>
          <w:p w14:paraId="0F941FDD" w14:textId="77777777" w:rsidR="00735F5E" w:rsidRPr="006F7AF8" w:rsidRDefault="00735F5E" w:rsidP="009B4355">
            <w:pPr>
              <w:rPr>
                <w:rFonts w:ascii="Aptos" w:hAnsi="Aptos"/>
                <w:lang w:val="fr-FR"/>
              </w:rPr>
            </w:pPr>
            <w:r w:rsidRPr="006F7AF8">
              <w:rPr>
                <w:rFonts w:ascii="Aptos" w:hAnsi="Aptos"/>
                <w:lang w:val="fr-FR"/>
              </w:rPr>
              <w:t>African States</w:t>
            </w:r>
          </w:p>
        </w:tc>
        <w:tc>
          <w:tcPr>
            <w:tcW w:w="3969" w:type="dxa"/>
          </w:tcPr>
          <w:p w14:paraId="409723D2"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1B2FDBAE" w14:textId="77777777" w:rsidTr="009B4355">
        <w:tc>
          <w:tcPr>
            <w:tcW w:w="3681" w:type="dxa"/>
          </w:tcPr>
          <w:p w14:paraId="788DF500"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3969" w:type="dxa"/>
          </w:tcPr>
          <w:p w14:paraId="78FCF42A"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3F06CD44" w14:textId="77777777" w:rsidTr="009B4355">
        <w:tc>
          <w:tcPr>
            <w:tcW w:w="3681" w:type="dxa"/>
          </w:tcPr>
          <w:p w14:paraId="160B75C2"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3969" w:type="dxa"/>
          </w:tcPr>
          <w:p w14:paraId="50B15B42"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115F64E7" w14:textId="77777777" w:rsidTr="009B4355">
        <w:tc>
          <w:tcPr>
            <w:tcW w:w="3681" w:type="dxa"/>
          </w:tcPr>
          <w:p w14:paraId="02FD7ED3"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3969" w:type="dxa"/>
          </w:tcPr>
          <w:p w14:paraId="51F72551"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6F695603" w14:textId="77777777" w:rsidTr="009B4355">
        <w:tc>
          <w:tcPr>
            <w:tcW w:w="3681" w:type="dxa"/>
          </w:tcPr>
          <w:p w14:paraId="13AEBF8C"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3969" w:type="dxa"/>
          </w:tcPr>
          <w:p w14:paraId="31F7183B"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2C0C6337" w14:textId="77777777" w:rsidR="00B87039" w:rsidRPr="00653BF4" w:rsidRDefault="00B87039" w:rsidP="00B87039">
      <w:pPr>
        <w:pStyle w:val="Heading5"/>
        <w:rPr>
          <w:lang w:val="fr-FR"/>
        </w:rPr>
      </w:pPr>
    </w:p>
    <w:p w14:paraId="7246FE8F" w14:textId="77777777" w:rsidR="00B87039" w:rsidRPr="00653BF4" w:rsidRDefault="00B87039" w:rsidP="00B87039">
      <w:pPr>
        <w:pStyle w:val="Heading5"/>
        <w:rPr>
          <w:lang w:val="fr-FR"/>
        </w:rPr>
      </w:pPr>
      <w:r w:rsidRPr="00653BF4">
        <w:rPr>
          <w:lang w:val="fr-FR"/>
        </w:rPr>
        <w:t>Actions, réussites et difficultés</w:t>
      </w:r>
      <w:bookmarkEnd w:id="177"/>
      <w:r w:rsidRPr="00653BF4">
        <w:rPr>
          <w:lang w:val="fr-FR"/>
        </w:rPr>
        <w:t xml:space="preserve"> dans la mise en œuvre</w:t>
      </w:r>
    </w:p>
    <w:p w14:paraId="28A09C07" w14:textId="77777777" w:rsidR="00B87039" w:rsidRPr="00653BF4" w:rsidRDefault="00B87039" w:rsidP="00B87039">
      <w:pPr>
        <w:pStyle w:val="Heading6"/>
        <w:rPr>
          <w:lang w:val="fr-FR"/>
        </w:rPr>
      </w:pPr>
      <w:bookmarkStart w:id="178" w:name="_Toc235821161"/>
    </w:p>
    <w:p w14:paraId="348E778F" w14:textId="32761EAD" w:rsidR="00B87039" w:rsidRPr="00653BF4" w:rsidRDefault="00B87039" w:rsidP="00B87039">
      <w:pPr>
        <w:pStyle w:val="Heading6"/>
        <w:rPr>
          <w:lang w:val="fr-FR"/>
        </w:rPr>
      </w:pPr>
      <w:r w:rsidRPr="00653BF4">
        <w:rPr>
          <w:lang w:val="fr-FR"/>
        </w:rPr>
        <w:t>Résumé des actions menées à l</w:t>
      </w:r>
      <w:r w:rsidR="00D77549">
        <w:rPr>
          <w:lang w:val="fr-FR"/>
        </w:rPr>
        <w:t>’</w:t>
      </w:r>
      <w:r w:rsidRPr="00653BF4">
        <w:rPr>
          <w:lang w:val="fr-FR"/>
        </w:rPr>
        <w:t xml:space="preserve">appui de la </w:t>
      </w:r>
      <w:r w:rsidR="00E34DC9">
        <w:rPr>
          <w:lang w:val="fr-FR"/>
        </w:rPr>
        <w:t>cible 9</w:t>
      </w:r>
      <w:bookmarkEnd w:id="178"/>
      <w:r w:rsidRPr="00653BF4">
        <w:rPr>
          <w:lang w:val="fr-FR"/>
        </w:rPr>
        <w:t xml:space="preserve"> du Cadre</w:t>
      </w:r>
    </w:p>
    <w:p w14:paraId="588D7992" w14:textId="77777777" w:rsidR="00B87039" w:rsidRPr="00653BF4" w:rsidRDefault="00B87039" w:rsidP="00B87039">
      <w:pPr>
        <w:rPr>
          <w:lang w:val="fr-FR"/>
        </w:rPr>
      </w:pPr>
    </w:p>
    <w:p w14:paraId="467DC0F6" w14:textId="68A6C21A" w:rsidR="00B87039" w:rsidRPr="00653BF4" w:rsidRDefault="00B87039" w:rsidP="00B87039">
      <w:pPr>
        <w:rPr>
          <w:lang w:val="fr-FR"/>
        </w:rPr>
      </w:pPr>
      <w:r w:rsidRPr="00653BF4">
        <w:rPr>
          <w:lang w:val="fr-FR"/>
        </w:rPr>
        <w:t>Le type d</w:t>
      </w:r>
      <w:r w:rsidR="00D77549">
        <w:rPr>
          <w:lang w:val="fr-FR"/>
        </w:rPr>
        <w:t>’</w:t>
      </w:r>
      <w:r w:rsidRPr="00653BF4">
        <w:rPr>
          <w:lang w:val="fr-FR"/>
        </w:rPr>
        <w:t>action le plus souvent communiqué à l</w:t>
      </w:r>
      <w:r w:rsidR="00D77549">
        <w:rPr>
          <w:lang w:val="fr-FR"/>
        </w:rPr>
        <w:t>’</w:t>
      </w:r>
      <w:r w:rsidRPr="00653BF4">
        <w:rPr>
          <w:lang w:val="fr-FR"/>
        </w:rPr>
        <w:t xml:space="preserve">appui de la </w:t>
      </w:r>
      <w:r w:rsidR="00E34DC9">
        <w:rPr>
          <w:lang w:val="fr-FR"/>
        </w:rPr>
        <w:t>cible 9</w:t>
      </w:r>
      <w:r w:rsidRPr="00653BF4">
        <w:rPr>
          <w:lang w:val="fr-FR"/>
        </w:rPr>
        <w:t xml:space="preserve"> est la réglementation juridique. Il s</w:t>
      </w:r>
      <w:r w:rsidR="00D77549">
        <w:rPr>
          <w:lang w:val="fr-FR"/>
        </w:rPr>
        <w:t>’</w:t>
      </w:r>
      <w:r w:rsidRPr="00653BF4">
        <w:rPr>
          <w:lang w:val="fr-FR"/>
        </w:rPr>
        <w:t>agit notamment de la réglementation des systèmes de quotas, des périodes de fermeture et de la délivrance de permis pour le prélèvement ou la récolte d</w:t>
      </w:r>
      <w:r w:rsidR="00D77549">
        <w:rPr>
          <w:lang w:val="fr-FR"/>
        </w:rPr>
        <w:t>’</w:t>
      </w:r>
      <w:r w:rsidRPr="00653BF4">
        <w:rPr>
          <w:lang w:val="fr-FR"/>
        </w:rPr>
        <w:t>espèces sauvages, ainsi que de la mise en œuvre de contrôles commerciaux sur les espèces concernées par le biais de la CITES et de la législation relative à la protection des espèces (voir l</w:t>
      </w:r>
      <w:r w:rsidR="00D77549">
        <w:rPr>
          <w:lang w:val="fr-FR"/>
        </w:rPr>
        <w:t>’</w:t>
      </w:r>
      <w:r w:rsidRPr="00653BF4">
        <w:rPr>
          <w:lang w:val="fr-FR"/>
        </w:rPr>
        <w:t>encadré 29). De nombreuses Parties indiquent divers modèles de gestion communautaire des ressources naturelles comme moyen principal de garantir l</w:t>
      </w:r>
      <w:r w:rsidR="00D77549">
        <w:rPr>
          <w:lang w:val="fr-FR"/>
        </w:rPr>
        <w:t>’</w:t>
      </w:r>
      <w:r w:rsidRPr="00653BF4">
        <w:rPr>
          <w:lang w:val="fr-FR"/>
        </w:rPr>
        <w:t>utilisation durable des espèces sauvages. Ces modèles permettent d</w:t>
      </w:r>
      <w:r w:rsidR="00D77549">
        <w:rPr>
          <w:lang w:val="fr-FR"/>
        </w:rPr>
        <w:t>’</w:t>
      </w:r>
      <w:r w:rsidRPr="00653BF4">
        <w:rPr>
          <w:lang w:val="fr-FR"/>
        </w:rPr>
        <w:t>obtenir des résultats sur le plan social et en matière de droits, tout en apportant des avantages en matière de conservation. Ces résultats comprennent, par exemple, la reconnaissance officielle des droits des peuples autochtones et communautés locales à exploiter les ressources naturelles selon les modes de gouvernance et pratiques coutumiers, ainsi que la protection des connaissances traditionnelles. De nombreuses Parties font état de mesures visant à promouvoir la gestion durable de la pêche, qu</w:t>
      </w:r>
      <w:r w:rsidR="00D77549">
        <w:rPr>
          <w:lang w:val="fr-FR"/>
        </w:rPr>
        <w:t>’</w:t>
      </w:r>
      <w:r w:rsidRPr="00653BF4">
        <w:rPr>
          <w:lang w:val="fr-FR"/>
        </w:rPr>
        <w:t xml:space="preserve">elles considèrent comme une contribution à la </w:t>
      </w:r>
      <w:r w:rsidR="00E34DC9">
        <w:rPr>
          <w:lang w:val="fr-FR"/>
        </w:rPr>
        <w:t>cible 9</w:t>
      </w:r>
      <w:r w:rsidRPr="00653BF4">
        <w:rPr>
          <w:lang w:val="fr-FR"/>
        </w:rPr>
        <w:t>. Un certain nombre de Parties mentionnent également des mesures d</w:t>
      </w:r>
      <w:r w:rsidR="00D77549">
        <w:rPr>
          <w:lang w:val="fr-FR"/>
        </w:rPr>
        <w:t>’</w:t>
      </w:r>
      <w:r w:rsidRPr="00653BF4">
        <w:rPr>
          <w:lang w:val="fr-FR"/>
        </w:rPr>
        <w:t xml:space="preserve">incitation positives en faveur de la gestion durable des espèces sauvages, par exemple par le partage avec les communautés des recettes issues des chasses aux trophées afin de soutenir les </w:t>
      </w:r>
      <w:r w:rsidRPr="00653BF4">
        <w:rPr>
          <w:lang w:val="fr-FR"/>
        </w:rPr>
        <w:lastRenderedPageBreak/>
        <w:t>moyens de subsistance locaux, ou par le versement d</w:t>
      </w:r>
      <w:r w:rsidR="00D77549">
        <w:rPr>
          <w:lang w:val="fr-FR"/>
        </w:rPr>
        <w:t>’</w:t>
      </w:r>
      <w:r w:rsidRPr="00653BF4">
        <w:rPr>
          <w:lang w:val="fr-FR"/>
        </w:rPr>
        <w:t>indemnités aux agriculteurs pour l</w:t>
      </w:r>
      <w:r w:rsidR="00D77549">
        <w:rPr>
          <w:lang w:val="fr-FR"/>
        </w:rPr>
        <w:t>’</w:t>
      </w:r>
      <w:r w:rsidRPr="00653BF4">
        <w:rPr>
          <w:lang w:val="fr-FR"/>
        </w:rPr>
        <w:t>entretien de corridors écologiques.</w:t>
      </w:r>
    </w:p>
    <w:p w14:paraId="61607EEC" w14:textId="77777777" w:rsidR="00B87039" w:rsidRPr="00653BF4" w:rsidRDefault="00B87039" w:rsidP="00B87039">
      <w:pPr>
        <w:pStyle w:val="Heading6"/>
        <w:rPr>
          <w:lang w:val="fr-FR"/>
        </w:rPr>
      </w:pPr>
    </w:p>
    <w:p w14:paraId="4DF2109B" w14:textId="46638360" w:rsidR="00B87039" w:rsidRPr="00653BF4" w:rsidRDefault="00B87039" w:rsidP="00B87039">
      <w:pPr>
        <w:pStyle w:val="Heading6"/>
        <w:rPr>
          <w:lang w:val="fr-FR"/>
        </w:rPr>
      </w:pPr>
      <w:bookmarkStart w:id="179" w:name="_Toc235821162"/>
      <w:r w:rsidRPr="00653BF4">
        <w:rPr>
          <w:lang w:val="fr-FR"/>
        </w:rPr>
        <w:t>Exemples de réussites et de progrès réalisés dans la mise en œuvre</w:t>
      </w:r>
      <w:bookmarkEnd w:id="179"/>
    </w:p>
    <w:p w14:paraId="5A73E139" w14:textId="77777777" w:rsidR="00B87039" w:rsidRPr="00653BF4" w:rsidRDefault="00B87039" w:rsidP="00B87039">
      <w:pPr>
        <w:pStyle w:val="Caption"/>
        <w:keepNext/>
        <w:rPr>
          <w:lang w:val="fr-FR"/>
        </w:rPr>
      </w:pPr>
    </w:p>
    <w:p w14:paraId="2A943C86"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16"/>
      </w:tblGrid>
      <w:tr w:rsidR="00B87039" w:rsidRPr="00543148" w14:paraId="1634AACE" w14:textId="77777777" w:rsidTr="00557FB3">
        <w:tc>
          <w:tcPr>
            <w:tcW w:w="9016" w:type="dxa"/>
            <w:shd w:val="clear" w:color="auto" w:fill="D1D1D1" w:themeFill="background2" w:themeFillShade="E6"/>
          </w:tcPr>
          <w:p w14:paraId="13E29AFA" w14:textId="77777777" w:rsidR="00B87039" w:rsidRPr="00653BF4" w:rsidRDefault="00B87039" w:rsidP="00557FB3">
            <w:pPr>
              <w:rPr>
                <w:lang w:val="fr-FR"/>
              </w:rPr>
            </w:pPr>
          </w:p>
          <w:p w14:paraId="7760286E" w14:textId="4852B748" w:rsidR="00B87039" w:rsidRPr="00653BF4" w:rsidRDefault="00B87039" w:rsidP="00557FB3">
            <w:pPr>
              <w:rPr>
                <w:sz w:val="20"/>
                <w:szCs w:val="20"/>
                <w:lang w:val="fr-FR"/>
              </w:rPr>
            </w:pPr>
            <w:bookmarkStart w:id="180" w:name="_Ref235824026"/>
            <w:r w:rsidRPr="00653BF4">
              <w:rPr>
                <w:sz w:val="20"/>
                <w:szCs w:val="20"/>
                <w:lang w:val="fr-FR"/>
              </w:rPr>
              <w:t>Encadré 29</w:t>
            </w:r>
            <w:bookmarkEnd w:id="180"/>
          </w:p>
          <w:p w14:paraId="3EFC0C55" w14:textId="77777777" w:rsidR="00B87039" w:rsidRPr="00653BF4" w:rsidRDefault="00B87039" w:rsidP="00557FB3">
            <w:pPr>
              <w:rPr>
                <w:sz w:val="20"/>
                <w:szCs w:val="20"/>
                <w:lang w:val="fr-FR"/>
              </w:rPr>
            </w:pPr>
          </w:p>
          <w:p w14:paraId="6671E2D5" w14:textId="268539CC" w:rsidR="00B87039" w:rsidRPr="00653BF4" w:rsidRDefault="00B87039" w:rsidP="00557FB3">
            <w:pPr>
              <w:rPr>
                <w:b/>
                <w:bCs/>
                <w:sz w:val="20"/>
                <w:szCs w:val="20"/>
                <w:lang w:val="fr-FR"/>
              </w:rPr>
            </w:pPr>
            <w:r w:rsidRPr="00653BF4">
              <w:rPr>
                <w:b/>
                <w:bCs/>
                <w:sz w:val="20"/>
                <w:szCs w:val="20"/>
                <w:lang w:val="fr-FR"/>
              </w:rPr>
              <w:t>Blue BioTrade à la Grenade</w:t>
            </w:r>
            <w:r w:rsidR="00E34DC9">
              <w:rPr>
                <w:b/>
                <w:bCs/>
                <w:sz w:val="20"/>
                <w:szCs w:val="20"/>
                <w:lang w:val="fr-FR"/>
              </w:rPr>
              <w:t> :</w:t>
            </w:r>
            <w:r w:rsidRPr="00653BF4">
              <w:rPr>
                <w:b/>
                <w:bCs/>
                <w:sz w:val="20"/>
                <w:szCs w:val="20"/>
                <w:lang w:val="fr-FR"/>
              </w:rPr>
              <w:t xml:space="preserve"> créer de la valeur pour le commerce et la production durables du strombe géant à la Grenade, dans les Caraïbes orientales</w:t>
            </w:r>
          </w:p>
          <w:p w14:paraId="3A17E9EF" w14:textId="77777777" w:rsidR="00B87039" w:rsidRPr="00653BF4" w:rsidRDefault="00B87039" w:rsidP="00557FB3">
            <w:pPr>
              <w:rPr>
                <w:lang w:val="fr-FR"/>
              </w:rPr>
            </w:pPr>
          </w:p>
          <w:p w14:paraId="42764686" w14:textId="766F8BFE" w:rsidR="00B87039" w:rsidRPr="00653BF4" w:rsidRDefault="00B87039" w:rsidP="00557FB3">
            <w:pPr>
              <w:rPr>
                <w:sz w:val="20"/>
                <w:szCs w:val="20"/>
                <w:lang w:val="fr-FR"/>
              </w:rPr>
            </w:pPr>
            <w:r w:rsidRPr="00653BF4">
              <w:rPr>
                <w:sz w:val="20"/>
                <w:szCs w:val="20"/>
                <w:lang w:val="fr-FR"/>
              </w:rPr>
              <w:t>À la Grenade, l</w:t>
            </w:r>
            <w:r w:rsidR="00D77549">
              <w:rPr>
                <w:sz w:val="20"/>
                <w:szCs w:val="20"/>
                <w:lang w:val="fr-FR"/>
              </w:rPr>
              <w:t>’</w:t>
            </w:r>
            <w:r w:rsidRPr="00653BF4">
              <w:rPr>
                <w:sz w:val="20"/>
                <w:szCs w:val="20"/>
                <w:lang w:val="fr-FR"/>
              </w:rPr>
              <w:t>initiative Blue BioTrade, mise en œuvre conjointement par la Conférence des Nations Unies sur le Commerce et le Développement, la CITES et l</w:t>
            </w:r>
            <w:r w:rsidR="00D77549">
              <w:rPr>
                <w:sz w:val="20"/>
                <w:szCs w:val="20"/>
                <w:lang w:val="fr-FR"/>
              </w:rPr>
              <w:t>’</w:t>
            </w:r>
            <w:r w:rsidRPr="00653BF4">
              <w:rPr>
                <w:sz w:val="20"/>
                <w:szCs w:val="20"/>
                <w:lang w:val="fr-FR"/>
              </w:rPr>
              <w:t>Organisation des États des Caraïbes orientales, a renforcé l</w:t>
            </w:r>
            <w:r w:rsidR="00D77549">
              <w:rPr>
                <w:sz w:val="20"/>
                <w:szCs w:val="20"/>
                <w:lang w:val="fr-FR"/>
              </w:rPr>
              <w:t>’</w:t>
            </w:r>
            <w:r w:rsidRPr="00653BF4">
              <w:rPr>
                <w:sz w:val="20"/>
                <w:szCs w:val="20"/>
                <w:lang w:val="fr-FR"/>
              </w:rPr>
              <w:t xml:space="preserve">utilisation durable de la biodiversité marine, contribuant ainsi directement à la </w:t>
            </w:r>
            <w:r w:rsidR="00E34DC9">
              <w:rPr>
                <w:sz w:val="20"/>
                <w:szCs w:val="20"/>
                <w:lang w:val="fr-FR"/>
              </w:rPr>
              <w:t>cible 9</w:t>
            </w:r>
            <w:r w:rsidRPr="00653BF4">
              <w:rPr>
                <w:sz w:val="20"/>
                <w:szCs w:val="20"/>
                <w:lang w:val="fr-FR"/>
              </w:rPr>
              <w:t>. Le strombe géant (</w:t>
            </w:r>
            <w:r w:rsidRPr="00653BF4">
              <w:rPr>
                <w:i/>
                <w:iCs/>
                <w:sz w:val="20"/>
                <w:szCs w:val="20"/>
                <w:lang w:val="fr-FR"/>
              </w:rPr>
              <w:t>Strombus gigas</w:t>
            </w:r>
            <w:r w:rsidRPr="00653BF4">
              <w:rPr>
                <w:sz w:val="20"/>
                <w:szCs w:val="20"/>
                <w:lang w:val="fr-FR"/>
              </w:rPr>
              <w:t>), une espèce importante sur les plans culturel et économique à la Grenade, est inscrit à l</w:t>
            </w:r>
            <w:r w:rsidR="00D77549">
              <w:rPr>
                <w:sz w:val="20"/>
                <w:szCs w:val="20"/>
                <w:lang w:val="fr-FR"/>
              </w:rPr>
              <w:t>’</w:t>
            </w:r>
            <w:r w:rsidRPr="00653BF4">
              <w:rPr>
                <w:sz w:val="20"/>
                <w:szCs w:val="20"/>
                <w:lang w:val="fr-FR"/>
              </w:rPr>
              <w:t>annexe II de la CITES. Toutefois, la Grenade a été confrontée à des suspensions de négoce en raison du non-respect des normes de la CITES en matière d</w:t>
            </w:r>
            <w:r w:rsidR="00D77549">
              <w:rPr>
                <w:sz w:val="20"/>
                <w:szCs w:val="20"/>
                <w:lang w:val="fr-FR"/>
              </w:rPr>
              <w:t>’</w:t>
            </w:r>
            <w:r w:rsidRPr="00653BF4">
              <w:rPr>
                <w:sz w:val="20"/>
                <w:szCs w:val="20"/>
                <w:lang w:val="fr-FR"/>
              </w:rPr>
              <w:t>établissement des rapports et de gestion. En réponse, l</w:t>
            </w:r>
            <w:r w:rsidR="00D77549">
              <w:rPr>
                <w:sz w:val="20"/>
                <w:szCs w:val="20"/>
                <w:lang w:val="fr-FR"/>
              </w:rPr>
              <w:t>’</w:t>
            </w:r>
            <w:r w:rsidRPr="00653BF4">
              <w:rPr>
                <w:sz w:val="20"/>
                <w:szCs w:val="20"/>
                <w:lang w:val="fr-FR"/>
              </w:rPr>
              <w:t>initiative Blue BioTrade a expérimenté l</w:t>
            </w:r>
            <w:r w:rsidR="00D77549">
              <w:rPr>
                <w:sz w:val="20"/>
                <w:szCs w:val="20"/>
                <w:lang w:val="fr-FR"/>
              </w:rPr>
              <w:t>’</w:t>
            </w:r>
            <w:r w:rsidRPr="00653BF4">
              <w:rPr>
                <w:sz w:val="20"/>
                <w:szCs w:val="20"/>
                <w:lang w:val="fr-FR"/>
              </w:rPr>
              <w:t>application des Principes et critères du biocommerce révisés (2020) à la chaîne de valeur du strombe géant afin de rétablir un commerce licite, durable et traçable. Ce projet a permis de mener des évaluations des stocks, des examens réglementaires et des actions de renforcement des capacités destinées aux autorités chargées de la pêche. Il a également contribué à promouvoir la création de valeur ajoutée grâce au traitement durable et à l</w:t>
            </w:r>
            <w:r w:rsidR="00D77549">
              <w:rPr>
                <w:sz w:val="20"/>
                <w:szCs w:val="20"/>
                <w:lang w:val="fr-FR"/>
              </w:rPr>
              <w:t>’</w:t>
            </w:r>
            <w:r w:rsidRPr="00653BF4">
              <w:rPr>
                <w:sz w:val="20"/>
                <w:szCs w:val="20"/>
                <w:lang w:val="fr-FR"/>
              </w:rPr>
              <w:t>utilisation de sous-produits du strombe géant, tels que l</w:t>
            </w:r>
            <w:r w:rsidR="00D77549">
              <w:rPr>
                <w:sz w:val="20"/>
                <w:szCs w:val="20"/>
                <w:lang w:val="fr-FR"/>
              </w:rPr>
              <w:t>’</w:t>
            </w:r>
            <w:r w:rsidRPr="00653BF4">
              <w:rPr>
                <w:sz w:val="20"/>
                <w:szCs w:val="20"/>
                <w:lang w:val="fr-FR"/>
              </w:rPr>
              <w:t>artisanat et les produits thérapeutiques. Ces efforts ont permis à la Grenade d</w:t>
            </w:r>
            <w:r w:rsidR="00D77549">
              <w:rPr>
                <w:sz w:val="20"/>
                <w:szCs w:val="20"/>
                <w:lang w:val="fr-FR"/>
              </w:rPr>
              <w:t>’</w:t>
            </w:r>
            <w:r w:rsidRPr="00653BF4">
              <w:rPr>
                <w:sz w:val="20"/>
                <w:szCs w:val="20"/>
                <w:lang w:val="fr-FR"/>
              </w:rPr>
              <w:t>éviter d</w:t>
            </w:r>
            <w:r w:rsidR="00D77549">
              <w:rPr>
                <w:sz w:val="20"/>
                <w:szCs w:val="20"/>
                <w:lang w:val="fr-FR"/>
              </w:rPr>
              <w:t>’</w:t>
            </w:r>
            <w:r w:rsidRPr="00653BF4">
              <w:rPr>
                <w:sz w:val="20"/>
                <w:szCs w:val="20"/>
                <w:lang w:val="fr-FR"/>
              </w:rPr>
              <w:t>autres suspensions de négoce et de renforcer sa conformité à la CITES. En associant la conservation de la biodiversité à l</w:t>
            </w:r>
            <w:r w:rsidR="00D77549">
              <w:rPr>
                <w:sz w:val="20"/>
                <w:szCs w:val="20"/>
                <w:lang w:val="fr-FR"/>
              </w:rPr>
              <w:t>’</w:t>
            </w:r>
            <w:r w:rsidRPr="00653BF4">
              <w:rPr>
                <w:sz w:val="20"/>
                <w:szCs w:val="20"/>
                <w:lang w:val="fr-FR"/>
              </w:rPr>
              <w:t>amélioration des moyens de subsistance, cette initiative illustre comment la coopération commerciale peut favoriser l</w:t>
            </w:r>
            <w:r w:rsidR="00D77549">
              <w:rPr>
                <w:sz w:val="20"/>
                <w:szCs w:val="20"/>
                <w:lang w:val="fr-FR"/>
              </w:rPr>
              <w:t>’</w:t>
            </w:r>
            <w:r w:rsidRPr="00653BF4">
              <w:rPr>
                <w:sz w:val="20"/>
                <w:szCs w:val="20"/>
                <w:lang w:val="fr-FR"/>
              </w:rPr>
              <w:t>utilisation durable des espèces sauvages. Elle met également en évidence l</w:t>
            </w:r>
            <w:r w:rsidR="00D77549">
              <w:rPr>
                <w:sz w:val="20"/>
                <w:szCs w:val="20"/>
                <w:lang w:val="fr-FR"/>
              </w:rPr>
              <w:t>’</w:t>
            </w:r>
            <w:r w:rsidRPr="00653BF4">
              <w:rPr>
                <w:sz w:val="20"/>
                <w:szCs w:val="20"/>
                <w:lang w:val="fr-FR"/>
              </w:rPr>
              <w:t>importance de renforcer les institutions, d</w:t>
            </w:r>
            <w:r w:rsidR="00D77549">
              <w:rPr>
                <w:sz w:val="20"/>
                <w:szCs w:val="20"/>
                <w:lang w:val="fr-FR"/>
              </w:rPr>
              <w:t>’</w:t>
            </w:r>
            <w:r w:rsidRPr="00653BF4">
              <w:rPr>
                <w:sz w:val="20"/>
                <w:szCs w:val="20"/>
                <w:lang w:val="fr-FR"/>
              </w:rPr>
              <w:t>impliquer les parties prenantes et de développer la collaboration régionale pour atteindre les cibles en matière de biodiversité.</w:t>
            </w:r>
          </w:p>
          <w:p w14:paraId="4E7C4E35" w14:textId="77777777" w:rsidR="00B87039" w:rsidRPr="00653BF4" w:rsidRDefault="00B87039" w:rsidP="00557FB3">
            <w:pPr>
              <w:rPr>
                <w:sz w:val="20"/>
                <w:szCs w:val="20"/>
                <w:lang w:val="fr-FR"/>
              </w:rPr>
            </w:pPr>
          </w:p>
          <w:p w14:paraId="11D124B1" w14:textId="0B098D27" w:rsidR="00B87039" w:rsidRPr="00653BF4" w:rsidRDefault="00B87039" w:rsidP="00557FB3">
            <w:pPr>
              <w:rPr>
                <w:sz w:val="20"/>
                <w:szCs w:val="20"/>
                <w:lang w:val="fr-FR"/>
              </w:rPr>
            </w:pPr>
            <w:r w:rsidRPr="00653BF4">
              <w:rPr>
                <w:i/>
                <w:iCs/>
                <w:sz w:val="20"/>
                <w:szCs w:val="20"/>
                <w:lang w:val="fr-FR"/>
              </w:rPr>
              <w:t>Cibles concernées</w:t>
            </w:r>
            <w:r w:rsidR="00E34DC9">
              <w:rPr>
                <w:i/>
                <w:iCs/>
                <w:sz w:val="20"/>
                <w:szCs w:val="20"/>
                <w:lang w:val="fr-FR"/>
              </w:rPr>
              <w:t> :</w:t>
            </w:r>
            <w:r w:rsidRPr="00653BF4">
              <w:rPr>
                <w:i/>
                <w:iCs/>
                <w:sz w:val="20"/>
                <w:szCs w:val="20"/>
                <w:lang w:val="fr-FR"/>
              </w:rPr>
              <w:t xml:space="preserve"> </w:t>
            </w:r>
            <w:r w:rsidRPr="00653BF4">
              <w:rPr>
                <w:sz w:val="20"/>
                <w:szCs w:val="20"/>
                <w:lang w:val="fr-FR"/>
              </w:rPr>
              <w:t>5, 9 et 10.</w:t>
            </w:r>
          </w:p>
          <w:p w14:paraId="1F79612F" w14:textId="1DB20D61" w:rsidR="00B87039" w:rsidRPr="00653BF4" w:rsidRDefault="00B87039" w:rsidP="00557FB3">
            <w:pPr>
              <w:rPr>
                <w:i/>
                <w:iCs/>
                <w:sz w:val="20"/>
                <w:szCs w:val="20"/>
                <w:lang w:val="fr-FR"/>
              </w:rPr>
            </w:pPr>
            <w:r w:rsidRPr="00653BF4">
              <w:rPr>
                <w:i/>
                <w:iCs/>
                <w:sz w:val="20"/>
                <w:szCs w:val="20"/>
                <w:lang w:val="fr-FR"/>
              </w:rPr>
              <w:t>Source</w:t>
            </w:r>
            <w:r w:rsidR="00E34DC9">
              <w:rPr>
                <w:i/>
                <w:iCs/>
                <w:sz w:val="20"/>
                <w:szCs w:val="20"/>
                <w:lang w:val="fr-FR"/>
              </w:rPr>
              <w:t> :</w:t>
            </w:r>
            <w:r w:rsidRPr="00653BF4">
              <w:rPr>
                <w:i/>
                <w:iCs/>
                <w:sz w:val="20"/>
                <w:szCs w:val="20"/>
                <w:lang w:val="fr-FR"/>
              </w:rPr>
              <w:t xml:space="preserve"> </w:t>
            </w:r>
            <w:r w:rsidRPr="00653BF4">
              <w:rPr>
                <w:sz w:val="20"/>
                <w:szCs w:val="20"/>
                <w:lang w:val="fr-FR"/>
              </w:rPr>
              <w:t>CITES, 2025a.</w:t>
            </w:r>
          </w:p>
          <w:p w14:paraId="0E921B79" w14:textId="77777777" w:rsidR="00B87039" w:rsidRPr="00653BF4" w:rsidRDefault="00B87039" w:rsidP="00557FB3">
            <w:pPr>
              <w:rPr>
                <w:lang w:val="fr-FR"/>
              </w:rPr>
            </w:pPr>
          </w:p>
        </w:tc>
      </w:tr>
    </w:tbl>
    <w:p w14:paraId="7D895D00" w14:textId="77777777" w:rsidR="00B87039" w:rsidRPr="00653BF4" w:rsidRDefault="00B87039" w:rsidP="00B87039">
      <w:pPr>
        <w:rPr>
          <w:lang w:val="fr-FR"/>
        </w:rPr>
      </w:pPr>
    </w:p>
    <w:p w14:paraId="19C1C3BC" w14:textId="77777777" w:rsidR="00B87039" w:rsidRPr="00653BF4" w:rsidRDefault="00B87039" w:rsidP="00B87039">
      <w:pPr>
        <w:pStyle w:val="Heading6"/>
        <w:rPr>
          <w:lang w:val="fr-FR"/>
        </w:rPr>
      </w:pPr>
      <w:bookmarkStart w:id="181" w:name="_Toc235821163"/>
      <w:r w:rsidRPr="00653BF4">
        <w:rPr>
          <w:lang w:val="fr-FR"/>
        </w:rPr>
        <w:t>Difficultés</w:t>
      </w:r>
      <w:bookmarkEnd w:id="181"/>
    </w:p>
    <w:p w14:paraId="397ECB27" w14:textId="77777777" w:rsidR="00B87039" w:rsidRPr="00653BF4" w:rsidRDefault="00B87039" w:rsidP="00B87039">
      <w:pPr>
        <w:rPr>
          <w:lang w:val="fr-FR"/>
        </w:rPr>
      </w:pPr>
    </w:p>
    <w:p w14:paraId="5044786D" w14:textId="1DE005D4" w:rsidR="00B87039" w:rsidRPr="00653BF4" w:rsidRDefault="00B87039" w:rsidP="00B87039">
      <w:pPr>
        <w:rPr>
          <w:lang w:val="fr-FR"/>
        </w:rPr>
      </w:pPr>
      <w:r w:rsidRPr="00653BF4">
        <w:rPr>
          <w:lang w:val="fr-FR"/>
        </w:rPr>
        <w:t>De nombreuses Parties identifient la faiblesse des mécanismes d</w:t>
      </w:r>
      <w:r w:rsidR="00D77549">
        <w:rPr>
          <w:lang w:val="fr-FR"/>
        </w:rPr>
        <w:t>’</w:t>
      </w:r>
      <w:r w:rsidRPr="00653BF4">
        <w:rPr>
          <w:lang w:val="fr-FR"/>
        </w:rPr>
        <w:t xml:space="preserve">application comme un obstacle à la mise en œuvre de la </w:t>
      </w:r>
      <w:r w:rsidR="00E34DC9">
        <w:rPr>
          <w:lang w:val="fr-FR"/>
        </w:rPr>
        <w:t>cible 9</w:t>
      </w:r>
      <w:r w:rsidRPr="00653BF4">
        <w:rPr>
          <w:lang w:val="fr-FR"/>
        </w:rPr>
        <w:t>. Beaucoup déclarent que des lois et réglementations existent certes sur le papier, mais elles sont mal appliquées, en raison d</w:t>
      </w:r>
      <w:r w:rsidR="00D77549">
        <w:rPr>
          <w:lang w:val="fr-FR"/>
        </w:rPr>
        <w:t>’</w:t>
      </w:r>
      <w:r w:rsidRPr="00653BF4">
        <w:rPr>
          <w:lang w:val="fr-FR"/>
        </w:rPr>
        <w:t>une capacité institutionnelle limitée, d</w:t>
      </w:r>
      <w:r w:rsidR="00D77549">
        <w:rPr>
          <w:lang w:val="fr-FR"/>
        </w:rPr>
        <w:t>’</w:t>
      </w:r>
      <w:r w:rsidRPr="00653BF4">
        <w:rPr>
          <w:lang w:val="fr-FR"/>
        </w:rPr>
        <w:t>un manque de personnel et d</w:t>
      </w:r>
      <w:r w:rsidR="00D77549">
        <w:rPr>
          <w:lang w:val="fr-FR"/>
        </w:rPr>
        <w:t>’</w:t>
      </w:r>
      <w:r w:rsidRPr="00653BF4">
        <w:rPr>
          <w:lang w:val="fr-FR"/>
        </w:rPr>
        <w:t xml:space="preserve">une fragmentation des mandats entre les divers organismes. Le manque de financement est également considéré comme un obstacle, tout comme le manque de données sur les espèces </w:t>
      </w:r>
      <w:r w:rsidRPr="00653BF4">
        <w:rPr>
          <w:lang w:val="fr-FR"/>
        </w:rPr>
        <w:lastRenderedPageBreak/>
        <w:t>sauvages nécessaires à la mise en œuvre de programmes de gestion durable.</w:t>
      </w:r>
      <w:r w:rsidRPr="00653BF4">
        <w:rPr>
          <w:rFonts w:eastAsia="Aptos" w:cs="Aptos"/>
          <w:lang w:val="fr-FR"/>
        </w:rPr>
        <w:t xml:space="preserve"> La plupart des Parties ne disposent pas de données de référence fiables sur les populations d</w:t>
      </w:r>
      <w:r w:rsidR="00D77549">
        <w:rPr>
          <w:rFonts w:eastAsia="Aptos" w:cs="Aptos"/>
          <w:lang w:val="fr-FR"/>
        </w:rPr>
        <w:t>’</w:t>
      </w:r>
      <w:r w:rsidRPr="00653BF4">
        <w:rPr>
          <w:rFonts w:eastAsia="Aptos" w:cs="Aptos"/>
          <w:lang w:val="fr-FR"/>
        </w:rPr>
        <w:t>espèces, les niveaux de récolte et les seuils écologiques.</w:t>
      </w:r>
      <w:r w:rsidRPr="00653BF4">
        <w:rPr>
          <w:lang w:val="fr-FR"/>
        </w:rPr>
        <w:t xml:space="preserve"> Les Parties font également état de l</w:t>
      </w:r>
      <w:r w:rsidR="00D77549">
        <w:rPr>
          <w:lang w:val="fr-FR"/>
        </w:rPr>
        <w:t>’</w:t>
      </w:r>
      <w:r w:rsidRPr="00653BF4">
        <w:rPr>
          <w:lang w:val="fr-FR"/>
        </w:rPr>
        <w:t>absence de systèmes de suivi systématiques permettant d</w:t>
      </w:r>
      <w:r w:rsidR="00D77549">
        <w:rPr>
          <w:lang w:val="fr-FR"/>
        </w:rPr>
        <w:t>’</w:t>
      </w:r>
      <w:r w:rsidRPr="00653BF4">
        <w:rPr>
          <w:lang w:val="fr-FR"/>
        </w:rPr>
        <w:t>évaluer la durabilité et de mesurer les avantages socio-économiques découlant de l</w:t>
      </w:r>
      <w:r w:rsidR="00D77549">
        <w:rPr>
          <w:lang w:val="fr-FR"/>
        </w:rPr>
        <w:t>’</w:t>
      </w:r>
      <w:r w:rsidRPr="00653BF4">
        <w:rPr>
          <w:lang w:val="fr-FR"/>
        </w:rPr>
        <w:t>utilisation des espèces sauvages. Certaines Parties soulignent également que les progrès limités réalisés en matière de partage des avantages avec les peuples autochtones et communautés locales constituent un obstacle à la gestion et à l</w:t>
      </w:r>
      <w:r w:rsidR="00D77549">
        <w:rPr>
          <w:lang w:val="fr-FR"/>
        </w:rPr>
        <w:t>’</w:t>
      </w:r>
      <w:r w:rsidRPr="00653BF4">
        <w:rPr>
          <w:lang w:val="fr-FR"/>
        </w:rPr>
        <w:t>utilisation durables des espèces sauvages.</w:t>
      </w:r>
      <w:r w:rsidRPr="00653BF4">
        <w:rPr>
          <w:rFonts w:eastAsia="Aptos" w:cs="Aptos"/>
          <w:lang w:val="fr-FR"/>
        </w:rPr>
        <w:t xml:space="preserve"> Par ailleurs, quelques Parties rapportent la perte de connaissances traditionnelles due à l</w:t>
      </w:r>
      <w:r w:rsidR="00D77549">
        <w:rPr>
          <w:rFonts w:eastAsia="Aptos" w:cs="Aptos"/>
          <w:lang w:val="fr-FR"/>
        </w:rPr>
        <w:t>’</w:t>
      </w:r>
      <w:r w:rsidRPr="00653BF4">
        <w:rPr>
          <w:rFonts w:eastAsia="Aptos" w:cs="Aptos"/>
          <w:lang w:val="fr-FR"/>
        </w:rPr>
        <w:t>absence de transmission intergénérationnelle, à une documentation insuffisante et à une intégration inadéquate dans les cadres de gouvernance officiels.</w:t>
      </w:r>
      <w:r w:rsidRPr="00653BF4">
        <w:rPr>
          <w:lang w:val="fr-FR"/>
        </w:rPr>
        <w:t xml:space="preserve"> Plusieurs rapports nationaux soulignent également que le maintien d</w:t>
      </w:r>
      <w:r w:rsidR="00D77549">
        <w:rPr>
          <w:lang w:val="fr-FR"/>
        </w:rPr>
        <w:t>’</w:t>
      </w:r>
      <w:r w:rsidRPr="00653BF4">
        <w:rPr>
          <w:lang w:val="fr-FR"/>
        </w:rPr>
        <w:t>incitations préjudiciables à la biodiversité continue de constituer un obstacle à la promotion d</w:t>
      </w:r>
      <w:r w:rsidR="00D77549">
        <w:rPr>
          <w:lang w:val="fr-FR"/>
        </w:rPr>
        <w:t>’</w:t>
      </w:r>
      <w:r w:rsidRPr="00653BF4">
        <w:rPr>
          <w:lang w:val="fr-FR"/>
        </w:rPr>
        <w:t>une gestion et d</w:t>
      </w:r>
      <w:r w:rsidR="00D77549">
        <w:rPr>
          <w:lang w:val="fr-FR"/>
        </w:rPr>
        <w:t>’</w:t>
      </w:r>
      <w:r w:rsidRPr="00653BF4">
        <w:rPr>
          <w:lang w:val="fr-FR"/>
        </w:rPr>
        <w:t xml:space="preserve">une utilisation durables. </w:t>
      </w:r>
    </w:p>
    <w:p w14:paraId="6DCCBE98" w14:textId="77777777" w:rsidR="00B87039" w:rsidRPr="00653BF4" w:rsidRDefault="00B87039" w:rsidP="00B87039">
      <w:pPr>
        <w:rPr>
          <w:lang w:val="fr-FR"/>
        </w:rPr>
      </w:pPr>
    </w:p>
    <w:p w14:paraId="62B8B49E" w14:textId="426911EB" w:rsidR="00B87039" w:rsidRPr="00653BF4" w:rsidRDefault="00B87039" w:rsidP="00B87039">
      <w:pPr>
        <w:pStyle w:val="Heading5"/>
        <w:rPr>
          <w:lang w:val="fr-FR"/>
        </w:rPr>
      </w:pPr>
      <w:bookmarkStart w:id="182" w:name="_Toc235821164"/>
      <w:r w:rsidRPr="00653BF4">
        <w:rPr>
          <w:lang w:val="fr-FR"/>
        </w:rPr>
        <w:t>Contributions d’acteurs autres que les gouvernements nationaux</w:t>
      </w:r>
      <w:bookmarkEnd w:id="182"/>
    </w:p>
    <w:p w14:paraId="62F604B6" w14:textId="77777777" w:rsidR="00B87039" w:rsidRPr="00653BF4" w:rsidRDefault="00B87039" w:rsidP="00B87039">
      <w:pPr>
        <w:rPr>
          <w:lang w:val="fr-FR"/>
        </w:rPr>
      </w:pPr>
    </w:p>
    <w:p w14:paraId="131FA8DD" w14:textId="1B25B205" w:rsidR="00B87039" w:rsidRPr="00653BF4" w:rsidRDefault="00B87039" w:rsidP="00B87039">
      <w:pPr>
        <w:pStyle w:val="Heading6"/>
        <w:rPr>
          <w:lang w:val="fr-FR"/>
        </w:rPr>
      </w:pPr>
      <w:bookmarkStart w:id="183" w:name="_Toc235821165"/>
      <w:r w:rsidRPr="00653BF4">
        <w:rPr>
          <w:lang w:val="fr-FR"/>
        </w:rPr>
        <w:t>Engagements communiqués directement via l</w:t>
      </w:r>
      <w:r w:rsidR="00D77549">
        <w:rPr>
          <w:lang w:val="fr-FR"/>
        </w:rPr>
        <w:t>’</w:t>
      </w:r>
      <w:r w:rsidRPr="00653BF4">
        <w:rPr>
          <w:lang w:val="fr-FR"/>
        </w:rPr>
        <w:t>outil de présentation des rapports en ligne</w:t>
      </w:r>
      <w:bookmarkEnd w:id="183"/>
    </w:p>
    <w:p w14:paraId="409DEB98" w14:textId="77777777" w:rsidR="00B87039" w:rsidRPr="00653BF4" w:rsidRDefault="00B87039" w:rsidP="00B87039">
      <w:pPr>
        <w:rPr>
          <w:lang w:val="fr-FR"/>
        </w:rPr>
      </w:pPr>
    </w:p>
    <w:p w14:paraId="056400BC" w14:textId="288F4E3B" w:rsidR="00B87039" w:rsidRPr="00653BF4" w:rsidRDefault="00B87039" w:rsidP="00B87039">
      <w:pPr>
        <w:rPr>
          <w:lang w:val="fr-FR"/>
        </w:rPr>
      </w:pPr>
      <w:bookmarkStart w:id="184" w:name="_Toc235821166"/>
      <w:r w:rsidRPr="00653BF4">
        <w:rPr>
          <w:lang w:val="fr-FR"/>
        </w:rPr>
        <w:t xml:space="preserve">Sur les 180 engagements de fond présentés par des acteurs autres que les gouvernements nationaux, seulement 1 concerne principalement la </w:t>
      </w:r>
      <w:r w:rsidR="00E34DC9">
        <w:rPr>
          <w:lang w:val="fr-FR"/>
        </w:rPr>
        <w:t>cible 9</w:t>
      </w:r>
      <w:r w:rsidRPr="00653BF4">
        <w:rPr>
          <w:lang w:val="fr-FR"/>
        </w:rPr>
        <w:t>. Cet engagement a été soumis par le Danish 92 Group, un réseau de la société civile composé d</w:t>
      </w:r>
      <w:r w:rsidR="00D77549">
        <w:rPr>
          <w:lang w:val="fr-FR"/>
        </w:rPr>
        <w:t>’</w:t>
      </w:r>
      <w:r w:rsidRPr="00653BF4">
        <w:rPr>
          <w:lang w:val="fr-FR"/>
        </w:rPr>
        <w:t>un large éventail d</w:t>
      </w:r>
      <w:r w:rsidR="00D77549">
        <w:rPr>
          <w:lang w:val="fr-FR"/>
        </w:rPr>
        <w:t>’</w:t>
      </w:r>
      <w:r w:rsidRPr="00653BF4">
        <w:rPr>
          <w:lang w:val="fr-FR"/>
        </w:rPr>
        <w:t>ONG basées au Danemark et intervenant dans de nombreux pays à travers le monde. Cet engagement repose sur les contributions de nombreux membres du réseau et comprend la promotion d</w:t>
      </w:r>
      <w:r w:rsidR="00D77549">
        <w:rPr>
          <w:lang w:val="fr-FR"/>
        </w:rPr>
        <w:t>’</w:t>
      </w:r>
      <w:r w:rsidRPr="00653BF4">
        <w:rPr>
          <w:lang w:val="fr-FR"/>
        </w:rPr>
        <w:t>une pêche durable ainsi que d</w:t>
      </w:r>
      <w:r w:rsidR="00D77549">
        <w:rPr>
          <w:lang w:val="fr-FR"/>
        </w:rPr>
        <w:t>’</w:t>
      </w:r>
      <w:r w:rsidRPr="00653BF4">
        <w:rPr>
          <w:lang w:val="fr-FR"/>
        </w:rPr>
        <w:t>une exploitation durable du bois d</w:t>
      </w:r>
      <w:r w:rsidR="00D77549">
        <w:rPr>
          <w:lang w:val="fr-FR"/>
        </w:rPr>
        <w:t>’</w:t>
      </w:r>
      <w:r w:rsidRPr="00653BF4">
        <w:rPr>
          <w:lang w:val="fr-FR"/>
        </w:rPr>
        <w:t>œuvre et des produits forestiers autres que le bois au Danemark, à Madagascar, en Ouganda et au Groenland, ainsi que la documentation des pratiques d</w:t>
      </w:r>
      <w:r w:rsidR="00D77549">
        <w:rPr>
          <w:lang w:val="fr-FR"/>
        </w:rPr>
        <w:t>’</w:t>
      </w:r>
      <w:r w:rsidRPr="00653BF4">
        <w:rPr>
          <w:lang w:val="fr-FR"/>
        </w:rPr>
        <w:t>utilisation coutumière durable des peuples autochtones dans 31 pays.</w:t>
      </w:r>
    </w:p>
    <w:p w14:paraId="687CEFF4" w14:textId="77777777" w:rsidR="00B87039" w:rsidRPr="00653BF4" w:rsidRDefault="00B87039" w:rsidP="00B87039">
      <w:pPr>
        <w:pStyle w:val="Heading6"/>
        <w:rPr>
          <w:lang w:val="fr-FR"/>
        </w:rPr>
      </w:pPr>
    </w:p>
    <w:p w14:paraId="1C0E64AB" w14:textId="58BDB848" w:rsidR="00B87039" w:rsidRPr="00653BF4" w:rsidRDefault="00B87039" w:rsidP="00B87039">
      <w:pPr>
        <w:pStyle w:val="Heading6"/>
        <w:rPr>
          <w:lang w:val="fr-FR"/>
        </w:rPr>
      </w:pPr>
      <w:r w:rsidRPr="00653BF4">
        <w:rPr>
          <w:lang w:val="fr-FR"/>
        </w:rPr>
        <w:t>Contributions intégrées dans les rapports nationaux</w:t>
      </w:r>
      <w:bookmarkEnd w:id="184"/>
    </w:p>
    <w:p w14:paraId="6F38C5B7" w14:textId="77777777" w:rsidR="00B87039" w:rsidRPr="00653BF4" w:rsidRDefault="00B87039" w:rsidP="00B87039">
      <w:pPr>
        <w:rPr>
          <w:lang w:val="fr-FR"/>
        </w:rPr>
      </w:pPr>
    </w:p>
    <w:p w14:paraId="7005F643" w14:textId="0B9418C6" w:rsidR="00B87039" w:rsidRPr="00653BF4" w:rsidRDefault="00B87039" w:rsidP="00B87039">
      <w:pPr>
        <w:rPr>
          <w:lang w:val="fr-FR"/>
        </w:rPr>
      </w:pPr>
      <w:r w:rsidRPr="00653BF4">
        <w:rPr>
          <w:lang w:val="fr-FR"/>
        </w:rPr>
        <w:t xml:space="preserve">De nombreuses Parties mentionnent que les acteurs sectoriels, tels que les pêcheurs, les chasseurs, les bergers, les collecteurs de produits forestiers autres que le bois et les éleveurs d’animaux sauvages, contribuent à la mise en œuvre de la </w:t>
      </w:r>
      <w:r w:rsidR="00E34DC9">
        <w:rPr>
          <w:lang w:val="fr-FR"/>
        </w:rPr>
        <w:t>cible 9</w:t>
      </w:r>
      <w:r w:rsidRPr="00653BF4">
        <w:rPr>
          <w:lang w:val="fr-FR"/>
        </w:rPr>
        <w:t xml:space="preserve">. Les approches nationales en matière d’exploitation durable des espèces sauvages nécessitent souvent la </w:t>
      </w:r>
      <w:r w:rsidRPr="00653BF4">
        <w:rPr>
          <w:lang w:val="fr-FR"/>
        </w:rPr>
        <w:lastRenderedPageBreak/>
        <w:t>participation de ces groupes à la cogestion, à l’exploitation réglementée et à la chaîne de valeur, entre autres. Les peuples autochtones et communautés locales contribuent souvent à la mise en œuvre par le biais de conseils de gestion des ressources communautaires, de systèmes de gouvernance coutumiers et d</w:t>
      </w:r>
      <w:r w:rsidR="00D77549">
        <w:rPr>
          <w:lang w:val="fr-FR"/>
        </w:rPr>
        <w:t>’</w:t>
      </w:r>
      <w:r w:rsidRPr="00653BF4">
        <w:rPr>
          <w:lang w:val="fr-FR"/>
        </w:rPr>
        <w:t xml:space="preserve">accords formels de cogestion. La communauté scientifique, les acteurs sectoriels, les ONG et les citoyens contribuent tous à répondre aux besoins en matière de suivi et de connaissances liés à la </w:t>
      </w:r>
      <w:r w:rsidR="00E34DC9">
        <w:rPr>
          <w:lang w:val="fr-FR"/>
        </w:rPr>
        <w:t>cible 9</w:t>
      </w:r>
      <w:r w:rsidRPr="00653BF4">
        <w:rPr>
          <w:lang w:val="fr-FR"/>
        </w:rPr>
        <w:t>, par exemple par le biais d</w:t>
      </w:r>
      <w:r w:rsidR="00D77549">
        <w:rPr>
          <w:lang w:val="fr-FR"/>
        </w:rPr>
        <w:t>’</w:t>
      </w:r>
      <w:r w:rsidRPr="00653BF4">
        <w:rPr>
          <w:lang w:val="fr-FR"/>
        </w:rPr>
        <w:t>évaluations des stocks, d</w:t>
      </w:r>
      <w:r w:rsidR="00D77549">
        <w:rPr>
          <w:lang w:val="fr-FR"/>
        </w:rPr>
        <w:t>’</w:t>
      </w:r>
      <w:r w:rsidRPr="00653BF4">
        <w:rPr>
          <w:lang w:val="fr-FR"/>
        </w:rPr>
        <w:t>études ou d</w:t>
      </w:r>
      <w:r w:rsidR="00D77549">
        <w:rPr>
          <w:lang w:val="fr-FR"/>
        </w:rPr>
        <w:t>’</w:t>
      </w:r>
      <w:r w:rsidRPr="00653BF4">
        <w:rPr>
          <w:lang w:val="fr-FR"/>
        </w:rPr>
        <w:t xml:space="preserve">inventaires des espèces ciblées. </w:t>
      </w:r>
    </w:p>
    <w:p w14:paraId="2FC5610D" w14:textId="77777777" w:rsidR="00B87039" w:rsidRPr="00653BF4" w:rsidRDefault="00B87039" w:rsidP="00B87039">
      <w:pPr>
        <w:pStyle w:val="Heading5"/>
        <w:rPr>
          <w:lang w:val="fr-FR"/>
        </w:rPr>
      </w:pPr>
      <w:r w:rsidRPr="00653BF4">
        <w:rPr>
          <w:lang w:val="fr-FR"/>
        </w:rPr>
        <w:t xml:space="preserve"> </w:t>
      </w:r>
    </w:p>
    <w:p w14:paraId="4228FB2D" w14:textId="5540C2FF" w:rsidR="00B87039" w:rsidRPr="00653BF4" w:rsidRDefault="00B87039" w:rsidP="00B87039">
      <w:pPr>
        <w:pStyle w:val="Heading5"/>
        <w:rPr>
          <w:lang w:val="fr-FR"/>
        </w:rPr>
      </w:pPr>
      <w:bookmarkStart w:id="185" w:name="_Toc235821167"/>
      <w:r w:rsidRPr="00653BF4">
        <w:rPr>
          <w:lang w:val="fr-FR"/>
        </w:rPr>
        <w:t>Exemples de liens avec d</w:t>
      </w:r>
      <w:r w:rsidR="00D77549">
        <w:rPr>
          <w:lang w:val="fr-FR"/>
        </w:rPr>
        <w:t>’</w:t>
      </w:r>
      <w:r w:rsidRPr="00653BF4">
        <w:rPr>
          <w:lang w:val="fr-FR"/>
        </w:rPr>
        <w:t>autres accords, organisations et processus</w:t>
      </w:r>
      <w:bookmarkEnd w:id="185"/>
    </w:p>
    <w:p w14:paraId="3938C3D1" w14:textId="77777777" w:rsidR="00B87039" w:rsidRPr="00653BF4" w:rsidRDefault="00B87039" w:rsidP="00B87039">
      <w:pPr>
        <w:rPr>
          <w:lang w:val="fr-FR"/>
        </w:rPr>
      </w:pPr>
    </w:p>
    <w:p w14:paraId="51BCF3EE" w14:textId="5A38DFBF" w:rsidR="00B87039" w:rsidRPr="00653BF4" w:rsidRDefault="00B87039" w:rsidP="00B87039">
      <w:pPr>
        <w:rPr>
          <w:lang w:val="fr-FR"/>
        </w:rPr>
      </w:pPr>
      <w:r w:rsidRPr="00653BF4">
        <w:rPr>
          <w:lang w:val="fr-FR"/>
        </w:rPr>
        <w:t xml:space="preserve">La série d’études de cas </w:t>
      </w:r>
      <w:r w:rsidR="00E34DC9">
        <w:rPr>
          <w:lang w:val="fr-FR"/>
        </w:rPr>
        <w:t>« </w:t>
      </w:r>
      <w:r w:rsidRPr="00653BF4">
        <w:rPr>
          <w:lang w:val="fr-FR"/>
        </w:rPr>
        <w:t>La CITES et les moyens d’existence</w:t>
      </w:r>
      <w:r w:rsidR="00E34DC9">
        <w:rPr>
          <w:lang w:val="fr-FR"/>
        </w:rPr>
        <w:t> »</w:t>
      </w:r>
      <w:r w:rsidRPr="00653BF4">
        <w:rPr>
          <w:lang w:val="fr-FR"/>
        </w:rPr>
        <w:t xml:space="preserve"> a été créée pour montrer comment un commerce bien réglementé des espèces sauvages peut favoriser l’utilisation durable des espèces sauvages, tout en améliorant le bien-être des peuples autochtones et communautés locales, contribuant ainsi directement à la </w:t>
      </w:r>
      <w:r w:rsidR="00E34DC9">
        <w:rPr>
          <w:lang w:val="fr-FR"/>
        </w:rPr>
        <w:t>cible 9</w:t>
      </w:r>
      <w:r w:rsidRPr="00653BF4">
        <w:rPr>
          <w:rStyle w:val="FootnoteReference"/>
          <w:lang w:val="fr-FR"/>
        </w:rPr>
        <w:footnoteReference w:id="28"/>
      </w:r>
      <w:r w:rsidRPr="00653BF4">
        <w:rPr>
          <w:lang w:val="fr-FR"/>
        </w:rPr>
        <w:t>. Des études de cas menées dans plusieurs régions fournissent des exemples de gestion durable des espèces sauvages qui génère des revenus, des emplois et des investissements sociaux, encourage la conservation, réduit le braconnage et favorise l’utilisation durable (voir l</w:t>
      </w:r>
      <w:r w:rsidR="00D77549">
        <w:rPr>
          <w:lang w:val="fr-FR"/>
        </w:rPr>
        <w:t>’</w:t>
      </w:r>
      <w:r w:rsidRPr="00653BF4">
        <w:rPr>
          <w:lang w:val="fr-FR"/>
        </w:rPr>
        <w:t>encadré 29) (CITES, 2025a). Par ailleurs, l’initiative de la Convention sur la biodiversité au service de l’alimentation et de la nutrition (</w:t>
      </w:r>
      <w:r w:rsidR="00CA2E35" w:rsidRPr="00653BF4">
        <w:rPr>
          <w:lang w:val="fr-FR"/>
        </w:rPr>
        <w:t>décision VIII</w:t>
      </w:r>
      <w:r w:rsidRPr="00653BF4">
        <w:rPr>
          <w:lang w:val="fr-FR"/>
        </w:rPr>
        <w:t>/23 de la CDB, 2006b), menée en partenariat avec la FAO (FAO, 2021), met l’accent sur le rôle de la biodiversité, y compris des espèces sauvages, dans la préservation du bien-être humain et des moyens de subsistance. En outre, elle peut assister les Parties dans la mise en place de mécanismes permettant de rendre compte de cibles spécifiques en l</w:t>
      </w:r>
      <w:r w:rsidR="00D77549">
        <w:rPr>
          <w:lang w:val="fr-FR"/>
        </w:rPr>
        <w:t>’</w:t>
      </w:r>
      <w:r w:rsidRPr="00653BF4">
        <w:rPr>
          <w:lang w:val="fr-FR"/>
        </w:rPr>
        <w:t>absence d</w:t>
      </w:r>
      <w:r w:rsidR="00D77549">
        <w:rPr>
          <w:lang w:val="fr-FR"/>
        </w:rPr>
        <w:t>’</w:t>
      </w:r>
      <w:r w:rsidRPr="00653BF4">
        <w:rPr>
          <w:lang w:val="fr-FR"/>
        </w:rPr>
        <w:t>ensembles de données complets.</w:t>
      </w:r>
    </w:p>
    <w:p w14:paraId="58E6C47B" w14:textId="77777777" w:rsidR="00B87039" w:rsidRPr="00653BF4" w:rsidRDefault="00B87039" w:rsidP="00B87039">
      <w:pPr>
        <w:rPr>
          <w:lang w:val="fr-FR"/>
        </w:rPr>
      </w:pPr>
    </w:p>
    <w:p w14:paraId="280C866A" w14:textId="2C30E967" w:rsidR="00B87039" w:rsidRDefault="00E34DC9" w:rsidP="00B87039">
      <w:pPr>
        <w:pStyle w:val="Heading4"/>
        <w:rPr>
          <w:i w:val="0"/>
          <w:iCs w:val="0"/>
          <w:lang w:val="fr-FR"/>
        </w:rPr>
      </w:pPr>
      <w:bookmarkStart w:id="186" w:name="_Toc235821168"/>
      <w:bookmarkStart w:id="187" w:name="_Toc239069205"/>
      <w:bookmarkStart w:id="188" w:name="_Toc1200715226"/>
      <w:bookmarkStart w:id="189" w:name="_Toc242801242"/>
      <w:r>
        <w:rPr>
          <w:b/>
          <w:bCs/>
          <w:i w:val="0"/>
          <w:iCs w:val="0"/>
          <w:lang w:val="fr-FR"/>
        </w:rPr>
        <w:t>Cible 1</w:t>
      </w:r>
      <w:r w:rsidR="00B87039" w:rsidRPr="00653BF4">
        <w:rPr>
          <w:b/>
          <w:bCs/>
          <w:i w:val="0"/>
          <w:iCs w:val="0"/>
          <w:lang w:val="fr-FR"/>
        </w:rPr>
        <w:t>0.</w:t>
      </w:r>
      <w:r w:rsidR="00B87039" w:rsidRPr="00653BF4">
        <w:rPr>
          <w:i w:val="0"/>
          <w:iCs w:val="0"/>
          <w:lang w:val="fr-FR"/>
        </w:rPr>
        <w:t xml:space="preserve"> Améliorer la biodiversité et la durabilité dans les secteurs de l</w:t>
      </w:r>
      <w:r w:rsidR="00D77549">
        <w:rPr>
          <w:i w:val="0"/>
          <w:iCs w:val="0"/>
          <w:lang w:val="fr-FR"/>
        </w:rPr>
        <w:t>’</w:t>
      </w:r>
      <w:r w:rsidR="00B87039" w:rsidRPr="00653BF4">
        <w:rPr>
          <w:i w:val="0"/>
          <w:iCs w:val="0"/>
          <w:lang w:val="fr-FR"/>
        </w:rPr>
        <w:t>agriculture, de l</w:t>
      </w:r>
      <w:r w:rsidR="00D77549">
        <w:rPr>
          <w:i w:val="0"/>
          <w:iCs w:val="0"/>
          <w:lang w:val="fr-FR"/>
        </w:rPr>
        <w:t>’</w:t>
      </w:r>
      <w:r w:rsidR="00B87039" w:rsidRPr="00653BF4">
        <w:rPr>
          <w:i w:val="0"/>
          <w:iCs w:val="0"/>
          <w:lang w:val="fr-FR"/>
        </w:rPr>
        <w:t>aquaculture, de la pêche et de la sylviculture</w:t>
      </w:r>
      <w:bookmarkEnd w:id="186"/>
      <w:bookmarkEnd w:id="187"/>
      <w:bookmarkEnd w:id="188"/>
      <w:bookmarkEnd w:id="189"/>
    </w:p>
    <w:p w14:paraId="0C82C6A3" w14:textId="77777777" w:rsidR="00B10FBD" w:rsidRPr="00B10FBD" w:rsidRDefault="00B10FBD" w:rsidP="00B10FBD">
      <w:pPr>
        <w:rPr>
          <w:lang w:val="fr-FR"/>
        </w:rPr>
      </w:pPr>
    </w:p>
    <w:p w14:paraId="038D6149" w14:textId="6B272C7C" w:rsidR="00B87039" w:rsidRPr="00653BF4" w:rsidRDefault="00B87039" w:rsidP="00B87039">
      <w:pPr>
        <w:rPr>
          <w:lang w:val="fr-FR"/>
        </w:rPr>
      </w:pPr>
      <w:r w:rsidRPr="00653BF4">
        <w:rPr>
          <w:b/>
          <w:bCs/>
          <w:sz w:val="22"/>
          <w:szCs w:val="22"/>
          <w:lang w:val="fr-FR"/>
        </w:rPr>
        <w:t>Texte de la cible.</w:t>
      </w:r>
      <w:r w:rsidRPr="00653BF4">
        <w:rPr>
          <w:i/>
          <w:iCs/>
          <w:sz w:val="22"/>
          <w:szCs w:val="22"/>
          <w:lang w:val="fr-FR"/>
        </w:rPr>
        <w:t xml:space="preserve"> Assurer une gestion durable des zones agricoles, aquacoles, halieutiques et forestières, en particulier grâce à l</w:t>
      </w:r>
      <w:r w:rsidR="00D77549">
        <w:rPr>
          <w:i/>
          <w:iCs/>
          <w:sz w:val="22"/>
          <w:szCs w:val="22"/>
          <w:lang w:val="fr-FR"/>
        </w:rPr>
        <w:t>’</w:t>
      </w:r>
      <w:r w:rsidRPr="00653BF4">
        <w:rPr>
          <w:i/>
          <w:iCs/>
          <w:sz w:val="22"/>
          <w:szCs w:val="22"/>
          <w:lang w:val="fr-FR"/>
        </w:rPr>
        <w:t>utilisation durable de la biodiversité, notamment en augmentant significativement le recours à des pratiques respectueuses de la biodiversité, telles que l</w:t>
      </w:r>
      <w:r w:rsidR="00D77549">
        <w:rPr>
          <w:i/>
          <w:iCs/>
          <w:sz w:val="22"/>
          <w:szCs w:val="22"/>
          <w:lang w:val="fr-FR"/>
        </w:rPr>
        <w:t>’</w:t>
      </w:r>
      <w:r w:rsidRPr="00653BF4">
        <w:rPr>
          <w:i/>
          <w:iCs/>
          <w:sz w:val="22"/>
          <w:szCs w:val="22"/>
          <w:lang w:val="fr-FR"/>
        </w:rPr>
        <w:t>intensification durable, l</w:t>
      </w:r>
      <w:r w:rsidR="00D77549">
        <w:rPr>
          <w:i/>
          <w:iCs/>
          <w:sz w:val="22"/>
          <w:szCs w:val="22"/>
          <w:lang w:val="fr-FR"/>
        </w:rPr>
        <w:t>’</w:t>
      </w:r>
      <w:r w:rsidRPr="00653BF4">
        <w:rPr>
          <w:i/>
          <w:iCs/>
          <w:sz w:val="22"/>
          <w:szCs w:val="22"/>
          <w:lang w:val="fr-FR"/>
        </w:rPr>
        <w:t>agroécologie et d</w:t>
      </w:r>
      <w:r w:rsidR="00D77549">
        <w:rPr>
          <w:i/>
          <w:iCs/>
          <w:sz w:val="22"/>
          <w:szCs w:val="22"/>
          <w:lang w:val="fr-FR"/>
        </w:rPr>
        <w:t>’</w:t>
      </w:r>
      <w:r w:rsidRPr="00653BF4">
        <w:rPr>
          <w:i/>
          <w:iCs/>
          <w:sz w:val="22"/>
          <w:szCs w:val="22"/>
          <w:lang w:val="fr-FR"/>
        </w:rPr>
        <w:t>autres approches innovantes, contribuant ainsi à améliorer la résilience, l</w:t>
      </w:r>
      <w:r w:rsidR="00D77549">
        <w:rPr>
          <w:i/>
          <w:iCs/>
          <w:sz w:val="22"/>
          <w:szCs w:val="22"/>
          <w:lang w:val="fr-FR"/>
        </w:rPr>
        <w:t>’</w:t>
      </w:r>
      <w:r w:rsidRPr="00653BF4">
        <w:rPr>
          <w:i/>
          <w:iCs/>
          <w:sz w:val="22"/>
          <w:szCs w:val="22"/>
          <w:lang w:val="fr-FR"/>
        </w:rPr>
        <w:t xml:space="preserve">efficacité et la productivité à long terme de ces systèmes de production, </w:t>
      </w:r>
      <w:r w:rsidRPr="00653BF4">
        <w:rPr>
          <w:i/>
          <w:iCs/>
          <w:sz w:val="22"/>
          <w:szCs w:val="22"/>
          <w:lang w:val="fr-FR"/>
        </w:rPr>
        <w:lastRenderedPageBreak/>
        <w:t>ainsi qu</w:t>
      </w:r>
      <w:r w:rsidR="00D77549">
        <w:rPr>
          <w:i/>
          <w:iCs/>
          <w:sz w:val="22"/>
          <w:szCs w:val="22"/>
          <w:lang w:val="fr-FR"/>
        </w:rPr>
        <w:t>’</w:t>
      </w:r>
      <w:r w:rsidRPr="00653BF4">
        <w:rPr>
          <w:i/>
          <w:iCs/>
          <w:sz w:val="22"/>
          <w:szCs w:val="22"/>
          <w:lang w:val="fr-FR"/>
        </w:rPr>
        <w:t>à renforcer la sécurité alimentaire, à conserver et à restaurer la biodiversité et à préserver les contributions de la nature aux populations, y compris les fonctions et les services écosystémiques.</w:t>
      </w:r>
    </w:p>
    <w:p w14:paraId="61D9D9A7" w14:textId="77777777" w:rsidR="00B87039" w:rsidRPr="00653BF4" w:rsidRDefault="00B87039" w:rsidP="00B87039">
      <w:pPr>
        <w:pStyle w:val="Heading5"/>
        <w:rPr>
          <w:lang w:val="fr-FR"/>
        </w:rPr>
      </w:pPr>
      <w:bookmarkStart w:id="190" w:name="_Toc235821169"/>
    </w:p>
    <w:bookmarkEnd w:id="190"/>
    <w:p w14:paraId="7D7FB4FB" w14:textId="77777777" w:rsidR="00B87039" w:rsidRPr="00653BF4" w:rsidRDefault="00B87039" w:rsidP="00B87039">
      <w:pPr>
        <w:pStyle w:val="Heading5"/>
        <w:rPr>
          <w:lang w:val="fr-FR"/>
        </w:rPr>
      </w:pPr>
      <w:r w:rsidRPr="00653BF4">
        <w:rPr>
          <w:lang w:val="fr-FR"/>
        </w:rPr>
        <w:t>Aperçu des progrès accomplis</w:t>
      </w:r>
    </w:p>
    <w:p w14:paraId="274EEECE" w14:textId="77777777" w:rsidR="00B87039" w:rsidRPr="00653BF4" w:rsidRDefault="00B87039" w:rsidP="00B87039">
      <w:pPr>
        <w:rPr>
          <w:lang w:val="fr-FR"/>
        </w:rPr>
      </w:pPr>
    </w:p>
    <w:tbl>
      <w:tblPr>
        <w:tblStyle w:val="TableGrid"/>
        <w:tblW w:w="0" w:type="auto"/>
        <w:tblLook w:val="04A0" w:firstRow="1" w:lastRow="0" w:firstColumn="1" w:lastColumn="0" w:noHBand="0" w:noVBand="1"/>
      </w:tblPr>
      <w:tblGrid>
        <w:gridCol w:w="9016"/>
      </w:tblGrid>
      <w:tr w:rsidR="00B87039" w:rsidRPr="00543148" w14:paraId="3EBEF237" w14:textId="77777777" w:rsidTr="00557FB3">
        <w:tc>
          <w:tcPr>
            <w:tcW w:w="9016" w:type="dxa"/>
            <w:shd w:val="clear" w:color="auto" w:fill="D1D1D1" w:themeFill="background2" w:themeFillShade="E6"/>
          </w:tcPr>
          <w:p w14:paraId="1A2C24C9" w14:textId="77777777" w:rsidR="00B87039" w:rsidRPr="00653BF4" w:rsidRDefault="00B87039" w:rsidP="00557FB3">
            <w:pPr>
              <w:rPr>
                <w:rFonts w:eastAsia="Times New Roman" w:cs="Calibri"/>
                <w:color w:val="000000"/>
                <w:lang w:val="fr-FR"/>
              </w:rPr>
            </w:pPr>
            <w:bookmarkStart w:id="191" w:name="_Toc230654721"/>
          </w:p>
          <w:bookmarkEnd w:id="191"/>
          <w:p w14:paraId="2A8C0598" w14:textId="33F79B33" w:rsidR="00B87039" w:rsidRPr="00653BF4" w:rsidRDefault="00B87039" w:rsidP="00557FB3">
            <w:pPr>
              <w:rPr>
                <w:rFonts w:eastAsia="Times New Roman" w:cs="Calibri"/>
                <w:color w:val="000000"/>
                <w:lang w:val="fr-FR"/>
              </w:rPr>
            </w:pPr>
            <w:r w:rsidRPr="00653BF4">
              <w:rPr>
                <w:rFonts w:eastAsia="Times New Roman" w:cs="Calibri"/>
                <w:color w:val="000000"/>
                <w:lang w:val="fr-FR"/>
              </w:rPr>
              <w:t xml:space="preserve">Si les progrès collectifs accomplis restent inégaux selon les secteurs de production, des tendances positives ont toutefois été observées récemment dans certains domaines. Globalement, les cibles nationales communiquées par les Parties couvrent bien la portée de la </w:t>
            </w:r>
            <w:r w:rsidR="00E34DC9">
              <w:rPr>
                <w:rFonts w:eastAsia="Times New Roman" w:cs="Calibri"/>
                <w:color w:val="000000"/>
                <w:lang w:val="fr-FR"/>
              </w:rPr>
              <w:t>cible 1</w:t>
            </w:r>
            <w:r w:rsidRPr="00653BF4">
              <w:rPr>
                <w:rFonts w:eastAsia="Times New Roman" w:cs="Calibri"/>
                <w:color w:val="000000"/>
                <w:lang w:val="fr-FR"/>
              </w:rPr>
              <w:t xml:space="preserve">0. Les tendances des indicateurs quantitatifs relatifs à la </w:t>
            </w:r>
            <w:r w:rsidR="00E34DC9">
              <w:rPr>
                <w:rFonts w:eastAsia="Times New Roman" w:cs="Calibri"/>
                <w:color w:val="000000"/>
                <w:lang w:val="fr-FR"/>
              </w:rPr>
              <w:t>cible 1</w:t>
            </w:r>
            <w:r w:rsidRPr="00653BF4">
              <w:rPr>
                <w:rFonts w:eastAsia="Times New Roman" w:cs="Calibri"/>
                <w:color w:val="000000"/>
                <w:lang w:val="fr-FR"/>
              </w:rPr>
              <w:t>0 témoignent d</w:t>
            </w:r>
            <w:r w:rsidR="00D77549">
              <w:rPr>
                <w:rFonts w:eastAsia="Times New Roman" w:cs="Calibri"/>
                <w:color w:val="000000"/>
                <w:lang w:val="fr-FR"/>
              </w:rPr>
              <w:t>’</w:t>
            </w:r>
            <w:r w:rsidRPr="00653BF4">
              <w:rPr>
                <w:rFonts w:eastAsia="Times New Roman" w:cs="Calibri"/>
                <w:color w:val="000000"/>
                <w:lang w:val="fr-FR"/>
              </w:rPr>
              <w:t>améliorations récentes, ce qui laisse entrevoir une durabilité accrue dans les secteurs de l</w:t>
            </w:r>
            <w:r w:rsidR="00D77549">
              <w:rPr>
                <w:rFonts w:eastAsia="Times New Roman" w:cs="Calibri"/>
                <w:color w:val="000000"/>
                <w:lang w:val="fr-FR"/>
              </w:rPr>
              <w:t>’</w:t>
            </w:r>
            <w:r w:rsidRPr="00653BF4">
              <w:rPr>
                <w:rFonts w:eastAsia="Times New Roman" w:cs="Calibri"/>
                <w:color w:val="000000"/>
                <w:lang w:val="fr-FR"/>
              </w:rPr>
              <w:t>agriculture et de la sylviculture. Cependant, les Parties reconnaissent dans leurs auto-évaluations que les progrès accomplis ne permettent pas d</w:t>
            </w:r>
            <w:r w:rsidR="00D77549">
              <w:rPr>
                <w:rFonts w:eastAsia="Times New Roman" w:cs="Calibri"/>
                <w:color w:val="000000"/>
                <w:lang w:val="fr-FR"/>
              </w:rPr>
              <w:t>’</w:t>
            </w:r>
            <w:r w:rsidRPr="00653BF4">
              <w:rPr>
                <w:rFonts w:eastAsia="Times New Roman" w:cs="Calibri"/>
                <w:color w:val="000000"/>
                <w:lang w:val="fr-FR"/>
              </w:rPr>
              <w:t>atteindre plus de la moitié des cibles nationales. Il n</w:t>
            </w:r>
            <w:r w:rsidR="00D77549">
              <w:rPr>
                <w:rFonts w:eastAsia="Times New Roman" w:cs="Calibri"/>
                <w:color w:val="000000"/>
                <w:lang w:val="fr-FR"/>
              </w:rPr>
              <w:t>’</w:t>
            </w:r>
            <w:r w:rsidRPr="00653BF4">
              <w:rPr>
                <w:rFonts w:eastAsia="Times New Roman" w:cs="Calibri"/>
                <w:color w:val="000000"/>
                <w:lang w:val="fr-FR"/>
              </w:rPr>
              <w:t>est pas possible de réaliser d</w:t>
            </w:r>
            <w:r w:rsidR="00D77549">
              <w:rPr>
                <w:rFonts w:eastAsia="Times New Roman" w:cs="Calibri"/>
                <w:color w:val="000000"/>
                <w:lang w:val="fr-FR"/>
              </w:rPr>
              <w:t>’</w:t>
            </w:r>
            <w:r w:rsidRPr="00653BF4">
              <w:rPr>
                <w:rFonts w:eastAsia="Times New Roman" w:cs="Calibri"/>
                <w:color w:val="000000"/>
                <w:lang w:val="fr-FR"/>
              </w:rPr>
              <w:t>évaluation de l</w:t>
            </w:r>
            <w:r w:rsidR="00D77549">
              <w:rPr>
                <w:rFonts w:eastAsia="Times New Roman" w:cs="Calibri"/>
                <w:color w:val="000000"/>
                <w:lang w:val="fr-FR"/>
              </w:rPr>
              <w:t>’</w:t>
            </w:r>
            <w:r w:rsidRPr="00653BF4">
              <w:rPr>
                <w:rFonts w:eastAsia="Times New Roman" w:cs="Calibri"/>
                <w:color w:val="000000"/>
                <w:lang w:val="fr-FR"/>
              </w:rPr>
              <w:t>aquaculture durable. D</w:t>
            </w:r>
            <w:r w:rsidR="00D77549">
              <w:rPr>
                <w:rFonts w:eastAsia="Times New Roman" w:cs="Calibri"/>
                <w:color w:val="000000"/>
                <w:lang w:val="fr-FR"/>
              </w:rPr>
              <w:t>’</w:t>
            </w:r>
            <w:r w:rsidRPr="00653BF4">
              <w:rPr>
                <w:rFonts w:eastAsia="Times New Roman" w:cs="Calibri"/>
                <w:color w:val="000000"/>
                <w:lang w:val="fr-FR"/>
              </w:rPr>
              <w:t>importantes difficultés subsistent en ce qui concerne la généralisation des pratiques respectueuses de la biodiversité associée à la préservation de la sécurité alimentaire, des moyens de subsistance et du développement durable. En particulier, l</w:t>
            </w:r>
            <w:r w:rsidR="00D77549">
              <w:rPr>
                <w:rFonts w:eastAsia="Times New Roman" w:cs="Calibri"/>
                <w:color w:val="000000"/>
                <w:lang w:val="fr-FR"/>
              </w:rPr>
              <w:t>’</w:t>
            </w:r>
            <w:r w:rsidRPr="00653BF4">
              <w:rPr>
                <w:rFonts w:eastAsia="Times New Roman" w:cs="Calibri"/>
                <w:color w:val="000000"/>
                <w:lang w:val="fr-FR"/>
              </w:rPr>
              <w:t>absence de mesures d</w:t>
            </w:r>
            <w:r w:rsidR="00D77549">
              <w:rPr>
                <w:rFonts w:eastAsia="Times New Roman" w:cs="Calibri"/>
                <w:color w:val="000000"/>
                <w:lang w:val="fr-FR"/>
              </w:rPr>
              <w:t>’</w:t>
            </w:r>
            <w:r w:rsidRPr="00653BF4">
              <w:rPr>
                <w:rFonts w:eastAsia="Times New Roman" w:cs="Calibri"/>
                <w:color w:val="000000"/>
                <w:lang w:val="fr-FR"/>
              </w:rPr>
              <w:t>incitation et la persistance de subventions nuisibles, la faiblesse des mécanismes d</w:t>
            </w:r>
            <w:r w:rsidR="00D77549">
              <w:rPr>
                <w:rFonts w:eastAsia="Times New Roman" w:cs="Calibri"/>
                <w:color w:val="000000"/>
                <w:lang w:val="fr-FR"/>
              </w:rPr>
              <w:t>’</w:t>
            </w:r>
            <w:r w:rsidRPr="00653BF4">
              <w:rPr>
                <w:rFonts w:eastAsia="Times New Roman" w:cs="Calibri"/>
                <w:color w:val="000000"/>
                <w:lang w:val="fr-FR"/>
              </w:rPr>
              <w:t>application, les faibles capacités des communautés locales et les pressions externes croissantes, notamment celles liées aux changements climatiques, continuent d</w:t>
            </w:r>
            <w:r w:rsidR="00D77549">
              <w:rPr>
                <w:rFonts w:eastAsia="Times New Roman" w:cs="Calibri"/>
                <w:color w:val="000000"/>
                <w:lang w:val="fr-FR"/>
              </w:rPr>
              <w:t>’</w:t>
            </w:r>
            <w:r w:rsidRPr="00653BF4">
              <w:rPr>
                <w:rFonts w:eastAsia="Times New Roman" w:cs="Calibri"/>
                <w:color w:val="000000"/>
                <w:lang w:val="fr-FR"/>
              </w:rPr>
              <w:t xml:space="preserve">entraver les progrès. </w:t>
            </w:r>
          </w:p>
          <w:p w14:paraId="58BF5223" w14:textId="77777777" w:rsidR="00B87039" w:rsidRPr="00653BF4" w:rsidRDefault="00B87039" w:rsidP="00557FB3">
            <w:pPr>
              <w:rPr>
                <w:lang w:val="fr-FR"/>
              </w:rPr>
            </w:pPr>
          </w:p>
        </w:tc>
      </w:tr>
    </w:tbl>
    <w:p w14:paraId="3E5EF83B" w14:textId="77777777" w:rsidR="00B87039" w:rsidRPr="00653BF4" w:rsidRDefault="00B87039" w:rsidP="00B87039">
      <w:pPr>
        <w:rPr>
          <w:lang w:val="fr-FR"/>
        </w:rPr>
      </w:pPr>
    </w:p>
    <w:p w14:paraId="453E12C0" w14:textId="37E8310F" w:rsidR="00B87039" w:rsidRPr="00653BF4" w:rsidRDefault="00B87039" w:rsidP="00A25376">
      <w:pPr>
        <w:pStyle w:val="Heading5"/>
        <w:rPr>
          <w:i/>
          <w:iCs/>
          <w:sz w:val="22"/>
          <w:szCs w:val="22"/>
          <w:lang w:val="fr-FR"/>
        </w:rPr>
      </w:pPr>
      <w:r w:rsidRPr="00653BF4">
        <w:rPr>
          <w:lang w:val="fr-FR"/>
        </w:rPr>
        <w:t xml:space="preserve">Prise en compte par les Parties de la portée de la </w:t>
      </w:r>
      <w:r w:rsidR="00E34DC9">
        <w:rPr>
          <w:lang w:val="fr-FR"/>
        </w:rPr>
        <w:t>cible 1</w:t>
      </w:r>
      <w:r w:rsidRPr="00653BF4">
        <w:rPr>
          <w:lang w:val="fr-FR"/>
        </w:rPr>
        <w:t>0 du Cadre dans leurs cibles nationales</w:t>
      </w:r>
    </w:p>
    <w:p w14:paraId="79623ABF" w14:textId="77777777" w:rsidR="00B87039" w:rsidRPr="00653BF4" w:rsidRDefault="00B87039" w:rsidP="00B87039">
      <w:pPr>
        <w:rPr>
          <w:i/>
          <w:iCs/>
          <w:sz w:val="22"/>
          <w:szCs w:val="22"/>
          <w:lang w:val="fr-FR"/>
        </w:rPr>
      </w:pPr>
    </w:p>
    <w:p w14:paraId="487499E9" w14:textId="78AE3713" w:rsidR="00B87039" w:rsidRPr="00653BF4" w:rsidRDefault="00B87039" w:rsidP="00B87039">
      <w:pPr>
        <w:pStyle w:val="Caption"/>
        <w:keepNext/>
        <w:rPr>
          <w:i w:val="0"/>
          <w:iCs w:val="0"/>
          <w:sz w:val="20"/>
          <w:szCs w:val="20"/>
          <w:lang w:val="fr-FR"/>
        </w:rPr>
      </w:pPr>
      <w:bookmarkStart w:id="192" w:name="_Ref230719989"/>
      <w:bookmarkStart w:id="193" w:name="_Ref230719955"/>
      <w:r w:rsidRPr="00653BF4">
        <w:rPr>
          <w:i w:val="0"/>
          <w:iCs w:val="0"/>
          <w:sz w:val="20"/>
          <w:szCs w:val="20"/>
          <w:lang w:val="fr-FR"/>
        </w:rPr>
        <w:t>Tableau 22</w:t>
      </w:r>
      <w:bookmarkEnd w:id="192"/>
      <w:r w:rsidRPr="00653BF4">
        <w:rPr>
          <w:i w:val="0"/>
          <w:iCs w:val="0"/>
          <w:sz w:val="20"/>
          <w:szCs w:val="20"/>
          <w:lang w:val="fr-FR"/>
        </w:rPr>
        <w:t xml:space="preserve"> </w:t>
      </w:r>
      <w:bookmarkEnd w:id="193"/>
    </w:p>
    <w:p w14:paraId="3C416878" w14:textId="0E18D2CF" w:rsidR="00B87039" w:rsidRPr="00653BF4" w:rsidRDefault="00B87039" w:rsidP="00B87039">
      <w:pPr>
        <w:pStyle w:val="Caption"/>
        <w:keepNext/>
        <w:rPr>
          <w:i w:val="0"/>
          <w:sz w:val="20"/>
          <w:szCs w:val="20"/>
          <w:lang w:val="fr-FR"/>
        </w:rPr>
      </w:pPr>
      <w:r w:rsidRPr="00653BF4">
        <w:rPr>
          <w:b/>
          <w:i w:val="0"/>
          <w:sz w:val="20"/>
          <w:szCs w:val="20"/>
          <w:lang w:val="fr-FR"/>
        </w:rPr>
        <w:t xml:space="preserve">Éléments de la </w:t>
      </w:r>
      <w:r w:rsidR="00E34DC9">
        <w:rPr>
          <w:b/>
          <w:i w:val="0"/>
          <w:sz w:val="20"/>
          <w:szCs w:val="20"/>
          <w:lang w:val="fr-FR"/>
        </w:rPr>
        <w:t>cible 1</w:t>
      </w:r>
      <w:r w:rsidRPr="00653BF4">
        <w:rPr>
          <w:b/>
          <w:i w:val="0"/>
          <w:sz w:val="20"/>
          <w:szCs w:val="20"/>
          <w:lang w:val="fr-FR"/>
        </w:rPr>
        <w:t xml:space="preserve">0 du Cadre et </w:t>
      </w:r>
      <w:r w:rsidRPr="00653BF4">
        <w:rPr>
          <w:b/>
          <w:bCs/>
          <w:i w:val="0"/>
          <w:iCs w:val="0"/>
          <w:sz w:val="20"/>
          <w:szCs w:val="20"/>
          <w:lang w:val="fr-FR"/>
        </w:rPr>
        <w:t>leur prise en compte dans les cibles nationales</w:t>
      </w:r>
      <w:r w:rsidRPr="00653BF4">
        <w:rPr>
          <w:i w:val="0"/>
          <w:iCs w:val="0"/>
          <w:sz w:val="20"/>
          <w:szCs w:val="20"/>
          <w:vertAlign w:val="superscript"/>
          <w:lang w:val="fr-FR"/>
        </w:rPr>
        <w:t>a</w:t>
      </w:r>
    </w:p>
    <w:p w14:paraId="3451A1DB" w14:textId="77777777" w:rsidR="00B87039" w:rsidRPr="00653BF4" w:rsidRDefault="00B87039" w:rsidP="00B87039">
      <w:pPr>
        <w:rPr>
          <w:lang w:val="fr-FR" w:eastAsia="ja-JP"/>
        </w:rPr>
      </w:pPr>
    </w:p>
    <w:tbl>
      <w:tblPr>
        <w:tblStyle w:val="TableGrid"/>
        <w:tblW w:w="0" w:type="auto"/>
        <w:tblLook w:val="04A0" w:firstRow="1" w:lastRow="0" w:firstColumn="1" w:lastColumn="0" w:noHBand="0" w:noVBand="1"/>
      </w:tblPr>
      <w:tblGrid>
        <w:gridCol w:w="8359"/>
        <w:gridCol w:w="657"/>
      </w:tblGrid>
      <w:tr w:rsidR="00B87039" w:rsidRPr="00653BF4" w14:paraId="01BF2218" w14:textId="77777777" w:rsidTr="00557FB3">
        <w:tc>
          <w:tcPr>
            <w:tcW w:w="8359" w:type="dxa"/>
          </w:tcPr>
          <w:p w14:paraId="3ABB155E" w14:textId="77777777" w:rsidR="00B87039" w:rsidRPr="00653BF4" w:rsidRDefault="00B87039" w:rsidP="00557FB3">
            <w:pPr>
              <w:rPr>
                <w:sz w:val="20"/>
                <w:szCs w:val="20"/>
                <w:lang w:val="fr-FR"/>
              </w:rPr>
            </w:pPr>
            <w:r w:rsidRPr="00653BF4">
              <w:rPr>
                <w:sz w:val="20"/>
                <w:szCs w:val="20"/>
                <w:lang w:val="fr-FR"/>
              </w:rPr>
              <w:t>Assurer une gestion durable des zones agricoles</w:t>
            </w:r>
          </w:p>
          <w:p w14:paraId="362F8394" w14:textId="77777777" w:rsidR="00B87039" w:rsidRPr="00653BF4" w:rsidRDefault="00B87039" w:rsidP="00557FB3">
            <w:pPr>
              <w:rPr>
                <w:sz w:val="20"/>
                <w:szCs w:val="20"/>
                <w:lang w:val="fr-FR"/>
              </w:rPr>
            </w:pPr>
          </w:p>
        </w:tc>
        <w:tc>
          <w:tcPr>
            <w:tcW w:w="657" w:type="dxa"/>
            <w:shd w:val="clear" w:color="auto" w:fill="00B050"/>
          </w:tcPr>
          <w:p w14:paraId="57D782BB" w14:textId="77777777" w:rsidR="00B87039" w:rsidRPr="00653BF4" w:rsidRDefault="00B87039" w:rsidP="00557FB3">
            <w:pPr>
              <w:rPr>
                <w:sz w:val="20"/>
                <w:szCs w:val="20"/>
                <w:lang w:val="fr-FR"/>
              </w:rPr>
            </w:pPr>
            <w:r w:rsidRPr="00653BF4">
              <w:rPr>
                <w:sz w:val="20"/>
                <w:szCs w:val="20"/>
                <w:lang w:val="fr-FR"/>
              </w:rPr>
              <w:t>82</w:t>
            </w:r>
          </w:p>
        </w:tc>
      </w:tr>
      <w:tr w:rsidR="00B87039" w:rsidRPr="00653BF4" w14:paraId="7FA6DD99" w14:textId="77777777" w:rsidTr="00557FB3">
        <w:tc>
          <w:tcPr>
            <w:tcW w:w="8359" w:type="dxa"/>
          </w:tcPr>
          <w:p w14:paraId="1C8BA440" w14:textId="77777777" w:rsidR="00B87039" w:rsidRPr="00653BF4" w:rsidRDefault="00B87039" w:rsidP="00557FB3">
            <w:pPr>
              <w:rPr>
                <w:sz w:val="20"/>
                <w:szCs w:val="20"/>
                <w:lang w:val="fr-FR"/>
              </w:rPr>
            </w:pPr>
            <w:r w:rsidRPr="00653BF4">
              <w:rPr>
                <w:sz w:val="20"/>
                <w:szCs w:val="20"/>
                <w:lang w:val="fr-FR"/>
              </w:rPr>
              <w:t>Assurer une gestion durable des zones aquacoles</w:t>
            </w:r>
          </w:p>
          <w:p w14:paraId="3428E134" w14:textId="77777777" w:rsidR="00B87039" w:rsidRPr="00653BF4" w:rsidRDefault="00B87039" w:rsidP="00557FB3">
            <w:pPr>
              <w:rPr>
                <w:sz w:val="20"/>
                <w:szCs w:val="20"/>
                <w:lang w:val="fr-FR"/>
              </w:rPr>
            </w:pPr>
          </w:p>
        </w:tc>
        <w:tc>
          <w:tcPr>
            <w:tcW w:w="657" w:type="dxa"/>
            <w:shd w:val="clear" w:color="auto" w:fill="FFFF00"/>
          </w:tcPr>
          <w:p w14:paraId="1F5449FB" w14:textId="77777777" w:rsidR="00B87039" w:rsidRPr="00653BF4" w:rsidRDefault="00B87039" w:rsidP="00557FB3">
            <w:pPr>
              <w:rPr>
                <w:sz w:val="20"/>
                <w:szCs w:val="20"/>
                <w:lang w:val="fr-FR"/>
              </w:rPr>
            </w:pPr>
            <w:r w:rsidRPr="00653BF4">
              <w:rPr>
                <w:sz w:val="20"/>
                <w:szCs w:val="20"/>
                <w:lang w:val="fr-FR"/>
              </w:rPr>
              <w:t>52</w:t>
            </w:r>
          </w:p>
        </w:tc>
      </w:tr>
      <w:tr w:rsidR="00B87039" w:rsidRPr="00653BF4" w14:paraId="17B8E9C9" w14:textId="77777777" w:rsidTr="00557FB3">
        <w:tc>
          <w:tcPr>
            <w:tcW w:w="8359" w:type="dxa"/>
          </w:tcPr>
          <w:p w14:paraId="3F90385C" w14:textId="77777777" w:rsidR="00B87039" w:rsidRPr="00653BF4" w:rsidRDefault="00B87039" w:rsidP="00557FB3">
            <w:pPr>
              <w:rPr>
                <w:sz w:val="20"/>
                <w:szCs w:val="20"/>
                <w:lang w:val="fr-FR"/>
              </w:rPr>
            </w:pPr>
            <w:r w:rsidRPr="00653BF4">
              <w:rPr>
                <w:sz w:val="20"/>
                <w:szCs w:val="20"/>
                <w:lang w:val="fr-FR"/>
              </w:rPr>
              <w:t>Assurer une gestion durable des zones halieutiques</w:t>
            </w:r>
          </w:p>
          <w:p w14:paraId="1ACEEBFA" w14:textId="77777777" w:rsidR="00B87039" w:rsidRPr="00653BF4" w:rsidRDefault="00B87039" w:rsidP="00557FB3">
            <w:pPr>
              <w:rPr>
                <w:sz w:val="20"/>
                <w:szCs w:val="20"/>
                <w:lang w:val="fr-FR"/>
              </w:rPr>
            </w:pPr>
          </w:p>
        </w:tc>
        <w:tc>
          <w:tcPr>
            <w:tcW w:w="657" w:type="dxa"/>
            <w:shd w:val="clear" w:color="auto" w:fill="92D050"/>
          </w:tcPr>
          <w:p w14:paraId="0F3FA566" w14:textId="77777777" w:rsidR="00B87039" w:rsidRPr="00653BF4" w:rsidRDefault="00B87039" w:rsidP="00557FB3">
            <w:pPr>
              <w:rPr>
                <w:sz w:val="20"/>
                <w:szCs w:val="20"/>
                <w:lang w:val="fr-FR"/>
              </w:rPr>
            </w:pPr>
            <w:r w:rsidRPr="00653BF4">
              <w:rPr>
                <w:sz w:val="20"/>
                <w:szCs w:val="20"/>
                <w:lang w:val="fr-FR"/>
              </w:rPr>
              <w:t>70</w:t>
            </w:r>
          </w:p>
        </w:tc>
      </w:tr>
      <w:tr w:rsidR="00B87039" w:rsidRPr="00653BF4" w14:paraId="4F75E247" w14:textId="77777777" w:rsidTr="00557FB3">
        <w:tc>
          <w:tcPr>
            <w:tcW w:w="8359" w:type="dxa"/>
          </w:tcPr>
          <w:p w14:paraId="2BED928C" w14:textId="77777777" w:rsidR="00B87039" w:rsidRPr="00653BF4" w:rsidRDefault="00B87039" w:rsidP="00557FB3">
            <w:pPr>
              <w:rPr>
                <w:sz w:val="20"/>
                <w:szCs w:val="20"/>
                <w:lang w:val="fr-FR"/>
              </w:rPr>
            </w:pPr>
            <w:r w:rsidRPr="00653BF4">
              <w:rPr>
                <w:sz w:val="20"/>
                <w:szCs w:val="20"/>
                <w:lang w:val="fr-FR"/>
              </w:rPr>
              <w:t>Assurer une gestion durable des zones forestières</w:t>
            </w:r>
          </w:p>
          <w:p w14:paraId="541BC61F" w14:textId="77777777" w:rsidR="00B87039" w:rsidRPr="00653BF4" w:rsidRDefault="00B87039" w:rsidP="00557FB3">
            <w:pPr>
              <w:rPr>
                <w:sz w:val="20"/>
                <w:szCs w:val="20"/>
                <w:lang w:val="fr-FR"/>
              </w:rPr>
            </w:pPr>
          </w:p>
        </w:tc>
        <w:tc>
          <w:tcPr>
            <w:tcW w:w="657" w:type="dxa"/>
            <w:shd w:val="clear" w:color="auto" w:fill="92D050"/>
          </w:tcPr>
          <w:p w14:paraId="488C751E" w14:textId="77777777" w:rsidR="00B87039" w:rsidRPr="00653BF4" w:rsidRDefault="00B87039" w:rsidP="00557FB3">
            <w:pPr>
              <w:rPr>
                <w:sz w:val="20"/>
                <w:szCs w:val="20"/>
                <w:lang w:val="fr-FR"/>
              </w:rPr>
            </w:pPr>
            <w:r w:rsidRPr="00653BF4">
              <w:rPr>
                <w:sz w:val="20"/>
                <w:szCs w:val="20"/>
                <w:lang w:val="fr-FR"/>
              </w:rPr>
              <w:t>72</w:t>
            </w:r>
          </w:p>
        </w:tc>
      </w:tr>
      <w:tr w:rsidR="00B87039" w:rsidRPr="00653BF4" w14:paraId="4058DB7B" w14:textId="77777777" w:rsidTr="00557FB3">
        <w:tc>
          <w:tcPr>
            <w:tcW w:w="8359" w:type="dxa"/>
          </w:tcPr>
          <w:p w14:paraId="7876AA96" w14:textId="66CD81AD" w:rsidR="00B87039" w:rsidRPr="00653BF4" w:rsidRDefault="00B87039" w:rsidP="00557FB3">
            <w:pPr>
              <w:rPr>
                <w:sz w:val="20"/>
                <w:szCs w:val="20"/>
                <w:lang w:val="fr-FR"/>
              </w:rPr>
            </w:pPr>
            <w:r w:rsidRPr="00653BF4">
              <w:rPr>
                <w:sz w:val="20"/>
                <w:szCs w:val="20"/>
                <w:lang w:val="fr-FR"/>
              </w:rPr>
              <w:lastRenderedPageBreak/>
              <w:t>Augmenter significativement le recours à des pratiques respectueuses de la biodiversité, telles que l</w:t>
            </w:r>
            <w:r w:rsidR="00D77549">
              <w:rPr>
                <w:sz w:val="20"/>
                <w:szCs w:val="20"/>
                <w:lang w:val="fr-FR"/>
              </w:rPr>
              <w:t>’</w:t>
            </w:r>
            <w:r w:rsidRPr="00653BF4">
              <w:rPr>
                <w:sz w:val="20"/>
                <w:szCs w:val="20"/>
                <w:lang w:val="fr-FR"/>
              </w:rPr>
              <w:t>intensification durable, l</w:t>
            </w:r>
            <w:r w:rsidR="00D77549">
              <w:rPr>
                <w:sz w:val="20"/>
                <w:szCs w:val="20"/>
                <w:lang w:val="fr-FR"/>
              </w:rPr>
              <w:t>’</w:t>
            </w:r>
            <w:r w:rsidRPr="00653BF4">
              <w:rPr>
                <w:sz w:val="20"/>
                <w:szCs w:val="20"/>
                <w:lang w:val="fr-FR"/>
              </w:rPr>
              <w:t>agroécologie et d</w:t>
            </w:r>
            <w:r w:rsidR="00D77549">
              <w:rPr>
                <w:sz w:val="20"/>
                <w:szCs w:val="20"/>
                <w:lang w:val="fr-FR"/>
              </w:rPr>
              <w:t>’</w:t>
            </w:r>
            <w:r w:rsidRPr="00653BF4">
              <w:rPr>
                <w:sz w:val="20"/>
                <w:szCs w:val="20"/>
                <w:lang w:val="fr-FR"/>
              </w:rPr>
              <w:t>autres approches innovantes</w:t>
            </w:r>
          </w:p>
        </w:tc>
        <w:tc>
          <w:tcPr>
            <w:tcW w:w="657" w:type="dxa"/>
            <w:shd w:val="clear" w:color="auto" w:fill="92D050"/>
          </w:tcPr>
          <w:p w14:paraId="7B7B32CD" w14:textId="77777777" w:rsidR="00B87039" w:rsidRPr="00653BF4" w:rsidRDefault="00B87039" w:rsidP="00557FB3">
            <w:pPr>
              <w:rPr>
                <w:sz w:val="20"/>
                <w:szCs w:val="20"/>
                <w:lang w:val="fr-FR"/>
              </w:rPr>
            </w:pPr>
            <w:r w:rsidRPr="00653BF4">
              <w:rPr>
                <w:sz w:val="20"/>
                <w:szCs w:val="20"/>
                <w:lang w:val="fr-FR"/>
              </w:rPr>
              <w:t>61</w:t>
            </w:r>
          </w:p>
        </w:tc>
      </w:tr>
      <w:tr w:rsidR="00B87039" w:rsidRPr="00653BF4" w14:paraId="2B402768" w14:textId="77777777" w:rsidTr="00557FB3">
        <w:tc>
          <w:tcPr>
            <w:tcW w:w="8359" w:type="dxa"/>
          </w:tcPr>
          <w:p w14:paraId="2BE8E503" w14:textId="6D236FF6" w:rsidR="00B87039" w:rsidRPr="00653BF4" w:rsidRDefault="00B87039" w:rsidP="00557FB3">
            <w:pPr>
              <w:rPr>
                <w:sz w:val="20"/>
                <w:szCs w:val="20"/>
                <w:lang w:val="fr-FR"/>
              </w:rPr>
            </w:pPr>
            <w:r w:rsidRPr="00653BF4">
              <w:rPr>
                <w:sz w:val="20"/>
                <w:szCs w:val="20"/>
                <w:lang w:val="fr-FR"/>
              </w:rPr>
              <w:t>Assurer que la gestion durable des secteurs productifs contribue à améliorer la résilience, l</w:t>
            </w:r>
            <w:r w:rsidR="00D77549">
              <w:rPr>
                <w:sz w:val="20"/>
                <w:szCs w:val="20"/>
                <w:lang w:val="fr-FR"/>
              </w:rPr>
              <w:t>’</w:t>
            </w:r>
            <w:r w:rsidRPr="00653BF4">
              <w:rPr>
                <w:sz w:val="20"/>
                <w:szCs w:val="20"/>
                <w:lang w:val="fr-FR"/>
              </w:rPr>
              <w:t>efficacité et la productivité à long terme de ces systèmes de production</w:t>
            </w:r>
          </w:p>
        </w:tc>
        <w:tc>
          <w:tcPr>
            <w:tcW w:w="657" w:type="dxa"/>
            <w:shd w:val="clear" w:color="auto" w:fill="FFFF00"/>
          </w:tcPr>
          <w:p w14:paraId="20A66A13" w14:textId="77777777" w:rsidR="00B87039" w:rsidRPr="00653BF4" w:rsidRDefault="00B87039" w:rsidP="00557FB3">
            <w:pPr>
              <w:rPr>
                <w:sz w:val="20"/>
                <w:szCs w:val="20"/>
                <w:lang w:val="fr-FR"/>
              </w:rPr>
            </w:pPr>
            <w:r w:rsidRPr="00653BF4">
              <w:rPr>
                <w:sz w:val="20"/>
                <w:szCs w:val="20"/>
                <w:lang w:val="fr-FR"/>
              </w:rPr>
              <w:t>51</w:t>
            </w:r>
          </w:p>
        </w:tc>
      </w:tr>
      <w:tr w:rsidR="00B87039" w:rsidRPr="00653BF4" w14:paraId="6FE21022" w14:textId="77777777" w:rsidTr="00557FB3">
        <w:tc>
          <w:tcPr>
            <w:tcW w:w="8359" w:type="dxa"/>
          </w:tcPr>
          <w:p w14:paraId="573485B7" w14:textId="77777777" w:rsidR="00B87039" w:rsidRPr="00653BF4" w:rsidRDefault="00B87039" w:rsidP="00557FB3">
            <w:pPr>
              <w:rPr>
                <w:sz w:val="20"/>
                <w:szCs w:val="20"/>
                <w:lang w:val="fr-FR"/>
              </w:rPr>
            </w:pPr>
            <w:r w:rsidRPr="00653BF4">
              <w:rPr>
                <w:sz w:val="20"/>
                <w:szCs w:val="20"/>
                <w:lang w:val="fr-FR"/>
              </w:rPr>
              <w:t>Assurer que la gestion durable des secteurs productifs contribue à renforcer la sécurité alimentaire</w:t>
            </w:r>
          </w:p>
          <w:p w14:paraId="14FA9B85" w14:textId="77777777" w:rsidR="00B87039" w:rsidRPr="00653BF4" w:rsidRDefault="00B87039" w:rsidP="00557FB3">
            <w:pPr>
              <w:rPr>
                <w:sz w:val="20"/>
                <w:szCs w:val="20"/>
                <w:lang w:val="fr-FR"/>
              </w:rPr>
            </w:pPr>
          </w:p>
        </w:tc>
        <w:tc>
          <w:tcPr>
            <w:tcW w:w="657" w:type="dxa"/>
            <w:shd w:val="clear" w:color="auto" w:fill="FFFF00"/>
          </w:tcPr>
          <w:p w14:paraId="6D2CEF37" w14:textId="77777777" w:rsidR="00B87039" w:rsidRPr="00653BF4" w:rsidRDefault="00B87039" w:rsidP="00557FB3">
            <w:pPr>
              <w:rPr>
                <w:sz w:val="20"/>
                <w:szCs w:val="20"/>
                <w:lang w:val="fr-FR"/>
              </w:rPr>
            </w:pPr>
            <w:r w:rsidRPr="00653BF4">
              <w:rPr>
                <w:sz w:val="20"/>
                <w:szCs w:val="20"/>
                <w:lang w:val="fr-FR"/>
              </w:rPr>
              <w:t>46</w:t>
            </w:r>
          </w:p>
        </w:tc>
      </w:tr>
      <w:tr w:rsidR="00B87039" w:rsidRPr="00653BF4" w14:paraId="40DE3071" w14:textId="77777777" w:rsidTr="00557FB3">
        <w:tc>
          <w:tcPr>
            <w:tcW w:w="8359" w:type="dxa"/>
          </w:tcPr>
          <w:p w14:paraId="4E91CBA2" w14:textId="77777777" w:rsidR="00B87039" w:rsidRPr="00653BF4" w:rsidRDefault="00B87039" w:rsidP="00557FB3">
            <w:pPr>
              <w:rPr>
                <w:sz w:val="20"/>
                <w:szCs w:val="20"/>
                <w:lang w:val="fr-FR"/>
              </w:rPr>
            </w:pPr>
            <w:r w:rsidRPr="00653BF4">
              <w:rPr>
                <w:sz w:val="20"/>
                <w:szCs w:val="20"/>
                <w:lang w:val="fr-FR"/>
              </w:rPr>
              <w:t>Assurer que la gestion durable des secteurs productifs contribue à conserver et à restaurer la biodiversité</w:t>
            </w:r>
          </w:p>
        </w:tc>
        <w:tc>
          <w:tcPr>
            <w:tcW w:w="657" w:type="dxa"/>
            <w:shd w:val="clear" w:color="auto" w:fill="FFFF00"/>
          </w:tcPr>
          <w:p w14:paraId="4A3DD341" w14:textId="77777777" w:rsidR="00B87039" w:rsidRPr="00653BF4" w:rsidRDefault="00B87039" w:rsidP="00557FB3">
            <w:pPr>
              <w:rPr>
                <w:sz w:val="20"/>
                <w:szCs w:val="20"/>
                <w:lang w:val="fr-FR"/>
              </w:rPr>
            </w:pPr>
            <w:r w:rsidRPr="00653BF4">
              <w:rPr>
                <w:sz w:val="20"/>
                <w:szCs w:val="20"/>
                <w:lang w:val="fr-FR"/>
              </w:rPr>
              <w:t>57</w:t>
            </w:r>
          </w:p>
        </w:tc>
      </w:tr>
      <w:tr w:rsidR="00B87039" w:rsidRPr="00653BF4" w14:paraId="3C2C7DF3" w14:textId="77777777" w:rsidTr="00557FB3">
        <w:tc>
          <w:tcPr>
            <w:tcW w:w="8359" w:type="dxa"/>
          </w:tcPr>
          <w:p w14:paraId="26F53200" w14:textId="77777777" w:rsidR="00B87039" w:rsidRPr="00653BF4" w:rsidRDefault="00B87039" w:rsidP="00557FB3">
            <w:pPr>
              <w:rPr>
                <w:sz w:val="20"/>
                <w:szCs w:val="20"/>
                <w:lang w:val="fr-FR"/>
              </w:rPr>
            </w:pPr>
            <w:r w:rsidRPr="00653BF4">
              <w:rPr>
                <w:sz w:val="20"/>
                <w:szCs w:val="20"/>
                <w:lang w:val="fr-FR"/>
              </w:rPr>
              <w:t>Assurer que la gestion durable des secteurs productifs contribue à préserver les contributions de la nature aux populations, y compris les fonctions et les services écosystémiques</w:t>
            </w:r>
          </w:p>
        </w:tc>
        <w:tc>
          <w:tcPr>
            <w:tcW w:w="657" w:type="dxa"/>
            <w:shd w:val="clear" w:color="auto" w:fill="FFFF00"/>
          </w:tcPr>
          <w:p w14:paraId="278BE066" w14:textId="77777777" w:rsidR="00B87039" w:rsidRPr="00653BF4" w:rsidRDefault="00B87039" w:rsidP="00557FB3">
            <w:pPr>
              <w:rPr>
                <w:sz w:val="20"/>
                <w:szCs w:val="20"/>
                <w:lang w:val="fr-FR"/>
              </w:rPr>
            </w:pPr>
            <w:r w:rsidRPr="00653BF4">
              <w:rPr>
                <w:sz w:val="20"/>
                <w:szCs w:val="20"/>
                <w:lang w:val="fr-FR"/>
              </w:rPr>
              <w:t>51</w:t>
            </w:r>
          </w:p>
        </w:tc>
      </w:tr>
      <w:tr w:rsidR="00B87039" w:rsidRPr="00543148" w14:paraId="3AFDC84D" w14:textId="77777777" w:rsidTr="00557FB3">
        <w:tc>
          <w:tcPr>
            <w:tcW w:w="9016" w:type="dxa"/>
            <w:gridSpan w:val="2"/>
          </w:tcPr>
          <w:p w14:paraId="11E8A567" w14:textId="77777777" w:rsidR="00B87039" w:rsidRPr="00653BF4" w:rsidRDefault="00B87039" w:rsidP="00557FB3">
            <w:pPr>
              <w:rPr>
                <w:b/>
                <w:bCs/>
                <w:sz w:val="20"/>
                <w:szCs w:val="20"/>
                <w:lang w:val="fr-FR"/>
              </w:rPr>
            </w:pPr>
          </w:p>
          <w:p w14:paraId="251E16E5" w14:textId="33FF0783"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60</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0E6104B2" w14:textId="77777777" w:rsidR="00B87039" w:rsidRPr="00653BF4" w:rsidRDefault="00B87039" w:rsidP="00557FB3">
            <w:pPr>
              <w:rPr>
                <w:sz w:val="20"/>
                <w:szCs w:val="20"/>
                <w:lang w:val="fr-FR"/>
              </w:rPr>
            </w:pPr>
          </w:p>
        </w:tc>
      </w:tr>
    </w:tbl>
    <w:p w14:paraId="34FA0F2F" w14:textId="77777777" w:rsidR="00B87039" w:rsidRPr="00653BF4" w:rsidRDefault="00B87039" w:rsidP="00B87039">
      <w:pPr>
        <w:rPr>
          <w:lang w:val="fr-FR"/>
        </w:rPr>
      </w:pPr>
    </w:p>
    <w:p w14:paraId="78255669" w14:textId="7B312769" w:rsidR="00B87039" w:rsidRPr="00653BF4" w:rsidRDefault="00B87039" w:rsidP="00B87039">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w:t>
      </w:r>
      <w:r w:rsidR="00D77549">
        <w:rPr>
          <w:iCs/>
          <w:sz w:val="16"/>
          <w:szCs w:val="16"/>
          <w:lang w:val="fr-FR"/>
        </w:rPr>
        <w:t>’</w:t>
      </w:r>
      <w:r w:rsidRPr="00653BF4">
        <w:rPr>
          <w:iCs/>
          <w:sz w:val="16"/>
          <w:szCs w:val="16"/>
          <w:lang w:val="fr-FR"/>
        </w:rPr>
        <w:t>élément, au moins partiellement.</w:t>
      </w:r>
    </w:p>
    <w:p w14:paraId="4B710044" w14:textId="270754F9" w:rsidR="00B87039" w:rsidRPr="00653BF4" w:rsidRDefault="00B87039" w:rsidP="00B8703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cs="Segoe UI"/>
          <w:sz w:val="16"/>
          <w:szCs w:val="16"/>
          <w:lang w:val="fr-FR"/>
        </w:rPr>
        <w:t xml:space="preserve"> Les éléments de chaque cible ont été définis par le Groupe spécial d</w:t>
      </w:r>
      <w:r w:rsidR="00D77549">
        <w:rPr>
          <w:rStyle w:val="normaltextrun"/>
          <w:rFonts w:cs="Segoe UI"/>
          <w:sz w:val="16"/>
          <w:szCs w:val="16"/>
          <w:lang w:val="fr-FR"/>
        </w:rPr>
        <w:t>’</w:t>
      </w:r>
      <w:r w:rsidRPr="00653BF4">
        <w:rPr>
          <w:rStyle w:val="normaltextrun"/>
          <w:rFonts w:cs="Segoe UI"/>
          <w:sz w:val="16"/>
          <w:szCs w:val="16"/>
          <w:lang w:val="fr-FR"/>
        </w:rPr>
        <w:t xml:space="preserve">experts techniques sur les indicateurs du Cadre mondial de la biodiversité de Kunming-Montréal </w:t>
      </w:r>
      <w:r w:rsidRPr="00653BF4">
        <w:rPr>
          <w:rFonts w:ascii="Aptos" w:hAnsi="Aptos" w:cs="Segoe UI"/>
          <w:sz w:val="16"/>
          <w:szCs w:val="16"/>
          <w:lang w:val="fr-FR"/>
        </w:rPr>
        <w:t xml:space="preserve">(voir annexe I au document </w:t>
      </w:r>
      <w:hyperlink r:id="rId122" w:history="1">
        <w:r w:rsidRPr="00653BF4">
          <w:rPr>
            <w:rStyle w:val="Hyperlink"/>
            <w:rFonts w:ascii="Aptos" w:hAnsi="Aptos" w:cs="Segoe UI"/>
            <w:sz w:val="16"/>
            <w:szCs w:val="16"/>
            <w:lang w:val="fr-FR"/>
          </w:rPr>
          <w:t>CBD/COP/16/INF/4</w:t>
        </w:r>
      </w:hyperlink>
      <w:r w:rsidR="00E34DC9">
        <w:rPr>
          <w:rStyle w:val="normaltextrun"/>
          <w:rFonts w:cs="Segoe UI"/>
          <w:sz w:val="16"/>
          <w:szCs w:val="16"/>
          <w:lang w:val="fr-FR"/>
        </w:rPr>
        <w:t> ;</w:t>
      </w:r>
      <w:r w:rsidRPr="00653BF4">
        <w:rPr>
          <w:rFonts w:ascii="Aptos" w:hAnsi="Aptos" w:cs="Segoe UI"/>
          <w:sz w:val="16"/>
          <w:szCs w:val="16"/>
          <w:lang w:val="fr-FR"/>
        </w:rPr>
        <w:t xml:space="preserve"> et Affinito </w:t>
      </w:r>
      <w:r w:rsidRPr="00653BF4">
        <w:rPr>
          <w:rFonts w:ascii="Aptos" w:hAnsi="Aptos" w:cs="Segoe UI"/>
          <w:i/>
          <w:iCs/>
          <w:sz w:val="16"/>
          <w:szCs w:val="16"/>
          <w:lang w:val="fr-FR"/>
        </w:rPr>
        <w:t>et al</w:t>
      </w:r>
      <w:r w:rsidRPr="00653BF4">
        <w:rPr>
          <w:rFonts w:ascii="Aptos" w:hAnsi="Aptos" w:cs="Segoe UI"/>
          <w:sz w:val="16"/>
          <w:szCs w:val="16"/>
          <w:lang w:val="fr-FR"/>
        </w:rPr>
        <w:t xml:space="preserve">., 2025). </w:t>
      </w:r>
      <w:r w:rsidRPr="00653BF4">
        <w:rPr>
          <w:rStyle w:val="normaltextrun"/>
          <w:rFonts w:cs="Segoe UI"/>
          <w:sz w:val="16"/>
          <w:szCs w:val="16"/>
          <w:lang w:val="fr-FR"/>
        </w:rPr>
        <w:t>La méthode détaillée employée pour l</w:t>
      </w:r>
      <w:r w:rsidR="00D77549">
        <w:rPr>
          <w:rStyle w:val="normaltextrun"/>
          <w:rFonts w:cs="Segoe UI"/>
          <w:sz w:val="16"/>
          <w:szCs w:val="16"/>
          <w:lang w:val="fr-FR"/>
        </w:rPr>
        <w:t>’</w:t>
      </w:r>
      <w:r w:rsidRPr="00653BF4">
        <w:rPr>
          <w:rStyle w:val="normaltextrun"/>
          <w:rFonts w:cs="Segoe UI"/>
          <w:sz w:val="16"/>
          <w:szCs w:val="16"/>
          <w:lang w:val="fr-FR"/>
        </w:rPr>
        <w:t>analyse des cibles nationales est présentée dans le document </w:t>
      </w:r>
      <w:hyperlink r:id="rId123" w:history="1">
        <w:r w:rsidRPr="00653BF4">
          <w:rPr>
            <w:rStyle w:val="Hyperlink"/>
            <w:rFonts w:ascii="Aptos" w:hAnsi="Aptos" w:cs="Segoe UI"/>
            <w:sz w:val="16"/>
            <w:szCs w:val="16"/>
            <w:lang w:val="fr-FR"/>
          </w:rPr>
          <w:t>CBD/SBI/7/INF/22</w:t>
        </w:r>
      </w:hyperlink>
      <w:r w:rsidRPr="00653BF4">
        <w:rPr>
          <w:rStyle w:val="normaltextrun"/>
          <w:rFonts w:cs="Segoe UI"/>
          <w:sz w:val="16"/>
          <w:szCs w:val="16"/>
          <w:lang w:val="fr-FR"/>
        </w:rPr>
        <w:t>. </w:t>
      </w:r>
    </w:p>
    <w:p w14:paraId="49240FF0" w14:textId="77777777" w:rsidR="00B87039" w:rsidRPr="00653BF4" w:rsidRDefault="00B87039" w:rsidP="00B87039">
      <w:pPr>
        <w:rPr>
          <w:lang w:val="fr-FR"/>
        </w:rPr>
      </w:pPr>
    </w:p>
    <w:p w14:paraId="07843EDC" w14:textId="719FE519" w:rsidR="00B87039" w:rsidRPr="00653BF4" w:rsidRDefault="00B87039" w:rsidP="00B87039">
      <w:pPr>
        <w:rPr>
          <w:lang w:val="fr-FR"/>
        </w:rPr>
      </w:pPr>
      <w:r w:rsidRPr="00653BF4">
        <w:rPr>
          <w:lang w:val="fr-FR"/>
        </w:rPr>
        <w:t>Une grande majorité de Parties ont communiqué des cibles nationales qui couvrent la gestion durable de l</w:t>
      </w:r>
      <w:r w:rsidR="00D77549">
        <w:rPr>
          <w:lang w:val="fr-FR"/>
        </w:rPr>
        <w:t>’</w:t>
      </w:r>
      <w:r w:rsidRPr="00653BF4">
        <w:rPr>
          <w:lang w:val="fr-FR"/>
        </w:rPr>
        <w:t>agriculture (82</w:t>
      </w:r>
      <w:r w:rsidR="002878D7">
        <w:rPr>
          <w:lang w:val="fr-FR"/>
        </w:rPr>
        <w:t> %</w:t>
      </w:r>
      <w:r w:rsidRPr="00653BF4">
        <w:rPr>
          <w:lang w:val="fr-FR"/>
        </w:rPr>
        <w:t>), de la sylviculture (72</w:t>
      </w:r>
      <w:r w:rsidR="002878D7">
        <w:rPr>
          <w:lang w:val="fr-FR"/>
        </w:rPr>
        <w:t> %</w:t>
      </w:r>
      <w:r w:rsidRPr="00653BF4">
        <w:rPr>
          <w:lang w:val="fr-FR"/>
        </w:rPr>
        <w:t>) et de la pêche (70</w:t>
      </w:r>
      <w:r w:rsidR="002878D7">
        <w:rPr>
          <w:lang w:val="fr-FR"/>
        </w:rPr>
        <w:t> %</w:t>
      </w:r>
      <w:r w:rsidRPr="00653BF4">
        <w:rPr>
          <w:lang w:val="fr-FR"/>
        </w:rPr>
        <w:t>) (voir le tableau 22). Un nombre moins important de Parties (51</w:t>
      </w:r>
      <w:r w:rsidR="002878D7">
        <w:rPr>
          <w:lang w:val="fr-FR"/>
        </w:rPr>
        <w:t> %</w:t>
      </w:r>
      <w:r w:rsidRPr="00653BF4">
        <w:rPr>
          <w:lang w:val="fr-FR"/>
        </w:rPr>
        <w:t>) couvrent l</w:t>
      </w:r>
      <w:r w:rsidR="00D77549">
        <w:rPr>
          <w:lang w:val="fr-FR"/>
        </w:rPr>
        <w:t>’</w:t>
      </w:r>
      <w:r w:rsidRPr="00653BF4">
        <w:rPr>
          <w:lang w:val="fr-FR"/>
        </w:rPr>
        <w:t>aquaculture durable. Une majorité de Parties (61</w:t>
      </w:r>
      <w:r w:rsidR="002878D7">
        <w:rPr>
          <w:lang w:val="fr-FR"/>
        </w:rPr>
        <w:t> %</w:t>
      </w:r>
      <w:r w:rsidRPr="00653BF4">
        <w:rPr>
          <w:lang w:val="fr-FR"/>
        </w:rPr>
        <w:t>) ont également communiqué des cibles qui couvrent une augmentation significative du recours à des pratiques respectueuses de la biodiversité. Environ la moitié des Parties ont abordé des éléments de la cible qui concernaient la contribution des secteurs productifs à la conservation de la biodiversité (57</w:t>
      </w:r>
      <w:r w:rsidR="002878D7">
        <w:rPr>
          <w:lang w:val="fr-FR"/>
        </w:rPr>
        <w:t> %</w:t>
      </w:r>
      <w:r w:rsidRPr="00653BF4">
        <w:rPr>
          <w:lang w:val="fr-FR"/>
        </w:rPr>
        <w:t>), la contribution de la nature aux populations (51</w:t>
      </w:r>
      <w:r w:rsidR="002878D7">
        <w:rPr>
          <w:lang w:val="fr-FR"/>
        </w:rPr>
        <w:t> %</w:t>
      </w:r>
      <w:r w:rsidRPr="00653BF4">
        <w:rPr>
          <w:lang w:val="fr-FR"/>
        </w:rPr>
        <w:t>), la résilience et l</w:t>
      </w:r>
      <w:r w:rsidR="00D77549">
        <w:rPr>
          <w:lang w:val="fr-FR"/>
        </w:rPr>
        <w:t>’</w:t>
      </w:r>
      <w:r w:rsidRPr="00653BF4">
        <w:rPr>
          <w:lang w:val="fr-FR"/>
        </w:rPr>
        <w:t>efficacité à long terme du secteur productif (51</w:t>
      </w:r>
      <w:r w:rsidR="002878D7">
        <w:rPr>
          <w:lang w:val="fr-FR"/>
        </w:rPr>
        <w:t> %</w:t>
      </w:r>
      <w:r w:rsidRPr="00653BF4">
        <w:rPr>
          <w:lang w:val="fr-FR"/>
        </w:rPr>
        <w:t>) et la sécurité alimentaire (46</w:t>
      </w:r>
      <w:r w:rsidR="002878D7">
        <w:rPr>
          <w:lang w:val="fr-FR"/>
        </w:rPr>
        <w:t> %</w:t>
      </w:r>
      <w:r w:rsidRPr="00653BF4">
        <w:rPr>
          <w:lang w:val="fr-FR"/>
        </w:rPr>
        <w:t xml:space="preserve">). Globalement, les cibles nationales communiquées couvrent bien la portée de la </w:t>
      </w:r>
      <w:r w:rsidR="00E34DC9">
        <w:rPr>
          <w:lang w:val="fr-FR"/>
        </w:rPr>
        <w:t>cible 1</w:t>
      </w:r>
      <w:r w:rsidRPr="00653BF4">
        <w:rPr>
          <w:lang w:val="fr-FR"/>
        </w:rPr>
        <w:t xml:space="preserve">0. La </w:t>
      </w:r>
      <w:r w:rsidR="00E34DC9">
        <w:rPr>
          <w:lang w:val="fr-FR"/>
        </w:rPr>
        <w:t>cible 1</w:t>
      </w:r>
      <w:r w:rsidRPr="00653BF4">
        <w:rPr>
          <w:lang w:val="fr-FR"/>
        </w:rPr>
        <w:t>0 ne comporte pas d</w:t>
      </w:r>
      <w:r w:rsidR="00D77549">
        <w:rPr>
          <w:lang w:val="fr-FR"/>
        </w:rPr>
        <w:t>’</w:t>
      </w:r>
      <w:r w:rsidRPr="00653BF4">
        <w:rPr>
          <w:lang w:val="fr-FR"/>
        </w:rPr>
        <w:t>éléments quantitatifs spécifiques, mais prévoit un engagement en faveur d</w:t>
      </w:r>
      <w:r w:rsidR="00D77549">
        <w:rPr>
          <w:lang w:val="fr-FR"/>
        </w:rPr>
        <w:t>’</w:t>
      </w:r>
      <w:r w:rsidRPr="00653BF4">
        <w:rPr>
          <w:lang w:val="fr-FR"/>
        </w:rPr>
        <w:t>une augmentation significative du recours à des pratiques respectueuses de la biodiversité.</w:t>
      </w:r>
    </w:p>
    <w:p w14:paraId="776C3B23" w14:textId="77777777" w:rsidR="00B87039" w:rsidRPr="00653BF4" w:rsidRDefault="00B87039" w:rsidP="00B87039">
      <w:pPr>
        <w:rPr>
          <w:lang w:val="fr-FR"/>
        </w:rPr>
      </w:pPr>
    </w:p>
    <w:p w14:paraId="0E2596EB" w14:textId="2B7AB0BA" w:rsidR="00B87039" w:rsidRPr="00653BF4" w:rsidRDefault="00B87039" w:rsidP="00B87039">
      <w:pPr>
        <w:pStyle w:val="Heading5"/>
        <w:rPr>
          <w:lang w:val="fr-FR"/>
        </w:rPr>
      </w:pPr>
      <w:bookmarkStart w:id="194" w:name="_Toc235821171"/>
      <w:r w:rsidRPr="00653BF4">
        <w:rPr>
          <w:lang w:val="fr-FR"/>
        </w:rPr>
        <w:t>Indicateurs de progrès</w:t>
      </w:r>
      <w:bookmarkEnd w:id="194"/>
    </w:p>
    <w:p w14:paraId="531B69BF" w14:textId="77777777" w:rsidR="00B87039" w:rsidRPr="00653BF4" w:rsidRDefault="00B87039" w:rsidP="00B87039">
      <w:pPr>
        <w:pStyle w:val="Caption"/>
        <w:rPr>
          <w:i w:val="0"/>
          <w:iCs w:val="0"/>
          <w:sz w:val="20"/>
          <w:szCs w:val="20"/>
          <w:lang w:val="fr-FR"/>
        </w:rPr>
      </w:pPr>
    </w:p>
    <w:p w14:paraId="5DB49CF3" w14:textId="77777777" w:rsidR="00B87039" w:rsidRPr="00653BF4" w:rsidRDefault="00B87039" w:rsidP="00B87039">
      <w:pPr>
        <w:pStyle w:val="Caption"/>
        <w:rPr>
          <w:i w:val="0"/>
          <w:sz w:val="20"/>
          <w:szCs w:val="20"/>
          <w:lang w:val="fr-FR"/>
        </w:rPr>
      </w:pPr>
      <w:r w:rsidRPr="00653BF4">
        <w:rPr>
          <w:i w:val="0"/>
          <w:iCs w:val="0"/>
          <w:sz w:val="20"/>
          <w:szCs w:val="20"/>
          <w:lang w:val="fr-FR"/>
        </w:rPr>
        <w:t xml:space="preserve">Tableau 23 </w:t>
      </w:r>
    </w:p>
    <w:p w14:paraId="74F60AF0" w14:textId="56207E3F"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1</w:t>
      </w:r>
      <w:r w:rsidRPr="00653BF4">
        <w:rPr>
          <w:b/>
          <w:bCs/>
          <w:i w:val="0"/>
          <w:iCs w:val="0"/>
          <w:sz w:val="20"/>
          <w:szCs w:val="20"/>
          <w:lang w:val="fr-FR"/>
        </w:rPr>
        <w:t>0 du Cadre</w:t>
      </w:r>
    </w:p>
    <w:p w14:paraId="1E0E9246" w14:textId="77777777" w:rsidR="00B87039" w:rsidRPr="00653BF4" w:rsidRDefault="00B87039" w:rsidP="00B87039">
      <w:pPr>
        <w:rPr>
          <w:lang w:val="fr-FR" w:eastAsia="ja-JP"/>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2142"/>
        <w:gridCol w:w="567"/>
        <w:gridCol w:w="2977"/>
        <w:gridCol w:w="567"/>
      </w:tblGrid>
      <w:tr w:rsidR="00B87039" w:rsidRPr="00653BF4" w14:paraId="52C6D948" w14:textId="77777777" w:rsidTr="00557FB3">
        <w:trPr>
          <w:trHeight w:val="1050"/>
        </w:trPr>
        <w:tc>
          <w:tcPr>
            <w:tcW w:w="3240" w:type="dxa"/>
            <w:shd w:val="clear" w:color="000000" w:fill="FFFFFF"/>
            <w:vAlign w:val="center"/>
          </w:tcPr>
          <w:p w14:paraId="300E4F4A"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709" w:type="dxa"/>
            <w:gridSpan w:val="2"/>
            <w:vAlign w:val="center"/>
          </w:tcPr>
          <w:p w14:paraId="300484C7" w14:textId="2F4D4967" w:rsidR="00B87039" w:rsidRPr="00653BF4" w:rsidRDefault="00E04592"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3544" w:type="dxa"/>
            <w:gridSpan w:val="2"/>
            <w:vAlign w:val="center"/>
          </w:tcPr>
          <w:p w14:paraId="3866974B" w14:textId="7A46F351" w:rsidR="00B87039" w:rsidRPr="00653BF4" w:rsidRDefault="00A443C9"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Résultats de l’indicateur</w:t>
            </w:r>
          </w:p>
        </w:tc>
      </w:tr>
      <w:tr w:rsidR="00B87039" w:rsidRPr="00543148" w14:paraId="0CB23DAB" w14:textId="77777777" w:rsidTr="00557FB3">
        <w:trPr>
          <w:trHeight w:val="1050"/>
        </w:trPr>
        <w:tc>
          <w:tcPr>
            <w:tcW w:w="3240" w:type="dxa"/>
            <w:shd w:val="clear" w:color="000000" w:fill="FFFFFF"/>
            <w:vAlign w:val="center"/>
            <w:hideMark/>
          </w:tcPr>
          <w:p w14:paraId="318A9279" w14:textId="530C0791"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phare 10.1</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proportion de la superficie agricole consacrée à une agriculture productive et durable</w:t>
            </w:r>
          </w:p>
        </w:tc>
        <w:tc>
          <w:tcPr>
            <w:tcW w:w="2142" w:type="dxa"/>
            <w:vAlign w:val="center"/>
            <w:hideMark/>
          </w:tcPr>
          <w:p w14:paraId="2C21F457" w14:textId="08C721FE"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31</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567" w:type="dxa"/>
            <w:shd w:val="clear" w:color="000000" w:fill="FFC000"/>
            <w:vAlign w:val="center"/>
            <w:hideMark/>
          </w:tcPr>
          <w:p w14:paraId="2DA772EA"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977" w:type="dxa"/>
            <w:vAlign w:val="center"/>
            <w:hideMark/>
          </w:tcPr>
          <w:p w14:paraId="0BF05586" w14:textId="158E13A6"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Dans l</w:t>
            </w:r>
            <w:r w:rsidR="00D77549">
              <w:rPr>
                <w:rFonts w:eastAsia="Times New Roman" w:cs="Calibri"/>
                <w:color w:val="000000"/>
                <w:kern w:val="0"/>
                <w:sz w:val="20"/>
                <w:szCs w:val="20"/>
                <w:lang w:val="fr-FR"/>
                <w14:ligatures w14:val="none"/>
              </w:rPr>
              <w:t>’</w:t>
            </w:r>
            <w:r w:rsidRPr="00653BF4">
              <w:rPr>
                <w:rFonts w:eastAsia="Times New Roman" w:cs="Calibri"/>
                <w:color w:val="000000"/>
                <w:kern w:val="0"/>
                <w:sz w:val="20"/>
                <w:szCs w:val="20"/>
                <w:lang w:val="fr-FR"/>
                <w14:ligatures w14:val="none"/>
              </w:rPr>
              <w:t>ensemble, la moitié des Parties affichent un taux d</w:t>
            </w:r>
            <w:r w:rsidR="00D77549">
              <w:rPr>
                <w:rFonts w:eastAsia="Times New Roman" w:cs="Calibri"/>
                <w:color w:val="000000"/>
                <w:kern w:val="0"/>
                <w:sz w:val="20"/>
                <w:szCs w:val="20"/>
                <w:lang w:val="fr-FR"/>
                <w14:ligatures w14:val="none"/>
              </w:rPr>
              <w:t>’</w:t>
            </w:r>
            <w:r w:rsidRPr="00653BF4">
              <w:rPr>
                <w:rFonts w:eastAsia="Times New Roman" w:cs="Calibri"/>
                <w:color w:val="000000"/>
                <w:kern w:val="0"/>
                <w:sz w:val="20"/>
                <w:szCs w:val="20"/>
                <w:lang w:val="fr-FR"/>
                <w14:ligatures w14:val="none"/>
              </w:rPr>
              <w:t>agriculture productive et durable inférieur à 13</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ce taux variant entre 0,2 et 100</w:t>
            </w:r>
            <w:r w:rsidR="002878D7">
              <w:rPr>
                <w:rFonts w:eastAsia="Times New Roman" w:cs="Calibri"/>
                <w:color w:val="000000"/>
                <w:kern w:val="0"/>
                <w:sz w:val="20"/>
                <w:szCs w:val="20"/>
                <w:lang w:val="fr-FR"/>
                <w14:ligatures w14:val="none"/>
              </w:rPr>
              <w:t> %</w:t>
            </w:r>
          </w:p>
          <w:p w14:paraId="1E0DB958"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(tendance à la hausse au fil du temps)</w:t>
            </w:r>
          </w:p>
        </w:tc>
        <w:tc>
          <w:tcPr>
            <w:tcW w:w="567" w:type="dxa"/>
            <w:shd w:val="clear" w:color="000000" w:fill="FFC000"/>
            <w:vAlign w:val="center"/>
            <w:hideMark/>
          </w:tcPr>
          <w:p w14:paraId="0F8C1946"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10A8AAC9" w14:textId="77777777" w:rsidTr="00557FB3">
        <w:trPr>
          <w:trHeight w:val="1050"/>
        </w:trPr>
        <w:tc>
          <w:tcPr>
            <w:tcW w:w="3240" w:type="dxa"/>
            <w:shd w:val="clear" w:color="000000" w:fill="FFFFFF"/>
            <w:vAlign w:val="center"/>
            <w:hideMark/>
          </w:tcPr>
          <w:p w14:paraId="2CF4752E" w14:textId="67A97819"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phare 10.2</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progrès accomplis dans la gestion durable des forêts</w:t>
            </w:r>
          </w:p>
        </w:tc>
        <w:tc>
          <w:tcPr>
            <w:tcW w:w="2142" w:type="dxa"/>
            <w:vAlign w:val="center"/>
            <w:hideMark/>
          </w:tcPr>
          <w:p w14:paraId="3940380F" w14:textId="0A5F2F03"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50</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567" w:type="dxa"/>
            <w:shd w:val="clear" w:color="auto" w:fill="FFC000"/>
            <w:vAlign w:val="center"/>
            <w:hideMark/>
          </w:tcPr>
          <w:p w14:paraId="6FB362D3"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977" w:type="dxa"/>
            <w:vAlign w:val="center"/>
            <w:hideMark/>
          </w:tcPr>
          <w:p w14:paraId="4FE32E84" w14:textId="26B2765A"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Globalement, les tendances observées pour l</w:t>
            </w:r>
            <w:r w:rsidR="00D77549">
              <w:rPr>
                <w:rFonts w:eastAsia="Times New Roman" w:cs="Calibri"/>
                <w:color w:val="000000"/>
                <w:kern w:val="0"/>
                <w:sz w:val="20"/>
                <w:szCs w:val="20"/>
                <w:lang w:val="fr-FR"/>
                <w14:ligatures w14:val="none"/>
              </w:rPr>
              <w:t>’</w:t>
            </w:r>
            <w:r w:rsidRPr="00653BF4">
              <w:rPr>
                <w:rFonts w:eastAsia="Times New Roman" w:cs="Calibri"/>
                <w:color w:val="000000"/>
                <w:kern w:val="0"/>
                <w:sz w:val="20"/>
                <w:szCs w:val="20"/>
                <w:lang w:val="fr-FR"/>
                <w14:ligatures w14:val="none"/>
              </w:rPr>
              <w:t>ensemble des sous-indicateurs sont stables</w:t>
            </w:r>
          </w:p>
        </w:tc>
        <w:tc>
          <w:tcPr>
            <w:tcW w:w="567" w:type="dxa"/>
            <w:shd w:val="clear" w:color="000000" w:fill="FFC000"/>
            <w:vAlign w:val="center"/>
            <w:hideMark/>
          </w:tcPr>
          <w:p w14:paraId="597C4D27"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365CCBCD" w14:textId="77777777" w:rsidTr="00557FB3">
        <w:trPr>
          <w:trHeight w:val="1050"/>
        </w:trPr>
        <w:tc>
          <w:tcPr>
            <w:tcW w:w="3240" w:type="dxa"/>
            <w:shd w:val="clear" w:color="000000" w:fill="FFFFFF"/>
            <w:vAlign w:val="center"/>
            <w:hideMark/>
          </w:tcPr>
          <w:p w14:paraId="31AC9DCA"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Tous les indicateurs quantitatifs combinés</w:t>
            </w:r>
          </w:p>
        </w:tc>
        <w:tc>
          <w:tcPr>
            <w:tcW w:w="2142" w:type="dxa"/>
            <w:vAlign w:val="center"/>
            <w:hideMark/>
          </w:tcPr>
          <w:p w14:paraId="462E0DC6" w14:textId="5D8C2664"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74 Parties, 57</w:t>
            </w:r>
            <w:r w:rsidR="002878D7">
              <w:rPr>
                <w:rFonts w:eastAsia="Times New Roman" w:cs="Calibri"/>
                <w:color w:val="000000"/>
                <w:kern w:val="0"/>
                <w:sz w:val="20"/>
                <w:szCs w:val="20"/>
                <w:lang w:val="fr-FR"/>
                <w14:ligatures w14:val="none"/>
              </w:rPr>
              <w:t> %</w:t>
            </w:r>
          </w:p>
        </w:tc>
        <w:tc>
          <w:tcPr>
            <w:tcW w:w="567" w:type="dxa"/>
            <w:shd w:val="clear" w:color="000000" w:fill="92D050"/>
            <w:vAlign w:val="center"/>
            <w:hideMark/>
          </w:tcPr>
          <w:p w14:paraId="6FD33207"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977" w:type="dxa"/>
            <w:vAlign w:val="center"/>
            <w:hideMark/>
          </w:tcPr>
          <w:p w14:paraId="1433333A" w14:textId="5C1176FD"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24</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positives</w:t>
            </w:r>
          </w:p>
          <w:p w14:paraId="0B40F524" w14:textId="3D65D42A"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12</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négatives</w:t>
            </w:r>
          </w:p>
        </w:tc>
        <w:tc>
          <w:tcPr>
            <w:tcW w:w="567" w:type="dxa"/>
            <w:shd w:val="clear" w:color="000000" w:fill="FFC000"/>
            <w:vAlign w:val="center"/>
            <w:hideMark/>
          </w:tcPr>
          <w:p w14:paraId="56091AFA"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08CA2A0D" w14:textId="77777777" w:rsidTr="00557FB3">
        <w:trPr>
          <w:trHeight w:val="1050"/>
        </w:trPr>
        <w:tc>
          <w:tcPr>
            <w:tcW w:w="3240" w:type="dxa"/>
            <w:shd w:val="clear" w:color="000000" w:fill="FFFFFF"/>
            <w:vAlign w:val="center"/>
          </w:tcPr>
          <w:p w14:paraId="21034F4A"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Notes</w:t>
            </w:r>
          </w:p>
        </w:tc>
        <w:tc>
          <w:tcPr>
            <w:tcW w:w="6253" w:type="dxa"/>
            <w:gridSpan w:val="4"/>
            <w:vAlign w:val="center"/>
          </w:tcPr>
          <w:p w14:paraId="17059F3B" w14:textId="4C7502E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Les communications comprennent des données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indicateurs sur des types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exploitations agricoles spécifiques, des méthodes agricoles, des types de forêts, des programmes de certification et des régimes de gestion.</w:t>
            </w:r>
          </w:p>
          <w:p w14:paraId="4DBA49A3"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p>
          <w:p w14:paraId="7EA7DCAF"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Les Parties ont utilisé les deux méthodologies pour 10.1 et différents sous-indicateurs pour 10.2.</w:t>
            </w:r>
          </w:p>
        </w:tc>
      </w:tr>
    </w:tbl>
    <w:p w14:paraId="4EBBED98" w14:textId="77777777" w:rsidR="00B87039" w:rsidRPr="00653BF4" w:rsidRDefault="00B87039" w:rsidP="00B87039">
      <w:pPr>
        <w:pStyle w:val="p1"/>
        <w:rPr>
          <w:rFonts w:ascii="Aptos" w:hAnsi="Aptos"/>
          <w:sz w:val="24"/>
          <w:szCs w:val="24"/>
          <w:lang w:val="fr-FR"/>
        </w:rPr>
      </w:pPr>
    </w:p>
    <w:p w14:paraId="1A96B4E4" w14:textId="71BEF046"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22A64C0C" w14:textId="77777777" w:rsidR="00B87039" w:rsidRPr="00653BF4" w:rsidRDefault="00B87039" w:rsidP="00B87039">
      <w:pPr>
        <w:rPr>
          <w:lang w:val="fr-FR"/>
        </w:rPr>
      </w:pPr>
    </w:p>
    <w:p w14:paraId="60C02B32" w14:textId="35010EBD" w:rsidR="00B87039" w:rsidRPr="00653BF4" w:rsidRDefault="00B87039" w:rsidP="00B87039">
      <w:pPr>
        <w:rPr>
          <w:lang w:val="fr-FR"/>
        </w:rPr>
      </w:pPr>
      <w:r w:rsidRPr="00653BF4">
        <w:rPr>
          <w:lang w:val="fr-FR"/>
        </w:rPr>
        <w:t>Les Parties ont été plus nombreuses à fournir des informations sur l</w:t>
      </w:r>
      <w:r w:rsidR="00D77549">
        <w:rPr>
          <w:lang w:val="fr-FR"/>
        </w:rPr>
        <w:t>’</w:t>
      </w:r>
      <w:r w:rsidRPr="00653BF4">
        <w:rPr>
          <w:lang w:val="fr-FR"/>
        </w:rPr>
        <w:t>indicateur phare relatif aux forêts que sur celui relatif à l</w:t>
      </w:r>
      <w:r w:rsidR="00D77549">
        <w:rPr>
          <w:lang w:val="fr-FR"/>
        </w:rPr>
        <w:t>’</w:t>
      </w:r>
      <w:r w:rsidRPr="00653BF4">
        <w:rPr>
          <w:lang w:val="fr-FR"/>
        </w:rPr>
        <w:t>agriculture (voir le tableau 23). Parmi les raisons invoquées figuraient le caractère incomplet des orientations méthodologiques concernant l</w:t>
      </w:r>
      <w:r w:rsidR="00D77549">
        <w:rPr>
          <w:lang w:val="fr-FR"/>
        </w:rPr>
        <w:t>’</w:t>
      </w:r>
      <w:r w:rsidRPr="00653BF4">
        <w:rPr>
          <w:lang w:val="fr-FR"/>
        </w:rPr>
        <w:t>indicateur phare 10.1 (proportion de la superficie agricole consacrée à une agriculture productive et durable) et le recours à l</w:t>
      </w:r>
      <w:r w:rsidR="00D77549">
        <w:rPr>
          <w:lang w:val="fr-FR"/>
        </w:rPr>
        <w:t>’</w:t>
      </w:r>
      <w:r w:rsidRPr="00653BF4">
        <w:rPr>
          <w:lang w:val="fr-FR"/>
        </w:rPr>
        <w:t>approche par indicateur proxy proposée par la FAO, qui a été utilisée par six Parties. Une autre raison probable est que l</w:t>
      </w:r>
      <w:r w:rsidR="00D77549">
        <w:rPr>
          <w:lang w:val="fr-FR"/>
        </w:rPr>
        <w:t>’</w:t>
      </w:r>
      <w:r w:rsidRPr="00653BF4">
        <w:rPr>
          <w:lang w:val="fr-FR"/>
        </w:rPr>
        <w:t>indicateur phare 10.2 (progrès accomplis dans la gestion durable des forêts) comprend cinq sous-indicateurs, et que de nombreuses Parties ont pu rendre compte d</w:t>
      </w:r>
      <w:r w:rsidR="00D77549">
        <w:rPr>
          <w:lang w:val="fr-FR"/>
        </w:rPr>
        <w:t>’</w:t>
      </w:r>
      <w:r w:rsidRPr="00653BF4">
        <w:rPr>
          <w:lang w:val="fr-FR"/>
        </w:rPr>
        <w:t>au moins l</w:t>
      </w:r>
      <w:r w:rsidR="00D77549">
        <w:rPr>
          <w:lang w:val="fr-FR"/>
        </w:rPr>
        <w:t>’</w:t>
      </w:r>
      <w:r w:rsidRPr="00653BF4">
        <w:rPr>
          <w:lang w:val="fr-FR"/>
        </w:rPr>
        <w:t>un d</w:t>
      </w:r>
      <w:r w:rsidR="00D77549">
        <w:rPr>
          <w:lang w:val="fr-FR"/>
        </w:rPr>
        <w:t>’</w:t>
      </w:r>
      <w:r w:rsidRPr="00653BF4">
        <w:rPr>
          <w:lang w:val="fr-FR"/>
        </w:rPr>
        <w:t xml:space="preserve">entre eux. Dans les deux cas, plusieurs Parties ont souligné la difficulté d’intégrer les données provenant de </w:t>
      </w:r>
      <w:r w:rsidRPr="00653BF4">
        <w:rPr>
          <w:lang w:val="fr-FR"/>
        </w:rPr>
        <w:lastRenderedPageBreak/>
        <w:t>différentes administrations publiques pour rendre compte des indicateurs, ainsi que la nécessité d’harmoniser les rapports nationaux afin d’aligner les communications relatives tant au Cadre qu’aux objectifs de développement durable.</w:t>
      </w:r>
    </w:p>
    <w:p w14:paraId="4745F7E7" w14:textId="2BFD3992" w:rsidR="00B87039" w:rsidRPr="00653BF4" w:rsidRDefault="00B87039" w:rsidP="00B87039">
      <w:pPr>
        <w:rPr>
          <w:lang w:val="fr-FR"/>
        </w:rPr>
      </w:pPr>
      <w:r w:rsidRPr="00653BF4">
        <w:rPr>
          <w:lang w:val="fr-FR"/>
        </w:rPr>
        <w:t>Pour les Parties ayant communiqué une valeur en pourcentage pour l</w:t>
      </w:r>
      <w:r w:rsidR="00D77549">
        <w:rPr>
          <w:lang w:val="fr-FR"/>
        </w:rPr>
        <w:t>’</w:t>
      </w:r>
      <w:r w:rsidRPr="00653BF4">
        <w:rPr>
          <w:lang w:val="fr-FR"/>
        </w:rPr>
        <w:t>indicateur phare 10.1, la part moyenne globale des terres agricoles productives et durables s</w:t>
      </w:r>
      <w:r w:rsidR="00D77549">
        <w:rPr>
          <w:lang w:val="fr-FR"/>
        </w:rPr>
        <w:t>’</w:t>
      </w:r>
      <w:r w:rsidRPr="00653BF4">
        <w:rPr>
          <w:lang w:val="fr-FR"/>
        </w:rPr>
        <w:t>élevait à environ 29</w:t>
      </w:r>
      <w:r w:rsidR="002878D7">
        <w:rPr>
          <w:lang w:val="fr-FR"/>
        </w:rPr>
        <w:t> %</w:t>
      </w:r>
      <w:r w:rsidRPr="00653BF4">
        <w:rPr>
          <w:lang w:val="fr-FR"/>
        </w:rPr>
        <w:t>, avec des valeurs comprises entre 0 et 100</w:t>
      </w:r>
      <w:r w:rsidR="002878D7">
        <w:rPr>
          <w:lang w:val="fr-FR"/>
        </w:rPr>
        <w:t> %</w:t>
      </w:r>
      <w:r w:rsidRPr="00653BF4">
        <w:rPr>
          <w:lang w:val="fr-FR"/>
        </w:rPr>
        <w:t xml:space="preserve"> (voir la figure 41). Six Parties ont communiqué une note proxy, comme suggéré par la FAO dans le cadre de l’indicateur 2.4.1 des ODD, qui regroupe des indicateurs phares économiques, sociaux et environnementaux en une valeur comprise entre 0 et 5. Les valeurs obtenues grâce à cette méthode de calcul proxy s</w:t>
      </w:r>
      <w:r w:rsidR="00D77549">
        <w:rPr>
          <w:lang w:val="fr-FR"/>
        </w:rPr>
        <w:t>’</w:t>
      </w:r>
      <w:r w:rsidRPr="00653BF4">
        <w:rPr>
          <w:lang w:val="fr-FR"/>
        </w:rPr>
        <w:t>élevaient en moyenne à 2,7 pour les Parties ayant soumis leurs données de cette manière, avec une fourchette comprise entre 0,1 et 4. Les données nationales transmises à la FAO par 186 Parties utilisant cette méthode de calcul proxy affichaient une moyenne de 3,3, ce qui suggère des progrès collectifs modérés et révèle une tendance à une lente amélioration depuis 2015</w:t>
      </w:r>
      <w:r w:rsidRPr="00653BF4">
        <w:rPr>
          <w:rStyle w:val="FootnoteReference"/>
          <w:lang w:val="fr-FR"/>
        </w:rPr>
        <w:footnoteReference w:id="29"/>
      </w:r>
      <w:r w:rsidRPr="00653BF4">
        <w:rPr>
          <w:lang w:val="fr-FR"/>
        </w:rPr>
        <w:t>. Les données communiquées par les Parties ont également fait apparaître une tendance positive lente qui corrobore celle de la FAO.</w:t>
      </w:r>
    </w:p>
    <w:p w14:paraId="6244317B" w14:textId="37B896BC" w:rsidR="00B87039" w:rsidRPr="00653BF4" w:rsidRDefault="00B87039" w:rsidP="00B87039">
      <w:pPr>
        <w:rPr>
          <w:lang w:val="fr-FR"/>
        </w:rPr>
      </w:pPr>
      <w:r w:rsidRPr="00653BF4">
        <w:rPr>
          <w:lang w:val="fr-FR"/>
        </w:rPr>
        <w:t>Pour l</w:t>
      </w:r>
      <w:r w:rsidR="00D77549">
        <w:rPr>
          <w:lang w:val="fr-FR"/>
        </w:rPr>
        <w:t>’</w:t>
      </w:r>
      <w:r w:rsidRPr="00653BF4">
        <w:rPr>
          <w:lang w:val="fr-FR"/>
        </w:rPr>
        <w:t>indicateur phare 10.2, cinq Parties ont communiqué une seule valeur globale correspondant au pourcentage de forêts gérées de manière durable. Pour ces Parties, 11</w:t>
      </w:r>
      <w:r w:rsidR="002878D7">
        <w:rPr>
          <w:lang w:val="fr-FR"/>
        </w:rPr>
        <w:t> %</w:t>
      </w:r>
      <w:r w:rsidRPr="00653BF4">
        <w:rPr>
          <w:lang w:val="fr-FR"/>
        </w:rPr>
        <w:t xml:space="preserve"> des forêts en moyenne étaient considérées comme gérées de manière durable, avec des pourcentages allant de 1</w:t>
      </w:r>
      <w:r w:rsidR="002878D7">
        <w:rPr>
          <w:lang w:val="fr-FR"/>
        </w:rPr>
        <w:t> %</w:t>
      </w:r>
      <w:r w:rsidRPr="00653BF4">
        <w:rPr>
          <w:lang w:val="fr-FR"/>
        </w:rPr>
        <w:t xml:space="preserve"> à 36</w:t>
      </w:r>
      <w:r w:rsidR="002878D7">
        <w:rPr>
          <w:lang w:val="fr-FR"/>
        </w:rPr>
        <w:t> %</w:t>
      </w:r>
      <w:r w:rsidRPr="00653BF4">
        <w:rPr>
          <w:lang w:val="fr-FR"/>
        </w:rPr>
        <w:t xml:space="preserve"> (voir la figure 42). </w:t>
      </w:r>
    </w:p>
    <w:p w14:paraId="6D2B3058" w14:textId="0A759E98" w:rsidR="00B87039" w:rsidRPr="00653BF4" w:rsidRDefault="00B87039" w:rsidP="00B87039">
      <w:pPr>
        <w:rPr>
          <w:lang w:val="fr-FR"/>
        </w:rPr>
      </w:pPr>
      <w:r w:rsidRPr="00653BF4">
        <w:rPr>
          <w:lang w:val="fr-FR"/>
        </w:rPr>
        <w:t>D</w:t>
      </w:r>
      <w:r w:rsidR="00D77549">
        <w:rPr>
          <w:lang w:val="fr-FR"/>
        </w:rPr>
        <w:t>’</w:t>
      </w:r>
      <w:r w:rsidRPr="00653BF4">
        <w:rPr>
          <w:lang w:val="fr-FR"/>
        </w:rPr>
        <w:t>une année sur l</w:t>
      </w:r>
      <w:r w:rsidR="00D77549">
        <w:rPr>
          <w:lang w:val="fr-FR"/>
        </w:rPr>
        <w:t>’</w:t>
      </w:r>
      <w:r w:rsidRPr="00653BF4">
        <w:rPr>
          <w:lang w:val="fr-FR"/>
        </w:rPr>
        <w:t>autre, et pour ces Parties, la variation moyenne de la superficie forestière était de 0,1</w:t>
      </w:r>
      <w:r w:rsidR="002878D7">
        <w:rPr>
          <w:lang w:val="fr-FR"/>
        </w:rPr>
        <w:t> %</w:t>
      </w:r>
      <w:r w:rsidRPr="00653BF4">
        <w:rPr>
          <w:lang w:val="fr-FR"/>
        </w:rPr>
        <w:t>, avec une plage allant de -3 à 5</w:t>
      </w:r>
      <w:r w:rsidR="002878D7">
        <w:rPr>
          <w:lang w:val="fr-FR"/>
        </w:rPr>
        <w:t> %</w:t>
      </w:r>
      <w:r w:rsidRPr="00653BF4">
        <w:rPr>
          <w:lang w:val="fr-FR"/>
        </w:rPr>
        <w:t xml:space="preserve"> entre 2020 et 2025. Les données transmises à la FAO par 194 pays et territoires indiquent que le rythme de la déforestation a ralenti par rapport aux années 1990</w:t>
      </w:r>
      <w:r w:rsidR="00E34DC9">
        <w:rPr>
          <w:lang w:val="fr-FR"/>
        </w:rPr>
        <w:t> ;</w:t>
      </w:r>
      <w:r w:rsidRPr="00653BF4">
        <w:rPr>
          <w:lang w:val="fr-FR"/>
        </w:rPr>
        <w:t xml:space="preserve"> toutefois, les pertes nettes ont été légèrement plus importantes entre 2015 et 2025 qu</w:t>
      </w:r>
      <w:r w:rsidR="00D77549">
        <w:rPr>
          <w:lang w:val="fr-FR"/>
        </w:rPr>
        <w:t>’</w:t>
      </w:r>
      <w:r w:rsidRPr="00653BF4">
        <w:rPr>
          <w:lang w:val="fr-FR"/>
        </w:rPr>
        <w:t>entre 2000 et 2015. Malgré les progrès réalisés dans la lutte contre la déforestation, les gains en superficie forestière résultant de l</w:t>
      </w:r>
      <w:r w:rsidR="00D77549">
        <w:rPr>
          <w:lang w:val="fr-FR"/>
        </w:rPr>
        <w:t>’</w:t>
      </w:r>
      <w:r w:rsidRPr="00653BF4">
        <w:rPr>
          <w:lang w:val="fr-FR"/>
        </w:rPr>
        <w:t>expansion ont été moins importants qu</w:t>
      </w:r>
      <w:r w:rsidR="00D77549">
        <w:rPr>
          <w:lang w:val="fr-FR"/>
        </w:rPr>
        <w:t>’</w:t>
      </w:r>
      <w:r w:rsidRPr="00653BF4">
        <w:rPr>
          <w:lang w:val="fr-FR"/>
        </w:rPr>
        <w:t xml:space="preserve">auparavant. Les données transmises tant à la Convention (27 Parties) (voir la figure 43) qu’à la FAO (187 pays et territoires) ont fait apparaître une augmentation de la biomasse aérienne par hectare depuis 1990. </w:t>
      </w:r>
    </w:p>
    <w:p w14:paraId="2CEA990E" w14:textId="00EF2CBD" w:rsidR="00B87039" w:rsidRPr="00653BF4" w:rsidRDefault="00B87039" w:rsidP="00B87039">
      <w:pPr>
        <w:rPr>
          <w:rFonts w:cs="Segoe UI"/>
          <w:lang w:val="fr-FR"/>
        </w:rPr>
      </w:pPr>
      <w:r w:rsidRPr="00653BF4">
        <w:rPr>
          <w:lang w:val="fr-FR"/>
        </w:rPr>
        <w:t>Les 26 Parties dont le rapport traite de la superficie forestière située à l’intérieur des aires protégées juridiquement constituées (représentant 30</w:t>
      </w:r>
      <w:r w:rsidR="002878D7">
        <w:rPr>
          <w:lang w:val="fr-FR"/>
        </w:rPr>
        <w:t> %</w:t>
      </w:r>
      <w:r w:rsidRPr="00653BF4">
        <w:rPr>
          <w:lang w:val="fr-FR"/>
        </w:rPr>
        <w:t xml:space="preserve"> de la superficie forestière totale de l’ensemble des Parties) n’ont enregistré aucune augmentation entre 2020 et 2025, avec une moyenne de 26</w:t>
      </w:r>
      <w:r w:rsidR="002878D7">
        <w:rPr>
          <w:lang w:val="fr-FR"/>
        </w:rPr>
        <w:t> %</w:t>
      </w:r>
      <w:r w:rsidRPr="00653BF4">
        <w:rPr>
          <w:lang w:val="fr-FR"/>
        </w:rPr>
        <w:t xml:space="preserve"> (voir la figure 44). Les données communiquées par les pays à la FAO indiquent toutefois que la proportion de forêts situées à l</w:t>
      </w:r>
      <w:r w:rsidR="00D77549">
        <w:rPr>
          <w:lang w:val="fr-FR"/>
        </w:rPr>
        <w:t>’</w:t>
      </w:r>
      <w:r w:rsidRPr="00653BF4">
        <w:rPr>
          <w:lang w:val="fr-FR"/>
        </w:rPr>
        <w:t>intérieur d</w:t>
      </w:r>
      <w:r w:rsidR="00D77549">
        <w:rPr>
          <w:lang w:val="fr-FR"/>
        </w:rPr>
        <w:t>’</w:t>
      </w:r>
      <w:r w:rsidRPr="00653BF4">
        <w:rPr>
          <w:lang w:val="fr-FR"/>
        </w:rPr>
        <w:t xml:space="preserve">aires protégées légalement a augmenté au cours de la période de 15 ans comprise entre 2010 et 2025, </w:t>
      </w:r>
      <w:r w:rsidRPr="00653BF4">
        <w:rPr>
          <w:lang w:val="fr-FR"/>
        </w:rPr>
        <w:lastRenderedPageBreak/>
        <w:t>passant de 18,2 à 19,3</w:t>
      </w:r>
      <w:r w:rsidR="002878D7">
        <w:rPr>
          <w:lang w:val="fr-FR"/>
        </w:rPr>
        <w:t> %</w:t>
      </w:r>
      <w:r w:rsidRPr="00653BF4">
        <w:rPr>
          <w:lang w:val="fr-FR"/>
        </w:rPr>
        <w:t xml:space="preserve"> à l</w:t>
      </w:r>
      <w:r w:rsidR="00D77549">
        <w:rPr>
          <w:lang w:val="fr-FR"/>
        </w:rPr>
        <w:t>’</w:t>
      </w:r>
      <w:r w:rsidRPr="00653BF4">
        <w:rPr>
          <w:lang w:val="fr-FR"/>
        </w:rPr>
        <w:t>échelle mondiale. De même, tant les données communiquées par 27 Parties dans leurs rapports nationaux (voir la figure 45) que celles communiquées à la FAO indiquent qu</w:t>
      </w:r>
      <w:r w:rsidR="00D77549">
        <w:rPr>
          <w:lang w:val="fr-FR"/>
        </w:rPr>
        <w:t>’</w:t>
      </w:r>
      <w:r w:rsidRPr="00653BF4">
        <w:rPr>
          <w:lang w:val="fr-FR"/>
        </w:rPr>
        <w:t>environ la moitié de toutes les zones forestières faisaient l</w:t>
      </w:r>
      <w:r w:rsidR="00D77549">
        <w:rPr>
          <w:lang w:val="fr-FR"/>
        </w:rPr>
        <w:t>’</w:t>
      </w:r>
      <w:r w:rsidRPr="00653BF4">
        <w:rPr>
          <w:lang w:val="fr-FR"/>
        </w:rPr>
        <w:t>objet d</w:t>
      </w:r>
      <w:r w:rsidR="00D77549">
        <w:rPr>
          <w:lang w:val="fr-FR"/>
        </w:rPr>
        <w:t>’</w:t>
      </w:r>
      <w:r w:rsidRPr="00653BF4">
        <w:rPr>
          <w:lang w:val="fr-FR"/>
        </w:rPr>
        <w:t>une gestion à long terme (ce pourcentage étant passé de 54,4</w:t>
      </w:r>
      <w:r w:rsidR="002878D7">
        <w:rPr>
          <w:lang w:val="fr-FR"/>
        </w:rPr>
        <w:t> %</w:t>
      </w:r>
      <w:r w:rsidRPr="00653BF4">
        <w:rPr>
          <w:lang w:val="fr-FR"/>
        </w:rPr>
        <w:t xml:space="preserve"> en 2015 à 56,5</w:t>
      </w:r>
      <w:r w:rsidR="002878D7">
        <w:rPr>
          <w:lang w:val="fr-FR"/>
        </w:rPr>
        <w:t> %</w:t>
      </w:r>
      <w:r w:rsidRPr="00653BF4">
        <w:rPr>
          <w:lang w:val="fr-FR"/>
        </w:rPr>
        <w:t xml:space="preserve"> en 2025 à l</w:t>
      </w:r>
      <w:r w:rsidR="00D77549">
        <w:rPr>
          <w:lang w:val="fr-FR"/>
        </w:rPr>
        <w:t>’</w:t>
      </w:r>
      <w:r w:rsidRPr="00653BF4">
        <w:rPr>
          <w:lang w:val="fr-FR"/>
        </w:rPr>
        <w:t>échelle mondiale, selon la FAO). Par ailleurs, les données communiquées à la FAO indiquent que la superficie forestière totale couverte par un système de certification de gestion forestière vérifié de manière indépendante a augmenté de 15,5</w:t>
      </w:r>
      <w:r w:rsidR="002878D7">
        <w:rPr>
          <w:lang w:val="fr-FR"/>
        </w:rPr>
        <w:t> %</w:t>
      </w:r>
      <w:r w:rsidRPr="00653BF4">
        <w:rPr>
          <w:lang w:val="fr-FR"/>
        </w:rPr>
        <w:t xml:space="preserve"> depuis 2010, et montrent également que la baisse constatée dans les communications de 25 Parties pour la période 2022-2023 (figure 46) était due à des suspensions de certificats liées à des conflits en Europe.</w:t>
      </w:r>
    </w:p>
    <w:p w14:paraId="3EFE75F1" w14:textId="7BE308F6" w:rsidR="00B87039" w:rsidRPr="00653BF4" w:rsidRDefault="00B87039" w:rsidP="00B87039">
      <w:pPr>
        <w:rPr>
          <w:rStyle w:val="normaltextrun"/>
          <w:rFonts w:cs="Segoe UI"/>
          <w:lang w:val="fr-FR"/>
        </w:rPr>
      </w:pPr>
      <w:r w:rsidRPr="00653BF4">
        <w:rPr>
          <w:lang w:val="fr-FR"/>
        </w:rPr>
        <w:t>L</w:t>
      </w:r>
      <w:r w:rsidR="00D77549">
        <w:rPr>
          <w:lang w:val="fr-FR"/>
        </w:rPr>
        <w:t>’</w:t>
      </w:r>
      <w:r w:rsidRPr="00653BF4">
        <w:rPr>
          <w:lang w:val="fr-FR"/>
        </w:rPr>
        <w:t>analyse de l</w:t>
      </w:r>
      <w:r w:rsidR="00D77549">
        <w:rPr>
          <w:lang w:val="fr-FR"/>
        </w:rPr>
        <w:t>’</w:t>
      </w:r>
      <w:r w:rsidRPr="00653BF4">
        <w:rPr>
          <w:lang w:val="fr-FR"/>
        </w:rPr>
        <w:t>ensemble des indicateurs quantitatifs communiqués par les Parties, qui concernent principalement les secteurs de l</w:t>
      </w:r>
      <w:r w:rsidR="00D77549">
        <w:rPr>
          <w:lang w:val="fr-FR"/>
        </w:rPr>
        <w:t>’</w:t>
      </w:r>
      <w:r w:rsidRPr="00653BF4">
        <w:rPr>
          <w:lang w:val="fr-FR"/>
        </w:rPr>
        <w:t>agriculture et de la sylviculture, fait apparaître davantage de tendances positives (24</w:t>
      </w:r>
      <w:r w:rsidR="002878D7">
        <w:rPr>
          <w:lang w:val="fr-FR"/>
        </w:rPr>
        <w:t> %</w:t>
      </w:r>
      <w:r w:rsidRPr="00653BF4">
        <w:rPr>
          <w:lang w:val="fr-FR"/>
        </w:rPr>
        <w:t>) que de tendances négatives (12</w:t>
      </w:r>
      <w:r w:rsidR="002878D7">
        <w:rPr>
          <w:lang w:val="fr-FR"/>
        </w:rPr>
        <w:t> %</w:t>
      </w:r>
      <w:r w:rsidRPr="00653BF4">
        <w:rPr>
          <w:lang w:val="fr-FR"/>
        </w:rPr>
        <w:t>) (voir la figure 47), ce qui laisse entrevoir des progrès dans la réalisation des cibles au niveau national.</w:t>
      </w:r>
      <w:r w:rsidRPr="00653BF4">
        <w:rPr>
          <w:rStyle w:val="normaltextrun"/>
          <w:rFonts w:cs="Segoe UI"/>
          <w:lang w:val="fr-FR"/>
        </w:rPr>
        <w:t xml:space="preserve"> Aucun indicateur supplémentaire n</w:t>
      </w:r>
      <w:r w:rsidR="00D77549">
        <w:rPr>
          <w:rStyle w:val="normaltextrun"/>
          <w:rFonts w:cs="Segoe UI"/>
          <w:lang w:val="fr-FR"/>
        </w:rPr>
        <w:t>’</w:t>
      </w:r>
      <w:r w:rsidRPr="00653BF4">
        <w:rPr>
          <w:rStyle w:val="normaltextrun"/>
          <w:rFonts w:cs="Segoe UI"/>
          <w:lang w:val="fr-FR"/>
        </w:rPr>
        <w:t>a été communiqué dans les rapports nationaux concernant l</w:t>
      </w:r>
      <w:r w:rsidR="00D77549">
        <w:rPr>
          <w:rStyle w:val="normaltextrun"/>
          <w:rFonts w:cs="Segoe UI"/>
          <w:lang w:val="fr-FR"/>
        </w:rPr>
        <w:t>’</w:t>
      </w:r>
      <w:r w:rsidRPr="00653BF4">
        <w:rPr>
          <w:rStyle w:val="normaltextrun"/>
          <w:rFonts w:cs="Segoe UI"/>
          <w:lang w:val="fr-FR"/>
        </w:rPr>
        <w:t xml:space="preserve">aquaculture durable. </w:t>
      </w:r>
      <w:bookmarkStart w:id="195" w:name="_Ref231197658"/>
    </w:p>
    <w:p w14:paraId="42FF7FCF" w14:textId="77777777" w:rsidR="00B87039" w:rsidRPr="00653BF4" w:rsidRDefault="00B87039" w:rsidP="00B87039">
      <w:pPr>
        <w:rPr>
          <w:rFonts w:eastAsiaTheme="minorEastAsia"/>
          <w:iCs/>
          <w:color w:val="0E2841" w:themeColor="text2"/>
          <w:kern w:val="0"/>
          <w:sz w:val="20"/>
          <w:szCs w:val="20"/>
          <w:lang w:val="fr-FR" w:eastAsia="ja-JP"/>
          <w14:ligatures w14:val="none"/>
        </w:rPr>
      </w:pPr>
    </w:p>
    <w:p w14:paraId="5ED6F932" w14:textId="77777777" w:rsidR="00B87039" w:rsidRPr="00653BF4" w:rsidRDefault="00B87039" w:rsidP="00B87039">
      <w:pPr>
        <w:rPr>
          <w:rFonts w:eastAsiaTheme="minorEastAsia"/>
          <w:iCs/>
          <w:color w:val="0E2841" w:themeColor="text2"/>
          <w:kern w:val="0"/>
          <w:sz w:val="20"/>
          <w:szCs w:val="20"/>
          <w:lang w:val="fr-FR" w:eastAsia="ja-JP"/>
          <w14:ligatures w14:val="none"/>
        </w:rPr>
      </w:pPr>
      <w:r w:rsidRPr="00653BF4">
        <w:rPr>
          <w:rFonts w:eastAsiaTheme="minorEastAsia"/>
          <w:iCs/>
          <w:color w:val="0E2841" w:themeColor="text2"/>
          <w:kern w:val="0"/>
          <w:sz w:val="20"/>
          <w:szCs w:val="20"/>
          <w:lang w:val="fr-FR"/>
          <w14:ligatures w14:val="none"/>
        </w:rPr>
        <w:t>Figure 41</w:t>
      </w:r>
    </w:p>
    <w:p w14:paraId="7822DA90" w14:textId="420317E1" w:rsidR="00B87039" w:rsidRDefault="00B87039" w:rsidP="00B87039">
      <w:pPr>
        <w:rPr>
          <w:rFonts w:eastAsiaTheme="minorEastAsia"/>
          <w:b/>
          <w:bCs/>
          <w:iCs/>
          <w:color w:val="0E2841" w:themeColor="text2"/>
          <w:kern w:val="0"/>
          <w:sz w:val="20"/>
          <w:szCs w:val="20"/>
          <w:lang w:val="fr-FR"/>
          <w14:ligatures w14:val="none"/>
        </w:rPr>
      </w:pPr>
      <w:r w:rsidRPr="00653BF4">
        <w:rPr>
          <w:rFonts w:eastAsiaTheme="minorEastAsia"/>
          <w:b/>
          <w:bCs/>
          <w:iCs/>
          <w:color w:val="0E2841" w:themeColor="text2"/>
          <w:kern w:val="0"/>
          <w:sz w:val="20"/>
          <w:szCs w:val="20"/>
          <w:lang w:val="fr-FR"/>
          <w14:ligatures w14:val="none"/>
        </w:rPr>
        <w:t>Indicateur phare 10.1</w:t>
      </w:r>
      <w:r w:rsidR="00E34DC9">
        <w:rPr>
          <w:rFonts w:eastAsiaTheme="minorEastAsia"/>
          <w:b/>
          <w:bCs/>
          <w:iCs/>
          <w:color w:val="0E2841" w:themeColor="text2"/>
          <w:kern w:val="0"/>
          <w:sz w:val="20"/>
          <w:szCs w:val="20"/>
          <w:lang w:val="fr-FR"/>
          <w14:ligatures w14:val="none"/>
        </w:rPr>
        <w:t> :</w:t>
      </w:r>
      <w:r w:rsidRPr="00653BF4">
        <w:rPr>
          <w:rFonts w:eastAsiaTheme="minorEastAsia"/>
          <w:b/>
          <w:bCs/>
          <w:iCs/>
          <w:color w:val="0E2841" w:themeColor="text2"/>
          <w:kern w:val="0"/>
          <w:sz w:val="20"/>
          <w:szCs w:val="20"/>
          <w:lang w:val="fr-FR"/>
          <w14:ligatures w14:val="none"/>
        </w:rPr>
        <w:t xml:space="preserve"> proportion de la superficie agricole consacrée à une agriculture productive et durable</w:t>
      </w:r>
    </w:p>
    <w:p w14:paraId="4B091DF2" w14:textId="77777777" w:rsidR="00B87039" w:rsidRPr="00653BF4" w:rsidRDefault="00B87039" w:rsidP="00B87039">
      <w:pPr>
        <w:rPr>
          <w:rStyle w:val="normaltextrun"/>
          <w:rFonts w:cs="Segoe UI"/>
          <w:lang w:val="fr-FR"/>
        </w:rPr>
      </w:pPr>
      <w:r w:rsidRPr="00653BF4">
        <w:rPr>
          <w:rFonts w:cs="Segoe UI"/>
          <w:noProof/>
          <w:lang w:val="fr-FR"/>
        </w:rPr>
        <w:lastRenderedPageBreak/>
        <w:drawing>
          <wp:inline distT="0" distB="0" distL="0" distR="0" wp14:anchorId="6DDA80F3" wp14:editId="7291CED4">
            <wp:extent cx="5731510" cy="4298950"/>
            <wp:effectExtent l="0" t="0" r="0" b="6350"/>
            <wp:docPr id="16761153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115399" name="Picture 1676115399"/>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bookmarkEnd w:id="195"/>
    <w:p w14:paraId="37CE9944" w14:textId="3AAC72D4" w:rsidR="00B87039" w:rsidRPr="00653BF4" w:rsidRDefault="00B87039" w:rsidP="00B87039">
      <w:pPr>
        <w:pStyle w:val="Caption"/>
        <w:rPr>
          <w:rFonts w:cs="Segoe UI"/>
          <w:lang w:val="fr-FR"/>
          <w14:ligatures w14:val="standardContextual"/>
        </w:rPr>
      </w:pPr>
      <w:r w:rsidRPr="00653BF4">
        <w:rPr>
          <w:lang w:val="fr-FR"/>
        </w:rPr>
        <w:t>Note</w:t>
      </w:r>
      <w:r w:rsidR="00E34DC9">
        <w:rPr>
          <w:lang w:val="fr-FR"/>
        </w:rPr>
        <w:t> :</w:t>
      </w:r>
      <w:r w:rsidRPr="00653BF4">
        <w:rPr>
          <w:lang w:val="fr-FR"/>
        </w:rPr>
        <w:t xml:space="preserve"> </w:t>
      </w:r>
      <w:r w:rsidRPr="00653BF4">
        <w:rPr>
          <w:i w:val="0"/>
          <w:iCs w:val="0"/>
          <w:lang w:val="fr-FR"/>
        </w:rPr>
        <w:t>Les valeurs de l</w:t>
      </w:r>
      <w:r w:rsidR="00D77549">
        <w:rPr>
          <w:i w:val="0"/>
          <w:iCs w:val="0"/>
          <w:lang w:val="fr-FR"/>
        </w:rPr>
        <w:t>’</w:t>
      </w:r>
      <w:r w:rsidRPr="00653BF4">
        <w:rPr>
          <w:i w:val="0"/>
          <w:iCs w:val="0"/>
          <w:lang w:val="fr-FR"/>
        </w:rPr>
        <w:t>indicateur correspondent à la moyenne générale et à l’écart interquartile des données communiquées chaque année par les Parties. Le diagramme à barres de droite présente la répartition, par région, des Parties ayant communiqué des données.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 </w:t>
      </w:r>
      <w:r w:rsidRPr="00653BF4">
        <w:rPr>
          <w:rFonts w:cs="Arial"/>
          <w:i w:val="0"/>
          <w:iCs w:val="0"/>
          <w:lang w:val="fr-FR"/>
        </w:rPr>
        <w:t>Le diagramme circulaire représente la proportion de la superficie agricole totale de l</w:t>
      </w:r>
      <w:r w:rsidR="00D77549">
        <w:rPr>
          <w:rFonts w:cs="Arial"/>
          <w:i w:val="0"/>
          <w:iCs w:val="0"/>
          <w:lang w:val="fr-FR"/>
        </w:rPr>
        <w:t>’</w:t>
      </w:r>
      <w:r w:rsidRPr="00653BF4">
        <w:rPr>
          <w:rFonts w:cs="Arial"/>
          <w:i w:val="0"/>
          <w:iCs w:val="0"/>
          <w:lang w:val="fr-FR"/>
        </w:rPr>
        <w:t>ensemble des Parties représentée par les Parties ayant communiqué des données pour cet indicateur.</w:t>
      </w:r>
      <w:r w:rsidRPr="00653BF4">
        <w:rPr>
          <w:rFonts w:cs="Segoe UI"/>
          <w:lang w:val="fr-FR"/>
          <w14:ligatures w14:val="standardContextual"/>
        </w:rPr>
        <w:t xml:space="preserve"> </w:t>
      </w:r>
    </w:p>
    <w:tbl>
      <w:tblPr>
        <w:tblStyle w:val="TableGrid"/>
        <w:tblW w:w="0" w:type="auto"/>
        <w:tblLook w:val="04A0" w:firstRow="1" w:lastRow="0" w:firstColumn="1" w:lastColumn="0" w:noHBand="0" w:noVBand="1"/>
      </w:tblPr>
      <w:tblGrid>
        <w:gridCol w:w="4529"/>
        <w:gridCol w:w="4821"/>
      </w:tblGrid>
      <w:tr w:rsidR="00735F5E" w:rsidRPr="006F7AF8" w14:paraId="0D309F6F" w14:textId="77777777" w:rsidTr="009B4355">
        <w:tc>
          <w:tcPr>
            <w:tcW w:w="9350" w:type="dxa"/>
            <w:gridSpan w:val="2"/>
          </w:tcPr>
          <w:p w14:paraId="4238841A" w14:textId="77777777" w:rsidR="00735F5E" w:rsidRPr="006F7AF8" w:rsidRDefault="00735F5E" w:rsidP="009B4355">
            <w:pPr>
              <w:rPr>
                <w:rFonts w:ascii="Aptos" w:hAnsi="Aptos"/>
                <w:lang w:val="fr-FR"/>
              </w:rPr>
            </w:pPr>
            <w:r>
              <w:rPr>
                <w:rFonts w:ascii="Aptos" w:hAnsi="Aptos"/>
                <w:lang w:val="fr-FR"/>
              </w:rPr>
              <w:t>Figure 41</w:t>
            </w:r>
          </w:p>
        </w:tc>
      </w:tr>
      <w:tr w:rsidR="00735F5E" w:rsidRPr="00735F5E" w14:paraId="6B5DBE4A" w14:textId="77777777" w:rsidTr="009B4355">
        <w:tc>
          <w:tcPr>
            <w:tcW w:w="0" w:type="auto"/>
          </w:tcPr>
          <w:p w14:paraId="1D610B77" w14:textId="77777777" w:rsidR="00735F5E" w:rsidRPr="00735F5E" w:rsidRDefault="00735F5E" w:rsidP="009B4355">
            <w:pPr>
              <w:rPr>
                <w:rFonts w:ascii="Aptos" w:hAnsi="Aptos"/>
                <w:lang w:val="fr-FR"/>
              </w:rPr>
            </w:pPr>
            <w:r w:rsidRPr="00735F5E">
              <w:rPr>
                <w:rFonts w:ascii="Aptos" w:hAnsi="Aptos"/>
                <w:lang w:val="fr-FR"/>
              </w:rPr>
              <w:t xml:space="preserve">English </w:t>
            </w:r>
          </w:p>
        </w:tc>
        <w:tc>
          <w:tcPr>
            <w:tcW w:w="0" w:type="auto"/>
          </w:tcPr>
          <w:p w14:paraId="2F01992A" w14:textId="77777777" w:rsidR="00735F5E" w:rsidRPr="00735F5E" w:rsidRDefault="00735F5E" w:rsidP="009B4355">
            <w:pPr>
              <w:rPr>
                <w:rFonts w:ascii="Aptos" w:hAnsi="Aptos"/>
                <w:lang w:val="fr-FR"/>
              </w:rPr>
            </w:pPr>
            <w:r w:rsidRPr="00735F5E">
              <w:rPr>
                <w:rFonts w:ascii="Aptos" w:hAnsi="Aptos"/>
                <w:lang w:val="fr-FR"/>
              </w:rPr>
              <w:t>Français</w:t>
            </w:r>
          </w:p>
        </w:tc>
      </w:tr>
      <w:tr w:rsidR="00735F5E" w:rsidRPr="006F7AF8" w14:paraId="6FB7B12F" w14:textId="77777777" w:rsidTr="009B4355">
        <w:tc>
          <w:tcPr>
            <w:tcW w:w="0" w:type="auto"/>
          </w:tcPr>
          <w:p w14:paraId="065A1B84" w14:textId="77777777" w:rsidR="00735F5E" w:rsidRPr="006F7AF8" w:rsidRDefault="00735F5E" w:rsidP="009B4355">
            <w:pPr>
              <w:rPr>
                <w:rFonts w:ascii="Aptos" w:hAnsi="Aptos"/>
                <w:lang w:val="fr-FR"/>
              </w:rPr>
            </w:pPr>
            <w:r w:rsidRPr="006F7AF8">
              <w:rPr>
                <w:rFonts w:ascii="Aptos" w:hAnsi="Aptos"/>
                <w:lang w:val="fr-FR"/>
              </w:rPr>
              <w:t>Proportion of agricultural area that is productive and sustainable (%)</w:t>
            </w:r>
          </w:p>
        </w:tc>
        <w:tc>
          <w:tcPr>
            <w:tcW w:w="0" w:type="auto"/>
          </w:tcPr>
          <w:p w14:paraId="49DE4988" w14:textId="77777777" w:rsidR="00735F5E" w:rsidRPr="006F7AF8" w:rsidRDefault="00735F5E" w:rsidP="009B4355">
            <w:pPr>
              <w:rPr>
                <w:rFonts w:ascii="Aptos" w:hAnsi="Aptos"/>
                <w:lang w:val="fr-FR"/>
              </w:rPr>
            </w:pPr>
            <w:r w:rsidRPr="006F7AF8">
              <w:rPr>
                <w:rFonts w:ascii="Aptos" w:hAnsi="Aptos"/>
                <w:lang w:val="fr-FR"/>
              </w:rPr>
              <w:t>Proportion de la superficie agricole productive et durable (pourcentage)</w:t>
            </w:r>
          </w:p>
        </w:tc>
      </w:tr>
      <w:tr w:rsidR="00735F5E" w:rsidRPr="006F7AF8" w14:paraId="63FA1C05" w14:textId="77777777" w:rsidTr="009B4355">
        <w:tc>
          <w:tcPr>
            <w:tcW w:w="0" w:type="auto"/>
          </w:tcPr>
          <w:p w14:paraId="75153C8D" w14:textId="77777777" w:rsidR="00735F5E" w:rsidRPr="006F7AF8" w:rsidRDefault="00735F5E" w:rsidP="009B4355">
            <w:pPr>
              <w:rPr>
                <w:rFonts w:ascii="Aptos" w:hAnsi="Aptos"/>
                <w:lang w:val="fr-FR"/>
              </w:rPr>
            </w:pPr>
            <w:r w:rsidRPr="006F7AF8">
              <w:rPr>
                <w:rFonts w:ascii="Aptos" w:hAnsi="Aptos"/>
                <w:lang w:val="fr-FR"/>
              </w:rPr>
              <w:t>Year</w:t>
            </w:r>
          </w:p>
        </w:tc>
        <w:tc>
          <w:tcPr>
            <w:tcW w:w="0" w:type="auto"/>
          </w:tcPr>
          <w:p w14:paraId="4AC0DD64" w14:textId="77777777" w:rsidR="00735F5E" w:rsidRPr="006F7AF8" w:rsidRDefault="00735F5E" w:rsidP="009B4355">
            <w:pPr>
              <w:rPr>
                <w:rFonts w:ascii="Aptos" w:hAnsi="Aptos"/>
                <w:lang w:val="fr-FR"/>
              </w:rPr>
            </w:pPr>
            <w:r w:rsidRPr="006F7AF8">
              <w:rPr>
                <w:rFonts w:ascii="Aptos" w:hAnsi="Aptos"/>
                <w:lang w:val="fr-FR"/>
              </w:rPr>
              <w:t>Année</w:t>
            </w:r>
          </w:p>
        </w:tc>
      </w:tr>
      <w:tr w:rsidR="00735F5E" w:rsidRPr="006F7AF8" w14:paraId="5C5546EC" w14:textId="77777777" w:rsidTr="009B4355">
        <w:tc>
          <w:tcPr>
            <w:tcW w:w="0" w:type="auto"/>
          </w:tcPr>
          <w:p w14:paraId="0D11CBBA" w14:textId="77777777" w:rsidR="00735F5E" w:rsidRPr="006F7AF8" w:rsidRDefault="00735F5E" w:rsidP="009B4355">
            <w:pPr>
              <w:rPr>
                <w:rFonts w:ascii="Aptos" w:hAnsi="Aptos"/>
                <w:lang w:val="fr-FR"/>
              </w:rPr>
            </w:pPr>
            <w:r w:rsidRPr="006F7AF8">
              <w:rPr>
                <w:rFonts w:ascii="Aptos" w:hAnsi="Aptos"/>
                <w:lang w:val="fr-FR"/>
              </w:rPr>
              <w:t>Party count: 30</w:t>
            </w:r>
          </w:p>
        </w:tc>
        <w:tc>
          <w:tcPr>
            <w:tcW w:w="0" w:type="auto"/>
          </w:tcPr>
          <w:p w14:paraId="7EC16539" w14:textId="77777777" w:rsidR="00735F5E" w:rsidRPr="006F7AF8" w:rsidRDefault="00735F5E" w:rsidP="009B4355">
            <w:pPr>
              <w:rPr>
                <w:rFonts w:ascii="Aptos" w:hAnsi="Aptos"/>
                <w:lang w:val="fr-FR"/>
              </w:rPr>
            </w:pPr>
            <w:r w:rsidRPr="006F7AF8">
              <w:rPr>
                <w:rFonts w:ascii="Aptos" w:hAnsi="Aptos"/>
                <w:lang w:val="fr-FR"/>
              </w:rPr>
              <w:t>Nombre de Parties : 30</w:t>
            </w:r>
          </w:p>
        </w:tc>
      </w:tr>
      <w:tr w:rsidR="00735F5E" w:rsidRPr="006F7AF8" w14:paraId="490F50BD" w14:textId="77777777" w:rsidTr="009B4355">
        <w:tc>
          <w:tcPr>
            <w:tcW w:w="0" w:type="auto"/>
          </w:tcPr>
          <w:p w14:paraId="4E8EB874" w14:textId="77777777" w:rsidR="00735F5E" w:rsidRPr="006F7AF8" w:rsidRDefault="00735F5E" w:rsidP="009B4355">
            <w:pPr>
              <w:rPr>
                <w:rFonts w:ascii="Aptos" w:hAnsi="Aptos"/>
                <w:lang w:val="fr-FR"/>
              </w:rPr>
            </w:pPr>
            <w:r w:rsidRPr="006F7AF8">
              <w:rPr>
                <w:rFonts w:ascii="Aptos" w:hAnsi="Aptos"/>
                <w:lang w:val="fr-FR"/>
              </w:rPr>
              <w:t>Share of agricultural area</w:t>
            </w:r>
          </w:p>
        </w:tc>
        <w:tc>
          <w:tcPr>
            <w:tcW w:w="0" w:type="auto"/>
          </w:tcPr>
          <w:p w14:paraId="5447297C" w14:textId="77777777" w:rsidR="00735F5E" w:rsidRPr="006F7AF8" w:rsidRDefault="00735F5E" w:rsidP="009B4355">
            <w:pPr>
              <w:rPr>
                <w:rFonts w:ascii="Aptos" w:hAnsi="Aptos"/>
                <w:lang w:val="fr-FR"/>
              </w:rPr>
            </w:pPr>
            <w:r w:rsidRPr="006F7AF8">
              <w:rPr>
                <w:rFonts w:ascii="Aptos" w:hAnsi="Aptos"/>
                <w:lang w:val="fr-FR"/>
              </w:rPr>
              <w:t>Part de la superficie agricole</w:t>
            </w:r>
          </w:p>
        </w:tc>
      </w:tr>
      <w:tr w:rsidR="00735F5E" w:rsidRPr="006F7AF8" w14:paraId="7A970E97" w14:textId="77777777" w:rsidTr="009B4355">
        <w:tc>
          <w:tcPr>
            <w:tcW w:w="0" w:type="auto"/>
          </w:tcPr>
          <w:p w14:paraId="6B994291" w14:textId="77777777" w:rsidR="00735F5E" w:rsidRPr="006F7AF8" w:rsidRDefault="00735F5E" w:rsidP="009B4355">
            <w:pPr>
              <w:rPr>
                <w:rFonts w:ascii="Aptos" w:hAnsi="Aptos"/>
                <w:lang w:val="fr-FR"/>
              </w:rPr>
            </w:pPr>
            <w:r w:rsidRPr="006F7AF8">
              <w:rPr>
                <w:rFonts w:ascii="Aptos" w:hAnsi="Aptos"/>
                <w:lang w:val="fr-FR"/>
              </w:rPr>
              <w:t>Party count by region</w:t>
            </w:r>
          </w:p>
        </w:tc>
        <w:tc>
          <w:tcPr>
            <w:tcW w:w="0" w:type="auto"/>
          </w:tcPr>
          <w:p w14:paraId="719BA1B2" w14:textId="77777777" w:rsidR="00735F5E" w:rsidRPr="006F7AF8" w:rsidRDefault="00735F5E" w:rsidP="009B4355">
            <w:pPr>
              <w:rPr>
                <w:rFonts w:ascii="Aptos" w:hAnsi="Aptos"/>
                <w:lang w:val="fr-FR"/>
              </w:rPr>
            </w:pPr>
            <w:r w:rsidRPr="006F7AF8">
              <w:rPr>
                <w:rFonts w:ascii="Aptos" w:hAnsi="Aptos"/>
                <w:lang w:val="fr-FR"/>
              </w:rPr>
              <w:t>Nombre de Parties par région</w:t>
            </w:r>
          </w:p>
        </w:tc>
      </w:tr>
      <w:tr w:rsidR="00735F5E" w:rsidRPr="006F7AF8" w14:paraId="7B97BCE3" w14:textId="77777777" w:rsidTr="009B4355">
        <w:tc>
          <w:tcPr>
            <w:tcW w:w="0" w:type="auto"/>
          </w:tcPr>
          <w:p w14:paraId="1017AA79" w14:textId="77777777" w:rsidR="00735F5E" w:rsidRPr="006F7AF8" w:rsidRDefault="00735F5E" w:rsidP="009B4355">
            <w:pPr>
              <w:rPr>
                <w:rFonts w:ascii="Aptos" w:hAnsi="Aptos"/>
                <w:lang w:val="fr-FR"/>
              </w:rPr>
            </w:pPr>
            <w:r w:rsidRPr="006F7AF8">
              <w:rPr>
                <w:rFonts w:ascii="Aptos" w:hAnsi="Aptos"/>
                <w:lang w:val="fr-FR"/>
              </w:rPr>
              <w:t>Region</w:t>
            </w:r>
          </w:p>
        </w:tc>
        <w:tc>
          <w:tcPr>
            <w:tcW w:w="0" w:type="auto"/>
          </w:tcPr>
          <w:p w14:paraId="76F3A1EB"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490614A1" w14:textId="77777777" w:rsidTr="009B4355">
        <w:tc>
          <w:tcPr>
            <w:tcW w:w="0" w:type="auto"/>
          </w:tcPr>
          <w:p w14:paraId="07364EDF" w14:textId="77777777" w:rsidR="00735F5E" w:rsidRPr="006F7AF8" w:rsidRDefault="00735F5E" w:rsidP="009B4355">
            <w:pPr>
              <w:rPr>
                <w:rFonts w:ascii="Aptos" w:hAnsi="Aptos"/>
                <w:lang w:val="fr-FR"/>
              </w:rPr>
            </w:pPr>
            <w:r w:rsidRPr="006F7AF8">
              <w:rPr>
                <w:rFonts w:ascii="Aptos" w:hAnsi="Aptos"/>
                <w:lang w:val="fr-FR"/>
              </w:rPr>
              <w:t>African States</w:t>
            </w:r>
          </w:p>
        </w:tc>
        <w:tc>
          <w:tcPr>
            <w:tcW w:w="0" w:type="auto"/>
          </w:tcPr>
          <w:p w14:paraId="497C84F9"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6A26C8ED" w14:textId="77777777" w:rsidTr="009B4355">
        <w:tc>
          <w:tcPr>
            <w:tcW w:w="0" w:type="auto"/>
          </w:tcPr>
          <w:p w14:paraId="09524BF8"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0" w:type="auto"/>
          </w:tcPr>
          <w:p w14:paraId="353916A7"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0E10E9D2" w14:textId="77777777" w:rsidTr="009B4355">
        <w:tc>
          <w:tcPr>
            <w:tcW w:w="0" w:type="auto"/>
          </w:tcPr>
          <w:p w14:paraId="6CF71824"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0" w:type="auto"/>
          </w:tcPr>
          <w:p w14:paraId="5E661A6E"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5BE686A9" w14:textId="77777777" w:rsidTr="009B4355">
        <w:tc>
          <w:tcPr>
            <w:tcW w:w="0" w:type="auto"/>
          </w:tcPr>
          <w:p w14:paraId="39E6DA6E"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0" w:type="auto"/>
          </w:tcPr>
          <w:p w14:paraId="68569031"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1E1AE164" w14:textId="77777777" w:rsidTr="009B4355">
        <w:tc>
          <w:tcPr>
            <w:tcW w:w="0" w:type="auto"/>
          </w:tcPr>
          <w:p w14:paraId="35C8D996" w14:textId="77777777" w:rsidR="00735F5E" w:rsidRPr="006F7AF8" w:rsidRDefault="00735F5E" w:rsidP="009B4355">
            <w:pPr>
              <w:rPr>
                <w:rFonts w:ascii="Aptos" w:hAnsi="Aptos"/>
                <w:lang w:val="fr-FR"/>
              </w:rPr>
            </w:pPr>
            <w:r w:rsidRPr="006F7AF8">
              <w:rPr>
                <w:rFonts w:ascii="Aptos" w:hAnsi="Aptos"/>
                <w:lang w:val="fr-FR"/>
              </w:rPr>
              <w:lastRenderedPageBreak/>
              <w:t>Western European and other States</w:t>
            </w:r>
          </w:p>
        </w:tc>
        <w:tc>
          <w:tcPr>
            <w:tcW w:w="0" w:type="auto"/>
          </w:tcPr>
          <w:p w14:paraId="75502150"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0BDAA311" w14:textId="77777777" w:rsidR="00B87039" w:rsidRPr="00653BF4" w:rsidRDefault="00B87039" w:rsidP="00B87039">
      <w:pPr>
        <w:rPr>
          <w:lang w:val="fr-FR" w:eastAsia="ja-JP"/>
        </w:rPr>
      </w:pPr>
    </w:p>
    <w:p w14:paraId="5DAE8317" w14:textId="764862B1" w:rsidR="00B87039" w:rsidRPr="00653BF4" w:rsidRDefault="00B87039" w:rsidP="00B87039">
      <w:pPr>
        <w:rPr>
          <w:sz w:val="20"/>
          <w:szCs w:val="20"/>
          <w:lang w:val="fr-FR"/>
        </w:rPr>
      </w:pPr>
      <w:bookmarkStart w:id="196" w:name="_Ref239001159"/>
      <w:r w:rsidRPr="00653BF4">
        <w:rPr>
          <w:sz w:val="20"/>
          <w:szCs w:val="20"/>
          <w:lang w:val="fr-FR"/>
        </w:rPr>
        <w:t>Figure 42</w:t>
      </w:r>
      <w:bookmarkEnd w:id="196"/>
    </w:p>
    <w:p w14:paraId="0AE7E0E0" w14:textId="392996F0" w:rsidR="00B87039" w:rsidRPr="00653BF4" w:rsidRDefault="00B87039" w:rsidP="00B87039">
      <w:pPr>
        <w:rPr>
          <w:rFonts w:eastAsiaTheme="minorEastAsia"/>
          <w:b/>
          <w:bCs/>
          <w:color w:val="0E2841" w:themeColor="text2"/>
          <w:kern w:val="0"/>
          <w:sz w:val="20"/>
          <w:szCs w:val="20"/>
          <w:lang w:val="fr-FR" w:eastAsia="ja-JP"/>
          <w14:ligatures w14:val="none"/>
        </w:rPr>
      </w:pPr>
      <w:r w:rsidRPr="00653BF4">
        <w:rPr>
          <w:rFonts w:eastAsiaTheme="minorEastAsia"/>
          <w:b/>
          <w:bCs/>
          <w:color w:val="0E2841" w:themeColor="text2"/>
          <w:kern w:val="0"/>
          <w:sz w:val="20"/>
          <w:szCs w:val="20"/>
          <w:lang w:val="fr-FR"/>
          <w14:ligatures w14:val="none"/>
        </w:rPr>
        <w:t>Indicateur phare 10.2</w:t>
      </w:r>
      <w:r w:rsidR="00E34DC9">
        <w:rPr>
          <w:rFonts w:eastAsiaTheme="minorEastAsia"/>
          <w:b/>
          <w:bCs/>
          <w:color w:val="0E2841" w:themeColor="text2"/>
          <w:kern w:val="0"/>
          <w:sz w:val="20"/>
          <w:szCs w:val="20"/>
          <w:lang w:val="fr-FR"/>
          <w14:ligatures w14:val="none"/>
        </w:rPr>
        <w:t> :</w:t>
      </w:r>
      <w:r w:rsidRPr="00653BF4">
        <w:rPr>
          <w:rFonts w:eastAsiaTheme="minorEastAsia"/>
          <w:b/>
          <w:bCs/>
          <w:color w:val="0E2841" w:themeColor="text2"/>
          <w:kern w:val="0"/>
          <w:sz w:val="20"/>
          <w:szCs w:val="20"/>
          <w:lang w:val="fr-FR"/>
          <w14:ligatures w14:val="none"/>
        </w:rPr>
        <w:t xml:space="preserve"> progrès accomplis dans la gestion durable des forêts, sous-indicateur a – variation annuelle de la superficie forestière</w:t>
      </w:r>
    </w:p>
    <w:p w14:paraId="3A690686" w14:textId="77777777" w:rsidR="00B87039" w:rsidRPr="00653BF4" w:rsidRDefault="00B87039" w:rsidP="00B87039">
      <w:pPr>
        <w:pStyle w:val="Caption"/>
        <w:rPr>
          <w:lang w:val="fr-FR"/>
        </w:rPr>
      </w:pPr>
      <w:r w:rsidRPr="00653BF4">
        <w:rPr>
          <w:rFonts w:cs="Segoe UI"/>
          <w:noProof/>
          <w:lang w:val="fr-FR"/>
          <w14:ligatures w14:val="standardContextual"/>
        </w:rPr>
        <w:drawing>
          <wp:inline distT="0" distB="0" distL="0" distR="0" wp14:anchorId="5EB8923A" wp14:editId="69CE949B">
            <wp:extent cx="5731510" cy="4298950"/>
            <wp:effectExtent l="0" t="0" r="0" b="6350"/>
            <wp:docPr id="24220391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03914" name="Picture 242203914"/>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6A2C0570" w14:textId="066FAD60" w:rsidR="00B87039" w:rsidRPr="00653BF4" w:rsidRDefault="00B87039" w:rsidP="00B87039">
      <w:pPr>
        <w:pStyle w:val="Caption"/>
        <w:rPr>
          <w:rFonts w:cs="Segoe UI"/>
          <w:i w:val="0"/>
          <w:iCs w:val="0"/>
          <w:lang w:val="fr-FR"/>
        </w:rPr>
      </w:pPr>
      <w:r w:rsidRPr="00653BF4">
        <w:rPr>
          <w:rStyle w:val="normaltextrun"/>
          <w:rFonts w:cs="Segoe UI"/>
          <w:lang w:val="fr-FR"/>
        </w:rPr>
        <w:t>Note</w:t>
      </w:r>
      <w:r w:rsidR="00E34DC9">
        <w:rPr>
          <w:rStyle w:val="normaltextrun"/>
          <w:rFonts w:cs="Segoe UI"/>
          <w:lang w:val="fr-FR"/>
        </w:rPr>
        <w:t> :</w:t>
      </w:r>
      <w:r w:rsidRPr="00653BF4">
        <w:rPr>
          <w:rStyle w:val="normaltextrun"/>
          <w:rFonts w:cs="Segoe UI"/>
          <w:i w:val="0"/>
          <w:iCs w:val="0"/>
          <w:lang w:val="fr-FR"/>
        </w:rPr>
        <w:t xml:space="preserve"> Les valeurs des indicateurs correspondent à la moyenne générale et à l’écart interquartile des données communiquées chaque année par les Parties. </w:t>
      </w:r>
      <w:r w:rsidRPr="00653BF4">
        <w:rPr>
          <w:i w:val="0"/>
          <w:iCs w:val="0"/>
          <w:lang w:val="fr-FR"/>
        </w:rPr>
        <w:t>Le diagramme à barres de droite présente la répartition, par région, des Parties ayant communiqué des données.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 </w:t>
      </w:r>
      <w:r w:rsidRPr="00653BF4">
        <w:rPr>
          <w:rStyle w:val="normaltextrun"/>
          <w:rFonts w:cs="Arial"/>
          <w:i w:val="0"/>
          <w:iCs w:val="0"/>
          <w:lang w:val="fr-FR"/>
        </w:rPr>
        <w:t>Le diagramme circulaire représente la proportion de la superficie forestière totale de l</w:t>
      </w:r>
      <w:r w:rsidR="00D77549">
        <w:rPr>
          <w:rStyle w:val="normaltextrun"/>
          <w:rFonts w:cs="Arial"/>
          <w:i w:val="0"/>
          <w:iCs w:val="0"/>
          <w:lang w:val="fr-FR"/>
        </w:rPr>
        <w:t>’</w:t>
      </w:r>
      <w:r w:rsidRPr="00653BF4">
        <w:rPr>
          <w:rStyle w:val="normaltextrun"/>
          <w:rFonts w:cs="Arial"/>
          <w:i w:val="0"/>
          <w:iCs w:val="0"/>
          <w:lang w:val="fr-FR"/>
        </w:rPr>
        <w:t>ensemble des Parties correspondant aux Parties ayant communiqué des données pour cet indicateur.</w:t>
      </w:r>
      <w:r w:rsidRPr="00653BF4">
        <w:rPr>
          <w:rStyle w:val="eop"/>
          <w:rFonts w:cs="Segoe UI"/>
          <w:i w:val="0"/>
          <w:iCs w:val="0"/>
          <w:lang w:val="fr-FR"/>
        </w:rPr>
        <w:t> </w:t>
      </w:r>
    </w:p>
    <w:tbl>
      <w:tblPr>
        <w:tblStyle w:val="TableGrid"/>
        <w:tblW w:w="9463" w:type="dxa"/>
        <w:tblLook w:val="04A0" w:firstRow="1" w:lastRow="0" w:firstColumn="1" w:lastColumn="0" w:noHBand="0" w:noVBand="1"/>
      </w:tblPr>
      <w:tblGrid>
        <w:gridCol w:w="4188"/>
        <w:gridCol w:w="5275"/>
      </w:tblGrid>
      <w:tr w:rsidR="00735F5E" w:rsidRPr="00BE23C0" w14:paraId="06548797" w14:textId="77777777" w:rsidTr="009B4355">
        <w:tc>
          <w:tcPr>
            <w:tcW w:w="9463" w:type="dxa"/>
            <w:gridSpan w:val="2"/>
          </w:tcPr>
          <w:p w14:paraId="02B574F5" w14:textId="360CF91D" w:rsidR="00735F5E" w:rsidRPr="00BE23C0" w:rsidRDefault="00B87039" w:rsidP="009B4355">
            <w:pPr>
              <w:rPr>
                <w:rFonts w:ascii="Aptos" w:hAnsi="Aptos"/>
                <w:lang w:val="fr-FR"/>
              </w:rPr>
            </w:pPr>
            <w:r w:rsidRPr="00653BF4">
              <w:rPr>
                <w:rStyle w:val="eop"/>
                <w:rFonts w:cs="Segoe UI"/>
                <w:lang w:val="fr-FR"/>
              </w:rPr>
              <w:t> </w:t>
            </w:r>
            <w:r w:rsidR="00735F5E">
              <w:rPr>
                <w:rFonts w:ascii="Aptos" w:hAnsi="Aptos"/>
                <w:lang w:val="fr-FR"/>
              </w:rPr>
              <w:t>Figure 42</w:t>
            </w:r>
          </w:p>
        </w:tc>
      </w:tr>
      <w:tr w:rsidR="00735F5E" w:rsidRPr="00BE23C0" w14:paraId="0C8A65C9" w14:textId="77777777" w:rsidTr="009B4355">
        <w:tc>
          <w:tcPr>
            <w:tcW w:w="4188" w:type="dxa"/>
          </w:tcPr>
          <w:p w14:paraId="73E26241" w14:textId="77777777" w:rsidR="00735F5E" w:rsidRPr="00BE23C0" w:rsidRDefault="00735F5E" w:rsidP="009B4355">
            <w:pPr>
              <w:rPr>
                <w:rFonts w:ascii="Aptos" w:hAnsi="Aptos"/>
                <w:lang w:val="fr-FR"/>
              </w:rPr>
            </w:pPr>
            <w:r w:rsidRPr="00BE23C0">
              <w:rPr>
                <w:rFonts w:ascii="Aptos" w:hAnsi="Aptos"/>
                <w:lang w:val="fr-FR"/>
              </w:rPr>
              <w:t xml:space="preserve">English </w:t>
            </w:r>
          </w:p>
        </w:tc>
        <w:tc>
          <w:tcPr>
            <w:tcW w:w="5275" w:type="dxa"/>
          </w:tcPr>
          <w:p w14:paraId="4EE04380" w14:textId="77777777" w:rsidR="00735F5E" w:rsidRPr="00BE23C0" w:rsidRDefault="00735F5E" w:rsidP="009B4355">
            <w:pPr>
              <w:rPr>
                <w:rFonts w:ascii="Aptos" w:hAnsi="Aptos"/>
                <w:lang w:val="fr-FR"/>
              </w:rPr>
            </w:pPr>
            <w:r>
              <w:rPr>
                <w:rFonts w:ascii="Aptos" w:hAnsi="Aptos"/>
                <w:lang w:val="fr-FR"/>
              </w:rPr>
              <w:t>Français</w:t>
            </w:r>
          </w:p>
        </w:tc>
      </w:tr>
      <w:tr w:rsidR="00735F5E" w:rsidRPr="006F7AF8" w14:paraId="73B501BC" w14:textId="77777777" w:rsidTr="009B4355">
        <w:tc>
          <w:tcPr>
            <w:tcW w:w="4188" w:type="dxa"/>
          </w:tcPr>
          <w:p w14:paraId="346F9328" w14:textId="77777777" w:rsidR="00735F5E" w:rsidRPr="006F7AF8" w:rsidRDefault="00735F5E" w:rsidP="009B4355">
            <w:pPr>
              <w:rPr>
                <w:rFonts w:ascii="Aptos" w:hAnsi="Aptos"/>
                <w:lang w:val="fr-FR"/>
              </w:rPr>
            </w:pPr>
            <w:r w:rsidRPr="006F7AF8">
              <w:rPr>
                <w:rFonts w:ascii="Aptos" w:hAnsi="Aptos"/>
                <w:lang w:val="fr-FR"/>
              </w:rPr>
              <w:t xml:space="preserve"> Forest area change (%)</w:t>
            </w:r>
          </w:p>
        </w:tc>
        <w:tc>
          <w:tcPr>
            <w:tcW w:w="5275" w:type="dxa"/>
          </w:tcPr>
          <w:p w14:paraId="376D35C8" w14:textId="77777777" w:rsidR="00735F5E" w:rsidRPr="006F7AF8" w:rsidRDefault="00735F5E" w:rsidP="009B4355">
            <w:pPr>
              <w:rPr>
                <w:rFonts w:ascii="Aptos" w:hAnsi="Aptos"/>
                <w:lang w:val="fr-FR"/>
              </w:rPr>
            </w:pPr>
            <w:r w:rsidRPr="006F7AF8">
              <w:rPr>
                <w:rFonts w:ascii="Aptos" w:hAnsi="Aptos"/>
                <w:lang w:val="fr-FR"/>
              </w:rPr>
              <w:t>Modification des superficies forestières (pourcentage)</w:t>
            </w:r>
          </w:p>
        </w:tc>
      </w:tr>
      <w:tr w:rsidR="00735F5E" w:rsidRPr="006F7AF8" w14:paraId="07FB74E7" w14:textId="77777777" w:rsidTr="009B4355">
        <w:tc>
          <w:tcPr>
            <w:tcW w:w="4188" w:type="dxa"/>
          </w:tcPr>
          <w:p w14:paraId="02107F77" w14:textId="77777777" w:rsidR="00735F5E" w:rsidRPr="006F7AF8" w:rsidRDefault="00735F5E" w:rsidP="009B4355">
            <w:pPr>
              <w:rPr>
                <w:rFonts w:ascii="Aptos" w:hAnsi="Aptos"/>
                <w:lang w:val="fr-FR"/>
              </w:rPr>
            </w:pPr>
            <w:r w:rsidRPr="006F7AF8">
              <w:rPr>
                <w:rFonts w:ascii="Aptos" w:hAnsi="Aptos"/>
                <w:lang w:val="fr-FR"/>
              </w:rPr>
              <w:t>Year</w:t>
            </w:r>
          </w:p>
        </w:tc>
        <w:tc>
          <w:tcPr>
            <w:tcW w:w="5275" w:type="dxa"/>
          </w:tcPr>
          <w:p w14:paraId="4DF69693" w14:textId="77777777" w:rsidR="00735F5E" w:rsidRPr="006F7AF8" w:rsidRDefault="00735F5E" w:rsidP="009B4355">
            <w:pPr>
              <w:rPr>
                <w:rFonts w:ascii="Aptos" w:hAnsi="Aptos"/>
                <w:lang w:val="fr-FR"/>
              </w:rPr>
            </w:pPr>
            <w:r w:rsidRPr="006F7AF8">
              <w:rPr>
                <w:rFonts w:ascii="Aptos" w:hAnsi="Aptos"/>
                <w:lang w:val="fr-FR"/>
              </w:rPr>
              <w:t>Année</w:t>
            </w:r>
          </w:p>
        </w:tc>
      </w:tr>
      <w:tr w:rsidR="00735F5E" w:rsidRPr="006F7AF8" w14:paraId="40300ED8" w14:textId="77777777" w:rsidTr="009B4355">
        <w:tc>
          <w:tcPr>
            <w:tcW w:w="4188" w:type="dxa"/>
          </w:tcPr>
          <w:p w14:paraId="54C070D2" w14:textId="77777777" w:rsidR="00735F5E" w:rsidRPr="006F7AF8" w:rsidRDefault="00735F5E" w:rsidP="009B4355">
            <w:pPr>
              <w:rPr>
                <w:rFonts w:ascii="Aptos" w:hAnsi="Aptos"/>
                <w:lang w:val="fr-FR"/>
              </w:rPr>
            </w:pPr>
            <w:r w:rsidRPr="006F7AF8">
              <w:rPr>
                <w:rFonts w:ascii="Aptos" w:hAnsi="Aptos"/>
                <w:lang w:val="fr-FR"/>
              </w:rPr>
              <w:t>Party count: 23</w:t>
            </w:r>
          </w:p>
        </w:tc>
        <w:tc>
          <w:tcPr>
            <w:tcW w:w="5275" w:type="dxa"/>
          </w:tcPr>
          <w:p w14:paraId="75B51D40" w14:textId="77777777" w:rsidR="00735F5E" w:rsidRPr="006F7AF8" w:rsidRDefault="00735F5E" w:rsidP="009B4355">
            <w:pPr>
              <w:rPr>
                <w:rFonts w:ascii="Aptos" w:hAnsi="Aptos"/>
                <w:lang w:val="fr-FR"/>
              </w:rPr>
            </w:pPr>
            <w:r w:rsidRPr="006F7AF8">
              <w:rPr>
                <w:rFonts w:ascii="Aptos" w:hAnsi="Aptos"/>
                <w:lang w:val="fr-FR"/>
              </w:rPr>
              <w:t>Nombre de Parties : 23</w:t>
            </w:r>
          </w:p>
        </w:tc>
      </w:tr>
      <w:tr w:rsidR="00735F5E" w:rsidRPr="006F7AF8" w14:paraId="5906DE37" w14:textId="77777777" w:rsidTr="009B4355">
        <w:tc>
          <w:tcPr>
            <w:tcW w:w="4188" w:type="dxa"/>
          </w:tcPr>
          <w:p w14:paraId="0EB65235" w14:textId="77777777" w:rsidR="00735F5E" w:rsidRPr="006F7AF8" w:rsidRDefault="00735F5E" w:rsidP="009B4355">
            <w:pPr>
              <w:rPr>
                <w:rFonts w:ascii="Aptos" w:hAnsi="Aptos"/>
                <w:lang w:val="fr-FR"/>
              </w:rPr>
            </w:pPr>
            <w:r w:rsidRPr="006F7AF8">
              <w:rPr>
                <w:rFonts w:ascii="Aptos" w:hAnsi="Aptos"/>
                <w:lang w:val="fr-FR"/>
              </w:rPr>
              <w:t>Share of forest area</w:t>
            </w:r>
          </w:p>
        </w:tc>
        <w:tc>
          <w:tcPr>
            <w:tcW w:w="5275" w:type="dxa"/>
          </w:tcPr>
          <w:p w14:paraId="037C77A6" w14:textId="77777777" w:rsidR="00735F5E" w:rsidRPr="006F7AF8" w:rsidRDefault="00735F5E" w:rsidP="009B4355">
            <w:pPr>
              <w:rPr>
                <w:rFonts w:ascii="Aptos" w:hAnsi="Aptos"/>
                <w:lang w:val="fr-FR"/>
              </w:rPr>
            </w:pPr>
            <w:r w:rsidRPr="006F7AF8">
              <w:rPr>
                <w:rFonts w:ascii="Aptos" w:hAnsi="Aptos"/>
                <w:lang w:val="fr-FR"/>
              </w:rPr>
              <w:t>Part de la superficie forestière</w:t>
            </w:r>
          </w:p>
        </w:tc>
      </w:tr>
      <w:tr w:rsidR="00735F5E" w:rsidRPr="006F7AF8" w14:paraId="5B1C0F5A" w14:textId="77777777" w:rsidTr="009B4355">
        <w:tc>
          <w:tcPr>
            <w:tcW w:w="4188" w:type="dxa"/>
          </w:tcPr>
          <w:p w14:paraId="7787C5AF" w14:textId="77777777" w:rsidR="00735F5E" w:rsidRPr="006F7AF8" w:rsidRDefault="00735F5E" w:rsidP="009B4355">
            <w:pPr>
              <w:rPr>
                <w:rFonts w:ascii="Aptos" w:hAnsi="Aptos"/>
                <w:lang w:val="fr-FR"/>
              </w:rPr>
            </w:pPr>
            <w:r w:rsidRPr="006F7AF8">
              <w:rPr>
                <w:rFonts w:ascii="Aptos" w:hAnsi="Aptos"/>
                <w:lang w:val="fr-FR"/>
              </w:rPr>
              <w:lastRenderedPageBreak/>
              <w:t>Party count by region</w:t>
            </w:r>
          </w:p>
        </w:tc>
        <w:tc>
          <w:tcPr>
            <w:tcW w:w="5275" w:type="dxa"/>
          </w:tcPr>
          <w:p w14:paraId="2EB7C562" w14:textId="77777777" w:rsidR="00735F5E" w:rsidRPr="006F7AF8" w:rsidRDefault="00735F5E" w:rsidP="009B4355">
            <w:pPr>
              <w:rPr>
                <w:rFonts w:ascii="Aptos" w:hAnsi="Aptos"/>
                <w:lang w:val="fr-FR"/>
              </w:rPr>
            </w:pPr>
            <w:r w:rsidRPr="006F7AF8">
              <w:rPr>
                <w:rFonts w:ascii="Aptos" w:hAnsi="Aptos"/>
                <w:lang w:val="fr-FR"/>
              </w:rPr>
              <w:t>Nombre de Parties par région</w:t>
            </w:r>
          </w:p>
        </w:tc>
      </w:tr>
      <w:tr w:rsidR="00735F5E" w:rsidRPr="006F7AF8" w14:paraId="4166A9CC" w14:textId="77777777" w:rsidTr="009B4355">
        <w:tc>
          <w:tcPr>
            <w:tcW w:w="4188" w:type="dxa"/>
          </w:tcPr>
          <w:p w14:paraId="5E85C5DC" w14:textId="77777777" w:rsidR="00735F5E" w:rsidRPr="006F7AF8" w:rsidRDefault="00735F5E" w:rsidP="009B4355">
            <w:pPr>
              <w:rPr>
                <w:rFonts w:ascii="Aptos" w:hAnsi="Aptos"/>
                <w:lang w:val="fr-FR"/>
              </w:rPr>
            </w:pPr>
            <w:r w:rsidRPr="006F7AF8">
              <w:rPr>
                <w:rFonts w:ascii="Aptos" w:hAnsi="Aptos"/>
                <w:lang w:val="fr-FR"/>
              </w:rPr>
              <w:t>Region</w:t>
            </w:r>
          </w:p>
        </w:tc>
        <w:tc>
          <w:tcPr>
            <w:tcW w:w="5275" w:type="dxa"/>
          </w:tcPr>
          <w:p w14:paraId="4D0484C7"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07C3566D" w14:textId="77777777" w:rsidTr="009B4355">
        <w:tc>
          <w:tcPr>
            <w:tcW w:w="4188" w:type="dxa"/>
          </w:tcPr>
          <w:p w14:paraId="1A8CD958" w14:textId="77777777" w:rsidR="00735F5E" w:rsidRPr="006F7AF8" w:rsidRDefault="00735F5E" w:rsidP="009B4355">
            <w:pPr>
              <w:rPr>
                <w:rFonts w:ascii="Aptos" w:hAnsi="Aptos"/>
                <w:lang w:val="fr-FR"/>
              </w:rPr>
            </w:pPr>
            <w:r w:rsidRPr="006F7AF8">
              <w:rPr>
                <w:rFonts w:ascii="Aptos" w:hAnsi="Aptos"/>
                <w:lang w:val="fr-FR"/>
              </w:rPr>
              <w:t>African States</w:t>
            </w:r>
          </w:p>
        </w:tc>
        <w:tc>
          <w:tcPr>
            <w:tcW w:w="5275" w:type="dxa"/>
          </w:tcPr>
          <w:p w14:paraId="287ABD77"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40131F91" w14:textId="77777777" w:rsidTr="009B4355">
        <w:tc>
          <w:tcPr>
            <w:tcW w:w="4188" w:type="dxa"/>
          </w:tcPr>
          <w:p w14:paraId="6BD73F0E"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5275" w:type="dxa"/>
          </w:tcPr>
          <w:p w14:paraId="3B9AE36A"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2E530ECF" w14:textId="77777777" w:rsidTr="009B4355">
        <w:tc>
          <w:tcPr>
            <w:tcW w:w="4188" w:type="dxa"/>
          </w:tcPr>
          <w:p w14:paraId="38AED126"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5275" w:type="dxa"/>
          </w:tcPr>
          <w:p w14:paraId="259A5F9F"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33423329" w14:textId="77777777" w:rsidTr="009B4355">
        <w:tc>
          <w:tcPr>
            <w:tcW w:w="4188" w:type="dxa"/>
          </w:tcPr>
          <w:p w14:paraId="436BEFF1" w14:textId="77777777" w:rsidR="00735F5E" w:rsidRPr="006F7AF8" w:rsidRDefault="00735F5E" w:rsidP="009B4355">
            <w:pPr>
              <w:rPr>
                <w:rFonts w:ascii="Aptos" w:hAnsi="Aptos"/>
                <w:lang w:val="fr-FR"/>
              </w:rPr>
            </w:pPr>
            <w:r>
              <w:rPr>
                <w:rFonts w:ascii="Aptos" w:hAnsi="Aptos"/>
                <w:lang w:val="fr-FR"/>
              </w:rPr>
              <w:t>Eastern</w:t>
            </w:r>
            <w:r w:rsidRPr="006F7AF8">
              <w:rPr>
                <w:rFonts w:ascii="Aptos" w:hAnsi="Aptos"/>
                <w:lang w:val="fr-FR"/>
              </w:rPr>
              <w:t xml:space="preserve"> European States</w:t>
            </w:r>
          </w:p>
        </w:tc>
        <w:tc>
          <w:tcPr>
            <w:tcW w:w="5275" w:type="dxa"/>
          </w:tcPr>
          <w:p w14:paraId="1EE0DB1A"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6BE3619F" w14:textId="77777777" w:rsidTr="009B4355">
        <w:tc>
          <w:tcPr>
            <w:tcW w:w="4188" w:type="dxa"/>
          </w:tcPr>
          <w:p w14:paraId="0DB18703" w14:textId="77777777" w:rsidR="00735F5E" w:rsidRPr="006F7AF8" w:rsidRDefault="00735F5E" w:rsidP="009B4355">
            <w:pPr>
              <w:rPr>
                <w:rFonts w:ascii="Aptos" w:hAnsi="Aptos"/>
                <w:lang w:val="fr-FR"/>
              </w:rPr>
            </w:pPr>
            <w:r w:rsidRPr="006F7AF8">
              <w:rPr>
                <w:rFonts w:ascii="Aptos" w:hAnsi="Aptos"/>
                <w:lang w:val="fr-FR"/>
              </w:rPr>
              <w:t>Western European and Ooher States</w:t>
            </w:r>
          </w:p>
        </w:tc>
        <w:tc>
          <w:tcPr>
            <w:tcW w:w="5275" w:type="dxa"/>
          </w:tcPr>
          <w:p w14:paraId="6E952CC5"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35D993D2" w14:textId="2AC7F18D" w:rsidR="00B87039" w:rsidRPr="00653BF4" w:rsidRDefault="00B87039" w:rsidP="00B87039">
      <w:pPr>
        <w:pStyle w:val="paragraph"/>
        <w:spacing w:before="0" w:beforeAutospacing="0" w:after="0" w:afterAutospacing="0"/>
        <w:textAlignment w:val="baseline"/>
        <w:rPr>
          <w:rStyle w:val="eop"/>
          <w:rFonts w:cs="Segoe UI"/>
          <w:lang w:val="fr-FR"/>
        </w:rPr>
      </w:pPr>
    </w:p>
    <w:p w14:paraId="7708BBF9" w14:textId="77777777" w:rsidR="00B87039" w:rsidRPr="00653BF4" w:rsidRDefault="00B87039" w:rsidP="00B87039">
      <w:pPr>
        <w:pStyle w:val="paragraph"/>
        <w:spacing w:before="0" w:beforeAutospacing="0" w:after="0" w:afterAutospacing="0"/>
        <w:textAlignment w:val="baseline"/>
        <w:rPr>
          <w:rFonts w:asciiTheme="minorHAnsi" w:hAnsiTheme="minorHAnsi"/>
          <w:sz w:val="20"/>
          <w:szCs w:val="20"/>
          <w:lang w:val="fr-FR"/>
        </w:rPr>
      </w:pPr>
      <w:r w:rsidRPr="00653BF4">
        <w:rPr>
          <w:rFonts w:asciiTheme="minorHAnsi" w:hAnsiTheme="minorHAnsi"/>
          <w:sz w:val="20"/>
          <w:szCs w:val="20"/>
          <w:lang w:val="fr-FR"/>
        </w:rPr>
        <w:t>Figure 43</w:t>
      </w:r>
    </w:p>
    <w:p w14:paraId="252033BF" w14:textId="3765DF89" w:rsidR="00B87039" w:rsidRDefault="00B87039" w:rsidP="00B87039">
      <w:pPr>
        <w:pStyle w:val="paragraph"/>
        <w:spacing w:before="0" w:beforeAutospacing="0" w:after="0" w:afterAutospacing="0"/>
        <w:textAlignment w:val="baseline"/>
        <w:rPr>
          <w:rFonts w:asciiTheme="minorHAnsi" w:eastAsiaTheme="minorEastAsia" w:hAnsiTheme="minorHAnsi" w:cstheme="minorBidi"/>
          <w:b/>
          <w:bCs/>
          <w:color w:val="0E2841" w:themeColor="text2"/>
          <w:sz w:val="20"/>
          <w:szCs w:val="20"/>
          <w:lang w:val="fr-FR"/>
        </w:rPr>
      </w:pPr>
      <w:r w:rsidRPr="00653BF4">
        <w:rPr>
          <w:rFonts w:asciiTheme="minorHAnsi" w:eastAsiaTheme="minorEastAsia" w:hAnsiTheme="minorHAnsi" w:cstheme="minorBidi"/>
          <w:b/>
          <w:bCs/>
          <w:color w:val="0E2841" w:themeColor="text2"/>
          <w:sz w:val="20"/>
          <w:szCs w:val="20"/>
          <w:lang w:val="fr-FR"/>
        </w:rPr>
        <w:t>Indicateur phare 10.2</w:t>
      </w:r>
      <w:r w:rsidR="00E34DC9">
        <w:rPr>
          <w:rFonts w:asciiTheme="minorHAnsi" w:eastAsiaTheme="minorEastAsia" w:hAnsiTheme="minorHAnsi" w:cstheme="minorBidi"/>
          <w:b/>
          <w:bCs/>
          <w:color w:val="0E2841" w:themeColor="text2"/>
          <w:sz w:val="20"/>
          <w:szCs w:val="20"/>
          <w:lang w:val="fr-FR"/>
        </w:rPr>
        <w:t> :</w:t>
      </w:r>
      <w:r w:rsidRPr="00653BF4">
        <w:rPr>
          <w:rFonts w:asciiTheme="minorHAnsi" w:eastAsiaTheme="minorEastAsia" w:hAnsiTheme="minorHAnsi" w:cstheme="minorBidi"/>
          <w:b/>
          <w:bCs/>
          <w:color w:val="0E2841" w:themeColor="text2"/>
          <w:sz w:val="20"/>
          <w:szCs w:val="20"/>
          <w:lang w:val="fr-FR"/>
        </w:rPr>
        <w:t xml:space="preserve"> progrès accomplis dans la gestion durable des forêts, sous-indicateur b – biomasse aérienne des forêts</w:t>
      </w:r>
    </w:p>
    <w:p w14:paraId="12CBD970" w14:textId="77777777" w:rsidR="003A26CB" w:rsidRPr="00653BF4" w:rsidRDefault="003A26CB" w:rsidP="00B87039">
      <w:pPr>
        <w:pStyle w:val="paragraph"/>
        <w:spacing w:before="0" w:beforeAutospacing="0" w:after="0" w:afterAutospacing="0"/>
        <w:textAlignment w:val="baseline"/>
        <w:rPr>
          <w:rFonts w:asciiTheme="minorHAnsi" w:eastAsiaTheme="minorEastAsia" w:hAnsiTheme="minorHAnsi" w:cstheme="minorBidi"/>
          <w:b/>
          <w:bCs/>
          <w:color w:val="0E2841" w:themeColor="text2"/>
          <w:sz w:val="20"/>
          <w:szCs w:val="20"/>
          <w:lang w:val="fr-FR" w:eastAsia="ja-JP"/>
        </w:rPr>
      </w:pPr>
    </w:p>
    <w:p w14:paraId="198188F4" w14:textId="77777777" w:rsidR="00B87039" w:rsidRPr="00653BF4" w:rsidRDefault="00B87039" w:rsidP="00B87039">
      <w:pPr>
        <w:pStyle w:val="Caption"/>
        <w:rPr>
          <w:lang w:val="fr-FR"/>
        </w:rPr>
      </w:pPr>
      <w:r w:rsidRPr="00653BF4">
        <w:rPr>
          <w:rFonts w:cs="Segoe UI"/>
          <w:noProof/>
          <w:lang w:val="fr-FR"/>
          <w14:ligatures w14:val="standardContextual"/>
        </w:rPr>
        <w:drawing>
          <wp:inline distT="0" distB="0" distL="0" distR="0" wp14:anchorId="352800D6" wp14:editId="5AB4D540">
            <wp:extent cx="5731510" cy="4298950"/>
            <wp:effectExtent l="0" t="0" r="0" b="6350"/>
            <wp:docPr id="1290393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9385" name="Picture 129039385"/>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196FB1AA" w14:textId="0E9CCA5A" w:rsidR="00B87039" w:rsidRPr="00653BF4" w:rsidRDefault="00B87039" w:rsidP="00B87039">
      <w:pPr>
        <w:pStyle w:val="paragraph"/>
        <w:spacing w:before="0" w:beforeAutospacing="0" w:after="0" w:afterAutospacing="0"/>
        <w:textAlignment w:val="baseline"/>
        <w:rPr>
          <w:rStyle w:val="eop"/>
          <w:rFonts w:asciiTheme="minorHAnsi" w:hAnsiTheme="minorHAnsi" w:cs="Segoe UI"/>
          <w:sz w:val="18"/>
          <w:szCs w:val="18"/>
          <w:lang w:val="fr-FR"/>
        </w:rPr>
      </w:pPr>
      <w:r w:rsidRPr="00653BF4">
        <w:rPr>
          <w:rStyle w:val="normaltextrun"/>
          <w:rFonts w:asciiTheme="minorHAnsi" w:hAnsiTheme="minorHAnsi" w:cs="Segoe UI"/>
          <w:i/>
          <w:iCs/>
          <w:sz w:val="18"/>
          <w:szCs w:val="18"/>
          <w:lang w:val="fr-FR"/>
        </w:rPr>
        <w:t>Note</w:t>
      </w:r>
      <w:r w:rsidR="00E34DC9">
        <w:rPr>
          <w:rStyle w:val="normaltextrun"/>
          <w:rFonts w:asciiTheme="minorHAnsi" w:hAnsiTheme="minorHAnsi" w:cs="Segoe UI"/>
          <w:i/>
          <w:iCs/>
          <w:sz w:val="18"/>
          <w:szCs w:val="18"/>
          <w:lang w:val="fr-FR"/>
        </w:rPr>
        <w:t> :</w:t>
      </w:r>
      <w:r w:rsidRPr="00653BF4">
        <w:rPr>
          <w:rStyle w:val="normaltextrun"/>
          <w:rFonts w:asciiTheme="minorHAnsi" w:hAnsiTheme="minorHAnsi" w:cs="Segoe UI"/>
          <w:sz w:val="18"/>
          <w:szCs w:val="18"/>
          <w:lang w:val="fr-FR"/>
        </w:rPr>
        <w:t xml:space="preserve"> Les valeurs des indicateurs correspondent à la moyenne générale et à l’écart interquartile des données communiquées chaque année par les Parties. </w:t>
      </w:r>
      <w:r w:rsidRPr="00653BF4">
        <w:rPr>
          <w:rFonts w:asciiTheme="minorHAnsi" w:hAnsiTheme="minorHAnsi"/>
          <w:sz w:val="18"/>
          <w:szCs w:val="18"/>
          <w:lang w:val="fr-FR"/>
        </w:rPr>
        <w:t>Le diagramme à barres de droite présente la répartition, par région, des Parties ayant communiqué des données. La couleur de chaque région est indiquée dans la légende de la figure</w:t>
      </w:r>
      <w:r w:rsidR="00E34DC9">
        <w:rPr>
          <w:rFonts w:asciiTheme="minorHAnsi" w:hAnsiTheme="minorHAnsi"/>
          <w:sz w:val="18"/>
          <w:szCs w:val="18"/>
          <w:lang w:val="fr-FR"/>
        </w:rPr>
        <w:t> :</w:t>
      </w:r>
      <w:r w:rsidRPr="00653BF4">
        <w:rPr>
          <w:rFonts w:asciiTheme="minorHAnsi" w:hAnsiTheme="minorHAnsi"/>
          <w:sz w:val="18"/>
          <w:szCs w:val="18"/>
          <w:lang w:val="fr-FR"/>
        </w:rPr>
        <w:t xml:space="preserve"> les tons plus foncés représentent la proportion de Parties de chaque région dont les données figurent dans le graphique</w:t>
      </w:r>
      <w:r w:rsidR="00E34DC9">
        <w:rPr>
          <w:rFonts w:asciiTheme="minorHAnsi" w:hAnsiTheme="minorHAnsi"/>
          <w:sz w:val="18"/>
          <w:szCs w:val="18"/>
          <w:lang w:val="fr-FR"/>
        </w:rPr>
        <w:t> ;</w:t>
      </w:r>
      <w:r w:rsidRPr="00653BF4">
        <w:rPr>
          <w:rFonts w:asciiTheme="minorHAnsi" w:hAnsiTheme="minorHAnsi"/>
          <w:sz w:val="18"/>
          <w:szCs w:val="18"/>
          <w:lang w:val="fr-FR"/>
        </w:rPr>
        <w:t xml:space="preserve"> les tons plus clairs, la proportion de Parties de la même région dont les données n’y figurent pas. </w:t>
      </w:r>
      <w:r w:rsidRPr="00653BF4">
        <w:rPr>
          <w:rStyle w:val="normaltextrun"/>
          <w:rFonts w:asciiTheme="minorHAnsi" w:hAnsiTheme="minorHAnsi" w:cs="Arial"/>
          <w:sz w:val="18"/>
          <w:szCs w:val="18"/>
          <w:lang w:val="fr-FR"/>
        </w:rPr>
        <w:t>Le diagramme circulaire représente la proportion de la superficie forestière totale de l</w:t>
      </w:r>
      <w:r w:rsidR="00D77549">
        <w:rPr>
          <w:rStyle w:val="normaltextrun"/>
          <w:rFonts w:asciiTheme="minorHAnsi" w:hAnsiTheme="minorHAnsi" w:cs="Arial"/>
          <w:sz w:val="18"/>
          <w:szCs w:val="18"/>
          <w:lang w:val="fr-FR"/>
        </w:rPr>
        <w:t>’</w:t>
      </w:r>
      <w:r w:rsidRPr="00653BF4">
        <w:rPr>
          <w:rStyle w:val="normaltextrun"/>
          <w:rFonts w:asciiTheme="minorHAnsi" w:hAnsiTheme="minorHAnsi" w:cs="Arial"/>
          <w:sz w:val="18"/>
          <w:szCs w:val="18"/>
          <w:lang w:val="fr-FR"/>
        </w:rPr>
        <w:t>ensemble des Parties correspondant aux Parties ayant communiqué des données pour cet indicateur.</w:t>
      </w:r>
      <w:r w:rsidRPr="00653BF4">
        <w:rPr>
          <w:rStyle w:val="eop"/>
          <w:rFonts w:asciiTheme="minorHAnsi" w:hAnsiTheme="minorHAnsi" w:cs="Segoe UI"/>
          <w:sz w:val="18"/>
          <w:szCs w:val="18"/>
          <w:lang w:val="fr-FR"/>
        </w:rPr>
        <w:t> </w:t>
      </w:r>
    </w:p>
    <w:p w14:paraId="6CFF82FF" w14:textId="77777777" w:rsidR="00B87039" w:rsidRPr="00653BF4" w:rsidRDefault="00B87039" w:rsidP="00B87039">
      <w:pPr>
        <w:pStyle w:val="paragraph"/>
        <w:spacing w:before="0" w:beforeAutospacing="0" w:after="0" w:afterAutospacing="0"/>
        <w:textAlignment w:val="baseline"/>
        <w:rPr>
          <w:rStyle w:val="eop"/>
          <w:rFonts w:asciiTheme="minorHAnsi" w:hAnsiTheme="minorHAnsi" w:cs="Segoe UI"/>
          <w:sz w:val="18"/>
          <w:szCs w:val="18"/>
          <w:lang w:val="fr-FR"/>
        </w:rPr>
      </w:pPr>
    </w:p>
    <w:tbl>
      <w:tblPr>
        <w:tblStyle w:val="TableGrid"/>
        <w:tblW w:w="8861" w:type="dxa"/>
        <w:tblLook w:val="04A0" w:firstRow="1" w:lastRow="0" w:firstColumn="1" w:lastColumn="0" w:noHBand="0" w:noVBand="1"/>
      </w:tblPr>
      <w:tblGrid>
        <w:gridCol w:w="4188"/>
        <w:gridCol w:w="4673"/>
      </w:tblGrid>
      <w:tr w:rsidR="00735F5E" w:rsidRPr="006F7AF8" w14:paraId="46D0CB80" w14:textId="77777777" w:rsidTr="009B4355">
        <w:tc>
          <w:tcPr>
            <w:tcW w:w="8861" w:type="dxa"/>
            <w:gridSpan w:val="2"/>
          </w:tcPr>
          <w:p w14:paraId="07B1B09A" w14:textId="77777777" w:rsidR="00735F5E" w:rsidRPr="006F7AF8" w:rsidRDefault="00735F5E" w:rsidP="009B4355">
            <w:pPr>
              <w:rPr>
                <w:rFonts w:ascii="Aptos" w:hAnsi="Aptos"/>
                <w:lang w:val="fr-FR"/>
              </w:rPr>
            </w:pPr>
            <w:r>
              <w:rPr>
                <w:rFonts w:ascii="Aptos" w:hAnsi="Aptos"/>
                <w:lang w:val="fr-FR"/>
              </w:rPr>
              <w:t>Figure 43</w:t>
            </w:r>
          </w:p>
        </w:tc>
      </w:tr>
      <w:tr w:rsidR="00735F5E" w:rsidRPr="003A26CB" w14:paraId="7975270C" w14:textId="77777777" w:rsidTr="009B4355">
        <w:tc>
          <w:tcPr>
            <w:tcW w:w="4188" w:type="dxa"/>
          </w:tcPr>
          <w:p w14:paraId="531BD93F" w14:textId="77777777" w:rsidR="00735F5E" w:rsidRPr="003A26CB" w:rsidRDefault="00735F5E" w:rsidP="009B4355">
            <w:pPr>
              <w:rPr>
                <w:rFonts w:ascii="Aptos" w:hAnsi="Aptos"/>
                <w:lang w:val="fr-FR"/>
              </w:rPr>
            </w:pPr>
            <w:r w:rsidRPr="003A26CB">
              <w:rPr>
                <w:rFonts w:ascii="Aptos" w:hAnsi="Aptos"/>
                <w:lang w:val="fr-FR"/>
              </w:rPr>
              <w:t xml:space="preserve">English </w:t>
            </w:r>
          </w:p>
        </w:tc>
        <w:tc>
          <w:tcPr>
            <w:tcW w:w="4673" w:type="dxa"/>
          </w:tcPr>
          <w:p w14:paraId="6E6A275E" w14:textId="77777777" w:rsidR="00735F5E" w:rsidRPr="003A26CB" w:rsidRDefault="00735F5E" w:rsidP="009B4355">
            <w:pPr>
              <w:rPr>
                <w:rFonts w:ascii="Aptos" w:hAnsi="Aptos"/>
                <w:lang w:val="fr-FR"/>
              </w:rPr>
            </w:pPr>
            <w:r>
              <w:rPr>
                <w:rFonts w:ascii="Aptos" w:hAnsi="Aptos"/>
                <w:lang w:val="fr-FR"/>
              </w:rPr>
              <w:t>Français</w:t>
            </w:r>
          </w:p>
        </w:tc>
      </w:tr>
      <w:tr w:rsidR="00735F5E" w:rsidRPr="006F7AF8" w14:paraId="6014BB0E" w14:textId="77777777" w:rsidTr="009B4355">
        <w:tc>
          <w:tcPr>
            <w:tcW w:w="4188" w:type="dxa"/>
          </w:tcPr>
          <w:p w14:paraId="1E67F8C3" w14:textId="77777777" w:rsidR="00735F5E" w:rsidRPr="006F7AF8" w:rsidRDefault="00735F5E" w:rsidP="009B4355">
            <w:pPr>
              <w:rPr>
                <w:rFonts w:ascii="Aptos" w:hAnsi="Aptos"/>
                <w:lang w:val="fr-FR"/>
              </w:rPr>
            </w:pPr>
            <w:r w:rsidRPr="006F7AF8">
              <w:rPr>
                <w:rFonts w:ascii="Aptos" w:hAnsi="Aptos"/>
                <w:lang w:val="fr-FR"/>
              </w:rPr>
              <w:lastRenderedPageBreak/>
              <w:t>Above-ground biomass (tonnes/ha)</w:t>
            </w:r>
          </w:p>
        </w:tc>
        <w:tc>
          <w:tcPr>
            <w:tcW w:w="4673" w:type="dxa"/>
          </w:tcPr>
          <w:p w14:paraId="15BF1EFE" w14:textId="77777777" w:rsidR="00735F5E" w:rsidRPr="006F7AF8" w:rsidRDefault="00735F5E" w:rsidP="009B4355">
            <w:pPr>
              <w:rPr>
                <w:rFonts w:ascii="Aptos" w:hAnsi="Aptos"/>
                <w:lang w:val="fr-FR"/>
              </w:rPr>
            </w:pPr>
            <w:r w:rsidRPr="006F7AF8">
              <w:rPr>
                <w:rFonts w:ascii="Aptos" w:hAnsi="Aptos"/>
                <w:lang w:val="fr-FR"/>
              </w:rPr>
              <w:t>Biomasse aérienne (en tonnes/ha)</w:t>
            </w:r>
          </w:p>
        </w:tc>
      </w:tr>
      <w:tr w:rsidR="00735F5E" w:rsidRPr="006F7AF8" w14:paraId="3E4EEB31" w14:textId="77777777" w:rsidTr="009B4355">
        <w:tc>
          <w:tcPr>
            <w:tcW w:w="4188" w:type="dxa"/>
          </w:tcPr>
          <w:p w14:paraId="1658FE8D" w14:textId="77777777" w:rsidR="00735F5E" w:rsidRPr="006F7AF8" w:rsidRDefault="00735F5E" w:rsidP="009B4355">
            <w:pPr>
              <w:rPr>
                <w:rFonts w:ascii="Aptos" w:hAnsi="Aptos"/>
                <w:lang w:val="fr-FR"/>
              </w:rPr>
            </w:pPr>
            <w:r w:rsidRPr="006F7AF8">
              <w:rPr>
                <w:rFonts w:ascii="Aptos" w:hAnsi="Aptos"/>
                <w:lang w:val="fr-FR"/>
              </w:rPr>
              <w:t>Year</w:t>
            </w:r>
          </w:p>
        </w:tc>
        <w:tc>
          <w:tcPr>
            <w:tcW w:w="4673" w:type="dxa"/>
          </w:tcPr>
          <w:p w14:paraId="6F2A215D" w14:textId="77777777" w:rsidR="00735F5E" w:rsidRPr="006F7AF8" w:rsidRDefault="00735F5E" w:rsidP="009B4355">
            <w:pPr>
              <w:rPr>
                <w:rFonts w:ascii="Aptos" w:hAnsi="Aptos"/>
                <w:lang w:val="fr-FR"/>
              </w:rPr>
            </w:pPr>
            <w:r w:rsidRPr="006F7AF8">
              <w:rPr>
                <w:rFonts w:ascii="Aptos" w:hAnsi="Aptos"/>
                <w:lang w:val="fr-FR"/>
              </w:rPr>
              <w:t>Année</w:t>
            </w:r>
          </w:p>
        </w:tc>
      </w:tr>
      <w:tr w:rsidR="00735F5E" w:rsidRPr="006F7AF8" w14:paraId="068369B8" w14:textId="77777777" w:rsidTr="009B4355">
        <w:tc>
          <w:tcPr>
            <w:tcW w:w="4188" w:type="dxa"/>
          </w:tcPr>
          <w:p w14:paraId="74A17AC2" w14:textId="77777777" w:rsidR="00735F5E" w:rsidRPr="006F7AF8" w:rsidRDefault="00735F5E" w:rsidP="009B4355">
            <w:pPr>
              <w:rPr>
                <w:rFonts w:ascii="Aptos" w:hAnsi="Aptos"/>
                <w:lang w:val="fr-FR"/>
              </w:rPr>
            </w:pPr>
            <w:r w:rsidRPr="006F7AF8">
              <w:rPr>
                <w:rFonts w:ascii="Aptos" w:hAnsi="Aptos"/>
                <w:lang w:val="fr-FR"/>
              </w:rPr>
              <w:t>Party count: 27</w:t>
            </w:r>
          </w:p>
        </w:tc>
        <w:tc>
          <w:tcPr>
            <w:tcW w:w="4673" w:type="dxa"/>
          </w:tcPr>
          <w:p w14:paraId="71EF5B03" w14:textId="77777777" w:rsidR="00735F5E" w:rsidRPr="006F7AF8" w:rsidRDefault="00735F5E" w:rsidP="009B4355">
            <w:pPr>
              <w:rPr>
                <w:rFonts w:ascii="Aptos" w:hAnsi="Aptos"/>
                <w:lang w:val="fr-FR"/>
              </w:rPr>
            </w:pPr>
            <w:r w:rsidRPr="006F7AF8">
              <w:rPr>
                <w:rFonts w:ascii="Aptos" w:hAnsi="Aptos"/>
                <w:lang w:val="fr-FR"/>
              </w:rPr>
              <w:t>Nombre de Parties : 27</w:t>
            </w:r>
          </w:p>
        </w:tc>
      </w:tr>
      <w:tr w:rsidR="00735F5E" w:rsidRPr="006F7AF8" w14:paraId="50DA0699" w14:textId="77777777" w:rsidTr="009B4355">
        <w:tc>
          <w:tcPr>
            <w:tcW w:w="4188" w:type="dxa"/>
          </w:tcPr>
          <w:p w14:paraId="7A7B7369" w14:textId="77777777" w:rsidR="00735F5E" w:rsidRPr="006F7AF8" w:rsidRDefault="00735F5E" w:rsidP="009B4355">
            <w:pPr>
              <w:rPr>
                <w:rFonts w:ascii="Aptos" w:hAnsi="Aptos"/>
                <w:lang w:val="fr-FR"/>
              </w:rPr>
            </w:pPr>
            <w:r w:rsidRPr="006F7AF8">
              <w:rPr>
                <w:rFonts w:ascii="Aptos" w:hAnsi="Aptos"/>
                <w:lang w:val="fr-FR"/>
              </w:rPr>
              <w:t>Share of forest area</w:t>
            </w:r>
          </w:p>
        </w:tc>
        <w:tc>
          <w:tcPr>
            <w:tcW w:w="4673" w:type="dxa"/>
          </w:tcPr>
          <w:p w14:paraId="6D076C7E" w14:textId="77777777" w:rsidR="00735F5E" w:rsidRPr="006F7AF8" w:rsidRDefault="00735F5E" w:rsidP="009B4355">
            <w:pPr>
              <w:rPr>
                <w:rFonts w:ascii="Aptos" w:hAnsi="Aptos"/>
                <w:lang w:val="fr-FR"/>
              </w:rPr>
            </w:pPr>
            <w:r w:rsidRPr="006F7AF8">
              <w:rPr>
                <w:rFonts w:ascii="Aptos" w:hAnsi="Aptos"/>
                <w:lang w:val="fr-FR"/>
              </w:rPr>
              <w:t>Part de la superficie forestière</w:t>
            </w:r>
          </w:p>
        </w:tc>
      </w:tr>
      <w:tr w:rsidR="00735F5E" w:rsidRPr="006F7AF8" w14:paraId="282DCC1D" w14:textId="77777777" w:rsidTr="009B4355">
        <w:tc>
          <w:tcPr>
            <w:tcW w:w="4188" w:type="dxa"/>
          </w:tcPr>
          <w:p w14:paraId="573BF9EA" w14:textId="77777777" w:rsidR="00735F5E" w:rsidRPr="006F7AF8" w:rsidRDefault="00735F5E" w:rsidP="009B4355">
            <w:pPr>
              <w:rPr>
                <w:rFonts w:ascii="Aptos" w:hAnsi="Aptos"/>
                <w:lang w:val="fr-FR"/>
              </w:rPr>
            </w:pPr>
            <w:r w:rsidRPr="006F7AF8">
              <w:rPr>
                <w:rFonts w:ascii="Aptos" w:hAnsi="Aptos"/>
                <w:lang w:val="fr-FR"/>
              </w:rPr>
              <w:t>Party count by region</w:t>
            </w:r>
          </w:p>
        </w:tc>
        <w:tc>
          <w:tcPr>
            <w:tcW w:w="4673" w:type="dxa"/>
          </w:tcPr>
          <w:p w14:paraId="32EF7A26" w14:textId="77777777" w:rsidR="00735F5E" w:rsidRPr="006F7AF8" w:rsidRDefault="00735F5E" w:rsidP="009B4355">
            <w:pPr>
              <w:rPr>
                <w:rFonts w:ascii="Aptos" w:hAnsi="Aptos"/>
                <w:lang w:val="fr-FR"/>
              </w:rPr>
            </w:pPr>
            <w:r w:rsidRPr="006F7AF8">
              <w:rPr>
                <w:rFonts w:ascii="Aptos" w:hAnsi="Aptos"/>
                <w:lang w:val="fr-FR"/>
              </w:rPr>
              <w:t>Nombre de Parties par région</w:t>
            </w:r>
          </w:p>
        </w:tc>
      </w:tr>
      <w:tr w:rsidR="00735F5E" w:rsidRPr="006F7AF8" w14:paraId="5B792873" w14:textId="77777777" w:rsidTr="009B4355">
        <w:tc>
          <w:tcPr>
            <w:tcW w:w="4188" w:type="dxa"/>
          </w:tcPr>
          <w:p w14:paraId="7FFC32DF" w14:textId="77777777" w:rsidR="00735F5E" w:rsidRPr="006F7AF8" w:rsidRDefault="00735F5E" w:rsidP="009B4355">
            <w:pPr>
              <w:rPr>
                <w:rFonts w:ascii="Aptos" w:hAnsi="Aptos"/>
                <w:lang w:val="fr-FR"/>
              </w:rPr>
            </w:pPr>
            <w:r w:rsidRPr="006F7AF8">
              <w:rPr>
                <w:rFonts w:ascii="Aptos" w:hAnsi="Aptos"/>
                <w:lang w:val="fr-FR"/>
              </w:rPr>
              <w:t>Region</w:t>
            </w:r>
          </w:p>
        </w:tc>
        <w:tc>
          <w:tcPr>
            <w:tcW w:w="4673" w:type="dxa"/>
          </w:tcPr>
          <w:p w14:paraId="09389A03"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0171696C" w14:textId="77777777" w:rsidTr="009B4355">
        <w:tc>
          <w:tcPr>
            <w:tcW w:w="4188" w:type="dxa"/>
          </w:tcPr>
          <w:p w14:paraId="5211A8EE" w14:textId="77777777" w:rsidR="00735F5E" w:rsidRPr="006F7AF8" w:rsidRDefault="00735F5E" w:rsidP="009B4355">
            <w:pPr>
              <w:rPr>
                <w:rFonts w:ascii="Aptos" w:hAnsi="Aptos"/>
                <w:lang w:val="fr-FR"/>
              </w:rPr>
            </w:pPr>
            <w:r w:rsidRPr="006F7AF8">
              <w:rPr>
                <w:rFonts w:ascii="Aptos" w:hAnsi="Aptos"/>
                <w:lang w:val="fr-FR"/>
              </w:rPr>
              <w:t>African States</w:t>
            </w:r>
          </w:p>
        </w:tc>
        <w:tc>
          <w:tcPr>
            <w:tcW w:w="4673" w:type="dxa"/>
          </w:tcPr>
          <w:p w14:paraId="0A8A948C"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3B206AB1" w14:textId="77777777" w:rsidTr="009B4355">
        <w:tc>
          <w:tcPr>
            <w:tcW w:w="4188" w:type="dxa"/>
          </w:tcPr>
          <w:p w14:paraId="76E60E4D"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673" w:type="dxa"/>
          </w:tcPr>
          <w:p w14:paraId="72BF9768"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1F046962" w14:textId="77777777" w:rsidTr="009B4355">
        <w:tc>
          <w:tcPr>
            <w:tcW w:w="4188" w:type="dxa"/>
          </w:tcPr>
          <w:p w14:paraId="65A9D028"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673" w:type="dxa"/>
          </w:tcPr>
          <w:p w14:paraId="3EA36FCA"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364E06CA" w14:textId="77777777" w:rsidTr="009B4355">
        <w:tc>
          <w:tcPr>
            <w:tcW w:w="4188" w:type="dxa"/>
          </w:tcPr>
          <w:p w14:paraId="074B95A5"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673" w:type="dxa"/>
          </w:tcPr>
          <w:p w14:paraId="79B88187"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34A9C15E" w14:textId="77777777" w:rsidTr="009B4355">
        <w:tc>
          <w:tcPr>
            <w:tcW w:w="4188" w:type="dxa"/>
          </w:tcPr>
          <w:p w14:paraId="6A6738D7"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673" w:type="dxa"/>
          </w:tcPr>
          <w:p w14:paraId="14FC788F"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21517257" w14:textId="77777777" w:rsidR="00B87039" w:rsidRPr="00653BF4" w:rsidRDefault="00B87039" w:rsidP="00B87039">
      <w:pPr>
        <w:pStyle w:val="paragraph"/>
        <w:spacing w:before="0" w:beforeAutospacing="0" w:after="0" w:afterAutospacing="0"/>
        <w:textAlignment w:val="baseline"/>
        <w:rPr>
          <w:rStyle w:val="eop"/>
          <w:rFonts w:asciiTheme="minorHAnsi" w:hAnsiTheme="minorHAnsi" w:cs="Segoe UI"/>
          <w:sz w:val="18"/>
          <w:szCs w:val="18"/>
          <w:lang w:val="fr-FR"/>
        </w:rPr>
      </w:pPr>
    </w:p>
    <w:p w14:paraId="4C9C3744" w14:textId="77777777" w:rsidR="00B87039" w:rsidRPr="00653BF4" w:rsidRDefault="00B87039" w:rsidP="00B87039">
      <w:pPr>
        <w:pStyle w:val="paragraph"/>
        <w:spacing w:before="0" w:beforeAutospacing="0" w:after="0" w:afterAutospacing="0"/>
        <w:textAlignment w:val="baseline"/>
        <w:rPr>
          <w:rFonts w:asciiTheme="minorHAnsi" w:hAnsiTheme="minorHAnsi" w:cs="Segoe UI"/>
          <w:sz w:val="18"/>
          <w:szCs w:val="18"/>
          <w:lang w:val="fr-FR"/>
        </w:rPr>
      </w:pPr>
    </w:p>
    <w:p w14:paraId="2001065E" w14:textId="77777777" w:rsidR="00B87039" w:rsidRPr="00653BF4" w:rsidRDefault="00B87039" w:rsidP="00B87039">
      <w:pPr>
        <w:pStyle w:val="paragraph"/>
        <w:spacing w:before="0" w:beforeAutospacing="0" w:after="0" w:afterAutospacing="0"/>
        <w:textAlignment w:val="baseline"/>
        <w:rPr>
          <w:rFonts w:asciiTheme="minorHAnsi" w:hAnsiTheme="minorHAnsi"/>
          <w:sz w:val="20"/>
          <w:szCs w:val="20"/>
          <w:lang w:val="fr-FR"/>
        </w:rPr>
      </w:pPr>
      <w:r w:rsidRPr="00653BF4">
        <w:rPr>
          <w:rFonts w:asciiTheme="minorHAnsi" w:hAnsiTheme="minorHAnsi"/>
          <w:sz w:val="20"/>
          <w:szCs w:val="20"/>
          <w:lang w:val="fr-FR"/>
        </w:rPr>
        <w:t>Figure 44</w:t>
      </w:r>
    </w:p>
    <w:p w14:paraId="625E15BE" w14:textId="37447F2A" w:rsidR="00B87039" w:rsidRPr="00653BF4" w:rsidRDefault="00B87039" w:rsidP="00B87039">
      <w:pPr>
        <w:pStyle w:val="paragraph"/>
        <w:spacing w:before="0" w:beforeAutospacing="0" w:after="0" w:afterAutospacing="0"/>
        <w:textAlignment w:val="baseline"/>
        <w:rPr>
          <w:rStyle w:val="normaltextrun"/>
          <w:rFonts w:eastAsiaTheme="minorEastAsia"/>
          <w:b/>
          <w:bCs/>
          <w:color w:val="0E2841" w:themeColor="text2"/>
          <w:sz w:val="20"/>
          <w:szCs w:val="20"/>
          <w:lang w:val="fr-FR" w:eastAsia="ja-JP"/>
        </w:rPr>
      </w:pPr>
      <w:r w:rsidRPr="00653BF4">
        <w:rPr>
          <w:rStyle w:val="normaltextrun"/>
          <w:rFonts w:eastAsiaTheme="minorEastAsia" w:cs="Segoe UI"/>
          <w:b/>
          <w:bCs/>
          <w:color w:val="0E2841" w:themeColor="text2"/>
          <w:sz w:val="20"/>
          <w:szCs w:val="20"/>
          <w:lang w:val="fr-FR"/>
        </w:rPr>
        <w:t>Indicateur phare 10.2</w:t>
      </w:r>
      <w:r w:rsidR="00E34DC9">
        <w:rPr>
          <w:rStyle w:val="normaltextrun"/>
          <w:rFonts w:eastAsiaTheme="minorEastAsia" w:cs="Segoe UI"/>
          <w:b/>
          <w:bCs/>
          <w:color w:val="0E2841" w:themeColor="text2"/>
          <w:sz w:val="20"/>
          <w:szCs w:val="20"/>
          <w:lang w:val="fr-FR"/>
        </w:rPr>
        <w:t> :</w:t>
      </w:r>
      <w:r w:rsidRPr="00653BF4">
        <w:rPr>
          <w:rStyle w:val="normaltextrun"/>
          <w:rFonts w:eastAsiaTheme="minorEastAsia" w:cs="Segoe UI"/>
          <w:b/>
          <w:bCs/>
          <w:color w:val="0E2841" w:themeColor="text2"/>
          <w:sz w:val="20"/>
          <w:szCs w:val="20"/>
          <w:lang w:val="fr-FR"/>
        </w:rPr>
        <w:t> progrès accomplis dans la gestion durable des forêts, sous-indicateur c – proportion de la superficie forestière située à l</w:t>
      </w:r>
      <w:r w:rsidR="00D77549">
        <w:rPr>
          <w:rStyle w:val="normaltextrun"/>
          <w:rFonts w:eastAsiaTheme="minorEastAsia" w:cs="Segoe UI"/>
          <w:b/>
          <w:bCs/>
          <w:color w:val="0E2841" w:themeColor="text2"/>
          <w:sz w:val="20"/>
          <w:szCs w:val="20"/>
          <w:lang w:val="fr-FR"/>
        </w:rPr>
        <w:t>’</w:t>
      </w:r>
      <w:r w:rsidRPr="00653BF4">
        <w:rPr>
          <w:rStyle w:val="normaltextrun"/>
          <w:rFonts w:eastAsiaTheme="minorEastAsia" w:cs="Segoe UI"/>
          <w:b/>
          <w:bCs/>
          <w:color w:val="0E2841" w:themeColor="text2"/>
          <w:sz w:val="20"/>
          <w:szCs w:val="20"/>
          <w:lang w:val="fr-FR"/>
        </w:rPr>
        <w:t>intérieur des aires protégées juridiquement constituées</w:t>
      </w:r>
    </w:p>
    <w:p w14:paraId="4E7512CF" w14:textId="77777777" w:rsidR="00B87039" w:rsidRDefault="00B87039" w:rsidP="00B87039">
      <w:pPr>
        <w:pStyle w:val="paragraph"/>
        <w:spacing w:before="0" w:beforeAutospacing="0" w:after="0" w:afterAutospacing="0"/>
        <w:textAlignment w:val="baseline"/>
        <w:rPr>
          <w:rFonts w:asciiTheme="minorHAnsi" w:hAnsiTheme="minorHAnsi" w:cs="Segoe UI"/>
          <w:sz w:val="20"/>
          <w:szCs w:val="20"/>
          <w:lang w:val="fr-FR"/>
        </w:rPr>
      </w:pPr>
    </w:p>
    <w:p w14:paraId="7C5F618B" w14:textId="77777777" w:rsidR="00B87039" w:rsidRPr="00653BF4" w:rsidRDefault="00B87039" w:rsidP="00B87039">
      <w:pPr>
        <w:pStyle w:val="Caption"/>
        <w:rPr>
          <w:lang w:val="fr-FR"/>
        </w:rPr>
      </w:pPr>
      <w:r w:rsidRPr="00653BF4">
        <w:rPr>
          <w:rFonts w:cs="Segoe UI"/>
          <w:noProof/>
          <w:lang w:val="fr-FR"/>
          <w14:ligatures w14:val="standardContextual"/>
        </w:rPr>
        <w:drawing>
          <wp:inline distT="0" distB="0" distL="0" distR="0" wp14:anchorId="6665EB56" wp14:editId="6F024271">
            <wp:extent cx="5731510" cy="4298950"/>
            <wp:effectExtent l="0" t="0" r="0" b="6350"/>
            <wp:docPr id="1404633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63388" name="Picture 140463388"/>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722E033C" w14:textId="462FFC73" w:rsidR="00B87039" w:rsidRPr="00653BF4" w:rsidRDefault="00B87039" w:rsidP="00B87039">
      <w:pPr>
        <w:pStyle w:val="Caption"/>
        <w:rPr>
          <w:rStyle w:val="eop"/>
          <w:rFonts w:cs="Segoe UI"/>
          <w:lang w:val="fr-FR"/>
        </w:rPr>
      </w:pPr>
      <w:r w:rsidRPr="00653BF4">
        <w:rPr>
          <w:rStyle w:val="normaltextrun"/>
          <w:rFonts w:cs="Segoe UI"/>
          <w:lang w:val="fr-FR"/>
        </w:rPr>
        <w:t>Note</w:t>
      </w:r>
      <w:r w:rsidR="00E34DC9">
        <w:rPr>
          <w:rStyle w:val="normaltextrun"/>
          <w:rFonts w:cs="Segoe UI"/>
          <w:lang w:val="fr-FR"/>
        </w:rPr>
        <w:t> :</w:t>
      </w:r>
      <w:r w:rsidRPr="00653BF4">
        <w:rPr>
          <w:rStyle w:val="normaltextrun"/>
          <w:rFonts w:cs="Segoe UI"/>
          <w:i w:val="0"/>
          <w:iCs w:val="0"/>
          <w:lang w:val="fr-FR"/>
        </w:rPr>
        <w:t xml:space="preserve"> Les valeurs des indicateurs correspondent à la moyenne générale et à l’écart interquartile des données communiquées chaque année par les Parties. </w:t>
      </w:r>
      <w:r w:rsidRPr="00653BF4">
        <w:rPr>
          <w:i w:val="0"/>
          <w:iCs w:val="0"/>
          <w:lang w:val="fr-FR"/>
        </w:rPr>
        <w:t>Le diagramme à barres de droite présente la répartition, par région, des Parties ayant communiqué des données.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 </w:t>
      </w:r>
      <w:r w:rsidRPr="00653BF4">
        <w:rPr>
          <w:rStyle w:val="normaltextrun"/>
          <w:rFonts w:cs="Arial"/>
          <w:i w:val="0"/>
          <w:iCs w:val="0"/>
          <w:lang w:val="fr-FR"/>
        </w:rPr>
        <w:t xml:space="preserve">Le diagramme circulaire </w:t>
      </w:r>
      <w:r w:rsidRPr="00653BF4">
        <w:rPr>
          <w:rStyle w:val="normaltextrun"/>
          <w:rFonts w:cs="Arial"/>
          <w:i w:val="0"/>
          <w:iCs w:val="0"/>
          <w:lang w:val="fr-FR"/>
        </w:rPr>
        <w:lastRenderedPageBreak/>
        <w:t>représente la proportion de la superficie forestière totale de l</w:t>
      </w:r>
      <w:r w:rsidR="00D77549">
        <w:rPr>
          <w:rStyle w:val="normaltextrun"/>
          <w:rFonts w:cs="Arial"/>
          <w:i w:val="0"/>
          <w:iCs w:val="0"/>
          <w:lang w:val="fr-FR"/>
        </w:rPr>
        <w:t>’</w:t>
      </w:r>
      <w:r w:rsidRPr="00653BF4">
        <w:rPr>
          <w:rStyle w:val="normaltextrun"/>
          <w:rFonts w:cs="Arial"/>
          <w:i w:val="0"/>
          <w:iCs w:val="0"/>
          <w:lang w:val="fr-FR"/>
        </w:rPr>
        <w:t>ensemble des Parties correspondant aux Parties ayant communiqué des données pour cet indicateur.</w:t>
      </w:r>
      <w:r w:rsidRPr="00653BF4">
        <w:rPr>
          <w:rStyle w:val="eop"/>
          <w:rFonts w:cs="Segoe UI"/>
          <w:lang w:val="fr-FR"/>
        </w:rPr>
        <w:t> </w:t>
      </w:r>
    </w:p>
    <w:tbl>
      <w:tblPr>
        <w:tblStyle w:val="TableGrid"/>
        <w:tblW w:w="9463" w:type="dxa"/>
        <w:tblLook w:val="04A0" w:firstRow="1" w:lastRow="0" w:firstColumn="1" w:lastColumn="0" w:noHBand="0" w:noVBand="1"/>
      </w:tblPr>
      <w:tblGrid>
        <w:gridCol w:w="4188"/>
        <w:gridCol w:w="5275"/>
      </w:tblGrid>
      <w:tr w:rsidR="00735F5E" w:rsidRPr="006F7AF8" w14:paraId="07ED1B1E" w14:textId="77777777" w:rsidTr="009B4355">
        <w:tc>
          <w:tcPr>
            <w:tcW w:w="9463" w:type="dxa"/>
            <w:gridSpan w:val="2"/>
          </w:tcPr>
          <w:p w14:paraId="33E58A08" w14:textId="77777777" w:rsidR="00735F5E" w:rsidRPr="006F7AF8" w:rsidRDefault="00735F5E" w:rsidP="009B4355">
            <w:pPr>
              <w:rPr>
                <w:rFonts w:ascii="Aptos" w:hAnsi="Aptos"/>
                <w:lang w:val="fr-FR"/>
              </w:rPr>
            </w:pPr>
            <w:r>
              <w:rPr>
                <w:rFonts w:ascii="Aptos" w:hAnsi="Aptos"/>
                <w:lang w:val="fr-FR"/>
              </w:rPr>
              <w:t>Figure 44</w:t>
            </w:r>
          </w:p>
        </w:tc>
      </w:tr>
      <w:tr w:rsidR="00735F5E" w:rsidRPr="00514FC8" w14:paraId="65A74834" w14:textId="77777777" w:rsidTr="009B4355">
        <w:tc>
          <w:tcPr>
            <w:tcW w:w="4188" w:type="dxa"/>
          </w:tcPr>
          <w:p w14:paraId="2E3608F1" w14:textId="77777777" w:rsidR="00735F5E" w:rsidRPr="00514FC8" w:rsidRDefault="00735F5E" w:rsidP="009B4355">
            <w:pPr>
              <w:rPr>
                <w:rFonts w:ascii="Aptos" w:hAnsi="Aptos"/>
                <w:lang w:val="fr-FR"/>
              </w:rPr>
            </w:pPr>
            <w:r w:rsidRPr="00514FC8">
              <w:rPr>
                <w:rFonts w:ascii="Aptos" w:hAnsi="Aptos"/>
                <w:lang w:val="fr-FR"/>
              </w:rPr>
              <w:t xml:space="preserve">English </w:t>
            </w:r>
          </w:p>
        </w:tc>
        <w:tc>
          <w:tcPr>
            <w:tcW w:w="5275" w:type="dxa"/>
          </w:tcPr>
          <w:p w14:paraId="6A01E47C" w14:textId="77777777" w:rsidR="00735F5E" w:rsidRPr="00514FC8" w:rsidRDefault="00735F5E" w:rsidP="009B4355">
            <w:pPr>
              <w:rPr>
                <w:rFonts w:ascii="Aptos" w:hAnsi="Aptos"/>
                <w:lang w:val="fr-FR"/>
              </w:rPr>
            </w:pPr>
            <w:r>
              <w:rPr>
                <w:rFonts w:ascii="Aptos" w:hAnsi="Aptos"/>
                <w:lang w:val="fr-FR"/>
              </w:rPr>
              <w:t>Français</w:t>
            </w:r>
          </w:p>
        </w:tc>
      </w:tr>
      <w:tr w:rsidR="00735F5E" w:rsidRPr="006F7AF8" w14:paraId="2DF6206E" w14:textId="77777777" w:rsidTr="009B4355">
        <w:tc>
          <w:tcPr>
            <w:tcW w:w="4188" w:type="dxa"/>
          </w:tcPr>
          <w:p w14:paraId="5D89E6F4" w14:textId="77777777" w:rsidR="00735F5E" w:rsidRPr="006F7AF8" w:rsidRDefault="00735F5E" w:rsidP="009B4355">
            <w:pPr>
              <w:rPr>
                <w:rFonts w:ascii="Aptos" w:hAnsi="Aptos"/>
                <w:lang w:val="fr-FR"/>
              </w:rPr>
            </w:pPr>
            <w:r w:rsidRPr="006F7AF8">
              <w:rPr>
                <w:rFonts w:ascii="Aptos" w:hAnsi="Aptos"/>
                <w:lang w:val="fr-FR"/>
              </w:rPr>
              <w:t>Forest in protected area (percentage)</w:t>
            </w:r>
          </w:p>
        </w:tc>
        <w:tc>
          <w:tcPr>
            <w:tcW w:w="5275" w:type="dxa"/>
          </w:tcPr>
          <w:p w14:paraId="0E6E0658" w14:textId="77777777" w:rsidR="00735F5E" w:rsidRPr="006F7AF8" w:rsidRDefault="00735F5E" w:rsidP="009B4355">
            <w:pPr>
              <w:rPr>
                <w:rFonts w:ascii="Aptos" w:hAnsi="Aptos"/>
                <w:lang w:val="fr-FR"/>
              </w:rPr>
            </w:pPr>
            <w:r w:rsidRPr="006F7AF8">
              <w:rPr>
                <w:rFonts w:ascii="Aptos" w:hAnsi="Aptos"/>
                <w:lang w:val="fr-FR"/>
              </w:rPr>
              <w:t>Forêts qui se trouvent dans des aires protégées (pourcentage)</w:t>
            </w:r>
          </w:p>
        </w:tc>
      </w:tr>
      <w:tr w:rsidR="00735F5E" w:rsidRPr="006F7AF8" w14:paraId="46314B61" w14:textId="77777777" w:rsidTr="009B4355">
        <w:tc>
          <w:tcPr>
            <w:tcW w:w="4188" w:type="dxa"/>
          </w:tcPr>
          <w:p w14:paraId="5646FA38" w14:textId="77777777" w:rsidR="00735F5E" w:rsidRPr="006F7AF8" w:rsidRDefault="00735F5E" w:rsidP="009B4355">
            <w:pPr>
              <w:rPr>
                <w:rFonts w:ascii="Aptos" w:hAnsi="Aptos"/>
                <w:lang w:val="fr-FR"/>
              </w:rPr>
            </w:pPr>
            <w:r w:rsidRPr="006F7AF8">
              <w:rPr>
                <w:rFonts w:ascii="Aptos" w:hAnsi="Aptos"/>
                <w:lang w:val="fr-FR"/>
              </w:rPr>
              <w:t>Year</w:t>
            </w:r>
          </w:p>
        </w:tc>
        <w:tc>
          <w:tcPr>
            <w:tcW w:w="5275" w:type="dxa"/>
          </w:tcPr>
          <w:p w14:paraId="7BFA2383" w14:textId="77777777" w:rsidR="00735F5E" w:rsidRPr="006F7AF8" w:rsidRDefault="00735F5E" w:rsidP="009B4355">
            <w:pPr>
              <w:rPr>
                <w:rFonts w:ascii="Aptos" w:hAnsi="Aptos"/>
                <w:lang w:val="fr-FR"/>
              </w:rPr>
            </w:pPr>
            <w:r w:rsidRPr="006F7AF8">
              <w:rPr>
                <w:rFonts w:ascii="Aptos" w:hAnsi="Aptos"/>
                <w:lang w:val="fr-FR"/>
              </w:rPr>
              <w:t>Année</w:t>
            </w:r>
          </w:p>
        </w:tc>
      </w:tr>
      <w:tr w:rsidR="00735F5E" w:rsidRPr="006F7AF8" w14:paraId="27777B6C" w14:textId="77777777" w:rsidTr="009B4355">
        <w:tc>
          <w:tcPr>
            <w:tcW w:w="4188" w:type="dxa"/>
          </w:tcPr>
          <w:p w14:paraId="6C25AC91" w14:textId="77777777" w:rsidR="00735F5E" w:rsidRPr="006F7AF8" w:rsidRDefault="00735F5E" w:rsidP="009B4355">
            <w:pPr>
              <w:rPr>
                <w:rFonts w:ascii="Aptos" w:hAnsi="Aptos"/>
                <w:lang w:val="fr-FR"/>
              </w:rPr>
            </w:pPr>
            <w:r w:rsidRPr="006F7AF8">
              <w:rPr>
                <w:rFonts w:ascii="Aptos" w:hAnsi="Aptos"/>
                <w:lang w:val="fr-FR"/>
              </w:rPr>
              <w:t>Party count: 26</w:t>
            </w:r>
          </w:p>
        </w:tc>
        <w:tc>
          <w:tcPr>
            <w:tcW w:w="5275" w:type="dxa"/>
          </w:tcPr>
          <w:p w14:paraId="7C5A18D4" w14:textId="77777777" w:rsidR="00735F5E" w:rsidRPr="006F7AF8" w:rsidRDefault="00735F5E" w:rsidP="009B4355">
            <w:pPr>
              <w:rPr>
                <w:rFonts w:ascii="Aptos" w:hAnsi="Aptos"/>
                <w:lang w:val="fr-FR"/>
              </w:rPr>
            </w:pPr>
            <w:r w:rsidRPr="006F7AF8">
              <w:rPr>
                <w:rFonts w:ascii="Aptos" w:hAnsi="Aptos"/>
                <w:lang w:val="fr-FR"/>
              </w:rPr>
              <w:t>Nombre de Parties : 26</w:t>
            </w:r>
          </w:p>
        </w:tc>
      </w:tr>
      <w:tr w:rsidR="00735F5E" w:rsidRPr="006F7AF8" w14:paraId="699D52B7" w14:textId="77777777" w:rsidTr="009B4355">
        <w:tc>
          <w:tcPr>
            <w:tcW w:w="4188" w:type="dxa"/>
          </w:tcPr>
          <w:p w14:paraId="2DC6A232" w14:textId="77777777" w:rsidR="00735F5E" w:rsidRPr="006F7AF8" w:rsidRDefault="00735F5E" w:rsidP="009B4355">
            <w:pPr>
              <w:rPr>
                <w:rFonts w:ascii="Aptos" w:hAnsi="Aptos"/>
                <w:lang w:val="fr-FR"/>
              </w:rPr>
            </w:pPr>
            <w:r w:rsidRPr="006F7AF8">
              <w:rPr>
                <w:rFonts w:ascii="Aptos" w:hAnsi="Aptos"/>
                <w:lang w:val="fr-FR"/>
              </w:rPr>
              <w:t>Share of forest area</w:t>
            </w:r>
          </w:p>
        </w:tc>
        <w:tc>
          <w:tcPr>
            <w:tcW w:w="5275" w:type="dxa"/>
          </w:tcPr>
          <w:p w14:paraId="38492857" w14:textId="77777777" w:rsidR="00735F5E" w:rsidRPr="006F7AF8" w:rsidRDefault="00735F5E" w:rsidP="009B4355">
            <w:pPr>
              <w:rPr>
                <w:rFonts w:ascii="Aptos" w:hAnsi="Aptos"/>
                <w:lang w:val="fr-FR"/>
              </w:rPr>
            </w:pPr>
            <w:r w:rsidRPr="006F7AF8">
              <w:rPr>
                <w:rFonts w:ascii="Aptos" w:hAnsi="Aptos"/>
                <w:lang w:val="fr-FR"/>
              </w:rPr>
              <w:t>Part de la superficie forestière</w:t>
            </w:r>
          </w:p>
        </w:tc>
      </w:tr>
      <w:tr w:rsidR="00735F5E" w:rsidRPr="006F7AF8" w14:paraId="08C801EB" w14:textId="77777777" w:rsidTr="009B4355">
        <w:tc>
          <w:tcPr>
            <w:tcW w:w="4188" w:type="dxa"/>
          </w:tcPr>
          <w:p w14:paraId="537B30C3" w14:textId="77777777" w:rsidR="00735F5E" w:rsidRPr="006F7AF8" w:rsidRDefault="00735F5E" w:rsidP="009B4355">
            <w:pPr>
              <w:rPr>
                <w:rFonts w:ascii="Aptos" w:hAnsi="Aptos"/>
                <w:lang w:val="fr-FR"/>
              </w:rPr>
            </w:pPr>
            <w:r w:rsidRPr="006F7AF8">
              <w:rPr>
                <w:rFonts w:ascii="Aptos" w:hAnsi="Aptos"/>
                <w:lang w:val="fr-FR"/>
              </w:rPr>
              <w:t>Party count by region</w:t>
            </w:r>
          </w:p>
        </w:tc>
        <w:tc>
          <w:tcPr>
            <w:tcW w:w="5275" w:type="dxa"/>
          </w:tcPr>
          <w:p w14:paraId="380A9377" w14:textId="77777777" w:rsidR="00735F5E" w:rsidRPr="006F7AF8" w:rsidRDefault="00735F5E" w:rsidP="009B4355">
            <w:pPr>
              <w:rPr>
                <w:rFonts w:ascii="Aptos" w:hAnsi="Aptos"/>
                <w:lang w:val="fr-FR"/>
              </w:rPr>
            </w:pPr>
            <w:r w:rsidRPr="006F7AF8">
              <w:rPr>
                <w:rFonts w:ascii="Aptos" w:hAnsi="Aptos"/>
                <w:lang w:val="fr-FR"/>
              </w:rPr>
              <w:t>Nombre de Parties par région</w:t>
            </w:r>
          </w:p>
        </w:tc>
      </w:tr>
      <w:tr w:rsidR="00735F5E" w:rsidRPr="006F7AF8" w14:paraId="64F97368" w14:textId="77777777" w:rsidTr="009B4355">
        <w:tc>
          <w:tcPr>
            <w:tcW w:w="4188" w:type="dxa"/>
          </w:tcPr>
          <w:p w14:paraId="7BFE44FF" w14:textId="77777777" w:rsidR="00735F5E" w:rsidRPr="006F7AF8" w:rsidRDefault="00735F5E" w:rsidP="009B4355">
            <w:pPr>
              <w:rPr>
                <w:rFonts w:ascii="Aptos" w:hAnsi="Aptos"/>
                <w:lang w:val="fr-FR"/>
              </w:rPr>
            </w:pPr>
            <w:r w:rsidRPr="006F7AF8">
              <w:rPr>
                <w:rFonts w:ascii="Aptos" w:hAnsi="Aptos"/>
                <w:lang w:val="fr-FR"/>
              </w:rPr>
              <w:t>Region</w:t>
            </w:r>
          </w:p>
        </w:tc>
        <w:tc>
          <w:tcPr>
            <w:tcW w:w="5275" w:type="dxa"/>
          </w:tcPr>
          <w:p w14:paraId="64A9E66B"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13D7E675" w14:textId="77777777" w:rsidTr="009B4355">
        <w:tc>
          <w:tcPr>
            <w:tcW w:w="4188" w:type="dxa"/>
          </w:tcPr>
          <w:p w14:paraId="50CD4322" w14:textId="77777777" w:rsidR="00735F5E" w:rsidRPr="006F7AF8" w:rsidRDefault="00735F5E" w:rsidP="009B4355">
            <w:pPr>
              <w:rPr>
                <w:rFonts w:ascii="Aptos" w:hAnsi="Aptos"/>
                <w:lang w:val="fr-FR"/>
              </w:rPr>
            </w:pPr>
            <w:r w:rsidRPr="006F7AF8">
              <w:rPr>
                <w:rFonts w:ascii="Aptos" w:hAnsi="Aptos"/>
                <w:lang w:val="fr-FR"/>
              </w:rPr>
              <w:t>African States</w:t>
            </w:r>
          </w:p>
        </w:tc>
        <w:tc>
          <w:tcPr>
            <w:tcW w:w="5275" w:type="dxa"/>
          </w:tcPr>
          <w:p w14:paraId="6D954DD5"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193BEF95" w14:textId="77777777" w:rsidTr="009B4355">
        <w:tc>
          <w:tcPr>
            <w:tcW w:w="4188" w:type="dxa"/>
          </w:tcPr>
          <w:p w14:paraId="5CB0D691"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5275" w:type="dxa"/>
          </w:tcPr>
          <w:p w14:paraId="07245E22"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08112EA9" w14:textId="77777777" w:rsidTr="009B4355">
        <w:tc>
          <w:tcPr>
            <w:tcW w:w="4188" w:type="dxa"/>
          </w:tcPr>
          <w:p w14:paraId="2B62E792"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5275" w:type="dxa"/>
          </w:tcPr>
          <w:p w14:paraId="0C5A879C"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7DDF6150" w14:textId="77777777" w:rsidTr="009B4355">
        <w:tc>
          <w:tcPr>
            <w:tcW w:w="4188" w:type="dxa"/>
          </w:tcPr>
          <w:p w14:paraId="1637CBB5"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5275" w:type="dxa"/>
          </w:tcPr>
          <w:p w14:paraId="758EAF13"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499C9CC4" w14:textId="77777777" w:rsidTr="009B4355">
        <w:tc>
          <w:tcPr>
            <w:tcW w:w="4188" w:type="dxa"/>
          </w:tcPr>
          <w:p w14:paraId="7DA52C2D"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5275" w:type="dxa"/>
          </w:tcPr>
          <w:p w14:paraId="449CACC3"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6A3F0ACF" w14:textId="77777777" w:rsidR="00B87039" w:rsidRPr="00653BF4" w:rsidRDefault="00B87039" w:rsidP="00B87039">
      <w:pPr>
        <w:rPr>
          <w:lang w:val="fr-FR" w:eastAsia="ja-JP"/>
        </w:rPr>
      </w:pPr>
    </w:p>
    <w:p w14:paraId="0F8E8457" w14:textId="371E67CA" w:rsidR="00B87039" w:rsidRPr="00653BF4" w:rsidRDefault="00B87039" w:rsidP="00B87039">
      <w:pPr>
        <w:rPr>
          <w:sz w:val="20"/>
          <w:szCs w:val="20"/>
          <w:lang w:val="fr-FR"/>
        </w:rPr>
      </w:pPr>
      <w:bookmarkStart w:id="197" w:name="_Ref235889238"/>
      <w:r w:rsidRPr="00653BF4">
        <w:rPr>
          <w:sz w:val="20"/>
          <w:szCs w:val="20"/>
          <w:lang w:val="fr-FR"/>
        </w:rPr>
        <w:t>Figure 45</w:t>
      </w:r>
      <w:bookmarkEnd w:id="197"/>
    </w:p>
    <w:p w14:paraId="6977A89D" w14:textId="41ED65C5" w:rsidR="00B87039" w:rsidRPr="00653BF4" w:rsidRDefault="00B87039" w:rsidP="00B87039">
      <w:pPr>
        <w:pStyle w:val="Caption"/>
        <w:rPr>
          <w:rFonts w:cs="Segoe UI"/>
          <w:b/>
          <w:bCs/>
          <w:i w:val="0"/>
          <w:iCs w:val="0"/>
          <w:sz w:val="20"/>
          <w:szCs w:val="20"/>
          <w:lang w:val="fr-FR"/>
        </w:rPr>
      </w:pPr>
      <w:r w:rsidRPr="00653BF4">
        <w:rPr>
          <w:rStyle w:val="normaltextrun"/>
          <w:rFonts w:cs="Segoe UI"/>
          <w:b/>
          <w:bCs/>
          <w:i w:val="0"/>
          <w:iCs w:val="0"/>
          <w:sz w:val="20"/>
          <w:szCs w:val="20"/>
          <w:lang w:val="fr-FR"/>
        </w:rPr>
        <w:t>Indicateur phare</w:t>
      </w:r>
      <w:r w:rsidRPr="00653BF4">
        <w:rPr>
          <w:rStyle w:val="apple-converted-space"/>
          <w:rFonts w:cs="Segoe UI"/>
          <w:b/>
          <w:bCs/>
          <w:i w:val="0"/>
          <w:iCs w:val="0"/>
          <w:sz w:val="20"/>
          <w:szCs w:val="20"/>
          <w:lang w:val="fr-FR"/>
        </w:rPr>
        <w:t> </w:t>
      </w:r>
      <w:r w:rsidRPr="00653BF4">
        <w:rPr>
          <w:rStyle w:val="normaltextrun"/>
          <w:rFonts w:cs="Segoe UI"/>
          <w:b/>
          <w:bCs/>
          <w:i w:val="0"/>
          <w:iCs w:val="0"/>
          <w:sz w:val="20"/>
          <w:szCs w:val="20"/>
          <w:lang w:val="fr-FR"/>
        </w:rPr>
        <w:t>10.2</w:t>
      </w:r>
      <w:r w:rsidR="00E34DC9">
        <w:rPr>
          <w:rStyle w:val="normaltextrun"/>
          <w:rFonts w:cs="Segoe UI"/>
          <w:b/>
          <w:bCs/>
          <w:i w:val="0"/>
          <w:iCs w:val="0"/>
          <w:sz w:val="20"/>
          <w:szCs w:val="20"/>
          <w:lang w:val="fr-FR"/>
        </w:rPr>
        <w:t> :</w:t>
      </w:r>
      <w:r w:rsidRPr="00653BF4">
        <w:rPr>
          <w:rStyle w:val="normaltextrun"/>
          <w:rFonts w:cs="Segoe UI"/>
          <w:b/>
          <w:bCs/>
          <w:i w:val="0"/>
          <w:iCs w:val="0"/>
          <w:sz w:val="20"/>
          <w:szCs w:val="20"/>
          <w:lang w:val="fr-FR"/>
        </w:rPr>
        <w:t xml:space="preserve"> progrès accomplis dans la gestion durable des forêts, sous-indicateur d –</w:t>
      </w:r>
      <w:r w:rsidRPr="00653BF4">
        <w:rPr>
          <w:rStyle w:val="apple-converted-space"/>
          <w:rFonts w:cs="Segoe UI"/>
          <w:b/>
          <w:bCs/>
          <w:i w:val="0"/>
          <w:iCs w:val="0"/>
          <w:sz w:val="20"/>
          <w:szCs w:val="20"/>
          <w:lang w:val="fr-FR"/>
        </w:rPr>
        <w:t> </w:t>
      </w:r>
      <w:r w:rsidRPr="00653BF4">
        <w:rPr>
          <w:rStyle w:val="normaltextrun"/>
          <w:rFonts w:cs="Segoe UI"/>
          <w:b/>
          <w:bCs/>
          <w:i w:val="0"/>
          <w:iCs w:val="0"/>
          <w:sz w:val="20"/>
          <w:szCs w:val="20"/>
          <w:lang w:val="fr-FR"/>
        </w:rPr>
        <w:t>proportion de la superficie forestière bénéficiant d</w:t>
      </w:r>
      <w:r w:rsidR="00D77549">
        <w:rPr>
          <w:rStyle w:val="normaltextrun"/>
          <w:rFonts w:cs="Segoe UI"/>
          <w:b/>
          <w:bCs/>
          <w:i w:val="0"/>
          <w:iCs w:val="0"/>
          <w:sz w:val="20"/>
          <w:szCs w:val="20"/>
          <w:lang w:val="fr-FR"/>
        </w:rPr>
        <w:t>’</w:t>
      </w:r>
      <w:r w:rsidRPr="00653BF4">
        <w:rPr>
          <w:rStyle w:val="normaltextrun"/>
          <w:rFonts w:cs="Segoe UI"/>
          <w:b/>
          <w:bCs/>
          <w:i w:val="0"/>
          <w:iCs w:val="0"/>
          <w:sz w:val="20"/>
          <w:szCs w:val="20"/>
          <w:lang w:val="fr-FR"/>
        </w:rPr>
        <w:t>un plan de gestion forestière à long terme</w:t>
      </w:r>
    </w:p>
    <w:p w14:paraId="5D2159B7" w14:textId="77777777" w:rsidR="00B87039" w:rsidRPr="00653BF4" w:rsidRDefault="00B87039" w:rsidP="00B87039">
      <w:pPr>
        <w:pStyle w:val="Caption"/>
        <w:rPr>
          <w:lang w:val="fr-FR"/>
        </w:rPr>
      </w:pPr>
      <w:r w:rsidRPr="00653BF4">
        <w:rPr>
          <w:rFonts w:cs="Segoe UI"/>
          <w:noProof/>
          <w:lang w:val="fr-FR"/>
          <w14:ligatures w14:val="standardContextual"/>
        </w:rPr>
        <w:lastRenderedPageBreak/>
        <w:drawing>
          <wp:inline distT="0" distB="0" distL="0" distR="0" wp14:anchorId="44BBE116" wp14:editId="76B6E287">
            <wp:extent cx="5731510" cy="4298950"/>
            <wp:effectExtent l="0" t="0" r="0" b="6350"/>
            <wp:docPr id="7667760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776046" name="Picture 766776046"/>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637BB219" w14:textId="7A9828AB" w:rsidR="00B87039" w:rsidRPr="00653BF4" w:rsidRDefault="00B87039" w:rsidP="00B87039">
      <w:pPr>
        <w:pStyle w:val="Caption"/>
        <w:rPr>
          <w:rFonts w:cs="Segoe UI"/>
          <w:lang w:val="fr-FR"/>
          <w14:ligatures w14:val="standardContextual"/>
        </w:rPr>
      </w:pPr>
      <w:bookmarkStart w:id="198" w:name="_Ref230786348"/>
      <w:r w:rsidRPr="00653BF4">
        <w:rPr>
          <w:rStyle w:val="normaltextrun"/>
          <w:rFonts w:cs="Segoe UI"/>
          <w:lang w:val="fr-FR"/>
        </w:rPr>
        <w:t>Note</w:t>
      </w:r>
      <w:r w:rsidR="00E34DC9">
        <w:rPr>
          <w:rStyle w:val="normaltextrun"/>
          <w:rFonts w:cs="Segoe UI"/>
          <w:lang w:val="fr-FR"/>
        </w:rPr>
        <w:t> :</w:t>
      </w:r>
      <w:r w:rsidRPr="00653BF4">
        <w:rPr>
          <w:rStyle w:val="normaltextrun"/>
          <w:rFonts w:cs="Segoe UI"/>
          <w:i w:val="0"/>
          <w:iCs w:val="0"/>
          <w:lang w:val="fr-FR"/>
        </w:rPr>
        <w:t xml:space="preserve"> Les valeurs des indicateurs correspondent à la moyenne générale et à l’écart interquartile des données communiquées chaque année par les Parties. </w:t>
      </w:r>
      <w:r w:rsidRPr="00653BF4">
        <w:rPr>
          <w:i w:val="0"/>
          <w:iCs w:val="0"/>
          <w:lang w:val="fr-FR"/>
        </w:rPr>
        <w:t>Le diagramme à barres de droite présente la répartition, par région, des Parties ayant communiqué des données.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 </w:t>
      </w:r>
      <w:r w:rsidRPr="00653BF4">
        <w:rPr>
          <w:rStyle w:val="normaltextrun"/>
          <w:rFonts w:ascii="Arial" w:hAnsi="Arial" w:cs="Arial"/>
          <w:i w:val="0"/>
          <w:iCs w:val="0"/>
          <w:lang w:val="fr-FR"/>
        </w:rPr>
        <w:t>Le diagramme circulaire représente la proportion de la superficie forestière totale de l</w:t>
      </w:r>
      <w:r w:rsidR="00D77549">
        <w:rPr>
          <w:rStyle w:val="normaltextrun"/>
          <w:rFonts w:ascii="Arial" w:hAnsi="Arial" w:cs="Arial"/>
          <w:i w:val="0"/>
          <w:iCs w:val="0"/>
          <w:lang w:val="fr-FR"/>
        </w:rPr>
        <w:t>’</w:t>
      </w:r>
      <w:r w:rsidRPr="00653BF4">
        <w:rPr>
          <w:rStyle w:val="normaltextrun"/>
          <w:rFonts w:ascii="Arial" w:hAnsi="Arial" w:cs="Arial"/>
          <w:i w:val="0"/>
          <w:iCs w:val="0"/>
          <w:lang w:val="fr-FR"/>
        </w:rPr>
        <w:t>ensemble des Parties correspondant aux Parties ayant communiqué des données pour cet indicateur.</w:t>
      </w:r>
      <w:r w:rsidRPr="00653BF4">
        <w:rPr>
          <w:rFonts w:cs="Segoe UI"/>
          <w:lang w:val="fr-FR"/>
          <w14:ligatures w14:val="standardContextual"/>
        </w:rPr>
        <w:t xml:space="preserve"> </w:t>
      </w:r>
    </w:p>
    <w:tbl>
      <w:tblPr>
        <w:tblStyle w:val="TableGrid"/>
        <w:tblW w:w="946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245"/>
        <w:gridCol w:w="5215"/>
      </w:tblGrid>
      <w:tr w:rsidR="00735F5E" w:rsidRPr="006F7AF8" w14:paraId="28E3DB95" w14:textId="77777777" w:rsidTr="009B4355">
        <w:tc>
          <w:tcPr>
            <w:tcW w:w="9460" w:type="dxa"/>
            <w:gridSpan w:val="2"/>
            <w:tcMar>
              <w:left w:w="105" w:type="dxa"/>
              <w:right w:w="105" w:type="dxa"/>
            </w:tcMar>
          </w:tcPr>
          <w:p w14:paraId="08D6861E" w14:textId="77777777" w:rsidR="00735F5E" w:rsidRPr="006F7AF8" w:rsidRDefault="00735F5E" w:rsidP="009B4355">
            <w:pPr>
              <w:rPr>
                <w:rFonts w:ascii="Aptos" w:eastAsia="Aptos" w:hAnsi="Aptos" w:cs="Aptos"/>
                <w:lang w:val="fr-FR"/>
              </w:rPr>
            </w:pPr>
            <w:r>
              <w:rPr>
                <w:rFonts w:ascii="Aptos" w:eastAsia="Aptos" w:hAnsi="Aptos" w:cs="Aptos"/>
                <w:lang w:val="fr-FR"/>
              </w:rPr>
              <w:t>Figure 45</w:t>
            </w:r>
          </w:p>
        </w:tc>
      </w:tr>
      <w:tr w:rsidR="00735F5E" w:rsidRPr="00A552B1" w14:paraId="45F79080" w14:textId="77777777" w:rsidTr="009B4355">
        <w:tc>
          <w:tcPr>
            <w:tcW w:w="4245" w:type="dxa"/>
            <w:tcMar>
              <w:left w:w="105" w:type="dxa"/>
              <w:right w:w="105" w:type="dxa"/>
            </w:tcMar>
          </w:tcPr>
          <w:p w14:paraId="486B9CD3" w14:textId="77777777" w:rsidR="00735F5E" w:rsidRPr="00A552B1" w:rsidRDefault="00735F5E" w:rsidP="009B4355">
            <w:pPr>
              <w:rPr>
                <w:rFonts w:ascii="Aptos" w:eastAsia="Aptos" w:hAnsi="Aptos" w:cs="Aptos"/>
                <w:lang w:val="fr-FR"/>
              </w:rPr>
            </w:pPr>
            <w:r w:rsidRPr="00A552B1">
              <w:rPr>
                <w:rFonts w:ascii="Aptos" w:eastAsia="Aptos" w:hAnsi="Aptos" w:cs="Aptos"/>
                <w:lang w:val="fr-FR"/>
              </w:rPr>
              <w:t xml:space="preserve">English </w:t>
            </w:r>
          </w:p>
        </w:tc>
        <w:tc>
          <w:tcPr>
            <w:tcW w:w="5215" w:type="dxa"/>
            <w:tcMar>
              <w:left w:w="105" w:type="dxa"/>
              <w:right w:w="105" w:type="dxa"/>
            </w:tcMar>
          </w:tcPr>
          <w:p w14:paraId="636C1F3F" w14:textId="77777777" w:rsidR="00735F5E" w:rsidRPr="00A552B1" w:rsidRDefault="00735F5E" w:rsidP="009B4355">
            <w:pPr>
              <w:rPr>
                <w:rFonts w:ascii="Aptos" w:eastAsia="Aptos" w:hAnsi="Aptos" w:cs="Aptos"/>
                <w:lang w:val="fr-FR"/>
              </w:rPr>
            </w:pPr>
            <w:r>
              <w:rPr>
                <w:rFonts w:ascii="Aptos" w:eastAsia="Aptos" w:hAnsi="Aptos" w:cs="Aptos"/>
                <w:lang w:val="fr-FR"/>
              </w:rPr>
              <w:t>Français</w:t>
            </w:r>
          </w:p>
        </w:tc>
      </w:tr>
      <w:tr w:rsidR="00735F5E" w:rsidRPr="006F7AF8" w14:paraId="1D11E7BD" w14:textId="77777777" w:rsidTr="009B4355">
        <w:tc>
          <w:tcPr>
            <w:tcW w:w="4245" w:type="dxa"/>
            <w:tcMar>
              <w:left w:w="105" w:type="dxa"/>
              <w:right w:w="105" w:type="dxa"/>
            </w:tcMar>
          </w:tcPr>
          <w:p w14:paraId="456F4575" w14:textId="77777777" w:rsidR="00735F5E" w:rsidRPr="006F7AF8" w:rsidRDefault="00735F5E" w:rsidP="009B4355">
            <w:pPr>
              <w:rPr>
                <w:rFonts w:ascii="Aptos" w:eastAsia="Aptos" w:hAnsi="Aptos" w:cs="Aptos"/>
                <w:lang w:val="fr-FR"/>
              </w:rPr>
            </w:pPr>
            <w:r w:rsidRPr="006F7AF8">
              <w:rPr>
                <w:rFonts w:ascii="Aptos" w:hAnsi="Aptos"/>
                <w:lang w:val="fr-FR"/>
              </w:rPr>
              <w:t>Forest area under long-term management (percentage)</w:t>
            </w:r>
          </w:p>
        </w:tc>
        <w:tc>
          <w:tcPr>
            <w:tcW w:w="5215" w:type="dxa"/>
            <w:tcMar>
              <w:left w:w="105" w:type="dxa"/>
              <w:right w:w="105" w:type="dxa"/>
            </w:tcMar>
          </w:tcPr>
          <w:p w14:paraId="58C873DE" w14:textId="77777777" w:rsidR="00735F5E" w:rsidRPr="006F7AF8" w:rsidRDefault="00735F5E" w:rsidP="009B4355">
            <w:pPr>
              <w:rPr>
                <w:rFonts w:ascii="Aptos" w:eastAsia="Aptos" w:hAnsi="Aptos" w:cs="Aptos"/>
                <w:lang w:val="fr-FR"/>
              </w:rPr>
            </w:pPr>
            <w:r w:rsidRPr="006F7AF8">
              <w:rPr>
                <w:rFonts w:ascii="Aptos" w:hAnsi="Aptos"/>
                <w:lang w:val="fr-FR"/>
              </w:rPr>
              <w:t>Superficie forestière faisant l</w:t>
            </w:r>
            <w:r>
              <w:rPr>
                <w:rFonts w:ascii="Aptos" w:hAnsi="Aptos"/>
                <w:lang w:val="fr-FR"/>
              </w:rPr>
              <w:t>’</w:t>
            </w:r>
            <w:r w:rsidRPr="006F7AF8">
              <w:rPr>
                <w:rFonts w:ascii="Aptos" w:hAnsi="Aptos"/>
                <w:lang w:val="fr-FR"/>
              </w:rPr>
              <w:t>objet d</w:t>
            </w:r>
            <w:r>
              <w:rPr>
                <w:rFonts w:ascii="Aptos" w:hAnsi="Aptos"/>
                <w:lang w:val="fr-FR"/>
              </w:rPr>
              <w:t>’</w:t>
            </w:r>
            <w:r w:rsidRPr="006F7AF8">
              <w:rPr>
                <w:rFonts w:ascii="Aptos" w:hAnsi="Aptos"/>
                <w:lang w:val="fr-FR"/>
              </w:rPr>
              <w:t>une gestion à long terme (pourcentage)</w:t>
            </w:r>
          </w:p>
        </w:tc>
      </w:tr>
      <w:tr w:rsidR="00735F5E" w:rsidRPr="006F7AF8" w14:paraId="47C8C520" w14:textId="77777777" w:rsidTr="009B4355">
        <w:tc>
          <w:tcPr>
            <w:tcW w:w="4245" w:type="dxa"/>
            <w:tcMar>
              <w:left w:w="105" w:type="dxa"/>
              <w:right w:w="105" w:type="dxa"/>
            </w:tcMar>
          </w:tcPr>
          <w:p w14:paraId="52F3FA34" w14:textId="77777777" w:rsidR="00735F5E" w:rsidRPr="006F7AF8" w:rsidRDefault="00735F5E" w:rsidP="009B4355">
            <w:pPr>
              <w:rPr>
                <w:rFonts w:ascii="Aptos" w:eastAsia="Aptos" w:hAnsi="Aptos" w:cs="Aptos"/>
                <w:lang w:val="fr-FR"/>
              </w:rPr>
            </w:pPr>
            <w:r w:rsidRPr="006F7AF8">
              <w:rPr>
                <w:rFonts w:ascii="Aptos" w:hAnsi="Aptos"/>
                <w:lang w:val="fr-FR"/>
              </w:rPr>
              <w:t>Year</w:t>
            </w:r>
          </w:p>
        </w:tc>
        <w:tc>
          <w:tcPr>
            <w:tcW w:w="5215" w:type="dxa"/>
            <w:tcMar>
              <w:left w:w="105" w:type="dxa"/>
              <w:right w:w="105" w:type="dxa"/>
            </w:tcMar>
          </w:tcPr>
          <w:p w14:paraId="74D26DBC" w14:textId="77777777" w:rsidR="00735F5E" w:rsidRPr="006F7AF8" w:rsidRDefault="00735F5E" w:rsidP="009B4355">
            <w:pPr>
              <w:rPr>
                <w:rFonts w:ascii="Aptos" w:eastAsia="Aptos" w:hAnsi="Aptos" w:cs="Aptos"/>
                <w:lang w:val="fr-FR"/>
              </w:rPr>
            </w:pPr>
            <w:r w:rsidRPr="006F7AF8">
              <w:rPr>
                <w:rFonts w:ascii="Aptos" w:eastAsia="Aptos" w:hAnsi="Aptos" w:cs="Aptos"/>
                <w:lang w:val="fr-FR"/>
              </w:rPr>
              <w:t>Année</w:t>
            </w:r>
          </w:p>
        </w:tc>
      </w:tr>
      <w:tr w:rsidR="00735F5E" w:rsidRPr="006F7AF8" w14:paraId="2BF45A05" w14:textId="77777777" w:rsidTr="009B4355">
        <w:tc>
          <w:tcPr>
            <w:tcW w:w="4245" w:type="dxa"/>
            <w:tcMar>
              <w:left w:w="105" w:type="dxa"/>
              <w:right w:w="105" w:type="dxa"/>
            </w:tcMar>
          </w:tcPr>
          <w:p w14:paraId="7C3F31F7" w14:textId="77777777" w:rsidR="00735F5E" w:rsidRPr="006F7AF8" w:rsidRDefault="00735F5E" w:rsidP="009B4355">
            <w:pPr>
              <w:rPr>
                <w:rFonts w:ascii="Aptos" w:eastAsia="Aptos" w:hAnsi="Aptos" w:cs="Aptos"/>
                <w:lang w:val="fr-FR"/>
              </w:rPr>
            </w:pPr>
            <w:r w:rsidRPr="006F7AF8">
              <w:rPr>
                <w:rFonts w:ascii="Aptos" w:hAnsi="Aptos"/>
                <w:lang w:val="fr-FR"/>
              </w:rPr>
              <w:t>Party count: 27</w:t>
            </w:r>
          </w:p>
        </w:tc>
        <w:tc>
          <w:tcPr>
            <w:tcW w:w="5215" w:type="dxa"/>
            <w:tcMar>
              <w:left w:w="105" w:type="dxa"/>
              <w:right w:w="105" w:type="dxa"/>
            </w:tcMar>
          </w:tcPr>
          <w:p w14:paraId="1F6CCCAA" w14:textId="77777777" w:rsidR="00735F5E" w:rsidRPr="006F7AF8" w:rsidRDefault="00735F5E" w:rsidP="009B4355">
            <w:pPr>
              <w:rPr>
                <w:rFonts w:ascii="Aptos" w:eastAsia="Aptos" w:hAnsi="Aptos" w:cs="Aptos"/>
                <w:lang w:val="fr-FR"/>
              </w:rPr>
            </w:pPr>
            <w:r w:rsidRPr="006F7AF8">
              <w:rPr>
                <w:rFonts w:ascii="Aptos" w:hAnsi="Aptos"/>
                <w:lang w:val="fr-FR"/>
              </w:rPr>
              <w:t>Nombre de Parties : 27</w:t>
            </w:r>
          </w:p>
        </w:tc>
      </w:tr>
      <w:tr w:rsidR="00735F5E" w:rsidRPr="006F7AF8" w14:paraId="1A63B732" w14:textId="77777777" w:rsidTr="009B4355">
        <w:tc>
          <w:tcPr>
            <w:tcW w:w="4245" w:type="dxa"/>
            <w:tcMar>
              <w:left w:w="105" w:type="dxa"/>
              <w:right w:w="105" w:type="dxa"/>
            </w:tcMar>
          </w:tcPr>
          <w:p w14:paraId="582E3780" w14:textId="77777777" w:rsidR="00735F5E" w:rsidRPr="006F7AF8" w:rsidRDefault="00735F5E" w:rsidP="009B4355">
            <w:pPr>
              <w:rPr>
                <w:rFonts w:ascii="Aptos" w:eastAsia="Aptos" w:hAnsi="Aptos" w:cs="Aptos"/>
                <w:lang w:val="fr-FR"/>
              </w:rPr>
            </w:pPr>
            <w:r w:rsidRPr="006F7AF8">
              <w:rPr>
                <w:rFonts w:ascii="Aptos" w:hAnsi="Aptos"/>
                <w:lang w:val="fr-FR"/>
              </w:rPr>
              <w:t>Share of forest area</w:t>
            </w:r>
          </w:p>
        </w:tc>
        <w:tc>
          <w:tcPr>
            <w:tcW w:w="5215" w:type="dxa"/>
            <w:tcMar>
              <w:left w:w="105" w:type="dxa"/>
              <w:right w:w="105" w:type="dxa"/>
            </w:tcMar>
          </w:tcPr>
          <w:p w14:paraId="0014007F" w14:textId="77777777" w:rsidR="00735F5E" w:rsidRPr="006F7AF8" w:rsidRDefault="00735F5E" w:rsidP="009B4355">
            <w:pPr>
              <w:rPr>
                <w:rFonts w:ascii="Aptos" w:eastAsia="Aptos" w:hAnsi="Aptos" w:cs="Aptos"/>
                <w:lang w:val="fr-FR"/>
              </w:rPr>
            </w:pPr>
            <w:r w:rsidRPr="006F7AF8">
              <w:rPr>
                <w:rFonts w:ascii="Aptos" w:eastAsia="Aptos" w:hAnsi="Aptos" w:cs="Aptos"/>
                <w:lang w:val="fr-FR"/>
              </w:rPr>
              <w:t>Part de la superficie forestière</w:t>
            </w:r>
          </w:p>
        </w:tc>
      </w:tr>
      <w:tr w:rsidR="00735F5E" w:rsidRPr="006F7AF8" w14:paraId="028EF232" w14:textId="77777777" w:rsidTr="009B4355">
        <w:tc>
          <w:tcPr>
            <w:tcW w:w="4245" w:type="dxa"/>
            <w:tcMar>
              <w:left w:w="105" w:type="dxa"/>
              <w:right w:w="105" w:type="dxa"/>
            </w:tcMar>
          </w:tcPr>
          <w:p w14:paraId="7E77AF56" w14:textId="77777777" w:rsidR="00735F5E" w:rsidRPr="006F7AF8" w:rsidRDefault="00735F5E" w:rsidP="009B4355">
            <w:pPr>
              <w:rPr>
                <w:rFonts w:ascii="Aptos" w:eastAsia="Aptos" w:hAnsi="Aptos" w:cs="Aptos"/>
                <w:lang w:val="fr-FR"/>
              </w:rPr>
            </w:pPr>
            <w:r w:rsidRPr="006F7AF8">
              <w:rPr>
                <w:rFonts w:ascii="Aptos" w:hAnsi="Aptos"/>
                <w:lang w:val="fr-FR"/>
              </w:rPr>
              <w:t>Party count by region</w:t>
            </w:r>
          </w:p>
        </w:tc>
        <w:tc>
          <w:tcPr>
            <w:tcW w:w="5215" w:type="dxa"/>
            <w:tcMar>
              <w:left w:w="105" w:type="dxa"/>
              <w:right w:w="105" w:type="dxa"/>
            </w:tcMar>
          </w:tcPr>
          <w:p w14:paraId="508E6A40" w14:textId="77777777" w:rsidR="00735F5E" w:rsidRPr="006F7AF8" w:rsidRDefault="00735F5E" w:rsidP="009B4355">
            <w:pPr>
              <w:rPr>
                <w:rFonts w:ascii="Aptos" w:eastAsia="Aptos" w:hAnsi="Aptos" w:cs="Aptos"/>
                <w:lang w:val="fr-FR"/>
              </w:rPr>
            </w:pPr>
            <w:r w:rsidRPr="006F7AF8">
              <w:rPr>
                <w:rFonts w:ascii="Aptos" w:hAnsi="Aptos"/>
                <w:lang w:val="fr-FR"/>
              </w:rPr>
              <w:t>Nombre de Parties par région</w:t>
            </w:r>
          </w:p>
        </w:tc>
      </w:tr>
      <w:tr w:rsidR="00735F5E" w:rsidRPr="006F7AF8" w14:paraId="5943479E" w14:textId="77777777" w:rsidTr="009B4355">
        <w:tc>
          <w:tcPr>
            <w:tcW w:w="4245" w:type="dxa"/>
            <w:tcMar>
              <w:left w:w="105" w:type="dxa"/>
              <w:right w:w="105" w:type="dxa"/>
            </w:tcMar>
          </w:tcPr>
          <w:p w14:paraId="40EE0C94" w14:textId="77777777" w:rsidR="00735F5E" w:rsidRPr="006F7AF8" w:rsidRDefault="00735F5E" w:rsidP="009B4355">
            <w:pPr>
              <w:rPr>
                <w:rFonts w:ascii="Aptos" w:eastAsia="Aptos" w:hAnsi="Aptos" w:cs="Aptos"/>
                <w:lang w:val="fr-FR"/>
              </w:rPr>
            </w:pPr>
            <w:r w:rsidRPr="006F7AF8">
              <w:rPr>
                <w:rFonts w:ascii="Aptos" w:hAnsi="Aptos"/>
                <w:lang w:val="fr-FR"/>
              </w:rPr>
              <w:t>Region</w:t>
            </w:r>
          </w:p>
        </w:tc>
        <w:tc>
          <w:tcPr>
            <w:tcW w:w="5215" w:type="dxa"/>
            <w:tcMar>
              <w:left w:w="105" w:type="dxa"/>
              <w:right w:w="105" w:type="dxa"/>
            </w:tcMar>
          </w:tcPr>
          <w:p w14:paraId="07656E40" w14:textId="77777777" w:rsidR="00735F5E" w:rsidRPr="006F7AF8" w:rsidRDefault="00735F5E" w:rsidP="009B4355">
            <w:pPr>
              <w:rPr>
                <w:rFonts w:ascii="Aptos" w:eastAsia="Aptos" w:hAnsi="Aptos" w:cs="Aptos"/>
                <w:lang w:val="fr-FR"/>
              </w:rPr>
            </w:pPr>
            <w:r w:rsidRPr="006F7AF8">
              <w:rPr>
                <w:rFonts w:ascii="Aptos" w:hAnsi="Aptos"/>
                <w:lang w:val="fr-FR"/>
              </w:rPr>
              <w:t>Région</w:t>
            </w:r>
          </w:p>
        </w:tc>
      </w:tr>
      <w:tr w:rsidR="00735F5E" w:rsidRPr="006F7AF8" w14:paraId="5FC9A1E3" w14:textId="77777777" w:rsidTr="009B4355">
        <w:tc>
          <w:tcPr>
            <w:tcW w:w="4245" w:type="dxa"/>
            <w:tcMar>
              <w:left w:w="105" w:type="dxa"/>
              <w:right w:w="105" w:type="dxa"/>
            </w:tcMar>
          </w:tcPr>
          <w:p w14:paraId="051F6559" w14:textId="77777777" w:rsidR="00735F5E" w:rsidRPr="006F7AF8" w:rsidRDefault="00735F5E" w:rsidP="009B4355">
            <w:pPr>
              <w:rPr>
                <w:rFonts w:ascii="Aptos" w:eastAsia="Aptos" w:hAnsi="Aptos" w:cs="Aptos"/>
                <w:lang w:val="fr-FR"/>
              </w:rPr>
            </w:pPr>
            <w:r w:rsidRPr="006F7AF8">
              <w:rPr>
                <w:rFonts w:ascii="Aptos" w:hAnsi="Aptos"/>
                <w:lang w:val="fr-FR"/>
              </w:rPr>
              <w:t>African States</w:t>
            </w:r>
          </w:p>
        </w:tc>
        <w:tc>
          <w:tcPr>
            <w:tcW w:w="5215" w:type="dxa"/>
            <w:tcMar>
              <w:left w:w="105" w:type="dxa"/>
              <w:right w:w="105" w:type="dxa"/>
            </w:tcMar>
          </w:tcPr>
          <w:p w14:paraId="207FBEDB" w14:textId="77777777" w:rsidR="00735F5E" w:rsidRPr="006F7AF8" w:rsidRDefault="00735F5E" w:rsidP="009B4355">
            <w:pPr>
              <w:rPr>
                <w:rFonts w:ascii="Aptos" w:eastAsia="Aptos" w:hAnsi="Aptos" w:cs="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1C12889F" w14:textId="77777777" w:rsidTr="009B4355">
        <w:tc>
          <w:tcPr>
            <w:tcW w:w="4245" w:type="dxa"/>
            <w:tcMar>
              <w:left w:w="105" w:type="dxa"/>
              <w:right w:w="105" w:type="dxa"/>
            </w:tcMar>
          </w:tcPr>
          <w:p w14:paraId="5554627F" w14:textId="77777777" w:rsidR="00735F5E" w:rsidRPr="006F7AF8" w:rsidRDefault="00735F5E" w:rsidP="009B4355">
            <w:pPr>
              <w:rPr>
                <w:rFonts w:ascii="Aptos" w:eastAsia="Aptos" w:hAnsi="Aptos" w:cs="Aptos"/>
                <w:lang w:val="fr-FR"/>
              </w:rPr>
            </w:pPr>
            <w:r w:rsidRPr="006F7AF8">
              <w:rPr>
                <w:rFonts w:ascii="Aptos" w:hAnsi="Aptos"/>
                <w:lang w:val="fr-FR"/>
              </w:rPr>
              <w:t>Asia-Pacific States</w:t>
            </w:r>
          </w:p>
        </w:tc>
        <w:tc>
          <w:tcPr>
            <w:tcW w:w="5215" w:type="dxa"/>
            <w:tcMar>
              <w:left w:w="105" w:type="dxa"/>
              <w:right w:w="105" w:type="dxa"/>
            </w:tcMar>
          </w:tcPr>
          <w:p w14:paraId="21538498" w14:textId="77777777" w:rsidR="00735F5E" w:rsidRPr="006F7AF8" w:rsidRDefault="00735F5E" w:rsidP="009B4355">
            <w:pPr>
              <w:rPr>
                <w:rFonts w:ascii="Aptos" w:eastAsia="Aptos" w:hAnsi="Aptos" w:cs="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52DEDB3C" w14:textId="77777777" w:rsidTr="009B4355">
        <w:tc>
          <w:tcPr>
            <w:tcW w:w="4245" w:type="dxa"/>
            <w:tcMar>
              <w:left w:w="105" w:type="dxa"/>
              <w:right w:w="105" w:type="dxa"/>
            </w:tcMar>
          </w:tcPr>
          <w:p w14:paraId="0E100798" w14:textId="77777777" w:rsidR="00735F5E" w:rsidRPr="006F7AF8" w:rsidRDefault="00735F5E" w:rsidP="009B4355">
            <w:pPr>
              <w:rPr>
                <w:rFonts w:ascii="Aptos" w:eastAsia="Aptos" w:hAnsi="Aptos" w:cs="Aptos"/>
                <w:lang w:val="fr-FR"/>
              </w:rPr>
            </w:pPr>
            <w:r w:rsidRPr="006F7AF8">
              <w:rPr>
                <w:rFonts w:ascii="Aptos" w:hAnsi="Aptos"/>
                <w:lang w:val="fr-FR"/>
              </w:rPr>
              <w:t>Latin American and Caribbean States</w:t>
            </w:r>
          </w:p>
        </w:tc>
        <w:tc>
          <w:tcPr>
            <w:tcW w:w="5215" w:type="dxa"/>
            <w:tcMar>
              <w:left w:w="105" w:type="dxa"/>
              <w:right w:w="105" w:type="dxa"/>
            </w:tcMar>
          </w:tcPr>
          <w:p w14:paraId="17FFFECE" w14:textId="77777777" w:rsidR="00735F5E" w:rsidRPr="006F7AF8" w:rsidRDefault="00735F5E" w:rsidP="009B4355">
            <w:pPr>
              <w:rPr>
                <w:rFonts w:ascii="Aptos" w:eastAsia="Aptos" w:hAnsi="Aptos" w:cs="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18162D13" w14:textId="77777777" w:rsidTr="009B4355">
        <w:tc>
          <w:tcPr>
            <w:tcW w:w="4245" w:type="dxa"/>
            <w:tcMar>
              <w:left w:w="105" w:type="dxa"/>
              <w:right w:w="105" w:type="dxa"/>
            </w:tcMar>
          </w:tcPr>
          <w:p w14:paraId="4A8D61B1" w14:textId="77777777" w:rsidR="00735F5E" w:rsidRPr="006F7AF8" w:rsidRDefault="00735F5E" w:rsidP="009B4355">
            <w:pPr>
              <w:rPr>
                <w:rFonts w:ascii="Aptos" w:eastAsia="Aptos" w:hAnsi="Aptos" w:cs="Aptos"/>
                <w:lang w:val="fr-FR"/>
              </w:rPr>
            </w:pPr>
            <w:r w:rsidRPr="006F7AF8">
              <w:rPr>
                <w:rFonts w:ascii="Aptos" w:hAnsi="Aptos"/>
                <w:lang w:val="fr-FR"/>
              </w:rPr>
              <w:t>Eastern European States</w:t>
            </w:r>
          </w:p>
        </w:tc>
        <w:tc>
          <w:tcPr>
            <w:tcW w:w="5215" w:type="dxa"/>
            <w:tcMar>
              <w:left w:w="105" w:type="dxa"/>
              <w:right w:w="105" w:type="dxa"/>
            </w:tcMar>
          </w:tcPr>
          <w:p w14:paraId="2CE9956C" w14:textId="77777777" w:rsidR="00735F5E" w:rsidRPr="006F7AF8" w:rsidRDefault="00735F5E" w:rsidP="009B4355">
            <w:pPr>
              <w:rPr>
                <w:rFonts w:ascii="Aptos" w:eastAsia="Aptos" w:hAnsi="Aptos" w:cs="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35106E15" w14:textId="77777777" w:rsidTr="009B4355">
        <w:tc>
          <w:tcPr>
            <w:tcW w:w="4245" w:type="dxa"/>
            <w:tcMar>
              <w:left w:w="105" w:type="dxa"/>
              <w:right w:w="105" w:type="dxa"/>
            </w:tcMar>
          </w:tcPr>
          <w:p w14:paraId="25CBE767" w14:textId="77777777" w:rsidR="00735F5E" w:rsidRPr="006F7AF8" w:rsidRDefault="00735F5E" w:rsidP="009B4355">
            <w:pPr>
              <w:rPr>
                <w:rFonts w:ascii="Aptos" w:eastAsia="Aptos" w:hAnsi="Aptos" w:cs="Aptos"/>
                <w:lang w:val="fr-FR"/>
              </w:rPr>
            </w:pPr>
            <w:r w:rsidRPr="006F7AF8">
              <w:rPr>
                <w:rFonts w:ascii="Aptos" w:hAnsi="Aptos"/>
                <w:lang w:val="fr-FR"/>
              </w:rPr>
              <w:t>Western European and other States</w:t>
            </w:r>
          </w:p>
        </w:tc>
        <w:tc>
          <w:tcPr>
            <w:tcW w:w="5215" w:type="dxa"/>
            <w:tcMar>
              <w:left w:w="105" w:type="dxa"/>
              <w:right w:w="105" w:type="dxa"/>
            </w:tcMar>
          </w:tcPr>
          <w:p w14:paraId="1A79286C" w14:textId="77777777" w:rsidR="00735F5E" w:rsidRPr="006F7AF8" w:rsidRDefault="00735F5E" w:rsidP="009B4355">
            <w:pPr>
              <w:rPr>
                <w:rFonts w:ascii="Aptos" w:eastAsia="Aptos" w:hAnsi="Aptos" w:cs="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B6C4326" w14:textId="77777777" w:rsidR="00B87039" w:rsidRPr="00653BF4" w:rsidRDefault="00B87039" w:rsidP="00B87039">
      <w:pPr>
        <w:pStyle w:val="Caption"/>
        <w:rPr>
          <w:rFonts w:cs="Segoe UI"/>
          <w:lang w:val="fr-FR"/>
          <w14:ligatures w14:val="standardContextual"/>
        </w:rPr>
      </w:pPr>
    </w:p>
    <w:p w14:paraId="2358C905" w14:textId="77777777" w:rsidR="00B87039" w:rsidRPr="00653BF4" w:rsidRDefault="00B87039" w:rsidP="00B87039">
      <w:pPr>
        <w:pStyle w:val="Caption"/>
        <w:rPr>
          <w:i w:val="0"/>
          <w:iCs w:val="0"/>
          <w:sz w:val="20"/>
          <w:szCs w:val="20"/>
          <w:lang w:val="fr-FR"/>
        </w:rPr>
      </w:pPr>
      <w:r w:rsidRPr="00653BF4">
        <w:rPr>
          <w:i w:val="0"/>
          <w:iCs w:val="0"/>
          <w:sz w:val="20"/>
          <w:szCs w:val="20"/>
          <w:lang w:val="fr-FR"/>
        </w:rPr>
        <w:t>Figure 46</w:t>
      </w:r>
    </w:p>
    <w:p w14:paraId="202491D8" w14:textId="6A636E08" w:rsidR="00B87039" w:rsidRPr="00653BF4" w:rsidRDefault="00B87039" w:rsidP="00B87039">
      <w:pPr>
        <w:rPr>
          <w:b/>
          <w:bCs/>
          <w:sz w:val="20"/>
          <w:szCs w:val="20"/>
          <w:lang w:val="fr-FR"/>
        </w:rPr>
      </w:pPr>
      <w:r w:rsidRPr="00653BF4">
        <w:rPr>
          <w:b/>
          <w:bCs/>
          <w:sz w:val="20"/>
          <w:szCs w:val="20"/>
          <w:lang w:val="fr-FR"/>
        </w:rPr>
        <w:t>Indicateur phare 10.2</w:t>
      </w:r>
      <w:r w:rsidR="00E34DC9">
        <w:rPr>
          <w:b/>
          <w:bCs/>
          <w:sz w:val="20"/>
          <w:szCs w:val="20"/>
          <w:lang w:val="fr-FR"/>
        </w:rPr>
        <w:t> :</w:t>
      </w:r>
      <w:r w:rsidRPr="00653BF4">
        <w:rPr>
          <w:rFonts w:eastAsiaTheme="minorEastAsia"/>
          <w:b/>
          <w:bCs/>
          <w:color w:val="0E2841" w:themeColor="text2"/>
          <w:kern w:val="0"/>
          <w:sz w:val="20"/>
          <w:szCs w:val="20"/>
          <w:lang w:val="fr-FR"/>
          <w14:ligatures w14:val="none"/>
        </w:rPr>
        <w:t xml:space="preserve"> progrès accomplis dans la </w:t>
      </w:r>
      <w:r w:rsidRPr="00653BF4">
        <w:rPr>
          <w:b/>
          <w:bCs/>
          <w:sz w:val="20"/>
          <w:szCs w:val="20"/>
          <w:lang w:val="fr-FR"/>
        </w:rPr>
        <w:t>gestion durable des forêts, sous-indicateur e – superficie forestière couverte par un système de certification de gestion forestière vérifié de manière indépendante</w:t>
      </w:r>
    </w:p>
    <w:p w14:paraId="1A066B7B" w14:textId="77777777" w:rsidR="00B87039" w:rsidRPr="00653BF4" w:rsidRDefault="00B87039" w:rsidP="00B87039">
      <w:pPr>
        <w:pStyle w:val="Caption"/>
        <w:rPr>
          <w:lang w:val="fr-FR"/>
        </w:rPr>
      </w:pPr>
      <w:r w:rsidRPr="00653BF4">
        <w:rPr>
          <w:rFonts w:cs="Segoe UI"/>
          <w:noProof/>
          <w:lang w:val="fr-FR"/>
          <w14:ligatures w14:val="standardContextual"/>
        </w:rPr>
        <w:drawing>
          <wp:inline distT="0" distB="0" distL="0" distR="0" wp14:anchorId="611D5791" wp14:editId="3DB53FB3">
            <wp:extent cx="5731510" cy="4298950"/>
            <wp:effectExtent l="0" t="0" r="0" b="6350"/>
            <wp:docPr id="15307987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98714" name="Picture 1530798714"/>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bookmarkEnd w:id="198"/>
    <w:p w14:paraId="03560236" w14:textId="2EFE1D5F" w:rsidR="00B87039" w:rsidRPr="00653BF4" w:rsidRDefault="00B87039" w:rsidP="00B87039">
      <w:pPr>
        <w:pStyle w:val="Caption"/>
        <w:rPr>
          <w:rStyle w:val="eop"/>
          <w:rFonts w:cs="Segoe UI"/>
          <w:lang w:val="fr-FR"/>
        </w:rPr>
      </w:pPr>
      <w:r w:rsidRPr="00653BF4">
        <w:rPr>
          <w:rStyle w:val="normaltextrun"/>
          <w:rFonts w:cs="Arial"/>
          <w:lang w:val="fr-FR"/>
        </w:rPr>
        <w:t>Note</w:t>
      </w:r>
      <w:r w:rsidR="00E34DC9">
        <w:rPr>
          <w:rStyle w:val="normaltextrun"/>
          <w:rFonts w:cs="Segoe UI"/>
          <w:i w:val="0"/>
          <w:iCs w:val="0"/>
          <w:lang w:val="fr-FR"/>
        </w:rPr>
        <w:t> :</w:t>
      </w:r>
      <w:r w:rsidRPr="00653BF4">
        <w:rPr>
          <w:rStyle w:val="normaltextrun"/>
          <w:rFonts w:cs="Arial"/>
          <w:i w:val="0"/>
          <w:iCs w:val="0"/>
          <w:lang w:val="fr-FR"/>
        </w:rPr>
        <w:t xml:space="preserve"> </w:t>
      </w:r>
      <w:r w:rsidRPr="00653BF4">
        <w:rPr>
          <w:rStyle w:val="normaltextrun"/>
          <w:rFonts w:cs="Segoe UI"/>
          <w:i w:val="0"/>
          <w:iCs w:val="0"/>
          <w:lang w:val="fr-FR"/>
        </w:rPr>
        <w:t>les valeurs de l</w:t>
      </w:r>
      <w:r w:rsidR="00D77549">
        <w:rPr>
          <w:rStyle w:val="normaltextrun"/>
          <w:rFonts w:cs="Segoe UI"/>
          <w:i w:val="0"/>
          <w:iCs w:val="0"/>
          <w:lang w:val="fr-FR"/>
        </w:rPr>
        <w:t>’</w:t>
      </w:r>
      <w:r w:rsidRPr="00653BF4">
        <w:rPr>
          <w:rStyle w:val="normaltextrun"/>
          <w:rFonts w:cs="Segoe UI"/>
          <w:i w:val="0"/>
          <w:iCs w:val="0"/>
          <w:lang w:val="fr-FR"/>
        </w:rPr>
        <w:t xml:space="preserve">indicateur représentent la superficie cumulée déclarée par les Parties année après année. </w:t>
      </w:r>
      <w:r w:rsidRPr="00653BF4">
        <w:rPr>
          <w:i w:val="0"/>
          <w:iCs w:val="0"/>
          <w:lang w:val="fr-FR"/>
        </w:rPr>
        <w:t>Le diagramme à barres de droite présente la répartition, par région, des Parties ayant communiqué des données. Les couleurs attribuées à chaque région sont définies dans la légende de la figure</w:t>
      </w:r>
      <w:r w:rsidR="00E34DC9">
        <w:rPr>
          <w:i w:val="0"/>
          <w:iCs w:val="0"/>
          <w:lang w:val="fr-FR"/>
        </w:rPr>
        <w:t> :</w:t>
      </w:r>
      <w:r w:rsidRPr="00653BF4">
        <w:rPr>
          <w:i w:val="0"/>
          <w:iCs w:val="0"/>
          <w:lang w:val="fr-FR"/>
        </w:rPr>
        <w:t xml:space="preserve"> les teintes plus foncées représentent la proportion de Parties d</w:t>
      </w:r>
      <w:r w:rsidR="00D77549">
        <w:rPr>
          <w:i w:val="0"/>
          <w:iCs w:val="0"/>
          <w:lang w:val="fr-FR"/>
        </w:rPr>
        <w:t>’</w:t>
      </w:r>
      <w:r w:rsidRPr="00653BF4">
        <w:rPr>
          <w:i w:val="0"/>
          <w:iCs w:val="0"/>
          <w:lang w:val="fr-FR"/>
        </w:rPr>
        <w:t>une région pour lesquelles des données figurent dans le graphique</w:t>
      </w:r>
      <w:r w:rsidR="00E34DC9">
        <w:rPr>
          <w:i w:val="0"/>
          <w:iCs w:val="0"/>
          <w:lang w:val="fr-FR"/>
        </w:rPr>
        <w:t> ;</w:t>
      </w:r>
      <w:r w:rsidRPr="00653BF4">
        <w:rPr>
          <w:i w:val="0"/>
          <w:iCs w:val="0"/>
          <w:lang w:val="fr-FR"/>
        </w:rPr>
        <w:t xml:space="preserve"> les teintes plus claires représentent la proportion de Parties de cette même région pour lesquelles aucune donnée ne figure dans le graphique. </w:t>
      </w:r>
      <w:r w:rsidRPr="00653BF4">
        <w:rPr>
          <w:rStyle w:val="normaltextrun"/>
          <w:rFonts w:cs="Arial"/>
          <w:i w:val="0"/>
          <w:iCs w:val="0"/>
          <w:lang w:val="fr-FR"/>
        </w:rPr>
        <w:t>Le diagramme circulaire représente la proportion de la superficie forestière totale de l</w:t>
      </w:r>
      <w:r w:rsidR="00D77549">
        <w:rPr>
          <w:rStyle w:val="normaltextrun"/>
          <w:rFonts w:cs="Arial"/>
          <w:i w:val="0"/>
          <w:iCs w:val="0"/>
          <w:lang w:val="fr-FR"/>
        </w:rPr>
        <w:t>’</w:t>
      </w:r>
      <w:r w:rsidRPr="00653BF4">
        <w:rPr>
          <w:rStyle w:val="normaltextrun"/>
          <w:rFonts w:cs="Arial"/>
          <w:i w:val="0"/>
          <w:iCs w:val="0"/>
          <w:lang w:val="fr-FR"/>
        </w:rPr>
        <w:t>ensemble des Parties correspondant aux Parties ayant communiqué des données pour cet indicateur.</w:t>
      </w:r>
    </w:p>
    <w:tbl>
      <w:tblPr>
        <w:tblStyle w:val="TableGrid"/>
        <w:tblW w:w="946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212"/>
        <w:gridCol w:w="5249"/>
      </w:tblGrid>
      <w:tr w:rsidR="00735F5E" w:rsidRPr="006F7AF8" w14:paraId="4840A754" w14:textId="77777777" w:rsidTr="009B4355">
        <w:tc>
          <w:tcPr>
            <w:tcW w:w="9461" w:type="dxa"/>
            <w:gridSpan w:val="2"/>
            <w:tcMar>
              <w:left w:w="105" w:type="dxa"/>
              <w:right w:w="105" w:type="dxa"/>
            </w:tcMar>
          </w:tcPr>
          <w:p w14:paraId="08C35280" w14:textId="77777777" w:rsidR="00735F5E" w:rsidRPr="006F7AF8" w:rsidRDefault="00735F5E" w:rsidP="009B4355">
            <w:pPr>
              <w:rPr>
                <w:rFonts w:ascii="Aptos" w:eastAsia="Aptos" w:hAnsi="Aptos" w:cs="Aptos"/>
                <w:lang w:val="fr-FR"/>
              </w:rPr>
            </w:pPr>
            <w:r>
              <w:rPr>
                <w:rFonts w:ascii="Aptos" w:eastAsia="Aptos" w:hAnsi="Aptos" w:cs="Aptos"/>
                <w:lang w:val="fr-FR"/>
              </w:rPr>
              <w:t>Figure 46</w:t>
            </w:r>
          </w:p>
        </w:tc>
      </w:tr>
      <w:tr w:rsidR="00735F5E" w:rsidRPr="00D53FDD" w14:paraId="705E7AFC" w14:textId="77777777" w:rsidTr="009B4355">
        <w:tc>
          <w:tcPr>
            <w:tcW w:w="4212" w:type="dxa"/>
            <w:tcMar>
              <w:left w:w="105" w:type="dxa"/>
              <w:right w:w="105" w:type="dxa"/>
            </w:tcMar>
          </w:tcPr>
          <w:p w14:paraId="73602F82" w14:textId="77777777" w:rsidR="00735F5E" w:rsidRPr="00D53FDD" w:rsidRDefault="00735F5E" w:rsidP="009B4355">
            <w:pPr>
              <w:rPr>
                <w:rFonts w:ascii="Aptos" w:eastAsia="Aptos" w:hAnsi="Aptos" w:cs="Aptos"/>
                <w:lang w:val="fr-FR"/>
              </w:rPr>
            </w:pPr>
            <w:r w:rsidRPr="00D53FDD">
              <w:rPr>
                <w:rFonts w:ascii="Aptos" w:eastAsia="Aptos" w:hAnsi="Aptos" w:cs="Aptos"/>
                <w:lang w:val="fr-FR"/>
              </w:rPr>
              <w:t xml:space="preserve">English </w:t>
            </w:r>
          </w:p>
        </w:tc>
        <w:tc>
          <w:tcPr>
            <w:tcW w:w="5248" w:type="dxa"/>
            <w:tcMar>
              <w:left w:w="105" w:type="dxa"/>
              <w:right w:w="105" w:type="dxa"/>
            </w:tcMar>
          </w:tcPr>
          <w:p w14:paraId="4C0B80F1" w14:textId="77777777" w:rsidR="00735F5E" w:rsidRPr="00D53FDD" w:rsidRDefault="00735F5E" w:rsidP="009B4355">
            <w:pPr>
              <w:rPr>
                <w:rFonts w:ascii="Aptos" w:eastAsia="Aptos" w:hAnsi="Aptos" w:cs="Aptos"/>
                <w:lang w:val="fr-FR"/>
              </w:rPr>
            </w:pPr>
            <w:r>
              <w:rPr>
                <w:rFonts w:ascii="Aptos" w:eastAsia="Aptos" w:hAnsi="Aptos" w:cs="Aptos"/>
                <w:lang w:val="fr-FR"/>
              </w:rPr>
              <w:t>Français</w:t>
            </w:r>
          </w:p>
        </w:tc>
      </w:tr>
      <w:tr w:rsidR="00735F5E" w:rsidRPr="006F7AF8" w14:paraId="0B0C7A1B" w14:textId="77777777" w:rsidTr="009B4355">
        <w:tc>
          <w:tcPr>
            <w:tcW w:w="4212" w:type="dxa"/>
            <w:tcMar>
              <w:left w:w="105" w:type="dxa"/>
              <w:right w:w="105" w:type="dxa"/>
            </w:tcMar>
          </w:tcPr>
          <w:p w14:paraId="73A102CA" w14:textId="77777777" w:rsidR="00735F5E" w:rsidRPr="006F7AF8" w:rsidRDefault="00735F5E" w:rsidP="009B4355">
            <w:pPr>
              <w:rPr>
                <w:rFonts w:ascii="Aptos" w:eastAsia="Aptos" w:hAnsi="Aptos" w:cs="Aptos"/>
                <w:lang w:val="fr-FR"/>
              </w:rPr>
            </w:pPr>
            <w:r w:rsidRPr="006F7AF8">
              <w:rPr>
                <w:rFonts w:ascii="Aptos" w:hAnsi="Aptos"/>
                <w:lang w:val="fr-FR"/>
              </w:rPr>
              <w:t>Forest area under an independently verified forest management certification scheme (million ha)</w:t>
            </w:r>
          </w:p>
        </w:tc>
        <w:tc>
          <w:tcPr>
            <w:tcW w:w="5248" w:type="dxa"/>
            <w:tcMar>
              <w:left w:w="105" w:type="dxa"/>
              <w:right w:w="105" w:type="dxa"/>
            </w:tcMar>
          </w:tcPr>
          <w:p w14:paraId="02F4F94C" w14:textId="77777777" w:rsidR="00735F5E" w:rsidRPr="006F7AF8" w:rsidRDefault="00735F5E" w:rsidP="009B4355">
            <w:pPr>
              <w:rPr>
                <w:rFonts w:ascii="Aptos" w:eastAsia="Aptos" w:hAnsi="Aptos" w:cs="Aptos"/>
                <w:lang w:val="fr-FR"/>
              </w:rPr>
            </w:pPr>
            <w:r w:rsidRPr="006F7AF8">
              <w:rPr>
                <w:rFonts w:ascii="Aptos" w:eastAsia="Aptos" w:hAnsi="Aptos" w:cs="Aptos"/>
                <w:lang w:val="fr-FR"/>
              </w:rPr>
              <w:t>Superficie forestière soumise à un système de certification de gestion forestière vérifié de manière indépendante (en millions d</w:t>
            </w:r>
            <w:r>
              <w:rPr>
                <w:rFonts w:ascii="Aptos" w:eastAsia="Aptos" w:hAnsi="Aptos" w:cs="Aptos"/>
                <w:lang w:val="fr-FR"/>
              </w:rPr>
              <w:t>’</w:t>
            </w:r>
            <w:r w:rsidRPr="006F7AF8">
              <w:rPr>
                <w:rFonts w:ascii="Aptos" w:eastAsia="Aptos" w:hAnsi="Aptos" w:cs="Aptos"/>
                <w:lang w:val="fr-FR"/>
              </w:rPr>
              <w:t>hectares)</w:t>
            </w:r>
          </w:p>
        </w:tc>
      </w:tr>
      <w:tr w:rsidR="00735F5E" w:rsidRPr="006F7AF8" w14:paraId="44E613CD" w14:textId="77777777" w:rsidTr="009B4355">
        <w:tc>
          <w:tcPr>
            <w:tcW w:w="4212" w:type="dxa"/>
            <w:tcMar>
              <w:left w:w="105" w:type="dxa"/>
              <w:right w:w="105" w:type="dxa"/>
            </w:tcMar>
          </w:tcPr>
          <w:p w14:paraId="78B518B4" w14:textId="77777777" w:rsidR="00735F5E" w:rsidRPr="006F7AF8" w:rsidRDefault="00735F5E" w:rsidP="009B4355">
            <w:pPr>
              <w:rPr>
                <w:rFonts w:ascii="Aptos" w:eastAsia="Aptos" w:hAnsi="Aptos" w:cs="Aptos"/>
                <w:lang w:val="fr-FR"/>
              </w:rPr>
            </w:pPr>
            <w:r w:rsidRPr="006F7AF8">
              <w:rPr>
                <w:rFonts w:ascii="Aptos" w:hAnsi="Aptos"/>
                <w:lang w:val="fr-FR"/>
              </w:rPr>
              <w:t>Year</w:t>
            </w:r>
          </w:p>
        </w:tc>
        <w:tc>
          <w:tcPr>
            <w:tcW w:w="5248" w:type="dxa"/>
            <w:tcMar>
              <w:left w:w="105" w:type="dxa"/>
              <w:right w:w="105" w:type="dxa"/>
            </w:tcMar>
          </w:tcPr>
          <w:p w14:paraId="56819961" w14:textId="77777777" w:rsidR="00735F5E" w:rsidRPr="006F7AF8" w:rsidRDefault="00735F5E" w:rsidP="009B4355">
            <w:pPr>
              <w:rPr>
                <w:rFonts w:ascii="Aptos" w:eastAsia="Aptos" w:hAnsi="Aptos" w:cs="Aptos"/>
                <w:lang w:val="fr-FR"/>
              </w:rPr>
            </w:pPr>
            <w:r w:rsidRPr="006F7AF8">
              <w:rPr>
                <w:rFonts w:ascii="Aptos" w:eastAsia="Aptos" w:hAnsi="Aptos" w:cs="Aptos"/>
                <w:lang w:val="fr-FR"/>
              </w:rPr>
              <w:t>Année</w:t>
            </w:r>
          </w:p>
        </w:tc>
      </w:tr>
      <w:tr w:rsidR="00735F5E" w:rsidRPr="006F7AF8" w14:paraId="05429F05" w14:textId="77777777" w:rsidTr="009B4355">
        <w:tc>
          <w:tcPr>
            <w:tcW w:w="4212" w:type="dxa"/>
            <w:tcMar>
              <w:left w:w="105" w:type="dxa"/>
              <w:right w:w="105" w:type="dxa"/>
            </w:tcMar>
          </w:tcPr>
          <w:p w14:paraId="49927916" w14:textId="77777777" w:rsidR="00735F5E" w:rsidRPr="006F7AF8" w:rsidRDefault="00735F5E" w:rsidP="009B4355">
            <w:pPr>
              <w:rPr>
                <w:rFonts w:ascii="Aptos" w:eastAsia="Aptos" w:hAnsi="Aptos" w:cs="Aptos"/>
                <w:lang w:val="fr-FR"/>
              </w:rPr>
            </w:pPr>
            <w:r w:rsidRPr="006F7AF8">
              <w:rPr>
                <w:rFonts w:ascii="Aptos" w:hAnsi="Aptos"/>
                <w:lang w:val="fr-FR"/>
              </w:rPr>
              <w:t>Party count: 25</w:t>
            </w:r>
          </w:p>
        </w:tc>
        <w:tc>
          <w:tcPr>
            <w:tcW w:w="5248" w:type="dxa"/>
            <w:tcMar>
              <w:left w:w="105" w:type="dxa"/>
              <w:right w:w="105" w:type="dxa"/>
            </w:tcMar>
          </w:tcPr>
          <w:p w14:paraId="133C2420" w14:textId="77777777" w:rsidR="00735F5E" w:rsidRPr="006F7AF8" w:rsidRDefault="00735F5E" w:rsidP="009B4355">
            <w:pPr>
              <w:rPr>
                <w:rFonts w:ascii="Aptos" w:eastAsia="Aptos" w:hAnsi="Aptos" w:cs="Aptos"/>
                <w:lang w:val="fr-FR"/>
              </w:rPr>
            </w:pPr>
            <w:r w:rsidRPr="006F7AF8">
              <w:rPr>
                <w:rFonts w:ascii="Aptos" w:hAnsi="Aptos"/>
                <w:lang w:val="fr-FR"/>
              </w:rPr>
              <w:t>Nombre de Parties : 25</w:t>
            </w:r>
          </w:p>
        </w:tc>
      </w:tr>
      <w:tr w:rsidR="00735F5E" w:rsidRPr="006F7AF8" w14:paraId="763A3B58" w14:textId="77777777" w:rsidTr="009B4355">
        <w:tc>
          <w:tcPr>
            <w:tcW w:w="4212" w:type="dxa"/>
            <w:tcMar>
              <w:left w:w="105" w:type="dxa"/>
              <w:right w:w="105" w:type="dxa"/>
            </w:tcMar>
          </w:tcPr>
          <w:p w14:paraId="67DB298D" w14:textId="77777777" w:rsidR="00735F5E" w:rsidRPr="006F7AF8" w:rsidRDefault="00735F5E" w:rsidP="009B4355">
            <w:pPr>
              <w:rPr>
                <w:rFonts w:ascii="Aptos" w:eastAsia="Aptos" w:hAnsi="Aptos" w:cs="Aptos"/>
                <w:lang w:val="fr-FR"/>
              </w:rPr>
            </w:pPr>
            <w:r w:rsidRPr="006F7AF8">
              <w:rPr>
                <w:rFonts w:ascii="Aptos" w:hAnsi="Aptos"/>
                <w:lang w:val="fr-FR"/>
              </w:rPr>
              <w:lastRenderedPageBreak/>
              <w:t>Share of forest area</w:t>
            </w:r>
          </w:p>
        </w:tc>
        <w:tc>
          <w:tcPr>
            <w:tcW w:w="5248" w:type="dxa"/>
            <w:tcMar>
              <w:left w:w="105" w:type="dxa"/>
              <w:right w:w="105" w:type="dxa"/>
            </w:tcMar>
          </w:tcPr>
          <w:p w14:paraId="5DD602E7" w14:textId="77777777" w:rsidR="00735F5E" w:rsidRPr="006F7AF8" w:rsidRDefault="00735F5E" w:rsidP="009B4355">
            <w:pPr>
              <w:rPr>
                <w:rFonts w:ascii="Aptos" w:eastAsia="Aptos" w:hAnsi="Aptos" w:cs="Aptos"/>
                <w:lang w:val="fr-FR"/>
              </w:rPr>
            </w:pPr>
            <w:r w:rsidRPr="006F7AF8">
              <w:rPr>
                <w:rFonts w:ascii="Aptos" w:eastAsia="Aptos" w:hAnsi="Aptos" w:cs="Aptos"/>
                <w:lang w:val="fr-FR"/>
              </w:rPr>
              <w:t>Part de la superficie forestière</w:t>
            </w:r>
          </w:p>
        </w:tc>
      </w:tr>
      <w:tr w:rsidR="00735F5E" w:rsidRPr="006F7AF8" w14:paraId="5D439E15" w14:textId="77777777" w:rsidTr="009B4355">
        <w:tc>
          <w:tcPr>
            <w:tcW w:w="4212" w:type="dxa"/>
            <w:tcMar>
              <w:left w:w="105" w:type="dxa"/>
              <w:right w:w="105" w:type="dxa"/>
            </w:tcMar>
          </w:tcPr>
          <w:p w14:paraId="3303A099" w14:textId="77777777" w:rsidR="00735F5E" w:rsidRPr="006F7AF8" w:rsidRDefault="00735F5E" w:rsidP="009B4355">
            <w:pPr>
              <w:rPr>
                <w:rFonts w:ascii="Aptos" w:eastAsia="Aptos" w:hAnsi="Aptos" w:cs="Aptos"/>
                <w:lang w:val="fr-FR"/>
              </w:rPr>
            </w:pPr>
            <w:r w:rsidRPr="006F7AF8">
              <w:rPr>
                <w:rFonts w:ascii="Aptos" w:hAnsi="Aptos"/>
                <w:lang w:val="fr-FR"/>
              </w:rPr>
              <w:t>Party count by region</w:t>
            </w:r>
          </w:p>
        </w:tc>
        <w:tc>
          <w:tcPr>
            <w:tcW w:w="5248" w:type="dxa"/>
            <w:tcMar>
              <w:left w:w="105" w:type="dxa"/>
              <w:right w:w="105" w:type="dxa"/>
            </w:tcMar>
          </w:tcPr>
          <w:p w14:paraId="2D34CA5A" w14:textId="77777777" w:rsidR="00735F5E" w:rsidRPr="006F7AF8" w:rsidRDefault="00735F5E" w:rsidP="009B4355">
            <w:pPr>
              <w:rPr>
                <w:rFonts w:ascii="Aptos" w:eastAsia="Aptos" w:hAnsi="Aptos" w:cs="Aptos"/>
                <w:lang w:val="fr-FR"/>
              </w:rPr>
            </w:pPr>
            <w:r w:rsidRPr="006F7AF8">
              <w:rPr>
                <w:rFonts w:ascii="Aptos" w:hAnsi="Aptos"/>
                <w:lang w:val="fr-FR"/>
              </w:rPr>
              <w:t>Nombre de Parties par région</w:t>
            </w:r>
          </w:p>
        </w:tc>
      </w:tr>
      <w:tr w:rsidR="00735F5E" w:rsidRPr="006F7AF8" w14:paraId="095B46B4" w14:textId="77777777" w:rsidTr="009B4355">
        <w:tc>
          <w:tcPr>
            <w:tcW w:w="4212" w:type="dxa"/>
            <w:tcMar>
              <w:left w:w="105" w:type="dxa"/>
              <w:right w:w="105" w:type="dxa"/>
            </w:tcMar>
          </w:tcPr>
          <w:p w14:paraId="06147F19" w14:textId="77777777" w:rsidR="00735F5E" w:rsidRPr="006F7AF8" w:rsidRDefault="00735F5E" w:rsidP="009B4355">
            <w:pPr>
              <w:rPr>
                <w:rFonts w:ascii="Aptos" w:eastAsia="Aptos" w:hAnsi="Aptos" w:cs="Aptos"/>
                <w:lang w:val="fr-FR"/>
              </w:rPr>
            </w:pPr>
            <w:r w:rsidRPr="006F7AF8">
              <w:rPr>
                <w:rFonts w:ascii="Aptos" w:hAnsi="Aptos"/>
                <w:lang w:val="fr-FR"/>
              </w:rPr>
              <w:t>Region</w:t>
            </w:r>
          </w:p>
        </w:tc>
        <w:tc>
          <w:tcPr>
            <w:tcW w:w="5248" w:type="dxa"/>
            <w:tcMar>
              <w:left w:w="105" w:type="dxa"/>
              <w:right w:w="105" w:type="dxa"/>
            </w:tcMar>
          </w:tcPr>
          <w:p w14:paraId="5B5C9209" w14:textId="77777777" w:rsidR="00735F5E" w:rsidRPr="006F7AF8" w:rsidRDefault="00735F5E" w:rsidP="009B4355">
            <w:pPr>
              <w:rPr>
                <w:rFonts w:ascii="Aptos" w:eastAsia="Aptos" w:hAnsi="Aptos" w:cs="Aptos"/>
                <w:lang w:val="fr-FR"/>
              </w:rPr>
            </w:pPr>
            <w:r w:rsidRPr="006F7AF8">
              <w:rPr>
                <w:rFonts w:ascii="Aptos" w:hAnsi="Aptos"/>
                <w:lang w:val="fr-FR"/>
              </w:rPr>
              <w:t>Région</w:t>
            </w:r>
          </w:p>
        </w:tc>
      </w:tr>
      <w:tr w:rsidR="00735F5E" w:rsidRPr="006F7AF8" w14:paraId="20EF671A" w14:textId="77777777" w:rsidTr="009B4355">
        <w:tc>
          <w:tcPr>
            <w:tcW w:w="4212" w:type="dxa"/>
            <w:tcMar>
              <w:left w:w="105" w:type="dxa"/>
              <w:right w:w="105" w:type="dxa"/>
            </w:tcMar>
          </w:tcPr>
          <w:p w14:paraId="0DB41C4B" w14:textId="77777777" w:rsidR="00735F5E" w:rsidRPr="006F7AF8" w:rsidRDefault="00735F5E" w:rsidP="009B4355">
            <w:pPr>
              <w:rPr>
                <w:rFonts w:ascii="Aptos" w:eastAsia="Aptos" w:hAnsi="Aptos" w:cs="Aptos"/>
                <w:lang w:val="fr-FR"/>
              </w:rPr>
            </w:pPr>
            <w:r w:rsidRPr="006F7AF8">
              <w:rPr>
                <w:rFonts w:ascii="Aptos" w:hAnsi="Aptos"/>
                <w:lang w:val="fr-FR"/>
              </w:rPr>
              <w:t>African States</w:t>
            </w:r>
          </w:p>
        </w:tc>
        <w:tc>
          <w:tcPr>
            <w:tcW w:w="5248" w:type="dxa"/>
            <w:tcMar>
              <w:left w:w="105" w:type="dxa"/>
              <w:right w:w="105" w:type="dxa"/>
            </w:tcMar>
          </w:tcPr>
          <w:p w14:paraId="51AE25DD" w14:textId="77777777" w:rsidR="00735F5E" w:rsidRPr="006F7AF8" w:rsidRDefault="00735F5E" w:rsidP="009B4355">
            <w:pPr>
              <w:rPr>
                <w:rFonts w:ascii="Aptos" w:eastAsia="Aptos" w:hAnsi="Aptos" w:cs="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514ED3C0" w14:textId="77777777" w:rsidTr="009B4355">
        <w:tc>
          <w:tcPr>
            <w:tcW w:w="4212" w:type="dxa"/>
            <w:tcMar>
              <w:left w:w="105" w:type="dxa"/>
              <w:right w:w="105" w:type="dxa"/>
            </w:tcMar>
          </w:tcPr>
          <w:p w14:paraId="1B5325CB" w14:textId="77777777" w:rsidR="00735F5E" w:rsidRPr="006F7AF8" w:rsidRDefault="00735F5E" w:rsidP="009B4355">
            <w:pPr>
              <w:rPr>
                <w:rFonts w:ascii="Aptos" w:eastAsia="Aptos" w:hAnsi="Aptos" w:cs="Aptos"/>
                <w:lang w:val="fr-FR"/>
              </w:rPr>
            </w:pPr>
            <w:r w:rsidRPr="006F7AF8">
              <w:rPr>
                <w:rFonts w:ascii="Aptos" w:hAnsi="Aptos"/>
                <w:lang w:val="fr-FR"/>
              </w:rPr>
              <w:t>Asia-Pacific States</w:t>
            </w:r>
          </w:p>
        </w:tc>
        <w:tc>
          <w:tcPr>
            <w:tcW w:w="5248" w:type="dxa"/>
            <w:tcMar>
              <w:left w:w="105" w:type="dxa"/>
              <w:right w:w="105" w:type="dxa"/>
            </w:tcMar>
          </w:tcPr>
          <w:p w14:paraId="5FDD8BF3" w14:textId="77777777" w:rsidR="00735F5E" w:rsidRPr="006F7AF8" w:rsidRDefault="00735F5E" w:rsidP="009B4355">
            <w:pPr>
              <w:rPr>
                <w:rFonts w:ascii="Aptos" w:eastAsia="Aptos" w:hAnsi="Aptos" w:cs="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0B0E0834" w14:textId="77777777" w:rsidTr="009B4355">
        <w:tc>
          <w:tcPr>
            <w:tcW w:w="4212" w:type="dxa"/>
            <w:tcMar>
              <w:left w:w="105" w:type="dxa"/>
              <w:right w:w="105" w:type="dxa"/>
            </w:tcMar>
          </w:tcPr>
          <w:p w14:paraId="581E4ADC" w14:textId="77777777" w:rsidR="00735F5E" w:rsidRPr="006F7AF8" w:rsidRDefault="00735F5E" w:rsidP="009B4355">
            <w:pPr>
              <w:rPr>
                <w:rFonts w:ascii="Aptos" w:eastAsia="Aptos" w:hAnsi="Aptos" w:cs="Aptos"/>
                <w:lang w:val="fr-FR"/>
              </w:rPr>
            </w:pPr>
            <w:r w:rsidRPr="006F7AF8">
              <w:rPr>
                <w:rFonts w:ascii="Aptos" w:hAnsi="Aptos"/>
                <w:lang w:val="fr-FR"/>
              </w:rPr>
              <w:t>Latin American and Caribbean States</w:t>
            </w:r>
          </w:p>
        </w:tc>
        <w:tc>
          <w:tcPr>
            <w:tcW w:w="5248" w:type="dxa"/>
            <w:tcMar>
              <w:left w:w="105" w:type="dxa"/>
              <w:right w:w="105" w:type="dxa"/>
            </w:tcMar>
          </w:tcPr>
          <w:p w14:paraId="1D2AB928" w14:textId="77777777" w:rsidR="00735F5E" w:rsidRPr="006F7AF8" w:rsidRDefault="00735F5E" w:rsidP="009B4355">
            <w:pPr>
              <w:rPr>
                <w:rFonts w:ascii="Aptos" w:eastAsia="Aptos" w:hAnsi="Aptos" w:cs="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1DA11878" w14:textId="77777777" w:rsidTr="009B4355">
        <w:tc>
          <w:tcPr>
            <w:tcW w:w="4212" w:type="dxa"/>
            <w:tcMar>
              <w:left w:w="105" w:type="dxa"/>
              <w:right w:w="105" w:type="dxa"/>
            </w:tcMar>
          </w:tcPr>
          <w:p w14:paraId="345D701C" w14:textId="77777777" w:rsidR="00735F5E" w:rsidRPr="006F7AF8" w:rsidRDefault="00735F5E" w:rsidP="009B4355">
            <w:pPr>
              <w:rPr>
                <w:rFonts w:ascii="Aptos" w:eastAsia="Aptos" w:hAnsi="Aptos" w:cs="Aptos"/>
                <w:lang w:val="fr-FR"/>
              </w:rPr>
            </w:pPr>
            <w:r w:rsidRPr="006F7AF8">
              <w:rPr>
                <w:rFonts w:ascii="Aptos" w:hAnsi="Aptos"/>
                <w:lang w:val="fr-FR"/>
              </w:rPr>
              <w:t>Eastern European States</w:t>
            </w:r>
          </w:p>
        </w:tc>
        <w:tc>
          <w:tcPr>
            <w:tcW w:w="5248" w:type="dxa"/>
            <w:tcMar>
              <w:left w:w="105" w:type="dxa"/>
              <w:right w:w="105" w:type="dxa"/>
            </w:tcMar>
          </w:tcPr>
          <w:p w14:paraId="7FA2A501" w14:textId="77777777" w:rsidR="00735F5E" w:rsidRPr="006F7AF8" w:rsidRDefault="00735F5E" w:rsidP="009B4355">
            <w:pPr>
              <w:rPr>
                <w:rFonts w:ascii="Aptos" w:eastAsia="Aptos" w:hAnsi="Aptos" w:cs="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131925C2" w14:textId="77777777" w:rsidTr="009B4355">
        <w:tc>
          <w:tcPr>
            <w:tcW w:w="4212" w:type="dxa"/>
            <w:tcMar>
              <w:left w:w="105" w:type="dxa"/>
              <w:right w:w="105" w:type="dxa"/>
            </w:tcMar>
          </w:tcPr>
          <w:p w14:paraId="483465DF" w14:textId="77777777" w:rsidR="00735F5E" w:rsidRPr="006F7AF8" w:rsidRDefault="00735F5E" w:rsidP="009B4355">
            <w:pPr>
              <w:rPr>
                <w:rFonts w:ascii="Aptos" w:eastAsia="Aptos" w:hAnsi="Aptos" w:cs="Aptos"/>
                <w:lang w:val="fr-FR"/>
              </w:rPr>
            </w:pPr>
            <w:r w:rsidRPr="006F7AF8">
              <w:rPr>
                <w:rFonts w:ascii="Aptos" w:hAnsi="Aptos"/>
                <w:lang w:val="fr-FR"/>
              </w:rPr>
              <w:t>Western European and other States</w:t>
            </w:r>
          </w:p>
        </w:tc>
        <w:tc>
          <w:tcPr>
            <w:tcW w:w="5248" w:type="dxa"/>
            <w:tcMar>
              <w:left w:w="105" w:type="dxa"/>
              <w:right w:w="105" w:type="dxa"/>
            </w:tcMar>
          </w:tcPr>
          <w:p w14:paraId="1D34F148" w14:textId="77777777" w:rsidR="00735F5E" w:rsidRPr="006F7AF8" w:rsidRDefault="00735F5E" w:rsidP="009B4355">
            <w:pPr>
              <w:rPr>
                <w:rFonts w:ascii="Aptos" w:eastAsia="Aptos" w:hAnsi="Aptos" w:cs="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59F91C2" w14:textId="77777777" w:rsidR="00B87039" w:rsidRPr="00653BF4" w:rsidRDefault="00B87039" w:rsidP="00B87039">
      <w:pPr>
        <w:rPr>
          <w:lang w:val="fr-FR" w:eastAsia="ja-JP"/>
        </w:rPr>
      </w:pPr>
    </w:p>
    <w:p w14:paraId="25A78589" w14:textId="77777777" w:rsidR="00B87039" w:rsidRPr="00653BF4" w:rsidRDefault="00B87039" w:rsidP="00B87039">
      <w:pPr>
        <w:rPr>
          <w:lang w:val="fr-FR" w:eastAsia="ja-JP"/>
        </w:rPr>
      </w:pPr>
    </w:p>
    <w:p w14:paraId="26BAAC3E" w14:textId="77777777" w:rsidR="00B87039" w:rsidRPr="00653BF4" w:rsidRDefault="00B87039" w:rsidP="00B87039">
      <w:pPr>
        <w:rPr>
          <w:lang w:val="fr-FR" w:eastAsia="ja-JP"/>
        </w:rPr>
      </w:pPr>
    </w:p>
    <w:p w14:paraId="626E8756" w14:textId="77777777" w:rsidR="00B87039" w:rsidRPr="00653BF4" w:rsidRDefault="00B87039" w:rsidP="00B87039">
      <w:pPr>
        <w:rPr>
          <w:lang w:val="fr-FR" w:eastAsia="ja-JP"/>
        </w:rPr>
      </w:pPr>
    </w:p>
    <w:p w14:paraId="454ACCA7" w14:textId="77777777" w:rsidR="00B87039" w:rsidRPr="00653BF4" w:rsidRDefault="00B87039" w:rsidP="00B87039">
      <w:pPr>
        <w:rPr>
          <w:sz w:val="20"/>
          <w:szCs w:val="20"/>
          <w:lang w:val="fr-FR" w:eastAsia="ja-JP"/>
        </w:rPr>
      </w:pPr>
      <w:r w:rsidRPr="00653BF4">
        <w:rPr>
          <w:sz w:val="20"/>
          <w:szCs w:val="20"/>
          <w:lang w:val="fr-FR"/>
        </w:rPr>
        <w:t xml:space="preserve">Figure 47 </w:t>
      </w:r>
    </w:p>
    <w:p w14:paraId="6199F769" w14:textId="5FD4E098" w:rsidR="00B87039" w:rsidRPr="00653BF4"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1</w:t>
      </w:r>
      <w:r w:rsidRPr="00653BF4">
        <w:rPr>
          <w:b/>
          <w:bCs/>
          <w:i w:val="0"/>
          <w:iCs w:val="0"/>
          <w:sz w:val="20"/>
          <w:szCs w:val="20"/>
          <w:lang w:val="fr-FR"/>
        </w:rPr>
        <w:t>0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4B71A861" w14:textId="77777777" w:rsidR="00B87039" w:rsidRPr="00653BF4" w:rsidRDefault="00B87039" w:rsidP="00B87039">
      <w:pPr>
        <w:pStyle w:val="Caption"/>
        <w:rPr>
          <w:lang w:val="fr-FR"/>
        </w:rPr>
      </w:pPr>
      <w:bookmarkStart w:id="199" w:name="_Ref231198038"/>
      <w:r w:rsidRPr="00653BF4">
        <w:rPr>
          <w:noProof/>
          <w:lang w:val="fr-FR"/>
          <w14:ligatures w14:val="standardContextual"/>
        </w:rPr>
        <w:drawing>
          <wp:inline distT="0" distB="0" distL="0" distR="0" wp14:anchorId="6D5990B0" wp14:editId="2010A7E6">
            <wp:extent cx="5731510" cy="2456180"/>
            <wp:effectExtent l="0" t="0" r="0" b="0"/>
            <wp:docPr id="13899663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966342" name="Picture 1389966342"/>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199"/>
    <w:p w14:paraId="62556C59" w14:textId="4B02703F"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i w:val="0"/>
          <w:iCs w:val="0"/>
          <w:lang w:val="fr-FR"/>
        </w:rPr>
        <w:t xml:space="preserve"> Les proportions sont pondérées par Partie. Les tendances incluent des données relatives à 2 indicateurs phares provenant de 63 Parties, ainsi qu</w:t>
      </w:r>
      <w:r w:rsidR="00D77549">
        <w:rPr>
          <w:i w:val="0"/>
          <w:iCs w:val="0"/>
          <w:lang w:val="fr-FR"/>
        </w:rPr>
        <w:t>’</w:t>
      </w:r>
      <w:r w:rsidRPr="00653BF4">
        <w:rPr>
          <w:i w:val="0"/>
          <w:iCs w:val="0"/>
          <w:lang w:val="fr-FR"/>
        </w:rPr>
        <w:t xml:space="preserve">à 3 indicateurs de composante, 5 indicateurs complémentaires et 94 indicateurs nationaux provenant au total de 30 Parties. Le diagramme circulaire représente la répartition, par région, des Parties ayant communiqué des indicateurs pour la </w:t>
      </w:r>
      <w:r w:rsidR="00E34DC9">
        <w:rPr>
          <w:i w:val="0"/>
          <w:iCs w:val="0"/>
          <w:lang w:val="fr-FR"/>
        </w:rPr>
        <w:t>cible 1</w:t>
      </w:r>
      <w:r w:rsidRPr="00653BF4">
        <w:rPr>
          <w:i w:val="0"/>
          <w:iCs w:val="0"/>
          <w:lang w:val="fr-FR"/>
        </w:rPr>
        <w:t>0.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735F5E" w:rsidRPr="006F7AF8" w14:paraId="6656FD7C" w14:textId="77777777" w:rsidTr="009B4355">
        <w:tc>
          <w:tcPr>
            <w:tcW w:w="8861" w:type="dxa"/>
            <w:gridSpan w:val="2"/>
          </w:tcPr>
          <w:p w14:paraId="00916EDE" w14:textId="77777777" w:rsidR="00735F5E" w:rsidRPr="006F7AF8" w:rsidRDefault="00735F5E" w:rsidP="009B4355">
            <w:pPr>
              <w:rPr>
                <w:rFonts w:ascii="Aptos" w:hAnsi="Aptos"/>
                <w:lang w:val="fr-FR"/>
              </w:rPr>
            </w:pPr>
            <w:r>
              <w:rPr>
                <w:rFonts w:ascii="Aptos" w:hAnsi="Aptos"/>
                <w:lang w:val="fr-FR"/>
              </w:rPr>
              <w:t>Figure 47</w:t>
            </w:r>
          </w:p>
        </w:tc>
      </w:tr>
      <w:tr w:rsidR="00735F5E" w:rsidRPr="00A75484" w14:paraId="2A1CE802" w14:textId="77777777" w:rsidTr="009B4355">
        <w:tc>
          <w:tcPr>
            <w:tcW w:w="4188" w:type="dxa"/>
          </w:tcPr>
          <w:p w14:paraId="324758CA" w14:textId="77777777" w:rsidR="00735F5E" w:rsidRPr="00A75484" w:rsidRDefault="00735F5E" w:rsidP="009B4355">
            <w:pPr>
              <w:rPr>
                <w:rFonts w:ascii="Aptos" w:hAnsi="Aptos"/>
                <w:lang w:val="fr-FR"/>
              </w:rPr>
            </w:pPr>
            <w:r w:rsidRPr="00A75484">
              <w:rPr>
                <w:rFonts w:ascii="Aptos" w:hAnsi="Aptos"/>
                <w:lang w:val="fr-FR"/>
              </w:rPr>
              <w:t>English</w:t>
            </w:r>
          </w:p>
        </w:tc>
        <w:tc>
          <w:tcPr>
            <w:tcW w:w="4673" w:type="dxa"/>
          </w:tcPr>
          <w:p w14:paraId="7625FB0C" w14:textId="77777777" w:rsidR="00735F5E" w:rsidRPr="00A75484" w:rsidRDefault="00735F5E" w:rsidP="009B4355">
            <w:pPr>
              <w:rPr>
                <w:rFonts w:ascii="Aptos" w:hAnsi="Aptos"/>
                <w:lang w:val="fr-FR"/>
              </w:rPr>
            </w:pPr>
            <w:r>
              <w:rPr>
                <w:rFonts w:ascii="Aptos" w:hAnsi="Aptos"/>
                <w:lang w:val="fr-FR"/>
              </w:rPr>
              <w:t>Français</w:t>
            </w:r>
          </w:p>
        </w:tc>
      </w:tr>
      <w:tr w:rsidR="00735F5E" w:rsidRPr="006F7AF8" w14:paraId="64B5B445" w14:textId="77777777" w:rsidTr="009B4355">
        <w:tc>
          <w:tcPr>
            <w:tcW w:w="4188" w:type="dxa"/>
          </w:tcPr>
          <w:p w14:paraId="31FD56E4" w14:textId="77777777" w:rsidR="00735F5E" w:rsidRPr="006F7AF8" w:rsidRDefault="00735F5E" w:rsidP="009B4355">
            <w:pPr>
              <w:rPr>
                <w:rFonts w:ascii="Aptos" w:hAnsi="Aptos"/>
                <w:lang w:val="fr-FR"/>
              </w:rPr>
            </w:pPr>
            <w:r w:rsidRPr="006F7AF8">
              <w:rPr>
                <w:rFonts w:ascii="Aptos" w:hAnsi="Aptos"/>
                <w:lang w:val="fr-FR"/>
              </w:rPr>
              <w:t>Proportion</w:t>
            </w:r>
          </w:p>
        </w:tc>
        <w:tc>
          <w:tcPr>
            <w:tcW w:w="4673" w:type="dxa"/>
          </w:tcPr>
          <w:p w14:paraId="5EFB2B37" w14:textId="77777777" w:rsidR="00735F5E" w:rsidRPr="006F7AF8" w:rsidRDefault="00735F5E" w:rsidP="009B4355">
            <w:pPr>
              <w:rPr>
                <w:rFonts w:ascii="Aptos" w:hAnsi="Aptos"/>
                <w:lang w:val="fr-FR"/>
              </w:rPr>
            </w:pPr>
            <w:r w:rsidRPr="006F7AF8">
              <w:rPr>
                <w:rFonts w:ascii="Aptos" w:hAnsi="Aptos"/>
                <w:lang w:val="fr-FR"/>
              </w:rPr>
              <w:t>Proportion</w:t>
            </w:r>
          </w:p>
        </w:tc>
      </w:tr>
      <w:tr w:rsidR="00735F5E" w:rsidRPr="006F7AF8" w14:paraId="5B8136CE" w14:textId="77777777" w:rsidTr="009B4355">
        <w:tc>
          <w:tcPr>
            <w:tcW w:w="4188" w:type="dxa"/>
          </w:tcPr>
          <w:p w14:paraId="29D1AC5C" w14:textId="77777777" w:rsidR="00735F5E" w:rsidRPr="006F7AF8" w:rsidRDefault="00735F5E" w:rsidP="009B4355">
            <w:pPr>
              <w:rPr>
                <w:rFonts w:ascii="Aptos" w:hAnsi="Aptos"/>
                <w:lang w:val="fr-FR"/>
              </w:rPr>
            </w:pPr>
            <w:r w:rsidRPr="006F7AF8">
              <w:rPr>
                <w:rFonts w:ascii="Aptos" w:hAnsi="Aptos"/>
                <w:lang w:val="fr-FR"/>
              </w:rPr>
              <w:t>Current Status</w:t>
            </w:r>
          </w:p>
        </w:tc>
        <w:tc>
          <w:tcPr>
            <w:tcW w:w="4673" w:type="dxa"/>
          </w:tcPr>
          <w:p w14:paraId="6BCE1179" w14:textId="77777777" w:rsidR="00735F5E" w:rsidRPr="006F7AF8" w:rsidRDefault="00735F5E" w:rsidP="009B4355">
            <w:pPr>
              <w:rPr>
                <w:rFonts w:ascii="Aptos" w:hAnsi="Aptos"/>
                <w:lang w:val="fr-FR"/>
              </w:rPr>
            </w:pPr>
            <w:r w:rsidRPr="006F7AF8">
              <w:rPr>
                <w:rFonts w:ascii="Aptos" w:hAnsi="Aptos"/>
                <w:lang w:val="fr-FR"/>
              </w:rPr>
              <w:t>État actuel</w:t>
            </w:r>
          </w:p>
        </w:tc>
      </w:tr>
      <w:tr w:rsidR="00735F5E" w:rsidRPr="006F7AF8" w14:paraId="7D01D148" w14:textId="77777777" w:rsidTr="009B4355">
        <w:tc>
          <w:tcPr>
            <w:tcW w:w="4188" w:type="dxa"/>
          </w:tcPr>
          <w:p w14:paraId="072073C0" w14:textId="77777777" w:rsidR="00735F5E" w:rsidRPr="006F7AF8" w:rsidRDefault="00735F5E" w:rsidP="009B4355">
            <w:pPr>
              <w:rPr>
                <w:rFonts w:ascii="Aptos" w:hAnsi="Aptos"/>
                <w:lang w:val="fr-FR"/>
              </w:rPr>
            </w:pPr>
            <w:r w:rsidRPr="006F7AF8">
              <w:rPr>
                <w:rFonts w:ascii="Aptos" w:hAnsi="Aptos"/>
                <w:lang w:val="fr-FR"/>
              </w:rPr>
              <w:t>improving</w:t>
            </w:r>
          </w:p>
        </w:tc>
        <w:tc>
          <w:tcPr>
            <w:tcW w:w="4673" w:type="dxa"/>
          </w:tcPr>
          <w:p w14:paraId="03054A58" w14:textId="77777777" w:rsidR="00735F5E" w:rsidRPr="006F7AF8" w:rsidRDefault="00735F5E" w:rsidP="009B4355">
            <w:pPr>
              <w:rPr>
                <w:rFonts w:ascii="Aptos" w:hAnsi="Aptos"/>
                <w:lang w:val="fr-FR"/>
              </w:rPr>
            </w:pPr>
            <w:r>
              <w:rPr>
                <w:rFonts w:ascii="Aptos" w:hAnsi="Aptos"/>
                <w:lang w:val="fr-FR"/>
              </w:rPr>
              <w:t>amélioration</w:t>
            </w:r>
          </w:p>
        </w:tc>
      </w:tr>
      <w:tr w:rsidR="00735F5E" w:rsidRPr="006F7AF8" w14:paraId="4AFBFF08" w14:textId="77777777" w:rsidTr="009B4355">
        <w:tc>
          <w:tcPr>
            <w:tcW w:w="4188" w:type="dxa"/>
          </w:tcPr>
          <w:p w14:paraId="49C6A3A8" w14:textId="77777777" w:rsidR="00735F5E" w:rsidRPr="006F7AF8" w:rsidRDefault="00735F5E" w:rsidP="009B4355">
            <w:pPr>
              <w:rPr>
                <w:rFonts w:ascii="Aptos" w:hAnsi="Aptos"/>
                <w:lang w:val="fr-FR"/>
              </w:rPr>
            </w:pPr>
            <w:r w:rsidRPr="006F7AF8">
              <w:rPr>
                <w:rFonts w:ascii="Aptos" w:hAnsi="Aptos"/>
                <w:lang w:val="fr-FR"/>
              </w:rPr>
              <w:lastRenderedPageBreak/>
              <w:t>stable</w:t>
            </w:r>
          </w:p>
        </w:tc>
        <w:tc>
          <w:tcPr>
            <w:tcW w:w="4673" w:type="dxa"/>
          </w:tcPr>
          <w:p w14:paraId="64812F2F" w14:textId="77777777" w:rsidR="00735F5E" w:rsidRPr="006F7AF8" w:rsidRDefault="00735F5E"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735F5E" w:rsidRPr="006F7AF8" w14:paraId="2DF7A66F" w14:textId="77777777" w:rsidTr="009B4355">
        <w:tc>
          <w:tcPr>
            <w:tcW w:w="4188" w:type="dxa"/>
          </w:tcPr>
          <w:p w14:paraId="4073B165" w14:textId="77777777" w:rsidR="00735F5E" w:rsidRPr="006F7AF8" w:rsidRDefault="00735F5E" w:rsidP="009B4355">
            <w:pPr>
              <w:rPr>
                <w:rFonts w:ascii="Aptos" w:hAnsi="Aptos"/>
                <w:lang w:val="fr-FR"/>
              </w:rPr>
            </w:pPr>
            <w:r w:rsidRPr="006F7AF8">
              <w:rPr>
                <w:rFonts w:ascii="Aptos" w:hAnsi="Aptos"/>
                <w:lang w:val="fr-FR"/>
              </w:rPr>
              <w:t>moving away</w:t>
            </w:r>
          </w:p>
        </w:tc>
        <w:tc>
          <w:tcPr>
            <w:tcW w:w="4673" w:type="dxa"/>
          </w:tcPr>
          <w:p w14:paraId="31694137" w14:textId="77777777" w:rsidR="00735F5E" w:rsidRPr="006F7AF8" w:rsidRDefault="00735F5E" w:rsidP="009B4355">
            <w:pPr>
              <w:rPr>
                <w:rFonts w:ascii="Aptos" w:hAnsi="Aptos"/>
                <w:lang w:val="fr-FR"/>
              </w:rPr>
            </w:pPr>
            <w:r>
              <w:rPr>
                <w:rFonts w:ascii="Aptos" w:hAnsi="Aptos"/>
                <w:lang w:val="fr-FR"/>
              </w:rPr>
              <w:t>éloignement</w:t>
            </w:r>
          </w:p>
        </w:tc>
      </w:tr>
      <w:tr w:rsidR="00735F5E" w:rsidRPr="006F7AF8" w14:paraId="2921ACC6" w14:textId="77777777" w:rsidTr="009B4355">
        <w:tc>
          <w:tcPr>
            <w:tcW w:w="4188" w:type="dxa"/>
          </w:tcPr>
          <w:p w14:paraId="10B8C6CB" w14:textId="77777777" w:rsidR="00735F5E" w:rsidRPr="006F7AF8" w:rsidRDefault="00735F5E" w:rsidP="009B4355">
            <w:pPr>
              <w:rPr>
                <w:rFonts w:ascii="Aptos" w:hAnsi="Aptos"/>
                <w:lang w:val="fr-FR"/>
              </w:rPr>
            </w:pPr>
            <w:r w:rsidRPr="006F7AF8">
              <w:rPr>
                <w:rFonts w:ascii="Aptos" w:hAnsi="Aptos"/>
                <w:lang w:val="fr-FR"/>
              </w:rPr>
              <w:t>Party count: 74</w:t>
            </w:r>
          </w:p>
        </w:tc>
        <w:tc>
          <w:tcPr>
            <w:tcW w:w="4673" w:type="dxa"/>
          </w:tcPr>
          <w:p w14:paraId="1BAF24C0" w14:textId="77777777" w:rsidR="00735F5E" w:rsidRPr="006F7AF8" w:rsidRDefault="00735F5E" w:rsidP="009B4355">
            <w:pPr>
              <w:rPr>
                <w:rFonts w:ascii="Aptos" w:hAnsi="Aptos"/>
                <w:lang w:val="fr-FR"/>
              </w:rPr>
            </w:pPr>
            <w:r w:rsidRPr="006F7AF8">
              <w:rPr>
                <w:rFonts w:ascii="Aptos" w:hAnsi="Aptos"/>
                <w:lang w:val="fr-FR"/>
              </w:rPr>
              <w:t xml:space="preserve">Nombre de Parties : </w:t>
            </w:r>
            <w:r>
              <w:rPr>
                <w:rFonts w:ascii="Aptos" w:hAnsi="Aptos"/>
                <w:lang w:val="fr-FR"/>
              </w:rPr>
              <w:t>74</w:t>
            </w:r>
          </w:p>
        </w:tc>
      </w:tr>
      <w:tr w:rsidR="00735F5E" w:rsidRPr="006F7AF8" w14:paraId="65783318" w14:textId="77777777" w:rsidTr="009B4355">
        <w:tc>
          <w:tcPr>
            <w:tcW w:w="4188" w:type="dxa"/>
          </w:tcPr>
          <w:p w14:paraId="0BEDE54D" w14:textId="77777777" w:rsidR="00735F5E" w:rsidRPr="006F7AF8" w:rsidRDefault="00735F5E" w:rsidP="009B4355">
            <w:pPr>
              <w:rPr>
                <w:rFonts w:ascii="Aptos" w:hAnsi="Aptos"/>
                <w:lang w:val="fr-FR"/>
              </w:rPr>
            </w:pPr>
            <w:r w:rsidRPr="006F7AF8">
              <w:rPr>
                <w:rFonts w:ascii="Aptos" w:hAnsi="Aptos"/>
                <w:lang w:val="fr-FR"/>
              </w:rPr>
              <w:t>Region</w:t>
            </w:r>
          </w:p>
        </w:tc>
        <w:tc>
          <w:tcPr>
            <w:tcW w:w="4673" w:type="dxa"/>
          </w:tcPr>
          <w:p w14:paraId="40826562"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731AF3EF" w14:textId="77777777" w:rsidTr="009B4355">
        <w:tc>
          <w:tcPr>
            <w:tcW w:w="4188" w:type="dxa"/>
          </w:tcPr>
          <w:p w14:paraId="4F4D1F65" w14:textId="77777777" w:rsidR="00735F5E" w:rsidRPr="006F7AF8" w:rsidRDefault="00735F5E" w:rsidP="009B4355">
            <w:pPr>
              <w:rPr>
                <w:rFonts w:ascii="Aptos" w:hAnsi="Aptos"/>
                <w:lang w:val="fr-FR"/>
              </w:rPr>
            </w:pPr>
            <w:r w:rsidRPr="006F7AF8">
              <w:rPr>
                <w:rFonts w:ascii="Aptos" w:hAnsi="Aptos"/>
                <w:lang w:val="fr-FR"/>
              </w:rPr>
              <w:t>African States</w:t>
            </w:r>
          </w:p>
        </w:tc>
        <w:tc>
          <w:tcPr>
            <w:tcW w:w="4673" w:type="dxa"/>
          </w:tcPr>
          <w:p w14:paraId="5CBA534F"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0ED2DE18" w14:textId="77777777" w:rsidTr="009B4355">
        <w:tc>
          <w:tcPr>
            <w:tcW w:w="4188" w:type="dxa"/>
          </w:tcPr>
          <w:p w14:paraId="6C0D09CA"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673" w:type="dxa"/>
          </w:tcPr>
          <w:p w14:paraId="4B3D6EDC"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6CE9D6D5" w14:textId="77777777" w:rsidTr="009B4355">
        <w:tc>
          <w:tcPr>
            <w:tcW w:w="4188" w:type="dxa"/>
          </w:tcPr>
          <w:p w14:paraId="4A9EEEF9"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673" w:type="dxa"/>
          </w:tcPr>
          <w:p w14:paraId="4E429F65"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53308830" w14:textId="77777777" w:rsidTr="009B4355">
        <w:tc>
          <w:tcPr>
            <w:tcW w:w="4188" w:type="dxa"/>
          </w:tcPr>
          <w:p w14:paraId="61E38DDB"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673" w:type="dxa"/>
          </w:tcPr>
          <w:p w14:paraId="71C5FAB9"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28C383EF" w14:textId="77777777" w:rsidTr="009B4355">
        <w:tc>
          <w:tcPr>
            <w:tcW w:w="4188" w:type="dxa"/>
          </w:tcPr>
          <w:p w14:paraId="07E57262"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673" w:type="dxa"/>
          </w:tcPr>
          <w:p w14:paraId="0861BE05"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022A8DBE" w14:textId="77777777" w:rsidR="00B87039" w:rsidRPr="00653BF4" w:rsidRDefault="00B87039" w:rsidP="00B87039">
      <w:pPr>
        <w:pStyle w:val="Caption"/>
        <w:rPr>
          <w:lang w:val="fr-FR"/>
        </w:rPr>
      </w:pPr>
    </w:p>
    <w:p w14:paraId="358C6BB8" w14:textId="3E1107F6" w:rsidR="00B87039" w:rsidRPr="00653BF4" w:rsidRDefault="00B87039" w:rsidP="00B87039">
      <w:pPr>
        <w:pStyle w:val="Heading5"/>
        <w:rPr>
          <w:lang w:val="fr-FR"/>
        </w:rPr>
      </w:pPr>
      <w:bookmarkStart w:id="200" w:name="_Toc235821172"/>
      <w:r w:rsidRPr="00653BF4">
        <w:rPr>
          <w:lang w:val="fr-FR"/>
        </w:rPr>
        <w:t>Auto-évaluation des progrès accomplis</w:t>
      </w:r>
      <w:bookmarkEnd w:id="200"/>
    </w:p>
    <w:p w14:paraId="670D4670" w14:textId="1D8CEF5B" w:rsidR="00B87039" w:rsidRPr="00653BF4" w:rsidRDefault="00B87039" w:rsidP="00B87039">
      <w:pPr>
        <w:pStyle w:val="Caption"/>
        <w:rPr>
          <w:rStyle w:val="normaltextrun"/>
          <w:rFonts w:cs="Segoe UI"/>
          <w:i w:val="0"/>
          <w:iCs w:val="0"/>
          <w:sz w:val="24"/>
          <w:szCs w:val="24"/>
          <w:lang w:val="fr-FR"/>
        </w:rPr>
      </w:pPr>
      <w:r w:rsidRPr="00653BF4">
        <w:rPr>
          <w:i w:val="0"/>
          <w:iCs w:val="0"/>
          <w:sz w:val="24"/>
          <w:szCs w:val="24"/>
          <w:lang w:val="fr-FR"/>
        </w:rPr>
        <w:t>Les Parties ont estimé que les progrès réalisés concernant environ deux cinquièmes (40</w:t>
      </w:r>
      <w:r w:rsidR="002878D7">
        <w:rPr>
          <w:i w:val="0"/>
          <w:iCs w:val="0"/>
          <w:sz w:val="24"/>
          <w:szCs w:val="24"/>
          <w:lang w:val="fr-FR"/>
        </w:rPr>
        <w:t> %</w:t>
      </w:r>
      <w:r w:rsidRPr="00653BF4">
        <w:rPr>
          <w:i w:val="0"/>
          <w:iCs w:val="0"/>
          <w:sz w:val="24"/>
          <w:szCs w:val="24"/>
          <w:lang w:val="fr-FR"/>
        </w:rPr>
        <w:t xml:space="preserve">) des cibles nationales liées à la </w:t>
      </w:r>
      <w:r w:rsidR="00E34DC9">
        <w:rPr>
          <w:i w:val="0"/>
          <w:iCs w:val="0"/>
          <w:sz w:val="24"/>
          <w:szCs w:val="24"/>
          <w:lang w:val="fr-FR"/>
        </w:rPr>
        <w:t>cible 1</w:t>
      </w:r>
      <w:r w:rsidRPr="00653BF4">
        <w:rPr>
          <w:i w:val="0"/>
          <w:iCs w:val="0"/>
          <w:sz w:val="24"/>
          <w:szCs w:val="24"/>
          <w:lang w:val="fr-FR"/>
        </w:rPr>
        <w:t>0 étaient en bonne voie ou avaient été atteints, tandis que plus de la moitié (57</w:t>
      </w:r>
      <w:r w:rsidR="002878D7">
        <w:rPr>
          <w:i w:val="0"/>
          <w:iCs w:val="0"/>
          <w:sz w:val="24"/>
          <w:szCs w:val="24"/>
          <w:lang w:val="fr-FR"/>
        </w:rPr>
        <w:t> %</w:t>
      </w:r>
      <w:r w:rsidRPr="00653BF4">
        <w:rPr>
          <w:i w:val="0"/>
          <w:iCs w:val="0"/>
          <w:sz w:val="24"/>
          <w:szCs w:val="24"/>
          <w:lang w:val="fr-FR"/>
        </w:rPr>
        <w:t>) des cibles nationales ont été jugées comme progressant à un rythme insuffisant (voir la figure 48).</w:t>
      </w:r>
    </w:p>
    <w:p w14:paraId="03542A4E" w14:textId="77777777" w:rsidR="00B87039" w:rsidRPr="00653BF4" w:rsidRDefault="00B87039" w:rsidP="00B87039">
      <w:pPr>
        <w:pStyle w:val="Caption"/>
        <w:rPr>
          <w:rStyle w:val="normaltextrun"/>
          <w:rFonts w:cs="Segoe UI"/>
          <w:lang w:val="fr-FR"/>
        </w:rPr>
      </w:pPr>
    </w:p>
    <w:p w14:paraId="4EE7B03A" w14:textId="77777777" w:rsidR="00B87039" w:rsidRPr="00653BF4" w:rsidRDefault="00B87039" w:rsidP="00B87039">
      <w:pPr>
        <w:rPr>
          <w:sz w:val="20"/>
          <w:szCs w:val="20"/>
          <w:lang w:val="fr-FR" w:eastAsia="ja-JP"/>
        </w:rPr>
      </w:pPr>
      <w:r w:rsidRPr="00653BF4">
        <w:rPr>
          <w:sz w:val="20"/>
          <w:szCs w:val="20"/>
          <w:lang w:val="fr-FR"/>
        </w:rPr>
        <w:t>Figure 48</w:t>
      </w:r>
    </w:p>
    <w:p w14:paraId="29607C43" w14:textId="74E15347" w:rsidR="00B87039"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1</w:t>
      </w:r>
      <w:r w:rsidRPr="00653BF4">
        <w:rPr>
          <w:b/>
          <w:bCs/>
          <w:i w:val="0"/>
          <w:iCs w:val="0"/>
          <w:sz w:val="20"/>
          <w:szCs w:val="20"/>
          <w:lang w:val="fr-FR"/>
        </w:rPr>
        <w:t>0 du Cadre</w:t>
      </w:r>
    </w:p>
    <w:p w14:paraId="758BE2FD" w14:textId="77777777" w:rsidR="00B87039" w:rsidRPr="00653BF4" w:rsidRDefault="00B87039" w:rsidP="00B87039">
      <w:pPr>
        <w:pStyle w:val="Caption"/>
        <w:rPr>
          <w:lang w:val="fr-FR"/>
        </w:rPr>
      </w:pPr>
      <w:r w:rsidRPr="00653BF4">
        <w:rPr>
          <w:rFonts w:eastAsia="Aptos" w:cs="Aptos"/>
          <w:noProof/>
          <w:lang w:val="fr-FR"/>
        </w:rPr>
        <w:drawing>
          <wp:inline distT="0" distB="0" distL="0" distR="0" wp14:anchorId="3A05F50D" wp14:editId="1196CD0A">
            <wp:extent cx="5731510" cy="2292350"/>
            <wp:effectExtent l="0" t="0" r="0" b="6350"/>
            <wp:docPr id="632047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47052" name="Picture 632047052"/>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128FFD26" w14:textId="181D9411"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lang w:val="fr-FR"/>
        </w:rPr>
        <w:t xml:space="preserve"> </w:t>
      </w:r>
      <w:r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7254" w:type="dxa"/>
        <w:tblLook w:val="04A0" w:firstRow="1" w:lastRow="0" w:firstColumn="1" w:lastColumn="0" w:noHBand="0" w:noVBand="1"/>
      </w:tblPr>
      <w:tblGrid>
        <w:gridCol w:w="3618"/>
        <w:gridCol w:w="3636"/>
      </w:tblGrid>
      <w:tr w:rsidR="00735F5E" w:rsidRPr="006F7AF8" w14:paraId="08FF25ED" w14:textId="77777777" w:rsidTr="009B4355">
        <w:tc>
          <w:tcPr>
            <w:tcW w:w="7254" w:type="dxa"/>
            <w:gridSpan w:val="2"/>
          </w:tcPr>
          <w:p w14:paraId="541A1E09" w14:textId="77777777" w:rsidR="00735F5E" w:rsidRPr="006F7AF8" w:rsidRDefault="00735F5E" w:rsidP="009B4355">
            <w:pPr>
              <w:rPr>
                <w:rFonts w:ascii="Aptos" w:hAnsi="Aptos"/>
                <w:lang w:val="fr-FR"/>
              </w:rPr>
            </w:pPr>
            <w:r>
              <w:rPr>
                <w:rFonts w:ascii="Aptos" w:hAnsi="Aptos"/>
                <w:lang w:val="fr-FR"/>
              </w:rPr>
              <w:t>Figure 48</w:t>
            </w:r>
          </w:p>
        </w:tc>
      </w:tr>
      <w:tr w:rsidR="00735F5E" w:rsidRPr="000F29D7" w14:paraId="04D42BD3" w14:textId="77777777" w:rsidTr="009B4355">
        <w:tc>
          <w:tcPr>
            <w:tcW w:w="5381" w:type="dxa"/>
          </w:tcPr>
          <w:p w14:paraId="3F5EA2BB" w14:textId="77777777" w:rsidR="00735F5E" w:rsidRPr="000F29D7" w:rsidRDefault="00735F5E" w:rsidP="009B4355">
            <w:pPr>
              <w:rPr>
                <w:rFonts w:ascii="Aptos" w:hAnsi="Aptos"/>
                <w:lang w:val="fr-FR"/>
              </w:rPr>
            </w:pPr>
            <w:r w:rsidRPr="000F29D7">
              <w:rPr>
                <w:rFonts w:ascii="Aptos" w:hAnsi="Aptos"/>
                <w:lang w:val="fr-FR"/>
              </w:rPr>
              <w:t>English</w:t>
            </w:r>
          </w:p>
        </w:tc>
        <w:tc>
          <w:tcPr>
            <w:tcW w:w="0" w:type="auto"/>
          </w:tcPr>
          <w:p w14:paraId="2C95AB2A" w14:textId="77777777" w:rsidR="00735F5E" w:rsidRPr="000F29D7" w:rsidRDefault="00735F5E" w:rsidP="009B4355">
            <w:pPr>
              <w:rPr>
                <w:rFonts w:ascii="Aptos" w:hAnsi="Aptos"/>
                <w:lang w:val="fr-FR"/>
              </w:rPr>
            </w:pPr>
            <w:r>
              <w:rPr>
                <w:rFonts w:ascii="Aptos" w:hAnsi="Aptos"/>
                <w:lang w:val="fr-FR"/>
              </w:rPr>
              <w:t>Français</w:t>
            </w:r>
          </w:p>
        </w:tc>
      </w:tr>
      <w:tr w:rsidR="00735F5E" w:rsidRPr="006F7AF8" w14:paraId="638B9664" w14:textId="77777777" w:rsidTr="009B4355">
        <w:tc>
          <w:tcPr>
            <w:tcW w:w="5381" w:type="dxa"/>
          </w:tcPr>
          <w:p w14:paraId="5AA1EEA7" w14:textId="77777777" w:rsidR="00735F5E" w:rsidRPr="006F7AF8" w:rsidRDefault="00735F5E" w:rsidP="009B4355">
            <w:pPr>
              <w:rPr>
                <w:rFonts w:ascii="Aptos" w:hAnsi="Aptos"/>
                <w:lang w:val="fr-FR"/>
              </w:rPr>
            </w:pPr>
            <w:r w:rsidRPr="006F7AF8">
              <w:rPr>
                <w:rFonts w:ascii="Aptos" w:hAnsi="Aptos"/>
                <w:lang w:val="fr-FR"/>
              </w:rPr>
              <w:t>Percentage of national targets</w:t>
            </w:r>
          </w:p>
        </w:tc>
        <w:tc>
          <w:tcPr>
            <w:tcW w:w="0" w:type="auto"/>
          </w:tcPr>
          <w:p w14:paraId="114D74EE" w14:textId="77777777" w:rsidR="00735F5E" w:rsidRPr="006F7AF8" w:rsidRDefault="00735F5E" w:rsidP="009B4355">
            <w:pPr>
              <w:rPr>
                <w:rFonts w:ascii="Aptos" w:hAnsi="Aptos"/>
                <w:lang w:val="fr-FR"/>
              </w:rPr>
            </w:pPr>
            <w:r>
              <w:t>Pourcentage de cibles nationales</w:t>
            </w:r>
          </w:p>
        </w:tc>
      </w:tr>
      <w:tr w:rsidR="00735F5E" w:rsidRPr="006F7AF8" w14:paraId="229BCCCB" w14:textId="77777777" w:rsidTr="009B4355">
        <w:tc>
          <w:tcPr>
            <w:tcW w:w="5381" w:type="dxa"/>
          </w:tcPr>
          <w:p w14:paraId="7D15628D" w14:textId="77777777" w:rsidR="00735F5E" w:rsidRPr="006F7AF8" w:rsidRDefault="00735F5E" w:rsidP="009B4355">
            <w:pPr>
              <w:rPr>
                <w:rFonts w:ascii="Aptos" w:hAnsi="Aptos"/>
                <w:lang w:val="fr-FR"/>
              </w:rPr>
            </w:pPr>
            <w:r w:rsidRPr="006F7AF8">
              <w:rPr>
                <w:rFonts w:ascii="Aptos" w:hAnsi="Aptos"/>
                <w:lang w:val="fr-FR"/>
              </w:rPr>
              <w:lastRenderedPageBreak/>
              <w:t>Progress Level</w:t>
            </w:r>
          </w:p>
        </w:tc>
        <w:tc>
          <w:tcPr>
            <w:tcW w:w="0" w:type="auto"/>
          </w:tcPr>
          <w:p w14:paraId="3872AE77" w14:textId="77777777" w:rsidR="00735F5E" w:rsidRPr="006F7AF8" w:rsidRDefault="00735F5E" w:rsidP="009B4355">
            <w:pPr>
              <w:rPr>
                <w:rFonts w:ascii="Aptos" w:hAnsi="Aptos"/>
                <w:lang w:val="fr-FR"/>
              </w:rPr>
            </w:pPr>
            <w:r>
              <w:t>État d’avancement</w:t>
            </w:r>
          </w:p>
        </w:tc>
      </w:tr>
      <w:tr w:rsidR="00735F5E" w:rsidRPr="006F7AF8" w14:paraId="476F4341" w14:textId="77777777" w:rsidTr="009B4355">
        <w:tc>
          <w:tcPr>
            <w:tcW w:w="5381" w:type="dxa"/>
          </w:tcPr>
          <w:p w14:paraId="4E0C5F1D" w14:textId="77777777" w:rsidR="00735F5E" w:rsidRPr="006F7AF8" w:rsidRDefault="00735F5E" w:rsidP="009B4355">
            <w:pPr>
              <w:rPr>
                <w:rFonts w:ascii="Aptos" w:hAnsi="Aptos"/>
                <w:lang w:val="fr-FR"/>
              </w:rPr>
            </w:pPr>
            <w:r w:rsidRPr="006F7AF8">
              <w:rPr>
                <w:rFonts w:ascii="Aptos" w:hAnsi="Aptos"/>
                <w:lang w:val="fr-FR"/>
              </w:rPr>
              <w:t>Achieved</w:t>
            </w:r>
          </w:p>
        </w:tc>
        <w:tc>
          <w:tcPr>
            <w:tcW w:w="0" w:type="auto"/>
          </w:tcPr>
          <w:p w14:paraId="4BA9AD6E" w14:textId="77777777" w:rsidR="00735F5E" w:rsidRPr="006F7AF8" w:rsidRDefault="00735F5E" w:rsidP="009B4355">
            <w:pPr>
              <w:rPr>
                <w:rFonts w:ascii="Aptos" w:hAnsi="Aptos"/>
                <w:lang w:val="fr-FR"/>
              </w:rPr>
            </w:pPr>
            <w:r>
              <w:t>Cible atteinte</w:t>
            </w:r>
          </w:p>
        </w:tc>
      </w:tr>
      <w:tr w:rsidR="00735F5E" w:rsidRPr="006F7AF8" w14:paraId="4B41D4F5" w14:textId="77777777" w:rsidTr="009B4355">
        <w:tc>
          <w:tcPr>
            <w:tcW w:w="5381" w:type="dxa"/>
          </w:tcPr>
          <w:p w14:paraId="1273FCD7" w14:textId="77777777" w:rsidR="00735F5E" w:rsidRPr="006F7AF8" w:rsidRDefault="00735F5E" w:rsidP="009B4355">
            <w:pPr>
              <w:rPr>
                <w:rFonts w:ascii="Aptos" w:hAnsi="Aptos"/>
                <w:lang w:val="fr-FR"/>
              </w:rPr>
            </w:pPr>
            <w:r w:rsidRPr="006F7AF8">
              <w:rPr>
                <w:rFonts w:ascii="Aptos" w:hAnsi="Aptos"/>
                <w:lang w:val="fr-FR"/>
              </w:rPr>
              <w:t>On track to achieve target</w:t>
            </w:r>
          </w:p>
        </w:tc>
        <w:tc>
          <w:tcPr>
            <w:tcW w:w="0" w:type="auto"/>
          </w:tcPr>
          <w:p w14:paraId="06B790FC" w14:textId="77777777" w:rsidR="00735F5E" w:rsidRPr="006F7AF8" w:rsidRDefault="00735F5E" w:rsidP="009B4355">
            <w:pPr>
              <w:rPr>
                <w:rFonts w:ascii="Aptos" w:hAnsi="Aptos"/>
                <w:lang w:val="fr-FR"/>
              </w:rPr>
            </w:pPr>
            <w:r>
              <w:t>En voie d’atteindre la cible</w:t>
            </w:r>
          </w:p>
        </w:tc>
      </w:tr>
      <w:tr w:rsidR="00735F5E" w:rsidRPr="006F7AF8" w14:paraId="6957146E" w14:textId="77777777" w:rsidTr="009B4355">
        <w:tc>
          <w:tcPr>
            <w:tcW w:w="5381" w:type="dxa"/>
          </w:tcPr>
          <w:p w14:paraId="3793AACC" w14:textId="77777777" w:rsidR="00735F5E" w:rsidRPr="006F7AF8" w:rsidRDefault="00735F5E" w:rsidP="009B4355">
            <w:pPr>
              <w:rPr>
                <w:rFonts w:ascii="Aptos" w:hAnsi="Aptos"/>
                <w:lang w:val="fr-FR"/>
              </w:rPr>
            </w:pPr>
            <w:r w:rsidRPr="006F7AF8">
              <w:rPr>
                <w:rFonts w:ascii="Aptos" w:hAnsi="Aptos"/>
                <w:lang w:val="fr-FR"/>
              </w:rPr>
              <w:t>Progress towards target but at an insufficient rate</w:t>
            </w:r>
          </w:p>
        </w:tc>
        <w:tc>
          <w:tcPr>
            <w:tcW w:w="0" w:type="auto"/>
          </w:tcPr>
          <w:p w14:paraId="370C2E40" w14:textId="77777777" w:rsidR="00735F5E" w:rsidRPr="006F7AF8" w:rsidRDefault="00735F5E" w:rsidP="009B4355">
            <w:pPr>
              <w:rPr>
                <w:rFonts w:ascii="Aptos" w:hAnsi="Aptos"/>
                <w:lang w:val="fr-FR"/>
              </w:rPr>
            </w:pPr>
            <w:r>
              <w:t>Progrès accomplis, mais à un rythme insuffisant</w:t>
            </w:r>
          </w:p>
        </w:tc>
      </w:tr>
      <w:tr w:rsidR="00735F5E" w:rsidRPr="006F7AF8" w14:paraId="1225F490" w14:textId="77777777" w:rsidTr="009B4355">
        <w:tc>
          <w:tcPr>
            <w:tcW w:w="5381" w:type="dxa"/>
          </w:tcPr>
          <w:p w14:paraId="4CB7AF3B" w14:textId="77777777" w:rsidR="00735F5E" w:rsidRPr="006F7AF8" w:rsidRDefault="00735F5E" w:rsidP="009B4355">
            <w:pPr>
              <w:rPr>
                <w:rFonts w:ascii="Aptos" w:hAnsi="Aptos"/>
                <w:lang w:val="fr-FR"/>
              </w:rPr>
            </w:pPr>
            <w:r w:rsidRPr="006F7AF8">
              <w:rPr>
                <w:rFonts w:ascii="Aptos" w:hAnsi="Aptos"/>
                <w:lang w:val="fr-FR"/>
              </w:rPr>
              <w:t>No significant change</w:t>
            </w:r>
          </w:p>
        </w:tc>
        <w:tc>
          <w:tcPr>
            <w:tcW w:w="0" w:type="auto"/>
          </w:tcPr>
          <w:p w14:paraId="3DCA3A28" w14:textId="77777777" w:rsidR="00735F5E" w:rsidRPr="006F7AF8" w:rsidRDefault="00735F5E" w:rsidP="009B4355">
            <w:pPr>
              <w:rPr>
                <w:rFonts w:ascii="Aptos" w:hAnsi="Aptos"/>
                <w:lang w:val="fr-FR"/>
              </w:rPr>
            </w:pPr>
            <w:r>
              <w:t>Pas de changement notable</w:t>
            </w:r>
          </w:p>
        </w:tc>
      </w:tr>
      <w:tr w:rsidR="00735F5E" w:rsidRPr="006F7AF8" w14:paraId="30DCA308" w14:textId="77777777" w:rsidTr="009B4355">
        <w:tc>
          <w:tcPr>
            <w:tcW w:w="5381" w:type="dxa"/>
          </w:tcPr>
          <w:p w14:paraId="5523FE98" w14:textId="77777777" w:rsidR="00735F5E" w:rsidRPr="006F7AF8" w:rsidRDefault="00735F5E" w:rsidP="009B4355">
            <w:pPr>
              <w:rPr>
                <w:rFonts w:ascii="Aptos" w:hAnsi="Aptos"/>
                <w:lang w:val="fr-FR"/>
              </w:rPr>
            </w:pPr>
            <w:r w:rsidRPr="006F7AF8">
              <w:rPr>
                <w:rFonts w:ascii="Aptos" w:hAnsi="Aptos"/>
                <w:lang w:val="fr-FR"/>
              </w:rPr>
              <w:t>Unknown</w:t>
            </w:r>
          </w:p>
        </w:tc>
        <w:tc>
          <w:tcPr>
            <w:tcW w:w="0" w:type="auto"/>
          </w:tcPr>
          <w:p w14:paraId="60EAF598" w14:textId="77777777" w:rsidR="00735F5E" w:rsidRPr="006F7AF8" w:rsidRDefault="00735F5E" w:rsidP="009B4355">
            <w:pPr>
              <w:rPr>
                <w:rFonts w:ascii="Aptos" w:hAnsi="Aptos"/>
                <w:lang w:val="fr-FR"/>
              </w:rPr>
            </w:pPr>
            <w:r>
              <w:t>Inconnu</w:t>
            </w:r>
          </w:p>
        </w:tc>
      </w:tr>
      <w:tr w:rsidR="00735F5E" w:rsidRPr="006F7AF8" w14:paraId="1A553088" w14:textId="77777777" w:rsidTr="009B4355">
        <w:tc>
          <w:tcPr>
            <w:tcW w:w="5381" w:type="dxa"/>
          </w:tcPr>
          <w:p w14:paraId="1B674971" w14:textId="77777777" w:rsidR="00735F5E" w:rsidRPr="006F7AF8" w:rsidRDefault="00735F5E" w:rsidP="009B4355">
            <w:pPr>
              <w:rPr>
                <w:rFonts w:ascii="Aptos" w:hAnsi="Aptos"/>
                <w:lang w:val="fr-FR"/>
              </w:rPr>
            </w:pPr>
            <w:r w:rsidRPr="006F7AF8">
              <w:rPr>
                <w:rFonts w:ascii="Aptos" w:hAnsi="Aptos"/>
                <w:lang w:val="fr-FR"/>
              </w:rPr>
              <w:t>Party count: 98</w:t>
            </w:r>
          </w:p>
        </w:tc>
        <w:tc>
          <w:tcPr>
            <w:tcW w:w="0" w:type="auto"/>
          </w:tcPr>
          <w:p w14:paraId="64793E3A" w14:textId="77777777" w:rsidR="00735F5E" w:rsidRPr="006F7AF8" w:rsidRDefault="00735F5E" w:rsidP="009B4355">
            <w:pPr>
              <w:rPr>
                <w:rFonts w:ascii="Aptos" w:hAnsi="Aptos"/>
                <w:lang w:val="fr-FR"/>
              </w:rPr>
            </w:pPr>
            <w:r w:rsidRPr="006F7AF8">
              <w:rPr>
                <w:rFonts w:ascii="Aptos" w:hAnsi="Aptos"/>
                <w:lang w:val="fr-FR"/>
              </w:rPr>
              <w:t>Nombre de Parties : 98</w:t>
            </w:r>
          </w:p>
        </w:tc>
      </w:tr>
      <w:tr w:rsidR="00735F5E" w:rsidRPr="006F7AF8" w14:paraId="1AE3CDB9" w14:textId="77777777" w:rsidTr="009B4355">
        <w:tc>
          <w:tcPr>
            <w:tcW w:w="5381" w:type="dxa"/>
          </w:tcPr>
          <w:p w14:paraId="513395BD" w14:textId="77777777" w:rsidR="00735F5E" w:rsidRPr="006F7AF8" w:rsidRDefault="00735F5E" w:rsidP="009B4355">
            <w:pPr>
              <w:rPr>
                <w:rFonts w:ascii="Aptos" w:hAnsi="Aptos"/>
                <w:lang w:val="fr-FR"/>
              </w:rPr>
            </w:pPr>
            <w:r w:rsidRPr="006F7AF8">
              <w:rPr>
                <w:rFonts w:ascii="Aptos" w:hAnsi="Aptos"/>
                <w:lang w:val="fr-FR"/>
              </w:rPr>
              <w:t>Region</w:t>
            </w:r>
          </w:p>
        </w:tc>
        <w:tc>
          <w:tcPr>
            <w:tcW w:w="0" w:type="auto"/>
          </w:tcPr>
          <w:p w14:paraId="430466AD"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3520C02E" w14:textId="77777777" w:rsidTr="009B4355">
        <w:tc>
          <w:tcPr>
            <w:tcW w:w="5381" w:type="dxa"/>
          </w:tcPr>
          <w:p w14:paraId="3057E1A3" w14:textId="77777777" w:rsidR="00735F5E" w:rsidRPr="006F7AF8" w:rsidRDefault="00735F5E" w:rsidP="009B4355">
            <w:pPr>
              <w:rPr>
                <w:rFonts w:ascii="Aptos" w:hAnsi="Aptos"/>
                <w:lang w:val="fr-FR"/>
              </w:rPr>
            </w:pPr>
            <w:r w:rsidRPr="006F7AF8">
              <w:rPr>
                <w:rFonts w:ascii="Aptos" w:hAnsi="Aptos"/>
                <w:lang w:val="fr-FR"/>
              </w:rPr>
              <w:t>African States</w:t>
            </w:r>
          </w:p>
        </w:tc>
        <w:tc>
          <w:tcPr>
            <w:tcW w:w="0" w:type="auto"/>
          </w:tcPr>
          <w:p w14:paraId="3678033B"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71C7FF11" w14:textId="77777777" w:rsidTr="009B4355">
        <w:tc>
          <w:tcPr>
            <w:tcW w:w="5381" w:type="dxa"/>
          </w:tcPr>
          <w:p w14:paraId="44798512"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0" w:type="auto"/>
          </w:tcPr>
          <w:p w14:paraId="04F2CDA6"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665F4645" w14:textId="77777777" w:rsidTr="009B4355">
        <w:tc>
          <w:tcPr>
            <w:tcW w:w="5381" w:type="dxa"/>
          </w:tcPr>
          <w:p w14:paraId="20911DFF"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0" w:type="auto"/>
          </w:tcPr>
          <w:p w14:paraId="7A388BFC"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3DFF16D0" w14:textId="77777777" w:rsidTr="009B4355">
        <w:tc>
          <w:tcPr>
            <w:tcW w:w="5381" w:type="dxa"/>
          </w:tcPr>
          <w:p w14:paraId="7017AB7E"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0" w:type="auto"/>
          </w:tcPr>
          <w:p w14:paraId="571AE63A"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6F50FA8C" w14:textId="77777777" w:rsidTr="009B4355">
        <w:tc>
          <w:tcPr>
            <w:tcW w:w="5381" w:type="dxa"/>
          </w:tcPr>
          <w:p w14:paraId="7E1AF7EF"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0" w:type="auto"/>
          </w:tcPr>
          <w:p w14:paraId="6BA68BE0"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38EF4A63" w14:textId="77777777" w:rsidR="00B87039" w:rsidRPr="00653BF4" w:rsidRDefault="00B87039" w:rsidP="00B87039">
      <w:pPr>
        <w:rPr>
          <w:lang w:val="fr-FR"/>
        </w:rPr>
      </w:pPr>
    </w:p>
    <w:p w14:paraId="4F05788D" w14:textId="77777777" w:rsidR="00B87039" w:rsidRPr="00653BF4" w:rsidRDefault="00B87039" w:rsidP="00B87039">
      <w:pPr>
        <w:pStyle w:val="Caption"/>
        <w:rPr>
          <w:lang w:val="fr-FR"/>
        </w:rPr>
      </w:pPr>
    </w:p>
    <w:p w14:paraId="1FEEA918" w14:textId="77777777" w:rsidR="00B87039" w:rsidRPr="00653BF4" w:rsidRDefault="00B87039" w:rsidP="00B87039">
      <w:pPr>
        <w:pStyle w:val="Heading5"/>
        <w:rPr>
          <w:lang w:val="fr-FR"/>
        </w:rPr>
      </w:pPr>
      <w:bookmarkStart w:id="201" w:name="_Toc235821173"/>
      <w:r w:rsidRPr="00653BF4">
        <w:rPr>
          <w:lang w:val="fr-FR"/>
        </w:rPr>
        <w:t>Actions, réussites et difficultés</w:t>
      </w:r>
      <w:bookmarkEnd w:id="201"/>
      <w:r w:rsidRPr="00653BF4">
        <w:rPr>
          <w:lang w:val="fr-FR"/>
        </w:rPr>
        <w:t xml:space="preserve"> dans la mise en œuvre</w:t>
      </w:r>
    </w:p>
    <w:p w14:paraId="21D9B877" w14:textId="77777777" w:rsidR="00B87039" w:rsidRPr="00653BF4" w:rsidRDefault="00B87039" w:rsidP="00B87039">
      <w:pPr>
        <w:rPr>
          <w:lang w:val="fr-FR"/>
        </w:rPr>
      </w:pPr>
    </w:p>
    <w:p w14:paraId="3886704B" w14:textId="7E18CDD1" w:rsidR="00B87039" w:rsidRPr="00653BF4" w:rsidRDefault="00B87039" w:rsidP="00B87039">
      <w:pPr>
        <w:pStyle w:val="Heading6"/>
        <w:rPr>
          <w:lang w:val="fr-FR"/>
        </w:rPr>
      </w:pPr>
      <w:bookmarkStart w:id="202" w:name="_Toc235821174"/>
      <w:r w:rsidRPr="00653BF4">
        <w:rPr>
          <w:lang w:val="fr-FR"/>
        </w:rPr>
        <w:t>Résumé des actions menées à l</w:t>
      </w:r>
      <w:r w:rsidR="00D77549">
        <w:rPr>
          <w:lang w:val="fr-FR"/>
        </w:rPr>
        <w:t>’</w:t>
      </w:r>
      <w:r w:rsidRPr="00653BF4">
        <w:rPr>
          <w:lang w:val="fr-FR"/>
        </w:rPr>
        <w:t xml:space="preserve">appui de la </w:t>
      </w:r>
      <w:r w:rsidR="00E34DC9">
        <w:rPr>
          <w:lang w:val="fr-FR"/>
        </w:rPr>
        <w:t>cible 1</w:t>
      </w:r>
      <w:r w:rsidRPr="00653BF4">
        <w:rPr>
          <w:lang w:val="fr-FR"/>
        </w:rPr>
        <w:t>0</w:t>
      </w:r>
      <w:bookmarkEnd w:id="202"/>
      <w:r w:rsidRPr="00653BF4">
        <w:rPr>
          <w:lang w:val="fr-FR"/>
        </w:rPr>
        <w:t xml:space="preserve"> du Cadre</w:t>
      </w:r>
    </w:p>
    <w:p w14:paraId="188EB687" w14:textId="77777777" w:rsidR="00B87039" w:rsidRPr="00653BF4" w:rsidRDefault="00B87039" w:rsidP="00B87039">
      <w:pPr>
        <w:rPr>
          <w:lang w:val="fr-FR"/>
        </w:rPr>
      </w:pPr>
    </w:p>
    <w:p w14:paraId="35FD253F" w14:textId="3BFE9024" w:rsidR="00B87039" w:rsidRPr="00653BF4" w:rsidRDefault="00B87039" w:rsidP="00B87039">
      <w:pPr>
        <w:rPr>
          <w:lang w:val="fr-FR"/>
        </w:rPr>
      </w:pPr>
      <w:r w:rsidRPr="00653BF4">
        <w:rPr>
          <w:lang w:val="fr-FR"/>
        </w:rPr>
        <w:t xml:space="preserve">La mise en place ou le renforcement de cadres de gestion de la pêche constituent le type de mesure le plus fréquemment mentionné dans les quatre secteurs de production visés par la </w:t>
      </w:r>
      <w:r w:rsidR="00E34DC9">
        <w:rPr>
          <w:lang w:val="fr-FR"/>
        </w:rPr>
        <w:t>cible 1</w:t>
      </w:r>
      <w:r w:rsidRPr="00653BF4">
        <w:rPr>
          <w:lang w:val="fr-FR"/>
        </w:rPr>
        <w:t>0. Parmi les mesures spécifiques figurent les systèmes d</w:t>
      </w:r>
      <w:r w:rsidR="00D77549">
        <w:rPr>
          <w:lang w:val="fr-FR"/>
        </w:rPr>
        <w:t>’</w:t>
      </w:r>
      <w:r w:rsidRPr="00653BF4">
        <w:rPr>
          <w:lang w:val="fr-FR"/>
        </w:rPr>
        <w:t>octroi de licences de pêche, les quotas de prise de pêche, les fermetures saisonnières, les systèmes de surveillance des navires et les mesures visant à réduire les prises accessoires. Les actions à l</w:t>
      </w:r>
      <w:r w:rsidR="00D77549">
        <w:rPr>
          <w:lang w:val="fr-FR"/>
        </w:rPr>
        <w:t>’</w:t>
      </w:r>
      <w:r w:rsidRPr="00653BF4">
        <w:rPr>
          <w:lang w:val="fr-FR"/>
        </w:rPr>
        <w:t>appui de la gestion durable des forêts font également l</w:t>
      </w:r>
      <w:r w:rsidR="00D77549">
        <w:rPr>
          <w:lang w:val="fr-FR"/>
        </w:rPr>
        <w:t>’</w:t>
      </w:r>
      <w:r w:rsidRPr="00653BF4">
        <w:rPr>
          <w:lang w:val="fr-FR"/>
        </w:rPr>
        <w:t>objet de nombreux rapports</w:t>
      </w:r>
      <w:r w:rsidR="00E34DC9">
        <w:rPr>
          <w:lang w:val="fr-FR"/>
        </w:rPr>
        <w:t> ;</w:t>
      </w:r>
      <w:r w:rsidRPr="00653BF4">
        <w:rPr>
          <w:lang w:val="fr-FR"/>
        </w:rPr>
        <w:t xml:space="preserve"> elles comprennent notamment les plans de gestion obligatoires pour l</w:t>
      </w:r>
      <w:r w:rsidR="00D77549">
        <w:rPr>
          <w:lang w:val="fr-FR"/>
        </w:rPr>
        <w:t>’</w:t>
      </w:r>
      <w:r w:rsidRPr="00653BF4">
        <w:rPr>
          <w:lang w:val="fr-FR"/>
        </w:rPr>
        <w:t>exploitation forestière commerciale, les systèmes de certification, les programmes de reboisement et la foresterie communautaire. Dans le secteur agricole, de nombreuses Parties font état d</w:t>
      </w:r>
      <w:r w:rsidR="00D77549">
        <w:rPr>
          <w:lang w:val="fr-FR"/>
        </w:rPr>
        <w:t>’</w:t>
      </w:r>
      <w:r w:rsidRPr="00653BF4">
        <w:rPr>
          <w:lang w:val="fr-FR"/>
        </w:rPr>
        <w:t>actions visant à promouvoir l’agroécologie, l’agroforesterie et les systèmes sylvopastoraux</w:t>
      </w:r>
      <w:r w:rsidR="00E34DC9">
        <w:rPr>
          <w:lang w:val="fr-FR"/>
        </w:rPr>
        <w:t> ;</w:t>
      </w:r>
      <w:r w:rsidRPr="00653BF4">
        <w:rPr>
          <w:lang w:val="fr-FR"/>
        </w:rPr>
        <w:t xml:space="preserve"> la conservation des ressources génétiques et la création de banques de semences</w:t>
      </w:r>
      <w:r w:rsidR="00E34DC9">
        <w:rPr>
          <w:lang w:val="fr-FR"/>
        </w:rPr>
        <w:t> ;</w:t>
      </w:r>
      <w:r w:rsidRPr="00653BF4">
        <w:rPr>
          <w:lang w:val="fr-FR"/>
        </w:rPr>
        <w:t xml:space="preserve"> ainsi que l’agriculture de conservation, l’agriculture biologique, la lutte intégrée contre les ravageurs et d’autres pratiques agricoles respectueuses de la biodiversité, et la mise en place de formations destinées aux agriculteurs et de services de vulgarisation (voir les encadrés 30 et 31).</w:t>
      </w:r>
      <w:r w:rsidRPr="00653BF4">
        <w:rPr>
          <w:rStyle w:val="normaltextrun"/>
          <w:rFonts w:cs="Segoe UI"/>
          <w:color w:val="000000" w:themeColor="text1"/>
          <w:shd w:val="clear" w:color="auto" w:fill="FFFFFF"/>
          <w:lang w:val="fr-FR"/>
        </w:rPr>
        <w:t xml:space="preserve">Des actions liées à la sécurité alimentaire et à la nutrition, ainsi qu’à la conservation et à l’utilisation durable des pollinisateurs et de la biodiversité des sols, ont </w:t>
      </w:r>
      <w:r w:rsidRPr="00653BF4">
        <w:rPr>
          <w:rStyle w:val="normaltextrun"/>
          <w:rFonts w:cs="Segoe UI"/>
          <w:color w:val="000000" w:themeColor="text1"/>
          <w:shd w:val="clear" w:color="auto" w:fill="FFFFFF"/>
          <w:lang w:val="fr-FR"/>
        </w:rPr>
        <w:lastRenderedPageBreak/>
        <w:t>également été signalées.</w:t>
      </w:r>
      <w:r w:rsidRPr="00653BF4">
        <w:rPr>
          <w:color w:val="000000" w:themeColor="text1"/>
          <w:lang w:val="fr-FR"/>
        </w:rPr>
        <w:t xml:space="preserve"> </w:t>
      </w:r>
      <w:r w:rsidRPr="00653BF4">
        <w:rPr>
          <w:lang w:val="fr-FR"/>
        </w:rPr>
        <w:t>Les actions visant à favoriser la durabilité dans le secteur de l</w:t>
      </w:r>
      <w:r w:rsidR="00D77549">
        <w:rPr>
          <w:lang w:val="fr-FR"/>
        </w:rPr>
        <w:t>’</w:t>
      </w:r>
      <w:r w:rsidRPr="00653BF4">
        <w:rPr>
          <w:lang w:val="fr-FR"/>
        </w:rPr>
        <w:t>aquaculture sont moins souvent mentionnées dans les rapports nationaux.</w:t>
      </w:r>
    </w:p>
    <w:p w14:paraId="4B8AB14F" w14:textId="77777777" w:rsidR="00B87039" w:rsidRPr="00653BF4" w:rsidRDefault="00B87039" w:rsidP="00B87039">
      <w:pPr>
        <w:rPr>
          <w:lang w:val="fr-FR"/>
        </w:rPr>
      </w:pPr>
    </w:p>
    <w:p w14:paraId="22C11238" w14:textId="38D52B56" w:rsidR="00B87039" w:rsidRPr="00653BF4" w:rsidRDefault="00B87039" w:rsidP="00B87039">
      <w:pPr>
        <w:pStyle w:val="Heading6"/>
        <w:rPr>
          <w:lang w:val="fr-FR"/>
        </w:rPr>
      </w:pPr>
      <w:bookmarkStart w:id="203" w:name="_Toc235821175"/>
      <w:r w:rsidRPr="00653BF4">
        <w:rPr>
          <w:lang w:val="fr-FR"/>
        </w:rPr>
        <w:t>Exemples de réussites et de progrès réalisés dans la mise en œuvre</w:t>
      </w:r>
      <w:bookmarkEnd w:id="203"/>
    </w:p>
    <w:p w14:paraId="63E4C51C"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16"/>
      </w:tblGrid>
      <w:tr w:rsidR="00B87039" w:rsidRPr="00543148" w14:paraId="1D54D2C9" w14:textId="77777777" w:rsidTr="00557FB3">
        <w:tc>
          <w:tcPr>
            <w:tcW w:w="9016" w:type="dxa"/>
            <w:shd w:val="clear" w:color="auto" w:fill="D1D1D1" w:themeFill="background2" w:themeFillShade="E6"/>
          </w:tcPr>
          <w:p w14:paraId="5A6AAA0C" w14:textId="77777777" w:rsidR="00B87039" w:rsidRPr="00653BF4" w:rsidRDefault="00B87039" w:rsidP="00557FB3">
            <w:pPr>
              <w:rPr>
                <w:lang w:val="fr-FR"/>
              </w:rPr>
            </w:pPr>
          </w:p>
          <w:p w14:paraId="490A7742" w14:textId="77777777" w:rsidR="00B87039" w:rsidRPr="00653BF4" w:rsidRDefault="00B87039" w:rsidP="00557FB3">
            <w:pPr>
              <w:rPr>
                <w:sz w:val="20"/>
                <w:szCs w:val="20"/>
                <w:lang w:val="fr-FR"/>
              </w:rPr>
            </w:pPr>
            <w:r w:rsidRPr="00653BF4">
              <w:rPr>
                <w:sz w:val="20"/>
                <w:szCs w:val="20"/>
                <w:lang w:val="fr-FR"/>
              </w:rPr>
              <w:t>Encadré 30</w:t>
            </w:r>
          </w:p>
          <w:p w14:paraId="318E0435" w14:textId="77777777" w:rsidR="00B87039" w:rsidRPr="00653BF4" w:rsidRDefault="00B87039" w:rsidP="00557FB3">
            <w:pPr>
              <w:rPr>
                <w:b/>
                <w:bCs/>
                <w:sz w:val="20"/>
                <w:szCs w:val="20"/>
                <w:lang w:val="fr-FR"/>
              </w:rPr>
            </w:pPr>
            <w:r w:rsidRPr="00653BF4">
              <w:rPr>
                <w:b/>
                <w:bCs/>
                <w:sz w:val="20"/>
                <w:szCs w:val="20"/>
                <w:lang w:val="fr-FR"/>
              </w:rPr>
              <w:t>Taxe par tête de bétail au profit de la biodiversité des parcours en Mongolie</w:t>
            </w:r>
          </w:p>
          <w:p w14:paraId="304427F1" w14:textId="77777777" w:rsidR="00B87039" w:rsidRPr="00653BF4" w:rsidRDefault="00B87039" w:rsidP="00557FB3">
            <w:pPr>
              <w:rPr>
                <w:lang w:val="fr-FR"/>
              </w:rPr>
            </w:pPr>
          </w:p>
          <w:p w14:paraId="41BD155A" w14:textId="77777777" w:rsidR="00B87039" w:rsidRPr="00653BF4" w:rsidRDefault="00B87039" w:rsidP="00557FB3">
            <w:pPr>
              <w:rPr>
                <w:lang w:val="fr-FR"/>
              </w:rPr>
            </w:pPr>
          </w:p>
          <w:p w14:paraId="0DE8FE82" w14:textId="4414294E" w:rsidR="00B87039" w:rsidRPr="00653BF4" w:rsidRDefault="00B87039" w:rsidP="00557FB3">
            <w:pPr>
              <w:rPr>
                <w:sz w:val="20"/>
                <w:szCs w:val="20"/>
                <w:lang w:val="fr-FR"/>
              </w:rPr>
            </w:pPr>
            <w:r w:rsidRPr="00653BF4">
              <w:rPr>
                <w:sz w:val="20"/>
                <w:szCs w:val="20"/>
                <w:lang w:val="fr-FR"/>
              </w:rPr>
              <w:t>Depuis les années 1990, la croissance incontrôlée des troupeaux a entraîné un surpâturage important et une dégradation des pâturages sur les 112 millions d</w:t>
            </w:r>
            <w:r w:rsidR="00D77549">
              <w:rPr>
                <w:sz w:val="20"/>
                <w:szCs w:val="20"/>
                <w:lang w:val="fr-FR"/>
              </w:rPr>
              <w:t>’</w:t>
            </w:r>
            <w:r w:rsidRPr="00653BF4">
              <w:rPr>
                <w:sz w:val="20"/>
                <w:szCs w:val="20"/>
                <w:lang w:val="fr-FR"/>
              </w:rPr>
              <w:t>hectares de parcours de Mongolie, qui font vivre environ 190 000 familles d</w:t>
            </w:r>
            <w:r w:rsidR="00D77549">
              <w:rPr>
                <w:sz w:val="20"/>
                <w:szCs w:val="20"/>
                <w:lang w:val="fr-FR"/>
              </w:rPr>
              <w:t>’</w:t>
            </w:r>
            <w:r w:rsidRPr="00653BF4">
              <w:rPr>
                <w:sz w:val="20"/>
                <w:szCs w:val="20"/>
                <w:lang w:val="fr-FR"/>
              </w:rPr>
              <w:t>éleveurs, soit près de 20</w:t>
            </w:r>
            <w:r w:rsidR="002878D7">
              <w:rPr>
                <w:sz w:val="20"/>
                <w:szCs w:val="20"/>
                <w:lang w:val="fr-FR"/>
              </w:rPr>
              <w:t> %</w:t>
            </w:r>
            <w:r w:rsidRPr="00653BF4">
              <w:rPr>
                <w:sz w:val="20"/>
                <w:szCs w:val="20"/>
                <w:lang w:val="fr-FR"/>
              </w:rPr>
              <w:t xml:space="preserve"> de la population nationale. Le secteur agricole représente plus de la moitié des émissions nationales de gaz à effet de serre, la fermentation entérique du bétail contribuant à plus de 58</w:t>
            </w:r>
            <w:r w:rsidR="002878D7">
              <w:rPr>
                <w:sz w:val="20"/>
                <w:szCs w:val="20"/>
                <w:lang w:val="fr-FR"/>
              </w:rPr>
              <w:t> %</w:t>
            </w:r>
            <w:r w:rsidRPr="00653BF4">
              <w:rPr>
                <w:sz w:val="20"/>
                <w:szCs w:val="20"/>
                <w:lang w:val="fr-FR"/>
              </w:rPr>
              <w:t xml:space="preserve"> des émissions provenant de l</w:t>
            </w:r>
            <w:r w:rsidR="00D77549">
              <w:rPr>
                <w:sz w:val="20"/>
                <w:szCs w:val="20"/>
                <w:lang w:val="fr-FR"/>
              </w:rPr>
              <w:t>’</w:t>
            </w:r>
            <w:r w:rsidRPr="00653BF4">
              <w:rPr>
                <w:sz w:val="20"/>
                <w:szCs w:val="20"/>
                <w:lang w:val="fr-FR"/>
              </w:rPr>
              <w:t>agriculture. Afin d</w:t>
            </w:r>
            <w:r w:rsidR="00D77549">
              <w:rPr>
                <w:sz w:val="20"/>
                <w:szCs w:val="20"/>
                <w:lang w:val="fr-FR"/>
              </w:rPr>
              <w:t>’</w:t>
            </w:r>
            <w:r w:rsidRPr="00653BF4">
              <w:rPr>
                <w:sz w:val="20"/>
                <w:szCs w:val="20"/>
                <w:lang w:val="fr-FR"/>
              </w:rPr>
              <w:t xml:space="preserve">assurer une gestion durable des parcours, la Mongolie a promulgué en 2020 la loi sur la taxe par tête de bétail, qui habilite les administrations locales </w:t>
            </w:r>
            <w:r w:rsidRPr="00653BF4">
              <w:rPr>
                <w:i/>
                <w:iCs/>
                <w:sz w:val="20"/>
                <w:szCs w:val="20"/>
                <w:lang w:val="fr-FR"/>
              </w:rPr>
              <w:t>soums</w:t>
            </w:r>
            <w:r w:rsidRPr="00653BF4">
              <w:rPr>
                <w:sz w:val="20"/>
                <w:szCs w:val="20"/>
                <w:lang w:val="fr-FR"/>
              </w:rPr>
              <w:t xml:space="preserve"> (collectivités locales à l</w:t>
            </w:r>
            <w:r w:rsidR="00D77549">
              <w:rPr>
                <w:sz w:val="20"/>
                <w:szCs w:val="20"/>
                <w:lang w:val="fr-FR"/>
              </w:rPr>
              <w:t>’</w:t>
            </w:r>
            <w:r w:rsidRPr="00653BF4">
              <w:rPr>
                <w:sz w:val="20"/>
                <w:szCs w:val="20"/>
                <w:lang w:val="fr-FR"/>
              </w:rPr>
              <w:t>échelon des districts) à fixer des taux d</w:t>
            </w:r>
            <w:r w:rsidR="00D77549">
              <w:rPr>
                <w:sz w:val="20"/>
                <w:szCs w:val="20"/>
                <w:lang w:val="fr-FR"/>
              </w:rPr>
              <w:t>’</w:t>
            </w:r>
            <w:r w:rsidRPr="00653BF4">
              <w:rPr>
                <w:sz w:val="20"/>
                <w:szCs w:val="20"/>
                <w:lang w:val="fr-FR"/>
              </w:rPr>
              <w:t>imposition spécifiques à chaque espèce. Les recettes ainsi générées sont affectées à l</w:t>
            </w:r>
            <w:r w:rsidR="00D77549">
              <w:rPr>
                <w:sz w:val="20"/>
                <w:szCs w:val="20"/>
                <w:lang w:val="fr-FR"/>
              </w:rPr>
              <w:t>’</w:t>
            </w:r>
            <w:r w:rsidRPr="00653BF4">
              <w:rPr>
                <w:sz w:val="20"/>
                <w:szCs w:val="20"/>
                <w:lang w:val="fr-FR"/>
              </w:rPr>
              <w:t>amélioration de la gestion des pâturages et au financement des politiques gouvernementales visant à favoriser un développement durable de l</w:t>
            </w:r>
            <w:r w:rsidR="00D77549">
              <w:rPr>
                <w:sz w:val="20"/>
                <w:szCs w:val="20"/>
                <w:lang w:val="fr-FR"/>
              </w:rPr>
              <w:t>’</w:t>
            </w:r>
            <w:r w:rsidRPr="00653BF4">
              <w:rPr>
                <w:sz w:val="20"/>
                <w:szCs w:val="20"/>
                <w:lang w:val="fr-FR"/>
              </w:rPr>
              <w:t>élevage.</w:t>
            </w:r>
          </w:p>
          <w:p w14:paraId="3E78686A" w14:textId="77777777" w:rsidR="00B87039" w:rsidRPr="00653BF4" w:rsidRDefault="00B87039" w:rsidP="00557FB3">
            <w:pPr>
              <w:rPr>
                <w:sz w:val="20"/>
                <w:szCs w:val="20"/>
                <w:lang w:val="fr-FR"/>
              </w:rPr>
            </w:pPr>
          </w:p>
          <w:p w14:paraId="2C4A8446" w14:textId="491FE193" w:rsidR="00B87039" w:rsidRPr="00653BF4" w:rsidRDefault="00B87039" w:rsidP="00557FB3">
            <w:pPr>
              <w:rPr>
                <w:color w:val="212121"/>
                <w:sz w:val="20"/>
                <w:szCs w:val="20"/>
                <w:lang w:val="fr-FR"/>
              </w:rPr>
            </w:pPr>
            <w:r w:rsidRPr="00653BF4">
              <w:rPr>
                <w:sz w:val="20"/>
                <w:szCs w:val="20"/>
                <w:lang w:val="fr-FR"/>
              </w:rPr>
              <w:t>Grâce à cette initiative, le taux de conformité fiscale a considérablement augmenté, passant de 45,9</w:t>
            </w:r>
            <w:r w:rsidR="002878D7">
              <w:rPr>
                <w:sz w:val="20"/>
                <w:szCs w:val="20"/>
                <w:lang w:val="fr-FR"/>
              </w:rPr>
              <w:t> %</w:t>
            </w:r>
            <w:r w:rsidRPr="00653BF4">
              <w:rPr>
                <w:sz w:val="20"/>
                <w:szCs w:val="20"/>
                <w:lang w:val="fr-FR"/>
              </w:rPr>
              <w:t xml:space="preserve"> en 2021 à 92,5</w:t>
            </w:r>
            <w:r w:rsidR="002878D7">
              <w:rPr>
                <w:sz w:val="20"/>
                <w:szCs w:val="20"/>
                <w:lang w:val="fr-FR"/>
              </w:rPr>
              <w:t> %</w:t>
            </w:r>
            <w:r w:rsidRPr="00653BF4">
              <w:rPr>
                <w:sz w:val="20"/>
                <w:szCs w:val="20"/>
                <w:lang w:val="fr-FR"/>
              </w:rPr>
              <w:t xml:space="preserve"> en 2024, ce qui témoigne d</w:t>
            </w:r>
            <w:r w:rsidR="00D77549">
              <w:rPr>
                <w:sz w:val="20"/>
                <w:szCs w:val="20"/>
                <w:lang w:val="fr-FR"/>
              </w:rPr>
              <w:t>’</w:t>
            </w:r>
            <w:r w:rsidRPr="00653BF4">
              <w:rPr>
                <w:sz w:val="20"/>
                <w:szCs w:val="20"/>
                <w:lang w:val="fr-FR"/>
              </w:rPr>
              <w:t>une application renforcée et d</w:t>
            </w:r>
            <w:r w:rsidR="00D77549">
              <w:rPr>
                <w:sz w:val="20"/>
                <w:szCs w:val="20"/>
                <w:lang w:val="fr-FR"/>
              </w:rPr>
              <w:t>’</w:t>
            </w:r>
            <w:r w:rsidRPr="00653BF4">
              <w:rPr>
                <w:sz w:val="20"/>
                <w:szCs w:val="20"/>
                <w:lang w:val="fr-FR"/>
              </w:rPr>
              <w:t>améliorations d</w:t>
            </w:r>
            <w:r w:rsidR="00D77549">
              <w:rPr>
                <w:sz w:val="20"/>
                <w:szCs w:val="20"/>
                <w:lang w:val="fr-FR"/>
              </w:rPr>
              <w:t>’</w:t>
            </w:r>
            <w:r w:rsidRPr="00653BF4">
              <w:rPr>
                <w:sz w:val="20"/>
                <w:szCs w:val="20"/>
                <w:lang w:val="fr-FR"/>
              </w:rPr>
              <w:t>ordre administratif. Le cheptel total a connu une forte baisse de près de 14</w:t>
            </w:r>
            <w:r w:rsidR="002878D7">
              <w:rPr>
                <w:sz w:val="20"/>
                <w:szCs w:val="20"/>
                <w:lang w:val="fr-FR"/>
              </w:rPr>
              <w:t> %</w:t>
            </w:r>
            <w:r w:rsidRPr="00653BF4">
              <w:rPr>
                <w:sz w:val="20"/>
                <w:szCs w:val="20"/>
                <w:lang w:val="fr-FR"/>
              </w:rPr>
              <w:t xml:space="preserve"> en 2023 et d</w:t>
            </w:r>
            <w:r w:rsidR="00D77549">
              <w:rPr>
                <w:sz w:val="20"/>
                <w:szCs w:val="20"/>
                <w:lang w:val="fr-FR"/>
              </w:rPr>
              <w:t>’</w:t>
            </w:r>
            <w:r w:rsidRPr="00653BF4">
              <w:rPr>
                <w:sz w:val="20"/>
                <w:szCs w:val="20"/>
                <w:lang w:val="fr-FR"/>
              </w:rPr>
              <w:t>un niveau similaire en 2024, notamment chez les ovins et les caprins, en raison d</w:t>
            </w:r>
            <w:r w:rsidR="00D77549">
              <w:rPr>
                <w:sz w:val="20"/>
                <w:szCs w:val="20"/>
                <w:lang w:val="fr-FR"/>
              </w:rPr>
              <w:t>’</w:t>
            </w:r>
            <w:r w:rsidRPr="00653BF4">
              <w:rPr>
                <w:sz w:val="20"/>
                <w:szCs w:val="20"/>
                <w:lang w:val="fr-FR"/>
              </w:rPr>
              <w:t>une combinaison de pressions résultant des prescriptions réglementaires et de facteurs de stress écologiques. Des études indiquent que la loi sur la taxe par tête de bétail pourrait permettre d</w:t>
            </w:r>
            <w:r w:rsidR="00D77549">
              <w:rPr>
                <w:sz w:val="20"/>
                <w:szCs w:val="20"/>
                <w:lang w:val="fr-FR"/>
              </w:rPr>
              <w:t>’</w:t>
            </w:r>
            <w:r w:rsidRPr="00653BF4">
              <w:rPr>
                <w:sz w:val="20"/>
                <w:szCs w:val="20"/>
                <w:lang w:val="fr-FR"/>
              </w:rPr>
              <w:t>aligner les effectifs de bétail sur la capacité de charge des parcours, grâce à des mesures d</w:t>
            </w:r>
            <w:r w:rsidR="00D77549">
              <w:rPr>
                <w:sz w:val="20"/>
                <w:szCs w:val="20"/>
                <w:lang w:val="fr-FR"/>
              </w:rPr>
              <w:t>’</w:t>
            </w:r>
            <w:r w:rsidRPr="00653BF4">
              <w:rPr>
                <w:sz w:val="20"/>
                <w:szCs w:val="20"/>
                <w:lang w:val="fr-FR"/>
              </w:rPr>
              <w:t xml:space="preserve">incitation économiques récompensant la réduction de la taille des troupeaux et à des dépenses publiques ciblées en matière de gestion des pâturages. </w:t>
            </w:r>
          </w:p>
          <w:p w14:paraId="41C13C22" w14:textId="77777777" w:rsidR="00B87039" w:rsidRPr="00653BF4" w:rsidRDefault="00B87039" w:rsidP="00557FB3">
            <w:pPr>
              <w:rPr>
                <w:sz w:val="20"/>
                <w:szCs w:val="20"/>
                <w:lang w:val="fr-FR"/>
              </w:rPr>
            </w:pPr>
          </w:p>
          <w:p w14:paraId="2D2CC1DD" w14:textId="0240128E" w:rsidR="00B87039" w:rsidRPr="00653BF4" w:rsidRDefault="00B87039" w:rsidP="00557FB3">
            <w:pPr>
              <w:rPr>
                <w:sz w:val="20"/>
                <w:szCs w:val="20"/>
                <w:lang w:val="fr-FR"/>
              </w:rPr>
            </w:pPr>
            <w:r w:rsidRPr="00653BF4">
              <w:rPr>
                <w:sz w:val="20"/>
                <w:szCs w:val="20"/>
                <w:lang w:val="fr-FR"/>
              </w:rPr>
              <w:t>Piloté par le Ministère de l</w:t>
            </w:r>
            <w:r w:rsidR="00D77549">
              <w:rPr>
                <w:sz w:val="20"/>
                <w:szCs w:val="20"/>
                <w:lang w:val="fr-FR"/>
              </w:rPr>
              <w:t>’</w:t>
            </w:r>
            <w:r w:rsidRPr="00653BF4">
              <w:rPr>
                <w:sz w:val="20"/>
                <w:szCs w:val="20"/>
                <w:lang w:val="fr-FR"/>
              </w:rPr>
              <w:t>alimentation, de l</w:t>
            </w:r>
            <w:r w:rsidR="00D77549">
              <w:rPr>
                <w:sz w:val="20"/>
                <w:szCs w:val="20"/>
                <w:lang w:val="fr-FR"/>
              </w:rPr>
              <w:t>’</w:t>
            </w:r>
            <w:r w:rsidRPr="00653BF4">
              <w:rPr>
                <w:sz w:val="20"/>
                <w:szCs w:val="20"/>
                <w:lang w:val="fr-FR"/>
              </w:rPr>
              <w:t>agriculture et de l</w:t>
            </w:r>
            <w:r w:rsidR="00D77549">
              <w:rPr>
                <w:sz w:val="20"/>
                <w:szCs w:val="20"/>
                <w:lang w:val="fr-FR"/>
              </w:rPr>
              <w:t>’</w:t>
            </w:r>
            <w:r w:rsidRPr="00653BF4">
              <w:rPr>
                <w:sz w:val="20"/>
                <w:szCs w:val="20"/>
                <w:lang w:val="fr-FR"/>
              </w:rPr>
              <w:t>industrie légère, en collaboration avec le Ministère de l</w:t>
            </w:r>
            <w:r w:rsidR="00D77549">
              <w:rPr>
                <w:sz w:val="20"/>
                <w:szCs w:val="20"/>
                <w:lang w:val="fr-FR"/>
              </w:rPr>
              <w:t>’</w:t>
            </w:r>
            <w:r w:rsidRPr="00653BF4">
              <w:rPr>
                <w:sz w:val="20"/>
                <w:szCs w:val="20"/>
                <w:lang w:val="fr-FR"/>
              </w:rPr>
              <w:t>environnement et du tourisme, la Fédération nationale des groupes d</w:t>
            </w:r>
            <w:r w:rsidR="00D77549">
              <w:rPr>
                <w:sz w:val="20"/>
                <w:szCs w:val="20"/>
                <w:lang w:val="fr-FR"/>
              </w:rPr>
              <w:t>’</w:t>
            </w:r>
            <w:r w:rsidRPr="00653BF4">
              <w:rPr>
                <w:sz w:val="20"/>
                <w:szCs w:val="20"/>
                <w:lang w:val="fr-FR"/>
              </w:rPr>
              <w:t xml:space="preserve">exploitants de pâturages, les administrations locales </w:t>
            </w:r>
            <w:r w:rsidRPr="00653BF4">
              <w:rPr>
                <w:i/>
                <w:iCs/>
                <w:sz w:val="20"/>
                <w:szCs w:val="20"/>
                <w:lang w:val="fr-FR"/>
              </w:rPr>
              <w:t>soums</w:t>
            </w:r>
            <w:r w:rsidRPr="00653BF4">
              <w:rPr>
                <w:sz w:val="20"/>
                <w:szCs w:val="20"/>
                <w:lang w:val="fr-FR"/>
              </w:rPr>
              <w:t xml:space="preserve"> et les communautés d</w:t>
            </w:r>
            <w:r w:rsidR="00D77549">
              <w:rPr>
                <w:sz w:val="20"/>
                <w:szCs w:val="20"/>
                <w:lang w:val="fr-FR"/>
              </w:rPr>
              <w:t>’</w:t>
            </w:r>
            <w:r w:rsidRPr="00653BF4">
              <w:rPr>
                <w:sz w:val="20"/>
                <w:szCs w:val="20"/>
                <w:lang w:val="fr-FR"/>
              </w:rPr>
              <w:t xml:space="preserve">éleveurs, ce projet allie le savoir ancestral des nomades en matière de pâturage à des instruments financiers modernes, formant ainsi un modèle unique de gestion durable des terres. </w:t>
            </w:r>
          </w:p>
          <w:p w14:paraId="29160923" w14:textId="77777777" w:rsidR="00B87039" w:rsidRPr="00653BF4" w:rsidRDefault="00B87039" w:rsidP="00557FB3">
            <w:pPr>
              <w:rPr>
                <w:lang w:val="fr-FR"/>
              </w:rPr>
            </w:pPr>
          </w:p>
          <w:p w14:paraId="4D6952FD" w14:textId="60053082" w:rsidR="00B87039" w:rsidRPr="00653BF4" w:rsidRDefault="00B87039" w:rsidP="00557FB3">
            <w:pPr>
              <w:rPr>
                <w:sz w:val="20"/>
                <w:szCs w:val="20"/>
                <w:lang w:val="fr-FR"/>
              </w:rPr>
            </w:pPr>
            <w:r w:rsidRPr="00653BF4">
              <w:rPr>
                <w:i/>
                <w:iCs/>
                <w:sz w:val="20"/>
                <w:szCs w:val="20"/>
                <w:lang w:val="fr-FR"/>
              </w:rPr>
              <w:t>Cibles concernées</w:t>
            </w:r>
            <w:r w:rsidR="00E34DC9">
              <w:rPr>
                <w:i/>
                <w:iCs/>
                <w:sz w:val="20"/>
                <w:szCs w:val="20"/>
                <w:lang w:val="fr-FR"/>
              </w:rPr>
              <w:t> :</w:t>
            </w:r>
            <w:r w:rsidRPr="00653BF4">
              <w:rPr>
                <w:i/>
                <w:iCs/>
                <w:sz w:val="20"/>
                <w:szCs w:val="20"/>
                <w:lang w:val="fr-FR"/>
              </w:rPr>
              <w:t xml:space="preserve"> </w:t>
            </w:r>
            <w:r w:rsidRPr="00653BF4">
              <w:rPr>
                <w:sz w:val="20"/>
                <w:szCs w:val="20"/>
                <w:lang w:val="fr-FR"/>
              </w:rPr>
              <w:t>2, 8, 10, 11, 19 et 22.</w:t>
            </w:r>
          </w:p>
          <w:p w14:paraId="5CA1947E" w14:textId="5FD21675" w:rsidR="00B87039" w:rsidRPr="00653BF4" w:rsidRDefault="00B87039" w:rsidP="00557FB3">
            <w:pPr>
              <w:rPr>
                <w:sz w:val="20"/>
                <w:szCs w:val="20"/>
                <w:lang w:val="fr-FR"/>
              </w:rPr>
            </w:pPr>
            <w:r w:rsidRPr="00653BF4">
              <w:rPr>
                <w:i/>
                <w:iCs/>
                <w:sz w:val="20"/>
                <w:szCs w:val="20"/>
                <w:lang w:val="fr-FR"/>
              </w:rPr>
              <w:t>Sources</w:t>
            </w:r>
            <w:r w:rsidR="00E34DC9">
              <w:rPr>
                <w:i/>
                <w:iCs/>
                <w:sz w:val="20"/>
                <w:szCs w:val="20"/>
                <w:lang w:val="fr-FR"/>
              </w:rPr>
              <w:t> :</w:t>
            </w:r>
            <w:r w:rsidRPr="00653BF4">
              <w:rPr>
                <w:i/>
                <w:iCs/>
                <w:sz w:val="20"/>
                <w:szCs w:val="20"/>
                <w:lang w:val="fr-FR"/>
              </w:rPr>
              <w:t xml:space="preserve"> </w:t>
            </w:r>
            <w:r w:rsidRPr="00653BF4">
              <w:rPr>
                <w:sz w:val="20"/>
                <w:szCs w:val="20"/>
                <w:lang w:val="fr-FR"/>
              </w:rPr>
              <w:t>Mongolie, septième rapport national présenté au titre de la Convention</w:t>
            </w:r>
            <w:r w:rsidR="00E34DC9">
              <w:rPr>
                <w:sz w:val="20"/>
                <w:szCs w:val="20"/>
                <w:lang w:val="fr-FR"/>
              </w:rPr>
              <w:t> ;</w:t>
            </w:r>
            <w:r w:rsidRPr="00653BF4">
              <w:rPr>
                <w:sz w:val="20"/>
                <w:szCs w:val="20"/>
                <w:lang w:val="fr-FR"/>
              </w:rPr>
              <w:t xml:space="preserve"> Enkhbayar </w:t>
            </w:r>
            <w:r w:rsidRPr="00653BF4">
              <w:rPr>
                <w:i/>
                <w:iCs/>
                <w:sz w:val="20"/>
                <w:szCs w:val="20"/>
                <w:lang w:val="fr-FR"/>
              </w:rPr>
              <w:t>et al.</w:t>
            </w:r>
            <w:r w:rsidRPr="00653BF4">
              <w:rPr>
                <w:sz w:val="20"/>
                <w:szCs w:val="20"/>
                <w:lang w:val="fr-FR"/>
              </w:rPr>
              <w:t>, 2025</w:t>
            </w:r>
            <w:r w:rsidR="00E34DC9">
              <w:rPr>
                <w:sz w:val="20"/>
                <w:szCs w:val="20"/>
                <w:lang w:val="fr-FR"/>
              </w:rPr>
              <w:t> ;</w:t>
            </w:r>
            <w:r w:rsidRPr="00653BF4">
              <w:rPr>
                <w:sz w:val="20"/>
                <w:szCs w:val="20"/>
                <w:lang w:val="fr-FR"/>
              </w:rPr>
              <w:t xml:space="preserve"> FAO et PNUD, 2025</w:t>
            </w:r>
            <w:r w:rsidR="00E34DC9">
              <w:rPr>
                <w:sz w:val="20"/>
                <w:szCs w:val="20"/>
                <w:lang w:val="fr-FR"/>
              </w:rPr>
              <w:t> ;</w:t>
            </w:r>
            <w:r w:rsidRPr="00653BF4">
              <w:rPr>
                <w:sz w:val="20"/>
                <w:szCs w:val="20"/>
                <w:lang w:val="fr-FR"/>
              </w:rPr>
              <w:t xml:space="preserve"> et le Gouvernement de la Mongolie, 2020.</w:t>
            </w:r>
          </w:p>
          <w:p w14:paraId="3DCA84C8" w14:textId="77777777" w:rsidR="00B87039" w:rsidRPr="00653BF4" w:rsidRDefault="00B87039" w:rsidP="00557FB3">
            <w:pPr>
              <w:rPr>
                <w:lang w:val="fr-FR"/>
              </w:rPr>
            </w:pPr>
          </w:p>
        </w:tc>
      </w:tr>
    </w:tbl>
    <w:p w14:paraId="5A273299" w14:textId="77777777" w:rsidR="00B87039" w:rsidRPr="00653BF4" w:rsidRDefault="00B87039" w:rsidP="00B87039">
      <w:pPr>
        <w:rPr>
          <w:lang w:val="fr-FR"/>
        </w:rPr>
      </w:pPr>
    </w:p>
    <w:p w14:paraId="2CCCFFA9"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49"/>
      </w:tblGrid>
      <w:tr w:rsidR="00B87039" w:rsidRPr="00543148" w14:paraId="574E18D0" w14:textId="77777777" w:rsidTr="00557FB3">
        <w:trPr>
          <w:trHeight w:val="356"/>
        </w:trPr>
        <w:tc>
          <w:tcPr>
            <w:tcW w:w="9049" w:type="dxa"/>
            <w:shd w:val="clear" w:color="auto" w:fill="D1D1D1" w:themeFill="background2" w:themeFillShade="E6"/>
          </w:tcPr>
          <w:p w14:paraId="4F78B555" w14:textId="77777777" w:rsidR="00B87039" w:rsidRPr="00653BF4" w:rsidRDefault="00B87039" w:rsidP="00557FB3">
            <w:pPr>
              <w:spacing w:after="160" w:line="278" w:lineRule="auto"/>
              <w:rPr>
                <w:sz w:val="20"/>
                <w:szCs w:val="20"/>
                <w:lang w:val="fr-FR"/>
              </w:rPr>
            </w:pPr>
            <w:r w:rsidRPr="00653BF4">
              <w:rPr>
                <w:sz w:val="20"/>
                <w:szCs w:val="20"/>
                <w:lang w:val="fr-FR"/>
              </w:rPr>
              <w:t>Encadré 31</w:t>
            </w:r>
          </w:p>
          <w:p w14:paraId="64D16DE5" w14:textId="4E41F0EA" w:rsidR="00B87039" w:rsidRPr="00653BF4" w:rsidRDefault="00B87039" w:rsidP="00557FB3">
            <w:pPr>
              <w:spacing w:after="160" w:line="278" w:lineRule="auto"/>
              <w:rPr>
                <w:sz w:val="20"/>
                <w:szCs w:val="20"/>
                <w:lang w:val="fr-FR"/>
              </w:rPr>
            </w:pPr>
            <w:r w:rsidRPr="00653BF4">
              <w:rPr>
                <w:b/>
                <w:bCs/>
                <w:sz w:val="20"/>
                <w:szCs w:val="20"/>
                <w:lang w:val="fr-FR"/>
              </w:rPr>
              <w:lastRenderedPageBreak/>
              <w:t>Intégration du mécanisme REDD+ et de l</w:t>
            </w:r>
            <w:r w:rsidR="00D77549">
              <w:rPr>
                <w:b/>
                <w:bCs/>
                <w:sz w:val="20"/>
                <w:szCs w:val="20"/>
                <w:lang w:val="fr-FR"/>
              </w:rPr>
              <w:t>’</w:t>
            </w:r>
            <w:r w:rsidRPr="00653BF4">
              <w:rPr>
                <w:b/>
                <w:bCs/>
                <w:sz w:val="20"/>
                <w:szCs w:val="20"/>
                <w:lang w:val="fr-FR"/>
              </w:rPr>
              <w:t>agroforesterie dans les chaînes d</w:t>
            </w:r>
            <w:r w:rsidR="00D77549">
              <w:rPr>
                <w:b/>
                <w:bCs/>
                <w:sz w:val="20"/>
                <w:szCs w:val="20"/>
                <w:lang w:val="fr-FR"/>
              </w:rPr>
              <w:t>’</w:t>
            </w:r>
            <w:r w:rsidRPr="00653BF4">
              <w:rPr>
                <w:b/>
                <w:bCs/>
                <w:sz w:val="20"/>
                <w:szCs w:val="20"/>
                <w:lang w:val="fr-FR"/>
              </w:rPr>
              <w:t>approvisionnement du cacao en Côte d</w:t>
            </w:r>
            <w:r w:rsidR="00D77549">
              <w:rPr>
                <w:b/>
                <w:bCs/>
                <w:sz w:val="20"/>
                <w:szCs w:val="20"/>
                <w:lang w:val="fr-FR"/>
              </w:rPr>
              <w:t>’</w:t>
            </w:r>
            <w:r w:rsidRPr="00653BF4">
              <w:rPr>
                <w:b/>
                <w:bCs/>
                <w:sz w:val="20"/>
                <w:szCs w:val="20"/>
                <w:lang w:val="fr-FR"/>
              </w:rPr>
              <w:t>Ivoire</w:t>
            </w:r>
          </w:p>
          <w:p w14:paraId="5171D93C" w14:textId="20537388" w:rsidR="00B87039" w:rsidRPr="00653BF4" w:rsidRDefault="00B87039" w:rsidP="00557FB3">
            <w:pPr>
              <w:spacing w:after="160" w:line="278" w:lineRule="auto"/>
              <w:rPr>
                <w:sz w:val="20"/>
                <w:szCs w:val="20"/>
                <w:lang w:val="fr-FR"/>
              </w:rPr>
            </w:pPr>
            <w:r w:rsidRPr="00653BF4">
              <w:rPr>
                <w:sz w:val="20"/>
                <w:szCs w:val="20"/>
                <w:lang w:val="fr-FR"/>
              </w:rPr>
              <w:t>La Côte d’Ivoire met en œuvre une politique intégrée de déforestation zéro visant à</w:t>
            </w:r>
            <w:r w:rsidR="00E34DC9">
              <w:rPr>
                <w:sz w:val="20"/>
                <w:szCs w:val="20"/>
                <w:lang w:val="fr-FR"/>
              </w:rPr>
              <w:t> :</w:t>
            </w:r>
            <w:r w:rsidRPr="00653BF4">
              <w:rPr>
                <w:sz w:val="20"/>
                <w:szCs w:val="20"/>
                <w:lang w:val="fr-FR"/>
              </w:rPr>
              <w:t xml:space="preserve"> a) réduire les émissions de gaz à effet de serre dans l’agriculture</w:t>
            </w:r>
            <w:r w:rsidR="00E34DC9">
              <w:rPr>
                <w:sz w:val="20"/>
                <w:szCs w:val="20"/>
                <w:lang w:val="fr-FR"/>
              </w:rPr>
              <w:t> ;</w:t>
            </w:r>
            <w:r w:rsidRPr="00653BF4">
              <w:rPr>
                <w:sz w:val="20"/>
                <w:szCs w:val="20"/>
                <w:lang w:val="fr-FR"/>
              </w:rPr>
              <w:t xml:space="preserve"> b) conserver la biodiversité et améliorer la durabilité des secteurs agricole et forestier en luttant contre la déforestation liée à la production de cacao, l’un des principaux facteurs de la perte de couverture forestière dans le pays</w:t>
            </w:r>
            <w:r w:rsidR="00E34DC9">
              <w:rPr>
                <w:sz w:val="20"/>
                <w:szCs w:val="20"/>
                <w:lang w:val="fr-FR"/>
              </w:rPr>
              <w:t> ;</w:t>
            </w:r>
            <w:r w:rsidRPr="00653BF4">
              <w:rPr>
                <w:sz w:val="20"/>
                <w:szCs w:val="20"/>
                <w:lang w:val="fr-FR"/>
              </w:rPr>
              <w:t xml:space="preserve"> c) renforcer la participation du secteur privé à la durabilité de ces secteurs</w:t>
            </w:r>
            <w:r w:rsidR="00E34DC9">
              <w:rPr>
                <w:sz w:val="20"/>
                <w:szCs w:val="20"/>
                <w:lang w:val="fr-FR"/>
              </w:rPr>
              <w:t> ;</w:t>
            </w:r>
            <w:r w:rsidRPr="00653BF4">
              <w:rPr>
                <w:sz w:val="20"/>
                <w:szCs w:val="20"/>
                <w:lang w:val="fr-FR"/>
              </w:rPr>
              <w:t xml:space="preserve"> et d) améliorer la sécurité foncière. Le projet intitulé </w:t>
            </w:r>
            <w:r w:rsidR="00E34DC9">
              <w:rPr>
                <w:sz w:val="20"/>
                <w:szCs w:val="20"/>
                <w:lang w:val="fr-FR"/>
              </w:rPr>
              <w:t>« </w:t>
            </w:r>
            <w:r w:rsidRPr="00653BF4">
              <w:rPr>
                <w:sz w:val="20"/>
                <w:szCs w:val="20"/>
                <w:lang w:val="fr-FR"/>
              </w:rPr>
              <w:t>Promouvoir une Production de Cacao sans Déforestation pour Réduire les Émissions</w:t>
            </w:r>
            <w:r w:rsidR="00E34DC9">
              <w:rPr>
                <w:sz w:val="20"/>
                <w:szCs w:val="20"/>
                <w:lang w:val="fr-FR"/>
              </w:rPr>
              <w:t> »</w:t>
            </w:r>
            <w:r w:rsidRPr="00653BF4">
              <w:rPr>
                <w:sz w:val="20"/>
                <w:szCs w:val="20"/>
                <w:lang w:val="fr-FR"/>
              </w:rPr>
              <w:t>, mis en œuvre de 2022 à 2027 et financé par le Fonds vert pour le climat, vise à favoriser la transformation des plantations de cacao conventionnelles dégradées en systèmes agroforestiers productifs. Depuis le début de l</w:t>
            </w:r>
            <w:r w:rsidR="00D77549">
              <w:rPr>
                <w:sz w:val="20"/>
                <w:szCs w:val="20"/>
                <w:lang w:val="fr-FR"/>
              </w:rPr>
              <w:t>’</w:t>
            </w:r>
            <w:r w:rsidRPr="00653BF4">
              <w:rPr>
                <w:sz w:val="20"/>
                <w:szCs w:val="20"/>
                <w:lang w:val="fr-FR"/>
              </w:rPr>
              <w:t>année 2026, le projet a donné des résultats significatifs, avec plus de 3 500 hectares de plantations de cacao dégradées converties en systèmes agroforestiers et plus de 1 200 hectares de parcelles forestières restaurées. Plus de 5 700 personnes ont bénéficié d</w:t>
            </w:r>
            <w:r w:rsidR="00D77549">
              <w:rPr>
                <w:sz w:val="20"/>
                <w:szCs w:val="20"/>
                <w:lang w:val="fr-FR"/>
              </w:rPr>
              <w:t>’</w:t>
            </w:r>
            <w:r w:rsidRPr="00653BF4">
              <w:rPr>
                <w:sz w:val="20"/>
                <w:szCs w:val="20"/>
                <w:lang w:val="fr-FR"/>
              </w:rPr>
              <w:t>avantages directs, dont environ un quart sont des femmes. De plus, un soutien a été apporté à trois coopératives, dont deux coopératives de cacao biologique et une coopérative de cacao durable dirigée par des femmes. Durant son cycle de vie, le projet devrait permettre une réduction des émissions estimée à 5,5 millions de tonnes métriques d</w:t>
            </w:r>
            <w:r w:rsidR="00D77549">
              <w:rPr>
                <w:sz w:val="20"/>
                <w:szCs w:val="20"/>
                <w:lang w:val="fr-FR"/>
              </w:rPr>
              <w:t>’</w:t>
            </w:r>
            <w:r w:rsidRPr="00653BF4">
              <w:rPr>
                <w:sz w:val="20"/>
                <w:szCs w:val="20"/>
                <w:lang w:val="fr-FR"/>
              </w:rPr>
              <w:t>équivalent dioxyde de carbone (CO₂e). Grâce à l</w:t>
            </w:r>
            <w:r w:rsidR="00D77549">
              <w:rPr>
                <w:sz w:val="20"/>
                <w:szCs w:val="20"/>
                <w:lang w:val="fr-FR"/>
              </w:rPr>
              <w:t>’</w:t>
            </w:r>
            <w:r w:rsidRPr="00653BF4">
              <w:rPr>
                <w:sz w:val="20"/>
                <w:szCs w:val="20"/>
                <w:lang w:val="fr-FR"/>
              </w:rPr>
              <w:t>intégration d</w:t>
            </w:r>
            <w:r w:rsidR="00D77549">
              <w:rPr>
                <w:sz w:val="20"/>
                <w:szCs w:val="20"/>
                <w:lang w:val="fr-FR"/>
              </w:rPr>
              <w:t>’</w:t>
            </w:r>
            <w:r w:rsidRPr="00653BF4">
              <w:rPr>
                <w:sz w:val="20"/>
                <w:szCs w:val="20"/>
                <w:lang w:val="fr-FR"/>
              </w:rPr>
              <w:t>espèces d</w:t>
            </w:r>
            <w:r w:rsidR="00D77549">
              <w:rPr>
                <w:sz w:val="20"/>
                <w:szCs w:val="20"/>
                <w:lang w:val="fr-FR"/>
              </w:rPr>
              <w:t>’</w:t>
            </w:r>
            <w:r w:rsidRPr="00653BF4">
              <w:rPr>
                <w:sz w:val="20"/>
                <w:szCs w:val="20"/>
                <w:lang w:val="fr-FR"/>
              </w:rPr>
              <w:t>arbres comestibles telles que le kplé (</w:t>
            </w:r>
            <w:r w:rsidRPr="00653BF4">
              <w:rPr>
                <w:i/>
                <w:iCs/>
                <w:sz w:val="20"/>
                <w:szCs w:val="20"/>
                <w:lang w:val="fr-FR"/>
              </w:rPr>
              <w:t>Irvingia gabonensis</w:t>
            </w:r>
            <w:r w:rsidRPr="00653BF4">
              <w:rPr>
                <w:sz w:val="20"/>
                <w:szCs w:val="20"/>
                <w:lang w:val="fr-FR"/>
              </w:rPr>
              <w:t>), l</w:t>
            </w:r>
            <w:r w:rsidR="00D77549">
              <w:rPr>
                <w:sz w:val="20"/>
                <w:szCs w:val="20"/>
                <w:lang w:val="fr-FR"/>
              </w:rPr>
              <w:t>’</w:t>
            </w:r>
            <w:r w:rsidRPr="00653BF4">
              <w:rPr>
                <w:sz w:val="20"/>
                <w:szCs w:val="20"/>
                <w:lang w:val="fr-FR"/>
              </w:rPr>
              <w:t>akpi (Ricinodendron heudelotii) et le petit cola (</w:t>
            </w:r>
            <w:r w:rsidRPr="00653BF4">
              <w:rPr>
                <w:i/>
                <w:iCs/>
                <w:sz w:val="20"/>
                <w:szCs w:val="20"/>
                <w:lang w:val="fr-FR"/>
              </w:rPr>
              <w:t>Garcinia kola</w:t>
            </w:r>
            <w:r w:rsidRPr="00653BF4">
              <w:rPr>
                <w:sz w:val="20"/>
                <w:szCs w:val="20"/>
                <w:lang w:val="fr-FR"/>
              </w:rPr>
              <w:t>) aux espèces d</w:t>
            </w:r>
            <w:r w:rsidR="00D77549">
              <w:rPr>
                <w:sz w:val="20"/>
                <w:szCs w:val="20"/>
                <w:lang w:val="fr-FR"/>
              </w:rPr>
              <w:t>’</w:t>
            </w:r>
            <w:r w:rsidRPr="00653BF4">
              <w:rPr>
                <w:sz w:val="20"/>
                <w:szCs w:val="20"/>
                <w:lang w:val="fr-FR"/>
              </w:rPr>
              <w:t>arbres locales au sein des plantations de cacao, cette approche favorise la biodiversité, améliore la fertilité des sols et offre aux agriculteurs des sources de revenus supplémentaires tout en renforçant la sécurité alimentaire. Ce projet contribue également à la sécurité foncière en facilitant l</w:t>
            </w:r>
            <w:r w:rsidR="00D77549">
              <w:rPr>
                <w:sz w:val="20"/>
                <w:szCs w:val="20"/>
                <w:lang w:val="fr-FR"/>
              </w:rPr>
              <w:t>’</w:t>
            </w:r>
            <w:r w:rsidRPr="00653BF4">
              <w:rPr>
                <w:sz w:val="20"/>
                <w:szCs w:val="20"/>
                <w:lang w:val="fr-FR"/>
              </w:rPr>
              <w:t>accès aux certificats de propriété foncière, qui servent de garanties pour des investissements durables.</w:t>
            </w:r>
          </w:p>
          <w:p w14:paraId="17A7B3FB" w14:textId="6267C641" w:rsidR="00B87039" w:rsidRPr="00653BF4" w:rsidRDefault="00B87039" w:rsidP="00557FB3">
            <w:pPr>
              <w:rPr>
                <w:sz w:val="20"/>
                <w:szCs w:val="20"/>
                <w:lang w:val="fr-FR"/>
              </w:rPr>
            </w:pPr>
            <w:r w:rsidRPr="00653BF4">
              <w:rPr>
                <w:sz w:val="20"/>
                <w:szCs w:val="20"/>
                <w:lang w:val="fr-FR"/>
              </w:rPr>
              <w:t>Sous l</w:t>
            </w:r>
            <w:r w:rsidR="00D77549">
              <w:rPr>
                <w:sz w:val="20"/>
                <w:szCs w:val="20"/>
                <w:lang w:val="fr-FR"/>
              </w:rPr>
              <w:t>’</w:t>
            </w:r>
            <w:r w:rsidRPr="00653BF4">
              <w:rPr>
                <w:sz w:val="20"/>
                <w:szCs w:val="20"/>
                <w:lang w:val="fr-FR"/>
              </w:rPr>
              <w:t>égide du Ministère de l</w:t>
            </w:r>
            <w:r w:rsidR="00D77549">
              <w:rPr>
                <w:sz w:val="20"/>
                <w:szCs w:val="20"/>
                <w:lang w:val="fr-FR"/>
              </w:rPr>
              <w:t>’</w:t>
            </w:r>
            <w:r w:rsidRPr="00653BF4">
              <w:rPr>
                <w:sz w:val="20"/>
                <w:szCs w:val="20"/>
                <w:lang w:val="fr-FR"/>
              </w:rPr>
              <w:t>environnement et de la transition écologique, ce projet démontre qu</w:t>
            </w:r>
            <w:r w:rsidR="00D77549">
              <w:rPr>
                <w:sz w:val="20"/>
                <w:szCs w:val="20"/>
                <w:lang w:val="fr-FR"/>
              </w:rPr>
              <w:t>’</w:t>
            </w:r>
            <w:r w:rsidRPr="00653BF4">
              <w:rPr>
                <w:sz w:val="20"/>
                <w:szCs w:val="20"/>
                <w:lang w:val="fr-FR"/>
              </w:rPr>
              <w:t>il est possible d</w:t>
            </w:r>
            <w:r w:rsidR="00D77549">
              <w:rPr>
                <w:sz w:val="20"/>
                <w:szCs w:val="20"/>
                <w:lang w:val="fr-FR"/>
              </w:rPr>
              <w:t>’</w:t>
            </w:r>
            <w:r w:rsidRPr="00653BF4">
              <w:rPr>
                <w:sz w:val="20"/>
                <w:szCs w:val="20"/>
                <w:lang w:val="fr-FR"/>
              </w:rPr>
              <w:t>aligner les objectifs de la chaîne de valeur agricole sur ceux du mécanisme REDD+, en conciliant production économique, conservation des forêts et renforcement de la biodiversité.</w:t>
            </w:r>
          </w:p>
          <w:p w14:paraId="17B06E37" w14:textId="77777777" w:rsidR="00B87039" w:rsidRPr="00653BF4" w:rsidRDefault="00B87039" w:rsidP="00557FB3">
            <w:pPr>
              <w:rPr>
                <w:i/>
                <w:iCs/>
                <w:sz w:val="20"/>
                <w:szCs w:val="20"/>
                <w:lang w:val="fr-FR"/>
              </w:rPr>
            </w:pPr>
          </w:p>
          <w:p w14:paraId="6680F923" w14:textId="7777326C" w:rsidR="00B87039" w:rsidRPr="00653BF4" w:rsidRDefault="00B87039" w:rsidP="00557FB3">
            <w:pPr>
              <w:rPr>
                <w:sz w:val="20"/>
                <w:szCs w:val="20"/>
                <w:lang w:val="fr-FR"/>
              </w:rPr>
            </w:pPr>
            <w:r w:rsidRPr="00653BF4">
              <w:rPr>
                <w:i/>
                <w:iCs/>
                <w:sz w:val="20"/>
                <w:szCs w:val="20"/>
                <w:lang w:val="fr-FR"/>
              </w:rPr>
              <w:t>Cibles concernées</w:t>
            </w:r>
            <w:r w:rsidR="00E34DC9">
              <w:rPr>
                <w:i/>
                <w:iCs/>
                <w:sz w:val="20"/>
                <w:szCs w:val="20"/>
                <w:lang w:val="fr-FR"/>
              </w:rPr>
              <w:t> :</w:t>
            </w:r>
            <w:r w:rsidRPr="00653BF4">
              <w:rPr>
                <w:sz w:val="20"/>
                <w:szCs w:val="20"/>
                <w:lang w:val="fr-FR"/>
              </w:rPr>
              <w:t xml:space="preserve"> 2, 8, 9, 10, 22 et 23.</w:t>
            </w:r>
          </w:p>
          <w:p w14:paraId="7CE2A6A7" w14:textId="61019429" w:rsidR="00B87039" w:rsidRPr="00653BF4" w:rsidRDefault="00B87039" w:rsidP="00557FB3">
            <w:pPr>
              <w:rPr>
                <w:sz w:val="20"/>
                <w:szCs w:val="20"/>
                <w:lang w:val="fr-FR"/>
              </w:rPr>
            </w:pPr>
            <w:r w:rsidRPr="00653BF4">
              <w:rPr>
                <w:i/>
                <w:iCs/>
                <w:sz w:val="20"/>
                <w:szCs w:val="20"/>
                <w:lang w:val="fr-FR"/>
              </w:rPr>
              <w:t>Source</w:t>
            </w:r>
            <w:r w:rsidR="00E34DC9">
              <w:rPr>
                <w:i/>
                <w:iCs/>
                <w:sz w:val="20"/>
                <w:szCs w:val="20"/>
                <w:lang w:val="fr-FR"/>
              </w:rPr>
              <w:t> :</w:t>
            </w:r>
            <w:r w:rsidRPr="00653BF4">
              <w:rPr>
                <w:i/>
                <w:iCs/>
                <w:sz w:val="20"/>
                <w:szCs w:val="20"/>
                <w:lang w:val="fr-FR"/>
              </w:rPr>
              <w:t xml:space="preserve"> </w:t>
            </w:r>
            <w:r w:rsidRPr="00653BF4">
              <w:rPr>
                <w:sz w:val="20"/>
                <w:szCs w:val="20"/>
                <w:lang w:val="fr-FR"/>
              </w:rPr>
              <w:t>Côte d’Ivoire, septième rapport national présenté au titre de la Convention.</w:t>
            </w:r>
          </w:p>
          <w:p w14:paraId="1E2046F0" w14:textId="77777777" w:rsidR="00B87039" w:rsidRPr="00653BF4" w:rsidRDefault="00B87039" w:rsidP="00557FB3">
            <w:pPr>
              <w:rPr>
                <w:lang w:val="fr-FR"/>
              </w:rPr>
            </w:pPr>
          </w:p>
        </w:tc>
      </w:tr>
    </w:tbl>
    <w:p w14:paraId="6A1AC32B" w14:textId="77777777" w:rsidR="00B87039" w:rsidRPr="00653BF4" w:rsidRDefault="00B87039" w:rsidP="00B87039">
      <w:pPr>
        <w:rPr>
          <w:lang w:val="fr-FR"/>
        </w:rPr>
      </w:pPr>
    </w:p>
    <w:p w14:paraId="1FBE4022" w14:textId="77777777" w:rsidR="00B87039" w:rsidRPr="00653BF4" w:rsidRDefault="00B87039" w:rsidP="00B87039">
      <w:pPr>
        <w:pStyle w:val="Heading6"/>
        <w:rPr>
          <w:lang w:val="fr-FR"/>
        </w:rPr>
      </w:pPr>
      <w:bookmarkStart w:id="204" w:name="_Toc235821176"/>
      <w:r w:rsidRPr="00653BF4">
        <w:rPr>
          <w:lang w:val="fr-FR"/>
        </w:rPr>
        <w:t>Difficultés</w:t>
      </w:r>
      <w:bookmarkEnd w:id="204"/>
    </w:p>
    <w:p w14:paraId="60AF2753" w14:textId="77777777" w:rsidR="00B87039" w:rsidRPr="00653BF4" w:rsidRDefault="00B87039" w:rsidP="00B87039">
      <w:pPr>
        <w:rPr>
          <w:lang w:val="fr-FR"/>
        </w:rPr>
      </w:pPr>
    </w:p>
    <w:p w14:paraId="3A84863A" w14:textId="5B23CD67" w:rsidR="00B87039" w:rsidRPr="00653BF4" w:rsidRDefault="00B87039" w:rsidP="00B87039">
      <w:pPr>
        <w:rPr>
          <w:rFonts w:eastAsia="Aptos" w:cs="Aptos"/>
          <w:lang w:val="fr-FR"/>
        </w:rPr>
      </w:pPr>
      <w:r w:rsidRPr="00653BF4">
        <w:rPr>
          <w:lang w:val="fr-FR"/>
        </w:rPr>
        <w:t xml:space="preserve">Plusieurs Parties reconnaissent dans leurs rapports nationaux que des subventions néfastes persistent parallèlement aux programmes de durabilité, ce qui constitue un obstacle majeur à la mise en œuvre de la </w:t>
      </w:r>
      <w:r w:rsidR="00E34DC9">
        <w:rPr>
          <w:lang w:val="fr-FR"/>
        </w:rPr>
        <w:t>cible 1</w:t>
      </w:r>
      <w:r w:rsidRPr="00653BF4">
        <w:rPr>
          <w:lang w:val="fr-FR"/>
        </w:rPr>
        <w:t>0. Quelques Parties indiquent que les mesures d</w:t>
      </w:r>
      <w:r w:rsidR="00D77549">
        <w:rPr>
          <w:lang w:val="fr-FR"/>
        </w:rPr>
        <w:t>’</w:t>
      </w:r>
      <w:r w:rsidRPr="00653BF4">
        <w:rPr>
          <w:lang w:val="fr-FR"/>
        </w:rPr>
        <w:t xml:space="preserve">incitation économique actuelles, notamment les subventions et la fixation des prix sur le marché, ne favorisent pas toujours la transition vers des pratiques de production respectueuses de la biodiversité. Cela semble indiquer une certaine dépendance vis-à-vis des progrès accomplis dans la réalisation de la </w:t>
      </w:r>
      <w:r w:rsidR="00E34DC9">
        <w:rPr>
          <w:lang w:val="fr-FR"/>
        </w:rPr>
        <w:t>cible 1</w:t>
      </w:r>
      <w:r w:rsidRPr="00653BF4">
        <w:rPr>
          <w:lang w:val="fr-FR"/>
        </w:rPr>
        <w:t>8. Les Parties ne disposent pas du budget nécessaire pour généraliser les pratiques durables, contrôler leur conformité ou aider les communautés à abandonner les méthodes néfastes.</w:t>
      </w:r>
      <w:r w:rsidRPr="00653BF4">
        <w:rPr>
          <w:rFonts w:eastAsia="Aptos" w:cs="Aptos"/>
          <w:lang w:val="fr-FR"/>
        </w:rPr>
        <w:t xml:space="preserve"> La faiblesse des </w:t>
      </w:r>
      <w:r w:rsidRPr="00653BF4">
        <w:rPr>
          <w:rFonts w:eastAsia="Aptos" w:cs="Aptos"/>
          <w:lang w:val="fr-FR"/>
        </w:rPr>
        <w:lastRenderedPageBreak/>
        <w:t>mécanismes d</w:t>
      </w:r>
      <w:r w:rsidR="00D77549">
        <w:rPr>
          <w:rFonts w:eastAsia="Aptos" w:cs="Aptos"/>
          <w:lang w:val="fr-FR"/>
        </w:rPr>
        <w:t>’</w:t>
      </w:r>
      <w:r w:rsidRPr="00653BF4">
        <w:rPr>
          <w:rFonts w:eastAsia="Aptos" w:cs="Aptos"/>
          <w:lang w:val="fr-FR"/>
        </w:rPr>
        <w:t xml:space="preserve">application et les lacunes en matière de gouvernance continuent de compromettre la gestion durable de la pêche et des forêts dans plusieurs Parties. </w:t>
      </w:r>
      <w:r w:rsidRPr="00653BF4">
        <w:rPr>
          <w:lang w:val="fr-FR"/>
        </w:rPr>
        <w:t>De nombreuses Parties indiquent que les systèmes de suivi des initiatives en matière de production durable sont à l</w:t>
      </w:r>
      <w:r w:rsidR="00D77549">
        <w:rPr>
          <w:lang w:val="fr-FR"/>
        </w:rPr>
        <w:t>’</w:t>
      </w:r>
      <w:r w:rsidRPr="00653BF4">
        <w:rPr>
          <w:lang w:val="fr-FR"/>
        </w:rPr>
        <w:t>état embryonnaire, s</w:t>
      </w:r>
      <w:r w:rsidR="00D77549">
        <w:rPr>
          <w:lang w:val="fr-FR"/>
        </w:rPr>
        <w:t>’</w:t>
      </w:r>
      <w:r w:rsidRPr="00653BF4">
        <w:rPr>
          <w:lang w:val="fr-FR"/>
        </w:rPr>
        <w:t>inscrivent dans le cadre de projets spécifiques ou sont en cours d</w:t>
      </w:r>
      <w:r w:rsidR="00D77549">
        <w:rPr>
          <w:lang w:val="fr-FR"/>
        </w:rPr>
        <w:t>’</w:t>
      </w:r>
      <w:r w:rsidRPr="00653BF4">
        <w:rPr>
          <w:lang w:val="fr-FR"/>
        </w:rPr>
        <w:t>élaboration. Plusieurs Parties font remarquer que, même dans les situations où des cadres politiques exhaustifs ont été mis en place, les résultats positifs en termes d’amélioration de l’état des habitats et des populations d’espèces ne sont pas toujours pertinents. Les contraintes en termes de capacités des petits exploitants et des communautés sont citées comme des obstacles à la participation aux programmes de certification et aux mesures d</w:t>
      </w:r>
      <w:r w:rsidR="00D77549">
        <w:rPr>
          <w:lang w:val="fr-FR"/>
        </w:rPr>
        <w:t>’</w:t>
      </w:r>
      <w:r w:rsidRPr="00653BF4">
        <w:rPr>
          <w:lang w:val="fr-FR"/>
        </w:rPr>
        <w:t>incitation en faveur de l</w:t>
      </w:r>
      <w:r w:rsidR="00D77549">
        <w:rPr>
          <w:lang w:val="fr-FR"/>
        </w:rPr>
        <w:t>’</w:t>
      </w:r>
      <w:r w:rsidRPr="00653BF4">
        <w:rPr>
          <w:lang w:val="fr-FR"/>
        </w:rPr>
        <w:t>agroécologie. Les effets de facteurs tels que les changements climatiques et les espèces exotiques envahissantes sur la productivité sont mis en avant comme autant de difficultés entravant les efforts déployés en faveur d</w:t>
      </w:r>
      <w:r w:rsidR="00D77549">
        <w:rPr>
          <w:lang w:val="fr-FR"/>
        </w:rPr>
        <w:t>’</w:t>
      </w:r>
      <w:r w:rsidRPr="00653BF4">
        <w:rPr>
          <w:lang w:val="fr-FR"/>
        </w:rPr>
        <w:t xml:space="preserve">une production durable dans le cadre de la </w:t>
      </w:r>
      <w:r w:rsidR="00E34DC9">
        <w:rPr>
          <w:lang w:val="fr-FR"/>
        </w:rPr>
        <w:t>cible 1</w:t>
      </w:r>
      <w:r w:rsidRPr="00653BF4">
        <w:rPr>
          <w:lang w:val="fr-FR"/>
        </w:rPr>
        <w:t>0.</w:t>
      </w:r>
    </w:p>
    <w:p w14:paraId="091E2834" w14:textId="77777777" w:rsidR="00B87039" w:rsidRPr="00653BF4" w:rsidRDefault="00B87039" w:rsidP="00B87039">
      <w:pPr>
        <w:rPr>
          <w:lang w:val="fr-FR"/>
        </w:rPr>
      </w:pPr>
    </w:p>
    <w:p w14:paraId="64F91127" w14:textId="4E766F09" w:rsidR="00B87039" w:rsidRPr="00653BF4" w:rsidRDefault="00B87039" w:rsidP="00B87039">
      <w:pPr>
        <w:pStyle w:val="Heading5"/>
        <w:rPr>
          <w:lang w:val="fr-FR"/>
        </w:rPr>
      </w:pPr>
      <w:bookmarkStart w:id="205" w:name="_Toc235821177"/>
      <w:r w:rsidRPr="00653BF4">
        <w:rPr>
          <w:lang w:val="fr-FR"/>
        </w:rPr>
        <w:t>Contributions provenant d</w:t>
      </w:r>
      <w:r w:rsidR="00D77549">
        <w:rPr>
          <w:lang w:val="fr-FR"/>
        </w:rPr>
        <w:t>’</w:t>
      </w:r>
      <w:r w:rsidRPr="00653BF4">
        <w:rPr>
          <w:lang w:val="fr-FR"/>
        </w:rPr>
        <w:t>acteurs autres que les gouvernements nationaux</w:t>
      </w:r>
      <w:bookmarkEnd w:id="205"/>
    </w:p>
    <w:p w14:paraId="42140333" w14:textId="77777777" w:rsidR="00B87039" w:rsidRPr="00653BF4" w:rsidRDefault="00B87039" w:rsidP="00B87039">
      <w:pPr>
        <w:pStyle w:val="Heading6"/>
        <w:rPr>
          <w:lang w:val="fr-FR"/>
        </w:rPr>
      </w:pPr>
      <w:bookmarkStart w:id="206" w:name="_Toc235821178"/>
    </w:p>
    <w:p w14:paraId="14CB82F0" w14:textId="18A00D9F" w:rsidR="00B87039" w:rsidRPr="00653BF4" w:rsidRDefault="00B87039" w:rsidP="00B87039">
      <w:pPr>
        <w:pStyle w:val="Heading6"/>
        <w:rPr>
          <w:lang w:val="fr-FR"/>
        </w:rPr>
      </w:pPr>
      <w:r w:rsidRPr="00653BF4">
        <w:rPr>
          <w:lang w:val="fr-FR"/>
        </w:rPr>
        <w:t>Engagements communiqués directement via l</w:t>
      </w:r>
      <w:r w:rsidR="00D77549">
        <w:rPr>
          <w:lang w:val="fr-FR"/>
        </w:rPr>
        <w:t>’</w:t>
      </w:r>
      <w:r w:rsidRPr="00653BF4">
        <w:rPr>
          <w:lang w:val="fr-FR"/>
        </w:rPr>
        <w:t>outil de présentation des rapports en ligne</w:t>
      </w:r>
      <w:bookmarkEnd w:id="206"/>
    </w:p>
    <w:p w14:paraId="5E6AE8A2" w14:textId="77777777" w:rsidR="00B87039" w:rsidRPr="00653BF4" w:rsidRDefault="00B87039" w:rsidP="00B87039">
      <w:pPr>
        <w:rPr>
          <w:lang w:val="fr-FR"/>
        </w:rPr>
      </w:pPr>
    </w:p>
    <w:p w14:paraId="466B7893" w14:textId="19ECD587" w:rsidR="00B87039" w:rsidRPr="00653BF4" w:rsidRDefault="00B87039" w:rsidP="00B87039">
      <w:pPr>
        <w:rPr>
          <w:lang w:val="fr-FR"/>
        </w:rPr>
      </w:pPr>
      <w:r w:rsidRPr="00653BF4">
        <w:rPr>
          <w:lang w:val="fr-FR"/>
        </w:rPr>
        <w:t xml:space="preserve">Sur les 180 engagements de fond présentés par des acteurs autres que les gouvernements nationaux, 9 concernent principalement la </w:t>
      </w:r>
      <w:r w:rsidR="00E34DC9">
        <w:rPr>
          <w:lang w:val="fr-FR"/>
        </w:rPr>
        <w:t>cible 1</w:t>
      </w:r>
      <w:r w:rsidRPr="00653BF4">
        <w:rPr>
          <w:lang w:val="fr-FR"/>
        </w:rPr>
        <w:t>0. Parmi eux, 4 émanent d</w:t>
      </w:r>
      <w:r w:rsidR="00D77549">
        <w:rPr>
          <w:lang w:val="fr-FR"/>
        </w:rPr>
        <w:t>’</w:t>
      </w:r>
      <w:r w:rsidRPr="00653BF4">
        <w:rPr>
          <w:lang w:val="fr-FR"/>
        </w:rPr>
        <w:t>ONG, 3 du monde des affaires ou de l</w:t>
      </w:r>
      <w:r w:rsidR="00D77549">
        <w:rPr>
          <w:lang w:val="fr-FR"/>
        </w:rPr>
        <w:t>’</w:t>
      </w:r>
      <w:r w:rsidRPr="00653BF4">
        <w:rPr>
          <w:lang w:val="fr-FR"/>
        </w:rPr>
        <w:t>industrie, 1 d</w:t>
      </w:r>
      <w:r w:rsidR="00D77549">
        <w:rPr>
          <w:lang w:val="fr-FR"/>
        </w:rPr>
        <w:t>’</w:t>
      </w:r>
      <w:r w:rsidRPr="00653BF4">
        <w:rPr>
          <w:lang w:val="fr-FR"/>
        </w:rPr>
        <w:t>un organisme de recherche et 1 d</w:t>
      </w:r>
      <w:r w:rsidR="00D77549">
        <w:rPr>
          <w:lang w:val="fr-FR"/>
        </w:rPr>
        <w:t>’</w:t>
      </w:r>
      <w:r w:rsidRPr="00653BF4">
        <w:rPr>
          <w:lang w:val="fr-FR"/>
        </w:rPr>
        <w:t>une organisation des Nations Unies</w:t>
      </w:r>
      <w:r w:rsidR="00E34DC9">
        <w:rPr>
          <w:lang w:val="fr-FR"/>
        </w:rPr>
        <w:t> :</w:t>
      </w:r>
      <w:r w:rsidRPr="00653BF4">
        <w:rPr>
          <w:lang w:val="fr-FR"/>
        </w:rPr>
        <w:t xml:space="preserve"> la Stratégie de la FAO relative à l’intégration de la biodiversité dans tous les secteurs de l’agriculture et le Plan d’action y afférent. Ces engagements portent principalement sur l</w:t>
      </w:r>
      <w:r w:rsidR="00D77549">
        <w:rPr>
          <w:lang w:val="fr-FR"/>
        </w:rPr>
        <w:t>’</w:t>
      </w:r>
      <w:r w:rsidRPr="00653BF4">
        <w:rPr>
          <w:lang w:val="fr-FR"/>
        </w:rPr>
        <w:t>intégration de la biodiversité dans les politiques durables en matière d</w:t>
      </w:r>
      <w:r w:rsidR="00D77549">
        <w:rPr>
          <w:lang w:val="fr-FR"/>
        </w:rPr>
        <w:t>’</w:t>
      </w:r>
      <w:r w:rsidRPr="00653BF4">
        <w:rPr>
          <w:lang w:val="fr-FR"/>
        </w:rPr>
        <w:t>agriculture, de pêche et de sylviculture, ainsi que dans les chaînes de valeur des entreprises (voir l</w:t>
      </w:r>
      <w:r w:rsidR="00D77549">
        <w:rPr>
          <w:lang w:val="fr-FR"/>
        </w:rPr>
        <w:t>’</w:t>
      </w:r>
      <w:r w:rsidRPr="00653BF4">
        <w:rPr>
          <w:lang w:val="fr-FR"/>
        </w:rPr>
        <w:t>encadré 32). La couverture géographique de ces engagements s</w:t>
      </w:r>
      <w:r w:rsidR="00D77549">
        <w:rPr>
          <w:lang w:val="fr-FR"/>
        </w:rPr>
        <w:t>’</w:t>
      </w:r>
      <w:r w:rsidRPr="00653BF4">
        <w:rPr>
          <w:lang w:val="fr-FR"/>
        </w:rPr>
        <w:t>étend à l</w:t>
      </w:r>
      <w:r w:rsidR="00D77549">
        <w:rPr>
          <w:lang w:val="fr-FR"/>
        </w:rPr>
        <w:t>’</w:t>
      </w:r>
      <w:r w:rsidRPr="00653BF4">
        <w:rPr>
          <w:lang w:val="fr-FR"/>
        </w:rPr>
        <w:t>Europe, à l</w:t>
      </w:r>
      <w:r w:rsidR="00D77549">
        <w:rPr>
          <w:lang w:val="fr-FR"/>
        </w:rPr>
        <w:t>’</w:t>
      </w:r>
      <w:r w:rsidRPr="00653BF4">
        <w:rPr>
          <w:lang w:val="fr-FR"/>
        </w:rPr>
        <w:t>Afrique, à l</w:t>
      </w:r>
      <w:r w:rsidR="00D77549">
        <w:rPr>
          <w:lang w:val="fr-FR"/>
        </w:rPr>
        <w:t>’</w:t>
      </w:r>
      <w:r w:rsidRPr="00653BF4">
        <w:rPr>
          <w:lang w:val="fr-FR"/>
        </w:rPr>
        <w:t>Asie, à l</w:t>
      </w:r>
      <w:r w:rsidR="00D77549">
        <w:rPr>
          <w:lang w:val="fr-FR"/>
        </w:rPr>
        <w:t>’</w:t>
      </w:r>
      <w:r w:rsidRPr="00653BF4">
        <w:rPr>
          <w:lang w:val="fr-FR"/>
        </w:rPr>
        <w:t>Amérique latine et aux Caraïbes.</w:t>
      </w:r>
    </w:p>
    <w:p w14:paraId="23FD848F" w14:textId="77777777" w:rsidR="00B87039" w:rsidRPr="00653BF4" w:rsidRDefault="00B87039" w:rsidP="00B87039">
      <w:pPr>
        <w:rPr>
          <w:lang w:val="fr-FR"/>
        </w:rPr>
      </w:pPr>
    </w:p>
    <w:p w14:paraId="4FD31DAB"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16"/>
      </w:tblGrid>
      <w:tr w:rsidR="00B87039" w:rsidRPr="00543148" w14:paraId="4BC20A1C" w14:textId="77777777" w:rsidTr="00557FB3">
        <w:tc>
          <w:tcPr>
            <w:tcW w:w="9016" w:type="dxa"/>
            <w:shd w:val="clear" w:color="auto" w:fill="E8E8E8" w:themeFill="background2"/>
          </w:tcPr>
          <w:p w14:paraId="7125FA0A" w14:textId="77777777" w:rsidR="00B87039" w:rsidRPr="00653BF4" w:rsidRDefault="00B87039" w:rsidP="00557FB3">
            <w:pPr>
              <w:rPr>
                <w:i/>
                <w:iCs/>
                <w:lang w:val="fr-FR"/>
              </w:rPr>
            </w:pPr>
          </w:p>
          <w:p w14:paraId="58F6586D" w14:textId="77777777" w:rsidR="00B87039" w:rsidRPr="00653BF4" w:rsidRDefault="00B87039" w:rsidP="00557FB3">
            <w:pPr>
              <w:rPr>
                <w:sz w:val="20"/>
                <w:szCs w:val="20"/>
                <w:lang w:val="fr-FR"/>
              </w:rPr>
            </w:pPr>
            <w:r w:rsidRPr="00653BF4">
              <w:rPr>
                <w:sz w:val="20"/>
                <w:szCs w:val="20"/>
                <w:lang w:val="fr-FR"/>
              </w:rPr>
              <w:t>Encadré 32</w:t>
            </w:r>
          </w:p>
          <w:p w14:paraId="7DAB451B" w14:textId="46C99FA2" w:rsidR="00B87039" w:rsidRPr="00653BF4" w:rsidRDefault="00B87039" w:rsidP="00557FB3">
            <w:pPr>
              <w:rPr>
                <w:b/>
                <w:bCs/>
                <w:i/>
                <w:iCs/>
                <w:sz w:val="20"/>
                <w:szCs w:val="20"/>
                <w:lang w:val="fr-FR"/>
              </w:rPr>
            </w:pPr>
            <w:r w:rsidRPr="00653BF4">
              <w:rPr>
                <w:b/>
                <w:bCs/>
                <w:sz w:val="20"/>
                <w:szCs w:val="20"/>
                <w:lang w:val="fr-FR"/>
              </w:rPr>
              <w:t>OroVerde BioFinCas</w:t>
            </w:r>
            <w:r w:rsidR="00E34DC9">
              <w:rPr>
                <w:b/>
                <w:bCs/>
                <w:sz w:val="20"/>
                <w:szCs w:val="20"/>
                <w:lang w:val="fr-FR"/>
              </w:rPr>
              <w:t> :</w:t>
            </w:r>
            <w:r w:rsidRPr="00653BF4">
              <w:rPr>
                <w:b/>
                <w:bCs/>
                <w:sz w:val="20"/>
                <w:szCs w:val="20"/>
                <w:lang w:val="fr-FR"/>
              </w:rPr>
              <w:t xml:space="preserve"> promotion d</w:t>
            </w:r>
            <w:r w:rsidR="00D77549">
              <w:rPr>
                <w:b/>
                <w:bCs/>
                <w:sz w:val="20"/>
                <w:szCs w:val="20"/>
                <w:lang w:val="fr-FR"/>
              </w:rPr>
              <w:t>’</w:t>
            </w:r>
            <w:r w:rsidRPr="00653BF4">
              <w:rPr>
                <w:b/>
                <w:bCs/>
                <w:sz w:val="20"/>
                <w:szCs w:val="20"/>
                <w:lang w:val="fr-FR"/>
              </w:rPr>
              <w:t>une agriculture respectueuse de la biodiversité et résiliente face aux changements climatiques en République dominicaine, au Guatemala et au Mexique</w:t>
            </w:r>
          </w:p>
          <w:p w14:paraId="2E871226" w14:textId="77777777" w:rsidR="00B87039" w:rsidRPr="00653BF4" w:rsidRDefault="00B87039" w:rsidP="00557FB3">
            <w:pPr>
              <w:rPr>
                <w:lang w:val="fr-FR"/>
              </w:rPr>
            </w:pPr>
          </w:p>
          <w:p w14:paraId="0ED000AB" w14:textId="482064F5" w:rsidR="00B87039" w:rsidRPr="00653BF4" w:rsidRDefault="00B87039" w:rsidP="00557FB3">
            <w:pPr>
              <w:rPr>
                <w:rFonts w:eastAsia="Aptos" w:cs="Aptos"/>
                <w:sz w:val="20"/>
                <w:szCs w:val="20"/>
                <w:lang w:val="fr-FR"/>
              </w:rPr>
            </w:pPr>
            <w:r w:rsidRPr="00653BF4">
              <w:rPr>
                <w:rFonts w:eastAsia="Aptos" w:cs="Aptos"/>
                <w:sz w:val="20"/>
                <w:szCs w:val="20"/>
                <w:lang w:val="fr-FR"/>
              </w:rPr>
              <w:t>Le projet BioFinCas, mené par l</w:t>
            </w:r>
            <w:r w:rsidR="00D77549">
              <w:rPr>
                <w:rFonts w:eastAsia="Aptos" w:cs="Aptos"/>
                <w:sz w:val="20"/>
                <w:szCs w:val="20"/>
                <w:lang w:val="fr-FR"/>
              </w:rPr>
              <w:t>’</w:t>
            </w:r>
            <w:r w:rsidRPr="00653BF4">
              <w:rPr>
                <w:rFonts w:eastAsia="Aptos" w:cs="Aptos"/>
                <w:sz w:val="20"/>
                <w:szCs w:val="20"/>
                <w:lang w:val="fr-FR"/>
              </w:rPr>
              <w:t>ONG OroVerde, dont le siège se trouve en Allemagne, s</w:t>
            </w:r>
            <w:r w:rsidR="00D77549">
              <w:rPr>
                <w:rFonts w:eastAsia="Aptos" w:cs="Aptos"/>
                <w:sz w:val="20"/>
                <w:szCs w:val="20"/>
                <w:lang w:val="fr-FR"/>
              </w:rPr>
              <w:t>’</w:t>
            </w:r>
            <w:r w:rsidRPr="00653BF4">
              <w:rPr>
                <w:rFonts w:eastAsia="Aptos" w:cs="Aptos"/>
                <w:sz w:val="20"/>
                <w:szCs w:val="20"/>
                <w:lang w:val="fr-FR"/>
              </w:rPr>
              <w:t>intéresse aux coûts de la production mondiale de café, de bananes et de cacao en termes de biodiversité et de climat. Courant de juillet 2022 à juillet 2031 et financé par une subvention de l</w:t>
            </w:r>
            <w:r w:rsidR="00D77549">
              <w:rPr>
                <w:rFonts w:eastAsia="Aptos" w:cs="Aptos"/>
                <w:sz w:val="20"/>
                <w:szCs w:val="20"/>
                <w:lang w:val="fr-FR"/>
              </w:rPr>
              <w:t>’</w:t>
            </w:r>
            <w:r w:rsidRPr="00653BF4">
              <w:rPr>
                <w:rFonts w:eastAsia="Aptos" w:cs="Aptos"/>
                <w:sz w:val="20"/>
                <w:szCs w:val="20"/>
                <w:lang w:val="fr-FR"/>
              </w:rPr>
              <w:t xml:space="preserve">International Climate </w:t>
            </w:r>
            <w:r w:rsidRPr="00653BF4">
              <w:rPr>
                <w:rFonts w:eastAsia="Aptos" w:cs="Aptos"/>
                <w:sz w:val="20"/>
                <w:szCs w:val="20"/>
                <w:lang w:val="fr-FR"/>
              </w:rPr>
              <w:lastRenderedPageBreak/>
              <w:t>Initiative, ce projet repose sur le constat que la production de masse à bas coût de ces produits de base favorise les monocultures, la dépendance aux produits agrochimiques et la déforestation, tout en faisant peser une part disproportionnée des risques climatiques et de la charge financière sur les petits et moyens producteurs. Présents en République dominicaine, au Guatemala et au Mexique, les partenaires du projet BioFinCas collaborent avec des organisations faîtières de producteurs, des institutions financières, des compagnies d</w:t>
            </w:r>
            <w:r w:rsidR="00D77549">
              <w:rPr>
                <w:rFonts w:eastAsia="Aptos" w:cs="Aptos"/>
                <w:sz w:val="20"/>
                <w:szCs w:val="20"/>
                <w:lang w:val="fr-FR"/>
              </w:rPr>
              <w:t>’</w:t>
            </w:r>
            <w:r w:rsidRPr="00653BF4">
              <w:rPr>
                <w:rFonts w:eastAsia="Aptos" w:cs="Aptos"/>
                <w:sz w:val="20"/>
                <w:szCs w:val="20"/>
                <w:lang w:val="fr-FR"/>
              </w:rPr>
              <w:t>assurance, des décideurs et des acteurs de la société civile afin de mettre au point des instruments de financement des risques adaptables à grande échelle, de renforcer les capacités des producteurs et d</w:t>
            </w:r>
            <w:r w:rsidR="00D77549">
              <w:rPr>
                <w:rFonts w:eastAsia="Aptos" w:cs="Aptos"/>
                <w:sz w:val="20"/>
                <w:szCs w:val="20"/>
                <w:lang w:val="fr-FR"/>
              </w:rPr>
              <w:t>’</w:t>
            </w:r>
            <w:r w:rsidRPr="00653BF4">
              <w:rPr>
                <w:rFonts w:eastAsia="Aptos" w:cs="Aptos"/>
                <w:sz w:val="20"/>
                <w:szCs w:val="20"/>
                <w:lang w:val="fr-FR"/>
              </w:rPr>
              <w:t>apporter des recommandations dans le cadre des dialogues politiques nationaux et internationaux. Les partenaires de BioFinCas mènent également des campagnes de sensibilisation et d</w:t>
            </w:r>
            <w:r w:rsidR="00D77549">
              <w:rPr>
                <w:rFonts w:eastAsia="Aptos" w:cs="Aptos"/>
                <w:sz w:val="20"/>
                <w:szCs w:val="20"/>
                <w:lang w:val="fr-FR"/>
              </w:rPr>
              <w:t>’</w:t>
            </w:r>
            <w:r w:rsidRPr="00653BF4">
              <w:rPr>
                <w:rFonts w:eastAsia="Aptos" w:cs="Aptos"/>
                <w:sz w:val="20"/>
                <w:szCs w:val="20"/>
                <w:lang w:val="fr-FR"/>
              </w:rPr>
              <w:t>information des consommateurs au niveau de l</w:t>
            </w:r>
            <w:r w:rsidR="00D77549">
              <w:rPr>
                <w:rFonts w:eastAsia="Aptos" w:cs="Aptos"/>
                <w:sz w:val="20"/>
                <w:szCs w:val="20"/>
                <w:lang w:val="fr-FR"/>
              </w:rPr>
              <w:t>’</w:t>
            </w:r>
            <w:r w:rsidRPr="00653BF4">
              <w:rPr>
                <w:rFonts w:eastAsia="Aptos" w:cs="Aptos"/>
                <w:sz w:val="20"/>
                <w:szCs w:val="20"/>
                <w:lang w:val="fr-FR"/>
              </w:rPr>
              <w:t>Union européenne afin d</w:t>
            </w:r>
            <w:r w:rsidR="00D77549">
              <w:rPr>
                <w:rFonts w:eastAsia="Aptos" w:cs="Aptos"/>
                <w:sz w:val="20"/>
                <w:szCs w:val="20"/>
                <w:lang w:val="fr-FR"/>
              </w:rPr>
              <w:t>’</w:t>
            </w:r>
            <w:r w:rsidRPr="00653BF4">
              <w:rPr>
                <w:rFonts w:eastAsia="Aptos" w:cs="Aptos"/>
                <w:sz w:val="20"/>
                <w:szCs w:val="20"/>
                <w:lang w:val="fr-FR"/>
              </w:rPr>
              <w:t>orienter la demande vers des produits respectueux de la biodiversité. Les progrès sont mesurés en fonction de la proportion de la superficie agricole gérée de manière productive et durable (indicateur phare 10.1) et du revenu moyen des petits producteurs alimentaires, ventilé par sexe et par statut d</w:t>
            </w:r>
            <w:r w:rsidR="00D77549">
              <w:rPr>
                <w:rFonts w:eastAsia="Aptos" w:cs="Aptos"/>
                <w:sz w:val="20"/>
                <w:szCs w:val="20"/>
                <w:lang w:val="fr-FR"/>
              </w:rPr>
              <w:t>’</w:t>
            </w:r>
            <w:r w:rsidRPr="00653BF4">
              <w:rPr>
                <w:rFonts w:eastAsia="Aptos" w:cs="Aptos"/>
                <w:sz w:val="20"/>
                <w:szCs w:val="20"/>
                <w:lang w:val="fr-FR"/>
              </w:rPr>
              <w:t>autochtone (indicateur de composante 10.CT.1), ce qui reflète l</w:t>
            </w:r>
            <w:r w:rsidR="00D77549">
              <w:rPr>
                <w:rFonts w:eastAsia="Aptos" w:cs="Aptos"/>
                <w:sz w:val="20"/>
                <w:szCs w:val="20"/>
                <w:lang w:val="fr-FR"/>
              </w:rPr>
              <w:t>’</w:t>
            </w:r>
            <w:r w:rsidRPr="00653BF4">
              <w:rPr>
                <w:rFonts w:eastAsia="Aptos" w:cs="Aptos"/>
                <w:sz w:val="20"/>
                <w:szCs w:val="20"/>
                <w:lang w:val="fr-FR"/>
              </w:rPr>
              <w:t>importance accordée par le projet aux questions de genre et d</w:t>
            </w:r>
            <w:r w:rsidR="00D77549">
              <w:rPr>
                <w:rFonts w:eastAsia="Aptos" w:cs="Aptos"/>
                <w:sz w:val="20"/>
                <w:szCs w:val="20"/>
                <w:lang w:val="fr-FR"/>
              </w:rPr>
              <w:t>’</w:t>
            </w:r>
            <w:r w:rsidRPr="00653BF4">
              <w:rPr>
                <w:rFonts w:eastAsia="Aptos" w:cs="Aptos"/>
                <w:sz w:val="20"/>
                <w:szCs w:val="20"/>
                <w:lang w:val="fr-FR"/>
              </w:rPr>
              <w:t>équité.</w:t>
            </w:r>
          </w:p>
          <w:p w14:paraId="5CB650D3" w14:textId="77777777" w:rsidR="00B87039" w:rsidRPr="00653BF4" w:rsidRDefault="00B87039" w:rsidP="00557FB3">
            <w:pPr>
              <w:rPr>
                <w:rFonts w:eastAsia="Aptos" w:cs="Aptos"/>
                <w:lang w:val="fr-FR"/>
              </w:rPr>
            </w:pPr>
          </w:p>
          <w:p w14:paraId="59478B0A" w14:textId="08D2DD76" w:rsidR="00B87039" w:rsidRPr="00653BF4" w:rsidRDefault="00B87039" w:rsidP="00557FB3">
            <w:pPr>
              <w:rPr>
                <w:rFonts w:eastAsia="Aptos" w:cs="Aptos"/>
                <w:sz w:val="20"/>
                <w:szCs w:val="20"/>
                <w:lang w:val="fr-FR"/>
              </w:rPr>
            </w:pPr>
            <w:r w:rsidRPr="00653BF4">
              <w:rPr>
                <w:rFonts w:eastAsia="Aptos" w:cs="Aptos"/>
                <w:i/>
                <w:iCs/>
                <w:sz w:val="20"/>
                <w:szCs w:val="20"/>
                <w:lang w:val="fr-FR"/>
              </w:rPr>
              <w:t>Cibles concernées</w:t>
            </w:r>
            <w:r w:rsidR="00E34DC9">
              <w:rPr>
                <w:rFonts w:eastAsia="Aptos" w:cs="Aptos"/>
                <w:i/>
                <w:iCs/>
                <w:sz w:val="20"/>
                <w:szCs w:val="20"/>
                <w:lang w:val="fr-FR"/>
              </w:rPr>
              <w:t> :</w:t>
            </w:r>
            <w:r w:rsidRPr="00653BF4">
              <w:rPr>
                <w:rFonts w:eastAsia="Aptos" w:cs="Aptos"/>
                <w:sz w:val="20"/>
                <w:szCs w:val="20"/>
                <w:lang w:val="fr-FR"/>
              </w:rPr>
              <w:t xml:space="preserve"> 10, 19, 20 et 23.</w:t>
            </w:r>
          </w:p>
          <w:p w14:paraId="28ADD70D" w14:textId="7584DF58" w:rsidR="00B87039" w:rsidRPr="00653BF4" w:rsidRDefault="00B87039" w:rsidP="00557FB3">
            <w:pPr>
              <w:pStyle w:val="FootnoteText"/>
              <w:rPr>
                <w:lang w:val="fr-FR"/>
              </w:rPr>
            </w:pPr>
            <w:r w:rsidRPr="00653BF4">
              <w:rPr>
                <w:rFonts w:eastAsia="Aptos" w:cs="Aptos"/>
                <w:i/>
                <w:iCs/>
                <w:lang w:val="fr-FR"/>
              </w:rPr>
              <w:t>Source</w:t>
            </w:r>
            <w:r w:rsidR="00E34DC9">
              <w:rPr>
                <w:rFonts w:eastAsia="Aptos" w:cs="Aptos"/>
                <w:i/>
                <w:iCs/>
                <w:lang w:val="fr-FR"/>
              </w:rPr>
              <w:t> :</w:t>
            </w:r>
            <w:r w:rsidRPr="00653BF4">
              <w:rPr>
                <w:rFonts w:eastAsia="Aptos" w:cs="Aptos"/>
                <w:lang w:val="fr-FR"/>
              </w:rPr>
              <w:t xml:space="preserve"> OroVerde, engagement des parties prenantes</w:t>
            </w:r>
            <w:r w:rsidRPr="00653BF4">
              <w:rPr>
                <w:lang w:val="fr-FR"/>
              </w:rPr>
              <w:t xml:space="preserve"> (voir </w:t>
            </w:r>
            <w:hyperlink r:id="rId132">
              <w:r w:rsidRPr="00653BF4">
                <w:rPr>
                  <w:rStyle w:val="Hyperlink"/>
                  <w:lang w:val="fr-FR"/>
                </w:rPr>
                <w:t>https://ort.cbd.int/database/293339</w:t>
              </w:r>
            </w:hyperlink>
            <w:r w:rsidRPr="00653BF4">
              <w:rPr>
                <w:rFonts w:eastAsia="Aptos" w:cs="Aptos"/>
                <w:lang w:val="fr-FR"/>
              </w:rPr>
              <w:t>).</w:t>
            </w:r>
          </w:p>
          <w:p w14:paraId="301FCE16" w14:textId="77777777" w:rsidR="00B87039" w:rsidRPr="00653BF4" w:rsidRDefault="00B87039" w:rsidP="00557FB3">
            <w:pPr>
              <w:rPr>
                <w:rFonts w:eastAsia="Aptos" w:cs="Aptos"/>
                <w:sz w:val="20"/>
                <w:szCs w:val="20"/>
                <w:lang w:val="fr-FR"/>
              </w:rPr>
            </w:pPr>
          </w:p>
          <w:p w14:paraId="4F31FCF4" w14:textId="77777777" w:rsidR="00B87039" w:rsidRPr="00653BF4" w:rsidRDefault="00B87039" w:rsidP="00557FB3">
            <w:pPr>
              <w:rPr>
                <w:lang w:val="fr-FR"/>
              </w:rPr>
            </w:pPr>
          </w:p>
        </w:tc>
      </w:tr>
    </w:tbl>
    <w:p w14:paraId="6E0ABC78" w14:textId="77777777" w:rsidR="00B87039" w:rsidRPr="00653BF4" w:rsidRDefault="00B87039" w:rsidP="00B87039">
      <w:pPr>
        <w:rPr>
          <w:lang w:val="fr-FR"/>
        </w:rPr>
      </w:pPr>
      <w:r w:rsidRPr="00653BF4">
        <w:rPr>
          <w:lang w:val="fr-FR"/>
        </w:rPr>
        <w:lastRenderedPageBreak/>
        <w:t xml:space="preserve"> </w:t>
      </w:r>
    </w:p>
    <w:p w14:paraId="2CED41CE" w14:textId="611A9954" w:rsidR="00B87039" w:rsidRPr="00653BF4" w:rsidRDefault="00B87039" w:rsidP="00B87039">
      <w:pPr>
        <w:pStyle w:val="Heading6"/>
        <w:rPr>
          <w:lang w:val="fr-FR"/>
        </w:rPr>
      </w:pPr>
      <w:bookmarkStart w:id="207" w:name="_Toc235821179"/>
      <w:r w:rsidRPr="00653BF4">
        <w:rPr>
          <w:lang w:val="fr-FR"/>
        </w:rPr>
        <w:t>Contributions intégrées dans les rapports nationaux</w:t>
      </w:r>
      <w:bookmarkEnd w:id="207"/>
    </w:p>
    <w:p w14:paraId="25023934" w14:textId="77777777" w:rsidR="00B87039" w:rsidRPr="00653BF4" w:rsidRDefault="00B87039" w:rsidP="00B87039">
      <w:pPr>
        <w:rPr>
          <w:lang w:val="fr-FR"/>
        </w:rPr>
      </w:pPr>
    </w:p>
    <w:p w14:paraId="615950A9" w14:textId="67F40F48" w:rsidR="00B87039" w:rsidRPr="00653BF4" w:rsidRDefault="00B87039" w:rsidP="00B87039">
      <w:pPr>
        <w:rPr>
          <w:lang w:val="fr-FR"/>
        </w:rPr>
      </w:pPr>
      <w:r w:rsidRPr="00653BF4">
        <w:rPr>
          <w:lang w:val="fr-FR"/>
        </w:rPr>
        <w:t xml:space="preserve">Les acteurs sectoriels tels que les agriculteurs, les pêcheurs, les sylviculteurs, les bergers et les aquaculteurs sont les groupes qui, selon les Parties, contribuent le plus à la mise en œuvre de la </w:t>
      </w:r>
      <w:r w:rsidR="00E34DC9">
        <w:rPr>
          <w:lang w:val="fr-FR"/>
        </w:rPr>
        <w:t>cible 1</w:t>
      </w:r>
      <w:r w:rsidRPr="00653BF4">
        <w:rPr>
          <w:lang w:val="fr-FR"/>
        </w:rPr>
        <w:t xml:space="preserve">0. Ces acteurs, ainsi que les peuples autochtones et communautés locales et les autorités infranationales, disposent souvent de prérogatives officielles ou légalement reconnues sur les ressources naturelles et jouent donc un rôle important pour garantir une gestion durable des zones de production. Les acteurs du monde des affaires sont régulièrement mentionnés dans les rapports nationaux consacrés à la mise en œuvre de la </w:t>
      </w:r>
      <w:r w:rsidR="00E34DC9">
        <w:rPr>
          <w:lang w:val="fr-FR"/>
        </w:rPr>
        <w:t>cible 1</w:t>
      </w:r>
      <w:r w:rsidRPr="00653BF4">
        <w:rPr>
          <w:lang w:val="fr-FR"/>
        </w:rPr>
        <w:t>0, notamment en ce qui concerne leur participation aux programmes de certification et à la gouvernance de la chaîne d</w:t>
      </w:r>
      <w:r w:rsidR="00D77549">
        <w:rPr>
          <w:lang w:val="fr-FR"/>
        </w:rPr>
        <w:t>’</w:t>
      </w:r>
      <w:r w:rsidRPr="00653BF4">
        <w:rPr>
          <w:lang w:val="fr-FR"/>
        </w:rPr>
        <w:t>approvisionnement. Les femmes sont également souvent citées comme des actrices essentielles</w:t>
      </w:r>
      <w:r w:rsidR="00E34DC9">
        <w:rPr>
          <w:lang w:val="fr-FR"/>
        </w:rPr>
        <w:t> :</w:t>
      </w:r>
      <w:r w:rsidRPr="00653BF4">
        <w:rPr>
          <w:lang w:val="fr-FR"/>
        </w:rPr>
        <w:t xml:space="preserve"> soit elles sont déjà impliquées, soit il est important de renforcer leur engagement. </w:t>
      </w:r>
    </w:p>
    <w:p w14:paraId="3A785C41" w14:textId="77777777" w:rsidR="00B87039" w:rsidRPr="00653BF4" w:rsidRDefault="00B87039" w:rsidP="00B87039">
      <w:pPr>
        <w:pStyle w:val="Heading5"/>
        <w:rPr>
          <w:lang w:val="fr-FR"/>
        </w:rPr>
      </w:pPr>
    </w:p>
    <w:p w14:paraId="367802EE" w14:textId="6882140A" w:rsidR="00B87039" w:rsidRPr="00653BF4" w:rsidRDefault="00B87039" w:rsidP="00B87039">
      <w:pPr>
        <w:pStyle w:val="Heading5"/>
        <w:rPr>
          <w:lang w:val="fr-FR"/>
        </w:rPr>
      </w:pPr>
      <w:bookmarkStart w:id="208" w:name="_Toc235821180"/>
      <w:r w:rsidRPr="00653BF4">
        <w:rPr>
          <w:lang w:val="fr-FR"/>
        </w:rPr>
        <w:t>Exemples de liens avec d</w:t>
      </w:r>
      <w:r w:rsidR="00D77549">
        <w:rPr>
          <w:lang w:val="fr-FR"/>
        </w:rPr>
        <w:t>’</w:t>
      </w:r>
      <w:r w:rsidRPr="00653BF4">
        <w:rPr>
          <w:lang w:val="fr-FR"/>
        </w:rPr>
        <w:t>autres accords, organisations et processus</w:t>
      </w:r>
      <w:bookmarkEnd w:id="208"/>
    </w:p>
    <w:p w14:paraId="35152BB8" w14:textId="77777777" w:rsidR="00B87039" w:rsidRPr="00653BF4" w:rsidRDefault="00B87039" w:rsidP="00B87039">
      <w:pPr>
        <w:rPr>
          <w:rFonts w:eastAsia="Times New Roman" w:cs="Times New Roman"/>
          <w:lang w:val="fr-FR"/>
        </w:rPr>
      </w:pPr>
    </w:p>
    <w:p w14:paraId="083B01B9" w14:textId="67198E74" w:rsidR="00B87039" w:rsidRPr="00653BF4" w:rsidRDefault="00B87039" w:rsidP="00B87039">
      <w:pPr>
        <w:rPr>
          <w:rFonts w:eastAsia="Times New Roman" w:cs="Times New Roman"/>
          <w:lang w:val="fr-FR"/>
        </w:rPr>
      </w:pPr>
      <w:r w:rsidRPr="00653BF4">
        <w:rPr>
          <w:rFonts w:eastAsia="Times New Roman" w:cs="Times New Roman"/>
          <w:lang w:val="fr-FR"/>
        </w:rPr>
        <w:t>À travers plusieurs de ses décisions, la Conférence des Parties à la CNULCD s</w:t>
      </w:r>
      <w:r w:rsidR="00D77549">
        <w:rPr>
          <w:rFonts w:eastAsia="Times New Roman" w:cs="Times New Roman"/>
          <w:lang w:val="fr-FR"/>
        </w:rPr>
        <w:t>’</w:t>
      </w:r>
      <w:r w:rsidRPr="00653BF4">
        <w:rPr>
          <w:rFonts w:eastAsia="Times New Roman" w:cs="Times New Roman"/>
          <w:lang w:val="fr-FR"/>
        </w:rPr>
        <w:t>est engagée à coopérer avec d</w:t>
      </w:r>
      <w:r w:rsidR="00D77549">
        <w:rPr>
          <w:rFonts w:eastAsia="Times New Roman" w:cs="Times New Roman"/>
          <w:lang w:val="fr-FR"/>
        </w:rPr>
        <w:t>’</w:t>
      </w:r>
      <w:r w:rsidRPr="00653BF4">
        <w:rPr>
          <w:rFonts w:eastAsia="Times New Roman" w:cs="Times New Roman"/>
          <w:lang w:val="fr-FR"/>
        </w:rPr>
        <w:t xml:space="preserve">autres instances internationales afin de promouvoir des pratiques agricoles durables, contribuant ainsi à la réalisation de la </w:t>
      </w:r>
      <w:r w:rsidR="00E34DC9">
        <w:rPr>
          <w:rFonts w:eastAsia="Times New Roman" w:cs="Times New Roman"/>
          <w:lang w:val="fr-FR"/>
        </w:rPr>
        <w:t>cible 1</w:t>
      </w:r>
      <w:r w:rsidRPr="00653BF4">
        <w:rPr>
          <w:rFonts w:eastAsia="Times New Roman" w:cs="Times New Roman"/>
          <w:lang w:val="fr-FR"/>
        </w:rPr>
        <w:t>0 du Cadre. La CNULCD collabore avec la FAO à l</w:t>
      </w:r>
      <w:r w:rsidR="00D77549">
        <w:rPr>
          <w:rFonts w:eastAsia="Times New Roman" w:cs="Times New Roman"/>
          <w:lang w:val="fr-FR"/>
        </w:rPr>
        <w:t>’</w:t>
      </w:r>
      <w:r w:rsidRPr="00653BF4">
        <w:rPr>
          <w:rFonts w:eastAsia="Times New Roman" w:cs="Times New Roman"/>
          <w:lang w:val="fr-FR"/>
        </w:rPr>
        <w:t>élaboration d</w:t>
      </w:r>
      <w:r w:rsidR="00D77549">
        <w:rPr>
          <w:rFonts w:eastAsia="Times New Roman" w:cs="Times New Roman"/>
          <w:lang w:val="fr-FR"/>
        </w:rPr>
        <w:t>’</w:t>
      </w:r>
      <w:r w:rsidRPr="00653BF4">
        <w:rPr>
          <w:rFonts w:eastAsia="Times New Roman" w:cs="Times New Roman"/>
          <w:lang w:val="fr-FR"/>
        </w:rPr>
        <w:t xml:space="preserve">orientations qui promeuvent une utilisation durable </w:t>
      </w:r>
      <w:r w:rsidRPr="00653BF4">
        <w:rPr>
          <w:rFonts w:eastAsia="Times New Roman" w:cs="Times New Roman"/>
          <w:lang w:val="fr-FR"/>
        </w:rPr>
        <w:lastRenderedPageBreak/>
        <w:t>des terres et une gouvernance responsable afin de prévenir et de faire reculer la dégradation des terres agricoles et des sols, et encouragent la mise en place de systèmes de culture durables et diversifiés et de cultures variées pour améliorer la sécurité alimentaire et la nutrition, dans le contexte des changements climatiques et de la dégradation de l</w:t>
      </w:r>
      <w:r w:rsidR="00D77549">
        <w:rPr>
          <w:rFonts w:eastAsia="Times New Roman" w:cs="Times New Roman"/>
          <w:lang w:val="fr-FR"/>
        </w:rPr>
        <w:t>’</w:t>
      </w:r>
      <w:r w:rsidRPr="00653BF4">
        <w:rPr>
          <w:rFonts w:eastAsia="Times New Roman" w:cs="Times New Roman"/>
          <w:lang w:val="fr-FR"/>
        </w:rPr>
        <w:t xml:space="preserve">environnement. Les deux organisations étudient également la possibilité de collaborer afin de tirer pleinement parti des synergies entre la </w:t>
      </w:r>
      <w:r w:rsidR="00E34DC9">
        <w:rPr>
          <w:rFonts w:eastAsia="Times New Roman" w:cs="Times New Roman"/>
          <w:lang w:val="fr-FR"/>
        </w:rPr>
        <w:t>cible 1</w:t>
      </w:r>
      <w:r w:rsidRPr="00653BF4">
        <w:rPr>
          <w:rFonts w:eastAsia="Times New Roman" w:cs="Times New Roman"/>
          <w:lang w:val="fr-FR"/>
        </w:rPr>
        <w:t>0 et l</w:t>
      </w:r>
      <w:r w:rsidR="00D77549">
        <w:rPr>
          <w:rFonts w:eastAsia="Times New Roman" w:cs="Times New Roman"/>
          <w:lang w:val="fr-FR"/>
        </w:rPr>
        <w:t>’</w:t>
      </w:r>
      <w:r w:rsidRPr="00653BF4">
        <w:rPr>
          <w:rFonts w:eastAsia="Times New Roman" w:cs="Times New Roman"/>
          <w:lang w:val="fr-FR"/>
        </w:rPr>
        <w:t>indicateur 15.3.1 des ODD relatif aux terres dégradées (CNULCD, 2024a, 2024b et 2025).</w:t>
      </w:r>
    </w:p>
    <w:p w14:paraId="5ABDBB72" w14:textId="364EEAEA" w:rsidR="00B87039" w:rsidRPr="00653BF4" w:rsidRDefault="00B87039" w:rsidP="00B87039">
      <w:pPr>
        <w:pStyle w:val="TableParagraph"/>
        <w:spacing w:line="276" w:lineRule="auto"/>
        <w:rPr>
          <w:rFonts w:asciiTheme="minorHAnsi" w:hAnsiTheme="minorHAnsi"/>
          <w:sz w:val="24"/>
          <w:szCs w:val="24"/>
          <w:lang w:val="fr-FR"/>
        </w:rPr>
      </w:pPr>
      <w:r w:rsidRPr="00653BF4">
        <w:rPr>
          <w:rFonts w:asciiTheme="minorHAnsi" w:hAnsiTheme="minorHAnsi"/>
          <w:sz w:val="24"/>
          <w:szCs w:val="24"/>
          <w:lang w:val="fr-FR"/>
        </w:rPr>
        <w:t xml:space="preserve">La Convention de Stockholm sur les polluants organiques persistants contribue directement à la réalisation de la </w:t>
      </w:r>
      <w:r w:rsidR="00E34DC9">
        <w:rPr>
          <w:rFonts w:asciiTheme="minorHAnsi" w:hAnsiTheme="minorHAnsi"/>
          <w:sz w:val="24"/>
          <w:szCs w:val="24"/>
          <w:lang w:val="fr-FR"/>
        </w:rPr>
        <w:t>cible 1</w:t>
      </w:r>
      <w:r w:rsidRPr="00653BF4">
        <w:rPr>
          <w:rFonts w:asciiTheme="minorHAnsi" w:hAnsiTheme="minorHAnsi"/>
          <w:sz w:val="24"/>
          <w:szCs w:val="24"/>
          <w:lang w:val="fr-FR"/>
        </w:rPr>
        <w:t>0 en éliminant ou en limitant l</w:t>
      </w:r>
      <w:r w:rsidR="00D77549">
        <w:rPr>
          <w:rFonts w:asciiTheme="minorHAnsi" w:hAnsiTheme="minorHAnsi"/>
          <w:sz w:val="24"/>
          <w:szCs w:val="24"/>
          <w:lang w:val="fr-FR"/>
        </w:rPr>
        <w:t>’</w:t>
      </w:r>
      <w:r w:rsidRPr="00653BF4">
        <w:rPr>
          <w:rFonts w:asciiTheme="minorHAnsi" w:hAnsiTheme="minorHAnsi"/>
          <w:sz w:val="24"/>
          <w:szCs w:val="24"/>
          <w:lang w:val="fr-FR"/>
        </w:rPr>
        <w:t>utilisation des POP, dont bon nombre ont été largement utilisés dans l</w:t>
      </w:r>
      <w:r w:rsidR="00D77549">
        <w:rPr>
          <w:rFonts w:asciiTheme="minorHAnsi" w:hAnsiTheme="minorHAnsi"/>
          <w:sz w:val="24"/>
          <w:szCs w:val="24"/>
          <w:lang w:val="fr-FR"/>
        </w:rPr>
        <w:t>’</w:t>
      </w:r>
      <w:r w:rsidRPr="00653BF4">
        <w:rPr>
          <w:rFonts w:asciiTheme="minorHAnsi" w:hAnsiTheme="minorHAnsi"/>
          <w:sz w:val="24"/>
          <w:szCs w:val="24"/>
          <w:lang w:val="fr-FR"/>
        </w:rPr>
        <w:t>agriculture, l</w:t>
      </w:r>
      <w:r w:rsidR="00D77549">
        <w:rPr>
          <w:rFonts w:asciiTheme="minorHAnsi" w:hAnsiTheme="minorHAnsi"/>
          <w:sz w:val="24"/>
          <w:szCs w:val="24"/>
          <w:lang w:val="fr-FR"/>
        </w:rPr>
        <w:t>’</w:t>
      </w:r>
      <w:r w:rsidRPr="00653BF4">
        <w:rPr>
          <w:rFonts w:asciiTheme="minorHAnsi" w:hAnsiTheme="minorHAnsi"/>
          <w:sz w:val="24"/>
          <w:szCs w:val="24"/>
          <w:lang w:val="fr-FR"/>
        </w:rPr>
        <w:t>aquaculture et la sylviculture. Les POP, tels que l</w:t>
      </w:r>
      <w:r w:rsidR="00D77549">
        <w:rPr>
          <w:rFonts w:asciiTheme="minorHAnsi" w:hAnsiTheme="minorHAnsi"/>
          <w:sz w:val="24"/>
          <w:szCs w:val="24"/>
          <w:lang w:val="fr-FR"/>
        </w:rPr>
        <w:t>’</w:t>
      </w:r>
      <w:r w:rsidRPr="00653BF4">
        <w:rPr>
          <w:rFonts w:asciiTheme="minorHAnsi" w:hAnsiTheme="minorHAnsi"/>
          <w:sz w:val="24"/>
          <w:szCs w:val="24"/>
          <w:lang w:val="fr-FR"/>
        </w:rPr>
        <w:t>endosulfan, un pesticide autrefois utilisé sur des cultures comme le coton et les légumes, sont hautement toxiques pour les espèces non ciblées, notamment les pollinisateurs, comme les abeilles et les insectes utiles. L</w:t>
      </w:r>
      <w:r w:rsidR="00D77549">
        <w:rPr>
          <w:rFonts w:asciiTheme="minorHAnsi" w:hAnsiTheme="minorHAnsi"/>
          <w:sz w:val="24"/>
          <w:szCs w:val="24"/>
          <w:lang w:val="fr-FR"/>
        </w:rPr>
        <w:t>’</w:t>
      </w:r>
      <w:r w:rsidRPr="00653BF4">
        <w:rPr>
          <w:rFonts w:asciiTheme="minorHAnsi" w:hAnsiTheme="minorHAnsi"/>
          <w:sz w:val="24"/>
          <w:szCs w:val="24"/>
          <w:lang w:val="fr-FR"/>
        </w:rPr>
        <w:t>endosulfan a été associé à des effets neurologiques et reproductifs chez les insectes et les vertébrés, contribuant au déclin des pollinisateurs, à la perturbation de la lutte naturelle contre les ravageurs et à la baisse de la productivité des cultures. En répertoriant ces substances chimiques en vue de leur élimination ou de leur restriction, la Convention de Stockholm contribue à réduire la pollution de l</w:t>
      </w:r>
      <w:r w:rsidR="00D77549">
        <w:rPr>
          <w:rFonts w:asciiTheme="minorHAnsi" w:hAnsiTheme="minorHAnsi"/>
          <w:sz w:val="24"/>
          <w:szCs w:val="24"/>
          <w:lang w:val="fr-FR"/>
        </w:rPr>
        <w:t>’</w:t>
      </w:r>
      <w:r w:rsidRPr="00653BF4">
        <w:rPr>
          <w:rFonts w:asciiTheme="minorHAnsi" w:hAnsiTheme="minorHAnsi"/>
          <w:sz w:val="24"/>
          <w:szCs w:val="24"/>
          <w:lang w:val="fr-FR"/>
        </w:rPr>
        <w:t>environnement et favorise la transition vers des pratiques plus sûres et respectueuses de la biodiversité (secrétariat des Conventions de Bâle, de Rotterdam et de Stockholm, 2025).</w:t>
      </w:r>
    </w:p>
    <w:p w14:paraId="3BCCE8D2" w14:textId="77777777" w:rsidR="00B87039" w:rsidRPr="00653BF4" w:rsidRDefault="00B87039" w:rsidP="00B87039">
      <w:pPr>
        <w:pStyle w:val="TableParagraph"/>
        <w:spacing w:line="276" w:lineRule="auto"/>
        <w:rPr>
          <w:rFonts w:asciiTheme="minorHAnsi" w:hAnsiTheme="minorHAnsi"/>
          <w:sz w:val="24"/>
          <w:szCs w:val="24"/>
          <w:lang w:val="fr-FR"/>
        </w:rPr>
      </w:pPr>
    </w:p>
    <w:p w14:paraId="3F0C830D" w14:textId="148D7811" w:rsidR="00B87039" w:rsidRPr="00653BF4" w:rsidRDefault="00B87039" w:rsidP="00B87039">
      <w:pPr>
        <w:pStyle w:val="TableParagraph"/>
        <w:spacing w:line="276" w:lineRule="auto"/>
        <w:rPr>
          <w:rFonts w:asciiTheme="minorHAnsi" w:hAnsiTheme="minorHAnsi"/>
          <w:sz w:val="24"/>
          <w:szCs w:val="24"/>
          <w:lang w:val="fr-FR"/>
        </w:rPr>
      </w:pPr>
      <w:r w:rsidRPr="00653BF4">
        <w:rPr>
          <w:rFonts w:asciiTheme="minorHAnsi" w:hAnsiTheme="minorHAnsi"/>
          <w:sz w:val="24"/>
          <w:szCs w:val="24"/>
          <w:lang w:val="fr-FR"/>
        </w:rPr>
        <w:t>L</w:t>
      </w:r>
      <w:r w:rsidR="00D77549">
        <w:rPr>
          <w:rFonts w:asciiTheme="minorHAnsi" w:hAnsiTheme="minorHAnsi"/>
          <w:sz w:val="24"/>
          <w:szCs w:val="24"/>
          <w:lang w:val="fr-FR"/>
        </w:rPr>
        <w:t>’</w:t>
      </w:r>
      <w:r w:rsidRPr="00653BF4">
        <w:rPr>
          <w:rFonts w:asciiTheme="minorHAnsi" w:hAnsiTheme="minorHAnsi"/>
          <w:sz w:val="24"/>
          <w:szCs w:val="24"/>
          <w:lang w:val="fr-FR"/>
        </w:rPr>
        <w:t>initiative de l</w:t>
      </w:r>
      <w:r w:rsidR="00D77549">
        <w:rPr>
          <w:rFonts w:asciiTheme="minorHAnsi" w:hAnsiTheme="minorHAnsi"/>
          <w:sz w:val="24"/>
          <w:szCs w:val="24"/>
          <w:lang w:val="fr-FR"/>
        </w:rPr>
        <w:t>’</w:t>
      </w:r>
      <w:r w:rsidRPr="00653BF4">
        <w:rPr>
          <w:rFonts w:asciiTheme="minorHAnsi" w:hAnsiTheme="minorHAnsi"/>
          <w:sz w:val="24"/>
          <w:szCs w:val="24"/>
          <w:lang w:val="fr-FR"/>
        </w:rPr>
        <w:t>UNESCO en faveur des sols a été lancée en 2024, conjointement avec le programme sur l</w:t>
      </w:r>
      <w:r w:rsidR="00D77549">
        <w:rPr>
          <w:rFonts w:asciiTheme="minorHAnsi" w:hAnsiTheme="minorHAnsi"/>
          <w:sz w:val="24"/>
          <w:szCs w:val="24"/>
          <w:lang w:val="fr-FR"/>
        </w:rPr>
        <w:t>’</w:t>
      </w:r>
      <w:r w:rsidRPr="00653BF4">
        <w:rPr>
          <w:rFonts w:asciiTheme="minorHAnsi" w:hAnsiTheme="minorHAnsi"/>
          <w:sz w:val="24"/>
          <w:szCs w:val="24"/>
          <w:lang w:val="fr-FR"/>
        </w:rPr>
        <w:t>Homme et la biosphère</w:t>
      </w:r>
      <w:r w:rsidRPr="00653BF4">
        <w:rPr>
          <w:rStyle w:val="FootnoteReference"/>
          <w:rFonts w:asciiTheme="minorHAnsi" w:hAnsiTheme="minorHAnsi"/>
          <w:sz w:val="24"/>
          <w:szCs w:val="24"/>
          <w:lang w:val="fr-FR"/>
        </w:rPr>
        <w:footnoteReference w:id="30"/>
      </w:r>
      <w:r w:rsidRPr="00653BF4">
        <w:rPr>
          <w:rFonts w:asciiTheme="minorHAnsi" w:hAnsiTheme="minorHAnsi"/>
          <w:sz w:val="24"/>
          <w:szCs w:val="24"/>
          <w:lang w:val="fr-FR"/>
        </w:rPr>
        <w:t xml:space="preserve">. Elle apporte une contribution majeure à la </w:t>
      </w:r>
      <w:r w:rsidR="00E34DC9">
        <w:rPr>
          <w:rFonts w:asciiTheme="minorHAnsi" w:hAnsiTheme="minorHAnsi"/>
          <w:sz w:val="24"/>
          <w:szCs w:val="24"/>
          <w:lang w:val="fr-FR"/>
        </w:rPr>
        <w:t>cible 1</w:t>
      </w:r>
      <w:r w:rsidRPr="00653BF4">
        <w:rPr>
          <w:rFonts w:asciiTheme="minorHAnsi" w:hAnsiTheme="minorHAnsi"/>
          <w:sz w:val="24"/>
          <w:szCs w:val="24"/>
          <w:lang w:val="fr-FR"/>
        </w:rPr>
        <w:t>0 en ce qui concerne les fonctions et les services écosystémiques. Les réserves de biosphère de l</w:t>
      </w:r>
      <w:r w:rsidR="00D77549">
        <w:rPr>
          <w:rFonts w:asciiTheme="minorHAnsi" w:hAnsiTheme="minorHAnsi"/>
          <w:sz w:val="24"/>
          <w:szCs w:val="24"/>
          <w:lang w:val="fr-FR"/>
        </w:rPr>
        <w:t>’</w:t>
      </w:r>
      <w:r w:rsidRPr="00653BF4">
        <w:rPr>
          <w:rFonts w:asciiTheme="minorHAnsi" w:hAnsiTheme="minorHAnsi"/>
          <w:sz w:val="24"/>
          <w:szCs w:val="24"/>
          <w:lang w:val="fr-FR"/>
        </w:rPr>
        <w:t>UNESCO et les géoparcs mondiaux servent de terrains d</w:t>
      </w:r>
      <w:r w:rsidR="00D77549">
        <w:rPr>
          <w:rFonts w:asciiTheme="minorHAnsi" w:hAnsiTheme="minorHAnsi"/>
          <w:sz w:val="24"/>
          <w:szCs w:val="24"/>
          <w:lang w:val="fr-FR"/>
        </w:rPr>
        <w:t>’</w:t>
      </w:r>
      <w:r w:rsidRPr="00653BF4">
        <w:rPr>
          <w:rFonts w:asciiTheme="minorHAnsi" w:hAnsiTheme="minorHAnsi"/>
          <w:sz w:val="24"/>
          <w:szCs w:val="24"/>
          <w:lang w:val="fr-FR"/>
        </w:rPr>
        <w:t>expérimentation pour des pratiques intégrées de conservation des sols, dans le cadre d</w:t>
      </w:r>
      <w:r w:rsidR="00D77549">
        <w:rPr>
          <w:rFonts w:asciiTheme="minorHAnsi" w:hAnsiTheme="minorHAnsi"/>
          <w:sz w:val="24"/>
          <w:szCs w:val="24"/>
          <w:lang w:val="fr-FR"/>
        </w:rPr>
        <w:t>’</w:t>
      </w:r>
      <w:r w:rsidRPr="00653BF4">
        <w:rPr>
          <w:rFonts w:asciiTheme="minorHAnsi" w:hAnsiTheme="minorHAnsi"/>
          <w:sz w:val="24"/>
          <w:szCs w:val="24"/>
          <w:lang w:val="fr-FR"/>
        </w:rPr>
        <w:t>une gestion durable des terres. L</w:t>
      </w:r>
      <w:r w:rsidR="00D77549">
        <w:rPr>
          <w:rFonts w:asciiTheme="minorHAnsi" w:hAnsiTheme="minorHAnsi"/>
          <w:sz w:val="24"/>
          <w:szCs w:val="24"/>
          <w:lang w:val="fr-FR"/>
        </w:rPr>
        <w:t>’</w:t>
      </w:r>
      <w:r w:rsidRPr="00653BF4">
        <w:rPr>
          <w:rFonts w:asciiTheme="minorHAnsi" w:hAnsiTheme="minorHAnsi"/>
          <w:sz w:val="24"/>
          <w:szCs w:val="24"/>
          <w:lang w:val="fr-FR"/>
        </w:rPr>
        <w:t>Initiative a mis en place un groupe d</w:t>
      </w:r>
      <w:r w:rsidR="00D77549">
        <w:rPr>
          <w:rFonts w:asciiTheme="minorHAnsi" w:hAnsiTheme="minorHAnsi"/>
          <w:sz w:val="24"/>
          <w:szCs w:val="24"/>
          <w:lang w:val="fr-FR"/>
        </w:rPr>
        <w:t>’</w:t>
      </w:r>
      <w:r w:rsidRPr="00653BF4">
        <w:rPr>
          <w:rFonts w:asciiTheme="minorHAnsi" w:hAnsiTheme="minorHAnsi"/>
          <w:sz w:val="24"/>
          <w:szCs w:val="24"/>
          <w:lang w:val="fr-FR"/>
        </w:rPr>
        <w:t>experts mondial et lancé des actions pilotes en collaboration avec la FAO, l</w:t>
      </w:r>
      <w:r w:rsidR="00D77549">
        <w:rPr>
          <w:rFonts w:asciiTheme="minorHAnsi" w:hAnsiTheme="minorHAnsi"/>
          <w:sz w:val="24"/>
          <w:szCs w:val="24"/>
          <w:lang w:val="fr-FR"/>
        </w:rPr>
        <w:t>’</w:t>
      </w:r>
      <w:r w:rsidRPr="00653BF4">
        <w:rPr>
          <w:rFonts w:asciiTheme="minorHAnsi" w:hAnsiTheme="minorHAnsi"/>
          <w:sz w:val="24"/>
          <w:szCs w:val="24"/>
          <w:lang w:val="fr-FR"/>
        </w:rPr>
        <w:t>Union européenne et des organisations scientifiques (UNESCO, 2025c).</w:t>
      </w:r>
    </w:p>
    <w:p w14:paraId="5E0C5D7E" w14:textId="77777777" w:rsidR="00B87039" w:rsidRPr="00653BF4" w:rsidRDefault="00B87039" w:rsidP="00B87039">
      <w:pPr>
        <w:pStyle w:val="TableParagraph"/>
        <w:spacing w:line="276" w:lineRule="auto"/>
        <w:rPr>
          <w:rFonts w:asciiTheme="minorHAnsi" w:hAnsiTheme="minorHAnsi"/>
          <w:sz w:val="24"/>
          <w:szCs w:val="24"/>
          <w:lang w:val="fr-FR"/>
        </w:rPr>
      </w:pPr>
    </w:p>
    <w:p w14:paraId="1B6B8776" w14:textId="5332EB1E" w:rsidR="00B87039" w:rsidRPr="00653BF4" w:rsidRDefault="00B87039" w:rsidP="00B87039">
      <w:pPr>
        <w:rPr>
          <w:rFonts w:eastAsia="Arial" w:cs="Arial"/>
          <w:color w:val="000000" w:themeColor="text1"/>
          <w:lang w:val="fr-FR"/>
        </w:rPr>
      </w:pPr>
      <w:r w:rsidRPr="00653BF4">
        <w:rPr>
          <w:rFonts w:eastAsia="Arial" w:cs="Arial"/>
          <w:color w:val="000000" w:themeColor="text1"/>
          <w:lang w:val="fr-FR"/>
        </w:rPr>
        <w:t>Le Traité international sur les ressources phytogénétiques pour l</w:t>
      </w:r>
      <w:r w:rsidR="00D77549">
        <w:rPr>
          <w:rFonts w:eastAsia="Arial" w:cs="Arial"/>
          <w:color w:val="000000" w:themeColor="text1"/>
          <w:lang w:val="fr-FR"/>
        </w:rPr>
        <w:t>’</w:t>
      </w:r>
      <w:r w:rsidRPr="00653BF4">
        <w:rPr>
          <w:rFonts w:eastAsia="Arial" w:cs="Arial"/>
          <w:color w:val="000000" w:themeColor="text1"/>
          <w:lang w:val="fr-FR"/>
        </w:rPr>
        <w:t>alimentation et l</w:t>
      </w:r>
      <w:r w:rsidR="00D77549">
        <w:rPr>
          <w:rFonts w:eastAsia="Arial" w:cs="Arial"/>
          <w:color w:val="000000" w:themeColor="text1"/>
          <w:lang w:val="fr-FR"/>
        </w:rPr>
        <w:t>’</w:t>
      </w:r>
      <w:r w:rsidRPr="00653BF4">
        <w:rPr>
          <w:rFonts w:eastAsia="Arial" w:cs="Arial"/>
          <w:color w:val="000000" w:themeColor="text1"/>
          <w:lang w:val="fr-FR"/>
        </w:rPr>
        <w:t xml:space="preserve">agriculture contribue à la </w:t>
      </w:r>
      <w:r w:rsidR="00E34DC9">
        <w:rPr>
          <w:rFonts w:eastAsia="Arial" w:cs="Arial"/>
          <w:color w:val="000000" w:themeColor="text1"/>
          <w:lang w:val="fr-FR"/>
        </w:rPr>
        <w:t>cible 1</w:t>
      </w:r>
      <w:r w:rsidRPr="00653BF4">
        <w:rPr>
          <w:rFonts w:eastAsia="Arial" w:cs="Arial"/>
          <w:color w:val="000000" w:themeColor="text1"/>
          <w:lang w:val="fr-FR"/>
        </w:rPr>
        <w:t>0 en facilitant l</w:t>
      </w:r>
      <w:r w:rsidR="00D77549">
        <w:rPr>
          <w:rFonts w:eastAsia="Arial" w:cs="Arial"/>
          <w:color w:val="000000" w:themeColor="text1"/>
          <w:lang w:val="fr-FR"/>
        </w:rPr>
        <w:t>’</w:t>
      </w:r>
      <w:r w:rsidRPr="00653BF4">
        <w:rPr>
          <w:rFonts w:eastAsia="Arial" w:cs="Arial"/>
          <w:color w:val="000000" w:themeColor="text1"/>
          <w:lang w:val="fr-FR"/>
        </w:rPr>
        <w:t>échange de ressources phytogénétiques pour l</w:t>
      </w:r>
      <w:r w:rsidR="00D77549">
        <w:rPr>
          <w:rFonts w:eastAsia="Arial" w:cs="Arial"/>
          <w:color w:val="000000" w:themeColor="text1"/>
          <w:lang w:val="fr-FR"/>
        </w:rPr>
        <w:t>’</w:t>
      </w:r>
      <w:r w:rsidRPr="00653BF4">
        <w:rPr>
          <w:rFonts w:eastAsia="Arial" w:cs="Arial"/>
          <w:color w:val="000000" w:themeColor="text1"/>
          <w:lang w:val="fr-FR"/>
        </w:rPr>
        <w:t>alimentation et l</w:t>
      </w:r>
      <w:r w:rsidR="00D77549">
        <w:rPr>
          <w:rFonts w:eastAsia="Arial" w:cs="Arial"/>
          <w:color w:val="000000" w:themeColor="text1"/>
          <w:lang w:val="fr-FR"/>
        </w:rPr>
        <w:t>’</w:t>
      </w:r>
      <w:r w:rsidRPr="00653BF4">
        <w:rPr>
          <w:rFonts w:eastAsia="Arial" w:cs="Arial"/>
          <w:color w:val="000000" w:themeColor="text1"/>
          <w:lang w:val="fr-FR"/>
        </w:rPr>
        <w:t>agriculture par le biais du Système multilatéral d</w:t>
      </w:r>
      <w:r w:rsidR="00D77549">
        <w:rPr>
          <w:rFonts w:eastAsia="Arial" w:cs="Arial"/>
          <w:color w:val="000000" w:themeColor="text1"/>
          <w:lang w:val="fr-FR"/>
        </w:rPr>
        <w:t>’</w:t>
      </w:r>
      <w:r w:rsidRPr="00653BF4">
        <w:rPr>
          <w:rFonts w:eastAsia="Arial" w:cs="Arial"/>
          <w:color w:val="000000" w:themeColor="text1"/>
          <w:lang w:val="fr-FR"/>
        </w:rPr>
        <w:t xml:space="preserve">accès et de partage des avantages. Le matériel est partagé à des fins de sélection, de recherche et de </w:t>
      </w:r>
      <w:r w:rsidRPr="00653BF4">
        <w:rPr>
          <w:rFonts w:eastAsia="Arial" w:cs="Arial"/>
          <w:color w:val="000000" w:themeColor="text1"/>
          <w:lang w:val="fr-FR"/>
        </w:rPr>
        <w:lastRenderedPageBreak/>
        <w:t xml:space="preserve">formation, ce qui favorise le développement de cultures adaptées à des climats plus extrêmes, contribuant ainsi à la sécurité alimentaire (TIRPGAA, 2026). </w:t>
      </w:r>
    </w:p>
    <w:p w14:paraId="073887CC" w14:textId="465558EC" w:rsidR="00B87039" w:rsidRPr="00653BF4" w:rsidRDefault="00B87039" w:rsidP="00B87039">
      <w:pPr>
        <w:rPr>
          <w:rFonts w:eastAsia="Arial" w:cs="Arial"/>
          <w:color w:val="000000" w:themeColor="text1"/>
          <w:lang w:val="fr-FR"/>
        </w:rPr>
      </w:pPr>
      <w:r w:rsidRPr="00653BF4">
        <w:rPr>
          <w:rFonts w:eastAsia="Arial" w:cs="Arial"/>
          <w:color w:val="000000" w:themeColor="text1"/>
          <w:lang w:val="fr-FR"/>
        </w:rPr>
        <w:t>La Commission des ressources génétiques pour l</w:t>
      </w:r>
      <w:r w:rsidR="00D77549">
        <w:rPr>
          <w:rFonts w:eastAsia="Arial" w:cs="Arial"/>
          <w:color w:val="000000" w:themeColor="text1"/>
          <w:lang w:val="fr-FR"/>
        </w:rPr>
        <w:t>’</w:t>
      </w:r>
      <w:r w:rsidRPr="00653BF4">
        <w:rPr>
          <w:rFonts w:eastAsia="Arial" w:cs="Arial"/>
          <w:color w:val="000000" w:themeColor="text1"/>
          <w:lang w:val="fr-FR"/>
        </w:rPr>
        <w:t>alimentation et l</w:t>
      </w:r>
      <w:r w:rsidR="00D77549">
        <w:rPr>
          <w:rFonts w:eastAsia="Arial" w:cs="Arial"/>
          <w:color w:val="000000" w:themeColor="text1"/>
          <w:lang w:val="fr-FR"/>
        </w:rPr>
        <w:t>’</w:t>
      </w:r>
      <w:r w:rsidRPr="00653BF4">
        <w:rPr>
          <w:rFonts w:eastAsia="Arial" w:cs="Arial"/>
          <w:color w:val="000000" w:themeColor="text1"/>
          <w:lang w:val="fr-FR"/>
        </w:rPr>
        <w:t xml:space="preserve">agriculture de la FAO publie des rapports intitulés </w:t>
      </w:r>
      <w:r w:rsidR="00E34DC9">
        <w:rPr>
          <w:rFonts w:eastAsia="Arial" w:cs="Arial"/>
          <w:color w:val="000000" w:themeColor="text1"/>
          <w:lang w:val="fr-FR"/>
        </w:rPr>
        <w:t>« </w:t>
      </w:r>
      <w:r w:rsidRPr="00653BF4">
        <w:rPr>
          <w:rFonts w:eastAsia="Arial" w:cs="Arial"/>
          <w:color w:val="000000" w:themeColor="text1"/>
          <w:lang w:val="fr-FR"/>
        </w:rPr>
        <w:t>L</w:t>
      </w:r>
      <w:r w:rsidR="00D77549">
        <w:rPr>
          <w:rFonts w:eastAsia="Arial" w:cs="Arial"/>
          <w:color w:val="000000" w:themeColor="text1"/>
          <w:lang w:val="fr-FR"/>
        </w:rPr>
        <w:t>’</w:t>
      </w:r>
      <w:r w:rsidRPr="00653BF4">
        <w:rPr>
          <w:rFonts w:eastAsia="Arial" w:cs="Arial"/>
          <w:color w:val="000000" w:themeColor="text1"/>
          <w:lang w:val="fr-FR"/>
        </w:rPr>
        <w:t>État du monde</w:t>
      </w:r>
      <w:r w:rsidR="00E34DC9">
        <w:rPr>
          <w:rFonts w:eastAsia="Arial" w:cs="Arial"/>
          <w:color w:val="000000" w:themeColor="text1"/>
          <w:lang w:val="fr-FR"/>
        </w:rPr>
        <w:t> »</w:t>
      </w:r>
      <w:r w:rsidRPr="00653BF4">
        <w:rPr>
          <w:rFonts w:eastAsia="Arial" w:cs="Arial"/>
          <w:color w:val="000000" w:themeColor="text1"/>
          <w:lang w:val="fr-FR"/>
        </w:rPr>
        <w:t xml:space="preserve"> consacrés aux ressources génétiques animales, aquatiques, végétales et forestières pour l</w:t>
      </w:r>
      <w:r w:rsidR="00D77549">
        <w:rPr>
          <w:rFonts w:eastAsia="Arial" w:cs="Arial"/>
          <w:color w:val="000000" w:themeColor="text1"/>
          <w:lang w:val="fr-FR"/>
        </w:rPr>
        <w:t>’</w:t>
      </w:r>
      <w:r w:rsidRPr="00653BF4">
        <w:rPr>
          <w:rFonts w:eastAsia="Arial" w:cs="Arial"/>
          <w:color w:val="000000" w:themeColor="text1"/>
          <w:lang w:val="fr-FR"/>
        </w:rPr>
        <w:t>alimentation et l</w:t>
      </w:r>
      <w:r w:rsidR="00D77549">
        <w:rPr>
          <w:rFonts w:eastAsia="Arial" w:cs="Arial"/>
          <w:color w:val="000000" w:themeColor="text1"/>
          <w:lang w:val="fr-FR"/>
        </w:rPr>
        <w:t>’</w:t>
      </w:r>
      <w:r w:rsidRPr="00653BF4">
        <w:rPr>
          <w:rFonts w:eastAsia="Arial" w:cs="Arial"/>
          <w:color w:val="000000" w:themeColor="text1"/>
          <w:lang w:val="fr-FR"/>
        </w:rPr>
        <w:t>agriculture, ainsi qu</w:t>
      </w:r>
      <w:r w:rsidR="00D77549">
        <w:rPr>
          <w:rFonts w:eastAsia="Arial" w:cs="Arial"/>
          <w:color w:val="000000" w:themeColor="text1"/>
          <w:lang w:val="fr-FR"/>
        </w:rPr>
        <w:t>’</w:t>
      </w:r>
      <w:r w:rsidRPr="00653BF4">
        <w:rPr>
          <w:rFonts w:eastAsia="Arial" w:cs="Arial"/>
          <w:color w:val="000000" w:themeColor="text1"/>
          <w:lang w:val="fr-FR"/>
        </w:rPr>
        <w:t xml:space="preserve">une publication intitulée </w:t>
      </w:r>
      <w:r w:rsidRPr="00653BF4">
        <w:rPr>
          <w:rFonts w:eastAsia="Arial" w:cs="Arial"/>
          <w:i/>
          <w:iCs/>
          <w:color w:val="000000" w:themeColor="text1"/>
          <w:lang w:val="fr-FR"/>
        </w:rPr>
        <w:t xml:space="preserve">The State of the World’s Biodiversity for Food and Agriculture </w:t>
      </w:r>
      <w:r w:rsidRPr="00653BF4">
        <w:rPr>
          <w:rFonts w:eastAsia="Arial" w:cs="Arial"/>
          <w:color w:val="000000" w:themeColor="text1"/>
          <w:lang w:val="fr-FR"/>
        </w:rPr>
        <w:t>(l’état de la biodiversité pour l’alimentation et l’agriculture dans le monde)</w:t>
      </w:r>
      <w:r w:rsidRPr="00653BF4">
        <w:rPr>
          <w:rStyle w:val="FootnoteReference"/>
          <w:rFonts w:eastAsia="Arial" w:cs="Arial"/>
          <w:color w:val="000000" w:themeColor="text1"/>
          <w:lang w:val="fr-FR"/>
        </w:rPr>
        <w:footnoteReference w:id="31"/>
      </w:r>
      <w:r w:rsidRPr="00653BF4">
        <w:rPr>
          <w:rFonts w:eastAsia="Arial" w:cs="Arial"/>
          <w:color w:val="000000" w:themeColor="text1"/>
          <w:lang w:val="fr-FR"/>
        </w:rPr>
        <w:t>. Ces publications s</w:t>
      </w:r>
      <w:r w:rsidR="00D77549">
        <w:rPr>
          <w:rFonts w:eastAsia="Arial" w:cs="Arial"/>
          <w:color w:val="000000" w:themeColor="text1"/>
          <w:lang w:val="fr-FR"/>
        </w:rPr>
        <w:t>’</w:t>
      </w:r>
      <w:r w:rsidRPr="00653BF4">
        <w:rPr>
          <w:rFonts w:eastAsia="Arial" w:cs="Arial"/>
          <w:color w:val="000000" w:themeColor="text1"/>
          <w:lang w:val="fr-FR"/>
        </w:rPr>
        <w:t>inscrivent dans le cadre des plans d</w:t>
      </w:r>
      <w:r w:rsidR="00D77549">
        <w:rPr>
          <w:rFonts w:eastAsia="Arial" w:cs="Arial"/>
          <w:color w:val="000000" w:themeColor="text1"/>
          <w:lang w:val="fr-FR"/>
        </w:rPr>
        <w:t>’</w:t>
      </w:r>
      <w:r w:rsidRPr="00653BF4">
        <w:rPr>
          <w:rFonts w:eastAsia="Arial" w:cs="Arial"/>
          <w:color w:val="000000" w:themeColor="text1"/>
          <w:lang w:val="fr-FR"/>
        </w:rPr>
        <w:t>action mondiaux destinés à chacun des groupes susmentionnés. Les plans d</w:t>
      </w:r>
      <w:r w:rsidR="00D77549">
        <w:rPr>
          <w:rFonts w:eastAsia="Arial" w:cs="Arial"/>
          <w:color w:val="000000" w:themeColor="text1"/>
          <w:lang w:val="fr-FR"/>
        </w:rPr>
        <w:t>’</w:t>
      </w:r>
      <w:r w:rsidRPr="00653BF4">
        <w:rPr>
          <w:rFonts w:eastAsia="Arial" w:cs="Arial"/>
          <w:color w:val="000000" w:themeColor="text1"/>
          <w:lang w:val="fr-FR"/>
        </w:rPr>
        <w:t xml:space="preserve">action mondiaux élaborés par la Commission contribuent directement à la réalisation de la </w:t>
      </w:r>
      <w:r w:rsidR="00E34DC9">
        <w:rPr>
          <w:rFonts w:eastAsia="Arial" w:cs="Arial"/>
          <w:color w:val="000000" w:themeColor="text1"/>
          <w:lang w:val="fr-FR"/>
        </w:rPr>
        <w:t>cible 1</w:t>
      </w:r>
      <w:r w:rsidRPr="00653BF4">
        <w:rPr>
          <w:rFonts w:eastAsia="Arial" w:cs="Arial"/>
          <w:color w:val="000000" w:themeColor="text1"/>
          <w:lang w:val="fr-FR"/>
        </w:rPr>
        <w:t>0 en traduisant des objectifs généraux en matière de conservation et de développement durable en actions, outils et politiques pratiques et spécifiques à chaque secteur. Dans l</w:t>
      </w:r>
      <w:r w:rsidR="00D77549">
        <w:rPr>
          <w:rFonts w:eastAsia="Arial" w:cs="Arial"/>
          <w:color w:val="000000" w:themeColor="text1"/>
          <w:lang w:val="fr-FR"/>
        </w:rPr>
        <w:t>’</w:t>
      </w:r>
      <w:r w:rsidRPr="00653BF4">
        <w:rPr>
          <w:rFonts w:eastAsia="Arial" w:cs="Arial"/>
          <w:color w:val="000000" w:themeColor="text1"/>
          <w:lang w:val="fr-FR"/>
        </w:rPr>
        <w:t>ensemble, les plans d</w:t>
      </w:r>
      <w:r w:rsidR="00D77549">
        <w:rPr>
          <w:rFonts w:eastAsia="Arial" w:cs="Arial"/>
          <w:color w:val="000000" w:themeColor="text1"/>
          <w:lang w:val="fr-FR"/>
        </w:rPr>
        <w:t>’</w:t>
      </w:r>
      <w:r w:rsidRPr="00653BF4">
        <w:rPr>
          <w:rFonts w:eastAsia="Arial" w:cs="Arial"/>
          <w:color w:val="000000" w:themeColor="text1"/>
          <w:lang w:val="fr-FR"/>
        </w:rPr>
        <w:t>action mondiaux reconnaissent que les ressources génétiques constituent le fondement biologique de la production agricole et de la sécurité alimentaire, et qu</w:t>
      </w:r>
      <w:r w:rsidR="00D77549">
        <w:rPr>
          <w:rFonts w:eastAsia="Arial" w:cs="Arial"/>
          <w:color w:val="000000" w:themeColor="text1"/>
          <w:lang w:val="fr-FR"/>
        </w:rPr>
        <w:t>’</w:t>
      </w:r>
      <w:r w:rsidRPr="00653BF4">
        <w:rPr>
          <w:rFonts w:eastAsia="Arial" w:cs="Arial"/>
          <w:color w:val="000000" w:themeColor="text1"/>
          <w:lang w:val="fr-FR"/>
        </w:rPr>
        <w:t>elles sont à la base de la résilience, de la capacité d</w:t>
      </w:r>
      <w:r w:rsidR="00D77549">
        <w:rPr>
          <w:rFonts w:eastAsia="Arial" w:cs="Arial"/>
          <w:color w:val="000000" w:themeColor="text1"/>
          <w:lang w:val="fr-FR"/>
        </w:rPr>
        <w:t>’</w:t>
      </w:r>
      <w:r w:rsidRPr="00653BF4">
        <w:rPr>
          <w:rFonts w:eastAsia="Arial" w:cs="Arial"/>
          <w:color w:val="000000" w:themeColor="text1"/>
          <w:lang w:val="fr-FR"/>
        </w:rPr>
        <w:t>adaptation et de la productivité des systèmes de production.</w:t>
      </w:r>
    </w:p>
    <w:p w14:paraId="1EBE4CFE" w14:textId="77777777" w:rsidR="00B87039" w:rsidRPr="00653BF4" w:rsidRDefault="00B87039" w:rsidP="00B87039">
      <w:pPr>
        <w:pStyle w:val="TableParagraph"/>
        <w:spacing w:line="276" w:lineRule="auto"/>
        <w:rPr>
          <w:rFonts w:asciiTheme="minorHAnsi" w:hAnsiTheme="minorHAnsi"/>
          <w:sz w:val="24"/>
          <w:szCs w:val="24"/>
          <w:lang w:val="fr-FR"/>
        </w:rPr>
      </w:pPr>
    </w:p>
    <w:p w14:paraId="059C6260" w14:textId="07468684" w:rsidR="00B87039" w:rsidRPr="00653BF4" w:rsidRDefault="00E34DC9" w:rsidP="00B87039">
      <w:pPr>
        <w:pStyle w:val="Heading4"/>
        <w:rPr>
          <w:i w:val="0"/>
          <w:iCs w:val="0"/>
          <w:lang w:val="fr-FR"/>
        </w:rPr>
      </w:pPr>
      <w:bookmarkStart w:id="209" w:name="_Toc235821181"/>
      <w:bookmarkStart w:id="210" w:name="_Toc239069206"/>
      <w:bookmarkStart w:id="211" w:name="_Toc529428393"/>
      <w:bookmarkStart w:id="212" w:name="_Toc242801243"/>
      <w:r>
        <w:rPr>
          <w:b/>
          <w:bCs/>
          <w:i w:val="0"/>
          <w:iCs w:val="0"/>
          <w:lang w:val="fr-FR"/>
        </w:rPr>
        <w:t>Cible 1</w:t>
      </w:r>
      <w:r w:rsidR="00B87039" w:rsidRPr="00653BF4">
        <w:rPr>
          <w:b/>
          <w:bCs/>
          <w:i w:val="0"/>
          <w:iCs w:val="0"/>
          <w:lang w:val="fr-FR"/>
        </w:rPr>
        <w:t>1.</w:t>
      </w:r>
      <w:r w:rsidR="00B87039" w:rsidRPr="00653BF4">
        <w:rPr>
          <w:i w:val="0"/>
          <w:iCs w:val="0"/>
          <w:lang w:val="fr-FR"/>
        </w:rPr>
        <w:t xml:space="preserve"> Restaurer, préserver et renforcer les contributions de la nature aux populations</w:t>
      </w:r>
      <w:bookmarkEnd w:id="209"/>
      <w:bookmarkEnd w:id="210"/>
      <w:bookmarkEnd w:id="211"/>
      <w:bookmarkEnd w:id="212"/>
    </w:p>
    <w:p w14:paraId="5B76B5E5" w14:textId="77777777" w:rsidR="00B87039" w:rsidRPr="00653BF4" w:rsidRDefault="00B87039" w:rsidP="00B87039">
      <w:pPr>
        <w:rPr>
          <w:lang w:val="fr-FR"/>
        </w:rPr>
      </w:pPr>
    </w:p>
    <w:p w14:paraId="742CF4CB" w14:textId="6F6681E5" w:rsidR="00B87039" w:rsidRPr="00653BF4" w:rsidRDefault="00B87039" w:rsidP="00B87039">
      <w:pPr>
        <w:rPr>
          <w:i/>
          <w:iCs/>
          <w:lang w:val="fr-FR"/>
        </w:rPr>
      </w:pPr>
      <w:r w:rsidRPr="00653BF4">
        <w:rPr>
          <w:b/>
          <w:bCs/>
          <w:sz w:val="22"/>
          <w:szCs w:val="22"/>
          <w:lang w:val="fr-FR"/>
        </w:rPr>
        <w:t>Texte de la cible.</w:t>
      </w:r>
      <w:r w:rsidRPr="00653BF4">
        <w:rPr>
          <w:i/>
          <w:iCs/>
          <w:sz w:val="22"/>
          <w:szCs w:val="22"/>
          <w:lang w:val="fr-FR"/>
        </w:rPr>
        <w:t xml:space="preserve"> Restaurer, préserver et renforcer les contributions de la nature aux populations, y compris les fonctions et services écosystémiques, tels que la régulation de l</w:t>
      </w:r>
      <w:r w:rsidR="00D77549">
        <w:rPr>
          <w:i/>
          <w:iCs/>
          <w:sz w:val="22"/>
          <w:szCs w:val="22"/>
          <w:lang w:val="fr-FR"/>
        </w:rPr>
        <w:t>’</w:t>
      </w:r>
      <w:r w:rsidRPr="00653BF4">
        <w:rPr>
          <w:i/>
          <w:iCs/>
          <w:sz w:val="22"/>
          <w:szCs w:val="22"/>
          <w:lang w:val="fr-FR"/>
        </w:rPr>
        <w:t>air, de l</w:t>
      </w:r>
      <w:r w:rsidR="00D77549">
        <w:rPr>
          <w:i/>
          <w:iCs/>
          <w:sz w:val="22"/>
          <w:szCs w:val="22"/>
          <w:lang w:val="fr-FR"/>
        </w:rPr>
        <w:t>’</w:t>
      </w:r>
      <w:r w:rsidRPr="00653BF4">
        <w:rPr>
          <w:i/>
          <w:iCs/>
          <w:sz w:val="22"/>
          <w:szCs w:val="22"/>
          <w:lang w:val="fr-FR"/>
        </w:rPr>
        <w:t>eau et du climat, la santé des sols, la pollinisation et la réduction des risques de maladie, ainsi que la protection contre les risques et catastrophes naturels, grâce à des solutions fondées sur la nature et/ou des approches écosystémiques dans l</w:t>
      </w:r>
      <w:r w:rsidR="00D77549">
        <w:rPr>
          <w:i/>
          <w:iCs/>
          <w:sz w:val="22"/>
          <w:szCs w:val="22"/>
          <w:lang w:val="fr-FR"/>
        </w:rPr>
        <w:t>’</w:t>
      </w:r>
      <w:r w:rsidRPr="00653BF4">
        <w:rPr>
          <w:i/>
          <w:iCs/>
          <w:sz w:val="22"/>
          <w:szCs w:val="22"/>
          <w:lang w:val="fr-FR"/>
        </w:rPr>
        <w:t>intérêt de toutes les populations et de la nature.</w:t>
      </w:r>
    </w:p>
    <w:p w14:paraId="7BB81172" w14:textId="77777777" w:rsidR="00B87039" w:rsidRPr="00653BF4" w:rsidRDefault="00B87039" w:rsidP="00B87039">
      <w:pPr>
        <w:rPr>
          <w:lang w:val="fr-FR"/>
        </w:rPr>
      </w:pPr>
    </w:p>
    <w:p w14:paraId="5F822C70" w14:textId="77777777" w:rsidR="00B87039" w:rsidRPr="00653BF4" w:rsidRDefault="00B87039" w:rsidP="00B87039">
      <w:pPr>
        <w:pStyle w:val="Heading5"/>
        <w:rPr>
          <w:lang w:val="fr-FR"/>
        </w:rPr>
      </w:pPr>
      <w:r w:rsidRPr="00653BF4">
        <w:rPr>
          <w:lang w:val="fr-FR"/>
        </w:rPr>
        <w:t>Aperçu des progrès accomplis</w:t>
      </w:r>
    </w:p>
    <w:tbl>
      <w:tblPr>
        <w:tblStyle w:val="TableGrid"/>
        <w:tblW w:w="0" w:type="auto"/>
        <w:tblLook w:val="04A0" w:firstRow="1" w:lastRow="0" w:firstColumn="1" w:lastColumn="0" w:noHBand="0" w:noVBand="1"/>
      </w:tblPr>
      <w:tblGrid>
        <w:gridCol w:w="9016"/>
      </w:tblGrid>
      <w:tr w:rsidR="00B87039" w:rsidRPr="00543148" w14:paraId="5229FEDD" w14:textId="77777777" w:rsidTr="00557FB3">
        <w:tc>
          <w:tcPr>
            <w:tcW w:w="9016" w:type="dxa"/>
            <w:shd w:val="clear" w:color="auto" w:fill="D1D1D1" w:themeFill="background2" w:themeFillShade="E6"/>
          </w:tcPr>
          <w:p w14:paraId="1FEF9F6E" w14:textId="77777777" w:rsidR="00B87039" w:rsidRPr="00653BF4" w:rsidRDefault="00B87039" w:rsidP="00557FB3">
            <w:pPr>
              <w:rPr>
                <w:rFonts w:eastAsia="Times New Roman" w:cs="Calibri"/>
                <w:color w:val="000000"/>
                <w:lang w:val="fr-FR"/>
              </w:rPr>
            </w:pPr>
          </w:p>
          <w:p w14:paraId="46C3F12A" w14:textId="73E55DDE" w:rsidR="00B87039" w:rsidRPr="00653BF4" w:rsidRDefault="00B87039" w:rsidP="00557FB3">
            <w:pPr>
              <w:rPr>
                <w:rFonts w:eastAsia="Times New Roman" w:cs="Calibri"/>
                <w:color w:val="000000"/>
                <w:lang w:val="fr-FR"/>
              </w:rPr>
            </w:pPr>
            <w:r w:rsidRPr="00653BF4">
              <w:rPr>
                <w:rFonts w:eastAsia="Times New Roman" w:cs="Calibri"/>
                <w:color w:val="000000"/>
                <w:lang w:val="fr-FR"/>
              </w:rPr>
              <w:t xml:space="preserve">Les données disponibles restent insuffisantes pour évaluer de manière fiable les progrès collectifs, et les auto-évaluations des Parties indiquent que la mise en œuvre ne progresse pas encore au rythme requis. Les cibles nationales présentées par les Parties couvrent de manière satisfaisante la portée de la </w:t>
            </w:r>
            <w:r w:rsidR="00E34DC9">
              <w:rPr>
                <w:rFonts w:eastAsia="Times New Roman" w:cs="Calibri"/>
                <w:color w:val="000000"/>
                <w:lang w:val="fr-FR"/>
              </w:rPr>
              <w:t>cible 1</w:t>
            </w:r>
            <w:r w:rsidRPr="00653BF4">
              <w:rPr>
                <w:rFonts w:eastAsia="Times New Roman" w:cs="Calibri"/>
                <w:color w:val="000000"/>
                <w:lang w:val="fr-FR"/>
              </w:rPr>
              <w:t>1. Le nombre de rapports nationaux contenant des données cohérentes pour l</w:t>
            </w:r>
            <w:r w:rsidR="00D77549">
              <w:rPr>
                <w:rFonts w:eastAsia="Times New Roman" w:cs="Calibri"/>
                <w:color w:val="000000"/>
                <w:lang w:val="fr-FR"/>
              </w:rPr>
              <w:t>’</w:t>
            </w:r>
            <w:r w:rsidRPr="00653BF4">
              <w:rPr>
                <w:rFonts w:eastAsia="Times New Roman" w:cs="Calibri"/>
                <w:color w:val="000000"/>
                <w:lang w:val="fr-FR"/>
              </w:rPr>
              <w:t>indicateur phare associé B.1 (services fournis par les écosystèmes) est toutefois insuffisant pour évaluer les progrès réalisés, et cet indicateur peut seulement être considéré comme expérimental à ce stade. L</w:t>
            </w:r>
            <w:r w:rsidR="00D77549">
              <w:rPr>
                <w:rFonts w:eastAsia="Times New Roman" w:cs="Calibri"/>
                <w:color w:val="000000"/>
                <w:lang w:val="fr-FR"/>
              </w:rPr>
              <w:t>’</w:t>
            </w:r>
            <w:r w:rsidRPr="00653BF4">
              <w:rPr>
                <w:rFonts w:eastAsia="Times New Roman" w:cs="Calibri"/>
                <w:color w:val="000000"/>
                <w:lang w:val="fr-FR"/>
              </w:rPr>
              <w:t>analyse des tendances de l</w:t>
            </w:r>
            <w:r w:rsidR="00D77549">
              <w:rPr>
                <w:rFonts w:eastAsia="Times New Roman" w:cs="Calibri"/>
                <w:color w:val="000000"/>
                <w:lang w:val="fr-FR"/>
              </w:rPr>
              <w:t>’</w:t>
            </w:r>
            <w:r w:rsidRPr="00653BF4">
              <w:rPr>
                <w:rFonts w:eastAsia="Times New Roman" w:cs="Calibri"/>
                <w:color w:val="000000"/>
                <w:lang w:val="fr-FR"/>
              </w:rPr>
              <w:t xml:space="preserve">ensemble des indicateurs communiqués par un tiers des Parties dont les rapports nationaux ont été pris en </w:t>
            </w:r>
            <w:r w:rsidRPr="00653BF4">
              <w:rPr>
                <w:rFonts w:eastAsia="Times New Roman" w:cs="Calibri"/>
                <w:color w:val="000000"/>
                <w:lang w:val="fr-FR"/>
              </w:rPr>
              <w:lastRenderedPageBreak/>
              <w:t>compte pour le rapport mondial fait apparaître un bilan mitigé, et les auto-évaluations indiquent que les Parties jugent insuffisants les progrès qu</w:t>
            </w:r>
            <w:r w:rsidR="00D77549">
              <w:rPr>
                <w:rFonts w:eastAsia="Times New Roman" w:cs="Calibri"/>
                <w:color w:val="000000"/>
                <w:lang w:val="fr-FR"/>
              </w:rPr>
              <w:t>’</w:t>
            </w:r>
            <w:r w:rsidRPr="00653BF4">
              <w:rPr>
                <w:rFonts w:eastAsia="Times New Roman" w:cs="Calibri"/>
                <w:color w:val="000000"/>
                <w:lang w:val="fr-FR"/>
              </w:rPr>
              <w:t>elles ont accomplis dans la réalisation de la plupart des cibles nationales (64</w:t>
            </w:r>
            <w:r w:rsidR="002878D7">
              <w:rPr>
                <w:rFonts w:eastAsia="Times New Roman" w:cs="Calibri"/>
                <w:color w:val="000000"/>
                <w:lang w:val="fr-FR"/>
              </w:rPr>
              <w:t> %</w:t>
            </w:r>
            <w:r w:rsidRPr="00653BF4">
              <w:rPr>
                <w:rFonts w:eastAsia="Times New Roman" w:cs="Calibri"/>
                <w:color w:val="000000"/>
                <w:lang w:val="fr-FR"/>
              </w:rPr>
              <w:t xml:space="preserve">) liées à la </w:t>
            </w:r>
            <w:r w:rsidR="00E34DC9">
              <w:rPr>
                <w:rFonts w:eastAsia="Times New Roman" w:cs="Calibri"/>
                <w:color w:val="000000"/>
                <w:lang w:val="fr-FR"/>
              </w:rPr>
              <w:t>cible 1</w:t>
            </w:r>
            <w:r w:rsidRPr="00653BF4">
              <w:rPr>
                <w:rFonts w:eastAsia="Times New Roman" w:cs="Calibri"/>
                <w:color w:val="000000"/>
                <w:lang w:val="fr-FR"/>
              </w:rPr>
              <w:t>1. Les difficultés signalées concernent l</w:t>
            </w:r>
            <w:r w:rsidR="00D77549">
              <w:rPr>
                <w:rFonts w:eastAsia="Times New Roman" w:cs="Calibri"/>
                <w:color w:val="000000"/>
                <w:lang w:val="fr-FR"/>
              </w:rPr>
              <w:t>’</w:t>
            </w:r>
            <w:r w:rsidRPr="00653BF4">
              <w:rPr>
                <w:rFonts w:eastAsia="Times New Roman" w:cs="Calibri"/>
                <w:color w:val="000000"/>
                <w:lang w:val="fr-FR"/>
              </w:rPr>
              <w:t>application des méthodes d</w:t>
            </w:r>
            <w:r w:rsidR="00D77549">
              <w:rPr>
                <w:rFonts w:eastAsia="Times New Roman" w:cs="Calibri"/>
                <w:color w:val="000000"/>
                <w:lang w:val="fr-FR"/>
              </w:rPr>
              <w:t>’</w:t>
            </w:r>
            <w:r w:rsidRPr="00653BF4">
              <w:rPr>
                <w:rFonts w:eastAsia="Times New Roman" w:cs="Calibri"/>
                <w:color w:val="000000"/>
                <w:lang w:val="fr-FR"/>
              </w:rPr>
              <w:t>évaluation des contributions de la nature aux populations, tant au niveau des politiques que du suivi, ainsi que l</w:t>
            </w:r>
            <w:r w:rsidR="00D77549">
              <w:rPr>
                <w:rFonts w:eastAsia="Times New Roman" w:cs="Calibri"/>
                <w:color w:val="000000"/>
                <w:lang w:val="fr-FR"/>
              </w:rPr>
              <w:t>’</w:t>
            </w:r>
            <w:r w:rsidRPr="00653BF4">
              <w:rPr>
                <w:rFonts w:eastAsia="Times New Roman" w:cs="Calibri"/>
                <w:color w:val="000000"/>
                <w:lang w:val="fr-FR"/>
              </w:rPr>
              <w:t>absence de cadres financiers et juridiques pour la mise en œuvre de solutions fondées sur la nature et la gestion des compromis avec d</w:t>
            </w:r>
            <w:r w:rsidR="00D77549">
              <w:rPr>
                <w:rFonts w:eastAsia="Times New Roman" w:cs="Calibri"/>
                <w:color w:val="000000"/>
                <w:lang w:val="fr-FR"/>
              </w:rPr>
              <w:t>’</w:t>
            </w:r>
            <w:r w:rsidRPr="00653BF4">
              <w:rPr>
                <w:rFonts w:eastAsia="Times New Roman" w:cs="Calibri"/>
                <w:color w:val="000000"/>
                <w:lang w:val="fr-FR"/>
              </w:rPr>
              <w:t xml:space="preserve">autres secteurs politiques. </w:t>
            </w:r>
          </w:p>
          <w:p w14:paraId="6607A68E" w14:textId="77777777" w:rsidR="00B87039" w:rsidRPr="00653BF4" w:rsidRDefault="00B87039" w:rsidP="00557FB3">
            <w:pPr>
              <w:rPr>
                <w:rFonts w:eastAsia="Times New Roman" w:cs="Calibri"/>
                <w:color w:val="000000"/>
                <w:lang w:val="fr-FR"/>
              </w:rPr>
            </w:pPr>
          </w:p>
          <w:p w14:paraId="4E8D8EAB" w14:textId="77777777" w:rsidR="00B87039" w:rsidRPr="00653BF4" w:rsidRDefault="00B87039" w:rsidP="00557FB3">
            <w:pPr>
              <w:rPr>
                <w:rFonts w:eastAsia="Times New Roman" w:cs="Calibri"/>
                <w:color w:val="000000"/>
                <w:lang w:val="fr-FR"/>
              </w:rPr>
            </w:pPr>
          </w:p>
          <w:p w14:paraId="27A72458" w14:textId="77777777" w:rsidR="00B87039" w:rsidRPr="00653BF4" w:rsidRDefault="00B87039" w:rsidP="00557FB3">
            <w:pPr>
              <w:rPr>
                <w:lang w:val="fr-FR"/>
              </w:rPr>
            </w:pPr>
          </w:p>
        </w:tc>
      </w:tr>
    </w:tbl>
    <w:p w14:paraId="30233549" w14:textId="77777777" w:rsidR="00B87039" w:rsidRPr="00653BF4" w:rsidRDefault="00B87039" w:rsidP="00B87039">
      <w:pPr>
        <w:pStyle w:val="Heading5"/>
        <w:rPr>
          <w:lang w:val="fr-FR"/>
        </w:rPr>
      </w:pPr>
      <w:bookmarkStart w:id="213" w:name="_Ref230776638"/>
    </w:p>
    <w:p w14:paraId="51BFF28E" w14:textId="26ACE041" w:rsidR="00B87039" w:rsidRPr="00653BF4" w:rsidRDefault="00B87039" w:rsidP="00B87039">
      <w:pPr>
        <w:pStyle w:val="Heading5"/>
        <w:rPr>
          <w:lang w:val="fr-FR"/>
        </w:rPr>
      </w:pPr>
      <w:r w:rsidRPr="00653BF4">
        <w:rPr>
          <w:lang w:val="fr-FR"/>
        </w:rPr>
        <w:t xml:space="preserve">Prise en compte par les Parties de la portée de la </w:t>
      </w:r>
      <w:r w:rsidR="00E34DC9">
        <w:rPr>
          <w:lang w:val="fr-FR"/>
        </w:rPr>
        <w:t>cible 1</w:t>
      </w:r>
      <w:r w:rsidRPr="00653BF4">
        <w:rPr>
          <w:lang w:val="fr-FR"/>
        </w:rPr>
        <w:t>1 du Cadre dans leurs cibles nationales</w:t>
      </w:r>
    </w:p>
    <w:p w14:paraId="4BC924E6" w14:textId="77777777" w:rsidR="00B87039" w:rsidRPr="00653BF4" w:rsidRDefault="00B87039" w:rsidP="00B87039">
      <w:pPr>
        <w:pStyle w:val="Caption"/>
        <w:keepNext/>
        <w:rPr>
          <w:i w:val="0"/>
          <w:iCs w:val="0"/>
          <w:sz w:val="20"/>
          <w:szCs w:val="20"/>
          <w:lang w:val="fr-FR"/>
        </w:rPr>
      </w:pPr>
    </w:p>
    <w:bookmarkEnd w:id="213"/>
    <w:p w14:paraId="7E997A4C" w14:textId="77777777" w:rsidR="00B87039" w:rsidRPr="00653BF4" w:rsidRDefault="00B87039" w:rsidP="00B87039">
      <w:pPr>
        <w:pStyle w:val="Caption"/>
        <w:keepNext/>
        <w:rPr>
          <w:i w:val="0"/>
          <w:iCs w:val="0"/>
          <w:sz w:val="20"/>
          <w:szCs w:val="20"/>
          <w:lang w:val="fr-FR"/>
        </w:rPr>
      </w:pPr>
      <w:r w:rsidRPr="00653BF4">
        <w:rPr>
          <w:i w:val="0"/>
          <w:iCs w:val="0"/>
          <w:sz w:val="20"/>
          <w:szCs w:val="20"/>
          <w:lang w:val="fr-FR"/>
        </w:rPr>
        <w:t xml:space="preserve">Tableau 24 </w:t>
      </w:r>
    </w:p>
    <w:p w14:paraId="60F5A148" w14:textId="7B8B2184" w:rsidR="00B87039" w:rsidRPr="00653BF4" w:rsidRDefault="00B87039" w:rsidP="00B87039">
      <w:pPr>
        <w:pStyle w:val="Caption"/>
        <w:keepNext/>
        <w:rPr>
          <w:i w:val="0"/>
          <w:sz w:val="20"/>
          <w:szCs w:val="20"/>
          <w:lang w:val="fr-FR"/>
        </w:rPr>
      </w:pPr>
      <w:r w:rsidRPr="00653BF4">
        <w:rPr>
          <w:b/>
          <w:i w:val="0"/>
          <w:sz w:val="20"/>
          <w:szCs w:val="20"/>
          <w:lang w:val="fr-FR"/>
        </w:rPr>
        <w:t xml:space="preserve">Éléments de la </w:t>
      </w:r>
      <w:r w:rsidR="00E34DC9">
        <w:rPr>
          <w:b/>
          <w:i w:val="0"/>
          <w:sz w:val="20"/>
          <w:szCs w:val="20"/>
          <w:lang w:val="fr-FR"/>
        </w:rPr>
        <w:t>cible 1</w:t>
      </w:r>
      <w:r w:rsidRPr="00653BF4">
        <w:rPr>
          <w:b/>
          <w:i w:val="0"/>
          <w:sz w:val="20"/>
          <w:szCs w:val="20"/>
          <w:lang w:val="fr-FR"/>
        </w:rPr>
        <w:t xml:space="preserve">1 du Cadre et </w:t>
      </w:r>
      <w:r w:rsidRPr="00653BF4">
        <w:rPr>
          <w:b/>
          <w:bCs/>
          <w:i w:val="0"/>
          <w:iCs w:val="0"/>
          <w:sz w:val="20"/>
          <w:szCs w:val="20"/>
          <w:lang w:val="fr-FR"/>
        </w:rPr>
        <w:t>leur prise en compte dans les cibles nationales</w:t>
      </w:r>
      <w:r w:rsidRPr="00653BF4">
        <w:rPr>
          <w:i w:val="0"/>
          <w:iCs w:val="0"/>
          <w:sz w:val="20"/>
          <w:szCs w:val="20"/>
          <w:vertAlign w:val="superscript"/>
          <w:lang w:val="fr-FR"/>
        </w:rPr>
        <w:t>a</w:t>
      </w:r>
    </w:p>
    <w:tbl>
      <w:tblPr>
        <w:tblStyle w:val="TableGrid"/>
        <w:tblW w:w="0" w:type="auto"/>
        <w:tblLook w:val="04A0" w:firstRow="1" w:lastRow="0" w:firstColumn="1" w:lastColumn="0" w:noHBand="0" w:noVBand="1"/>
      </w:tblPr>
      <w:tblGrid>
        <w:gridCol w:w="8359"/>
        <w:gridCol w:w="657"/>
      </w:tblGrid>
      <w:tr w:rsidR="00B87039" w:rsidRPr="00653BF4" w14:paraId="320CDAFF" w14:textId="77777777" w:rsidTr="00557FB3">
        <w:tc>
          <w:tcPr>
            <w:tcW w:w="8359" w:type="dxa"/>
          </w:tcPr>
          <w:p w14:paraId="4A3921BF" w14:textId="77777777" w:rsidR="00B87039" w:rsidRPr="00653BF4" w:rsidRDefault="00B87039" w:rsidP="00557FB3">
            <w:pPr>
              <w:rPr>
                <w:sz w:val="20"/>
                <w:szCs w:val="20"/>
                <w:lang w:val="fr-FR"/>
              </w:rPr>
            </w:pPr>
            <w:r w:rsidRPr="00653BF4">
              <w:rPr>
                <w:sz w:val="20"/>
                <w:szCs w:val="20"/>
                <w:lang w:val="fr-FR"/>
              </w:rPr>
              <w:t xml:space="preserve">Restaurer, préserver et renforcer les contributions de la nature aux populations, y compris les fonctions et services écosystémiques, grâce à des solutions fondées sur la nature </w:t>
            </w:r>
          </w:p>
        </w:tc>
        <w:tc>
          <w:tcPr>
            <w:tcW w:w="657" w:type="dxa"/>
            <w:shd w:val="clear" w:color="auto" w:fill="92D050"/>
          </w:tcPr>
          <w:p w14:paraId="0CD06705" w14:textId="77777777" w:rsidR="00B87039" w:rsidRPr="00653BF4" w:rsidRDefault="00B87039" w:rsidP="00557FB3">
            <w:pPr>
              <w:rPr>
                <w:sz w:val="20"/>
                <w:szCs w:val="20"/>
                <w:lang w:val="fr-FR"/>
              </w:rPr>
            </w:pPr>
            <w:r w:rsidRPr="00653BF4">
              <w:rPr>
                <w:sz w:val="20"/>
                <w:szCs w:val="20"/>
                <w:lang w:val="fr-FR"/>
              </w:rPr>
              <w:t>68</w:t>
            </w:r>
          </w:p>
        </w:tc>
      </w:tr>
      <w:tr w:rsidR="00B87039" w:rsidRPr="00653BF4" w14:paraId="08CB6226" w14:textId="77777777" w:rsidTr="00557FB3">
        <w:tc>
          <w:tcPr>
            <w:tcW w:w="8359" w:type="dxa"/>
          </w:tcPr>
          <w:p w14:paraId="323A3A9C" w14:textId="77777777" w:rsidR="00B87039" w:rsidRPr="00653BF4" w:rsidRDefault="00B87039" w:rsidP="00557FB3">
            <w:pPr>
              <w:rPr>
                <w:sz w:val="20"/>
                <w:szCs w:val="20"/>
                <w:lang w:val="fr-FR"/>
              </w:rPr>
            </w:pPr>
            <w:r w:rsidRPr="00653BF4">
              <w:rPr>
                <w:sz w:val="20"/>
                <w:szCs w:val="20"/>
                <w:lang w:val="fr-FR"/>
              </w:rPr>
              <w:t xml:space="preserve">Restaurer, préserver et renforcer les contributions de la nature aux populations, y compris les fonctions et services écosystémiques, grâce à des approches écosystémiques </w:t>
            </w:r>
          </w:p>
        </w:tc>
        <w:tc>
          <w:tcPr>
            <w:tcW w:w="657" w:type="dxa"/>
            <w:shd w:val="clear" w:color="auto" w:fill="92D050"/>
          </w:tcPr>
          <w:p w14:paraId="7EE74191" w14:textId="77777777" w:rsidR="00B87039" w:rsidRPr="00653BF4" w:rsidRDefault="00B87039" w:rsidP="00557FB3">
            <w:pPr>
              <w:rPr>
                <w:sz w:val="20"/>
                <w:szCs w:val="20"/>
                <w:lang w:val="fr-FR"/>
              </w:rPr>
            </w:pPr>
            <w:r w:rsidRPr="00653BF4">
              <w:rPr>
                <w:sz w:val="20"/>
                <w:szCs w:val="20"/>
                <w:lang w:val="fr-FR"/>
              </w:rPr>
              <w:t>65</w:t>
            </w:r>
          </w:p>
        </w:tc>
      </w:tr>
      <w:tr w:rsidR="00B87039" w:rsidRPr="00653BF4" w14:paraId="2F6B95AF" w14:textId="77777777" w:rsidTr="00557FB3">
        <w:tc>
          <w:tcPr>
            <w:tcW w:w="8359" w:type="dxa"/>
          </w:tcPr>
          <w:p w14:paraId="7D80F2B0" w14:textId="6E710029" w:rsidR="00B87039" w:rsidRPr="00653BF4" w:rsidRDefault="00B87039" w:rsidP="00557FB3">
            <w:pPr>
              <w:rPr>
                <w:sz w:val="20"/>
                <w:szCs w:val="20"/>
                <w:lang w:val="fr-FR"/>
              </w:rPr>
            </w:pPr>
            <w:r w:rsidRPr="00653BF4">
              <w:rPr>
                <w:sz w:val="20"/>
                <w:szCs w:val="20"/>
                <w:lang w:val="fr-FR"/>
              </w:rPr>
              <w:t>Restaurer, préserver et renforcer la régulation de l</w:t>
            </w:r>
            <w:r w:rsidR="00D77549">
              <w:rPr>
                <w:sz w:val="20"/>
                <w:szCs w:val="20"/>
                <w:lang w:val="fr-FR"/>
              </w:rPr>
              <w:t>’</w:t>
            </w:r>
            <w:r w:rsidRPr="00653BF4">
              <w:rPr>
                <w:sz w:val="20"/>
                <w:szCs w:val="20"/>
                <w:lang w:val="fr-FR"/>
              </w:rPr>
              <w:t>air, de l</w:t>
            </w:r>
            <w:r w:rsidR="00D77549">
              <w:rPr>
                <w:sz w:val="20"/>
                <w:szCs w:val="20"/>
                <w:lang w:val="fr-FR"/>
              </w:rPr>
              <w:t>’</w:t>
            </w:r>
            <w:r w:rsidRPr="00653BF4">
              <w:rPr>
                <w:sz w:val="20"/>
                <w:szCs w:val="20"/>
                <w:lang w:val="fr-FR"/>
              </w:rPr>
              <w:t>eau et du climat</w:t>
            </w:r>
          </w:p>
          <w:p w14:paraId="56EB548E" w14:textId="77777777" w:rsidR="00B87039" w:rsidRPr="00653BF4" w:rsidRDefault="00B87039" w:rsidP="00557FB3">
            <w:pPr>
              <w:rPr>
                <w:sz w:val="20"/>
                <w:szCs w:val="20"/>
                <w:lang w:val="fr-FR"/>
              </w:rPr>
            </w:pPr>
          </w:p>
        </w:tc>
        <w:tc>
          <w:tcPr>
            <w:tcW w:w="657" w:type="dxa"/>
            <w:shd w:val="clear" w:color="auto" w:fill="92D050"/>
          </w:tcPr>
          <w:p w14:paraId="1D17A6ED" w14:textId="77777777" w:rsidR="00B87039" w:rsidRPr="00653BF4" w:rsidRDefault="00B87039" w:rsidP="00557FB3">
            <w:pPr>
              <w:rPr>
                <w:sz w:val="20"/>
                <w:szCs w:val="20"/>
                <w:lang w:val="fr-FR"/>
              </w:rPr>
            </w:pPr>
            <w:r w:rsidRPr="00653BF4">
              <w:rPr>
                <w:sz w:val="20"/>
                <w:szCs w:val="20"/>
                <w:lang w:val="fr-FR"/>
              </w:rPr>
              <w:t>66</w:t>
            </w:r>
          </w:p>
        </w:tc>
      </w:tr>
      <w:tr w:rsidR="00B87039" w:rsidRPr="00653BF4" w14:paraId="6ECF610B" w14:textId="77777777" w:rsidTr="00557FB3">
        <w:tc>
          <w:tcPr>
            <w:tcW w:w="8359" w:type="dxa"/>
          </w:tcPr>
          <w:p w14:paraId="4D5A2E45" w14:textId="77777777" w:rsidR="00B87039" w:rsidRPr="00653BF4" w:rsidRDefault="00B87039" w:rsidP="00557FB3">
            <w:pPr>
              <w:rPr>
                <w:sz w:val="20"/>
                <w:szCs w:val="20"/>
                <w:lang w:val="fr-FR"/>
              </w:rPr>
            </w:pPr>
            <w:r w:rsidRPr="00653BF4">
              <w:rPr>
                <w:sz w:val="20"/>
                <w:szCs w:val="20"/>
                <w:lang w:val="fr-FR"/>
              </w:rPr>
              <w:t>Restaurer, préserver et renforcer la santé des sols</w:t>
            </w:r>
          </w:p>
          <w:p w14:paraId="17ADE2CA" w14:textId="77777777" w:rsidR="00B87039" w:rsidRPr="00653BF4" w:rsidRDefault="00B87039" w:rsidP="00557FB3">
            <w:pPr>
              <w:rPr>
                <w:sz w:val="20"/>
                <w:szCs w:val="20"/>
                <w:lang w:val="fr-FR"/>
              </w:rPr>
            </w:pPr>
          </w:p>
        </w:tc>
        <w:tc>
          <w:tcPr>
            <w:tcW w:w="657" w:type="dxa"/>
            <w:shd w:val="clear" w:color="auto" w:fill="92D050"/>
          </w:tcPr>
          <w:p w14:paraId="04E20B12" w14:textId="77777777" w:rsidR="00B87039" w:rsidRPr="00653BF4" w:rsidRDefault="00B87039" w:rsidP="00557FB3">
            <w:pPr>
              <w:rPr>
                <w:sz w:val="20"/>
                <w:szCs w:val="20"/>
                <w:lang w:val="fr-FR"/>
              </w:rPr>
            </w:pPr>
            <w:r w:rsidRPr="00653BF4">
              <w:rPr>
                <w:sz w:val="20"/>
                <w:szCs w:val="20"/>
                <w:lang w:val="fr-FR"/>
              </w:rPr>
              <w:t>61</w:t>
            </w:r>
          </w:p>
        </w:tc>
      </w:tr>
      <w:tr w:rsidR="00B87039" w:rsidRPr="00653BF4" w14:paraId="1AC4364D" w14:textId="77777777" w:rsidTr="00557FB3">
        <w:tc>
          <w:tcPr>
            <w:tcW w:w="8359" w:type="dxa"/>
          </w:tcPr>
          <w:p w14:paraId="24CAC2FB" w14:textId="77777777" w:rsidR="00B87039" w:rsidRPr="00653BF4" w:rsidRDefault="00B87039" w:rsidP="00557FB3">
            <w:pPr>
              <w:rPr>
                <w:sz w:val="20"/>
                <w:szCs w:val="20"/>
                <w:lang w:val="fr-FR"/>
              </w:rPr>
            </w:pPr>
            <w:r w:rsidRPr="00653BF4">
              <w:rPr>
                <w:sz w:val="20"/>
                <w:szCs w:val="20"/>
                <w:lang w:val="fr-FR"/>
              </w:rPr>
              <w:t xml:space="preserve">Restaurer, préserver et renforcer la pollinisation </w:t>
            </w:r>
          </w:p>
          <w:p w14:paraId="11A6E4E3" w14:textId="77777777" w:rsidR="00B87039" w:rsidRPr="00653BF4" w:rsidRDefault="00B87039" w:rsidP="00557FB3">
            <w:pPr>
              <w:rPr>
                <w:sz w:val="20"/>
                <w:szCs w:val="20"/>
                <w:lang w:val="fr-FR"/>
              </w:rPr>
            </w:pPr>
          </w:p>
        </w:tc>
        <w:tc>
          <w:tcPr>
            <w:tcW w:w="657" w:type="dxa"/>
            <w:shd w:val="clear" w:color="auto" w:fill="FFFF00"/>
          </w:tcPr>
          <w:p w14:paraId="4AA799CD" w14:textId="77777777" w:rsidR="00B87039" w:rsidRPr="00653BF4" w:rsidRDefault="00B87039" w:rsidP="00557FB3">
            <w:pPr>
              <w:rPr>
                <w:sz w:val="20"/>
                <w:szCs w:val="20"/>
                <w:lang w:val="fr-FR"/>
              </w:rPr>
            </w:pPr>
            <w:r w:rsidRPr="00653BF4">
              <w:rPr>
                <w:sz w:val="20"/>
                <w:szCs w:val="20"/>
                <w:lang w:val="fr-FR"/>
              </w:rPr>
              <w:t>58</w:t>
            </w:r>
          </w:p>
        </w:tc>
      </w:tr>
      <w:tr w:rsidR="00B87039" w:rsidRPr="00653BF4" w14:paraId="25F4B8AF" w14:textId="77777777" w:rsidTr="00557FB3">
        <w:tc>
          <w:tcPr>
            <w:tcW w:w="8359" w:type="dxa"/>
          </w:tcPr>
          <w:p w14:paraId="7463DFDE" w14:textId="77777777" w:rsidR="00B87039" w:rsidRPr="00653BF4" w:rsidRDefault="00B87039" w:rsidP="00557FB3">
            <w:pPr>
              <w:rPr>
                <w:sz w:val="20"/>
                <w:szCs w:val="20"/>
                <w:lang w:val="fr-FR"/>
              </w:rPr>
            </w:pPr>
            <w:r w:rsidRPr="00653BF4">
              <w:rPr>
                <w:sz w:val="20"/>
                <w:szCs w:val="20"/>
                <w:lang w:val="fr-FR"/>
              </w:rPr>
              <w:t xml:space="preserve">Restaurer, préserver et renforcer la réduction des risques de maladie </w:t>
            </w:r>
          </w:p>
          <w:p w14:paraId="369034D2" w14:textId="77777777" w:rsidR="00B87039" w:rsidRPr="00653BF4" w:rsidRDefault="00B87039" w:rsidP="00557FB3">
            <w:pPr>
              <w:rPr>
                <w:sz w:val="20"/>
                <w:szCs w:val="20"/>
                <w:lang w:val="fr-FR"/>
              </w:rPr>
            </w:pPr>
          </w:p>
        </w:tc>
        <w:tc>
          <w:tcPr>
            <w:tcW w:w="657" w:type="dxa"/>
            <w:shd w:val="clear" w:color="auto" w:fill="FFFF00"/>
          </w:tcPr>
          <w:p w14:paraId="554728CA" w14:textId="77777777" w:rsidR="00B87039" w:rsidRPr="00653BF4" w:rsidRDefault="00B87039" w:rsidP="00557FB3">
            <w:pPr>
              <w:rPr>
                <w:sz w:val="20"/>
                <w:szCs w:val="20"/>
                <w:lang w:val="fr-FR"/>
              </w:rPr>
            </w:pPr>
            <w:r w:rsidRPr="00653BF4">
              <w:rPr>
                <w:sz w:val="20"/>
                <w:szCs w:val="20"/>
                <w:lang w:val="fr-FR"/>
              </w:rPr>
              <w:t>59</w:t>
            </w:r>
          </w:p>
        </w:tc>
      </w:tr>
      <w:tr w:rsidR="00B87039" w:rsidRPr="00653BF4" w14:paraId="705CC835" w14:textId="77777777" w:rsidTr="00557FB3">
        <w:tc>
          <w:tcPr>
            <w:tcW w:w="8359" w:type="dxa"/>
          </w:tcPr>
          <w:p w14:paraId="385DC93F" w14:textId="77777777" w:rsidR="00B87039" w:rsidRPr="00653BF4" w:rsidRDefault="00B87039" w:rsidP="00557FB3">
            <w:pPr>
              <w:rPr>
                <w:sz w:val="20"/>
                <w:szCs w:val="20"/>
                <w:lang w:val="fr-FR"/>
              </w:rPr>
            </w:pPr>
            <w:r w:rsidRPr="00653BF4">
              <w:rPr>
                <w:sz w:val="20"/>
                <w:szCs w:val="20"/>
                <w:lang w:val="fr-FR"/>
              </w:rPr>
              <w:t>Restaurer, préserver et renforcer la protection contre les risques et catastrophes naturels</w:t>
            </w:r>
          </w:p>
          <w:p w14:paraId="00FE4E28" w14:textId="77777777" w:rsidR="00B87039" w:rsidRPr="00653BF4" w:rsidRDefault="00B87039" w:rsidP="00557FB3">
            <w:pPr>
              <w:rPr>
                <w:sz w:val="20"/>
                <w:szCs w:val="20"/>
                <w:lang w:val="fr-FR"/>
              </w:rPr>
            </w:pPr>
          </w:p>
        </w:tc>
        <w:tc>
          <w:tcPr>
            <w:tcW w:w="657" w:type="dxa"/>
            <w:shd w:val="clear" w:color="auto" w:fill="92D050"/>
          </w:tcPr>
          <w:p w14:paraId="370906F5" w14:textId="77777777" w:rsidR="00B87039" w:rsidRPr="00653BF4" w:rsidRDefault="00B87039" w:rsidP="00557FB3">
            <w:pPr>
              <w:rPr>
                <w:sz w:val="20"/>
                <w:szCs w:val="20"/>
                <w:lang w:val="fr-FR"/>
              </w:rPr>
            </w:pPr>
            <w:r w:rsidRPr="00653BF4">
              <w:rPr>
                <w:sz w:val="20"/>
                <w:szCs w:val="20"/>
                <w:lang w:val="fr-FR"/>
              </w:rPr>
              <w:t>62</w:t>
            </w:r>
          </w:p>
        </w:tc>
      </w:tr>
      <w:tr w:rsidR="00B87039" w:rsidRPr="00543148" w14:paraId="6D76286F" w14:textId="77777777" w:rsidTr="00557FB3">
        <w:tc>
          <w:tcPr>
            <w:tcW w:w="9016" w:type="dxa"/>
            <w:gridSpan w:val="2"/>
          </w:tcPr>
          <w:p w14:paraId="32799171" w14:textId="10B0B77F"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63</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7CCD5D03" w14:textId="77777777" w:rsidR="00B87039" w:rsidRPr="00653BF4" w:rsidRDefault="00B87039" w:rsidP="00557FB3">
            <w:pPr>
              <w:rPr>
                <w:sz w:val="20"/>
                <w:szCs w:val="20"/>
                <w:lang w:val="fr-FR"/>
              </w:rPr>
            </w:pPr>
          </w:p>
        </w:tc>
      </w:tr>
    </w:tbl>
    <w:p w14:paraId="68FA1D56" w14:textId="77777777" w:rsidR="00B87039" w:rsidRPr="00653BF4" w:rsidRDefault="00B87039" w:rsidP="00B87039">
      <w:pPr>
        <w:rPr>
          <w:lang w:val="fr-FR"/>
        </w:rPr>
      </w:pPr>
    </w:p>
    <w:p w14:paraId="5E44658D" w14:textId="3BF23C6E" w:rsidR="00B87039" w:rsidRPr="00653BF4" w:rsidRDefault="00B87039" w:rsidP="00B87039">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w:t>
      </w:r>
      <w:r w:rsidR="00D77549">
        <w:rPr>
          <w:iCs/>
          <w:sz w:val="16"/>
          <w:szCs w:val="16"/>
          <w:lang w:val="fr-FR"/>
        </w:rPr>
        <w:t>’</w:t>
      </w:r>
      <w:r w:rsidRPr="00653BF4">
        <w:rPr>
          <w:iCs/>
          <w:sz w:val="16"/>
          <w:szCs w:val="16"/>
          <w:lang w:val="fr-FR"/>
        </w:rPr>
        <w:t>élément, au moins partiellement.</w:t>
      </w:r>
    </w:p>
    <w:p w14:paraId="00F8AEFD" w14:textId="5C411831" w:rsidR="00B87039" w:rsidRPr="00653BF4" w:rsidRDefault="00B87039" w:rsidP="00B8703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cs="Segoe UI"/>
          <w:sz w:val="16"/>
          <w:szCs w:val="16"/>
          <w:lang w:val="fr-FR"/>
        </w:rPr>
        <w:t xml:space="preserve"> Les éléments de chaque cible ont été définis par le Groupe spécial d</w:t>
      </w:r>
      <w:r w:rsidR="00D77549">
        <w:rPr>
          <w:rStyle w:val="normaltextrun"/>
          <w:rFonts w:cs="Segoe UI"/>
          <w:sz w:val="16"/>
          <w:szCs w:val="16"/>
          <w:lang w:val="fr-FR"/>
        </w:rPr>
        <w:t>’</w:t>
      </w:r>
      <w:r w:rsidRPr="00653BF4">
        <w:rPr>
          <w:rStyle w:val="normaltextrun"/>
          <w:rFonts w:cs="Segoe UI"/>
          <w:sz w:val="16"/>
          <w:szCs w:val="16"/>
          <w:lang w:val="fr-FR"/>
        </w:rPr>
        <w:t xml:space="preserve">experts techniques sur les indicateurs du Cadre mondial de la biodiversité de Kunming-Montréal (voir annexe I du document </w:t>
      </w:r>
      <w:hyperlink r:id="rId133" w:history="1">
        <w:r w:rsidRPr="00653BF4">
          <w:rPr>
            <w:rStyle w:val="Hyperlink"/>
            <w:rFonts w:ascii="Aptos" w:hAnsi="Aptos" w:cs="Segoe UI"/>
            <w:sz w:val="16"/>
            <w:szCs w:val="16"/>
            <w:lang w:val="fr-FR"/>
          </w:rPr>
          <w:t>CBD/COP/16/INF/4</w:t>
        </w:r>
      </w:hyperlink>
      <w:r w:rsidR="00E34DC9">
        <w:rPr>
          <w:rStyle w:val="normaltextrun"/>
          <w:rFonts w:cs="Segoe UI"/>
          <w:sz w:val="16"/>
          <w:szCs w:val="16"/>
          <w:lang w:val="fr-FR"/>
        </w:rPr>
        <w:t> ;</w:t>
      </w:r>
      <w:r w:rsidRPr="00653BF4">
        <w:rPr>
          <w:rFonts w:ascii="Aptos" w:hAnsi="Aptos" w:cs="Segoe UI"/>
          <w:sz w:val="16"/>
          <w:szCs w:val="16"/>
          <w:lang w:val="fr-FR"/>
        </w:rPr>
        <w:t xml:space="preserve"> et Affinito </w:t>
      </w:r>
      <w:r w:rsidRPr="00653BF4">
        <w:rPr>
          <w:rFonts w:ascii="Aptos" w:hAnsi="Aptos" w:cs="Segoe UI"/>
          <w:i/>
          <w:iCs/>
          <w:sz w:val="16"/>
          <w:szCs w:val="16"/>
          <w:lang w:val="fr-FR"/>
        </w:rPr>
        <w:t>et al.</w:t>
      </w:r>
      <w:r w:rsidRPr="00653BF4">
        <w:rPr>
          <w:rFonts w:ascii="Aptos" w:hAnsi="Aptos" w:cs="Segoe UI"/>
          <w:sz w:val="16"/>
          <w:szCs w:val="16"/>
          <w:lang w:val="fr-FR"/>
        </w:rPr>
        <w:t xml:space="preserve">, 2025). </w:t>
      </w:r>
      <w:r w:rsidRPr="00653BF4">
        <w:rPr>
          <w:rStyle w:val="normaltextrun"/>
          <w:rFonts w:cs="Segoe UI"/>
          <w:sz w:val="16"/>
          <w:szCs w:val="16"/>
          <w:lang w:val="fr-FR"/>
        </w:rPr>
        <w:t>La méthode détaillée employée pour l</w:t>
      </w:r>
      <w:r w:rsidR="00D77549">
        <w:rPr>
          <w:rStyle w:val="normaltextrun"/>
          <w:rFonts w:cs="Segoe UI"/>
          <w:sz w:val="16"/>
          <w:szCs w:val="16"/>
          <w:lang w:val="fr-FR"/>
        </w:rPr>
        <w:t>’</w:t>
      </w:r>
      <w:r w:rsidRPr="00653BF4">
        <w:rPr>
          <w:rStyle w:val="normaltextrun"/>
          <w:rFonts w:cs="Segoe UI"/>
          <w:sz w:val="16"/>
          <w:szCs w:val="16"/>
          <w:lang w:val="fr-FR"/>
        </w:rPr>
        <w:t>analyse des cibles nationales est présentée dans le document </w:t>
      </w:r>
      <w:hyperlink r:id="rId134" w:history="1">
        <w:r w:rsidRPr="00653BF4">
          <w:rPr>
            <w:rStyle w:val="Hyperlink"/>
            <w:rFonts w:ascii="Aptos" w:hAnsi="Aptos" w:cs="Segoe UI"/>
            <w:sz w:val="16"/>
            <w:szCs w:val="16"/>
            <w:lang w:val="fr-FR"/>
          </w:rPr>
          <w:t>CBD/SBI/7/INF/22</w:t>
        </w:r>
      </w:hyperlink>
      <w:r w:rsidRPr="00653BF4">
        <w:rPr>
          <w:rStyle w:val="normaltextrun"/>
          <w:rFonts w:cs="Segoe UI"/>
          <w:sz w:val="16"/>
          <w:szCs w:val="16"/>
          <w:lang w:val="fr-FR"/>
        </w:rPr>
        <w:t xml:space="preserve">. </w:t>
      </w:r>
    </w:p>
    <w:p w14:paraId="5F5DCE70" w14:textId="77777777" w:rsidR="00B87039" w:rsidRPr="00653BF4" w:rsidRDefault="00B87039" w:rsidP="00B87039">
      <w:pPr>
        <w:rPr>
          <w:lang w:val="fr-FR"/>
        </w:rPr>
      </w:pPr>
    </w:p>
    <w:p w14:paraId="2CC5972D" w14:textId="48EB7851" w:rsidR="00B87039" w:rsidRPr="00653BF4" w:rsidRDefault="00B87039" w:rsidP="00B87039">
      <w:pPr>
        <w:rPr>
          <w:lang w:val="fr-FR"/>
        </w:rPr>
      </w:pPr>
      <w:r w:rsidRPr="00653BF4">
        <w:rPr>
          <w:lang w:val="fr-FR"/>
        </w:rPr>
        <w:t xml:space="preserve">Les différents éléments de la </w:t>
      </w:r>
      <w:r w:rsidR="00E34DC9">
        <w:rPr>
          <w:lang w:val="fr-FR"/>
        </w:rPr>
        <w:t>cible 1</w:t>
      </w:r>
      <w:r w:rsidRPr="00653BF4">
        <w:rPr>
          <w:lang w:val="fr-FR"/>
        </w:rPr>
        <w:t xml:space="preserve">1 sont traités de manière relativement homogène par les Parties dans leurs cibles nationales (voir le tableau 24). Environ deux tiers des Parties </w:t>
      </w:r>
      <w:r w:rsidRPr="00653BF4">
        <w:rPr>
          <w:lang w:val="fr-FR"/>
        </w:rPr>
        <w:lastRenderedPageBreak/>
        <w:t>ont fixé des cibles qui visent partiellement à restaurer, préserver et renforcer les contributions de la nature aux populations, y compris les fonctions et services écosystémiques, grâce à des solutions fondées sur la nature et à des approches écosystémiques. Une proportion similaire (comprise entre 58 et 66</w:t>
      </w:r>
      <w:r w:rsidR="002878D7">
        <w:rPr>
          <w:lang w:val="fr-FR"/>
        </w:rPr>
        <w:t> %</w:t>
      </w:r>
      <w:r w:rsidRPr="00653BF4">
        <w:rPr>
          <w:lang w:val="fr-FR"/>
        </w:rPr>
        <w:t>) de Parties disposent de cibles nationales visant à restaurer, préserver et renforcer la santé des sols, la pollinisation, la réduction des risques de maladie et la protection contre les risques et catastrophes naturels.</w:t>
      </w:r>
    </w:p>
    <w:p w14:paraId="33455B49" w14:textId="7A4438AF" w:rsidR="00B87039" w:rsidRPr="00653BF4" w:rsidRDefault="00B87039" w:rsidP="00B87039">
      <w:pPr>
        <w:rPr>
          <w:color w:val="000000" w:themeColor="text1"/>
          <w:lang w:val="fr-FR"/>
        </w:rPr>
      </w:pPr>
      <w:r w:rsidRPr="00653BF4">
        <w:rPr>
          <w:lang w:val="fr-FR"/>
        </w:rPr>
        <w:t xml:space="preserve">La </w:t>
      </w:r>
      <w:r w:rsidR="00E34DC9">
        <w:rPr>
          <w:lang w:val="fr-FR"/>
        </w:rPr>
        <w:t>cible 1</w:t>
      </w:r>
      <w:r w:rsidRPr="00653BF4">
        <w:rPr>
          <w:lang w:val="fr-FR"/>
        </w:rPr>
        <w:t>1 ne comporte pas d</w:t>
      </w:r>
      <w:r w:rsidR="00D77549">
        <w:rPr>
          <w:lang w:val="fr-FR"/>
        </w:rPr>
        <w:t>’</w:t>
      </w:r>
      <w:r w:rsidRPr="00653BF4">
        <w:rPr>
          <w:lang w:val="fr-FR"/>
        </w:rPr>
        <w:t>éléments quantitatifs spécifiques</w:t>
      </w:r>
      <w:r w:rsidR="00E34DC9">
        <w:rPr>
          <w:lang w:val="fr-FR"/>
        </w:rPr>
        <w:t> ;</w:t>
      </w:r>
      <w:r w:rsidRPr="00653BF4">
        <w:rPr>
          <w:lang w:val="fr-FR"/>
        </w:rPr>
        <w:t xml:space="preserve"> elle est toutefois étroitement liée aux cibles 2 et 3, qui comportent quant à elles des éléments quantitatifs, ainsi qu</w:t>
      </w:r>
      <w:r w:rsidR="00D77549">
        <w:rPr>
          <w:lang w:val="fr-FR"/>
        </w:rPr>
        <w:t>’</w:t>
      </w:r>
      <w:r w:rsidRPr="00653BF4">
        <w:rPr>
          <w:lang w:val="fr-FR"/>
        </w:rPr>
        <w:t>aux cibles 8 et 10.</w:t>
      </w:r>
    </w:p>
    <w:p w14:paraId="06CBD35E" w14:textId="77777777" w:rsidR="00B87039" w:rsidRPr="00653BF4" w:rsidRDefault="00B87039" w:rsidP="00B87039">
      <w:pPr>
        <w:rPr>
          <w:lang w:val="fr-FR"/>
        </w:rPr>
      </w:pPr>
    </w:p>
    <w:p w14:paraId="54787A70" w14:textId="55EE2365" w:rsidR="00B87039" w:rsidRPr="00653BF4" w:rsidRDefault="00B87039" w:rsidP="00B87039">
      <w:pPr>
        <w:pStyle w:val="Heading5"/>
        <w:rPr>
          <w:lang w:val="fr-FR"/>
        </w:rPr>
      </w:pPr>
      <w:bookmarkStart w:id="214" w:name="_Toc235821184"/>
      <w:r w:rsidRPr="00653BF4">
        <w:rPr>
          <w:lang w:val="fr-FR"/>
        </w:rPr>
        <w:t>Indicateurs de progrès</w:t>
      </w:r>
      <w:bookmarkEnd w:id="214"/>
    </w:p>
    <w:p w14:paraId="2CFE0ADB" w14:textId="77777777" w:rsidR="00B87039" w:rsidRPr="00653BF4" w:rsidRDefault="00B87039" w:rsidP="00B87039">
      <w:pPr>
        <w:pStyle w:val="Caption"/>
        <w:rPr>
          <w:i w:val="0"/>
          <w:iCs w:val="0"/>
          <w:sz w:val="20"/>
          <w:szCs w:val="20"/>
          <w:lang w:val="fr-FR"/>
        </w:rPr>
      </w:pPr>
    </w:p>
    <w:p w14:paraId="28F34A2D" w14:textId="77777777" w:rsidR="00B87039" w:rsidRPr="00653BF4" w:rsidRDefault="00B87039" w:rsidP="00B87039">
      <w:pPr>
        <w:pStyle w:val="Caption"/>
        <w:rPr>
          <w:i w:val="0"/>
          <w:sz w:val="20"/>
          <w:szCs w:val="20"/>
          <w:lang w:val="fr-FR"/>
        </w:rPr>
      </w:pPr>
      <w:r w:rsidRPr="00653BF4">
        <w:rPr>
          <w:i w:val="0"/>
          <w:iCs w:val="0"/>
          <w:sz w:val="20"/>
          <w:szCs w:val="20"/>
          <w:lang w:val="fr-FR"/>
        </w:rPr>
        <w:t xml:space="preserve">Tableau 25 </w:t>
      </w:r>
    </w:p>
    <w:p w14:paraId="1871794A" w14:textId="6FCB30D5"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1</w:t>
      </w:r>
      <w:r w:rsidRPr="00653BF4">
        <w:rPr>
          <w:b/>
          <w:bCs/>
          <w:i w:val="0"/>
          <w:iCs w:val="0"/>
          <w:sz w:val="20"/>
          <w:szCs w:val="20"/>
          <w:lang w:val="fr-FR"/>
        </w:rPr>
        <w:t>1 du Cadre</w:t>
      </w:r>
    </w:p>
    <w:p w14:paraId="5446D6A9" w14:textId="77777777" w:rsidR="00B87039" w:rsidRPr="00653BF4" w:rsidRDefault="00B87039" w:rsidP="00B87039">
      <w:pPr>
        <w:rPr>
          <w:lang w:val="fr-FR" w:eastAsia="ja-JP"/>
        </w:rPr>
      </w:pPr>
    </w:p>
    <w:tbl>
      <w:tblPr>
        <w:tblW w:w="9016" w:type="dxa"/>
        <w:tblLook w:val="04A0" w:firstRow="1" w:lastRow="0" w:firstColumn="1" w:lastColumn="0" w:noHBand="0" w:noVBand="1"/>
      </w:tblPr>
      <w:tblGrid>
        <w:gridCol w:w="2506"/>
        <w:gridCol w:w="1884"/>
        <w:gridCol w:w="708"/>
        <w:gridCol w:w="3261"/>
        <w:gridCol w:w="657"/>
      </w:tblGrid>
      <w:tr w:rsidR="00B87039" w:rsidRPr="00653BF4" w14:paraId="2BFA3091" w14:textId="77777777" w:rsidTr="00557FB3">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tcPr>
          <w:p w14:paraId="3CA5F5E0"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592" w:type="dxa"/>
            <w:gridSpan w:val="2"/>
            <w:tcBorders>
              <w:top w:val="single" w:sz="4" w:space="0" w:color="auto"/>
              <w:left w:val="nil"/>
              <w:bottom w:val="single" w:sz="4" w:space="0" w:color="auto"/>
              <w:right w:val="single" w:sz="4" w:space="0" w:color="auto"/>
            </w:tcBorders>
            <w:vAlign w:val="center"/>
          </w:tcPr>
          <w:p w14:paraId="45D65C1B" w14:textId="4EEF20DB" w:rsidR="00B87039" w:rsidRPr="00653BF4" w:rsidRDefault="00E04592"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3918" w:type="dxa"/>
            <w:gridSpan w:val="2"/>
            <w:tcBorders>
              <w:top w:val="single" w:sz="4" w:space="0" w:color="auto"/>
              <w:left w:val="single" w:sz="4" w:space="0" w:color="auto"/>
              <w:bottom w:val="single" w:sz="4" w:space="0" w:color="auto"/>
              <w:right w:val="single" w:sz="4" w:space="0" w:color="auto"/>
            </w:tcBorders>
            <w:vAlign w:val="center"/>
          </w:tcPr>
          <w:p w14:paraId="4B984775" w14:textId="5ABD6077" w:rsidR="00B87039" w:rsidRPr="00653BF4" w:rsidRDefault="00A443C9" w:rsidP="00557FB3">
            <w:pPr>
              <w:spacing w:after="0" w:line="240" w:lineRule="auto"/>
              <w:jc w:val="center"/>
              <w:rPr>
                <w:rFonts w:eastAsia="Times New Roman" w:cs="Calibri"/>
                <w:color w:val="000000"/>
                <w:kern w:val="0"/>
                <w:sz w:val="20"/>
                <w:szCs w:val="20"/>
                <w:lang w:val="fr-FR" w:eastAsia="en-CA"/>
                <w14:ligatures w14:val="none"/>
              </w:rPr>
            </w:pPr>
            <w:r>
              <w:rPr>
                <w:color w:val="000000"/>
                <w:sz w:val="20"/>
                <w:szCs w:val="20"/>
                <w:lang w:val="fr-FR"/>
              </w:rPr>
              <w:t>Résultats de l’indicateur</w:t>
            </w:r>
          </w:p>
        </w:tc>
      </w:tr>
      <w:tr w:rsidR="00B87039" w:rsidRPr="00543148" w14:paraId="174D3C7C" w14:textId="77777777" w:rsidTr="00557FB3">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25F515" w14:textId="7919FC39"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phare B.1</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services fournis par les écosystèmes</w:t>
            </w:r>
          </w:p>
        </w:tc>
        <w:tc>
          <w:tcPr>
            <w:tcW w:w="1884" w:type="dxa"/>
            <w:tcBorders>
              <w:top w:val="single" w:sz="4" w:space="0" w:color="auto"/>
              <w:left w:val="nil"/>
              <w:bottom w:val="single" w:sz="4" w:space="0" w:color="auto"/>
              <w:right w:val="single" w:sz="4" w:space="0" w:color="auto"/>
            </w:tcBorders>
            <w:vAlign w:val="center"/>
            <w:hideMark/>
          </w:tcPr>
          <w:p w14:paraId="2337E845" w14:textId="47B99451"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26</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708" w:type="dxa"/>
            <w:tcBorders>
              <w:top w:val="single" w:sz="4" w:space="0" w:color="auto"/>
              <w:left w:val="nil"/>
              <w:bottom w:val="single" w:sz="4" w:space="0" w:color="auto"/>
              <w:right w:val="nil"/>
            </w:tcBorders>
            <w:shd w:val="clear" w:color="auto" w:fill="FFC000"/>
            <w:vAlign w:val="center"/>
            <w:hideMark/>
          </w:tcPr>
          <w:p w14:paraId="32D6570A"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261" w:type="dxa"/>
            <w:tcBorders>
              <w:top w:val="single" w:sz="4" w:space="0" w:color="auto"/>
              <w:left w:val="single" w:sz="4" w:space="0" w:color="auto"/>
              <w:bottom w:val="single" w:sz="4" w:space="0" w:color="auto"/>
              <w:right w:val="single" w:sz="4" w:space="0" w:color="auto"/>
            </w:tcBorders>
            <w:vAlign w:val="center"/>
            <w:hideMark/>
          </w:tcPr>
          <w:p w14:paraId="63D5E868" w14:textId="680B3B5D"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Baisse globale de 2,5</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entre 2015 et 2023, période durant laquelle les services culturels ont augmenté tandis que les services de régulation et d</w:t>
            </w:r>
            <w:r w:rsidR="00D77549">
              <w:rPr>
                <w:rFonts w:eastAsia="Times New Roman" w:cs="Calibri"/>
                <w:color w:val="000000"/>
                <w:kern w:val="0"/>
                <w:sz w:val="20"/>
                <w:szCs w:val="20"/>
                <w:lang w:val="fr-FR"/>
                <w14:ligatures w14:val="none"/>
              </w:rPr>
              <w:t>’</w:t>
            </w:r>
            <w:r w:rsidRPr="00653BF4">
              <w:rPr>
                <w:rFonts w:eastAsia="Times New Roman" w:cs="Calibri"/>
                <w:color w:val="000000"/>
                <w:kern w:val="0"/>
                <w:sz w:val="20"/>
                <w:szCs w:val="20"/>
                <w:lang w:val="fr-FR"/>
                <w14:ligatures w14:val="none"/>
              </w:rPr>
              <w:t>approvisionnement ont diminué</w:t>
            </w:r>
          </w:p>
        </w:tc>
        <w:tc>
          <w:tcPr>
            <w:tcW w:w="657" w:type="dxa"/>
            <w:tcBorders>
              <w:top w:val="single" w:sz="4" w:space="0" w:color="auto"/>
              <w:left w:val="single" w:sz="4" w:space="0" w:color="auto"/>
              <w:bottom w:val="single" w:sz="4" w:space="0" w:color="auto"/>
              <w:right w:val="single" w:sz="4" w:space="0" w:color="auto"/>
            </w:tcBorders>
            <w:shd w:val="clear" w:color="auto" w:fill="FFC000"/>
            <w:vAlign w:val="center"/>
          </w:tcPr>
          <w:p w14:paraId="2041CC74"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tc>
      </w:tr>
      <w:tr w:rsidR="00B87039" w:rsidRPr="00543148" w14:paraId="3675F35E" w14:textId="77777777" w:rsidTr="00557FB3">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hideMark/>
          </w:tcPr>
          <w:p w14:paraId="09161952"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Tous les indicateurs quantitatifs combinés</w:t>
            </w:r>
          </w:p>
        </w:tc>
        <w:tc>
          <w:tcPr>
            <w:tcW w:w="1884" w:type="dxa"/>
            <w:tcBorders>
              <w:top w:val="nil"/>
              <w:left w:val="nil"/>
              <w:bottom w:val="single" w:sz="4" w:space="0" w:color="auto"/>
              <w:right w:val="single" w:sz="4" w:space="0" w:color="auto"/>
            </w:tcBorders>
            <w:vAlign w:val="center"/>
            <w:hideMark/>
          </w:tcPr>
          <w:p w14:paraId="2FD62213" w14:textId="71DED836"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42 Parties, 33</w:t>
            </w:r>
            <w:r w:rsidR="002878D7">
              <w:rPr>
                <w:rFonts w:eastAsia="Times New Roman" w:cs="Calibri"/>
                <w:color w:val="000000"/>
                <w:kern w:val="0"/>
                <w:sz w:val="20"/>
                <w:szCs w:val="20"/>
                <w:lang w:val="fr-FR"/>
                <w14:ligatures w14:val="none"/>
              </w:rPr>
              <w:t> %</w:t>
            </w:r>
          </w:p>
        </w:tc>
        <w:tc>
          <w:tcPr>
            <w:tcW w:w="708" w:type="dxa"/>
            <w:tcBorders>
              <w:top w:val="nil"/>
              <w:left w:val="nil"/>
              <w:bottom w:val="single" w:sz="4" w:space="0" w:color="auto"/>
              <w:right w:val="nil"/>
            </w:tcBorders>
            <w:shd w:val="clear" w:color="000000" w:fill="FFC000"/>
            <w:vAlign w:val="center"/>
            <w:hideMark/>
          </w:tcPr>
          <w:p w14:paraId="44E61116"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261" w:type="dxa"/>
            <w:tcBorders>
              <w:top w:val="nil"/>
              <w:left w:val="single" w:sz="4" w:space="0" w:color="auto"/>
              <w:bottom w:val="single" w:sz="4" w:space="0" w:color="auto"/>
              <w:right w:val="single" w:sz="4" w:space="0" w:color="auto"/>
            </w:tcBorders>
            <w:vAlign w:val="center"/>
            <w:hideMark/>
          </w:tcPr>
          <w:p w14:paraId="492A5F32" w14:textId="2775EB36"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33</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positives</w:t>
            </w:r>
          </w:p>
          <w:p w14:paraId="7992D1B5" w14:textId="672DC861"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15</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négatives</w:t>
            </w:r>
          </w:p>
        </w:tc>
        <w:tc>
          <w:tcPr>
            <w:tcW w:w="657" w:type="dxa"/>
            <w:tcBorders>
              <w:top w:val="nil"/>
              <w:left w:val="single" w:sz="4" w:space="0" w:color="auto"/>
              <w:bottom w:val="single" w:sz="4" w:space="0" w:color="auto"/>
              <w:right w:val="single" w:sz="4" w:space="0" w:color="auto"/>
            </w:tcBorders>
            <w:shd w:val="clear" w:color="auto" w:fill="FFC000"/>
            <w:vAlign w:val="center"/>
          </w:tcPr>
          <w:p w14:paraId="10841713"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034636D7" w14:textId="77777777" w:rsidTr="00557FB3">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tcPr>
          <w:p w14:paraId="66063137"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Notes</w:t>
            </w:r>
          </w:p>
        </w:tc>
        <w:tc>
          <w:tcPr>
            <w:tcW w:w="6510" w:type="dxa"/>
            <w:gridSpan w:val="4"/>
            <w:tcBorders>
              <w:top w:val="nil"/>
              <w:left w:val="nil"/>
              <w:bottom w:val="single" w:sz="4" w:space="0" w:color="auto"/>
              <w:right w:val="single" w:sz="4" w:space="0" w:color="auto"/>
            </w:tcBorders>
            <w:vAlign w:val="center"/>
          </w:tcPr>
          <w:p w14:paraId="169B038B"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p>
          <w:p w14:paraId="53E3A8F0" w14:textId="4800C35C"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De nombreuses communications ont utilisé à tort le dollar américain (ou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autres devises) au lieu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une valeur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indice pour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indicateur phare</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les devises seraient appropriées pour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 xml:space="preserve">indicateur de composante B.CT.3 (valeur totale des services écosystémiques en unités monétaires) </w:t>
            </w:r>
          </w:p>
          <w:p w14:paraId="5FD4D6ED"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p>
        </w:tc>
      </w:tr>
    </w:tbl>
    <w:p w14:paraId="37B2896F" w14:textId="77777777" w:rsidR="00B87039" w:rsidRPr="00653BF4" w:rsidRDefault="00B87039" w:rsidP="00B87039">
      <w:pPr>
        <w:pStyle w:val="p1"/>
        <w:rPr>
          <w:rFonts w:ascii="Aptos" w:hAnsi="Aptos"/>
          <w:sz w:val="24"/>
          <w:szCs w:val="24"/>
          <w:lang w:val="fr-FR"/>
        </w:rPr>
      </w:pPr>
    </w:p>
    <w:p w14:paraId="574F2B10" w14:textId="6A0EFBB3"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 xml:space="preserve">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w:t>
      </w:r>
      <w:r w:rsidRPr="00653BF4">
        <w:rPr>
          <w:sz w:val="16"/>
          <w:szCs w:val="16"/>
          <w:lang w:val="fr-FR"/>
        </w:rPr>
        <w:lastRenderedPageBreak/>
        <w:t>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1333D716" w14:textId="77777777" w:rsidR="00B87039" w:rsidRPr="00653BF4" w:rsidRDefault="00B87039" w:rsidP="00B87039">
      <w:pPr>
        <w:pStyle w:val="p1"/>
        <w:rPr>
          <w:rFonts w:ascii="Aptos" w:hAnsi="Aptos"/>
          <w:sz w:val="24"/>
          <w:szCs w:val="24"/>
          <w:lang w:val="fr-FR"/>
        </w:rPr>
      </w:pPr>
    </w:p>
    <w:p w14:paraId="46CF2B67" w14:textId="3CB49CB6" w:rsidR="00B87039" w:rsidRPr="00653BF4" w:rsidRDefault="00B87039" w:rsidP="00B87039">
      <w:pPr>
        <w:rPr>
          <w:rStyle w:val="normaltextrun"/>
          <w:rFonts w:cs="Segoe UI"/>
          <w:lang w:val="fr-FR"/>
        </w:rPr>
      </w:pPr>
      <w:r w:rsidRPr="00653BF4">
        <w:rPr>
          <w:rStyle w:val="normaltextrun"/>
          <w:rFonts w:cs="Segoe UI"/>
          <w:lang w:val="fr-FR"/>
        </w:rPr>
        <w:t>Parmi les Parties qui ont communiqué des données pour l</w:t>
      </w:r>
      <w:r w:rsidR="00D77549">
        <w:rPr>
          <w:rStyle w:val="normaltextrun"/>
          <w:rFonts w:cs="Segoe UI"/>
          <w:lang w:val="fr-FR"/>
        </w:rPr>
        <w:t>’</w:t>
      </w:r>
      <w:r w:rsidRPr="00653BF4">
        <w:rPr>
          <w:rStyle w:val="normaltextrun"/>
          <w:rFonts w:cs="Segoe UI"/>
          <w:lang w:val="fr-FR"/>
        </w:rPr>
        <w:t xml:space="preserve">indicateur phare B.1 (services fournis par les écosystèmes) (voir le tableau 25), seules sept ont fourni l’indice attendu des </w:t>
      </w:r>
      <w:r w:rsidR="00E34DC9">
        <w:rPr>
          <w:rStyle w:val="normaltextrun"/>
          <w:rFonts w:cs="Segoe UI"/>
          <w:lang w:val="fr-FR"/>
        </w:rPr>
        <w:t>« </w:t>
      </w:r>
      <w:r w:rsidRPr="00653BF4">
        <w:rPr>
          <w:rStyle w:val="normaltextrun"/>
          <w:rFonts w:cs="Segoe UI"/>
          <w:lang w:val="fr-FR"/>
        </w:rPr>
        <w:t>services fournis par les écosystèmes</w:t>
      </w:r>
      <w:r w:rsidR="00E34DC9">
        <w:rPr>
          <w:rStyle w:val="normaltextrun"/>
          <w:rFonts w:cs="Segoe UI"/>
          <w:lang w:val="fr-FR"/>
        </w:rPr>
        <w:t> »</w:t>
      </w:r>
      <w:r w:rsidRPr="00653BF4">
        <w:rPr>
          <w:rStyle w:val="normaltextrun"/>
          <w:rFonts w:cs="Segoe UI"/>
          <w:lang w:val="fr-FR"/>
        </w:rPr>
        <w:t>, pour lequel des orientations figuraient dans les métadonnées. De nombreuses contributions ont été fournies sous forme d</w:t>
      </w:r>
      <w:r w:rsidR="00D77549">
        <w:rPr>
          <w:rStyle w:val="normaltextrun"/>
          <w:rFonts w:cs="Segoe UI"/>
          <w:lang w:val="fr-FR"/>
        </w:rPr>
        <w:t>’</w:t>
      </w:r>
      <w:r w:rsidRPr="00653BF4">
        <w:rPr>
          <w:rStyle w:val="normaltextrun"/>
          <w:rFonts w:cs="Segoe UI"/>
          <w:lang w:val="fr-FR"/>
        </w:rPr>
        <w:t>unités brutes (par exemple, en tonnes métriques ou en mètres cubes) associées à des services écosystémiques spécifiques. Si la plupart des Parties indiquent avoir adopté le Système de comptabilité environnementale et économique – Comptabilité des écosystèmes (SCEE-CE)</w:t>
      </w:r>
      <w:r w:rsidRPr="00653BF4">
        <w:rPr>
          <w:rStyle w:val="FootnoteReference"/>
          <w:rFonts w:cs="Segoe UI"/>
          <w:lang w:val="fr-FR"/>
        </w:rPr>
        <w:footnoteReference w:id="32"/>
      </w:r>
      <w:r w:rsidRPr="00653BF4">
        <w:rPr>
          <w:rStyle w:val="normaltextrun"/>
          <w:rFonts w:cs="Segoe UI"/>
          <w:lang w:val="fr-FR"/>
        </w:rPr>
        <w:t>, nombre d’entre elles précisent que sa mise en œuvre en est encore aux phases d’expérimentation et de développement, ce qui signifie que les comptes relatifs aux écosystèmes et services écosystémiques sur lesquels repose l’indicateur ne sont pas encore disponibles. Parmi les Parties qui n</w:t>
      </w:r>
      <w:r w:rsidR="00D77549">
        <w:rPr>
          <w:rStyle w:val="normaltextrun"/>
          <w:rFonts w:cs="Segoe UI"/>
          <w:lang w:val="fr-FR"/>
        </w:rPr>
        <w:t>’</w:t>
      </w:r>
      <w:r w:rsidRPr="00653BF4">
        <w:rPr>
          <w:rStyle w:val="normaltextrun"/>
          <w:rFonts w:cs="Segoe UI"/>
          <w:lang w:val="fr-FR"/>
        </w:rPr>
        <w:t>ont pas inclus cet indice, nombreuses sont celles qui ont choisi de rendre compte des services liés aux forêts et au carbone, ainsi que des services liés à des secteurs productifs tels que la pêche.</w:t>
      </w:r>
    </w:p>
    <w:p w14:paraId="14C0E20A" w14:textId="1441089A" w:rsidR="00B87039" w:rsidRPr="00653BF4" w:rsidRDefault="00B87039" w:rsidP="00B87039">
      <w:pPr>
        <w:rPr>
          <w:rStyle w:val="normaltextrun"/>
          <w:rFonts w:cs="Segoe UI"/>
          <w:lang w:val="fr-FR"/>
        </w:rPr>
      </w:pPr>
      <w:r w:rsidRPr="00653BF4">
        <w:rPr>
          <w:rStyle w:val="normaltextrun"/>
          <w:rFonts w:cs="Segoe UI"/>
          <w:lang w:val="fr-FR"/>
        </w:rPr>
        <w:t>Pour les quelques Parties qui ont communiqué des données sur cet indicateur phare, les services écosystémiques ont, en moyenne, diminué entre 2015 et 2023, période pour laquelle des données étaient disponibles. Ces Parties ont fourni des données tant pour l</w:t>
      </w:r>
      <w:r w:rsidR="00D77549">
        <w:rPr>
          <w:rStyle w:val="normaltextrun"/>
          <w:rFonts w:cs="Segoe UI"/>
          <w:lang w:val="fr-FR"/>
        </w:rPr>
        <w:t>’</w:t>
      </w:r>
      <w:r w:rsidRPr="00653BF4">
        <w:rPr>
          <w:rStyle w:val="normaltextrun"/>
          <w:rFonts w:cs="Segoe UI"/>
          <w:lang w:val="fr-FR"/>
        </w:rPr>
        <w:t>agrégat global que pour les ventilations recommandées (catégories de services écosystémiques). Dans l</w:t>
      </w:r>
      <w:r w:rsidR="00D77549">
        <w:rPr>
          <w:rStyle w:val="normaltextrun"/>
          <w:rFonts w:cs="Segoe UI"/>
          <w:lang w:val="fr-FR"/>
        </w:rPr>
        <w:t>’</w:t>
      </w:r>
      <w:r w:rsidRPr="00653BF4">
        <w:rPr>
          <w:rStyle w:val="normaltextrun"/>
          <w:rFonts w:cs="Segoe UI"/>
          <w:lang w:val="fr-FR"/>
        </w:rPr>
        <w:t>ensemble, l</w:t>
      </w:r>
      <w:r w:rsidR="00D77549">
        <w:rPr>
          <w:rStyle w:val="normaltextrun"/>
          <w:rFonts w:cs="Segoe UI"/>
          <w:lang w:val="fr-FR"/>
        </w:rPr>
        <w:t>’</w:t>
      </w:r>
      <w:r w:rsidRPr="00653BF4">
        <w:rPr>
          <w:rStyle w:val="normaltextrun"/>
          <w:rFonts w:cs="Segoe UI"/>
          <w:lang w:val="fr-FR"/>
        </w:rPr>
        <w:t>indice des services écosystémiques a reculé, tout comme les données ventilées relatives aux services d</w:t>
      </w:r>
      <w:r w:rsidR="00D77549">
        <w:rPr>
          <w:rStyle w:val="normaltextrun"/>
          <w:rFonts w:cs="Segoe UI"/>
          <w:lang w:val="fr-FR"/>
        </w:rPr>
        <w:t>’</w:t>
      </w:r>
      <w:r w:rsidRPr="00653BF4">
        <w:rPr>
          <w:rStyle w:val="normaltextrun"/>
          <w:rFonts w:cs="Segoe UI"/>
          <w:lang w:val="fr-FR"/>
        </w:rPr>
        <w:t xml:space="preserve">approvisionnement et de régulation. </w:t>
      </w:r>
      <w:r w:rsidRPr="00653BF4">
        <w:rPr>
          <w:lang w:val="fr-FR"/>
        </w:rPr>
        <w:t>Les services culturels ont connu des fluctuations marquées d</w:t>
      </w:r>
      <w:r w:rsidR="00D77549">
        <w:rPr>
          <w:lang w:val="fr-FR"/>
        </w:rPr>
        <w:t>’</w:t>
      </w:r>
      <w:r w:rsidRPr="00653BF4">
        <w:rPr>
          <w:lang w:val="fr-FR"/>
        </w:rPr>
        <w:t>une année à l</w:t>
      </w:r>
      <w:r w:rsidR="00D77549">
        <w:rPr>
          <w:lang w:val="fr-FR"/>
        </w:rPr>
        <w:t>’</w:t>
      </w:r>
      <w:r w:rsidRPr="00653BF4">
        <w:rPr>
          <w:lang w:val="fr-FR"/>
        </w:rPr>
        <w:t>autre (voir la figures 49 et 50).</w:t>
      </w:r>
      <w:r w:rsidRPr="00653BF4">
        <w:rPr>
          <w:rStyle w:val="normaltextrun"/>
          <w:rFonts w:cs="Segoe UI"/>
          <w:lang w:val="fr-FR"/>
        </w:rPr>
        <w:t xml:space="preserve"> Toutefois, les données relatives à l</w:t>
      </w:r>
      <w:r w:rsidR="00D77549">
        <w:rPr>
          <w:rStyle w:val="normaltextrun"/>
          <w:rFonts w:cs="Segoe UI"/>
          <w:lang w:val="fr-FR"/>
        </w:rPr>
        <w:t>’</w:t>
      </w:r>
      <w:r w:rsidRPr="00653BF4">
        <w:rPr>
          <w:rStyle w:val="normaltextrun"/>
          <w:rFonts w:cs="Segoe UI"/>
          <w:lang w:val="fr-FR"/>
        </w:rPr>
        <w:t>indicateur phare peuvent uniquement être considérées comme expérimentales et ne reflètent pas les progrès collectifs, car très peu de Parties ont été en mesure de faire rapport en utilisant cet indice.</w:t>
      </w:r>
    </w:p>
    <w:p w14:paraId="46AC6862" w14:textId="5F33F786" w:rsidR="00B87039" w:rsidRPr="00653BF4" w:rsidRDefault="00B87039" w:rsidP="00B87039">
      <w:pPr>
        <w:rPr>
          <w:rStyle w:val="normaltextrun"/>
          <w:rFonts w:cs="Segoe UI"/>
          <w:lang w:val="fr-FR"/>
        </w:rPr>
      </w:pPr>
      <w:r w:rsidRPr="00653BF4">
        <w:rPr>
          <w:rStyle w:val="normaltextrun"/>
          <w:rFonts w:cs="Segoe UI"/>
          <w:lang w:val="fr-FR"/>
        </w:rPr>
        <w:t>Seul un tiers environ des indicateurs nationaux déclarés par les Parties correspondaient directement à des éléments de la cible. Les indicateurs harmonisés portaient principalement sur la qualité de l</w:t>
      </w:r>
      <w:r w:rsidR="00D77549">
        <w:rPr>
          <w:rStyle w:val="normaltextrun"/>
          <w:rFonts w:cs="Segoe UI"/>
          <w:lang w:val="fr-FR"/>
        </w:rPr>
        <w:t>’</w:t>
      </w:r>
      <w:r w:rsidRPr="00653BF4">
        <w:rPr>
          <w:rStyle w:val="normaltextrun"/>
          <w:rFonts w:cs="Segoe UI"/>
          <w:lang w:val="fr-FR"/>
        </w:rPr>
        <w:t>air et de l</w:t>
      </w:r>
      <w:r w:rsidR="00D77549">
        <w:rPr>
          <w:rStyle w:val="normaltextrun"/>
          <w:rFonts w:cs="Segoe UI"/>
          <w:lang w:val="fr-FR"/>
        </w:rPr>
        <w:t>’</w:t>
      </w:r>
      <w:r w:rsidRPr="00653BF4">
        <w:rPr>
          <w:rStyle w:val="normaltextrun"/>
          <w:rFonts w:cs="Segoe UI"/>
          <w:lang w:val="fr-FR"/>
        </w:rPr>
        <w:t xml:space="preserve">eau. Ainsi, bien que plusieurs Parties aient fourni des données sur les contributions de la nature aux populations, il n’a pas été possible de regrouper ces données afin de quantifier les progrès collectifs accomplis dans la réalisation de la </w:t>
      </w:r>
      <w:r w:rsidR="00E34DC9">
        <w:rPr>
          <w:rStyle w:val="normaltextrun"/>
          <w:rFonts w:cs="Segoe UI"/>
          <w:lang w:val="fr-FR"/>
        </w:rPr>
        <w:t>cible 1</w:t>
      </w:r>
      <w:r w:rsidRPr="00653BF4">
        <w:rPr>
          <w:rStyle w:val="normaltextrun"/>
          <w:rFonts w:cs="Segoe UI"/>
          <w:lang w:val="fr-FR"/>
        </w:rPr>
        <w:t xml:space="preserve">1. </w:t>
      </w:r>
      <w:r w:rsidRPr="00653BF4">
        <w:rPr>
          <w:lang w:val="fr-FR"/>
        </w:rPr>
        <w:t>L</w:t>
      </w:r>
      <w:r w:rsidR="00D77549">
        <w:rPr>
          <w:lang w:val="fr-FR"/>
        </w:rPr>
        <w:t>’</w:t>
      </w:r>
      <w:r w:rsidRPr="00653BF4">
        <w:rPr>
          <w:lang w:val="fr-FR"/>
        </w:rPr>
        <w:t>analyse des tendances de l</w:t>
      </w:r>
      <w:r w:rsidR="00D77549">
        <w:rPr>
          <w:lang w:val="fr-FR"/>
        </w:rPr>
        <w:t>’</w:t>
      </w:r>
      <w:r w:rsidRPr="00653BF4">
        <w:rPr>
          <w:lang w:val="fr-FR"/>
        </w:rPr>
        <w:t xml:space="preserve">ensemble des indicateurs déclarés par les Parties (voir la figure 51) fait apparaître des tendances nettement plus </w:t>
      </w:r>
      <w:r w:rsidRPr="00653BF4">
        <w:rPr>
          <w:lang w:val="fr-FR"/>
        </w:rPr>
        <w:lastRenderedPageBreak/>
        <w:t>positives (33</w:t>
      </w:r>
      <w:r w:rsidR="002878D7">
        <w:rPr>
          <w:lang w:val="fr-FR"/>
        </w:rPr>
        <w:t> %</w:t>
      </w:r>
      <w:r w:rsidRPr="00653BF4">
        <w:rPr>
          <w:lang w:val="fr-FR"/>
        </w:rPr>
        <w:t>) que négatives (15</w:t>
      </w:r>
      <w:r w:rsidR="002878D7">
        <w:rPr>
          <w:lang w:val="fr-FR"/>
        </w:rPr>
        <w:t> %</w:t>
      </w:r>
      <w:r w:rsidRPr="00653BF4">
        <w:rPr>
          <w:lang w:val="fr-FR"/>
        </w:rPr>
        <w:t>), principalement en ce qui concerne les services de régulation.</w:t>
      </w:r>
      <w:r w:rsidRPr="00653BF4">
        <w:rPr>
          <w:rStyle w:val="normaltextrun"/>
          <w:rFonts w:cs="Segoe UI"/>
          <w:lang w:val="fr-FR"/>
        </w:rPr>
        <w:t xml:space="preserve"> </w:t>
      </w:r>
    </w:p>
    <w:p w14:paraId="5F2D4DC4" w14:textId="77777777" w:rsidR="00B87039" w:rsidRPr="00653BF4" w:rsidRDefault="00B87039" w:rsidP="00B87039">
      <w:pPr>
        <w:rPr>
          <w:rStyle w:val="normaltextrun"/>
          <w:rFonts w:cs="Segoe UI"/>
          <w:lang w:val="fr-FR"/>
        </w:rPr>
      </w:pPr>
    </w:p>
    <w:p w14:paraId="680D540F" w14:textId="048943B8" w:rsidR="00B87039" w:rsidRPr="00653BF4" w:rsidRDefault="00B87039" w:rsidP="00B87039">
      <w:pPr>
        <w:rPr>
          <w:sz w:val="20"/>
          <w:szCs w:val="20"/>
          <w:lang w:val="fr-FR"/>
        </w:rPr>
      </w:pPr>
      <w:bookmarkStart w:id="215" w:name="_Ref230634515"/>
      <w:r w:rsidRPr="00653BF4">
        <w:rPr>
          <w:sz w:val="20"/>
          <w:szCs w:val="20"/>
          <w:lang w:val="fr-FR"/>
        </w:rPr>
        <w:t>Figure 49</w:t>
      </w:r>
      <w:bookmarkEnd w:id="215"/>
    </w:p>
    <w:p w14:paraId="625EA6F4" w14:textId="7BB7E5B0" w:rsidR="00B87039" w:rsidRDefault="00B87039" w:rsidP="00B87039">
      <w:pPr>
        <w:pStyle w:val="Caption"/>
        <w:rPr>
          <w:rStyle w:val="normaltextrun"/>
          <w:rFonts w:cs="Segoe UI"/>
          <w:b/>
          <w:bCs/>
          <w:i w:val="0"/>
          <w:iCs w:val="0"/>
          <w:sz w:val="20"/>
          <w:szCs w:val="20"/>
          <w:lang w:val="fr-FR"/>
        </w:rPr>
      </w:pPr>
      <w:r w:rsidRPr="00653BF4">
        <w:rPr>
          <w:rStyle w:val="normaltextrun"/>
          <w:rFonts w:cs="Segoe UI"/>
          <w:b/>
          <w:bCs/>
          <w:i w:val="0"/>
          <w:iCs w:val="0"/>
          <w:sz w:val="20"/>
          <w:szCs w:val="20"/>
          <w:lang w:val="fr-FR"/>
        </w:rPr>
        <w:t>Indicateur phare B.1</w:t>
      </w:r>
      <w:r w:rsidR="00E34DC9">
        <w:rPr>
          <w:rStyle w:val="normaltextrun"/>
          <w:rFonts w:cs="Segoe UI"/>
          <w:b/>
          <w:bCs/>
          <w:i w:val="0"/>
          <w:iCs w:val="0"/>
          <w:sz w:val="20"/>
          <w:szCs w:val="20"/>
          <w:lang w:val="fr-FR"/>
        </w:rPr>
        <w:t> :</w:t>
      </w:r>
      <w:r w:rsidRPr="00653BF4">
        <w:rPr>
          <w:rStyle w:val="normaltextrun"/>
          <w:rFonts w:cs="Segoe UI"/>
          <w:b/>
          <w:bCs/>
          <w:i w:val="0"/>
          <w:iCs w:val="0"/>
          <w:sz w:val="20"/>
          <w:szCs w:val="20"/>
          <w:lang w:val="fr-FR"/>
        </w:rPr>
        <w:t xml:space="preserve"> services fournis par les écosystèmes (tous les services présentés)</w:t>
      </w:r>
    </w:p>
    <w:p w14:paraId="725A8833" w14:textId="77777777" w:rsidR="00B87039" w:rsidRPr="00653BF4" w:rsidRDefault="00B87039" w:rsidP="00B87039">
      <w:pPr>
        <w:pStyle w:val="paragraph"/>
        <w:spacing w:before="0" w:beforeAutospacing="0" w:after="0" w:afterAutospacing="0"/>
        <w:textAlignment w:val="baseline"/>
        <w:rPr>
          <w:rStyle w:val="eop"/>
          <w:rFonts w:cs="Segoe UI"/>
          <w:lang w:val="fr-FR"/>
        </w:rPr>
      </w:pPr>
      <w:r w:rsidRPr="00653BF4">
        <w:rPr>
          <w:rStyle w:val="eop"/>
          <w:rFonts w:cs="Segoe UI"/>
          <w:lang w:val="fr-FR"/>
        </w:rPr>
        <w:t> </w:t>
      </w:r>
      <w:r w:rsidRPr="00653BF4">
        <w:rPr>
          <w:rFonts w:ascii="Aptos" w:hAnsi="Aptos" w:cs="Segoe UI"/>
          <w:noProof/>
          <w:sz w:val="18"/>
          <w:szCs w:val="18"/>
          <w:lang w:val="fr-FR"/>
          <w14:ligatures w14:val="standardContextual"/>
        </w:rPr>
        <w:drawing>
          <wp:inline distT="0" distB="0" distL="0" distR="0" wp14:anchorId="6144BFE3" wp14:editId="25825DB4">
            <wp:extent cx="5029200" cy="3772179"/>
            <wp:effectExtent l="0" t="0" r="0" b="0"/>
            <wp:docPr id="12721597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59747" name="Picture 1272159747"/>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058900" cy="3794456"/>
                    </a:xfrm>
                    <a:prstGeom prst="rect">
                      <a:avLst/>
                    </a:prstGeom>
                  </pic:spPr>
                </pic:pic>
              </a:graphicData>
            </a:graphic>
          </wp:inline>
        </w:drawing>
      </w:r>
    </w:p>
    <w:p w14:paraId="162804B7" w14:textId="00494E34" w:rsidR="00B87039" w:rsidRPr="00653BF4" w:rsidRDefault="00B87039" w:rsidP="00B87039">
      <w:pPr>
        <w:pStyle w:val="Caption"/>
        <w:rPr>
          <w:rStyle w:val="eop"/>
          <w:rFonts w:cs="Segoe UI"/>
          <w:i w:val="0"/>
          <w:iCs w:val="0"/>
          <w:lang w:val="fr-FR"/>
        </w:rPr>
      </w:pPr>
      <w:r w:rsidRPr="00653BF4">
        <w:rPr>
          <w:rStyle w:val="normaltextrun"/>
          <w:rFonts w:cs="Segoe UI"/>
          <w:i w:val="0"/>
          <w:iCs w:val="0"/>
          <w:lang w:val="fr-FR"/>
        </w:rPr>
        <w:t>Note</w:t>
      </w:r>
      <w:r w:rsidR="00E34DC9">
        <w:rPr>
          <w:rStyle w:val="normaltextrun"/>
          <w:rFonts w:cs="Segoe UI"/>
          <w:i w:val="0"/>
          <w:iCs w:val="0"/>
          <w:lang w:val="fr-FR"/>
        </w:rPr>
        <w:t> :</w:t>
      </w:r>
      <w:r w:rsidRPr="00653BF4">
        <w:rPr>
          <w:rStyle w:val="normaltextrun"/>
          <w:rFonts w:cs="Segoe UI"/>
          <w:i w:val="0"/>
          <w:iCs w:val="0"/>
          <w:lang w:val="fr-FR"/>
        </w:rPr>
        <w:t xml:space="preserve"> Les valeurs de l</w:t>
      </w:r>
      <w:r w:rsidR="00D77549">
        <w:rPr>
          <w:rStyle w:val="normaltextrun"/>
          <w:rFonts w:cs="Segoe UI"/>
          <w:i w:val="0"/>
          <w:iCs w:val="0"/>
          <w:lang w:val="fr-FR"/>
        </w:rPr>
        <w:t>’</w:t>
      </w:r>
      <w:r w:rsidRPr="00653BF4">
        <w:rPr>
          <w:rStyle w:val="normaltextrun"/>
          <w:rFonts w:cs="Segoe UI"/>
          <w:i w:val="0"/>
          <w:iCs w:val="0"/>
          <w:lang w:val="fr-FR"/>
        </w:rPr>
        <w:t>indicateur correspondent à la moyenne générale et à l’écart interquartile des données communiquées chaque année par les Parties.</w:t>
      </w:r>
      <w:r w:rsidRPr="00653BF4">
        <w:rPr>
          <w:i w:val="0"/>
          <w:iCs w:val="0"/>
          <w:lang w:val="fr-FR"/>
        </w:rPr>
        <w:t xml:space="preserve"> Le diagramme à barres de droite présente la répartition, par région, des Parties ayant communiqué des données.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 Il est à noter que la représentation régionale de cet indicateur est extrêmement limitée et présente un biais spatial.</w:t>
      </w:r>
      <w:r w:rsidRPr="00653BF4">
        <w:rPr>
          <w:rStyle w:val="eop"/>
          <w:rFonts w:cs="Segoe UI"/>
          <w:i w:val="0"/>
          <w:iCs w:val="0"/>
          <w:lang w:val="fr-FR"/>
        </w:rPr>
        <w:t> </w:t>
      </w:r>
    </w:p>
    <w:tbl>
      <w:tblPr>
        <w:tblStyle w:val="TableGrid"/>
        <w:tblW w:w="9472" w:type="dxa"/>
        <w:tblLook w:val="04A0" w:firstRow="1" w:lastRow="0" w:firstColumn="1" w:lastColumn="0" w:noHBand="0" w:noVBand="1"/>
      </w:tblPr>
      <w:tblGrid>
        <w:gridCol w:w="4482"/>
        <w:gridCol w:w="4981"/>
        <w:gridCol w:w="9"/>
      </w:tblGrid>
      <w:tr w:rsidR="00735F5E" w:rsidRPr="006F7AF8" w14:paraId="3334469B" w14:textId="77777777" w:rsidTr="009B4355">
        <w:tc>
          <w:tcPr>
            <w:tcW w:w="9472" w:type="dxa"/>
            <w:gridSpan w:val="3"/>
          </w:tcPr>
          <w:p w14:paraId="02092099" w14:textId="77777777" w:rsidR="00735F5E" w:rsidRPr="006F7AF8" w:rsidRDefault="00735F5E" w:rsidP="009B4355">
            <w:pPr>
              <w:rPr>
                <w:rFonts w:ascii="Aptos" w:hAnsi="Aptos"/>
                <w:lang w:val="fr-FR"/>
              </w:rPr>
            </w:pPr>
            <w:r>
              <w:rPr>
                <w:rFonts w:ascii="Aptos" w:hAnsi="Aptos"/>
                <w:lang w:val="fr-FR"/>
              </w:rPr>
              <w:t>Figure 49</w:t>
            </w:r>
          </w:p>
        </w:tc>
      </w:tr>
      <w:tr w:rsidR="00735F5E" w:rsidRPr="00CC3878" w14:paraId="73E4E057" w14:textId="77777777" w:rsidTr="009B4355">
        <w:trPr>
          <w:gridAfter w:val="1"/>
          <w:wAfter w:w="9" w:type="dxa"/>
        </w:trPr>
        <w:tc>
          <w:tcPr>
            <w:tcW w:w="4482" w:type="dxa"/>
          </w:tcPr>
          <w:p w14:paraId="7785648D" w14:textId="77777777" w:rsidR="00735F5E" w:rsidRPr="00CC3878" w:rsidRDefault="00735F5E" w:rsidP="009B4355">
            <w:pPr>
              <w:rPr>
                <w:rFonts w:ascii="Aptos" w:hAnsi="Aptos"/>
                <w:lang w:val="fr-FR"/>
              </w:rPr>
            </w:pPr>
            <w:r w:rsidRPr="00CC3878">
              <w:rPr>
                <w:rFonts w:ascii="Aptos" w:hAnsi="Aptos"/>
                <w:lang w:val="fr-FR"/>
              </w:rPr>
              <w:t xml:space="preserve">English </w:t>
            </w:r>
          </w:p>
        </w:tc>
        <w:tc>
          <w:tcPr>
            <w:tcW w:w="4981" w:type="dxa"/>
          </w:tcPr>
          <w:p w14:paraId="536F6790" w14:textId="77777777" w:rsidR="00735F5E" w:rsidRPr="00CC3878" w:rsidRDefault="00735F5E" w:rsidP="009B4355">
            <w:pPr>
              <w:rPr>
                <w:rFonts w:ascii="Aptos" w:hAnsi="Aptos"/>
                <w:lang w:val="fr-FR"/>
              </w:rPr>
            </w:pPr>
            <w:r>
              <w:rPr>
                <w:rFonts w:ascii="Aptos" w:hAnsi="Aptos"/>
                <w:lang w:val="fr-FR"/>
              </w:rPr>
              <w:t>Français</w:t>
            </w:r>
          </w:p>
        </w:tc>
      </w:tr>
      <w:tr w:rsidR="00735F5E" w:rsidRPr="006F7AF8" w14:paraId="6F14C491" w14:textId="77777777" w:rsidTr="009B4355">
        <w:trPr>
          <w:gridAfter w:val="1"/>
          <w:wAfter w:w="9" w:type="dxa"/>
        </w:trPr>
        <w:tc>
          <w:tcPr>
            <w:tcW w:w="4482" w:type="dxa"/>
          </w:tcPr>
          <w:p w14:paraId="2E7F726D" w14:textId="77777777" w:rsidR="00735F5E" w:rsidRPr="006F7AF8" w:rsidRDefault="00735F5E" w:rsidP="009B4355">
            <w:pPr>
              <w:rPr>
                <w:rFonts w:ascii="Aptos" w:hAnsi="Aptos"/>
                <w:lang w:val="fr-FR"/>
              </w:rPr>
            </w:pPr>
            <w:r w:rsidRPr="006F7AF8">
              <w:rPr>
                <w:rFonts w:ascii="Aptos" w:hAnsi="Aptos"/>
                <w:lang w:val="fr-FR"/>
              </w:rPr>
              <w:t>Services provided by ecosystems (index)</w:t>
            </w:r>
          </w:p>
        </w:tc>
        <w:tc>
          <w:tcPr>
            <w:tcW w:w="4981" w:type="dxa"/>
          </w:tcPr>
          <w:p w14:paraId="6A558D25" w14:textId="77777777" w:rsidR="00735F5E" w:rsidRPr="006F7AF8" w:rsidRDefault="00735F5E" w:rsidP="009B4355">
            <w:pPr>
              <w:rPr>
                <w:rFonts w:ascii="Aptos" w:hAnsi="Aptos"/>
                <w:lang w:val="fr-FR"/>
              </w:rPr>
            </w:pPr>
            <w:r w:rsidRPr="006F7AF8">
              <w:rPr>
                <w:rFonts w:ascii="Aptos" w:hAnsi="Aptos"/>
                <w:lang w:val="fr-FR"/>
              </w:rPr>
              <w:t>Services fournis par les écosystèmes (indice)</w:t>
            </w:r>
          </w:p>
        </w:tc>
      </w:tr>
      <w:tr w:rsidR="00735F5E" w:rsidRPr="006F7AF8" w14:paraId="07EB8A7F" w14:textId="77777777" w:rsidTr="009B4355">
        <w:trPr>
          <w:gridAfter w:val="1"/>
          <w:wAfter w:w="9" w:type="dxa"/>
        </w:trPr>
        <w:tc>
          <w:tcPr>
            <w:tcW w:w="4482" w:type="dxa"/>
          </w:tcPr>
          <w:p w14:paraId="0AC5DFBF" w14:textId="77777777" w:rsidR="00735F5E" w:rsidRPr="006F7AF8" w:rsidRDefault="00735F5E" w:rsidP="009B4355">
            <w:pPr>
              <w:rPr>
                <w:rFonts w:ascii="Aptos" w:hAnsi="Aptos"/>
                <w:lang w:val="fr-FR"/>
              </w:rPr>
            </w:pPr>
            <w:r w:rsidRPr="006F7AF8">
              <w:rPr>
                <w:rFonts w:ascii="Aptos" w:hAnsi="Aptos"/>
                <w:lang w:val="fr-FR"/>
              </w:rPr>
              <w:t>Year</w:t>
            </w:r>
          </w:p>
        </w:tc>
        <w:tc>
          <w:tcPr>
            <w:tcW w:w="4981" w:type="dxa"/>
          </w:tcPr>
          <w:p w14:paraId="6425599B" w14:textId="77777777" w:rsidR="00735F5E" w:rsidRPr="006F7AF8" w:rsidRDefault="00735F5E" w:rsidP="009B4355">
            <w:pPr>
              <w:rPr>
                <w:rFonts w:ascii="Aptos" w:hAnsi="Aptos"/>
                <w:lang w:val="fr-FR"/>
              </w:rPr>
            </w:pPr>
            <w:r w:rsidRPr="006F7AF8">
              <w:rPr>
                <w:rFonts w:ascii="Aptos" w:hAnsi="Aptos"/>
                <w:lang w:val="fr-FR"/>
              </w:rPr>
              <w:t>Année</w:t>
            </w:r>
          </w:p>
        </w:tc>
      </w:tr>
      <w:tr w:rsidR="00735F5E" w:rsidRPr="006F7AF8" w14:paraId="15E563BA" w14:textId="77777777" w:rsidTr="009B4355">
        <w:trPr>
          <w:gridAfter w:val="1"/>
          <w:wAfter w:w="9" w:type="dxa"/>
        </w:trPr>
        <w:tc>
          <w:tcPr>
            <w:tcW w:w="4482" w:type="dxa"/>
          </w:tcPr>
          <w:p w14:paraId="722CCEEC" w14:textId="77777777" w:rsidR="00735F5E" w:rsidRPr="006F7AF8" w:rsidRDefault="00735F5E" w:rsidP="009B4355">
            <w:pPr>
              <w:rPr>
                <w:rFonts w:ascii="Aptos" w:hAnsi="Aptos"/>
                <w:lang w:val="fr-FR"/>
              </w:rPr>
            </w:pPr>
            <w:r w:rsidRPr="006F7AF8">
              <w:rPr>
                <w:rFonts w:ascii="Aptos" w:hAnsi="Aptos"/>
                <w:lang w:val="fr-FR"/>
              </w:rPr>
              <w:t>Party count: 7</w:t>
            </w:r>
          </w:p>
        </w:tc>
        <w:tc>
          <w:tcPr>
            <w:tcW w:w="4981" w:type="dxa"/>
          </w:tcPr>
          <w:p w14:paraId="3C0B3B0E" w14:textId="77777777" w:rsidR="00735F5E" w:rsidRPr="006F7AF8" w:rsidRDefault="00735F5E" w:rsidP="009B4355">
            <w:pPr>
              <w:rPr>
                <w:rFonts w:ascii="Aptos" w:hAnsi="Aptos"/>
                <w:lang w:val="fr-FR"/>
              </w:rPr>
            </w:pPr>
            <w:r w:rsidRPr="006F7AF8">
              <w:rPr>
                <w:rFonts w:ascii="Aptos" w:hAnsi="Aptos"/>
                <w:lang w:val="fr-FR"/>
              </w:rPr>
              <w:t>Nombre de Parties : 7</w:t>
            </w:r>
          </w:p>
        </w:tc>
      </w:tr>
      <w:tr w:rsidR="00735F5E" w:rsidRPr="006F7AF8" w14:paraId="19A7D219" w14:textId="77777777" w:rsidTr="009B4355">
        <w:trPr>
          <w:gridAfter w:val="1"/>
          <w:wAfter w:w="9" w:type="dxa"/>
        </w:trPr>
        <w:tc>
          <w:tcPr>
            <w:tcW w:w="4482" w:type="dxa"/>
          </w:tcPr>
          <w:p w14:paraId="1C2F8FAB" w14:textId="77777777" w:rsidR="00735F5E" w:rsidRPr="006F7AF8" w:rsidRDefault="00735F5E" w:rsidP="009B4355">
            <w:pPr>
              <w:rPr>
                <w:rFonts w:ascii="Aptos" w:hAnsi="Aptos"/>
                <w:lang w:val="fr-FR"/>
              </w:rPr>
            </w:pPr>
            <w:r w:rsidRPr="006F7AF8">
              <w:rPr>
                <w:rFonts w:ascii="Aptos" w:hAnsi="Aptos"/>
                <w:lang w:val="fr-FR"/>
              </w:rPr>
              <w:t>Party count by region</w:t>
            </w:r>
          </w:p>
        </w:tc>
        <w:tc>
          <w:tcPr>
            <w:tcW w:w="4981" w:type="dxa"/>
          </w:tcPr>
          <w:p w14:paraId="67A75654" w14:textId="77777777" w:rsidR="00735F5E" w:rsidRPr="006F7AF8" w:rsidRDefault="00735F5E" w:rsidP="009B4355">
            <w:pPr>
              <w:rPr>
                <w:rFonts w:ascii="Aptos" w:hAnsi="Aptos"/>
                <w:lang w:val="fr-FR"/>
              </w:rPr>
            </w:pPr>
            <w:r w:rsidRPr="006F7AF8">
              <w:rPr>
                <w:rFonts w:ascii="Aptos" w:hAnsi="Aptos"/>
                <w:lang w:val="fr-FR"/>
              </w:rPr>
              <w:t>Nombre de Parties par région</w:t>
            </w:r>
          </w:p>
        </w:tc>
      </w:tr>
      <w:tr w:rsidR="00735F5E" w:rsidRPr="006F7AF8" w14:paraId="74DD2C18" w14:textId="77777777" w:rsidTr="009B4355">
        <w:trPr>
          <w:gridAfter w:val="1"/>
          <w:wAfter w:w="9" w:type="dxa"/>
        </w:trPr>
        <w:tc>
          <w:tcPr>
            <w:tcW w:w="4482" w:type="dxa"/>
          </w:tcPr>
          <w:p w14:paraId="5633CD0A" w14:textId="77777777" w:rsidR="00735F5E" w:rsidRPr="006F7AF8" w:rsidRDefault="00735F5E" w:rsidP="009B4355">
            <w:pPr>
              <w:rPr>
                <w:rFonts w:ascii="Aptos" w:hAnsi="Aptos"/>
                <w:lang w:val="fr-FR"/>
              </w:rPr>
            </w:pPr>
            <w:r w:rsidRPr="006F7AF8">
              <w:rPr>
                <w:rFonts w:ascii="Aptos" w:hAnsi="Aptos"/>
                <w:lang w:val="fr-FR"/>
              </w:rPr>
              <w:t>Region</w:t>
            </w:r>
          </w:p>
        </w:tc>
        <w:tc>
          <w:tcPr>
            <w:tcW w:w="4981" w:type="dxa"/>
          </w:tcPr>
          <w:p w14:paraId="1C4DEF2C"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59CE08CF" w14:textId="77777777" w:rsidTr="009B4355">
        <w:trPr>
          <w:gridAfter w:val="1"/>
          <w:wAfter w:w="9" w:type="dxa"/>
        </w:trPr>
        <w:tc>
          <w:tcPr>
            <w:tcW w:w="4482" w:type="dxa"/>
          </w:tcPr>
          <w:p w14:paraId="63F18F00" w14:textId="77777777" w:rsidR="00735F5E" w:rsidRPr="006F7AF8" w:rsidRDefault="00735F5E" w:rsidP="009B4355">
            <w:pPr>
              <w:rPr>
                <w:rFonts w:ascii="Aptos" w:hAnsi="Aptos"/>
                <w:lang w:val="fr-FR"/>
              </w:rPr>
            </w:pPr>
            <w:r w:rsidRPr="006F7AF8">
              <w:rPr>
                <w:rFonts w:ascii="Aptos" w:hAnsi="Aptos"/>
                <w:lang w:val="fr-FR"/>
              </w:rPr>
              <w:t>African States</w:t>
            </w:r>
          </w:p>
        </w:tc>
        <w:tc>
          <w:tcPr>
            <w:tcW w:w="4981" w:type="dxa"/>
          </w:tcPr>
          <w:p w14:paraId="4507DD9F"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1A397DE2" w14:textId="77777777" w:rsidTr="009B4355">
        <w:trPr>
          <w:gridAfter w:val="1"/>
          <w:wAfter w:w="9" w:type="dxa"/>
        </w:trPr>
        <w:tc>
          <w:tcPr>
            <w:tcW w:w="4482" w:type="dxa"/>
          </w:tcPr>
          <w:p w14:paraId="5034C431"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981" w:type="dxa"/>
          </w:tcPr>
          <w:p w14:paraId="13576139"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7401A2D1" w14:textId="77777777" w:rsidTr="009B4355">
        <w:trPr>
          <w:gridAfter w:val="1"/>
          <w:wAfter w:w="9" w:type="dxa"/>
        </w:trPr>
        <w:tc>
          <w:tcPr>
            <w:tcW w:w="4482" w:type="dxa"/>
          </w:tcPr>
          <w:p w14:paraId="2A9F0718"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981" w:type="dxa"/>
          </w:tcPr>
          <w:p w14:paraId="31DFDBD7"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31DF2558" w14:textId="77777777" w:rsidTr="009B4355">
        <w:trPr>
          <w:gridAfter w:val="1"/>
          <w:wAfter w:w="9" w:type="dxa"/>
        </w:trPr>
        <w:tc>
          <w:tcPr>
            <w:tcW w:w="4482" w:type="dxa"/>
          </w:tcPr>
          <w:p w14:paraId="7DD01259" w14:textId="77777777" w:rsidR="00735F5E" w:rsidRPr="006F7AF8" w:rsidRDefault="00735F5E" w:rsidP="009B4355">
            <w:pPr>
              <w:rPr>
                <w:rFonts w:ascii="Aptos" w:hAnsi="Aptos"/>
                <w:lang w:val="fr-FR"/>
              </w:rPr>
            </w:pPr>
            <w:r w:rsidRPr="006F7AF8">
              <w:rPr>
                <w:rFonts w:ascii="Aptos" w:hAnsi="Aptos"/>
                <w:lang w:val="fr-FR"/>
              </w:rPr>
              <w:lastRenderedPageBreak/>
              <w:t>Eastern European States</w:t>
            </w:r>
          </w:p>
        </w:tc>
        <w:tc>
          <w:tcPr>
            <w:tcW w:w="4981" w:type="dxa"/>
          </w:tcPr>
          <w:p w14:paraId="325CEC39"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576E4B4F" w14:textId="77777777" w:rsidTr="009B4355">
        <w:trPr>
          <w:gridAfter w:val="1"/>
          <w:wAfter w:w="9" w:type="dxa"/>
        </w:trPr>
        <w:tc>
          <w:tcPr>
            <w:tcW w:w="4482" w:type="dxa"/>
          </w:tcPr>
          <w:p w14:paraId="58A86441"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981" w:type="dxa"/>
          </w:tcPr>
          <w:p w14:paraId="4F1AEFCC"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849A172" w14:textId="77777777" w:rsidR="00B87039" w:rsidRPr="00653BF4" w:rsidRDefault="00B87039" w:rsidP="00B87039">
      <w:pPr>
        <w:rPr>
          <w:lang w:val="fr-FR" w:eastAsia="ja-JP"/>
        </w:rPr>
      </w:pPr>
    </w:p>
    <w:p w14:paraId="5BC35865" w14:textId="77777777" w:rsidR="00B87039" w:rsidRPr="00653BF4" w:rsidRDefault="00B87039" w:rsidP="00B87039">
      <w:pPr>
        <w:rPr>
          <w:sz w:val="20"/>
          <w:szCs w:val="20"/>
          <w:lang w:val="fr-FR"/>
        </w:rPr>
      </w:pPr>
      <w:r w:rsidRPr="00653BF4">
        <w:rPr>
          <w:sz w:val="20"/>
          <w:szCs w:val="20"/>
          <w:lang w:val="fr-FR"/>
        </w:rPr>
        <w:t>Figure 50</w:t>
      </w:r>
    </w:p>
    <w:p w14:paraId="70230D8E" w14:textId="327EE628" w:rsidR="00B87039" w:rsidRPr="00653BF4" w:rsidRDefault="00B87039" w:rsidP="00B87039">
      <w:pPr>
        <w:pStyle w:val="Caption"/>
        <w:rPr>
          <w:rStyle w:val="normaltextrun"/>
          <w:rFonts w:cs="Segoe UI"/>
          <w:b/>
          <w:bCs/>
          <w:i w:val="0"/>
          <w:iCs w:val="0"/>
          <w:sz w:val="20"/>
          <w:szCs w:val="20"/>
          <w:lang w:val="fr-FR"/>
        </w:rPr>
      </w:pPr>
      <w:r w:rsidRPr="00653BF4">
        <w:rPr>
          <w:rStyle w:val="normaltextrun"/>
          <w:rFonts w:cs="Segoe UI"/>
          <w:b/>
          <w:bCs/>
          <w:i w:val="0"/>
          <w:iCs w:val="0"/>
          <w:sz w:val="20"/>
          <w:szCs w:val="20"/>
          <w:lang w:val="fr-FR"/>
        </w:rPr>
        <w:t>Indicateur phare B.1</w:t>
      </w:r>
      <w:r w:rsidR="00E34DC9">
        <w:rPr>
          <w:rStyle w:val="normaltextrun"/>
          <w:rFonts w:cs="Segoe UI"/>
          <w:b/>
          <w:bCs/>
          <w:i w:val="0"/>
          <w:iCs w:val="0"/>
          <w:sz w:val="20"/>
          <w:szCs w:val="20"/>
          <w:lang w:val="fr-FR"/>
        </w:rPr>
        <w:t> :</w:t>
      </w:r>
      <w:r w:rsidRPr="00653BF4">
        <w:rPr>
          <w:rStyle w:val="normaltextrun"/>
          <w:rFonts w:cs="Segoe UI"/>
          <w:b/>
          <w:bCs/>
          <w:i w:val="0"/>
          <w:iCs w:val="0"/>
          <w:sz w:val="20"/>
          <w:szCs w:val="20"/>
          <w:lang w:val="fr-FR"/>
        </w:rPr>
        <w:t xml:space="preserve"> services fournis par les écosystèmes (ventilés par catégorie de services écosystémiques)</w:t>
      </w:r>
    </w:p>
    <w:p w14:paraId="7819A6F8" w14:textId="77777777" w:rsidR="00B87039" w:rsidRPr="00653BF4" w:rsidRDefault="00B87039" w:rsidP="00B87039">
      <w:pPr>
        <w:pStyle w:val="paragraph"/>
        <w:spacing w:before="0" w:beforeAutospacing="0" w:after="0" w:afterAutospacing="0"/>
        <w:textAlignment w:val="baseline"/>
        <w:rPr>
          <w:rFonts w:ascii="Aptos" w:hAnsi="Aptos" w:cs="Segoe UI"/>
          <w:sz w:val="18"/>
          <w:szCs w:val="18"/>
          <w:lang w:val="fr-FR"/>
        </w:rPr>
      </w:pPr>
      <w:r w:rsidRPr="00653BF4">
        <w:rPr>
          <w:rFonts w:ascii="Aptos" w:hAnsi="Aptos" w:cs="Segoe UI"/>
          <w:noProof/>
          <w:sz w:val="18"/>
          <w:szCs w:val="18"/>
          <w:lang w:val="fr-FR"/>
          <w14:ligatures w14:val="standardContextual"/>
        </w:rPr>
        <w:drawing>
          <wp:inline distT="0" distB="0" distL="0" distR="0" wp14:anchorId="15518DFF" wp14:editId="74C12DAD">
            <wp:extent cx="4666004" cy="3499761"/>
            <wp:effectExtent l="0" t="0" r="0" b="5715"/>
            <wp:docPr id="2077512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12928" name="Picture 2077512928"/>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4687517" cy="3515897"/>
                    </a:xfrm>
                    <a:prstGeom prst="rect">
                      <a:avLst/>
                    </a:prstGeom>
                  </pic:spPr>
                </pic:pic>
              </a:graphicData>
            </a:graphic>
          </wp:inline>
        </w:drawing>
      </w:r>
    </w:p>
    <w:p w14:paraId="0B2781AA" w14:textId="03E108CB" w:rsidR="00B87039" w:rsidRPr="00653BF4" w:rsidRDefault="00B87039" w:rsidP="00B87039">
      <w:pPr>
        <w:pStyle w:val="Caption"/>
        <w:rPr>
          <w:rStyle w:val="eop"/>
          <w:rFonts w:cs="Segoe UI"/>
          <w:lang w:val="fr-FR"/>
        </w:rPr>
      </w:pPr>
      <w:r w:rsidRPr="00653BF4">
        <w:rPr>
          <w:rStyle w:val="normaltextrun"/>
          <w:rFonts w:cs="Segoe UI"/>
          <w:lang w:val="fr-FR"/>
        </w:rPr>
        <w:t>Note</w:t>
      </w:r>
      <w:r w:rsidR="00E34DC9">
        <w:rPr>
          <w:rStyle w:val="normaltextrun"/>
          <w:rFonts w:cs="Segoe UI"/>
          <w:lang w:val="fr-FR"/>
        </w:rPr>
        <w:t> :</w:t>
      </w:r>
      <w:r w:rsidRPr="00653BF4">
        <w:rPr>
          <w:rStyle w:val="normaltextrun"/>
          <w:rFonts w:cs="Segoe UI"/>
          <w:i w:val="0"/>
          <w:iCs w:val="0"/>
          <w:lang w:val="fr-FR"/>
        </w:rPr>
        <w:t xml:space="preserve"> Les valeurs de l</w:t>
      </w:r>
      <w:r w:rsidR="00D77549">
        <w:rPr>
          <w:rStyle w:val="normaltextrun"/>
          <w:rFonts w:cs="Segoe UI"/>
          <w:i w:val="0"/>
          <w:iCs w:val="0"/>
          <w:lang w:val="fr-FR"/>
        </w:rPr>
        <w:t>’</w:t>
      </w:r>
      <w:r w:rsidRPr="00653BF4">
        <w:rPr>
          <w:rStyle w:val="normaltextrun"/>
          <w:rFonts w:cs="Segoe UI"/>
          <w:i w:val="0"/>
          <w:iCs w:val="0"/>
          <w:lang w:val="fr-FR"/>
        </w:rPr>
        <w:t>indicateur correspondent à la moyenne générale et à l’écart interquartile des données communiquées chaque année par les Parties</w:t>
      </w:r>
      <w:r w:rsidRPr="00653BF4">
        <w:rPr>
          <w:rStyle w:val="apple-converted-space"/>
          <w:rFonts w:cs="Segoe UI"/>
          <w:i w:val="0"/>
          <w:iCs w:val="0"/>
          <w:lang w:val="fr-FR"/>
        </w:rPr>
        <w:t xml:space="preserve"> pour chacune des trois catégories de services écosystémiques.</w:t>
      </w:r>
      <w:r w:rsidRPr="00653BF4">
        <w:rPr>
          <w:i w:val="0"/>
          <w:iCs w:val="0"/>
          <w:lang w:val="fr-FR"/>
        </w:rPr>
        <w:t xml:space="preserve"> Le diagramme à barres de droite présente la répartition, par région, des Parties ayant communiqué des données.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 Il est à noter que la représentation régionale de cet indicateur est extrêmement limitée et présente un biais spatial.</w:t>
      </w:r>
      <w:r w:rsidRPr="00653BF4">
        <w:rPr>
          <w:rStyle w:val="eop"/>
          <w:rFonts w:cs="Segoe UI"/>
          <w:i w:val="0"/>
          <w:iCs w:val="0"/>
          <w:lang w:val="fr-FR"/>
        </w:rPr>
        <w:t xml:space="preserve"> </w:t>
      </w:r>
    </w:p>
    <w:tbl>
      <w:tblPr>
        <w:tblStyle w:val="TableGrid"/>
        <w:tblW w:w="9463" w:type="dxa"/>
        <w:tblLook w:val="04A0" w:firstRow="1" w:lastRow="0" w:firstColumn="1" w:lastColumn="0" w:noHBand="0" w:noVBand="1"/>
      </w:tblPr>
      <w:tblGrid>
        <w:gridCol w:w="4504"/>
        <w:gridCol w:w="4959"/>
      </w:tblGrid>
      <w:tr w:rsidR="00735F5E" w:rsidRPr="006F7AF8" w14:paraId="71EAAAE4" w14:textId="77777777" w:rsidTr="009B4355">
        <w:tc>
          <w:tcPr>
            <w:tcW w:w="9463" w:type="dxa"/>
            <w:gridSpan w:val="2"/>
          </w:tcPr>
          <w:p w14:paraId="780EFC1C" w14:textId="77777777" w:rsidR="00735F5E" w:rsidRPr="006F7AF8" w:rsidRDefault="00735F5E" w:rsidP="009B4355">
            <w:pPr>
              <w:rPr>
                <w:rFonts w:ascii="Aptos" w:hAnsi="Aptos"/>
                <w:lang w:val="fr-FR"/>
              </w:rPr>
            </w:pPr>
            <w:r>
              <w:rPr>
                <w:rFonts w:ascii="Aptos" w:hAnsi="Aptos"/>
                <w:lang w:val="fr-FR"/>
              </w:rPr>
              <w:t>Figure 50</w:t>
            </w:r>
          </w:p>
        </w:tc>
      </w:tr>
      <w:tr w:rsidR="00735F5E" w:rsidRPr="00087B60" w14:paraId="7265C884" w14:textId="77777777" w:rsidTr="009B4355">
        <w:tc>
          <w:tcPr>
            <w:tcW w:w="4504" w:type="dxa"/>
          </w:tcPr>
          <w:p w14:paraId="52AADC3F" w14:textId="77777777" w:rsidR="00735F5E" w:rsidRPr="00087B60" w:rsidRDefault="00735F5E" w:rsidP="009B4355">
            <w:pPr>
              <w:rPr>
                <w:rFonts w:ascii="Aptos" w:hAnsi="Aptos"/>
                <w:lang w:val="fr-FR"/>
              </w:rPr>
            </w:pPr>
            <w:r w:rsidRPr="00087B60">
              <w:rPr>
                <w:rFonts w:ascii="Aptos" w:hAnsi="Aptos"/>
                <w:lang w:val="fr-FR"/>
              </w:rPr>
              <w:t xml:space="preserve">English </w:t>
            </w:r>
          </w:p>
        </w:tc>
        <w:tc>
          <w:tcPr>
            <w:tcW w:w="4959" w:type="dxa"/>
          </w:tcPr>
          <w:p w14:paraId="7FD03A9E" w14:textId="77777777" w:rsidR="00735F5E" w:rsidRPr="00087B60" w:rsidRDefault="00735F5E" w:rsidP="009B4355">
            <w:pPr>
              <w:rPr>
                <w:rFonts w:ascii="Aptos" w:hAnsi="Aptos"/>
                <w:lang w:val="fr-FR"/>
              </w:rPr>
            </w:pPr>
            <w:r>
              <w:rPr>
                <w:rFonts w:ascii="Aptos" w:hAnsi="Aptos"/>
                <w:lang w:val="fr-FR"/>
              </w:rPr>
              <w:t>Français</w:t>
            </w:r>
          </w:p>
        </w:tc>
      </w:tr>
      <w:tr w:rsidR="00735F5E" w:rsidRPr="006F7AF8" w14:paraId="18D14564" w14:textId="77777777" w:rsidTr="009B4355">
        <w:tc>
          <w:tcPr>
            <w:tcW w:w="4504" w:type="dxa"/>
          </w:tcPr>
          <w:p w14:paraId="45CA5961" w14:textId="77777777" w:rsidR="00735F5E" w:rsidRPr="006F7AF8" w:rsidRDefault="00735F5E" w:rsidP="009B4355">
            <w:pPr>
              <w:rPr>
                <w:rFonts w:ascii="Aptos" w:hAnsi="Aptos"/>
                <w:lang w:val="fr-FR"/>
              </w:rPr>
            </w:pPr>
            <w:r w:rsidRPr="006F7AF8">
              <w:rPr>
                <w:rFonts w:ascii="Aptos" w:hAnsi="Aptos"/>
                <w:lang w:val="fr-FR"/>
              </w:rPr>
              <w:t>Services provided by ecosystems (index)</w:t>
            </w:r>
          </w:p>
        </w:tc>
        <w:tc>
          <w:tcPr>
            <w:tcW w:w="4959" w:type="dxa"/>
          </w:tcPr>
          <w:p w14:paraId="7ED3A797" w14:textId="77777777" w:rsidR="00735F5E" w:rsidRPr="006F7AF8" w:rsidRDefault="00735F5E" w:rsidP="009B4355">
            <w:pPr>
              <w:rPr>
                <w:rFonts w:ascii="Aptos" w:hAnsi="Aptos"/>
                <w:lang w:val="fr-FR"/>
              </w:rPr>
            </w:pPr>
            <w:r w:rsidRPr="006F7AF8">
              <w:rPr>
                <w:rFonts w:ascii="Aptos" w:hAnsi="Aptos"/>
                <w:lang w:val="fr-FR"/>
              </w:rPr>
              <w:t>Services fournis par les écosystèmes (indice)</w:t>
            </w:r>
          </w:p>
        </w:tc>
      </w:tr>
      <w:tr w:rsidR="00735F5E" w:rsidRPr="006F7AF8" w14:paraId="711161A0" w14:textId="77777777" w:rsidTr="009B4355">
        <w:tc>
          <w:tcPr>
            <w:tcW w:w="4504" w:type="dxa"/>
          </w:tcPr>
          <w:p w14:paraId="2F5FD8C8" w14:textId="77777777" w:rsidR="00735F5E" w:rsidRPr="006F7AF8" w:rsidRDefault="00735F5E" w:rsidP="009B4355">
            <w:pPr>
              <w:rPr>
                <w:rFonts w:ascii="Aptos" w:hAnsi="Aptos"/>
                <w:lang w:val="fr-FR"/>
              </w:rPr>
            </w:pPr>
            <w:r w:rsidRPr="006F7AF8">
              <w:rPr>
                <w:rFonts w:ascii="Aptos" w:hAnsi="Aptos"/>
                <w:lang w:val="fr-FR"/>
              </w:rPr>
              <w:t>Year</w:t>
            </w:r>
          </w:p>
        </w:tc>
        <w:tc>
          <w:tcPr>
            <w:tcW w:w="4959" w:type="dxa"/>
          </w:tcPr>
          <w:p w14:paraId="0B0C4721" w14:textId="77777777" w:rsidR="00735F5E" w:rsidRPr="006F7AF8" w:rsidRDefault="00735F5E" w:rsidP="009B4355">
            <w:pPr>
              <w:rPr>
                <w:rFonts w:ascii="Aptos" w:hAnsi="Aptos"/>
                <w:lang w:val="fr-FR"/>
              </w:rPr>
            </w:pPr>
            <w:r w:rsidRPr="006F7AF8">
              <w:rPr>
                <w:rFonts w:ascii="Aptos" w:hAnsi="Aptos"/>
                <w:lang w:val="fr-FR"/>
              </w:rPr>
              <w:t>Année</w:t>
            </w:r>
          </w:p>
        </w:tc>
      </w:tr>
      <w:tr w:rsidR="00735F5E" w:rsidRPr="006F7AF8" w14:paraId="64705DC6" w14:textId="77777777" w:rsidTr="009B4355">
        <w:tc>
          <w:tcPr>
            <w:tcW w:w="4504" w:type="dxa"/>
          </w:tcPr>
          <w:p w14:paraId="42DB3082" w14:textId="77777777" w:rsidR="00735F5E" w:rsidRPr="006F7AF8" w:rsidRDefault="00735F5E" w:rsidP="009B4355">
            <w:pPr>
              <w:rPr>
                <w:rFonts w:ascii="Aptos" w:hAnsi="Aptos"/>
                <w:lang w:val="fr-FR"/>
              </w:rPr>
            </w:pPr>
            <w:r w:rsidRPr="006F7AF8">
              <w:rPr>
                <w:rFonts w:ascii="Aptos" w:hAnsi="Aptos"/>
                <w:lang w:val="fr-FR"/>
              </w:rPr>
              <w:t>Service Type</w:t>
            </w:r>
          </w:p>
        </w:tc>
        <w:tc>
          <w:tcPr>
            <w:tcW w:w="4959" w:type="dxa"/>
          </w:tcPr>
          <w:p w14:paraId="6DE0CEF4" w14:textId="77777777" w:rsidR="00735F5E" w:rsidRPr="006F7AF8" w:rsidRDefault="00735F5E" w:rsidP="009B4355">
            <w:pPr>
              <w:rPr>
                <w:rFonts w:ascii="Aptos" w:hAnsi="Aptos"/>
                <w:lang w:val="fr-FR"/>
              </w:rPr>
            </w:pPr>
            <w:r w:rsidRPr="006F7AF8">
              <w:rPr>
                <w:rFonts w:ascii="Aptos" w:hAnsi="Aptos"/>
                <w:lang w:val="fr-FR"/>
              </w:rPr>
              <w:t>Type de service</w:t>
            </w:r>
          </w:p>
        </w:tc>
      </w:tr>
      <w:tr w:rsidR="00735F5E" w:rsidRPr="006F7AF8" w14:paraId="4E3AE911" w14:textId="77777777" w:rsidTr="009B4355">
        <w:tc>
          <w:tcPr>
            <w:tcW w:w="4504" w:type="dxa"/>
          </w:tcPr>
          <w:p w14:paraId="45CA6DF0" w14:textId="77777777" w:rsidR="00735F5E" w:rsidRPr="006F7AF8" w:rsidRDefault="00735F5E" w:rsidP="009B4355">
            <w:pPr>
              <w:rPr>
                <w:rFonts w:ascii="Aptos" w:hAnsi="Aptos"/>
                <w:lang w:val="fr-FR"/>
              </w:rPr>
            </w:pPr>
            <w:r w:rsidRPr="006F7AF8">
              <w:rPr>
                <w:rFonts w:ascii="Aptos" w:hAnsi="Aptos"/>
                <w:lang w:val="fr-FR"/>
              </w:rPr>
              <w:t>Cultural services</w:t>
            </w:r>
          </w:p>
        </w:tc>
        <w:tc>
          <w:tcPr>
            <w:tcW w:w="4959" w:type="dxa"/>
          </w:tcPr>
          <w:p w14:paraId="01E87771" w14:textId="77777777" w:rsidR="00735F5E" w:rsidRPr="006F7AF8" w:rsidRDefault="00735F5E" w:rsidP="009B4355">
            <w:pPr>
              <w:rPr>
                <w:rFonts w:ascii="Aptos" w:hAnsi="Aptos"/>
                <w:lang w:val="fr-FR"/>
              </w:rPr>
            </w:pPr>
            <w:r w:rsidRPr="006F7AF8">
              <w:rPr>
                <w:rFonts w:ascii="Aptos" w:hAnsi="Aptos"/>
                <w:lang w:val="fr-FR"/>
              </w:rPr>
              <w:t>Services culturels</w:t>
            </w:r>
          </w:p>
        </w:tc>
      </w:tr>
      <w:tr w:rsidR="00735F5E" w:rsidRPr="006F7AF8" w14:paraId="4404BEC3" w14:textId="77777777" w:rsidTr="009B4355">
        <w:tc>
          <w:tcPr>
            <w:tcW w:w="4504" w:type="dxa"/>
          </w:tcPr>
          <w:p w14:paraId="450C01CD" w14:textId="77777777" w:rsidR="00735F5E" w:rsidRPr="006F7AF8" w:rsidRDefault="00735F5E" w:rsidP="009B4355">
            <w:pPr>
              <w:rPr>
                <w:rFonts w:ascii="Aptos" w:hAnsi="Aptos"/>
                <w:lang w:val="fr-FR"/>
              </w:rPr>
            </w:pPr>
            <w:r w:rsidRPr="006F7AF8">
              <w:rPr>
                <w:rFonts w:ascii="Aptos" w:hAnsi="Aptos"/>
                <w:lang w:val="fr-FR"/>
              </w:rPr>
              <w:t>Provisioning services</w:t>
            </w:r>
          </w:p>
        </w:tc>
        <w:tc>
          <w:tcPr>
            <w:tcW w:w="4959" w:type="dxa"/>
          </w:tcPr>
          <w:p w14:paraId="78ADF108" w14:textId="77777777" w:rsidR="00735F5E" w:rsidRPr="006F7AF8" w:rsidRDefault="00735F5E" w:rsidP="009B4355">
            <w:pPr>
              <w:rPr>
                <w:rFonts w:ascii="Aptos" w:hAnsi="Aptos"/>
                <w:lang w:val="fr-FR"/>
              </w:rPr>
            </w:pPr>
            <w:r w:rsidRPr="006F7AF8">
              <w:rPr>
                <w:rFonts w:ascii="Aptos" w:hAnsi="Aptos"/>
                <w:lang w:val="fr-FR"/>
              </w:rPr>
              <w:t>Services d</w:t>
            </w:r>
            <w:r>
              <w:rPr>
                <w:rFonts w:ascii="Aptos" w:hAnsi="Aptos"/>
                <w:lang w:val="fr-FR"/>
              </w:rPr>
              <w:t>’</w:t>
            </w:r>
            <w:r w:rsidRPr="006F7AF8">
              <w:rPr>
                <w:rFonts w:ascii="Aptos" w:hAnsi="Aptos"/>
                <w:lang w:val="fr-FR"/>
              </w:rPr>
              <w:t>approvisionnement</w:t>
            </w:r>
          </w:p>
        </w:tc>
      </w:tr>
      <w:tr w:rsidR="00735F5E" w:rsidRPr="006F7AF8" w14:paraId="3A57A263" w14:textId="77777777" w:rsidTr="009B4355">
        <w:tc>
          <w:tcPr>
            <w:tcW w:w="4504" w:type="dxa"/>
          </w:tcPr>
          <w:p w14:paraId="05170640" w14:textId="77777777" w:rsidR="00735F5E" w:rsidRPr="006F7AF8" w:rsidRDefault="00735F5E" w:rsidP="009B4355">
            <w:pPr>
              <w:rPr>
                <w:rFonts w:ascii="Aptos" w:hAnsi="Aptos"/>
                <w:lang w:val="fr-FR"/>
              </w:rPr>
            </w:pPr>
            <w:r w:rsidRPr="006F7AF8">
              <w:rPr>
                <w:rFonts w:ascii="Aptos" w:hAnsi="Aptos"/>
                <w:lang w:val="fr-FR"/>
              </w:rPr>
              <w:t>Regulating services</w:t>
            </w:r>
          </w:p>
        </w:tc>
        <w:tc>
          <w:tcPr>
            <w:tcW w:w="4959" w:type="dxa"/>
          </w:tcPr>
          <w:p w14:paraId="5F577CB2" w14:textId="77777777" w:rsidR="00735F5E" w:rsidRPr="006F7AF8" w:rsidRDefault="00735F5E" w:rsidP="009B4355">
            <w:pPr>
              <w:rPr>
                <w:rFonts w:ascii="Aptos" w:hAnsi="Aptos"/>
                <w:lang w:val="fr-FR"/>
              </w:rPr>
            </w:pPr>
            <w:r w:rsidRPr="006F7AF8">
              <w:rPr>
                <w:rFonts w:ascii="Aptos" w:hAnsi="Aptos"/>
                <w:lang w:val="fr-FR"/>
              </w:rPr>
              <w:t>Services de régulation</w:t>
            </w:r>
          </w:p>
        </w:tc>
      </w:tr>
      <w:tr w:rsidR="00735F5E" w:rsidRPr="006F7AF8" w14:paraId="6BDD4B1B" w14:textId="77777777" w:rsidTr="009B4355">
        <w:tc>
          <w:tcPr>
            <w:tcW w:w="4504" w:type="dxa"/>
          </w:tcPr>
          <w:p w14:paraId="4EFD951E" w14:textId="77777777" w:rsidR="00735F5E" w:rsidRPr="006F7AF8" w:rsidRDefault="00735F5E" w:rsidP="009B4355">
            <w:pPr>
              <w:rPr>
                <w:rFonts w:ascii="Aptos" w:hAnsi="Aptos"/>
                <w:lang w:val="fr-FR"/>
              </w:rPr>
            </w:pPr>
            <w:r w:rsidRPr="006F7AF8">
              <w:rPr>
                <w:rFonts w:ascii="Aptos" w:hAnsi="Aptos"/>
                <w:lang w:val="fr-FR"/>
              </w:rPr>
              <w:t>Party count: 8</w:t>
            </w:r>
          </w:p>
        </w:tc>
        <w:tc>
          <w:tcPr>
            <w:tcW w:w="4959" w:type="dxa"/>
          </w:tcPr>
          <w:p w14:paraId="714E81FA" w14:textId="77777777" w:rsidR="00735F5E" w:rsidRPr="006F7AF8" w:rsidRDefault="00735F5E" w:rsidP="009B4355">
            <w:pPr>
              <w:rPr>
                <w:rFonts w:ascii="Aptos" w:hAnsi="Aptos"/>
                <w:lang w:val="fr-FR"/>
              </w:rPr>
            </w:pPr>
            <w:r w:rsidRPr="006F7AF8">
              <w:rPr>
                <w:rFonts w:ascii="Aptos" w:hAnsi="Aptos"/>
                <w:lang w:val="fr-FR"/>
              </w:rPr>
              <w:t>Nombre de Parties : 8</w:t>
            </w:r>
          </w:p>
        </w:tc>
      </w:tr>
      <w:tr w:rsidR="00735F5E" w:rsidRPr="006F7AF8" w14:paraId="5BA02775" w14:textId="77777777" w:rsidTr="009B4355">
        <w:tc>
          <w:tcPr>
            <w:tcW w:w="4504" w:type="dxa"/>
          </w:tcPr>
          <w:p w14:paraId="23972B3E" w14:textId="77777777" w:rsidR="00735F5E" w:rsidRPr="006F7AF8" w:rsidRDefault="00735F5E" w:rsidP="009B4355">
            <w:pPr>
              <w:rPr>
                <w:rFonts w:ascii="Aptos" w:hAnsi="Aptos"/>
                <w:lang w:val="fr-FR"/>
              </w:rPr>
            </w:pPr>
            <w:r w:rsidRPr="006F7AF8">
              <w:rPr>
                <w:rFonts w:ascii="Aptos" w:hAnsi="Aptos"/>
                <w:lang w:val="fr-FR"/>
              </w:rPr>
              <w:t>Party count by region</w:t>
            </w:r>
          </w:p>
        </w:tc>
        <w:tc>
          <w:tcPr>
            <w:tcW w:w="4959" w:type="dxa"/>
          </w:tcPr>
          <w:p w14:paraId="7962BAAB" w14:textId="77777777" w:rsidR="00735F5E" w:rsidRPr="006F7AF8" w:rsidRDefault="00735F5E" w:rsidP="009B4355">
            <w:pPr>
              <w:rPr>
                <w:rFonts w:ascii="Aptos" w:hAnsi="Aptos"/>
                <w:lang w:val="fr-FR"/>
              </w:rPr>
            </w:pPr>
            <w:r w:rsidRPr="006F7AF8">
              <w:rPr>
                <w:rFonts w:ascii="Aptos" w:hAnsi="Aptos"/>
                <w:lang w:val="fr-FR"/>
              </w:rPr>
              <w:t>Nombre de Parties par région</w:t>
            </w:r>
          </w:p>
        </w:tc>
      </w:tr>
      <w:tr w:rsidR="00735F5E" w:rsidRPr="006F7AF8" w14:paraId="245B759A" w14:textId="77777777" w:rsidTr="009B4355">
        <w:tc>
          <w:tcPr>
            <w:tcW w:w="4504" w:type="dxa"/>
          </w:tcPr>
          <w:p w14:paraId="2A169EBA" w14:textId="77777777" w:rsidR="00735F5E" w:rsidRPr="006F7AF8" w:rsidRDefault="00735F5E" w:rsidP="009B4355">
            <w:pPr>
              <w:rPr>
                <w:rFonts w:ascii="Aptos" w:hAnsi="Aptos"/>
                <w:lang w:val="fr-FR"/>
              </w:rPr>
            </w:pPr>
            <w:r w:rsidRPr="006F7AF8">
              <w:rPr>
                <w:rFonts w:ascii="Aptos" w:hAnsi="Aptos"/>
                <w:lang w:val="fr-FR"/>
              </w:rPr>
              <w:t>Region</w:t>
            </w:r>
          </w:p>
        </w:tc>
        <w:tc>
          <w:tcPr>
            <w:tcW w:w="4959" w:type="dxa"/>
          </w:tcPr>
          <w:p w14:paraId="40D41CA3"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6A8611C4" w14:textId="77777777" w:rsidTr="009B4355">
        <w:tc>
          <w:tcPr>
            <w:tcW w:w="4504" w:type="dxa"/>
          </w:tcPr>
          <w:p w14:paraId="63BB6D5C" w14:textId="77777777" w:rsidR="00735F5E" w:rsidRPr="006F7AF8" w:rsidRDefault="00735F5E" w:rsidP="009B4355">
            <w:pPr>
              <w:rPr>
                <w:rFonts w:ascii="Aptos" w:hAnsi="Aptos"/>
                <w:lang w:val="fr-FR"/>
              </w:rPr>
            </w:pPr>
            <w:r w:rsidRPr="006F7AF8">
              <w:rPr>
                <w:rFonts w:ascii="Aptos" w:hAnsi="Aptos"/>
                <w:lang w:val="fr-FR"/>
              </w:rPr>
              <w:lastRenderedPageBreak/>
              <w:t>African States</w:t>
            </w:r>
          </w:p>
        </w:tc>
        <w:tc>
          <w:tcPr>
            <w:tcW w:w="4959" w:type="dxa"/>
          </w:tcPr>
          <w:p w14:paraId="285F4926"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4D4429DD" w14:textId="77777777" w:rsidTr="009B4355">
        <w:tc>
          <w:tcPr>
            <w:tcW w:w="4504" w:type="dxa"/>
          </w:tcPr>
          <w:p w14:paraId="346479AD"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959" w:type="dxa"/>
          </w:tcPr>
          <w:p w14:paraId="0D9CA3CA"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5860FAAD" w14:textId="77777777" w:rsidTr="009B4355">
        <w:tc>
          <w:tcPr>
            <w:tcW w:w="4504" w:type="dxa"/>
          </w:tcPr>
          <w:p w14:paraId="4B06E6F0"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959" w:type="dxa"/>
          </w:tcPr>
          <w:p w14:paraId="62D6755A"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552E685F" w14:textId="77777777" w:rsidTr="009B4355">
        <w:tc>
          <w:tcPr>
            <w:tcW w:w="4504" w:type="dxa"/>
          </w:tcPr>
          <w:p w14:paraId="1B7D97CA"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959" w:type="dxa"/>
          </w:tcPr>
          <w:p w14:paraId="3C34EB29"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1F986D24" w14:textId="77777777" w:rsidTr="009B4355">
        <w:tc>
          <w:tcPr>
            <w:tcW w:w="4504" w:type="dxa"/>
          </w:tcPr>
          <w:p w14:paraId="7066F49A"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959" w:type="dxa"/>
          </w:tcPr>
          <w:p w14:paraId="38C2ADF5"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05A61D1F" w14:textId="77777777" w:rsidR="00B87039" w:rsidRPr="00653BF4" w:rsidRDefault="00B87039" w:rsidP="00B87039">
      <w:pPr>
        <w:pStyle w:val="Caption"/>
        <w:rPr>
          <w:rStyle w:val="normaltextrun"/>
          <w:rFonts w:cs="Segoe UI"/>
          <w:lang w:val="fr-FR"/>
        </w:rPr>
      </w:pPr>
    </w:p>
    <w:p w14:paraId="50B7D0E1" w14:textId="77777777" w:rsidR="00B87039" w:rsidRPr="00653BF4" w:rsidRDefault="00B87039" w:rsidP="00B87039">
      <w:pPr>
        <w:rPr>
          <w:sz w:val="20"/>
          <w:szCs w:val="20"/>
          <w:lang w:val="fr-FR" w:eastAsia="ja-JP"/>
        </w:rPr>
      </w:pPr>
      <w:r w:rsidRPr="00653BF4">
        <w:rPr>
          <w:sz w:val="20"/>
          <w:szCs w:val="20"/>
          <w:lang w:val="fr-FR"/>
        </w:rPr>
        <w:t>Figure 51</w:t>
      </w:r>
    </w:p>
    <w:p w14:paraId="36D51E6E" w14:textId="367924EC" w:rsidR="00B87039" w:rsidRPr="00653BF4"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1</w:t>
      </w:r>
      <w:r w:rsidRPr="00653BF4">
        <w:rPr>
          <w:b/>
          <w:bCs/>
          <w:i w:val="0"/>
          <w:iCs w:val="0"/>
          <w:sz w:val="20"/>
          <w:szCs w:val="20"/>
          <w:lang w:val="fr-FR"/>
        </w:rPr>
        <w:t>1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16D4CEAC" w14:textId="77777777" w:rsidR="00B87039" w:rsidRPr="00653BF4" w:rsidRDefault="00B87039" w:rsidP="00B87039">
      <w:pPr>
        <w:pStyle w:val="Caption"/>
        <w:rPr>
          <w:lang w:val="fr-FR"/>
        </w:rPr>
      </w:pPr>
      <w:bookmarkStart w:id="216" w:name="_Ref231190557"/>
      <w:r w:rsidRPr="00653BF4">
        <w:rPr>
          <w:noProof/>
          <w:lang w:val="fr-FR"/>
          <w14:ligatures w14:val="standardContextual"/>
        </w:rPr>
        <w:drawing>
          <wp:inline distT="0" distB="0" distL="0" distR="0" wp14:anchorId="32022EF9" wp14:editId="18D0DA4E">
            <wp:extent cx="5731510" cy="2456180"/>
            <wp:effectExtent l="0" t="0" r="0" b="0"/>
            <wp:docPr id="19674071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07118" name="Picture 1967407118"/>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216"/>
    <w:p w14:paraId="7D095AF9" w14:textId="35F4E764"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i w:val="0"/>
          <w:iCs w:val="0"/>
          <w:lang w:val="fr-FR"/>
        </w:rPr>
        <w:t xml:space="preserve"> Les proportions sont pondérées par Partie. Les tendances incluent des données relatives à 1 indicateur phare provenant de 23 Parties, ainsi qu</w:t>
      </w:r>
      <w:r w:rsidR="00D77549">
        <w:rPr>
          <w:i w:val="0"/>
          <w:iCs w:val="0"/>
          <w:lang w:val="fr-FR"/>
        </w:rPr>
        <w:t>’</w:t>
      </w:r>
      <w:r w:rsidRPr="00653BF4">
        <w:rPr>
          <w:i w:val="0"/>
          <w:iCs w:val="0"/>
          <w:lang w:val="fr-FR"/>
        </w:rPr>
        <w:t xml:space="preserve">à 3 indicateurs de composante, 4 indicateurs complémentaires et 52 indicateurs nationaux provenant au total de 25 Parties. Le diagramme circulaire représente la répartition, par région, des Parties ayant communiqué des indicateurs pour la </w:t>
      </w:r>
      <w:r w:rsidR="00E34DC9">
        <w:rPr>
          <w:i w:val="0"/>
          <w:iCs w:val="0"/>
          <w:lang w:val="fr-FR"/>
        </w:rPr>
        <w:t>cible 1</w:t>
      </w:r>
      <w:r w:rsidRPr="00653BF4">
        <w:rPr>
          <w:i w:val="0"/>
          <w:iCs w:val="0"/>
          <w:lang w:val="fr-FR"/>
        </w:rPr>
        <w:t>1.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735F5E" w:rsidRPr="006F7AF8" w14:paraId="7EF44237" w14:textId="77777777" w:rsidTr="009B4355">
        <w:tc>
          <w:tcPr>
            <w:tcW w:w="8861" w:type="dxa"/>
            <w:gridSpan w:val="2"/>
          </w:tcPr>
          <w:p w14:paraId="1E35546B" w14:textId="77777777" w:rsidR="00735F5E" w:rsidRPr="006F7AF8" w:rsidRDefault="00735F5E" w:rsidP="009B4355">
            <w:pPr>
              <w:rPr>
                <w:rFonts w:ascii="Aptos" w:hAnsi="Aptos"/>
                <w:lang w:val="fr-FR"/>
              </w:rPr>
            </w:pPr>
            <w:r>
              <w:rPr>
                <w:rFonts w:ascii="Aptos" w:hAnsi="Aptos"/>
                <w:lang w:val="fr-FR"/>
              </w:rPr>
              <w:t>Figure 51</w:t>
            </w:r>
          </w:p>
        </w:tc>
      </w:tr>
      <w:tr w:rsidR="00735F5E" w:rsidRPr="00F70332" w14:paraId="2B09BA5B" w14:textId="77777777" w:rsidTr="009B4355">
        <w:tc>
          <w:tcPr>
            <w:tcW w:w="4188" w:type="dxa"/>
          </w:tcPr>
          <w:p w14:paraId="7B9D44C4" w14:textId="77777777" w:rsidR="00735F5E" w:rsidRPr="00F70332" w:rsidRDefault="00735F5E" w:rsidP="009B4355">
            <w:pPr>
              <w:rPr>
                <w:rFonts w:ascii="Aptos" w:hAnsi="Aptos"/>
                <w:lang w:val="fr-FR"/>
              </w:rPr>
            </w:pPr>
            <w:r w:rsidRPr="00F70332">
              <w:rPr>
                <w:rFonts w:ascii="Aptos" w:hAnsi="Aptos"/>
                <w:lang w:val="fr-FR"/>
              </w:rPr>
              <w:t xml:space="preserve">English </w:t>
            </w:r>
          </w:p>
        </w:tc>
        <w:tc>
          <w:tcPr>
            <w:tcW w:w="4673" w:type="dxa"/>
          </w:tcPr>
          <w:p w14:paraId="5B641F18" w14:textId="77777777" w:rsidR="00735F5E" w:rsidRPr="00F70332" w:rsidRDefault="00735F5E" w:rsidP="009B4355">
            <w:pPr>
              <w:rPr>
                <w:rFonts w:ascii="Aptos" w:hAnsi="Aptos"/>
                <w:lang w:val="fr-FR"/>
              </w:rPr>
            </w:pPr>
            <w:r>
              <w:rPr>
                <w:rFonts w:ascii="Aptos" w:hAnsi="Aptos"/>
                <w:lang w:val="fr-FR"/>
              </w:rPr>
              <w:t>Français</w:t>
            </w:r>
          </w:p>
        </w:tc>
      </w:tr>
      <w:tr w:rsidR="00735F5E" w:rsidRPr="006F7AF8" w14:paraId="6F268C5E" w14:textId="77777777" w:rsidTr="009B4355">
        <w:tc>
          <w:tcPr>
            <w:tcW w:w="4188" w:type="dxa"/>
          </w:tcPr>
          <w:p w14:paraId="2F3EF858" w14:textId="77777777" w:rsidR="00735F5E" w:rsidRPr="006F7AF8" w:rsidRDefault="00735F5E" w:rsidP="009B4355">
            <w:pPr>
              <w:rPr>
                <w:rFonts w:ascii="Aptos" w:hAnsi="Aptos"/>
                <w:lang w:val="fr-FR"/>
              </w:rPr>
            </w:pPr>
            <w:r w:rsidRPr="006F7AF8">
              <w:rPr>
                <w:rFonts w:ascii="Aptos" w:hAnsi="Aptos"/>
                <w:lang w:val="fr-FR"/>
              </w:rPr>
              <w:t>Proportion</w:t>
            </w:r>
          </w:p>
        </w:tc>
        <w:tc>
          <w:tcPr>
            <w:tcW w:w="4673" w:type="dxa"/>
          </w:tcPr>
          <w:p w14:paraId="1DCA2628" w14:textId="77777777" w:rsidR="00735F5E" w:rsidRPr="006F7AF8" w:rsidRDefault="00735F5E" w:rsidP="009B4355">
            <w:pPr>
              <w:rPr>
                <w:rFonts w:ascii="Aptos" w:hAnsi="Aptos"/>
                <w:lang w:val="fr-FR"/>
              </w:rPr>
            </w:pPr>
            <w:r w:rsidRPr="006F7AF8">
              <w:rPr>
                <w:rFonts w:ascii="Aptos" w:hAnsi="Aptos"/>
                <w:lang w:val="fr-FR"/>
              </w:rPr>
              <w:t>Proportion</w:t>
            </w:r>
          </w:p>
        </w:tc>
      </w:tr>
      <w:tr w:rsidR="00735F5E" w:rsidRPr="006F7AF8" w14:paraId="4FC7DCF7" w14:textId="77777777" w:rsidTr="009B4355">
        <w:tc>
          <w:tcPr>
            <w:tcW w:w="4188" w:type="dxa"/>
          </w:tcPr>
          <w:p w14:paraId="34E3E910" w14:textId="77777777" w:rsidR="00735F5E" w:rsidRPr="006F7AF8" w:rsidRDefault="00735F5E" w:rsidP="009B4355">
            <w:pPr>
              <w:rPr>
                <w:rFonts w:ascii="Aptos" w:hAnsi="Aptos"/>
                <w:lang w:val="fr-FR"/>
              </w:rPr>
            </w:pPr>
            <w:r w:rsidRPr="006F7AF8">
              <w:rPr>
                <w:rFonts w:ascii="Aptos" w:hAnsi="Aptos"/>
                <w:lang w:val="fr-FR"/>
              </w:rPr>
              <w:t>Current Status</w:t>
            </w:r>
          </w:p>
        </w:tc>
        <w:tc>
          <w:tcPr>
            <w:tcW w:w="4673" w:type="dxa"/>
          </w:tcPr>
          <w:p w14:paraId="2670C87B" w14:textId="77777777" w:rsidR="00735F5E" w:rsidRPr="006F7AF8" w:rsidRDefault="00735F5E" w:rsidP="009B4355">
            <w:pPr>
              <w:rPr>
                <w:rFonts w:ascii="Aptos" w:hAnsi="Aptos"/>
                <w:lang w:val="fr-FR"/>
              </w:rPr>
            </w:pPr>
            <w:r w:rsidRPr="006F7AF8">
              <w:rPr>
                <w:rFonts w:ascii="Aptos" w:hAnsi="Aptos"/>
                <w:lang w:val="fr-FR"/>
              </w:rPr>
              <w:t>État actuel</w:t>
            </w:r>
          </w:p>
        </w:tc>
      </w:tr>
      <w:tr w:rsidR="00735F5E" w:rsidRPr="006F7AF8" w14:paraId="42A1D94C" w14:textId="77777777" w:rsidTr="009B4355">
        <w:tc>
          <w:tcPr>
            <w:tcW w:w="4188" w:type="dxa"/>
          </w:tcPr>
          <w:p w14:paraId="4174D81B" w14:textId="77777777" w:rsidR="00735F5E" w:rsidRPr="006F7AF8" w:rsidRDefault="00735F5E" w:rsidP="009B4355">
            <w:pPr>
              <w:rPr>
                <w:rFonts w:ascii="Aptos" w:hAnsi="Aptos"/>
                <w:lang w:val="fr-FR"/>
              </w:rPr>
            </w:pPr>
            <w:r w:rsidRPr="006F7AF8">
              <w:rPr>
                <w:rFonts w:ascii="Aptos" w:hAnsi="Aptos"/>
                <w:lang w:val="fr-FR"/>
              </w:rPr>
              <w:t>improving</w:t>
            </w:r>
          </w:p>
        </w:tc>
        <w:tc>
          <w:tcPr>
            <w:tcW w:w="4673" w:type="dxa"/>
          </w:tcPr>
          <w:p w14:paraId="3A935E9F" w14:textId="77777777" w:rsidR="00735F5E" w:rsidRPr="006F7AF8" w:rsidRDefault="00735F5E" w:rsidP="009B4355">
            <w:pPr>
              <w:rPr>
                <w:rFonts w:ascii="Aptos" w:hAnsi="Aptos"/>
                <w:lang w:val="fr-FR"/>
              </w:rPr>
            </w:pPr>
            <w:r>
              <w:rPr>
                <w:rFonts w:ascii="Aptos" w:hAnsi="Aptos"/>
                <w:lang w:val="fr-FR"/>
              </w:rPr>
              <w:t>amélioration</w:t>
            </w:r>
          </w:p>
        </w:tc>
      </w:tr>
      <w:tr w:rsidR="00735F5E" w:rsidRPr="006F7AF8" w14:paraId="2B3C7D05" w14:textId="77777777" w:rsidTr="009B4355">
        <w:tc>
          <w:tcPr>
            <w:tcW w:w="4188" w:type="dxa"/>
          </w:tcPr>
          <w:p w14:paraId="561A02CA" w14:textId="77777777" w:rsidR="00735F5E" w:rsidRPr="006F7AF8" w:rsidRDefault="00735F5E" w:rsidP="009B4355">
            <w:pPr>
              <w:rPr>
                <w:rFonts w:ascii="Aptos" w:hAnsi="Aptos"/>
                <w:lang w:val="fr-FR"/>
              </w:rPr>
            </w:pPr>
            <w:r w:rsidRPr="006F7AF8">
              <w:rPr>
                <w:rFonts w:ascii="Aptos" w:hAnsi="Aptos"/>
                <w:lang w:val="fr-FR"/>
              </w:rPr>
              <w:t>stable</w:t>
            </w:r>
          </w:p>
        </w:tc>
        <w:tc>
          <w:tcPr>
            <w:tcW w:w="4673" w:type="dxa"/>
          </w:tcPr>
          <w:p w14:paraId="3EE9D27B" w14:textId="77777777" w:rsidR="00735F5E" w:rsidRPr="006F7AF8" w:rsidRDefault="00735F5E"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735F5E" w:rsidRPr="006F7AF8" w14:paraId="5AB8DE06" w14:textId="77777777" w:rsidTr="009B4355">
        <w:tc>
          <w:tcPr>
            <w:tcW w:w="4188" w:type="dxa"/>
          </w:tcPr>
          <w:p w14:paraId="4A94F578" w14:textId="77777777" w:rsidR="00735F5E" w:rsidRPr="006F7AF8" w:rsidRDefault="00735F5E" w:rsidP="009B4355">
            <w:pPr>
              <w:rPr>
                <w:rFonts w:ascii="Aptos" w:hAnsi="Aptos"/>
                <w:lang w:val="fr-FR"/>
              </w:rPr>
            </w:pPr>
            <w:r w:rsidRPr="006F7AF8">
              <w:rPr>
                <w:rFonts w:ascii="Aptos" w:hAnsi="Aptos"/>
                <w:lang w:val="fr-FR"/>
              </w:rPr>
              <w:t>moving away</w:t>
            </w:r>
          </w:p>
        </w:tc>
        <w:tc>
          <w:tcPr>
            <w:tcW w:w="4673" w:type="dxa"/>
          </w:tcPr>
          <w:p w14:paraId="4F99CF77" w14:textId="77777777" w:rsidR="00735F5E" w:rsidRPr="006F7AF8" w:rsidRDefault="00735F5E" w:rsidP="009B4355">
            <w:pPr>
              <w:rPr>
                <w:rFonts w:ascii="Aptos" w:hAnsi="Aptos"/>
                <w:lang w:val="fr-FR"/>
              </w:rPr>
            </w:pPr>
            <w:r>
              <w:rPr>
                <w:rFonts w:ascii="Aptos" w:hAnsi="Aptos"/>
                <w:lang w:val="fr-FR"/>
              </w:rPr>
              <w:t>éloignement</w:t>
            </w:r>
          </w:p>
        </w:tc>
      </w:tr>
      <w:tr w:rsidR="00735F5E" w:rsidRPr="006F7AF8" w14:paraId="0724CB02" w14:textId="77777777" w:rsidTr="009B4355">
        <w:tc>
          <w:tcPr>
            <w:tcW w:w="4188" w:type="dxa"/>
          </w:tcPr>
          <w:p w14:paraId="012A6533" w14:textId="77777777" w:rsidR="00735F5E" w:rsidRPr="006F7AF8" w:rsidRDefault="00735F5E" w:rsidP="009B4355">
            <w:pPr>
              <w:rPr>
                <w:rFonts w:ascii="Aptos" w:hAnsi="Aptos"/>
                <w:lang w:val="fr-FR"/>
              </w:rPr>
            </w:pPr>
            <w:r w:rsidRPr="006F7AF8">
              <w:rPr>
                <w:rFonts w:ascii="Aptos" w:hAnsi="Aptos"/>
                <w:lang w:val="fr-FR"/>
              </w:rPr>
              <w:t>Party count: 42</w:t>
            </w:r>
          </w:p>
        </w:tc>
        <w:tc>
          <w:tcPr>
            <w:tcW w:w="4673" w:type="dxa"/>
          </w:tcPr>
          <w:p w14:paraId="527900E9" w14:textId="77777777" w:rsidR="00735F5E" w:rsidRPr="006F7AF8" w:rsidRDefault="00735F5E" w:rsidP="009B4355">
            <w:pPr>
              <w:rPr>
                <w:rFonts w:ascii="Aptos" w:hAnsi="Aptos"/>
                <w:lang w:val="fr-FR"/>
              </w:rPr>
            </w:pPr>
            <w:r w:rsidRPr="006F7AF8">
              <w:rPr>
                <w:rFonts w:ascii="Aptos" w:hAnsi="Aptos"/>
                <w:lang w:val="fr-FR"/>
              </w:rPr>
              <w:t>Nombre de Parties : 42</w:t>
            </w:r>
          </w:p>
        </w:tc>
      </w:tr>
      <w:tr w:rsidR="00735F5E" w:rsidRPr="006F7AF8" w14:paraId="7C9E7CEE" w14:textId="77777777" w:rsidTr="009B4355">
        <w:tc>
          <w:tcPr>
            <w:tcW w:w="4188" w:type="dxa"/>
          </w:tcPr>
          <w:p w14:paraId="298CBAEF" w14:textId="77777777" w:rsidR="00735F5E" w:rsidRPr="006F7AF8" w:rsidRDefault="00735F5E" w:rsidP="009B4355">
            <w:pPr>
              <w:rPr>
                <w:rFonts w:ascii="Aptos" w:hAnsi="Aptos"/>
                <w:lang w:val="fr-FR"/>
              </w:rPr>
            </w:pPr>
            <w:r w:rsidRPr="006F7AF8">
              <w:rPr>
                <w:rFonts w:ascii="Aptos" w:hAnsi="Aptos"/>
                <w:lang w:val="fr-FR"/>
              </w:rPr>
              <w:t>Region</w:t>
            </w:r>
          </w:p>
        </w:tc>
        <w:tc>
          <w:tcPr>
            <w:tcW w:w="4673" w:type="dxa"/>
          </w:tcPr>
          <w:p w14:paraId="16EC26F0"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3BA92259" w14:textId="77777777" w:rsidTr="009B4355">
        <w:tc>
          <w:tcPr>
            <w:tcW w:w="4188" w:type="dxa"/>
          </w:tcPr>
          <w:p w14:paraId="672BBC0E" w14:textId="77777777" w:rsidR="00735F5E" w:rsidRPr="006F7AF8" w:rsidRDefault="00735F5E" w:rsidP="009B4355">
            <w:pPr>
              <w:rPr>
                <w:rFonts w:ascii="Aptos" w:hAnsi="Aptos"/>
                <w:lang w:val="fr-FR"/>
              </w:rPr>
            </w:pPr>
            <w:r w:rsidRPr="006F7AF8">
              <w:rPr>
                <w:rFonts w:ascii="Aptos" w:hAnsi="Aptos"/>
                <w:lang w:val="fr-FR"/>
              </w:rPr>
              <w:t>African States</w:t>
            </w:r>
          </w:p>
        </w:tc>
        <w:tc>
          <w:tcPr>
            <w:tcW w:w="4673" w:type="dxa"/>
          </w:tcPr>
          <w:p w14:paraId="13DA6032"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2FE89106" w14:textId="77777777" w:rsidTr="009B4355">
        <w:tc>
          <w:tcPr>
            <w:tcW w:w="4188" w:type="dxa"/>
          </w:tcPr>
          <w:p w14:paraId="62979569"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673" w:type="dxa"/>
          </w:tcPr>
          <w:p w14:paraId="6C4BB841"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5D38CD98" w14:textId="77777777" w:rsidTr="009B4355">
        <w:tc>
          <w:tcPr>
            <w:tcW w:w="4188" w:type="dxa"/>
          </w:tcPr>
          <w:p w14:paraId="08104CF4"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673" w:type="dxa"/>
          </w:tcPr>
          <w:p w14:paraId="7464E1D6"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26551C92" w14:textId="77777777" w:rsidTr="009B4355">
        <w:tc>
          <w:tcPr>
            <w:tcW w:w="4188" w:type="dxa"/>
          </w:tcPr>
          <w:p w14:paraId="67342DFD"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673" w:type="dxa"/>
          </w:tcPr>
          <w:p w14:paraId="57D520B8"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6B2E9E01" w14:textId="77777777" w:rsidTr="009B4355">
        <w:tc>
          <w:tcPr>
            <w:tcW w:w="4188" w:type="dxa"/>
          </w:tcPr>
          <w:p w14:paraId="2A35CBD5"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673" w:type="dxa"/>
          </w:tcPr>
          <w:p w14:paraId="6CD96618"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6AF3EF07" w14:textId="77777777" w:rsidR="00B87039" w:rsidRPr="00653BF4" w:rsidRDefault="00B87039" w:rsidP="00B87039">
      <w:pPr>
        <w:pStyle w:val="Caption"/>
        <w:rPr>
          <w:lang w:val="fr-FR"/>
        </w:rPr>
      </w:pPr>
    </w:p>
    <w:p w14:paraId="2B25C107" w14:textId="23F73751" w:rsidR="00B87039" w:rsidRPr="00653BF4" w:rsidRDefault="00B87039" w:rsidP="00B87039">
      <w:pPr>
        <w:pStyle w:val="Heading5"/>
        <w:rPr>
          <w:lang w:val="fr-FR"/>
        </w:rPr>
      </w:pPr>
      <w:bookmarkStart w:id="217" w:name="_Toc235821185"/>
      <w:r w:rsidRPr="00653BF4">
        <w:rPr>
          <w:lang w:val="fr-FR"/>
        </w:rPr>
        <w:t>Auto-évaluation des progrès accomplis</w:t>
      </w:r>
      <w:bookmarkEnd w:id="217"/>
    </w:p>
    <w:p w14:paraId="626AE928" w14:textId="77777777" w:rsidR="00B87039" w:rsidRPr="00653BF4" w:rsidRDefault="00B87039" w:rsidP="00B87039">
      <w:pPr>
        <w:rPr>
          <w:lang w:val="fr-FR"/>
        </w:rPr>
      </w:pPr>
    </w:p>
    <w:p w14:paraId="3A7F858A" w14:textId="11009635" w:rsidR="00B87039" w:rsidRPr="00653BF4" w:rsidRDefault="00B87039" w:rsidP="00B87039">
      <w:pPr>
        <w:pStyle w:val="Caption"/>
        <w:rPr>
          <w:rStyle w:val="eop"/>
          <w:i w:val="0"/>
          <w:sz w:val="24"/>
          <w:szCs w:val="24"/>
          <w:lang w:val="fr-FR"/>
        </w:rPr>
      </w:pPr>
      <w:r w:rsidRPr="00653BF4">
        <w:rPr>
          <w:rStyle w:val="normaltextrun"/>
          <w:i w:val="0"/>
          <w:iCs w:val="0"/>
          <w:sz w:val="24"/>
          <w:szCs w:val="24"/>
          <w:lang w:val="fr-FR"/>
        </w:rPr>
        <w:t>D</w:t>
      </w:r>
      <w:r w:rsidR="00D77549">
        <w:rPr>
          <w:rStyle w:val="normaltextrun"/>
          <w:i w:val="0"/>
          <w:iCs w:val="0"/>
          <w:sz w:val="24"/>
          <w:szCs w:val="24"/>
          <w:lang w:val="fr-FR"/>
        </w:rPr>
        <w:t>’</w:t>
      </w:r>
      <w:r w:rsidRPr="00653BF4">
        <w:rPr>
          <w:rStyle w:val="normaltextrun"/>
          <w:i w:val="0"/>
          <w:iCs w:val="0"/>
          <w:sz w:val="24"/>
          <w:szCs w:val="24"/>
          <w:lang w:val="fr-FR"/>
        </w:rPr>
        <w:t>après les auto-évaluations des Parties dans leurs rapports nationaux, 35</w:t>
      </w:r>
      <w:r w:rsidR="002878D7">
        <w:rPr>
          <w:rStyle w:val="normaltextrun"/>
          <w:i w:val="0"/>
          <w:iCs w:val="0"/>
          <w:sz w:val="24"/>
          <w:szCs w:val="24"/>
          <w:lang w:val="fr-FR"/>
        </w:rPr>
        <w:t> %</w:t>
      </w:r>
      <w:r w:rsidRPr="00653BF4">
        <w:rPr>
          <w:rStyle w:val="normaltextrun"/>
          <w:i w:val="0"/>
          <w:iCs w:val="0"/>
          <w:sz w:val="24"/>
          <w:szCs w:val="24"/>
          <w:lang w:val="fr-FR"/>
        </w:rPr>
        <w:t xml:space="preserve"> seulement des cibles nationales qu</w:t>
      </w:r>
      <w:r w:rsidR="00D77549">
        <w:rPr>
          <w:rStyle w:val="normaltextrun"/>
          <w:i w:val="0"/>
          <w:iCs w:val="0"/>
          <w:sz w:val="24"/>
          <w:szCs w:val="24"/>
          <w:lang w:val="fr-FR"/>
        </w:rPr>
        <w:t>’</w:t>
      </w:r>
      <w:r w:rsidRPr="00653BF4">
        <w:rPr>
          <w:rStyle w:val="normaltextrun"/>
          <w:i w:val="0"/>
          <w:iCs w:val="0"/>
          <w:sz w:val="24"/>
          <w:szCs w:val="24"/>
          <w:lang w:val="fr-FR"/>
        </w:rPr>
        <w:t xml:space="preserve">elles ont présentées comme étroitement alignées sur la </w:t>
      </w:r>
      <w:r w:rsidR="00E34DC9">
        <w:rPr>
          <w:rStyle w:val="normaltextrun"/>
          <w:i w:val="0"/>
          <w:iCs w:val="0"/>
          <w:sz w:val="24"/>
          <w:szCs w:val="24"/>
          <w:lang w:val="fr-FR"/>
        </w:rPr>
        <w:t>cible 1</w:t>
      </w:r>
      <w:r w:rsidRPr="00653BF4">
        <w:rPr>
          <w:rStyle w:val="normaltextrun"/>
          <w:i w:val="0"/>
          <w:iCs w:val="0"/>
          <w:sz w:val="24"/>
          <w:szCs w:val="24"/>
          <w:lang w:val="fr-FR"/>
        </w:rPr>
        <w:t>1 sont en voie d</w:t>
      </w:r>
      <w:r w:rsidR="00D77549">
        <w:rPr>
          <w:rStyle w:val="normaltextrun"/>
          <w:i w:val="0"/>
          <w:iCs w:val="0"/>
          <w:sz w:val="24"/>
          <w:szCs w:val="24"/>
          <w:lang w:val="fr-FR"/>
        </w:rPr>
        <w:t>’</w:t>
      </w:r>
      <w:r w:rsidRPr="00653BF4">
        <w:rPr>
          <w:rStyle w:val="normaltextrun"/>
          <w:i w:val="0"/>
          <w:iCs w:val="0"/>
          <w:sz w:val="24"/>
          <w:szCs w:val="24"/>
          <w:lang w:val="fr-FR"/>
        </w:rPr>
        <w:t>être atteintes, alors qu</w:t>
      </w:r>
      <w:r w:rsidR="00D77549">
        <w:rPr>
          <w:rStyle w:val="normaltextrun"/>
          <w:i w:val="0"/>
          <w:iCs w:val="0"/>
          <w:sz w:val="24"/>
          <w:szCs w:val="24"/>
          <w:lang w:val="fr-FR"/>
        </w:rPr>
        <w:t>’</w:t>
      </w:r>
      <w:r w:rsidRPr="00653BF4">
        <w:rPr>
          <w:rStyle w:val="normaltextrun"/>
          <w:i w:val="0"/>
          <w:iCs w:val="0"/>
          <w:sz w:val="24"/>
          <w:szCs w:val="24"/>
          <w:lang w:val="fr-FR"/>
        </w:rPr>
        <w:t>une proportion bien plus importante (64</w:t>
      </w:r>
      <w:r w:rsidR="002878D7">
        <w:rPr>
          <w:rStyle w:val="normaltextrun"/>
          <w:i w:val="0"/>
          <w:iCs w:val="0"/>
          <w:sz w:val="24"/>
          <w:szCs w:val="24"/>
          <w:lang w:val="fr-FR"/>
        </w:rPr>
        <w:t> %</w:t>
      </w:r>
      <w:r w:rsidRPr="00653BF4">
        <w:rPr>
          <w:rStyle w:val="normaltextrun"/>
          <w:i w:val="0"/>
          <w:iCs w:val="0"/>
          <w:sz w:val="24"/>
          <w:szCs w:val="24"/>
          <w:lang w:val="fr-FR"/>
        </w:rPr>
        <w:t>) n</w:t>
      </w:r>
      <w:r w:rsidR="00D77549">
        <w:rPr>
          <w:rStyle w:val="normaltextrun"/>
          <w:i w:val="0"/>
          <w:iCs w:val="0"/>
          <w:sz w:val="24"/>
          <w:szCs w:val="24"/>
          <w:lang w:val="fr-FR"/>
        </w:rPr>
        <w:t>’</w:t>
      </w:r>
      <w:r w:rsidRPr="00653BF4">
        <w:rPr>
          <w:rStyle w:val="normaltextrun"/>
          <w:i w:val="0"/>
          <w:iCs w:val="0"/>
          <w:sz w:val="24"/>
          <w:szCs w:val="24"/>
          <w:lang w:val="fr-FR"/>
        </w:rPr>
        <w:t>enregistre aucun changement notable ou des progrès insuffisants et qu</w:t>
      </w:r>
      <w:r w:rsidR="00D77549">
        <w:rPr>
          <w:rStyle w:val="normaltextrun"/>
          <w:i w:val="0"/>
          <w:iCs w:val="0"/>
          <w:sz w:val="24"/>
          <w:szCs w:val="24"/>
          <w:lang w:val="fr-FR"/>
        </w:rPr>
        <w:t>’</w:t>
      </w:r>
      <w:r w:rsidRPr="00653BF4">
        <w:rPr>
          <w:rStyle w:val="normaltextrun"/>
          <w:i w:val="0"/>
          <w:iCs w:val="0"/>
          <w:sz w:val="24"/>
          <w:szCs w:val="24"/>
          <w:lang w:val="fr-FR"/>
        </w:rPr>
        <w:t>une cible nationale seulement (0,2</w:t>
      </w:r>
      <w:r w:rsidR="002878D7">
        <w:rPr>
          <w:rStyle w:val="normaltextrun"/>
          <w:i w:val="0"/>
          <w:iCs w:val="0"/>
          <w:sz w:val="24"/>
          <w:szCs w:val="24"/>
          <w:lang w:val="fr-FR"/>
        </w:rPr>
        <w:t> %</w:t>
      </w:r>
      <w:r w:rsidRPr="00653BF4">
        <w:rPr>
          <w:rStyle w:val="normaltextrun"/>
          <w:i w:val="0"/>
          <w:iCs w:val="0"/>
          <w:sz w:val="24"/>
          <w:szCs w:val="24"/>
          <w:lang w:val="fr-FR"/>
        </w:rPr>
        <w:t>) a été déclarée déjà atteinte (voir la figure 52).</w:t>
      </w:r>
      <w:r w:rsidRPr="00653BF4">
        <w:rPr>
          <w:rStyle w:val="eop"/>
          <w:i w:val="0"/>
          <w:iCs w:val="0"/>
          <w:sz w:val="24"/>
          <w:szCs w:val="24"/>
          <w:lang w:val="fr-FR"/>
        </w:rPr>
        <w:t> </w:t>
      </w:r>
    </w:p>
    <w:p w14:paraId="4932C916" w14:textId="77777777" w:rsidR="00B87039" w:rsidRPr="00653BF4" w:rsidRDefault="00B87039" w:rsidP="00B87039">
      <w:pPr>
        <w:rPr>
          <w:rFonts w:eastAsia="Aptos" w:cs="Aptos"/>
          <w:lang w:val="fr-FR"/>
        </w:rPr>
      </w:pPr>
    </w:p>
    <w:p w14:paraId="3C59358C" w14:textId="77777777" w:rsidR="00B87039" w:rsidRPr="00653BF4" w:rsidRDefault="00B87039" w:rsidP="00B87039">
      <w:pPr>
        <w:rPr>
          <w:sz w:val="20"/>
          <w:szCs w:val="20"/>
          <w:lang w:val="fr-FR"/>
        </w:rPr>
      </w:pPr>
      <w:r w:rsidRPr="00653BF4">
        <w:rPr>
          <w:sz w:val="20"/>
          <w:szCs w:val="20"/>
          <w:lang w:val="fr-FR"/>
        </w:rPr>
        <w:t>Figure 52</w:t>
      </w:r>
    </w:p>
    <w:p w14:paraId="45680C8F" w14:textId="79559706" w:rsidR="00B87039" w:rsidRPr="00653BF4"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1</w:t>
      </w:r>
      <w:r w:rsidRPr="00653BF4">
        <w:rPr>
          <w:b/>
          <w:bCs/>
          <w:i w:val="0"/>
          <w:iCs w:val="0"/>
          <w:sz w:val="20"/>
          <w:szCs w:val="20"/>
          <w:lang w:val="fr-FR"/>
        </w:rPr>
        <w:t>1 du Cadre</w:t>
      </w:r>
    </w:p>
    <w:p w14:paraId="4E9146C1" w14:textId="77777777" w:rsidR="00B87039" w:rsidRPr="00653BF4" w:rsidRDefault="00B87039" w:rsidP="00B87039">
      <w:pPr>
        <w:pStyle w:val="Caption"/>
        <w:rPr>
          <w:lang w:val="fr-FR"/>
        </w:rPr>
      </w:pPr>
      <w:bookmarkStart w:id="218" w:name="_Ref231190957"/>
      <w:r w:rsidRPr="00653BF4">
        <w:rPr>
          <w:rFonts w:eastAsia="Aptos" w:cs="Aptos"/>
          <w:noProof/>
          <w:lang w:val="fr-FR"/>
        </w:rPr>
        <w:drawing>
          <wp:inline distT="0" distB="0" distL="0" distR="0" wp14:anchorId="1F539FA1" wp14:editId="661FAD4A">
            <wp:extent cx="5731510" cy="2292350"/>
            <wp:effectExtent l="0" t="0" r="0" b="6350"/>
            <wp:docPr id="13809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161" name="Picture 13809161"/>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3654475C" w14:textId="597DD7D5" w:rsidR="00B87039" w:rsidRPr="00653BF4" w:rsidRDefault="00B87039" w:rsidP="00B87039">
      <w:pPr>
        <w:pStyle w:val="Caption"/>
        <w:rPr>
          <w:i w:val="0"/>
          <w:iCs w:val="0"/>
          <w:lang w:val="fr-FR"/>
        </w:rPr>
      </w:pPr>
      <w:bookmarkStart w:id="219" w:name="_Toc235821186"/>
      <w:bookmarkEnd w:id="218"/>
      <w:r w:rsidRPr="00653BF4">
        <w:rPr>
          <w:lang w:val="fr-FR"/>
        </w:rPr>
        <w:t>Note</w:t>
      </w:r>
      <w:r w:rsidR="00E34DC9">
        <w:rPr>
          <w:lang w:val="fr-FR"/>
        </w:rPr>
        <w:t> :</w:t>
      </w:r>
      <w:r w:rsidRPr="00653BF4">
        <w:rPr>
          <w:lang w:val="fr-FR"/>
        </w:rPr>
        <w:t xml:space="preserve"> </w:t>
      </w:r>
      <w:r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9476" w:type="dxa"/>
        <w:tblLook w:val="04A0" w:firstRow="1" w:lastRow="0" w:firstColumn="1" w:lastColumn="0" w:noHBand="0" w:noVBand="1"/>
      </w:tblPr>
      <w:tblGrid>
        <w:gridCol w:w="4165"/>
        <w:gridCol w:w="5298"/>
        <w:gridCol w:w="13"/>
      </w:tblGrid>
      <w:tr w:rsidR="00735F5E" w:rsidRPr="006F7AF8" w14:paraId="7FA4BC18" w14:textId="77777777" w:rsidTr="009B4355">
        <w:tc>
          <w:tcPr>
            <w:tcW w:w="9476" w:type="dxa"/>
            <w:gridSpan w:val="3"/>
          </w:tcPr>
          <w:p w14:paraId="5B1CEC5E" w14:textId="77777777" w:rsidR="00735F5E" w:rsidRPr="006F7AF8" w:rsidRDefault="00735F5E" w:rsidP="009B4355">
            <w:pPr>
              <w:rPr>
                <w:rFonts w:ascii="Aptos" w:hAnsi="Aptos"/>
                <w:lang w:val="fr-FR"/>
              </w:rPr>
            </w:pPr>
            <w:r>
              <w:rPr>
                <w:rFonts w:ascii="Aptos" w:hAnsi="Aptos"/>
                <w:lang w:val="fr-FR"/>
              </w:rPr>
              <w:t>Figure 52</w:t>
            </w:r>
          </w:p>
        </w:tc>
      </w:tr>
      <w:tr w:rsidR="00735F5E" w:rsidRPr="00E079E7" w14:paraId="5D637B15" w14:textId="77777777" w:rsidTr="009B4355">
        <w:trPr>
          <w:gridAfter w:val="1"/>
          <w:wAfter w:w="13" w:type="dxa"/>
        </w:trPr>
        <w:tc>
          <w:tcPr>
            <w:tcW w:w="4165" w:type="dxa"/>
          </w:tcPr>
          <w:p w14:paraId="6DD0DEC6" w14:textId="77777777" w:rsidR="00735F5E" w:rsidRPr="00E079E7" w:rsidRDefault="00735F5E" w:rsidP="009B4355">
            <w:pPr>
              <w:rPr>
                <w:rFonts w:ascii="Aptos" w:hAnsi="Aptos"/>
                <w:lang w:val="fr-FR"/>
              </w:rPr>
            </w:pPr>
            <w:r w:rsidRPr="00E079E7">
              <w:rPr>
                <w:rFonts w:ascii="Aptos" w:hAnsi="Aptos"/>
                <w:lang w:val="fr-FR"/>
              </w:rPr>
              <w:t xml:space="preserve">English </w:t>
            </w:r>
          </w:p>
        </w:tc>
        <w:tc>
          <w:tcPr>
            <w:tcW w:w="5298" w:type="dxa"/>
          </w:tcPr>
          <w:p w14:paraId="00FF4E17" w14:textId="77777777" w:rsidR="00735F5E" w:rsidRPr="00E079E7" w:rsidRDefault="00735F5E" w:rsidP="009B4355">
            <w:pPr>
              <w:rPr>
                <w:rFonts w:ascii="Aptos" w:hAnsi="Aptos"/>
                <w:lang w:val="fr-FR"/>
              </w:rPr>
            </w:pPr>
            <w:r>
              <w:rPr>
                <w:rFonts w:ascii="Aptos" w:hAnsi="Aptos"/>
                <w:lang w:val="fr-FR"/>
              </w:rPr>
              <w:t>Français</w:t>
            </w:r>
          </w:p>
        </w:tc>
      </w:tr>
      <w:tr w:rsidR="00735F5E" w:rsidRPr="006F7AF8" w14:paraId="4F28B8F2" w14:textId="77777777" w:rsidTr="009B4355">
        <w:trPr>
          <w:gridAfter w:val="1"/>
          <w:wAfter w:w="13" w:type="dxa"/>
        </w:trPr>
        <w:tc>
          <w:tcPr>
            <w:tcW w:w="4165" w:type="dxa"/>
          </w:tcPr>
          <w:p w14:paraId="4C75AD58" w14:textId="77777777" w:rsidR="00735F5E" w:rsidRPr="006F7AF8" w:rsidRDefault="00735F5E" w:rsidP="009B4355">
            <w:pPr>
              <w:rPr>
                <w:rFonts w:ascii="Aptos" w:hAnsi="Aptos"/>
                <w:lang w:val="fr-FR"/>
              </w:rPr>
            </w:pPr>
            <w:r w:rsidRPr="006F7AF8">
              <w:rPr>
                <w:rFonts w:ascii="Aptos" w:hAnsi="Aptos"/>
                <w:lang w:val="fr-FR"/>
              </w:rPr>
              <w:t>Percentage of national targets</w:t>
            </w:r>
          </w:p>
        </w:tc>
        <w:tc>
          <w:tcPr>
            <w:tcW w:w="5298" w:type="dxa"/>
          </w:tcPr>
          <w:p w14:paraId="5987F0AB" w14:textId="77777777" w:rsidR="00735F5E" w:rsidRPr="006F7AF8" w:rsidRDefault="00735F5E" w:rsidP="009B4355">
            <w:pPr>
              <w:rPr>
                <w:rFonts w:ascii="Aptos" w:hAnsi="Aptos"/>
                <w:lang w:val="fr-FR"/>
              </w:rPr>
            </w:pPr>
            <w:r>
              <w:t>Pourcentage de cibles nationales</w:t>
            </w:r>
          </w:p>
        </w:tc>
      </w:tr>
      <w:tr w:rsidR="00735F5E" w:rsidRPr="006F7AF8" w14:paraId="582165F5" w14:textId="77777777" w:rsidTr="009B4355">
        <w:trPr>
          <w:gridAfter w:val="1"/>
          <w:wAfter w:w="13" w:type="dxa"/>
        </w:trPr>
        <w:tc>
          <w:tcPr>
            <w:tcW w:w="4165" w:type="dxa"/>
          </w:tcPr>
          <w:p w14:paraId="684BFA2C" w14:textId="77777777" w:rsidR="00735F5E" w:rsidRPr="006F7AF8" w:rsidRDefault="00735F5E" w:rsidP="009B4355">
            <w:pPr>
              <w:rPr>
                <w:rFonts w:ascii="Aptos" w:hAnsi="Aptos"/>
                <w:lang w:val="fr-FR"/>
              </w:rPr>
            </w:pPr>
            <w:r w:rsidRPr="006F7AF8">
              <w:rPr>
                <w:rFonts w:ascii="Aptos" w:hAnsi="Aptos"/>
                <w:lang w:val="fr-FR"/>
              </w:rPr>
              <w:t>Progress Level</w:t>
            </w:r>
          </w:p>
        </w:tc>
        <w:tc>
          <w:tcPr>
            <w:tcW w:w="5298" w:type="dxa"/>
          </w:tcPr>
          <w:p w14:paraId="45C95728" w14:textId="77777777" w:rsidR="00735F5E" w:rsidRPr="006F7AF8" w:rsidRDefault="00735F5E" w:rsidP="009B4355">
            <w:pPr>
              <w:rPr>
                <w:rFonts w:ascii="Aptos" w:hAnsi="Aptos"/>
                <w:lang w:val="fr-FR"/>
              </w:rPr>
            </w:pPr>
            <w:r>
              <w:t>État d’avancement</w:t>
            </w:r>
          </w:p>
        </w:tc>
      </w:tr>
      <w:tr w:rsidR="00735F5E" w:rsidRPr="006F7AF8" w14:paraId="6DE7A028" w14:textId="77777777" w:rsidTr="009B4355">
        <w:trPr>
          <w:gridAfter w:val="1"/>
          <w:wAfter w:w="13" w:type="dxa"/>
        </w:trPr>
        <w:tc>
          <w:tcPr>
            <w:tcW w:w="4165" w:type="dxa"/>
          </w:tcPr>
          <w:p w14:paraId="14514C56" w14:textId="77777777" w:rsidR="00735F5E" w:rsidRPr="006F7AF8" w:rsidRDefault="00735F5E" w:rsidP="009B4355">
            <w:pPr>
              <w:rPr>
                <w:rFonts w:ascii="Aptos" w:hAnsi="Aptos"/>
                <w:lang w:val="fr-FR"/>
              </w:rPr>
            </w:pPr>
            <w:r w:rsidRPr="006F7AF8">
              <w:rPr>
                <w:rFonts w:ascii="Aptos" w:hAnsi="Aptos"/>
                <w:lang w:val="fr-FR"/>
              </w:rPr>
              <w:t>Achieved</w:t>
            </w:r>
          </w:p>
        </w:tc>
        <w:tc>
          <w:tcPr>
            <w:tcW w:w="5298" w:type="dxa"/>
          </w:tcPr>
          <w:p w14:paraId="0DEA3B0A" w14:textId="77777777" w:rsidR="00735F5E" w:rsidRPr="006F7AF8" w:rsidRDefault="00735F5E" w:rsidP="009B4355">
            <w:pPr>
              <w:rPr>
                <w:rFonts w:ascii="Aptos" w:hAnsi="Aptos"/>
                <w:lang w:val="fr-FR"/>
              </w:rPr>
            </w:pPr>
            <w:r>
              <w:t>Cible atteinte</w:t>
            </w:r>
          </w:p>
        </w:tc>
      </w:tr>
      <w:tr w:rsidR="00735F5E" w:rsidRPr="006F7AF8" w14:paraId="09AD20E1" w14:textId="77777777" w:rsidTr="009B4355">
        <w:trPr>
          <w:gridAfter w:val="1"/>
          <w:wAfter w:w="13" w:type="dxa"/>
        </w:trPr>
        <w:tc>
          <w:tcPr>
            <w:tcW w:w="4165" w:type="dxa"/>
          </w:tcPr>
          <w:p w14:paraId="69F82134" w14:textId="77777777" w:rsidR="00735F5E" w:rsidRPr="006F7AF8" w:rsidRDefault="00735F5E" w:rsidP="009B4355">
            <w:pPr>
              <w:rPr>
                <w:rFonts w:ascii="Aptos" w:hAnsi="Aptos"/>
                <w:lang w:val="fr-FR"/>
              </w:rPr>
            </w:pPr>
            <w:r w:rsidRPr="006F7AF8">
              <w:rPr>
                <w:rFonts w:ascii="Aptos" w:hAnsi="Aptos"/>
                <w:lang w:val="fr-FR"/>
              </w:rPr>
              <w:t>On track to achieve target</w:t>
            </w:r>
          </w:p>
        </w:tc>
        <w:tc>
          <w:tcPr>
            <w:tcW w:w="5298" w:type="dxa"/>
          </w:tcPr>
          <w:p w14:paraId="6F1EBFB3" w14:textId="77777777" w:rsidR="00735F5E" w:rsidRPr="006F7AF8" w:rsidRDefault="00735F5E" w:rsidP="009B4355">
            <w:pPr>
              <w:rPr>
                <w:rFonts w:ascii="Aptos" w:hAnsi="Aptos"/>
                <w:lang w:val="fr-FR"/>
              </w:rPr>
            </w:pPr>
            <w:r>
              <w:t>En voie d’atteindre la cible</w:t>
            </w:r>
          </w:p>
        </w:tc>
      </w:tr>
      <w:tr w:rsidR="00735F5E" w:rsidRPr="006F7AF8" w14:paraId="0025ECC0" w14:textId="77777777" w:rsidTr="009B4355">
        <w:trPr>
          <w:gridAfter w:val="1"/>
          <w:wAfter w:w="13" w:type="dxa"/>
        </w:trPr>
        <w:tc>
          <w:tcPr>
            <w:tcW w:w="4165" w:type="dxa"/>
          </w:tcPr>
          <w:p w14:paraId="51D30C1D" w14:textId="77777777" w:rsidR="00735F5E" w:rsidRPr="006F7AF8" w:rsidRDefault="00735F5E" w:rsidP="009B4355">
            <w:pPr>
              <w:rPr>
                <w:rFonts w:ascii="Aptos" w:hAnsi="Aptos"/>
                <w:lang w:val="fr-FR"/>
              </w:rPr>
            </w:pPr>
            <w:r w:rsidRPr="006F7AF8">
              <w:rPr>
                <w:rFonts w:ascii="Aptos" w:hAnsi="Aptos"/>
                <w:lang w:val="fr-FR"/>
              </w:rPr>
              <w:t>Progress towards target but at an insufficient rate</w:t>
            </w:r>
          </w:p>
        </w:tc>
        <w:tc>
          <w:tcPr>
            <w:tcW w:w="5298" w:type="dxa"/>
          </w:tcPr>
          <w:p w14:paraId="28848D1A" w14:textId="77777777" w:rsidR="00735F5E" w:rsidRPr="006F7AF8" w:rsidRDefault="00735F5E" w:rsidP="009B4355">
            <w:pPr>
              <w:rPr>
                <w:rFonts w:ascii="Aptos" w:hAnsi="Aptos"/>
                <w:lang w:val="fr-FR"/>
              </w:rPr>
            </w:pPr>
            <w:r>
              <w:t>Progrès accomplis, mais à un rythme insuffisant</w:t>
            </w:r>
          </w:p>
        </w:tc>
      </w:tr>
      <w:tr w:rsidR="00735F5E" w:rsidRPr="006F7AF8" w14:paraId="1526EC30" w14:textId="77777777" w:rsidTr="009B4355">
        <w:trPr>
          <w:gridAfter w:val="1"/>
          <w:wAfter w:w="13" w:type="dxa"/>
        </w:trPr>
        <w:tc>
          <w:tcPr>
            <w:tcW w:w="4165" w:type="dxa"/>
          </w:tcPr>
          <w:p w14:paraId="49F82E1B" w14:textId="77777777" w:rsidR="00735F5E" w:rsidRPr="006F7AF8" w:rsidRDefault="00735F5E" w:rsidP="009B4355">
            <w:pPr>
              <w:rPr>
                <w:rFonts w:ascii="Aptos" w:hAnsi="Aptos"/>
                <w:lang w:val="fr-FR"/>
              </w:rPr>
            </w:pPr>
            <w:r w:rsidRPr="006F7AF8">
              <w:rPr>
                <w:rFonts w:ascii="Aptos" w:hAnsi="Aptos"/>
                <w:lang w:val="fr-FR"/>
              </w:rPr>
              <w:t>No significant change</w:t>
            </w:r>
          </w:p>
        </w:tc>
        <w:tc>
          <w:tcPr>
            <w:tcW w:w="5298" w:type="dxa"/>
          </w:tcPr>
          <w:p w14:paraId="510DB007" w14:textId="77777777" w:rsidR="00735F5E" w:rsidRPr="006F7AF8" w:rsidRDefault="00735F5E" w:rsidP="009B4355">
            <w:pPr>
              <w:rPr>
                <w:rFonts w:ascii="Aptos" w:hAnsi="Aptos"/>
                <w:lang w:val="fr-FR"/>
              </w:rPr>
            </w:pPr>
            <w:r>
              <w:t>Pas de changement notable</w:t>
            </w:r>
          </w:p>
        </w:tc>
      </w:tr>
      <w:tr w:rsidR="00735F5E" w:rsidRPr="006F7AF8" w14:paraId="21F12685" w14:textId="77777777" w:rsidTr="009B4355">
        <w:trPr>
          <w:gridAfter w:val="1"/>
          <w:wAfter w:w="13" w:type="dxa"/>
        </w:trPr>
        <w:tc>
          <w:tcPr>
            <w:tcW w:w="4165" w:type="dxa"/>
          </w:tcPr>
          <w:p w14:paraId="113FB9A5" w14:textId="77777777" w:rsidR="00735F5E" w:rsidRPr="006F7AF8" w:rsidRDefault="00735F5E" w:rsidP="009B4355">
            <w:pPr>
              <w:rPr>
                <w:rFonts w:ascii="Aptos" w:hAnsi="Aptos"/>
                <w:lang w:val="fr-FR"/>
              </w:rPr>
            </w:pPr>
            <w:r w:rsidRPr="006F7AF8">
              <w:rPr>
                <w:rFonts w:ascii="Aptos" w:hAnsi="Aptos"/>
                <w:lang w:val="fr-FR"/>
              </w:rPr>
              <w:lastRenderedPageBreak/>
              <w:t>Unknown</w:t>
            </w:r>
          </w:p>
        </w:tc>
        <w:tc>
          <w:tcPr>
            <w:tcW w:w="5298" w:type="dxa"/>
          </w:tcPr>
          <w:p w14:paraId="54C19800" w14:textId="77777777" w:rsidR="00735F5E" w:rsidRPr="006F7AF8" w:rsidRDefault="00735F5E" w:rsidP="009B4355">
            <w:pPr>
              <w:rPr>
                <w:rFonts w:ascii="Aptos" w:hAnsi="Aptos"/>
                <w:lang w:val="fr-FR"/>
              </w:rPr>
            </w:pPr>
            <w:r w:rsidRPr="006F7AF8">
              <w:rPr>
                <w:rFonts w:ascii="Aptos" w:hAnsi="Aptos"/>
                <w:lang w:val="fr-FR"/>
              </w:rPr>
              <w:t>Inconnu</w:t>
            </w:r>
          </w:p>
        </w:tc>
      </w:tr>
      <w:tr w:rsidR="00735F5E" w:rsidRPr="006F7AF8" w14:paraId="2C4E04C4" w14:textId="77777777" w:rsidTr="009B4355">
        <w:trPr>
          <w:gridAfter w:val="1"/>
          <w:wAfter w:w="13" w:type="dxa"/>
        </w:trPr>
        <w:tc>
          <w:tcPr>
            <w:tcW w:w="4165" w:type="dxa"/>
          </w:tcPr>
          <w:p w14:paraId="3B5F9315" w14:textId="77777777" w:rsidR="00735F5E" w:rsidRPr="006F7AF8" w:rsidRDefault="00735F5E" w:rsidP="009B4355">
            <w:pPr>
              <w:rPr>
                <w:rFonts w:ascii="Aptos" w:hAnsi="Aptos"/>
                <w:lang w:val="fr-FR"/>
              </w:rPr>
            </w:pPr>
            <w:r w:rsidRPr="006F7AF8">
              <w:rPr>
                <w:rFonts w:ascii="Aptos" w:hAnsi="Aptos"/>
                <w:lang w:val="fr-FR"/>
              </w:rPr>
              <w:t>Party count: 91</w:t>
            </w:r>
          </w:p>
        </w:tc>
        <w:tc>
          <w:tcPr>
            <w:tcW w:w="5298" w:type="dxa"/>
          </w:tcPr>
          <w:p w14:paraId="5C9A7381" w14:textId="77777777" w:rsidR="00735F5E" w:rsidRPr="006F7AF8" w:rsidRDefault="00735F5E" w:rsidP="009B4355">
            <w:pPr>
              <w:rPr>
                <w:rFonts w:ascii="Aptos" w:hAnsi="Aptos"/>
                <w:lang w:val="fr-FR"/>
              </w:rPr>
            </w:pPr>
            <w:r w:rsidRPr="006F7AF8">
              <w:rPr>
                <w:rFonts w:ascii="Aptos" w:hAnsi="Aptos"/>
                <w:lang w:val="fr-FR"/>
              </w:rPr>
              <w:t>Nombre de Parties : 91</w:t>
            </w:r>
          </w:p>
        </w:tc>
      </w:tr>
      <w:tr w:rsidR="00735F5E" w:rsidRPr="006F7AF8" w14:paraId="25EEA0E0" w14:textId="77777777" w:rsidTr="009B4355">
        <w:trPr>
          <w:gridAfter w:val="1"/>
          <w:wAfter w:w="13" w:type="dxa"/>
        </w:trPr>
        <w:tc>
          <w:tcPr>
            <w:tcW w:w="4165" w:type="dxa"/>
          </w:tcPr>
          <w:p w14:paraId="48199211" w14:textId="77777777" w:rsidR="00735F5E" w:rsidRPr="006F7AF8" w:rsidRDefault="00735F5E" w:rsidP="009B4355">
            <w:pPr>
              <w:rPr>
                <w:rFonts w:ascii="Aptos" w:hAnsi="Aptos"/>
                <w:lang w:val="fr-FR"/>
              </w:rPr>
            </w:pPr>
            <w:r w:rsidRPr="006F7AF8">
              <w:rPr>
                <w:rFonts w:ascii="Aptos" w:hAnsi="Aptos"/>
                <w:lang w:val="fr-FR"/>
              </w:rPr>
              <w:t>Region</w:t>
            </w:r>
          </w:p>
        </w:tc>
        <w:tc>
          <w:tcPr>
            <w:tcW w:w="5298" w:type="dxa"/>
          </w:tcPr>
          <w:p w14:paraId="18057F3A"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10E125DF" w14:textId="77777777" w:rsidTr="009B4355">
        <w:trPr>
          <w:gridAfter w:val="1"/>
          <w:wAfter w:w="13" w:type="dxa"/>
        </w:trPr>
        <w:tc>
          <w:tcPr>
            <w:tcW w:w="4165" w:type="dxa"/>
          </w:tcPr>
          <w:p w14:paraId="4E9E6BD2" w14:textId="77777777" w:rsidR="00735F5E" w:rsidRPr="006F7AF8" w:rsidRDefault="00735F5E" w:rsidP="009B4355">
            <w:pPr>
              <w:rPr>
                <w:rFonts w:ascii="Aptos" w:hAnsi="Aptos"/>
                <w:lang w:val="fr-FR"/>
              </w:rPr>
            </w:pPr>
            <w:r w:rsidRPr="006F7AF8">
              <w:rPr>
                <w:rFonts w:ascii="Aptos" w:hAnsi="Aptos"/>
                <w:lang w:val="fr-FR"/>
              </w:rPr>
              <w:t>African States</w:t>
            </w:r>
          </w:p>
        </w:tc>
        <w:tc>
          <w:tcPr>
            <w:tcW w:w="5298" w:type="dxa"/>
          </w:tcPr>
          <w:p w14:paraId="2E9B24D7"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2B61B920" w14:textId="77777777" w:rsidTr="009B4355">
        <w:trPr>
          <w:gridAfter w:val="1"/>
          <w:wAfter w:w="13" w:type="dxa"/>
        </w:trPr>
        <w:tc>
          <w:tcPr>
            <w:tcW w:w="4165" w:type="dxa"/>
          </w:tcPr>
          <w:p w14:paraId="2876A6B8"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5298" w:type="dxa"/>
          </w:tcPr>
          <w:p w14:paraId="6AE697FD"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4290069D" w14:textId="77777777" w:rsidTr="009B4355">
        <w:trPr>
          <w:gridAfter w:val="1"/>
          <w:wAfter w:w="13" w:type="dxa"/>
        </w:trPr>
        <w:tc>
          <w:tcPr>
            <w:tcW w:w="4165" w:type="dxa"/>
          </w:tcPr>
          <w:p w14:paraId="5F07CFF9"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5298" w:type="dxa"/>
          </w:tcPr>
          <w:p w14:paraId="49C26B02"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38060246" w14:textId="77777777" w:rsidTr="009B4355">
        <w:trPr>
          <w:gridAfter w:val="1"/>
          <w:wAfter w:w="13" w:type="dxa"/>
        </w:trPr>
        <w:tc>
          <w:tcPr>
            <w:tcW w:w="4165" w:type="dxa"/>
          </w:tcPr>
          <w:p w14:paraId="2A5A9B8A"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5298" w:type="dxa"/>
          </w:tcPr>
          <w:p w14:paraId="710DC330"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386DB95A" w14:textId="77777777" w:rsidTr="009B4355">
        <w:trPr>
          <w:gridAfter w:val="1"/>
          <w:wAfter w:w="13" w:type="dxa"/>
        </w:trPr>
        <w:tc>
          <w:tcPr>
            <w:tcW w:w="4165" w:type="dxa"/>
          </w:tcPr>
          <w:p w14:paraId="5991F864" w14:textId="77777777" w:rsidR="00735F5E" w:rsidRPr="006F7AF8" w:rsidRDefault="00735F5E" w:rsidP="009B4355">
            <w:pPr>
              <w:rPr>
                <w:rFonts w:ascii="Aptos" w:hAnsi="Aptos"/>
                <w:lang w:val="fr-FR"/>
              </w:rPr>
            </w:pPr>
            <w:r w:rsidRPr="006F7AF8">
              <w:rPr>
                <w:rFonts w:ascii="Aptos" w:hAnsi="Aptos"/>
                <w:lang w:val="fr-FR"/>
              </w:rPr>
              <w:t>Western uropean and other States</w:t>
            </w:r>
          </w:p>
        </w:tc>
        <w:tc>
          <w:tcPr>
            <w:tcW w:w="5298" w:type="dxa"/>
          </w:tcPr>
          <w:p w14:paraId="4FF300AC"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5A4267D1" w14:textId="77777777" w:rsidR="00B87039" w:rsidRPr="00653BF4" w:rsidRDefault="00B87039" w:rsidP="00B87039">
      <w:pPr>
        <w:pStyle w:val="Heading5"/>
        <w:rPr>
          <w:lang w:val="fr-FR"/>
        </w:rPr>
      </w:pPr>
    </w:p>
    <w:p w14:paraId="40959D22" w14:textId="77777777" w:rsidR="00B87039" w:rsidRPr="00653BF4" w:rsidRDefault="00B87039" w:rsidP="00B87039">
      <w:pPr>
        <w:pStyle w:val="Heading5"/>
        <w:rPr>
          <w:lang w:val="fr-FR"/>
        </w:rPr>
      </w:pPr>
      <w:r w:rsidRPr="00653BF4">
        <w:rPr>
          <w:lang w:val="fr-FR"/>
        </w:rPr>
        <w:t>Actions, réussites et difficultés</w:t>
      </w:r>
      <w:bookmarkEnd w:id="219"/>
      <w:r w:rsidRPr="00653BF4">
        <w:rPr>
          <w:lang w:val="fr-FR"/>
        </w:rPr>
        <w:t xml:space="preserve"> dans la mise en œuvre</w:t>
      </w:r>
    </w:p>
    <w:p w14:paraId="46BA03E2" w14:textId="77777777" w:rsidR="00B87039" w:rsidRPr="00653BF4" w:rsidRDefault="00B87039" w:rsidP="00B87039">
      <w:pPr>
        <w:pStyle w:val="Heading6"/>
        <w:rPr>
          <w:lang w:val="fr-FR"/>
        </w:rPr>
      </w:pPr>
      <w:bookmarkStart w:id="220" w:name="_Toc235821187"/>
    </w:p>
    <w:p w14:paraId="6933C978" w14:textId="1A03C07E" w:rsidR="00B87039" w:rsidRPr="00653BF4" w:rsidRDefault="00B87039" w:rsidP="00B87039">
      <w:pPr>
        <w:pStyle w:val="Heading6"/>
        <w:rPr>
          <w:lang w:val="fr-FR"/>
        </w:rPr>
      </w:pPr>
      <w:r w:rsidRPr="00653BF4">
        <w:rPr>
          <w:lang w:val="fr-FR"/>
        </w:rPr>
        <w:t>Résumé des actions menées à l</w:t>
      </w:r>
      <w:r w:rsidR="00D77549">
        <w:rPr>
          <w:lang w:val="fr-FR"/>
        </w:rPr>
        <w:t>’</w:t>
      </w:r>
      <w:r w:rsidRPr="00653BF4">
        <w:rPr>
          <w:lang w:val="fr-FR"/>
        </w:rPr>
        <w:t xml:space="preserve">appui de la </w:t>
      </w:r>
      <w:r w:rsidR="00E34DC9">
        <w:rPr>
          <w:lang w:val="fr-FR"/>
        </w:rPr>
        <w:t>cible 1</w:t>
      </w:r>
      <w:r w:rsidRPr="00653BF4">
        <w:rPr>
          <w:lang w:val="fr-FR"/>
        </w:rPr>
        <w:t>1</w:t>
      </w:r>
      <w:bookmarkEnd w:id="220"/>
      <w:r w:rsidRPr="00653BF4">
        <w:rPr>
          <w:lang w:val="fr-FR"/>
        </w:rPr>
        <w:t xml:space="preserve"> du Cadre</w:t>
      </w:r>
    </w:p>
    <w:p w14:paraId="02C4EEAB" w14:textId="77777777" w:rsidR="00B87039" w:rsidRPr="00653BF4" w:rsidRDefault="00B87039" w:rsidP="00B87039">
      <w:pPr>
        <w:rPr>
          <w:lang w:val="fr-FR"/>
        </w:rPr>
      </w:pPr>
    </w:p>
    <w:p w14:paraId="5804C314" w14:textId="4D7364EC" w:rsidR="00B87039" w:rsidRPr="00653BF4" w:rsidRDefault="00B87039" w:rsidP="00B87039">
      <w:pPr>
        <w:rPr>
          <w:lang w:val="fr-FR"/>
        </w:rPr>
      </w:pPr>
      <w:r w:rsidRPr="00653BF4">
        <w:rPr>
          <w:lang w:val="fr-FR"/>
        </w:rPr>
        <w:t xml:space="preserve">Les approches les plus fréquemment mentionnées pour la mise en œuvre de la </w:t>
      </w:r>
      <w:r w:rsidR="00E34DC9">
        <w:rPr>
          <w:lang w:val="fr-FR"/>
        </w:rPr>
        <w:t>cible 1</w:t>
      </w:r>
      <w:r w:rsidRPr="00653BF4">
        <w:rPr>
          <w:lang w:val="fr-FR"/>
        </w:rPr>
        <w:t>1 concernent les actions liées à la restauration des écosystèmes et aux solutions fondées sur la nature. Elles englobent notamment la restauration des paysages forestiers, la réhabilitation des zones humides, la replantation de mangroves, la revitalisation des cours d</w:t>
      </w:r>
      <w:r w:rsidR="00D77549">
        <w:rPr>
          <w:lang w:val="fr-FR"/>
        </w:rPr>
        <w:t>’</w:t>
      </w:r>
      <w:r w:rsidRPr="00653BF4">
        <w:rPr>
          <w:lang w:val="fr-FR"/>
        </w:rPr>
        <w:t>eau, la restauration des récifs coralliens et les infrastructures vertes urbaines, entre autres. L</w:t>
      </w:r>
      <w:r w:rsidR="00D77549">
        <w:rPr>
          <w:lang w:val="fr-FR"/>
        </w:rPr>
        <w:t>’</w:t>
      </w:r>
      <w:r w:rsidRPr="00653BF4">
        <w:rPr>
          <w:lang w:val="fr-FR"/>
        </w:rPr>
        <w:t xml:space="preserve">éventail des actions met en évidence des liens avec plusieurs autres cibles qui contribuent à renforcer les contributions de la nature aux populations, notamment les cibles 2 et 8. Une autre tendance dominante dans les actions rapportées au titre de la </w:t>
      </w:r>
      <w:r w:rsidR="00E34DC9">
        <w:rPr>
          <w:lang w:val="fr-FR"/>
        </w:rPr>
        <w:t>cible 1</w:t>
      </w:r>
      <w:r w:rsidRPr="00653BF4">
        <w:rPr>
          <w:lang w:val="fr-FR"/>
        </w:rPr>
        <w:t>1 concerne l</w:t>
      </w:r>
      <w:r w:rsidR="00D77549">
        <w:rPr>
          <w:lang w:val="fr-FR"/>
        </w:rPr>
        <w:t>’</w:t>
      </w:r>
      <w:r w:rsidRPr="00653BF4">
        <w:rPr>
          <w:lang w:val="fr-FR"/>
        </w:rPr>
        <w:t>intégration des concepts de services écosystémiques et de contributions de la nature aux populations dans les cadres de planification, que ce soit par le biais de la comptabilisation du capital naturel, de la cartographie des services écosystémiques ou de l</w:t>
      </w:r>
      <w:r w:rsidR="00D77549">
        <w:rPr>
          <w:lang w:val="fr-FR"/>
        </w:rPr>
        <w:t>’</w:t>
      </w:r>
      <w:r w:rsidRPr="00653BF4">
        <w:rPr>
          <w:lang w:val="fr-FR"/>
        </w:rPr>
        <w:t>intégration de la biodiversité dans les stratégies sectorielles. Une troisième tendance largement répandue est le recours à des mécanismes de mise en œuvre communautaires ou participatifs, allant des groupes forestiers communautaires aux organismes de cogestion des bassins versants (voir l</w:t>
      </w:r>
      <w:r w:rsidR="00D77549">
        <w:rPr>
          <w:lang w:val="fr-FR"/>
        </w:rPr>
        <w:t>’</w:t>
      </w:r>
      <w:r w:rsidRPr="00653BF4">
        <w:rPr>
          <w:lang w:val="fr-FR"/>
        </w:rPr>
        <w:t xml:space="preserve">encadré 33). </w:t>
      </w:r>
    </w:p>
    <w:p w14:paraId="49BCAF82" w14:textId="77777777" w:rsidR="00B87039" w:rsidRPr="00653BF4" w:rsidRDefault="00B87039" w:rsidP="00B87039">
      <w:pPr>
        <w:rPr>
          <w:lang w:val="fr-FR"/>
        </w:rPr>
      </w:pPr>
    </w:p>
    <w:p w14:paraId="66A5E584" w14:textId="0AE62951" w:rsidR="00B87039" w:rsidRPr="00653BF4" w:rsidRDefault="00B87039" w:rsidP="00B87039">
      <w:pPr>
        <w:pStyle w:val="Heading6"/>
        <w:rPr>
          <w:lang w:val="fr-FR"/>
        </w:rPr>
      </w:pPr>
      <w:bookmarkStart w:id="221" w:name="_Toc235821188"/>
      <w:r w:rsidRPr="00653BF4">
        <w:rPr>
          <w:lang w:val="fr-FR"/>
        </w:rPr>
        <w:t>Exemples de réussites et de progrès réalisés dans la mise en œuvre</w:t>
      </w:r>
      <w:bookmarkEnd w:id="221"/>
    </w:p>
    <w:p w14:paraId="0562EA40" w14:textId="77777777" w:rsidR="00B87039" w:rsidRPr="00653BF4" w:rsidRDefault="00B87039" w:rsidP="00B87039">
      <w:pPr>
        <w:rPr>
          <w:lang w:val="fr-FR"/>
        </w:rPr>
      </w:pPr>
    </w:p>
    <w:p w14:paraId="3EC13EF0"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16"/>
      </w:tblGrid>
      <w:tr w:rsidR="00B87039" w:rsidRPr="00543148" w14:paraId="0512B4DB" w14:textId="77777777" w:rsidTr="00557FB3">
        <w:tc>
          <w:tcPr>
            <w:tcW w:w="9016" w:type="dxa"/>
            <w:shd w:val="clear" w:color="auto" w:fill="D1D1D1" w:themeFill="background2" w:themeFillShade="E6"/>
          </w:tcPr>
          <w:p w14:paraId="1698650A" w14:textId="77777777" w:rsidR="00B87039" w:rsidRPr="00653BF4" w:rsidRDefault="00B87039" w:rsidP="00557FB3">
            <w:pPr>
              <w:rPr>
                <w:sz w:val="20"/>
                <w:szCs w:val="20"/>
                <w:lang w:val="fr-FR"/>
              </w:rPr>
            </w:pPr>
          </w:p>
          <w:p w14:paraId="6F690107" w14:textId="77777777" w:rsidR="00B87039" w:rsidRPr="00653BF4" w:rsidRDefault="00B87039" w:rsidP="00557FB3">
            <w:pPr>
              <w:rPr>
                <w:sz w:val="20"/>
                <w:szCs w:val="20"/>
                <w:lang w:val="fr-FR"/>
              </w:rPr>
            </w:pPr>
            <w:r w:rsidRPr="00653BF4">
              <w:rPr>
                <w:sz w:val="20"/>
                <w:szCs w:val="20"/>
                <w:lang w:val="fr-FR"/>
              </w:rPr>
              <w:t>Encadré 33</w:t>
            </w:r>
          </w:p>
          <w:p w14:paraId="2A5965ED" w14:textId="77777777" w:rsidR="00B87039" w:rsidRPr="00653BF4" w:rsidRDefault="00B87039" w:rsidP="00557FB3">
            <w:pPr>
              <w:rPr>
                <w:sz w:val="20"/>
                <w:szCs w:val="20"/>
                <w:lang w:val="fr-FR"/>
              </w:rPr>
            </w:pPr>
          </w:p>
          <w:p w14:paraId="42A7FCA8" w14:textId="51427438" w:rsidR="00B87039" w:rsidRPr="00653BF4" w:rsidRDefault="00E34DC9" w:rsidP="00557FB3">
            <w:pPr>
              <w:rPr>
                <w:b/>
                <w:bCs/>
                <w:sz w:val="20"/>
                <w:szCs w:val="20"/>
                <w:lang w:val="fr-FR"/>
              </w:rPr>
            </w:pPr>
            <w:r>
              <w:rPr>
                <w:rFonts w:eastAsia="Aptos" w:cs="Aptos"/>
                <w:b/>
                <w:bCs/>
                <w:color w:val="000000" w:themeColor="text1"/>
                <w:sz w:val="20"/>
                <w:szCs w:val="20"/>
                <w:lang w:val="fr-FR"/>
              </w:rPr>
              <w:t>« </w:t>
            </w:r>
            <w:r w:rsidR="00B87039" w:rsidRPr="00653BF4">
              <w:rPr>
                <w:rFonts w:eastAsia="Aptos" w:cs="Aptos"/>
                <w:b/>
                <w:bCs/>
                <w:color w:val="000000" w:themeColor="text1"/>
                <w:sz w:val="20"/>
                <w:szCs w:val="20"/>
                <w:lang w:val="fr-FR"/>
              </w:rPr>
              <w:t>Un nouveau pacte en faveur des pollinisateurs</w:t>
            </w:r>
            <w:r>
              <w:rPr>
                <w:rFonts w:eastAsia="Aptos" w:cs="Aptos"/>
                <w:b/>
                <w:bCs/>
                <w:color w:val="000000" w:themeColor="text1"/>
                <w:sz w:val="20"/>
                <w:szCs w:val="20"/>
                <w:lang w:val="fr-FR"/>
              </w:rPr>
              <w:t> » :</w:t>
            </w:r>
            <w:r w:rsidR="00B87039" w:rsidRPr="00653BF4">
              <w:rPr>
                <w:rFonts w:eastAsia="Aptos" w:cs="Aptos"/>
                <w:b/>
                <w:bCs/>
                <w:color w:val="000000" w:themeColor="text1"/>
                <w:sz w:val="20"/>
                <w:szCs w:val="20"/>
                <w:lang w:val="fr-FR"/>
              </w:rPr>
              <w:t xml:space="preserve"> un cadre politique exhaustif pour inverser le déclin des pollinisateurs au sein de l</w:t>
            </w:r>
            <w:r w:rsidR="00D77549">
              <w:rPr>
                <w:rFonts w:eastAsia="Aptos" w:cs="Aptos"/>
                <w:b/>
                <w:bCs/>
                <w:color w:val="000000" w:themeColor="text1"/>
                <w:sz w:val="20"/>
                <w:szCs w:val="20"/>
                <w:lang w:val="fr-FR"/>
              </w:rPr>
              <w:t>’</w:t>
            </w:r>
            <w:r w:rsidR="00B87039" w:rsidRPr="00653BF4">
              <w:rPr>
                <w:rFonts w:eastAsia="Aptos" w:cs="Aptos"/>
                <w:b/>
                <w:bCs/>
                <w:color w:val="000000" w:themeColor="text1"/>
                <w:sz w:val="20"/>
                <w:szCs w:val="20"/>
                <w:lang w:val="fr-FR"/>
              </w:rPr>
              <w:t>Union européenne</w:t>
            </w:r>
          </w:p>
          <w:p w14:paraId="41947E6A" w14:textId="77777777" w:rsidR="00B87039" w:rsidRPr="00653BF4" w:rsidRDefault="00B87039" w:rsidP="00557FB3">
            <w:pPr>
              <w:rPr>
                <w:rFonts w:eastAsia="Aptos" w:cs="Aptos"/>
                <w:color w:val="000000" w:themeColor="text1"/>
                <w:lang w:val="fr-FR"/>
              </w:rPr>
            </w:pPr>
          </w:p>
          <w:p w14:paraId="78C289FD" w14:textId="77777777" w:rsidR="00B87039" w:rsidRPr="00653BF4" w:rsidRDefault="00B87039" w:rsidP="00557FB3">
            <w:pPr>
              <w:rPr>
                <w:lang w:val="fr-FR"/>
              </w:rPr>
            </w:pPr>
          </w:p>
          <w:p w14:paraId="5A3494D0" w14:textId="042C1B97" w:rsidR="00B87039" w:rsidRPr="00653BF4" w:rsidRDefault="00B87039" w:rsidP="00557FB3">
            <w:pPr>
              <w:rPr>
                <w:rFonts w:eastAsia="Aptos" w:cs="Aptos"/>
                <w:color w:val="000000" w:themeColor="text1"/>
                <w:sz w:val="20"/>
                <w:szCs w:val="20"/>
                <w:lang w:val="fr-FR"/>
              </w:rPr>
            </w:pPr>
            <w:r w:rsidRPr="00653BF4">
              <w:rPr>
                <w:rFonts w:eastAsia="Aptos" w:cs="Aptos"/>
                <w:color w:val="000000" w:themeColor="text1"/>
                <w:sz w:val="20"/>
                <w:szCs w:val="20"/>
                <w:lang w:val="fr-FR"/>
              </w:rPr>
              <w:t>Le déclin grave et continu des populations de pollinisateurs sauvages dans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ensemble de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Union européenne entraîne une dégradation des processus de pollinisation essentiels.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initiative politique de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 xml:space="preserve">Union européenne, intitulée </w:t>
            </w:r>
            <w:r w:rsidR="00E34DC9">
              <w:rPr>
                <w:rFonts w:eastAsia="Aptos" w:cs="Aptos"/>
                <w:color w:val="000000" w:themeColor="text1"/>
                <w:sz w:val="20"/>
                <w:szCs w:val="20"/>
                <w:lang w:val="fr-FR"/>
              </w:rPr>
              <w:t>« </w:t>
            </w:r>
            <w:r w:rsidRPr="00653BF4">
              <w:rPr>
                <w:rFonts w:eastAsia="Aptos" w:cs="Aptos"/>
                <w:color w:val="000000" w:themeColor="text1"/>
                <w:sz w:val="20"/>
                <w:szCs w:val="20"/>
                <w:lang w:val="fr-FR"/>
              </w:rPr>
              <w:t>Un nouveau pacte en faveur des pollinisateurs</w:t>
            </w:r>
            <w:r w:rsidR="00E34DC9">
              <w:rPr>
                <w:rFonts w:eastAsia="Aptos" w:cs="Aptos"/>
                <w:color w:val="000000" w:themeColor="text1"/>
                <w:sz w:val="20"/>
                <w:szCs w:val="20"/>
                <w:lang w:val="fr-FR"/>
              </w:rPr>
              <w:t> »</w:t>
            </w:r>
            <w:r w:rsidRPr="00653BF4">
              <w:rPr>
                <w:rFonts w:eastAsia="Aptos" w:cs="Aptos"/>
                <w:color w:val="000000" w:themeColor="text1"/>
                <w:sz w:val="20"/>
                <w:szCs w:val="20"/>
                <w:lang w:val="fr-FR"/>
              </w:rPr>
              <w:t>, a été lancée en 2023 dans le but d</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inverser le déclin des espèces pollinisatrices au sein de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Union européenne. Cette initiative couvre un large éventail d</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aspects, consistant notamment à combler des lacunes en matière de connaissances, améliorer les politiques de conservation et de restauration, mettre en œuvre des mesures visant à lutter contre les principales pressions qui pèsent sur les pollinisateurs et mobiliser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ensemble de la société.</w:t>
            </w:r>
          </w:p>
          <w:p w14:paraId="2E3DCA9A" w14:textId="77777777" w:rsidR="00B87039" w:rsidRPr="00653BF4" w:rsidRDefault="00B87039" w:rsidP="00557FB3">
            <w:pPr>
              <w:rPr>
                <w:rFonts w:eastAsia="Aptos" w:cs="Aptos"/>
                <w:color w:val="000000" w:themeColor="text1"/>
                <w:sz w:val="20"/>
                <w:szCs w:val="20"/>
                <w:lang w:val="fr-FR"/>
              </w:rPr>
            </w:pPr>
          </w:p>
          <w:p w14:paraId="13924406" w14:textId="0AB828A4" w:rsidR="00B87039" w:rsidRPr="00653BF4" w:rsidRDefault="00B87039" w:rsidP="00557FB3">
            <w:pPr>
              <w:rPr>
                <w:rFonts w:eastAsia="Aptos" w:cs="Aptos"/>
                <w:color w:val="000000" w:themeColor="text1"/>
                <w:sz w:val="20"/>
                <w:szCs w:val="20"/>
                <w:lang w:val="fr-FR"/>
              </w:rPr>
            </w:pPr>
            <w:r w:rsidRPr="00653BF4">
              <w:rPr>
                <w:rFonts w:eastAsia="Aptos" w:cs="Aptos"/>
                <w:color w:val="000000" w:themeColor="text1"/>
                <w:sz w:val="20"/>
                <w:szCs w:val="20"/>
                <w:lang w:val="fr-FR"/>
              </w:rPr>
              <w:t xml:space="preserve">En 2024, </w:t>
            </w:r>
            <w:r w:rsidR="009773CC">
              <w:rPr>
                <w:rFonts w:eastAsia="Aptos" w:cs="Aptos"/>
                <w:color w:val="000000" w:themeColor="text1"/>
                <w:sz w:val="20"/>
                <w:szCs w:val="20"/>
                <w:lang w:val="fr-FR"/>
              </w:rPr>
              <w:t>le dessein</w:t>
            </w:r>
            <w:r w:rsidRPr="00653BF4">
              <w:rPr>
                <w:rFonts w:eastAsia="Aptos" w:cs="Aptos"/>
                <w:color w:val="000000" w:themeColor="text1"/>
                <w:sz w:val="20"/>
                <w:szCs w:val="20"/>
                <w:lang w:val="fr-FR"/>
              </w:rPr>
              <w:t xml:space="preserve"> </w:t>
            </w:r>
            <w:r w:rsidR="0092484B">
              <w:rPr>
                <w:rFonts w:eastAsia="Aptos" w:cs="Aptos"/>
                <w:color w:val="000000" w:themeColor="text1"/>
                <w:sz w:val="20"/>
                <w:szCs w:val="20"/>
                <w:lang w:val="fr-FR"/>
              </w:rPr>
              <w:t>d’</w:t>
            </w:r>
            <w:r w:rsidRPr="00653BF4">
              <w:rPr>
                <w:rFonts w:eastAsia="Aptos" w:cs="Aptos"/>
                <w:color w:val="000000" w:themeColor="text1"/>
                <w:sz w:val="20"/>
                <w:szCs w:val="20"/>
                <w:lang w:val="fr-FR"/>
              </w:rPr>
              <w:t xml:space="preserve">inverser le déclin des espèces pollinisatrices a été inscrit comme </w:t>
            </w:r>
            <w:r w:rsidR="002878D7">
              <w:rPr>
                <w:rFonts w:eastAsia="Aptos" w:cs="Aptos"/>
                <w:color w:val="000000" w:themeColor="text1"/>
                <w:sz w:val="20"/>
                <w:szCs w:val="20"/>
                <w:lang w:val="fr-FR"/>
              </w:rPr>
              <w:t>objectif C</w:t>
            </w:r>
            <w:r w:rsidRPr="00653BF4">
              <w:rPr>
                <w:rFonts w:eastAsia="Aptos" w:cs="Aptos"/>
                <w:color w:val="000000" w:themeColor="text1"/>
                <w:sz w:val="20"/>
                <w:szCs w:val="20"/>
                <w:lang w:val="fr-FR"/>
              </w:rPr>
              <w:t>ontraignant à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article 10 du règlement de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Union européenne sur la restauration de la</w:t>
            </w:r>
            <w:bookmarkStart w:id="222" w:name="_Hlt235890265"/>
            <w:r w:rsidRPr="00653BF4">
              <w:rPr>
                <w:rFonts w:eastAsia="Aptos" w:cs="Aptos"/>
                <w:sz w:val="20"/>
                <w:szCs w:val="20"/>
                <w:lang w:val="fr-FR"/>
              </w:rPr>
              <w:t xml:space="preserve"> </w:t>
            </w:r>
            <w:bookmarkEnd w:id="222"/>
            <w:r w:rsidRPr="00653BF4">
              <w:rPr>
                <w:rFonts w:eastAsia="Aptos" w:cs="Aptos"/>
                <w:color w:val="000000" w:themeColor="text1"/>
                <w:sz w:val="20"/>
                <w:szCs w:val="20"/>
                <w:lang w:val="fr-FR"/>
              </w:rPr>
              <w:t>nature. Conformément à cette disposition légale, une méthodologie normalisée pour un programme de suivi des pollinisateurs est désormais inscrite dans la réglementation. À partir de 2027, les abeilles, syrphes, papillons et papillons de nuit feront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objet d</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un suivi sur au moins 1 820 sites répartis dans toute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Union européenne, ce qui garantira une puissance statistique suffisante pour évaluer les tendances des populations de pollinisateurs à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échelle nationale et à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échelle de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Union européenne.</w:t>
            </w:r>
          </w:p>
          <w:p w14:paraId="6D4857FE" w14:textId="77777777" w:rsidR="00B87039" w:rsidRPr="00653BF4" w:rsidRDefault="00B87039" w:rsidP="00557FB3">
            <w:pPr>
              <w:rPr>
                <w:rFonts w:eastAsia="Aptos" w:cs="Aptos"/>
                <w:color w:val="000000" w:themeColor="text1"/>
                <w:sz w:val="20"/>
                <w:szCs w:val="20"/>
                <w:lang w:val="fr-FR"/>
              </w:rPr>
            </w:pPr>
          </w:p>
          <w:p w14:paraId="0B64A5DC" w14:textId="2016243B" w:rsidR="00B87039" w:rsidRPr="00653BF4" w:rsidRDefault="00B87039" w:rsidP="00557FB3">
            <w:pPr>
              <w:rPr>
                <w:rFonts w:eastAsia="Aptos" w:cs="Aptos"/>
                <w:color w:val="000000" w:themeColor="text1"/>
                <w:sz w:val="20"/>
                <w:szCs w:val="20"/>
                <w:lang w:val="fr-FR"/>
              </w:rPr>
            </w:pPr>
            <w:r w:rsidRPr="00653BF4">
              <w:rPr>
                <w:rFonts w:eastAsia="Aptos" w:cs="Aptos"/>
                <w:color w:val="000000" w:themeColor="text1"/>
                <w:sz w:val="20"/>
                <w:szCs w:val="20"/>
                <w:lang w:val="fr-FR"/>
              </w:rPr>
              <w:t xml:space="preserve">Les connaissances sur les espèces pollinisatrices ont été renforcées grâce aux évaluations actualisées de la Liste rouge européenne concernant les syrphes (2023), les papillons (2025), les </w:t>
            </w:r>
            <w:bookmarkStart w:id="223" w:name="_Hlt235891467"/>
            <w:bookmarkEnd w:id="223"/>
            <w:r w:rsidRPr="00653BF4">
              <w:rPr>
                <w:rFonts w:eastAsia="Aptos" w:cs="Aptos"/>
                <w:color w:val="000000" w:themeColor="text1"/>
                <w:sz w:val="20"/>
                <w:szCs w:val="20"/>
                <w:lang w:val="fr-FR"/>
              </w:rPr>
              <w:t>abeilles (2026) et les papillons de nuit (2026), qui continuent tous d</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afficher un déclin. Les principaux facteurs à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origine du déclin des pollinisateurs sont combattus par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intégration des objectifs de conservation des pollinisateurs dans les politiques sectorielles, notamment la politique agricole commune de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Union européenne, qui aide les agriculteurs à adopter des pratiques agricoles respectueuses des pollinisateurs, ainsi qu</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à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intégration de la protection des pollinisateurs dans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évaluation des risques liés aux pesticides et dans les systèmes de gestion de la protection des végétaux.</w:t>
            </w:r>
          </w:p>
          <w:p w14:paraId="2F3BA2B1" w14:textId="77777777" w:rsidR="00B87039" w:rsidRPr="00653BF4" w:rsidRDefault="00B87039" w:rsidP="00557FB3">
            <w:pPr>
              <w:rPr>
                <w:rFonts w:eastAsia="Aptos" w:cs="Aptos"/>
                <w:color w:val="000000" w:themeColor="text1"/>
                <w:sz w:val="20"/>
                <w:szCs w:val="20"/>
                <w:lang w:val="fr-FR"/>
              </w:rPr>
            </w:pPr>
          </w:p>
          <w:p w14:paraId="1DDD3BDE" w14:textId="524340DE" w:rsidR="00B87039" w:rsidRPr="00653BF4" w:rsidRDefault="00B87039" w:rsidP="00557FB3">
            <w:pPr>
              <w:rPr>
                <w:rFonts w:eastAsia="Aptos" w:cs="Aptos"/>
                <w:color w:val="000000" w:themeColor="text1"/>
                <w:sz w:val="20"/>
                <w:szCs w:val="20"/>
                <w:lang w:val="fr-FR"/>
              </w:rPr>
            </w:pPr>
            <w:r w:rsidRPr="00653BF4">
              <w:rPr>
                <w:rFonts w:eastAsia="Aptos" w:cs="Aptos"/>
                <w:color w:val="000000" w:themeColor="text1"/>
                <w:sz w:val="20"/>
                <w:szCs w:val="20"/>
                <w:lang w:val="fr-FR"/>
              </w:rPr>
              <w:t xml:space="preserve">La mobilisation d’un large éventail d’acteurs de la société est essentielle à la réussite du </w:t>
            </w:r>
            <w:r w:rsidR="00E34DC9">
              <w:rPr>
                <w:rFonts w:eastAsia="Aptos" w:cs="Aptos"/>
                <w:color w:val="000000" w:themeColor="text1"/>
                <w:sz w:val="20"/>
                <w:szCs w:val="20"/>
                <w:lang w:val="fr-FR"/>
              </w:rPr>
              <w:t>« </w:t>
            </w:r>
            <w:r w:rsidRPr="00653BF4">
              <w:rPr>
                <w:rFonts w:eastAsia="Aptos" w:cs="Aptos"/>
                <w:color w:val="000000" w:themeColor="text1"/>
                <w:sz w:val="20"/>
                <w:szCs w:val="20"/>
                <w:lang w:val="fr-FR"/>
              </w:rPr>
              <w:t>nouveau pacte en faveur des pollinisateurs</w:t>
            </w:r>
            <w:r w:rsidR="00E34DC9">
              <w:rPr>
                <w:rFonts w:eastAsia="Aptos" w:cs="Aptos"/>
                <w:color w:val="000000" w:themeColor="text1"/>
                <w:sz w:val="20"/>
                <w:szCs w:val="20"/>
                <w:lang w:val="fr-FR"/>
              </w:rPr>
              <w:t> »</w:t>
            </w:r>
            <w:r w:rsidRPr="00653BF4">
              <w:rPr>
                <w:rFonts w:eastAsia="Aptos" w:cs="Aptos"/>
                <w:color w:val="000000" w:themeColor="text1"/>
                <w:sz w:val="20"/>
                <w:szCs w:val="20"/>
                <w:lang w:val="fr-FR"/>
              </w:rPr>
              <w:t xml:space="preserve">. </w:t>
            </w:r>
            <w:r w:rsidRPr="00653BF4">
              <w:rPr>
                <w:sz w:val="20"/>
                <w:szCs w:val="20"/>
                <w:lang w:val="fr-FR"/>
              </w:rPr>
              <w:t>Pour soutenir cette démarche, l’Union européenne a encouragé la participation active des jeunes en faveur des pollinisateurs par le biais de la démocratie délibérative (l’Assemblée des jeunes citoyens sur les pollinisateurs</w:t>
            </w:r>
            <w:r w:rsidRPr="00653BF4">
              <w:rPr>
                <w:i/>
                <w:iCs/>
                <w:sz w:val="20"/>
                <w:szCs w:val="20"/>
                <w:vertAlign w:val="superscript"/>
                <w:lang w:val="fr-FR"/>
              </w:rPr>
              <w:t>a</w:t>
            </w:r>
            <w:r w:rsidRPr="00653BF4">
              <w:rPr>
                <w:sz w:val="20"/>
                <w:szCs w:val="20"/>
                <w:lang w:val="fr-FR"/>
              </w:rPr>
              <w:t>), du renforcement des capacités et d’un soutien financier (le Fonds européen pour l’action des jeunes en faveur des pollinisateurs</w:t>
            </w:r>
            <w:r w:rsidRPr="00653BF4">
              <w:rPr>
                <w:rFonts w:eastAsia="Aptos" w:cs="Aptos"/>
                <w:bCs/>
                <w:i/>
                <w:iCs/>
                <w:color w:val="000000" w:themeColor="text1"/>
                <w:sz w:val="20"/>
                <w:szCs w:val="20"/>
                <w:vertAlign w:val="superscript"/>
                <w:lang w:val="fr-FR"/>
              </w:rPr>
              <w:t>b</w:t>
            </w:r>
            <w:r w:rsidRPr="00653BF4">
              <w:rPr>
                <w:rFonts w:eastAsia="Aptos" w:cs="Aptos"/>
                <w:bCs/>
                <w:color w:val="000000" w:themeColor="text1"/>
                <w:sz w:val="20"/>
                <w:szCs w:val="20"/>
                <w:lang w:val="fr-FR"/>
              </w:rPr>
              <w:t xml:space="preserve">), </w:t>
            </w:r>
            <w:r w:rsidRPr="00653BF4">
              <w:rPr>
                <w:sz w:val="20"/>
                <w:szCs w:val="20"/>
                <w:lang w:val="fr-FR"/>
              </w:rPr>
              <w:t>ainsi que de l</w:t>
            </w:r>
            <w:r w:rsidR="00D77549">
              <w:rPr>
                <w:sz w:val="20"/>
                <w:szCs w:val="20"/>
                <w:lang w:val="fr-FR"/>
              </w:rPr>
              <w:t>’</w:t>
            </w:r>
            <w:r w:rsidRPr="00653BF4">
              <w:rPr>
                <w:sz w:val="20"/>
                <w:szCs w:val="20"/>
                <w:lang w:val="fr-FR"/>
              </w:rPr>
              <w:t xml:space="preserve">éducation </w:t>
            </w:r>
            <w:r w:rsidRPr="00653BF4">
              <w:rPr>
                <w:rFonts w:eastAsia="Aptos" w:cs="Aptos"/>
                <w:bCs/>
                <w:color w:val="000000" w:themeColor="text1"/>
                <w:sz w:val="20"/>
                <w:szCs w:val="20"/>
                <w:lang w:val="fr-FR"/>
              </w:rPr>
              <w:t>(</w:t>
            </w:r>
            <w:r w:rsidR="00E34DC9">
              <w:rPr>
                <w:sz w:val="20"/>
                <w:szCs w:val="20"/>
                <w:lang w:val="fr-FR"/>
              </w:rPr>
              <w:t>« </w:t>
            </w:r>
            <w:r w:rsidRPr="00653BF4">
              <w:rPr>
                <w:rFonts w:eastAsia="Aptos" w:cs="Aptos"/>
                <w:sz w:val="20"/>
                <w:szCs w:val="20"/>
                <w:lang w:val="fr-FR"/>
              </w:rPr>
              <w:t>Buzzing Schools</w:t>
            </w:r>
            <w:r w:rsidR="00E34DC9">
              <w:rPr>
                <w:sz w:val="20"/>
                <w:szCs w:val="20"/>
                <w:lang w:val="fr-FR"/>
              </w:rPr>
              <w:t> »</w:t>
            </w:r>
            <w:r w:rsidRPr="00653BF4">
              <w:rPr>
                <w:rFonts w:eastAsia="Aptos" w:cs="Aptos"/>
                <w:i/>
                <w:iCs/>
                <w:sz w:val="20"/>
                <w:szCs w:val="20"/>
                <w:vertAlign w:val="superscript"/>
                <w:lang w:val="fr-FR"/>
              </w:rPr>
              <w:t>c</w:t>
            </w:r>
            <w:r w:rsidRPr="00653BF4">
              <w:rPr>
                <w:sz w:val="20"/>
                <w:szCs w:val="20"/>
                <w:lang w:val="fr-FR"/>
              </w:rPr>
              <w:t>)</w:t>
            </w:r>
          </w:p>
          <w:p w14:paraId="4B4E65C6" w14:textId="77777777" w:rsidR="00B87039" w:rsidRPr="00653BF4" w:rsidRDefault="00B87039" w:rsidP="00557FB3">
            <w:pPr>
              <w:rPr>
                <w:rFonts w:eastAsia="Aptos" w:cs="Aptos"/>
                <w:color w:val="000000" w:themeColor="text1"/>
                <w:sz w:val="20"/>
                <w:szCs w:val="20"/>
                <w:lang w:val="fr-FR"/>
              </w:rPr>
            </w:pPr>
          </w:p>
          <w:p w14:paraId="19A34AA1" w14:textId="7B9581D9" w:rsidR="00B87039" w:rsidRPr="00653BF4" w:rsidRDefault="00B87039" w:rsidP="00557FB3">
            <w:pPr>
              <w:rPr>
                <w:sz w:val="20"/>
                <w:szCs w:val="20"/>
                <w:lang w:val="fr-FR"/>
              </w:rPr>
            </w:pPr>
            <w:r w:rsidRPr="00653BF4">
              <w:rPr>
                <w:rFonts w:eastAsia="Aptos" w:cs="Aptos"/>
                <w:i/>
                <w:iCs/>
                <w:color w:val="000000" w:themeColor="text1"/>
                <w:sz w:val="20"/>
                <w:szCs w:val="20"/>
                <w:lang w:val="fr-FR"/>
              </w:rPr>
              <w:t>Cibles concernées</w:t>
            </w:r>
            <w:r w:rsidR="00E34DC9">
              <w:rPr>
                <w:rFonts w:eastAsia="Aptos" w:cs="Aptos"/>
                <w:i/>
                <w:iCs/>
                <w:color w:val="000000" w:themeColor="text1"/>
                <w:sz w:val="20"/>
                <w:szCs w:val="20"/>
                <w:lang w:val="fr-FR"/>
              </w:rPr>
              <w:t> :</w:t>
            </w:r>
            <w:r w:rsidRPr="00653BF4">
              <w:rPr>
                <w:rFonts w:eastAsia="Aptos" w:cs="Aptos"/>
                <w:i/>
                <w:iCs/>
                <w:color w:val="000000" w:themeColor="text1"/>
                <w:sz w:val="20"/>
                <w:szCs w:val="20"/>
                <w:lang w:val="fr-FR"/>
              </w:rPr>
              <w:t xml:space="preserve"> </w:t>
            </w:r>
            <w:r w:rsidRPr="00653BF4">
              <w:rPr>
                <w:rFonts w:eastAsia="Aptos" w:cs="Aptos"/>
                <w:color w:val="000000" w:themeColor="text1"/>
                <w:sz w:val="20"/>
                <w:szCs w:val="20"/>
                <w:lang w:val="fr-FR"/>
              </w:rPr>
              <w:t>2, 4, 7, 8, 10, 11, 14 et 21.</w:t>
            </w:r>
          </w:p>
          <w:p w14:paraId="2872B2F8" w14:textId="77777777" w:rsidR="00B87039" w:rsidRPr="00653BF4" w:rsidRDefault="00B87039" w:rsidP="00557FB3">
            <w:pPr>
              <w:rPr>
                <w:rFonts w:eastAsia="Aptos" w:cs="Aptos"/>
                <w:color w:val="000000" w:themeColor="text1"/>
                <w:sz w:val="20"/>
                <w:szCs w:val="20"/>
                <w:lang w:val="fr-FR"/>
              </w:rPr>
            </w:pPr>
          </w:p>
          <w:p w14:paraId="53489B93" w14:textId="113A7F29" w:rsidR="00B87039" w:rsidRPr="00653BF4" w:rsidRDefault="00B87039" w:rsidP="00557FB3">
            <w:pPr>
              <w:rPr>
                <w:sz w:val="20"/>
                <w:szCs w:val="20"/>
                <w:lang w:val="fr-FR"/>
              </w:rPr>
            </w:pPr>
            <w:r w:rsidRPr="00653BF4">
              <w:rPr>
                <w:i/>
                <w:iCs/>
                <w:sz w:val="20"/>
                <w:szCs w:val="20"/>
                <w:lang w:val="fr-FR"/>
              </w:rPr>
              <w:t>Sources</w:t>
            </w:r>
            <w:r w:rsidR="00E34DC9">
              <w:rPr>
                <w:i/>
                <w:iCs/>
                <w:sz w:val="20"/>
                <w:szCs w:val="20"/>
                <w:lang w:val="fr-FR"/>
              </w:rPr>
              <w:t> :</w:t>
            </w:r>
            <w:r w:rsidRPr="00653BF4">
              <w:rPr>
                <w:sz w:val="20"/>
                <w:szCs w:val="20"/>
                <w:lang w:val="fr-FR"/>
              </w:rPr>
              <w:t xml:space="preserve"> Union européenne, septième rapport national présenté au titre de la Convention</w:t>
            </w:r>
            <w:r w:rsidR="00E34DC9">
              <w:rPr>
                <w:sz w:val="20"/>
                <w:szCs w:val="20"/>
                <w:lang w:val="fr-FR"/>
              </w:rPr>
              <w:t> ;</w:t>
            </w:r>
            <w:r w:rsidRPr="00653BF4">
              <w:rPr>
                <w:sz w:val="20"/>
                <w:szCs w:val="20"/>
                <w:lang w:val="fr-FR"/>
              </w:rPr>
              <w:t xml:space="preserve"> Direction générale de l</w:t>
            </w:r>
            <w:r w:rsidR="00D77549">
              <w:rPr>
                <w:sz w:val="20"/>
                <w:szCs w:val="20"/>
                <w:lang w:val="fr-FR"/>
              </w:rPr>
              <w:t>’</w:t>
            </w:r>
            <w:r w:rsidRPr="00653BF4">
              <w:rPr>
                <w:sz w:val="20"/>
                <w:szCs w:val="20"/>
                <w:lang w:val="fr-FR"/>
              </w:rPr>
              <w:t>environnement de la Commission européenne, 2023</w:t>
            </w:r>
            <w:r w:rsidR="00E34DC9">
              <w:rPr>
                <w:sz w:val="20"/>
                <w:szCs w:val="20"/>
                <w:lang w:val="fr-FR"/>
              </w:rPr>
              <w:t> ;</w:t>
            </w:r>
            <w:r w:rsidRPr="00653BF4">
              <w:rPr>
                <w:sz w:val="20"/>
                <w:szCs w:val="20"/>
                <w:lang w:val="fr-FR"/>
              </w:rPr>
              <w:t xml:space="preserve"> Direction générale de l</w:t>
            </w:r>
            <w:r w:rsidR="00D77549">
              <w:rPr>
                <w:sz w:val="20"/>
                <w:szCs w:val="20"/>
                <w:lang w:val="fr-FR"/>
              </w:rPr>
              <w:t>’</w:t>
            </w:r>
            <w:r w:rsidRPr="00653BF4">
              <w:rPr>
                <w:sz w:val="20"/>
                <w:szCs w:val="20"/>
                <w:lang w:val="fr-FR"/>
              </w:rPr>
              <w:t xml:space="preserve">environnement de la Commission européenne </w:t>
            </w:r>
            <w:r w:rsidRPr="00653BF4">
              <w:rPr>
                <w:i/>
                <w:iCs/>
                <w:sz w:val="20"/>
                <w:szCs w:val="20"/>
                <w:lang w:val="fr-FR"/>
              </w:rPr>
              <w:t>et al.</w:t>
            </w:r>
            <w:r w:rsidRPr="00653BF4">
              <w:rPr>
                <w:sz w:val="20"/>
                <w:szCs w:val="20"/>
                <w:lang w:val="fr-FR"/>
              </w:rPr>
              <w:t>, 2025, 2026a, 2026b; et Union européenne, 2023, 2024, 2025.</w:t>
            </w:r>
          </w:p>
          <w:p w14:paraId="23853B2F" w14:textId="77777777" w:rsidR="00B87039" w:rsidRPr="00653BF4" w:rsidRDefault="00B87039" w:rsidP="00557FB3">
            <w:pPr>
              <w:rPr>
                <w:sz w:val="20"/>
                <w:szCs w:val="20"/>
                <w:lang w:val="fr-FR"/>
              </w:rPr>
            </w:pPr>
          </w:p>
          <w:p w14:paraId="493C3950" w14:textId="77777777" w:rsidR="00B87039" w:rsidRPr="00653BF4" w:rsidRDefault="00B87039" w:rsidP="00557FB3">
            <w:pPr>
              <w:rPr>
                <w:sz w:val="18"/>
                <w:szCs w:val="18"/>
                <w:lang w:val="fr-FR"/>
              </w:rPr>
            </w:pPr>
            <w:r w:rsidRPr="00653BF4">
              <w:rPr>
                <w:i/>
                <w:iCs/>
                <w:sz w:val="18"/>
                <w:szCs w:val="18"/>
                <w:vertAlign w:val="superscript"/>
                <w:lang w:val="fr-FR"/>
              </w:rPr>
              <w:t>a</w:t>
            </w:r>
            <w:r w:rsidRPr="00653BF4">
              <w:rPr>
                <w:sz w:val="18"/>
                <w:szCs w:val="18"/>
                <w:lang w:val="fr-FR"/>
              </w:rPr>
              <w:t xml:space="preserve"> Voir </w:t>
            </w:r>
            <w:hyperlink r:id="rId139">
              <w:r w:rsidRPr="00653BF4">
                <w:rPr>
                  <w:rStyle w:val="Hyperlink"/>
                  <w:sz w:val="18"/>
                  <w:szCs w:val="18"/>
                  <w:lang w:val="fr-FR"/>
                </w:rPr>
                <w:t>https://citizens.ec.europa.eu/concluded-online-debates/young-citizens-assembly-pollinators_fr</w:t>
              </w:r>
            </w:hyperlink>
            <w:r w:rsidRPr="00653BF4">
              <w:rPr>
                <w:sz w:val="18"/>
                <w:szCs w:val="18"/>
                <w:lang w:val="fr-FR"/>
              </w:rPr>
              <w:t>.</w:t>
            </w:r>
          </w:p>
          <w:p w14:paraId="266F9798" w14:textId="77777777" w:rsidR="00B87039" w:rsidRPr="00653BF4" w:rsidRDefault="00B87039" w:rsidP="00557FB3">
            <w:pPr>
              <w:rPr>
                <w:sz w:val="18"/>
                <w:szCs w:val="18"/>
                <w:lang w:val="fr-FR"/>
              </w:rPr>
            </w:pPr>
            <w:r w:rsidRPr="00653BF4">
              <w:rPr>
                <w:i/>
                <w:iCs/>
                <w:sz w:val="18"/>
                <w:szCs w:val="18"/>
                <w:vertAlign w:val="superscript"/>
                <w:lang w:val="fr-FR"/>
              </w:rPr>
              <w:t>b</w:t>
            </w:r>
            <w:r w:rsidRPr="00653BF4">
              <w:rPr>
                <w:sz w:val="18"/>
                <w:szCs w:val="18"/>
                <w:lang w:val="fr-FR"/>
              </w:rPr>
              <w:t xml:space="preserve"> Voir </w:t>
            </w:r>
            <w:hyperlink r:id="rId140">
              <w:r w:rsidRPr="00653BF4">
                <w:rPr>
                  <w:rStyle w:val="Hyperlink"/>
                  <w:sz w:val="18"/>
                  <w:szCs w:val="18"/>
                  <w:lang w:val="fr-FR"/>
                </w:rPr>
                <w:t>https://iucnsos.org/initiative/european-fund-for-youth-action-on-pollinators/</w:t>
              </w:r>
            </w:hyperlink>
            <w:r w:rsidRPr="00653BF4">
              <w:rPr>
                <w:sz w:val="18"/>
                <w:szCs w:val="18"/>
                <w:lang w:val="fr-FR"/>
              </w:rPr>
              <w:t>.</w:t>
            </w:r>
          </w:p>
          <w:p w14:paraId="22175A6B" w14:textId="77777777" w:rsidR="00B87039" w:rsidRPr="00653BF4" w:rsidRDefault="00B87039" w:rsidP="00557FB3">
            <w:pPr>
              <w:rPr>
                <w:sz w:val="18"/>
                <w:szCs w:val="18"/>
                <w:lang w:val="fr-FR"/>
              </w:rPr>
            </w:pPr>
            <w:r w:rsidRPr="00653BF4">
              <w:rPr>
                <w:i/>
                <w:iCs/>
                <w:sz w:val="18"/>
                <w:szCs w:val="18"/>
                <w:vertAlign w:val="superscript"/>
                <w:lang w:val="fr-FR"/>
              </w:rPr>
              <w:t>c</w:t>
            </w:r>
            <w:r w:rsidRPr="00653BF4">
              <w:rPr>
                <w:sz w:val="18"/>
                <w:szCs w:val="18"/>
                <w:lang w:val="fr-FR"/>
              </w:rPr>
              <w:t xml:space="preserve"> Voir </w:t>
            </w:r>
            <w:hyperlink r:id="rId141">
              <w:r w:rsidRPr="00653BF4">
                <w:rPr>
                  <w:rStyle w:val="Hyperlink"/>
                  <w:sz w:val="18"/>
                  <w:szCs w:val="18"/>
                  <w:lang w:val="fr-FR"/>
                </w:rPr>
                <w:t>www.scientix.eu/community/partner-projects/buzzing-schools</w:t>
              </w:r>
            </w:hyperlink>
            <w:r w:rsidRPr="00653BF4">
              <w:rPr>
                <w:sz w:val="18"/>
                <w:szCs w:val="18"/>
                <w:lang w:val="fr-FR"/>
              </w:rPr>
              <w:t>.</w:t>
            </w:r>
          </w:p>
          <w:p w14:paraId="74F4772F" w14:textId="77777777" w:rsidR="00B87039" w:rsidRPr="00653BF4" w:rsidRDefault="00B87039" w:rsidP="00557FB3">
            <w:pPr>
              <w:rPr>
                <w:sz w:val="20"/>
                <w:szCs w:val="20"/>
                <w:lang w:val="fr-FR"/>
              </w:rPr>
            </w:pPr>
          </w:p>
          <w:p w14:paraId="618D4EBE" w14:textId="77777777" w:rsidR="00B87039" w:rsidRPr="00653BF4" w:rsidRDefault="00B87039" w:rsidP="00557FB3">
            <w:pPr>
              <w:rPr>
                <w:lang w:val="fr-FR"/>
              </w:rPr>
            </w:pPr>
          </w:p>
        </w:tc>
      </w:tr>
    </w:tbl>
    <w:p w14:paraId="39B0E344" w14:textId="77777777" w:rsidR="00B87039" w:rsidRPr="00653BF4" w:rsidRDefault="00B87039" w:rsidP="00B87039">
      <w:pPr>
        <w:rPr>
          <w:lang w:val="fr-FR"/>
        </w:rPr>
      </w:pPr>
    </w:p>
    <w:p w14:paraId="520B79E6" w14:textId="77777777" w:rsidR="00B87039" w:rsidRPr="00653BF4" w:rsidRDefault="00B87039" w:rsidP="00B87039">
      <w:pPr>
        <w:pStyle w:val="Heading6"/>
        <w:rPr>
          <w:lang w:val="fr-FR"/>
        </w:rPr>
      </w:pPr>
      <w:bookmarkStart w:id="224" w:name="_Toc235821189"/>
      <w:r w:rsidRPr="00653BF4">
        <w:rPr>
          <w:lang w:val="fr-FR"/>
        </w:rPr>
        <w:t>Difficultés</w:t>
      </w:r>
      <w:bookmarkEnd w:id="224"/>
    </w:p>
    <w:p w14:paraId="1D50505D" w14:textId="77777777" w:rsidR="00B87039" w:rsidRPr="00653BF4" w:rsidRDefault="00B87039" w:rsidP="00B87039">
      <w:pPr>
        <w:rPr>
          <w:lang w:val="fr-FR"/>
        </w:rPr>
      </w:pPr>
    </w:p>
    <w:p w14:paraId="2D27B12A" w14:textId="4FB8B459" w:rsidR="00B87039" w:rsidRPr="00653BF4" w:rsidRDefault="00B87039" w:rsidP="00B87039">
      <w:pPr>
        <w:rPr>
          <w:lang w:val="fr-FR"/>
        </w:rPr>
      </w:pPr>
      <w:r w:rsidRPr="00653BF4">
        <w:rPr>
          <w:lang w:val="fr-FR"/>
        </w:rPr>
        <w:lastRenderedPageBreak/>
        <w:t xml:space="preserve">De nombreuses Parties ne disposent pas de systèmes de suivi opérationnels concernant les contributions de la nature aux populations, ce qui constitue un obstacle manifeste à la mise en œuvre et à la présentation de rapports relatifs à la </w:t>
      </w:r>
      <w:r w:rsidR="00E34DC9">
        <w:rPr>
          <w:lang w:val="fr-FR"/>
        </w:rPr>
        <w:t>cible 1</w:t>
      </w:r>
      <w:r w:rsidRPr="00653BF4">
        <w:rPr>
          <w:lang w:val="fr-FR"/>
        </w:rPr>
        <w:t>1.</w:t>
      </w:r>
      <w:r w:rsidRPr="00653BF4">
        <w:rPr>
          <w:rFonts w:eastAsia="Aptos" w:cs="Aptos"/>
          <w:lang w:val="fr-FR"/>
        </w:rPr>
        <w:t xml:space="preserve"> L</w:t>
      </w:r>
      <w:r w:rsidR="00D77549">
        <w:rPr>
          <w:rFonts w:eastAsia="Aptos" w:cs="Aptos"/>
          <w:lang w:val="fr-FR"/>
        </w:rPr>
        <w:t>’</w:t>
      </w:r>
      <w:r w:rsidRPr="00653BF4">
        <w:rPr>
          <w:rFonts w:eastAsia="Aptos" w:cs="Aptos"/>
          <w:lang w:val="fr-FR"/>
        </w:rPr>
        <w:t>évaluation systématique des contributions de la nature aux populations, notamment les fonctions et les services écosystémiques, est souvent peu développée ou insuffisante. Dans les cas où une telle évaluation a été réalisée, elle est rarement prise en compte dans les processus décisionnels.</w:t>
      </w:r>
      <w:r w:rsidRPr="00653BF4">
        <w:rPr>
          <w:lang w:val="fr-FR"/>
        </w:rPr>
        <w:t xml:space="preserve"> Certaines Parties précisent en outre que les solutions fondées sur la nature ne sont ni reconnues ni définies sur le plan juridique, ce qui limite leur intégration dans les documents d</w:t>
      </w:r>
      <w:r w:rsidR="00D77549">
        <w:rPr>
          <w:lang w:val="fr-FR"/>
        </w:rPr>
        <w:t>’</w:t>
      </w:r>
      <w:r w:rsidRPr="00653BF4">
        <w:rPr>
          <w:lang w:val="fr-FR"/>
        </w:rPr>
        <w:t xml:space="preserve">aménagement du territoire et rend leur mise en œuvre fragmentée et incohérente. Le manque de financement et la mobilisation insuffisante des ressources sont souvent cités comme des obstacles à la généralisation des solutions fondées sur la nature. </w:t>
      </w:r>
      <w:r w:rsidRPr="00653BF4">
        <w:rPr>
          <w:rFonts w:eastAsia="Aptos" w:cs="Aptos"/>
          <w:lang w:val="fr-FR"/>
        </w:rPr>
        <w:t>La faible intégration de l</w:t>
      </w:r>
      <w:r w:rsidR="00D77549">
        <w:rPr>
          <w:rFonts w:eastAsia="Aptos" w:cs="Aptos"/>
          <w:lang w:val="fr-FR"/>
        </w:rPr>
        <w:t>’</w:t>
      </w:r>
      <w:r w:rsidRPr="00653BF4">
        <w:rPr>
          <w:rFonts w:eastAsia="Aptos" w:cs="Aptos"/>
          <w:lang w:val="fr-FR"/>
        </w:rPr>
        <w:t xml:space="preserve">évaluation des services écosystémiques dans les processus politiques, de planification et de budgétisation reste un obstacle à la mise en œuvre de la </w:t>
      </w:r>
      <w:r w:rsidR="00E34DC9">
        <w:rPr>
          <w:rFonts w:eastAsia="Aptos" w:cs="Aptos"/>
          <w:lang w:val="fr-FR"/>
        </w:rPr>
        <w:t>cible 1</w:t>
      </w:r>
      <w:r w:rsidRPr="00653BF4">
        <w:rPr>
          <w:rFonts w:eastAsia="Aptos" w:cs="Aptos"/>
          <w:lang w:val="fr-FR"/>
        </w:rPr>
        <w:t>1 pour de nombreuses Parties.</w:t>
      </w:r>
      <w:r w:rsidRPr="00653BF4">
        <w:rPr>
          <w:lang w:val="fr-FR"/>
        </w:rPr>
        <w:t xml:space="preserve"> Par ailleurs, la gestion des multiples demandes en matière d</w:t>
      </w:r>
      <w:r w:rsidR="00D77549">
        <w:rPr>
          <w:lang w:val="fr-FR"/>
        </w:rPr>
        <w:t>’</w:t>
      </w:r>
      <w:r w:rsidRPr="00653BF4">
        <w:rPr>
          <w:lang w:val="fr-FR"/>
        </w:rPr>
        <w:t>utilisation des terres, associée au respect des droits des peuples autochtones et communautés locales et à la nécessité de garantir la cohérence des politiques entre les secteurs de la conservation, de l</w:t>
      </w:r>
      <w:r w:rsidR="00D77549">
        <w:rPr>
          <w:lang w:val="fr-FR"/>
        </w:rPr>
        <w:t>’</w:t>
      </w:r>
      <w:r w:rsidRPr="00653BF4">
        <w:rPr>
          <w:lang w:val="fr-FR"/>
        </w:rPr>
        <w:t>agriculture, des infrastructures et d</w:t>
      </w:r>
      <w:r w:rsidR="00D77549">
        <w:rPr>
          <w:lang w:val="fr-FR"/>
        </w:rPr>
        <w:t>’</w:t>
      </w:r>
      <w:r w:rsidRPr="00653BF4">
        <w:rPr>
          <w:lang w:val="fr-FR"/>
        </w:rPr>
        <w:t>autres secteurs, reste un défi pour certaines Parties.</w:t>
      </w:r>
      <w:r w:rsidRPr="00653BF4">
        <w:rPr>
          <w:rFonts w:cs="Helvetica"/>
          <w:kern w:val="0"/>
          <w:lang w:val="fr-FR"/>
        </w:rPr>
        <w:t xml:space="preserve"> </w:t>
      </w:r>
    </w:p>
    <w:p w14:paraId="66C466A1" w14:textId="77777777" w:rsidR="00B87039" w:rsidRPr="00653BF4" w:rsidRDefault="00B87039" w:rsidP="00B87039">
      <w:pPr>
        <w:rPr>
          <w:lang w:val="fr-FR"/>
        </w:rPr>
      </w:pPr>
      <w:r w:rsidRPr="00653BF4">
        <w:rPr>
          <w:rFonts w:cs="Helvetica"/>
          <w:kern w:val="0"/>
          <w:lang w:val="fr-FR"/>
        </w:rPr>
        <w:t xml:space="preserve">. </w:t>
      </w:r>
    </w:p>
    <w:p w14:paraId="17A22E8B" w14:textId="77777777" w:rsidR="00B87039" w:rsidRPr="00653BF4" w:rsidRDefault="00B87039" w:rsidP="00B87039">
      <w:pPr>
        <w:rPr>
          <w:lang w:val="fr-FR"/>
        </w:rPr>
      </w:pPr>
    </w:p>
    <w:p w14:paraId="43E04E3B" w14:textId="17AC70D6" w:rsidR="00B87039" w:rsidRPr="00653BF4" w:rsidRDefault="00B87039" w:rsidP="00B87039">
      <w:pPr>
        <w:pStyle w:val="Heading5"/>
        <w:rPr>
          <w:lang w:val="fr-FR"/>
        </w:rPr>
      </w:pPr>
      <w:bookmarkStart w:id="225" w:name="_Toc235821190"/>
      <w:r w:rsidRPr="00653BF4">
        <w:rPr>
          <w:lang w:val="fr-FR"/>
        </w:rPr>
        <w:t>Contributions provenant d</w:t>
      </w:r>
      <w:r w:rsidR="00D77549">
        <w:rPr>
          <w:lang w:val="fr-FR"/>
        </w:rPr>
        <w:t>’</w:t>
      </w:r>
      <w:r w:rsidRPr="00653BF4">
        <w:rPr>
          <w:lang w:val="fr-FR"/>
        </w:rPr>
        <w:t>acteurs autres que les gouvernements nationaux</w:t>
      </w:r>
      <w:bookmarkEnd w:id="225"/>
    </w:p>
    <w:p w14:paraId="0F260F12" w14:textId="77777777" w:rsidR="00B87039" w:rsidRPr="00653BF4" w:rsidRDefault="00B87039" w:rsidP="00B87039">
      <w:pPr>
        <w:rPr>
          <w:lang w:val="fr-FR"/>
        </w:rPr>
      </w:pPr>
    </w:p>
    <w:p w14:paraId="421CCCA7" w14:textId="4CF13D02" w:rsidR="00B87039" w:rsidRPr="00653BF4" w:rsidRDefault="00B87039" w:rsidP="00B87039">
      <w:pPr>
        <w:pStyle w:val="Heading6"/>
        <w:rPr>
          <w:lang w:val="fr-FR"/>
        </w:rPr>
      </w:pPr>
      <w:bookmarkStart w:id="226" w:name="_Toc235821191"/>
      <w:r w:rsidRPr="00653BF4">
        <w:rPr>
          <w:lang w:val="fr-FR"/>
        </w:rPr>
        <w:t>Engagements communiqués directement via l</w:t>
      </w:r>
      <w:r w:rsidR="00D77549">
        <w:rPr>
          <w:lang w:val="fr-FR"/>
        </w:rPr>
        <w:t>’</w:t>
      </w:r>
      <w:r w:rsidRPr="00653BF4">
        <w:rPr>
          <w:lang w:val="fr-FR"/>
        </w:rPr>
        <w:t>outil de présentation des rapports en ligne</w:t>
      </w:r>
      <w:bookmarkEnd w:id="226"/>
    </w:p>
    <w:p w14:paraId="65E3F576" w14:textId="77777777" w:rsidR="00B87039" w:rsidRPr="00653BF4" w:rsidRDefault="00B87039" w:rsidP="00B87039">
      <w:pPr>
        <w:rPr>
          <w:lang w:val="fr-FR"/>
        </w:rPr>
      </w:pPr>
    </w:p>
    <w:p w14:paraId="754CA50D" w14:textId="16445D4F" w:rsidR="00B87039" w:rsidRPr="00653BF4" w:rsidRDefault="00B87039" w:rsidP="00B87039">
      <w:pPr>
        <w:rPr>
          <w:lang w:val="fr-FR"/>
        </w:rPr>
      </w:pPr>
      <w:r w:rsidRPr="00653BF4">
        <w:rPr>
          <w:lang w:val="fr-FR"/>
        </w:rPr>
        <w:t xml:space="preserve">Sur les 180 engagements de fond présentés par des acteurs autres que les gouvernements nationaux, seulement 4 concernent principalement la </w:t>
      </w:r>
      <w:r w:rsidR="00E34DC9">
        <w:rPr>
          <w:lang w:val="fr-FR"/>
        </w:rPr>
        <w:t>cible 1</w:t>
      </w:r>
      <w:r w:rsidRPr="00653BF4">
        <w:rPr>
          <w:lang w:val="fr-FR"/>
        </w:rPr>
        <w:t>1. Parmi eux, 3 ont été soumis par des ONG et 1 par une entreprise transnationale. Ces engagements mettent l</w:t>
      </w:r>
      <w:r w:rsidR="00D77549">
        <w:rPr>
          <w:lang w:val="fr-FR"/>
        </w:rPr>
        <w:t>’</w:t>
      </w:r>
      <w:r w:rsidRPr="00653BF4">
        <w:rPr>
          <w:lang w:val="fr-FR"/>
        </w:rPr>
        <w:t>accent sur les efforts déployés pour intégrer la préservation des contributions de la nature aux populations dans les cadres institutionnels des entreprises et du secteur public. Ces engagements concernent le Danemark, la France et le Japon, ainsi qu</w:t>
      </w:r>
      <w:r w:rsidR="00D77549">
        <w:rPr>
          <w:lang w:val="fr-FR"/>
        </w:rPr>
        <w:t>’</w:t>
      </w:r>
      <w:r w:rsidRPr="00653BF4">
        <w:rPr>
          <w:lang w:val="fr-FR"/>
        </w:rPr>
        <w:t>un engagement à portée mondiale. Parmi les activités spécifiques associées à ces engagements figurent la promotion d</w:t>
      </w:r>
      <w:r w:rsidR="00D77549">
        <w:rPr>
          <w:lang w:val="fr-FR"/>
        </w:rPr>
        <w:t>’</w:t>
      </w:r>
      <w:r w:rsidRPr="00653BF4">
        <w:rPr>
          <w:lang w:val="fr-FR"/>
        </w:rPr>
        <w:t>une norme mondiale relative aux solutions fondées sur la nature au niveau national, ainsi que la promotion de la conservation des écosystèmes des zones humides à l</w:t>
      </w:r>
      <w:r w:rsidR="00D77549">
        <w:rPr>
          <w:lang w:val="fr-FR"/>
        </w:rPr>
        <w:t>’</w:t>
      </w:r>
      <w:r w:rsidRPr="00653BF4">
        <w:rPr>
          <w:lang w:val="fr-FR"/>
        </w:rPr>
        <w:t xml:space="preserve">échelle des bassins versants grâce à des actions collaboratives menées par les parties prenantes. </w:t>
      </w:r>
    </w:p>
    <w:p w14:paraId="1864E739" w14:textId="77777777" w:rsidR="00B87039" w:rsidRPr="00653BF4" w:rsidRDefault="00B87039" w:rsidP="00B87039">
      <w:pPr>
        <w:rPr>
          <w:lang w:val="fr-FR"/>
        </w:rPr>
      </w:pPr>
    </w:p>
    <w:p w14:paraId="72074727" w14:textId="7167B0A0" w:rsidR="00B87039" w:rsidRPr="00653BF4" w:rsidRDefault="00B87039" w:rsidP="00B87039">
      <w:pPr>
        <w:pStyle w:val="Heading6"/>
        <w:rPr>
          <w:lang w:val="fr-FR"/>
        </w:rPr>
      </w:pPr>
      <w:bookmarkStart w:id="227" w:name="_Toc235821192"/>
      <w:r w:rsidRPr="00653BF4">
        <w:rPr>
          <w:lang w:val="fr-FR"/>
        </w:rPr>
        <w:t>Contributions intégrées dans les rapports nationaux</w:t>
      </w:r>
      <w:bookmarkEnd w:id="227"/>
    </w:p>
    <w:p w14:paraId="1C418E05" w14:textId="77777777" w:rsidR="00B87039" w:rsidRPr="00653BF4" w:rsidRDefault="00B87039" w:rsidP="00B87039">
      <w:pPr>
        <w:rPr>
          <w:lang w:val="fr-FR"/>
        </w:rPr>
      </w:pPr>
    </w:p>
    <w:p w14:paraId="19F20A32" w14:textId="6EBE77CB" w:rsidR="00B87039" w:rsidRPr="00653BF4" w:rsidRDefault="00B87039" w:rsidP="00B87039">
      <w:pPr>
        <w:rPr>
          <w:lang w:val="fr-FR"/>
        </w:rPr>
      </w:pPr>
      <w:r w:rsidRPr="00653BF4">
        <w:rPr>
          <w:lang w:val="fr-FR"/>
        </w:rPr>
        <w:t xml:space="preserve">En ce qui concerne la </w:t>
      </w:r>
      <w:r w:rsidR="00E34DC9">
        <w:rPr>
          <w:lang w:val="fr-FR"/>
        </w:rPr>
        <w:t>cible 1</w:t>
      </w:r>
      <w:r w:rsidRPr="00653BF4">
        <w:rPr>
          <w:lang w:val="fr-FR"/>
        </w:rPr>
        <w:t>1, ce sont les rôles de mise en œuvre directe et de co-exécution que les rapports nationaux associent le plus souvent à des acteurs autres que les gouvernements nationaux. Parmi ceux-ci figurent les ONG, les acteurs sectoriels tels que les agriculteurs et les pêcheurs, ainsi que les organisations intergouvernementales, qui interviennent à la fois en tant que partenaires financiers et partenaires opérationnels. La cogestion et la gouvernance constituent les rôles les plus importants exercés par les peuples autochtones et communautés locales et les autorités infranationales, tandis que le financement et le cofinancement sont principalement assurés par les organisations intergouvernementales, les acteurs du monde des affaires et de la finance ainsi que certaines ONG, selon les rapports. La diffusion des connaissances, la surveillance et la définition de normes techniques constituent les principales missions de la communauté scientifique. La sensibilisation et le renforcement des capacités sont les rôles le plus souvent attribués aux citoyens, aux jeunes, aux femmes et aux filles, bien que leur description comporte souvent peu de détails opérationnels. Enfin, la gestion responsable liée aux moyens de subsistance, qui consiste à intégrer la conservation dans les activités génératrices de revenus, apparaît comme un mécanisme transversal pour les peuples autochtones et communautés locales, les acteurs sectoriels, les femmes et les jeunes. Cela est particulièrement évident en Afrique subsaharienne, en Amérique latine et dans le Pacifique.</w:t>
      </w:r>
    </w:p>
    <w:p w14:paraId="757DD25D" w14:textId="77777777" w:rsidR="00B87039" w:rsidRPr="00653BF4" w:rsidRDefault="00B87039" w:rsidP="00B87039">
      <w:pPr>
        <w:rPr>
          <w:lang w:val="fr-FR"/>
        </w:rPr>
      </w:pPr>
    </w:p>
    <w:p w14:paraId="76FC2E72" w14:textId="77777777" w:rsidR="00B87039" w:rsidRPr="00653BF4" w:rsidRDefault="00B87039" w:rsidP="00B87039">
      <w:pPr>
        <w:rPr>
          <w:lang w:val="fr-FR"/>
        </w:rPr>
      </w:pPr>
    </w:p>
    <w:p w14:paraId="438EC493" w14:textId="1582B959" w:rsidR="00B87039" w:rsidRPr="00653BF4" w:rsidRDefault="00B87039" w:rsidP="00B87039">
      <w:pPr>
        <w:pStyle w:val="Heading5"/>
        <w:rPr>
          <w:lang w:val="fr-FR"/>
        </w:rPr>
      </w:pPr>
      <w:r w:rsidRPr="00653BF4">
        <w:rPr>
          <w:lang w:val="fr-FR"/>
        </w:rPr>
        <w:t>Exemples de liens avec d</w:t>
      </w:r>
      <w:r w:rsidR="00D77549">
        <w:rPr>
          <w:lang w:val="fr-FR"/>
        </w:rPr>
        <w:t>’</w:t>
      </w:r>
      <w:r w:rsidRPr="00653BF4">
        <w:rPr>
          <w:lang w:val="fr-FR"/>
        </w:rPr>
        <w:t>autres accords, organisations et processus</w:t>
      </w:r>
    </w:p>
    <w:p w14:paraId="57180A4D" w14:textId="77777777" w:rsidR="00B87039" w:rsidRPr="00653BF4" w:rsidRDefault="00B87039" w:rsidP="00B87039">
      <w:pPr>
        <w:rPr>
          <w:lang w:val="fr-FR"/>
        </w:rPr>
      </w:pPr>
    </w:p>
    <w:p w14:paraId="50501014" w14:textId="3716F05F" w:rsidR="00B87039" w:rsidRPr="00653BF4" w:rsidRDefault="00B87039" w:rsidP="00B87039">
      <w:pPr>
        <w:rPr>
          <w:lang w:val="fr-FR"/>
        </w:rPr>
      </w:pPr>
      <w:r w:rsidRPr="00653BF4">
        <w:rPr>
          <w:lang w:val="fr-FR"/>
        </w:rPr>
        <w:t xml:space="preserve">La </w:t>
      </w:r>
      <w:r w:rsidR="00E34DC9">
        <w:rPr>
          <w:lang w:val="fr-FR"/>
        </w:rPr>
        <w:t>cible 1</w:t>
      </w:r>
      <w:r w:rsidRPr="00653BF4">
        <w:rPr>
          <w:lang w:val="fr-FR"/>
        </w:rPr>
        <w:t xml:space="preserve">1 du quatrième plan stratégique pour la période 2016-2024 de la Convention relative aux zones humides d’importance internationale, particulièrement comme habitats des oiseaux d’eau, visait à ce que, pendant la durée du plan, </w:t>
      </w:r>
      <w:r w:rsidR="00E34DC9">
        <w:rPr>
          <w:lang w:val="fr-FR"/>
        </w:rPr>
        <w:t>« </w:t>
      </w:r>
      <w:r w:rsidRPr="00653BF4">
        <w:rPr>
          <w:lang w:val="fr-FR"/>
        </w:rPr>
        <w:t>les fonctions, les services et les avantages des zones humides soient largement mis en évidence, documentés et diffusés</w:t>
      </w:r>
      <w:r w:rsidR="00E34DC9">
        <w:rPr>
          <w:lang w:val="fr-FR"/>
        </w:rPr>
        <w:t> »</w:t>
      </w:r>
      <w:r w:rsidRPr="00653BF4">
        <w:rPr>
          <w:lang w:val="fr-FR"/>
        </w:rPr>
        <w:t xml:space="preserve">. Les progrès accomplis dans la réalisation de cette cible ont été considérés comme contribuant aux </w:t>
      </w:r>
      <w:r w:rsidR="002878D7">
        <w:rPr>
          <w:lang w:val="fr-FR"/>
        </w:rPr>
        <w:t>cibles 1</w:t>
      </w:r>
      <w:r w:rsidRPr="00653BF4">
        <w:rPr>
          <w:lang w:val="fr-FR"/>
        </w:rPr>
        <w:t>1, 12 et 13 du Cadre mondial de la biodiversité de Kunming-Montréal. En 2025, environ 70</w:t>
      </w:r>
      <w:r w:rsidR="002878D7">
        <w:rPr>
          <w:lang w:val="fr-FR"/>
        </w:rPr>
        <w:t> %</w:t>
      </w:r>
      <w:r w:rsidRPr="00653BF4">
        <w:rPr>
          <w:lang w:val="fr-FR"/>
        </w:rPr>
        <w:t xml:space="preserve"> des Parties à la Convention sur les zones humides avaient procédé à des évaluations complètes ou partielles des avantages et des services écosystémiques fournis par les zones humides d</w:t>
      </w:r>
      <w:r w:rsidR="00D77549">
        <w:rPr>
          <w:lang w:val="fr-FR"/>
        </w:rPr>
        <w:t>’</w:t>
      </w:r>
      <w:r w:rsidRPr="00653BF4">
        <w:rPr>
          <w:lang w:val="fr-FR"/>
        </w:rPr>
        <w:t xml:space="preserve">importance internationale et </w:t>
      </w:r>
      <w:r w:rsidRPr="00653BF4">
        <w:rPr>
          <w:lang w:val="fr-FR"/>
        </w:rPr>
        <w:lastRenderedPageBreak/>
        <w:t>d</w:t>
      </w:r>
      <w:r w:rsidR="00D77549">
        <w:rPr>
          <w:lang w:val="fr-FR"/>
        </w:rPr>
        <w:t>’</w:t>
      </w:r>
      <w:r w:rsidRPr="00653BF4">
        <w:rPr>
          <w:lang w:val="fr-FR"/>
        </w:rPr>
        <w:t>autres zones humides.</w:t>
      </w:r>
      <w:r w:rsidRPr="00653BF4">
        <w:rPr>
          <w:color w:val="000000" w:themeColor="text1"/>
          <w:shd w:val="clear" w:color="auto" w:fill="FFFFFF"/>
          <w:lang w:val="fr-FR"/>
        </w:rPr>
        <w:t xml:space="preserve"> Selon les </w:t>
      </w:r>
      <w:r w:rsidRPr="00653BF4">
        <w:rPr>
          <w:i/>
          <w:iCs/>
          <w:color w:val="000000" w:themeColor="text1"/>
          <w:shd w:val="clear" w:color="auto" w:fill="FFFFFF"/>
          <w:lang w:val="fr-FR"/>
        </w:rPr>
        <w:t>Perspectives mondiales des zones humides 2025</w:t>
      </w:r>
      <w:r w:rsidRPr="00653BF4">
        <w:rPr>
          <w:color w:val="000000" w:themeColor="text1"/>
          <w:shd w:val="clear" w:color="auto" w:fill="FFFFFF"/>
          <w:lang w:val="fr-FR"/>
        </w:rPr>
        <w:t>, les 1,4 milliard d’hectares de zones humides restantes apporteraient chaque année aux populations entre 8 000 milliards et 39 000 milliards de dollars des États-Unis (Convention sur les zones humides, 2025a, 2025b et 2025e).</w:t>
      </w:r>
    </w:p>
    <w:p w14:paraId="2A859C85" w14:textId="77777777" w:rsidR="00B87039" w:rsidRPr="00653BF4" w:rsidRDefault="00B87039" w:rsidP="00B87039">
      <w:pPr>
        <w:rPr>
          <w:lang w:val="fr-FR"/>
        </w:rPr>
      </w:pPr>
    </w:p>
    <w:p w14:paraId="62D25835" w14:textId="77777777" w:rsidR="00B87039" w:rsidRPr="00653BF4" w:rsidRDefault="00B87039" w:rsidP="00B87039">
      <w:pPr>
        <w:rPr>
          <w:lang w:val="fr-FR"/>
        </w:rPr>
      </w:pPr>
    </w:p>
    <w:p w14:paraId="3A8EC471" w14:textId="1540DA1F" w:rsidR="00B87039" w:rsidRPr="00653BF4" w:rsidRDefault="00E34DC9" w:rsidP="00B87039">
      <w:pPr>
        <w:pStyle w:val="Heading4"/>
        <w:rPr>
          <w:i w:val="0"/>
          <w:iCs w:val="0"/>
          <w:lang w:val="fr-FR"/>
        </w:rPr>
      </w:pPr>
      <w:bookmarkStart w:id="228" w:name="_Toc235821193"/>
      <w:bookmarkStart w:id="229" w:name="_Toc239069207"/>
      <w:bookmarkStart w:id="230" w:name="_Toc1275005667"/>
      <w:bookmarkStart w:id="231" w:name="_Toc242801244"/>
      <w:r>
        <w:rPr>
          <w:b/>
          <w:bCs/>
          <w:i w:val="0"/>
          <w:iCs w:val="0"/>
          <w:lang w:val="fr-FR"/>
        </w:rPr>
        <w:t>Cible 1</w:t>
      </w:r>
      <w:r w:rsidR="00B87039" w:rsidRPr="00653BF4">
        <w:rPr>
          <w:b/>
          <w:bCs/>
          <w:i w:val="0"/>
          <w:iCs w:val="0"/>
          <w:lang w:val="fr-FR"/>
        </w:rPr>
        <w:t>2.</w:t>
      </w:r>
      <w:r w:rsidR="00B87039" w:rsidRPr="00653BF4">
        <w:rPr>
          <w:i w:val="0"/>
          <w:iCs w:val="0"/>
          <w:lang w:val="fr-FR"/>
        </w:rPr>
        <w:t xml:space="preserve"> Accroître les espaces verts et améliorer l</w:t>
      </w:r>
      <w:r w:rsidR="00D77549">
        <w:rPr>
          <w:i w:val="0"/>
          <w:iCs w:val="0"/>
          <w:lang w:val="fr-FR"/>
        </w:rPr>
        <w:t>’</w:t>
      </w:r>
      <w:r w:rsidR="00B87039" w:rsidRPr="00653BF4">
        <w:rPr>
          <w:i w:val="0"/>
          <w:iCs w:val="0"/>
          <w:lang w:val="fr-FR"/>
        </w:rPr>
        <w:t>aménagement urbain pour le bien-être humain et la biodiversité</w:t>
      </w:r>
      <w:bookmarkEnd w:id="228"/>
      <w:bookmarkEnd w:id="229"/>
      <w:bookmarkEnd w:id="230"/>
      <w:bookmarkEnd w:id="231"/>
    </w:p>
    <w:p w14:paraId="1212FF11" w14:textId="77777777" w:rsidR="00B87039" w:rsidRPr="00653BF4" w:rsidRDefault="00B87039" w:rsidP="00B87039">
      <w:pPr>
        <w:rPr>
          <w:b/>
          <w:bCs/>
          <w:i/>
          <w:iCs/>
          <w:sz w:val="22"/>
          <w:szCs w:val="22"/>
          <w:lang w:val="fr-FR"/>
        </w:rPr>
      </w:pPr>
      <w:bookmarkStart w:id="232" w:name="_Toc235821194"/>
    </w:p>
    <w:p w14:paraId="7DCFE4BF" w14:textId="48FE332B" w:rsidR="00B87039" w:rsidRPr="00653BF4" w:rsidRDefault="00B87039" w:rsidP="00B87039">
      <w:pPr>
        <w:rPr>
          <w:i/>
          <w:iCs/>
          <w:sz w:val="22"/>
          <w:szCs w:val="22"/>
          <w:lang w:val="fr-FR"/>
        </w:rPr>
      </w:pPr>
      <w:r w:rsidRPr="00653BF4">
        <w:rPr>
          <w:b/>
          <w:bCs/>
          <w:sz w:val="22"/>
          <w:szCs w:val="22"/>
          <w:lang w:val="fr-FR"/>
        </w:rPr>
        <w:t>Texte de la cible</w:t>
      </w:r>
      <w:r w:rsidR="00E34DC9">
        <w:rPr>
          <w:b/>
          <w:bCs/>
          <w:sz w:val="22"/>
          <w:szCs w:val="22"/>
          <w:lang w:val="fr-FR"/>
        </w:rPr>
        <w:t> :</w:t>
      </w:r>
      <w:r w:rsidRPr="00653BF4">
        <w:rPr>
          <w:i/>
          <w:iCs/>
          <w:sz w:val="22"/>
          <w:szCs w:val="22"/>
          <w:lang w:val="fr-FR"/>
        </w:rPr>
        <w:t xml:space="preserve"> Augmenter significativement la superficie, la qualité et la connectivité des espaces verts et bleus dans les zones urbaines et densément peuplées, ainsi que l</w:t>
      </w:r>
      <w:r w:rsidR="00D77549">
        <w:rPr>
          <w:i/>
          <w:iCs/>
          <w:sz w:val="22"/>
          <w:szCs w:val="22"/>
          <w:lang w:val="fr-FR"/>
        </w:rPr>
        <w:t>’</w:t>
      </w:r>
      <w:r w:rsidRPr="00653BF4">
        <w:rPr>
          <w:i/>
          <w:iCs/>
          <w:sz w:val="22"/>
          <w:szCs w:val="22"/>
          <w:lang w:val="fr-FR"/>
        </w:rPr>
        <w:t>accès à ces espaces et les avantages qu</w:t>
      </w:r>
      <w:r w:rsidR="00D77549">
        <w:rPr>
          <w:i/>
          <w:iCs/>
          <w:sz w:val="22"/>
          <w:szCs w:val="22"/>
          <w:lang w:val="fr-FR"/>
        </w:rPr>
        <w:t>’</w:t>
      </w:r>
      <w:r w:rsidRPr="00653BF4">
        <w:rPr>
          <w:i/>
          <w:iCs/>
          <w:sz w:val="22"/>
          <w:szCs w:val="22"/>
          <w:lang w:val="fr-FR"/>
        </w:rPr>
        <w:t>ils procurent, en systématisant la conservation et l</w:t>
      </w:r>
      <w:r w:rsidR="00D77549">
        <w:rPr>
          <w:i/>
          <w:iCs/>
          <w:sz w:val="22"/>
          <w:szCs w:val="22"/>
          <w:lang w:val="fr-FR"/>
        </w:rPr>
        <w:t>’</w:t>
      </w:r>
      <w:r w:rsidRPr="00653BF4">
        <w:rPr>
          <w:i/>
          <w:iCs/>
          <w:sz w:val="22"/>
          <w:szCs w:val="22"/>
          <w:lang w:val="fr-FR"/>
        </w:rPr>
        <w:t>utilisation durable de la biodiversité, en tenant compte de celle-ci dans l</w:t>
      </w:r>
      <w:r w:rsidR="00D77549">
        <w:rPr>
          <w:i/>
          <w:iCs/>
          <w:sz w:val="22"/>
          <w:szCs w:val="22"/>
          <w:lang w:val="fr-FR"/>
        </w:rPr>
        <w:t>’</w:t>
      </w:r>
      <w:r w:rsidRPr="00653BF4">
        <w:rPr>
          <w:i/>
          <w:iCs/>
          <w:sz w:val="22"/>
          <w:szCs w:val="22"/>
          <w:lang w:val="fr-FR"/>
        </w:rPr>
        <w:t>aménagement urbain, en améliorant la biodiversité ainsi que la connectivité et l</w:t>
      </w:r>
      <w:r w:rsidR="00D77549">
        <w:rPr>
          <w:i/>
          <w:iCs/>
          <w:sz w:val="22"/>
          <w:szCs w:val="22"/>
          <w:lang w:val="fr-FR"/>
        </w:rPr>
        <w:t>’</w:t>
      </w:r>
      <w:r w:rsidRPr="00653BF4">
        <w:rPr>
          <w:i/>
          <w:iCs/>
          <w:sz w:val="22"/>
          <w:szCs w:val="22"/>
          <w:lang w:val="fr-FR"/>
        </w:rPr>
        <w:t>intégrité écologiques indigènes, en améliorant la santé et le bien-être des personnes et leur lien avec la nature, ainsi qu</w:t>
      </w:r>
      <w:r w:rsidR="00D77549">
        <w:rPr>
          <w:i/>
          <w:iCs/>
          <w:sz w:val="22"/>
          <w:szCs w:val="22"/>
          <w:lang w:val="fr-FR"/>
        </w:rPr>
        <w:t>’</w:t>
      </w:r>
      <w:r w:rsidRPr="00653BF4">
        <w:rPr>
          <w:i/>
          <w:iCs/>
          <w:sz w:val="22"/>
          <w:szCs w:val="22"/>
          <w:lang w:val="fr-FR"/>
        </w:rPr>
        <w:t>en favorisant une urbanisation durable et inclusive et en soutenant la fourniture de fonctions et de services écosystémiques.</w:t>
      </w:r>
    </w:p>
    <w:p w14:paraId="2B876EB8" w14:textId="77777777" w:rsidR="00B87039" w:rsidRPr="00653BF4" w:rsidRDefault="00B87039" w:rsidP="00B87039">
      <w:pPr>
        <w:pStyle w:val="Heading5"/>
        <w:rPr>
          <w:lang w:val="fr-FR"/>
        </w:rPr>
      </w:pPr>
    </w:p>
    <w:p w14:paraId="05AF6216" w14:textId="20204E15" w:rsidR="00B87039" w:rsidRPr="00653BF4" w:rsidRDefault="00B87039" w:rsidP="00B87039">
      <w:pPr>
        <w:pStyle w:val="Heading5"/>
        <w:rPr>
          <w:lang w:val="fr-FR"/>
        </w:rPr>
      </w:pPr>
      <w:r w:rsidRPr="00653BF4">
        <w:rPr>
          <w:lang w:val="fr-FR"/>
        </w:rPr>
        <w:t>Aperçu des progrès accomplis</w:t>
      </w:r>
      <w:bookmarkEnd w:id="232"/>
    </w:p>
    <w:tbl>
      <w:tblPr>
        <w:tblStyle w:val="TableGrid"/>
        <w:tblW w:w="0" w:type="auto"/>
        <w:tblLook w:val="04A0" w:firstRow="1" w:lastRow="0" w:firstColumn="1" w:lastColumn="0" w:noHBand="0" w:noVBand="1"/>
      </w:tblPr>
      <w:tblGrid>
        <w:gridCol w:w="9016"/>
      </w:tblGrid>
      <w:tr w:rsidR="00B87039" w:rsidRPr="00543148" w14:paraId="35918D9E" w14:textId="77777777" w:rsidTr="00557FB3">
        <w:tc>
          <w:tcPr>
            <w:tcW w:w="9016" w:type="dxa"/>
            <w:shd w:val="clear" w:color="auto" w:fill="D1D1D1" w:themeFill="background2" w:themeFillShade="E6"/>
          </w:tcPr>
          <w:p w14:paraId="3452A648" w14:textId="77777777" w:rsidR="00B87039" w:rsidRPr="00653BF4" w:rsidRDefault="00B87039" w:rsidP="00557FB3">
            <w:pPr>
              <w:rPr>
                <w:rFonts w:eastAsia="Times New Roman" w:cs="Calibri"/>
                <w:color w:val="000000"/>
                <w:lang w:val="fr-FR"/>
              </w:rPr>
            </w:pPr>
          </w:p>
          <w:p w14:paraId="61C1EC26" w14:textId="4B1B6477" w:rsidR="00B87039" w:rsidRPr="00653BF4" w:rsidRDefault="00B87039" w:rsidP="00557FB3">
            <w:pPr>
              <w:rPr>
                <w:rFonts w:eastAsia="Times New Roman" w:cs="Calibri"/>
                <w:color w:val="000000"/>
                <w:lang w:val="fr-FR"/>
              </w:rPr>
            </w:pPr>
            <w:r w:rsidRPr="00653BF4">
              <w:rPr>
                <w:rFonts w:eastAsia="Times New Roman" w:cs="Calibri"/>
                <w:color w:val="000000"/>
                <w:lang w:val="fr-FR"/>
              </w:rPr>
              <w:t>Il subsiste des lacunes concernant l</w:t>
            </w:r>
            <w:r w:rsidR="00D77549">
              <w:rPr>
                <w:rFonts w:eastAsia="Times New Roman" w:cs="Calibri"/>
                <w:color w:val="000000"/>
                <w:lang w:val="fr-FR"/>
              </w:rPr>
              <w:t>’</w:t>
            </w:r>
            <w:r w:rsidRPr="00653BF4">
              <w:rPr>
                <w:rFonts w:eastAsia="Times New Roman" w:cs="Calibri"/>
                <w:color w:val="000000"/>
                <w:lang w:val="fr-FR"/>
              </w:rPr>
              <w:t xml:space="preserve">alignement des cibles nationales sur la portée complète de la </w:t>
            </w:r>
            <w:r w:rsidR="00E34DC9">
              <w:rPr>
                <w:rFonts w:eastAsia="Times New Roman" w:cs="Calibri"/>
                <w:color w:val="000000"/>
                <w:lang w:val="fr-FR"/>
              </w:rPr>
              <w:t>cible 1</w:t>
            </w:r>
            <w:r w:rsidRPr="00653BF4">
              <w:rPr>
                <w:rFonts w:eastAsia="Times New Roman" w:cs="Calibri"/>
                <w:color w:val="000000"/>
                <w:lang w:val="fr-FR"/>
              </w:rPr>
              <w:t>2, ainsi que la mise en œuvre et le suivi. Les cibles nationales visent principalement à accroître la superficie des espaces verts et à garantir un aménagement urbain respectueux de la biodiversité, plutôt que d</w:t>
            </w:r>
            <w:r w:rsidR="00D77549">
              <w:rPr>
                <w:rFonts w:eastAsia="Times New Roman" w:cs="Calibri"/>
                <w:color w:val="000000"/>
                <w:lang w:val="fr-FR"/>
              </w:rPr>
              <w:t>’</w:t>
            </w:r>
            <w:r w:rsidRPr="00653BF4">
              <w:rPr>
                <w:rFonts w:eastAsia="Times New Roman" w:cs="Calibri"/>
                <w:color w:val="000000"/>
                <w:lang w:val="fr-FR"/>
              </w:rPr>
              <w:t>autres aspects de cette cible. Les données communiquées sont insuffisantes pour évaluer les tendances, mais elles permettent d</w:t>
            </w:r>
            <w:r w:rsidR="00D77549">
              <w:rPr>
                <w:rFonts w:eastAsia="Times New Roman" w:cs="Calibri"/>
                <w:color w:val="000000"/>
                <w:lang w:val="fr-FR"/>
              </w:rPr>
              <w:t>’</w:t>
            </w:r>
            <w:r w:rsidRPr="00653BF4">
              <w:rPr>
                <w:rFonts w:eastAsia="Times New Roman" w:cs="Calibri"/>
                <w:color w:val="000000"/>
                <w:lang w:val="fr-FR"/>
              </w:rPr>
              <w:t>établir un premier état des lieux des espaces verts et bleus dans les zones urbaines et densément peuplées. Une nette majorité des Parties font état de progrès en matière d</w:t>
            </w:r>
            <w:r w:rsidR="00D77549">
              <w:rPr>
                <w:rFonts w:eastAsia="Times New Roman" w:cs="Calibri"/>
                <w:color w:val="000000"/>
                <w:lang w:val="fr-FR"/>
              </w:rPr>
              <w:t>’</w:t>
            </w:r>
            <w:r w:rsidRPr="00653BF4">
              <w:rPr>
                <w:rFonts w:eastAsia="Times New Roman" w:cs="Calibri"/>
                <w:color w:val="000000"/>
                <w:lang w:val="fr-FR"/>
              </w:rPr>
              <w:t>intégration de la biodiversité et des services écosystémiques dans l</w:t>
            </w:r>
            <w:r w:rsidR="00D77549">
              <w:rPr>
                <w:rFonts w:eastAsia="Times New Roman" w:cs="Calibri"/>
                <w:color w:val="000000"/>
                <w:lang w:val="fr-FR"/>
              </w:rPr>
              <w:t>’</w:t>
            </w:r>
            <w:r w:rsidRPr="00653BF4">
              <w:rPr>
                <w:rFonts w:eastAsia="Times New Roman" w:cs="Calibri"/>
                <w:color w:val="000000"/>
                <w:lang w:val="fr-FR"/>
              </w:rPr>
              <w:t>aménagement urbain. Cependant, d</w:t>
            </w:r>
            <w:r w:rsidR="00D77549">
              <w:rPr>
                <w:rFonts w:eastAsia="Times New Roman" w:cs="Calibri"/>
                <w:color w:val="000000"/>
                <w:lang w:val="fr-FR"/>
              </w:rPr>
              <w:t>’</w:t>
            </w:r>
            <w:r w:rsidRPr="00653BF4">
              <w:rPr>
                <w:rFonts w:eastAsia="Times New Roman" w:cs="Calibri"/>
                <w:color w:val="000000"/>
                <w:lang w:val="fr-FR"/>
              </w:rPr>
              <w:t>autres indicateurs nationaux, ainsi que l</w:t>
            </w:r>
            <w:r w:rsidR="00D77549">
              <w:rPr>
                <w:rFonts w:eastAsia="Times New Roman" w:cs="Calibri"/>
                <w:color w:val="000000"/>
                <w:lang w:val="fr-FR"/>
              </w:rPr>
              <w:t>’</w:t>
            </w:r>
            <w:r w:rsidRPr="00653BF4">
              <w:rPr>
                <w:rFonts w:eastAsia="Times New Roman" w:cs="Calibri"/>
                <w:color w:val="000000"/>
                <w:lang w:val="fr-FR"/>
              </w:rPr>
              <w:t>auto-évaluation des Parties, indiquent tous que ces progrès ne sont pas suffisants pour atteindre la plupart des cibles nationales. Les Parties ont fait état de difficultés liées aux données et aux méthodes de suivi, à la faiblesse des cadres de planification et des mécanismes d</w:t>
            </w:r>
            <w:r w:rsidR="00D77549">
              <w:rPr>
                <w:rFonts w:eastAsia="Times New Roman" w:cs="Calibri"/>
                <w:color w:val="000000"/>
                <w:lang w:val="fr-FR"/>
              </w:rPr>
              <w:t>’</w:t>
            </w:r>
            <w:r w:rsidRPr="00653BF4">
              <w:rPr>
                <w:rFonts w:eastAsia="Times New Roman" w:cs="Calibri"/>
                <w:color w:val="000000"/>
                <w:lang w:val="fr-FR"/>
              </w:rPr>
              <w:t>application, au manque de coordination entre les autorités et à l</w:t>
            </w:r>
            <w:r w:rsidR="00D77549">
              <w:rPr>
                <w:rFonts w:eastAsia="Times New Roman" w:cs="Calibri"/>
                <w:color w:val="000000"/>
                <w:lang w:val="fr-FR"/>
              </w:rPr>
              <w:t>’</w:t>
            </w:r>
            <w:r w:rsidRPr="00653BF4">
              <w:rPr>
                <w:rFonts w:eastAsia="Times New Roman" w:cs="Calibri"/>
                <w:color w:val="000000"/>
                <w:lang w:val="fr-FR"/>
              </w:rPr>
              <w:t>absence d</w:t>
            </w:r>
            <w:r w:rsidR="00D77549">
              <w:rPr>
                <w:rFonts w:eastAsia="Times New Roman" w:cs="Calibri"/>
                <w:color w:val="000000"/>
                <w:lang w:val="fr-FR"/>
              </w:rPr>
              <w:t>’</w:t>
            </w:r>
            <w:r w:rsidRPr="00653BF4">
              <w:rPr>
                <w:rFonts w:eastAsia="Times New Roman" w:cs="Calibri"/>
                <w:color w:val="000000"/>
                <w:lang w:val="fr-FR"/>
              </w:rPr>
              <w:t>expertise pertinente.</w:t>
            </w:r>
          </w:p>
          <w:p w14:paraId="678D5F65" w14:textId="77777777" w:rsidR="00B87039" w:rsidRPr="00653BF4" w:rsidRDefault="00B87039" w:rsidP="00557FB3">
            <w:pPr>
              <w:rPr>
                <w:lang w:val="fr-FR"/>
              </w:rPr>
            </w:pPr>
          </w:p>
        </w:tc>
      </w:tr>
    </w:tbl>
    <w:p w14:paraId="2BF2BDC4" w14:textId="77777777" w:rsidR="00B87039" w:rsidRPr="00653BF4" w:rsidRDefault="00B87039" w:rsidP="00B87039">
      <w:pPr>
        <w:rPr>
          <w:lang w:val="fr-FR"/>
        </w:rPr>
      </w:pPr>
    </w:p>
    <w:p w14:paraId="1A66DA1A" w14:textId="52AC8261" w:rsidR="00B87039" w:rsidRPr="00653BF4" w:rsidRDefault="00B87039" w:rsidP="00B87039">
      <w:pPr>
        <w:pStyle w:val="Heading5"/>
        <w:rPr>
          <w:lang w:val="fr-FR"/>
        </w:rPr>
      </w:pPr>
      <w:r w:rsidRPr="00653BF4">
        <w:rPr>
          <w:lang w:val="fr-FR"/>
        </w:rPr>
        <w:lastRenderedPageBreak/>
        <w:t xml:space="preserve">Prise en compte par les Parties de la portée de la </w:t>
      </w:r>
      <w:r w:rsidR="00E34DC9">
        <w:rPr>
          <w:lang w:val="fr-FR"/>
        </w:rPr>
        <w:t>cible 1</w:t>
      </w:r>
      <w:r w:rsidRPr="00653BF4">
        <w:rPr>
          <w:lang w:val="fr-FR"/>
        </w:rPr>
        <w:t>2 du Cadre dans leurs cibles nationales</w:t>
      </w:r>
    </w:p>
    <w:p w14:paraId="76C9DF60" w14:textId="77777777" w:rsidR="00B87039" w:rsidRPr="00653BF4" w:rsidRDefault="00B87039" w:rsidP="00B87039">
      <w:pPr>
        <w:rPr>
          <w:i/>
          <w:iCs/>
          <w:sz w:val="22"/>
          <w:szCs w:val="22"/>
          <w:lang w:val="fr-FR"/>
        </w:rPr>
      </w:pPr>
    </w:p>
    <w:p w14:paraId="398B4E1A" w14:textId="2D1A27D6" w:rsidR="00B87039" w:rsidRPr="00653BF4" w:rsidRDefault="00B87039" w:rsidP="00B87039">
      <w:pPr>
        <w:pStyle w:val="Caption"/>
        <w:keepNext/>
        <w:rPr>
          <w:i w:val="0"/>
          <w:iCs w:val="0"/>
          <w:sz w:val="20"/>
          <w:szCs w:val="20"/>
          <w:lang w:val="fr-FR"/>
        </w:rPr>
      </w:pPr>
      <w:bookmarkStart w:id="233" w:name="_Ref238719898"/>
      <w:r w:rsidRPr="00653BF4">
        <w:rPr>
          <w:i w:val="0"/>
          <w:iCs w:val="0"/>
          <w:sz w:val="20"/>
          <w:szCs w:val="20"/>
          <w:lang w:val="fr-FR"/>
        </w:rPr>
        <w:t>Tableau 26</w:t>
      </w:r>
      <w:bookmarkEnd w:id="233"/>
    </w:p>
    <w:p w14:paraId="30400866" w14:textId="4A3D41A0" w:rsidR="00B87039" w:rsidRPr="00653BF4" w:rsidRDefault="00B87039" w:rsidP="00B87039">
      <w:pPr>
        <w:pStyle w:val="Caption"/>
        <w:keepNext/>
        <w:rPr>
          <w:i w:val="0"/>
          <w:sz w:val="20"/>
          <w:szCs w:val="20"/>
          <w:lang w:val="fr-FR"/>
        </w:rPr>
      </w:pPr>
      <w:r w:rsidRPr="00653BF4">
        <w:rPr>
          <w:b/>
          <w:i w:val="0"/>
          <w:sz w:val="20"/>
          <w:szCs w:val="20"/>
          <w:lang w:val="fr-FR"/>
        </w:rPr>
        <w:t xml:space="preserve">Éléments de la </w:t>
      </w:r>
      <w:r w:rsidR="00E34DC9">
        <w:rPr>
          <w:b/>
          <w:i w:val="0"/>
          <w:sz w:val="20"/>
          <w:szCs w:val="20"/>
          <w:lang w:val="fr-FR"/>
        </w:rPr>
        <w:t>cible 1</w:t>
      </w:r>
      <w:r w:rsidRPr="00653BF4">
        <w:rPr>
          <w:b/>
          <w:i w:val="0"/>
          <w:sz w:val="20"/>
          <w:szCs w:val="20"/>
          <w:lang w:val="fr-FR"/>
        </w:rPr>
        <w:t xml:space="preserve">2 du Cadre et </w:t>
      </w:r>
      <w:r w:rsidRPr="00653BF4">
        <w:rPr>
          <w:b/>
          <w:bCs/>
          <w:i w:val="0"/>
          <w:iCs w:val="0"/>
          <w:sz w:val="20"/>
          <w:szCs w:val="20"/>
          <w:lang w:val="fr-FR"/>
        </w:rPr>
        <w:t>leur prise en compte dans les cibles nationales</w:t>
      </w:r>
      <w:r w:rsidRPr="00653BF4">
        <w:rPr>
          <w:i w:val="0"/>
          <w:iCs w:val="0"/>
          <w:sz w:val="20"/>
          <w:szCs w:val="20"/>
          <w:vertAlign w:val="superscript"/>
          <w:lang w:val="fr-FR"/>
        </w:rPr>
        <w:t>a</w:t>
      </w:r>
    </w:p>
    <w:tbl>
      <w:tblPr>
        <w:tblStyle w:val="TableGrid"/>
        <w:tblW w:w="0" w:type="auto"/>
        <w:tblLook w:val="04A0" w:firstRow="1" w:lastRow="0" w:firstColumn="1" w:lastColumn="0" w:noHBand="0" w:noVBand="1"/>
      </w:tblPr>
      <w:tblGrid>
        <w:gridCol w:w="8359"/>
        <w:gridCol w:w="657"/>
      </w:tblGrid>
      <w:tr w:rsidR="00B87039" w:rsidRPr="00653BF4" w14:paraId="7EC55AD3" w14:textId="77777777" w:rsidTr="00557FB3">
        <w:tc>
          <w:tcPr>
            <w:tcW w:w="8359" w:type="dxa"/>
          </w:tcPr>
          <w:p w14:paraId="238EF970" w14:textId="77777777" w:rsidR="00B87039" w:rsidRPr="00653BF4" w:rsidRDefault="00B87039" w:rsidP="00557FB3">
            <w:pPr>
              <w:rPr>
                <w:sz w:val="22"/>
                <w:szCs w:val="22"/>
                <w:lang w:val="fr-FR"/>
              </w:rPr>
            </w:pPr>
            <w:r w:rsidRPr="00653BF4">
              <w:rPr>
                <w:sz w:val="22"/>
                <w:szCs w:val="22"/>
                <w:lang w:val="fr-FR"/>
              </w:rPr>
              <w:t>Augmenter significativement la superficie des espaces verts dans les zones urbaines et densément peuplées</w:t>
            </w:r>
          </w:p>
          <w:p w14:paraId="3F0402FF" w14:textId="77777777" w:rsidR="00B87039" w:rsidRPr="00653BF4" w:rsidRDefault="00B87039" w:rsidP="00557FB3">
            <w:pPr>
              <w:rPr>
                <w:sz w:val="22"/>
                <w:szCs w:val="22"/>
                <w:lang w:val="fr-FR"/>
              </w:rPr>
            </w:pPr>
          </w:p>
        </w:tc>
        <w:tc>
          <w:tcPr>
            <w:tcW w:w="657" w:type="dxa"/>
            <w:shd w:val="clear" w:color="auto" w:fill="92D050"/>
          </w:tcPr>
          <w:p w14:paraId="17F3CB27" w14:textId="77777777" w:rsidR="00B87039" w:rsidRPr="00653BF4" w:rsidRDefault="00B87039" w:rsidP="00557FB3">
            <w:pPr>
              <w:rPr>
                <w:sz w:val="22"/>
                <w:szCs w:val="22"/>
                <w:lang w:val="fr-FR"/>
              </w:rPr>
            </w:pPr>
            <w:r w:rsidRPr="00653BF4">
              <w:rPr>
                <w:sz w:val="22"/>
                <w:szCs w:val="22"/>
                <w:lang w:val="fr-FR"/>
              </w:rPr>
              <w:t>71</w:t>
            </w:r>
          </w:p>
        </w:tc>
      </w:tr>
      <w:tr w:rsidR="00B87039" w:rsidRPr="00653BF4" w14:paraId="13D40DD6" w14:textId="77777777" w:rsidTr="00557FB3">
        <w:tc>
          <w:tcPr>
            <w:tcW w:w="8359" w:type="dxa"/>
          </w:tcPr>
          <w:p w14:paraId="743A51AD" w14:textId="77777777" w:rsidR="00B87039" w:rsidRPr="00653BF4" w:rsidRDefault="00B87039" w:rsidP="00557FB3">
            <w:pPr>
              <w:rPr>
                <w:sz w:val="22"/>
                <w:szCs w:val="22"/>
                <w:lang w:val="fr-FR"/>
              </w:rPr>
            </w:pPr>
            <w:r w:rsidRPr="00653BF4">
              <w:rPr>
                <w:sz w:val="22"/>
                <w:szCs w:val="22"/>
                <w:lang w:val="fr-FR"/>
              </w:rPr>
              <w:t>Augmenter significativement la superficie des espaces bleus dans les zones urbaines et densément peuplées</w:t>
            </w:r>
          </w:p>
          <w:p w14:paraId="7C5C51F4" w14:textId="77777777" w:rsidR="00B87039" w:rsidRPr="00653BF4" w:rsidRDefault="00B87039" w:rsidP="00557FB3">
            <w:pPr>
              <w:rPr>
                <w:sz w:val="22"/>
                <w:szCs w:val="22"/>
                <w:lang w:val="fr-FR"/>
              </w:rPr>
            </w:pPr>
          </w:p>
        </w:tc>
        <w:tc>
          <w:tcPr>
            <w:tcW w:w="657" w:type="dxa"/>
            <w:shd w:val="clear" w:color="auto" w:fill="FFFF00"/>
          </w:tcPr>
          <w:p w14:paraId="7CC1046F" w14:textId="77777777" w:rsidR="00B87039" w:rsidRPr="00653BF4" w:rsidRDefault="00B87039" w:rsidP="00557FB3">
            <w:pPr>
              <w:rPr>
                <w:sz w:val="22"/>
                <w:szCs w:val="22"/>
                <w:lang w:val="fr-FR"/>
              </w:rPr>
            </w:pPr>
            <w:r w:rsidRPr="00653BF4">
              <w:rPr>
                <w:sz w:val="22"/>
                <w:szCs w:val="22"/>
                <w:lang w:val="fr-FR"/>
              </w:rPr>
              <w:t>53</w:t>
            </w:r>
          </w:p>
        </w:tc>
      </w:tr>
      <w:tr w:rsidR="00B87039" w:rsidRPr="00653BF4" w14:paraId="3FE2369B" w14:textId="77777777" w:rsidTr="00557FB3">
        <w:tc>
          <w:tcPr>
            <w:tcW w:w="8359" w:type="dxa"/>
          </w:tcPr>
          <w:p w14:paraId="492399CB" w14:textId="77777777" w:rsidR="00B87039" w:rsidRPr="00653BF4" w:rsidRDefault="00B87039" w:rsidP="00557FB3">
            <w:pPr>
              <w:rPr>
                <w:sz w:val="22"/>
                <w:szCs w:val="22"/>
                <w:lang w:val="fr-FR"/>
              </w:rPr>
            </w:pPr>
            <w:r w:rsidRPr="00653BF4">
              <w:rPr>
                <w:sz w:val="22"/>
                <w:szCs w:val="22"/>
                <w:lang w:val="fr-FR"/>
              </w:rPr>
              <w:t>Augmenter significativement la qualité des espaces verts et bleus dans les zones urbaines et densément peuplées</w:t>
            </w:r>
          </w:p>
        </w:tc>
        <w:tc>
          <w:tcPr>
            <w:tcW w:w="657" w:type="dxa"/>
            <w:shd w:val="clear" w:color="auto" w:fill="FFFF00"/>
          </w:tcPr>
          <w:p w14:paraId="75CFCC6C" w14:textId="77777777" w:rsidR="00B87039" w:rsidRPr="00653BF4" w:rsidRDefault="00B87039" w:rsidP="00557FB3">
            <w:pPr>
              <w:rPr>
                <w:sz w:val="22"/>
                <w:szCs w:val="22"/>
                <w:lang w:val="fr-FR"/>
              </w:rPr>
            </w:pPr>
            <w:r w:rsidRPr="00653BF4">
              <w:rPr>
                <w:sz w:val="22"/>
                <w:szCs w:val="22"/>
                <w:lang w:val="fr-FR"/>
              </w:rPr>
              <w:t>56</w:t>
            </w:r>
          </w:p>
        </w:tc>
      </w:tr>
      <w:tr w:rsidR="00B87039" w:rsidRPr="00653BF4" w14:paraId="273F8650" w14:textId="77777777" w:rsidTr="00557FB3">
        <w:tc>
          <w:tcPr>
            <w:tcW w:w="8359" w:type="dxa"/>
          </w:tcPr>
          <w:p w14:paraId="6455BD63" w14:textId="77777777" w:rsidR="00B87039" w:rsidRPr="00653BF4" w:rsidRDefault="00B87039" w:rsidP="00557FB3">
            <w:pPr>
              <w:rPr>
                <w:sz w:val="22"/>
                <w:szCs w:val="22"/>
                <w:lang w:val="fr-FR"/>
              </w:rPr>
            </w:pPr>
            <w:r w:rsidRPr="00653BF4">
              <w:rPr>
                <w:sz w:val="22"/>
                <w:szCs w:val="22"/>
                <w:lang w:val="fr-FR"/>
              </w:rPr>
              <w:t>Augmenter significativement la connectivité des espaces verts et bleus dans les zones urbaines et densément peuplées</w:t>
            </w:r>
          </w:p>
        </w:tc>
        <w:tc>
          <w:tcPr>
            <w:tcW w:w="657" w:type="dxa"/>
            <w:shd w:val="clear" w:color="auto" w:fill="FFFF00"/>
          </w:tcPr>
          <w:p w14:paraId="484F5A14" w14:textId="77777777" w:rsidR="00B87039" w:rsidRPr="00653BF4" w:rsidRDefault="00B87039" w:rsidP="00557FB3">
            <w:pPr>
              <w:rPr>
                <w:sz w:val="22"/>
                <w:szCs w:val="22"/>
                <w:lang w:val="fr-FR"/>
              </w:rPr>
            </w:pPr>
            <w:r w:rsidRPr="00653BF4">
              <w:rPr>
                <w:sz w:val="22"/>
                <w:szCs w:val="22"/>
                <w:lang w:val="fr-FR"/>
              </w:rPr>
              <w:t>52</w:t>
            </w:r>
          </w:p>
        </w:tc>
      </w:tr>
      <w:tr w:rsidR="00B87039" w:rsidRPr="00653BF4" w14:paraId="5744FE26" w14:textId="77777777" w:rsidTr="00557FB3">
        <w:tc>
          <w:tcPr>
            <w:tcW w:w="8359" w:type="dxa"/>
          </w:tcPr>
          <w:p w14:paraId="4B1064C2" w14:textId="43DBE29B" w:rsidR="00B87039" w:rsidRPr="00653BF4" w:rsidRDefault="00B87039" w:rsidP="00557FB3">
            <w:pPr>
              <w:rPr>
                <w:sz w:val="22"/>
                <w:szCs w:val="22"/>
                <w:lang w:val="fr-FR"/>
              </w:rPr>
            </w:pPr>
            <w:r w:rsidRPr="00653BF4">
              <w:rPr>
                <w:sz w:val="22"/>
                <w:szCs w:val="22"/>
                <w:lang w:val="fr-FR"/>
              </w:rPr>
              <w:t>Augmenter significativement l</w:t>
            </w:r>
            <w:r w:rsidR="00D77549">
              <w:rPr>
                <w:sz w:val="22"/>
                <w:szCs w:val="22"/>
                <w:lang w:val="fr-FR"/>
              </w:rPr>
              <w:t>’</w:t>
            </w:r>
            <w:r w:rsidRPr="00653BF4">
              <w:rPr>
                <w:sz w:val="22"/>
                <w:szCs w:val="22"/>
                <w:lang w:val="fr-FR"/>
              </w:rPr>
              <w:t>accès aux espaces verts et bleus dans les zones urbaines et densément peuplées, ainsi que les avantages qu</w:t>
            </w:r>
            <w:r w:rsidR="00D77549">
              <w:rPr>
                <w:sz w:val="22"/>
                <w:szCs w:val="22"/>
                <w:lang w:val="fr-FR"/>
              </w:rPr>
              <w:t>’</w:t>
            </w:r>
            <w:r w:rsidRPr="00653BF4">
              <w:rPr>
                <w:sz w:val="22"/>
                <w:szCs w:val="22"/>
                <w:lang w:val="fr-FR"/>
              </w:rPr>
              <w:t xml:space="preserve">ils procurent </w:t>
            </w:r>
          </w:p>
        </w:tc>
        <w:tc>
          <w:tcPr>
            <w:tcW w:w="657" w:type="dxa"/>
            <w:shd w:val="clear" w:color="auto" w:fill="FFFF00"/>
          </w:tcPr>
          <w:p w14:paraId="4EF63B12" w14:textId="77777777" w:rsidR="00B87039" w:rsidRPr="00653BF4" w:rsidRDefault="00B87039" w:rsidP="00557FB3">
            <w:pPr>
              <w:rPr>
                <w:sz w:val="22"/>
                <w:szCs w:val="22"/>
                <w:lang w:val="fr-FR"/>
              </w:rPr>
            </w:pPr>
            <w:r w:rsidRPr="00653BF4">
              <w:rPr>
                <w:sz w:val="22"/>
                <w:szCs w:val="22"/>
                <w:lang w:val="fr-FR"/>
              </w:rPr>
              <w:t>46</w:t>
            </w:r>
          </w:p>
        </w:tc>
      </w:tr>
      <w:tr w:rsidR="00B87039" w:rsidRPr="00653BF4" w14:paraId="25E48400" w14:textId="77777777" w:rsidTr="00557FB3">
        <w:tc>
          <w:tcPr>
            <w:tcW w:w="8359" w:type="dxa"/>
          </w:tcPr>
          <w:p w14:paraId="0CD6E521" w14:textId="0E48121C" w:rsidR="00B87039" w:rsidRPr="00653BF4" w:rsidRDefault="00B87039" w:rsidP="00557FB3">
            <w:pPr>
              <w:rPr>
                <w:sz w:val="22"/>
                <w:szCs w:val="22"/>
                <w:lang w:val="fr-FR"/>
              </w:rPr>
            </w:pPr>
            <w:r w:rsidRPr="00653BF4">
              <w:rPr>
                <w:sz w:val="22"/>
                <w:szCs w:val="22"/>
                <w:lang w:val="fr-FR"/>
              </w:rPr>
              <w:t>Systématiser la conservation et l</w:t>
            </w:r>
            <w:r w:rsidR="00D77549">
              <w:rPr>
                <w:sz w:val="22"/>
                <w:szCs w:val="22"/>
                <w:lang w:val="fr-FR"/>
              </w:rPr>
              <w:t>’</w:t>
            </w:r>
            <w:r w:rsidRPr="00653BF4">
              <w:rPr>
                <w:sz w:val="22"/>
                <w:szCs w:val="22"/>
                <w:lang w:val="fr-FR"/>
              </w:rPr>
              <w:t>utilisation durable de la biodiversité dans les zones urbaines et densément peuplées</w:t>
            </w:r>
          </w:p>
        </w:tc>
        <w:tc>
          <w:tcPr>
            <w:tcW w:w="657" w:type="dxa"/>
            <w:shd w:val="clear" w:color="auto" w:fill="FFC000"/>
          </w:tcPr>
          <w:p w14:paraId="2B20D6FD" w14:textId="77777777" w:rsidR="00B87039" w:rsidRPr="00653BF4" w:rsidRDefault="00B87039" w:rsidP="00557FB3">
            <w:pPr>
              <w:rPr>
                <w:sz w:val="22"/>
                <w:szCs w:val="22"/>
                <w:lang w:val="fr-FR"/>
              </w:rPr>
            </w:pPr>
            <w:r w:rsidRPr="00653BF4">
              <w:rPr>
                <w:sz w:val="22"/>
                <w:szCs w:val="22"/>
                <w:lang w:val="fr-FR"/>
              </w:rPr>
              <w:t>33</w:t>
            </w:r>
          </w:p>
        </w:tc>
      </w:tr>
      <w:tr w:rsidR="00B87039" w:rsidRPr="00653BF4" w14:paraId="6D332A6E" w14:textId="77777777" w:rsidTr="00557FB3">
        <w:tc>
          <w:tcPr>
            <w:tcW w:w="8359" w:type="dxa"/>
          </w:tcPr>
          <w:p w14:paraId="4AA8B08B" w14:textId="4B60ADE6" w:rsidR="00B87039" w:rsidRPr="00653BF4" w:rsidRDefault="00B87039" w:rsidP="00557FB3">
            <w:pPr>
              <w:rPr>
                <w:sz w:val="22"/>
                <w:szCs w:val="22"/>
                <w:lang w:val="fr-FR"/>
              </w:rPr>
            </w:pPr>
            <w:r w:rsidRPr="00653BF4">
              <w:rPr>
                <w:sz w:val="22"/>
                <w:szCs w:val="22"/>
                <w:lang w:val="fr-FR"/>
              </w:rPr>
              <w:t>Tenir compte de la biodiversité dans l</w:t>
            </w:r>
            <w:r w:rsidR="00D77549">
              <w:rPr>
                <w:sz w:val="22"/>
                <w:szCs w:val="22"/>
                <w:lang w:val="fr-FR"/>
              </w:rPr>
              <w:t>’</w:t>
            </w:r>
            <w:r w:rsidRPr="00653BF4">
              <w:rPr>
                <w:sz w:val="22"/>
                <w:szCs w:val="22"/>
                <w:lang w:val="fr-FR"/>
              </w:rPr>
              <w:t>aménagement urbain, en favorisant une urbanisation durable et inclusive et en soutenant la fourniture de fonctions et de services écosystémiques</w:t>
            </w:r>
          </w:p>
        </w:tc>
        <w:tc>
          <w:tcPr>
            <w:tcW w:w="657" w:type="dxa"/>
            <w:shd w:val="clear" w:color="auto" w:fill="92D050"/>
          </w:tcPr>
          <w:p w14:paraId="44899558" w14:textId="77777777" w:rsidR="00B87039" w:rsidRPr="00653BF4" w:rsidRDefault="00B87039" w:rsidP="00557FB3">
            <w:pPr>
              <w:rPr>
                <w:sz w:val="22"/>
                <w:szCs w:val="22"/>
                <w:lang w:val="fr-FR"/>
              </w:rPr>
            </w:pPr>
            <w:r w:rsidRPr="00653BF4">
              <w:rPr>
                <w:sz w:val="22"/>
                <w:szCs w:val="22"/>
                <w:lang w:val="fr-FR"/>
              </w:rPr>
              <w:t>65</w:t>
            </w:r>
          </w:p>
        </w:tc>
      </w:tr>
      <w:tr w:rsidR="00B87039" w:rsidRPr="00653BF4" w14:paraId="53D5BFBD" w14:textId="77777777" w:rsidTr="00557FB3">
        <w:tc>
          <w:tcPr>
            <w:tcW w:w="8359" w:type="dxa"/>
          </w:tcPr>
          <w:p w14:paraId="5EEFB984" w14:textId="77777777" w:rsidR="00B87039" w:rsidRPr="00653BF4" w:rsidRDefault="00B87039" w:rsidP="00557FB3">
            <w:pPr>
              <w:rPr>
                <w:sz w:val="22"/>
                <w:szCs w:val="22"/>
                <w:lang w:val="fr-FR"/>
              </w:rPr>
            </w:pPr>
            <w:r w:rsidRPr="00653BF4">
              <w:rPr>
                <w:sz w:val="22"/>
                <w:szCs w:val="22"/>
                <w:lang w:val="fr-FR"/>
              </w:rPr>
              <w:t>Améliorer la biodiversité indigène dans les zones urbaines et densément peuplées</w:t>
            </w:r>
          </w:p>
          <w:p w14:paraId="2DACEB06" w14:textId="77777777" w:rsidR="00B87039" w:rsidRPr="00653BF4" w:rsidRDefault="00B87039" w:rsidP="00557FB3">
            <w:pPr>
              <w:rPr>
                <w:sz w:val="22"/>
                <w:szCs w:val="22"/>
                <w:lang w:val="fr-FR"/>
              </w:rPr>
            </w:pPr>
          </w:p>
        </w:tc>
        <w:tc>
          <w:tcPr>
            <w:tcW w:w="657" w:type="dxa"/>
            <w:shd w:val="clear" w:color="auto" w:fill="FFC000"/>
          </w:tcPr>
          <w:p w14:paraId="5DC11880" w14:textId="77777777" w:rsidR="00B87039" w:rsidRPr="00653BF4" w:rsidRDefault="00B87039" w:rsidP="00557FB3">
            <w:pPr>
              <w:rPr>
                <w:sz w:val="22"/>
                <w:szCs w:val="22"/>
                <w:lang w:val="fr-FR"/>
              </w:rPr>
            </w:pPr>
            <w:r w:rsidRPr="00653BF4">
              <w:rPr>
                <w:sz w:val="22"/>
                <w:szCs w:val="22"/>
                <w:lang w:val="fr-FR"/>
              </w:rPr>
              <w:t>31</w:t>
            </w:r>
          </w:p>
        </w:tc>
      </w:tr>
      <w:tr w:rsidR="00B87039" w:rsidRPr="00653BF4" w14:paraId="3B929BC6" w14:textId="77777777" w:rsidTr="00557FB3">
        <w:tc>
          <w:tcPr>
            <w:tcW w:w="8359" w:type="dxa"/>
          </w:tcPr>
          <w:p w14:paraId="4A299C50" w14:textId="77777777" w:rsidR="00B87039" w:rsidRPr="00653BF4" w:rsidRDefault="00B87039" w:rsidP="00557FB3">
            <w:pPr>
              <w:rPr>
                <w:sz w:val="22"/>
                <w:szCs w:val="22"/>
                <w:lang w:val="fr-FR"/>
              </w:rPr>
            </w:pPr>
            <w:r w:rsidRPr="00653BF4">
              <w:rPr>
                <w:sz w:val="22"/>
                <w:szCs w:val="22"/>
                <w:lang w:val="fr-FR"/>
              </w:rPr>
              <w:t>Améliorer la santé et le bien-être des personnes et leur lien avec la nature</w:t>
            </w:r>
          </w:p>
          <w:p w14:paraId="395E7D0F" w14:textId="77777777" w:rsidR="00B87039" w:rsidRPr="00653BF4" w:rsidRDefault="00B87039" w:rsidP="00557FB3">
            <w:pPr>
              <w:rPr>
                <w:sz w:val="22"/>
                <w:szCs w:val="22"/>
                <w:lang w:val="fr-FR"/>
              </w:rPr>
            </w:pPr>
          </w:p>
        </w:tc>
        <w:tc>
          <w:tcPr>
            <w:tcW w:w="657" w:type="dxa"/>
            <w:shd w:val="clear" w:color="auto" w:fill="FFFF00"/>
          </w:tcPr>
          <w:p w14:paraId="78F073AD" w14:textId="77777777" w:rsidR="00B87039" w:rsidRPr="00653BF4" w:rsidRDefault="00B87039" w:rsidP="00557FB3">
            <w:pPr>
              <w:rPr>
                <w:sz w:val="22"/>
                <w:szCs w:val="22"/>
                <w:lang w:val="fr-FR"/>
              </w:rPr>
            </w:pPr>
            <w:r w:rsidRPr="00653BF4">
              <w:rPr>
                <w:sz w:val="22"/>
                <w:szCs w:val="22"/>
                <w:lang w:val="fr-FR"/>
              </w:rPr>
              <w:t>54</w:t>
            </w:r>
          </w:p>
        </w:tc>
      </w:tr>
      <w:tr w:rsidR="00B87039" w:rsidRPr="00543148" w14:paraId="29665BF7" w14:textId="77777777" w:rsidTr="00557FB3">
        <w:tc>
          <w:tcPr>
            <w:tcW w:w="9016" w:type="dxa"/>
            <w:gridSpan w:val="2"/>
          </w:tcPr>
          <w:p w14:paraId="026ED260" w14:textId="77777777" w:rsidR="00B87039" w:rsidRPr="00653BF4" w:rsidRDefault="00B87039" w:rsidP="00557FB3">
            <w:pPr>
              <w:pStyle w:val="p1"/>
              <w:keepNext/>
              <w:rPr>
                <w:rFonts w:asciiTheme="minorHAnsi" w:hAnsiTheme="minorHAnsi"/>
                <w:b/>
                <w:bCs/>
                <w:sz w:val="22"/>
                <w:szCs w:val="22"/>
                <w:lang w:val="fr-FR"/>
              </w:rPr>
            </w:pPr>
          </w:p>
          <w:p w14:paraId="70895F60" w14:textId="35D8855D"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51</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611CD00D" w14:textId="77777777" w:rsidR="00B87039" w:rsidRPr="00653BF4" w:rsidRDefault="00B87039" w:rsidP="00557FB3">
            <w:pPr>
              <w:rPr>
                <w:i/>
                <w:iCs/>
                <w:sz w:val="22"/>
                <w:szCs w:val="22"/>
                <w:lang w:val="fr-FR"/>
              </w:rPr>
            </w:pPr>
          </w:p>
        </w:tc>
      </w:tr>
    </w:tbl>
    <w:p w14:paraId="56E2D305" w14:textId="77777777" w:rsidR="00B87039" w:rsidRPr="00653BF4" w:rsidRDefault="00B87039" w:rsidP="00B87039">
      <w:pPr>
        <w:rPr>
          <w:lang w:val="fr-FR"/>
        </w:rPr>
      </w:pPr>
    </w:p>
    <w:p w14:paraId="56C63ACF" w14:textId="7AB8A14F" w:rsidR="00B87039" w:rsidRPr="00653BF4" w:rsidRDefault="00B87039" w:rsidP="00B87039">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w:t>
      </w:r>
      <w:r w:rsidR="00D77549">
        <w:rPr>
          <w:iCs/>
          <w:sz w:val="16"/>
          <w:szCs w:val="16"/>
          <w:lang w:val="fr-FR"/>
        </w:rPr>
        <w:t>’</w:t>
      </w:r>
      <w:r w:rsidRPr="00653BF4">
        <w:rPr>
          <w:iCs/>
          <w:sz w:val="16"/>
          <w:szCs w:val="16"/>
          <w:lang w:val="fr-FR"/>
        </w:rPr>
        <w:t>élément, au moins partiellement.</w:t>
      </w:r>
    </w:p>
    <w:p w14:paraId="0DCB08CB" w14:textId="35695509" w:rsidR="00B87039" w:rsidRPr="00653BF4" w:rsidRDefault="00B87039" w:rsidP="00B8703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cs="Segoe UI"/>
          <w:sz w:val="16"/>
          <w:szCs w:val="16"/>
          <w:lang w:val="fr-FR"/>
        </w:rPr>
        <w:t xml:space="preserve"> Les éléments de chaque cible ont été définis par le Groupe spécial d</w:t>
      </w:r>
      <w:r w:rsidR="00D77549">
        <w:rPr>
          <w:rStyle w:val="normaltextrun"/>
          <w:rFonts w:cs="Segoe UI"/>
          <w:sz w:val="16"/>
          <w:szCs w:val="16"/>
          <w:lang w:val="fr-FR"/>
        </w:rPr>
        <w:t>’</w:t>
      </w:r>
      <w:r w:rsidRPr="00653BF4">
        <w:rPr>
          <w:rStyle w:val="normaltextrun"/>
          <w:rFonts w:cs="Segoe UI"/>
          <w:sz w:val="16"/>
          <w:szCs w:val="16"/>
          <w:lang w:val="fr-FR"/>
        </w:rPr>
        <w:t xml:space="preserve">experts techniques sur les indicateurs du Cadre mondial de la biodiversité de Kunming-Montréal (voir annexe I du document </w:t>
      </w:r>
      <w:hyperlink r:id="rId142" w:history="1">
        <w:r w:rsidRPr="00653BF4">
          <w:rPr>
            <w:rStyle w:val="Hyperlink"/>
            <w:rFonts w:ascii="Aptos" w:hAnsi="Aptos" w:cs="Segoe UI"/>
            <w:sz w:val="16"/>
            <w:szCs w:val="16"/>
            <w:lang w:val="fr-FR"/>
          </w:rPr>
          <w:t>CBD/COP/16/INF/4</w:t>
        </w:r>
      </w:hyperlink>
      <w:r w:rsidR="00E34DC9">
        <w:rPr>
          <w:rStyle w:val="normaltextrun"/>
          <w:rFonts w:cs="Segoe UI"/>
          <w:sz w:val="16"/>
          <w:szCs w:val="16"/>
          <w:lang w:val="fr-FR"/>
        </w:rPr>
        <w:t> ;</w:t>
      </w:r>
      <w:r w:rsidRPr="00653BF4">
        <w:rPr>
          <w:rFonts w:ascii="Aptos" w:hAnsi="Aptos" w:cs="Segoe UI"/>
          <w:sz w:val="16"/>
          <w:szCs w:val="16"/>
          <w:lang w:val="fr-FR"/>
        </w:rPr>
        <w:t xml:space="preserve"> et Affinito </w:t>
      </w:r>
      <w:r w:rsidRPr="00653BF4">
        <w:rPr>
          <w:rFonts w:ascii="Aptos" w:hAnsi="Aptos" w:cs="Segoe UI"/>
          <w:i/>
          <w:iCs/>
          <w:sz w:val="16"/>
          <w:szCs w:val="16"/>
          <w:lang w:val="fr-FR"/>
        </w:rPr>
        <w:t>et al.</w:t>
      </w:r>
      <w:r w:rsidRPr="00653BF4">
        <w:rPr>
          <w:rFonts w:ascii="Aptos" w:hAnsi="Aptos" w:cs="Segoe UI"/>
          <w:sz w:val="16"/>
          <w:szCs w:val="16"/>
          <w:lang w:val="fr-FR"/>
        </w:rPr>
        <w:t xml:space="preserve">, 2025). </w:t>
      </w:r>
      <w:r w:rsidRPr="00653BF4">
        <w:rPr>
          <w:rStyle w:val="normaltextrun"/>
          <w:rFonts w:cs="Segoe UI"/>
          <w:sz w:val="16"/>
          <w:szCs w:val="16"/>
          <w:lang w:val="fr-FR"/>
        </w:rPr>
        <w:t>La méthode détaillée employée pour l</w:t>
      </w:r>
      <w:r w:rsidR="00D77549">
        <w:rPr>
          <w:rStyle w:val="normaltextrun"/>
          <w:rFonts w:cs="Segoe UI"/>
          <w:sz w:val="16"/>
          <w:szCs w:val="16"/>
          <w:lang w:val="fr-FR"/>
        </w:rPr>
        <w:t>’</w:t>
      </w:r>
      <w:r w:rsidRPr="00653BF4">
        <w:rPr>
          <w:rStyle w:val="normaltextrun"/>
          <w:rFonts w:cs="Segoe UI"/>
          <w:sz w:val="16"/>
          <w:szCs w:val="16"/>
          <w:lang w:val="fr-FR"/>
        </w:rPr>
        <w:t>analyse des cibles nationales est présentée dans le document </w:t>
      </w:r>
      <w:hyperlink r:id="rId143" w:history="1">
        <w:r w:rsidRPr="00653BF4">
          <w:rPr>
            <w:rStyle w:val="Hyperlink"/>
            <w:rFonts w:ascii="Aptos" w:hAnsi="Aptos" w:cs="Segoe UI"/>
            <w:sz w:val="16"/>
            <w:szCs w:val="16"/>
            <w:lang w:val="fr-FR"/>
          </w:rPr>
          <w:t>CBD/SBI/7/INF/22</w:t>
        </w:r>
      </w:hyperlink>
      <w:r w:rsidRPr="00653BF4">
        <w:rPr>
          <w:rStyle w:val="normaltextrun"/>
          <w:rFonts w:cs="Segoe UI"/>
          <w:sz w:val="16"/>
          <w:szCs w:val="16"/>
          <w:lang w:val="fr-FR"/>
        </w:rPr>
        <w:t xml:space="preserve">. </w:t>
      </w:r>
    </w:p>
    <w:p w14:paraId="411D154F" w14:textId="77777777" w:rsidR="00B87039" w:rsidRPr="00653BF4" w:rsidRDefault="00B87039" w:rsidP="00B87039">
      <w:pPr>
        <w:rPr>
          <w:lang w:val="fr-FR"/>
        </w:rPr>
      </w:pPr>
    </w:p>
    <w:p w14:paraId="13C74F12" w14:textId="5909152F" w:rsidR="00B87039" w:rsidRPr="00653BF4" w:rsidRDefault="00B87039" w:rsidP="00B87039">
      <w:pPr>
        <w:rPr>
          <w:lang w:val="fr-FR"/>
        </w:rPr>
      </w:pPr>
      <w:r w:rsidRPr="00653BF4">
        <w:rPr>
          <w:lang w:val="fr-FR"/>
        </w:rPr>
        <w:t>Une large majorité des Parties ont présenté des cibles nationales portant sur les espaces verts dans les zones urbaines et densément peuplées (71</w:t>
      </w:r>
      <w:r w:rsidR="002878D7">
        <w:rPr>
          <w:lang w:val="fr-FR"/>
        </w:rPr>
        <w:t> %</w:t>
      </w:r>
      <w:r w:rsidRPr="00653BF4">
        <w:rPr>
          <w:lang w:val="fr-FR"/>
        </w:rPr>
        <w:t>) et sur l</w:t>
      </w:r>
      <w:r w:rsidR="00D77549">
        <w:rPr>
          <w:lang w:val="fr-FR"/>
        </w:rPr>
        <w:t>’</w:t>
      </w:r>
      <w:r w:rsidRPr="00653BF4">
        <w:rPr>
          <w:lang w:val="fr-FR"/>
        </w:rPr>
        <w:t>aménagement urbain tenant compte de la biodiversité (65</w:t>
      </w:r>
      <w:r w:rsidR="002878D7">
        <w:rPr>
          <w:lang w:val="fr-FR"/>
        </w:rPr>
        <w:t> %</w:t>
      </w:r>
      <w:r w:rsidRPr="00653BF4">
        <w:rPr>
          <w:lang w:val="fr-FR"/>
        </w:rPr>
        <w:t xml:space="preserve">) (voir le tableau 26). </w:t>
      </w:r>
      <w:bookmarkStart w:id="234" w:name="_Toc235821196"/>
      <w:r w:rsidRPr="00653BF4">
        <w:rPr>
          <w:lang w:val="fr-FR"/>
        </w:rPr>
        <w:t>Un plus petit nombre de Parties (53</w:t>
      </w:r>
      <w:r w:rsidR="002878D7">
        <w:rPr>
          <w:lang w:val="fr-FR"/>
        </w:rPr>
        <w:t> %</w:t>
      </w:r>
      <w:r w:rsidRPr="00653BF4">
        <w:rPr>
          <w:lang w:val="fr-FR"/>
        </w:rPr>
        <w:t>) traitent spécifiquement des espaces bleus (zones dominées par des plans d</w:t>
      </w:r>
      <w:r w:rsidR="00D77549">
        <w:rPr>
          <w:lang w:val="fr-FR"/>
        </w:rPr>
        <w:t>’</w:t>
      </w:r>
      <w:r w:rsidRPr="00653BF4">
        <w:rPr>
          <w:lang w:val="fr-FR"/>
        </w:rPr>
        <w:t>eau). Plus de la moitié des Parties sont dotées de cibles portant sur la qualité (56</w:t>
      </w:r>
      <w:r w:rsidR="002878D7">
        <w:rPr>
          <w:lang w:val="fr-FR"/>
        </w:rPr>
        <w:t> %</w:t>
      </w:r>
      <w:r w:rsidRPr="00653BF4">
        <w:rPr>
          <w:lang w:val="fr-FR"/>
        </w:rPr>
        <w:t xml:space="preserve">), la </w:t>
      </w:r>
      <w:r w:rsidRPr="00653BF4">
        <w:rPr>
          <w:lang w:val="fr-FR"/>
        </w:rPr>
        <w:lastRenderedPageBreak/>
        <w:t>connectivité (52</w:t>
      </w:r>
      <w:r w:rsidR="002878D7">
        <w:rPr>
          <w:lang w:val="fr-FR"/>
        </w:rPr>
        <w:t> %</w:t>
      </w:r>
      <w:r w:rsidRPr="00653BF4">
        <w:rPr>
          <w:lang w:val="fr-FR"/>
        </w:rPr>
        <w:t>) et les bienfaits pour la santé et le bien-être des personnes ainsi que leur lien avec la nature (54</w:t>
      </w:r>
      <w:r w:rsidR="002878D7">
        <w:rPr>
          <w:lang w:val="fr-FR"/>
        </w:rPr>
        <w:t> %</w:t>
      </w:r>
      <w:r w:rsidRPr="00653BF4">
        <w:rPr>
          <w:lang w:val="fr-FR"/>
        </w:rPr>
        <w:t>) des espaces verts et bleus. Un plus petit nombre de Parties ont fixé des cibles concernant l</w:t>
      </w:r>
      <w:r w:rsidR="00D77549">
        <w:rPr>
          <w:lang w:val="fr-FR"/>
        </w:rPr>
        <w:t>’</w:t>
      </w:r>
      <w:r w:rsidRPr="00653BF4">
        <w:rPr>
          <w:lang w:val="fr-FR"/>
        </w:rPr>
        <w:t>accès aux espaces verts et bleus (46</w:t>
      </w:r>
      <w:r w:rsidR="002878D7">
        <w:rPr>
          <w:lang w:val="fr-FR"/>
        </w:rPr>
        <w:t> %</w:t>
      </w:r>
      <w:r w:rsidRPr="00653BF4">
        <w:rPr>
          <w:lang w:val="fr-FR"/>
        </w:rPr>
        <w:t>) ou visant à améliorer la biodiversité indigène dans les zones urbaines et densément peuplées (31</w:t>
      </w:r>
      <w:r w:rsidR="002878D7">
        <w:rPr>
          <w:lang w:val="fr-FR"/>
        </w:rPr>
        <w:t> %</w:t>
      </w:r>
      <w:r w:rsidRPr="00653BF4">
        <w:rPr>
          <w:lang w:val="fr-FR"/>
        </w:rPr>
        <w:t>). Dans l</w:t>
      </w:r>
      <w:r w:rsidR="00D77549">
        <w:rPr>
          <w:lang w:val="fr-FR"/>
        </w:rPr>
        <w:t>’</w:t>
      </w:r>
      <w:r w:rsidRPr="00653BF4">
        <w:rPr>
          <w:lang w:val="fr-FR"/>
        </w:rPr>
        <w:t xml:space="preserve">ensemble, il existe des écarts importants entre la portée des cibles nationales et celle de la cible mondiale. La </w:t>
      </w:r>
      <w:r w:rsidR="00E34DC9">
        <w:rPr>
          <w:lang w:val="fr-FR"/>
        </w:rPr>
        <w:t>cible 1</w:t>
      </w:r>
      <w:r w:rsidRPr="00653BF4">
        <w:rPr>
          <w:lang w:val="fr-FR"/>
        </w:rPr>
        <w:t>2 ne comporte pas d</w:t>
      </w:r>
      <w:r w:rsidR="00D77549">
        <w:rPr>
          <w:lang w:val="fr-FR"/>
        </w:rPr>
        <w:t>’</w:t>
      </w:r>
      <w:r w:rsidRPr="00653BF4">
        <w:rPr>
          <w:lang w:val="fr-FR"/>
        </w:rPr>
        <w:t xml:space="preserve">éléments quantitatifs précis, mais prévoit un engagement à augmenter de manière significative la superficie des espaces verts et bleus. </w:t>
      </w:r>
    </w:p>
    <w:p w14:paraId="60311112" w14:textId="77777777" w:rsidR="00B87039" w:rsidRPr="00653BF4" w:rsidRDefault="00B87039" w:rsidP="00B87039">
      <w:pPr>
        <w:rPr>
          <w:lang w:val="fr-FR"/>
        </w:rPr>
      </w:pPr>
    </w:p>
    <w:p w14:paraId="5568CDD5" w14:textId="0E531B0B" w:rsidR="00B87039" w:rsidRPr="00653BF4" w:rsidRDefault="00B87039" w:rsidP="00B87039">
      <w:pPr>
        <w:pStyle w:val="Heading5"/>
        <w:rPr>
          <w:lang w:val="fr-FR"/>
        </w:rPr>
      </w:pPr>
      <w:r w:rsidRPr="00653BF4">
        <w:rPr>
          <w:lang w:val="fr-FR"/>
        </w:rPr>
        <w:t>Indicateurs de progrès</w:t>
      </w:r>
      <w:bookmarkEnd w:id="234"/>
    </w:p>
    <w:p w14:paraId="30AD4C9B" w14:textId="77777777" w:rsidR="00B87039" w:rsidRPr="00653BF4" w:rsidRDefault="00B87039" w:rsidP="00B87039">
      <w:pPr>
        <w:rPr>
          <w:lang w:val="fr-FR"/>
        </w:rPr>
      </w:pPr>
    </w:p>
    <w:p w14:paraId="0360A330" w14:textId="6DE96C12" w:rsidR="00B87039" w:rsidRPr="00653BF4" w:rsidRDefault="00B87039" w:rsidP="00B87039">
      <w:pPr>
        <w:pStyle w:val="Caption"/>
        <w:rPr>
          <w:i w:val="0"/>
          <w:sz w:val="20"/>
          <w:szCs w:val="20"/>
          <w:lang w:val="fr-FR"/>
        </w:rPr>
      </w:pPr>
      <w:bookmarkStart w:id="235" w:name="_Ref238721408"/>
      <w:r w:rsidRPr="00653BF4">
        <w:rPr>
          <w:i w:val="0"/>
          <w:iCs w:val="0"/>
          <w:sz w:val="20"/>
          <w:szCs w:val="20"/>
          <w:lang w:val="fr-FR"/>
        </w:rPr>
        <w:t>Tableau 27</w:t>
      </w:r>
      <w:bookmarkEnd w:id="235"/>
    </w:p>
    <w:p w14:paraId="2D6129DA" w14:textId="3905BA6A"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1</w:t>
      </w:r>
      <w:r w:rsidRPr="00653BF4">
        <w:rPr>
          <w:b/>
          <w:bCs/>
          <w:i w:val="0"/>
          <w:iCs w:val="0"/>
          <w:sz w:val="20"/>
          <w:szCs w:val="20"/>
          <w:lang w:val="fr-FR"/>
        </w:rPr>
        <w:t>2 du Cadre</w:t>
      </w:r>
    </w:p>
    <w:p w14:paraId="038F59A1" w14:textId="77777777" w:rsidR="00B87039" w:rsidRPr="00653BF4" w:rsidRDefault="00B87039" w:rsidP="00B87039">
      <w:pPr>
        <w:rPr>
          <w:lang w:val="fr-FR" w:eastAsia="ja-JP"/>
        </w:rPr>
      </w:pPr>
    </w:p>
    <w:tbl>
      <w:tblPr>
        <w:tblW w:w="9918" w:type="dxa"/>
        <w:tblLook w:val="04A0" w:firstRow="1" w:lastRow="0" w:firstColumn="1" w:lastColumn="0" w:noHBand="0" w:noVBand="1"/>
      </w:tblPr>
      <w:tblGrid>
        <w:gridCol w:w="3240"/>
        <w:gridCol w:w="2425"/>
        <w:gridCol w:w="709"/>
        <w:gridCol w:w="2835"/>
        <w:gridCol w:w="709"/>
      </w:tblGrid>
      <w:tr w:rsidR="00B87039" w:rsidRPr="00653BF4" w14:paraId="2E1B4150"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2D6E2944"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134" w:type="dxa"/>
            <w:gridSpan w:val="2"/>
            <w:tcBorders>
              <w:top w:val="single" w:sz="4" w:space="0" w:color="auto"/>
              <w:left w:val="nil"/>
              <w:bottom w:val="single" w:sz="4" w:space="0" w:color="auto"/>
              <w:right w:val="single" w:sz="4" w:space="0" w:color="auto"/>
            </w:tcBorders>
            <w:vAlign w:val="center"/>
          </w:tcPr>
          <w:p w14:paraId="7631DCE2" w14:textId="29F071A3" w:rsidR="00B87039" w:rsidRPr="00653BF4" w:rsidRDefault="00E04592"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71F3B95E" w14:textId="31385D4A" w:rsidR="00B87039" w:rsidRPr="00653BF4" w:rsidRDefault="00A443C9"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Résultats de l’indicateur</w:t>
            </w:r>
          </w:p>
        </w:tc>
      </w:tr>
      <w:tr w:rsidR="00B87039" w:rsidRPr="00653BF4" w14:paraId="01489C23"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A55EC5" w14:textId="6AF7E03C"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phare 12.1</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part moyenne de l’espace bâti des villes constitué d’espaces verts ou bleus et accessible à tous</w:t>
            </w:r>
          </w:p>
        </w:tc>
        <w:tc>
          <w:tcPr>
            <w:tcW w:w="2425" w:type="dxa"/>
            <w:tcBorders>
              <w:top w:val="single" w:sz="4" w:space="0" w:color="auto"/>
              <w:left w:val="nil"/>
              <w:bottom w:val="single" w:sz="4" w:space="0" w:color="auto"/>
              <w:right w:val="single" w:sz="4" w:space="0" w:color="auto"/>
            </w:tcBorders>
            <w:vAlign w:val="center"/>
            <w:hideMark/>
          </w:tcPr>
          <w:p w14:paraId="71319B0F" w14:textId="2F739632"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26</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709" w:type="dxa"/>
            <w:tcBorders>
              <w:top w:val="single" w:sz="4" w:space="0" w:color="auto"/>
              <w:left w:val="nil"/>
              <w:bottom w:val="single" w:sz="4" w:space="0" w:color="auto"/>
              <w:right w:val="nil"/>
            </w:tcBorders>
            <w:shd w:val="clear" w:color="auto" w:fill="C00000"/>
            <w:vAlign w:val="center"/>
            <w:hideMark/>
          </w:tcPr>
          <w:p w14:paraId="17167315"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53499E01" w14:textId="02F56BC5"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Moyenne générale</w:t>
            </w:r>
            <w:r w:rsidR="00E34DC9">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23</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(plage</w:t>
            </w:r>
            <w:r w:rsidR="00E34DC9">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1 à 58</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w:t>
            </w:r>
          </w:p>
        </w:tc>
        <w:tc>
          <w:tcPr>
            <w:tcW w:w="709" w:type="dxa"/>
            <w:tcBorders>
              <w:top w:val="single" w:sz="4" w:space="0" w:color="auto"/>
              <w:left w:val="nil"/>
              <w:bottom w:val="single" w:sz="4" w:space="0" w:color="auto"/>
              <w:right w:val="single" w:sz="4" w:space="0" w:color="auto"/>
            </w:tcBorders>
            <w:shd w:val="clear" w:color="000000" w:fill="FFC000"/>
            <w:vAlign w:val="center"/>
            <w:hideMark/>
          </w:tcPr>
          <w:p w14:paraId="4A3F811A"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2B450A17" w14:textId="77777777" w:rsidTr="00557FB3">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599AAE73" w14:textId="674FFC12"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binaire 12.b</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nombre de pays ayant mis en place un aménagement urbain respectueux de la biodiversité faisant référence aux espaces urbains verts ou bleus</w:t>
            </w:r>
          </w:p>
        </w:tc>
        <w:tc>
          <w:tcPr>
            <w:tcW w:w="2425" w:type="dxa"/>
            <w:tcBorders>
              <w:top w:val="nil"/>
              <w:left w:val="nil"/>
              <w:bottom w:val="single" w:sz="4" w:space="0" w:color="auto"/>
              <w:right w:val="single" w:sz="4" w:space="0" w:color="auto"/>
            </w:tcBorders>
            <w:vAlign w:val="center"/>
            <w:hideMark/>
          </w:tcPr>
          <w:p w14:paraId="1E23536A"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127 Parties</w:t>
            </w:r>
          </w:p>
        </w:tc>
        <w:tc>
          <w:tcPr>
            <w:tcW w:w="709" w:type="dxa"/>
            <w:tcBorders>
              <w:top w:val="nil"/>
              <w:left w:val="nil"/>
              <w:bottom w:val="single" w:sz="4" w:space="0" w:color="auto"/>
              <w:right w:val="single" w:sz="4" w:space="0" w:color="auto"/>
            </w:tcBorders>
            <w:vAlign w:val="center"/>
            <w:hideMark/>
          </w:tcPr>
          <w:p w14:paraId="4C43BC16" w14:textId="05341C8F" w:rsidR="00B87039" w:rsidRPr="00653BF4" w:rsidRDefault="000F4D75" w:rsidP="00557FB3">
            <w:pPr>
              <w:spacing w:after="0" w:line="240" w:lineRule="auto"/>
              <w:jc w:val="center"/>
              <w:rPr>
                <w:rFonts w:eastAsia="Times New Roman" w:cs="Times New Roman"/>
                <w:color w:val="000000"/>
                <w:kern w:val="0"/>
                <w:sz w:val="20"/>
                <w:szCs w:val="20"/>
                <w:lang w:val="fr-FR" w:eastAsia="en-CA"/>
                <w14:ligatures w14:val="none"/>
              </w:rPr>
            </w:pPr>
            <w:r>
              <w:rPr>
                <w:rFonts w:eastAsia="Times New Roman" w:cs="Times New Roman"/>
                <w:color w:val="000000"/>
                <w:kern w:val="0"/>
                <w:sz w:val="20"/>
                <w:szCs w:val="20"/>
                <w:lang w:val="fr-FR"/>
                <w14:ligatures w14:val="none"/>
              </w:rPr>
              <w:t>s.o.</w:t>
            </w:r>
            <w:r w:rsidR="00B87039" w:rsidRPr="00653BF4">
              <w:rPr>
                <w:rFonts w:eastAsia="Times New Roman" w:cs="Times New Roman"/>
                <w:i/>
                <w:iCs/>
                <w:color w:val="000000"/>
                <w:kern w:val="0"/>
                <w:sz w:val="20"/>
                <w:szCs w:val="20"/>
                <w:vertAlign w:val="superscript"/>
                <w:lang w:val="fr-FR"/>
                <w14:ligatures w14:val="none"/>
              </w:rPr>
              <w:t>a</w:t>
            </w:r>
          </w:p>
        </w:tc>
        <w:tc>
          <w:tcPr>
            <w:tcW w:w="2835" w:type="dxa"/>
            <w:tcBorders>
              <w:top w:val="nil"/>
              <w:left w:val="nil"/>
              <w:bottom w:val="single" w:sz="4" w:space="0" w:color="auto"/>
              <w:right w:val="single" w:sz="4" w:space="0" w:color="auto"/>
            </w:tcBorders>
            <w:vAlign w:val="center"/>
            <w:hideMark/>
          </w:tcPr>
          <w:p w14:paraId="5D9362C5" w14:textId="17B036F9"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69</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des Parties ont obtenu de très bons résultats (note</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4/5)</w:t>
            </w:r>
          </w:p>
        </w:tc>
        <w:tc>
          <w:tcPr>
            <w:tcW w:w="709" w:type="dxa"/>
            <w:tcBorders>
              <w:top w:val="nil"/>
              <w:left w:val="nil"/>
              <w:bottom w:val="single" w:sz="4" w:space="0" w:color="auto"/>
              <w:right w:val="single" w:sz="4" w:space="0" w:color="auto"/>
            </w:tcBorders>
            <w:shd w:val="clear" w:color="000000" w:fill="92D050"/>
            <w:vAlign w:val="center"/>
            <w:hideMark/>
          </w:tcPr>
          <w:p w14:paraId="7A41040B"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7406D61F" w14:textId="77777777" w:rsidTr="00557FB3">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12A0E402"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Tous les indicateurs quantitatifs combinés</w:t>
            </w:r>
          </w:p>
        </w:tc>
        <w:tc>
          <w:tcPr>
            <w:tcW w:w="2425" w:type="dxa"/>
            <w:tcBorders>
              <w:top w:val="nil"/>
              <w:left w:val="nil"/>
              <w:bottom w:val="single" w:sz="4" w:space="0" w:color="auto"/>
              <w:right w:val="single" w:sz="4" w:space="0" w:color="auto"/>
            </w:tcBorders>
            <w:vAlign w:val="center"/>
            <w:hideMark/>
          </w:tcPr>
          <w:p w14:paraId="4157D76D" w14:textId="646D9AD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27 Parties, 21</w:t>
            </w:r>
            <w:r w:rsidR="002878D7">
              <w:rPr>
                <w:rFonts w:eastAsia="Times New Roman" w:cs="Calibri"/>
                <w:color w:val="000000"/>
                <w:kern w:val="0"/>
                <w:sz w:val="20"/>
                <w:szCs w:val="20"/>
                <w:lang w:val="fr-FR"/>
                <w14:ligatures w14:val="none"/>
              </w:rPr>
              <w:t> %</w:t>
            </w:r>
          </w:p>
        </w:tc>
        <w:tc>
          <w:tcPr>
            <w:tcW w:w="709" w:type="dxa"/>
            <w:tcBorders>
              <w:top w:val="nil"/>
              <w:left w:val="nil"/>
              <w:bottom w:val="single" w:sz="4" w:space="0" w:color="auto"/>
              <w:right w:val="single" w:sz="4" w:space="0" w:color="auto"/>
            </w:tcBorders>
            <w:shd w:val="clear" w:color="000000" w:fill="C00000"/>
            <w:vAlign w:val="center"/>
            <w:hideMark/>
          </w:tcPr>
          <w:p w14:paraId="61F03B00"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835" w:type="dxa"/>
            <w:tcBorders>
              <w:top w:val="nil"/>
              <w:left w:val="nil"/>
              <w:bottom w:val="single" w:sz="4" w:space="0" w:color="auto"/>
              <w:right w:val="single" w:sz="4" w:space="0" w:color="auto"/>
            </w:tcBorders>
            <w:vAlign w:val="center"/>
            <w:hideMark/>
          </w:tcPr>
          <w:p w14:paraId="58145700" w14:textId="56886491"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20</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positives</w:t>
            </w:r>
          </w:p>
          <w:p w14:paraId="1F5A7956" w14:textId="5975CBE6"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3</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négatives</w:t>
            </w:r>
          </w:p>
        </w:tc>
        <w:tc>
          <w:tcPr>
            <w:tcW w:w="709" w:type="dxa"/>
            <w:tcBorders>
              <w:top w:val="nil"/>
              <w:left w:val="nil"/>
              <w:bottom w:val="single" w:sz="4" w:space="0" w:color="auto"/>
              <w:right w:val="single" w:sz="4" w:space="0" w:color="auto"/>
            </w:tcBorders>
            <w:shd w:val="clear" w:color="000000" w:fill="C00000"/>
            <w:vAlign w:val="center"/>
            <w:hideMark/>
          </w:tcPr>
          <w:p w14:paraId="6CEDA604"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0CB9E49B" w14:textId="77777777" w:rsidTr="00557FB3">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4551480A"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Notes</w:t>
            </w:r>
          </w:p>
        </w:tc>
        <w:tc>
          <w:tcPr>
            <w:tcW w:w="6678" w:type="dxa"/>
            <w:gridSpan w:val="4"/>
            <w:tcBorders>
              <w:top w:val="nil"/>
              <w:left w:val="nil"/>
              <w:bottom w:val="single" w:sz="4" w:space="0" w:color="auto"/>
              <w:right w:val="single" w:sz="4" w:space="0" w:color="auto"/>
            </w:tcBorders>
            <w:vAlign w:val="center"/>
          </w:tcPr>
          <w:p w14:paraId="5A458D4F" w14:textId="76233DCC"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Les valeurs nationales sont calculées à partir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un sous-ensemble de villes évaluées.</w:t>
            </w:r>
          </w:p>
          <w:p w14:paraId="394AFC32" w14:textId="0F8B21F8"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estimation de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accessibilité des espaces verts et bleus n</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était globalement pas réalisable.</w:t>
            </w:r>
          </w:p>
        </w:tc>
      </w:tr>
    </w:tbl>
    <w:p w14:paraId="5283CB00" w14:textId="77777777" w:rsidR="00B87039" w:rsidRPr="00653BF4" w:rsidRDefault="00B87039" w:rsidP="00B87039">
      <w:pPr>
        <w:pStyle w:val="p1"/>
        <w:rPr>
          <w:rFonts w:ascii="Aptos" w:hAnsi="Aptos"/>
          <w:sz w:val="24"/>
          <w:szCs w:val="24"/>
          <w:lang w:val="fr-FR"/>
        </w:rPr>
      </w:pPr>
    </w:p>
    <w:p w14:paraId="250F9DC9" w14:textId="028F0D68"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 xml:space="preserve">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w:t>
      </w:r>
      <w:r w:rsidRPr="00653BF4">
        <w:rPr>
          <w:sz w:val="16"/>
          <w:szCs w:val="16"/>
          <w:lang w:val="fr-FR"/>
        </w:rPr>
        <w:lastRenderedPageBreak/>
        <w:t>ensemble (le vert est attribué aux valeurs égales ou supérieures à 50</w:t>
      </w:r>
      <w:r w:rsidR="002878D7">
        <w:rPr>
          <w:sz w:val="16"/>
          <w:szCs w:val="16"/>
          <w:lang w:val="fr-FR"/>
        </w:rPr>
        <w:t> %</w:t>
      </w:r>
      <w:r w:rsidRPr="00653BF4">
        <w:rPr>
          <w:sz w:val="16"/>
          <w:szCs w:val="16"/>
          <w:lang w:val="fr-FR"/>
        </w:rPr>
        <w:t>, le jaune aux valeurs comprises entre 25</w:t>
      </w:r>
      <w:r w:rsidR="002878D7">
        <w:rPr>
          <w:sz w:val="16"/>
          <w:szCs w:val="16"/>
          <w:lang w:val="fr-FR"/>
        </w:rPr>
        <w:t> %</w:t>
      </w:r>
      <w:r w:rsidRPr="00653BF4">
        <w:rPr>
          <w:sz w:val="16"/>
          <w:szCs w:val="16"/>
          <w:lang w:val="fr-FR"/>
        </w:rPr>
        <w:t xml:space="preserve"> et 50 </w:t>
      </w:r>
      <w:r w:rsidR="002878D7">
        <w:rPr>
          <w:sz w:val="16"/>
          <w:szCs w:val="16"/>
          <w:lang w:val="fr-FR"/>
        </w:rPr>
        <w:t> %</w:t>
      </w:r>
      <w:r w:rsidRPr="00653BF4">
        <w:rPr>
          <w:sz w:val="16"/>
          <w:szCs w:val="16"/>
          <w:lang w:val="fr-FR"/>
        </w:rPr>
        <w:t>, et le rouge aux valeurs inférieures à 25</w:t>
      </w:r>
      <w:r w:rsidR="002878D7">
        <w:rPr>
          <w:sz w:val="16"/>
          <w:szCs w:val="16"/>
          <w:lang w:val="fr-FR"/>
        </w:rPr>
        <w:t> %</w:t>
      </w:r>
      <w:r w:rsidRPr="00653BF4">
        <w:rPr>
          <w:sz w:val="16"/>
          <w:szCs w:val="16"/>
          <w:lang w:val="fr-FR"/>
        </w:rPr>
        <w:t>)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6324F93D" w14:textId="77777777" w:rsidR="00B87039" w:rsidRPr="00653BF4" w:rsidRDefault="00B87039" w:rsidP="00B87039">
      <w:pPr>
        <w:pStyle w:val="FootnoteText"/>
        <w:rPr>
          <w:sz w:val="16"/>
          <w:szCs w:val="16"/>
          <w:lang w:val="fr-FR"/>
        </w:rPr>
      </w:pPr>
      <w:r w:rsidRPr="00653BF4">
        <w:rPr>
          <w:vertAlign w:val="superscript"/>
          <w:lang w:val="fr-FR"/>
        </w:rPr>
        <w:t>a</w:t>
      </w:r>
      <w:r w:rsidRPr="00653BF4">
        <w:rPr>
          <w:lang w:val="fr-FR"/>
        </w:rPr>
        <w:t xml:space="preserve"> 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r w:rsidRPr="00653BF4">
        <w:rPr>
          <w:sz w:val="16"/>
          <w:szCs w:val="16"/>
          <w:lang w:val="fr-FR"/>
        </w:rPr>
        <w:t>.</w:t>
      </w:r>
    </w:p>
    <w:p w14:paraId="1C7A9578" w14:textId="77777777" w:rsidR="00B87039" w:rsidRPr="00653BF4" w:rsidRDefault="00B87039" w:rsidP="00B87039">
      <w:pPr>
        <w:rPr>
          <w:strike/>
          <w:lang w:val="fr-FR"/>
        </w:rPr>
      </w:pPr>
    </w:p>
    <w:p w14:paraId="25C4DD2F" w14:textId="068F2B94" w:rsidR="00B87039" w:rsidRPr="00653BF4" w:rsidRDefault="00B87039" w:rsidP="00B87039">
      <w:pPr>
        <w:rPr>
          <w:rStyle w:val="normaltextrun"/>
          <w:rFonts w:cs="Segoe UI"/>
          <w:color w:val="000000" w:themeColor="text1"/>
          <w:lang w:val="fr-FR"/>
        </w:rPr>
      </w:pPr>
      <w:r w:rsidRPr="00653BF4">
        <w:rPr>
          <w:lang w:val="fr-FR"/>
        </w:rPr>
        <w:t>D</w:t>
      </w:r>
      <w:r w:rsidR="00D77549">
        <w:rPr>
          <w:lang w:val="fr-FR"/>
        </w:rPr>
        <w:t>’</w:t>
      </w:r>
      <w:r w:rsidRPr="00653BF4">
        <w:rPr>
          <w:lang w:val="fr-FR"/>
        </w:rPr>
        <w:t>après les données relatives à l</w:t>
      </w:r>
      <w:r w:rsidR="00D77549">
        <w:rPr>
          <w:lang w:val="fr-FR"/>
        </w:rPr>
        <w:t>’</w:t>
      </w:r>
      <w:r w:rsidRPr="00653BF4">
        <w:rPr>
          <w:lang w:val="fr-FR"/>
        </w:rPr>
        <w:t>indicateur phare 12.1 (part moyenne des espaces verts ou bleus accessibles à tous dans les espaces bâtis des villes), communiquées par 26</w:t>
      </w:r>
      <w:r w:rsidR="002878D7">
        <w:rPr>
          <w:lang w:val="fr-FR"/>
        </w:rPr>
        <w:t> %</w:t>
      </w:r>
      <w:r w:rsidRPr="00653BF4">
        <w:rPr>
          <w:lang w:val="fr-FR"/>
        </w:rPr>
        <w:t xml:space="preserve"> des Parties dont les rapports nationaux ont été pris en compte dans le rapport mondial, les espaces verts ou bleus accessibles à tous représentent en moyenne 23</w:t>
      </w:r>
      <w:r w:rsidR="002878D7">
        <w:rPr>
          <w:lang w:val="fr-FR"/>
        </w:rPr>
        <w:t> %</w:t>
      </w:r>
      <w:r w:rsidRPr="00653BF4">
        <w:rPr>
          <w:lang w:val="fr-FR"/>
        </w:rPr>
        <w:t xml:space="preserve"> des espaces bâtis (voir le tableau 27 et figure 53).</w:t>
      </w:r>
      <w:r w:rsidRPr="00653BF4">
        <w:rPr>
          <w:rStyle w:val="normaltextrun"/>
          <w:rFonts w:cs="Segoe UI"/>
          <w:color w:val="000000" w:themeColor="text1"/>
          <w:lang w:val="fr-FR"/>
        </w:rPr>
        <w:t xml:space="preserve"> Ces données sont présentées sous la forme d</w:t>
      </w:r>
      <w:r w:rsidR="00D77549">
        <w:rPr>
          <w:rStyle w:val="normaltextrun"/>
          <w:rFonts w:cs="Segoe UI"/>
          <w:color w:val="000000" w:themeColor="text1"/>
          <w:lang w:val="fr-FR"/>
        </w:rPr>
        <w:t>’</w:t>
      </w:r>
      <w:r w:rsidRPr="00653BF4">
        <w:rPr>
          <w:rStyle w:val="normaltextrun"/>
          <w:rFonts w:cs="Segoe UI"/>
          <w:color w:val="000000" w:themeColor="text1"/>
          <w:lang w:val="fr-FR"/>
        </w:rPr>
        <w:t>une figure de référence unique pour la période 2020-2025, faute de données suffisantes sur les tendances. Les Parties ont fait remarquer que la collecte des données ainsi que la méthodologie constituaient les principales difficultés dans l</w:t>
      </w:r>
      <w:r w:rsidR="00D77549">
        <w:rPr>
          <w:rStyle w:val="normaltextrun"/>
          <w:rFonts w:cs="Segoe UI"/>
          <w:color w:val="000000" w:themeColor="text1"/>
          <w:lang w:val="fr-FR"/>
        </w:rPr>
        <w:t>’</w:t>
      </w:r>
      <w:r w:rsidRPr="00653BF4">
        <w:rPr>
          <w:rStyle w:val="normaltextrun"/>
          <w:rFonts w:cs="Segoe UI"/>
          <w:color w:val="000000" w:themeColor="text1"/>
          <w:lang w:val="fr-FR"/>
        </w:rPr>
        <w:t>établissement des rapports relatifs à cet indicateur. Le nombre de villes évaluées par les Parties ayant transmis des informations variait de 3 à 31</w:t>
      </w:r>
      <w:r w:rsidR="00E34DC9">
        <w:rPr>
          <w:rStyle w:val="normaltextrun"/>
          <w:rFonts w:cs="Segoe UI"/>
          <w:color w:val="000000" w:themeColor="text1"/>
          <w:lang w:val="fr-FR"/>
        </w:rPr>
        <w:t> ;</w:t>
      </w:r>
      <w:r w:rsidRPr="00653BF4">
        <w:rPr>
          <w:rStyle w:val="normaltextrun"/>
          <w:rFonts w:cs="Segoe UI"/>
          <w:color w:val="000000" w:themeColor="text1"/>
          <w:lang w:val="fr-FR"/>
        </w:rPr>
        <w:t xml:space="preserve"> par conséquent, les données communiquées ne sont pas nécessairement représentatives de l</w:t>
      </w:r>
      <w:r w:rsidR="00D77549">
        <w:rPr>
          <w:rStyle w:val="normaltextrun"/>
          <w:rFonts w:cs="Segoe UI"/>
          <w:color w:val="000000" w:themeColor="text1"/>
          <w:lang w:val="fr-FR"/>
        </w:rPr>
        <w:t>’</w:t>
      </w:r>
      <w:r w:rsidRPr="00653BF4">
        <w:rPr>
          <w:rStyle w:val="normaltextrun"/>
          <w:rFonts w:cs="Segoe UI"/>
          <w:color w:val="000000" w:themeColor="text1"/>
          <w:lang w:val="fr-FR"/>
        </w:rPr>
        <w:t>ensemble des zones urbaines d</w:t>
      </w:r>
      <w:r w:rsidR="00D77549">
        <w:rPr>
          <w:rStyle w:val="normaltextrun"/>
          <w:rFonts w:cs="Segoe UI"/>
          <w:color w:val="000000" w:themeColor="text1"/>
          <w:lang w:val="fr-FR"/>
        </w:rPr>
        <w:t>’</w:t>
      </w:r>
      <w:r w:rsidRPr="00653BF4">
        <w:rPr>
          <w:rStyle w:val="normaltextrun"/>
          <w:rFonts w:cs="Segoe UI"/>
          <w:color w:val="000000" w:themeColor="text1"/>
          <w:lang w:val="fr-FR"/>
        </w:rPr>
        <w:t>un même pays. Plusieurs Parties ont fait remarquer que les contraintes de capacités au niveau municipal entraînaient des goulots d</w:t>
      </w:r>
      <w:r w:rsidR="00D77549">
        <w:rPr>
          <w:rStyle w:val="normaltextrun"/>
          <w:rFonts w:cs="Segoe UI"/>
          <w:color w:val="000000" w:themeColor="text1"/>
          <w:lang w:val="fr-FR"/>
        </w:rPr>
        <w:t>’</w:t>
      </w:r>
      <w:r w:rsidRPr="00653BF4">
        <w:rPr>
          <w:rStyle w:val="normaltextrun"/>
          <w:rFonts w:cs="Segoe UI"/>
          <w:color w:val="000000" w:themeColor="text1"/>
          <w:lang w:val="fr-FR"/>
        </w:rPr>
        <w:t xml:space="preserve">étranglement concernant la disponibilité des plans de ville et la fréquence de leur mise à jour. </w:t>
      </w:r>
      <w:r w:rsidRPr="00653BF4">
        <w:rPr>
          <w:lang w:val="fr-FR"/>
        </w:rPr>
        <w:t>Par ailleurs, certaines Parties ont fait remarquer que la méthodologie de l’indicateur des ODD recommandé (11.7.1</w:t>
      </w:r>
      <w:r w:rsidR="00E34DC9">
        <w:rPr>
          <w:lang w:val="fr-FR"/>
        </w:rPr>
        <w:t> :</w:t>
      </w:r>
      <w:r w:rsidRPr="00653BF4">
        <w:rPr>
          <w:lang w:val="fr-FR"/>
        </w:rPr>
        <w:t xml:space="preserve"> part moyenne des espaces bâtis des villes accessibles à tous, ventilée par sexe, par âge et par personnes handicapées</w:t>
      </w:r>
      <w:r w:rsidRPr="00653BF4">
        <w:rPr>
          <w:rStyle w:val="normaltextrun"/>
          <w:rFonts w:cs="Segoe UI"/>
          <w:color w:val="000000" w:themeColor="text1"/>
          <w:lang w:val="fr-FR"/>
        </w:rPr>
        <w:t>)</w:t>
      </w:r>
      <w:r w:rsidRPr="00653BF4">
        <w:rPr>
          <w:rStyle w:val="FootnoteReference"/>
          <w:rFonts w:cs="Segoe UI"/>
          <w:color w:val="000000" w:themeColor="text1"/>
          <w:lang w:val="fr-FR"/>
        </w:rPr>
        <w:footnoteReference w:id="33"/>
      </w:r>
      <w:r w:rsidRPr="00653BF4">
        <w:rPr>
          <w:lang w:val="fr-FR"/>
        </w:rPr>
        <w:t xml:space="preserve"> n’était pas adaptée pour rendre compte de l’indicateur phare 12.1, car cet indicateur des ODD ne fait pas la distinction entre les espaces verts ou bleus, ni les espaces artificiels sans rapport avec la biodiversité.</w:t>
      </w:r>
      <w:r w:rsidRPr="00653BF4">
        <w:rPr>
          <w:rStyle w:val="normaltextrun"/>
          <w:rFonts w:cs="Segoe UI"/>
          <w:color w:val="000000" w:themeColor="text1"/>
          <w:lang w:val="fr-FR"/>
        </w:rPr>
        <w:t xml:space="preserve"> De nombreuses Parties ont également fait remarquer que l</w:t>
      </w:r>
      <w:r w:rsidR="00D77549">
        <w:rPr>
          <w:rStyle w:val="normaltextrun"/>
          <w:rFonts w:cs="Segoe UI"/>
          <w:color w:val="000000" w:themeColor="text1"/>
          <w:lang w:val="fr-FR"/>
        </w:rPr>
        <w:t>’</w:t>
      </w:r>
      <w:r w:rsidRPr="00653BF4">
        <w:rPr>
          <w:rStyle w:val="normaltextrun"/>
          <w:rFonts w:cs="Segoe UI"/>
          <w:color w:val="000000" w:themeColor="text1"/>
          <w:lang w:val="fr-FR"/>
        </w:rPr>
        <w:t>évaluation de l</w:t>
      </w:r>
      <w:r w:rsidR="00D77549">
        <w:rPr>
          <w:rStyle w:val="normaltextrun"/>
          <w:rFonts w:cs="Segoe UI"/>
          <w:color w:val="000000" w:themeColor="text1"/>
          <w:lang w:val="fr-FR"/>
        </w:rPr>
        <w:t>’</w:t>
      </w:r>
      <w:r w:rsidRPr="00653BF4">
        <w:rPr>
          <w:rStyle w:val="normaltextrun"/>
          <w:rFonts w:cs="Segoe UI"/>
          <w:color w:val="000000" w:themeColor="text1"/>
          <w:lang w:val="fr-FR"/>
        </w:rPr>
        <w:t>accès aux espaces verts et bleus posait un défi particulier et que les méthodes appropriées faisaient défaut. Par conséquent, bon nombre des données utilisées pour l</w:t>
      </w:r>
      <w:r w:rsidR="00D77549">
        <w:rPr>
          <w:rStyle w:val="normaltextrun"/>
          <w:rFonts w:cs="Segoe UI"/>
          <w:color w:val="000000" w:themeColor="text1"/>
          <w:lang w:val="fr-FR"/>
        </w:rPr>
        <w:t>’</w:t>
      </w:r>
      <w:r w:rsidRPr="00653BF4">
        <w:rPr>
          <w:rStyle w:val="normaltextrun"/>
          <w:rFonts w:cs="Segoe UI"/>
          <w:color w:val="000000" w:themeColor="text1"/>
          <w:lang w:val="fr-FR"/>
        </w:rPr>
        <w:t>estimation globale de l</w:t>
      </w:r>
      <w:r w:rsidR="00D77549">
        <w:rPr>
          <w:rStyle w:val="normaltextrun"/>
          <w:rFonts w:cs="Segoe UI"/>
          <w:color w:val="000000" w:themeColor="text1"/>
          <w:lang w:val="fr-FR"/>
        </w:rPr>
        <w:t>’</w:t>
      </w:r>
      <w:r w:rsidRPr="00653BF4">
        <w:rPr>
          <w:rStyle w:val="normaltextrun"/>
          <w:rFonts w:cs="Segoe UI"/>
          <w:color w:val="000000" w:themeColor="text1"/>
          <w:lang w:val="fr-FR"/>
        </w:rPr>
        <w:t xml:space="preserve">indicateur portent sur la part des espaces verts et bleus par rapport à la superficie urbaine. </w:t>
      </w:r>
    </w:p>
    <w:p w14:paraId="0C661D95" w14:textId="112D4943" w:rsidR="00B87039" w:rsidRPr="00653BF4" w:rsidRDefault="00B87039" w:rsidP="00B87039">
      <w:pPr>
        <w:rPr>
          <w:rStyle w:val="normaltextrun"/>
          <w:lang w:val="fr-FR"/>
        </w:rPr>
      </w:pPr>
      <w:r w:rsidRPr="00653BF4">
        <w:rPr>
          <w:lang w:val="fr-FR"/>
        </w:rPr>
        <w:t>D</w:t>
      </w:r>
      <w:r w:rsidR="00D77549">
        <w:rPr>
          <w:lang w:val="fr-FR"/>
        </w:rPr>
        <w:t>’</w:t>
      </w:r>
      <w:r w:rsidRPr="00653BF4">
        <w:rPr>
          <w:lang w:val="fr-FR"/>
        </w:rPr>
        <w:t>après l</w:t>
      </w:r>
      <w:r w:rsidR="00D77549">
        <w:rPr>
          <w:lang w:val="fr-FR"/>
        </w:rPr>
        <w:t>’</w:t>
      </w:r>
      <w:r w:rsidRPr="00653BF4">
        <w:rPr>
          <w:lang w:val="fr-FR"/>
        </w:rPr>
        <w:t xml:space="preserve">indicateur binaire relatif à la </w:t>
      </w:r>
      <w:r w:rsidR="00E34DC9">
        <w:rPr>
          <w:lang w:val="fr-FR"/>
        </w:rPr>
        <w:t>cible 1</w:t>
      </w:r>
      <w:r w:rsidRPr="00653BF4">
        <w:rPr>
          <w:lang w:val="fr-FR"/>
        </w:rPr>
        <w:t>2, la plupart des Parties (69</w:t>
      </w:r>
      <w:r w:rsidR="002878D7">
        <w:rPr>
          <w:lang w:val="fr-FR"/>
        </w:rPr>
        <w:t> %</w:t>
      </w:r>
      <w:r w:rsidRPr="00653BF4">
        <w:rPr>
          <w:lang w:val="fr-FR"/>
        </w:rPr>
        <w:t>) ont fait état de progrès concernant l</w:t>
      </w:r>
      <w:r w:rsidR="00D77549">
        <w:rPr>
          <w:lang w:val="fr-FR"/>
        </w:rPr>
        <w:t>’</w:t>
      </w:r>
      <w:r w:rsidRPr="00653BF4">
        <w:rPr>
          <w:lang w:val="fr-FR"/>
        </w:rPr>
        <w:t>intégration de la biodiversité et des services écosystémiques dans l</w:t>
      </w:r>
      <w:r w:rsidR="00D77549">
        <w:rPr>
          <w:lang w:val="fr-FR"/>
        </w:rPr>
        <w:t>’</w:t>
      </w:r>
      <w:r w:rsidRPr="00653BF4">
        <w:rPr>
          <w:lang w:val="fr-FR"/>
        </w:rPr>
        <w:t xml:space="preserve">aménagement urbain (voir la figure 54). Cependant, parmi ces Parties, un plus grand </w:t>
      </w:r>
      <w:r w:rsidRPr="00653BF4">
        <w:rPr>
          <w:lang w:val="fr-FR"/>
        </w:rPr>
        <w:lastRenderedPageBreak/>
        <w:t>nombre a indiqué que ces efforts en étaient encore au stade de l</w:t>
      </w:r>
      <w:r w:rsidR="00D77549">
        <w:rPr>
          <w:lang w:val="fr-FR"/>
        </w:rPr>
        <w:t>’</w:t>
      </w:r>
      <w:r w:rsidRPr="00653BF4">
        <w:rPr>
          <w:lang w:val="fr-FR"/>
        </w:rPr>
        <w:t>élaboration, tandis qu</w:t>
      </w:r>
      <w:r w:rsidR="00D77549">
        <w:rPr>
          <w:lang w:val="fr-FR"/>
        </w:rPr>
        <w:t>’</w:t>
      </w:r>
      <w:r w:rsidRPr="00653BF4">
        <w:rPr>
          <w:lang w:val="fr-FR"/>
        </w:rPr>
        <w:t>un plus petit nombre a déclaré être parvenu à les mener à bien.</w:t>
      </w:r>
    </w:p>
    <w:p w14:paraId="448997DF" w14:textId="2DC6D0DB" w:rsidR="00B87039" w:rsidRPr="00653BF4" w:rsidRDefault="00B87039" w:rsidP="00B87039">
      <w:pPr>
        <w:rPr>
          <w:lang w:val="fr-FR"/>
        </w:rPr>
      </w:pPr>
      <w:r w:rsidRPr="00653BF4">
        <w:rPr>
          <w:lang w:val="fr-FR"/>
        </w:rPr>
        <w:t>Les autres indicateurs nationaux communiqués par les Parties portent également en grande partie sur la superficie des espaces verts dans les zones urbaines et densément peuplées, tandis que la plupart des autres éléments de la cible, tels que la connectivité, ne font l</w:t>
      </w:r>
      <w:r w:rsidR="00D77549">
        <w:rPr>
          <w:lang w:val="fr-FR"/>
        </w:rPr>
        <w:t>’</w:t>
      </w:r>
      <w:r w:rsidRPr="00653BF4">
        <w:rPr>
          <w:lang w:val="fr-FR"/>
        </w:rPr>
        <w:t>objet ni d</w:t>
      </w:r>
      <w:r w:rsidR="00D77549">
        <w:rPr>
          <w:lang w:val="fr-FR"/>
        </w:rPr>
        <w:t>’</w:t>
      </w:r>
      <w:r w:rsidRPr="00653BF4">
        <w:rPr>
          <w:lang w:val="fr-FR"/>
        </w:rPr>
        <w:t>un suivi ni d</w:t>
      </w:r>
      <w:r w:rsidR="00D77549">
        <w:rPr>
          <w:lang w:val="fr-FR"/>
        </w:rPr>
        <w:t>’</w:t>
      </w:r>
      <w:r w:rsidRPr="00653BF4">
        <w:rPr>
          <w:lang w:val="fr-FR"/>
        </w:rPr>
        <w:t>un rapport. L</w:t>
      </w:r>
      <w:r w:rsidR="00D77549">
        <w:rPr>
          <w:lang w:val="fr-FR"/>
        </w:rPr>
        <w:t>’</w:t>
      </w:r>
      <w:r w:rsidRPr="00653BF4">
        <w:rPr>
          <w:lang w:val="fr-FR"/>
        </w:rPr>
        <w:t>analyse des tendances montre que la plupart de ces indicateurs n</w:t>
      </w:r>
      <w:r w:rsidR="00D77549">
        <w:rPr>
          <w:lang w:val="fr-FR"/>
        </w:rPr>
        <w:t>’</w:t>
      </w:r>
      <w:r w:rsidRPr="00653BF4">
        <w:rPr>
          <w:lang w:val="fr-FR"/>
        </w:rPr>
        <w:t>ont guère évolué</w:t>
      </w:r>
      <w:r w:rsidR="00E34DC9">
        <w:rPr>
          <w:lang w:val="fr-FR"/>
        </w:rPr>
        <w:t> ;</w:t>
      </w:r>
      <w:r w:rsidRPr="00653BF4">
        <w:rPr>
          <w:lang w:val="fr-FR"/>
        </w:rPr>
        <w:t xml:space="preserve"> toutefois, 20</w:t>
      </w:r>
      <w:r w:rsidR="002878D7">
        <w:rPr>
          <w:lang w:val="fr-FR"/>
        </w:rPr>
        <w:t> %</w:t>
      </w:r>
      <w:r w:rsidRPr="00653BF4">
        <w:rPr>
          <w:lang w:val="fr-FR"/>
        </w:rPr>
        <w:t xml:space="preserve"> d</w:t>
      </w:r>
      <w:r w:rsidR="00D77549">
        <w:rPr>
          <w:lang w:val="fr-FR"/>
        </w:rPr>
        <w:t>’</w:t>
      </w:r>
      <w:r w:rsidRPr="00653BF4">
        <w:rPr>
          <w:lang w:val="fr-FR"/>
        </w:rPr>
        <w:t>entre eux affichent des tendances positives, et très peu de tendances négatives ont été signalées (voir la figure 55). Il est important de noter que cette analyse ne porte que sur 21</w:t>
      </w:r>
      <w:r w:rsidR="002878D7">
        <w:rPr>
          <w:lang w:val="fr-FR"/>
        </w:rPr>
        <w:t> %</w:t>
      </w:r>
      <w:r w:rsidRPr="00653BF4">
        <w:rPr>
          <w:lang w:val="fr-FR"/>
        </w:rPr>
        <w:t xml:space="preserve"> des Parties dont les rapports nationaux ont été pris en compte pour l</w:t>
      </w:r>
      <w:r w:rsidR="00D77549">
        <w:rPr>
          <w:lang w:val="fr-FR"/>
        </w:rPr>
        <w:t>’</w:t>
      </w:r>
      <w:r w:rsidRPr="00653BF4">
        <w:rPr>
          <w:lang w:val="fr-FR"/>
        </w:rPr>
        <w:t xml:space="preserve">élaboration du rapport mondial. </w:t>
      </w:r>
    </w:p>
    <w:p w14:paraId="6D942F6F" w14:textId="77777777" w:rsidR="00B87039" w:rsidRPr="00653BF4" w:rsidRDefault="00B87039" w:rsidP="00B87039">
      <w:pPr>
        <w:pStyle w:val="paragraph"/>
        <w:spacing w:before="0" w:beforeAutospacing="0" w:after="0" w:afterAutospacing="0"/>
        <w:rPr>
          <w:rFonts w:ascii="Aptos" w:hAnsi="Aptos"/>
          <w:lang w:val="fr-FR"/>
        </w:rPr>
      </w:pPr>
    </w:p>
    <w:p w14:paraId="68ECA4F7" w14:textId="7C32A448" w:rsidR="00B87039" w:rsidRPr="00653BF4" w:rsidRDefault="00B87039" w:rsidP="00B87039">
      <w:pPr>
        <w:pStyle w:val="paragraph"/>
        <w:spacing w:before="0" w:beforeAutospacing="0" w:after="0" w:afterAutospacing="0"/>
        <w:rPr>
          <w:rFonts w:asciiTheme="minorHAnsi" w:hAnsiTheme="minorHAnsi"/>
          <w:sz w:val="20"/>
          <w:szCs w:val="20"/>
          <w:lang w:val="fr-FR"/>
        </w:rPr>
      </w:pPr>
      <w:bookmarkStart w:id="236" w:name="_Ref231193071"/>
      <w:r w:rsidRPr="00653BF4">
        <w:rPr>
          <w:rFonts w:asciiTheme="minorHAnsi" w:hAnsiTheme="minorHAnsi"/>
          <w:sz w:val="20"/>
          <w:szCs w:val="20"/>
          <w:lang w:val="fr-FR"/>
        </w:rPr>
        <w:t>Figure 53</w:t>
      </w:r>
      <w:bookmarkEnd w:id="236"/>
    </w:p>
    <w:p w14:paraId="59818A72" w14:textId="55DB9CB1" w:rsidR="00B87039" w:rsidRPr="00653BF4" w:rsidRDefault="00B87039" w:rsidP="00B87039">
      <w:pPr>
        <w:pStyle w:val="paragraph"/>
        <w:spacing w:before="0" w:beforeAutospacing="0" w:after="0" w:afterAutospacing="0"/>
        <w:rPr>
          <w:rFonts w:ascii="Aptos" w:hAnsi="Aptos"/>
          <w:b/>
          <w:bCs/>
          <w:sz w:val="20"/>
          <w:szCs w:val="20"/>
          <w:lang w:val="fr-FR"/>
        </w:rPr>
      </w:pPr>
      <w:r w:rsidRPr="00653BF4">
        <w:rPr>
          <w:rFonts w:asciiTheme="minorHAnsi" w:eastAsiaTheme="minorHAnsi" w:hAnsiTheme="minorHAnsi" w:cstheme="minorBidi"/>
          <w:b/>
          <w:bCs/>
          <w:kern w:val="2"/>
          <w:sz w:val="20"/>
          <w:szCs w:val="20"/>
          <w:lang w:val="fr-FR"/>
          <w14:ligatures w14:val="standardContextual"/>
        </w:rPr>
        <w:t>Indicateur phare 12.1</w:t>
      </w:r>
      <w:r w:rsidR="00E34DC9">
        <w:rPr>
          <w:rFonts w:asciiTheme="minorHAnsi" w:eastAsiaTheme="minorHAnsi" w:hAnsiTheme="minorHAnsi" w:cstheme="minorBidi"/>
          <w:b/>
          <w:bCs/>
          <w:kern w:val="2"/>
          <w:sz w:val="20"/>
          <w:szCs w:val="20"/>
          <w:lang w:val="fr-FR"/>
          <w14:ligatures w14:val="standardContextual"/>
        </w:rPr>
        <w:t> :</w:t>
      </w:r>
      <w:r w:rsidRPr="00653BF4">
        <w:rPr>
          <w:rFonts w:asciiTheme="minorHAnsi" w:eastAsiaTheme="minorHAnsi" w:hAnsiTheme="minorHAnsi" w:cstheme="minorBidi"/>
          <w:b/>
          <w:bCs/>
          <w:kern w:val="2"/>
          <w:sz w:val="20"/>
          <w:szCs w:val="20"/>
          <w:lang w:val="fr-FR"/>
          <w14:ligatures w14:val="standardContextual"/>
        </w:rPr>
        <w:t xml:space="preserve"> part moyenne de l’espace bâti des villes constitué d’espaces verts ou bleus et accessible à tous</w:t>
      </w:r>
    </w:p>
    <w:p w14:paraId="59A914C6" w14:textId="77777777" w:rsidR="00B87039" w:rsidRDefault="00B87039" w:rsidP="00B87039">
      <w:pPr>
        <w:pStyle w:val="paragraph"/>
        <w:spacing w:before="0" w:beforeAutospacing="0" w:after="0" w:afterAutospacing="0"/>
        <w:rPr>
          <w:rFonts w:asciiTheme="minorHAnsi" w:hAnsiTheme="minorHAnsi"/>
          <w:sz w:val="20"/>
          <w:szCs w:val="20"/>
          <w:lang w:val="fr-FR"/>
        </w:rPr>
      </w:pPr>
    </w:p>
    <w:p w14:paraId="468ED635" w14:textId="77777777" w:rsidR="00B87039" w:rsidRPr="00653BF4" w:rsidRDefault="00B87039" w:rsidP="00B87039">
      <w:pPr>
        <w:pStyle w:val="paragraph"/>
        <w:spacing w:before="0" w:beforeAutospacing="0" w:after="0" w:afterAutospacing="0"/>
        <w:textAlignment w:val="baseline"/>
        <w:rPr>
          <w:rFonts w:ascii="Aptos" w:hAnsi="Aptos" w:cs="Segoe UI"/>
          <w:color w:val="0F4761"/>
          <w:sz w:val="18"/>
          <w:szCs w:val="18"/>
          <w:lang w:val="fr-FR"/>
        </w:rPr>
      </w:pPr>
      <w:r w:rsidRPr="00653BF4">
        <w:rPr>
          <w:rFonts w:ascii="Aptos" w:hAnsi="Aptos" w:cs="Segoe UI"/>
          <w:noProof/>
          <w:sz w:val="18"/>
          <w:szCs w:val="18"/>
          <w:lang w:val="fr-FR"/>
          <w14:ligatures w14:val="standardContextual"/>
        </w:rPr>
        <w:drawing>
          <wp:inline distT="0" distB="0" distL="0" distR="0" wp14:anchorId="6847ECDC" wp14:editId="2A56B33A">
            <wp:extent cx="5731510" cy="3223895"/>
            <wp:effectExtent l="0" t="0" r="0" b="1905"/>
            <wp:docPr id="1483445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4515" name="Picture 148344515"/>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0BC86C4" w14:textId="77777777" w:rsidR="00B87039" w:rsidRPr="00653BF4" w:rsidRDefault="00B87039" w:rsidP="00B87039">
      <w:pPr>
        <w:pStyle w:val="paragraph"/>
        <w:spacing w:before="0" w:beforeAutospacing="0" w:after="0" w:afterAutospacing="0"/>
        <w:textAlignment w:val="baseline"/>
        <w:rPr>
          <w:rFonts w:ascii="Aptos" w:hAnsi="Aptos" w:cs="Segoe UI"/>
          <w:color w:val="0F4761"/>
          <w:sz w:val="18"/>
          <w:szCs w:val="18"/>
          <w:lang w:val="fr-FR"/>
        </w:rPr>
      </w:pPr>
    </w:p>
    <w:p w14:paraId="0B8B1367" w14:textId="1A8EAB5B" w:rsidR="00B87039" w:rsidRPr="00653BF4" w:rsidRDefault="00B87039" w:rsidP="00B87039">
      <w:pPr>
        <w:pStyle w:val="Caption"/>
        <w:rPr>
          <w:i w:val="0"/>
          <w:iCs w:val="0"/>
          <w:lang w:val="fr-FR"/>
        </w:rPr>
      </w:pPr>
      <w:bookmarkStart w:id="237" w:name="_Ref231193450"/>
      <w:r w:rsidRPr="00653BF4">
        <w:rPr>
          <w:rStyle w:val="normaltextrun"/>
          <w:lang w:val="fr-FR"/>
        </w:rPr>
        <w:t>Note</w:t>
      </w:r>
      <w:r w:rsidR="00E34DC9">
        <w:rPr>
          <w:rStyle w:val="normaltextrun"/>
          <w:lang w:val="fr-FR"/>
        </w:rPr>
        <w:t> :</w:t>
      </w:r>
      <w:r w:rsidRPr="00653BF4">
        <w:rPr>
          <w:rStyle w:val="normaltextrun"/>
          <w:i w:val="0"/>
          <w:iCs w:val="0"/>
          <w:lang w:val="fr-FR"/>
        </w:rPr>
        <w:t xml:space="preserve"> </w:t>
      </w:r>
      <w:r w:rsidRPr="00653BF4">
        <w:rPr>
          <w:rStyle w:val="normaltextrun"/>
          <w:rFonts w:ascii="Arial" w:hAnsi="Arial" w:cs="Arial"/>
          <w:i w:val="0"/>
          <w:iCs w:val="0"/>
          <w:lang w:val="fr-FR"/>
        </w:rPr>
        <w:t>Un seul point de données est représenté, regroupant toutes les valeurs de l</w:t>
      </w:r>
      <w:r w:rsidR="00D77549">
        <w:rPr>
          <w:rStyle w:val="normaltextrun"/>
          <w:rFonts w:ascii="Arial" w:hAnsi="Arial" w:cs="Arial"/>
          <w:i w:val="0"/>
          <w:iCs w:val="0"/>
          <w:lang w:val="fr-FR"/>
        </w:rPr>
        <w:t>’</w:t>
      </w:r>
      <w:r w:rsidRPr="00653BF4">
        <w:rPr>
          <w:rStyle w:val="normaltextrun"/>
          <w:rFonts w:ascii="Arial" w:hAnsi="Arial" w:cs="Arial"/>
          <w:i w:val="0"/>
          <w:iCs w:val="0"/>
          <w:lang w:val="fr-FR"/>
        </w:rPr>
        <w:t>indicateur communiquées, car moins d</w:t>
      </w:r>
      <w:r w:rsidR="00D77549">
        <w:rPr>
          <w:rStyle w:val="normaltextrun"/>
          <w:rFonts w:ascii="Arial" w:hAnsi="Arial" w:cs="Arial"/>
          <w:i w:val="0"/>
          <w:iCs w:val="0"/>
          <w:lang w:val="fr-FR"/>
        </w:rPr>
        <w:t>’</w:t>
      </w:r>
      <w:r w:rsidRPr="00653BF4">
        <w:rPr>
          <w:rStyle w:val="normaltextrun"/>
          <w:rFonts w:ascii="Arial" w:hAnsi="Arial" w:cs="Arial"/>
          <w:i w:val="0"/>
          <w:iCs w:val="0"/>
          <w:lang w:val="fr-FR"/>
        </w:rPr>
        <w:t>un cinquième des Parties ont transmis des séries chronologiques.</w:t>
      </w:r>
      <w:r w:rsidRPr="00653BF4">
        <w:rPr>
          <w:rStyle w:val="normaltextrun"/>
          <w:i w:val="0"/>
          <w:iCs w:val="0"/>
          <w:lang w:val="fr-FR"/>
        </w:rPr>
        <w:t xml:space="preserve"> </w:t>
      </w:r>
      <w:r w:rsidRPr="00653BF4">
        <w:rPr>
          <w:rStyle w:val="normaltextrun"/>
          <w:rFonts w:ascii="Arial" w:hAnsi="Arial" w:cs="Arial"/>
          <w:i w:val="0"/>
          <w:iCs w:val="0"/>
          <w:lang w:val="fr-FR"/>
        </w:rPr>
        <w:t>La moyenne et l</w:t>
      </w:r>
      <w:r w:rsidR="00D77549">
        <w:rPr>
          <w:rStyle w:val="normaltextrun"/>
          <w:rFonts w:ascii="Arial" w:hAnsi="Arial" w:cs="Arial"/>
          <w:i w:val="0"/>
          <w:iCs w:val="0"/>
          <w:lang w:val="fr-FR"/>
        </w:rPr>
        <w:t>’</w:t>
      </w:r>
      <w:r w:rsidRPr="00653BF4">
        <w:rPr>
          <w:rStyle w:val="normaltextrun"/>
          <w:rFonts w:ascii="Arial" w:hAnsi="Arial" w:cs="Arial"/>
          <w:i w:val="0"/>
          <w:iCs w:val="0"/>
          <w:lang w:val="fr-FR"/>
        </w:rPr>
        <w:t>étendue des espaces verts ou bleus dans les villes de toutes les Parties ayant fourni des données sont présentées.</w:t>
      </w:r>
      <w:r w:rsidRPr="00653BF4">
        <w:rPr>
          <w:rStyle w:val="normaltextrun"/>
          <w:i w:val="0"/>
          <w:iCs w:val="0"/>
          <w:lang w:val="fr-FR"/>
        </w:rPr>
        <w:t xml:space="preserve"> Le diagramme circulaire indique, en gris foncé, la proportion de la population urbaine totale des Parties représentée par les Parties ayant fourni des données. </w:t>
      </w:r>
      <w:r w:rsidRPr="00653BF4">
        <w:rPr>
          <w:i w:val="0"/>
          <w:iCs w:val="0"/>
          <w:lang w:val="fr-FR"/>
        </w:rPr>
        <w:t>Le diagramme à barres présente la répartition des Parties ayant communiqué des données par région.</w:t>
      </w:r>
      <w:r w:rsidRPr="00653BF4">
        <w:rPr>
          <w:rStyle w:val="normaltextrun"/>
          <w:rFonts w:ascii="Arial" w:hAnsi="Arial" w:cs="Arial"/>
          <w:i w:val="0"/>
          <w:iCs w:val="0"/>
          <w:lang w:val="fr-FR"/>
        </w:rPr>
        <w:t> </w:t>
      </w:r>
      <w:r w:rsidRPr="00653BF4">
        <w:rPr>
          <w:i w:val="0"/>
          <w:iCs w:val="0"/>
          <w:lang w:val="fr-FR"/>
        </w:rPr>
        <w:t xml:space="preserve"> Les couleurs attribuées à chaque région sont définies dans la légende de la figure</w:t>
      </w:r>
      <w:r w:rsidR="00E34DC9">
        <w:rPr>
          <w:i w:val="0"/>
          <w:iCs w:val="0"/>
          <w:lang w:val="fr-FR"/>
        </w:rPr>
        <w:t> :</w:t>
      </w:r>
      <w:r w:rsidRPr="00653BF4">
        <w:rPr>
          <w:i w:val="0"/>
          <w:iCs w:val="0"/>
          <w:lang w:val="fr-FR"/>
        </w:rPr>
        <w:t xml:space="preserve"> les teintes plus foncées représentent la proportion de Parties d</w:t>
      </w:r>
      <w:r w:rsidR="00D77549">
        <w:rPr>
          <w:i w:val="0"/>
          <w:iCs w:val="0"/>
          <w:lang w:val="fr-FR"/>
        </w:rPr>
        <w:t>’</w:t>
      </w:r>
      <w:r w:rsidRPr="00653BF4">
        <w:rPr>
          <w:i w:val="0"/>
          <w:iCs w:val="0"/>
          <w:lang w:val="fr-FR"/>
        </w:rPr>
        <w:t>une région pour lesquelles des données figurent dans le graphique</w:t>
      </w:r>
      <w:r w:rsidR="00E34DC9">
        <w:rPr>
          <w:i w:val="0"/>
          <w:iCs w:val="0"/>
          <w:lang w:val="fr-FR"/>
        </w:rPr>
        <w:t> ;</w:t>
      </w:r>
      <w:r w:rsidRPr="00653BF4">
        <w:rPr>
          <w:i w:val="0"/>
          <w:iCs w:val="0"/>
          <w:lang w:val="fr-FR"/>
        </w:rPr>
        <w:t xml:space="preserve"> les teintes plus claires représentent la proportion de Parties de cette même région pour lesquelles aucune donnée ne figure dans le graphique.</w:t>
      </w:r>
    </w:p>
    <w:tbl>
      <w:tblPr>
        <w:tblStyle w:val="TableGrid"/>
        <w:tblW w:w="9067" w:type="dxa"/>
        <w:tblLook w:val="04A0" w:firstRow="1" w:lastRow="0" w:firstColumn="1" w:lastColumn="0" w:noHBand="0" w:noVBand="1"/>
      </w:tblPr>
      <w:tblGrid>
        <w:gridCol w:w="4188"/>
        <w:gridCol w:w="4879"/>
      </w:tblGrid>
      <w:tr w:rsidR="00735F5E" w:rsidRPr="006F7AF8" w14:paraId="330C8680" w14:textId="77777777" w:rsidTr="009B4355">
        <w:tc>
          <w:tcPr>
            <w:tcW w:w="9067" w:type="dxa"/>
            <w:gridSpan w:val="2"/>
          </w:tcPr>
          <w:p w14:paraId="6F6FE762" w14:textId="77777777" w:rsidR="00735F5E" w:rsidRPr="006F7AF8" w:rsidRDefault="00735F5E" w:rsidP="009B4355">
            <w:pPr>
              <w:rPr>
                <w:rFonts w:ascii="Aptos" w:hAnsi="Aptos"/>
                <w:lang w:val="fr-FR"/>
              </w:rPr>
            </w:pPr>
            <w:r>
              <w:rPr>
                <w:rFonts w:ascii="Aptos" w:hAnsi="Aptos"/>
                <w:lang w:val="fr-FR"/>
              </w:rPr>
              <w:t>Figure 53</w:t>
            </w:r>
          </w:p>
        </w:tc>
      </w:tr>
      <w:tr w:rsidR="00735F5E" w:rsidRPr="00336070" w14:paraId="705E4AAC" w14:textId="77777777" w:rsidTr="009B4355">
        <w:tc>
          <w:tcPr>
            <w:tcW w:w="4188" w:type="dxa"/>
          </w:tcPr>
          <w:p w14:paraId="0290A58F" w14:textId="77777777" w:rsidR="00735F5E" w:rsidRPr="00336070" w:rsidRDefault="00735F5E" w:rsidP="009B4355">
            <w:pPr>
              <w:rPr>
                <w:rFonts w:ascii="Aptos" w:hAnsi="Aptos"/>
                <w:lang w:val="fr-FR"/>
              </w:rPr>
            </w:pPr>
            <w:r w:rsidRPr="00336070">
              <w:rPr>
                <w:rFonts w:ascii="Aptos" w:hAnsi="Aptos"/>
                <w:lang w:val="fr-FR"/>
              </w:rPr>
              <w:t xml:space="preserve">English </w:t>
            </w:r>
          </w:p>
        </w:tc>
        <w:tc>
          <w:tcPr>
            <w:tcW w:w="4879" w:type="dxa"/>
          </w:tcPr>
          <w:p w14:paraId="022C1640" w14:textId="77777777" w:rsidR="00735F5E" w:rsidRPr="00336070" w:rsidRDefault="00735F5E" w:rsidP="009B4355">
            <w:pPr>
              <w:rPr>
                <w:rFonts w:ascii="Aptos" w:hAnsi="Aptos"/>
                <w:lang w:val="fr-FR"/>
              </w:rPr>
            </w:pPr>
            <w:r>
              <w:rPr>
                <w:rFonts w:ascii="Aptos" w:hAnsi="Aptos"/>
                <w:lang w:val="fr-FR"/>
              </w:rPr>
              <w:t>Français</w:t>
            </w:r>
          </w:p>
        </w:tc>
      </w:tr>
      <w:tr w:rsidR="00735F5E" w:rsidRPr="006F7AF8" w14:paraId="6773084A" w14:textId="77777777" w:rsidTr="009B4355">
        <w:tc>
          <w:tcPr>
            <w:tcW w:w="4188" w:type="dxa"/>
          </w:tcPr>
          <w:p w14:paraId="6C63ACE0" w14:textId="77777777" w:rsidR="00735F5E" w:rsidRPr="006F7AF8" w:rsidRDefault="00735F5E" w:rsidP="009B4355">
            <w:pPr>
              <w:rPr>
                <w:rFonts w:ascii="Aptos" w:hAnsi="Aptos"/>
                <w:lang w:val="fr-FR"/>
              </w:rPr>
            </w:pPr>
            <w:r w:rsidRPr="006F7AF8">
              <w:rPr>
                <w:rFonts w:ascii="Aptos" w:hAnsi="Aptos"/>
                <w:lang w:val="fr-FR"/>
              </w:rPr>
              <w:lastRenderedPageBreak/>
              <w:t>Share of all Parties</w:t>
            </w:r>
            <w:r>
              <w:rPr>
                <w:rFonts w:ascii="Aptos" w:hAnsi="Aptos"/>
                <w:lang w:val="fr-FR"/>
              </w:rPr>
              <w:t>’</w:t>
            </w:r>
            <w:r w:rsidRPr="006F7AF8">
              <w:rPr>
                <w:rFonts w:ascii="Aptos" w:hAnsi="Aptos"/>
                <w:lang w:val="fr-FR"/>
              </w:rPr>
              <w:t xml:space="preserve"> urban population</w:t>
            </w:r>
          </w:p>
        </w:tc>
        <w:tc>
          <w:tcPr>
            <w:tcW w:w="4879" w:type="dxa"/>
          </w:tcPr>
          <w:p w14:paraId="46EC0470" w14:textId="77777777" w:rsidR="00735F5E" w:rsidRPr="006F7AF8" w:rsidRDefault="00735F5E" w:rsidP="009B4355">
            <w:pPr>
              <w:rPr>
                <w:rFonts w:ascii="Aptos" w:hAnsi="Aptos"/>
                <w:lang w:val="fr-FR"/>
              </w:rPr>
            </w:pPr>
            <w:r w:rsidRPr="006F7AF8">
              <w:rPr>
                <w:rFonts w:ascii="Aptos" w:hAnsi="Aptos"/>
                <w:lang w:val="fr-FR"/>
              </w:rPr>
              <w:t>Part de la population urbaine de l</w:t>
            </w:r>
            <w:r>
              <w:rPr>
                <w:rFonts w:ascii="Aptos" w:hAnsi="Aptos"/>
                <w:lang w:val="fr-FR"/>
              </w:rPr>
              <w:t>’</w:t>
            </w:r>
            <w:r w:rsidRPr="006F7AF8">
              <w:rPr>
                <w:rFonts w:ascii="Aptos" w:hAnsi="Aptos"/>
                <w:lang w:val="fr-FR"/>
              </w:rPr>
              <w:t>ensemble des Parties</w:t>
            </w:r>
          </w:p>
        </w:tc>
      </w:tr>
      <w:tr w:rsidR="00735F5E" w:rsidRPr="006F7AF8" w14:paraId="37A79DB6" w14:textId="77777777" w:rsidTr="009B4355">
        <w:tc>
          <w:tcPr>
            <w:tcW w:w="4188" w:type="dxa"/>
          </w:tcPr>
          <w:p w14:paraId="4311E349" w14:textId="77777777" w:rsidR="00735F5E" w:rsidRPr="006F7AF8" w:rsidRDefault="00735F5E" w:rsidP="009B4355">
            <w:pPr>
              <w:rPr>
                <w:rFonts w:ascii="Aptos" w:hAnsi="Aptos"/>
                <w:lang w:val="fr-FR"/>
              </w:rPr>
            </w:pPr>
            <w:r w:rsidRPr="006F7AF8">
              <w:rPr>
                <w:rFonts w:ascii="Aptos" w:hAnsi="Aptos"/>
                <w:lang w:val="fr-FR"/>
              </w:rPr>
              <w:t>Reporting Parties</w:t>
            </w:r>
          </w:p>
        </w:tc>
        <w:tc>
          <w:tcPr>
            <w:tcW w:w="4879" w:type="dxa"/>
          </w:tcPr>
          <w:p w14:paraId="204950A5" w14:textId="77777777" w:rsidR="00735F5E" w:rsidRPr="006F7AF8" w:rsidRDefault="00735F5E" w:rsidP="009B4355">
            <w:pPr>
              <w:rPr>
                <w:rFonts w:ascii="Aptos" w:hAnsi="Aptos"/>
                <w:lang w:val="fr-FR"/>
              </w:rPr>
            </w:pPr>
            <w:r w:rsidRPr="006F7AF8">
              <w:rPr>
                <w:rFonts w:ascii="Aptos" w:hAnsi="Aptos"/>
                <w:lang w:val="fr-FR"/>
              </w:rPr>
              <w:t>Parties déclarantes</w:t>
            </w:r>
          </w:p>
        </w:tc>
      </w:tr>
      <w:tr w:rsidR="00735F5E" w:rsidRPr="006F7AF8" w14:paraId="371A4E15" w14:textId="77777777" w:rsidTr="009B4355">
        <w:tc>
          <w:tcPr>
            <w:tcW w:w="4188" w:type="dxa"/>
          </w:tcPr>
          <w:p w14:paraId="345A2BCE" w14:textId="77777777" w:rsidR="00735F5E" w:rsidRPr="006F7AF8" w:rsidRDefault="00735F5E" w:rsidP="009B4355">
            <w:pPr>
              <w:rPr>
                <w:rFonts w:ascii="Aptos" w:hAnsi="Aptos"/>
                <w:lang w:val="fr-FR"/>
              </w:rPr>
            </w:pPr>
            <w:r w:rsidRPr="006F7AF8">
              <w:rPr>
                <w:rFonts w:ascii="Aptos" w:hAnsi="Aptos"/>
                <w:lang w:val="fr-FR"/>
              </w:rPr>
              <w:t>Non-Reporting/Missing</w:t>
            </w:r>
          </w:p>
        </w:tc>
        <w:tc>
          <w:tcPr>
            <w:tcW w:w="4879" w:type="dxa"/>
          </w:tcPr>
          <w:p w14:paraId="024F4BC4" w14:textId="77777777" w:rsidR="00735F5E" w:rsidRPr="006F7AF8" w:rsidRDefault="00735F5E" w:rsidP="009B4355">
            <w:pPr>
              <w:rPr>
                <w:rFonts w:ascii="Aptos" w:hAnsi="Aptos"/>
                <w:lang w:val="fr-FR"/>
              </w:rPr>
            </w:pPr>
            <w:r w:rsidRPr="006F7AF8">
              <w:rPr>
                <w:rFonts w:ascii="Aptos" w:hAnsi="Aptos"/>
                <w:lang w:val="fr-FR"/>
              </w:rPr>
              <w:t>Parties non déclarantes/ manquantes</w:t>
            </w:r>
          </w:p>
        </w:tc>
      </w:tr>
      <w:tr w:rsidR="00735F5E" w:rsidRPr="006F7AF8" w14:paraId="590E3290" w14:textId="77777777" w:rsidTr="009B4355">
        <w:tc>
          <w:tcPr>
            <w:tcW w:w="4188" w:type="dxa"/>
          </w:tcPr>
          <w:p w14:paraId="07325819" w14:textId="77777777" w:rsidR="00735F5E" w:rsidRPr="006F7AF8" w:rsidRDefault="00735F5E" w:rsidP="009B4355">
            <w:pPr>
              <w:rPr>
                <w:rFonts w:ascii="Aptos" w:hAnsi="Aptos"/>
                <w:lang w:val="fr-FR"/>
              </w:rPr>
            </w:pPr>
            <w:r w:rsidRPr="006F7AF8">
              <w:rPr>
                <w:rFonts w:ascii="Aptos" w:hAnsi="Aptos"/>
                <w:lang w:val="fr-FR"/>
              </w:rPr>
              <w:t>Party count: 27</w:t>
            </w:r>
          </w:p>
        </w:tc>
        <w:tc>
          <w:tcPr>
            <w:tcW w:w="4879" w:type="dxa"/>
          </w:tcPr>
          <w:p w14:paraId="316A60BE" w14:textId="77777777" w:rsidR="00735F5E" w:rsidRPr="006F7AF8" w:rsidRDefault="00735F5E" w:rsidP="009B4355">
            <w:pPr>
              <w:rPr>
                <w:rFonts w:ascii="Aptos" w:hAnsi="Aptos"/>
                <w:lang w:val="fr-FR"/>
              </w:rPr>
            </w:pPr>
            <w:r w:rsidRPr="006F7AF8">
              <w:rPr>
                <w:rFonts w:ascii="Aptos" w:hAnsi="Aptos"/>
                <w:lang w:val="fr-FR"/>
              </w:rPr>
              <w:t>Nombre de Parties : 27</w:t>
            </w:r>
          </w:p>
        </w:tc>
      </w:tr>
      <w:tr w:rsidR="00735F5E" w:rsidRPr="006F7AF8" w14:paraId="6626A11A" w14:textId="77777777" w:rsidTr="009B4355">
        <w:tc>
          <w:tcPr>
            <w:tcW w:w="4188" w:type="dxa"/>
          </w:tcPr>
          <w:p w14:paraId="10B69A7A" w14:textId="77777777" w:rsidR="00735F5E" w:rsidRPr="006F7AF8" w:rsidRDefault="00735F5E" w:rsidP="009B4355">
            <w:pPr>
              <w:rPr>
                <w:rFonts w:ascii="Aptos" w:hAnsi="Aptos"/>
                <w:lang w:val="fr-FR"/>
              </w:rPr>
            </w:pPr>
            <w:r w:rsidRPr="006F7AF8">
              <w:rPr>
                <w:rFonts w:ascii="Aptos" w:hAnsi="Aptos"/>
                <w:lang w:val="fr-FR"/>
              </w:rPr>
              <w:t>Party count by region</w:t>
            </w:r>
          </w:p>
        </w:tc>
        <w:tc>
          <w:tcPr>
            <w:tcW w:w="4879" w:type="dxa"/>
          </w:tcPr>
          <w:p w14:paraId="4850FDD5" w14:textId="77777777" w:rsidR="00735F5E" w:rsidRPr="006F7AF8" w:rsidRDefault="00735F5E" w:rsidP="009B4355">
            <w:pPr>
              <w:rPr>
                <w:rFonts w:ascii="Aptos" w:hAnsi="Aptos"/>
                <w:lang w:val="fr-FR"/>
              </w:rPr>
            </w:pPr>
            <w:r w:rsidRPr="006F7AF8">
              <w:rPr>
                <w:rFonts w:ascii="Aptos" w:hAnsi="Aptos"/>
                <w:lang w:val="fr-FR"/>
              </w:rPr>
              <w:t>Nombre de Parties par région</w:t>
            </w:r>
          </w:p>
        </w:tc>
      </w:tr>
      <w:tr w:rsidR="00735F5E" w:rsidRPr="006F7AF8" w14:paraId="04078F5D" w14:textId="77777777" w:rsidTr="009B4355">
        <w:tc>
          <w:tcPr>
            <w:tcW w:w="4188" w:type="dxa"/>
          </w:tcPr>
          <w:p w14:paraId="72FF62A5" w14:textId="77777777" w:rsidR="00735F5E" w:rsidRPr="006F7AF8" w:rsidRDefault="00735F5E" w:rsidP="009B4355">
            <w:pPr>
              <w:rPr>
                <w:rFonts w:ascii="Aptos" w:hAnsi="Aptos"/>
                <w:lang w:val="fr-FR"/>
              </w:rPr>
            </w:pPr>
            <w:r w:rsidRPr="006F7AF8">
              <w:rPr>
                <w:rFonts w:ascii="Aptos" w:hAnsi="Aptos"/>
                <w:lang w:val="fr-FR"/>
              </w:rPr>
              <w:t>Region</w:t>
            </w:r>
          </w:p>
        </w:tc>
        <w:tc>
          <w:tcPr>
            <w:tcW w:w="4879" w:type="dxa"/>
          </w:tcPr>
          <w:p w14:paraId="4A784BFA"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19A8D118" w14:textId="77777777" w:rsidTr="009B4355">
        <w:tc>
          <w:tcPr>
            <w:tcW w:w="4188" w:type="dxa"/>
          </w:tcPr>
          <w:p w14:paraId="31139896" w14:textId="77777777" w:rsidR="00735F5E" w:rsidRPr="006F7AF8" w:rsidRDefault="00735F5E" w:rsidP="009B4355">
            <w:pPr>
              <w:rPr>
                <w:rFonts w:ascii="Aptos" w:hAnsi="Aptos"/>
                <w:lang w:val="fr-FR"/>
              </w:rPr>
            </w:pPr>
            <w:r w:rsidRPr="006F7AF8">
              <w:rPr>
                <w:rFonts w:ascii="Aptos" w:hAnsi="Aptos"/>
                <w:lang w:val="fr-FR"/>
              </w:rPr>
              <w:t>African States</w:t>
            </w:r>
          </w:p>
        </w:tc>
        <w:tc>
          <w:tcPr>
            <w:tcW w:w="4879" w:type="dxa"/>
          </w:tcPr>
          <w:p w14:paraId="57D17600"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17C35F49" w14:textId="77777777" w:rsidTr="009B4355">
        <w:tc>
          <w:tcPr>
            <w:tcW w:w="4188" w:type="dxa"/>
          </w:tcPr>
          <w:p w14:paraId="7C6A3931"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879" w:type="dxa"/>
          </w:tcPr>
          <w:p w14:paraId="122104D7"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264840B3" w14:textId="77777777" w:rsidTr="009B4355">
        <w:tc>
          <w:tcPr>
            <w:tcW w:w="4188" w:type="dxa"/>
          </w:tcPr>
          <w:p w14:paraId="3D2B2952"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879" w:type="dxa"/>
          </w:tcPr>
          <w:p w14:paraId="3BDCF24D"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33A66D2E" w14:textId="77777777" w:rsidTr="009B4355">
        <w:tc>
          <w:tcPr>
            <w:tcW w:w="4188" w:type="dxa"/>
          </w:tcPr>
          <w:p w14:paraId="3CE6ECDE"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879" w:type="dxa"/>
          </w:tcPr>
          <w:p w14:paraId="0219D253"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356EBED3" w14:textId="77777777" w:rsidTr="009B4355">
        <w:tc>
          <w:tcPr>
            <w:tcW w:w="4188" w:type="dxa"/>
          </w:tcPr>
          <w:p w14:paraId="12B74BF1"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879" w:type="dxa"/>
          </w:tcPr>
          <w:p w14:paraId="1CE918F2"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7174162E" w14:textId="77777777" w:rsidR="00B87039" w:rsidRPr="00653BF4" w:rsidRDefault="00B87039" w:rsidP="00B87039">
      <w:pPr>
        <w:rPr>
          <w:lang w:val="fr-FR" w:eastAsia="ja-JP"/>
        </w:rPr>
      </w:pPr>
    </w:p>
    <w:p w14:paraId="0D83D2A8" w14:textId="77777777" w:rsidR="00B87039" w:rsidRPr="00653BF4" w:rsidRDefault="00B87039" w:rsidP="00B87039">
      <w:pPr>
        <w:rPr>
          <w:sz w:val="20"/>
          <w:szCs w:val="20"/>
          <w:lang w:val="fr-FR"/>
        </w:rPr>
      </w:pPr>
      <w:r w:rsidRPr="00653BF4">
        <w:rPr>
          <w:sz w:val="20"/>
          <w:szCs w:val="20"/>
          <w:lang w:val="fr-FR"/>
        </w:rPr>
        <w:t>Figure 54</w:t>
      </w:r>
    </w:p>
    <w:p w14:paraId="153538E5" w14:textId="367BC447" w:rsidR="00B87039" w:rsidRPr="00653BF4" w:rsidRDefault="00B87039" w:rsidP="00B87039">
      <w:pPr>
        <w:rPr>
          <w:b/>
          <w:bCs/>
          <w:sz w:val="20"/>
          <w:szCs w:val="20"/>
          <w:lang w:val="fr-FR"/>
        </w:rPr>
      </w:pPr>
      <w:r w:rsidRPr="00653BF4">
        <w:rPr>
          <w:rStyle w:val="normaltextrun"/>
          <w:rFonts w:cs="Segoe UI"/>
          <w:b/>
          <w:bCs/>
          <w:sz w:val="20"/>
          <w:szCs w:val="20"/>
          <w:lang w:val="fr-FR"/>
        </w:rPr>
        <w:t>Indicateur binaire 12.b</w:t>
      </w:r>
      <w:r w:rsidR="00E34DC9">
        <w:rPr>
          <w:rStyle w:val="normaltextrun"/>
          <w:rFonts w:cs="Segoe UI"/>
          <w:b/>
          <w:bCs/>
          <w:sz w:val="20"/>
          <w:szCs w:val="20"/>
          <w:lang w:val="fr-FR"/>
        </w:rPr>
        <w:t> :</w:t>
      </w:r>
      <w:r w:rsidRPr="00653BF4">
        <w:rPr>
          <w:rStyle w:val="normaltextrun"/>
          <w:rFonts w:cs="Segoe UI"/>
          <w:b/>
          <w:bCs/>
          <w:sz w:val="20"/>
          <w:szCs w:val="20"/>
          <w:lang w:val="fr-FR"/>
        </w:rPr>
        <w:t xml:space="preserve"> nombre de pays ayant mis en place un aménagement urbain respectueux de la biodiversité faisant référence aux espaces urbains verts ou bleus</w:t>
      </w:r>
    </w:p>
    <w:p w14:paraId="32C251F4" w14:textId="77777777" w:rsidR="00B87039" w:rsidRPr="00653BF4" w:rsidRDefault="00B87039" w:rsidP="00B87039">
      <w:pPr>
        <w:pStyle w:val="Caption"/>
        <w:rPr>
          <w:lang w:val="fr-FR"/>
        </w:rPr>
      </w:pPr>
      <w:r w:rsidRPr="00653BF4">
        <w:rPr>
          <w:noProof/>
          <w:lang w:val="fr-FR"/>
          <w14:ligatures w14:val="standardContextual"/>
        </w:rPr>
        <w:drawing>
          <wp:inline distT="0" distB="0" distL="0" distR="0" wp14:anchorId="5B2682D9" wp14:editId="6F76A34F">
            <wp:extent cx="5943600" cy="2264410"/>
            <wp:effectExtent l="0" t="0" r="0" b="0"/>
            <wp:docPr id="6259314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31439" name="Picture 625931439"/>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237"/>
    <w:p w14:paraId="63CEC712" w14:textId="20177492" w:rsidR="00B87039" w:rsidRPr="00653BF4" w:rsidRDefault="00B87039" w:rsidP="00B87039">
      <w:pPr>
        <w:pStyle w:val="Caption"/>
        <w:rPr>
          <w:i w:val="0"/>
          <w:iCs w:val="0"/>
          <w:lang w:val="fr-FR"/>
        </w:rPr>
      </w:pPr>
      <w:r w:rsidRPr="00653BF4">
        <w:rPr>
          <w:i w:val="0"/>
          <w:iCs w:val="0"/>
          <w:lang w:val="fr-FR"/>
        </w:rPr>
        <w:t>Note</w:t>
      </w:r>
      <w:r w:rsidR="00E34DC9">
        <w:rPr>
          <w:i w:val="0"/>
          <w:iCs w:val="0"/>
          <w:lang w:val="fr-FR"/>
        </w:rPr>
        <w:t> :</w:t>
      </w:r>
      <w:r w:rsidRPr="00653BF4">
        <w:rPr>
          <w:i w:val="0"/>
          <w:iCs w:val="0"/>
          <w:lang w:val="fr-FR"/>
        </w:rPr>
        <w:t xml:space="preserve"> La largeur des barres indique le pourcentage de Parties dans chaque catégorie de note, une note plus élevée correspondant à des progrès plus importants. Les notes sont établies d’après les réponses aux questions de l’indicateur</w:t>
      </w:r>
      <w:r w:rsidRPr="00653BF4">
        <w:rPr>
          <w:i w:val="0"/>
          <w:iCs w:val="0"/>
          <w:vertAlign w:val="superscript"/>
          <w:lang w:val="fr-FR"/>
        </w:rPr>
        <w:t>a</w:t>
      </w:r>
      <w:r w:rsidRPr="00653BF4">
        <w:rPr>
          <w:i w:val="0"/>
          <w:iCs w:val="0"/>
          <w:lang w:val="fr-FR"/>
        </w:rPr>
        <w:t>. Le diagramme circulaire représente la répartition par région des Parties ayant répondu à toutes les questions.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p w14:paraId="0EB7D7AE" w14:textId="77777777" w:rsidR="00B87039" w:rsidRPr="00653BF4" w:rsidRDefault="00B87039" w:rsidP="00B87039">
      <w:pPr>
        <w:rPr>
          <w:lang w:val="fr-FR"/>
        </w:rPr>
      </w:pPr>
      <w:r w:rsidRPr="00653BF4">
        <w:rPr>
          <w:sz w:val="18"/>
          <w:szCs w:val="18"/>
          <w:vertAlign w:val="superscript"/>
          <w:lang w:val="fr-FR"/>
        </w:rPr>
        <w:t xml:space="preserve">a </w:t>
      </w:r>
      <w:r w:rsidRPr="00653BF4">
        <w:rPr>
          <w:sz w:val="18"/>
          <w:szCs w:val="18"/>
          <w:lang w:val="fr-FR"/>
        </w:rPr>
        <w:t xml:space="preserve">La méthode de calcul des notes pour chaque indicateur binaire, ainsi que les questions associées à chaque indicateur, figurent dans le document </w:t>
      </w:r>
      <w:hyperlink r:id="rId146" w:history="1">
        <w:r w:rsidRPr="00653BF4">
          <w:rPr>
            <w:rStyle w:val="Hyperlink"/>
            <w:sz w:val="18"/>
            <w:szCs w:val="18"/>
            <w:lang w:val="fr-FR"/>
          </w:rPr>
          <w:t>CBD/COP/16/INF/3/Rev.1</w:t>
        </w:r>
      </w:hyperlink>
      <w:r w:rsidRPr="00653BF4">
        <w:rPr>
          <w:sz w:val="18"/>
          <w:szCs w:val="18"/>
          <w:lang w:val="fr-FR"/>
        </w:rPr>
        <w:t>.</w:t>
      </w:r>
    </w:p>
    <w:tbl>
      <w:tblPr>
        <w:tblStyle w:val="TableGrid"/>
        <w:tblW w:w="8861" w:type="dxa"/>
        <w:tblLook w:val="04A0" w:firstRow="1" w:lastRow="0" w:firstColumn="1" w:lastColumn="0" w:noHBand="0" w:noVBand="1"/>
      </w:tblPr>
      <w:tblGrid>
        <w:gridCol w:w="4188"/>
        <w:gridCol w:w="4673"/>
      </w:tblGrid>
      <w:tr w:rsidR="00735F5E" w:rsidRPr="006F7AF8" w14:paraId="1F356B46" w14:textId="77777777" w:rsidTr="009B4355">
        <w:tc>
          <w:tcPr>
            <w:tcW w:w="8861" w:type="dxa"/>
            <w:gridSpan w:val="2"/>
          </w:tcPr>
          <w:p w14:paraId="165A3F27" w14:textId="77777777" w:rsidR="00735F5E" w:rsidRPr="006F7AF8" w:rsidRDefault="00735F5E" w:rsidP="009B4355">
            <w:pPr>
              <w:rPr>
                <w:rFonts w:ascii="Aptos" w:hAnsi="Aptos"/>
                <w:lang w:val="fr-FR"/>
              </w:rPr>
            </w:pPr>
            <w:r>
              <w:rPr>
                <w:rFonts w:ascii="Aptos" w:hAnsi="Aptos"/>
                <w:lang w:val="fr-FR"/>
              </w:rPr>
              <w:t>Figure 54</w:t>
            </w:r>
          </w:p>
        </w:tc>
      </w:tr>
      <w:tr w:rsidR="00735F5E" w:rsidRPr="00F46C30" w14:paraId="0A3E33B4" w14:textId="77777777" w:rsidTr="009B4355">
        <w:tc>
          <w:tcPr>
            <w:tcW w:w="4188" w:type="dxa"/>
          </w:tcPr>
          <w:p w14:paraId="5F61276E" w14:textId="77777777" w:rsidR="00735F5E" w:rsidRPr="00F46C30" w:rsidRDefault="00735F5E" w:rsidP="009B4355">
            <w:pPr>
              <w:rPr>
                <w:rFonts w:ascii="Aptos" w:hAnsi="Aptos"/>
                <w:lang w:val="fr-FR"/>
              </w:rPr>
            </w:pPr>
            <w:r w:rsidRPr="00F46C30">
              <w:rPr>
                <w:rFonts w:ascii="Aptos" w:hAnsi="Aptos"/>
                <w:lang w:val="fr-FR"/>
              </w:rPr>
              <w:t xml:space="preserve">English </w:t>
            </w:r>
          </w:p>
        </w:tc>
        <w:tc>
          <w:tcPr>
            <w:tcW w:w="4673" w:type="dxa"/>
          </w:tcPr>
          <w:p w14:paraId="2D32A059" w14:textId="77777777" w:rsidR="00735F5E" w:rsidRPr="00F46C30" w:rsidRDefault="00735F5E" w:rsidP="009B4355">
            <w:pPr>
              <w:rPr>
                <w:rFonts w:ascii="Aptos" w:hAnsi="Aptos"/>
                <w:lang w:val="fr-FR"/>
              </w:rPr>
            </w:pPr>
            <w:r>
              <w:rPr>
                <w:rFonts w:ascii="Aptos" w:hAnsi="Aptos"/>
                <w:lang w:val="fr-FR"/>
              </w:rPr>
              <w:t>Français</w:t>
            </w:r>
          </w:p>
        </w:tc>
      </w:tr>
      <w:tr w:rsidR="00735F5E" w:rsidRPr="006F7AF8" w14:paraId="77041F68" w14:textId="77777777" w:rsidTr="009B4355">
        <w:tc>
          <w:tcPr>
            <w:tcW w:w="4188" w:type="dxa"/>
          </w:tcPr>
          <w:p w14:paraId="0F522ACE" w14:textId="77777777" w:rsidR="00735F5E" w:rsidRPr="006F7AF8" w:rsidRDefault="00735F5E" w:rsidP="009B4355">
            <w:pPr>
              <w:rPr>
                <w:rFonts w:ascii="Aptos" w:hAnsi="Aptos"/>
                <w:lang w:val="fr-FR"/>
              </w:rPr>
            </w:pPr>
            <w:r w:rsidRPr="006F7AF8">
              <w:rPr>
                <w:rFonts w:ascii="Aptos" w:hAnsi="Aptos"/>
                <w:lang w:val="fr-FR"/>
              </w:rPr>
              <w:t>Answers (percentage)</w:t>
            </w:r>
          </w:p>
        </w:tc>
        <w:tc>
          <w:tcPr>
            <w:tcW w:w="4673" w:type="dxa"/>
          </w:tcPr>
          <w:p w14:paraId="5E40CCF8" w14:textId="77777777" w:rsidR="00735F5E" w:rsidRPr="006F7AF8" w:rsidRDefault="00735F5E" w:rsidP="009B4355">
            <w:pPr>
              <w:rPr>
                <w:rFonts w:ascii="Aptos" w:hAnsi="Aptos"/>
                <w:lang w:val="fr-FR"/>
              </w:rPr>
            </w:pPr>
            <w:r w:rsidRPr="006F7AF8">
              <w:rPr>
                <w:rFonts w:ascii="Aptos" w:hAnsi="Aptos"/>
                <w:lang w:val="fr-FR"/>
              </w:rPr>
              <w:t>Réponses (pourcentage)</w:t>
            </w:r>
          </w:p>
        </w:tc>
      </w:tr>
      <w:tr w:rsidR="00735F5E" w:rsidRPr="006F7AF8" w14:paraId="511E41CB" w14:textId="77777777" w:rsidTr="009B4355">
        <w:tc>
          <w:tcPr>
            <w:tcW w:w="4188" w:type="dxa"/>
          </w:tcPr>
          <w:p w14:paraId="7435C666" w14:textId="77777777" w:rsidR="00735F5E" w:rsidRPr="006F7AF8" w:rsidRDefault="00735F5E" w:rsidP="009B4355">
            <w:pPr>
              <w:rPr>
                <w:rFonts w:ascii="Aptos" w:hAnsi="Aptos"/>
                <w:lang w:val="fr-FR"/>
              </w:rPr>
            </w:pPr>
            <w:r w:rsidRPr="006F7AF8">
              <w:rPr>
                <w:rFonts w:ascii="Aptos" w:hAnsi="Aptos"/>
                <w:lang w:val="fr-FR"/>
              </w:rPr>
              <w:t>Score Level</w:t>
            </w:r>
          </w:p>
        </w:tc>
        <w:tc>
          <w:tcPr>
            <w:tcW w:w="4673" w:type="dxa"/>
          </w:tcPr>
          <w:p w14:paraId="4E092D5E" w14:textId="77777777" w:rsidR="00735F5E" w:rsidRPr="006F7AF8" w:rsidRDefault="00735F5E" w:rsidP="009B4355">
            <w:pPr>
              <w:rPr>
                <w:rFonts w:ascii="Aptos" w:hAnsi="Aptos"/>
                <w:lang w:val="fr-FR"/>
              </w:rPr>
            </w:pPr>
            <w:r>
              <w:rPr>
                <w:rFonts w:ascii="Aptos" w:hAnsi="Aptos"/>
                <w:lang w:val="fr-FR"/>
              </w:rPr>
              <w:t>Note</w:t>
            </w:r>
          </w:p>
        </w:tc>
      </w:tr>
      <w:tr w:rsidR="00735F5E" w:rsidRPr="006F7AF8" w14:paraId="5CB33D13" w14:textId="77777777" w:rsidTr="009B4355">
        <w:tc>
          <w:tcPr>
            <w:tcW w:w="4188" w:type="dxa"/>
          </w:tcPr>
          <w:p w14:paraId="10CEF000" w14:textId="77777777" w:rsidR="00735F5E" w:rsidRPr="006F7AF8" w:rsidRDefault="00735F5E" w:rsidP="009B4355">
            <w:pPr>
              <w:rPr>
                <w:rFonts w:ascii="Aptos" w:hAnsi="Aptos"/>
                <w:lang w:val="fr-FR"/>
              </w:rPr>
            </w:pPr>
            <w:r w:rsidRPr="006F7AF8">
              <w:rPr>
                <w:rFonts w:ascii="Aptos" w:hAnsi="Aptos"/>
                <w:lang w:val="fr-FR"/>
              </w:rPr>
              <w:t>Party count: 127</w:t>
            </w:r>
          </w:p>
        </w:tc>
        <w:tc>
          <w:tcPr>
            <w:tcW w:w="4673" w:type="dxa"/>
          </w:tcPr>
          <w:p w14:paraId="6DD9EF03" w14:textId="77777777" w:rsidR="00735F5E" w:rsidRPr="006F7AF8" w:rsidRDefault="00735F5E" w:rsidP="009B4355">
            <w:pPr>
              <w:rPr>
                <w:rFonts w:ascii="Aptos" w:hAnsi="Aptos"/>
                <w:lang w:val="fr-FR"/>
              </w:rPr>
            </w:pPr>
            <w:r w:rsidRPr="006F7AF8">
              <w:rPr>
                <w:rFonts w:ascii="Aptos" w:hAnsi="Aptos"/>
                <w:lang w:val="fr-FR"/>
              </w:rPr>
              <w:t>Nombre de Parties : 127</w:t>
            </w:r>
          </w:p>
        </w:tc>
      </w:tr>
      <w:tr w:rsidR="00735F5E" w:rsidRPr="006F7AF8" w14:paraId="12BEAA21" w14:textId="77777777" w:rsidTr="009B4355">
        <w:tc>
          <w:tcPr>
            <w:tcW w:w="4188" w:type="dxa"/>
          </w:tcPr>
          <w:p w14:paraId="633AECD3" w14:textId="77777777" w:rsidR="00735F5E" w:rsidRPr="006F7AF8" w:rsidRDefault="00735F5E" w:rsidP="009B4355">
            <w:pPr>
              <w:rPr>
                <w:rFonts w:ascii="Aptos" w:hAnsi="Aptos"/>
                <w:lang w:val="fr-FR"/>
              </w:rPr>
            </w:pPr>
            <w:r w:rsidRPr="006F7AF8">
              <w:rPr>
                <w:rFonts w:ascii="Aptos" w:hAnsi="Aptos"/>
                <w:lang w:val="fr-FR"/>
              </w:rPr>
              <w:lastRenderedPageBreak/>
              <w:t>Region</w:t>
            </w:r>
          </w:p>
        </w:tc>
        <w:tc>
          <w:tcPr>
            <w:tcW w:w="4673" w:type="dxa"/>
          </w:tcPr>
          <w:p w14:paraId="669C3C35"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08708293" w14:textId="77777777" w:rsidTr="009B4355">
        <w:tc>
          <w:tcPr>
            <w:tcW w:w="4188" w:type="dxa"/>
          </w:tcPr>
          <w:p w14:paraId="3791648B" w14:textId="77777777" w:rsidR="00735F5E" w:rsidRPr="006F7AF8" w:rsidRDefault="00735F5E" w:rsidP="009B4355">
            <w:pPr>
              <w:rPr>
                <w:rFonts w:ascii="Aptos" w:hAnsi="Aptos"/>
                <w:lang w:val="fr-FR"/>
              </w:rPr>
            </w:pPr>
            <w:r w:rsidRPr="006F7AF8">
              <w:rPr>
                <w:rFonts w:ascii="Aptos" w:hAnsi="Aptos"/>
                <w:lang w:val="fr-FR"/>
              </w:rPr>
              <w:t>African States</w:t>
            </w:r>
          </w:p>
        </w:tc>
        <w:tc>
          <w:tcPr>
            <w:tcW w:w="4673" w:type="dxa"/>
          </w:tcPr>
          <w:p w14:paraId="5FCAF6F2"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1941F0D3" w14:textId="77777777" w:rsidTr="009B4355">
        <w:tc>
          <w:tcPr>
            <w:tcW w:w="4188" w:type="dxa"/>
          </w:tcPr>
          <w:p w14:paraId="5F4E0104"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673" w:type="dxa"/>
          </w:tcPr>
          <w:p w14:paraId="4E89D875"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3B013C26" w14:textId="77777777" w:rsidTr="009B4355">
        <w:tc>
          <w:tcPr>
            <w:tcW w:w="4188" w:type="dxa"/>
          </w:tcPr>
          <w:p w14:paraId="11C08CD9"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673" w:type="dxa"/>
          </w:tcPr>
          <w:p w14:paraId="22E80B2B"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70B2092C" w14:textId="77777777" w:rsidTr="009B4355">
        <w:tc>
          <w:tcPr>
            <w:tcW w:w="4188" w:type="dxa"/>
          </w:tcPr>
          <w:p w14:paraId="396D5B3E"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673" w:type="dxa"/>
          </w:tcPr>
          <w:p w14:paraId="33522068"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5E45D057" w14:textId="77777777" w:rsidTr="009B4355">
        <w:tc>
          <w:tcPr>
            <w:tcW w:w="4188" w:type="dxa"/>
          </w:tcPr>
          <w:p w14:paraId="7916E38D"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673" w:type="dxa"/>
          </w:tcPr>
          <w:p w14:paraId="7E24A11D"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3DD9F565" w14:textId="77777777" w:rsidR="00B87039" w:rsidRPr="00653BF4" w:rsidRDefault="00B87039" w:rsidP="00B87039">
      <w:pPr>
        <w:pStyle w:val="Caption"/>
        <w:rPr>
          <w:rFonts w:cs="Segoe UI"/>
          <w:lang w:val="fr-FR"/>
        </w:rPr>
      </w:pPr>
    </w:p>
    <w:p w14:paraId="6DA7EC98" w14:textId="77777777" w:rsidR="00B87039" w:rsidRPr="00653BF4" w:rsidRDefault="00B87039" w:rsidP="00B87039">
      <w:pPr>
        <w:rPr>
          <w:lang w:val="fr-FR" w:eastAsia="ja-JP"/>
        </w:rPr>
      </w:pPr>
    </w:p>
    <w:p w14:paraId="5E2C794E" w14:textId="77777777" w:rsidR="00B87039" w:rsidRPr="00653BF4" w:rsidRDefault="00B87039" w:rsidP="00B87039">
      <w:pPr>
        <w:rPr>
          <w:sz w:val="20"/>
          <w:szCs w:val="20"/>
          <w:lang w:val="fr-FR" w:eastAsia="ja-JP"/>
        </w:rPr>
      </w:pPr>
      <w:r w:rsidRPr="00653BF4">
        <w:rPr>
          <w:sz w:val="20"/>
          <w:szCs w:val="20"/>
          <w:lang w:val="fr-FR"/>
        </w:rPr>
        <w:t>Figure 55</w:t>
      </w:r>
    </w:p>
    <w:p w14:paraId="6B36895D" w14:textId="2D8C5126" w:rsidR="00B87039" w:rsidRPr="00653BF4"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1</w:t>
      </w:r>
      <w:r w:rsidRPr="00653BF4">
        <w:rPr>
          <w:b/>
          <w:bCs/>
          <w:i w:val="0"/>
          <w:iCs w:val="0"/>
          <w:sz w:val="20"/>
          <w:szCs w:val="20"/>
          <w:lang w:val="fr-FR"/>
        </w:rPr>
        <w:t>2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187DE17D" w14:textId="77777777" w:rsidR="00B87039" w:rsidRPr="00653BF4" w:rsidRDefault="00B87039" w:rsidP="00B87039">
      <w:pPr>
        <w:pStyle w:val="paragraph"/>
        <w:spacing w:before="0" w:beforeAutospacing="0" w:after="0" w:afterAutospacing="0"/>
        <w:textAlignment w:val="baseline"/>
        <w:rPr>
          <w:rStyle w:val="eop"/>
          <w:rFonts w:cs="Segoe UI"/>
          <w:lang w:val="fr-FR"/>
        </w:rPr>
      </w:pPr>
      <w:r w:rsidRPr="00653BF4">
        <w:rPr>
          <w:rFonts w:ascii="Aptos" w:hAnsi="Aptos" w:cs="Segoe UI"/>
          <w:noProof/>
          <w:lang w:val="fr-FR"/>
          <w14:ligatures w14:val="standardContextual"/>
        </w:rPr>
        <w:drawing>
          <wp:inline distT="0" distB="0" distL="0" distR="0" wp14:anchorId="3563FDCB" wp14:editId="580C2465">
            <wp:extent cx="5731510" cy="2456180"/>
            <wp:effectExtent l="0" t="0" r="0" b="0"/>
            <wp:docPr id="9846256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25633" name="Picture 984625633"/>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30403ACC" w14:textId="79A258F3"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i w:val="0"/>
          <w:iCs w:val="0"/>
          <w:lang w:val="fr-FR"/>
        </w:rPr>
        <w:t xml:space="preserve"> Les proportions sont pondérées par Partie. Les tendances incluent des données relatives à 1 indicateur phare provenant de 17 Parties, ainsi qu</w:t>
      </w:r>
      <w:r w:rsidR="00D77549">
        <w:rPr>
          <w:i w:val="0"/>
          <w:iCs w:val="0"/>
          <w:lang w:val="fr-FR"/>
        </w:rPr>
        <w:t>’</w:t>
      </w:r>
      <w:r w:rsidRPr="00653BF4">
        <w:rPr>
          <w:i w:val="0"/>
          <w:iCs w:val="0"/>
          <w:lang w:val="fr-FR"/>
        </w:rPr>
        <w:t xml:space="preserve">à 39 indicateurs nationaux provenant au total de 13 Parties. Le diagramme circulaire représente la répartition, par région, des Parties ayant communiqué des indicateurs pour la </w:t>
      </w:r>
      <w:r w:rsidR="00E34DC9">
        <w:rPr>
          <w:i w:val="0"/>
          <w:iCs w:val="0"/>
          <w:lang w:val="fr-FR"/>
        </w:rPr>
        <w:t>cible 1</w:t>
      </w:r>
      <w:r w:rsidRPr="00653BF4">
        <w:rPr>
          <w:i w:val="0"/>
          <w:iCs w:val="0"/>
          <w:lang w:val="fr-FR"/>
        </w:rPr>
        <w:t>2.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735F5E" w:rsidRPr="0090584D" w14:paraId="219E115A" w14:textId="77777777" w:rsidTr="009B4355">
        <w:tc>
          <w:tcPr>
            <w:tcW w:w="8861" w:type="dxa"/>
            <w:gridSpan w:val="2"/>
          </w:tcPr>
          <w:p w14:paraId="1D495712" w14:textId="77777777" w:rsidR="00735F5E" w:rsidRPr="0090584D" w:rsidRDefault="00735F5E" w:rsidP="009B4355">
            <w:pPr>
              <w:rPr>
                <w:rFonts w:ascii="Aptos" w:hAnsi="Aptos"/>
                <w:lang w:val="fr-FR"/>
              </w:rPr>
            </w:pPr>
            <w:r>
              <w:rPr>
                <w:rFonts w:ascii="Aptos" w:hAnsi="Aptos"/>
                <w:lang w:val="fr-FR"/>
              </w:rPr>
              <w:t>Figure 55</w:t>
            </w:r>
          </w:p>
        </w:tc>
      </w:tr>
      <w:tr w:rsidR="00735F5E" w:rsidRPr="0090584D" w14:paraId="4456ACE2" w14:textId="77777777" w:rsidTr="009B4355">
        <w:tc>
          <w:tcPr>
            <w:tcW w:w="4188" w:type="dxa"/>
          </w:tcPr>
          <w:p w14:paraId="480C6BEF" w14:textId="77777777" w:rsidR="00735F5E" w:rsidRPr="0090584D" w:rsidRDefault="00735F5E" w:rsidP="009B4355">
            <w:pPr>
              <w:rPr>
                <w:rFonts w:ascii="Aptos" w:hAnsi="Aptos"/>
                <w:lang w:val="fr-FR"/>
              </w:rPr>
            </w:pPr>
            <w:r w:rsidRPr="0090584D">
              <w:rPr>
                <w:rFonts w:ascii="Aptos" w:hAnsi="Aptos"/>
                <w:lang w:val="fr-FR"/>
              </w:rPr>
              <w:t xml:space="preserve">English </w:t>
            </w:r>
          </w:p>
        </w:tc>
        <w:tc>
          <w:tcPr>
            <w:tcW w:w="4673" w:type="dxa"/>
          </w:tcPr>
          <w:p w14:paraId="1F95792E" w14:textId="77777777" w:rsidR="00735F5E" w:rsidRPr="0090584D" w:rsidRDefault="00735F5E" w:rsidP="009B4355">
            <w:pPr>
              <w:rPr>
                <w:rFonts w:ascii="Aptos" w:hAnsi="Aptos"/>
                <w:lang w:val="fr-FR"/>
              </w:rPr>
            </w:pPr>
            <w:r>
              <w:rPr>
                <w:rFonts w:ascii="Aptos" w:hAnsi="Aptos"/>
                <w:lang w:val="fr-FR"/>
              </w:rPr>
              <w:t>Français</w:t>
            </w:r>
          </w:p>
        </w:tc>
      </w:tr>
      <w:tr w:rsidR="00735F5E" w:rsidRPr="006F7AF8" w14:paraId="5BD4034E" w14:textId="77777777" w:rsidTr="009B4355">
        <w:tc>
          <w:tcPr>
            <w:tcW w:w="4188" w:type="dxa"/>
          </w:tcPr>
          <w:p w14:paraId="4C332567" w14:textId="77777777" w:rsidR="00735F5E" w:rsidRPr="006F7AF8" w:rsidRDefault="00735F5E" w:rsidP="009B4355">
            <w:pPr>
              <w:rPr>
                <w:rFonts w:ascii="Aptos" w:hAnsi="Aptos"/>
                <w:lang w:val="fr-FR"/>
              </w:rPr>
            </w:pPr>
            <w:r w:rsidRPr="006F7AF8">
              <w:rPr>
                <w:rFonts w:ascii="Aptos" w:hAnsi="Aptos"/>
                <w:lang w:val="fr-FR"/>
              </w:rPr>
              <w:t>Proportion</w:t>
            </w:r>
          </w:p>
        </w:tc>
        <w:tc>
          <w:tcPr>
            <w:tcW w:w="4673" w:type="dxa"/>
          </w:tcPr>
          <w:p w14:paraId="612ECF4F" w14:textId="77777777" w:rsidR="00735F5E" w:rsidRPr="006F7AF8" w:rsidRDefault="00735F5E" w:rsidP="009B4355">
            <w:pPr>
              <w:rPr>
                <w:rFonts w:ascii="Aptos" w:hAnsi="Aptos"/>
                <w:lang w:val="fr-FR"/>
              </w:rPr>
            </w:pPr>
            <w:r w:rsidRPr="006F7AF8">
              <w:rPr>
                <w:rFonts w:ascii="Aptos" w:hAnsi="Aptos"/>
                <w:lang w:val="fr-FR"/>
              </w:rPr>
              <w:t>Proportion</w:t>
            </w:r>
          </w:p>
        </w:tc>
      </w:tr>
      <w:tr w:rsidR="00735F5E" w:rsidRPr="006F7AF8" w14:paraId="24375358" w14:textId="77777777" w:rsidTr="009B4355">
        <w:tc>
          <w:tcPr>
            <w:tcW w:w="4188" w:type="dxa"/>
          </w:tcPr>
          <w:p w14:paraId="6F8FBFF8" w14:textId="77777777" w:rsidR="00735F5E" w:rsidRPr="006F7AF8" w:rsidRDefault="00735F5E" w:rsidP="009B4355">
            <w:pPr>
              <w:rPr>
                <w:rFonts w:ascii="Aptos" w:hAnsi="Aptos"/>
                <w:lang w:val="fr-FR"/>
              </w:rPr>
            </w:pPr>
            <w:r w:rsidRPr="006F7AF8">
              <w:rPr>
                <w:rFonts w:ascii="Aptos" w:hAnsi="Aptos"/>
                <w:lang w:val="fr-FR"/>
              </w:rPr>
              <w:t>Current Status</w:t>
            </w:r>
          </w:p>
        </w:tc>
        <w:tc>
          <w:tcPr>
            <w:tcW w:w="4673" w:type="dxa"/>
          </w:tcPr>
          <w:p w14:paraId="78C477DD" w14:textId="77777777" w:rsidR="00735F5E" w:rsidRPr="006F7AF8" w:rsidRDefault="00735F5E" w:rsidP="009B4355">
            <w:pPr>
              <w:rPr>
                <w:rFonts w:ascii="Aptos" w:hAnsi="Aptos"/>
                <w:lang w:val="fr-FR"/>
              </w:rPr>
            </w:pPr>
            <w:r w:rsidRPr="006F7AF8">
              <w:rPr>
                <w:rFonts w:ascii="Aptos" w:hAnsi="Aptos"/>
                <w:lang w:val="fr-FR"/>
              </w:rPr>
              <w:t>État actuel</w:t>
            </w:r>
          </w:p>
        </w:tc>
      </w:tr>
      <w:tr w:rsidR="00735F5E" w:rsidRPr="006F7AF8" w14:paraId="47075C4E" w14:textId="77777777" w:rsidTr="009B4355">
        <w:tc>
          <w:tcPr>
            <w:tcW w:w="4188" w:type="dxa"/>
          </w:tcPr>
          <w:p w14:paraId="79852CC2" w14:textId="77777777" w:rsidR="00735F5E" w:rsidRPr="006F7AF8" w:rsidRDefault="00735F5E" w:rsidP="009B4355">
            <w:pPr>
              <w:rPr>
                <w:rFonts w:ascii="Aptos" w:hAnsi="Aptos"/>
                <w:lang w:val="fr-FR"/>
              </w:rPr>
            </w:pPr>
            <w:r w:rsidRPr="006F7AF8">
              <w:rPr>
                <w:rFonts w:ascii="Aptos" w:hAnsi="Aptos"/>
                <w:lang w:val="fr-FR"/>
              </w:rPr>
              <w:t>improving</w:t>
            </w:r>
          </w:p>
        </w:tc>
        <w:tc>
          <w:tcPr>
            <w:tcW w:w="4673" w:type="dxa"/>
          </w:tcPr>
          <w:p w14:paraId="05130DDC" w14:textId="77777777" w:rsidR="00735F5E" w:rsidRPr="006F7AF8" w:rsidRDefault="00735F5E" w:rsidP="009B4355">
            <w:pPr>
              <w:rPr>
                <w:rFonts w:ascii="Aptos" w:hAnsi="Aptos"/>
                <w:lang w:val="fr-FR"/>
              </w:rPr>
            </w:pPr>
            <w:r>
              <w:rPr>
                <w:rFonts w:ascii="Aptos" w:hAnsi="Aptos"/>
                <w:lang w:val="fr-FR"/>
              </w:rPr>
              <w:t>amélioration</w:t>
            </w:r>
          </w:p>
        </w:tc>
      </w:tr>
      <w:tr w:rsidR="00735F5E" w:rsidRPr="006F7AF8" w14:paraId="23A20BB2" w14:textId="77777777" w:rsidTr="009B4355">
        <w:tc>
          <w:tcPr>
            <w:tcW w:w="4188" w:type="dxa"/>
          </w:tcPr>
          <w:p w14:paraId="006CFCB3" w14:textId="77777777" w:rsidR="00735F5E" w:rsidRPr="006F7AF8" w:rsidRDefault="00735F5E" w:rsidP="009B4355">
            <w:pPr>
              <w:rPr>
                <w:rFonts w:ascii="Aptos" w:hAnsi="Aptos"/>
                <w:lang w:val="fr-FR"/>
              </w:rPr>
            </w:pPr>
            <w:r w:rsidRPr="006F7AF8">
              <w:rPr>
                <w:rFonts w:ascii="Aptos" w:hAnsi="Aptos"/>
                <w:lang w:val="fr-FR"/>
              </w:rPr>
              <w:t>stable</w:t>
            </w:r>
          </w:p>
        </w:tc>
        <w:tc>
          <w:tcPr>
            <w:tcW w:w="4673" w:type="dxa"/>
          </w:tcPr>
          <w:p w14:paraId="702702C4" w14:textId="77777777" w:rsidR="00735F5E" w:rsidRPr="006F7AF8" w:rsidRDefault="00735F5E"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735F5E" w:rsidRPr="006F7AF8" w14:paraId="77B758AF" w14:textId="77777777" w:rsidTr="009B4355">
        <w:tc>
          <w:tcPr>
            <w:tcW w:w="4188" w:type="dxa"/>
          </w:tcPr>
          <w:p w14:paraId="1AA77FA9" w14:textId="77777777" w:rsidR="00735F5E" w:rsidRPr="006F7AF8" w:rsidRDefault="00735F5E" w:rsidP="009B4355">
            <w:pPr>
              <w:rPr>
                <w:rFonts w:ascii="Aptos" w:hAnsi="Aptos"/>
                <w:lang w:val="fr-FR"/>
              </w:rPr>
            </w:pPr>
            <w:r w:rsidRPr="006F7AF8">
              <w:rPr>
                <w:rFonts w:ascii="Aptos" w:hAnsi="Aptos"/>
                <w:lang w:val="fr-FR"/>
              </w:rPr>
              <w:t>moving away</w:t>
            </w:r>
          </w:p>
        </w:tc>
        <w:tc>
          <w:tcPr>
            <w:tcW w:w="4673" w:type="dxa"/>
          </w:tcPr>
          <w:p w14:paraId="26D941A0" w14:textId="77777777" w:rsidR="00735F5E" w:rsidRPr="006F7AF8" w:rsidRDefault="00735F5E" w:rsidP="009B4355">
            <w:pPr>
              <w:rPr>
                <w:rFonts w:ascii="Aptos" w:hAnsi="Aptos"/>
                <w:lang w:val="fr-FR"/>
              </w:rPr>
            </w:pPr>
            <w:r>
              <w:rPr>
                <w:rFonts w:ascii="Aptos" w:hAnsi="Aptos"/>
                <w:lang w:val="fr-FR"/>
              </w:rPr>
              <w:t>éloignement</w:t>
            </w:r>
          </w:p>
        </w:tc>
      </w:tr>
      <w:tr w:rsidR="00735F5E" w:rsidRPr="006F7AF8" w14:paraId="0008A679" w14:textId="77777777" w:rsidTr="009B4355">
        <w:tc>
          <w:tcPr>
            <w:tcW w:w="4188" w:type="dxa"/>
          </w:tcPr>
          <w:p w14:paraId="4FD22F4E" w14:textId="77777777" w:rsidR="00735F5E" w:rsidRPr="006F7AF8" w:rsidRDefault="00735F5E" w:rsidP="009B4355">
            <w:pPr>
              <w:rPr>
                <w:rFonts w:ascii="Aptos" w:hAnsi="Aptos"/>
                <w:lang w:val="fr-FR"/>
              </w:rPr>
            </w:pPr>
            <w:r w:rsidRPr="006F7AF8">
              <w:rPr>
                <w:rFonts w:ascii="Aptos" w:hAnsi="Aptos"/>
                <w:lang w:val="fr-FR"/>
              </w:rPr>
              <w:t>Party count: 27</w:t>
            </w:r>
          </w:p>
        </w:tc>
        <w:tc>
          <w:tcPr>
            <w:tcW w:w="4673" w:type="dxa"/>
          </w:tcPr>
          <w:p w14:paraId="4D6D9562" w14:textId="77777777" w:rsidR="00735F5E" w:rsidRPr="006F7AF8" w:rsidRDefault="00735F5E" w:rsidP="009B4355">
            <w:pPr>
              <w:rPr>
                <w:rFonts w:ascii="Aptos" w:hAnsi="Aptos"/>
                <w:lang w:val="fr-FR"/>
              </w:rPr>
            </w:pPr>
            <w:r w:rsidRPr="006F7AF8">
              <w:rPr>
                <w:rFonts w:ascii="Aptos" w:hAnsi="Aptos"/>
                <w:lang w:val="fr-FR"/>
              </w:rPr>
              <w:t>Nombre de Parties : 27</w:t>
            </w:r>
          </w:p>
        </w:tc>
      </w:tr>
      <w:tr w:rsidR="00735F5E" w:rsidRPr="006F7AF8" w14:paraId="33D74AB3" w14:textId="77777777" w:rsidTr="009B4355">
        <w:tc>
          <w:tcPr>
            <w:tcW w:w="4188" w:type="dxa"/>
          </w:tcPr>
          <w:p w14:paraId="66E72993" w14:textId="77777777" w:rsidR="00735F5E" w:rsidRPr="006F7AF8" w:rsidRDefault="00735F5E" w:rsidP="009B4355">
            <w:pPr>
              <w:rPr>
                <w:rFonts w:ascii="Aptos" w:hAnsi="Aptos"/>
                <w:lang w:val="fr-FR"/>
              </w:rPr>
            </w:pPr>
            <w:r w:rsidRPr="006F7AF8">
              <w:rPr>
                <w:rFonts w:ascii="Aptos" w:hAnsi="Aptos"/>
                <w:lang w:val="fr-FR"/>
              </w:rPr>
              <w:t>Region</w:t>
            </w:r>
          </w:p>
        </w:tc>
        <w:tc>
          <w:tcPr>
            <w:tcW w:w="4673" w:type="dxa"/>
          </w:tcPr>
          <w:p w14:paraId="4D32E064"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2CD1BA00" w14:textId="77777777" w:rsidTr="009B4355">
        <w:tc>
          <w:tcPr>
            <w:tcW w:w="4188" w:type="dxa"/>
          </w:tcPr>
          <w:p w14:paraId="65597DDB" w14:textId="77777777" w:rsidR="00735F5E" w:rsidRPr="006F7AF8" w:rsidRDefault="00735F5E" w:rsidP="009B4355">
            <w:pPr>
              <w:rPr>
                <w:rFonts w:ascii="Aptos" w:hAnsi="Aptos"/>
                <w:lang w:val="fr-FR"/>
              </w:rPr>
            </w:pPr>
            <w:r w:rsidRPr="006F7AF8">
              <w:rPr>
                <w:rFonts w:ascii="Aptos" w:hAnsi="Aptos"/>
                <w:lang w:val="fr-FR"/>
              </w:rPr>
              <w:t>African States</w:t>
            </w:r>
          </w:p>
        </w:tc>
        <w:tc>
          <w:tcPr>
            <w:tcW w:w="4673" w:type="dxa"/>
          </w:tcPr>
          <w:p w14:paraId="353E29AE"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3C66ECC4" w14:textId="77777777" w:rsidTr="009B4355">
        <w:tc>
          <w:tcPr>
            <w:tcW w:w="4188" w:type="dxa"/>
          </w:tcPr>
          <w:p w14:paraId="04D957E9"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673" w:type="dxa"/>
          </w:tcPr>
          <w:p w14:paraId="210E4B2E"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2EB729F0" w14:textId="77777777" w:rsidTr="009B4355">
        <w:tc>
          <w:tcPr>
            <w:tcW w:w="4188" w:type="dxa"/>
          </w:tcPr>
          <w:p w14:paraId="5395F8DD"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673" w:type="dxa"/>
          </w:tcPr>
          <w:p w14:paraId="3B791213"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23FD386B" w14:textId="77777777" w:rsidTr="009B4355">
        <w:tc>
          <w:tcPr>
            <w:tcW w:w="4188" w:type="dxa"/>
          </w:tcPr>
          <w:p w14:paraId="43D09728" w14:textId="77777777" w:rsidR="00735F5E" w:rsidRPr="006F7AF8" w:rsidRDefault="00735F5E" w:rsidP="009B4355">
            <w:pPr>
              <w:rPr>
                <w:rFonts w:ascii="Aptos" w:hAnsi="Aptos"/>
                <w:lang w:val="fr-FR"/>
              </w:rPr>
            </w:pPr>
            <w:r w:rsidRPr="006F7AF8">
              <w:rPr>
                <w:rFonts w:ascii="Aptos" w:hAnsi="Aptos"/>
                <w:lang w:val="fr-FR"/>
              </w:rPr>
              <w:lastRenderedPageBreak/>
              <w:t>Eastern European States</w:t>
            </w:r>
          </w:p>
        </w:tc>
        <w:tc>
          <w:tcPr>
            <w:tcW w:w="4673" w:type="dxa"/>
          </w:tcPr>
          <w:p w14:paraId="3443B180"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666FF008" w14:textId="77777777" w:rsidTr="009B4355">
        <w:tc>
          <w:tcPr>
            <w:tcW w:w="4188" w:type="dxa"/>
          </w:tcPr>
          <w:p w14:paraId="446A2E32"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673" w:type="dxa"/>
          </w:tcPr>
          <w:p w14:paraId="387B1F63"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2B1C7B67" w14:textId="77777777" w:rsidR="00B87039" w:rsidRPr="00653BF4" w:rsidRDefault="00B87039" w:rsidP="00B87039">
      <w:pPr>
        <w:pStyle w:val="Caption"/>
        <w:rPr>
          <w:lang w:val="fr-FR"/>
        </w:rPr>
      </w:pPr>
    </w:p>
    <w:p w14:paraId="7EB6E958" w14:textId="317E2B7E" w:rsidR="00B87039" w:rsidRPr="00653BF4" w:rsidRDefault="00B87039" w:rsidP="00B87039">
      <w:pPr>
        <w:pStyle w:val="Heading5"/>
        <w:rPr>
          <w:lang w:val="fr-FR"/>
        </w:rPr>
      </w:pPr>
      <w:bookmarkStart w:id="238" w:name="_Toc235821197"/>
      <w:r w:rsidRPr="00653BF4">
        <w:rPr>
          <w:lang w:val="fr-FR"/>
        </w:rPr>
        <w:t>Auto-évaluation des progrès accomplis</w:t>
      </w:r>
      <w:bookmarkEnd w:id="238"/>
    </w:p>
    <w:p w14:paraId="4A22C762" w14:textId="77777777" w:rsidR="00B87039" w:rsidRPr="00653BF4" w:rsidRDefault="00B87039" w:rsidP="00B87039">
      <w:pPr>
        <w:rPr>
          <w:lang w:val="fr-FR"/>
        </w:rPr>
      </w:pPr>
    </w:p>
    <w:p w14:paraId="3347E287" w14:textId="3645A124" w:rsidR="00B87039" w:rsidRPr="00653BF4" w:rsidRDefault="00B87039" w:rsidP="00B87039">
      <w:pPr>
        <w:pStyle w:val="Caption"/>
        <w:rPr>
          <w:i w:val="0"/>
          <w:iCs w:val="0"/>
          <w:color w:val="000000" w:themeColor="text1"/>
          <w:sz w:val="24"/>
          <w:szCs w:val="24"/>
          <w:lang w:val="fr-FR"/>
        </w:rPr>
      </w:pPr>
      <w:r w:rsidRPr="00653BF4">
        <w:rPr>
          <w:i w:val="0"/>
          <w:iCs w:val="0"/>
          <w:color w:val="000000" w:themeColor="text1"/>
          <w:sz w:val="24"/>
          <w:szCs w:val="24"/>
          <w:lang w:val="fr-FR"/>
        </w:rPr>
        <w:t>L</w:t>
      </w:r>
      <w:r w:rsidR="00D77549">
        <w:rPr>
          <w:i w:val="0"/>
          <w:iCs w:val="0"/>
          <w:color w:val="000000" w:themeColor="text1"/>
          <w:sz w:val="24"/>
          <w:szCs w:val="24"/>
          <w:lang w:val="fr-FR"/>
        </w:rPr>
        <w:t>’</w:t>
      </w:r>
      <w:r w:rsidRPr="00653BF4">
        <w:rPr>
          <w:i w:val="0"/>
          <w:iCs w:val="0"/>
          <w:color w:val="000000" w:themeColor="text1"/>
          <w:sz w:val="24"/>
          <w:szCs w:val="24"/>
          <w:lang w:val="fr-FR"/>
        </w:rPr>
        <w:t>auto-évaluation réalisée par les Parties dans leurs rapports nationaux corrobore généralement l</w:t>
      </w:r>
      <w:r w:rsidR="00D77549">
        <w:rPr>
          <w:i w:val="0"/>
          <w:iCs w:val="0"/>
          <w:color w:val="000000" w:themeColor="text1"/>
          <w:sz w:val="24"/>
          <w:szCs w:val="24"/>
          <w:lang w:val="fr-FR"/>
        </w:rPr>
        <w:t>’</w:t>
      </w:r>
      <w:r w:rsidRPr="00653BF4">
        <w:rPr>
          <w:i w:val="0"/>
          <w:iCs w:val="0"/>
          <w:color w:val="000000" w:themeColor="text1"/>
          <w:sz w:val="24"/>
          <w:szCs w:val="24"/>
          <w:lang w:val="fr-FR"/>
        </w:rPr>
        <w:t>analyse des tendances des indicateurs. Seulement 32</w:t>
      </w:r>
      <w:r w:rsidR="002878D7">
        <w:rPr>
          <w:i w:val="0"/>
          <w:iCs w:val="0"/>
          <w:color w:val="000000" w:themeColor="text1"/>
          <w:sz w:val="24"/>
          <w:szCs w:val="24"/>
          <w:lang w:val="fr-FR"/>
        </w:rPr>
        <w:t> %</w:t>
      </w:r>
      <w:r w:rsidRPr="00653BF4">
        <w:rPr>
          <w:i w:val="0"/>
          <w:iCs w:val="0"/>
          <w:color w:val="000000" w:themeColor="text1"/>
          <w:sz w:val="24"/>
          <w:szCs w:val="24"/>
          <w:lang w:val="fr-FR"/>
        </w:rPr>
        <w:t xml:space="preserve"> des cibles nationales présentées comme étroitement alignées sur la </w:t>
      </w:r>
      <w:r w:rsidR="00E34DC9">
        <w:rPr>
          <w:i w:val="0"/>
          <w:iCs w:val="0"/>
          <w:color w:val="000000" w:themeColor="text1"/>
          <w:sz w:val="24"/>
          <w:szCs w:val="24"/>
          <w:lang w:val="fr-FR"/>
        </w:rPr>
        <w:t>cible 1</w:t>
      </w:r>
      <w:r w:rsidRPr="00653BF4">
        <w:rPr>
          <w:i w:val="0"/>
          <w:iCs w:val="0"/>
          <w:color w:val="000000" w:themeColor="text1"/>
          <w:sz w:val="24"/>
          <w:szCs w:val="24"/>
          <w:lang w:val="fr-FR"/>
        </w:rPr>
        <w:t>2 sont en voie d</w:t>
      </w:r>
      <w:r w:rsidR="00D77549">
        <w:rPr>
          <w:i w:val="0"/>
          <w:iCs w:val="0"/>
          <w:color w:val="000000" w:themeColor="text1"/>
          <w:sz w:val="24"/>
          <w:szCs w:val="24"/>
          <w:lang w:val="fr-FR"/>
        </w:rPr>
        <w:t>’</w:t>
      </w:r>
      <w:r w:rsidRPr="00653BF4">
        <w:rPr>
          <w:i w:val="0"/>
          <w:iCs w:val="0"/>
          <w:color w:val="000000" w:themeColor="text1"/>
          <w:sz w:val="24"/>
          <w:szCs w:val="24"/>
          <w:lang w:val="fr-FR"/>
        </w:rPr>
        <w:t>être atteintes, alors qu</w:t>
      </w:r>
      <w:r w:rsidR="00D77549">
        <w:rPr>
          <w:i w:val="0"/>
          <w:iCs w:val="0"/>
          <w:color w:val="000000" w:themeColor="text1"/>
          <w:sz w:val="24"/>
          <w:szCs w:val="24"/>
          <w:lang w:val="fr-FR"/>
        </w:rPr>
        <w:t>’</w:t>
      </w:r>
      <w:r w:rsidRPr="00653BF4">
        <w:rPr>
          <w:i w:val="0"/>
          <w:iCs w:val="0"/>
          <w:color w:val="000000" w:themeColor="text1"/>
          <w:sz w:val="24"/>
          <w:szCs w:val="24"/>
          <w:lang w:val="fr-FR"/>
        </w:rPr>
        <w:t>une proportion bien plus importante (64</w:t>
      </w:r>
      <w:r w:rsidR="002878D7">
        <w:rPr>
          <w:i w:val="0"/>
          <w:iCs w:val="0"/>
          <w:color w:val="000000" w:themeColor="text1"/>
          <w:sz w:val="24"/>
          <w:szCs w:val="24"/>
          <w:lang w:val="fr-FR"/>
        </w:rPr>
        <w:t> %</w:t>
      </w:r>
      <w:r w:rsidRPr="00653BF4">
        <w:rPr>
          <w:i w:val="0"/>
          <w:iCs w:val="0"/>
          <w:color w:val="000000" w:themeColor="text1"/>
          <w:sz w:val="24"/>
          <w:szCs w:val="24"/>
          <w:lang w:val="fr-FR"/>
        </w:rPr>
        <w:t>) n</w:t>
      </w:r>
      <w:r w:rsidR="00D77549">
        <w:rPr>
          <w:i w:val="0"/>
          <w:iCs w:val="0"/>
          <w:color w:val="000000" w:themeColor="text1"/>
          <w:sz w:val="24"/>
          <w:szCs w:val="24"/>
          <w:lang w:val="fr-FR"/>
        </w:rPr>
        <w:t>’</w:t>
      </w:r>
      <w:r w:rsidRPr="00653BF4">
        <w:rPr>
          <w:i w:val="0"/>
          <w:iCs w:val="0"/>
          <w:color w:val="000000" w:themeColor="text1"/>
          <w:sz w:val="24"/>
          <w:szCs w:val="24"/>
          <w:lang w:val="fr-FR"/>
        </w:rPr>
        <w:t>enregistre aucun changement notable ou des progrès insuffisants, et que deux cibles nationales seulement (0,4</w:t>
      </w:r>
      <w:r w:rsidR="002878D7">
        <w:rPr>
          <w:i w:val="0"/>
          <w:iCs w:val="0"/>
          <w:color w:val="000000" w:themeColor="text1"/>
          <w:sz w:val="24"/>
          <w:szCs w:val="24"/>
          <w:lang w:val="fr-FR"/>
        </w:rPr>
        <w:t> %</w:t>
      </w:r>
      <w:r w:rsidRPr="00653BF4">
        <w:rPr>
          <w:i w:val="0"/>
          <w:iCs w:val="0"/>
          <w:color w:val="000000" w:themeColor="text1"/>
          <w:sz w:val="24"/>
          <w:szCs w:val="24"/>
          <w:lang w:val="fr-FR"/>
        </w:rPr>
        <w:t>) ont été déclarées déjà atteintes (voir la figure 56).</w:t>
      </w:r>
    </w:p>
    <w:p w14:paraId="67CA2C68" w14:textId="77777777" w:rsidR="00B87039" w:rsidRPr="00653BF4" w:rsidRDefault="00B87039" w:rsidP="00B87039">
      <w:pPr>
        <w:rPr>
          <w:lang w:val="fr-FR" w:eastAsia="ja-JP"/>
        </w:rPr>
      </w:pPr>
    </w:p>
    <w:p w14:paraId="52168A0A" w14:textId="77777777" w:rsidR="00B87039" w:rsidRPr="00653BF4" w:rsidRDefault="00B87039" w:rsidP="00B87039">
      <w:pPr>
        <w:pStyle w:val="Caption"/>
        <w:rPr>
          <w:lang w:val="fr-FR"/>
        </w:rPr>
      </w:pPr>
      <w:bookmarkStart w:id="239" w:name="_Ref231193713"/>
    </w:p>
    <w:p w14:paraId="45BA8FED" w14:textId="77777777" w:rsidR="00B87039" w:rsidRPr="00653BF4" w:rsidRDefault="00B87039" w:rsidP="00B87039">
      <w:pPr>
        <w:pStyle w:val="Caption"/>
        <w:rPr>
          <w:lang w:val="fr-FR"/>
        </w:rPr>
      </w:pPr>
    </w:p>
    <w:p w14:paraId="21305F53" w14:textId="77777777" w:rsidR="00B87039" w:rsidRPr="00653BF4" w:rsidRDefault="00B87039" w:rsidP="00B87039">
      <w:pPr>
        <w:rPr>
          <w:sz w:val="20"/>
          <w:szCs w:val="20"/>
          <w:lang w:val="fr-FR"/>
        </w:rPr>
      </w:pPr>
      <w:r w:rsidRPr="00653BF4">
        <w:rPr>
          <w:sz w:val="20"/>
          <w:szCs w:val="20"/>
          <w:lang w:val="fr-FR"/>
        </w:rPr>
        <w:t>Figure 56</w:t>
      </w:r>
    </w:p>
    <w:p w14:paraId="57C5C007" w14:textId="2C67EC4A" w:rsidR="00B87039" w:rsidRPr="00653BF4"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1</w:t>
      </w:r>
      <w:r w:rsidRPr="00653BF4">
        <w:rPr>
          <w:b/>
          <w:bCs/>
          <w:i w:val="0"/>
          <w:iCs w:val="0"/>
          <w:sz w:val="20"/>
          <w:szCs w:val="20"/>
          <w:lang w:val="fr-FR"/>
        </w:rPr>
        <w:t>2 du Cadre</w:t>
      </w:r>
    </w:p>
    <w:p w14:paraId="2A667738" w14:textId="77777777" w:rsidR="00B87039" w:rsidRPr="00653BF4" w:rsidRDefault="00B87039" w:rsidP="00B87039">
      <w:pPr>
        <w:pStyle w:val="Caption"/>
        <w:rPr>
          <w:lang w:val="fr-FR"/>
        </w:rPr>
      </w:pPr>
      <w:r w:rsidRPr="00653BF4">
        <w:rPr>
          <w:rFonts w:eastAsia="Aptos" w:cs="Aptos"/>
          <w:noProof/>
          <w:lang w:val="fr-FR"/>
        </w:rPr>
        <w:drawing>
          <wp:inline distT="0" distB="0" distL="0" distR="0" wp14:anchorId="64DD13C0" wp14:editId="104B9D85">
            <wp:extent cx="5731510" cy="2292350"/>
            <wp:effectExtent l="0" t="0" r="0" b="6350"/>
            <wp:docPr id="182417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79054" name="Picture 1824179054"/>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37F8797C" w14:textId="43A71022" w:rsidR="00B87039" w:rsidRPr="00653BF4" w:rsidRDefault="00B87039" w:rsidP="00B87039">
      <w:pPr>
        <w:pStyle w:val="Caption"/>
        <w:rPr>
          <w:i w:val="0"/>
          <w:iCs w:val="0"/>
          <w:lang w:val="fr-FR"/>
        </w:rPr>
      </w:pPr>
      <w:bookmarkStart w:id="240" w:name="_Toc235821198"/>
      <w:bookmarkEnd w:id="239"/>
      <w:r w:rsidRPr="00653BF4">
        <w:rPr>
          <w:lang w:val="fr-FR"/>
        </w:rPr>
        <w:t>Note</w:t>
      </w:r>
      <w:r w:rsidR="00E34DC9">
        <w:rPr>
          <w:lang w:val="fr-FR"/>
        </w:rPr>
        <w:t> :</w:t>
      </w:r>
      <w:r w:rsidRPr="00653BF4">
        <w:rPr>
          <w:lang w:val="fr-FR"/>
        </w:rPr>
        <w:t xml:space="preserve"> </w:t>
      </w:r>
      <w:r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0" w:type="auto"/>
        <w:tblLook w:val="04A0" w:firstRow="1" w:lastRow="0" w:firstColumn="1" w:lastColumn="0" w:noHBand="0" w:noVBand="1"/>
      </w:tblPr>
      <w:tblGrid>
        <w:gridCol w:w="4688"/>
        <w:gridCol w:w="4662"/>
      </w:tblGrid>
      <w:tr w:rsidR="00735F5E" w:rsidRPr="006F7AF8" w14:paraId="21535C54" w14:textId="77777777" w:rsidTr="009B4355">
        <w:tc>
          <w:tcPr>
            <w:tcW w:w="0" w:type="auto"/>
            <w:gridSpan w:val="2"/>
          </w:tcPr>
          <w:p w14:paraId="2575553A" w14:textId="77777777" w:rsidR="00735F5E" w:rsidRPr="006F7AF8" w:rsidRDefault="00735F5E" w:rsidP="009B4355">
            <w:pPr>
              <w:rPr>
                <w:rFonts w:ascii="Aptos" w:hAnsi="Aptos"/>
                <w:lang w:val="fr-FR"/>
              </w:rPr>
            </w:pPr>
            <w:r>
              <w:rPr>
                <w:rFonts w:ascii="Aptos" w:hAnsi="Aptos"/>
                <w:lang w:val="fr-FR"/>
              </w:rPr>
              <w:t>Figure 56</w:t>
            </w:r>
          </w:p>
        </w:tc>
      </w:tr>
      <w:tr w:rsidR="00735F5E" w:rsidRPr="0073130C" w14:paraId="582634F9" w14:textId="77777777" w:rsidTr="009B4355">
        <w:tc>
          <w:tcPr>
            <w:tcW w:w="0" w:type="auto"/>
          </w:tcPr>
          <w:p w14:paraId="1609B638" w14:textId="77777777" w:rsidR="00735F5E" w:rsidRPr="0073130C" w:rsidRDefault="00735F5E" w:rsidP="009B4355">
            <w:pPr>
              <w:rPr>
                <w:rFonts w:ascii="Aptos" w:hAnsi="Aptos"/>
                <w:lang w:val="fr-FR"/>
              </w:rPr>
            </w:pPr>
            <w:r w:rsidRPr="0073130C">
              <w:rPr>
                <w:rFonts w:ascii="Aptos" w:hAnsi="Aptos"/>
                <w:lang w:val="fr-FR"/>
              </w:rPr>
              <w:t>English</w:t>
            </w:r>
          </w:p>
        </w:tc>
        <w:tc>
          <w:tcPr>
            <w:tcW w:w="0" w:type="auto"/>
          </w:tcPr>
          <w:p w14:paraId="0DA04290" w14:textId="77777777" w:rsidR="00735F5E" w:rsidRPr="0073130C" w:rsidRDefault="00735F5E" w:rsidP="009B4355">
            <w:pPr>
              <w:rPr>
                <w:rFonts w:ascii="Aptos" w:hAnsi="Aptos"/>
                <w:lang w:val="fr-FR"/>
              </w:rPr>
            </w:pPr>
            <w:r>
              <w:rPr>
                <w:rFonts w:ascii="Aptos" w:hAnsi="Aptos"/>
                <w:lang w:val="fr-FR"/>
              </w:rPr>
              <w:t>Français</w:t>
            </w:r>
          </w:p>
        </w:tc>
      </w:tr>
      <w:tr w:rsidR="00735F5E" w:rsidRPr="006F7AF8" w14:paraId="6FD6C1DF" w14:textId="77777777" w:rsidTr="009B4355">
        <w:tc>
          <w:tcPr>
            <w:tcW w:w="0" w:type="auto"/>
          </w:tcPr>
          <w:p w14:paraId="4CCB2A2B" w14:textId="77777777" w:rsidR="00735F5E" w:rsidRPr="006F7AF8" w:rsidRDefault="00735F5E" w:rsidP="009B4355">
            <w:pPr>
              <w:rPr>
                <w:rFonts w:ascii="Aptos" w:hAnsi="Aptos"/>
                <w:lang w:val="fr-FR"/>
              </w:rPr>
            </w:pPr>
            <w:r w:rsidRPr="006F7AF8">
              <w:rPr>
                <w:rFonts w:ascii="Aptos" w:hAnsi="Aptos"/>
                <w:lang w:val="fr-FR"/>
              </w:rPr>
              <w:t>Percentage of national targets</w:t>
            </w:r>
          </w:p>
        </w:tc>
        <w:tc>
          <w:tcPr>
            <w:tcW w:w="0" w:type="auto"/>
          </w:tcPr>
          <w:p w14:paraId="291D9B2C" w14:textId="77777777" w:rsidR="00735F5E" w:rsidRPr="006F7AF8" w:rsidRDefault="00735F5E" w:rsidP="009B4355">
            <w:pPr>
              <w:rPr>
                <w:rFonts w:ascii="Aptos" w:hAnsi="Aptos"/>
                <w:lang w:val="fr-FR"/>
              </w:rPr>
            </w:pPr>
            <w:r>
              <w:t>Pourcentage de cibles nationales</w:t>
            </w:r>
          </w:p>
        </w:tc>
      </w:tr>
      <w:tr w:rsidR="00735F5E" w:rsidRPr="006F7AF8" w14:paraId="4C193A8F" w14:textId="77777777" w:rsidTr="009B4355">
        <w:tc>
          <w:tcPr>
            <w:tcW w:w="0" w:type="auto"/>
          </w:tcPr>
          <w:p w14:paraId="1CD86E84" w14:textId="77777777" w:rsidR="00735F5E" w:rsidRPr="006F7AF8" w:rsidRDefault="00735F5E" w:rsidP="009B4355">
            <w:pPr>
              <w:rPr>
                <w:rFonts w:ascii="Aptos" w:hAnsi="Aptos"/>
                <w:lang w:val="fr-FR"/>
              </w:rPr>
            </w:pPr>
            <w:r w:rsidRPr="006F7AF8">
              <w:rPr>
                <w:rFonts w:ascii="Aptos" w:hAnsi="Aptos"/>
                <w:lang w:val="fr-FR"/>
              </w:rPr>
              <w:lastRenderedPageBreak/>
              <w:t>Progress Level</w:t>
            </w:r>
          </w:p>
        </w:tc>
        <w:tc>
          <w:tcPr>
            <w:tcW w:w="0" w:type="auto"/>
          </w:tcPr>
          <w:p w14:paraId="36148403" w14:textId="77777777" w:rsidR="00735F5E" w:rsidRPr="006F7AF8" w:rsidRDefault="00735F5E" w:rsidP="009B4355">
            <w:pPr>
              <w:rPr>
                <w:rFonts w:ascii="Aptos" w:hAnsi="Aptos"/>
                <w:lang w:val="fr-FR"/>
              </w:rPr>
            </w:pPr>
            <w:r>
              <w:t>État d’avancement</w:t>
            </w:r>
          </w:p>
        </w:tc>
      </w:tr>
      <w:tr w:rsidR="00735F5E" w:rsidRPr="006F7AF8" w14:paraId="2138CF04" w14:textId="77777777" w:rsidTr="009B4355">
        <w:tc>
          <w:tcPr>
            <w:tcW w:w="0" w:type="auto"/>
          </w:tcPr>
          <w:p w14:paraId="7EE8671F" w14:textId="77777777" w:rsidR="00735F5E" w:rsidRPr="006F7AF8" w:rsidRDefault="00735F5E" w:rsidP="009B4355">
            <w:pPr>
              <w:rPr>
                <w:rFonts w:ascii="Aptos" w:hAnsi="Aptos"/>
                <w:lang w:val="fr-FR"/>
              </w:rPr>
            </w:pPr>
            <w:r w:rsidRPr="006F7AF8">
              <w:rPr>
                <w:rFonts w:ascii="Aptos" w:hAnsi="Aptos"/>
                <w:lang w:val="fr-FR"/>
              </w:rPr>
              <w:t>Achieved</w:t>
            </w:r>
          </w:p>
        </w:tc>
        <w:tc>
          <w:tcPr>
            <w:tcW w:w="0" w:type="auto"/>
          </w:tcPr>
          <w:p w14:paraId="34C91509" w14:textId="77777777" w:rsidR="00735F5E" w:rsidRPr="006F7AF8" w:rsidRDefault="00735F5E" w:rsidP="009B4355">
            <w:pPr>
              <w:rPr>
                <w:rFonts w:ascii="Aptos" w:hAnsi="Aptos"/>
                <w:lang w:val="fr-FR"/>
              </w:rPr>
            </w:pPr>
            <w:r>
              <w:t>Cible atteinte</w:t>
            </w:r>
          </w:p>
        </w:tc>
      </w:tr>
      <w:tr w:rsidR="00735F5E" w:rsidRPr="006F7AF8" w14:paraId="24CDF25C" w14:textId="77777777" w:rsidTr="009B4355">
        <w:tc>
          <w:tcPr>
            <w:tcW w:w="0" w:type="auto"/>
          </w:tcPr>
          <w:p w14:paraId="1B6A90A4" w14:textId="77777777" w:rsidR="00735F5E" w:rsidRPr="006F7AF8" w:rsidRDefault="00735F5E" w:rsidP="009B4355">
            <w:pPr>
              <w:rPr>
                <w:rFonts w:ascii="Aptos" w:hAnsi="Aptos"/>
                <w:lang w:val="fr-FR"/>
              </w:rPr>
            </w:pPr>
            <w:r w:rsidRPr="006F7AF8">
              <w:rPr>
                <w:rFonts w:ascii="Aptos" w:hAnsi="Aptos"/>
                <w:lang w:val="fr-FR"/>
              </w:rPr>
              <w:t>On track to achieve target</w:t>
            </w:r>
          </w:p>
        </w:tc>
        <w:tc>
          <w:tcPr>
            <w:tcW w:w="0" w:type="auto"/>
          </w:tcPr>
          <w:p w14:paraId="623BA24B" w14:textId="77777777" w:rsidR="00735F5E" w:rsidRPr="006F7AF8" w:rsidRDefault="00735F5E" w:rsidP="009B4355">
            <w:pPr>
              <w:rPr>
                <w:rFonts w:ascii="Aptos" w:hAnsi="Aptos"/>
                <w:lang w:val="fr-FR"/>
              </w:rPr>
            </w:pPr>
            <w:r>
              <w:t>En voie d’atteindre la cible</w:t>
            </w:r>
          </w:p>
        </w:tc>
      </w:tr>
      <w:tr w:rsidR="00735F5E" w:rsidRPr="006F7AF8" w14:paraId="67BF747A" w14:textId="77777777" w:rsidTr="009B4355">
        <w:tc>
          <w:tcPr>
            <w:tcW w:w="0" w:type="auto"/>
          </w:tcPr>
          <w:p w14:paraId="0BD78878" w14:textId="77777777" w:rsidR="00735F5E" w:rsidRPr="006F7AF8" w:rsidRDefault="00735F5E" w:rsidP="009B4355">
            <w:pPr>
              <w:rPr>
                <w:rFonts w:ascii="Aptos" w:hAnsi="Aptos"/>
                <w:lang w:val="fr-FR"/>
              </w:rPr>
            </w:pPr>
            <w:r w:rsidRPr="006F7AF8">
              <w:rPr>
                <w:rFonts w:ascii="Aptos" w:hAnsi="Aptos"/>
                <w:lang w:val="fr-FR"/>
              </w:rPr>
              <w:t>Progress towards target but at an insufficient rate</w:t>
            </w:r>
          </w:p>
        </w:tc>
        <w:tc>
          <w:tcPr>
            <w:tcW w:w="0" w:type="auto"/>
          </w:tcPr>
          <w:p w14:paraId="669B1D49" w14:textId="77777777" w:rsidR="00735F5E" w:rsidRPr="006F7AF8" w:rsidRDefault="00735F5E" w:rsidP="009B4355">
            <w:pPr>
              <w:rPr>
                <w:rFonts w:ascii="Aptos" w:hAnsi="Aptos"/>
                <w:lang w:val="fr-FR"/>
              </w:rPr>
            </w:pPr>
            <w:r>
              <w:t>Progrès accomplis, mais à un rythme insuffisant</w:t>
            </w:r>
          </w:p>
        </w:tc>
      </w:tr>
      <w:tr w:rsidR="00735F5E" w:rsidRPr="006F7AF8" w14:paraId="0CA03606" w14:textId="77777777" w:rsidTr="009B4355">
        <w:tc>
          <w:tcPr>
            <w:tcW w:w="0" w:type="auto"/>
          </w:tcPr>
          <w:p w14:paraId="36E448EF" w14:textId="77777777" w:rsidR="00735F5E" w:rsidRPr="006F7AF8" w:rsidRDefault="00735F5E" w:rsidP="009B4355">
            <w:pPr>
              <w:rPr>
                <w:rFonts w:ascii="Aptos" w:hAnsi="Aptos"/>
                <w:lang w:val="fr-FR"/>
              </w:rPr>
            </w:pPr>
            <w:r w:rsidRPr="006F7AF8">
              <w:rPr>
                <w:rFonts w:ascii="Aptos" w:hAnsi="Aptos"/>
                <w:lang w:val="fr-FR"/>
              </w:rPr>
              <w:t>No significant change</w:t>
            </w:r>
          </w:p>
        </w:tc>
        <w:tc>
          <w:tcPr>
            <w:tcW w:w="0" w:type="auto"/>
          </w:tcPr>
          <w:p w14:paraId="6ECEBFC7" w14:textId="77777777" w:rsidR="00735F5E" w:rsidRPr="006F7AF8" w:rsidRDefault="00735F5E" w:rsidP="009B4355">
            <w:pPr>
              <w:rPr>
                <w:rFonts w:ascii="Aptos" w:hAnsi="Aptos"/>
                <w:lang w:val="fr-FR"/>
              </w:rPr>
            </w:pPr>
            <w:r>
              <w:t>Pas de changement notable</w:t>
            </w:r>
          </w:p>
        </w:tc>
      </w:tr>
      <w:tr w:rsidR="00735F5E" w:rsidRPr="006F7AF8" w14:paraId="3E69846E" w14:textId="77777777" w:rsidTr="009B4355">
        <w:tc>
          <w:tcPr>
            <w:tcW w:w="0" w:type="auto"/>
          </w:tcPr>
          <w:p w14:paraId="79453A0D" w14:textId="77777777" w:rsidR="00735F5E" w:rsidRPr="006F7AF8" w:rsidRDefault="00735F5E" w:rsidP="009B4355">
            <w:pPr>
              <w:rPr>
                <w:rFonts w:ascii="Aptos" w:hAnsi="Aptos"/>
                <w:lang w:val="fr-FR"/>
              </w:rPr>
            </w:pPr>
            <w:r w:rsidRPr="006F7AF8">
              <w:rPr>
                <w:rFonts w:ascii="Aptos" w:hAnsi="Aptos"/>
                <w:lang w:val="fr-FR"/>
              </w:rPr>
              <w:t>Unknown</w:t>
            </w:r>
          </w:p>
        </w:tc>
        <w:tc>
          <w:tcPr>
            <w:tcW w:w="0" w:type="auto"/>
          </w:tcPr>
          <w:p w14:paraId="6FD0F590" w14:textId="77777777" w:rsidR="00735F5E" w:rsidRPr="006F7AF8" w:rsidRDefault="00735F5E" w:rsidP="009B4355">
            <w:pPr>
              <w:rPr>
                <w:rFonts w:ascii="Aptos" w:hAnsi="Aptos"/>
                <w:lang w:val="fr-FR"/>
              </w:rPr>
            </w:pPr>
            <w:r w:rsidRPr="006F7AF8">
              <w:rPr>
                <w:rFonts w:ascii="Aptos" w:hAnsi="Aptos"/>
                <w:lang w:val="fr-FR"/>
              </w:rPr>
              <w:t>Inconnu</w:t>
            </w:r>
          </w:p>
        </w:tc>
      </w:tr>
      <w:tr w:rsidR="00735F5E" w:rsidRPr="006F7AF8" w14:paraId="752742FC" w14:textId="77777777" w:rsidTr="009B4355">
        <w:tc>
          <w:tcPr>
            <w:tcW w:w="0" w:type="auto"/>
          </w:tcPr>
          <w:p w14:paraId="710A582F" w14:textId="77777777" w:rsidR="00735F5E" w:rsidRPr="006F7AF8" w:rsidRDefault="00735F5E" w:rsidP="009B4355">
            <w:pPr>
              <w:rPr>
                <w:rFonts w:ascii="Aptos" w:hAnsi="Aptos"/>
                <w:lang w:val="fr-FR"/>
              </w:rPr>
            </w:pPr>
            <w:r w:rsidRPr="006F7AF8">
              <w:rPr>
                <w:rFonts w:ascii="Aptos" w:hAnsi="Aptos"/>
                <w:lang w:val="fr-FR"/>
              </w:rPr>
              <w:t>Party count: 95</w:t>
            </w:r>
          </w:p>
        </w:tc>
        <w:tc>
          <w:tcPr>
            <w:tcW w:w="0" w:type="auto"/>
          </w:tcPr>
          <w:p w14:paraId="34E5F651" w14:textId="77777777" w:rsidR="00735F5E" w:rsidRPr="006F7AF8" w:rsidRDefault="00735F5E" w:rsidP="009B4355">
            <w:pPr>
              <w:rPr>
                <w:rFonts w:ascii="Aptos" w:hAnsi="Aptos"/>
                <w:lang w:val="fr-FR"/>
              </w:rPr>
            </w:pPr>
            <w:r w:rsidRPr="006F7AF8">
              <w:rPr>
                <w:rFonts w:ascii="Aptos" w:hAnsi="Aptos"/>
                <w:lang w:val="fr-FR"/>
              </w:rPr>
              <w:t>Nombre de Parties : 95</w:t>
            </w:r>
          </w:p>
        </w:tc>
      </w:tr>
      <w:tr w:rsidR="00735F5E" w:rsidRPr="006F7AF8" w14:paraId="1BBB620D" w14:textId="77777777" w:rsidTr="009B4355">
        <w:tc>
          <w:tcPr>
            <w:tcW w:w="0" w:type="auto"/>
          </w:tcPr>
          <w:p w14:paraId="7E41BB46" w14:textId="77777777" w:rsidR="00735F5E" w:rsidRPr="006F7AF8" w:rsidRDefault="00735F5E" w:rsidP="009B4355">
            <w:pPr>
              <w:rPr>
                <w:rFonts w:ascii="Aptos" w:hAnsi="Aptos"/>
                <w:lang w:val="fr-FR"/>
              </w:rPr>
            </w:pPr>
            <w:r w:rsidRPr="006F7AF8">
              <w:rPr>
                <w:rFonts w:ascii="Aptos" w:hAnsi="Aptos"/>
                <w:lang w:val="fr-FR"/>
              </w:rPr>
              <w:t>Region</w:t>
            </w:r>
          </w:p>
        </w:tc>
        <w:tc>
          <w:tcPr>
            <w:tcW w:w="0" w:type="auto"/>
          </w:tcPr>
          <w:p w14:paraId="3ABA64D7"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7B70FEDB" w14:textId="77777777" w:rsidTr="009B4355">
        <w:tc>
          <w:tcPr>
            <w:tcW w:w="0" w:type="auto"/>
          </w:tcPr>
          <w:p w14:paraId="7EAD4D4F" w14:textId="77777777" w:rsidR="00735F5E" w:rsidRPr="006F7AF8" w:rsidRDefault="00735F5E" w:rsidP="009B4355">
            <w:pPr>
              <w:rPr>
                <w:rFonts w:ascii="Aptos" w:hAnsi="Aptos"/>
                <w:lang w:val="fr-FR"/>
              </w:rPr>
            </w:pPr>
            <w:r w:rsidRPr="006F7AF8">
              <w:rPr>
                <w:rFonts w:ascii="Aptos" w:hAnsi="Aptos"/>
                <w:lang w:val="fr-FR"/>
              </w:rPr>
              <w:t>African States</w:t>
            </w:r>
          </w:p>
        </w:tc>
        <w:tc>
          <w:tcPr>
            <w:tcW w:w="0" w:type="auto"/>
          </w:tcPr>
          <w:p w14:paraId="597BBF91"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75C3E50C" w14:textId="77777777" w:rsidTr="009B4355">
        <w:tc>
          <w:tcPr>
            <w:tcW w:w="0" w:type="auto"/>
          </w:tcPr>
          <w:p w14:paraId="38EE07F4"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0" w:type="auto"/>
          </w:tcPr>
          <w:p w14:paraId="1EB3E0CD"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687EE337" w14:textId="77777777" w:rsidTr="009B4355">
        <w:tc>
          <w:tcPr>
            <w:tcW w:w="0" w:type="auto"/>
          </w:tcPr>
          <w:p w14:paraId="7736EF9F"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0" w:type="auto"/>
          </w:tcPr>
          <w:p w14:paraId="1193A71E"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74FAFE4A" w14:textId="77777777" w:rsidTr="009B4355">
        <w:tc>
          <w:tcPr>
            <w:tcW w:w="0" w:type="auto"/>
          </w:tcPr>
          <w:p w14:paraId="66DFB375"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0" w:type="auto"/>
          </w:tcPr>
          <w:p w14:paraId="2EF480B9"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774A1289" w14:textId="77777777" w:rsidTr="009B4355">
        <w:tc>
          <w:tcPr>
            <w:tcW w:w="0" w:type="auto"/>
          </w:tcPr>
          <w:p w14:paraId="5BFA48DA"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0" w:type="auto"/>
          </w:tcPr>
          <w:p w14:paraId="2BC9C9A9"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5259513A" w14:textId="77777777" w:rsidR="00B87039" w:rsidRPr="00653BF4" w:rsidRDefault="00B87039" w:rsidP="00B87039">
      <w:pPr>
        <w:pStyle w:val="Caption"/>
        <w:rPr>
          <w:lang w:val="fr-FR"/>
        </w:rPr>
      </w:pPr>
    </w:p>
    <w:p w14:paraId="478E0D57" w14:textId="77777777" w:rsidR="00B87039" w:rsidRPr="00653BF4" w:rsidRDefault="00B87039" w:rsidP="00B87039">
      <w:pPr>
        <w:pStyle w:val="Heading5"/>
        <w:rPr>
          <w:lang w:val="fr-FR"/>
        </w:rPr>
      </w:pPr>
      <w:r w:rsidRPr="00653BF4">
        <w:rPr>
          <w:lang w:val="fr-FR"/>
        </w:rPr>
        <w:t>Actions, réussites et difficultés</w:t>
      </w:r>
      <w:bookmarkEnd w:id="240"/>
      <w:r w:rsidRPr="00653BF4">
        <w:rPr>
          <w:lang w:val="fr-FR"/>
        </w:rPr>
        <w:t xml:space="preserve"> dans la mise en œuvre</w:t>
      </w:r>
    </w:p>
    <w:p w14:paraId="2FA29255" w14:textId="77777777" w:rsidR="00B87039" w:rsidRPr="00653BF4" w:rsidRDefault="00B87039" w:rsidP="00B87039">
      <w:pPr>
        <w:pStyle w:val="Heading6"/>
        <w:rPr>
          <w:lang w:val="fr-FR"/>
        </w:rPr>
      </w:pPr>
      <w:bookmarkStart w:id="241" w:name="_Toc235821199"/>
    </w:p>
    <w:p w14:paraId="0AD4848C" w14:textId="5E1D90B8" w:rsidR="00B87039" w:rsidRPr="00653BF4" w:rsidRDefault="00B87039" w:rsidP="00B87039">
      <w:pPr>
        <w:pStyle w:val="Heading6"/>
        <w:rPr>
          <w:lang w:val="fr-FR"/>
        </w:rPr>
      </w:pPr>
      <w:r w:rsidRPr="00653BF4">
        <w:rPr>
          <w:lang w:val="fr-FR"/>
        </w:rPr>
        <w:t>Résumé des actions menées à l</w:t>
      </w:r>
      <w:r w:rsidR="00D77549">
        <w:rPr>
          <w:lang w:val="fr-FR"/>
        </w:rPr>
        <w:t>’</w:t>
      </w:r>
      <w:r w:rsidRPr="00653BF4">
        <w:rPr>
          <w:lang w:val="fr-FR"/>
        </w:rPr>
        <w:t xml:space="preserve">appui de la </w:t>
      </w:r>
      <w:r w:rsidR="00E34DC9">
        <w:rPr>
          <w:lang w:val="fr-FR"/>
        </w:rPr>
        <w:t>cible 1</w:t>
      </w:r>
      <w:r w:rsidRPr="00653BF4">
        <w:rPr>
          <w:lang w:val="fr-FR"/>
        </w:rPr>
        <w:t>2</w:t>
      </w:r>
      <w:bookmarkEnd w:id="241"/>
      <w:r w:rsidRPr="00653BF4">
        <w:rPr>
          <w:lang w:val="fr-FR"/>
        </w:rPr>
        <w:t xml:space="preserve"> du Cadre</w:t>
      </w:r>
    </w:p>
    <w:p w14:paraId="15EDB525" w14:textId="77777777" w:rsidR="00B87039" w:rsidRPr="00653BF4" w:rsidRDefault="00B87039" w:rsidP="00B87039">
      <w:pPr>
        <w:rPr>
          <w:lang w:val="fr-FR"/>
        </w:rPr>
      </w:pPr>
    </w:p>
    <w:p w14:paraId="5B4B0E74" w14:textId="0656CC99" w:rsidR="00B87039" w:rsidRPr="00653BF4" w:rsidRDefault="00B87039" w:rsidP="00B87039">
      <w:pPr>
        <w:rPr>
          <w:lang w:val="fr-FR"/>
        </w:rPr>
      </w:pPr>
      <w:r w:rsidRPr="00653BF4">
        <w:rPr>
          <w:lang w:val="fr-FR"/>
        </w:rPr>
        <w:t>Le type d</w:t>
      </w:r>
      <w:r w:rsidR="00D77549">
        <w:rPr>
          <w:lang w:val="fr-FR"/>
        </w:rPr>
        <w:t>’</w:t>
      </w:r>
      <w:r w:rsidRPr="00653BF4">
        <w:rPr>
          <w:lang w:val="fr-FR"/>
        </w:rPr>
        <w:t>action le plus souvent signalé par les Parties concerne l</w:t>
      </w:r>
      <w:r w:rsidR="00D77549">
        <w:rPr>
          <w:lang w:val="fr-FR"/>
        </w:rPr>
        <w:t>’</w:t>
      </w:r>
      <w:r w:rsidRPr="00653BF4">
        <w:rPr>
          <w:lang w:val="fr-FR"/>
        </w:rPr>
        <w:t>intervention directe visant à encourager l</w:t>
      </w:r>
      <w:r w:rsidR="00D77549">
        <w:rPr>
          <w:lang w:val="fr-FR"/>
        </w:rPr>
        <w:t>’</w:t>
      </w:r>
      <w:r w:rsidRPr="00653BF4">
        <w:rPr>
          <w:lang w:val="fr-FR"/>
        </w:rPr>
        <w:t>aménagement des espaces verts et la restauration des habitats. Ces actions vont de la plantation d</w:t>
      </w:r>
      <w:r w:rsidR="00D77549">
        <w:rPr>
          <w:lang w:val="fr-FR"/>
        </w:rPr>
        <w:t>’</w:t>
      </w:r>
      <w:r w:rsidRPr="00653BF4">
        <w:rPr>
          <w:lang w:val="fr-FR"/>
        </w:rPr>
        <w:t>arbres, assortie d</w:t>
      </w:r>
      <w:r w:rsidR="00D77549">
        <w:rPr>
          <w:lang w:val="fr-FR"/>
        </w:rPr>
        <w:t>’</w:t>
      </w:r>
      <w:r w:rsidRPr="00653BF4">
        <w:rPr>
          <w:lang w:val="fr-FR"/>
        </w:rPr>
        <w:t>objectifs chiffrés, à la création de parcs, en passant par la restauration des zones humides, la stabilisation des berges et la mise en place de corridors écologiques en milieu urbain (voir l</w:t>
      </w:r>
      <w:r w:rsidR="00D77549">
        <w:rPr>
          <w:lang w:val="fr-FR"/>
        </w:rPr>
        <w:t>’</w:t>
      </w:r>
      <w:r w:rsidRPr="00653BF4">
        <w:rPr>
          <w:lang w:val="fr-FR"/>
        </w:rPr>
        <w:t>encadré 34). De nombreuses Parties font également état d</w:t>
      </w:r>
      <w:r w:rsidR="00D77549">
        <w:rPr>
          <w:lang w:val="fr-FR"/>
        </w:rPr>
        <w:t>’</w:t>
      </w:r>
      <w:r w:rsidRPr="00653BF4">
        <w:rPr>
          <w:lang w:val="fr-FR"/>
        </w:rPr>
        <w:t>actions spécifiques visant à valoriser les espaces bleus en milieu urbain, notamment des mesures visant à réduire la pollution des lacs et des rivières et à réhabiliter les cours d</w:t>
      </w:r>
      <w:r w:rsidR="00D77549">
        <w:rPr>
          <w:lang w:val="fr-FR"/>
        </w:rPr>
        <w:t>’</w:t>
      </w:r>
      <w:r w:rsidRPr="00653BF4">
        <w:rPr>
          <w:lang w:val="fr-FR"/>
        </w:rPr>
        <w:t>eau urbains. Plusieurs Parties font état de mesures visant à créer ou à planifier des corridors écologiques reliant les espaces verts urbains. De nombreuses Parties ont fixé des quotas réglementaires pour les espaces verts et bleus accessibles aux populations urbaines, ainsi que d’autres exigences en matière de biodiversité, en les intégrant dans leurs instruments d’aménagement du territoire. L</w:t>
      </w:r>
      <w:r w:rsidR="00D77549">
        <w:rPr>
          <w:lang w:val="fr-FR"/>
        </w:rPr>
        <w:t>’</w:t>
      </w:r>
      <w:r w:rsidRPr="00653BF4">
        <w:rPr>
          <w:lang w:val="fr-FR"/>
        </w:rPr>
        <w:t>éducation à l</w:t>
      </w:r>
      <w:r w:rsidR="00D77549">
        <w:rPr>
          <w:lang w:val="fr-FR"/>
        </w:rPr>
        <w:t>’</w:t>
      </w:r>
      <w:r w:rsidRPr="00653BF4">
        <w:rPr>
          <w:lang w:val="fr-FR"/>
        </w:rPr>
        <w:t>environnement, la science citoyenne, l</w:t>
      </w:r>
      <w:r w:rsidR="00D77549">
        <w:rPr>
          <w:lang w:val="fr-FR"/>
        </w:rPr>
        <w:t>’</w:t>
      </w:r>
      <w:r w:rsidRPr="00653BF4">
        <w:rPr>
          <w:lang w:val="fr-FR"/>
        </w:rPr>
        <w:t xml:space="preserve">engagement communautaire et les campagnes de sensibilisation du public sont largement reconnus comme contribuant à la mise en œuvre de la </w:t>
      </w:r>
      <w:r w:rsidR="00E34DC9">
        <w:rPr>
          <w:lang w:val="fr-FR"/>
        </w:rPr>
        <w:t>cible 1</w:t>
      </w:r>
      <w:r w:rsidRPr="00653BF4">
        <w:rPr>
          <w:lang w:val="fr-FR"/>
        </w:rPr>
        <w:t>2</w:t>
      </w:r>
      <w:r w:rsidR="00E34DC9">
        <w:rPr>
          <w:lang w:val="fr-FR"/>
        </w:rPr>
        <w:t> ;</w:t>
      </w:r>
      <w:r w:rsidRPr="00653BF4">
        <w:rPr>
          <w:lang w:val="fr-FR"/>
        </w:rPr>
        <w:t xml:space="preserve"> toutefois, ces actions ne sont pas suffisamment prises en compte dans les cibles nationales et les indicateurs quantitatifs présentés.</w:t>
      </w:r>
    </w:p>
    <w:p w14:paraId="697652F4" w14:textId="77777777" w:rsidR="00B87039" w:rsidRPr="00653BF4" w:rsidRDefault="00B87039" w:rsidP="00B87039">
      <w:pPr>
        <w:rPr>
          <w:lang w:val="fr-FR"/>
        </w:rPr>
      </w:pPr>
    </w:p>
    <w:p w14:paraId="7B593A2C" w14:textId="2CD5B528" w:rsidR="00B87039" w:rsidRPr="00653BF4" w:rsidRDefault="00B87039" w:rsidP="00B87039">
      <w:pPr>
        <w:pStyle w:val="Heading6"/>
        <w:rPr>
          <w:lang w:val="fr-FR"/>
        </w:rPr>
      </w:pPr>
      <w:bookmarkStart w:id="242" w:name="_Toc235821200"/>
      <w:r w:rsidRPr="00653BF4">
        <w:rPr>
          <w:lang w:val="fr-FR"/>
        </w:rPr>
        <w:lastRenderedPageBreak/>
        <w:t>Exemples de réussites et de progrès réalisés dans la mise en œuvre</w:t>
      </w:r>
      <w:bookmarkEnd w:id="242"/>
    </w:p>
    <w:p w14:paraId="29199A87" w14:textId="77777777" w:rsidR="00B87039" w:rsidRPr="00653BF4" w:rsidRDefault="00B87039" w:rsidP="00B87039">
      <w:pPr>
        <w:rPr>
          <w:lang w:val="fr-FR"/>
        </w:rPr>
      </w:pPr>
    </w:p>
    <w:p w14:paraId="564A004A" w14:textId="77777777" w:rsidR="00B87039" w:rsidRPr="00653BF4" w:rsidRDefault="00B87039" w:rsidP="00B87039">
      <w:pPr>
        <w:pStyle w:val="Caption"/>
        <w:rPr>
          <w:lang w:val="fr-FR"/>
        </w:rPr>
      </w:pPr>
    </w:p>
    <w:tbl>
      <w:tblPr>
        <w:tblStyle w:val="TableGrid"/>
        <w:tblW w:w="0" w:type="auto"/>
        <w:tblLook w:val="04A0" w:firstRow="1" w:lastRow="0" w:firstColumn="1" w:lastColumn="0" w:noHBand="0" w:noVBand="1"/>
      </w:tblPr>
      <w:tblGrid>
        <w:gridCol w:w="9016"/>
      </w:tblGrid>
      <w:tr w:rsidR="00B87039" w:rsidRPr="00543148" w14:paraId="3BDB8F37" w14:textId="77777777" w:rsidTr="00557FB3">
        <w:tc>
          <w:tcPr>
            <w:tcW w:w="9016" w:type="dxa"/>
            <w:shd w:val="clear" w:color="auto" w:fill="D1D1D1" w:themeFill="background2" w:themeFillShade="E6"/>
          </w:tcPr>
          <w:p w14:paraId="6FF9E927" w14:textId="77777777" w:rsidR="00B87039" w:rsidRPr="00653BF4" w:rsidRDefault="00B87039" w:rsidP="00557FB3">
            <w:pPr>
              <w:rPr>
                <w:sz w:val="20"/>
                <w:szCs w:val="20"/>
                <w:lang w:val="fr-FR"/>
              </w:rPr>
            </w:pPr>
            <w:r w:rsidRPr="00653BF4">
              <w:rPr>
                <w:sz w:val="20"/>
                <w:szCs w:val="20"/>
                <w:lang w:val="fr-FR"/>
              </w:rPr>
              <w:t>Encadré 34</w:t>
            </w:r>
          </w:p>
          <w:p w14:paraId="617267F0" w14:textId="77777777" w:rsidR="00B87039" w:rsidRPr="00653BF4" w:rsidRDefault="00B87039" w:rsidP="00557FB3">
            <w:pPr>
              <w:rPr>
                <w:b/>
                <w:bCs/>
                <w:sz w:val="20"/>
                <w:szCs w:val="20"/>
                <w:lang w:val="fr-FR"/>
              </w:rPr>
            </w:pPr>
          </w:p>
          <w:p w14:paraId="7D0A5C3E" w14:textId="3C506B36" w:rsidR="00B87039" w:rsidRPr="00653BF4" w:rsidRDefault="00B87039" w:rsidP="00557FB3">
            <w:pPr>
              <w:rPr>
                <w:b/>
                <w:bCs/>
                <w:sz w:val="20"/>
                <w:szCs w:val="20"/>
                <w:lang w:val="fr-FR"/>
              </w:rPr>
            </w:pPr>
            <w:r w:rsidRPr="00653BF4">
              <w:rPr>
                <w:b/>
                <w:bCs/>
                <w:sz w:val="20"/>
                <w:szCs w:val="20"/>
                <w:lang w:val="fr-FR"/>
              </w:rPr>
              <w:t>Une gouvernance à plusieurs niveaux en matière d</w:t>
            </w:r>
            <w:r w:rsidR="00D77549">
              <w:rPr>
                <w:b/>
                <w:bCs/>
                <w:sz w:val="20"/>
                <w:szCs w:val="20"/>
                <w:lang w:val="fr-FR"/>
              </w:rPr>
              <w:t>’</w:t>
            </w:r>
            <w:r w:rsidRPr="00653BF4">
              <w:rPr>
                <w:b/>
                <w:bCs/>
                <w:sz w:val="20"/>
                <w:szCs w:val="20"/>
                <w:lang w:val="fr-FR"/>
              </w:rPr>
              <w:t>aménagement d</w:t>
            </w:r>
            <w:r w:rsidR="00D77549">
              <w:rPr>
                <w:b/>
                <w:bCs/>
                <w:sz w:val="20"/>
                <w:szCs w:val="20"/>
                <w:lang w:val="fr-FR"/>
              </w:rPr>
              <w:t>’</w:t>
            </w:r>
            <w:r w:rsidRPr="00653BF4">
              <w:rPr>
                <w:b/>
                <w:bCs/>
                <w:sz w:val="20"/>
                <w:szCs w:val="20"/>
                <w:lang w:val="fr-FR"/>
              </w:rPr>
              <w:t>espaces verts, combinant des instruments juridiques, financiers et communautaires en Belgique</w:t>
            </w:r>
          </w:p>
          <w:p w14:paraId="1181B29C" w14:textId="77777777" w:rsidR="00B87039" w:rsidRPr="00653BF4" w:rsidRDefault="00B87039" w:rsidP="00557FB3">
            <w:pPr>
              <w:rPr>
                <w:lang w:val="fr-FR"/>
              </w:rPr>
            </w:pPr>
          </w:p>
          <w:p w14:paraId="37ADB65B" w14:textId="02B5BC5F" w:rsidR="00B87039" w:rsidRPr="00653BF4" w:rsidRDefault="00B87039" w:rsidP="00557FB3">
            <w:pPr>
              <w:rPr>
                <w:sz w:val="20"/>
                <w:szCs w:val="20"/>
                <w:lang w:val="fr-FR"/>
              </w:rPr>
            </w:pPr>
            <w:r w:rsidRPr="00653BF4">
              <w:rPr>
                <w:sz w:val="20"/>
                <w:szCs w:val="20"/>
                <w:lang w:val="fr-FR"/>
              </w:rPr>
              <w:t>La Belgique est confrontée à d</w:t>
            </w:r>
            <w:r w:rsidR="00D77549">
              <w:rPr>
                <w:sz w:val="20"/>
                <w:szCs w:val="20"/>
                <w:lang w:val="fr-FR"/>
              </w:rPr>
              <w:t>’</w:t>
            </w:r>
            <w:r w:rsidRPr="00653BF4">
              <w:rPr>
                <w:sz w:val="20"/>
                <w:szCs w:val="20"/>
                <w:lang w:val="fr-FR"/>
              </w:rPr>
              <w:t>importants défis dans le cadre de la préservation des contributions de la nature aux populations dans les zones urbaines densément peuplées, en raison d</w:t>
            </w:r>
            <w:r w:rsidR="00D77549">
              <w:rPr>
                <w:sz w:val="20"/>
                <w:szCs w:val="20"/>
                <w:lang w:val="fr-FR"/>
              </w:rPr>
              <w:t>’</w:t>
            </w:r>
            <w:r w:rsidRPr="00653BF4">
              <w:rPr>
                <w:sz w:val="20"/>
                <w:szCs w:val="20"/>
                <w:lang w:val="fr-FR"/>
              </w:rPr>
              <w:t>une grave pénurie d</w:t>
            </w:r>
            <w:r w:rsidR="00D77549">
              <w:rPr>
                <w:sz w:val="20"/>
                <w:szCs w:val="20"/>
                <w:lang w:val="fr-FR"/>
              </w:rPr>
              <w:t>’</w:t>
            </w:r>
            <w:r w:rsidRPr="00653BF4">
              <w:rPr>
                <w:sz w:val="20"/>
                <w:szCs w:val="20"/>
                <w:lang w:val="fr-FR"/>
              </w:rPr>
              <w:t>espaces verts et bleus accessibles, de l</w:t>
            </w:r>
            <w:r w:rsidR="00D77549">
              <w:rPr>
                <w:sz w:val="20"/>
                <w:szCs w:val="20"/>
                <w:lang w:val="fr-FR"/>
              </w:rPr>
              <w:t>’</w:t>
            </w:r>
            <w:r w:rsidRPr="00653BF4">
              <w:rPr>
                <w:sz w:val="20"/>
                <w:szCs w:val="20"/>
                <w:lang w:val="fr-FR"/>
              </w:rPr>
              <w:t>imperméabilisation généralisée des sols, de la fragmentation des habitats écologiques et de l</w:t>
            </w:r>
            <w:r w:rsidR="00D77549">
              <w:rPr>
                <w:sz w:val="20"/>
                <w:szCs w:val="20"/>
                <w:lang w:val="fr-FR"/>
              </w:rPr>
              <w:t>’</w:t>
            </w:r>
            <w:r w:rsidRPr="00653BF4">
              <w:rPr>
                <w:sz w:val="20"/>
                <w:szCs w:val="20"/>
                <w:lang w:val="fr-FR"/>
              </w:rPr>
              <w:t>utilisation excessive de pesticides dans les espaces publics. De nombreux habitants ne disposent ni de jardin privé ni d</w:t>
            </w:r>
            <w:r w:rsidR="00D77549">
              <w:rPr>
                <w:sz w:val="20"/>
                <w:szCs w:val="20"/>
                <w:lang w:val="fr-FR"/>
              </w:rPr>
              <w:t>’</w:t>
            </w:r>
            <w:r w:rsidRPr="00653BF4">
              <w:rPr>
                <w:sz w:val="20"/>
                <w:szCs w:val="20"/>
                <w:lang w:val="fr-FR"/>
              </w:rPr>
              <w:t>espaces verts publics à proximité, et la répartition de ces espaces est inégale d</w:t>
            </w:r>
            <w:r w:rsidR="00D77549">
              <w:rPr>
                <w:sz w:val="20"/>
                <w:szCs w:val="20"/>
                <w:lang w:val="fr-FR"/>
              </w:rPr>
              <w:t>’</w:t>
            </w:r>
            <w:r w:rsidRPr="00653BF4">
              <w:rPr>
                <w:sz w:val="20"/>
                <w:szCs w:val="20"/>
                <w:lang w:val="fr-FR"/>
              </w:rPr>
              <w:t>un quartier à l</w:t>
            </w:r>
            <w:r w:rsidR="00D77549">
              <w:rPr>
                <w:sz w:val="20"/>
                <w:szCs w:val="20"/>
                <w:lang w:val="fr-FR"/>
              </w:rPr>
              <w:t>’</w:t>
            </w:r>
            <w:r w:rsidRPr="00653BF4">
              <w:rPr>
                <w:sz w:val="20"/>
                <w:szCs w:val="20"/>
                <w:lang w:val="fr-FR"/>
              </w:rPr>
              <w:t>autre.</w:t>
            </w:r>
          </w:p>
          <w:p w14:paraId="1E3996EE" w14:textId="77777777" w:rsidR="00B87039" w:rsidRPr="00653BF4" w:rsidRDefault="00B87039" w:rsidP="00557FB3">
            <w:pPr>
              <w:rPr>
                <w:sz w:val="20"/>
                <w:szCs w:val="20"/>
                <w:lang w:val="fr-FR"/>
              </w:rPr>
            </w:pPr>
          </w:p>
          <w:p w14:paraId="225FE215" w14:textId="64F16DF6" w:rsidR="00B87039" w:rsidRPr="00653BF4" w:rsidRDefault="00B87039" w:rsidP="00557FB3">
            <w:pPr>
              <w:rPr>
                <w:sz w:val="20"/>
                <w:szCs w:val="20"/>
                <w:lang w:val="fr-FR"/>
              </w:rPr>
            </w:pPr>
            <w:r w:rsidRPr="00653BF4">
              <w:rPr>
                <w:sz w:val="20"/>
                <w:szCs w:val="20"/>
                <w:lang w:val="fr-FR"/>
              </w:rPr>
              <w:t>Afin de restaurer, de préserver et de renforcer les contributions de la nature aux populations, la Belgique a mis en place un système de gouvernance à plusieurs niveaux en matière d</w:t>
            </w:r>
            <w:r w:rsidR="00D77549">
              <w:rPr>
                <w:sz w:val="20"/>
                <w:szCs w:val="20"/>
                <w:lang w:val="fr-FR"/>
              </w:rPr>
              <w:t>’</w:t>
            </w:r>
            <w:r w:rsidRPr="00653BF4">
              <w:rPr>
                <w:sz w:val="20"/>
                <w:szCs w:val="20"/>
                <w:lang w:val="fr-FR"/>
              </w:rPr>
              <w:t>aménagement d</w:t>
            </w:r>
            <w:r w:rsidR="00D77549">
              <w:rPr>
                <w:sz w:val="20"/>
                <w:szCs w:val="20"/>
                <w:lang w:val="fr-FR"/>
              </w:rPr>
              <w:t>’</w:t>
            </w:r>
            <w:r w:rsidRPr="00653BF4">
              <w:rPr>
                <w:sz w:val="20"/>
                <w:szCs w:val="20"/>
                <w:lang w:val="fr-FR"/>
              </w:rPr>
              <w:t>espaces verts dans la Région de Bruxelles-Capitale, la Région flamande et la Région wallonne. La cible nationale correspondante est présentée comme étant en bonne voie d</w:t>
            </w:r>
            <w:r w:rsidR="00D77549">
              <w:rPr>
                <w:sz w:val="20"/>
                <w:szCs w:val="20"/>
                <w:lang w:val="fr-FR"/>
              </w:rPr>
              <w:t>’</w:t>
            </w:r>
            <w:r w:rsidRPr="00653BF4">
              <w:rPr>
                <w:sz w:val="20"/>
                <w:szCs w:val="20"/>
                <w:lang w:val="fr-FR"/>
              </w:rPr>
              <w:t>être atteinte.</w:t>
            </w:r>
          </w:p>
          <w:p w14:paraId="53710D41" w14:textId="77777777" w:rsidR="00B87039" w:rsidRPr="00653BF4" w:rsidRDefault="00B87039" w:rsidP="00557FB3">
            <w:pPr>
              <w:rPr>
                <w:sz w:val="20"/>
                <w:szCs w:val="20"/>
                <w:lang w:val="fr-FR"/>
              </w:rPr>
            </w:pPr>
          </w:p>
          <w:p w14:paraId="33165759" w14:textId="519C3E4E" w:rsidR="00B87039" w:rsidRPr="00653BF4" w:rsidRDefault="00B87039" w:rsidP="00557FB3">
            <w:pPr>
              <w:rPr>
                <w:sz w:val="20"/>
                <w:szCs w:val="20"/>
                <w:lang w:val="fr-FR"/>
              </w:rPr>
            </w:pPr>
            <w:r w:rsidRPr="00653BF4">
              <w:rPr>
                <w:sz w:val="20"/>
                <w:szCs w:val="20"/>
                <w:lang w:val="fr-FR"/>
              </w:rPr>
              <w:t>Dans le cadre de cette initiative, la Belgique a restauré 88 kilomètres d</w:t>
            </w:r>
            <w:r w:rsidR="00D77549">
              <w:rPr>
                <w:sz w:val="20"/>
                <w:szCs w:val="20"/>
                <w:lang w:val="fr-FR"/>
              </w:rPr>
              <w:t>’</w:t>
            </w:r>
            <w:r w:rsidRPr="00653BF4">
              <w:rPr>
                <w:sz w:val="20"/>
                <w:szCs w:val="20"/>
                <w:lang w:val="fr-FR"/>
              </w:rPr>
              <w:t>infrastructures bleues et créé plus de 6 300 hectares de zones humides au titre du Blue Deal (Flandre). En 2021, la Wallonie a lancé le programme de subventions BiodiverCité, auquel 88</w:t>
            </w:r>
            <w:r w:rsidR="002878D7">
              <w:rPr>
                <w:sz w:val="20"/>
                <w:szCs w:val="20"/>
                <w:lang w:val="fr-FR"/>
              </w:rPr>
              <w:t> %</w:t>
            </w:r>
            <w:r w:rsidRPr="00653BF4">
              <w:rPr>
                <w:sz w:val="20"/>
                <w:szCs w:val="20"/>
                <w:lang w:val="fr-FR"/>
              </w:rPr>
              <w:t xml:space="preserve"> des communes ont participé. Le programme de fauchage tardif couvre plus de 16 200 kilomètres de routes et a été adopté par 89</w:t>
            </w:r>
            <w:r w:rsidR="002878D7">
              <w:rPr>
                <w:sz w:val="20"/>
                <w:szCs w:val="20"/>
                <w:lang w:val="fr-FR"/>
              </w:rPr>
              <w:t> %</w:t>
            </w:r>
            <w:r w:rsidRPr="00653BF4">
              <w:rPr>
                <w:sz w:val="20"/>
                <w:szCs w:val="20"/>
                <w:lang w:val="fr-FR"/>
              </w:rPr>
              <w:t xml:space="preserve"> des communes. L</w:t>
            </w:r>
            <w:r w:rsidR="00D77549">
              <w:rPr>
                <w:sz w:val="20"/>
                <w:szCs w:val="20"/>
                <w:lang w:val="fr-FR"/>
              </w:rPr>
              <w:t>’</w:t>
            </w:r>
            <w:r w:rsidRPr="00653BF4">
              <w:rPr>
                <w:sz w:val="20"/>
                <w:szCs w:val="20"/>
                <w:lang w:val="fr-FR"/>
              </w:rPr>
              <w:t>utilisation de pesticides dans les espaces publics a été supprimée dans toute la Wallonie, et un réseau de plus de 2 400 jardins naturels certifiés a été créé. Au cours des 20 dernières années, Bruxelles a ajouté environ 100 hectares d</w:t>
            </w:r>
            <w:r w:rsidR="00D77549">
              <w:rPr>
                <w:sz w:val="20"/>
                <w:szCs w:val="20"/>
                <w:lang w:val="fr-FR"/>
              </w:rPr>
              <w:t>’</w:t>
            </w:r>
            <w:r w:rsidRPr="00653BF4">
              <w:rPr>
                <w:sz w:val="20"/>
                <w:szCs w:val="20"/>
                <w:lang w:val="fr-FR"/>
              </w:rPr>
              <w:t>espaces verts gérés.</w:t>
            </w:r>
          </w:p>
          <w:p w14:paraId="7B21B7E9" w14:textId="77777777" w:rsidR="00B87039" w:rsidRPr="00653BF4" w:rsidRDefault="00B87039" w:rsidP="00557FB3">
            <w:pPr>
              <w:rPr>
                <w:sz w:val="20"/>
                <w:szCs w:val="20"/>
                <w:lang w:val="fr-FR"/>
              </w:rPr>
            </w:pPr>
          </w:p>
          <w:p w14:paraId="579969E4" w14:textId="54C6BCC2" w:rsidR="00B87039" w:rsidRPr="00653BF4" w:rsidRDefault="00B87039" w:rsidP="00557FB3">
            <w:pPr>
              <w:rPr>
                <w:sz w:val="20"/>
                <w:szCs w:val="20"/>
                <w:lang w:val="fr-FR"/>
              </w:rPr>
            </w:pPr>
            <w:r w:rsidRPr="00653BF4">
              <w:rPr>
                <w:sz w:val="20"/>
                <w:szCs w:val="20"/>
                <w:lang w:val="fr-FR"/>
              </w:rPr>
              <w:t>Parmi les principaux défis figurent la fragmentation de la gouvernance entre les niveaux fédéral et régional, ainsi que les lacunes en matière de collecte de données. Parmi les approches proposées pour la poursuite de la mise en œuvre figurent le renforcement des mécanismes de coordination et l</w:t>
            </w:r>
            <w:r w:rsidR="00D77549">
              <w:rPr>
                <w:sz w:val="20"/>
                <w:szCs w:val="20"/>
                <w:lang w:val="fr-FR"/>
              </w:rPr>
              <w:t>’</w:t>
            </w:r>
            <w:r w:rsidRPr="00653BF4">
              <w:rPr>
                <w:sz w:val="20"/>
                <w:szCs w:val="20"/>
                <w:lang w:val="fr-FR"/>
              </w:rPr>
              <w:t>intensification des efforts de restauration.</w:t>
            </w:r>
          </w:p>
          <w:p w14:paraId="33804099" w14:textId="77777777" w:rsidR="00B87039" w:rsidRPr="00653BF4" w:rsidRDefault="00B87039" w:rsidP="00557FB3">
            <w:pPr>
              <w:rPr>
                <w:sz w:val="20"/>
                <w:szCs w:val="20"/>
                <w:lang w:val="fr-FR"/>
              </w:rPr>
            </w:pPr>
          </w:p>
          <w:p w14:paraId="5A3AEF38" w14:textId="1FE32A0D" w:rsidR="00B87039" w:rsidRPr="00653BF4" w:rsidRDefault="00B87039" w:rsidP="00557FB3">
            <w:pPr>
              <w:rPr>
                <w:sz w:val="20"/>
                <w:szCs w:val="20"/>
                <w:lang w:val="fr-FR"/>
              </w:rPr>
            </w:pPr>
            <w:r w:rsidRPr="00653BF4">
              <w:rPr>
                <w:i/>
                <w:iCs/>
                <w:sz w:val="20"/>
                <w:szCs w:val="20"/>
                <w:lang w:val="fr-FR"/>
              </w:rPr>
              <w:t>Cibles concernées</w:t>
            </w:r>
            <w:r w:rsidR="00E34DC9">
              <w:rPr>
                <w:i/>
                <w:iCs/>
                <w:sz w:val="20"/>
                <w:szCs w:val="20"/>
                <w:lang w:val="fr-FR"/>
              </w:rPr>
              <w:t> :</w:t>
            </w:r>
            <w:r w:rsidRPr="00653BF4">
              <w:rPr>
                <w:i/>
                <w:iCs/>
                <w:sz w:val="20"/>
                <w:szCs w:val="20"/>
                <w:lang w:val="fr-FR"/>
              </w:rPr>
              <w:t xml:space="preserve"> </w:t>
            </w:r>
            <w:r w:rsidRPr="00653BF4">
              <w:rPr>
                <w:sz w:val="20"/>
                <w:szCs w:val="20"/>
                <w:lang w:val="fr-FR"/>
              </w:rPr>
              <w:t>1, 2, 7, 11, 12 et 14.</w:t>
            </w:r>
          </w:p>
          <w:p w14:paraId="21F815AE" w14:textId="3231F526" w:rsidR="00B87039" w:rsidRPr="00653BF4" w:rsidRDefault="00B87039" w:rsidP="00557FB3">
            <w:pPr>
              <w:rPr>
                <w:sz w:val="20"/>
                <w:szCs w:val="20"/>
                <w:lang w:val="fr-FR"/>
              </w:rPr>
            </w:pPr>
            <w:r w:rsidRPr="00653BF4">
              <w:rPr>
                <w:i/>
                <w:iCs/>
                <w:sz w:val="20"/>
                <w:szCs w:val="20"/>
                <w:lang w:val="fr-FR"/>
              </w:rPr>
              <w:t>Source</w:t>
            </w:r>
            <w:r w:rsidR="00E34DC9">
              <w:rPr>
                <w:i/>
                <w:iCs/>
                <w:sz w:val="20"/>
                <w:szCs w:val="20"/>
                <w:lang w:val="fr-FR"/>
              </w:rPr>
              <w:t> :</w:t>
            </w:r>
            <w:r w:rsidRPr="00653BF4">
              <w:rPr>
                <w:i/>
                <w:iCs/>
                <w:sz w:val="20"/>
                <w:szCs w:val="20"/>
                <w:lang w:val="fr-FR"/>
              </w:rPr>
              <w:t xml:space="preserve"> </w:t>
            </w:r>
            <w:r w:rsidRPr="00653BF4">
              <w:rPr>
                <w:sz w:val="20"/>
                <w:szCs w:val="20"/>
                <w:lang w:val="fr-FR"/>
              </w:rPr>
              <w:t>Belgique, septième rapport national présenté au titre de la Convention.</w:t>
            </w:r>
          </w:p>
          <w:p w14:paraId="456481FD" w14:textId="77777777" w:rsidR="00B87039" w:rsidRPr="00653BF4" w:rsidRDefault="00B87039" w:rsidP="00557FB3">
            <w:pPr>
              <w:rPr>
                <w:lang w:val="fr-FR"/>
              </w:rPr>
            </w:pPr>
            <w:r w:rsidRPr="00653BF4">
              <w:rPr>
                <w:lang w:val="fr-FR"/>
              </w:rPr>
              <w:t xml:space="preserve"> </w:t>
            </w:r>
          </w:p>
        </w:tc>
      </w:tr>
    </w:tbl>
    <w:p w14:paraId="711215AE" w14:textId="77777777" w:rsidR="00B87039" w:rsidRPr="00653BF4" w:rsidRDefault="00B87039" w:rsidP="00B87039">
      <w:pPr>
        <w:rPr>
          <w:lang w:val="fr-FR"/>
        </w:rPr>
      </w:pPr>
    </w:p>
    <w:p w14:paraId="5DD6B935" w14:textId="77777777" w:rsidR="00B87039" w:rsidRPr="00653BF4" w:rsidRDefault="00B87039" w:rsidP="00B87039">
      <w:pPr>
        <w:pStyle w:val="Heading6"/>
        <w:rPr>
          <w:lang w:val="fr-FR"/>
        </w:rPr>
      </w:pPr>
      <w:bookmarkStart w:id="243" w:name="_Toc235821201"/>
      <w:r w:rsidRPr="00653BF4">
        <w:rPr>
          <w:lang w:val="fr-FR"/>
        </w:rPr>
        <w:t>Difficultés</w:t>
      </w:r>
      <w:bookmarkEnd w:id="243"/>
    </w:p>
    <w:p w14:paraId="118C0FFB" w14:textId="77777777" w:rsidR="00B87039" w:rsidRPr="00653BF4" w:rsidRDefault="00B87039" w:rsidP="00B87039">
      <w:pPr>
        <w:spacing w:line="276" w:lineRule="auto"/>
        <w:rPr>
          <w:rFonts w:eastAsia="Aptos" w:cs="Aptos"/>
          <w:lang w:val="fr-FR"/>
        </w:rPr>
      </w:pPr>
    </w:p>
    <w:p w14:paraId="454DCEF9" w14:textId="0147558B" w:rsidR="00B87039" w:rsidRPr="00653BF4" w:rsidRDefault="00B87039" w:rsidP="00B87039">
      <w:pPr>
        <w:spacing w:line="276" w:lineRule="auto"/>
        <w:rPr>
          <w:rFonts w:eastAsia="Aptos" w:cs="Aptos"/>
          <w:lang w:val="fr-FR"/>
        </w:rPr>
      </w:pPr>
      <w:r w:rsidRPr="00653BF4">
        <w:rPr>
          <w:rFonts w:eastAsia="Aptos" w:cs="Aptos"/>
          <w:lang w:val="fr-FR"/>
        </w:rPr>
        <w:t xml:space="preserve">De nombreuses Parties reconnaissent l’absence de politiques nationales consacrées à la nature en milieu urbain et l’insuffisance d’un suivi systématique de la biodiversité urbaine, ce qui constitue un obstacle à la mise en œuvre de la </w:t>
      </w:r>
      <w:r w:rsidR="00E34DC9">
        <w:rPr>
          <w:rFonts w:eastAsia="Aptos" w:cs="Aptos"/>
          <w:lang w:val="fr-FR"/>
        </w:rPr>
        <w:t>cible 1</w:t>
      </w:r>
      <w:r w:rsidRPr="00653BF4">
        <w:rPr>
          <w:rFonts w:eastAsia="Aptos" w:cs="Aptos"/>
          <w:lang w:val="fr-FR"/>
        </w:rPr>
        <w:t>2. Le manque de coordination entre les différents secteurs et services gouvernementaux complique encore davantage la mise en œuvre, car les politiques relatives aux infrastructures vertes peuvent relever à la fois des ministères de l</w:t>
      </w:r>
      <w:r w:rsidR="00D77549">
        <w:rPr>
          <w:rFonts w:eastAsia="Aptos" w:cs="Aptos"/>
          <w:lang w:val="fr-FR"/>
        </w:rPr>
        <w:t>’</w:t>
      </w:r>
      <w:r w:rsidRPr="00653BF4">
        <w:rPr>
          <w:rFonts w:eastAsia="Aptos" w:cs="Aptos"/>
          <w:lang w:val="fr-FR"/>
        </w:rPr>
        <w:t>environnement, du logement, de la santé, des transports, de l</w:t>
      </w:r>
      <w:r w:rsidR="00D77549">
        <w:rPr>
          <w:rFonts w:eastAsia="Aptos" w:cs="Aptos"/>
          <w:lang w:val="fr-FR"/>
        </w:rPr>
        <w:t>’</w:t>
      </w:r>
      <w:r w:rsidRPr="00653BF4">
        <w:rPr>
          <w:rFonts w:eastAsia="Aptos" w:cs="Aptos"/>
          <w:lang w:val="fr-FR"/>
        </w:rPr>
        <w:t xml:space="preserve">eau </w:t>
      </w:r>
      <w:r w:rsidRPr="00653BF4">
        <w:rPr>
          <w:rFonts w:eastAsia="Aptos" w:cs="Aptos"/>
          <w:lang w:val="fr-FR"/>
        </w:rPr>
        <w:lastRenderedPageBreak/>
        <w:t>et de l</w:t>
      </w:r>
      <w:r w:rsidR="00D77549">
        <w:rPr>
          <w:rFonts w:eastAsia="Aptos" w:cs="Aptos"/>
          <w:lang w:val="fr-FR"/>
        </w:rPr>
        <w:t>’</w:t>
      </w:r>
      <w:r w:rsidRPr="00653BF4">
        <w:rPr>
          <w:rFonts w:eastAsia="Aptos" w:cs="Aptos"/>
          <w:lang w:val="fr-FR"/>
        </w:rPr>
        <w:t>aménagement du territoire. De plus, l</w:t>
      </w:r>
      <w:r w:rsidR="00D77549">
        <w:rPr>
          <w:rFonts w:eastAsia="Aptos" w:cs="Aptos"/>
          <w:lang w:val="fr-FR"/>
        </w:rPr>
        <w:t>’</w:t>
      </w:r>
      <w:r w:rsidRPr="00653BF4">
        <w:rPr>
          <w:rFonts w:eastAsia="Aptos" w:cs="Aptos"/>
          <w:lang w:val="fr-FR"/>
        </w:rPr>
        <w:t>absence de partage d</w:t>
      </w:r>
      <w:r w:rsidR="00D77549">
        <w:rPr>
          <w:rFonts w:eastAsia="Aptos" w:cs="Aptos"/>
          <w:lang w:val="fr-FR"/>
        </w:rPr>
        <w:t>’</w:t>
      </w:r>
      <w:r w:rsidRPr="00653BF4">
        <w:rPr>
          <w:rFonts w:eastAsia="Aptos" w:cs="Aptos"/>
          <w:lang w:val="fr-FR"/>
        </w:rPr>
        <w:t>informations entre les différents niveaux de l</w:t>
      </w:r>
      <w:r w:rsidR="00D77549">
        <w:rPr>
          <w:rFonts w:eastAsia="Aptos" w:cs="Aptos"/>
          <w:lang w:val="fr-FR"/>
        </w:rPr>
        <w:t>’</w:t>
      </w:r>
      <w:r w:rsidRPr="00653BF4">
        <w:rPr>
          <w:rFonts w:eastAsia="Aptos" w:cs="Aptos"/>
          <w:lang w:val="fr-FR"/>
        </w:rPr>
        <w:t>État peut poser des difficultés en matière de mesure systématique et de communication des résultats relatifs à la biodiversité urbaine. Les Parties indiquent que les autorités infranationales et les municipalités peuvent ne pas disposer de l</w:t>
      </w:r>
      <w:r w:rsidR="00D77549">
        <w:rPr>
          <w:rFonts w:eastAsia="Aptos" w:cs="Aptos"/>
          <w:lang w:val="fr-FR"/>
        </w:rPr>
        <w:t>’</w:t>
      </w:r>
      <w:r w:rsidRPr="00653BF4">
        <w:rPr>
          <w:rFonts w:eastAsia="Aptos" w:cs="Aptos"/>
          <w:lang w:val="fr-FR"/>
        </w:rPr>
        <w:t>expertise spécialisée nécessaire en matière d</w:t>
      </w:r>
      <w:r w:rsidR="00D77549">
        <w:rPr>
          <w:rFonts w:eastAsia="Aptos" w:cs="Aptos"/>
          <w:lang w:val="fr-FR"/>
        </w:rPr>
        <w:t>’</w:t>
      </w:r>
      <w:r w:rsidRPr="00653BF4">
        <w:rPr>
          <w:rFonts w:eastAsia="Aptos" w:cs="Aptos"/>
          <w:lang w:val="fr-FR"/>
        </w:rPr>
        <w:t>écologie urbaine ou de gestion des paysages. Les cadres relatifs à la biodiversité urbaine ont souvent un caractère purement consultatif, et même les cadres juridiques peuvent présenter des limites en matière d</w:t>
      </w:r>
      <w:r w:rsidR="00D77549">
        <w:rPr>
          <w:rFonts w:eastAsia="Aptos" w:cs="Aptos"/>
          <w:lang w:val="fr-FR"/>
        </w:rPr>
        <w:t>’</w:t>
      </w:r>
      <w:r w:rsidRPr="00653BF4">
        <w:rPr>
          <w:rFonts w:eastAsia="Aptos" w:cs="Aptos"/>
          <w:lang w:val="fr-FR"/>
        </w:rPr>
        <w:t xml:space="preserve">application. Le financement insuffisant ou incertain des autorités infranationales et locales constitue également un obstacle.  </w:t>
      </w:r>
      <w:r w:rsidRPr="00653BF4">
        <w:rPr>
          <w:rFonts w:cs="Helvetica"/>
          <w:kern w:val="0"/>
          <w:lang w:val="fr-FR"/>
        </w:rPr>
        <w:t>Dans certains pays en développement en particulier, l</w:t>
      </w:r>
      <w:r w:rsidR="00D77549">
        <w:rPr>
          <w:rFonts w:cs="Helvetica"/>
          <w:kern w:val="0"/>
          <w:lang w:val="fr-FR"/>
        </w:rPr>
        <w:t>’</w:t>
      </w:r>
      <w:r w:rsidRPr="00653BF4">
        <w:rPr>
          <w:rFonts w:cs="Helvetica"/>
          <w:kern w:val="0"/>
          <w:lang w:val="fr-FR"/>
        </w:rPr>
        <w:t>urbanisation rapide, la pénurie de logements et l</w:t>
      </w:r>
      <w:r w:rsidR="00D77549">
        <w:rPr>
          <w:rFonts w:cs="Helvetica"/>
          <w:kern w:val="0"/>
          <w:lang w:val="fr-FR"/>
        </w:rPr>
        <w:t>’</w:t>
      </w:r>
      <w:r w:rsidRPr="00653BF4">
        <w:rPr>
          <w:rFonts w:cs="Helvetica"/>
          <w:kern w:val="0"/>
          <w:lang w:val="fr-FR"/>
        </w:rPr>
        <w:t>extension des établissements informels vers des zones écologiquement sensibles posent des défis complexes en termes d</w:t>
      </w:r>
      <w:r w:rsidR="00D77549">
        <w:rPr>
          <w:rFonts w:cs="Helvetica"/>
          <w:kern w:val="0"/>
          <w:lang w:val="fr-FR"/>
        </w:rPr>
        <w:t>’</w:t>
      </w:r>
      <w:r w:rsidRPr="00653BF4">
        <w:rPr>
          <w:rFonts w:cs="Helvetica"/>
          <w:kern w:val="0"/>
          <w:lang w:val="fr-FR"/>
        </w:rPr>
        <w:t>aménagement du territoire, qui nécessitent des politiques intégrées en matière de logement, d</w:t>
      </w:r>
      <w:r w:rsidR="00D77549">
        <w:rPr>
          <w:rFonts w:cs="Helvetica"/>
          <w:kern w:val="0"/>
          <w:lang w:val="fr-FR"/>
        </w:rPr>
        <w:t>’</w:t>
      </w:r>
      <w:r w:rsidRPr="00653BF4">
        <w:rPr>
          <w:rFonts w:cs="Helvetica"/>
          <w:kern w:val="0"/>
          <w:lang w:val="fr-FR"/>
        </w:rPr>
        <w:t>assainissement, de restauration des écosystèmes et d</w:t>
      </w:r>
      <w:r w:rsidR="00D77549">
        <w:rPr>
          <w:rFonts w:cs="Helvetica"/>
          <w:kern w:val="0"/>
          <w:lang w:val="fr-FR"/>
        </w:rPr>
        <w:t>’</w:t>
      </w:r>
      <w:r w:rsidRPr="00653BF4">
        <w:rPr>
          <w:rFonts w:cs="Helvetica"/>
          <w:kern w:val="0"/>
          <w:lang w:val="fr-FR"/>
        </w:rPr>
        <w:t>inclusion sociale.</w:t>
      </w:r>
      <w:r w:rsidRPr="00653BF4">
        <w:rPr>
          <w:rFonts w:eastAsia="Aptos" w:cs="Aptos"/>
          <w:lang w:val="fr-FR"/>
        </w:rPr>
        <w:t xml:space="preserve"> </w:t>
      </w:r>
    </w:p>
    <w:p w14:paraId="550A088A" w14:textId="77777777" w:rsidR="00B87039" w:rsidRPr="00653BF4" w:rsidRDefault="00B87039" w:rsidP="00B87039">
      <w:pPr>
        <w:spacing w:line="276" w:lineRule="auto"/>
        <w:rPr>
          <w:rFonts w:eastAsia="Aptos" w:cs="Aptos"/>
          <w:lang w:val="fr-FR"/>
        </w:rPr>
      </w:pPr>
    </w:p>
    <w:p w14:paraId="7CF6670D" w14:textId="07252D7C" w:rsidR="00B87039" w:rsidRPr="00653BF4" w:rsidRDefault="00B87039" w:rsidP="00B87039">
      <w:pPr>
        <w:pStyle w:val="Heading5"/>
        <w:rPr>
          <w:lang w:val="fr-FR"/>
        </w:rPr>
      </w:pPr>
      <w:bookmarkStart w:id="244" w:name="_Toc235821202"/>
      <w:r w:rsidRPr="00653BF4">
        <w:rPr>
          <w:lang w:val="fr-FR"/>
        </w:rPr>
        <w:t>Contributions provenant d</w:t>
      </w:r>
      <w:r w:rsidR="00D77549">
        <w:rPr>
          <w:lang w:val="fr-FR"/>
        </w:rPr>
        <w:t>’</w:t>
      </w:r>
      <w:r w:rsidRPr="00653BF4">
        <w:rPr>
          <w:lang w:val="fr-FR"/>
        </w:rPr>
        <w:t>acteurs autres que les gouvernements nationaux</w:t>
      </w:r>
      <w:bookmarkEnd w:id="244"/>
    </w:p>
    <w:p w14:paraId="13DC6486" w14:textId="77777777" w:rsidR="00B87039" w:rsidRPr="00653BF4" w:rsidRDefault="00B87039" w:rsidP="00B87039">
      <w:pPr>
        <w:rPr>
          <w:lang w:val="fr-FR"/>
        </w:rPr>
      </w:pPr>
    </w:p>
    <w:p w14:paraId="09091378" w14:textId="063DE573" w:rsidR="00B87039" w:rsidRPr="00653BF4" w:rsidRDefault="00B87039" w:rsidP="00B87039">
      <w:pPr>
        <w:pStyle w:val="Heading6"/>
        <w:rPr>
          <w:lang w:val="fr-FR"/>
        </w:rPr>
      </w:pPr>
      <w:bookmarkStart w:id="245" w:name="_Toc235821203"/>
      <w:r w:rsidRPr="00653BF4">
        <w:rPr>
          <w:lang w:val="fr-FR"/>
        </w:rPr>
        <w:t>Engagements communiqués directement via l</w:t>
      </w:r>
      <w:r w:rsidR="00D77549">
        <w:rPr>
          <w:lang w:val="fr-FR"/>
        </w:rPr>
        <w:t>’</w:t>
      </w:r>
      <w:r w:rsidRPr="00653BF4">
        <w:rPr>
          <w:lang w:val="fr-FR"/>
        </w:rPr>
        <w:t>outil de présentation des rapports en ligne</w:t>
      </w:r>
      <w:bookmarkEnd w:id="245"/>
    </w:p>
    <w:p w14:paraId="3C3C8B35" w14:textId="77777777" w:rsidR="00B87039" w:rsidRPr="00653BF4" w:rsidRDefault="00B87039" w:rsidP="00B87039">
      <w:pPr>
        <w:rPr>
          <w:lang w:val="fr-FR"/>
        </w:rPr>
      </w:pPr>
    </w:p>
    <w:p w14:paraId="79B534F6" w14:textId="04CE39E9" w:rsidR="00B87039" w:rsidRPr="00653BF4" w:rsidRDefault="00B87039" w:rsidP="00B87039">
      <w:pPr>
        <w:rPr>
          <w:lang w:val="fr-FR"/>
        </w:rPr>
      </w:pPr>
      <w:bookmarkStart w:id="246" w:name="_Toc235821204"/>
      <w:r w:rsidRPr="00653BF4">
        <w:rPr>
          <w:lang w:val="fr-FR"/>
        </w:rPr>
        <w:t xml:space="preserve">Sur les 180 engagements de fond présentés par des acteurs autres que les gouvernements nationaux, seulement 3 concernent la </w:t>
      </w:r>
      <w:r w:rsidR="00E34DC9">
        <w:rPr>
          <w:lang w:val="fr-FR"/>
        </w:rPr>
        <w:t>cible 1</w:t>
      </w:r>
      <w:r w:rsidRPr="00653BF4">
        <w:rPr>
          <w:lang w:val="fr-FR"/>
        </w:rPr>
        <w:t>2. Parmi eux, 2 ont été soumis par des ONG et 1 par une entreprise immobilière privée. Ces trois engagements témoignent des efforts déployés pour intégrer la biodiversité et les solutions fondées sur la nature dans l</w:t>
      </w:r>
      <w:r w:rsidR="00D77549">
        <w:rPr>
          <w:lang w:val="fr-FR"/>
        </w:rPr>
        <w:t>’</w:t>
      </w:r>
      <w:r w:rsidRPr="00653BF4">
        <w:rPr>
          <w:lang w:val="fr-FR"/>
        </w:rPr>
        <w:t xml:space="preserve">aménagement urbain. Ces engagements portent tous sur des actions menées en Europe, avec la participation de la Bosnie-Herzégovine, du Danemark et du Royaume des Pays-Bas. </w:t>
      </w:r>
    </w:p>
    <w:p w14:paraId="37BDB0DC" w14:textId="77777777" w:rsidR="00B87039" w:rsidRPr="00653BF4" w:rsidRDefault="00B87039" w:rsidP="00B87039">
      <w:pPr>
        <w:pStyle w:val="Heading6"/>
        <w:rPr>
          <w:lang w:val="fr-FR"/>
        </w:rPr>
      </w:pPr>
    </w:p>
    <w:p w14:paraId="0336CC8E" w14:textId="2005E228" w:rsidR="00B87039" w:rsidRPr="00653BF4" w:rsidRDefault="00B87039" w:rsidP="00B87039">
      <w:pPr>
        <w:pStyle w:val="Heading6"/>
        <w:rPr>
          <w:lang w:val="fr-FR"/>
        </w:rPr>
      </w:pPr>
      <w:r w:rsidRPr="00653BF4">
        <w:rPr>
          <w:lang w:val="fr-FR"/>
        </w:rPr>
        <w:t>Contributions intégrées dans les rapports nationaux</w:t>
      </w:r>
      <w:bookmarkEnd w:id="246"/>
    </w:p>
    <w:p w14:paraId="685214E3" w14:textId="77777777" w:rsidR="00B87039" w:rsidRPr="00653BF4" w:rsidRDefault="00B87039" w:rsidP="00B87039">
      <w:pPr>
        <w:rPr>
          <w:lang w:val="fr-FR"/>
        </w:rPr>
      </w:pPr>
    </w:p>
    <w:p w14:paraId="2FF8363D" w14:textId="11872698" w:rsidR="00B87039" w:rsidRPr="00653BF4" w:rsidRDefault="00B87039" w:rsidP="00B87039">
      <w:pPr>
        <w:rPr>
          <w:lang w:val="fr-FR"/>
        </w:rPr>
      </w:pPr>
      <w:r w:rsidRPr="00653BF4">
        <w:rPr>
          <w:lang w:val="fr-FR"/>
        </w:rPr>
        <w:t>Les autorités infranationales et locales sont les principales responsables des mesures relatives aux espaces verts et bleus urbains, et élaborent souvent leurs propres stratégies d</w:t>
      </w:r>
      <w:r w:rsidR="00D77549">
        <w:rPr>
          <w:lang w:val="fr-FR"/>
        </w:rPr>
        <w:t>’</w:t>
      </w:r>
      <w:r w:rsidRPr="00653BF4">
        <w:rPr>
          <w:lang w:val="fr-FR"/>
        </w:rPr>
        <w:t>aménagement d</w:t>
      </w:r>
      <w:r w:rsidR="00D77549">
        <w:rPr>
          <w:lang w:val="fr-FR"/>
        </w:rPr>
        <w:t>’</w:t>
      </w:r>
      <w:r w:rsidRPr="00653BF4">
        <w:rPr>
          <w:lang w:val="fr-FR"/>
        </w:rPr>
        <w:t>espaces verts, leurs propres arrêtés et leurs propres cadres de suivi. Les ONG et les organisations de la société civile assument des rôles variés, allant de la restauration des écosystèmes à la certification, en passant par la cogouvernance, l</w:t>
      </w:r>
      <w:r w:rsidR="00D77549">
        <w:rPr>
          <w:lang w:val="fr-FR"/>
        </w:rPr>
        <w:t>’</w:t>
      </w:r>
      <w:r w:rsidRPr="00653BF4">
        <w:rPr>
          <w:lang w:val="fr-FR"/>
        </w:rPr>
        <w:t xml:space="preserve">accompagnement technique et le suivi, tandis que la communauté scientifique fournit principalement des données de référence, des outils de planification et des méthodes de </w:t>
      </w:r>
      <w:r w:rsidRPr="00653BF4">
        <w:rPr>
          <w:lang w:val="fr-FR"/>
        </w:rPr>
        <w:lastRenderedPageBreak/>
        <w:t>suivi. Les organisations intergouvernementales et les partenaires internationaux jouent principalement le rôle de partenaires financiers, de co-exécutants et d</w:t>
      </w:r>
      <w:r w:rsidR="00D77549">
        <w:rPr>
          <w:lang w:val="fr-FR"/>
        </w:rPr>
        <w:t>’</w:t>
      </w:r>
      <w:r w:rsidRPr="00653BF4">
        <w:rPr>
          <w:lang w:val="fr-FR"/>
        </w:rPr>
        <w:t>acteurs du renforcement des capacités. Les citoyens sont le plus souvent les destinataires des actions de sensibilisation, tandis que les peuples autochtones et communautés locales assurent la cogestion des territoires et des ressources, et font parfois office de principale autorité d</w:t>
      </w:r>
      <w:r w:rsidR="00D77549">
        <w:rPr>
          <w:lang w:val="fr-FR"/>
        </w:rPr>
        <w:t>’</w:t>
      </w:r>
      <w:r w:rsidRPr="00653BF4">
        <w:rPr>
          <w:lang w:val="fr-FR"/>
        </w:rPr>
        <w:t>aménagement du territoire en cas de faiblesse des capacités de l</w:t>
      </w:r>
      <w:r w:rsidR="00D77549">
        <w:rPr>
          <w:lang w:val="fr-FR"/>
        </w:rPr>
        <w:t>’</w:t>
      </w:r>
      <w:r w:rsidRPr="00653BF4">
        <w:rPr>
          <w:lang w:val="fr-FR"/>
        </w:rPr>
        <w:t xml:space="preserve">État. </w:t>
      </w:r>
      <w:r w:rsidRPr="00653BF4">
        <w:rPr>
          <w:rFonts w:cs="Helvetica"/>
          <w:kern w:val="0"/>
          <w:lang w:val="fr-FR"/>
        </w:rPr>
        <w:t>Si tous les citoyens tirent profit des espaces verts urbains pour leur bien-être, les femmes et les jeunes sont le plus souvent cités comme destinataires ou bénéficiaires</w:t>
      </w:r>
      <w:r w:rsidR="00E34DC9">
        <w:rPr>
          <w:rFonts w:cs="Helvetica"/>
          <w:kern w:val="0"/>
          <w:lang w:val="fr-FR"/>
        </w:rPr>
        <w:t> ;</w:t>
      </w:r>
      <w:r w:rsidRPr="00653BF4">
        <w:rPr>
          <w:rFonts w:cs="Helvetica"/>
          <w:kern w:val="0"/>
          <w:lang w:val="fr-FR"/>
        </w:rPr>
        <w:t xml:space="preserve"> cependant, ils contribuent également à sensibiliser le public à cette question.</w:t>
      </w:r>
    </w:p>
    <w:p w14:paraId="6045909C" w14:textId="77777777" w:rsidR="00B87039" w:rsidRPr="00653BF4" w:rsidRDefault="00B87039" w:rsidP="00B87039">
      <w:pPr>
        <w:pStyle w:val="Heading5"/>
        <w:rPr>
          <w:lang w:val="fr-FR"/>
        </w:rPr>
      </w:pPr>
    </w:p>
    <w:p w14:paraId="67C99154" w14:textId="27460FEA" w:rsidR="00B87039" w:rsidRPr="00653BF4" w:rsidRDefault="00B87039" w:rsidP="00B87039">
      <w:pPr>
        <w:pStyle w:val="Heading5"/>
        <w:rPr>
          <w:lang w:val="fr-FR"/>
        </w:rPr>
      </w:pPr>
      <w:r w:rsidRPr="00653BF4">
        <w:rPr>
          <w:lang w:val="fr-FR"/>
        </w:rPr>
        <w:t>Exemples de liens avec d</w:t>
      </w:r>
      <w:r w:rsidR="00D77549">
        <w:rPr>
          <w:lang w:val="fr-FR"/>
        </w:rPr>
        <w:t>’</w:t>
      </w:r>
      <w:r w:rsidRPr="00653BF4">
        <w:rPr>
          <w:lang w:val="fr-FR"/>
        </w:rPr>
        <w:t>autres accords, organisations et processus</w:t>
      </w:r>
    </w:p>
    <w:p w14:paraId="3AD9297E" w14:textId="77777777" w:rsidR="00B87039" w:rsidRPr="00653BF4" w:rsidRDefault="00B87039" w:rsidP="00B87039">
      <w:pPr>
        <w:pStyle w:val="Normalnumber"/>
        <w:keepNext w:val="0"/>
        <w:keepLines w:val="0"/>
        <w:tabs>
          <w:tab w:val="left" w:pos="3577"/>
          <w:tab w:val="left" w:pos="3856"/>
        </w:tabs>
        <w:suppressAutoHyphens w:val="0"/>
        <w:spacing w:before="0"/>
        <w:ind w:right="-2"/>
        <w:rPr>
          <w:sz w:val="22"/>
          <w:szCs w:val="22"/>
          <w:lang w:val="fr-FR"/>
        </w:rPr>
      </w:pPr>
    </w:p>
    <w:p w14:paraId="3819A8C8" w14:textId="16E1C687" w:rsidR="00B87039" w:rsidRPr="00653BF4" w:rsidRDefault="00B87039" w:rsidP="00B87039">
      <w:pPr>
        <w:pStyle w:val="Normalnumber"/>
        <w:keepNext w:val="0"/>
        <w:keepLines w:val="0"/>
        <w:tabs>
          <w:tab w:val="left" w:pos="3577"/>
          <w:tab w:val="left" w:pos="3856"/>
        </w:tabs>
        <w:suppressAutoHyphens w:val="0"/>
        <w:spacing w:before="0"/>
        <w:ind w:right="-2"/>
        <w:rPr>
          <w:rFonts w:asciiTheme="minorHAnsi" w:hAnsiTheme="minorHAnsi"/>
          <w:sz w:val="24"/>
          <w:szCs w:val="24"/>
          <w:lang w:val="fr-FR"/>
        </w:rPr>
      </w:pPr>
      <w:r w:rsidRPr="00653BF4">
        <w:rPr>
          <w:rFonts w:asciiTheme="minorHAnsi" w:hAnsiTheme="minorHAnsi"/>
          <w:sz w:val="24"/>
          <w:szCs w:val="24"/>
          <w:lang w:val="fr-FR"/>
        </w:rPr>
        <w:t xml:space="preserve">La Convention de Stockholm sur les polluants organiques persistants traite des sources de pollution chimique qui affectent la qualité et la fonction écologique des espaces verts et bleus urbains, soutenant ainsi un aménagement urbain respectueux de la biodiversité et contribuant à la mise en œuvre de la </w:t>
      </w:r>
      <w:r w:rsidR="00E34DC9">
        <w:rPr>
          <w:rFonts w:asciiTheme="minorHAnsi" w:hAnsiTheme="minorHAnsi"/>
          <w:sz w:val="24"/>
          <w:szCs w:val="24"/>
          <w:lang w:val="fr-FR"/>
        </w:rPr>
        <w:t>cible 1</w:t>
      </w:r>
      <w:r w:rsidRPr="00653BF4">
        <w:rPr>
          <w:rFonts w:asciiTheme="minorHAnsi" w:hAnsiTheme="minorHAnsi"/>
          <w:sz w:val="24"/>
          <w:szCs w:val="24"/>
          <w:lang w:val="fr-FR"/>
        </w:rPr>
        <w:t>2 du Cadre. Les polluants organiques persistants, tels que ceux présents dans certains matériaux de construction et de démolition, peuvent être rejetés dans l</w:t>
      </w:r>
      <w:r w:rsidR="00D77549">
        <w:rPr>
          <w:rFonts w:asciiTheme="minorHAnsi" w:hAnsiTheme="minorHAnsi"/>
          <w:sz w:val="24"/>
          <w:szCs w:val="24"/>
          <w:lang w:val="fr-FR"/>
        </w:rPr>
        <w:t>’</w:t>
      </w:r>
      <w:r w:rsidRPr="00653BF4">
        <w:rPr>
          <w:rFonts w:asciiTheme="minorHAnsi" w:hAnsiTheme="minorHAnsi"/>
          <w:sz w:val="24"/>
          <w:szCs w:val="24"/>
          <w:lang w:val="fr-FR"/>
        </w:rPr>
        <w:t>environnement lors d</w:t>
      </w:r>
      <w:r w:rsidR="00D77549">
        <w:rPr>
          <w:rFonts w:asciiTheme="minorHAnsi" w:hAnsiTheme="minorHAnsi"/>
          <w:sz w:val="24"/>
          <w:szCs w:val="24"/>
          <w:lang w:val="fr-FR"/>
        </w:rPr>
        <w:t>’</w:t>
      </w:r>
      <w:r w:rsidRPr="00653BF4">
        <w:rPr>
          <w:rFonts w:asciiTheme="minorHAnsi" w:hAnsiTheme="minorHAnsi"/>
          <w:sz w:val="24"/>
          <w:szCs w:val="24"/>
          <w:lang w:val="fr-FR"/>
        </w:rPr>
        <w:t>activités d</w:t>
      </w:r>
      <w:r w:rsidR="00D77549">
        <w:rPr>
          <w:rFonts w:asciiTheme="minorHAnsi" w:hAnsiTheme="minorHAnsi"/>
          <w:sz w:val="24"/>
          <w:szCs w:val="24"/>
          <w:lang w:val="fr-FR"/>
        </w:rPr>
        <w:t>’</w:t>
      </w:r>
      <w:r w:rsidRPr="00653BF4">
        <w:rPr>
          <w:rFonts w:asciiTheme="minorHAnsi" w:hAnsiTheme="minorHAnsi"/>
          <w:sz w:val="24"/>
          <w:szCs w:val="24"/>
          <w:lang w:val="fr-FR"/>
        </w:rPr>
        <w:t>aménagement et de rénovation urbains. La Convention de Stockholm encourage l</w:t>
      </w:r>
      <w:r w:rsidR="00D77549">
        <w:rPr>
          <w:rFonts w:asciiTheme="minorHAnsi" w:hAnsiTheme="minorHAnsi"/>
          <w:sz w:val="24"/>
          <w:szCs w:val="24"/>
          <w:lang w:val="fr-FR"/>
        </w:rPr>
        <w:t>’</w:t>
      </w:r>
      <w:r w:rsidRPr="00653BF4">
        <w:rPr>
          <w:rFonts w:asciiTheme="minorHAnsi" w:hAnsiTheme="minorHAnsi"/>
          <w:sz w:val="24"/>
          <w:szCs w:val="24"/>
          <w:lang w:val="fr-FR"/>
        </w:rPr>
        <w:t>élimination progressive et la gestion respectueuse de l</w:t>
      </w:r>
      <w:r w:rsidR="00D77549">
        <w:rPr>
          <w:rFonts w:asciiTheme="minorHAnsi" w:hAnsiTheme="minorHAnsi"/>
          <w:sz w:val="24"/>
          <w:szCs w:val="24"/>
          <w:lang w:val="fr-FR"/>
        </w:rPr>
        <w:t>’</w:t>
      </w:r>
      <w:r w:rsidRPr="00653BF4">
        <w:rPr>
          <w:rFonts w:asciiTheme="minorHAnsi" w:hAnsiTheme="minorHAnsi"/>
          <w:sz w:val="24"/>
          <w:szCs w:val="24"/>
          <w:lang w:val="fr-FR"/>
        </w:rPr>
        <w:t>environnement de ces substances dangereuses, telles que l</w:t>
      </w:r>
      <w:r w:rsidR="00D77549">
        <w:rPr>
          <w:rFonts w:asciiTheme="minorHAnsi" w:hAnsiTheme="minorHAnsi"/>
          <w:sz w:val="24"/>
          <w:szCs w:val="24"/>
          <w:lang w:val="fr-FR"/>
        </w:rPr>
        <w:t>’</w:t>
      </w:r>
      <w:r w:rsidRPr="00653BF4">
        <w:rPr>
          <w:rFonts w:asciiTheme="minorHAnsi" w:hAnsiTheme="minorHAnsi"/>
          <w:sz w:val="24"/>
          <w:szCs w:val="24"/>
          <w:lang w:val="fr-FR"/>
        </w:rPr>
        <w:t>hexabromocyclododécane présent dans les matériaux isolants, contribuant ainsi à réduire la contamination des sols et des plans d</w:t>
      </w:r>
      <w:r w:rsidR="00D77549">
        <w:rPr>
          <w:rFonts w:asciiTheme="minorHAnsi" w:hAnsiTheme="minorHAnsi"/>
          <w:sz w:val="24"/>
          <w:szCs w:val="24"/>
          <w:lang w:val="fr-FR"/>
        </w:rPr>
        <w:t>’</w:t>
      </w:r>
      <w:r w:rsidRPr="00653BF4">
        <w:rPr>
          <w:rFonts w:asciiTheme="minorHAnsi" w:hAnsiTheme="minorHAnsi"/>
          <w:sz w:val="24"/>
          <w:szCs w:val="24"/>
          <w:lang w:val="fr-FR"/>
        </w:rPr>
        <w:t>eau au sein des villes et à leurs abords (secrétariat des Conventions de Bâle, de Rotterdam et de Stockholm, 2025).</w:t>
      </w:r>
    </w:p>
    <w:p w14:paraId="4B6CCA9C" w14:textId="3AA6E2F0" w:rsidR="00B87039" w:rsidRPr="00653BF4" w:rsidRDefault="00B87039" w:rsidP="00B87039">
      <w:pPr>
        <w:pStyle w:val="Normalnumber"/>
        <w:keepNext w:val="0"/>
        <w:keepLines w:val="0"/>
        <w:tabs>
          <w:tab w:val="left" w:pos="1912"/>
        </w:tabs>
        <w:suppressAutoHyphens w:val="0"/>
        <w:spacing w:before="0"/>
        <w:ind w:right="0"/>
        <w:rPr>
          <w:rFonts w:asciiTheme="minorHAnsi" w:hAnsiTheme="minorHAnsi"/>
          <w:sz w:val="24"/>
          <w:szCs w:val="24"/>
          <w:lang w:val="fr-FR"/>
        </w:rPr>
      </w:pPr>
      <w:r w:rsidRPr="00653BF4">
        <w:rPr>
          <w:rFonts w:asciiTheme="minorHAnsi" w:hAnsiTheme="minorHAnsi"/>
          <w:sz w:val="24"/>
          <w:szCs w:val="24"/>
          <w:lang w:val="fr-FR"/>
        </w:rPr>
        <w:t xml:space="preserve">La mise en œuvre de la </w:t>
      </w:r>
      <w:r w:rsidR="00E34DC9">
        <w:rPr>
          <w:rFonts w:asciiTheme="minorHAnsi" w:hAnsiTheme="minorHAnsi"/>
          <w:sz w:val="24"/>
          <w:szCs w:val="24"/>
          <w:lang w:val="fr-FR"/>
        </w:rPr>
        <w:t>cible 1</w:t>
      </w:r>
      <w:r w:rsidRPr="00653BF4">
        <w:rPr>
          <w:rFonts w:asciiTheme="minorHAnsi" w:hAnsiTheme="minorHAnsi"/>
          <w:sz w:val="24"/>
          <w:szCs w:val="24"/>
          <w:lang w:val="fr-FR"/>
        </w:rPr>
        <w:t>2 est également soutenue par l</w:t>
      </w:r>
      <w:r w:rsidR="00D77549">
        <w:rPr>
          <w:rFonts w:asciiTheme="minorHAnsi" w:hAnsiTheme="minorHAnsi"/>
          <w:sz w:val="24"/>
          <w:szCs w:val="24"/>
          <w:lang w:val="fr-FR"/>
        </w:rPr>
        <w:t>’</w:t>
      </w:r>
      <w:r w:rsidRPr="00653BF4">
        <w:rPr>
          <w:rFonts w:asciiTheme="minorHAnsi" w:hAnsiTheme="minorHAnsi"/>
          <w:sz w:val="24"/>
          <w:szCs w:val="24"/>
          <w:lang w:val="fr-FR"/>
        </w:rPr>
        <w:t>intégration, dans les stratégies d</w:t>
      </w:r>
      <w:r w:rsidR="00D77549">
        <w:rPr>
          <w:rFonts w:asciiTheme="minorHAnsi" w:hAnsiTheme="minorHAnsi"/>
          <w:sz w:val="24"/>
          <w:szCs w:val="24"/>
          <w:lang w:val="fr-FR"/>
        </w:rPr>
        <w:t>’</w:t>
      </w:r>
      <w:r w:rsidRPr="00653BF4">
        <w:rPr>
          <w:rFonts w:asciiTheme="minorHAnsi" w:hAnsiTheme="minorHAnsi"/>
          <w:sz w:val="24"/>
          <w:szCs w:val="24"/>
          <w:lang w:val="fr-FR"/>
        </w:rPr>
        <w:t>urbanisme, des lignes directrices en matière de gestion des déchets issues de la Convention de Bâle sur le contrôle des mouvements transfrontières de déchets dangereux et de leur élimination. La collaboration entre les urbanistes, les autorités chargées de l</w:t>
      </w:r>
      <w:r w:rsidR="00D77549">
        <w:rPr>
          <w:rFonts w:asciiTheme="minorHAnsi" w:hAnsiTheme="minorHAnsi"/>
          <w:sz w:val="24"/>
          <w:szCs w:val="24"/>
          <w:lang w:val="fr-FR"/>
        </w:rPr>
        <w:t>’</w:t>
      </w:r>
      <w:r w:rsidRPr="00653BF4">
        <w:rPr>
          <w:rFonts w:asciiTheme="minorHAnsi" w:hAnsiTheme="minorHAnsi"/>
          <w:sz w:val="24"/>
          <w:szCs w:val="24"/>
          <w:lang w:val="fr-FR"/>
        </w:rPr>
        <w:t>environnement et les professionnels de la gestion des déchets peut contribuer à ce que les espaces verts et bleus des villes soient aménagés et entretenus de manière à réduire au minimum la pollution et à protéger les fonctions des écosystèmes. Les lignes directrices techniques de la Convention de Bâle relatives à la gestion respectueuse de l</w:t>
      </w:r>
      <w:r w:rsidR="00D77549">
        <w:rPr>
          <w:rFonts w:asciiTheme="minorHAnsi" w:hAnsiTheme="minorHAnsi"/>
          <w:sz w:val="24"/>
          <w:szCs w:val="24"/>
          <w:lang w:val="fr-FR"/>
        </w:rPr>
        <w:t>’</w:t>
      </w:r>
      <w:r w:rsidRPr="00653BF4">
        <w:rPr>
          <w:rFonts w:asciiTheme="minorHAnsi" w:hAnsiTheme="minorHAnsi"/>
          <w:sz w:val="24"/>
          <w:szCs w:val="24"/>
          <w:lang w:val="fr-FR"/>
        </w:rPr>
        <w:t>environnement des déchets municipaux solides et d’autres flux pertinents proposent des mesures concrètes en matière de réduction, de tri, d’élimination en toute sécurité et de traitement des déchets, c</w:t>
      </w:r>
      <w:r w:rsidR="00D77549">
        <w:rPr>
          <w:rFonts w:asciiTheme="minorHAnsi" w:hAnsiTheme="minorHAnsi"/>
          <w:sz w:val="24"/>
          <w:szCs w:val="24"/>
          <w:lang w:val="fr-FR"/>
        </w:rPr>
        <w:t>’</w:t>
      </w:r>
      <w:r w:rsidRPr="00653BF4">
        <w:rPr>
          <w:rFonts w:asciiTheme="minorHAnsi" w:hAnsiTheme="minorHAnsi"/>
          <w:sz w:val="24"/>
          <w:szCs w:val="24"/>
          <w:lang w:val="fr-FR"/>
        </w:rPr>
        <w:t>est-à-dire des mesures qui sont essentielles pour prévenir la contamination des parcs, des cours d’eau et des corridors de biodiversité urbains. L</w:t>
      </w:r>
      <w:r w:rsidR="00D77549">
        <w:rPr>
          <w:rFonts w:asciiTheme="minorHAnsi" w:hAnsiTheme="minorHAnsi"/>
          <w:sz w:val="24"/>
          <w:szCs w:val="24"/>
          <w:lang w:val="fr-FR"/>
        </w:rPr>
        <w:t>’</w:t>
      </w:r>
      <w:r w:rsidRPr="00653BF4">
        <w:rPr>
          <w:rFonts w:asciiTheme="minorHAnsi" w:hAnsiTheme="minorHAnsi"/>
          <w:sz w:val="24"/>
          <w:szCs w:val="24"/>
          <w:lang w:val="fr-FR"/>
        </w:rPr>
        <w:t>intégration de ces lignes directrices dans les stratégies d</w:t>
      </w:r>
      <w:r w:rsidR="00D77549">
        <w:rPr>
          <w:rFonts w:asciiTheme="minorHAnsi" w:hAnsiTheme="minorHAnsi"/>
          <w:sz w:val="24"/>
          <w:szCs w:val="24"/>
          <w:lang w:val="fr-FR"/>
        </w:rPr>
        <w:t>’</w:t>
      </w:r>
      <w:r w:rsidRPr="00653BF4">
        <w:rPr>
          <w:rFonts w:asciiTheme="minorHAnsi" w:hAnsiTheme="minorHAnsi"/>
          <w:sz w:val="24"/>
          <w:szCs w:val="24"/>
          <w:lang w:val="fr-FR"/>
        </w:rPr>
        <w:t>aménagement urbain peut contribuer à réduire les pressions environnementales exercées sur les espaces verts tout en favorisant des écosystèmes urbains plus sains et plus résilients (secrétariat des Conventions de Bâle, de Rotterdam et de Stockholm, 2025).</w:t>
      </w:r>
    </w:p>
    <w:p w14:paraId="27A5A73A" w14:textId="77777777" w:rsidR="00B87039" w:rsidRPr="00653BF4" w:rsidRDefault="00B87039" w:rsidP="00B87039">
      <w:pPr>
        <w:rPr>
          <w:lang w:val="fr-FR"/>
        </w:rPr>
      </w:pPr>
    </w:p>
    <w:p w14:paraId="190D2CC5" w14:textId="77777777" w:rsidR="00B87039" w:rsidRPr="00653BF4" w:rsidRDefault="00B87039" w:rsidP="00B87039">
      <w:pPr>
        <w:rPr>
          <w:lang w:val="fr-FR"/>
        </w:rPr>
      </w:pPr>
    </w:p>
    <w:p w14:paraId="297B4D19" w14:textId="17A36065" w:rsidR="00B87039" w:rsidRPr="00653BF4" w:rsidRDefault="00E34DC9" w:rsidP="00B87039">
      <w:pPr>
        <w:pStyle w:val="Heading4"/>
        <w:rPr>
          <w:i w:val="0"/>
          <w:iCs w:val="0"/>
          <w:lang w:val="fr-FR"/>
        </w:rPr>
      </w:pPr>
      <w:bookmarkStart w:id="247" w:name="_Toc235821205"/>
      <w:bookmarkStart w:id="248" w:name="_Toc239069208"/>
      <w:bookmarkStart w:id="249" w:name="_Toc2067247784"/>
      <w:bookmarkStart w:id="250" w:name="_Toc242801245"/>
      <w:r>
        <w:rPr>
          <w:b/>
          <w:bCs/>
          <w:i w:val="0"/>
          <w:iCs w:val="0"/>
          <w:lang w:val="fr-FR"/>
        </w:rPr>
        <w:t>Cible 1</w:t>
      </w:r>
      <w:r w:rsidR="00B87039" w:rsidRPr="00653BF4">
        <w:rPr>
          <w:b/>
          <w:bCs/>
          <w:i w:val="0"/>
          <w:iCs w:val="0"/>
          <w:lang w:val="fr-FR"/>
        </w:rPr>
        <w:t>3.</w:t>
      </w:r>
      <w:r w:rsidR="00B87039" w:rsidRPr="00653BF4">
        <w:rPr>
          <w:i w:val="0"/>
          <w:iCs w:val="0"/>
          <w:lang w:val="fr-FR"/>
        </w:rPr>
        <w:t xml:space="preserve"> Accroître le partage des avantages découlant des ressources génétiques, l</w:t>
      </w:r>
      <w:r w:rsidR="00D77549">
        <w:rPr>
          <w:i w:val="0"/>
          <w:iCs w:val="0"/>
          <w:lang w:val="fr-FR"/>
        </w:rPr>
        <w:t>’</w:t>
      </w:r>
      <w:r w:rsidR="00B87039" w:rsidRPr="00653BF4">
        <w:rPr>
          <w:i w:val="0"/>
          <w:iCs w:val="0"/>
          <w:lang w:val="fr-FR"/>
        </w:rPr>
        <w:t>information de séquençage numérique et les connaissances traditionnelles</w:t>
      </w:r>
      <w:bookmarkEnd w:id="247"/>
      <w:bookmarkEnd w:id="248"/>
      <w:bookmarkEnd w:id="249"/>
      <w:bookmarkEnd w:id="250"/>
    </w:p>
    <w:p w14:paraId="7A496F27" w14:textId="77777777" w:rsidR="00B87039" w:rsidRPr="00653BF4" w:rsidRDefault="00B87039" w:rsidP="00B87039">
      <w:pPr>
        <w:rPr>
          <w:lang w:val="fr-FR"/>
        </w:rPr>
      </w:pPr>
    </w:p>
    <w:p w14:paraId="6E3A1869" w14:textId="44908ACA" w:rsidR="00B87039" w:rsidRPr="00653BF4" w:rsidRDefault="00B87039" w:rsidP="00B87039">
      <w:pPr>
        <w:rPr>
          <w:sz w:val="22"/>
          <w:szCs w:val="22"/>
          <w:lang w:val="fr-FR"/>
        </w:rPr>
      </w:pPr>
      <w:bookmarkStart w:id="251" w:name="_Toc235821206"/>
      <w:r w:rsidRPr="00653BF4">
        <w:rPr>
          <w:b/>
          <w:bCs/>
          <w:sz w:val="22"/>
          <w:szCs w:val="22"/>
          <w:lang w:val="fr-FR"/>
        </w:rPr>
        <w:t>Texte cible</w:t>
      </w:r>
      <w:r w:rsidR="00E34DC9">
        <w:rPr>
          <w:b/>
          <w:bCs/>
          <w:sz w:val="22"/>
          <w:szCs w:val="22"/>
          <w:lang w:val="fr-FR"/>
        </w:rPr>
        <w:t> :</w:t>
      </w:r>
      <w:r w:rsidRPr="00653BF4">
        <w:rPr>
          <w:sz w:val="22"/>
          <w:szCs w:val="22"/>
          <w:lang w:val="fr-FR"/>
        </w:rPr>
        <w:t xml:space="preserve"> </w:t>
      </w:r>
      <w:r w:rsidRPr="00653BF4">
        <w:rPr>
          <w:i/>
          <w:iCs/>
          <w:sz w:val="22"/>
          <w:szCs w:val="22"/>
          <w:lang w:val="fr-FR"/>
        </w:rPr>
        <w:t>Prendre des mesures juridiques, politiques, administratives et de renforcement des capacités efficaces à tous les niveaux, selon qu</w:t>
      </w:r>
      <w:r w:rsidR="00D77549">
        <w:rPr>
          <w:i/>
          <w:iCs/>
          <w:sz w:val="22"/>
          <w:szCs w:val="22"/>
          <w:lang w:val="fr-FR"/>
        </w:rPr>
        <w:t>’</w:t>
      </w:r>
      <w:r w:rsidRPr="00653BF4">
        <w:rPr>
          <w:i/>
          <w:iCs/>
          <w:sz w:val="22"/>
          <w:szCs w:val="22"/>
          <w:lang w:val="fr-FR"/>
        </w:rPr>
        <w:t>il convient, pour assurer le partage juste et équitable des avantages découlant de l</w:t>
      </w:r>
      <w:r w:rsidR="00D77549">
        <w:rPr>
          <w:i/>
          <w:iCs/>
          <w:sz w:val="22"/>
          <w:szCs w:val="22"/>
          <w:lang w:val="fr-FR"/>
        </w:rPr>
        <w:t>’</w:t>
      </w:r>
      <w:r w:rsidRPr="00653BF4">
        <w:rPr>
          <w:i/>
          <w:iCs/>
          <w:sz w:val="22"/>
          <w:szCs w:val="22"/>
          <w:lang w:val="fr-FR"/>
        </w:rPr>
        <w:t>utilisation des ressources génétiques et de l’information de séquençage numérique sur les ressources génétiques, ainsi que des connaissances traditionnelles associées aux ressources génétiques, et faciliter l</w:t>
      </w:r>
      <w:r w:rsidR="00D77549">
        <w:rPr>
          <w:i/>
          <w:iCs/>
          <w:sz w:val="22"/>
          <w:szCs w:val="22"/>
          <w:lang w:val="fr-FR"/>
        </w:rPr>
        <w:t>’</w:t>
      </w:r>
      <w:r w:rsidRPr="00653BF4">
        <w:rPr>
          <w:i/>
          <w:iCs/>
          <w:sz w:val="22"/>
          <w:szCs w:val="22"/>
          <w:lang w:val="fr-FR"/>
        </w:rPr>
        <w:t>accès approprié aux ressources génétiques, et d</w:t>
      </w:r>
      <w:r w:rsidR="00D77549">
        <w:rPr>
          <w:i/>
          <w:iCs/>
          <w:sz w:val="22"/>
          <w:szCs w:val="22"/>
          <w:lang w:val="fr-FR"/>
        </w:rPr>
        <w:t>’</w:t>
      </w:r>
      <w:r w:rsidRPr="00653BF4">
        <w:rPr>
          <w:i/>
          <w:iCs/>
          <w:sz w:val="22"/>
          <w:szCs w:val="22"/>
          <w:lang w:val="fr-FR"/>
        </w:rPr>
        <w:t>ici à 2030, favoriser une augmentation significative des avantages partagés, dans le respect des instruments internationaux applicables en matière d</w:t>
      </w:r>
      <w:r w:rsidR="00D77549">
        <w:rPr>
          <w:i/>
          <w:iCs/>
          <w:sz w:val="22"/>
          <w:szCs w:val="22"/>
          <w:lang w:val="fr-FR"/>
        </w:rPr>
        <w:t>’</w:t>
      </w:r>
      <w:r w:rsidRPr="00653BF4">
        <w:rPr>
          <w:i/>
          <w:iCs/>
          <w:sz w:val="22"/>
          <w:szCs w:val="22"/>
          <w:lang w:val="fr-FR"/>
        </w:rPr>
        <w:t>accès et de partage des avantages.</w:t>
      </w:r>
    </w:p>
    <w:p w14:paraId="45C76E0E" w14:textId="77777777" w:rsidR="00B87039" w:rsidRPr="00653BF4" w:rsidRDefault="00B87039" w:rsidP="00B87039">
      <w:pPr>
        <w:pStyle w:val="Heading5"/>
        <w:rPr>
          <w:lang w:val="fr-FR"/>
        </w:rPr>
      </w:pPr>
    </w:p>
    <w:p w14:paraId="0ED5D6F2" w14:textId="77777777" w:rsidR="00B87039" w:rsidRPr="00653BF4" w:rsidRDefault="00B87039" w:rsidP="00B87039">
      <w:pPr>
        <w:rPr>
          <w:lang w:val="fr-FR"/>
        </w:rPr>
      </w:pPr>
    </w:p>
    <w:p w14:paraId="3CA3BCCF" w14:textId="4AAD6FA2" w:rsidR="00B87039" w:rsidRPr="00653BF4" w:rsidRDefault="00B87039" w:rsidP="00B87039">
      <w:pPr>
        <w:pStyle w:val="Heading5"/>
        <w:rPr>
          <w:lang w:val="fr-FR"/>
        </w:rPr>
      </w:pPr>
      <w:r w:rsidRPr="00653BF4">
        <w:rPr>
          <w:lang w:val="fr-FR"/>
        </w:rPr>
        <w:t>Aperçu des progrès accomplis</w:t>
      </w:r>
      <w:bookmarkEnd w:id="251"/>
    </w:p>
    <w:p w14:paraId="708F2232" w14:textId="77777777" w:rsidR="00B87039" w:rsidRPr="00653BF4" w:rsidRDefault="00B87039" w:rsidP="00B87039">
      <w:pPr>
        <w:rPr>
          <w:lang w:val="fr-FR"/>
        </w:rPr>
      </w:pPr>
    </w:p>
    <w:tbl>
      <w:tblPr>
        <w:tblStyle w:val="TableGrid"/>
        <w:tblW w:w="0" w:type="auto"/>
        <w:tblLook w:val="04A0" w:firstRow="1" w:lastRow="0" w:firstColumn="1" w:lastColumn="0" w:noHBand="0" w:noVBand="1"/>
      </w:tblPr>
      <w:tblGrid>
        <w:gridCol w:w="9016"/>
      </w:tblGrid>
      <w:tr w:rsidR="00B87039" w:rsidRPr="00543148" w14:paraId="67A43251" w14:textId="77777777" w:rsidTr="00557FB3">
        <w:tc>
          <w:tcPr>
            <w:tcW w:w="9016" w:type="dxa"/>
            <w:shd w:val="clear" w:color="auto" w:fill="D1D1D1" w:themeFill="background2" w:themeFillShade="E6"/>
          </w:tcPr>
          <w:p w14:paraId="3E1FBF91" w14:textId="77777777" w:rsidR="00B87039" w:rsidRPr="00653BF4" w:rsidRDefault="00B87039" w:rsidP="00557FB3">
            <w:pPr>
              <w:rPr>
                <w:rFonts w:eastAsia="Times New Roman" w:cs="Calibri"/>
                <w:color w:val="000000"/>
                <w:lang w:val="fr-FR"/>
              </w:rPr>
            </w:pPr>
          </w:p>
          <w:p w14:paraId="6304EAA0" w14:textId="46F7DF81" w:rsidR="00B87039" w:rsidRPr="00653BF4" w:rsidRDefault="00B87039" w:rsidP="00557FB3">
            <w:pPr>
              <w:rPr>
                <w:rFonts w:eastAsia="Times New Roman" w:cs="Calibri"/>
                <w:color w:val="000000"/>
                <w:lang w:val="fr-FR"/>
              </w:rPr>
            </w:pPr>
            <w:r w:rsidRPr="00653BF4">
              <w:rPr>
                <w:rFonts w:eastAsia="Times New Roman" w:cs="Calibri"/>
                <w:color w:val="000000"/>
                <w:lang w:val="fr-FR"/>
              </w:rPr>
              <w:t>Des progrès sont réalisés dans la mise en place de cadres relatifs à l</w:t>
            </w:r>
            <w:r w:rsidR="00D77549">
              <w:rPr>
                <w:rFonts w:eastAsia="Times New Roman" w:cs="Calibri"/>
                <w:color w:val="000000"/>
                <w:lang w:val="fr-FR"/>
              </w:rPr>
              <w:t>’</w:t>
            </w:r>
            <w:r w:rsidRPr="00653BF4">
              <w:rPr>
                <w:rFonts w:eastAsia="Times New Roman" w:cs="Calibri"/>
                <w:color w:val="000000"/>
                <w:lang w:val="fr-FR"/>
              </w:rPr>
              <w:t>accès et au partage des avantages (APA), mais la mise en œuvre des dispositions législatives, politiques et administratives nécessaires n</w:t>
            </w:r>
            <w:r w:rsidR="00D77549">
              <w:rPr>
                <w:rFonts w:eastAsia="Times New Roman" w:cs="Calibri"/>
                <w:color w:val="000000"/>
                <w:lang w:val="fr-FR"/>
              </w:rPr>
              <w:t>’</w:t>
            </w:r>
            <w:r w:rsidRPr="00653BF4">
              <w:rPr>
                <w:rFonts w:eastAsia="Times New Roman" w:cs="Calibri"/>
                <w:color w:val="000000"/>
                <w:lang w:val="fr-FR"/>
              </w:rPr>
              <w:t>en est encore qu</w:t>
            </w:r>
            <w:r w:rsidR="00D77549">
              <w:rPr>
                <w:rFonts w:eastAsia="Times New Roman" w:cs="Calibri"/>
                <w:color w:val="000000"/>
                <w:lang w:val="fr-FR"/>
              </w:rPr>
              <w:t>’</w:t>
            </w:r>
            <w:r w:rsidRPr="00653BF4">
              <w:rPr>
                <w:rFonts w:eastAsia="Times New Roman" w:cs="Calibri"/>
                <w:color w:val="000000"/>
                <w:lang w:val="fr-FR"/>
              </w:rPr>
              <w:t>à ses débuts. Dans l</w:t>
            </w:r>
            <w:r w:rsidR="00D77549">
              <w:rPr>
                <w:rFonts w:eastAsia="Times New Roman" w:cs="Calibri"/>
                <w:color w:val="000000"/>
                <w:lang w:val="fr-FR"/>
              </w:rPr>
              <w:t>’</w:t>
            </w:r>
            <w:r w:rsidRPr="00653BF4">
              <w:rPr>
                <w:rFonts w:eastAsia="Times New Roman" w:cs="Calibri"/>
                <w:color w:val="000000"/>
                <w:lang w:val="fr-FR"/>
              </w:rPr>
              <w:t xml:space="preserve">ensemble, les cibles nationales assurent une bonne prise en compte des éléments de la </w:t>
            </w:r>
            <w:r w:rsidR="00E34DC9">
              <w:rPr>
                <w:rFonts w:eastAsia="Times New Roman" w:cs="Calibri"/>
                <w:color w:val="000000"/>
                <w:lang w:val="fr-FR"/>
              </w:rPr>
              <w:t>cible 1</w:t>
            </w:r>
            <w:r w:rsidRPr="00653BF4">
              <w:rPr>
                <w:rFonts w:eastAsia="Times New Roman" w:cs="Calibri"/>
                <w:color w:val="000000"/>
                <w:lang w:val="fr-FR"/>
              </w:rPr>
              <w:t>3 liés aux ressources génétiques. Les Parties ont fourni peu de données concernant les avantages monétaires ou non monétaires découlant des instruments APA. Une analyse des indicateurs fait apparaître une tendance globalement positive, corroborée par les auto-évaluations des Parties, qui montrent que 43</w:t>
            </w:r>
            <w:r w:rsidR="002878D7">
              <w:rPr>
                <w:rFonts w:eastAsia="Times New Roman" w:cs="Calibri"/>
                <w:color w:val="000000"/>
                <w:lang w:val="fr-FR"/>
              </w:rPr>
              <w:t> %</w:t>
            </w:r>
            <w:r w:rsidRPr="00653BF4">
              <w:rPr>
                <w:rFonts w:eastAsia="Times New Roman" w:cs="Calibri"/>
                <w:color w:val="000000"/>
                <w:lang w:val="fr-FR"/>
              </w:rPr>
              <w:t xml:space="preserve"> des cibles nationales étroitement alignées sur la </w:t>
            </w:r>
            <w:r w:rsidR="00E34DC9">
              <w:rPr>
                <w:rFonts w:eastAsia="Times New Roman" w:cs="Calibri"/>
                <w:color w:val="000000"/>
                <w:lang w:val="fr-FR"/>
              </w:rPr>
              <w:t>cible 1</w:t>
            </w:r>
            <w:r w:rsidRPr="00653BF4">
              <w:rPr>
                <w:rFonts w:eastAsia="Times New Roman" w:cs="Calibri"/>
                <w:color w:val="000000"/>
                <w:lang w:val="fr-FR"/>
              </w:rPr>
              <w:t>3 sont en voie d’être atteintes. Les difficultés d</w:t>
            </w:r>
            <w:r w:rsidR="00D77549">
              <w:rPr>
                <w:rFonts w:eastAsia="Times New Roman" w:cs="Calibri"/>
                <w:color w:val="000000"/>
                <w:lang w:val="fr-FR"/>
              </w:rPr>
              <w:t>’</w:t>
            </w:r>
            <w:r w:rsidRPr="00653BF4">
              <w:rPr>
                <w:rFonts w:eastAsia="Times New Roman" w:cs="Calibri"/>
                <w:color w:val="000000"/>
                <w:lang w:val="fr-FR"/>
              </w:rPr>
              <w:t>ordre réglementaire figurent parmi les obstacles les plus fréquemment cités à la mise en œuvre. Il est nécessaire de renforcer le suivi afin de déterminer l</w:t>
            </w:r>
            <w:r w:rsidR="00D77549">
              <w:rPr>
                <w:rFonts w:eastAsia="Times New Roman" w:cs="Calibri"/>
                <w:color w:val="000000"/>
                <w:lang w:val="fr-FR"/>
              </w:rPr>
              <w:t>’</w:t>
            </w:r>
            <w:r w:rsidRPr="00653BF4">
              <w:rPr>
                <w:rFonts w:eastAsia="Times New Roman" w:cs="Calibri"/>
                <w:color w:val="000000"/>
                <w:lang w:val="fr-FR"/>
              </w:rPr>
              <w:t>impact des cadres APA nationaux et d</w:t>
            </w:r>
            <w:r w:rsidR="00D77549">
              <w:rPr>
                <w:rFonts w:eastAsia="Times New Roman" w:cs="Calibri"/>
                <w:color w:val="000000"/>
                <w:lang w:val="fr-FR"/>
              </w:rPr>
              <w:t>’</w:t>
            </w:r>
            <w:r w:rsidRPr="00653BF4">
              <w:rPr>
                <w:rFonts w:eastAsia="Times New Roman" w:cs="Calibri"/>
                <w:color w:val="000000"/>
                <w:lang w:val="fr-FR"/>
              </w:rPr>
              <w:t>autres cadres réglementaires sur l</w:t>
            </w:r>
            <w:r w:rsidR="00D77549">
              <w:rPr>
                <w:rFonts w:eastAsia="Times New Roman" w:cs="Calibri"/>
                <w:color w:val="000000"/>
                <w:lang w:val="fr-FR"/>
              </w:rPr>
              <w:t>’</w:t>
            </w:r>
            <w:r w:rsidRPr="00653BF4">
              <w:rPr>
                <w:rFonts w:eastAsia="Times New Roman" w:cs="Calibri"/>
                <w:color w:val="000000"/>
                <w:lang w:val="fr-FR"/>
              </w:rPr>
              <w:t>augmentation des avantages partagés.</w:t>
            </w:r>
          </w:p>
          <w:p w14:paraId="4EA9EADE" w14:textId="77777777" w:rsidR="00B87039" w:rsidRPr="00653BF4" w:rsidRDefault="00B87039" w:rsidP="00557FB3">
            <w:pPr>
              <w:rPr>
                <w:lang w:val="fr-FR"/>
              </w:rPr>
            </w:pPr>
          </w:p>
        </w:tc>
      </w:tr>
    </w:tbl>
    <w:p w14:paraId="212B4E4E" w14:textId="77777777" w:rsidR="00B87039" w:rsidRPr="00653BF4" w:rsidRDefault="00B87039" w:rsidP="00B87039">
      <w:pPr>
        <w:rPr>
          <w:lang w:val="fr-FR"/>
        </w:rPr>
      </w:pPr>
    </w:p>
    <w:p w14:paraId="1567CA00" w14:textId="6CB53222" w:rsidR="00B87039" w:rsidRPr="00653BF4" w:rsidRDefault="00B87039" w:rsidP="00B87039">
      <w:pPr>
        <w:pStyle w:val="Heading5"/>
        <w:rPr>
          <w:lang w:val="fr-FR"/>
        </w:rPr>
      </w:pPr>
      <w:r w:rsidRPr="00653BF4">
        <w:rPr>
          <w:lang w:val="fr-FR"/>
        </w:rPr>
        <w:t xml:space="preserve">Prise en compte par les Parties de la portée de la </w:t>
      </w:r>
      <w:r w:rsidR="00E34DC9">
        <w:rPr>
          <w:lang w:val="fr-FR"/>
        </w:rPr>
        <w:t>cible 1</w:t>
      </w:r>
      <w:r w:rsidRPr="00653BF4">
        <w:rPr>
          <w:lang w:val="fr-FR"/>
        </w:rPr>
        <w:t>3 du Cadre dans leurs cibles nationales</w:t>
      </w:r>
    </w:p>
    <w:p w14:paraId="49BD164D" w14:textId="77777777" w:rsidR="00B87039" w:rsidRPr="00653BF4" w:rsidRDefault="00B87039" w:rsidP="00B87039">
      <w:pPr>
        <w:rPr>
          <w:sz w:val="22"/>
          <w:szCs w:val="22"/>
          <w:lang w:val="fr-FR"/>
        </w:rPr>
      </w:pPr>
    </w:p>
    <w:p w14:paraId="760D5991" w14:textId="3B0A4379" w:rsidR="00B87039" w:rsidRPr="00653BF4" w:rsidRDefault="00B87039" w:rsidP="00B87039">
      <w:pPr>
        <w:pStyle w:val="Caption"/>
        <w:keepNext/>
        <w:rPr>
          <w:i w:val="0"/>
          <w:iCs w:val="0"/>
          <w:sz w:val="20"/>
          <w:szCs w:val="20"/>
          <w:lang w:val="fr-FR"/>
        </w:rPr>
      </w:pPr>
      <w:bookmarkStart w:id="252" w:name="_Ref230776493"/>
      <w:r w:rsidRPr="00653BF4">
        <w:rPr>
          <w:i w:val="0"/>
          <w:iCs w:val="0"/>
          <w:sz w:val="20"/>
          <w:szCs w:val="20"/>
          <w:lang w:val="fr-FR"/>
        </w:rPr>
        <w:lastRenderedPageBreak/>
        <w:t>Tableau 28</w:t>
      </w:r>
      <w:bookmarkEnd w:id="252"/>
      <w:r w:rsidRPr="00653BF4">
        <w:rPr>
          <w:i w:val="0"/>
          <w:iCs w:val="0"/>
          <w:sz w:val="20"/>
          <w:szCs w:val="20"/>
          <w:lang w:val="fr-FR"/>
        </w:rPr>
        <w:t xml:space="preserve"> </w:t>
      </w:r>
    </w:p>
    <w:p w14:paraId="79320875" w14:textId="0D761EB8" w:rsidR="00B87039" w:rsidRPr="00653BF4" w:rsidRDefault="00B87039" w:rsidP="00B87039">
      <w:pPr>
        <w:pStyle w:val="Caption"/>
        <w:keepNext/>
        <w:rPr>
          <w:i w:val="0"/>
          <w:sz w:val="20"/>
          <w:szCs w:val="20"/>
          <w:lang w:val="fr-FR"/>
        </w:rPr>
      </w:pPr>
      <w:r w:rsidRPr="00653BF4">
        <w:rPr>
          <w:b/>
          <w:i w:val="0"/>
          <w:sz w:val="20"/>
          <w:szCs w:val="20"/>
          <w:lang w:val="fr-FR"/>
        </w:rPr>
        <w:t xml:space="preserve">Éléments de la </w:t>
      </w:r>
      <w:r w:rsidR="00E34DC9">
        <w:rPr>
          <w:b/>
          <w:i w:val="0"/>
          <w:sz w:val="20"/>
          <w:szCs w:val="20"/>
          <w:lang w:val="fr-FR"/>
        </w:rPr>
        <w:t>cible 1</w:t>
      </w:r>
      <w:r w:rsidRPr="00653BF4">
        <w:rPr>
          <w:b/>
          <w:i w:val="0"/>
          <w:sz w:val="20"/>
          <w:szCs w:val="20"/>
          <w:lang w:val="fr-FR"/>
        </w:rPr>
        <w:t xml:space="preserve">3 du Cadre et </w:t>
      </w:r>
      <w:r w:rsidRPr="00653BF4">
        <w:rPr>
          <w:b/>
          <w:bCs/>
          <w:i w:val="0"/>
          <w:iCs w:val="0"/>
          <w:sz w:val="20"/>
          <w:szCs w:val="20"/>
          <w:lang w:val="fr-FR"/>
        </w:rPr>
        <w:t>leur prise en compte dans les cibles nationales</w:t>
      </w:r>
      <w:r w:rsidRPr="00653BF4">
        <w:rPr>
          <w:i w:val="0"/>
          <w:iCs w:val="0"/>
          <w:sz w:val="20"/>
          <w:szCs w:val="20"/>
          <w:vertAlign w:val="superscript"/>
          <w:lang w:val="fr-FR"/>
        </w:rPr>
        <w:t>a</w:t>
      </w:r>
    </w:p>
    <w:p w14:paraId="0F7B6937" w14:textId="77777777" w:rsidR="00B87039" w:rsidRPr="00653BF4" w:rsidRDefault="00B87039" w:rsidP="00B87039">
      <w:pPr>
        <w:rPr>
          <w:lang w:val="fr-FR" w:eastAsia="ja-JP"/>
        </w:rPr>
      </w:pPr>
    </w:p>
    <w:tbl>
      <w:tblPr>
        <w:tblStyle w:val="TableGrid"/>
        <w:tblW w:w="0" w:type="auto"/>
        <w:tblLook w:val="04A0" w:firstRow="1" w:lastRow="0" w:firstColumn="1" w:lastColumn="0" w:noHBand="0" w:noVBand="1"/>
      </w:tblPr>
      <w:tblGrid>
        <w:gridCol w:w="8359"/>
        <w:gridCol w:w="657"/>
      </w:tblGrid>
      <w:tr w:rsidR="00B87039" w:rsidRPr="00653BF4" w14:paraId="1949ECC1" w14:textId="77777777" w:rsidTr="00557FB3">
        <w:tc>
          <w:tcPr>
            <w:tcW w:w="8359" w:type="dxa"/>
          </w:tcPr>
          <w:p w14:paraId="0C802E70" w14:textId="1F9A11F8"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Prendre des mesures juridiques, politiques et administratives efficaces à tous les niveaux pour assurer le partage juste et équitable des avantages découlant de l</w:t>
            </w:r>
            <w:r w:rsidR="00D77549">
              <w:rPr>
                <w:rFonts w:cs="Times New Roman"/>
                <w:kern w:val="0"/>
                <w:sz w:val="21"/>
                <w:szCs w:val="21"/>
                <w:lang w:val="fr-FR"/>
              </w:rPr>
              <w:t>’</w:t>
            </w:r>
            <w:r w:rsidRPr="00653BF4">
              <w:rPr>
                <w:rFonts w:cs="Times New Roman"/>
                <w:kern w:val="0"/>
                <w:sz w:val="21"/>
                <w:szCs w:val="21"/>
                <w:lang w:val="fr-FR"/>
              </w:rPr>
              <w:t>utilisation des ressources génétiques</w:t>
            </w:r>
          </w:p>
        </w:tc>
        <w:tc>
          <w:tcPr>
            <w:tcW w:w="657" w:type="dxa"/>
            <w:shd w:val="clear" w:color="auto" w:fill="92D050"/>
          </w:tcPr>
          <w:p w14:paraId="2C822ECB" w14:textId="77777777" w:rsidR="00B87039" w:rsidRPr="00653BF4" w:rsidRDefault="00B87039" w:rsidP="00557FB3">
            <w:pPr>
              <w:rPr>
                <w:lang w:val="fr-FR"/>
              </w:rPr>
            </w:pPr>
            <w:r w:rsidRPr="00653BF4">
              <w:rPr>
                <w:lang w:val="fr-FR"/>
              </w:rPr>
              <w:t>79</w:t>
            </w:r>
          </w:p>
        </w:tc>
      </w:tr>
      <w:tr w:rsidR="00B87039" w:rsidRPr="00653BF4" w14:paraId="78C84D61" w14:textId="77777777" w:rsidTr="00557FB3">
        <w:tc>
          <w:tcPr>
            <w:tcW w:w="8359" w:type="dxa"/>
          </w:tcPr>
          <w:p w14:paraId="440C54C5" w14:textId="233E75EF"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Prendre des mesures de renforcement des capacités efficaces à tous les niveaux pour assurer le partage juste et équitable des avantages découlant de l</w:t>
            </w:r>
            <w:r w:rsidR="00D77549">
              <w:rPr>
                <w:rFonts w:cs="Times New Roman"/>
                <w:kern w:val="0"/>
                <w:sz w:val="21"/>
                <w:szCs w:val="21"/>
                <w:lang w:val="fr-FR"/>
              </w:rPr>
              <w:t>’</w:t>
            </w:r>
            <w:r w:rsidRPr="00653BF4">
              <w:rPr>
                <w:rFonts w:cs="Times New Roman"/>
                <w:kern w:val="0"/>
                <w:sz w:val="21"/>
                <w:szCs w:val="21"/>
                <w:lang w:val="fr-FR"/>
              </w:rPr>
              <w:t>utilisation des ressources génétiques</w:t>
            </w:r>
          </w:p>
        </w:tc>
        <w:tc>
          <w:tcPr>
            <w:tcW w:w="657" w:type="dxa"/>
            <w:shd w:val="clear" w:color="auto" w:fill="92D050"/>
          </w:tcPr>
          <w:p w14:paraId="281CED4C" w14:textId="77777777" w:rsidR="00B87039" w:rsidRPr="00653BF4" w:rsidRDefault="00B87039" w:rsidP="00557FB3">
            <w:pPr>
              <w:rPr>
                <w:lang w:val="fr-FR"/>
              </w:rPr>
            </w:pPr>
            <w:r w:rsidRPr="00653BF4">
              <w:rPr>
                <w:lang w:val="fr-FR"/>
              </w:rPr>
              <w:t>60</w:t>
            </w:r>
          </w:p>
        </w:tc>
      </w:tr>
      <w:tr w:rsidR="00B87039" w:rsidRPr="00653BF4" w14:paraId="4B5ABB2F" w14:textId="77777777" w:rsidTr="00557FB3">
        <w:tc>
          <w:tcPr>
            <w:tcW w:w="8359" w:type="dxa"/>
          </w:tcPr>
          <w:p w14:paraId="374D7B19" w14:textId="3C6729E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Prendre des mesures juridiques, politiques et administratives efficaces à tous les niveaux pour assurer le partage juste et équitable des avantages découlant de l</w:t>
            </w:r>
            <w:r w:rsidR="00D77549">
              <w:rPr>
                <w:rFonts w:cs="Times New Roman"/>
                <w:kern w:val="0"/>
                <w:sz w:val="21"/>
                <w:szCs w:val="21"/>
                <w:lang w:val="fr-FR"/>
              </w:rPr>
              <w:t>’</w:t>
            </w:r>
            <w:r w:rsidRPr="00653BF4">
              <w:rPr>
                <w:rFonts w:cs="Times New Roman"/>
                <w:kern w:val="0"/>
                <w:sz w:val="21"/>
                <w:szCs w:val="21"/>
                <w:lang w:val="fr-FR"/>
              </w:rPr>
              <w:t>utilisation de l</w:t>
            </w:r>
            <w:r w:rsidR="00D77549">
              <w:rPr>
                <w:rFonts w:cs="Times New Roman"/>
                <w:kern w:val="0"/>
                <w:sz w:val="21"/>
                <w:szCs w:val="21"/>
                <w:lang w:val="fr-FR"/>
              </w:rPr>
              <w:t>’</w:t>
            </w:r>
            <w:r w:rsidRPr="00653BF4">
              <w:rPr>
                <w:rFonts w:cs="Times New Roman"/>
                <w:kern w:val="0"/>
                <w:sz w:val="21"/>
                <w:szCs w:val="21"/>
                <w:lang w:val="fr-FR"/>
              </w:rPr>
              <w:t xml:space="preserve">information de séquençage numérique </w:t>
            </w:r>
          </w:p>
        </w:tc>
        <w:tc>
          <w:tcPr>
            <w:tcW w:w="657" w:type="dxa"/>
            <w:shd w:val="clear" w:color="auto" w:fill="FFFF00"/>
          </w:tcPr>
          <w:p w14:paraId="32784779" w14:textId="77777777" w:rsidR="00B87039" w:rsidRPr="00653BF4" w:rsidRDefault="00B87039" w:rsidP="00557FB3">
            <w:pPr>
              <w:rPr>
                <w:lang w:val="fr-FR"/>
              </w:rPr>
            </w:pPr>
            <w:r w:rsidRPr="00653BF4">
              <w:rPr>
                <w:lang w:val="fr-FR"/>
              </w:rPr>
              <w:t>52</w:t>
            </w:r>
          </w:p>
        </w:tc>
      </w:tr>
      <w:tr w:rsidR="00B87039" w:rsidRPr="00653BF4" w14:paraId="2531EE4F" w14:textId="77777777" w:rsidTr="00557FB3">
        <w:tc>
          <w:tcPr>
            <w:tcW w:w="8359" w:type="dxa"/>
          </w:tcPr>
          <w:p w14:paraId="72CBC5D3" w14:textId="6878471C"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Prendre des mesures de renforcement des capacités à tous les niveaux pour assurer le partage juste et équitable des avantages découlant de l</w:t>
            </w:r>
            <w:r w:rsidR="00D77549">
              <w:rPr>
                <w:rFonts w:cs="Times New Roman"/>
                <w:kern w:val="0"/>
                <w:sz w:val="21"/>
                <w:szCs w:val="21"/>
                <w:lang w:val="fr-FR"/>
              </w:rPr>
              <w:t>’</w:t>
            </w:r>
            <w:r w:rsidRPr="00653BF4">
              <w:rPr>
                <w:rFonts w:cs="Times New Roman"/>
                <w:kern w:val="0"/>
                <w:sz w:val="21"/>
                <w:szCs w:val="21"/>
                <w:lang w:val="fr-FR"/>
              </w:rPr>
              <w:t>utilisation de l</w:t>
            </w:r>
            <w:r w:rsidR="00D77549">
              <w:rPr>
                <w:rFonts w:cs="Times New Roman"/>
                <w:kern w:val="0"/>
                <w:sz w:val="21"/>
                <w:szCs w:val="21"/>
                <w:lang w:val="fr-FR"/>
              </w:rPr>
              <w:t>’</w:t>
            </w:r>
            <w:r w:rsidRPr="00653BF4">
              <w:rPr>
                <w:rFonts w:cs="Times New Roman"/>
                <w:kern w:val="0"/>
                <w:sz w:val="21"/>
                <w:szCs w:val="21"/>
                <w:lang w:val="fr-FR"/>
              </w:rPr>
              <w:t>information de séquençage numérique</w:t>
            </w:r>
          </w:p>
        </w:tc>
        <w:tc>
          <w:tcPr>
            <w:tcW w:w="657" w:type="dxa"/>
            <w:shd w:val="clear" w:color="auto" w:fill="FFFF00"/>
          </w:tcPr>
          <w:p w14:paraId="0E7121FF" w14:textId="77777777" w:rsidR="00B87039" w:rsidRPr="00653BF4" w:rsidRDefault="00B87039" w:rsidP="00557FB3">
            <w:pPr>
              <w:rPr>
                <w:lang w:val="fr-FR"/>
              </w:rPr>
            </w:pPr>
            <w:r w:rsidRPr="00653BF4">
              <w:rPr>
                <w:lang w:val="fr-FR"/>
              </w:rPr>
              <w:t>42</w:t>
            </w:r>
          </w:p>
        </w:tc>
      </w:tr>
      <w:tr w:rsidR="00B87039" w:rsidRPr="00653BF4" w14:paraId="223A7AA2" w14:textId="77777777" w:rsidTr="00557FB3">
        <w:tc>
          <w:tcPr>
            <w:tcW w:w="8359" w:type="dxa"/>
          </w:tcPr>
          <w:p w14:paraId="079008CC" w14:textId="7777777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 xml:space="preserve">Prendre des mesures juridiques, politiques et administratives efficaces à tous les niveaux pour assurer le partage juste et équitable des avantages découlant des connaissances traditionnelles </w:t>
            </w:r>
          </w:p>
        </w:tc>
        <w:tc>
          <w:tcPr>
            <w:tcW w:w="657" w:type="dxa"/>
            <w:shd w:val="clear" w:color="auto" w:fill="92D050"/>
          </w:tcPr>
          <w:p w14:paraId="3BAE2126" w14:textId="77777777" w:rsidR="00B87039" w:rsidRPr="00653BF4" w:rsidRDefault="00B87039" w:rsidP="00557FB3">
            <w:pPr>
              <w:rPr>
                <w:lang w:val="fr-FR"/>
              </w:rPr>
            </w:pPr>
            <w:r w:rsidRPr="00653BF4">
              <w:rPr>
                <w:lang w:val="fr-FR"/>
              </w:rPr>
              <w:t>60</w:t>
            </w:r>
          </w:p>
        </w:tc>
      </w:tr>
      <w:tr w:rsidR="00B87039" w:rsidRPr="00653BF4" w14:paraId="2F5338E8" w14:textId="77777777" w:rsidTr="00557FB3">
        <w:tc>
          <w:tcPr>
            <w:tcW w:w="8359" w:type="dxa"/>
          </w:tcPr>
          <w:p w14:paraId="387F6BCC" w14:textId="77777777" w:rsidR="00B87039" w:rsidRPr="00653BF4" w:rsidRDefault="00B87039" w:rsidP="00557FB3">
            <w:pPr>
              <w:rPr>
                <w:lang w:val="fr-FR"/>
              </w:rPr>
            </w:pPr>
            <w:r w:rsidRPr="00653BF4">
              <w:rPr>
                <w:rFonts w:cs="Times New Roman"/>
                <w:kern w:val="0"/>
                <w:sz w:val="21"/>
                <w:szCs w:val="21"/>
                <w:lang w:val="fr-FR"/>
              </w:rPr>
              <w:t xml:space="preserve">Prendre des mesures de renforcement des capacités efficaces à tous les niveaux pour assurer le partage juste et équitable des avantages découlant des connaissances traditionnelles </w:t>
            </w:r>
          </w:p>
        </w:tc>
        <w:tc>
          <w:tcPr>
            <w:tcW w:w="657" w:type="dxa"/>
            <w:shd w:val="clear" w:color="auto" w:fill="FFFF00"/>
          </w:tcPr>
          <w:p w14:paraId="0B574DE0" w14:textId="77777777" w:rsidR="00B87039" w:rsidRPr="00653BF4" w:rsidRDefault="00B87039" w:rsidP="00557FB3">
            <w:pPr>
              <w:rPr>
                <w:lang w:val="fr-FR"/>
              </w:rPr>
            </w:pPr>
            <w:r w:rsidRPr="00653BF4">
              <w:rPr>
                <w:lang w:val="fr-FR"/>
              </w:rPr>
              <w:t>51</w:t>
            </w:r>
          </w:p>
        </w:tc>
      </w:tr>
      <w:tr w:rsidR="00B87039" w:rsidRPr="00653BF4" w14:paraId="23F4FD79" w14:textId="77777777" w:rsidTr="00557FB3">
        <w:tc>
          <w:tcPr>
            <w:tcW w:w="8359" w:type="dxa"/>
          </w:tcPr>
          <w:p w14:paraId="26BAEE68" w14:textId="488D29F6" w:rsidR="00B87039" w:rsidRPr="00653BF4" w:rsidRDefault="00B87039" w:rsidP="00557FB3">
            <w:pPr>
              <w:rPr>
                <w:rFonts w:cs="Times New Roman"/>
                <w:kern w:val="0"/>
                <w:sz w:val="21"/>
                <w:szCs w:val="21"/>
                <w:lang w:val="fr-FR"/>
              </w:rPr>
            </w:pPr>
            <w:r w:rsidRPr="00653BF4">
              <w:rPr>
                <w:rFonts w:cs="Times New Roman"/>
                <w:kern w:val="0"/>
                <w:sz w:val="21"/>
                <w:szCs w:val="21"/>
                <w:lang w:val="fr-FR"/>
              </w:rPr>
              <w:t>Faciliter l</w:t>
            </w:r>
            <w:r w:rsidR="00D77549">
              <w:rPr>
                <w:rFonts w:cs="Times New Roman"/>
                <w:kern w:val="0"/>
                <w:sz w:val="21"/>
                <w:szCs w:val="21"/>
                <w:lang w:val="fr-FR"/>
              </w:rPr>
              <w:t>’</w:t>
            </w:r>
            <w:r w:rsidRPr="00653BF4">
              <w:rPr>
                <w:rFonts w:cs="Times New Roman"/>
                <w:kern w:val="0"/>
                <w:sz w:val="21"/>
                <w:szCs w:val="21"/>
                <w:lang w:val="fr-FR"/>
              </w:rPr>
              <w:t>accès approprié aux ressources génétiques</w:t>
            </w:r>
          </w:p>
          <w:p w14:paraId="6C58C240" w14:textId="77777777" w:rsidR="00B87039" w:rsidRPr="00653BF4" w:rsidRDefault="00B87039" w:rsidP="00557FB3">
            <w:pPr>
              <w:rPr>
                <w:lang w:val="fr-FR"/>
              </w:rPr>
            </w:pPr>
          </w:p>
        </w:tc>
        <w:tc>
          <w:tcPr>
            <w:tcW w:w="657" w:type="dxa"/>
            <w:shd w:val="clear" w:color="auto" w:fill="92D050"/>
          </w:tcPr>
          <w:p w14:paraId="2421137A" w14:textId="77777777" w:rsidR="00B87039" w:rsidRPr="00653BF4" w:rsidRDefault="00B87039" w:rsidP="00557FB3">
            <w:pPr>
              <w:rPr>
                <w:lang w:val="fr-FR"/>
              </w:rPr>
            </w:pPr>
            <w:r w:rsidRPr="00653BF4">
              <w:rPr>
                <w:lang w:val="fr-FR"/>
              </w:rPr>
              <w:t>72</w:t>
            </w:r>
          </w:p>
        </w:tc>
      </w:tr>
      <w:tr w:rsidR="00B87039" w:rsidRPr="00653BF4" w14:paraId="6F6891C4" w14:textId="77777777" w:rsidTr="00557FB3">
        <w:tc>
          <w:tcPr>
            <w:tcW w:w="8359" w:type="dxa"/>
          </w:tcPr>
          <w:p w14:paraId="08ACCFBF" w14:textId="549BEFDC"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D</w:t>
            </w:r>
            <w:r w:rsidR="00D77549">
              <w:rPr>
                <w:rFonts w:cs="Times New Roman"/>
                <w:kern w:val="0"/>
                <w:sz w:val="21"/>
                <w:szCs w:val="21"/>
                <w:lang w:val="fr-FR"/>
              </w:rPr>
              <w:t>’</w:t>
            </w:r>
            <w:r w:rsidRPr="00653BF4">
              <w:rPr>
                <w:rFonts w:cs="Times New Roman"/>
                <w:kern w:val="0"/>
                <w:sz w:val="21"/>
                <w:szCs w:val="21"/>
                <w:lang w:val="fr-FR"/>
              </w:rPr>
              <w:t>ici à 2030, favoriser une augmentation significative des avantages partagés, dans le respect des instruments internationaux applicables en matière d</w:t>
            </w:r>
            <w:r w:rsidR="00D77549">
              <w:rPr>
                <w:rFonts w:cs="Times New Roman"/>
                <w:kern w:val="0"/>
                <w:sz w:val="21"/>
                <w:szCs w:val="21"/>
                <w:lang w:val="fr-FR"/>
              </w:rPr>
              <w:t>’</w:t>
            </w:r>
            <w:r w:rsidRPr="00653BF4">
              <w:rPr>
                <w:rFonts w:cs="Times New Roman"/>
                <w:kern w:val="0"/>
                <w:sz w:val="21"/>
                <w:szCs w:val="21"/>
                <w:lang w:val="fr-FR"/>
              </w:rPr>
              <w:t>accès et de partage des avantages</w:t>
            </w:r>
          </w:p>
        </w:tc>
        <w:tc>
          <w:tcPr>
            <w:tcW w:w="657" w:type="dxa"/>
            <w:shd w:val="clear" w:color="auto" w:fill="FFFF00"/>
          </w:tcPr>
          <w:p w14:paraId="68AA7C1F" w14:textId="77777777" w:rsidR="00B87039" w:rsidRPr="00653BF4" w:rsidRDefault="00B87039" w:rsidP="00557FB3">
            <w:pPr>
              <w:rPr>
                <w:lang w:val="fr-FR"/>
              </w:rPr>
            </w:pPr>
            <w:r w:rsidRPr="00653BF4">
              <w:rPr>
                <w:lang w:val="fr-FR"/>
              </w:rPr>
              <w:t>57</w:t>
            </w:r>
          </w:p>
        </w:tc>
      </w:tr>
      <w:tr w:rsidR="00B87039" w:rsidRPr="00543148" w14:paraId="41169EA8" w14:textId="77777777" w:rsidTr="00557FB3">
        <w:tc>
          <w:tcPr>
            <w:tcW w:w="9016" w:type="dxa"/>
            <w:gridSpan w:val="2"/>
          </w:tcPr>
          <w:p w14:paraId="19AD0A9C" w14:textId="77777777" w:rsidR="00B87039" w:rsidRPr="00653BF4" w:rsidRDefault="00B87039" w:rsidP="00557FB3">
            <w:pPr>
              <w:pStyle w:val="p1"/>
              <w:keepNext/>
              <w:rPr>
                <w:rFonts w:asciiTheme="minorHAnsi" w:hAnsiTheme="minorHAnsi"/>
                <w:b/>
                <w:bCs/>
                <w:sz w:val="22"/>
                <w:szCs w:val="22"/>
                <w:lang w:val="fr-FR"/>
              </w:rPr>
            </w:pPr>
          </w:p>
          <w:p w14:paraId="1E7CC6A2" w14:textId="5369B508"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59</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33DD0507" w14:textId="77777777" w:rsidR="00B87039" w:rsidRPr="00653BF4" w:rsidRDefault="00B87039" w:rsidP="00557FB3">
            <w:pPr>
              <w:rPr>
                <w:lang w:val="fr-FR"/>
              </w:rPr>
            </w:pPr>
          </w:p>
        </w:tc>
      </w:tr>
    </w:tbl>
    <w:p w14:paraId="1BD166F4" w14:textId="77777777" w:rsidR="00B87039" w:rsidRPr="00653BF4" w:rsidRDefault="00B87039" w:rsidP="00B87039">
      <w:pPr>
        <w:rPr>
          <w:lang w:val="fr-FR"/>
        </w:rPr>
      </w:pPr>
    </w:p>
    <w:p w14:paraId="4B6762E6" w14:textId="456A1F75" w:rsidR="00B87039" w:rsidRPr="00653BF4" w:rsidRDefault="00B87039" w:rsidP="00B87039">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w:t>
      </w:r>
      <w:r w:rsidR="00D77549">
        <w:rPr>
          <w:iCs/>
          <w:sz w:val="16"/>
          <w:szCs w:val="16"/>
          <w:lang w:val="fr-FR"/>
        </w:rPr>
        <w:t>’</w:t>
      </w:r>
      <w:r w:rsidRPr="00653BF4">
        <w:rPr>
          <w:iCs/>
          <w:sz w:val="16"/>
          <w:szCs w:val="16"/>
          <w:lang w:val="fr-FR"/>
        </w:rPr>
        <w:t>élément, au moins partiellement.</w:t>
      </w:r>
    </w:p>
    <w:p w14:paraId="5849FD9A" w14:textId="213D3039" w:rsidR="00B87039" w:rsidRPr="00653BF4" w:rsidRDefault="00B87039" w:rsidP="00B8703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cs="Segoe UI"/>
          <w:sz w:val="16"/>
          <w:szCs w:val="16"/>
          <w:lang w:val="fr-FR"/>
        </w:rPr>
        <w:t xml:space="preserve"> Les éléments de chaque cible ont été définis par le Groupe spécial d</w:t>
      </w:r>
      <w:r w:rsidR="00D77549">
        <w:rPr>
          <w:rStyle w:val="normaltextrun"/>
          <w:rFonts w:cs="Segoe UI"/>
          <w:sz w:val="16"/>
          <w:szCs w:val="16"/>
          <w:lang w:val="fr-FR"/>
        </w:rPr>
        <w:t>’</w:t>
      </w:r>
      <w:r w:rsidRPr="00653BF4">
        <w:rPr>
          <w:rStyle w:val="normaltextrun"/>
          <w:rFonts w:cs="Segoe UI"/>
          <w:sz w:val="16"/>
          <w:szCs w:val="16"/>
          <w:lang w:val="fr-FR"/>
        </w:rPr>
        <w:t xml:space="preserve">experts techniques sur les indicateurs du Cadre mondial de la biodiversité de Kunming-Montréal (voir annexe I du document </w:t>
      </w:r>
      <w:hyperlink r:id="rId149" w:history="1">
        <w:r w:rsidRPr="00653BF4">
          <w:rPr>
            <w:rStyle w:val="Hyperlink"/>
            <w:rFonts w:ascii="Aptos" w:hAnsi="Aptos" w:cs="Segoe UI"/>
            <w:sz w:val="16"/>
            <w:szCs w:val="16"/>
            <w:lang w:val="fr-FR"/>
          </w:rPr>
          <w:t>CBD/COP/16/INF/4</w:t>
        </w:r>
      </w:hyperlink>
      <w:r w:rsidR="00E34DC9">
        <w:rPr>
          <w:rStyle w:val="normaltextrun"/>
          <w:rFonts w:cs="Segoe UI"/>
          <w:sz w:val="16"/>
          <w:szCs w:val="16"/>
          <w:lang w:val="fr-FR"/>
        </w:rPr>
        <w:t> ;</w:t>
      </w:r>
      <w:r w:rsidRPr="00653BF4">
        <w:rPr>
          <w:rFonts w:ascii="Aptos" w:hAnsi="Aptos" w:cs="Segoe UI"/>
          <w:sz w:val="16"/>
          <w:szCs w:val="16"/>
          <w:lang w:val="fr-FR"/>
        </w:rPr>
        <w:t xml:space="preserve"> et Affinito </w:t>
      </w:r>
      <w:r w:rsidRPr="00653BF4">
        <w:rPr>
          <w:rFonts w:ascii="Aptos" w:hAnsi="Aptos" w:cs="Segoe UI"/>
          <w:i/>
          <w:iCs/>
          <w:sz w:val="16"/>
          <w:szCs w:val="16"/>
          <w:lang w:val="fr-FR"/>
        </w:rPr>
        <w:t>et al.</w:t>
      </w:r>
      <w:r w:rsidRPr="00653BF4">
        <w:rPr>
          <w:rFonts w:ascii="Aptos" w:hAnsi="Aptos" w:cs="Segoe UI"/>
          <w:sz w:val="16"/>
          <w:szCs w:val="16"/>
          <w:lang w:val="fr-FR"/>
        </w:rPr>
        <w:t xml:space="preserve">, 2025). </w:t>
      </w:r>
      <w:r w:rsidRPr="00653BF4">
        <w:rPr>
          <w:rStyle w:val="normaltextrun"/>
          <w:rFonts w:cs="Segoe UI"/>
          <w:sz w:val="16"/>
          <w:szCs w:val="16"/>
          <w:lang w:val="fr-FR"/>
        </w:rPr>
        <w:t>La méthode détaillée employée pour l</w:t>
      </w:r>
      <w:r w:rsidR="00D77549">
        <w:rPr>
          <w:rStyle w:val="normaltextrun"/>
          <w:rFonts w:cs="Segoe UI"/>
          <w:sz w:val="16"/>
          <w:szCs w:val="16"/>
          <w:lang w:val="fr-FR"/>
        </w:rPr>
        <w:t>’</w:t>
      </w:r>
      <w:r w:rsidRPr="00653BF4">
        <w:rPr>
          <w:rStyle w:val="normaltextrun"/>
          <w:rFonts w:cs="Segoe UI"/>
          <w:sz w:val="16"/>
          <w:szCs w:val="16"/>
          <w:lang w:val="fr-FR"/>
        </w:rPr>
        <w:t>analyse des cibles nationales est présentée dans le document </w:t>
      </w:r>
      <w:hyperlink r:id="rId150" w:history="1">
        <w:r w:rsidRPr="00653BF4">
          <w:rPr>
            <w:rStyle w:val="Hyperlink"/>
            <w:rFonts w:ascii="Aptos" w:hAnsi="Aptos" w:cs="Segoe UI"/>
            <w:sz w:val="16"/>
            <w:szCs w:val="16"/>
            <w:lang w:val="fr-FR"/>
          </w:rPr>
          <w:t>CBD/SBI/7/INF/22</w:t>
        </w:r>
      </w:hyperlink>
      <w:r w:rsidRPr="00653BF4">
        <w:rPr>
          <w:rStyle w:val="normaltextrun"/>
          <w:rFonts w:cs="Segoe UI"/>
          <w:sz w:val="16"/>
          <w:szCs w:val="16"/>
          <w:lang w:val="fr-FR"/>
        </w:rPr>
        <w:t xml:space="preserve">. </w:t>
      </w:r>
    </w:p>
    <w:p w14:paraId="2992D3F0" w14:textId="77777777" w:rsidR="00B87039" w:rsidRPr="00653BF4" w:rsidRDefault="00B87039" w:rsidP="00B87039">
      <w:pPr>
        <w:rPr>
          <w:lang w:val="fr-FR"/>
        </w:rPr>
      </w:pPr>
    </w:p>
    <w:p w14:paraId="00D9739C" w14:textId="382A8F35" w:rsidR="00B87039" w:rsidRPr="00653BF4" w:rsidRDefault="00B87039" w:rsidP="00B87039">
      <w:pPr>
        <w:rPr>
          <w:lang w:val="fr-FR"/>
        </w:rPr>
      </w:pPr>
      <w:r w:rsidRPr="00653BF4">
        <w:rPr>
          <w:lang w:val="fr-FR"/>
        </w:rPr>
        <w:t>Une vaste majorité de Parties ont présenté des cibles nationales portant sur des mesures juridiques, politiques et administratives visant à garantir le partage juste et équitable des avantages découlant de l</w:t>
      </w:r>
      <w:r w:rsidR="00D77549">
        <w:rPr>
          <w:lang w:val="fr-FR"/>
        </w:rPr>
        <w:t>’</w:t>
      </w:r>
      <w:r w:rsidRPr="00653BF4">
        <w:rPr>
          <w:lang w:val="fr-FR"/>
        </w:rPr>
        <w:t>utilisation des ressources génétiques (79</w:t>
      </w:r>
      <w:r w:rsidR="002878D7">
        <w:rPr>
          <w:lang w:val="fr-FR"/>
        </w:rPr>
        <w:t> %</w:t>
      </w:r>
      <w:r w:rsidRPr="00653BF4">
        <w:rPr>
          <w:lang w:val="fr-FR"/>
        </w:rPr>
        <w:t>), ainsi qu</w:t>
      </w:r>
      <w:r w:rsidR="00D77549">
        <w:rPr>
          <w:lang w:val="fr-FR"/>
        </w:rPr>
        <w:t>’</w:t>
      </w:r>
      <w:r w:rsidRPr="00653BF4">
        <w:rPr>
          <w:lang w:val="fr-FR"/>
        </w:rPr>
        <w:t>à faciliter l</w:t>
      </w:r>
      <w:r w:rsidR="00D77549">
        <w:rPr>
          <w:lang w:val="fr-FR"/>
        </w:rPr>
        <w:t>’</w:t>
      </w:r>
      <w:r w:rsidRPr="00653BF4">
        <w:rPr>
          <w:lang w:val="fr-FR"/>
        </w:rPr>
        <w:t>accès aux ressources génétiques (72</w:t>
      </w:r>
      <w:r w:rsidR="002878D7">
        <w:rPr>
          <w:lang w:val="fr-FR"/>
        </w:rPr>
        <w:t> %</w:t>
      </w:r>
      <w:r w:rsidRPr="00653BF4">
        <w:rPr>
          <w:lang w:val="fr-FR"/>
        </w:rPr>
        <w:t>). Une majorité de Parties ont également fixé des cibles relatives aux mesures de renforcement des capacités concernant le partage des avantages liés aux ressources génétiques (60</w:t>
      </w:r>
      <w:r w:rsidR="002878D7">
        <w:rPr>
          <w:lang w:val="fr-FR"/>
        </w:rPr>
        <w:t> %</w:t>
      </w:r>
      <w:r w:rsidRPr="00653BF4">
        <w:rPr>
          <w:lang w:val="fr-FR"/>
        </w:rPr>
        <w:t xml:space="preserve">) et aux connaissances traditionnelles </w:t>
      </w:r>
      <w:r w:rsidRPr="00653BF4">
        <w:rPr>
          <w:lang w:val="fr-FR"/>
        </w:rPr>
        <w:lastRenderedPageBreak/>
        <w:t>(51</w:t>
      </w:r>
      <w:r w:rsidR="002878D7">
        <w:rPr>
          <w:lang w:val="fr-FR"/>
        </w:rPr>
        <w:t> %</w:t>
      </w:r>
      <w:r w:rsidRPr="00653BF4">
        <w:rPr>
          <w:lang w:val="fr-FR"/>
        </w:rPr>
        <w:t>). Un plus petit nombre de Parties disposent de cibles portant sur les mesures juridiques, politiques et administratives relatives à l</w:t>
      </w:r>
      <w:r w:rsidR="00D77549">
        <w:rPr>
          <w:lang w:val="fr-FR"/>
        </w:rPr>
        <w:t>’</w:t>
      </w:r>
      <w:r w:rsidRPr="00653BF4">
        <w:rPr>
          <w:lang w:val="fr-FR"/>
        </w:rPr>
        <w:t>information de séquençage numérique (52</w:t>
      </w:r>
      <w:r w:rsidR="002878D7">
        <w:rPr>
          <w:lang w:val="fr-FR"/>
        </w:rPr>
        <w:t> %</w:t>
      </w:r>
      <w:r w:rsidRPr="00653BF4">
        <w:rPr>
          <w:lang w:val="fr-FR"/>
        </w:rPr>
        <w:t>) et au renforcement des capacités qui y est associé (42</w:t>
      </w:r>
      <w:r w:rsidR="002878D7">
        <w:rPr>
          <w:lang w:val="fr-FR"/>
        </w:rPr>
        <w:t> %</w:t>
      </w:r>
      <w:r w:rsidRPr="00653BF4">
        <w:rPr>
          <w:lang w:val="fr-FR"/>
        </w:rPr>
        <w:t>). Dans l</w:t>
      </w:r>
      <w:r w:rsidR="00D77549">
        <w:rPr>
          <w:lang w:val="fr-FR"/>
        </w:rPr>
        <w:t>’</w:t>
      </w:r>
      <w:r w:rsidRPr="00653BF4">
        <w:rPr>
          <w:lang w:val="fr-FR"/>
        </w:rPr>
        <w:t xml:space="preserve">ensemble, les cibles nationales couvrent bien les éléments de la </w:t>
      </w:r>
      <w:r w:rsidR="00E34DC9">
        <w:rPr>
          <w:lang w:val="fr-FR"/>
        </w:rPr>
        <w:t>cible 1</w:t>
      </w:r>
      <w:r w:rsidRPr="00653BF4">
        <w:rPr>
          <w:lang w:val="fr-FR"/>
        </w:rPr>
        <w:t>3 qui relèvent de la mise en œuvre à l</w:t>
      </w:r>
      <w:r w:rsidR="00D77549">
        <w:rPr>
          <w:lang w:val="fr-FR"/>
        </w:rPr>
        <w:t>’</w:t>
      </w:r>
      <w:r w:rsidRPr="00653BF4">
        <w:rPr>
          <w:lang w:val="fr-FR"/>
        </w:rPr>
        <w:t>échelle nationale (voir le tableau 28).</w:t>
      </w:r>
    </w:p>
    <w:p w14:paraId="3134DDD9" w14:textId="77777777" w:rsidR="00B87039" w:rsidRPr="00653BF4" w:rsidRDefault="00B87039" w:rsidP="00B87039">
      <w:pPr>
        <w:rPr>
          <w:lang w:val="fr-FR"/>
        </w:rPr>
      </w:pPr>
    </w:p>
    <w:p w14:paraId="542F8DD2" w14:textId="7AAB5A86" w:rsidR="00B87039" w:rsidRPr="00653BF4" w:rsidRDefault="00B87039" w:rsidP="00B87039">
      <w:pPr>
        <w:pStyle w:val="Heading5"/>
        <w:rPr>
          <w:lang w:val="fr-FR"/>
        </w:rPr>
      </w:pPr>
      <w:bookmarkStart w:id="253" w:name="_Toc235821208"/>
      <w:r w:rsidRPr="00653BF4">
        <w:rPr>
          <w:lang w:val="fr-FR"/>
        </w:rPr>
        <w:t>Indicateurs de progrès</w:t>
      </w:r>
      <w:bookmarkEnd w:id="253"/>
    </w:p>
    <w:p w14:paraId="3F609B47" w14:textId="77777777" w:rsidR="00B87039" w:rsidRPr="00653BF4" w:rsidRDefault="00B87039" w:rsidP="00B87039">
      <w:pPr>
        <w:rPr>
          <w:lang w:val="fr-FR"/>
        </w:rPr>
      </w:pPr>
    </w:p>
    <w:p w14:paraId="7831B6D3" w14:textId="122AA427" w:rsidR="00B87039" w:rsidRPr="00653BF4" w:rsidRDefault="00B87039" w:rsidP="00B87039">
      <w:pPr>
        <w:pStyle w:val="Caption"/>
        <w:rPr>
          <w:i w:val="0"/>
          <w:iCs w:val="0"/>
          <w:sz w:val="20"/>
          <w:szCs w:val="20"/>
          <w:lang w:val="fr-FR"/>
        </w:rPr>
      </w:pPr>
      <w:bookmarkStart w:id="254" w:name="_Ref238725702"/>
      <w:r w:rsidRPr="00653BF4">
        <w:rPr>
          <w:i w:val="0"/>
          <w:iCs w:val="0"/>
          <w:sz w:val="20"/>
          <w:szCs w:val="20"/>
          <w:lang w:val="fr-FR"/>
        </w:rPr>
        <w:t>Tableau 29</w:t>
      </w:r>
      <w:bookmarkEnd w:id="254"/>
    </w:p>
    <w:p w14:paraId="263FBA29" w14:textId="6CC10245"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1</w:t>
      </w:r>
      <w:r w:rsidRPr="00653BF4">
        <w:rPr>
          <w:b/>
          <w:bCs/>
          <w:i w:val="0"/>
          <w:iCs w:val="0"/>
          <w:sz w:val="20"/>
          <w:szCs w:val="20"/>
          <w:lang w:val="fr-FR"/>
        </w:rPr>
        <w:t>3 du Cadre</w:t>
      </w:r>
    </w:p>
    <w:p w14:paraId="75D573F5" w14:textId="77777777" w:rsidR="00B87039" w:rsidRPr="00653BF4" w:rsidRDefault="00B87039" w:rsidP="00B87039">
      <w:pPr>
        <w:pStyle w:val="Caption"/>
        <w:rPr>
          <w:b/>
          <w:bCs/>
          <w:sz w:val="24"/>
          <w:szCs w:val="24"/>
          <w:lang w:val="fr-FR"/>
        </w:rPr>
      </w:pPr>
      <w:r w:rsidRPr="00653BF4">
        <w:rPr>
          <w:b/>
          <w:bCs/>
          <w:sz w:val="24"/>
          <w:szCs w:val="24"/>
          <w:lang w:val="fr-FR"/>
        </w:rPr>
        <w:t xml:space="preserve"> </w:t>
      </w:r>
    </w:p>
    <w:tbl>
      <w:tblPr>
        <w:tblW w:w="10300" w:type="dxa"/>
        <w:tblLook w:val="04A0" w:firstRow="1" w:lastRow="0" w:firstColumn="1" w:lastColumn="0" w:noHBand="0" w:noVBand="1"/>
      </w:tblPr>
      <w:tblGrid>
        <w:gridCol w:w="3240"/>
        <w:gridCol w:w="2851"/>
        <w:gridCol w:w="708"/>
        <w:gridCol w:w="2835"/>
        <w:gridCol w:w="666"/>
      </w:tblGrid>
      <w:tr w:rsidR="00B87039" w:rsidRPr="00653BF4" w14:paraId="41B4E245"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18CE7FA2"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559" w:type="dxa"/>
            <w:gridSpan w:val="2"/>
            <w:tcBorders>
              <w:top w:val="single" w:sz="4" w:space="0" w:color="auto"/>
              <w:left w:val="nil"/>
              <w:bottom w:val="single" w:sz="4" w:space="0" w:color="auto"/>
              <w:right w:val="single" w:sz="4" w:space="0" w:color="auto"/>
            </w:tcBorders>
            <w:vAlign w:val="center"/>
          </w:tcPr>
          <w:p w14:paraId="4503269E" w14:textId="3E8D8373" w:rsidR="00B87039" w:rsidRPr="00653BF4" w:rsidRDefault="00E04592"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3501" w:type="dxa"/>
            <w:gridSpan w:val="2"/>
            <w:tcBorders>
              <w:top w:val="single" w:sz="4" w:space="0" w:color="auto"/>
              <w:left w:val="nil"/>
              <w:bottom w:val="single" w:sz="4" w:space="0" w:color="auto"/>
              <w:right w:val="single" w:sz="4" w:space="0" w:color="auto"/>
            </w:tcBorders>
            <w:vAlign w:val="center"/>
          </w:tcPr>
          <w:p w14:paraId="24ED6127" w14:textId="259B5D6C" w:rsidR="00B87039" w:rsidRPr="00653BF4" w:rsidRDefault="00A443C9" w:rsidP="00557FB3">
            <w:pPr>
              <w:spacing w:after="0" w:line="240" w:lineRule="auto"/>
              <w:jc w:val="center"/>
              <w:rPr>
                <w:rFonts w:eastAsia="Times New Roman" w:cs="Calibri"/>
                <w:color w:val="000000"/>
                <w:kern w:val="0"/>
                <w:sz w:val="20"/>
                <w:szCs w:val="20"/>
                <w:lang w:val="fr-FR" w:eastAsia="en-CA"/>
                <w14:ligatures w14:val="none"/>
              </w:rPr>
            </w:pPr>
            <w:r>
              <w:rPr>
                <w:color w:val="000000"/>
                <w:sz w:val="20"/>
                <w:szCs w:val="20"/>
                <w:lang w:val="fr-FR"/>
              </w:rPr>
              <w:t>Résultats de l’indicateur</w:t>
            </w:r>
          </w:p>
        </w:tc>
      </w:tr>
      <w:tr w:rsidR="00B87039" w:rsidRPr="00543148" w14:paraId="20F2652F"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594762" w14:textId="71EAB261"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phare C.1</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avantages monétaires perçus dans le respect des instruments internationaux applicables en matière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accès et de partage des avantages</w:t>
            </w:r>
          </w:p>
        </w:tc>
        <w:tc>
          <w:tcPr>
            <w:tcW w:w="2851" w:type="dxa"/>
            <w:tcBorders>
              <w:top w:val="single" w:sz="4" w:space="0" w:color="auto"/>
              <w:left w:val="nil"/>
              <w:bottom w:val="single" w:sz="4" w:space="0" w:color="auto"/>
              <w:right w:val="single" w:sz="4" w:space="0" w:color="auto"/>
            </w:tcBorders>
            <w:vAlign w:val="center"/>
            <w:hideMark/>
          </w:tcPr>
          <w:p w14:paraId="23145E09" w14:textId="3AEED0B9"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11</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5F68342B"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3BA6389A" w14:textId="0A2CF97C"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Avantages monétaires totaux d</w:t>
            </w:r>
            <w:r w:rsidR="00D77549">
              <w:rPr>
                <w:rFonts w:eastAsia="Times New Roman" w:cs="Calibri"/>
                <w:color w:val="000000"/>
                <w:kern w:val="0"/>
                <w:sz w:val="20"/>
                <w:szCs w:val="20"/>
                <w:lang w:val="fr-FR"/>
                <w14:ligatures w14:val="none"/>
              </w:rPr>
              <w:t>’</w:t>
            </w:r>
            <w:r w:rsidRPr="00653BF4">
              <w:rPr>
                <w:rFonts w:eastAsia="Times New Roman" w:cs="Calibri"/>
                <w:color w:val="000000"/>
                <w:kern w:val="0"/>
                <w:sz w:val="20"/>
                <w:szCs w:val="20"/>
                <w:lang w:val="fr-FR"/>
                <w14:ligatures w14:val="none"/>
              </w:rPr>
              <w:t>un montant de 6,9 millions de dollars des États-Unis pour la période 2022-2025</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72D643C2"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tc>
      </w:tr>
      <w:tr w:rsidR="00B87039" w:rsidRPr="00543148" w14:paraId="584BF3E0"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2091B8" w14:textId="0DD6D6CE"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phare C.2</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avantages non monétaires découlant des instruments internationaux-applicables en matière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accès et de partage des avantages</w:t>
            </w:r>
          </w:p>
        </w:tc>
        <w:tc>
          <w:tcPr>
            <w:tcW w:w="2851" w:type="dxa"/>
            <w:tcBorders>
              <w:top w:val="single" w:sz="4" w:space="0" w:color="auto"/>
              <w:left w:val="nil"/>
              <w:bottom w:val="single" w:sz="4" w:space="0" w:color="auto"/>
              <w:right w:val="single" w:sz="4" w:space="0" w:color="auto"/>
            </w:tcBorders>
            <w:vAlign w:val="center"/>
            <w:hideMark/>
          </w:tcPr>
          <w:p w14:paraId="12830AED" w14:textId="42C95F61"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14</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4846D9B9"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611B6DD0" w14:textId="1325972E"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Total des avantages non monétaires 2022-2025</w:t>
            </w:r>
            <w:r w:rsidR="00E34DC9">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960</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7450BC12"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tc>
      </w:tr>
      <w:tr w:rsidR="00B87039" w:rsidRPr="00543148" w14:paraId="2B9398A0"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D7C398" w14:textId="4D6D16D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binaire 13.b</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nombre de pays qui ont pris des mesures juridiques, politiques, administratives et de renforcement des capacités efficaces à tous les niveaux, selon qu</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il convient, pour assurer le partage juste et équitable des avantages découlant de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utilisation des ressources génétiques et de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information de séquençage numérique sur les ressources génétiques, ainsi que les connaissances traditionnelles associées aux ressources génétiques</w:t>
            </w:r>
          </w:p>
        </w:tc>
        <w:tc>
          <w:tcPr>
            <w:tcW w:w="2851" w:type="dxa"/>
            <w:tcBorders>
              <w:top w:val="single" w:sz="4" w:space="0" w:color="auto"/>
              <w:left w:val="nil"/>
              <w:bottom w:val="single" w:sz="4" w:space="0" w:color="auto"/>
              <w:right w:val="single" w:sz="4" w:space="0" w:color="auto"/>
            </w:tcBorders>
            <w:vAlign w:val="center"/>
            <w:hideMark/>
          </w:tcPr>
          <w:p w14:paraId="14779BA7"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127 Parties</w:t>
            </w:r>
          </w:p>
        </w:tc>
        <w:tc>
          <w:tcPr>
            <w:tcW w:w="708" w:type="dxa"/>
            <w:tcBorders>
              <w:top w:val="single" w:sz="4" w:space="0" w:color="auto"/>
              <w:left w:val="nil"/>
              <w:bottom w:val="single" w:sz="4" w:space="0" w:color="auto"/>
              <w:right w:val="single" w:sz="4" w:space="0" w:color="auto"/>
            </w:tcBorders>
            <w:vAlign w:val="center"/>
            <w:hideMark/>
          </w:tcPr>
          <w:p w14:paraId="4B9B0BD7" w14:textId="7AE2360D" w:rsidR="00B87039" w:rsidRPr="00653BF4" w:rsidRDefault="000F4D75" w:rsidP="00557FB3">
            <w:pPr>
              <w:spacing w:after="0" w:line="240" w:lineRule="auto"/>
              <w:jc w:val="center"/>
              <w:rPr>
                <w:rFonts w:eastAsia="Times New Roman" w:cs="Times New Roman"/>
                <w:color w:val="000000"/>
                <w:kern w:val="0"/>
                <w:sz w:val="20"/>
                <w:szCs w:val="20"/>
                <w:lang w:val="fr-FR" w:eastAsia="en-CA"/>
                <w14:ligatures w14:val="none"/>
              </w:rPr>
            </w:pPr>
            <w:r>
              <w:rPr>
                <w:rFonts w:eastAsia="Times New Roman" w:cs="Times New Roman"/>
                <w:color w:val="000000"/>
                <w:kern w:val="0"/>
                <w:sz w:val="20"/>
                <w:szCs w:val="20"/>
                <w:lang w:val="fr-FR"/>
                <w14:ligatures w14:val="none"/>
              </w:rPr>
              <w:t>s.o.</w:t>
            </w:r>
            <w:r w:rsidR="00B87039" w:rsidRPr="00653BF4">
              <w:rPr>
                <w:rFonts w:eastAsia="Times New Roman" w:cs="Times New Roman"/>
                <w:i/>
                <w:iCs/>
                <w:color w:val="000000"/>
                <w:kern w:val="0"/>
                <w:sz w:val="20"/>
                <w:szCs w:val="20"/>
                <w:vertAlign w:val="superscript"/>
                <w:lang w:val="fr-FR"/>
                <w14:ligatures w14:val="none"/>
              </w:rPr>
              <w:t>a</w:t>
            </w:r>
          </w:p>
        </w:tc>
        <w:tc>
          <w:tcPr>
            <w:tcW w:w="2835" w:type="dxa"/>
            <w:tcBorders>
              <w:top w:val="single" w:sz="4" w:space="0" w:color="auto"/>
              <w:left w:val="nil"/>
              <w:bottom w:val="single" w:sz="4" w:space="0" w:color="auto"/>
              <w:right w:val="single" w:sz="4" w:space="0" w:color="auto"/>
            </w:tcBorders>
            <w:vAlign w:val="center"/>
            <w:hideMark/>
          </w:tcPr>
          <w:p w14:paraId="16221D76" w14:textId="7E91FA5A"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10</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des Parties ont obtenu de très bons résultats (note</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4/5)</w:t>
            </w:r>
          </w:p>
        </w:tc>
        <w:tc>
          <w:tcPr>
            <w:tcW w:w="666" w:type="dxa"/>
            <w:tcBorders>
              <w:top w:val="single" w:sz="4" w:space="0" w:color="auto"/>
              <w:left w:val="nil"/>
              <w:bottom w:val="single" w:sz="4" w:space="0" w:color="auto"/>
              <w:right w:val="single" w:sz="4" w:space="0" w:color="auto"/>
            </w:tcBorders>
            <w:shd w:val="clear" w:color="000000" w:fill="C00000"/>
            <w:vAlign w:val="center"/>
            <w:hideMark/>
          </w:tcPr>
          <w:p w14:paraId="35D0EFFD"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0C557C42"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52F230"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lastRenderedPageBreak/>
              <w:t>Tous les indicateurs quantitatifs combinés</w:t>
            </w:r>
          </w:p>
        </w:tc>
        <w:tc>
          <w:tcPr>
            <w:tcW w:w="2851" w:type="dxa"/>
            <w:tcBorders>
              <w:top w:val="single" w:sz="4" w:space="0" w:color="auto"/>
              <w:left w:val="nil"/>
              <w:bottom w:val="single" w:sz="4" w:space="0" w:color="auto"/>
              <w:right w:val="single" w:sz="4" w:space="0" w:color="auto"/>
            </w:tcBorders>
            <w:vAlign w:val="center"/>
            <w:hideMark/>
          </w:tcPr>
          <w:p w14:paraId="012200E5" w14:textId="0D06EF15"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31 Parties, 24</w:t>
            </w:r>
            <w:r w:rsidR="002878D7">
              <w:rPr>
                <w:rFonts w:eastAsia="Times New Roman" w:cs="Calibri"/>
                <w:color w:val="000000"/>
                <w:kern w:val="0"/>
                <w:sz w:val="20"/>
                <w:szCs w:val="20"/>
                <w:lang w:val="fr-FR"/>
                <w14:ligatures w14:val="none"/>
              </w:rPr>
              <w:t> %</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1089026C"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732EA9AC" w14:textId="7582A73E"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39</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positives</w:t>
            </w:r>
          </w:p>
          <w:p w14:paraId="603018EA" w14:textId="1234DCDF"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15</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négatives</w:t>
            </w:r>
          </w:p>
        </w:tc>
        <w:tc>
          <w:tcPr>
            <w:tcW w:w="666" w:type="dxa"/>
            <w:tcBorders>
              <w:top w:val="single" w:sz="4" w:space="0" w:color="auto"/>
              <w:left w:val="nil"/>
              <w:bottom w:val="single" w:sz="4" w:space="0" w:color="auto"/>
              <w:right w:val="single" w:sz="4" w:space="0" w:color="auto"/>
            </w:tcBorders>
            <w:shd w:val="clear" w:color="000000" w:fill="FFC000"/>
            <w:vAlign w:val="center"/>
            <w:hideMark/>
          </w:tcPr>
          <w:p w14:paraId="3038C11F"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bl>
    <w:p w14:paraId="468CBA15" w14:textId="77777777" w:rsidR="00B87039" w:rsidRPr="00653BF4" w:rsidRDefault="00B87039" w:rsidP="00B87039">
      <w:pPr>
        <w:pStyle w:val="p1"/>
        <w:rPr>
          <w:rFonts w:ascii="Aptos" w:hAnsi="Aptos"/>
          <w:sz w:val="24"/>
          <w:szCs w:val="24"/>
          <w:lang w:val="fr-FR"/>
        </w:rPr>
      </w:pPr>
    </w:p>
    <w:p w14:paraId="1FCB83C2" w14:textId="0726D996"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sz w:val="16"/>
          <w:szCs w:val="16"/>
          <w:lang w:val="fr-FR"/>
        </w:rPr>
        <w:t> %</w:t>
      </w:r>
      <w:r w:rsidRPr="00653BF4">
        <w:rPr>
          <w:sz w:val="16"/>
          <w:szCs w:val="16"/>
          <w:lang w:val="fr-FR"/>
        </w:rPr>
        <w:t>, le jaune aux valeurs comprises entre 25</w:t>
      </w:r>
      <w:r w:rsidR="002878D7">
        <w:rPr>
          <w:sz w:val="16"/>
          <w:szCs w:val="16"/>
          <w:lang w:val="fr-FR"/>
        </w:rPr>
        <w:t> %</w:t>
      </w:r>
      <w:r w:rsidRPr="00653BF4">
        <w:rPr>
          <w:sz w:val="16"/>
          <w:szCs w:val="16"/>
          <w:lang w:val="fr-FR"/>
        </w:rPr>
        <w:t xml:space="preserve"> et 50 </w:t>
      </w:r>
      <w:r w:rsidR="002878D7">
        <w:rPr>
          <w:sz w:val="16"/>
          <w:szCs w:val="16"/>
          <w:lang w:val="fr-FR"/>
        </w:rPr>
        <w:t> %</w:t>
      </w:r>
      <w:r w:rsidRPr="00653BF4">
        <w:rPr>
          <w:sz w:val="16"/>
          <w:szCs w:val="16"/>
          <w:lang w:val="fr-FR"/>
        </w:rPr>
        <w:t>, et le rouge aux valeurs inférieures à 25</w:t>
      </w:r>
      <w:r w:rsidR="002878D7">
        <w:rPr>
          <w:sz w:val="16"/>
          <w:szCs w:val="16"/>
          <w:lang w:val="fr-FR"/>
        </w:rPr>
        <w:t> %</w:t>
      </w:r>
      <w:r w:rsidRPr="00653BF4">
        <w:rPr>
          <w:sz w:val="16"/>
          <w:szCs w:val="16"/>
          <w:lang w:val="fr-FR"/>
        </w:rPr>
        <w:t>)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5D8A71EE" w14:textId="77777777" w:rsidR="00B87039" w:rsidRPr="00653BF4" w:rsidRDefault="00B87039" w:rsidP="00B87039">
      <w:pPr>
        <w:pStyle w:val="FootnoteText"/>
        <w:rPr>
          <w:sz w:val="16"/>
          <w:szCs w:val="16"/>
          <w:lang w:val="fr-FR"/>
        </w:rPr>
      </w:pPr>
      <w:r w:rsidRPr="00653BF4">
        <w:rPr>
          <w:vertAlign w:val="superscript"/>
          <w:lang w:val="fr-FR"/>
        </w:rPr>
        <w:t>a</w:t>
      </w:r>
      <w:r w:rsidRPr="00653BF4">
        <w:rPr>
          <w:lang w:val="fr-FR"/>
        </w:rPr>
        <w:t xml:space="preserve"> 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r w:rsidRPr="00653BF4">
        <w:rPr>
          <w:sz w:val="16"/>
          <w:szCs w:val="16"/>
          <w:lang w:val="fr-FR"/>
        </w:rPr>
        <w:t>.</w:t>
      </w:r>
    </w:p>
    <w:p w14:paraId="2341AA1A" w14:textId="77777777" w:rsidR="00B87039" w:rsidRPr="00653BF4" w:rsidRDefault="00B87039" w:rsidP="00B87039">
      <w:pPr>
        <w:rPr>
          <w:strike/>
          <w:lang w:val="fr-FR"/>
        </w:rPr>
      </w:pPr>
    </w:p>
    <w:p w14:paraId="29277DD7" w14:textId="77777777" w:rsidR="00B87039" w:rsidRPr="00653BF4" w:rsidRDefault="00B87039" w:rsidP="00B87039">
      <w:pPr>
        <w:pStyle w:val="p1"/>
        <w:rPr>
          <w:rFonts w:ascii="Aptos" w:hAnsi="Aptos"/>
          <w:sz w:val="24"/>
          <w:szCs w:val="24"/>
          <w:lang w:val="fr-FR"/>
        </w:rPr>
      </w:pPr>
    </w:p>
    <w:p w14:paraId="6B136523" w14:textId="4793C6C1" w:rsidR="00B87039" w:rsidRPr="00653BF4" w:rsidRDefault="00B87039" w:rsidP="00B87039">
      <w:pPr>
        <w:rPr>
          <w:lang w:val="fr-FR"/>
        </w:rPr>
      </w:pPr>
      <w:r w:rsidRPr="00653BF4">
        <w:rPr>
          <w:lang w:val="fr-FR"/>
        </w:rPr>
        <w:t>L</w:t>
      </w:r>
      <w:r w:rsidR="00D77549">
        <w:rPr>
          <w:lang w:val="fr-FR"/>
        </w:rPr>
        <w:t>’</w:t>
      </w:r>
      <w:r w:rsidRPr="00653BF4">
        <w:rPr>
          <w:lang w:val="fr-FR"/>
        </w:rPr>
        <w:t>analyse qui suit prend en compte toutes les Parties à la Convention, car elle s</w:t>
      </w:r>
      <w:r w:rsidR="00D77549">
        <w:rPr>
          <w:lang w:val="fr-FR"/>
        </w:rPr>
        <w:t>’</w:t>
      </w:r>
      <w:r w:rsidRPr="00653BF4">
        <w:rPr>
          <w:lang w:val="fr-FR"/>
        </w:rPr>
        <w:t>appuie sur l</w:t>
      </w:r>
      <w:r w:rsidR="00D77549">
        <w:rPr>
          <w:lang w:val="fr-FR"/>
        </w:rPr>
        <w:t>’</w:t>
      </w:r>
      <w:r w:rsidRPr="00653BF4">
        <w:rPr>
          <w:lang w:val="fr-FR"/>
        </w:rPr>
        <w:t>ensemble des rapports nationaux soumis (voir le tableau 29). Il convient toutefois de noter que de nombreuses Parties n</w:t>
      </w:r>
      <w:r w:rsidR="00D77549">
        <w:rPr>
          <w:lang w:val="fr-FR"/>
        </w:rPr>
        <w:t>’</w:t>
      </w:r>
      <w:r w:rsidRPr="00653BF4">
        <w:rPr>
          <w:lang w:val="fr-FR"/>
        </w:rPr>
        <w:t>exigent pas de consentement préalable en connaissance de cause pour l</w:t>
      </w:r>
      <w:r w:rsidR="00D77549">
        <w:rPr>
          <w:lang w:val="fr-FR"/>
        </w:rPr>
        <w:t>’</w:t>
      </w:r>
      <w:r w:rsidRPr="00653BF4">
        <w:rPr>
          <w:lang w:val="fr-FR"/>
        </w:rPr>
        <w:t>accès à leurs ressources génétiques et, par conséquent, ne perçoivent pas d</w:t>
      </w:r>
      <w:r w:rsidR="00D77549">
        <w:rPr>
          <w:lang w:val="fr-FR"/>
        </w:rPr>
        <w:t>’</w:t>
      </w:r>
      <w:r w:rsidRPr="00653BF4">
        <w:rPr>
          <w:lang w:val="fr-FR"/>
        </w:rPr>
        <w:t>avantages découlant de leur utilisation.</w:t>
      </w:r>
    </w:p>
    <w:p w14:paraId="621BED38" w14:textId="3A00A9B7" w:rsidR="00B87039" w:rsidRPr="00653BF4" w:rsidRDefault="00B87039" w:rsidP="00B87039">
      <w:pPr>
        <w:rPr>
          <w:lang w:val="fr-FR"/>
        </w:rPr>
      </w:pPr>
      <w:r w:rsidRPr="00653BF4">
        <w:rPr>
          <w:lang w:val="fr-FR"/>
        </w:rPr>
        <w:t>Seul un petit nombre de Parties ayant soumis des rapports nationaux pris en compte pour le rapport mondial ont fourni des données concernant les indicateurs phares C.1 (avantages monétaires perçus conformément aux instruments internationaux applicables en matière d’accès et de partage des avantages) et C.2 (avantages non monétaires découlant des instruments internationaux applicables en matière d’accès et de partage des avantages). Les Parties ont généralement indiqué qu</w:t>
      </w:r>
      <w:r w:rsidR="00D77549">
        <w:rPr>
          <w:lang w:val="fr-FR"/>
        </w:rPr>
        <w:t>’</w:t>
      </w:r>
      <w:r w:rsidRPr="00653BF4">
        <w:rPr>
          <w:lang w:val="fr-FR"/>
        </w:rPr>
        <w:t>il était difficile de suivre les avantages tant monétaires que non monétaires découlant des instruments APA (notamment au-delà des frontières et tout au long des chaînes de valeur, jusqu</w:t>
      </w:r>
      <w:r w:rsidR="00D77549">
        <w:rPr>
          <w:lang w:val="fr-FR"/>
        </w:rPr>
        <w:t>’</w:t>
      </w:r>
      <w:r w:rsidRPr="00653BF4">
        <w:rPr>
          <w:lang w:val="fr-FR"/>
        </w:rPr>
        <w:t>au produit final). Sur la base des données limitées disponibles, les Parties ont indiqué avoir perçu un montant cumulé de 6,9 millions de dollars des États-Unis au titre des avantages monétaires au cours de la période 2022-2025, plusieurs d’entre elles précisant n’avoir reçu aucun avantage monétaire à ce jour. En ce qui concerne les avantages non monétaires, les Parties ayant communiqué des données comparables ont fait état d</w:t>
      </w:r>
      <w:r w:rsidR="00D77549">
        <w:rPr>
          <w:lang w:val="fr-FR"/>
        </w:rPr>
        <w:t>’</w:t>
      </w:r>
      <w:r w:rsidRPr="00653BF4">
        <w:rPr>
          <w:lang w:val="fr-FR"/>
        </w:rPr>
        <w:t xml:space="preserve">un total cumulé de 960 avantages au cours de la même période, parmi lesquels figuraient des résultats scientifiques, la participation à des travaux de recherche, des formations techniques, des </w:t>
      </w:r>
      <w:r w:rsidRPr="00653BF4">
        <w:rPr>
          <w:lang w:val="fr-FR"/>
        </w:rPr>
        <w:lastRenderedPageBreak/>
        <w:t>transferts de technologie, des bases de données et des actions en faveur de la participation communautaire. Ces avantages ont fluctué au fil du temps au lieu d</w:t>
      </w:r>
      <w:r w:rsidR="00D77549">
        <w:rPr>
          <w:lang w:val="fr-FR"/>
        </w:rPr>
        <w:t>’</w:t>
      </w:r>
      <w:r w:rsidRPr="00653BF4">
        <w:rPr>
          <w:lang w:val="fr-FR"/>
        </w:rPr>
        <w:t>augmenter de manière constante. En raison du nombre très limité de rapports, ils ne peuvent être considérés comme représentatifs du partage des avantages au niveau mondial. De plus amples informations sont fournies dans l</w:t>
      </w:r>
      <w:r w:rsidR="00D77549">
        <w:rPr>
          <w:lang w:val="fr-FR"/>
        </w:rPr>
        <w:t>’</w:t>
      </w:r>
      <w:r w:rsidRPr="00653BF4">
        <w:rPr>
          <w:lang w:val="fr-FR"/>
        </w:rPr>
        <w:t>analyse de l</w:t>
      </w:r>
      <w:r w:rsidR="00D77549">
        <w:rPr>
          <w:lang w:val="fr-FR"/>
        </w:rPr>
        <w:t>’</w:t>
      </w:r>
      <w:r w:rsidR="002878D7">
        <w:rPr>
          <w:lang w:val="fr-FR"/>
        </w:rPr>
        <w:t>Objectif C</w:t>
      </w:r>
      <w:r w:rsidRPr="00653BF4">
        <w:rPr>
          <w:lang w:val="fr-FR"/>
        </w:rPr>
        <w:t xml:space="preserve"> à la </w:t>
      </w:r>
      <w:r w:rsidR="002878D7">
        <w:rPr>
          <w:lang w:val="fr-FR"/>
        </w:rPr>
        <w:t>section I</w:t>
      </w:r>
      <w:r w:rsidRPr="00653BF4">
        <w:rPr>
          <w:lang w:val="fr-FR"/>
        </w:rPr>
        <w:t xml:space="preserve">I.C ci-dessous. </w:t>
      </w:r>
    </w:p>
    <w:p w14:paraId="646860C6" w14:textId="648D3C8C" w:rsidR="00B87039" w:rsidRPr="00653BF4" w:rsidRDefault="00B87039" w:rsidP="00B87039">
      <w:pPr>
        <w:rPr>
          <w:lang w:val="fr-FR"/>
        </w:rPr>
      </w:pPr>
      <w:r w:rsidRPr="00653BF4">
        <w:rPr>
          <w:lang w:val="fr-FR"/>
        </w:rPr>
        <w:t>En ce qui concerne les progrès accomplis dans l</w:t>
      </w:r>
      <w:r w:rsidR="00D77549">
        <w:rPr>
          <w:lang w:val="fr-FR"/>
        </w:rPr>
        <w:t>’</w:t>
      </w:r>
      <w:r w:rsidRPr="00653BF4">
        <w:rPr>
          <w:lang w:val="fr-FR"/>
        </w:rPr>
        <w:t xml:space="preserve">élaboration des cadres législatifs, politiques et administratifs nécessaires à la réalisation de la </w:t>
      </w:r>
      <w:r w:rsidR="00E34DC9">
        <w:rPr>
          <w:lang w:val="fr-FR"/>
        </w:rPr>
        <w:t>cible 1</w:t>
      </w:r>
      <w:r w:rsidRPr="00653BF4">
        <w:rPr>
          <w:lang w:val="fr-FR"/>
        </w:rPr>
        <w:t>3, les réponses relatives à l</w:t>
      </w:r>
      <w:r w:rsidR="00D77549">
        <w:rPr>
          <w:lang w:val="fr-FR"/>
        </w:rPr>
        <w:t>’</w:t>
      </w:r>
      <w:r w:rsidRPr="00653BF4">
        <w:rPr>
          <w:lang w:val="fr-FR"/>
        </w:rPr>
        <w:t>indicateur binaire suggèrent que la mise en œuvre se situe globalement à un stade intermédiaire, 74</w:t>
      </w:r>
      <w:r w:rsidR="002878D7">
        <w:rPr>
          <w:lang w:val="fr-FR"/>
        </w:rPr>
        <w:t> %</w:t>
      </w:r>
      <w:r w:rsidRPr="00653BF4">
        <w:rPr>
          <w:lang w:val="fr-FR"/>
        </w:rPr>
        <w:t xml:space="preserve"> des Parties affichant un niveau de progrès moyen, et un plus grand nombre de Parties se trouvant aux premiers stades de la mise en œuvre (voir la figure 57). Les progrès les plus significatifs ont été réalisés dans la mise en place de mesures juridiques, administratives et politiques visant à garantir un partage juste et équitable des avantages découlant de l</w:t>
      </w:r>
      <w:r w:rsidR="00D77549">
        <w:rPr>
          <w:lang w:val="fr-FR"/>
        </w:rPr>
        <w:t>’</w:t>
      </w:r>
      <w:r w:rsidRPr="00653BF4">
        <w:rPr>
          <w:lang w:val="fr-FR"/>
        </w:rPr>
        <w:t>utilisation des ressources génétiques, qui inclut souvent les connaissances traditionnelles, s</w:t>
      </w:r>
      <w:r w:rsidR="00D77549">
        <w:rPr>
          <w:lang w:val="fr-FR"/>
        </w:rPr>
        <w:t>’</w:t>
      </w:r>
      <w:r w:rsidRPr="00653BF4">
        <w:rPr>
          <w:lang w:val="fr-FR"/>
        </w:rPr>
        <w:t>il y a lieu. Les progrès réalisés dans le suivi des avantages monétaires et non monétaires restent toutefois nettement moins importants, car la plupart des Parties ne disposent pas de systèmes de suivi ou sont encore en train de les mettre en place. La mise en œuvre des mesures relatives au mécanisme multilatéral de partage des avantages découlant de l’utilisation de l</w:t>
      </w:r>
      <w:r w:rsidR="00D77549">
        <w:rPr>
          <w:lang w:val="fr-FR"/>
        </w:rPr>
        <w:t>’</w:t>
      </w:r>
      <w:r w:rsidRPr="00653BF4">
        <w:rPr>
          <w:lang w:val="fr-FR"/>
        </w:rPr>
        <w:t>information de séquençage numérique (décision 16/2 de la CDB, 2026) est particulièrement limitée</w:t>
      </w:r>
      <w:r w:rsidR="00E34DC9">
        <w:rPr>
          <w:lang w:val="fr-FR"/>
        </w:rPr>
        <w:t> ;</w:t>
      </w:r>
      <w:r w:rsidRPr="00653BF4">
        <w:rPr>
          <w:lang w:val="fr-FR"/>
        </w:rPr>
        <w:t xml:space="preserve"> toutefois, cela était prévisible compte tenu du stade précoce de développement de ce mécanisme et du Fonds de Cali qui y est associé</w:t>
      </w:r>
      <w:r w:rsidRPr="00653BF4">
        <w:rPr>
          <w:rStyle w:val="FootnoteReference"/>
          <w:lang w:val="fr-FR"/>
        </w:rPr>
        <w:footnoteReference w:id="34"/>
      </w:r>
      <w:r w:rsidRPr="00653BF4">
        <w:rPr>
          <w:lang w:val="fr-FR"/>
        </w:rPr>
        <w:t xml:space="preserve">. </w:t>
      </w:r>
    </w:p>
    <w:p w14:paraId="13556732" w14:textId="7E0ED6C9" w:rsidR="00B87039" w:rsidRPr="00653BF4" w:rsidRDefault="00B87039" w:rsidP="00B87039">
      <w:pPr>
        <w:rPr>
          <w:lang w:val="fr-FR"/>
        </w:rPr>
      </w:pPr>
      <w:r w:rsidRPr="00653BF4">
        <w:rPr>
          <w:lang w:val="fr-FR"/>
        </w:rPr>
        <w:t xml:space="preserve">Les indicateurs supplémentaires relatifs à la </w:t>
      </w:r>
      <w:r w:rsidR="00E34DC9">
        <w:rPr>
          <w:lang w:val="fr-FR"/>
        </w:rPr>
        <w:t>cible 1</w:t>
      </w:r>
      <w:r w:rsidRPr="00653BF4">
        <w:rPr>
          <w:lang w:val="fr-FR"/>
        </w:rPr>
        <w:t>3, présentés par 31 Parties provenant pour la plupart des régions Afrique et Asie-Pacifique, étaient axés sur la facilitation de l</w:t>
      </w:r>
      <w:r w:rsidR="00D77549">
        <w:rPr>
          <w:lang w:val="fr-FR"/>
        </w:rPr>
        <w:t>’</w:t>
      </w:r>
      <w:r w:rsidRPr="00653BF4">
        <w:rPr>
          <w:lang w:val="fr-FR"/>
        </w:rPr>
        <w:t>accès aux ressources génétiques et ne couvraient pas de domaines tels que le renforcement des capacités pour l</w:t>
      </w:r>
      <w:r w:rsidR="00D77549">
        <w:rPr>
          <w:lang w:val="fr-FR"/>
        </w:rPr>
        <w:t>’</w:t>
      </w:r>
      <w:r w:rsidRPr="00653BF4">
        <w:rPr>
          <w:lang w:val="fr-FR"/>
        </w:rPr>
        <w:t>utilisation de l</w:t>
      </w:r>
      <w:r w:rsidR="00D77549">
        <w:rPr>
          <w:lang w:val="fr-FR"/>
        </w:rPr>
        <w:t>’</w:t>
      </w:r>
      <w:r w:rsidRPr="00653BF4">
        <w:rPr>
          <w:lang w:val="fr-FR"/>
        </w:rPr>
        <w:t>information de séquençage numérique ou le partage des avantages découlant de l</w:t>
      </w:r>
      <w:r w:rsidR="00D77549">
        <w:rPr>
          <w:lang w:val="fr-FR"/>
        </w:rPr>
        <w:t>’</w:t>
      </w:r>
      <w:r w:rsidRPr="00653BF4">
        <w:rPr>
          <w:lang w:val="fr-FR"/>
        </w:rPr>
        <w:t>utilisation des connaissances traditionnelles. Bien que contrastées, les tendances des indicateurs sont globalement encourageantes</w:t>
      </w:r>
      <w:r w:rsidR="00E34DC9">
        <w:rPr>
          <w:lang w:val="fr-FR"/>
        </w:rPr>
        <w:t> :</w:t>
      </w:r>
      <w:r w:rsidRPr="00653BF4">
        <w:rPr>
          <w:lang w:val="fr-FR"/>
        </w:rPr>
        <w:t xml:space="preserve"> le nombre d’indicateurs en voie d</w:t>
      </w:r>
      <w:r w:rsidR="00D77549">
        <w:rPr>
          <w:lang w:val="fr-FR"/>
        </w:rPr>
        <w:t>’</w:t>
      </w:r>
      <w:r w:rsidRPr="00653BF4">
        <w:rPr>
          <w:lang w:val="fr-FR"/>
        </w:rPr>
        <w:t>amélioration est plus de deux fois supérieur à celui des indicateurs en recul, même si près de la moitié reste stable. Cela suggère que, malgré les progrès réalisés dans la mise en œuvre, ceux-ci restent insuffisants pour atteindre pleinement la cible définie (voir la figure 58).</w:t>
      </w:r>
    </w:p>
    <w:p w14:paraId="4E64A5C8" w14:textId="77777777" w:rsidR="00B87039" w:rsidRPr="00653BF4" w:rsidRDefault="00B87039" w:rsidP="00B87039">
      <w:pPr>
        <w:rPr>
          <w:sz w:val="20"/>
          <w:szCs w:val="20"/>
          <w:lang w:val="fr-FR"/>
        </w:rPr>
      </w:pPr>
      <w:bookmarkStart w:id="255" w:name="_Ref238725806"/>
    </w:p>
    <w:bookmarkEnd w:id="255"/>
    <w:p w14:paraId="0638C17A" w14:textId="77777777" w:rsidR="00B87039" w:rsidRPr="00653BF4" w:rsidRDefault="00B87039" w:rsidP="00B87039">
      <w:pPr>
        <w:rPr>
          <w:sz w:val="20"/>
          <w:szCs w:val="20"/>
          <w:lang w:val="fr-FR"/>
        </w:rPr>
      </w:pPr>
      <w:r w:rsidRPr="00653BF4">
        <w:rPr>
          <w:sz w:val="20"/>
          <w:szCs w:val="20"/>
          <w:lang w:val="fr-FR"/>
        </w:rPr>
        <w:t xml:space="preserve">Figure 57 </w:t>
      </w:r>
    </w:p>
    <w:p w14:paraId="4A63144D" w14:textId="2D76C2BF" w:rsidR="00B87039" w:rsidRDefault="00B87039" w:rsidP="00B87039">
      <w:pPr>
        <w:rPr>
          <w:b/>
          <w:bCs/>
          <w:sz w:val="20"/>
          <w:szCs w:val="20"/>
          <w:lang w:val="fr-FR"/>
        </w:rPr>
      </w:pPr>
      <w:r w:rsidRPr="00653BF4">
        <w:rPr>
          <w:b/>
          <w:bCs/>
          <w:sz w:val="20"/>
          <w:szCs w:val="20"/>
          <w:lang w:val="fr-FR"/>
        </w:rPr>
        <w:lastRenderedPageBreak/>
        <w:t>Indicateur binaire 13.b</w:t>
      </w:r>
      <w:r w:rsidR="00E34DC9">
        <w:rPr>
          <w:b/>
          <w:bCs/>
          <w:sz w:val="20"/>
          <w:szCs w:val="20"/>
          <w:lang w:val="fr-FR"/>
        </w:rPr>
        <w:t> :</w:t>
      </w:r>
      <w:r w:rsidRPr="00653BF4">
        <w:rPr>
          <w:b/>
          <w:bCs/>
          <w:sz w:val="20"/>
          <w:szCs w:val="20"/>
          <w:lang w:val="fr-FR"/>
        </w:rPr>
        <w:t xml:space="preserve"> nombre de pays qui ont pris des mesures juridiques, politiques, administratives et de renforcement des capacités efficaces à tous les niveaux, selon qu</w:t>
      </w:r>
      <w:r w:rsidR="00D77549">
        <w:rPr>
          <w:b/>
          <w:bCs/>
          <w:sz w:val="20"/>
          <w:szCs w:val="20"/>
          <w:lang w:val="fr-FR"/>
        </w:rPr>
        <w:t>’</w:t>
      </w:r>
      <w:r w:rsidRPr="00653BF4">
        <w:rPr>
          <w:b/>
          <w:bCs/>
          <w:sz w:val="20"/>
          <w:szCs w:val="20"/>
          <w:lang w:val="fr-FR"/>
        </w:rPr>
        <w:t>il convient, pour assurer le partage juste et équitable des avantages découlant de l</w:t>
      </w:r>
      <w:r w:rsidR="00D77549">
        <w:rPr>
          <w:b/>
          <w:bCs/>
          <w:sz w:val="20"/>
          <w:szCs w:val="20"/>
          <w:lang w:val="fr-FR"/>
        </w:rPr>
        <w:t>’</w:t>
      </w:r>
      <w:r w:rsidRPr="00653BF4">
        <w:rPr>
          <w:b/>
          <w:bCs/>
          <w:sz w:val="20"/>
          <w:szCs w:val="20"/>
          <w:lang w:val="fr-FR"/>
        </w:rPr>
        <w:t>utilisation des ressources génétiques et de l</w:t>
      </w:r>
      <w:r w:rsidR="00D77549">
        <w:rPr>
          <w:b/>
          <w:bCs/>
          <w:sz w:val="20"/>
          <w:szCs w:val="20"/>
          <w:lang w:val="fr-FR"/>
        </w:rPr>
        <w:t>’</w:t>
      </w:r>
      <w:r w:rsidRPr="00653BF4">
        <w:rPr>
          <w:b/>
          <w:bCs/>
          <w:sz w:val="20"/>
          <w:szCs w:val="20"/>
          <w:lang w:val="fr-FR"/>
        </w:rPr>
        <w:t>information de séquençage numérique sur les ressources génétiques, ainsi que des connaissances traditionnelles associées aux ressources génétiques</w:t>
      </w:r>
    </w:p>
    <w:p w14:paraId="560EA38A" w14:textId="77777777" w:rsidR="00B87039" w:rsidRPr="00653BF4" w:rsidRDefault="00B87039" w:rsidP="00B87039">
      <w:pPr>
        <w:pStyle w:val="Caption"/>
        <w:rPr>
          <w:lang w:val="fr-FR"/>
        </w:rPr>
      </w:pPr>
      <w:r w:rsidRPr="00653BF4">
        <w:rPr>
          <w:i w:val="0"/>
          <w:noProof/>
          <w:lang w:val="fr-FR"/>
        </w:rPr>
        <w:drawing>
          <wp:inline distT="0" distB="0" distL="0" distR="0" wp14:anchorId="3FE6B8F4" wp14:editId="115246FB">
            <wp:extent cx="5943600" cy="2264410"/>
            <wp:effectExtent l="0" t="0" r="0" b="0"/>
            <wp:docPr id="7151545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54563" name="Picture 715154563"/>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0AA4CF9C" w14:textId="41ACAACC" w:rsidR="00B87039" w:rsidRPr="00653BF4" w:rsidRDefault="00B87039" w:rsidP="00B87039">
      <w:pPr>
        <w:pStyle w:val="Caption"/>
        <w:rPr>
          <w:i w:val="0"/>
          <w:iCs w:val="0"/>
          <w:lang w:val="fr-FR"/>
        </w:rPr>
      </w:pPr>
      <w:r w:rsidRPr="00653BF4">
        <w:rPr>
          <w:i w:val="0"/>
          <w:iCs w:val="0"/>
          <w:lang w:val="fr-FR"/>
        </w:rPr>
        <w:t xml:space="preserve">Note </w:t>
      </w:r>
      <w:r w:rsidR="00E34DC9">
        <w:rPr>
          <w:i w:val="0"/>
          <w:iCs w:val="0"/>
          <w:lang w:val="fr-FR"/>
        </w:rPr>
        <w:t> :</w:t>
      </w:r>
      <w:r w:rsidRPr="00653BF4">
        <w:rPr>
          <w:i w:val="0"/>
          <w:iCs w:val="0"/>
          <w:lang w:val="fr-FR"/>
        </w:rPr>
        <w:t xml:space="preserve"> La largeur des barres indique le pourcentage de Parties dans chaque catégorie de note, une note plus élevée correspondant à des progrès plus importants. Les notes sont établies d’après les réponses aux questions de l’indicateur</w:t>
      </w:r>
      <w:r w:rsidRPr="00653BF4">
        <w:rPr>
          <w:i w:val="0"/>
          <w:iCs w:val="0"/>
          <w:vertAlign w:val="superscript"/>
          <w:lang w:val="fr-FR"/>
        </w:rPr>
        <w:t>a</w:t>
      </w:r>
      <w:r w:rsidRPr="00653BF4">
        <w:rPr>
          <w:i w:val="0"/>
          <w:iCs w:val="0"/>
          <w:lang w:val="fr-FR"/>
        </w:rPr>
        <w:t>. Le diagramme circulaire représente la répartition par région des Parties ayant répondu à toutes les questions.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p w14:paraId="6FBD4B6A" w14:textId="77777777" w:rsidR="00B87039" w:rsidRPr="00653BF4" w:rsidRDefault="00B87039" w:rsidP="00B87039">
      <w:pPr>
        <w:rPr>
          <w:sz w:val="18"/>
          <w:szCs w:val="18"/>
          <w:lang w:val="fr-FR"/>
        </w:rPr>
      </w:pPr>
      <w:r w:rsidRPr="00653BF4">
        <w:rPr>
          <w:sz w:val="18"/>
          <w:szCs w:val="18"/>
          <w:vertAlign w:val="superscript"/>
          <w:lang w:val="fr-FR"/>
        </w:rPr>
        <w:t xml:space="preserve">a </w:t>
      </w:r>
      <w:r w:rsidRPr="00653BF4">
        <w:rPr>
          <w:sz w:val="18"/>
          <w:szCs w:val="18"/>
          <w:lang w:val="fr-FR"/>
        </w:rPr>
        <w:t>La méthode de calcul des notes pour chaque indicateur binaire, ainsi que les questions associées à chaque indicateur, figurent dans le document</w:t>
      </w:r>
      <w:r w:rsidRPr="00653BF4">
        <w:rPr>
          <w:lang w:val="fr-FR"/>
        </w:rPr>
        <w:t xml:space="preserve"> </w:t>
      </w:r>
      <w:hyperlink r:id="rId152" w:history="1">
        <w:r w:rsidRPr="00653BF4">
          <w:rPr>
            <w:rStyle w:val="Hyperlink"/>
            <w:sz w:val="18"/>
            <w:szCs w:val="18"/>
            <w:lang w:val="fr-FR"/>
          </w:rPr>
          <w:t>CBD/COP/16/INF/3/Rev.1</w:t>
        </w:r>
      </w:hyperlink>
      <w:r w:rsidRPr="00653BF4">
        <w:rPr>
          <w:lang w:val="fr-FR"/>
        </w:rPr>
        <w:t>.</w:t>
      </w:r>
    </w:p>
    <w:tbl>
      <w:tblPr>
        <w:tblStyle w:val="TableGrid"/>
        <w:tblW w:w="8861" w:type="dxa"/>
        <w:tblLook w:val="04A0" w:firstRow="1" w:lastRow="0" w:firstColumn="1" w:lastColumn="0" w:noHBand="0" w:noVBand="1"/>
      </w:tblPr>
      <w:tblGrid>
        <w:gridCol w:w="4188"/>
        <w:gridCol w:w="4673"/>
      </w:tblGrid>
      <w:tr w:rsidR="00735F5E" w:rsidRPr="006F7AF8" w14:paraId="4FA11372" w14:textId="77777777" w:rsidTr="009B4355">
        <w:tc>
          <w:tcPr>
            <w:tcW w:w="8861" w:type="dxa"/>
            <w:gridSpan w:val="2"/>
          </w:tcPr>
          <w:p w14:paraId="3E9AB1BA" w14:textId="77777777" w:rsidR="00735F5E" w:rsidRPr="006F7AF8" w:rsidRDefault="00735F5E" w:rsidP="009B4355">
            <w:pPr>
              <w:rPr>
                <w:rFonts w:ascii="Aptos" w:hAnsi="Aptos"/>
                <w:lang w:val="fr-FR"/>
              </w:rPr>
            </w:pPr>
            <w:r>
              <w:rPr>
                <w:rFonts w:ascii="Aptos" w:hAnsi="Aptos"/>
                <w:lang w:val="fr-FR"/>
              </w:rPr>
              <w:t>Figure 57</w:t>
            </w:r>
          </w:p>
        </w:tc>
      </w:tr>
      <w:tr w:rsidR="00735F5E" w:rsidRPr="009D5B28" w14:paraId="23BDE702" w14:textId="77777777" w:rsidTr="009B4355">
        <w:tc>
          <w:tcPr>
            <w:tcW w:w="4188" w:type="dxa"/>
          </w:tcPr>
          <w:p w14:paraId="7173E550" w14:textId="77777777" w:rsidR="00735F5E" w:rsidRPr="009D5B28" w:rsidRDefault="00735F5E" w:rsidP="009B4355">
            <w:pPr>
              <w:rPr>
                <w:rFonts w:ascii="Aptos" w:hAnsi="Aptos"/>
                <w:lang w:val="fr-FR"/>
              </w:rPr>
            </w:pPr>
            <w:r w:rsidRPr="009D5B28">
              <w:rPr>
                <w:rFonts w:ascii="Aptos" w:hAnsi="Aptos"/>
                <w:lang w:val="fr-FR"/>
              </w:rPr>
              <w:t xml:space="preserve">English </w:t>
            </w:r>
          </w:p>
        </w:tc>
        <w:tc>
          <w:tcPr>
            <w:tcW w:w="4673" w:type="dxa"/>
          </w:tcPr>
          <w:p w14:paraId="0631134B" w14:textId="77777777" w:rsidR="00735F5E" w:rsidRPr="009D5B28" w:rsidRDefault="00735F5E" w:rsidP="009B4355">
            <w:pPr>
              <w:rPr>
                <w:rFonts w:ascii="Aptos" w:hAnsi="Aptos"/>
                <w:lang w:val="fr-FR"/>
              </w:rPr>
            </w:pPr>
            <w:r>
              <w:rPr>
                <w:rFonts w:ascii="Aptos" w:hAnsi="Aptos"/>
                <w:lang w:val="fr-FR"/>
              </w:rPr>
              <w:t>Français</w:t>
            </w:r>
          </w:p>
        </w:tc>
      </w:tr>
      <w:tr w:rsidR="00735F5E" w:rsidRPr="006F7AF8" w14:paraId="73B5E393" w14:textId="77777777" w:rsidTr="009B4355">
        <w:tc>
          <w:tcPr>
            <w:tcW w:w="4188" w:type="dxa"/>
          </w:tcPr>
          <w:p w14:paraId="47540B7F" w14:textId="77777777" w:rsidR="00735F5E" w:rsidRPr="006F7AF8" w:rsidRDefault="00735F5E" w:rsidP="009B4355">
            <w:pPr>
              <w:rPr>
                <w:rFonts w:ascii="Aptos" w:hAnsi="Aptos"/>
                <w:lang w:val="fr-FR"/>
              </w:rPr>
            </w:pPr>
            <w:r w:rsidRPr="006F7AF8">
              <w:rPr>
                <w:rFonts w:ascii="Aptos" w:hAnsi="Aptos"/>
                <w:lang w:val="fr-FR"/>
              </w:rPr>
              <w:t>Answers (percentage)</w:t>
            </w:r>
          </w:p>
        </w:tc>
        <w:tc>
          <w:tcPr>
            <w:tcW w:w="4673" w:type="dxa"/>
          </w:tcPr>
          <w:p w14:paraId="7E49E3D2" w14:textId="77777777" w:rsidR="00735F5E" w:rsidRPr="006F7AF8" w:rsidRDefault="00735F5E" w:rsidP="009B4355">
            <w:pPr>
              <w:rPr>
                <w:rFonts w:ascii="Aptos" w:hAnsi="Aptos"/>
                <w:lang w:val="fr-FR"/>
              </w:rPr>
            </w:pPr>
            <w:r w:rsidRPr="006F7AF8">
              <w:rPr>
                <w:rFonts w:ascii="Aptos" w:hAnsi="Aptos"/>
                <w:lang w:val="fr-FR"/>
              </w:rPr>
              <w:t>Réponses (pourcentage)</w:t>
            </w:r>
          </w:p>
        </w:tc>
      </w:tr>
      <w:tr w:rsidR="00735F5E" w:rsidRPr="006F7AF8" w14:paraId="7C4C68B0" w14:textId="77777777" w:rsidTr="009B4355">
        <w:tc>
          <w:tcPr>
            <w:tcW w:w="4188" w:type="dxa"/>
          </w:tcPr>
          <w:p w14:paraId="23E87B03" w14:textId="77777777" w:rsidR="00735F5E" w:rsidRPr="006F7AF8" w:rsidRDefault="00735F5E" w:rsidP="009B4355">
            <w:pPr>
              <w:rPr>
                <w:rFonts w:ascii="Aptos" w:hAnsi="Aptos"/>
                <w:lang w:val="fr-FR"/>
              </w:rPr>
            </w:pPr>
            <w:r w:rsidRPr="006F7AF8">
              <w:rPr>
                <w:rFonts w:ascii="Aptos" w:hAnsi="Aptos"/>
                <w:lang w:val="fr-FR"/>
              </w:rPr>
              <w:t>Score Level</w:t>
            </w:r>
          </w:p>
        </w:tc>
        <w:tc>
          <w:tcPr>
            <w:tcW w:w="4673" w:type="dxa"/>
          </w:tcPr>
          <w:p w14:paraId="28C3D844" w14:textId="77777777" w:rsidR="00735F5E" w:rsidRPr="006F7AF8" w:rsidRDefault="00735F5E" w:rsidP="009B4355">
            <w:pPr>
              <w:rPr>
                <w:rFonts w:ascii="Aptos" w:hAnsi="Aptos"/>
                <w:lang w:val="fr-FR"/>
              </w:rPr>
            </w:pPr>
            <w:r>
              <w:rPr>
                <w:rFonts w:ascii="Aptos" w:hAnsi="Aptos"/>
                <w:lang w:val="fr-FR"/>
              </w:rPr>
              <w:t>Note</w:t>
            </w:r>
          </w:p>
        </w:tc>
      </w:tr>
      <w:tr w:rsidR="00735F5E" w:rsidRPr="006F7AF8" w14:paraId="34642A3B" w14:textId="77777777" w:rsidTr="009B4355">
        <w:tc>
          <w:tcPr>
            <w:tcW w:w="4188" w:type="dxa"/>
          </w:tcPr>
          <w:p w14:paraId="1A592CCA" w14:textId="77777777" w:rsidR="00735F5E" w:rsidRPr="006F7AF8" w:rsidRDefault="00735F5E" w:rsidP="009B4355">
            <w:pPr>
              <w:rPr>
                <w:rFonts w:ascii="Aptos" w:hAnsi="Aptos"/>
                <w:lang w:val="fr-FR"/>
              </w:rPr>
            </w:pPr>
            <w:r w:rsidRPr="006F7AF8">
              <w:rPr>
                <w:rFonts w:ascii="Aptos" w:hAnsi="Aptos"/>
                <w:lang w:val="fr-FR"/>
              </w:rPr>
              <w:t>Party count: 127</w:t>
            </w:r>
          </w:p>
        </w:tc>
        <w:tc>
          <w:tcPr>
            <w:tcW w:w="4673" w:type="dxa"/>
          </w:tcPr>
          <w:p w14:paraId="6A17F6CE" w14:textId="77777777" w:rsidR="00735F5E" w:rsidRPr="006F7AF8" w:rsidRDefault="00735F5E" w:rsidP="009B4355">
            <w:pPr>
              <w:rPr>
                <w:rFonts w:ascii="Aptos" w:hAnsi="Aptos"/>
                <w:lang w:val="fr-FR"/>
              </w:rPr>
            </w:pPr>
            <w:r w:rsidRPr="006F7AF8">
              <w:rPr>
                <w:rFonts w:ascii="Aptos" w:hAnsi="Aptos"/>
                <w:lang w:val="fr-FR"/>
              </w:rPr>
              <w:t>Nombre de Parties : 127</w:t>
            </w:r>
          </w:p>
        </w:tc>
      </w:tr>
      <w:tr w:rsidR="00735F5E" w:rsidRPr="006F7AF8" w14:paraId="373D99E7" w14:textId="77777777" w:rsidTr="009B4355">
        <w:tc>
          <w:tcPr>
            <w:tcW w:w="4188" w:type="dxa"/>
          </w:tcPr>
          <w:p w14:paraId="01B4FAC5" w14:textId="77777777" w:rsidR="00735F5E" w:rsidRPr="006F7AF8" w:rsidRDefault="00735F5E" w:rsidP="009B4355">
            <w:pPr>
              <w:rPr>
                <w:rFonts w:ascii="Aptos" w:hAnsi="Aptos"/>
                <w:lang w:val="fr-FR"/>
              </w:rPr>
            </w:pPr>
            <w:r w:rsidRPr="006F7AF8">
              <w:rPr>
                <w:rFonts w:ascii="Aptos" w:hAnsi="Aptos"/>
                <w:lang w:val="fr-FR"/>
              </w:rPr>
              <w:t>Region</w:t>
            </w:r>
          </w:p>
        </w:tc>
        <w:tc>
          <w:tcPr>
            <w:tcW w:w="4673" w:type="dxa"/>
          </w:tcPr>
          <w:p w14:paraId="1705092C"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7A7FB3E2" w14:textId="77777777" w:rsidTr="009B4355">
        <w:tc>
          <w:tcPr>
            <w:tcW w:w="4188" w:type="dxa"/>
          </w:tcPr>
          <w:p w14:paraId="5146173F" w14:textId="77777777" w:rsidR="00735F5E" w:rsidRPr="006F7AF8" w:rsidRDefault="00735F5E" w:rsidP="009B4355">
            <w:pPr>
              <w:rPr>
                <w:rFonts w:ascii="Aptos" w:hAnsi="Aptos"/>
                <w:lang w:val="fr-FR"/>
              </w:rPr>
            </w:pPr>
            <w:r w:rsidRPr="006F7AF8">
              <w:rPr>
                <w:rFonts w:ascii="Aptos" w:hAnsi="Aptos"/>
                <w:lang w:val="fr-FR"/>
              </w:rPr>
              <w:t>African States</w:t>
            </w:r>
          </w:p>
        </w:tc>
        <w:tc>
          <w:tcPr>
            <w:tcW w:w="4673" w:type="dxa"/>
          </w:tcPr>
          <w:p w14:paraId="08F6AE0C"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125CD383" w14:textId="77777777" w:rsidTr="009B4355">
        <w:tc>
          <w:tcPr>
            <w:tcW w:w="4188" w:type="dxa"/>
          </w:tcPr>
          <w:p w14:paraId="1024E7C8"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673" w:type="dxa"/>
          </w:tcPr>
          <w:p w14:paraId="72DC8EBD"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42A8F9E9" w14:textId="77777777" w:rsidTr="009B4355">
        <w:tc>
          <w:tcPr>
            <w:tcW w:w="4188" w:type="dxa"/>
          </w:tcPr>
          <w:p w14:paraId="0E2AFCF8"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673" w:type="dxa"/>
          </w:tcPr>
          <w:p w14:paraId="2237684C"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159CEFA0" w14:textId="77777777" w:rsidTr="009B4355">
        <w:tc>
          <w:tcPr>
            <w:tcW w:w="4188" w:type="dxa"/>
          </w:tcPr>
          <w:p w14:paraId="6788325D"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673" w:type="dxa"/>
          </w:tcPr>
          <w:p w14:paraId="6F010801"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4D923C78" w14:textId="77777777" w:rsidTr="009B4355">
        <w:tc>
          <w:tcPr>
            <w:tcW w:w="4188" w:type="dxa"/>
          </w:tcPr>
          <w:p w14:paraId="40A177E9"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673" w:type="dxa"/>
          </w:tcPr>
          <w:p w14:paraId="0D81F49F"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4C03271B" w14:textId="77777777" w:rsidR="00B87039" w:rsidRPr="00653BF4" w:rsidRDefault="00B87039" w:rsidP="00B87039">
      <w:pPr>
        <w:pStyle w:val="Caption"/>
        <w:rPr>
          <w:rStyle w:val="eop"/>
          <w:rFonts w:cs="Segoe UI"/>
          <w:lang w:val="fr-FR"/>
        </w:rPr>
      </w:pPr>
    </w:p>
    <w:p w14:paraId="30000B8E" w14:textId="27027770" w:rsidR="00B87039" w:rsidRPr="00653BF4" w:rsidRDefault="00B87039" w:rsidP="00B87039">
      <w:pPr>
        <w:rPr>
          <w:sz w:val="20"/>
          <w:szCs w:val="20"/>
          <w:lang w:val="fr-FR" w:eastAsia="ja-JP"/>
        </w:rPr>
      </w:pPr>
      <w:bookmarkStart w:id="256" w:name="_Ref238726407"/>
      <w:r w:rsidRPr="00653BF4">
        <w:rPr>
          <w:sz w:val="20"/>
          <w:szCs w:val="20"/>
          <w:lang w:val="fr-FR"/>
        </w:rPr>
        <w:t>Figure 58</w:t>
      </w:r>
      <w:bookmarkEnd w:id="256"/>
    </w:p>
    <w:p w14:paraId="0CC80AC6" w14:textId="754324CD" w:rsidR="00B87039" w:rsidRPr="00653BF4"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1</w:t>
      </w:r>
      <w:r w:rsidRPr="00653BF4">
        <w:rPr>
          <w:b/>
          <w:bCs/>
          <w:i w:val="0"/>
          <w:iCs w:val="0"/>
          <w:sz w:val="20"/>
          <w:szCs w:val="20"/>
          <w:lang w:val="fr-FR"/>
        </w:rPr>
        <w:t>3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73BBF10D" w14:textId="77777777" w:rsidR="00B87039" w:rsidRPr="00653BF4" w:rsidRDefault="00B87039" w:rsidP="00B87039">
      <w:pPr>
        <w:pStyle w:val="Caption"/>
        <w:rPr>
          <w:lang w:val="fr-FR"/>
        </w:rPr>
      </w:pPr>
      <w:r w:rsidRPr="00653BF4">
        <w:rPr>
          <w:noProof/>
          <w:lang w:val="fr-FR"/>
          <w14:ligatures w14:val="standardContextual"/>
        </w:rPr>
        <w:lastRenderedPageBreak/>
        <w:drawing>
          <wp:inline distT="0" distB="0" distL="0" distR="0" wp14:anchorId="1C79B299" wp14:editId="03C55FE4">
            <wp:extent cx="5731510" cy="2456180"/>
            <wp:effectExtent l="0" t="0" r="0" b="0"/>
            <wp:docPr id="4051636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63663" name="Picture 405163663"/>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0C1B7B22" w14:textId="772AF497" w:rsidR="00B87039" w:rsidRPr="00653BF4" w:rsidRDefault="00B87039" w:rsidP="00B87039">
      <w:pPr>
        <w:pStyle w:val="Caption"/>
        <w:rPr>
          <w:i w:val="0"/>
          <w:iCs w:val="0"/>
          <w:lang w:val="fr-FR"/>
        </w:rPr>
      </w:pPr>
      <w:bookmarkStart w:id="257" w:name="_Toc235821209"/>
      <w:r w:rsidRPr="00653BF4">
        <w:rPr>
          <w:lang w:val="fr-FR"/>
        </w:rPr>
        <w:t>Note</w:t>
      </w:r>
      <w:r w:rsidR="00E34DC9">
        <w:rPr>
          <w:lang w:val="fr-FR"/>
        </w:rPr>
        <w:t> :</w:t>
      </w:r>
      <w:r w:rsidRPr="00653BF4">
        <w:rPr>
          <w:i w:val="0"/>
          <w:iCs w:val="0"/>
          <w:lang w:val="fr-FR"/>
        </w:rPr>
        <w:t xml:space="preserve"> Les proportions sont pondérées par Partie. Les tendances incluent des données relatives à 2 indicateurs phares provenant de 18 Parties, ainsi qu</w:t>
      </w:r>
      <w:r w:rsidR="00D77549">
        <w:rPr>
          <w:i w:val="0"/>
          <w:iCs w:val="0"/>
          <w:lang w:val="fr-FR"/>
        </w:rPr>
        <w:t>’</w:t>
      </w:r>
      <w:r w:rsidRPr="00653BF4">
        <w:rPr>
          <w:i w:val="0"/>
          <w:iCs w:val="0"/>
          <w:lang w:val="fr-FR"/>
        </w:rPr>
        <w:t xml:space="preserve">à 2 indicateurs </w:t>
      </w:r>
      <w:r w:rsidRPr="00653BF4">
        <w:rPr>
          <w:rFonts w:ascii="Arial" w:hAnsi="Arial" w:cs="Arial"/>
          <w:i w:val="0"/>
          <w:iCs w:val="0"/>
          <w:lang w:val="fr-FR"/>
        </w:rPr>
        <w:t>complémentaires et 41 indicateurs nationaux provenant au total de 16 Parties.</w:t>
      </w:r>
      <w:r w:rsidRPr="00653BF4">
        <w:rPr>
          <w:i w:val="0"/>
          <w:iCs w:val="0"/>
          <w:lang w:val="fr-FR"/>
        </w:rPr>
        <w:t xml:space="preserve"> Le diagramme circulaire représente la répartition, par région, des Parties ayant communiqué des indicateurs pour la </w:t>
      </w:r>
      <w:r w:rsidR="00E34DC9">
        <w:rPr>
          <w:i w:val="0"/>
          <w:iCs w:val="0"/>
          <w:lang w:val="fr-FR"/>
        </w:rPr>
        <w:t>cible 1</w:t>
      </w:r>
      <w:r w:rsidRPr="00653BF4">
        <w:rPr>
          <w:i w:val="0"/>
          <w:iCs w:val="0"/>
          <w:lang w:val="fr-FR"/>
        </w:rPr>
        <w:t>3.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735F5E" w:rsidRPr="006F7AF8" w14:paraId="32785EBD" w14:textId="77777777" w:rsidTr="009B4355">
        <w:tc>
          <w:tcPr>
            <w:tcW w:w="8861" w:type="dxa"/>
            <w:gridSpan w:val="2"/>
          </w:tcPr>
          <w:p w14:paraId="3A999F13" w14:textId="77777777" w:rsidR="00735F5E" w:rsidRPr="006F7AF8" w:rsidRDefault="00735F5E" w:rsidP="009B4355">
            <w:pPr>
              <w:rPr>
                <w:rFonts w:ascii="Aptos" w:hAnsi="Aptos"/>
                <w:lang w:val="fr-FR"/>
              </w:rPr>
            </w:pPr>
            <w:r>
              <w:rPr>
                <w:rFonts w:ascii="Aptos" w:hAnsi="Aptos"/>
                <w:lang w:val="fr-FR"/>
              </w:rPr>
              <w:t>Figure 58</w:t>
            </w:r>
          </w:p>
        </w:tc>
      </w:tr>
      <w:tr w:rsidR="00735F5E" w:rsidRPr="00CE669D" w14:paraId="6D99CA0F" w14:textId="77777777" w:rsidTr="009B4355">
        <w:tc>
          <w:tcPr>
            <w:tcW w:w="4188" w:type="dxa"/>
          </w:tcPr>
          <w:p w14:paraId="4ED75366" w14:textId="77777777" w:rsidR="00735F5E" w:rsidRPr="00CE669D" w:rsidRDefault="00735F5E" w:rsidP="009B4355">
            <w:pPr>
              <w:rPr>
                <w:rFonts w:ascii="Aptos" w:hAnsi="Aptos"/>
                <w:lang w:val="fr-FR"/>
              </w:rPr>
            </w:pPr>
            <w:r w:rsidRPr="00CE669D">
              <w:rPr>
                <w:rFonts w:ascii="Aptos" w:hAnsi="Aptos"/>
                <w:lang w:val="fr-FR"/>
              </w:rPr>
              <w:t xml:space="preserve">English </w:t>
            </w:r>
          </w:p>
        </w:tc>
        <w:tc>
          <w:tcPr>
            <w:tcW w:w="4673" w:type="dxa"/>
          </w:tcPr>
          <w:p w14:paraId="35A7489F" w14:textId="77777777" w:rsidR="00735F5E" w:rsidRPr="00CE669D" w:rsidRDefault="00735F5E" w:rsidP="009B4355">
            <w:pPr>
              <w:rPr>
                <w:rFonts w:ascii="Aptos" w:hAnsi="Aptos"/>
                <w:lang w:val="fr-FR"/>
              </w:rPr>
            </w:pPr>
            <w:r>
              <w:rPr>
                <w:rFonts w:ascii="Aptos" w:hAnsi="Aptos"/>
                <w:lang w:val="fr-FR"/>
              </w:rPr>
              <w:t>Français</w:t>
            </w:r>
          </w:p>
        </w:tc>
      </w:tr>
      <w:tr w:rsidR="00735F5E" w:rsidRPr="006F7AF8" w14:paraId="73147861" w14:textId="77777777" w:rsidTr="009B4355">
        <w:tc>
          <w:tcPr>
            <w:tcW w:w="4188" w:type="dxa"/>
          </w:tcPr>
          <w:p w14:paraId="3FE99A89" w14:textId="77777777" w:rsidR="00735F5E" w:rsidRPr="006F7AF8" w:rsidRDefault="00735F5E" w:rsidP="009B4355">
            <w:pPr>
              <w:rPr>
                <w:rFonts w:ascii="Aptos" w:hAnsi="Aptos"/>
                <w:lang w:val="fr-FR"/>
              </w:rPr>
            </w:pPr>
            <w:r w:rsidRPr="006F7AF8">
              <w:rPr>
                <w:rFonts w:ascii="Aptos" w:hAnsi="Aptos"/>
                <w:lang w:val="fr-FR"/>
              </w:rPr>
              <w:t>Proportion</w:t>
            </w:r>
          </w:p>
        </w:tc>
        <w:tc>
          <w:tcPr>
            <w:tcW w:w="4673" w:type="dxa"/>
          </w:tcPr>
          <w:p w14:paraId="7FDA419F" w14:textId="77777777" w:rsidR="00735F5E" w:rsidRPr="006F7AF8" w:rsidRDefault="00735F5E" w:rsidP="009B4355">
            <w:pPr>
              <w:rPr>
                <w:rFonts w:ascii="Aptos" w:hAnsi="Aptos"/>
                <w:lang w:val="fr-FR"/>
              </w:rPr>
            </w:pPr>
            <w:r w:rsidRPr="006F7AF8">
              <w:rPr>
                <w:rFonts w:ascii="Aptos" w:hAnsi="Aptos"/>
                <w:lang w:val="fr-FR"/>
              </w:rPr>
              <w:t>Proportion</w:t>
            </w:r>
          </w:p>
        </w:tc>
      </w:tr>
      <w:tr w:rsidR="00735F5E" w:rsidRPr="006F7AF8" w14:paraId="607C2039" w14:textId="77777777" w:rsidTr="009B4355">
        <w:tc>
          <w:tcPr>
            <w:tcW w:w="4188" w:type="dxa"/>
          </w:tcPr>
          <w:p w14:paraId="735B18BF" w14:textId="77777777" w:rsidR="00735F5E" w:rsidRPr="006F7AF8" w:rsidRDefault="00735F5E" w:rsidP="009B4355">
            <w:pPr>
              <w:rPr>
                <w:rFonts w:ascii="Aptos" w:hAnsi="Aptos"/>
                <w:lang w:val="fr-FR"/>
              </w:rPr>
            </w:pPr>
            <w:r w:rsidRPr="006F7AF8">
              <w:rPr>
                <w:rFonts w:ascii="Aptos" w:hAnsi="Aptos"/>
                <w:lang w:val="fr-FR"/>
              </w:rPr>
              <w:t>Current Status</w:t>
            </w:r>
          </w:p>
        </w:tc>
        <w:tc>
          <w:tcPr>
            <w:tcW w:w="4673" w:type="dxa"/>
          </w:tcPr>
          <w:p w14:paraId="08D14CCE" w14:textId="77777777" w:rsidR="00735F5E" w:rsidRPr="006F7AF8" w:rsidRDefault="00735F5E" w:rsidP="009B4355">
            <w:pPr>
              <w:rPr>
                <w:rFonts w:ascii="Aptos" w:hAnsi="Aptos"/>
                <w:lang w:val="fr-FR"/>
              </w:rPr>
            </w:pPr>
            <w:r w:rsidRPr="006F7AF8">
              <w:rPr>
                <w:rFonts w:ascii="Aptos" w:hAnsi="Aptos"/>
                <w:lang w:val="fr-FR"/>
              </w:rPr>
              <w:t>État actuel</w:t>
            </w:r>
          </w:p>
        </w:tc>
      </w:tr>
      <w:tr w:rsidR="00735F5E" w:rsidRPr="006F7AF8" w14:paraId="3CADBD0B" w14:textId="77777777" w:rsidTr="009B4355">
        <w:tc>
          <w:tcPr>
            <w:tcW w:w="4188" w:type="dxa"/>
          </w:tcPr>
          <w:p w14:paraId="14ED1D0D" w14:textId="77777777" w:rsidR="00735F5E" w:rsidRPr="006F7AF8" w:rsidRDefault="00735F5E" w:rsidP="009B4355">
            <w:pPr>
              <w:rPr>
                <w:rFonts w:ascii="Aptos" w:hAnsi="Aptos"/>
                <w:lang w:val="fr-FR"/>
              </w:rPr>
            </w:pPr>
            <w:r w:rsidRPr="006F7AF8">
              <w:rPr>
                <w:rFonts w:ascii="Aptos" w:hAnsi="Aptos"/>
                <w:lang w:val="fr-FR"/>
              </w:rPr>
              <w:t>improving</w:t>
            </w:r>
          </w:p>
        </w:tc>
        <w:tc>
          <w:tcPr>
            <w:tcW w:w="4673" w:type="dxa"/>
          </w:tcPr>
          <w:p w14:paraId="6780363D" w14:textId="77777777" w:rsidR="00735F5E" w:rsidRPr="006F7AF8" w:rsidRDefault="00735F5E" w:rsidP="009B4355">
            <w:pPr>
              <w:rPr>
                <w:rFonts w:ascii="Aptos" w:hAnsi="Aptos"/>
                <w:lang w:val="fr-FR"/>
              </w:rPr>
            </w:pPr>
            <w:r>
              <w:rPr>
                <w:rFonts w:ascii="Aptos" w:hAnsi="Aptos"/>
                <w:lang w:val="fr-FR"/>
              </w:rPr>
              <w:t>amélioration</w:t>
            </w:r>
          </w:p>
        </w:tc>
      </w:tr>
      <w:tr w:rsidR="00735F5E" w:rsidRPr="006F7AF8" w14:paraId="69E7712B" w14:textId="77777777" w:rsidTr="009B4355">
        <w:tc>
          <w:tcPr>
            <w:tcW w:w="4188" w:type="dxa"/>
          </w:tcPr>
          <w:p w14:paraId="703A24A3" w14:textId="77777777" w:rsidR="00735F5E" w:rsidRPr="006F7AF8" w:rsidRDefault="00735F5E" w:rsidP="009B4355">
            <w:pPr>
              <w:rPr>
                <w:rFonts w:ascii="Aptos" w:hAnsi="Aptos"/>
                <w:lang w:val="fr-FR"/>
              </w:rPr>
            </w:pPr>
            <w:r w:rsidRPr="006F7AF8">
              <w:rPr>
                <w:rFonts w:ascii="Aptos" w:hAnsi="Aptos"/>
                <w:lang w:val="fr-FR"/>
              </w:rPr>
              <w:t>stable</w:t>
            </w:r>
          </w:p>
        </w:tc>
        <w:tc>
          <w:tcPr>
            <w:tcW w:w="4673" w:type="dxa"/>
          </w:tcPr>
          <w:p w14:paraId="019C72A9" w14:textId="77777777" w:rsidR="00735F5E" w:rsidRPr="006F7AF8" w:rsidRDefault="00735F5E"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735F5E" w:rsidRPr="006F7AF8" w14:paraId="4296B521" w14:textId="77777777" w:rsidTr="009B4355">
        <w:tc>
          <w:tcPr>
            <w:tcW w:w="4188" w:type="dxa"/>
          </w:tcPr>
          <w:p w14:paraId="6EED6C2A" w14:textId="77777777" w:rsidR="00735F5E" w:rsidRPr="006F7AF8" w:rsidRDefault="00735F5E" w:rsidP="009B4355">
            <w:pPr>
              <w:rPr>
                <w:rFonts w:ascii="Aptos" w:hAnsi="Aptos"/>
                <w:lang w:val="fr-FR"/>
              </w:rPr>
            </w:pPr>
            <w:r w:rsidRPr="006F7AF8">
              <w:rPr>
                <w:rFonts w:ascii="Aptos" w:hAnsi="Aptos"/>
                <w:lang w:val="fr-FR"/>
              </w:rPr>
              <w:t>moving away</w:t>
            </w:r>
          </w:p>
        </w:tc>
        <w:tc>
          <w:tcPr>
            <w:tcW w:w="4673" w:type="dxa"/>
          </w:tcPr>
          <w:p w14:paraId="255B81FE" w14:textId="77777777" w:rsidR="00735F5E" w:rsidRPr="006F7AF8" w:rsidRDefault="00735F5E" w:rsidP="009B4355">
            <w:pPr>
              <w:rPr>
                <w:rFonts w:ascii="Aptos" w:hAnsi="Aptos"/>
                <w:lang w:val="fr-FR"/>
              </w:rPr>
            </w:pPr>
            <w:r>
              <w:rPr>
                <w:rFonts w:ascii="Aptos" w:hAnsi="Aptos"/>
                <w:lang w:val="fr-FR"/>
              </w:rPr>
              <w:t>éloignement</w:t>
            </w:r>
          </w:p>
        </w:tc>
      </w:tr>
      <w:tr w:rsidR="00735F5E" w:rsidRPr="006F7AF8" w14:paraId="50099680" w14:textId="77777777" w:rsidTr="009B4355">
        <w:tc>
          <w:tcPr>
            <w:tcW w:w="4188" w:type="dxa"/>
          </w:tcPr>
          <w:p w14:paraId="2AAF943F" w14:textId="77777777" w:rsidR="00735F5E" w:rsidRPr="006F7AF8" w:rsidRDefault="00735F5E" w:rsidP="009B4355">
            <w:pPr>
              <w:rPr>
                <w:rFonts w:ascii="Aptos" w:hAnsi="Aptos"/>
                <w:lang w:val="fr-FR"/>
              </w:rPr>
            </w:pPr>
            <w:r w:rsidRPr="006F7AF8">
              <w:rPr>
                <w:rFonts w:ascii="Aptos" w:hAnsi="Aptos"/>
                <w:lang w:val="fr-FR"/>
              </w:rPr>
              <w:t>Party count: 31</w:t>
            </w:r>
          </w:p>
        </w:tc>
        <w:tc>
          <w:tcPr>
            <w:tcW w:w="4673" w:type="dxa"/>
          </w:tcPr>
          <w:p w14:paraId="2CD705E3" w14:textId="77777777" w:rsidR="00735F5E" w:rsidRPr="006F7AF8" w:rsidRDefault="00735F5E" w:rsidP="009B4355">
            <w:pPr>
              <w:rPr>
                <w:rFonts w:ascii="Aptos" w:hAnsi="Aptos"/>
                <w:lang w:val="fr-FR"/>
              </w:rPr>
            </w:pPr>
            <w:r w:rsidRPr="006F7AF8">
              <w:rPr>
                <w:rFonts w:ascii="Aptos" w:hAnsi="Aptos"/>
                <w:lang w:val="fr-FR"/>
              </w:rPr>
              <w:t>Nombre de Parties : 31</w:t>
            </w:r>
          </w:p>
        </w:tc>
      </w:tr>
      <w:tr w:rsidR="00735F5E" w:rsidRPr="006F7AF8" w14:paraId="58F0E502" w14:textId="77777777" w:rsidTr="009B4355">
        <w:tc>
          <w:tcPr>
            <w:tcW w:w="4188" w:type="dxa"/>
          </w:tcPr>
          <w:p w14:paraId="1ADF9FD1" w14:textId="77777777" w:rsidR="00735F5E" w:rsidRPr="006F7AF8" w:rsidRDefault="00735F5E" w:rsidP="009B4355">
            <w:pPr>
              <w:rPr>
                <w:rFonts w:ascii="Aptos" w:hAnsi="Aptos"/>
                <w:lang w:val="fr-FR"/>
              </w:rPr>
            </w:pPr>
            <w:r w:rsidRPr="006F7AF8">
              <w:rPr>
                <w:rFonts w:ascii="Aptos" w:hAnsi="Aptos"/>
                <w:lang w:val="fr-FR"/>
              </w:rPr>
              <w:t>Region</w:t>
            </w:r>
          </w:p>
        </w:tc>
        <w:tc>
          <w:tcPr>
            <w:tcW w:w="4673" w:type="dxa"/>
          </w:tcPr>
          <w:p w14:paraId="1002DD4F"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72E613BC" w14:textId="77777777" w:rsidTr="009B4355">
        <w:tc>
          <w:tcPr>
            <w:tcW w:w="4188" w:type="dxa"/>
          </w:tcPr>
          <w:p w14:paraId="2C8E583E" w14:textId="77777777" w:rsidR="00735F5E" w:rsidRPr="006F7AF8" w:rsidRDefault="00735F5E" w:rsidP="009B4355">
            <w:pPr>
              <w:rPr>
                <w:rFonts w:ascii="Aptos" w:hAnsi="Aptos"/>
                <w:lang w:val="fr-FR"/>
              </w:rPr>
            </w:pPr>
            <w:r w:rsidRPr="006F7AF8">
              <w:rPr>
                <w:rFonts w:ascii="Aptos" w:hAnsi="Aptos"/>
                <w:lang w:val="fr-FR"/>
              </w:rPr>
              <w:t>African States</w:t>
            </w:r>
          </w:p>
        </w:tc>
        <w:tc>
          <w:tcPr>
            <w:tcW w:w="4673" w:type="dxa"/>
          </w:tcPr>
          <w:p w14:paraId="6BDC062E"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63279020" w14:textId="77777777" w:rsidTr="009B4355">
        <w:tc>
          <w:tcPr>
            <w:tcW w:w="4188" w:type="dxa"/>
          </w:tcPr>
          <w:p w14:paraId="7F900B67"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673" w:type="dxa"/>
          </w:tcPr>
          <w:p w14:paraId="54127537"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03D8F042" w14:textId="77777777" w:rsidTr="009B4355">
        <w:tc>
          <w:tcPr>
            <w:tcW w:w="4188" w:type="dxa"/>
          </w:tcPr>
          <w:p w14:paraId="7FD110F6"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673" w:type="dxa"/>
          </w:tcPr>
          <w:p w14:paraId="12849871"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01DAD30B" w14:textId="77777777" w:rsidTr="009B4355">
        <w:tc>
          <w:tcPr>
            <w:tcW w:w="4188" w:type="dxa"/>
          </w:tcPr>
          <w:p w14:paraId="3485D936"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673" w:type="dxa"/>
          </w:tcPr>
          <w:p w14:paraId="0DEAC02A"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4732D339" w14:textId="77777777" w:rsidTr="009B4355">
        <w:tc>
          <w:tcPr>
            <w:tcW w:w="4188" w:type="dxa"/>
          </w:tcPr>
          <w:p w14:paraId="42DF00EC"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673" w:type="dxa"/>
          </w:tcPr>
          <w:p w14:paraId="003332DC"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54F8120" w14:textId="77777777" w:rsidR="00B87039" w:rsidRPr="00653BF4" w:rsidRDefault="00B87039" w:rsidP="00B87039">
      <w:pPr>
        <w:pStyle w:val="Caption"/>
        <w:rPr>
          <w:rStyle w:val="eop"/>
          <w:rFonts w:cs="Segoe UI"/>
          <w:lang w:val="fr-FR"/>
        </w:rPr>
      </w:pPr>
    </w:p>
    <w:p w14:paraId="26195DD3" w14:textId="26596AF4" w:rsidR="00B87039" w:rsidRPr="00653BF4" w:rsidRDefault="00B87039" w:rsidP="00B87039">
      <w:pPr>
        <w:pStyle w:val="Heading5"/>
        <w:rPr>
          <w:lang w:val="fr-FR"/>
        </w:rPr>
      </w:pPr>
      <w:r w:rsidRPr="00653BF4">
        <w:rPr>
          <w:lang w:val="fr-FR"/>
        </w:rPr>
        <w:t>Auto-évaluation des progrès accomplis</w:t>
      </w:r>
      <w:bookmarkEnd w:id="257"/>
    </w:p>
    <w:p w14:paraId="36314025" w14:textId="77777777" w:rsidR="00B87039" w:rsidRPr="00653BF4" w:rsidRDefault="00B87039" w:rsidP="00B87039">
      <w:pPr>
        <w:rPr>
          <w:lang w:val="fr-FR"/>
        </w:rPr>
      </w:pPr>
    </w:p>
    <w:p w14:paraId="1A7692C7" w14:textId="46464CC4" w:rsidR="00B87039" w:rsidRPr="00653BF4" w:rsidRDefault="00B87039" w:rsidP="00B87039">
      <w:pPr>
        <w:pStyle w:val="Caption"/>
        <w:rPr>
          <w:rStyle w:val="normaltextrun"/>
          <w:i w:val="0"/>
          <w:iCs w:val="0"/>
          <w:sz w:val="24"/>
          <w:szCs w:val="24"/>
          <w:lang w:val="fr-FR"/>
        </w:rPr>
      </w:pPr>
      <w:r w:rsidRPr="00653BF4">
        <w:rPr>
          <w:rStyle w:val="normaltextrun"/>
          <w:i w:val="0"/>
          <w:iCs w:val="0"/>
          <w:sz w:val="24"/>
          <w:szCs w:val="24"/>
          <w:lang w:val="fr-FR"/>
        </w:rPr>
        <w:t>D</w:t>
      </w:r>
      <w:r w:rsidR="00D77549">
        <w:rPr>
          <w:rStyle w:val="normaltextrun"/>
          <w:i w:val="0"/>
          <w:iCs w:val="0"/>
          <w:sz w:val="24"/>
          <w:szCs w:val="24"/>
          <w:lang w:val="fr-FR"/>
        </w:rPr>
        <w:t>’</w:t>
      </w:r>
      <w:r w:rsidRPr="00653BF4">
        <w:rPr>
          <w:rStyle w:val="normaltextrun"/>
          <w:i w:val="0"/>
          <w:iCs w:val="0"/>
          <w:sz w:val="24"/>
          <w:szCs w:val="24"/>
          <w:lang w:val="fr-FR"/>
        </w:rPr>
        <w:t>après les auto-évaluations des Parties figurant dans leurs rapports nationaux, 43</w:t>
      </w:r>
      <w:r w:rsidR="002878D7">
        <w:rPr>
          <w:rStyle w:val="normaltextrun"/>
          <w:i w:val="0"/>
          <w:iCs w:val="0"/>
          <w:sz w:val="24"/>
          <w:szCs w:val="24"/>
          <w:lang w:val="fr-FR"/>
        </w:rPr>
        <w:t> %</w:t>
      </w:r>
      <w:r w:rsidRPr="00653BF4">
        <w:rPr>
          <w:rStyle w:val="normaltextrun"/>
          <w:i w:val="0"/>
          <w:iCs w:val="0"/>
          <w:sz w:val="24"/>
          <w:szCs w:val="24"/>
          <w:lang w:val="fr-FR"/>
        </w:rPr>
        <w:t xml:space="preserve"> des cibles nationales qu</w:t>
      </w:r>
      <w:r w:rsidR="00D77549">
        <w:rPr>
          <w:rStyle w:val="normaltextrun"/>
          <w:i w:val="0"/>
          <w:iCs w:val="0"/>
          <w:sz w:val="24"/>
          <w:szCs w:val="24"/>
          <w:lang w:val="fr-FR"/>
        </w:rPr>
        <w:t>’</w:t>
      </w:r>
      <w:r w:rsidRPr="00653BF4">
        <w:rPr>
          <w:rStyle w:val="normaltextrun"/>
          <w:i w:val="0"/>
          <w:iCs w:val="0"/>
          <w:sz w:val="24"/>
          <w:szCs w:val="24"/>
          <w:lang w:val="fr-FR"/>
        </w:rPr>
        <w:t xml:space="preserve">elles ont présentées comme étroitement alignées sur la </w:t>
      </w:r>
      <w:r w:rsidR="00E34DC9">
        <w:rPr>
          <w:rStyle w:val="normaltextrun"/>
          <w:i w:val="0"/>
          <w:iCs w:val="0"/>
          <w:sz w:val="24"/>
          <w:szCs w:val="24"/>
          <w:lang w:val="fr-FR"/>
        </w:rPr>
        <w:t>cible 1</w:t>
      </w:r>
      <w:r w:rsidRPr="00653BF4">
        <w:rPr>
          <w:rStyle w:val="normaltextrun"/>
          <w:i w:val="0"/>
          <w:iCs w:val="0"/>
          <w:sz w:val="24"/>
          <w:szCs w:val="24"/>
          <w:lang w:val="fr-FR"/>
        </w:rPr>
        <w:t>3 sont en voie d</w:t>
      </w:r>
      <w:r w:rsidR="00D77549">
        <w:rPr>
          <w:rStyle w:val="normaltextrun"/>
          <w:i w:val="0"/>
          <w:iCs w:val="0"/>
          <w:sz w:val="24"/>
          <w:szCs w:val="24"/>
          <w:lang w:val="fr-FR"/>
        </w:rPr>
        <w:t>’</w:t>
      </w:r>
      <w:r w:rsidRPr="00653BF4">
        <w:rPr>
          <w:rStyle w:val="normaltextrun"/>
          <w:i w:val="0"/>
          <w:iCs w:val="0"/>
          <w:sz w:val="24"/>
          <w:szCs w:val="24"/>
          <w:lang w:val="fr-FR"/>
        </w:rPr>
        <w:t>être atteintes. 8</w:t>
      </w:r>
      <w:r w:rsidR="002878D7">
        <w:rPr>
          <w:rStyle w:val="normaltextrun"/>
          <w:i w:val="0"/>
          <w:iCs w:val="0"/>
          <w:sz w:val="24"/>
          <w:szCs w:val="24"/>
          <w:lang w:val="fr-FR"/>
        </w:rPr>
        <w:t> %</w:t>
      </w:r>
      <w:r w:rsidRPr="00653BF4">
        <w:rPr>
          <w:rStyle w:val="normaltextrun"/>
          <w:i w:val="0"/>
          <w:iCs w:val="0"/>
          <w:sz w:val="24"/>
          <w:szCs w:val="24"/>
          <w:lang w:val="fr-FR"/>
        </w:rPr>
        <w:t xml:space="preserve"> supplémentaires ne présentent aucun changement significatif, tandis que 44</w:t>
      </w:r>
      <w:r w:rsidR="002878D7">
        <w:rPr>
          <w:rStyle w:val="normaltextrun"/>
          <w:i w:val="0"/>
          <w:iCs w:val="0"/>
          <w:sz w:val="24"/>
          <w:szCs w:val="24"/>
          <w:lang w:val="fr-FR"/>
        </w:rPr>
        <w:t> %</w:t>
      </w:r>
      <w:r w:rsidRPr="00653BF4">
        <w:rPr>
          <w:rStyle w:val="normaltextrun"/>
          <w:i w:val="0"/>
          <w:iCs w:val="0"/>
          <w:sz w:val="24"/>
          <w:szCs w:val="24"/>
          <w:lang w:val="fr-FR"/>
        </w:rPr>
        <w:t xml:space="preserve"> affichent des progrès insuffisants.</w:t>
      </w:r>
      <w:r w:rsidRPr="00653BF4">
        <w:rPr>
          <w:rStyle w:val="apple-converted-space"/>
          <w:i w:val="0"/>
          <w:iCs w:val="0"/>
          <w:sz w:val="24"/>
          <w:szCs w:val="24"/>
          <w:lang w:val="fr-FR"/>
        </w:rPr>
        <w:t xml:space="preserve"> </w:t>
      </w:r>
      <w:r w:rsidRPr="00653BF4">
        <w:rPr>
          <w:rStyle w:val="normaltextrun"/>
          <w:i w:val="0"/>
          <w:iCs w:val="0"/>
          <w:sz w:val="24"/>
          <w:szCs w:val="24"/>
          <w:lang w:val="fr-FR"/>
        </w:rPr>
        <w:t>Seulement deux cibles nationales (1</w:t>
      </w:r>
      <w:r w:rsidR="002878D7">
        <w:rPr>
          <w:rStyle w:val="normaltextrun"/>
          <w:i w:val="0"/>
          <w:iCs w:val="0"/>
          <w:sz w:val="24"/>
          <w:szCs w:val="24"/>
          <w:lang w:val="fr-FR"/>
        </w:rPr>
        <w:t> %</w:t>
      </w:r>
      <w:r w:rsidRPr="00653BF4">
        <w:rPr>
          <w:rStyle w:val="normaltextrun"/>
          <w:i w:val="0"/>
          <w:iCs w:val="0"/>
          <w:sz w:val="24"/>
          <w:szCs w:val="24"/>
          <w:lang w:val="fr-FR"/>
        </w:rPr>
        <w:t xml:space="preserve">) </w:t>
      </w:r>
      <w:r w:rsidRPr="00653BF4">
        <w:rPr>
          <w:rStyle w:val="apple-converted-space"/>
          <w:i w:val="0"/>
          <w:iCs w:val="0"/>
          <w:sz w:val="24"/>
          <w:szCs w:val="24"/>
          <w:lang w:val="fr-FR"/>
        </w:rPr>
        <w:t xml:space="preserve">ont été déclarées comme déjà atteintes </w:t>
      </w:r>
      <w:r w:rsidRPr="00653BF4">
        <w:rPr>
          <w:rStyle w:val="normaltextrun"/>
          <w:i w:val="0"/>
          <w:iCs w:val="0"/>
          <w:sz w:val="24"/>
          <w:szCs w:val="24"/>
          <w:lang w:val="fr-FR"/>
        </w:rPr>
        <w:t>(voir la figure </w:t>
      </w:r>
      <w:r w:rsidRPr="00653BF4">
        <w:rPr>
          <w:i w:val="0"/>
          <w:iCs w:val="0"/>
          <w:sz w:val="24"/>
          <w:szCs w:val="24"/>
          <w:lang w:val="fr-FR"/>
        </w:rPr>
        <w:t>59</w:t>
      </w:r>
      <w:r w:rsidRPr="00653BF4">
        <w:rPr>
          <w:rStyle w:val="normaltextrun"/>
          <w:i w:val="0"/>
          <w:iCs w:val="0"/>
          <w:sz w:val="24"/>
          <w:szCs w:val="24"/>
          <w:lang w:val="fr-FR"/>
        </w:rPr>
        <w:t xml:space="preserve">). </w:t>
      </w:r>
    </w:p>
    <w:p w14:paraId="51E98CC5" w14:textId="77777777" w:rsidR="00B87039" w:rsidRPr="00653BF4" w:rsidRDefault="00B87039" w:rsidP="00B87039">
      <w:pPr>
        <w:rPr>
          <w:sz w:val="20"/>
          <w:szCs w:val="20"/>
          <w:lang w:val="fr-FR"/>
        </w:rPr>
      </w:pPr>
    </w:p>
    <w:p w14:paraId="07CA4F6A" w14:textId="77777777" w:rsidR="00B87039" w:rsidRPr="00653BF4" w:rsidRDefault="00B87039" w:rsidP="00B87039">
      <w:pPr>
        <w:rPr>
          <w:sz w:val="20"/>
          <w:szCs w:val="20"/>
          <w:lang w:val="fr-FR"/>
        </w:rPr>
      </w:pPr>
      <w:r w:rsidRPr="00653BF4">
        <w:rPr>
          <w:sz w:val="20"/>
          <w:szCs w:val="20"/>
          <w:lang w:val="fr-FR"/>
        </w:rPr>
        <w:t>Figure 59</w:t>
      </w:r>
    </w:p>
    <w:p w14:paraId="775553EC" w14:textId="3621D6A9" w:rsidR="00B87039" w:rsidRPr="00653BF4"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1</w:t>
      </w:r>
      <w:r w:rsidRPr="00653BF4">
        <w:rPr>
          <w:b/>
          <w:bCs/>
          <w:i w:val="0"/>
          <w:iCs w:val="0"/>
          <w:sz w:val="20"/>
          <w:szCs w:val="20"/>
          <w:lang w:val="fr-FR"/>
        </w:rPr>
        <w:t>3 du Cadre</w:t>
      </w:r>
    </w:p>
    <w:p w14:paraId="42D94AC5" w14:textId="77777777" w:rsidR="00B87039" w:rsidRPr="00653BF4" w:rsidRDefault="00B87039" w:rsidP="00B87039">
      <w:pPr>
        <w:pStyle w:val="Caption"/>
        <w:rPr>
          <w:lang w:val="fr-FR"/>
        </w:rPr>
      </w:pPr>
      <w:bookmarkStart w:id="258" w:name="_Ref230685179"/>
      <w:r w:rsidRPr="00653BF4">
        <w:rPr>
          <w:noProof/>
          <w:lang w:val="fr-FR"/>
        </w:rPr>
        <w:drawing>
          <wp:inline distT="0" distB="0" distL="0" distR="0" wp14:anchorId="45FC6C2B" wp14:editId="7FCE8C41">
            <wp:extent cx="5724525" cy="2286000"/>
            <wp:effectExtent l="0" t="0" r="0" b="0"/>
            <wp:docPr id="14493342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34264" name=""/>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724525" cy="2286000"/>
                    </a:xfrm>
                    <a:prstGeom prst="rect">
                      <a:avLst/>
                    </a:prstGeom>
                  </pic:spPr>
                </pic:pic>
              </a:graphicData>
            </a:graphic>
          </wp:inline>
        </w:drawing>
      </w:r>
    </w:p>
    <w:p w14:paraId="25164621" w14:textId="3E67032F" w:rsidR="00B87039" w:rsidRPr="00653BF4" w:rsidRDefault="00B87039" w:rsidP="00B87039">
      <w:pPr>
        <w:pStyle w:val="Caption"/>
        <w:rPr>
          <w:i w:val="0"/>
          <w:iCs w:val="0"/>
          <w:lang w:val="fr-FR"/>
        </w:rPr>
      </w:pPr>
      <w:bookmarkStart w:id="259" w:name="_Toc235821210"/>
      <w:bookmarkEnd w:id="258"/>
      <w:r w:rsidRPr="00653BF4">
        <w:rPr>
          <w:lang w:val="fr-FR"/>
        </w:rPr>
        <w:t>Note</w:t>
      </w:r>
      <w:r w:rsidR="00E34DC9">
        <w:rPr>
          <w:lang w:val="fr-FR"/>
        </w:rPr>
        <w:t> :</w:t>
      </w:r>
      <w:r w:rsidRPr="00653BF4">
        <w:rPr>
          <w:lang w:val="fr-FR"/>
        </w:rPr>
        <w:t xml:space="preserve"> </w:t>
      </w:r>
      <w:r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7508" w:type="dxa"/>
        <w:tblLook w:val="04A0" w:firstRow="1" w:lastRow="0" w:firstColumn="1" w:lastColumn="0" w:noHBand="0" w:noVBand="1"/>
      </w:tblPr>
      <w:tblGrid>
        <w:gridCol w:w="3539"/>
        <w:gridCol w:w="3969"/>
      </w:tblGrid>
      <w:tr w:rsidR="00735F5E" w:rsidRPr="006F7AF8" w14:paraId="3CA5D1D7" w14:textId="77777777" w:rsidTr="009B4355">
        <w:tc>
          <w:tcPr>
            <w:tcW w:w="7508" w:type="dxa"/>
            <w:gridSpan w:val="2"/>
          </w:tcPr>
          <w:p w14:paraId="6FA8DFFD" w14:textId="77777777" w:rsidR="00735F5E" w:rsidRPr="00760C27" w:rsidRDefault="00735F5E" w:rsidP="009B4355">
            <w:pPr>
              <w:rPr>
                <w:rFonts w:ascii="Aptos" w:hAnsi="Aptos"/>
                <w:lang w:val="fr-FR"/>
              </w:rPr>
            </w:pPr>
            <w:r w:rsidRPr="00760C27">
              <w:rPr>
                <w:rFonts w:ascii="Aptos" w:hAnsi="Aptos"/>
                <w:lang w:val="fr-FR"/>
              </w:rPr>
              <w:t>Figure 59</w:t>
            </w:r>
          </w:p>
        </w:tc>
      </w:tr>
      <w:tr w:rsidR="00735F5E" w:rsidRPr="006F7AF8" w14:paraId="2F54E540" w14:textId="77777777" w:rsidTr="009B4355">
        <w:tc>
          <w:tcPr>
            <w:tcW w:w="3539" w:type="dxa"/>
          </w:tcPr>
          <w:p w14:paraId="406FF25B" w14:textId="77777777" w:rsidR="00735F5E" w:rsidRPr="00760C27" w:rsidRDefault="00735F5E" w:rsidP="009B4355">
            <w:pPr>
              <w:rPr>
                <w:rFonts w:ascii="Aptos" w:hAnsi="Aptos"/>
                <w:lang w:val="fr-FR"/>
              </w:rPr>
            </w:pPr>
            <w:r w:rsidRPr="00760C27">
              <w:rPr>
                <w:rFonts w:ascii="Aptos" w:hAnsi="Aptos"/>
                <w:lang w:val="fr-FR"/>
              </w:rPr>
              <w:t>English</w:t>
            </w:r>
          </w:p>
        </w:tc>
        <w:tc>
          <w:tcPr>
            <w:tcW w:w="3969" w:type="dxa"/>
          </w:tcPr>
          <w:p w14:paraId="21B17151" w14:textId="77777777" w:rsidR="00735F5E" w:rsidRPr="00760C27" w:rsidRDefault="00735F5E" w:rsidP="009B4355">
            <w:pPr>
              <w:rPr>
                <w:rFonts w:ascii="Aptos" w:hAnsi="Aptos"/>
                <w:lang w:val="fr-FR"/>
              </w:rPr>
            </w:pPr>
            <w:r>
              <w:rPr>
                <w:rFonts w:ascii="Aptos" w:hAnsi="Aptos"/>
                <w:lang w:val="fr-FR"/>
              </w:rPr>
              <w:t>Français</w:t>
            </w:r>
          </w:p>
        </w:tc>
      </w:tr>
      <w:tr w:rsidR="00735F5E" w:rsidRPr="006F7AF8" w14:paraId="7BA4CAC2" w14:textId="77777777" w:rsidTr="009B4355">
        <w:tc>
          <w:tcPr>
            <w:tcW w:w="3539" w:type="dxa"/>
          </w:tcPr>
          <w:p w14:paraId="66EBA443" w14:textId="77777777" w:rsidR="00735F5E" w:rsidRPr="006F7AF8" w:rsidRDefault="00735F5E" w:rsidP="009B4355">
            <w:pPr>
              <w:rPr>
                <w:rFonts w:ascii="Aptos" w:hAnsi="Aptos"/>
                <w:lang w:val="fr-FR"/>
              </w:rPr>
            </w:pPr>
            <w:r w:rsidRPr="006F7AF8">
              <w:rPr>
                <w:rFonts w:ascii="Aptos" w:hAnsi="Aptos"/>
                <w:lang w:val="fr-FR"/>
              </w:rPr>
              <w:t>Percentage of national targets</w:t>
            </w:r>
          </w:p>
        </w:tc>
        <w:tc>
          <w:tcPr>
            <w:tcW w:w="3969" w:type="dxa"/>
          </w:tcPr>
          <w:p w14:paraId="79097A46" w14:textId="77777777" w:rsidR="00735F5E" w:rsidRPr="006F7AF8" w:rsidRDefault="00735F5E" w:rsidP="009B4355">
            <w:pPr>
              <w:rPr>
                <w:rFonts w:ascii="Aptos" w:hAnsi="Aptos"/>
                <w:lang w:val="fr-FR"/>
              </w:rPr>
            </w:pPr>
            <w:r>
              <w:t>Pourcentage de cibles nationales</w:t>
            </w:r>
          </w:p>
        </w:tc>
      </w:tr>
      <w:tr w:rsidR="00735F5E" w:rsidRPr="006F7AF8" w14:paraId="43513050" w14:textId="77777777" w:rsidTr="009B4355">
        <w:tc>
          <w:tcPr>
            <w:tcW w:w="3539" w:type="dxa"/>
          </w:tcPr>
          <w:p w14:paraId="7C037413" w14:textId="77777777" w:rsidR="00735F5E" w:rsidRPr="006F7AF8" w:rsidRDefault="00735F5E" w:rsidP="009B4355">
            <w:pPr>
              <w:rPr>
                <w:rFonts w:ascii="Aptos" w:hAnsi="Aptos"/>
                <w:lang w:val="fr-FR"/>
              </w:rPr>
            </w:pPr>
            <w:r w:rsidRPr="006F7AF8">
              <w:rPr>
                <w:rFonts w:ascii="Aptos" w:hAnsi="Aptos"/>
                <w:lang w:val="fr-FR"/>
              </w:rPr>
              <w:t>Progress Level</w:t>
            </w:r>
          </w:p>
        </w:tc>
        <w:tc>
          <w:tcPr>
            <w:tcW w:w="3969" w:type="dxa"/>
          </w:tcPr>
          <w:p w14:paraId="2B8909FE" w14:textId="77777777" w:rsidR="00735F5E" w:rsidRPr="006F7AF8" w:rsidRDefault="00735F5E" w:rsidP="009B4355">
            <w:pPr>
              <w:rPr>
                <w:rFonts w:ascii="Aptos" w:hAnsi="Aptos"/>
                <w:lang w:val="fr-FR"/>
              </w:rPr>
            </w:pPr>
            <w:r>
              <w:t>État d’avancement</w:t>
            </w:r>
          </w:p>
        </w:tc>
      </w:tr>
      <w:tr w:rsidR="00735F5E" w:rsidRPr="006F7AF8" w14:paraId="793DD268" w14:textId="77777777" w:rsidTr="009B4355">
        <w:tc>
          <w:tcPr>
            <w:tcW w:w="3539" w:type="dxa"/>
          </w:tcPr>
          <w:p w14:paraId="1CB73B24" w14:textId="77777777" w:rsidR="00735F5E" w:rsidRPr="006F7AF8" w:rsidRDefault="00735F5E" w:rsidP="009B4355">
            <w:pPr>
              <w:rPr>
                <w:rFonts w:ascii="Aptos" w:hAnsi="Aptos"/>
                <w:lang w:val="fr-FR"/>
              </w:rPr>
            </w:pPr>
            <w:r w:rsidRPr="006F7AF8">
              <w:rPr>
                <w:rFonts w:ascii="Aptos" w:hAnsi="Aptos"/>
                <w:lang w:val="fr-FR"/>
              </w:rPr>
              <w:t>Achieved</w:t>
            </w:r>
          </w:p>
        </w:tc>
        <w:tc>
          <w:tcPr>
            <w:tcW w:w="3969" w:type="dxa"/>
          </w:tcPr>
          <w:p w14:paraId="3C6491E5" w14:textId="77777777" w:rsidR="00735F5E" w:rsidRPr="006F7AF8" w:rsidRDefault="00735F5E" w:rsidP="009B4355">
            <w:pPr>
              <w:rPr>
                <w:rFonts w:ascii="Aptos" w:hAnsi="Aptos"/>
                <w:lang w:val="fr-FR"/>
              </w:rPr>
            </w:pPr>
            <w:r w:rsidRPr="006F7AF8">
              <w:rPr>
                <w:rFonts w:ascii="Aptos" w:hAnsi="Aptos"/>
                <w:lang w:val="fr-FR"/>
              </w:rPr>
              <w:t>Cible atteinte</w:t>
            </w:r>
          </w:p>
        </w:tc>
      </w:tr>
      <w:tr w:rsidR="00735F5E" w:rsidRPr="006F7AF8" w14:paraId="7C68146B" w14:textId="77777777" w:rsidTr="009B4355">
        <w:tc>
          <w:tcPr>
            <w:tcW w:w="3539" w:type="dxa"/>
          </w:tcPr>
          <w:p w14:paraId="53BDE647" w14:textId="77777777" w:rsidR="00735F5E" w:rsidRPr="006F7AF8" w:rsidRDefault="00735F5E" w:rsidP="009B4355">
            <w:pPr>
              <w:rPr>
                <w:rFonts w:ascii="Aptos" w:hAnsi="Aptos"/>
                <w:lang w:val="fr-FR"/>
              </w:rPr>
            </w:pPr>
            <w:r w:rsidRPr="006F7AF8">
              <w:rPr>
                <w:rFonts w:ascii="Aptos" w:hAnsi="Aptos"/>
                <w:lang w:val="fr-FR"/>
              </w:rPr>
              <w:t>On track to achieve target</w:t>
            </w:r>
          </w:p>
        </w:tc>
        <w:tc>
          <w:tcPr>
            <w:tcW w:w="3969" w:type="dxa"/>
          </w:tcPr>
          <w:p w14:paraId="37380D6E" w14:textId="77777777" w:rsidR="00735F5E" w:rsidRPr="006F7AF8" w:rsidRDefault="00735F5E" w:rsidP="009B4355">
            <w:pPr>
              <w:rPr>
                <w:rFonts w:ascii="Aptos" w:hAnsi="Aptos"/>
                <w:lang w:val="fr-FR"/>
              </w:rPr>
            </w:pPr>
            <w:r w:rsidRPr="006F7AF8">
              <w:rPr>
                <w:rFonts w:ascii="Aptos" w:hAnsi="Aptos"/>
                <w:lang w:val="fr-FR"/>
              </w:rPr>
              <w:t>En voie d</w:t>
            </w:r>
            <w:r>
              <w:rPr>
                <w:rFonts w:ascii="Aptos" w:hAnsi="Aptos"/>
                <w:lang w:val="fr-FR"/>
              </w:rPr>
              <w:t>’</w:t>
            </w:r>
            <w:r w:rsidRPr="006F7AF8">
              <w:rPr>
                <w:rFonts w:ascii="Aptos" w:hAnsi="Aptos"/>
                <w:lang w:val="fr-FR"/>
              </w:rPr>
              <w:t>atteindre la cible</w:t>
            </w:r>
          </w:p>
        </w:tc>
      </w:tr>
      <w:tr w:rsidR="00735F5E" w:rsidRPr="006F7AF8" w14:paraId="561B0CAE" w14:textId="77777777" w:rsidTr="009B4355">
        <w:tc>
          <w:tcPr>
            <w:tcW w:w="3539" w:type="dxa"/>
          </w:tcPr>
          <w:p w14:paraId="3FE43672" w14:textId="77777777" w:rsidR="00735F5E" w:rsidRPr="006F7AF8" w:rsidRDefault="00735F5E" w:rsidP="009B4355">
            <w:pPr>
              <w:rPr>
                <w:rFonts w:ascii="Aptos" w:hAnsi="Aptos"/>
                <w:lang w:val="fr-FR"/>
              </w:rPr>
            </w:pPr>
            <w:r w:rsidRPr="006F7AF8">
              <w:rPr>
                <w:rFonts w:ascii="Aptos" w:hAnsi="Aptos"/>
                <w:lang w:val="fr-FR"/>
              </w:rPr>
              <w:t>Progress towards target but at an insufficient rate</w:t>
            </w:r>
          </w:p>
        </w:tc>
        <w:tc>
          <w:tcPr>
            <w:tcW w:w="3969" w:type="dxa"/>
          </w:tcPr>
          <w:p w14:paraId="31098AB5" w14:textId="77777777" w:rsidR="00735F5E" w:rsidRPr="006F7AF8" w:rsidRDefault="00735F5E" w:rsidP="009B4355">
            <w:pPr>
              <w:rPr>
                <w:rFonts w:ascii="Aptos" w:hAnsi="Aptos"/>
                <w:lang w:val="fr-FR"/>
              </w:rPr>
            </w:pPr>
            <w:r w:rsidRPr="006F7AF8">
              <w:rPr>
                <w:rFonts w:ascii="Aptos" w:hAnsi="Aptos"/>
                <w:lang w:val="fr-FR"/>
              </w:rPr>
              <w:t>Progrès accomplis, mais à un rythme insuffisant</w:t>
            </w:r>
          </w:p>
        </w:tc>
      </w:tr>
      <w:tr w:rsidR="00735F5E" w:rsidRPr="006F7AF8" w14:paraId="00392D39" w14:textId="77777777" w:rsidTr="009B4355">
        <w:tc>
          <w:tcPr>
            <w:tcW w:w="3539" w:type="dxa"/>
          </w:tcPr>
          <w:p w14:paraId="66C261A0" w14:textId="77777777" w:rsidR="00735F5E" w:rsidRPr="006F7AF8" w:rsidRDefault="00735F5E" w:rsidP="009B4355">
            <w:pPr>
              <w:rPr>
                <w:rFonts w:ascii="Aptos" w:hAnsi="Aptos"/>
                <w:lang w:val="fr-FR"/>
              </w:rPr>
            </w:pPr>
            <w:r w:rsidRPr="006F7AF8">
              <w:rPr>
                <w:rFonts w:ascii="Aptos" w:hAnsi="Aptos"/>
                <w:lang w:val="fr-FR"/>
              </w:rPr>
              <w:t>No significant change</w:t>
            </w:r>
          </w:p>
        </w:tc>
        <w:tc>
          <w:tcPr>
            <w:tcW w:w="3969" w:type="dxa"/>
          </w:tcPr>
          <w:p w14:paraId="4A281EFA" w14:textId="77777777" w:rsidR="00735F5E" w:rsidRPr="006F7AF8" w:rsidRDefault="00735F5E" w:rsidP="009B4355">
            <w:pPr>
              <w:rPr>
                <w:rFonts w:ascii="Aptos" w:hAnsi="Aptos"/>
                <w:lang w:val="fr-FR"/>
              </w:rPr>
            </w:pPr>
            <w:r w:rsidRPr="006F7AF8">
              <w:rPr>
                <w:rFonts w:ascii="Aptos" w:hAnsi="Aptos"/>
                <w:lang w:val="fr-FR"/>
              </w:rPr>
              <w:t>Pas de changement notable</w:t>
            </w:r>
          </w:p>
        </w:tc>
      </w:tr>
      <w:tr w:rsidR="00735F5E" w:rsidRPr="006F7AF8" w14:paraId="63BAE9BD" w14:textId="77777777" w:rsidTr="009B4355">
        <w:tc>
          <w:tcPr>
            <w:tcW w:w="3539" w:type="dxa"/>
          </w:tcPr>
          <w:p w14:paraId="2C88935D" w14:textId="77777777" w:rsidR="00735F5E" w:rsidRPr="006F7AF8" w:rsidRDefault="00735F5E" w:rsidP="009B4355">
            <w:pPr>
              <w:rPr>
                <w:rFonts w:ascii="Aptos" w:hAnsi="Aptos"/>
                <w:lang w:val="fr-FR"/>
              </w:rPr>
            </w:pPr>
            <w:r w:rsidRPr="006F7AF8">
              <w:rPr>
                <w:rFonts w:ascii="Aptos" w:hAnsi="Aptos"/>
                <w:lang w:val="fr-FR"/>
              </w:rPr>
              <w:t>Unknown</w:t>
            </w:r>
          </w:p>
        </w:tc>
        <w:tc>
          <w:tcPr>
            <w:tcW w:w="3969" w:type="dxa"/>
          </w:tcPr>
          <w:p w14:paraId="0E8A1E59" w14:textId="77777777" w:rsidR="00735F5E" w:rsidRPr="006F7AF8" w:rsidRDefault="00735F5E" w:rsidP="009B4355">
            <w:pPr>
              <w:rPr>
                <w:rFonts w:ascii="Aptos" w:hAnsi="Aptos"/>
                <w:lang w:val="fr-FR"/>
              </w:rPr>
            </w:pPr>
            <w:r w:rsidRPr="006F7AF8">
              <w:rPr>
                <w:rFonts w:ascii="Aptos" w:hAnsi="Aptos"/>
                <w:lang w:val="fr-FR"/>
              </w:rPr>
              <w:t>Inconnu</w:t>
            </w:r>
          </w:p>
        </w:tc>
      </w:tr>
    </w:tbl>
    <w:p w14:paraId="628D1C4E" w14:textId="77777777" w:rsidR="00B87039" w:rsidRPr="00653BF4" w:rsidRDefault="00B87039" w:rsidP="00B87039">
      <w:pPr>
        <w:pStyle w:val="Heading5"/>
        <w:rPr>
          <w:lang w:val="fr-FR"/>
        </w:rPr>
      </w:pPr>
    </w:p>
    <w:p w14:paraId="5A83BEA4" w14:textId="77777777" w:rsidR="00B87039" w:rsidRPr="00653BF4" w:rsidRDefault="00B87039" w:rsidP="00B87039">
      <w:pPr>
        <w:pStyle w:val="Heading5"/>
        <w:rPr>
          <w:lang w:val="fr-FR"/>
        </w:rPr>
      </w:pPr>
      <w:r w:rsidRPr="00653BF4">
        <w:rPr>
          <w:lang w:val="fr-FR"/>
        </w:rPr>
        <w:t>Actions, réussites et difficultés</w:t>
      </w:r>
      <w:bookmarkEnd w:id="259"/>
      <w:r w:rsidRPr="00653BF4">
        <w:rPr>
          <w:lang w:val="fr-FR"/>
        </w:rPr>
        <w:t xml:space="preserve"> dans la mise en œuvre</w:t>
      </w:r>
    </w:p>
    <w:p w14:paraId="0B357F69" w14:textId="77777777" w:rsidR="00B87039" w:rsidRPr="00653BF4" w:rsidRDefault="00B87039" w:rsidP="00B87039">
      <w:pPr>
        <w:rPr>
          <w:lang w:val="fr-FR"/>
        </w:rPr>
      </w:pPr>
    </w:p>
    <w:p w14:paraId="1E658CDA" w14:textId="460C272B" w:rsidR="00B87039" w:rsidRPr="00653BF4" w:rsidRDefault="00B87039" w:rsidP="00B87039">
      <w:pPr>
        <w:pStyle w:val="Heading6"/>
        <w:rPr>
          <w:lang w:val="fr-FR"/>
        </w:rPr>
      </w:pPr>
      <w:bookmarkStart w:id="260" w:name="_Toc235821211"/>
      <w:r w:rsidRPr="00653BF4">
        <w:rPr>
          <w:lang w:val="fr-FR"/>
        </w:rPr>
        <w:t>Résumé des actions menées à l</w:t>
      </w:r>
      <w:r w:rsidR="00D77549">
        <w:rPr>
          <w:lang w:val="fr-FR"/>
        </w:rPr>
        <w:t>’</w:t>
      </w:r>
      <w:r w:rsidRPr="00653BF4">
        <w:rPr>
          <w:lang w:val="fr-FR"/>
        </w:rPr>
        <w:t xml:space="preserve">appui de la </w:t>
      </w:r>
      <w:r w:rsidR="00E34DC9">
        <w:rPr>
          <w:lang w:val="fr-FR"/>
        </w:rPr>
        <w:t>cible 1</w:t>
      </w:r>
      <w:r w:rsidRPr="00653BF4">
        <w:rPr>
          <w:lang w:val="fr-FR"/>
        </w:rPr>
        <w:t>3</w:t>
      </w:r>
      <w:bookmarkEnd w:id="260"/>
      <w:r w:rsidRPr="00653BF4">
        <w:rPr>
          <w:lang w:val="fr-FR"/>
        </w:rPr>
        <w:t xml:space="preserve"> du Cadre</w:t>
      </w:r>
    </w:p>
    <w:p w14:paraId="38D95964" w14:textId="77777777" w:rsidR="00B87039" w:rsidRPr="00653BF4" w:rsidRDefault="00B87039" w:rsidP="00B87039">
      <w:pPr>
        <w:rPr>
          <w:lang w:val="fr-FR"/>
        </w:rPr>
      </w:pPr>
    </w:p>
    <w:p w14:paraId="05473523" w14:textId="7A711D9F" w:rsidR="00B87039" w:rsidRPr="00653BF4" w:rsidRDefault="00B87039" w:rsidP="00B87039">
      <w:pPr>
        <w:rPr>
          <w:lang w:val="fr-FR"/>
        </w:rPr>
      </w:pPr>
      <w:r w:rsidRPr="00653BF4">
        <w:rPr>
          <w:lang w:val="fr-FR"/>
        </w:rPr>
        <w:lastRenderedPageBreak/>
        <w:t xml:space="preserve">La mise en œuvre de la </w:t>
      </w:r>
      <w:r w:rsidR="00E34DC9">
        <w:rPr>
          <w:lang w:val="fr-FR"/>
        </w:rPr>
        <w:t>cible 1</w:t>
      </w:r>
      <w:r w:rsidRPr="00653BF4">
        <w:rPr>
          <w:lang w:val="fr-FR"/>
        </w:rPr>
        <w:t>3 repose principalement sur des mesures juridiques et réglementaires prises par les Parties, qui adoptent des lois spécifiques en matière d’APA, ratifient ou ont ratifié le Protocole de Nagoya sur l’accès aux ressources génétiques et le partage juste et équitable des avantages découlant de leur utilisation, ou mettent en place des systèmes administratifs chargés de délivrer les autorisations et de veiller au respect des dispositions. Ces cadres juridiques s</w:t>
      </w:r>
      <w:r w:rsidR="00D77549">
        <w:rPr>
          <w:lang w:val="fr-FR"/>
        </w:rPr>
        <w:t>’</w:t>
      </w:r>
      <w:r w:rsidRPr="00653BF4">
        <w:rPr>
          <w:lang w:val="fr-FR"/>
        </w:rPr>
        <w:t>appuient sur des activités de recherche, de suivi et de collecte de données, et comprennent la gestion de banques de gènes nationales, le développement de bases de données génétiques et la création de registres numériques visant à garantir la traçabilité des ressources génétiques et des connaissances traditionnelles associées à ces ressources (voir l</w:t>
      </w:r>
      <w:r w:rsidR="00D77549">
        <w:rPr>
          <w:lang w:val="fr-FR"/>
        </w:rPr>
        <w:t>’</w:t>
      </w:r>
      <w:r w:rsidRPr="00653BF4">
        <w:rPr>
          <w:lang w:val="fr-FR"/>
        </w:rPr>
        <w:t>encadré 35). Les Parties mettent également l</w:t>
      </w:r>
      <w:r w:rsidR="00D77549">
        <w:rPr>
          <w:lang w:val="fr-FR"/>
        </w:rPr>
        <w:t>’</w:t>
      </w:r>
      <w:r w:rsidRPr="00653BF4">
        <w:rPr>
          <w:lang w:val="fr-FR"/>
        </w:rPr>
        <w:t>accent sur les actions sociales et de sensibilisation en organisant des ateliers de renforcement des capacités à l</w:t>
      </w:r>
      <w:r w:rsidR="00D77549">
        <w:rPr>
          <w:lang w:val="fr-FR"/>
        </w:rPr>
        <w:t>’</w:t>
      </w:r>
      <w:r w:rsidRPr="00653BF4">
        <w:rPr>
          <w:lang w:val="fr-FR"/>
        </w:rPr>
        <w:t>intention des représentants de gouvernements et des chercheurs, tout en impliquant les communautés locales par le biais d</w:t>
      </w:r>
      <w:r w:rsidR="00D77549">
        <w:rPr>
          <w:lang w:val="fr-FR"/>
        </w:rPr>
        <w:t>’</w:t>
      </w:r>
      <w:r w:rsidRPr="00653BF4">
        <w:rPr>
          <w:lang w:val="fr-FR"/>
        </w:rPr>
        <w:t>actions de sensibilisation aux exigences relatives à l</w:t>
      </w:r>
      <w:r w:rsidR="00D77549">
        <w:rPr>
          <w:lang w:val="fr-FR"/>
        </w:rPr>
        <w:t>’</w:t>
      </w:r>
      <w:r w:rsidRPr="00653BF4">
        <w:rPr>
          <w:lang w:val="fr-FR"/>
        </w:rPr>
        <w:t>accès et au partage des avantages. Par ailleurs, de nombreux pays intègrent dans leurs politiques des mesures fondées sur les droits et sur les pratiques coutumières, notamment en officialisant les procédures de consentement préalable, donné librement et en connaissance de cause et en soutenant l</w:t>
      </w:r>
      <w:r w:rsidR="00D77549">
        <w:rPr>
          <w:lang w:val="fr-FR"/>
        </w:rPr>
        <w:t>’</w:t>
      </w:r>
      <w:r w:rsidRPr="00653BF4">
        <w:rPr>
          <w:lang w:val="fr-FR"/>
        </w:rPr>
        <w:t>élaboration de protocoles bioculturels communautaires visant à protéger les connaissances traditionnelles. Si les instruments économiques et financiers, tels que les fonds de partage des avantages et les mécanismes de redevances, apparaissent moins fréquemment parmi les actions communiquées, les Parties s’impliquent de plus en plus dans la coopération internationale, notamment par le biais d’un engagement multilatéral dans les négociations sur le partage des avantages découlant de l</w:t>
      </w:r>
      <w:r w:rsidR="00D77549">
        <w:rPr>
          <w:lang w:val="fr-FR"/>
        </w:rPr>
        <w:t>’</w:t>
      </w:r>
      <w:r w:rsidRPr="00653BF4">
        <w:rPr>
          <w:lang w:val="fr-FR"/>
        </w:rPr>
        <w:t>information de séquençage numérique sur les ressources génétiques.</w:t>
      </w:r>
    </w:p>
    <w:p w14:paraId="17CE3118" w14:textId="77777777" w:rsidR="00B87039" w:rsidRPr="00653BF4" w:rsidRDefault="00B87039" w:rsidP="00B87039">
      <w:pPr>
        <w:rPr>
          <w:lang w:val="fr-FR"/>
        </w:rPr>
      </w:pPr>
    </w:p>
    <w:p w14:paraId="5C3E3418" w14:textId="33864452" w:rsidR="00B87039" w:rsidRPr="00653BF4" w:rsidRDefault="00B87039" w:rsidP="00B87039">
      <w:pPr>
        <w:pStyle w:val="Heading6"/>
        <w:rPr>
          <w:lang w:val="fr-FR"/>
        </w:rPr>
      </w:pPr>
      <w:bookmarkStart w:id="261" w:name="_Toc235821212"/>
      <w:r w:rsidRPr="00653BF4">
        <w:rPr>
          <w:lang w:val="fr-FR"/>
        </w:rPr>
        <w:t>Exemples de réussites et de progrès réalisés dans la mise en œuvre</w:t>
      </w:r>
      <w:bookmarkEnd w:id="261"/>
    </w:p>
    <w:p w14:paraId="59615668" w14:textId="77777777" w:rsidR="00B87039" w:rsidRPr="00653BF4" w:rsidRDefault="00B87039" w:rsidP="00B87039">
      <w:pPr>
        <w:rPr>
          <w:lang w:val="fr-FR"/>
        </w:rPr>
      </w:pPr>
    </w:p>
    <w:p w14:paraId="063CBDE2" w14:textId="77777777" w:rsidR="00B87039" w:rsidRPr="00653BF4" w:rsidRDefault="00B87039" w:rsidP="00B87039">
      <w:pPr>
        <w:pStyle w:val="Caption"/>
        <w:rPr>
          <w:lang w:val="fr-FR"/>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B87039" w:rsidRPr="00543148" w14:paraId="16C7AA69" w14:textId="77777777" w:rsidTr="00557FB3">
        <w:tc>
          <w:tcPr>
            <w:tcW w:w="9016" w:type="dxa"/>
            <w:shd w:val="clear" w:color="auto" w:fill="D1D1D1" w:themeFill="background2" w:themeFillShade="E6"/>
          </w:tcPr>
          <w:p w14:paraId="634D425E" w14:textId="77777777" w:rsidR="00B87039" w:rsidRPr="00653BF4" w:rsidRDefault="00B87039" w:rsidP="00557FB3">
            <w:pPr>
              <w:rPr>
                <w:lang w:val="fr-FR"/>
              </w:rPr>
            </w:pPr>
          </w:p>
          <w:p w14:paraId="25F803FD" w14:textId="77777777" w:rsidR="00B87039" w:rsidRPr="00653BF4" w:rsidRDefault="00B87039" w:rsidP="00557FB3">
            <w:pPr>
              <w:rPr>
                <w:sz w:val="20"/>
                <w:szCs w:val="20"/>
                <w:lang w:val="fr-FR"/>
              </w:rPr>
            </w:pPr>
            <w:r w:rsidRPr="00653BF4">
              <w:rPr>
                <w:sz w:val="20"/>
                <w:szCs w:val="20"/>
                <w:lang w:val="fr-FR"/>
              </w:rPr>
              <w:t>Encadré 35</w:t>
            </w:r>
          </w:p>
          <w:p w14:paraId="36BDD3B5" w14:textId="7E0289A3" w:rsidR="00B87039" w:rsidRPr="00653BF4" w:rsidRDefault="00B87039" w:rsidP="00557FB3">
            <w:pPr>
              <w:rPr>
                <w:b/>
                <w:bCs/>
                <w:sz w:val="20"/>
                <w:szCs w:val="20"/>
                <w:lang w:val="fr-FR"/>
              </w:rPr>
            </w:pPr>
            <w:r w:rsidRPr="00653BF4">
              <w:rPr>
                <w:b/>
                <w:bCs/>
                <w:sz w:val="20"/>
                <w:szCs w:val="20"/>
                <w:lang w:val="fr-FR"/>
              </w:rPr>
              <w:t>Systèmes d</w:t>
            </w:r>
            <w:r w:rsidR="00D77549">
              <w:rPr>
                <w:b/>
                <w:bCs/>
                <w:sz w:val="20"/>
                <w:szCs w:val="20"/>
                <w:lang w:val="fr-FR"/>
              </w:rPr>
              <w:t>’</w:t>
            </w:r>
            <w:r w:rsidRPr="00653BF4">
              <w:rPr>
                <w:b/>
                <w:bCs/>
                <w:sz w:val="20"/>
                <w:szCs w:val="20"/>
                <w:lang w:val="fr-FR"/>
              </w:rPr>
              <w:t>accès et de partage des avantages, y compris les bases de données sur les connaissances traditionnelles, en Malaisie</w:t>
            </w:r>
          </w:p>
          <w:p w14:paraId="2B6F9594" w14:textId="2986BC67" w:rsidR="00B87039" w:rsidRPr="00653BF4" w:rsidRDefault="00B87039" w:rsidP="00557FB3">
            <w:pPr>
              <w:spacing w:before="240" w:after="240"/>
              <w:rPr>
                <w:rFonts w:eastAsia="Aptos" w:cs="Aptos"/>
                <w:color w:val="0F1115"/>
                <w:sz w:val="20"/>
                <w:szCs w:val="20"/>
                <w:lang w:val="fr-FR"/>
              </w:rPr>
            </w:pPr>
            <w:r w:rsidRPr="00653BF4">
              <w:rPr>
                <w:rFonts w:eastAsia="Aptos" w:cs="Aptos"/>
                <w:color w:val="0F1115"/>
                <w:sz w:val="20"/>
                <w:szCs w:val="20"/>
                <w:lang w:val="fr-FR"/>
              </w:rPr>
              <w:t>La Malaisie a mis en place un système d</w:t>
            </w:r>
            <w:r w:rsidR="00D77549">
              <w:rPr>
                <w:rFonts w:eastAsia="Aptos" w:cs="Aptos"/>
                <w:color w:val="0F1115"/>
                <w:sz w:val="20"/>
                <w:szCs w:val="20"/>
                <w:lang w:val="fr-FR"/>
              </w:rPr>
              <w:t>’</w:t>
            </w:r>
            <w:r w:rsidRPr="00653BF4">
              <w:rPr>
                <w:rFonts w:eastAsia="Aptos" w:cs="Aptos"/>
                <w:color w:val="0F1115"/>
                <w:sz w:val="20"/>
                <w:szCs w:val="20"/>
                <w:lang w:val="fr-FR"/>
              </w:rPr>
              <w:t>APA à l</w:t>
            </w:r>
            <w:r w:rsidR="00D77549">
              <w:rPr>
                <w:rFonts w:eastAsia="Aptos" w:cs="Aptos"/>
                <w:color w:val="0F1115"/>
                <w:sz w:val="20"/>
                <w:szCs w:val="20"/>
                <w:lang w:val="fr-FR"/>
              </w:rPr>
              <w:t>’</w:t>
            </w:r>
            <w:r w:rsidRPr="00653BF4">
              <w:rPr>
                <w:rFonts w:eastAsia="Aptos" w:cs="Aptos"/>
                <w:color w:val="0F1115"/>
                <w:sz w:val="20"/>
                <w:szCs w:val="20"/>
                <w:lang w:val="fr-FR"/>
              </w:rPr>
              <w:t>échelle nationale, couvrant la Malaisie péninsulaire, le Sabah et le Sarawak, avec une législation fédérale fondamentale en matière d</w:t>
            </w:r>
            <w:r w:rsidR="00D77549">
              <w:rPr>
                <w:rFonts w:eastAsia="Aptos" w:cs="Aptos"/>
                <w:color w:val="0F1115"/>
                <w:sz w:val="20"/>
                <w:szCs w:val="20"/>
                <w:lang w:val="fr-FR"/>
              </w:rPr>
              <w:t>’</w:t>
            </w:r>
            <w:r w:rsidRPr="00653BF4">
              <w:rPr>
                <w:rFonts w:eastAsia="Aptos" w:cs="Aptos"/>
                <w:color w:val="0F1115"/>
                <w:sz w:val="20"/>
                <w:szCs w:val="20"/>
                <w:lang w:val="fr-FR"/>
              </w:rPr>
              <w:t>APA promulguée en 2017 qui vient compléter les ordonnances antérieures adoptées au niveau des États. En conséquence, plus de 3 200 autorisations d</w:t>
            </w:r>
            <w:r w:rsidR="00D77549">
              <w:rPr>
                <w:rFonts w:eastAsia="Aptos" w:cs="Aptos"/>
                <w:color w:val="0F1115"/>
                <w:sz w:val="20"/>
                <w:szCs w:val="20"/>
                <w:lang w:val="fr-FR"/>
              </w:rPr>
              <w:t>’</w:t>
            </w:r>
            <w:r w:rsidRPr="00653BF4">
              <w:rPr>
                <w:rFonts w:eastAsia="Aptos" w:cs="Aptos"/>
                <w:color w:val="0F1115"/>
                <w:sz w:val="20"/>
                <w:szCs w:val="20"/>
                <w:lang w:val="fr-FR"/>
              </w:rPr>
              <w:t>accès ont été délivrées à l</w:t>
            </w:r>
            <w:r w:rsidR="00D77549">
              <w:rPr>
                <w:rFonts w:eastAsia="Aptos" w:cs="Aptos"/>
                <w:color w:val="0F1115"/>
                <w:sz w:val="20"/>
                <w:szCs w:val="20"/>
                <w:lang w:val="fr-FR"/>
              </w:rPr>
              <w:t>’</w:t>
            </w:r>
            <w:r w:rsidRPr="00653BF4">
              <w:rPr>
                <w:rFonts w:eastAsia="Aptos" w:cs="Aptos"/>
                <w:color w:val="0F1115"/>
                <w:sz w:val="20"/>
                <w:szCs w:val="20"/>
                <w:lang w:val="fr-FR"/>
              </w:rPr>
              <w:t xml:space="preserve">échelle nationale depuis 2020, </w:t>
            </w:r>
            <w:r w:rsidRPr="00653BF4">
              <w:rPr>
                <w:rFonts w:eastAsia="Aptos" w:cs="Aptos"/>
                <w:color w:val="0F1115"/>
                <w:sz w:val="20"/>
                <w:szCs w:val="20"/>
                <w:lang w:val="fr-FR"/>
              </w:rPr>
              <w:lastRenderedPageBreak/>
              <w:t>et cinq accords officiels de partage des avantages ont été signés jusqu</w:t>
            </w:r>
            <w:r w:rsidR="00D77549">
              <w:rPr>
                <w:rFonts w:eastAsia="Aptos" w:cs="Aptos"/>
                <w:color w:val="0F1115"/>
                <w:sz w:val="20"/>
                <w:szCs w:val="20"/>
                <w:lang w:val="fr-FR"/>
              </w:rPr>
              <w:t>’</w:t>
            </w:r>
            <w:r w:rsidRPr="00653BF4">
              <w:rPr>
                <w:rFonts w:eastAsia="Aptos" w:cs="Aptos"/>
                <w:color w:val="0F1115"/>
                <w:sz w:val="20"/>
                <w:szCs w:val="20"/>
                <w:lang w:val="fr-FR"/>
              </w:rPr>
              <w:t>en janvier 2026, apportant des avantages concrets aux communautés autochtones locales.</w:t>
            </w:r>
          </w:p>
          <w:p w14:paraId="72CA2BE6" w14:textId="4824244F" w:rsidR="00B87039" w:rsidRPr="00653BF4" w:rsidRDefault="00B87039" w:rsidP="00557FB3">
            <w:pPr>
              <w:spacing w:before="240" w:after="240"/>
              <w:rPr>
                <w:rFonts w:eastAsia="Aptos" w:cs="Aptos"/>
                <w:color w:val="0F1115"/>
                <w:sz w:val="20"/>
                <w:szCs w:val="20"/>
                <w:lang w:val="fr-FR"/>
              </w:rPr>
            </w:pPr>
            <w:r w:rsidRPr="00653BF4">
              <w:rPr>
                <w:rFonts w:eastAsia="Aptos" w:cs="Aptos"/>
                <w:color w:val="0F1115"/>
                <w:sz w:val="20"/>
                <w:szCs w:val="20"/>
                <w:lang w:val="fr-FR"/>
              </w:rPr>
              <w:t>L</w:t>
            </w:r>
            <w:r w:rsidR="00D77549">
              <w:rPr>
                <w:rFonts w:eastAsia="Aptos" w:cs="Aptos"/>
                <w:color w:val="0F1115"/>
                <w:sz w:val="20"/>
                <w:szCs w:val="20"/>
                <w:lang w:val="fr-FR"/>
              </w:rPr>
              <w:t>’</w:t>
            </w:r>
            <w:r w:rsidRPr="00653BF4">
              <w:rPr>
                <w:rFonts w:eastAsia="Aptos" w:cs="Aptos"/>
                <w:color w:val="0F1115"/>
                <w:sz w:val="20"/>
                <w:szCs w:val="20"/>
                <w:lang w:val="fr-FR"/>
              </w:rPr>
              <w:t>une des caractéristiques de l</w:t>
            </w:r>
            <w:r w:rsidR="00D77549">
              <w:rPr>
                <w:rFonts w:eastAsia="Aptos" w:cs="Aptos"/>
                <w:color w:val="0F1115"/>
                <w:sz w:val="20"/>
                <w:szCs w:val="20"/>
                <w:lang w:val="fr-FR"/>
              </w:rPr>
              <w:t>’</w:t>
            </w:r>
            <w:r w:rsidRPr="00653BF4">
              <w:rPr>
                <w:rFonts w:eastAsia="Aptos" w:cs="Aptos"/>
                <w:color w:val="0F1115"/>
                <w:sz w:val="20"/>
                <w:szCs w:val="20"/>
                <w:lang w:val="fr-FR"/>
              </w:rPr>
              <w:t>approche adoptée par le pays réside dans la documentation et l</w:t>
            </w:r>
            <w:r w:rsidR="00D77549">
              <w:rPr>
                <w:rFonts w:eastAsia="Aptos" w:cs="Aptos"/>
                <w:color w:val="0F1115"/>
                <w:sz w:val="20"/>
                <w:szCs w:val="20"/>
                <w:lang w:val="fr-FR"/>
              </w:rPr>
              <w:t>’</w:t>
            </w:r>
            <w:r w:rsidRPr="00653BF4">
              <w:rPr>
                <w:rFonts w:eastAsia="Aptos" w:cs="Aptos"/>
                <w:color w:val="0F1115"/>
                <w:sz w:val="20"/>
                <w:szCs w:val="20"/>
                <w:lang w:val="fr-FR"/>
              </w:rPr>
              <w:t>archivage des connaissances traditionnelles dans des bibliothèques numériques. L</w:t>
            </w:r>
            <w:r w:rsidR="00D77549">
              <w:rPr>
                <w:rFonts w:eastAsia="Aptos" w:cs="Aptos"/>
                <w:color w:val="0F1115"/>
                <w:sz w:val="20"/>
                <w:szCs w:val="20"/>
                <w:lang w:val="fr-FR"/>
              </w:rPr>
              <w:t>’</w:t>
            </w:r>
            <w:r w:rsidRPr="00653BF4">
              <w:rPr>
                <w:rFonts w:eastAsia="Aptos" w:cs="Aptos"/>
                <w:color w:val="0F1115"/>
                <w:sz w:val="20"/>
                <w:szCs w:val="20"/>
                <w:lang w:val="fr-FR"/>
              </w:rPr>
              <w:t>objectif est de prévenir la biopiraterie et de faciliter l</w:t>
            </w:r>
            <w:r w:rsidR="00D77549">
              <w:rPr>
                <w:rFonts w:eastAsia="Aptos" w:cs="Aptos"/>
                <w:color w:val="0F1115"/>
                <w:sz w:val="20"/>
                <w:szCs w:val="20"/>
                <w:lang w:val="fr-FR"/>
              </w:rPr>
              <w:t>’</w:t>
            </w:r>
            <w:r w:rsidRPr="00653BF4">
              <w:rPr>
                <w:rFonts w:eastAsia="Aptos" w:cs="Aptos"/>
                <w:color w:val="0F1115"/>
                <w:sz w:val="20"/>
                <w:szCs w:val="20"/>
                <w:lang w:val="fr-FR"/>
              </w:rPr>
              <w:t>examen des brevets. La Malaisie a joué un rôle essentiel dans la promotion de l</w:t>
            </w:r>
            <w:r w:rsidR="00D77549">
              <w:rPr>
                <w:rFonts w:eastAsia="Aptos" w:cs="Aptos"/>
                <w:color w:val="0F1115"/>
                <w:sz w:val="20"/>
                <w:szCs w:val="20"/>
                <w:lang w:val="fr-FR"/>
              </w:rPr>
              <w:t>’</w:t>
            </w:r>
            <w:r w:rsidRPr="00653BF4">
              <w:rPr>
                <w:rFonts w:eastAsia="Aptos" w:cs="Aptos"/>
                <w:color w:val="0F1115"/>
                <w:sz w:val="20"/>
                <w:szCs w:val="20"/>
                <w:lang w:val="fr-FR"/>
              </w:rPr>
              <w:t>adoption du Traité de 2024 de l</w:t>
            </w:r>
            <w:r w:rsidR="00D77549">
              <w:rPr>
                <w:rFonts w:eastAsia="Aptos" w:cs="Aptos"/>
                <w:color w:val="0F1115"/>
                <w:sz w:val="20"/>
                <w:szCs w:val="20"/>
                <w:lang w:val="fr-FR"/>
              </w:rPr>
              <w:t>’</w:t>
            </w:r>
            <w:r w:rsidRPr="00653BF4">
              <w:rPr>
                <w:rFonts w:eastAsia="Aptos" w:cs="Aptos"/>
                <w:color w:val="0F1115"/>
                <w:sz w:val="20"/>
                <w:szCs w:val="20"/>
                <w:lang w:val="fr-FR"/>
              </w:rPr>
              <w:t>Organisation mondiale de la propriété intellectuelle sur la propriété intellectuelle, les ressources génétiques et les connaissances traditionnelles associées, renforçant ainsi les normes mondiales de protection des ressources génétiques et des connaissances traditionnelles. Le centre d</w:t>
            </w:r>
            <w:r w:rsidR="00D77549">
              <w:rPr>
                <w:rFonts w:eastAsia="Aptos" w:cs="Aptos"/>
                <w:color w:val="0F1115"/>
                <w:sz w:val="20"/>
                <w:szCs w:val="20"/>
                <w:lang w:val="fr-FR"/>
              </w:rPr>
              <w:t>’</w:t>
            </w:r>
            <w:r w:rsidRPr="00653BF4">
              <w:rPr>
                <w:rFonts w:eastAsia="Aptos" w:cs="Aptos"/>
                <w:color w:val="0F1115"/>
                <w:sz w:val="20"/>
                <w:szCs w:val="20"/>
                <w:lang w:val="fr-FR"/>
              </w:rPr>
              <w:t>échange MyABS, les systèmes régionaux de dépôt de demandes en ligne et plusieurs bibliothèques numériques consacrées aux connaissances traditionnelles ont été mis en place afin d</w:t>
            </w:r>
            <w:r w:rsidR="00D77549">
              <w:rPr>
                <w:rFonts w:eastAsia="Aptos" w:cs="Aptos"/>
                <w:color w:val="0F1115"/>
                <w:sz w:val="20"/>
                <w:szCs w:val="20"/>
                <w:lang w:val="fr-FR"/>
              </w:rPr>
              <w:t>’</w:t>
            </w:r>
            <w:r w:rsidRPr="00653BF4">
              <w:rPr>
                <w:rFonts w:eastAsia="Aptos" w:cs="Aptos"/>
                <w:color w:val="0F1115"/>
                <w:sz w:val="20"/>
                <w:szCs w:val="20"/>
                <w:lang w:val="fr-FR"/>
              </w:rPr>
              <w:t>assurer la gestion numérique et la protection des ressources et des connaissances. Y sont inclus des formations, ateliers et actions de sensibilisation ciblés destinés aux organismes de contrôle, aux chercheurs, aux peuples autochtones et communautés locales, afin d’améliorer les capacités globales de mise en œuvre, ainsi que la facilitation de la conclusion d’accords de partage des avantages, dont les modalités sont convenues d’un commun accord, afin de promouvoir la valorisation commerciale des ressources biologiques.</w:t>
            </w:r>
          </w:p>
          <w:p w14:paraId="51030E4A" w14:textId="2C8EE87C" w:rsidR="00B87039" w:rsidRPr="00653BF4" w:rsidRDefault="00B87039" w:rsidP="00557FB3">
            <w:pPr>
              <w:rPr>
                <w:sz w:val="20"/>
                <w:szCs w:val="20"/>
                <w:lang w:val="fr-FR"/>
              </w:rPr>
            </w:pPr>
            <w:r w:rsidRPr="00653BF4">
              <w:rPr>
                <w:i/>
                <w:iCs/>
                <w:sz w:val="20"/>
                <w:szCs w:val="20"/>
                <w:lang w:val="fr-FR"/>
              </w:rPr>
              <w:t>Cibles concernées</w:t>
            </w:r>
            <w:r w:rsidR="00E34DC9">
              <w:rPr>
                <w:i/>
                <w:iCs/>
                <w:sz w:val="20"/>
                <w:szCs w:val="20"/>
                <w:lang w:val="fr-FR"/>
              </w:rPr>
              <w:t> :</w:t>
            </w:r>
            <w:r w:rsidRPr="00653BF4">
              <w:rPr>
                <w:i/>
                <w:iCs/>
                <w:sz w:val="20"/>
                <w:szCs w:val="20"/>
                <w:lang w:val="fr-FR"/>
              </w:rPr>
              <w:t xml:space="preserve"> 13, 20, 21 et 22.</w:t>
            </w:r>
          </w:p>
          <w:p w14:paraId="7D4810E9" w14:textId="0B6E13E5" w:rsidR="00B87039" w:rsidRPr="00653BF4" w:rsidRDefault="00B87039" w:rsidP="00557FB3">
            <w:pPr>
              <w:rPr>
                <w:sz w:val="20"/>
                <w:szCs w:val="20"/>
                <w:lang w:val="fr-FR"/>
              </w:rPr>
            </w:pPr>
            <w:r w:rsidRPr="00653BF4">
              <w:rPr>
                <w:i/>
                <w:iCs/>
                <w:sz w:val="20"/>
                <w:szCs w:val="20"/>
                <w:lang w:val="fr-FR"/>
              </w:rPr>
              <w:t>Sources</w:t>
            </w:r>
            <w:r w:rsidR="00E34DC9">
              <w:rPr>
                <w:i/>
                <w:iCs/>
                <w:sz w:val="20"/>
                <w:szCs w:val="20"/>
                <w:lang w:val="fr-FR"/>
              </w:rPr>
              <w:t> :</w:t>
            </w:r>
            <w:r w:rsidRPr="00653BF4">
              <w:rPr>
                <w:i/>
                <w:iCs/>
                <w:sz w:val="20"/>
                <w:szCs w:val="20"/>
                <w:lang w:val="fr-FR"/>
              </w:rPr>
              <w:t xml:space="preserve"> </w:t>
            </w:r>
            <w:r w:rsidRPr="00653BF4">
              <w:rPr>
                <w:sz w:val="20"/>
                <w:szCs w:val="20"/>
                <w:lang w:val="fr-FR"/>
              </w:rPr>
              <w:t>Malaisie, septième rapport national présenté au titre de la Convention</w:t>
            </w:r>
            <w:r w:rsidR="00E34DC9">
              <w:rPr>
                <w:sz w:val="20"/>
                <w:szCs w:val="20"/>
                <w:lang w:val="fr-FR"/>
              </w:rPr>
              <w:t> ;</w:t>
            </w:r>
            <w:r w:rsidRPr="00653BF4">
              <w:rPr>
                <w:sz w:val="20"/>
                <w:szCs w:val="20"/>
                <w:lang w:val="fr-FR"/>
              </w:rPr>
              <w:t xml:space="preserve"> BioJapan, 2025</w:t>
            </w:r>
            <w:r w:rsidR="00E34DC9">
              <w:rPr>
                <w:sz w:val="20"/>
                <w:szCs w:val="20"/>
                <w:lang w:val="fr-FR"/>
              </w:rPr>
              <w:t> ;</w:t>
            </w:r>
            <w:r w:rsidRPr="00653BF4">
              <w:rPr>
                <w:sz w:val="20"/>
                <w:szCs w:val="20"/>
                <w:lang w:val="fr-FR"/>
              </w:rPr>
              <w:t xml:space="preserve"> Gouvernement de Malaisie, 2017</w:t>
            </w:r>
            <w:r w:rsidR="00E34DC9">
              <w:rPr>
                <w:sz w:val="20"/>
                <w:szCs w:val="20"/>
                <w:lang w:val="fr-FR"/>
              </w:rPr>
              <w:t> ;</w:t>
            </w:r>
            <w:r w:rsidRPr="00653BF4">
              <w:rPr>
                <w:sz w:val="20"/>
                <w:szCs w:val="20"/>
                <w:lang w:val="fr-FR"/>
              </w:rPr>
              <w:t xml:space="preserve"> et OMPI, 2024</w:t>
            </w:r>
          </w:p>
          <w:p w14:paraId="50BDA74A" w14:textId="77777777" w:rsidR="00B87039" w:rsidRPr="00653BF4" w:rsidRDefault="00B87039" w:rsidP="00557FB3">
            <w:pPr>
              <w:rPr>
                <w:lang w:val="fr-FR"/>
              </w:rPr>
            </w:pPr>
          </w:p>
        </w:tc>
      </w:tr>
    </w:tbl>
    <w:p w14:paraId="04E14089" w14:textId="77777777" w:rsidR="00B87039" w:rsidRPr="00653BF4" w:rsidRDefault="00B87039" w:rsidP="00B87039">
      <w:pPr>
        <w:pStyle w:val="Heading6"/>
        <w:rPr>
          <w:lang w:val="fr-FR"/>
        </w:rPr>
      </w:pPr>
    </w:p>
    <w:p w14:paraId="507578B2" w14:textId="77777777" w:rsidR="00B87039" w:rsidRPr="00653BF4" w:rsidRDefault="00B87039" w:rsidP="00B87039">
      <w:pPr>
        <w:pStyle w:val="Heading6"/>
        <w:rPr>
          <w:lang w:val="fr-FR"/>
        </w:rPr>
      </w:pPr>
      <w:bookmarkStart w:id="262" w:name="_Toc235821213"/>
      <w:r w:rsidRPr="00653BF4">
        <w:rPr>
          <w:lang w:val="fr-FR"/>
        </w:rPr>
        <w:t>Difficultés</w:t>
      </w:r>
      <w:bookmarkEnd w:id="262"/>
    </w:p>
    <w:p w14:paraId="45A435F5" w14:textId="77777777" w:rsidR="00B87039" w:rsidRPr="00653BF4" w:rsidRDefault="00B87039" w:rsidP="00B87039">
      <w:pPr>
        <w:rPr>
          <w:rFonts w:eastAsia="Aptos" w:cs="Aptos"/>
          <w:lang w:val="fr-FR"/>
        </w:rPr>
      </w:pPr>
    </w:p>
    <w:p w14:paraId="47B6C40E" w14:textId="386212CA" w:rsidR="00B87039" w:rsidRPr="00653BF4" w:rsidRDefault="00B87039" w:rsidP="00B87039">
      <w:pPr>
        <w:rPr>
          <w:rFonts w:eastAsia="Aptos" w:cs="Aptos"/>
          <w:lang w:val="fr-FR"/>
        </w:rPr>
      </w:pPr>
      <w:r w:rsidRPr="00653BF4">
        <w:rPr>
          <w:rFonts w:eastAsia="Aptos" w:cs="Aptos"/>
          <w:lang w:val="fr-FR"/>
        </w:rPr>
        <w:t>Les difficultés d</w:t>
      </w:r>
      <w:r w:rsidR="00D77549">
        <w:rPr>
          <w:rFonts w:eastAsia="Aptos" w:cs="Aptos"/>
          <w:lang w:val="fr-FR"/>
        </w:rPr>
        <w:t>’</w:t>
      </w:r>
      <w:r w:rsidRPr="00653BF4">
        <w:rPr>
          <w:rFonts w:eastAsia="Aptos" w:cs="Aptos"/>
          <w:lang w:val="fr-FR"/>
        </w:rPr>
        <w:t xml:space="preserve">ordre réglementaire figurent parmi les obstacles les plus fréquemment cités à la mise en œuvre de la </w:t>
      </w:r>
      <w:r w:rsidR="00E34DC9">
        <w:rPr>
          <w:rFonts w:eastAsia="Aptos" w:cs="Aptos"/>
          <w:lang w:val="fr-FR"/>
        </w:rPr>
        <w:t>cible 1</w:t>
      </w:r>
      <w:r w:rsidRPr="00653BF4">
        <w:rPr>
          <w:rFonts w:eastAsia="Aptos" w:cs="Aptos"/>
          <w:lang w:val="fr-FR"/>
        </w:rPr>
        <w:t>3, et ont été signalées par les Parties, quels que soient leur niveau de revenu et leur région géographique. L</w:t>
      </w:r>
      <w:r w:rsidR="00D77549">
        <w:rPr>
          <w:rFonts w:eastAsia="Aptos" w:cs="Aptos"/>
          <w:lang w:val="fr-FR"/>
        </w:rPr>
        <w:t>’</w:t>
      </w:r>
      <w:r w:rsidRPr="00653BF4">
        <w:rPr>
          <w:rFonts w:eastAsia="Aptos" w:cs="Aptos"/>
          <w:lang w:val="fr-FR"/>
        </w:rPr>
        <w:t>obstacle réglementaire le plus fondamental, soulevé par une part importante des Parties déclarantes, est l</w:t>
      </w:r>
      <w:r w:rsidR="00D77549">
        <w:rPr>
          <w:rFonts w:eastAsia="Aptos" w:cs="Aptos"/>
          <w:lang w:val="fr-FR"/>
        </w:rPr>
        <w:t>’</w:t>
      </w:r>
      <w:r w:rsidRPr="00653BF4">
        <w:rPr>
          <w:rFonts w:eastAsia="Aptos" w:cs="Aptos"/>
          <w:lang w:val="fr-FR"/>
        </w:rPr>
        <w:t>absence d</w:t>
      </w:r>
      <w:r w:rsidR="00D77549">
        <w:rPr>
          <w:rFonts w:eastAsia="Aptos" w:cs="Aptos"/>
          <w:lang w:val="fr-FR"/>
        </w:rPr>
        <w:t>’</w:t>
      </w:r>
      <w:r w:rsidRPr="00653BF4">
        <w:rPr>
          <w:rFonts w:eastAsia="Aptos" w:cs="Aptos"/>
          <w:lang w:val="fr-FR"/>
        </w:rPr>
        <w:t>un cadre national spécifique en matière d</w:t>
      </w:r>
      <w:r w:rsidR="00D77549">
        <w:rPr>
          <w:rFonts w:eastAsia="Aptos" w:cs="Aptos"/>
          <w:lang w:val="fr-FR"/>
        </w:rPr>
        <w:t>’</w:t>
      </w:r>
      <w:r w:rsidRPr="00653BF4">
        <w:rPr>
          <w:rFonts w:eastAsia="Aptos" w:cs="Aptos"/>
          <w:lang w:val="fr-FR"/>
        </w:rPr>
        <w:t xml:space="preserve">APA. </w:t>
      </w:r>
      <w:r w:rsidRPr="00653BF4">
        <w:rPr>
          <w:lang w:val="fr-FR"/>
        </w:rPr>
        <w:t>Même parmi les Parties qui ont adopté des mesures, nombreuses sont celles qui doivent encore rendre le système d</w:t>
      </w:r>
      <w:r w:rsidR="00D77549">
        <w:rPr>
          <w:lang w:val="fr-FR"/>
        </w:rPr>
        <w:t>’</w:t>
      </w:r>
      <w:r w:rsidRPr="00653BF4">
        <w:rPr>
          <w:lang w:val="fr-FR"/>
        </w:rPr>
        <w:t>APA pleinement opérationnel, ou mettre en œuvre les mesures existantes, afin d</w:t>
      </w:r>
      <w:r w:rsidR="00D77549">
        <w:rPr>
          <w:lang w:val="fr-FR"/>
        </w:rPr>
        <w:t>’</w:t>
      </w:r>
      <w:r w:rsidRPr="00653BF4">
        <w:rPr>
          <w:lang w:val="fr-FR"/>
        </w:rPr>
        <w:t>en tirer des avantages concrets. Certaines Parties ajoutent que, même lorsqu</w:t>
      </w:r>
      <w:r w:rsidR="00D77549">
        <w:rPr>
          <w:lang w:val="fr-FR"/>
        </w:rPr>
        <w:t>’</w:t>
      </w:r>
      <w:r w:rsidRPr="00653BF4">
        <w:rPr>
          <w:lang w:val="fr-FR"/>
        </w:rPr>
        <w:t>il existe des lois-cadres, celles-ci ne peuvent être appliquées en l</w:t>
      </w:r>
      <w:r w:rsidR="00D77549">
        <w:rPr>
          <w:lang w:val="fr-FR"/>
        </w:rPr>
        <w:t>’</w:t>
      </w:r>
      <w:r w:rsidRPr="00653BF4">
        <w:rPr>
          <w:lang w:val="fr-FR"/>
        </w:rPr>
        <w:t>absence de règlements d</w:t>
      </w:r>
      <w:r w:rsidR="00D77549">
        <w:rPr>
          <w:lang w:val="fr-FR"/>
        </w:rPr>
        <w:t>’</w:t>
      </w:r>
      <w:r w:rsidRPr="00653BF4">
        <w:rPr>
          <w:lang w:val="fr-FR"/>
        </w:rPr>
        <w:t>application ou de décrets d</w:t>
      </w:r>
      <w:r w:rsidR="00D77549">
        <w:rPr>
          <w:lang w:val="fr-FR"/>
        </w:rPr>
        <w:t>’</w:t>
      </w:r>
      <w:r w:rsidRPr="00653BF4">
        <w:rPr>
          <w:lang w:val="fr-FR"/>
        </w:rPr>
        <w:t>exécution, et un petit nombre d</w:t>
      </w:r>
      <w:r w:rsidR="00D77549">
        <w:rPr>
          <w:lang w:val="fr-FR"/>
        </w:rPr>
        <w:t>’</w:t>
      </w:r>
      <w:r w:rsidRPr="00653BF4">
        <w:rPr>
          <w:lang w:val="fr-FR"/>
        </w:rPr>
        <w:t>entre elles soulignent que certains éléments de leur législation en vigueur sont antérieurs aux normes internationales actuelles prévues par le Protocole de Nagoya ou ne s</w:t>
      </w:r>
      <w:r w:rsidR="00D77549">
        <w:rPr>
          <w:lang w:val="fr-FR"/>
        </w:rPr>
        <w:t>’</w:t>
      </w:r>
      <w:r w:rsidRPr="00653BF4">
        <w:rPr>
          <w:lang w:val="fr-FR"/>
        </w:rPr>
        <w:t>y conforment pas pleinement.</w:t>
      </w:r>
      <w:r w:rsidRPr="00653BF4">
        <w:rPr>
          <w:rFonts w:eastAsiaTheme="minorEastAsia"/>
          <w:lang w:val="fr-FR"/>
        </w:rPr>
        <w:t xml:space="preserve"> Plusieurs Parties indiquent que la mise en œuvre des cadres APA nécessite un soutien juridique, institutionnel, technique et financier durable, notamment en ce qui concerne les points de contrôle, les systèmes de suivi, les protocoles communautaires et les mécanismes de partage des avantages. Les Parties signalent également que l</w:t>
      </w:r>
      <w:r w:rsidR="00D77549">
        <w:rPr>
          <w:rFonts w:eastAsiaTheme="minorEastAsia"/>
          <w:lang w:val="fr-FR"/>
        </w:rPr>
        <w:t>’</w:t>
      </w:r>
      <w:r w:rsidRPr="00653BF4">
        <w:rPr>
          <w:rFonts w:eastAsiaTheme="minorEastAsia"/>
          <w:lang w:val="fr-FR"/>
        </w:rPr>
        <w:t>absence de points de contrôle opérationnels, exigés par le Protocole de Nagoya, constitue un obstacle majeur à sa mise en œuvre, et que l</w:t>
      </w:r>
      <w:r w:rsidR="00D77549">
        <w:rPr>
          <w:rFonts w:eastAsiaTheme="minorEastAsia"/>
          <w:lang w:val="fr-FR"/>
        </w:rPr>
        <w:t>’</w:t>
      </w:r>
      <w:r w:rsidRPr="00653BF4">
        <w:rPr>
          <w:rFonts w:eastAsiaTheme="minorEastAsia"/>
          <w:lang w:val="fr-FR"/>
        </w:rPr>
        <w:t xml:space="preserve">absence de mécanismes de suivi concernant le partage des avantages rend également difficile </w:t>
      </w:r>
      <w:r w:rsidRPr="00653BF4">
        <w:rPr>
          <w:rFonts w:eastAsiaTheme="minorEastAsia"/>
          <w:lang w:val="fr-FR"/>
        </w:rPr>
        <w:lastRenderedPageBreak/>
        <w:t>l</w:t>
      </w:r>
      <w:r w:rsidR="00D77549">
        <w:rPr>
          <w:rFonts w:eastAsiaTheme="minorEastAsia"/>
          <w:lang w:val="fr-FR"/>
        </w:rPr>
        <w:t>’</w:t>
      </w:r>
      <w:r w:rsidRPr="00653BF4">
        <w:rPr>
          <w:rFonts w:eastAsiaTheme="minorEastAsia"/>
          <w:lang w:val="fr-FR"/>
        </w:rPr>
        <w:t>établissement de rapports précis. À ces lacunes s</w:t>
      </w:r>
      <w:r w:rsidR="00D77549">
        <w:rPr>
          <w:rFonts w:eastAsiaTheme="minorEastAsia"/>
          <w:lang w:val="fr-FR"/>
        </w:rPr>
        <w:t>’</w:t>
      </w:r>
      <w:r w:rsidRPr="00653BF4">
        <w:rPr>
          <w:rFonts w:eastAsiaTheme="minorEastAsia"/>
          <w:lang w:val="fr-FR"/>
        </w:rPr>
        <w:t>ajoute le fait que la mise en place et la révision des cadres juridiques et institutionnels relatifs à l</w:t>
      </w:r>
      <w:r w:rsidR="00D77549">
        <w:rPr>
          <w:rFonts w:eastAsiaTheme="minorEastAsia"/>
          <w:lang w:val="fr-FR"/>
        </w:rPr>
        <w:t>’</w:t>
      </w:r>
      <w:r w:rsidRPr="00653BF4">
        <w:rPr>
          <w:rFonts w:eastAsiaTheme="minorEastAsia"/>
          <w:lang w:val="fr-FR"/>
        </w:rPr>
        <w:t>APA nécessiteront des investissements considérables en ressources, tandis que la complexité inhérente à l</w:t>
      </w:r>
      <w:r w:rsidR="00D77549">
        <w:rPr>
          <w:rFonts w:eastAsiaTheme="minorEastAsia"/>
          <w:lang w:val="fr-FR"/>
        </w:rPr>
        <w:t>’</w:t>
      </w:r>
      <w:r w:rsidRPr="00653BF4">
        <w:rPr>
          <w:rFonts w:eastAsiaTheme="minorEastAsia"/>
          <w:lang w:val="fr-FR"/>
        </w:rPr>
        <w:t>APA ne permettra d</w:t>
      </w:r>
      <w:r w:rsidR="00D77549">
        <w:rPr>
          <w:rFonts w:eastAsiaTheme="minorEastAsia"/>
          <w:lang w:val="fr-FR"/>
        </w:rPr>
        <w:t>’</w:t>
      </w:r>
      <w:r w:rsidRPr="00653BF4">
        <w:rPr>
          <w:rFonts w:eastAsiaTheme="minorEastAsia"/>
          <w:lang w:val="fr-FR"/>
        </w:rPr>
        <w:t>en tirer des avantages qu</w:t>
      </w:r>
      <w:r w:rsidR="00D77549">
        <w:rPr>
          <w:rFonts w:eastAsiaTheme="minorEastAsia"/>
          <w:lang w:val="fr-FR"/>
        </w:rPr>
        <w:t>’</w:t>
      </w:r>
      <w:r w:rsidRPr="00653BF4">
        <w:rPr>
          <w:rFonts w:eastAsiaTheme="minorEastAsia"/>
          <w:lang w:val="fr-FR"/>
        </w:rPr>
        <w:t>à terme.</w:t>
      </w:r>
      <w:r w:rsidRPr="00653BF4">
        <w:rPr>
          <w:rFonts w:eastAsia="Aptos" w:cs="Aptos"/>
          <w:lang w:val="fr-FR"/>
        </w:rPr>
        <w:t xml:space="preserve"> La protection formelle des connaissances traditionnelles détenues par les peuples autochtones et communautés locales est tout aussi insuffisante, et un nombre important de Parties ont fait part de leurs préoccupations concernant les lacunes en matière de reconnaissance, de documentation et de registres spécifiques.</w:t>
      </w:r>
    </w:p>
    <w:p w14:paraId="498C34F0" w14:textId="77777777" w:rsidR="00B87039" w:rsidRPr="00653BF4" w:rsidRDefault="00B87039" w:rsidP="00B87039">
      <w:pPr>
        <w:rPr>
          <w:rFonts w:eastAsia="Aptos" w:cs="Aptos"/>
          <w:lang w:val="fr-FR"/>
        </w:rPr>
      </w:pPr>
    </w:p>
    <w:p w14:paraId="22D7AB96" w14:textId="48DB67D6" w:rsidR="00B87039" w:rsidRPr="00653BF4" w:rsidRDefault="00B87039" w:rsidP="00B87039">
      <w:pPr>
        <w:pStyle w:val="Heading5"/>
        <w:rPr>
          <w:lang w:val="fr-FR"/>
        </w:rPr>
      </w:pPr>
      <w:bookmarkStart w:id="263" w:name="_Toc235821214"/>
      <w:r w:rsidRPr="00653BF4">
        <w:rPr>
          <w:lang w:val="fr-FR"/>
        </w:rPr>
        <w:t>Contributions provenant d</w:t>
      </w:r>
      <w:r w:rsidR="00D77549">
        <w:rPr>
          <w:lang w:val="fr-FR"/>
        </w:rPr>
        <w:t>’</w:t>
      </w:r>
      <w:r w:rsidRPr="00653BF4">
        <w:rPr>
          <w:lang w:val="fr-FR"/>
        </w:rPr>
        <w:t>acteurs autres que les gouvernements nationaux</w:t>
      </w:r>
      <w:bookmarkEnd w:id="263"/>
    </w:p>
    <w:p w14:paraId="46DE6F83" w14:textId="77777777" w:rsidR="00B87039" w:rsidRPr="00653BF4" w:rsidRDefault="00B87039" w:rsidP="00B87039">
      <w:pPr>
        <w:rPr>
          <w:lang w:val="fr-FR"/>
        </w:rPr>
      </w:pPr>
    </w:p>
    <w:p w14:paraId="5E68BC25" w14:textId="3DEA4053" w:rsidR="00B87039" w:rsidRPr="00653BF4" w:rsidRDefault="00B87039" w:rsidP="00B87039">
      <w:pPr>
        <w:pStyle w:val="Heading6"/>
        <w:rPr>
          <w:lang w:val="fr-FR"/>
        </w:rPr>
      </w:pPr>
      <w:bookmarkStart w:id="264" w:name="_Toc235821215"/>
      <w:r w:rsidRPr="00653BF4">
        <w:rPr>
          <w:lang w:val="fr-FR"/>
        </w:rPr>
        <w:t>Engagements communiqués directement via l</w:t>
      </w:r>
      <w:r w:rsidR="00D77549">
        <w:rPr>
          <w:lang w:val="fr-FR"/>
        </w:rPr>
        <w:t>’</w:t>
      </w:r>
      <w:r w:rsidRPr="00653BF4">
        <w:rPr>
          <w:lang w:val="fr-FR"/>
        </w:rPr>
        <w:t>outil de présentation des rapports en ligne</w:t>
      </w:r>
      <w:bookmarkEnd w:id="264"/>
    </w:p>
    <w:p w14:paraId="7306C32F" w14:textId="77777777" w:rsidR="00B87039" w:rsidRPr="00653BF4" w:rsidRDefault="00B87039" w:rsidP="00B87039">
      <w:pPr>
        <w:rPr>
          <w:lang w:val="fr-FR"/>
        </w:rPr>
      </w:pPr>
    </w:p>
    <w:p w14:paraId="657AE9EB" w14:textId="79C66B55" w:rsidR="00B87039" w:rsidRPr="00653BF4" w:rsidRDefault="00B87039" w:rsidP="00B87039">
      <w:pPr>
        <w:rPr>
          <w:lang w:val="fr-FR"/>
        </w:rPr>
      </w:pPr>
      <w:bookmarkStart w:id="265" w:name="_Toc235821216"/>
      <w:r w:rsidRPr="00653BF4">
        <w:rPr>
          <w:lang w:val="fr-FR"/>
        </w:rPr>
        <w:t xml:space="preserve">Sur les 180 engagements de fond présentés par des acteurs autres que les gouvernements nationaux, seulement 3 concernent principalement la </w:t>
      </w:r>
      <w:r w:rsidR="00E34DC9">
        <w:rPr>
          <w:lang w:val="fr-FR"/>
        </w:rPr>
        <w:t>cible 1</w:t>
      </w:r>
      <w:r w:rsidRPr="00653BF4">
        <w:rPr>
          <w:lang w:val="fr-FR"/>
        </w:rPr>
        <w:t>3. Parmi eux, 2 émanent de centres du réseau de recherche agricole du CGIAR</w:t>
      </w:r>
      <w:r w:rsidR="00E34DC9">
        <w:rPr>
          <w:lang w:val="fr-FR"/>
        </w:rPr>
        <w:t> :</w:t>
      </w:r>
      <w:r w:rsidRPr="00653BF4">
        <w:rPr>
          <w:lang w:val="fr-FR"/>
        </w:rPr>
        <w:t xml:space="preserve"> l</w:t>
      </w:r>
      <w:r w:rsidR="00D77549">
        <w:rPr>
          <w:lang w:val="fr-FR"/>
        </w:rPr>
        <w:t>’</w:t>
      </w:r>
      <w:r w:rsidRPr="00653BF4">
        <w:rPr>
          <w:lang w:val="fr-FR"/>
        </w:rPr>
        <w:t>un des engagements appuie la mise en œuvre du Système multilatéral d</w:t>
      </w:r>
      <w:r w:rsidR="00D77549">
        <w:rPr>
          <w:lang w:val="fr-FR"/>
        </w:rPr>
        <w:t>’</w:t>
      </w:r>
      <w:r w:rsidRPr="00653BF4">
        <w:rPr>
          <w:lang w:val="fr-FR"/>
        </w:rPr>
        <w:t>accès et de partage des avantages prévu par le Traité international sur les ressources phytogénétiques pour l</w:t>
      </w:r>
      <w:r w:rsidR="00D77549">
        <w:rPr>
          <w:lang w:val="fr-FR"/>
        </w:rPr>
        <w:t>’</w:t>
      </w:r>
      <w:r w:rsidRPr="00653BF4">
        <w:rPr>
          <w:lang w:val="fr-FR"/>
        </w:rPr>
        <w:t>alimentation et l</w:t>
      </w:r>
      <w:r w:rsidR="00D77549">
        <w:rPr>
          <w:lang w:val="fr-FR"/>
        </w:rPr>
        <w:t>’</w:t>
      </w:r>
      <w:r w:rsidRPr="00653BF4">
        <w:rPr>
          <w:lang w:val="fr-FR"/>
        </w:rPr>
        <w:t>agriculture, tandis que l</w:t>
      </w:r>
      <w:r w:rsidR="00D77549">
        <w:rPr>
          <w:lang w:val="fr-FR"/>
        </w:rPr>
        <w:t>’</w:t>
      </w:r>
      <w:r w:rsidRPr="00653BF4">
        <w:rPr>
          <w:lang w:val="fr-FR"/>
        </w:rPr>
        <w:t>autre concerne les banques de gènes et les programmes de sélection visant à gérer les ressources génétiques conformément aux législations nationales et internationales spécifiques en matière d</w:t>
      </w:r>
      <w:r w:rsidR="00D77549">
        <w:rPr>
          <w:lang w:val="fr-FR"/>
        </w:rPr>
        <w:t>’</w:t>
      </w:r>
      <w:r w:rsidRPr="00653BF4">
        <w:rPr>
          <w:lang w:val="fr-FR"/>
        </w:rPr>
        <w:t>APA.</w:t>
      </w:r>
      <w:r w:rsidRPr="00653BF4">
        <w:rPr>
          <w:rFonts w:cs="Segoe UI"/>
          <w:shd w:val="clear" w:color="auto" w:fill="FFFFFF"/>
          <w:lang w:val="fr-FR"/>
        </w:rPr>
        <w:t xml:space="preserve"> </w:t>
      </w:r>
      <w:r w:rsidRPr="00653BF4">
        <w:rPr>
          <w:lang w:val="fr-FR"/>
        </w:rPr>
        <w:t>Le troisième engagement a été soumis par le Danish 92 Group, un réseau d</w:t>
      </w:r>
      <w:r w:rsidR="00D77549">
        <w:rPr>
          <w:lang w:val="fr-FR"/>
        </w:rPr>
        <w:t>’</w:t>
      </w:r>
      <w:r w:rsidRPr="00653BF4">
        <w:rPr>
          <w:lang w:val="fr-FR"/>
        </w:rPr>
        <w:t>organisations de la société civile basé au Danemark. Cet engagement repose sur les contributions de plusieurs organisations membres, notamment la promotion à l</w:t>
      </w:r>
      <w:r w:rsidR="00D77549">
        <w:rPr>
          <w:lang w:val="fr-FR"/>
        </w:rPr>
        <w:t>’</w:t>
      </w:r>
      <w:r w:rsidRPr="00653BF4">
        <w:rPr>
          <w:lang w:val="fr-FR"/>
        </w:rPr>
        <w:t>échelle mondiale des connaissances traditionnelles et de pratiques d</w:t>
      </w:r>
      <w:r w:rsidR="00D77549">
        <w:rPr>
          <w:lang w:val="fr-FR"/>
        </w:rPr>
        <w:t>’</w:t>
      </w:r>
      <w:r w:rsidRPr="00653BF4">
        <w:rPr>
          <w:lang w:val="fr-FR"/>
        </w:rPr>
        <w:t>approvisionnement transparentes et équitables au sein des entreprises danoises des sciences de la vie et de la biotechnologie, par le biais du Partenariat danois pour la biodiversité.</w:t>
      </w:r>
    </w:p>
    <w:p w14:paraId="376CC259" w14:textId="77777777" w:rsidR="00B87039" w:rsidRPr="00653BF4" w:rsidRDefault="00B87039" w:rsidP="00B87039">
      <w:pPr>
        <w:rPr>
          <w:lang w:val="fr-FR"/>
        </w:rPr>
      </w:pPr>
    </w:p>
    <w:p w14:paraId="6268B256" w14:textId="12CF19E5" w:rsidR="00B87039" w:rsidRPr="00653BF4" w:rsidRDefault="00B87039" w:rsidP="00B87039">
      <w:pPr>
        <w:pStyle w:val="Heading6"/>
        <w:rPr>
          <w:lang w:val="fr-FR"/>
        </w:rPr>
      </w:pPr>
      <w:r w:rsidRPr="00653BF4">
        <w:rPr>
          <w:lang w:val="fr-FR"/>
        </w:rPr>
        <w:t>Contributions intégrées dans les rapports nationaux</w:t>
      </w:r>
      <w:bookmarkEnd w:id="265"/>
    </w:p>
    <w:p w14:paraId="658E7D8F" w14:textId="77777777" w:rsidR="00B87039" w:rsidRPr="00653BF4" w:rsidRDefault="00B87039" w:rsidP="00B87039">
      <w:pPr>
        <w:rPr>
          <w:lang w:val="fr-FR"/>
        </w:rPr>
      </w:pPr>
    </w:p>
    <w:p w14:paraId="2673BB81" w14:textId="0386DBE8" w:rsidR="00B87039" w:rsidRPr="00653BF4" w:rsidRDefault="00B87039" w:rsidP="00B87039">
      <w:pPr>
        <w:rPr>
          <w:lang w:val="fr-FR"/>
        </w:rPr>
      </w:pPr>
      <w:r w:rsidRPr="00653BF4">
        <w:rPr>
          <w:lang w:val="fr-FR"/>
        </w:rPr>
        <w:t>Les institutions scientifiques et universitaires hébergent des collections de ressources génétiques ex situ, interviennent en tant que parties et/ou facilitateurs dans le cadre de contrats d’APA, mènent des recherches liées aux ressources génétiques et à l</w:t>
      </w:r>
      <w:r w:rsidR="00D77549">
        <w:rPr>
          <w:lang w:val="fr-FR"/>
        </w:rPr>
        <w:t>’</w:t>
      </w:r>
      <w:r w:rsidRPr="00653BF4">
        <w:rPr>
          <w:lang w:val="fr-FR"/>
        </w:rPr>
        <w:t xml:space="preserve">information de séquençage numérique, et proposent des activités de renforcement des capacités dans </w:t>
      </w:r>
      <w:r w:rsidRPr="00653BF4">
        <w:rPr>
          <w:lang w:val="fr-FR"/>
        </w:rPr>
        <w:lastRenderedPageBreak/>
        <w:t>ce domaine. Les organisations intergouvernementales et les partenaires internationaux interviennent principalement en tant que cofinanceurs et coréalisateurs, notamment dans le cadre des projets de renforcement des capacités en matière d</w:t>
      </w:r>
      <w:r w:rsidR="00D77549">
        <w:rPr>
          <w:lang w:val="fr-FR"/>
        </w:rPr>
        <w:t>’</w:t>
      </w:r>
      <w:r w:rsidRPr="00653BF4">
        <w:rPr>
          <w:lang w:val="fr-FR"/>
        </w:rPr>
        <w:t>APA financés par le FEM et mis en œuvre par le PNUD, et organisent des dialogues multilatéraux sur l</w:t>
      </w:r>
      <w:r w:rsidR="00D77549">
        <w:rPr>
          <w:lang w:val="fr-FR"/>
        </w:rPr>
        <w:t>’</w:t>
      </w:r>
      <w:r w:rsidRPr="00653BF4">
        <w:rPr>
          <w:lang w:val="fr-FR"/>
        </w:rPr>
        <w:t>information de séquençage numérique. Les peuples autochtones et communautés locales assument un large éventail de rôles</w:t>
      </w:r>
      <w:r w:rsidR="00E34DC9">
        <w:rPr>
          <w:lang w:val="fr-FR"/>
        </w:rPr>
        <w:t> :</w:t>
      </w:r>
      <w:r w:rsidRPr="00653BF4">
        <w:rPr>
          <w:lang w:val="fr-FR"/>
        </w:rPr>
        <w:t xml:space="preserve"> ils interviennent en tant qu’acteurs de la cogouvernance, détenteurs reconnus de connaissances, parties à des accords de partage des avantages et cogestionnaires des ressources génétiques. Les acteurs du monde des affaires et de la finance interviennent en tant que parties à des accords sur l</w:t>
      </w:r>
      <w:r w:rsidR="00D77549">
        <w:rPr>
          <w:lang w:val="fr-FR"/>
        </w:rPr>
        <w:t>’</w:t>
      </w:r>
      <w:r w:rsidRPr="00653BF4">
        <w:rPr>
          <w:lang w:val="fr-FR"/>
        </w:rPr>
        <w:t>APA ou co-investisseurs. Le plus souvent, ils sont considérés comme des entités soumises à des règles de conformité, mais ils participent de plus en plus aux dialogues entre parties prenantes sur l</w:t>
      </w:r>
      <w:r w:rsidR="00D77549">
        <w:rPr>
          <w:lang w:val="fr-FR"/>
        </w:rPr>
        <w:t>’</w:t>
      </w:r>
      <w:r w:rsidRPr="00653BF4">
        <w:rPr>
          <w:lang w:val="fr-FR"/>
        </w:rPr>
        <w:t>information de séquençage numérique. Les ONG et la société civile apportent principalement un soutien sous forme d</w:t>
      </w:r>
      <w:r w:rsidR="00D77549">
        <w:rPr>
          <w:lang w:val="fr-FR"/>
        </w:rPr>
        <w:t>’</w:t>
      </w:r>
      <w:r w:rsidRPr="00653BF4">
        <w:rPr>
          <w:lang w:val="fr-FR"/>
        </w:rPr>
        <w:t>actions de plaidoyer et d</w:t>
      </w:r>
      <w:r w:rsidR="00D77549">
        <w:rPr>
          <w:lang w:val="fr-FR"/>
        </w:rPr>
        <w:t>’</w:t>
      </w:r>
      <w:r w:rsidRPr="00653BF4">
        <w:rPr>
          <w:lang w:val="fr-FR"/>
        </w:rPr>
        <w:t>assistance technique, tandis que les autorités infranationales n</w:t>
      </w:r>
      <w:r w:rsidR="00D77549">
        <w:rPr>
          <w:lang w:val="fr-FR"/>
        </w:rPr>
        <w:t>’</w:t>
      </w:r>
      <w:r w:rsidRPr="00653BF4">
        <w:rPr>
          <w:lang w:val="fr-FR"/>
        </w:rPr>
        <w:t>assument des rôles opérationnels que lorsque la législation leur délègue des compétences. Les acteurs sectoriels interviennent en tant que conservateurs in situ et gestionnaires de banques de semences, tandis que les femmes et les jeunes filles sont présentées comme détentrices de connaissances traditionnelles et partenaires dans le partage des avantages au sein des coopératives, bien qu</w:t>
      </w:r>
      <w:r w:rsidR="00D77549">
        <w:rPr>
          <w:lang w:val="fr-FR"/>
        </w:rPr>
        <w:t>’</w:t>
      </w:r>
      <w:r w:rsidRPr="00653BF4">
        <w:rPr>
          <w:lang w:val="fr-FR"/>
        </w:rPr>
        <w:t>il ne s</w:t>
      </w:r>
      <w:r w:rsidR="00D77549">
        <w:rPr>
          <w:lang w:val="fr-FR"/>
        </w:rPr>
        <w:t>’</w:t>
      </w:r>
      <w:r w:rsidRPr="00653BF4">
        <w:rPr>
          <w:lang w:val="fr-FR"/>
        </w:rPr>
        <w:t>agisse souvent que de discours politiques. Les citoyens n</w:t>
      </w:r>
      <w:r w:rsidR="00D77549">
        <w:rPr>
          <w:lang w:val="fr-FR"/>
        </w:rPr>
        <w:t>’</w:t>
      </w:r>
      <w:r w:rsidRPr="00653BF4">
        <w:rPr>
          <w:lang w:val="fr-FR"/>
        </w:rPr>
        <w:t>apparaissent qu</w:t>
      </w:r>
      <w:r w:rsidR="00D77549">
        <w:rPr>
          <w:lang w:val="fr-FR"/>
        </w:rPr>
        <w:t>’</w:t>
      </w:r>
      <w:r w:rsidRPr="00653BF4">
        <w:rPr>
          <w:lang w:val="fr-FR"/>
        </w:rPr>
        <w:t>en qualité de bénéficiaires d</w:t>
      </w:r>
      <w:r w:rsidR="00D77549">
        <w:rPr>
          <w:lang w:val="fr-FR"/>
        </w:rPr>
        <w:t>’</w:t>
      </w:r>
      <w:r w:rsidRPr="00653BF4">
        <w:rPr>
          <w:lang w:val="fr-FR"/>
        </w:rPr>
        <w:t>actions de sensibilisation, et les jeunes sont presque exclusivement présentés comme des figures d</w:t>
      </w:r>
      <w:r w:rsidR="00D77549">
        <w:rPr>
          <w:lang w:val="fr-FR"/>
        </w:rPr>
        <w:t>’</w:t>
      </w:r>
      <w:r w:rsidRPr="00653BF4">
        <w:rPr>
          <w:lang w:val="fr-FR"/>
        </w:rPr>
        <w:t>inspiration.</w:t>
      </w:r>
    </w:p>
    <w:p w14:paraId="40ED1490" w14:textId="77777777" w:rsidR="00B87039" w:rsidRPr="00653BF4" w:rsidRDefault="00B87039" w:rsidP="00B87039">
      <w:pPr>
        <w:rPr>
          <w:lang w:val="fr-FR"/>
        </w:rPr>
      </w:pPr>
    </w:p>
    <w:p w14:paraId="623AA3D7" w14:textId="77777777" w:rsidR="00B87039" w:rsidRPr="00653BF4" w:rsidRDefault="00B87039" w:rsidP="00B87039">
      <w:pPr>
        <w:rPr>
          <w:lang w:val="fr-FR"/>
        </w:rPr>
      </w:pPr>
    </w:p>
    <w:p w14:paraId="7EAC4C8A" w14:textId="459D7539" w:rsidR="00B87039" w:rsidRPr="00653BF4" w:rsidRDefault="00B87039" w:rsidP="00B87039">
      <w:pPr>
        <w:pStyle w:val="Heading5"/>
        <w:rPr>
          <w:lang w:val="fr-FR"/>
        </w:rPr>
      </w:pPr>
      <w:bookmarkStart w:id="266" w:name="_Toc235821217"/>
      <w:r w:rsidRPr="00653BF4">
        <w:rPr>
          <w:lang w:val="fr-FR"/>
        </w:rPr>
        <w:t>Exemples de liens avec d</w:t>
      </w:r>
      <w:r w:rsidR="00D77549">
        <w:rPr>
          <w:lang w:val="fr-FR"/>
        </w:rPr>
        <w:t>’</w:t>
      </w:r>
      <w:r w:rsidRPr="00653BF4">
        <w:rPr>
          <w:lang w:val="fr-FR"/>
        </w:rPr>
        <w:t>autres accords, processus et organisations</w:t>
      </w:r>
      <w:bookmarkEnd w:id="266"/>
      <w:r w:rsidRPr="00653BF4">
        <w:rPr>
          <w:lang w:val="fr-FR"/>
        </w:rPr>
        <w:t xml:space="preserve"> </w:t>
      </w:r>
    </w:p>
    <w:p w14:paraId="33013761" w14:textId="77777777" w:rsidR="00B87039" w:rsidRPr="00653BF4" w:rsidRDefault="00B87039" w:rsidP="00B87039">
      <w:pPr>
        <w:rPr>
          <w:lang w:val="fr-FR"/>
        </w:rPr>
      </w:pPr>
    </w:p>
    <w:p w14:paraId="50B657C8" w14:textId="06B866B2" w:rsidR="00B87039" w:rsidRPr="00653BF4" w:rsidRDefault="00B87039" w:rsidP="00B87039">
      <w:pPr>
        <w:rPr>
          <w:lang w:val="fr-FR"/>
        </w:rPr>
      </w:pPr>
      <w:r w:rsidRPr="00653BF4">
        <w:rPr>
          <w:lang w:val="fr-FR"/>
        </w:rPr>
        <w:t>Le Système multilatéral d</w:t>
      </w:r>
      <w:r w:rsidR="00D77549">
        <w:rPr>
          <w:lang w:val="fr-FR"/>
        </w:rPr>
        <w:t>’</w:t>
      </w:r>
      <w:r w:rsidRPr="00653BF4">
        <w:rPr>
          <w:lang w:val="fr-FR"/>
        </w:rPr>
        <w:t>accès et de partage des avantages, mis en place par le Traité international sur les ressources phytogénétiques pour l</w:t>
      </w:r>
      <w:r w:rsidR="00D77549">
        <w:rPr>
          <w:lang w:val="fr-FR"/>
        </w:rPr>
        <w:t>’</w:t>
      </w:r>
      <w:r w:rsidRPr="00653BF4">
        <w:rPr>
          <w:lang w:val="fr-FR"/>
        </w:rPr>
        <w:t>alimentation et l</w:t>
      </w:r>
      <w:r w:rsidR="00D77549">
        <w:rPr>
          <w:lang w:val="fr-FR"/>
        </w:rPr>
        <w:t>’</w:t>
      </w:r>
      <w:r w:rsidRPr="00653BF4">
        <w:rPr>
          <w:lang w:val="fr-FR"/>
        </w:rPr>
        <w:t xml:space="preserve">agriculture, contribue de manière significative à la </w:t>
      </w:r>
      <w:r w:rsidR="00E34DC9">
        <w:rPr>
          <w:lang w:val="fr-FR"/>
        </w:rPr>
        <w:t>cible 1</w:t>
      </w:r>
      <w:r w:rsidRPr="00653BF4">
        <w:rPr>
          <w:lang w:val="fr-FR"/>
        </w:rPr>
        <w:t>3 et à l</w:t>
      </w:r>
      <w:r w:rsidR="00D77549">
        <w:rPr>
          <w:lang w:val="fr-FR"/>
        </w:rPr>
        <w:t>’</w:t>
      </w:r>
      <w:r w:rsidR="002878D7">
        <w:rPr>
          <w:lang w:val="fr-FR"/>
        </w:rPr>
        <w:t>objectif C</w:t>
      </w:r>
      <w:r w:rsidRPr="00653BF4">
        <w:rPr>
          <w:lang w:val="fr-FR"/>
        </w:rPr>
        <w:t xml:space="preserve"> du Cadre. Le Système multilatéral met en place une réserve commune d</w:t>
      </w:r>
      <w:r w:rsidR="00D77549">
        <w:rPr>
          <w:lang w:val="fr-FR"/>
        </w:rPr>
        <w:t>’</w:t>
      </w:r>
      <w:r w:rsidRPr="00653BF4">
        <w:rPr>
          <w:lang w:val="fr-FR"/>
        </w:rPr>
        <w:t>échantillons de 64 cultures vivrières majeures, au bénéfice d</w:t>
      </w:r>
      <w:r w:rsidR="00D77549">
        <w:rPr>
          <w:lang w:val="fr-FR"/>
        </w:rPr>
        <w:t>’</w:t>
      </w:r>
      <w:r w:rsidRPr="00653BF4">
        <w:rPr>
          <w:lang w:val="fr-FR"/>
        </w:rPr>
        <w:t xml:space="preserve">un large éventail de parties prenantes, notamment les institutions scientifiques, les agriculteurs, les sélectionneurs et le secteur privé, qui peuvent ainsi accéder aux ressources conservées dans les collections ou utilisées dans les programmes de sélection, et les améliorer. Selon le rapport de 2025 sur la mise en œuvre et le fonctionnement du Système multilatéral, les Parties contractantes et non contractantes au Traité, ainsi que les centres internationaux et les banques de gènes régionales, avaient déclaré environ 2,6 millions de collections de ressources phytogénétiques pour </w:t>
      </w:r>
      <w:r w:rsidRPr="00653BF4">
        <w:rPr>
          <w:lang w:val="fr-FR"/>
        </w:rPr>
        <w:lastRenderedPageBreak/>
        <w:t>l’alimentation et l’agriculture disponibles dans le Système multilatéral, ce qui représente près de 46</w:t>
      </w:r>
      <w:r w:rsidR="002878D7">
        <w:rPr>
          <w:lang w:val="fr-FR"/>
        </w:rPr>
        <w:t> %</w:t>
      </w:r>
      <w:r w:rsidRPr="00653BF4">
        <w:rPr>
          <w:lang w:val="fr-FR"/>
        </w:rPr>
        <w:t xml:space="preserve"> de l’ensemble des collections déclarées à l’échelle mondiale. Ce chiffre représente plus du double de celui de 2013, année où environ 1,2 million de collections avaient été déclarées disponibles. Depuis 2007, le Système multilatéral a facilité le transfert de 7 millions d</w:t>
      </w:r>
      <w:r w:rsidR="00D77549">
        <w:rPr>
          <w:lang w:val="fr-FR"/>
        </w:rPr>
        <w:t>’</w:t>
      </w:r>
      <w:r w:rsidRPr="00653BF4">
        <w:rPr>
          <w:lang w:val="fr-FR"/>
        </w:rPr>
        <w:t>échantillons de ressources phytogénétiques pour l</w:t>
      </w:r>
      <w:r w:rsidR="00D77549">
        <w:rPr>
          <w:lang w:val="fr-FR"/>
        </w:rPr>
        <w:t>’</w:t>
      </w:r>
      <w:r w:rsidRPr="00653BF4">
        <w:rPr>
          <w:lang w:val="fr-FR"/>
        </w:rPr>
        <w:t>alimentation et l</w:t>
      </w:r>
      <w:r w:rsidR="00D77549">
        <w:rPr>
          <w:lang w:val="fr-FR"/>
        </w:rPr>
        <w:t>’</w:t>
      </w:r>
      <w:r w:rsidRPr="00653BF4">
        <w:rPr>
          <w:lang w:val="fr-FR"/>
        </w:rPr>
        <w:t>agriculture dans le cadre de l</w:t>
      </w:r>
      <w:r w:rsidR="00D77549">
        <w:rPr>
          <w:lang w:val="fr-FR"/>
        </w:rPr>
        <w:t>’</w:t>
      </w:r>
      <w:r w:rsidRPr="00653BF4">
        <w:rPr>
          <w:lang w:val="fr-FR"/>
        </w:rPr>
        <w:t>Accord type de transfert de matériel, ce qui témoigne d</w:t>
      </w:r>
      <w:r w:rsidR="00D77549">
        <w:rPr>
          <w:lang w:val="fr-FR"/>
        </w:rPr>
        <w:t>’</w:t>
      </w:r>
      <w:r w:rsidRPr="00653BF4">
        <w:rPr>
          <w:lang w:val="fr-FR"/>
        </w:rPr>
        <w:t>une utilisation soutenue et à grande échelle de ce système. Les transferts ont principalement porté sur les principales cultures vivrières et fourragères, notamment le blé, le riz, le maïs, l</w:t>
      </w:r>
      <w:r w:rsidR="00D77549">
        <w:rPr>
          <w:lang w:val="fr-FR"/>
        </w:rPr>
        <w:t>’</w:t>
      </w:r>
      <w:r w:rsidRPr="00653BF4">
        <w:rPr>
          <w:lang w:val="fr-FR"/>
        </w:rPr>
        <w:t>orge, les haricots et le sorgho, qui représentent ensemble une part importante des échanges déclarés à l</w:t>
      </w:r>
      <w:r w:rsidR="00D77549">
        <w:rPr>
          <w:lang w:val="fr-FR"/>
        </w:rPr>
        <w:t>’</w:t>
      </w:r>
      <w:r w:rsidRPr="00653BF4">
        <w:rPr>
          <w:lang w:val="fr-FR"/>
        </w:rPr>
        <w:t>organe directeur du Traité.</w:t>
      </w:r>
    </w:p>
    <w:p w14:paraId="7E5281CC" w14:textId="5FDC7594" w:rsidR="00B87039" w:rsidRPr="00653BF4" w:rsidRDefault="00B87039" w:rsidP="00B87039">
      <w:pPr>
        <w:rPr>
          <w:lang w:val="fr-FR"/>
        </w:rPr>
      </w:pPr>
      <w:r w:rsidRPr="00653BF4">
        <w:rPr>
          <w:lang w:val="fr-FR"/>
        </w:rPr>
        <w:t>Depuis sa création en 2009, le fonds de partage des avantages du Traité a investi plus de 35 millions de dollars des États-Unis au cours de cinq cycles de financement et a soutenu plus de 100 projets dans près de 80 pays en développement, au bénéfice de plus d</w:t>
      </w:r>
      <w:r w:rsidR="00D77549">
        <w:rPr>
          <w:lang w:val="fr-FR"/>
        </w:rPr>
        <w:t>’</w:t>
      </w:r>
      <w:r w:rsidRPr="00653BF4">
        <w:rPr>
          <w:lang w:val="fr-FR"/>
        </w:rPr>
        <w:t>un million de personnes. Elle a mis en place un réseau mondial regroupant plus de 500 institutions, permettant ainsi l</w:t>
      </w:r>
      <w:r w:rsidR="00D77549">
        <w:rPr>
          <w:lang w:val="fr-FR"/>
        </w:rPr>
        <w:t>’</w:t>
      </w:r>
      <w:r w:rsidRPr="00653BF4">
        <w:rPr>
          <w:lang w:val="fr-FR"/>
        </w:rPr>
        <w:t>échange de connaissances, de technologies et de bonnes pratiques en matière de ressources phytogénétiques pour l</w:t>
      </w:r>
      <w:r w:rsidR="00D77549">
        <w:rPr>
          <w:lang w:val="fr-FR"/>
        </w:rPr>
        <w:t>’</w:t>
      </w:r>
      <w:r w:rsidRPr="00653BF4">
        <w:rPr>
          <w:lang w:val="fr-FR"/>
        </w:rPr>
        <w:t>alimentation et l</w:t>
      </w:r>
      <w:r w:rsidR="00D77549">
        <w:rPr>
          <w:lang w:val="fr-FR"/>
        </w:rPr>
        <w:t>’</w:t>
      </w:r>
      <w:r w:rsidRPr="00653BF4">
        <w:rPr>
          <w:lang w:val="fr-FR"/>
        </w:rPr>
        <w:t>agriculture (FAO, 2025c</w:t>
      </w:r>
      <w:r w:rsidR="00E34DC9">
        <w:rPr>
          <w:lang w:val="fr-FR"/>
        </w:rPr>
        <w:t> ;</w:t>
      </w:r>
      <w:r w:rsidRPr="00653BF4">
        <w:rPr>
          <w:lang w:val="fr-FR"/>
        </w:rPr>
        <w:t xml:space="preserve"> et TIRPGAA, 2025a, 2026).</w:t>
      </w:r>
    </w:p>
    <w:p w14:paraId="3E4A6FC3" w14:textId="77777777" w:rsidR="00B87039" w:rsidRPr="00653BF4" w:rsidRDefault="00B87039" w:rsidP="00B87039">
      <w:pPr>
        <w:pStyle w:val="Heading3"/>
        <w:rPr>
          <w:lang w:val="fr-FR"/>
        </w:rPr>
      </w:pPr>
      <w:bookmarkStart w:id="267" w:name="_Toc235821218"/>
    </w:p>
    <w:p w14:paraId="48AE6108" w14:textId="2CC19104" w:rsidR="00B87039" w:rsidRPr="00653BF4" w:rsidRDefault="00B87039" w:rsidP="00B87039">
      <w:pPr>
        <w:pStyle w:val="Heading3"/>
        <w:rPr>
          <w:lang w:val="fr-FR"/>
        </w:rPr>
      </w:pPr>
      <w:bookmarkStart w:id="268" w:name="_Toc239069209"/>
      <w:bookmarkStart w:id="269" w:name="_Toc937475549"/>
      <w:bookmarkStart w:id="270" w:name="_Toc242801246"/>
      <w:r w:rsidRPr="00653BF4">
        <w:rPr>
          <w:lang w:val="fr-FR"/>
        </w:rPr>
        <w:t>Outils et solutions en matière de mise en œuvre et d</w:t>
      </w:r>
      <w:r w:rsidR="00D77549">
        <w:rPr>
          <w:lang w:val="fr-FR"/>
        </w:rPr>
        <w:t>’</w:t>
      </w:r>
      <w:r w:rsidRPr="00653BF4">
        <w:rPr>
          <w:lang w:val="fr-FR"/>
        </w:rPr>
        <w:t>intégration</w:t>
      </w:r>
      <w:bookmarkEnd w:id="267"/>
      <w:bookmarkEnd w:id="268"/>
      <w:bookmarkEnd w:id="269"/>
      <w:bookmarkEnd w:id="270"/>
    </w:p>
    <w:p w14:paraId="64CD5DE6" w14:textId="77777777" w:rsidR="00B87039" w:rsidRPr="00653BF4" w:rsidRDefault="00B87039" w:rsidP="00B87039">
      <w:pPr>
        <w:pStyle w:val="Heading4"/>
        <w:rPr>
          <w:lang w:val="fr-FR"/>
        </w:rPr>
      </w:pPr>
      <w:bookmarkStart w:id="271" w:name="_Toc235821219"/>
    </w:p>
    <w:p w14:paraId="35983345" w14:textId="4D080E1F" w:rsidR="00B87039" w:rsidRPr="00653BF4" w:rsidRDefault="00E34DC9" w:rsidP="00B87039">
      <w:pPr>
        <w:pStyle w:val="Heading4"/>
        <w:rPr>
          <w:i w:val="0"/>
          <w:iCs w:val="0"/>
          <w:lang w:val="fr-FR"/>
        </w:rPr>
      </w:pPr>
      <w:bookmarkStart w:id="272" w:name="_Toc239069210"/>
      <w:bookmarkStart w:id="273" w:name="_Toc2096027430"/>
      <w:bookmarkStart w:id="274" w:name="_Toc242801247"/>
      <w:r>
        <w:rPr>
          <w:b/>
          <w:bCs/>
          <w:i w:val="0"/>
          <w:iCs w:val="0"/>
          <w:lang w:val="fr-FR"/>
        </w:rPr>
        <w:t>Cible 1</w:t>
      </w:r>
      <w:r w:rsidR="00B87039" w:rsidRPr="00653BF4">
        <w:rPr>
          <w:b/>
          <w:bCs/>
          <w:i w:val="0"/>
          <w:iCs w:val="0"/>
          <w:lang w:val="fr-FR"/>
        </w:rPr>
        <w:t>4.</w:t>
      </w:r>
      <w:r w:rsidR="00B87039" w:rsidRPr="00653BF4">
        <w:rPr>
          <w:i w:val="0"/>
          <w:iCs w:val="0"/>
          <w:lang w:val="fr-FR"/>
        </w:rPr>
        <w:t xml:space="preserve"> Intégrer la biodiversité dans le processus décisionnel à tous les niveaux</w:t>
      </w:r>
      <w:bookmarkEnd w:id="271"/>
      <w:bookmarkEnd w:id="272"/>
      <w:bookmarkEnd w:id="273"/>
      <w:bookmarkEnd w:id="274"/>
    </w:p>
    <w:p w14:paraId="2AF3BB6E" w14:textId="77777777" w:rsidR="00B87039" w:rsidRPr="00653BF4" w:rsidRDefault="00B87039" w:rsidP="00B87039">
      <w:pPr>
        <w:rPr>
          <w:b/>
          <w:bCs/>
          <w:i/>
          <w:iCs/>
          <w:sz w:val="22"/>
          <w:szCs w:val="22"/>
          <w:lang w:val="fr-FR"/>
        </w:rPr>
      </w:pPr>
    </w:p>
    <w:p w14:paraId="636A2ADF" w14:textId="5FE5E946" w:rsidR="00B87039" w:rsidRPr="00653BF4" w:rsidRDefault="00B87039" w:rsidP="00B87039">
      <w:pPr>
        <w:rPr>
          <w:i/>
          <w:iCs/>
          <w:sz w:val="22"/>
          <w:szCs w:val="22"/>
          <w:lang w:val="fr-FR"/>
        </w:rPr>
      </w:pPr>
      <w:r w:rsidRPr="00653BF4">
        <w:rPr>
          <w:b/>
          <w:bCs/>
          <w:sz w:val="22"/>
          <w:szCs w:val="22"/>
          <w:lang w:val="fr-FR"/>
        </w:rPr>
        <w:t xml:space="preserve">Texte de la cible. </w:t>
      </w:r>
      <w:r w:rsidRPr="00653BF4">
        <w:rPr>
          <w:i/>
          <w:iCs/>
          <w:sz w:val="22"/>
          <w:szCs w:val="22"/>
          <w:lang w:val="fr-FR"/>
        </w:rPr>
        <w:t>Veiller à la pleine prise en compte de la biodiversité et de ses multiples valeurs dans l</w:t>
      </w:r>
      <w:r w:rsidR="00D77549">
        <w:rPr>
          <w:i/>
          <w:iCs/>
          <w:sz w:val="22"/>
          <w:szCs w:val="22"/>
          <w:lang w:val="fr-FR"/>
        </w:rPr>
        <w:t>’</w:t>
      </w:r>
      <w:r w:rsidRPr="00653BF4">
        <w:rPr>
          <w:i/>
          <w:iCs/>
          <w:sz w:val="22"/>
          <w:szCs w:val="22"/>
          <w:lang w:val="fr-FR"/>
        </w:rPr>
        <w:t>élaboration des politiques, des réglementations, des processus de planification et de développement, des stratégies d</w:t>
      </w:r>
      <w:r w:rsidR="00D77549">
        <w:rPr>
          <w:i/>
          <w:iCs/>
          <w:sz w:val="22"/>
          <w:szCs w:val="22"/>
          <w:lang w:val="fr-FR"/>
        </w:rPr>
        <w:t>’</w:t>
      </w:r>
      <w:r w:rsidRPr="00653BF4">
        <w:rPr>
          <w:i/>
          <w:iCs/>
          <w:sz w:val="22"/>
          <w:szCs w:val="22"/>
          <w:lang w:val="fr-FR"/>
        </w:rPr>
        <w:t>élimination de la pauvreté, des évaluations environnementales stratégiques, des évaluations d’impact environnemental et, le cas échéant, dans la comptabilité nationale, à tous les niveaux de gouvernement et dans tous les secteurs, en particulier dans ceux qui ont d</w:t>
      </w:r>
      <w:r w:rsidR="00D77549">
        <w:rPr>
          <w:i/>
          <w:iCs/>
          <w:sz w:val="22"/>
          <w:szCs w:val="22"/>
          <w:lang w:val="fr-FR"/>
        </w:rPr>
        <w:t>’</w:t>
      </w:r>
      <w:r w:rsidRPr="00653BF4">
        <w:rPr>
          <w:i/>
          <w:iCs/>
          <w:sz w:val="22"/>
          <w:szCs w:val="22"/>
          <w:lang w:val="fr-FR"/>
        </w:rPr>
        <w:t>importantes incidences sur la biodiversité, et aligner progressivement toutes les activités publiques et privées concernées, ainsi que les flux fiscaux et financiers, sur les objectifs et les cibles du présent cadre.</w:t>
      </w:r>
    </w:p>
    <w:p w14:paraId="7AFBAAE3" w14:textId="77777777" w:rsidR="00B87039" w:rsidRPr="00653BF4" w:rsidRDefault="00B87039" w:rsidP="00B87039">
      <w:pPr>
        <w:rPr>
          <w:lang w:val="fr-FR"/>
        </w:rPr>
      </w:pPr>
    </w:p>
    <w:p w14:paraId="23D7CCAA" w14:textId="77777777" w:rsidR="00B87039" w:rsidRPr="00653BF4" w:rsidRDefault="00B87039" w:rsidP="00B87039">
      <w:pPr>
        <w:pStyle w:val="Heading5"/>
        <w:rPr>
          <w:lang w:val="fr-FR"/>
        </w:rPr>
      </w:pPr>
      <w:r w:rsidRPr="00653BF4">
        <w:rPr>
          <w:lang w:val="fr-FR"/>
        </w:rPr>
        <w:t>Aperçu des progrès accomplis</w:t>
      </w:r>
    </w:p>
    <w:tbl>
      <w:tblPr>
        <w:tblStyle w:val="TableGrid"/>
        <w:tblW w:w="0" w:type="auto"/>
        <w:tblLook w:val="04A0" w:firstRow="1" w:lastRow="0" w:firstColumn="1" w:lastColumn="0" w:noHBand="0" w:noVBand="1"/>
      </w:tblPr>
      <w:tblGrid>
        <w:gridCol w:w="9016"/>
      </w:tblGrid>
      <w:tr w:rsidR="00B87039" w:rsidRPr="00543148" w14:paraId="7CDBEB06" w14:textId="77777777" w:rsidTr="00557FB3">
        <w:tc>
          <w:tcPr>
            <w:tcW w:w="9016" w:type="dxa"/>
            <w:shd w:val="clear" w:color="auto" w:fill="D1D1D1" w:themeFill="background2" w:themeFillShade="E6"/>
          </w:tcPr>
          <w:p w14:paraId="28D35586" w14:textId="77777777" w:rsidR="00B87039" w:rsidRPr="00653BF4" w:rsidRDefault="00B87039" w:rsidP="00557FB3">
            <w:pPr>
              <w:rPr>
                <w:rFonts w:eastAsia="Times New Roman" w:cs="Calibri"/>
                <w:color w:val="000000"/>
                <w:lang w:val="fr-FR"/>
              </w:rPr>
            </w:pPr>
          </w:p>
          <w:p w14:paraId="4E84BF42" w14:textId="7F5B4A45" w:rsidR="00B87039" w:rsidRPr="00653BF4" w:rsidRDefault="00B87039" w:rsidP="00557FB3">
            <w:pPr>
              <w:rPr>
                <w:rFonts w:eastAsia="Times New Roman" w:cs="Calibri"/>
                <w:color w:val="000000"/>
                <w:lang w:val="fr-FR"/>
              </w:rPr>
            </w:pPr>
            <w:r w:rsidRPr="00653BF4">
              <w:rPr>
                <w:rFonts w:eastAsia="Times New Roman" w:cs="Calibri"/>
                <w:color w:val="000000"/>
                <w:lang w:val="fr-FR"/>
              </w:rPr>
              <w:t>L</w:t>
            </w:r>
            <w:r w:rsidR="00D77549">
              <w:rPr>
                <w:rFonts w:eastAsia="Times New Roman" w:cs="Calibri"/>
                <w:color w:val="000000"/>
                <w:lang w:val="fr-FR"/>
              </w:rPr>
              <w:t>’</w:t>
            </w:r>
            <w:r w:rsidRPr="00653BF4">
              <w:rPr>
                <w:rFonts w:eastAsia="Times New Roman" w:cs="Calibri"/>
                <w:color w:val="000000"/>
                <w:lang w:val="fr-FR"/>
              </w:rPr>
              <w:t>intégration des valeurs de la biodiversité dans les politiques, la planification et la prise de décision progresse, mais sa mise en œuvre n</w:t>
            </w:r>
            <w:r w:rsidR="00D77549">
              <w:rPr>
                <w:rFonts w:eastAsia="Times New Roman" w:cs="Calibri"/>
                <w:color w:val="000000"/>
                <w:lang w:val="fr-FR"/>
              </w:rPr>
              <w:t>’</w:t>
            </w:r>
            <w:r w:rsidRPr="00653BF4">
              <w:rPr>
                <w:rFonts w:eastAsia="Times New Roman" w:cs="Calibri"/>
                <w:color w:val="000000"/>
                <w:lang w:val="fr-FR"/>
              </w:rPr>
              <w:t xml:space="preserve">en est généralement encore </w:t>
            </w:r>
            <w:r w:rsidRPr="00653BF4">
              <w:rPr>
                <w:rFonts w:eastAsia="Times New Roman" w:cs="Calibri"/>
                <w:color w:val="000000"/>
                <w:lang w:val="fr-FR"/>
              </w:rPr>
              <w:lastRenderedPageBreak/>
              <w:t>qu</w:t>
            </w:r>
            <w:r w:rsidR="00D77549">
              <w:rPr>
                <w:rFonts w:eastAsia="Times New Roman" w:cs="Calibri"/>
                <w:color w:val="000000"/>
                <w:lang w:val="fr-FR"/>
              </w:rPr>
              <w:t>’</w:t>
            </w:r>
            <w:r w:rsidRPr="00653BF4">
              <w:rPr>
                <w:rFonts w:eastAsia="Times New Roman" w:cs="Calibri"/>
                <w:color w:val="000000"/>
                <w:lang w:val="fr-FR"/>
              </w:rPr>
              <w:t xml:space="preserve">à ses débuts et reste difficile à évaluer. La plupart des Parties ont présenté des cibles nationales visant à intégrer la biodiversité et ses multiples valeurs dans les politiques, les réglementations, les processus de planification et de développement. Toutefois, d’importantes lacunes subsistent en ce qui concerne tous les autres éléments des cibles, tels que l’intégration dans les stratégies d’éradication de la pauvreté et l’alignement des flux budgétaires et financiers. La présentation de rapports sur les progrès accomplis dans la réalisation de la </w:t>
            </w:r>
            <w:r w:rsidR="00E34DC9">
              <w:rPr>
                <w:rFonts w:eastAsia="Times New Roman" w:cs="Calibri"/>
                <w:color w:val="000000"/>
                <w:lang w:val="fr-FR"/>
              </w:rPr>
              <w:t>cible 1</w:t>
            </w:r>
            <w:r w:rsidRPr="00653BF4">
              <w:rPr>
                <w:rFonts w:eastAsia="Times New Roman" w:cs="Calibri"/>
                <w:color w:val="000000"/>
                <w:lang w:val="fr-FR"/>
              </w:rPr>
              <w:t>4 est limitée. Très peu de Parties ont communiqué des indicateurs quantitatifs, et de nombreux aspects de la mise en œuvre, mesurés par l’indicateur binaire, restent insuffisamment pris en compte. Les auto-évaluations des Parties laissent toutefois entrevoir une certaine confiance quant à leur capacité à respecter les cibles nationales liées à l</w:t>
            </w:r>
            <w:r w:rsidR="00D77549">
              <w:rPr>
                <w:rFonts w:eastAsia="Times New Roman" w:cs="Calibri"/>
                <w:color w:val="000000"/>
                <w:lang w:val="fr-FR"/>
              </w:rPr>
              <w:t>’</w:t>
            </w:r>
            <w:r w:rsidRPr="00653BF4">
              <w:rPr>
                <w:rFonts w:eastAsia="Times New Roman" w:cs="Calibri"/>
                <w:color w:val="000000"/>
                <w:lang w:val="fr-FR"/>
              </w:rPr>
              <w:t>intégration de cette question. Les Parties signalent un décalage persistant entre les politiques officielles en matière de biodiversité et leur mise en œuvre effective.</w:t>
            </w:r>
          </w:p>
          <w:p w14:paraId="55AA2F0D" w14:textId="77777777" w:rsidR="00B87039" w:rsidRPr="00653BF4" w:rsidRDefault="00B87039" w:rsidP="00557FB3">
            <w:pPr>
              <w:rPr>
                <w:lang w:val="fr-FR"/>
              </w:rPr>
            </w:pPr>
          </w:p>
        </w:tc>
      </w:tr>
    </w:tbl>
    <w:p w14:paraId="1BD43533" w14:textId="77777777" w:rsidR="00B87039" w:rsidRPr="00653BF4" w:rsidRDefault="00B87039" w:rsidP="00B87039">
      <w:pPr>
        <w:rPr>
          <w:lang w:val="fr-FR"/>
        </w:rPr>
      </w:pPr>
    </w:p>
    <w:p w14:paraId="3709AE49" w14:textId="01B155ED" w:rsidR="00B87039" w:rsidRPr="00653BF4" w:rsidRDefault="00B87039" w:rsidP="00B87039">
      <w:pPr>
        <w:pStyle w:val="Heading5"/>
        <w:rPr>
          <w:lang w:val="fr-FR"/>
        </w:rPr>
      </w:pPr>
      <w:r w:rsidRPr="00653BF4">
        <w:rPr>
          <w:lang w:val="fr-FR"/>
        </w:rPr>
        <w:t xml:space="preserve">Prise en compte par les Parties de la portée de la </w:t>
      </w:r>
      <w:r w:rsidR="00E34DC9">
        <w:rPr>
          <w:lang w:val="fr-FR"/>
        </w:rPr>
        <w:t>cible 1</w:t>
      </w:r>
      <w:r w:rsidRPr="00653BF4">
        <w:rPr>
          <w:lang w:val="fr-FR"/>
        </w:rPr>
        <w:t>4 du Cadre dans leurs cibles nationales</w:t>
      </w:r>
    </w:p>
    <w:p w14:paraId="096FE84F" w14:textId="77777777" w:rsidR="00B87039" w:rsidRPr="00653BF4" w:rsidRDefault="00B87039" w:rsidP="00B87039">
      <w:pPr>
        <w:rPr>
          <w:i/>
          <w:iCs/>
          <w:lang w:val="fr-FR"/>
        </w:rPr>
      </w:pPr>
    </w:p>
    <w:p w14:paraId="252FE49C" w14:textId="0ADCB289" w:rsidR="00B87039" w:rsidRPr="00653BF4" w:rsidRDefault="00B87039" w:rsidP="00B87039">
      <w:pPr>
        <w:pStyle w:val="Caption"/>
        <w:keepNext/>
        <w:rPr>
          <w:i w:val="0"/>
          <w:iCs w:val="0"/>
          <w:sz w:val="20"/>
          <w:szCs w:val="20"/>
          <w:lang w:val="fr-FR"/>
        </w:rPr>
      </w:pPr>
      <w:bookmarkStart w:id="275" w:name="_Ref230776429"/>
      <w:r w:rsidRPr="00653BF4">
        <w:rPr>
          <w:i w:val="0"/>
          <w:iCs w:val="0"/>
          <w:sz w:val="20"/>
          <w:szCs w:val="20"/>
          <w:lang w:val="fr-FR"/>
        </w:rPr>
        <w:t>Tableau 30</w:t>
      </w:r>
      <w:bookmarkEnd w:id="275"/>
    </w:p>
    <w:p w14:paraId="3961FA35" w14:textId="4F408BE7" w:rsidR="00B87039" w:rsidRPr="00653BF4" w:rsidRDefault="00B87039" w:rsidP="00B87039">
      <w:pPr>
        <w:pStyle w:val="Caption"/>
        <w:keepNext/>
        <w:rPr>
          <w:i w:val="0"/>
          <w:sz w:val="20"/>
          <w:szCs w:val="20"/>
          <w:lang w:val="fr-FR"/>
        </w:rPr>
      </w:pPr>
      <w:r w:rsidRPr="00653BF4">
        <w:rPr>
          <w:b/>
          <w:i w:val="0"/>
          <w:sz w:val="20"/>
          <w:szCs w:val="20"/>
          <w:lang w:val="fr-FR"/>
        </w:rPr>
        <w:t xml:space="preserve">Éléments de la </w:t>
      </w:r>
      <w:r w:rsidR="00E34DC9">
        <w:rPr>
          <w:b/>
          <w:i w:val="0"/>
          <w:sz w:val="20"/>
          <w:szCs w:val="20"/>
          <w:lang w:val="fr-FR"/>
        </w:rPr>
        <w:t>cible 1</w:t>
      </w:r>
      <w:r w:rsidRPr="00653BF4">
        <w:rPr>
          <w:b/>
          <w:i w:val="0"/>
          <w:sz w:val="20"/>
          <w:szCs w:val="20"/>
          <w:lang w:val="fr-FR"/>
        </w:rPr>
        <w:t xml:space="preserve">4 du Cadre et </w:t>
      </w:r>
      <w:r w:rsidRPr="00653BF4">
        <w:rPr>
          <w:b/>
          <w:bCs/>
          <w:i w:val="0"/>
          <w:iCs w:val="0"/>
          <w:sz w:val="20"/>
          <w:szCs w:val="20"/>
          <w:lang w:val="fr-FR"/>
        </w:rPr>
        <w:t>leur prise en compte dans les cibles nationales</w:t>
      </w:r>
      <w:r w:rsidRPr="00653BF4">
        <w:rPr>
          <w:i w:val="0"/>
          <w:iCs w:val="0"/>
          <w:sz w:val="20"/>
          <w:szCs w:val="20"/>
          <w:vertAlign w:val="superscript"/>
          <w:lang w:val="fr-FR"/>
        </w:rPr>
        <w:t>a</w:t>
      </w:r>
    </w:p>
    <w:tbl>
      <w:tblPr>
        <w:tblStyle w:val="TableGrid"/>
        <w:tblW w:w="0" w:type="auto"/>
        <w:tblLook w:val="04A0" w:firstRow="1" w:lastRow="0" w:firstColumn="1" w:lastColumn="0" w:noHBand="0" w:noVBand="1"/>
      </w:tblPr>
      <w:tblGrid>
        <w:gridCol w:w="8217"/>
        <w:gridCol w:w="799"/>
      </w:tblGrid>
      <w:tr w:rsidR="00B87039" w:rsidRPr="00653BF4" w14:paraId="2C9DF55C" w14:textId="77777777" w:rsidTr="00557FB3">
        <w:tc>
          <w:tcPr>
            <w:tcW w:w="8217" w:type="dxa"/>
          </w:tcPr>
          <w:p w14:paraId="7EC88C4E" w14:textId="1CFA8552"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Veiller à la pleine prise en compte de la biodiversité et de ses multiples valeurs dans l</w:t>
            </w:r>
            <w:r w:rsidR="00D77549">
              <w:rPr>
                <w:rFonts w:cs="Times New Roman"/>
                <w:kern w:val="0"/>
                <w:sz w:val="22"/>
                <w:szCs w:val="22"/>
                <w:lang w:val="fr-FR"/>
              </w:rPr>
              <w:t>’</w:t>
            </w:r>
            <w:r w:rsidRPr="00653BF4">
              <w:rPr>
                <w:rFonts w:cs="Times New Roman"/>
                <w:kern w:val="0"/>
                <w:sz w:val="22"/>
                <w:szCs w:val="22"/>
                <w:lang w:val="fr-FR"/>
              </w:rPr>
              <w:t>élaboration des politiques, des réglementations, des processus de planification et de développement</w:t>
            </w:r>
          </w:p>
        </w:tc>
        <w:tc>
          <w:tcPr>
            <w:tcW w:w="799" w:type="dxa"/>
            <w:shd w:val="clear" w:color="auto" w:fill="92D050"/>
          </w:tcPr>
          <w:p w14:paraId="6EBB905B" w14:textId="77777777" w:rsidR="00B87039" w:rsidRPr="00653BF4" w:rsidRDefault="00B87039" w:rsidP="00557FB3">
            <w:pPr>
              <w:rPr>
                <w:lang w:val="fr-FR"/>
              </w:rPr>
            </w:pPr>
            <w:r w:rsidRPr="00653BF4">
              <w:rPr>
                <w:lang w:val="fr-FR"/>
              </w:rPr>
              <w:t>72</w:t>
            </w:r>
          </w:p>
        </w:tc>
      </w:tr>
      <w:tr w:rsidR="00B87039" w:rsidRPr="00653BF4" w14:paraId="28EBBBEF" w14:textId="77777777" w:rsidTr="00557FB3">
        <w:tc>
          <w:tcPr>
            <w:tcW w:w="8217" w:type="dxa"/>
          </w:tcPr>
          <w:p w14:paraId="42DA9F77" w14:textId="77777777"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Veiller à la pleine prise en compte de la biodiversité et de ses multiples valeurs dans</w:t>
            </w:r>
          </w:p>
          <w:p w14:paraId="5824784A" w14:textId="1B1A7BAB" w:rsidR="00B87039" w:rsidRPr="00653BF4" w:rsidRDefault="00B87039" w:rsidP="00557FB3">
            <w:pPr>
              <w:rPr>
                <w:i/>
                <w:iCs/>
                <w:lang w:val="fr-FR"/>
              </w:rPr>
            </w:pPr>
            <w:r w:rsidRPr="00653BF4">
              <w:rPr>
                <w:rFonts w:cs="Times New Roman"/>
                <w:kern w:val="0"/>
                <w:sz w:val="22"/>
                <w:szCs w:val="22"/>
                <w:lang w:val="fr-FR"/>
              </w:rPr>
              <w:t>des stratégies d</w:t>
            </w:r>
            <w:r w:rsidR="00D77549">
              <w:rPr>
                <w:rFonts w:cs="Times New Roman"/>
                <w:kern w:val="0"/>
                <w:sz w:val="22"/>
                <w:szCs w:val="22"/>
                <w:lang w:val="fr-FR"/>
              </w:rPr>
              <w:t>’</w:t>
            </w:r>
            <w:r w:rsidRPr="00653BF4">
              <w:rPr>
                <w:rFonts w:cs="Times New Roman"/>
                <w:kern w:val="0"/>
                <w:sz w:val="22"/>
                <w:szCs w:val="22"/>
                <w:lang w:val="fr-FR"/>
              </w:rPr>
              <w:t>élimination de la pauvreté</w:t>
            </w:r>
          </w:p>
        </w:tc>
        <w:tc>
          <w:tcPr>
            <w:tcW w:w="799" w:type="dxa"/>
            <w:shd w:val="clear" w:color="auto" w:fill="FFC000"/>
          </w:tcPr>
          <w:p w14:paraId="0A27837B" w14:textId="77777777" w:rsidR="00B87039" w:rsidRPr="00653BF4" w:rsidRDefault="00B87039" w:rsidP="00557FB3">
            <w:pPr>
              <w:rPr>
                <w:lang w:val="fr-FR"/>
              </w:rPr>
            </w:pPr>
            <w:r w:rsidRPr="00653BF4">
              <w:rPr>
                <w:lang w:val="fr-FR"/>
              </w:rPr>
              <w:t>20</w:t>
            </w:r>
          </w:p>
        </w:tc>
      </w:tr>
      <w:tr w:rsidR="00B87039" w:rsidRPr="00653BF4" w14:paraId="672AD890" w14:textId="77777777" w:rsidTr="00557FB3">
        <w:tc>
          <w:tcPr>
            <w:tcW w:w="8217" w:type="dxa"/>
          </w:tcPr>
          <w:p w14:paraId="769586C7" w14:textId="77777777"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Veiller à la pleine prise en compte de la biodiversité et de ses multiples valeurs dans</w:t>
            </w:r>
          </w:p>
          <w:p w14:paraId="61608105" w14:textId="77777777" w:rsidR="00B87039" w:rsidRPr="00653BF4" w:rsidRDefault="00B87039" w:rsidP="00557FB3">
            <w:pPr>
              <w:rPr>
                <w:i/>
                <w:iCs/>
                <w:lang w:val="fr-FR"/>
              </w:rPr>
            </w:pPr>
            <w:r w:rsidRPr="00653BF4">
              <w:rPr>
                <w:rFonts w:cs="Times New Roman"/>
                <w:kern w:val="0"/>
                <w:sz w:val="22"/>
                <w:szCs w:val="22"/>
                <w:lang w:val="fr-FR"/>
              </w:rPr>
              <w:t>des évaluations environnementales stratégiques et des évaluations d’impact environnemental</w:t>
            </w:r>
          </w:p>
        </w:tc>
        <w:tc>
          <w:tcPr>
            <w:tcW w:w="799" w:type="dxa"/>
            <w:shd w:val="clear" w:color="auto" w:fill="FFC000"/>
          </w:tcPr>
          <w:p w14:paraId="4E42790D" w14:textId="77777777" w:rsidR="00B87039" w:rsidRPr="00653BF4" w:rsidRDefault="00B87039" w:rsidP="00557FB3">
            <w:pPr>
              <w:rPr>
                <w:lang w:val="fr-FR"/>
              </w:rPr>
            </w:pPr>
            <w:r w:rsidRPr="00653BF4">
              <w:rPr>
                <w:lang w:val="fr-FR"/>
              </w:rPr>
              <w:t>32</w:t>
            </w:r>
          </w:p>
        </w:tc>
      </w:tr>
      <w:tr w:rsidR="00B87039" w:rsidRPr="00653BF4" w14:paraId="7AFF8B8A" w14:textId="77777777" w:rsidTr="00557FB3">
        <w:tc>
          <w:tcPr>
            <w:tcW w:w="8217" w:type="dxa"/>
          </w:tcPr>
          <w:p w14:paraId="71C2FB47" w14:textId="77777777"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Veiller à la pleine prise en compte de la biodiversité et de ses multiples valeurs dans</w:t>
            </w:r>
          </w:p>
          <w:p w14:paraId="602ED35E" w14:textId="77777777" w:rsidR="00B87039" w:rsidRPr="00653BF4" w:rsidRDefault="00B87039" w:rsidP="00557FB3">
            <w:pPr>
              <w:rPr>
                <w:i/>
                <w:iCs/>
                <w:lang w:val="fr-FR"/>
              </w:rPr>
            </w:pPr>
            <w:r w:rsidRPr="00653BF4">
              <w:rPr>
                <w:rFonts w:cs="Times New Roman"/>
                <w:kern w:val="0"/>
                <w:sz w:val="22"/>
                <w:szCs w:val="22"/>
                <w:lang w:val="fr-FR"/>
              </w:rPr>
              <w:t>dans la comptabilité nationale, le cas échéant</w:t>
            </w:r>
          </w:p>
        </w:tc>
        <w:tc>
          <w:tcPr>
            <w:tcW w:w="799" w:type="dxa"/>
            <w:shd w:val="clear" w:color="auto" w:fill="FFC000"/>
          </w:tcPr>
          <w:p w14:paraId="7F6FB1A9" w14:textId="77777777" w:rsidR="00B87039" w:rsidRPr="00653BF4" w:rsidRDefault="00B87039" w:rsidP="00557FB3">
            <w:pPr>
              <w:rPr>
                <w:lang w:val="fr-FR"/>
              </w:rPr>
            </w:pPr>
            <w:r w:rsidRPr="00653BF4">
              <w:rPr>
                <w:lang w:val="fr-FR"/>
              </w:rPr>
              <w:t>39</w:t>
            </w:r>
          </w:p>
        </w:tc>
      </w:tr>
      <w:tr w:rsidR="00B87039" w:rsidRPr="00653BF4" w14:paraId="4A969E37" w14:textId="77777777" w:rsidTr="00557FB3">
        <w:tc>
          <w:tcPr>
            <w:tcW w:w="8217" w:type="dxa"/>
          </w:tcPr>
          <w:p w14:paraId="389923BF" w14:textId="77777777"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Veiller à la pleine prise en compte de la biodiversité et de ses multiples valeurs à tous les niveaux de gouvernement</w:t>
            </w:r>
          </w:p>
          <w:p w14:paraId="65FD1E8A" w14:textId="77777777" w:rsidR="00B87039" w:rsidRPr="00653BF4" w:rsidRDefault="00B87039" w:rsidP="00557FB3">
            <w:pPr>
              <w:rPr>
                <w:i/>
                <w:iCs/>
                <w:lang w:val="fr-FR"/>
              </w:rPr>
            </w:pPr>
          </w:p>
        </w:tc>
        <w:tc>
          <w:tcPr>
            <w:tcW w:w="799" w:type="dxa"/>
            <w:shd w:val="clear" w:color="auto" w:fill="FFC000"/>
          </w:tcPr>
          <w:p w14:paraId="3A899144" w14:textId="77777777" w:rsidR="00B87039" w:rsidRPr="00653BF4" w:rsidRDefault="00B87039" w:rsidP="00557FB3">
            <w:pPr>
              <w:rPr>
                <w:lang w:val="fr-FR"/>
              </w:rPr>
            </w:pPr>
            <w:r w:rsidRPr="00653BF4">
              <w:rPr>
                <w:lang w:val="fr-FR"/>
              </w:rPr>
              <w:t>39</w:t>
            </w:r>
          </w:p>
        </w:tc>
      </w:tr>
      <w:tr w:rsidR="00B87039" w:rsidRPr="00653BF4" w14:paraId="27BCB976" w14:textId="77777777" w:rsidTr="00557FB3">
        <w:tc>
          <w:tcPr>
            <w:tcW w:w="8217" w:type="dxa"/>
          </w:tcPr>
          <w:p w14:paraId="0F408CE2" w14:textId="42CA6FF1"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Veiller à la pleine prise en compte de la biodiversité et de ses multiples valeurs dans tous les secteurs, en particulier dans ceux qui ont d</w:t>
            </w:r>
            <w:r w:rsidR="00D77549">
              <w:rPr>
                <w:rFonts w:cs="Times New Roman"/>
                <w:kern w:val="0"/>
                <w:sz w:val="22"/>
                <w:szCs w:val="22"/>
                <w:lang w:val="fr-FR"/>
              </w:rPr>
              <w:t>’</w:t>
            </w:r>
            <w:r w:rsidRPr="00653BF4">
              <w:rPr>
                <w:rFonts w:cs="Times New Roman"/>
                <w:kern w:val="0"/>
                <w:sz w:val="22"/>
                <w:szCs w:val="22"/>
                <w:lang w:val="fr-FR"/>
              </w:rPr>
              <w:t>importantes incidences sur la biodiversité</w:t>
            </w:r>
          </w:p>
          <w:p w14:paraId="3A6978F8" w14:textId="77777777" w:rsidR="00B87039" w:rsidRPr="00653BF4" w:rsidRDefault="00B87039" w:rsidP="00557FB3">
            <w:pPr>
              <w:rPr>
                <w:i/>
                <w:iCs/>
                <w:lang w:val="fr-FR"/>
              </w:rPr>
            </w:pPr>
          </w:p>
        </w:tc>
        <w:tc>
          <w:tcPr>
            <w:tcW w:w="799" w:type="dxa"/>
            <w:shd w:val="clear" w:color="auto" w:fill="FFFF00"/>
          </w:tcPr>
          <w:p w14:paraId="7B5284C7" w14:textId="77777777" w:rsidR="00B87039" w:rsidRPr="00653BF4" w:rsidRDefault="00B87039" w:rsidP="00557FB3">
            <w:pPr>
              <w:rPr>
                <w:lang w:val="fr-FR"/>
              </w:rPr>
            </w:pPr>
            <w:r w:rsidRPr="00653BF4">
              <w:rPr>
                <w:lang w:val="fr-FR"/>
              </w:rPr>
              <w:t>57</w:t>
            </w:r>
          </w:p>
        </w:tc>
      </w:tr>
      <w:tr w:rsidR="00B87039" w:rsidRPr="00653BF4" w14:paraId="7EA96360" w14:textId="77777777" w:rsidTr="00557FB3">
        <w:tc>
          <w:tcPr>
            <w:tcW w:w="8217" w:type="dxa"/>
          </w:tcPr>
          <w:p w14:paraId="0E239E64" w14:textId="77777777"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Aligner progressivement toutes les activités publiques et privées concernées, ainsi que les flux fiscaux et financiers, sur les objectifs et les cibles du présent cadre</w:t>
            </w:r>
          </w:p>
          <w:p w14:paraId="0780107D" w14:textId="77777777" w:rsidR="00B87039" w:rsidRPr="00653BF4" w:rsidRDefault="00B87039" w:rsidP="00557FB3">
            <w:pPr>
              <w:rPr>
                <w:i/>
                <w:iCs/>
                <w:lang w:val="fr-FR"/>
              </w:rPr>
            </w:pPr>
          </w:p>
        </w:tc>
        <w:tc>
          <w:tcPr>
            <w:tcW w:w="799" w:type="dxa"/>
            <w:shd w:val="clear" w:color="auto" w:fill="FFFF00"/>
          </w:tcPr>
          <w:p w14:paraId="57053AB0" w14:textId="77777777" w:rsidR="00B87039" w:rsidRPr="00653BF4" w:rsidRDefault="00B87039" w:rsidP="00557FB3">
            <w:pPr>
              <w:rPr>
                <w:lang w:val="fr-FR"/>
              </w:rPr>
            </w:pPr>
            <w:r w:rsidRPr="00653BF4">
              <w:rPr>
                <w:lang w:val="fr-FR"/>
              </w:rPr>
              <w:t>41</w:t>
            </w:r>
          </w:p>
        </w:tc>
      </w:tr>
      <w:tr w:rsidR="00B87039" w:rsidRPr="00543148" w14:paraId="4097A84A" w14:textId="77777777" w:rsidTr="00557FB3">
        <w:tc>
          <w:tcPr>
            <w:tcW w:w="9016" w:type="dxa"/>
            <w:gridSpan w:val="2"/>
          </w:tcPr>
          <w:p w14:paraId="43565A3A" w14:textId="77777777" w:rsidR="00B87039" w:rsidRPr="00653BF4" w:rsidRDefault="00B87039" w:rsidP="00557FB3">
            <w:pPr>
              <w:pStyle w:val="p1"/>
              <w:keepNext/>
              <w:rPr>
                <w:rFonts w:asciiTheme="minorHAnsi" w:hAnsiTheme="minorHAnsi"/>
                <w:b/>
                <w:bCs/>
                <w:sz w:val="22"/>
                <w:szCs w:val="22"/>
                <w:lang w:val="fr-FR"/>
              </w:rPr>
            </w:pPr>
          </w:p>
          <w:p w14:paraId="62D042C0" w14:textId="55098900"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43</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6A9DBE3A" w14:textId="77777777" w:rsidR="00B87039" w:rsidRPr="00653BF4" w:rsidRDefault="00B87039" w:rsidP="00557FB3">
            <w:pPr>
              <w:rPr>
                <w:lang w:val="fr-FR"/>
              </w:rPr>
            </w:pPr>
          </w:p>
        </w:tc>
      </w:tr>
    </w:tbl>
    <w:p w14:paraId="151FE3F8" w14:textId="77777777" w:rsidR="00B87039" w:rsidRPr="00653BF4" w:rsidRDefault="00B87039" w:rsidP="00B87039">
      <w:pPr>
        <w:rPr>
          <w:i/>
          <w:iCs/>
          <w:lang w:val="fr-FR"/>
        </w:rPr>
      </w:pPr>
    </w:p>
    <w:p w14:paraId="037966B5" w14:textId="3F4FE169" w:rsidR="00B87039" w:rsidRPr="00653BF4" w:rsidRDefault="00B87039" w:rsidP="00B87039">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w:t>
      </w:r>
      <w:r w:rsidR="00D77549">
        <w:rPr>
          <w:iCs/>
          <w:sz w:val="16"/>
          <w:szCs w:val="16"/>
          <w:lang w:val="fr-FR"/>
        </w:rPr>
        <w:t>’</w:t>
      </w:r>
      <w:r w:rsidRPr="00653BF4">
        <w:rPr>
          <w:iCs/>
          <w:sz w:val="16"/>
          <w:szCs w:val="16"/>
          <w:lang w:val="fr-FR"/>
        </w:rPr>
        <w:t>élément, au moins partiellement.</w:t>
      </w:r>
    </w:p>
    <w:p w14:paraId="6365D76A" w14:textId="7B29D66F" w:rsidR="00B87039" w:rsidRPr="00653BF4" w:rsidRDefault="00B87039" w:rsidP="00B8703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cs="Segoe UI"/>
          <w:sz w:val="16"/>
          <w:szCs w:val="16"/>
          <w:lang w:val="fr-FR"/>
        </w:rPr>
        <w:t xml:space="preserve"> Les éléments de chaque cible ont été définis par le Groupe spécial d</w:t>
      </w:r>
      <w:r w:rsidR="00D77549">
        <w:rPr>
          <w:rStyle w:val="normaltextrun"/>
          <w:rFonts w:cs="Segoe UI"/>
          <w:sz w:val="16"/>
          <w:szCs w:val="16"/>
          <w:lang w:val="fr-FR"/>
        </w:rPr>
        <w:t>’</w:t>
      </w:r>
      <w:r w:rsidRPr="00653BF4">
        <w:rPr>
          <w:rStyle w:val="normaltextrun"/>
          <w:rFonts w:cs="Segoe UI"/>
          <w:sz w:val="16"/>
          <w:szCs w:val="16"/>
          <w:lang w:val="fr-FR"/>
        </w:rPr>
        <w:t xml:space="preserve">experts techniques sur les indicateurs du Cadre mondial de la biodiversité de Kunming-Montréal </w:t>
      </w:r>
      <w:r w:rsidRPr="00653BF4">
        <w:rPr>
          <w:rFonts w:ascii="Aptos" w:hAnsi="Aptos" w:cs="Segoe UI"/>
          <w:sz w:val="16"/>
          <w:szCs w:val="16"/>
          <w:lang w:val="fr-FR"/>
        </w:rPr>
        <w:t xml:space="preserve">(voir annexe I au document </w:t>
      </w:r>
      <w:hyperlink r:id="rId155" w:history="1">
        <w:r w:rsidRPr="00653BF4">
          <w:rPr>
            <w:rStyle w:val="Hyperlink"/>
            <w:rFonts w:ascii="Aptos" w:hAnsi="Aptos" w:cs="Segoe UI"/>
            <w:sz w:val="16"/>
            <w:szCs w:val="16"/>
            <w:lang w:val="fr-FR"/>
          </w:rPr>
          <w:t>CBD/COP/16/INF/4</w:t>
        </w:r>
      </w:hyperlink>
      <w:r w:rsidR="00E34DC9">
        <w:rPr>
          <w:rStyle w:val="normaltextrun"/>
          <w:rFonts w:cs="Segoe UI"/>
          <w:sz w:val="16"/>
          <w:szCs w:val="16"/>
          <w:lang w:val="fr-FR"/>
        </w:rPr>
        <w:t> ;</w:t>
      </w:r>
      <w:r w:rsidRPr="00653BF4">
        <w:rPr>
          <w:rFonts w:ascii="Aptos" w:hAnsi="Aptos" w:cs="Segoe UI"/>
          <w:sz w:val="16"/>
          <w:szCs w:val="16"/>
          <w:lang w:val="fr-FR"/>
        </w:rPr>
        <w:t xml:space="preserve"> et Affinito </w:t>
      </w:r>
      <w:r w:rsidRPr="00653BF4">
        <w:rPr>
          <w:rFonts w:ascii="Aptos" w:hAnsi="Aptos" w:cs="Segoe UI"/>
          <w:i/>
          <w:iCs/>
          <w:sz w:val="16"/>
          <w:szCs w:val="16"/>
          <w:lang w:val="fr-FR"/>
        </w:rPr>
        <w:t>et al</w:t>
      </w:r>
      <w:r w:rsidRPr="00653BF4">
        <w:rPr>
          <w:rFonts w:ascii="Aptos" w:hAnsi="Aptos" w:cs="Segoe UI"/>
          <w:sz w:val="16"/>
          <w:szCs w:val="16"/>
          <w:lang w:val="fr-FR"/>
        </w:rPr>
        <w:t xml:space="preserve">., 2025). </w:t>
      </w:r>
      <w:r w:rsidRPr="00653BF4">
        <w:rPr>
          <w:rStyle w:val="normaltextrun"/>
          <w:rFonts w:cs="Segoe UI"/>
          <w:sz w:val="16"/>
          <w:szCs w:val="16"/>
          <w:lang w:val="fr-FR"/>
        </w:rPr>
        <w:t>La méthode détaillée employée pour l</w:t>
      </w:r>
      <w:r w:rsidR="00D77549">
        <w:rPr>
          <w:rStyle w:val="normaltextrun"/>
          <w:rFonts w:cs="Segoe UI"/>
          <w:sz w:val="16"/>
          <w:szCs w:val="16"/>
          <w:lang w:val="fr-FR"/>
        </w:rPr>
        <w:t>’</w:t>
      </w:r>
      <w:r w:rsidRPr="00653BF4">
        <w:rPr>
          <w:rStyle w:val="normaltextrun"/>
          <w:rFonts w:cs="Segoe UI"/>
          <w:sz w:val="16"/>
          <w:szCs w:val="16"/>
          <w:lang w:val="fr-FR"/>
        </w:rPr>
        <w:t>analyse des cibles nationales est présentée dans le document </w:t>
      </w:r>
      <w:hyperlink r:id="rId156" w:history="1">
        <w:r w:rsidRPr="00653BF4">
          <w:rPr>
            <w:rStyle w:val="Hyperlink"/>
            <w:rFonts w:ascii="Aptos" w:hAnsi="Aptos" w:cs="Segoe UI"/>
            <w:sz w:val="16"/>
            <w:szCs w:val="16"/>
            <w:lang w:val="fr-FR"/>
          </w:rPr>
          <w:t>CBD/SBI/7/INF/22</w:t>
        </w:r>
      </w:hyperlink>
      <w:r w:rsidRPr="00653BF4">
        <w:rPr>
          <w:rStyle w:val="normaltextrun"/>
          <w:rFonts w:cs="Segoe UI"/>
          <w:sz w:val="16"/>
          <w:szCs w:val="16"/>
          <w:lang w:val="fr-FR"/>
        </w:rPr>
        <w:t>. </w:t>
      </w:r>
    </w:p>
    <w:p w14:paraId="5505D70C" w14:textId="77777777" w:rsidR="00B87039" w:rsidRPr="00653BF4" w:rsidRDefault="00B87039" w:rsidP="00B87039">
      <w:pPr>
        <w:rPr>
          <w:i/>
          <w:iCs/>
          <w:lang w:val="fr-FR"/>
        </w:rPr>
      </w:pPr>
    </w:p>
    <w:p w14:paraId="5C17C385" w14:textId="200B2C0A" w:rsidR="00B87039" w:rsidRPr="00653BF4" w:rsidRDefault="00B87039" w:rsidP="00B87039">
      <w:pPr>
        <w:rPr>
          <w:lang w:val="fr-FR"/>
        </w:rPr>
      </w:pPr>
      <w:r w:rsidRPr="00653BF4">
        <w:rPr>
          <w:lang w:val="fr-FR"/>
        </w:rPr>
        <w:t>Une majorité de Parties ont présenté des cibles nationales qui visent, dans une certaine mesure, à prendre en compte pleinement la biodiversité et ses multiples valeurs dans l</w:t>
      </w:r>
      <w:r w:rsidR="00D77549">
        <w:rPr>
          <w:lang w:val="fr-FR"/>
        </w:rPr>
        <w:t>’</w:t>
      </w:r>
      <w:r w:rsidRPr="00653BF4">
        <w:rPr>
          <w:lang w:val="fr-FR"/>
        </w:rPr>
        <w:t>élaboration des politiques, des réglementations, des processus de planification et de développement (72</w:t>
      </w:r>
      <w:r w:rsidR="002878D7">
        <w:rPr>
          <w:lang w:val="fr-FR"/>
        </w:rPr>
        <w:t> %</w:t>
      </w:r>
      <w:r w:rsidRPr="00653BF4">
        <w:rPr>
          <w:lang w:val="fr-FR"/>
        </w:rPr>
        <w:t>), ainsi qu’à prendre en compte les multiples valeurs de la biodiversité dans tous les secteurs (57</w:t>
      </w:r>
      <w:r w:rsidR="002878D7">
        <w:rPr>
          <w:lang w:val="fr-FR"/>
        </w:rPr>
        <w:t> %</w:t>
      </w:r>
      <w:r w:rsidRPr="00653BF4">
        <w:rPr>
          <w:lang w:val="fr-FR"/>
        </w:rPr>
        <w:t>). Une minorité de Parties (entre 20 et 41</w:t>
      </w:r>
      <w:r w:rsidR="002878D7">
        <w:rPr>
          <w:lang w:val="fr-FR"/>
        </w:rPr>
        <w:t> %</w:t>
      </w:r>
      <w:r w:rsidRPr="00653BF4">
        <w:rPr>
          <w:lang w:val="fr-FR"/>
        </w:rPr>
        <w:t>) a toutefois présenté des cibles qui portent spécifiquement sur d</w:t>
      </w:r>
      <w:r w:rsidR="00D77549">
        <w:rPr>
          <w:lang w:val="fr-FR"/>
        </w:rPr>
        <w:t>’</w:t>
      </w:r>
      <w:r w:rsidRPr="00653BF4">
        <w:rPr>
          <w:lang w:val="fr-FR"/>
        </w:rPr>
        <w:t xml:space="preserve">autres éléments de la </w:t>
      </w:r>
      <w:r w:rsidR="00E34DC9">
        <w:rPr>
          <w:lang w:val="fr-FR"/>
        </w:rPr>
        <w:t>cible 1</w:t>
      </w:r>
      <w:r w:rsidRPr="00653BF4">
        <w:rPr>
          <w:lang w:val="fr-FR"/>
        </w:rPr>
        <w:t>4, notamment la prise en compte de la biodiversité dans les stratégies d</w:t>
      </w:r>
      <w:r w:rsidR="00D77549">
        <w:rPr>
          <w:lang w:val="fr-FR"/>
        </w:rPr>
        <w:t>’</w:t>
      </w:r>
      <w:r w:rsidRPr="00653BF4">
        <w:rPr>
          <w:lang w:val="fr-FR"/>
        </w:rPr>
        <w:t>élimination de la pauvreté, ainsi que le recours à des évaluations environnementales stratégiques et à des évaluations d</w:t>
      </w:r>
      <w:r w:rsidR="00D77549">
        <w:rPr>
          <w:lang w:val="fr-FR"/>
        </w:rPr>
        <w:t>’</w:t>
      </w:r>
      <w:r w:rsidRPr="00653BF4">
        <w:rPr>
          <w:lang w:val="fr-FR"/>
        </w:rPr>
        <w:t>impact environnemental. Ainsi, les cibles nationales présentées par certaines Parties ne s</w:t>
      </w:r>
      <w:r w:rsidR="00D77549">
        <w:rPr>
          <w:lang w:val="fr-FR"/>
        </w:rPr>
        <w:t>’</w:t>
      </w:r>
      <w:r w:rsidRPr="00653BF4">
        <w:rPr>
          <w:lang w:val="fr-FR"/>
        </w:rPr>
        <w:t xml:space="preserve">alignent que partiellement sur la portée de la </w:t>
      </w:r>
      <w:r w:rsidR="00E34DC9">
        <w:rPr>
          <w:lang w:val="fr-FR"/>
        </w:rPr>
        <w:t>cible 1</w:t>
      </w:r>
      <w:r w:rsidRPr="00653BF4">
        <w:rPr>
          <w:lang w:val="fr-FR"/>
        </w:rPr>
        <w:t xml:space="preserve">4 et présentent des lacunes concernant certains éléments spécifiques (voir le tableau 30). </w:t>
      </w:r>
    </w:p>
    <w:p w14:paraId="16B4AF31" w14:textId="77777777" w:rsidR="00B87039" w:rsidRPr="00653BF4" w:rsidRDefault="00B87039" w:rsidP="00B87039">
      <w:pPr>
        <w:pStyle w:val="Heading5"/>
        <w:rPr>
          <w:lang w:val="fr-FR"/>
        </w:rPr>
      </w:pPr>
    </w:p>
    <w:p w14:paraId="2CB1B787" w14:textId="50F3B06A" w:rsidR="00B87039" w:rsidRPr="00653BF4" w:rsidRDefault="00B87039" w:rsidP="00B87039">
      <w:pPr>
        <w:pStyle w:val="Heading5"/>
        <w:rPr>
          <w:lang w:val="fr-FR"/>
        </w:rPr>
      </w:pPr>
      <w:bookmarkStart w:id="276" w:name="_Toc235821222"/>
      <w:r w:rsidRPr="00653BF4">
        <w:rPr>
          <w:lang w:val="fr-FR"/>
        </w:rPr>
        <w:t>Indicateurs de progrès</w:t>
      </w:r>
      <w:bookmarkEnd w:id="276"/>
    </w:p>
    <w:p w14:paraId="38DA8FE2" w14:textId="77777777" w:rsidR="00B87039" w:rsidRPr="00653BF4" w:rsidRDefault="00B87039" w:rsidP="00B87039">
      <w:pPr>
        <w:pStyle w:val="Caption"/>
        <w:rPr>
          <w:i w:val="0"/>
          <w:iCs w:val="0"/>
          <w:sz w:val="20"/>
          <w:szCs w:val="20"/>
          <w:lang w:val="fr-FR"/>
        </w:rPr>
      </w:pPr>
    </w:p>
    <w:p w14:paraId="33CEA2C6" w14:textId="77777777" w:rsidR="00B87039" w:rsidRPr="00653BF4" w:rsidRDefault="00B87039" w:rsidP="00B87039">
      <w:pPr>
        <w:pStyle w:val="Caption"/>
        <w:rPr>
          <w:i w:val="0"/>
          <w:sz w:val="20"/>
          <w:szCs w:val="20"/>
          <w:lang w:val="fr-FR"/>
        </w:rPr>
      </w:pPr>
      <w:r w:rsidRPr="00653BF4">
        <w:rPr>
          <w:i w:val="0"/>
          <w:iCs w:val="0"/>
          <w:sz w:val="20"/>
          <w:szCs w:val="20"/>
          <w:lang w:val="fr-FR"/>
        </w:rPr>
        <w:t xml:space="preserve">Tableau 31 </w:t>
      </w:r>
    </w:p>
    <w:p w14:paraId="19475F52" w14:textId="4CA206BE"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1</w:t>
      </w:r>
      <w:r w:rsidRPr="00653BF4">
        <w:rPr>
          <w:b/>
          <w:bCs/>
          <w:i w:val="0"/>
          <w:iCs w:val="0"/>
          <w:sz w:val="20"/>
          <w:szCs w:val="20"/>
          <w:lang w:val="fr-FR"/>
        </w:rPr>
        <w:t>4 du Cadre</w:t>
      </w:r>
    </w:p>
    <w:tbl>
      <w:tblPr>
        <w:tblW w:w="9918" w:type="dxa"/>
        <w:tblLook w:val="04A0" w:firstRow="1" w:lastRow="0" w:firstColumn="1" w:lastColumn="0" w:noHBand="0" w:noVBand="1"/>
      </w:tblPr>
      <w:tblGrid>
        <w:gridCol w:w="3240"/>
        <w:gridCol w:w="2567"/>
        <w:gridCol w:w="709"/>
        <w:gridCol w:w="2693"/>
        <w:gridCol w:w="709"/>
      </w:tblGrid>
      <w:tr w:rsidR="00B87039" w:rsidRPr="00653BF4" w14:paraId="267CB551"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62209B03"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276" w:type="dxa"/>
            <w:gridSpan w:val="2"/>
            <w:tcBorders>
              <w:top w:val="single" w:sz="4" w:space="0" w:color="auto"/>
              <w:left w:val="nil"/>
              <w:bottom w:val="single" w:sz="4" w:space="0" w:color="auto"/>
              <w:right w:val="single" w:sz="4" w:space="0" w:color="auto"/>
            </w:tcBorders>
            <w:vAlign w:val="center"/>
          </w:tcPr>
          <w:p w14:paraId="17E7B435" w14:textId="4105AF6E" w:rsidR="00B87039" w:rsidRPr="00653BF4" w:rsidRDefault="00E04592"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3402" w:type="dxa"/>
            <w:gridSpan w:val="2"/>
            <w:tcBorders>
              <w:top w:val="single" w:sz="4" w:space="0" w:color="auto"/>
              <w:left w:val="nil"/>
              <w:bottom w:val="single" w:sz="4" w:space="0" w:color="auto"/>
              <w:right w:val="single" w:sz="4" w:space="0" w:color="auto"/>
            </w:tcBorders>
            <w:vAlign w:val="center"/>
          </w:tcPr>
          <w:p w14:paraId="2EF9213C" w14:textId="61495810" w:rsidR="00B87039" w:rsidRPr="00653BF4" w:rsidRDefault="00A443C9"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Résultats de l’indicateur</w:t>
            </w:r>
          </w:p>
        </w:tc>
      </w:tr>
      <w:tr w:rsidR="00B87039" w:rsidRPr="00543148" w14:paraId="1C224F62"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44B8F3" w14:textId="3E98F5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binaire 14.b</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nombre de pays prenant en compte la biodiversité et ses multiples valeurs dans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 xml:space="preserve">élaboration des politiques, des réglementations, des processus de planification et de développement, des stratégies d’élimination de la pauvreté, et, le cas échéant, dans la comptabilité nationale, à tous les niveaux et </w:t>
            </w:r>
            <w:r w:rsidRPr="00653BF4">
              <w:rPr>
                <w:rFonts w:eastAsia="Times New Roman" w:cs="Times New Roman"/>
                <w:color w:val="000000"/>
                <w:kern w:val="0"/>
                <w:sz w:val="20"/>
                <w:szCs w:val="20"/>
                <w:lang w:val="fr-FR"/>
                <w14:ligatures w14:val="none"/>
              </w:rPr>
              <w:lastRenderedPageBreak/>
              <w:t>dans tous les secteurs, et alignant progressivement toutes les activités publiques et privées concernées ainsi que les flux fiscaux et financiers sur les objectifs et cibles du Cadre</w:t>
            </w:r>
          </w:p>
        </w:tc>
        <w:tc>
          <w:tcPr>
            <w:tcW w:w="2567" w:type="dxa"/>
            <w:tcBorders>
              <w:top w:val="single" w:sz="4" w:space="0" w:color="auto"/>
              <w:left w:val="nil"/>
              <w:bottom w:val="single" w:sz="4" w:space="0" w:color="auto"/>
              <w:right w:val="single" w:sz="4" w:space="0" w:color="auto"/>
            </w:tcBorders>
            <w:vAlign w:val="center"/>
            <w:hideMark/>
          </w:tcPr>
          <w:p w14:paraId="7C77F18E"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lastRenderedPageBreak/>
              <w:t>127 Parties</w:t>
            </w:r>
          </w:p>
        </w:tc>
        <w:tc>
          <w:tcPr>
            <w:tcW w:w="709" w:type="dxa"/>
            <w:tcBorders>
              <w:top w:val="single" w:sz="4" w:space="0" w:color="auto"/>
              <w:left w:val="nil"/>
              <w:bottom w:val="single" w:sz="4" w:space="0" w:color="auto"/>
              <w:right w:val="single" w:sz="4" w:space="0" w:color="auto"/>
            </w:tcBorders>
            <w:vAlign w:val="center"/>
            <w:hideMark/>
          </w:tcPr>
          <w:p w14:paraId="207AC608" w14:textId="6C27A6BF" w:rsidR="00B87039" w:rsidRPr="00653BF4" w:rsidRDefault="000F4D75" w:rsidP="00557FB3">
            <w:pPr>
              <w:spacing w:after="0" w:line="240" w:lineRule="auto"/>
              <w:jc w:val="center"/>
              <w:rPr>
                <w:rFonts w:eastAsia="Times New Roman" w:cs="Times New Roman"/>
                <w:color w:val="000000"/>
                <w:kern w:val="0"/>
                <w:sz w:val="20"/>
                <w:szCs w:val="20"/>
                <w:lang w:val="fr-FR" w:eastAsia="en-CA"/>
                <w14:ligatures w14:val="none"/>
              </w:rPr>
            </w:pPr>
            <w:r>
              <w:rPr>
                <w:rFonts w:eastAsia="Times New Roman" w:cs="Times New Roman"/>
                <w:color w:val="000000"/>
                <w:kern w:val="0"/>
                <w:sz w:val="20"/>
                <w:szCs w:val="20"/>
                <w:lang w:val="fr-FR"/>
                <w14:ligatures w14:val="none"/>
              </w:rPr>
              <w:t>s.o.</w:t>
            </w:r>
            <w:r w:rsidR="00B87039" w:rsidRPr="00653BF4">
              <w:rPr>
                <w:rFonts w:eastAsia="Times New Roman" w:cs="Times New Roman"/>
                <w:i/>
                <w:color w:val="000000"/>
                <w:kern w:val="0"/>
                <w:sz w:val="20"/>
                <w:szCs w:val="20"/>
                <w:vertAlign w:val="superscript"/>
                <w:lang w:val="fr-FR"/>
                <w14:ligatures w14:val="none"/>
              </w:rPr>
              <w:t>a</w:t>
            </w:r>
          </w:p>
        </w:tc>
        <w:tc>
          <w:tcPr>
            <w:tcW w:w="2693" w:type="dxa"/>
            <w:tcBorders>
              <w:top w:val="single" w:sz="4" w:space="0" w:color="auto"/>
              <w:left w:val="nil"/>
              <w:bottom w:val="single" w:sz="4" w:space="0" w:color="auto"/>
              <w:right w:val="single" w:sz="4" w:space="0" w:color="auto"/>
            </w:tcBorders>
            <w:vAlign w:val="center"/>
            <w:hideMark/>
          </w:tcPr>
          <w:p w14:paraId="210BD4AF" w14:textId="476352F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20</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des Parties ont obtenu de très bons résultats (note</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4/5)</w:t>
            </w:r>
          </w:p>
        </w:tc>
        <w:tc>
          <w:tcPr>
            <w:tcW w:w="709" w:type="dxa"/>
            <w:tcBorders>
              <w:top w:val="single" w:sz="4" w:space="0" w:color="auto"/>
              <w:left w:val="nil"/>
              <w:bottom w:val="single" w:sz="4" w:space="0" w:color="auto"/>
              <w:right w:val="single" w:sz="4" w:space="0" w:color="auto"/>
            </w:tcBorders>
            <w:shd w:val="clear" w:color="000000" w:fill="C00000"/>
            <w:vAlign w:val="center"/>
            <w:hideMark/>
          </w:tcPr>
          <w:p w14:paraId="5DEB04C1"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28C541CD" w14:textId="77777777" w:rsidTr="00557FB3">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B4C3253"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Tous les indicateurs quantitatifs combinés</w:t>
            </w:r>
          </w:p>
        </w:tc>
        <w:tc>
          <w:tcPr>
            <w:tcW w:w="2567" w:type="dxa"/>
            <w:tcBorders>
              <w:top w:val="nil"/>
              <w:left w:val="nil"/>
              <w:bottom w:val="single" w:sz="4" w:space="0" w:color="auto"/>
              <w:right w:val="single" w:sz="4" w:space="0" w:color="auto"/>
            </w:tcBorders>
            <w:vAlign w:val="center"/>
            <w:hideMark/>
          </w:tcPr>
          <w:p w14:paraId="65337E2E" w14:textId="703A6D3A"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15 Parties, 12</w:t>
            </w:r>
            <w:r w:rsidR="002878D7">
              <w:rPr>
                <w:rFonts w:eastAsia="Times New Roman" w:cs="Calibri"/>
                <w:color w:val="000000"/>
                <w:kern w:val="0"/>
                <w:sz w:val="20"/>
                <w:szCs w:val="20"/>
                <w:lang w:val="fr-FR"/>
                <w14:ligatures w14:val="none"/>
              </w:rPr>
              <w:t> %</w:t>
            </w:r>
          </w:p>
        </w:tc>
        <w:tc>
          <w:tcPr>
            <w:tcW w:w="709" w:type="dxa"/>
            <w:tcBorders>
              <w:top w:val="nil"/>
              <w:left w:val="nil"/>
              <w:bottom w:val="single" w:sz="4" w:space="0" w:color="auto"/>
              <w:right w:val="single" w:sz="4" w:space="0" w:color="auto"/>
            </w:tcBorders>
            <w:shd w:val="clear" w:color="000000" w:fill="C00000"/>
            <w:vAlign w:val="center"/>
            <w:hideMark/>
          </w:tcPr>
          <w:p w14:paraId="037C9770"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693" w:type="dxa"/>
            <w:tcBorders>
              <w:top w:val="nil"/>
              <w:left w:val="nil"/>
              <w:bottom w:val="single" w:sz="4" w:space="0" w:color="auto"/>
              <w:right w:val="single" w:sz="4" w:space="0" w:color="auto"/>
            </w:tcBorders>
            <w:vAlign w:val="center"/>
            <w:hideMark/>
          </w:tcPr>
          <w:p w14:paraId="5DCA464E" w14:textId="3CE4F932"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42</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positives</w:t>
            </w:r>
          </w:p>
          <w:p w14:paraId="33F7F507" w14:textId="18235C4A"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11</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négatives</w:t>
            </w:r>
          </w:p>
        </w:tc>
        <w:tc>
          <w:tcPr>
            <w:tcW w:w="709" w:type="dxa"/>
            <w:tcBorders>
              <w:top w:val="single" w:sz="4" w:space="0" w:color="auto"/>
              <w:left w:val="nil"/>
              <w:bottom w:val="single" w:sz="4" w:space="0" w:color="auto"/>
              <w:right w:val="single" w:sz="4" w:space="0" w:color="auto"/>
            </w:tcBorders>
            <w:shd w:val="clear" w:color="auto" w:fill="92D050"/>
            <w:vAlign w:val="center"/>
            <w:hideMark/>
          </w:tcPr>
          <w:p w14:paraId="4A7FED73"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bl>
    <w:p w14:paraId="327A13F7" w14:textId="77777777" w:rsidR="00B87039" w:rsidRPr="00653BF4" w:rsidRDefault="00B87039" w:rsidP="00B87039">
      <w:pPr>
        <w:pStyle w:val="p1"/>
        <w:rPr>
          <w:rFonts w:ascii="Aptos" w:hAnsi="Aptos"/>
          <w:sz w:val="24"/>
          <w:szCs w:val="24"/>
          <w:lang w:val="fr-FR"/>
        </w:rPr>
      </w:pPr>
    </w:p>
    <w:p w14:paraId="105CB0F1" w14:textId="77AB88CD"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sz w:val="16"/>
          <w:szCs w:val="16"/>
          <w:lang w:val="fr-FR"/>
        </w:rPr>
        <w:t> %</w:t>
      </w:r>
      <w:r w:rsidRPr="00653BF4">
        <w:rPr>
          <w:sz w:val="16"/>
          <w:szCs w:val="16"/>
          <w:lang w:val="fr-FR"/>
        </w:rPr>
        <w:t>, le jaune aux valeurs comprises entre 25</w:t>
      </w:r>
      <w:r w:rsidR="002878D7">
        <w:rPr>
          <w:sz w:val="16"/>
          <w:szCs w:val="16"/>
          <w:lang w:val="fr-FR"/>
        </w:rPr>
        <w:t> %</w:t>
      </w:r>
      <w:r w:rsidRPr="00653BF4">
        <w:rPr>
          <w:sz w:val="16"/>
          <w:szCs w:val="16"/>
          <w:lang w:val="fr-FR"/>
        </w:rPr>
        <w:t xml:space="preserve"> et 50</w:t>
      </w:r>
      <w:r w:rsidR="002878D7">
        <w:rPr>
          <w:sz w:val="16"/>
          <w:szCs w:val="16"/>
          <w:lang w:val="fr-FR"/>
        </w:rPr>
        <w:t> %</w:t>
      </w:r>
      <w:r w:rsidRPr="00653BF4">
        <w:rPr>
          <w:sz w:val="16"/>
          <w:szCs w:val="16"/>
          <w:lang w:val="fr-FR"/>
        </w:rPr>
        <w:t>, et le rouge aux valeurs inférieures à 25</w:t>
      </w:r>
      <w:r w:rsidR="002878D7">
        <w:rPr>
          <w:sz w:val="16"/>
          <w:szCs w:val="16"/>
          <w:lang w:val="fr-FR"/>
        </w:rPr>
        <w:t> %</w:t>
      </w:r>
      <w:r w:rsidRPr="00653BF4">
        <w:rPr>
          <w:sz w:val="16"/>
          <w:szCs w:val="16"/>
          <w:lang w:val="fr-FR"/>
        </w:rPr>
        <w:t xml:space="preserve">) </w:t>
      </w:r>
    </w:p>
    <w:p w14:paraId="4EFCC898" w14:textId="77777777" w:rsidR="00B87039" w:rsidRPr="00653BF4" w:rsidRDefault="00B87039" w:rsidP="00B87039">
      <w:pPr>
        <w:pStyle w:val="FootnoteText"/>
        <w:rPr>
          <w:sz w:val="16"/>
          <w:szCs w:val="16"/>
          <w:lang w:val="fr-FR"/>
        </w:rPr>
      </w:pPr>
      <w:r w:rsidRPr="00653BF4">
        <w:rPr>
          <w:vertAlign w:val="superscript"/>
          <w:lang w:val="fr-FR"/>
        </w:rPr>
        <w:t>a</w:t>
      </w:r>
      <w:r w:rsidRPr="00653BF4">
        <w:rPr>
          <w:lang w:val="fr-FR"/>
        </w:rPr>
        <w:t xml:space="preserve"> </w:t>
      </w:r>
      <w:r w:rsidRPr="00653BF4">
        <w:rPr>
          <w:sz w:val="16"/>
          <w:szCs w:val="16"/>
          <w:lang w:val="fr-FR"/>
        </w:rPr>
        <w:t>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p>
    <w:p w14:paraId="52A84E27" w14:textId="77777777" w:rsidR="00B87039" w:rsidRPr="00653BF4" w:rsidRDefault="00B87039" w:rsidP="00B87039">
      <w:pPr>
        <w:rPr>
          <w:strike/>
          <w:lang w:val="fr-FR"/>
        </w:rPr>
      </w:pPr>
    </w:p>
    <w:p w14:paraId="1DCB0D54" w14:textId="77777777" w:rsidR="00B87039" w:rsidRPr="00653BF4" w:rsidRDefault="00B87039" w:rsidP="00B87039">
      <w:pPr>
        <w:rPr>
          <w:lang w:val="fr-FR"/>
        </w:rPr>
      </w:pPr>
    </w:p>
    <w:p w14:paraId="11CB1D38" w14:textId="660C212B" w:rsidR="00B87039" w:rsidRPr="00653BF4" w:rsidRDefault="00B87039" w:rsidP="00B87039">
      <w:pPr>
        <w:rPr>
          <w:lang w:val="fr-FR"/>
        </w:rPr>
      </w:pPr>
      <w:r w:rsidRPr="00653BF4">
        <w:rPr>
          <w:lang w:val="fr-FR"/>
        </w:rPr>
        <w:t xml:space="preserve">Les rapports sur les progrès accomplis dans la réalisation de la </w:t>
      </w:r>
      <w:r w:rsidR="00E34DC9">
        <w:rPr>
          <w:lang w:val="fr-FR"/>
        </w:rPr>
        <w:t>cible 1</w:t>
      </w:r>
      <w:r w:rsidRPr="00653BF4">
        <w:rPr>
          <w:lang w:val="fr-FR"/>
        </w:rPr>
        <w:t>4 sont limités. Il n</w:t>
      </w:r>
      <w:r w:rsidR="00D77549">
        <w:rPr>
          <w:lang w:val="fr-FR"/>
        </w:rPr>
        <w:t>’</w:t>
      </w:r>
      <w:r w:rsidRPr="00653BF4">
        <w:rPr>
          <w:lang w:val="fr-FR"/>
        </w:rPr>
        <w:t>y a pas d</w:t>
      </w:r>
      <w:r w:rsidR="00D77549">
        <w:rPr>
          <w:lang w:val="fr-FR"/>
        </w:rPr>
        <w:t>’</w:t>
      </w:r>
      <w:r w:rsidRPr="00653BF4">
        <w:rPr>
          <w:lang w:val="fr-FR"/>
        </w:rPr>
        <w:t>indicateur phare, et très peu de Parties ont communiqué des indicateurs quantitatifs, ce qui signifie que l</w:t>
      </w:r>
      <w:r w:rsidR="00D77549">
        <w:rPr>
          <w:lang w:val="fr-FR"/>
        </w:rPr>
        <w:t>’</w:t>
      </w:r>
      <w:r w:rsidRPr="00653BF4">
        <w:rPr>
          <w:lang w:val="fr-FR"/>
        </w:rPr>
        <w:t>analyse des tendances ne peut être considérée comme représentative des progrès collectifs (voir le tableau 31 et la figure 61). Par ailleurs, ces indicateurs nationaux s’alignent sur les cibles nationales et portent principalement sur la prise en compte de la biodiversité dans l</w:t>
      </w:r>
      <w:r w:rsidR="00D77549">
        <w:rPr>
          <w:lang w:val="fr-FR"/>
        </w:rPr>
        <w:t>’</w:t>
      </w:r>
      <w:r w:rsidRPr="00653BF4">
        <w:rPr>
          <w:lang w:val="fr-FR"/>
        </w:rPr>
        <w:t xml:space="preserve">élaboration des politiques, des réglementations, des processus de planification et de développement, sans aborder d’autres éléments de la </w:t>
      </w:r>
      <w:r w:rsidR="00E34DC9">
        <w:rPr>
          <w:lang w:val="fr-FR"/>
        </w:rPr>
        <w:t>cible 1</w:t>
      </w:r>
      <w:r w:rsidRPr="00653BF4">
        <w:rPr>
          <w:lang w:val="fr-FR"/>
        </w:rPr>
        <w:t>4</w:t>
      </w:r>
    </w:p>
    <w:p w14:paraId="382CAEAF" w14:textId="0330D101" w:rsidR="00B87039" w:rsidRPr="00653BF4" w:rsidRDefault="00B87039" w:rsidP="00B87039">
      <w:pPr>
        <w:rPr>
          <w:lang w:val="fr-FR"/>
        </w:rPr>
      </w:pPr>
      <w:r w:rsidRPr="00653BF4">
        <w:rPr>
          <w:lang w:val="fr-FR"/>
        </w:rPr>
        <w:t>Dans l</w:t>
      </w:r>
      <w:r w:rsidR="00D77549">
        <w:rPr>
          <w:lang w:val="fr-FR"/>
        </w:rPr>
        <w:t>’</w:t>
      </w:r>
      <w:r w:rsidRPr="00653BF4">
        <w:rPr>
          <w:lang w:val="fr-FR"/>
        </w:rPr>
        <w:t xml:space="preserve">indicateur binaire de la </w:t>
      </w:r>
      <w:r w:rsidR="00E34DC9">
        <w:rPr>
          <w:lang w:val="fr-FR"/>
        </w:rPr>
        <w:t>cible 1</w:t>
      </w:r>
      <w:r w:rsidRPr="00653BF4">
        <w:rPr>
          <w:lang w:val="fr-FR"/>
        </w:rPr>
        <w:t xml:space="preserve">4 (voir la figure 60), </w:t>
      </w:r>
      <w:bookmarkStart w:id="277" w:name="_Ref231198842"/>
      <w:r w:rsidRPr="00653BF4">
        <w:rPr>
          <w:lang w:val="fr-FR"/>
        </w:rPr>
        <w:t>les Parties indiquent avoir réalisé les progrès les plus importants dans la prise en compte de la biodiversité et de ses multiples valeurs dans l</w:t>
      </w:r>
      <w:r w:rsidR="00D77549">
        <w:rPr>
          <w:lang w:val="fr-FR"/>
        </w:rPr>
        <w:t>’</w:t>
      </w:r>
      <w:r w:rsidRPr="00653BF4">
        <w:rPr>
          <w:lang w:val="fr-FR"/>
        </w:rPr>
        <w:t>élaboration des politiques, des réglementations, des processus de planification et de développement, mais ces progrès sont inégaux. Les Parties font état de progrès très limités dans deux domaines principaux</w:t>
      </w:r>
      <w:r w:rsidR="00E34DC9">
        <w:rPr>
          <w:lang w:val="fr-FR"/>
        </w:rPr>
        <w:t> :</w:t>
      </w:r>
      <w:r w:rsidRPr="00653BF4">
        <w:rPr>
          <w:lang w:val="fr-FR"/>
        </w:rPr>
        <w:t xml:space="preserve"> la comptabilité environnementale et économique et les mesures visant à aligner les flux fiscaux et financiers sur les objectifs et cibles du Cadre. Dans les deux cas, moins de la moitié des Parties indiquent que ces mesures sont en place. </w:t>
      </w:r>
    </w:p>
    <w:p w14:paraId="2536320A" w14:textId="77777777" w:rsidR="00B87039" w:rsidRPr="00653BF4" w:rsidRDefault="00B87039" w:rsidP="00B87039">
      <w:pPr>
        <w:rPr>
          <w:lang w:val="fr-FR"/>
        </w:rPr>
      </w:pPr>
    </w:p>
    <w:p w14:paraId="2B2A6188" w14:textId="77777777" w:rsidR="00B87039" w:rsidRPr="00653BF4" w:rsidRDefault="00B87039" w:rsidP="00B87039">
      <w:pPr>
        <w:rPr>
          <w:sz w:val="20"/>
          <w:szCs w:val="20"/>
          <w:lang w:val="fr-FR"/>
        </w:rPr>
      </w:pPr>
      <w:r w:rsidRPr="00653BF4">
        <w:rPr>
          <w:sz w:val="20"/>
          <w:szCs w:val="20"/>
          <w:lang w:val="fr-FR"/>
        </w:rPr>
        <w:t>Figure 60</w:t>
      </w:r>
    </w:p>
    <w:p w14:paraId="13EC6537" w14:textId="4FC3318A" w:rsidR="00B87039" w:rsidRPr="00653BF4" w:rsidRDefault="00B87039" w:rsidP="00B87039">
      <w:pPr>
        <w:rPr>
          <w:rStyle w:val="normaltextrun"/>
          <w:rFonts w:cs="Segoe UI"/>
          <w:b/>
          <w:bCs/>
          <w:lang w:val="fr-FR"/>
        </w:rPr>
      </w:pPr>
      <w:r w:rsidRPr="00653BF4">
        <w:rPr>
          <w:rStyle w:val="normaltextrun"/>
          <w:rFonts w:cs="Segoe UI"/>
          <w:b/>
          <w:bCs/>
          <w:sz w:val="20"/>
          <w:szCs w:val="20"/>
          <w:lang w:val="fr-FR"/>
        </w:rPr>
        <w:lastRenderedPageBreak/>
        <w:t>Indicateur binaire 14.b</w:t>
      </w:r>
      <w:r w:rsidR="00E34DC9">
        <w:rPr>
          <w:rStyle w:val="normaltextrun"/>
          <w:rFonts w:cs="Segoe UI"/>
          <w:b/>
          <w:bCs/>
          <w:sz w:val="20"/>
          <w:szCs w:val="20"/>
          <w:lang w:val="fr-FR"/>
        </w:rPr>
        <w:t> :</w:t>
      </w:r>
      <w:r w:rsidRPr="00653BF4">
        <w:rPr>
          <w:rStyle w:val="normaltextrun"/>
          <w:rFonts w:cs="Segoe UI"/>
          <w:b/>
          <w:bCs/>
          <w:sz w:val="20"/>
          <w:szCs w:val="20"/>
          <w:lang w:val="fr-FR"/>
        </w:rPr>
        <w:t xml:space="preserve"> nombre de pays prenant en compte la biodiversité et ses multiples valeurs dans l</w:t>
      </w:r>
      <w:r w:rsidR="00D77549">
        <w:rPr>
          <w:rStyle w:val="normaltextrun"/>
          <w:rFonts w:cs="Segoe UI"/>
          <w:b/>
          <w:bCs/>
          <w:sz w:val="20"/>
          <w:szCs w:val="20"/>
          <w:lang w:val="fr-FR"/>
        </w:rPr>
        <w:t>’</w:t>
      </w:r>
      <w:r w:rsidRPr="00653BF4">
        <w:rPr>
          <w:rStyle w:val="normaltextrun"/>
          <w:rFonts w:cs="Segoe UI"/>
          <w:b/>
          <w:bCs/>
          <w:sz w:val="20"/>
          <w:szCs w:val="20"/>
          <w:lang w:val="fr-FR"/>
        </w:rPr>
        <w:t>élaboration des politiques, des réglementations, des processus de planification et de développement, des stratégies d’élimination de la pauvreté, et, le cas échéant, dans la comptabilité nationale, à tous les niveaux et dans tous les secteurs, et alignant progressivement toutes les activités publiques et privées concernées, ainsi que les flux fiscaux et financiers sur les objectifs et cibles du Cadre</w:t>
      </w:r>
    </w:p>
    <w:p w14:paraId="1769691D" w14:textId="77777777" w:rsidR="00B87039" w:rsidRPr="00653BF4" w:rsidRDefault="00B87039" w:rsidP="00B87039">
      <w:pPr>
        <w:rPr>
          <w:lang w:val="fr-FR"/>
        </w:rPr>
      </w:pPr>
      <w:r w:rsidRPr="00653BF4">
        <w:rPr>
          <w:noProof/>
          <w:lang w:val="fr-FR"/>
        </w:rPr>
        <w:drawing>
          <wp:inline distT="0" distB="0" distL="0" distR="0" wp14:anchorId="31E78343" wp14:editId="19A37FAD">
            <wp:extent cx="5943600" cy="2264410"/>
            <wp:effectExtent l="0" t="0" r="0" b="0"/>
            <wp:docPr id="17574748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474861" name="Picture 1757474861"/>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277"/>
    <w:p w14:paraId="41F23967" w14:textId="1BF30AED" w:rsidR="00B87039" w:rsidRPr="00653BF4" w:rsidRDefault="00B87039" w:rsidP="00B87039">
      <w:pPr>
        <w:pStyle w:val="Caption"/>
        <w:rPr>
          <w:i w:val="0"/>
          <w:iCs w:val="0"/>
          <w:lang w:val="fr-FR"/>
        </w:rPr>
      </w:pPr>
      <w:r w:rsidRPr="00653BF4">
        <w:rPr>
          <w:i w:val="0"/>
          <w:iCs w:val="0"/>
          <w:lang w:val="fr-FR"/>
        </w:rPr>
        <w:t>Note</w:t>
      </w:r>
      <w:r w:rsidR="00E34DC9">
        <w:rPr>
          <w:i w:val="0"/>
          <w:iCs w:val="0"/>
          <w:lang w:val="fr-FR"/>
        </w:rPr>
        <w:t> :</w:t>
      </w:r>
      <w:r w:rsidRPr="00653BF4">
        <w:rPr>
          <w:i w:val="0"/>
          <w:iCs w:val="0"/>
          <w:lang w:val="fr-FR"/>
        </w:rPr>
        <w:t xml:space="preserve"> La largeur des barres indique le pourcentage de Parties dans chaque catégorie de note, une note plus élevée correspondant à des progrès plus importants. Les notes sont établies d’après les réponses aux questions de l’indicateur</w:t>
      </w:r>
      <w:r w:rsidRPr="00653BF4">
        <w:rPr>
          <w:i w:val="0"/>
          <w:iCs w:val="0"/>
          <w:vertAlign w:val="superscript"/>
          <w:lang w:val="fr-FR"/>
        </w:rPr>
        <w:t>a</w:t>
      </w:r>
      <w:r w:rsidRPr="00653BF4">
        <w:rPr>
          <w:i w:val="0"/>
          <w:iCs w:val="0"/>
          <w:lang w:val="fr-FR"/>
        </w:rPr>
        <w:t>. Le diagramme circulaire représente la répartition par région des Parties ayant répondu à toutes les questions.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p w14:paraId="04910348" w14:textId="77777777" w:rsidR="00B87039" w:rsidRPr="00653BF4" w:rsidRDefault="00B87039" w:rsidP="00B87039">
      <w:pPr>
        <w:rPr>
          <w:sz w:val="18"/>
          <w:szCs w:val="18"/>
          <w:lang w:val="fr-FR"/>
        </w:rPr>
      </w:pPr>
      <w:r w:rsidRPr="00653BF4">
        <w:rPr>
          <w:sz w:val="18"/>
          <w:szCs w:val="18"/>
          <w:vertAlign w:val="superscript"/>
          <w:lang w:val="fr-FR"/>
        </w:rPr>
        <w:t xml:space="preserve">a </w:t>
      </w:r>
      <w:r w:rsidRPr="00653BF4">
        <w:rPr>
          <w:sz w:val="18"/>
          <w:szCs w:val="18"/>
          <w:lang w:val="fr-FR"/>
        </w:rPr>
        <w:t>La méthode de calcul des notes pour chaque indicateur binaire, ainsi que les questions associées à chaque indicateur, figurent dans le document</w:t>
      </w:r>
      <w:r w:rsidRPr="00653BF4">
        <w:rPr>
          <w:lang w:val="fr-FR"/>
        </w:rPr>
        <w:t xml:space="preserve"> </w:t>
      </w:r>
      <w:hyperlink r:id="rId158" w:history="1">
        <w:r w:rsidRPr="00653BF4">
          <w:rPr>
            <w:rStyle w:val="Hyperlink"/>
            <w:sz w:val="18"/>
            <w:szCs w:val="18"/>
            <w:lang w:val="fr-FR"/>
          </w:rPr>
          <w:t>CBD/COP/16/INF/3/Rev.1</w:t>
        </w:r>
      </w:hyperlink>
      <w:r w:rsidRPr="00653BF4">
        <w:rPr>
          <w:lang w:val="fr-FR"/>
        </w:rPr>
        <w:t>.</w:t>
      </w:r>
    </w:p>
    <w:tbl>
      <w:tblPr>
        <w:tblStyle w:val="TableGrid"/>
        <w:tblW w:w="8870" w:type="dxa"/>
        <w:tblLook w:val="04A0" w:firstRow="1" w:lastRow="0" w:firstColumn="1" w:lastColumn="0" w:noHBand="0" w:noVBand="1"/>
      </w:tblPr>
      <w:tblGrid>
        <w:gridCol w:w="4188"/>
        <w:gridCol w:w="4673"/>
        <w:gridCol w:w="9"/>
      </w:tblGrid>
      <w:tr w:rsidR="00735F5E" w:rsidRPr="006F7AF8" w14:paraId="08357F79" w14:textId="77777777" w:rsidTr="009B4355">
        <w:tc>
          <w:tcPr>
            <w:tcW w:w="8870" w:type="dxa"/>
            <w:gridSpan w:val="3"/>
          </w:tcPr>
          <w:p w14:paraId="515014A9" w14:textId="77777777" w:rsidR="00735F5E" w:rsidRPr="002A0508" w:rsidRDefault="00735F5E" w:rsidP="009B4355">
            <w:pPr>
              <w:rPr>
                <w:rFonts w:ascii="Aptos" w:hAnsi="Aptos"/>
                <w:lang w:val="fr-FR"/>
              </w:rPr>
            </w:pPr>
            <w:r w:rsidRPr="002A0508">
              <w:rPr>
                <w:rFonts w:ascii="Aptos" w:hAnsi="Aptos"/>
                <w:lang w:val="fr-FR"/>
              </w:rPr>
              <w:t>Figure 60</w:t>
            </w:r>
          </w:p>
        </w:tc>
      </w:tr>
      <w:tr w:rsidR="00735F5E" w:rsidRPr="006F7AF8" w14:paraId="56C6D84C" w14:textId="77777777" w:rsidTr="009B4355">
        <w:trPr>
          <w:gridAfter w:val="1"/>
          <w:wAfter w:w="9" w:type="dxa"/>
        </w:trPr>
        <w:tc>
          <w:tcPr>
            <w:tcW w:w="4188" w:type="dxa"/>
          </w:tcPr>
          <w:p w14:paraId="076803E7" w14:textId="77777777" w:rsidR="00735F5E" w:rsidRPr="002A0508" w:rsidRDefault="00735F5E" w:rsidP="009B4355">
            <w:pPr>
              <w:rPr>
                <w:rFonts w:ascii="Aptos" w:hAnsi="Aptos"/>
                <w:lang w:val="fr-FR"/>
              </w:rPr>
            </w:pPr>
            <w:r w:rsidRPr="002A0508">
              <w:rPr>
                <w:rFonts w:ascii="Aptos" w:hAnsi="Aptos"/>
                <w:lang w:val="fr-FR"/>
              </w:rPr>
              <w:t>English</w:t>
            </w:r>
          </w:p>
        </w:tc>
        <w:tc>
          <w:tcPr>
            <w:tcW w:w="4673" w:type="dxa"/>
          </w:tcPr>
          <w:p w14:paraId="3C6A5836" w14:textId="77777777" w:rsidR="00735F5E" w:rsidRPr="002A0508" w:rsidRDefault="00735F5E" w:rsidP="009B4355">
            <w:pPr>
              <w:rPr>
                <w:rFonts w:ascii="Aptos" w:hAnsi="Aptos"/>
                <w:lang w:val="fr-FR"/>
              </w:rPr>
            </w:pPr>
            <w:r>
              <w:rPr>
                <w:rFonts w:ascii="Aptos" w:hAnsi="Aptos"/>
                <w:lang w:val="fr-FR"/>
              </w:rPr>
              <w:t>Français</w:t>
            </w:r>
          </w:p>
        </w:tc>
      </w:tr>
      <w:tr w:rsidR="00735F5E" w:rsidRPr="006F7AF8" w14:paraId="629E7473" w14:textId="77777777" w:rsidTr="009B4355">
        <w:trPr>
          <w:gridAfter w:val="1"/>
          <w:wAfter w:w="9" w:type="dxa"/>
        </w:trPr>
        <w:tc>
          <w:tcPr>
            <w:tcW w:w="4188" w:type="dxa"/>
          </w:tcPr>
          <w:p w14:paraId="2564BCCB" w14:textId="77777777" w:rsidR="00735F5E" w:rsidRPr="006F7AF8" w:rsidRDefault="00735F5E" w:rsidP="009B4355">
            <w:pPr>
              <w:rPr>
                <w:rFonts w:ascii="Aptos" w:hAnsi="Aptos"/>
                <w:lang w:val="fr-FR"/>
              </w:rPr>
            </w:pPr>
            <w:r w:rsidRPr="006F7AF8">
              <w:rPr>
                <w:rFonts w:ascii="Aptos" w:hAnsi="Aptos"/>
                <w:lang w:val="fr-FR"/>
              </w:rPr>
              <w:t>Answers (percentage)</w:t>
            </w:r>
          </w:p>
        </w:tc>
        <w:tc>
          <w:tcPr>
            <w:tcW w:w="4673" w:type="dxa"/>
          </w:tcPr>
          <w:p w14:paraId="24AB81C7" w14:textId="77777777" w:rsidR="00735F5E" w:rsidRPr="006F7AF8" w:rsidRDefault="00735F5E" w:rsidP="009B4355">
            <w:pPr>
              <w:rPr>
                <w:rFonts w:ascii="Aptos" w:hAnsi="Aptos"/>
                <w:lang w:val="fr-FR"/>
              </w:rPr>
            </w:pPr>
            <w:r w:rsidRPr="006F7AF8">
              <w:rPr>
                <w:rFonts w:ascii="Aptos" w:hAnsi="Aptos"/>
                <w:lang w:val="fr-FR"/>
              </w:rPr>
              <w:t>Réponses (pourcentage)</w:t>
            </w:r>
          </w:p>
        </w:tc>
      </w:tr>
      <w:tr w:rsidR="00735F5E" w:rsidRPr="006F7AF8" w14:paraId="2F280160" w14:textId="77777777" w:rsidTr="009B4355">
        <w:trPr>
          <w:gridAfter w:val="1"/>
          <w:wAfter w:w="9" w:type="dxa"/>
        </w:trPr>
        <w:tc>
          <w:tcPr>
            <w:tcW w:w="4188" w:type="dxa"/>
          </w:tcPr>
          <w:p w14:paraId="73E652B7" w14:textId="77777777" w:rsidR="00735F5E" w:rsidRPr="006F7AF8" w:rsidRDefault="00735F5E" w:rsidP="009B4355">
            <w:pPr>
              <w:rPr>
                <w:rFonts w:ascii="Aptos" w:hAnsi="Aptos"/>
                <w:lang w:val="fr-FR"/>
              </w:rPr>
            </w:pPr>
            <w:r w:rsidRPr="006F7AF8">
              <w:rPr>
                <w:rFonts w:ascii="Aptos" w:hAnsi="Aptos"/>
                <w:lang w:val="fr-FR"/>
              </w:rPr>
              <w:t>Score Level</w:t>
            </w:r>
          </w:p>
        </w:tc>
        <w:tc>
          <w:tcPr>
            <w:tcW w:w="4673" w:type="dxa"/>
          </w:tcPr>
          <w:p w14:paraId="660028BE" w14:textId="77777777" w:rsidR="00735F5E" w:rsidRPr="006F7AF8" w:rsidRDefault="00735F5E" w:rsidP="009B4355">
            <w:pPr>
              <w:rPr>
                <w:rFonts w:ascii="Aptos" w:hAnsi="Aptos"/>
                <w:lang w:val="fr-FR"/>
              </w:rPr>
            </w:pPr>
            <w:r>
              <w:rPr>
                <w:rFonts w:ascii="Aptos" w:hAnsi="Aptos"/>
                <w:lang w:val="fr-FR"/>
              </w:rPr>
              <w:t>Note</w:t>
            </w:r>
          </w:p>
        </w:tc>
      </w:tr>
      <w:tr w:rsidR="00735F5E" w:rsidRPr="006F7AF8" w14:paraId="44513223" w14:textId="77777777" w:rsidTr="009B4355">
        <w:trPr>
          <w:gridAfter w:val="1"/>
          <w:wAfter w:w="9" w:type="dxa"/>
        </w:trPr>
        <w:tc>
          <w:tcPr>
            <w:tcW w:w="4188" w:type="dxa"/>
          </w:tcPr>
          <w:p w14:paraId="2CC99F7C" w14:textId="77777777" w:rsidR="00735F5E" w:rsidRPr="006F7AF8" w:rsidRDefault="00735F5E" w:rsidP="009B4355">
            <w:pPr>
              <w:rPr>
                <w:rFonts w:ascii="Aptos" w:hAnsi="Aptos"/>
                <w:lang w:val="fr-FR"/>
              </w:rPr>
            </w:pPr>
            <w:r w:rsidRPr="006F7AF8">
              <w:rPr>
                <w:rFonts w:ascii="Aptos" w:hAnsi="Aptos"/>
                <w:lang w:val="fr-FR"/>
              </w:rPr>
              <w:t>Party count: 127</w:t>
            </w:r>
          </w:p>
        </w:tc>
        <w:tc>
          <w:tcPr>
            <w:tcW w:w="4673" w:type="dxa"/>
          </w:tcPr>
          <w:p w14:paraId="4DF82932" w14:textId="77777777" w:rsidR="00735F5E" w:rsidRPr="006F7AF8" w:rsidRDefault="00735F5E" w:rsidP="009B4355">
            <w:pPr>
              <w:rPr>
                <w:rFonts w:ascii="Aptos" w:hAnsi="Aptos"/>
                <w:lang w:val="fr-FR"/>
              </w:rPr>
            </w:pPr>
            <w:r w:rsidRPr="006F7AF8">
              <w:rPr>
                <w:rFonts w:ascii="Aptos" w:hAnsi="Aptos"/>
                <w:lang w:val="fr-FR"/>
              </w:rPr>
              <w:t>Nombre de Parties : 127</w:t>
            </w:r>
          </w:p>
        </w:tc>
      </w:tr>
      <w:tr w:rsidR="00735F5E" w:rsidRPr="006F7AF8" w14:paraId="1905C739" w14:textId="77777777" w:rsidTr="009B4355">
        <w:trPr>
          <w:gridAfter w:val="1"/>
          <w:wAfter w:w="9" w:type="dxa"/>
        </w:trPr>
        <w:tc>
          <w:tcPr>
            <w:tcW w:w="4188" w:type="dxa"/>
          </w:tcPr>
          <w:p w14:paraId="79FD53C9" w14:textId="77777777" w:rsidR="00735F5E" w:rsidRPr="006F7AF8" w:rsidRDefault="00735F5E" w:rsidP="009B4355">
            <w:pPr>
              <w:rPr>
                <w:rFonts w:ascii="Aptos" w:hAnsi="Aptos"/>
                <w:lang w:val="fr-FR"/>
              </w:rPr>
            </w:pPr>
            <w:r w:rsidRPr="006F7AF8">
              <w:rPr>
                <w:rFonts w:ascii="Aptos" w:hAnsi="Aptos"/>
                <w:lang w:val="fr-FR"/>
              </w:rPr>
              <w:t>Region</w:t>
            </w:r>
          </w:p>
        </w:tc>
        <w:tc>
          <w:tcPr>
            <w:tcW w:w="4673" w:type="dxa"/>
          </w:tcPr>
          <w:p w14:paraId="06843584"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2016F6F3" w14:textId="77777777" w:rsidTr="009B4355">
        <w:trPr>
          <w:gridAfter w:val="1"/>
          <w:wAfter w:w="9" w:type="dxa"/>
        </w:trPr>
        <w:tc>
          <w:tcPr>
            <w:tcW w:w="4188" w:type="dxa"/>
          </w:tcPr>
          <w:p w14:paraId="0DB88703" w14:textId="77777777" w:rsidR="00735F5E" w:rsidRPr="006F7AF8" w:rsidRDefault="00735F5E" w:rsidP="009B4355">
            <w:pPr>
              <w:rPr>
                <w:rFonts w:ascii="Aptos" w:hAnsi="Aptos"/>
                <w:lang w:val="fr-FR"/>
              </w:rPr>
            </w:pPr>
            <w:r w:rsidRPr="006F7AF8">
              <w:rPr>
                <w:rFonts w:ascii="Aptos" w:hAnsi="Aptos"/>
                <w:lang w:val="fr-FR"/>
              </w:rPr>
              <w:t>African States</w:t>
            </w:r>
          </w:p>
        </w:tc>
        <w:tc>
          <w:tcPr>
            <w:tcW w:w="4673" w:type="dxa"/>
          </w:tcPr>
          <w:p w14:paraId="7B20457E"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0F4DE53C" w14:textId="77777777" w:rsidTr="009B4355">
        <w:trPr>
          <w:gridAfter w:val="1"/>
          <w:wAfter w:w="9" w:type="dxa"/>
        </w:trPr>
        <w:tc>
          <w:tcPr>
            <w:tcW w:w="4188" w:type="dxa"/>
          </w:tcPr>
          <w:p w14:paraId="2C0C8BA4"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673" w:type="dxa"/>
          </w:tcPr>
          <w:p w14:paraId="7855D15D"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50F014BC" w14:textId="77777777" w:rsidTr="009B4355">
        <w:trPr>
          <w:gridAfter w:val="1"/>
          <w:wAfter w:w="9" w:type="dxa"/>
        </w:trPr>
        <w:tc>
          <w:tcPr>
            <w:tcW w:w="4188" w:type="dxa"/>
          </w:tcPr>
          <w:p w14:paraId="3A5FD96F"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673" w:type="dxa"/>
          </w:tcPr>
          <w:p w14:paraId="0A25385E"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04BD00DA" w14:textId="77777777" w:rsidTr="009B4355">
        <w:trPr>
          <w:gridAfter w:val="1"/>
          <w:wAfter w:w="9" w:type="dxa"/>
        </w:trPr>
        <w:tc>
          <w:tcPr>
            <w:tcW w:w="4188" w:type="dxa"/>
          </w:tcPr>
          <w:p w14:paraId="25585F0B"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673" w:type="dxa"/>
          </w:tcPr>
          <w:p w14:paraId="4A42EE4E"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74C7364D" w14:textId="77777777" w:rsidTr="009B4355">
        <w:trPr>
          <w:gridAfter w:val="1"/>
          <w:wAfter w:w="9" w:type="dxa"/>
        </w:trPr>
        <w:tc>
          <w:tcPr>
            <w:tcW w:w="4188" w:type="dxa"/>
          </w:tcPr>
          <w:p w14:paraId="61D66EDB"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673" w:type="dxa"/>
          </w:tcPr>
          <w:p w14:paraId="7A67A238"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4A3792FC" w14:textId="77777777" w:rsidR="00B87039" w:rsidRPr="00653BF4" w:rsidRDefault="00B87039" w:rsidP="00B87039">
      <w:pPr>
        <w:pStyle w:val="Caption"/>
        <w:rPr>
          <w:b/>
          <w:bCs/>
          <w:i w:val="0"/>
          <w:iCs w:val="0"/>
          <w:sz w:val="20"/>
          <w:szCs w:val="20"/>
          <w:lang w:val="fr-FR"/>
        </w:rPr>
      </w:pPr>
    </w:p>
    <w:p w14:paraId="510E9F5E" w14:textId="77777777" w:rsidR="00B87039" w:rsidRPr="00653BF4" w:rsidRDefault="00B87039" w:rsidP="00B87039">
      <w:pPr>
        <w:rPr>
          <w:sz w:val="20"/>
          <w:szCs w:val="20"/>
          <w:lang w:val="fr-FR" w:eastAsia="ja-JP"/>
        </w:rPr>
      </w:pPr>
      <w:r w:rsidRPr="00653BF4">
        <w:rPr>
          <w:sz w:val="20"/>
          <w:szCs w:val="20"/>
          <w:lang w:val="fr-FR"/>
        </w:rPr>
        <w:t>Figure 61</w:t>
      </w:r>
    </w:p>
    <w:p w14:paraId="3904C07A" w14:textId="5432DACF" w:rsidR="00B87039" w:rsidRPr="00653BF4"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1</w:t>
      </w:r>
      <w:r w:rsidRPr="00653BF4">
        <w:rPr>
          <w:b/>
          <w:bCs/>
          <w:i w:val="0"/>
          <w:iCs w:val="0"/>
          <w:sz w:val="20"/>
          <w:szCs w:val="20"/>
          <w:lang w:val="fr-FR"/>
        </w:rPr>
        <w:t>4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17EF52D7" w14:textId="77777777" w:rsidR="00B87039" w:rsidRPr="00653BF4" w:rsidRDefault="00B87039" w:rsidP="00B87039">
      <w:pPr>
        <w:pStyle w:val="Caption"/>
        <w:rPr>
          <w:lang w:val="fr-FR"/>
        </w:rPr>
      </w:pPr>
      <w:r w:rsidRPr="00653BF4">
        <w:rPr>
          <w:noProof/>
          <w:lang w:val="fr-FR"/>
          <w14:ligatures w14:val="standardContextual"/>
        </w:rPr>
        <w:lastRenderedPageBreak/>
        <w:drawing>
          <wp:inline distT="0" distB="0" distL="0" distR="0" wp14:anchorId="3065DDA0" wp14:editId="4EF40B6E">
            <wp:extent cx="5731510" cy="2456180"/>
            <wp:effectExtent l="0" t="0" r="0" b="0"/>
            <wp:docPr id="213456476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564761" name="Picture 2134564761"/>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5349C70A" w14:textId="4CFC8D82" w:rsidR="00B87039" w:rsidRPr="00653BF4" w:rsidRDefault="00B87039" w:rsidP="00B87039">
      <w:pPr>
        <w:pStyle w:val="Caption"/>
        <w:rPr>
          <w:i w:val="0"/>
          <w:iCs w:val="0"/>
          <w:lang w:val="fr-FR"/>
        </w:rPr>
      </w:pPr>
      <w:bookmarkStart w:id="278" w:name="_Toc235821223"/>
      <w:r w:rsidRPr="00653BF4">
        <w:rPr>
          <w:lang w:val="fr-FR"/>
        </w:rPr>
        <w:t>Note</w:t>
      </w:r>
      <w:r w:rsidR="00E34DC9">
        <w:rPr>
          <w:lang w:val="fr-FR"/>
        </w:rPr>
        <w:t> :</w:t>
      </w:r>
      <w:r w:rsidRPr="00653BF4">
        <w:rPr>
          <w:i w:val="0"/>
          <w:iCs w:val="0"/>
          <w:lang w:val="fr-FR"/>
        </w:rPr>
        <w:t xml:space="preserve"> Les proportions sont pondérées par Partie. Les tendances incluent des données relatives à 1 indicateur de composante, ainsi qu</w:t>
      </w:r>
      <w:r w:rsidR="00D77549">
        <w:rPr>
          <w:i w:val="0"/>
          <w:iCs w:val="0"/>
          <w:lang w:val="fr-FR"/>
        </w:rPr>
        <w:t>’</w:t>
      </w:r>
      <w:r w:rsidRPr="00653BF4">
        <w:rPr>
          <w:i w:val="0"/>
          <w:iCs w:val="0"/>
          <w:lang w:val="fr-FR"/>
        </w:rPr>
        <w:t xml:space="preserve">à 41 indicateurs nationaux provenant au total de 15 Parties. Le diagramme circulaire représente la répartition, par région, des Parties ayant communiqué des indicateurs pour la </w:t>
      </w:r>
      <w:r w:rsidR="00E34DC9">
        <w:rPr>
          <w:i w:val="0"/>
          <w:iCs w:val="0"/>
          <w:lang w:val="fr-FR"/>
        </w:rPr>
        <w:t>cible 1</w:t>
      </w:r>
      <w:r w:rsidRPr="00653BF4">
        <w:rPr>
          <w:i w:val="0"/>
          <w:iCs w:val="0"/>
          <w:lang w:val="fr-FR"/>
        </w:rPr>
        <w:t>4.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735F5E" w:rsidRPr="006F7AF8" w14:paraId="4A4B7AF3" w14:textId="77777777" w:rsidTr="009B4355">
        <w:tc>
          <w:tcPr>
            <w:tcW w:w="8861" w:type="dxa"/>
            <w:gridSpan w:val="2"/>
          </w:tcPr>
          <w:p w14:paraId="76FC5B67" w14:textId="77777777" w:rsidR="00735F5E" w:rsidRPr="00E96361" w:rsidRDefault="00735F5E" w:rsidP="009B4355">
            <w:pPr>
              <w:rPr>
                <w:rFonts w:ascii="Aptos" w:hAnsi="Aptos"/>
                <w:lang w:val="fr-FR"/>
              </w:rPr>
            </w:pPr>
            <w:r w:rsidRPr="00E96361">
              <w:rPr>
                <w:rFonts w:ascii="Aptos" w:hAnsi="Aptos"/>
                <w:lang w:val="fr-FR"/>
              </w:rPr>
              <w:t>Figure 61</w:t>
            </w:r>
          </w:p>
        </w:tc>
      </w:tr>
      <w:tr w:rsidR="00735F5E" w:rsidRPr="006F7AF8" w14:paraId="5091668D" w14:textId="77777777" w:rsidTr="009B4355">
        <w:tc>
          <w:tcPr>
            <w:tcW w:w="4188" w:type="dxa"/>
          </w:tcPr>
          <w:p w14:paraId="4CB891EC" w14:textId="77777777" w:rsidR="00735F5E" w:rsidRPr="00E96361" w:rsidRDefault="00735F5E" w:rsidP="009B4355">
            <w:pPr>
              <w:rPr>
                <w:rFonts w:ascii="Aptos" w:hAnsi="Aptos"/>
                <w:lang w:val="fr-FR"/>
              </w:rPr>
            </w:pPr>
            <w:r w:rsidRPr="00E96361">
              <w:rPr>
                <w:rFonts w:ascii="Aptos" w:hAnsi="Aptos"/>
                <w:lang w:val="fr-FR"/>
              </w:rPr>
              <w:t xml:space="preserve">English </w:t>
            </w:r>
          </w:p>
        </w:tc>
        <w:tc>
          <w:tcPr>
            <w:tcW w:w="4673" w:type="dxa"/>
          </w:tcPr>
          <w:p w14:paraId="5FC2D5D0" w14:textId="77777777" w:rsidR="00735F5E" w:rsidRPr="00E96361" w:rsidRDefault="00735F5E" w:rsidP="009B4355">
            <w:pPr>
              <w:rPr>
                <w:rFonts w:ascii="Aptos" w:hAnsi="Aptos"/>
                <w:lang w:val="fr-FR"/>
              </w:rPr>
            </w:pPr>
            <w:r>
              <w:rPr>
                <w:rFonts w:ascii="Aptos" w:hAnsi="Aptos"/>
                <w:lang w:val="fr-FR"/>
              </w:rPr>
              <w:t>Français</w:t>
            </w:r>
          </w:p>
        </w:tc>
      </w:tr>
      <w:tr w:rsidR="00735F5E" w:rsidRPr="006F7AF8" w14:paraId="42825418" w14:textId="77777777" w:rsidTr="009B4355">
        <w:tc>
          <w:tcPr>
            <w:tcW w:w="4188" w:type="dxa"/>
          </w:tcPr>
          <w:p w14:paraId="75180ED4" w14:textId="77777777" w:rsidR="00735F5E" w:rsidRPr="006F7AF8" w:rsidRDefault="00735F5E" w:rsidP="009B4355">
            <w:pPr>
              <w:rPr>
                <w:rFonts w:ascii="Aptos" w:hAnsi="Aptos"/>
                <w:lang w:val="fr-FR"/>
              </w:rPr>
            </w:pPr>
            <w:r w:rsidRPr="006F7AF8">
              <w:rPr>
                <w:rFonts w:ascii="Aptos" w:hAnsi="Aptos"/>
                <w:lang w:val="fr-FR"/>
              </w:rPr>
              <w:t>Proportion</w:t>
            </w:r>
          </w:p>
        </w:tc>
        <w:tc>
          <w:tcPr>
            <w:tcW w:w="4673" w:type="dxa"/>
          </w:tcPr>
          <w:p w14:paraId="36FDD287" w14:textId="77777777" w:rsidR="00735F5E" w:rsidRPr="006F7AF8" w:rsidRDefault="00735F5E" w:rsidP="009B4355">
            <w:pPr>
              <w:rPr>
                <w:rFonts w:ascii="Aptos" w:hAnsi="Aptos"/>
                <w:lang w:val="fr-FR"/>
              </w:rPr>
            </w:pPr>
            <w:r w:rsidRPr="006F7AF8">
              <w:rPr>
                <w:rFonts w:ascii="Aptos" w:hAnsi="Aptos"/>
                <w:lang w:val="fr-FR"/>
              </w:rPr>
              <w:t>Proportion</w:t>
            </w:r>
          </w:p>
        </w:tc>
      </w:tr>
      <w:tr w:rsidR="00735F5E" w:rsidRPr="006F7AF8" w14:paraId="6E3288D0" w14:textId="77777777" w:rsidTr="009B4355">
        <w:tc>
          <w:tcPr>
            <w:tcW w:w="4188" w:type="dxa"/>
          </w:tcPr>
          <w:p w14:paraId="1CE0E866" w14:textId="77777777" w:rsidR="00735F5E" w:rsidRPr="006F7AF8" w:rsidRDefault="00735F5E" w:rsidP="009B4355">
            <w:pPr>
              <w:rPr>
                <w:rFonts w:ascii="Aptos" w:hAnsi="Aptos"/>
                <w:lang w:val="fr-FR"/>
              </w:rPr>
            </w:pPr>
            <w:r w:rsidRPr="006F7AF8">
              <w:rPr>
                <w:rFonts w:ascii="Aptos" w:hAnsi="Aptos"/>
                <w:lang w:val="fr-FR"/>
              </w:rPr>
              <w:t>Current Status</w:t>
            </w:r>
          </w:p>
        </w:tc>
        <w:tc>
          <w:tcPr>
            <w:tcW w:w="4673" w:type="dxa"/>
          </w:tcPr>
          <w:p w14:paraId="7B40560F" w14:textId="77777777" w:rsidR="00735F5E" w:rsidRPr="006F7AF8" w:rsidRDefault="00735F5E" w:rsidP="009B4355">
            <w:pPr>
              <w:rPr>
                <w:rFonts w:ascii="Aptos" w:hAnsi="Aptos"/>
                <w:lang w:val="fr-FR"/>
              </w:rPr>
            </w:pPr>
            <w:r w:rsidRPr="006F7AF8">
              <w:rPr>
                <w:rFonts w:ascii="Aptos" w:hAnsi="Aptos"/>
                <w:lang w:val="fr-FR"/>
              </w:rPr>
              <w:t>État actuel</w:t>
            </w:r>
          </w:p>
        </w:tc>
      </w:tr>
      <w:tr w:rsidR="00735F5E" w:rsidRPr="006F7AF8" w14:paraId="3F66B5F2" w14:textId="77777777" w:rsidTr="009B4355">
        <w:tc>
          <w:tcPr>
            <w:tcW w:w="4188" w:type="dxa"/>
          </w:tcPr>
          <w:p w14:paraId="23B78E13" w14:textId="77777777" w:rsidR="00735F5E" w:rsidRPr="006F7AF8" w:rsidRDefault="00735F5E" w:rsidP="009B4355">
            <w:pPr>
              <w:rPr>
                <w:rFonts w:ascii="Aptos" w:hAnsi="Aptos"/>
                <w:lang w:val="fr-FR"/>
              </w:rPr>
            </w:pPr>
            <w:r w:rsidRPr="006F7AF8">
              <w:rPr>
                <w:rFonts w:ascii="Aptos" w:hAnsi="Aptos"/>
                <w:lang w:val="fr-FR"/>
              </w:rPr>
              <w:t>improving</w:t>
            </w:r>
          </w:p>
        </w:tc>
        <w:tc>
          <w:tcPr>
            <w:tcW w:w="4673" w:type="dxa"/>
          </w:tcPr>
          <w:p w14:paraId="53D221C7" w14:textId="77777777" w:rsidR="00735F5E" w:rsidRPr="006F7AF8" w:rsidRDefault="00735F5E" w:rsidP="009B4355">
            <w:pPr>
              <w:rPr>
                <w:rFonts w:ascii="Aptos" w:hAnsi="Aptos"/>
                <w:lang w:val="fr-FR"/>
              </w:rPr>
            </w:pPr>
            <w:r>
              <w:rPr>
                <w:rFonts w:ascii="Aptos" w:hAnsi="Aptos"/>
                <w:lang w:val="fr-FR"/>
              </w:rPr>
              <w:t>amélioration</w:t>
            </w:r>
          </w:p>
        </w:tc>
      </w:tr>
      <w:tr w:rsidR="00735F5E" w:rsidRPr="006F7AF8" w14:paraId="7A50ABEF" w14:textId="77777777" w:rsidTr="009B4355">
        <w:tc>
          <w:tcPr>
            <w:tcW w:w="4188" w:type="dxa"/>
          </w:tcPr>
          <w:p w14:paraId="625ED8E8" w14:textId="77777777" w:rsidR="00735F5E" w:rsidRPr="006F7AF8" w:rsidRDefault="00735F5E" w:rsidP="009B4355">
            <w:pPr>
              <w:rPr>
                <w:rFonts w:ascii="Aptos" w:hAnsi="Aptos"/>
                <w:lang w:val="fr-FR"/>
              </w:rPr>
            </w:pPr>
            <w:r w:rsidRPr="006F7AF8">
              <w:rPr>
                <w:rFonts w:ascii="Aptos" w:hAnsi="Aptos"/>
                <w:lang w:val="fr-FR"/>
              </w:rPr>
              <w:t>stable</w:t>
            </w:r>
          </w:p>
        </w:tc>
        <w:tc>
          <w:tcPr>
            <w:tcW w:w="4673" w:type="dxa"/>
          </w:tcPr>
          <w:p w14:paraId="6BB42DDF" w14:textId="77777777" w:rsidR="00735F5E" w:rsidRPr="006F7AF8" w:rsidRDefault="00735F5E"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735F5E" w:rsidRPr="006F7AF8" w14:paraId="6214D0BD" w14:textId="77777777" w:rsidTr="009B4355">
        <w:tc>
          <w:tcPr>
            <w:tcW w:w="4188" w:type="dxa"/>
          </w:tcPr>
          <w:p w14:paraId="03E0EDA2" w14:textId="77777777" w:rsidR="00735F5E" w:rsidRPr="006F7AF8" w:rsidRDefault="00735F5E" w:rsidP="009B4355">
            <w:pPr>
              <w:rPr>
                <w:rFonts w:ascii="Aptos" w:hAnsi="Aptos"/>
                <w:lang w:val="fr-FR"/>
              </w:rPr>
            </w:pPr>
            <w:r w:rsidRPr="006F7AF8">
              <w:rPr>
                <w:rFonts w:ascii="Aptos" w:hAnsi="Aptos"/>
                <w:lang w:val="fr-FR"/>
              </w:rPr>
              <w:t>moving away</w:t>
            </w:r>
          </w:p>
        </w:tc>
        <w:tc>
          <w:tcPr>
            <w:tcW w:w="4673" w:type="dxa"/>
          </w:tcPr>
          <w:p w14:paraId="6709126D" w14:textId="77777777" w:rsidR="00735F5E" w:rsidRPr="006F7AF8" w:rsidRDefault="00735F5E" w:rsidP="009B4355">
            <w:pPr>
              <w:rPr>
                <w:rFonts w:ascii="Aptos" w:hAnsi="Aptos"/>
                <w:lang w:val="fr-FR"/>
              </w:rPr>
            </w:pPr>
            <w:r>
              <w:rPr>
                <w:rFonts w:ascii="Aptos" w:hAnsi="Aptos"/>
                <w:lang w:val="fr-FR"/>
              </w:rPr>
              <w:t>éloignement</w:t>
            </w:r>
          </w:p>
        </w:tc>
      </w:tr>
      <w:tr w:rsidR="00735F5E" w:rsidRPr="006F7AF8" w14:paraId="0A79C9DA" w14:textId="77777777" w:rsidTr="009B4355">
        <w:tc>
          <w:tcPr>
            <w:tcW w:w="4188" w:type="dxa"/>
          </w:tcPr>
          <w:p w14:paraId="5398C723" w14:textId="77777777" w:rsidR="00735F5E" w:rsidRPr="006F7AF8" w:rsidRDefault="00735F5E" w:rsidP="009B4355">
            <w:pPr>
              <w:rPr>
                <w:rFonts w:ascii="Aptos" w:hAnsi="Aptos"/>
                <w:lang w:val="fr-FR"/>
              </w:rPr>
            </w:pPr>
            <w:r w:rsidRPr="006F7AF8">
              <w:rPr>
                <w:rFonts w:ascii="Aptos" w:hAnsi="Aptos"/>
                <w:lang w:val="fr-FR"/>
              </w:rPr>
              <w:t>Party count: 15</w:t>
            </w:r>
          </w:p>
        </w:tc>
        <w:tc>
          <w:tcPr>
            <w:tcW w:w="4673" w:type="dxa"/>
          </w:tcPr>
          <w:p w14:paraId="271C79CF" w14:textId="77777777" w:rsidR="00735F5E" w:rsidRPr="006F7AF8" w:rsidRDefault="00735F5E" w:rsidP="009B4355">
            <w:pPr>
              <w:rPr>
                <w:rFonts w:ascii="Aptos" w:hAnsi="Aptos"/>
                <w:lang w:val="fr-FR"/>
              </w:rPr>
            </w:pPr>
            <w:r w:rsidRPr="006F7AF8">
              <w:rPr>
                <w:rFonts w:ascii="Aptos" w:hAnsi="Aptos"/>
                <w:lang w:val="fr-FR"/>
              </w:rPr>
              <w:t>Nombre de Parties : 15</w:t>
            </w:r>
          </w:p>
        </w:tc>
      </w:tr>
      <w:tr w:rsidR="00735F5E" w:rsidRPr="006F7AF8" w14:paraId="33E9944C" w14:textId="77777777" w:rsidTr="009B4355">
        <w:tc>
          <w:tcPr>
            <w:tcW w:w="4188" w:type="dxa"/>
          </w:tcPr>
          <w:p w14:paraId="7D4166E4" w14:textId="77777777" w:rsidR="00735F5E" w:rsidRPr="006F7AF8" w:rsidRDefault="00735F5E" w:rsidP="009B4355">
            <w:pPr>
              <w:rPr>
                <w:rFonts w:ascii="Aptos" w:hAnsi="Aptos"/>
                <w:lang w:val="fr-FR"/>
              </w:rPr>
            </w:pPr>
            <w:r w:rsidRPr="006F7AF8">
              <w:rPr>
                <w:rFonts w:ascii="Aptos" w:hAnsi="Aptos"/>
                <w:lang w:val="fr-FR"/>
              </w:rPr>
              <w:t>Region</w:t>
            </w:r>
          </w:p>
        </w:tc>
        <w:tc>
          <w:tcPr>
            <w:tcW w:w="4673" w:type="dxa"/>
          </w:tcPr>
          <w:p w14:paraId="51152998"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6F79186B" w14:textId="77777777" w:rsidTr="009B4355">
        <w:tc>
          <w:tcPr>
            <w:tcW w:w="4188" w:type="dxa"/>
          </w:tcPr>
          <w:p w14:paraId="22EAE68D" w14:textId="77777777" w:rsidR="00735F5E" w:rsidRPr="006F7AF8" w:rsidRDefault="00735F5E" w:rsidP="009B4355">
            <w:pPr>
              <w:rPr>
                <w:rFonts w:ascii="Aptos" w:hAnsi="Aptos"/>
                <w:lang w:val="fr-FR"/>
              </w:rPr>
            </w:pPr>
            <w:r w:rsidRPr="006F7AF8">
              <w:rPr>
                <w:rFonts w:ascii="Aptos" w:hAnsi="Aptos"/>
                <w:lang w:val="fr-FR"/>
              </w:rPr>
              <w:t>African States</w:t>
            </w:r>
          </w:p>
        </w:tc>
        <w:tc>
          <w:tcPr>
            <w:tcW w:w="4673" w:type="dxa"/>
          </w:tcPr>
          <w:p w14:paraId="289B78E1"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6DC1CCED" w14:textId="77777777" w:rsidTr="009B4355">
        <w:tc>
          <w:tcPr>
            <w:tcW w:w="4188" w:type="dxa"/>
          </w:tcPr>
          <w:p w14:paraId="13AAA20E"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673" w:type="dxa"/>
          </w:tcPr>
          <w:p w14:paraId="1417BD31"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77682B91" w14:textId="77777777" w:rsidTr="009B4355">
        <w:tc>
          <w:tcPr>
            <w:tcW w:w="4188" w:type="dxa"/>
          </w:tcPr>
          <w:p w14:paraId="3EDF8EEB"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673" w:type="dxa"/>
          </w:tcPr>
          <w:p w14:paraId="217A99BA"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3768FD50" w14:textId="77777777" w:rsidTr="009B4355">
        <w:tc>
          <w:tcPr>
            <w:tcW w:w="4188" w:type="dxa"/>
          </w:tcPr>
          <w:p w14:paraId="725C3FF3"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673" w:type="dxa"/>
          </w:tcPr>
          <w:p w14:paraId="580E4B3B"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7681203F" w14:textId="77777777" w:rsidTr="009B4355">
        <w:tc>
          <w:tcPr>
            <w:tcW w:w="4188" w:type="dxa"/>
          </w:tcPr>
          <w:p w14:paraId="51CAA899"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673" w:type="dxa"/>
          </w:tcPr>
          <w:p w14:paraId="66B2DACF"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5065A8AB" w14:textId="77777777" w:rsidR="00B87039" w:rsidRPr="00653BF4" w:rsidRDefault="00B87039" w:rsidP="00B87039">
      <w:pPr>
        <w:pStyle w:val="Caption"/>
        <w:rPr>
          <w:rStyle w:val="normaltextrun"/>
          <w:rFonts w:cs="Segoe UI"/>
          <w:lang w:val="fr-FR"/>
        </w:rPr>
      </w:pPr>
    </w:p>
    <w:p w14:paraId="67048062" w14:textId="77777777" w:rsidR="00B87039" w:rsidRPr="00653BF4" w:rsidRDefault="00B87039" w:rsidP="00B87039">
      <w:pPr>
        <w:pStyle w:val="Caption"/>
        <w:rPr>
          <w:lang w:val="fr-FR"/>
        </w:rPr>
      </w:pPr>
    </w:p>
    <w:p w14:paraId="32BE2EC2" w14:textId="751CFBD4" w:rsidR="00B87039" w:rsidRPr="00653BF4" w:rsidRDefault="00B87039" w:rsidP="00B87039">
      <w:pPr>
        <w:pStyle w:val="Heading5"/>
        <w:rPr>
          <w:lang w:val="fr-FR"/>
        </w:rPr>
      </w:pPr>
      <w:r w:rsidRPr="00653BF4">
        <w:rPr>
          <w:lang w:val="fr-FR"/>
        </w:rPr>
        <w:t>Auto-évaluation des progrès accomplis</w:t>
      </w:r>
      <w:bookmarkEnd w:id="278"/>
    </w:p>
    <w:p w14:paraId="45148551" w14:textId="77777777" w:rsidR="00B87039" w:rsidRPr="00653BF4" w:rsidRDefault="00B87039" w:rsidP="00B87039">
      <w:pPr>
        <w:pStyle w:val="Caption"/>
        <w:rPr>
          <w:i w:val="0"/>
          <w:iCs w:val="0"/>
          <w:sz w:val="24"/>
          <w:szCs w:val="24"/>
          <w:lang w:val="fr-FR"/>
        </w:rPr>
      </w:pPr>
    </w:p>
    <w:p w14:paraId="3F4B6126" w14:textId="6971B916" w:rsidR="00B87039" w:rsidRPr="00653BF4" w:rsidRDefault="00B87039" w:rsidP="00B87039">
      <w:pPr>
        <w:pStyle w:val="Caption"/>
        <w:rPr>
          <w:i w:val="0"/>
          <w:iCs w:val="0"/>
          <w:sz w:val="24"/>
          <w:szCs w:val="24"/>
          <w:lang w:val="fr-FR"/>
        </w:rPr>
      </w:pPr>
      <w:r w:rsidRPr="00653BF4">
        <w:rPr>
          <w:i w:val="0"/>
          <w:iCs w:val="0"/>
          <w:sz w:val="24"/>
          <w:szCs w:val="24"/>
          <w:lang w:val="fr-FR"/>
        </w:rPr>
        <w:t>D’après les auto-évaluations des Parties figurant dans leurs rapports nationaux, 38</w:t>
      </w:r>
      <w:r w:rsidR="002878D7">
        <w:rPr>
          <w:i w:val="0"/>
          <w:iCs w:val="0"/>
          <w:sz w:val="24"/>
          <w:szCs w:val="24"/>
          <w:lang w:val="fr-FR"/>
        </w:rPr>
        <w:t> %</w:t>
      </w:r>
      <w:r w:rsidRPr="00653BF4">
        <w:rPr>
          <w:i w:val="0"/>
          <w:iCs w:val="0"/>
          <w:sz w:val="24"/>
          <w:szCs w:val="24"/>
          <w:lang w:val="fr-FR"/>
        </w:rPr>
        <w:t xml:space="preserve"> seulement des cibles nationales qu</w:t>
      </w:r>
      <w:r w:rsidR="00D77549">
        <w:rPr>
          <w:i w:val="0"/>
          <w:iCs w:val="0"/>
          <w:sz w:val="24"/>
          <w:szCs w:val="24"/>
          <w:lang w:val="fr-FR"/>
        </w:rPr>
        <w:t>’</w:t>
      </w:r>
      <w:r w:rsidRPr="00653BF4">
        <w:rPr>
          <w:i w:val="0"/>
          <w:iCs w:val="0"/>
          <w:sz w:val="24"/>
          <w:szCs w:val="24"/>
          <w:lang w:val="fr-FR"/>
        </w:rPr>
        <w:t xml:space="preserve">elles ont présentées comme étroitement alignées sur la </w:t>
      </w:r>
      <w:r w:rsidR="00E34DC9">
        <w:rPr>
          <w:i w:val="0"/>
          <w:iCs w:val="0"/>
          <w:sz w:val="24"/>
          <w:szCs w:val="24"/>
          <w:lang w:val="fr-FR"/>
        </w:rPr>
        <w:t>cible 1</w:t>
      </w:r>
      <w:r w:rsidRPr="00653BF4">
        <w:rPr>
          <w:i w:val="0"/>
          <w:iCs w:val="0"/>
          <w:sz w:val="24"/>
          <w:szCs w:val="24"/>
          <w:lang w:val="fr-FR"/>
        </w:rPr>
        <w:t>4 sont en voie d</w:t>
      </w:r>
      <w:r w:rsidR="00D77549">
        <w:rPr>
          <w:i w:val="0"/>
          <w:iCs w:val="0"/>
          <w:sz w:val="24"/>
          <w:szCs w:val="24"/>
          <w:lang w:val="fr-FR"/>
        </w:rPr>
        <w:t>’</w:t>
      </w:r>
      <w:r w:rsidRPr="00653BF4">
        <w:rPr>
          <w:i w:val="0"/>
          <w:iCs w:val="0"/>
          <w:sz w:val="24"/>
          <w:szCs w:val="24"/>
          <w:lang w:val="fr-FR"/>
        </w:rPr>
        <w:t>être atteintes, alors qu</w:t>
      </w:r>
      <w:r w:rsidR="00D77549">
        <w:rPr>
          <w:i w:val="0"/>
          <w:iCs w:val="0"/>
          <w:sz w:val="24"/>
          <w:szCs w:val="24"/>
          <w:lang w:val="fr-FR"/>
        </w:rPr>
        <w:t>’</w:t>
      </w:r>
      <w:r w:rsidRPr="00653BF4">
        <w:rPr>
          <w:i w:val="0"/>
          <w:iCs w:val="0"/>
          <w:sz w:val="24"/>
          <w:szCs w:val="24"/>
          <w:lang w:val="fr-FR"/>
        </w:rPr>
        <w:t xml:space="preserve">une proportion bien plus importante </w:t>
      </w:r>
      <w:r w:rsidRPr="00653BF4">
        <w:rPr>
          <w:i w:val="0"/>
          <w:iCs w:val="0"/>
          <w:sz w:val="24"/>
          <w:szCs w:val="24"/>
          <w:lang w:val="fr-FR"/>
        </w:rPr>
        <w:lastRenderedPageBreak/>
        <w:t>(58</w:t>
      </w:r>
      <w:r w:rsidR="002878D7">
        <w:rPr>
          <w:i w:val="0"/>
          <w:iCs w:val="0"/>
          <w:sz w:val="24"/>
          <w:szCs w:val="24"/>
          <w:lang w:val="fr-FR"/>
        </w:rPr>
        <w:t> %</w:t>
      </w:r>
      <w:r w:rsidRPr="00653BF4">
        <w:rPr>
          <w:i w:val="0"/>
          <w:iCs w:val="0"/>
          <w:sz w:val="24"/>
          <w:szCs w:val="24"/>
          <w:lang w:val="fr-FR"/>
        </w:rPr>
        <w:t>) n</w:t>
      </w:r>
      <w:r w:rsidR="00D77549">
        <w:rPr>
          <w:i w:val="0"/>
          <w:iCs w:val="0"/>
          <w:sz w:val="24"/>
          <w:szCs w:val="24"/>
          <w:lang w:val="fr-FR"/>
        </w:rPr>
        <w:t>’</w:t>
      </w:r>
      <w:r w:rsidRPr="00653BF4">
        <w:rPr>
          <w:i w:val="0"/>
          <w:iCs w:val="0"/>
          <w:sz w:val="24"/>
          <w:szCs w:val="24"/>
          <w:lang w:val="fr-FR"/>
        </w:rPr>
        <w:t>enregistre aucun changement notable ou des progrès insuffisants, et que deux cibles nationales seulement (0,4</w:t>
      </w:r>
      <w:r w:rsidR="002878D7">
        <w:rPr>
          <w:i w:val="0"/>
          <w:iCs w:val="0"/>
          <w:sz w:val="24"/>
          <w:szCs w:val="24"/>
          <w:lang w:val="fr-FR"/>
        </w:rPr>
        <w:t> %</w:t>
      </w:r>
      <w:r w:rsidRPr="00653BF4">
        <w:rPr>
          <w:i w:val="0"/>
          <w:iCs w:val="0"/>
          <w:sz w:val="24"/>
          <w:szCs w:val="24"/>
          <w:lang w:val="fr-FR"/>
        </w:rPr>
        <w:t>) sont déclarées déjà atteintes (voir la figure 62).</w:t>
      </w:r>
    </w:p>
    <w:p w14:paraId="49DAB7C9" w14:textId="77777777" w:rsidR="00B87039" w:rsidRPr="00653BF4" w:rsidRDefault="00B87039" w:rsidP="00B87039">
      <w:pPr>
        <w:pStyle w:val="Caption"/>
        <w:rPr>
          <w:lang w:val="fr-FR"/>
        </w:rPr>
      </w:pPr>
    </w:p>
    <w:p w14:paraId="66C970B6" w14:textId="77777777" w:rsidR="00B87039" w:rsidRPr="00653BF4" w:rsidRDefault="00B87039" w:rsidP="00B87039">
      <w:pPr>
        <w:pStyle w:val="Caption"/>
        <w:rPr>
          <w:i w:val="0"/>
          <w:iCs w:val="0"/>
          <w:sz w:val="20"/>
          <w:szCs w:val="20"/>
          <w:lang w:val="fr-FR"/>
        </w:rPr>
      </w:pPr>
      <w:r w:rsidRPr="00653BF4">
        <w:rPr>
          <w:i w:val="0"/>
          <w:iCs w:val="0"/>
          <w:sz w:val="20"/>
          <w:szCs w:val="20"/>
          <w:lang w:val="fr-FR"/>
        </w:rPr>
        <w:t>Figure 62</w:t>
      </w:r>
    </w:p>
    <w:p w14:paraId="58F5D606" w14:textId="016623B7" w:rsidR="00B87039" w:rsidRPr="00653BF4"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1</w:t>
      </w:r>
      <w:r w:rsidRPr="00653BF4">
        <w:rPr>
          <w:b/>
          <w:bCs/>
          <w:i w:val="0"/>
          <w:iCs w:val="0"/>
          <w:sz w:val="20"/>
          <w:szCs w:val="20"/>
          <w:lang w:val="fr-FR"/>
        </w:rPr>
        <w:t>4 du Cadre</w:t>
      </w:r>
    </w:p>
    <w:p w14:paraId="7E6F3661" w14:textId="77777777" w:rsidR="00B87039" w:rsidRPr="00653BF4" w:rsidRDefault="00B87039" w:rsidP="00B87039">
      <w:pPr>
        <w:pStyle w:val="Caption"/>
        <w:rPr>
          <w:lang w:val="fr-FR"/>
        </w:rPr>
      </w:pPr>
      <w:r w:rsidRPr="00653BF4">
        <w:rPr>
          <w:lang w:val="fr-FR"/>
        </w:rPr>
        <w:t xml:space="preserve"> </w:t>
      </w:r>
      <w:bookmarkStart w:id="279" w:name="_Ref231326941"/>
      <w:r w:rsidRPr="00653BF4">
        <w:rPr>
          <w:rFonts w:eastAsia="Aptos" w:cs="Aptos"/>
          <w:noProof/>
          <w:lang w:val="fr-FR"/>
        </w:rPr>
        <w:drawing>
          <wp:inline distT="0" distB="0" distL="0" distR="0" wp14:anchorId="03675FAB" wp14:editId="2FCDDB65">
            <wp:extent cx="5731510" cy="2292350"/>
            <wp:effectExtent l="0" t="0" r="0" b="6350"/>
            <wp:docPr id="385523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23063" name="Picture 385523063"/>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0B8613D0" w14:textId="55A782BF" w:rsidR="00B87039" w:rsidRPr="00653BF4" w:rsidRDefault="00B87039" w:rsidP="00B87039">
      <w:pPr>
        <w:pStyle w:val="Caption"/>
        <w:rPr>
          <w:i w:val="0"/>
          <w:iCs w:val="0"/>
          <w:lang w:val="fr-FR"/>
        </w:rPr>
      </w:pPr>
      <w:bookmarkStart w:id="280" w:name="_Toc235821224"/>
      <w:bookmarkEnd w:id="279"/>
      <w:r w:rsidRPr="00653BF4">
        <w:rPr>
          <w:lang w:val="fr-FR"/>
        </w:rPr>
        <w:t>Note</w:t>
      </w:r>
      <w:r w:rsidR="00E34DC9">
        <w:rPr>
          <w:lang w:val="fr-FR"/>
        </w:rPr>
        <w:t> :</w:t>
      </w:r>
      <w:r w:rsidRPr="00653BF4">
        <w:rPr>
          <w:lang w:val="fr-FR"/>
        </w:rPr>
        <w:t xml:space="preserve"> </w:t>
      </w:r>
      <w:r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8926" w:type="dxa"/>
        <w:tblLook w:val="04A0" w:firstRow="1" w:lastRow="0" w:firstColumn="1" w:lastColumn="0" w:noHBand="0" w:noVBand="1"/>
      </w:tblPr>
      <w:tblGrid>
        <w:gridCol w:w="4165"/>
        <w:gridCol w:w="4761"/>
      </w:tblGrid>
      <w:tr w:rsidR="00735F5E" w:rsidRPr="006F7AF8" w14:paraId="33E05659" w14:textId="77777777" w:rsidTr="009B4355">
        <w:tc>
          <w:tcPr>
            <w:tcW w:w="8926" w:type="dxa"/>
            <w:gridSpan w:val="2"/>
          </w:tcPr>
          <w:p w14:paraId="715DBB1E" w14:textId="77777777" w:rsidR="00735F5E" w:rsidRPr="006328A3" w:rsidRDefault="00735F5E" w:rsidP="009B4355">
            <w:pPr>
              <w:rPr>
                <w:rFonts w:ascii="Aptos" w:hAnsi="Aptos"/>
                <w:lang w:val="fr-FR"/>
              </w:rPr>
            </w:pPr>
            <w:r w:rsidRPr="006328A3">
              <w:rPr>
                <w:rFonts w:ascii="Aptos" w:hAnsi="Aptos"/>
                <w:lang w:val="fr-FR"/>
              </w:rPr>
              <w:t>Figure 62</w:t>
            </w:r>
          </w:p>
        </w:tc>
      </w:tr>
      <w:tr w:rsidR="00735F5E" w:rsidRPr="006F7AF8" w14:paraId="6E0F359C" w14:textId="77777777" w:rsidTr="009B4355">
        <w:tc>
          <w:tcPr>
            <w:tcW w:w="4165" w:type="dxa"/>
          </w:tcPr>
          <w:p w14:paraId="405D7643" w14:textId="77777777" w:rsidR="00735F5E" w:rsidRPr="006328A3" w:rsidRDefault="00735F5E" w:rsidP="009B4355">
            <w:pPr>
              <w:rPr>
                <w:rFonts w:ascii="Aptos" w:hAnsi="Aptos"/>
                <w:lang w:val="fr-FR"/>
              </w:rPr>
            </w:pPr>
            <w:r w:rsidRPr="006328A3">
              <w:rPr>
                <w:rFonts w:ascii="Aptos" w:hAnsi="Aptos"/>
                <w:lang w:val="fr-FR"/>
              </w:rPr>
              <w:t xml:space="preserve">English </w:t>
            </w:r>
          </w:p>
        </w:tc>
        <w:tc>
          <w:tcPr>
            <w:tcW w:w="4761" w:type="dxa"/>
          </w:tcPr>
          <w:p w14:paraId="5C8ED1B0" w14:textId="77777777" w:rsidR="00735F5E" w:rsidRPr="006328A3" w:rsidRDefault="00735F5E" w:rsidP="009B4355">
            <w:pPr>
              <w:rPr>
                <w:rFonts w:ascii="Aptos" w:hAnsi="Aptos"/>
                <w:lang w:val="fr-FR"/>
              </w:rPr>
            </w:pPr>
            <w:r>
              <w:rPr>
                <w:rFonts w:ascii="Aptos" w:hAnsi="Aptos"/>
                <w:lang w:val="fr-FR"/>
              </w:rPr>
              <w:t>Français</w:t>
            </w:r>
          </w:p>
        </w:tc>
      </w:tr>
      <w:tr w:rsidR="00735F5E" w:rsidRPr="006F7AF8" w14:paraId="29CF7DA3" w14:textId="77777777" w:rsidTr="009B4355">
        <w:tc>
          <w:tcPr>
            <w:tcW w:w="4165" w:type="dxa"/>
          </w:tcPr>
          <w:p w14:paraId="5888985B" w14:textId="77777777" w:rsidR="00735F5E" w:rsidRPr="006F7AF8" w:rsidRDefault="00735F5E" w:rsidP="009B4355">
            <w:pPr>
              <w:rPr>
                <w:rFonts w:ascii="Aptos" w:hAnsi="Aptos"/>
                <w:lang w:val="fr-FR"/>
              </w:rPr>
            </w:pPr>
            <w:r w:rsidRPr="006F7AF8">
              <w:rPr>
                <w:rFonts w:ascii="Aptos" w:hAnsi="Aptos"/>
                <w:lang w:val="fr-FR"/>
              </w:rPr>
              <w:t>Percentage of national targets</w:t>
            </w:r>
          </w:p>
        </w:tc>
        <w:tc>
          <w:tcPr>
            <w:tcW w:w="4761" w:type="dxa"/>
          </w:tcPr>
          <w:p w14:paraId="0B49D07A" w14:textId="77777777" w:rsidR="00735F5E" w:rsidRPr="006F7AF8" w:rsidRDefault="00735F5E" w:rsidP="009B4355">
            <w:pPr>
              <w:rPr>
                <w:rFonts w:ascii="Aptos" w:hAnsi="Aptos"/>
                <w:lang w:val="fr-FR"/>
              </w:rPr>
            </w:pPr>
            <w:r>
              <w:t>Pourcentage de cibles nationales</w:t>
            </w:r>
          </w:p>
        </w:tc>
      </w:tr>
      <w:tr w:rsidR="00735F5E" w:rsidRPr="006F7AF8" w14:paraId="263F2043" w14:textId="77777777" w:rsidTr="009B4355">
        <w:tc>
          <w:tcPr>
            <w:tcW w:w="4165" w:type="dxa"/>
          </w:tcPr>
          <w:p w14:paraId="18139B3A" w14:textId="77777777" w:rsidR="00735F5E" w:rsidRPr="006F7AF8" w:rsidRDefault="00735F5E" w:rsidP="009B4355">
            <w:pPr>
              <w:rPr>
                <w:rFonts w:ascii="Aptos" w:hAnsi="Aptos"/>
                <w:lang w:val="fr-FR"/>
              </w:rPr>
            </w:pPr>
            <w:r w:rsidRPr="006F7AF8">
              <w:rPr>
                <w:rFonts w:ascii="Aptos" w:hAnsi="Aptos"/>
                <w:lang w:val="fr-FR"/>
              </w:rPr>
              <w:t>Progress Level</w:t>
            </w:r>
          </w:p>
        </w:tc>
        <w:tc>
          <w:tcPr>
            <w:tcW w:w="4761" w:type="dxa"/>
          </w:tcPr>
          <w:p w14:paraId="4336BEB6" w14:textId="77777777" w:rsidR="00735F5E" w:rsidRPr="006F7AF8" w:rsidRDefault="00735F5E" w:rsidP="009B4355">
            <w:pPr>
              <w:rPr>
                <w:rFonts w:ascii="Aptos" w:hAnsi="Aptos"/>
                <w:lang w:val="fr-FR"/>
              </w:rPr>
            </w:pPr>
            <w:r>
              <w:t>État d’avancement</w:t>
            </w:r>
          </w:p>
        </w:tc>
      </w:tr>
      <w:tr w:rsidR="00735F5E" w:rsidRPr="006F7AF8" w14:paraId="355791FA" w14:textId="77777777" w:rsidTr="009B4355">
        <w:tc>
          <w:tcPr>
            <w:tcW w:w="4165" w:type="dxa"/>
          </w:tcPr>
          <w:p w14:paraId="5EC58381" w14:textId="77777777" w:rsidR="00735F5E" w:rsidRPr="006F7AF8" w:rsidRDefault="00735F5E" w:rsidP="009B4355">
            <w:pPr>
              <w:rPr>
                <w:rFonts w:ascii="Aptos" w:hAnsi="Aptos"/>
                <w:lang w:val="fr-FR"/>
              </w:rPr>
            </w:pPr>
            <w:r w:rsidRPr="006F7AF8">
              <w:rPr>
                <w:rFonts w:ascii="Aptos" w:hAnsi="Aptos"/>
                <w:lang w:val="fr-FR"/>
              </w:rPr>
              <w:t>Achieved</w:t>
            </w:r>
          </w:p>
        </w:tc>
        <w:tc>
          <w:tcPr>
            <w:tcW w:w="4761" w:type="dxa"/>
          </w:tcPr>
          <w:p w14:paraId="5A52CB8C" w14:textId="77777777" w:rsidR="00735F5E" w:rsidRPr="006F7AF8" w:rsidRDefault="00735F5E" w:rsidP="009B4355">
            <w:pPr>
              <w:rPr>
                <w:rFonts w:ascii="Aptos" w:hAnsi="Aptos"/>
                <w:lang w:val="fr-FR"/>
              </w:rPr>
            </w:pPr>
            <w:r w:rsidRPr="006F7AF8">
              <w:rPr>
                <w:rFonts w:ascii="Aptos" w:hAnsi="Aptos"/>
                <w:lang w:val="fr-FR"/>
              </w:rPr>
              <w:t>Cible atteinte</w:t>
            </w:r>
          </w:p>
        </w:tc>
      </w:tr>
      <w:tr w:rsidR="00735F5E" w:rsidRPr="006F7AF8" w14:paraId="20F4C196" w14:textId="77777777" w:rsidTr="009B4355">
        <w:tc>
          <w:tcPr>
            <w:tcW w:w="4165" w:type="dxa"/>
          </w:tcPr>
          <w:p w14:paraId="7B87EEAC" w14:textId="77777777" w:rsidR="00735F5E" w:rsidRPr="006F7AF8" w:rsidRDefault="00735F5E" w:rsidP="009B4355">
            <w:pPr>
              <w:rPr>
                <w:rFonts w:ascii="Aptos" w:hAnsi="Aptos"/>
                <w:lang w:val="fr-FR"/>
              </w:rPr>
            </w:pPr>
            <w:r w:rsidRPr="006F7AF8">
              <w:rPr>
                <w:rFonts w:ascii="Aptos" w:hAnsi="Aptos"/>
                <w:lang w:val="fr-FR"/>
              </w:rPr>
              <w:t>On track to achieve target</w:t>
            </w:r>
          </w:p>
        </w:tc>
        <w:tc>
          <w:tcPr>
            <w:tcW w:w="4761" w:type="dxa"/>
          </w:tcPr>
          <w:p w14:paraId="28DC27EF" w14:textId="77777777" w:rsidR="00735F5E" w:rsidRPr="006F7AF8" w:rsidRDefault="00735F5E" w:rsidP="009B4355">
            <w:pPr>
              <w:rPr>
                <w:rFonts w:ascii="Aptos" w:hAnsi="Aptos"/>
                <w:lang w:val="fr-FR"/>
              </w:rPr>
            </w:pPr>
            <w:r w:rsidRPr="006F7AF8">
              <w:rPr>
                <w:rFonts w:ascii="Aptos" w:hAnsi="Aptos"/>
                <w:lang w:val="fr-FR"/>
              </w:rPr>
              <w:t>En voie d</w:t>
            </w:r>
            <w:r>
              <w:rPr>
                <w:rFonts w:ascii="Aptos" w:hAnsi="Aptos"/>
                <w:lang w:val="fr-FR"/>
              </w:rPr>
              <w:t>’</w:t>
            </w:r>
            <w:r w:rsidRPr="006F7AF8">
              <w:rPr>
                <w:rFonts w:ascii="Aptos" w:hAnsi="Aptos"/>
                <w:lang w:val="fr-FR"/>
              </w:rPr>
              <w:t>atteindre la cible</w:t>
            </w:r>
          </w:p>
        </w:tc>
      </w:tr>
      <w:tr w:rsidR="00735F5E" w:rsidRPr="006F7AF8" w14:paraId="611C4194" w14:textId="77777777" w:rsidTr="009B4355">
        <w:tc>
          <w:tcPr>
            <w:tcW w:w="4165" w:type="dxa"/>
          </w:tcPr>
          <w:p w14:paraId="68B34F16" w14:textId="77777777" w:rsidR="00735F5E" w:rsidRPr="006F7AF8" w:rsidRDefault="00735F5E" w:rsidP="009B4355">
            <w:pPr>
              <w:rPr>
                <w:rFonts w:ascii="Aptos" w:hAnsi="Aptos"/>
                <w:lang w:val="fr-FR"/>
              </w:rPr>
            </w:pPr>
            <w:r w:rsidRPr="006F7AF8">
              <w:rPr>
                <w:rFonts w:ascii="Aptos" w:hAnsi="Aptos"/>
                <w:lang w:val="fr-FR"/>
              </w:rPr>
              <w:t>Progress towards target but at an insufficient rate</w:t>
            </w:r>
          </w:p>
        </w:tc>
        <w:tc>
          <w:tcPr>
            <w:tcW w:w="4761" w:type="dxa"/>
          </w:tcPr>
          <w:p w14:paraId="41EDF6A7" w14:textId="77777777" w:rsidR="00735F5E" w:rsidRPr="006F7AF8" w:rsidRDefault="00735F5E" w:rsidP="009B4355">
            <w:pPr>
              <w:rPr>
                <w:rFonts w:ascii="Aptos" w:hAnsi="Aptos"/>
                <w:lang w:val="fr-FR"/>
              </w:rPr>
            </w:pPr>
            <w:r w:rsidRPr="006F7AF8">
              <w:rPr>
                <w:rFonts w:ascii="Aptos" w:hAnsi="Aptos"/>
                <w:lang w:val="fr-FR"/>
              </w:rPr>
              <w:t>Progrès accomplis, mais à un rythme insuffisant</w:t>
            </w:r>
          </w:p>
        </w:tc>
      </w:tr>
      <w:tr w:rsidR="00735F5E" w:rsidRPr="006F7AF8" w14:paraId="70EEDC73" w14:textId="77777777" w:rsidTr="009B4355">
        <w:tc>
          <w:tcPr>
            <w:tcW w:w="4165" w:type="dxa"/>
          </w:tcPr>
          <w:p w14:paraId="140CAD99" w14:textId="77777777" w:rsidR="00735F5E" w:rsidRPr="006F7AF8" w:rsidRDefault="00735F5E" w:rsidP="009B4355">
            <w:pPr>
              <w:rPr>
                <w:rFonts w:ascii="Aptos" w:hAnsi="Aptos"/>
                <w:lang w:val="fr-FR"/>
              </w:rPr>
            </w:pPr>
            <w:r w:rsidRPr="006F7AF8">
              <w:rPr>
                <w:rFonts w:ascii="Aptos" w:hAnsi="Aptos"/>
                <w:lang w:val="fr-FR"/>
              </w:rPr>
              <w:t>No significant change</w:t>
            </w:r>
          </w:p>
        </w:tc>
        <w:tc>
          <w:tcPr>
            <w:tcW w:w="4761" w:type="dxa"/>
          </w:tcPr>
          <w:p w14:paraId="456C9076" w14:textId="77777777" w:rsidR="00735F5E" w:rsidRPr="006F7AF8" w:rsidRDefault="00735F5E" w:rsidP="009B4355">
            <w:pPr>
              <w:rPr>
                <w:rFonts w:ascii="Aptos" w:hAnsi="Aptos"/>
                <w:lang w:val="fr-FR"/>
              </w:rPr>
            </w:pPr>
            <w:r w:rsidRPr="006F7AF8">
              <w:rPr>
                <w:rFonts w:ascii="Aptos" w:hAnsi="Aptos"/>
                <w:lang w:val="fr-FR"/>
              </w:rPr>
              <w:t>Pas de changement notable</w:t>
            </w:r>
          </w:p>
        </w:tc>
      </w:tr>
      <w:tr w:rsidR="00735F5E" w:rsidRPr="006F7AF8" w14:paraId="623B8946" w14:textId="77777777" w:rsidTr="009B4355">
        <w:tc>
          <w:tcPr>
            <w:tcW w:w="4165" w:type="dxa"/>
          </w:tcPr>
          <w:p w14:paraId="168C22F6" w14:textId="77777777" w:rsidR="00735F5E" w:rsidRPr="006F7AF8" w:rsidRDefault="00735F5E" w:rsidP="009B4355">
            <w:pPr>
              <w:rPr>
                <w:rFonts w:ascii="Aptos" w:hAnsi="Aptos"/>
                <w:lang w:val="fr-FR"/>
              </w:rPr>
            </w:pPr>
            <w:r w:rsidRPr="006F7AF8">
              <w:rPr>
                <w:rFonts w:ascii="Aptos" w:hAnsi="Aptos"/>
                <w:lang w:val="fr-FR"/>
              </w:rPr>
              <w:t>Unknown</w:t>
            </w:r>
          </w:p>
        </w:tc>
        <w:tc>
          <w:tcPr>
            <w:tcW w:w="4761" w:type="dxa"/>
          </w:tcPr>
          <w:p w14:paraId="19260286" w14:textId="77777777" w:rsidR="00735F5E" w:rsidRPr="006F7AF8" w:rsidRDefault="00735F5E" w:rsidP="009B4355">
            <w:pPr>
              <w:rPr>
                <w:rFonts w:ascii="Aptos" w:hAnsi="Aptos"/>
                <w:lang w:val="fr-FR"/>
              </w:rPr>
            </w:pPr>
            <w:r w:rsidRPr="006F7AF8">
              <w:rPr>
                <w:rFonts w:ascii="Aptos" w:hAnsi="Aptos"/>
                <w:lang w:val="fr-FR"/>
              </w:rPr>
              <w:t>Inconnu</w:t>
            </w:r>
          </w:p>
        </w:tc>
      </w:tr>
      <w:tr w:rsidR="00735F5E" w:rsidRPr="006F7AF8" w14:paraId="1F4FC9A6" w14:textId="77777777" w:rsidTr="009B4355">
        <w:tc>
          <w:tcPr>
            <w:tcW w:w="4165" w:type="dxa"/>
          </w:tcPr>
          <w:p w14:paraId="210E1DEB" w14:textId="77777777" w:rsidR="00735F5E" w:rsidRPr="006F7AF8" w:rsidRDefault="00735F5E" w:rsidP="009B4355">
            <w:pPr>
              <w:rPr>
                <w:rFonts w:ascii="Aptos" w:hAnsi="Aptos"/>
                <w:lang w:val="fr-FR"/>
              </w:rPr>
            </w:pPr>
            <w:r w:rsidRPr="006F7AF8">
              <w:rPr>
                <w:rFonts w:ascii="Aptos" w:hAnsi="Aptos"/>
                <w:lang w:val="fr-FR"/>
              </w:rPr>
              <w:t>Party count: 98</w:t>
            </w:r>
          </w:p>
        </w:tc>
        <w:tc>
          <w:tcPr>
            <w:tcW w:w="4761" w:type="dxa"/>
          </w:tcPr>
          <w:p w14:paraId="359E91E5" w14:textId="77777777" w:rsidR="00735F5E" w:rsidRPr="006F7AF8" w:rsidRDefault="00735F5E" w:rsidP="009B4355">
            <w:pPr>
              <w:rPr>
                <w:rFonts w:ascii="Aptos" w:hAnsi="Aptos"/>
                <w:lang w:val="fr-FR"/>
              </w:rPr>
            </w:pPr>
            <w:r w:rsidRPr="006F7AF8">
              <w:rPr>
                <w:rFonts w:ascii="Aptos" w:hAnsi="Aptos"/>
                <w:lang w:val="fr-FR"/>
              </w:rPr>
              <w:t>Nombre de Parties : 98</w:t>
            </w:r>
          </w:p>
        </w:tc>
      </w:tr>
      <w:tr w:rsidR="00735F5E" w:rsidRPr="006F7AF8" w14:paraId="48DE8CD3" w14:textId="77777777" w:rsidTr="009B4355">
        <w:tc>
          <w:tcPr>
            <w:tcW w:w="4165" w:type="dxa"/>
          </w:tcPr>
          <w:p w14:paraId="52F79568" w14:textId="77777777" w:rsidR="00735F5E" w:rsidRPr="006F7AF8" w:rsidRDefault="00735F5E" w:rsidP="009B4355">
            <w:pPr>
              <w:rPr>
                <w:rFonts w:ascii="Aptos" w:hAnsi="Aptos"/>
                <w:lang w:val="fr-FR"/>
              </w:rPr>
            </w:pPr>
            <w:r w:rsidRPr="006F7AF8">
              <w:rPr>
                <w:rFonts w:ascii="Aptos" w:hAnsi="Aptos"/>
                <w:lang w:val="fr-FR"/>
              </w:rPr>
              <w:t>Region</w:t>
            </w:r>
          </w:p>
        </w:tc>
        <w:tc>
          <w:tcPr>
            <w:tcW w:w="4761" w:type="dxa"/>
          </w:tcPr>
          <w:p w14:paraId="7F2BA825"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66BD835E" w14:textId="77777777" w:rsidTr="009B4355">
        <w:tc>
          <w:tcPr>
            <w:tcW w:w="4165" w:type="dxa"/>
          </w:tcPr>
          <w:p w14:paraId="1CCD5E62" w14:textId="77777777" w:rsidR="00735F5E" w:rsidRPr="006F7AF8" w:rsidRDefault="00735F5E" w:rsidP="009B4355">
            <w:pPr>
              <w:rPr>
                <w:rFonts w:ascii="Aptos" w:hAnsi="Aptos"/>
                <w:lang w:val="fr-FR"/>
              </w:rPr>
            </w:pPr>
            <w:r w:rsidRPr="006F7AF8">
              <w:rPr>
                <w:rFonts w:ascii="Aptos" w:hAnsi="Aptos"/>
                <w:lang w:val="fr-FR"/>
              </w:rPr>
              <w:t>African States</w:t>
            </w:r>
          </w:p>
        </w:tc>
        <w:tc>
          <w:tcPr>
            <w:tcW w:w="4761" w:type="dxa"/>
          </w:tcPr>
          <w:p w14:paraId="0DAAA661"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11DE354E" w14:textId="77777777" w:rsidTr="009B4355">
        <w:tc>
          <w:tcPr>
            <w:tcW w:w="4165" w:type="dxa"/>
          </w:tcPr>
          <w:p w14:paraId="0F65ACD4"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761" w:type="dxa"/>
          </w:tcPr>
          <w:p w14:paraId="4AA40846"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7C2BB4FA" w14:textId="77777777" w:rsidTr="009B4355">
        <w:tc>
          <w:tcPr>
            <w:tcW w:w="4165" w:type="dxa"/>
          </w:tcPr>
          <w:p w14:paraId="14AFBCF1"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761" w:type="dxa"/>
          </w:tcPr>
          <w:p w14:paraId="34F02798"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6706312E" w14:textId="77777777" w:rsidTr="009B4355">
        <w:tc>
          <w:tcPr>
            <w:tcW w:w="4165" w:type="dxa"/>
          </w:tcPr>
          <w:p w14:paraId="33CAD4F4"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761" w:type="dxa"/>
          </w:tcPr>
          <w:p w14:paraId="0758717B"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51FBA4E0" w14:textId="77777777" w:rsidTr="009B4355">
        <w:tc>
          <w:tcPr>
            <w:tcW w:w="4165" w:type="dxa"/>
          </w:tcPr>
          <w:p w14:paraId="7399A612" w14:textId="77777777" w:rsidR="00735F5E" w:rsidRPr="006F7AF8" w:rsidRDefault="00735F5E" w:rsidP="009B4355">
            <w:pPr>
              <w:rPr>
                <w:rFonts w:ascii="Aptos" w:hAnsi="Aptos"/>
                <w:lang w:val="fr-FR"/>
              </w:rPr>
            </w:pPr>
            <w:r w:rsidRPr="006F7AF8">
              <w:rPr>
                <w:rFonts w:ascii="Aptos" w:hAnsi="Aptos"/>
                <w:lang w:val="fr-FR"/>
              </w:rPr>
              <w:lastRenderedPageBreak/>
              <w:t>Western European and other States</w:t>
            </w:r>
          </w:p>
        </w:tc>
        <w:tc>
          <w:tcPr>
            <w:tcW w:w="4761" w:type="dxa"/>
          </w:tcPr>
          <w:p w14:paraId="6885041C"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31B2CDAF" w14:textId="77777777" w:rsidR="00B87039" w:rsidRPr="00653BF4" w:rsidRDefault="00B87039" w:rsidP="00B87039">
      <w:pPr>
        <w:pStyle w:val="Heading5"/>
        <w:rPr>
          <w:rStyle w:val="normaltextrun"/>
          <w:rFonts w:cs="Segoe UI"/>
          <w:lang w:val="fr-FR"/>
        </w:rPr>
      </w:pPr>
    </w:p>
    <w:p w14:paraId="3389721D" w14:textId="77777777" w:rsidR="00B87039" w:rsidRPr="00653BF4" w:rsidRDefault="00B87039" w:rsidP="00B87039">
      <w:pPr>
        <w:pStyle w:val="Heading5"/>
        <w:rPr>
          <w:lang w:val="fr-FR"/>
        </w:rPr>
      </w:pPr>
      <w:r w:rsidRPr="00653BF4">
        <w:rPr>
          <w:lang w:val="fr-FR"/>
        </w:rPr>
        <w:t>Actions, réussites et difficultés</w:t>
      </w:r>
      <w:bookmarkEnd w:id="280"/>
      <w:r w:rsidRPr="00653BF4">
        <w:rPr>
          <w:lang w:val="fr-FR"/>
        </w:rPr>
        <w:t xml:space="preserve"> dans la mise en œuvre</w:t>
      </w:r>
    </w:p>
    <w:p w14:paraId="3AEB9D93" w14:textId="77777777" w:rsidR="00B87039" w:rsidRPr="00653BF4" w:rsidRDefault="00B87039" w:rsidP="00B87039">
      <w:pPr>
        <w:rPr>
          <w:lang w:val="fr-FR"/>
        </w:rPr>
      </w:pPr>
    </w:p>
    <w:p w14:paraId="7C08DE79" w14:textId="0D80CE7F" w:rsidR="00B87039" w:rsidRPr="00653BF4" w:rsidRDefault="00B87039" w:rsidP="00B87039">
      <w:pPr>
        <w:pStyle w:val="Heading6"/>
        <w:rPr>
          <w:lang w:val="fr-FR"/>
        </w:rPr>
      </w:pPr>
      <w:bookmarkStart w:id="281" w:name="_Toc235821225"/>
      <w:r w:rsidRPr="00653BF4">
        <w:rPr>
          <w:lang w:val="fr-FR"/>
        </w:rPr>
        <w:t>Résumé des actions menées à l</w:t>
      </w:r>
      <w:r w:rsidR="00D77549">
        <w:rPr>
          <w:lang w:val="fr-FR"/>
        </w:rPr>
        <w:t>’</w:t>
      </w:r>
      <w:r w:rsidRPr="00653BF4">
        <w:rPr>
          <w:lang w:val="fr-FR"/>
        </w:rPr>
        <w:t xml:space="preserve">appui de la </w:t>
      </w:r>
      <w:r w:rsidR="00E34DC9">
        <w:rPr>
          <w:lang w:val="fr-FR"/>
        </w:rPr>
        <w:t>cible 1</w:t>
      </w:r>
      <w:r w:rsidRPr="00653BF4">
        <w:rPr>
          <w:lang w:val="fr-FR"/>
        </w:rPr>
        <w:t>4</w:t>
      </w:r>
      <w:bookmarkEnd w:id="281"/>
      <w:r w:rsidRPr="00653BF4">
        <w:rPr>
          <w:lang w:val="fr-FR"/>
        </w:rPr>
        <w:t xml:space="preserve"> du Cadre</w:t>
      </w:r>
    </w:p>
    <w:p w14:paraId="7B4BD27F" w14:textId="77777777" w:rsidR="00B87039" w:rsidRPr="00653BF4" w:rsidRDefault="00B87039" w:rsidP="00B87039">
      <w:pPr>
        <w:rPr>
          <w:lang w:val="fr-FR"/>
        </w:rPr>
      </w:pPr>
    </w:p>
    <w:p w14:paraId="26D74CCC" w14:textId="5AFE0591" w:rsidR="00B87039" w:rsidRPr="00653BF4" w:rsidRDefault="00B87039" w:rsidP="00B87039">
      <w:pPr>
        <w:rPr>
          <w:lang w:val="fr-FR"/>
        </w:rPr>
      </w:pPr>
      <w:r w:rsidRPr="00653BF4">
        <w:rPr>
          <w:lang w:val="fr-FR"/>
        </w:rPr>
        <w:t>Les types de mesures les plus fréquemment cités par les Parties à l</w:t>
      </w:r>
      <w:r w:rsidR="00D77549">
        <w:rPr>
          <w:lang w:val="fr-FR"/>
        </w:rPr>
        <w:t>’</w:t>
      </w:r>
      <w:r w:rsidRPr="00653BF4">
        <w:rPr>
          <w:lang w:val="fr-FR"/>
        </w:rPr>
        <w:t xml:space="preserve">appui de la </w:t>
      </w:r>
      <w:r w:rsidR="00E34DC9">
        <w:rPr>
          <w:lang w:val="fr-FR"/>
        </w:rPr>
        <w:t>cible 1</w:t>
      </w:r>
      <w:r w:rsidRPr="00653BF4">
        <w:rPr>
          <w:lang w:val="fr-FR"/>
        </w:rPr>
        <w:t>4 sont les mesures juridiques et réglementaires. Parmi les exemples figurent les exigences relatives aux évaluations d</w:t>
      </w:r>
      <w:r w:rsidR="00D77549">
        <w:rPr>
          <w:lang w:val="fr-FR"/>
        </w:rPr>
        <w:t>’</w:t>
      </w:r>
      <w:r w:rsidRPr="00653BF4">
        <w:rPr>
          <w:lang w:val="fr-FR"/>
        </w:rPr>
        <w:t>impact environnemental obligatoires et aux évaluations environnementales stratégiques, la réforme de la législation en matière de planification afin d</w:t>
      </w:r>
      <w:r w:rsidR="00D77549">
        <w:rPr>
          <w:lang w:val="fr-FR"/>
        </w:rPr>
        <w:t>’</w:t>
      </w:r>
      <w:r w:rsidRPr="00653BF4">
        <w:rPr>
          <w:lang w:val="fr-FR"/>
        </w:rPr>
        <w:t xml:space="preserve">y intégrer la biodiversité, le recours à des concepts réglementaires tels que le </w:t>
      </w:r>
      <w:r w:rsidR="00E34DC9">
        <w:rPr>
          <w:lang w:val="fr-FR"/>
        </w:rPr>
        <w:t>« </w:t>
      </w:r>
      <w:r w:rsidRPr="00653BF4">
        <w:rPr>
          <w:lang w:val="fr-FR"/>
        </w:rPr>
        <w:t>gain net de biodiversité</w:t>
      </w:r>
      <w:r w:rsidR="00E34DC9">
        <w:rPr>
          <w:lang w:val="fr-FR"/>
        </w:rPr>
        <w:t> »</w:t>
      </w:r>
      <w:r w:rsidRPr="00653BF4">
        <w:rPr>
          <w:lang w:val="fr-FR"/>
        </w:rPr>
        <w:t xml:space="preserve"> ou l</w:t>
      </w:r>
      <w:r w:rsidR="00D77549">
        <w:rPr>
          <w:lang w:val="fr-FR"/>
        </w:rPr>
        <w:t>’</w:t>
      </w:r>
      <w:r w:rsidR="00E34DC9">
        <w:rPr>
          <w:lang w:val="fr-FR"/>
        </w:rPr>
        <w:t xml:space="preserve">» </w:t>
      </w:r>
      <w:r w:rsidRPr="00653BF4">
        <w:rPr>
          <w:lang w:val="fr-FR"/>
        </w:rPr>
        <w:t>absence de perte nette</w:t>
      </w:r>
      <w:r w:rsidR="00E34DC9">
        <w:rPr>
          <w:lang w:val="fr-FR"/>
        </w:rPr>
        <w:t> »</w:t>
      </w:r>
      <w:r w:rsidRPr="00653BF4">
        <w:rPr>
          <w:lang w:val="fr-FR"/>
        </w:rPr>
        <w:t>, la réglementation relative à la compensation pour la perte de biodiversité, les obligations de publication d</w:t>
      </w:r>
      <w:r w:rsidR="00D77549">
        <w:rPr>
          <w:lang w:val="fr-FR"/>
        </w:rPr>
        <w:t>’</w:t>
      </w:r>
      <w:r w:rsidRPr="00653BF4">
        <w:rPr>
          <w:lang w:val="fr-FR"/>
        </w:rPr>
        <w:t xml:space="preserve">informations en matière de finance durable et la réglementation relative à la taxonomie verte. Les mesures relatives à la recherche, au suivi et aux données visant à soutenir la </w:t>
      </w:r>
      <w:r w:rsidR="00E34DC9">
        <w:rPr>
          <w:lang w:val="fr-FR"/>
        </w:rPr>
        <w:t>cible 1</w:t>
      </w:r>
      <w:r w:rsidRPr="00653BF4">
        <w:rPr>
          <w:lang w:val="fr-FR"/>
        </w:rPr>
        <w:t>4 comprennent la comptabilisation du capital naturel conforme au SCEE CE, ainsi que la mise en place de plateformes nationales de données, de centres d</w:t>
      </w:r>
      <w:r w:rsidR="00D77549">
        <w:rPr>
          <w:lang w:val="fr-FR"/>
        </w:rPr>
        <w:t>’</w:t>
      </w:r>
      <w:r w:rsidRPr="00653BF4">
        <w:rPr>
          <w:lang w:val="fr-FR"/>
        </w:rPr>
        <w:t>échange nationaux et de systèmes de suivi destinés à évaluer le respect des réglementations relatives aux impacts environnementaux (voir l</w:t>
      </w:r>
      <w:r w:rsidR="00D77549">
        <w:rPr>
          <w:lang w:val="fr-FR"/>
        </w:rPr>
        <w:t>’</w:t>
      </w:r>
      <w:r w:rsidRPr="00653BF4">
        <w:rPr>
          <w:lang w:val="fr-FR"/>
        </w:rPr>
        <w:t xml:space="preserve">encadré 36). Parmi les mesures économiques et financières liées à la </w:t>
      </w:r>
      <w:r w:rsidR="00E34DC9">
        <w:rPr>
          <w:lang w:val="fr-FR"/>
        </w:rPr>
        <w:t>cible 1</w:t>
      </w:r>
      <w:r w:rsidRPr="00653BF4">
        <w:rPr>
          <w:lang w:val="fr-FR"/>
        </w:rPr>
        <w:t>4 mentionnées dans certains rapports nationaux figurent l’émission d’obligations vertes et d’obligations souveraines, la conversion de dettes en mesures en faveur de la nature, les plans de financement de la biodiversité dans le cadre de l’Initiative pour le financement de la biodiversité (BIOFIN) du PNUD, la réforme et la réaffectation des subventions, la rémunération des services écosystémiques, les taxonomies de la finance durable, les mécanismes de compensation de la biodiversité, les cadres de crédit vert et les principes bancaires durables.</w:t>
      </w:r>
    </w:p>
    <w:p w14:paraId="2CA9EEED" w14:textId="77777777" w:rsidR="00B87039" w:rsidRPr="00653BF4" w:rsidRDefault="00B87039" w:rsidP="00B87039">
      <w:pPr>
        <w:rPr>
          <w:lang w:val="fr-FR"/>
        </w:rPr>
      </w:pPr>
    </w:p>
    <w:p w14:paraId="0E3FB226"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16"/>
      </w:tblGrid>
      <w:tr w:rsidR="00B87039" w:rsidRPr="00543148" w14:paraId="54EB1E8D" w14:textId="77777777" w:rsidTr="00557FB3">
        <w:tc>
          <w:tcPr>
            <w:tcW w:w="9016" w:type="dxa"/>
            <w:shd w:val="clear" w:color="auto" w:fill="D1D1D1" w:themeFill="background2" w:themeFillShade="E6"/>
          </w:tcPr>
          <w:p w14:paraId="3CA20A30" w14:textId="77777777" w:rsidR="00B87039" w:rsidRPr="00653BF4" w:rsidRDefault="00B87039" w:rsidP="00557FB3">
            <w:pPr>
              <w:rPr>
                <w:color w:val="000000"/>
                <w:lang w:val="fr-FR"/>
              </w:rPr>
            </w:pPr>
          </w:p>
          <w:p w14:paraId="2F6D97A0" w14:textId="77777777" w:rsidR="00B87039" w:rsidRPr="00653BF4" w:rsidRDefault="00B87039" w:rsidP="00557FB3">
            <w:pPr>
              <w:rPr>
                <w:sz w:val="20"/>
                <w:szCs w:val="20"/>
                <w:lang w:val="fr-FR"/>
              </w:rPr>
            </w:pPr>
            <w:r w:rsidRPr="00653BF4">
              <w:rPr>
                <w:sz w:val="20"/>
                <w:szCs w:val="20"/>
                <w:lang w:val="fr-FR"/>
              </w:rPr>
              <w:t>Encadré 36</w:t>
            </w:r>
          </w:p>
          <w:p w14:paraId="1A5E93D8" w14:textId="77777777" w:rsidR="00B87039" w:rsidRPr="00653BF4" w:rsidRDefault="00B87039" w:rsidP="00557FB3">
            <w:pPr>
              <w:rPr>
                <w:b/>
                <w:bCs/>
                <w:sz w:val="20"/>
                <w:szCs w:val="20"/>
                <w:lang w:val="fr-FR"/>
              </w:rPr>
            </w:pPr>
            <w:r w:rsidRPr="00653BF4">
              <w:rPr>
                <w:b/>
                <w:bCs/>
                <w:sz w:val="20"/>
                <w:szCs w:val="20"/>
                <w:lang w:val="fr-FR"/>
              </w:rPr>
              <w:t>Intégration de la biodiversité à différentes échelles et entre les secteurs en Colombie</w:t>
            </w:r>
          </w:p>
          <w:p w14:paraId="395A7A38" w14:textId="77777777" w:rsidR="00B87039" w:rsidRPr="00653BF4" w:rsidRDefault="00B87039" w:rsidP="00557FB3">
            <w:pPr>
              <w:rPr>
                <w:color w:val="000000"/>
                <w:lang w:val="fr-FR"/>
              </w:rPr>
            </w:pPr>
          </w:p>
          <w:p w14:paraId="5F0F8B63" w14:textId="4FDD4AB5" w:rsidR="00B87039" w:rsidRPr="00653BF4" w:rsidRDefault="00B87039" w:rsidP="00557FB3">
            <w:pPr>
              <w:rPr>
                <w:color w:val="000000"/>
                <w:sz w:val="20"/>
                <w:szCs w:val="20"/>
                <w:lang w:val="fr-FR"/>
              </w:rPr>
            </w:pPr>
            <w:r w:rsidRPr="00653BF4">
              <w:rPr>
                <w:color w:val="000000"/>
                <w:sz w:val="20"/>
                <w:szCs w:val="20"/>
                <w:lang w:val="fr-FR"/>
              </w:rPr>
              <w:t>L</w:t>
            </w:r>
            <w:r w:rsidR="00D77549">
              <w:rPr>
                <w:color w:val="000000"/>
                <w:sz w:val="20"/>
                <w:szCs w:val="20"/>
                <w:lang w:val="fr-FR"/>
              </w:rPr>
              <w:t>’</w:t>
            </w:r>
            <w:r w:rsidRPr="00653BF4">
              <w:rPr>
                <w:color w:val="000000"/>
                <w:sz w:val="20"/>
                <w:szCs w:val="20"/>
                <w:lang w:val="fr-FR"/>
              </w:rPr>
              <w:t>approche adoptée par la Colombie en matière d</w:t>
            </w:r>
            <w:r w:rsidR="00D77549">
              <w:rPr>
                <w:color w:val="000000"/>
                <w:sz w:val="20"/>
                <w:szCs w:val="20"/>
                <w:lang w:val="fr-FR"/>
              </w:rPr>
              <w:t>’</w:t>
            </w:r>
            <w:r w:rsidRPr="00653BF4">
              <w:rPr>
                <w:color w:val="000000"/>
                <w:sz w:val="20"/>
                <w:szCs w:val="20"/>
                <w:lang w:val="fr-FR"/>
              </w:rPr>
              <w:t>intégration de la biodiversité repose sur la prise en compte des enjeux liés à la biodiversité dans la planification nationale, l</w:t>
            </w:r>
            <w:r w:rsidR="00D77549">
              <w:rPr>
                <w:color w:val="000000"/>
                <w:sz w:val="20"/>
                <w:szCs w:val="20"/>
                <w:lang w:val="fr-FR"/>
              </w:rPr>
              <w:t>’</w:t>
            </w:r>
            <w:r w:rsidRPr="00653BF4">
              <w:rPr>
                <w:color w:val="000000"/>
                <w:sz w:val="20"/>
                <w:szCs w:val="20"/>
                <w:lang w:val="fr-FR"/>
              </w:rPr>
              <w:t>aménagement du territoire, les politiques sectorielles et les décisions économiques. Le Plan d</w:t>
            </w:r>
            <w:r w:rsidR="00D77549">
              <w:rPr>
                <w:color w:val="000000"/>
                <w:sz w:val="20"/>
                <w:szCs w:val="20"/>
                <w:lang w:val="fr-FR"/>
              </w:rPr>
              <w:t>’</w:t>
            </w:r>
            <w:r w:rsidRPr="00653BF4">
              <w:rPr>
                <w:color w:val="000000"/>
                <w:sz w:val="20"/>
                <w:szCs w:val="20"/>
                <w:lang w:val="fr-FR"/>
              </w:rPr>
              <w:t>action pour la biodiversité 2024-2030, conforme au Cadre, fournit une feuille de route pour sa mise en œuvre au niveau national grâce à six cibles nationales et à un système de suivi s</w:t>
            </w:r>
            <w:r w:rsidR="00D77549">
              <w:rPr>
                <w:color w:val="000000"/>
                <w:sz w:val="20"/>
                <w:szCs w:val="20"/>
                <w:lang w:val="fr-FR"/>
              </w:rPr>
              <w:t>’</w:t>
            </w:r>
            <w:r w:rsidRPr="00653BF4">
              <w:rPr>
                <w:color w:val="000000"/>
                <w:sz w:val="20"/>
                <w:szCs w:val="20"/>
                <w:lang w:val="fr-FR"/>
              </w:rPr>
              <w:t>appuyant sur 27 indicateurs. Le Plan national de développement 2022-2026 fait de la biodiversité une priorité transversale dans l</w:t>
            </w:r>
            <w:r w:rsidR="00D77549">
              <w:rPr>
                <w:color w:val="000000"/>
                <w:sz w:val="20"/>
                <w:szCs w:val="20"/>
                <w:lang w:val="fr-FR"/>
              </w:rPr>
              <w:t>’</w:t>
            </w:r>
            <w:r w:rsidRPr="00653BF4">
              <w:rPr>
                <w:color w:val="000000"/>
                <w:sz w:val="20"/>
                <w:szCs w:val="20"/>
                <w:lang w:val="fr-FR"/>
              </w:rPr>
              <w:t xml:space="preserve">ensemble des </w:t>
            </w:r>
            <w:r w:rsidRPr="00653BF4">
              <w:rPr>
                <w:color w:val="000000"/>
                <w:sz w:val="20"/>
                <w:szCs w:val="20"/>
                <w:lang w:val="fr-FR"/>
              </w:rPr>
              <w:lastRenderedPageBreak/>
              <w:t>politiques gouvernementales, tandis que les instruments d</w:t>
            </w:r>
            <w:r w:rsidR="00D77549">
              <w:rPr>
                <w:color w:val="000000"/>
                <w:sz w:val="20"/>
                <w:szCs w:val="20"/>
                <w:lang w:val="fr-FR"/>
              </w:rPr>
              <w:t>’</w:t>
            </w:r>
            <w:r w:rsidRPr="00653BF4">
              <w:rPr>
                <w:color w:val="000000"/>
                <w:sz w:val="20"/>
                <w:szCs w:val="20"/>
                <w:lang w:val="fr-FR"/>
              </w:rPr>
              <w:t>aménagement du territoire intègrent progressivement la biodiversité par le biais de déterminants environnementaux et de processus participatifs d</w:t>
            </w:r>
            <w:r w:rsidR="00D77549">
              <w:rPr>
                <w:color w:val="000000"/>
                <w:sz w:val="20"/>
                <w:szCs w:val="20"/>
                <w:lang w:val="fr-FR"/>
              </w:rPr>
              <w:t>’</w:t>
            </w:r>
            <w:r w:rsidRPr="00653BF4">
              <w:rPr>
                <w:color w:val="000000"/>
                <w:sz w:val="20"/>
                <w:szCs w:val="20"/>
                <w:lang w:val="fr-FR"/>
              </w:rPr>
              <w:t>aménagement du territoire.</w:t>
            </w:r>
          </w:p>
          <w:p w14:paraId="72633505" w14:textId="77777777" w:rsidR="00B87039" w:rsidRPr="00653BF4" w:rsidRDefault="00B87039" w:rsidP="00557FB3">
            <w:pPr>
              <w:rPr>
                <w:color w:val="000000"/>
                <w:sz w:val="20"/>
                <w:szCs w:val="20"/>
                <w:lang w:val="fr-FR"/>
              </w:rPr>
            </w:pPr>
          </w:p>
          <w:p w14:paraId="62F5FBC6" w14:textId="395688A6" w:rsidR="00B87039" w:rsidRPr="00653BF4" w:rsidRDefault="00B87039" w:rsidP="00557FB3">
            <w:pPr>
              <w:rPr>
                <w:color w:val="000000"/>
                <w:sz w:val="20"/>
                <w:szCs w:val="20"/>
                <w:lang w:val="fr-FR"/>
              </w:rPr>
            </w:pPr>
            <w:r w:rsidRPr="00653BF4">
              <w:rPr>
                <w:color w:val="000000"/>
                <w:sz w:val="20"/>
                <w:szCs w:val="20"/>
                <w:lang w:val="fr-FR"/>
              </w:rPr>
              <w:t>En complément de ces efforts, le système SCEE-CE renforce l’intégration du capital naturel dans les statistiques nationales et la planification économique, favorisant ainsi des décisions plus éclairées en matière d’investissements publics et de politiques. Cette approche intégrée qui associe la planification nationale, l’aménagement du territoire, la mise en œuvre sectorielle, le suivi et la comptabilité environnementale et économique favorise l’intégration de la biodiversité à tous les niveaux de gouvernance. Parmi les défis qui restent à relever figurent le renforcement des capacités institutionnelles au niveau infranational, l</w:t>
            </w:r>
            <w:r w:rsidR="00D77549">
              <w:rPr>
                <w:color w:val="000000"/>
                <w:sz w:val="20"/>
                <w:szCs w:val="20"/>
                <w:lang w:val="fr-FR"/>
              </w:rPr>
              <w:t>’</w:t>
            </w:r>
            <w:r w:rsidRPr="00653BF4">
              <w:rPr>
                <w:color w:val="000000"/>
                <w:sz w:val="20"/>
                <w:szCs w:val="20"/>
                <w:lang w:val="fr-FR"/>
              </w:rPr>
              <w:t>amélioration de la coordination intersectorielle, la garantie de la mise en œuvre effective au niveau territorial et la consolidation du suivi grâce au système d</w:t>
            </w:r>
            <w:r w:rsidR="00D77549">
              <w:rPr>
                <w:color w:val="000000"/>
                <w:sz w:val="20"/>
                <w:szCs w:val="20"/>
                <w:lang w:val="fr-FR"/>
              </w:rPr>
              <w:t>’</w:t>
            </w:r>
            <w:r w:rsidRPr="00653BF4">
              <w:rPr>
                <w:color w:val="000000"/>
                <w:sz w:val="20"/>
                <w:szCs w:val="20"/>
                <w:lang w:val="fr-FR"/>
              </w:rPr>
              <w:t>établissement de rapports et de vérification en matière de biodiversité. L</w:t>
            </w:r>
            <w:r w:rsidR="00D77549">
              <w:rPr>
                <w:color w:val="000000"/>
                <w:sz w:val="20"/>
                <w:szCs w:val="20"/>
                <w:lang w:val="fr-FR"/>
              </w:rPr>
              <w:t>’</w:t>
            </w:r>
            <w:r w:rsidRPr="00653BF4">
              <w:rPr>
                <w:color w:val="000000"/>
                <w:sz w:val="20"/>
                <w:szCs w:val="20"/>
                <w:lang w:val="fr-FR"/>
              </w:rPr>
              <w:t>approche adoptée par le pays vise également à promouvoir la participation du public, l</w:t>
            </w:r>
            <w:r w:rsidR="00D77549">
              <w:rPr>
                <w:color w:val="000000"/>
                <w:sz w:val="20"/>
                <w:szCs w:val="20"/>
                <w:lang w:val="fr-FR"/>
              </w:rPr>
              <w:t>’</w:t>
            </w:r>
            <w:r w:rsidRPr="00653BF4">
              <w:rPr>
                <w:color w:val="000000"/>
                <w:sz w:val="20"/>
                <w:szCs w:val="20"/>
                <w:lang w:val="fr-FR"/>
              </w:rPr>
              <w:t>accès à l</w:t>
            </w:r>
            <w:r w:rsidR="00D77549">
              <w:rPr>
                <w:color w:val="000000"/>
                <w:sz w:val="20"/>
                <w:szCs w:val="20"/>
                <w:lang w:val="fr-FR"/>
              </w:rPr>
              <w:t>’</w:t>
            </w:r>
            <w:r w:rsidRPr="00653BF4">
              <w:rPr>
                <w:color w:val="000000"/>
                <w:sz w:val="20"/>
                <w:szCs w:val="20"/>
                <w:lang w:val="fr-FR"/>
              </w:rPr>
              <w:t>information et à la justice en matière d</w:t>
            </w:r>
            <w:r w:rsidR="00D77549">
              <w:rPr>
                <w:color w:val="000000"/>
                <w:sz w:val="20"/>
                <w:szCs w:val="20"/>
                <w:lang w:val="fr-FR"/>
              </w:rPr>
              <w:t>’</w:t>
            </w:r>
            <w:r w:rsidRPr="00653BF4">
              <w:rPr>
                <w:color w:val="000000"/>
                <w:sz w:val="20"/>
                <w:szCs w:val="20"/>
                <w:lang w:val="fr-FR"/>
              </w:rPr>
              <w:t>environnement, ainsi que la protection des défenseurs des droits humains liés à l</w:t>
            </w:r>
            <w:r w:rsidR="00D77549">
              <w:rPr>
                <w:color w:val="000000"/>
                <w:sz w:val="20"/>
                <w:szCs w:val="20"/>
                <w:lang w:val="fr-FR"/>
              </w:rPr>
              <w:t>’</w:t>
            </w:r>
            <w:r w:rsidRPr="00653BF4">
              <w:rPr>
                <w:color w:val="000000"/>
                <w:sz w:val="20"/>
                <w:szCs w:val="20"/>
                <w:lang w:val="fr-FR"/>
              </w:rPr>
              <w:t>environnement, conformément à l</w:t>
            </w:r>
            <w:r w:rsidR="00D77549">
              <w:rPr>
                <w:color w:val="000000"/>
                <w:sz w:val="20"/>
                <w:szCs w:val="20"/>
                <w:lang w:val="fr-FR"/>
              </w:rPr>
              <w:t>’</w:t>
            </w:r>
            <w:r w:rsidRPr="00653BF4">
              <w:rPr>
                <w:color w:val="000000"/>
                <w:sz w:val="20"/>
                <w:szCs w:val="20"/>
                <w:lang w:val="fr-FR"/>
              </w:rPr>
              <w:t>Accord régional sur l</w:t>
            </w:r>
            <w:r w:rsidR="00D77549">
              <w:rPr>
                <w:color w:val="000000"/>
                <w:sz w:val="20"/>
                <w:szCs w:val="20"/>
                <w:lang w:val="fr-FR"/>
              </w:rPr>
              <w:t>’</w:t>
            </w:r>
            <w:r w:rsidRPr="00653BF4">
              <w:rPr>
                <w:color w:val="000000"/>
                <w:sz w:val="20"/>
                <w:szCs w:val="20"/>
                <w:lang w:val="fr-FR"/>
              </w:rPr>
              <w:t>accès à l</w:t>
            </w:r>
            <w:r w:rsidR="00D77549">
              <w:rPr>
                <w:color w:val="000000"/>
                <w:sz w:val="20"/>
                <w:szCs w:val="20"/>
                <w:lang w:val="fr-FR"/>
              </w:rPr>
              <w:t>’</w:t>
            </w:r>
            <w:r w:rsidRPr="00653BF4">
              <w:rPr>
                <w:color w:val="000000"/>
                <w:sz w:val="20"/>
                <w:szCs w:val="20"/>
                <w:lang w:val="fr-FR"/>
              </w:rPr>
              <w:t>information, la participation du public et l</w:t>
            </w:r>
            <w:r w:rsidR="00D77549">
              <w:rPr>
                <w:color w:val="000000"/>
                <w:sz w:val="20"/>
                <w:szCs w:val="20"/>
                <w:lang w:val="fr-FR"/>
              </w:rPr>
              <w:t>’</w:t>
            </w:r>
            <w:r w:rsidRPr="00653BF4">
              <w:rPr>
                <w:color w:val="000000"/>
                <w:sz w:val="20"/>
                <w:szCs w:val="20"/>
                <w:lang w:val="fr-FR"/>
              </w:rPr>
              <w:t>accès à la justice en matière d</w:t>
            </w:r>
            <w:r w:rsidR="00D77549">
              <w:rPr>
                <w:color w:val="000000"/>
                <w:sz w:val="20"/>
                <w:szCs w:val="20"/>
                <w:lang w:val="fr-FR"/>
              </w:rPr>
              <w:t>’</w:t>
            </w:r>
            <w:r w:rsidRPr="00653BF4">
              <w:rPr>
                <w:color w:val="000000"/>
                <w:sz w:val="20"/>
                <w:szCs w:val="20"/>
                <w:lang w:val="fr-FR"/>
              </w:rPr>
              <w:t>environnement en Amérique latine et dans les Caraïbes (Accord d</w:t>
            </w:r>
            <w:r w:rsidR="00D77549">
              <w:rPr>
                <w:color w:val="000000"/>
                <w:sz w:val="20"/>
                <w:szCs w:val="20"/>
                <w:lang w:val="fr-FR"/>
              </w:rPr>
              <w:t>’</w:t>
            </w:r>
            <w:r w:rsidRPr="00653BF4">
              <w:rPr>
                <w:color w:val="000000"/>
                <w:sz w:val="20"/>
                <w:szCs w:val="20"/>
                <w:lang w:val="fr-FR"/>
              </w:rPr>
              <w:t>Escazú).</w:t>
            </w:r>
          </w:p>
          <w:p w14:paraId="11C8B79E" w14:textId="77777777" w:rsidR="00B87039" w:rsidRPr="00653BF4" w:rsidRDefault="00B87039" w:rsidP="00557FB3">
            <w:pPr>
              <w:rPr>
                <w:color w:val="000000"/>
                <w:lang w:val="fr-FR"/>
              </w:rPr>
            </w:pPr>
          </w:p>
          <w:p w14:paraId="5C38F653" w14:textId="05823414" w:rsidR="00B87039" w:rsidRPr="00653BF4" w:rsidRDefault="00B87039" w:rsidP="00557FB3">
            <w:pPr>
              <w:rPr>
                <w:i/>
                <w:iCs/>
                <w:color w:val="000000"/>
                <w:sz w:val="20"/>
                <w:szCs w:val="20"/>
                <w:lang w:val="fr-FR"/>
              </w:rPr>
            </w:pPr>
            <w:r w:rsidRPr="00653BF4">
              <w:rPr>
                <w:i/>
                <w:iCs/>
                <w:color w:val="000000"/>
                <w:sz w:val="20"/>
                <w:szCs w:val="20"/>
                <w:lang w:val="fr-FR"/>
              </w:rPr>
              <w:t>Cibles concernées</w:t>
            </w:r>
            <w:r w:rsidR="00E34DC9">
              <w:rPr>
                <w:i/>
                <w:iCs/>
                <w:color w:val="000000"/>
                <w:sz w:val="20"/>
                <w:szCs w:val="20"/>
                <w:lang w:val="fr-FR"/>
              </w:rPr>
              <w:t> :</w:t>
            </w:r>
            <w:r w:rsidRPr="00653BF4">
              <w:rPr>
                <w:i/>
                <w:iCs/>
                <w:color w:val="000000"/>
                <w:sz w:val="20"/>
                <w:szCs w:val="20"/>
                <w:lang w:val="fr-FR"/>
              </w:rPr>
              <w:t xml:space="preserve"> 1, 14, 15, 18 et 21.</w:t>
            </w:r>
          </w:p>
          <w:p w14:paraId="104EA466" w14:textId="161C1604" w:rsidR="00B87039" w:rsidRPr="00653BF4" w:rsidRDefault="00B87039" w:rsidP="00557FB3">
            <w:pPr>
              <w:rPr>
                <w:iCs/>
                <w:color w:val="000000"/>
                <w:lang w:val="fr-FR"/>
              </w:rPr>
            </w:pPr>
            <w:r w:rsidRPr="00653BF4">
              <w:rPr>
                <w:i/>
                <w:color w:val="000000"/>
                <w:sz w:val="20"/>
                <w:szCs w:val="20"/>
                <w:lang w:val="fr-FR"/>
              </w:rPr>
              <w:t>Sources</w:t>
            </w:r>
            <w:r w:rsidR="00E34DC9">
              <w:rPr>
                <w:i/>
                <w:color w:val="000000"/>
                <w:sz w:val="20"/>
                <w:szCs w:val="20"/>
                <w:lang w:val="fr-FR"/>
              </w:rPr>
              <w:t> :</w:t>
            </w:r>
            <w:r w:rsidRPr="00653BF4">
              <w:rPr>
                <w:i/>
                <w:color w:val="000000"/>
                <w:sz w:val="20"/>
                <w:szCs w:val="20"/>
                <w:lang w:val="fr-FR"/>
              </w:rPr>
              <w:t xml:space="preserve"> </w:t>
            </w:r>
            <w:r w:rsidRPr="00653BF4">
              <w:rPr>
                <w:iCs/>
                <w:color w:val="000000"/>
                <w:sz w:val="20"/>
                <w:szCs w:val="20"/>
                <w:lang w:val="fr-FR"/>
              </w:rPr>
              <w:t>Colombie, septième rapport national présenté au titre de la Convention</w:t>
            </w:r>
            <w:r w:rsidR="00E34DC9">
              <w:rPr>
                <w:iCs/>
                <w:color w:val="000000"/>
                <w:sz w:val="20"/>
                <w:szCs w:val="20"/>
                <w:lang w:val="fr-FR"/>
              </w:rPr>
              <w:t> ;</w:t>
            </w:r>
            <w:r w:rsidRPr="00653BF4">
              <w:rPr>
                <w:iCs/>
                <w:color w:val="000000"/>
                <w:sz w:val="20"/>
                <w:szCs w:val="20"/>
                <w:lang w:val="fr-FR"/>
              </w:rPr>
              <w:t xml:space="preserve"> et Commission économique pour l</w:t>
            </w:r>
            <w:r w:rsidR="00D77549">
              <w:rPr>
                <w:iCs/>
                <w:color w:val="000000"/>
                <w:sz w:val="20"/>
                <w:szCs w:val="20"/>
                <w:lang w:val="fr-FR"/>
              </w:rPr>
              <w:t>’</w:t>
            </w:r>
            <w:r w:rsidRPr="00653BF4">
              <w:rPr>
                <w:iCs/>
                <w:color w:val="000000"/>
                <w:sz w:val="20"/>
                <w:szCs w:val="20"/>
                <w:lang w:val="fr-FR"/>
              </w:rPr>
              <w:t>Amérique latine et les Caraïbes (CEPALC), 2018.</w:t>
            </w:r>
            <w:r w:rsidRPr="00653BF4">
              <w:rPr>
                <w:iCs/>
                <w:color w:val="000000"/>
                <w:lang w:val="fr-FR"/>
              </w:rPr>
              <w:t xml:space="preserve"> </w:t>
            </w:r>
          </w:p>
          <w:p w14:paraId="34059327" w14:textId="77777777" w:rsidR="00B87039" w:rsidRPr="00653BF4" w:rsidRDefault="00B87039" w:rsidP="00557FB3">
            <w:pPr>
              <w:rPr>
                <w:lang w:val="fr-FR"/>
              </w:rPr>
            </w:pPr>
          </w:p>
        </w:tc>
      </w:tr>
    </w:tbl>
    <w:p w14:paraId="5AFFE9D4" w14:textId="77777777" w:rsidR="00B87039" w:rsidRPr="00653BF4" w:rsidRDefault="00B87039" w:rsidP="00B87039">
      <w:pPr>
        <w:pStyle w:val="Heading6"/>
        <w:rPr>
          <w:lang w:val="fr-FR"/>
        </w:rPr>
      </w:pPr>
    </w:p>
    <w:p w14:paraId="26BA455B" w14:textId="77777777" w:rsidR="00B87039" w:rsidRPr="00653BF4" w:rsidRDefault="00B87039" w:rsidP="00B87039">
      <w:pPr>
        <w:pStyle w:val="Heading6"/>
        <w:rPr>
          <w:lang w:val="fr-FR"/>
        </w:rPr>
      </w:pPr>
      <w:bookmarkStart w:id="282" w:name="_Toc235821227"/>
      <w:r w:rsidRPr="00653BF4">
        <w:rPr>
          <w:lang w:val="fr-FR"/>
        </w:rPr>
        <w:t>Difficultés</w:t>
      </w:r>
      <w:bookmarkEnd w:id="282"/>
    </w:p>
    <w:p w14:paraId="530377A5" w14:textId="77777777" w:rsidR="00B87039" w:rsidRPr="00653BF4" w:rsidRDefault="00B87039" w:rsidP="00B87039">
      <w:pPr>
        <w:rPr>
          <w:lang w:val="fr-FR"/>
        </w:rPr>
      </w:pPr>
    </w:p>
    <w:p w14:paraId="4711C8A3" w14:textId="52C7BCB7" w:rsidR="00B87039" w:rsidRPr="00653BF4" w:rsidRDefault="00B87039" w:rsidP="00B87039">
      <w:pPr>
        <w:rPr>
          <w:lang w:val="fr-FR"/>
        </w:rPr>
      </w:pPr>
      <w:r w:rsidRPr="00653BF4">
        <w:rPr>
          <w:lang w:val="fr-FR"/>
        </w:rPr>
        <w:t>Plusieurs Parties reconnaissent qu</w:t>
      </w:r>
      <w:r w:rsidR="00D77549">
        <w:rPr>
          <w:lang w:val="fr-FR"/>
        </w:rPr>
        <w:t>’</w:t>
      </w:r>
      <w:r w:rsidRPr="00653BF4">
        <w:rPr>
          <w:lang w:val="fr-FR"/>
        </w:rPr>
        <w:t>il existe un écart entre la prise en compte officielle de la biodiversité dans les textes réglementaires ou les politiques et son intégration effective, qui se traduit par une différence sur le terrain. Plusieurs rapports nationaux font observer que l</w:t>
      </w:r>
      <w:r w:rsidR="00D77549">
        <w:rPr>
          <w:lang w:val="fr-FR"/>
        </w:rPr>
        <w:t>’</w:t>
      </w:r>
      <w:r w:rsidRPr="00653BF4">
        <w:rPr>
          <w:lang w:val="fr-FR"/>
        </w:rPr>
        <w:t>intégration reste largement cantonnée au niveau politique et ne produit pas de résultats mesurables. Elle est plutôt considérée comme un élément complémentaire que comme un élément central pleinement incorporé au processus décisionnel ou à la mise en œuvre de la politique nationale. Des lacunes subsistent en matière d’intégration dans les stratégies d</w:t>
      </w:r>
      <w:r w:rsidR="00D77549">
        <w:rPr>
          <w:lang w:val="fr-FR"/>
        </w:rPr>
        <w:t>’</w:t>
      </w:r>
      <w:r w:rsidRPr="00653BF4">
        <w:rPr>
          <w:lang w:val="fr-FR"/>
        </w:rPr>
        <w:t>élimination de la pauvreté et d’alignement des flux fiscaux et financiers. Seules quelques Parties décrivent des mesures visant à intégrer la biodiversité dans les processus décisionnels financiers, fiscaux, réglementaires et liés aux investissements, notamment des mesures permettant d’identifier, de réglementer et de réduire les flux financiers vers des activités qui contribuent à la perte de biodiversité. Les capacités institutionnelles et la coordination sont reconnues comme constituant un obstacle majeur, et de nombreuses autorités concernées, y compris les entreprises, ne disposent ni de l</w:t>
      </w:r>
      <w:r w:rsidR="00D77549">
        <w:rPr>
          <w:lang w:val="fr-FR"/>
        </w:rPr>
        <w:t>’</w:t>
      </w:r>
      <w:r w:rsidRPr="00653BF4">
        <w:rPr>
          <w:lang w:val="fr-FR"/>
        </w:rPr>
        <w:t xml:space="preserve">expertise ni des mandats nécessaires pour intégrer la biodiversité dans leurs activités. Les pouvoirs publics, aux niveaux national, infranational et local, manquent tous de personnel qualifié, d’expertise en matière d’écologie et d’outils nécessaires pour réaliser des évaluations </w:t>
      </w:r>
      <w:r w:rsidRPr="00653BF4">
        <w:rPr>
          <w:lang w:val="fr-FR"/>
        </w:rPr>
        <w:lastRenderedPageBreak/>
        <w:t>d’impact environnemental, intégrer la biodiversité dans la planification ou assurer le suivi des résultats.</w:t>
      </w:r>
      <w:r w:rsidRPr="00653BF4">
        <w:rPr>
          <w:rFonts w:eastAsia="Aptos" w:cs="Aptos"/>
          <w:lang w:val="fr-FR"/>
        </w:rPr>
        <w:t xml:space="preserve"> Ce phénomène est particulièrement manifeste au sein des ministères chargés de domaines autres que l</w:t>
      </w:r>
      <w:r w:rsidR="00D77549">
        <w:rPr>
          <w:rFonts w:eastAsia="Aptos" w:cs="Aptos"/>
          <w:lang w:val="fr-FR"/>
        </w:rPr>
        <w:t>’</w:t>
      </w:r>
      <w:r w:rsidRPr="00653BF4">
        <w:rPr>
          <w:rFonts w:eastAsia="Aptos" w:cs="Aptos"/>
          <w:lang w:val="fr-FR"/>
        </w:rPr>
        <w:t>environnement, tels que les finances et l</w:t>
      </w:r>
      <w:r w:rsidR="00D77549">
        <w:rPr>
          <w:rFonts w:eastAsia="Aptos" w:cs="Aptos"/>
          <w:lang w:val="fr-FR"/>
        </w:rPr>
        <w:t>’</w:t>
      </w:r>
      <w:r w:rsidRPr="00653BF4">
        <w:rPr>
          <w:rFonts w:eastAsia="Aptos" w:cs="Aptos"/>
          <w:lang w:val="fr-FR"/>
        </w:rPr>
        <w:t>agriculture, ainsi qu</w:t>
      </w:r>
      <w:r w:rsidR="00D77549">
        <w:rPr>
          <w:rFonts w:eastAsia="Aptos" w:cs="Aptos"/>
          <w:lang w:val="fr-FR"/>
        </w:rPr>
        <w:t>’</w:t>
      </w:r>
      <w:r w:rsidRPr="00653BF4">
        <w:rPr>
          <w:rFonts w:eastAsia="Aptos" w:cs="Aptos"/>
          <w:lang w:val="fr-FR"/>
        </w:rPr>
        <w:t>au sein des autorités infranationales et municipales de certains pays.</w:t>
      </w:r>
      <w:r w:rsidRPr="00653BF4">
        <w:rPr>
          <w:lang w:val="fr-FR"/>
        </w:rPr>
        <w:t xml:space="preserve"> L</w:t>
      </w:r>
      <w:r w:rsidR="00D77549">
        <w:rPr>
          <w:lang w:val="fr-FR"/>
        </w:rPr>
        <w:t>’</w:t>
      </w:r>
      <w:r w:rsidRPr="00653BF4">
        <w:rPr>
          <w:lang w:val="fr-FR"/>
        </w:rPr>
        <w:t>implication du secteur privé représente un défi à plusieurs niveaux, et les entreprises considèrent souvent l</w:t>
      </w:r>
      <w:r w:rsidR="00D77549">
        <w:rPr>
          <w:lang w:val="fr-FR"/>
        </w:rPr>
        <w:t>’</w:t>
      </w:r>
      <w:r w:rsidRPr="00653BF4">
        <w:rPr>
          <w:lang w:val="fr-FR"/>
        </w:rPr>
        <w:t>évaluation de la biodiversité comme une charge financière supplémentaire. Les lacunes en matière de collecte de données et d</w:t>
      </w:r>
      <w:r w:rsidR="00D77549">
        <w:rPr>
          <w:lang w:val="fr-FR"/>
        </w:rPr>
        <w:t>’</w:t>
      </w:r>
      <w:r w:rsidRPr="00653BF4">
        <w:rPr>
          <w:lang w:val="fr-FR"/>
        </w:rPr>
        <w:t>informations constituent un obstacle supplémentaire</w:t>
      </w:r>
      <w:r w:rsidR="00E34DC9">
        <w:rPr>
          <w:lang w:val="fr-FR"/>
        </w:rPr>
        <w:t> :</w:t>
      </w:r>
      <w:r w:rsidRPr="00653BF4">
        <w:rPr>
          <w:lang w:val="fr-FR"/>
        </w:rPr>
        <w:t xml:space="preserve"> les Parties soulignent l</w:t>
      </w:r>
      <w:r w:rsidR="00D77549">
        <w:rPr>
          <w:lang w:val="fr-FR"/>
        </w:rPr>
        <w:t>’</w:t>
      </w:r>
      <w:r w:rsidRPr="00653BF4">
        <w:rPr>
          <w:lang w:val="fr-FR"/>
        </w:rPr>
        <w:t>absence de cadres de suivi permettant d</w:t>
      </w:r>
      <w:r w:rsidR="00D77549">
        <w:rPr>
          <w:lang w:val="fr-FR"/>
        </w:rPr>
        <w:t>’</w:t>
      </w:r>
      <w:r w:rsidRPr="00653BF4">
        <w:rPr>
          <w:lang w:val="fr-FR"/>
        </w:rPr>
        <w:t>évaluer l</w:t>
      </w:r>
      <w:r w:rsidR="00D77549">
        <w:rPr>
          <w:lang w:val="fr-FR"/>
        </w:rPr>
        <w:t>’</w:t>
      </w:r>
      <w:r w:rsidRPr="00653BF4">
        <w:rPr>
          <w:lang w:val="fr-FR"/>
        </w:rPr>
        <w:t>efficacité des efforts d</w:t>
      </w:r>
      <w:r w:rsidR="00D77549">
        <w:rPr>
          <w:lang w:val="fr-FR"/>
        </w:rPr>
        <w:t>’</w:t>
      </w:r>
      <w:r w:rsidRPr="00653BF4">
        <w:rPr>
          <w:lang w:val="fr-FR"/>
        </w:rPr>
        <w:t>intégration et les progrès limités réalisés dans le domaine de la comptabilité environnementale et économique D</w:t>
      </w:r>
      <w:r w:rsidR="00D77549">
        <w:rPr>
          <w:lang w:val="fr-FR"/>
        </w:rPr>
        <w:t>’</w:t>
      </w:r>
      <w:r w:rsidRPr="00653BF4">
        <w:rPr>
          <w:lang w:val="fr-FR"/>
        </w:rPr>
        <w:t>autres lacunes en matière d</w:t>
      </w:r>
      <w:r w:rsidR="00D77549">
        <w:rPr>
          <w:lang w:val="fr-FR"/>
        </w:rPr>
        <w:t>’</w:t>
      </w:r>
      <w:r w:rsidRPr="00653BF4">
        <w:rPr>
          <w:lang w:val="fr-FR"/>
        </w:rPr>
        <w:t xml:space="preserve">informations sont également constatées concernant la manière dont les différentes valeurs de la biodiversité sont prises en compte dans la </w:t>
      </w:r>
      <w:r w:rsidR="00E34DC9">
        <w:rPr>
          <w:lang w:val="fr-FR"/>
        </w:rPr>
        <w:t>cible 1</w:t>
      </w:r>
      <w:r w:rsidRPr="00653BF4">
        <w:rPr>
          <w:lang w:val="fr-FR"/>
        </w:rPr>
        <w:t>4. Certaines Parties ont fait remarquer que la comptabilité du capital naturel, y compris le système SCEE-CE, n</w:t>
      </w:r>
      <w:r w:rsidR="00D77549">
        <w:rPr>
          <w:lang w:val="fr-FR"/>
        </w:rPr>
        <w:t>’</w:t>
      </w:r>
      <w:r w:rsidRPr="00653BF4">
        <w:rPr>
          <w:lang w:val="fr-FR"/>
        </w:rPr>
        <w:t>existe pas ou n</w:t>
      </w:r>
      <w:r w:rsidR="00D77549">
        <w:rPr>
          <w:lang w:val="fr-FR"/>
        </w:rPr>
        <w:t>’</w:t>
      </w:r>
      <w:r w:rsidRPr="00653BF4">
        <w:rPr>
          <w:lang w:val="fr-FR"/>
        </w:rPr>
        <w:t>est pas encore intégrée dans les statistiques nationales ou les processus budgétaires.</w:t>
      </w:r>
    </w:p>
    <w:p w14:paraId="104AEAF0" w14:textId="77777777" w:rsidR="00B87039" w:rsidRPr="00653BF4" w:rsidRDefault="00B87039" w:rsidP="00B87039">
      <w:pPr>
        <w:rPr>
          <w:lang w:val="fr-FR"/>
        </w:rPr>
      </w:pPr>
    </w:p>
    <w:p w14:paraId="2523A4DF" w14:textId="209E7A66" w:rsidR="00B87039" w:rsidRPr="00653BF4" w:rsidRDefault="00B87039" w:rsidP="00B87039">
      <w:pPr>
        <w:pStyle w:val="Heading5"/>
        <w:rPr>
          <w:lang w:val="fr-FR"/>
        </w:rPr>
      </w:pPr>
      <w:bookmarkStart w:id="283" w:name="_Toc235821228"/>
      <w:r w:rsidRPr="00653BF4">
        <w:rPr>
          <w:lang w:val="fr-FR"/>
        </w:rPr>
        <w:t>Contributions provenant d</w:t>
      </w:r>
      <w:r w:rsidR="00D77549">
        <w:rPr>
          <w:lang w:val="fr-FR"/>
        </w:rPr>
        <w:t>’</w:t>
      </w:r>
      <w:r w:rsidRPr="00653BF4">
        <w:rPr>
          <w:lang w:val="fr-FR"/>
        </w:rPr>
        <w:t>acteurs autres que les gouvernements nationaux</w:t>
      </w:r>
      <w:bookmarkEnd w:id="283"/>
    </w:p>
    <w:p w14:paraId="6378D4E1" w14:textId="77777777" w:rsidR="00B87039" w:rsidRPr="00653BF4" w:rsidRDefault="00B87039" w:rsidP="00B87039">
      <w:pPr>
        <w:rPr>
          <w:lang w:val="fr-FR"/>
        </w:rPr>
      </w:pPr>
    </w:p>
    <w:p w14:paraId="2D8B9BB9" w14:textId="72F11738" w:rsidR="00B87039" w:rsidRPr="00653BF4" w:rsidRDefault="00B87039" w:rsidP="00B87039">
      <w:pPr>
        <w:pStyle w:val="Heading6"/>
        <w:rPr>
          <w:lang w:val="fr-FR"/>
        </w:rPr>
      </w:pPr>
      <w:bookmarkStart w:id="284" w:name="_Toc235821229"/>
      <w:r w:rsidRPr="00653BF4">
        <w:rPr>
          <w:lang w:val="fr-FR"/>
        </w:rPr>
        <w:t>Engagements communiqués directement via l</w:t>
      </w:r>
      <w:r w:rsidR="00D77549">
        <w:rPr>
          <w:lang w:val="fr-FR"/>
        </w:rPr>
        <w:t>’</w:t>
      </w:r>
      <w:r w:rsidRPr="00653BF4">
        <w:rPr>
          <w:lang w:val="fr-FR"/>
        </w:rPr>
        <w:t>outil de présentation des rapports en ligne</w:t>
      </w:r>
      <w:bookmarkEnd w:id="284"/>
    </w:p>
    <w:p w14:paraId="5FE1D5D5" w14:textId="77777777" w:rsidR="00B87039" w:rsidRPr="00653BF4" w:rsidRDefault="00B87039" w:rsidP="00B87039">
      <w:pPr>
        <w:rPr>
          <w:lang w:val="fr-FR"/>
        </w:rPr>
      </w:pPr>
    </w:p>
    <w:p w14:paraId="75D52D1C" w14:textId="2AE58F29" w:rsidR="00B87039" w:rsidRPr="00653BF4" w:rsidRDefault="00B87039" w:rsidP="00B87039">
      <w:pPr>
        <w:rPr>
          <w:lang w:val="fr-FR"/>
        </w:rPr>
      </w:pPr>
      <w:r w:rsidRPr="00653BF4">
        <w:rPr>
          <w:lang w:val="fr-FR"/>
        </w:rPr>
        <w:t xml:space="preserve">Sur les 180 engagements de fond présentés par des acteurs autres que les gouvernements nationaux, seulement 10 concernent principalement la </w:t>
      </w:r>
      <w:r w:rsidR="00E34DC9">
        <w:rPr>
          <w:lang w:val="fr-FR"/>
        </w:rPr>
        <w:t>cible 1</w:t>
      </w:r>
      <w:r w:rsidRPr="00653BF4">
        <w:rPr>
          <w:lang w:val="fr-FR"/>
        </w:rPr>
        <w:t>4. Parmi eux, 7 ont été soumis par des ONG, 1 par un groupe d</w:t>
      </w:r>
      <w:r w:rsidR="00D77549">
        <w:rPr>
          <w:lang w:val="fr-FR"/>
        </w:rPr>
        <w:t>’</w:t>
      </w:r>
      <w:r w:rsidRPr="00653BF4">
        <w:rPr>
          <w:lang w:val="fr-FR"/>
        </w:rPr>
        <w:t>entreprises, 1 par un institut de recherche et 1 par une organisation de partenariat à but non lucratif. Ces engagements portent sur divers aspects de l</w:t>
      </w:r>
      <w:r w:rsidR="00D77549">
        <w:rPr>
          <w:lang w:val="fr-FR"/>
        </w:rPr>
        <w:t>’</w:t>
      </w:r>
      <w:r w:rsidRPr="00653BF4">
        <w:rPr>
          <w:lang w:val="fr-FR"/>
        </w:rPr>
        <w:t>intégration de la biodiversité et de la prise en compte des politiques dans les secteurs privé et public, et la plupart d</w:t>
      </w:r>
      <w:r w:rsidR="00D77549">
        <w:rPr>
          <w:lang w:val="fr-FR"/>
        </w:rPr>
        <w:t>’</w:t>
      </w:r>
      <w:r w:rsidRPr="00653BF4">
        <w:rPr>
          <w:lang w:val="fr-FR"/>
        </w:rPr>
        <w:t>entre eux concernent le partage des connaissances et des données. Ces engagements couvrent l</w:t>
      </w:r>
      <w:r w:rsidR="00D77549">
        <w:rPr>
          <w:lang w:val="fr-FR"/>
        </w:rPr>
        <w:t>’</w:t>
      </w:r>
      <w:r w:rsidRPr="00653BF4">
        <w:rPr>
          <w:lang w:val="fr-FR"/>
        </w:rPr>
        <w:t>Europe, l</w:t>
      </w:r>
      <w:r w:rsidR="00D77549">
        <w:rPr>
          <w:lang w:val="fr-FR"/>
        </w:rPr>
        <w:t>’</w:t>
      </w:r>
      <w:r w:rsidRPr="00653BF4">
        <w:rPr>
          <w:lang w:val="fr-FR"/>
        </w:rPr>
        <w:t>Afrique, l</w:t>
      </w:r>
      <w:r w:rsidR="00D77549">
        <w:rPr>
          <w:lang w:val="fr-FR"/>
        </w:rPr>
        <w:t>’</w:t>
      </w:r>
      <w:r w:rsidRPr="00653BF4">
        <w:rPr>
          <w:lang w:val="fr-FR"/>
        </w:rPr>
        <w:t>Asie et l</w:t>
      </w:r>
      <w:r w:rsidR="00D77549">
        <w:rPr>
          <w:lang w:val="fr-FR"/>
        </w:rPr>
        <w:t>’</w:t>
      </w:r>
      <w:r w:rsidRPr="00653BF4">
        <w:rPr>
          <w:lang w:val="fr-FR"/>
        </w:rPr>
        <w:t>Amérique du Sud, certains engagements ayant une portée mondiale.</w:t>
      </w:r>
    </w:p>
    <w:p w14:paraId="0E30781F" w14:textId="77777777" w:rsidR="00B87039" w:rsidRPr="00653BF4" w:rsidRDefault="00B87039" w:rsidP="00B87039">
      <w:pPr>
        <w:pStyle w:val="Heading6"/>
        <w:rPr>
          <w:lang w:val="fr-FR"/>
        </w:rPr>
      </w:pPr>
    </w:p>
    <w:p w14:paraId="747CF4EE" w14:textId="62476EEE" w:rsidR="00B87039" w:rsidRPr="00653BF4" w:rsidRDefault="00B87039" w:rsidP="00B87039">
      <w:pPr>
        <w:pStyle w:val="Heading6"/>
        <w:rPr>
          <w:lang w:val="fr-FR"/>
        </w:rPr>
      </w:pPr>
      <w:bookmarkStart w:id="285" w:name="_Toc235821230"/>
      <w:r w:rsidRPr="00653BF4">
        <w:rPr>
          <w:lang w:val="fr-FR"/>
        </w:rPr>
        <w:t>Contributions intégrées dans les rapports nationaux</w:t>
      </w:r>
      <w:bookmarkEnd w:id="285"/>
    </w:p>
    <w:p w14:paraId="78CD4D16" w14:textId="77777777" w:rsidR="00B87039" w:rsidRPr="00653BF4" w:rsidRDefault="00B87039" w:rsidP="00B87039">
      <w:pPr>
        <w:rPr>
          <w:lang w:val="fr-FR"/>
        </w:rPr>
      </w:pPr>
    </w:p>
    <w:p w14:paraId="7713444B" w14:textId="29949EA3" w:rsidR="00B87039" w:rsidRPr="00653BF4" w:rsidRDefault="00B87039" w:rsidP="00B87039">
      <w:pPr>
        <w:rPr>
          <w:lang w:val="fr-FR"/>
        </w:rPr>
      </w:pPr>
      <w:r w:rsidRPr="00653BF4">
        <w:rPr>
          <w:lang w:val="fr-FR"/>
        </w:rPr>
        <w:t>La contribution la mieux étayée concerne l</w:t>
      </w:r>
      <w:r w:rsidR="00D77549">
        <w:rPr>
          <w:lang w:val="fr-FR"/>
        </w:rPr>
        <w:t>’</w:t>
      </w:r>
      <w:r w:rsidRPr="00653BF4">
        <w:rPr>
          <w:lang w:val="fr-FR"/>
        </w:rPr>
        <w:t>assistance technique fournie par les organisations internationales, BIOFIN étant l</w:t>
      </w:r>
      <w:r w:rsidR="00D77549">
        <w:rPr>
          <w:lang w:val="fr-FR"/>
        </w:rPr>
        <w:t>’</w:t>
      </w:r>
      <w:r w:rsidRPr="00653BF4">
        <w:rPr>
          <w:lang w:val="fr-FR"/>
        </w:rPr>
        <w:t xml:space="preserve">instrument le plus souvent cité. La mise en œuvre directe et la cogestion concernent les ONG, les peuples autochtones et communautés locales, ainsi que les acteurs sectoriels, tandis que les fonctions de </w:t>
      </w:r>
      <w:r w:rsidRPr="00653BF4">
        <w:rPr>
          <w:lang w:val="fr-FR"/>
        </w:rPr>
        <w:lastRenderedPageBreak/>
        <w:t>gouvernance et de conseil comprennent des groupes de travail techniques, des organes consultatifs statutaires et des évaluations indépendantes relatives au principe de responsabilité. La production de connaissances et le développement d</w:t>
      </w:r>
      <w:r w:rsidR="00D77549">
        <w:rPr>
          <w:lang w:val="fr-FR"/>
        </w:rPr>
        <w:t>’</w:t>
      </w:r>
      <w:r w:rsidRPr="00653BF4">
        <w:rPr>
          <w:lang w:val="fr-FR"/>
        </w:rPr>
        <w:t>outils constituent les contributions les plus régulières de la communauté scientifique, qu</w:t>
      </w:r>
      <w:r w:rsidR="00D77549">
        <w:rPr>
          <w:lang w:val="fr-FR"/>
        </w:rPr>
        <w:t>’</w:t>
      </w:r>
      <w:r w:rsidRPr="00653BF4">
        <w:rPr>
          <w:lang w:val="fr-FR"/>
        </w:rPr>
        <w:t>il s</w:t>
      </w:r>
      <w:r w:rsidR="00D77549">
        <w:rPr>
          <w:lang w:val="fr-FR"/>
        </w:rPr>
        <w:t>’</w:t>
      </w:r>
      <w:r w:rsidRPr="00653BF4">
        <w:rPr>
          <w:lang w:val="fr-FR"/>
        </w:rPr>
        <w:t>agisse de l</w:t>
      </w:r>
      <w:r w:rsidR="00D77549">
        <w:rPr>
          <w:lang w:val="fr-FR"/>
        </w:rPr>
        <w:t>’</w:t>
      </w:r>
      <w:r w:rsidRPr="00653BF4">
        <w:rPr>
          <w:lang w:val="fr-FR"/>
        </w:rPr>
        <w:t>évaluation des services écosystémiques, de la comptabilité du capital naturel ou de la science citoyenne. Les acteurs du monde des affaires et de la finance interviennent principalement dans les aspects liés à la transparence et à la conformité, qu</w:t>
      </w:r>
      <w:r w:rsidR="00D77549">
        <w:rPr>
          <w:lang w:val="fr-FR"/>
        </w:rPr>
        <w:t>’</w:t>
      </w:r>
      <w:r w:rsidRPr="00653BF4">
        <w:rPr>
          <w:lang w:val="fr-FR"/>
        </w:rPr>
        <w:t>il s</w:t>
      </w:r>
      <w:r w:rsidR="00D77549">
        <w:rPr>
          <w:lang w:val="fr-FR"/>
        </w:rPr>
        <w:t>’</w:t>
      </w:r>
      <w:r w:rsidRPr="00653BF4">
        <w:rPr>
          <w:lang w:val="fr-FR"/>
        </w:rPr>
        <w:t>agisse des rapports de développement durable des entreprises ou des obligations vertes, tandis que les autorités infranationales intègrent la biodiversité dans leurs politiques par le biais de missions d</w:t>
      </w:r>
      <w:r w:rsidR="00D77549">
        <w:rPr>
          <w:lang w:val="fr-FR"/>
        </w:rPr>
        <w:t>’</w:t>
      </w:r>
      <w:r w:rsidRPr="00653BF4">
        <w:rPr>
          <w:lang w:val="fr-FR"/>
        </w:rPr>
        <w:t>aménagement du territoire. Les actions de sensibilisation et de renforcement des capacités s</w:t>
      </w:r>
      <w:r w:rsidR="00D77549">
        <w:rPr>
          <w:lang w:val="fr-FR"/>
        </w:rPr>
        <w:t>’</w:t>
      </w:r>
      <w:r w:rsidRPr="00653BF4">
        <w:rPr>
          <w:lang w:val="fr-FR"/>
        </w:rPr>
        <w:t>adressent le plus souvent aux citoyens, aux jeunes et aux femmes, bien que ce soient généralement eux qui en bénéficient.</w:t>
      </w:r>
    </w:p>
    <w:p w14:paraId="392FE277" w14:textId="77777777" w:rsidR="00B87039" w:rsidRPr="00653BF4" w:rsidRDefault="00B87039" w:rsidP="00B87039">
      <w:pPr>
        <w:rPr>
          <w:lang w:val="fr-FR"/>
        </w:rPr>
      </w:pPr>
    </w:p>
    <w:p w14:paraId="7D0FB463" w14:textId="3C2435AE" w:rsidR="00B87039" w:rsidRPr="00653BF4" w:rsidRDefault="00B87039" w:rsidP="00B87039">
      <w:pPr>
        <w:pStyle w:val="Heading5"/>
        <w:rPr>
          <w:lang w:val="fr-FR"/>
        </w:rPr>
      </w:pPr>
      <w:r w:rsidRPr="00653BF4">
        <w:rPr>
          <w:lang w:val="fr-FR"/>
        </w:rPr>
        <w:t>Exemples de liens avec d</w:t>
      </w:r>
      <w:r w:rsidR="00D77549">
        <w:rPr>
          <w:lang w:val="fr-FR"/>
        </w:rPr>
        <w:t>’</w:t>
      </w:r>
      <w:r w:rsidRPr="00653BF4">
        <w:rPr>
          <w:lang w:val="fr-FR"/>
        </w:rPr>
        <w:t xml:space="preserve">autres accords, processus et organisations </w:t>
      </w:r>
    </w:p>
    <w:p w14:paraId="5E882CE7" w14:textId="77777777" w:rsidR="00B87039" w:rsidRPr="00653BF4" w:rsidRDefault="00B87039" w:rsidP="00B87039">
      <w:pPr>
        <w:rPr>
          <w:lang w:val="fr-FR"/>
        </w:rPr>
      </w:pPr>
    </w:p>
    <w:p w14:paraId="292F8C56" w14:textId="3A7D1AFC" w:rsidR="00B87039" w:rsidRPr="00653BF4" w:rsidRDefault="00B87039" w:rsidP="00B87039">
      <w:pPr>
        <w:rPr>
          <w:lang w:val="fr-FR"/>
        </w:rPr>
      </w:pPr>
      <w:r w:rsidRPr="00653BF4">
        <w:rPr>
          <w:lang w:val="fr-FR"/>
        </w:rPr>
        <w:t>La FAO s</w:t>
      </w:r>
      <w:r w:rsidR="00D77549">
        <w:rPr>
          <w:lang w:val="fr-FR"/>
        </w:rPr>
        <w:t>’</w:t>
      </w:r>
      <w:r w:rsidRPr="00653BF4">
        <w:rPr>
          <w:lang w:val="fr-FR"/>
        </w:rPr>
        <w:t>efforce d</w:t>
      </w:r>
      <w:r w:rsidR="00D77549">
        <w:rPr>
          <w:lang w:val="fr-FR"/>
        </w:rPr>
        <w:t>’</w:t>
      </w:r>
      <w:r w:rsidRPr="00653BF4">
        <w:rPr>
          <w:lang w:val="fr-FR"/>
        </w:rPr>
        <w:t>intégrer la biodiversité en incorporant les enjeux qui y sont liés dans les politiques, stratégies et pratiques des principaux acteurs publics et privés qui ont un impact sur la biodiversité ou en dépendent, afin d</w:t>
      </w:r>
      <w:r w:rsidR="00D77549">
        <w:rPr>
          <w:lang w:val="fr-FR"/>
        </w:rPr>
        <w:t>’</w:t>
      </w:r>
      <w:r w:rsidRPr="00653BF4">
        <w:rPr>
          <w:lang w:val="fr-FR"/>
        </w:rPr>
        <w:t>en assurer la conservation et l</w:t>
      </w:r>
      <w:r w:rsidR="00D77549">
        <w:rPr>
          <w:lang w:val="fr-FR"/>
        </w:rPr>
        <w:t>’</w:t>
      </w:r>
      <w:r w:rsidRPr="00653BF4">
        <w:rPr>
          <w:lang w:val="fr-FR"/>
        </w:rPr>
        <w:t>utilisation durable tant au niveau local qu</w:t>
      </w:r>
      <w:r w:rsidR="00D77549">
        <w:rPr>
          <w:lang w:val="fr-FR"/>
        </w:rPr>
        <w:t>’</w:t>
      </w:r>
      <w:r w:rsidRPr="00653BF4">
        <w:rPr>
          <w:lang w:val="fr-FR"/>
        </w:rPr>
        <w:t>au niveau mondial. La stratégie de la FAO visant à intégrer la biodiversité dans l</w:t>
      </w:r>
      <w:r w:rsidR="00D77549">
        <w:rPr>
          <w:lang w:val="fr-FR"/>
        </w:rPr>
        <w:t>’</w:t>
      </w:r>
      <w:r w:rsidRPr="00653BF4">
        <w:rPr>
          <w:lang w:val="fr-FR"/>
        </w:rPr>
        <w:t>ensemble des secteurs agricoles a été approuvée en 2019 et mettait l</w:t>
      </w:r>
      <w:r w:rsidR="00D77549">
        <w:rPr>
          <w:lang w:val="fr-FR"/>
        </w:rPr>
        <w:t>’</w:t>
      </w:r>
      <w:r w:rsidRPr="00653BF4">
        <w:rPr>
          <w:lang w:val="fr-FR"/>
        </w:rPr>
        <w:t>accent en particulier sur les préparatifs du cadre mondial de la biodiversité pour l</w:t>
      </w:r>
      <w:r w:rsidR="00D77549">
        <w:rPr>
          <w:lang w:val="fr-FR"/>
        </w:rPr>
        <w:t>’</w:t>
      </w:r>
      <w:r w:rsidRPr="00653BF4">
        <w:rPr>
          <w:lang w:val="fr-FR"/>
        </w:rPr>
        <w:t>après 2020. Cette stratégie porte notamment sur des thèmes tels que l’intégration de la biodiversité dans l’ensemble des secteurs agricoles aux niveaux national, régional et international, de manière structurée et cohérente, en tenant compte des priorités, des besoins, des réglementations et des politiques nationales, ainsi que des cadres de programmation par pays. L</w:t>
      </w:r>
      <w:r w:rsidR="00D77549">
        <w:rPr>
          <w:lang w:val="fr-FR"/>
        </w:rPr>
        <w:t>’</w:t>
      </w:r>
      <w:r w:rsidRPr="00653BF4">
        <w:rPr>
          <w:lang w:val="fr-FR"/>
        </w:rPr>
        <w:t>application de cette stratégie visait à réduire les impacts négatifs des pratiques agricoles sur la biodiversité, à promouvoir des pratiques agricoles durables et à conserver, valoriser, préserver et restaurer la biodiversité dans son ensemble. Le Plan d</w:t>
      </w:r>
      <w:r w:rsidR="00D77549">
        <w:rPr>
          <w:lang w:val="fr-FR"/>
        </w:rPr>
        <w:t>’</w:t>
      </w:r>
      <w:r w:rsidRPr="00653BF4">
        <w:rPr>
          <w:lang w:val="fr-FR"/>
        </w:rPr>
        <w:t xml:space="preserve">action 2024-2027 pour la mise en œuvre de la stratégie tient compte du </w:t>
      </w:r>
      <w:r w:rsidRPr="00653BF4">
        <w:rPr>
          <w:i/>
          <w:iCs/>
          <w:lang w:val="fr-FR"/>
        </w:rPr>
        <w:t>Cadre d</w:t>
      </w:r>
      <w:r w:rsidR="00D77549">
        <w:rPr>
          <w:i/>
          <w:iCs/>
          <w:lang w:val="fr-FR"/>
        </w:rPr>
        <w:t>’</w:t>
      </w:r>
      <w:r w:rsidRPr="00653BF4">
        <w:rPr>
          <w:i/>
          <w:iCs/>
          <w:lang w:val="fr-FR"/>
        </w:rPr>
        <w:t>action de la FAO sur la biodiversité pour l</w:t>
      </w:r>
      <w:r w:rsidR="00D77549">
        <w:rPr>
          <w:i/>
          <w:iCs/>
          <w:lang w:val="fr-FR"/>
        </w:rPr>
        <w:t>’</w:t>
      </w:r>
      <w:r w:rsidRPr="00653BF4">
        <w:rPr>
          <w:i/>
          <w:iCs/>
          <w:lang w:val="fr-FR"/>
        </w:rPr>
        <w:t>alimentation et l</w:t>
      </w:r>
      <w:r w:rsidR="00D77549">
        <w:rPr>
          <w:i/>
          <w:iCs/>
          <w:lang w:val="fr-FR"/>
        </w:rPr>
        <w:t>’</w:t>
      </w:r>
      <w:r w:rsidRPr="00653BF4">
        <w:rPr>
          <w:i/>
          <w:iCs/>
          <w:lang w:val="fr-FR"/>
        </w:rPr>
        <w:t>agriculture</w:t>
      </w:r>
      <w:r w:rsidRPr="00653BF4">
        <w:rPr>
          <w:lang w:val="fr-FR"/>
        </w:rPr>
        <w:t xml:space="preserve"> et est conforme au Cadre mondial de la biodiversité de Kunming-Montréal. La mise en œuvre du Plan d’action par la FAO repose sur les principes suivants</w:t>
      </w:r>
      <w:r w:rsidR="00E34DC9">
        <w:rPr>
          <w:lang w:val="fr-FR"/>
        </w:rPr>
        <w:t> :</w:t>
      </w:r>
      <w:r w:rsidRPr="00653BF4">
        <w:rPr>
          <w:lang w:val="fr-FR"/>
        </w:rPr>
        <w:t xml:space="preserve"> gouvernance efficace, partenariats, approche fondée sur la connaissance, inclusivité, égalité des sexes et autonomisation des femmes (FAO, 2020, 2022, 2024b et 2025a).</w:t>
      </w:r>
    </w:p>
    <w:p w14:paraId="202780BB" w14:textId="77777777" w:rsidR="00B87039" w:rsidRPr="00653BF4" w:rsidRDefault="00B87039" w:rsidP="00B87039">
      <w:pPr>
        <w:rPr>
          <w:lang w:val="fr-FR"/>
        </w:rPr>
      </w:pPr>
    </w:p>
    <w:p w14:paraId="26825655" w14:textId="1CD5A7FF" w:rsidR="00B87039" w:rsidRPr="00653BF4" w:rsidRDefault="00E34DC9" w:rsidP="00B87039">
      <w:pPr>
        <w:pStyle w:val="Heading4"/>
        <w:rPr>
          <w:i w:val="0"/>
          <w:iCs w:val="0"/>
          <w:lang w:val="fr-FR"/>
        </w:rPr>
      </w:pPr>
      <w:bookmarkStart w:id="286" w:name="_Toc235821231"/>
      <w:bookmarkStart w:id="287" w:name="_Ref236134409"/>
      <w:bookmarkStart w:id="288" w:name="_Toc239069211"/>
      <w:bookmarkStart w:id="289" w:name="_Toc1757842842"/>
      <w:bookmarkStart w:id="290" w:name="_Toc242801248"/>
      <w:r>
        <w:rPr>
          <w:b/>
          <w:bCs/>
          <w:i w:val="0"/>
          <w:iCs w:val="0"/>
          <w:lang w:val="fr-FR"/>
        </w:rPr>
        <w:lastRenderedPageBreak/>
        <w:t>Cible 1</w:t>
      </w:r>
      <w:r w:rsidR="00B87039" w:rsidRPr="00653BF4">
        <w:rPr>
          <w:b/>
          <w:bCs/>
          <w:i w:val="0"/>
          <w:iCs w:val="0"/>
          <w:lang w:val="fr-FR"/>
        </w:rPr>
        <w:t>5.</w:t>
      </w:r>
      <w:r w:rsidR="00B87039" w:rsidRPr="00653BF4">
        <w:rPr>
          <w:i w:val="0"/>
          <w:iCs w:val="0"/>
          <w:lang w:val="fr-FR"/>
        </w:rPr>
        <w:t xml:space="preserve"> Les entreprises évaluent, communiquent et réduisent les risques et impacts négatifs concernant la biodiversité</w:t>
      </w:r>
      <w:bookmarkEnd w:id="286"/>
      <w:bookmarkEnd w:id="287"/>
      <w:bookmarkEnd w:id="288"/>
      <w:bookmarkEnd w:id="289"/>
      <w:bookmarkEnd w:id="290"/>
    </w:p>
    <w:p w14:paraId="7136D0E5" w14:textId="77777777" w:rsidR="00B87039" w:rsidRPr="00653BF4" w:rsidRDefault="00B87039" w:rsidP="00B87039">
      <w:pPr>
        <w:pStyle w:val="Default"/>
        <w:rPr>
          <w:rFonts w:asciiTheme="minorHAnsi" w:hAnsiTheme="minorHAnsi"/>
          <w:b/>
          <w:bCs/>
          <w:i/>
          <w:iCs/>
          <w:sz w:val="22"/>
          <w:szCs w:val="22"/>
          <w:lang w:val="fr-FR"/>
        </w:rPr>
      </w:pPr>
      <w:bookmarkStart w:id="291" w:name="_Toc235821232"/>
    </w:p>
    <w:p w14:paraId="5EF8CF1C" w14:textId="77777777" w:rsidR="00B87039" w:rsidRPr="00653BF4" w:rsidRDefault="00B87039" w:rsidP="00B87039">
      <w:pPr>
        <w:pStyle w:val="Default"/>
        <w:rPr>
          <w:rFonts w:asciiTheme="minorHAnsi" w:hAnsiTheme="minorHAnsi"/>
          <w:b/>
          <w:bCs/>
          <w:i/>
          <w:iCs/>
          <w:sz w:val="22"/>
          <w:szCs w:val="22"/>
          <w:lang w:val="fr-FR"/>
        </w:rPr>
      </w:pPr>
    </w:p>
    <w:p w14:paraId="0A2E50FF" w14:textId="2AD121D3" w:rsidR="00B87039" w:rsidRPr="00653BF4" w:rsidRDefault="00B87039" w:rsidP="00B87039">
      <w:pPr>
        <w:pStyle w:val="Default"/>
        <w:rPr>
          <w:rFonts w:asciiTheme="minorHAnsi" w:hAnsiTheme="minorHAnsi"/>
          <w:i/>
          <w:iCs/>
          <w:sz w:val="21"/>
          <w:szCs w:val="21"/>
          <w:lang w:val="fr-FR"/>
        </w:rPr>
      </w:pPr>
      <w:r w:rsidRPr="00653BF4">
        <w:rPr>
          <w:rFonts w:asciiTheme="minorHAnsi" w:hAnsiTheme="minorHAnsi"/>
          <w:b/>
          <w:bCs/>
          <w:sz w:val="22"/>
          <w:szCs w:val="22"/>
          <w:lang w:val="fr-FR"/>
        </w:rPr>
        <w:t>Texte de la cible.</w:t>
      </w:r>
      <w:r w:rsidRPr="00653BF4">
        <w:rPr>
          <w:rFonts w:asciiTheme="minorHAnsi" w:hAnsiTheme="minorHAnsi"/>
          <w:i/>
          <w:iCs/>
          <w:sz w:val="22"/>
          <w:szCs w:val="22"/>
          <w:lang w:val="fr-FR"/>
        </w:rPr>
        <w:t xml:space="preserve"> </w:t>
      </w:r>
      <w:r w:rsidRPr="00653BF4">
        <w:rPr>
          <w:rFonts w:asciiTheme="minorHAnsi" w:hAnsiTheme="minorHAnsi"/>
          <w:i/>
          <w:iCs/>
          <w:sz w:val="21"/>
          <w:szCs w:val="21"/>
          <w:lang w:val="fr-FR"/>
        </w:rPr>
        <w:t>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w:t>
      </w:r>
      <w:r w:rsidR="00E34DC9">
        <w:rPr>
          <w:rFonts w:asciiTheme="minorHAnsi" w:hAnsiTheme="minorHAnsi"/>
          <w:i/>
          <w:iCs/>
          <w:sz w:val="21"/>
          <w:szCs w:val="21"/>
          <w:lang w:val="fr-FR"/>
        </w:rPr>
        <w:t> :</w:t>
      </w:r>
    </w:p>
    <w:p w14:paraId="2DE608BA" w14:textId="77777777" w:rsidR="00B87039" w:rsidRPr="00653BF4" w:rsidRDefault="00B87039" w:rsidP="00B87039">
      <w:pPr>
        <w:pStyle w:val="Default"/>
        <w:rPr>
          <w:rFonts w:asciiTheme="minorHAnsi" w:hAnsiTheme="minorHAnsi"/>
          <w:i/>
          <w:iCs/>
          <w:sz w:val="21"/>
          <w:szCs w:val="21"/>
          <w:lang w:val="fr-FR"/>
        </w:rPr>
      </w:pPr>
    </w:p>
    <w:p w14:paraId="6CE982FC" w14:textId="69594C7C" w:rsidR="00B87039" w:rsidRPr="00653BF4" w:rsidRDefault="00B87039" w:rsidP="00B87039">
      <w:pPr>
        <w:pStyle w:val="Default"/>
        <w:numPr>
          <w:ilvl w:val="0"/>
          <w:numId w:val="4"/>
        </w:numPr>
        <w:spacing w:after="83"/>
        <w:rPr>
          <w:rFonts w:asciiTheme="minorHAnsi" w:hAnsiTheme="minorHAnsi"/>
          <w:i/>
          <w:iCs/>
          <w:sz w:val="21"/>
          <w:szCs w:val="21"/>
          <w:lang w:val="fr-FR"/>
        </w:rPr>
      </w:pPr>
      <w:r w:rsidRPr="00653BF4">
        <w:rPr>
          <w:rFonts w:asciiTheme="minorHAnsi" w:hAnsiTheme="minorHAnsi"/>
          <w:i/>
          <w:iCs/>
          <w:sz w:val="21"/>
          <w:szCs w:val="21"/>
          <w:lang w:val="fr-FR"/>
        </w:rPr>
        <w:t>a)</w:t>
      </w:r>
      <w:r w:rsidRPr="00653BF4">
        <w:rPr>
          <w:rFonts w:asciiTheme="minorHAnsi" w:hAnsiTheme="minorHAnsi"/>
          <w:i/>
          <w:iCs/>
          <w:sz w:val="21"/>
          <w:szCs w:val="21"/>
          <w:lang w:val="fr-FR"/>
        </w:rPr>
        <w:tab/>
        <w:t>Contrôlent, évaluent et communiquent régulièrement et de manière transparente leurs risques, dépendances et incidences sur la biodiversité, y compris en prévoyant des dispositions applicables à toutes les grandes entreprises ainsi qu</w:t>
      </w:r>
      <w:r w:rsidR="00D77549">
        <w:rPr>
          <w:rFonts w:asciiTheme="minorHAnsi" w:hAnsiTheme="minorHAnsi"/>
          <w:i/>
          <w:iCs/>
          <w:sz w:val="21"/>
          <w:szCs w:val="21"/>
          <w:lang w:val="fr-FR"/>
        </w:rPr>
        <w:t>’</w:t>
      </w:r>
      <w:r w:rsidRPr="00653BF4">
        <w:rPr>
          <w:rFonts w:asciiTheme="minorHAnsi" w:hAnsiTheme="minorHAnsi"/>
          <w:i/>
          <w:iCs/>
          <w:sz w:val="21"/>
          <w:szCs w:val="21"/>
          <w:lang w:val="fr-FR"/>
        </w:rPr>
        <w:t>aux entreprises transnationales et aux institutions financières concernant leurs opérations, leurs chaînes d</w:t>
      </w:r>
      <w:r w:rsidR="00D77549">
        <w:rPr>
          <w:rFonts w:asciiTheme="minorHAnsi" w:hAnsiTheme="minorHAnsi"/>
          <w:i/>
          <w:iCs/>
          <w:sz w:val="21"/>
          <w:szCs w:val="21"/>
          <w:lang w:val="fr-FR"/>
        </w:rPr>
        <w:t>’</w:t>
      </w:r>
      <w:r w:rsidRPr="00653BF4">
        <w:rPr>
          <w:rFonts w:asciiTheme="minorHAnsi" w:hAnsiTheme="minorHAnsi"/>
          <w:i/>
          <w:iCs/>
          <w:sz w:val="21"/>
          <w:szCs w:val="21"/>
          <w:lang w:val="fr-FR"/>
        </w:rPr>
        <w:t>approvisionnement et de valeur, ainsi que leurs portefeuilles</w:t>
      </w:r>
      <w:r w:rsidR="00E34DC9">
        <w:rPr>
          <w:rFonts w:asciiTheme="minorHAnsi" w:hAnsiTheme="minorHAnsi"/>
          <w:i/>
          <w:iCs/>
          <w:sz w:val="21"/>
          <w:szCs w:val="21"/>
          <w:lang w:val="fr-FR"/>
        </w:rPr>
        <w:t> ;</w:t>
      </w:r>
    </w:p>
    <w:p w14:paraId="5552FF52" w14:textId="7D64DBBD" w:rsidR="00B87039" w:rsidRPr="00653BF4" w:rsidRDefault="00B87039" w:rsidP="00B87039">
      <w:pPr>
        <w:pStyle w:val="Default"/>
        <w:numPr>
          <w:ilvl w:val="0"/>
          <w:numId w:val="4"/>
        </w:numPr>
        <w:spacing w:after="83"/>
        <w:rPr>
          <w:rFonts w:asciiTheme="minorHAnsi" w:hAnsiTheme="minorHAnsi"/>
          <w:i/>
          <w:iCs/>
          <w:sz w:val="21"/>
          <w:szCs w:val="21"/>
          <w:lang w:val="fr-FR"/>
        </w:rPr>
      </w:pPr>
      <w:r w:rsidRPr="00653BF4">
        <w:rPr>
          <w:rFonts w:asciiTheme="minorHAnsi" w:hAnsiTheme="minorHAnsi"/>
          <w:i/>
          <w:iCs/>
          <w:sz w:val="21"/>
          <w:szCs w:val="21"/>
          <w:lang w:val="fr-FR"/>
        </w:rPr>
        <w:t>b)</w:t>
      </w:r>
      <w:r w:rsidRPr="00653BF4">
        <w:rPr>
          <w:rFonts w:asciiTheme="minorHAnsi" w:hAnsiTheme="minorHAnsi"/>
          <w:i/>
          <w:iCs/>
          <w:sz w:val="21"/>
          <w:szCs w:val="21"/>
          <w:lang w:val="fr-FR"/>
        </w:rPr>
        <w:tab/>
        <w:t>Informent les consommateurs en vue de promouvoir des modes de consommation durables</w:t>
      </w:r>
      <w:r w:rsidR="00E34DC9">
        <w:rPr>
          <w:rFonts w:asciiTheme="minorHAnsi" w:hAnsiTheme="minorHAnsi"/>
          <w:i/>
          <w:iCs/>
          <w:sz w:val="21"/>
          <w:szCs w:val="21"/>
          <w:lang w:val="fr-FR"/>
        </w:rPr>
        <w:t> ;</w:t>
      </w:r>
    </w:p>
    <w:p w14:paraId="6C19DDB4" w14:textId="693618B9" w:rsidR="00B87039" w:rsidRPr="00653BF4" w:rsidRDefault="00B87039" w:rsidP="00B87039">
      <w:pPr>
        <w:pStyle w:val="Default"/>
        <w:rPr>
          <w:rFonts w:asciiTheme="minorHAnsi" w:hAnsiTheme="minorHAnsi"/>
          <w:i/>
          <w:iCs/>
          <w:sz w:val="21"/>
          <w:szCs w:val="21"/>
          <w:lang w:val="fr-FR"/>
        </w:rPr>
      </w:pPr>
      <w:r w:rsidRPr="00653BF4">
        <w:rPr>
          <w:rFonts w:asciiTheme="minorHAnsi" w:hAnsiTheme="minorHAnsi"/>
          <w:i/>
          <w:iCs/>
          <w:sz w:val="21"/>
          <w:szCs w:val="21"/>
          <w:lang w:val="fr-FR"/>
        </w:rPr>
        <w:t>c) Rendent compte du respect des dispositions et mesures relatives à l</w:t>
      </w:r>
      <w:r w:rsidR="00D77549">
        <w:rPr>
          <w:rFonts w:asciiTheme="minorHAnsi" w:hAnsiTheme="minorHAnsi"/>
          <w:i/>
          <w:iCs/>
          <w:sz w:val="21"/>
          <w:szCs w:val="21"/>
          <w:lang w:val="fr-FR"/>
        </w:rPr>
        <w:t>’</w:t>
      </w:r>
      <w:r w:rsidRPr="00653BF4">
        <w:rPr>
          <w:rFonts w:asciiTheme="minorHAnsi" w:hAnsiTheme="minorHAnsi"/>
          <w:i/>
          <w:iCs/>
          <w:sz w:val="21"/>
          <w:szCs w:val="21"/>
          <w:lang w:val="fr-FR"/>
        </w:rPr>
        <w:t>accès et au partage des avantages, en tant que de besoin</w:t>
      </w:r>
      <w:r w:rsidR="00E34DC9">
        <w:rPr>
          <w:rFonts w:asciiTheme="minorHAnsi" w:hAnsiTheme="minorHAnsi"/>
          <w:i/>
          <w:iCs/>
          <w:sz w:val="21"/>
          <w:szCs w:val="21"/>
          <w:lang w:val="fr-FR"/>
        </w:rPr>
        <w:t> ;</w:t>
      </w:r>
    </w:p>
    <w:p w14:paraId="375B3854" w14:textId="77777777" w:rsidR="00B87039" w:rsidRPr="00653BF4" w:rsidRDefault="00B87039" w:rsidP="00B87039">
      <w:pPr>
        <w:pStyle w:val="Default"/>
        <w:numPr>
          <w:ilvl w:val="0"/>
          <w:numId w:val="4"/>
        </w:numPr>
        <w:rPr>
          <w:rFonts w:asciiTheme="minorHAnsi" w:hAnsiTheme="minorHAnsi"/>
          <w:i/>
          <w:iCs/>
          <w:sz w:val="21"/>
          <w:szCs w:val="21"/>
          <w:lang w:val="fr-FR"/>
        </w:rPr>
      </w:pPr>
    </w:p>
    <w:p w14:paraId="418CC4C2" w14:textId="6E937648" w:rsidR="00B87039" w:rsidRPr="00653BF4" w:rsidRDefault="00B87039" w:rsidP="00B87039">
      <w:pPr>
        <w:pStyle w:val="Default"/>
        <w:numPr>
          <w:ilvl w:val="0"/>
          <w:numId w:val="4"/>
        </w:numPr>
        <w:rPr>
          <w:rFonts w:asciiTheme="minorHAnsi" w:hAnsiTheme="minorHAnsi"/>
          <w:i/>
          <w:iCs/>
          <w:sz w:val="21"/>
          <w:szCs w:val="21"/>
          <w:lang w:val="fr-FR"/>
        </w:rPr>
      </w:pPr>
      <w:r w:rsidRPr="00653BF4">
        <w:rPr>
          <w:rFonts w:asciiTheme="minorHAnsi" w:hAnsiTheme="minorHAnsi"/>
          <w:i/>
          <w:iCs/>
          <w:sz w:val="21"/>
          <w:szCs w:val="21"/>
          <w:lang w:val="fr-FR"/>
        </w:rPr>
        <w:t>afin de réduire progressivement les incidences négatives sur la biodiversité, d</w:t>
      </w:r>
      <w:r w:rsidR="00D77549">
        <w:rPr>
          <w:rFonts w:asciiTheme="minorHAnsi" w:hAnsiTheme="minorHAnsi"/>
          <w:i/>
          <w:iCs/>
          <w:sz w:val="21"/>
          <w:szCs w:val="21"/>
          <w:lang w:val="fr-FR"/>
        </w:rPr>
        <w:t>’</w:t>
      </w:r>
      <w:r w:rsidRPr="00653BF4">
        <w:rPr>
          <w:rFonts w:asciiTheme="minorHAnsi" w:hAnsiTheme="minorHAnsi"/>
          <w:i/>
          <w:iCs/>
          <w:sz w:val="21"/>
          <w:szCs w:val="21"/>
          <w:lang w:val="fr-FR"/>
        </w:rPr>
        <w:t>accroître les incidences positives, de réduire les risques liés à la biodiversité pour les entreprises et les institutions financières, et de promouvoir des mesures propres à garantir des modes de production durables.</w:t>
      </w:r>
    </w:p>
    <w:p w14:paraId="506522F0" w14:textId="77777777" w:rsidR="00B87039" w:rsidRPr="00653BF4" w:rsidRDefault="00B87039" w:rsidP="00B87039">
      <w:pPr>
        <w:rPr>
          <w:lang w:val="fr-FR"/>
        </w:rPr>
      </w:pPr>
    </w:p>
    <w:p w14:paraId="52FA3092" w14:textId="77777777" w:rsidR="00B87039" w:rsidRPr="00653BF4" w:rsidRDefault="00B87039" w:rsidP="00B87039">
      <w:pPr>
        <w:pStyle w:val="Heading5"/>
        <w:rPr>
          <w:lang w:val="fr-FR"/>
        </w:rPr>
      </w:pPr>
    </w:p>
    <w:p w14:paraId="632633A5" w14:textId="343EC09A" w:rsidR="00B87039" w:rsidRPr="00653BF4" w:rsidRDefault="00B87039" w:rsidP="00B87039">
      <w:pPr>
        <w:pStyle w:val="Heading5"/>
        <w:rPr>
          <w:lang w:val="fr-FR"/>
        </w:rPr>
      </w:pPr>
      <w:r w:rsidRPr="00653BF4">
        <w:rPr>
          <w:lang w:val="fr-FR"/>
        </w:rPr>
        <w:t>Aperçu des progrès accomplis</w:t>
      </w:r>
      <w:bookmarkEnd w:id="291"/>
    </w:p>
    <w:p w14:paraId="4B981C47" w14:textId="77777777" w:rsidR="00B87039" w:rsidRPr="00653BF4" w:rsidRDefault="00B87039" w:rsidP="00B87039">
      <w:pPr>
        <w:rPr>
          <w:lang w:val="fr-FR"/>
        </w:rPr>
      </w:pPr>
    </w:p>
    <w:tbl>
      <w:tblPr>
        <w:tblStyle w:val="TableGrid"/>
        <w:tblW w:w="0" w:type="auto"/>
        <w:tblLook w:val="04A0" w:firstRow="1" w:lastRow="0" w:firstColumn="1" w:lastColumn="0" w:noHBand="0" w:noVBand="1"/>
      </w:tblPr>
      <w:tblGrid>
        <w:gridCol w:w="9016"/>
      </w:tblGrid>
      <w:tr w:rsidR="00B87039" w:rsidRPr="00543148" w14:paraId="0BD9775D" w14:textId="77777777" w:rsidTr="00557FB3">
        <w:tc>
          <w:tcPr>
            <w:tcW w:w="9016" w:type="dxa"/>
            <w:shd w:val="clear" w:color="auto" w:fill="D1D1D1" w:themeFill="background2" w:themeFillShade="E6"/>
          </w:tcPr>
          <w:p w14:paraId="2581B9BE" w14:textId="77777777" w:rsidR="00B87039" w:rsidRPr="00653BF4" w:rsidRDefault="00B87039" w:rsidP="00557FB3">
            <w:pPr>
              <w:rPr>
                <w:rFonts w:eastAsia="Times New Roman" w:cs="Calibri"/>
                <w:color w:val="000000"/>
                <w:lang w:val="fr-FR"/>
              </w:rPr>
            </w:pPr>
          </w:p>
          <w:p w14:paraId="7CBF81B7" w14:textId="71C563A9" w:rsidR="00B87039" w:rsidRPr="00653BF4" w:rsidRDefault="00B87039" w:rsidP="00557FB3">
            <w:pPr>
              <w:rPr>
                <w:rFonts w:eastAsia="Times New Roman" w:cs="Calibri"/>
                <w:color w:val="000000"/>
                <w:lang w:val="fr-FR"/>
              </w:rPr>
            </w:pPr>
            <w:r w:rsidRPr="00653BF4">
              <w:rPr>
                <w:rFonts w:eastAsia="Times New Roman" w:cs="Calibri"/>
                <w:color w:val="000000"/>
                <w:lang w:val="fr-FR"/>
              </w:rPr>
              <w:t xml:space="preserve">Malgré une augmentation des informations communiquées par les entreprises, la mise en œuvre de la politique ainsi que la prise en compte des cibles nationales restent limitées. La plupart des cibles nationales ne sont pas bien alignées sur les éléments de la </w:t>
            </w:r>
            <w:r w:rsidR="00E34DC9">
              <w:rPr>
                <w:rFonts w:eastAsia="Times New Roman" w:cs="Calibri"/>
                <w:color w:val="000000"/>
                <w:lang w:val="fr-FR"/>
              </w:rPr>
              <w:t>cible 1</w:t>
            </w:r>
            <w:r w:rsidRPr="00653BF4">
              <w:rPr>
                <w:rFonts w:eastAsia="Times New Roman" w:cs="Calibri"/>
                <w:color w:val="000000"/>
                <w:lang w:val="fr-FR"/>
              </w:rPr>
              <w:t>5. Bien que de nombreuses Parties aient signalé des difficultés dans la compilation des données relatives à l</w:t>
            </w:r>
            <w:r w:rsidR="00D77549">
              <w:rPr>
                <w:rFonts w:eastAsia="Times New Roman" w:cs="Calibri"/>
                <w:color w:val="000000"/>
                <w:lang w:val="fr-FR"/>
              </w:rPr>
              <w:t>’</w:t>
            </w:r>
            <w:r w:rsidRPr="00653BF4">
              <w:rPr>
                <w:rFonts w:eastAsia="Times New Roman" w:cs="Calibri"/>
                <w:color w:val="000000"/>
                <w:lang w:val="fr-FR"/>
              </w:rPr>
              <w:t>indicateur phare 15.1, près d</w:t>
            </w:r>
            <w:r w:rsidR="00D77549">
              <w:rPr>
                <w:rFonts w:eastAsia="Times New Roman" w:cs="Calibri"/>
                <w:color w:val="000000"/>
                <w:lang w:val="fr-FR"/>
              </w:rPr>
              <w:t>’</w:t>
            </w:r>
            <w:r w:rsidRPr="00653BF4">
              <w:rPr>
                <w:rFonts w:eastAsia="Times New Roman" w:cs="Calibri"/>
                <w:color w:val="000000"/>
                <w:lang w:val="fr-FR"/>
              </w:rPr>
              <w:t>un cinquième des Parties dont les rapports nationaux étaient disponibles pour analyse ont rapporté qu</w:t>
            </w:r>
            <w:r w:rsidR="00D77549">
              <w:rPr>
                <w:rFonts w:eastAsia="Times New Roman" w:cs="Calibri"/>
                <w:color w:val="000000"/>
                <w:lang w:val="fr-FR"/>
              </w:rPr>
              <w:t>’</w:t>
            </w:r>
            <w:r w:rsidRPr="00653BF4">
              <w:rPr>
                <w:rFonts w:eastAsia="Times New Roman" w:cs="Calibri"/>
                <w:color w:val="000000"/>
                <w:lang w:val="fr-FR"/>
              </w:rPr>
              <w:t>un total de plus de 5 000 entreprises avaient communiqué des informations sur les risques liés à la biodiversité, ce chiffre étant en hausse d</w:t>
            </w:r>
            <w:r w:rsidR="00D77549">
              <w:rPr>
                <w:rFonts w:eastAsia="Times New Roman" w:cs="Calibri"/>
                <w:color w:val="000000"/>
                <w:lang w:val="fr-FR"/>
              </w:rPr>
              <w:t>’</w:t>
            </w:r>
            <w:r w:rsidRPr="00653BF4">
              <w:rPr>
                <w:rFonts w:eastAsia="Times New Roman" w:cs="Calibri"/>
                <w:color w:val="000000"/>
                <w:lang w:val="fr-FR"/>
              </w:rPr>
              <w:t>année en année. L</w:t>
            </w:r>
            <w:r w:rsidR="00D77549">
              <w:rPr>
                <w:rFonts w:eastAsia="Times New Roman" w:cs="Calibri"/>
                <w:color w:val="000000"/>
                <w:lang w:val="fr-FR"/>
              </w:rPr>
              <w:t>’</w:t>
            </w:r>
            <w:r w:rsidRPr="00653BF4">
              <w:rPr>
                <w:rFonts w:eastAsia="Times New Roman" w:cs="Calibri"/>
                <w:color w:val="000000"/>
                <w:lang w:val="fr-FR"/>
              </w:rPr>
              <w:t xml:space="preserve">indicateur binaire révèle toutefois que les mesures visant à atteindre la </w:t>
            </w:r>
            <w:r w:rsidR="00E34DC9">
              <w:rPr>
                <w:rFonts w:eastAsia="Times New Roman" w:cs="Calibri"/>
                <w:color w:val="000000"/>
                <w:lang w:val="fr-FR"/>
              </w:rPr>
              <w:t>cible 1</w:t>
            </w:r>
            <w:r w:rsidRPr="00653BF4">
              <w:rPr>
                <w:rFonts w:eastAsia="Times New Roman" w:cs="Calibri"/>
                <w:color w:val="000000"/>
                <w:lang w:val="fr-FR"/>
              </w:rPr>
              <w:t>5 sont pour la plupart en cours d</w:t>
            </w:r>
            <w:r w:rsidR="00D77549">
              <w:rPr>
                <w:rFonts w:eastAsia="Times New Roman" w:cs="Calibri"/>
                <w:color w:val="000000"/>
                <w:lang w:val="fr-FR"/>
              </w:rPr>
              <w:t>’</w:t>
            </w:r>
            <w:r w:rsidRPr="00653BF4">
              <w:rPr>
                <w:rFonts w:eastAsia="Times New Roman" w:cs="Calibri"/>
                <w:color w:val="000000"/>
                <w:lang w:val="fr-FR"/>
              </w:rPr>
              <w:t>élaboration, mais ne sont pas encore mises en œuvre. Les auto-évaluations ont révélé que, pour les deux tiers des cibles nationales, les progrès étaient inexistants ou insuffisants. Parmi les principales difficultés identifiées figurent l</w:t>
            </w:r>
            <w:r w:rsidR="00D77549">
              <w:rPr>
                <w:rFonts w:eastAsia="Times New Roman" w:cs="Calibri"/>
                <w:color w:val="000000"/>
                <w:lang w:val="fr-FR"/>
              </w:rPr>
              <w:t>’</w:t>
            </w:r>
            <w:r w:rsidRPr="00653BF4">
              <w:rPr>
                <w:rFonts w:eastAsia="Times New Roman" w:cs="Calibri"/>
                <w:color w:val="000000"/>
                <w:lang w:val="fr-FR"/>
              </w:rPr>
              <w:t>absence de cadres de présentation de rapports obligatoires, les lacunes en matière de capacités et de données, l</w:t>
            </w:r>
            <w:r w:rsidR="00D77549">
              <w:rPr>
                <w:rFonts w:eastAsia="Times New Roman" w:cs="Calibri"/>
                <w:color w:val="000000"/>
                <w:lang w:val="fr-FR"/>
              </w:rPr>
              <w:t>’</w:t>
            </w:r>
            <w:r w:rsidRPr="00653BF4">
              <w:rPr>
                <w:rFonts w:eastAsia="Times New Roman" w:cs="Calibri"/>
                <w:color w:val="000000"/>
                <w:lang w:val="fr-FR"/>
              </w:rPr>
              <w:t>exclusion des petites et moyennes entreprises ainsi que des mesures incitatives inadaptées.</w:t>
            </w:r>
          </w:p>
          <w:p w14:paraId="59E0458F" w14:textId="77777777" w:rsidR="00B87039" w:rsidRPr="00653BF4" w:rsidRDefault="00B87039" w:rsidP="00557FB3">
            <w:pPr>
              <w:rPr>
                <w:lang w:val="fr-FR"/>
              </w:rPr>
            </w:pPr>
          </w:p>
        </w:tc>
      </w:tr>
    </w:tbl>
    <w:p w14:paraId="30C4DA4A" w14:textId="77777777" w:rsidR="00B87039" w:rsidRPr="00653BF4" w:rsidRDefault="00B87039" w:rsidP="00B87039">
      <w:pPr>
        <w:rPr>
          <w:lang w:val="fr-FR"/>
        </w:rPr>
      </w:pPr>
    </w:p>
    <w:p w14:paraId="0AF728DF" w14:textId="77777777" w:rsidR="00B87039" w:rsidRPr="00653BF4" w:rsidRDefault="00B87039" w:rsidP="00B87039">
      <w:pPr>
        <w:rPr>
          <w:lang w:val="fr-FR"/>
        </w:rPr>
      </w:pPr>
    </w:p>
    <w:p w14:paraId="46E79A46" w14:textId="119956BF" w:rsidR="00B87039" w:rsidRPr="00653BF4" w:rsidRDefault="00B87039" w:rsidP="00B87039">
      <w:pPr>
        <w:pStyle w:val="Heading5"/>
        <w:rPr>
          <w:lang w:val="fr-FR"/>
        </w:rPr>
      </w:pPr>
      <w:bookmarkStart w:id="292" w:name="_Ref230776372"/>
      <w:r w:rsidRPr="00653BF4">
        <w:rPr>
          <w:lang w:val="fr-FR"/>
        </w:rPr>
        <w:t xml:space="preserve">Prise en compte par les Parties de la portée de la </w:t>
      </w:r>
      <w:r w:rsidR="00E34DC9">
        <w:rPr>
          <w:lang w:val="fr-FR"/>
        </w:rPr>
        <w:t>cible 1</w:t>
      </w:r>
      <w:r w:rsidRPr="00653BF4">
        <w:rPr>
          <w:lang w:val="fr-FR"/>
        </w:rPr>
        <w:t>5 du Cadre dans leurs cibles nationales</w:t>
      </w:r>
    </w:p>
    <w:p w14:paraId="3E16502A" w14:textId="77777777" w:rsidR="00B87039" w:rsidRPr="00653BF4" w:rsidRDefault="00B87039" w:rsidP="00B87039">
      <w:pPr>
        <w:pStyle w:val="Caption"/>
        <w:rPr>
          <w:lang w:val="fr-FR"/>
        </w:rPr>
      </w:pPr>
    </w:p>
    <w:p w14:paraId="790E21D6" w14:textId="27FAF0FF" w:rsidR="00B87039" w:rsidRPr="00653BF4" w:rsidRDefault="00B87039" w:rsidP="00B87039">
      <w:pPr>
        <w:pStyle w:val="Caption"/>
        <w:keepNext/>
        <w:rPr>
          <w:i w:val="0"/>
          <w:iCs w:val="0"/>
          <w:sz w:val="20"/>
          <w:szCs w:val="20"/>
          <w:lang w:val="fr-FR"/>
        </w:rPr>
      </w:pPr>
      <w:bookmarkStart w:id="293" w:name="_Ref238730109"/>
      <w:bookmarkEnd w:id="292"/>
      <w:r w:rsidRPr="00653BF4">
        <w:rPr>
          <w:i w:val="0"/>
          <w:iCs w:val="0"/>
          <w:sz w:val="20"/>
          <w:szCs w:val="20"/>
          <w:lang w:val="fr-FR"/>
        </w:rPr>
        <w:t>Tableau 32</w:t>
      </w:r>
      <w:bookmarkEnd w:id="293"/>
      <w:r w:rsidRPr="00653BF4">
        <w:rPr>
          <w:i w:val="0"/>
          <w:iCs w:val="0"/>
          <w:sz w:val="20"/>
          <w:szCs w:val="20"/>
          <w:lang w:val="fr-FR"/>
        </w:rPr>
        <w:t xml:space="preserve"> </w:t>
      </w:r>
    </w:p>
    <w:p w14:paraId="2E3512FE" w14:textId="2E967417" w:rsidR="00B87039" w:rsidRPr="00653BF4" w:rsidRDefault="00B87039" w:rsidP="00B87039">
      <w:pPr>
        <w:pStyle w:val="Caption"/>
        <w:keepNext/>
        <w:rPr>
          <w:i w:val="0"/>
          <w:sz w:val="20"/>
          <w:szCs w:val="20"/>
          <w:lang w:val="fr-FR"/>
        </w:rPr>
      </w:pPr>
      <w:r w:rsidRPr="00653BF4">
        <w:rPr>
          <w:b/>
          <w:i w:val="0"/>
          <w:sz w:val="20"/>
          <w:szCs w:val="20"/>
          <w:lang w:val="fr-FR"/>
        </w:rPr>
        <w:t xml:space="preserve">Éléments de la </w:t>
      </w:r>
      <w:r w:rsidR="00E34DC9">
        <w:rPr>
          <w:b/>
          <w:i w:val="0"/>
          <w:sz w:val="20"/>
          <w:szCs w:val="20"/>
          <w:lang w:val="fr-FR"/>
        </w:rPr>
        <w:t>cible 1</w:t>
      </w:r>
      <w:r w:rsidRPr="00653BF4">
        <w:rPr>
          <w:b/>
          <w:i w:val="0"/>
          <w:sz w:val="20"/>
          <w:szCs w:val="20"/>
          <w:lang w:val="fr-FR"/>
        </w:rPr>
        <w:t xml:space="preserve">5 du Cadre et </w:t>
      </w:r>
      <w:r w:rsidRPr="00653BF4">
        <w:rPr>
          <w:b/>
          <w:bCs/>
          <w:i w:val="0"/>
          <w:iCs w:val="0"/>
          <w:sz w:val="20"/>
          <w:szCs w:val="20"/>
          <w:lang w:val="fr-FR"/>
        </w:rPr>
        <w:t>leur prise en compte dans les cibles nationales</w:t>
      </w:r>
      <w:r w:rsidRPr="00653BF4">
        <w:rPr>
          <w:i w:val="0"/>
          <w:iCs w:val="0"/>
          <w:sz w:val="20"/>
          <w:szCs w:val="20"/>
          <w:vertAlign w:val="superscript"/>
          <w:lang w:val="fr-FR"/>
        </w:rPr>
        <w:t>a</w:t>
      </w:r>
    </w:p>
    <w:p w14:paraId="452664AD" w14:textId="77777777" w:rsidR="00B87039" w:rsidRPr="00653BF4" w:rsidRDefault="00B87039" w:rsidP="00B87039">
      <w:pPr>
        <w:rPr>
          <w:lang w:val="fr-FR" w:eastAsia="ja-JP"/>
        </w:rPr>
      </w:pPr>
    </w:p>
    <w:p w14:paraId="6CF128D9" w14:textId="77777777" w:rsidR="00B87039" w:rsidRPr="00653BF4" w:rsidRDefault="00B87039" w:rsidP="00B87039">
      <w:pPr>
        <w:rPr>
          <w:lang w:val="fr-FR" w:eastAsia="ja-JP"/>
        </w:rPr>
      </w:pPr>
    </w:p>
    <w:tbl>
      <w:tblPr>
        <w:tblStyle w:val="TableGrid"/>
        <w:tblW w:w="0" w:type="auto"/>
        <w:tblLook w:val="04A0" w:firstRow="1" w:lastRow="0" w:firstColumn="1" w:lastColumn="0" w:noHBand="0" w:noVBand="1"/>
      </w:tblPr>
      <w:tblGrid>
        <w:gridCol w:w="8359"/>
        <w:gridCol w:w="657"/>
      </w:tblGrid>
      <w:tr w:rsidR="00B87039" w:rsidRPr="00653BF4" w14:paraId="0226574F" w14:textId="77777777" w:rsidTr="00557FB3">
        <w:tc>
          <w:tcPr>
            <w:tcW w:w="8359" w:type="dxa"/>
          </w:tcPr>
          <w:p w14:paraId="7AB8EB2A" w14:textId="77777777" w:rsidR="00B87039" w:rsidRPr="00653BF4" w:rsidRDefault="00B87039" w:rsidP="00557FB3">
            <w:pPr>
              <w:rPr>
                <w:sz w:val="21"/>
                <w:szCs w:val="21"/>
                <w:lang w:val="fr-FR"/>
              </w:rPr>
            </w:pPr>
            <w:r w:rsidRPr="00653BF4">
              <w:rPr>
                <w:sz w:val="21"/>
                <w:szCs w:val="21"/>
                <w:lang w:val="fr-FR"/>
              </w:rPr>
              <w:t>Prendre des mesures juridiques, administratives ou de politique générale visant à inciter les entreprises à contrôler, évaluer et communiquer de manière transparente leurs risques sur la biodiversité, et à leur donner les moyens de le faire</w:t>
            </w:r>
          </w:p>
        </w:tc>
        <w:tc>
          <w:tcPr>
            <w:tcW w:w="657" w:type="dxa"/>
            <w:shd w:val="clear" w:color="auto" w:fill="FFFF00"/>
          </w:tcPr>
          <w:p w14:paraId="23229E79" w14:textId="77777777" w:rsidR="00B87039" w:rsidRPr="00653BF4" w:rsidRDefault="00B87039" w:rsidP="00557FB3">
            <w:pPr>
              <w:rPr>
                <w:lang w:val="fr-FR"/>
              </w:rPr>
            </w:pPr>
            <w:r w:rsidRPr="00653BF4">
              <w:rPr>
                <w:lang w:val="fr-FR"/>
              </w:rPr>
              <w:t>48</w:t>
            </w:r>
          </w:p>
        </w:tc>
      </w:tr>
      <w:tr w:rsidR="00B87039" w:rsidRPr="00653BF4" w14:paraId="3ABCBF33" w14:textId="77777777" w:rsidTr="00557FB3">
        <w:tc>
          <w:tcPr>
            <w:tcW w:w="8359" w:type="dxa"/>
          </w:tcPr>
          <w:p w14:paraId="13F032E4" w14:textId="77777777" w:rsidR="00B87039" w:rsidRPr="00653BF4" w:rsidRDefault="00B87039" w:rsidP="00557FB3">
            <w:pPr>
              <w:rPr>
                <w:sz w:val="21"/>
                <w:szCs w:val="21"/>
                <w:lang w:val="fr-FR"/>
              </w:rPr>
            </w:pPr>
            <w:r w:rsidRPr="00653BF4">
              <w:rPr>
                <w:sz w:val="21"/>
                <w:szCs w:val="21"/>
                <w:lang w:val="fr-FR"/>
              </w:rPr>
              <w:t>Prendre des mesures juridiques, administratives ou de politique générale visant à inciter les entreprises à contrôler, évaluer et communiquer de manière transparente leurs dépendances sur la biodiversité, et à leur donner les moyens de le faire</w:t>
            </w:r>
          </w:p>
        </w:tc>
        <w:tc>
          <w:tcPr>
            <w:tcW w:w="657" w:type="dxa"/>
            <w:shd w:val="clear" w:color="auto" w:fill="FFC000"/>
          </w:tcPr>
          <w:p w14:paraId="00DD095C" w14:textId="77777777" w:rsidR="00B87039" w:rsidRPr="00653BF4" w:rsidRDefault="00B87039" w:rsidP="00557FB3">
            <w:pPr>
              <w:rPr>
                <w:lang w:val="fr-FR"/>
              </w:rPr>
            </w:pPr>
            <w:r w:rsidRPr="00653BF4">
              <w:rPr>
                <w:lang w:val="fr-FR"/>
              </w:rPr>
              <w:t>39</w:t>
            </w:r>
          </w:p>
        </w:tc>
      </w:tr>
      <w:tr w:rsidR="00B87039" w:rsidRPr="00653BF4" w14:paraId="16E73A29" w14:textId="77777777" w:rsidTr="00557FB3">
        <w:tc>
          <w:tcPr>
            <w:tcW w:w="8359" w:type="dxa"/>
          </w:tcPr>
          <w:p w14:paraId="75FFEAE1" w14:textId="77777777" w:rsidR="00B87039" w:rsidRPr="00653BF4" w:rsidRDefault="00B87039" w:rsidP="00557FB3">
            <w:pPr>
              <w:rPr>
                <w:sz w:val="21"/>
                <w:szCs w:val="21"/>
                <w:lang w:val="fr-FR"/>
              </w:rPr>
            </w:pPr>
            <w:r w:rsidRPr="00653BF4">
              <w:rPr>
                <w:sz w:val="21"/>
                <w:szCs w:val="21"/>
                <w:lang w:val="fr-FR"/>
              </w:rPr>
              <w:t>Prendre des mesures juridiques, administratives ou de politique générale visant à inciter les entreprises à contrôler, évaluer et communiquer de manière transparente leurs incidences sur la biodiversité, et à leur donner les moyens de le faire</w:t>
            </w:r>
          </w:p>
        </w:tc>
        <w:tc>
          <w:tcPr>
            <w:tcW w:w="657" w:type="dxa"/>
            <w:shd w:val="clear" w:color="auto" w:fill="FFFF00"/>
          </w:tcPr>
          <w:p w14:paraId="75E2BFDB" w14:textId="77777777" w:rsidR="00B87039" w:rsidRPr="00653BF4" w:rsidRDefault="00B87039" w:rsidP="00557FB3">
            <w:pPr>
              <w:rPr>
                <w:lang w:val="fr-FR"/>
              </w:rPr>
            </w:pPr>
            <w:r w:rsidRPr="00653BF4">
              <w:rPr>
                <w:lang w:val="fr-FR"/>
              </w:rPr>
              <w:t>57</w:t>
            </w:r>
          </w:p>
        </w:tc>
      </w:tr>
      <w:tr w:rsidR="00B87039" w:rsidRPr="00653BF4" w14:paraId="665F93E6" w14:textId="77777777" w:rsidTr="00557FB3">
        <w:tc>
          <w:tcPr>
            <w:tcW w:w="8359" w:type="dxa"/>
          </w:tcPr>
          <w:p w14:paraId="3FAEE547" w14:textId="77777777" w:rsidR="00B87039" w:rsidRPr="00653BF4" w:rsidRDefault="00B87039" w:rsidP="00557FB3">
            <w:pPr>
              <w:rPr>
                <w:sz w:val="21"/>
                <w:szCs w:val="21"/>
                <w:lang w:val="fr-FR"/>
              </w:rPr>
            </w:pPr>
            <w:r w:rsidRPr="00653BF4">
              <w:rPr>
                <w:sz w:val="21"/>
                <w:szCs w:val="21"/>
                <w:lang w:val="fr-FR"/>
              </w:rPr>
              <w:t>Prendre des mesures juridiques, administratives ou de politique générale visant à inciter les entreprises à informer les consommateurs en vue de promouvoir des modes de consommation durables, et à leur donner les moyens de le faire</w:t>
            </w:r>
          </w:p>
        </w:tc>
        <w:tc>
          <w:tcPr>
            <w:tcW w:w="657" w:type="dxa"/>
            <w:shd w:val="clear" w:color="auto" w:fill="FFC000"/>
          </w:tcPr>
          <w:p w14:paraId="339E98FB" w14:textId="77777777" w:rsidR="00B87039" w:rsidRPr="00653BF4" w:rsidRDefault="00B87039" w:rsidP="00557FB3">
            <w:pPr>
              <w:rPr>
                <w:lang w:val="fr-FR"/>
              </w:rPr>
            </w:pPr>
            <w:r w:rsidRPr="00653BF4">
              <w:rPr>
                <w:lang w:val="fr-FR"/>
              </w:rPr>
              <w:t>37</w:t>
            </w:r>
          </w:p>
        </w:tc>
      </w:tr>
      <w:tr w:rsidR="00B87039" w:rsidRPr="00653BF4" w14:paraId="76D0ED63" w14:textId="77777777" w:rsidTr="00557FB3">
        <w:tc>
          <w:tcPr>
            <w:tcW w:w="8359" w:type="dxa"/>
          </w:tcPr>
          <w:p w14:paraId="7BB9B9AA" w14:textId="0C473D77" w:rsidR="00B87039" w:rsidRPr="00653BF4" w:rsidRDefault="00B87039" w:rsidP="00557FB3">
            <w:pPr>
              <w:rPr>
                <w:sz w:val="21"/>
                <w:szCs w:val="21"/>
                <w:lang w:val="fr-FR"/>
              </w:rPr>
            </w:pPr>
            <w:r w:rsidRPr="00653BF4">
              <w:rPr>
                <w:sz w:val="21"/>
                <w:szCs w:val="21"/>
                <w:lang w:val="fr-FR"/>
              </w:rPr>
              <w:t>Prendre des mesures juridiques, administratives ou de politique générale visant à inciter les entreprises à rendre compte du respect des dispositions et mesures relatives à l</w:t>
            </w:r>
            <w:r w:rsidR="00D77549">
              <w:rPr>
                <w:sz w:val="21"/>
                <w:szCs w:val="21"/>
                <w:lang w:val="fr-FR"/>
              </w:rPr>
              <w:t>’</w:t>
            </w:r>
            <w:r w:rsidRPr="00653BF4">
              <w:rPr>
                <w:sz w:val="21"/>
                <w:szCs w:val="21"/>
                <w:lang w:val="fr-FR"/>
              </w:rPr>
              <w:t>accès et au partage des avantages, en tant que de besoin, et à leur donner les moyens de le faire</w:t>
            </w:r>
          </w:p>
        </w:tc>
        <w:tc>
          <w:tcPr>
            <w:tcW w:w="657" w:type="dxa"/>
            <w:shd w:val="clear" w:color="auto" w:fill="EE0000"/>
          </w:tcPr>
          <w:p w14:paraId="1F14AA2B" w14:textId="77777777" w:rsidR="00B87039" w:rsidRPr="00653BF4" w:rsidRDefault="00B87039" w:rsidP="00557FB3">
            <w:pPr>
              <w:rPr>
                <w:lang w:val="fr-FR"/>
              </w:rPr>
            </w:pPr>
            <w:r w:rsidRPr="00653BF4">
              <w:rPr>
                <w:lang w:val="fr-FR"/>
              </w:rPr>
              <w:t>19</w:t>
            </w:r>
          </w:p>
        </w:tc>
      </w:tr>
      <w:tr w:rsidR="00B87039" w:rsidRPr="00543148" w14:paraId="7ECF8808" w14:textId="77777777" w:rsidTr="00557FB3">
        <w:tc>
          <w:tcPr>
            <w:tcW w:w="9016" w:type="dxa"/>
            <w:gridSpan w:val="2"/>
          </w:tcPr>
          <w:p w14:paraId="482FF0E4" w14:textId="77777777" w:rsidR="00B87039" w:rsidRPr="00653BF4" w:rsidRDefault="00B87039" w:rsidP="00557FB3">
            <w:pPr>
              <w:rPr>
                <w:lang w:val="fr-FR"/>
              </w:rPr>
            </w:pPr>
          </w:p>
          <w:p w14:paraId="72393377" w14:textId="2035E336"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40</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177857DD" w14:textId="77777777" w:rsidR="00B87039" w:rsidRPr="00653BF4" w:rsidRDefault="00B87039" w:rsidP="00557FB3">
            <w:pPr>
              <w:rPr>
                <w:lang w:val="fr-FR"/>
              </w:rPr>
            </w:pPr>
          </w:p>
        </w:tc>
      </w:tr>
    </w:tbl>
    <w:p w14:paraId="7AA2976F" w14:textId="77777777" w:rsidR="00B87039" w:rsidRPr="00653BF4" w:rsidRDefault="00B87039" w:rsidP="00B87039">
      <w:pPr>
        <w:pStyle w:val="Caption"/>
        <w:keepNext/>
        <w:rPr>
          <w:lang w:val="fr-FR"/>
        </w:rPr>
      </w:pPr>
    </w:p>
    <w:p w14:paraId="4A987955" w14:textId="0E81C657" w:rsidR="00B87039" w:rsidRPr="00653BF4" w:rsidRDefault="00B87039" w:rsidP="00B87039">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w:t>
      </w:r>
      <w:r w:rsidR="00D77549">
        <w:rPr>
          <w:iCs/>
          <w:sz w:val="16"/>
          <w:szCs w:val="16"/>
          <w:lang w:val="fr-FR"/>
        </w:rPr>
        <w:t>’</w:t>
      </w:r>
      <w:r w:rsidRPr="00653BF4">
        <w:rPr>
          <w:iCs/>
          <w:sz w:val="16"/>
          <w:szCs w:val="16"/>
          <w:lang w:val="fr-FR"/>
        </w:rPr>
        <w:t>élément, au moins partiellement.</w:t>
      </w:r>
    </w:p>
    <w:p w14:paraId="56737D08" w14:textId="5F73C6A6" w:rsidR="00B87039" w:rsidRPr="00653BF4" w:rsidRDefault="00B87039" w:rsidP="00B8703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cs="Segoe UI"/>
          <w:sz w:val="16"/>
          <w:szCs w:val="16"/>
          <w:lang w:val="fr-FR"/>
        </w:rPr>
        <w:t xml:space="preserve"> Les éléments de chaque cible ont été définis par le Groupe spécial d</w:t>
      </w:r>
      <w:r w:rsidR="00D77549">
        <w:rPr>
          <w:rStyle w:val="normaltextrun"/>
          <w:rFonts w:cs="Segoe UI"/>
          <w:sz w:val="16"/>
          <w:szCs w:val="16"/>
          <w:lang w:val="fr-FR"/>
        </w:rPr>
        <w:t>’</w:t>
      </w:r>
      <w:r w:rsidRPr="00653BF4">
        <w:rPr>
          <w:rStyle w:val="normaltextrun"/>
          <w:rFonts w:cs="Segoe UI"/>
          <w:sz w:val="16"/>
          <w:szCs w:val="16"/>
          <w:lang w:val="fr-FR"/>
        </w:rPr>
        <w:t xml:space="preserve">experts techniques sur les indicateurs du Cadre mondial de la biodiversité de Kunming-Montréal (voir annexe I du document </w:t>
      </w:r>
      <w:hyperlink r:id="rId161" w:history="1">
        <w:r w:rsidRPr="00653BF4">
          <w:rPr>
            <w:rStyle w:val="Hyperlink"/>
            <w:rFonts w:ascii="Aptos" w:hAnsi="Aptos" w:cs="Segoe UI"/>
            <w:sz w:val="16"/>
            <w:szCs w:val="16"/>
            <w:lang w:val="fr-FR"/>
          </w:rPr>
          <w:t>CBD/COP/16/INF/4</w:t>
        </w:r>
      </w:hyperlink>
      <w:r w:rsidR="00E34DC9">
        <w:rPr>
          <w:rStyle w:val="normaltextrun"/>
          <w:rFonts w:cs="Segoe UI"/>
          <w:sz w:val="16"/>
          <w:szCs w:val="16"/>
          <w:lang w:val="fr-FR"/>
        </w:rPr>
        <w:t> ;</w:t>
      </w:r>
      <w:r w:rsidRPr="00653BF4">
        <w:rPr>
          <w:rFonts w:ascii="Aptos" w:hAnsi="Aptos" w:cs="Segoe UI"/>
          <w:sz w:val="16"/>
          <w:szCs w:val="16"/>
          <w:lang w:val="fr-FR"/>
        </w:rPr>
        <w:t xml:space="preserve"> et Affinito </w:t>
      </w:r>
      <w:r w:rsidRPr="00653BF4">
        <w:rPr>
          <w:rFonts w:ascii="Aptos" w:hAnsi="Aptos" w:cs="Segoe UI"/>
          <w:i/>
          <w:iCs/>
          <w:sz w:val="16"/>
          <w:szCs w:val="16"/>
          <w:lang w:val="fr-FR"/>
        </w:rPr>
        <w:t>et al.</w:t>
      </w:r>
      <w:r w:rsidRPr="00653BF4">
        <w:rPr>
          <w:rFonts w:ascii="Aptos" w:hAnsi="Aptos" w:cs="Segoe UI"/>
          <w:sz w:val="16"/>
          <w:szCs w:val="16"/>
          <w:lang w:val="fr-FR"/>
        </w:rPr>
        <w:t xml:space="preserve">, 2025). </w:t>
      </w:r>
      <w:r w:rsidRPr="00653BF4">
        <w:rPr>
          <w:rStyle w:val="normaltextrun"/>
          <w:rFonts w:cs="Segoe UI"/>
          <w:sz w:val="16"/>
          <w:szCs w:val="16"/>
          <w:lang w:val="fr-FR"/>
        </w:rPr>
        <w:t>La méthode détaillée employée pour l</w:t>
      </w:r>
      <w:r w:rsidR="00D77549">
        <w:rPr>
          <w:rStyle w:val="normaltextrun"/>
          <w:rFonts w:cs="Segoe UI"/>
          <w:sz w:val="16"/>
          <w:szCs w:val="16"/>
          <w:lang w:val="fr-FR"/>
        </w:rPr>
        <w:t>’</w:t>
      </w:r>
      <w:r w:rsidRPr="00653BF4">
        <w:rPr>
          <w:rStyle w:val="normaltextrun"/>
          <w:rFonts w:cs="Segoe UI"/>
          <w:sz w:val="16"/>
          <w:szCs w:val="16"/>
          <w:lang w:val="fr-FR"/>
        </w:rPr>
        <w:t>analyse des cibles nationales est présentée dans le document </w:t>
      </w:r>
      <w:hyperlink r:id="rId162" w:history="1">
        <w:r w:rsidRPr="00653BF4">
          <w:rPr>
            <w:rStyle w:val="Hyperlink"/>
            <w:rFonts w:ascii="Aptos" w:hAnsi="Aptos" w:cs="Segoe UI"/>
            <w:sz w:val="16"/>
            <w:szCs w:val="16"/>
            <w:lang w:val="fr-FR"/>
          </w:rPr>
          <w:t>CBD/SBI/7/INF/22</w:t>
        </w:r>
      </w:hyperlink>
      <w:r w:rsidRPr="00653BF4">
        <w:rPr>
          <w:rStyle w:val="normaltextrun"/>
          <w:rFonts w:cs="Segoe UI"/>
          <w:sz w:val="16"/>
          <w:szCs w:val="16"/>
          <w:lang w:val="fr-FR"/>
        </w:rPr>
        <w:t>. </w:t>
      </w:r>
    </w:p>
    <w:p w14:paraId="27907CDE" w14:textId="77777777" w:rsidR="00B87039" w:rsidRPr="00653BF4" w:rsidRDefault="00B87039" w:rsidP="00B87039">
      <w:pPr>
        <w:pStyle w:val="Caption"/>
        <w:keepNext/>
        <w:rPr>
          <w:i w:val="0"/>
          <w:iCs w:val="0"/>
          <w:lang w:val="fr-FR"/>
        </w:rPr>
      </w:pPr>
    </w:p>
    <w:p w14:paraId="6D1305C5" w14:textId="7FE0EEBD" w:rsidR="00B87039" w:rsidRPr="00653BF4" w:rsidRDefault="00B87039" w:rsidP="00B87039">
      <w:pPr>
        <w:rPr>
          <w:lang w:val="fr-FR"/>
        </w:rPr>
      </w:pPr>
      <w:r w:rsidRPr="00653BF4">
        <w:rPr>
          <w:lang w:val="fr-FR"/>
        </w:rPr>
        <w:t>Une majorité des Parties (57</w:t>
      </w:r>
      <w:r w:rsidR="002878D7">
        <w:rPr>
          <w:lang w:val="fr-FR"/>
        </w:rPr>
        <w:t> %</w:t>
      </w:r>
      <w:r w:rsidRPr="00653BF4">
        <w:rPr>
          <w:lang w:val="fr-FR"/>
        </w:rPr>
        <w:t>) ont partiellement pris en compte l</w:t>
      </w:r>
      <w:r w:rsidR="00D77549">
        <w:rPr>
          <w:lang w:val="fr-FR"/>
        </w:rPr>
        <w:t>’</w:t>
      </w:r>
      <w:r w:rsidRPr="00653BF4">
        <w:rPr>
          <w:lang w:val="fr-FR"/>
        </w:rPr>
        <w:t xml:space="preserve">élément de la </w:t>
      </w:r>
      <w:r w:rsidR="00E34DC9">
        <w:rPr>
          <w:lang w:val="fr-FR"/>
        </w:rPr>
        <w:t>cible 1</w:t>
      </w:r>
      <w:r w:rsidRPr="00653BF4">
        <w:rPr>
          <w:lang w:val="fr-FR"/>
        </w:rPr>
        <w:t>5 qui porte spécifiquement sur les mesures visant à inciter les entreprises à contrôler, évaluer et communiquer de manière transparente leurs incidences sur la biodiversité, et à leur donner les moyens de le faire (voir le tableau 32). Moins de la moitié des Parties ont spécifiquement abordé les risques commerciaux pesant sur la biodiversité (48</w:t>
      </w:r>
      <w:r w:rsidR="002878D7">
        <w:rPr>
          <w:lang w:val="fr-FR"/>
        </w:rPr>
        <w:t> %</w:t>
      </w:r>
      <w:r w:rsidRPr="00653BF4">
        <w:rPr>
          <w:lang w:val="fr-FR"/>
        </w:rPr>
        <w:t>), la dépendance des entreprises à l</w:t>
      </w:r>
      <w:r w:rsidR="00D77549">
        <w:rPr>
          <w:lang w:val="fr-FR"/>
        </w:rPr>
        <w:t>’</w:t>
      </w:r>
      <w:r w:rsidRPr="00653BF4">
        <w:rPr>
          <w:lang w:val="fr-FR"/>
        </w:rPr>
        <w:t>égard de la biodiversité (39</w:t>
      </w:r>
      <w:r w:rsidR="002878D7">
        <w:rPr>
          <w:lang w:val="fr-FR"/>
        </w:rPr>
        <w:t> %</w:t>
      </w:r>
      <w:r w:rsidRPr="00653BF4">
        <w:rPr>
          <w:lang w:val="fr-FR"/>
        </w:rPr>
        <w:t xml:space="preserve">) et les mesures visant à inciter les entreprises à informer les consommateurs en vue de promouvoir des modes de </w:t>
      </w:r>
      <w:r w:rsidRPr="00653BF4">
        <w:rPr>
          <w:lang w:val="fr-FR"/>
        </w:rPr>
        <w:lastRenderedPageBreak/>
        <w:t>consommation durables, et à leur donner les moyens de le faire (37</w:t>
      </w:r>
      <w:r w:rsidR="002878D7">
        <w:rPr>
          <w:lang w:val="fr-FR"/>
        </w:rPr>
        <w:t> %</w:t>
      </w:r>
      <w:r w:rsidRPr="00653BF4">
        <w:rPr>
          <w:lang w:val="fr-FR"/>
        </w:rPr>
        <w:t>). Moins d</w:t>
      </w:r>
      <w:r w:rsidR="00D77549">
        <w:rPr>
          <w:lang w:val="fr-FR"/>
        </w:rPr>
        <w:t>’</w:t>
      </w:r>
      <w:r w:rsidRPr="00653BF4">
        <w:rPr>
          <w:lang w:val="fr-FR"/>
        </w:rPr>
        <w:t>un cinquième des Parties (19</w:t>
      </w:r>
      <w:r w:rsidR="002878D7">
        <w:rPr>
          <w:lang w:val="fr-FR"/>
        </w:rPr>
        <w:t> %</w:t>
      </w:r>
      <w:r w:rsidRPr="00653BF4">
        <w:rPr>
          <w:lang w:val="fr-FR"/>
        </w:rPr>
        <w:t>) ont communiqué des cibles nationales incitant les entreprises à rendre compte du respect des dispositions et mesures relatives à l</w:t>
      </w:r>
      <w:r w:rsidR="00D77549">
        <w:rPr>
          <w:lang w:val="fr-FR"/>
        </w:rPr>
        <w:t>’</w:t>
      </w:r>
      <w:r w:rsidRPr="00653BF4">
        <w:rPr>
          <w:lang w:val="fr-FR"/>
        </w:rPr>
        <w:t>accès et au partage des avantages, et à leur donner les moyens de le faire.</w:t>
      </w:r>
    </w:p>
    <w:p w14:paraId="0DD14E74" w14:textId="77777777" w:rsidR="00B87039" w:rsidRPr="00653BF4" w:rsidRDefault="00B87039" w:rsidP="00B87039">
      <w:pPr>
        <w:pStyle w:val="Caption"/>
        <w:keepNext/>
        <w:rPr>
          <w:lang w:val="fr-FR"/>
        </w:rPr>
      </w:pPr>
    </w:p>
    <w:p w14:paraId="31BB8398" w14:textId="77F8D777" w:rsidR="00B87039" w:rsidRPr="00653BF4" w:rsidRDefault="00B87039" w:rsidP="00B87039">
      <w:pPr>
        <w:pStyle w:val="Heading5"/>
        <w:rPr>
          <w:lang w:val="fr-FR"/>
        </w:rPr>
      </w:pPr>
      <w:bookmarkStart w:id="294" w:name="_Toc235821234"/>
      <w:r w:rsidRPr="00653BF4">
        <w:rPr>
          <w:lang w:val="fr-FR"/>
        </w:rPr>
        <w:t>Indicateurs de progrès</w:t>
      </w:r>
      <w:bookmarkEnd w:id="294"/>
    </w:p>
    <w:p w14:paraId="01B434B1" w14:textId="77777777" w:rsidR="00B87039" w:rsidRPr="00653BF4" w:rsidRDefault="00B87039" w:rsidP="00B87039">
      <w:pPr>
        <w:pStyle w:val="Caption"/>
        <w:rPr>
          <w:i w:val="0"/>
          <w:iCs w:val="0"/>
          <w:sz w:val="20"/>
          <w:szCs w:val="20"/>
          <w:lang w:val="fr-FR"/>
        </w:rPr>
      </w:pPr>
    </w:p>
    <w:p w14:paraId="79560EF0" w14:textId="77777777" w:rsidR="00B87039" w:rsidRPr="00653BF4" w:rsidRDefault="00B87039" w:rsidP="00B87039">
      <w:pPr>
        <w:pStyle w:val="Caption"/>
        <w:rPr>
          <w:i w:val="0"/>
          <w:sz w:val="20"/>
          <w:szCs w:val="20"/>
          <w:lang w:val="fr-FR"/>
        </w:rPr>
      </w:pPr>
      <w:r w:rsidRPr="00653BF4">
        <w:rPr>
          <w:i w:val="0"/>
          <w:iCs w:val="0"/>
          <w:sz w:val="20"/>
          <w:szCs w:val="20"/>
          <w:lang w:val="fr-FR"/>
        </w:rPr>
        <w:t xml:space="preserve">Tableau 33 </w:t>
      </w:r>
    </w:p>
    <w:p w14:paraId="75880692" w14:textId="3EF524FB"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1</w:t>
      </w:r>
      <w:r w:rsidRPr="00653BF4">
        <w:rPr>
          <w:b/>
          <w:bCs/>
          <w:i w:val="0"/>
          <w:iCs w:val="0"/>
          <w:sz w:val="20"/>
          <w:szCs w:val="20"/>
          <w:lang w:val="fr-FR"/>
        </w:rPr>
        <w:t>5 du Cadre</w:t>
      </w:r>
    </w:p>
    <w:p w14:paraId="7E7109D8" w14:textId="77777777" w:rsidR="00B87039" w:rsidRPr="00653BF4" w:rsidRDefault="00B87039" w:rsidP="00B87039">
      <w:pPr>
        <w:rPr>
          <w:lang w:val="fr-FR" w:eastAsia="ja-JP"/>
        </w:rPr>
      </w:pPr>
    </w:p>
    <w:tbl>
      <w:tblPr>
        <w:tblW w:w="10201" w:type="dxa"/>
        <w:tblLook w:val="04A0" w:firstRow="1" w:lastRow="0" w:firstColumn="1" w:lastColumn="0" w:noHBand="0" w:noVBand="1"/>
      </w:tblPr>
      <w:tblGrid>
        <w:gridCol w:w="3240"/>
        <w:gridCol w:w="2425"/>
        <w:gridCol w:w="709"/>
        <w:gridCol w:w="3119"/>
        <w:gridCol w:w="708"/>
      </w:tblGrid>
      <w:tr w:rsidR="00B87039" w:rsidRPr="00653BF4" w14:paraId="42D9D9D7"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51939895"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134" w:type="dxa"/>
            <w:gridSpan w:val="2"/>
            <w:tcBorders>
              <w:top w:val="single" w:sz="4" w:space="0" w:color="auto"/>
              <w:left w:val="nil"/>
              <w:bottom w:val="single" w:sz="4" w:space="0" w:color="auto"/>
              <w:right w:val="single" w:sz="4" w:space="0" w:color="auto"/>
            </w:tcBorders>
            <w:vAlign w:val="center"/>
          </w:tcPr>
          <w:p w14:paraId="26516260" w14:textId="21F23CF0" w:rsidR="00B87039" w:rsidRPr="00653BF4" w:rsidRDefault="00E04592"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3827" w:type="dxa"/>
            <w:gridSpan w:val="2"/>
            <w:tcBorders>
              <w:top w:val="single" w:sz="4" w:space="0" w:color="auto"/>
              <w:left w:val="nil"/>
              <w:bottom w:val="single" w:sz="4" w:space="0" w:color="auto"/>
              <w:right w:val="single" w:sz="4" w:space="0" w:color="auto"/>
            </w:tcBorders>
            <w:vAlign w:val="center"/>
          </w:tcPr>
          <w:p w14:paraId="1B37B2FA" w14:textId="68B3B87F" w:rsidR="00B87039" w:rsidRPr="00653BF4" w:rsidRDefault="00A443C9" w:rsidP="00557FB3">
            <w:pPr>
              <w:spacing w:after="0" w:line="240" w:lineRule="auto"/>
              <w:jc w:val="center"/>
              <w:rPr>
                <w:rFonts w:eastAsia="Times New Roman" w:cs="Calibri"/>
                <w:color w:val="000000"/>
                <w:kern w:val="0"/>
                <w:sz w:val="20"/>
                <w:szCs w:val="20"/>
                <w:lang w:val="fr-FR" w:eastAsia="en-CA"/>
                <w14:ligatures w14:val="none"/>
              </w:rPr>
            </w:pPr>
            <w:r>
              <w:rPr>
                <w:color w:val="000000"/>
                <w:sz w:val="20"/>
                <w:szCs w:val="20"/>
                <w:lang w:val="fr-FR"/>
              </w:rPr>
              <w:t>Résultats de l’indicateur</w:t>
            </w:r>
          </w:p>
        </w:tc>
      </w:tr>
      <w:tr w:rsidR="00B87039" w:rsidRPr="00543148" w14:paraId="12DA07F4"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86EFB6" w14:textId="329B558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phare 15.1</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nombre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entreprises communiquant leurs risques, dépendances et incidences sur la biodiversité</w:t>
            </w:r>
          </w:p>
        </w:tc>
        <w:tc>
          <w:tcPr>
            <w:tcW w:w="2425" w:type="dxa"/>
            <w:tcBorders>
              <w:top w:val="single" w:sz="4" w:space="0" w:color="auto"/>
              <w:left w:val="nil"/>
              <w:bottom w:val="single" w:sz="4" w:space="0" w:color="auto"/>
              <w:right w:val="single" w:sz="4" w:space="0" w:color="auto"/>
            </w:tcBorders>
            <w:vAlign w:val="center"/>
            <w:hideMark/>
          </w:tcPr>
          <w:p w14:paraId="65A6F474" w14:textId="239104C3"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19</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709" w:type="dxa"/>
            <w:tcBorders>
              <w:top w:val="single" w:sz="4" w:space="0" w:color="auto"/>
              <w:left w:val="nil"/>
              <w:bottom w:val="single" w:sz="4" w:space="0" w:color="auto"/>
              <w:right w:val="single" w:sz="4" w:space="0" w:color="auto"/>
            </w:tcBorders>
            <w:shd w:val="clear" w:color="000000" w:fill="C00000"/>
            <w:vAlign w:val="center"/>
            <w:hideMark/>
          </w:tcPr>
          <w:p w14:paraId="50FCF017"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119" w:type="dxa"/>
            <w:tcBorders>
              <w:top w:val="single" w:sz="4" w:space="0" w:color="auto"/>
              <w:left w:val="nil"/>
              <w:bottom w:val="single" w:sz="4" w:space="0" w:color="auto"/>
              <w:right w:val="single" w:sz="4" w:space="0" w:color="auto"/>
            </w:tcBorders>
            <w:vAlign w:val="center"/>
            <w:hideMark/>
          </w:tcPr>
          <w:p w14:paraId="1293760E"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Total de 5 477 entreprises communiquant des informations</w:t>
            </w:r>
          </w:p>
          <w:p w14:paraId="3E24A671"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(communications en hausse au fil du temps)</w:t>
            </w:r>
          </w:p>
        </w:tc>
        <w:tc>
          <w:tcPr>
            <w:tcW w:w="708"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1F120F19"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tc>
      </w:tr>
      <w:tr w:rsidR="00B87039" w:rsidRPr="00543148" w14:paraId="731E2A2E" w14:textId="77777777" w:rsidTr="00557FB3">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516FD542" w14:textId="301BDC3A"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binaire 15.b</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nombre de pays ayant pris des mesures juridiques, administratives ou politiques visant à inciter les entreprises à agir, et à leur donner les moyens de le faire, notamment en veillant à ce que les grandes entreprises et les entreprises transnationales, ainsi que les institutions financières, réduisent progressivement leurs incidences négatives sur la biodiversité, accroissent leurs incidences positives, réduisent les risques liés à la biodiversité et promeuvent des mesures propres à garantir des modes de production durables</w:t>
            </w:r>
          </w:p>
        </w:tc>
        <w:tc>
          <w:tcPr>
            <w:tcW w:w="2425" w:type="dxa"/>
            <w:tcBorders>
              <w:top w:val="nil"/>
              <w:left w:val="nil"/>
              <w:bottom w:val="single" w:sz="4" w:space="0" w:color="auto"/>
              <w:right w:val="single" w:sz="4" w:space="0" w:color="auto"/>
            </w:tcBorders>
            <w:vAlign w:val="center"/>
            <w:hideMark/>
          </w:tcPr>
          <w:p w14:paraId="4A5538F7"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127 Parties</w:t>
            </w:r>
          </w:p>
        </w:tc>
        <w:tc>
          <w:tcPr>
            <w:tcW w:w="709" w:type="dxa"/>
            <w:tcBorders>
              <w:top w:val="nil"/>
              <w:left w:val="nil"/>
              <w:bottom w:val="single" w:sz="4" w:space="0" w:color="auto"/>
              <w:right w:val="single" w:sz="4" w:space="0" w:color="auto"/>
            </w:tcBorders>
            <w:vAlign w:val="center"/>
            <w:hideMark/>
          </w:tcPr>
          <w:p w14:paraId="42773C77" w14:textId="2DFC54AD" w:rsidR="00B87039" w:rsidRPr="00653BF4" w:rsidRDefault="000F4D75" w:rsidP="00557FB3">
            <w:pPr>
              <w:spacing w:after="0" w:line="240" w:lineRule="auto"/>
              <w:jc w:val="center"/>
              <w:rPr>
                <w:rFonts w:eastAsia="Times New Roman" w:cs="Times New Roman"/>
                <w:color w:val="000000"/>
                <w:kern w:val="0"/>
                <w:sz w:val="20"/>
                <w:szCs w:val="20"/>
                <w:lang w:val="fr-FR" w:eastAsia="en-CA"/>
                <w14:ligatures w14:val="none"/>
              </w:rPr>
            </w:pPr>
            <w:r>
              <w:rPr>
                <w:rFonts w:eastAsia="Times New Roman" w:cs="Times New Roman"/>
                <w:color w:val="000000"/>
                <w:kern w:val="0"/>
                <w:sz w:val="20"/>
                <w:szCs w:val="20"/>
                <w:lang w:val="fr-FR"/>
                <w14:ligatures w14:val="none"/>
              </w:rPr>
              <w:t>s.o.</w:t>
            </w:r>
            <w:r w:rsidR="00B87039" w:rsidRPr="00653BF4">
              <w:rPr>
                <w:rFonts w:eastAsia="Times New Roman" w:cs="Times New Roman"/>
                <w:i/>
                <w:iCs/>
                <w:color w:val="000000"/>
                <w:kern w:val="0"/>
                <w:sz w:val="20"/>
                <w:szCs w:val="20"/>
                <w:vertAlign w:val="superscript"/>
                <w:lang w:val="fr-FR"/>
                <w14:ligatures w14:val="none"/>
              </w:rPr>
              <w:t>a</w:t>
            </w:r>
          </w:p>
        </w:tc>
        <w:tc>
          <w:tcPr>
            <w:tcW w:w="3119" w:type="dxa"/>
            <w:tcBorders>
              <w:top w:val="nil"/>
              <w:left w:val="nil"/>
              <w:bottom w:val="single" w:sz="4" w:space="0" w:color="auto"/>
              <w:right w:val="single" w:sz="4" w:space="0" w:color="auto"/>
            </w:tcBorders>
            <w:vAlign w:val="center"/>
            <w:hideMark/>
          </w:tcPr>
          <w:p w14:paraId="735767CF" w14:textId="2EC3ABB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24</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des Parties ont obtenu de très bons résultats (note</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4/5)</w:t>
            </w:r>
          </w:p>
        </w:tc>
        <w:tc>
          <w:tcPr>
            <w:tcW w:w="708" w:type="dxa"/>
            <w:tcBorders>
              <w:top w:val="nil"/>
              <w:left w:val="nil"/>
              <w:bottom w:val="single" w:sz="4" w:space="0" w:color="auto"/>
              <w:right w:val="single" w:sz="4" w:space="0" w:color="auto"/>
            </w:tcBorders>
            <w:shd w:val="clear" w:color="000000" w:fill="C00000"/>
            <w:vAlign w:val="center"/>
            <w:hideMark/>
          </w:tcPr>
          <w:p w14:paraId="7B367472"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19108645" w14:textId="77777777" w:rsidTr="00557FB3">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7450EC9"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Tous les indicateurs quantitatifs combinés</w:t>
            </w:r>
          </w:p>
        </w:tc>
        <w:tc>
          <w:tcPr>
            <w:tcW w:w="2425" w:type="dxa"/>
            <w:tcBorders>
              <w:top w:val="nil"/>
              <w:left w:val="nil"/>
              <w:bottom w:val="single" w:sz="4" w:space="0" w:color="auto"/>
              <w:right w:val="single" w:sz="4" w:space="0" w:color="auto"/>
            </w:tcBorders>
            <w:vAlign w:val="center"/>
            <w:hideMark/>
          </w:tcPr>
          <w:p w14:paraId="5F551A65" w14:textId="32C5A612"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35 Parties, 27</w:t>
            </w:r>
            <w:r w:rsidR="002878D7">
              <w:rPr>
                <w:rFonts w:eastAsia="Times New Roman" w:cs="Calibri"/>
                <w:color w:val="000000"/>
                <w:kern w:val="0"/>
                <w:sz w:val="20"/>
                <w:szCs w:val="20"/>
                <w:lang w:val="fr-FR"/>
                <w14:ligatures w14:val="none"/>
              </w:rPr>
              <w:t> %</w:t>
            </w:r>
          </w:p>
        </w:tc>
        <w:tc>
          <w:tcPr>
            <w:tcW w:w="709" w:type="dxa"/>
            <w:tcBorders>
              <w:top w:val="nil"/>
              <w:left w:val="nil"/>
              <w:bottom w:val="single" w:sz="4" w:space="0" w:color="auto"/>
              <w:right w:val="nil"/>
            </w:tcBorders>
            <w:shd w:val="clear" w:color="auto" w:fill="C00000"/>
            <w:vAlign w:val="center"/>
            <w:hideMark/>
          </w:tcPr>
          <w:p w14:paraId="5EE28BAD"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119" w:type="dxa"/>
            <w:tcBorders>
              <w:top w:val="nil"/>
              <w:left w:val="single" w:sz="4" w:space="0" w:color="auto"/>
              <w:bottom w:val="single" w:sz="4" w:space="0" w:color="auto"/>
              <w:right w:val="single" w:sz="4" w:space="0" w:color="auto"/>
            </w:tcBorders>
            <w:vAlign w:val="center"/>
            <w:hideMark/>
          </w:tcPr>
          <w:p w14:paraId="341556C5" w14:textId="5D023E0D"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59</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positives</w:t>
            </w:r>
          </w:p>
          <w:p w14:paraId="31AEA520" w14:textId="16F93A72"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10</w:t>
            </w:r>
            <w:r w:rsidR="002878D7">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de tendances négatives</w:t>
            </w:r>
          </w:p>
        </w:tc>
        <w:tc>
          <w:tcPr>
            <w:tcW w:w="708" w:type="dxa"/>
            <w:tcBorders>
              <w:top w:val="nil"/>
              <w:left w:val="nil"/>
              <w:bottom w:val="single" w:sz="4" w:space="0" w:color="auto"/>
              <w:right w:val="single" w:sz="4" w:space="0" w:color="auto"/>
            </w:tcBorders>
            <w:shd w:val="clear" w:color="000000" w:fill="92D050"/>
            <w:vAlign w:val="center"/>
            <w:hideMark/>
          </w:tcPr>
          <w:p w14:paraId="14018323"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12263750" w14:textId="77777777" w:rsidTr="00557FB3">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tcPr>
          <w:p w14:paraId="29FBD385"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Notes</w:t>
            </w:r>
          </w:p>
        </w:tc>
        <w:tc>
          <w:tcPr>
            <w:tcW w:w="6961" w:type="dxa"/>
            <w:gridSpan w:val="4"/>
            <w:tcBorders>
              <w:top w:val="nil"/>
              <w:left w:val="nil"/>
              <w:bottom w:val="single" w:sz="4" w:space="0" w:color="auto"/>
              <w:right w:val="single" w:sz="4" w:space="0" w:color="auto"/>
            </w:tcBorders>
            <w:vAlign w:val="center"/>
          </w:tcPr>
          <w:p w14:paraId="3CEE4F9C" w14:textId="12A4FDA0"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Les communications comprennent des données ventilées par norme de présentation des rapports, taille des entreprises et types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informations fournies</w:t>
            </w:r>
          </w:p>
          <w:p w14:paraId="1D70F9A7" w14:textId="1F4FF9EC"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lastRenderedPageBreak/>
              <w:t>Toutes les contributions ne portent pas uniquement sur la communication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informations relatives à la biodiversité, elles peuvent également inclure des rapports environnementaux, sociaux et de gouvernance.</w:t>
            </w:r>
          </w:p>
        </w:tc>
      </w:tr>
    </w:tbl>
    <w:p w14:paraId="5F24C204" w14:textId="77777777" w:rsidR="00B87039" w:rsidRPr="00653BF4" w:rsidRDefault="00B87039" w:rsidP="00B87039">
      <w:pPr>
        <w:pStyle w:val="p1"/>
        <w:rPr>
          <w:rFonts w:ascii="Aptos" w:hAnsi="Aptos"/>
          <w:sz w:val="24"/>
          <w:szCs w:val="24"/>
          <w:lang w:val="fr-FR"/>
        </w:rPr>
      </w:pPr>
    </w:p>
    <w:p w14:paraId="2033F802" w14:textId="190457A0"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sz w:val="16"/>
          <w:szCs w:val="16"/>
          <w:lang w:val="fr-FR"/>
        </w:rPr>
        <w:t> %</w:t>
      </w:r>
      <w:r w:rsidRPr="00653BF4">
        <w:rPr>
          <w:sz w:val="16"/>
          <w:szCs w:val="16"/>
          <w:lang w:val="fr-FR"/>
        </w:rPr>
        <w:t>, le jaune aux valeurs comprises entre 25</w:t>
      </w:r>
      <w:r w:rsidR="002878D7">
        <w:rPr>
          <w:sz w:val="16"/>
          <w:szCs w:val="16"/>
          <w:lang w:val="fr-FR"/>
        </w:rPr>
        <w:t> %</w:t>
      </w:r>
      <w:r w:rsidRPr="00653BF4">
        <w:rPr>
          <w:sz w:val="16"/>
          <w:szCs w:val="16"/>
          <w:lang w:val="fr-FR"/>
        </w:rPr>
        <w:t xml:space="preserve"> et 50 </w:t>
      </w:r>
      <w:r w:rsidR="002878D7">
        <w:rPr>
          <w:sz w:val="16"/>
          <w:szCs w:val="16"/>
          <w:lang w:val="fr-FR"/>
        </w:rPr>
        <w:t> %</w:t>
      </w:r>
      <w:r w:rsidRPr="00653BF4">
        <w:rPr>
          <w:sz w:val="16"/>
          <w:szCs w:val="16"/>
          <w:lang w:val="fr-FR"/>
        </w:rPr>
        <w:t>, et le rouge aux valeurs inférieures à 25</w:t>
      </w:r>
      <w:r w:rsidR="002878D7">
        <w:rPr>
          <w:sz w:val="16"/>
          <w:szCs w:val="16"/>
          <w:lang w:val="fr-FR"/>
        </w:rPr>
        <w:t> %</w:t>
      </w:r>
      <w:r w:rsidRPr="00653BF4">
        <w:rPr>
          <w:sz w:val="16"/>
          <w:szCs w:val="16"/>
          <w:lang w:val="fr-FR"/>
        </w:rPr>
        <w:t>)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04BE356E" w14:textId="77777777" w:rsidR="00B87039" w:rsidRPr="00653BF4" w:rsidRDefault="00B87039" w:rsidP="00B87039">
      <w:pPr>
        <w:pStyle w:val="FootnoteText"/>
        <w:rPr>
          <w:sz w:val="16"/>
          <w:szCs w:val="16"/>
          <w:lang w:val="fr-FR"/>
        </w:rPr>
      </w:pPr>
      <w:r w:rsidRPr="00653BF4">
        <w:rPr>
          <w:vertAlign w:val="superscript"/>
          <w:lang w:val="fr-FR"/>
        </w:rPr>
        <w:t>a</w:t>
      </w:r>
      <w:r w:rsidRPr="00653BF4">
        <w:rPr>
          <w:lang w:val="fr-FR"/>
        </w:rPr>
        <w:t xml:space="preserve"> </w:t>
      </w:r>
      <w:r w:rsidRPr="00653BF4">
        <w:rPr>
          <w:sz w:val="16"/>
          <w:szCs w:val="16"/>
          <w:lang w:val="fr-FR"/>
        </w:rPr>
        <w:t>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p>
    <w:p w14:paraId="10146221" w14:textId="77777777" w:rsidR="00B87039" w:rsidRPr="00653BF4" w:rsidRDefault="00B87039" w:rsidP="00B87039">
      <w:pPr>
        <w:rPr>
          <w:strike/>
          <w:lang w:val="fr-FR"/>
        </w:rPr>
      </w:pPr>
    </w:p>
    <w:p w14:paraId="7905430F" w14:textId="77777777" w:rsidR="00B87039" w:rsidRPr="00653BF4" w:rsidRDefault="00B87039" w:rsidP="00B87039">
      <w:pPr>
        <w:pStyle w:val="Caption"/>
        <w:rPr>
          <w:i w:val="0"/>
          <w:sz w:val="24"/>
          <w:szCs w:val="24"/>
          <w:lang w:val="fr-FR"/>
        </w:rPr>
      </w:pPr>
    </w:p>
    <w:p w14:paraId="59EA83B2" w14:textId="77777777" w:rsidR="00B87039" w:rsidRPr="00653BF4" w:rsidRDefault="00B87039" w:rsidP="00B87039">
      <w:pPr>
        <w:pStyle w:val="Caption"/>
        <w:rPr>
          <w:i w:val="0"/>
          <w:iCs w:val="0"/>
          <w:sz w:val="24"/>
          <w:szCs w:val="24"/>
          <w:lang w:val="fr-FR"/>
        </w:rPr>
      </w:pPr>
    </w:p>
    <w:p w14:paraId="14CB1736" w14:textId="2ACDCD5C" w:rsidR="00B87039" w:rsidRPr="00653BF4" w:rsidRDefault="00B87039" w:rsidP="00B87039">
      <w:pPr>
        <w:pStyle w:val="Caption"/>
        <w:rPr>
          <w:i w:val="0"/>
          <w:color w:val="000000" w:themeColor="text1"/>
          <w:sz w:val="24"/>
          <w:szCs w:val="24"/>
          <w:lang w:val="fr-FR" w:eastAsia="en-CA"/>
        </w:rPr>
      </w:pPr>
      <w:r w:rsidRPr="00653BF4">
        <w:rPr>
          <w:i w:val="0"/>
          <w:iCs w:val="0"/>
          <w:color w:val="000000" w:themeColor="text1"/>
          <w:sz w:val="24"/>
          <w:szCs w:val="24"/>
          <w:lang w:val="fr-FR"/>
        </w:rPr>
        <w:t xml:space="preserve">De nombreuses Parties ont fait part de la difficulté à assurer le suivi de la </w:t>
      </w:r>
      <w:r w:rsidR="00E34DC9">
        <w:rPr>
          <w:i w:val="0"/>
          <w:iCs w:val="0"/>
          <w:color w:val="000000" w:themeColor="text1"/>
          <w:sz w:val="24"/>
          <w:szCs w:val="24"/>
          <w:lang w:val="fr-FR"/>
        </w:rPr>
        <w:t>cible 1</w:t>
      </w:r>
      <w:r w:rsidRPr="00653BF4">
        <w:rPr>
          <w:i w:val="0"/>
          <w:iCs w:val="0"/>
          <w:color w:val="000000" w:themeColor="text1"/>
          <w:sz w:val="24"/>
          <w:szCs w:val="24"/>
          <w:lang w:val="fr-FR"/>
        </w:rPr>
        <w:t>5. Un grand nombre de Parties ont souligné que les questions liées au caractère volontaire de la présentation des rapports d</w:t>
      </w:r>
      <w:r w:rsidR="00D77549">
        <w:rPr>
          <w:i w:val="0"/>
          <w:iCs w:val="0"/>
          <w:color w:val="000000" w:themeColor="text1"/>
          <w:sz w:val="24"/>
          <w:szCs w:val="24"/>
          <w:lang w:val="fr-FR"/>
        </w:rPr>
        <w:t>’</w:t>
      </w:r>
      <w:r w:rsidRPr="00653BF4">
        <w:rPr>
          <w:i w:val="0"/>
          <w:iCs w:val="0"/>
          <w:color w:val="000000" w:themeColor="text1"/>
          <w:sz w:val="24"/>
          <w:szCs w:val="24"/>
          <w:lang w:val="fr-FR"/>
        </w:rPr>
        <w:t>entreprise, ainsi que la multiplicité des cadres de présentation des rapports distincts utilisés par le secteur privé, constituaient des obstacles à la présentation de rapports au niveau national.</w:t>
      </w:r>
      <w:r w:rsidRPr="00653BF4">
        <w:rPr>
          <w:i w:val="0"/>
          <w:color w:val="000000" w:themeColor="text1"/>
          <w:sz w:val="24"/>
          <w:szCs w:val="24"/>
          <w:lang w:val="fr-FR"/>
        </w:rPr>
        <w:t xml:space="preserve"> En particulier, l</w:t>
      </w:r>
      <w:r w:rsidR="00D77549">
        <w:rPr>
          <w:i w:val="0"/>
          <w:color w:val="000000" w:themeColor="text1"/>
          <w:sz w:val="24"/>
          <w:szCs w:val="24"/>
          <w:lang w:val="fr-FR"/>
        </w:rPr>
        <w:t>’</w:t>
      </w:r>
      <w:r w:rsidRPr="00653BF4">
        <w:rPr>
          <w:i w:val="0"/>
          <w:color w:val="000000" w:themeColor="text1"/>
          <w:sz w:val="24"/>
          <w:szCs w:val="24"/>
          <w:lang w:val="fr-FR"/>
        </w:rPr>
        <w:t>absence de normes et de plateformes centralisées pour la présentation des rapports rend l</w:t>
      </w:r>
      <w:r w:rsidR="00D77549">
        <w:rPr>
          <w:i w:val="0"/>
          <w:color w:val="000000" w:themeColor="text1"/>
          <w:sz w:val="24"/>
          <w:szCs w:val="24"/>
          <w:lang w:val="fr-FR"/>
        </w:rPr>
        <w:t>’</w:t>
      </w:r>
      <w:r w:rsidRPr="00653BF4">
        <w:rPr>
          <w:i w:val="0"/>
          <w:color w:val="000000" w:themeColor="text1"/>
          <w:sz w:val="24"/>
          <w:szCs w:val="24"/>
          <w:lang w:val="fr-FR"/>
        </w:rPr>
        <w:t>accès aux données difficile pour les gouvernements, qui, dans certains cas, s</w:t>
      </w:r>
      <w:r w:rsidR="00D77549">
        <w:rPr>
          <w:i w:val="0"/>
          <w:color w:val="000000" w:themeColor="text1"/>
          <w:sz w:val="24"/>
          <w:szCs w:val="24"/>
          <w:lang w:val="fr-FR"/>
        </w:rPr>
        <w:t>’</w:t>
      </w:r>
      <w:r w:rsidRPr="00653BF4">
        <w:rPr>
          <w:i w:val="0"/>
          <w:color w:val="000000" w:themeColor="text1"/>
          <w:sz w:val="24"/>
          <w:szCs w:val="24"/>
          <w:lang w:val="fr-FR"/>
        </w:rPr>
        <w:t>appuient sur des initiatives plus générales en matière de présentation des rapports environnementaux, sociaux et de gouvernance. Les chiffres relatifs à cet indicateur peuvent donc être faussés, car ces renseignements ne sont pas nécessairement directement liés à la biodiversité. À l</w:t>
      </w:r>
      <w:r w:rsidR="00D77549">
        <w:rPr>
          <w:i w:val="0"/>
          <w:color w:val="000000" w:themeColor="text1"/>
          <w:sz w:val="24"/>
          <w:szCs w:val="24"/>
          <w:lang w:val="fr-FR"/>
        </w:rPr>
        <w:t>’</w:t>
      </w:r>
      <w:r w:rsidRPr="00653BF4">
        <w:rPr>
          <w:i w:val="0"/>
          <w:color w:val="000000" w:themeColor="text1"/>
          <w:sz w:val="24"/>
          <w:szCs w:val="24"/>
          <w:lang w:val="fr-FR"/>
        </w:rPr>
        <w:t>inverse, des sous-estimations sont également possibles lorsque les publications d</w:t>
      </w:r>
      <w:r w:rsidR="00D77549">
        <w:rPr>
          <w:i w:val="0"/>
          <w:color w:val="000000" w:themeColor="text1"/>
          <w:sz w:val="24"/>
          <w:szCs w:val="24"/>
          <w:lang w:val="fr-FR"/>
        </w:rPr>
        <w:t>’</w:t>
      </w:r>
      <w:r w:rsidRPr="00653BF4">
        <w:rPr>
          <w:i w:val="0"/>
          <w:color w:val="000000" w:themeColor="text1"/>
          <w:sz w:val="24"/>
          <w:szCs w:val="24"/>
          <w:lang w:val="fr-FR"/>
        </w:rPr>
        <w:t>informations ne sont pas centralisées. Malgré ces difficultés, 19</w:t>
      </w:r>
      <w:r w:rsidR="002878D7">
        <w:rPr>
          <w:i w:val="0"/>
          <w:color w:val="000000" w:themeColor="text1"/>
          <w:sz w:val="24"/>
          <w:szCs w:val="24"/>
          <w:lang w:val="fr-FR"/>
        </w:rPr>
        <w:t> %</w:t>
      </w:r>
      <w:r w:rsidRPr="00653BF4">
        <w:rPr>
          <w:i w:val="0"/>
          <w:color w:val="000000" w:themeColor="text1"/>
          <w:sz w:val="24"/>
          <w:szCs w:val="24"/>
          <w:lang w:val="fr-FR"/>
        </w:rPr>
        <w:t xml:space="preserve"> des Parties ont fourni des données relatives à l’indicateur phare 15.1 (nombre d’entreprises communiquant leurs risques, leurs dépendances et leurs incidences sur la biodiversité), ce qui représente plus de 5 000 entreprises. On constate ainsi une augmentation du nombre d’entreprises ayant communiqué des risques liés à la biodiversité entre 2020 et 2025 (voir le tableau 33 et la figure 63).</w:t>
      </w:r>
    </w:p>
    <w:p w14:paraId="4E463A66" w14:textId="65979703" w:rsidR="00B87039" w:rsidRPr="00653BF4" w:rsidRDefault="00B87039" w:rsidP="00B87039">
      <w:pPr>
        <w:rPr>
          <w:lang w:val="fr-FR"/>
        </w:rPr>
      </w:pPr>
      <w:r w:rsidRPr="00653BF4">
        <w:rPr>
          <w:lang w:val="fr-FR"/>
        </w:rPr>
        <w:t>L</w:t>
      </w:r>
      <w:r w:rsidR="00D77549">
        <w:rPr>
          <w:lang w:val="fr-FR"/>
        </w:rPr>
        <w:t>’</w:t>
      </w:r>
      <w:r w:rsidRPr="00653BF4">
        <w:rPr>
          <w:lang w:val="fr-FR"/>
        </w:rPr>
        <w:t xml:space="preserve">IPBES </w:t>
      </w:r>
      <w:r w:rsidRPr="00653BF4">
        <w:rPr>
          <w:i/>
          <w:iCs/>
          <w:lang w:val="fr-FR"/>
        </w:rPr>
        <w:t>Biodiversity and Business Assessment</w:t>
      </w:r>
      <w:r w:rsidRPr="00653BF4">
        <w:rPr>
          <w:lang w:val="fr-FR"/>
        </w:rPr>
        <w:t xml:space="preserve"> (Évaluation de l</w:t>
      </w:r>
      <w:r w:rsidR="00D77549">
        <w:rPr>
          <w:lang w:val="fr-FR"/>
        </w:rPr>
        <w:t>’</w:t>
      </w:r>
      <w:r w:rsidRPr="00653BF4">
        <w:rPr>
          <w:lang w:val="fr-FR"/>
        </w:rPr>
        <w:t>IPBES sur la biodiversité et les entreprises) a conclu que moins de 1</w:t>
      </w:r>
      <w:r w:rsidR="002878D7">
        <w:rPr>
          <w:lang w:val="fr-FR"/>
        </w:rPr>
        <w:t> %</w:t>
      </w:r>
      <w:r w:rsidRPr="00653BF4">
        <w:rPr>
          <w:lang w:val="fr-FR"/>
        </w:rPr>
        <w:t xml:space="preserve"> des entreprises rendent compte de leurs incidences sur la biodiversité (IPBES, 2026). Le CDP (anciennement Carbon Disclosure Project) met à disposition une base de données centralisée permettant de suivre les </w:t>
      </w:r>
      <w:r w:rsidRPr="00653BF4">
        <w:rPr>
          <w:lang w:val="fr-FR"/>
        </w:rPr>
        <w:lastRenderedPageBreak/>
        <w:t>informations communiquées par le secteur privé en matière de biodiversité (CDP, 2025). La base de données recense les organisations qui communiquent des informations et qui ont mis en place des processus permettant de recenser, d</w:t>
      </w:r>
      <w:r w:rsidR="00D77549">
        <w:rPr>
          <w:lang w:val="fr-FR"/>
        </w:rPr>
        <w:t>’</w:t>
      </w:r>
      <w:r w:rsidRPr="00653BF4">
        <w:rPr>
          <w:lang w:val="fr-FR"/>
        </w:rPr>
        <w:t>évaluer et de gérer leurs dépendances, leurs incidences et leurs risques sur la nature. Elle comprend des données provenant de 69 pays répartis dans les cinq groupes régionaux des Nations Unies, avec 1 934 organisations ayant rendu compte de ces processus en 2024 et 2 355 en 2025. D</w:t>
      </w:r>
      <w:r w:rsidR="00D77549">
        <w:rPr>
          <w:lang w:val="fr-FR"/>
        </w:rPr>
        <w:t>’</w:t>
      </w:r>
      <w:r w:rsidRPr="00653BF4">
        <w:rPr>
          <w:lang w:val="fr-FR"/>
        </w:rPr>
        <w:t>après cet ensemble de données, les secteurs comptant le plus grand nombre d</w:t>
      </w:r>
      <w:r w:rsidR="00D77549">
        <w:rPr>
          <w:lang w:val="fr-FR"/>
        </w:rPr>
        <w:t>’</w:t>
      </w:r>
      <w:r w:rsidRPr="00653BF4">
        <w:rPr>
          <w:lang w:val="fr-FR"/>
        </w:rPr>
        <w:t>organisations ayant communiqué des informations sont la fabrication, les matériaux et les services, tandis que les secteurs des combustibles fossiles, des services de transport et de l</w:t>
      </w:r>
      <w:r w:rsidR="00D77549">
        <w:rPr>
          <w:lang w:val="fr-FR"/>
        </w:rPr>
        <w:t>’</w:t>
      </w:r>
      <w:r w:rsidRPr="00653BF4">
        <w:rPr>
          <w:lang w:val="fr-FR"/>
        </w:rPr>
        <w:t>hôtellerie et de la restauration affichent les niveaux de communication les plus faibles (voir le tableau 34). Les données du CDP comprennent des informations provenant d</w:t>
      </w:r>
      <w:r w:rsidR="00D77549">
        <w:rPr>
          <w:lang w:val="fr-FR"/>
        </w:rPr>
        <w:t>’</w:t>
      </w:r>
      <w:r w:rsidRPr="00653BF4">
        <w:rPr>
          <w:lang w:val="fr-FR"/>
        </w:rPr>
        <w:t>un nombre de pays (44) nettement supérieur à celui des Parties ayant communiqué des données sur l</w:t>
      </w:r>
      <w:r w:rsidR="00D77549">
        <w:rPr>
          <w:lang w:val="fr-FR"/>
        </w:rPr>
        <w:t>’</w:t>
      </w:r>
      <w:r w:rsidRPr="00653BF4">
        <w:rPr>
          <w:lang w:val="fr-FR"/>
        </w:rPr>
        <w:t xml:space="preserve">indicateur phare de la </w:t>
      </w:r>
      <w:r w:rsidR="00E34DC9">
        <w:rPr>
          <w:lang w:val="fr-FR"/>
        </w:rPr>
        <w:t>cible 1</w:t>
      </w:r>
      <w:r w:rsidRPr="00653BF4">
        <w:rPr>
          <w:lang w:val="fr-FR"/>
        </w:rPr>
        <w:t>5 du Cadre, mais elles portent sur un nombre d</w:t>
      </w:r>
      <w:r w:rsidR="00D77549">
        <w:rPr>
          <w:lang w:val="fr-FR"/>
        </w:rPr>
        <w:t>’</w:t>
      </w:r>
      <w:r w:rsidRPr="00653BF4">
        <w:rPr>
          <w:lang w:val="fr-FR"/>
        </w:rPr>
        <w:t>entreprises bien moins important. Cela pourrait expliquer la difficulté à faire la distinction entre les informations relatives à la biodiversité proprement dites et les rapports d</w:t>
      </w:r>
      <w:r w:rsidR="00D77549">
        <w:rPr>
          <w:lang w:val="fr-FR"/>
        </w:rPr>
        <w:t>’</w:t>
      </w:r>
      <w:r w:rsidRPr="00653BF4">
        <w:rPr>
          <w:lang w:val="fr-FR"/>
        </w:rPr>
        <w:t>entreprise plus généraux, et/ou la complexité de centraliser les données issues des publications des entreprises.</w:t>
      </w:r>
    </w:p>
    <w:p w14:paraId="773B3557" w14:textId="786A6784" w:rsidR="00B87039" w:rsidRPr="00653BF4" w:rsidRDefault="00B87039" w:rsidP="00B87039">
      <w:pPr>
        <w:rPr>
          <w:lang w:val="fr-FR"/>
        </w:rPr>
      </w:pPr>
      <w:r w:rsidRPr="00653BF4">
        <w:rPr>
          <w:lang w:val="fr-FR"/>
        </w:rPr>
        <w:t>Les notes relatives aux progrès accomplis pour l</w:t>
      </w:r>
      <w:r w:rsidR="00D77549">
        <w:rPr>
          <w:lang w:val="fr-FR"/>
        </w:rPr>
        <w:t>’</w:t>
      </w:r>
      <w:r w:rsidRPr="00653BF4">
        <w:rPr>
          <w:lang w:val="fr-FR"/>
        </w:rPr>
        <w:t xml:space="preserve">indicateur binaire de la </w:t>
      </w:r>
      <w:r w:rsidR="00E34DC9">
        <w:rPr>
          <w:lang w:val="fr-FR"/>
        </w:rPr>
        <w:t>cible 1</w:t>
      </w:r>
      <w:r w:rsidRPr="00653BF4">
        <w:rPr>
          <w:lang w:val="fr-FR"/>
        </w:rPr>
        <w:t>5 (voir la figure 64) indiquent que les Parties en sont le plus souvent aux premiers stades de la mise en œuvre de mesures visant à inciter les entreprises et les institutions financières à agir, et à leur donner les moyens de le faire, afin qu</w:t>
      </w:r>
      <w:r w:rsidR="00D77549">
        <w:rPr>
          <w:lang w:val="fr-FR"/>
        </w:rPr>
        <w:t>’</w:t>
      </w:r>
      <w:r w:rsidRPr="00653BF4">
        <w:rPr>
          <w:lang w:val="fr-FR"/>
        </w:rPr>
        <w:t xml:space="preserve">elles réduisent leurs incidences négatives et leurs risques, accroissent leurs incidences positives et renforcent leurs modes de production durables. Les mesures visant à atteindre la </w:t>
      </w:r>
      <w:r w:rsidR="00E34DC9">
        <w:rPr>
          <w:lang w:val="fr-FR"/>
        </w:rPr>
        <w:t>cible 1</w:t>
      </w:r>
      <w:r w:rsidRPr="00653BF4">
        <w:rPr>
          <w:lang w:val="fr-FR"/>
        </w:rPr>
        <w:t>5 sont pour la plupart en cours d</w:t>
      </w:r>
      <w:r w:rsidR="00D77549">
        <w:rPr>
          <w:lang w:val="fr-FR"/>
        </w:rPr>
        <w:t>’</w:t>
      </w:r>
      <w:r w:rsidRPr="00653BF4">
        <w:rPr>
          <w:lang w:val="fr-FR"/>
        </w:rPr>
        <w:t>élaboration, mais ne sont pas encore mises en œuvre. Environ deux cinquièmes des Parties indiquent ne pas avoir mis en place de mesures visant à garantir que les entreprises communiquent des informations aux consommateurs afin de promouvoir des modes de consommation durables, d</w:t>
      </w:r>
      <w:r w:rsidR="00D77549">
        <w:rPr>
          <w:lang w:val="fr-FR"/>
        </w:rPr>
        <w:t>’</w:t>
      </w:r>
      <w:r w:rsidRPr="00653BF4">
        <w:rPr>
          <w:lang w:val="fr-FR"/>
        </w:rPr>
        <w:t>assurer la communication transparente de ces informations ou de rendre compte du respect des réglementations en matière d</w:t>
      </w:r>
      <w:r w:rsidR="00D77549">
        <w:rPr>
          <w:lang w:val="fr-FR"/>
        </w:rPr>
        <w:t>’</w:t>
      </w:r>
      <w:r w:rsidRPr="00653BF4">
        <w:rPr>
          <w:lang w:val="fr-FR"/>
        </w:rPr>
        <w:t xml:space="preserve">accès et de partage des avantages. Un peu plus de la moitié des Parties évaluent en partie les incidences des activités économiques sur la biodiversité. </w:t>
      </w:r>
    </w:p>
    <w:p w14:paraId="357A4617" w14:textId="42F9FD0B" w:rsidR="00B87039" w:rsidRPr="00653BF4" w:rsidRDefault="00B87039" w:rsidP="00B87039">
      <w:pPr>
        <w:rPr>
          <w:i/>
          <w:color w:val="000000" w:themeColor="text1"/>
          <w:lang w:val="fr-FR"/>
        </w:rPr>
      </w:pPr>
      <w:r w:rsidRPr="00653BF4">
        <w:rPr>
          <w:lang w:val="fr-FR"/>
        </w:rPr>
        <w:t xml:space="preserve">Plus de la moitié des indicateurs communiqués par les Parties au titre de la </w:t>
      </w:r>
      <w:r w:rsidR="00E34DC9">
        <w:rPr>
          <w:lang w:val="fr-FR"/>
        </w:rPr>
        <w:t>cible 1</w:t>
      </w:r>
      <w:r w:rsidRPr="00653BF4">
        <w:rPr>
          <w:lang w:val="fr-FR"/>
        </w:rPr>
        <w:t xml:space="preserve">5 font état de tendances positives (voir la figure 65), </w:t>
      </w:r>
      <w:r w:rsidRPr="00653BF4">
        <w:rPr>
          <w:i/>
          <w:color w:val="000000" w:themeColor="text1"/>
          <w:lang w:val="fr-FR"/>
        </w:rPr>
        <w:t>mais seul un tiers d</w:t>
      </w:r>
      <w:r w:rsidR="00D77549">
        <w:rPr>
          <w:i/>
          <w:color w:val="000000" w:themeColor="text1"/>
          <w:lang w:val="fr-FR"/>
        </w:rPr>
        <w:t>’</w:t>
      </w:r>
      <w:r w:rsidRPr="00653BF4">
        <w:rPr>
          <w:i/>
          <w:color w:val="000000" w:themeColor="text1"/>
          <w:lang w:val="fr-FR"/>
        </w:rPr>
        <w:t>entre eux environ peuvent être directement associés aux éléments de cette cible.</w:t>
      </w:r>
    </w:p>
    <w:p w14:paraId="2EDFA105" w14:textId="77777777" w:rsidR="00B87039" w:rsidRPr="00653BF4" w:rsidRDefault="00B87039" w:rsidP="00B87039">
      <w:pPr>
        <w:rPr>
          <w:lang w:val="fr-FR"/>
        </w:rPr>
      </w:pPr>
    </w:p>
    <w:p w14:paraId="54310D4A" w14:textId="77777777" w:rsidR="00B87039" w:rsidRPr="00653BF4" w:rsidRDefault="00B87039" w:rsidP="00B87039">
      <w:pPr>
        <w:rPr>
          <w:lang w:val="fr-FR"/>
        </w:rPr>
      </w:pPr>
    </w:p>
    <w:p w14:paraId="78D7ACDE" w14:textId="77777777" w:rsidR="00B87039" w:rsidRPr="00653BF4" w:rsidRDefault="00B87039" w:rsidP="00B87039">
      <w:pPr>
        <w:spacing w:after="0" w:line="240" w:lineRule="auto"/>
        <w:textAlignment w:val="baseline"/>
        <w:rPr>
          <w:sz w:val="20"/>
          <w:szCs w:val="20"/>
          <w:lang w:val="fr-FR"/>
        </w:rPr>
      </w:pPr>
      <w:r w:rsidRPr="00653BF4">
        <w:rPr>
          <w:sz w:val="20"/>
          <w:szCs w:val="20"/>
          <w:lang w:val="fr-FR"/>
        </w:rPr>
        <w:t>Figure 63</w:t>
      </w:r>
    </w:p>
    <w:p w14:paraId="050FAA73" w14:textId="57EE20C8" w:rsidR="00B87039" w:rsidRPr="00653BF4" w:rsidRDefault="00B87039" w:rsidP="00B87039">
      <w:pPr>
        <w:rPr>
          <w:b/>
          <w:bCs/>
          <w:sz w:val="20"/>
          <w:szCs w:val="20"/>
          <w:lang w:val="fr-FR"/>
        </w:rPr>
      </w:pPr>
      <w:r w:rsidRPr="00653BF4">
        <w:rPr>
          <w:rFonts w:eastAsia="Times New Roman" w:cs="Segoe UI"/>
          <w:b/>
          <w:bCs/>
          <w:sz w:val="20"/>
          <w:szCs w:val="20"/>
          <w:lang w:val="fr-FR"/>
        </w:rPr>
        <w:lastRenderedPageBreak/>
        <w:t>Indicateur phare 15.1</w:t>
      </w:r>
      <w:r w:rsidR="00E34DC9">
        <w:rPr>
          <w:rFonts w:eastAsia="Times New Roman" w:cs="Segoe UI"/>
          <w:b/>
          <w:bCs/>
          <w:sz w:val="20"/>
          <w:szCs w:val="20"/>
          <w:lang w:val="fr-FR"/>
        </w:rPr>
        <w:t> :</w:t>
      </w:r>
      <w:r w:rsidRPr="00653BF4">
        <w:rPr>
          <w:rFonts w:eastAsia="Times New Roman" w:cs="Segoe UI"/>
          <w:b/>
          <w:bCs/>
          <w:sz w:val="20"/>
          <w:szCs w:val="20"/>
          <w:lang w:val="fr-FR"/>
        </w:rPr>
        <w:t xml:space="preserve"> nombre d</w:t>
      </w:r>
      <w:r w:rsidR="00D77549">
        <w:rPr>
          <w:rFonts w:eastAsia="Times New Roman" w:cs="Segoe UI"/>
          <w:b/>
          <w:bCs/>
          <w:sz w:val="20"/>
          <w:szCs w:val="20"/>
          <w:lang w:val="fr-FR"/>
        </w:rPr>
        <w:t>’</w:t>
      </w:r>
      <w:r w:rsidRPr="00653BF4">
        <w:rPr>
          <w:rFonts w:eastAsia="Times New Roman" w:cs="Segoe UI"/>
          <w:b/>
          <w:bCs/>
          <w:sz w:val="20"/>
          <w:szCs w:val="20"/>
          <w:lang w:val="fr-FR"/>
        </w:rPr>
        <w:t>entreprises communiquant leurs risques, dépendances et incidences sur la biodiversité</w:t>
      </w:r>
    </w:p>
    <w:p w14:paraId="48FC3CBB" w14:textId="77777777" w:rsidR="00B87039" w:rsidRPr="00653BF4" w:rsidRDefault="00B87039" w:rsidP="00B87039">
      <w:pPr>
        <w:pStyle w:val="Caption"/>
        <w:rPr>
          <w:rFonts w:eastAsia="Times New Roman" w:cs="Segoe UI"/>
          <w:color w:val="000000"/>
          <w:lang w:val="fr-FR"/>
        </w:rPr>
      </w:pPr>
      <w:bookmarkStart w:id="295" w:name="_Ref234591540"/>
      <w:r w:rsidRPr="00653BF4">
        <w:rPr>
          <w:rFonts w:eastAsia="Times New Roman" w:cs="Segoe UI"/>
          <w:noProof/>
          <w:lang w:val="fr-FR"/>
        </w:rPr>
        <w:drawing>
          <wp:inline distT="0" distB="0" distL="0" distR="0" wp14:anchorId="076674FB" wp14:editId="00A27902">
            <wp:extent cx="4272897" cy="3204909"/>
            <wp:effectExtent l="0" t="0" r="0" b="0"/>
            <wp:docPr id="988766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6654" name="Picture 98876654"/>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4283187" cy="3212627"/>
                    </a:xfrm>
                    <a:prstGeom prst="rect">
                      <a:avLst/>
                    </a:prstGeom>
                  </pic:spPr>
                </pic:pic>
              </a:graphicData>
            </a:graphic>
          </wp:inline>
        </w:drawing>
      </w:r>
      <w:bookmarkEnd w:id="295"/>
    </w:p>
    <w:p w14:paraId="0FB2A33C" w14:textId="3B42CDE4" w:rsidR="00B87039" w:rsidRPr="00653BF4" w:rsidRDefault="00B87039" w:rsidP="00B87039">
      <w:pPr>
        <w:pStyle w:val="Caption"/>
        <w:rPr>
          <w:rFonts w:eastAsia="Times New Roman" w:cs="Segoe UI"/>
          <w:i w:val="0"/>
          <w:iCs w:val="0"/>
          <w:lang w:val="fr-FR"/>
        </w:rPr>
      </w:pPr>
      <w:r w:rsidRPr="00653BF4">
        <w:rPr>
          <w:rFonts w:eastAsia="Times New Roman" w:cs="Segoe UI"/>
          <w:lang w:val="fr-FR"/>
        </w:rPr>
        <w:t>Note</w:t>
      </w:r>
      <w:r w:rsidR="00E34DC9">
        <w:rPr>
          <w:rFonts w:eastAsia="Times New Roman" w:cs="Segoe UI"/>
          <w:lang w:val="fr-FR"/>
        </w:rPr>
        <w:t> :</w:t>
      </w:r>
      <w:r w:rsidRPr="00653BF4">
        <w:rPr>
          <w:rFonts w:eastAsia="Times New Roman" w:cs="Segoe UI"/>
          <w:i w:val="0"/>
          <w:iCs w:val="0"/>
          <w:lang w:val="fr-FR"/>
        </w:rPr>
        <w:t xml:space="preserve"> Les valeurs de l</w:t>
      </w:r>
      <w:r w:rsidR="00D77549">
        <w:rPr>
          <w:rFonts w:eastAsia="Times New Roman" w:cs="Segoe UI"/>
          <w:i w:val="0"/>
          <w:iCs w:val="0"/>
          <w:lang w:val="fr-FR"/>
        </w:rPr>
        <w:t>’</w:t>
      </w:r>
      <w:r w:rsidRPr="00653BF4">
        <w:rPr>
          <w:rFonts w:eastAsia="Times New Roman" w:cs="Segoe UI"/>
          <w:i w:val="0"/>
          <w:iCs w:val="0"/>
          <w:lang w:val="fr-FR"/>
        </w:rPr>
        <w:t>indicateur correspondent au nombre cumulé d</w:t>
      </w:r>
      <w:r w:rsidR="00D77549">
        <w:rPr>
          <w:rFonts w:eastAsia="Times New Roman" w:cs="Segoe UI"/>
          <w:i w:val="0"/>
          <w:iCs w:val="0"/>
          <w:lang w:val="fr-FR"/>
        </w:rPr>
        <w:t>’</w:t>
      </w:r>
      <w:r w:rsidRPr="00653BF4">
        <w:rPr>
          <w:rFonts w:eastAsia="Times New Roman" w:cs="Segoe UI"/>
          <w:i w:val="0"/>
          <w:iCs w:val="0"/>
          <w:lang w:val="fr-FR"/>
        </w:rPr>
        <w:t>entreprises ayant divulgué des informations année après année dans l</w:t>
      </w:r>
      <w:r w:rsidR="00D77549">
        <w:rPr>
          <w:rFonts w:eastAsia="Times New Roman" w:cs="Segoe UI"/>
          <w:i w:val="0"/>
          <w:iCs w:val="0"/>
          <w:lang w:val="fr-FR"/>
        </w:rPr>
        <w:t>’</w:t>
      </w:r>
      <w:r w:rsidRPr="00653BF4">
        <w:rPr>
          <w:rFonts w:eastAsia="Times New Roman" w:cs="Segoe UI"/>
          <w:i w:val="0"/>
          <w:iCs w:val="0"/>
          <w:lang w:val="fr-FR"/>
        </w:rPr>
        <w:t>ensemble des Parties ayant soumis des rapports (il convient de noter que les Parties n</w:t>
      </w:r>
      <w:r w:rsidR="00D77549">
        <w:rPr>
          <w:rFonts w:eastAsia="Times New Roman" w:cs="Segoe UI"/>
          <w:i w:val="0"/>
          <w:iCs w:val="0"/>
          <w:lang w:val="fr-FR"/>
        </w:rPr>
        <w:t>’</w:t>
      </w:r>
      <w:r w:rsidRPr="00653BF4">
        <w:rPr>
          <w:rFonts w:eastAsia="Times New Roman" w:cs="Segoe UI"/>
          <w:i w:val="0"/>
          <w:iCs w:val="0"/>
          <w:lang w:val="fr-FR"/>
        </w:rPr>
        <w:t xml:space="preserve">ont pas toutes soumis de rapports chaque année). </w:t>
      </w:r>
      <w:r w:rsidRPr="00653BF4">
        <w:rPr>
          <w:i w:val="0"/>
          <w:iCs w:val="0"/>
          <w:lang w:val="fr-FR"/>
        </w:rPr>
        <w:t>Le diagramme à barres de droite présente la répartition, par région, des Parties ayant communiqué des données.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p w14:paraId="17AEF17F" w14:textId="77777777" w:rsidR="00735F5E" w:rsidRPr="00653BF4" w:rsidRDefault="00B87039" w:rsidP="00B87039">
      <w:pPr>
        <w:pStyle w:val="Caption"/>
        <w:rPr>
          <w:rFonts w:eastAsia="Times New Roman" w:cs="Segoe UI"/>
          <w:lang w:val="fr-FR"/>
        </w:rPr>
      </w:pPr>
      <w:r w:rsidRPr="00653BF4">
        <w:rPr>
          <w:rFonts w:eastAsia="Times New Roman" w:cs="Segoe UI"/>
          <w:color w:val="000000"/>
          <w:lang w:val="fr-FR"/>
        </w:rPr>
        <w:t> </w:t>
      </w:r>
    </w:p>
    <w:tbl>
      <w:tblPr>
        <w:tblStyle w:val="TableGrid"/>
        <w:tblW w:w="8861" w:type="dxa"/>
        <w:tblLook w:val="04A0" w:firstRow="1" w:lastRow="0" w:firstColumn="1" w:lastColumn="0" w:noHBand="0" w:noVBand="1"/>
      </w:tblPr>
      <w:tblGrid>
        <w:gridCol w:w="4188"/>
        <w:gridCol w:w="4673"/>
      </w:tblGrid>
      <w:tr w:rsidR="00735F5E" w:rsidRPr="000E0AFF" w14:paraId="3A370666" w14:textId="77777777" w:rsidTr="009B4355">
        <w:tc>
          <w:tcPr>
            <w:tcW w:w="8861" w:type="dxa"/>
            <w:gridSpan w:val="2"/>
          </w:tcPr>
          <w:p w14:paraId="2D734551" w14:textId="77777777" w:rsidR="00735F5E" w:rsidRPr="000E0AFF" w:rsidRDefault="00735F5E" w:rsidP="009B4355">
            <w:pPr>
              <w:rPr>
                <w:rFonts w:ascii="Aptos" w:hAnsi="Aptos"/>
                <w:lang w:val="fr-FR"/>
              </w:rPr>
            </w:pPr>
            <w:r w:rsidRPr="000E0AFF">
              <w:rPr>
                <w:rFonts w:ascii="Aptos" w:hAnsi="Aptos"/>
                <w:lang w:val="fr-FR"/>
              </w:rPr>
              <w:t>Figure 63</w:t>
            </w:r>
          </w:p>
        </w:tc>
      </w:tr>
      <w:tr w:rsidR="00735F5E" w:rsidRPr="000E0AFF" w14:paraId="1424BDA4" w14:textId="77777777" w:rsidTr="009B4355">
        <w:tc>
          <w:tcPr>
            <w:tcW w:w="4188" w:type="dxa"/>
          </w:tcPr>
          <w:p w14:paraId="6BFD45F4" w14:textId="77777777" w:rsidR="00735F5E" w:rsidRPr="000E0AFF" w:rsidRDefault="00735F5E" w:rsidP="009B4355">
            <w:pPr>
              <w:rPr>
                <w:rFonts w:ascii="Aptos" w:hAnsi="Aptos"/>
                <w:lang w:val="fr-FR"/>
              </w:rPr>
            </w:pPr>
            <w:r w:rsidRPr="000E0AFF">
              <w:rPr>
                <w:rFonts w:ascii="Aptos" w:hAnsi="Aptos"/>
                <w:lang w:val="fr-FR"/>
              </w:rPr>
              <w:t xml:space="preserve">English </w:t>
            </w:r>
          </w:p>
        </w:tc>
        <w:tc>
          <w:tcPr>
            <w:tcW w:w="4673" w:type="dxa"/>
          </w:tcPr>
          <w:p w14:paraId="6E7185BE" w14:textId="77777777" w:rsidR="00735F5E" w:rsidRPr="000E0AFF" w:rsidRDefault="00735F5E" w:rsidP="009B4355">
            <w:pPr>
              <w:rPr>
                <w:rFonts w:ascii="Aptos" w:hAnsi="Aptos"/>
                <w:lang w:val="fr-FR"/>
              </w:rPr>
            </w:pPr>
            <w:r>
              <w:rPr>
                <w:rFonts w:ascii="Aptos" w:hAnsi="Aptos"/>
                <w:lang w:val="fr-FR"/>
              </w:rPr>
              <w:t>Français</w:t>
            </w:r>
          </w:p>
        </w:tc>
      </w:tr>
      <w:tr w:rsidR="00735F5E" w:rsidRPr="006F7AF8" w14:paraId="22E24690" w14:textId="77777777" w:rsidTr="009B4355">
        <w:tc>
          <w:tcPr>
            <w:tcW w:w="4188" w:type="dxa"/>
          </w:tcPr>
          <w:p w14:paraId="608BFA8B" w14:textId="77777777" w:rsidR="00735F5E" w:rsidRPr="006F7AF8" w:rsidRDefault="00735F5E" w:rsidP="009B4355">
            <w:pPr>
              <w:rPr>
                <w:rFonts w:ascii="Aptos" w:hAnsi="Aptos"/>
                <w:lang w:val="fr-FR"/>
              </w:rPr>
            </w:pPr>
            <w:r w:rsidRPr="006F7AF8">
              <w:rPr>
                <w:rFonts w:ascii="Aptos" w:hAnsi="Aptos"/>
                <w:lang w:val="fr-FR"/>
              </w:rPr>
              <w:t>Companies reporting (count)</w:t>
            </w:r>
          </w:p>
        </w:tc>
        <w:tc>
          <w:tcPr>
            <w:tcW w:w="4673" w:type="dxa"/>
          </w:tcPr>
          <w:p w14:paraId="751788A6" w14:textId="77777777" w:rsidR="00735F5E" w:rsidRPr="006F7AF8" w:rsidRDefault="00735F5E" w:rsidP="009B4355">
            <w:pPr>
              <w:rPr>
                <w:rFonts w:ascii="Aptos" w:hAnsi="Aptos"/>
                <w:lang w:val="fr-FR"/>
              </w:rPr>
            </w:pPr>
            <w:r w:rsidRPr="006F7AF8">
              <w:rPr>
                <w:rFonts w:ascii="Aptos" w:hAnsi="Aptos"/>
                <w:lang w:val="fr-FR"/>
              </w:rPr>
              <w:t>Entreprises déclarantes (nombre)</w:t>
            </w:r>
          </w:p>
        </w:tc>
      </w:tr>
      <w:tr w:rsidR="00735F5E" w:rsidRPr="006F7AF8" w14:paraId="40EA7AC2" w14:textId="77777777" w:rsidTr="009B4355">
        <w:tc>
          <w:tcPr>
            <w:tcW w:w="4188" w:type="dxa"/>
          </w:tcPr>
          <w:p w14:paraId="5DB9B856" w14:textId="77777777" w:rsidR="00735F5E" w:rsidRPr="006F7AF8" w:rsidRDefault="00735F5E" w:rsidP="009B4355">
            <w:pPr>
              <w:rPr>
                <w:rFonts w:ascii="Aptos" w:hAnsi="Aptos"/>
                <w:lang w:val="fr-FR"/>
              </w:rPr>
            </w:pPr>
            <w:r w:rsidRPr="006F7AF8">
              <w:rPr>
                <w:rFonts w:ascii="Aptos" w:hAnsi="Aptos"/>
                <w:lang w:val="fr-FR"/>
              </w:rPr>
              <w:t>Year</w:t>
            </w:r>
          </w:p>
        </w:tc>
        <w:tc>
          <w:tcPr>
            <w:tcW w:w="4673" w:type="dxa"/>
          </w:tcPr>
          <w:p w14:paraId="38E193A9" w14:textId="77777777" w:rsidR="00735F5E" w:rsidRPr="006F7AF8" w:rsidRDefault="00735F5E" w:rsidP="009B4355">
            <w:pPr>
              <w:rPr>
                <w:rFonts w:ascii="Aptos" w:hAnsi="Aptos"/>
                <w:lang w:val="fr-FR"/>
              </w:rPr>
            </w:pPr>
            <w:r w:rsidRPr="006F7AF8">
              <w:rPr>
                <w:rFonts w:ascii="Aptos" w:hAnsi="Aptos"/>
                <w:lang w:val="fr-FR"/>
              </w:rPr>
              <w:t>Année</w:t>
            </w:r>
          </w:p>
        </w:tc>
      </w:tr>
      <w:tr w:rsidR="00735F5E" w:rsidRPr="006F7AF8" w14:paraId="7AAA7BE7" w14:textId="77777777" w:rsidTr="009B4355">
        <w:tc>
          <w:tcPr>
            <w:tcW w:w="4188" w:type="dxa"/>
          </w:tcPr>
          <w:p w14:paraId="7E743F70" w14:textId="77777777" w:rsidR="00735F5E" w:rsidRPr="006F7AF8" w:rsidRDefault="00735F5E" w:rsidP="009B4355">
            <w:pPr>
              <w:rPr>
                <w:rFonts w:ascii="Aptos" w:hAnsi="Aptos"/>
                <w:lang w:val="fr-FR"/>
              </w:rPr>
            </w:pPr>
            <w:r w:rsidRPr="006F7AF8">
              <w:rPr>
                <w:rFonts w:ascii="Aptos" w:hAnsi="Aptos"/>
                <w:lang w:val="fr-FR"/>
              </w:rPr>
              <w:t>Party count: 19</w:t>
            </w:r>
          </w:p>
        </w:tc>
        <w:tc>
          <w:tcPr>
            <w:tcW w:w="4673" w:type="dxa"/>
          </w:tcPr>
          <w:p w14:paraId="4CB29928" w14:textId="77777777" w:rsidR="00735F5E" w:rsidRPr="006F7AF8" w:rsidRDefault="00735F5E" w:rsidP="009B4355">
            <w:pPr>
              <w:rPr>
                <w:rFonts w:ascii="Aptos" w:hAnsi="Aptos"/>
                <w:lang w:val="fr-FR"/>
              </w:rPr>
            </w:pPr>
            <w:r w:rsidRPr="006F7AF8">
              <w:rPr>
                <w:rFonts w:ascii="Aptos" w:hAnsi="Aptos"/>
                <w:lang w:val="fr-FR"/>
              </w:rPr>
              <w:t>Nombre de Parties : 19</w:t>
            </w:r>
          </w:p>
        </w:tc>
      </w:tr>
      <w:tr w:rsidR="00735F5E" w:rsidRPr="006F7AF8" w14:paraId="7A155DDD" w14:textId="77777777" w:rsidTr="009B4355">
        <w:tc>
          <w:tcPr>
            <w:tcW w:w="4188" w:type="dxa"/>
          </w:tcPr>
          <w:p w14:paraId="79604E17" w14:textId="77777777" w:rsidR="00735F5E" w:rsidRPr="006F7AF8" w:rsidRDefault="00735F5E" w:rsidP="009B4355">
            <w:pPr>
              <w:rPr>
                <w:rFonts w:ascii="Aptos" w:hAnsi="Aptos"/>
                <w:lang w:val="fr-FR"/>
              </w:rPr>
            </w:pPr>
            <w:r w:rsidRPr="006F7AF8">
              <w:rPr>
                <w:rFonts w:ascii="Aptos" w:hAnsi="Aptos"/>
                <w:lang w:val="fr-FR"/>
              </w:rPr>
              <w:t>Party count by region</w:t>
            </w:r>
          </w:p>
        </w:tc>
        <w:tc>
          <w:tcPr>
            <w:tcW w:w="4673" w:type="dxa"/>
          </w:tcPr>
          <w:p w14:paraId="7EA0CE40" w14:textId="77777777" w:rsidR="00735F5E" w:rsidRPr="006F7AF8" w:rsidRDefault="00735F5E" w:rsidP="009B4355">
            <w:pPr>
              <w:rPr>
                <w:rFonts w:ascii="Aptos" w:hAnsi="Aptos"/>
                <w:lang w:val="fr-FR"/>
              </w:rPr>
            </w:pPr>
            <w:r w:rsidRPr="006F7AF8">
              <w:rPr>
                <w:rFonts w:ascii="Aptos" w:hAnsi="Aptos"/>
                <w:lang w:val="fr-FR"/>
              </w:rPr>
              <w:t>Nombre de Parties par région</w:t>
            </w:r>
          </w:p>
        </w:tc>
      </w:tr>
      <w:tr w:rsidR="00735F5E" w:rsidRPr="006F7AF8" w14:paraId="5CFF1E73" w14:textId="77777777" w:rsidTr="009B4355">
        <w:tc>
          <w:tcPr>
            <w:tcW w:w="4188" w:type="dxa"/>
          </w:tcPr>
          <w:p w14:paraId="20BEE7CA" w14:textId="77777777" w:rsidR="00735F5E" w:rsidRPr="006F7AF8" w:rsidRDefault="00735F5E" w:rsidP="009B4355">
            <w:pPr>
              <w:rPr>
                <w:rFonts w:ascii="Aptos" w:hAnsi="Aptos"/>
                <w:lang w:val="fr-FR"/>
              </w:rPr>
            </w:pPr>
            <w:r w:rsidRPr="006F7AF8">
              <w:rPr>
                <w:rFonts w:ascii="Aptos" w:hAnsi="Aptos"/>
                <w:lang w:val="fr-FR"/>
              </w:rPr>
              <w:t>Region</w:t>
            </w:r>
          </w:p>
        </w:tc>
        <w:tc>
          <w:tcPr>
            <w:tcW w:w="4673" w:type="dxa"/>
          </w:tcPr>
          <w:p w14:paraId="56CEF7A3" w14:textId="77777777" w:rsidR="00735F5E" w:rsidRPr="006F7AF8" w:rsidRDefault="00735F5E" w:rsidP="009B4355">
            <w:pPr>
              <w:rPr>
                <w:rFonts w:ascii="Aptos" w:hAnsi="Aptos"/>
                <w:lang w:val="fr-FR"/>
              </w:rPr>
            </w:pPr>
            <w:r w:rsidRPr="006F7AF8">
              <w:rPr>
                <w:rFonts w:ascii="Aptos" w:hAnsi="Aptos"/>
                <w:lang w:val="fr-FR"/>
              </w:rPr>
              <w:t>Région</w:t>
            </w:r>
          </w:p>
        </w:tc>
      </w:tr>
      <w:tr w:rsidR="00735F5E" w:rsidRPr="006F7AF8" w14:paraId="1C47F2B9" w14:textId="77777777" w:rsidTr="009B4355">
        <w:tc>
          <w:tcPr>
            <w:tcW w:w="4188" w:type="dxa"/>
          </w:tcPr>
          <w:p w14:paraId="424013BE" w14:textId="77777777" w:rsidR="00735F5E" w:rsidRPr="006F7AF8" w:rsidRDefault="00735F5E" w:rsidP="009B4355">
            <w:pPr>
              <w:rPr>
                <w:rFonts w:ascii="Aptos" w:hAnsi="Aptos"/>
                <w:lang w:val="fr-FR"/>
              </w:rPr>
            </w:pPr>
            <w:r w:rsidRPr="006F7AF8">
              <w:rPr>
                <w:rFonts w:ascii="Aptos" w:hAnsi="Aptos"/>
                <w:lang w:val="fr-FR"/>
              </w:rPr>
              <w:t>African States</w:t>
            </w:r>
          </w:p>
        </w:tc>
        <w:tc>
          <w:tcPr>
            <w:tcW w:w="4673" w:type="dxa"/>
          </w:tcPr>
          <w:p w14:paraId="2F42446E"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735F5E" w:rsidRPr="006F7AF8" w14:paraId="63641626" w14:textId="77777777" w:rsidTr="009B4355">
        <w:tc>
          <w:tcPr>
            <w:tcW w:w="4188" w:type="dxa"/>
          </w:tcPr>
          <w:p w14:paraId="0F3776FB" w14:textId="77777777" w:rsidR="00735F5E" w:rsidRPr="006F7AF8" w:rsidRDefault="00735F5E" w:rsidP="009B4355">
            <w:pPr>
              <w:rPr>
                <w:rFonts w:ascii="Aptos" w:hAnsi="Aptos"/>
                <w:lang w:val="fr-FR"/>
              </w:rPr>
            </w:pPr>
            <w:r w:rsidRPr="006F7AF8">
              <w:rPr>
                <w:rFonts w:ascii="Aptos" w:hAnsi="Aptos"/>
                <w:lang w:val="fr-FR"/>
              </w:rPr>
              <w:t>Asia-Pacific States</w:t>
            </w:r>
          </w:p>
        </w:tc>
        <w:tc>
          <w:tcPr>
            <w:tcW w:w="4673" w:type="dxa"/>
          </w:tcPr>
          <w:p w14:paraId="5DDC3181"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735F5E" w:rsidRPr="006F7AF8" w14:paraId="555C5DB1" w14:textId="77777777" w:rsidTr="009B4355">
        <w:tc>
          <w:tcPr>
            <w:tcW w:w="4188" w:type="dxa"/>
          </w:tcPr>
          <w:p w14:paraId="11B2AC6A" w14:textId="77777777" w:rsidR="00735F5E" w:rsidRPr="006F7AF8" w:rsidRDefault="00735F5E" w:rsidP="009B4355">
            <w:pPr>
              <w:rPr>
                <w:rFonts w:ascii="Aptos" w:hAnsi="Aptos"/>
                <w:lang w:val="fr-FR"/>
              </w:rPr>
            </w:pPr>
            <w:r w:rsidRPr="006F7AF8">
              <w:rPr>
                <w:rFonts w:ascii="Aptos" w:hAnsi="Aptos"/>
                <w:lang w:val="fr-FR"/>
              </w:rPr>
              <w:t>Latin American and Caribbean States</w:t>
            </w:r>
          </w:p>
        </w:tc>
        <w:tc>
          <w:tcPr>
            <w:tcW w:w="4673" w:type="dxa"/>
          </w:tcPr>
          <w:p w14:paraId="0E8D149C"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735F5E" w:rsidRPr="006F7AF8" w14:paraId="0939D35A" w14:textId="77777777" w:rsidTr="009B4355">
        <w:tc>
          <w:tcPr>
            <w:tcW w:w="4188" w:type="dxa"/>
          </w:tcPr>
          <w:p w14:paraId="538331E8" w14:textId="77777777" w:rsidR="00735F5E" w:rsidRPr="006F7AF8" w:rsidRDefault="00735F5E" w:rsidP="009B4355">
            <w:pPr>
              <w:rPr>
                <w:rFonts w:ascii="Aptos" w:hAnsi="Aptos"/>
                <w:lang w:val="fr-FR"/>
              </w:rPr>
            </w:pPr>
            <w:r w:rsidRPr="006F7AF8">
              <w:rPr>
                <w:rFonts w:ascii="Aptos" w:hAnsi="Aptos"/>
                <w:lang w:val="fr-FR"/>
              </w:rPr>
              <w:t>Eastern European States</w:t>
            </w:r>
          </w:p>
        </w:tc>
        <w:tc>
          <w:tcPr>
            <w:tcW w:w="4673" w:type="dxa"/>
          </w:tcPr>
          <w:p w14:paraId="6B1E6C9E"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735F5E" w:rsidRPr="006F7AF8" w14:paraId="0DC0E32C" w14:textId="77777777" w:rsidTr="009B4355">
        <w:tc>
          <w:tcPr>
            <w:tcW w:w="4188" w:type="dxa"/>
          </w:tcPr>
          <w:p w14:paraId="0A6DD12E" w14:textId="77777777" w:rsidR="00735F5E" w:rsidRPr="006F7AF8" w:rsidRDefault="00735F5E" w:rsidP="009B4355">
            <w:pPr>
              <w:rPr>
                <w:rFonts w:ascii="Aptos" w:hAnsi="Aptos"/>
                <w:lang w:val="fr-FR"/>
              </w:rPr>
            </w:pPr>
            <w:r w:rsidRPr="006F7AF8">
              <w:rPr>
                <w:rFonts w:ascii="Aptos" w:hAnsi="Aptos"/>
                <w:lang w:val="fr-FR"/>
              </w:rPr>
              <w:t>Western European and other States</w:t>
            </w:r>
          </w:p>
        </w:tc>
        <w:tc>
          <w:tcPr>
            <w:tcW w:w="4673" w:type="dxa"/>
          </w:tcPr>
          <w:p w14:paraId="31FE8F01" w14:textId="77777777" w:rsidR="00735F5E" w:rsidRPr="006F7AF8" w:rsidRDefault="00735F5E"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532CEB58" w14:textId="6ECF0991" w:rsidR="00B87039" w:rsidRPr="00653BF4" w:rsidRDefault="00B87039" w:rsidP="00B87039">
      <w:pPr>
        <w:pStyle w:val="Caption"/>
        <w:rPr>
          <w:rFonts w:eastAsia="Times New Roman" w:cs="Segoe UI"/>
          <w:lang w:val="fr-FR"/>
        </w:rPr>
      </w:pPr>
    </w:p>
    <w:p w14:paraId="7D4D71CC" w14:textId="0B0A1B89" w:rsidR="00B87039" w:rsidRPr="00653BF4" w:rsidRDefault="00B87039" w:rsidP="00B87039">
      <w:pPr>
        <w:pStyle w:val="Caption"/>
        <w:keepNext/>
        <w:rPr>
          <w:sz w:val="20"/>
          <w:szCs w:val="20"/>
          <w:lang w:val="fr-FR"/>
        </w:rPr>
      </w:pPr>
      <w:bookmarkStart w:id="296" w:name="_Ref231214332"/>
      <w:r w:rsidRPr="00653BF4">
        <w:rPr>
          <w:i w:val="0"/>
          <w:iCs w:val="0"/>
          <w:sz w:val="20"/>
          <w:szCs w:val="20"/>
          <w:lang w:val="fr-FR"/>
        </w:rPr>
        <w:lastRenderedPageBreak/>
        <w:t>Tableau 34</w:t>
      </w:r>
      <w:bookmarkEnd w:id="296"/>
      <w:r w:rsidRPr="00653BF4">
        <w:rPr>
          <w:sz w:val="20"/>
          <w:szCs w:val="20"/>
          <w:lang w:val="fr-FR"/>
        </w:rPr>
        <w:t xml:space="preserve"> </w:t>
      </w:r>
    </w:p>
    <w:p w14:paraId="1F138F5B" w14:textId="1E967970" w:rsidR="00B87039" w:rsidRPr="00653BF4" w:rsidRDefault="00B87039" w:rsidP="00B87039">
      <w:pPr>
        <w:rPr>
          <w:rFonts w:eastAsia="Times New Roman" w:cs="Segoe UI"/>
          <w:b/>
          <w:bCs/>
          <w:sz w:val="20"/>
          <w:szCs w:val="20"/>
          <w:lang w:val="fr-FR"/>
        </w:rPr>
      </w:pPr>
      <w:r w:rsidRPr="00653BF4">
        <w:rPr>
          <w:rFonts w:eastAsia="Times New Roman" w:cs="Segoe UI"/>
          <w:b/>
          <w:bCs/>
          <w:sz w:val="20"/>
          <w:szCs w:val="20"/>
          <w:lang w:val="fr-FR"/>
        </w:rPr>
        <w:t>Pourcentage et nombre d</w:t>
      </w:r>
      <w:r w:rsidR="00D77549">
        <w:rPr>
          <w:rFonts w:eastAsia="Times New Roman" w:cs="Segoe UI"/>
          <w:b/>
          <w:bCs/>
          <w:sz w:val="20"/>
          <w:szCs w:val="20"/>
          <w:lang w:val="fr-FR"/>
        </w:rPr>
        <w:t>’</w:t>
      </w:r>
      <w:r w:rsidRPr="00653BF4">
        <w:rPr>
          <w:rFonts w:eastAsia="Times New Roman" w:cs="Segoe UI"/>
          <w:b/>
          <w:bCs/>
          <w:sz w:val="20"/>
          <w:szCs w:val="20"/>
          <w:lang w:val="fr-FR"/>
        </w:rPr>
        <w:t>organisations ayant rendu publiques leurs informations et disposant de processus en place pour identifier, évaluer et gérer les dépendances, les incidences et les risques environnementaux déclarés au CDP, par secteur</w:t>
      </w:r>
    </w:p>
    <w:p w14:paraId="4C6F4D6E" w14:textId="77777777" w:rsidR="00B87039" w:rsidRPr="00653BF4" w:rsidRDefault="00B87039" w:rsidP="00B87039">
      <w:pPr>
        <w:rPr>
          <w:sz w:val="20"/>
          <w:szCs w:val="20"/>
          <w:lang w:val="fr-FR" w:eastAsia="ja-JP"/>
        </w:rPr>
      </w:pPr>
    </w:p>
    <w:tbl>
      <w:tblPr>
        <w:tblW w:w="65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1560"/>
        <w:gridCol w:w="1560"/>
      </w:tblGrid>
      <w:tr w:rsidR="00B87039" w:rsidRPr="00653BF4" w14:paraId="741135BB"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tcPr>
          <w:p w14:paraId="64FA57B7" w14:textId="77777777" w:rsidR="00B87039" w:rsidRPr="00653BF4" w:rsidRDefault="00B87039" w:rsidP="00557FB3">
            <w:pPr>
              <w:spacing w:after="0" w:line="240" w:lineRule="auto"/>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Secteur</w:t>
            </w:r>
          </w:p>
        </w:tc>
        <w:tc>
          <w:tcPr>
            <w:tcW w:w="1560" w:type="dxa"/>
            <w:tcBorders>
              <w:top w:val="single" w:sz="6" w:space="0" w:color="auto"/>
              <w:left w:val="single" w:sz="6" w:space="0" w:color="auto"/>
              <w:bottom w:val="single" w:sz="6" w:space="0" w:color="auto"/>
              <w:right w:val="single" w:sz="6" w:space="0" w:color="auto"/>
            </w:tcBorders>
            <w:vAlign w:val="bottom"/>
          </w:tcPr>
          <w:p w14:paraId="7303F0C0"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Pourcentage</w:t>
            </w:r>
          </w:p>
        </w:tc>
        <w:tc>
          <w:tcPr>
            <w:tcW w:w="1560" w:type="dxa"/>
            <w:tcBorders>
              <w:top w:val="single" w:sz="6" w:space="0" w:color="auto"/>
              <w:left w:val="single" w:sz="6" w:space="0" w:color="auto"/>
              <w:bottom w:val="single" w:sz="6" w:space="0" w:color="auto"/>
              <w:right w:val="single" w:sz="6" w:space="0" w:color="auto"/>
            </w:tcBorders>
          </w:tcPr>
          <w:p w14:paraId="7937FDD1"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Nombre</w:t>
            </w:r>
          </w:p>
        </w:tc>
      </w:tr>
      <w:tr w:rsidR="00B87039" w:rsidRPr="00653BF4" w14:paraId="72260350"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53473C0C" w14:textId="77777777" w:rsidR="00B87039" w:rsidRPr="00653BF4" w:rsidRDefault="00B87039" w:rsidP="00557FB3">
            <w:pPr>
              <w:spacing w:after="0" w:line="240" w:lineRule="auto"/>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Fabrication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6ED76E99" w14:textId="77777777" w:rsidR="00B87039" w:rsidRPr="00653BF4" w:rsidRDefault="00B87039" w:rsidP="00557FB3">
            <w:pPr>
              <w:spacing w:after="0" w:line="240" w:lineRule="auto"/>
              <w:jc w:val="right"/>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40,0 </w:t>
            </w:r>
          </w:p>
        </w:tc>
        <w:tc>
          <w:tcPr>
            <w:tcW w:w="1560" w:type="dxa"/>
            <w:tcBorders>
              <w:top w:val="single" w:sz="6" w:space="0" w:color="auto"/>
              <w:left w:val="single" w:sz="6" w:space="0" w:color="auto"/>
              <w:bottom w:val="single" w:sz="6" w:space="0" w:color="auto"/>
              <w:right w:val="single" w:sz="6" w:space="0" w:color="auto"/>
            </w:tcBorders>
          </w:tcPr>
          <w:p w14:paraId="59BAE668"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774</w:t>
            </w:r>
          </w:p>
        </w:tc>
      </w:tr>
      <w:tr w:rsidR="00B87039" w:rsidRPr="00653BF4" w14:paraId="5A101A55"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375A049B" w14:textId="77777777" w:rsidR="00B87039" w:rsidRPr="00653BF4" w:rsidRDefault="00B87039" w:rsidP="00557FB3">
            <w:pPr>
              <w:spacing w:after="0" w:line="240" w:lineRule="auto"/>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Matériaux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136F818F" w14:textId="77777777" w:rsidR="00B87039" w:rsidRPr="00653BF4" w:rsidRDefault="00B87039" w:rsidP="00557FB3">
            <w:pPr>
              <w:spacing w:after="0" w:line="240" w:lineRule="auto"/>
              <w:jc w:val="right"/>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16,6 </w:t>
            </w:r>
          </w:p>
        </w:tc>
        <w:tc>
          <w:tcPr>
            <w:tcW w:w="1560" w:type="dxa"/>
            <w:tcBorders>
              <w:top w:val="single" w:sz="6" w:space="0" w:color="auto"/>
              <w:left w:val="single" w:sz="6" w:space="0" w:color="auto"/>
              <w:bottom w:val="single" w:sz="6" w:space="0" w:color="auto"/>
              <w:right w:val="single" w:sz="6" w:space="0" w:color="auto"/>
            </w:tcBorders>
          </w:tcPr>
          <w:p w14:paraId="37C9F6DC"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321</w:t>
            </w:r>
          </w:p>
        </w:tc>
      </w:tr>
      <w:tr w:rsidR="00B87039" w:rsidRPr="00653BF4" w14:paraId="64F2265D"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36CF0280" w14:textId="77777777" w:rsidR="00B87039" w:rsidRPr="00653BF4" w:rsidRDefault="00B87039" w:rsidP="00557FB3">
            <w:pPr>
              <w:spacing w:after="0" w:line="240" w:lineRule="auto"/>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Services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3E9FB740" w14:textId="77777777" w:rsidR="00B87039" w:rsidRPr="00653BF4" w:rsidRDefault="00B87039" w:rsidP="00557FB3">
            <w:pPr>
              <w:spacing w:after="0" w:line="240" w:lineRule="auto"/>
              <w:jc w:val="right"/>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10,1 </w:t>
            </w:r>
          </w:p>
        </w:tc>
        <w:tc>
          <w:tcPr>
            <w:tcW w:w="1560" w:type="dxa"/>
            <w:tcBorders>
              <w:top w:val="single" w:sz="6" w:space="0" w:color="auto"/>
              <w:left w:val="single" w:sz="6" w:space="0" w:color="auto"/>
              <w:bottom w:val="single" w:sz="6" w:space="0" w:color="auto"/>
              <w:right w:val="single" w:sz="6" w:space="0" w:color="auto"/>
            </w:tcBorders>
          </w:tcPr>
          <w:p w14:paraId="1045E86C"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195</w:t>
            </w:r>
          </w:p>
        </w:tc>
      </w:tr>
      <w:tr w:rsidR="00B87039" w:rsidRPr="00653BF4" w14:paraId="3A879BE2"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38B6A14A" w14:textId="77777777" w:rsidR="00B87039" w:rsidRPr="00653BF4" w:rsidRDefault="00B87039" w:rsidP="00557FB3">
            <w:pPr>
              <w:spacing w:after="0" w:line="240" w:lineRule="auto"/>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Aliments, boissons et agriculture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5156761D" w14:textId="77777777" w:rsidR="00B87039" w:rsidRPr="00653BF4" w:rsidRDefault="00B87039" w:rsidP="00557FB3">
            <w:pPr>
              <w:spacing w:after="0" w:line="240" w:lineRule="auto"/>
              <w:jc w:val="right"/>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9,2 </w:t>
            </w:r>
          </w:p>
        </w:tc>
        <w:tc>
          <w:tcPr>
            <w:tcW w:w="1560" w:type="dxa"/>
            <w:tcBorders>
              <w:top w:val="single" w:sz="6" w:space="0" w:color="auto"/>
              <w:left w:val="single" w:sz="6" w:space="0" w:color="auto"/>
              <w:bottom w:val="single" w:sz="6" w:space="0" w:color="auto"/>
              <w:right w:val="single" w:sz="6" w:space="0" w:color="auto"/>
            </w:tcBorders>
          </w:tcPr>
          <w:p w14:paraId="7CFE1564"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178</w:t>
            </w:r>
          </w:p>
        </w:tc>
      </w:tr>
      <w:tr w:rsidR="00B87039" w:rsidRPr="00653BF4" w14:paraId="1FE770D1"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7F73FEFF" w14:textId="77777777" w:rsidR="00B87039" w:rsidRPr="00653BF4" w:rsidRDefault="00B87039" w:rsidP="00557FB3">
            <w:pPr>
              <w:spacing w:after="0" w:line="240" w:lineRule="auto"/>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Infrastructure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200A6AEF" w14:textId="77777777" w:rsidR="00B87039" w:rsidRPr="00653BF4" w:rsidRDefault="00B87039" w:rsidP="00557FB3">
            <w:pPr>
              <w:spacing w:after="0" w:line="240" w:lineRule="auto"/>
              <w:jc w:val="right"/>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7,5 </w:t>
            </w:r>
          </w:p>
        </w:tc>
        <w:tc>
          <w:tcPr>
            <w:tcW w:w="1560" w:type="dxa"/>
            <w:tcBorders>
              <w:top w:val="single" w:sz="6" w:space="0" w:color="auto"/>
              <w:left w:val="single" w:sz="6" w:space="0" w:color="auto"/>
              <w:bottom w:val="single" w:sz="6" w:space="0" w:color="auto"/>
              <w:right w:val="single" w:sz="6" w:space="0" w:color="auto"/>
            </w:tcBorders>
          </w:tcPr>
          <w:p w14:paraId="4AB514B0"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145</w:t>
            </w:r>
          </w:p>
        </w:tc>
      </w:tr>
      <w:tr w:rsidR="00B87039" w:rsidRPr="00653BF4" w14:paraId="199B8467"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0CDFC357" w14:textId="77777777" w:rsidR="00B87039" w:rsidRPr="00653BF4" w:rsidRDefault="00B87039" w:rsidP="00557FB3">
            <w:pPr>
              <w:spacing w:after="0" w:line="240" w:lineRule="auto"/>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Services financiers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7F55AA08" w14:textId="77777777" w:rsidR="00B87039" w:rsidRPr="00653BF4" w:rsidRDefault="00B87039" w:rsidP="00557FB3">
            <w:pPr>
              <w:spacing w:after="0" w:line="240" w:lineRule="auto"/>
              <w:jc w:val="right"/>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6,8 </w:t>
            </w:r>
          </w:p>
        </w:tc>
        <w:tc>
          <w:tcPr>
            <w:tcW w:w="1560" w:type="dxa"/>
            <w:tcBorders>
              <w:top w:val="single" w:sz="6" w:space="0" w:color="auto"/>
              <w:left w:val="single" w:sz="6" w:space="0" w:color="auto"/>
              <w:bottom w:val="single" w:sz="6" w:space="0" w:color="auto"/>
              <w:right w:val="single" w:sz="6" w:space="0" w:color="auto"/>
            </w:tcBorders>
          </w:tcPr>
          <w:p w14:paraId="1468F569"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132</w:t>
            </w:r>
          </w:p>
        </w:tc>
      </w:tr>
      <w:tr w:rsidR="00B87039" w:rsidRPr="00653BF4" w14:paraId="33CC32CB"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7E33334A" w14:textId="77777777" w:rsidR="00B87039" w:rsidRPr="00653BF4" w:rsidRDefault="00B87039" w:rsidP="00557FB3">
            <w:pPr>
              <w:spacing w:after="0" w:line="240" w:lineRule="auto"/>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Biotechnologie, soins de santé et industrie pharmaceutique</w:t>
            </w:r>
          </w:p>
        </w:tc>
        <w:tc>
          <w:tcPr>
            <w:tcW w:w="1560" w:type="dxa"/>
            <w:tcBorders>
              <w:top w:val="single" w:sz="6" w:space="0" w:color="auto"/>
              <w:left w:val="single" w:sz="6" w:space="0" w:color="auto"/>
              <w:bottom w:val="single" w:sz="6" w:space="0" w:color="auto"/>
              <w:right w:val="single" w:sz="6" w:space="0" w:color="auto"/>
            </w:tcBorders>
            <w:vAlign w:val="bottom"/>
            <w:hideMark/>
          </w:tcPr>
          <w:p w14:paraId="0D438FDA" w14:textId="77777777" w:rsidR="00B87039" w:rsidRPr="00653BF4" w:rsidRDefault="00B87039" w:rsidP="00557FB3">
            <w:pPr>
              <w:spacing w:after="0" w:line="240" w:lineRule="auto"/>
              <w:jc w:val="right"/>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5,6 </w:t>
            </w:r>
          </w:p>
        </w:tc>
        <w:tc>
          <w:tcPr>
            <w:tcW w:w="1560" w:type="dxa"/>
            <w:tcBorders>
              <w:top w:val="single" w:sz="6" w:space="0" w:color="auto"/>
              <w:left w:val="single" w:sz="6" w:space="0" w:color="auto"/>
              <w:bottom w:val="single" w:sz="6" w:space="0" w:color="auto"/>
              <w:right w:val="single" w:sz="6" w:space="0" w:color="auto"/>
            </w:tcBorders>
          </w:tcPr>
          <w:p w14:paraId="73F25C4F"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108</w:t>
            </w:r>
          </w:p>
        </w:tc>
      </w:tr>
      <w:tr w:rsidR="00B87039" w:rsidRPr="00653BF4" w14:paraId="004CFDF5"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3BC56565" w14:textId="77777777" w:rsidR="00B87039" w:rsidRPr="00653BF4" w:rsidRDefault="00B87039" w:rsidP="00557FB3">
            <w:pPr>
              <w:spacing w:after="0" w:line="240" w:lineRule="auto"/>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Commerce de détail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1ECFB0C1" w14:textId="77777777" w:rsidR="00B87039" w:rsidRPr="00653BF4" w:rsidRDefault="00B87039" w:rsidP="00557FB3">
            <w:pPr>
              <w:spacing w:after="0" w:line="240" w:lineRule="auto"/>
              <w:jc w:val="right"/>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5,5 </w:t>
            </w:r>
          </w:p>
        </w:tc>
        <w:tc>
          <w:tcPr>
            <w:tcW w:w="1560" w:type="dxa"/>
            <w:tcBorders>
              <w:top w:val="single" w:sz="6" w:space="0" w:color="auto"/>
              <w:left w:val="single" w:sz="6" w:space="0" w:color="auto"/>
              <w:bottom w:val="single" w:sz="6" w:space="0" w:color="auto"/>
              <w:right w:val="single" w:sz="6" w:space="0" w:color="auto"/>
            </w:tcBorders>
          </w:tcPr>
          <w:p w14:paraId="20BCA685"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106</w:t>
            </w:r>
          </w:p>
        </w:tc>
      </w:tr>
      <w:tr w:rsidR="00B87039" w:rsidRPr="00653BF4" w14:paraId="2165A857"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24B757FA" w14:textId="77777777" w:rsidR="00B87039" w:rsidRPr="00653BF4" w:rsidRDefault="00B87039" w:rsidP="00557FB3">
            <w:pPr>
              <w:spacing w:after="0" w:line="240" w:lineRule="auto"/>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Vêtements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28B6DF99" w14:textId="77777777" w:rsidR="00B87039" w:rsidRPr="00653BF4" w:rsidRDefault="00B87039" w:rsidP="00557FB3">
            <w:pPr>
              <w:spacing w:after="0" w:line="240" w:lineRule="auto"/>
              <w:jc w:val="right"/>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4,2 </w:t>
            </w:r>
          </w:p>
        </w:tc>
        <w:tc>
          <w:tcPr>
            <w:tcW w:w="1560" w:type="dxa"/>
            <w:tcBorders>
              <w:top w:val="single" w:sz="6" w:space="0" w:color="auto"/>
              <w:left w:val="single" w:sz="6" w:space="0" w:color="auto"/>
              <w:bottom w:val="single" w:sz="6" w:space="0" w:color="auto"/>
              <w:right w:val="single" w:sz="6" w:space="0" w:color="auto"/>
            </w:tcBorders>
          </w:tcPr>
          <w:p w14:paraId="0AACC747"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81</w:t>
            </w:r>
          </w:p>
        </w:tc>
      </w:tr>
      <w:tr w:rsidR="00B87039" w:rsidRPr="00653BF4" w14:paraId="449BB0EB"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53F7D843" w14:textId="37914B18" w:rsidR="00B87039" w:rsidRPr="00653BF4" w:rsidRDefault="00B87039" w:rsidP="00557FB3">
            <w:pPr>
              <w:spacing w:after="0" w:line="240" w:lineRule="auto"/>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Production d</w:t>
            </w:r>
            <w:r w:rsidR="00D77549">
              <w:rPr>
                <w:rFonts w:eastAsia="Times New Roman" w:cs="Times New Roman"/>
                <w:color w:val="000000"/>
                <w:kern w:val="0"/>
                <w:lang w:val="fr-FR"/>
                <w14:ligatures w14:val="none"/>
              </w:rPr>
              <w:t>’</w:t>
            </w:r>
            <w:r w:rsidRPr="00653BF4">
              <w:rPr>
                <w:rFonts w:eastAsia="Times New Roman" w:cs="Times New Roman"/>
                <w:color w:val="000000"/>
                <w:kern w:val="0"/>
                <w:lang w:val="fr-FR"/>
                <w14:ligatures w14:val="none"/>
              </w:rPr>
              <w:t>électricité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66306731" w14:textId="77777777" w:rsidR="00B87039" w:rsidRPr="00653BF4" w:rsidRDefault="00B87039" w:rsidP="00557FB3">
            <w:pPr>
              <w:spacing w:after="0" w:line="240" w:lineRule="auto"/>
              <w:jc w:val="right"/>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3,2 </w:t>
            </w:r>
          </w:p>
        </w:tc>
        <w:tc>
          <w:tcPr>
            <w:tcW w:w="1560" w:type="dxa"/>
            <w:tcBorders>
              <w:top w:val="single" w:sz="6" w:space="0" w:color="auto"/>
              <w:left w:val="single" w:sz="6" w:space="0" w:color="auto"/>
              <w:bottom w:val="single" w:sz="6" w:space="0" w:color="auto"/>
              <w:right w:val="single" w:sz="6" w:space="0" w:color="auto"/>
            </w:tcBorders>
          </w:tcPr>
          <w:p w14:paraId="69F3AF5F"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62</w:t>
            </w:r>
          </w:p>
        </w:tc>
      </w:tr>
      <w:tr w:rsidR="00B87039" w:rsidRPr="00653BF4" w14:paraId="2A41BF72"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23DF064F" w14:textId="77777777" w:rsidR="00B87039" w:rsidRPr="00653BF4" w:rsidRDefault="00B87039" w:rsidP="00557FB3">
            <w:pPr>
              <w:spacing w:after="0" w:line="240" w:lineRule="auto"/>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Combustibles fossiles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3E01BD7F" w14:textId="77777777" w:rsidR="00B87039" w:rsidRPr="00653BF4" w:rsidRDefault="00B87039" w:rsidP="00557FB3">
            <w:pPr>
              <w:spacing w:after="0" w:line="240" w:lineRule="auto"/>
              <w:jc w:val="right"/>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2,8 </w:t>
            </w:r>
          </w:p>
        </w:tc>
        <w:tc>
          <w:tcPr>
            <w:tcW w:w="1560" w:type="dxa"/>
            <w:tcBorders>
              <w:top w:val="single" w:sz="6" w:space="0" w:color="auto"/>
              <w:left w:val="single" w:sz="6" w:space="0" w:color="auto"/>
              <w:bottom w:val="single" w:sz="6" w:space="0" w:color="auto"/>
              <w:right w:val="single" w:sz="6" w:space="0" w:color="auto"/>
            </w:tcBorders>
          </w:tcPr>
          <w:p w14:paraId="63CF7ED6"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54</w:t>
            </w:r>
          </w:p>
        </w:tc>
      </w:tr>
      <w:tr w:rsidR="00B87039" w:rsidRPr="00653BF4" w14:paraId="4DC4DF9B"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375A3AE0" w14:textId="77777777" w:rsidR="00B87039" w:rsidRPr="00653BF4" w:rsidRDefault="00B87039" w:rsidP="00557FB3">
            <w:pPr>
              <w:spacing w:after="0" w:line="240" w:lineRule="auto"/>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Services de transport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1B9181A3" w14:textId="77777777" w:rsidR="00B87039" w:rsidRPr="00653BF4" w:rsidRDefault="00B87039" w:rsidP="00557FB3">
            <w:pPr>
              <w:spacing w:after="0" w:line="240" w:lineRule="auto"/>
              <w:jc w:val="right"/>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2,5 </w:t>
            </w:r>
          </w:p>
        </w:tc>
        <w:tc>
          <w:tcPr>
            <w:tcW w:w="1560" w:type="dxa"/>
            <w:tcBorders>
              <w:top w:val="single" w:sz="6" w:space="0" w:color="auto"/>
              <w:left w:val="single" w:sz="6" w:space="0" w:color="auto"/>
              <w:bottom w:val="single" w:sz="6" w:space="0" w:color="auto"/>
              <w:right w:val="single" w:sz="6" w:space="0" w:color="auto"/>
            </w:tcBorders>
          </w:tcPr>
          <w:p w14:paraId="38271106"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48</w:t>
            </w:r>
          </w:p>
        </w:tc>
      </w:tr>
      <w:tr w:rsidR="00B87039" w:rsidRPr="00653BF4" w14:paraId="52203BBB" w14:textId="77777777" w:rsidTr="00557FB3">
        <w:trPr>
          <w:trHeight w:val="315"/>
        </w:trPr>
        <w:tc>
          <w:tcPr>
            <w:tcW w:w="3394" w:type="dxa"/>
            <w:tcBorders>
              <w:top w:val="single" w:sz="6" w:space="0" w:color="auto"/>
              <w:left w:val="single" w:sz="6" w:space="0" w:color="auto"/>
              <w:bottom w:val="single" w:sz="6" w:space="0" w:color="auto"/>
              <w:right w:val="single" w:sz="6" w:space="0" w:color="auto"/>
            </w:tcBorders>
            <w:vAlign w:val="bottom"/>
            <w:hideMark/>
          </w:tcPr>
          <w:p w14:paraId="14C321A4" w14:textId="77777777" w:rsidR="00B87039" w:rsidRPr="00653BF4" w:rsidRDefault="00B87039" w:rsidP="00557FB3">
            <w:pPr>
              <w:spacing w:after="0" w:line="240" w:lineRule="auto"/>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Hôtellerie et restauration </w:t>
            </w:r>
          </w:p>
        </w:tc>
        <w:tc>
          <w:tcPr>
            <w:tcW w:w="1560" w:type="dxa"/>
            <w:tcBorders>
              <w:top w:val="single" w:sz="6" w:space="0" w:color="auto"/>
              <w:left w:val="single" w:sz="6" w:space="0" w:color="auto"/>
              <w:bottom w:val="single" w:sz="6" w:space="0" w:color="auto"/>
              <w:right w:val="single" w:sz="6" w:space="0" w:color="auto"/>
            </w:tcBorders>
            <w:vAlign w:val="bottom"/>
            <w:hideMark/>
          </w:tcPr>
          <w:p w14:paraId="1CEE4C60" w14:textId="77777777" w:rsidR="00B87039" w:rsidRPr="00653BF4" w:rsidRDefault="00B87039" w:rsidP="00557FB3">
            <w:pPr>
              <w:spacing w:after="0" w:line="240" w:lineRule="auto"/>
              <w:jc w:val="right"/>
              <w:textAlignment w:val="baseline"/>
              <w:rPr>
                <w:rFonts w:eastAsia="Times New Roman" w:cs="Times New Roman"/>
                <w:kern w:val="0"/>
                <w:lang w:val="fr-FR"/>
                <w14:ligatures w14:val="none"/>
              </w:rPr>
            </w:pPr>
            <w:r w:rsidRPr="00653BF4">
              <w:rPr>
                <w:rFonts w:eastAsia="Times New Roman" w:cs="Times New Roman"/>
                <w:color w:val="000000"/>
                <w:kern w:val="0"/>
                <w:lang w:val="fr-FR"/>
                <w14:ligatures w14:val="none"/>
              </w:rPr>
              <w:t>1,2 </w:t>
            </w:r>
          </w:p>
        </w:tc>
        <w:tc>
          <w:tcPr>
            <w:tcW w:w="1560" w:type="dxa"/>
            <w:tcBorders>
              <w:top w:val="single" w:sz="6" w:space="0" w:color="auto"/>
              <w:left w:val="single" w:sz="6" w:space="0" w:color="auto"/>
              <w:bottom w:val="single" w:sz="6" w:space="0" w:color="auto"/>
              <w:right w:val="single" w:sz="6" w:space="0" w:color="auto"/>
            </w:tcBorders>
          </w:tcPr>
          <w:p w14:paraId="7CF4B066" w14:textId="77777777" w:rsidR="00B87039" w:rsidRPr="00653BF4" w:rsidRDefault="00B87039" w:rsidP="00557FB3">
            <w:pPr>
              <w:spacing w:after="0" w:line="240" w:lineRule="auto"/>
              <w:jc w:val="right"/>
              <w:textAlignment w:val="baseline"/>
              <w:rPr>
                <w:rFonts w:eastAsia="Times New Roman" w:cs="Times New Roman"/>
                <w:color w:val="000000"/>
                <w:kern w:val="0"/>
                <w:lang w:val="fr-FR"/>
                <w14:ligatures w14:val="none"/>
              </w:rPr>
            </w:pPr>
            <w:r w:rsidRPr="00653BF4">
              <w:rPr>
                <w:rFonts w:eastAsia="Times New Roman" w:cs="Times New Roman"/>
                <w:color w:val="000000"/>
                <w:kern w:val="0"/>
                <w:lang w:val="fr-FR"/>
                <w14:ligatures w14:val="none"/>
              </w:rPr>
              <w:t>23</w:t>
            </w:r>
          </w:p>
        </w:tc>
      </w:tr>
    </w:tbl>
    <w:p w14:paraId="39A04662" w14:textId="6818955A" w:rsidR="00B87039" w:rsidRPr="00653BF4" w:rsidRDefault="00B87039" w:rsidP="00B87039">
      <w:pPr>
        <w:spacing w:after="0" w:line="240" w:lineRule="auto"/>
        <w:textAlignment w:val="baseline"/>
        <w:rPr>
          <w:rFonts w:eastAsia="Times New Roman" w:cs="Segoe UI"/>
          <w:i/>
          <w:iCs/>
          <w:kern w:val="0"/>
          <w:sz w:val="18"/>
          <w:szCs w:val="18"/>
          <w:vertAlign w:val="superscript"/>
          <w:lang w:val="fr-FR"/>
          <w14:ligatures w14:val="none"/>
        </w:rPr>
      </w:pPr>
      <w:r w:rsidRPr="00653BF4">
        <w:rPr>
          <w:rFonts w:eastAsia="Times New Roman" w:cs="Segoe UI"/>
          <w:i/>
          <w:iCs/>
          <w:kern w:val="0"/>
          <w:sz w:val="18"/>
          <w:szCs w:val="18"/>
          <w:lang w:val="fr-FR"/>
          <w14:ligatures w14:val="none"/>
        </w:rPr>
        <w:t> Source</w:t>
      </w:r>
      <w:r w:rsidR="00E34DC9">
        <w:rPr>
          <w:rFonts w:eastAsia="Times New Roman" w:cs="Segoe UI"/>
          <w:i/>
          <w:iCs/>
          <w:kern w:val="0"/>
          <w:sz w:val="18"/>
          <w:szCs w:val="18"/>
          <w:lang w:val="fr-FR"/>
          <w14:ligatures w14:val="none"/>
        </w:rPr>
        <w:t> :</w:t>
      </w:r>
      <w:r w:rsidRPr="00653BF4">
        <w:rPr>
          <w:rFonts w:eastAsia="Times New Roman" w:cs="Segoe UI"/>
          <w:i/>
          <w:iCs/>
          <w:kern w:val="0"/>
          <w:sz w:val="18"/>
          <w:szCs w:val="18"/>
          <w:lang w:val="fr-FR"/>
          <w14:ligatures w14:val="none"/>
        </w:rPr>
        <w:t xml:space="preserve"> CDP</w:t>
      </w:r>
      <w:r w:rsidRPr="00653BF4">
        <w:rPr>
          <w:rFonts w:eastAsia="Times New Roman" w:cs="Segoe UI"/>
          <w:i/>
          <w:iCs/>
          <w:kern w:val="0"/>
          <w:sz w:val="18"/>
          <w:szCs w:val="18"/>
          <w:vertAlign w:val="superscript"/>
          <w:lang w:val="fr-FR"/>
          <w14:ligatures w14:val="none"/>
        </w:rPr>
        <w:t>a</w:t>
      </w:r>
    </w:p>
    <w:p w14:paraId="54B8E216" w14:textId="6903D198" w:rsidR="00B87039" w:rsidRPr="00653BF4" w:rsidRDefault="00B87039" w:rsidP="00B87039">
      <w:pPr>
        <w:spacing w:after="0" w:line="240" w:lineRule="auto"/>
        <w:textAlignment w:val="baseline"/>
        <w:rPr>
          <w:rFonts w:eastAsia="Times New Roman" w:cs="Segoe UI"/>
          <w:sz w:val="18"/>
          <w:szCs w:val="18"/>
          <w:lang w:val="fr-FR"/>
        </w:rPr>
      </w:pPr>
      <w:r w:rsidRPr="00653BF4">
        <w:rPr>
          <w:rFonts w:eastAsia="Times New Roman" w:cs="Segoe UI"/>
          <w:i/>
          <w:iCs/>
          <w:sz w:val="18"/>
          <w:szCs w:val="18"/>
          <w:lang w:val="fr-FR"/>
        </w:rPr>
        <w:t>Note</w:t>
      </w:r>
      <w:r w:rsidR="00E34DC9">
        <w:rPr>
          <w:rFonts w:eastAsia="Times New Roman" w:cs="Segoe UI"/>
          <w:i/>
          <w:iCs/>
          <w:sz w:val="18"/>
          <w:szCs w:val="18"/>
          <w:lang w:val="fr-FR"/>
        </w:rPr>
        <w:t> :</w:t>
      </w:r>
      <w:r w:rsidRPr="00653BF4">
        <w:rPr>
          <w:rFonts w:eastAsia="Times New Roman" w:cs="Segoe UI"/>
          <w:sz w:val="18"/>
          <w:szCs w:val="18"/>
          <w:lang w:val="fr-FR"/>
        </w:rPr>
        <w:t xml:space="preserve"> Ces chiffres ne tiennent pas compte des données communiquées par les Parties concernant l</w:t>
      </w:r>
      <w:r w:rsidR="00D77549">
        <w:rPr>
          <w:rFonts w:eastAsia="Times New Roman" w:cs="Segoe UI"/>
          <w:sz w:val="18"/>
          <w:szCs w:val="18"/>
          <w:lang w:val="fr-FR"/>
        </w:rPr>
        <w:t>’</w:t>
      </w:r>
      <w:r w:rsidRPr="00653BF4">
        <w:rPr>
          <w:rFonts w:eastAsia="Times New Roman" w:cs="Segoe UI"/>
          <w:sz w:val="18"/>
          <w:szCs w:val="18"/>
          <w:lang w:val="fr-FR"/>
        </w:rPr>
        <w:t>indicateur phare 15.1, telles qu</w:t>
      </w:r>
      <w:r w:rsidR="00D77549">
        <w:rPr>
          <w:rFonts w:eastAsia="Times New Roman" w:cs="Segoe UI"/>
          <w:sz w:val="18"/>
          <w:szCs w:val="18"/>
          <w:lang w:val="fr-FR"/>
        </w:rPr>
        <w:t>’</w:t>
      </w:r>
      <w:r w:rsidRPr="00653BF4">
        <w:rPr>
          <w:rFonts w:eastAsia="Times New Roman" w:cs="Segoe UI"/>
          <w:sz w:val="18"/>
          <w:szCs w:val="18"/>
          <w:lang w:val="fr-FR"/>
        </w:rPr>
        <w:t>analysées dans la figure 63.</w:t>
      </w:r>
    </w:p>
    <w:p w14:paraId="53C64094" w14:textId="77777777" w:rsidR="00B87039" w:rsidRPr="00653BF4" w:rsidRDefault="00B87039" w:rsidP="00B87039">
      <w:pPr>
        <w:spacing w:after="0" w:line="240" w:lineRule="auto"/>
        <w:textAlignment w:val="baseline"/>
        <w:rPr>
          <w:rFonts w:eastAsia="Times New Roman" w:cs="Segoe UI"/>
          <w:sz w:val="18"/>
          <w:szCs w:val="18"/>
          <w:lang w:val="fr-FR"/>
        </w:rPr>
      </w:pPr>
    </w:p>
    <w:p w14:paraId="77A85EC1" w14:textId="1BDC376B" w:rsidR="00B87039" w:rsidRPr="00653BF4" w:rsidRDefault="00B87039" w:rsidP="00B87039">
      <w:pPr>
        <w:spacing w:after="0" w:line="240" w:lineRule="auto"/>
        <w:textAlignment w:val="baseline"/>
        <w:rPr>
          <w:rFonts w:eastAsia="Times New Roman" w:cs="Segoe UI"/>
          <w:sz w:val="18"/>
          <w:szCs w:val="18"/>
          <w:lang w:val="fr-FR"/>
        </w:rPr>
      </w:pPr>
      <w:r w:rsidRPr="00653BF4">
        <w:rPr>
          <w:rFonts w:eastAsia="Times New Roman" w:cs="Segoe UI"/>
          <w:sz w:val="18"/>
          <w:szCs w:val="18"/>
          <w:vertAlign w:val="superscript"/>
          <w:lang w:val="fr-FR"/>
        </w:rPr>
        <w:t>a</w:t>
      </w:r>
      <w:r w:rsidRPr="00653BF4">
        <w:rPr>
          <w:rFonts w:eastAsia="Times New Roman" w:cs="Segoe UI"/>
          <w:sz w:val="18"/>
          <w:szCs w:val="18"/>
          <w:lang w:val="fr-FR"/>
        </w:rPr>
        <w:t>Disponible à l</w:t>
      </w:r>
      <w:r w:rsidR="00D77549">
        <w:rPr>
          <w:rFonts w:eastAsia="Times New Roman" w:cs="Segoe UI"/>
          <w:sz w:val="18"/>
          <w:szCs w:val="18"/>
          <w:lang w:val="fr-FR"/>
        </w:rPr>
        <w:t>’</w:t>
      </w:r>
      <w:r w:rsidRPr="00653BF4">
        <w:rPr>
          <w:rFonts w:eastAsia="Times New Roman" w:cs="Segoe UI"/>
          <w:sz w:val="18"/>
          <w:szCs w:val="18"/>
          <w:lang w:val="fr-FR"/>
        </w:rPr>
        <w:t xml:space="preserve">adresse </w:t>
      </w:r>
      <w:hyperlink r:id="rId164" w:history="1">
        <w:r w:rsidRPr="00653BF4">
          <w:rPr>
            <w:rStyle w:val="Hyperlink"/>
            <w:rFonts w:eastAsia="Times New Roman" w:cs="Segoe UI"/>
            <w:sz w:val="18"/>
            <w:szCs w:val="18"/>
            <w:lang w:val="fr-FR"/>
          </w:rPr>
          <w:t>www.cdp.net/en/data/monitoring-gbf</w:t>
        </w:r>
      </w:hyperlink>
      <w:r w:rsidRPr="00653BF4">
        <w:rPr>
          <w:rFonts w:eastAsia="Times New Roman" w:cs="Segoe UI"/>
          <w:sz w:val="18"/>
          <w:szCs w:val="18"/>
          <w:lang w:val="fr-FR"/>
        </w:rPr>
        <w:t>.</w:t>
      </w:r>
    </w:p>
    <w:p w14:paraId="11480F06" w14:textId="77777777" w:rsidR="00B87039" w:rsidRPr="00653BF4" w:rsidRDefault="00B87039" w:rsidP="00B87039">
      <w:pPr>
        <w:spacing w:after="0" w:line="240" w:lineRule="auto"/>
        <w:textAlignment w:val="baseline"/>
        <w:rPr>
          <w:rFonts w:eastAsia="Times New Roman" w:cs="Segoe UI"/>
          <w:sz w:val="18"/>
          <w:szCs w:val="18"/>
          <w:lang w:val="fr-FR"/>
        </w:rPr>
      </w:pPr>
    </w:p>
    <w:p w14:paraId="147504DE" w14:textId="77777777" w:rsidR="00B87039" w:rsidRPr="00653BF4" w:rsidRDefault="00B87039" w:rsidP="00B87039">
      <w:pPr>
        <w:spacing w:after="0" w:line="240" w:lineRule="auto"/>
        <w:textAlignment w:val="baseline"/>
        <w:rPr>
          <w:rFonts w:eastAsia="Times New Roman" w:cs="Segoe UI"/>
          <w:i/>
          <w:iCs/>
          <w:kern w:val="0"/>
          <w:sz w:val="18"/>
          <w:szCs w:val="18"/>
          <w:lang w:val="fr-FR"/>
          <w14:ligatures w14:val="none"/>
        </w:rPr>
      </w:pPr>
    </w:p>
    <w:p w14:paraId="68486827" w14:textId="77777777" w:rsidR="00B87039" w:rsidRPr="00653BF4" w:rsidRDefault="00B87039" w:rsidP="00B87039">
      <w:pPr>
        <w:spacing w:after="0" w:line="240" w:lineRule="auto"/>
        <w:textAlignment w:val="baseline"/>
        <w:rPr>
          <w:rFonts w:eastAsia="Times New Roman" w:cs="Segoe UI"/>
          <w:i/>
          <w:iCs/>
          <w:kern w:val="0"/>
          <w:sz w:val="18"/>
          <w:szCs w:val="18"/>
          <w:lang w:val="fr-FR"/>
          <w14:ligatures w14:val="none"/>
        </w:rPr>
      </w:pPr>
    </w:p>
    <w:p w14:paraId="3CD08027" w14:textId="77777777" w:rsidR="00B87039" w:rsidRPr="00653BF4" w:rsidRDefault="00B87039" w:rsidP="00B87039">
      <w:pPr>
        <w:spacing w:after="0" w:line="240" w:lineRule="auto"/>
        <w:textAlignment w:val="baseline"/>
        <w:rPr>
          <w:sz w:val="20"/>
          <w:szCs w:val="20"/>
          <w:lang w:val="fr-FR"/>
        </w:rPr>
      </w:pPr>
      <w:r w:rsidRPr="00653BF4">
        <w:rPr>
          <w:sz w:val="20"/>
          <w:szCs w:val="20"/>
          <w:lang w:val="fr-FR"/>
        </w:rPr>
        <w:t>Figure 64</w:t>
      </w:r>
    </w:p>
    <w:p w14:paraId="25D125CC" w14:textId="78CA7DBC" w:rsidR="00B87039" w:rsidRPr="00653BF4" w:rsidRDefault="00B87039" w:rsidP="00B87039">
      <w:pPr>
        <w:spacing w:after="0" w:line="240" w:lineRule="auto"/>
        <w:textAlignment w:val="baseline"/>
        <w:rPr>
          <w:rFonts w:eastAsia="Times New Roman" w:cs="Segoe UI"/>
          <w:b/>
          <w:bCs/>
          <w:kern w:val="0"/>
          <w:sz w:val="18"/>
          <w:szCs w:val="18"/>
          <w:lang w:val="fr-FR"/>
          <w14:ligatures w14:val="none"/>
        </w:rPr>
      </w:pPr>
      <w:r w:rsidRPr="00653BF4">
        <w:rPr>
          <w:rFonts w:eastAsia="Times New Roman" w:cs="Segoe UI"/>
          <w:b/>
          <w:bCs/>
          <w:sz w:val="18"/>
          <w:szCs w:val="18"/>
          <w:lang w:val="fr-FR"/>
        </w:rPr>
        <w:t>Indicateur binaire 15.b</w:t>
      </w:r>
      <w:r w:rsidR="00E34DC9">
        <w:rPr>
          <w:rFonts w:eastAsia="Times New Roman" w:cs="Segoe UI"/>
          <w:b/>
          <w:bCs/>
          <w:sz w:val="18"/>
          <w:szCs w:val="18"/>
          <w:lang w:val="fr-FR"/>
        </w:rPr>
        <w:t> :</w:t>
      </w:r>
      <w:r w:rsidRPr="00653BF4">
        <w:rPr>
          <w:rFonts w:eastAsia="Times New Roman" w:cs="Segoe UI"/>
          <w:b/>
          <w:bCs/>
          <w:sz w:val="18"/>
          <w:szCs w:val="18"/>
          <w:lang w:val="fr-FR"/>
        </w:rPr>
        <w:t xml:space="preserve"> nombre de pays ayant pris des mesures juridiques, administratives ou de politique générale visant à inciter les entreprises et les institutions financières à agir, et à leur donner les moyens de le faire, notamment en veillant à ce que les grandes entreprises et les entreprises transnationales, ainsi que les institutions financières, réduisent progressivement leurs incidences négatives sur la biodiversité, accroissent leurs incidences positives, réduisent les risques liés à la biodiversité et promeuvent des mesures propres à garantir des modes de production durables</w:t>
      </w:r>
    </w:p>
    <w:p w14:paraId="63A3BD7A" w14:textId="77777777" w:rsidR="00B87039" w:rsidRPr="00653BF4" w:rsidRDefault="00B87039" w:rsidP="00B87039">
      <w:pPr>
        <w:spacing w:after="0" w:line="240" w:lineRule="auto"/>
        <w:textAlignment w:val="baseline"/>
        <w:rPr>
          <w:sz w:val="20"/>
          <w:szCs w:val="20"/>
          <w:lang w:val="fr-FR"/>
        </w:rPr>
      </w:pPr>
    </w:p>
    <w:p w14:paraId="3863B497" w14:textId="77777777" w:rsidR="00B87039" w:rsidRPr="00653BF4" w:rsidRDefault="00B87039" w:rsidP="00B87039">
      <w:pPr>
        <w:pStyle w:val="Caption"/>
        <w:rPr>
          <w:lang w:val="fr-FR"/>
        </w:rPr>
      </w:pPr>
      <w:bookmarkStart w:id="297" w:name="_Ref231213836"/>
      <w:r w:rsidRPr="00653BF4">
        <w:rPr>
          <w:noProof/>
          <w:lang w:val="fr-FR"/>
          <w14:ligatures w14:val="standardContextual"/>
        </w:rPr>
        <w:lastRenderedPageBreak/>
        <w:drawing>
          <wp:inline distT="0" distB="0" distL="0" distR="0" wp14:anchorId="74090190" wp14:editId="188DE83A">
            <wp:extent cx="5943600" cy="2264410"/>
            <wp:effectExtent l="0" t="0" r="0" b="0"/>
            <wp:docPr id="17303432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43279" name="Picture 1730343279"/>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bookmarkEnd w:id="297"/>
    <w:p w14:paraId="6413CF2F" w14:textId="425112C6"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i w:val="0"/>
          <w:iCs w:val="0"/>
          <w:lang w:val="fr-FR"/>
        </w:rPr>
        <w:t xml:space="preserve"> La largeur des barres indique le pourcentage de Parties dans chaque catégorie de note, une note plus élevée correspondant à des progrès plus importants. Les notes sont établies d’après les réponses aux questions de l</w:t>
      </w:r>
      <w:r w:rsidR="00D77549">
        <w:rPr>
          <w:i w:val="0"/>
          <w:iCs w:val="0"/>
          <w:lang w:val="fr-FR"/>
        </w:rPr>
        <w:t>’</w:t>
      </w:r>
      <w:r w:rsidRPr="00653BF4">
        <w:rPr>
          <w:i w:val="0"/>
          <w:iCs w:val="0"/>
          <w:lang w:val="fr-FR"/>
        </w:rPr>
        <w:t>indicateur</w:t>
      </w:r>
      <w:r w:rsidRPr="00653BF4">
        <w:rPr>
          <w:i w:val="0"/>
          <w:iCs w:val="0"/>
          <w:vertAlign w:val="superscript"/>
          <w:lang w:val="fr-FR"/>
        </w:rPr>
        <w:t>a</w:t>
      </w:r>
      <w:r w:rsidRPr="00653BF4">
        <w:rPr>
          <w:i w:val="0"/>
          <w:iCs w:val="0"/>
          <w:lang w:val="fr-FR"/>
        </w:rPr>
        <w:t>. Le diagramme circulaire représente la répartition par région des Parties ayant répondu à toutes les questions.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p w14:paraId="67001F1B" w14:textId="77777777" w:rsidR="00B87039" w:rsidRPr="00653BF4" w:rsidRDefault="00B87039" w:rsidP="00B87039">
      <w:pPr>
        <w:rPr>
          <w:sz w:val="18"/>
          <w:szCs w:val="18"/>
          <w:lang w:val="fr-FR"/>
        </w:rPr>
      </w:pPr>
      <w:r w:rsidRPr="00653BF4">
        <w:rPr>
          <w:sz w:val="18"/>
          <w:szCs w:val="18"/>
          <w:vertAlign w:val="superscript"/>
          <w:lang w:val="fr-FR"/>
        </w:rPr>
        <w:t xml:space="preserve">a </w:t>
      </w:r>
      <w:r w:rsidRPr="00653BF4">
        <w:rPr>
          <w:sz w:val="18"/>
          <w:szCs w:val="18"/>
          <w:lang w:val="fr-FR"/>
        </w:rPr>
        <w:t>La méthode de calcul des notes pour chaque indicateur binaire, ainsi que les questions associées à chaque indicateur, figurent dans le document</w:t>
      </w:r>
      <w:r w:rsidRPr="00653BF4">
        <w:rPr>
          <w:lang w:val="fr-FR"/>
        </w:rPr>
        <w:t xml:space="preserve"> </w:t>
      </w:r>
      <w:hyperlink r:id="rId166" w:history="1">
        <w:r w:rsidRPr="00653BF4">
          <w:rPr>
            <w:rStyle w:val="Hyperlink"/>
            <w:sz w:val="18"/>
            <w:szCs w:val="18"/>
            <w:lang w:val="fr-FR"/>
          </w:rPr>
          <w:t>CBD/COP/16/INF/3/Rev.1</w:t>
        </w:r>
      </w:hyperlink>
      <w:r w:rsidRPr="00653BF4">
        <w:rPr>
          <w:lang w:val="fr-FR"/>
        </w:rPr>
        <w:t>.</w:t>
      </w:r>
    </w:p>
    <w:tbl>
      <w:tblPr>
        <w:tblStyle w:val="TableGrid"/>
        <w:tblW w:w="8861" w:type="dxa"/>
        <w:tblLook w:val="04A0" w:firstRow="1" w:lastRow="0" w:firstColumn="1" w:lastColumn="0" w:noHBand="0" w:noVBand="1"/>
      </w:tblPr>
      <w:tblGrid>
        <w:gridCol w:w="4188"/>
        <w:gridCol w:w="4673"/>
      </w:tblGrid>
      <w:tr w:rsidR="001279A8" w:rsidRPr="00F41552" w14:paraId="69FC0427" w14:textId="77777777" w:rsidTr="009B4355">
        <w:tc>
          <w:tcPr>
            <w:tcW w:w="8861" w:type="dxa"/>
            <w:gridSpan w:val="2"/>
          </w:tcPr>
          <w:p w14:paraId="5ED69AC3" w14:textId="77777777" w:rsidR="001279A8" w:rsidRPr="00F41552" w:rsidRDefault="001279A8" w:rsidP="009B4355">
            <w:pPr>
              <w:rPr>
                <w:rFonts w:ascii="Aptos" w:hAnsi="Aptos"/>
                <w:lang w:val="fr-FR"/>
              </w:rPr>
            </w:pPr>
            <w:r w:rsidRPr="00F41552">
              <w:rPr>
                <w:rFonts w:ascii="Aptos" w:hAnsi="Aptos"/>
                <w:lang w:val="fr-FR"/>
              </w:rPr>
              <w:t>Figure 64</w:t>
            </w:r>
          </w:p>
        </w:tc>
      </w:tr>
      <w:tr w:rsidR="001279A8" w:rsidRPr="00F41552" w14:paraId="38151194" w14:textId="77777777" w:rsidTr="009B4355">
        <w:tc>
          <w:tcPr>
            <w:tcW w:w="4188" w:type="dxa"/>
          </w:tcPr>
          <w:p w14:paraId="043839CB" w14:textId="77777777" w:rsidR="001279A8" w:rsidRPr="00F41552" w:rsidRDefault="001279A8" w:rsidP="009B4355">
            <w:pPr>
              <w:rPr>
                <w:rFonts w:ascii="Aptos" w:hAnsi="Aptos"/>
                <w:lang w:val="fr-FR"/>
              </w:rPr>
            </w:pPr>
            <w:r w:rsidRPr="00F41552">
              <w:rPr>
                <w:rFonts w:ascii="Aptos" w:hAnsi="Aptos"/>
                <w:lang w:val="fr-FR"/>
              </w:rPr>
              <w:t xml:space="preserve">English </w:t>
            </w:r>
          </w:p>
        </w:tc>
        <w:tc>
          <w:tcPr>
            <w:tcW w:w="4673" w:type="dxa"/>
          </w:tcPr>
          <w:p w14:paraId="7C0DCA41" w14:textId="77777777" w:rsidR="001279A8" w:rsidRPr="00F41552" w:rsidRDefault="001279A8" w:rsidP="009B4355">
            <w:pPr>
              <w:rPr>
                <w:rFonts w:ascii="Aptos" w:hAnsi="Aptos"/>
                <w:lang w:val="fr-FR"/>
              </w:rPr>
            </w:pPr>
            <w:r>
              <w:rPr>
                <w:rFonts w:ascii="Aptos" w:hAnsi="Aptos"/>
                <w:lang w:val="fr-FR"/>
              </w:rPr>
              <w:t>Français</w:t>
            </w:r>
          </w:p>
        </w:tc>
      </w:tr>
      <w:tr w:rsidR="001279A8" w:rsidRPr="006F7AF8" w14:paraId="7058060B" w14:textId="77777777" w:rsidTr="009B4355">
        <w:tc>
          <w:tcPr>
            <w:tcW w:w="4188" w:type="dxa"/>
          </w:tcPr>
          <w:p w14:paraId="1B503F3F" w14:textId="77777777" w:rsidR="001279A8" w:rsidRPr="006F7AF8" w:rsidRDefault="001279A8" w:rsidP="009B4355">
            <w:pPr>
              <w:rPr>
                <w:rFonts w:ascii="Aptos" w:hAnsi="Aptos"/>
                <w:lang w:val="fr-FR"/>
              </w:rPr>
            </w:pPr>
            <w:r w:rsidRPr="006F7AF8">
              <w:rPr>
                <w:rFonts w:ascii="Aptos" w:hAnsi="Aptos"/>
                <w:lang w:val="fr-FR"/>
              </w:rPr>
              <w:t>Answers (percentage)</w:t>
            </w:r>
          </w:p>
        </w:tc>
        <w:tc>
          <w:tcPr>
            <w:tcW w:w="4673" w:type="dxa"/>
          </w:tcPr>
          <w:p w14:paraId="70971D9D" w14:textId="77777777" w:rsidR="001279A8" w:rsidRPr="006F7AF8" w:rsidRDefault="001279A8" w:rsidP="009B4355">
            <w:pPr>
              <w:rPr>
                <w:rFonts w:ascii="Aptos" w:hAnsi="Aptos"/>
                <w:lang w:val="fr-FR"/>
              </w:rPr>
            </w:pPr>
            <w:r w:rsidRPr="006F7AF8">
              <w:rPr>
                <w:rFonts w:ascii="Aptos" w:hAnsi="Aptos"/>
                <w:lang w:val="fr-FR"/>
              </w:rPr>
              <w:t>Réponses (pourcentage)</w:t>
            </w:r>
          </w:p>
        </w:tc>
      </w:tr>
      <w:tr w:rsidR="001279A8" w:rsidRPr="006F7AF8" w14:paraId="409AE30D" w14:textId="77777777" w:rsidTr="009B4355">
        <w:tc>
          <w:tcPr>
            <w:tcW w:w="4188" w:type="dxa"/>
          </w:tcPr>
          <w:p w14:paraId="7BECD77E" w14:textId="77777777" w:rsidR="001279A8" w:rsidRPr="006F7AF8" w:rsidRDefault="001279A8" w:rsidP="009B4355">
            <w:pPr>
              <w:rPr>
                <w:rFonts w:ascii="Aptos" w:hAnsi="Aptos"/>
                <w:lang w:val="fr-FR"/>
              </w:rPr>
            </w:pPr>
            <w:r w:rsidRPr="006F7AF8">
              <w:rPr>
                <w:rFonts w:ascii="Aptos" w:hAnsi="Aptos"/>
                <w:lang w:val="fr-FR"/>
              </w:rPr>
              <w:t>Score Level</w:t>
            </w:r>
          </w:p>
        </w:tc>
        <w:tc>
          <w:tcPr>
            <w:tcW w:w="4673" w:type="dxa"/>
          </w:tcPr>
          <w:p w14:paraId="4813F495" w14:textId="77777777" w:rsidR="001279A8" w:rsidRPr="006F7AF8" w:rsidRDefault="001279A8" w:rsidP="009B4355">
            <w:pPr>
              <w:rPr>
                <w:rFonts w:ascii="Aptos" w:hAnsi="Aptos"/>
                <w:lang w:val="fr-FR"/>
              </w:rPr>
            </w:pPr>
            <w:r>
              <w:rPr>
                <w:rFonts w:ascii="Aptos" w:hAnsi="Aptos"/>
                <w:lang w:val="fr-FR"/>
              </w:rPr>
              <w:t>Note</w:t>
            </w:r>
          </w:p>
        </w:tc>
      </w:tr>
      <w:tr w:rsidR="001279A8" w:rsidRPr="006F7AF8" w14:paraId="2C9C83AD" w14:textId="77777777" w:rsidTr="009B4355">
        <w:tc>
          <w:tcPr>
            <w:tcW w:w="4188" w:type="dxa"/>
          </w:tcPr>
          <w:p w14:paraId="11054B48" w14:textId="77777777" w:rsidR="001279A8" w:rsidRPr="006F7AF8" w:rsidRDefault="001279A8" w:rsidP="009B4355">
            <w:pPr>
              <w:rPr>
                <w:rFonts w:ascii="Aptos" w:hAnsi="Aptos"/>
                <w:lang w:val="fr-FR"/>
              </w:rPr>
            </w:pPr>
            <w:r w:rsidRPr="006F7AF8">
              <w:rPr>
                <w:rFonts w:ascii="Aptos" w:hAnsi="Aptos"/>
                <w:lang w:val="fr-FR"/>
              </w:rPr>
              <w:t>Party count: 127</w:t>
            </w:r>
          </w:p>
        </w:tc>
        <w:tc>
          <w:tcPr>
            <w:tcW w:w="4673" w:type="dxa"/>
          </w:tcPr>
          <w:p w14:paraId="1325CFAB" w14:textId="77777777" w:rsidR="001279A8" w:rsidRPr="006F7AF8" w:rsidRDefault="001279A8" w:rsidP="009B4355">
            <w:pPr>
              <w:rPr>
                <w:rFonts w:ascii="Aptos" w:hAnsi="Aptos"/>
                <w:lang w:val="fr-FR"/>
              </w:rPr>
            </w:pPr>
            <w:r w:rsidRPr="006F7AF8">
              <w:rPr>
                <w:rFonts w:ascii="Aptos" w:hAnsi="Aptos"/>
                <w:lang w:val="fr-FR"/>
              </w:rPr>
              <w:t>Nombre de Parties : 127</w:t>
            </w:r>
          </w:p>
        </w:tc>
      </w:tr>
      <w:tr w:rsidR="001279A8" w:rsidRPr="006F7AF8" w14:paraId="19DE2CAF" w14:textId="77777777" w:rsidTr="009B4355">
        <w:tc>
          <w:tcPr>
            <w:tcW w:w="4188" w:type="dxa"/>
          </w:tcPr>
          <w:p w14:paraId="0B74524D"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08860E45"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4DCC373D" w14:textId="77777777" w:rsidTr="009B4355">
        <w:tc>
          <w:tcPr>
            <w:tcW w:w="4188" w:type="dxa"/>
          </w:tcPr>
          <w:p w14:paraId="7B64F137"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6A86BB4C"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3F9A0F0C" w14:textId="77777777" w:rsidTr="009B4355">
        <w:tc>
          <w:tcPr>
            <w:tcW w:w="4188" w:type="dxa"/>
          </w:tcPr>
          <w:p w14:paraId="2E6FF6D4"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4673" w:type="dxa"/>
          </w:tcPr>
          <w:p w14:paraId="185CEA6D"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204BE5B8" w14:textId="77777777" w:rsidTr="009B4355">
        <w:tc>
          <w:tcPr>
            <w:tcW w:w="4188" w:type="dxa"/>
          </w:tcPr>
          <w:p w14:paraId="144002B9"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76B531F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594EBF2D" w14:textId="77777777" w:rsidTr="009B4355">
        <w:tc>
          <w:tcPr>
            <w:tcW w:w="4188" w:type="dxa"/>
          </w:tcPr>
          <w:p w14:paraId="1AB894D8"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3632E382"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6AE19D0E" w14:textId="77777777" w:rsidTr="009B4355">
        <w:tc>
          <w:tcPr>
            <w:tcW w:w="4188" w:type="dxa"/>
          </w:tcPr>
          <w:p w14:paraId="3D091018"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3" w:type="dxa"/>
          </w:tcPr>
          <w:p w14:paraId="1FBB2E08"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0AB63145" w14:textId="77777777" w:rsidR="00B87039" w:rsidRPr="00653BF4" w:rsidRDefault="00B87039" w:rsidP="00B87039">
      <w:pPr>
        <w:rPr>
          <w:sz w:val="18"/>
          <w:szCs w:val="18"/>
          <w:lang w:val="fr-FR"/>
        </w:rPr>
      </w:pPr>
    </w:p>
    <w:p w14:paraId="0A8CCB1C" w14:textId="2C8D0141" w:rsidR="00B87039" w:rsidRPr="00653BF4" w:rsidRDefault="00B87039" w:rsidP="00B87039">
      <w:pPr>
        <w:pStyle w:val="Caption"/>
        <w:rPr>
          <w:b/>
          <w:bCs/>
          <w:i w:val="0"/>
          <w:iCs w:val="0"/>
          <w:sz w:val="20"/>
          <w:szCs w:val="20"/>
          <w:lang w:val="fr-FR"/>
        </w:rPr>
      </w:pPr>
      <w:bookmarkStart w:id="298" w:name="_Ref238731180"/>
      <w:r w:rsidRPr="00653BF4">
        <w:rPr>
          <w:i w:val="0"/>
          <w:iCs w:val="0"/>
          <w:sz w:val="20"/>
          <w:szCs w:val="20"/>
          <w:lang w:val="fr-FR"/>
        </w:rPr>
        <w:t>Figure 65</w:t>
      </w:r>
      <w:bookmarkEnd w:id="298"/>
    </w:p>
    <w:p w14:paraId="565896A3" w14:textId="7CB26A10" w:rsidR="00B87039" w:rsidRPr="00653BF4"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1</w:t>
      </w:r>
      <w:r w:rsidRPr="00653BF4">
        <w:rPr>
          <w:b/>
          <w:bCs/>
          <w:i w:val="0"/>
          <w:iCs w:val="0"/>
          <w:sz w:val="20"/>
          <w:szCs w:val="20"/>
          <w:lang w:val="fr-FR"/>
        </w:rPr>
        <w:t>5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1B6707A9" w14:textId="77777777" w:rsidR="00B87039" w:rsidRPr="00653BF4" w:rsidRDefault="00B87039" w:rsidP="00B87039">
      <w:pPr>
        <w:pStyle w:val="Caption"/>
        <w:rPr>
          <w:lang w:val="fr-FR"/>
        </w:rPr>
      </w:pPr>
      <w:bookmarkStart w:id="299" w:name="_Ref231214040"/>
      <w:r w:rsidRPr="00653BF4">
        <w:rPr>
          <w:noProof/>
          <w:lang w:val="fr-FR"/>
          <w14:ligatures w14:val="standardContextual"/>
        </w:rPr>
        <w:lastRenderedPageBreak/>
        <w:drawing>
          <wp:inline distT="0" distB="0" distL="0" distR="0" wp14:anchorId="1712C247" wp14:editId="45B3E307">
            <wp:extent cx="5731510" cy="2456180"/>
            <wp:effectExtent l="0" t="0" r="0" b="0"/>
            <wp:docPr id="21071409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4091" name="Picture 210714091"/>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5A9D8CEC" w14:textId="6BF337B9"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i w:val="0"/>
          <w:iCs w:val="0"/>
          <w:lang w:val="fr-FR"/>
        </w:rPr>
        <w:t xml:space="preserve"> Les proportions sont pondérées par Partie. Les tendances comprennent les données d</w:t>
      </w:r>
      <w:r w:rsidR="00D77549">
        <w:rPr>
          <w:i w:val="0"/>
          <w:iCs w:val="0"/>
          <w:lang w:val="fr-FR"/>
        </w:rPr>
        <w:t>’</w:t>
      </w:r>
      <w:r w:rsidRPr="00653BF4">
        <w:rPr>
          <w:i w:val="0"/>
          <w:iCs w:val="0"/>
          <w:lang w:val="fr-FR"/>
        </w:rPr>
        <w:t>un indicateur phare de 21 Parties, et un indicateur de composante et</w:t>
      </w:r>
      <w:r w:rsidRPr="00653BF4">
        <w:rPr>
          <w:rFonts w:ascii="Arial" w:hAnsi="Arial" w:cs="Arial"/>
          <w:i w:val="0"/>
          <w:iCs w:val="0"/>
          <w:lang w:val="fr-FR"/>
        </w:rPr>
        <w:t> </w:t>
      </w:r>
      <w:r w:rsidRPr="00653BF4">
        <w:rPr>
          <w:i w:val="0"/>
          <w:iCs w:val="0"/>
          <w:lang w:val="fr-FR"/>
        </w:rPr>
        <w:t>33 indicateurs nationaux de 20 Parties au total.</w:t>
      </w:r>
      <w:bookmarkStart w:id="300" w:name="_Ref235914222"/>
      <w:r w:rsidRPr="00653BF4">
        <w:rPr>
          <w:lang w:val="fr-FR"/>
        </w:rPr>
        <w:t xml:space="preserve"> </w:t>
      </w:r>
      <w:r w:rsidRPr="00653BF4">
        <w:rPr>
          <w:i w:val="0"/>
          <w:iCs w:val="0"/>
          <w:lang w:val="fr-FR"/>
        </w:rPr>
        <w:t xml:space="preserve">Le diagramme circulaire représente la répartition, par région, des Parties ayant communiqué des indicateurs pour la </w:t>
      </w:r>
      <w:r w:rsidR="00E34DC9">
        <w:rPr>
          <w:i w:val="0"/>
          <w:iCs w:val="0"/>
          <w:lang w:val="fr-FR"/>
        </w:rPr>
        <w:t>cible 1</w:t>
      </w:r>
      <w:r w:rsidRPr="00653BF4">
        <w:rPr>
          <w:i w:val="0"/>
          <w:iCs w:val="0"/>
          <w:lang w:val="fr-FR"/>
        </w:rPr>
        <w:t>5.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1279A8" w:rsidRPr="002E46C4" w14:paraId="1B5D250B" w14:textId="77777777" w:rsidTr="009B4355">
        <w:tc>
          <w:tcPr>
            <w:tcW w:w="8861" w:type="dxa"/>
            <w:gridSpan w:val="2"/>
          </w:tcPr>
          <w:p w14:paraId="3A3EEED5" w14:textId="77777777" w:rsidR="001279A8" w:rsidRPr="002E46C4" w:rsidRDefault="001279A8" w:rsidP="009B4355">
            <w:pPr>
              <w:rPr>
                <w:rFonts w:ascii="Aptos" w:hAnsi="Aptos"/>
                <w:lang w:val="fr-FR"/>
              </w:rPr>
            </w:pPr>
            <w:bookmarkStart w:id="301" w:name="_Toc235821235"/>
            <w:bookmarkEnd w:id="299"/>
            <w:bookmarkEnd w:id="300"/>
            <w:r>
              <w:rPr>
                <w:rFonts w:ascii="Aptos" w:hAnsi="Aptos"/>
                <w:lang w:val="fr-FR"/>
              </w:rPr>
              <w:t>Figure 65</w:t>
            </w:r>
          </w:p>
        </w:tc>
      </w:tr>
      <w:tr w:rsidR="001279A8" w:rsidRPr="002E46C4" w14:paraId="542E67AD" w14:textId="77777777" w:rsidTr="009B4355">
        <w:tc>
          <w:tcPr>
            <w:tcW w:w="4188" w:type="dxa"/>
          </w:tcPr>
          <w:p w14:paraId="5F62CB4B" w14:textId="77777777" w:rsidR="001279A8" w:rsidRPr="002E46C4" w:rsidRDefault="001279A8" w:rsidP="009B4355">
            <w:pPr>
              <w:rPr>
                <w:rFonts w:ascii="Aptos" w:hAnsi="Aptos"/>
                <w:lang w:val="fr-FR"/>
              </w:rPr>
            </w:pPr>
            <w:r w:rsidRPr="002E46C4">
              <w:rPr>
                <w:rFonts w:ascii="Aptos" w:hAnsi="Aptos"/>
                <w:lang w:val="fr-FR"/>
              </w:rPr>
              <w:t xml:space="preserve">English </w:t>
            </w:r>
          </w:p>
        </w:tc>
        <w:tc>
          <w:tcPr>
            <w:tcW w:w="4673" w:type="dxa"/>
          </w:tcPr>
          <w:p w14:paraId="6C1DF434" w14:textId="77777777" w:rsidR="001279A8" w:rsidRPr="002E46C4" w:rsidRDefault="001279A8" w:rsidP="009B4355">
            <w:pPr>
              <w:rPr>
                <w:rFonts w:ascii="Aptos" w:hAnsi="Aptos"/>
                <w:lang w:val="fr-FR"/>
              </w:rPr>
            </w:pPr>
            <w:r>
              <w:rPr>
                <w:rFonts w:ascii="Aptos" w:hAnsi="Aptos"/>
                <w:lang w:val="fr-FR"/>
              </w:rPr>
              <w:t>Français</w:t>
            </w:r>
          </w:p>
        </w:tc>
      </w:tr>
      <w:tr w:rsidR="001279A8" w:rsidRPr="006F7AF8" w14:paraId="2C2522FF" w14:textId="77777777" w:rsidTr="009B4355">
        <w:tc>
          <w:tcPr>
            <w:tcW w:w="4188" w:type="dxa"/>
          </w:tcPr>
          <w:p w14:paraId="134C2A32" w14:textId="77777777" w:rsidR="001279A8" w:rsidRPr="006F7AF8" w:rsidRDefault="001279A8" w:rsidP="009B4355">
            <w:pPr>
              <w:rPr>
                <w:rFonts w:ascii="Aptos" w:hAnsi="Aptos"/>
                <w:lang w:val="fr-FR"/>
              </w:rPr>
            </w:pPr>
            <w:r w:rsidRPr="006F7AF8">
              <w:rPr>
                <w:rFonts w:ascii="Aptos" w:hAnsi="Aptos"/>
                <w:lang w:val="fr-FR"/>
              </w:rPr>
              <w:t>Proportion</w:t>
            </w:r>
          </w:p>
        </w:tc>
        <w:tc>
          <w:tcPr>
            <w:tcW w:w="4673" w:type="dxa"/>
          </w:tcPr>
          <w:p w14:paraId="6BFB8B8A" w14:textId="77777777" w:rsidR="001279A8" w:rsidRPr="006F7AF8" w:rsidRDefault="001279A8" w:rsidP="009B4355">
            <w:pPr>
              <w:rPr>
                <w:rFonts w:ascii="Aptos" w:hAnsi="Aptos"/>
                <w:lang w:val="fr-FR"/>
              </w:rPr>
            </w:pPr>
            <w:r w:rsidRPr="006F7AF8">
              <w:rPr>
                <w:rFonts w:ascii="Aptos" w:hAnsi="Aptos"/>
                <w:lang w:val="fr-FR"/>
              </w:rPr>
              <w:t>Proportion</w:t>
            </w:r>
          </w:p>
        </w:tc>
      </w:tr>
      <w:tr w:rsidR="001279A8" w:rsidRPr="006F7AF8" w14:paraId="4B577C30" w14:textId="77777777" w:rsidTr="009B4355">
        <w:tc>
          <w:tcPr>
            <w:tcW w:w="4188" w:type="dxa"/>
          </w:tcPr>
          <w:p w14:paraId="27BC5FD6" w14:textId="77777777" w:rsidR="001279A8" w:rsidRPr="006F7AF8" w:rsidRDefault="001279A8" w:rsidP="009B4355">
            <w:pPr>
              <w:rPr>
                <w:rFonts w:ascii="Aptos" w:hAnsi="Aptos"/>
                <w:lang w:val="fr-FR"/>
              </w:rPr>
            </w:pPr>
            <w:r w:rsidRPr="006F7AF8">
              <w:rPr>
                <w:rFonts w:ascii="Aptos" w:hAnsi="Aptos"/>
                <w:lang w:val="fr-FR"/>
              </w:rPr>
              <w:t>Current Status</w:t>
            </w:r>
          </w:p>
        </w:tc>
        <w:tc>
          <w:tcPr>
            <w:tcW w:w="4673" w:type="dxa"/>
          </w:tcPr>
          <w:p w14:paraId="00B56E5C" w14:textId="77777777" w:rsidR="001279A8" w:rsidRPr="006F7AF8" w:rsidRDefault="001279A8" w:rsidP="009B4355">
            <w:pPr>
              <w:rPr>
                <w:rFonts w:ascii="Aptos" w:hAnsi="Aptos"/>
                <w:lang w:val="fr-FR"/>
              </w:rPr>
            </w:pPr>
            <w:r w:rsidRPr="006F7AF8">
              <w:rPr>
                <w:rFonts w:ascii="Aptos" w:hAnsi="Aptos"/>
                <w:lang w:val="fr-FR"/>
              </w:rPr>
              <w:t>État actuel</w:t>
            </w:r>
          </w:p>
        </w:tc>
      </w:tr>
      <w:tr w:rsidR="001279A8" w:rsidRPr="006F7AF8" w14:paraId="36E6CF99" w14:textId="77777777" w:rsidTr="009B4355">
        <w:tc>
          <w:tcPr>
            <w:tcW w:w="4188" w:type="dxa"/>
          </w:tcPr>
          <w:p w14:paraId="76442330" w14:textId="77777777" w:rsidR="001279A8" w:rsidRPr="006F7AF8" w:rsidRDefault="001279A8" w:rsidP="009B4355">
            <w:pPr>
              <w:rPr>
                <w:rFonts w:ascii="Aptos" w:hAnsi="Aptos"/>
                <w:lang w:val="fr-FR"/>
              </w:rPr>
            </w:pPr>
            <w:r w:rsidRPr="006F7AF8">
              <w:rPr>
                <w:rFonts w:ascii="Aptos" w:hAnsi="Aptos"/>
                <w:lang w:val="fr-FR"/>
              </w:rPr>
              <w:t>improving</w:t>
            </w:r>
          </w:p>
        </w:tc>
        <w:tc>
          <w:tcPr>
            <w:tcW w:w="4673" w:type="dxa"/>
          </w:tcPr>
          <w:p w14:paraId="2F06E75E" w14:textId="77777777" w:rsidR="001279A8" w:rsidRPr="006F7AF8" w:rsidRDefault="001279A8" w:rsidP="009B4355">
            <w:pPr>
              <w:rPr>
                <w:rFonts w:ascii="Aptos" w:hAnsi="Aptos"/>
                <w:lang w:val="fr-FR"/>
              </w:rPr>
            </w:pPr>
            <w:r>
              <w:rPr>
                <w:rFonts w:ascii="Aptos" w:hAnsi="Aptos"/>
                <w:lang w:val="fr-FR"/>
              </w:rPr>
              <w:t>amélioration</w:t>
            </w:r>
          </w:p>
        </w:tc>
      </w:tr>
      <w:tr w:rsidR="001279A8" w:rsidRPr="006F7AF8" w14:paraId="28FC8BB9" w14:textId="77777777" w:rsidTr="009B4355">
        <w:tc>
          <w:tcPr>
            <w:tcW w:w="4188" w:type="dxa"/>
          </w:tcPr>
          <w:p w14:paraId="4FB7013D" w14:textId="77777777" w:rsidR="001279A8" w:rsidRPr="006F7AF8" w:rsidRDefault="001279A8" w:rsidP="009B4355">
            <w:pPr>
              <w:rPr>
                <w:rFonts w:ascii="Aptos" w:hAnsi="Aptos"/>
                <w:lang w:val="fr-FR"/>
              </w:rPr>
            </w:pPr>
            <w:r w:rsidRPr="006F7AF8">
              <w:rPr>
                <w:rFonts w:ascii="Aptos" w:hAnsi="Aptos"/>
                <w:lang w:val="fr-FR"/>
              </w:rPr>
              <w:t>stable</w:t>
            </w:r>
          </w:p>
        </w:tc>
        <w:tc>
          <w:tcPr>
            <w:tcW w:w="4673" w:type="dxa"/>
          </w:tcPr>
          <w:p w14:paraId="3AB76723" w14:textId="77777777" w:rsidR="001279A8" w:rsidRPr="006F7AF8" w:rsidRDefault="001279A8"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1279A8" w:rsidRPr="006F7AF8" w14:paraId="676AE39F" w14:textId="77777777" w:rsidTr="009B4355">
        <w:tc>
          <w:tcPr>
            <w:tcW w:w="4188" w:type="dxa"/>
          </w:tcPr>
          <w:p w14:paraId="7B890228" w14:textId="77777777" w:rsidR="001279A8" w:rsidRPr="006F7AF8" w:rsidRDefault="001279A8" w:rsidP="009B4355">
            <w:pPr>
              <w:rPr>
                <w:rFonts w:ascii="Aptos" w:hAnsi="Aptos"/>
                <w:lang w:val="fr-FR"/>
              </w:rPr>
            </w:pPr>
            <w:r w:rsidRPr="006F7AF8">
              <w:rPr>
                <w:rFonts w:ascii="Aptos" w:hAnsi="Aptos"/>
                <w:lang w:val="fr-FR"/>
              </w:rPr>
              <w:t>moving away</w:t>
            </w:r>
          </w:p>
        </w:tc>
        <w:tc>
          <w:tcPr>
            <w:tcW w:w="4673" w:type="dxa"/>
          </w:tcPr>
          <w:p w14:paraId="5224C373" w14:textId="77777777" w:rsidR="001279A8" w:rsidRPr="006F7AF8" w:rsidRDefault="001279A8" w:rsidP="009B4355">
            <w:pPr>
              <w:rPr>
                <w:rFonts w:ascii="Aptos" w:hAnsi="Aptos"/>
                <w:lang w:val="fr-FR"/>
              </w:rPr>
            </w:pPr>
            <w:r>
              <w:rPr>
                <w:rFonts w:ascii="Aptos" w:hAnsi="Aptos"/>
                <w:lang w:val="fr-FR"/>
              </w:rPr>
              <w:t>éloignement</w:t>
            </w:r>
          </w:p>
        </w:tc>
      </w:tr>
      <w:tr w:rsidR="001279A8" w:rsidRPr="006F7AF8" w14:paraId="4693B25B" w14:textId="77777777" w:rsidTr="009B4355">
        <w:tc>
          <w:tcPr>
            <w:tcW w:w="4188" w:type="dxa"/>
          </w:tcPr>
          <w:p w14:paraId="0AAB4A98" w14:textId="77777777" w:rsidR="001279A8" w:rsidRPr="006F7AF8" w:rsidRDefault="001279A8" w:rsidP="009B4355">
            <w:pPr>
              <w:rPr>
                <w:rFonts w:ascii="Aptos" w:hAnsi="Aptos"/>
                <w:lang w:val="fr-FR"/>
              </w:rPr>
            </w:pPr>
            <w:r w:rsidRPr="006F7AF8">
              <w:rPr>
                <w:rFonts w:ascii="Aptos" w:hAnsi="Aptos"/>
                <w:lang w:val="fr-FR"/>
              </w:rPr>
              <w:t>Party count: 35</w:t>
            </w:r>
          </w:p>
        </w:tc>
        <w:tc>
          <w:tcPr>
            <w:tcW w:w="4673" w:type="dxa"/>
          </w:tcPr>
          <w:p w14:paraId="6859580C" w14:textId="77777777" w:rsidR="001279A8" w:rsidRPr="006F7AF8" w:rsidRDefault="001279A8" w:rsidP="009B4355">
            <w:pPr>
              <w:rPr>
                <w:rFonts w:ascii="Aptos" w:hAnsi="Aptos"/>
                <w:lang w:val="fr-FR"/>
              </w:rPr>
            </w:pPr>
            <w:r w:rsidRPr="006F7AF8">
              <w:rPr>
                <w:rFonts w:ascii="Aptos" w:hAnsi="Aptos"/>
                <w:lang w:val="fr-FR"/>
              </w:rPr>
              <w:t>Nombre de Parties : 35</w:t>
            </w:r>
          </w:p>
        </w:tc>
      </w:tr>
      <w:tr w:rsidR="001279A8" w:rsidRPr="006F7AF8" w14:paraId="49E07124" w14:textId="77777777" w:rsidTr="009B4355">
        <w:tc>
          <w:tcPr>
            <w:tcW w:w="4188" w:type="dxa"/>
          </w:tcPr>
          <w:p w14:paraId="2B2E196A"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2291AE82"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2A13D4C7" w14:textId="77777777" w:rsidTr="009B4355">
        <w:tc>
          <w:tcPr>
            <w:tcW w:w="4188" w:type="dxa"/>
          </w:tcPr>
          <w:p w14:paraId="42614998"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29512C0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4587B777" w14:textId="77777777" w:rsidTr="009B4355">
        <w:tc>
          <w:tcPr>
            <w:tcW w:w="4188" w:type="dxa"/>
          </w:tcPr>
          <w:p w14:paraId="55D698E7"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4673" w:type="dxa"/>
          </w:tcPr>
          <w:p w14:paraId="24B4C21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2BBCF77D" w14:textId="77777777" w:rsidTr="009B4355">
        <w:tc>
          <w:tcPr>
            <w:tcW w:w="4188" w:type="dxa"/>
          </w:tcPr>
          <w:p w14:paraId="02961D69"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53F2FC11"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2670F0EA" w14:textId="77777777" w:rsidTr="009B4355">
        <w:tc>
          <w:tcPr>
            <w:tcW w:w="4188" w:type="dxa"/>
          </w:tcPr>
          <w:p w14:paraId="0B6F42B1"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465E3054"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4D8AF230" w14:textId="77777777" w:rsidTr="009B4355">
        <w:tc>
          <w:tcPr>
            <w:tcW w:w="4188" w:type="dxa"/>
          </w:tcPr>
          <w:p w14:paraId="55D71826"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3" w:type="dxa"/>
          </w:tcPr>
          <w:p w14:paraId="37C64D29"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69343238" w14:textId="77777777" w:rsidR="00B87039" w:rsidRPr="00653BF4" w:rsidRDefault="00B87039" w:rsidP="00B87039">
      <w:pPr>
        <w:pStyle w:val="Heading5"/>
        <w:rPr>
          <w:lang w:val="fr-FR"/>
        </w:rPr>
      </w:pPr>
    </w:p>
    <w:p w14:paraId="12776B2F" w14:textId="547474BA" w:rsidR="00B87039" w:rsidRPr="00653BF4" w:rsidRDefault="00B87039" w:rsidP="00B87039">
      <w:pPr>
        <w:pStyle w:val="Heading5"/>
        <w:rPr>
          <w:lang w:val="fr-FR"/>
        </w:rPr>
      </w:pPr>
      <w:r w:rsidRPr="00653BF4">
        <w:rPr>
          <w:lang w:val="fr-FR"/>
        </w:rPr>
        <w:t>Auto-évaluation des progrès accomplis</w:t>
      </w:r>
      <w:bookmarkEnd w:id="301"/>
    </w:p>
    <w:p w14:paraId="0A579F94" w14:textId="77777777" w:rsidR="00B87039" w:rsidRPr="00653BF4" w:rsidRDefault="00B87039" w:rsidP="00B87039">
      <w:pPr>
        <w:rPr>
          <w:rStyle w:val="normaltextrun"/>
          <w:lang w:val="fr-FR"/>
        </w:rPr>
      </w:pPr>
    </w:p>
    <w:p w14:paraId="5E919867" w14:textId="7A4CD0D2" w:rsidR="00B87039" w:rsidRPr="00653BF4" w:rsidRDefault="00B87039" w:rsidP="00B87039">
      <w:pPr>
        <w:rPr>
          <w:rStyle w:val="normaltextrun"/>
          <w:lang w:val="fr-FR"/>
        </w:rPr>
      </w:pPr>
      <w:r w:rsidRPr="00653BF4">
        <w:rPr>
          <w:rStyle w:val="normaltextrun"/>
          <w:lang w:val="fr-FR"/>
        </w:rPr>
        <w:t>D</w:t>
      </w:r>
      <w:r w:rsidR="00D77549">
        <w:rPr>
          <w:rStyle w:val="normaltextrun"/>
          <w:lang w:val="fr-FR"/>
        </w:rPr>
        <w:t>’</w:t>
      </w:r>
      <w:r w:rsidRPr="00653BF4">
        <w:rPr>
          <w:rStyle w:val="normaltextrun"/>
          <w:lang w:val="fr-FR"/>
        </w:rPr>
        <w:t>après les auto-évaluations des Parties figurant dans leurs rapports nationaux, 30</w:t>
      </w:r>
      <w:r w:rsidR="002878D7">
        <w:rPr>
          <w:rStyle w:val="normaltextrun"/>
          <w:lang w:val="fr-FR"/>
        </w:rPr>
        <w:t> %</w:t>
      </w:r>
      <w:r w:rsidRPr="00653BF4">
        <w:rPr>
          <w:rStyle w:val="normaltextrun"/>
          <w:lang w:val="fr-FR"/>
        </w:rPr>
        <w:t xml:space="preserve"> seulement des cibles nationales qu</w:t>
      </w:r>
      <w:r w:rsidR="00D77549">
        <w:rPr>
          <w:rStyle w:val="normaltextrun"/>
          <w:lang w:val="fr-FR"/>
        </w:rPr>
        <w:t>’</w:t>
      </w:r>
      <w:r w:rsidRPr="00653BF4">
        <w:rPr>
          <w:rStyle w:val="normaltextrun"/>
          <w:lang w:val="fr-FR"/>
        </w:rPr>
        <w:t xml:space="preserve">elles ont présentées comme étroitement alignées sur la </w:t>
      </w:r>
      <w:r w:rsidR="00E34DC9">
        <w:rPr>
          <w:rStyle w:val="normaltextrun"/>
          <w:lang w:val="fr-FR"/>
        </w:rPr>
        <w:t>cible 1</w:t>
      </w:r>
      <w:r w:rsidRPr="00653BF4">
        <w:rPr>
          <w:rStyle w:val="normaltextrun"/>
          <w:lang w:val="fr-FR"/>
        </w:rPr>
        <w:t>5 sont en voie d</w:t>
      </w:r>
      <w:r w:rsidR="00D77549">
        <w:rPr>
          <w:rStyle w:val="normaltextrun"/>
          <w:lang w:val="fr-FR"/>
        </w:rPr>
        <w:t>’</w:t>
      </w:r>
      <w:r w:rsidRPr="00653BF4">
        <w:rPr>
          <w:rStyle w:val="normaltextrun"/>
          <w:lang w:val="fr-FR"/>
        </w:rPr>
        <w:t>être atteintes. Plus du double de ce pourcentage (66</w:t>
      </w:r>
      <w:r w:rsidR="002878D7">
        <w:rPr>
          <w:rStyle w:val="normaltextrun"/>
          <w:lang w:val="fr-FR"/>
        </w:rPr>
        <w:t> %</w:t>
      </w:r>
      <w:r w:rsidRPr="00653BF4">
        <w:rPr>
          <w:rStyle w:val="normaltextrun"/>
          <w:lang w:val="fr-FR"/>
        </w:rPr>
        <w:t>) ne présente aucun changement significatif ou fait état de progrès insuffisants, et seuls trois cibles nationales (1</w:t>
      </w:r>
      <w:r w:rsidR="002878D7">
        <w:rPr>
          <w:rStyle w:val="normaltextrun"/>
          <w:lang w:val="fr-FR"/>
        </w:rPr>
        <w:t> %</w:t>
      </w:r>
      <w:r w:rsidRPr="00653BF4">
        <w:rPr>
          <w:rStyle w:val="normaltextrun"/>
          <w:lang w:val="fr-FR"/>
        </w:rPr>
        <w:t>) sont considérées comme déjà atteintes (voir la figure 66).</w:t>
      </w:r>
    </w:p>
    <w:p w14:paraId="129084A2" w14:textId="77777777" w:rsidR="00B87039" w:rsidRPr="00653BF4" w:rsidRDefault="00B87039" w:rsidP="00B87039">
      <w:pPr>
        <w:rPr>
          <w:rStyle w:val="normaltextrun"/>
          <w:lang w:val="fr-FR"/>
        </w:rPr>
      </w:pPr>
    </w:p>
    <w:p w14:paraId="4D3CECD4" w14:textId="77777777" w:rsidR="00B87039" w:rsidRPr="00653BF4" w:rsidRDefault="00B87039" w:rsidP="00B87039">
      <w:pPr>
        <w:rPr>
          <w:sz w:val="20"/>
          <w:szCs w:val="20"/>
          <w:lang w:val="fr-FR"/>
        </w:rPr>
      </w:pPr>
      <w:r w:rsidRPr="00653BF4">
        <w:rPr>
          <w:sz w:val="20"/>
          <w:szCs w:val="20"/>
          <w:lang w:val="fr-FR"/>
        </w:rPr>
        <w:t>Figure 66</w:t>
      </w:r>
    </w:p>
    <w:p w14:paraId="355660C6" w14:textId="1B0A8EED" w:rsidR="00B87039" w:rsidRPr="00653BF4"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1</w:t>
      </w:r>
      <w:r w:rsidRPr="00653BF4">
        <w:rPr>
          <w:b/>
          <w:bCs/>
          <w:i w:val="0"/>
          <w:iCs w:val="0"/>
          <w:sz w:val="20"/>
          <w:szCs w:val="20"/>
          <w:lang w:val="fr-FR"/>
        </w:rPr>
        <w:t>5 du Cadre</w:t>
      </w:r>
    </w:p>
    <w:p w14:paraId="0FD53F30" w14:textId="21AFD653" w:rsidR="00B87039" w:rsidRPr="00653BF4" w:rsidRDefault="00B87039" w:rsidP="00B87039">
      <w:pPr>
        <w:rPr>
          <w:lang w:val="fr-FR"/>
        </w:rPr>
      </w:pPr>
      <w:r w:rsidRPr="00653BF4">
        <w:rPr>
          <w:rStyle w:val="eop"/>
          <w:lang w:val="fr-FR"/>
        </w:rPr>
        <w:t xml:space="preserve"> </w:t>
      </w:r>
      <w:r w:rsidRPr="00653BF4">
        <w:rPr>
          <w:rFonts w:eastAsia="Aptos" w:cs="Aptos"/>
          <w:noProof/>
          <w:lang w:val="fr-FR"/>
        </w:rPr>
        <w:drawing>
          <wp:inline distT="0" distB="0" distL="0" distR="0" wp14:anchorId="21195717" wp14:editId="642ED523">
            <wp:extent cx="5731510" cy="2292350"/>
            <wp:effectExtent l="0" t="0" r="0" b="6350"/>
            <wp:docPr id="1062121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21920" name="Picture 1062121920"/>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02E5D9E6" w14:textId="42D6F9B3"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lang w:val="fr-FR"/>
        </w:rPr>
        <w:t xml:space="preserve"> </w:t>
      </w:r>
      <w:r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9463" w:type="dxa"/>
        <w:tblLook w:val="04A0" w:firstRow="1" w:lastRow="0" w:firstColumn="1" w:lastColumn="0" w:noHBand="0" w:noVBand="1"/>
      </w:tblPr>
      <w:tblGrid>
        <w:gridCol w:w="4390"/>
        <w:gridCol w:w="5073"/>
      </w:tblGrid>
      <w:tr w:rsidR="001279A8" w:rsidRPr="006F7AF8" w14:paraId="1394BC0B" w14:textId="77777777" w:rsidTr="009B4355">
        <w:tc>
          <w:tcPr>
            <w:tcW w:w="9463" w:type="dxa"/>
            <w:gridSpan w:val="2"/>
          </w:tcPr>
          <w:p w14:paraId="7A727238" w14:textId="77777777" w:rsidR="001279A8" w:rsidRPr="00F16818" w:rsidRDefault="001279A8" w:rsidP="009B4355">
            <w:pPr>
              <w:rPr>
                <w:rFonts w:ascii="Aptos" w:hAnsi="Aptos"/>
                <w:lang w:val="fr-FR"/>
              </w:rPr>
            </w:pPr>
            <w:r>
              <w:rPr>
                <w:rFonts w:ascii="Aptos" w:hAnsi="Aptos"/>
                <w:lang w:val="fr-FR"/>
              </w:rPr>
              <w:t>Figure 66</w:t>
            </w:r>
          </w:p>
        </w:tc>
      </w:tr>
      <w:tr w:rsidR="001279A8" w:rsidRPr="006F7AF8" w14:paraId="18354241" w14:textId="77777777" w:rsidTr="009B4355">
        <w:tc>
          <w:tcPr>
            <w:tcW w:w="4390" w:type="dxa"/>
          </w:tcPr>
          <w:p w14:paraId="4BFEA279" w14:textId="77777777" w:rsidR="001279A8" w:rsidRPr="00F16818" w:rsidRDefault="001279A8" w:rsidP="009B4355">
            <w:pPr>
              <w:rPr>
                <w:rFonts w:ascii="Aptos" w:hAnsi="Aptos"/>
                <w:lang w:val="fr-FR"/>
              </w:rPr>
            </w:pPr>
            <w:r w:rsidRPr="00F16818">
              <w:rPr>
                <w:rFonts w:ascii="Aptos" w:hAnsi="Aptos"/>
                <w:lang w:val="fr-FR"/>
              </w:rPr>
              <w:t xml:space="preserve">English </w:t>
            </w:r>
          </w:p>
        </w:tc>
        <w:tc>
          <w:tcPr>
            <w:tcW w:w="5073" w:type="dxa"/>
          </w:tcPr>
          <w:p w14:paraId="02ABE9CE" w14:textId="77777777" w:rsidR="001279A8" w:rsidRPr="00F16818" w:rsidRDefault="001279A8" w:rsidP="009B4355">
            <w:pPr>
              <w:rPr>
                <w:rFonts w:ascii="Aptos" w:hAnsi="Aptos"/>
                <w:lang w:val="fr-FR"/>
              </w:rPr>
            </w:pPr>
            <w:r>
              <w:rPr>
                <w:rFonts w:ascii="Aptos" w:hAnsi="Aptos"/>
                <w:lang w:val="fr-FR"/>
              </w:rPr>
              <w:t>Français</w:t>
            </w:r>
          </w:p>
        </w:tc>
      </w:tr>
      <w:tr w:rsidR="001279A8" w:rsidRPr="006F7AF8" w14:paraId="1E560611" w14:textId="77777777" w:rsidTr="009B4355">
        <w:tc>
          <w:tcPr>
            <w:tcW w:w="4390" w:type="dxa"/>
          </w:tcPr>
          <w:p w14:paraId="4E3B76DB" w14:textId="77777777" w:rsidR="001279A8" w:rsidRPr="006F7AF8" w:rsidRDefault="001279A8" w:rsidP="009B4355">
            <w:pPr>
              <w:rPr>
                <w:rFonts w:ascii="Aptos" w:hAnsi="Aptos"/>
                <w:lang w:val="fr-FR"/>
              </w:rPr>
            </w:pPr>
            <w:r w:rsidRPr="006F7AF8">
              <w:rPr>
                <w:rFonts w:ascii="Aptos" w:hAnsi="Aptos"/>
                <w:lang w:val="fr-FR"/>
              </w:rPr>
              <w:t>Percentage of national targets</w:t>
            </w:r>
          </w:p>
        </w:tc>
        <w:tc>
          <w:tcPr>
            <w:tcW w:w="5073" w:type="dxa"/>
          </w:tcPr>
          <w:p w14:paraId="5A4B85BA" w14:textId="77777777" w:rsidR="001279A8" w:rsidRPr="006F7AF8" w:rsidRDefault="001279A8" w:rsidP="009B4355">
            <w:pPr>
              <w:rPr>
                <w:rFonts w:ascii="Aptos" w:hAnsi="Aptos"/>
                <w:lang w:val="fr-FR"/>
              </w:rPr>
            </w:pPr>
            <w:r>
              <w:t>Pourcentage de cibles nationales</w:t>
            </w:r>
          </w:p>
        </w:tc>
      </w:tr>
      <w:tr w:rsidR="001279A8" w:rsidRPr="006F7AF8" w14:paraId="673E4BE3" w14:textId="77777777" w:rsidTr="009B4355">
        <w:tc>
          <w:tcPr>
            <w:tcW w:w="4390" w:type="dxa"/>
          </w:tcPr>
          <w:p w14:paraId="65337751" w14:textId="77777777" w:rsidR="001279A8" w:rsidRPr="006F7AF8" w:rsidRDefault="001279A8" w:rsidP="009B4355">
            <w:pPr>
              <w:rPr>
                <w:rFonts w:ascii="Aptos" w:hAnsi="Aptos"/>
                <w:lang w:val="fr-FR"/>
              </w:rPr>
            </w:pPr>
            <w:r w:rsidRPr="006F7AF8">
              <w:rPr>
                <w:rFonts w:ascii="Aptos" w:hAnsi="Aptos"/>
                <w:lang w:val="fr-FR"/>
              </w:rPr>
              <w:t>Progress level</w:t>
            </w:r>
          </w:p>
        </w:tc>
        <w:tc>
          <w:tcPr>
            <w:tcW w:w="5073" w:type="dxa"/>
          </w:tcPr>
          <w:p w14:paraId="027540A9" w14:textId="77777777" w:rsidR="001279A8" w:rsidRPr="006F7AF8" w:rsidRDefault="001279A8" w:rsidP="009B4355">
            <w:pPr>
              <w:rPr>
                <w:rFonts w:ascii="Aptos" w:hAnsi="Aptos"/>
                <w:lang w:val="fr-FR"/>
              </w:rPr>
            </w:pPr>
            <w:r>
              <w:t>État d’avancement</w:t>
            </w:r>
          </w:p>
        </w:tc>
      </w:tr>
      <w:tr w:rsidR="001279A8" w:rsidRPr="006F7AF8" w14:paraId="3FFB4BD7" w14:textId="77777777" w:rsidTr="009B4355">
        <w:tc>
          <w:tcPr>
            <w:tcW w:w="4390" w:type="dxa"/>
          </w:tcPr>
          <w:p w14:paraId="5BF24205" w14:textId="77777777" w:rsidR="001279A8" w:rsidRPr="006F7AF8" w:rsidRDefault="001279A8" w:rsidP="009B4355">
            <w:pPr>
              <w:rPr>
                <w:rFonts w:ascii="Aptos" w:hAnsi="Aptos"/>
                <w:lang w:val="fr-FR"/>
              </w:rPr>
            </w:pPr>
            <w:r w:rsidRPr="006F7AF8">
              <w:rPr>
                <w:rFonts w:ascii="Aptos" w:hAnsi="Aptos"/>
                <w:lang w:val="fr-FR"/>
              </w:rPr>
              <w:t>Achieved</w:t>
            </w:r>
          </w:p>
        </w:tc>
        <w:tc>
          <w:tcPr>
            <w:tcW w:w="5073" w:type="dxa"/>
          </w:tcPr>
          <w:p w14:paraId="77DBA2A3" w14:textId="77777777" w:rsidR="001279A8" w:rsidRPr="006F7AF8" w:rsidRDefault="001279A8" w:rsidP="009B4355">
            <w:pPr>
              <w:rPr>
                <w:rFonts w:ascii="Aptos" w:hAnsi="Aptos"/>
                <w:lang w:val="fr-FR"/>
              </w:rPr>
            </w:pPr>
            <w:r w:rsidRPr="006F7AF8">
              <w:rPr>
                <w:rFonts w:ascii="Aptos" w:hAnsi="Aptos"/>
                <w:lang w:val="fr-FR"/>
              </w:rPr>
              <w:t>Cible atteinte</w:t>
            </w:r>
          </w:p>
        </w:tc>
      </w:tr>
      <w:tr w:rsidR="001279A8" w:rsidRPr="006F7AF8" w14:paraId="6635886F" w14:textId="77777777" w:rsidTr="009B4355">
        <w:tc>
          <w:tcPr>
            <w:tcW w:w="4390" w:type="dxa"/>
          </w:tcPr>
          <w:p w14:paraId="26993E10" w14:textId="77777777" w:rsidR="001279A8" w:rsidRPr="006F7AF8" w:rsidRDefault="001279A8" w:rsidP="009B4355">
            <w:pPr>
              <w:rPr>
                <w:rFonts w:ascii="Aptos" w:hAnsi="Aptos"/>
                <w:lang w:val="fr-FR"/>
              </w:rPr>
            </w:pPr>
            <w:r w:rsidRPr="006F7AF8">
              <w:rPr>
                <w:rFonts w:ascii="Aptos" w:hAnsi="Aptos"/>
                <w:lang w:val="fr-FR"/>
              </w:rPr>
              <w:t>On track to achieve target</w:t>
            </w:r>
          </w:p>
        </w:tc>
        <w:tc>
          <w:tcPr>
            <w:tcW w:w="5073" w:type="dxa"/>
          </w:tcPr>
          <w:p w14:paraId="5FEEC62D" w14:textId="77777777" w:rsidR="001279A8" w:rsidRPr="006F7AF8" w:rsidRDefault="001279A8" w:rsidP="009B4355">
            <w:pPr>
              <w:rPr>
                <w:rFonts w:ascii="Aptos" w:hAnsi="Aptos"/>
                <w:lang w:val="fr-FR"/>
              </w:rPr>
            </w:pPr>
            <w:r w:rsidRPr="006F7AF8">
              <w:rPr>
                <w:rFonts w:ascii="Aptos" w:hAnsi="Aptos"/>
                <w:lang w:val="fr-FR"/>
              </w:rPr>
              <w:t>En voie d</w:t>
            </w:r>
            <w:r>
              <w:rPr>
                <w:rFonts w:ascii="Aptos" w:hAnsi="Aptos"/>
                <w:lang w:val="fr-FR"/>
              </w:rPr>
              <w:t>’</w:t>
            </w:r>
            <w:r w:rsidRPr="006F7AF8">
              <w:rPr>
                <w:rFonts w:ascii="Aptos" w:hAnsi="Aptos"/>
                <w:lang w:val="fr-FR"/>
              </w:rPr>
              <w:t>atteindre la cible</w:t>
            </w:r>
          </w:p>
        </w:tc>
      </w:tr>
      <w:tr w:rsidR="001279A8" w:rsidRPr="006F7AF8" w14:paraId="628FC09E" w14:textId="77777777" w:rsidTr="009B4355">
        <w:tc>
          <w:tcPr>
            <w:tcW w:w="4390" w:type="dxa"/>
          </w:tcPr>
          <w:p w14:paraId="2EBFED3B" w14:textId="77777777" w:rsidR="001279A8" w:rsidRPr="006F7AF8" w:rsidRDefault="001279A8" w:rsidP="009B4355">
            <w:pPr>
              <w:rPr>
                <w:rFonts w:ascii="Aptos" w:hAnsi="Aptos"/>
                <w:lang w:val="fr-FR"/>
              </w:rPr>
            </w:pPr>
            <w:r w:rsidRPr="006F7AF8">
              <w:rPr>
                <w:rFonts w:ascii="Aptos" w:hAnsi="Aptos"/>
                <w:lang w:val="fr-FR"/>
              </w:rPr>
              <w:t>Progress towards target but at an insufficient rate</w:t>
            </w:r>
          </w:p>
        </w:tc>
        <w:tc>
          <w:tcPr>
            <w:tcW w:w="5073" w:type="dxa"/>
          </w:tcPr>
          <w:p w14:paraId="13FCC149" w14:textId="77777777" w:rsidR="001279A8" w:rsidRPr="006F7AF8" w:rsidRDefault="001279A8" w:rsidP="009B4355">
            <w:pPr>
              <w:rPr>
                <w:rFonts w:ascii="Aptos" w:hAnsi="Aptos"/>
                <w:lang w:val="fr-FR"/>
              </w:rPr>
            </w:pPr>
            <w:r w:rsidRPr="006F7AF8">
              <w:rPr>
                <w:rFonts w:ascii="Aptos" w:hAnsi="Aptos"/>
                <w:lang w:val="fr-FR"/>
              </w:rPr>
              <w:t>Progrès accomplis, mais à un rythme insuffisant</w:t>
            </w:r>
          </w:p>
        </w:tc>
      </w:tr>
      <w:tr w:rsidR="001279A8" w:rsidRPr="006F7AF8" w14:paraId="0772A792" w14:textId="77777777" w:rsidTr="009B4355">
        <w:tc>
          <w:tcPr>
            <w:tcW w:w="4390" w:type="dxa"/>
          </w:tcPr>
          <w:p w14:paraId="3FDD68F5" w14:textId="77777777" w:rsidR="001279A8" w:rsidRPr="006F7AF8" w:rsidRDefault="001279A8" w:rsidP="009B4355">
            <w:pPr>
              <w:rPr>
                <w:rFonts w:ascii="Aptos" w:hAnsi="Aptos"/>
                <w:lang w:val="fr-FR"/>
              </w:rPr>
            </w:pPr>
            <w:r w:rsidRPr="006F7AF8">
              <w:rPr>
                <w:rFonts w:ascii="Aptos" w:hAnsi="Aptos"/>
                <w:lang w:val="fr-FR"/>
              </w:rPr>
              <w:t>No significant change</w:t>
            </w:r>
          </w:p>
        </w:tc>
        <w:tc>
          <w:tcPr>
            <w:tcW w:w="5073" w:type="dxa"/>
          </w:tcPr>
          <w:p w14:paraId="2C1046A3" w14:textId="77777777" w:rsidR="001279A8" w:rsidRPr="006F7AF8" w:rsidRDefault="001279A8" w:rsidP="009B4355">
            <w:pPr>
              <w:rPr>
                <w:rFonts w:ascii="Aptos" w:hAnsi="Aptos"/>
                <w:lang w:val="fr-FR"/>
              </w:rPr>
            </w:pPr>
            <w:r w:rsidRPr="006F7AF8">
              <w:rPr>
                <w:rFonts w:ascii="Aptos" w:hAnsi="Aptos"/>
                <w:lang w:val="fr-FR"/>
              </w:rPr>
              <w:t>Pas de changement notable</w:t>
            </w:r>
          </w:p>
        </w:tc>
      </w:tr>
      <w:tr w:rsidR="001279A8" w:rsidRPr="006F7AF8" w14:paraId="29BF5061" w14:textId="77777777" w:rsidTr="009B4355">
        <w:tc>
          <w:tcPr>
            <w:tcW w:w="4390" w:type="dxa"/>
          </w:tcPr>
          <w:p w14:paraId="54934309" w14:textId="77777777" w:rsidR="001279A8" w:rsidRPr="006F7AF8" w:rsidRDefault="001279A8" w:rsidP="009B4355">
            <w:pPr>
              <w:rPr>
                <w:rFonts w:ascii="Aptos" w:hAnsi="Aptos"/>
                <w:lang w:val="fr-FR"/>
              </w:rPr>
            </w:pPr>
            <w:r w:rsidRPr="006F7AF8">
              <w:rPr>
                <w:rFonts w:ascii="Aptos" w:hAnsi="Aptos"/>
                <w:lang w:val="fr-FR"/>
              </w:rPr>
              <w:t>Unknown</w:t>
            </w:r>
          </w:p>
        </w:tc>
        <w:tc>
          <w:tcPr>
            <w:tcW w:w="5073" w:type="dxa"/>
          </w:tcPr>
          <w:p w14:paraId="307F968C" w14:textId="77777777" w:rsidR="001279A8" w:rsidRPr="006F7AF8" w:rsidRDefault="001279A8" w:rsidP="009B4355">
            <w:pPr>
              <w:rPr>
                <w:rFonts w:ascii="Aptos" w:hAnsi="Aptos"/>
                <w:lang w:val="fr-FR"/>
              </w:rPr>
            </w:pPr>
            <w:r w:rsidRPr="006F7AF8">
              <w:rPr>
                <w:rFonts w:ascii="Aptos" w:hAnsi="Aptos"/>
                <w:lang w:val="fr-FR"/>
              </w:rPr>
              <w:t>Inconnu</w:t>
            </w:r>
          </w:p>
        </w:tc>
      </w:tr>
      <w:tr w:rsidR="001279A8" w:rsidRPr="006F7AF8" w14:paraId="46D0FACF" w14:textId="77777777" w:rsidTr="009B4355">
        <w:tc>
          <w:tcPr>
            <w:tcW w:w="4390" w:type="dxa"/>
          </w:tcPr>
          <w:p w14:paraId="2B7B52B6" w14:textId="77777777" w:rsidR="001279A8" w:rsidRPr="006F7AF8" w:rsidRDefault="001279A8" w:rsidP="009B4355">
            <w:pPr>
              <w:rPr>
                <w:rFonts w:ascii="Aptos" w:hAnsi="Aptos"/>
                <w:lang w:val="fr-FR"/>
              </w:rPr>
            </w:pPr>
            <w:r w:rsidRPr="006F7AF8">
              <w:rPr>
                <w:rFonts w:ascii="Aptos" w:hAnsi="Aptos"/>
                <w:lang w:val="fr-FR"/>
              </w:rPr>
              <w:t>Party count: 71</w:t>
            </w:r>
          </w:p>
        </w:tc>
        <w:tc>
          <w:tcPr>
            <w:tcW w:w="5073" w:type="dxa"/>
          </w:tcPr>
          <w:p w14:paraId="3520CFCF" w14:textId="77777777" w:rsidR="001279A8" w:rsidRPr="006F7AF8" w:rsidRDefault="001279A8" w:rsidP="009B4355">
            <w:pPr>
              <w:rPr>
                <w:rFonts w:ascii="Aptos" w:hAnsi="Aptos"/>
                <w:lang w:val="fr-FR"/>
              </w:rPr>
            </w:pPr>
            <w:r w:rsidRPr="006F7AF8">
              <w:rPr>
                <w:rFonts w:ascii="Aptos" w:hAnsi="Aptos"/>
                <w:lang w:val="fr-FR"/>
              </w:rPr>
              <w:t>Nombre de Parties : 71</w:t>
            </w:r>
          </w:p>
        </w:tc>
      </w:tr>
      <w:tr w:rsidR="001279A8" w:rsidRPr="006F7AF8" w14:paraId="662F46F0" w14:textId="77777777" w:rsidTr="009B4355">
        <w:tc>
          <w:tcPr>
            <w:tcW w:w="4390" w:type="dxa"/>
          </w:tcPr>
          <w:p w14:paraId="5A32C365" w14:textId="77777777" w:rsidR="001279A8" w:rsidRPr="006F7AF8" w:rsidRDefault="001279A8" w:rsidP="009B4355">
            <w:pPr>
              <w:rPr>
                <w:rFonts w:ascii="Aptos" w:hAnsi="Aptos"/>
                <w:lang w:val="fr-FR"/>
              </w:rPr>
            </w:pPr>
            <w:r w:rsidRPr="006F7AF8">
              <w:rPr>
                <w:rFonts w:ascii="Aptos" w:hAnsi="Aptos"/>
                <w:lang w:val="fr-FR"/>
              </w:rPr>
              <w:t>Region</w:t>
            </w:r>
          </w:p>
        </w:tc>
        <w:tc>
          <w:tcPr>
            <w:tcW w:w="5073" w:type="dxa"/>
          </w:tcPr>
          <w:p w14:paraId="687EDE9E"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40F73B57" w14:textId="77777777" w:rsidTr="009B4355">
        <w:tc>
          <w:tcPr>
            <w:tcW w:w="4390" w:type="dxa"/>
          </w:tcPr>
          <w:p w14:paraId="3EC14279" w14:textId="77777777" w:rsidR="001279A8" w:rsidRPr="006F7AF8" w:rsidRDefault="001279A8" w:rsidP="009B4355">
            <w:pPr>
              <w:rPr>
                <w:rFonts w:ascii="Aptos" w:hAnsi="Aptos"/>
                <w:lang w:val="fr-FR"/>
              </w:rPr>
            </w:pPr>
            <w:r w:rsidRPr="006F7AF8">
              <w:rPr>
                <w:rFonts w:ascii="Aptos" w:hAnsi="Aptos"/>
                <w:lang w:val="fr-FR"/>
              </w:rPr>
              <w:t>African States</w:t>
            </w:r>
          </w:p>
        </w:tc>
        <w:tc>
          <w:tcPr>
            <w:tcW w:w="5073" w:type="dxa"/>
          </w:tcPr>
          <w:p w14:paraId="171FFB45"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00AE7830" w14:textId="77777777" w:rsidTr="009B4355">
        <w:tc>
          <w:tcPr>
            <w:tcW w:w="4390" w:type="dxa"/>
          </w:tcPr>
          <w:p w14:paraId="67AC5810"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5073" w:type="dxa"/>
          </w:tcPr>
          <w:p w14:paraId="59BB4763"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15E1A5FE" w14:textId="77777777" w:rsidTr="009B4355">
        <w:tc>
          <w:tcPr>
            <w:tcW w:w="4390" w:type="dxa"/>
          </w:tcPr>
          <w:p w14:paraId="40456709"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5073" w:type="dxa"/>
          </w:tcPr>
          <w:p w14:paraId="418E9472"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1A700FFC" w14:textId="77777777" w:rsidTr="009B4355">
        <w:tc>
          <w:tcPr>
            <w:tcW w:w="4390" w:type="dxa"/>
          </w:tcPr>
          <w:p w14:paraId="0CA9CD2E"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5073" w:type="dxa"/>
          </w:tcPr>
          <w:p w14:paraId="69311142"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03EE7E42" w14:textId="77777777" w:rsidTr="009B4355">
        <w:tc>
          <w:tcPr>
            <w:tcW w:w="4390" w:type="dxa"/>
          </w:tcPr>
          <w:p w14:paraId="5821E573" w14:textId="77777777" w:rsidR="001279A8" w:rsidRPr="006F7AF8" w:rsidRDefault="001279A8" w:rsidP="009B4355">
            <w:pPr>
              <w:rPr>
                <w:rFonts w:ascii="Aptos" w:hAnsi="Aptos"/>
                <w:lang w:val="fr-FR"/>
              </w:rPr>
            </w:pPr>
            <w:r w:rsidRPr="006F7AF8">
              <w:rPr>
                <w:rFonts w:ascii="Aptos" w:hAnsi="Aptos"/>
                <w:lang w:val="fr-FR"/>
              </w:rPr>
              <w:t xml:space="preserve">Western European and other States </w:t>
            </w:r>
          </w:p>
        </w:tc>
        <w:tc>
          <w:tcPr>
            <w:tcW w:w="5073" w:type="dxa"/>
          </w:tcPr>
          <w:p w14:paraId="276C61B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46E50EA4" w14:textId="77777777" w:rsidR="00B87039" w:rsidRPr="00653BF4" w:rsidRDefault="00B87039" w:rsidP="00B87039">
      <w:pPr>
        <w:rPr>
          <w:lang w:val="fr-FR"/>
        </w:rPr>
      </w:pPr>
    </w:p>
    <w:p w14:paraId="5C6F8B5C" w14:textId="77777777" w:rsidR="00B87039" w:rsidRPr="00653BF4" w:rsidRDefault="00B87039" w:rsidP="00B87039">
      <w:pPr>
        <w:pStyle w:val="Heading5"/>
        <w:rPr>
          <w:lang w:val="fr-FR"/>
        </w:rPr>
      </w:pPr>
      <w:bookmarkStart w:id="302" w:name="_Toc235821236"/>
      <w:r w:rsidRPr="00653BF4">
        <w:rPr>
          <w:lang w:val="fr-FR"/>
        </w:rPr>
        <w:lastRenderedPageBreak/>
        <w:t>Actions, réussites et difficultés</w:t>
      </w:r>
      <w:bookmarkEnd w:id="302"/>
      <w:r w:rsidRPr="00653BF4">
        <w:rPr>
          <w:lang w:val="fr-FR"/>
        </w:rPr>
        <w:t xml:space="preserve"> dans la mise en œuvre</w:t>
      </w:r>
    </w:p>
    <w:p w14:paraId="3E423AD6" w14:textId="77777777" w:rsidR="00B87039" w:rsidRPr="00653BF4" w:rsidRDefault="00B87039" w:rsidP="00B87039">
      <w:pPr>
        <w:rPr>
          <w:lang w:val="fr-FR"/>
        </w:rPr>
      </w:pPr>
    </w:p>
    <w:p w14:paraId="0DD80B99" w14:textId="1E9F532B" w:rsidR="00B87039" w:rsidRPr="00653BF4" w:rsidRDefault="00B87039" w:rsidP="00B87039">
      <w:pPr>
        <w:pStyle w:val="Heading6"/>
        <w:rPr>
          <w:lang w:val="fr-FR"/>
        </w:rPr>
      </w:pPr>
      <w:bookmarkStart w:id="303" w:name="_Toc235821237"/>
      <w:r w:rsidRPr="00653BF4">
        <w:rPr>
          <w:lang w:val="fr-FR"/>
        </w:rPr>
        <w:t>Résumé des actions menées à l</w:t>
      </w:r>
      <w:r w:rsidR="00D77549">
        <w:rPr>
          <w:lang w:val="fr-FR"/>
        </w:rPr>
        <w:t>’</w:t>
      </w:r>
      <w:r w:rsidRPr="00653BF4">
        <w:rPr>
          <w:lang w:val="fr-FR"/>
        </w:rPr>
        <w:t xml:space="preserve">appui de la </w:t>
      </w:r>
      <w:r w:rsidR="00E34DC9">
        <w:rPr>
          <w:lang w:val="fr-FR"/>
        </w:rPr>
        <w:t>cible 1</w:t>
      </w:r>
      <w:r w:rsidRPr="00653BF4">
        <w:rPr>
          <w:lang w:val="fr-FR"/>
        </w:rPr>
        <w:t>5</w:t>
      </w:r>
      <w:bookmarkEnd w:id="303"/>
      <w:r w:rsidRPr="00653BF4">
        <w:rPr>
          <w:lang w:val="fr-FR"/>
        </w:rPr>
        <w:t xml:space="preserve"> du Cadre</w:t>
      </w:r>
    </w:p>
    <w:p w14:paraId="3441969E" w14:textId="77777777" w:rsidR="00B87039" w:rsidRPr="00653BF4" w:rsidRDefault="00B87039" w:rsidP="00B87039">
      <w:pPr>
        <w:rPr>
          <w:lang w:val="fr-FR"/>
        </w:rPr>
      </w:pPr>
    </w:p>
    <w:p w14:paraId="533C016A" w14:textId="459A62E7" w:rsidR="00B87039" w:rsidRPr="00653BF4" w:rsidRDefault="00B87039" w:rsidP="00B87039">
      <w:pPr>
        <w:rPr>
          <w:lang w:val="fr-FR"/>
        </w:rPr>
      </w:pPr>
      <w:r w:rsidRPr="00653BF4">
        <w:rPr>
          <w:lang w:val="fr-FR"/>
        </w:rPr>
        <w:t>L</w:t>
      </w:r>
      <w:r w:rsidR="00D77549">
        <w:rPr>
          <w:lang w:val="fr-FR"/>
        </w:rPr>
        <w:t>’</w:t>
      </w:r>
      <w:r w:rsidRPr="00653BF4">
        <w:rPr>
          <w:lang w:val="fr-FR"/>
        </w:rPr>
        <w:t>action la plus souvent citée à l</w:t>
      </w:r>
      <w:r w:rsidR="00D77549">
        <w:rPr>
          <w:lang w:val="fr-FR"/>
        </w:rPr>
        <w:t>’</w:t>
      </w:r>
      <w:r w:rsidRPr="00653BF4">
        <w:rPr>
          <w:lang w:val="fr-FR"/>
        </w:rPr>
        <w:t xml:space="preserve">appui de la </w:t>
      </w:r>
      <w:r w:rsidR="00E34DC9">
        <w:rPr>
          <w:lang w:val="fr-FR"/>
        </w:rPr>
        <w:t>cible 1</w:t>
      </w:r>
      <w:r w:rsidRPr="00653BF4">
        <w:rPr>
          <w:lang w:val="fr-FR"/>
        </w:rPr>
        <w:t>5 concerne le recours à la réglementation du secteur financier pour intégrer les risques liés à la biodiversité ou à l’environnement dans les opérations bancaires, d’investissement et des marchés de capitaux. Cela inclut tant les taxonomies obligatoires en matière de finance verte que les orientations des banques centrales, et les obligations de présentation de rapports sur les questions d’environnement, de société et de gouvernance (ESG) imposées aux sociétés cotées (voir l</w:t>
      </w:r>
      <w:r w:rsidR="00D77549">
        <w:rPr>
          <w:lang w:val="fr-FR"/>
        </w:rPr>
        <w:t>’</w:t>
      </w:r>
      <w:r w:rsidRPr="00653BF4">
        <w:rPr>
          <w:lang w:val="fr-FR"/>
        </w:rPr>
        <w:t>encadré 37). Le cadre du Groupe de travail sur les informations financières liées à la nature s</w:t>
      </w:r>
      <w:r w:rsidR="00D77549">
        <w:rPr>
          <w:lang w:val="fr-FR"/>
        </w:rPr>
        <w:t>’</w:t>
      </w:r>
      <w:r w:rsidRPr="00653BF4">
        <w:rPr>
          <w:lang w:val="fr-FR"/>
        </w:rPr>
        <w:t>est imposé comme le mécanisme de communication volontaire le plus souvent cité, tant dans les pays en développement que dans les pays développés, avec plus de 30 rapports nationaux faisant directement référence à la mise en œuvre ou à l</w:t>
      </w:r>
      <w:r w:rsidR="00D77549">
        <w:rPr>
          <w:lang w:val="fr-FR"/>
        </w:rPr>
        <w:t>’</w:t>
      </w:r>
      <w:r w:rsidRPr="00653BF4">
        <w:rPr>
          <w:lang w:val="fr-FR"/>
        </w:rPr>
        <w:t>expérimentation du cadre du Groupe de travail sur les informations financières liées à la nature. Pour les États membres de l</w:t>
      </w:r>
      <w:r w:rsidR="00D77549">
        <w:rPr>
          <w:lang w:val="fr-FR"/>
        </w:rPr>
        <w:t>’</w:t>
      </w:r>
      <w:r w:rsidRPr="00653BF4">
        <w:rPr>
          <w:lang w:val="fr-FR"/>
        </w:rPr>
        <w:t>Union européenne et les autres pays qui respectent les directives et les normes de l</w:t>
      </w:r>
      <w:r w:rsidR="00D77549">
        <w:rPr>
          <w:lang w:val="fr-FR"/>
        </w:rPr>
        <w:t>’</w:t>
      </w:r>
      <w:r w:rsidRPr="00653BF4">
        <w:rPr>
          <w:lang w:val="fr-FR"/>
        </w:rPr>
        <w:t>Union européenne, la directive sur la publication d’informations en matière de durabilité par les entreprises et ses normes européennes d’information en matière de durabilité constituent l</w:t>
      </w:r>
      <w:r w:rsidR="00D77549">
        <w:rPr>
          <w:lang w:val="fr-FR"/>
        </w:rPr>
        <w:t>’</w:t>
      </w:r>
      <w:r w:rsidRPr="00653BF4">
        <w:rPr>
          <w:lang w:val="fr-FR"/>
        </w:rPr>
        <w:t xml:space="preserve">instrument juridique principal pour la mise en œuvre de la </w:t>
      </w:r>
      <w:r w:rsidR="00E34DC9">
        <w:rPr>
          <w:lang w:val="fr-FR"/>
        </w:rPr>
        <w:t>cible 1</w:t>
      </w:r>
      <w:r w:rsidRPr="00653BF4">
        <w:rPr>
          <w:lang w:val="fr-FR"/>
        </w:rPr>
        <w:t>5.  Les exigences relatives aux évaluations d’impact environnemental, qui existent souvent déjà mais qui font l</w:t>
      </w:r>
      <w:r w:rsidR="00D77549">
        <w:rPr>
          <w:lang w:val="fr-FR"/>
        </w:rPr>
        <w:t>’</w:t>
      </w:r>
      <w:r w:rsidRPr="00653BF4">
        <w:rPr>
          <w:lang w:val="fr-FR"/>
        </w:rPr>
        <w:t>objet d</w:t>
      </w:r>
      <w:r w:rsidR="00D77549">
        <w:rPr>
          <w:lang w:val="fr-FR"/>
        </w:rPr>
        <w:t>’</w:t>
      </w:r>
      <w:r w:rsidRPr="00653BF4">
        <w:rPr>
          <w:lang w:val="fr-FR"/>
        </w:rPr>
        <w:t>un renforcement ou d</w:t>
      </w:r>
      <w:r w:rsidR="00D77549">
        <w:rPr>
          <w:lang w:val="fr-FR"/>
        </w:rPr>
        <w:t>’</w:t>
      </w:r>
      <w:r w:rsidRPr="00653BF4">
        <w:rPr>
          <w:lang w:val="fr-FR"/>
        </w:rPr>
        <w:t>une extension, constituent le mécanisme juridique le plus fréquemment mentionné par les pays en développement. Plusieurs Parties ont déclaré que les cadres réglementaires relatifs à l</w:t>
      </w:r>
      <w:r w:rsidR="00D77549">
        <w:rPr>
          <w:lang w:val="fr-FR"/>
        </w:rPr>
        <w:t>’</w:t>
      </w:r>
      <w:r w:rsidRPr="00653BF4">
        <w:rPr>
          <w:lang w:val="fr-FR"/>
        </w:rPr>
        <w:t xml:space="preserve">APA constituaient des instruments juridiques au titre de la </w:t>
      </w:r>
      <w:r w:rsidR="00E34DC9">
        <w:rPr>
          <w:lang w:val="fr-FR"/>
        </w:rPr>
        <w:t>cible 1</w:t>
      </w:r>
      <w:r w:rsidRPr="00653BF4">
        <w:rPr>
          <w:lang w:val="fr-FR"/>
        </w:rPr>
        <w:t xml:space="preserve">5. </w:t>
      </w:r>
    </w:p>
    <w:p w14:paraId="400F2D6E" w14:textId="77777777" w:rsidR="00B87039" w:rsidRPr="00653BF4" w:rsidRDefault="00B87039" w:rsidP="00B87039">
      <w:pPr>
        <w:rPr>
          <w:lang w:val="fr-FR"/>
        </w:rPr>
      </w:pPr>
    </w:p>
    <w:p w14:paraId="214E9A59" w14:textId="77777777" w:rsidR="00B87039" w:rsidRPr="00653BF4" w:rsidRDefault="00B87039" w:rsidP="00B87039">
      <w:pPr>
        <w:rPr>
          <w:lang w:val="fr-FR"/>
        </w:rPr>
      </w:pPr>
    </w:p>
    <w:p w14:paraId="5F840373" w14:textId="3053F8CE" w:rsidR="00B87039" w:rsidRPr="00653BF4" w:rsidRDefault="00B87039" w:rsidP="00B87039">
      <w:pPr>
        <w:pStyle w:val="Heading6"/>
        <w:rPr>
          <w:lang w:val="fr-FR"/>
        </w:rPr>
      </w:pPr>
      <w:bookmarkStart w:id="304" w:name="_Toc235821238"/>
      <w:r w:rsidRPr="00653BF4">
        <w:rPr>
          <w:lang w:val="fr-FR"/>
        </w:rPr>
        <w:t>Exemples de réussites et de progrès réalisés dans la mise en œuvre</w:t>
      </w:r>
      <w:bookmarkEnd w:id="304"/>
    </w:p>
    <w:p w14:paraId="668538AE"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16"/>
      </w:tblGrid>
      <w:tr w:rsidR="00B87039" w:rsidRPr="00543148" w14:paraId="7497983F" w14:textId="77777777" w:rsidTr="00557FB3">
        <w:tc>
          <w:tcPr>
            <w:tcW w:w="9016" w:type="dxa"/>
            <w:shd w:val="clear" w:color="auto" w:fill="D1D1D1" w:themeFill="background2" w:themeFillShade="E6"/>
          </w:tcPr>
          <w:p w14:paraId="1FDC4640" w14:textId="77777777" w:rsidR="00B87039" w:rsidRPr="00653BF4" w:rsidRDefault="00B87039" w:rsidP="00557FB3">
            <w:pPr>
              <w:rPr>
                <w:sz w:val="20"/>
                <w:szCs w:val="20"/>
                <w:lang w:val="fr-FR"/>
              </w:rPr>
            </w:pPr>
            <w:r w:rsidRPr="00653BF4">
              <w:rPr>
                <w:sz w:val="20"/>
                <w:szCs w:val="20"/>
                <w:lang w:val="fr-FR"/>
              </w:rPr>
              <w:t>Encadré 37</w:t>
            </w:r>
          </w:p>
          <w:p w14:paraId="607FD353" w14:textId="77777777" w:rsidR="00B87039" w:rsidRPr="00653BF4" w:rsidRDefault="00B87039" w:rsidP="00557FB3">
            <w:pPr>
              <w:rPr>
                <w:b/>
                <w:bCs/>
                <w:sz w:val="20"/>
                <w:szCs w:val="20"/>
                <w:lang w:val="fr-FR"/>
              </w:rPr>
            </w:pPr>
            <w:r w:rsidRPr="00653BF4">
              <w:rPr>
                <w:b/>
                <w:bCs/>
                <w:sz w:val="20"/>
                <w:szCs w:val="20"/>
                <w:lang w:val="fr-FR"/>
              </w:rPr>
              <w:t>Cadre réglementaire obligatoire en matière de risques environnementaux impliquant plusieurs autorités de régulation en Équateur</w:t>
            </w:r>
          </w:p>
          <w:p w14:paraId="22DAFB55" w14:textId="77777777" w:rsidR="00B87039" w:rsidRPr="00653BF4" w:rsidRDefault="00B87039" w:rsidP="00557FB3">
            <w:pPr>
              <w:rPr>
                <w:sz w:val="20"/>
                <w:szCs w:val="20"/>
                <w:lang w:val="fr-FR"/>
              </w:rPr>
            </w:pPr>
          </w:p>
          <w:p w14:paraId="45E8C019" w14:textId="77777777" w:rsidR="00B87039" w:rsidRPr="00653BF4" w:rsidRDefault="00B87039" w:rsidP="00557FB3">
            <w:pPr>
              <w:rPr>
                <w:sz w:val="20"/>
                <w:szCs w:val="20"/>
                <w:lang w:val="fr-FR"/>
              </w:rPr>
            </w:pPr>
          </w:p>
          <w:p w14:paraId="0D1E5F38" w14:textId="1CA470E5" w:rsidR="00B87039" w:rsidRPr="00653BF4" w:rsidRDefault="00B87039" w:rsidP="00557FB3">
            <w:pPr>
              <w:rPr>
                <w:sz w:val="20"/>
                <w:szCs w:val="20"/>
                <w:lang w:val="fr-FR"/>
              </w:rPr>
            </w:pPr>
            <w:r w:rsidRPr="00653BF4">
              <w:rPr>
                <w:sz w:val="20"/>
                <w:szCs w:val="20"/>
                <w:lang w:val="fr-FR"/>
              </w:rPr>
              <w:t>Selon les estimations, plus d</w:t>
            </w:r>
            <w:r w:rsidR="00D77549">
              <w:rPr>
                <w:sz w:val="20"/>
                <w:szCs w:val="20"/>
                <w:lang w:val="fr-FR"/>
              </w:rPr>
              <w:t>’</w:t>
            </w:r>
            <w:r w:rsidRPr="00653BF4">
              <w:rPr>
                <w:sz w:val="20"/>
                <w:szCs w:val="20"/>
                <w:lang w:val="fr-FR"/>
              </w:rPr>
              <w:t>un tiers du PIB de l</w:t>
            </w:r>
            <w:r w:rsidR="00D77549">
              <w:rPr>
                <w:sz w:val="20"/>
                <w:szCs w:val="20"/>
                <w:lang w:val="fr-FR"/>
              </w:rPr>
              <w:t>’</w:t>
            </w:r>
            <w:r w:rsidRPr="00653BF4">
              <w:rPr>
                <w:sz w:val="20"/>
                <w:szCs w:val="20"/>
                <w:lang w:val="fr-FR"/>
              </w:rPr>
              <w:t>Équateur dépendrait des services écosystémiques, mais jusqu</w:t>
            </w:r>
            <w:r w:rsidR="00D77549">
              <w:rPr>
                <w:sz w:val="20"/>
                <w:szCs w:val="20"/>
                <w:lang w:val="fr-FR"/>
              </w:rPr>
              <w:t>’</w:t>
            </w:r>
            <w:r w:rsidRPr="00653BF4">
              <w:rPr>
                <w:sz w:val="20"/>
                <w:szCs w:val="20"/>
                <w:lang w:val="fr-FR"/>
              </w:rPr>
              <w:t>à présent, cet élément n</w:t>
            </w:r>
            <w:r w:rsidR="00D77549">
              <w:rPr>
                <w:sz w:val="20"/>
                <w:szCs w:val="20"/>
                <w:lang w:val="fr-FR"/>
              </w:rPr>
              <w:t>’</w:t>
            </w:r>
            <w:r w:rsidRPr="00653BF4">
              <w:rPr>
                <w:sz w:val="20"/>
                <w:szCs w:val="20"/>
                <w:lang w:val="fr-FR"/>
              </w:rPr>
              <w:t>a jamais été pris en compte dans les modèles de risque financier, les évaluations de crédit ou les décisions d</w:t>
            </w:r>
            <w:r w:rsidR="00D77549">
              <w:rPr>
                <w:sz w:val="20"/>
                <w:szCs w:val="20"/>
                <w:lang w:val="fr-FR"/>
              </w:rPr>
              <w:t>’</w:t>
            </w:r>
            <w:r w:rsidRPr="00653BF4">
              <w:rPr>
                <w:sz w:val="20"/>
                <w:szCs w:val="20"/>
                <w:lang w:val="fr-FR"/>
              </w:rPr>
              <w:t>investissement. La réalisation d</w:t>
            </w:r>
            <w:r w:rsidR="00D77549">
              <w:rPr>
                <w:sz w:val="20"/>
                <w:szCs w:val="20"/>
                <w:lang w:val="fr-FR"/>
              </w:rPr>
              <w:t>’</w:t>
            </w:r>
            <w:r w:rsidRPr="00653BF4">
              <w:rPr>
                <w:sz w:val="20"/>
                <w:szCs w:val="20"/>
                <w:lang w:val="fr-FR"/>
              </w:rPr>
              <w:t>évaluations des risques environnementaux par les institutions financières était facultative, manquait de cohérence et ne pouvait faire l</w:t>
            </w:r>
            <w:r w:rsidR="00D77549">
              <w:rPr>
                <w:sz w:val="20"/>
                <w:szCs w:val="20"/>
                <w:lang w:val="fr-FR"/>
              </w:rPr>
              <w:t>’</w:t>
            </w:r>
            <w:r w:rsidRPr="00653BF4">
              <w:rPr>
                <w:sz w:val="20"/>
                <w:szCs w:val="20"/>
                <w:lang w:val="fr-FR"/>
              </w:rPr>
              <w:t>objet d</w:t>
            </w:r>
            <w:r w:rsidR="00D77549">
              <w:rPr>
                <w:sz w:val="20"/>
                <w:szCs w:val="20"/>
                <w:lang w:val="fr-FR"/>
              </w:rPr>
              <w:t>’</w:t>
            </w:r>
            <w:r w:rsidRPr="00653BF4">
              <w:rPr>
                <w:sz w:val="20"/>
                <w:szCs w:val="20"/>
                <w:lang w:val="fr-FR"/>
              </w:rPr>
              <w:t xml:space="preserve">un audit. </w:t>
            </w:r>
          </w:p>
          <w:p w14:paraId="61379C8B" w14:textId="77777777" w:rsidR="00B87039" w:rsidRPr="00653BF4" w:rsidRDefault="00B87039" w:rsidP="00557FB3">
            <w:pPr>
              <w:rPr>
                <w:sz w:val="20"/>
                <w:szCs w:val="20"/>
                <w:lang w:val="fr-FR"/>
              </w:rPr>
            </w:pPr>
          </w:p>
          <w:p w14:paraId="2D7D58FD" w14:textId="62B52077" w:rsidR="00B87039" w:rsidRPr="00653BF4" w:rsidRDefault="00B87039" w:rsidP="00557FB3">
            <w:pPr>
              <w:rPr>
                <w:sz w:val="20"/>
                <w:szCs w:val="20"/>
                <w:lang w:val="fr-FR"/>
              </w:rPr>
            </w:pPr>
            <w:r w:rsidRPr="00653BF4">
              <w:rPr>
                <w:sz w:val="20"/>
                <w:szCs w:val="20"/>
                <w:lang w:val="fr-FR"/>
              </w:rPr>
              <w:t>Afin d</w:t>
            </w:r>
            <w:r w:rsidR="00D77549">
              <w:rPr>
                <w:sz w:val="20"/>
                <w:szCs w:val="20"/>
                <w:lang w:val="fr-FR"/>
              </w:rPr>
              <w:t>’</w:t>
            </w:r>
            <w:r w:rsidRPr="00653BF4">
              <w:rPr>
                <w:sz w:val="20"/>
                <w:szCs w:val="20"/>
                <w:lang w:val="fr-FR"/>
              </w:rPr>
              <w:t>obliger les entreprises et les institutions financières à surveiller, évaluer et communiquer leurs risques liés à la biodiversité, l</w:t>
            </w:r>
            <w:r w:rsidR="00D77549">
              <w:rPr>
                <w:sz w:val="20"/>
                <w:szCs w:val="20"/>
                <w:lang w:val="fr-FR"/>
              </w:rPr>
              <w:t>’</w:t>
            </w:r>
            <w:r w:rsidRPr="00653BF4">
              <w:rPr>
                <w:sz w:val="20"/>
                <w:szCs w:val="20"/>
                <w:lang w:val="fr-FR"/>
              </w:rPr>
              <w:t>Équateur a mis en place un cadre obligatoire de gestion des risques environnementaux à l</w:t>
            </w:r>
            <w:r w:rsidR="00D77549">
              <w:rPr>
                <w:sz w:val="20"/>
                <w:szCs w:val="20"/>
                <w:lang w:val="fr-FR"/>
              </w:rPr>
              <w:t>’</w:t>
            </w:r>
            <w:r w:rsidRPr="00653BF4">
              <w:rPr>
                <w:sz w:val="20"/>
                <w:szCs w:val="20"/>
                <w:lang w:val="fr-FR"/>
              </w:rPr>
              <w:t>échelle nationale. Dans le cadre de cette initiative, l</w:t>
            </w:r>
            <w:r w:rsidR="00D77549">
              <w:rPr>
                <w:sz w:val="20"/>
                <w:szCs w:val="20"/>
                <w:lang w:val="fr-FR"/>
              </w:rPr>
              <w:t>’</w:t>
            </w:r>
            <w:r w:rsidRPr="00653BF4">
              <w:rPr>
                <w:sz w:val="20"/>
                <w:szCs w:val="20"/>
                <w:lang w:val="fr-FR"/>
              </w:rPr>
              <w:t>autorité de supervision bancaire a publié une règle contraignante imposant à l</w:t>
            </w:r>
            <w:r w:rsidR="00D77549">
              <w:rPr>
                <w:sz w:val="20"/>
                <w:szCs w:val="20"/>
                <w:lang w:val="fr-FR"/>
              </w:rPr>
              <w:t>’</w:t>
            </w:r>
            <w:r w:rsidRPr="00653BF4">
              <w:rPr>
                <w:sz w:val="20"/>
                <w:szCs w:val="20"/>
                <w:lang w:val="fr-FR"/>
              </w:rPr>
              <w:t>ensemble des institutions financières d</w:t>
            </w:r>
            <w:r w:rsidR="00D77549">
              <w:rPr>
                <w:sz w:val="20"/>
                <w:szCs w:val="20"/>
                <w:lang w:val="fr-FR"/>
              </w:rPr>
              <w:t>’</w:t>
            </w:r>
            <w:r w:rsidRPr="00653BF4">
              <w:rPr>
                <w:sz w:val="20"/>
                <w:szCs w:val="20"/>
                <w:lang w:val="fr-FR"/>
              </w:rPr>
              <w:t>intégrer l</w:t>
            </w:r>
            <w:r w:rsidR="00D77549">
              <w:rPr>
                <w:sz w:val="20"/>
                <w:szCs w:val="20"/>
                <w:lang w:val="fr-FR"/>
              </w:rPr>
              <w:t>’</w:t>
            </w:r>
            <w:r w:rsidRPr="00653BF4">
              <w:rPr>
                <w:sz w:val="20"/>
                <w:szCs w:val="20"/>
                <w:lang w:val="fr-FR"/>
              </w:rPr>
              <w:t>évaluation des risques environnementaux et sociaux dans leurs politiques de gouvernance, d</w:t>
            </w:r>
            <w:r w:rsidR="00D77549">
              <w:rPr>
                <w:sz w:val="20"/>
                <w:szCs w:val="20"/>
                <w:lang w:val="fr-FR"/>
              </w:rPr>
              <w:t>’</w:t>
            </w:r>
            <w:r w:rsidRPr="00653BF4">
              <w:rPr>
                <w:sz w:val="20"/>
                <w:szCs w:val="20"/>
                <w:lang w:val="fr-FR"/>
              </w:rPr>
              <w:t>analyse de solvabilité et de diligence raisonnable, permettant ainsi de rendre vérifiables les risques liés à la biodiversité. Une autre résolution de l</w:t>
            </w:r>
            <w:r w:rsidR="00D77549">
              <w:rPr>
                <w:sz w:val="20"/>
                <w:szCs w:val="20"/>
                <w:lang w:val="fr-FR"/>
              </w:rPr>
              <w:t>’</w:t>
            </w:r>
            <w:r w:rsidRPr="00653BF4">
              <w:rPr>
                <w:sz w:val="20"/>
                <w:szCs w:val="20"/>
                <w:lang w:val="fr-FR"/>
              </w:rPr>
              <w:t>autorité de supervision des entreprises a rendu obligatoire la communication d</w:t>
            </w:r>
            <w:r w:rsidR="00D77549">
              <w:rPr>
                <w:sz w:val="20"/>
                <w:szCs w:val="20"/>
                <w:lang w:val="fr-FR"/>
              </w:rPr>
              <w:t>’</w:t>
            </w:r>
            <w:r w:rsidRPr="00653BF4">
              <w:rPr>
                <w:sz w:val="20"/>
                <w:szCs w:val="20"/>
                <w:lang w:val="fr-FR"/>
              </w:rPr>
              <w:t>informations sur la durabilité conformes aux normes de la Global Reporting Initiative pour les sociétés cotées en bourse. L</w:t>
            </w:r>
            <w:r w:rsidR="00D77549">
              <w:rPr>
                <w:sz w:val="20"/>
                <w:szCs w:val="20"/>
                <w:lang w:val="fr-FR"/>
              </w:rPr>
              <w:t>’</w:t>
            </w:r>
            <w:r w:rsidRPr="00653BF4">
              <w:rPr>
                <w:sz w:val="20"/>
                <w:szCs w:val="20"/>
                <w:lang w:val="fr-FR"/>
              </w:rPr>
              <w:t>association des banques privées Asobanca a élaboré un protocole de finance durable qui harmonise la gestion des risques dans le secteur de la banque privée, notamment à travers des projets pilotes menés dans le biome amazonien et s</w:t>
            </w:r>
            <w:r w:rsidR="00D77549">
              <w:rPr>
                <w:sz w:val="20"/>
                <w:szCs w:val="20"/>
                <w:lang w:val="fr-FR"/>
              </w:rPr>
              <w:t>’</w:t>
            </w:r>
            <w:r w:rsidRPr="00653BF4">
              <w:rPr>
                <w:sz w:val="20"/>
                <w:szCs w:val="20"/>
                <w:lang w:val="fr-FR"/>
              </w:rPr>
              <w:t xml:space="preserve">appuyant sur les lignes directrices du Groupe de travail sur les informations financières liées à la nature (TNFD). </w:t>
            </w:r>
          </w:p>
          <w:p w14:paraId="3CCBA93E" w14:textId="77777777" w:rsidR="00B87039" w:rsidRPr="00653BF4" w:rsidRDefault="00B87039" w:rsidP="00557FB3">
            <w:pPr>
              <w:rPr>
                <w:sz w:val="20"/>
                <w:szCs w:val="20"/>
                <w:lang w:val="fr-FR"/>
              </w:rPr>
            </w:pPr>
          </w:p>
          <w:p w14:paraId="6C28865D" w14:textId="77777777" w:rsidR="00B87039" w:rsidRPr="00653BF4" w:rsidRDefault="00B87039" w:rsidP="00557FB3">
            <w:pPr>
              <w:rPr>
                <w:lang w:val="fr-FR"/>
              </w:rPr>
            </w:pPr>
            <w:r w:rsidRPr="00653BF4">
              <w:rPr>
                <w:sz w:val="20"/>
                <w:szCs w:val="20"/>
                <w:lang w:val="fr-FR"/>
              </w:rPr>
              <w:t>Parmi les principales difficultés identifiées figurent le manque de données sur les écosystèmes, qui entrave la quantification des risques, la persistance de subventions préjudiciables à la biodiversité et les capacités techniques limitées des institutions financières et publiques.</w:t>
            </w:r>
            <w:r w:rsidRPr="00653BF4">
              <w:rPr>
                <w:lang w:val="fr-FR"/>
              </w:rPr>
              <w:t xml:space="preserve"> </w:t>
            </w:r>
          </w:p>
          <w:p w14:paraId="69B78BA1" w14:textId="77777777" w:rsidR="00B87039" w:rsidRPr="00653BF4" w:rsidRDefault="00B87039" w:rsidP="00557FB3">
            <w:pPr>
              <w:rPr>
                <w:i/>
                <w:iCs/>
                <w:sz w:val="20"/>
                <w:szCs w:val="20"/>
                <w:lang w:val="fr-FR"/>
              </w:rPr>
            </w:pPr>
          </w:p>
          <w:p w14:paraId="4174846B" w14:textId="45630043" w:rsidR="00B87039" w:rsidRPr="00653BF4" w:rsidRDefault="00B87039" w:rsidP="00557FB3">
            <w:pPr>
              <w:rPr>
                <w:sz w:val="20"/>
                <w:szCs w:val="20"/>
                <w:lang w:val="fr-FR"/>
              </w:rPr>
            </w:pPr>
            <w:r w:rsidRPr="00653BF4">
              <w:rPr>
                <w:i/>
                <w:iCs/>
                <w:sz w:val="20"/>
                <w:szCs w:val="20"/>
                <w:lang w:val="fr-FR"/>
              </w:rPr>
              <w:t>Cibles concernées</w:t>
            </w:r>
            <w:r w:rsidR="00E34DC9">
              <w:rPr>
                <w:i/>
                <w:iCs/>
                <w:sz w:val="20"/>
                <w:szCs w:val="20"/>
                <w:lang w:val="fr-FR"/>
              </w:rPr>
              <w:t> :</w:t>
            </w:r>
            <w:r w:rsidRPr="00653BF4">
              <w:rPr>
                <w:i/>
                <w:iCs/>
                <w:sz w:val="20"/>
                <w:szCs w:val="20"/>
                <w:lang w:val="fr-FR"/>
              </w:rPr>
              <w:t xml:space="preserve"> </w:t>
            </w:r>
            <w:r w:rsidRPr="00653BF4">
              <w:rPr>
                <w:sz w:val="20"/>
                <w:szCs w:val="20"/>
                <w:lang w:val="fr-FR"/>
              </w:rPr>
              <w:t>14, 15, 18 et 19.</w:t>
            </w:r>
          </w:p>
          <w:p w14:paraId="2E08CA0C" w14:textId="696AB0B8" w:rsidR="00B87039" w:rsidRPr="00653BF4" w:rsidRDefault="00B87039" w:rsidP="00557FB3">
            <w:pPr>
              <w:rPr>
                <w:sz w:val="20"/>
                <w:szCs w:val="20"/>
                <w:lang w:val="fr-FR"/>
              </w:rPr>
            </w:pPr>
            <w:r w:rsidRPr="00653BF4">
              <w:rPr>
                <w:i/>
                <w:iCs/>
                <w:sz w:val="20"/>
                <w:szCs w:val="20"/>
                <w:lang w:val="fr-FR"/>
              </w:rPr>
              <w:t>Source</w:t>
            </w:r>
            <w:r w:rsidR="00E34DC9">
              <w:rPr>
                <w:i/>
                <w:iCs/>
                <w:sz w:val="20"/>
                <w:szCs w:val="20"/>
                <w:lang w:val="fr-FR"/>
              </w:rPr>
              <w:t> :</w:t>
            </w:r>
            <w:r w:rsidRPr="00653BF4">
              <w:rPr>
                <w:i/>
                <w:iCs/>
                <w:sz w:val="20"/>
                <w:szCs w:val="20"/>
                <w:lang w:val="fr-FR"/>
              </w:rPr>
              <w:t xml:space="preserve"> </w:t>
            </w:r>
            <w:r w:rsidRPr="00653BF4">
              <w:rPr>
                <w:sz w:val="20"/>
                <w:szCs w:val="20"/>
                <w:lang w:val="fr-FR"/>
              </w:rPr>
              <w:t>Équateur, septième rapport national présenté au titre de la Convention.</w:t>
            </w:r>
          </w:p>
          <w:p w14:paraId="223C0BA6" w14:textId="77777777" w:rsidR="00B87039" w:rsidRPr="00653BF4" w:rsidRDefault="00B87039" w:rsidP="00557FB3">
            <w:pPr>
              <w:rPr>
                <w:lang w:val="fr-FR"/>
              </w:rPr>
            </w:pPr>
          </w:p>
        </w:tc>
      </w:tr>
    </w:tbl>
    <w:p w14:paraId="76B8AAE2" w14:textId="77777777" w:rsidR="00B87039" w:rsidRPr="00653BF4" w:rsidRDefault="00B87039" w:rsidP="00B87039">
      <w:pPr>
        <w:rPr>
          <w:lang w:val="fr-FR"/>
        </w:rPr>
      </w:pPr>
    </w:p>
    <w:p w14:paraId="2580A600" w14:textId="77777777" w:rsidR="00B87039" w:rsidRPr="00653BF4" w:rsidRDefault="00B87039" w:rsidP="00B87039">
      <w:pPr>
        <w:pStyle w:val="Heading6"/>
        <w:rPr>
          <w:lang w:val="fr-FR"/>
        </w:rPr>
      </w:pPr>
      <w:bookmarkStart w:id="305" w:name="_Toc235821239"/>
      <w:r w:rsidRPr="00653BF4">
        <w:rPr>
          <w:lang w:val="fr-FR"/>
        </w:rPr>
        <w:t>Difficultés</w:t>
      </w:r>
      <w:bookmarkEnd w:id="305"/>
    </w:p>
    <w:p w14:paraId="536D1841" w14:textId="77777777" w:rsidR="00B87039" w:rsidRPr="00653BF4" w:rsidRDefault="00B87039" w:rsidP="00B87039">
      <w:pPr>
        <w:rPr>
          <w:lang w:val="fr-FR"/>
        </w:rPr>
      </w:pPr>
    </w:p>
    <w:p w14:paraId="1B484FAE" w14:textId="1AD78E91" w:rsidR="00B87039" w:rsidRPr="00653BF4" w:rsidRDefault="00B87039" w:rsidP="00B87039">
      <w:pPr>
        <w:rPr>
          <w:lang w:val="fr-FR"/>
        </w:rPr>
      </w:pPr>
      <w:r w:rsidRPr="00653BF4">
        <w:rPr>
          <w:lang w:val="fr-FR"/>
        </w:rPr>
        <w:t>L</w:t>
      </w:r>
      <w:r w:rsidR="00D77549">
        <w:rPr>
          <w:lang w:val="fr-FR"/>
        </w:rPr>
        <w:t>’</w:t>
      </w:r>
      <w:r w:rsidRPr="00653BF4">
        <w:rPr>
          <w:lang w:val="fr-FR"/>
        </w:rPr>
        <w:t>absence d</w:t>
      </w:r>
      <w:r w:rsidR="00D77549">
        <w:rPr>
          <w:lang w:val="fr-FR"/>
        </w:rPr>
        <w:t>’</w:t>
      </w:r>
      <w:r w:rsidRPr="00653BF4">
        <w:rPr>
          <w:lang w:val="fr-FR"/>
        </w:rPr>
        <w:t>obligations de communication d</w:t>
      </w:r>
      <w:r w:rsidR="00D77549">
        <w:rPr>
          <w:lang w:val="fr-FR"/>
        </w:rPr>
        <w:t>’</w:t>
      </w:r>
      <w:r w:rsidRPr="00653BF4">
        <w:rPr>
          <w:lang w:val="fr-FR"/>
        </w:rPr>
        <w:t xml:space="preserve">informations spécifiques à la biodiversité pour les grandes entreprises est citée comme un défi par environ un quart des Parties déclarantes. </w:t>
      </w:r>
      <w:r w:rsidRPr="00653BF4">
        <w:rPr>
          <w:rFonts w:eastAsia="Aptos" w:cs="Aptos"/>
          <w:lang w:val="fr-FR"/>
        </w:rPr>
        <w:t>Lorsque des informations sont communiquées, elles portent généralement davantage sur le climat que sur la nature, la biodiversité étant ainsi largement négligée.</w:t>
      </w:r>
      <w:r w:rsidRPr="00653BF4">
        <w:rPr>
          <w:lang w:val="fr-FR"/>
        </w:rPr>
        <w:t xml:space="preserve"> Le manque de capacités et les lacunes en matière de données sont cités comme des obstacles majeurs, en particulier dans les pays en développement, où de nombreuses entreprises ne disposent pas des capacités techniques et institutionnelles nécessaires pour mettre en œuvre les méthodologies existantes en matière de suivi, d</w:t>
      </w:r>
      <w:r w:rsidR="00D77549">
        <w:rPr>
          <w:lang w:val="fr-FR"/>
        </w:rPr>
        <w:t>’</w:t>
      </w:r>
      <w:r w:rsidRPr="00653BF4">
        <w:rPr>
          <w:lang w:val="fr-FR"/>
        </w:rPr>
        <w:t>évaluation et de communication d</w:t>
      </w:r>
      <w:r w:rsidR="00D77549">
        <w:rPr>
          <w:lang w:val="fr-FR"/>
        </w:rPr>
        <w:t>’</w:t>
      </w:r>
      <w:r w:rsidRPr="00653BF4">
        <w:rPr>
          <w:lang w:val="fr-FR"/>
        </w:rPr>
        <w:t>informations sur la biodiversité. Parmi les autres difficultés mentionnées par certaines Parties figurent l</w:t>
      </w:r>
      <w:r w:rsidR="00D77549">
        <w:rPr>
          <w:lang w:val="fr-FR"/>
        </w:rPr>
        <w:t>’</w:t>
      </w:r>
      <w:r w:rsidRPr="00653BF4">
        <w:rPr>
          <w:lang w:val="fr-FR"/>
        </w:rPr>
        <w:t>exclusion des petites et moyennes entreprises des cadres de publication d</w:t>
      </w:r>
      <w:r w:rsidR="00D77549">
        <w:rPr>
          <w:lang w:val="fr-FR"/>
        </w:rPr>
        <w:t>’</w:t>
      </w:r>
      <w:r w:rsidRPr="00653BF4">
        <w:rPr>
          <w:lang w:val="fr-FR"/>
        </w:rPr>
        <w:t>informations, ainsi que la persistance de mesures d</w:t>
      </w:r>
      <w:r w:rsidR="00D77549">
        <w:rPr>
          <w:lang w:val="fr-FR"/>
        </w:rPr>
        <w:t>’</w:t>
      </w:r>
      <w:r w:rsidRPr="00653BF4">
        <w:rPr>
          <w:lang w:val="fr-FR"/>
        </w:rPr>
        <w:t>incitation préjudiciables à la biodiversité, qui constituent un obstacle à la réduction des impacts des entreprises sur la biodiversité. Les mécanismes d</w:t>
      </w:r>
      <w:r w:rsidR="00D77549">
        <w:rPr>
          <w:lang w:val="fr-FR"/>
        </w:rPr>
        <w:t>’</w:t>
      </w:r>
      <w:r w:rsidRPr="00653BF4">
        <w:rPr>
          <w:lang w:val="fr-FR"/>
        </w:rPr>
        <w:t>incitation existants ne parviennent souvent pas à encourager les comportements favorables à la biodiversité, certaines Parties soulignant l</w:t>
      </w:r>
      <w:r w:rsidR="00D77549">
        <w:rPr>
          <w:lang w:val="fr-FR"/>
        </w:rPr>
        <w:t>’</w:t>
      </w:r>
      <w:r w:rsidRPr="00653BF4">
        <w:rPr>
          <w:lang w:val="fr-FR"/>
        </w:rPr>
        <w:t>absence d</w:t>
      </w:r>
      <w:r w:rsidR="00D77549">
        <w:rPr>
          <w:lang w:val="fr-FR"/>
        </w:rPr>
        <w:t>’</w:t>
      </w:r>
      <w:r w:rsidRPr="00653BF4">
        <w:rPr>
          <w:lang w:val="fr-FR"/>
        </w:rPr>
        <w:t>allègements fiscaux efficaces, de systèmes de certification écologique ou de paiements pour les services écosystémiques qui inciteraient les entreprises à investir dans la conservation ou à réduire leurs impacts néfastes.</w:t>
      </w:r>
    </w:p>
    <w:p w14:paraId="4025866D" w14:textId="77777777" w:rsidR="00B87039" w:rsidRPr="00653BF4" w:rsidRDefault="00B87039" w:rsidP="00B87039">
      <w:pPr>
        <w:rPr>
          <w:lang w:val="fr-FR"/>
        </w:rPr>
      </w:pPr>
    </w:p>
    <w:p w14:paraId="7AA2D09F" w14:textId="2EEA56B3" w:rsidR="00B87039" w:rsidRPr="00653BF4" w:rsidRDefault="00B87039" w:rsidP="00B87039">
      <w:pPr>
        <w:pStyle w:val="Heading5"/>
        <w:rPr>
          <w:lang w:val="fr-FR"/>
        </w:rPr>
      </w:pPr>
      <w:bookmarkStart w:id="306" w:name="_Toc235821240"/>
      <w:r w:rsidRPr="00653BF4">
        <w:rPr>
          <w:lang w:val="fr-FR"/>
        </w:rPr>
        <w:lastRenderedPageBreak/>
        <w:t>Contributions provenant d</w:t>
      </w:r>
      <w:r w:rsidR="00D77549">
        <w:rPr>
          <w:lang w:val="fr-FR"/>
        </w:rPr>
        <w:t>’</w:t>
      </w:r>
      <w:r w:rsidRPr="00653BF4">
        <w:rPr>
          <w:lang w:val="fr-FR"/>
        </w:rPr>
        <w:t>acteurs autres que les gouvernements nationaux</w:t>
      </w:r>
      <w:bookmarkEnd w:id="306"/>
    </w:p>
    <w:p w14:paraId="532A5979" w14:textId="77777777" w:rsidR="00B87039" w:rsidRPr="00653BF4" w:rsidRDefault="00B87039" w:rsidP="00B87039">
      <w:pPr>
        <w:rPr>
          <w:lang w:val="fr-FR"/>
        </w:rPr>
      </w:pPr>
    </w:p>
    <w:p w14:paraId="1AB75E96" w14:textId="285BE359" w:rsidR="00B87039" w:rsidRPr="00653BF4" w:rsidRDefault="00B87039" w:rsidP="00B87039">
      <w:pPr>
        <w:pStyle w:val="Heading6"/>
        <w:rPr>
          <w:lang w:val="fr-FR"/>
        </w:rPr>
      </w:pPr>
      <w:bookmarkStart w:id="307" w:name="_Toc235821241"/>
      <w:r w:rsidRPr="00653BF4">
        <w:rPr>
          <w:lang w:val="fr-FR"/>
        </w:rPr>
        <w:t>Engagements communiqués directement via l</w:t>
      </w:r>
      <w:r w:rsidR="00D77549">
        <w:rPr>
          <w:lang w:val="fr-FR"/>
        </w:rPr>
        <w:t>’</w:t>
      </w:r>
      <w:r w:rsidRPr="00653BF4">
        <w:rPr>
          <w:lang w:val="fr-FR"/>
        </w:rPr>
        <w:t>outil de présentation des rapports en ligne</w:t>
      </w:r>
      <w:bookmarkEnd w:id="307"/>
    </w:p>
    <w:p w14:paraId="07B45BFD" w14:textId="77777777" w:rsidR="00B87039" w:rsidRPr="00653BF4" w:rsidRDefault="00B87039" w:rsidP="00B87039">
      <w:pPr>
        <w:rPr>
          <w:lang w:val="fr-FR"/>
        </w:rPr>
      </w:pPr>
    </w:p>
    <w:p w14:paraId="2D39B4EE" w14:textId="43220DFD" w:rsidR="00B87039" w:rsidRPr="00653BF4" w:rsidRDefault="00B87039" w:rsidP="00B87039">
      <w:pPr>
        <w:rPr>
          <w:lang w:val="fr-FR"/>
        </w:rPr>
      </w:pPr>
      <w:r w:rsidRPr="00653BF4">
        <w:rPr>
          <w:lang w:val="fr-FR"/>
        </w:rPr>
        <w:t xml:space="preserve">Sur les 180 engagements de fond présentés par des acteurs autres que les gouvernements nationaux, seulement 7 concernent principalement la </w:t>
      </w:r>
      <w:r w:rsidR="00E34DC9">
        <w:rPr>
          <w:lang w:val="fr-FR"/>
        </w:rPr>
        <w:t>cible 1</w:t>
      </w:r>
      <w:r w:rsidRPr="00653BF4">
        <w:rPr>
          <w:lang w:val="fr-FR"/>
        </w:rPr>
        <w:t>5. Parmi eux, 5 ont été soumis par des ONG et 2 par des acteurs du monde des affaires ou de l</w:t>
      </w:r>
      <w:r w:rsidR="00D77549">
        <w:rPr>
          <w:lang w:val="fr-FR"/>
        </w:rPr>
        <w:t>’</w:t>
      </w:r>
      <w:r w:rsidRPr="00653BF4">
        <w:rPr>
          <w:lang w:val="fr-FR"/>
        </w:rPr>
        <w:t>industrie. Ces engagements visent principalement à aider les entreprises à intégrer la biodiversité dans leurs stratégies et leurs processus de présentation de rapports, notamment grâce à des outils de données et d</w:t>
      </w:r>
      <w:r w:rsidR="00D77549">
        <w:rPr>
          <w:lang w:val="fr-FR"/>
        </w:rPr>
        <w:t>’</w:t>
      </w:r>
      <w:r w:rsidRPr="00653BF4">
        <w:rPr>
          <w:lang w:val="fr-FR"/>
        </w:rPr>
        <w:t>information permettant de cartographier et d</w:t>
      </w:r>
      <w:r w:rsidR="00D77549">
        <w:rPr>
          <w:lang w:val="fr-FR"/>
        </w:rPr>
        <w:t>’</w:t>
      </w:r>
      <w:r w:rsidRPr="00653BF4">
        <w:rPr>
          <w:lang w:val="fr-FR"/>
        </w:rPr>
        <w:t>évaluer les risques et les impacts. Sur le plan géographique, ces engagements concernent notamment la Chine, le Danemark, la France, le Japon et le Nigeria (voir l</w:t>
      </w:r>
      <w:r w:rsidR="00D77549">
        <w:rPr>
          <w:lang w:val="fr-FR"/>
        </w:rPr>
        <w:t>’</w:t>
      </w:r>
      <w:r w:rsidRPr="00653BF4">
        <w:rPr>
          <w:lang w:val="fr-FR"/>
        </w:rPr>
        <w:t>exemple du Japon dans l</w:t>
      </w:r>
      <w:r w:rsidR="00D77549">
        <w:rPr>
          <w:lang w:val="fr-FR"/>
        </w:rPr>
        <w:t>’</w:t>
      </w:r>
      <w:r w:rsidRPr="00653BF4">
        <w:rPr>
          <w:lang w:val="fr-FR"/>
        </w:rPr>
        <w:t>encadré 38).</w:t>
      </w:r>
    </w:p>
    <w:p w14:paraId="19DED4E5" w14:textId="77777777" w:rsidR="00B87039" w:rsidRPr="00653BF4" w:rsidRDefault="00B87039" w:rsidP="00B87039">
      <w:pPr>
        <w:rPr>
          <w:lang w:val="fr-FR"/>
        </w:rPr>
      </w:pPr>
    </w:p>
    <w:p w14:paraId="149A2525"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16"/>
      </w:tblGrid>
      <w:tr w:rsidR="00B87039" w:rsidRPr="00543148" w14:paraId="63DAF53A" w14:textId="77777777" w:rsidTr="00557FB3">
        <w:tc>
          <w:tcPr>
            <w:tcW w:w="9016" w:type="dxa"/>
            <w:shd w:val="clear" w:color="auto" w:fill="E8E8E8" w:themeFill="background2"/>
          </w:tcPr>
          <w:p w14:paraId="788FA8A5" w14:textId="7E08A0B8" w:rsidR="00B87039" w:rsidRPr="00653BF4" w:rsidRDefault="00B87039" w:rsidP="00557FB3">
            <w:pPr>
              <w:rPr>
                <w:sz w:val="20"/>
                <w:szCs w:val="20"/>
                <w:lang w:val="fr-FR"/>
              </w:rPr>
            </w:pPr>
            <w:bookmarkStart w:id="308" w:name="_Ref230875788"/>
            <w:r w:rsidRPr="00653BF4">
              <w:rPr>
                <w:sz w:val="20"/>
                <w:szCs w:val="20"/>
                <w:lang w:val="fr-FR"/>
              </w:rPr>
              <w:t>Encadré 38</w:t>
            </w:r>
            <w:bookmarkEnd w:id="308"/>
          </w:p>
          <w:p w14:paraId="3A45C897" w14:textId="77777777" w:rsidR="00B87039" w:rsidRPr="00653BF4" w:rsidRDefault="00B87039" w:rsidP="00557FB3">
            <w:pPr>
              <w:rPr>
                <w:b/>
                <w:bCs/>
                <w:sz w:val="20"/>
                <w:szCs w:val="20"/>
                <w:lang w:val="fr-FR"/>
              </w:rPr>
            </w:pPr>
            <w:r w:rsidRPr="00653BF4">
              <w:rPr>
                <w:b/>
                <w:bCs/>
                <w:sz w:val="20"/>
                <w:szCs w:val="20"/>
                <w:lang w:val="fr-FR"/>
              </w:rPr>
              <w:t>Le Conseil de conservation de la nature du Keidanren encourage et soutient les entreprises japonaises dans la lutte contre les risques et les impacts liés à la biodiversité</w:t>
            </w:r>
          </w:p>
          <w:p w14:paraId="222D0C11" w14:textId="77777777" w:rsidR="00B87039" w:rsidRPr="00653BF4" w:rsidRDefault="00B87039" w:rsidP="00557FB3">
            <w:pPr>
              <w:rPr>
                <w:lang w:val="fr-FR"/>
              </w:rPr>
            </w:pPr>
          </w:p>
          <w:p w14:paraId="3534BF65" w14:textId="77777777" w:rsidR="00B87039" w:rsidRPr="00653BF4" w:rsidRDefault="00B87039" w:rsidP="00557FB3">
            <w:pPr>
              <w:rPr>
                <w:sz w:val="20"/>
                <w:szCs w:val="20"/>
                <w:lang w:val="fr-FR"/>
              </w:rPr>
            </w:pPr>
          </w:p>
          <w:p w14:paraId="439F49A7" w14:textId="7C984251" w:rsidR="00B87039" w:rsidRPr="00653BF4" w:rsidRDefault="00B87039" w:rsidP="00557FB3">
            <w:pPr>
              <w:spacing w:line="276" w:lineRule="auto"/>
              <w:rPr>
                <w:rFonts w:eastAsia="Aptos" w:cs="Aptos"/>
                <w:sz w:val="20"/>
                <w:szCs w:val="20"/>
                <w:lang w:val="fr-FR"/>
              </w:rPr>
            </w:pPr>
            <w:r w:rsidRPr="00653BF4">
              <w:rPr>
                <w:rFonts w:eastAsia="Aptos" w:cs="Aptos"/>
                <w:sz w:val="20"/>
                <w:szCs w:val="20"/>
                <w:lang w:val="fr-FR"/>
              </w:rPr>
              <w:t>En 2023, le Conseil de conservation de la nature du Keidanren, une organisation de dirigeants d</w:t>
            </w:r>
            <w:r w:rsidR="00D77549">
              <w:rPr>
                <w:rFonts w:eastAsia="Aptos" w:cs="Aptos"/>
                <w:sz w:val="20"/>
                <w:szCs w:val="20"/>
                <w:lang w:val="fr-FR"/>
              </w:rPr>
              <w:t>’</w:t>
            </w:r>
            <w:r w:rsidRPr="00653BF4">
              <w:rPr>
                <w:rFonts w:eastAsia="Aptos" w:cs="Aptos"/>
                <w:sz w:val="20"/>
                <w:szCs w:val="20"/>
                <w:lang w:val="fr-FR"/>
              </w:rPr>
              <w:t>entreprises commerciales et industrielles basée à Tokyo, a lancé son plan d</w:t>
            </w:r>
            <w:r w:rsidR="00D77549">
              <w:rPr>
                <w:rFonts w:eastAsia="Aptos" w:cs="Aptos"/>
                <w:sz w:val="20"/>
                <w:szCs w:val="20"/>
                <w:lang w:val="fr-FR"/>
              </w:rPr>
              <w:t>’</w:t>
            </w:r>
            <w:r w:rsidRPr="00653BF4">
              <w:rPr>
                <w:rFonts w:eastAsia="Aptos" w:cs="Aptos"/>
                <w:sz w:val="20"/>
                <w:szCs w:val="20"/>
                <w:lang w:val="fr-FR"/>
              </w:rPr>
              <w:t>action en faveur de la nature dont l</w:t>
            </w:r>
            <w:r w:rsidR="00D77549">
              <w:rPr>
                <w:rFonts w:eastAsia="Aptos" w:cs="Aptos"/>
                <w:sz w:val="20"/>
                <w:szCs w:val="20"/>
                <w:lang w:val="fr-FR"/>
              </w:rPr>
              <w:t>’</w:t>
            </w:r>
            <w:r w:rsidRPr="00653BF4">
              <w:rPr>
                <w:rFonts w:eastAsia="Aptos" w:cs="Aptos"/>
                <w:sz w:val="20"/>
                <w:szCs w:val="20"/>
                <w:lang w:val="fr-FR"/>
              </w:rPr>
              <w:t>engagement s</w:t>
            </w:r>
            <w:r w:rsidR="00D77549">
              <w:rPr>
                <w:rFonts w:eastAsia="Aptos" w:cs="Aptos"/>
                <w:sz w:val="20"/>
                <w:szCs w:val="20"/>
                <w:lang w:val="fr-FR"/>
              </w:rPr>
              <w:t>’</w:t>
            </w:r>
            <w:r w:rsidRPr="00653BF4">
              <w:rPr>
                <w:rFonts w:eastAsia="Aptos" w:cs="Aptos"/>
                <w:sz w:val="20"/>
                <w:szCs w:val="20"/>
                <w:lang w:val="fr-FR"/>
              </w:rPr>
              <w:t>étend jusqu</w:t>
            </w:r>
            <w:r w:rsidR="00D77549">
              <w:rPr>
                <w:rFonts w:eastAsia="Aptos" w:cs="Aptos"/>
                <w:sz w:val="20"/>
                <w:szCs w:val="20"/>
                <w:lang w:val="fr-FR"/>
              </w:rPr>
              <w:t>’</w:t>
            </w:r>
            <w:r w:rsidRPr="00653BF4">
              <w:rPr>
                <w:rFonts w:eastAsia="Aptos" w:cs="Aptos"/>
                <w:sz w:val="20"/>
                <w:szCs w:val="20"/>
                <w:lang w:val="fr-FR"/>
              </w:rPr>
              <w:t>à fin 2030. Le Conseil joue un rôle central dans la mobilisation du secteur des entreprises japonaises en faveur de résultats bénéfiques pour la nature. Par l</w:t>
            </w:r>
            <w:r w:rsidR="00D77549">
              <w:rPr>
                <w:rFonts w:eastAsia="Aptos" w:cs="Aptos"/>
                <w:sz w:val="20"/>
                <w:szCs w:val="20"/>
                <w:lang w:val="fr-FR"/>
              </w:rPr>
              <w:t>’</w:t>
            </w:r>
            <w:r w:rsidRPr="00653BF4">
              <w:rPr>
                <w:rFonts w:eastAsia="Aptos" w:cs="Aptos"/>
                <w:sz w:val="20"/>
                <w:szCs w:val="20"/>
                <w:lang w:val="fr-FR"/>
              </w:rPr>
              <w:t>intermédiaire du Fonds pour la conservation de la nature du Keidanren, le Conseil sollicite chaque année des dons auprès d</w:t>
            </w:r>
            <w:r w:rsidR="00D77549">
              <w:rPr>
                <w:rFonts w:eastAsia="Aptos" w:cs="Aptos"/>
                <w:sz w:val="20"/>
                <w:szCs w:val="20"/>
                <w:lang w:val="fr-FR"/>
              </w:rPr>
              <w:t>’</w:t>
            </w:r>
            <w:r w:rsidRPr="00653BF4">
              <w:rPr>
                <w:rFonts w:eastAsia="Aptos" w:cs="Aptos"/>
                <w:sz w:val="20"/>
                <w:szCs w:val="20"/>
                <w:lang w:val="fr-FR"/>
              </w:rPr>
              <w:t>environ 1 500 entreprises adhérentes, récoltant ainsi quelque 200 millions de yens par an afin de soutenir des projets de conservation menés par des ONG, conformément aux cibles du Cadre. Il encourage également l</w:t>
            </w:r>
            <w:r w:rsidR="00D77549">
              <w:rPr>
                <w:rFonts w:eastAsia="Aptos" w:cs="Aptos"/>
                <w:sz w:val="20"/>
                <w:szCs w:val="20"/>
                <w:lang w:val="fr-FR"/>
              </w:rPr>
              <w:t>’</w:t>
            </w:r>
            <w:r w:rsidRPr="00653BF4">
              <w:rPr>
                <w:rFonts w:eastAsia="Aptos" w:cs="Aptos"/>
                <w:sz w:val="20"/>
                <w:szCs w:val="20"/>
                <w:lang w:val="fr-FR"/>
              </w:rPr>
              <w:t>adoption du cadre du TNFD par les entreprises</w:t>
            </w:r>
            <w:r w:rsidR="00E34DC9">
              <w:rPr>
                <w:rFonts w:eastAsia="Aptos" w:cs="Aptos"/>
                <w:sz w:val="20"/>
                <w:szCs w:val="20"/>
                <w:lang w:val="fr-FR"/>
              </w:rPr>
              <w:t> :</w:t>
            </w:r>
            <w:r w:rsidRPr="00653BF4">
              <w:rPr>
                <w:rFonts w:eastAsia="Aptos" w:cs="Aptos"/>
                <w:sz w:val="20"/>
                <w:szCs w:val="20"/>
                <w:lang w:val="fr-FR"/>
              </w:rPr>
              <w:t xml:space="preserve"> sur les 210 entreprises japonaises ayant adopté le cadre du TNFD en octobre 2025, environ 30</w:t>
            </w:r>
            <w:r w:rsidR="002878D7">
              <w:rPr>
                <w:rFonts w:eastAsia="Aptos" w:cs="Aptos"/>
                <w:sz w:val="20"/>
                <w:szCs w:val="20"/>
                <w:lang w:val="fr-FR"/>
              </w:rPr>
              <w:t> %</w:t>
            </w:r>
            <w:r w:rsidRPr="00653BF4">
              <w:rPr>
                <w:rFonts w:eastAsia="Aptos" w:cs="Aptos"/>
                <w:sz w:val="20"/>
                <w:szCs w:val="20"/>
                <w:lang w:val="fr-FR"/>
              </w:rPr>
              <w:t xml:space="preserve"> étaient membres du Conseil de conservation de la nature du Keidanren. En outre, le Conseil collabore directement avec le Ministère de l’environnement et le Ministère des territoires, des infrastructures, des transports et du tourisme du Japon afin de renforcer le cadre politique propice à l’action des entreprises en faveur de la biodiversité, notamment par le biais de propositions concernant les infrastructures de données liées à la nature, les mesures d’incitation en faveur d’autres mesures de conservation efficaces par zone (AMCEZ) et les solutions fondées sur la nature, ainsi que l’intégration de la nature dans les stratégies de croissance du pays. En collaboration avec le Ministère japonais de l</w:t>
            </w:r>
            <w:r w:rsidR="00D77549">
              <w:rPr>
                <w:rFonts w:eastAsia="Aptos" w:cs="Aptos"/>
                <w:sz w:val="20"/>
                <w:szCs w:val="20"/>
                <w:lang w:val="fr-FR"/>
              </w:rPr>
              <w:t>’</w:t>
            </w:r>
            <w:r w:rsidRPr="00653BF4">
              <w:rPr>
                <w:rFonts w:eastAsia="Aptos" w:cs="Aptos"/>
                <w:sz w:val="20"/>
                <w:szCs w:val="20"/>
                <w:lang w:val="fr-FR"/>
              </w:rPr>
              <w:t>environnement, le Conseil participe également au projet COMDEKS (développement communautaire et gestion des connaissances pour l</w:t>
            </w:r>
            <w:r w:rsidR="00D77549">
              <w:rPr>
                <w:rFonts w:eastAsia="Aptos" w:cs="Aptos"/>
                <w:sz w:val="20"/>
                <w:szCs w:val="20"/>
                <w:lang w:val="fr-FR"/>
              </w:rPr>
              <w:t>’</w:t>
            </w:r>
            <w:r w:rsidRPr="00653BF4">
              <w:rPr>
                <w:rFonts w:eastAsia="Aptos" w:cs="Aptos"/>
                <w:sz w:val="20"/>
                <w:szCs w:val="20"/>
                <w:lang w:val="fr-FR"/>
              </w:rPr>
              <w:t>initiative Satoyama), mis en œuvre par le PNUD. Les progrès accomplis sont présentés chaque année lors de l</w:t>
            </w:r>
            <w:r w:rsidR="00D77549">
              <w:rPr>
                <w:rFonts w:eastAsia="Aptos" w:cs="Aptos"/>
                <w:sz w:val="20"/>
                <w:szCs w:val="20"/>
                <w:lang w:val="fr-FR"/>
              </w:rPr>
              <w:t>’</w:t>
            </w:r>
            <w:r w:rsidRPr="00653BF4">
              <w:rPr>
                <w:rFonts w:eastAsia="Aptos" w:cs="Aptos"/>
                <w:sz w:val="20"/>
                <w:szCs w:val="20"/>
                <w:lang w:val="fr-FR"/>
              </w:rPr>
              <w:t xml:space="preserve">assemblée générale du Conseil et sont évalués au regard de la stratégie et du plan d’action nationaux pour la biodiversité (SPANB) du pays et de </w:t>
            </w:r>
            <w:r w:rsidRPr="00653BF4">
              <w:rPr>
                <w:rFonts w:eastAsia="Aptos" w:cs="Aptos"/>
                <w:sz w:val="20"/>
                <w:szCs w:val="20"/>
                <w:lang w:val="fr-FR"/>
              </w:rPr>
              <w:lastRenderedPageBreak/>
              <w:t>l</w:t>
            </w:r>
            <w:r w:rsidR="00D77549">
              <w:rPr>
                <w:rFonts w:eastAsia="Aptos" w:cs="Aptos"/>
                <w:sz w:val="20"/>
                <w:szCs w:val="20"/>
                <w:lang w:val="fr-FR"/>
              </w:rPr>
              <w:t>’</w:t>
            </w:r>
            <w:r w:rsidRPr="00653BF4">
              <w:rPr>
                <w:rFonts w:eastAsia="Aptos" w:cs="Aptos"/>
                <w:sz w:val="20"/>
                <w:szCs w:val="20"/>
                <w:lang w:val="fr-FR"/>
              </w:rPr>
              <w:t>indicateur phare du Cadre relatif au financement privé de la conservation de la biodiversité (indicateur phare D.3).</w:t>
            </w:r>
          </w:p>
          <w:p w14:paraId="50D95BD7" w14:textId="77777777" w:rsidR="00B87039" w:rsidRPr="00653BF4" w:rsidRDefault="00B87039" w:rsidP="00557FB3">
            <w:pPr>
              <w:spacing w:line="276" w:lineRule="auto"/>
              <w:rPr>
                <w:rFonts w:eastAsia="Aptos" w:cs="Aptos"/>
                <w:lang w:val="fr-FR"/>
              </w:rPr>
            </w:pPr>
          </w:p>
          <w:p w14:paraId="3DA52E95" w14:textId="1FEC299C" w:rsidR="00B87039" w:rsidRPr="00653BF4" w:rsidRDefault="00B87039" w:rsidP="00557FB3">
            <w:pPr>
              <w:spacing w:line="276" w:lineRule="auto"/>
              <w:rPr>
                <w:rFonts w:eastAsia="Aptos" w:cs="Aptos"/>
                <w:sz w:val="20"/>
                <w:szCs w:val="20"/>
                <w:lang w:val="fr-FR"/>
              </w:rPr>
            </w:pPr>
            <w:r w:rsidRPr="00653BF4">
              <w:rPr>
                <w:rFonts w:eastAsia="Aptos" w:cs="Aptos"/>
                <w:i/>
                <w:iCs/>
                <w:sz w:val="20"/>
                <w:szCs w:val="20"/>
                <w:lang w:val="fr-FR"/>
              </w:rPr>
              <w:t>Cibles concernées</w:t>
            </w:r>
            <w:r w:rsidR="00E34DC9">
              <w:rPr>
                <w:rFonts w:eastAsia="Aptos" w:cs="Aptos"/>
                <w:i/>
                <w:iCs/>
                <w:sz w:val="20"/>
                <w:szCs w:val="20"/>
                <w:lang w:val="fr-FR"/>
              </w:rPr>
              <w:t> :</w:t>
            </w:r>
            <w:r w:rsidRPr="00653BF4">
              <w:rPr>
                <w:rFonts w:eastAsia="Aptos" w:cs="Aptos"/>
                <w:i/>
                <w:iCs/>
                <w:sz w:val="20"/>
                <w:szCs w:val="20"/>
                <w:lang w:val="fr-FR"/>
              </w:rPr>
              <w:t xml:space="preserve"> </w:t>
            </w:r>
            <w:r w:rsidRPr="00653BF4">
              <w:rPr>
                <w:rFonts w:eastAsia="Aptos" w:cs="Aptos"/>
                <w:sz w:val="20"/>
                <w:szCs w:val="20"/>
                <w:lang w:val="fr-FR"/>
              </w:rPr>
              <w:t>3, 8, 11, 15, 19, 20 et 21.</w:t>
            </w:r>
          </w:p>
          <w:p w14:paraId="04F8DE0D" w14:textId="5860443A" w:rsidR="00B87039" w:rsidRPr="00653BF4" w:rsidRDefault="00B87039" w:rsidP="00557FB3">
            <w:pPr>
              <w:spacing w:line="276" w:lineRule="auto"/>
              <w:rPr>
                <w:sz w:val="20"/>
                <w:szCs w:val="20"/>
                <w:lang w:val="fr-FR"/>
              </w:rPr>
            </w:pPr>
            <w:r w:rsidRPr="00653BF4">
              <w:rPr>
                <w:i/>
                <w:iCs/>
                <w:sz w:val="20"/>
                <w:szCs w:val="20"/>
                <w:lang w:val="fr-FR"/>
              </w:rPr>
              <w:t>Source</w:t>
            </w:r>
            <w:r w:rsidR="00E34DC9">
              <w:rPr>
                <w:i/>
                <w:iCs/>
                <w:sz w:val="20"/>
                <w:szCs w:val="20"/>
                <w:lang w:val="fr-FR"/>
              </w:rPr>
              <w:t> :</w:t>
            </w:r>
            <w:r w:rsidRPr="00653BF4">
              <w:rPr>
                <w:i/>
                <w:iCs/>
                <w:sz w:val="20"/>
                <w:szCs w:val="20"/>
                <w:lang w:val="fr-FR"/>
              </w:rPr>
              <w:t xml:space="preserve"> </w:t>
            </w:r>
            <w:r w:rsidRPr="00653BF4">
              <w:rPr>
                <w:sz w:val="20"/>
                <w:szCs w:val="20"/>
                <w:lang w:val="fr-FR"/>
              </w:rPr>
              <w:t xml:space="preserve">Conseil de conservation de la nature du Keidanren, engagement des parties prenantes (voir </w:t>
            </w:r>
            <w:hyperlink r:id="rId169">
              <w:r w:rsidRPr="00653BF4">
                <w:rPr>
                  <w:rStyle w:val="Hyperlink"/>
                  <w:sz w:val="20"/>
                  <w:szCs w:val="20"/>
                  <w:lang w:val="fr-FR"/>
                </w:rPr>
                <w:t>https://ort.cbd.int/database/293333</w:t>
              </w:r>
            </w:hyperlink>
            <w:r w:rsidRPr="00653BF4">
              <w:rPr>
                <w:sz w:val="20"/>
                <w:szCs w:val="20"/>
                <w:lang w:val="fr-FR"/>
              </w:rPr>
              <w:t>).</w:t>
            </w:r>
          </w:p>
          <w:p w14:paraId="5A6B5CFB" w14:textId="77777777" w:rsidR="00B87039" w:rsidRPr="00653BF4" w:rsidRDefault="00B87039" w:rsidP="00557FB3">
            <w:pPr>
              <w:rPr>
                <w:lang w:val="fr-FR"/>
              </w:rPr>
            </w:pPr>
          </w:p>
        </w:tc>
      </w:tr>
    </w:tbl>
    <w:p w14:paraId="61FEAF6C" w14:textId="77777777" w:rsidR="00B87039" w:rsidRPr="00653BF4" w:rsidRDefault="00B87039" w:rsidP="00B87039">
      <w:pPr>
        <w:pStyle w:val="Heading6"/>
        <w:rPr>
          <w:lang w:val="fr-FR"/>
        </w:rPr>
      </w:pPr>
    </w:p>
    <w:p w14:paraId="029CBE05" w14:textId="2242241F" w:rsidR="00B87039" w:rsidRPr="00653BF4" w:rsidRDefault="00B87039" w:rsidP="00B87039">
      <w:pPr>
        <w:pStyle w:val="Heading6"/>
        <w:rPr>
          <w:lang w:val="fr-FR"/>
        </w:rPr>
      </w:pPr>
      <w:bookmarkStart w:id="309" w:name="_Toc235821242"/>
      <w:r w:rsidRPr="00653BF4">
        <w:rPr>
          <w:lang w:val="fr-FR"/>
        </w:rPr>
        <w:t>Contributions intégrées dans les rapports nationaux</w:t>
      </w:r>
      <w:bookmarkEnd w:id="309"/>
    </w:p>
    <w:p w14:paraId="52327BFD" w14:textId="77777777" w:rsidR="00B87039" w:rsidRPr="00653BF4" w:rsidRDefault="00B87039" w:rsidP="00B87039">
      <w:pPr>
        <w:rPr>
          <w:lang w:val="fr-FR"/>
        </w:rPr>
      </w:pPr>
    </w:p>
    <w:p w14:paraId="75CB7F43" w14:textId="118E472D" w:rsidR="00B87039" w:rsidRPr="00653BF4" w:rsidRDefault="00B87039" w:rsidP="00B87039">
      <w:pPr>
        <w:rPr>
          <w:lang w:val="fr-FR"/>
        </w:rPr>
      </w:pPr>
      <w:r w:rsidRPr="00653BF4">
        <w:rPr>
          <w:lang w:val="fr-FR"/>
        </w:rPr>
        <w:t xml:space="preserve">Les acteurs du monde des affaires et de la finance contribuent à la réalisation de la </w:t>
      </w:r>
      <w:r w:rsidR="00E34DC9">
        <w:rPr>
          <w:lang w:val="fr-FR"/>
        </w:rPr>
        <w:t>cible 1</w:t>
      </w:r>
      <w:r w:rsidRPr="00653BF4">
        <w:rPr>
          <w:lang w:val="fr-FR"/>
        </w:rPr>
        <w:t>5 en communiquant des informations sur la biodiversité et en intégrant les risques liés à celle-ci, en adoptant des cadres de publication et de présentation des rapports (voir la section ci-dessous), en intégrant les risques liés à la biodiversité dans leurs activités de prêt et d’investissement, en émettant des obligations vertes et en élaborant des protocoles de finance durable ainsi que des taxonomies vertes. Les organisations intergouvernementales et les partenaires internationaux fournissent un cofinancement, une assistance technique et des cadres normatifs. Parmi les organisations les plus souvent citées figurent BIOFIN, la Société financière internationale, la Banque mondiale, le FEM, le PNUD et le PNUE. Les ONG et la société civile se sont mobilisées pour</w:t>
      </w:r>
      <w:r w:rsidRPr="00653BF4">
        <w:rPr>
          <w:lang w:val="fr-FR"/>
        </w:rPr>
        <w:br/>
        <w:t xml:space="preserve"> co-organiser des plateformes réunissant les entreprises et les acteurs de la biodiversité et pour mettre en place des actions de renforcement des capacités. Les peuples autochtones et communautés locales exercent les fonctions de cogestionnaires, de partenaires dans le partage des avantages et de détenteurs de connaissances dans le cadre de mécanismes d</w:t>
      </w:r>
      <w:r w:rsidR="00D77549">
        <w:rPr>
          <w:lang w:val="fr-FR"/>
        </w:rPr>
        <w:t>’</w:t>
      </w:r>
      <w:r w:rsidRPr="00653BF4">
        <w:rPr>
          <w:lang w:val="fr-FR"/>
        </w:rPr>
        <w:t>APA et de paiement de services écosystémiques. Les autorités infranationales ont pris des mesures pour gérer les systèmes de certification et adopter des dispositions législatives. Les citoyens, les jeunes, ainsi que les femmes et les filles, restent pour l</w:t>
      </w:r>
      <w:r w:rsidR="00D77549">
        <w:rPr>
          <w:lang w:val="fr-FR"/>
        </w:rPr>
        <w:t>’</w:t>
      </w:r>
      <w:r w:rsidRPr="00653BF4">
        <w:rPr>
          <w:lang w:val="fr-FR"/>
        </w:rPr>
        <w:t>essentiel les destinataires des actions de sensibilisation.</w:t>
      </w:r>
    </w:p>
    <w:p w14:paraId="1ADE22D4" w14:textId="77777777" w:rsidR="00B87039" w:rsidRPr="00653BF4" w:rsidRDefault="00B87039" w:rsidP="00B87039">
      <w:pPr>
        <w:rPr>
          <w:lang w:val="fr-FR"/>
        </w:rPr>
      </w:pPr>
    </w:p>
    <w:p w14:paraId="56EAF1A9" w14:textId="5635DC2A" w:rsidR="00B87039" w:rsidRPr="00653BF4" w:rsidRDefault="00B87039" w:rsidP="00B87039">
      <w:pPr>
        <w:pStyle w:val="Heading5"/>
        <w:rPr>
          <w:lang w:val="fr-FR"/>
        </w:rPr>
      </w:pPr>
      <w:r w:rsidRPr="00653BF4">
        <w:rPr>
          <w:lang w:val="fr-FR"/>
        </w:rPr>
        <w:t>Exemples de liens avec d</w:t>
      </w:r>
      <w:r w:rsidR="00D77549">
        <w:rPr>
          <w:lang w:val="fr-FR"/>
        </w:rPr>
        <w:t>’</w:t>
      </w:r>
      <w:r w:rsidRPr="00653BF4">
        <w:rPr>
          <w:lang w:val="fr-FR"/>
        </w:rPr>
        <w:t>autres accords, organisations et processus</w:t>
      </w:r>
    </w:p>
    <w:p w14:paraId="0E45C7A6" w14:textId="77777777" w:rsidR="00B87039" w:rsidRPr="00653BF4" w:rsidRDefault="00B87039" w:rsidP="00B87039">
      <w:pPr>
        <w:rPr>
          <w:lang w:val="fr-FR"/>
        </w:rPr>
      </w:pPr>
    </w:p>
    <w:p w14:paraId="2608EA52" w14:textId="65E9DE77" w:rsidR="00B87039" w:rsidRPr="00653BF4" w:rsidRDefault="00B87039" w:rsidP="00B87039">
      <w:pPr>
        <w:rPr>
          <w:lang w:val="fr-FR"/>
        </w:rPr>
      </w:pPr>
      <w:r w:rsidRPr="00653BF4">
        <w:rPr>
          <w:lang w:val="fr-FR"/>
        </w:rPr>
        <w:t xml:space="preserve">La mise en œuvre de la </w:t>
      </w:r>
      <w:r w:rsidR="00E34DC9">
        <w:rPr>
          <w:lang w:val="fr-FR"/>
        </w:rPr>
        <w:t>cible 1</w:t>
      </w:r>
      <w:r w:rsidRPr="00653BF4">
        <w:rPr>
          <w:lang w:val="fr-FR"/>
        </w:rPr>
        <w:t>5 s</w:t>
      </w:r>
      <w:r w:rsidR="00D77549">
        <w:rPr>
          <w:lang w:val="fr-FR"/>
        </w:rPr>
        <w:t>’</w:t>
      </w:r>
      <w:r w:rsidRPr="00653BF4">
        <w:rPr>
          <w:lang w:val="fr-FR"/>
        </w:rPr>
        <w:t>appuie sur un ensemble de cadres de publication d</w:t>
      </w:r>
      <w:r w:rsidR="00D77549">
        <w:rPr>
          <w:lang w:val="fr-FR"/>
        </w:rPr>
        <w:t>’</w:t>
      </w:r>
      <w:r w:rsidRPr="00653BF4">
        <w:rPr>
          <w:lang w:val="fr-FR"/>
        </w:rPr>
        <w:t>informations et de normes de présentation des rapports reconnus à l</w:t>
      </w:r>
      <w:r w:rsidR="00D77549">
        <w:rPr>
          <w:lang w:val="fr-FR"/>
        </w:rPr>
        <w:t>’</w:t>
      </w:r>
      <w:r w:rsidRPr="00653BF4">
        <w:rPr>
          <w:lang w:val="fr-FR"/>
        </w:rPr>
        <w:t xml:space="preserve">échelle internationale, qui fournissent des informations complémentaires sur la biodiversité et la nature. Ensemble, ces outils peuvent fournir des informations sur les impacts, les dépendances et les risques sur la biodiversité. Plus précisément, la Global Reporting Initiative (GRI) (Bosetti, 2023), le TNFD (Groupe de travail sur les informations financières </w:t>
      </w:r>
      <w:r w:rsidRPr="00653BF4">
        <w:rPr>
          <w:lang w:val="fr-FR"/>
        </w:rPr>
        <w:lastRenderedPageBreak/>
        <w:t>liées à la nature, 2023) et le Conseil international des normes de durabilité (Conseil international des normes de durabilité, 2023) collaborent à la mise en place d’un système mondial cohérent de présentation de rapports sur la nature qui englobera les impacts, les dépendances, les risques et les possibilités, tant du point de vue de l’impact que de celui de la matérialité financière, fournissant ainsi l’architecture de communication d</w:t>
      </w:r>
      <w:r w:rsidR="00D77549">
        <w:rPr>
          <w:lang w:val="fr-FR"/>
        </w:rPr>
        <w:t>’</w:t>
      </w:r>
      <w:r w:rsidRPr="00653BF4">
        <w:rPr>
          <w:lang w:val="fr-FR"/>
        </w:rPr>
        <w:t xml:space="preserve">informations nécessaire à la mise en œuvre complète de la </w:t>
      </w:r>
      <w:r w:rsidR="00E34DC9">
        <w:rPr>
          <w:lang w:val="fr-FR"/>
        </w:rPr>
        <w:t>cible 1</w:t>
      </w:r>
      <w:r w:rsidRPr="00653BF4">
        <w:rPr>
          <w:lang w:val="fr-FR"/>
        </w:rPr>
        <w:t>5. Le système mondial de présentation de rapports s</w:t>
      </w:r>
      <w:r w:rsidR="00D77549">
        <w:rPr>
          <w:lang w:val="fr-FR"/>
        </w:rPr>
        <w:t>’</w:t>
      </w:r>
      <w:r w:rsidRPr="00653BF4">
        <w:rPr>
          <w:lang w:val="fr-FR"/>
        </w:rPr>
        <w:t>appuiera sur trois principaux cadres complémentaires déjà en place</w:t>
      </w:r>
      <w:r w:rsidR="00E34DC9">
        <w:rPr>
          <w:lang w:val="fr-FR"/>
        </w:rPr>
        <w:t> :</w:t>
      </w:r>
      <w:r w:rsidRPr="00653BF4">
        <w:rPr>
          <w:lang w:val="fr-FR"/>
        </w:rPr>
        <w:t xml:space="preserve"> le TNFD aide les organisations à évaluer et à rendre compte de leurs dépendances, impacts, risques et possibilités liés à la nature</w:t>
      </w:r>
      <w:r w:rsidR="00E34DC9">
        <w:rPr>
          <w:lang w:val="fr-FR"/>
        </w:rPr>
        <w:t> ;</w:t>
      </w:r>
      <w:r w:rsidRPr="00653BF4">
        <w:rPr>
          <w:lang w:val="fr-FR"/>
        </w:rPr>
        <w:t xml:space="preserve"> la Global Reporting Initiative fournit des normes applicables à l</w:t>
      </w:r>
      <w:r w:rsidR="00D77549">
        <w:rPr>
          <w:lang w:val="fr-FR"/>
        </w:rPr>
        <w:t>’</w:t>
      </w:r>
      <w:r w:rsidRPr="00653BF4">
        <w:rPr>
          <w:lang w:val="fr-FR"/>
        </w:rPr>
        <w:t>échelle mondiale pour la présentation de rapports sur les impacts, la gestion et les résultats relatifs à la biodiversité</w:t>
      </w:r>
      <w:r w:rsidR="00E34DC9">
        <w:rPr>
          <w:lang w:val="fr-FR"/>
        </w:rPr>
        <w:t> ;</w:t>
      </w:r>
      <w:r w:rsidRPr="00653BF4">
        <w:rPr>
          <w:lang w:val="fr-FR"/>
        </w:rPr>
        <w:t xml:space="preserve"> et les normes européennes d</w:t>
      </w:r>
      <w:r w:rsidR="00D77549">
        <w:rPr>
          <w:lang w:val="fr-FR"/>
        </w:rPr>
        <w:t>’</w:t>
      </w:r>
      <w:r w:rsidRPr="00653BF4">
        <w:rPr>
          <w:lang w:val="fr-FR"/>
        </w:rPr>
        <w:t>information en matière de durabilité imposent aux entreprises européennes concernées de communiquer des informations relatives à la nature. Étant donné que le TNFD et les normes européennes d</w:t>
      </w:r>
      <w:r w:rsidR="00D77549">
        <w:rPr>
          <w:lang w:val="fr-FR"/>
        </w:rPr>
        <w:t>’</w:t>
      </w:r>
      <w:r w:rsidRPr="00653BF4">
        <w:rPr>
          <w:lang w:val="fr-FR"/>
        </w:rPr>
        <w:t>information en matière de durabilité présentent une forte interopérabilité avec les normes de la Global Reporting Initiative, ils offrent une base factuelle cohérente et riche en données pour la mise en œuvre.</w:t>
      </w:r>
    </w:p>
    <w:p w14:paraId="3F121C6A" w14:textId="77777777" w:rsidR="00B87039" w:rsidRPr="00653BF4" w:rsidRDefault="00B87039" w:rsidP="00B87039">
      <w:pPr>
        <w:rPr>
          <w:lang w:val="fr-FR"/>
        </w:rPr>
      </w:pPr>
    </w:p>
    <w:p w14:paraId="34D8D311" w14:textId="571E1262" w:rsidR="00B87039" w:rsidRPr="00653BF4" w:rsidRDefault="00E34DC9" w:rsidP="00B87039">
      <w:pPr>
        <w:pStyle w:val="Heading4"/>
        <w:rPr>
          <w:i w:val="0"/>
          <w:iCs w:val="0"/>
          <w:lang w:val="fr-FR"/>
        </w:rPr>
      </w:pPr>
      <w:bookmarkStart w:id="310" w:name="_Toc235821243"/>
      <w:bookmarkStart w:id="311" w:name="_Toc239069212"/>
      <w:bookmarkStart w:id="312" w:name="_Toc980791050"/>
      <w:bookmarkStart w:id="313" w:name="_Toc242801249"/>
      <w:r>
        <w:rPr>
          <w:b/>
          <w:bCs/>
          <w:i w:val="0"/>
          <w:iCs w:val="0"/>
          <w:lang w:val="fr-FR"/>
        </w:rPr>
        <w:t>Cible 1</w:t>
      </w:r>
      <w:r w:rsidR="00B87039" w:rsidRPr="00653BF4">
        <w:rPr>
          <w:b/>
          <w:bCs/>
          <w:i w:val="0"/>
          <w:iCs w:val="0"/>
          <w:lang w:val="fr-FR"/>
        </w:rPr>
        <w:t>6</w:t>
      </w:r>
      <w:r w:rsidR="00B87039" w:rsidRPr="00653BF4">
        <w:rPr>
          <w:i w:val="0"/>
          <w:iCs w:val="0"/>
          <w:lang w:val="fr-FR"/>
        </w:rPr>
        <w:t>.</w:t>
      </w:r>
      <w:r w:rsidR="00B87039" w:rsidRPr="00653BF4">
        <w:rPr>
          <w:lang w:val="fr-FR"/>
        </w:rPr>
        <w:t xml:space="preserve"> </w:t>
      </w:r>
      <w:r w:rsidR="00B87039" w:rsidRPr="00653BF4">
        <w:rPr>
          <w:i w:val="0"/>
          <w:iCs w:val="0"/>
          <w:lang w:val="fr-FR"/>
        </w:rPr>
        <w:t>Favoriser des choix de consommation durables afin de réduire les déchets et la surconsommation</w:t>
      </w:r>
      <w:bookmarkEnd w:id="310"/>
      <w:bookmarkEnd w:id="311"/>
      <w:bookmarkEnd w:id="312"/>
      <w:bookmarkEnd w:id="313"/>
    </w:p>
    <w:p w14:paraId="7D2614BB" w14:textId="77777777" w:rsidR="00B87039" w:rsidRPr="00653BF4" w:rsidRDefault="00B87039" w:rsidP="00B87039">
      <w:pPr>
        <w:rPr>
          <w:lang w:val="fr-FR"/>
        </w:rPr>
      </w:pPr>
    </w:p>
    <w:p w14:paraId="38F636CE" w14:textId="6B3ADAFB" w:rsidR="00B87039" w:rsidRPr="00653BF4" w:rsidRDefault="00B87039" w:rsidP="00B87039">
      <w:pPr>
        <w:rPr>
          <w:i/>
          <w:iCs/>
          <w:sz w:val="22"/>
          <w:szCs w:val="22"/>
          <w:lang w:val="fr-FR"/>
        </w:rPr>
      </w:pPr>
      <w:r w:rsidRPr="00653BF4">
        <w:rPr>
          <w:b/>
          <w:bCs/>
          <w:lang w:val="fr-FR"/>
        </w:rPr>
        <w:t>Texte de la cible</w:t>
      </w:r>
      <w:r w:rsidRPr="00653BF4">
        <w:rPr>
          <w:lang w:val="fr-FR"/>
        </w:rPr>
        <w:t>.</w:t>
      </w:r>
      <w:r w:rsidRPr="00653BF4">
        <w:rPr>
          <w:i/>
          <w:iCs/>
          <w:lang w:val="fr-FR"/>
        </w:rPr>
        <w:t xml:space="preserve"> </w:t>
      </w:r>
      <w:r w:rsidRPr="00653BF4">
        <w:rPr>
          <w:i/>
          <w:iCs/>
          <w:sz w:val="22"/>
          <w:szCs w:val="22"/>
          <w:lang w:val="fr-FR"/>
        </w:rPr>
        <w:t>Encourager les populations à faire des choix de consommation durables et leur donner les moyens de le faire, notamment en créant des cadres politiques, législatifs ou réglementaires propices, en améliorant l</w:t>
      </w:r>
      <w:r w:rsidR="00D77549">
        <w:rPr>
          <w:i/>
          <w:iCs/>
          <w:sz w:val="22"/>
          <w:szCs w:val="22"/>
          <w:lang w:val="fr-FR"/>
        </w:rPr>
        <w:t>’</w:t>
      </w:r>
      <w:r w:rsidRPr="00653BF4">
        <w:rPr>
          <w:i/>
          <w:iCs/>
          <w:sz w:val="22"/>
          <w:szCs w:val="22"/>
          <w:lang w:val="fr-FR"/>
        </w:rPr>
        <w:t>éducation ainsi que l</w:t>
      </w:r>
      <w:r w:rsidR="00D77549">
        <w:rPr>
          <w:i/>
          <w:iCs/>
          <w:sz w:val="22"/>
          <w:szCs w:val="22"/>
          <w:lang w:val="fr-FR"/>
        </w:rPr>
        <w:t>’</w:t>
      </w:r>
      <w:r w:rsidRPr="00653BF4">
        <w:rPr>
          <w:i/>
          <w:iCs/>
          <w:sz w:val="22"/>
          <w:szCs w:val="22"/>
          <w:lang w:val="fr-FR"/>
        </w:rPr>
        <w:t>accès à des informations pertinentes et précises et à des solutions de substitution, et, d</w:t>
      </w:r>
      <w:r w:rsidR="00D77549">
        <w:rPr>
          <w:i/>
          <w:iCs/>
          <w:sz w:val="22"/>
          <w:szCs w:val="22"/>
          <w:lang w:val="fr-FR"/>
        </w:rPr>
        <w:t>’</w:t>
      </w:r>
      <w:r w:rsidRPr="00653BF4">
        <w:rPr>
          <w:i/>
          <w:iCs/>
          <w:sz w:val="22"/>
          <w:szCs w:val="22"/>
          <w:lang w:val="fr-FR"/>
        </w:rPr>
        <w:t>ici à 2030, réduire l</w:t>
      </w:r>
      <w:r w:rsidR="00D77549">
        <w:rPr>
          <w:i/>
          <w:iCs/>
          <w:sz w:val="22"/>
          <w:szCs w:val="22"/>
          <w:lang w:val="fr-FR"/>
        </w:rPr>
        <w:t>’</w:t>
      </w:r>
      <w:r w:rsidRPr="00653BF4">
        <w:rPr>
          <w:i/>
          <w:iCs/>
          <w:sz w:val="22"/>
          <w:szCs w:val="22"/>
          <w:lang w:val="fr-FR"/>
        </w:rPr>
        <w:t>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w:t>
      </w:r>
    </w:p>
    <w:p w14:paraId="58A153D4" w14:textId="77777777" w:rsidR="00B87039" w:rsidRPr="00653BF4" w:rsidRDefault="00B87039" w:rsidP="00B87039">
      <w:pPr>
        <w:rPr>
          <w:lang w:val="fr-FR"/>
        </w:rPr>
      </w:pPr>
    </w:p>
    <w:p w14:paraId="4019C16F" w14:textId="77777777" w:rsidR="00B87039" w:rsidRPr="00653BF4" w:rsidRDefault="00B87039" w:rsidP="00B87039">
      <w:pPr>
        <w:pStyle w:val="Heading5"/>
        <w:rPr>
          <w:lang w:val="fr-FR"/>
        </w:rPr>
      </w:pPr>
      <w:r w:rsidRPr="00653BF4">
        <w:rPr>
          <w:lang w:val="fr-FR"/>
        </w:rPr>
        <w:t>Aperçu des progrès accomplis</w:t>
      </w:r>
    </w:p>
    <w:tbl>
      <w:tblPr>
        <w:tblStyle w:val="TableGrid"/>
        <w:tblW w:w="0" w:type="auto"/>
        <w:tblLook w:val="04A0" w:firstRow="1" w:lastRow="0" w:firstColumn="1" w:lastColumn="0" w:noHBand="0" w:noVBand="1"/>
      </w:tblPr>
      <w:tblGrid>
        <w:gridCol w:w="9016"/>
      </w:tblGrid>
      <w:tr w:rsidR="00B87039" w:rsidRPr="00543148" w14:paraId="4E2BB4EA" w14:textId="77777777" w:rsidTr="00557FB3">
        <w:tc>
          <w:tcPr>
            <w:tcW w:w="9016" w:type="dxa"/>
            <w:shd w:val="clear" w:color="auto" w:fill="D1D1D1" w:themeFill="background2" w:themeFillShade="E6"/>
          </w:tcPr>
          <w:p w14:paraId="371E9BDD" w14:textId="77777777" w:rsidR="00B87039" w:rsidRPr="00653BF4" w:rsidRDefault="00B87039" w:rsidP="00557FB3">
            <w:pPr>
              <w:pStyle w:val="p1"/>
              <w:rPr>
                <w:rFonts w:ascii="Aptos" w:hAnsi="Aptos" w:cs="Calibri"/>
                <w:sz w:val="24"/>
                <w:szCs w:val="24"/>
                <w:lang w:val="fr-FR"/>
              </w:rPr>
            </w:pPr>
          </w:p>
          <w:p w14:paraId="2C4E2D47" w14:textId="25492312" w:rsidR="00B87039" w:rsidRPr="00653BF4" w:rsidRDefault="00B87039" w:rsidP="00557FB3">
            <w:pPr>
              <w:pStyle w:val="p1"/>
              <w:rPr>
                <w:rFonts w:asciiTheme="minorHAnsi" w:hAnsiTheme="minorHAnsi"/>
                <w:sz w:val="24"/>
                <w:szCs w:val="24"/>
                <w:lang w:val="fr-FR"/>
              </w:rPr>
            </w:pPr>
            <w:r w:rsidRPr="00653BF4">
              <w:rPr>
                <w:rFonts w:asciiTheme="minorHAnsi" w:hAnsiTheme="minorHAnsi"/>
                <w:sz w:val="24"/>
                <w:szCs w:val="24"/>
                <w:lang w:val="fr-FR"/>
              </w:rPr>
              <w:t xml:space="preserve">La plupart des aspects de la </w:t>
            </w:r>
            <w:r w:rsidR="00E34DC9">
              <w:rPr>
                <w:rFonts w:asciiTheme="minorHAnsi" w:hAnsiTheme="minorHAnsi"/>
                <w:sz w:val="24"/>
                <w:szCs w:val="24"/>
                <w:lang w:val="fr-FR"/>
              </w:rPr>
              <w:t>cible 1</w:t>
            </w:r>
            <w:r w:rsidRPr="00653BF4">
              <w:rPr>
                <w:rFonts w:asciiTheme="minorHAnsi" w:hAnsiTheme="minorHAnsi"/>
                <w:sz w:val="24"/>
                <w:szCs w:val="24"/>
                <w:lang w:val="fr-FR"/>
              </w:rPr>
              <w:t xml:space="preserve">6 ne sont pas suffisamment pris en compte dans les cibles nationales, mais les efforts déployés en faveur de la mise en œuvre des instruments de politique générale pertinents progressent. Moins de la moitié des Parties dont les cibles nationales ont été examinées dans le rapport mondial ont abordé un élément particulier de la </w:t>
            </w:r>
            <w:r w:rsidR="00E34DC9">
              <w:rPr>
                <w:rFonts w:asciiTheme="minorHAnsi" w:hAnsiTheme="minorHAnsi"/>
                <w:sz w:val="24"/>
                <w:szCs w:val="24"/>
                <w:lang w:val="fr-FR"/>
              </w:rPr>
              <w:t>cible 1</w:t>
            </w:r>
            <w:r w:rsidRPr="00653BF4">
              <w:rPr>
                <w:rFonts w:asciiTheme="minorHAnsi" w:hAnsiTheme="minorHAnsi"/>
                <w:sz w:val="24"/>
                <w:szCs w:val="24"/>
                <w:lang w:val="fr-FR"/>
              </w:rPr>
              <w:t>6. Des progrès notables ont été signalés dans la mise en place de politiques et de mécanismes à l</w:t>
            </w:r>
            <w:r w:rsidR="00D77549">
              <w:rPr>
                <w:rFonts w:asciiTheme="minorHAnsi" w:hAnsiTheme="minorHAnsi"/>
                <w:sz w:val="24"/>
                <w:szCs w:val="24"/>
                <w:lang w:val="fr-FR"/>
              </w:rPr>
              <w:t>’</w:t>
            </w:r>
            <w:r w:rsidRPr="00653BF4">
              <w:rPr>
                <w:rFonts w:asciiTheme="minorHAnsi" w:hAnsiTheme="minorHAnsi"/>
                <w:sz w:val="24"/>
                <w:szCs w:val="24"/>
                <w:lang w:val="fr-FR"/>
              </w:rPr>
              <w:t>appui d</w:t>
            </w:r>
            <w:r w:rsidR="00D77549">
              <w:rPr>
                <w:rFonts w:asciiTheme="minorHAnsi" w:hAnsiTheme="minorHAnsi"/>
                <w:sz w:val="24"/>
                <w:szCs w:val="24"/>
                <w:lang w:val="fr-FR"/>
              </w:rPr>
              <w:t>’</w:t>
            </w:r>
            <w:r w:rsidRPr="00653BF4">
              <w:rPr>
                <w:rFonts w:asciiTheme="minorHAnsi" w:hAnsiTheme="minorHAnsi"/>
                <w:sz w:val="24"/>
                <w:szCs w:val="24"/>
                <w:lang w:val="fr-FR"/>
              </w:rPr>
              <w:t xml:space="preserve">une consommation </w:t>
            </w:r>
            <w:r w:rsidRPr="00653BF4">
              <w:rPr>
                <w:rFonts w:asciiTheme="minorHAnsi" w:hAnsiTheme="minorHAnsi"/>
                <w:sz w:val="24"/>
                <w:szCs w:val="24"/>
                <w:lang w:val="fr-FR"/>
              </w:rPr>
              <w:lastRenderedPageBreak/>
              <w:t>durable, mais les mesures spécifiques visant à lutter contre le gaspillage alimentaire, la surconsommation et la gestion des déchets sont encore en cours d</w:t>
            </w:r>
            <w:r w:rsidR="00D77549">
              <w:rPr>
                <w:rFonts w:asciiTheme="minorHAnsi" w:hAnsiTheme="minorHAnsi"/>
                <w:sz w:val="24"/>
                <w:szCs w:val="24"/>
                <w:lang w:val="fr-FR"/>
              </w:rPr>
              <w:t>’</w:t>
            </w:r>
            <w:r w:rsidRPr="00653BF4">
              <w:rPr>
                <w:rFonts w:asciiTheme="minorHAnsi" w:hAnsiTheme="minorHAnsi"/>
                <w:sz w:val="24"/>
                <w:szCs w:val="24"/>
                <w:lang w:val="fr-FR"/>
              </w:rPr>
              <w:t>élaboration. Dans leurs auto-évaluations, les Parties dont les rapports nationaux ont pu être analysés reconnaissent que la plupart (70</w:t>
            </w:r>
            <w:r w:rsidR="002878D7">
              <w:rPr>
                <w:rFonts w:asciiTheme="minorHAnsi" w:hAnsiTheme="minorHAnsi"/>
                <w:sz w:val="24"/>
                <w:szCs w:val="24"/>
                <w:lang w:val="fr-FR"/>
              </w:rPr>
              <w:t> %</w:t>
            </w:r>
            <w:r w:rsidRPr="00653BF4">
              <w:rPr>
                <w:rFonts w:asciiTheme="minorHAnsi" w:hAnsiTheme="minorHAnsi"/>
                <w:sz w:val="24"/>
                <w:szCs w:val="24"/>
                <w:lang w:val="fr-FR"/>
              </w:rPr>
              <w:t xml:space="preserve">) des cibles nationales liées à la </w:t>
            </w:r>
            <w:r w:rsidR="00E34DC9">
              <w:rPr>
                <w:rFonts w:asciiTheme="minorHAnsi" w:hAnsiTheme="minorHAnsi"/>
                <w:sz w:val="24"/>
                <w:szCs w:val="24"/>
                <w:lang w:val="fr-FR"/>
              </w:rPr>
              <w:t>cible 1</w:t>
            </w:r>
            <w:r w:rsidRPr="00653BF4">
              <w:rPr>
                <w:rFonts w:asciiTheme="minorHAnsi" w:hAnsiTheme="minorHAnsi"/>
                <w:sz w:val="24"/>
                <w:szCs w:val="24"/>
                <w:lang w:val="fr-FR"/>
              </w:rPr>
              <w:t>6 ne progressent pas suffisamment. Les Parties font état de difficultés majeures, notamment l</w:t>
            </w:r>
            <w:r w:rsidR="00D77549">
              <w:rPr>
                <w:rFonts w:asciiTheme="minorHAnsi" w:hAnsiTheme="minorHAnsi"/>
                <w:sz w:val="24"/>
                <w:szCs w:val="24"/>
                <w:lang w:val="fr-FR"/>
              </w:rPr>
              <w:t>’</w:t>
            </w:r>
            <w:r w:rsidRPr="00653BF4">
              <w:rPr>
                <w:rFonts w:asciiTheme="minorHAnsi" w:hAnsiTheme="minorHAnsi"/>
                <w:sz w:val="24"/>
                <w:szCs w:val="24"/>
                <w:lang w:val="fr-FR"/>
              </w:rPr>
              <w:t>absence d</w:t>
            </w:r>
            <w:r w:rsidR="00D77549">
              <w:rPr>
                <w:rFonts w:asciiTheme="minorHAnsi" w:hAnsiTheme="minorHAnsi"/>
                <w:sz w:val="24"/>
                <w:szCs w:val="24"/>
                <w:lang w:val="fr-FR"/>
              </w:rPr>
              <w:t>’</w:t>
            </w:r>
            <w:r w:rsidRPr="00653BF4">
              <w:rPr>
                <w:rFonts w:asciiTheme="minorHAnsi" w:hAnsiTheme="minorHAnsi"/>
                <w:sz w:val="24"/>
                <w:szCs w:val="24"/>
                <w:lang w:val="fr-FR"/>
              </w:rPr>
              <w:t>installations de gestion des déchets adéquates, le manque de moyens financiers et le défaut d</w:t>
            </w:r>
            <w:r w:rsidR="00D77549">
              <w:rPr>
                <w:rFonts w:asciiTheme="minorHAnsi" w:hAnsiTheme="minorHAnsi"/>
                <w:sz w:val="24"/>
                <w:szCs w:val="24"/>
                <w:lang w:val="fr-FR"/>
              </w:rPr>
              <w:t>’</w:t>
            </w:r>
            <w:r w:rsidRPr="00653BF4">
              <w:rPr>
                <w:rFonts w:asciiTheme="minorHAnsi" w:hAnsiTheme="minorHAnsi"/>
                <w:sz w:val="24"/>
                <w:szCs w:val="24"/>
                <w:lang w:val="fr-FR"/>
              </w:rPr>
              <w:t>application de la loi, la mise en œuvre insuffisante de la responsabilité élargie des producteurs, ainsi que la persistance d</w:t>
            </w:r>
            <w:r w:rsidR="00D77549">
              <w:rPr>
                <w:rFonts w:asciiTheme="minorHAnsi" w:hAnsiTheme="minorHAnsi"/>
                <w:sz w:val="24"/>
                <w:szCs w:val="24"/>
                <w:lang w:val="fr-FR"/>
              </w:rPr>
              <w:t>’</w:t>
            </w:r>
            <w:r w:rsidRPr="00653BF4">
              <w:rPr>
                <w:rFonts w:asciiTheme="minorHAnsi" w:hAnsiTheme="minorHAnsi"/>
                <w:sz w:val="24"/>
                <w:szCs w:val="24"/>
                <w:lang w:val="fr-FR"/>
              </w:rPr>
              <w:t>une empreinte élevée pour les matières premières dans certains pays.</w:t>
            </w:r>
          </w:p>
        </w:tc>
      </w:tr>
    </w:tbl>
    <w:p w14:paraId="7DC850B7" w14:textId="77777777" w:rsidR="00B87039" w:rsidRPr="00653BF4" w:rsidRDefault="00B87039" w:rsidP="00B87039">
      <w:pPr>
        <w:rPr>
          <w:b/>
          <w:bCs/>
          <w:i/>
          <w:iCs/>
          <w:sz w:val="22"/>
          <w:szCs w:val="22"/>
          <w:lang w:val="fr-FR"/>
        </w:rPr>
      </w:pPr>
    </w:p>
    <w:p w14:paraId="08CD8946" w14:textId="77777777" w:rsidR="00B87039" w:rsidRPr="00653BF4" w:rsidRDefault="00B87039" w:rsidP="00B87039">
      <w:pPr>
        <w:rPr>
          <w:b/>
          <w:bCs/>
          <w:i/>
          <w:iCs/>
          <w:sz w:val="22"/>
          <w:szCs w:val="22"/>
          <w:lang w:val="fr-FR"/>
        </w:rPr>
      </w:pPr>
    </w:p>
    <w:p w14:paraId="50180198" w14:textId="0E7780C3" w:rsidR="00B87039" w:rsidRPr="00653BF4" w:rsidRDefault="00B87039" w:rsidP="00B87039">
      <w:pPr>
        <w:pStyle w:val="Heading5"/>
        <w:rPr>
          <w:lang w:val="fr-FR"/>
        </w:rPr>
      </w:pPr>
      <w:r w:rsidRPr="00653BF4">
        <w:rPr>
          <w:lang w:val="fr-FR"/>
        </w:rPr>
        <w:t xml:space="preserve">Prise en compte par les Parties de la portée de la </w:t>
      </w:r>
      <w:r w:rsidR="00E34DC9">
        <w:rPr>
          <w:lang w:val="fr-FR"/>
        </w:rPr>
        <w:t>cible 1</w:t>
      </w:r>
      <w:r w:rsidRPr="00653BF4">
        <w:rPr>
          <w:lang w:val="fr-FR"/>
        </w:rPr>
        <w:t>6 du Cadre dans leurs cibles nationales</w:t>
      </w:r>
    </w:p>
    <w:p w14:paraId="440202C7" w14:textId="77777777" w:rsidR="00B87039" w:rsidRPr="00653BF4" w:rsidRDefault="00B87039" w:rsidP="00B87039">
      <w:pPr>
        <w:rPr>
          <w:b/>
          <w:bCs/>
          <w:i/>
          <w:iCs/>
          <w:sz w:val="22"/>
          <w:szCs w:val="22"/>
          <w:lang w:val="fr-FR"/>
        </w:rPr>
      </w:pPr>
    </w:p>
    <w:p w14:paraId="1C316EFA" w14:textId="77777777" w:rsidR="00B87039" w:rsidRPr="00653BF4" w:rsidRDefault="00B87039" w:rsidP="00B87039">
      <w:pPr>
        <w:rPr>
          <w:sz w:val="20"/>
          <w:szCs w:val="20"/>
          <w:lang w:val="fr-FR"/>
        </w:rPr>
      </w:pPr>
      <w:bookmarkStart w:id="314" w:name="_Ref230776321"/>
      <w:r w:rsidRPr="00653BF4">
        <w:rPr>
          <w:sz w:val="20"/>
          <w:szCs w:val="20"/>
          <w:lang w:val="fr-FR"/>
        </w:rPr>
        <w:t>Tableau 35</w:t>
      </w:r>
      <w:bookmarkStart w:id="315" w:name="_Ref231217040"/>
      <w:bookmarkEnd w:id="314"/>
    </w:p>
    <w:p w14:paraId="2F7B28C4" w14:textId="492AA007" w:rsidR="00B87039" w:rsidRPr="00653BF4" w:rsidRDefault="00B87039" w:rsidP="00B87039">
      <w:pPr>
        <w:rPr>
          <w:b/>
          <w:bCs/>
          <w:i/>
          <w:iCs/>
          <w:sz w:val="20"/>
          <w:szCs w:val="20"/>
          <w:lang w:val="fr-FR"/>
        </w:rPr>
      </w:pPr>
      <w:r w:rsidRPr="00653BF4">
        <w:rPr>
          <w:b/>
          <w:sz w:val="20"/>
          <w:szCs w:val="20"/>
          <w:lang w:val="fr-FR"/>
        </w:rPr>
        <w:t xml:space="preserve">Éléments de la </w:t>
      </w:r>
      <w:r w:rsidR="00E34DC9">
        <w:rPr>
          <w:b/>
          <w:sz w:val="20"/>
          <w:szCs w:val="20"/>
          <w:lang w:val="fr-FR"/>
        </w:rPr>
        <w:t>cible 1</w:t>
      </w:r>
      <w:r w:rsidRPr="00653BF4">
        <w:rPr>
          <w:b/>
          <w:sz w:val="20"/>
          <w:szCs w:val="20"/>
          <w:lang w:val="fr-FR"/>
        </w:rPr>
        <w:t xml:space="preserve">6 du Cadre et leur prise en compte </w:t>
      </w:r>
      <w:r w:rsidRPr="00653BF4">
        <w:rPr>
          <w:b/>
          <w:bCs/>
          <w:sz w:val="20"/>
          <w:szCs w:val="20"/>
          <w:lang w:val="fr-FR"/>
        </w:rPr>
        <w:t>dans les cibles nationales</w:t>
      </w:r>
      <w:r w:rsidRPr="00653BF4">
        <w:rPr>
          <w:sz w:val="20"/>
          <w:szCs w:val="20"/>
          <w:vertAlign w:val="superscript"/>
          <w:lang w:val="fr-FR"/>
        </w:rPr>
        <w:t>a</w:t>
      </w:r>
      <w:bookmarkEnd w:id="315"/>
    </w:p>
    <w:tbl>
      <w:tblPr>
        <w:tblStyle w:val="TableGrid"/>
        <w:tblW w:w="0" w:type="auto"/>
        <w:tblLook w:val="04A0" w:firstRow="1" w:lastRow="0" w:firstColumn="1" w:lastColumn="0" w:noHBand="0" w:noVBand="1"/>
      </w:tblPr>
      <w:tblGrid>
        <w:gridCol w:w="8500"/>
        <w:gridCol w:w="516"/>
      </w:tblGrid>
      <w:tr w:rsidR="00B87039" w:rsidRPr="00653BF4" w14:paraId="1823A400" w14:textId="77777777" w:rsidTr="00557FB3">
        <w:tc>
          <w:tcPr>
            <w:tcW w:w="8500" w:type="dxa"/>
          </w:tcPr>
          <w:p w14:paraId="22D7A6AB" w14:textId="7777777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Encourager les populations à faire des choix de consommation durables et leur donner les moyens de le faire, en créant des cadres politiques, législatifs ou réglementaires propices</w:t>
            </w:r>
          </w:p>
        </w:tc>
        <w:tc>
          <w:tcPr>
            <w:tcW w:w="516" w:type="dxa"/>
            <w:shd w:val="clear" w:color="auto" w:fill="FFFF00"/>
          </w:tcPr>
          <w:p w14:paraId="4621C231" w14:textId="77777777" w:rsidR="00B87039" w:rsidRPr="00653BF4" w:rsidRDefault="00B87039" w:rsidP="00557FB3">
            <w:pPr>
              <w:rPr>
                <w:lang w:val="fr-FR"/>
              </w:rPr>
            </w:pPr>
            <w:r w:rsidRPr="00653BF4">
              <w:rPr>
                <w:lang w:val="fr-FR"/>
              </w:rPr>
              <w:t>47</w:t>
            </w:r>
          </w:p>
        </w:tc>
      </w:tr>
      <w:tr w:rsidR="00B87039" w:rsidRPr="00653BF4" w14:paraId="04BBC120" w14:textId="77777777" w:rsidTr="00557FB3">
        <w:tc>
          <w:tcPr>
            <w:tcW w:w="8500" w:type="dxa"/>
          </w:tcPr>
          <w:p w14:paraId="2A575171" w14:textId="6EE66687" w:rsidR="00B87039" w:rsidRPr="00653BF4" w:rsidRDefault="00B87039" w:rsidP="00557FB3">
            <w:pPr>
              <w:rPr>
                <w:sz w:val="21"/>
                <w:szCs w:val="21"/>
                <w:lang w:val="fr-FR"/>
              </w:rPr>
            </w:pPr>
            <w:r w:rsidRPr="00653BF4">
              <w:rPr>
                <w:sz w:val="21"/>
                <w:szCs w:val="21"/>
                <w:lang w:val="fr-FR"/>
              </w:rPr>
              <w:t>Encourager les populations à faire des choix de consommation durables et leur donner les moyens de le faire, en améliorant l</w:t>
            </w:r>
            <w:r w:rsidR="00D77549">
              <w:rPr>
                <w:sz w:val="21"/>
                <w:szCs w:val="21"/>
                <w:lang w:val="fr-FR"/>
              </w:rPr>
              <w:t>’</w:t>
            </w:r>
            <w:r w:rsidRPr="00653BF4">
              <w:rPr>
                <w:sz w:val="21"/>
                <w:szCs w:val="21"/>
                <w:lang w:val="fr-FR"/>
              </w:rPr>
              <w:t>éducation ainsi que l</w:t>
            </w:r>
            <w:r w:rsidR="00D77549">
              <w:rPr>
                <w:sz w:val="21"/>
                <w:szCs w:val="21"/>
                <w:lang w:val="fr-FR"/>
              </w:rPr>
              <w:t>’</w:t>
            </w:r>
            <w:r w:rsidRPr="00653BF4">
              <w:rPr>
                <w:sz w:val="21"/>
                <w:szCs w:val="21"/>
                <w:lang w:val="fr-FR"/>
              </w:rPr>
              <w:t>accès à des informations pertinentes et précises et à des solutions de substitution</w:t>
            </w:r>
          </w:p>
        </w:tc>
        <w:tc>
          <w:tcPr>
            <w:tcW w:w="516" w:type="dxa"/>
            <w:shd w:val="clear" w:color="auto" w:fill="FFFF00"/>
          </w:tcPr>
          <w:p w14:paraId="72DC33CA" w14:textId="77777777" w:rsidR="00B87039" w:rsidRPr="00653BF4" w:rsidRDefault="00B87039" w:rsidP="00557FB3">
            <w:pPr>
              <w:rPr>
                <w:lang w:val="fr-FR"/>
              </w:rPr>
            </w:pPr>
            <w:r w:rsidRPr="00653BF4">
              <w:rPr>
                <w:lang w:val="fr-FR"/>
              </w:rPr>
              <w:t>46</w:t>
            </w:r>
          </w:p>
        </w:tc>
      </w:tr>
      <w:tr w:rsidR="00B87039" w:rsidRPr="00653BF4" w14:paraId="0B2E981D" w14:textId="77777777" w:rsidTr="00557FB3">
        <w:tc>
          <w:tcPr>
            <w:tcW w:w="8500" w:type="dxa"/>
          </w:tcPr>
          <w:p w14:paraId="31EC9C1A" w14:textId="6BBB2321"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D</w:t>
            </w:r>
            <w:r w:rsidR="00D77549">
              <w:rPr>
                <w:rFonts w:cs="Times New Roman"/>
                <w:kern w:val="0"/>
                <w:sz w:val="21"/>
                <w:szCs w:val="21"/>
                <w:lang w:val="fr-FR"/>
              </w:rPr>
              <w:t>’</w:t>
            </w:r>
            <w:r w:rsidRPr="00653BF4">
              <w:rPr>
                <w:rFonts w:cs="Times New Roman"/>
                <w:kern w:val="0"/>
                <w:sz w:val="21"/>
                <w:szCs w:val="21"/>
                <w:lang w:val="fr-FR"/>
              </w:rPr>
              <w:t>ici à 2030, réduire l</w:t>
            </w:r>
            <w:r w:rsidR="00D77549">
              <w:rPr>
                <w:rFonts w:cs="Times New Roman"/>
                <w:kern w:val="0"/>
                <w:sz w:val="21"/>
                <w:szCs w:val="21"/>
                <w:lang w:val="fr-FR"/>
              </w:rPr>
              <w:t>’</w:t>
            </w:r>
            <w:r w:rsidRPr="00653BF4">
              <w:rPr>
                <w:rFonts w:cs="Times New Roman"/>
                <w:kern w:val="0"/>
                <w:sz w:val="21"/>
                <w:szCs w:val="21"/>
                <w:lang w:val="fr-FR"/>
              </w:rPr>
              <w:t>empreinte mondiale de la consommation de manière équitable</w:t>
            </w:r>
          </w:p>
          <w:p w14:paraId="5D2D631E" w14:textId="77777777" w:rsidR="00B87039" w:rsidRPr="00653BF4" w:rsidRDefault="00B87039" w:rsidP="00557FB3">
            <w:pPr>
              <w:autoSpaceDE w:val="0"/>
              <w:autoSpaceDN w:val="0"/>
              <w:adjustRightInd w:val="0"/>
              <w:rPr>
                <w:rFonts w:cs="Times New Roman"/>
                <w:kern w:val="0"/>
                <w:sz w:val="21"/>
                <w:szCs w:val="21"/>
                <w:lang w:val="fr-FR"/>
              </w:rPr>
            </w:pPr>
          </w:p>
        </w:tc>
        <w:tc>
          <w:tcPr>
            <w:tcW w:w="516" w:type="dxa"/>
            <w:shd w:val="clear" w:color="auto" w:fill="FFC000"/>
          </w:tcPr>
          <w:p w14:paraId="31404F4A" w14:textId="77777777" w:rsidR="00B87039" w:rsidRPr="00653BF4" w:rsidRDefault="00B87039" w:rsidP="00557FB3">
            <w:pPr>
              <w:rPr>
                <w:lang w:val="fr-FR"/>
              </w:rPr>
            </w:pPr>
            <w:r w:rsidRPr="00653BF4">
              <w:rPr>
                <w:lang w:val="fr-FR"/>
              </w:rPr>
              <w:t>26</w:t>
            </w:r>
          </w:p>
        </w:tc>
      </w:tr>
      <w:tr w:rsidR="00B87039" w:rsidRPr="00653BF4" w14:paraId="2D85018A" w14:textId="77777777" w:rsidTr="00557FB3">
        <w:tc>
          <w:tcPr>
            <w:tcW w:w="8500" w:type="dxa"/>
          </w:tcPr>
          <w:p w14:paraId="158E35ED" w14:textId="73734F57" w:rsidR="00B87039" w:rsidRPr="00653BF4" w:rsidRDefault="00B87039" w:rsidP="00557FB3">
            <w:pPr>
              <w:rPr>
                <w:rFonts w:cs="Times New Roman"/>
                <w:kern w:val="0"/>
                <w:sz w:val="21"/>
                <w:szCs w:val="21"/>
                <w:lang w:val="fr-FR"/>
              </w:rPr>
            </w:pPr>
            <w:r w:rsidRPr="00653BF4">
              <w:rPr>
                <w:rFonts w:cs="Times New Roman"/>
                <w:kern w:val="0"/>
                <w:sz w:val="21"/>
                <w:szCs w:val="21"/>
                <w:lang w:val="fr-FR"/>
              </w:rPr>
              <w:t>D</w:t>
            </w:r>
            <w:r w:rsidR="00D77549">
              <w:rPr>
                <w:rFonts w:cs="Times New Roman"/>
                <w:kern w:val="0"/>
                <w:sz w:val="21"/>
                <w:szCs w:val="21"/>
                <w:lang w:val="fr-FR"/>
              </w:rPr>
              <w:t>’</w:t>
            </w:r>
            <w:r w:rsidRPr="00653BF4">
              <w:rPr>
                <w:rFonts w:cs="Times New Roman"/>
                <w:kern w:val="0"/>
                <w:sz w:val="21"/>
                <w:szCs w:val="21"/>
                <w:lang w:val="fr-FR"/>
              </w:rPr>
              <w:t>ici à 2030, réduire de moitié le gaspillage alimentaire mondial</w:t>
            </w:r>
          </w:p>
          <w:p w14:paraId="0BB79114" w14:textId="77777777" w:rsidR="00B87039" w:rsidRPr="00653BF4" w:rsidRDefault="00B87039" w:rsidP="00557FB3">
            <w:pPr>
              <w:rPr>
                <w:lang w:val="fr-FR"/>
              </w:rPr>
            </w:pPr>
          </w:p>
        </w:tc>
        <w:tc>
          <w:tcPr>
            <w:tcW w:w="516" w:type="dxa"/>
            <w:shd w:val="clear" w:color="auto" w:fill="FFC000"/>
          </w:tcPr>
          <w:p w14:paraId="1C4566CA" w14:textId="77777777" w:rsidR="00B87039" w:rsidRPr="00653BF4" w:rsidRDefault="00B87039" w:rsidP="00557FB3">
            <w:pPr>
              <w:rPr>
                <w:lang w:val="fr-FR"/>
              </w:rPr>
            </w:pPr>
            <w:r w:rsidRPr="00653BF4">
              <w:rPr>
                <w:lang w:val="fr-FR"/>
              </w:rPr>
              <w:t>22</w:t>
            </w:r>
          </w:p>
        </w:tc>
      </w:tr>
      <w:tr w:rsidR="00B87039" w:rsidRPr="00653BF4" w14:paraId="6295B11B" w14:textId="77777777" w:rsidTr="00557FB3">
        <w:tc>
          <w:tcPr>
            <w:tcW w:w="8500" w:type="dxa"/>
          </w:tcPr>
          <w:p w14:paraId="6298E0C6" w14:textId="061E6231" w:rsidR="00B87039" w:rsidRPr="00653BF4" w:rsidRDefault="00B87039" w:rsidP="00557FB3">
            <w:pPr>
              <w:rPr>
                <w:rFonts w:cs="Times New Roman"/>
                <w:kern w:val="0"/>
                <w:sz w:val="21"/>
                <w:szCs w:val="21"/>
                <w:lang w:val="fr-FR"/>
              </w:rPr>
            </w:pPr>
            <w:r w:rsidRPr="00653BF4">
              <w:rPr>
                <w:rFonts w:cs="Times New Roman"/>
                <w:kern w:val="0"/>
                <w:sz w:val="21"/>
                <w:szCs w:val="21"/>
                <w:lang w:val="fr-FR"/>
              </w:rPr>
              <w:t>D</w:t>
            </w:r>
            <w:r w:rsidR="00D77549">
              <w:rPr>
                <w:rFonts w:cs="Times New Roman"/>
                <w:kern w:val="0"/>
                <w:sz w:val="21"/>
                <w:szCs w:val="21"/>
                <w:lang w:val="fr-FR"/>
              </w:rPr>
              <w:t>’</w:t>
            </w:r>
            <w:r w:rsidRPr="00653BF4">
              <w:rPr>
                <w:rFonts w:cs="Times New Roman"/>
                <w:kern w:val="0"/>
                <w:sz w:val="21"/>
                <w:szCs w:val="21"/>
                <w:lang w:val="fr-FR"/>
              </w:rPr>
              <w:t>ici à 2030, limiter significativement la surconsommation</w:t>
            </w:r>
          </w:p>
          <w:p w14:paraId="1DF3FD60" w14:textId="77777777" w:rsidR="00B87039" w:rsidRPr="00653BF4" w:rsidRDefault="00B87039" w:rsidP="00557FB3">
            <w:pPr>
              <w:rPr>
                <w:sz w:val="21"/>
                <w:szCs w:val="21"/>
                <w:lang w:val="fr-FR"/>
              </w:rPr>
            </w:pPr>
          </w:p>
        </w:tc>
        <w:tc>
          <w:tcPr>
            <w:tcW w:w="516" w:type="dxa"/>
            <w:shd w:val="clear" w:color="auto" w:fill="FFC000"/>
          </w:tcPr>
          <w:p w14:paraId="344BFF80" w14:textId="77777777" w:rsidR="00B87039" w:rsidRPr="00653BF4" w:rsidRDefault="00B87039" w:rsidP="00557FB3">
            <w:pPr>
              <w:rPr>
                <w:lang w:val="fr-FR"/>
              </w:rPr>
            </w:pPr>
            <w:r w:rsidRPr="00653BF4">
              <w:rPr>
                <w:lang w:val="fr-FR"/>
              </w:rPr>
              <w:t>38</w:t>
            </w:r>
          </w:p>
        </w:tc>
      </w:tr>
      <w:tr w:rsidR="00B87039" w:rsidRPr="00653BF4" w14:paraId="1135F937" w14:textId="77777777" w:rsidTr="00557FB3">
        <w:tc>
          <w:tcPr>
            <w:tcW w:w="8500" w:type="dxa"/>
          </w:tcPr>
          <w:p w14:paraId="23B85052" w14:textId="4697F68F" w:rsidR="00B87039" w:rsidRPr="00653BF4" w:rsidRDefault="00B87039" w:rsidP="00557FB3">
            <w:pPr>
              <w:rPr>
                <w:rFonts w:cs="Times New Roman"/>
                <w:kern w:val="0"/>
                <w:sz w:val="21"/>
                <w:szCs w:val="21"/>
                <w:lang w:val="fr-FR"/>
              </w:rPr>
            </w:pPr>
            <w:r w:rsidRPr="00653BF4">
              <w:rPr>
                <w:rFonts w:cs="Times New Roman"/>
                <w:kern w:val="0"/>
                <w:sz w:val="21"/>
                <w:szCs w:val="21"/>
                <w:lang w:val="fr-FR"/>
              </w:rPr>
              <w:t>D</w:t>
            </w:r>
            <w:r w:rsidR="00D77549">
              <w:rPr>
                <w:rFonts w:cs="Times New Roman"/>
                <w:kern w:val="0"/>
                <w:sz w:val="21"/>
                <w:szCs w:val="21"/>
                <w:lang w:val="fr-FR"/>
              </w:rPr>
              <w:t>’</w:t>
            </w:r>
            <w:r w:rsidRPr="00653BF4">
              <w:rPr>
                <w:rFonts w:cs="Times New Roman"/>
                <w:kern w:val="0"/>
                <w:sz w:val="21"/>
                <w:szCs w:val="21"/>
                <w:lang w:val="fr-FR"/>
              </w:rPr>
              <w:t>ici à 2030, diminuer considérablement la production de déchets</w:t>
            </w:r>
          </w:p>
          <w:p w14:paraId="70EE28C3" w14:textId="77777777" w:rsidR="00B87039" w:rsidRPr="00653BF4" w:rsidRDefault="00B87039" w:rsidP="00557FB3">
            <w:pPr>
              <w:rPr>
                <w:sz w:val="21"/>
                <w:szCs w:val="21"/>
                <w:lang w:val="fr-FR"/>
              </w:rPr>
            </w:pPr>
          </w:p>
        </w:tc>
        <w:tc>
          <w:tcPr>
            <w:tcW w:w="516" w:type="dxa"/>
            <w:shd w:val="clear" w:color="auto" w:fill="FFFF00"/>
          </w:tcPr>
          <w:p w14:paraId="7B9EABE9" w14:textId="77777777" w:rsidR="00B87039" w:rsidRPr="00653BF4" w:rsidRDefault="00B87039" w:rsidP="00557FB3">
            <w:pPr>
              <w:rPr>
                <w:lang w:val="fr-FR"/>
              </w:rPr>
            </w:pPr>
            <w:r w:rsidRPr="00653BF4">
              <w:rPr>
                <w:lang w:val="fr-FR"/>
              </w:rPr>
              <w:t>44</w:t>
            </w:r>
          </w:p>
        </w:tc>
      </w:tr>
      <w:tr w:rsidR="00B87039" w:rsidRPr="00543148" w14:paraId="3FE0D1B7" w14:textId="77777777" w:rsidTr="00557FB3">
        <w:tc>
          <w:tcPr>
            <w:tcW w:w="9016" w:type="dxa"/>
            <w:gridSpan w:val="2"/>
          </w:tcPr>
          <w:p w14:paraId="5EA6784A" w14:textId="1C88630E"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37</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33618966" w14:textId="77777777" w:rsidR="00B87039" w:rsidRPr="00653BF4" w:rsidRDefault="00B87039" w:rsidP="00557FB3">
            <w:pPr>
              <w:tabs>
                <w:tab w:val="left" w:pos="527"/>
              </w:tabs>
              <w:rPr>
                <w:lang w:val="fr-FR"/>
              </w:rPr>
            </w:pPr>
          </w:p>
        </w:tc>
      </w:tr>
    </w:tbl>
    <w:p w14:paraId="2EDA3425" w14:textId="77777777" w:rsidR="00B87039" w:rsidRPr="00653BF4" w:rsidRDefault="00B87039" w:rsidP="00B87039">
      <w:pPr>
        <w:rPr>
          <w:lang w:val="fr-FR"/>
        </w:rPr>
      </w:pPr>
    </w:p>
    <w:p w14:paraId="040F410B" w14:textId="622429C5" w:rsidR="00B87039" w:rsidRPr="00653BF4" w:rsidRDefault="00B87039" w:rsidP="00B87039">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w:t>
      </w:r>
      <w:r w:rsidR="00D77549">
        <w:rPr>
          <w:iCs/>
          <w:sz w:val="16"/>
          <w:szCs w:val="16"/>
          <w:lang w:val="fr-FR"/>
        </w:rPr>
        <w:t>’</w:t>
      </w:r>
      <w:r w:rsidRPr="00653BF4">
        <w:rPr>
          <w:iCs/>
          <w:sz w:val="16"/>
          <w:szCs w:val="16"/>
          <w:lang w:val="fr-FR"/>
        </w:rPr>
        <w:t>élément, au moins partiellement.</w:t>
      </w:r>
    </w:p>
    <w:p w14:paraId="583EEF0E" w14:textId="22DD034D" w:rsidR="00B87039" w:rsidRPr="00653BF4" w:rsidRDefault="00B87039" w:rsidP="00B8703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cs="Segoe UI"/>
          <w:sz w:val="16"/>
          <w:szCs w:val="16"/>
          <w:lang w:val="fr-FR"/>
        </w:rPr>
        <w:t xml:space="preserve"> Les éléments de chaque cible ont été définis par le Groupe spécial d</w:t>
      </w:r>
      <w:r w:rsidR="00D77549">
        <w:rPr>
          <w:rStyle w:val="normaltextrun"/>
          <w:rFonts w:cs="Segoe UI"/>
          <w:sz w:val="16"/>
          <w:szCs w:val="16"/>
          <w:lang w:val="fr-FR"/>
        </w:rPr>
        <w:t>’</w:t>
      </w:r>
      <w:r w:rsidRPr="00653BF4">
        <w:rPr>
          <w:rStyle w:val="normaltextrun"/>
          <w:rFonts w:cs="Segoe UI"/>
          <w:sz w:val="16"/>
          <w:szCs w:val="16"/>
          <w:lang w:val="fr-FR"/>
        </w:rPr>
        <w:t xml:space="preserve">experts techniques sur les indicateurs du Cadre mondial de la biodiversité de Kunming-Montréal </w:t>
      </w:r>
      <w:r w:rsidRPr="00653BF4">
        <w:rPr>
          <w:rFonts w:ascii="Aptos" w:hAnsi="Aptos" w:cs="Segoe UI"/>
          <w:sz w:val="16"/>
          <w:szCs w:val="16"/>
          <w:lang w:val="fr-FR"/>
        </w:rPr>
        <w:t xml:space="preserve">(voir annexe I du document </w:t>
      </w:r>
      <w:hyperlink r:id="rId170" w:history="1">
        <w:r w:rsidRPr="00653BF4">
          <w:rPr>
            <w:rStyle w:val="Hyperlink"/>
            <w:rFonts w:ascii="Aptos" w:hAnsi="Aptos" w:cs="Segoe UI"/>
            <w:sz w:val="16"/>
            <w:szCs w:val="16"/>
            <w:lang w:val="fr-FR"/>
          </w:rPr>
          <w:t>CBD/COP/16/INF/4</w:t>
        </w:r>
      </w:hyperlink>
      <w:r w:rsidR="00E34DC9">
        <w:rPr>
          <w:rStyle w:val="normaltextrun"/>
          <w:rFonts w:cs="Segoe UI"/>
          <w:sz w:val="16"/>
          <w:szCs w:val="16"/>
          <w:lang w:val="fr-FR"/>
        </w:rPr>
        <w:t> ;</w:t>
      </w:r>
      <w:r w:rsidRPr="00653BF4">
        <w:rPr>
          <w:rFonts w:ascii="Aptos" w:hAnsi="Aptos" w:cs="Segoe UI"/>
          <w:sz w:val="16"/>
          <w:szCs w:val="16"/>
          <w:lang w:val="fr-FR"/>
        </w:rPr>
        <w:t xml:space="preserve"> et Affinito </w:t>
      </w:r>
      <w:r w:rsidRPr="00653BF4">
        <w:rPr>
          <w:rFonts w:ascii="Aptos" w:hAnsi="Aptos" w:cs="Segoe UI"/>
          <w:i/>
          <w:iCs/>
          <w:sz w:val="16"/>
          <w:szCs w:val="16"/>
          <w:lang w:val="fr-FR"/>
        </w:rPr>
        <w:t>et al.</w:t>
      </w:r>
      <w:r w:rsidRPr="00653BF4">
        <w:rPr>
          <w:rFonts w:ascii="Aptos" w:hAnsi="Aptos" w:cs="Segoe UI"/>
          <w:sz w:val="16"/>
          <w:szCs w:val="16"/>
          <w:lang w:val="fr-FR"/>
        </w:rPr>
        <w:t>, 2025)</w:t>
      </w:r>
      <w:r w:rsidRPr="00653BF4">
        <w:rPr>
          <w:rStyle w:val="normaltextrun"/>
          <w:rFonts w:cs="Segoe UI"/>
          <w:sz w:val="16"/>
          <w:szCs w:val="16"/>
          <w:lang w:val="fr-FR"/>
        </w:rPr>
        <w:t>.La méthode détaillée employée pour l</w:t>
      </w:r>
      <w:r w:rsidR="00D77549">
        <w:rPr>
          <w:rStyle w:val="normaltextrun"/>
          <w:rFonts w:cs="Segoe UI"/>
          <w:sz w:val="16"/>
          <w:szCs w:val="16"/>
          <w:lang w:val="fr-FR"/>
        </w:rPr>
        <w:t>’</w:t>
      </w:r>
      <w:r w:rsidRPr="00653BF4">
        <w:rPr>
          <w:rStyle w:val="normaltextrun"/>
          <w:rFonts w:cs="Segoe UI"/>
          <w:sz w:val="16"/>
          <w:szCs w:val="16"/>
          <w:lang w:val="fr-FR"/>
        </w:rPr>
        <w:t>analyse des cibles nationales est présentée dans le document </w:t>
      </w:r>
      <w:hyperlink r:id="rId171" w:history="1">
        <w:r w:rsidRPr="00653BF4">
          <w:rPr>
            <w:rStyle w:val="Hyperlink"/>
            <w:rFonts w:ascii="Aptos" w:hAnsi="Aptos" w:cs="Segoe UI"/>
            <w:sz w:val="16"/>
            <w:szCs w:val="16"/>
            <w:lang w:val="fr-FR"/>
          </w:rPr>
          <w:t>CBD/SBI/7/INF/22</w:t>
        </w:r>
      </w:hyperlink>
      <w:r w:rsidRPr="00653BF4">
        <w:rPr>
          <w:rStyle w:val="normaltextrun"/>
          <w:rFonts w:cs="Segoe UI"/>
          <w:sz w:val="16"/>
          <w:szCs w:val="16"/>
          <w:lang w:val="fr-FR"/>
        </w:rPr>
        <w:t>. </w:t>
      </w:r>
    </w:p>
    <w:p w14:paraId="0165BE70" w14:textId="77777777" w:rsidR="00B87039" w:rsidRPr="00653BF4" w:rsidRDefault="00B87039" w:rsidP="00B87039">
      <w:pPr>
        <w:rPr>
          <w:lang w:val="fr-FR"/>
        </w:rPr>
      </w:pPr>
    </w:p>
    <w:p w14:paraId="374773B4" w14:textId="1D1FDD79" w:rsidR="00B87039" w:rsidRPr="00653BF4" w:rsidRDefault="00B87039" w:rsidP="00B87039">
      <w:pPr>
        <w:rPr>
          <w:lang w:val="fr-FR"/>
        </w:rPr>
      </w:pPr>
      <w:r w:rsidRPr="00653BF4">
        <w:rPr>
          <w:lang w:val="fr-FR"/>
        </w:rPr>
        <w:t xml:space="preserve">Aucun des éléments de la </w:t>
      </w:r>
      <w:r w:rsidR="00E34DC9">
        <w:rPr>
          <w:lang w:val="fr-FR"/>
        </w:rPr>
        <w:t>cible 1</w:t>
      </w:r>
      <w:r w:rsidRPr="00653BF4">
        <w:rPr>
          <w:lang w:val="fr-FR"/>
        </w:rPr>
        <w:t>6 n</w:t>
      </w:r>
      <w:r w:rsidR="00D77549">
        <w:rPr>
          <w:lang w:val="fr-FR"/>
        </w:rPr>
        <w:t>’</w:t>
      </w:r>
      <w:r w:rsidRPr="00653BF4">
        <w:rPr>
          <w:lang w:val="fr-FR"/>
        </w:rPr>
        <w:t xml:space="preserve">est pris en compte, même de manière partielle, par près de la moitié des Parties dans les cibles nationales examinées dans le rapport mondial </w:t>
      </w:r>
      <w:r w:rsidRPr="00653BF4">
        <w:rPr>
          <w:lang w:val="fr-FR"/>
        </w:rPr>
        <w:lastRenderedPageBreak/>
        <w:t>(voir le tableau 35). Les éléments les plus fréquemment évoqués par les Parties concernent les cadres politiques, législatifs ou réglementaires visant à encourager les populations à faire des choix de consommation durables (47</w:t>
      </w:r>
      <w:r w:rsidR="002878D7">
        <w:rPr>
          <w:lang w:val="fr-FR"/>
        </w:rPr>
        <w:t> %</w:t>
      </w:r>
      <w:r w:rsidRPr="00653BF4">
        <w:rPr>
          <w:lang w:val="fr-FR"/>
        </w:rPr>
        <w:t>), et l</w:t>
      </w:r>
      <w:r w:rsidR="00D77549">
        <w:rPr>
          <w:lang w:val="fr-FR"/>
        </w:rPr>
        <w:t>’</w:t>
      </w:r>
      <w:r w:rsidRPr="00653BF4">
        <w:rPr>
          <w:lang w:val="fr-FR"/>
        </w:rPr>
        <w:t>amélioration de l</w:t>
      </w:r>
      <w:r w:rsidR="00D77549">
        <w:rPr>
          <w:lang w:val="fr-FR"/>
        </w:rPr>
        <w:t>’</w:t>
      </w:r>
      <w:r w:rsidRPr="00653BF4">
        <w:rPr>
          <w:lang w:val="fr-FR"/>
        </w:rPr>
        <w:t>éducation et de l</w:t>
      </w:r>
      <w:r w:rsidR="00D77549">
        <w:rPr>
          <w:lang w:val="fr-FR"/>
        </w:rPr>
        <w:t>’</w:t>
      </w:r>
      <w:r w:rsidRPr="00653BF4">
        <w:rPr>
          <w:lang w:val="fr-FR"/>
        </w:rPr>
        <w:t>accès à des informations pertinentes et précises et à des solutions de substitution (46</w:t>
      </w:r>
      <w:r w:rsidR="002878D7">
        <w:rPr>
          <w:lang w:val="fr-FR"/>
        </w:rPr>
        <w:t> %</w:t>
      </w:r>
      <w:r w:rsidRPr="00653BF4">
        <w:rPr>
          <w:lang w:val="fr-FR"/>
        </w:rPr>
        <w:t xml:space="preserve">). Peu de Parties abordent les objectifs spécifiques de la </w:t>
      </w:r>
      <w:r w:rsidR="00E34DC9">
        <w:rPr>
          <w:lang w:val="fr-FR"/>
        </w:rPr>
        <w:t>cible 1</w:t>
      </w:r>
      <w:r w:rsidRPr="00653BF4">
        <w:rPr>
          <w:lang w:val="fr-FR"/>
        </w:rPr>
        <w:t>6 visant à diminuer considérablement la production de déchets (44</w:t>
      </w:r>
      <w:r w:rsidR="002878D7">
        <w:rPr>
          <w:lang w:val="fr-FR"/>
        </w:rPr>
        <w:t> %</w:t>
      </w:r>
      <w:r w:rsidRPr="00653BF4">
        <w:rPr>
          <w:lang w:val="fr-FR"/>
        </w:rPr>
        <w:t>), à limiter significativement la surconsommation (38</w:t>
      </w:r>
      <w:r w:rsidR="002878D7">
        <w:rPr>
          <w:lang w:val="fr-FR"/>
        </w:rPr>
        <w:t> %</w:t>
      </w:r>
      <w:r w:rsidRPr="00653BF4">
        <w:rPr>
          <w:lang w:val="fr-FR"/>
        </w:rPr>
        <w:t>), à réduire l</w:t>
      </w:r>
      <w:r w:rsidR="00D77549">
        <w:rPr>
          <w:lang w:val="fr-FR"/>
        </w:rPr>
        <w:t>’</w:t>
      </w:r>
      <w:r w:rsidRPr="00653BF4">
        <w:rPr>
          <w:lang w:val="fr-FR"/>
        </w:rPr>
        <w:t>empreinte mondiale de la consommation de manière équitable (26</w:t>
      </w:r>
      <w:r w:rsidR="002878D7">
        <w:rPr>
          <w:lang w:val="fr-FR"/>
        </w:rPr>
        <w:t> %</w:t>
      </w:r>
      <w:r w:rsidRPr="00653BF4">
        <w:rPr>
          <w:lang w:val="fr-FR"/>
        </w:rPr>
        <w:t>) ou à réduire de moitié le gaspillage alimentaire mondial (22</w:t>
      </w:r>
      <w:r w:rsidR="002878D7">
        <w:rPr>
          <w:lang w:val="fr-FR"/>
        </w:rPr>
        <w:t> %</w:t>
      </w:r>
      <w:r w:rsidRPr="00653BF4">
        <w:rPr>
          <w:lang w:val="fr-FR"/>
        </w:rPr>
        <w:t xml:space="preserve">). </w:t>
      </w:r>
    </w:p>
    <w:p w14:paraId="4B2E8FE4" w14:textId="3CFEC1D4" w:rsidR="00B87039" w:rsidRPr="00653BF4" w:rsidRDefault="00B87039" w:rsidP="00B87039">
      <w:pPr>
        <w:rPr>
          <w:lang w:val="fr-FR"/>
        </w:rPr>
      </w:pPr>
      <w:r w:rsidRPr="00653BF4">
        <w:rPr>
          <w:lang w:val="fr-FR"/>
        </w:rPr>
        <w:t>Très peu de Parties (12</w:t>
      </w:r>
      <w:r w:rsidR="002878D7">
        <w:rPr>
          <w:lang w:val="fr-FR"/>
        </w:rPr>
        <w:t> %</w:t>
      </w:r>
      <w:r w:rsidRPr="00653BF4">
        <w:rPr>
          <w:lang w:val="fr-FR"/>
        </w:rPr>
        <w:t>) ont fixé des cibles nationales quantitatives sur la réduction du gaspillage alimentaire. Parmi celles qui ont fixé de telles cibles, la majorité (61</w:t>
      </w:r>
      <w:r w:rsidR="002878D7">
        <w:rPr>
          <w:lang w:val="fr-FR"/>
        </w:rPr>
        <w:t> %</w:t>
      </w:r>
      <w:r w:rsidRPr="00653BF4">
        <w:rPr>
          <w:lang w:val="fr-FR"/>
        </w:rPr>
        <w:t xml:space="preserve">) a pour </w:t>
      </w:r>
      <w:r w:rsidR="002878D7">
        <w:rPr>
          <w:lang w:val="fr-FR"/>
        </w:rPr>
        <w:t>objectif D</w:t>
      </w:r>
      <w:r w:rsidRPr="00653BF4">
        <w:rPr>
          <w:lang w:val="fr-FR"/>
        </w:rPr>
        <w:t>e réduire de moitié le gaspillage alimentaire, conformément à l</w:t>
      </w:r>
      <w:r w:rsidR="00D77549">
        <w:rPr>
          <w:lang w:val="fr-FR"/>
        </w:rPr>
        <w:t>’</w:t>
      </w:r>
      <w:r w:rsidRPr="00653BF4">
        <w:rPr>
          <w:lang w:val="fr-FR"/>
        </w:rPr>
        <w:t xml:space="preserve">ambition mondiale de la </w:t>
      </w:r>
      <w:r w:rsidR="00E34DC9">
        <w:rPr>
          <w:lang w:val="fr-FR"/>
        </w:rPr>
        <w:t>cible 1</w:t>
      </w:r>
      <w:r w:rsidRPr="00653BF4">
        <w:rPr>
          <w:lang w:val="fr-FR"/>
        </w:rPr>
        <w:t>6. Les autres ont fixé des valeurs comprises entre 10</w:t>
      </w:r>
      <w:r w:rsidR="002878D7">
        <w:rPr>
          <w:lang w:val="fr-FR"/>
        </w:rPr>
        <w:t> %</w:t>
      </w:r>
      <w:r w:rsidRPr="00653BF4">
        <w:rPr>
          <w:lang w:val="fr-FR"/>
        </w:rPr>
        <w:t xml:space="preserve"> et 30</w:t>
      </w:r>
      <w:r w:rsidR="002878D7">
        <w:rPr>
          <w:lang w:val="fr-FR"/>
        </w:rPr>
        <w:t> %</w:t>
      </w:r>
      <w:r w:rsidRPr="00653BF4">
        <w:rPr>
          <w:lang w:val="fr-FR"/>
        </w:rPr>
        <w:t xml:space="preserve"> pour la réduction du gaspillage alimentaire d</w:t>
      </w:r>
      <w:r w:rsidR="00D77549">
        <w:rPr>
          <w:lang w:val="fr-FR"/>
        </w:rPr>
        <w:t>’</w:t>
      </w:r>
      <w:r w:rsidRPr="00653BF4">
        <w:rPr>
          <w:lang w:val="fr-FR"/>
        </w:rPr>
        <w:t xml:space="preserve">ici à 2030. </w:t>
      </w:r>
    </w:p>
    <w:p w14:paraId="5452F86A" w14:textId="77777777" w:rsidR="00B87039" w:rsidRPr="00653BF4" w:rsidRDefault="00B87039" w:rsidP="00B87039">
      <w:pPr>
        <w:rPr>
          <w:lang w:val="fr-FR"/>
        </w:rPr>
      </w:pPr>
    </w:p>
    <w:p w14:paraId="0E10EB81" w14:textId="4C127BFE" w:rsidR="00B87039" w:rsidRPr="00653BF4" w:rsidRDefault="00B87039" w:rsidP="00B87039">
      <w:pPr>
        <w:pStyle w:val="Heading5"/>
        <w:rPr>
          <w:lang w:val="fr-FR"/>
        </w:rPr>
      </w:pPr>
      <w:bookmarkStart w:id="316" w:name="_Toc235821246"/>
      <w:r w:rsidRPr="00653BF4">
        <w:rPr>
          <w:lang w:val="fr-FR"/>
        </w:rPr>
        <w:t>Indicateurs de progrès</w:t>
      </w:r>
      <w:bookmarkEnd w:id="316"/>
    </w:p>
    <w:p w14:paraId="3A27640B" w14:textId="77777777" w:rsidR="00B87039" w:rsidRPr="00653BF4" w:rsidRDefault="00B87039" w:rsidP="00B87039">
      <w:pPr>
        <w:pStyle w:val="Caption"/>
        <w:rPr>
          <w:i w:val="0"/>
          <w:iCs w:val="0"/>
          <w:sz w:val="20"/>
          <w:szCs w:val="20"/>
          <w:lang w:val="fr-FR"/>
        </w:rPr>
      </w:pPr>
    </w:p>
    <w:p w14:paraId="1435CBF8" w14:textId="1560CEAF" w:rsidR="00B87039" w:rsidRPr="00653BF4" w:rsidRDefault="00B87039" w:rsidP="00B87039">
      <w:pPr>
        <w:pStyle w:val="Caption"/>
        <w:rPr>
          <w:i w:val="0"/>
          <w:iCs w:val="0"/>
          <w:sz w:val="20"/>
          <w:szCs w:val="20"/>
          <w:lang w:val="fr-FR"/>
        </w:rPr>
      </w:pPr>
      <w:bookmarkStart w:id="317" w:name="_Ref238993342"/>
      <w:r w:rsidRPr="00653BF4">
        <w:rPr>
          <w:i w:val="0"/>
          <w:iCs w:val="0"/>
          <w:sz w:val="20"/>
          <w:szCs w:val="20"/>
          <w:lang w:val="fr-FR"/>
        </w:rPr>
        <w:t>Tableau 36</w:t>
      </w:r>
      <w:bookmarkEnd w:id="317"/>
    </w:p>
    <w:p w14:paraId="6EDEB7FE" w14:textId="4E1903F7"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1</w:t>
      </w:r>
      <w:r w:rsidRPr="00653BF4">
        <w:rPr>
          <w:b/>
          <w:bCs/>
          <w:i w:val="0"/>
          <w:iCs w:val="0"/>
          <w:sz w:val="20"/>
          <w:szCs w:val="20"/>
          <w:lang w:val="fr-FR"/>
        </w:rPr>
        <w:t>6 du Cadre</w:t>
      </w:r>
    </w:p>
    <w:p w14:paraId="71456F60" w14:textId="77777777" w:rsidR="00B87039" w:rsidRPr="00653BF4" w:rsidRDefault="00B87039" w:rsidP="00B87039">
      <w:pPr>
        <w:pStyle w:val="Caption"/>
        <w:rPr>
          <w:b/>
          <w:bCs/>
          <w:sz w:val="24"/>
          <w:szCs w:val="24"/>
          <w:lang w:val="fr-FR"/>
        </w:rPr>
      </w:pPr>
      <w:r w:rsidRPr="00653BF4">
        <w:rPr>
          <w:lang w:val="fr-FR"/>
        </w:rPr>
        <w:t xml:space="preserve"> </w:t>
      </w:r>
    </w:p>
    <w:tbl>
      <w:tblPr>
        <w:tblW w:w="10300" w:type="dxa"/>
        <w:tblLook w:val="04A0" w:firstRow="1" w:lastRow="0" w:firstColumn="1" w:lastColumn="0" w:noHBand="0" w:noVBand="1"/>
      </w:tblPr>
      <w:tblGrid>
        <w:gridCol w:w="3240"/>
        <w:gridCol w:w="3240"/>
        <w:gridCol w:w="600"/>
        <w:gridCol w:w="2620"/>
        <w:gridCol w:w="600"/>
      </w:tblGrid>
      <w:tr w:rsidR="00B87039" w:rsidRPr="00653BF4" w14:paraId="6A2431D0"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EA97E"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840" w:type="dxa"/>
            <w:gridSpan w:val="2"/>
            <w:tcBorders>
              <w:top w:val="single" w:sz="4" w:space="0" w:color="auto"/>
              <w:left w:val="nil"/>
              <w:bottom w:val="single" w:sz="4" w:space="0" w:color="auto"/>
              <w:right w:val="single" w:sz="4" w:space="0" w:color="auto"/>
            </w:tcBorders>
            <w:vAlign w:val="center"/>
          </w:tcPr>
          <w:p w14:paraId="064904BE" w14:textId="78AF50DB" w:rsidR="00B87039" w:rsidRPr="00653BF4" w:rsidRDefault="00E04592"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3220" w:type="dxa"/>
            <w:gridSpan w:val="2"/>
            <w:tcBorders>
              <w:top w:val="single" w:sz="4" w:space="0" w:color="auto"/>
              <w:left w:val="nil"/>
              <w:bottom w:val="single" w:sz="4" w:space="0" w:color="auto"/>
              <w:right w:val="single" w:sz="4" w:space="0" w:color="auto"/>
            </w:tcBorders>
            <w:vAlign w:val="center"/>
          </w:tcPr>
          <w:p w14:paraId="3A47A8D1" w14:textId="5DC4561E" w:rsidR="00B87039" w:rsidRPr="00653BF4" w:rsidRDefault="00A443C9"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Résultats de l’indicateur</w:t>
            </w:r>
          </w:p>
        </w:tc>
      </w:tr>
      <w:tr w:rsidR="00B87039" w:rsidRPr="00543148" w14:paraId="0823D260"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97FB3E" w14:textId="1FC7A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binaire 16.b</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nombre de pays qui élaborent, adoptent ou mettent en œuvre des instruments de politique générale visant à encourager les populations à faire des choix de consommation durables et à leur donner les moyens de le faire</w:t>
            </w:r>
          </w:p>
        </w:tc>
        <w:tc>
          <w:tcPr>
            <w:tcW w:w="3240" w:type="dxa"/>
            <w:tcBorders>
              <w:top w:val="single" w:sz="4" w:space="0" w:color="auto"/>
              <w:left w:val="nil"/>
              <w:bottom w:val="single" w:sz="4" w:space="0" w:color="auto"/>
              <w:right w:val="single" w:sz="4" w:space="0" w:color="auto"/>
            </w:tcBorders>
            <w:vAlign w:val="center"/>
            <w:hideMark/>
          </w:tcPr>
          <w:p w14:paraId="268E249C"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127 Parties</w:t>
            </w:r>
          </w:p>
        </w:tc>
        <w:tc>
          <w:tcPr>
            <w:tcW w:w="600" w:type="dxa"/>
            <w:tcBorders>
              <w:top w:val="single" w:sz="4" w:space="0" w:color="auto"/>
              <w:left w:val="nil"/>
              <w:bottom w:val="single" w:sz="4" w:space="0" w:color="auto"/>
              <w:right w:val="single" w:sz="4" w:space="0" w:color="auto"/>
            </w:tcBorders>
            <w:vAlign w:val="center"/>
            <w:hideMark/>
          </w:tcPr>
          <w:p w14:paraId="361F3928" w14:textId="47565B0E" w:rsidR="00B87039" w:rsidRPr="00653BF4" w:rsidRDefault="000F4D75" w:rsidP="00557FB3">
            <w:pPr>
              <w:spacing w:after="0" w:line="240" w:lineRule="auto"/>
              <w:jc w:val="center"/>
              <w:rPr>
                <w:rFonts w:eastAsia="Times New Roman" w:cs="Times New Roman"/>
                <w:color w:val="000000"/>
                <w:kern w:val="0"/>
                <w:sz w:val="20"/>
                <w:szCs w:val="20"/>
                <w:lang w:val="fr-FR" w:eastAsia="en-CA"/>
                <w14:ligatures w14:val="none"/>
              </w:rPr>
            </w:pPr>
            <w:r>
              <w:rPr>
                <w:sz w:val="20"/>
                <w:szCs w:val="20"/>
                <w:lang w:val="fr-FR"/>
              </w:rPr>
              <w:t>s.o.</w:t>
            </w:r>
            <w:r w:rsidR="00B87039" w:rsidRPr="00653BF4">
              <w:rPr>
                <w:sz w:val="20"/>
                <w:szCs w:val="20"/>
                <w:vertAlign w:val="superscript"/>
                <w:lang w:val="fr-FR"/>
              </w:rPr>
              <w:t>a</w:t>
            </w:r>
          </w:p>
        </w:tc>
        <w:tc>
          <w:tcPr>
            <w:tcW w:w="2620" w:type="dxa"/>
            <w:tcBorders>
              <w:top w:val="single" w:sz="4" w:space="0" w:color="auto"/>
              <w:left w:val="nil"/>
              <w:bottom w:val="single" w:sz="4" w:space="0" w:color="auto"/>
              <w:right w:val="single" w:sz="4" w:space="0" w:color="auto"/>
            </w:tcBorders>
            <w:vAlign w:val="center"/>
            <w:hideMark/>
          </w:tcPr>
          <w:p w14:paraId="66E08E1E" w14:textId="105F7D7C"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sz w:val="20"/>
                <w:szCs w:val="20"/>
                <w:lang w:val="fr-FR"/>
              </w:rPr>
              <w:t>69</w:t>
            </w:r>
            <w:r w:rsidR="002878D7">
              <w:rPr>
                <w:sz w:val="20"/>
                <w:szCs w:val="20"/>
                <w:lang w:val="fr-FR"/>
              </w:rPr>
              <w:t> %</w:t>
            </w:r>
            <w:r w:rsidRPr="00653BF4">
              <w:rPr>
                <w:sz w:val="20"/>
                <w:szCs w:val="20"/>
                <w:lang w:val="fr-FR"/>
              </w:rPr>
              <w:t xml:space="preserve"> des Parties ont obtenu de très bons résultats (note</w:t>
            </w:r>
            <w:r w:rsidR="00E34DC9">
              <w:rPr>
                <w:sz w:val="20"/>
                <w:szCs w:val="20"/>
                <w:lang w:val="fr-FR"/>
              </w:rPr>
              <w:t> :</w:t>
            </w:r>
            <w:r w:rsidRPr="00653BF4">
              <w:rPr>
                <w:sz w:val="20"/>
                <w:szCs w:val="20"/>
                <w:lang w:val="fr-FR"/>
              </w:rPr>
              <w:t xml:space="preserve"> 4 ou 5)</w:t>
            </w:r>
          </w:p>
        </w:tc>
        <w:tc>
          <w:tcPr>
            <w:tcW w:w="600" w:type="dxa"/>
            <w:tcBorders>
              <w:top w:val="single" w:sz="4" w:space="0" w:color="auto"/>
              <w:left w:val="nil"/>
              <w:bottom w:val="single" w:sz="4" w:space="0" w:color="auto"/>
              <w:right w:val="single" w:sz="4" w:space="0" w:color="auto"/>
            </w:tcBorders>
            <w:shd w:val="clear" w:color="auto" w:fill="92D050"/>
            <w:vAlign w:val="center"/>
            <w:hideMark/>
          </w:tcPr>
          <w:p w14:paraId="4FB905E4"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659EC0E4"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4A587B"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Tous les indicateurs quantitatifs combinés</w:t>
            </w:r>
          </w:p>
        </w:tc>
        <w:tc>
          <w:tcPr>
            <w:tcW w:w="3240" w:type="dxa"/>
            <w:tcBorders>
              <w:top w:val="single" w:sz="4" w:space="0" w:color="auto"/>
              <w:left w:val="nil"/>
              <w:bottom w:val="single" w:sz="4" w:space="0" w:color="auto"/>
              <w:right w:val="single" w:sz="4" w:space="0" w:color="auto"/>
            </w:tcBorders>
            <w:vAlign w:val="center"/>
            <w:hideMark/>
          </w:tcPr>
          <w:p w14:paraId="7C315BF1" w14:textId="395BBD3D"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sz w:val="20"/>
                <w:szCs w:val="20"/>
                <w:lang w:val="fr-FR"/>
              </w:rPr>
              <w:t>25 Parties, 19</w:t>
            </w:r>
            <w:r w:rsidR="002878D7">
              <w:rPr>
                <w:sz w:val="20"/>
                <w:szCs w:val="20"/>
                <w:lang w:val="fr-FR"/>
              </w:rPr>
              <w:t> %</w:t>
            </w:r>
          </w:p>
        </w:tc>
        <w:tc>
          <w:tcPr>
            <w:tcW w:w="600" w:type="dxa"/>
            <w:tcBorders>
              <w:top w:val="single" w:sz="4" w:space="0" w:color="auto"/>
              <w:left w:val="nil"/>
              <w:bottom w:val="single" w:sz="4" w:space="0" w:color="auto"/>
              <w:right w:val="single" w:sz="4" w:space="0" w:color="auto"/>
            </w:tcBorders>
            <w:shd w:val="clear" w:color="auto" w:fill="C00000"/>
            <w:vAlign w:val="center"/>
            <w:hideMark/>
          </w:tcPr>
          <w:p w14:paraId="0CA13706"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620" w:type="dxa"/>
            <w:tcBorders>
              <w:top w:val="single" w:sz="4" w:space="0" w:color="auto"/>
              <w:left w:val="nil"/>
              <w:bottom w:val="single" w:sz="4" w:space="0" w:color="auto"/>
              <w:right w:val="single" w:sz="4" w:space="0" w:color="auto"/>
            </w:tcBorders>
            <w:vAlign w:val="center"/>
            <w:hideMark/>
          </w:tcPr>
          <w:p w14:paraId="1FC88812" w14:textId="7A1DF5E3" w:rsidR="00B87039" w:rsidRPr="00653BF4" w:rsidRDefault="00B87039" w:rsidP="00557FB3">
            <w:pPr>
              <w:rPr>
                <w:sz w:val="20"/>
                <w:szCs w:val="20"/>
                <w:lang w:val="fr-FR"/>
              </w:rPr>
            </w:pPr>
            <w:r w:rsidRPr="00653BF4">
              <w:rPr>
                <w:sz w:val="20"/>
                <w:szCs w:val="20"/>
                <w:lang w:val="fr-FR"/>
              </w:rPr>
              <w:t>32</w:t>
            </w:r>
            <w:r w:rsidR="002878D7">
              <w:rPr>
                <w:sz w:val="20"/>
                <w:szCs w:val="20"/>
                <w:lang w:val="fr-FR"/>
              </w:rPr>
              <w:t> %</w:t>
            </w:r>
            <w:r w:rsidRPr="00653BF4">
              <w:rPr>
                <w:sz w:val="20"/>
                <w:szCs w:val="20"/>
                <w:lang w:val="fr-FR"/>
              </w:rPr>
              <w:t xml:space="preserve"> de tendances positives</w:t>
            </w:r>
          </w:p>
          <w:p w14:paraId="6B18D86D" w14:textId="3FDA6736"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sz w:val="20"/>
                <w:szCs w:val="20"/>
                <w:lang w:val="fr-FR"/>
              </w:rPr>
              <w:t>16</w:t>
            </w:r>
            <w:r w:rsidR="002878D7">
              <w:rPr>
                <w:sz w:val="20"/>
                <w:szCs w:val="20"/>
                <w:lang w:val="fr-FR"/>
              </w:rPr>
              <w:t> %</w:t>
            </w:r>
            <w:r w:rsidRPr="00653BF4">
              <w:rPr>
                <w:sz w:val="20"/>
                <w:szCs w:val="20"/>
                <w:lang w:val="fr-FR"/>
              </w:rPr>
              <w:t xml:space="preserve"> de tendances négatives</w:t>
            </w:r>
          </w:p>
        </w:tc>
        <w:tc>
          <w:tcPr>
            <w:tcW w:w="600" w:type="dxa"/>
            <w:tcBorders>
              <w:top w:val="single" w:sz="4" w:space="0" w:color="auto"/>
              <w:left w:val="nil"/>
              <w:bottom w:val="single" w:sz="4" w:space="0" w:color="auto"/>
              <w:right w:val="single" w:sz="4" w:space="0" w:color="auto"/>
            </w:tcBorders>
            <w:shd w:val="clear" w:color="auto" w:fill="FFC000"/>
            <w:vAlign w:val="center"/>
            <w:hideMark/>
          </w:tcPr>
          <w:p w14:paraId="3333CF26"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bl>
    <w:p w14:paraId="165ACDBD" w14:textId="77777777" w:rsidR="00B87039" w:rsidRPr="00653BF4" w:rsidRDefault="00B87039" w:rsidP="00B87039">
      <w:pPr>
        <w:pStyle w:val="p1"/>
        <w:rPr>
          <w:rFonts w:ascii="Aptos" w:hAnsi="Aptos"/>
          <w:sz w:val="24"/>
          <w:szCs w:val="24"/>
          <w:lang w:val="fr-FR"/>
        </w:rPr>
      </w:pPr>
    </w:p>
    <w:p w14:paraId="34937625" w14:textId="2641CB2D"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 xml:space="preserve">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w:t>
      </w:r>
      <w:r w:rsidRPr="00653BF4">
        <w:rPr>
          <w:sz w:val="16"/>
          <w:szCs w:val="16"/>
          <w:lang w:val="fr-FR"/>
        </w:rPr>
        <w:lastRenderedPageBreak/>
        <w:t>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sz w:val="16"/>
          <w:szCs w:val="16"/>
          <w:lang w:val="fr-FR"/>
        </w:rPr>
        <w:t> %</w:t>
      </w:r>
      <w:r w:rsidRPr="00653BF4">
        <w:rPr>
          <w:sz w:val="16"/>
          <w:szCs w:val="16"/>
          <w:lang w:val="fr-FR"/>
        </w:rPr>
        <w:t>, le jaune aux valeurs comprises entre 25</w:t>
      </w:r>
      <w:r w:rsidR="002878D7">
        <w:rPr>
          <w:sz w:val="16"/>
          <w:szCs w:val="16"/>
          <w:lang w:val="fr-FR"/>
        </w:rPr>
        <w:t> %</w:t>
      </w:r>
      <w:r w:rsidRPr="00653BF4">
        <w:rPr>
          <w:sz w:val="16"/>
          <w:szCs w:val="16"/>
          <w:lang w:val="fr-FR"/>
        </w:rPr>
        <w:t xml:space="preserve"> et 50 </w:t>
      </w:r>
      <w:r w:rsidR="002878D7">
        <w:rPr>
          <w:sz w:val="16"/>
          <w:szCs w:val="16"/>
          <w:lang w:val="fr-FR"/>
        </w:rPr>
        <w:t> %</w:t>
      </w:r>
      <w:r w:rsidRPr="00653BF4">
        <w:rPr>
          <w:sz w:val="16"/>
          <w:szCs w:val="16"/>
          <w:lang w:val="fr-FR"/>
        </w:rPr>
        <w:t>, et le rouge aux valeurs inférieures à 25</w:t>
      </w:r>
      <w:r w:rsidR="002878D7">
        <w:rPr>
          <w:sz w:val="16"/>
          <w:szCs w:val="16"/>
          <w:lang w:val="fr-FR"/>
        </w:rPr>
        <w:t> %</w:t>
      </w:r>
      <w:r w:rsidRPr="00653BF4">
        <w:rPr>
          <w:sz w:val="16"/>
          <w:szCs w:val="16"/>
          <w:lang w:val="fr-FR"/>
        </w:rPr>
        <w:t xml:space="preserve">) </w:t>
      </w:r>
    </w:p>
    <w:p w14:paraId="182842E9" w14:textId="77777777" w:rsidR="00B87039" w:rsidRPr="00653BF4" w:rsidRDefault="00B87039" w:rsidP="00B87039">
      <w:pPr>
        <w:pStyle w:val="FootnoteText"/>
        <w:rPr>
          <w:sz w:val="16"/>
          <w:szCs w:val="16"/>
          <w:lang w:val="fr-FR"/>
        </w:rPr>
      </w:pPr>
      <w:r w:rsidRPr="00653BF4">
        <w:rPr>
          <w:vertAlign w:val="superscript"/>
          <w:lang w:val="fr-FR"/>
        </w:rPr>
        <w:t>a</w:t>
      </w:r>
      <w:r w:rsidRPr="00653BF4">
        <w:rPr>
          <w:lang w:val="fr-FR"/>
        </w:rPr>
        <w:t xml:space="preserve"> </w:t>
      </w:r>
      <w:r w:rsidRPr="00653BF4">
        <w:rPr>
          <w:sz w:val="16"/>
          <w:szCs w:val="16"/>
          <w:lang w:val="fr-FR"/>
        </w:rPr>
        <w:t>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p>
    <w:p w14:paraId="5B9B9379" w14:textId="77777777" w:rsidR="00B87039" w:rsidRPr="00653BF4" w:rsidRDefault="00B87039" w:rsidP="00B87039">
      <w:pPr>
        <w:rPr>
          <w:strike/>
          <w:lang w:val="fr-FR"/>
        </w:rPr>
      </w:pPr>
    </w:p>
    <w:p w14:paraId="7A7576F3" w14:textId="77777777" w:rsidR="00B87039" w:rsidRPr="00653BF4" w:rsidRDefault="00B87039" w:rsidP="00B87039">
      <w:pPr>
        <w:pStyle w:val="p1"/>
        <w:rPr>
          <w:rFonts w:ascii="Aptos" w:hAnsi="Aptos"/>
          <w:sz w:val="24"/>
          <w:szCs w:val="24"/>
          <w:lang w:val="fr-FR"/>
        </w:rPr>
      </w:pPr>
    </w:p>
    <w:p w14:paraId="07613AFF" w14:textId="68CB9801" w:rsidR="00B87039" w:rsidRPr="00653BF4" w:rsidRDefault="00B87039" w:rsidP="00B87039">
      <w:pPr>
        <w:rPr>
          <w:lang w:val="fr-FR"/>
        </w:rPr>
      </w:pPr>
      <w:r w:rsidRPr="00653BF4">
        <w:rPr>
          <w:lang w:val="fr-FR"/>
        </w:rPr>
        <w:t>Le cadre de suivi ne comprend pas d</w:t>
      </w:r>
      <w:r w:rsidR="00D77549">
        <w:rPr>
          <w:lang w:val="fr-FR"/>
        </w:rPr>
        <w:t>’</w:t>
      </w:r>
      <w:r w:rsidRPr="00653BF4">
        <w:rPr>
          <w:lang w:val="fr-FR"/>
        </w:rPr>
        <w:t xml:space="preserve">indicateur-phare spécifique pour la </w:t>
      </w:r>
      <w:r w:rsidR="00E34DC9">
        <w:rPr>
          <w:lang w:val="fr-FR"/>
        </w:rPr>
        <w:t>cible 1</w:t>
      </w:r>
      <w:r w:rsidRPr="00653BF4">
        <w:rPr>
          <w:lang w:val="fr-FR"/>
        </w:rPr>
        <w:t>6. La plupart des Parties ont obtenu de très bons résultats pour l</w:t>
      </w:r>
      <w:r w:rsidR="00D77549">
        <w:rPr>
          <w:lang w:val="fr-FR"/>
        </w:rPr>
        <w:t>’</w:t>
      </w:r>
      <w:r w:rsidRPr="00653BF4">
        <w:rPr>
          <w:lang w:val="fr-FR"/>
        </w:rPr>
        <w:t>indicateur binaire correspondant à cette cible, ce qui témoigne d</w:t>
      </w:r>
      <w:r w:rsidR="00D77549">
        <w:rPr>
          <w:lang w:val="fr-FR"/>
        </w:rPr>
        <w:t>’</w:t>
      </w:r>
      <w:r w:rsidRPr="00653BF4">
        <w:rPr>
          <w:lang w:val="fr-FR"/>
        </w:rPr>
        <w:t>une avancée globale dans la mise en place d</w:t>
      </w:r>
      <w:r w:rsidR="00D77549">
        <w:rPr>
          <w:lang w:val="fr-FR"/>
        </w:rPr>
        <w:t>’</w:t>
      </w:r>
      <w:r w:rsidRPr="00653BF4">
        <w:rPr>
          <w:lang w:val="fr-FR"/>
        </w:rPr>
        <w:t>instruments de politique générale visant à encourager les populations à faire des choix durables et à leur en donner les moyens (voir le tableau 36 et figure 67). L</w:t>
      </w:r>
      <w:r w:rsidR="00D77549">
        <w:rPr>
          <w:lang w:val="fr-FR"/>
        </w:rPr>
        <w:t>’</w:t>
      </w:r>
      <w:r w:rsidRPr="00653BF4">
        <w:rPr>
          <w:lang w:val="fr-FR"/>
        </w:rPr>
        <w:t>indicateur binaire ne rend pas compte des tendances liées à l</w:t>
      </w:r>
      <w:r w:rsidR="00D77549">
        <w:rPr>
          <w:lang w:val="fr-FR"/>
        </w:rPr>
        <w:t>’</w:t>
      </w:r>
      <w:r w:rsidRPr="00653BF4">
        <w:rPr>
          <w:lang w:val="fr-FR"/>
        </w:rPr>
        <w:t>évolution des modes de consommation ni des pressions liées à la consommation qui pèsent sur la biodiversité. Les progrès les plus importants ont été réalisés dans la mise en place de mécanismes, de politiques, de cadres législatifs et de mesures réglementaires visant à favoriser une consommation durable. Toutefois, les Parties qui indiquent que les mesures visant à encourager et à faciliter la réduction du gaspillage alimentaire, de la surconsommation et de la production de déchets sont encore en cours d’élaboration ou ne sont pas encore mises en œuvre sont plus nombreuses que les Parties qui signalent que de telles mesures sont déjà en place. Les progrès réalisés en matière d</w:t>
      </w:r>
      <w:r w:rsidR="00D77549">
        <w:rPr>
          <w:lang w:val="fr-FR"/>
        </w:rPr>
        <w:t>’</w:t>
      </w:r>
      <w:r w:rsidRPr="00653BF4">
        <w:rPr>
          <w:lang w:val="fr-FR"/>
        </w:rPr>
        <w:t xml:space="preserve">éducation et de sensibilisation aux incidences de la consommation sur la biodiversité restent également largement partiels. </w:t>
      </w:r>
    </w:p>
    <w:p w14:paraId="3820FFB6" w14:textId="665BB6E2" w:rsidR="00B87039" w:rsidRPr="00653BF4" w:rsidRDefault="00B87039" w:rsidP="00B87039">
      <w:pPr>
        <w:rPr>
          <w:lang w:val="fr-FR"/>
        </w:rPr>
      </w:pPr>
      <w:r w:rsidRPr="00653BF4">
        <w:rPr>
          <w:lang w:val="fr-FR"/>
        </w:rPr>
        <w:t>Près d</w:t>
      </w:r>
      <w:r w:rsidR="00D77549">
        <w:rPr>
          <w:lang w:val="fr-FR"/>
        </w:rPr>
        <w:t>’</w:t>
      </w:r>
      <w:r w:rsidRPr="00653BF4">
        <w:rPr>
          <w:lang w:val="fr-FR"/>
        </w:rPr>
        <w:t>un cinquième (19</w:t>
      </w:r>
      <w:r w:rsidR="002878D7">
        <w:rPr>
          <w:lang w:val="fr-FR"/>
        </w:rPr>
        <w:t> %</w:t>
      </w:r>
      <w:r w:rsidRPr="00653BF4">
        <w:rPr>
          <w:lang w:val="fr-FR"/>
        </w:rPr>
        <w:t>) des Parties ont communiqué des indicateurs supplémentaires, portant pour la plupart sur la gestion des déchets, le recyclage ou la réduction de l</w:t>
      </w:r>
      <w:r w:rsidR="00D77549">
        <w:rPr>
          <w:lang w:val="fr-FR"/>
        </w:rPr>
        <w:t>’</w:t>
      </w:r>
      <w:r w:rsidRPr="00653BF4">
        <w:rPr>
          <w:lang w:val="fr-FR"/>
        </w:rPr>
        <w:t>empreinte de consommation. Peu d</w:t>
      </w:r>
      <w:r w:rsidR="00D77549">
        <w:rPr>
          <w:lang w:val="fr-FR"/>
        </w:rPr>
        <w:t>’</w:t>
      </w:r>
      <w:r w:rsidRPr="00653BF4">
        <w:rPr>
          <w:lang w:val="fr-FR"/>
        </w:rPr>
        <w:t>indicateurs visant à réduire la surconsommation ont été signalés. L</w:t>
      </w:r>
      <w:r w:rsidR="00D77549">
        <w:rPr>
          <w:lang w:val="fr-FR"/>
        </w:rPr>
        <w:t>’</w:t>
      </w:r>
      <w:r w:rsidRPr="00653BF4">
        <w:rPr>
          <w:lang w:val="fr-FR"/>
        </w:rPr>
        <w:t>analyse montre que les tendances de ces indicateurs sont variées et qu</w:t>
      </w:r>
      <w:r w:rsidR="00D77549">
        <w:rPr>
          <w:lang w:val="fr-FR"/>
        </w:rPr>
        <w:t>’</w:t>
      </w:r>
      <w:r w:rsidRPr="00653BF4">
        <w:rPr>
          <w:lang w:val="fr-FR"/>
        </w:rPr>
        <w:t xml:space="preserve">il est difficile, à ce stade, de tirer des conclusions générales concernant des éléments cibles très différents (voir la figure 68). </w:t>
      </w:r>
    </w:p>
    <w:p w14:paraId="64FEAFFF" w14:textId="5C3BF06C" w:rsidR="00B87039" w:rsidRPr="00653BF4" w:rsidRDefault="00B87039" w:rsidP="00B87039">
      <w:pPr>
        <w:rPr>
          <w:lang w:val="fr-FR"/>
        </w:rPr>
      </w:pPr>
      <w:r w:rsidRPr="00653BF4">
        <w:rPr>
          <w:lang w:val="fr-FR"/>
        </w:rPr>
        <w:t>Dans l</w:t>
      </w:r>
      <w:r w:rsidR="00D77549">
        <w:rPr>
          <w:lang w:val="fr-FR"/>
        </w:rPr>
        <w:t>’</w:t>
      </w:r>
      <w:r w:rsidRPr="00653BF4">
        <w:rPr>
          <w:lang w:val="fr-FR"/>
        </w:rPr>
        <w:t>ensemble, l</w:t>
      </w:r>
      <w:r w:rsidR="00D77549">
        <w:rPr>
          <w:lang w:val="fr-FR"/>
        </w:rPr>
        <w:t>’</w:t>
      </w:r>
      <w:r w:rsidRPr="00653BF4">
        <w:rPr>
          <w:lang w:val="fr-FR"/>
        </w:rPr>
        <w:t xml:space="preserve">analyse suggère que les Parties prennent des mesures pour mettre en œuvre la </w:t>
      </w:r>
      <w:r w:rsidR="00E34DC9">
        <w:rPr>
          <w:lang w:val="fr-FR"/>
        </w:rPr>
        <w:t>cible 1</w:t>
      </w:r>
      <w:r w:rsidRPr="00653BF4">
        <w:rPr>
          <w:lang w:val="fr-FR"/>
        </w:rPr>
        <w:t>6, mais, d</w:t>
      </w:r>
      <w:r w:rsidR="00D77549">
        <w:rPr>
          <w:lang w:val="fr-FR"/>
        </w:rPr>
        <w:t>’</w:t>
      </w:r>
      <w:r w:rsidRPr="00653BF4">
        <w:rPr>
          <w:lang w:val="fr-FR"/>
        </w:rPr>
        <w:t>après les données communiquées, il n</w:t>
      </w:r>
      <w:r w:rsidR="00D77549">
        <w:rPr>
          <w:lang w:val="fr-FR"/>
        </w:rPr>
        <w:t>’</w:t>
      </w:r>
      <w:r w:rsidRPr="00653BF4">
        <w:rPr>
          <w:lang w:val="fr-FR"/>
        </w:rPr>
        <w:t>est pas possible de déterminer l</w:t>
      </w:r>
      <w:r w:rsidR="00D77549">
        <w:rPr>
          <w:lang w:val="fr-FR"/>
        </w:rPr>
        <w:t>’</w:t>
      </w:r>
      <w:r w:rsidRPr="00653BF4">
        <w:rPr>
          <w:lang w:val="fr-FR"/>
        </w:rPr>
        <w:t>impact de ces mesures sur les modes de consommation.</w:t>
      </w:r>
    </w:p>
    <w:p w14:paraId="19B2C366" w14:textId="77777777" w:rsidR="00B87039" w:rsidRPr="00653BF4" w:rsidRDefault="00B87039" w:rsidP="00B87039">
      <w:pPr>
        <w:rPr>
          <w:lang w:val="fr-FR"/>
        </w:rPr>
      </w:pPr>
    </w:p>
    <w:p w14:paraId="79FED9E5" w14:textId="77777777" w:rsidR="00B87039" w:rsidRPr="00653BF4" w:rsidRDefault="00B87039" w:rsidP="00B87039">
      <w:pPr>
        <w:rPr>
          <w:sz w:val="20"/>
          <w:szCs w:val="20"/>
          <w:lang w:val="fr-FR"/>
        </w:rPr>
      </w:pPr>
      <w:r w:rsidRPr="00653BF4">
        <w:rPr>
          <w:sz w:val="20"/>
          <w:szCs w:val="20"/>
          <w:lang w:val="fr-FR"/>
        </w:rPr>
        <w:t xml:space="preserve">Figure 67 </w:t>
      </w:r>
    </w:p>
    <w:p w14:paraId="40FA2F16" w14:textId="4D17B6C9" w:rsidR="00B87039" w:rsidRPr="00653BF4" w:rsidRDefault="00B87039" w:rsidP="00B87039">
      <w:pPr>
        <w:rPr>
          <w:b/>
          <w:bCs/>
          <w:sz w:val="20"/>
          <w:szCs w:val="20"/>
          <w:lang w:val="fr-FR"/>
        </w:rPr>
      </w:pPr>
      <w:r w:rsidRPr="00653BF4">
        <w:rPr>
          <w:b/>
          <w:bCs/>
          <w:sz w:val="20"/>
          <w:szCs w:val="20"/>
          <w:lang w:val="fr-FR"/>
        </w:rPr>
        <w:t>Indicateur binaire 16.b</w:t>
      </w:r>
      <w:r w:rsidR="00E34DC9">
        <w:rPr>
          <w:b/>
          <w:bCs/>
          <w:sz w:val="20"/>
          <w:szCs w:val="20"/>
          <w:lang w:val="fr-FR"/>
        </w:rPr>
        <w:t> :</w:t>
      </w:r>
      <w:r w:rsidRPr="00653BF4">
        <w:rPr>
          <w:b/>
          <w:bCs/>
          <w:sz w:val="20"/>
          <w:szCs w:val="20"/>
          <w:lang w:val="fr-FR"/>
        </w:rPr>
        <w:t xml:space="preserve"> nombre de pays qui élaborent, adoptent ou mettent en œuvre des instruments de politique générale visant à encourager les populations à faire des choix de consommation durables et à leur donner les moyens de le faire</w:t>
      </w:r>
    </w:p>
    <w:p w14:paraId="1EDB1E5D" w14:textId="77777777" w:rsidR="00B87039" w:rsidRPr="00653BF4" w:rsidRDefault="00B87039" w:rsidP="00B87039">
      <w:pPr>
        <w:pStyle w:val="Caption"/>
        <w:rPr>
          <w:lang w:val="fr-FR"/>
        </w:rPr>
      </w:pPr>
      <w:r w:rsidRPr="00653BF4">
        <w:rPr>
          <w:noProof/>
          <w:lang w:val="fr-FR"/>
          <w14:ligatures w14:val="standardContextual"/>
        </w:rPr>
        <w:lastRenderedPageBreak/>
        <w:drawing>
          <wp:inline distT="0" distB="0" distL="0" distR="0" wp14:anchorId="73B37A00" wp14:editId="475C4D7B">
            <wp:extent cx="5943600" cy="2264410"/>
            <wp:effectExtent l="0" t="0" r="0" b="0"/>
            <wp:docPr id="12711514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151485" name="Picture 1271151485"/>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5728A4FC" w14:textId="57B5038A" w:rsidR="00B87039" w:rsidRPr="00653BF4" w:rsidRDefault="00B87039" w:rsidP="00B87039">
      <w:pPr>
        <w:pStyle w:val="Caption"/>
        <w:rPr>
          <w:i w:val="0"/>
          <w:iCs w:val="0"/>
          <w:lang w:val="fr-FR"/>
        </w:rPr>
      </w:pPr>
      <w:r w:rsidRPr="00653BF4">
        <w:rPr>
          <w:i w:val="0"/>
          <w:iCs w:val="0"/>
          <w:lang w:val="fr-FR"/>
        </w:rPr>
        <w:t>Note</w:t>
      </w:r>
      <w:r w:rsidR="00E34DC9">
        <w:rPr>
          <w:i w:val="0"/>
          <w:iCs w:val="0"/>
          <w:lang w:val="fr-FR"/>
        </w:rPr>
        <w:t> :</w:t>
      </w:r>
      <w:r w:rsidRPr="00653BF4">
        <w:rPr>
          <w:i w:val="0"/>
          <w:iCs w:val="0"/>
          <w:lang w:val="fr-FR"/>
        </w:rPr>
        <w:t xml:space="preserve"> La largeur des barres indique le pourcentage de Parties dans chaque catégorie de note, une note plus élevée correspondant à des progrès plus importants. Les notes sont établies d’après les réponses aux questions de l’indicateur</w:t>
      </w:r>
      <w:r w:rsidRPr="00653BF4">
        <w:rPr>
          <w:i w:val="0"/>
          <w:iCs w:val="0"/>
          <w:vertAlign w:val="superscript"/>
          <w:lang w:val="fr-FR"/>
        </w:rPr>
        <w:t>a</w:t>
      </w:r>
      <w:r w:rsidRPr="00653BF4">
        <w:rPr>
          <w:i w:val="0"/>
          <w:iCs w:val="0"/>
          <w:lang w:val="fr-FR"/>
        </w:rPr>
        <w:t>. Le diagramme circulaire représente la répartition par région des Parties ayant répondu à toutes les questions.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p w14:paraId="4D4E3129" w14:textId="77777777" w:rsidR="00B87039" w:rsidRPr="00653BF4" w:rsidRDefault="00B87039" w:rsidP="00B87039">
      <w:pPr>
        <w:rPr>
          <w:sz w:val="18"/>
          <w:szCs w:val="18"/>
          <w:lang w:val="fr-FR"/>
        </w:rPr>
      </w:pPr>
      <w:r w:rsidRPr="00653BF4">
        <w:rPr>
          <w:sz w:val="18"/>
          <w:szCs w:val="18"/>
          <w:vertAlign w:val="superscript"/>
          <w:lang w:val="fr-FR"/>
        </w:rPr>
        <w:t xml:space="preserve">a </w:t>
      </w:r>
      <w:r w:rsidRPr="00653BF4">
        <w:rPr>
          <w:sz w:val="18"/>
          <w:szCs w:val="18"/>
          <w:lang w:val="fr-FR"/>
        </w:rPr>
        <w:t xml:space="preserve">La méthode de calcul des notes pour chaque indicateur binaire, ainsi que les questions associées à chaque indicateur, figurent dans le document </w:t>
      </w:r>
      <w:hyperlink r:id="rId173" w:history="1">
        <w:r w:rsidRPr="00653BF4">
          <w:rPr>
            <w:rStyle w:val="Hyperlink"/>
            <w:sz w:val="18"/>
            <w:szCs w:val="18"/>
            <w:lang w:val="fr-FR"/>
          </w:rPr>
          <w:t>CBD/COP/16/INF/3/Rev.1</w:t>
        </w:r>
      </w:hyperlink>
      <w:r w:rsidRPr="00653BF4">
        <w:rPr>
          <w:lang w:val="fr-FR"/>
        </w:rPr>
        <w:t>.</w:t>
      </w:r>
    </w:p>
    <w:tbl>
      <w:tblPr>
        <w:tblStyle w:val="TableGrid"/>
        <w:tblW w:w="8861" w:type="dxa"/>
        <w:tblLook w:val="04A0" w:firstRow="1" w:lastRow="0" w:firstColumn="1" w:lastColumn="0" w:noHBand="0" w:noVBand="1"/>
      </w:tblPr>
      <w:tblGrid>
        <w:gridCol w:w="4188"/>
        <w:gridCol w:w="4673"/>
      </w:tblGrid>
      <w:tr w:rsidR="001279A8" w:rsidRPr="0029579B" w14:paraId="7311B9CB" w14:textId="77777777" w:rsidTr="009B4355">
        <w:tc>
          <w:tcPr>
            <w:tcW w:w="8861" w:type="dxa"/>
            <w:gridSpan w:val="2"/>
          </w:tcPr>
          <w:p w14:paraId="6A239B82" w14:textId="77777777" w:rsidR="001279A8" w:rsidRPr="0029579B" w:rsidRDefault="001279A8" w:rsidP="009B4355">
            <w:pPr>
              <w:rPr>
                <w:rFonts w:ascii="Aptos" w:hAnsi="Aptos"/>
                <w:lang w:val="fr-FR"/>
              </w:rPr>
            </w:pPr>
            <w:r>
              <w:rPr>
                <w:rFonts w:ascii="Aptos" w:hAnsi="Aptos"/>
                <w:lang w:val="fr-FR"/>
              </w:rPr>
              <w:t>Figure 67</w:t>
            </w:r>
          </w:p>
        </w:tc>
      </w:tr>
      <w:tr w:rsidR="001279A8" w:rsidRPr="0029579B" w14:paraId="202892BD" w14:textId="77777777" w:rsidTr="009B4355">
        <w:tc>
          <w:tcPr>
            <w:tcW w:w="4188" w:type="dxa"/>
          </w:tcPr>
          <w:p w14:paraId="0A118C59" w14:textId="77777777" w:rsidR="001279A8" w:rsidRPr="0029579B" w:rsidRDefault="001279A8" w:rsidP="009B4355">
            <w:pPr>
              <w:rPr>
                <w:rFonts w:ascii="Aptos" w:hAnsi="Aptos"/>
                <w:lang w:val="fr-FR"/>
              </w:rPr>
            </w:pPr>
            <w:r w:rsidRPr="0029579B">
              <w:rPr>
                <w:rFonts w:ascii="Aptos" w:hAnsi="Aptos"/>
                <w:lang w:val="fr-FR"/>
              </w:rPr>
              <w:t xml:space="preserve">English </w:t>
            </w:r>
          </w:p>
        </w:tc>
        <w:tc>
          <w:tcPr>
            <w:tcW w:w="4673" w:type="dxa"/>
          </w:tcPr>
          <w:p w14:paraId="5E41DF83" w14:textId="77777777" w:rsidR="001279A8" w:rsidRPr="0029579B" w:rsidRDefault="001279A8" w:rsidP="009B4355">
            <w:pPr>
              <w:rPr>
                <w:rFonts w:ascii="Aptos" w:hAnsi="Aptos"/>
                <w:lang w:val="fr-FR"/>
              </w:rPr>
            </w:pPr>
            <w:r>
              <w:rPr>
                <w:rFonts w:ascii="Aptos" w:hAnsi="Aptos"/>
                <w:lang w:val="fr-FR"/>
              </w:rPr>
              <w:t>Français</w:t>
            </w:r>
          </w:p>
        </w:tc>
      </w:tr>
      <w:tr w:rsidR="001279A8" w:rsidRPr="006F7AF8" w14:paraId="74308AB2" w14:textId="77777777" w:rsidTr="009B4355">
        <w:tc>
          <w:tcPr>
            <w:tcW w:w="4188" w:type="dxa"/>
          </w:tcPr>
          <w:p w14:paraId="4F921096" w14:textId="77777777" w:rsidR="001279A8" w:rsidRPr="006F7AF8" w:rsidRDefault="001279A8" w:rsidP="009B4355">
            <w:pPr>
              <w:rPr>
                <w:rFonts w:ascii="Aptos" w:hAnsi="Aptos"/>
                <w:lang w:val="fr-FR"/>
              </w:rPr>
            </w:pPr>
            <w:r w:rsidRPr="006F7AF8">
              <w:rPr>
                <w:rFonts w:ascii="Aptos" w:hAnsi="Aptos"/>
                <w:lang w:val="fr-FR"/>
              </w:rPr>
              <w:t>Answers (percentage)</w:t>
            </w:r>
          </w:p>
        </w:tc>
        <w:tc>
          <w:tcPr>
            <w:tcW w:w="4673" w:type="dxa"/>
          </w:tcPr>
          <w:p w14:paraId="31931F9D" w14:textId="77777777" w:rsidR="001279A8" w:rsidRPr="006F7AF8" w:rsidRDefault="001279A8" w:rsidP="009B4355">
            <w:pPr>
              <w:rPr>
                <w:rFonts w:ascii="Aptos" w:hAnsi="Aptos"/>
                <w:lang w:val="fr-FR"/>
              </w:rPr>
            </w:pPr>
            <w:r w:rsidRPr="006F7AF8">
              <w:rPr>
                <w:rFonts w:ascii="Aptos" w:hAnsi="Aptos"/>
                <w:lang w:val="fr-FR"/>
              </w:rPr>
              <w:t>Réponses (pourcentage)</w:t>
            </w:r>
          </w:p>
        </w:tc>
      </w:tr>
      <w:tr w:rsidR="001279A8" w:rsidRPr="006F7AF8" w14:paraId="58A3EA96" w14:textId="77777777" w:rsidTr="009B4355">
        <w:tc>
          <w:tcPr>
            <w:tcW w:w="4188" w:type="dxa"/>
          </w:tcPr>
          <w:p w14:paraId="0545C581" w14:textId="77777777" w:rsidR="001279A8" w:rsidRPr="006F7AF8" w:rsidRDefault="001279A8" w:rsidP="009B4355">
            <w:pPr>
              <w:rPr>
                <w:rFonts w:ascii="Aptos" w:hAnsi="Aptos"/>
                <w:lang w:val="fr-FR"/>
              </w:rPr>
            </w:pPr>
            <w:r w:rsidRPr="006F7AF8">
              <w:rPr>
                <w:rFonts w:ascii="Aptos" w:hAnsi="Aptos"/>
                <w:lang w:val="fr-FR"/>
              </w:rPr>
              <w:t>Score Level</w:t>
            </w:r>
          </w:p>
        </w:tc>
        <w:tc>
          <w:tcPr>
            <w:tcW w:w="4673" w:type="dxa"/>
          </w:tcPr>
          <w:p w14:paraId="60B69CA2" w14:textId="77777777" w:rsidR="001279A8" w:rsidRPr="006F7AF8" w:rsidRDefault="001279A8" w:rsidP="009B4355">
            <w:pPr>
              <w:rPr>
                <w:rFonts w:ascii="Aptos" w:hAnsi="Aptos"/>
                <w:lang w:val="fr-FR"/>
              </w:rPr>
            </w:pPr>
            <w:r>
              <w:rPr>
                <w:rFonts w:ascii="Aptos" w:hAnsi="Aptos"/>
                <w:lang w:val="fr-FR"/>
              </w:rPr>
              <w:t>Note</w:t>
            </w:r>
          </w:p>
        </w:tc>
      </w:tr>
      <w:tr w:rsidR="001279A8" w:rsidRPr="006F7AF8" w14:paraId="2F1E83F6" w14:textId="77777777" w:rsidTr="009B4355">
        <w:tc>
          <w:tcPr>
            <w:tcW w:w="4188" w:type="dxa"/>
          </w:tcPr>
          <w:p w14:paraId="236B6060" w14:textId="77777777" w:rsidR="001279A8" w:rsidRPr="006F7AF8" w:rsidRDefault="001279A8" w:rsidP="009B4355">
            <w:pPr>
              <w:rPr>
                <w:rFonts w:ascii="Aptos" w:hAnsi="Aptos"/>
                <w:lang w:val="fr-FR"/>
              </w:rPr>
            </w:pPr>
            <w:r w:rsidRPr="006F7AF8">
              <w:rPr>
                <w:rFonts w:ascii="Aptos" w:hAnsi="Aptos"/>
                <w:lang w:val="fr-FR"/>
              </w:rPr>
              <w:t>Party count: 127</w:t>
            </w:r>
          </w:p>
        </w:tc>
        <w:tc>
          <w:tcPr>
            <w:tcW w:w="4673" w:type="dxa"/>
          </w:tcPr>
          <w:p w14:paraId="695CFB38" w14:textId="77777777" w:rsidR="001279A8" w:rsidRPr="006F7AF8" w:rsidRDefault="001279A8" w:rsidP="009B4355">
            <w:pPr>
              <w:rPr>
                <w:rFonts w:ascii="Aptos" w:hAnsi="Aptos"/>
                <w:lang w:val="fr-FR"/>
              </w:rPr>
            </w:pPr>
            <w:r w:rsidRPr="006F7AF8">
              <w:rPr>
                <w:rFonts w:ascii="Aptos" w:hAnsi="Aptos"/>
                <w:lang w:val="fr-FR"/>
              </w:rPr>
              <w:t>Nombre de Parties : 127</w:t>
            </w:r>
          </w:p>
        </w:tc>
      </w:tr>
      <w:tr w:rsidR="001279A8" w:rsidRPr="006F7AF8" w14:paraId="236E5329" w14:textId="77777777" w:rsidTr="009B4355">
        <w:tc>
          <w:tcPr>
            <w:tcW w:w="4188" w:type="dxa"/>
          </w:tcPr>
          <w:p w14:paraId="40B94E6E"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2002B88A"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549110CA" w14:textId="77777777" w:rsidTr="009B4355">
        <w:tc>
          <w:tcPr>
            <w:tcW w:w="4188" w:type="dxa"/>
          </w:tcPr>
          <w:p w14:paraId="5A791B3E"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73170112"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4F5BC70A" w14:textId="77777777" w:rsidTr="009B4355">
        <w:tc>
          <w:tcPr>
            <w:tcW w:w="4188" w:type="dxa"/>
          </w:tcPr>
          <w:p w14:paraId="5C3DFBF5" w14:textId="77777777" w:rsidR="001279A8" w:rsidRPr="006F7AF8" w:rsidRDefault="001279A8" w:rsidP="009B4355">
            <w:pPr>
              <w:rPr>
                <w:rFonts w:ascii="Aptos" w:hAnsi="Aptos"/>
                <w:lang w:val="fr-FR"/>
              </w:rPr>
            </w:pPr>
            <w:r w:rsidRPr="006F7AF8">
              <w:rPr>
                <w:rFonts w:ascii="Aptos" w:hAnsi="Aptos"/>
                <w:lang w:val="fr-FR"/>
              </w:rPr>
              <w:t>Asia –Pacific States</w:t>
            </w:r>
          </w:p>
        </w:tc>
        <w:tc>
          <w:tcPr>
            <w:tcW w:w="4673" w:type="dxa"/>
          </w:tcPr>
          <w:p w14:paraId="50F7D965"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6406B6DE" w14:textId="77777777" w:rsidTr="009B4355">
        <w:tc>
          <w:tcPr>
            <w:tcW w:w="4188" w:type="dxa"/>
          </w:tcPr>
          <w:p w14:paraId="0EEFB230"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1C938FF7"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7257E90D" w14:textId="77777777" w:rsidTr="009B4355">
        <w:tc>
          <w:tcPr>
            <w:tcW w:w="4188" w:type="dxa"/>
          </w:tcPr>
          <w:p w14:paraId="70A24F11"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1DC03903"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4B9EF1AC" w14:textId="77777777" w:rsidTr="009B4355">
        <w:tc>
          <w:tcPr>
            <w:tcW w:w="4188" w:type="dxa"/>
          </w:tcPr>
          <w:p w14:paraId="31948412"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3" w:type="dxa"/>
          </w:tcPr>
          <w:p w14:paraId="299B7331"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4BC0D506" w14:textId="77777777" w:rsidR="00B87039" w:rsidRPr="00653BF4" w:rsidRDefault="00B87039" w:rsidP="00B87039">
      <w:pPr>
        <w:rPr>
          <w:lang w:val="fr-FR" w:eastAsia="ja-JP"/>
        </w:rPr>
      </w:pPr>
    </w:p>
    <w:p w14:paraId="3FB92CEF" w14:textId="77777777" w:rsidR="00B87039" w:rsidRPr="00653BF4" w:rsidRDefault="00B87039" w:rsidP="00B87039">
      <w:pPr>
        <w:pStyle w:val="Caption"/>
        <w:rPr>
          <w:b/>
          <w:bCs/>
          <w:i w:val="0"/>
          <w:iCs w:val="0"/>
          <w:sz w:val="20"/>
          <w:szCs w:val="20"/>
          <w:lang w:val="fr-FR"/>
        </w:rPr>
      </w:pPr>
      <w:r w:rsidRPr="00653BF4">
        <w:rPr>
          <w:i w:val="0"/>
          <w:iCs w:val="0"/>
          <w:sz w:val="20"/>
          <w:szCs w:val="20"/>
          <w:lang w:val="fr-FR"/>
        </w:rPr>
        <w:t xml:space="preserve">Figure 68 </w:t>
      </w:r>
    </w:p>
    <w:p w14:paraId="3DFD99ED" w14:textId="025BFB1C" w:rsidR="00B87039" w:rsidRPr="00653BF4"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1</w:t>
      </w:r>
      <w:r w:rsidRPr="00653BF4">
        <w:rPr>
          <w:b/>
          <w:bCs/>
          <w:i w:val="0"/>
          <w:iCs w:val="0"/>
          <w:sz w:val="20"/>
          <w:szCs w:val="20"/>
          <w:lang w:val="fr-FR"/>
        </w:rPr>
        <w:t>6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361B98F0" w14:textId="77777777" w:rsidR="00B87039" w:rsidRPr="00653BF4" w:rsidRDefault="00B87039" w:rsidP="00B87039">
      <w:pPr>
        <w:pStyle w:val="Caption"/>
        <w:rPr>
          <w:lang w:val="fr-FR"/>
        </w:rPr>
      </w:pPr>
      <w:r w:rsidRPr="00653BF4">
        <w:rPr>
          <w:noProof/>
          <w:lang w:val="fr-FR"/>
          <w14:ligatures w14:val="standardContextual"/>
        </w:rPr>
        <w:lastRenderedPageBreak/>
        <w:drawing>
          <wp:inline distT="0" distB="0" distL="0" distR="0" wp14:anchorId="3B154EB6" wp14:editId="3B796C97">
            <wp:extent cx="5731510" cy="2456180"/>
            <wp:effectExtent l="0" t="0" r="0" b="0"/>
            <wp:docPr id="77572343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23432" name="Picture 775723432"/>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7DE8C0C1" w14:textId="780DA126" w:rsidR="00B87039" w:rsidRPr="00653BF4" w:rsidRDefault="00B87039" w:rsidP="00B87039">
      <w:pPr>
        <w:pStyle w:val="Caption"/>
        <w:rPr>
          <w:i w:val="0"/>
          <w:lang w:val="fr-FR"/>
        </w:rPr>
      </w:pPr>
      <w:r w:rsidRPr="00653BF4">
        <w:rPr>
          <w:lang w:val="fr-FR"/>
        </w:rPr>
        <w:t>Note</w:t>
      </w:r>
      <w:r w:rsidR="00E34DC9">
        <w:rPr>
          <w:lang w:val="fr-FR"/>
        </w:rPr>
        <w:t> :</w:t>
      </w:r>
      <w:r w:rsidRPr="00653BF4">
        <w:rPr>
          <w:lang w:val="fr-FR"/>
        </w:rPr>
        <w:t xml:space="preserve"> Les proportions sont pondérées par Partie.</w:t>
      </w:r>
      <w:r w:rsidRPr="00653BF4">
        <w:rPr>
          <w:i w:val="0"/>
          <w:iCs w:val="0"/>
          <w:lang w:val="fr-FR"/>
        </w:rPr>
        <w:t xml:space="preserve"> Les tendances incluent des données relatives à 3 indicateurs de composante, 5 indicateurs complémentaires et 60 indicateurs nationaux provenant au total de 25 Parties. Le diagramme circulaire représente la répartition, par région, des Parties ayant communiqué des indicateurs pour la </w:t>
      </w:r>
      <w:r w:rsidR="00E34DC9">
        <w:rPr>
          <w:i w:val="0"/>
          <w:iCs w:val="0"/>
          <w:lang w:val="fr-FR"/>
        </w:rPr>
        <w:t>cible 1</w:t>
      </w:r>
      <w:r w:rsidRPr="00653BF4">
        <w:rPr>
          <w:i w:val="0"/>
          <w:iCs w:val="0"/>
          <w:lang w:val="fr-FR"/>
        </w:rPr>
        <w:t>6.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1279A8" w:rsidRPr="006F7AF8" w14:paraId="141DAF48" w14:textId="77777777" w:rsidTr="009B4355">
        <w:tc>
          <w:tcPr>
            <w:tcW w:w="8861" w:type="dxa"/>
            <w:gridSpan w:val="2"/>
          </w:tcPr>
          <w:p w14:paraId="35EE5AC9" w14:textId="77777777" w:rsidR="001279A8" w:rsidRPr="00045E88" w:rsidRDefault="001279A8" w:rsidP="009B4355">
            <w:pPr>
              <w:rPr>
                <w:rFonts w:ascii="Aptos" w:hAnsi="Aptos"/>
                <w:lang w:val="fr-FR"/>
              </w:rPr>
            </w:pPr>
            <w:r w:rsidRPr="00045E88">
              <w:rPr>
                <w:rFonts w:ascii="Aptos" w:hAnsi="Aptos"/>
                <w:lang w:val="fr-FR"/>
              </w:rPr>
              <w:t>Figure 68</w:t>
            </w:r>
          </w:p>
        </w:tc>
      </w:tr>
      <w:tr w:rsidR="001279A8" w:rsidRPr="006F7AF8" w14:paraId="4E27EDDC" w14:textId="77777777" w:rsidTr="009B4355">
        <w:tc>
          <w:tcPr>
            <w:tcW w:w="4188" w:type="dxa"/>
          </w:tcPr>
          <w:p w14:paraId="51DA23F6" w14:textId="77777777" w:rsidR="001279A8" w:rsidRPr="00045E88" w:rsidRDefault="001279A8" w:rsidP="009B4355">
            <w:pPr>
              <w:rPr>
                <w:rFonts w:ascii="Aptos" w:hAnsi="Aptos"/>
                <w:lang w:val="fr-FR"/>
              </w:rPr>
            </w:pPr>
            <w:r w:rsidRPr="00045E88">
              <w:rPr>
                <w:rFonts w:ascii="Aptos" w:hAnsi="Aptos"/>
                <w:lang w:val="fr-FR"/>
              </w:rPr>
              <w:t xml:space="preserve">English </w:t>
            </w:r>
          </w:p>
        </w:tc>
        <w:tc>
          <w:tcPr>
            <w:tcW w:w="4673" w:type="dxa"/>
          </w:tcPr>
          <w:p w14:paraId="38A28728" w14:textId="77777777" w:rsidR="001279A8" w:rsidRPr="00045E88" w:rsidRDefault="001279A8" w:rsidP="009B4355">
            <w:pPr>
              <w:rPr>
                <w:rFonts w:ascii="Aptos" w:hAnsi="Aptos"/>
                <w:lang w:val="fr-FR"/>
              </w:rPr>
            </w:pPr>
            <w:r>
              <w:rPr>
                <w:rFonts w:ascii="Aptos" w:hAnsi="Aptos"/>
                <w:lang w:val="fr-FR"/>
              </w:rPr>
              <w:t>Français</w:t>
            </w:r>
          </w:p>
        </w:tc>
      </w:tr>
      <w:tr w:rsidR="001279A8" w:rsidRPr="006F7AF8" w14:paraId="2F9FC0EB" w14:textId="77777777" w:rsidTr="009B4355">
        <w:tc>
          <w:tcPr>
            <w:tcW w:w="4188" w:type="dxa"/>
          </w:tcPr>
          <w:p w14:paraId="6CDCF313" w14:textId="77777777" w:rsidR="001279A8" w:rsidRPr="006F7AF8" w:rsidRDefault="001279A8" w:rsidP="009B4355">
            <w:pPr>
              <w:rPr>
                <w:rFonts w:ascii="Aptos" w:hAnsi="Aptos"/>
                <w:lang w:val="fr-FR"/>
              </w:rPr>
            </w:pPr>
            <w:r w:rsidRPr="006F7AF8">
              <w:rPr>
                <w:rFonts w:ascii="Aptos" w:hAnsi="Aptos"/>
                <w:lang w:val="fr-FR"/>
              </w:rPr>
              <w:t>Proportion</w:t>
            </w:r>
          </w:p>
        </w:tc>
        <w:tc>
          <w:tcPr>
            <w:tcW w:w="4673" w:type="dxa"/>
          </w:tcPr>
          <w:p w14:paraId="73661E27" w14:textId="77777777" w:rsidR="001279A8" w:rsidRPr="006F7AF8" w:rsidRDefault="001279A8" w:rsidP="009B4355">
            <w:pPr>
              <w:rPr>
                <w:rFonts w:ascii="Aptos" w:hAnsi="Aptos"/>
                <w:lang w:val="fr-FR"/>
              </w:rPr>
            </w:pPr>
            <w:r w:rsidRPr="006F7AF8">
              <w:rPr>
                <w:rFonts w:ascii="Aptos" w:hAnsi="Aptos"/>
                <w:lang w:val="fr-FR"/>
              </w:rPr>
              <w:t>Proportion</w:t>
            </w:r>
          </w:p>
        </w:tc>
      </w:tr>
      <w:tr w:rsidR="001279A8" w:rsidRPr="006F7AF8" w14:paraId="4BBC3C3D" w14:textId="77777777" w:rsidTr="009B4355">
        <w:tc>
          <w:tcPr>
            <w:tcW w:w="4188" w:type="dxa"/>
          </w:tcPr>
          <w:p w14:paraId="1EB8CFDD" w14:textId="77777777" w:rsidR="001279A8" w:rsidRPr="006F7AF8" w:rsidRDefault="001279A8" w:rsidP="009B4355">
            <w:pPr>
              <w:rPr>
                <w:rFonts w:ascii="Aptos" w:hAnsi="Aptos"/>
                <w:lang w:val="fr-FR"/>
              </w:rPr>
            </w:pPr>
            <w:r w:rsidRPr="006F7AF8">
              <w:rPr>
                <w:rFonts w:ascii="Aptos" w:hAnsi="Aptos"/>
                <w:lang w:val="fr-FR"/>
              </w:rPr>
              <w:t>Current Status</w:t>
            </w:r>
          </w:p>
        </w:tc>
        <w:tc>
          <w:tcPr>
            <w:tcW w:w="4673" w:type="dxa"/>
          </w:tcPr>
          <w:p w14:paraId="330B189E" w14:textId="77777777" w:rsidR="001279A8" w:rsidRPr="006F7AF8" w:rsidRDefault="001279A8" w:rsidP="009B4355">
            <w:pPr>
              <w:rPr>
                <w:rFonts w:ascii="Aptos" w:hAnsi="Aptos"/>
                <w:lang w:val="fr-FR"/>
              </w:rPr>
            </w:pPr>
            <w:r w:rsidRPr="006F7AF8">
              <w:rPr>
                <w:rFonts w:ascii="Aptos" w:hAnsi="Aptos"/>
                <w:lang w:val="fr-FR"/>
              </w:rPr>
              <w:t>État actuel</w:t>
            </w:r>
          </w:p>
        </w:tc>
      </w:tr>
      <w:tr w:rsidR="001279A8" w:rsidRPr="006F7AF8" w14:paraId="599C97AE" w14:textId="77777777" w:rsidTr="009B4355">
        <w:tc>
          <w:tcPr>
            <w:tcW w:w="4188" w:type="dxa"/>
          </w:tcPr>
          <w:p w14:paraId="0F5FDE02" w14:textId="77777777" w:rsidR="001279A8" w:rsidRPr="006F7AF8" w:rsidRDefault="001279A8" w:rsidP="009B4355">
            <w:pPr>
              <w:rPr>
                <w:rFonts w:ascii="Aptos" w:hAnsi="Aptos"/>
                <w:lang w:val="fr-FR"/>
              </w:rPr>
            </w:pPr>
            <w:r w:rsidRPr="006F7AF8">
              <w:rPr>
                <w:rFonts w:ascii="Aptos" w:hAnsi="Aptos"/>
                <w:lang w:val="fr-FR"/>
              </w:rPr>
              <w:t>improving</w:t>
            </w:r>
          </w:p>
        </w:tc>
        <w:tc>
          <w:tcPr>
            <w:tcW w:w="4673" w:type="dxa"/>
          </w:tcPr>
          <w:p w14:paraId="6BD4B124" w14:textId="77777777" w:rsidR="001279A8" w:rsidRPr="006F7AF8" w:rsidRDefault="001279A8" w:rsidP="009B4355">
            <w:pPr>
              <w:rPr>
                <w:rFonts w:ascii="Aptos" w:hAnsi="Aptos"/>
                <w:lang w:val="fr-FR"/>
              </w:rPr>
            </w:pPr>
            <w:r>
              <w:rPr>
                <w:rFonts w:ascii="Aptos" w:hAnsi="Aptos"/>
                <w:lang w:val="fr-FR"/>
              </w:rPr>
              <w:t>amélioration</w:t>
            </w:r>
          </w:p>
        </w:tc>
      </w:tr>
      <w:tr w:rsidR="001279A8" w:rsidRPr="006F7AF8" w14:paraId="4009BF06" w14:textId="77777777" w:rsidTr="009B4355">
        <w:tc>
          <w:tcPr>
            <w:tcW w:w="4188" w:type="dxa"/>
          </w:tcPr>
          <w:p w14:paraId="6773D3BD" w14:textId="77777777" w:rsidR="001279A8" w:rsidRPr="006F7AF8" w:rsidRDefault="001279A8" w:rsidP="009B4355">
            <w:pPr>
              <w:rPr>
                <w:rFonts w:ascii="Aptos" w:hAnsi="Aptos"/>
                <w:lang w:val="fr-FR"/>
              </w:rPr>
            </w:pPr>
            <w:r w:rsidRPr="006F7AF8">
              <w:rPr>
                <w:rFonts w:ascii="Aptos" w:hAnsi="Aptos"/>
                <w:lang w:val="fr-FR"/>
              </w:rPr>
              <w:t>stable</w:t>
            </w:r>
          </w:p>
        </w:tc>
        <w:tc>
          <w:tcPr>
            <w:tcW w:w="4673" w:type="dxa"/>
          </w:tcPr>
          <w:p w14:paraId="618ED838" w14:textId="77777777" w:rsidR="001279A8" w:rsidRPr="006F7AF8" w:rsidRDefault="001279A8"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1279A8" w:rsidRPr="006F7AF8" w14:paraId="0E9C7A73" w14:textId="77777777" w:rsidTr="009B4355">
        <w:tc>
          <w:tcPr>
            <w:tcW w:w="4188" w:type="dxa"/>
          </w:tcPr>
          <w:p w14:paraId="50F22B7C" w14:textId="77777777" w:rsidR="001279A8" w:rsidRPr="006F7AF8" w:rsidRDefault="001279A8" w:rsidP="009B4355">
            <w:pPr>
              <w:rPr>
                <w:rFonts w:ascii="Aptos" w:hAnsi="Aptos"/>
                <w:lang w:val="fr-FR"/>
              </w:rPr>
            </w:pPr>
            <w:r w:rsidRPr="006F7AF8">
              <w:rPr>
                <w:rFonts w:ascii="Aptos" w:hAnsi="Aptos"/>
                <w:lang w:val="fr-FR"/>
              </w:rPr>
              <w:t>moving away</w:t>
            </w:r>
          </w:p>
        </w:tc>
        <w:tc>
          <w:tcPr>
            <w:tcW w:w="4673" w:type="dxa"/>
          </w:tcPr>
          <w:p w14:paraId="757B19DF" w14:textId="77777777" w:rsidR="001279A8" w:rsidRPr="006F7AF8" w:rsidRDefault="001279A8" w:rsidP="009B4355">
            <w:pPr>
              <w:rPr>
                <w:rFonts w:ascii="Aptos" w:hAnsi="Aptos"/>
                <w:lang w:val="fr-FR"/>
              </w:rPr>
            </w:pPr>
            <w:r>
              <w:rPr>
                <w:rFonts w:ascii="Aptos" w:hAnsi="Aptos"/>
                <w:lang w:val="fr-FR"/>
              </w:rPr>
              <w:t>éloignement</w:t>
            </w:r>
          </w:p>
        </w:tc>
      </w:tr>
      <w:tr w:rsidR="001279A8" w:rsidRPr="006F7AF8" w14:paraId="035468D9" w14:textId="77777777" w:rsidTr="009B4355">
        <w:tc>
          <w:tcPr>
            <w:tcW w:w="4188" w:type="dxa"/>
          </w:tcPr>
          <w:p w14:paraId="241239C3" w14:textId="77777777" w:rsidR="001279A8" w:rsidRPr="006F7AF8" w:rsidRDefault="001279A8" w:rsidP="009B4355">
            <w:pPr>
              <w:rPr>
                <w:rFonts w:ascii="Aptos" w:hAnsi="Aptos"/>
                <w:lang w:val="fr-FR"/>
              </w:rPr>
            </w:pPr>
            <w:r w:rsidRPr="006F7AF8">
              <w:rPr>
                <w:rFonts w:ascii="Aptos" w:hAnsi="Aptos"/>
                <w:lang w:val="fr-FR"/>
              </w:rPr>
              <w:t>Party count: 25</w:t>
            </w:r>
          </w:p>
        </w:tc>
        <w:tc>
          <w:tcPr>
            <w:tcW w:w="4673" w:type="dxa"/>
          </w:tcPr>
          <w:p w14:paraId="6A3EB937" w14:textId="77777777" w:rsidR="001279A8" w:rsidRPr="006F7AF8" w:rsidRDefault="001279A8" w:rsidP="009B4355">
            <w:pPr>
              <w:rPr>
                <w:rFonts w:ascii="Aptos" w:hAnsi="Aptos"/>
                <w:lang w:val="fr-FR"/>
              </w:rPr>
            </w:pPr>
            <w:r w:rsidRPr="006F7AF8">
              <w:rPr>
                <w:rFonts w:ascii="Aptos" w:hAnsi="Aptos"/>
                <w:lang w:val="fr-FR"/>
              </w:rPr>
              <w:t>Nombre de Parties : 25</w:t>
            </w:r>
          </w:p>
        </w:tc>
      </w:tr>
      <w:tr w:rsidR="001279A8" w:rsidRPr="006F7AF8" w14:paraId="3D6A0E8A" w14:textId="77777777" w:rsidTr="009B4355">
        <w:tc>
          <w:tcPr>
            <w:tcW w:w="4188" w:type="dxa"/>
          </w:tcPr>
          <w:p w14:paraId="5846F598"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35489ADE"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036810C6" w14:textId="77777777" w:rsidTr="009B4355">
        <w:tc>
          <w:tcPr>
            <w:tcW w:w="4188" w:type="dxa"/>
          </w:tcPr>
          <w:p w14:paraId="28BCA072" w14:textId="77777777" w:rsidR="001279A8" w:rsidRPr="006F7AF8" w:rsidRDefault="001279A8" w:rsidP="009B4355">
            <w:pPr>
              <w:rPr>
                <w:rFonts w:ascii="Aptos" w:hAnsi="Aptos"/>
                <w:lang w:val="fr-FR"/>
              </w:rPr>
            </w:pPr>
            <w:r w:rsidRPr="006F7AF8">
              <w:rPr>
                <w:rFonts w:ascii="Aptos" w:hAnsi="Aptos"/>
                <w:lang w:val="fr-FR"/>
              </w:rPr>
              <w:t>African</w:t>
            </w:r>
          </w:p>
        </w:tc>
        <w:tc>
          <w:tcPr>
            <w:tcW w:w="4673" w:type="dxa"/>
          </w:tcPr>
          <w:p w14:paraId="676406DC"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0569B071" w14:textId="77777777" w:rsidTr="009B4355">
        <w:tc>
          <w:tcPr>
            <w:tcW w:w="4188" w:type="dxa"/>
          </w:tcPr>
          <w:p w14:paraId="4A583028" w14:textId="77777777" w:rsidR="001279A8" w:rsidRPr="006F7AF8" w:rsidRDefault="001279A8" w:rsidP="009B4355">
            <w:pPr>
              <w:rPr>
                <w:rFonts w:ascii="Aptos" w:hAnsi="Aptos"/>
                <w:lang w:val="fr-FR"/>
              </w:rPr>
            </w:pPr>
            <w:r w:rsidRPr="006F7AF8">
              <w:rPr>
                <w:rFonts w:ascii="Aptos" w:hAnsi="Aptos"/>
                <w:lang w:val="fr-FR"/>
              </w:rPr>
              <w:t>Asia-Pacific</w:t>
            </w:r>
          </w:p>
        </w:tc>
        <w:tc>
          <w:tcPr>
            <w:tcW w:w="4673" w:type="dxa"/>
          </w:tcPr>
          <w:p w14:paraId="343C3929"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687ED559" w14:textId="77777777" w:rsidTr="009B4355">
        <w:tc>
          <w:tcPr>
            <w:tcW w:w="4188" w:type="dxa"/>
          </w:tcPr>
          <w:p w14:paraId="42A28AA9"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70AE444B"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1E494ED0" w14:textId="77777777" w:rsidTr="009B4355">
        <w:tc>
          <w:tcPr>
            <w:tcW w:w="4188" w:type="dxa"/>
          </w:tcPr>
          <w:p w14:paraId="64CBAAF2"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7469EA2A"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3C05FC72" w14:textId="77777777" w:rsidTr="009B4355">
        <w:tc>
          <w:tcPr>
            <w:tcW w:w="4188" w:type="dxa"/>
          </w:tcPr>
          <w:p w14:paraId="7D613748" w14:textId="77777777" w:rsidR="001279A8" w:rsidRPr="006F7AF8" w:rsidRDefault="001279A8" w:rsidP="009B4355">
            <w:pPr>
              <w:rPr>
                <w:rFonts w:ascii="Aptos" w:hAnsi="Aptos"/>
                <w:lang w:val="fr-FR"/>
              </w:rPr>
            </w:pPr>
            <w:r w:rsidRPr="006F7AF8">
              <w:rPr>
                <w:rFonts w:ascii="Aptos" w:hAnsi="Aptos"/>
                <w:lang w:val="fr-FR"/>
              </w:rPr>
              <w:t xml:space="preserve">Western European and other States </w:t>
            </w:r>
          </w:p>
        </w:tc>
        <w:tc>
          <w:tcPr>
            <w:tcW w:w="4673" w:type="dxa"/>
          </w:tcPr>
          <w:p w14:paraId="1592CE6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6537AA4A" w14:textId="77777777" w:rsidR="00B87039" w:rsidRPr="00653BF4" w:rsidRDefault="00B87039" w:rsidP="00B87039">
      <w:pPr>
        <w:pStyle w:val="Caption"/>
        <w:rPr>
          <w:lang w:val="fr-FR"/>
        </w:rPr>
      </w:pPr>
    </w:p>
    <w:p w14:paraId="238CD497" w14:textId="7C3A36C1" w:rsidR="00B87039" w:rsidRPr="00653BF4" w:rsidRDefault="00B87039" w:rsidP="00B87039">
      <w:pPr>
        <w:pStyle w:val="Heading5"/>
        <w:rPr>
          <w:lang w:val="fr-FR"/>
        </w:rPr>
      </w:pPr>
      <w:bookmarkStart w:id="318" w:name="_Toc235821247"/>
      <w:r w:rsidRPr="00653BF4">
        <w:rPr>
          <w:lang w:val="fr-FR"/>
        </w:rPr>
        <w:t>Auto-évaluation des progrès accomplis</w:t>
      </w:r>
      <w:bookmarkEnd w:id="318"/>
    </w:p>
    <w:p w14:paraId="6CC47A6C" w14:textId="54499B40" w:rsidR="00B87039" w:rsidRPr="00653BF4" w:rsidRDefault="00B87039" w:rsidP="00B87039">
      <w:pPr>
        <w:rPr>
          <w:rStyle w:val="normaltextrun"/>
          <w:lang w:val="fr-FR"/>
        </w:rPr>
      </w:pPr>
      <w:r w:rsidRPr="00653BF4">
        <w:rPr>
          <w:lang w:val="fr-FR"/>
        </w:rPr>
        <w:t>D’après les auto-évaluations des Parties figurant dans leurs rapports nationaux, moins d</w:t>
      </w:r>
      <w:r w:rsidR="00D77549">
        <w:rPr>
          <w:lang w:val="fr-FR"/>
        </w:rPr>
        <w:t>’</w:t>
      </w:r>
      <w:r w:rsidRPr="00653BF4">
        <w:rPr>
          <w:lang w:val="fr-FR"/>
        </w:rPr>
        <w:t>un tiers (28</w:t>
      </w:r>
      <w:r w:rsidR="002878D7">
        <w:rPr>
          <w:lang w:val="fr-FR"/>
        </w:rPr>
        <w:t> %</w:t>
      </w:r>
      <w:r w:rsidRPr="00653BF4">
        <w:rPr>
          <w:lang w:val="fr-FR"/>
        </w:rPr>
        <w:t>) des cibles nationales qu</w:t>
      </w:r>
      <w:r w:rsidR="00D77549">
        <w:rPr>
          <w:lang w:val="fr-FR"/>
        </w:rPr>
        <w:t>’</w:t>
      </w:r>
      <w:r w:rsidRPr="00653BF4">
        <w:rPr>
          <w:lang w:val="fr-FR"/>
        </w:rPr>
        <w:t xml:space="preserve">elles ont présentées comme étroitement alignées sur la </w:t>
      </w:r>
      <w:r w:rsidR="00E34DC9">
        <w:rPr>
          <w:lang w:val="fr-FR"/>
        </w:rPr>
        <w:t>cible 1</w:t>
      </w:r>
      <w:r w:rsidRPr="00653BF4">
        <w:rPr>
          <w:lang w:val="fr-FR"/>
        </w:rPr>
        <w:t>6 sont en voie d</w:t>
      </w:r>
      <w:r w:rsidR="00D77549">
        <w:rPr>
          <w:lang w:val="fr-FR"/>
        </w:rPr>
        <w:t>’</w:t>
      </w:r>
      <w:r w:rsidRPr="00653BF4">
        <w:rPr>
          <w:lang w:val="fr-FR"/>
        </w:rPr>
        <w:t>être atteintes, alors que la plupart (70</w:t>
      </w:r>
      <w:r w:rsidR="002878D7">
        <w:rPr>
          <w:lang w:val="fr-FR"/>
        </w:rPr>
        <w:t> %</w:t>
      </w:r>
      <w:r w:rsidRPr="00653BF4">
        <w:rPr>
          <w:lang w:val="fr-FR"/>
        </w:rPr>
        <w:t>) n</w:t>
      </w:r>
      <w:r w:rsidR="00D77549">
        <w:rPr>
          <w:lang w:val="fr-FR"/>
        </w:rPr>
        <w:t>’</w:t>
      </w:r>
      <w:r w:rsidRPr="00653BF4">
        <w:rPr>
          <w:lang w:val="fr-FR"/>
        </w:rPr>
        <w:t>enregistrent aucun changement notable ou des progrès insuffisants, et que deux cibles nationales seulement (1</w:t>
      </w:r>
      <w:r w:rsidR="002878D7">
        <w:rPr>
          <w:lang w:val="fr-FR"/>
        </w:rPr>
        <w:t> %</w:t>
      </w:r>
      <w:r w:rsidRPr="00653BF4">
        <w:rPr>
          <w:lang w:val="fr-FR"/>
        </w:rPr>
        <w:t>) sont déclarées rapidement atteintes (voir la figure 69).</w:t>
      </w:r>
    </w:p>
    <w:p w14:paraId="48996BB5" w14:textId="77777777" w:rsidR="00B87039" w:rsidRPr="00653BF4" w:rsidRDefault="00B87039" w:rsidP="00B87039">
      <w:pPr>
        <w:rPr>
          <w:rStyle w:val="normaltextrun"/>
          <w:lang w:val="fr-FR"/>
        </w:rPr>
      </w:pPr>
    </w:p>
    <w:p w14:paraId="40C5DCF0" w14:textId="77777777" w:rsidR="00B87039" w:rsidRPr="00653BF4" w:rsidRDefault="00B87039" w:rsidP="00B87039">
      <w:pPr>
        <w:rPr>
          <w:sz w:val="20"/>
          <w:szCs w:val="20"/>
          <w:lang w:val="fr-FR"/>
        </w:rPr>
      </w:pPr>
      <w:r w:rsidRPr="00653BF4">
        <w:rPr>
          <w:sz w:val="20"/>
          <w:szCs w:val="20"/>
          <w:lang w:val="fr-FR"/>
        </w:rPr>
        <w:lastRenderedPageBreak/>
        <w:t>Figure 69</w:t>
      </w:r>
    </w:p>
    <w:p w14:paraId="01B9C965" w14:textId="77777777" w:rsidR="00B87039" w:rsidRPr="00653BF4" w:rsidRDefault="00B87039" w:rsidP="00B87039">
      <w:pPr>
        <w:rPr>
          <w:lang w:val="fr-FR"/>
        </w:rPr>
      </w:pPr>
    </w:p>
    <w:p w14:paraId="4F6FD1E0" w14:textId="377BF2D8" w:rsidR="00B87039" w:rsidRPr="00653BF4"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1</w:t>
      </w:r>
      <w:r w:rsidRPr="00653BF4">
        <w:rPr>
          <w:b/>
          <w:bCs/>
          <w:i w:val="0"/>
          <w:iCs w:val="0"/>
          <w:sz w:val="20"/>
          <w:szCs w:val="20"/>
          <w:lang w:val="fr-FR"/>
        </w:rPr>
        <w:t>6 du Cadre</w:t>
      </w:r>
    </w:p>
    <w:p w14:paraId="3B702D32" w14:textId="77777777" w:rsidR="00B87039" w:rsidRPr="00653BF4" w:rsidRDefault="00B87039" w:rsidP="00B87039">
      <w:pPr>
        <w:rPr>
          <w:i/>
          <w:iCs/>
          <w:color w:val="0E2841" w:themeColor="text2"/>
          <w:sz w:val="18"/>
          <w:szCs w:val="18"/>
          <w:lang w:val="fr-FR"/>
        </w:rPr>
      </w:pPr>
      <w:bookmarkStart w:id="319" w:name="_Ref231217686"/>
      <w:r w:rsidRPr="00653BF4">
        <w:rPr>
          <w:i/>
          <w:iCs/>
          <w:noProof/>
          <w:color w:val="0E2841" w:themeColor="text2"/>
          <w:sz w:val="18"/>
          <w:szCs w:val="18"/>
          <w:lang w:val="fr-FR"/>
        </w:rPr>
        <w:drawing>
          <wp:inline distT="0" distB="0" distL="0" distR="0" wp14:anchorId="3C47B9D8" wp14:editId="26B156E8">
            <wp:extent cx="5731510" cy="2292350"/>
            <wp:effectExtent l="0" t="0" r="0" b="6350"/>
            <wp:docPr id="1583259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5952" name="Picture 158325952"/>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319"/>
    <w:p w14:paraId="073D347C" w14:textId="25EB5F42"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lang w:val="fr-FR"/>
        </w:rPr>
        <w:t xml:space="preserve"> </w:t>
      </w:r>
      <w:r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9463" w:type="dxa"/>
        <w:tblLook w:val="04A0" w:firstRow="1" w:lastRow="0" w:firstColumn="1" w:lastColumn="0" w:noHBand="0" w:noVBand="1"/>
      </w:tblPr>
      <w:tblGrid>
        <w:gridCol w:w="4390"/>
        <w:gridCol w:w="5073"/>
      </w:tblGrid>
      <w:tr w:rsidR="001279A8" w:rsidRPr="006F7AF8" w14:paraId="6B156C09" w14:textId="77777777" w:rsidTr="009B4355">
        <w:tc>
          <w:tcPr>
            <w:tcW w:w="9463" w:type="dxa"/>
            <w:gridSpan w:val="2"/>
          </w:tcPr>
          <w:p w14:paraId="78803F9D" w14:textId="77777777" w:rsidR="001279A8" w:rsidRPr="002252C0" w:rsidRDefault="001279A8" w:rsidP="009B4355">
            <w:pPr>
              <w:rPr>
                <w:rFonts w:ascii="Aptos" w:hAnsi="Aptos"/>
                <w:lang w:val="fr-FR"/>
              </w:rPr>
            </w:pPr>
            <w:r w:rsidRPr="002252C0">
              <w:rPr>
                <w:rFonts w:ascii="Aptos" w:hAnsi="Aptos"/>
                <w:lang w:val="fr-FR"/>
              </w:rPr>
              <w:t>Figure 69</w:t>
            </w:r>
          </w:p>
        </w:tc>
      </w:tr>
      <w:tr w:rsidR="001279A8" w:rsidRPr="006F7AF8" w14:paraId="524FC56B" w14:textId="77777777" w:rsidTr="009B4355">
        <w:tc>
          <w:tcPr>
            <w:tcW w:w="4390" w:type="dxa"/>
          </w:tcPr>
          <w:p w14:paraId="2FDE74CE" w14:textId="77777777" w:rsidR="001279A8" w:rsidRPr="002252C0" w:rsidRDefault="001279A8" w:rsidP="009B4355">
            <w:pPr>
              <w:rPr>
                <w:rFonts w:ascii="Aptos" w:hAnsi="Aptos"/>
                <w:lang w:val="fr-FR"/>
              </w:rPr>
            </w:pPr>
            <w:r w:rsidRPr="002252C0">
              <w:rPr>
                <w:rFonts w:ascii="Aptos" w:hAnsi="Aptos"/>
                <w:lang w:val="fr-FR"/>
              </w:rPr>
              <w:t xml:space="preserve">English </w:t>
            </w:r>
          </w:p>
        </w:tc>
        <w:tc>
          <w:tcPr>
            <w:tcW w:w="5073" w:type="dxa"/>
          </w:tcPr>
          <w:p w14:paraId="0433CD18" w14:textId="77777777" w:rsidR="001279A8" w:rsidRPr="002252C0" w:rsidRDefault="001279A8" w:rsidP="009B4355">
            <w:pPr>
              <w:rPr>
                <w:rFonts w:ascii="Aptos" w:hAnsi="Aptos"/>
                <w:lang w:val="fr-FR"/>
              </w:rPr>
            </w:pPr>
            <w:r>
              <w:rPr>
                <w:rFonts w:ascii="Aptos" w:hAnsi="Aptos"/>
                <w:lang w:val="fr-FR"/>
              </w:rPr>
              <w:t>Français</w:t>
            </w:r>
          </w:p>
        </w:tc>
      </w:tr>
      <w:tr w:rsidR="001279A8" w:rsidRPr="006F7AF8" w14:paraId="2DE61630" w14:textId="77777777" w:rsidTr="009B4355">
        <w:tc>
          <w:tcPr>
            <w:tcW w:w="4390" w:type="dxa"/>
          </w:tcPr>
          <w:p w14:paraId="59558072" w14:textId="77777777" w:rsidR="001279A8" w:rsidRPr="006F7AF8" w:rsidRDefault="001279A8" w:rsidP="009B4355">
            <w:pPr>
              <w:rPr>
                <w:rFonts w:ascii="Aptos" w:hAnsi="Aptos"/>
                <w:lang w:val="fr-FR"/>
              </w:rPr>
            </w:pPr>
            <w:r w:rsidRPr="006F7AF8">
              <w:rPr>
                <w:rFonts w:ascii="Aptos" w:hAnsi="Aptos"/>
                <w:lang w:val="fr-FR"/>
              </w:rPr>
              <w:t>Percentage of national targets</w:t>
            </w:r>
          </w:p>
        </w:tc>
        <w:tc>
          <w:tcPr>
            <w:tcW w:w="5073" w:type="dxa"/>
          </w:tcPr>
          <w:p w14:paraId="402D88CE" w14:textId="77777777" w:rsidR="001279A8" w:rsidRPr="006F7AF8" w:rsidRDefault="001279A8" w:rsidP="009B4355">
            <w:pPr>
              <w:rPr>
                <w:rFonts w:ascii="Aptos" w:hAnsi="Aptos"/>
                <w:lang w:val="fr-FR"/>
              </w:rPr>
            </w:pPr>
            <w:r>
              <w:t>Pourcentage de cibles nationales</w:t>
            </w:r>
          </w:p>
        </w:tc>
      </w:tr>
      <w:tr w:rsidR="001279A8" w:rsidRPr="006F7AF8" w14:paraId="420E2AAB" w14:textId="77777777" w:rsidTr="009B4355">
        <w:tc>
          <w:tcPr>
            <w:tcW w:w="4390" w:type="dxa"/>
          </w:tcPr>
          <w:p w14:paraId="6EEDF09F" w14:textId="77777777" w:rsidR="001279A8" w:rsidRPr="006F7AF8" w:rsidRDefault="001279A8" w:rsidP="009B4355">
            <w:pPr>
              <w:rPr>
                <w:rFonts w:ascii="Aptos" w:hAnsi="Aptos"/>
                <w:lang w:val="fr-FR"/>
              </w:rPr>
            </w:pPr>
            <w:r w:rsidRPr="006F7AF8">
              <w:rPr>
                <w:rFonts w:ascii="Aptos" w:hAnsi="Aptos"/>
                <w:lang w:val="fr-FR"/>
              </w:rPr>
              <w:t>Progress level</w:t>
            </w:r>
          </w:p>
        </w:tc>
        <w:tc>
          <w:tcPr>
            <w:tcW w:w="5073" w:type="dxa"/>
          </w:tcPr>
          <w:p w14:paraId="39350504" w14:textId="77777777" w:rsidR="001279A8" w:rsidRPr="006F7AF8" w:rsidRDefault="001279A8" w:rsidP="009B4355">
            <w:pPr>
              <w:rPr>
                <w:rFonts w:ascii="Aptos" w:hAnsi="Aptos"/>
                <w:lang w:val="fr-FR"/>
              </w:rPr>
            </w:pPr>
            <w:r>
              <w:t>État d’avancement</w:t>
            </w:r>
          </w:p>
        </w:tc>
      </w:tr>
      <w:tr w:rsidR="001279A8" w:rsidRPr="006F7AF8" w14:paraId="2BAD03B8" w14:textId="77777777" w:rsidTr="009B4355">
        <w:tc>
          <w:tcPr>
            <w:tcW w:w="4390" w:type="dxa"/>
          </w:tcPr>
          <w:p w14:paraId="3487AF26" w14:textId="77777777" w:rsidR="001279A8" w:rsidRPr="006F7AF8" w:rsidRDefault="001279A8" w:rsidP="009B4355">
            <w:pPr>
              <w:rPr>
                <w:rFonts w:ascii="Aptos" w:hAnsi="Aptos"/>
                <w:lang w:val="fr-FR"/>
              </w:rPr>
            </w:pPr>
            <w:r w:rsidRPr="006F7AF8">
              <w:rPr>
                <w:rFonts w:ascii="Aptos" w:hAnsi="Aptos"/>
                <w:lang w:val="fr-FR"/>
              </w:rPr>
              <w:t>Achieved</w:t>
            </w:r>
          </w:p>
        </w:tc>
        <w:tc>
          <w:tcPr>
            <w:tcW w:w="5073" w:type="dxa"/>
          </w:tcPr>
          <w:p w14:paraId="54571427" w14:textId="77777777" w:rsidR="001279A8" w:rsidRPr="006F7AF8" w:rsidRDefault="001279A8" w:rsidP="009B4355">
            <w:pPr>
              <w:rPr>
                <w:rFonts w:ascii="Aptos" w:hAnsi="Aptos"/>
                <w:lang w:val="fr-FR"/>
              </w:rPr>
            </w:pPr>
            <w:r w:rsidRPr="006F7AF8">
              <w:rPr>
                <w:rFonts w:ascii="Aptos" w:hAnsi="Aptos"/>
                <w:lang w:val="fr-FR"/>
              </w:rPr>
              <w:t>Cible atteinte</w:t>
            </w:r>
          </w:p>
        </w:tc>
      </w:tr>
      <w:tr w:rsidR="001279A8" w:rsidRPr="006F7AF8" w14:paraId="07F2EEC0" w14:textId="77777777" w:rsidTr="009B4355">
        <w:tc>
          <w:tcPr>
            <w:tcW w:w="4390" w:type="dxa"/>
          </w:tcPr>
          <w:p w14:paraId="277484BC" w14:textId="77777777" w:rsidR="001279A8" w:rsidRPr="006F7AF8" w:rsidRDefault="001279A8" w:rsidP="009B4355">
            <w:pPr>
              <w:rPr>
                <w:rFonts w:ascii="Aptos" w:hAnsi="Aptos"/>
                <w:lang w:val="fr-FR"/>
              </w:rPr>
            </w:pPr>
            <w:r w:rsidRPr="006F7AF8">
              <w:rPr>
                <w:rFonts w:ascii="Aptos" w:hAnsi="Aptos"/>
                <w:lang w:val="fr-FR"/>
              </w:rPr>
              <w:t>On track to achieve target</w:t>
            </w:r>
          </w:p>
        </w:tc>
        <w:tc>
          <w:tcPr>
            <w:tcW w:w="5073" w:type="dxa"/>
          </w:tcPr>
          <w:p w14:paraId="3C14E070" w14:textId="77777777" w:rsidR="001279A8" w:rsidRPr="006F7AF8" w:rsidRDefault="001279A8" w:rsidP="009B4355">
            <w:pPr>
              <w:rPr>
                <w:rFonts w:ascii="Aptos" w:hAnsi="Aptos"/>
                <w:lang w:val="fr-FR"/>
              </w:rPr>
            </w:pPr>
            <w:r w:rsidRPr="006F7AF8">
              <w:rPr>
                <w:rFonts w:ascii="Aptos" w:hAnsi="Aptos"/>
                <w:lang w:val="fr-FR"/>
              </w:rPr>
              <w:t>En voie d</w:t>
            </w:r>
            <w:r>
              <w:rPr>
                <w:rFonts w:ascii="Aptos" w:hAnsi="Aptos"/>
                <w:lang w:val="fr-FR"/>
              </w:rPr>
              <w:t>’</w:t>
            </w:r>
            <w:r w:rsidRPr="006F7AF8">
              <w:rPr>
                <w:rFonts w:ascii="Aptos" w:hAnsi="Aptos"/>
                <w:lang w:val="fr-FR"/>
              </w:rPr>
              <w:t>atteindre la cible</w:t>
            </w:r>
          </w:p>
        </w:tc>
      </w:tr>
      <w:tr w:rsidR="001279A8" w:rsidRPr="006F7AF8" w14:paraId="5A780AB5" w14:textId="77777777" w:rsidTr="009B4355">
        <w:tc>
          <w:tcPr>
            <w:tcW w:w="4390" w:type="dxa"/>
          </w:tcPr>
          <w:p w14:paraId="0DBDE8DC" w14:textId="77777777" w:rsidR="001279A8" w:rsidRPr="006F7AF8" w:rsidRDefault="001279A8" w:rsidP="009B4355">
            <w:pPr>
              <w:rPr>
                <w:rFonts w:ascii="Aptos" w:hAnsi="Aptos"/>
                <w:lang w:val="fr-FR"/>
              </w:rPr>
            </w:pPr>
            <w:r w:rsidRPr="006F7AF8">
              <w:rPr>
                <w:rFonts w:ascii="Aptos" w:hAnsi="Aptos"/>
                <w:lang w:val="fr-FR"/>
              </w:rPr>
              <w:t>Progress towards target but at an insufficient rate</w:t>
            </w:r>
          </w:p>
        </w:tc>
        <w:tc>
          <w:tcPr>
            <w:tcW w:w="5073" w:type="dxa"/>
          </w:tcPr>
          <w:p w14:paraId="499B00BC" w14:textId="77777777" w:rsidR="001279A8" w:rsidRPr="006F7AF8" w:rsidRDefault="001279A8" w:rsidP="009B4355">
            <w:pPr>
              <w:rPr>
                <w:rFonts w:ascii="Aptos" w:hAnsi="Aptos"/>
                <w:lang w:val="fr-FR"/>
              </w:rPr>
            </w:pPr>
            <w:r w:rsidRPr="006F7AF8">
              <w:rPr>
                <w:rFonts w:ascii="Aptos" w:hAnsi="Aptos"/>
                <w:lang w:val="fr-FR"/>
              </w:rPr>
              <w:t>Progrès accomplis, mais à un rythme insuffisant</w:t>
            </w:r>
          </w:p>
        </w:tc>
      </w:tr>
      <w:tr w:rsidR="001279A8" w:rsidRPr="006F7AF8" w14:paraId="5B58CEA7" w14:textId="77777777" w:rsidTr="009B4355">
        <w:tc>
          <w:tcPr>
            <w:tcW w:w="4390" w:type="dxa"/>
          </w:tcPr>
          <w:p w14:paraId="4A3F967F" w14:textId="77777777" w:rsidR="001279A8" w:rsidRPr="006F7AF8" w:rsidRDefault="001279A8" w:rsidP="009B4355">
            <w:pPr>
              <w:rPr>
                <w:rFonts w:ascii="Aptos" w:hAnsi="Aptos"/>
                <w:lang w:val="fr-FR"/>
              </w:rPr>
            </w:pPr>
            <w:r w:rsidRPr="006F7AF8">
              <w:rPr>
                <w:rFonts w:ascii="Aptos" w:hAnsi="Aptos"/>
                <w:lang w:val="fr-FR"/>
              </w:rPr>
              <w:t>No significant change</w:t>
            </w:r>
          </w:p>
        </w:tc>
        <w:tc>
          <w:tcPr>
            <w:tcW w:w="5073" w:type="dxa"/>
          </w:tcPr>
          <w:p w14:paraId="047D70B0" w14:textId="77777777" w:rsidR="001279A8" w:rsidRPr="006F7AF8" w:rsidRDefault="001279A8" w:rsidP="009B4355">
            <w:pPr>
              <w:rPr>
                <w:rFonts w:ascii="Aptos" w:hAnsi="Aptos"/>
                <w:lang w:val="fr-FR"/>
              </w:rPr>
            </w:pPr>
            <w:r w:rsidRPr="006F7AF8">
              <w:rPr>
                <w:rFonts w:ascii="Aptos" w:hAnsi="Aptos"/>
                <w:lang w:val="fr-FR"/>
              </w:rPr>
              <w:t>Pas de changement notable</w:t>
            </w:r>
          </w:p>
        </w:tc>
      </w:tr>
      <w:tr w:rsidR="001279A8" w:rsidRPr="006F7AF8" w14:paraId="6EA8DB28" w14:textId="77777777" w:rsidTr="009B4355">
        <w:tc>
          <w:tcPr>
            <w:tcW w:w="4390" w:type="dxa"/>
          </w:tcPr>
          <w:p w14:paraId="78FCB7C7" w14:textId="77777777" w:rsidR="001279A8" w:rsidRPr="006F7AF8" w:rsidRDefault="001279A8" w:rsidP="009B4355">
            <w:pPr>
              <w:rPr>
                <w:rFonts w:ascii="Aptos" w:hAnsi="Aptos"/>
                <w:lang w:val="fr-FR"/>
              </w:rPr>
            </w:pPr>
            <w:r w:rsidRPr="006F7AF8">
              <w:rPr>
                <w:rFonts w:ascii="Aptos" w:hAnsi="Aptos"/>
                <w:lang w:val="fr-FR"/>
              </w:rPr>
              <w:t>Unknown</w:t>
            </w:r>
          </w:p>
        </w:tc>
        <w:tc>
          <w:tcPr>
            <w:tcW w:w="5073" w:type="dxa"/>
          </w:tcPr>
          <w:p w14:paraId="122348B4" w14:textId="77777777" w:rsidR="001279A8" w:rsidRPr="006F7AF8" w:rsidRDefault="001279A8" w:rsidP="009B4355">
            <w:pPr>
              <w:rPr>
                <w:rFonts w:ascii="Aptos" w:hAnsi="Aptos"/>
                <w:lang w:val="fr-FR"/>
              </w:rPr>
            </w:pPr>
            <w:r w:rsidRPr="006F7AF8">
              <w:rPr>
                <w:rFonts w:ascii="Aptos" w:hAnsi="Aptos"/>
                <w:lang w:val="fr-FR"/>
              </w:rPr>
              <w:t>Inconnu</w:t>
            </w:r>
          </w:p>
        </w:tc>
      </w:tr>
      <w:tr w:rsidR="001279A8" w:rsidRPr="006F7AF8" w14:paraId="55D0E4B5" w14:textId="77777777" w:rsidTr="009B4355">
        <w:tc>
          <w:tcPr>
            <w:tcW w:w="4390" w:type="dxa"/>
          </w:tcPr>
          <w:p w14:paraId="5EEC8F75" w14:textId="77777777" w:rsidR="001279A8" w:rsidRPr="006F7AF8" w:rsidRDefault="001279A8" w:rsidP="009B4355">
            <w:pPr>
              <w:rPr>
                <w:rFonts w:ascii="Aptos" w:hAnsi="Aptos"/>
                <w:lang w:val="fr-FR"/>
              </w:rPr>
            </w:pPr>
            <w:r w:rsidRPr="006F7AF8">
              <w:rPr>
                <w:rFonts w:ascii="Aptos" w:hAnsi="Aptos"/>
                <w:lang w:val="fr-FR"/>
              </w:rPr>
              <w:t>Party count: 76</w:t>
            </w:r>
          </w:p>
        </w:tc>
        <w:tc>
          <w:tcPr>
            <w:tcW w:w="5073" w:type="dxa"/>
          </w:tcPr>
          <w:p w14:paraId="34485425" w14:textId="77777777" w:rsidR="001279A8" w:rsidRPr="006F7AF8" w:rsidRDefault="001279A8" w:rsidP="009B4355">
            <w:pPr>
              <w:rPr>
                <w:rFonts w:ascii="Aptos" w:hAnsi="Aptos"/>
                <w:lang w:val="fr-FR"/>
              </w:rPr>
            </w:pPr>
            <w:r w:rsidRPr="006F7AF8">
              <w:rPr>
                <w:rFonts w:ascii="Aptos" w:hAnsi="Aptos"/>
                <w:lang w:val="fr-FR"/>
              </w:rPr>
              <w:t>Nombre de Parties : 76</w:t>
            </w:r>
          </w:p>
        </w:tc>
      </w:tr>
      <w:tr w:rsidR="001279A8" w:rsidRPr="006F7AF8" w14:paraId="16AAEDA4" w14:textId="77777777" w:rsidTr="009B4355">
        <w:tc>
          <w:tcPr>
            <w:tcW w:w="4390" w:type="dxa"/>
          </w:tcPr>
          <w:p w14:paraId="49E2E8B7" w14:textId="77777777" w:rsidR="001279A8" w:rsidRPr="006F7AF8" w:rsidRDefault="001279A8" w:rsidP="009B4355">
            <w:pPr>
              <w:rPr>
                <w:rFonts w:ascii="Aptos" w:hAnsi="Aptos"/>
                <w:lang w:val="fr-FR"/>
              </w:rPr>
            </w:pPr>
            <w:r w:rsidRPr="006F7AF8">
              <w:rPr>
                <w:rFonts w:ascii="Aptos" w:hAnsi="Aptos"/>
                <w:lang w:val="fr-FR"/>
              </w:rPr>
              <w:t>Region</w:t>
            </w:r>
          </w:p>
        </w:tc>
        <w:tc>
          <w:tcPr>
            <w:tcW w:w="5073" w:type="dxa"/>
          </w:tcPr>
          <w:p w14:paraId="2106A314"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093A86DC" w14:textId="77777777" w:rsidTr="009B4355">
        <w:tc>
          <w:tcPr>
            <w:tcW w:w="4390" w:type="dxa"/>
          </w:tcPr>
          <w:p w14:paraId="366B68F9" w14:textId="77777777" w:rsidR="001279A8" w:rsidRPr="006F7AF8" w:rsidRDefault="001279A8" w:rsidP="009B4355">
            <w:pPr>
              <w:rPr>
                <w:rFonts w:ascii="Aptos" w:hAnsi="Aptos"/>
                <w:lang w:val="fr-FR"/>
              </w:rPr>
            </w:pPr>
            <w:r w:rsidRPr="006F7AF8">
              <w:rPr>
                <w:rFonts w:ascii="Aptos" w:hAnsi="Aptos"/>
                <w:lang w:val="fr-FR"/>
              </w:rPr>
              <w:t>African States</w:t>
            </w:r>
          </w:p>
        </w:tc>
        <w:tc>
          <w:tcPr>
            <w:tcW w:w="5073" w:type="dxa"/>
          </w:tcPr>
          <w:p w14:paraId="51A6DB5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185B43D6" w14:textId="77777777" w:rsidTr="009B4355">
        <w:tc>
          <w:tcPr>
            <w:tcW w:w="4390" w:type="dxa"/>
          </w:tcPr>
          <w:p w14:paraId="25545401" w14:textId="77777777" w:rsidR="001279A8" w:rsidRPr="006F7AF8" w:rsidRDefault="001279A8" w:rsidP="009B4355">
            <w:pPr>
              <w:rPr>
                <w:rFonts w:ascii="Aptos" w:hAnsi="Aptos"/>
                <w:lang w:val="fr-FR"/>
              </w:rPr>
            </w:pPr>
            <w:r w:rsidRPr="006F7AF8">
              <w:rPr>
                <w:rFonts w:ascii="Aptos" w:hAnsi="Aptos"/>
                <w:lang w:val="fr-FR"/>
              </w:rPr>
              <w:t>Asia- Pacific States</w:t>
            </w:r>
          </w:p>
        </w:tc>
        <w:tc>
          <w:tcPr>
            <w:tcW w:w="5073" w:type="dxa"/>
          </w:tcPr>
          <w:p w14:paraId="2F27790A"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2AAACF2C" w14:textId="77777777" w:rsidTr="009B4355">
        <w:tc>
          <w:tcPr>
            <w:tcW w:w="4390" w:type="dxa"/>
          </w:tcPr>
          <w:p w14:paraId="00461BFF"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5073" w:type="dxa"/>
          </w:tcPr>
          <w:p w14:paraId="1CACC268"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5CA9D723" w14:textId="77777777" w:rsidTr="009B4355">
        <w:tc>
          <w:tcPr>
            <w:tcW w:w="4390" w:type="dxa"/>
          </w:tcPr>
          <w:p w14:paraId="75DAA678"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5073" w:type="dxa"/>
          </w:tcPr>
          <w:p w14:paraId="6031417A"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5D05405C" w14:textId="77777777" w:rsidTr="009B4355">
        <w:tc>
          <w:tcPr>
            <w:tcW w:w="4390" w:type="dxa"/>
          </w:tcPr>
          <w:p w14:paraId="7AAF302E"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5073" w:type="dxa"/>
          </w:tcPr>
          <w:p w14:paraId="2DD84614"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521335AA" w14:textId="77777777" w:rsidR="00B87039" w:rsidRPr="00653BF4" w:rsidRDefault="00B87039" w:rsidP="00B87039">
      <w:pPr>
        <w:rPr>
          <w:lang w:val="fr-FR"/>
        </w:rPr>
      </w:pPr>
    </w:p>
    <w:p w14:paraId="45FE9293" w14:textId="77777777" w:rsidR="00B87039" w:rsidRPr="00653BF4" w:rsidRDefault="00B87039" w:rsidP="00B87039">
      <w:pPr>
        <w:pStyle w:val="Heading5"/>
        <w:rPr>
          <w:lang w:val="fr-FR"/>
        </w:rPr>
      </w:pPr>
      <w:bookmarkStart w:id="320" w:name="_Toc235821248"/>
      <w:r w:rsidRPr="00653BF4">
        <w:rPr>
          <w:lang w:val="fr-FR"/>
        </w:rPr>
        <w:lastRenderedPageBreak/>
        <w:t>Actions, réussites et difficultés</w:t>
      </w:r>
      <w:bookmarkEnd w:id="320"/>
      <w:r w:rsidRPr="00653BF4">
        <w:rPr>
          <w:lang w:val="fr-FR"/>
        </w:rPr>
        <w:t xml:space="preserve"> dans la mise en œuvre</w:t>
      </w:r>
    </w:p>
    <w:p w14:paraId="5249E6BF" w14:textId="77777777" w:rsidR="00B87039" w:rsidRPr="00653BF4" w:rsidRDefault="00B87039" w:rsidP="00B87039">
      <w:pPr>
        <w:rPr>
          <w:lang w:val="fr-FR"/>
        </w:rPr>
      </w:pPr>
    </w:p>
    <w:p w14:paraId="782602F4" w14:textId="51245E9F" w:rsidR="00B87039" w:rsidRPr="00653BF4" w:rsidRDefault="00B87039" w:rsidP="00B87039">
      <w:pPr>
        <w:pStyle w:val="Heading6"/>
        <w:rPr>
          <w:lang w:val="fr-FR"/>
        </w:rPr>
      </w:pPr>
      <w:bookmarkStart w:id="321" w:name="_Toc235821249"/>
      <w:r w:rsidRPr="00653BF4">
        <w:rPr>
          <w:lang w:val="fr-FR"/>
        </w:rPr>
        <w:t>Résumé des actions menées à l</w:t>
      </w:r>
      <w:r w:rsidR="00D77549">
        <w:rPr>
          <w:lang w:val="fr-FR"/>
        </w:rPr>
        <w:t>’</w:t>
      </w:r>
      <w:r w:rsidRPr="00653BF4">
        <w:rPr>
          <w:lang w:val="fr-FR"/>
        </w:rPr>
        <w:t xml:space="preserve">appui de la </w:t>
      </w:r>
      <w:r w:rsidR="00E34DC9">
        <w:rPr>
          <w:lang w:val="fr-FR"/>
        </w:rPr>
        <w:t>cible 1</w:t>
      </w:r>
      <w:r w:rsidRPr="00653BF4">
        <w:rPr>
          <w:lang w:val="fr-FR"/>
        </w:rPr>
        <w:t>6</w:t>
      </w:r>
      <w:bookmarkEnd w:id="321"/>
      <w:r w:rsidRPr="00653BF4">
        <w:rPr>
          <w:lang w:val="fr-FR"/>
        </w:rPr>
        <w:t xml:space="preserve"> du Cadre</w:t>
      </w:r>
    </w:p>
    <w:p w14:paraId="654C351D" w14:textId="77777777" w:rsidR="00B87039" w:rsidRPr="00653BF4" w:rsidRDefault="00B87039" w:rsidP="00B87039">
      <w:pPr>
        <w:rPr>
          <w:lang w:val="fr-FR"/>
        </w:rPr>
      </w:pPr>
    </w:p>
    <w:p w14:paraId="379E77B9" w14:textId="479892F8" w:rsidR="00B87039" w:rsidRPr="00653BF4" w:rsidRDefault="00B87039" w:rsidP="00B87039">
      <w:pPr>
        <w:rPr>
          <w:lang w:val="fr-FR"/>
        </w:rPr>
      </w:pPr>
      <w:r w:rsidRPr="00653BF4">
        <w:rPr>
          <w:lang w:val="fr-FR"/>
        </w:rPr>
        <w:t>L</w:t>
      </w:r>
      <w:r w:rsidR="00D77549">
        <w:rPr>
          <w:lang w:val="fr-FR"/>
        </w:rPr>
        <w:t>’</w:t>
      </w:r>
      <w:r w:rsidRPr="00653BF4">
        <w:rPr>
          <w:lang w:val="fr-FR"/>
        </w:rPr>
        <w:t xml:space="preserve">approche la plus répandue pour mettre en œuvre la </w:t>
      </w:r>
      <w:r w:rsidR="00E34DC9">
        <w:rPr>
          <w:lang w:val="fr-FR"/>
        </w:rPr>
        <w:t>cible 1</w:t>
      </w:r>
      <w:r w:rsidRPr="00653BF4">
        <w:rPr>
          <w:lang w:val="fr-FR"/>
        </w:rPr>
        <w:t>6 consiste à adopter ou à faire exécuter des instruments juridiques portant sur les déchets, les plastiques et l</w:t>
      </w:r>
      <w:r w:rsidR="00D77549">
        <w:rPr>
          <w:lang w:val="fr-FR"/>
        </w:rPr>
        <w:t>’</w:t>
      </w:r>
      <w:r w:rsidRPr="00653BF4">
        <w:rPr>
          <w:lang w:val="fr-FR"/>
        </w:rPr>
        <w:t xml:space="preserve">économie circulaire. Les interdictions ou restrictions concernant les plastiques à usage unique constituent les mesures concrètes les plus fréquemment signalées, dans toutes les régions et aussi bien dans les pays en développement que dans les pays à revenu élevé (voir également la </w:t>
      </w:r>
      <w:r w:rsidR="00E34DC9">
        <w:rPr>
          <w:lang w:val="fr-FR"/>
        </w:rPr>
        <w:t>cible 7</w:t>
      </w:r>
      <w:r w:rsidRPr="00653BF4">
        <w:rPr>
          <w:lang w:val="fr-FR"/>
        </w:rPr>
        <w:t xml:space="preserve">). Une autre catégorie de mesures très courante dans les rapports nationaux est la mise en place de systèmes de responsabilité étendue du producteur, qui obligent les producteurs à assumer une responsabilité financière ou directe pour leurs produits en fin de vie. Environ un quart des Parties déclarantes, réparties à parts égales entre les pays à revenu élevé et les pays en développement, mentionnent la responsabilité élargie des producteurs comme une contribution à la mise en œuvre de la </w:t>
      </w:r>
      <w:r w:rsidR="00E34DC9">
        <w:rPr>
          <w:lang w:val="fr-FR"/>
        </w:rPr>
        <w:t>cible 1</w:t>
      </w:r>
      <w:r w:rsidRPr="00653BF4">
        <w:rPr>
          <w:lang w:val="fr-FR"/>
        </w:rPr>
        <w:t xml:space="preserve">6. La quasi-totalité des Parties déclarantes mentionnent également des mesures visant à favoriser la sensibilisation, l’éducation et le changement des comportements afin de promouvoir une consommation durable, allant de campagnes nationales à l’intégration, dans les programmes scolaires, de messages encourageant une consommation alimentaire modérée et la réduction au minimum des déchets (voir les encadrés 39 et 40). </w:t>
      </w:r>
    </w:p>
    <w:p w14:paraId="5563B40C" w14:textId="77777777" w:rsidR="00B87039" w:rsidRPr="00653BF4" w:rsidRDefault="00B87039" w:rsidP="00B87039">
      <w:pPr>
        <w:rPr>
          <w:lang w:val="fr-FR"/>
        </w:rPr>
      </w:pPr>
    </w:p>
    <w:p w14:paraId="6CFF00E8" w14:textId="03606C72" w:rsidR="00B87039" w:rsidRPr="00653BF4" w:rsidRDefault="00B87039" w:rsidP="00B87039">
      <w:pPr>
        <w:pStyle w:val="Heading6"/>
        <w:rPr>
          <w:lang w:val="fr-FR"/>
        </w:rPr>
      </w:pPr>
      <w:bookmarkStart w:id="322" w:name="_Toc235821250"/>
      <w:r w:rsidRPr="00653BF4">
        <w:rPr>
          <w:lang w:val="fr-FR"/>
        </w:rPr>
        <w:t>Exemples de réussites et de progrès réalisés dans la mise en œuvre</w:t>
      </w:r>
      <w:bookmarkEnd w:id="322"/>
    </w:p>
    <w:p w14:paraId="0DD2A83D"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16"/>
      </w:tblGrid>
      <w:tr w:rsidR="00B87039" w:rsidRPr="00543148" w14:paraId="2138454A" w14:textId="77777777" w:rsidTr="00557FB3">
        <w:tc>
          <w:tcPr>
            <w:tcW w:w="9016" w:type="dxa"/>
            <w:shd w:val="clear" w:color="auto" w:fill="D1D1D1" w:themeFill="background2" w:themeFillShade="E6"/>
          </w:tcPr>
          <w:p w14:paraId="658CEB9F" w14:textId="77777777" w:rsidR="00B87039" w:rsidRPr="00653BF4" w:rsidRDefault="00B87039" w:rsidP="00557FB3">
            <w:pPr>
              <w:rPr>
                <w:sz w:val="20"/>
                <w:szCs w:val="20"/>
                <w:lang w:val="fr-FR"/>
              </w:rPr>
            </w:pPr>
          </w:p>
          <w:p w14:paraId="6A382D31" w14:textId="77777777" w:rsidR="00B87039" w:rsidRPr="00653BF4" w:rsidRDefault="00B87039" w:rsidP="00557FB3">
            <w:pPr>
              <w:rPr>
                <w:sz w:val="20"/>
                <w:szCs w:val="20"/>
                <w:lang w:val="fr-FR"/>
              </w:rPr>
            </w:pPr>
            <w:r w:rsidRPr="00653BF4">
              <w:rPr>
                <w:sz w:val="20"/>
                <w:szCs w:val="20"/>
                <w:lang w:val="fr-FR"/>
              </w:rPr>
              <w:t>Encadré 39</w:t>
            </w:r>
          </w:p>
          <w:p w14:paraId="082AA95D" w14:textId="64072577" w:rsidR="00B87039" w:rsidRPr="00653BF4" w:rsidRDefault="00B87039" w:rsidP="00557FB3">
            <w:pPr>
              <w:spacing w:after="160" w:line="278" w:lineRule="auto"/>
              <w:rPr>
                <w:b/>
                <w:bCs/>
                <w:sz w:val="20"/>
                <w:szCs w:val="20"/>
                <w:lang w:val="fr-FR"/>
              </w:rPr>
            </w:pPr>
            <w:r w:rsidRPr="00653BF4">
              <w:rPr>
                <w:b/>
                <w:bCs/>
                <w:sz w:val="20"/>
                <w:szCs w:val="20"/>
                <w:lang w:val="fr-FR"/>
              </w:rPr>
              <w:t>Académie du compost</w:t>
            </w:r>
            <w:r w:rsidR="00E34DC9">
              <w:rPr>
                <w:b/>
                <w:bCs/>
                <w:sz w:val="20"/>
                <w:szCs w:val="20"/>
                <w:lang w:val="fr-FR"/>
              </w:rPr>
              <w:t> :</w:t>
            </w:r>
            <w:r w:rsidRPr="00653BF4">
              <w:rPr>
                <w:b/>
                <w:bCs/>
                <w:sz w:val="20"/>
                <w:szCs w:val="20"/>
                <w:lang w:val="fr-FR"/>
              </w:rPr>
              <w:t xml:space="preserve"> éducation à l</w:t>
            </w:r>
            <w:r w:rsidR="00D77549">
              <w:rPr>
                <w:b/>
                <w:bCs/>
                <w:sz w:val="20"/>
                <w:szCs w:val="20"/>
                <w:lang w:val="fr-FR"/>
              </w:rPr>
              <w:t>’</w:t>
            </w:r>
            <w:r w:rsidRPr="00653BF4">
              <w:rPr>
                <w:b/>
                <w:bCs/>
                <w:sz w:val="20"/>
                <w:szCs w:val="20"/>
                <w:lang w:val="fr-FR"/>
              </w:rPr>
              <w:t>économie circulaire à grande échelle dans les écoles en Arménie</w:t>
            </w:r>
          </w:p>
          <w:p w14:paraId="67B01239" w14:textId="77777777" w:rsidR="00B87039" w:rsidRPr="00653BF4" w:rsidRDefault="00B87039" w:rsidP="00557FB3">
            <w:pPr>
              <w:rPr>
                <w:lang w:val="fr-FR"/>
              </w:rPr>
            </w:pPr>
          </w:p>
          <w:p w14:paraId="68B812CF" w14:textId="20BD48F5" w:rsidR="00B87039" w:rsidRPr="00653BF4" w:rsidRDefault="00B87039" w:rsidP="00557FB3">
            <w:pPr>
              <w:spacing w:after="160" w:line="278" w:lineRule="auto"/>
              <w:rPr>
                <w:sz w:val="20"/>
                <w:szCs w:val="20"/>
                <w:lang w:val="fr-FR"/>
              </w:rPr>
            </w:pPr>
            <w:r w:rsidRPr="00653BF4">
              <w:rPr>
                <w:sz w:val="20"/>
                <w:szCs w:val="20"/>
                <w:lang w:val="fr-FR"/>
              </w:rPr>
              <w:t>Les déchets organiques contribuent de manière significative à la dégradation de l</w:t>
            </w:r>
            <w:r w:rsidR="00D77549">
              <w:rPr>
                <w:sz w:val="20"/>
                <w:szCs w:val="20"/>
                <w:lang w:val="fr-FR"/>
              </w:rPr>
              <w:t>’</w:t>
            </w:r>
            <w:r w:rsidRPr="00653BF4">
              <w:rPr>
                <w:sz w:val="20"/>
                <w:szCs w:val="20"/>
                <w:lang w:val="fr-FR"/>
              </w:rPr>
              <w:t>environnement en Arménie. Afin de renforcer les programmes de sensibilisation du public et les mesures éducatives visant à prévenir le gaspillage alimentaire et la surconsommation, l</w:t>
            </w:r>
            <w:r w:rsidR="00D77549">
              <w:rPr>
                <w:sz w:val="20"/>
                <w:szCs w:val="20"/>
                <w:lang w:val="fr-FR"/>
              </w:rPr>
              <w:t>’</w:t>
            </w:r>
            <w:r w:rsidRPr="00653BF4">
              <w:rPr>
                <w:sz w:val="20"/>
                <w:szCs w:val="20"/>
                <w:lang w:val="fr-FR"/>
              </w:rPr>
              <w:t>Arménie a mis en œuvre le projet d</w:t>
            </w:r>
            <w:r w:rsidR="00D77549">
              <w:rPr>
                <w:sz w:val="20"/>
                <w:szCs w:val="20"/>
                <w:lang w:val="fr-FR"/>
              </w:rPr>
              <w:t>’</w:t>
            </w:r>
            <w:r w:rsidRPr="00653BF4">
              <w:rPr>
                <w:sz w:val="20"/>
                <w:szCs w:val="20"/>
                <w:lang w:val="fr-FR"/>
              </w:rPr>
              <w:t>académie du compost dans les régions d</w:t>
            </w:r>
            <w:r w:rsidR="00D77549">
              <w:rPr>
                <w:sz w:val="20"/>
                <w:szCs w:val="20"/>
                <w:lang w:val="fr-FR"/>
              </w:rPr>
              <w:t>’</w:t>
            </w:r>
            <w:r w:rsidRPr="00653BF4">
              <w:rPr>
                <w:sz w:val="20"/>
                <w:szCs w:val="20"/>
                <w:lang w:val="fr-FR"/>
              </w:rPr>
              <w:t>Erevan et d</w:t>
            </w:r>
            <w:r w:rsidR="00D77549">
              <w:rPr>
                <w:sz w:val="20"/>
                <w:szCs w:val="20"/>
                <w:lang w:val="fr-FR"/>
              </w:rPr>
              <w:t>’</w:t>
            </w:r>
            <w:r w:rsidRPr="00653BF4">
              <w:rPr>
                <w:sz w:val="20"/>
                <w:szCs w:val="20"/>
                <w:lang w:val="fr-FR"/>
              </w:rPr>
              <w:t>Armavir au cours des années 2021 et 2022. Dans le cadre de cette initiative, plus de 500 élèves ont suivi une formation pratique sur le compostage et la gestion des déchets organiques. Plus de 50 000 personnes ont été sensibilisées grâce à des campagnes de sensibilisation, et plus de 50 supports de communication (vidéos, publications sur les réseaux sociaux, guides pédagogiques) ont été élaborés et diffusés. Par ailleurs, le projet a permis la mise en place de petits ateliers de compostage dans onze établissements scolaires, avec notamment l</w:t>
            </w:r>
            <w:r w:rsidR="00D77549">
              <w:rPr>
                <w:sz w:val="20"/>
                <w:szCs w:val="20"/>
                <w:lang w:val="fr-FR"/>
              </w:rPr>
              <w:t>’</w:t>
            </w:r>
            <w:r w:rsidRPr="00653BF4">
              <w:rPr>
                <w:sz w:val="20"/>
                <w:szCs w:val="20"/>
                <w:lang w:val="fr-FR"/>
              </w:rPr>
              <w:t>installation de bacs à compost et l</w:t>
            </w:r>
            <w:r w:rsidR="00D77549">
              <w:rPr>
                <w:sz w:val="20"/>
                <w:szCs w:val="20"/>
                <w:lang w:val="fr-FR"/>
              </w:rPr>
              <w:t>’</w:t>
            </w:r>
            <w:r w:rsidRPr="00653BF4">
              <w:rPr>
                <w:sz w:val="20"/>
                <w:szCs w:val="20"/>
                <w:lang w:val="fr-FR"/>
              </w:rPr>
              <w:t xml:space="preserve">aménagement de sites de compostage. Un projet pilote de </w:t>
            </w:r>
            <w:r w:rsidRPr="00653BF4">
              <w:rPr>
                <w:sz w:val="20"/>
                <w:szCs w:val="20"/>
                <w:lang w:val="fr-FR"/>
              </w:rPr>
              <w:lastRenderedPageBreak/>
              <w:t>compostage des déchets organiques a également été mené au sein de douze organisations disposant de bureaux, à l</w:t>
            </w:r>
            <w:r w:rsidR="00D77549">
              <w:rPr>
                <w:sz w:val="20"/>
                <w:szCs w:val="20"/>
                <w:lang w:val="fr-FR"/>
              </w:rPr>
              <w:t>’</w:t>
            </w:r>
            <w:r w:rsidRPr="00653BF4">
              <w:rPr>
                <w:sz w:val="20"/>
                <w:szCs w:val="20"/>
                <w:lang w:val="fr-FR"/>
              </w:rPr>
              <w:t>aide de composteurs installés sur place.</w:t>
            </w:r>
          </w:p>
          <w:p w14:paraId="78B683EF" w14:textId="77777777" w:rsidR="00B87039" w:rsidRPr="00653BF4" w:rsidRDefault="00B87039" w:rsidP="00557FB3">
            <w:pPr>
              <w:spacing w:after="160" w:line="278" w:lineRule="auto"/>
              <w:rPr>
                <w:sz w:val="20"/>
                <w:szCs w:val="20"/>
                <w:lang w:val="fr-FR"/>
              </w:rPr>
            </w:pPr>
            <w:r w:rsidRPr="00653BF4">
              <w:rPr>
                <w:sz w:val="20"/>
                <w:szCs w:val="20"/>
                <w:lang w:val="fr-FR"/>
              </w:rPr>
              <w:t>Dirigé par Innovative Solutions for Sustainable Development of Communities, en collaboration avec le PNUD dans le cadre du Programme de microfinancements du FEM, ce projet a encouragé des choix de consommation durable visant à réduire les déchets et la surconsommation, en sensibilisant le public et en mettant en place les infrastructures nécessaires pour permettre aux membres de la communauté de s’impliquer personnellement dans la gestion efficace des déchets organiques</w:t>
            </w:r>
            <w:r w:rsidRPr="00653BF4">
              <w:rPr>
                <w:sz w:val="20"/>
                <w:szCs w:val="20"/>
                <w:vertAlign w:val="superscript"/>
                <w:lang w:val="fr-FR"/>
              </w:rPr>
              <w:t>a</w:t>
            </w:r>
            <w:r w:rsidRPr="00653BF4">
              <w:rPr>
                <w:sz w:val="20"/>
                <w:szCs w:val="20"/>
                <w:lang w:val="fr-FR"/>
              </w:rPr>
              <w:t>.</w:t>
            </w:r>
          </w:p>
          <w:p w14:paraId="0CF067E1" w14:textId="3789ACDF" w:rsidR="00B87039" w:rsidRPr="00653BF4" w:rsidRDefault="00B87039" w:rsidP="00557FB3">
            <w:pPr>
              <w:spacing w:after="160" w:line="278" w:lineRule="auto"/>
              <w:rPr>
                <w:sz w:val="20"/>
                <w:szCs w:val="20"/>
                <w:lang w:val="fr-FR"/>
              </w:rPr>
            </w:pPr>
            <w:r w:rsidRPr="00653BF4">
              <w:rPr>
                <w:sz w:val="20"/>
                <w:szCs w:val="20"/>
                <w:lang w:val="fr-FR"/>
              </w:rPr>
              <w:t>Ce projet vise à réduire les risques liés aux changements climatiques et à en atténuer les effets en détournant environ 20 tonnes de déchets alimentaires destinés aux décharges, ce qui permet de réduire les émissions de méthane, tout en transformant ces déchets organiques en engrais de grande valeur, améliorant ainsi la qualité des sols. Cette démarche s</w:t>
            </w:r>
            <w:r w:rsidR="00D77549">
              <w:rPr>
                <w:sz w:val="20"/>
                <w:szCs w:val="20"/>
                <w:lang w:val="fr-FR"/>
              </w:rPr>
              <w:t>’</w:t>
            </w:r>
            <w:r w:rsidRPr="00653BF4">
              <w:rPr>
                <w:sz w:val="20"/>
                <w:szCs w:val="20"/>
                <w:lang w:val="fr-FR"/>
              </w:rPr>
              <w:t>inscrit également dans le cadre de la cible nationale de l</w:t>
            </w:r>
            <w:r w:rsidR="00D77549">
              <w:rPr>
                <w:sz w:val="20"/>
                <w:szCs w:val="20"/>
                <w:lang w:val="fr-FR"/>
              </w:rPr>
              <w:t>’</w:t>
            </w:r>
            <w:r w:rsidRPr="00653BF4">
              <w:rPr>
                <w:sz w:val="20"/>
                <w:szCs w:val="20"/>
                <w:lang w:val="fr-FR"/>
              </w:rPr>
              <w:t>Arménie visant à réduire le gaspillage alimentaire et la surconsommation grâce à des initiatives éducatives ciblées et à des campagnes de sensibilisation.</w:t>
            </w:r>
          </w:p>
          <w:p w14:paraId="7DCDE68C" w14:textId="77777777" w:rsidR="00B87039" w:rsidRPr="00653BF4" w:rsidRDefault="00B87039" w:rsidP="00557FB3">
            <w:pPr>
              <w:rPr>
                <w:lang w:val="fr-FR"/>
              </w:rPr>
            </w:pPr>
          </w:p>
          <w:p w14:paraId="5F127175" w14:textId="720A36F2" w:rsidR="00B87039" w:rsidRPr="00653BF4" w:rsidRDefault="00B87039" w:rsidP="00557FB3">
            <w:pPr>
              <w:rPr>
                <w:sz w:val="20"/>
                <w:szCs w:val="20"/>
                <w:lang w:val="fr-FR"/>
              </w:rPr>
            </w:pPr>
            <w:r w:rsidRPr="00653BF4">
              <w:rPr>
                <w:i/>
                <w:iCs/>
                <w:sz w:val="20"/>
                <w:szCs w:val="20"/>
                <w:lang w:val="fr-FR"/>
              </w:rPr>
              <w:t>Cibles concernées</w:t>
            </w:r>
            <w:r w:rsidR="00E34DC9">
              <w:rPr>
                <w:i/>
                <w:iCs/>
                <w:sz w:val="20"/>
                <w:szCs w:val="20"/>
                <w:lang w:val="fr-FR"/>
              </w:rPr>
              <w:t> :</w:t>
            </w:r>
            <w:r w:rsidRPr="00653BF4">
              <w:rPr>
                <w:i/>
                <w:iCs/>
                <w:sz w:val="20"/>
                <w:szCs w:val="20"/>
                <w:lang w:val="fr-FR"/>
              </w:rPr>
              <w:t xml:space="preserve"> </w:t>
            </w:r>
            <w:r w:rsidRPr="00653BF4">
              <w:rPr>
                <w:sz w:val="20"/>
                <w:szCs w:val="20"/>
                <w:lang w:val="fr-FR"/>
              </w:rPr>
              <w:t>7, 8, 16, 20 et 21.</w:t>
            </w:r>
          </w:p>
          <w:p w14:paraId="61978538" w14:textId="26709E89" w:rsidR="00B87039" w:rsidRPr="00653BF4" w:rsidRDefault="00B87039" w:rsidP="00557FB3">
            <w:pPr>
              <w:rPr>
                <w:iCs/>
                <w:sz w:val="20"/>
                <w:szCs w:val="20"/>
                <w:lang w:val="fr-FR"/>
              </w:rPr>
            </w:pPr>
            <w:r w:rsidRPr="00653BF4">
              <w:rPr>
                <w:iCs/>
                <w:sz w:val="20"/>
                <w:szCs w:val="20"/>
                <w:lang w:val="fr-FR"/>
              </w:rPr>
              <w:t>Source</w:t>
            </w:r>
            <w:r w:rsidR="00E34DC9">
              <w:rPr>
                <w:iCs/>
                <w:sz w:val="20"/>
                <w:szCs w:val="20"/>
                <w:lang w:val="fr-FR"/>
              </w:rPr>
              <w:t> :</w:t>
            </w:r>
            <w:r w:rsidRPr="00653BF4">
              <w:rPr>
                <w:iCs/>
                <w:sz w:val="20"/>
                <w:szCs w:val="20"/>
                <w:lang w:val="fr-FR"/>
              </w:rPr>
              <w:t xml:space="preserve"> Arménie, septième rapport national présenté au titre de la Convention.</w:t>
            </w:r>
          </w:p>
          <w:p w14:paraId="0CDEAEE2" w14:textId="77777777" w:rsidR="00B87039" w:rsidRPr="00653BF4" w:rsidRDefault="00B87039" w:rsidP="00557FB3">
            <w:pPr>
              <w:rPr>
                <w:iCs/>
                <w:sz w:val="20"/>
                <w:szCs w:val="20"/>
                <w:lang w:val="fr-FR"/>
              </w:rPr>
            </w:pPr>
          </w:p>
          <w:p w14:paraId="55E7B90A" w14:textId="77777777" w:rsidR="00B87039" w:rsidRPr="00653BF4" w:rsidRDefault="00B87039" w:rsidP="00557FB3">
            <w:pPr>
              <w:rPr>
                <w:sz w:val="18"/>
                <w:szCs w:val="18"/>
                <w:lang w:val="fr-FR"/>
              </w:rPr>
            </w:pPr>
            <w:r w:rsidRPr="00653BF4">
              <w:rPr>
                <w:i/>
                <w:iCs/>
                <w:vertAlign w:val="superscript"/>
                <w:lang w:val="fr-FR"/>
              </w:rPr>
              <w:t>a</w:t>
            </w:r>
            <w:r w:rsidRPr="00653BF4">
              <w:rPr>
                <w:lang w:val="fr-FR"/>
              </w:rPr>
              <w:t xml:space="preserve"> </w:t>
            </w:r>
            <w:r w:rsidRPr="00653BF4">
              <w:rPr>
                <w:sz w:val="18"/>
                <w:szCs w:val="18"/>
                <w:lang w:val="fr-FR"/>
              </w:rPr>
              <w:t xml:space="preserve">Voir </w:t>
            </w:r>
            <w:hyperlink r:id="rId176">
              <w:r w:rsidRPr="00653BF4">
                <w:rPr>
                  <w:rStyle w:val="Hyperlink"/>
                  <w:sz w:val="20"/>
                  <w:szCs w:val="20"/>
                  <w:lang w:val="fr-FR"/>
                </w:rPr>
                <w:t>https://issdngo.com/en/projects/ongoing/compost-academy/</w:t>
              </w:r>
            </w:hyperlink>
            <w:r w:rsidRPr="00653BF4">
              <w:rPr>
                <w:sz w:val="20"/>
                <w:szCs w:val="20"/>
                <w:lang w:val="fr-FR"/>
              </w:rPr>
              <w:t>.</w:t>
            </w:r>
          </w:p>
          <w:p w14:paraId="35B2A387" w14:textId="77777777" w:rsidR="00B87039" w:rsidRPr="00653BF4" w:rsidRDefault="00B87039" w:rsidP="00557FB3">
            <w:pPr>
              <w:rPr>
                <w:i/>
                <w:lang w:val="fr-FR"/>
              </w:rPr>
            </w:pPr>
          </w:p>
        </w:tc>
      </w:tr>
    </w:tbl>
    <w:p w14:paraId="06C6FA28" w14:textId="77777777" w:rsidR="00B87039" w:rsidRPr="00653BF4" w:rsidRDefault="00B87039" w:rsidP="00B87039">
      <w:pPr>
        <w:pStyle w:val="Heading6"/>
        <w:rPr>
          <w:lang w:val="fr-FR"/>
        </w:rPr>
      </w:pPr>
    </w:p>
    <w:p w14:paraId="1A7794F2"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67"/>
      </w:tblGrid>
      <w:tr w:rsidR="00B87039" w:rsidRPr="00543148" w14:paraId="6E4D172E" w14:textId="77777777" w:rsidTr="00557FB3">
        <w:tc>
          <w:tcPr>
            <w:tcW w:w="9067" w:type="dxa"/>
            <w:shd w:val="clear" w:color="auto" w:fill="D1D1D1" w:themeFill="background2" w:themeFillShade="E6"/>
          </w:tcPr>
          <w:p w14:paraId="7899B52B" w14:textId="77777777" w:rsidR="00B87039" w:rsidRPr="00653BF4" w:rsidRDefault="00B87039" w:rsidP="00557FB3">
            <w:pPr>
              <w:rPr>
                <w:sz w:val="20"/>
                <w:szCs w:val="20"/>
                <w:lang w:val="fr-FR"/>
              </w:rPr>
            </w:pPr>
            <w:r w:rsidRPr="00653BF4">
              <w:rPr>
                <w:sz w:val="20"/>
                <w:szCs w:val="20"/>
                <w:lang w:val="fr-FR"/>
              </w:rPr>
              <w:t>Encadré 40</w:t>
            </w:r>
          </w:p>
          <w:p w14:paraId="3BC827BC" w14:textId="77777777" w:rsidR="00B87039" w:rsidRPr="00653BF4" w:rsidRDefault="00B87039" w:rsidP="00557FB3">
            <w:pPr>
              <w:spacing w:after="160" w:line="278" w:lineRule="auto"/>
              <w:rPr>
                <w:b/>
                <w:bCs/>
                <w:sz w:val="20"/>
                <w:szCs w:val="20"/>
                <w:lang w:val="fr-FR"/>
              </w:rPr>
            </w:pPr>
            <w:r w:rsidRPr="00653BF4">
              <w:rPr>
                <w:b/>
                <w:bCs/>
                <w:sz w:val="20"/>
                <w:szCs w:val="20"/>
                <w:lang w:val="fr-FR"/>
              </w:rPr>
              <w:t>Achats écologiques et système de consigne en République dominicaine</w:t>
            </w:r>
          </w:p>
          <w:p w14:paraId="08A92D8B" w14:textId="77777777" w:rsidR="00B87039" w:rsidRPr="00653BF4" w:rsidRDefault="00B87039" w:rsidP="00557FB3">
            <w:pPr>
              <w:rPr>
                <w:lang w:val="fr-FR"/>
              </w:rPr>
            </w:pPr>
          </w:p>
          <w:p w14:paraId="5D44E398" w14:textId="4276E8F2" w:rsidR="00B87039" w:rsidRPr="00653BF4" w:rsidRDefault="00B87039" w:rsidP="00557FB3">
            <w:pPr>
              <w:spacing w:after="160" w:line="278" w:lineRule="auto"/>
              <w:rPr>
                <w:sz w:val="20"/>
                <w:szCs w:val="20"/>
                <w:lang w:val="fr-FR"/>
              </w:rPr>
            </w:pPr>
            <w:r w:rsidRPr="00653BF4">
              <w:rPr>
                <w:sz w:val="20"/>
                <w:szCs w:val="20"/>
                <w:lang w:val="fr-FR"/>
              </w:rPr>
              <w:t>La République dominicaine a mis en œuvre un certain nombre d</w:t>
            </w:r>
            <w:r w:rsidR="00D77549">
              <w:rPr>
                <w:sz w:val="20"/>
                <w:szCs w:val="20"/>
                <w:lang w:val="fr-FR"/>
              </w:rPr>
              <w:t>’</w:t>
            </w:r>
            <w:r w:rsidRPr="00653BF4">
              <w:rPr>
                <w:sz w:val="20"/>
                <w:szCs w:val="20"/>
                <w:lang w:val="fr-FR"/>
              </w:rPr>
              <w:t>initiatives visant à réduire son empreinte écologique, à diminuer la pollution et la production de déchets, et à contribuer à la conservation et à l</w:t>
            </w:r>
            <w:r w:rsidR="00D77549">
              <w:rPr>
                <w:sz w:val="20"/>
                <w:szCs w:val="20"/>
                <w:lang w:val="fr-FR"/>
              </w:rPr>
              <w:t>’</w:t>
            </w:r>
            <w:r w:rsidRPr="00653BF4">
              <w:rPr>
                <w:sz w:val="20"/>
                <w:szCs w:val="20"/>
                <w:lang w:val="fr-FR"/>
              </w:rPr>
              <w:t>utilisation durable de la biodiversité.</w:t>
            </w:r>
          </w:p>
          <w:p w14:paraId="36DC1D9A" w14:textId="77777777" w:rsidR="00B87039" w:rsidRPr="00653BF4" w:rsidRDefault="00B87039" w:rsidP="00557FB3">
            <w:pPr>
              <w:spacing w:after="160" w:line="278" w:lineRule="auto"/>
              <w:rPr>
                <w:sz w:val="20"/>
                <w:szCs w:val="20"/>
                <w:lang w:val="fr-FR"/>
              </w:rPr>
            </w:pPr>
          </w:p>
          <w:p w14:paraId="35687F8D" w14:textId="512BAD8D" w:rsidR="00B87039" w:rsidRPr="00653BF4" w:rsidRDefault="00B87039" w:rsidP="00557FB3">
            <w:pPr>
              <w:spacing w:after="160" w:line="278" w:lineRule="auto"/>
              <w:rPr>
                <w:sz w:val="20"/>
                <w:szCs w:val="20"/>
                <w:lang w:val="fr-FR"/>
              </w:rPr>
            </w:pPr>
            <w:r w:rsidRPr="00653BF4">
              <w:rPr>
                <w:sz w:val="20"/>
                <w:szCs w:val="20"/>
                <w:lang w:val="fr-FR"/>
              </w:rPr>
              <w:t xml:space="preserve">En 2020, une association à but non lucratif baptisée </w:t>
            </w:r>
            <w:r w:rsidRPr="00653BF4">
              <w:rPr>
                <w:i/>
                <w:iCs/>
                <w:sz w:val="20"/>
                <w:szCs w:val="20"/>
                <w:lang w:val="fr-FR"/>
              </w:rPr>
              <w:t>Nueva Vida para los Residuos</w:t>
            </w:r>
            <w:r w:rsidRPr="00653BF4">
              <w:rPr>
                <w:sz w:val="20"/>
                <w:szCs w:val="20"/>
                <w:lang w:val="fr-FR"/>
              </w:rPr>
              <w:t xml:space="preserve"> (NUVI, une nouvelle vie pour les déchets) a lancé une campagne visant à encourager le retour des bouteilles en plastique PET, en installant des bacs de collecte à divers endroits de la capitale, Saint-Domingue, où les consommateurs peuvent y déposer leurs bouteilles</w:t>
            </w:r>
            <w:r w:rsidRPr="00653BF4">
              <w:rPr>
                <w:sz w:val="20"/>
                <w:szCs w:val="20"/>
                <w:vertAlign w:val="superscript"/>
                <w:lang w:val="fr-FR"/>
              </w:rPr>
              <w:t>a</w:t>
            </w:r>
            <w:r w:rsidRPr="00653BF4">
              <w:rPr>
                <w:sz w:val="20"/>
                <w:szCs w:val="20"/>
                <w:lang w:val="fr-FR"/>
              </w:rPr>
              <w:t>. Cette initiative bénéficie du soutien du Ministère de l</w:t>
            </w:r>
            <w:r w:rsidR="00D77549">
              <w:rPr>
                <w:sz w:val="20"/>
                <w:szCs w:val="20"/>
                <w:lang w:val="fr-FR"/>
              </w:rPr>
              <w:t>’</w:t>
            </w:r>
            <w:r w:rsidRPr="00653BF4">
              <w:rPr>
                <w:sz w:val="20"/>
                <w:szCs w:val="20"/>
                <w:lang w:val="fr-FR"/>
              </w:rPr>
              <w:t>industrie, du commerce, et des micro, petites et moyennes entreprises ainsi que de l</w:t>
            </w:r>
            <w:r w:rsidR="00D77549">
              <w:rPr>
                <w:sz w:val="20"/>
                <w:szCs w:val="20"/>
                <w:lang w:val="fr-FR"/>
              </w:rPr>
              <w:t>’</w:t>
            </w:r>
            <w:r w:rsidRPr="00653BF4">
              <w:rPr>
                <w:sz w:val="20"/>
                <w:szCs w:val="20"/>
                <w:lang w:val="fr-FR"/>
              </w:rPr>
              <w:t>Association des industries de la République dominicaine. Depuis 2020, NUVI a collecté plus de 80 millions de bouteilles en plastique PET, contribuant ainsi à promouvoir l</w:t>
            </w:r>
            <w:r w:rsidR="00D77549">
              <w:rPr>
                <w:sz w:val="20"/>
                <w:szCs w:val="20"/>
                <w:lang w:val="fr-FR"/>
              </w:rPr>
              <w:t>’</w:t>
            </w:r>
            <w:r w:rsidRPr="00653BF4">
              <w:rPr>
                <w:sz w:val="20"/>
                <w:szCs w:val="20"/>
                <w:lang w:val="fr-FR"/>
              </w:rPr>
              <w:t>économie circulaire et à favoriser la prévention, la réduction, le recyclage et la réutilisation des déchets.</w:t>
            </w:r>
          </w:p>
          <w:p w14:paraId="04F21F90" w14:textId="092DFF82" w:rsidR="00B87039" w:rsidRPr="00653BF4" w:rsidRDefault="00B87039" w:rsidP="00557FB3">
            <w:pPr>
              <w:spacing w:after="160" w:line="278" w:lineRule="auto"/>
              <w:rPr>
                <w:sz w:val="20"/>
                <w:szCs w:val="20"/>
                <w:lang w:val="fr-FR"/>
              </w:rPr>
            </w:pPr>
            <w:r w:rsidRPr="00653BF4">
              <w:rPr>
                <w:sz w:val="20"/>
                <w:szCs w:val="20"/>
                <w:lang w:val="fr-FR"/>
              </w:rPr>
              <w:t>En 2022, le gouvernement de la République dominicaine a promulgué un décret dans lequel il a déclaré que les marchés publics durables et inclusifs relevaient de l</w:t>
            </w:r>
            <w:r w:rsidR="00D77549">
              <w:rPr>
                <w:sz w:val="20"/>
                <w:szCs w:val="20"/>
                <w:lang w:val="fr-FR"/>
              </w:rPr>
              <w:t>’</w:t>
            </w:r>
            <w:r w:rsidRPr="00653BF4">
              <w:rPr>
                <w:sz w:val="20"/>
                <w:szCs w:val="20"/>
                <w:lang w:val="fr-FR"/>
              </w:rPr>
              <w:t>intérêt national. En conséquence, entre 2023 et 2025, près de 1 900 procédures fondées sur des critères d</w:t>
            </w:r>
            <w:r w:rsidR="00D77549">
              <w:rPr>
                <w:sz w:val="20"/>
                <w:szCs w:val="20"/>
                <w:lang w:val="fr-FR"/>
              </w:rPr>
              <w:t>’</w:t>
            </w:r>
            <w:r w:rsidRPr="00653BF4">
              <w:rPr>
                <w:sz w:val="20"/>
                <w:szCs w:val="20"/>
                <w:lang w:val="fr-FR"/>
              </w:rPr>
              <w:t xml:space="preserve">achats écologiques ont été lancées dans les secteurs des télécommunications, de la santé et du commerce. Ces processus accordent la priorité aux biens, aux services et aux projets de construction qui réduisent les impacts </w:t>
            </w:r>
            <w:r w:rsidRPr="00653BF4">
              <w:rPr>
                <w:sz w:val="20"/>
                <w:szCs w:val="20"/>
                <w:lang w:val="fr-FR"/>
              </w:rPr>
              <w:lastRenderedPageBreak/>
              <w:t>négatifs sur l</w:t>
            </w:r>
            <w:r w:rsidR="00D77549">
              <w:rPr>
                <w:sz w:val="20"/>
                <w:szCs w:val="20"/>
                <w:lang w:val="fr-FR"/>
              </w:rPr>
              <w:t>’</w:t>
            </w:r>
            <w:r w:rsidRPr="00653BF4">
              <w:rPr>
                <w:sz w:val="20"/>
                <w:szCs w:val="20"/>
                <w:lang w:val="fr-FR"/>
              </w:rPr>
              <w:t>environnement et favorisent une utilisation efficace des ressources tout au long de leur cycle de vie.</w:t>
            </w:r>
          </w:p>
          <w:p w14:paraId="57B19AE6" w14:textId="2B0675CB" w:rsidR="00B87039" w:rsidRPr="00653BF4" w:rsidRDefault="00B87039" w:rsidP="00557FB3">
            <w:pPr>
              <w:spacing w:after="160" w:line="278" w:lineRule="auto"/>
              <w:rPr>
                <w:sz w:val="20"/>
                <w:szCs w:val="20"/>
                <w:vertAlign w:val="superscript"/>
                <w:lang w:val="fr-FR"/>
              </w:rPr>
            </w:pPr>
            <w:r w:rsidRPr="00653BF4">
              <w:rPr>
                <w:sz w:val="20"/>
                <w:szCs w:val="20"/>
                <w:lang w:val="fr-FR"/>
              </w:rPr>
              <w:t>Cette approche combinée a permis à la République dominicaine de réaliser des progrès dans la réalisation de sa cible nationale visant à opérer la transition vers des modes de consommation et de production durables, grâce à l</w:t>
            </w:r>
            <w:r w:rsidR="00D77549">
              <w:rPr>
                <w:sz w:val="20"/>
                <w:szCs w:val="20"/>
                <w:lang w:val="fr-FR"/>
              </w:rPr>
              <w:t>’</w:t>
            </w:r>
            <w:r w:rsidRPr="00653BF4">
              <w:rPr>
                <w:sz w:val="20"/>
                <w:szCs w:val="20"/>
                <w:lang w:val="fr-FR"/>
              </w:rPr>
              <w:t>intégration de critères liés à la biodiversité dans les politiques publiques, les marchés publics, les processus de production, les chaînes de valeur et les décisions de consommation.</w:t>
            </w:r>
            <w:r w:rsidRPr="00653BF4">
              <w:rPr>
                <w:sz w:val="20"/>
                <w:szCs w:val="20"/>
                <w:vertAlign w:val="superscript"/>
                <w:lang w:val="fr-FR"/>
              </w:rPr>
              <w:t xml:space="preserve"> </w:t>
            </w:r>
          </w:p>
          <w:p w14:paraId="53903D40" w14:textId="77777777" w:rsidR="00B87039" w:rsidRPr="00653BF4" w:rsidRDefault="00B87039" w:rsidP="00557FB3">
            <w:pPr>
              <w:rPr>
                <w:rFonts w:eastAsia="Aptos" w:cs="Aptos"/>
                <w:color w:val="000000" w:themeColor="text1"/>
                <w:lang w:val="fr-FR" w:eastAsia="zh-CN"/>
              </w:rPr>
            </w:pPr>
          </w:p>
          <w:p w14:paraId="5F8A95F7" w14:textId="1DC573FA" w:rsidR="00B87039" w:rsidRPr="00653BF4" w:rsidRDefault="00B87039" w:rsidP="00557FB3">
            <w:pPr>
              <w:spacing w:after="160" w:line="278" w:lineRule="auto"/>
              <w:rPr>
                <w:sz w:val="20"/>
                <w:szCs w:val="20"/>
                <w:lang w:val="fr-FR"/>
              </w:rPr>
            </w:pPr>
            <w:r w:rsidRPr="00653BF4">
              <w:rPr>
                <w:i/>
                <w:iCs/>
                <w:sz w:val="20"/>
                <w:szCs w:val="20"/>
                <w:lang w:val="fr-FR"/>
              </w:rPr>
              <w:t>Cibles concernées</w:t>
            </w:r>
            <w:r w:rsidR="00E34DC9">
              <w:rPr>
                <w:sz w:val="20"/>
                <w:szCs w:val="20"/>
                <w:lang w:val="fr-FR"/>
              </w:rPr>
              <w:t> :</w:t>
            </w:r>
            <w:r w:rsidRPr="00653BF4">
              <w:rPr>
                <w:i/>
                <w:iCs/>
                <w:sz w:val="20"/>
                <w:szCs w:val="20"/>
                <w:lang w:val="fr-FR"/>
              </w:rPr>
              <w:t xml:space="preserve"> </w:t>
            </w:r>
            <w:r w:rsidRPr="00653BF4">
              <w:rPr>
                <w:sz w:val="20"/>
                <w:szCs w:val="20"/>
                <w:lang w:val="fr-FR"/>
              </w:rPr>
              <w:t>7, 12, 14, 16 et 21.</w:t>
            </w:r>
          </w:p>
          <w:p w14:paraId="62A81D23" w14:textId="66022E29" w:rsidR="00B87039" w:rsidRPr="00653BF4" w:rsidRDefault="00B87039" w:rsidP="00557FB3">
            <w:pPr>
              <w:spacing w:after="160" w:line="278" w:lineRule="auto"/>
              <w:rPr>
                <w:i/>
                <w:iCs/>
                <w:sz w:val="20"/>
                <w:szCs w:val="20"/>
                <w:lang w:val="fr-FR"/>
              </w:rPr>
            </w:pPr>
            <w:r w:rsidRPr="00653BF4">
              <w:rPr>
                <w:i/>
                <w:iCs/>
                <w:sz w:val="20"/>
                <w:szCs w:val="20"/>
                <w:lang w:val="fr-FR"/>
              </w:rPr>
              <w:t>Source</w:t>
            </w:r>
            <w:r w:rsidR="00E34DC9">
              <w:rPr>
                <w:sz w:val="20"/>
                <w:szCs w:val="20"/>
                <w:lang w:val="fr-FR"/>
              </w:rPr>
              <w:t> :</w:t>
            </w:r>
            <w:r w:rsidRPr="00653BF4">
              <w:rPr>
                <w:i/>
                <w:iCs/>
                <w:sz w:val="20"/>
                <w:szCs w:val="20"/>
                <w:lang w:val="fr-FR"/>
              </w:rPr>
              <w:t xml:space="preserve"> </w:t>
            </w:r>
            <w:r w:rsidRPr="00653BF4">
              <w:rPr>
                <w:sz w:val="20"/>
                <w:szCs w:val="20"/>
                <w:lang w:val="fr-FR"/>
              </w:rPr>
              <w:t>République dominicaine, septième rapport national présenté au titre de la Convention.</w:t>
            </w:r>
          </w:p>
          <w:p w14:paraId="6672C3F2" w14:textId="1182202A" w:rsidR="00B87039" w:rsidRPr="00653BF4" w:rsidRDefault="00B87039" w:rsidP="00557FB3">
            <w:pPr>
              <w:rPr>
                <w:rFonts w:eastAsia="Aptos" w:cs="Aptos"/>
                <w:color w:val="000000" w:themeColor="text1"/>
                <w:sz w:val="18"/>
                <w:szCs w:val="18"/>
                <w:lang w:val="fr-FR" w:eastAsia="zh-CN"/>
              </w:rPr>
            </w:pPr>
            <w:r w:rsidRPr="00653BF4">
              <w:rPr>
                <w:rFonts w:eastAsia="Aptos" w:cs="Aptos"/>
                <w:color w:val="000000" w:themeColor="text1"/>
                <w:sz w:val="18"/>
                <w:szCs w:val="18"/>
                <w:vertAlign w:val="superscript"/>
                <w:lang w:val="fr-FR"/>
              </w:rPr>
              <w:t>a</w:t>
            </w:r>
            <w:r w:rsidRPr="00653BF4">
              <w:rPr>
                <w:sz w:val="18"/>
                <w:szCs w:val="18"/>
                <w:lang w:val="fr-FR"/>
              </w:rPr>
              <w:t xml:space="preserve"> </w:t>
            </w:r>
            <w:r w:rsidR="00895148">
              <w:rPr>
                <w:sz w:val="18"/>
                <w:szCs w:val="18"/>
                <w:lang w:val="fr-FR"/>
              </w:rPr>
              <w:t>V</w:t>
            </w:r>
            <w:r w:rsidRPr="00653BF4">
              <w:rPr>
                <w:sz w:val="20"/>
                <w:szCs w:val="20"/>
                <w:lang w:val="fr-FR"/>
              </w:rPr>
              <w:t>oir</w:t>
            </w:r>
            <w:r w:rsidRPr="00653BF4">
              <w:rPr>
                <w:sz w:val="18"/>
                <w:szCs w:val="18"/>
                <w:lang w:val="fr-FR"/>
              </w:rPr>
              <w:t xml:space="preserve"> </w:t>
            </w:r>
            <w:hyperlink r:id="rId177" w:history="1">
              <w:r w:rsidRPr="00653BF4">
                <w:rPr>
                  <w:rStyle w:val="Hyperlink"/>
                  <w:sz w:val="18"/>
                  <w:szCs w:val="18"/>
                  <w:lang w:val="fr-FR"/>
                </w:rPr>
                <w:t>www.diesco.com/en/commitment/our-environment/</w:t>
              </w:r>
            </w:hyperlink>
            <w:r w:rsidRPr="00653BF4">
              <w:rPr>
                <w:sz w:val="18"/>
                <w:szCs w:val="18"/>
                <w:lang w:val="fr-FR"/>
              </w:rPr>
              <w:t>.</w:t>
            </w:r>
          </w:p>
          <w:p w14:paraId="5BD3FAE5" w14:textId="77777777" w:rsidR="00B87039" w:rsidRPr="00653BF4" w:rsidRDefault="00B87039" w:rsidP="00557FB3">
            <w:pPr>
              <w:rPr>
                <w:lang w:val="fr-FR"/>
              </w:rPr>
            </w:pPr>
          </w:p>
        </w:tc>
      </w:tr>
    </w:tbl>
    <w:p w14:paraId="1E7F2072" w14:textId="77777777" w:rsidR="00B87039" w:rsidRPr="00653BF4" w:rsidRDefault="00B87039" w:rsidP="00B87039">
      <w:pPr>
        <w:rPr>
          <w:lang w:val="fr-FR"/>
        </w:rPr>
      </w:pPr>
    </w:p>
    <w:p w14:paraId="0E0C7C13" w14:textId="77777777" w:rsidR="00B87039" w:rsidRPr="00653BF4" w:rsidRDefault="00B87039" w:rsidP="00B87039">
      <w:pPr>
        <w:pStyle w:val="Heading6"/>
        <w:rPr>
          <w:lang w:val="fr-FR"/>
        </w:rPr>
      </w:pPr>
      <w:bookmarkStart w:id="323" w:name="_Toc235821251"/>
      <w:r w:rsidRPr="00653BF4">
        <w:rPr>
          <w:lang w:val="fr-FR"/>
        </w:rPr>
        <w:t>Difficultés</w:t>
      </w:r>
      <w:bookmarkEnd w:id="323"/>
    </w:p>
    <w:p w14:paraId="1000A365" w14:textId="77777777" w:rsidR="00B87039" w:rsidRPr="00653BF4" w:rsidRDefault="00B87039" w:rsidP="00B87039">
      <w:pPr>
        <w:rPr>
          <w:rFonts w:eastAsia="Aptos" w:cs="Aptos"/>
          <w:lang w:val="fr-FR"/>
        </w:rPr>
      </w:pPr>
    </w:p>
    <w:p w14:paraId="03891FE7" w14:textId="672A3D7D" w:rsidR="00B87039" w:rsidRPr="00653BF4" w:rsidRDefault="00B87039" w:rsidP="00B87039">
      <w:pPr>
        <w:rPr>
          <w:lang w:val="fr-FR"/>
        </w:rPr>
      </w:pPr>
      <w:r w:rsidRPr="00653BF4">
        <w:rPr>
          <w:lang w:val="fr-FR"/>
        </w:rPr>
        <w:t>L</w:t>
      </w:r>
      <w:r w:rsidR="00D77549">
        <w:rPr>
          <w:lang w:val="fr-FR"/>
        </w:rPr>
        <w:t>’</w:t>
      </w:r>
      <w:r w:rsidRPr="00653BF4">
        <w:rPr>
          <w:lang w:val="fr-FR"/>
        </w:rPr>
        <w:t>absence d</w:t>
      </w:r>
      <w:r w:rsidR="00D77549">
        <w:rPr>
          <w:lang w:val="fr-FR"/>
        </w:rPr>
        <w:t>’</w:t>
      </w:r>
      <w:r w:rsidRPr="00653BF4">
        <w:rPr>
          <w:lang w:val="fr-FR"/>
        </w:rPr>
        <w:t xml:space="preserve">infrastructures adaptées figure parmi les difficultés les plus fréquemment citées par les Parties en ce qui concerne la </w:t>
      </w:r>
      <w:r w:rsidR="00E34DC9">
        <w:rPr>
          <w:lang w:val="fr-FR"/>
        </w:rPr>
        <w:t>cible 1</w:t>
      </w:r>
      <w:r w:rsidRPr="00653BF4">
        <w:rPr>
          <w:lang w:val="fr-FR"/>
        </w:rPr>
        <w:t>6. Beaucoup ne disposent pas d</w:t>
      </w:r>
      <w:r w:rsidR="00D77549">
        <w:rPr>
          <w:lang w:val="fr-FR"/>
        </w:rPr>
        <w:t>’</w:t>
      </w:r>
      <w:r w:rsidRPr="00653BF4">
        <w:rPr>
          <w:lang w:val="fr-FR"/>
        </w:rPr>
        <w:t>installations adéquates pour le tri, le recyclage, le compostage et l</w:t>
      </w:r>
      <w:r w:rsidR="00D77549">
        <w:rPr>
          <w:lang w:val="fr-FR"/>
        </w:rPr>
        <w:t>’</w:t>
      </w:r>
      <w:r w:rsidRPr="00653BF4">
        <w:rPr>
          <w:lang w:val="fr-FR"/>
        </w:rPr>
        <w:t>élimination des déchets en toute sécurité, tandis que certaines dépendent encore fortement des décharges ou du brûlage à l</w:t>
      </w:r>
      <w:r w:rsidR="00D77549">
        <w:rPr>
          <w:lang w:val="fr-FR"/>
        </w:rPr>
        <w:t>’</w:t>
      </w:r>
      <w:r w:rsidRPr="00653BF4">
        <w:rPr>
          <w:lang w:val="fr-FR"/>
        </w:rPr>
        <w:t>air libre. Le manque de ressources financières, logistiques et humaines est mentionné comme un obstacle, notamment parce qu’il empêche les investissements dans les infrastructures et les projets en cours de réalisation destinés à la gestion des déchets. Plusieurs Parties font état d</w:t>
      </w:r>
      <w:r w:rsidR="00D77549">
        <w:rPr>
          <w:lang w:val="fr-FR"/>
        </w:rPr>
        <w:t>’</w:t>
      </w:r>
      <w:r w:rsidRPr="00653BF4">
        <w:rPr>
          <w:lang w:val="fr-FR"/>
        </w:rPr>
        <w:t>instruments juridiques dont l</w:t>
      </w:r>
      <w:r w:rsidR="00D77549">
        <w:rPr>
          <w:lang w:val="fr-FR"/>
        </w:rPr>
        <w:t>’</w:t>
      </w:r>
      <w:r w:rsidRPr="00653BF4">
        <w:rPr>
          <w:lang w:val="fr-FR"/>
        </w:rPr>
        <w:t>application n</w:t>
      </w:r>
      <w:r w:rsidR="00D77549">
        <w:rPr>
          <w:lang w:val="fr-FR"/>
        </w:rPr>
        <w:t>’</w:t>
      </w:r>
      <w:r w:rsidRPr="00653BF4">
        <w:rPr>
          <w:lang w:val="fr-FR"/>
        </w:rPr>
        <w:t>est pas effective, ce qui affaiblit l</w:t>
      </w:r>
      <w:r w:rsidR="00D77549">
        <w:rPr>
          <w:lang w:val="fr-FR"/>
        </w:rPr>
        <w:t>’</w:t>
      </w:r>
      <w:r w:rsidRPr="00653BF4">
        <w:rPr>
          <w:lang w:val="fr-FR"/>
        </w:rPr>
        <w:t>impact des interdictions et des réglementations. Certaines Parties indiquent que les systèmes de responsabilité étendue du producteur n</w:t>
      </w:r>
      <w:r w:rsidR="00D77549">
        <w:rPr>
          <w:lang w:val="fr-FR"/>
        </w:rPr>
        <w:t>’</w:t>
      </w:r>
      <w:r w:rsidRPr="00653BF4">
        <w:rPr>
          <w:lang w:val="fr-FR"/>
        </w:rPr>
        <w:t xml:space="preserve">existent pas ou sont appliqués de manière trop restrictive, sans que les producteurs soient tenus financièrement responsables. Les coûts liés à la gestion des produits en fin de vie et à la gestion des déchets sont souvent entièrement à la charge des pouvoirs publics, dont les budgets sont limités. De nombreuses Parties ne disposent pas de données de référence sur le gaspillage alimentaire, ce qui constitue un obstacle majeur à la mise en œuvre de la </w:t>
      </w:r>
      <w:r w:rsidR="00E34DC9">
        <w:rPr>
          <w:lang w:val="fr-FR"/>
        </w:rPr>
        <w:t>cible 1</w:t>
      </w:r>
      <w:r w:rsidRPr="00653BF4">
        <w:rPr>
          <w:lang w:val="fr-FR"/>
        </w:rPr>
        <w:t>6. Plusieurs Parties indiquent qu</w:t>
      </w:r>
      <w:r w:rsidR="00D77549">
        <w:rPr>
          <w:lang w:val="fr-FR"/>
        </w:rPr>
        <w:t>’</w:t>
      </w:r>
      <w:r w:rsidRPr="00653BF4">
        <w:rPr>
          <w:lang w:val="fr-FR"/>
        </w:rPr>
        <w:t>elles ne disposent d</w:t>
      </w:r>
      <w:r w:rsidR="00D77549">
        <w:rPr>
          <w:lang w:val="fr-FR"/>
        </w:rPr>
        <w:t>’</w:t>
      </w:r>
      <w:r w:rsidRPr="00653BF4">
        <w:rPr>
          <w:lang w:val="fr-FR"/>
        </w:rPr>
        <w:t>aucun système de suivi systématique des gaspillages et pertes alimentaires au niveau des ménages, du commerce de détail ou de la chaîne d</w:t>
      </w:r>
      <w:r w:rsidR="00D77549">
        <w:rPr>
          <w:lang w:val="fr-FR"/>
        </w:rPr>
        <w:t>’</w:t>
      </w:r>
      <w:r w:rsidRPr="00653BF4">
        <w:rPr>
          <w:lang w:val="fr-FR"/>
        </w:rPr>
        <w:t>approvisionnement, ni d</w:t>
      </w:r>
      <w:r w:rsidR="00D77549">
        <w:rPr>
          <w:lang w:val="fr-FR"/>
        </w:rPr>
        <w:t>’</w:t>
      </w:r>
      <w:r w:rsidRPr="00653BF4">
        <w:rPr>
          <w:lang w:val="fr-FR"/>
        </w:rPr>
        <w:t>aucune méthodologie nationale cohérente pour mesurer les progrès accomplis dans la réalisation des cibles de réduction. Les progrès réalisés en matière d</w:t>
      </w:r>
      <w:r w:rsidR="00D77549">
        <w:rPr>
          <w:lang w:val="fr-FR"/>
        </w:rPr>
        <w:t>’</w:t>
      </w:r>
      <w:r w:rsidRPr="00653BF4">
        <w:rPr>
          <w:lang w:val="fr-FR"/>
        </w:rPr>
        <w:t xml:space="preserve">éducation et de sensibilisation aux incidences de la consommation sur la biodiversité, notamment les ressources destinées à différents </w:t>
      </w:r>
      <w:r w:rsidRPr="00653BF4">
        <w:rPr>
          <w:lang w:val="fr-FR"/>
        </w:rPr>
        <w:lastRenderedPageBreak/>
        <w:t>groupes tels que les femmes, les jeunes, les personnes handicapées et d</w:t>
      </w:r>
      <w:r w:rsidR="00D77549">
        <w:rPr>
          <w:lang w:val="fr-FR"/>
        </w:rPr>
        <w:t>’</w:t>
      </w:r>
      <w:r w:rsidRPr="00653BF4">
        <w:rPr>
          <w:lang w:val="fr-FR"/>
        </w:rPr>
        <w:t>autres groupes, restent également largement partiels.</w:t>
      </w:r>
    </w:p>
    <w:p w14:paraId="3E999BF6" w14:textId="3739C149" w:rsidR="00B87039" w:rsidRPr="00653BF4" w:rsidRDefault="00B87039" w:rsidP="00B87039">
      <w:pPr>
        <w:rPr>
          <w:lang w:val="fr-FR"/>
        </w:rPr>
      </w:pPr>
      <w:r w:rsidRPr="00653BF4">
        <w:rPr>
          <w:lang w:val="fr-FR"/>
        </w:rPr>
        <w:t>Plusieurs Parties à revenu élevé signalent la persistance d</w:t>
      </w:r>
      <w:r w:rsidR="00D77549">
        <w:rPr>
          <w:lang w:val="fr-FR"/>
        </w:rPr>
        <w:t>’</w:t>
      </w:r>
      <w:r w:rsidRPr="00653BF4">
        <w:rPr>
          <w:lang w:val="fr-FR"/>
        </w:rPr>
        <w:t>empreintes élevées pour les matières premières au sein de leurs sociétés, des empreintes qui atteignent des niveaux non durables et qui ne sont pas encore en baisse. Plusieurs Parties soulignent que le coût plus élevé des alternatives durables freine leur adoption, en particulier chez les consommateurs à plus faibles revenus. Il manque des données permettant de mesurer les tendances liées à l</w:t>
      </w:r>
      <w:r w:rsidR="00D77549">
        <w:rPr>
          <w:lang w:val="fr-FR"/>
        </w:rPr>
        <w:t>’</w:t>
      </w:r>
      <w:r w:rsidRPr="00653BF4">
        <w:rPr>
          <w:lang w:val="fr-FR"/>
        </w:rPr>
        <w:t>évolution des modes de consommation ou aux pressions exercées sur la biodiversité par la consommation.</w:t>
      </w:r>
    </w:p>
    <w:p w14:paraId="26010B4E" w14:textId="77777777" w:rsidR="00B87039" w:rsidRPr="00653BF4" w:rsidRDefault="00B87039" w:rsidP="00B87039">
      <w:pPr>
        <w:rPr>
          <w:lang w:val="fr-FR"/>
        </w:rPr>
      </w:pPr>
    </w:p>
    <w:p w14:paraId="111B6823" w14:textId="0612B0B1" w:rsidR="00B87039" w:rsidRPr="00653BF4" w:rsidRDefault="00B87039" w:rsidP="00B87039">
      <w:pPr>
        <w:pStyle w:val="Heading5"/>
        <w:rPr>
          <w:lang w:val="fr-FR"/>
        </w:rPr>
      </w:pPr>
      <w:bookmarkStart w:id="324" w:name="_Toc235821252"/>
      <w:r w:rsidRPr="00653BF4">
        <w:rPr>
          <w:lang w:val="fr-FR"/>
        </w:rPr>
        <w:t>Contributions provenant d</w:t>
      </w:r>
      <w:r w:rsidR="00D77549">
        <w:rPr>
          <w:lang w:val="fr-FR"/>
        </w:rPr>
        <w:t>’</w:t>
      </w:r>
      <w:r w:rsidRPr="00653BF4">
        <w:rPr>
          <w:lang w:val="fr-FR"/>
        </w:rPr>
        <w:t>acteurs autres que les gouvernements nationaux</w:t>
      </w:r>
      <w:bookmarkEnd w:id="324"/>
    </w:p>
    <w:p w14:paraId="6376AE0D" w14:textId="77777777" w:rsidR="00B87039" w:rsidRPr="00653BF4" w:rsidRDefault="00B87039" w:rsidP="00B87039">
      <w:pPr>
        <w:rPr>
          <w:lang w:val="fr-FR"/>
        </w:rPr>
      </w:pPr>
    </w:p>
    <w:p w14:paraId="5B00106C" w14:textId="187B82C6" w:rsidR="00B87039" w:rsidRPr="00653BF4" w:rsidRDefault="00B87039" w:rsidP="00B87039">
      <w:pPr>
        <w:pStyle w:val="Heading6"/>
        <w:rPr>
          <w:lang w:val="fr-FR"/>
        </w:rPr>
      </w:pPr>
      <w:bookmarkStart w:id="325" w:name="_Toc235821253"/>
      <w:r w:rsidRPr="00653BF4">
        <w:rPr>
          <w:lang w:val="fr-FR"/>
        </w:rPr>
        <w:t>Engagements communiqués directement via l</w:t>
      </w:r>
      <w:r w:rsidR="00D77549">
        <w:rPr>
          <w:lang w:val="fr-FR"/>
        </w:rPr>
        <w:t>’</w:t>
      </w:r>
      <w:r w:rsidRPr="00653BF4">
        <w:rPr>
          <w:lang w:val="fr-FR"/>
        </w:rPr>
        <w:t>outil de présentation des rapports en ligne</w:t>
      </w:r>
      <w:bookmarkEnd w:id="325"/>
    </w:p>
    <w:p w14:paraId="2C82E810" w14:textId="77777777" w:rsidR="00B87039" w:rsidRPr="00653BF4" w:rsidRDefault="00B87039" w:rsidP="00B87039">
      <w:pPr>
        <w:rPr>
          <w:lang w:val="fr-FR"/>
        </w:rPr>
      </w:pPr>
    </w:p>
    <w:p w14:paraId="350D65B6" w14:textId="58142C98" w:rsidR="00B87039" w:rsidRPr="00653BF4" w:rsidRDefault="00B87039" w:rsidP="00B87039">
      <w:pPr>
        <w:rPr>
          <w:lang w:val="fr-FR"/>
        </w:rPr>
      </w:pPr>
      <w:bookmarkStart w:id="326" w:name="_Toc235821254"/>
      <w:r w:rsidRPr="00653BF4">
        <w:rPr>
          <w:lang w:val="fr-FR"/>
        </w:rPr>
        <w:t xml:space="preserve">Sur les 180 engagements de fond présentés par des acteurs autres que les gouvernements nationaux, seulement 2 concernent principalement la </w:t>
      </w:r>
      <w:r w:rsidR="00E34DC9">
        <w:rPr>
          <w:lang w:val="fr-FR"/>
        </w:rPr>
        <w:t>cible 1</w:t>
      </w:r>
      <w:r w:rsidRPr="00653BF4">
        <w:rPr>
          <w:lang w:val="fr-FR"/>
        </w:rPr>
        <w:t>6. L</w:t>
      </w:r>
      <w:r w:rsidR="00D77549">
        <w:rPr>
          <w:lang w:val="fr-FR"/>
        </w:rPr>
        <w:t>’</w:t>
      </w:r>
      <w:r w:rsidRPr="00653BF4">
        <w:rPr>
          <w:lang w:val="fr-FR"/>
        </w:rPr>
        <w:t>un d</w:t>
      </w:r>
      <w:r w:rsidR="00D77549">
        <w:rPr>
          <w:lang w:val="fr-FR"/>
        </w:rPr>
        <w:t>’</w:t>
      </w:r>
      <w:r w:rsidRPr="00653BF4">
        <w:rPr>
          <w:lang w:val="fr-FR"/>
        </w:rPr>
        <w:t>entre eux provient d</w:t>
      </w:r>
      <w:r w:rsidR="00D77549">
        <w:rPr>
          <w:lang w:val="fr-FR"/>
        </w:rPr>
        <w:t>’</w:t>
      </w:r>
      <w:r w:rsidRPr="00653BF4">
        <w:rPr>
          <w:lang w:val="fr-FR"/>
        </w:rPr>
        <w:t>un réseau d</w:t>
      </w:r>
      <w:r w:rsidR="00D77549">
        <w:rPr>
          <w:lang w:val="fr-FR"/>
        </w:rPr>
        <w:t>’</w:t>
      </w:r>
      <w:r w:rsidRPr="00653BF4">
        <w:rPr>
          <w:lang w:val="fr-FR"/>
        </w:rPr>
        <w:t>entreprises coopératives des secteurs du commerce de détail et des services en Finlande, et l</w:t>
      </w:r>
      <w:r w:rsidR="00D77549">
        <w:rPr>
          <w:lang w:val="fr-FR"/>
        </w:rPr>
        <w:t>’</w:t>
      </w:r>
      <w:r w:rsidRPr="00653BF4">
        <w:rPr>
          <w:lang w:val="fr-FR"/>
        </w:rPr>
        <w:t>autre du réseau d</w:t>
      </w:r>
      <w:r w:rsidR="00D77549">
        <w:rPr>
          <w:lang w:val="fr-FR"/>
        </w:rPr>
        <w:t>’</w:t>
      </w:r>
      <w:r w:rsidRPr="00653BF4">
        <w:rPr>
          <w:lang w:val="fr-FR"/>
        </w:rPr>
        <w:t>ONG Danish 92 Group. Ces engagements spécifiques portent principalement sur la lutte contre la surconsommation et la réduction du gaspillage alimentaire, ainsi que sur la sensibilisation à l</w:t>
      </w:r>
      <w:r w:rsidR="00D77549">
        <w:rPr>
          <w:lang w:val="fr-FR"/>
        </w:rPr>
        <w:t>’</w:t>
      </w:r>
      <w:r w:rsidRPr="00653BF4">
        <w:rPr>
          <w:lang w:val="fr-FR"/>
        </w:rPr>
        <w:t xml:space="preserve">utilisation circulaire des ressources et à la réduction des déchets plastiques. </w:t>
      </w:r>
    </w:p>
    <w:p w14:paraId="5E03BDEC" w14:textId="77777777" w:rsidR="00B87039" w:rsidRPr="00653BF4" w:rsidRDefault="00B87039" w:rsidP="00B87039">
      <w:pPr>
        <w:pStyle w:val="Heading6"/>
        <w:rPr>
          <w:lang w:val="fr-FR"/>
        </w:rPr>
      </w:pPr>
    </w:p>
    <w:p w14:paraId="5099F986" w14:textId="7C783208" w:rsidR="00B87039" w:rsidRPr="00653BF4" w:rsidRDefault="00B87039" w:rsidP="00B87039">
      <w:pPr>
        <w:pStyle w:val="Heading6"/>
        <w:rPr>
          <w:lang w:val="fr-FR"/>
        </w:rPr>
      </w:pPr>
      <w:r w:rsidRPr="00653BF4">
        <w:rPr>
          <w:lang w:val="fr-FR"/>
        </w:rPr>
        <w:t>Contributions intégrées dans les rapports nationaux</w:t>
      </w:r>
      <w:bookmarkEnd w:id="326"/>
    </w:p>
    <w:p w14:paraId="3E066E02" w14:textId="77777777" w:rsidR="00B87039" w:rsidRPr="00653BF4" w:rsidRDefault="00B87039" w:rsidP="00B87039">
      <w:pPr>
        <w:rPr>
          <w:lang w:val="fr-FR"/>
        </w:rPr>
      </w:pPr>
    </w:p>
    <w:p w14:paraId="17B724E3" w14:textId="747257F2" w:rsidR="00B87039" w:rsidRPr="00653BF4" w:rsidRDefault="00B87039" w:rsidP="00B87039">
      <w:pPr>
        <w:rPr>
          <w:lang w:val="fr-FR"/>
        </w:rPr>
      </w:pPr>
      <w:r w:rsidRPr="00653BF4">
        <w:rPr>
          <w:lang w:val="fr-FR"/>
        </w:rPr>
        <w:t>Les rôles liés à la mise en place d</w:t>
      </w:r>
      <w:r w:rsidR="00D77549">
        <w:rPr>
          <w:lang w:val="fr-FR"/>
        </w:rPr>
        <w:t>’</w:t>
      </w:r>
      <w:r w:rsidRPr="00653BF4">
        <w:rPr>
          <w:lang w:val="fr-FR"/>
        </w:rPr>
        <w:t>infrastructures de gestion des déchets et d</w:t>
      </w:r>
      <w:r w:rsidR="00D77549">
        <w:rPr>
          <w:lang w:val="fr-FR"/>
        </w:rPr>
        <w:t>’</w:t>
      </w:r>
      <w:r w:rsidRPr="00653BF4">
        <w:rPr>
          <w:lang w:val="fr-FR"/>
        </w:rPr>
        <w:t>économie circulaire font régulièrement l</w:t>
      </w:r>
      <w:r w:rsidR="00D77549">
        <w:rPr>
          <w:lang w:val="fr-FR"/>
        </w:rPr>
        <w:t>’</w:t>
      </w:r>
      <w:r w:rsidRPr="00653BF4">
        <w:rPr>
          <w:lang w:val="fr-FR"/>
        </w:rPr>
        <w:t>objet de rapports, notamment lorsque les autorités infranationales, les entreprises et les ONG collaborent pour mettre en place des installations de recyclage, des centres de rachat, des programmes de compostage et des réseaux de redistribution alimentaire. Le financement et le cofinancement sont assurés par des partenaires internationaux et le secteur privé, qui constituent les principaux acteurs du financement des projets liés à la gestion intégrée des déchets solides et à la production durable. On trouve des exemples d</w:t>
      </w:r>
      <w:r w:rsidR="00D77549">
        <w:rPr>
          <w:lang w:val="fr-FR"/>
        </w:rPr>
        <w:t>’</w:t>
      </w:r>
      <w:r w:rsidRPr="00653BF4">
        <w:rPr>
          <w:lang w:val="fr-FR"/>
        </w:rPr>
        <w:t>acteurs du monde des affaires à l</w:t>
      </w:r>
      <w:r w:rsidR="00D77549">
        <w:rPr>
          <w:lang w:val="fr-FR"/>
        </w:rPr>
        <w:t>’</w:t>
      </w:r>
      <w:r w:rsidRPr="00653BF4">
        <w:rPr>
          <w:lang w:val="fr-FR"/>
        </w:rPr>
        <w:t>origine d</w:t>
      </w:r>
      <w:r w:rsidR="00D77549">
        <w:rPr>
          <w:lang w:val="fr-FR"/>
        </w:rPr>
        <w:t>’</w:t>
      </w:r>
      <w:r w:rsidRPr="00653BF4">
        <w:rPr>
          <w:lang w:val="fr-FR"/>
        </w:rPr>
        <w:t>engagements sectoriels volontaires et contraignants, tels que la mise en œuvre de cibles de réduction du gaspillage alimentaire par le biais d</w:t>
      </w:r>
      <w:r w:rsidR="00D77549">
        <w:rPr>
          <w:lang w:val="fr-FR"/>
        </w:rPr>
        <w:t>’</w:t>
      </w:r>
      <w:r w:rsidRPr="00653BF4">
        <w:rPr>
          <w:lang w:val="fr-FR"/>
        </w:rPr>
        <w:t xml:space="preserve">accords sectoriels et de cadres de </w:t>
      </w:r>
      <w:r w:rsidRPr="00653BF4">
        <w:rPr>
          <w:lang w:val="fr-FR"/>
        </w:rPr>
        <w:lastRenderedPageBreak/>
        <w:t>responsabilité étendue du producteur. La sensibilisation, l</w:t>
      </w:r>
      <w:r w:rsidR="00D77549">
        <w:rPr>
          <w:lang w:val="fr-FR"/>
        </w:rPr>
        <w:t>’</w:t>
      </w:r>
      <w:r w:rsidRPr="00653BF4">
        <w:rPr>
          <w:lang w:val="fr-FR"/>
        </w:rPr>
        <w:t>éducation et le changement des comportements sont assurés par des ONG, la société civile et des plateformes citoyennes, par le biais de campagnes destinées aux consommateurs, de programmes scolaires et d</w:t>
      </w:r>
      <w:r w:rsidR="00D77549">
        <w:rPr>
          <w:lang w:val="fr-FR"/>
        </w:rPr>
        <w:t>’</w:t>
      </w:r>
      <w:r w:rsidRPr="00653BF4">
        <w:rPr>
          <w:lang w:val="fr-FR"/>
        </w:rPr>
        <w:t xml:space="preserve">outils numériques. </w:t>
      </w:r>
    </w:p>
    <w:p w14:paraId="680EC9FE" w14:textId="77777777" w:rsidR="00B87039" w:rsidRPr="00653BF4" w:rsidRDefault="00B87039" w:rsidP="00B87039">
      <w:pPr>
        <w:pStyle w:val="Heading5"/>
        <w:rPr>
          <w:lang w:val="fr-FR"/>
        </w:rPr>
      </w:pPr>
    </w:p>
    <w:p w14:paraId="1A67F196" w14:textId="09D19919" w:rsidR="00B87039" w:rsidRPr="00653BF4" w:rsidRDefault="00B87039" w:rsidP="00B87039">
      <w:pPr>
        <w:pStyle w:val="Heading5"/>
        <w:rPr>
          <w:lang w:val="fr-FR"/>
        </w:rPr>
      </w:pPr>
      <w:r w:rsidRPr="00653BF4">
        <w:rPr>
          <w:lang w:val="fr-FR"/>
        </w:rPr>
        <w:t>Exemples de liens avec d</w:t>
      </w:r>
      <w:r w:rsidR="00D77549">
        <w:rPr>
          <w:lang w:val="fr-FR"/>
        </w:rPr>
        <w:t>’</w:t>
      </w:r>
      <w:r w:rsidRPr="00653BF4">
        <w:rPr>
          <w:lang w:val="fr-FR"/>
        </w:rPr>
        <w:t xml:space="preserve">autres accords, processus et organisations </w:t>
      </w:r>
    </w:p>
    <w:p w14:paraId="20ABD8F1" w14:textId="77777777" w:rsidR="00B87039" w:rsidRPr="00653BF4" w:rsidRDefault="00B87039" w:rsidP="00B87039">
      <w:pPr>
        <w:rPr>
          <w:lang w:val="fr-FR"/>
        </w:rPr>
      </w:pPr>
    </w:p>
    <w:p w14:paraId="7BAE5A08" w14:textId="07CFE293" w:rsidR="00B87039" w:rsidRPr="00653BF4" w:rsidRDefault="00B87039" w:rsidP="00B87039">
      <w:pPr>
        <w:rPr>
          <w:lang w:val="fr-FR"/>
        </w:rPr>
      </w:pPr>
      <w:r w:rsidRPr="00653BF4">
        <w:rPr>
          <w:lang w:val="fr-FR"/>
        </w:rPr>
        <w:t xml:space="preserve">Le Cadre mondial relatif aux produits chimiques joue un rôle essentiel dans la mise en œuvre de la </w:t>
      </w:r>
      <w:r w:rsidR="00E34DC9">
        <w:rPr>
          <w:lang w:val="fr-FR"/>
        </w:rPr>
        <w:t>cible 1</w:t>
      </w:r>
      <w:r w:rsidRPr="00653BF4">
        <w:rPr>
          <w:lang w:val="fr-FR"/>
        </w:rPr>
        <w:t>6 en favorisant la transparence et les pratiques de gestion durable tout au long de la chaîne de valeur des produits chimiques. La cible B2 de ce Cadre invite les parties prenantes à mettre à disposition, d</w:t>
      </w:r>
      <w:r w:rsidR="00D77549">
        <w:rPr>
          <w:lang w:val="fr-FR"/>
        </w:rPr>
        <w:t>’</w:t>
      </w:r>
      <w:r w:rsidRPr="00653BF4">
        <w:rPr>
          <w:lang w:val="fr-FR"/>
        </w:rPr>
        <w:t>ici à 2030, des informations fiables sur les substances chimiques présentes dans les matériaux et les produits tout au long de la chaîne de valeur. Cette transparence est indispensable pour permettre aux consommateurs de faire des choix éclairés et pour stimuler la demande de produits ayant un effet réduit sur l</w:t>
      </w:r>
      <w:r w:rsidR="00D77549">
        <w:rPr>
          <w:lang w:val="fr-FR"/>
        </w:rPr>
        <w:t>’</w:t>
      </w:r>
      <w:r w:rsidRPr="00653BF4">
        <w:rPr>
          <w:lang w:val="fr-FR"/>
        </w:rPr>
        <w:t>environnement. Par ailleurs, la cible D6 du Cadre met l</w:t>
      </w:r>
      <w:r w:rsidR="00D77549">
        <w:rPr>
          <w:lang w:val="fr-FR"/>
        </w:rPr>
        <w:t>’</w:t>
      </w:r>
      <w:r w:rsidRPr="00653BF4">
        <w:rPr>
          <w:lang w:val="fr-FR"/>
        </w:rPr>
        <w:t>accent sur l</w:t>
      </w:r>
      <w:r w:rsidR="00D77549">
        <w:rPr>
          <w:lang w:val="fr-FR"/>
        </w:rPr>
        <w:t>’</w:t>
      </w:r>
      <w:r w:rsidRPr="00653BF4">
        <w:rPr>
          <w:lang w:val="fr-FR"/>
        </w:rPr>
        <w:t>élaboration et la mise en œuvre de stratégies durables de gestion des produits chimiques et des déchets pour les principaux secteurs économiques et industriels. En identifiant les substances chimiques prioritaires préoccupantes et en mettant en œuvre des approches telles que l</w:t>
      </w:r>
      <w:r w:rsidR="00D77549">
        <w:rPr>
          <w:lang w:val="fr-FR"/>
        </w:rPr>
        <w:t>’</w:t>
      </w:r>
      <w:r w:rsidRPr="00653BF4">
        <w:rPr>
          <w:lang w:val="fr-FR"/>
        </w:rPr>
        <w:t>empreinte chimique, ces stratégies visent à réduire l</w:t>
      </w:r>
      <w:r w:rsidR="00D77549">
        <w:rPr>
          <w:lang w:val="fr-FR"/>
        </w:rPr>
        <w:t>’</w:t>
      </w:r>
      <w:r w:rsidRPr="00653BF4">
        <w:rPr>
          <w:lang w:val="fr-FR"/>
        </w:rPr>
        <w:t>impact des substances chimiques tout au long de la chaîne de valeur, contribuant ainsi aux progrès mondiaux en faveur de choix de consommation durables (secrétariat des Conventions de Bâle, de Rotterdam et de Stockholm, 2025</w:t>
      </w:r>
      <w:r w:rsidR="00E34DC9">
        <w:rPr>
          <w:lang w:val="fr-FR"/>
        </w:rPr>
        <w:t> ;</w:t>
      </w:r>
      <w:r w:rsidRPr="00653BF4">
        <w:rPr>
          <w:lang w:val="fr-FR"/>
        </w:rPr>
        <w:t xml:space="preserve"> PNUE, 2024a).</w:t>
      </w:r>
    </w:p>
    <w:p w14:paraId="6AC0E5DB" w14:textId="3E39B5CD" w:rsidR="00B87039" w:rsidRPr="00653BF4" w:rsidRDefault="00B87039" w:rsidP="00B87039">
      <w:pPr>
        <w:rPr>
          <w:lang w:val="fr-FR"/>
        </w:rPr>
      </w:pPr>
      <w:r w:rsidRPr="00653BF4">
        <w:rPr>
          <w:lang w:val="fr-FR"/>
        </w:rPr>
        <w:t>La Convention de Bâle sur le contrôle des mouvements transfrontières de déchets dangereux et de leur élimination joue un rôle essentiel dans la réduction des déchets et dans l</w:t>
      </w:r>
      <w:r w:rsidR="00D77549">
        <w:rPr>
          <w:lang w:val="fr-FR"/>
        </w:rPr>
        <w:t>’</w:t>
      </w:r>
      <w:r w:rsidRPr="00653BF4">
        <w:rPr>
          <w:lang w:val="fr-FR"/>
        </w:rPr>
        <w:t>atténuation de l</w:t>
      </w:r>
      <w:r w:rsidR="00D77549">
        <w:rPr>
          <w:lang w:val="fr-FR"/>
        </w:rPr>
        <w:t>’</w:t>
      </w:r>
      <w:r w:rsidRPr="00653BF4">
        <w:rPr>
          <w:lang w:val="fr-FR"/>
        </w:rPr>
        <w:t>impact que les déchets issus des produits de consommation peuvent avoir sur la biodiversité. En particulier, l</w:t>
      </w:r>
      <w:r w:rsidR="00D77549">
        <w:rPr>
          <w:lang w:val="fr-FR"/>
        </w:rPr>
        <w:t>’</w:t>
      </w:r>
      <w:r w:rsidRPr="00653BF4">
        <w:rPr>
          <w:lang w:val="fr-FR"/>
        </w:rPr>
        <w:t>article 4.2 a) de la Convention de Bâle impose à chaque Partie de veiller à ce que la production de déchets dangereux et d</w:t>
      </w:r>
      <w:r w:rsidR="00D77549">
        <w:rPr>
          <w:lang w:val="fr-FR"/>
        </w:rPr>
        <w:t>’</w:t>
      </w:r>
      <w:r w:rsidRPr="00653BF4">
        <w:rPr>
          <w:lang w:val="fr-FR"/>
        </w:rPr>
        <w:t>autres déchets soit réduite au minimum, en tenant compte des aspects sociaux, technologiques et économiques. Les déchets électroniques (e-déchets) constituent une cible majeure de cette réduction dans le cadre de la Convention de Bâle. Il s</w:t>
      </w:r>
      <w:r w:rsidR="00D77549">
        <w:rPr>
          <w:lang w:val="fr-FR"/>
        </w:rPr>
        <w:t>’</w:t>
      </w:r>
      <w:r w:rsidRPr="00653BF4">
        <w:rPr>
          <w:lang w:val="fr-FR"/>
        </w:rPr>
        <w:t>agit en effet d</w:t>
      </w:r>
      <w:r w:rsidR="00D77549">
        <w:rPr>
          <w:lang w:val="fr-FR"/>
        </w:rPr>
        <w:t>’</w:t>
      </w:r>
      <w:r w:rsidRPr="00653BF4">
        <w:rPr>
          <w:lang w:val="fr-FR"/>
        </w:rPr>
        <w:t>un flux mondial de déchets en forte croissance qui contient des substances dangereuses nocives pour les écosystèmes. Des initiatives telles que l’Initiative pour un partenariat sur les téléphones portables et le Partenariat pour une action sur les équipements informatiques ont considérablement amélioré les processus de recyclage et réduit le trafic illégal de déchets électroniques. Le Partenariat sur les déchets ménagers de la Convention de Bâle encourage également la gestion respectueuse de l</w:t>
      </w:r>
      <w:r w:rsidR="00D77549">
        <w:rPr>
          <w:lang w:val="fr-FR"/>
        </w:rPr>
        <w:t>’</w:t>
      </w:r>
      <w:r w:rsidRPr="00653BF4">
        <w:rPr>
          <w:lang w:val="fr-FR"/>
        </w:rPr>
        <w:t xml:space="preserve">environnement des déchets ménagers, </w:t>
      </w:r>
      <w:r w:rsidRPr="00653BF4">
        <w:rPr>
          <w:lang w:val="fr-FR"/>
        </w:rPr>
        <w:lastRenderedPageBreak/>
        <w:t>y compris leur prévention et leur réduction, et a élaboré un document d</w:t>
      </w:r>
      <w:r w:rsidR="00D77549">
        <w:rPr>
          <w:lang w:val="fr-FR"/>
        </w:rPr>
        <w:t>’</w:t>
      </w:r>
      <w:r w:rsidRPr="00653BF4">
        <w:rPr>
          <w:lang w:val="fr-FR"/>
        </w:rPr>
        <w:t>orientation sur la gestion respectueuse de l</w:t>
      </w:r>
      <w:r w:rsidR="00D77549">
        <w:rPr>
          <w:lang w:val="fr-FR"/>
        </w:rPr>
        <w:t>’</w:t>
      </w:r>
      <w:r w:rsidRPr="00653BF4">
        <w:rPr>
          <w:lang w:val="fr-FR"/>
        </w:rPr>
        <w:t>environnement des déchets ménagers (secrétariat des Conventions de Bâle, de Rotterdam et de Stockholm, 2025</w:t>
      </w:r>
      <w:r w:rsidR="00E34DC9">
        <w:rPr>
          <w:lang w:val="fr-FR"/>
        </w:rPr>
        <w:t> ;</w:t>
      </w:r>
      <w:r w:rsidRPr="00653BF4">
        <w:rPr>
          <w:lang w:val="fr-FR"/>
        </w:rPr>
        <w:t xml:space="preserve"> PNUE, 2025c).</w:t>
      </w:r>
      <w:r w:rsidRPr="00653BF4">
        <w:rPr>
          <w:sz w:val="22"/>
          <w:szCs w:val="22"/>
          <w:lang w:val="fr-FR"/>
        </w:rPr>
        <w:t xml:space="preserve"> </w:t>
      </w:r>
    </w:p>
    <w:p w14:paraId="053EF3A1" w14:textId="77777777" w:rsidR="00B87039" w:rsidRPr="00653BF4" w:rsidRDefault="00B87039" w:rsidP="00B87039">
      <w:pPr>
        <w:rPr>
          <w:lang w:val="fr-FR"/>
        </w:rPr>
      </w:pPr>
    </w:p>
    <w:p w14:paraId="5B151EA2" w14:textId="58F0681B" w:rsidR="00B87039" w:rsidRPr="00653BF4" w:rsidRDefault="00E34DC9" w:rsidP="00B87039">
      <w:pPr>
        <w:pStyle w:val="Heading4"/>
        <w:rPr>
          <w:i w:val="0"/>
          <w:iCs w:val="0"/>
          <w:lang w:val="fr-FR"/>
        </w:rPr>
      </w:pPr>
      <w:bookmarkStart w:id="327" w:name="_Toc235821255"/>
      <w:bookmarkStart w:id="328" w:name="_Toc239069213"/>
      <w:bookmarkStart w:id="329" w:name="_Toc1070207803"/>
      <w:bookmarkStart w:id="330" w:name="_Toc242801250"/>
      <w:r>
        <w:rPr>
          <w:b/>
          <w:bCs/>
          <w:i w:val="0"/>
          <w:iCs w:val="0"/>
          <w:lang w:val="fr-FR"/>
        </w:rPr>
        <w:t>Cible 1</w:t>
      </w:r>
      <w:r w:rsidR="00B87039" w:rsidRPr="00653BF4">
        <w:rPr>
          <w:b/>
          <w:bCs/>
          <w:i w:val="0"/>
          <w:iCs w:val="0"/>
          <w:lang w:val="fr-FR"/>
        </w:rPr>
        <w:t>7.</w:t>
      </w:r>
      <w:r w:rsidR="00B87039" w:rsidRPr="00653BF4">
        <w:rPr>
          <w:i w:val="0"/>
          <w:iCs w:val="0"/>
          <w:lang w:val="fr-FR"/>
        </w:rPr>
        <w:t xml:space="preserve"> Renforcer la prévention des risques biotechnologiques et partager les avantages découlant des biotechnologies</w:t>
      </w:r>
      <w:bookmarkEnd w:id="327"/>
      <w:bookmarkEnd w:id="328"/>
      <w:bookmarkEnd w:id="329"/>
      <w:bookmarkEnd w:id="330"/>
    </w:p>
    <w:p w14:paraId="54452110" w14:textId="77777777" w:rsidR="00B87039" w:rsidRPr="00653BF4" w:rsidRDefault="00B87039" w:rsidP="00B87039">
      <w:pPr>
        <w:pStyle w:val="Heading5"/>
        <w:rPr>
          <w:lang w:val="fr-FR"/>
        </w:rPr>
      </w:pPr>
      <w:bookmarkStart w:id="331" w:name="_Toc235821256"/>
    </w:p>
    <w:p w14:paraId="7B125872" w14:textId="006AD89E" w:rsidR="00B87039" w:rsidRPr="00653BF4" w:rsidRDefault="00B87039" w:rsidP="00B87039">
      <w:pPr>
        <w:rPr>
          <w:i/>
          <w:iCs/>
          <w:sz w:val="22"/>
          <w:szCs w:val="22"/>
          <w:lang w:val="fr-FR"/>
        </w:rPr>
      </w:pPr>
      <w:r w:rsidRPr="00653BF4">
        <w:rPr>
          <w:b/>
          <w:bCs/>
          <w:sz w:val="22"/>
          <w:szCs w:val="22"/>
          <w:lang w:val="fr-FR"/>
        </w:rPr>
        <w:t>Texte de la cible.</w:t>
      </w:r>
      <w:r w:rsidRPr="00653BF4">
        <w:rPr>
          <w:i/>
          <w:iCs/>
          <w:sz w:val="22"/>
          <w:szCs w:val="22"/>
          <w:lang w:val="fr-FR"/>
        </w:rPr>
        <w:t xml:space="preserve"> Créer et renforcer les capacités aux fins de l’application dans tous les pays des mesures relatives à la sécurité biotechnologique prévues à l</w:t>
      </w:r>
      <w:r w:rsidR="00D77549">
        <w:rPr>
          <w:i/>
          <w:iCs/>
          <w:sz w:val="22"/>
          <w:szCs w:val="22"/>
          <w:lang w:val="fr-FR"/>
        </w:rPr>
        <w:t>’</w:t>
      </w:r>
      <w:r w:rsidRPr="00653BF4">
        <w:rPr>
          <w:i/>
          <w:iCs/>
          <w:sz w:val="22"/>
          <w:szCs w:val="22"/>
          <w:lang w:val="fr-FR"/>
        </w:rPr>
        <w:t>article 8 g), de la Convention sur la diversité biologique, ainsi que des mesures relatives à la gestion des biotechnologies et au partage de leurs avantages prévues à l’article 19 de celle-ci.</w:t>
      </w:r>
    </w:p>
    <w:p w14:paraId="09D8145D" w14:textId="77777777" w:rsidR="00B87039" w:rsidRPr="00653BF4" w:rsidRDefault="00B87039" w:rsidP="00B87039">
      <w:pPr>
        <w:rPr>
          <w:lang w:val="fr-FR"/>
        </w:rPr>
      </w:pPr>
    </w:p>
    <w:p w14:paraId="4191EC82" w14:textId="1D06015B" w:rsidR="00B87039" w:rsidRPr="00653BF4" w:rsidRDefault="00B87039" w:rsidP="00B87039">
      <w:pPr>
        <w:pStyle w:val="Heading5"/>
        <w:rPr>
          <w:lang w:val="fr-FR"/>
        </w:rPr>
      </w:pPr>
      <w:r w:rsidRPr="00653BF4">
        <w:rPr>
          <w:lang w:val="fr-FR"/>
        </w:rPr>
        <w:t>Aperçu des progrès accomplis</w:t>
      </w:r>
      <w:bookmarkEnd w:id="331"/>
    </w:p>
    <w:p w14:paraId="162AFDF6" w14:textId="77777777" w:rsidR="00B87039" w:rsidRPr="00653BF4" w:rsidRDefault="00B87039" w:rsidP="00B87039">
      <w:pPr>
        <w:rPr>
          <w:lang w:val="fr-FR"/>
        </w:rPr>
      </w:pPr>
    </w:p>
    <w:tbl>
      <w:tblPr>
        <w:tblStyle w:val="TableGrid"/>
        <w:tblW w:w="0" w:type="auto"/>
        <w:tblLook w:val="04A0" w:firstRow="1" w:lastRow="0" w:firstColumn="1" w:lastColumn="0" w:noHBand="0" w:noVBand="1"/>
      </w:tblPr>
      <w:tblGrid>
        <w:gridCol w:w="9016"/>
      </w:tblGrid>
      <w:tr w:rsidR="00B87039" w:rsidRPr="00543148" w14:paraId="35C48D7C" w14:textId="77777777" w:rsidTr="00557FB3">
        <w:tc>
          <w:tcPr>
            <w:tcW w:w="9016" w:type="dxa"/>
            <w:shd w:val="clear" w:color="auto" w:fill="D1D1D1" w:themeFill="background2" w:themeFillShade="E6"/>
          </w:tcPr>
          <w:p w14:paraId="0A5D8BD4" w14:textId="77777777" w:rsidR="00B87039" w:rsidRPr="00653BF4" w:rsidRDefault="00B87039" w:rsidP="00557FB3">
            <w:pPr>
              <w:rPr>
                <w:rFonts w:eastAsia="Times New Roman" w:cs="Aparajita"/>
                <w:color w:val="000000"/>
                <w:lang w:val="fr-FR"/>
              </w:rPr>
            </w:pPr>
            <w:bookmarkStart w:id="332" w:name="_Toc230654797"/>
          </w:p>
          <w:bookmarkEnd w:id="332"/>
          <w:p w14:paraId="41CA061A" w14:textId="6192CA05" w:rsidR="00B87039" w:rsidRPr="00653BF4" w:rsidRDefault="00B87039" w:rsidP="00557FB3">
            <w:pPr>
              <w:rPr>
                <w:lang w:val="fr-FR"/>
              </w:rPr>
            </w:pPr>
            <w:r w:rsidRPr="00653BF4">
              <w:rPr>
                <w:lang w:val="fr-FR"/>
              </w:rPr>
              <w:t>Des progrès sont réalisés dans l</w:t>
            </w:r>
            <w:r w:rsidR="00D77549">
              <w:rPr>
                <w:lang w:val="fr-FR"/>
              </w:rPr>
              <w:t>’</w:t>
            </w:r>
            <w:r w:rsidRPr="00653BF4">
              <w:rPr>
                <w:lang w:val="fr-FR"/>
              </w:rPr>
              <w:t xml:space="preserve">établissement et la mise en œuvre de mesures de prévention des risques biotechnologiques, mais ceux-ci restent inégaux et certains éléments de la </w:t>
            </w:r>
            <w:r w:rsidR="00E34DC9">
              <w:rPr>
                <w:lang w:val="fr-FR"/>
              </w:rPr>
              <w:t>cible 1</w:t>
            </w:r>
            <w:r w:rsidRPr="00653BF4">
              <w:rPr>
                <w:lang w:val="fr-FR"/>
              </w:rPr>
              <w:t>7 ne sont pas encore suffisamment pris en compte. Une majorité de Parties ont fixé des cibles nationales portant sur les éléments liés à l</w:t>
            </w:r>
            <w:r w:rsidR="00D77549">
              <w:rPr>
                <w:lang w:val="fr-FR"/>
              </w:rPr>
              <w:t>’</w:t>
            </w:r>
            <w:r w:rsidRPr="00653BF4">
              <w:rPr>
                <w:lang w:val="fr-FR"/>
              </w:rPr>
              <w:t>établissement et à la mise en œuvre de mesures de prévention des risques biotechnologiques, tandis que les éléments liés à l</w:t>
            </w:r>
            <w:r w:rsidR="00D77549">
              <w:rPr>
                <w:lang w:val="fr-FR"/>
              </w:rPr>
              <w:t>’</w:t>
            </w:r>
            <w:r w:rsidRPr="00653BF4">
              <w:rPr>
                <w:lang w:val="fr-FR"/>
              </w:rPr>
              <w:t>article 19, concernant la gestion des biotechnologies et le partage des avantages qui en découlent, ne font toujours pas l</w:t>
            </w:r>
            <w:r w:rsidR="00D77549">
              <w:rPr>
                <w:lang w:val="fr-FR"/>
              </w:rPr>
              <w:t>’</w:t>
            </w:r>
            <w:r w:rsidRPr="00653BF4">
              <w:rPr>
                <w:lang w:val="fr-FR"/>
              </w:rPr>
              <w:t>objet de mesures. Les Parties rapportent que 37</w:t>
            </w:r>
            <w:r w:rsidR="002878D7">
              <w:rPr>
                <w:lang w:val="fr-FR"/>
              </w:rPr>
              <w:t> %</w:t>
            </w:r>
            <w:r w:rsidRPr="00653BF4">
              <w:rPr>
                <w:lang w:val="fr-FR"/>
              </w:rPr>
              <w:t xml:space="preserve"> des cibles nationales présentées comme étroitement alignées sur la </w:t>
            </w:r>
            <w:r w:rsidR="00E34DC9">
              <w:rPr>
                <w:lang w:val="fr-FR"/>
              </w:rPr>
              <w:t>cible 1</w:t>
            </w:r>
            <w:r w:rsidRPr="00653BF4">
              <w:rPr>
                <w:lang w:val="fr-FR"/>
              </w:rPr>
              <w:t>7 sont en voie d</w:t>
            </w:r>
            <w:r w:rsidR="00D77549">
              <w:rPr>
                <w:lang w:val="fr-FR"/>
              </w:rPr>
              <w:t>’</w:t>
            </w:r>
            <w:r w:rsidRPr="00653BF4">
              <w:rPr>
                <w:lang w:val="fr-FR"/>
              </w:rPr>
              <w:t>être atteintes et 5</w:t>
            </w:r>
            <w:r w:rsidR="002878D7">
              <w:rPr>
                <w:lang w:val="fr-FR"/>
              </w:rPr>
              <w:t> %</w:t>
            </w:r>
            <w:r w:rsidRPr="00653BF4">
              <w:rPr>
                <w:lang w:val="fr-FR"/>
              </w:rPr>
              <w:t xml:space="preserve"> sont déjà atteintes. Seules quelques Parties ont communiqué des données et des indicateurs associés à la </w:t>
            </w:r>
            <w:r w:rsidR="00E34DC9">
              <w:rPr>
                <w:lang w:val="fr-FR"/>
              </w:rPr>
              <w:t>cible 1</w:t>
            </w:r>
            <w:r w:rsidRPr="00653BF4">
              <w:rPr>
                <w:lang w:val="fr-FR"/>
              </w:rPr>
              <w:t>7. Parmi les principaux défis signalés figurent l</w:t>
            </w:r>
            <w:r w:rsidR="00D77549">
              <w:rPr>
                <w:lang w:val="fr-FR"/>
              </w:rPr>
              <w:t>’</w:t>
            </w:r>
            <w:r w:rsidRPr="00653BF4">
              <w:rPr>
                <w:lang w:val="fr-FR"/>
              </w:rPr>
              <w:t>adéquation, la mise en œuvre et l</w:t>
            </w:r>
            <w:r w:rsidR="00D77549">
              <w:rPr>
                <w:lang w:val="fr-FR"/>
              </w:rPr>
              <w:t>’</w:t>
            </w:r>
            <w:r w:rsidRPr="00653BF4">
              <w:rPr>
                <w:lang w:val="fr-FR"/>
              </w:rPr>
              <w:t>application des cadres juridiques et réglementaires, les capacités et l</w:t>
            </w:r>
            <w:r w:rsidR="00D77549">
              <w:rPr>
                <w:lang w:val="fr-FR"/>
              </w:rPr>
              <w:t>’</w:t>
            </w:r>
            <w:r w:rsidRPr="00653BF4">
              <w:rPr>
                <w:lang w:val="fr-FR"/>
              </w:rPr>
              <w:t>accès aux installations de laboratoire, ainsi que la dépendance vis-à-vis du financement externe des projets.</w:t>
            </w:r>
          </w:p>
          <w:p w14:paraId="7E58F539" w14:textId="77777777" w:rsidR="00B87039" w:rsidRPr="00653BF4" w:rsidRDefault="00B87039" w:rsidP="00557FB3">
            <w:pPr>
              <w:rPr>
                <w:lang w:val="fr-FR"/>
              </w:rPr>
            </w:pPr>
          </w:p>
        </w:tc>
      </w:tr>
    </w:tbl>
    <w:p w14:paraId="5074989A" w14:textId="77777777" w:rsidR="00B87039" w:rsidRPr="00653BF4" w:rsidRDefault="00B87039" w:rsidP="00B87039">
      <w:pPr>
        <w:rPr>
          <w:lang w:val="fr-FR"/>
        </w:rPr>
      </w:pPr>
    </w:p>
    <w:p w14:paraId="240F1B85" w14:textId="34E0B88B" w:rsidR="00B87039" w:rsidRPr="00653BF4" w:rsidRDefault="00B87039" w:rsidP="00B87039">
      <w:pPr>
        <w:pStyle w:val="Heading5"/>
        <w:rPr>
          <w:lang w:val="fr-FR"/>
        </w:rPr>
      </w:pPr>
      <w:bookmarkStart w:id="333" w:name="_Ref231219511"/>
      <w:r w:rsidRPr="00653BF4">
        <w:rPr>
          <w:lang w:val="fr-FR"/>
        </w:rPr>
        <w:t xml:space="preserve">Prise en compte par les Parties de la portée de la </w:t>
      </w:r>
      <w:r w:rsidR="00E34DC9">
        <w:rPr>
          <w:lang w:val="fr-FR"/>
        </w:rPr>
        <w:t>cible 1</w:t>
      </w:r>
      <w:r w:rsidRPr="00653BF4">
        <w:rPr>
          <w:lang w:val="fr-FR"/>
        </w:rPr>
        <w:t>7 du Cadre dans leurs cibles nationales</w:t>
      </w:r>
    </w:p>
    <w:p w14:paraId="729F9368" w14:textId="77777777" w:rsidR="00B87039" w:rsidRPr="00653BF4" w:rsidRDefault="00B87039" w:rsidP="00B87039">
      <w:pPr>
        <w:rPr>
          <w:lang w:val="fr-FR"/>
        </w:rPr>
      </w:pPr>
    </w:p>
    <w:p w14:paraId="6EE6F1AB" w14:textId="77777777" w:rsidR="00B87039" w:rsidRPr="00653BF4" w:rsidRDefault="00B87039" w:rsidP="00B87039">
      <w:pPr>
        <w:rPr>
          <w:sz w:val="20"/>
          <w:szCs w:val="20"/>
          <w:lang w:val="fr-FR"/>
        </w:rPr>
      </w:pPr>
      <w:bookmarkStart w:id="334" w:name="_Ref238744479"/>
      <w:r w:rsidRPr="00653BF4">
        <w:rPr>
          <w:sz w:val="20"/>
          <w:szCs w:val="20"/>
          <w:lang w:val="fr-FR"/>
        </w:rPr>
        <w:t>Tableau 37</w:t>
      </w:r>
      <w:bookmarkEnd w:id="334"/>
    </w:p>
    <w:p w14:paraId="2CD214C0" w14:textId="2BB4546E" w:rsidR="00B87039" w:rsidRPr="00653BF4" w:rsidRDefault="00B87039" w:rsidP="00B87039">
      <w:pPr>
        <w:pStyle w:val="Caption"/>
        <w:keepNext/>
        <w:rPr>
          <w:i w:val="0"/>
          <w:sz w:val="20"/>
          <w:szCs w:val="20"/>
          <w:lang w:val="fr-FR"/>
        </w:rPr>
      </w:pPr>
      <w:r w:rsidRPr="00653BF4">
        <w:rPr>
          <w:b/>
          <w:i w:val="0"/>
          <w:sz w:val="20"/>
          <w:szCs w:val="20"/>
          <w:lang w:val="fr-FR"/>
        </w:rPr>
        <w:lastRenderedPageBreak/>
        <w:t xml:space="preserve">Éléments de la </w:t>
      </w:r>
      <w:r w:rsidR="00E34DC9">
        <w:rPr>
          <w:b/>
          <w:i w:val="0"/>
          <w:sz w:val="20"/>
          <w:szCs w:val="20"/>
          <w:lang w:val="fr-FR"/>
        </w:rPr>
        <w:t>cible 1</w:t>
      </w:r>
      <w:r w:rsidRPr="00653BF4">
        <w:rPr>
          <w:b/>
          <w:i w:val="0"/>
          <w:sz w:val="20"/>
          <w:szCs w:val="20"/>
          <w:lang w:val="fr-FR"/>
        </w:rPr>
        <w:t xml:space="preserve">7 du Cadre et </w:t>
      </w:r>
      <w:r w:rsidRPr="00653BF4">
        <w:rPr>
          <w:b/>
          <w:bCs/>
          <w:i w:val="0"/>
          <w:iCs w:val="0"/>
          <w:sz w:val="20"/>
          <w:szCs w:val="20"/>
          <w:lang w:val="fr-FR"/>
        </w:rPr>
        <w:t>leur prise en compte dans les cibles nationales</w:t>
      </w:r>
      <w:r w:rsidRPr="00653BF4">
        <w:rPr>
          <w:i w:val="0"/>
          <w:iCs w:val="0"/>
          <w:sz w:val="20"/>
          <w:szCs w:val="20"/>
          <w:vertAlign w:val="superscript"/>
          <w:lang w:val="fr-FR"/>
        </w:rPr>
        <w:t>a</w:t>
      </w:r>
    </w:p>
    <w:bookmarkEnd w:id="333"/>
    <w:p w14:paraId="1272C552"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8359"/>
        <w:gridCol w:w="657"/>
      </w:tblGrid>
      <w:tr w:rsidR="00B87039" w:rsidRPr="00653BF4" w14:paraId="5A3DFCE6" w14:textId="77777777" w:rsidTr="00557FB3">
        <w:tc>
          <w:tcPr>
            <w:tcW w:w="8359" w:type="dxa"/>
          </w:tcPr>
          <w:p w14:paraId="58089DC6" w14:textId="764CCA03"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Créer, dans tous les pays, des mesures de prévention des risques biotechnologiques prévues à l</w:t>
            </w:r>
            <w:r w:rsidR="00D77549">
              <w:rPr>
                <w:rFonts w:cs="Times New Roman"/>
                <w:kern w:val="0"/>
                <w:sz w:val="22"/>
                <w:szCs w:val="22"/>
                <w:lang w:val="fr-FR"/>
              </w:rPr>
              <w:t>’</w:t>
            </w:r>
            <w:r w:rsidRPr="00653BF4">
              <w:rPr>
                <w:rFonts w:cs="Times New Roman"/>
                <w:kern w:val="0"/>
                <w:sz w:val="22"/>
                <w:szCs w:val="22"/>
                <w:lang w:val="fr-FR"/>
              </w:rPr>
              <w:t>article 8 g) de la Convention sur la diversité biologique</w:t>
            </w:r>
          </w:p>
          <w:p w14:paraId="5D999D9A" w14:textId="77777777" w:rsidR="00B87039" w:rsidRPr="00653BF4" w:rsidRDefault="00B87039" w:rsidP="00557FB3">
            <w:pPr>
              <w:rPr>
                <w:sz w:val="22"/>
                <w:szCs w:val="22"/>
                <w:lang w:val="fr-FR"/>
              </w:rPr>
            </w:pPr>
          </w:p>
        </w:tc>
        <w:tc>
          <w:tcPr>
            <w:tcW w:w="657" w:type="dxa"/>
            <w:shd w:val="clear" w:color="auto" w:fill="92D050"/>
          </w:tcPr>
          <w:p w14:paraId="694013A1" w14:textId="77777777" w:rsidR="00B87039" w:rsidRPr="00653BF4" w:rsidRDefault="00B87039" w:rsidP="00557FB3">
            <w:pPr>
              <w:rPr>
                <w:sz w:val="22"/>
                <w:szCs w:val="22"/>
                <w:lang w:val="fr-FR"/>
              </w:rPr>
            </w:pPr>
            <w:r w:rsidRPr="00653BF4">
              <w:rPr>
                <w:sz w:val="22"/>
                <w:szCs w:val="22"/>
                <w:lang w:val="fr-FR"/>
              </w:rPr>
              <w:t>62</w:t>
            </w:r>
          </w:p>
        </w:tc>
      </w:tr>
      <w:tr w:rsidR="00B87039" w:rsidRPr="00653BF4" w14:paraId="6E37A810" w14:textId="77777777" w:rsidTr="00557FB3">
        <w:tc>
          <w:tcPr>
            <w:tcW w:w="8359" w:type="dxa"/>
          </w:tcPr>
          <w:p w14:paraId="171BF599" w14:textId="34D02EB8"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Renforcer les capacités, dans tous les pays, pour les mesures de prévention des risques biotechnologiques prévues à l</w:t>
            </w:r>
            <w:r w:rsidR="00D77549">
              <w:rPr>
                <w:rFonts w:cs="Times New Roman"/>
                <w:kern w:val="0"/>
                <w:sz w:val="22"/>
                <w:szCs w:val="22"/>
                <w:lang w:val="fr-FR"/>
              </w:rPr>
              <w:t>’</w:t>
            </w:r>
            <w:r w:rsidRPr="00653BF4">
              <w:rPr>
                <w:rFonts w:cs="Times New Roman"/>
                <w:kern w:val="0"/>
                <w:sz w:val="22"/>
                <w:szCs w:val="22"/>
                <w:lang w:val="fr-FR"/>
              </w:rPr>
              <w:t xml:space="preserve">article 8 g) de la Convention </w:t>
            </w:r>
          </w:p>
          <w:p w14:paraId="26A9B398" w14:textId="77777777" w:rsidR="00B87039" w:rsidRPr="00653BF4" w:rsidRDefault="00B87039" w:rsidP="00557FB3">
            <w:pPr>
              <w:rPr>
                <w:sz w:val="22"/>
                <w:szCs w:val="22"/>
                <w:lang w:val="fr-FR"/>
              </w:rPr>
            </w:pPr>
          </w:p>
        </w:tc>
        <w:tc>
          <w:tcPr>
            <w:tcW w:w="657" w:type="dxa"/>
            <w:shd w:val="clear" w:color="auto" w:fill="FFFF00"/>
          </w:tcPr>
          <w:p w14:paraId="575B8CDC" w14:textId="77777777" w:rsidR="00B87039" w:rsidRPr="00653BF4" w:rsidRDefault="00B87039" w:rsidP="00557FB3">
            <w:pPr>
              <w:rPr>
                <w:sz w:val="22"/>
                <w:szCs w:val="22"/>
                <w:lang w:val="fr-FR"/>
              </w:rPr>
            </w:pPr>
            <w:r w:rsidRPr="00653BF4">
              <w:rPr>
                <w:sz w:val="22"/>
                <w:szCs w:val="22"/>
                <w:lang w:val="fr-FR"/>
              </w:rPr>
              <w:t>48</w:t>
            </w:r>
          </w:p>
        </w:tc>
      </w:tr>
      <w:tr w:rsidR="00B87039" w:rsidRPr="00653BF4" w14:paraId="495F83A2" w14:textId="77777777" w:rsidTr="00557FB3">
        <w:tc>
          <w:tcPr>
            <w:tcW w:w="8359" w:type="dxa"/>
          </w:tcPr>
          <w:p w14:paraId="68376D57" w14:textId="733471A9"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Appliquer, dans tous les pays, les mesures de prévention des risques biotechnologiques prévues à l</w:t>
            </w:r>
            <w:r w:rsidR="00D77549">
              <w:rPr>
                <w:rFonts w:cs="Times New Roman"/>
                <w:kern w:val="0"/>
                <w:sz w:val="22"/>
                <w:szCs w:val="22"/>
                <w:lang w:val="fr-FR"/>
              </w:rPr>
              <w:t>’</w:t>
            </w:r>
            <w:r w:rsidRPr="00653BF4">
              <w:rPr>
                <w:rFonts w:cs="Times New Roman"/>
                <w:kern w:val="0"/>
                <w:sz w:val="22"/>
                <w:szCs w:val="22"/>
                <w:lang w:val="fr-FR"/>
              </w:rPr>
              <w:t xml:space="preserve">article 8 g) de la Convention </w:t>
            </w:r>
          </w:p>
          <w:p w14:paraId="316A8271" w14:textId="77777777" w:rsidR="00B87039" w:rsidRPr="00653BF4" w:rsidRDefault="00B87039" w:rsidP="00557FB3">
            <w:pPr>
              <w:rPr>
                <w:sz w:val="22"/>
                <w:szCs w:val="22"/>
                <w:lang w:val="fr-FR"/>
              </w:rPr>
            </w:pPr>
          </w:p>
        </w:tc>
        <w:tc>
          <w:tcPr>
            <w:tcW w:w="657" w:type="dxa"/>
            <w:shd w:val="clear" w:color="auto" w:fill="92D050"/>
          </w:tcPr>
          <w:p w14:paraId="5E1AE8BD" w14:textId="77777777" w:rsidR="00B87039" w:rsidRPr="00653BF4" w:rsidRDefault="00B87039" w:rsidP="00557FB3">
            <w:pPr>
              <w:rPr>
                <w:sz w:val="22"/>
                <w:szCs w:val="22"/>
                <w:lang w:val="fr-FR"/>
              </w:rPr>
            </w:pPr>
            <w:r w:rsidRPr="00653BF4">
              <w:rPr>
                <w:sz w:val="22"/>
                <w:szCs w:val="22"/>
                <w:lang w:val="fr-FR"/>
              </w:rPr>
              <w:t>63</w:t>
            </w:r>
          </w:p>
        </w:tc>
      </w:tr>
      <w:tr w:rsidR="00B87039" w:rsidRPr="00653BF4" w14:paraId="7A0EBB9A" w14:textId="77777777" w:rsidTr="00557FB3">
        <w:tc>
          <w:tcPr>
            <w:tcW w:w="8359" w:type="dxa"/>
          </w:tcPr>
          <w:p w14:paraId="7049CA0C" w14:textId="1EF68DA1"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Créer, dans tous les pays, des mesures relatives à la gestion des biotechnologies et au partage de leurs avantages prévues à l</w:t>
            </w:r>
            <w:r w:rsidR="00D77549">
              <w:rPr>
                <w:rFonts w:cs="Times New Roman"/>
                <w:kern w:val="0"/>
                <w:sz w:val="22"/>
                <w:szCs w:val="22"/>
                <w:lang w:val="fr-FR"/>
              </w:rPr>
              <w:t>’</w:t>
            </w:r>
            <w:r w:rsidRPr="00653BF4">
              <w:rPr>
                <w:rFonts w:cs="Times New Roman"/>
                <w:kern w:val="0"/>
                <w:sz w:val="22"/>
                <w:szCs w:val="22"/>
                <w:lang w:val="fr-FR"/>
              </w:rPr>
              <w:t>article 19 de la Convention</w:t>
            </w:r>
          </w:p>
          <w:p w14:paraId="59D91349" w14:textId="77777777" w:rsidR="00B87039" w:rsidRPr="00653BF4" w:rsidRDefault="00B87039" w:rsidP="00557FB3">
            <w:pPr>
              <w:rPr>
                <w:sz w:val="22"/>
                <w:szCs w:val="22"/>
                <w:lang w:val="fr-FR"/>
              </w:rPr>
            </w:pPr>
          </w:p>
        </w:tc>
        <w:tc>
          <w:tcPr>
            <w:tcW w:w="657" w:type="dxa"/>
            <w:shd w:val="clear" w:color="auto" w:fill="FFFF00"/>
          </w:tcPr>
          <w:p w14:paraId="77C5CB21" w14:textId="77777777" w:rsidR="00B87039" w:rsidRPr="00653BF4" w:rsidRDefault="00B87039" w:rsidP="00557FB3">
            <w:pPr>
              <w:rPr>
                <w:sz w:val="22"/>
                <w:szCs w:val="22"/>
                <w:lang w:val="fr-FR"/>
              </w:rPr>
            </w:pPr>
            <w:r w:rsidRPr="00653BF4">
              <w:rPr>
                <w:sz w:val="22"/>
                <w:szCs w:val="22"/>
                <w:lang w:val="fr-FR"/>
              </w:rPr>
              <w:t>47</w:t>
            </w:r>
          </w:p>
        </w:tc>
      </w:tr>
      <w:tr w:rsidR="00B87039" w:rsidRPr="00653BF4" w14:paraId="31473965" w14:textId="77777777" w:rsidTr="00557FB3">
        <w:tc>
          <w:tcPr>
            <w:tcW w:w="8359" w:type="dxa"/>
          </w:tcPr>
          <w:p w14:paraId="224004A6" w14:textId="7B2CE7E3"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Renforcer les capacités, dans tous les pays, pour les mesures relatives à la gestion des biotechnologies et au partage de leurs avantages prévues à l</w:t>
            </w:r>
            <w:r w:rsidR="00D77549">
              <w:rPr>
                <w:rFonts w:cs="Times New Roman"/>
                <w:kern w:val="0"/>
                <w:sz w:val="22"/>
                <w:szCs w:val="22"/>
                <w:lang w:val="fr-FR"/>
              </w:rPr>
              <w:t>’</w:t>
            </w:r>
            <w:r w:rsidRPr="00653BF4">
              <w:rPr>
                <w:rFonts w:cs="Times New Roman"/>
                <w:kern w:val="0"/>
                <w:sz w:val="22"/>
                <w:szCs w:val="22"/>
                <w:lang w:val="fr-FR"/>
              </w:rPr>
              <w:t>article 19 de la Convention</w:t>
            </w:r>
          </w:p>
        </w:tc>
        <w:tc>
          <w:tcPr>
            <w:tcW w:w="657" w:type="dxa"/>
            <w:shd w:val="clear" w:color="auto" w:fill="FFC000"/>
          </w:tcPr>
          <w:p w14:paraId="0CFF17F8" w14:textId="77777777" w:rsidR="00B87039" w:rsidRPr="00653BF4" w:rsidRDefault="00B87039" w:rsidP="00557FB3">
            <w:pPr>
              <w:rPr>
                <w:sz w:val="22"/>
                <w:szCs w:val="22"/>
                <w:lang w:val="fr-FR"/>
              </w:rPr>
            </w:pPr>
            <w:r w:rsidRPr="00653BF4">
              <w:rPr>
                <w:sz w:val="22"/>
                <w:szCs w:val="22"/>
                <w:lang w:val="fr-FR"/>
              </w:rPr>
              <w:t>30</w:t>
            </w:r>
          </w:p>
        </w:tc>
      </w:tr>
      <w:tr w:rsidR="00B87039" w:rsidRPr="00653BF4" w14:paraId="57657CF3" w14:textId="77777777" w:rsidTr="00557FB3">
        <w:tc>
          <w:tcPr>
            <w:tcW w:w="8359" w:type="dxa"/>
          </w:tcPr>
          <w:p w14:paraId="1471A94B" w14:textId="28CAE576"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Appliquer, dans tous les pays, des mesures relatives à la gestion des biotechnologies et au partage de leurs avantages prévues à l</w:t>
            </w:r>
            <w:r w:rsidR="00D77549">
              <w:rPr>
                <w:rFonts w:cs="Times New Roman"/>
                <w:kern w:val="0"/>
                <w:sz w:val="22"/>
                <w:szCs w:val="22"/>
                <w:lang w:val="fr-FR"/>
              </w:rPr>
              <w:t>’</w:t>
            </w:r>
            <w:r w:rsidRPr="00653BF4">
              <w:rPr>
                <w:rFonts w:cs="Times New Roman"/>
                <w:kern w:val="0"/>
                <w:sz w:val="22"/>
                <w:szCs w:val="22"/>
                <w:lang w:val="fr-FR"/>
              </w:rPr>
              <w:t>article 19 de la Convention</w:t>
            </w:r>
          </w:p>
          <w:p w14:paraId="67784E4D" w14:textId="77777777" w:rsidR="00B87039" w:rsidRPr="00653BF4" w:rsidRDefault="00B87039" w:rsidP="00557FB3">
            <w:pPr>
              <w:rPr>
                <w:sz w:val="22"/>
                <w:szCs w:val="22"/>
                <w:lang w:val="fr-FR"/>
              </w:rPr>
            </w:pPr>
          </w:p>
        </w:tc>
        <w:tc>
          <w:tcPr>
            <w:tcW w:w="657" w:type="dxa"/>
            <w:shd w:val="clear" w:color="auto" w:fill="FFFF00"/>
          </w:tcPr>
          <w:p w14:paraId="0D60D8AF" w14:textId="77777777" w:rsidR="00B87039" w:rsidRPr="00653BF4" w:rsidRDefault="00B87039" w:rsidP="00557FB3">
            <w:pPr>
              <w:rPr>
                <w:sz w:val="22"/>
                <w:szCs w:val="22"/>
                <w:lang w:val="fr-FR"/>
              </w:rPr>
            </w:pPr>
            <w:r w:rsidRPr="00653BF4">
              <w:rPr>
                <w:sz w:val="22"/>
                <w:szCs w:val="22"/>
                <w:lang w:val="fr-FR"/>
              </w:rPr>
              <w:t>49</w:t>
            </w:r>
          </w:p>
        </w:tc>
      </w:tr>
      <w:tr w:rsidR="00B87039" w:rsidRPr="00543148" w14:paraId="68506805" w14:textId="77777777" w:rsidTr="00557FB3">
        <w:tc>
          <w:tcPr>
            <w:tcW w:w="9016" w:type="dxa"/>
            <w:gridSpan w:val="2"/>
          </w:tcPr>
          <w:p w14:paraId="6B776C23" w14:textId="77777777" w:rsidR="00B87039" w:rsidRPr="00653BF4" w:rsidRDefault="00B87039" w:rsidP="00557FB3">
            <w:pPr>
              <w:pStyle w:val="p1"/>
              <w:keepNext/>
              <w:rPr>
                <w:rFonts w:asciiTheme="minorHAnsi" w:hAnsiTheme="minorHAnsi"/>
                <w:b/>
                <w:bCs/>
                <w:sz w:val="22"/>
                <w:szCs w:val="22"/>
                <w:lang w:val="fr-FR"/>
              </w:rPr>
            </w:pPr>
          </w:p>
          <w:p w14:paraId="5F7C7033" w14:textId="2A5F31F5"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50</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43E94D89" w14:textId="77777777" w:rsidR="00B87039" w:rsidRPr="00653BF4" w:rsidRDefault="00B87039" w:rsidP="00557FB3">
            <w:pPr>
              <w:rPr>
                <w:sz w:val="22"/>
                <w:szCs w:val="22"/>
                <w:lang w:val="fr-FR"/>
              </w:rPr>
            </w:pPr>
          </w:p>
        </w:tc>
      </w:tr>
    </w:tbl>
    <w:p w14:paraId="6FB36D31" w14:textId="77777777" w:rsidR="00B87039" w:rsidRPr="00653BF4" w:rsidRDefault="00B87039" w:rsidP="00B87039">
      <w:pPr>
        <w:rPr>
          <w:lang w:val="fr-FR"/>
        </w:rPr>
      </w:pPr>
    </w:p>
    <w:p w14:paraId="5170E7C9" w14:textId="4C7193CD" w:rsidR="00B87039" w:rsidRPr="00653BF4" w:rsidRDefault="00B87039" w:rsidP="00B87039">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w:t>
      </w:r>
      <w:r w:rsidR="00D77549">
        <w:rPr>
          <w:iCs/>
          <w:sz w:val="16"/>
          <w:szCs w:val="16"/>
          <w:lang w:val="fr-FR"/>
        </w:rPr>
        <w:t>’</w:t>
      </w:r>
      <w:r w:rsidRPr="00653BF4">
        <w:rPr>
          <w:iCs/>
          <w:sz w:val="16"/>
          <w:szCs w:val="16"/>
          <w:lang w:val="fr-FR"/>
        </w:rPr>
        <w:t>élément, au moins partiellement.</w:t>
      </w:r>
    </w:p>
    <w:p w14:paraId="7378F4F0" w14:textId="73C52781" w:rsidR="00B87039" w:rsidRPr="00653BF4" w:rsidRDefault="00B87039" w:rsidP="00B8703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cs="Segoe UI"/>
          <w:sz w:val="16"/>
          <w:szCs w:val="16"/>
          <w:lang w:val="fr-FR"/>
        </w:rPr>
        <w:t xml:space="preserve"> Les éléments de chaque cible ont été définis par le Groupe spécial d</w:t>
      </w:r>
      <w:r w:rsidR="00D77549">
        <w:rPr>
          <w:rStyle w:val="normaltextrun"/>
          <w:rFonts w:cs="Segoe UI"/>
          <w:sz w:val="16"/>
          <w:szCs w:val="16"/>
          <w:lang w:val="fr-FR"/>
        </w:rPr>
        <w:t>’</w:t>
      </w:r>
      <w:r w:rsidRPr="00653BF4">
        <w:rPr>
          <w:rStyle w:val="normaltextrun"/>
          <w:rFonts w:cs="Segoe UI"/>
          <w:sz w:val="16"/>
          <w:szCs w:val="16"/>
          <w:lang w:val="fr-FR"/>
        </w:rPr>
        <w:t xml:space="preserve">experts techniques sur les indicateurs du Cadre mondial de la biodiversité de Kunming-Montréal (voir annexe I du document </w:t>
      </w:r>
      <w:hyperlink r:id="rId178" w:history="1">
        <w:r w:rsidRPr="00653BF4">
          <w:rPr>
            <w:rStyle w:val="Hyperlink"/>
            <w:rFonts w:ascii="Aptos" w:hAnsi="Aptos" w:cs="Segoe UI"/>
            <w:sz w:val="16"/>
            <w:szCs w:val="16"/>
            <w:lang w:val="fr-FR"/>
          </w:rPr>
          <w:t>CBD/COP/16/INF/4</w:t>
        </w:r>
      </w:hyperlink>
      <w:r w:rsidR="00E34DC9">
        <w:rPr>
          <w:rStyle w:val="normaltextrun"/>
          <w:rFonts w:cs="Segoe UI"/>
          <w:sz w:val="16"/>
          <w:szCs w:val="16"/>
          <w:lang w:val="fr-FR"/>
        </w:rPr>
        <w:t> ;</w:t>
      </w:r>
      <w:r w:rsidRPr="00653BF4">
        <w:rPr>
          <w:rFonts w:ascii="Aptos" w:hAnsi="Aptos" w:cs="Segoe UI"/>
          <w:sz w:val="16"/>
          <w:szCs w:val="16"/>
          <w:lang w:val="fr-FR"/>
        </w:rPr>
        <w:t xml:space="preserve"> et Affinito </w:t>
      </w:r>
      <w:r w:rsidRPr="00653BF4">
        <w:rPr>
          <w:rFonts w:ascii="Aptos" w:hAnsi="Aptos" w:cs="Segoe UI"/>
          <w:i/>
          <w:iCs/>
          <w:sz w:val="16"/>
          <w:szCs w:val="16"/>
          <w:lang w:val="fr-FR"/>
        </w:rPr>
        <w:t>et al.</w:t>
      </w:r>
      <w:r w:rsidRPr="00653BF4">
        <w:rPr>
          <w:rFonts w:ascii="Aptos" w:hAnsi="Aptos" w:cs="Segoe UI"/>
          <w:sz w:val="16"/>
          <w:szCs w:val="16"/>
          <w:lang w:val="fr-FR"/>
        </w:rPr>
        <w:t>, 2025).</w:t>
      </w:r>
      <w:r w:rsidRPr="00653BF4">
        <w:rPr>
          <w:rStyle w:val="normaltextrun"/>
          <w:rFonts w:cs="Segoe UI"/>
          <w:sz w:val="16"/>
          <w:szCs w:val="16"/>
          <w:lang w:val="fr-FR"/>
        </w:rPr>
        <w:t>La méthode détaillée employée pour l</w:t>
      </w:r>
      <w:r w:rsidR="00D77549">
        <w:rPr>
          <w:rStyle w:val="normaltextrun"/>
          <w:rFonts w:cs="Segoe UI"/>
          <w:sz w:val="16"/>
          <w:szCs w:val="16"/>
          <w:lang w:val="fr-FR"/>
        </w:rPr>
        <w:t>’</w:t>
      </w:r>
      <w:r w:rsidRPr="00653BF4">
        <w:rPr>
          <w:rStyle w:val="normaltextrun"/>
          <w:rFonts w:cs="Segoe UI"/>
          <w:sz w:val="16"/>
          <w:szCs w:val="16"/>
          <w:lang w:val="fr-FR"/>
        </w:rPr>
        <w:t>analyse des cibles nationales est présentée dans le document </w:t>
      </w:r>
      <w:hyperlink r:id="rId179" w:history="1">
        <w:r w:rsidRPr="00653BF4">
          <w:rPr>
            <w:rStyle w:val="Hyperlink"/>
            <w:rFonts w:ascii="Aptos" w:hAnsi="Aptos" w:cs="Segoe UI"/>
            <w:sz w:val="16"/>
            <w:szCs w:val="16"/>
            <w:lang w:val="fr-FR"/>
          </w:rPr>
          <w:t>CBD/SBI/7/INF/22</w:t>
        </w:r>
      </w:hyperlink>
      <w:r w:rsidRPr="00653BF4">
        <w:rPr>
          <w:rStyle w:val="normaltextrun"/>
          <w:rFonts w:cs="Segoe UI"/>
          <w:sz w:val="16"/>
          <w:szCs w:val="16"/>
          <w:lang w:val="fr-FR"/>
        </w:rPr>
        <w:t xml:space="preserve">. </w:t>
      </w:r>
    </w:p>
    <w:p w14:paraId="0259A31D" w14:textId="77777777" w:rsidR="00B87039" w:rsidRPr="00653BF4" w:rsidRDefault="00B87039" w:rsidP="00B87039">
      <w:pPr>
        <w:rPr>
          <w:lang w:val="fr-FR"/>
        </w:rPr>
      </w:pPr>
    </w:p>
    <w:p w14:paraId="43D32FD4" w14:textId="206EE436" w:rsidR="00B87039" w:rsidRPr="00653BF4" w:rsidRDefault="00B87039" w:rsidP="00B87039">
      <w:pPr>
        <w:rPr>
          <w:lang w:val="fr-FR"/>
        </w:rPr>
      </w:pPr>
      <w:r w:rsidRPr="00653BF4">
        <w:rPr>
          <w:lang w:val="fr-FR"/>
        </w:rPr>
        <w:t>Une majorité des Parties traitent, au moins partiellement, des éléments liés à la création (62</w:t>
      </w:r>
      <w:r w:rsidR="002878D7">
        <w:rPr>
          <w:lang w:val="fr-FR"/>
        </w:rPr>
        <w:t> %</w:t>
      </w:r>
      <w:r w:rsidRPr="00653BF4">
        <w:rPr>
          <w:lang w:val="fr-FR"/>
        </w:rPr>
        <w:t xml:space="preserve"> des Parties) et à l</w:t>
      </w:r>
      <w:r w:rsidR="00D77549">
        <w:rPr>
          <w:lang w:val="fr-FR"/>
        </w:rPr>
        <w:t>’</w:t>
      </w:r>
      <w:r w:rsidRPr="00653BF4">
        <w:rPr>
          <w:lang w:val="fr-FR"/>
        </w:rPr>
        <w:t>application (63</w:t>
      </w:r>
      <w:r w:rsidR="002878D7">
        <w:rPr>
          <w:lang w:val="fr-FR"/>
        </w:rPr>
        <w:t> %</w:t>
      </w:r>
      <w:r w:rsidRPr="00653BF4">
        <w:rPr>
          <w:lang w:val="fr-FR"/>
        </w:rPr>
        <w:t xml:space="preserve"> des Parties) des mesures de prévention des risques biotechnologiques prévues à l</w:t>
      </w:r>
      <w:r w:rsidR="00D77549">
        <w:rPr>
          <w:lang w:val="fr-FR"/>
        </w:rPr>
        <w:t>’</w:t>
      </w:r>
      <w:r w:rsidRPr="00653BF4">
        <w:rPr>
          <w:lang w:val="fr-FR"/>
        </w:rPr>
        <w:t>article 8 g), de la Convention (voir le tableau 37). Environ la moitié des Parties ont également fixé des cibles nationales portant spécifiquement sur le renforcement des capacités relatives aux mesures de prévention des risques biotechnologiques (48</w:t>
      </w:r>
      <w:r w:rsidR="002878D7">
        <w:rPr>
          <w:lang w:val="fr-FR"/>
        </w:rPr>
        <w:t> %</w:t>
      </w:r>
      <w:r w:rsidRPr="00653BF4">
        <w:rPr>
          <w:lang w:val="fr-FR"/>
        </w:rPr>
        <w:t>), ou sur la création (47</w:t>
      </w:r>
      <w:r w:rsidR="002878D7">
        <w:rPr>
          <w:lang w:val="fr-FR"/>
        </w:rPr>
        <w:t> %</w:t>
      </w:r>
      <w:r w:rsidRPr="00653BF4">
        <w:rPr>
          <w:lang w:val="fr-FR"/>
        </w:rPr>
        <w:t>) et l</w:t>
      </w:r>
      <w:r w:rsidR="00D77549">
        <w:rPr>
          <w:lang w:val="fr-FR"/>
        </w:rPr>
        <w:t>’</w:t>
      </w:r>
      <w:r w:rsidRPr="00653BF4">
        <w:rPr>
          <w:lang w:val="fr-FR"/>
        </w:rPr>
        <w:t>application (49</w:t>
      </w:r>
      <w:r w:rsidR="002878D7">
        <w:rPr>
          <w:lang w:val="fr-FR"/>
        </w:rPr>
        <w:t> %</w:t>
      </w:r>
      <w:r w:rsidRPr="00653BF4">
        <w:rPr>
          <w:lang w:val="fr-FR"/>
        </w:rPr>
        <w:t>) de mesures relatives à la gestion des biotechnologies et au partage des avantages qui en découlent, comme le prévoit l</w:t>
      </w:r>
      <w:r w:rsidR="00D77549">
        <w:rPr>
          <w:lang w:val="fr-FR"/>
        </w:rPr>
        <w:t>’</w:t>
      </w:r>
      <w:r w:rsidRPr="00653BF4">
        <w:rPr>
          <w:lang w:val="fr-FR"/>
        </w:rPr>
        <w:t>article 19 de la Convention. Moins d’un tiers des Parties (30</w:t>
      </w:r>
      <w:r w:rsidR="002878D7">
        <w:rPr>
          <w:lang w:val="fr-FR"/>
        </w:rPr>
        <w:t> %</w:t>
      </w:r>
      <w:r w:rsidRPr="00653BF4">
        <w:rPr>
          <w:lang w:val="fr-FR"/>
        </w:rPr>
        <w:t>) ont fixé des cibles nationales visant à renforcer les capacités nécessaires à la mise en œuvre de mesures relatives à la gestion des biotechnologies et au partage de leurs avantages.</w:t>
      </w:r>
    </w:p>
    <w:p w14:paraId="17DEBCE0" w14:textId="77777777" w:rsidR="00B87039" w:rsidRPr="00653BF4" w:rsidRDefault="00B87039" w:rsidP="00B87039">
      <w:pPr>
        <w:rPr>
          <w:lang w:val="fr-FR"/>
        </w:rPr>
      </w:pPr>
      <w:r w:rsidRPr="00653BF4">
        <w:rPr>
          <w:lang w:val="fr-FR"/>
        </w:rPr>
        <w:lastRenderedPageBreak/>
        <w:t xml:space="preserve"> </w:t>
      </w:r>
    </w:p>
    <w:p w14:paraId="57009439" w14:textId="2C03D65A" w:rsidR="00B87039" w:rsidRPr="00653BF4" w:rsidRDefault="00B87039" w:rsidP="00B87039">
      <w:pPr>
        <w:pStyle w:val="Heading5"/>
        <w:rPr>
          <w:lang w:val="fr-FR"/>
        </w:rPr>
      </w:pPr>
      <w:bookmarkStart w:id="335" w:name="_Toc235821258"/>
      <w:r w:rsidRPr="00653BF4">
        <w:rPr>
          <w:lang w:val="fr-FR"/>
        </w:rPr>
        <w:t>Indicateurs de progrès</w:t>
      </w:r>
      <w:bookmarkEnd w:id="335"/>
    </w:p>
    <w:p w14:paraId="4C43270C" w14:textId="77777777" w:rsidR="00B87039" w:rsidRPr="00653BF4" w:rsidRDefault="00B87039" w:rsidP="00B87039">
      <w:pPr>
        <w:pStyle w:val="Caption"/>
        <w:rPr>
          <w:i w:val="0"/>
          <w:iCs w:val="0"/>
          <w:sz w:val="20"/>
          <w:szCs w:val="20"/>
          <w:lang w:val="fr-FR"/>
        </w:rPr>
      </w:pPr>
    </w:p>
    <w:p w14:paraId="473DD71E" w14:textId="77777777" w:rsidR="00B87039" w:rsidRPr="00653BF4" w:rsidRDefault="00B87039" w:rsidP="00B87039">
      <w:pPr>
        <w:pStyle w:val="Caption"/>
        <w:rPr>
          <w:i w:val="0"/>
          <w:sz w:val="20"/>
          <w:szCs w:val="20"/>
          <w:lang w:val="fr-FR"/>
        </w:rPr>
      </w:pPr>
      <w:r w:rsidRPr="00653BF4">
        <w:rPr>
          <w:i w:val="0"/>
          <w:iCs w:val="0"/>
          <w:sz w:val="20"/>
          <w:szCs w:val="20"/>
          <w:lang w:val="fr-FR"/>
        </w:rPr>
        <w:t xml:space="preserve">Tableau 38 </w:t>
      </w:r>
    </w:p>
    <w:p w14:paraId="2A7278FC" w14:textId="6AE59568"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1</w:t>
      </w:r>
      <w:r w:rsidRPr="00653BF4">
        <w:rPr>
          <w:b/>
          <w:bCs/>
          <w:i w:val="0"/>
          <w:iCs w:val="0"/>
          <w:sz w:val="20"/>
          <w:szCs w:val="20"/>
          <w:lang w:val="fr-FR"/>
        </w:rPr>
        <w:t>7 du Cadre</w:t>
      </w:r>
    </w:p>
    <w:p w14:paraId="04982248" w14:textId="77777777" w:rsidR="00B87039" w:rsidRPr="00653BF4" w:rsidRDefault="00B87039" w:rsidP="00B87039">
      <w:pPr>
        <w:rPr>
          <w:lang w:val="fr-FR" w:eastAsia="ja-JP"/>
        </w:rPr>
      </w:pPr>
    </w:p>
    <w:tbl>
      <w:tblP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0"/>
        <w:gridCol w:w="3212"/>
        <w:gridCol w:w="672"/>
        <w:gridCol w:w="2600"/>
        <w:gridCol w:w="596"/>
      </w:tblGrid>
      <w:tr w:rsidR="00B87039" w:rsidRPr="00653BF4" w14:paraId="29BC326E" w14:textId="77777777" w:rsidTr="00557FB3">
        <w:trPr>
          <w:trHeight w:val="1050"/>
        </w:trPr>
        <w:tc>
          <w:tcPr>
            <w:tcW w:w="3220" w:type="dxa"/>
            <w:shd w:val="clear" w:color="000000" w:fill="FFFFFF"/>
            <w:vAlign w:val="center"/>
          </w:tcPr>
          <w:p w14:paraId="5B67E99D"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p>
        </w:tc>
        <w:tc>
          <w:tcPr>
            <w:tcW w:w="3884" w:type="dxa"/>
            <w:gridSpan w:val="2"/>
            <w:vAlign w:val="center"/>
          </w:tcPr>
          <w:p w14:paraId="3C7A147C" w14:textId="251DE386" w:rsidR="00B87039" w:rsidRPr="00653BF4" w:rsidRDefault="00E04592" w:rsidP="00557FB3">
            <w:pPr>
              <w:spacing w:after="0" w:line="240" w:lineRule="auto"/>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3196" w:type="dxa"/>
            <w:gridSpan w:val="2"/>
            <w:vAlign w:val="center"/>
          </w:tcPr>
          <w:p w14:paraId="3270BAD4" w14:textId="4525090A" w:rsidR="00B87039" w:rsidRPr="00653BF4" w:rsidRDefault="00A443C9" w:rsidP="00557FB3">
            <w:pPr>
              <w:spacing w:after="0" w:line="240" w:lineRule="auto"/>
              <w:rPr>
                <w:rFonts w:eastAsia="Times New Roman" w:cs="Times New Roman"/>
                <w:color w:val="000000"/>
                <w:kern w:val="0"/>
                <w:sz w:val="20"/>
                <w:szCs w:val="20"/>
                <w:lang w:val="fr-FR" w:eastAsia="en-CA"/>
                <w14:ligatures w14:val="none"/>
              </w:rPr>
            </w:pPr>
            <w:r>
              <w:rPr>
                <w:color w:val="000000"/>
                <w:sz w:val="20"/>
                <w:szCs w:val="20"/>
                <w:lang w:val="fr-FR"/>
              </w:rPr>
              <w:t>Résultats de l’indicateur</w:t>
            </w:r>
          </w:p>
        </w:tc>
      </w:tr>
      <w:tr w:rsidR="00B87039" w:rsidRPr="00543148" w14:paraId="2460F0C9" w14:textId="77777777" w:rsidTr="00557FB3">
        <w:trPr>
          <w:trHeight w:val="1050"/>
        </w:trPr>
        <w:tc>
          <w:tcPr>
            <w:tcW w:w="3220" w:type="dxa"/>
            <w:shd w:val="clear" w:color="000000" w:fill="FFFFFF"/>
            <w:vAlign w:val="center"/>
            <w:hideMark/>
          </w:tcPr>
          <w:p w14:paraId="33E77084" w14:textId="7B3B5B8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binaire 17.b</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nombre de pays qui ont pris des mesures de prévention des risques biotechnologiques prévues à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article 8 g) de la Convention et des mesures relatives à la gestion des biotechnologies et au partage de leurs avantages prévues à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article 19.</w:t>
            </w:r>
          </w:p>
        </w:tc>
        <w:tc>
          <w:tcPr>
            <w:tcW w:w="3212" w:type="dxa"/>
            <w:vAlign w:val="bottom"/>
            <w:hideMark/>
          </w:tcPr>
          <w:p w14:paraId="50D44787"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127 Parties</w:t>
            </w:r>
          </w:p>
        </w:tc>
        <w:tc>
          <w:tcPr>
            <w:tcW w:w="672" w:type="dxa"/>
            <w:hideMark/>
          </w:tcPr>
          <w:p w14:paraId="7AC8DC22" w14:textId="77777777" w:rsidR="00B87039" w:rsidRPr="00653BF4" w:rsidRDefault="00B87039" w:rsidP="00557FB3">
            <w:pPr>
              <w:spacing w:after="0" w:line="240" w:lineRule="auto"/>
              <w:rPr>
                <w:sz w:val="20"/>
                <w:szCs w:val="20"/>
                <w:lang w:val="fr-FR"/>
              </w:rPr>
            </w:pPr>
          </w:p>
          <w:p w14:paraId="06B1F93E" w14:textId="77777777" w:rsidR="00B87039" w:rsidRPr="00653BF4" w:rsidRDefault="00B87039" w:rsidP="00557FB3">
            <w:pPr>
              <w:spacing w:after="0" w:line="240" w:lineRule="auto"/>
              <w:rPr>
                <w:sz w:val="20"/>
                <w:szCs w:val="20"/>
                <w:lang w:val="fr-FR"/>
              </w:rPr>
            </w:pPr>
          </w:p>
          <w:p w14:paraId="74B380C8" w14:textId="77777777" w:rsidR="00B87039" w:rsidRPr="00653BF4" w:rsidRDefault="00B87039" w:rsidP="00557FB3">
            <w:pPr>
              <w:spacing w:after="0" w:line="240" w:lineRule="auto"/>
              <w:rPr>
                <w:sz w:val="20"/>
                <w:szCs w:val="20"/>
                <w:lang w:val="fr-FR"/>
              </w:rPr>
            </w:pPr>
          </w:p>
          <w:p w14:paraId="256080E1" w14:textId="77777777" w:rsidR="00B87039" w:rsidRPr="00653BF4" w:rsidRDefault="00B87039" w:rsidP="00557FB3">
            <w:pPr>
              <w:spacing w:after="0" w:line="240" w:lineRule="auto"/>
              <w:rPr>
                <w:sz w:val="20"/>
                <w:szCs w:val="20"/>
                <w:lang w:val="fr-FR"/>
              </w:rPr>
            </w:pPr>
          </w:p>
          <w:p w14:paraId="023CF3E9" w14:textId="77777777" w:rsidR="00B87039" w:rsidRPr="00653BF4" w:rsidRDefault="00B87039" w:rsidP="00557FB3">
            <w:pPr>
              <w:spacing w:after="0" w:line="240" w:lineRule="auto"/>
              <w:rPr>
                <w:sz w:val="20"/>
                <w:szCs w:val="20"/>
                <w:lang w:val="fr-FR"/>
              </w:rPr>
            </w:pPr>
          </w:p>
          <w:p w14:paraId="7765DFA6" w14:textId="77777777" w:rsidR="00B87039" w:rsidRPr="00653BF4" w:rsidRDefault="00B87039" w:rsidP="00557FB3">
            <w:pPr>
              <w:spacing w:after="0" w:line="240" w:lineRule="auto"/>
              <w:rPr>
                <w:sz w:val="20"/>
                <w:szCs w:val="20"/>
                <w:lang w:val="fr-FR"/>
              </w:rPr>
            </w:pPr>
          </w:p>
          <w:p w14:paraId="1A41D161" w14:textId="77777777" w:rsidR="00B87039" w:rsidRPr="00653BF4" w:rsidRDefault="00B87039" w:rsidP="00557FB3">
            <w:pPr>
              <w:spacing w:after="0" w:line="240" w:lineRule="auto"/>
              <w:rPr>
                <w:sz w:val="20"/>
                <w:szCs w:val="20"/>
                <w:lang w:val="fr-FR"/>
              </w:rPr>
            </w:pPr>
          </w:p>
          <w:p w14:paraId="6A0A3A32" w14:textId="4F19A331" w:rsidR="00B87039" w:rsidRPr="00653BF4" w:rsidRDefault="000F4D75" w:rsidP="00557FB3">
            <w:pPr>
              <w:spacing w:after="0" w:line="240" w:lineRule="auto"/>
              <w:rPr>
                <w:rFonts w:eastAsia="Times New Roman" w:cs="Times New Roman"/>
                <w:color w:val="000000"/>
                <w:kern w:val="0"/>
                <w:sz w:val="20"/>
                <w:szCs w:val="20"/>
                <w:lang w:val="fr-FR" w:eastAsia="en-CA"/>
                <w14:ligatures w14:val="none"/>
              </w:rPr>
            </w:pPr>
            <w:r>
              <w:rPr>
                <w:sz w:val="20"/>
                <w:szCs w:val="20"/>
                <w:lang w:val="fr-FR"/>
              </w:rPr>
              <w:t>s.o.</w:t>
            </w:r>
            <w:r w:rsidR="00B87039" w:rsidRPr="00653BF4">
              <w:rPr>
                <w:sz w:val="20"/>
                <w:szCs w:val="20"/>
                <w:vertAlign w:val="superscript"/>
                <w:lang w:val="fr-FR"/>
              </w:rPr>
              <w:t>a</w:t>
            </w:r>
          </w:p>
        </w:tc>
        <w:tc>
          <w:tcPr>
            <w:tcW w:w="2600" w:type="dxa"/>
            <w:vAlign w:val="bottom"/>
            <w:hideMark/>
          </w:tcPr>
          <w:p w14:paraId="256786B4" w14:textId="7D07C0A4"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sz w:val="20"/>
                <w:szCs w:val="20"/>
                <w:lang w:val="fr-FR"/>
              </w:rPr>
              <w:t>40</w:t>
            </w:r>
            <w:r w:rsidR="002878D7">
              <w:rPr>
                <w:sz w:val="20"/>
                <w:szCs w:val="20"/>
                <w:lang w:val="fr-FR"/>
              </w:rPr>
              <w:t> %</w:t>
            </w:r>
            <w:r w:rsidRPr="00653BF4">
              <w:rPr>
                <w:sz w:val="20"/>
                <w:szCs w:val="20"/>
                <w:lang w:val="fr-FR"/>
              </w:rPr>
              <w:t xml:space="preserve"> des Parties ont obtenu de très bons résultats (note</w:t>
            </w:r>
            <w:r w:rsidR="00E34DC9">
              <w:rPr>
                <w:sz w:val="20"/>
                <w:szCs w:val="20"/>
                <w:lang w:val="fr-FR"/>
              </w:rPr>
              <w:t> :</w:t>
            </w:r>
            <w:r w:rsidRPr="00653BF4">
              <w:rPr>
                <w:sz w:val="20"/>
                <w:szCs w:val="20"/>
                <w:lang w:val="fr-FR"/>
              </w:rPr>
              <w:t xml:space="preserve"> 4 ou 5)</w:t>
            </w:r>
          </w:p>
        </w:tc>
        <w:tc>
          <w:tcPr>
            <w:tcW w:w="596" w:type="dxa"/>
            <w:shd w:val="clear" w:color="000000" w:fill="FFC000"/>
            <w:vAlign w:val="bottom"/>
            <w:hideMark/>
          </w:tcPr>
          <w:p w14:paraId="0FA76882"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eastAsia="en-CA"/>
                <w14:ligatures w14:val="none"/>
              </w:rPr>
              <w:t> </w:t>
            </w:r>
          </w:p>
        </w:tc>
      </w:tr>
      <w:tr w:rsidR="00B87039" w:rsidRPr="00543148" w14:paraId="462F993F" w14:textId="77777777" w:rsidTr="00557FB3">
        <w:trPr>
          <w:trHeight w:val="1050"/>
        </w:trPr>
        <w:tc>
          <w:tcPr>
            <w:tcW w:w="3220" w:type="dxa"/>
            <w:shd w:val="clear" w:color="000000" w:fill="FFFFFF"/>
            <w:vAlign w:val="center"/>
            <w:hideMark/>
          </w:tcPr>
          <w:p w14:paraId="36021348"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Tous les indicateurs quantitatifs combinés</w:t>
            </w:r>
          </w:p>
        </w:tc>
        <w:tc>
          <w:tcPr>
            <w:tcW w:w="3212" w:type="dxa"/>
            <w:vAlign w:val="bottom"/>
            <w:hideMark/>
          </w:tcPr>
          <w:p w14:paraId="08AA76D8" w14:textId="2E707D4D" w:rsidR="00B87039" w:rsidRPr="00653BF4" w:rsidRDefault="00B87039" w:rsidP="00557FB3">
            <w:pPr>
              <w:spacing w:after="0" w:line="240" w:lineRule="auto"/>
              <w:rPr>
                <w:rFonts w:eastAsia="Times New Roman" w:cs="Calibri"/>
                <w:color w:val="000000"/>
                <w:kern w:val="0"/>
                <w:sz w:val="20"/>
                <w:szCs w:val="20"/>
                <w:lang w:val="fr-FR" w:eastAsia="en-CA"/>
                <w14:ligatures w14:val="none"/>
              </w:rPr>
            </w:pPr>
            <w:r w:rsidRPr="00653BF4">
              <w:rPr>
                <w:sz w:val="20"/>
                <w:szCs w:val="20"/>
                <w:lang w:val="fr-FR"/>
              </w:rPr>
              <w:t>11 Parties, 9</w:t>
            </w:r>
            <w:r w:rsidR="002878D7">
              <w:rPr>
                <w:sz w:val="20"/>
                <w:szCs w:val="20"/>
                <w:lang w:val="fr-FR"/>
              </w:rPr>
              <w:t> %</w:t>
            </w:r>
          </w:p>
        </w:tc>
        <w:tc>
          <w:tcPr>
            <w:tcW w:w="672" w:type="dxa"/>
            <w:shd w:val="clear" w:color="000000" w:fill="C00000"/>
            <w:vAlign w:val="center"/>
            <w:hideMark/>
          </w:tcPr>
          <w:p w14:paraId="0E9DED1A"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eastAsia="en-CA"/>
                <w14:ligatures w14:val="none"/>
              </w:rPr>
              <w:t> </w:t>
            </w:r>
          </w:p>
        </w:tc>
        <w:tc>
          <w:tcPr>
            <w:tcW w:w="2600" w:type="dxa"/>
            <w:vAlign w:val="bottom"/>
            <w:hideMark/>
          </w:tcPr>
          <w:p w14:paraId="5B9DAD80" w14:textId="57A2B5BE" w:rsidR="00B87039" w:rsidRPr="00653BF4" w:rsidRDefault="00B87039" w:rsidP="00557FB3">
            <w:pPr>
              <w:rPr>
                <w:sz w:val="20"/>
                <w:szCs w:val="20"/>
                <w:lang w:val="fr-FR"/>
              </w:rPr>
            </w:pPr>
            <w:r w:rsidRPr="00653BF4">
              <w:rPr>
                <w:sz w:val="20"/>
                <w:szCs w:val="20"/>
                <w:lang w:val="fr-FR"/>
              </w:rPr>
              <w:t>14</w:t>
            </w:r>
            <w:r w:rsidR="002878D7">
              <w:rPr>
                <w:sz w:val="20"/>
                <w:szCs w:val="20"/>
                <w:lang w:val="fr-FR"/>
              </w:rPr>
              <w:t> %</w:t>
            </w:r>
            <w:r w:rsidRPr="00653BF4">
              <w:rPr>
                <w:sz w:val="20"/>
                <w:szCs w:val="20"/>
                <w:lang w:val="fr-FR"/>
              </w:rPr>
              <w:t xml:space="preserve"> de tendances positives</w:t>
            </w:r>
          </w:p>
          <w:p w14:paraId="4B15E409" w14:textId="153F3124"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sz w:val="20"/>
                <w:szCs w:val="20"/>
                <w:lang w:val="fr-FR"/>
              </w:rPr>
              <w:t>19</w:t>
            </w:r>
            <w:r w:rsidR="002878D7">
              <w:rPr>
                <w:sz w:val="20"/>
                <w:szCs w:val="20"/>
                <w:lang w:val="fr-FR"/>
              </w:rPr>
              <w:t> %</w:t>
            </w:r>
            <w:r w:rsidRPr="00653BF4">
              <w:rPr>
                <w:sz w:val="20"/>
                <w:szCs w:val="20"/>
                <w:lang w:val="fr-FR"/>
              </w:rPr>
              <w:t xml:space="preserve"> de tendances négatives</w:t>
            </w:r>
          </w:p>
        </w:tc>
        <w:tc>
          <w:tcPr>
            <w:tcW w:w="596" w:type="dxa"/>
            <w:shd w:val="clear" w:color="000000" w:fill="C00000"/>
            <w:vAlign w:val="center"/>
            <w:hideMark/>
          </w:tcPr>
          <w:p w14:paraId="21DA13A0"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eastAsia="en-CA"/>
                <w14:ligatures w14:val="none"/>
              </w:rPr>
              <w:t> </w:t>
            </w:r>
          </w:p>
        </w:tc>
      </w:tr>
    </w:tbl>
    <w:p w14:paraId="2B16E19A" w14:textId="77777777" w:rsidR="00B87039" w:rsidRPr="00653BF4" w:rsidRDefault="00B87039" w:rsidP="00B87039">
      <w:pPr>
        <w:rPr>
          <w:lang w:val="fr-FR"/>
        </w:rPr>
      </w:pPr>
    </w:p>
    <w:p w14:paraId="27D99103" w14:textId="0DEC30FC"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sz w:val="16"/>
          <w:szCs w:val="16"/>
          <w:lang w:val="fr-FR"/>
        </w:rPr>
        <w:t> %</w:t>
      </w:r>
      <w:r w:rsidRPr="00653BF4">
        <w:rPr>
          <w:sz w:val="16"/>
          <w:szCs w:val="16"/>
          <w:lang w:val="fr-FR"/>
        </w:rPr>
        <w:t>, le jaune aux valeurs comprises entre 25</w:t>
      </w:r>
      <w:r w:rsidR="002878D7">
        <w:rPr>
          <w:sz w:val="16"/>
          <w:szCs w:val="16"/>
          <w:lang w:val="fr-FR"/>
        </w:rPr>
        <w:t> %</w:t>
      </w:r>
      <w:r w:rsidRPr="00653BF4">
        <w:rPr>
          <w:sz w:val="16"/>
          <w:szCs w:val="16"/>
          <w:lang w:val="fr-FR"/>
        </w:rPr>
        <w:t xml:space="preserve"> et 50 </w:t>
      </w:r>
      <w:r w:rsidR="002878D7">
        <w:rPr>
          <w:sz w:val="16"/>
          <w:szCs w:val="16"/>
          <w:lang w:val="fr-FR"/>
        </w:rPr>
        <w:t> %</w:t>
      </w:r>
      <w:r w:rsidRPr="00653BF4">
        <w:rPr>
          <w:sz w:val="16"/>
          <w:szCs w:val="16"/>
          <w:lang w:val="fr-FR"/>
        </w:rPr>
        <w:t>, et le rouge aux valeurs inférieures à 25</w:t>
      </w:r>
      <w:r w:rsidR="002878D7">
        <w:rPr>
          <w:sz w:val="16"/>
          <w:szCs w:val="16"/>
          <w:lang w:val="fr-FR"/>
        </w:rPr>
        <w:t> %</w:t>
      </w:r>
      <w:r w:rsidRPr="00653BF4">
        <w:rPr>
          <w:sz w:val="16"/>
          <w:szCs w:val="16"/>
          <w:lang w:val="fr-FR"/>
        </w:rPr>
        <w:t xml:space="preserve">) </w:t>
      </w:r>
    </w:p>
    <w:p w14:paraId="609CDF2E" w14:textId="77777777" w:rsidR="00B87039" w:rsidRPr="00653BF4" w:rsidRDefault="00B87039" w:rsidP="00B87039">
      <w:pPr>
        <w:pStyle w:val="FootnoteText"/>
        <w:rPr>
          <w:sz w:val="16"/>
          <w:szCs w:val="16"/>
          <w:lang w:val="fr-FR"/>
        </w:rPr>
      </w:pPr>
      <w:r w:rsidRPr="00653BF4">
        <w:rPr>
          <w:vertAlign w:val="superscript"/>
          <w:lang w:val="fr-FR"/>
        </w:rPr>
        <w:t>a</w:t>
      </w:r>
      <w:r w:rsidRPr="00653BF4">
        <w:rPr>
          <w:lang w:val="fr-FR"/>
        </w:rPr>
        <w:t xml:space="preserve"> </w:t>
      </w:r>
      <w:r w:rsidRPr="00653BF4">
        <w:rPr>
          <w:sz w:val="16"/>
          <w:szCs w:val="16"/>
          <w:lang w:val="fr-FR"/>
        </w:rPr>
        <w:t>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p>
    <w:p w14:paraId="7D2ABF4C" w14:textId="77777777" w:rsidR="00B87039" w:rsidRPr="00653BF4" w:rsidRDefault="00B87039" w:rsidP="00B87039">
      <w:pPr>
        <w:rPr>
          <w:strike/>
          <w:lang w:val="fr-FR"/>
        </w:rPr>
      </w:pPr>
    </w:p>
    <w:p w14:paraId="6BF9D3C6" w14:textId="77777777" w:rsidR="00B87039" w:rsidRPr="00653BF4" w:rsidRDefault="00B87039" w:rsidP="00B87039">
      <w:pPr>
        <w:rPr>
          <w:lang w:val="fr-FR"/>
        </w:rPr>
      </w:pPr>
    </w:p>
    <w:p w14:paraId="6A3E34DC" w14:textId="55B52B9C" w:rsidR="00B87039" w:rsidRPr="00653BF4" w:rsidRDefault="00B87039" w:rsidP="00B87039">
      <w:pPr>
        <w:rPr>
          <w:lang w:val="fr-FR"/>
        </w:rPr>
      </w:pPr>
      <w:r w:rsidRPr="00653BF4">
        <w:rPr>
          <w:lang w:val="fr-FR"/>
        </w:rPr>
        <w:t>Le cadre de suivi ne comprend pas d</w:t>
      </w:r>
      <w:r w:rsidR="00D77549">
        <w:rPr>
          <w:lang w:val="fr-FR"/>
        </w:rPr>
        <w:t>’</w:t>
      </w:r>
      <w:r w:rsidRPr="00653BF4">
        <w:rPr>
          <w:lang w:val="fr-FR"/>
        </w:rPr>
        <w:t xml:space="preserve">indicateur-phare spécifique pour la </w:t>
      </w:r>
      <w:r w:rsidR="00E34DC9">
        <w:rPr>
          <w:lang w:val="fr-FR"/>
        </w:rPr>
        <w:t>cible 1</w:t>
      </w:r>
      <w:r w:rsidRPr="00653BF4">
        <w:rPr>
          <w:lang w:val="fr-FR"/>
        </w:rPr>
        <w:t>7. Dans l</w:t>
      </w:r>
      <w:r w:rsidR="00D77549">
        <w:rPr>
          <w:lang w:val="fr-FR"/>
        </w:rPr>
        <w:t>’</w:t>
      </w:r>
      <w:r w:rsidRPr="00653BF4">
        <w:rPr>
          <w:lang w:val="fr-FR"/>
        </w:rPr>
        <w:t>ensemble, les réponses relatives à l</w:t>
      </w:r>
      <w:r w:rsidR="00D77549">
        <w:rPr>
          <w:lang w:val="fr-FR"/>
        </w:rPr>
        <w:t>’</w:t>
      </w:r>
      <w:r w:rsidRPr="00653BF4">
        <w:rPr>
          <w:lang w:val="fr-FR"/>
        </w:rPr>
        <w:t xml:space="preserve">indicateur binaire correspondant à cette cible indiquent que les Parties ont enregistré des progrès mitigés. Les tendances associées aux indicateurs pour lesquels des données ont été fournies viennent renforcer cette </w:t>
      </w:r>
      <w:r w:rsidRPr="00653BF4">
        <w:rPr>
          <w:lang w:val="fr-FR"/>
        </w:rPr>
        <w:lastRenderedPageBreak/>
        <w:t>préoccupation, peu d</w:t>
      </w:r>
      <w:r w:rsidR="00D77549">
        <w:rPr>
          <w:lang w:val="fr-FR"/>
        </w:rPr>
        <w:t>’</w:t>
      </w:r>
      <w:r w:rsidRPr="00653BF4">
        <w:rPr>
          <w:lang w:val="fr-FR"/>
        </w:rPr>
        <w:t xml:space="preserve">entre eux affichant une évolution positive. Les informations fournies pour les indicateurs supplémentaires portaient également principalement sur les éléments liés à la prévention des risques biotechnologiques, plutôt que sur les autres indicateurs de composante de la </w:t>
      </w:r>
      <w:r w:rsidR="00E34DC9">
        <w:rPr>
          <w:lang w:val="fr-FR"/>
        </w:rPr>
        <w:t>cible 1</w:t>
      </w:r>
      <w:r w:rsidRPr="00653BF4">
        <w:rPr>
          <w:lang w:val="fr-FR"/>
        </w:rPr>
        <w:t>7 (voir le tableau 38).</w:t>
      </w:r>
    </w:p>
    <w:p w14:paraId="6F7EC558" w14:textId="7CCE7B20" w:rsidR="00B87039" w:rsidRPr="00653BF4" w:rsidRDefault="00B87039" w:rsidP="00B87039">
      <w:pPr>
        <w:rPr>
          <w:lang w:val="fr-FR"/>
        </w:rPr>
      </w:pPr>
      <w:r w:rsidRPr="00653BF4">
        <w:rPr>
          <w:lang w:val="fr-FR"/>
        </w:rPr>
        <w:t>Dans leurs réponses concernant l</w:t>
      </w:r>
      <w:r w:rsidR="00D77549">
        <w:rPr>
          <w:lang w:val="fr-FR"/>
        </w:rPr>
        <w:t>’</w:t>
      </w:r>
      <w:r w:rsidRPr="00653BF4">
        <w:rPr>
          <w:lang w:val="fr-FR"/>
        </w:rPr>
        <w:t xml:space="preserve">indicateur binaire 17.b, la plupart des Parties ont fait état de progrès partiels, indiquant que, bien que des efforts soient en cours pour mettre en œuvre la </w:t>
      </w:r>
      <w:r w:rsidR="00E34DC9">
        <w:rPr>
          <w:lang w:val="fr-FR"/>
        </w:rPr>
        <w:t>cible 1</w:t>
      </w:r>
      <w:r w:rsidRPr="00653BF4">
        <w:rPr>
          <w:lang w:val="fr-FR"/>
        </w:rPr>
        <w:t>7, des efforts supplémentaires sont nécessaires. Une Partie a déclaré avoir pleinement mis en œuvre tous les aspects des mesures prévues par l</w:t>
      </w:r>
      <w:r w:rsidR="00D77549">
        <w:rPr>
          <w:lang w:val="fr-FR"/>
        </w:rPr>
        <w:t>’</w:t>
      </w:r>
      <w:r w:rsidRPr="00653BF4">
        <w:rPr>
          <w:lang w:val="fr-FR"/>
        </w:rPr>
        <w:t xml:space="preserve">indicateur binaire (voir la figure 70). </w:t>
      </w:r>
    </w:p>
    <w:p w14:paraId="6D65B09C" w14:textId="2419C404" w:rsidR="00B87039" w:rsidRPr="00653BF4" w:rsidRDefault="00B87039" w:rsidP="00B87039">
      <w:pPr>
        <w:rPr>
          <w:lang w:val="fr-FR"/>
        </w:rPr>
      </w:pPr>
      <w:r w:rsidRPr="00653BF4">
        <w:rPr>
          <w:lang w:val="fr-FR"/>
        </w:rPr>
        <w:t>C</w:t>
      </w:r>
      <w:r w:rsidR="00D77549">
        <w:rPr>
          <w:lang w:val="fr-FR"/>
        </w:rPr>
        <w:t>’</w:t>
      </w:r>
      <w:r w:rsidRPr="00653BF4">
        <w:rPr>
          <w:lang w:val="fr-FR"/>
        </w:rPr>
        <w:t>est dans la création et l</w:t>
      </w:r>
      <w:r w:rsidR="00D77549">
        <w:rPr>
          <w:lang w:val="fr-FR"/>
        </w:rPr>
        <w:t>’</w:t>
      </w:r>
      <w:r w:rsidRPr="00653BF4">
        <w:rPr>
          <w:lang w:val="fr-FR"/>
        </w:rPr>
        <w:t>application des mesures de prévention des risques biotechnologiques prévues à l</w:t>
      </w:r>
      <w:r w:rsidR="00D77549">
        <w:rPr>
          <w:lang w:val="fr-FR"/>
        </w:rPr>
        <w:t>’</w:t>
      </w:r>
      <w:r w:rsidRPr="00653BF4">
        <w:rPr>
          <w:lang w:val="fr-FR"/>
        </w:rPr>
        <w:t>article 8 g), de la Convention, que les Parties ont enregistré les progrès les plus importants, ces mesures étant pleinement créées et appliquées par près de la moitié des Parties. De même, près de la moitié des Parties indiquent qu</w:t>
      </w:r>
      <w:r w:rsidR="00D77549">
        <w:rPr>
          <w:lang w:val="fr-FR"/>
        </w:rPr>
        <w:t>’</w:t>
      </w:r>
      <w:r w:rsidRPr="00653BF4">
        <w:rPr>
          <w:lang w:val="fr-FR"/>
        </w:rPr>
        <w:t>elles procèdent à des évaluations des risques liés à l</w:t>
      </w:r>
      <w:r w:rsidR="00D77549">
        <w:rPr>
          <w:lang w:val="fr-FR"/>
        </w:rPr>
        <w:t>’</w:t>
      </w:r>
      <w:r w:rsidRPr="00653BF4">
        <w:rPr>
          <w:lang w:val="fr-FR"/>
        </w:rPr>
        <w:t>utilisation et à la dissémination d</w:t>
      </w:r>
      <w:r w:rsidR="00D77549">
        <w:rPr>
          <w:lang w:val="fr-FR"/>
        </w:rPr>
        <w:t>’</w:t>
      </w:r>
      <w:r w:rsidRPr="00653BF4">
        <w:rPr>
          <w:lang w:val="fr-FR"/>
        </w:rPr>
        <w:t>organismes vivants modifiés et qu</w:t>
      </w:r>
      <w:r w:rsidR="00D77549">
        <w:rPr>
          <w:lang w:val="fr-FR"/>
        </w:rPr>
        <w:t>’</w:t>
      </w:r>
      <w:r w:rsidRPr="00653BF4">
        <w:rPr>
          <w:lang w:val="fr-FR"/>
        </w:rPr>
        <w:t>elles assurent l</w:t>
      </w:r>
      <w:r w:rsidR="00D77549">
        <w:rPr>
          <w:lang w:val="fr-FR"/>
        </w:rPr>
        <w:t>’</w:t>
      </w:r>
      <w:r w:rsidRPr="00653BF4">
        <w:rPr>
          <w:lang w:val="fr-FR"/>
        </w:rPr>
        <w:t>accès aux informations relatives à la prévention des risques biotechnologiques. Les progrès signalés en matière de gestion des biotechnologies et de partage de leurs avantages sont bien moins importants, et de nombreuses Parties ont seulement commencé à élaborer des mesures relatives à la participation effective à la recherche biotechnologique, y compris la participation des pays qui fournissent les ressources génétiques nécessaires à cette recherche, ainsi qu’à l’accès prioritaire, sur une base juste et équitable, des Parties, en particulier des pays en développement, aux résultats et aux avantages découlant des biotechnologies fondées sur les ressources génétiques fournies par les Parties.</w:t>
      </w:r>
    </w:p>
    <w:p w14:paraId="71354362" w14:textId="1664D492" w:rsidR="00B87039" w:rsidRPr="00653BF4" w:rsidRDefault="00B87039" w:rsidP="00B87039">
      <w:pPr>
        <w:rPr>
          <w:lang w:val="fr-FR"/>
        </w:rPr>
      </w:pPr>
      <w:r w:rsidRPr="00653BF4">
        <w:rPr>
          <w:lang w:val="fr-FR"/>
        </w:rPr>
        <w:t>Relativement peu de Parties (9</w:t>
      </w:r>
      <w:r w:rsidR="002878D7">
        <w:rPr>
          <w:lang w:val="fr-FR"/>
        </w:rPr>
        <w:t> %</w:t>
      </w:r>
      <w:r w:rsidRPr="00653BF4">
        <w:rPr>
          <w:lang w:val="fr-FR"/>
        </w:rPr>
        <w:t xml:space="preserve">) ont proposé des indicateurs supplémentaires, qui concernaient pour la plupart les éléments liés à la prévention des risques biotechnologiques de la </w:t>
      </w:r>
      <w:r w:rsidR="00E34DC9">
        <w:rPr>
          <w:lang w:val="fr-FR"/>
        </w:rPr>
        <w:t>cible 1</w:t>
      </w:r>
      <w:r w:rsidRPr="00653BF4">
        <w:rPr>
          <w:lang w:val="fr-FR"/>
        </w:rPr>
        <w:t>7. Parmi ceux-ci, les indicateurs affichant une tendance négative étaient plus nombreux que ceux présentant une tendance positive (voir la figure 71). Ces tendances ne peuvent toutefois pas être considérées comme représentatives de l</w:t>
      </w:r>
      <w:r w:rsidR="00D77549">
        <w:rPr>
          <w:lang w:val="fr-FR"/>
        </w:rPr>
        <w:t>’</w:t>
      </w:r>
      <w:r w:rsidRPr="00653BF4">
        <w:rPr>
          <w:lang w:val="fr-FR"/>
        </w:rPr>
        <w:t>ensemble des Parties.</w:t>
      </w:r>
    </w:p>
    <w:p w14:paraId="23670A67" w14:textId="77777777" w:rsidR="00B87039" w:rsidRPr="00653BF4" w:rsidRDefault="00B87039" w:rsidP="00B87039">
      <w:pPr>
        <w:rPr>
          <w:sz w:val="20"/>
          <w:szCs w:val="20"/>
          <w:lang w:val="fr-FR"/>
        </w:rPr>
      </w:pPr>
    </w:p>
    <w:p w14:paraId="4306D860" w14:textId="77777777" w:rsidR="00B87039" w:rsidRPr="00653BF4" w:rsidRDefault="00B87039" w:rsidP="00B87039">
      <w:pPr>
        <w:rPr>
          <w:sz w:val="20"/>
          <w:szCs w:val="20"/>
          <w:lang w:val="fr-FR"/>
        </w:rPr>
      </w:pPr>
      <w:r w:rsidRPr="00653BF4">
        <w:rPr>
          <w:sz w:val="20"/>
          <w:szCs w:val="20"/>
          <w:lang w:val="fr-FR"/>
        </w:rPr>
        <w:t>Figure 70</w:t>
      </w:r>
    </w:p>
    <w:p w14:paraId="78A7B53C" w14:textId="147BDE7D" w:rsidR="00B87039" w:rsidRPr="00653BF4" w:rsidRDefault="00B87039" w:rsidP="00B87039">
      <w:pPr>
        <w:rPr>
          <w:i/>
          <w:iCs/>
          <w:sz w:val="20"/>
          <w:szCs w:val="20"/>
          <w:lang w:val="fr-FR"/>
        </w:rPr>
      </w:pPr>
      <w:r w:rsidRPr="00653BF4">
        <w:rPr>
          <w:b/>
          <w:bCs/>
          <w:sz w:val="20"/>
          <w:szCs w:val="20"/>
          <w:lang w:val="fr-FR"/>
        </w:rPr>
        <w:t>Indicateur binaire 17.b</w:t>
      </w:r>
      <w:r w:rsidR="00E34DC9">
        <w:rPr>
          <w:b/>
          <w:bCs/>
          <w:sz w:val="20"/>
          <w:szCs w:val="20"/>
          <w:lang w:val="fr-FR"/>
        </w:rPr>
        <w:t> :</w:t>
      </w:r>
      <w:r w:rsidRPr="00653BF4">
        <w:rPr>
          <w:b/>
          <w:bCs/>
          <w:sz w:val="20"/>
          <w:szCs w:val="20"/>
          <w:lang w:val="fr-FR"/>
        </w:rPr>
        <w:t xml:space="preserve"> nombre de pays qui ont pris des mesures de prévention des risques biotechnologiques prévues à l</w:t>
      </w:r>
      <w:r w:rsidR="00D77549">
        <w:rPr>
          <w:b/>
          <w:bCs/>
          <w:sz w:val="20"/>
          <w:szCs w:val="20"/>
          <w:lang w:val="fr-FR"/>
        </w:rPr>
        <w:t>’</w:t>
      </w:r>
      <w:r w:rsidRPr="00653BF4">
        <w:rPr>
          <w:b/>
          <w:bCs/>
          <w:sz w:val="20"/>
          <w:szCs w:val="20"/>
          <w:lang w:val="fr-FR"/>
        </w:rPr>
        <w:t>article 8 g) de la Convention et des mesures relatives à la gestion des biotechnologies et au partage de leurs avantages prévues à l</w:t>
      </w:r>
      <w:r w:rsidR="00D77549">
        <w:rPr>
          <w:b/>
          <w:bCs/>
          <w:sz w:val="20"/>
          <w:szCs w:val="20"/>
          <w:lang w:val="fr-FR"/>
        </w:rPr>
        <w:t>’</w:t>
      </w:r>
      <w:r w:rsidRPr="00653BF4">
        <w:rPr>
          <w:b/>
          <w:bCs/>
          <w:sz w:val="20"/>
          <w:szCs w:val="20"/>
          <w:lang w:val="fr-FR"/>
        </w:rPr>
        <w:t>article 19.</w:t>
      </w:r>
    </w:p>
    <w:p w14:paraId="4D6270DE" w14:textId="77777777" w:rsidR="00B87039" w:rsidRPr="00653BF4" w:rsidRDefault="00B87039" w:rsidP="00B87039">
      <w:pPr>
        <w:pStyle w:val="Caption"/>
        <w:rPr>
          <w:lang w:val="fr-FR"/>
        </w:rPr>
      </w:pPr>
      <w:r w:rsidRPr="00653BF4">
        <w:rPr>
          <w:noProof/>
          <w:lang w:val="fr-FR"/>
          <w14:ligatures w14:val="standardContextual"/>
        </w:rPr>
        <w:lastRenderedPageBreak/>
        <w:drawing>
          <wp:inline distT="0" distB="0" distL="0" distR="0" wp14:anchorId="7C5FC809" wp14:editId="018A0599">
            <wp:extent cx="5943600" cy="2264410"/>
            <wp:effectExtent l="0" t="0" r="0" b="0"/>
            <wp:docPr id="860696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69656" name="Picture 86069656"/>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5490CC77" w14:textId="4FFFD28B" w:rsidR="00B87039" w:rsidRPr="00653BF4" w:rsidRDefault="00B87039" w:rsidP="00B87039">
      <w:pPr>
        <w:pStyle w:val="Caption"/>
        <w:rPr>
          <w:i w:val="0"/>
          <w:iCs w:val="0"/>
          <w:lang w:val="fr-FR"/>
        </w:rPr>
      </w:pPr>
      <w:r w:rsidRPr="00653BF4">
        <w:rPr>
          <w:i w:val="0"/>
          <w:iCs w:val="0"/>
          <w:lang w:val="fr-FR"/>
        </w:rPr>
        <w:t>Note</w:t>
      </w:r>
      <w:r w:rsidR="00E34DC9">
        <w:rPr>
          <w:i w:val="0"/>
          <w:iCs w:val="0"/>
          <w:lang w:val="fr-FR"/>
        </w:rPr>
        <w:t> :</w:t>
      </w:r>
      <w:r w:rsidRPr="00653BF4">
        <w:rPr>
          <w:i w:val="0"/>
          <w:iCs w:val="0"/>
          <w:lang w:val="fr-FR"/>
        </w:rPr>
        <w:t xml:space="preserve"> La largeur des barres indique le pourcentage de Parties dans chaque catégorie de note, une note plus élevée correspondant à des progrès plus importants. Les notes sont établies d’après les réponses aux questions de l’indicateur</w:t>
      </w:r>
      <w:r w:rsidRPr="00653BF4">
        <w:rPr>
          <w:i w:val="0"/>
          <w:iCs w:val="0"/>
          <w:vertAlign w:val="superscript"/>
          <w:lang w:val="fr-FR"/>
        </w:rPr>
        <w:t>a</w:t>
      </w:r>
      <w:r w:rsidRPr="00653BF4">
        <w:rPr>
          <w:i w:val="0"/>
          <w:iCs w:val="0"/>
          <w:lang w:val="fr-FR"/>
        </w:rPr>
        <w:t>. Le diagramme circulaire représente la répartition par région des Parties ayant répondu à toutes les questions.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p w14:paraId="5200C693" w14:textId="77777777" w:rsidR="00B87039" w:rsidRPr="00653BF4" w:rsidRDefault="00B87039" w:rsidP="00B87039">
      <w:pPr>
        <w:rPr>
          <w:sz w:val="18"/>
          <w:szCs w:val="18"/>
          <w:lang w:val="fr-FR"/>
        </w:rPr>
      </w:pPr>
      <w:r w:rsidRPr="00653BF4">
        <w:rPr>
          <w:sz w:val="18"/>
          <w:szCs w:val="18"/>
          <w:vertAlign w:val="superscript"/>
          <w:lang w:val="fr-FR"/>
        </w:rPr>
        <w:t xml:space="preserve">a </w:t>
      </w:r>
      <w:r w:rsidRPr="00653BF4">
        <w:rPr>
          <w:sz w:val="18"/>
          <w:szCs w:val="18"/>
          <w:lang w:val="fr-FR"/>
        </w:rPr>
        <w:t xml:space="preserve">La méthode de calcul des notes pour chaque indicateur binaire, ainsi que les questions associées à chaque indicateur, figurent dans le document </w:t>
      </w:r>
      <w:hyperlink r:id="rId181" w:history="1">
        <w:r w:rsidRPr="00653BF4">
          <w:rPr>
            <w:rStyle w:val="Hyperlink"/>
            <w:sz w:val="18"/>
            <w:szCs w:val="18"/>
            <w:lang w:val="fr-FR"/>
          </w:rPr>
          <w:t>CBD/COP/16/INF/3/Rev.1</w:t>
        </w:r>
      </w:hyperlink>
      <w:r w:rsidRPr="00653BF4">
        <w:rPr>
          <w:lang w:val="fr-FR"/>
        </w:rPr>
        <w:t>.</w:t>
      </w:r>
    </w:p>
    <w:tbl>
      <w:tblPr>
        <w:tblStyle w:val="TableGrid"/>
        <w:tblW w:w="8861" w:type="dxa"/>
        <w:tblLook w:val="04A0" w:firstRow="1" w:lastRow="0" w:firstColumn="1" w:lastColumn="0" w:noHBand="0" w:noVBand="1"/>
      </w:tblPr>
      <w:tblGrid>
        <w:gridCol w:w="4188"/>
        <w:gridCol w:w="4673"/>
      </w:tblGrid>
      <w:tr w:rsidR="001279A8" w:rsidRPr="006F7AF8" w14:paraId="24B4E85C" w14:textId="77777777" w:rsidTr="009B4355">
        <w:tc>
          <w:tcPr>
            <w:tcW w:w="8861" w:type="dxa"/>
            <w:gridSpan w:val="2"/>
          </w:tcPr>
          <w:p w14:paraId="53454D57" w14:textId="77777777" w:rsidR="001279A8" w:rsidRPr="00DF5971" w:rsidRDefault="001279A8" w:rsidP="009B4355">
            <w:pPr>
              <w:rPr>
                <w:rFonts w:ascii="Aptos" w:hAnsi="Aptos"/>
                <w:lang w:val="fr-FR"/>
              </w:rPr>
            </w:pPr>
            <w:r w:rsidRPr="00DF5971">
              <w:rPr>
                <w:rFonts w:ascii="Aptos" w:hAnsi="Aptos"/>
                <w:lang w:val="fr-FR"/>
              </w:rPr>
              <w:t>Figure 70</w:t>
            </w:r>
          </w:p>
        </w:tc>
      </w:tr>
      <w:tr w:rsidR="001279A8" w:rsidRPr="006F7AF8" w14:paraId="704A6A10" w14:textId="77777777" w:rsidTr="009B4355">
        <w:tc>
          <w:tcPr>
            <w:tcW w:w="4188" w:type="dxa"/>
          </w:tcPr>
          <w:p w14:paraId="4B42DE86" w14:textId="77777777" w:rsidR="001279A8" w:rsidRPr="00DF5971" w:rsidRDefault="001279A8" w:rsidP="009B4355">
            <w:pPr>
              <w:rPr>
                <w:rFonts w:ascii="Aptos" w:hAnsi="Aptos"/>
                <w:lang w:val="fr-FR"/>
              </w:rPr>
            </w:pPr>
            <w:r w:rsidRPr="00DF5971">
              <w:rPr>
                <w:rFonts w:ascii="Aptos" w:hAnsi="Aptos"/>
                <w:lang w:val="fr-FR"/>
              </w:rPr>
              <w:t xml:space="preserve">English </w:t>
            </w:r>
          </w:p>
        </w:tc>
        <w:tc>
          <w:tcPr>
            <w:tcW w:w="4673" w:type="dxa"/>
          </w:tcPr>
          <w:p w14:paraId="5F5F90FF" w14:textId="77777777" w:rsidR="001279A8" w:rsidRPr="00DF5971" w:rsidRDefault="001279A8" w:rsidP="009B4355">
            <w:pPr>
              <w:rPr>
                <w:rFonts w:ascii="Aptos" w:hAnsi="Aptos"/>
                <w:lang w:val="fr-FR"/>
              </w:rPr>
            </w:pPr>
            <w:r>
              <w:rPr>
                <w:rFonts w:ascii="Aptos" w:hAnsi="Aptos"/>
                <w:lang w:val="fr-FR"/>
              </w:rPr>
              <w:t>Français</w:t>
            </w:r>
          </w:p>
        </w:tc>
      </w:tr>
      <w:tr w:rsidR="001279A8" w:rsidRPr="006F7AF8" w14:paraId="05BC47C2" w14:textId="77777777" w:rsidTr="009B4355">
        <w:tc>
          <w:tcPr>
            <w:tcW w:w="4188" w:type="dxa"/>
          </w:tcPr>
          <w:p w14:paraId="71D3E970" w14:textId="77777777" w:rsidR="001279A8" w:rsidRPr="006F7AF8" w:rsidRDefault="001279A8" w:rsidP="009B4355">
            <w:pPr>
              <w:rPr>
                <w:rFonts w:ascii="Aptos" w:hAnsi="Aptos"/>
                <w:lang w:val="fr-FR"/>
              </w:rPr>
            </w:pPr>
            <w:r w:rsidRPr="006F7AF8">
              <w:rPr>
                <w:rFonts w:ascii="Aptos" w:hAnsi="Aptos"/>
                <w:lang w:val="fr-FR"/>
              </w:rPr>
              <w:t>Answers (percentage)</w:t>
            </w:r>
          </w:p>
        </w:tc>
        <w:tc>
          <w:tcPr>
            <w:tcW w:w="4673" w:type="dxa"/>
          </w:tcPr>
          <w:p w14:paraId="69AF50D1" w14:textId="77777777" w:rsidR="001279A8" w:rsidRPr="006F7AF8" w:rsidRDefault="001279A8" w:rsidP="009B4355">
            <w:pPr>
              <w:rPr>
                <w:rFonts w:ascii="Aptos" w:hAnsi="Aptos"/>
                <w:lang w:val="fr-FR"/>
              </w:rPr>
            </w:pPr>
            <w:r w:rsidRPr="006F7AF8">
              <w:rPr>
                <w:rFonts w:ascii="Aptos" w:hAnsi="Aptos"/>
                <w:lang w:val="fr-FR"/>
              </w:rPr>
              <w:t>Réponses (pourcentage)</w:t>
            </w:r>
          </w:p>
        </w:tc>
      </w:tr>
      <w:tr w:rsidR="001279A8" w:rsidRPr="006F7AF8" w14:paraId="03C9A6E0" w14:textId="77777777" w:rsidTr="009B4355">
        <w:tc>
          <w:tcPr>
            <w:tcW w:w="4188" w:type="dxa"/>
          </w:tcPr>
          <w:p w14:paraId="23198B2F" w14:textId="77777777" w:rsidR="001279A8" w:rsidRPr="006F7AF8" w:rsidRDefault="001279A8" w:rsidP="009B4355">
            <w:pPr>
              <w:rPr>
                <w:rFonts w:ascii="Aptos" w:hAnsi="Aptos"/>
                <w:lang w:val="fr-FR"/>
              </w:rPr>
            </w:pPr>
            <w:r w:rsidRPr="006F7AF8">
              <w:rPr>
                <w:rFonts w:ascii="Aptos" w:hAnsi="Aptos"/>
                <w:lang w:val="fr-FR"/>
              </w:rPr>
              <w:t>Score Level</w:t>
            </w:r>
          </w:p>
        </w:tc>
        <w:tc>
          <w:tcPr>
            <w:tcW w:w="4673" w:type="dxa"/>
          </w:tcPr>
          <w:p w14:paraId="25FD5C46" w14:textId="77777777" w:rsidR="001279A8" w:rsidRPr="006F7AF8" w:rsidRDefault="001279A8" w:rsidP="009B4355">
            <w:pPr>
              <w:rPr>
                <w:rFonts w:ascii="Aptos" w:hAnsi="Aptos"/>
                <w:lang w:val="fr-FR"/>
              </w:rPr>
            </w:pPr>
            <w:r>
              <w:rPr>
                <w:rFonts w:ascii="Aptos" w:hAnsi="Aptos"/>
                <w:lang w:val="fr-FR"/>
              </w:rPr>
              <w:t>Note</w:t>
            </w:r>
          </w:p>
        </w:tc>
      </w:tr>
      <w:tr w:rsidR="001279A8" w:rsidRPr="006F7AF8" w14:paraId="55903719" w14:textId="77777777" w:rsidTr="009B4355">
        <w:tc>
          <w:tcPr>
            <w:tcW w:w="4188" w:type="dxa"/>
          </w:tcPr>
          <w:p w14:paraId="6A1390C0" w14:textId="77777777" w:rsidR="001279A8" w:rsidRPr="006F7AF8" w:rsidRDefault="001279A8" w:rsidP="009B4355">
            <w:pPr>
              <w:rPr>
                <w:rFonts w:ascii="Aptos" w:hAnsi="Aptos"/>
                <w:lang w:val="fr-FR"/>
              </w:rPr>
            </w:pPr>
            <w:r w:rsidRPr="006F7AF8">
              <w:rPr>
                <w:rFonts w:ascii="Aptos" w:hAnsi="Aptos"/>
                <w:lang w:val="fr-FR"/>
              </w:rPr>
              <w:t>Party count: 127</w:t>
            </w:r>
          </w:p>
        </w:tc>
        <w:tc>
          <w:tcPr>
            <w:tcW w:w="4673" w:type="dxa"/>
          </w:tcPr>
          <w:p w14:paraId="0BA50A7E" w14:textId="77777777" w:rsidR="001279A8" w:rsidRPr="006F7AF8" w:rsidRDefault="001279A8" w:rsidP="009B4355">
            <w:pPr>
              <w:rPr>
                <w:rFonts w:ascii="Aptos" w:hAnsi="Aptos"/>
                <w:lang w:val="fr-FR"/>
              </w:rPr>
            </w:pPr>
            <w:r w:rsidRPr="006F7AF8">
              <w:rPr>
                <w:rFonts w:ascii="Aptos" w:hAnsi="Aptos"/>
                <w:lang w:val="fr-FR"/>
              </w:rPr>
              <w:t>Nombre de Parties : 127</w:t>
            </w:r>
          </w:p>
        </w:tc>
      </w:tr>
      <w:tr w:rsidR="001279A8" w:rsidRPr="006F7AF8" w14:paraId="304FAF72" w14:textId="77777777" w:rsidTr="009B4355">
        <w:tc>
          <w:tcPr>
            <w:tcW w:w="4188" w:type="dxa"/>
          </w:tcPr>
          <w:p w14:paraId="189EA42F"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190D5A58"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71E2ED2F" w14:textId="77777777" w:rsidTr="009B4355">
        <w:tc>
          <w:tcPr>
            <w:tcW w:w="4188" w:type="dxa"/>
          </w:tcPr>
          <w:p w14:paraId="7C0A7B35"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39259571"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5E6575B7" w14:textId="77777777" w:rsidTr="009B4355">
        <w:tc>
          <w:tcPr>
            <w:tcW w:w="4188" w:type="dxa"/>
          </w:tcPr>
          <w:p w14:paraId="29B21BD0" w14:textId="77777777" w:rsidR="001279A8" w:rsidRPr="006F7AF8" w:rsidRDefault="001279A8" w:rsidP="009B4355">
            <w:pPr>
              <w:rPr>
                <w:rFonts w:ascii="Aptos" w:hAnsi="Aptos"/>
                <w:lang w:val="fr-FR"/>
              </w:rPr>
            </w:pPr>
            <w:r w:rsidRPr="006F7AF8">
              <w:rPr>
                <w:rFonts w:ascii="Aptos" w:hAnsi="Aptos"/>
                <w:lang w:val="fr-FR"/>
              </w:rPr>
              <w:t>Asia –Pacific States</w:t>
            </w:r>
          </w:p>
        </w:tc>
        <w:tc>
          <w:tcPr>
            <w:tcW w:w="4673" w:type="dxa"/>
          </w:tcPr>
          <w:p w14:paraId="30E1B83B"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114BD50C" w14:textId="77777777" w:rsidTr="009B4355">
        <w:tc>
          <w:tcPr>
            <w:tcW w:w="4188" w:type="dxa"/>
          </w:tcPr>
          <w:p w14:paraId="7561D5DA"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45560D5F"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007C67C6" w14:textId="77777777" w:rsidTr="009B4355">
        <w:tc>
          <w:tcPr>
            <w:tcW w:w="4188" w:type="dxa"/>
          </w:tcPr>
          <w:p w14:paraId="2538F78A"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157D3C3B"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709E7F3C" w14:textId="77777777" w:rsidTr="009B4355">
        <w:tc>
          <w:tcPr>
            <w:tcW w:w="4188" w:type="dxa"/>
          </w:tcPr>
          <w:p w14:paraId="3FA5BD38" w14:textId="77777777" w:rsidR="001279A8" w:rsidRPr="006F7AF8" w:rsidRDefault="001279A8" w:rsidP="009B4355">
            <w:pPr>
              <w:rPr>
                <w:lang w:val="fr-FR"/>
              </w:rPr>
            </w:pPr>
            <w:r w:rsidRPr="006F7AF8">
              <w:rPr>
                <w:rFonts w:ascii="Aptos" w:hAnsi="Aptos"/>
                <w:lang w:val="fr-FR"/>
              </w:rPr>
              <w:t>Western European and other States</w:t>
            </w:r>
          </w:p>
        </w:tc>
        <w:tc>
          <w:tcPr>
            <w:tcW w:w="4673" w:type="dxa"/>
          </w:tcPr>
          <w:p w14:paraId="5458E037"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02CECAF9" w14:textId="77777777" w:rsidR="00B87039" w:rsidRPr="00653BF4" w:rsidRDefault="00B87039" w:rsidP="00B87039">
      <w:pPr>
        <w:rPr>
          <w:lang w:val="fr-FR" w:eastAsia="ja-JP"/>
        </w:rPr>
      </w:pPr>
    </w:p>
    <w:p w14:paraId="524D7691" w14:textId="77777777" w:rsidR="00B87039" w:rsidRPr="00653BF4" w:rsidRDefault="00B87039" w:rsidP="00B87039">
      <w:pPr>
        <w:rPr>
          <w:sz w:val="20"/>
          <w:szCs w:val="20"/>
          <w:lang w:val="fr-FR" w:eastAsia="ja-JP"/>
        </w:rPr>
      </w:pPr>
      <w:r w:rsidRPr="00653BF4">
        <w:rPr>
          <w:sz w:val="20"/>
          <w:szCs w:val="20"/>
          <w:lang w:val="fr-FR"/>
        </w:rPr>
        <w:t>Figure 71</w:t>
      </w:r>
    </w:p>
    <w:p w14:paraId="00CA76CB" w14:textId="197F916A" w:rsidR="00B87039" w:rsidRPr="00653BF4"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1</w:t>
      </w:r>
      <w:r w:rsidRPr="00653BF4">
        <w:rPr>
          <w:b/>
          <w:bCs/>
          <w:i w:val="0"/>
          <w:iCs w:val="0"/>
          <w:sz w:val="20"/>
          <w:szCs w:val="20"/>
          <w:lang w:val="fr-FR"/>
        </w:rPr>
        <w:t>7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00EFF696" w14:textId="77777777" w:rsidR="00B87039" w:rsidRPr="00653BF4" w:rsidRDefault="00B87039" w:rsidP="00B87039">
      <w:pPr>
        <w:pStyle w:val="Caption"/>
        <w:rPr>
          <w:lang w:val="fr-FR"/>
        </w:rPr>
      </w:pPr>
      <w:r w:rsidRPr="00653BF4">
        <w:rPr>
          <w:noProof/>
          <w:lang w:val="fr-FR"/>
          <w14:ligatures w14:val="standardContextual"/>
        </w:rPr>
        <w:lastRenderedPageBreak/>
        <w:drawing>
          <wp:inline distT="0" distB="0" distL="0" distR="0" wp14:anchorId="270569AB" wp14:editId="15B3899C">
            <wp:extent cx="5731510" cy="2456180"/>
            <wp:effectExtent l="0" t="0" r="0" b="0"/>
            <wp:docPr id="39597230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72307" name="Picture 395972307"/>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10D37BC9" w14:textId="164FDF0E" w:rsidR="00B87039" w:rsidRPr="00653BF4" w:rsidRDefault="00B87039" w:rsidP="00B87039">
      <w:pPr>
        <w:pStyle w:val="Caption"/>
        <w:rPr>
          <w:i w:val="0"/>
          <w:sz w:val="16"/>
          <w:szCs w:val="16"/>
          <w:lang w:val="fr-FR"/>
        </w:rPr>
      </w:pPr>
      <w:r w:rsidRPr="00653BF4">
        <w:rPr>
          <w:sz w:val="16"/>
          <w:szCs w:val="16"/>
          <w:lang w:val="fr-FR"/>
        </w:rPr>
        <w:t>Note</w:t>
      </w:r>
      <w:r w:rsidR="00E34DC9">
        <w:rPr>
          <w:sz w:val="16"/>
          <w:szCs w:val="16"/>
          <w:lang w:val="fr-FR"/>
        </w:rPr>
        <w:t> :</w:t>
      </w:r>
      <w:r w:rsidRPr="00653BF4">
        <w:rPr>
          <w:i w:val="0"/>
          <w:iCs w:val="0"/>
          <w:sz w:val="16"/>
          <w:szCs w:val="16"/>
          <w:lang w:val="fr-FR"/>
        </w:rPr>
        <w:t xml:space="preserve"> Les proportions sont pondérées par Partie. Les tendances incluent des données relatives à 1 indicateur complémentaire et 26 indicateurs nationaux provenant au total de 11 Parties. Le diagramme circulaire représente la répartition, par région, des Parties ayant communiqué des indicateurs pour la </w:t>
      </w:r>
      <w:r w:rsidR="00E34DC9">
        <w:rPr>
          <w:i w:val="0"/>
          <w:iCs w:val="0"/>
          <w:sz w:val="16"/>
          <w:szCs w:val="16"/>
          <w:lang w:val="fr-FR"/>
        </w:rPr>
        <w:t>cible 1</w:t>
      </w:r>
      <w:r w:rsidRPr="00653BF4">
        <w:rPr>
          <w:i w:val="0"/>
          <w:iCs w:val="0"/>
          <w:sz w:val="16"/>
          <w:szCs w:val="16"/>
          <w:lang w:val="fr-FR"/>
        </w:rPr>
        <w:t>7. La couleur de chaque région est indiquée dans la légende de la figure</w:t>
      </w:r>
      <w:r w:rsidR="00E34DC9">
        <w:rPr>
          <w:i w:val="0"/>
          <w:iCs w:val="0"/>
          <w:sz w:val="16"/>
          <w:szCs w:val="16"/>
          <w:lang w:val="fr-FR"/>
        </w:rPr>
        <w:t> :</w:t>
      </w:r>
      <w:r w:rsidRPr="00653BF4">
        <w:rPr>
          <w:i w:val="0"/>
          <w:iCs w:val="0"/>
          <w:sz w:val="16"/>
          <w:szCs w:val="16"/>
          <w:lang w:val="fr-FR"/>
        </w:rPr>
        <w:t xml:space="preserve"> les tons plus foncés représentent la proportion de Parties de chaque région dont les données figurent dans le graphique</w:t>
      </w:r>
      <w:r w:rsidR="00E34DC9">
        <w:rPr>
          <w:i w:val="0"/>
          <w:iCs w:val="0"/>
          <w:sz w:val="16"/>
          <w:szCs w:val="16"/>
          <w:lang w:val="fr-FR"/>
        </w:rPr>
        <w:t> ;</w:t>
      </w:r>
      <w:r w:rsidRPr="00653BF4">
        <w:rPr>
          <w:i w:val="0"/>
          <w:iCs w:val="0"/>
          <w:sz w:val="16"/>
          <w:szCs w:val="16"/>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1279A8" w:rsidRPr="0041406C" w14:paraId="78A908C1" w14:textId="77777777" w:rsidTr="009B4355">
        <w:tc>
          <w:tcPr>
            <w:tcW w:w="8861" w:type="dxa"/>
            <w:gridSpan w:val="2"/>
          </w:tcPr>
          <w:p w14:paraId="62768A6B" w14:textId="77777777" w:rsidR="001279A8" w:rsidRPr="0041406C" w:rsidRDefault="001279A8" w:rsidP="009B4355">
            <w:pPr>
              <w:rPr>
                <w:rFonts w:ascii="Aptos" w:hAnsi="Aptos"/>
                <w:lang w:val="fr-FR"/>
              </w:rPr>
            </w:pPr>
            <w:bookmarkStart w:id="336" w:name="_Toc235821259"/>
            <w:r w:rsidRPr="0041406C">
              <w:rPr>
                <w:rFonts w:ascii="Aptos" w:hAnsi="Aptos"/>
                <w:lang w:val="fr-FR"/>
              </w:rPr>
              <w:t>Figure 71</w:t>
            </w:r>
          </w:p>
        </w:tc>
      </w:tr>
      <w:tr w:rsidR="001279A8" w:rsidRPr="0041406C" w14:paraId="59436E1A" w14:textId="77777777" w:rsidTr="009B4355">
        <w:tc>
          <w:tcPr>
            <w:tcW w:w="4188" w:type="dxa"/>
          </w:tcPr>
          <w:p w14:paraId="07C1C4CF" w14:textId="77777777" w:rsidR="001279A8" w:rsidRPr="0041406C" w:rsidRDefault="001279A8" w:rsidP="009B4355">
            <w:pPr>
              <w:rPr>
                <w:rFonts w:ascii="Aptos" w:hAnsi="Aptos"/>
                <w:lang w:val="fr-FR"/>
              </w:rPr>
            </w:pPr>
            <w:r w:rsidRPr="0041406C">
              <w:rPr>
                <w:rFonts w:ascii="Aptos" w:hAnsi="Aptos"/>
                <w:lang w:val="fr-FR"/>
              </w:rPr>
              <w:t xml:space="preserve">English </w:t>
            </w:r>
          </w:p>
        </w:tc>
        <w:tc>
          <w:tcPr>
            <w:tcW w:w="4673" w:type="dxa"/>
          </w:tcPr>
          <w:p w14:paraId="2FA7F3DF" w14:textId="77777777" w:rsidR="001279A8" w:rsidRPr="0041406C" w:rsidRDefault="001279A8" w:rsidP="009B4355">
            <w:pPr>
              <w:rPr>
                <w:rFonts w:ascii="Aptos" w:hAnsi="Aptos"/>
                <w:lang w:val="fr-FR"/>
              </w:rPr>
            </w:pPr>
            <w:r>
              <w:rPr>
                <w:rFonts w:ascii="Aptos" w:hAnsi="Aptos"/>
                <w:lang w:val="fr-FR"/>
              </w:rPr>
              <w:t>Français</w:t>
            </w:r>
          </w:p>
        </w:tc>
      </w:tr>
      <w:tr w:rsidR="001279A8" w:rsidRPr="006F7AF8" w14:paraId="3916E65C" w14:textId="77777777" w:rsidTr="009B4355">
        <w:tc>
          <w:tcPr>
            <w:tcW w:w="4188" w:type="dxa"/>
          </w:tcPr>
          <w:p w14:paraId="0AE3CF37" w14:textId="77777777" w:rsidR="001279A8" w:rsidRPr="006F7AF8" w:rsidRDefault="001279A8" w:rsidP="009B4355">
            <w:pPr>
              <w:rPr>
                <w:rFonts w:ascii="Aptos" w:hAnsi="Aptos"/>
                <w:lang w:val="fr-FR"/>
              </w:rPr>
            </w:pPr>
            <w:r w:rsidRPr="006F7AF8">
              <w:rPr>
                <w:rFonts w:ascii="Aptos" w:hAnsi="Aptos"/>
                <w:lang w:val="fr-FR"/>
              </w:rPr>
              <w:t>Proportion</w:t>
            </w:r>
          </w:p>
        </w:tc>
        <w:tc>
          <w:tcPr>
            <w:tcW w:w="4673" w:type="dxa"/>
          </w:tcPr>
          <w:p w14:paraId="60911671" w14:textId="77777777" w:rsidR="001279A8" w:rsidRPr="006F7AF8" w:rsidRDefault="001279A8" w:rsidP="009B4355">
            <w:pPr>
              <w:rPr>
                <w:rFonts w:ascii="Aptos" w:hAnsi="Aptos"/>
                <w:lang w:val="fr-FR"/>
              </w:rPr>
            </w:pPr>
            <w:r w:rsidRPr="006F7AF8">
              <w:rPr>
                <w:rFonts w:ascii="Aptos" w:hAnsi="Aptos"/>
                <w:lang w:val="fr-FR"/>
              </w:rPr>
              <w:t>Proportion</w:t>
            </w:r>
          </w:p>
        </w:tc>
      </w:tr>
      <w:tr w:rsidR="001279A8" w:rsidRPr="006F7AF8" w14:paraId="4620D337" w14:textId="77777777" w:rsidTr="009B4355">
        <w:tc>
          <w:tcPr>
            <w:tcW w:w="4188" w:type="dxa"/>
          </w:tcPr>
          <w:p w14:paraId="3E90342F" w14:textId="77777777" w:rsidR="001279A8" w:rsidRPr="006F7AF8" w:rsidRDefault="001279A8" w:rsidP="009B4355">
            <w:pPr>
              <w:rPr>
                <w:rFonts w:ascii="Aptos" w:hAnsi="Aptos"/>
                <w:lang w:val="fr-FR"/>
              </w:rPr>
            </w:pPr>
            <w:r w:rsidRPr="006F7AF8">
              <w:rPr>
                <w:rFonts w:ascii="Aptos" w:hAnsi="Aptos"/>
                <w:lang w:val="fr-FR"/>
              </w:rPr>
              <w:t>Current Status</w:t>
            </w:r>
          </w:p>
        </w:tc>
        <w:tc>
          <w:tcPr>
            <w:tcW w:w="4673" w:type="dxa"/>
          </w:tcPr>
          <w:p w14:paraId="3D2EC3F8" w14:textId="77777777" w:rsidR="001279A8" w:rsidRPr="006F7AF8" w:rsidRDefault="001279A8" w:rsidP="009B4355">
            <w:pPr>
              <w:rPr>
                <w:rFonts w:ascii="Aptos" w:hAnsi="Aptos"/>
                <w:lang w:val="fr-FR"/>
              </w:rPr>
            </w:pPr>
            <w:r w:rsidRPr="006F7AF8">
              <w:rPr>
                <w:rFonts w:ascii="Aptos" w:hAnsi="Aptos"/>
                <w:lang w:val="fr-FR"/>
              </w:rPr>
              <w:t>État actuel</w:t>
            </w:r>
          </w:p>
        </w:tc>
      </w:tr>
      <w:tr w:rsidR="001279A8" w:rsidRPr="006F7AF8" w14:paraId="3324F589" w14:textId="77777777" w:rsidTr="009B4355">
        <w:tc>
          <w:tcPr>
            <w:tcW w:w="4188" w:type="dxa"/>
          </w:tcPr>
          <w:p w14:paraId="7453C1D0" w14:textId="77777777" w:rsidR="001279A8" w:rsidRPr="006F7AF8" w:rsidRDefault="001279A8" w:rsidP="009B4355">
            <w:pPr>
              <w:rPr>
                <w:rFonts w:ascii="Aptos" w:hAnsi="Aptos"/>
                <w:lang w:val="fr-FR"/>
              </w:rPr>
            </w:pPr>
            <w:r w:rsidRPr="006F7AF8">
              <w:rPr>
                <w:rFonts w:ascii="Aptos" w:hAnsi="Aptos"/>
                <w:lang w:val="fr-FR"/>
              </w:rPr>
              <w:t>improving</w:t>
            </w:r>
          </w:p>
        </w:tc>
        <w:tc>
          <w:tcPr>
            <w:tcW w:w="4673" w:type="dxa"/>
          </w:tcPr>
          <w:p w14:paraId="4C3F4ACA" w14:textId="77777777" w:rsidR="001279A8" w:rsidRPr="006F7AF8" w:rsidRDefault="001279A8" w:rsidP="009B4355">
            <w:pPr>
              <w:rPr>
                <w:rFonts w:ascii="Aptos" w:hAnsi="Aptos"/>
                <w:lang w:val="fr-FR"/>
              </w:rPr>
            </w:pPr>
            <w:r>
              <w:rPr>
                <w:rFonts w:ascii="Aptos" w:hAnsi="Aptos"/>
                <w:lang w:val="fr-FR"/>
              </w:rPr>
              <w:t>amélioration</w:t>
            </w:r>
          </w:p>
        </w:tc>
      </w:tr>
      <w:tr w:rsidR="001279A8" w:rsidRPr="006F7AF8" w14:paraId="6A54EA14" w14:textId="77777777" w:rsidTr="009B4355">
        <w:tc>
          <w:tcPr>
            <w:tcW w:w="4188" w:type="dxa"/>
          </w:tcPr>
          <w:p w14:paraId="2BEC4D8E" w14:textId="77777777" w:rsidR="001279A8" w:rsidRPr="006F7AF8" w:rsidRDefault="001279A8" w:rsidP="009B4355">
            <w:pPr>
              <w:rPr>
                <w:rFonts w:ascii="Aptos" w:hAnsi="Aptos"/>
                <w:lang w:val="fr-FR"/>
              </w:rPr>
            </w:pPr>
            <w:r w:rsidRPr="006F7AF8">
              <w:rPr>
                <w:rFonts w:ascii="Aptos" w:hAnsi="Aptos"/>
                <w:lang w:val="fr-FR"/>
              </w:rPr>
              <w:t>stable</w:t>
            </w:r>
          </w:p>
        </w:tc>
        <w:tc>
          <w:tcPr>
            <w:tcW w:w="4673" w:type="dxa"/>
          </w:tcPr>
          <w:p w14:paraId="236810B0" w14:textId="77777777" w:rsidR="001279A8" w:rsidRPr="006F7AF8" w:rsidRDefault="001279A8"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1279A8" w:rsidRPr="006F7AF8" w14:paraId="49665EB7" w14:textId="77777777" w:rsidTr="009B4355">
        <w:tc>
          <w:tcPr>
            <w:tcW w:w="4188" w:type="dxa"/>
          </w:tcPr>
          <w:p w14:paraId="56A4FFAB" w14:textId="77777777" w:rsidR="001279A8" w:rsidRPr="006F7AF8" w:rsidRDefault="001279A8" w:rsidP="009B4355">
            <w:pPr>
              <w:rPr>
                <w:rFonts w:ascii="Aptos" w:hAnsi="Aptos"/>
                <w:lang w:val="fr-FR"/>
              </w:rPr>
            </w:pPr>
            <w:r w:rsidRPr="006F7AF8">
              <w:rPr>
                <w:rFonts w:ascii="Aptos" w:hAnsi="Aptos"/>
                <w:lang w:val="fr-FR"/>
              </w:rPr>
              <w:t>moving away</w:t>
            </w:r>
          </w:p>
        </w:tc>
        <w:tc>
          <w:tcPr>
            <w:tcW w:w="4673" w:type="dxa"/>
          </w:tcPr>
          <w:p w14:paraId="12F12D5F" w14:textId="77777777" w:rsidR="001279A8" w:rsidRPr="006F7AF8" w:rsidRDefault="001279A8" w:rsidP="009B4355">
            <w:pPr>
              <w:rPr>
                <w:rFonts w:ascii="Aptos" w:hAnsi="Aptos"/>
                <w:lang w:val="fr-FR"/>
              </w:rPr>
            </w:pPr>
            <w:r>
              <w:rPr>
                <w:rFonts w:ascii="Aptos" w:hAnsi="Aptos"/>
                <w:lang w:val="fr-FR"/>
              </w:rPr>
              <w:t>éloignement</w:t>
            </w:r>
          </w:p>
        </w:tc>
      </w:tr>
      <w:tr w:rsidR="001279A8" w:rsidRPr="006F7AF8" w14:paraId="6F2C2B6B" w14:textId="77777777" w:rsidTr="009B4355">
        <w:tc>
          <w:tcPr>
            <w:tcW w:w="4188" w:type="dxa"/>
          </w:tcPr>
          <w:p w14:paraId="774C7E13" w14:textId="77777777" w:rsidR="001279A8" w:rsidRPr="006F7AF8" w:rsidRDefault="001279A8" w:rsidP="009B4355">
            <w:pPr>
              <w:rPr>
                <w:rFonts w:ascii="Aptos" w:hAnsi="Aptos"/>
                <w:lang w:val="fr-FR"/>
              </w:rPr>
            </w:pPr>
            <w:r w:rsidRPr="006F7AF8">
              <w:rPr>
                <w:rFonts w:ascii="Aptos" w:hAnsi="Aptos"/>
                <w:lang w:val="fr-FR"/>
              </w:rPr>
              <w:t>Party count: 11</w:t>
            </w:r>
          </w:p>
        </w:tc>
        <w:tc>
          <w:tcPr>
            <w:tcW w:w="4673" w:type="dxa"/>
          </w:tcPr>
          <w:p w14:paraId="4C8D98CF" w14:textId="77777777" w:rsidR="001279A8" w:rsidRPr="006F7AF8" w:rsidRDefault="001279A8" w:rsidP="009B4355">
            <w:pPr>
              <w:rPr>
                <w:rFonts w:ascii="Aptos" w:hAnsi="Aptos"/>
                <w:lang w:val="fr-FR"/>
              </w:rPr>
            </w:pPr>
            <w:r w:rsidRPr="006F7AF8">
              <w:rPr>
                <w:rFonts w:ascii="Aptos" w:hAnsi="Aptos"/>
                <w:lang w:val="fr-FR"/>
              </w:rPr>
              <w:t>Nombre de Parties : 11</w:t>
            </w:r>
          </w:p>
        </w:tc>
      </w:tr>
      <w:tr w:rsidR="001279A8" w:rsidRPr="006F7AF8" w14:paraId="6A6275B0" w14:textId="77777777" w:rsidTr="009B4355">
        <w:tc>
          <w:tcPr>
            <w:tcW w:w="4188" w:type="dxa"/>
          </w:tcPr>
          <w:p w14:paraId="0C8A8922"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39BB8823"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1D5940FA" w14:textId="77777777" w:rsidTr="009B4355">
        <w:tc>
          <w:tcPr>
            <w:tcW w:w="4188" w:type="dxa"/>
          </w:tcPr>
          <w:p w14:paraId="5E49CC02"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50245838"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52EA1FB7" w14:textId="77777777" w:rsidTr="009B4355">
        <w:tc>
          <w:tcPr>
            <w:tcW w:w="4188" w:type="dxa"/>
          </w:tcPr>
          <w:p w14:paraId="041E6821" w14:textId="77777777" w:rsidR="001279A8" w:rsidRPr="006F7AF8" w:rsidRDefault="001279A8" w:rsidP="009B4355">
            <w:pPr>
              <w:rPr>
                <w:rFonts w:ascii="Aptos" w:hAnsi="Aptos"/>
                <w:lang w:val="fr-FR"/>
              </w:rPr>
            </w:pPr>
            <w:r w:rsidRPr="006F7AF8">
              <w:rPr>
                <w:rFonts w:ascii="Aptos" w:hAnsi="Aptos"/>
                <w:lang w:val="fr-FR"/>
              </w:rPr>
              <w:t>Asia –Pacific States</w:t>
            </w:r>
          </w:p>
        </w:tc>
        <w:tc>
          <w:tcPr>
            <w:tcW w:w="4673" w:type="dxa"/>
          </w:tcPr>
          <w:p w14:paraId="1D8D5B09"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5BA6993A" w14:textId="77777777" w:rsidTr="009B4355">
        <w:tc>
          <w:tcPr>
            <w:tcW w:w="4188" w:type="dxa"/>
          </w:tcPr>
          <w:p w14:paraId="7ACF9933"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0935450C"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1B5A567E" w14:textId="77777777" w:rsidTr="009B4355">
        <w:tc>
          <w:tcPr>
            <w:tcW w:w="4188" w:type="dxa"/>
          </w:tcPr>
          <w:p w14:paraId="215124EF"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410296A7"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15071E99" w14:textId="77777777" w:rsidTr="009B4355">
        <w:tc>
          <w:tcPr>
            <w:tcW w:w="4188" w:type="dxa"/>
          </w:tcPr>
          <w:p w14:paraId="73B4E0BC"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3" w:type="dxa"/>
          </w:tcPr>
          <w:p w14:paraId="7D1E78A4"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C4096B4" w14:textId="77777777" w:rsidR="00B87039" w:rsidRPr="00653BF4" w:rsidRDefault="00B87039" w:rsidP="00B87039">
      <w:pPr>
        <w:pStyle w:val="Caption"/>
        <w:rPr>
          <w:lang w:val="fr-FR"/>
        </w:rPr>
      </w:pPr>
    </w:p>
    <w:p w14:paraId="74E23DB5" w14:textId="3804538F" w:rsidR="00B87039" w:rsidRPr="00653BF4" w:rsidRDefault="00B87039" w:rsidP="00B87039">
      <w:pPr>
        <w:pStyle w:val="Heading6"/>
        <w:rPr>
          <w:lang w:val="fr-FR"/>
        </w:rPr>
      </w:pPr>
      <w:r w:rsidRPr="00653BF4">
        <w:rPr>
          <w:lang w:val="fr-FR"/>
        </w:rPr>
        <w:t>Auto-évaluation des progrès accomplis</w:t>
      </w:r>
      <w:bookmarkEnd w:id="336"/>
    </w:p>
    <w:p w14:paraId="266647CC" w14:textId="77777777" w:rsidR="00B87039" w:rsidRPr="00653BF4" w:rsidRDefault="00B87039" w:rsidP="00B87039">
      <w:pPr>
        <w:rPr>
          <w:lang w:val="fr-FR"/>
        </w:rPr>
      </w:pPr>
    </w:p>
    <w:p w14:paraId="3CDD22B8" w14:textId="315AF8A3" w:rsidR="00B87039" w:rsidRPr="00653BF4" w:rsidRDefault="00B87039" w:rsidP="00B87039">
      <w:pPr>
        <w:rPr>
          <w:rStyle w:val="normaltextrun"/>
          <w:lang w:val="fr-FR"/>
        </w:rPr>
      </w:pPr>
      <w:bookmarkStart w:id="337" w:name="_Ref231220342"/>
      <w:r w:rsidRPr="00653BF4">
        <w:rPr>
          <w:lang w:val="fr-FR"/>
        </w:rPr>
        <w:t>D’après les auto-évaluations des Parties figurant dans leurs rapports nationaux, 37</w:t>
      </w:r>
      <w:r w:rsidR="002878D7">
        <w:rPr>
          <w:lang w:val="fr-FR"/>
        </w:rPr>
        <w:t> %</w:t>
      </w:r>
      <w:r w:rsidRPr="00653BF4">
        <w:rPr>
          <w:lang w:val="fr-FR"/>
        </w:rPr>
        <w:t xml:space="preserve"> seulement des cibles nationales qu</w:t>
      </w:r>
      <w:r w:rsidR="00D77549">
        <w:rPr>
          <w:lang w:val="fr-FR"/>
        </w:rPr>
        <w:t>’</w:t>
      </w:r>
      <w:r w:rsidRPr="00653BF4">
        <w:rPr>
          <w:lang w:val="fr-FR"/>
        </w:rPr>
        <w:t xml:space="preserve">elles ont présentées comme étroitement alignées sur la </w:t>
      </w:r>
      <w:r w:rsidR="00E34DC9">
        <w:rPr>
          <w:lang w:val="fr-FR"/>
        </w:rPr>
        <w:t>cible 1</w:t>
      </w:r>
      <w:r w:rsidRPr="00653BF4">
        <w:rPr>
          <w:lang w:val="fr-FR"/>
        </w:rPr>
        <w:t>7 sont en voie d</w:t>
      </w:r>
      <w:r w:rsidR="00D77549">
        <w:rPr>
          <w:lang w:val="fr-FR"/>
        </w:rPr>
        <w:t>’</w:t>
      </w:r>
      <w:r w:rsidRPr="00653BF4">
        <w:rPr>
          <w:lang w:val="fr-FR"/>
        </w:rPr>
        <w:t>être atteintes, alors que 7</w:t>
      </w:r>
      <w:r w:rsidR="002878D7">
        <w:rPr>
          <w:lang w:val="fr-FR"/>
        </w:rPr>
        <w:t> %</w:t>
      </w:r>
      <w:r w:rsidRPr="00653BF4">
        <w:rPr>
          <w:lang w:val="fr-FR"/>
        </w:rPr>
        <w:t xml:space="preserve"> n</w:t>
      </w:r>
      <w:r w:rsidR="00D77549">
        <w:rPr>
          <w:lang w:val="fr-FR"/>
        </w:rPr>
        <w:t>’</w:t>
      </w:r>
      <w:r w:rsidRPr="00653BF4">
        <w:rPr>
          <w:lang w:val="fr-FR"/>
        </w:rPr>
        <w:t>enregistrent aucun changement notable, 49</w:t>
      </w:r>
      <w:r w:rsidR="002878D7">
        <w:rPr>
          <w:lang w:val="fr-FR"/>
        </w:rPr>
        <w:t> %</w:t>
      </w:r>
      <w:r w:rsidRPr="00653BF4">
        <w:rPr>
          <w:lang w:val="fr-FR"/>
        </w:rPr>
        <w:t xml:space="preserve"> des progrès insuffisants, et 5 (5</w:t>
      </w:r>
      <w:r w:rsidR="002878D7">
        <w:rPr>
          <w:lang w:val="fr-FR"/>
        </w:rPr>
        <w:t> %</w:t>
      </w:r>
      <w:r w:rsidRPr="00653BF4">
        <w:rPr>
          <w:lang w:val="fr-FR"/>
        </w:rPr>
        <w:t>) sont déclarées déjà atteintes (voir la figure 72).</w:t>
      </w:r>
      <w:r w:rsidRPr="00653BF4">
        <w:rPr>
          <w:rStyle w:val="normaltextrun"/>
          <w:lang w:val="fr-FR"/>
        </w:rPr>
        <w:t xml:space="preserve"> </w:t>
      </w:r>
    </w:p>
    <w:p w14:paraId="0A89BCDF" w14:textId="77777777" w:rsidR="00B87039" w:rsidRPr="00653BF4" w:rsidRDefault="00B87039" w:rsidP="00B87039">
      <w:pPr>
        <w:rPr>
          <w:rStyle w:val="normaltextrun"/>
          <w:lang w:val="fr-FR"/>
        </w:rPr>
      </w:pPr>
    </w:p>
    <w:p w14:paraId="611F6A30" w14:textId="77777777" w:rsidR="00B87039" w:rsidRPr="00653BF4" w:rsidRDefault="00B87039" w:rsidP="00B87039">
      <w:pPr>
        <w:rPr>
          <w:sz w:val="20"/>
          <w:szCs w:val="20"/>
          <w:lang w:val="fr-FR"/>
        </w:rPr>
      </w:pPr>
      <w:r w:rsidRPr="00653BF4">
        <w:rPr>
          <w:sz w:val="20"/>
          <w:szCs w:val="20"/>
          <w:lang w:val="fr-FR"/>
        </w:rPr>
        <w:lastRenderedPageBreak/>
        <w:t>Figure 72</w:t>
      </w:r>
    </w:p>
    <w:p w14:paraId="0D398F9A" w14:textId="3473B39C" w:rsidR="00B87039" w:rsidRPr="00653BF4"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1</w:t>
      </w:r>
      <w:r w:rsidRPr="00653BF4">
        <w:rPr>
          <w:b/>
          <w:bCs/>
          <w:i w:val="0"/>
          <w:iCs w:val="0"/>
          <w:sz w:val="20"/>
          <w:szCs w:val="20"/>
          <w:lang w:val="fr-FR"/>
        </w:rPr>
        <w:t>7 du Cadre</w:t>
      </w:r>
    </w:p>
    <w:p w14:paraId="5AD1B73B" w14:textId="77777777" w:rsidR="00B87039" w:rsidRPr="00653BF4" w:rsidRDefault="00B87039" w:rsidP="00B87039">
      <w:pPr>
        <w:rPr>
          <w:rStyle w:val="normaltextrun"/>
          <w:lang w:val="fr-FR"/>
        </w:rPr>
      </w:pPr>
      <w:r w:rsidRPr="00653BF4">
        <w:rPr>
          <w:rFonts w:eastAsia="Aptos" w:cs="Aptos"/>
          <w:noProof/>
          <w:lang w:val="fr-FR"/>
        </w:rPr>
        <w:drawing>
          <wp:inline distT="0" distB="0" distL="0" distR="0" wp14:anchorId="23B2E567" wp14:editId="21175355">
            <wp:extent cx="5731510" cy="2292350"/>
            <wp:effectExtent l="0" t="0" r="0" b="6350"/>
            <wp:docPr id="5429927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92755" name="Picture 542992755"/>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337"/>
    <w:p w14:paraId="56024B1A" w14:textId="09562816"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lang w:val="fr-FR"/>
        </w:rPr>
        <w:t xml:space="preserve"> </w:t>
      </w:r>
      <w:r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9463" w:type="dxa"/>
        <w:tblLook w:val="04A0" w:firstRow="1" w:lastRow="0" w:firstColumn="1" w:lastColumn="0" w:noHBand="0" w:noVBand="1"/>
      </w:tblPr>
      <w:tblGrid>
        <w:gridCol w:w="4390"/>
        <w:gridCol w:w="5073"/>
      </w:tblGrid>
      <w:tr w:rsidR="001279A8" w:rsidRPr="00C4151B" w14:paraId="2362B892" w14:textId="77777777" w:rsidTr="009B4355">
        <w:tc>
          <w:tcPr>
            <w:tcW w:w="9463" w:type="dxa"/>
            <w:gridSpan w:val="2"/>
          </w:tcPr>
          <w:p w14:paraId="2EE85DC9" w14:textId="77777777" w:rsidR="001279A8" w:rsidRPr="00C4151B" w:rsidRDefault="001279A8" w:rsidP="009B4355">
            <w:pPr>
              <w:rPr>
                <w:rFonts w:ascii="Aptos" w:hAnsi="Aptos"/>
                <w:lang w:val="fr-FR"/>
              </w:rPr>
            </w:pPr>
            <w:r w:rsidRPr="00C4151B">
              <w:rPr>
                <w:rFonts w:ascii="Aptos" w:hAnsi="Aptos"/>
                <w:lang w:val="fr-FR"/>
              </w:rPr>
              <w:t>Figure 72</w:t>
            </w:r>
          </w:p>
        </w:tc>
      </w:tr>
      <w:tr w:rsidR="001279A8" w:rsidRPr="00C4151B" w14:paraId="2DEC0BC1" w14:textId="77777777" w:rsidTr="009B4355">
        <w:tc>
          <w:tcPr>
            <w:tcW w:w="4390" w:type="dxa"/>
          </w:tcPr>
          <w:p w14:paraId="1D4F76A2" w14:textId="77777777" w:rsidR="001279A8" w:rsidRPr="00C4151B" w:rsidRDefault="001279A8" w:rsidP="009B4355">
            <w:pPr>
              <w:rPr>
                <w:rFonts w:ascii="Aptos" w:hAnsi="Aptos"/>
                <w:lang w:val="fr-FR"/>
              </w:rPr>
            </w:pPr>
            <w:r w:rsidRPr="00C4151B">
              <w:rPr>
                <w:rFonts w:ascii="Aptos" w:hAnsi="Aptos"/>
                <w:lang w:val="fr-FR"/>
              </w:rPr>
              <w:t xml:space="preserve">English </w:t>
            </w:r>
          </w:p>
        </w:tc>
        <w:tc>
          <w:tcPr>
            <w:tcW w:w="5073" w:type="dxa"/>
          </w:tcPr>
          <w:p w14:paraId="0C86E42B" w14:textId="77777777" w:rsidR="001279A8" w:rsidRPr="00C4151B" w:rsidRDefault="001279A8" w:rsidP="009B4355">
            <w:pPr>
              <w:rPr>
                <w:rFonts w:ascii="Aptos" w:hAnsi="Aptos"/>
                <w:lang w:val="fr-FR"/>
              </w:rPr>
            </w:pPr>
            <w:r>
              <w:rPr>
                <w:rFonts w:ascii="Aptos" w:hAnsi="Aptos"/>
                <w:lang w:val="fr-FR"/>
              </w:rPr>
              <w:t>Français</w:t>
            </w:r>
          </w:p>
        </w:tc>
      </w:tr>
      <w:tr w:rsidR="001279A8" w:rsidRPr="006F7AF8" w14:paraId="4739A394" w14:textId="77777777" w:rsidTr="009B4355">
        <w:tc>
          <w:tcPr>
            <w:tcW w:w="4390" w:type="dxa"/>
          </w:tcPr>
          <w:p w14:paraId="538BC58D" w14:textId="77777777" w:rsidR="001279A8" w:rsidRPr="006F7AF8" w:rsidRDefault="001279A8" w:rsidP="009B4355">
            <w:pPr>
              <w:rPr>
                <w:rFonts w:ascii="Aptos" w:hAnsi="Aptos"/>
                <w:lang w:val="fr-FR"/>
              </w:rPr>
            </w:pPr>
            <w:r w:rsidRPr="006F7AF8">
              <w:rPr>
                <w:rFonts w:ascii="Aptos" w:hAnsi="Aptos"/>
                <w:lang w:val="fr-FR"/>
              </w:rPr>
              <w:t>Percentage of national targets</w:t>
            </w:r>
          </w:p>
        </w:tc>
        <w:tc>
          <w:tcPr>
            <w:tcW w:w="5073" w:type="dxa"/>
          </w:tcPr>
          <w:p w14:paraId="34269547" w14:textId="77777777" w:rsidR="001279A8" w:rsidRPr="006F7AF8" w:rsidRDefault="001279A8" w:rsidP="009B4355">
            <w:pPr>
              <w:rPr>
                <w:rFonts w:ascii="Aptos" w:hAnsi="Aptos"/>
                <w:lang w:val="fr-FR"/>
              </w:rPr>
            </w:pPr>
            <w:r>
              <w:t>Pourcentage de cibles nationales</w:t>
            </w:r>
          </w:p>
        </w:tc>
      </w:tr>
      <w:tr w:rsidR="001279A8" w:rsidRPr="006F7AF8" w14:paraId="6F6E9225" w14:textId="77777777" w:rsidTr="009B4355">
        <w:tc>
          <w:tcPr>
            <w:tcW w:w="4390" w:type="dxa"/>
          </w:tcPr>
          <w:p w14:paraId="094535FE" w14:textId="77777777" w:rsidR="001279A8" w:rsidRPr="006F7AF8" w:rsidRDefault="001279A8" w:rsidP="009B4355">
            <w:pPr>
              <w:rPr>
                <w:rFonts w:ascii="Aptos" w:hAnsi="Aptos"/>
                <w:lang w:val="fr-FR"/>
              </w:rPr>
            </w:pPr>
            <w:r w:rsidRPr="006F7AF8">
              <w:rPr>
                <w:rFonts w:ascii="Aptos" w:hAnsi="Aptos"/>
                <w:lang w:val="fr-FR"/>
              </w:rPr>
              <w:t>Progress level</w:t>
            </w:r>
          </w:p>
        </w:tc>
        <w:tc>
          <w:tcPr>
            <w:tcW w:w="5073" w:type="dxa"/>
          </w:tcPr>
          <w:p w14:paraId="3F3500DA" w14:textId="77777777" w:rsidR="001279A8" w:rsidRPr="006F7AF8" w:rsidRDefault="001279A8" w:rsidP="009B4355">
            <w:pPr>
              <w:rPr>
                <w:rFonts w:ascii="Aptos" w:hAnsi="Aptos"/>
                <w:lang w:val="fr-FR"/>
              </w:rPr>
            </w:pPr>
            <w:r>
              <w:t>État d’avancement</w:t>
            </w:r>
          </w:p>
        </w:tc>
      </w:tr>
      <w:tr w:rsidR="001279A8" w:rsidRPr="006F7AF8" w14:paraId="2EDD9035" w14:textId="77777777" w:rsidTr="009B4355">
        <w:tc>
          <w:tcPr>
            <w:tcW w:w="4390" w:type="dxa"/>
          </w:tcPr>
          <w:p w14:paraId="7FE9854E" w14:textId="77777777" w:rsidR="001279A8" w:rsidRPr="006F7AF8" w:rsidRDefault="001279A8" w:rsidP="009B4355">
            <w:pPr>
              <w:rPr>
                <w:rFonts w:ascii="Aptos" w:hAnsi="Aptos"/>
                <w:lang w:val="fr-FR"/>
              </w:rPr>
            </w:pPr>
            <w:r w:rsidRPr="006F7AF8">
              <w:rPr>
                <w:rFonts w:ascii="Aptos" w:hAnsi="Aptos"/>
                <w:lang w:val="fr-FR"/>
              </w:rPr>
              <w:t>Achieved</w:t>
            </w:r>
          </w:p>
        </w:tc>
        <w:tc>
          <w:tcPr>
            <w:tcW w:w="5073" w:type="dxa"/>
          </w:tcPr>
          <w:p w14:paraId="3CAC08E2" w14:textId="77777777" w:rsidR="001279A8" w:rsidRPr="006F7AF8" w:rsidRDefault="001279A8" w:rsidP="009B4355">
            <w:pPr>
              <w:rPr>
                <w:rFonts w:ascii="Aptos" w:hAnsi="Aptos"/>
                <w:lang w:val="fr-FR"/>
              </w:rPr>
            </w:pPr>
            <w:r w:rsidRPr="006F7AF8">
              <w:rPr>
                <w:rFonts w:ascii="Aptos" w:hAnsi="Aptos"/>
                <w:lang w:val="fr-FR"/>
              </w:rPr>
              <w:t>Cible atteinte</w:t>
            </w:r>
          </w:p>
        </w:tc>
      </w:tr>
      <w:tr w:rsidR="001279A8" w:rsidRPr="006F7AF8" w14:paraId="507ED8BA" w14:textId="77777777" w:rsidTr="009B4355">
        <w:tc>
          <w:tcPr>
            <w:tcW w:w="4390" w:type="dxa"/>
          </w:tcPr>
          <w:p w14:paraId="04F20D63" w14:textId="77777777" w:rsidR="001279A8" w:rsidRPr="006F7AF8" w:rsidRDefault="001279A8" w:rsidP="009B4355">
            <w:pPr>
              <w:rPr>
                <w:rFonts w:ascii="Aptos" w:hAnsi="Aptos"/>
                <w:lang w:val="fr-FR"/>
              </w:rPr>
            </w:pPr>
            <w:r w:rsidRPr="006F7AF8">
              <w:rPr>
                <w:rFonts w:ascii="Aptos" w:hAnsi="Aptos"/>
                <w:lang w:val="fr-FR"/>
              </w:rPr>
              <w:t>On track to achieve target</w:t>
            </w:r>
          </w:p>
        </w:tc>
        <w:tc>
          <w:tcPr>
            <w:tcW w:w="5073" w:type="dxa"/>
          </w:tcPr>
          <w:p w14:paraId="54F8310E" w14:textId="77777777" w:rsidR="001279A8" w:rsidRPr="006F7AF8" w:rsidRDefault="001279A8" w:rsidP="009B4355">
            <w:pPr>
              <w:rPr>
                <w:rFonts w:ascii="Aptos" w:hAnsi="Aptos"/>
                <w:lang w:val="fr-FR"/>
              </w:rPr>
            </w:pPr>
            <w:r w:rsidRPr="006F7AF8">
              <w:rPr>
                <w:rFonts w:ascii="Aptos" w:hAnsi="Aptos"/>
                <w:lang w:val="fr-FR"/>
              </w:rPr>
              <w:t>En voie d</w:t>
            </w:r>
            <w:r>
              <w:rPr>
                <w:rFonts w:ascii="Aptos" w:hAnsi="Aptos"/>
                <w:lang w:val="fr-FR"/>
              </w:rPr>
              <w:t>’</w:t>
            </w:r>
            <w:r w:rsidRPr="006F7AF8">
              <w:rPr>
                <w:rFonts w:ascii="Aptos" w:hAnsi="Aptos"/>
                <w:lang w:val="fr-FR"/>
              </w:rPr>
              <w:t>atteindre la cible</w:t>
            </w:r>
          </w:p>
        </w:tc>
      </w:tr>
      <w:tr w:rsidR="001279A8" w:rsidRPr="006F7AF8" w14:paraId="7E9AD657" w14:textId="77777777" w:rsidTr="009B4355">
        <w:tc>
          <w:tcPr>
            <w:tcW w:w="4390" w:type="dxa"/>
          </w:tcPr>
          <w:p w14:paraId="2D4D2DF7" w14:textId="77777777" w:rsidR="001279A8" w:rsidRPr="006F7AF8" w:rsidRDefault="001279A8" w:rsidP="009B4355">
            <w:pPr>
              <w:rPr>
                <w:rFonts w:ascii="Aptos" w:hAnsi="Aptos"/>
                <w:lang w:val="fr-FR"/>
              </w:rPr>
            </w:pPr>
            <w:r w:rsidRPr="006F7AF8">
              <w:rPr>
                <w:rFonts w:ascii="Aptos" w:hAnsi="Aptos"/>
                <w:lang w:val="fr-FR"/>
              </w:rPr>
              <w:t>Progress towards target but at an insufficient rate</w:t>
            </w:r>
          </w:p>
        </w:tc>
        <w:tc>
          <w:tcPr>
            <w:tcW w:w="5073" w:type="dxa"/>
          </w:tcPr>
          <w:p w14:paraId="04E920C5" w14:textId="77777777" w:rsidR="001279A8" w:rsidRPr="006F7AF8" w:rsidRDefault="001279A8" w:rsidP="009B4355">
            <w:pPr>
              <w:rPr>
                <w:rFonts w:ascii="Aptos" w:hAnsi="Aptos"/>
                <w:lang w:val="fr-FR"/>
              </w:rPr>
            </w:pPr>
            <w:r w:rsidRPr="006F7AF8">
              <w:rPr>
                <w:rFonts w:ascii="Aptos" w:hAnsi="Aptos"/>
                <w:lang w:val="fr-FR"/>
              </w:rPr>
              <w:t>Progrès accomplis, mais à un rythme insuffisant</w:t>
            </w:r>
          </w:p>
        </w:tc>
      </w:tr>
      <w:tr w:rsidR="001279A8" w:rsidRPr="006F7AF8" w14:paraId="3A1F8942" w14:textId="77777777" w:rsidTr="009B4355">
        <w:tc>
          <w:tcPr>
            <w:tcW w:w="4390" w:type="dxa"/>
          </w:tcPr>
          <w:p w14:paraId="151DD154" w14:textId="77777777" w:rsidR="001279A8" w:rsidRPr="006F7AF8" w:rsidRDefault="001279A8" w:rsidP="009B4355">
            <w:pPr>
              <w:rPr>
                <w:rFonts w:ascii="Aptos" w:hAnsi="Aptos"/>
                <w:lang w:val="fr-FR"/>
              </w:rPr>
            </w:pPr>
            <w:r w:rsidRPr="006F7AF8">
              <w:rPr>
                <w:rFonts w:ascii="Aptos" w:hAnsi="Aptos"/>
                <w:lang w:val="fr-FR"/>
              </w:rPr>
              <w:t>No significant change</w:t>
            </w:r>
          </w:p>
        </w:tc>
        <w:tc>
          <w:tcPr>
            <w:tcW w:w="5073" w:type="dxa"/>
          </w:tcPr>
          <w:p w14:paraId="33F43199" w14:textId="77777777" w:rsidR="001279A8" w:rsidRPr="006F7AF8" w:rsidRDefault="001279A8" w:rsidP="009B4355">
            <w:pPr>
              <w:rPr>
                <w:rFonts w:ascii="Aptos" w:hAnsi="Aptos"/>
                <w:lang w:val="fr-FR"/>
              </w:rPr>
            </w:pPr>
            <w:r w:rsidRPr="006F7AF8">
              <w:rPr>
                <w:rFonts w:ascii="Aptos" w:hAnsi="Aptos"/>
                <w:lang w:val="fr-FR"/>
              </w:rPr>
              <w:t>Pas de changement notable</w:t>
            </w:r>
          </w:p>
        </w:tc>
      </w:tr>
      <w:tr w:rsidR="001279A8" w:rsidRPr="006F7AF8" w14:paraId="1E58D380" w14:textId="77777777" w:rsidTr="009B4355">
        <w:tc>
          <w:tcPr>
            <w:tcW w:w="4390" w:type="dxa"/>
          </w:tcPr>
          <w:p w14:paraId="66E1782C" w14:textId="77777777" w:rsidR="001279A8" w:rsidRPr="006F7AF8" w:rsidRDefault="001279A8" w:rsidP="009B4355">
            <w:pPr>
              <w:rPr>
                <w:rFonts w:ascii="Aptos" w:hAnsi="Aptos"/>
                <w:lang w:val="fr-FR"/>
              </w:rPr>
            </w:pPr>
            <w:r w:rsidRPr="006F7AF8">
              <w:rPr>
                <w:rFonts w:ascii="Aptos" w:hAnsi="Aptos"/>
                <w:lang w:val="fr-FR"/>
              </w:rPr>
              <w:t>Unknown</w:t>
            </w:r>
          </w:p>
        </w:tc>
        <w:tc>
          <w:tcPr>
            <w:tcW w:w="5073" w:type="dxa"/>
          </w:tcPr>
          <w:p w14:paraId="72CC2FF6" w14:textId="77777777" w:rsidR="001279A8" w:rsidRPr="006F7AF8" w:rsidRDefault="001279A8" w:rsidP="009B4355">
            <w:pPr>
              <w:rPr>
                <w:rFonts w:ascii="Aptos" w:hAnsi="Aptos"/>
                <w:lang w:val="fr-FR"/>
              </w:rPr>
            </w:pPr>
            <w:r w:rsidRPr="006F7AF8">
              <w:rPr>
                <w:rFonts w:ascii="Aptos" w:hAnsi="Aptos"/>
                <w:lang w:val="fr-FR"/>
              </w:rPr>
              <w:t>Inconnu</w:t>
            </w:r>
          </w:p>
        </w:tc>
      </w:tr>
      <w:tr w:rsidR="001279A8" w:rsidRPr="006F7AF8" w14:paraId="78CED9AA" w14:textId="77777777" w:rsidTr="009B4355">
        <w:tc>
          <w:tcPr>
            <w:tcW w:w="4390" w:type="dxa"/>
          </w:tcPr>
          <w:p w14:paraId="50B694F7" w14:textId="77777777" w:rsidR="001279A8" w:rsidRPr="006F7AF8" w:rsidRDefault="001279A8" w:rsidP="009B4355">
            <w:pPr>
              <w:rPr>
                <w:rFonts w:ascii="Aptos" w:hAnsi="Aptos"/>
                <w:lang w:val="fr-FR"/>
              </w:rPr>
            </w:pPr>
            <w:r w:rsidRPr="006F7AF8">
              <w:rPr>
                <w:rFonts w:ascii="Aptos" w:hAnsi="Aptos"/>
                <w:lang w:val="fr-FR"/>
              </w:rPr>
              <w:t>Party count: 79</w:t>
            </w:r>
          </w:p>
        </w:tc>
        <w:tc>
          <w:tcPr>
            <w:tcW w:w="5073" w:type="dxa"/>
          </w:tcPr>
          <w:p w14:paraId="077D9BCE" w14:textId="77777777" w:rsidR="001279A8" w:rsidRPr="006F7AF8" w:rsidRDefault="001279A8" w:rsidP="009B4355">
            <w:pPr>
              <w:rPr>
                <w:rFonts w:ascii="Aptos" w:hAnsi="Aptos"/>
                <w:lang w:val="fr-FR"/>
              </w:rPr>
            </w:pPr>
            <w:r w:rsidRPr="006F7AF8">
              <w:rPr>
                <w:rFonts w:ascii="Aptos" w:hAnsi="Aptos"/>
                <w:lang w:val="fr-FR"/>
              </w:rPr>
              <w:t>Nombre de Parties : 79</w:t>
            </w:r>
          </w:p>
        </w:tc>
      </w:tr>
      <w:tr w:rsidR="001279A8" w:rsidRPr="006F7AF8" w14:paraId="76C62D7A" w14:textId="77777777" w:rsidTr="009B4355">
        <w:tc>
          <w:tcPr>
            <w:tcW w:w="4390" w:type="dxa"/>
          </w:tcPr>
          <w:p w14:paraId="328158ED" w14:textId="77777777" w:rsidR="001279A8" w:rsidRPr="006F7AF8" w:rsidRDefault="001279A8" w:rsidP="009B4355">
            <w:pPr>
              <w:rPr>
                <w:rFonts w:ascii="Aptos" w:hAnsi="Aptos"/>
                <w:lang w:val="fr-FR"/>
              </w:rPr>
            </w:pPr>
            <w:r w:rsidRPr="006F7AF8">
              <w:rPr>
                <w:rFonts w:ascii="Aptos" w:hAnsi="Aptos"/>
                <w:lang w:val="fr-FR"/>
              </w:rPr>
              <w:t>Region</w:t>
            </w:r>
          </w:p>
        </w:tc>
        <w:tc>
          <w:tcPr>
            <w:tcW w:w="5073" w:type="dxa"/>
          </w:tcPr>
          <w:p w14:paraId="273D53D7"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5366592C" w14:textId="77777777" w:rsidTr="009B4355">
        <w:tc>
          <w:tcPr>
            <w:tcW w:w="4390" w:type="dxa"/>
          </w:tcPr>
          <w:p w14:paraId="2BCBA160" w14:textId="77777777" w:rsidR="001279A8" w:rsidRPr="006F7AF8" w:rsidRDefault="001279A8" w:rsidP="009B4355">
            <w:pPr>
              <w:rPr>
                <w:rFonts w:ascii="Aptos" w:hAnsi="Aptos"/>
                <w:lang w:val="fr-FR"/>
              </w:rPr>
            </w:pPr>
            <w:r w:rsidRPr="006F7AF8">
              <w:rPr>
                <w:rFonts w:ascii="Aptos" w:hAnsi="Aptos"/>
                <w:lang w:val="fr-FR"/>
              </w:rPr>
              <w:t>African States</w:t>
            </w:r>
          </w:p>
        </w:tc>
        <w:tc>
          <w:tcPr>
            <w:tcW w:w="5073" w:type="dxa"/>
          </w:tcPr>
          <w:p w14:paraId="3DFAA3B0"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3867379E" w14:textId="77777777" w:rsidTr="009B4355">
        <w:tc>
          <w:tcPr>
            <w:tcW w:w="4390" w:type="dxa"/>
          </w:tcPr>
          <w:p w14:paraId="1877DCB5" w14:textId="77777777" w:rsidR="001279A8" w:rsidRPr="006F7AF8" w:rsidRDefault="001279A8" w:rsidP="009B4355">
            <w:pPr>
              <w:rPr>
                <w:rFonts w:ascii="Aptos" w:hAnsi="Aptos"/>
                <w:lang w:val="fr-FR"/>
              </w:rPr>
            </w:pPr>
            <w:r w:rsidRPr="006F7AF8">
              <w:rPr>
                <w:rFonts w:ascii="Aptos" w:hAnsi="Aptos"/>
                <w:lang w:val="fr-FR"/>
              </w:rPr>
              <w:t>Asia- Pacific States</w:t>
            </w:r>
          </w:p>
        </w:tc>
        <w:tc>
          <w:tcPr>
            <w:tcW w:w="5073" w:type="dxa"/>
          </w:tcPr>
          <w:p w14:paraId="495AB890"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45504B1A" w14:textId="77777777" w:rsidTr="009B4355">
        <w:tc>
          <w:tcPr>
            <w:tcW w:w="4390" w:type="dxa"/>
          </w:tcPr>
          <w:p w14:paraId="6ACD70ED"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5073" w:type="dxa"/>
          </w:tcPr>
          <w:p w14:paraId="66722DB4"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5ABE444A" w14:textId="77777777" w:rsidTr="009B4355">
        <w:tc>
          <w:tcPr>
            <w:tcW w:w="4390" w:type="dxa"/>
          </w:tcPr>
          <w:p w14:paraId="345DEFD3"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5073" w:type="dxa"/>
          </w:tcPr>
          <w:p w14:paraId="12C64128"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28A389A5" w14:textId="77777777" w:rsidTr="009B4355">
        <w:tc>
          <w:tcPr>
            <w:tcW w:w="4390" w:type="dxa"/>
          </w:tcPr>
          <w:p w14:paraId="504EC3E4"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5073" w:type="dxa"/>
          </w:tcPr>
          <w:p w14:paraId="78BDE914"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3107FDD6" w14:textId="77777777" w:rsidR="00B87039" w:rsidRPr="00653BF4" w:rsidRDefault="00B87039" w:rsidP="00B87039">
      <w:pPr>
        <w:rPr>
          <w:lang w:val="fr-FR"/>
        </w:rPr>
      </w:pPr>
    </w:p>
    <w:p w14:paraId="1AA1C8F8" w14:textId="77777777" w:rsidR="00B87039" w:rsidRPr="00653BF4" w:rsidRDefault="00B87039" w:rsidP="00B87039">
      <w:pPr>
        <w:pStyle w:val="Heading5"/>
        <w:rPr>
          <w:lang w:val="fr-FR"/>
        </w:rPr>
      </w:pPr>
      <w:bookmarkStart w:id="338" w:name="_Toc235821260"/>
      <w:r w:rsidRPr="00653BF4">
        <w:rPr>
          <w:lang w:val="fr-FR"/>
        </w:rPr>
        <w:lastRenderedPageBreak/>
        <w:t>Actions, réussites et difficultés</w:t>
      </w:r>
      <w:bookmarkEnd w:id="338"/>
      <w:r w:rsidRPr="00653BF4">
        <w:rPr>
          <w:lang w:val="fr-FR"/>
        </w:rPr>
        <w:t xml:space="preserve"> dans la mise en œuvre</w:t>
      </w:r>
    </w:p>
    <w:p w14:paraId="4BA79DD9" w14:textId="77777777" w:rsidR="00B87039" w:rsidRPr="00653BF4" w:rsidRDefault="00B87039" w:rsidP="00B87039">
      <w:pPr>
        <w:rPr>
          <w:lang w:val="fr-FR"/>
        </w:rPr>
      </w:pPr>
    </w:p>
    <w:p w14:paraId="785F59CE" w14:textId="362E18B3" w:rsidR="00B87039" w:rsidRPr="00653BF4" w:rsidRDefault="00B87039" w:rsidP="00B87039">
      <w:pPr>
        <w:pStyle w:val="Heading6"/>
        <w:rPr>
          <w:lang w:val="fr-FR"/>
        </w:rPr>
      </w:pPr>
      <w:bookmarkStart w:id="339" w:name="_Toc235821261"/>
      <w:r w:rsidRPr="00653BF4">
        <w:rPr>
          <w:lang w:val="fr-FR"/>
        </w:rPr>
        <w:t>Résumé des actions menées à l</w:t>
      </w:r>
      <w:r w:rsidR="00D77549">
        <w:rPr>
          <w:lang w:val="fr-FR"/>
        </w:rPr>
        <w:t>’</w:t>
      </w:r>
      <w:r w:rsidRPr="00653BF4">
        <w:rPr>
          <w:lang w:val="fr-FR"/>
        </w:rPr>
        <w:t xml:space="preserve">appui de la </w:t>
      </w:r>
      <w:r w:rsidR="00E34DC9">
        <w:rPr>
          <w:lang w:val="fr-FR"/>
        </w:rPr>
        <w:t>cible 1</w:t>
      </w:r>
      <w:r w:rsidRPr="00653BF4">
        <w:rPr>
          <w:lang w:val="fr-FR"/>
        </w:rPr>
        <w:t>7</w:t>
      </w:r>
      <w:bookmarkEnd w:id="339"/>
      <w:r w:rsidRPr="00653BF4">
        <w:rPr>
          <w:lang w:val="fr-FR"/>
        </w:rPr>
        <w:t xml:space="preserve"> du Cadre</w:t>
      </w:r>
    </w:p>
    <w:p w14:paraId="7D053B14" w14:textId="77777777" w:rsidR="00B87039" w:rsidRPr="00653BF4" w:rsidRDefault="00B87039" w:rsidP="00B87039">
      <w:pPr>
        <w:rPr>
          <w:lang w:val="fr-FR"/>
        </w:rPr>
      </w:pPr>
    </w:p>
    <w:p w14:paraId="4CB86939" w14:textId="26C1A873" w:rsidR="00B87039" w:rsidRPr="00653BF4" w:rsidRDefault="00B87039" w:rsidP="00B87039">
      <w:pPr>
        <w:rPr>
          <w:lang w:val="fr-FR"/>
        </w:rPr>
      </w:pPr>
      <w:r w:rsidRPr="00653BF4">
        <w:rPr>
          <w:lang w:val="fr-FR"/>
        </w:rPr>
        <w:t>De nombreuses Parties font état de progrès dans la création ou le renforcement des mesures de prévention des risques biotechnologiques et des infrastructures techniques, notamment la mise en place de méthodes de détection des organismes vivants modifiés, de laboratoires chargés d</w:t>
      </w:r>
      <w:r w:rsidR="00D77549">
        <w:rPr>
          <w:lang w:val="fr-FR"/>
        </w:rPr>
        <w:t>’</w:t>
      </w:r>
      <w:r w:rsidRPr="00653BF4">
        <w:rPr>
          <w:lang w:val="fr-FR"/>
        </w:rPr>
        <w:t>appliquer ces méthodes, de systèmes de suivi de ces organismes, de mesures de contrôle aux frontières et d</w:t>
      </w:r>
      <w:r w:rsidR="00D77549">
        <w:rPr>
          <w:lang w:val="fr-FR"/>
        </w:rPr>
        <w:t>’</w:t>
      </w:r>
      <w:r w:rsidRPr="00653BF4">
        <w:rPr>
          <w:lang w:val="fr-FR"/>
        </w:rPr>
        <w:t>outils d</w:t>
      </w:r>
      <w:r w:rsidR="00D77549">
        <w:rPr>
          <w:lang w:val="fr-FR"/>
        </w:rPr>
        <w:t>’</w:t>
      </w:r>
      <w:r w:rsidRPr="00653BF4">
        <w:rPr>
          <w:lang w:val="fr-FR"/>
        </w:rPr>
        <w:t>évaluation des risques. Certaines Parties ont indiqué avoir délivré des autorisations et des permis spécifiques pour les organismes vivants modifiés, tandis que d</w:t>
      </w:r>
      <w:r w:rsidR="00D77549">
        <w:rPr>
          <w:lang w:val="fr-FR"/>
        </w:rPr>
        <w:t>’</w:t>
      </w:r>
      <w:r w:rsidRPr="00653BF4">
        <w:rPr>
          <w:lang w:val="fr-FR"/>
        </w:rPr>
        <w:t>autres ont fait état de mesures visant à restreindre ou à limiter leur culture. Certains rapports nationaux comportaient également des informations sur l</w:t>
      </w:r>
      <w:r w:rsidR="00D77549">
        <w:rPr>
          <w:lang w:val="fr-FR"/>
        </w:rPr>
        <w:t>’</w:t>
      </w:r>
      <w:r w:rsidRPr="00653BF4">
        <w:rPr>
          <w:lang w:val="fr-FR"/>
        </w:rPr>
        <w:t>élaboration de lignes directrices ou de réglementations portant sur les nouvelles avancées dans le domaine des biotechnologies, notamment les organismes issus de l</w:t>
      </w:r>
      <w:r w:rsidR="00D77549">
        <w:rPr>
          <w:lang w:val="fr-FR"/>
        </w:rPr>
        <w:t>’</w:t>
      </w:r>
      <w:r w:rsidRPr="00653BF4">
        <w:rPr>
          <w:lang w:val="fr-FR"/>
        </w:rPr>
        <w:t xml:space="preserve">édition génomique. Pour les Parties au Protocole de Cartagena sur la prévention des risques biotechnologiques et à la Convention, le renforcement du soutien apporté au Protocole constitue un mécanisme essentiel pour faire progresser plus avant la </w:t>
      </w:r>
      <w:r w:rsidR="00E34DC9">
        <w:rPr>
          <w:lang w:val="fr-FR"/>
        </w:rPr>
        <w:t>cible 1</w:t>
      </w:r>
      <w:r w:rsidRPr="00653BF4">
        <w:rPr>
          <w:lang w:val="fr-FR"/>
        </w:rPr>
        <w:t>7, notamment en ce qui concerne la mise en place de normes de prévention des risques biotechnologiques qui favorisent la mise en œuvre de la Convention (voir les encadrés 41 et 42).</w:t>
      </w:r>
    </w:p>
    <w:p w14:paraId="59A98C64" w14:textId="77777777" w:rsidR="00B87039" w:rsidRPr="00653BF4" w:rsidRDefault="00B87039" w:rsidP="00B87039">
      <w:pPr>
        <w:rPr>
          <w:lang w:val="fr-FR"/>
        </w:rPr>
      </w:pPr>
      <w:r w:rsidRPr="00653BF4">
        <w:rPr>
          <w:rFonts w:eastAsia="Times New Roman" w:cs="Calibri"/>
          <w:color w:val="000000"/>
          <w:lang w:val="fr-FR"/>
        </w:rPr>
        <w:t>.</w:t>
      </w:r>
    </w:p>
    <w:p w14:paraId="587BCC9E" w14:textId="77777777" w:rsidR="00B87039" w:rsidRPr="00653BF4" w:rsidRDefault="00B87039" w:rsidP="00B87039">
      <w:pPr>
        <w:rPr>
          <w:lang w:val="fr-FR"/>
        </w:rPr>
      </w:pPr>
    </w:p>
    <w:p w14:paraId="20659FA5" w14:textId="09D6BCE9" w:rsidR="00B87039" w:rsidRPr="00653BF4" w:rsidRDefault="00B87039" w:rsidP="00B87039">
      <w:pPr>
        <w:pStyle w:val="Heading6"/>
        <w:rPr>
          <w:lang w:val="fr-FR"/>
        </w:rPr>
      </w:pPr>
      <w:bookmarkStart w:id="340" w:name="_Toc235821262"/>
      <w:r w:rsidRPr="00653BF4">
        <w:rPr>
          <w:lang w:val="fr-FR"/>
        </w:rPr>
        <w:t>Exemples de réussites et de progrès réalisés dans la mise en œuvre</w:t>
      </w:r>
      <w:bookmarkEnd w:id="340"/>
    </w:p>
    <w:p w14:paraId="75AA3309" w14:textId="77777777" w:rsidR="00B87039" w:rsidRPr="00653BF4" w:rsidRDefault="00B87039" w:rsidP="00B87039">
      <w:pPr>
        <w:rPr>
          <w:lang w:val="fr-FR"/>
        </w:rPr>
      </w:pPr>
    </w:p>
    <w:p w14:paraId="1D74E605" w14:textId="77777777" w:rsidR="00B87039" w:rsidRPr="00653BF4" w:rsidRDefault="00B87039" w:rsidP="00B87039">
      <w:pPr>
        <w:pStyle w:val="Caption"/>
        <w:keepNext/>
        <w:rPr>
          <w:lang w:val="fr-FR"/>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B87039" w:rsidRPr="00543148" w14:paraId="31021405" w14:textId="77777777" w:rsidTr="00557FB3">
        <w:tc>
          <w:tcPr>
            <w:tcW w:w="9016" w:type="dxa"/>
            <w:shd w:val="clear" w:color="auto" w:fill="D1D1D1" w:themeFill="background2" w:themeFillShade="E6"/>
          </w:tcPr>
          <w:p w14:paraId="28A90A23" w14:textId="77777777" w:rsidR="00B87039" w:rsidRPr="00653BF4" w:rsidRDefault="00B87039" w:rsidP="00557FB3">
            <w:pPr>
              <w:rPr>
                <w:sz w:val="20"/>
                <w:szCs w:val="20"/>
                <w:lang w:val="fr-FR"/>
              </w:rPr>
            </w:pPr>
            <w:r w:rsidRPr="00653BF4">
              <w:rPr>
                <w:sz w:val="20"/>
                <w:szCs w:val="20"/>
                <w:lang w:val="fr-FR"/>
              </w:rPr>
              <w:t>Encadré 41</w:t>
            </w:r>
          </w:p>
          <w:p w14:paraId="77F69CA8" w14:textId="77777777" w:rsidR="00B87039" w:rsidRPr="00653BF4" w:rsidRDefault="00B87039" w:rsidP="00557FB3">
            <w:pPr>
              <w:spacing w:after="160" w:line="278" w:lineRule="auto"/>
              <w:rPr>
                <w:b/>
                <w:bCs/>
                <w:sz w:val="20"/>
                <w:szCs w:val="20"/>
                <w:lang w:val="fr-FR"/>
              </w:rPr>
            </w:pPr>
            <w:r w:rsidRPr="00653BF4">
              <w:rPr>
                <w:b/>
                <w:bCs/>
                <w:sz w:val="20"/>
                <w:szCs w:val="20"/>
                <w:lang w:val="fr-FR"/>
              </w:rPr>
              <w:t>Législation nationale visant à renforcer les mesures de prévention des risques biotechnologiques au Cameroun</w:t>
            </w:r>
          </w:p>
          <w:p w14:paraId="4AE4BEDC" w14:textId="77777777" w:rsidR="00B87039" w:rsidRPr="00653BF4" w:rsidRDefault="00B87039" w:rsidP="00557FB3">
            <w:pPr>
              <w:rPr>
                <w:rFonts w:eastAsia="Aptos" w:cs="Aptos"/>
                <w:color w:val="000000" w:themeColor="text1"/>
                <w:lang w:val="fr-FR"/>
              </w:rPr>
            </w:pPr>
          </w:p>
          <w:p w14:paraId="447AD211" w14:textId="6F6E6D7A" w:rsidR="00B87039" w:rsidRPr="00653BF4" w:rsidRDefault="00B87039" w:rsidP="00557FB3">
            <w:pPr>
              <w:spacing w:after="160"/>
              <w:rPr>
                <w:sz w:val="20"/>
                <w:szCs w:val="20"/>
                <w:vertAlign w:val="superscript"/>
                <w:lang w:val="fr-FR"/>
              </w:rPr>
            </w:pPr>
            <w:r w:rsidRPr="00653BF4">
              <w:rPr>
                <w:sz w:val="20"/>
                <w:szCs w:val="20"/>
                <w:lang w:val="fr-FR"/>
              </w:rPr>
              <w:t>En 2025, le Cameroun a adopté une nouvelle loi visant à renforcer le cadre juridique, institutionnel et technique en matière de prévention des risques biotechnologiques, ainsi qu’à gérer, contrôler et prévenir les risques biotechnologiques. Le champ d</w:t>
            </w:r>
            <w:r w:rsidR="00D77549">
              <w:rPr>
                <w:sz w:val="20"/>
                <w:szCs w:val="20"/>
                <w:lang w:val="fr-FR"/>
              </w:rPr>
              <w:t>’</w:t>
            </w:r>
            <w:r w:rsidRPr="00653BF4">
              <w:rPr>
                <w:sz w:val="20"/>
                <w:szCs w:val="20"/>
                <w:lang w:val="fr-FR"/>
              </w:rPr>
              <w:t>application de la loi couvre l</w:t>
            </w:r>
            <w:r w:rsidR="00D77549">
              <w:rPr>
                <w:sz w:val="20"/>
                <w:szCs w:val="20"/>
                <w:lang w:val="fr-FR"/>
              </w:rPr>
              <w:t>’</w:t>
            </w:r>
            <w:r w:rsidRPr="00653BF4">
              <w:rPr>
                <w:sz w:val="20"/>
                <w:szCs w:val="20"/>
                <w:lang w:val="fr-FR"/>
              </w:rPr>
              <w:t>introduction, la gestion et le contrôle des organismes vivants modifiés et des espèces exotiques envahissantes, ainsi que les risques et les effets néfastes qui y sont associés en matière de sécurité alimentaire, de santé humaine, végétale et animale, de protection de l</w:t>
            </w:r>
            <w:r w:rsidR="00D77549">
              <w:rPr>
                <w:sz w:val="20"/>
                <w:szCs w:val="20"/>
                <w:lang w:val="fr-FR"/>
              </w:rPr>
              <w:t>’</w:t>
            </w:r>
            <w:r w:rsidRPr="00653BF4">
              <w:rPr>
                <w:sz w:val="20"/>
                <w:szCs w:val="20"/>
                <w:lang w:val="fr-FR"/>
              </w:rPr>
              <w:t>environnement, de commerce et de divers secteurs d</w:t>
            </w:r>
            <w:r w:rsidR="00D77549">
              <w:rPr>
                <w:sz w:val="20"/>
                <w:szCs w:val="20"/>
                <w:lang w:val="fr-FR"/>
              </w:rPr>
              <w:t>’</w:t>
            </w:r>
            <w:r w:rsidRPr="00653BF4">
              <w:rPr>
                <w:sz w:val="20"/>
                <w:szCs w:val="20"/>
                <w:lang w:val="fr-FR"/>
              </w:rPr>
              <w:t>activité.</w:t>
            </w:r>
            <w:r w:rsidRPr="00653BF4">
              <w:rPr>
                <w:sz w:val="20"/>
                <w:szCs w:val="20"/>
                <w:vertAlign w:val="superscript"/>
                <w:lang w:val="fr-FR"/>
              </w:rPr>
              <w:t xml:space="preserve"> </w:t>
            </w:r>
          </w:p>
          <w:p w14:paraId="36D9AF57" w14:textId="45F3028A" w:rsidR="00B87039" w:rsidRPr="00653BF4" w:rsidRDefault="00B87039" w:rsidP="00557FB3">
            <w:pPr>
              <w:spacing w:after="160"/>
              <w:rPr>
                <w:sz w:val="20"/>
                <w:szCs w:val="20"/>
                <w:lang w:val="fr-FR"/>
              </w:rPr>
            </w:pPr>
            <w:r w:rsidRPr="00653BF4">
              <w:rPr>
                <w:sz w:val="20"/>
                <w:szCs w:val="20"/>
                <w:lang w:val="fr-FR"/>
              </w:rPr>
              <w:lastRenderedPageBreak/>
              <w:t>Au niveau institutionnel, un projet de décret portant création d</w:t>
            </w:r>
            <w:r w:rsidR="00D77549">
              <w:rPr>
                <w:sz w:val="20"/>
                <w:szCs w:val="20"/>
                <w:lang w:val="fr-FR"/>
              </w:rPr>
              <w:t>’</w:t>
            </w:r>
            <w:r w:rsidRPr="00653BF4">
              <w:rPr>
                <w:sz w:val="20"/>
                <w:szCs w:val="20"/>
                <w:lang w:val="fr-FR"/>
              </w:rPr>
              <w:t>une agence nationale de prévention des risques biotechnologiques a été rédigé et fait actuellement l</w:t>
            </w:r>
            <w:r w:rsidR="00D77549">
              <w:rPr>
                <w:sz w:val="20"/>
                <w:szCs w:val="20"/>
                <w:lang w:val="fr-FR"/>
              </w:rPr>
              <w:t>’</w:t>
            </w:r>
            <w:r w:rsidRPr="00653BF4">
              <w:rPr>
                <w:sz w:val="20"/>
                <w:szCs w:val="20"/>
                <w:lang w:val="fr-FR"/>
              </w:rPr>
              <w:t>objet de consultations. Cette mesure vise à renforcer la coordination, la supervision et le contrôle des activités liées à la biotechnologie moderne. Par ailleurs, des procédures techniques d</w:t>
            </w:r>
            <w:r w:rsidR="00D77549">
              <w:rPr>
                <w:sz w:val="20"/>
                <w:szCs w:val="20"/>
                <w:lang w:val="fr-FR"/>
              </w:rPr>
              <w:t>’</w:t>
            </w:r>
            <w:r w:rsidRPr="00653BF4">
              <w:rPr>
                <w:sz w:val="20"/>
                <w:szCs w:val="20"/>
                <w:lang w:val="fr-FR"/>
              </w:rPr>
              <w:t>examen des demandes, fondées sur le principe de précaution, ont été mises en place et un registre des demandes a été créé, notamment dans le cadre de l</w:t>
            </w:r>
            <w:r w:rsidR="00D77549">
              <w:rPr>
                <w:sz w:val="20"/>
                <w:szCs w:val="20"/>
                <w:lang w:val="fr-FR"/>
              </w:rPr>
              <w:t>’</w:t>
            </w:r>
            <w:r w:rsidRPr="00653BF4">
              <w:rPr>
                <w:sz w:val="20"/>
                <w:szCs w:val="20"/>
                <w:lang w:val="fr-FR"/>
              </w:rPr>
              <w:t>examen d</w:t>
            </w:r>
            <w:r w:rsidR="00D77549">
              <w:rPr>
                <w:sz w:val="20"/>
                <w:szCs w:val="20"/>
                <w:lang w:val="fr-FR"/>
              </w:rPr>
              <w:t>’</w:t>
            </w:r>
            <w:r w:rsidRPr="00653BF4">
              <w:rPr>
                <w:sz w:val="20"/>
                <w:szCs w:val="20"/>
                <w:lang w:val="fr-FR"/>
              </w:rPr>
              <w:t>une demande d</w:t>
            </w:r>
            <w:r w:rsidR="00D77549">
              <w:rPr>
                <w:sz w:val="20"/>
                <w:szCs w:val="20"/>
                <w:lang w:val="fr-FR"/>
              </w:rPr>
              <w:t>’</w:t>
            </w:r>
            <w:r w:rsidRPr="00653BF4">
              <w:rPr>
                <w:sz w:val="20"/>
                <w:szCs w:val="20"/>
                <w:lang w:val="fr-FR"/>
              </w:rPr>
              <w:t>introduction de coton génétiquement modifié.</w:t>
            </w:r>
          </w:p>
          <w:p w14:paraId="58287C4A" w14:textId="061F21BC" w:rsidR="00B87039" w:rsidRPr="00653BF4" w:rsidRDefault="00B87039" w:rsidP="00557FB3">
            <w:pPr>
              <w:rPr>
                <w:sz w:val="20"/>
                <w:szCs w:val="20"/>
                <w:lang w:val="fr-FR"/>
              </w:rPr>
            </w:pPr>
            <w:r w:rsidRPr="00653BF4">
              <w:rPr>
                <w:sz w:val="20"/>
                <w:szCs w:val="20"/>
                <w:lang w:val="fr-FR"/>
              </w:rPr>
              <w:t>Afin d</w:t>
            </w:r>
            <w:r w:rsidR="00D77549">
              <w:rPr>
                <w:sz w:val="20"/>
                <w:szCs w:val="20"/>
                <w:lang w:val="fr-FR"/>
              </w:rPr>
              <w:t>’</w:t>
            </w:r>
            <w:r w:rsidRPr="00653BF4">
              <w:rPr>
                <w:sz w:val="20"/>
                <w:szCs w:val="20"/>
                <w:lang w:val="fr-FR"/>
              </w:rPr>
              <w:t>améliorer et de renforcer les capacités nationales en matière de détection et d</w:t>
            </w:r>
            <w:r w:rsidR="00D77549">
              <w:rPr>
                <w:sz w:val="20"/>
                <w:szCs w:val="20"/>
                <w:lang w:val="fr-FR"/>
              </w:rPr>
              <w:t>’</w:t>
            </w:r>
            <w:r w:rsidRPr="00653BF4">
              <w:rPr>
                <w:sz w:val="20"/>
                <w:szCs w:val="20"/>
                <w:lang w:val="fr-FR"/>
              </w:rPr>
              <w:t>analyse des organismes vivants modifiés, plusieurs laboratoires universitaires se voient dotés d</w:t>
            </w:r>
            <w:r w:rsidR="00D77549">
              <w:rPr>
                <w:sz w:val="20"/>
                <w:szCs w:val="20"/>
                <w:lang w:val="fr-FR"/>
              </w:rPr>
              <w:t>’</w:t>
            </w:r>
            <w:r w:rsidRPr="00653BF4">
              <w:rPr>
                <w:sz w:val="20"/>
                <w:szCs w:val="20"/>
                <w:lang w:val="fr-FR"/>
              </w:rPr>
              <w:t>équipements spécialisés, des séances de formation ont été organisées à l</w:t>
            </w:r>
            <w:r w:rsidR="00D77549">
              <w:rPr>
                <w:sz w:val="20"/>
                <w:szCs w:val="20"/>
                <w:lang w:val="fr-FR"/>
              </w:rPr>
              <w:t>’</w:t>
            </w:r>
            <w:r w:rsidRPr="00653BF4">
              <w:rPr>
                <w:sz w:val="20"/>
                <w:szCs w:val="20"/>
                <w:lang w:val="fr-FR"/>
              </w:rPr>
              <w:t>intention du personnel technique et scientifique, et un manuel national de formation est en cours d</w:t>
            </w:r>
            <w:r w:rsidR="00D77549">
              <w:rPr>
                <w:sz w:val="20"/>
                <w:szCs w:val="20"/>
                <w:lang w:val="fr-FR"/>
              </w:rPr>
              <w:t>’</w:t>
            </w:r>
            <w:r w:rsidRPr="00653BF4">
              <w:rPr>
                <w:sz w:val="20"/>
                <w:szCs w:val="20"/>
                <w:lang w:val="fr-FR"/>
              </w:rPr>
              <w:t xml:space="preserve">élaboration. </w:t>
            </w:r>
          </w:p>
          <w:p w14:paraId="2434FB00" w14:textId="77777777" w:rsidR="00B87039" w:rsidRPr="00653BF4" w:rsidRDefault="00B87039" w:rsidP="00557FB3">
            <w:pPr>
              <w:rPr>
                <w:rFonts w:eastAsia="Aptos" w:cs="Aptos"/>
                <w:color w:val="000000" w:themeColor="text1"/>
                <w:sz w:val="20"/>
                <w:szCs w:val="20"/>
                <w:lang w:val="fr-FR"/>
              </w:rPr>
            </w:pPr>
          </w:p>
          <w:p w14:paraId="1F8DF9DB" w14:textId="171B6219" w:rsidR="00B87039" w:rsidRPr="00653BF4" w:rsidRDefault="00B87039" w:rsidP="00557FB3">
            <w:pPr>
              <w:rPr>
                <w:rFonts w:eastAsia="Aptos" w:cs="Aptos"/>
                <w:color w:val="000000" w:themeColor="text1"/>
                <w:sz w:val="20"/>
                <w:szCs w:val="20"/>
                <w:lang w:val="fr-FR"/>
              </w:rPr>
            </w:pPr>
            <w:r w:rsidRPr="00653BF4">
              <w:rPr>
                <w:rFonts w:eastAsia="Aptos" w:cs="Aptos"/>
                <w:color w:val="000000" w:themeColor="text1"/>
                <w:sz w:val="20"/>
                <w:szCs w:val="20"/>
                <w:lang w:val="fr-FR"/>
              </w:rPr>
              <w:t>Depuis 2023, d</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importants financements internationaux ont été mobilisés en partenariat avec le Programme des Nations unies pour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environnement (PNUE) et le Fonds pour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environnement mondial (FEM)</w:t>
            </w:r>
            <w:r w:rsidR="00E34DC9">
              <w:rPr>
                <w:rFonts w:eastAsia="Aptos" w:cs="Aptos"/>
                <w:color w:val="000000" w:themeColor="text1"/>
                <w:sz w:val="20"/>
                <w:szCs w:val="20"/>
                <w:lang w:val="fr-FR"/>
              </w:rPr>
              <w:t> ;</w:t>
            </w:r>
            <w:r w:rsidRPr="00653BF4">
              <w:rPr>
                <w:rFonts w:eastAsia="Aptos" w:cs="Aptos"/>
                <w:color w:val="000000" w:themeColor="text1"/>
                <w:sz w:val="20"/>
                <w:szCs w:val="20"/>
                <w:lang w:val="fr-FR"/>
              </w:rPr>
              <w:t xml:space="preserve"> ces financements se poursuivront jusqu</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 xml:space="preserve">en 2028 afin de contribuer au renforcement des cadres institutionnels de sécurité biotechnologique mis en place pour la gestion des organismes vivants modifiés et des espèces exotiques envahissantes. </w:t>
            </w:r>
          </w:p>
          <w:p w14:paraId="24B70BA5" w14:textId="77777777" w:rsidR="00B87039" w:rsidRPr="00653BF4" w:rsidRDefault="00B87039" w:rsidP="00557FB3">
            <w:pPr>
              <w:rPr>
                <w:rFonts w:eastAsia="Aptos" w:cs="Aptos"/>
                <w:color w:val="000000" w:themeColor="text1"/>
                <w:lang w:val="fr-FR"/>
              </w:rPr>
            </w:pPr>
          </w:p>
          <w:p w14:paraId="1D467E8D" w14:textId="1FF445CC" w:rsidR="00B87039" w:rsidRPr="00653BF4" w:rsidRDefault="00B87039" w:rsidP="00557FB3">
            <w:pPr>
              <w:spacing w:after="160"/>
              <w:rPr>
                <w:sz w:val="20"/>
                <w:szCs w:val="20"/>
                <w:lang w:val="fr-FR"/>
              </w:rPr>
            </w:pPr>
            <w:r w:rsidRPr="00653BF4">
              <w:rPr>
                <w:sz w:val="20"/>
                <w:szCs w:val="20"/>
                <w:lang w:val="fr-FR"/>
              </w:rPr>
              <w:t>Au niveau national, la prévention des risques biotechnologiques a été intégrée dans la planification budgétaire sectorielle et des partenariats public-privé ont été mis en place pour soutenir la recherche et l</w:t>
            </w:r>
            <w:r w:rsidR="00D77549">
              <w:rPr>
                <w:sz w:val="20"/>
                <w:szCs w:val="20"/>
                <w:lang w:val="fr-FR"/>
              </w:rPr>
              <w:t>’</w:t>
            </w:r>
            <w:r w:rsidRPr="00653BF4">
              <w:rPr>
                <w:sz w:val="20"/>
                <w:szCs w:val="20"/>
                <w:lang w:val="fr-FR"/>
              </w:rPr>
              <w:t>acquisition de matériel de laboratoire. Dans l</w:t>
            </w:r>
            <w:r w:rsidR="00D77549">
              <w:rPr>
                <w:sz w:val="20"/>
                <w:szCs w:val="20"/>
                <w:lang w:val="fr-FR"/>
              </w:rPr>
              <w:t>’</w:t>
            </w:r>
            <w:r w:rsidRPr="00653BF4">
              <w:rPr>
                <w:sz w:val="20"/>
                <w:szCs w:val="20"/>
                <w:lang w:val="fr-FR"/>
              </w:rPr>
              <w:t>ensemble, ces mesures combinées constituent une avancée systématique vers la mise en place d</w:t>
            </w:r>
            <w:r w:rsidR="00D77549">
              <w:rPr>
                <w:sz w:val="20"/>
                <w:szCs w:val="20"/>
                <w:lang w:val="fr-FR"/>
              </w:rPr>
              <w:t>’</w:t>
            </w:r>
            <w:r w:rsidRPr="00653BF4">
              <w:rPr>
                <w:sz w:val="20"/>
                <w:szCs w:val="20"/>
                <w:lang w:val="fr-FR"/>
              </w:rPr>
              <w:t>un système national de prévention des risques biotechnologiques plus solide, conforme aux engagements internationaux du pays et adapté aux défis posés par les biotechnologies modernes.</w:t>
            </w:r>
          </w:p>
          <w:p w14:paraId="3471B73F" w14:textId="77777777" w:rsidR="00B87039" w:rsidRPr="00653BF4" w:rsidRDefault="00B87039" w:rsidP="00557FB3">
            <w:pPr>
              <w:rPr>
                <w:lang w:val="fr-FR"/>
              </w:rPr>
            </w:pPr>
          </w:p>
          <w:p w14:paraId="098FC56E" w14:textId="7C370A02" w:rsidR="00B87039" w:rsidRPr="00653BF4" w:rsidRDefault="00B87039" w:rsidP="00557FB3">
            <w:pPr>
              <w:rPr>
                <w:sz w:val="20"/>
                <w:szCs w:val="20"/>
                <w:lang w:val="fr-FR"/>
              </w:rPr>
            </w:pPr>
            <w:r w:rsidRPr="00653BF4">
              <w:rPr>
                <w:i/>
                <w:iCs/>
                <w:sz w:val="20"/>
                <w:szCs w:val="20"/>
                <w:lang w:val="fr-FR"/>
              </w:rPr>
              <w:t>Cibles concernées</w:t>
            </w:r>
            <w:r w:rsidR="00E34DC9">
              <w:rPr>
                <w:i/>
                <w:iCs/>
                <w:sz w:val="20"/>
                <w:szCs w:val="20"/>
                <w:lang w:val="fr-FR"/>
              </w:rPr>
              <w:t> :</w:t>
            </w:r>
            <w:r w:rsidRPr="00653BF4">
              <w:rPr>
                <w:i/>
                <w:iCs/>
                <w:sz w:val="20"/>
                <w:szCs w:val="20"/>
                <w:lang w:val="fr-FR"/>
              </w:rPr>
              <w:t xml:space="preserve"> </w:t>
            </w:r>
            <w:r w:rsidRPr="00653BF4">
              <w:rPr>
                <w:sz w:val="20"/>
                <w:szCs w:val="20"/>
                <w:lang w:val="fr-FR"/>
              </w:rPr>
              <w:t>6, 13, 17, 19, 20 et 21.</w:t>
            </w:r>
          </w:p>
          <w:p w14:paraId="6B95C2C2" w14:textId="79E5A235" w:rsidR="00B87039" w:rsidRPr="00653BF4" w:rsidRDefault="00B87039" w:rsidP="00557FB3">
            <w:pPr>
              <w:rPr>
                <w:sz w:val="20"/>
                <w:szCs w:val="20"/>
                <w:lang w:val="fr-FR"/>
              </w:rPr>
            </w:pPr>
            <w:r w:rsidRPr="00653BF4">
              <w:rPr>
                <w:i/>
                <w:iCs/>
                <w:sz w:val="20"/>
                <w:szCs w:val="20"/>
                <w:lang w:val="fr-FR"/>
              </w:rPr>
              <w:t>Sources</w:t>
            </w:r>
            <w:r w:rsidR="00E34DC9">
              <w:rPr>
                <w:sz w:val="20"/>
                <w:szCs w:val="20"/>
                <w:lang w:val="fr-FR"/>
              </w:rPr>
              <w:t> :</w:t>
            </w:r>
            <w:r w:rsidRPr="00653BF4">
              <w:rPr>
                <w:i/>
                <w:iCs/>
                <w:lang w:val="fr-FR"/>
              </w:rPr>
              <w:t xml:space="preserve"> </w:t>
            </w:r>
            <w:r w:rsidRPr="00653BF4">
              <w:rPr>
                <w:sz w:val="20"/>
                <w:szCs w:val="20"/>
                <w:lang w:val="fr-FR"/>
              </w:rPr>
              <w:t>Cameroun, septième rapport national présenté au titre de la Convention</w:t>
            </w:r>
            <w:r w:rsidR="00E34DC9">
              <w:rPr>
                <w:sz w:val="20"/>
                <w:szCs w:val="20"/>
                <w:lang w:val="fr-FR"/>
              </w:rPr>
              <w:t> ;</w:t>
            </w:r>
            <w:r w:rsidRPr="00653BF4">
              <w:rPr>
                <w:sz w:val="20"/>
                <w:szCs w:val="20"/>
                <w:lang w:val="fr-FR"/>
              </w:rPr>
              <w:t xml:space="preserve"> Gouvernement du Cameroun, 2025</w:t>
            </w:r>
            <w:r w:rsidR="00E34DC9">
              <w:rPr>
                <w:sz w:val="20"/>
                <w:szCs w:val="20"/>
                <w:lang w:val="fr-FR"/>
              </w:rPr>
              <w:t> ;</w:t>
            </w:r>
            <w:r w:rsidRPr="00653BF4">
              <w:rPr>
                <w:sz w:val="20"/>
                <w:szCs w:val="20"/>
                <w:lang w:val="fr-FR"/>
              </w:rPr>
              <w:t xml:space="preserve"> et PNUE et FEM, 2023.</w:t>
            </w:r>
          </w:p>
          <w:p w14:paraId="6B5D7659" w14:textId="77777777" w:rsidR="00B87039" w:rsidRPr="00653BF4" w:rsidRDefault="00B87039" w:rsidP="00557FB3">
            <w:pPr>
              <w:rPr>
                <w:i/>
                <w:iCs/>
                <w:lang w:val="fr-FR"/>
              </w:rPr>
            </w:pPr>
          </w:p>
          <w:p w14:paraId="7B92277E" w14:textId="77777777" w:rsidR="00B87039" w:rsidRPr="00653BF4" w:rsidRDefault="00B87039" w:rsidP="00557FB3">
            <w:pPr>
              <w:rPr>
                <w:i/>
                <w:iCs/>
                <w:lang w:val="fr-FR"/>
              </w:rPr>
            </w:pPr>
          </w:p>
        </w:tc>
      </w:tr>
    </w:tbl>
    <w:p w14:paraId="37C6D869" w14:textId="77777777" w:rsidR="00B87039" w:rsidRPr="00653BF4" w:rsidRDefault="00B87039" w:rsidP="00B87039">
      <w:pPr>
        <w:pStyle w:val="Caption"/>
        <w:keepNext/>
        <w:rPr>
          <w:lang w:val="fr-FR"/>
        </w:rPr>
      </w:pPr>
      <w:r w:rsidRPr="00653BF4">
        <w:rPr>
          <w:lang w:val="fr-FR"/>
        </w:rPr>
        <w:lastRenderedPageBreak/>
        <w:t xml:space="preserve"> </w:t>
      </w:r>
    </w:p>
    <w:tbl>
      <w:tblPr>
        <w:tblStyle w:val="TableGrid"/>
        <w:tblW w:w="0" w:type="auto"/>
        <w:tblLook w:val="04A0" w:firstRow="1" w:lastRow="0" w:firstColumn="1" w:lastColumn="0" w:noHBand="0" w:noVBand="1"/>
      </w:tblPr>
      <w:tblGrid>
        <w:gridCol w:w="9069"/>
      </w:tblGrid>
      <w:tr w:rsidR="00B87039" w:rsidRPr="00543148" w14:paraId="7362A38E" w14:textId="77777777" w:rsidTr="00557FB3">
        <w:trPr>
          <w:trHeight w:val="303"/>
        </w:trPr>
        <w:tc>
          <w:tcPr>
            <w:tcW w:w="9069" w:type="dxa"/>
            <w:shd w:val="clear" w:color="auto" w:fill="D1D1D1" w:themeFill="background2" w:themeFillShade="E6"/>
          </w:tcPr>
          <w:p w14:paraId="626910C1" w14:textId="77777777" w:rsidR="00B87039" w:rsidRPr="00653BF4" w:rsidRDefault="00B87039" w:rsidP="00557FB3">
            <w:pPr>
              <w:rPr>
                <w:sz w:val="20"/>
                <w:szCs w:val="20"/>
                <w:lang w:val="fr-FR"/>
              </w:rPr>
            </w:pPr>
            <w:r w:rsidRPr="00653BF4">
              <w:rPr>
                <w:sz w:val="20"/>
                <w:szCs w:val="20"/>
                <w:lang w:val="fr-FR"/>
              </w:rPr>
              <w:t>Encadré 42</w:t>
            </w:r>
          </w:p>
          <w:p w14:paraId="73B4A96E" w14:textId="61523FB5" w:rsidR="00B87039" w:rsidRPr="00653BF4" w:rsidRDefault="00B87039" w:rsidP="00557FB3">
            <w:pPr>
              <w:spacing w:after="160"/>
              <w:rPr>
                <w:b/>
                <w:bCs/>
                <w:sz w:val="20"/>
                <w:szCs w:val="20"/>
                <w:lang w:val="fr-FR"/>
              </w:rPr>
            </w:pPr>
            <w:r w:rsidRPr="00653BF4">
              <w:rPr>
                <w:b/>
                <w:bCs/>
                <w:sz w:val="20"/>
                <w:szCs w:val="20"/>
                <w:lang w:val="fr-FR"/>
              </w:rPr>
              <w:t>Train de mesures législatives relatives à la prévention des risques biotechnologiques dans le cadre de l</w:t>
            </w:r>
            <w:r w:rsidR="00D77549">
              <w:rPr>
                <w:b/>
                <w:bCs/>
                <w:sz w:val="20"/>
                <w:szCs w:val="20"/>
                <w:lang w:val="fr-FR"/>
              </w:rPr>
              <w:t>’</w:t>
            </w:r>
            <w:r w:rsidRPr="00653BF4">
              <w:rPr>
                <w:b/>
                <w:bCs/>
                <w:sz w:val="20"/>
                <w:szCs w:val="20"/>
                <w:lang w:val="fr-FR"/>
              </w:rPr>
              <w:t>alignement sur les normes de l</w:t>
            </w:r>
            <w:r w:rsidR="00D77549">
              <w:rPr>
                <w:b/>
                <w:bCs/>
                <w:sz w:val="20"/>
                <w:szCs w:val="20"/>
                <w:lang w:val="fr-FR"/>
              </w:rPr>
              <w:t>’</w:t>
            </w:r>
            <w:r w:rsidRPr="00653BF4">
              <w:rPr>
                <w:b/>
                <w:bCs/>
                <w:sz w:val="20"/>
                <w:szCs w:val="20"/>
                <w:lang w:val="fr-FR"/>
              </w:rPr>
              <w:t>Union européenne en vue de l</w:t>
            </w:r>
            <w:r w:rsidR="00D77549">
              <w:rPr>
                <w:b/>
                <w:bCs/>
                <w:sz w:val="20"/>
                <w:szCs w:val="20"/>
                <w:lang w:val="fr-FR"/>
              </w:rPr>
              <w:t>’</w:t>
            </w:r>
            <w:r w:rsidRPr="00653BF4">
              <w:rPr>
                <w:b/>
                <w:bCs/>
                <w:sz w:val="20"/>
                <w:szCs w:val="20"/>
                <w:lang w:val="fr-FR"/>
              </w:rPr>
              <w:t>adhésion de la République de Moldova</w:t>
            </w:r>
          </w:p>
          <w:p w14:paraId="74D4E1AF" w14:textId="77777777" w:rsidR="00B87039" w:rsidRPr="00653BF4" w:rsidRDefault="00B87039" w:rsidP="00557FB3">
            <w:pPr>
              <w:rPr>
                <w:lang w:val="fr-FR"/>
              </w:rPr>
            </w:pPr>
          </w:p>
          <w:p w14:paraId="25E2F92D" w14:textId="561C4FE6" w:rsidR="00B87039" w:rsidRPr="00653BF4" w:rsidRDefault="00B87039" w:rsidP="00557FB3">
            <w:pPr>
              <w:spacing w:after="160" w:line="278" w:lineRule="auto"/>
              <w:rPr>
                <w:sz w:val="20"/>
                <w:szCs w:val="20"/>
                <w:lang w:val="fr-FR"/>
              </w:rPr>
            </w:pPr>
            <w:r w:rsidRPr="00653BF4">
              <w:rPr>
                <w:sz w:val="20"/>
                <w:szCs w:val="20"/>
                <w:lang w:val="fr-FR"/>
              </w:rPr>
              <w:t>Entre 2020 et 2025, la République de Moldova a élaboré et adopté plusieurs lois et décisions gouvernementales relatives à la sécurité biotechnologique, notamment en matière de réglementation, de contrôle, de circulation et d</w:t>
            </w:r>
            <w:r w:rsidR="00D77549">
              <w:rPr>
                <w:sz w:val="20"/>
                <w:szCs w:val="20"/>
                <w:lang w:val="fr-FR"/>
              </w:rPr>
              <w:t>’</w:t>
            </w:r>
            <w:r w:rsidRPr="00653BF4">
              <w:rPr>
                <w:sz w:val="20"/>
                <w:szCs w:val="20"/>
                <w:lang w:val="fr-FR"/>
              </w:rPr>
              <w:t>utilisation des organismes vivants modifiés, des denrées alimentaires, des aliments pour animaux et des micro-organismes. En 2025, l</w:t>
            </w:r>
            <w:r w:rsidR="00D77549">
              <w:rPr>
                <w:sz w:val="20"/>
                <w:szCs w:val="20"/>
                <w:lang w:val="fr-FR"/>
              </w:rPr>
              <w:t>’</w:t>
            </w:r>
            <w:r w:rsidRPr="00653BF4">
              <w:rPr>
                <w:sz w:val="20"/>
                <w:szCs w:val="20"/>
                <w:lang w:val="fr-FR"/>
              </w:rPr>
              <w:t>Agence pour l</w:t>
            </w:r>
            <w:r w:rsidR="00D77549">
              <w:rPr>
                <w:sz w:val="20"/>
                <w:szCs w:val="20"/>
                <w:lang w:val="fr-FR"/>
              </w:rPr>
              <w:t>’</w:t>
            </w:r>
            <w:r w:rsidRPr="00653BF4">
              <w:rPr>
                <w:sz w:val="20"/>
                <w:szCs w:val="20"/>
                <w:lang w:val="fr-FR"/>
              </w:rPr>
              <w:t>environnement de la République de Moldova a délivré 18 autorisations à 17 bénéficiaires dans le pays pour des produits concernant des aliments génétiquement modifiés pour animaux, notamment des autorisations pour des farines issues de fèves de soja génétiquement modifiées</w:t>
            </w:r>
            <w:r w:rsidR="00E34DC9">
              <w:rPr>
                <w:sz w:val="20"/>
                <w:szCs w:val="20"/>
                <w:lang w:val="fr-FR"/>
              </w:rPr>
              <w:t> ;</w:t>
            </w:r>
            <w:r w:rsidRPr="00653BF4">
              <w:rPr>
                <w:sz w:val="20"/>
                <w:szCs w:val="20"/>
                <w:lang w:val="fr-FR"/>
              </w:rPr>
              <w:t xml:space="preserve"> des aliments composés pour animaux contenant des farines issues de fèves de soja génétiquement modifiées et de maïs génétiquement modifié</w:t>
            </w:r>
            <w:r w:rsidR="00E34DC9">
              <w:rPr>
                <w:sz w:val="20"/>
                <w:szCs w:val="20"/>
                <w:lang w:val="fr-FR"/>
              </w:rPr>
              <w:t> ;</w:t>
            </w:r>
            <w:r w:rsidRPr="00653BF4">
              <w:rPr>
                <w:sz w:val="20"/>
                <w:szCs w:val="20"/>
                <w:lang w:val="fr-FR"/>
              </w:rPr>
              <w:t xml:space="preserve"> et des aliments composés pour animaux contenant des organismes génétiquement modifiés.</w:t>
            </w:r>
          </w:p>
          <w:p w14:paraId="0F7DFDE8" w14:textId="29C528D7" w:rsidR="00B87039" w:rsidRPr="00653BF4" w:rsidRDefault="00B87039" w:rsidP="00557FB3">
            <w:pPr>
              <w:spacing w:after="160" w:line="278" w:lineRule="auto"/>
              <w:rPr>
                <w:sz w:val="20"/>
                <w:szCs w:val="20"/>
                <w:lang w:val="fr-FR"/>
              </w:rPr>
            </w:pPr>
            <w:r w:rsidRPr="00653BF4">
              <w:rPr>
                <w:sz w:val="20"/>
                <w:szCs w:val="20"/>
                <w:lang w:val="fr-FR"/>
              </w:rPr>
              <w:t>Ces mesures sont conformes à la mise en œuvre du cadre réglementaire régissant l</w:t>
            </w:r>
            <w:r w:rsidR="00D77549">
              <w:rPr>
                <w:sz w:val="20"/>
                <w:szCs w:val="20"/>
                <w:lang w:val="fr-FR"/>
              </w:rPr>
              <w:t>’</w:t>
            </w:r>
            <w:r w:rsidRPr="00653BF4">
              <w:rPr>
                <w:sz w:val="20"/>
                <w:szCs w:val="20"/>
                <w:lang w:val="fr-FR"/>
              </w:rPr>
              <w:t>utilisation des organismes vivants modifiés, ainsi qu</w:t>
            </w:r>
            <w:r w:rsidR="00D77549">
              <w:rPr>
                <w:sz w:val="20"/>
                <w:szCs w:val="20"/>
                <w:lang w:val="fr-FR"/>
              </w:rPr>
              <w:t>’</w:t>
            </w:r>
            <w:r w:rsidRPr="00653BF4">
              <w:rPr>
                <w:sz w:val="20"/>
                <w:szCs w:val="20"/>
                <w:lang w:val="fr-FR"/>
              </w:rPr>
              <w:t>à l</w:t>
            </w:r>
            <w:r w:rsidR="00D77549">
              <w:rPr>
                <w:sz w:val="20"/>
                <w:szCs w:val="20"/>
                <w:lang w:val="fr-FR"/>
              </w:rPr>
              <w:t>’</w:t>
            </w:r>
            <w:r w:rsidRPr="00653BF4">
              <w:rPr>
                <w:sz w:val="20"/>
                <w:szCs w:val="20"/>
                <w:lang w:val="fr-FR"/>
              </w:rPr>
              <w:t xml:space="preserve">application du Protocole de Cartagena et du Protocole </w:t>
            </w:r>
            <w:r w:rsidRPr="00653BF4">
              <w:rPr>
                <w:sz w:val="20"/>
                <w:szCs w:val="20"/>
                <w:lang w:val="fr-FR"/>
              </w:rPr>
              <w:lastRenderedPageBreak/>
              <w:t>additionnel de Nagoya-Kuala Lumpur sur la responsabilité et la réparation, au Protocole de Cartagena sur la prévention des risques biotechnologiques. Ces mesures contribuent également à harmoniser le cadre juridique de la République de Moldova avec les directives spécifiques de l</w:t>
            </w:r>
            <w:r w:rsidR="00D77549">
              <w:rPr>
                <w:sz w:val="20"/>
                <w:szCs w:val="20"/>
                <w:lang w:val="fr-FR"/>
              </w:rPr>
              <w:t>’</w:t>
            </w:r>
            <w:r w:rsidRPr="00653BF4">
              <w:rPr>
                <w:sz w:val="20"/>
                <w:szCs w:val="20"/>
                <w:lang w:val="fr-FR"/>
              </w:rPr>
              <w:t>Union européenne relatives à la réglementation en matière de biotechnologies et de prévention des risques biotechnologiques.</w:t>
            </w:r>
          </w:p>
          <w:p w14:paraId="6F82567D" w14:textId="77A47F4A" w:rsidR="00B87039" w:rsidRPr="00653BF4" w:rsidRDefault="00B87039" w:rsidP="00557FB3">
            <w:pPr>
              <w:rPr>
                <w:rFonts w:eastAsia="Aptos" w:cs="Aptos"/>
                <w:color w:val="000000" w:themeColor="text1"/>
                <w:sz w:val="20"/>
                <w:szCs w:val="20"/>
                <w:lang w:val="fr-FR"/>
              </w:rPr>
            </w:pPr>
            <w:r w:rsidRPr="00653BF4">
              <w:rPr>
                <w:rFonts w:eastAsia="Aptos" w:cs="Aptos"/>
                <w:i/>
                <w:iCs/>
                <w:color w:val="000000" w:themeColor="text1"/>
                <w:sz w:val="20"/>
                <w:szCs w:val="20"/>
                <w:lang w:val="fr-FR"/>
              </w:rPr>
              <w:t>Cibles concernées</w:t>
            </w:r>
            <w:r w:rsidR="00E34DC9">
              <w:rPr>
                <w:rFonts w:eastAsia="Aptos" w:cs="Aptos"/>
                <w:i/>
                <w:iCs/>
                <w:color w:val="000000" w:themeColor="text1"/>
                <w:sz w:val="20"/>
                <w:szCs w:val="20"/>
                <w:lang w:val="fr-FR"/>
              </w:rPr>
              <w:t> :</w:t>
            </w:r>
            <w:r w:rsidRPr="00653BF4">
              <w:rPr>
                <w:rFonts w:eastAsia="Aptos" w:cs="Aptos"/>
                <w:i/>
                <w:iCs/>
                <w:color w:val="000000" w:themeColor="text1"/>
                <w:sz w:val="20"/>
                <w:szCs w:val="20"/>
                <w:lang w:val="fr-FR"/>
              </w:rPr>
              <w:t xml:space="preserve"> </w:t>
            </w:r>
            <w:r w:rsidRPr="00653BF4">
              <w:rPr>
                <w:rFonts w:eastAsia="Aptos" w:cs="Aptos"/>
                <w:color w:val="000000" w:themeColor="text1"/>
                <w:sz w:val="20"/>
                <w:szCs w:val="20"/>
                <w:lang w:val="fr-FR"/>
              </w:rPr>
              <w:t>10,14 et 17.</w:t>
            </w:r>
          </w:p>
          <w:p w14:paraId="763CF5DD" w14:textId="26597005" w:rsidR="00B87039" w:rsidRPr="00653BF4" w:rsidRDefault="00B87039" w:rsidP="00557FB3">
            <w:pPr>
              <w:rPr>
                <w:rFonts w:eastAsia="Aptos" w:cs="Aptos"/>
                <w:color w:val="000000" w:themeColor="text1"/>
                <w:sz w:val="20"/>
                <w:szCs w:val="20"/>
                <w:lang w:val="fr-FR"/>
              </w:rPr>
            </w:pPr>
            <w:r w:rsidRPr="00653BF4">
              <w:rPr>
                <w:rFonts w:eastAsia="Aptos" w:cs="Aptos"/>
                <w:i/>
                <w:iCs/>
                <w:color w:val="000000" w:themeColor="text1"/>
                <w:sz w:val="20"/>
                <w:szCs w:val="20"/>
                <w:lang w:val="fr-FR"/>
              </w:rPr>
              <w:t>Source</w:t>
            </w:r>
            <w:r w:rsidR="00E34DC9">
              <w:rPr>
                <w:rFonts w:eastAsia="Aptos" w:cs="Aptos"/>
                <w:i/>
                <w:iCs/>
                <w:color w:val="000000" w:themeColor="text1"/>
                <w:sz w:val="20"/>
                <w:szCs w:val="20"/>
                <w:lang w:val="fr-FR"/>
              </w:rPr>
              <w:t> :</w:t>
            </w:r>
            <w:r w:rsidRPr="00653BF4">
              <w:rPr>
                <w:rFonts w:eastAsia="Aptos" w:cs="Aptos"/>
                <w:i/>
                <w:iCs/>
                <w:color w:val="000000" w:themeColor="text1"/>
                <w:sz w:val="20"/>
                <w:szCs w:val="20"/>
                <w:lang w:val="fr-FR"/>
              </w:rPr>
              <w:t xml:space="preserve"> </w:t>
            </w:r>
            <w:r w:rsidRPr="00653BF4">
              <w:rPr>
                <w:rFonts w:eastAsia="Aptos" w:cs="Aptos"/>
                <w:color w:val="000000" w:themeColor="text1"/>
                <w:sz w:val="20"/>
                <w:szCs w:val="20"/>
                <w:lang w:val="fr-FR"/>
              </w:rPr>
              <w:t>Moldova, septième rapport national présenté au titre de la Convention.</w:t>
            </w:r>
          </w:p>
          <w:p w14:paraId="1BB11440" w14:textId="77777777" w:rsidR="00B87039" w:rsidRPr="00653BF4" w:rsidRDefault="00B87039" w:rsidP="00557FB3">
            <w:pPr>
              <w:rPr>
                <w:lang w:val="fr-FR"/>
              </w:rPr>
            </w:pPr>
          </w:p>
        </w:tc>
      </w:tr>
    </w:tbl>
    <w:p w14:paraId="2A29634B" w14:textId="77777777" w:rsidR="00B87039" w:rsidRPr="00653BF4" w:rsidRDefault="00B87039" w:rsidP="00B87039">
      <w:pPr>
        <w:rPr>
          <w:lang w:val="fr-FR"/>
        </w:rPr>
      </w:pPr>
    </w:p>
    <w:p w14:paraId="10D2EC85" w14:textId="77777777" w:rsidR="00B87039" w:rsidRPr="00653BF4" w:rsidRDefault="00B87039" w:rsidP="00B87039">
      <w:pPr>
        <w:pStyle w:val="Heading6"/>
        <w:rPr>
          <w:lang w:val="fr-FR"/>
        </w:rPr>
      </w:pPr>
      <w:bookmarkStart w:id="341" w:name="_Toc235821263"/>
      <w:r w:rsidRPr="00653BF4">
        <w:rPr>
          <w:lang w:val="fr-FR"/>
        </w:rPr>
        <w:t>Difficultés</w:t>
      </w:r>
      <w:bookmarkEnd w:id="341"/>
    </w:p>
    <w:p w14:paraId="06C86D9B" w14:textId="77777777" w:rsidR="00B87039" w:rsidRPr="00653BF4" w:rsidRDefault="00B87039" w:rsidP="00B87039">
      <w:pPr>
        <w:rPr>
          <w:lang w:val="fr-FR"/>
        </w:rPr>
      </w:pPr>
    </w:p>
    <w:p w14:paraId="52218B21" w14:textId="272337AA" w:rsidR="00B87039" w:rsidRPr="00653BF4" w:rsidRDefault="00B87039" w:rsidP="00B87039">
      <w:pPr>
        <w:rPr>
          <w:lang w:val="fr-FR"/>
        </w:rPr>
      </w:pPr>
      <w:r w:rsidRPr="00653BF4">
        <w:rPr>
          <w:lang w:val="fr-FR"/>
        </w:rPr>
        <w:t>Un grand nombre de Parties font état de projets de lois sur la prévention des risques biotechnologiques qui n</w:t>
      </w:r>
      <w:r w:rsidR="00D77549">
        <w:rPr>
          <w:lang w:val="fr-FR"/>
        </w:rPr>
        <w:t>’</w:t>
      </w:r>
      <w:r w:rsidRPr="00653BF4">
        <w:rPr>
          <w:lang w:val="fr-FR"/>
        </w:rPr>
        <w:t>ont pas encore été adoptés, ce qui limite leur application et les pouvoirs réglementaires. Plusieurs Parties soulignent l</w:t>
      </w:r>
      <w:r w:rsidR="00D77549">
        <w:rPr>
          <w:lang w:val="fr-FR"/>
        </w:rPr>
        <w:t>’</w:t>
      </w:r>
      <w:r w:rsidRPr="00653BF4">
        <w:rPr>
          <w:lang w:val="fr-FR"/>
        </w:rPr>
        <w:t>insuffisance des cadres réglementaires régissant les développements récents en matière de biotechnologie. De nombreuses Parties, notamment dans les pays en développement et parmi les petits États insulaires en développement, indiquent que leurs infrastructures de laboratoire ne permettent pas de détecter les organismes vivants modifiés ni de procéder à une évaluation des risques. Par ailleurs, les Parties font état du manque de scientifiques formés en prévention des risques biotechnologiques, d</w:t>
      </w:r>
      <w:r w:rsidR="00D77549">
        <w:rPr>
          <w:lang w:val="fr-FR"/>
        </w:rPr>
        <w:t>’</w:t>
      </w:r>
      <w:r w:rsidRPr="00653BF4">
        <w:rPr>
          <w:lang w:val="fr-FR"/>
        </w:rPr>
        <w:t>évaluateurs des risques et d</w:t>
      </w:r>
      <w:r w:rsidR="00D77549">
        <w:rPr>
          <w:lang w:val="fr-FR"/>
        </w:rPr>
        <w:t>’</w:t>
      </w:r>
      <w:r w:rsidRPr="00653BF4">
        <w:rPr>
          <w:lang w:val="fr-FR"/>
        </w:rPr>
        <w:t>inspecteurs qualifiés. Quelques Parties indiquent rencontrer des difficultés à contrôler ce qui franchit leurs frontières. En raison d</w:t>
      </w:r>
      <w:r w:rsidR="00D77549">
        <w:rPr>
          <w:lang w:val="fr-FR"/>
        </w:rPr>
        <w:t>’</w:t>
      </w:r>
      <w:r w:rsidRPr="00653BF4">
        <w:rPr>
          <w:lang w:val="fr-FR"/>
        </w:rPr>
        <w:t>infrastructures d</w:t>
      </w:r>
      <w:r w:rsidR="00D77549">
        <w:rPr>
          <w:lang w:val="fr-FR"/>
        </w:rPr>
        <w:t>’</w:t>
      </w:r>
      <w:r w:rsidRPr="00653BF4">
        <w:rPr>
          <w:lang w:val="fr-FR"/>
        </w:rPr>
        <w:t>inspection limitées, du recours à la documentation plutôt qu</w:t>
      </w:r>
      <w:r w:rsidR="00D77549">
        <w:rPr>
          <w:lang w:val="fr-FR"/>
        </w:rPr>
        <w:t>’</w:t>
      </w:r>
      <w:r w:rsidRPr="00653BF4">
        <w:rPr>
          <w:lang w:val="fr-FR"/>
        </w:rPr>
        <w:t>à des vérifications en laboratoire et d</w:t>
      </w:r>
      <w:r w:rsidR="00D77549">
        <w:rPr>
          <w:lang w:val="fr-FR"/>
        </w:rPr>
        <w:t>’</w:t>
      </w:r>
      <w:r w:rsidRPr="00653BF4">
        <w:rPr>
          <w:lang w:val="fr-FR"/>
        </w:rPr>
        <w:t>un manque de personnel aux postes-frontières, des matières non autorisées ou non réglementées issues d</w:t>
      </w:r>
      <w:r w:rsidR="00D77549">
        <w:rPr>
          <w:lang w:val="fr-FR"/>
        </w:rPr>
        <w:t>’</w:t>
      </w:r>
      <w:r w:rsidRPr="00653BF4">
        <w:rPr>
          <w:lang w:val="fr-FR"/>
        </w:rPr>
        <w:t>organismes vivants modifiés peuvent entrer sur le territoire sans être détectées. Selon plusieurs rapports nationaux, l</w:t>
      </w:r>
      <w:r w:rsidR="00D77549">
        <w:rPr>
          <w:lang w:val="fr-FR"/>
        </w:rPr>
        <w:t>’</w:t>
      </w:r>
      <w:r w:rsidRPr="00653BF4">
        <w:rPr>
          <w:lang w:val="fr-FR"/>
        </w:rPr>
        <w:t xml:space="preserve">élément de la </w:t>
      </w:r>
      <w:r w:rsidR="00E34DC9">
        <w:rPr>
          <w:lang w:val="fr-FR"/>
        </w:rPr>
        <w:t>cible 1</w:t>
      </w:r>
      <w:r w:rsidRPr="00653BF4">
        <w:rPr>
          <w:lang w:val="fr-FR"/>
        </w:rPr>
        <w:t>7 relatif à l’article 19 de la Convention (le partage des avantages découlant des biotechnologies) est largement reconnu, mais rarement mis en œuvre. Plusieurs Parties soulignent que la mise en œuvre des mesures de prévention des risques biotechnologiques dépend fortement d</w:t>
      </w:r>
      <w:r w:rsidR="00D77549">
        <w:rPr>
          <w:lang w:val="fr-FR"/>
        </w:rPr>
        <w:t>’</w:t>
      </w:r>
      <w:r w:rsidRPr="00653BF4">
        <w:rPr>
          <w:lang w:val="fr-FR"/>
        </w:rPr>
        <w:t xml:space="preserve">un financement externe et de projets à court terme plutôt que de budgets nationaux durables. Cette situation peut conduire à des mesures de mise en œuvre qui sont elles-mêmes axées sur des projets et qui ne garantissent pas une stabilité nationale à long terme. </w:t>
      </w:r>
    </w:p>
    <w:p w14:paraId="6BE35730" w14:textId="77ADE955" w:rsidR="00B87039" w:rsidRPr="00653BF4" w:rsidRDefault="00B87039" w:rsidP="00B87039">
      <w:pPr>
        <w:rPr>
          <w:lang w:val="fr-FR"/>
        </w:rPr>
      </w:pPr>
      <w:r w:rsidRPr="00653BF4">
        <w:rPr>
          <w:lang w:val="fr-FR"/>
        </w:rPr>
        <w:t>Certaines Parties ont fait état de difficultés liées à la sensibilisation du public, à l</w:t>
      </w:r>
      <w:r w:rsidR="00D77549">
        <w:rPr>
          <w:lang w:val="fr-FR"/>
        </w:rPr>
        <w:t>’</w:t>
      </w:r>
      <w:r w:rsidRPr="00653BF4">
        <w:rPr>
          <w:lang w:val="fr-FR"/>
        </w:rPr>
        <w:t>éducation et à l</w:t>
      </w:r>
      <w:r w:rsidR="00D77549">
        <w:rPr>
          <w:lang w:val="fr-FR"/>
        </w:rPr>
        <w:t>’</w:t>
      </w:r>
      <w:r w:rsidRPr="00653BF4">
        <w:rPr>
          <w:lang w:val="fr-FR"/>
        </w:rPr>
        <w:t>accès aux informations sur les mesures et les obligations en matière de prévention des risques biotechnologiques. Plusieurs Parties ont également indiqué qu’il n’était pas facile de mettre en place des plateformes nationales du Centre d</w:t>
      </w:r>
      <w:r w:rsidR="00D77549">
        <w:rPr>
          <w:lang w:val="fr-FR"/>
        </w:rPr>
        <w:t>’</w:t>
      </w:r>
      <w:r w:rsidRPr="00653BF4">
        <w:rPr>
          <w:lang w:val="fr-FR"/>
        </w:rPr>
        <w:t xml:space="preserve">échange pour la </w:t>
      </w:r>
      <w:r w:rsidRPr="00653BF4">
        <w:rPr>
          <w:lang w:val="fr-FR"/>
        </w:rPr>
        <w:lastRenderedPageBreak/>
        <w:t>prévention des risques biotechnologiques et de renforcer leurs liens avec la plateforme internationale du Centre d</w:t>
      </w:r>
      <w:r w:rsidR="00D77549">
        <w:rPr>
          <w:lang w:val="fr-FR"/>
        </w:rPr>
        <w:t>’</w:t>
      </w:r>
      <w:r w:rsidRPr="00653BF4">
        <w:rPr>
          <w:lang w:val="fr-FR"/>
        </w:rPr>
        <w:t>échange.</w:t>
      </w:r>
    </w:p>
    <w:p w14:paraId="0B94C35A" w14:textId="77777777" w:rsidR="00B87039" w:rsidRPr="00653BF4" w:rsidRDefault="00B87039" w:rsidP="00B87039">
      <w:pPr>
        <w:pStyle w:val="Heading5"/>
        <w:rPr>
          <w:lang w:val="fr-FR"/>
        </w:rPr>
      </w:pPr>
    </w:p>
    <w:p w14:paraId="6517115C" w14:textId="3850DC59" w:rsidR="00B87039" w:rsidRPr="00653BF4" w:rsidRDefault="00B87039" w:rsidP="00B87039">
      <w:pPr>
        <w:pStyle w:val="Heading5"/>
        <w:rPr>
          <w:lang w:val="fr-FR"/>
        </w:rPr>
      </w:pPr>
      <w:bookmarkStart w:id="342" w:name="_Toc235821264"/>
      <w:r w:rsidRPr="00653BF4">
        <w:rPr>
          <w:lang w:val="fr-FR"/>
        </w:rPr>
        <w:t>Contributions provenant d</w:t>
      </w:r>
      <w:r w:rsidR="00D77549">
        <w:rPr>
          <w:lang w:val="fr-FR"/>
        </w:rPr>
        <w:t>’</w:t>
      </w:r>
      <w:r w:rsidRPr="00653BF4">
        <w:rPr>
          <w:lang w:val="fr-FR"/>
        </w:rPr>
        <w:t>acteurs autres que les gouvernements nationaux</w:t>
      </w:r>
      <w:bookmarkEnd w:id="342"/>
    </w:p>
    <w:p w14:paraId="4101E311" w14:textId="77777777" w:rsidR="00B87039" w:rsidRPr="00653BF4" w:rsidRDefault="00B87039" w:rsidP="00B87039">
      <w:pPr>
        <w:rPr>
          <w:lang w:val="fr-FR"/>
        </w:rPr>
      </w:pPr>
    </w:p>
    <w:p w14:paraId="0070EB8E" w14:textId="0C7ED2DD" w:rsidR="00B87039" w:rsidRPr="00653BF4" w:rsidRDefault="00B87039" w:rsidP="00B87039">
      <w:pPr>
        <w:pStyle w:val="Heading6"/>
        <w:rPr>
          <w:lang w:val="fr-FR"/>
        </w:rPr>
      </w:pPr>
      <w:bookmarkStart w:id="343" w:name="_Toc235821265"/>
      <w:r w:rsidRPr="00653BF4">
        <w:rPr>
          <w:lang w:val="fr-FR"/>
        </w:rPr>
        <w:t>Engagements communiqués directement via l</w:t>
      </w:r>
      <w:r w:rsidR="00D77549">
        <w:rPr>
          <w:lang w:val="fr-FR"/>
        </w:rPr>
        <w:t>’</w:t>
      </w:r>
      <w:r w:rsidRPr="00653BF4">
        <w:rPr>
          <w:lang w:val="fr-FR"/>
        </w:rPr>
        <w:t>outil de présentation des rapports en ligne</w:t>
      </w:r>
      <w:bookmarkEnd w:id="343"/>
    </w:p>
    <w:p w14:paraId="07095B0A" w14:textId="77777777" w:rsidR="00B87039" w:rsidRPr="00653BF4" w:rsidRDefault="00B87039" w:rsidP="00B87039">
      <w:pPr>
        <w:rPr>
          <w:lang w:val="fr-FR"/>
        </w:rPr>
      </w:pPr>
    </w:p>
    <w:p w14:paraId="0CF647CF" w14:textId="771B93B0" w:rsidR="00B87039" w:rsidRPr="00653BF4" w:rsidRDefault="00B87039" w:rsidP="00B87039">
      <w:pPr>
        <w:rPr>
          <w:lang w:val="fr-FR"/>
        </w:rPr>
      </w:pPr>
      <w:r w:rsidRPr="00653BF4">
        <w:rPr>
          <w:lang w:val="fr-FR"/>
        </w:rPr>
        <w:t xml:space="preserve">Sur les 180 engagements de fond présentés par des acteurs autres que les gouvernements nationaux, seulement 1 engagement concerne principalement la </w:t>
      </w:r>
      <w:r w:rsidR="00E34DC9">
        <w:rPr>
          <w:lang w:val="fr-FR"/>
        </w:rPr>
        <w:t>cible 1</w:t>
      </w:r>
      <w:r w:rsidRPr="00653BF4">
        <w:rPr>
          <w:lang w:val="fr-FR"/>
        </w:rPr>
        <w:t>7. Cet engagement émane d</w:t>
      </w:r>
      <w:r w:rsidR="00D77549">
        <w:rPr>
          <w:lang w:val="fr-FR"/>
        </w:rPr>
        <w:t>’</w:t>
      </w:r>
      <w:r w:rsidRPr="00653BF4">
        <w:rPr>
          <w:lang w:val="fr-FR"/>
        </w:rPr>
        <w:t>un réseau d</w:t>
      </w:r>
      <w:r w:rsidR="00D77549">
        <w:rPr>
          <w:lang w:val="fr-FR"/>
        </w:rPr>
        <w:t>’</w:t>
      </w:r>
      <w:r w:rsidRPr="00653BF4">
        <w:rPr>
          <w:lang w:val="fr-FR"/>
        </w:rPr>
        <w:t>ONG basées au Danemark, qui a présenté des engagements portant sur l</w:t>
      </w:r>
      <w:r w:rsidR="00D77549">
        <w:rPr>
          <w:lang w:val="fr-FR"/>
        </w:rPr>
        <w:t>’</w:t>
      </w:r>
      <w:r w:rsidRPr="00653BF4">
        <w:rPr>
          <w:lang w:val="fr-FR"/>
        </w:rPr>
        <w:t xml:space="preserve">ensemble des 23 cibles du Cadre. Ce réseau a pour </w:t>
      </w:r>
      <w:r w:rsidR="002878D7">
        <w:rPr>
          <w:lang w:val="fr-FR"/>
        </w:rPr>
        <w:t>objectif D</w:t>
      </w:r>
      <w:r w:rsidRPr="00653BF4">
        <w:rPr>
          <w:lang w:val="fr-FR"/>
        </w:rPr>
        <w:t>e promouvoir le principe de précaution et de veiller à ce que les nouvelles technologies biologiques ne portent pas atteinte, fortuitement, à l</w:t>
      </w:r>
      <w:r w:rsidR="00D77549">
        <w:rPr>
          <w:lang w:val="fr-FR"/>
        </w:rPr>
        <w:t>’</w:t>
      </w:r>
      <w:r w:rsidRPr="00653BF4">
        <w:rPr>
          <w:lang w:val="fr-FR"/>
        </w:rPr>
        <w:t>intégrité des écosystèmes.</w:t>
      </w:r>
    </w:p>
    <w:p w14:paraId="5F2D7F84" w14:textId="77777777" w:rsidR="00B87039" w:rsidRPr="00653BF4" w:rsidRDefault="00B87039" w:rsidP="00B87039">
      <w:pPr>
        <w:rPr>
          <w:lang w:val="fr-FR"/>
        </w:rPr>
      </w:pPr>
    </w:p>
    <w:p w14:paraId="6F81CCB2" w14:textId="77777777" w:rsidR="00B87039" w:rsidRPr="00653BF4" w:rsidRDefault="00B87039" w:rsidP="00B87039">
      <w:pPr>
        <w:rPr>
          <w:lang w:val="fr-FR"/>
        </w:rPr>
      </w:pPr>
    </w:p>
    <w:p w14:paraId="6196B3CF" w14:textId="67E5B96E" w:rsidR="00B87039" w:rsidRPr="00653BF4" w:rsidRDefault="00B87039" w:rsidP="00B87039">
      <w:pPr>
        <w:pStyle w:val="Heading6"/>
        <w:rPr>
          <w:lang w:val="fr-FR"/>
        </w:rPr>
      </w:pPr>
      <w:bookmarkStart w:id="344" w:name="_Toc235821266"/>
      <w:r w:rsidRPr="00653BF4">
        <w:rPr>
          <w:lang w:val="fr-FR"/>
        </w:rPr>
        <w:t>Contributions intégrées dans les rapports nationaux</w:t>
      </w:r>
      <w:bookmarkEnd w:id="344"/>
    </w:p>
    <w:p w14:paraId="6D7D02CF" w14:textId="77777777" w:rsidR="00B87039" w:rsidRPr="00653BF4" w:rsidRDefault="00B87039" w:rsidP="00B87039">
      <w:pPr>
        <w:rPr>
          <w:lang w:val="fr-FR"/>
        </w:rPr>
      </w:pPr>
    </w:p>
    <w:p w14:paraId="6FE1ADA4" w14:textId="43A73288" w:rsidR="00B87039" w:rsidRPr="00653BF4" w:rsidRDefault="00B87039" w:rsidP="00B87039">
      <w:pPr>
        <w:rPr>
          <w:lang w:val="fr-FR"/>
        </w:rPr>
      </w:pPr>
      <w:r w:rsidRPr="00653BF4">
        <w:rPr>
          <w:lang w:val="fr-FR"/>
        </w:rPr>
        <w:t>Les organismes de recherche sont identifiés comme assumant des rôles tels que ceux d</w:t>
      </w:r>
      <w:r w:rsidR="00D77549">
        <w:rPr>
          <w:lang w:val="fr-FR"/>
        </w:rPr>
        <w:t>’</w:t>
      </w:r>
      <w:r w:rsidRPr="00653BF4">
        <w:rPr>
          <w:lang w:val="fr-FR"/>
        </w:rPr>
        <w:t>hôtes et d</w:t>
      </w:r>
      <w:r w:rsidR="00D77549">
        <w:rPr>
          <w:lang w:val="fr-FR"/>
        </w:rPr>
        <w:t>’</w:t>
      </w:r>
      <w:r w:rsidRPr="00653BF4">
        <w:rPr>
          <w:lang w:val="fr-FR"/>
        </w:rPr>
        <w:t>exploitants de laboratoires, de membres de comités institutionnels de prévention des risques biotechnologiques, de concepteurs de programmes d</w:t>
      </w:r>
      <w:r w:rsidR="00D77549">
        <w:rPr>
          <w:lang w:val="fr-FR"/>
        </w:rPr>
        <w:t>’</w:t>
      </w:r>
      <w:r w:rsidRPr="00653BF4">
        <w:rPr>
          <w:lang w:val="fr-FR"/>
        </w:rPr>
        <w:t>enseignement, de producteurs de connaissances et de conseillers scientifiques auprès d</w:t>
      </w:r>
      <w:r w:rsidR="00D77549">
        <w:rPr>
          <w:lang w:val="fr-FR"/>
        </w:rPr>
        <w:t>’</w:t>
      </w:r>
      <w:r w:rsidRPr="00653BF4">
        <w:rPr>
          <w:lang w:val="fr-FR"/>
        </w:rPr>
        <w:t>organismes de réglementation. Les organisations intergouvernementales fournissent des financements pour des projets, une assistance technique, des dons d</w:t>
      </w:r>
      <w:r w:rsidR="00D77549">
        <w:rPr>
          <w:lang w:val="fr-FR"/>
        </w:rPr>
        <w:t>’</w:t>
      </w:r>
      <w:r w:rsidRPr="00653BF4">
        <w:rPr>
          <w:lang w:val="fr-FR"/>
        </w:rPr>
        <w:t xml:space="preserve">équipements, un soutien à la rédaction de textes législatifs et des formations. Les citoyens et le grand public sont principalement présentés comme les destinataires de campagnes de sensibilisation et comme des parties prenantes consultées dans le cadre de procédures réglementaires, quelques rapports faisant état de projets de science citoyenne ou de délibération publique. Les peuples autochtones et communautés locales sont mentionnés en tant que détenteurs de droits dans les cadres relatifs à l’accès et au partage des avantages, et parfois dans le contexte de l’intégration du consentement préalable, donné librement et en connaissance de cause ou de la cogouvernance. Les ONG interviennent principalement en tant que participants à des ateliers, et parfois dans le cadre de la mise en œuvre conjointe des normes de prévention des risques biotechnologiques ou de mise en œuvre de projets. </w:t>
      </w:r>
      <w:r w:rsidRPr="00653BF4">
        <w:rPr>
          <w:lang w:val="fr-FR"/>
        </w:rPr>
        <w:lastRenderedPageBreak/>
        <w:t>Les autorités infranationales, les villes et autres autorités locales interviennent en tant qu</w:t>
      </w:r>
      <w:r w:rsidR="00D77549">
        <w:rPr>
          <w:lang w:val="fr-FR"/>
        </w:rPr>
        <w:t>’</w:t>
      </w:r>
      <w:r w:rsidRPr="00653BF4">
        <w:rPr>
          <w:lang w:val="fr-FR"/>
        </w:rPr>
        <w:t xml:space="preserve">actrices de la cogouvernance lorsque des compétences leur sont dévolues.  </w:t>
      </w:r>
    </w:p>
    <w:p w14:paraId="3FCF62E4" w14:textId="77777777" w:rsidR="00B87039" w:rsidRPr="00653BF4" w:rsidRDefault="00B87039" w:rsidP="00B87039">
      <w:pPr>
        <w:pStyle w:val="Heading5"/>
        <w:rPr>
          <w:lang w:val="fr-FR"/>
        </w:rPr>
      </w:pPr>
    </w:p>
    <w:p w14:paraId="1211977A" w14:textId="4359D9B2" w:rsidR="00B87039" w:rsidRPr="00653BF4" w:rsidRDefault="00B87039" w:rsidP="00B87039">
      <w:pPr>
        <w:pStyle w:val="Heading5"/>
        <w:rPr>
          <w:lang w:val="fr-FR"/>
        </w:rPr>
      </w:pPr>
      <w:r w:rsidRPr="00653BF4">
        <w:rPr>
          <w:lang w:val="fr-FR"/>
        </w:rPr>
        <w:t>Exemples de liens avec d</w:t>
      </w:r>
      <w:r w:rsidR="00D77549">
        <w:rPr>
          <w:lang w:val="fr-FR"/>
        </w:rPr>
        <w:t>’</w:t>
      </w:r>
      <w:r w:rsidRPr="00653BF4">
        <w:rPr>
          <w:lang w:val="fr-FR"/>
        </w:rPr>
        <w:t xml:space="preserve">autres accords, processus et organisations </w:t>
      </w:r>
    </w:p>
    <w:p w14:paraId="47ECE435" w14:textId="77777777" w:rsidR="00B87039" w:rsidRPr="00653BF4" w:rsidRDefault="00B87039" w:rsidP="00B87039">
      <w:pPr>
        <w:rPr>
          <w:lang w:val="fr-FR"/>
        </w:rPr>
      </w:pPr>
    </w:p>
    <w:p w14:paraId="65FBAAA1" w14:textId="3C7BDB1D" w:rsidR="00B87039" w:rsidRPr="00653BF4" w:rsidRDefault="00B87039" w:rsidP="00B87039">
      <w:pPr>
        <w:rPr>
          <w:lang w:val="fr-FR"/>
        </w:rPr>
      </w:pPr>
      <w:r w:rsidRPr="00653BF4">
        <w:rPr>
          <w:lang w:val="fr-FR"/>
        </w:rPr>
        <w:t xml:space="preserve">La mise en œuvre de la </w:t>
      </w:r>
      <w:r w:rsidR="00E34DC9">
        <w:rPr>
          <w:lang w:val="fr-FR"/>
        </w:rPr>
        <w:t>cible 1</w:t>
      </w:r>
      <w:r w:rsidRPr="00653BF4">
        <w:rPr>
          <w:lang w:val="fr-FR"/>
        </w:rPr>
        <w:t>7 est étroitement liée à celle du Protocole de Cartagena sur la prévention des risques biotechnologiques, un traité juridiquement contraignant conclu au titre de la Convention, dont l’objectif principal est d’assurer la manipulation, le transport et l’utilisation sans danger des organismes vivants modifiés issus des biotechnologies modernes susceptibles de nuire à la biodiversité, tout en tenant compte des risques pour la santé humaine</w:t>
      </w:r>
      <w:r w:rsidRPr="00653BF4">
        <w:rPr>
          <w:vertAlign w:val="superscript"/>
          <w:lang w:val="fr-FR"/>
        </w:rPr>
        <w:footnoteReference w:id="35"/>
      </w:r>
      <w:r w:rsidRPr="00653BF4">
        <w:rPr>
          <w:lang w:val="fr-FR"/>
        </w:rPr>
        <w:t>. Le Protocole de Cartagena a été adopté en 2000 et est entré en vigueur en 2003. Actuellement, 173 des 196 Parties à la Convention sont également Parties au Protocole de Cartagena. Adopté en 2010 et entré en vigueur en 2018, le Protocole additionnel de Nagoya-Kuala Lumpur sur la responsabilité et la réparation, annexé au Protocole de Cartagena sur la prévention des risques biotechnologiques, vise à contribuer à la conservation et à l’utilisation durable de la biodiversité par la mise en place de règles et de procédures internationales dans le domaine de la responsabilité et de la réparation relatives aux dommages résultant d’organismes vivants modifiés issus de mouvements transfrontières</w:t>
      </w:r>
      <w:r w:rsidRPr="00653BF4">
        <w:rPr>
          <w:vertAlign w:val="superscript"/>
          <w:lang w:val="fr-FR"/>
        </w:rPr>
        <w:footnoteReference w:id="36"/>
      </w:r>
      <w:r w:rsidRPr="00653BF4">
        <w:rPr>
          <w:lang w:val="fr-FR"/>
        </w:rPr>
        <w:t>.</w:t>
      </w:r>
    </w:p>
    <w:p w14:paraId="02CDD97A" w14:textId="77777777" w:rsidR="00B87039" w:rsidRPr="00653BF4" w:rsidRDefault="00B87039" w:rsidP="00B87039">
      <w:pPr>
        <w:rPr>
          <w:lang w:val="fr-FR"/>
        </w:rPr>
      </w:pPr>
    </w:p>
    <w:p w14:paraId="2E1CE1E2" w14:textId="77777777" w:rsidR="00B87039" w:rsidRPr="00653BF4" w:rsidRDefault="00B87039" w:rsidP="00B87039">
      <w:pPr>
        <w:rPr>
          <w:lang w:val="fr-FR"/>
        </w:rPr>
      </w:pPr>
    </w:p>
    <w:p w14:paraId="2512564D" w14:textId="77777777" w:rsidR="00B87039" w:rsidRPr="00653BF4" w:rsidRDefault="00B87039" w:rsidP="00B87039">
      <w:pPr>
        <w:rPr>
          <w:lang w:val="fr-FR"/>
        </w:rPr>
      </w:pPr>
    </w:p>
    <w:p w14:paraId="4B857F1F" w14:textId="50E24F7A" w:rsidR="00B87039" w:rsidRPr="00653BF4" w:rsidRDefault="00E34DC9" w:rsidP="00B87039">
      <w:pPr>
        <w:pStyle w:val="Heading4"/>
        <w:rPr>
          <w:i w:val="0"/>
          <w:iCs w:val="0"/>
          <w:lang w:val="fr-FR"/>
        </w:rPr>
      </w:pPr>
      <w:bookmarkStart w:id="345" w:name="_Toc235821267"/>
      <w:bookmarkStart w:id="346" w:name="_Ref236137031"/>
      <w:bookmarkStart w:id="347" w:name="_Ref236153916"/>
      <w:bookmarkStart w:id="348" w:name="_Toc239069214"/>
      <w:bookmarkStart w:id="349" w:name="_Toc141907097"/>
      <w:bookmarkStart w:id="350" w:name="_Toc242801251"/>
      <w:r>
        <w:rPr>
          <w:b/>
          <w:bCs/>
          <w:i w:val="0"/>
          <w:iCs w:val="0"/>
          <w:lang w:val="fr-FR"/>
        </w:rPr>
        <w:t>Cible 1</w:t>
      </w:r>
      <w:r w:rsidR="00B87039" w:rsidRPr="00653BF4">
        <w:rPr>
          <w:b/>
          <w:bCs/>
          <w:i w:val="0"/>
          <w:iCs w:val="0"/>
          <w:lang w:val="fr-FR"/>
        </w:rPr>
        <w:t>8.</w:t>
      </w:r>
      <w:r w:rsidR="00B87039" w:rsidRPr="00653BF4">
        <w:rPr>
          <w:i w:val="0"/>
          <w:iCs w:val="0"/>
          <w:lang w:val="fr-FR"/>
        </w:rPr>
        <w:t xml:space="preserve"> Réduire les subventions préjudiciables d</w:t>
      </w:r>
      <w:r w:rsidR="00D77549">
        <w:rPr>
          <w:i w:val="0"/>
          <w:iCs w:val="0"/>
          <w:lang w:val="fr-FR"/>
        </w:rPr>
        <w:t>’</w:t>
      </w:r>
      <w:r w:rsidR="00B87039" w:rsidRPr="00653BF4">
        <w:rPr>
          <w:i w:val="0"/>
          <w:iCs w:val="0"/>
          <w:lang w:val="fr-FR"/>
        </w:rPr>
        <w:t>au moins 500 milliards de dollars des États-Unis par an, et renforcer les incitations positives en faveur de la biodiversité</w:t>
      </w:r>
      <w:bookmarkEnd w:id="345"/>
      <w:bookmarkEnd w:id="346"/>
      <w:bookmarkEnd w:id="347"/>
      <w:bookmarkEnd w:id="348"/>
      <w:bookmarkEnd w:id="349"/>
      <w:bookmarkEnd w:id="350"/>
    </w:p>
    <w:p w14:paraId="5B6A961C" w14:textId="3FD5FE6A" w:rsidR="00B87039" w:rsidRPr="00653BF4" w:rsidRDefault="00B87039" w:rsidP="00B87039">
      <w:pPr>
        <w:rPr>
          <w:i/>
          <w:iCs/>
          <w:sz w:val="22"/>
          <w:szCs w:val="22"/>
          <w:lang w:val="fr-FR"/>
        </w:rPr>
      </w:pPr>
      <w:bookmarkStart w:id="351" w:name="_Toc235821268"/>
      <w:r w:rsidRPr="00653BF4">
        <w:rPr>
          <w:b/>
          <w:bCs/>
          <w:sz w:val="22"/>
          <w:szCs w:val="22"/>
          <w:lang w:val="fr-FR"/>
        </w:rPr>
        <w:t>Texte de la cible.</w:t>
      </w:r>
      <w:r w:rsidRPr="00653BF4">
        <w:rPr>
          <w:i/>
          <w:iCs/>
          <w:sz w:val="22"/>
          <w:szCs w:val="22"/>
          <w:lang w:val="fr-FR"/>
        </w:rPr>
        <w:t xml:space="preserve"> Recenser, d</w:t>
      </w:r>
      <w:r w:rsidR="00D77549">
        <w:rPr>
          <w:i/>
          <w:iCs/>
          <w:sz w:val="22"/>
          <w:szCs w:val="22"/>
          <w:lang w:val="fr-FR"/>
        </w:rPr>
        <w:t>’</w:t>
      </w:r>
      <w:r w:rsidRPr="00653BF4">
        <w:rPr>
          <w:i/>
          <w:iCs/>
          <w:sz w:val="22"/>
          <w:szCs w:val="22"/>
          <w:lang w:val="fr-FR"/>
        </w:rPr>
        <w:t>ici à 2025, les incitations, y compris les subventions, préjudiciables à la biodiversité et les éliminer, les supprimer progressivement ou les modifier de manière proportionnée, juste, efficace et équitable, tout en les réduisant substantiellement et progressivement d</w:t>
      </w:r>
      <w:r w:rsidR="00D77549">
        <w:rPr>
          <w:i/>
          <w:iCs/>
          <w:sz w:val="22"/>
          <w:szCs w:val="22"/>
          <w:lang w:val="fr-FR"/>
        </w:rPr>
        <w:t>’</w:t>
      </w:r>
      <w:r w:rsidRPr="00653BF4">
        <w:rPr>
          <w:i/>
          <w:iCs/>
          <w:sz w:val="22"/>
          <w:szCs w:val="22"/>
          <w:lang w:val="fr-FR"/>
        </w:rPr>
        <w:t>au moins 500 milliards de dollars par an d</w:t>
      </w:r>
      <w:r w:rsidR="00D77549">
        <w:rPr>
          <w:i/>
          <w:iCs/>
          <w:sz w:val="22"/>
          <w:szCs w:val="22"/>
          <w:lang w:val="fr-FR"/>
        </w:rPr>
        <w:t>’</w:t>
      </w:r>
      <w:r w:rsidRPr="00653BF4">
        <w:rPr>
          <w:i/>
          <w:iCs/>
          <w:sz w:val="22"/>
          <w:szCs w:val="22"/>
          <w:lang w:val="fr-FR"/>
        </w:rPr>
        <w:t>ici à 2030, en commençant par les incitations les plus préjudiciables, et renforcer les incitations positives en faveur de la conservation et de l</w:t>
      </w:r>
      <w:r w:rsidR="00D77549">
        <w:rPr>
          <w:i/>
          <w:iCs/>
          <w:sz w:val="22"/>
          <w:szCs w:val="22"/>
          <w:lang w:val="fr-FR"/>
        </w:rPr>
        <w:t>’</w:t>
      </w:r>
      <w:r w:rsidRPr="00653BF4">
        <w:rPr>
          <w:i/>
          <w:iCs/>
          <w:sz w:val="22"/>
          <w:szCs w:val="22"/>
          <w:lang w:val="fr-FR"/>
        </w:rPr>
        <w:t>utilisation durable de la biodiversité.</w:t>
      </w:r>
    </w:p>
    <w:p w14:paraId="230DA5D0" w14:textId="77777777" w:rsidR="00B87039" w:rsidRPr="00653BF4" w:rsidRDefault="00B87039" w:rsidP="00B87039">
      <w:pPr>
        <w:pStyle w:val="Heading5"/>
        <w:rPr>
          <w:lang w:val="fr-FR"/>
        </w:rPr>
      </w:pPr>
    </w:p>
    <w:p w14:paraId="5D9ED6C8" w14:textId="655F9A5A" w:rsidR="00B87039" w:rsidRPr="00653BF4" w:rsidRDefault="00B87039" w:rsidP="00B87039">
      <w:pPr>
        <w:pStyle w:val="Heading5"/>
        <w:rPr>
          <w:lang w:val="fr-FR"/>
        </w:rPr>
      </w:pPr>
      <w:r w:rsidRPr="00653BF4">
        <w:rPr>
          <w:lang w:val="fr-FR"/>
        </w:rPr>
        <w:t>Aperçu des progrès accomplis</w:t>
      </w:r>
      <w:bookmarkEnd w:id="351"/>
    </w:p>
    <w:tbl>
      <w:tblPr>
        <w:tblStyle w:val="TableGrid"/>
        <w:tblW w:w="0" w:type="auto"/>
        <w:tblLook w:val="04A0" w:firstRow="1" w:lastRow="0" w:firstColumn="1" w:lastColumn="0" w:noHBand="0" w:noVBand="1"/>
      </w:tblPr>
      <w:tblGrid>
        <w:gridCol w:w="9016"/>
      </w:tblGrid>
      <w:tr w:rsidR="00B87039" w:rsidRPr="00543148" w14:paraId="3F7BE412" w14:textId="77777777" w:rsidTr="00557FB3">
        <w:tc>
          <w:tcPr>
            <w:tcW w:w="9016" w:type="dxa"/>
            <w:shd w:val="clear" w:color="auto" w:fill="D1D1D1" w:themeFill="background2" w:themeFillShade="E6"/>
          </w:tcPr>
          <w:p w14:paraId="31A295AB" w14:textId="77777777" w:rsidR="00B87039" w:rsidRPr="00653BF4" w:rsidRDefault="00B87039" w:rsidP="00557FB3">
            <w:pPr>
              <w:rPr>
                <w:rFonts w:eastAsia="Times New Roman" w:cs="Aparajita"/>
                <w:color w:val="000000"/>
                <w:lang w:val="fr-FR"/>
              </w:rPr>
            </w:pPr>
          </w:p>
          <w:p w14:paraId="455480E3" w14:textId="3BE710DF" w:rsidR="00B87039" w:rsidRPr="00653BF4" w:rsidRDefault="00B87039" w:rsidP="00557FB3">
            <w:pPr>
              <w:rPr>
                <w:lang w:val="fr-FR"/>
              </w:rPr>
            </w:pPr>
            <w:r w:rsidRPr="00653BF4">
              <w:rPr>
                <w:lang w:val="fr-FR"/>
              </w:rPr>
              <w:t>Peu de progrès ont été réalisés concernant le renforcement des mesures d</w:t>
            </w:r>
            <w:r w:rsidR="00D77549">
              <w:rPr>
                <w:lang w:val="fr-FR"/>
              </w:rPr>
              <w:t>’</w:t>
            </w:r>
            <w:r w:rsidRPr="00653BF4">
              <w:rPr>
                <w:lang w:val="fr-FR"/>
              </w:rPr>
              <w:t>incitation positives, ou l</w:t>
            </w:r>
            <w:r w:rsidR="00D77549">
              <w:rPr>
                <w:lang w:val="fr-FR"/>
              </w:rPr>
              <w:t>’</w:t>
            </w:r>
            <w:r w:rsidRPr="00653BF4">
              <w:rPr>
                <w:lang w:val="fr-FR"/>
              </w:rPr>
              <w:t>identification et la réforme des mesures d</w:t>
            </w:r>
            <w:r w:rsidR="00D77549">
              <w:rPr>
                <w:lang w:val="fr-FR"/>
              </w:rPr>
              <w:t>’</w:t>
            </w:r>
            <w:r w:rsidRPr="00653BF4">
              <w:rPr>
                <w:lang w:val="fr-FR"/>
              </w:rPr>
              <w:t>incitation préjudiciables. Les données disponibles indiquent que l</w:t>
            </w:r>
            <w:r w:rsidR="00D77549">
              <w:rPr>
                <w:lang w:val="fr-FR"/>
              </w:rPr>
              <w:t>’</w:t>
            </w:r>
            <w:r w:rsidRPr="00653BF4">
              <w:rPr>
                <w:lang w:val="fr-FR"/>
              </w:rPr>
              <w:t>objectif fixé pour 2025, consistant à recenser les mesures d</w:t>
            </w:r>
            <w:r w:rsidR="00D77549">
              <w:rPr>
                <w:lang w:val="fr-FR"/>
              </w:rPr>
              <w:t>’</w:t>
            </w:r>
            <w:r w:rsidRPr="00653BF4">
              <w:rPr>
                <w:lang w:val="fr-FR"/>
              </w:rPr>
              <w:t>incitation, y compris les subventions qui nuisent à la biodiversité, n</w:t>
            </w:r>
            <w:r w:rsidR="00D77549">
              <w:rPr>
                <w:lang w:val="fr-FR"/>
              </w:rPr>
              <w:t>’</w:t>
            </w:r>
            <w:r w:rsidRPr="00653BF4">
              <w:rPr>
                <w:lang w:val="fr-FR"/>
              </w:rPr>
              <w:t xml:space="preserve">a pas été atteint. Les cibles nationales ne traitent pas les éléments de la </w:t>
            </w:r>
            <w:r w:rsidR="00E34DC9">
              <w:rPr>
                <w:lang w:val="fr-FR"/>
              </w:rPr>
              <w:t>cible 1</w:t>
            </w:r>
            <w:r w:rsidRPr="00653BF4">
              <w:rPr>
                <w:lang w:val="fr-FR"/>
              </w:rPr>
              <w:t>8 de manière uniforme Les rapports sur les indicateurs font état d</w:t>
            </w:r>
            <w:r w:rsidR="00D77549">
              <w:rPr>
                <w:lang w:val="fr-FR"/>
              </w:rPr>
              <w:t>’</w:t>
            </w:r>
            <w:r w:rsidRPr="00653BF4">
              <w:rPr>
                <w:lang w:val="fr-FR"/>
              </w:rPr>
              <w:t>une augmentation du nombre de mesures d</w:t>
            </w:r>
            <w:r w:rsidR="00D77549">
              <w:rPr>
                <w:lang w:val="fr-FR"/>
              </w:rPr>
              <w:t>’</w:t>
            </w:r>
            <w:r w:rsidRPr="00653BF4">
              <w:rPr>
                <w:lang w:val="fr-FR"/>
              </w:rPr>
              <w:t>incitation positives, mais, dans le même temps, la valeur des mesures d</w:t>
            </w:r>
            <w:r w:rsidR="00D77549">
              <w:rPr>
                <w:lang w:val="fr-FR"/>
              </w:rPr>
              <w:t>’</w:t>
            </w:r>
            <w:r w:rsidRPr="00653BF4">
              <w:rPr>
                <w:lang w:val="fr-FR"/>
              </w:rPr>
              <w:t xml:space="preserve">incitation déclarées, y compris les subventions préjudiciables à la biodiversité reste considérable. Les auto-évaluations indiquent que seul un quart des cibles nationales présentées comme étroitement alignées sur la </w:t>
            </w:r>
            <w:r w:rsidR="00E34DC9">
              <w:rPr>
                <w:lang w:val="fr-FR"/>
              </w:rPr>
              <w:t>cible 1</w:t>
            </w:r>
            <w:r w:rsidRPr="00653BF4">
              <w:rPr>
                <w:lang w:val="fr-FR"/>
              </w:rPr>
              <w:t>8 sont en voie d</w:t>
            </w:r>
            <w:r w:rsidR="00D77549">
              <w:rPr>
                <w:lang w:val="fr-FR"/>
              </w:rPr>
              <w:t>’</w:t>
            </w:r>
            <w:r w:rsidRPr="00653BF4">
              <w:rPr>
                <w:lang w:val="fr-FR"/>
              </w:rPr>
              <w:t>être atteintes, tandis que la plupart ne montrent pas de progrès suffisants. Parmi les principaux défis figurent l</w:t>
            </w:r>
            <w:r w:rsidR="00D77549">
              <w:rPr>
                <w:lang w:val="fr-FR"/>
              </w:rPr>
              <w:t>’</w:t>
            </w:r>
            <w:r w:rsidRPr="00653BF4">
              <w:rPr>
                <w:lang w:val="fr-FR"/>
              </w:rPr>
              <w:t>identification, la quantification et la réforme des subventions préjudiciables.</w:t>
            </w:r>
          </w:p>
          <w:p w14:paraId="55E14E0B" w14:textId="77777777" w:rsidR="00B87039" w:rsidRPr="00653BF4" w:rsidRDefault="00B87039" w:rsidP="00557FB3">
            <w:pPr>
              <w:rPr>
                <w:lang w:val="fr-FR"/>
              </w:rPr>
            </w:pPr>
          </w:p>
        </w:tc>
      </w:tr>
    </w:tbl>
    <w:p w14:paraId="0EE96BD8" w14:textId="77777777" w:rsidR="00B87039" w:rsidRPr="00653BF4" w:rsidRDefault="00B87039" w:rsidP="00B87039">
      <w:pPr>
        <w:rPr>
          <w:lang w:val="fr-FR"/>
        </w:rPr>
      </w:pPr>
    </w:p>
    <w:p w14:paraId="2BDB0720" w14:textId="695DF4B5" w:rsidR="00B87039" w:rsidRPr="00653BF4" w:rsidRDefault="00B87039" w:rsidP="00B87039">
      <w:pPr>
        <w:pStyle w:val="Heading5"/>
        <w:rPr>
          <w:lang w:val="fr-FR"/>
        </w:rPr>
      </w:pPr>
      <w:r w:rsidRPr="00653BF4">
        <w:rPr>
          <w:lang w:val="fr-FR"/>
        </w:rPr>
        <w:t xml:space="preserve">Prise en compte par les Parties de la portée de la </w:t>
      </w:r>
      <w:r w:rsidR="00E34DC9">
        <w:rPr>
          <w:lang w:val="fr-FR"/>
        </w:rPr>
        <w:t>cible 1</w:t>
      </w:r>
      <w:r w:rsidRPr="00653BF4">
        <w:rPr>
          <w:lang w:val="fr-FR"/>
        </w:rPr>
        <w:t>8 du Cadre dans leurs cibles nationales</w:t>
      </w:r>
    </w:p>
    <w:p w14:paraId="0CAD1F4F" w14:textId="77777777" w:rsidR="00B87039" w:rsidRPr="00653BF4" w:rsidRDefault="00B87039" w:rsidP="00B87039">
      <w:pPr>
        <w:rPr>
          <w:i/>
          <w:iCs/>
          <w:sz w:val="22"/>
          <w:szCs w:val="22"/>
          <w:lang w:val="fr-FR"/>
        </w:rPr>
      </w:pPr>
    </w:p>
    <w:p w14:paraId="6896D484" w14:textId="4EED7AED" w:rsidR="00B87039" w:rsidRPr="00653BF4" w:rsidRDefault="00B87039" w:rsidP="00B87039">
      <w:pPr>
        <w:pStyle w:val="Caption"/>
        <w:keepNext/>
        <w:rPr>
          <w:i w:val="0"/>
          <w:iCs w:val="0"/>
          <w:sz w:val="20"/>
          <w:szCs w:val="20"/>
          <w:lang w:val="fr-FR"/>
        </w:rPr>
      </w:pPr>
      <w:bookmarkStart w:id="352" w:name="_Ref230779533"/>
      <w:r w:rsidRPr="00653BF4">
        <w:rPr>
          <w:i w:val="0"/>
          <w:iCs w:val="0"/>
          <w:sz w:val="20"/>
          <w:szCs w:val="20"/>
          <w:lang w:val="fr-FR"/>
        </w:rPr>
        <w:t>Tableau 39</w:t>
      </w:r>
      <w:bookmarkEnd w:id="352"/>
      <w:r w:rsidRPr="00653BF4">
        <w:rPr>
          <w:i w:val="0"/>
          <w:iCs w:val="0"/>
          <w:sz w:val="20"/>
          <w:szCs w:val="20"/>
          <w:lang w:val="fr-FR"/>
        </w:rPr>
        <w:t xml:space="preserve"> </w:t>
      </w:r>
    </w:p>
    <w:p w14:paraId="7D63BC58" w14:textId="10A666EC" w:rsidR="00B87039" w:rsidRPr="00653BF4" w:rsidRDefault="00B87039" w:rsidP="00B87039">
      <w:pPr>
        <w:pStyle w:val="Caption"/>
        <w:keepNext/>
        <w:rPr>
          <w:i w:val="0"/>
          <w:sz w:val="20"/>
          <w:szCs w:val="20"/>
          <w:lang w:val="fr-FR"/>
        </w:rPr>
      </w:pPr>
      <w:r w:rsidRPr="00653BF4">
        <w:rPr>
          <w:b/>
          <w:i w:val="0"/>
          <w:sz w:val="20"/>
          <w:szCs w:val="20"/>
          <w:lang w:val="fr-FR"/>
        </w:rPr>
        <w:t xml:space="preserve">Éléments de la </w:t>
      </w:r>
      <w:r w:rsidR="00E34DC9">
        <w:rPr>
          <w:b/>
          <w:i w:val="0"/>
          <w:sz w:val="20"/>
          <w:szCs w:val="20"/>
          <w:lang w:val="fr-FR"/>
        </w:rPr>
        <w:t>cible 1</w:t>
      </w:r>
      <w:r w:rsidRPr="00653BF4">
        <w:rPr>
          <w:b/>
          <w:i w:val="0"/>
          <w:sz w:val="20"/>
          <w:szCs w:val="20"/>
          <w:lang w:val="fr-FR"/>
        </w:rPr>
        <w:t xml:space="preserve">8 du Cadre et </w:t>
      </w:r>
      <w:r w:rsidRPr="00653BF4">
        <w:rPr>
          <w:b/>
          <w:bCs/>
          <w:i w:val="0"/>
          <w:iCs w:val="0"/>
          <w:sz w:val="20"/>
          <w:szCs w:val="20"/>
          <w:lang w:val="fr-FR"/>
        </w:rPr>
        <w:t>leur prise en compte dans les cibles nationales</w:t>
      </w:r>
      <w:r w:rsidRPr="00653BF4">
        <w:rPr>
          <w:i w:val="0"/>
          <w:iCs w:val="0"/>
          <w:sz w:val="20"/>
          <w:szCs w:val="20"/>
          <w:vertAlign w:val="superscript"/>
          <w:lang w:val="fr-FR"/>
        </w:rPr>
        <w:t>a</w:t>
      </w:r>
    </w:p>
    <w:p w14:paraId="763D677D" w14:textId="77777777" w:rsidR="00B87039" w:rsidRPr="00653BF4" w:rsidRDefault="00B87039" w:rsidP="00B87039">
      <w:pPr>
        <w:rPr>
          <w:lang w:val="fr-FR" w:eastAsia="ja-JP"/>
        </w:rPr>
      </w:pPr>
    </w:p>
    <w:p w14:paraId="2CB8196D" w14:textId="77777777" w:rsidR="00B87039" w:rsidRPr="00653BF4" w:rsidRDefault="00B87039" w:rsidP="00B87039">
      <w:pPr>
        <w:rPr>
          <w:lang w:val="fr-FR" w:eastAsia="ja-JP"/>
        </w:rPr>
      </w:pPr>
    </w:p>
    <w:tbl>
      <w:tblPr>
        <w:tblStyle w:val="TableGrid"/>
        <w:tblW w:w="0" w:type="auto"/>
        <w:tblLook w:val="04A0" w:firstRow="1" w:lastRow="0" w:firstColumn="1" w:lastColumn="0" w:noHBand="0" w:noVBand="1"/>
      </w:tblPr>
      <w:tblGrid>
        <w:gridCol w:w="8359"/>
        <w:gridCol w:w="657"/>
      </w:tblGrid>
      <w:tr w:rsidR="00B87039" w:rsidRPr="00653BF4" w14:paraId="090D3F36" w14:textId="77777777" w:rsidTr="00557FB3">
        <w:tc>
          <w:tcPr>
            <w:tcW w:w="8359" w:type="dxa"/>
          </w:tcPr>
          <w:p w14:paraId="2DB43D8B" w14:textId="3B42B964" w:rsidR="00B87039" w:rsidRPr="00653BF4" w:rsidRDefault="00B87039" w:rsidP="00557FB3">
            <w:pPr>
              <w:rPr>
                <w:rFonts w:cs="Times New Roman"/>
                <w:kern w:val="0"/>
                <w:sz w:val="22"/>
                <w:szCs w:val="22"/>
                <w:lang w:val="fr-FR"/>
              </w:rPr>
            </w:pPr>
            <w:r w:rsidRPr="00653BF4">
              <w:rPr>
                <w:rFonts w:cs="Times New Roman"/>
                <w:kern w:val="0"/>
                <w:sz w:val="22"/>
                <w:szCs w:val="22"/>
                <w:lang w:val="fr-FR"/>
              </w:rPr>
              <w:t>Recenser, d</w:t>
            </w:r>
            <w:r w:rsidR="00D77549">
              <w:rPr>
                <w:rFonts w:cs="Times New Roman"/>
                <w:kern w:val="0"/>
                <w:sz w:val="22"/>
                <w:szCs w:val="22"/>
                <w:lang w:val="fr-FR"/>
              </w:rPr>
              <w:t>’</w:t>
            </w:r>
            <w:r w:rsidRPr="00653BF4">
              <w:rPr>
                <w:rFonts w:cs="Times New Roman"/>
                <w:kern w:val="0"/>
                <w:sz w:val="22"/>
                <w:szCs w:val="22"/>
                <w:lang w:val="fr-FR"/>
              </w:rPr>
              <w:t>ici à 2025, les incitations, y compris les subventions, préjudiciables à la biodiversité</w:t>
            </w:r>
          </w:p>
          <w:p w14:paraId="76A9DA41" w14:textId="77777777" w:rsidR="00B87039" w:rsidRPr="00653BF4" w:rsidRDefault="00B87039" w:rsidP="00557FB3">
            <w:pPr>
              <w:rPr>
                <w:sz w:val="22"/>
                <w:szCs w:val="22"/>
                <w:lang w:val="fr-FR"/>
              </w:rPr>
            </w:pPr>
          </w:p>
        </w:tc>
        <w:tc>
          <w:tcPr>
            <w:tcW w:w="657" w:type="dxa"/>
            <w:shd w:val="clear" w:color="auto" w:fill="FFC000"/>
          </w:tcPr>
          <w:p w14:paraId="6D26EADE" w14:textId="77777777" w:rsidR="00B87039" w:rsidRPr="00653BF4" w:rsidRDefault="00B87039" w:rsidP="00557FB3">
            <w:pPr>
              <w:rPr>
                <w:sz w:val="22"/>
                <w:szCs w:val="22"/>
                <w:lang w:val="fr-FR"/>
              </w:rPr>
            </w:pPr>
            <w:r w:rsidRPr="00653BF4">
              <w:rPr>
                <w:sz w:val="22"/>
                <w:szCs w:val="22"/>
                <w:lang w:val="fr-FR"/>
              </w:rPr>
              <w:t>39</w:t>
            </w:r>
          </w:p>
        </w:tc>
      </w:tr>
      <w:tr w:rsidR="00B87039" w:rsidRPr="00653BF4" w14:paraId="1E566312" w14:textId="77777777" w:rsidTr="00557FB3">
        <w:tc>
          <w:tcPr>
            <w:tcW w:w="8359" w:type="dxa"/>
          </w:tcPr>
          <w:p w14:paraId="5C3EB822" w14:textId="77777777" w:rsidR="00B87039" w:rsidRPr="00653BF4" w:rsidRDefault="00B87039" w:rsidP="00557FB3">
            <w:pPr>
              <w:rPr>
                <w:sz w:val="22"/>
                <w:szCs w:val="22"/>
                <w:lang w:val="fr-FR"/>
              </w:rPr>
            </w:pPr>
            <w:r w:rsidRPr="00653BF4">
              <w:rPr>
                <w:sz w:val="22"/>
                <w:szCs w:val="22"/>
                <w:lang w:val="fr-FR"/>
              </w:rPr>
              <w:t>Éliminer, supprimer progressivement ou modifier les incitations, y compris les subventions, préjudiciables à la biodiversité de manière proportionnée, juste et équitable</w:t>
            </w:r>
          </w:p>
        </w:tc>
        <w:tc>
          <w:tcPr>
            <w:tcW w:w="657" w:type="dxa"/>
            <w:shd w:val="clear" w:color="auto" w:fill="FFFF00"/>
          </w:tcPr>
          <w:p w14:paraId="6D2ACF0F" w14:textId="77777777" w:rsidR="00B87039" w:rsidRPr="00653BF4" w:rsidRDefault="00B87039" w:rsidP="00557FB3">
            <w:pPr>
              <w:rPr>
                <w:sz w:val="22"/>
                <w:szCs w:val="22"/>
                <w:lang w:val="fr-FR"/>
              </w:rPr>
            </w:pPr>
            <w:r w:rsidRPr="00653BF4">
              <w:rPr>
                <w:sz w:val="22"/>
                <w:szCs w:val="22"/>
                <w:lang w:val="fr-FR"/>
              </w:rPr>
              <w:t>48</w:t>
            </w:r>
          </w:p>
        </w:tc>
      </w:tr>
      <w:tr w:rsidR="00B87039" w:rsidRPr="00653BF4" w14:paraId="0B5A30BB" w14:textId="77777777" w:rsidTr="00557FB3">
        <w:tc>
          <w:tcPr>
            <w:tcW w:w="8359" w:type="dxa"/>
          </w:tcPr>
          <w:p w14:paraId="73235D50" w14:textId="487CF0A8"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Réduire substantiellement et progressivement les incitations, y compris les subventions, préjudiciables à la biodiversité, d</w:t>
            </w:r>
            <w:r w:rsidR="00D77549">
              <w:rPr>
                <w:rFonts w:cs="Times New Roman"/>
                <w:kern w:val="0"/>
                <w:sz w:val="22"/>
                <w:szCs w:val="22"/>
                <w:lang w:val="fr-FR"/>
              </w:rPr>
              <w:t>’</w:t>
            </w:r>
            <w:r w:rsidRPr="00653BF4">
              <w:rPr>
                <w:rFonts w:cs="Times New Roman"/>
                <w:kern w:val="0"/>
                <w:sz w:val="22"/>
                <w:szCs w:val="22"/>
                <w:lang w:val="fr-FR"/>
              </w:rPr>
              <w:t>au moins 500 milliards de dollars par an d</w:t>
            </w:r>
            <w:r w:rsidR="00D77549">
              <w:rPr>
                <w:rFonts w:cs="Times New Roman"/>
                <w:kern w:val="0"/>
                <w:sz w:val="22"/>
                <w:szCs w:val="22"/>
                <w:lang w:val="fr-FR"/>
              </w:rPr>
              <w:t>’</w:t>
            </w:r>
            <w:r w:rsidRPr="00653BF4">
              <w:rPr>
                <w:rFonts w:cs="Times New Roman"/>
                <w:kern w:val="0"/>
                <w:sz w:val="22"/>
                <w:szCs w:val="22"/>
                <w:lang w:val="fr-FR"/>
              </w:rPr>
              <w:t>ici à 2030</w:t>
            </w:r>
          </w:p>
        </w:tc>
        <w:tc>
          <w:tcPr>
            <w:tcW w:w="657" w:type="dxa"/>
            <w:shd w:val="clear" w:color="auto" w:fill="FFC000"/>
          </w:tcPr>
          <w:p w14:paraId="2EBFB39C" w14:textId="77777777" w:rsidR="00B87039" w:rsidRPr="00653BF4" w:rsidRDefault="00B87039" w:rsidP="00557FB3">
            <w:pPr>
              <w:rPr>
                <w:sz w:val="22"/>
                <w:szCs w:val="22"/>
                <w:lang w:val="fr-FR"/>
              </w:rPr>
            </w:pPr>
            <w:r w:rsidRPr="00653BF4">
              <w:rPr>
                <w:sz w:val="22"/>
                <w:szCs w:val="22"/>
                <w:lang w:val="fr-FR"/>
              </w:rPr>
              <w:t>27</w:t>
            </w:r>
          </w:p>
        </w:tc>
      </w:tr>
      <w:tr w:rsidR="00B87039" w:rsidRPr="00653BF4" w14:paraId="22830CFE" w14:textId="77777777" w:rsidTr="00557FB3">
        <w:tc>
          <w:tcPr>
            <w:tcW w:w="8359" w:type="dxa"/>
          </w:tcPr>
          <w:p w14:paraId="1E0C2D3C" w14:textId="542DBA8E"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Renforcer les incitations positives en faveur de la conservation et l</w:t>
            </w:r>
            <w:r w:rsidR="00D77549">
              <w:rPr>
                <w:rFonts w:cs="Times New Roman"/>
                <w:kern w:val="0"/>
                <w:sz w:val="22"/>
                <w:szCs w:val="22"/>
                <w:lang w:val="fr-FR"/>
              </w:rPr>
              <w:t>’</w:t>
            </w:r>
            <w:r w:rsidRPr="00653BF4">
              <w:rPr>
                <w:rFonts w:cs="Times New Roman"/>
                <w:kern w:val="0"/>
                <w:sz w:val="22"/>
                <w:szCs w:val="22"/>
                <w:lang w:val="fr-FR"/>
              </w:rPr>
              <w:t>utilisation durable de la biodiversité</w:t>
            </w:r>
          </w:p>
          <w:p w14:paraId="54300C38" w14:textId="77777777" w:rsidR="00B87039" w:rsidRPr="00653BF4" w:rsidRDefault="00B87039" w:rsidP="00557FB3">
            <w:pPr>
              <w:rPr>
                <w:sz w:val="22"/>
                <w:szCs w:val="22"/>
                <w:lang w:val="fr-FR"/>
              </w:rPr>
            </w:pPr>
          </w:p>
        </w:tc>
        <w:tc>
          <w:tcPr>
            <w:tcW w:w="657" w:type="dxa"/>
            <w:shd w:val="clear" w:color="auto" w:fill="FFFF00"/>
          </w:tcPr>
          <w:p w14:paraId="5251ADBD" w14:textId="77777777" w:rsidR="00B87039" w:rsidRPr="00653BF4" w:rsidRDefault="00B87039" w:rsidP="00557FB3">
            <w:pPr>
              <w:rPr>
                <w:sz w:val="22"/>
                <w:szCs w:val="22"/>
                <w:lang w:val="fr-FR"/>
              </w:rPr>
            </w:pPr>
            <w:r w:rsidRPr="00653BF4">
              <w:rPr>
                <w:sz w:val="22"/>
                <w:szCs w:val="22"/>
                <w:lang w:val="fr-FR"/>
              </w:rPr>
              <w:t>58</w:t>
            </w:r>
          </w:p>
        </w:tc>
      </w:tr>
      <w:tr w:rsidR="00B87039" w:rsidRPr="00543148" w14:paraId="0DA42F27" w14:textId="77777777" w:rsidTr="00557FB3">
        <w:tc>
          <w:tcPr>
            <w:tcW w:w="9016" w:type="dxa"/>
            <w:gridSpan w:val="2"/>
          </w:tcPr>
          <w:p w14:paraId="1896443E" w14:textId="77777777" w:rsidR="00B87039" w:rsidRPr="00653BF4" w:rsidRDefault="00B87039" w:rsidP="00557FB3">
            <w:pPr>
              <w:rPr>
                <w:sz w:val="22"/>
                <w:szCs w:val="22"/>
                <w:lang w:val="fr-FR"/>
              </w:rPr>
            </w:pPr>
          </w:p>
          <w:p w14:paraId="57C4BB70" w14:textId="77777777" w:rsidR="00B87039" w:rsidRPr="00653BF4" w:rsidRDefault="00B87039" w:rsidP="00557FB3">
            <w:pPr>
              <w:pStyle w:val="p1"/>
              <w:keepNext/>
              <w:rPr>
                <w:rFonts w:asciiTheme="minorHAnsi" w:hAnsiTheme="minorHAnsi"/>
                <w:b/>
                <w:bCs/>
                <w:sz w:val="22"/>
                <w:szCs w:val="22"/>
                <w:lang w:val="fr-FR"/>
              </w:rPr>
            </w:pPr>
          </w:p>
          <w:p w14:paraId="3157AB61" w14:textId="71271393"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43</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0B566D1A" w14:textId="77777777" w:rsidR="00B87039" w:rsidRPr="00653BF4" w:rsidRDefault="00B87039" w:rsidP="00557FB3">
            <w:pPr>
              <w:rPr>
                <w:sz w:val="22"/>
                <w:szCs w:val="22"/>
                <w:lang w:val="fr-FR"/>
              </w:rPr>
            </w:pPr>
          </w:p>
        </w:tc>
      </w:tr>
    </w:tbl>
    <w:p w14:paraId="6EB1A130" w14:textId="77777777" w:rsidR="00B87039" w:rsidRPr="00653BF4" w:rsidRDefault="00B87039" w:rsidP="00B87039">
      <w:pPr>
        <w:rPr>
          <w:lang w:val="fr-FR"/>
        </w:rPr>
      </w:pPr>
    </w:p>
    <w:p w14:paraId="2F81AD38" w14:textId="228B3F32" w:rsidR="00B87039" w:rsidRPr="00653BF4" w:rsidRDefault="00B87039" w:rsidP="00B87039">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w:t>
      </w:r>
      <w:r w:rsidR="00D77549">
        <w:rPr>
          <w:iCs/>
          <w:sz w:val="16"/>
          <w:szCs w:val="16"/>
          <w:lang w:val="fr-FR"/>
        </w:rPr>
        <w:t>’</w:t>
      </w:r>
      <w:r w:rsidRPr="00653BF4">
        <w:rPr>
          <w:iCs/>
          <w:sz w:val="16"/>
          <w:szCs w:val="16"/>
          <w:lang w:val="fr-FR"/>
        </w:rPr>
        <w:t>élément, au moins partiellement.</w:t>
      </w:r>
    </w:p>
    <w:p w14:paraId="1CDEFDB6" w14:textId="76B6D327" w:rsidR="00B87039" w:rsidRPr="00653BF4" w:rsidRDefault="00B87039" w:rsidP="00B8703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cs="Segoe UI"/>
          <w:sz w:val="16"/>
          <w:szCs w:val="16"/>
          <w:lang w:val="fr-FR"/>
        </w:rPr>
        <w:t xml:space="preserve"> Les éléments de chaque cible ont été définis par le Groupe spécial d</w:t>
      </w:r>
      <w:r w:rsidR="00D77549">
        <w:rPr>
          <w:rStyle w:val="normaltextrun"/>
          <w:rFonts w:cs="Segoe UI"/>
          <w:sz w:val="16"/>
          <w:szCs w:val="16"/>
          <w:lang w:val="fr-FR"/>
        </w:rPr>
        <w:t>’</w:t>
      </w:r>
      <w:r w:rsidRPr="00653BF4">
        <w:rPr>
          <w:rStyle w:val="normaltextrun"/>
          <w:rFonts w:cs="Segoe UI"/>
          <w:sz w:val="16"/>
          <w:szCs w:val="16"/>
          <w:lang w:val="fr-FR"/>
        </w:rPr>
        <w:t xml:space="preserve">experts techniques sur les indicateurs du Cadre mondial de la biodiversité de Kunming-Montréal (voir annexe I du document </w:t>
      </w:r>
      <w:hyperlink r:id="rId184" w:history="1">
        <w:r w:rsidRPr="00653BF4">
          <w:rPr>
            <w:rStyle w:val="Hyperlink"/>
            <w:rFonts w:ascii="Aptos" w:hAnsi="Aptos" w:cs="Segoe UI"/>
            <w:sz w:val="16"/>
            <w:szCs w:val="16"/>
            <w:lang w:val="fr-FR"/>
          </w:rPr>
          <w:t>CBD/COP/16/INF/4</w:t>
        </w:r>
      </w:hyperlink>
      <w:r w:rsidR="00E34DC9">
        <w:rPr>
          <w:rStyle w:val="normaltextrun"/>
          <w:rFonts w:cs="Segoe UI"/>
          <w:sz w:val="16"/>
          <w:szCs w:val="16"/>
          <w:lang w:val="fr-FR"/>
        </w:rPr>
        <w:t> ;</w:t>
      </w:r>
      <w:r w:rsidRPr="00653BF4">
        <w:rPr>
          <w:rFonts w:ascii="Aptos" w:hAnsi="Aptos" w:cs="Segoe UI"/>
          <w:sz w:val="16"/>
          <w:szCs w:val="16"/>
          <w:lang w:val="fr-FR"/>
        </w:rPr>
        <w:t xml:space="preserve"> et Affinito </w:t>
      </w:r>
      <w:r w:rsidRPr="00653BF4">
        <w:rPr>
          <w:rFonts w:ascii="Aptos" w:hAnsi="Aptos" w:cs="Segoe UI"/>
          <w:i/>
          <w:iCs/>
          <w:sz w:val="16"/>
          <w:szCs w:val="16"/>
          <w:lang w:val="fr-FR"/>
        </w:rPr>
        <w:t>et al.</w:t>
      </w:r>
      <w:r w:rsidRPr="00653BF4">
        <w:rPr>
          <w:rFonts w:ascii="Aptos" w:hAnsi="Aptos" w:cs="Segoe UI"/>
          <w:sz w:val="16"/>
          <w:szCs w:val="16"/>
          <w:lang w:val="fr-FR"/>
        </w:rPr>
        <w:t>, 2025).</w:t>
      </w:r>
      <w:r w:rsidRPr="00653BF4">
        <w:rPr>
          <w:rStyle w:val="normaltextrun"/>
          <w:rFonts w:cs="Segoe UI"/>
          <w:sz w:val="16"/>
          <w:szCs w:val="16"/>
          <w:lang w:val="fr-FR"/>
        </w:rPr>
        <w:t>La méthode détaillée employée pour l</w:t>
      </w:r>
      <w:r w:rsidR="00D77549">
        <w:rPr>
          <w:rStyle w:val="normaltextrun"/>
          <w:rFonts w:cs="Segoe UI"/>
          <w:sz w:val="16"/>
          <w:szCs w:val="16"/>
          <w:lang w:val="fr-FR"/>
        </w:rPr>
        <w:t>’</w:t>
      </w:r>
      <w:r w:rsidRPr="00653BF4">
        <w:rPr>
          <w:rStyle w:val="normaltextrun"/>
          <w:rFonts w:cs="Segoe UI"/>
          <w:sz w:val="16"/>
          <w:szCs w:val="16"/>
          <w:lang w:val="fr-FR"/>
        </w:rPr>
        <w:t>analyse des cibles nationales est présentée dans le document </w:t>
      </w:r>
      <w:hyperlink r:id="rId185" w:history="1">
        <w:r w:rsidRPr="00653BF4">
          <w:rPr>
            <w:rStyle w:val="Hyperlink"/>
            <w:rFonts w:ascii="Aptos" w:hAnsi="Aptos" w:cs="Segoe UI"/>
            <w:sz w:val="16"/>
            <w:szCs w:val="16"/>
            <w:lang w:val="fr-FR"/>
          </w:rPr>
          <w:t>CBD/SBI/7/INF/22</w:t>
        </w:r>
      </w:hyperlink>
      <w:r w:rsidRPr="00653BF4">
        <w:rPr>
          <w:rStyle w:val="normaltextrun"/>
          <w:rFonts w:cs="Segoe UI"/>
          <w:sz w:val="16"/>
          <w:szCs w:val="16"/>
          <w:lang w:val="fr-FR"/>
        </w:rPr>
        <w:t>. </w:t>
      </w:r>
    </w:p>
    <w:p w14:paraId="31B7E3B8" w14:textId="77777777" w:rsidR="00B87039" w:rsidRPr="00653BF4" w:rsidRDefault="00B87039" w:rsidP="00B87039">
      <w:pPr>
        <w:rPr>
          <w:lang w:val="fr-FR"/>
        </w:rPr>
      </w:pPr>
    </w:p>
    <w:p w14:paraId="76A7D0F3" w14:textId="3282AA67" w:rsidR="00B87039" w:rsidRPr="00653BF4" w:rsidRDefault="00B87039" w:rsidP="00B87039">
      <w:pPr>
        <w:rPr>
          <w:lang w:val="fr-FR"/>
        </w:rPr>
      </w:pPr>
      <w:r w:rsidRPr="00653BF4">
        <w:rPr>
          <w:lang w:val="fr-FR"/>
        </w:rPr>
        <w:t xml:space="preserve">Les éléments de la </w:t>
      </w:r>
      <w:r w:rsidR="00E34DC9">
        <w:rPr>
          <w:lang w:val="fr-FR"/>
        </w:rPr>
        <w:t>cible 1</w:t>
      </w:r>
      <w:r w:rsidRPr="00653BF4">
        <w:rPr>
          <w:lang w:val="fr-FR"/>
        </w:rPr>
        <w:t>8 sont pris en compte de manière inégale par les Parties dans leurs cibles nationales (voir le tableau 39). La plus grande partie d’entre elles (58</w:t>
      </w:r>
      <w:r w:rsidR="002878D7">
        <w:rPr>
          <w:lang w:val="fr-FR"/>
        </w:rPr>
        <w:t> %</w:t>
      </w:r>
      <w:r w:rsidRPr="00653BF4">
        <w:rPr>
          <w:lang w:val="fr-FR"/>
        </w:rPr>
        <w:t>) ont défini des cibles nationales qui traitent partiellement du renforcement des incitations positives en faveur de la conservation et de l’utilisation durable de la biodiversité. Moins de la moitié (48</w:t>
      </w:r>
      <w:r w:rsidR="002878D7">
        <w:rPr>
          <w:lang w:val="fr-FR"/>
        </w:rPr>
        <w:t> %</w:t>
      </w:r>
      <w:r w:rsidRPr="00653BF4">
        <w:rPr>
          <w:lang w:val="fr-FR"/>
        </w:rPr>
        <w:t>) ont fixé des cibles nationales visant à éliminer, supprimer progressivement ou modifier de manière proportionnée, juste et équitable les incitations, y compris les subventions, préjudiciables à la biodiversité. L</w:t>
      </w:r>
      <w:r w:rsidR="00D77549">
        <w:rPr>
          <w:lang w:val="fr-FR"/>
        </w:rPr>
        <w:t>’</w:t>
      </w:r>
      <w:r w:rsidRPr="00653BF4">
        <w:rPr>
          <w:lang w:val="fr-FR"/>
        </w:rPr>
        <w:t xml:space="preserve">élément de la </w:t>
      </w:r>
      <w:r w:rsidR="00E34DC9">
        <w:rPr>
          <w:lang w:val="fr-FR"/>
        </w:rPr>
        <w:t>cible 1</w:t>
      </w:r>
      <w:r w:rsidRPr="00653BF4">
        <w:rPr>
          <w:lang w:val="fr-FR"/>
        </w:rPr>
        <w:t>8, dont l</w:t>
      </w:r>
      <w:r w:rsidR="00D77549">
        <w:rPr>
          <w:lang w:val="fr-FR"/>
        </w:rPr>
        <w:t>’</w:t>
      </w:r>
      <w:r w:rsidRPr="00653BF4">
        <w:rPr>
          <w:lang w:val="fr-FR"/>
        </w:rPr>
        <w:t>échéance est fixée à 2025 et qui vise à recenser les incitations préjudiciables, est pris en compte partiellement par 39</w:t>
      </w:r>
      <w:r w:rsidR="002878D7">
        <w:rPr>
          <w:lang w:val="fr-FR"/>
        </w:rPr>
        <w:t> %</w:t>
      </w:r>
      <w:r w:rsidRPr="00653BF4">
        <w:rPr>
          <w:lang w:val="fr-FR"/>
        </w:rPr>
        <w:t xml:space="preserve"> des Parties dans leurs cibles nationales. L</w:t>
      </w:r>
      <w:r w:rsidR="00D77549">
        <w:rPr>
          <w:lang w:val="fr-FR"/>
        </w:rPr>
        <w:t>’</w:t>
      </w:r>
      <w:r w:rsidRPr="00653BF4">
        <w:rPr>
          <w:lang w:val="fr-FR"/>
        </w:rPr>
        <w:t>élément le moins pris en compte par les Parties (27</w:t>
      </w:r>
      <w:r w:rsidR="002878D7">
        <w:rPr>
          <w:lang w:val="fr-FR"/>
        </w:rPr>
        <w:t> %</w:t>
      </w:r>
      <w:r w:rsidRPr="00653BF4">
        <w:rPr>
          <w:lang w:val="fr-FR"/>
        </w:rPr>
        <w:t>) concerne la réduction substantielle et progressive des subventions préjudiciables d</w:t>
      </w:r>
      <w:r w:rsidR="00D77549">
        <w:rPr>
          <w:lang w:val="fr-FR"/>
        </w:rPr>
        <w:t>’</w:t>
      </w:r>
      <w:r w:rsidRPr="00653BF4">
        <w:rPr>
          <w:lang w:val="fr-FR"/>
        </w:rPr>
        <w:t>au moins 500 milliards de dollars des États-Unis à l</w:t>
      </w:r>
      <w:r w:rsidR="00D77549">
        <w:rPr>
          <w:lang w:val="fr-FR"/>
        </w:rPr>
        <w:t>’</w:t>
      </w:r>
      <w:r w:rsidRPr="00653BF4">
        <w:rPr>
          <w:lang w:val="fr-FR"/>
        </w:rPr>
        <w:t>échelle mondiale d</w:t>
      </w:r>
      <w:r w:rsidR="00D77549">
        <w:rPr>
          <w:lang w:val="fr-FR"/>
        </w:rPr>
        <w:t>’</w:t>
      </w:r>
      <w:r w:rsidRPr="00653BF4">
        <w:rPr>
          <w:lang w:val="fr-FR"/>
        </w:rPr>
        <w:t>ici à 2030.</w:t>
      </w:r>
    </w:p>
    <w:p w14:paraId="1F07E294" w14:textId="0A757BDF" w:rsidR="00B87039" w:rsidRPr="00653BF4" w:rsidRDefault="00B87039" w:rsidP="00B87039">
      <w:pPr>
        <w:rPr>
          <w:lang w:val="fr-FR"/>
        </w:rPr>
      </w:pPr>
      <w:bookmarkStart w:id="353" w:name="_Toc235821270"/>
      <w:r w:rsidRPr="00653BF4">
        <w:rPr>
          <w:lang w:val="fr-FR"/>
        </w:rPr>
        <w:t>Très peu de Parties (5</w:t>
      </w:r>
      <w:r w:rsidR="002878D7">
        <w:rPr>
          <w:lang w:val="fr-FR"/>
        </w:rPr>
        <w:t> %</w:t>
      </w:r>
      <w:r w:rsidRPr="00653BF4">
        <w:rPr>
          <w:lang w:val="fr-FR"/>
        </w:rPr>
        <w:t>) ont fixé des cibles nationales quantitatives visant à réduire les incitations, y compris les subventions, préjudiciables à la biodiversité. Les objectifs fixés par ces Parties prévoient des réductions allant de 10</w:t>
      </w:r>
      <w:r w:rsidR="002878D7">
        <w:rPr>
          <w:lang w:val="fr-FR"/>
        </w:rPr>
        <w:t> %</w:t>
      </w:r>
      <w:r w:rsidRPr="00653BF4">
        <w:rPr>
          <w:lang w:val="fr-FR"/>
        </w:rPr>
        <w:t xml:space="preserve"> à 50</w:t>
      </w:r>
      <w:r w:rsidR="002878D7">
        <w:rPr>
          <w:lang w:val="fr-FR"/>
        </w:rPr>
        <w:t> %</w:t>
      </w:r>
      <w:r w:rsidRPr="00653BF4">
        <w:rPr>
          <w:lang w:val="fr-FR"/>
        </w:rPr>
        <w:t xml:space="preserve"> des incitations préjudiciables. </w:t>
      </w:r>
    </w:p>
    <w:p w14:paraId="0C8C1B9D" w14:textId="77777777" w:rsidR="00B87039" w:rsidRPr="00653BF4" w:rsidRDefault="00B87039" w:rsidP="00B87039">
      <w:pPr>
        <w:pStyle w:val="Heading5"/>
        <w:rPr>
          <w:lang w:val="fr-FR"/>
        </w:rPr>
      </w:pPr>
    </w:p>
    <w:p w14:paraId="760C1353" w14:textId="41AD790A" w:rsidR="00B87039" w:rsidRPr="00653BF4" w:rsidRDefault="00B87039" w:rsidP="00B87039">
      <w:pPr>
        <w:pStyle w:val="Heading5"/>
        <w:rPr>
          <w:lang w:val="fr-FR"/>
        </w:rPr>
      </w:pPr>
      <w:r w:rsidRPr="00653BF4">
        <w:rPr>
          <w:lang w:val="fr-FR"/>
        </w:rPr>
        <w:t>Indicateurs de progrès</w:t>
      </w:r>
      <w:bookmarkEnd w:id="353"/>
    </w:p>
    <w:p w14:paraId="484E4752" w14:textId="77777777" w:rsidR="00B87039" w:rsidRPr="00653BF4" w:rsidRDefault="00B87039" w:rsidP="00B87039">
      <w:pPr>
        <w:pStyle w:val="Caption"/>
        <w:rPr>
          <w:i w:val="0"/>
          <w:iCs w:val="0"/>
          <w:sz w:val="20"/>
          <w:szCs w:val="20"/>
          <w:lang w:val="fr-FR"/>
        </w:rPr>
      </w:pPr>
    </w:p>
    <w:p w14:paraId="7E12EB7A" w14:textId="18085362" w:rsidR="00B87039" w:rsidRPr="00653BF4" w:rsidRDefault="00B87039" w:rsidP="00B87039">
      <w:pPr>
        <w:pStyle w:val="Caption"/>
        <w:rPr>
          <w:i w:val="0"/>
          <w:sz w:val="20"/>
          <w:szCs w:val="20"/>
          <w:lang w:val="fr-FR"/>
        </w:rPr>
      </w:pPr>
      <w:bookmarkStart w:id="354" w:name="_Ref238753575"/>
      <w:r w:rsidRPr="00653BF4">
        <w:rPr>
          <w:i w:val="0"/>
          <w:iCs w:val="0"/>
          <w:sz w:val="20"/>
          <w:szCs w:val="20"/>
          <w:lang w:val="fr-FR"/>
        </w:rPr>
        <w:t>Tableau 40</w:t>
      </w:r>
      <w:bookmarkEnd w:id="354"/>
      <w:r w:rsidRPr="00653BF4">
        <w:rPr>
          <w:i w:val="0"/>
          <w:iCs w:val="0"/>
          <w:sz w:val="20"/>
          <w:szCs w:val="20"/>
          <w:lang w:val="fr-FR"/>
        </w:rPr>
        <w:t xml:space="preserve"> </w:t>
      </w:r>
    </w:p>
    <w:p w14:paraId="36E0AD98" w14:textId="202007E3"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1</w:t>
      </w:r>
      <w:r w:rsidRPr="00653BF4">
        <w:rPr>
          <w:b/>
          <w:bCs/>
          <w:i w:val="0"/>
          <w:iCs w:val="0"/>
          <w:sz w:val="20"/>
          <w:szCs w:val="20"/>
          <w:lang w:val="fr-FR"/>
        </w:rPr>
        <w:t>8 du Cadre</w:t>
      </w:r>
    </w:p>
    <w:p w14:paraId="647066E0" w14:textId="77777777" w:rsidR="00B87039" w:rsidRPr="00653BF4" w:rsidRDefault="00B87039" w:rsidP="00B87039">
      <w:pPr>
        <w:rPr>
          <w:lang w:val="fr-FR" w:eastAsia="ja-JP"/>
        </w:rPr>
      </w:pPr>
    </w:p>
    <w:tbl>
      <w:tblPr>
        <w:tblW w:w="9918" w:type="dxa"/>
        <w:tblLook w:val="04A0" w:firstRow="1" w:lastRow="0" w:firstColumn="1" w:lastColumn="0" w:noHBand="0" w:noVBand="1"/>
      </w:tblPr>
      <w:tblGrid>
        <w:gridCol w:w="3240"/>
        <w:gridCol w:w="2709"/>
        <w:gridCol w:w="567"/>
        <w:gridCol w:w="2835"/>
        <w:gridCol w:w="567"/>
      </w:tblGrid>
      <w:tr w:rsidR="00B87039" w:rsidRPr="00653BF4" w14:paraId="71CC9F7A"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4727843A"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276" w:type="dxa"/>
            <w:gridSpan w:val="2"/>
            <w:tcBorders>
              <w:top w:val="single" w:sz="4" w:space="0" w:color="auto"/>
              <w:left w:val="nil"/>
              <w:bottom w:val="single" w:sz="4" w:space="0" w:color="auto"/>
              <w:right w:val="single" w:sz="4" w:space="0" w:color="auto"/>
            </w:tcBorders>
            <w:vAlign w:val="center"/>
          </w:tcPr>
          <w:p w14:paraId="520891A4" w14:textId="67E19A5F" w:rsidR="00B87039" w:rsidRPr="00653BF4" w:rsidRDefault="00E04592"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2DC821FD" w14:textId="6B919F1D" w:rsidR="00B87039" w:rsidRPr="00653BF4" w:rsidRDefault="00A443C9"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Résultats de l’indicateur</w:t>
            </w:r>
          </w:p>
        </w:tc>
      </w:tr>
      <w:tr w:rsidR="00B87039" w:rsidRPr="00543148" w14:paraId="5E724527"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0F10D7" w14:textId="60E8CE9B"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lastRenderedPageBreak/>
              <w:t>Indicateur phare18.1</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incitations positives en place pour promouvoir la conservation et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utilisation durable de la biodiversité</w:t>
            </w:r>
          </w:p>
        </w:tc>
        <w:tc>
          <w:tcPr>
            <w:tcW w:w="2709" w:type="dxa"/>
            <w:tcBorders>
              <w:top w:val="single" w:sz="4" w:space="0" w:color="auto"/>
              <w:left w:val="nil"/>
              <w:bottom w:val="single" w:sz="4" w:space="0" w:color="auto"/>
              <w:right w:val="single" w:sz="4" w:space="0" w:color="auto"/>
            </w:tcBorders>
            <w:vAlign w:val="center"/>
            <w:hideMark/>
          </w:tcPr>
          <w:p w14:paraId="2705FC52" w14:textId="09E84B84"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30</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567" w:type="dxa"/>
            <w:tcBorders>
              <w:top w:val="single" w:sz="4" w:space="0" w:color="auto"/>
              <w:left w:val="nil"/>
              <w:bottom w:val="single" w:sz="4" w:space="0" w:color="auto"/>
              <w:right w:val="nil"/>
            </w:tcBorders>
            <w:shd w:val="clear" w:color="auto" w:fill="C00000"/>
            <w:vAlign w:val="center"/>
            <w:hideMark/>
          </w:tcPr>
          <w:p w14:paraId="2BADA511"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3FA23765" w14:textId="32A9FEF8"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Augmentation d</w:t>
            </w:r>
            <w:r w:rsidR="00D77549">
              <w:rPr>
                <w:rFonts w:eastAsia="Times New Roman" w:cs="Calibri"/>
                <w:color w:val="000000"/>
                <w:kern w:val="0"/>
                <w:sz w:val="20"/>
                <w:szCs w:val="20"/>
                <w:lang w:val="fr-FR"/>
                <w14:ligatures w14:val="none"/>
              </w:rPr>
              <w:t>’</w:t>
            </w:r>
            <w:r w:rsidRPr="00653BF4">
              <w:rPr>
                <w:rFonts w:eastAsia="Times New Roman" w:cs="Calibri"/>
                <w:color w:val="000000"/>
                <w:kern w:val="0"/>
                <w:sz w:val="20"/>
                <w:szCs w:val="20"/>
                <w:lang w:val="fr-FR"/>
                <w14:ligatures w14:val="none"/>
              </w:rPr>
              <w:t>année en année pour atteindre un total de 548 en 2025</w:t>
            </w:r>
          </w:p>
        </w:tc>
        <w:tc>
          <w:tcPr>
            <w:tcW w:w="567" w:type="dxa"/>
            <w:tcBorders>
              <w:top w:val="single" w:sz="4" w:space="0" w:color="auto"/>
              <w:left w:val="nil"/>
              <w:bottom w:val="single" w:sz="4" w:space="0" w:color="auto"/>
              <w:right w:val="single" w:sz="4" w:space="0" w:color="auto"/>
            </w:tcBorders>
            <w:shd w:val="clear" w:color="000000" w:fill="92D050"/>
            <w:vAlign w:val="center"/>
            <w:hideMark/>
          </w:tcPr>
          <w:p w14:paraId="4D33FCB3"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7FD00F41" w14:textId="77777777" w:rsidTr="00557FB3">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0D3D91C" w14:textId="7FF64C92"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phare 18.2</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valeur des subventions et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autres incitations préjudiciables à la biodiversité</w:t>
            </w:r>
          </w:p>
        </w:tc>
        <w:tc>
          <w:tcPr>
            <w:tcW w:w="2709" w:type="dxa"/>
            <w:tcBorders>
              <w:top w:val="nil"/>
              <w:left w:val="nil"/>
              <w:bottom w:val="single" w:sz="4" w:space="0" w:color="auto"/>
              <w:right w:val="single" w:sz="4" w:space="0" w:color="auto"/>
            </w:tcBorders>
            <w:vAlign w:val="center"/>
            <w:hideMark/>
          </w:tcPr>
          <w:p w14:paraId="3A3CEF3F" w14:textId="5B0A03A8"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sz w:val="20"/>
                <w:szCs w:val="20"/>
                <w:lang w:val="fr-FR"/>
              </w:rPr>
              <w:t>19</w:t>
            </w:r>
            <w:r w:rsidR="002878D7">
              <w:rPr>
                <w:sz w:val="20"/>
                <w:szCs w:val="20"/>
                <w:lang w:val="fr-FR"/>
              </w:rPr>
              <w:t> %</w:t>
            </w:r>
            <w:r w:rsidRPr="00653BF4">
              <w:rPr>
                <w:sz w:val="20"/>
                <w:szCs w:val="20"/>
                <w:lang w:val="fr-FR"/>
              </w:rPr>
              <w:t xml:space="preserve"> des Parties, représentant 25</w:t>
            </w:r>
            <w:r w:rsidR="002878D7">
              <w:rPr>
                <w:sz w:val="20"/>
                <w:szCs w:val="20"/>
                <w:lang w:val="fr-FR"/>
              </w:rPr>
              <w:t> %</w:t>
            </w:r>
            <w:r w:rsidRPr="00653BF4">
              <w:rPr>
                <w:sz w:val="20"/>
                <w:szCs w:val="20"/>
                <w:lang w:val="fr-FR"/>
              </w:rPr>
              <w:t xml:space="preserve"> du PIB total des Parties</w:t>
            </w:r>
          </w:p>
        </w:tc>
        <w:tc>
          <w:tcPr>
            <w:tcW w:w="567" w:type="dxa"/>
            <w:tcBorders>
              <w:top w:val="nil"/>
              <w:left w:val="nil"/>
              <w:bottom w:val="single" w:sz="4" w:space="0" w:color="auto"/>
              <w:right w:val="single" w:sz="4" w:space="0" w:color="auto"/>
            </w:tcBorders>
            <w:shd w:val="clear" w:color="000000" w:fill="C00000"/>
            <w:vAlign w:val="center"/>
            <w:hideMark/>
          </w:tcPr>
          <w:p w14:paraId="4EB32930"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835" w:type="dxa"/>
            <w:tcBorders>
              <w:top w:val="nil"/>
              <w:left w:val="nil"/>
              <w:bottom w:val="single" w:sz="4" w:space="0" w:color="auto"/>
              <w:right w:val="single" w:sz="4" w:space="0" w:color="auto"/>
            </w:tcBorders>
            <w:vAlign w:val="center"/>
            <w:hideMark/>
          </w:tcPr>
          <w:p w14:paraId="4A400674"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sz w:val="20"/>
                <w:szCs w:val="20"/>
                <w:lang w:val="fr-FR"/>
              </w:rPr>
              <w:t>Au total, 268 milliards de dollars des États-Unis consacrés à des subventions préjudiciables entre 2022 et 2025</w:t>
            </w:r>
          </w:p>
        </w:tc>
        <w:tc>
          <w:tcPr>
            <w:tcW w:w="567" w:type="dxa"/>
            <w:tcBorders>
              <w:top w:val="nil"/>
              <w:left w:val="nil"/>
              <w:bottom w:val="single" w:sz="4" w:space="0" w:color="auto"/>
              <w:right w:val="single" w:sz="4" w:space="0" w:color="auto"/>
            </w:tcBorders>
            <w:shd w:val="clear" w:color="auto" w:fill="C00000"/>
            <w:vAlign w:val="center"/>
            <w:hideMark/>
          </w:tcPr>
          <w:p w14:paraId="15447F30"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tc>
      </w:tr>
      <w:tr w:rsidR="00B87039" w:rsidRPr="00543148" w14:paraId="3D5F63A3" w14:textId="77777777" w:rsidTr="00557FB3">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BE62101"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Tous les indicateurs quantitatifs combinés</w:t>
            </w:r>
          </w:p>
        </w:tc>
        <w:tc>
          <w:tcPr>
            <w:tcW w:w="2709" w:type="dxa"/>
            <w:tcBorders>
              <w:top w:val="nil"/>
              <w:left w:val="nil"/>
              <w:bottom w:val="single" w:sz="4" w:space="0" w:color="auto"/>
              <w:right w:val="single" w:sz="4" w:space="0" w:color="auto"/>
            </w:tcBorders>
            <w:vAlign w:val="center"/>
            <w:hideMark/>
          </w:tcPr>
          <w:p w14:paraId="768D0EE2" w14:textId="39B93CE4"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sz w:val="20"/>
                <w:szCs w:val="20"/>
                <w:lang w:val="fr-FR"/>
              </w:rPr>
              <w:t>48 Parties, 37</w:t>
            </w:r>
            <w:r w:rsidR="002878D7">
              <w:rPr>
                <w:sz w:val="20"/>
                <w:szCs w:val="20"/>
                <w:lang w:val="fr-FR"/>
              </w:rPr>
              <w:t> %</w:t>
            </w:r>
          </w:p>
        </w:tc>
        <w:tc>
          <w:tcPr>
            <w:tcW w:w="567" w:type="dxa"/>
            <w:tcBorders>
              <w:top w:val="nil"/>
              <w:left w:val="nil"/>
              <w:bottom w:val="single" w:sz="4" w:space="0" w:color="auto"/>
              <w:right w:val="nil"/>
            </w:tcBorders>
            <w:shd w:val="clear" w:color="000000" w:fill="FFC000"/>
            <w:vAlign w:val="center"/>
            <w:hideMark/>
          </w:tcPr>
          <w:p w14:paraId="1C80E71E"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182F3CD9" w14:textId="4BBD56BE" w:rsidR="00B87039" w:rsidRPr="00653BF4" w:rsidRDefault="00B87039" w:rsidP="00557FB3">
            <w:pPr>
              <w:jc w:val="center"/>
              <w:rPr>
                <w:sz w:val="20"/>
                <w:szCs w:val="20"/>
                <w:lang w:val="fr-FR"/>
              </w:rPr>
            </w:pPr>
            <w:r w:rsidRPr="00653BF4">
              <w:rPr>
                <w:sz w:val="20"/>
                <w:szCs w:val="20"/>
                <w:lang w:val="fr-FR"/>
              </w:rPr>
              <w:t>21</w:t>
            </w:r>
            <w:r w:rsidR="002878D7">
              <w:rPr>
                <w:sz w:val="20"/>
                <w:szCs w:val="20"/>
                <w:lang w:val="fr-FR"/>
              </w:rPr>
              <w:t> %</w:t>
            </w:r>
            <w:r w:rsidRPr="00653BF4">
              <w:rPr>
                <w:sz w:val="20"/>
                <w:szCs w:val="20"/>
                <w:lang w:val="fr-FR"/>
              </w:rPr>
              <w:t xml:space="preserve"> de tendances positives</w:t>
            </w:r>
          </w:p>
          <w:p w14:paraId="673E073A" w14:textId="07C22618"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sz w:val="20"/>
                <w:szCs w:val="20"/>
                <w:lang w:val="fr-FR"/>
              </w:rPr>
              <w:t>19</w:t>
            </w:r>
            <w:r w:rsidR="002878D7">
              <w:rPr>
                <w:sz w:val="20"/>
                <w:szCs w:val="20"/>
                <w:lang w:val="fr-FR"/>
              </w:rPr>
              <w:t> %</w:t>
            </w:r>
            <w:r w:rsidRPr="00653BF4">
              <w:rPr>
                <w:sz w:val="20"/>
                <w:szCs w:val="20"/>
                <w:lang w:val="fr-FR"/>
              </w:rPr>
              <w:t xml:space="preserve"> de tendances négatives</w:t>
            </w:r>
          </w:p>
        </w:tc>
        <w:tc>
          <w:tcPr>
            <w:tcW w:w="567" w:type="dxa"/>
            <w:tcBorders>
              <w:top w:val="nil"/>
              <w:left w:val="nil"/>
              <w:bottom w:val="single" w:sz="4" w:space="0" w:color="auto"/>
              <w:right w:val="single" w:sz="4" w:space="0" w:color="auto"/>
            </w:tcBorders>
            <w:shd w:val="clear" w:color="000000" w:fill="C00000"/>
            <w:vAlign w:val="center"/>
            <w:hideMark/>
          </w:tcPr>
          <w:p w14:paraId="51A83754"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bl>
    <w:p w14:paraId="0F7E410E" w14:textId="77777777" w:rsidR="00B87039" w:rsidRPr="00653BF4" w:rsidRDefault="00B87039" w:rsidP="00B87039">
      <w:pPr>
        <w:pStyle w:val="p1"/>
        <w:rPr>
          <w:rFonts w:ascii="Aptos" w:hAnsi="Aptos"/>
          <w:sz w:val="24"/>
          <w:szCs w:val="24"/>
          <w:lang w:val="fr-FR"/>
        </w:rPr>
      </w:pPr>
    </w:p>
    <w:p w14:paraId="79926B95" w14:textId="250D57A3"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0136277F" w14:textId="77777777" w:rsidR="00B87039" w:rsidRPr="00653BF4" w:rsidRDefault="00B87039" w:rsidP="00B87039">
      <w:pPr>
        <w:rPr>
          <w:rFonts w:cs="Times New Roman"/>
          <w:kern w:val="0"/>
          <w:lang w:val="fr-FR"/>
        </w:rPr>
      </w:pPr>
    </w:p>
    <w:p w14:paraId="1595EA10" w14:textId="04655D8F" w:rsidR="00B87039" w:rsidRPr="00653BF4" w:rsidRDefault="00B87039" w:rsidP="00B87039">
      <w:pPr>
        <w:rPr>
          <w:lang w:val="fr-FR"/>
        </w:rPr>
      </w:pPr>
      <w:r w:rsidRPr="00653BF4">
        <w:rPr>
          <w:lang w:val="fr-FR"/>
        </w:rPr>
        <w:t>Près d’un tiers des Parties ont fourni des données sur les incitations positives (indicateur phare 18.1) et un cinquième des Parties ont fourni des données sur les subventions préjudiciables (indicateur phare 18.2), de nombreuses Parties ayant signalé des difficultés à recenser et à quantifier les subventions liées à la biodiversité en raison de problèmes méthodologiques (voir le tableau 40). Les différences d</w:t>
      </w:r>
      <w:r w:rsidR="00D77549">
        <w:rPr>
          <w:lang w:val="fr-FR"/>
        </w:rPr>
        <w:t>’</w:t>
      </w:r>
      <w:r w:rsidRPr="00653BF4">
        <w:rPr>
          <w:lang w:val="fr-FR"/>
        </w:rPr>
        <w:t>approches méthodologiques pourraient entraîner des incohérences dans les estimations mondiales, et toutes les valeurs communiquées sont sous-estimées, car elles ne représentent pas l</w:t>
      </w:r>
      <w:r w:rsidR="00D77549">
        <w:rPr>
          <w:lang w:val="fr-FR"/>
        </w:rPr>
        <w:t>’</w:t>
      </w:r>
      <w:r w:rsidRPr="00653BF4">
        <w:rPr>
          <w:lang w:val="fr-FR"/>
        </w:rPr>
        <w:t>ensemble des Parties, ne rendent pas compte de l</w:t>
      </w:r>
      <w:r w:rsidR="00D77549">
        <w:rPr>
          <w:lang w:val="fr-FR"/>
        </w:rPr>
        <w:t>’</w:t>
      </w:r>
      <w:r w:rsidRPr="00653BF4">
        <w:rPr>
          <w:lang w:val="fr-FR"/>
        </w:rPr>
        <w:t>ensemble des subventions et des incitations en place dans tous les secteurs et peuvent ne pas inclure toutes les subventions nationales.</w:t>
      </w:r>
    </w:p>
    <w:p w14:paraId="334120C3" w14:textId="25AB6079" w:rsidR="00B87039" w:rsidRPr="00653BF4" w:rsidRDefault="00B87039" w:rsidP="00B87039">
      <w:pPr>
        <w:rPr>
          <w:lang w:val="fr-FR"/>
        </w:rPr>
      </w:pPr>
      <w:r w:rsidRPr="00653BF4">
        <w:rPr>
          <w:lang w:val="fr-FR"/>
        </w:rPr>
        <w:t>Depuis l</w:t>
      </w:r>
      <w:r w:rsidR="00D77549">
        <w:rPr>
          <w:lang w:val="fr-FR"/>
        </w:rPr>
        <w:t>’</w:t>
      </w:r>
      <w:r w:rsidRPr="00653BF4">
        <w:rPr>
          <w:lang w:val="fr-FR"/>
        </w:rPr>
        <w:t>adoption du Cadre en 2022, les Parties ont fait état d</w:t>
      </w:r>
      <w:r w:rsidR="00D77549">
        <w:rPr>
          <w:lang w:val="fr-FR"/>
        </w:rPr>
        <w:t>’</w:t>
      </w:r>
      <w:r w:rsidRPr="00653BF4">
        <w:rPr>
          <w:lang w:val="fr-FR"/>
        </w:rPr>
        <w:t>une augmentation de plus de 60</w:t>
      </w:r>
      <w:r w:rsidR="002878D7">
        <w:rPr>
          <w:lang w:val="fr-FR"/>
        </w:rPr>
        <w:t> %</w:t>
      </w:r>
      <w:r w:rsidRPr="00653BF4">
        <w:rPr>
          <w:lang w:val="fr-FR"/>
        </w:rPr>
        <w:t xml:space="preserve"> du nombre d</w:t>
      </w:r>
      <w:r w:rsidR="00D77549">
        <w:rPr>
          <w:lang w:val="fr-FR"/>
        </w:rPr>
        <w:t>’</w:t>
      </w:r>
      <w:r w:rsidRPr="00653BF4">
        <w:rPr>
          <w:lang w:val="fr-FR"/>
        </w:rPr>
        <w:t>incitations mises en place, 548 incitations positives ayant été signalées par 33 Parties jusqu</w:t>
      </w:r>
      <w:r w:rsidR="00D77549">
        <w:rPr>
          <w:lang w:val="fr-FR"/>
        </w:rPr>
        <w:t>’</w:t>
      </w:r>
      <w:r w:rsidRPr="00653BF4">
        <w:rPr>
          <w:lang w:val="fr-FR"/>
        </w:rPr>
        <w:t>en 2025 (voir la figure 73). Il pourrait s</w:t>
      </w:r>
      <w:r w:rsidR="00D77549">
        <w:rPr>
          <w:lang w:val="fr-FR"/>
        </w:rPr>
        <w:t>’</w:t>
      </w:r>
      <w:r w:rsidRPr="00653BF4">
        <w:rPr>
          <w:lang w:val="fr-FR"/>
        </w:rPr>
        <w:t>agir là d</w:t>
      </w:r>
      <w:r w:rsidR="00D77549">
        <w:rPr>
          <w:lang w:val="fr-FR"/>
        </w:rPr>
        <w:t>’</w:t>
      </w:r>
      <w:r w:rsidRPr="00653BF4">
        <w:rPr>
          <w:lang w:val="fr-FR"/>
        </w:rPr>
        <w:t>une sous-représentation importante, car la base de données Policy Instruments for the Environment de l</w:t>
      </w:r>
      <w:r w:rsidR="00D77549">
        <w:rPr>
          <w:lang w:val="fr-FR"/>
        </w:rPr>
        <w:t>’</w:t>
      </w:r>
      <w:r w:rsidRPr="00653BF4">
        <w:rPr>
          <w:lang w:val="fr-FR"/>
        </w:rPr>
        <w:t xml:space="preserve">Organisation de coopération et de développement économiques (OCDE) recense, en 2024, plus de 869 incitations favorables à la biodiversité dans 100 pays, parmi lesquelles figurent des subventions en faveur de la biodiversité, des paiements pour les </w:t>
      </w:r>
      <w:r w:rsidRPr="00653BF4">
        <w:rPr>
          <w:lang w:val="fr-FR"/>
        </w:rPr>
        <w:lastRenderedPageBreak/>
        <w:t xml:space="preserve">services écosystémiques, des taxes et redevances, des permis négociables et des compensations en matière de biodiversité (voir la figure 74) (OCDE, 2024). </w:t>
      </w:r>
    </w:p>
    <w:p w14:paraId="6492999D" w14:textId="15485B29" w:rsidR="00B87039" w:rsidRPr="00653BF4" w:rsidRDefault="00B87039" w:rsidP="00B87039">
      <w:pPr>
        <w:rPr>
          <w:lang w:val="fr-FR"/>
        </w:rPr>
      </w:pPr>
      <w:r w:rsidRPr="00653BF4">
        <w:rPr>
          <w:lang w:val="fr-FR"/>
        </w:rPr>
        <w:t>En ce qui concerne les incitations, y compris les subventions, préjudiciables à la biodiversité, les 22 Parties ayant transmis des informations représentent environ un quart du PIB mondial. D</w:t>
      </w:r>
      <w:r w:rsidR="00D77549">
        <w:rPr>
          <w:lang w:val="fr-FR"/>
        </w:rPr>
        <w:t>’</w:t>
      </w:r>
      <w:r w:rsidRPr="00653BF4">
        <w:rPr>
          <w:lang w:val="fr-FR"/>
        </w:rPr>
        <w:t>après les rapports de ces Parties, un montant cumulé de 268 milliards de dollars des États-Unis était disponible pour financer des subventions et autres incitations préjudiciables à la biodiversité entre 2022 et 2025, soit une moyenne de 67 milliards de dollars des États-Unis par an. La valeur des subventions et autres incitations préjudiciables à la biodiversité variait entre zéro et 2,6</w:t>
      </w:r>
      <w:r w:rsidR="002878D7">
        <w:rPr>
          <w:lang w:val="fr-FR"/>
        </w:rPr>
        <w:t> %</w:t>
      </w:r>
      <w:r w:rsidRPr="00653BF4">
        <w:rPr>
          <w:lang w:val="fr-FR"/>
        </w:rPr>
        <w:t xml:space="preserve"> du PIB annuel. Ces chiffres constituent probablement de fortes sous-estimations, car de nombreuses Parties n</w:t>
      </w:r>
      <w:r w:rsidR="00D77549">
        <w:rPr>
          <w:lang w:val="fr-FR"/>
        </w:rPr>
        <w:t>’</w:t>
      </w:r>
      <w:r w:rsidRPr="00653BF4">
        <w:rPr>
          <w:lang w:val="fr-FR"/>
        </w:rPr>
        <w:t>ont rendu compte que des secteurs dans lesquels des subventions et autres incitations préjudiciables à la biodiversité avaient déjà été identifiées, et ont souligné la nécessité de mener des analyses nationales plus approfondies. Parmi les Parties ayant communiqué des données de manière suivie entre 2022 et 2024, les données indiquent que les subventions et autres incitations préjudiciables à la biodiversité ont diminué d’environ 20</w:t>
      </w:r>
      <w:r w:rsidR="002878D7">
        <w:rPr>
          <w:lang w:val="fr-FR"/>
        </w:rPr>
        <w:t> %</w:t>
      </w:r>
      <w:r w:rsidRPr="00653BF4">
        <w:rPr>
          <w:lang w:val="fr-FR"/>
        </w:rPr>
        <w:t>.</w:t>
      </w:r>
    </w:p>
    <w:p w14:paraId="671C0A24" w14:textId="41C007AB" w:rsidR="00B87039" w:rsidRPr="00653BF4" w:rsidRDefault="00B87039" w:rsidP="00B87039">
      <w:pPr>
        <w:pStyle w:val="p1"/>
        <w:spacing w:line="276" w:lineRule="auto"/>
        <w:rPr>
          <w:rFonts w:asciiTheme="minorHAnsi" w:hAnsiTheme="minorHAnsi"/>
          <w:sz w:val="24"/>
          <w:szCs w:val="24"/>
          <w:lang w:val="fr-FR"/>
        </w:rPr>
      </w:pPr>
      <w:r w:rsidRPr="00653BF4">
        <w:rPr>
          <w:rFonts w:asciiTheme="minorHAnsi" w:hAnsiTheme="minorHAnsi"/>
          <w:sz w:val="24"/>
          <w:szCs w:val="24"/>
          <w:lang w:val="fr-FR"/>
        </w:rPr>
        <w:t xml:space="preserve">Malgré ces signes encourageants, le montant des subventions déclarées reste supérieur aux ressources que les Parties ont déclaré avoir mobilisées en faveur de la biodiversité (voir également la </w:t>
      </w:r>
      <w:r w:rsidR="00E34DC9">
        <w:rPr>
          <w:rFonts w:asciiTheme="minorHAnsi" w:hAnsiTheme="minorHAnsi"/>
          <w:sz w:val="24"/>
          <w:szCs w:val="24"/>
          <w:lang w:val="fr-FR"/>
        </w:rPr>
        <w:t>cible 1</w:t>
      </w:r>
      <w:r w:rsidRPr="00653BF4">
        <w:rPr>
          <w:rFonts w:asciiTheme="minorHAnsi" w:hAnsiTheme="minorHAnsi"/>
          <w:sz w:val="24"/>
          <w:szCs w:val="24"/>
          <w:lang w:val="fr-FR"/>
        </w:rPr>
        <w:t>9). Toutefois, il convient de noter que ces deux chiffres peuvent provenir de Parties déclarantes différentes</w:t>
      </w:r>
      <w:r w:rsidR="00E34DC9">
        <w:rPr>
          <w:rFonts w:asciiTheme="minorHAnsi" w:hAnsiTheme="minorHAnsi"/>
          <w:sz w:val="24"/>
          <w:szCs w:val="24"/>
          <w:lang w:val="fr-FR"/>
        </w:rPr>
        <w:t> ;</w:t>
      </w:r>
      <w:r w:rsidRPr="00653BF4">
        <w:rPr>
          <w:rFonts w:asciiTheme="minorHAnsi" w:hAnsiTheme="minorHAnsi"/>
          <w:sz w:val="24"/>
          <w:szCs w:val="24"/>
          <w:lang w:val="fr-FR"/>
        </w:rPr>
        <w:t xml:space="preserve"> la comparaison montre donc uniquement qu</w:t>
      </w:r>
      <w:r w:rsidR="00D77549">
        <w:rPr>
          <w:rFonts w:asciiTheme="minorHAnsi" w:hAnsiTheme="minorHAnsi"/>
          <w:sz w:val="24"/>
          <w:szCs w:val="24"/>
          <w:lang w:val="fr-FR"/>
        </w:rPr>
        <w:t>’</w:t>
      </w:r>
      <w:r w:rsidRPr="00653BF4">
        <w:rPr>
          <w:rFonts w:asciiTheme="minorHAnsi" w:hAnsiTheme="minorHAnsi"/>
          <w:sz w:val="24"/>
          <w:szCs w:val="24"/>
          <w:lang w:val="fr-FR"/>
        </w:rPr>
        <w:t>il existe un écart, sans en préciser l</w:t>
      </w:r>
      <w:r w:rsidR="00D77549">
        <w:rPr>
          <w:rFonts w:asciiTheme="minorHAnsi" w:hAnsiTheme="minorHAnsi"/>
          <w:sz w:val="24"/>
          <w:szCs w:val="24"/>
          <w:lang w:val="fr-FR"/>
        </w:rPr>
        <w:t>’</w:t>
      </w:r>
      <w:r w:rsidRPr="00653BF4">
        <w:rPr>
          <w:rFonts w:asciiTheme="minorHAnsi" w:hAnsiTheme="minorHAnsi"/>
          <w:sz w:val="24"/>
          <w:szCs w:val="24"/>
          <w:lang w:val="fr-FR"/>
        </w:rPr>
        <w:t>ampleur. Moins de 20</w:t>
      </w:r>
      <w:r w:rsidR="002878D7">
        <w:rPr>
          <w:rFonts w:asciiTheme="minorHAnsi" w:hAnsiTheme="minorHAnsi"/>
          <w:sz w:val="24"/>
          <w:szCs w:val="24"/>
          <w:lang w:val="fr-FR"/>
        </w:rPr>
        <w:t> %</w:t>
      </w:r>
      <w:r w:rsidRPr="00653BF4">
        <w:rPr>
          <w:rFonts w:asciiTheme="minorHAnsi" w:hAnsiTheme="minorHAnsi"/>
          <w:sz w:val="24"/>
          <w:szCs w:val="24"/>
          <w:lang w:val="fr-FR"/>
        </w:rPr>
        <w:t xml:space="preserve"> des Parties ont affiché une tendance positive pour les indicateurs qu</w:t>
      </w:r>
      <w:r w:rsidR="00D77549">
        <w:rPr>
          <w:rFonts w:asciiTheme="minorHAnsi" w:hAnsiTheme="minorHAnsi"/>
          <w:sz w:val="24"/>
          <w:szCs w:val="24"/>
          <w:lang w:val="fr-FR"/>
        </w:rPr>
        <w:t>’</w:t>
      </w:r>
      <w:r w:rsidRPr="00653BF4">
        <w:rPr>
          <w:rFonts w:asciiTheme="minorHAnsi" w:hAnsiTheme="minorHAnsi"/>
          <w:sz w:val="24"/>
          <w:szCs w:val="24"/>
          <w:lang w:val="fr-FR"/>
        </w:rPr>
        <w:t xml:space="preserve">elles ont communiqués au titre de la </w:t>
      </w:r>
      <w:r w:rsidR="00E34DC9">
        <w:rPr>
          <w:rFonts w:asciiTheme="minorHAnsi" w:hAnsiTheme="minorHAnsi"/>
          <w:sz w:val="24"/>
          <w:szCs w:val="24"/>
          <w:lang w:val="fr-FR"/>
        </w:rPr>
        <w:t>cible 1</w:t>
      </w:r>
      <w:r w:rsidRPr="00653BF4">
        <w:rPr>
          <w:rFonts w:asciiTheme="minorHAnsi" w:hAnsiTheme="minorHAnsi"/>
          <w:sz w:val="24"/>
          <w:szCs w:val="24"/>
          <w:lang w:val="fr-FR"/>
        </w:rPr>
        <w:t>8 (voir la figure 75). Par ailleurs, la plupart des indicateurs nationaux communiqués visent principalement à identifier les subventions préjudiciables et à renforcer les incitations positives</w:t>
      </w:r>
      <w:r w:rsidR="00E34DC9">
        <w:rPr>
          <w:rFonts w:asciiTheme="minorHAnsi" w:hAnsiTheme="minorHAnsi"/>
          <w:sz w:val="24"/>
          <w:szCs w:val="24"/>
          <w:lang w:val="fr-FR"/>
        </w:rPr>
        <w:t> ;</w:t>
      </w:r>
      <w:r w:rsidRPr="00653BF4">
        <w:rPr>
          <w:rFonts w:asciiTheme="minorHAnsi" w:hAnsiTheme="minorHAnsi"/>
          <w:sz w:val="24"/>
          <w:szCs w:val="24"/>
          <w:lang w:val="fr-FR"/>
        </w:rPr>
        <w:t xml:space="preserve"> aucun indicateur n</w:t>
      </w:r>
      <w:r w:rsidR="00D77549">
        <w:rPr>
          <w:rFonts w:asciiTheme="minorHAnsi" w:hAnsiTheme="minorHAnsi"/>
          <w:sz w:val="24"/>
          <w:szCs w:val="24"/>
          <w:lang w:val="fr-FR"/>
        </w:rPr>
        <w:t>’</w:t>
      </w:r>
      <w:r w:rsidRPr="00653BF4">
        <w:rPr>
          <w:rFonts w:asciiTheme="minorHAnsi" w:hAnsiTheme="minorHAnsi"/>
          <w:sz w:val="24"/>
          <w:szCs w:val="24"/>
          <w:lang w:val="fr-FR"/>
        </w:rPr>
        <w:t>a été communiqué concernant les éléments de la cible liés à l</w:t>
      </w:r>
      <w:r w:rsidR="00D77549">
        <w:rPr>
          <w:rFonts w:asciiTheme="minorHAnsi" w:hAnsiTheme="minorHAnsi"/>
          <w:sz w:val="24"/>
          <w:szCs w:val="24"/>
          <w:lang w:val="fr-FR"/>
        </w:rPr>
        <w:t>’</w:t>
      </w:r>
      <w:r w:rsidRPr="00653BF4">
        <w:rPr>
          <w:rFonts w:asciiTheme="minorHAnsi" w:hAnsiTheme="minorHAnsi"/>
          <w:sz w:val="24"/>
          <w:szCs w:val="24"/>
          <w:lang w:val="fr-FR"/>
        </w:rPr>
        <w:t xml:space="preserve">élimination, à la suppression progressive, à la modification ou à la réduction des subventions préjudiciables. Cela semble indiquer que les progrès globaux accomplis dans la réalisation de la </w:t>
      </w:r>
      <w:r w:rsidR="00E34DC9">
        <w:rPr>
          <w:rFonts w:asciiTheme="minorHAnsi" w:hAnsiTheme="minorHAnsi"/>
          <w:sz w:val="24"/>
          <w:szCs w:val="24"/>
          <w:lang w:val="fr-FR"/>
        </w:rPr>
        <w:t>cible 1</w:t>
      </w:r>
      <w:r w:rsidRPr="00653BF4">
        <w:rPr>
          <w:rFonts w:asciiTheme="minorHAnsi" w:hAnsiTheme="minorHAnsi"/>
          <w:sz w:val="24"/>
          <w:szCs w:val="24"/>
          <w:lang w:val="fr-FR"/>
        </w:rPr>
        <w:t>8 restent insuffisants.</w:t>
      </w:r>
    </w:p>
    <w:p w14:paraId="39BDF107" w14:textId="77777777" w:rsidR="00B87039" w:rsidRPr="00653BF4" w:rsidRDefault="00B87039" w:rsidP="00B87039">
      <w:pPr>
        <w:pStyle w:val="p1"/>
        <w:spacing w:line="276" w:lineRule="auto"/>
        <w:rPr>
          <w:rFonts w:asciiTheme="minorHAnsi" w:hAnsiTheme="minorHAnsi"/>
          <w:sz w:val="24"/>
          <w:szCs w:val="24"/>
          <w:lang w:val="fr-FR"/>
        </w:rPr>
      </w:pPr>
    </w:p>
    <w:p w14:paraId="46D46D3D" w14:textId="164B26B5" w:rsidR="00B87039" w:rsidRPr="00653BF4" w:rsidRDefault="00B87039" w:rsidP="00B87039">
      <w:pPr>
        <w:pStyle w:val="p1"/>
        <w:spacing w:line="276" w:lineRule="auto"/>
        <w:rPr>
          <w:rFonts w:asciiTheme="minorHAnsi" w:hAnsiTheme="minorHAnsi"/>
          <w:sz w:val="24"/>
          <w:szCs w:val="24"/>
          <w:lang w:val="fr-FR"/>
        </w:rPr>
      </w:pPr>
      <w:bookmarkStart w:id="355" w:name="_Ref238754264"/>
      <w:r w:rsidRPr="00653BF4">
        <w:rPr>
          <w:rFonts w:asciiTheme="minorHAnsi" w:hAnsiTheme="minorHAnsi"/>
          <w:sz w:val="24"/>
          <w:szCs w:val="24"/>
          <w:lang w:val="fr-FR"/>
        </w:rPr>
        <w:t>Figure 73</w:t>
      </w:r>
      <w:bookmarkEnd w:id="355"/>
    </w:p>
    <w:p w14:paraId="5E6F92E0" w14:textId="56880AE8" w:rsidR="00B87039" w:rsidRPr="00653BF4" w:rsidRDefault="00B87039" w:rsidP="00B87039">
      <w:pPr>
        <w:rPr>
          <w:b/>
          <w:bCs/>
          <w:lang w:val="fr-FR"/>
        </w:rPr>
      </w:pPr>
      <w:r w:rsidRPr="00653BF4">
        <w:rPr>
          <w:b/>
          <w:bCs/>
          <w:lang w:val="fr-FR"/>
        </w:rPr>
        <w:t>Indicateur phare18.1</w:t>
      </w:r>
      <w:r w:rsidR="00E34DC9">
        <w:rPr>
          <w:b/>
          <w:bCs/>
          <w:lang w:val="fr-FR"/>
        </w:rPr>
        <w:t> :</w:t>
      </w:r>
      <w:r w:rsidRPr="00653BF4">
        <w:rPr>
          <w:b/>
          <w:bCs/>
          <w:lang w:val="fr-FR"/>
        </w:rPr>
        <w:t xml:space="preserve"> incitations positives en place pour promouvoir la conservation et l</w:t>
      </w:r>
      <w:r w:rsidR="00D77549">
        <w:rPr>
          <w:b/>
          <w:bCs/>
          <w:lang w:val="fr-FR"/>
        </w:rPr>
        <w:t>’</w:t>
      </w:r>
      <w:r w:rsidRPr="00653BF4">
        <w:rPr>
          <w:b/>
          <w:bCs/>
          <w:lang w:val="fr-FR"/>
        </w:rPr>
        <w:t>utilisation durable de la biodiversité (d</w:t>
      </w:r>
      <w:r w:rsidR="00D77549">
        <w:rPr>
          <w:b/>
          <w:bCs/>
          <w:lang w:val="fr-FR"/>
        </w:rPr>
        <w:t>’</w:t>
      </w:r>
      <w:r w:rsidRPr="00653BF4">
        <w:rPr>
          <w:b/>
          <w:bCs/>
          <w:lang w:val="fr-FR"/>
        </w:rPr>
        <w:t>après les rapports nationaux)</w:t>
      </w:r>
    </w:p>
    <w:p w14:paraId="55CC5BE3" w14:textId="77777777" w:rsidR="00B87039" w:rsidRPr="00653BF4" w:rsidRDefault="00B87039" w:rsidP="00B87039">
      <w:pPr>
        <w:pStyle w:val="paragraph"/>
        <w:spacing w:before="0" w:beforeAutospacing="0" w:after="0" w:afterAutospacing="0"/>
        <w:textAlignment w:val="baseline"/>
        <w:rPr>
          <w:rFonts w:ascii="Aptos" w:hAnsi="Aptos" w:cs="Segoe UI"/>
          <w:sz w:val="18"/>
          <w:szCs w:val="18"/>
          <w:lang w:val="fr-FR"/>
        </w:rPr>
      </w:pPr>
      <w:r w:rsidRPr="00653BF4">
        <w:rPr>
          <w:rStyle w:val="eop"/>
          <w:rFonts w:cs="Segoe UI"/>
          <w:lang w:val="fr-FR"/>
        </w:rPr>
        <w:lastRenderedPageBreak/>
        <w:t> </w:t>
      </w:r>
      <w:r w:rsidRPr="00653BF4">
        <w:rPr>
          <w:rFonts w:ascii="Aptos" w:hAnsi="Aptos" w:cs="Segoe UI"/>
          <w:noProof/>
          <w:sz w:val="18"/>
          <w:szCs w:val="18"/>
          <w:lang w:val="fr-FR"/>
          <w14:ligatures w14:val="standardContextual"/>
        </w:rPr>
        <w:drawing>
          <wp:inline distT="0" distB="0" distL="0" distR="0" wp14:anchorId="16E4BAD6" wp14:editId="5FE0627E">
            <wp:extent cx="4834328" cy="3626014"/>
            <wp:effectExtent l="0" t="0" r="4445" b="6350"/>
            <wp:docPr id="16777878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787870" name="Picture 1677787870"/>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4860919" cy="3645959"/>
                    </a:xfrm>
                    <a:prstGeom prst="rect">
                      <a:avLst/>
                    </a:prstGeom>
                  </pic:spPr>
                </pic:pic>
              </a:graphicData>
            </a:graphic>
          </wp:inline>
        </w:drawing>
      </w:r>
    </w:p>
    <w:p w14:paraId="1BEDF39A" w14:textId="2C915374" w:rsidR="00B87039" w:rsidRPr="00653BF4" w:rsidRDefault="00B87039" w:rsidP="00B87039">
      <w:pPr>
        <w:rPr>
          <w:sz w:val="20"/>
          <w:szCs w:val="20"/>
          <w:lang w:val="fr-FR"/>
        </w:rPr>
      </w:pPr>
      <w:r w:rsidRPr="00653BF4">
        <w:rPr>
          <w:i/>
          <w:iCs/>
          <w:sz w:val="20"/>
          <w:szCs w:val="20"/>
          <w:lang w:val="fr-FR"/>
        </w:rPr>
        <w:t>Note</w:t>
      </w:r>
      <w:r w:rsidR="00E34DC9">
        <w:rPr>
          <w:sz w:val="20"/>
          <w:szCs w:val="20"/>
          <w:lang w:val="fr-FR"/>
        </w:rPr>
        <w:t> :</w:t>
      </w:r>
      <w:r w:rsidRPr="00653BF4">
        <w:rPr>
          <w:sz w:val="20"/>
          <w:szCs w:val="20"/>
          <w:lang w:val="fr-FR"/>
        </w:rPr>
        <w:t xml:space="preserve"> Les valeurs de l</w:t>
      </w:r>
      <w:r w:rsidR="00D77549">
        <w:rPr>
          <w:sz w:val="20"/>
          <w:szCs w:val="20"/>
          <w:lang w:val="fr-FR"/>
        </w:rPr>
        <w:t>’</w:t>
      </w:r>
      <w:r w:rsidRPr="00653BF4">
        <w:rPr>
          <w:sz w:val="20"/>
          <w:szCs w:val="20"/>
          <w:lang w:val="fr-FR"/>
        </w:rPr>
        <w:t>indicateur correspondent au nombre annuel d</w:t>
      </w:r>
      <w:r w:rsidR="00D77549">
        <w:rPr>
          <w:sz w:val="20"/>
          <w:szCs w:val="20"/>
          <w:lang w:val="fr-FR"/>
        </w:rPr>
        <w:t>’</w:t>
      </w:r>
      <w:r w:rsidRPr="00653BF4">
        <w:rPr>
          <w:sz w:val="20"/>
          <w:szCs w:val="20"/>
          <w:lang w:val="fr-FR"/>
        </w:rPr>
        <w:t>incitations mises en place dans les communications des Parties. Le diagramme à barres de droite présente la répartition des Parties ayant communiqué des données par région. Les couleurs attribuées à chaque région sont indiquées dans la légende de la figure</w:t>
      </w:r>
      <w:r w:rsidR="00E34DC9">
        <w:rPr>
          <w:sz w:val="20"/>
          <w:szCs w:val="20"/>
          <w:lang w:val="fr-FR"/>
        </w:rPr>
        <w:t> :</w:t>
      </w:r>
      <w:r w:rsidRPr="00653BF4">
        <w:rPr>
          <w:sz w:val="20"/>
          <w:szCs w:val="20"/>
          <w:lang w:val="fr-FR"/>
        </w:rPr>
        <w:t xml:space="preserve"> les teintes plus foncées représentent la proportion des Parties d</w:t>
      </w:r>
      <w:r w:rsidR="00D77549">
        <w:rPr>
          <w:sz w:val="20"/>
          <w:szCs w:val="20"/>
          <w:lang w:val="fr-FR"/>
        </w:rPr>
        <w:t>’</w:t>
      </w:r>
      <w:r w:rsidRPr="00653BF4">
        <w:rPr>
          <w:sz w:val="20"/>
          <w:szCs w:val="20"/>
          <w:lang w:val="fr-FR"/>
        </w:rPr>
        <w:t>une région pour lesquelles des données sont intégrées dans le graphique</w:t>
      </w:r>
      <w:r w:rsidR="00E34DC9">
        <w:rPr>
          <w:sz w:val="20"/>
          <w:szCs w:val="20"/>
          <w:lang w:val="fr-FR"/>
        </w:rPr>
        <w:t> ;</w:t>
      </w:r>
      <w:r w:rsidRPr="00653BF4">
        <w:rPr>
          <w:sz w:val="20"/>
          <w:szCs w:val="20"/>
          <w:lang w:val="fr-FR"/>
        </w:rPr>
        <w:t xml:space="preserve"> les teintes plus claires représentent la proportion des Parties de cette même région pour lesquelles aucune donnée n</w:t>
      </w:r>
      <w:r w:rsidR="00D77549">
        <w:rPr>
          <w:sz w:val="20"/>
          <w:szCs w:val="20"/>
          <w:lang w:val="fr-FR"/>
        </w:rPr>
        <w:t>’</w:t>
      </w:r>
      <w:r w:rsidRPr="00653BF4">
        <w:rPr>
          <w:sz w:val="20"/>
          <w:szCs w:val="20"/>
          <w:lang w:val="fr-FR"/>
        </w:rPr>
        <w:t>est intégrée dans le graphique.  </w:t>
      </w:r>
    </w:p>
    <w:tbl>
      <w:tblPr>
        <w:tblStyle w:val="TableGrid"/>
        <w:tblW w:w="9000" w:type="dxa"/>
        <w:tblLook w:val="04A0" w:firstRow="1" w:lastRow="0" w:firstColumn="1" w:lastColumn="0" w:noHBand="0" w:noVBand="1"/>
      </w:tblPr>
      <w:tblGrid>
        <w:gridCol w:w="4188"/>
        <w:gridCol w:w="4812"/>
      </w:tblGrid>
      <w:tr w:rsidR="001279A8" w:rsidRPr="00FD2527" w14:paraId="0C241A92" w14:textId="77777777" w:rsidTr="009B4355">
        <w:tc>
          <w:tcPr>
            <w:tcW w:w="9000" w:type="dxa"/>
            <w:gridSpan w:val="2"/>
          </w:tcPr>
          <w:p w14:paraId="72DC6538" w14:textId="77777777" w:rsidR="001279A8" w:rsidRPr="00FD2527" w:rsidRDefault="001279A8" w:rsidP="009B4355">
            <w:pPr>
              <w:rPr>
                <w:rFonts w:ascii="Aptos" w:hAnsi="Aptos"/>
                <w:lang w:val="fr-FR"/>
              </w:rPr>
            </w:pPr>
            <w:r w:rsidRPr="00FD2527">
              <w:rPr>
                <w:rFonts w:ascii="Aptos" w:hAnsi="Aptos"/>
                <w:lang w:val="fr-FR"/>
              </w:rPr>
              <w:t>Figure 73</w:t>
            </w:r>
          </w:p>
        </w:tc>
      </w:tr>
      <w:tr w:rsidR="001279A8" w:rsidRPr="00FD2527" w14:paraId="4FA0D8B3" w14:textId="77777777" w:rsidTr="009B4355">
        <w:tc>
          <w:tcPr>
            <w:tcW w:w="4188" w:type="dxa"/>
          </w:tcPr>
          <w:p w14:paraId="601C0504" w14:textId="77777777" w:rsidR="001279A8" w:rsidRPr="00FD2527" w:rsidRDefault="001279A8" w:rsidP="009B4355">
            <w:pPr>
              <w:rPr>
                <w:rFonts w:ascii="Aptos" w:hAnsi="Aptos"/>
                <w:lang w:val="fr-FR"/>
              </w:rPr>
            </w:pPr>
            <w:r w:rsidRPr="00FD2527">
              <w:rPr>
                <w:rFonts w:ascii="Aptos" w:hAnsi="Aptos"/>
                <w:lang w:val="fr-FR"/>
              </w:rPr>
              <w:t xml:space="preserve">English </w:t>
            </w:r>
          </w:p>
        </w:tc>
        <w:tc>
          <w:tcPr>
            <w:tcW w:w="4812" w:type="dxa"/>
          </w:tcPr>
          <w:p w14:paraId="2DF94A37" w14:textId="77777777" w:rsidR="001279A8" w:rsidRPr="00FD2527" w:rsidRDefault="001279A8" w:rsidP="009B4355">
            <w:pPr>
              <w:rPr>
                <w:rFonts w:ascii="Aptos" w:hAnsi="Aptos"/>
                <w:lang w:val="fr-FR"/>
              </w:rPr>
            </w:pPr>
            <w:r>
              <w:rPr>
                <w:rFonts w:ascii="Aptos" w:hAnsi="Aptos"/>
                <w:lang w:val="fr-FR"/>
              </w:rPr>
              <w:t>Français</w:t>
            </w:r>
          </w:p>
        </w:tc>
      </w:tr>
      <w:tr w:rsidR="001279A8" w:rsidRPr="006F7AF8" w14:paraId="35D1B314" w14:textId="77777777" w:rsidTr="009B4355">
        <w:tc>
          <w:tcPr>
            <w:tcW w:w="4188" w:type="dxa"/>
          </w:tcPr>
          <w:p w14:paraId="68A6381F" w14:textId="77777777" w:rsidR="001279A8" w:rsidRPr="006F7AF8" w:rsidRDefault="001279A8" w:rsidP="009B4355">
            <w:pPr>
              <w:rPr>
                <w:rFonts w:ascii="Aptos" w:hAnsi="Aptos"/>
                <w:lang w:val="fr-FR"/>
              </w:rPr>
            </w:pPr>
            <w:r w:rsidRPr="006F7AF8">
              <w:rPr>
                <w:rFonts w:ascii="Aptos" w:hAnsi="Aptos"/>
                <w:lang w:val="fr-FR"/>
              </w:rPr>
              <w:t>Policy instruments (count)</w:t>
            </w:r>
          </w:p>
        </w:tc>
        <w:tc>
          <w:tcPr>
            <w:tcW w:w="4812" w:type="dxa"/>
          </w:tcPr>
          <w:p w14:paraId="4BC3E915" w14:textId="77777777" w:rsidR="001279A8" w:rsidRPr="006F7AF8" w:rsidRDefault="001279A8" w:rsidP="009B4355">
            <w:pPr>
              <w:rPr>
                <w:rFonts w:ascii="Aptos" w:hAnsi="Aptos"/>
                <w:lang w:val="fr-FR"/>
              </w:rPr>
            </w:pPr>
            <w:r w:rsidRPr="006F7AF8">
              <w:rPr>
                <w:rFonts w:ascii="Aptos" w:hAnsi="Aptos"/>
                <w:lang w:val="fr-FR"/>
              </w:rPr>
              <w:t>Instruments de politique générale (nombre)</w:t>
            </w:r>
          </w:p>
        </w:tc>
      </w:tr>
      <w:tr w:rsidR="001279A8" w:rsidRPr="006F7AF8" w14:paraId="5DCC497B" w14:textId="77777777" w:rsidTr="009B4355">
        <w:tc>
          <w:tcPr>
            <w:tcW w:w="4188" w:type="dxa"/>
          </w:tcPr>
          <w:p w14:paraId="48CFE80C" w14:textId="77777777" w:rsidR="001279A8" w:rsidRPr="006F7AF8" w:rsidRDefault="001279A8" w:rsidP="009B4355">
            <w:pPr>
              <w:rPr>
                <w:rFonts w:ascii="Aptos" w:hAnsi="Aptos"/>
                <w:lang w:val="fr-FR"/>
              </w:rPr>
            </w:pPr>
            <w:r w:rsidRPr="006F7AF8">
              <w:rPr>
                <w:rFonts w:ascii="Aptos" w:hAnsi="Aptos"/>
                <w:lang w:val="fr-FR"/>
              </w:rPr>
              <w:t>Party count by region</w:t>
            </w:r>
          </w:p>
        </w:tc>
        <w:tc>
          <w:tcPr>
            <w:tcW w:w="4812" w:type="dxa"/>
          </w:tcPr>
          <w:p w14:paraId="6B05EFC5" w14:textId="77777777" w:rsidR="001279A8" w:rsidRPr="006F7AF8" w:rsidRDefault="001279A8" w:rsidP="009B4355">
            <w:pPr>
              <w:rPr>
                <w:rFonts w:ascii="Aptos" w:hAnsi="Aptos"/>
                <w:lang w:val="fr-FR"/>
              </w:rPr>
            </w:pPr>
            <w:r w:rsidRPr="006F7AF8">
              <w:rPr>
                <w:rFonts w:ascii="Aptos" w:hAnsi="Aptos"/>
                <w:lang w:val="fr-FR"/>
              </w:rPr>
              <w:t>Nombre de Parties par région</w:t>
            </w:r>
          </w:p>
        </w:tc>
      </w:tr>
      <w:tr w:rsidR="001279A8" w:rsidRPr="006F7AF8" w14:paraId="045A5FFB" w14:textId="77777777" w:rsidTr="009B4355">
        <w:tc>
          <w:tcPr>
            <w:tcW w:w="4188" w:type="dxa"/>
          </w:tcPr>
          <w:p w14:paraId="012BE9B3" w14:textId="77777777" w:rsidR="001279A8" w:rsidRPr="006F7AF8" w:rsidRDefault="001279A8" w:rsidP="009B4355">
            <w:pPr>
              <w:rPr>
                <w:rFonts w:ascii="Aptos" w:hAnsi="Aptos"/>
                <w:lang w:val="fr-FR"/>
              </w:rPr>
            </w:pPr>
            <w:r w:rsidRPr="006F7AF8">
              <w:rPr>
                <w:rFonts w:ascii="Aptos" w:hAnsi="Aptos"/>
                <w:lang w:val="fr-FR"/>
              </w:rPr>
              <w:t>Party count: 33</w:t>
            </w:r>
          </w:p>
        </w:tc>
        <w:tc>
          <w:tcPr>
            <w:tcW w:w="4812" w:type="dxa"/>
          </w:tcPr>
          <w:p w14:paraId="0CB12EBA" w14:textId="77777777" w:rsidR="001279A8" w:rsidRPr="006F7AF8" w:rsidRDefault="001279A8" w:rsidP="009B4355">
            <w:pPr>
              <w:rPr>
                <w:rFonts w:ascii="Aptos" w:hAnsi="Aptos"/>
                <w:lang w:val="fr-FR"/>
              </w:rPr>
            </w:pPr>
            <w:r w:rsidRPr="006F7AF8">
              <w:rPr>
                <w:rFonts w:ascii="Aptos" w:hAnsi="Aptos"/>
                <w:lang w:val="fr-FR"/>
              </w:rPr>
              <w:t>Nombre de Parties : 33</w:t>
            </w:r>
          </w:p>
        </w:tc>
      </w:tr>
      <w:tr w:rsidR="001279A8" w:rsidRPr="006F7AF8" w14:paraId="4A566519" w14:textId="77777777" w:rsidTr="009B4355">
        <w:tc>
          <w:tcPr>
            <w:tcW w:w="4188" w:type="dxa"/>
          </w:tcPr>
          <w:p w14:paraId="1A20C6F6" w14:textId="77777777" w:rsidR="001279A8" w:rsidRPr="006F7AF8" w:rsidRDefault="001279A8" w:rsidP="009B4355">
            <w:pPr>
              <w:rPr>
                <w:rFonts w:ascii="Aptos" w:hAnsi="Aptos"/>
                <w:lang w:val="fr-FR"/>
              </w:rPr>
            </w:pPr>
            <w:r w:rsidRPr="006F7AF8">
              <w:rPr>
                <w:rFonts w:ascii="Aptos" w:hAnsi="Aptos"/>
                <w:lang w:val="fr-FR"/>
              </w:rPr>
              <w:t>Region</w:t>
            </w:r>
          </w:p>
        </w:tc>
        <w:tc>
          <w:tcPr>
            <w:tcW w:w="4812" w:type="dxa"/>
          </w:tcPr>
          <w:p w14:paraId="767D91FC"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367BECC4" w14:textId="77777777" w:rsidTr="009B4355">
        <w:tc>
          <w:tcPr>
            <w:tcW w:w="4188" w:type="dxa"/>
          </w:tcPr>
          <w:p w14:paraId="6F714B91" w14:textId="77777777" w:rsidR="001279A8" w:rsidRPr="006F7AF8" w:rsidRDefault="001279A8" w:rsidP="009B4355">
            <w:pPr>
              <w:rPr>
                <w:rFonts w:ascii="Aptos" w:hAnsi="Aptos"/>
                <w:lang w:val="fr-FR"/>
              </w:rPr>
            </w:pPr>
            <w:r w:rsidRPr="006F7AF8">
              <w:rPr>
                <w:rFonts w:ascii="Aptos" w:hAnsi="Aptos"/>
                <w:lang w:val="fr-FR"/>
              </w:rPr>
              <w:t>African States</w:t>
            </w:r>
          </w:p>
        </w:tc>
        <w:tc>
          <w:tcPr>
            <w:tcW w:w="4812" w:type="dxa"/>
          </w:tcPr>
          <w:p w14:paraId="686CF18F"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1EB8746F" w14:textId="77777777" w:rsidTr="009B4355">
        <w:tc>
          <w:tcPr>
            <w:tcW w:w="4188" w:type="dxa"/>
          </w:tcPr>
          <w:p w14:paraId="4B36F1AC" w14:textId="77777777" w:rsidR="001279A8" w:rsidRPr="006F7AF8" w:rsidRDefault="001279A8" w:rsidP="009B4355">
            <w:pPr>
              <w:rPr>
                <w:rFonts w:ascii="Aptos" w:hAnsi="Aptos"/>
                <w:lang w:val="fr-FR"/>
              </w:rPr>
            </w:pPr>
            <w:r w:rsidRPr="006F7AF8">
              <w:rPr>
                <w:rFonts w:ascii="Aptos" w:hAnsi="Aptos"/>
                <w:lang w:val="fr-FR"/>
              </w:rPr>
              <w:t>Asia- Pacific States</w:t>
            </w:r>
          </w:p>
        </w:tc>
        <w:tc>
          <w:tcPr>
            <w:tcW w:w="4812" w:type="dxa"/>
          </w:tcPr>
          <w:p w14:paraId="15E21E7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79B12165" w14:textId="77777777" w:rsidTr="009B4355">
        <w:tc>
          <w:tcPr>
            <w:tcW w:w="4188" w:type="dxa"/>
          </w:tcPr>
          <w:p w14:paraId="255783B1"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812" w:type="dxa"/>
          </w:tcPr>
          <w:p w14:paraId="2963EE13"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57DAC370" w14:textId="77777777" w:rsidTr="009B4355">
        <w:tc>
          <w:tcPr>
            <w:tcW w:w="4188" w:type="dxa"/>
          </w:tcPr>
          <w:p w14:paraId="1B5B1F5F"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812" w:type="dxa"/>
          </w:tcPr>
          <w:p w14:paraId="11CF46C6"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73FED3A9" w14:textId="77777777" w:rsidTr="009B4355">
        <w:tc>
          <w:tcPr>
            <w:tcW w:w="4188" w:type="dxa"/>
          </w:tcPr>
          <w:p w14:paraId="7E8891A6"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812" w:type="dxa"/>
          </w:tcPr>
          <w:p w14:paraId="58489812"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2A71026" w14:textId="77777777" w:rsidR="00B87039" w:rsidRPr="00653BF4" w:rsidRDefault="00B87039" w:rsidP="00B87039">
      <w:pPr>
        <w:rPr>
          <w:sz w:val="20"/>
          <w:szCs w:val="20"/>
          <w:lang w:val="fr-FR"/>
        </w:rPr>
      </w:pPr>
    </w:p>
    <w:p w14:paraId="2E2333EF" w14:textId="24B132E4" w:rsidR="00B87039" w:rsidRPr="00653BF4" w:rsidRDefault="00B87039" w:rsidP="00B87039">
      <w:pPr>
        <w:rPr>
          <w:sz w:val="20"/>
          <w:szCs w:val="20"/>
          <w:lang w:val="fr-FR"/>
        </w:rPr>
      </w:pPr>
      <w:bookmarkStart w:id="356" w:name="_Ref238754345"/>
      <w:r w:rsidRPr="00653BF4">
        <w:rPr>
          <w:sz w:val="20"/>
          <w:szCs w:val="20"/>
          <w:lang w:val="fr-FR"/>
        </w:rPr>
        <w:t>Figure 74</w:t>
      </w:r>
      <w:bookmarkEnd w:id="356"/>
    </w:p>
    <w:p w14:paraId="178C1F29" w14:textId="28A7C664" w:rsidR="00B87039" w:rsidRDefault="00B87039" w:rsidP="00B87039">
      <w:pPr>
        <w:rPr>
          <w:b/>
          <w:bCs/>
          <w:lang w:val="fr-FR"/>
        </w:rPr>
      </w:pPr>
      <w:r w:rsidRPr="00653BF4">
        <w:rPr>
          <w:b/>
          <w:bCs/>
          <w:lang w:val="fr-FR"/>
        </w:rPr>
        <w:t>Indicateur phare 18.1</w:t>
      </w:r>
      <w:r w:rsidR="00E34DC9">
        <w:rPr>
          <w:b/>
          <w:bCs/>
          <w:lang w:val="fr-FR"/>
        </w:rPr>
        <w:t> :</w:t>
      </w:r>
      <w:r w:rsidRPr="00653BF4">
        <w:rPr>
          <w:b/>
          <w:bCs/>
          <w:lang w:val="fr-FR"/>
        </w:rPr>
        <w:t xml:space="preserve"> incitations positives en place pour promouvoir la conservation et l</w:t>
      </w:r>
      <w:r w:rsidR="00D77549">
        <w:rPr>
          <w:b/>
          <w:bCs/>
          <w:lang w:val="fr-FR"/>
        </w:rPr>
        <w:t>’</w:t>
      </w:r>
      <w:r w:rsidRPr="00653BF4">
        <w:rPr>
          <w:b/>
          <w:bCs/>
          <w:lang w:val="fr-FR"/>
        </w:rPr>
        <w:t>utilisation durable de la biodiversité (d</w:t>
      </w:r>
      <w:r w:rsidR="00D77549">
        <w:rPr>
          <w:b/>
          <w:bCs/>
          <w:lang w:val="fr-FR"/>
        </w:rPr>
        <w:t>’</w:t>
      </w:r>
      <w:r w:rsidRPr="00653BF4">
        <w:rPr>
          <w:b/>
          <w:bCs/>
          <w:lang w:val="fr-FR"/>
        </w:rPr>
        <w:t>après la base de données Policy Instruments for the Environment de l</w:t>
      </w:r>
      <w:r w:rsidR="00D77549">
        <w:rPr>
          <w:b/>
          <w:bCs/>
          <w:lang w:val="fr-FR"/>
        </w:rPr>
        <w:t>’</w:t>
      </w:r>
      <w:r w:rsidRPr="00653BF4">
        <w:rPr>
          <w:b/>
          <w:bCs/>
          <w:lang w:val="fr-FR"/>
        </w:rPr>
        <w:t>OCDE)</w:t>
      </w:r>
    </w:p>
    <w:p w14:paraId="7594185F" w14:textId="77777777" w:rsidR="00B87039" w:rsidRPr="00653BF4" w:rsidRDefault="00B87039" w:rsidP="00B87039">
      <w:pPr>
        <w:pStyle w:val="paragraph"/>
        <w:spacing w:before="0" w:beforeAutospacing="0" w:after="0" w:afterAutospacing="0"/>
        <w:textAlignment w:val="baseline"/>
        <w:rPr>
          <w:rFonts w:ascii="Aptos" w:hAnsi="Aptos" w:cs="Segoe UI"/>
          <w:sz w:val="18"/>
          <w:szCs w:val="18"/>
          <w:lang w:val="fr-FR"/>
        </w:rPr>
      </w:pPr>
      <w:r w:rsidRPr="00653BF4">
        <w:rPr>
          <w:rStyle w:val="eop"/>
          <w:rFonts w:cs="Segoe UI"/>
          <w:color w:val="000000"/>
          <w:lang w:val="fr-FR"/>
        </w:rPr>
        <w:lastRenderedPageBreak/>
        <w:t> </w:t>
      </w:r>
      <w:r w:rsidRPr="00653BF4">
        <w:rPr>
          <w:rFonts w:ascii="Aptos" w:hAnsi="Aptos" w:cs="Segoe UI"/>
          <w:noProof/>
          <w:sz w:val="18"/>
          <w:szCs w:val="18"/>
          <w:lang w:val="fr-FR"/>
          <w14:ligatures w14:val="standardContextual"/>
        </w:rPr>
        <w:drawing>
          <wp:inline distT="0" distB="0" distL="0" distR="0" wp14:anchorId="3E2F6D8D" wp14:editId="3C8AA06D">
            <wp:extent cx="5731510" cy="4298950"/>
            <wp:effectExtent l="0" t="0" r="0" b="6350"/>
            <wp:docPr id="15786883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88365" name="Picture 1578688365"/>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0B33A1FE" w14:textId="2493A86A" w:rsidR="00B87039" w:rsidRPr="00653BF4" w:rsidRDefault="00B87039" w:rsidP="00B87039">
      <w:pPr>
        <w:rPr>
          <w:sz w:val="20"/>
          <w:szCs w:val="20"/>
          <w:lang w:val="fr-FR"/>
        </w:rPr>
      </w:pPr>
      <w:r w:rsidRPr="00653BF4">
        <w:rPr>
          <w:i/>
          <w:iCs/>
          <w:sz w:val="20"/>
          <w:szCs w:val="20"/>
          <w:lang w:val="fr-FR"/>
        </w:rPr>
        <w:t>Note</w:t>
      </w:r>
      <w:r w:rsidR="00E34DC9">
        <w:rPr>
          <w:sz w:val="20"/>
          <w:szCs w:val="20"/>
          <w:lang w:val="fr-FR"/>
        </w:rPr>
        <w:t> :</w:t>
      </w:r>
      <w:r w:rsidRPr="00653BF4">
        <w:rPr>
          <w:sz w:val="20"/>
          <w:szCs w:val="20"/>
          <w:lang w:val="fr-FR"/>
        </w:rPr>
        <w:t xml:space="preserve"> Les valeurs de l</w:t>
      </w:r>
      <w:r w:rsidR="00D77549">
        <w:rPr>
          <w:sz w:val="20"/>
          <w:szCs w:val="20"/>
          <w:lang w:val="fr-FR"/>
        </w:rPr>
        <w:t>’</w:t>
      </w:r>
      <w:r w:rsidRPr="00653BF4">
        <w:rPr>
          <w:sz w:val="20"/>
          <w:szCs w:val="20"/>
          <w:lang w:val="fr-FR"/>
        </w:rPr>
        <w:t>indicateur représentent le nombre total d</w:t>
      </w:r>
      <w:r w:rsidR="00D77549">
        <w:rPr>
          <w:sz w:val="20"/>
          <w:szCs w:val="20"/>
          <w:lang w:val="fr-FR"/>
        </w:rPr>
        <w:t>’</w:t>
      </w:r>
      <w:r w:rsidRPr="00653BF4">
        <w:rPr>
          <w:sz w:val="20"/>
          <w:szCs w:val="20"/>
          <w:lang w:val="fr-FR"/>
        </w:rPr>
        <w:t>incitations en vigueur dans l</w:t>
      </w:r>
      <w:r w:rsidR="00D77549">
        <w:rPr>
          <w:sz w:val="20"/>
          <w:szCs w:val="20"/>
          <w:lang w:val="fr-FR"/>
        </w:rPr>
        <w:t>’</w:t>
      </w:r>
      <w:r w:rsidRPr="00653BF4">
        <w:rPr>
          <w:sz w:val="20"/>
          <w:szCs w:val="20"/>
          <w:lang w:val="fr-FR"/>
        </w:rPr>
        <w:t>ensemble des Parties, par année. Le diagramme à barres de droite présente la répartition, par région, des Parties pour lesquelles des données sont disponibles. Les couleurs attribuées à chaque région sont indiquées dans la légende de la figure</w:t>
      </w:r>
      <w:r w:rsidR="00E34DC9">
        <w:rPr>
          <w:sz w:val="20"/>
          <w:szCs w:val="20"/>
          <w:lang w:val="fr-FR"/>
        </w:rPr>
        <w:t> :</w:t>
      </w:r>
      <w:r w:rsidRPr="00653BF4">
        <w:rPr>
          <w:sz w:val="20"/>
          <w:szCs w:val="20"/>
          <w:lang w:val="fr-FR"/>
        </w:rPr>
        <w:t xml:space="preserve"> les teintes plus foncées représentent la proportion des Parties d</w:t>
      </w:r>
      <w:r w:rsidR="00D77549">
        <w:rPr>
          <w:sz w:val="20"/>
          <w:szCs w:val="20"/>
          <w:lang w:val="fr-FR"/>
        </w:rPr>
        <w:t>’</w:t>
      </w:r>
      <w:r w:rsidRPr="00653BF4">
        <w:rPr>
          <w:sz w:val="20"/>
          <w:szCs w:val="20"/>
          <w:lang w:val="fr-FR"/>
        </w:rPr>
        <w:t>une région pour lesquelles des données sont intégrées dans le graphique</w:t>
      </w:r>
      <w:r w:rsidR="00E34DC9">
        <w:rPr>
          <w:sz w:val="20"/>
          <w:szCs w:val="20"/>
          <w:lang w:val="fr-FR"/>
        </w:rPr>
        <w:t> ;</w:t>
      </w:r>
      <w:r w:rsidRPr="00653BF4">
        <w:rPr>
          <w:sz w:val="20"/>
          <w:szCs w:val="20"/>
          <w:lang w:val="fr-FR"/>
        </w:rPr>
        <w:t xml:space="preserve"> les teintes plus claires représentent la proportion des Parties de cette même région pour lesquelles aucune donnée n</w:t>
      </w:r>
      <w:r w:rsidR="00D77549">
        <w:rPr>
          <w:sz w:val="20"/>
          <w:szCs w:val="20"/>
          <w:lang w:val="fr-FR"/>
        </w:rPr>
        <w:t>’</w:t>
      </w:r>
      <w:r w:rsidRPr="00653BF4">
        <w:rPr>
          <w:sz w:val="20"/>
          <w:szCs w:val="20"/>
          <w:lang w:val="fr-FR"/>
        </w:rPr>
        <w:t>est intégrée dans le graphique. </w:t>
      </w:r>
    </w:p>
    <w:tbl>
      <w:tblPr>
        <w:tblStyle w:val="TableGrid"/>
        <w:tblW w:w="9000" w:type="dxa"/>
        <w:tblLook w:val="04A0" w:firstRow="1" w:lastRow="0" w:firstColumn="1" w:lastColumn="0" w:noHBand="0" w:noVBand="1"/>
      </w:tblPr>
      <w:tblGrid>
        <w:gridCol w:w="4188"/>
        <w:gridCol w:w="4812"/>
      </w:tblGrid>
      <w:tr w:rsidR="001279A8" w:rsidRPr="006F7AF8" w14:paraId="22D3D263" w14:textId="77777777" w:rsidTr="009B4355">
        <w:tc>
          <w:tcPr>
            <w:tcW w:w="9000" w:type="dxa"/>
            <w:gridSpan w:val="2"/>
          </w:tcPr>
          <w:p w14:paraId="7C4FF76C" w14:textId="77777777" w:rsidR="001279A8" w:rsidRPr="00C35FB5" w:rsidRDefault="001279A8" w:rsidP="009B4355">
            <w:pPr>
              <w:rPr>
                <w:rFonts w:ascii="Aptos" w:hAnsi="Aptos"/>
                <w:lang w:val="fr-FR"/>
              </w:rPr>
            </w:pPr>
            <w:r w:rsidRPr="00C35FB5">
              <w:rPr>
                <w:rFonts w:ascii="Aptos" w:hAnsi="Aptos"/>
                <w:lang w:val="fr-FR"/>
              </w:rPr>
              <w:t>Figure 74</w:t>
            </w:r>
          </w:p>
        </w:tc>
      </w:tr>
      <w:tr w:rsidR="001279A8" w:rsidRPr="006F7AF8" w14:paraId="47A4927B" w14:textId="77777777" w:rsidTr="009B4355">
        <w:tc>
          <w:tcPr>
            <w:tcW w:w="4188" w:type="dxa"/>
          </w:tcPr>
          <w:p w14:paraId="333AE606" w14:textId="77777777" w:rsidR="001279A8" w:rsidRPr="00C35FB5" w:rsidRDefault="001279A8" w:rsidP="009B4355">
            <w:pPr>
              <w:rPr>
                <w:rFonts w:ascii="Aptos" w:hAnsi="Aptos"/>
                <w:lang w:val="fr-FR"/>
              </w:rPr>
            </w:pPr>
            <w:r w:rsidRPr="00C35FB5">
              <w:rPr>
                <w:rFonts w:ascii="Aptos" w:hAnsi="Aptos"/>
                <w:lang w:val="fr-FR"/>
              </w:rPr>
              <w:t xml:space="preserve">English </w:t>
            </w:r>
          </w:p>
        </w:tc>
        <w:tc>
          <w:tcPr>
            <w:tcW w:w="4812" w:type="dxa"/>
          </w:tcPr>
          <w:p w14:paraId="759747A6" w14:textId="77777777" w:rsidR="001279A8" w:rsidRPr="00C35FB5" w:rsidRDefault="001279A8" w:rsidP="009B4355">
            <w:pPr>
              <w:rPr>
                <w:rFonts w:ascii="Aptos" w:hAnsi="Aptos"/>
                <w:lang w:val="fr-FR"/>
              </w:rPr>
            </w:pPr>
            <w:r>
              <w:rPr>
                <w:rFonts w:ascii="Aptos" w:hAnsi="Aptos"/>
                <w:lang w:val="fr-FR"/>
              </w:rPr>
              <w:t>Français</w:t>
            </w:r>
          </w:p>
        </w:tc>
      </w:tr>
      <w:tr w:rsidR="001279A8" w:rsidRPr="006F7AF8" w14:paraId="773DEB4E" w14:textId="77777777" w:rsidTr="009B4355">
        <w:tc>
          <w:tcPr>
            <w:tcW w:w="4188" w:type="dxa"/>
          </w:tcPr>
          <w:p w14:paraId="0F94572C" w14:textId="77777777" w:rsidR="001279A8" w:rsidRPr="006F7AF8" w:rsidRDefault="001279A8" w:rsidP="009B4355">
            <w:pPr>
              <w:rPr>
                <w:rFonts w:ascii="Aptos" w:hAnsi="Aptos"/>
                <w:lang w:val="fr-FR"/>
              </w:rPr>
            </w:pPr>
            <w:r w:rsidRPr="006F7AF8">
              <w:rPr>
                <w:rFonts w:ascii="Aptos" w:hAnsi="Aptos"/>
                <w:lang w:val="fr-FR"/>
              </w:rPr>
              <w:t>Policy instruments (count)</w:t>
            </w:r>
          </w:p>
        </w:tc>
        <w:tc>
          <w:tcPr>
            <w:tcW w:w="4812" w:type="dxa"/>
          </w:tcPr>
          <w:p w14:paraId="48E0E855" w14:textId="77777777" w:rsidR="001279A8" w:rsidRPr="006F7AF8" w:rsidRDefault="001279A8" w:rsidP="009B4355">
            <w:pPr>
              <w:rPr>
                <w:rFonts w:ascii="Aptos" w:hAnsi="Aptos"/>
                <w:lang w:val="fr-FR"/>
              </w:rPr>
            </w:pPr>
            <w:r w:rsidRPr="006F7AF8">
              <w:rPr>
                <w:rFonts w:ascii="Aptos" w:hAnsi="Aptos"/>
                <w:lang w:val="fr-FR"/>
              </w:rPr>
              <w:t>Instruments de politique générale (nombre)</w:t>
            </w:r>
          </w:p>
        </w:tc>
      </w:tr>
      <w:tr w:rsidR="001279A8" w:rsidRPr="006F7AF8" w14:paraId="5C24B700" w14:textId="77777777" w:rsidTr="009B4355">
        <w:tc>
          <w:tcPr>
            <w:tcW w:w="4188" w:type="dxa"/>
          </w:tcPr>
          <w:p w14:paraId="1D78F4CB" w14:textId="77777777" w:rsidR="001279A8" w:rsidRPr="006F7AF8" w:rsidRDefault="001279A8" w:rsidP="009B4355">
            <w:pPr>
              <w:rPr>
                <w:rFonts w:ascii="Aptos" w:hAnsi="Aptos"/>
                <w:lang w:val="fr-FR"/>
              </w:rPr>
            </w:pPr>
            <w:r w:rsidRPr="006F7AF8">
              <w:rPr>
                <w:rFonts w:ascii="Aptos" w:hAnsi="Aptos"/>
                <w:lang w:val="fr-FR"/>
              </w:rPr>
              <w:t>Year</w:t>
            </w:r>
          </w:p>
        </w:tc>
        <w:tc>
          <w:tcPr>
            <w:tcW w:w="4812" w:type="dxa"/>
          </w:tcPr>
          <w:p w14:paraId="4453C120" w14:textId="77777777" w:rsidR="001279A8" w:rsidRPr="006F7AF8" w:rsidRDefault="001279A8" w:rsidP="009B4355">
            <w:pPr>
              <w:rPr>
                <w:rFonts w:ascii="Aptos" w:hAnsi="Aptos"/>
                <w:lang w:val="fr-FR"/>
              </w:rPr>
            </w:pPr>
            <w:r w:rsidRPr="006F7AF8">
              <w:rPr>
                <w:rFonts w:ascii="Aptos" w:hAnsi="Aptos"/>
                <w:lang w:val="fr-FR"/>
              </w:rPr>
              <w:t>Année</w:t>
            </w:r>
          </w:p>
        </w:tc>
      </w:tr>
      <w:tr w:rsidR="001279A8" w:rsidRPr="006F7AF8" w14:paraId="3E4B10E7" w14:textId="77777777" w:rsidTr="009B4355">
        <w:tc>
          <w:tcPr>
            <w:tcW w:w="4188" w:type="dxa"/>
          </w:tcPr>
          <w:p w14:paraId="078D54B1" w14:textId="77777777" w:rsidR="001279A8" w:rsidRPr="006F7AF8" w:rsidRDefault="001279A8" w:rsidP="009B4355">
            <w:pPr>
              <w:rPr>
                <w:rFonts w:ascii="Aptos" w:hAnsi="Aptos"/>
                <w:lang w:val="fr-FR"/>
              </w:rPr>
            </w:pPr>
            <w:r w:rsidRPr="006F7AF8">
              <w:rPr>
                <w:rFonts w:ascii="Aptos" w:hAnsi="Aptos"/>
                <w:lang w:val="fr-FR"/>
              </w:rPr>
              <w:t>Parties covered</w:t>
            </w:r>
          </w:p>
        </w:tc>
        <w:tc>
          <w:tcPr>
            <w:tcW w:w="4812" w:type="dxa"/>
          </w:tcPr>
          <w:p w14:paraId="53F6CE09" w14:textId="77777777" w:rsidR="001279A8" w:rsidRPr="006F7AF8" w:rsidRDefault="001279A8" w:rsidP="009B4355">
            <w:pPr>
              <w:rPr>
                <w:rFonts w:ascii="Aptos" w:hAnsi="Aptos"/>
                <w:lang w:val="fr-FR"/>
              </w:rPr>
            </w:pPr>
            <w:r w:rsidRPr="006F7AF8">
              <w:rPr>
                <w:rFonts w:ascii="Aptos" w:hAnsi="Aptos"/>
                <w:lang w:val="fr-FR"/>
              </w:rPr>
              <w:t>Parties visées</w:t>
            </w:r>
          </w:p>
        </w:tc>
      </w:tr>
      <w:tr w:rsidR="001279A8" w:rsidRPr="006F7AF8" w14:paraId="55D6DE3C" w14:textId="77777777" w:rsidTr="009B4355">
        <w:tc>
          <w:tcPr>
            <w:tcW w:w="4188" w:type="dxa"/>
          </w:tcPr>
          <w:p w14:paraId="60D43B64" w14:textId="77777777" w:rsidR="001279A8" w:rsidRPr="006F7AF8" w:rsidRDefault="001279A8" w:rsidP="009B4355">
            <w:pPr>
              <w:rPr>
                <w:rFonts w:ascii="Aptos" w:hAnsi="Aptos"/>
                <w:lang w:val="fr-FR"/>
              </w:rPr>
            </w:pPr>
            <w:r w:rsidRPr="006F7AF8">
              <w:rPr>
                <w:rFonts w:ascii="Aptos" w:hAnsi="Aptos"/>
                <w:lang w:val="fr-FR"/>
              </w:rPr>
              <w:t>Party count: 98</w:t>
            </w:r>
          </w:p>
        </w:tc>
        <w:tc>
          <w:tcPr>
            <w:tcW w:w="4812" w:type="dxa"/>
          </w:tcPr>
          <w:p w14:paraId="48F7647D" w14:textId="77777777" w:rsidR="001279A8" w:rsidRPr="006F7AF8" w:rsidRDefault="001279A8" w:rsidP="009B4355">
            <w:pPr>
              <w:rPr>
                <w:rFonts w:ascii="Aptos" w:hAnsi="Aptos"/>
                <w:lang w:val="fr-FR"/>
              </w:rPr>
            </w:pPr>
            <w:r w:rsidRPr="006F7AF8">
              <w:rPr>
                <w:rFonts w:ascii="Aptos" w:hAnsi="Aptos"/>
                <w:lang w:val="fr-FR"/>
              </w:rPr>
              <w:t>Nombre de Parties : 98</w:t>
            </w:r>
          </w:p>
        </w:tc>
      </w:tr>
      <w:tr w:rsidR="001279A8" w:rsidRPr="006F7AF8" w14:paraId="4487BC0B" w14:textId="77777777" w:rsidTr="009B4355">
        <w:tc>
          <w:tcPr>
            <w:tcW w:w="4188" w:type="dxa"/>
          </w:tcPr>
          <w:p w14:paraId="2F1880EF" w14:textId="77777777" w:rsidR="001279A8" w:rsidRPr="006F7AF8" w:rsidRDefault="001279A8" w:rsidP="009B4355">
            <w:pPr>
              <w:rPr>
                <w:rFonts w:ascii="Aptos" w:hAnsi="Aptos"/>
                <w:lang w:val="fr-FR"/>
              </w:rPr>
            </w:pPr>
            <w:r w:rsidRPr="006F7AF8">
              <w:rPr>
                <w:rFonts w:ascii="Aptos" w:hAnsi="Aptos"/>
                <w:lang w:val="fr-FR"/>
              </w:rPr>
              <w:t>Region</w:t>
            </w:r>
          </w:p>
        </w:tc>
        <w:tc>
          <w:tcPr>
            <w:tcW w:w="4812" w:type="dxa"/>
          </w:tcPr>
          <w:p w14:paraId="5A172232"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2CA978CB" w14:textId="77777777" w:rsidTr="009B4355">
        <w:tc>
          <w:tcPr>
            <w:tcW w:w="4188" w:type="dxa"/>
          </w:tcPr>
          <w:p w14:paraId="2645D0B5" w14:textId="77777777" w:rsidR="001279A8" w:rsidRPr="006F7AF8" w:rsidRDefault="001279A8" w:rsidP="009B4355">
            <w:pPr>
              <w:rPr>
                <w:rFonts w:ascii="Aptos" w:hAnsi="Aptos"/>
                <w:lang w:val="fr-FR"/>
              </w:rPr>
            </w:pPr>
            <w:r w:rsidRPr="006F7AF8">
              <w:rPr>
                <w:rFonts w:ascii="Aptos" w:hAnsi="Aptos"/>
                <w:lang w:val="fr-FR"/>
              </w:rPr>
              <w:t>African States</w:t>
            </w:r>
          </w:p>
        </w:tc>
        <w:tc>
          <w:tcPr>
            <w:tcW w:w="4812" w:type="dxa"/>
          </w:tcPr>
          <w:p w14:paraId="5F647A02"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5115CF0A" w14:textId="77777777" w:rsidTr="009B4355">
        <w:tc>
          <w:tcPr>
            <w:tcW w:w="4188" w:type="dxa"/>
          </w:tcPr>
          <w:p w14:paraId="7C8BC3F5" w14:textId="77777777" w:rsidR="001279A8" w:rsidRPr="006F7AF8" w:rsidRDefault="001279A8" w:rsidP="009B4355">
            <w:pPr>
              <w:rPr>
                <w:rFonts w:ascii="Aptos" w:hAnsi="Aptos"/>
                <w:lang w:val="fr-FR"/>
              </w:rPr>
            </w:pPr>
            <w:r w:rsidRPr="006F7AF8">
              <w:rPr>
                <w:rFonts w:ascii="Aptos" w:hAnsi="Aptos"/>
                <w:lang w:val="fr-FR"/>
              </w:rPr>
              <w:t>Asia- Pacific States</w:t>
            </w:r>
          </w:p>
        </w:tc>
        <w:tc>
          <w:tcPr>
            <w:tcW w:w="4812" w:type="dxa"/>
          </w:tcPr>
          <w:p w14:paraId="18E98165"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5AE8DEDE" w14:textId="77777777" w:rsidTr="009B4355">
        <w:tc>
          <w:tcPr>
            <w:tcW w:w="4188" w:type="dxa"/>
          </w:tcPr>
          <w:p w14:paraId="4CB49A2F"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812" w:type="dxa"/>
          </w:tcPr>
          <w:p w14:paraId="478BD7F6"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6C02B0E7" w14:textId="77777777" w:rsidTr="009B4355">
        <w:tc>
          <w:tcPr>
            <w:tcW w:w="4188" w:type="dxa"/>
          </w:tcPr>
          <w:p w14:paraId="32BAD712"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812" w:type="dxa"/>
          </w:tcPr>
          <w:p w14:paraId="44D9A102"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69967986" w14:textId="77777777" w:rsidTr="009B4355">
        <w:tc>
          <w:tcPr>
            <w:tcW w:w="4188" w:type="dxa"/>
          </w:tcPr>
          <w:p w14:paraId="3E496C54"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812" w:type="dxa"/>
          </w:tcPr>
          <w:p w14:paraId="21CDA743"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56DA3416" w14:textId="77777777" w:rsidR="00B87039" w:rsidRPr="00653BF4" w:rsidRDefault="00B87039" w:rsidP="00B87039">
      <w:pPr>
        <w:rPr>
          <w:lang w:val="fr-FR" w:eastAsia="ja-JP"/>
        </w:rPr>
      </w:pPr>
    </w:p>
    <w:p w14:paraId="0C0D0D48" w14:textId="667A92B0" w:rsidR="00B87039" w:rsidRPr="00653BF4" w:rsidRDefault="00B87039" w:rsidP="00B87039">
      <w:pPr>
        <w:pStyle w:val="paragraph"/>
        <w:spacing w:before="0" w:beforeAutospacing="0" w:after="0" w:afterAutospacing="0"/>
        <w:textAlignment w:val="baseline"/>
        <w:rPr>
          <w:rStyle w:val="normaltextrun"/>
          <w:rFonts w:asciiTheme="minorHAnsi" w:hAnsiTheme="minorHAnsi" w:cs="Segoe UI"/>
          <w:sz w:val="20"/>
          <w:szCs w:val="20"/>
          <w:lang w:val="fr-FR"/>
        </w:rPr>
      </w:pPr>
      <w:bookmarkStart w:id="357" w:name="_Ref238754630"/>
      <w:r w:rsidRPr="00653BF4">
        <w:rPr>
          <w:rFonts w:asciiTheme="minorHAnsi" w:hAnsiTheme="minorHAnsi"/>
          <w:sz w:val="20"/>
          <w:szCs w:val="20"/>
          <w:lang w:val="fr-FR"/>
        </w:rPr>
        <w:lastRenderedPageBreak/>
        <w:t>Figure 75</w:t>
      </w:r>
      <w:bookmarkEnd w:id="357"/>
    </w:p>
    <w:p w14:paraId="6BC33C19" w14:textId="02A7CDE1" w:rsidR="00B87039" w:rsidRPr="00653BF4"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1</w:t>
      </w:r>
      <w:r w:rsidRPr="00653BF4">
        <w:rPr>
          <w:b/>
          <w:bCs/>
          <w:i w:val="0"/>
          <w:iCs w:val="0"/>
          <w:sz w:val="20"/>
          <w:szCs w:val="20"/>
          <w:lang w:val="fr-FR"/>
        </w:rPr>
        <w:t>8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70623E29" w14:textId="77777777" w:rsidR="00B87039" w:rsidRPr="00653BF4" w:rsidRDefault="00B87039" w:rsidP="00B87039">
      <w:pPr>
        <w:pStyle w:val="Caption"/>
        <w:rPr>
          <w:lang w:val="fr-FR"/>
        </w:rPr>
      </w:pPr>
      <w:r w:rsidRPr="00653BF4">
        <w:rPr>
          <w:noProof/>
          <w:lang w:val="fr-FR"/>
          <w14:ligatures w14:val="standardContextual"/>
        </w:rPr>
        <w:drawing>
          <wp:inline distT="0" distB="0" distL="0" distR="0" wp14:anchorId="2D394626" wp14:editId="0944DD66">
            <wp:extent cx="5731510" cy="2456180"/>
            <wp:effectExtent l="0" t="0" r="0" b="0"/>
            <wp:docPr id="168413753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137531" name="Picture 1684137531"/>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03F79B71" w14:textId="77777777" w:rsidR="00B87039" w:rsidRPr="00653BF4" w:rsidRDefault="00B87039" w:rsidP="00B87039">
      <w:pPr>
        <w:pStyle w:val="Caption"/>
        <w:rPr>
          <w:lang w:val="fr-FR"/>
        </w:rPr>
      </w:pPr>
    </w:p>
    <w:p w14:paraId="4D12EAEF" w14:textId="1EF8C4DD" w:rsidR="00B87039" w:rsidRPr="00653BF4" w:rsidRDefault="00B87039" w:rsidP="00B87039">
      <w:pPr>
        <w:pStyle w:val="Caption"/>
        <w:rPr>
          <w:i w:val="0"/>
          <w:sz w:val="16"/>
          <w:szCs w:val="16"/>
          <w:lang w:val="fr-FR"/>
        </w:rPr>
      </w:pPr>
      <w:r w:rsidRPr="00653BF4">
        <w:rPr>
          <w:sz w:val="16"/>
          <w:szCs w:val="16"/>
          <w:lang w:val="fr-FR"/>
        </w:rPr>
        <w:t>Note</w:t>
      </w:r>
      <w:r w:rsidR="00E34DC9">
        <w:rPr>
          <w:sz w:val="16"/>
          <w:szCs w:val="16"/>
          <w:lang w:val="fr-FR"/>
        </w:rPr>
        <w:t> :</w:t>
      </w:r>
      <w:r w:rsidRPr="00653BF4">
        <w:rPr>
          <w:sz w:val="16"/>
          <w:szCs w:val="16"/>
          <w:lang w:val="fr-FR"/>
        </w:rPr>
        <w:t xml:space="preserve"> </w:t>
      </w:r>
      <w:r w:rsidRPr="00653BF4">
        <w:rPr>
          <w:i w:val="0"/>
          <w:iCs w:val="0"/>
          <w:sz w:val="16"/>
          <w:szCs w:val="16"/>
          <w:lang w:val="fr-FR"/>
        </w:rPr>
        <w:t>Les proportions sont pondérées par Partie. Les tendances incluent des données relatives à 2 indicateurs phares provenant de 44 Parties, ainsi qu</w:t>
      </w:r>
      <w:r w:rsidR="00D77549">
        <w:rPr>
          <w:i w:val="0"/>
          <w:iCs w:val="0"/>
          <w:sz w:val="16"/>
          <w:szCs w:val="16"/>
          <w:lang w:val="fr-FR"/>
        </w:rPr>
        <w:t>’</w:t>
      </w:r>
      <w:r w:rsidRPr="00653BF4">
        <w:rPr>
          <w:i w:val="0"/>
          <w:iCs w:val="0"/>
          <w:sz w:val="16"/>
          <w:szCs w:val="16"/>
          <w:lang w:val="fr-FR"/>
        </w:rPr>
        <w:t xml:space="preserve">à 28 indicateurs nationaux provenant de 12 Parties. Le diagramme circulaire représente la répartition, par région, des Parties ayant communiqué des indicateurs pour la </w:t>
      </w:r>
      <w:r w:rsidR="00E34DC9">
        <w:rPr>
          <w:i w:val="0"/>
          <w:iCs w:val="0"/>
          <w:sz w:val="16"/>
          <w:szCs w:val="16"/>
          <w:lang w:val="fr-FR"/>
        </w:rPr>
        <w:t>cible 1</w:t>
      </w:r>
      <w:r w:rsidRPr="00653BF4">
        <w:rPr>
          <w:i w:val="0"/>
          <w:iCs w:val="0"/>
          <w:sz w:val="16"/>
          <w:szCs w:val="16"/>
          <w:lang w:val="fr-FR"/>
        </w:rPr>
        <w:t xml:space="preserve">8. Le diagramme circulaire représente la répartition, par région, des Parties ayant communiqué des indicateurs pour la </w:t>
      </w:r>
      <w:r w:rsidR="00E34DC9">
        <w:rPr>
          <w:i w:val="0"/>
          <w:iCs w:val="0"/>
          <w:sz w:val="16"/>
          <w:szCs w:val="16"/>
          <w:lang w:val="fr-FR"/>
        </w:rPr>
        <w:t>cible 1</w:t>
      </w:r>
      <w:r w:rsidRPr="00653BF4">
        <w:rPr>
          <w:i w:val="0"/>
          <w:iCs w:val="0"/>
          <w:sz w:val="16"/>
          <w:szCs w:val="16"/>
          <w:lang w:val="fr-FR"/>
        </w:rPr>
        <w:t>8. La couleur de chaque région est indiquée dans la légende de la figure</w:t>
      </w:r>
      <w:r w:rsidR="00E34DC9">
        <w:rPr>
          <w:i w:val="0"/>
          <w:iCs w:val="0"/>
          <w:sz w:val="16"/>
          <w:szCs w:val="16"/>
          <w:lang w:val="fr-FR"/>
        </w:rPr>
        <w:t> :</w:t>
      </w:r>
      <w:r w:rsidRPr="00653BF4">
        <w:rPr>
          <w:i w:val="0"/>
          <w:iCs w:val="0"/>
          <w:sz w:val="16"/>
          <w:szCs w:val="16"/>
          <w:lang w:val="fr-FR"/>
        </w:rPr>
        <w:t xml:space="preserve"> les tons plus foncés représentent la proportion de Parties de chaque région dont les données figurent dans le graphique</w:t>
      </w:r>
      <w:r w:rsidR="00E34DC9">
        <w:rPr>
          <w:i w:val="0"/>
          <w:iCs w:val="0"/>
          <w:sz w:val="16"/>
          <w:szCs w:val="16"/>
          <w:lang w:val="fr-FR"/>
        </w:rPr>
        <w:t> ;</w:t>
      </w:r>
      <w:r w:rsidRPr="00653BF4">
        <w:rPr>
          <w:i w:val="0"/>
          <w:iCs w:val="0"/>
          <w:sz w:val="16"/>
          <w:szCs w:val="16"/>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1279A8" w:rsidRPr="006F7AF8" w14:paraId="6E0C31EA" w14:textId="77777777" w:rsidTr="009B4355">
        <w:tc>
          <w:tcPr>
            <w:tcW w:w="8861" w:type="dxa"/>
            <w:gridSpan w:val="2"/>
          </w:tcPr>
          <w:p w14:paraId="17B0A08E" w14:textId="77777777" w:rsidR="001279A8" w:rsidRPr="00131DE7" w:rsidRDefault="001279A8" w:rsidP="009B4355">
            <w:pPr>
              <w:rPr>
                <w:rFonts w:ascii="Aptos" w:hAnsi="Aptos"/>
                <w:lang w:val="fr-FR"/>
              </w:rPr>
            </w:pPr>
            <w:bookmarkStart w:id="358" w:name="_Toc235821271"/>
            <w:r w:rsidRPr="00131DE7">
              <w:rPr>
                <w:rFonts w:ascii="Aptos" w:hAnsi="Aptos"/>
                <w:lang w:val="fr-FR"/>
              </w:rPr>
              <w:t>Figure 75</w:t>
            </w:r>
          </w:p>
        </w:tc>
      </w:tr>
      <w:tr w:rsidR="001279A8" w:rsidRPr="006F7AF8" w14:paraId="6DACB0A0" w14:textId="77777777" w:rsidTr="009B4355">
        <w:tc>
          <w:tcPr>
            <w:tcW w:w="4188" w:type="dxa"/>
          </w:tcPr>
          <w:p w14:paraId="64E3BF0A" w14:textId="77777777" w:rsidR="001279A8" w:rsidRPr="00131DE7" w:rsidRDefault="001279A8" w:rsidP="009B4355">
            <w:pPr>
              <w:rPr>
                <w:rFonts w:ascii="Aptos" w:hAnsi="Aptos"/>
                <w:lang w:val="fr-FR"/>
              </w:rPr>
            </w:pPr>
            <w:r w:rsidRPr="00131DE7">
              <w:rPr>
                <w:rFonts w:ascii="Aptos" w:hAnsi="Aptos"/>
                <w:lang w:val="fr-FR"/>
              </w:rPr>
              <w:t xml:space="preserve">English </w:t>
            </w:r>
          </w:p>
        </w:tc>
        <w:tc>
          <w:tcPr>
            <w:tcW w:w="4673" w:type="dxa"/>
          </w:tcPr>
          <w:p w14:paraId="1024C52B" w14:textId="77777777" w:rsidR="001279A8" w:rsidRPr="00131DE7" w:rsidRDefault="001279A8" w:rsidP="009B4355">
            <w:pPr>
              <w:rPr>
                <w:rFonts w:ascii="Aptos" w:hAnsi="Aptos"/>
                <w:lang w:val="fr-FR"/>
              </w:rPr>
            </w:pPr>
            <w:r>
              <w:rPr>
                <w:rFonts w:ascii="Aptos" w:hAnsi="Aptos"/>
                <w:lang w:val="fr-FR"/>
              </w:rPr>
              <w:t>Français</w:t>
            </w:r>
          </w:p>
        </w:tc>
      </w:tr>
      <w:tr w:rsidR="001279A8" w:rsidRPr="006F7AF8" w14:paraId="3AAB5328" w14:textId="77777777" w:rsidTr="009B4355">
        <w:tc>
          <w:tcPr>
            <w:tcW w:w="4188" w:type="dxa"/>
          </w:tcPr>
          <w:p w14:paraId="1500D833" w14:textId="77777777" w:rsidR="001279A8" w:rsidRPr="006F7AF8" w:rsidRDefault="001279A8" w:rsidP="009B4355">
            <w:pPr>
              <w:rPr>
                <w:rFonts w:ascii="Aptos" w:hAnsi="Aptos"/>
                <w:lang w:val="fr-FR"/>
              </w:rPr>
            </w:pPr>
            <w:r w:rsidRPr="006F7AF8">
              <w:rPr>
                <w:rFonts w:ascii="Aptos" w:hAnsi="Aptos"/>
                <w:lang w:val="fr-FR"/>
              </w:rPr>
              <w:t>Proportion</w:t>
            </w:r>
          </w:p>
        </w:tc>
        <w:tc>
          <w:tcPr>
            <w:tcW w:w="4673" w:type="dxa"/>
          </w:tcPr>
          <w:p w14:paraId="5C72C98F" w14:textId="77777777" w:rsidR="001279A8" w:rsidRPr="006F7AF8" w:rsidRDefault="001279A8" w:rsidP="009B4355">
            <w:pPr>
              <w:rPr>
                <w:rFonts w:ascii="Aptos" w:hAnsi="Aptos"/>
                <w:lang w:val="fr-FR"/>
              </w:rPr>
            </w:pPr>
            <w:r w:rsidRPr="006F7AF8">
              <w:rPr>
                <w:rFonts w:ascii="Aptos" w:hAnsi="Aptos"/>
                <w:lang w:val="fr-FR"/>
              </w:rPr>
              <w:t>Proportion</w:t>
            </w:r>
          </w:p>
        </w:tc>
      </w:tr>
      <w:tr w:rsidR="001279A8" w:rsidRPr="006F7AF8" w14:paraId="2A582CC8" w14:textId="77777777" w:rsidTr="009B4355">
        <w:tc>
          <w:tcPr>
            <w:tcW w:w="4188" w:type="dxa"/>
          </w:tcPr>
          <w:p w14:paraId="59A20810" w14:textId="77777777" w:rsidR="001279A8" w:rsidRPr="006F7AF8" w:rsidRDefault="001279A8" w:rsidP="009B4355">
            <w:pPr>
              <w:rPr>
                <w:rFonts w:ascii="Aptos" w:hAnsi="Aptos"/>
                <w:lang w:val="fr-FR"/>
              </w:rPr>
            </w:pPr>
            <w:r w:rsidRPr="006F7AF8">
              <w:rPr>
                <w:rFonts w:ascii="Aptos" w:hAnsi="Aptos"/>
                <w:lang w:val="fr-FR"/>
              </w:rPr>
              <w:t>Current Status</w:t>
            </w:r>
          </w:p>
        </w:tc>
        <w:tc>
          <w:tcPr>
            <w:tcW w:w="4673" w:type="dxa"/>
          </w:tcPr>
          <w:p w14:paraId="381C222F" w14:textId="77777777" w:rsidR="001279A8" w:rsidRPr="006F7AF8" w:rsidRDefault="001279A8" w:rsidP="009B4355">
            <w:pPr>
              <w:rPr>
                <w:rFonts w:ascii="Aptos" w:hAnsi="Aptos"/>
                <w:lang w:val="fr-FR"/>
              </w:rPr>
            </w:pPr>
            <w:r w:rsidRPr="006F7AF8">
              <w:rPr>
                <w:rFonts w:ascii="Aptos" w:hAnsi="Aptos"/>
                <w:lang w:val="fr-FR"/>
              </w:rPr>
              <w:t>État actuel</w:t>
            </w:r>
          </w:p>
        </w:tc>
      </w:tr>
      <w:tr w:rsidR="001279A8" w:rsidRPr="006F7AF8" w14:paraId="4FC7751A" w14:textId="77777777" w:rsidTr="009B4355">
        <w:tc>
          <w:tcPr>
            <w:tcW w:w="4188" w:type="dxa"/>
          </w:tcPr>
          <w:p w14:paraId="13BAC7FB" w14:textId="77777777" w:rsidR="001279A8" w:rsidRPr="006F7AF8" w:rsidRDefault="001279A8" w:rsidP="009B4355">
            <w:pPr>
              <w:rPr>
                <w:rFonts w:ascii="Aptos" w:hAnsi="Aptos"/>
                <w:lang w:val="fr-FR"/>
              </w:rPr>
            </w:pPr>
            <w:r w:rsidRPr="006F7AF8">
              <w:rPr>
                <w:rFonts w:ascii="Aptos" w:hAnsi="Aptos"/>
                <w:lang w:val="fr-FR"/>
              </w:rPr>
              <w:t>improving</w:t>
            </w:r>
          </w:p>
        </w:tc>
        <w:tc>
          <w:tcPr>
            <w:tcW w:w="4673" w:type="dxa"/>
          </w:tcPr>
          <w:p w14:paraId="7F969B0E" w14:textId="77777777" w:rsidR="001279A8" w:rsidRPr="006F7AF8" w:rsidRDefault="001279A8" w:rsidP="009B4355">
            <w:pPr>
              <w:rPr>
                <w:rFonts w:ascii="Aptos" w:hAnsi="Aptos"/>
                <w:lang w:val="fr-FR"/>
              </w:rPr>
            </w:pPr>
            <w:r>
              <w:rPr>
                <w:rFonts w:ascii="Aptos" w:hAnsi="Aptos"/>
                <w:lang w:val="fr-FR"/>
              </w:rPr>
              <w:t>amélioration</w:t>
            </w:r>
          </w:p>
        </w:tc>
      </w:tr>
      <w:tr w:rsidR="001279A8" w:rsidRPr="006F7AF8" w14:paraId="2C107B80" w14:textId="77777777" w:rsidTr="009B4355">
        <w:tc>
          <w:tcPr>
            <w:tcW w:w="4188" w:type="dxa"/>
          </w:tcPr>
          <w:p w14:paraId="31E43A97" w14:textId="77777777" w:rsidR="001279A8" w:rsidRPr="006F7AF8" w:rsidRDefault="001279A8" w:rsidP="009B4355">
            <w:pPr>
              <w:rPr>
                <w:rFonts w:ascii="Aptos" w:hAnsi="Aptos"/>
                <w:lang w:val="fr-FR"/>
              </w:rPr>
            </w:pPr>
            <w:r w:rsidRPr="006F7AF8">
              <w:rPr>
                <w:rFonts w:ascii="Aptos" w:hAnsi="Aptos"/>
                <w:lang w:val="fr-FR"/>
              </w:rPr>
              <w:t>stable</w:t>
            </w:r>
          </w:p>
        </w:tc>
        <w:tc>
          <w:tcPr>
            <w:tcW w:w="4673" w:type="dxa"/>
          </w:tcPr>
          <w:p w14:paraId="1BA88C06" w14:textId="77777777" w:rsidR="001279A8" w:rsidRPr="006F7AF8" w:rsidRDefault="001279A8"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1279A8" w:rsidRPr="006F7AF8" w14:paraId="692337B2" w14:textId="77777777" w:rsidTr="009B4355">
        <w:tc>
          <w:tcPr>
            <w:tcW w:w="4188" w:type="dxa"/>
          </w:tcPr>
          <w:p w14:paraId="0F5EB59E" w14:textId="77777777" w:rsidR="001279A8" w:rsidRPr="006F7AF8" w:rsidRDefault="001279A8" w:rsidP="009B4355">
            <w:pPr>
              <w:rPr>
                <w:rFonts w:ascii="Aptos" w:hAnsi="Aptos"/>
                <w:lang w:val="fr-FR"/>
              </w:rPr>
            </w:pPr>
            <w:r w:rsidRPr="006F7AF8">
              <w:rPr>
                <w:rFonts w:ascii="Aptos" w:hAnsi="Aptos"/>
                <w:lang w:val="fr-FR"/>
              </w:rPr>
              <w:t>moving away</w:t>
            </w:r>
          </w:p>
        </w:tc>
        <w:tc>
          <w:tcPr>
            <w:tcW w:w="4673" w:type="dxa"/>
          </w:tcPr>
          <w:p w14:paraId="3F6A3941" w14:textId="77777777" w:rsidR="001279A8" w:rsidRPr="006F7AF8" w:rsidRDefault="001279A8" w:rsidP="009B4355">
            <w:pPr>
              <w:rPr>
                <w:rFonts w:ascii="Aptos" w:hAnsi="Aptos"/>
                <w:lang w:val="fr-FR"/>
              </w:rPr>
            </w:pPr>
            <w:r>
              <w:rPr>
                <w:rFonts w:ascii="Aptos" w:hAnsi="Aptos"/>
                <w:lang w:val="fr-FR"/>
              </w:rPr>
              <w:t>éloignement</w:t>
            </w:r>
          </w:p>
        </w:tc>
      </w:tr>
      <w:tr w:rsidR="001279A8" w:rsidRPr="006F7AF8" w14:paraId="59A191B3" w14:textId="77777777" w:rsidTr="009B4355">
        <w:tc>
          <w:tcPr>
            <w:tcW w:w="4188" w:type="dxa"/>
          </w:tcPr>
          <w:p w14:paraId="071C93A4" w14:textId="77777777" w:rsidR="001279A8" w:rsidRPr="006F7AF8" w:rsidRDefault="001279A8" w:rsidP="009B4355">
            <w:pPr>
              <w:rPr>
                <w:rFonts w:ascii="Aptos" w:hAnsi="Aptos"/>
                <w:lang w:val="fr-FR"/>
              </w:rPr>
            </w:pPr>
            <w:r w:rsidRPr="006F7AF8">
              <w:rPr>
                <w:rFonts w:ascii="Aptos" w:hAnsi="Aptos"/>
                <w:lang w:val="fr-FR"/>
              </w:rPr>
              <w:t>Party count: 48</w:t>
            </w:r>
          </w:p>
        </w:tc>
        <w:tc>
          <w:tcPr>
            <w:tcW w:w="4673" w:type="dxa"/>
          </w:tcPr>
          <w:p w14:paraId="6E58A43C" w14:textId="77777777" w:rsidR="001279A8" w:rsidRPr="006F7AF8" w:rsidRDefault="001279A8" w:rsidP="009B4355">
            <w:pPr>
              <w:rPr>
                <w:rFonts w:ascii="Aptos" w:hAnsi="Aptos"/>
                <w:lang w:val="fr-FR"/>
              </w:rPr>
            </w:pPr>
            <w:r w:rsidRPr="006F7AF8">
              <w:rPr>
                <w:rFonts w:ascii="Aptos" w:hAnsi="Aptos"/>
                <w:lang w:val="fr-FR"/>
              </w:rPr>
              <w:t>Nombre de Parties : 48</w:t>
            </w:r>
          </w:p>
        </w:tc>
      </w:tr>
      <w:tr w:rsidR="001279A8" w:rsidRPr="006F7AF8" w14:paraId="077A3EAF" w14:textId="77777777" w:rsidTr="009B4355">
        <w:tc>
          <w:tcPr>
            <w:tcW w:w="4188" w:type="dxa"/>
          </w:tcPr>
          <w:p w14:paraId="265F5C44"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3363672F"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694D8C9B" w14:textId="77777777" w:rsidTr="009B4355">
        <w:tc>
          <w:tcPr>
            <w:tcW w:w="4188" w:type="dxa"/>
          </w:tcPr>
          <w:p w14:paraId="77C3736C"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202FEAC0"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32ECA2C7" w14:textId="77777777" w:rsidTr="009B4355">
        <w:tc>
          <w:tcPr>
            <w:tcW w:w="4188" w:type="dxa"/>
          </w:tcPr>
          <w:p w14:paraId="5F1813BD"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4673" w:type="dxa"/>
          </w:tcPr>
          <w:p w14:paraId="39BA160C"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307354BF" w14:textId="77777777" w:rsidTr="009B4355">
        <w:tc>
          <w:tcPr>
            <w:tcW w:w="4188" w:type="dxa"/>
          </w:tcPr>
          <w:p w14:paraId="3B2D6CA8"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58AE43F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3A4D3E4B" w14:textId="77777777" w:rsidTr="009B4355">
        <w:tc>
          <w:tcPr>
            <w:tcW w:w="4188" w:type="dxa"/>
          </w:tcPr>
          <w:p w14:paraId="5386E553"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791874F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4FD67053" w14:textId="77777777" w:rsidTr="009B4355">
        <w:tc>
          <w:tcPr>
            <w:tcW w:w="4188" w:type="dxa"/>
          </w:tcPr>
          <w:p w14:paraId="405B8D33"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3" w:type="dxa"/>
          </w:tcPr>
          <w:p w14:paraId="1344C216"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69CBA518" w14:textId="77777777" w:rsidR="00B87039" w:rsidRPr="00653BF4" w:rsidRDefault="00B87039" w:rsidP="00B87039">
      <w:pPr>
        <w:pStyle w:val="Caption"/>
        <w:rPr>
          <w:rStyle w:val="normaltextrun"/>
          <w:rFonts w:cs="Segoe UI"/>
          <w:sz w:val="16"/>
          <w:szCs w:val="16"/>
          <w:lang w:val="fr-FR"/>
        </w:rPr>
      </w:pPr>
    </w:p>
    <w:p w14:paraId="4489747E" w14:textId="27CAE05A" w:rsidR="00B87039" w:rsidRPr="00653BF4" w:rsidRDefault="00B87039" w:rsidP="00B87039">
      <w:pPr>
        <w:pStyle w:val="Heading5"/>
        <w:rPr>
          <w:lang w:val="fr-FR"/>
        </w:rPr>
      </w:pPr>
      <w:r w:rsidRPr="00653BF4">
        <w:rPr>
          <w:lang w:val="fr-FR"/>
        </w:rPr>
        <w:t>Auto-évaluation des progrès accomplis</w:t>
      </w:r>
      <w:bookmarkEnd w:id="358"/>
    </w:p>
    <w:p w14:paraId="6846D964" w14:textId="77777777" w:rsidR="00B87039" w:rsidRPr="00653BF4" w:rsidRDefault="00B87039" w:rsidP="00B87039">
      <w:pPr>
        <w:rPr>
          <w:lang w:val="fr-FR"/>
        </w:rPr>
      </w:pPr>
    </w:p>
    <w:p w14:paraId="010EC672" w14:textId="004D8A95" w:rsidR="00B87039" w:rsidRPr="00653BF4" w:rsidRDefault="00B87039" w:rsidP="00B87039">
      <w:pPr>
        <w:keepNext/>
        <w:rPr>
          <w:lang w:val="fr-FR"/>
        </w:rPr>
      </w:pPr>
      <w:bookmarkStart w:id="359" w:name="_Ref231226137"/>
      <w:r w:rsidRPr="00653BF4">
        <w:rPr>
          <w:lang w:val="fr-FR"/>
        </w:rPr>
        <w:t>D’après les auto-évaluations des Parties figurant dans leurs rapports nationaux, un quart seulement (25</w:t>
      </w:r>
      <w:r w:rsidR="002878D7">
        <w:rPr>
          <w:lang w:val="fr-FR"/>
        </w:rPr>
        <w:t> %</w:t>
      </w:r>
      <w:r w:rsidRPr="00653BF4">
        <w:rPr>
          <w:lang w:val="fr-FR"/>
        </w:rPr>
        <w:t>) des cibles nationales qu</w:t>
      </w:r>
      <w:r w:rsidR="00D77549">
        <w:rPr>
          <w:lang w:val="fr-FR"/>
        </w:rPr>
        <w:t>’</w:t>
      </w:r>
      <w:r w:rsidRPr="00653BF4">
        <w:rPr>
          <w:lang w:val="fr-FR"/>
        </w:rPr>
        <w:t xml:space="preserve">elles ont présentées comme étroitement </w:t>
      </w:r>
      <w:r w:rsidRPr="00653BF4">
        <w:rPr>
          <w:lang w:val="fr-FR"/>
        </w:rPr>
        <w:lastRenderedPageBreak/>
        <w:t xml:space="preserve">alignées sur la </w:t>
      </w:r>
      <w:r w:rsidR="00E34DC9">
        <w:rPr>
          <w:lang w:val="fr-FR"/>
        </w:rPr>
        <w:t>cible 1</w:t>
      </w:r>
      <w:r w:rsidRPr="00653BF4">
        <w:rPr>
          <w:lang w:val="fr-FR"/>
        </w:rPr>
        <w:t>8 sont en voie d</w:t>
      </w:r>
      <w:r w:rsidR="00D77549">
        <w:rPr>
          <w:lang w:val="fr-FR"/>
        </w:rPr>
        <w:t>’</w:t>
      </w:r>
      <w:r w:rsidRPr="00653BF4">
        <w:rPr>
          <w:lang w:val="fr-FR"/>
        </w:rPr>
        <w:t>être atteintes, alors que plus du double (62</w:t>
      </w:r>
      <w:r w:rsidR="002878D7">
        <w:rPr>
          <w:lang w:val="fr-FR"/>
        </w:rPr>
        <w:t> %</w:t>
      </w:r>
      <w:r w:rsidRPr="00653BF4">
        <w:rPr>
          <w:lang w:val="fr-FR"/>
        </w:rPr>
        <w:t>) enregistrent des progrès insuffisants et que 7</w:t>
      </w:r>
      <w:r w:rsidR="002878D7">
        <w:rPr>
          <w:lang w:val="fr-FR"/>
        </w:rPr>
        <w:t> %</w:t>
      </w:r>
      <w:r w:rsidRPr="00653BF4">
        <w:rPr>
          <w:lang w:val="fr-FR"/>
        </w:rPr>
        <w:t xml:space="preserve"> supplémentaires n</w:t>
      </w:r>
      <w:r w:rsidR="00D77549">
        <w:rPr>
          <w:lang w:val="fr-FR"/>
        </w:rPr>
        <w:t>’</w:t>
      </w:r>
      <w:r w:rsidRPr="00653BF4">
        <w:rPr>
          <w:lang w:val="fr-FR"/>
        </w:rPr>
        <w:t>enregistrent aucun changement notable. Deux cibles nationales seulement (1</w:t>
      </w:r>
      <w:r w:rsidR="002878D7">
        <w:rPr>
          <w:lang w:val="fr-FR"/>
        </w:rPr>
        <w:t> %</w:t>
      </w:r>
      <w:r w:rsidRPr="00653BF4">
        <w:rPr>
          <w:lang w:val="fr-FR"/>
        </w:rPr>
        <w:t>) ont été déclarées déjà atteintes (voir la figure 76).</w:t>
      </w:r>
      <w:r w:rsidRPr="00653BF4">
        <w:rPr>
          <w:rStyle w:val="eop"/>
          <w:lang w:val="fr-FR"/>
        </w:rPr>
        <w:t xml:space="preserve"> </w:t>
      </w:r>
    </w:p>
    <w:p w14:paraId="2EDFB338" w14:textId="77777777" w:rsidR="00B87039" w:rsidRPr="00653BF4" w:rsidRDefault="00B87039" w:rsidP="00B87039">
      <w:pPr>
        <w:keepNext/>
        <w:rPr>
          <w:sz w:val="20"/>
          <w:szCs w:val="20"/>
          <w:lang w:val="fr-FR"/>
        </w:rPr>
      </w:pPr>
    </w:p>
    <w:p w14:paraId="56EB40D6" w14:textId="77777777" w:rsidR="00B87039" w:rsidRPr="00653BF4" w:rsidRDefault="00B87039" w:rsidP="00B87039">
      <w:pPr>
        <w:keepNext/>
        <w:rPr>
          <w:sz w:val="20"/>
          <w:szCs w:val="20"/>
          <w:lang w:val="fr-FR"/>
        </w:rPr>
      </w:pPr>
      <w:r w:rsidRPr="00653BF4">
        <w:rPr>
          <w:sz w:val="20"/>
          <w:szCs w:val="20"/>
          <w:lang w:val="fr-FR"/>
        </w:rPr>
        <w:t>Figure 76</w:t>
      </w:r>
    </w:p>
    <w:p w14:paraId="1A2340C0" w14:textId="7C6A26C9" w:rsidR="00B87039" w:rsidRPr="00653BF4"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1</w:t>
      </w:r>
      <w:r w:rsidRPr="00653BF4">
        <w:rPr>
          <w:b/>
          <w:bCs/>
          <w:i w:val="0"/>
          <w:iCs w:val="0"/>
          <w:sz w:val="20"/>
          <w:szCs w:val="20"/>
          <w:lang w:val="fr-FR"/>
        </w:rPr>
        <w:t>8 du Cadre</w:t>
      </w:r>
    </w:p>
    <w:p w14:paraId="707C3009" w14:textId="77777777" w:rsidR="00B87039" w:rsidRPr="00653BF4" w:rsidRDefault="00B87039" w:rsidP="00B87039">
      <w:pPr>
        <w:keepNext/>
        <w:rPr>
          <w:lang w:val="fr-FR"/>
        </w:rPr>
      </w:pPr>
      <w:r w:rsidRPr="00653BF4">
        <w:rPr>
          <w:rFonts w:eastAsia="Aptos" w:cs="Aptos"/>
          <w:noProof/>
          <w:lang w:val="fr-FR"/>
        </w:rPr>
        <w:drawing>
          <wp:inline distT="0" distB="0" distL="0" distR="0" wp14:anchorId="31EE515F" wp14:editId="1EB46FA6">
            <wp:extent cx="5731510" cy="2292350"/>
            <wp:effectExtent l="0" t="0" r="0" b="6350"/>
            <wp:docPr id="1723017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017383" name="Picture 1723017383"/>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bookmarkEnd w:id="359"/>
    </w:p>
    <w:p w14:paraId="618B57FB" w14:textId="37292634"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lang w:val="fr-FR"/>
        </w:rPr>
        <w:t xml:space="preserve"> </w:t>
      </w:r>
      <w:r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9463" w:type="dxa"/>
        <w:tblLook w:val="04A0" w:firstRow="1" w:lastRow="0" w:firstColumn="1" w:lastColumn="0" w:noHBand="0" w:noVBand="1"/>
      </w:tblPr>
      <w:tblGrid>
        <w:gridCol w:w="4531"/>
        <w:gridCol w:w="4932"/>
      </w:tblGrid>
      <w:tr w:rsidR="001279A8" w:rsidRPr="009E5403" w14:paraId="2E737537" w14:textId="77777777" w:rsidTr="009B4355">
        <w:tc>
          <w:tcPr>
            <w:tcW w:w="9463" w:type="dxa"/>
            <w:gridSpan w:val="2"/>
          </w:tcPr>
          <w:p w14:paraId="2528EF5C" w14:textId="77777777" w:rsidR="001279A8" w:rsidRPr="009E5403" w:rsidRDefault="001279A8" w:rsidP="009B4355">
            <w:pPr>
              <w:rPr>
                <w:rFonts w:ascii="Aptos" w:hAnsi="Aptos"/>
                <w:lang w:val="fr-FR"/>
              </w:rPr>
            </w:pPr>
            <w:r w:rsidRPr="009E5403">
              <w:rPr>
                <w:rFonts w:ascii="Aptos" w:hAnsi="Aptos"/>
                <w:lang w:val="fr-FR"/>
              </w:rPr>
              <w:t>Figure 76</w:t>
            </w:r>
          </w:p>
        </w:tc>
      </w:tr>
      <w:tr w:rsidR="001279A8" w:rsidRPr="009E5403" w14:paraId="0117FE4A" w14:textId="77777777" w:rsidTr="009B4355">
        <w:trPr>
          <w:trHeight w:val="300"/>
        </w:trPr>
        <w:tc>
          <w:tcPr>
            <w:tcW w:w="4531" w:type="dxa"/>
          </w:tcPr>
          <w:p w14:paraId="1E648753" w14:textId="77777777" w:rsidR="001279A8" w:rsidRPr="009E5403" w:rsidRDefault="001279A8" w:rsidP="009B4355">
            <w:pPr>
              <w:rPr>
                <w:rFonts w:ascii="Aptos" w:hAnsi="Aptos"/>
                <w:lang w:val="fr-FR"/>
              </w:rPr>
            </w:pPr>
            <w:r w:rsidRPr="009E5403">
              <w:rPr>
                <w:rFonts w:ascii="Aptos" w:hAnsi="Aptos"/>
                <w:lang w:val="fr-FR"/>
              </w:rPr>
              <w:t xml:space="preserve">English </w:t>
            </w:r>
          </w:p>
        </w:tc>
        <w:tc>
          <w:tcPr>
            <w:tcW w:w="4932" w:type="dxa"/>
          </w:tcPr>
          <w:p w14:paraId="11A85029" w14:textId="77777777" w:rsidR="001279A8" w:rsidRPr="009E5403" w:rsidRDefault="001279A8" w:rsidP="009B4355">
            <w:pPr>
              <w:rPr>
                <w:rFonts w:ascii="Aptos" w:hAnsi="Aptos"/>
                <w:lang w:val="fr-FR"/>
              </w:rPr>
            </w:pPr>
            <w:r>
              <w:rPr>
                <w:rFonts w:ascii="Aptos" w:hAnsi="Aptos"/>
                <w:lang w:val="fr-FR"/>
              </w:rPr>
              <w:t>Français</w:t>
            </w:r>
          </w:p>
        </w:tc>
      </w:tr>
      <w:tr w:rsidR="001279A8" w:rsidRPr="006F7AF8" w14:paraId="082DAC45" w14:textId="77777777" w:rsidTr="009B4355">
        <w:trPr>
          <w:trHeight w:val="300"/>
        </w:trPr>
        <w:tc>
          <w:tcPr>
            <w:tcW w:w="4531" w:type="dxa"/>
          </w:tcPr>
          <w:p w14:paraId="1083205C" w14:textId="77777777" w:rsidR="001279A8" w:rsidRPr="006F7AF8" w:rsidRDefault="001279A8" w:rsidP="009B4355">
            <w:pPr>
              <w:rPr>
                <w:rFonts w:ascii="Aptos" w:hAnsi="Aptos"/>
                <w:lang w:val="fr-FR"/>
              </w:rPr>
            </w:pPr>
            <w:r w:rsidRPr="006F7AF8">
              <w:rPr>
                <w:rFonts w:ascii="Aptos" w:hAnsi="Aptos"/>
                <w:lang w:val="fr-FR"/>
              </w:rPr>
              <w:t>Percentage of national targets</w:t>
            </w:r>
          </w:p>
        </w:tc>
        <w:tc>
          <w:tcPr>
            <w:tcW w:w="4932" w:type="dxa"/>
          </w:tcPr>
          <w:p w14:paraId="117D1F7D" w14:textId="77777777" w:rsidR="001279A8" w:rsidRPr="006F7AF8" w:rsidRDefault="001279A8" w:rsidP="009B4355">
            <w:pPr>
              <w:rPr>
                <w:rFonts w:ascii="Aptos" w:hAnsi="Aptos"/>
                <w:lang w:val="fr-FR"/>
              </w:rPr>
            </w:pPr>
            <w:r>
              <w:t>Pourcentage de cibles nationales</w:t>
            </w:r>
          </w:p>
        </w:tc>
      </w:tr>
      <w:tr w:rsidR="001279A8" w:rsidRPr="006F7AF8" w14:paraId="7CC88DD3" w14:textId="77777777" w:rsidTr="009B4355">
        <w:trPr>
          <w:trHeight w:val="300"/>
        </w:trPr>
        <w:tc>
          <w:tcPr>
            <w:tcW w:w="4531" w:type="dxa"/>
          </w:tcPr>
          <w:p w14:paraId="5B368CD6" w14:textId="77777777" w:rsidR="001279A8" w:rsidRPr="006F7AF8" w:rsidRDefault="001279A8" w:rsidP="009B4355">
            <w:pPr>
              <w:rPr>
                <w:rFonts w:ascii="Aptos" w:hAnsi="Aptos"/>
                <w:lang w:val="fr-FR"/>
              </w:rPr>
            </w:pPr>
            <w:r w:rsidRPr="006F7AF8">
              <w:rPr>
                <w:rFonts w:ascii="Aptos" w:hAnsi="Aptos"/>
                <w:lang w:val="fr-FR"/>
              </w:rPr>
              <w:t>Progress level</w:t>
            </w:r>
          </w:p>
        </w:tc>
        <w:tc>
          <w:tcPr>
            <w:tcW w:w="4932" w:type="dxa"/>
          </w:tcPr>
          <w:p w14:paraId="56C5C94E" w14:textId="77777777" w:rsidR="001279A8" w:rsidRPr="006F7AF8" w:rsidRDefault="001279A8" w:rsidP="009B4355">
            <w:pPr>
              <w:rPr>
                <w:rFonts w:ascii="Aptos" w:hAnsi="Aptos"/>
                <w:lang w:val="fr-FR"/>
              </w:rPr>
            </w:pPr>
            <w:r>
              <w:t>État d’avancement</w:t>
            </w:r>
          </w:p>
        </w:tc>
      </w:tr>
      <w:tr w:rsidR="001279A8" w:rsidRPr="006F7AF8" w14:paraId="58AC8BD4" w14:textId="77777777" w:rsidTr="009B4355">
        <w:trPr>
          <w:trHeight w:val="300"/>
        </w:trPr>
        <w:tc>
          <w:tcPr>
            <w:tcW w:w="4531" w:type="dxa"/>
          </w:tcPr>
          <w:p w14:paraId="34F5C559" w14:textId="77777777" w:rsidR="001279A8" w:rsidRPr="006F7AF8" w:rsidRDefault="001279A8" w:rsidP="009B4355">
            <w:pPr>
              <w:rPr>
                <w:rFonts w:ascii="Aptos" w:hAnsi="Aptos"/>
                <w:lang w:val="fr-FR"/>
              </w:rPr>
            </w:pPr>
            <w:r w:rsidRPr="006F7AF8">
              <w:rPr>
                <w:rFonts w:ascii="Aptos" w:hAnsi="Aptos"/>
                <w:lang w:val="fr-FR"/>
              </w:rPr>
              <w:t>Achieved</w:t>
            </w:r>
          </w:p>
        </w:tc>
        <w:tc>
          <w:tcPr>
            <w:tcW w:w="4932" w:type="dxa"/>
          </w:tcPr>
          <w:p w14:paraId="53A0BE2C" w14:textId="77777777" w:rsidR="001279A8" w:rsidRPr="006F7AF8" w:rsidRDefault="001279A8" w:rsidP="009B4355">
            <w:pPr>
              <w:rPr>
                <w:rFonts w:ascii="Aptos" w:hAnsi="Aptos"/>
                <w:lang w:val="fr-FR"/>
              </w:rPr>
            </w:pPr>
            <w:r w:rsidRPr="006F7AF8">
              <w:rPr>
                <w:rFonts w:ascii="Aptos" w:hAnsi="Aptos"/>
                <w:lang w:val="fr-FR"/>
              </w:rPr>
              <w:t>Cible atteinte</w:t>
            </w:r>
          </w:p>
        </w:tc>
      </w:tr>
      <w:tr w:rsidR="001279A8" w:rsidRPr="006F7AF8" w14:paraId="66A910DC" w14:textId="77777777" w:rsidTr="009B4355">
        <w:trPr>
          <w:trHeight w:val="300"/>
        </w:trPr>
        <w:tc>
          <w:tcPr>
            <w:tcW w:w="4531" w:type="dxa"/>
          </w:tcPr>
          <w:p w14:paraId="6E7D28CB" w14:textId="77777777" w:rsidR="001279A8" w:rsidRPr="006F7AF8" w:rsidRDefault="001279A8" w:rsidP="009B4355">
            <w:pPr>
              <w:rPr>
                <w:rFonts w:ascii="Aptos" w:hAnsi="Aptos"/>
                <w:lang w:val="fr-FR"/>
              </w:rPr>
            </w:pPr>
            <w:r w:rsidRPr="006F7AF8">
              <w:rPr>
                <w:rFonts w:ascii="Aptos" w:hAnsi="Aptos"/>
                <w:lang w:val="fr-FR"/>
              </w:rPr>
              <w:t>On track to achieve target</w:t>
            </w:r>
          </w:p>
        </w:tc>
        <w:tc>
          <w:tcPr>
            <w:tcW w:w="4932" w:type="dxa"/>
          </w:tcPr>
          <w:p w14:paraId="5292D959" w14:textId="77777777" w:rsidR="001279A8" w:rsidRPr="006F7AF8" w:rsidRDefault="001279A8" w:rsidP="009B4355">
            <w:pPr>
              <w:rPr>
                <w:rFonts w:ascii="Aptos" w:hAnsi="Aptos"/>
                <w:lang w:val="fr-FR"/>
              </w:rPr>
            </w:pPr>
            <w:r w:rsidRPr="006F7AF8">
              <w:rPr>
                <w:rFonts w:ascii="Aptos" w:hAnsi="Aptos"/>
                <w:lang w:val="fr-FR"/>
              </w:rPr>
              <w:t>En voie d</w:t>
            </w:r>
            <w:r>
              <w:rPr>
                <w:rFonts w:ascii="Aptos" w:hAnsi="Aptos"/>
                <w:lang w:val="fr-FR"/>
              </w:rPr>
              <w:t>’</w:t>
            </w:r>
            <w:r w:rsidRPr="006F7AF8">
              <w:rPr>
                <w:rFonts w:ascii="Aptos" w:hAnsi="Aptos"/>
                <w:lang w:val="fr-FR"/>
              </w:rPr>
              <w:t>atteindre la cible</w:t>
            </w:r>
          </w:p>
        </w:tc>
      </w:tr>
      <w:tr w:rsidR="001279A8" w:rsidRPr="006F7AF8" w14:paraId="3949952B" w14:textId="77777777" w:rsidTr="009B4355">
        <w:trPr>
          <w:trHeight w:val="300"/>
        </w:trPr>
        <w:tc>
          <w:tcPr>
            <w:tcW w:w="4531" w:type="dxa"/>
          </w:tcPr>
          <w:p w14:paraId="7EF8A67A" w14:textId="77777777" w:rsidR="001279A8" w:rsidRPr="006F7AF8" w:rsidRDefault="001279A8" w:rsidP="009B4355">
            <w:pPr>
              <w:rPr>
                <w:rFonts w:ascii="Aptos" w:hAnsi="Aptos"/>
                <w:lang w:val="fr-FR"/>
              </w:rPr>
            </w:pPr>
            <w:r w:rsidRPr="006F7AF8">
              <w:rPr>
                <w:rFonts w:ascii="Aptos" w:hAnsi="Aptos"/>
                <w:lang w:val="fr-FR"/>
              </w:rPr>
              <w:t>Progress towards target but at an insufficient rate</w:t>
            </w:r>
          </w:p>
        </w:tc>
        <w:tc>
          <w:tcPr>
            <w:tcW w:w="4932" w:type="dxa"/>
          </w:tcPr>
          <w:p w14:paraId="24179F5E" w14:textId="77777777" w:rsidR="001279A8" w:rsidRPr="006F7AF8" w:rsidRDefault="001279A8" w:rsidP="009B4355">
            <w:pPr>
              <w:rPr>
                <w:rFonts w:ascii="Aptos" w:hAnsi="Aptos"/>
                <w:lang w:val="fr-FR"/>
              </w:rPr>
            </w:pPr>
            <w:r w:rsidRPr="006F7AF8">
              <w:rPr>
                <w:rFonts w:ascii="Aptos" w:hAnsi="Aptos"/>
                <w:lang w:val="fr-FR"/>
              </w:rPr>
              <w:t>Progrès accomplis, mais à un rythme insuffisant</w:t>
            </w:r>
          </w:p>
        </w:tc>
      </w:tr>
      <w:tr w:rsidR="001279A8" w:rsidRPr="006F7AF8" w14:paraId="4A55B1D7" w14:textId="77777777" w:rsidTr="009B4355">
        <w:trPr>
          <w:trHeight w:val="300"/>
        </w:trPr>
        <w:tc>
          <w:tcPr>
            <w:tcW w:w="4531" w:type="dxa"/>
          </w:tcPr>
          <w:p w14:paraId="56EC590D" w14:textId="77777777" w:rsidR="001279A8" w:rsidRPr="006F7AF8" w:rsidRDefault="001279A8" w:rsidP="009B4355">
            <w:pPr>
              <w:rPr>
                <w:rFonts w:ascii="Aptos" w:hAnsi="Aptos"/>
                <w:lang w:val="fr-FR"/>
              </w:rPr>
            </w:pPr>
            <w:r w:rsidRPr="006F7AF8">
              <w:rPr>
                <w:rFonts w:ascii="Aptos" w:hAnsi="Aptos"/>
                <w:lang w:val="fr-FR"/>
              </w:rPr>
              <w:t>No significant change</w:t>
            </w:r>
          </w:p>
        </w:tc>
        <w:tc>
          <w:tcPr>
            <w:tcW w:w="4932" w:type="dxa"/>
          </w:tcPr>
          <w:p w14:paraId="44213E09" w14:textId="77777777" w:rsidR="001279A8" w:rsidRPr="006F7AF8" w:rsidRDefault="001279A8" w:rsidP="009B4355">
            <w:pPr>
              <w:rPr>
                <w:rFonts w:ascii="Aptos" w:hAnsi="Aptos"/>
                <w:lang w:val="fr-FR"/>
              </w:rPr>
            </w:pPr>
            <w:r w:rsidRPr="006F7AF8">
              <w:rPr>
                <w:rFonts w:ascii="Aptos" w:hAnsi="Aptos"/>
                <w:lang w:val="fr-FR"/>
              </w:rPr>
              <w:t>Pas de changement notable</w:t>
            </w:r>
          </w:p>
        </w:tc>
      </w:tr>
      <w:tr w:rsidR="001279A8" w:rsidRPr="006F7AF8" w14:paraId="64A1557A" w14:textId="77777777" w:rsidTr="009B4355">
        <w:trPr>
          <w:trHeight w:val="300"/>
        </w:trPr>
        <w:tc>
          <w:tcPr>
            <w:tcW w:w="4531" w:type="dxa"/>
          </w:tcPr>
          <w:p w14:paraId="54946563" w14:textId="77777777" w:rsidR="001279A8" w:rsidRPr="006F7AF8" w:rsidRDefault="001279A8" w:rsidP="009B4355">
            <w:pPr>
              <w:rPr>
                <w:rFonts w:ascii="Aptos" w:hAnsi="Aptos"/>
                <w:lang w:val="fr-FR"/>
              </w:rPr>
            </w:pPr>
            <w:r w:rsidRPr="006F7AF8">
              <w:rPr>
                <w:rFonts w:ascii="Aptos" w:hAnsi="Aptos"/>
                <w:lang w:val="fr-FR"/>
              </w:rPr>
              <w:t>Unknown</w:t>
            </w:r>
          </w:p>
        </w:tc>
        <w:tc>
          <w:tcPr>
            <w:tcW w:w="4932" w:type="dxa"/>
          </w:tcPr>
          <w:p w14:paraId="5C027076" w14:textId="77777777" w:rsidR="001279A8" w:rsidRPr="006F7AF8" w:rsidRDefault="001279A8" w:rsidP="009B4355">
            <w:pPr>
              <w:rPr>
                <w:rFonts w:ascii="Aptos" w:hAnsi="Aptos"/>
                <w:lang w:val="fr-FR"/>
              </w:rPr>
            </w:pPr>
            <w:r w:rsidRPr="006F7AF8">
              <w:rPr>
                <w:rFonts w:ascii="Aptos" w:hAnsi="Aptos"/>
                <w:lang w:val="fr-FR"/>
              </w:rPr>
              <w:t>Inconnu</w:t>
            </w:r>
          </w:p>
        </w:tc>
      </w:tr>
      <w:tr w:rsidR="001279A8" w:rsidRPr="006F7AF8" w14:paraId="6D480CFF" w14:textId="77777777" w:rsidTr="009B4355">
        <w:trPr>
          <w:trHeight w:val="300"/>
        </w:trPr>
        <w:tc>
          <w:tcPr>
            <w:tcW w:w="4531" w:type="dxa"/>
          </w:tcPr>
          <w:p w14:paraId="1C5917C4" w14:textId="77777777" w:rsidR="001279A8" w:rsidRPr="006F7AF8" w:rsidRDefault="001279A8" w:rsidP="009B4355">
            <w:pPr>
              <w:rPr>
                <w:rFonts w:ascii="Aptos" w:hAnsi="Aptos"/>
                <w:lang w:val="fr-FR"/>
              </w:rPr>
            </w:pPr>
            <w:r w:rsidRPr="006F7AF8">
              <w:rPr>
                <w:rFonts w:ascii="Aptos" w:hAnsi="Aptos"/>
                <w:lang w:val="fr-FR"/>
              </w:rPr>
              <w:t>Party count: 81</w:t>
            </w:r>
          </w:p>
        </w:tc>
        <w:tc>
          <w:tcPr>
            <w:tcW w:w="4932" w:type="dxa"/>
          </w:tcPr>
          <w:p w14:paraId="20F18A01" w14:textId="77777777" w:rsidR="001279A8" w:rsidRPr="006F7AF8" w:rsidRDefault="001279A8" w:rsidP="009B4355">
            <w:pPr>
              <w:rPr>
                <w:rFonts w:ascii="Aptos" w:hAnsi="Aptos"/>
                <w:lang w:val="fr-FR"/>
              </w:rPr>
            </w:pPr>
            <w:r w:rsidRPr="006F7AF8">
              <w:rPr>
                <w:rFonts w:ascii="Aptos" w:hAnsi="Aptos"/>
                <w:lang w:val="fr-FR"/>
              </w:rPr>
              <w:t>Nombre de Parties : 81</w:t>
            </w:r>
          </w:p>
        </w:tc>
      </w:tr>
      <w:tr w:rsidR="001279A8" w:rsidRPr="006F7AF8" w14:paraId="4ED0BD1B" w14:textId="77777777" w:rsidTr="009B4355">
        <w:trPr>
          <w:trHeight w:val="300"/>
        </w:trPr>
        <w:tc>
          <w:tcPr>
            <w:tcW w:w="4531" w:type="dxa"/>
          </w:tcPr>
          <w:p w14:paraId="00277B2A" w14:textId="77777777" w:rsidR="001279A8" w:rsidRPr="006F7AF8" w:rsidRDefault="001279A8" w:rsidP="009B4355">
            <w:pPr>
              <w:rPr>
                <w:rFonts w:ascii="Aptos" w:hAnsi="Aptos"/>
                <w:lang w:val="fr-FR"/>
              </w:rPr>
            </w:pPr>
            <w:r w:rsidRPr="006F7AF8">
              <w:rPr>
                <w:rFonts w:ascii="Aptos" w:hAnsi="Aptos"/>
                <w:lang w:val="fr-FR"/>
              </w:rPr>
              <w:t>Region</w:t>
            </w:r>
          </w:p>
        </w:tc>
        <w:tc>
          <w:tcPr>
            <w:tcW w:w="4932" w:type="dxa"/>
          </w:tcPr>
          <w:p w14:paraId="05ACBCB9"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3F808414" w14:textId="77777777" w:rsidTr="009B4355">
        <w:trPr>
          <w:trHeight w:val="300"/>
        </w:trPr>
        <w:tc>
          <w:tcPr>
            <w:tcW w:w="4531" w:type="dxa"/>
          </w:tcPr>
          <w:p w14:paraId="38F389FD" w14:textId="77777777" w:rsidR="001279A8" w:rsidRPr="006F7AF8" w:rsidRDefault="001279A8" w:rsidP="009B4355">
            <w:pPr>
              <w:rPr>
                <w:rFonts w:ascii="Aptos" w:hAnsi="Aptos"/>
                <w:lang w:val="fr-FR"/>
              </w:rPr>
            </w:pPr>
            <w:r w:rsidRPr="006F7AF8">
              <w:rPr>
                <w:rFonts w:ascii="Aptos" w:hAnsi="Aptos"/>
                <w:lang w:val="fr-FR"/>
              </w:rPr>
              <w:t>African States</w:t>
            </w:r>
          </w:p>
        </w:tc>
        <w:tc>
          <w:tcPr>
            <w:tcW w:w="4932" w:type="dxa"/>
          </w:tcPr>
          <w:p w14:paraId="7201860D"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3788BDF2" w14:textId="77777777" w:rsidTr="009B4355">
        <w:trPr>
          <w:trHeight w:val="300"/>
        </w:trPr>
        <w:tc>
          <w:tcPr>
            <w:tcW w:w="4531" w:type="dxa"/>
          </w:tcPr>
          <w:p w14:paraId="4057C7B6" w14:textId="77777777" w:rsidR="001279A8" w:rsidRPr="006F7AF8" w:rsidRDefault="001279A8" w:rsidP="009B4355">
            <w:pPr>
              <w:rPr>
                <w:rFonts w:ascii="Aptos" w:hAnsi="Aptos"/>
                <w:lang w:val="fr-FR"/>
              </w:rPr>
            </w:pPr>
            <w:r w:rsidRPr="006F7AF8">
              <w:rPr>
                <w:rFonts w:ascii="Aptos" w:hAnsi="Aptos"/>
                <w:lang w:val="fr-FR"/>
              </w:rPr>
              <w:lastRenderedPageBreak/>
              <w:t>Asia-Pacific States</w:t>
            </w:r>
          </w:p>
        </w:tc>
        <w:tc>
          <w:tcPr>
            <w:tcW w:w="4932" w:type="dxa"/>
          </w:tcPr>
          <w:p w14:paraId="02955FCC"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534E5208" w14:textId="77777777" w:rsidTr="009B4355">
        <w:trPr>
          <w:trHeight w:val="300"/>
        </w:trPr>
        <w:tc>
          <w:tcPr>
            <w:tcW w:w="4531" w:type="dxa"/>
          </w:tcPr>
          <w:p w14:paraId="13EBC689"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932" w:type="dxa"/>
          </w:tcPr>
          <w:p w14:paraId="572C232D"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26762F52" w14:textId="77777777" w:rsidTr="009B4355">
        <w:trPr>
          <w:trHeight w:val="300"/>
        </w:trPr>
        <w:tc>
          <w:tcPr>
            <w:tcW w:w="4531" w:type="dxa"/>
          </w:tcPr>
          <w:p w14:paraId="7EADF131"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932" w:type="dxa"/>
          </w:tcPr>
          <w:p w14:paraId="720AE167"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096703E6" w14:textId="77777777" w:rsidTr="009B4355">
        <w:trPr>
          <w:trHeight w:val="300"/>
        </w:trPr>
        <w:tc>
          <w:tcPr>
            <w:tcW w:w="4531" w:type="dxa"/>
          </w:tcPr>
          <w:p w14:paraId="1F021CDB"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932" w:type="dxa"/>
          </w:tcPr>
          <w:p w14:paraId="2F19BCA6"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39BB2355" w14:textId="77777777" w:rsidR="00B87039" w:rsidRPr="00653BF4" w:rsidRDefault="00B87039" w:rsidP="00B87039">
      <w:pPr>
        <w:pStyle w:val="paragraph"/>
        <w:spacing w:before="0" w:beforeAutospacing="0" w:after="0" w:afterAutospacing="0"/>
        <w:textAlignment w:val="baseline"/>
        <w:rPr>
          <w:rStyle w:val="normaltextrun"/>
          <w:rFonts w:cs="Segoe UI"/>
          <w:lang w:val="fr-FR"/>
        </w:rPr>
      </w:pPr>
    </w:p>
    <w:p w14:paraId="5B4743FA" w14:textId="77777777" w:rsidR="00B87039" w:rsidRPr="00653BF4" w:rsidRDefault="00B87039" w:rsidP="00B87039">
      <w:pPr>
        <w:pStyle w:val="Heading5"/>
        <w:rPr>
          <w:lang w:val="fr-FR"/>
        </w:rPr>
      </w:pPr>
      <w:r w:rsidRPr="00653BF4">
        <w:rPr>
          <w:lang w:val="fr-FR"/>
        </w:rPr>
        <w:t>Actions, réussites et défis liés à la mise en œuvre</w:t>
      </w:r>
    </w:p>
    <w:p w14:paraId="5807AE54" w14:textId="77777777" w:rsidR="00B87039" w:rsidRPr="00653BF4" w:rsidRDefault="00B87039" w:rsidP="00B87039">
      <w:pPr>
        <w:rPr>
          <w:lang w:val="fr-FR"/>
        </w:rPr>
      </w:pPr>
    </w:p>
    <w:p w14:paraId="39B7A48F" w14:textId="2306DEBB" w:rsidR="00B87039" w:rsidRPr="00653BF4" w:rsidRDefault="00B87039" w:rsidP="00B87039">
      <w:pPr>
        <w:pStyle w:val="Heading6"/>
        <w:rPr>
          <w:lang w:val="fr-FR"/>
        </w:rPr>
      </w:pPr>
      <w:bookmarkStart w:id="360" w:name="_Toc235821272"/>
      <w:r w:rsidRPr="00653BF4">
        <w:rPr>
          <w:lang w:val="fr-FR"/>
        </w:rPr>
        <w:t>Résumé des actions menées à l</w:t>
      </w:r>
      <w:r w:rsidR="00D77549">
        <w:rPr>
          <w:lang w:val="fr-FR"/>
        </w:rPr>
        <w:t>’</w:t>
      </w:r>
      <w:r w:rsidRPr="00653BF4">
        <w:rPr>
          <w:lang w:val="fr-FR"/>
        </w:rPr>
        <w:t xml:space="preserve">appui de la </w:t>
      </w:r>
      <w:r w:rsidR="00E34DC9">
        <w:rPr>
          <w:lang w:val="fr-FR"/>
        </w:rPr>
        <w:t>cible 1</w:t>
      </w:r>
      <w:r w:rsidRPr="00653BF4">
        <w:rPr>
          <w:lang w:val="fr-FR"/>
        </w:rPr>
        <w:t>8</w:t>
      </w:r>
      <w:bookmarkEnd w:id="360"/>
      <w:r w:rsidRPr="00653BF4">
        <w:rPr>
          <w:lang w:val="fr-FR"/>
        </w:rPr>
        <w:t xml:space="preserve"> du Cadre</w:t>
      </w:r>
    </w:p>
    <w:p w14:paraId="5530C5D5" w14:textId="77777777" w:rsidR="00B87039" w:rsidRPr="00653BF4" w:rsidRDefault="00B87039" w:rsidP="00B87039">
      <w:pPr>
        <w:rPr>
          <w:lang w:val="fr-FR"/>
        </w:rPr>
      </w:pPr>
    </w:p>
    <w:p w14:paraId="4B226BF2" w14:textId="20DFA04B" w:rsidR="00B87039" w:rsidRPr="00653BF4" w:rsidRDefault="00B87039" w:rsidP="00B87039">
      <w:pPr>
        <w:rPr>
          <w:lang w:val="fr-FR"/>
        </w:rPr>
      </w:pPr>
      <w:r w:rsidRPr="00653BF4">
        <w:rPr>
          <w:lang w:val="fr-FR"/>
        </w:rPr>
        <w:t>La grande majorité des Parties font état de mesures visant à recenser et à évaluer les incitations, y compris les subventions, préjudiciables à la biodiversité, ce qui correspond à l</w:t>
      </w:r>
      <w:r w:rsidR="00D77549">
        <w:rPr>
          <w:lang w:val="fr-FR"/>
        </w:rPr>
        <w:t>’</w:t>
      </w:r>
      <w:r w:rsidRPr="00653BF4">
        <w:rPr>
          <w:lang w:val="fr-FR"/>
        </w:rPr>
        <w:t xml:space="preserve">élément de la </w:t>
      </w:r>
      <w:r w:rsidR="00E34DC9">
        <w:rPr>
          <w:lang w:val="fr-FR"/>
        </w:rPr>
        <w:t>cible 1</w:t>
      </w:r>
      <w:r w:rsidRPr="00653BF4">
        <w:rPr>
          <w:lang w:val="fr-FR"/>
        </w:rPr>
        <w:t>8 dont l</w:t>
      </w:r>
      <w:r w:rsidR="00D77549">
        <w:rPr>
          <w:lang w:val="fr-FR"/>
        </w:rPr>
        <w:t>’</w:t>
      </w:r>
      <w:r w:rsidRPr="00653BF4">
        <w:rPr>
          <w:lang w:val="fr-FR"/>
        </w:rPr>
        <w:t>échéance est fixée à 2025. Ces mesures comprennent notamment la réalisation d</w:t>
      </w:r>
      <w:r w:rsidR="00D77549">
        <w:rPr>
          <w:lang w:val="fr-FR"/>
        </w:rPr>
        <w:t>’</w:t>
      </w:r>
      <w:r w:rsidRPr="00653BF4">
        <w:rPr>
          <w:lang w:val="fr-FR"/>
        </w:rPr>
        <w:t>inventaires des subventions, la commande d</w:t>
      </w:r>
      <w:r w:rsidR="00D77549">
        <w:rPr>
          <w:lang w:val="fr-FR"/>
        </w:rPr>
        <w:t>’</w:t>
      </w:r>
      <w:r w:rsidRPr="00653BF4">
        <w:rPr>
          <w:lang w:val="fr-FR"/>
        </w:rPr>
        <w:t>études et l</w:t>
      </w:r>
      <w:r w:rsidR="00D77549">
        <w:rPr>
          <w:lang w:val="fr-FR"/>
        </w:rPr>
        <w:t>’</w:t>
      </w:r>
      <w:r w:rsidRPr="00653BF4">
        <w:rPr>
          <w:lang w:val="fr-FR"/>
        </w:rPr>
        <w:t>élaboration de cadres de classification. Un groupe beaucoup plus restreint de Parties rend compte des mesures concrètes prises pour réformer et supprimer ces incitations d</w:t>
      </w:r>
      <w:r w:rsidR="00D77549">
        <w:rPr>
          <w:lang w:val="fr-FR"/>
        </w:rPr>
        <w:t>’</w:t>
      </w:r>
      <w:r w:rsidRPr="00653BF4">
        <w:rPr>
          <w:lang w:val="fr-FR"/>
        </w:rPr>
        <w:t xml:space="preserve">ici à 2030, ce qui constitue une exigence essentielle de la </w:t>
      </w:r>
      <w:r w:rsidR="00E34DC9">
        <w:rPr>
          <w:lang w:val="fr-FR"/>
        </w:rPr>
        <w:t>cible 1</w:t>
      </w:r>
      <w:r w:rsidRPr="00653BF4">
        <w:rPr>
          <w:lang w:val="fr-FR"/>
        </w:rPr>
        <w:t>8 (voir l</w:t>
      </w:r>
      <w:r w:rsidR="00D77549">
        <w:rPr>
          <w:lang w:val="fr-FR"/>
        </w:rPr>
        <w:t>’</w:t>
      </w:r>
      <w:r w:rsidRPr="00653BF4">
        <w:rPr>
          <w:lang w:val="fr-FR"/>
        </w:rPr>
        <w:t>encadré 44). Quelques Parties abordent la question de la réduction ou de la suppression progressive des subventions aux combustibles fossiles, considérées comme une incitation préjudiciable à la biodiversité (voir l</w:t>
      </w:r>
      <w:r w:rsidR="00D77549">
        <w:rPr>
          <w:lang w:val="fr-FR"/>
        </w:rPr>
        <w:t>’</w:t>
      </w:r>
      <w:r w:rsidRPr="00653BF4">
        <w:rPr>
          <w:lang w:val="fr-FR"/>
        </w:rPr>
        <w:t>encadré 43). D</w:t>
      </w:r>
      <w:r w:rsidR="00D77549">
        <w:rPr>
          <w:lang w:val="fr-FR"/>
        </w:rPr>
        <w:t>’</w:t>
      </w:r>
      <w:r w:rsidRPr="00653BF4">
        <w:rPr>
          <w:lang w:val="fr-FR"/>
        </w:rPr>
        <w:t>autres évoquent la ratification de l</w:t>
      </w:r>
      <w:r w:rsidR="00D77549">
        <w:rPr>
          <w:lang w:val="fr-FR"/>
        </w:rPr>
        <w:t>’</w:t>
      </w:r>
      <w:r w:rsidRPr="00653BF4">
        <w:rPr>
          <w:lang w:val="fr-FR"/>
        </w:rPr>
        <w:t>Accord de l</w:t>
      </w:r>
      <w:r w:rsidR="00D77549">
        <w:rPr>
          <w:lang w:val="fr-FR"/>
        </w:rPr>
        <w:t>’</w:t>
      </w:r>
      <w:r w:rsidRPr="00653BF4">
        <w:rPr>
          <w:lang w:val="fr-FR"/>
        </w:rPr>
        <w:t>Organisation mondiale du commerce sur les subventions à la pêche (OMC, 2022), qui est entré en vigueur en septembre 2025</w:t>
      </w:r>
      <w:r w:rsidRPr="00653BF4">
        <w:rPr>
          <w:rStyle w:val="FootnoteReference"/>
          <w:lang w:val="fr-FR"/>
        </w:rPr>
        <w:footnoteReference w:id="37"/>
      </w:r>
      <w:r w:rsidRPr="00653BF4">
        <w:rPr>
          <w:lang w:val="fr-FR"/>
        </w:rPr>
        <w:t xml:space="preserve">. </w:t>
      </w:r>
      <w:bookmarkStart w:id="361" w:name="_Toc235821273"/>
      <w:r w:rsidRPr="00653BF4">
        <w:rPr>
          <w:lang w:val="fr-FR"/>
        </w:rPr>
        <w:t>Les mesures visant à renforcer les incitations positives en faveur de la conservation et de l</w:t>
      </w:r>
      <w:r w:rsidR="00D77549">
        <w:rPr>
          <w:lang w:val="fr-FR"/>
        </w:rPr>
        <w:t>’</w:t>
      </w:r>
      <w:r w:rsidRPr="00653BF4">
        <w:rPr>
          <w:lang w:val="fr-FR"/>
        </w:rPr>
        <w:t xml:space="preserve">utilisation durable de la biodiversité sont plus fréquemment mentionnées dans toutes les régions et parmi les Parties, quel que soit leur niveau de revenu, que celles visant à réduire les incitations préjudiciables. Parmi les incitations positives figurent les paiements pour les services écosystémiques, les mécanismes de financement de la conservation et la réorientation des aides agricoles vers des pratiques respectueuses de la biodiversité. Au moins 25 Parties citent BIOFIN comme outil propre à fournir un soutien analytique, méthodologique ou institutionnel à la mise en œuvre de la </w:t>
      </w:r>
      <w:r w:rsidR="00E34DC9">
        <w:rPr>
          <w:lang w:val="fr-FR"/>
        </w:rPr>
        <w:t>cible 1</w:t>
      </w:r>
      <w:r w:rsidRPr="00653BF4">
        <w:rPr>
          <w:lang w:val="fr-FR"/>
        </w:rPr>
        <w:t xml:space="preserve">8. </w:t>
      </w:r>
    </w:p>
    <w:p w14:paraId="02940E84" w14:textId="77777777" w:rsidR="00B87039" w:rsidRPr="00653BF4" w:rsidRDefault="00B87039" w:rsidP="00B87039">
      <w:pPr>
        <w:rPr>
          <w:lang w:val="fr-FR"/>
        </w:rPr>
      </w:pPr>
    </w:p>
    <w:p w14:paraId="04FD8B24" w14:textId="76CADD1B" w:rsidR="00B87039" w:rsidRPr="00653BF4" w:rsidRDefault="00B87039" w:rsidP="00B87039">
      <w:pPr>
        <w:pStyle w:val="Heading6"/>
        <w:rPr>
          <w:lang w:val="fr-FR"/>
        </w:rPr>
      </w:pPr>
      <w:r w:rsidRPr="00653BF4">
        <w:rPr>
          <w:lang w:val="fr-FR"/>
        </w:rPr>
        <w:t>Exemples de réussites et de progrès réalisés dans la mise en œuvre</w:t>
      </w:r>
      <w:bookmarkEnd w:id="361"/>
    </w:p>
    <w:p w14:paraId="0DCF8580"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16"/>
      </w:tblGrid>
      <w:tr w:rsidR="00B87039" w:rsidRPr="00543148" w14:paraId="1D3092EA" w14:textId="77777777" w:rsidTr="00557FB3">
        <w:tc>
          <w:tcPr>
            <w:tcW w:w="9016" w:type="dxa"/>
            <w:shd w:val="clear" w:color="auto" w:fill="D1D1D1" w:themeFill="background2" w:themeFillShade="E6"/>
          </w:tcPr>
          <w:p w14:paraId="6D414A6B" w14:textId="77777777" w:rsidR="00B87039" w:rsidRPr="00653BF4" w:rsidRDefault="00B87039" w:rsidP="00557FB3">
            <w:pPr>
              <w:rPr>
                <w:sz w:val="20"/>
                <w:szCs w:val="20"/>
                <w:lang w:val="fr-FR"/>
              </w:rPr>
            </w:pPr>
            <w:r w:rsidRPr="00653BF4">
              <w:rPr>
                <w:sz w:val="20"/>
                <w:szCs w:val="20"/>
                <w:lang w:val="fr-FR"/>
              </w:rPr>
              <w:t>Encadré 43</w:t>
            </w:r>
          </w:p>
          <w:p w14:paraId="7CD0CE09" w14:textId="77777777" w:rsidR="00B87039" w:rsidRPr="00653BF4" w:rsidRDefault="00B87039" w:rsidP="00557FB3">
            <w:pPr>
              <w:spacing w:after="160" w:line="278" w:lineRule="auto"/>
              <w:rPr>
                <w:b/>
                <w:bCs/>
                <w:sz w:val="20"/>
                <w:szCs w:val="20"/>
                <w:lang w:val="fr-FR"/>
              </w:rPr>
            </w:pPr>
            <w:r w:rsidRPr="00653BF4">
              <w:rPr>
                <w:b/>
                <w:bCs/>
                <w:sz w:val="20"/>
                <w:szCs w:val="20"/>
                <w:lang w:val="fr-FR"/>
              </w:rPr>
              <w:lastRenderedPageBreak/>
              <w:t>Suppression progressive des subventions aux énergies fossiles, inscrite dans la loi, et incitations fiscales en faveur des énergies renouvelables en Ouzbékistan</w:t>
            </w:r>
          </w:p>
          <w:p w14:paraId="717D2BB9" w14:textId="635A2136" w:rsidR="00B87039" w:rsidRPr="00653BF4" w:rsidRDefault="00B87039" w:rsidP="00557FB3">
            <w:pPr>
              <w:spacing w:after="160" w:line="278" w:lineRule="auto"/>
              <w:rPr>
                <w:sz w:val="20"/>
                <w:szCs w:val="20"/>
                <w:lang w:val="fr-FR"/>
              </w:rPr>
            </w:pPr>
            <w:r w:rsidRPr="00653BF4">
              <w:rPr>
                <w:sz w:val="20"/>
                <w:szCs w:val="20"/>
                <w:lang w:val="fr-FR"/>
              </w:rPr>
              <w:t>L</w:t>
            </w:r>
            <w:r w:rsidR="00D77549">
              <w:rPr>
                <w:sz w:val="20"/>
                <w:szCs w:val="20"/>
                <w:lang w:val="fr-FR"/>
              </w:rPr>
              <w:t>’</w:t>
            </w:r>
            <w:r w:rsidRPr="00653BF4">
              <w:rPr>
                <w:sz w:val="20"/>
                <w:szCs w:val="20"/>
                <w:lang w:val="fr-FR"/>
              </w:rPr>
              <w:t>Ouzbékistan est considéré comme l</w:t>
            </w:r>
            <w:r w:rsidR="00D77549">
              <w:rPr>
                <w:sz w:val="20"/>
                <w:szCs w:val="20"/>
                <w:lang w:val="fr-FR"/>
              </w:rPr>
              <w:t>’</w:t>
            </w:r>
            <w:r w:rsidRPr="00653BF4">
              <w:rPr>
                <w:sz w:val="20"/>
                <w:szCs w:val="20"/>
                <w:lang w:val="fr-FR"/>
              </w:rPr>
              <w:t>un des pays les plus gros consommateurs d</w:t>
            </w:r>
            <w:r w:rsidR="00D77549">
              <w:rPr>
                <w:sz w:val="20"/>
                <w:szCs w:val="20"/>
                <w:lang w:val="fr-FR"/>
              </w:rPr>
              <w:t>’</w:t>
            </w:r>
            <w:r w:rsidRPr="00653BF4">
              <w:rPr>
                <w:sz w:val="20"/>
                <w:szCs w:val="20"/>
                <w:lang w:val="fr-FR"/>
              </w:rPr>
              <w:t>énergie et émetteurs de gaz à effet de serre au monde. Ces dernières années, le gouvernement a déployé des efforts considérables pour réformer et réduire les subventions accordées aux énergies fossiles, tout en mettant en place des incitations à l</w:t>
            </w:r>
            <w:r w:rsidR="00D77549">
              <w:rPr>
                <w:sz w:val="20"/>
                <w:szCs w:val="20"/>
                <w:lang w:val="fr-FR"/>
              </w:rPr>
              <w:t>’</w:t>
            </w:r>
            <w:r w:rsidRPr="00653BF4">
              <w:rPr>
                <w:sz w:val="20"/>
                <w:szCs w:val="20"/>
                <w:lang w:val="fr-FR"/>
              </w:rPr>
              <w:t xml:space="preserve">utilisation des énergies renouvelables. </w:t>
            </w:r>
          </w:p>
          <w:p w14:paraId="6A034D2B" w14:textId="412B91ED" w:rsidR="00B87039" w:rsidRPr="00653BF4" w:rsidRDefault="00B87039" w:rsidP="00557FB3">
            <w:pPr>
              <w:spacing w:after="160" w:line="278" w:lineRule="auto"/>
              <w:rPr>
                <w:sz w:val="20"/>
                <w:szCs w:val="20"/>
                <w:lang w:val="fr-FR"/>
              </w:rPr>
            </w:pPr>
            <w:r w:rsidRPr="00653BF4">
              <w:rPr>
                <w:sz w:val="20"/>
                <w:szCs w:val="20"/>
                <w:lang w:val="fr-FR"/>
              </w:rPr>
              <w:t>Depuis 2019, l</w:t>
            </w:r>
            <w:r w:rsidR="00D77549">
              <w:rPr>
                <w:sz w:val="20"/>
                <w:szCs w:val="20"/>
                <w:lang w:val="fr-FR"/>
              </w:rPr>
              <w:t>’</w:t>
            </w:r>
            <w:r w:rsidRPr="00653BF4">
              <w:rPr>
                <w:sz w:val="20"/>
                <w:szCs w:val="20"/>
                <w:lang w:val="fr-FR"/>
              </w:rPr>
              <w:t>Ouzbékistan procède à une refonte de la législation relative au secteur de l</w:t>
            </w:r>
            <w:r w:rsidR="00D77549">
              <w:rPr>
                <w:sz w:val="20"/>
                <w:szCs w:val="20"/>
                <w:lang w:val="fr-FR"/>
              </w:rPr>
              <w:t>’</w:t>
            </w:r>
            <w:r w:rsidRPr="00653BF4">
              <w:rPr>
                <w:sz w:val="20"/>
                <w:szCs w:val="20"/>
                <w:lang w:val="fr-FR"/>
              </w:rPr>
              <w:t>énergie, qui comprend notamment l</w:t>
            </w:r>
            <w:r w:rsidR="00D77549">
              <w:rPr>
                <w:sz w:val="20"/>
                <w:szCs w:val="20"/>
                <w:lang w:val="fr-FR"/>
              </w:rPr>
              <w:t>’</w:t>
            </w:r>
            <w:r w:rsidRPr="00653BF4">
              <w:rPr>
                <w:sz w:val="20"/>
                <w:szCs w:val="20"/>
                <w:lang w:val="fr-FR"/>
              </w:rPr>
              <w:t>adoption d</w:t>
            </w:r>
            <w:r w:rsidR="00D77549">
              <w:rPr>
                <w:sz w:val="20"/>
                <w:szCs w:val="20"/>
                <w:lang w:val="fr-FR"/>
              </w:rPr>
              <w:t>’</w:t>
            </w:r>
            <w:r w:rsidRPr="00653BF4">
              <w:rPr>
                <w:sz w:val="20"/>
                <w:szCs w:val="20"/>
                <w:lang w:val="fr-FR"/>
              </w:rPr>
              <w:t>une loi sur l</w:t>
            </w:r>
            <w:r w:rsidR="00D77549">
              <w:rPr>
                <w:sz w:val="20"/>
                <w:szCs w:val="20"/>
                <w:lang w:val="fr-FR"/>
              </w:rPr>
              <w:t>’</w:t>
            </w:r>
            <w:r w:rsidRPr="00653BF4">
              <w:rPr>
                <w:sz w:val="20"/>
                <w:szCs w:val="20"/>
                <w:lang w:val="fr-FR"/>
              </w:rPr>
              <w:t>utilisation des sources d</w:t>
            </w:r>
            <w:r w:rsidR="00D77549">
              <w:rPr>
                <w:sz w:val="20"/>
                <w:szCs w:val="20"/>
                <w:lang w:val="fr-FR"/>
              </w:rPr>
              <w:t>’</w:t>
            </w:r>
            <w:r w:rsidRPr="00653BF4">
              <w:rPr>
                <w:sz w:val="20"/>
                <w:szCs w:val="20"/>
                <w:lang w:val="fr-FR"/>
              </w:rPr>
              <w:t>énergie renouvelables et d</w:t>
            </w:r>
            <w:r w:rsidR="00D77549">
              <w:rPr>
                <w:sz w:val="20"/>
                <w:szCs w:val="20"/>
                <w:lang w:val="fr-FR"/>
              </w:rPr>
              <w:t>’</w:t>
            </w:r>
            <w:r w:rsidRPr="00653BF4">
              <w:rPr>
                <w:sz w:val="20"/>
                <w:szCs w:val="20"/>
                <w:lang w:val="fr-FR"/>
              </w:rPr>
              <w:t>une loi sur l</w:t>
            </w:r>
            <w:r w:rsidR="00D77549">
              <w:rPr>
                <w:sz w:val="20"/>
                <w:szCs w:val="20"/>
                <w:lang w:val="fr-FR"/>
              </w:rPr>
              <w:t>’</w:t>
            </w:r>
            <w:r w:rsidRPr="00653BF4">
              <w:rPr>
                <w:sz w:val="20"/>
                <w:szCs w:val="20"/>
                <w:lang w:val="fr-FR"/>
              </w:rPr>
              <w:t>efficacité énergétique, les économies d</w:t>
            </w:r>
            <w:r w:rsidR="00D77549">
              <w:rPr>
                <w:sz w:val="20"/>
                <w:szCs w:val="20"/>
                <w:lang w:val="fr-FR"/>
              </w:rPr>
              <w:t>’</w:t>
            </w:r>
            <w:r w:rsidRPr="00653BF4">
              <w:rPr>
                <w:sz w:val="20"/>
                <w:szCs w:val="20"/>
                <w:lang w:val="fr-FR"/>
              </w:rPr>
              <w:t>énergie et l</w:t>
            </w:r>
            <w:r w:rsidR="00D77549">
              <w:rPr>
                <w:sz w:val="20"/>
                <w:szCs w:val="20"/>
                <w:lang w:val="fr-FR"/>
              </w:rPr>
              <w:t>’</w:t>
            </w:r>
            <w:r w:rsidRPr="00653BF4">
              <w:rPr>
                <w:sz w:val="20"/>
                <w:szCs w:val="20"/>
                <w:lang w:val="fr-FR"/>
              </w:rPr>
              <w:t>utilisation rationnelle de l</w:t>
            </w:r>
            <w:r w:rsidR="00D77549">
              <w:rPr>
                <w:sz w:val="20"/>
                <w:szCs w:val="20"/>
                <w:lang w:val="fr-FR"/>
              </w:rPr>
              <w:t>’</w:t>
            </w:r>
            <w:r w:rsidRPr="00653BF4">
              <w:rPr>
                <w:sz w:val="20"/>
                <w:szCs w:val="20"/>
                <w:lang w:val="fr-FR"/>
              </w:rPr>
              <w:t>énergie. Un décret présidentiel a été promulgué concernant des mesures accélérées visant à améliorer l</w:t>
            </w:r>
            <w:r w:rsidR="00D77549">
              <w:rPr>
                <w:sz w:val="20"/>
                <w:szCs w:val="20"/>
                <w:lang w:val="fr-FR"/>
              </w:rPr>
              <w:t>’</w:t>
            </w:r>
            <w:r w:rsidRPr="00653BF4">
              <w:rPr>
                <w:sz w:val="20"/>
                <w:szCs w:val="20"/>
                <w:lang w:val="fr-FR"/>
              </w:rPr>
              <w:t>efficacité énergétique, à mettre en œuvre des technologies d</w:t>
            </w:r>
            <w:r w:rsidR="00D77549">
              <w:rPr>
                <w:sz w:val="20"/>
                <w:szCs w:val="20"/>
                <w:lang w:val="fr-FR"/>
              </w:rPr>
              <w:t>’</w:t>
            </w:r>
            <w:r w:rsidRPr="00653BF4">
              <w:rPr>
                <w:sz w:val="20"/>
                <w:szCs w:val="20"/>
                <w:lang w:val="fr-FR"/>
              </w:rPr>
              <w:t>économie d</w:t>
            </w:r>
            <w:r w:rsidR="00D77549">
              <w:rPr>
                <w:sz w:val="20"/>
                <w:szCs w:val="20"/>
                <w:lang w:val="fr-FR"/>
              </w:rPr>
              <w:t>’</w:t>
            </w:r>
            <w:r w:rsidRPr="00653BF4">
              <w:rPr>
                <w:sz w:val="20"/>
                <w:szCs w:val="20"/>
                <w:lang w:val="fr-FR"/>
              </w:rPr>
              <w:t>énergie et à développer des sources d</w:t>
            </w:r>
            <w:r w:rsidR="00D77549">
              <w:rPr>
                <w:sz w:val="20"/>
                <w:szCs w:val="20"/>
                <w:lang w:val="fr-FR"/>
              </w:rPr>
              <w:t>’</w:t>
            </w:r>
            <w:r w:rsidRPr="00653BF4">
              <w:rPr>
                <w:sz w:val="20"/>
                <w:szCs w:val="20"/>
                <w:lang w:val="fr-FR"/>
              </w:rPr>
              <w:t>énergie renouvelables. En 2024, des arrêtés ministériels ont instauré une nouvelle politique tarifaire pour le secteur des carburants et de l</w:t>
            </w:r>
            <w:r w:rsidR="00D77549">
              <w:rPr>
                <w:sz w:val="20"/>
                <w:szCs w:val="20"/>
                <w:lang w:val="fr-FR"/>
              </w:rPr>
              <w:t>’</w:t>
            </w:r>
            <w:r w:rsidRPr="00653BF4">
              <w:rPr>
                <w:sz w:val="20"/>
                <w:szCs w:val="20"/>
                <w:lang w:val="fr-FR"/>
              </w:rPr>
              <w:t>énergie et ont officiellement créé l</w:t>
            </w:r>
            <w:r w:rsidR="00D77549">
              <w:rPr>
                <w:sz w:val="20"/>
                <w:szCs w:val="20"/>
                <w:lang w:val="fr-FR"/>
              </w:rPr>
              <w:t>’</w:t>
            </w:r>
            <w:r w:rsidRPr="00653BF4">
              <w:rPr>
                <w:sz w:val="20"/>
                <w:szCs w:val="20"/>
                <w:lang w:val="fr-FR"/>
              </w:rPr>
              <w:t>Agence de développement et de régulation du marché de l</w:t>
            </w:r>
            <w:r w:rsidR="00D77549">
              <w:rPr>
                <w:sz w:val="20"/>
                <w:szCs w:val="20"/>
                <w:lang w:val="fr-FR"/>
              </w:rPr>
              <w:t>’</w:t>
            </w:r>
            <w:r w:rsidRPr="00653BF4">
              <w:rPr>
                <w:sz w:val="20"/>
                <w:szCs w:val="20"/>
                <w:lang w:val="fr-FR"/>
              </w:rPr>
              <w:t>énergie, un organisme indépendant chargé de la réglementation du secteur énergétique.</w:t>
            </w:r>
          </w:p>
          <w:p w14:paraId="1BB4594B" w14:textId="0F000450" w:rsidR="00B87039" w:rsidRPr="00653BF4" w:rsidRDefault="00B87039" w:rsidP="00557FB3">
            <w:pPr>
              <w:spacing w:after="160" w:line="278" w:lineRule="auto"/>
              <w:rPr>
                <w:sz w:val="20"/>
                <w:szCs w:val="20"/>
                <w:lang w:val="fr-FR"/>
              </w:rPr>
            </w:pPr>
            <w:r w:rsidRPr="00653BF4">
              <w:rPr>
                <w:sz w:val="20"/>
                <w:szCs w:val="20"/>
                <w:lang w:val="fr-FR"/>
              </w:rPr>
              <w:t>Par la suite, les prix du gaz et de l</w:t>
            </w:r>
            <w:r w:rsidR="00D77549">
              <w:rPr>
                <w:sz w:val="20"/>
                <w:szCs w:val="20"/>
                <w:lang w:val="fr-FR"/>
              </w:rPr>
              <w:t>’</w:t>
            </w:r>
            <w:r w:rsidRPr="00653BF4">
              <w:rPr>
                <w:sz w:val="20"/>
                <w:szCs w:val="20"/>
                <w:lang w:val="fr-FR"/>
              </w:rPr>
              <w:t>électricité en Ouzbékistan ont été augmentés pour les entreprises et les ménages. Une nouvelle augmentation a été mise en place en 2025, dans le but de parvenir à un recouvrement intégral des coûts d</w:t>
            </w:r>
            <w:r w:rsidR="00D77549">
              <w:rPr>
                <w:sz w:val="20"/>
                <w:szCs w:val="20"/>
                <w:lang w:val="fr-FR"/>
              </w:rPr>
              <w:t>’</w:t>
            </w:r>
            <w:r w:rsidRPr="00653BF4">
              <w:rPr>
                <w:sz w:val="20"/>
                <w:szCs w:val="20"/>
                <w:lang w:val="fr-FR"/>
              </w:rPr>
              <w:t>ici à fin 2026 et de supprimer progressivement toutes les subventions tarifaires d</w:t>
            </w:r>
            <w:r w:rsidR="00D77549">
              <w:rPr>
                <w:sz w:val="20"/>
                <w:szCs w:val="20"/>
                <w:lang w:val="fr-FR"/>
              </w:rPr>
              <w:t>’</w:t>
            </w:r>
            <w:r w:rsidRPr="00653BF4">
              <w:rPr>
                <w:sz w:val="20"/>
                <w:szCs w:val="20"/>
                <w:lang w:val="fr-FR"/>
              </w:rPr>
              <w:t>ici à 2027. En conséquence, entre 2024 et 2025, les dépenses totales consacrées aux principales subventions préjudiciables à la biodiversité ont diminué de 13</w:t>
            </w:r>
            <w:r w:rsidR="002878D7">
              <w:rPr>
                <w:sz w:val="20"/>
                <w:szCs w:val="20"/>
                <w:lang w:val="fr-FR"/>
              </w:rPr>
              <w:t> %</w:t>
            </w:r>
            <w:r w:rsidRPr="00653BF4">
              <w:rPr>
                <w:sz w:val="20"/>
                <w:szCs w:val="20"/>
                <w:lang w:val="fr-FR"/>
              </w:rPr>
              <w:t xml:space="preserve"> en termes réels, tandis que les dépenses liées aux subventions aux énergies et aux carburants préjudiciables à la biodiversité ont baissé de 30</w:t>
            </w:r>
            <w:r w:rsidR="002878D7">
              <w:rPr>
                <w:sz w:val="20"/>
                <w:szCs w:val="20"/>
                <w:lang w:val="fr-FR"/>
              </w:rPr>
              <w:t> %</w:t>
            </w:r>
            <w:r w:rsidRPr="00653BF4">
              <w:rPr>
                <w:sz w:val="20"/>
                <w:szCs w:val="20"/>
                <w:lang w:val="fr-FR"/>
              </w:rPr>
              <w:t>.</w:t>
            </w:r>
          </w:p>
          <w:p w14:paraId="70D25095" w14:textId="77777777" w:rsidR="00B87039" w:rsidRPr="00653BF4" w:rsidRDefault="00B87039" w:rsidP="00557FB3">
            <w:pPr>
              <w:spacing w:after="160" w:line="278" w:lineRule="auto"/>
              <w:rPr>
                <w:sz w:val="20"/>
                <w:szCs w:val="20"/>
                <w:lang w:val="fr-FR"/>
              </w:rPr>
            </w:pPr>
            <w:r w:rsidRPr="00653BF4">
              <w:rPr>
                <w:sz w:val="20"/>
                <w:szCs w:val="20"/>
                <w:lang w:val="fr-FR"/>
              </w:rPr>
              <w:t xml:space="preserve">Ces efforts sont cofinancés dans le cadre du projet Innovative Carbon Resource Application for Energy Transition (iCRAFT) de la Banque mondiale, la première initiative mondiale de cette dernière visant à soutenir les réformes politiques par le biais de paiements en contrepartie de réductions d’émissions. </w:t>
            </w:r>
          </w:p>
          <w:p w14:paraId="4F6A6920" w14:textId="77777777" w:rsidR="00B87039" w:rsidRPr="00653BF4" w:rsidRDefault="00B87039" w:rsidP="00557FB3">
            <w:pPr>
              <w:rPr>
                <w:rFonts w:eastAsia="Aptos" w:cs="Aptos"/>
                <w:color w:val="000000" w:themeColor="text1"/>
                <w:lang w:val="fr-FR" w:eastAsia="zh-CN"/>
              </w:rPr>
            </w:pPr>
          </w:p>
          <w:p w14:paraId="404FDA59" w14:textId="52E07AEA" w:rsidR="00B87039" w:rsidRPr="00653BF4" w:rsidRDefault="00B87039" w:rsidP="00557FB3">
            <w:pPr>
              <w:rPr>
                <w:rFonts w:eastAsia="Aptos" w:cs="Aptos"/>
                <w:color w:val="000000" w:themeColor="text1"/>
                <w:sz w:val="20"/>
                <w:szCs w:val="20"/>
                <w:lang w:val="fr-FR" w:eastAsia="zh-CN"/>
              </w:rPr>
            </w:pPr>
            <w:r w:rsidRPr="00653BF4">
              <w:rPr>
                <w:rFonts w:eastAsia="Aptos" w:cs="Aptos"/>
                <w:i/>
                <w:iCs/>
                <w:color w:val="000000" w:themeColor="text1"/>
                <w:sz w:val="20"/>
                <w:szCs w:val="20"/>
                <w:lang w:val="fr-FR"/>
              </w:rPr>
              <w:t>Cibles concernées</w:t>
            </w:r>
            <w:r w:rsidR="00E34DC9">
              <w:rPr>
                <w:rFonts w:eastAsia="Aptos" w:cs="Aptos"/>
                <w:i/>
                <w:iCs/>
                <w:color w:val="000000" w:themeColor="text1"/>
                <w:sz w:val="20"/>
                <w:szCs w:val="20"/>
                <w:lang w:val="fr-FR"/>
              </w:rPr>
              <w:t> :</w:t>
            </w:r>
            <w:r w:rsidRPr="00653BF4">
              <w:rPr>
                <w:rFonts w:eastAsia="Aptos" w:cs="Aptos"/>
                <w:color w:val="000000" w:themeColor="text1"/>
                <w:sz w:val="20"/>
                <w:szCs w:val="20"/>
                <w:lang w:val="fr-FR"/>
              </w:rPr>
              <w:t xml:space="preserve"> 7, 8, 15 et 19.</w:t>
            </w:r>
          </w:p>
          <w:p w14:paraId="52786D7C" w14:textId="266CCD3C" w:rsidR="00B87039" w:rsidRPr="00653BF4" w:rsidRDefault="00B87039" w:rsidP="00557FB3">
            <w:pPr>
              <w:rPr>
                <w:rFonts w:eastAsia="Aptos" w:cs="Aptos"/>
                <w:color w:val="000000" w:themeColor="text1"/>
                <w:sz w:val="20"/>
                <w:szCs w:val="20"/>
                <w:lang w:val="fr-FR" w:eastAsia="zh-CN"/>
              </w:rPr>
            </w:pPr>
            <w:r w:rsidRPr="00653BF4">
              <w:rPr>
                <w:rFonts w:eastAsia="Aptos" w:cs="Aptos"/>
                <w:i/>
                <w:iCs/>
                <w:color w:val="000000" w:themeColor="text1"/>
                <w:sz w:val="20"/>
                <w:szCs w:val="20"/>
                <w:lang w:val="fr-FR"/>
              </w:rPr>
              <w:t>Sources</w:t>
            </w:r>
            <w:r w:rsidR="00E34DC9">
              <w:rPr>
                <w:rFonts w:eastAsia="Aptos" w:cs="Aptos"/>
                <w:i/>
                <w:iCs/>
                <w:color w:val="000000" w:themeColor="text1"/>
                <w:sz w:val="20"/>
                <w:szCs w:val="20"/>
                <w:lang w:val="fr-FR"/>
              </w:rPr>
              <w:t> :</w:t>
            </w:r>
            <w:r w:rsidRPr="00653BF4">
              <w:rPr>
                <w:rFonts w:eastAsia="Aptos" w:cs="Aptos"/>
                <w:color w:val="000000" w:themeColor="text1"/>
                <w:sz w:val="20"/>
                <w:szCs w:val="20"/>
                <w:lang w:val="fr-FR"/>
              </w:rPr>
              <w:t xml:space="preserve"> Ouzbékistan, septième rapport national présenté au titre de la Convention</w:t>
            </w:r>
            <w:r w:rsidR="00E34DC9">
              <w:rPr>
                <w:rFonts w:eastAsia="Aptos" w:cs="Aptos"/>
                <w:color w:val="000000" w:themeColor="text1"/>
                <w:sz w:val="20"/>
                <w:szCs w:val="20"/>
                <w:lang w:val="fr-FR"/>
              </w:rPr>
              <w:t> ;</w:t>
            </w:r>
            <w:r w:rsidRPr="00653BF4">
              <w:rPr>
                <w:rFonts w:eastAsia="Aptos" w:cs="Aptos"/>
                <w:color w:val="000000" w:themeColor="text1"/>
                <w:sz w:val="20"/>
                <w:szCs w:val="20"/>
                <w:lang w:val="fr-FR"/>
              </w:rPr>
              <w:t xml:space="preserve"> OCDE, 2025</w:t>
            </w:r>
            <w:r w:rsidR="00E34DC9">
              <w:rPr>
                <w:rFonts w:eastAsia="Aptos" w:cs="Aptos"/>
                <w:color w:val="000000" w:themeColor="text1"/>
                <w:sz w:val="20"/>
                <w:szCs w:val="20"/>
                <w:lang w:val="fr-FR"/>
              </w:rPr>
              <w:t> ;</w:t>
            </w:r>
            <w:r w:rsidRPr="00653BF4">
              <w:rPr>
                <w:rFonts w:eastAsia="Aptos" w:cs="Aptos"/>
                <w:color w:val="000000" w:themeColor="text1"/>
                <w:sz w:val="20"/>
                <w:szCs w:val="20"/>
                <w:lang w:val="fr-FR"/>
              </w:rPr>
              <w:t xml:space="preserve"> et PNUD </w:t>
            </w:r>
            <w:r w:rsidRPr="00653BF4">
              <w:rPr>
                <w:rFonts w:eastAsia="Aptos" w:cs="Aptos"/>
                <w:i/>
                <w:iCs/>
                <w:color w:val="000000" w:themeColor="text1"/>
                <w:sz w:val="20"/>
                <w:szCs w:val="20"/>
                <w:lang w:val="fr-FR"/>
              </w:rPr>
              <w:t>et al.</w:t>
            </w:r>
            <w:r w:rsidRPr="00653BF4">
              <w:rPr>
                <w:rFonts w:eastAsia="Aptos" w:cs="Aptos"/>
                <w:color w:val="000000" w:themeColor="text1"/>
                <w:sz w:val="20"/>
                <w:szCs w:val="20"/>
                <w:lang w:val="fr-FR"/>
              </w:rPr>
              <w:t>, 2025.</w:t>
            </w:r>
          </w:p>
          <w:p w14:paraId="710D1020" w14:textId="77777777" w:rsidR="00B87039" w:rsidRPr="00653BF4" w:rsidRDefault="00B87039" w:rsidP="00557FB3">
            <w:pPr>
              <w:rPr>
                <w:lang w:val="fr-FR"/>
              </w:rPr>
            </w:pPr>
          </w:p>
        </w:tc>
      </w:tr>
    </w:tbl>
    <w:p w14:paraId="6B80D513" w14:textId="77777777" w:rsidR="00B87039" w:rsidRPr="00653BF4" w:rsidRDefault="00B87039" w:rsidP="00B87039">
      <w:pPr>
        <w:rPr>
          <w:lang w:val="fr-FR"/>
        </w:rPr>
      </w:pPr>
    </w:p>
    <w:p w14:paraId="487B3156"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03"/>
      </w:tblGrid>
      <w:tr w:rsidR="00B87039" w:rsidRPr="00543148" w14:paraId="7C7741F0" w14:textId="77777777" w:rsidTr="00557FB3">
        <w:trPr>
          <w:trHeight w:val="280"/>
        </w:trPr>
        <w:tc>
          <w:tcPr>
            <w:tcW w:w="9003" w:type="dxa"/>
            <w:shd w:val="clear" w:color="auto" w:fill="D1D1D1" w:themeFill="background2" w:themeFillShade="E6"/>
          </w:tcPr>
          <w:p w14:paraId="39209EC3" w14:textId="77777777" w:rsidR="00B87039" w:rsidRPr="00653BF4" w:rsidRDefault="00B87039" w:rsidP="00557FB3">
            <w:pPr>
              <w:rPr>
                <w:sz w:val="20"/>
                <w:szCs w:val="20"/>
                <w:lang w:val="fr-FR"/>
              </w:rPr>
            </w:pPr>
            <w:r w:rsidRPr="00653BF4">
              <w:rPr>
                <w:sz w:val="20"/>
                <w:szCs w:val="20"/>
                <w:lang w:val="fr-FR"/>
              </w:rPr>
              <w:t>Encadré 44</w:t>
            </w:r>
          </w:p>
          <w:p w14:paraId="3377759C" w14:textId="3CE262A2" w:rsidR="00B87039" w:rsidRPr="00653BF4" w:rsidRDefault="00B87039" w:rsidP="00557FB3">
            <w:pPr>
              <w:spacing w:after="160" w:line="276" w:lineRule="auto"/>
              <w:rPr>
                <w:b/>
                <w:bCs/>
                <w:sz w:val="20"/>
                <w:szCs w:val="20"/>
                <w:lang w:val="fr-FR"/>
              </w:rPr>
            </w:pPr>
            <w:r w:rsidRPr="00653BF4">
              <w:rPr>
                <w:b/>
                <w:bCs/>
                <w:sz w:val="20"/>
                <w:szCs w:val="20"/>
                <w:lang w:val="fr-FR"/>
              </w:rPr>
              <w:t>Catalogue annuel obligatoire des subventions préjudiciables à l</w:t>
            </w:r>
            <w:r w:rsidR="00D77549">
              <w:rPr>
                <w:b/>
                <w:bCs/>
                <w:sz w:val="20"/>
                <w:szCs w:val="20"/>
                <w:lang w:val="fr-FR"/>
              </w:rPr>
              <w:t>’</w:t>
            </w:r>
            <w:r w:rsidRPr="00653BF4">
              <w:rPr>
                <w:b/>
                <w:bCs/>
                <w:sz w:val="20"/>
                <w:szCs w:val="20"/>
                <w:lang w:val="fr-FR"/>
              </w:rPr>
              <w:t>environnement, assorti d</w:t>
            </w:r>
            <w:r w:rsidR="00D77549">
              <w:rPr>
                <w:b/>
                <w:bCs/>
                <w:sz w:val="20"/>
                <w:szCs w:val="20"/>
                <w:lang w:val="fr-FR"/>
              </w:rPr>
              <w:t>’</w:t>
            </w:r>
            <w:r w:rsidRPr="00653BF4">
              <w:rPr>
                <w:b/>
                <w:bCs/>
                <w:sz w:val="20"/>
                <w:szCs w:val="20"/>
                <w:lang w:val="fr-FR"/>
              </w:rPr>
              <w:t>objectifs de réforme chiffrés, en Italie</w:t>
            </w:r>
          </w:p>
          <w:p w14:paraId="08E7A230" w14:textId="77777777" w:rsidR="00B87039" w:rsidRPr="00653BF4" w:rsidRDefault="00B87039" w:rsidP="00557FB3">
            <w:pPr>
              <w:rPr>
                <w:lang w:val="fr-FR"/>
              </w:rPr>
            </w:pPr>
          </w:p>
          <w:p w14:paraId="3945CDF9" w14:textId="5B551E46" w:rsidR="00B87039" w:rsidRPr="00653BF4" w:rsidRDefault="00B87039" w:rsidP="00557FB3">
            <w:pPr>
              <w:spacing w:after="160" w:line="278" w:lineRule="auto"/>
              <w:rPr>
                <w:sz w:val="20"/>
                <w:szCs w:val="20"/>
                <w:lang w:val="fr-FR"/>
              </w:rPr>
            </w:pPr>
            <w:r w:rsidRPr="00653BF4">
              <w:rPr>
                <w:sz w:val="20"/>
                <w:szCs w:val="20"/>
                <w:lang w:val="fr-FR"/>
              </w:rPr>
              <w:t>Une loi adoptée en 2015 impose au Ministère italien de l</w:t>
            </w:r>
            <w:r w:rsidR="00D77549">
              <w:rPr>
                <w:sz w:val="20"/>
                <w:szCs w:val="20"/>
                <w:lang w:val="fr-FR"/>
              </w:rPr>
              <w:t>’</w:t>
            </w:r>
            <w:r w:rsidRPr="00653BF4">
              <w:rPr>
                <w:sz w:val="20"/>
                <w:szCs w:val="20"/>
                <w:lang w:val="fr-FR"/>
              </w:rPr>
              <w:t>environnement et de la sécurité énergétique d</w:t>
            </w:r>
            <w:r w:rsidR="00D77549">
              <w:rPr>
                <w:sz w:val="20"/>
                <w:szCs w:val="20"/>
                <w:lang w:val="fr-FR"/>
              </w:rPr>
              <w:t>’</w:t>
            </w:r>
            <w:r w:rsidRPr="00653BF4">
              <w:rPr>
                <w:sz w:val="20"/>
                <w:szCs w:val="20"/>
                <w:lang w:val="fr-FR"/>
              </w:rPr>
              <w:t>établir chaque année un catalogue des subventions préjudiciables à l</w:t>
            </w:r>
            <w:r w:rsidR="00D77549">
              <w:rPr>
                <w:sz w:val="20"/>
                <w:szCs w:val="20"/>
                <w:lang w:val="fr-FR"/>
              </w:rPr>
              <w:t>’</w:t>
            </w:r>
            <w:r w:rsidRPr="00653BF4">
              <w:rPr>
                <w:sz w:val="20"/>
                <w:szCs w:val="20"/>
                <w:lang w:val="fr-FR"/>
              </w:rPr>
              <w:t>environnement et de celles qui y sont bénéfiques</w:t>
            </w:r>
            <w:r w:rsidRPr="00653BF4">
              <w:rPr>
                <w:sz w:val="20"/>
                <w:szCs w:val="20"/>
                <w:vertAlign w:val="superscript"/>
                <w:lang w:val="fr-FR"/>
              </w:rPr>
              <w:t>a</w:t>
            </w:r>
            <w:r w:rsidRPr="00653BF4">
              <w:rPr>
                <w:sz w:val="20"/>
                <w:szCs w:val="20"/>
                <w:lang w:val="fr-FR"/>
              </w:rPr>
              <w:t xml:space="preserve">. Cette loi a pour </w:t>
            </w:r>
            <w:r w:rsidR="002878D7">
              <w:rPr>
                <w:sz w:val="20"/>
                <w:szCs w:val="20"/>
                <w:lang w:val="fr-FR"/>
              </w:rPr>
              <w:t>objectif D</w:t>
            </w:r>
            <w:r w:rsidRPr="00653BF4">
              <w:rPr>
                <w:sz w:val="20"/>
                <w:szCs w:val="20"/>
                <w:lang w:val="fr-FR"/>
              </w:rPr>
              <w:t>e promouvoir les mesures en faveur de l</w:t>
            </w:r>
            <w:r w:rsidR="00D77549">
              <w:rPr>
                <w:sz w:val="20"/>
                <w:szCs w:val="20"/>
                <w:lang w:val="fr-FR"/>
              </w:rPr>
              <w:t>’</w:t>
            </w:r>
            <w:r w:rsidRPr="00653BF4">
              <w:rPr>
                <w:sz w:val="20"/>
                <w:szCs w:val="20"/>
                <w:lang w:val="fr-FR"/>
              </w:rPr>
              <w:t>économie verte et de limiter l</w:t>
            </w:r>
            <w:r w:rsidR="00D77549">
              <w:rPr>
                <w:sz w:val="20"/>
                <w:szCs w:val="20"/>
                <w:lang w:val="fr-FR"/>
              </w:rPr>
              <w:t>’</w:t>
            </w:r>
            <w:r w:rsidRPr="00653BF4">
              <w:rPr>
                <w:sz w:val="20"/>
                <w:szCs w:val="20"/>
                <w:lang w:val="fr-FR"/>
              </w:rPr>
              <w:t xml:space="preserve">utilisation excessive des ressources naturelles. Ce catalogue constitue une référence essentielle pour les initiatives nationales et internationales visant à recenser, réformer et supprimer </w:t>
            </w:r>
            <w:r w:rsidRPr="00653BF4">
              <w:rPr>
                <w:sz w:val="20"/>
                <w:szCs w:val="20"/>
                <w:lang w:val="fr-FR"/>
              </w:rPr>
              <w:lastRenderedPageBreak/>
              <w:t>progressivement les subventions préjudiciables à l</w:t>
            </w:r>
            <w:r w:rsidR="00D77549">
              <w:rPr>
                <w:sz w:val="20"/>
                <w:szCs w:val="20"/>
                <w:lang w:val="fr-FR"/>
              </w:rPr>
              <w:t>’</w:t>
            </w:r>
            <w:r w:rsidRPr="00653BF4">
              <w:rPr>
                <w:sz w:val="20"/>
                <w:szCs w:val="20"/>
                <w:lang w:val="fr-FR"/>
              </w:rPr>
              <w:t>environnement, tout en encourageant le développement d</w:t>
            </w:r>
            <w:r w:rsidR="00D77549">
              <w:rPr>
                <w:sz w:val="20"/>
                <w:szCs w:val="20"/>
                <w:lang w:val="fr-FR"/>
              </w:rPr>
              <w:t>’</w:t>
            </w:r>
            <w:r w:rsidRPr="00653BF4">
              <w:rPr>
                <w:sz w:val="20"/>
                <w:szCs w:val="20"/>
                <w:lang w:val="fr-FR"/>
              </w:rPr>
              <w:t xml:space="preserve">incitations générant des avantages environnementaux. </w:t>
            </w:r>
          </w:p>
          <w:p w14:paraId="45FBAEAF" w14:textId="228F61FF" w:rsidR="00B87039" w:rsidRPr="00653BF4" w:rsidRDefault="00B87039" w:rsidP="00557FB3">
            <w:pPr>
              <w:spacing w:after="160" w:line="278" w:lineRule="auto"/>
              <w:rPr>
                <w:sz w:val="20"/>
                <w:szCs w:val="20"/>
                <w:lang w:val="fr-FR"/>
              </w:rPr>
            </w:pPr>
            <w:r w:rsidRPr="00653BF4">
              <w:rPr>
                <w:sz w:val="20"/>
                <w:szCs w:val="20"/>
                <w:lang w:val="fr-FR"/>
              </w:rPr>
              <w:t>Entre 2022 et 2023, l</w:t>
            </w:r>
            <w:r w:rsidR="00D77549">
              <w:rPr>
                <w:sz w:val="20"/>
                <w:szCs w:val="20"/>
                <w:lang w:val="fr-FR"/>
              </w:rPr>
              <w:t>’</w:t>
            </w:r>
            <w:r w:rsidRPr="00653BF4">
              <w:rPr>
                <w:sz w:val="20"/>
                <w:szCs w:val="20"/>
                <w:lang w:val="fr-FR"/>
              </w:rPr>
              <w:t>Italie a supprimé plusieurs subventions aux combustibles fossiles jugées préjudiciables à la biodiversité dans divers secteurs, notamment les incitations, les concessions, les financements subventionnés et les exonérations. Parmi celles-ci figuraient</w:t>
            </w:r>
            <w:r w:rsidR="00E34DC9">
              <w:rPr>
                <w:sz w:val="20"/>
                <w:szCs w:val="20"/>
                <w:lang w:val="fr-FR"/>
              </w:rPr>
              <w:t> :</w:t>
            </w:r>
          </w:p>
          <w:p w14:paraId="6369589F" w14:textId="1FAF0D4D" w:rsidR="00B87039" w:rsidRPr="00653BF4" w:rsidRDefault="00B87039" w:rsidP="00557FB3">
            <w:pPr>
              <w:numPr>
                <w:ilvl w:val="0"/>
                <w:numId w:val="50"/>
              </w:numPr>
              <w:spacing w:after="160" w:line="278" w:lineRule="auto"/>
              <w:rPr>
                <w:sz w:val="20"/>
                <w:szCs w:val="20"/>
                <w:lang w:val="fr-FR"/>
              </w:rPr>
            </w:pPr>
            <w:r w:rsidRPr="00653BF4">
              <w:rPr>
                <w:sz w:val="20"/>
                <w:szCs w:val="20"/>
                <w:lang w:val="fr-FR"/>
              </w:rPr>
              <w:t>La réduction de l</w:t>
            </w:r>
            <w:r w:rsidR="00D77549">
              <w:rPr>
                <w:sz w:val="20"/>
                <w:szCs w:val="20"/>
                <w:lang w:val="fr-FR"/>
              </w:rPr>
              <w:t>’</w:t>
            </w:r>
            <w:r w:rsidRPr="00653BF4">
              <w:rPr>
                <w:sz w:val="20"/>
                <w:szCs w:val="20"/>
                <w:lang w:val="fr-FR"/>
              </w:rPr>
              <w:t>exonération de la taxe sur les carburants utilisés dans le transport ferroviaire</w:t>
            </w:r>
          </w:p>
          <w:p w14:paraId="5B79BEED" w14:textId="1472D7C7" w:rsidR="00B87039" w:rsidRPr="00653BF4" w:rsidRDefault="00B87039" w:rsidP="00557FB3">
            <w:pPr>
              <w:numPr>
                <w:ilvl w:val="0"/>
                <w:numId w:val="50"/>
              </w:numPr>
              <w:spacing w:after="160" w:line="278" w:lineRule="auto"/>
              <w:rPr>
                <w:sz w:val="20"/>
                <w:szCs w:val="20"/>
                <w:lang w:val="fr-FR"/>
              </w:rPr>
            </w:pPr>
            <w:r w:rsidRPr="00653BF4">
              <w:rPr>
                <w:sz w:val="20"/>
                <w:szCs w:val="20"/>
                <w:lang w:val="fr-FR"/>
              </w:rPr>
              <w:t>La suppression de l</w:t>
            </w:r>
            <w:r w:rsidR="00D77549">
              <w:rPr>
                <w:sz w:val="20"/>
                <w:szCs w:val="20"/>
                <w:lang w:val="fr-FR"/>
              </w:rPr>
              <w:t>’</w:t>
            </w:r>
            <w:r w:rsidRPr="00653BF4">
              <w:rPr>
                <w:sz w:val="20"/>
                <w:szCs w:val="20"/>
                <w:lang w:val="fr-FR"/>
              </w:rPr>
              <w:t>exonération de la taxe sur les produits énergétiques utilisés pour la production de magnésium à partir de l</w:t>
            </w:r>
            <w:r w:rsidR="00D77549">
              <w:rPr>
                <w:sz w:val="20"/>
                <w:szCs w:val="20"/>
                <w:lang w:val="fr-FR"/>
              </w:rPr>
              <w:t>’</w:t>
            </w:r>
            <w:r w:rsidRPr="00653BF4">
              <w:rPr>
                <w:sz w:val="20"/>
                <w:szCs w:val="20"/>
                <w:lang w:val="fr-FR"/>
              </w:rPr>
              <w:t>eau de mer</w:t>
            </w:r>
          </w:p>
          <w:p w14:paraId="689E6AE7" w14:textId="77777777" w:rsidR="00B87039" w:rsidRPr="00653BF4" w:rsidRDefault="00B87039" w:rsidP="00557FB3">
            <w:pPr>
              <w:numPr>
                <w:ilvl w:val="0"/>
                <w:numId w:val="50"/>
              </w:numPr>
              <w:spacing w:after="160" w:line="278" w:lineRule="auto"/>
              <w:rPr>
                <w:sz w:val="20"/>
                <w:szCs w:val="20"/>
                <w:lang w:val="fr-FR"/>
              </w:rPr>
            </w:pPr>
            <w:r w:rsidRPr="00653BF4">
              <w:rPr>
                <w:sz w:val="20"/>
                <w:szCs w:val="20"/>
                <w:lang w:val="fr-FR"/>
              </w:rPr>
              <w:t>La suppression du financement public de la recherche, du développement et de la démonstration dans les domaines du pétrole, du gaz et du charbon</w:t>
            </w:r>
          </w:p>
          <w:p w14:paraId="207813D6" w14:textId="0893FF00" w:rsidR="00B87039" w:rsidRPr="00653BF4" w:rsidRDefault="00B87039" w:rsidP="00557FB3">
            <w:pPr>
              <w:spacing w:after="160" w:line="278" w:lineRule="auto"/>
              <w:rPr>
                <w:sz w:val="20"/>
                <w:szCs w:val="20"/>
                <w:lang w:val="fr-FR"/>
              </w:rPr>
            </w:pPr>
            <w:r w:rsidRPr="00653BF4">
              <w:rPr>
                <w:sz w:val="20"/>
                <w:szCs w:val="20"/>
                <w:lang w:val="fr-FR"/>
              </w:rPr>
              <w:t>Au total, ces mesures ont permis une réduction annuelle globale des subventions préjudiciables de plus de 282 millions d</w:t>
            </w:r>
            <w:r w:rsidR="00D77549">
              <w:rPr>
                <w:sz w:val="20"/>
                <w:szCs w:val="20"/>
                <w:lang w:val="fr-FR"/>
              </w:rPr>
              <w:t>’</w:t>
            </w:r>
            <w:r w:rsidRPr="00653BF4">
              <w:rPr>
                <w:sz w:val="20"/>
                <w:szCs w:val="20"/>
                <w:lang w:val="fr-FR"/>
              </w:rPr>
              <w:t xml:space="preserve">euros. </w:t>
            </w:r>
          </w:p>
          <w:p w14:paraId="399DAC25" w14:textId="6B92A621" w:rsidR="00B87039" w:rsidRPr="00653BF4" w:rsidRDefault="00B87039" w:rsidP="00557FB3">
            <w:pPr>
              <w:rPr>
                <w:rFonts w:eastAsia="Aptos" w:cs="Aptos"/>
                <w:color w:val="000000" w:themeColor="text1"/>
                <w:sz w:val="20"/>
                <w:szCs w:val="20"/>
                <w:lang w:val="fr-FR"/>
              </w:rPr>
            </w:pPr>
            <w:r w:rsidRPr="00653BF4">
              <w:rPr>
                <w:i/>
                <w:iCs/>
                <w:sz w:val="20"/>
                <w:szCs w:val="20"/>
                <w:lang w:val="fr-FR"/>
              </w:rPr>
              <w:t>Cibles concernées</w:t>
            </w:r>
            <w:r w:rsidR="00E34DC9">
              <w:rPr>
                <w:i/>
                <w:iCs/>
                <w:sz w:val="20"/>
                <w:szCs w:val="20"/>
                <w:lang w:val="fr-FR"/>
              </w:rPr>
              <w:t> :</w:t>
            </w:r>
            <w:r w:rsidRPr="00653BF4">
              <w:rPr>
                <w:i/>
                <w:iCs/>
                <w:sz w:val="20"/>
                <w:szCs w:val="20"/>
                <w:lang w:val="fr-FR"/>
              </w:rPr>
              <w:t xml:space="preserve"> </w:t>
            </w:r>
            <w:r w:rsidRPr="00653BF4">
              <w:rPr>
                <w:rFonts w:eastAsia="Aptos" w:cs="Aptos"/>
                <w:color w:val="000000" w:themeColor="text1"/>
                <w:sz w:val="20"/>
                <w:szCs w:val="20"/>
                <w:lang w:val="fr-FR"/>
              </w:rPr>
              <w:t>7, 8, 14, 15, 19 et 21.</w:t>
            </w:r>
          </w:p>
          <w:p w14:paraId="70E1D224" w14:textId="2E9670CB" w:rsidR="00B87039" w:rsidRPr="00653BF4" w:rsidRDefault="00B87039" w:rsidP="00557FB3">
            <w:pPr>
              <w:rPr>
                <w:rFonts w:eastAsia="Aptos" w:cs="Aptos"/>
                <w:color w:val="000000" w:themeColor="text1"/>
                <w:sz w:val="20"/>
                <w:szCs w:val="20"/>
                <w:lang w:val="fr-FR"/>
              </w:rPr>
            </w:pPr>
            <w:r w:rsidRPr="00653BF4">
              <w:rPr>
                <w:rFonts w:eastAsia="Aptos" w:cs="Aptos"/>
                <w:i/>
                <w:iCs/>
                <w:color w:val="000000" w:themeColor="text1"/>
                <w:sz w:val="20"/>
                <w:szCs w:val="20"/>
                <w:lang w:val="fr-FR"/>
              </w:rPr>
              <w:t>Source</w:t>
            </w:r>
            <w:r w:rsidR="00E34DC9">
              <w:rPr>
                <w:rFonts w:eastAsia="Aptos" w:cs="Aptos"/>
                <w:i/>
                <w:iCs/>
                <w:color w:val="000000" w:themeColor="text1"/>
                <w:sz w:val="20"/>
                <w:szCs w:val="20"/>
                <w:lang w:val="fr-FR"/>
              </w:rPr>
              <w:t> :</w:t>
            </w:r>
            <w:r w:rsidRPr="00653BF4">
              <w:rPr>
                <w:rFonts w:eastAsia="Aptos" w:cs="Aptos"/>
                <w:i/>
                <w:iCs/>
                <w:color w:val="000000" w:themeColor="text1"/>
                <w:sz w:val="20"/>
                <w:szCs w:val="20"/>
                <w:lang w:val="fr-FR"/>
              </w:rPr>
              <w:t xml:space="preserve"> </w:t>
            </w:r>
            <w:r w:rsidRPr="00653BF4">
              <w:rPr>
                <w:rFonts w:eastAsia="Aptos" w:cs="Aptos"/>
                <w:color w:val="000000" w:themeColor="text1"/>
                <w:sz w:val="20"/>
                <w:szCs w:val="20"/>
                <w:lang w:val="fr-FR"/>
              </w:rPr>
              <w:t>Italie, septième rapport national présenté au titre de la Convention.</w:t>
            </w:r>
          </w:p>
          <w:p w14:paraId="2247B2F4" w14:textId="77777777" w:rsidR="00B87039" w:rsidRPr="00653BF4" w:rsidRDefault="00B87039" w:rsidP="00557FB3">
            <w:pPr>
              <w:rPr>
                <w:rFonts w:eastAsia="Aptos" w:cs="Aptos"/>
                <w:i/>
                <w:iCs/>
                <w:color w:val="000000" w:themeColor="text1"/>
                <w:lang w:val="fr-FR"/>
              </w:rPr>
            </w:pPr>
          </w:p>
          <w:p w14:paraId="33A9087E" w14:textId="14427B49" w:rsidR="00B87039" w:rsidRPr="00653BF4" w:rsidRDefault="00B87039" w:rsidP="00557FB3">
            <w:pPr>
              <w:rPr>
                <w:rFonts w:eastAsia="Aptos" w:cs="Aptos"/>
                <w:color w:val="000000" w:themeColor="text1"/>
                <w:sz w:val="18"/>
                <w:szCs w:val="18"/>
                <w:lang w:val="fr-FR"/>
              </w:rPr>
            </w:pPr>
            <w:r w:rsidRPr="00653BF4">
              <w:rPr>
                <w:rFonts w:eastAsia="Aptos" w:cs="Aptos"/>
                <w:color w:val="000000" w:themeColor="text1"/>
                <w:sz w:val="18"/>
                <w:szCs w:val="18"/>
                <w:vertAlign w:val="superscript"/>
                <w:lang w:val="fr-FR"/>
              </w:rPr>
              <w:t>a</w:t>
            </w:r>
            <w:r w:rsidRPr="00653BF4">
              <w:rPr>
                <w:lang w:val="fr-FR"/>
              </w:rPr>
              <w:t>Disponible à l</w:t>
            </w:r>
            <w:r w:rsidR="00D77549">
              <w:rPr>
                <w:lang w:val="fr-FR"/>
              </w:rPr>
              <w:t>’</w:t>
            </w:r>
            <w:r w:rsidRPr="00653BF4">
              <w:rPr>
                <w:lang w:val="fr-FR"/>
              </w:rPr>
              <w:t xml:space="preserve">adresse </w:t>
            </w:r>
            <w:hyperlink r:id="rId190" w:history="1">
              <w:r w:rsidRPr="00653BF4">
                <w:rPr>
                  <w:rStyle w:val="Hyperlink"/>
                  <w:sz w:val="18"/>
                  <w:szCs w:val="18"/>
                  <w:lang w:val="fr-FR"/>
                </w:rPr>
                <w:t>www.mase.gov.it/portale/catalogo-dei-sussidi-ambientalmente-dannosi-e-dei-sussidi-ambientalmente-favorevoli</w:t>
              </w:r>
            </w:hyperlink>
            <w:r w:rsidRPr="00653BF4">
              <w:rPr>
                <w:lang w:val="fr-FR"/>
              </w:rPr>
              <w:t>.</w:t>
            </w:r>
          </w:p>
          <w:p w14:paraId="76B7990B" w14:textId="77777777" w:rsidR="00B87039" w:rsidRPr="00653BF4" w:rsidRDefault="00B87039" w:rsidP="00557FB3">
            <w:pPr>
              <w:rPr>
                <w:lang w:val="fr-FR"/>
              </w:rPr>
            </w:pPr>
          </w:p>
        </w:tc>
      </w:tr>
    </w:tbl>
    <w:p w14:paraId="062999A3" w14:textId="77777777" w:rsidR="00B87039" w:rsidRPr="00653BF4" w:rsidRDefault="00B87039" w:rsidP="00B87039">
      <w:pPr>
        <w:rPr>
          <w:lang w:val="fr-FR"/>
        </w:rPr>
      </w:pPr>
    </w:p>
    <w:p w14:paraId="04F7C907" w14:textId="77777777" w:rsidR="00B87039" w:rsidRPr="00653BF4" w:rsidRDefault="00B87039" w:rsidP="00B87039">
      <w:pPr>
        <w:pStyle w:val="Heading6"/>
        <w:rPr>
          <w:lang w:val="fr-FR"/>
        </w:rPr>
      </w:pPr>
      <w:bookmarkStart w:id="362" w:name="_Toc235821274"/>
      <w:r w:rsidRPr="00653BF4">
        <w:rPr>
          <w:lang w:val="fr-FR"/>
        </w:rPr>
        <w:t>Difficultés</w:t>
      </w:r>
      <w:bookmarkEnd w:id="362"/>
    </w:p>
    <w:p w14:paraId="30E7B79C" w14:textId="77777777" w:rsidR="00B87039" w:rsidRPr="00653BF4" w:rsidRDefault="00B87039" w:rsidP="00B87039">
      <w:pPr>
        <w:rPr>
          <w:rFonts w:eastAsia="Aptos" w:cs="Aptos"/>
          <w:color w:val="008080"/>
          <w:u w:val="single"/>
          <w:lang w:val="fr-FR"/>
        </w:rPr>
      </w:pPr>
    </w:p>
    <w:p w14:paraId="447B99A3" w14:textId="21D2A646" w:rsidR="00B87039" w:rsidRPr="00653BF4" w:rsidRDefault="00B87039" w:rsidP="00B87039">
      <w:pPr>
        <w:rPr>
          <w:lang w:val="fr-FR"/>
        </w:rPr>
      </w:pPr>
      <w:r w:rsidRPr="00653BF4">
        <w:rPr>
          <w:lang w:val="fr-FR"/>
        </w:rPr>
        <w:t>De nombreuses Parties font état d’obstacles au recensement d</w:t>
      </w:r>
      <w:r w:rsidR="00D77549">
        <w:rPr>
          <w:lang w:val="fr-FR"/>
        </w:rPr>
        <w:t>’</w:t>
      </w:r>
      <w:r w:rsidRPr="00653BF4">
        <w:rPr>
          <w:lang w:val="fr-FR"/>
        </w:rPr>
        <w:t>incitations, y compris les subventions, préjudiciables à la biodiversité, notamment des inventaires incomplets des incitations préjudiciables, des données manquantes ou incomplètes parmi les Parties, quel que soit leur niveau de revenu, ainsi que l’absence de définitions convenues et d’approches harmonisées permettant de déterminer quelles incitations sont préjudiciables. Étant donné qu</w:t>
      </w:r>
      <w:r w:rsidR="00D77549">
        <w:rPr>
          <w:lang w:val="fr-FR"/>
        </w:rPr>
        <w:t>’</w:t>
      </w:r>
      <w:r w:rsidRPr="00653BF4">
        <w:rPr>
          <w:lang w:val="fr-FR"/>
        </w:rPr>
        <w:t>il est impossible de hiérarchiser ou d</w:t>
      </w:r>
      <w:r w:rsidR="00D77549">
        <w:rPr>
          <w:lang w:val="fr-FR"/>
        </w:rPr>
        <w:t>’</w:t>
      </w:r>
      <w:r w:rsidRPr="00653BF4">
        <w:rPr>
          <w:lang w:val="fr-FR"/>
        </w:rPr>
        <w:t>évaluer les réformes sans connaître les incitations existantes, leur valeur financière et leurs impacts spécifiques sur la biodiversité, ces obstacles au recensement constituent également des obstacles à la réforme. Même lorsque des réformes sont entreprises, il se peut que les Parties ne disposent pas des systèmes nécessaires pour vérifier si les économies réalisées grâce à la suppression des subventions sont réinvesties dans la protection de la nature, si les mesures d</w:t>
      </w:r>
      <w:r w:rsidR="00D77549">
        <w:rPr>
          <w:lang w:val="fr-FR"/>
        </w:rPr>
        <w:t>’</w:t>
      </w:r>
      <w:r w:rsidRPr="00653BF4">
        <w:rPr>
          <w:lang w:val="fr-FR"/>
        </w:rPr>
        <w:t>incitation positives donnent des résultats ou si des mesures d</w:t>
      </w:r>
      <w:r w:rsidR="00D77549">
        <w:rPr>
          <w:lang w:val="fr-FR"/>
        </w:rPr>
        <w:t>’</w:t>
      </w:r>
      <w:r w:rsidRPr="00653BF4">
        <w:rPr>
          <w:lang w:val="fr-FR"/>
        </w:rPr>
        <w:t>incitation préjudiciables réapparaissent sous une autre forme. Plusieurs rapports nationaux font état d</w:t>
      </w:r>
      <w:r w:rsidR="00D77549">
        <w:rPr>
          <w:lang w:val="fr-FR"/>
        </w:rPr>
        <w:t>’</w:t>
      </w:r>
      <w:r w:rsidRPr="00653BF4">
        <w:rPr>
          <w:lang w:val="fr-FR"/>
        </w:rPr>
        <w:t>intérêts bien établis et d</w:t>
      </w:r>
      <w:r w:rsidR="00D77549">
        <w:rPr>
          <w:lang w:val="fr-FR"/>
        </w:rPr>
        <w:t>’</w:t>
      </w:r>
      <w:r w:rsidRPr="00653BF4">
        <w:rPr>
          <w:lang w:val="fr-FR"/>
        </w:rPr>
        <w:t>obstacles politiques à la réforme des subventions. Les subventions accordées aux secteurs de l</w:t>
      </w:r>
      <w:r w:rsidR="00D77549">
        <w:rPr>
          <w:lang w:val="fr-FR"/>
        </w:rPr>
        <w:t>’</w:t>
      </w:r>
      <w:r w:rsidRPr="00653BF4">
        <w:rPr>
          <w:lang w:val="fr-FR"/>
        </w:rPr>
        <w:t>agriculture, de l</w:t>
      </w:r>
      <w:r w:rsidR="00D77549">
        <w:rPr>
          <w:lang w:val="fr-FR"/>
        </w:rPr>
        <w:t>’</w:t>
      </w:r>
      <w:r w:rsidRPr="00653BF4">
        <w:rPr>
          <w:lang w:val="fr-FR"/>
        </w:rPr>
        <w:t>énergie et de la pêche sont souvent étroitement liées aux économies nationales et s</w:t>
      </w:r>
      <w:r w:rsidR="00D77549">
        <w:rPr>
          <w:lang w:val="fr-FR"/>
        </w:rPr>
        <w:t>’</w:t>
      </w:r>
      <w:r w:rsidRPr="00653BF4">
        <w:rPr>
          <w:lang w:val="fr-FR"/>
        </w:rPr>
        <w:t xml:space="preserve">inscrivent dans le cadre de </w:t>
      </w:r>
      <w:r w:rsidRPr="00653BF4">
        <w:rPr>
          <w:lang w:val="fr-FR"/>
        </w:rPr>
        <w:lastRenderedPageBreak/>
        <w:t>politiques telles que la sécurité alimentaire, la lutte contre la pauvreté ou l</w:t>
      </w:r>
      <w:r w:rsidR="00D77549">
        <w:rPr>
          <w:lang w:val="fr-FR"/>
        </w:rPr>
        <w:t>’</w:t>
      </w:r>
      <w:r w:rsidRPr="00653BF4">
        <w:rPr>
          <w:lang w:val="fr-FR"/>
        </w:rPr>
        <w:t>accessibilité économique de l</w:t>
      </w:r>
      <w:r w:rsidR="00D77549">
        <w:rPr>
          <w:lang w:val="fr-FR"/>
        </w:rPr>
        <w:t>’</w:t>
      </w:r>
      <w:r w:rsidRPr="00653BF4">
        <w:rPr>
          <w:lang w:val="fr-FR"/>
        </w:rPr>
        <w:t>énergie. Plusieurs Parties considèrent également que la coordination intersectorielle constitue un défi majeur, invoquant des difficultés à coordonner les actions des ministères des finances, de l</w:t>
      </w:r>
      <w:r w:rsidR="00D77549">
        <w:rPr>
          <w:lang w:val="fr-FR"/>
        </w:rPr>
        <w:t>’</w:t>
      </w:r>
      <w:r w:rsidRPr="00653BF4">
        <w:rPr>
          <w:lang w:val="fr-FR"/>
        </w:rPr>
        <w:t>environnement, de l</w:t>
      </w:r>
      <w:r w:rsidR="00D77549">
        <w:rPr>
          <w:lang w:val="fr-FR"/>
        </w:rPr>
        <w:t>’</w:t>
      </w:r>
      <w:r w:rsidRPr="00653BF4">
        <w:rPr>
          <w:lang w:val="fr-FR"/>
        </w:rPr>
        <w:t>agriculture et de l</w:t>
      </w:r>
      <w:r w:rsidR="00D77549">
        <w:rPr>
          <w:lang w:val="fr-FR"/>
        </w:rPr>
        <w:t>’</w:t>
      </w:r>
      <w:r w:rsidRPr="00653BF4">
        <w:rPr>
          <w:lang w:val="fr-FR"/>
        </w:rPr>
        <w:t>énergie. L</w:t>
      </w:r>
      <w:r w:rsidR="00D77549">
        <w:rPr>
          <w:lang w:val="fr-FR"/>
        </w:rPr>
        <w:t>’</w:t>
      </w:r>
      <w:r w:rsidRPr="00653BF4">
        <w:rPr>
          <w:lang w:val="fr-FR"/>
        </w:rPr>
        <w:t>insuffisance des ressources financières nationales pour renforcer les incitations positives est un problème récurrent soulevé dans les rapports nationaux, et plusieurs rapports soulignent la dépendance vis-à-vis des donateurs et de l</w:t>
      </w:r>
      <w:r w:rsidR="00D77549">
        <w:rPr>
          <w:lang w:val="fr-FR"/>
        </w:rPr>
        <w:t>’</w:t>
      </w:r>
      <w:r w:rsidRPr="00653BF4">
        <w:rPr>
          <w:lang w:val="fr-FR"/>
        </w:rPr>
        <w:t>appui technique extérieur pour mettre en œuvre ces politiques.</w:t>
      </w:r>
    </w:p>
    <w:p w14:paraId="54C1E45F" w14:textId="77777777" w:rsidR="00B87039" w:rsidRPr="00653BF4" w:rsidRDefault="00B87039" w:rsidP="00B87039">
      <w:pPr>
        <w:pStyle w:val="Heading5"/>
        <w:rPr>
          <w:lang w:val="fr-FR"/>
        </w:rPr>
      </w:pPr>
    </w:p>
    <w:p w14:paraId="2D62E867" w14:textId="7C1FC571" w:rsidR="00B87039" w:rsidRPr="00653BF4" w:rsidRDefault="00B87039" w:rsidP="00B87039">
      <w:pPr>
        <w:pStyle w:val="Heading5"/>
        <w:rPr>
          <w:lang w:val="fr-FR"/>
        </w:rPr>
      </w:pPr>
      <w:bookmarkStart w:id="363" w:name="_Toc235821275"/>
      <w:r w:rsidRPr="00653BF4">
        <w:rPr>
          <w:lang w:val="fr-FR"/>
        </w:rPr>
        <w:t>Contributions provenant d</w:t>
      </w:r>
      <w:r w:rsidR="00D77549">
        <w:rPr>
          <w:lang w:val="fr-FR"/>
        </w:rPr>
        <w:t>’</w:t>
      </w:r>
      <w:r w:rsidRPr="00653BF4">
        <w:rPr>
          <w:lang w:val="fr-FR"/>
        </w:rPr>
        <w:t>acteurs autres que les gouvernements nationaux</w:t>
      </w:r>
      <w:bookmarkEnd w:id="363"/>
    </w:p>
    <w:p w14:paraId="467A93BB" w14:textId="77777777" w:rsidR="00B87039" w:rsidRPr="00653BF4" w:rsidRDefault="00B87039" w:rsidP="00B87039">
      <w:pPr>
        <w:rPr>
          <w:lang w:val="fr-FR"/>
        </w:rPr>
      </w:pPr>
    </w:p>
    <w:p w14:paraId="67823E61" w14:textId="7B598701" w:rsidR="00B87039" w:rsidRPr="00653BF4" w:rsidRDefault="00B87039" w:rsidP="00B87039">
      <w:pPr>
        <w:pStyle w:val="Heading6"/>
        <w:rPr>
          <w:lang w:val="fr-FR"/>
        </w:rPr>
      </w:pPr>
      <w:bookmarkStart w:id="364" w:name="_Toc235821276"/>
      <w:r w:rsidRPr="00653BF4">
        <w:rPr>
          <w:lang w:val="fr-FR"/>
        </w:rPr>
        <w:t>Engagements communiqués directement via l</w:t>
      </w:r>
      <w:r w:rsidR="00D77549">
        <w:rPr>
          <w:lang w:val="fr-FR"/>
        </w:rPr>
        <w:t>’</w:t>
      </w:r>
      <w:r w:rsidRPr="00653BF4">
        <w:rPr>
          <w:lang w:val="fr-FR"/>
        </w:rPr>
        <w:t>outil de présentation des rapports en ligne</w:t>
      </w:r>
      <w:bookmarkEnd w:id="364"/>
    </w:p>
    <w:p w14:paraId="0A9FFA17" w14:textId="77777777" w:rsidR="00B87039" w:rsidRPr="00653BF4" w:rsidRDefault="00B87039" w:rsidP="00B87039">
      <w:pPr>
        <w:rPr>
          <w:lang w:val="fr-FR"/>
        </w:rPr>
      </w:pPr>
    </w:p>
    <w:p w14:paraId="3649F895" w14:textId="05CB5730" w:rsidR="00B87039" w:rsidRPr="00653BF4" w:rsidRDefault="00B87039" w:rsidP="00B87039">
      <w:pPr>
        <w:rPr>
          <w:lang w:val="fr-FR"/>
        </w:rPr>
      </w:pPr>
      <w:r w:rsidRPr="00653BF4">
        <w:rPr>
          <w:lang w:val="fr-FR"/>
        </w:rPr>
        <w:t xml:space="preserve">Sur les 180 engagements de fond présentés par des acteurs autres que les gouvernements nationaux, seulement 1 concerne principalement la </w:t>
      </w:r>
      <w:r w:rsidR="00E34DC9">
        <w:rPr>
          <w:lang w:val="fr-FR"/>
        </w:rPr>
        <w:t>cible 1</w:t>
      </w:r>
      <w:r w:rsidRPr="00653BF4">
        <w:rPr>
          <w:lang w:val="fr-FR"/>
        </w:rPr>
        <w:t>8. Cet engagement émane d</w:t>
      </w:r>
      <w:r w:rsidR="00D77549">
        <w:rPr>
          <w:lang w:val="fr-FR"/>
        </w:rPr>
        <w:t>’</w:t>
      </w:r>
      <w:r w:rsidRPr="00653BF4">
        <w:rPr>
          <w:lang w:val="fr-FR"/>
        </w:rPr>
        <w:t>un réseau d</w:t>
      </w:r>
      <w:r w:rsidR="00D77549">
        <w:rPr>
          <w:lang w:val="fr-FR"/>
        </w:rPr>
        <w:t>’</w:t>
      </w:r>
      <w:r w:rsidRPr="00653BF4">
        <w:rPr>
          <w:lang w:val="fr-FR"/>
        </w:rPr>
        <w:t>ONG basées au Danemark, qui a soumis des engagements portant sur l</w:t>
      </w:r>
      <w:r w:rsidR="00D77549">
        <w:rPr>
          <w:lang w:val="fr-FR"/>
        </w:rPr>
        <w:t>’</w:t>
      </w:r>
      <w:r w:rsidRPr="00653BF4">
        <w:rPr>
          <w:lang w:val="fr-FR"/>
        </w:rPr>
        <w:t>ensemble des 23 cibles du Cadre, et concerne le plaidoyer en faveur d</w:t>
      </w:r>
      <w:r w:rsidR="00D77549">
        <w:rPr>
          <w:lang w:val="fr-FR"/>
        </w:rPr>
        <w:t>’</w:t>
      </w:r>
      <w:r w:rsidRPr="00653BF4">
        <w:rPr>
          <w:lang w:val="fr-FR"/>
        </w:rPr>
        <w:t>une réorientation plus ambitieuse des subventions préjudiciables à la biodiversité.</w:t>
      </w:r>
    </w:p>
    <w:p w14:paraId="4ED236C2" w14:textId="77777777" w:rsidR="00B87039" w:rsidRPr="00653BF4" w:rsidRDefault="00B87039" w:rsidP="00B87039">
      <w:pPr>
        <w:rPr>
          <w:i/>
          <w:iCs/>
          <w:lang w:val="fr-FR"/>
        </w:rPr>
      </w:pPr>
    </w:p>
    <w:p w14:paraId="718B8704" w14:textId="27C44004" w:rsidR="00B87039" w:rsidRPr="00653BF4" w:rsidRDefault="00B87039" w:rsidP="00B87039">
      <w:pPr>
        <w:pStyle w:val="Heading6"/>
        <w:rPr>
          <w:lang w:val="fr-FR"/>
        </w:rPr>
      </w:pPr>
      <w:bookmarkStart w:id="365" w:name="_Toc235821277"/>
      <w:r w:rsidRPr="00653BF4">
        <w:rPr>
          <w:lang w:val="fr-FR"/>
        </w:rPr>
        <w:t>Contributions intégrées dans les rapports nationaux</w:t>
      </w:r>
      <w:bookmarkEnd w:id="365"/>
    </w:p>
    <w:p w14:paraId="10C79CCB" w14:textId="77777777" w:rsidR="00B87039" w:rsidRPr="00653BF4" w:rsidRDefault="00B87039" w:rsidP="00B87039">
      <w:pPr>
        <w:rPr>
          <w:lang w:val="fr-FR"/>
        </w:rPr>
      </w:pPr>
    </w:p>
    <w:p w14:paraId="54D6C06E" w14:textId="78C83553" w:rsidR="00B87039" w:rsidRPr="00653BF4" w:rsidRDefault="00B87039" w:rsidP="00B87039">
      <w:pPr>
        <w:rPr>
          <w:lang w:val="fr-FR"/>
        </w:rPr>
      </w:pPr>
      <w:r w:rsidRPr="00653BF4">
        <w:rPr>
          <w:lang w:val="fr-FR"/>
        </w:rPr>
        <w:t>Les rapports nationaux présentent des exemples de partage d</w:t>
      </w:r>
      <w:r w:rsidR="00D77549">
        <w:rPr>
          <w:lang w:val="fr-FR"/>
        </w:rPr>
        <w:t>’</w:t>
      </w:r>
      <w:r w:rsidRPr="00653BF4">
        <w:rPr>
          <w:lang w:val="fr-FR"/>
        </w:rPr>
        <w:t xml:space="preserve">analyses et de connaissances en vue de la mise en œuvre de la </w:t>
      </w:r>
      <w:r w:rsidR="00E34DC9">
        <w:rPr>
          <w:lang w:val="fr-FR"/>
        </w:rPr>
        <w:t>cible 1</w:t>
      </w:r>
      <w:r w:rsidRPr="00653BF4">
        <w:rPr>
          <w:lang w:val="fr-FR"/>
        </w:rPr>
        <w:t>8. Les organisations intergouvernementales, en particulier le PNUD par l</w:t>
      </w:r>
      <w:r w:rsidR="00D77549">
        <w:rPr>
          <w:lang w:val="fr-FR"/>
        </w:rPr>
        <w:t>’</w:t>
      </w:r>
      <w:r w:rsidRPr="00653BF4">
        <w:rPr>
          <w:lang w:val="fr-FR"/>
        </w:rPr>
        <w:t>intermédiaire de BIOFIN, apportent leur aide à l</w:t>
      </w:r>
      <w:r w:rsidR="00D77549">
        <w:rPr>
          <w:lang w:val="fr-FR"/>
        </w:rPr>
        <w:t>’</w:t>
      </w:r>
      <w:r w:rsidRPr="00653BF4">
        <w:rPr>
          <w:lang w:val="fr-FR"/>
        </w:rPr>
        <w:t>élaboration des plans nationaux de financement de la biodiversité. Les organismes de recherche contribuent à l</w:t>
      </w:r>
      <w:r w:rsidR="00D77549">
        <w:rPr>
          <w:lang w:val="fr-FR"/>
        </w:rPr>
        <w:t>’</w:t>
      </w:r>
      <w:r w:rsidRPr="00653BF4">
        <w:rPr>
          <w:lang w:val="fr-FR"/>
        </w:rPr>
        <w:t>évaluation des subventions préjudiciables, tandis que les communautés associées au monde des affaires et de la finance participent à ces efforts par le biais de cadres de publication d</w:t>
      </w:r>
      <w:r w:rsidR="00D77549">
        <w:rPr>
          <w:lang w:val="fr-FR"/>
        </w:rPr>
        <w:t>’</w:t>
      </w:r>
      <w:r w:rsidRPr="00653BF4">
        <w:rPr>
          <w:lang w:val="fr-FR"/>
        </w:rPr>
        <w:t>informations tels que le Groupe de travail sur les informations financières liées à la nature (TFND). La principale mission de mise en œuvre pour les secteurs liés à la biodiversité ou qui en dépendent, les ONG, les peuples autochtones et communautés locales, consiste à mettre en place des mécanismes d</w:t>
      </w:r>
      <w:r w:rsidR="00D77549">
        <w:rPr>
          <w:lang w:val="fr-FR"/>
        </w:rPr>
        <w:t>’</w:t>
      </w:r>
      <w:r w:rsidRPr="00653BF4">
        <w:rPr>
          <w:lang w:val="fr-FR"/>
        </w:rPr>
        <w:t>incitation positifs, tels que les paiements pour les services écosystémiques et les systèmes de certification de la durabilité. En ce qui concerne les citoyens, les jeunes et les femmes, les rapports nationaux évoquent principalement des rôles de consultation et de sensibilisation.</w:t>
      </w:r>
    </w:p>
    <w:p w14:paraId="4DA12E00" w14:textId="77777777" w:rsidR="00B87039" w:rsidRPr="00653BF4" w:rsidRDefault="00B87039" w:rsidP="00B87039">
      <w:pPr>
        <w:pStyle w:val="Heading5"/>
        <w:rPr>
          <w:lang w:val="fr-FR"/>
        </w:rPr>
      </w:pPr>
    </w:p>
    <w:p w14:paraId="3B6EA15F" w14:textId="349CABBB" w:rsidR="00B87039" w:rsidRPr="00653BF4" w:rsidRDefault="00B87039" w:rsidP="00B87039">
      <w:pPr>
        <w:pStyle w:val="Heading5"/>
        <w:rPr>
          <w:lang w:val="fr-FR"/>
        </w:rPr>
      </w:pPr>
      <w:r w:rsidRPr="00653BF4">
        <w:rPr>
          <w:lang w:val="fr-FR"/>
        </w:rPr>
        <w:t>Exemples de liens avec d</w:t>
      </w:r>
      <w:r w:rsidR="00D77549">
        <w:rPr>
          <w:lang w:val="fr-FR"/>
        </w:rPr>
        <w:t>’</w:t>
      </w:r>
      <w:r w:rsidRPr="00653BF4">
        <w:rPr>
          <w:lang w:val="fr-FR"/>
        </w:rPr>
        <w:t xml:space="preserve">autres accords, processus et organisations </w:t>
      </w:r>
    </w:p>
    <w:p w14:paraId="1E319E84" w14:textId="77777777" w:rsidR="00B87039" w:rsidRPr="00653BF4" w:rsidRDefault="00B87039" w:rsidP="00B87039">
      <w:pPr>
        <w:rPr>
          <w:lang w:val="fr-FR"/>
        </w:rPr>
      </w:pPr>
    </w:p>
    <w:p w14:paraId="709B0218" w14:textId="6936A2A2" w:rsidR="00B87039" w:rsidRPr="00653BF4" w:rsidRDefault="00B87039" w:rsidP="00B87039">
      <w:pPr>
        <w:rPr>
          <w:lang w:val="fr-FR"/>
        </w:rPr>
      </w:pPr>
      <w:r w:rsidRPr="00653BF4">
        <w:rPr>
          <w:lang w:val="fr-FR"/>
        </w:rPr>
        <w:t>L</w:t>
      </w:r>
      <w:r w:rsidR="00D77549">
        <w:rPr>
          <w:lang w:val="fr-FR"/>
        </w:rPr>
        <w:t>’</w:t>
      </w:r>
      <w:r w:rsidRPr="00653BF4">
        <w:rPr>
          <w:lang w:val="fr-FR"/>
        </w:rPr>
        <w:t>entrée en vigueur en 2025 de l</w:t>
      </w:r>
      <w:r w:rsidR="00D77549">
        <w:rPr>
          <w:lang w:val="fr-FR"/>
        </w:rPr>
        <w:t>’</w:t>
      </w:r>
      <w:r w:rsidRPr="00653BF4">
        <w:rPr>
          <w:lang w:val="fr-FR"/>
        </w:rPr>
        <w:t>Accord de 2022 de l</w:t>
      </w:r>
      <w:r w:rsidR="00D77549">
        <w:rPr>
          <w:lang w:val="fr-FR"/>
        </w:rPr>
        <w:t>’</w:t>
      </w:r>
      <w:r w:rsidRPr="00653BF4">
        <w:rPr>
          <w:lang w:val="fr-FR"/>
        </w:rPr>
        <w:t>Organisation mondiale du commerce sur les subventions à la pêche a marqué une étape importante dans l</w:t>
      </w:r>
      <w:r w:rsidR="00D77549">
        <w:rPr>
          <w:lang w:val="fr-FR"/>
        </w:rPr>
        <w:t>’</w:t>
      </w:r>
      <w:r w:rsidRPr="00653BF4">
        <w:rPr>
          <w:lang w:val="fr-FR"/>
        </w:rPr>
        <w:t xml:space="preserve">élimination progressive des subventions préjudiciables à la biodiversité, et était donc étroitement liée à la mise en œuvre de la </w:t>
      </w:r>
      <w:r w:rsidR="00E34DC9">
        <w:rPr>
          <w:lang w:val="fr-FR"/>
        </w:rPr>
        <w:t>cible 1</w:t>
      </w:r>
      <w:r w:rsidRPr="00653BF4">
        <w:rPr>
          <w:lang w:val="fr-FR"/>
        </w:rPr>
        <w:t>8. L</w:t>
      </w:r>
      <w:r w:rsidR="00D77549">
        <w:rPr>
          <w:lang w:val="fr-FR"/>
        </w:rPr>
        <w:t>’</w:t>
      </w:r>
      <w:r w:rsidRPr="00653BF4">
        <w:rPr>
          <w:lang w:val="fr-FR"/>
        </w:rPr>
        <w:t>accord interdit les subventions qui contribuent à la pêche illicite, non déclarée et non réglementée, qui ont un impact sur les stocks de pêche surexploités ou qui sont liées à la pêche en haute mer lorsque les ressources ne relèvent pas de la gestion d</w:t>
      </w:r>
      <w:r w:rsidR="00D77549">
        <w:rPr>
          <w:lang w:val="fr-FR"/>
        </w:rPr>
        <w:t>’</w:t>
      </w:r>
      <w:r w:rsidRPr="00653BF4">
        <w:rPr>
          <w:lang w:val="fr-FR"/>
        </w:rPr>
        <w:t>organisations régionales de gestion des pêches (OMC, 2022).</w:t>
      </w:r>
    </w:p>
    <w:p w14:paraId="05AC5240" w14:textId="4E2498F5" w:rsidR="00B87039" w:rsidRPr="00653BF4" w:rsidRDefault="00B87039" w:rsidP="00B87039">
      <w:pPr>
        <w:rPr>
          <w:lang w:val="fr-FR"/>
        </w:rPr>
      </w:pPr>
      <w:r w:rsidRPr="00653BF4">
        <w:rPr>
          <w:lang w:val="fr-FR"/>
        </w:rPr>
        <w:t>L</w:t>
      </w:r>
      <w:r w:rsidR="00D77549">
        <w:rPr>
          <w:lang w:val="fr-FR"/>
        </w:rPr>
        <w:t>’</w:t>
      </w:r>
      <w:r w:rsidRPr="00653BF4">
        <w:rPr>
          <w:lang w:val="fr-FR"/>
        </w:rPr>
        <w:t>un des objectifs stratégiques du Cadre mondial sur les produits chimiques consiste à encourager les investissements financiers en faveur de pratiques chimiques plus sûres et plus durables, notamment les technologies propres et l</w:t>
      </w:r>
      <w:r w:rsidR="00D77549">
        <w:rPr>
          <w:lang w:val="fr-FR"/>
        </w:rPr>
        <w:t>’</w:t>
      </w:r>
      <w:r w:rsidRPr="00653BF4">
        <w:rPr>
          <w:lang w:val="fr-FR"/>
        </w:rPr>
        <w:t>utilisation rationnelle des ressources. En encourageant des approches intégrées du financement, qui passent notamment par l</w:t>
      </w:r>
      <w:r w:rsidR="00D77549">
        <w:rPr>
          <w:lang w:val="fr-FR"/>
        </w:rPr>
        <w:t>’</w:t>
      </w:r>
      <w:r w:rsidRPr="00653BF4">
        <w:rPr>
          <w:lang w:val="fr-FR"/>
        </w:rPr>
        <w:t xml:space="preserve">intégration de la participation du secteur privé et la mobilisation de fonds externes, ce Cadre contribue à mobiliser des ressources afin de supprimer progressivement les subventions préjudiciables et de renforcer le soutien financier en faveur des technologies et pratiques vertes, contribuant ainsi à la mise en œuvre de la </w:t>
      </w:r>
      <w:r w:rsidR="00E34DC9">
        <w:rPr>
          <w:lang w:val="fr-FR"/>
        </w:rPr>
        <w:t>cible 1</w:t>
      </w:r>
      <w:r w:rsidRPr="00653BF4">
        <w:rPr>
          <w:lang w:val="fr-FR"/>
        </w:rPr>
        <w:t>8. Plus précisément, la cible D2 du Cadre vise à mettre en œuvre des politiques encourageant le recours aux meilleures techniques disponibles, aux marchés publics écologiques et aux approches fondées sur l</w:t>
      </w:r>
      <w:r w:rsidR="00D77549">
        <w:rPr>
          <w:lang w:val="fr-FR"/>
        </w:rPr>
        <w:t>’</w:t>
      </w:r>
      <w:r w:rsidRPr="00653BF4">
        <w:rPr>
          <w:lang w:val="fr-FR"/>
        </w:rPr>
        <w:t>économie circulaire, afin de favoriser la transition vers des processus de production plus durables (secrétariat des Conventions de Bâle, de Rotterdam et de Stockholm, 2025</w:t>
      </w:r>
      <w:r w:rsidR="00E34DC9">
        <w:rPr>
          <w:lang w:val="fr-FR"/>
        </w:rPr>
        <w:t> ;</w:t>
      </w:r>
      <w:r w:rsidRPr="00653BF4">
        <w:rPr>
          <w:lang w:val="fr-FR"/>
        </w:rPr>
        <w:t xml:space="preserve"> PNUE, 2024a).</w:t>
      </w:r>
    </w:p>
    <w:p w14:paraId="3EDC1AB8" w14:textId="77777777" w:rsidR="00B87039" w:rsidRPr="00653BF4" w:rsidRDefault="00B87039" w:rsidP="00B87039">
      <w:pPr>
        <w:pStyle w:val="Heading4"/>
        <w:rPr>
          <w:lang w:val="fr-FR"/>
        </w:rPr>
      </w:pPr>
      <w:bookmarkStart w:id="366" w:name="_Toc235821278"/>
      <w:bookmarkStart w:id="367" w:name="_Ref236151213"/>
      <w:bookmarkStart w:id="368" w:name="_Ref236152379"/>
    </w:p>
    <w:p w14:paraId="1CF9EAE6" w14:textId="201A05C7" w:rsidR="00B87039" w:rsidRPr="00653BF4" w:rsidRDefault="00E34DC9" w:rsidP="00B87039">
      <w:pPr>
        <w:pStyle w:val="Heading4"/>
        <w:rPr>
          <w:i w:val="0"/>
          <w:iCs w:val="0"/>
          <w:lang w:val="fr-FR"/>
        </w:rPr>
      </w:pPr>
      <w:bookmarkStart w:id="369" w:name="_Toc239069215"/>
      <w:bookmarkStart w:id="370" w:name="_Toc1304821510"/>
      <w:bookmarkStart w:id="371" w:name="_Toc242801252"/>
      <w:r>
        <w:rPr>
          <w:b/>
          <w:bCs/>
          <w:i w:val="0"/>
          <w:iCs w:val="0"/>
          <w:lang w:val="fr-FR"/>
        </w:rPr>
        <w:t>Cible 1</w:t>
      </w:r>
      <w:r w:rsidR="00B87039" w:rsidRPr="00653BF4">
        <w:rPr>
          <w:b/>
          <w:bCs/>
          <w:i w:val="0"/>
          <w:iCs w:val="0"/>
          <w:lang w:val="fr-FR"/>
        </w:rPr>
        <w:t xml:space="preserve">9. </w:t>
      </w:r>
      <w:r w:rsidR="00B87039" w:rsidRPr="00653BF4">
        <w:rPr>
          <w:i w:val="0"/>
          <w:iCs w:val="0"/>
          <w:lang w:val="fr-FR"/>
        </w:rPr>
        <w:t>Mobiliser 200 milliards de dollars des États-Unis par an pour la biodiversité, toutes sources confondues, dont 30 milliards de dollars des États-Unis provenant du financement international</w:t>
      </w:r>
      <w:bookmarkEnd w:id="366"/>
      <w:bookmarkEnd w:id="367"/>
      <w:bookmarkEnd w:id="368"/>
      <w:bookmarkEnd w:id="369"/>
      <w:bookmarkEnd w:id="370"/>
      <w:bookmarkEnd w:id="371"/>
    </w:p>
    <w:p w14:paraId="3AB53C2B" w14:textId="77777777" w:rsidR="00B87039" w:rsidRPr="00653BF4" w:rsidRDefault="00B87039" w:rsidP="00B87039">
      <w:pPr>
        <w:rPr>
          <w:lang w:val="fr-FR"/>
        </w:rPr>
      </w:pPr>
    </w:p>
    <w:p w14:paraId="55D20374" w14:textId="163B82F7" w:rsidR="00B87039" w:rsidRPr="00653BF4" w:rsidRDefault="00B87039" w:rsidP="00B87039">
      <w:pPr>
        <w:pStyle w:val="Default"/>
        <w:rPr>
          <w:rFonts w:asciiTheme="minorHAnsi" w:hAnsiTheme="minorHAnsi"/>
          <w:i/>
          <w:iCs/>
          <w:sz w:val="21"/>
          <w:szCs w:val="21"/>
          <w:lang w:val="fr-FR"/>
        </w:rPr>
      </w:pPr>
      <w:r w:rsidRPr="00653BF4">
        <w:rPr>
          <w:rFonts w:asciiTheme="minorHAnsi" w:hAnsiTheme="minorHAnsi"/>
          <w:b/>
          <w:bCs/>
          <w:sz w:val="21"/>
          <w:szCs w:val="21"/>
          <w:lang w:val="fr-FR"/>
        </w:rPr>
        <w:t>Texte de la cible.</w:t>
      </w:r>
      <w:r w:rsidRPr="00653BF4">
        <w:rPr>
          <w:i/>
          <w:iCs/>
          <w:sz w:val="21"/>
          <w:szCs w:val="21"/>
          <w:lang w:val="fr-FR"/>
        </w:rPr>
        <w:t xml:space="preserve"> </w:t>
      </w:r>
      <w:r w:rsidRPr="00653BF4">
        <w:rPr>
          <w:rFonts w:asciiTheme="minorHAnsi" w:hAnsiTheme="minorHAnsi"/>
          <w:i/>
          <w:iCs/>
          <w:sz w:val="21"/>
          <w:szCs w:val="21"/>
          <w:lang w:val="fr-FR"/>
        </w:rPr>
        <w:t>Augmenter sensiblement et progressivement les ressources financières provenant de toutes les sources, de manière efficace, opportune et en facilitant leur accès, y compris les ressources nationales, internationales, publiques et privées, conformément à l</w:t>
      </w:r>
      <w:r w:rsidR="00D77549">
        <w:rPr>
          <w:rFonts w:asciiTheme="minorHAnsi" w:hAnsiTheme="minorHAnsi"/>
          <w:i/>
          <w:iCs/>
          <w:sz w:val="21"/>
          <w:szCs w:val="21"/>
          <w:lang w:val="fr-FR"/>
        </w:rPr>
        <w:t>’</w:t>
      </w:r>
      <w:r w:rsidRPr="00653BF4">
        <w:rPr>
          <w:rFonts w:asciiTheme="minorHAnsi" w:hAnsiTheme="minorHAnsi"/>
          <w:i/>
          <w:iCs/>
          <w:sz w:val="21"/>
          <w:szCs w:val="21"/>
          <w:lang w:val="fr-FR"/>
        </w:rPr>
        <w:t>article 20 de la Convention, afin de mettre en œuvre les stratégies et plans d</w:t>
      </w:r>
      <w:r w:rsidR="00D77549">
        <w:rPr>
          <w:rFonts w:asciiTheme="minorHAnsi" w:hAnsiTheme="minorHAnsi"/>
          <w:i/>
          <w:iCs/>
          <w:sz w:val="21"/>
          <w:szCs w:val="21"/>
          <w:lang w:val="fr-FR"/>
        </w:rPr>
        <w:t>’</w:t>
      </w:r>
      <w:r w:rsidRPr="00653BF4">
        <w:rPr>
          <w:rFonts w:asciiTheme="minorHAnsi" w:hAnsiTheme="minorHAnsi"/>
          <w:i/>
          <w:iCs/>
          <w:sz w:val="21"/>
          <w:szCs w:val="21"/>
          <w:lang w:val="fr-FR"/>
        </w:rPr>
        <w:t>action nationaux pour la biodiversité, en mobilisant au moins 200 milliards de dollars par an d</w:t>
      </w:r>
      <w:r w:rsidR="00D77549">
        <w:rPr>
          <w:rFonts w:asciiTheme="minorHAnsi" w:hAnsiTheme="minorHAnsi"/>
          <w:i/>
          <w:iCs/>
          <w:sz w:val="21"/>
          <w:szCs w:val="21"/>
          <w:lang w:val="fr-FR"/>
        </w:rPr>
        <w:t>’</w:t>
      </w:r>
      <w:r w:rsidRPr="00653BF4">
        <w:rPr>
          <w:rFonts w:asciiTheme="minorHAnsi" w:hAnsiTheme="minorHAnsi"/>
          <w:i/>
          <w:iCs/>
          <w:sz w:val="21"/>
          <w:szCs w:val="21"/>
          <w:lang w:val="fr-FR"/>
        </w:rPr>
        <w:t>ici à 2030, et notamment en s’employant à</w:t>
      </w:r>
      <w:r w:rsidR="00E34DC9">
        <w:rPr>
          <w:rFonts w:asciiTheme="minorHAnsi" w:hAnsiTheme="minorHAnsi"/>
          <w:i/>
          <w:iCs/>
          <w:sz w:val="21"/>
          <w:szCs w:val="21"/>
          <w:lang w:val="fr-FR"/>
        </w:rPr>
        <w:t> :</w:t>
      </w:r>
    </w:p>
    <w:p w14:paraId="74DB5E11" w14:textId="575B8322" w:rsidR="00B87039" w:rsidRPr="00653BF4" w:rsidRDefault="00B87039" w:rsidP="00B87039">
      <w:pPr>
        <w:pStyle w:val="Default"/>
        <w:rPr>
          <w:rFonts w:asciiTheme="minorHAnsi" w:hAnsiTheme="minorHAnsi"/>
          <w:i/>
          <w:iCs/>
          <w:sz w:val="21"/>
          <w:szCs w:val="21"/>
          <w:lang w:val="fr-FR"/>
        </w:rPr>
      </w:pPr>
      <w:r w:rsidRPr="00653BF4">
        <w:rPr>
          <w:rFonts w:asciiTheme="minorHAnsi" w:hAnsiTheme="minorHAnsi"/>
          <w:i/>
          <w:iCs/>
          <w:sz w:val="21"/>
          <w:szCs w:val="21"/>
          <w:lang w:val="fr-FR"/>
        </w:rPr>
        <w:t>a)</w:t>
      </w:r>
      <w:r w:rsidRPr="00653BF4">
        <w:rPr>
          <w:rFonts w:asciiTheme="minorHAnsi" w:hAnsiTheme="minorHAnsi"/>
          <w:i/>
          <w:iCs/>
          <w:sz w:val="21"/>
          <w:szCs w:val="21"/>
          <w:lang w:val="fr-FR"/>
        </w:rPr>
        <w:tab/>
        <w:t>Augmenter le montant total des ressources financières internationales liées à la biodiversité provenant des pays développés, y compris l</w:t>
      </w:r>
      <w:r w:rsidR="00D77549">
        <w:rPr>
          <w:rFonts w:asciiTheme="minorHAnsi" w:hAnsiTheme="minorHAnsi"/>
          <w:i/>
          <w:iCs/>
          <w:sz w:val="21"/>
          <w:szCs w:val="21"/>
          <w:lang w:val="fr-FR"/>
        </w:rPr>
        <w:t>’</w:t>
      </w:r>
      <w:r w:rsidRPr="00653BF4">
        <w:rPr>
          <w:rFonts w:asciiTheme="minorHAnsi" w:hAnsiTheme="minorHAnsi"/>
          <w:i/>
          <w:iCs/>
          <w:sz w:val="21"/>
          <w:szCs w:val="21"/>
          <w:lang w:val="fr-FR"/>
        </w:rPr>
        <w:t xml:space="preserve">aide publique au développement, et des pays qui remplissent volontairement les engagements des pays développés Parties, en faveur des pays en développement, en particulier des pays les moins avancés et des petits États insulaires en </w:t>
      </w:r>
      <w:r w:rsidRPr="00653BF4">
        <w:rPr>
          <w:rFonts w:asciiTheme="minorHAnsi" w:hAnsiTheme="minorHAnsi"/>
          <w:i/>
          <w:iCs/>
          <w:sz w:val="21"/>
          <w:szCs w:val="21"/>
          <w:lang w:val="fr-FR"/>
        </w:rPr>
        <w:lastRenderedPageBreak/>
        <w:t>développement, ainsi que des pays à économie en transition, pour le porter à au moins 20 milliards de dollars par an d</w:t>
      </w:r>
      <w:r w:rsidR="00D77549">
        <w:rPr>
          <w:rFonts w:asciiTheme="minorHAnsi" w:hAnsiTheme="minorHAnsi"/>
          <w:i/>
          <w:iCs/>
          <w:sz w:val="21"/>
          <w:szCs w:val="21"/>
          <w:lang w:val="fr-FR"/>
        </w:rPr>
        <w:t>’</w:t>
      </w:r>
      <w:r w:rsidRPr="00653BF4">
        <w:rPr>
          <w:rFonts w:asciiTheme="minorHAnsi" w:hAnsiTheme="minorHAnsi"/>
          <w:i/>
          <w:iCs/>
          <w:sz w:val="21"/>
          <w:szCs w:val="21"/>
          <w:lang w:val="fr-FR"/>
        </w:rPr>
        <w:t>ici à 2025, et à au moins 30 milliards de dollars par an d</w:t>
      </w:r>
      <w:r w:rsidR="00D77549">
        <w:rPr>
          <w:rFonts w:asciiTheme="minorHAnsi" w:hAnsiTheme="minorHAnsi"/>
          <w:i/>
          <w:iCs/>
          <w:sz w:val="21"/>
          <w:szCs w:val="21"/>
          <w:lang w:val="fr-FR"/>
        </w:rPr>
        <w:t>’</w:t>
      </w:r>
      <w:r w:rsidRPr="00653BF4">
        <w:rPr>
          <w:rFonts w:asciiTheme="minorHAnsi" w:hAnsiTheme="minorHAnsi"/>
          <w:i/>
          <w:iCs/>
          <w:sz w:val="21"/>
          <w:szCs w:val="21"/>
          <w:lang w:val="fr-FR"/>
        </w:rPr>
        <w:t>ici à 2030</w:t>
      </w:r>
      <w:r w:rsidR="00E34DC9">
        <w:rPr>
          <w:rFonts w:asciiTheme="minorHAnsi" w:hAnsiTheme="minorHAnsi"/>
          <w:i/>
          <w:iCs/>
          <w:sz w:val="21"/>
          <w:szCs w:val="21"/>
          <w:lang w:val="fr-FR"/>
        </w:rPr>
        <w:t> ;</w:t>
      </w:r>
    </w:p>
    <w:p w14:paraId="1EB4A5B8" w14:textId="7FB99B96" w:rsidR="00B87039" w:rsidRPr="00653BF4" w:rsidRDefault="00B87039" w:rsidP="00B87039">
      <w:pPr>
        <w:pStyle w:val="Default"/>
        <w:rPr>
          <w:rFonts w:asciiTheme="minorHAnsi" w:hAnsiTheme="minorHAnsi"/>
          <w:i/>
          <w:iCs/>
          <w:sz w:val="21"/>
          <w:szCs w:val="21"/>
          <w:lang w:val="fr-FR"/>
        </w:rPr>
      </w:pPr>
      <w:r w:rsidRPr="00653BF4">
        <w:rPr>
          <w:rFonts w:asciiTheme="minorHAnsi" w:hAnsiTheme="minorHAnsi"/>
          <w:i/>
          <w:iCs/>
          <w:sz w:val="21"/>
          <w:szCs w:val="21"/>
          <w:lang w:val="fr-FR"/>
        </w:rPr>
        <w:t>b)</w:t>
      </w:r>
      <w:r w:rsidRPr="00653BF4">
        <w:rPr>
          <w:rFonts w:asciiTheme="minorHAnsi" w:hAnsiTheme="minorHAnsi"/>
          <w:i/>
          <w:iCs/>
          <w:sz w:val="21"/>
          <w:szCs w:val="21"/>
          <w:lang w:val="fr-FR"/>
        </w:rPr>
        <w:tab/>
        <w:t>Accroître significativement la mobilisation des ressources nationales, grâce à l</w:t>
      </w:r>
      <w:r w:rsidR="00D77549">
        <w:rPr>
          <w:rFonts w:asciiTheme="minorHAnsi" w:hAnsiTheme="minorHAnsi"/>
          <w:i/>
          <w:iCs/>
          <w:sz w:val="21"/>
          <w:szCs w:val="21"/>
          <w:lang w:val="fr-FR"/>
        </w:rPr>
        <w:t>’</w:t>
      </w:r>
      <w:r w:rsidRPr="00653BF4">
        <w:rPr>
          <w:rFonts w:asciiTheme="minorHAnsi" w:hAnsiTheme="minorHAnsi"/>
          <w:i/>
          <w:iCs/>
          <w:sz w:val="21"/>
          <w:szCs w:val="21"/>
          <w:lang w:val="fr-FR"/>
        </w:rPr>
        <w:t>élaboration et à la mise en œuvre de plans nationaux de financement de la biodiversité ou d</w:t>
      </w:r>
      <w:r w:rsidR="00D77549">
        <w:rPr>
          <w:rFonts w:asciiTheme="minorHAnsi" w:hAnsiTheme="minorHAnsi"/>
          <w:i/>
          <w:iCs/>
          <w:sz w:val="21"/>
          <w:szCs w:val="21"/>
          <w:lang w:val="fr-FR"/>
        </w:rPr>
        <w:t>’</w:t>
      </w:r>
      <w:r w:rsidRPr="00653BF4">
        <w:rPr>
          <w:rFonts w:asciiTheme="minorHAnsi" w:hAnsiTheme="minorHAnsi"/>
          <w:i/>
          <w:iCs/>
          <w:sz w:val="21"/>
          <w:szCs w:val="21"/>
          <w:lang w:val="fr-FR"/>
        </w:rPr>
        <w:t>instruments similaires en tenant compte des besoins, des priorités et du contexte des pays</w:t>
      </w:r>
      <w:r w:rsidR="00E34DC9">
        <w:rPr>
          <w:rFonts w:asciiTheme="minorHAnsi" w:hAnsiTheme="minorHAnsi"/>
          <w:i/>
          <w:iCs/>
          <w:sz w:val="21"/>
          <w:szCs w:val="21"/>
          <w:lang w:val="fr-FR"/>
        </w:rPr>
        <w:t> ;</w:t>
      </w:r>
    </w:p>
    <w:p w14:paraId="13463AEB" w14:textId="3210EF3D" w:rsidR="00B87039" w:rsidRPr="00653BF4" w:rsidRDefault="00B87039" w:rsidP="00B87039">
      <w:pPr>
        <w:pStyle w:val="Default"/>
        <w:rPr>
          <w:rFonts w:asciiTheme="minorHAnsi" w:hAnsiTheme="minorHAnsi"/>
          <w:i/>
          <w:iCs/>
          <w:sz w:val="21"/>
          <w:szCs w:val="21"/>
          <w:lang w:val="fr-FR"/>
        </w:rPr>
      </w:pPr>
      <w:r w:rsidRPr="00653BF4">
        <w:rPr>
          <w:rFonts w:asciiTheme="minorHAnsi" w:hAnsiTheme="minorHAnsi"/>
          <w:i/>
          <w:iCs/>
          <w:sz w:val="21"/>
          <w:szCs w:val="21"/>
          <w:lang w:val="fr-FR"/>
        </w:rPr>
        <w:t>c)</w:t>
      </w:r>
      <w:r w:rsidRPr="00653BF4">
        <w:rPr>
          <w:rFonts w:asciiTheme="minorHAnsi" w:hAnsiTheme="minorHAnsi"/>
          <w:i/>
          <w:iCs/>
          <w:sz w:val="21"/>
          <w:szCs w:val="21"/>
          <w:lang w:val="fr-FR"/>
        </w:rPr>
        <w:tab/>
        <w:t>Tirer parti des financements privés, promouvoir les financements mixtes, mettre en œuvre des stratégies de mobilisation de ressources nouvelles et supplémentaires, et encourager le secteur privé à investir dans la biodiversité, notamment grâce à des fonds à impact et à d</w:t>
      </w:r>
      <w:r w:rsidR="00D77549">
        <w:rPr>
          <w:rFonts w:asciiTheme="minorHAnsi" w:hAnsiTheme="minorHAnsi"/>
          <w:i/>
          <w:iCs/>
          <w:sz w:val="21"/>
          <w:szCs w:val="21"/>
          <w:lang w:val="fr-FR"/>
        </w:rPr>
        <w:t>’</w:t>
      </w:r>
      <w:r w:rsidRPr="00653BF4">
        <w:rPr>
          <w:rFonts w:asciiTheme="minorHAnsi" w:hAnsiTheme="minorHAnsi"/>
          <w:i/>
          <w:iCs/>
          <w:sz w:val="21"/>
          <w:szCs w:val="21"/>
          <w:lang w:val="fr-FR"/>
        </w:rPr>
        <w:t>autres instruments</w:t>
      </w:r>
      <w:r w:rsidR="00E34DC9">
        <w:rPr>
          <w:rFonts w:asciiTheme="minorHAnsi" w:hAnsiTheme="minorHAnsi"/>
          <w:i/>
          <w:iCs/>
          <w:sz w:val="21"/>
          <w:szCs w:val="21"/>
          <w:lang w:val="fr-FR"/>
        </w:rPr>
        <w:t> ;</w:t>
      </w:r>
    </w:p>
    <w:p w14:paraId="084F1042" w14:textId="531B8599" w:rsidR="00B87039" w:rsidRPr="00653BF4" w:rsidRDefault="00B87039" w:rsidP="00B87039">
      <w:pPr>
        <w:pStyle w:val="Default"/>
        <w:rPr>
          <w:rFonts w:asciiTheme="minorHAnsi" w:hAnsiTheme="minorHAnsi"/>
          <w:i/>
          <w:iCs/>
          <w:sz w:val="21"/>
          <w:szCs w:val="21"/>
          <w:lang w:val="fr-FR"/>
        </w:rPr>
      </w:pPr>
      <w:r w:rsidRPr="00653BF4">
        <w:rPr>
          <w:rFonts w:asciiTheme="minorHAnsi" w:hAnsiTheme="minorHAnsi"/>
          <w:i/>
          <w:iCs/>
          <w:sz w:val="21"/>
          <w:szCs w:val="21"/>
          <w:lang w:val="fr-FR"/>
        </w:rPr>
        <w:t xml:space="preserve">d) </w:t>
      </w:r>
      <w:r w:rsidRPr="00653BF4">
        <w:rPr>
          <w:rFonts w:asciiTheme="minorHAnsi" w:hAnsiTheme="minorHAnsi"/>
          <w:i/>
          <w:iCs/>
          <w:sz w:val="21"/>
          <w:szCs w:val="21"/>
          <w:lang w:val="fr-FR"/>
        </w:rPr>
        <w:tab/>
        <w:t>Promouvoir des systèmes innovants tels que le paiement des services écosystémiques, les obligations vertes, les crédits et compensations en matière de biodiversité et les mécanismes de partage des avantages, grâce à des mesures de protection environnementales et sociales</w:t>
      </w:r>
      <w:r w:rsidR="00E34DC9">
        <w:rPr>
          <w:rFonts w:asciiTheme="minorHAnsi" w:hAnsiTheme="minorHAnsi"/>
          <w:i/>
          <w:iCs/>
          <w:sz w:val="21"/>
          <w:szCs w:val="21"/>
          <w:lang w:val="fr-FR"/>
        </w:rPr>
        <w:t> ;</w:t>
      </w:r>
    </w:p>
    <w:p w14:paraId="5C2F6102" w14:textId="154D0392" w:rsidR="00B87039" w:rsidRPr="00653BF4" w:rsidRDefault="00B87039" w:rsidP="00B87039">
      <w:pPr>
        <w:pStyle w:val="Default"/>
        <w:rPr>
          <w:rFonts w:asciiTheme="minorHAnsi" w:hAnsiTheme="minorHAnsi"/>
          <w:i/>
          <w:iCs/>
          <w:sz w:val="21"/>
          <w:szCs w:val="21"/>
          <w:lang w:val="fr-FR"/>
        </w:rPr>
      </w:pPr>
      <w:r w:rsidRPr="00653BF4">
        <w:rPr>
          <w:rFonts w:asciiTheme="minorHAnsi" w:hAnsiTheme="minorHAnsi"/>
          <w:i/>
          <w:iCs/>
          <w:sz w:val="21"/>
          <w:szCs w:val="21"/>
          <w:lang w:val="fr-FR"/>
        </w:rPr>
        <w:t>e)</w:t>
      </w:r>
      <w:r w:rsidRPr="00653BF4">
        <w:rPr>
          <w:rFonts w:asciiTheme="minorHAnsi" w:hAnsiTheme="minorHAnsi"/>
          <w:i/>
          <w:iCs/>
          <w:sz w:val="21"/>
          <w:szCs w:val="21"/>
          <w:lang w:val="fr-FR"/>
        </w:rPr>
        <w:tab/>
        <w:t>Tirer le meilleur parti des avantages connexes et des synergies des financements ciblant les crises liées à la biodiversité et au climat</w:t>
      </w:r>
      <w:r w:rsidR="00E34DC9">
        <w:rPr>
          <w:rFonts w:asciiTheme="minorHAnsi" w:hAnsiTheme="minorHAnsi"/>
          <w:i/>
          <w:iCs/>
          <w:sz w:val="21"/>
          <w:szCs w:val="21"/>
          <w:lang w:val="fr-FR"/>
        </w:rPr>
        <w:t> ;</w:t>
      </w:r>
    </w:p>
    <w:p w14:paraId="20A969F0" w14:textId="6BDAC72A" w:rsidR="00B87039" w:rsidRPr="00653BF4" w:rsidRDefault="00B87039" w:rsidP="00B87039">
      <w:pPr>
        <w:pStyle w:val="Default"/>
        <w:rPr>
          <w:rFonts w:asciiTheme="minorHAnsi" w:hAnsiTheme="minorHAnsi"/>
          <w:i/>
          <w:iCs/>
          <w:sz w:val="21"/>
          <w:szCs w:val="21"/>
          <w:lang w:val="fr-FR"/>
        </w:rPr>
      </w:pPr>
      <w:r w:rsidRPr="00653BF4">
        <w:rPr>
          <w:rFonts w:asciiTheme="minorHAnsi" w:hAnsiTheme="minorHAnsi"/>
          <w:i/>
          <w:iCs/>
          <w:sz w:val="21"/>
          <w:szCs w:val="21"/>
          <w:lang w:val="fr-FR"/>
        </w:rPr>
        <w:t>f)</w:t>
      </w:r>
      <w:r w:rsidRPr="00653BF4">
        <w:rPr>
          <w:rFonts w:asciiTheme="minorHAnsi" w:hAnsiTheme="minorHAnsi"/>
          <w:i/>
          <w:iCs/>
          <w:sz w:val="21"/>
          <w:szCs w:val="21"/>
          <w:lang w:val="fr-FR"/>
        </w:rPr>
        <w:tab/>
        <w:t>Renforcer les actions collectives, notamment celles des peuples autochtones et des communautés locales, les actions en faveur de la Terre nourricière et les approches non commerciales, y compris les approches communautaires de gestion des ressources naturelles, ainsi que la coopération et la solidarité de la société civile, en vue de préserver la diversité biologique</w:t>
      </w:r>
      <w:r w:rsidR="00E34DC9">
        <w:rPr>
          <w:rFonts w:asciiTheme="minorHAnsi" w:hAnsiTheme="minorHAnsi"/>
          <w:i/>
          <w:iCs/>
          <w:sz w:val="21"/>
          <w:szCs w:val="21"/>
          <w:lang w:val="fr-FR"/>
        </w:rPr>
        <w:t> ;</w:t>
      </w:r>
    </w:p>
    <w:p w14:paraId="1E51D85B" w14:textId="49580825" w:rsidR="00B87039" w:rsidRPr="00653BF4" w:rsidRDefault="00B87039" w:rsidP="00B87039">
      <w:pPr>
        <w:rPr>
          <w:i/>
          <w:iCs/>
          <w:sz w:val="22"/>
          <w:szCs w:val="22"/>
          <w:lang w:val="fr-FR"/>
        </w:rPr>
      </w:pPr>
      <w:r w:rsidRPr="00653BF4">
        <w:rPr>
          <w:i/>
          <w:iCs/>
          <w:sz w:val="21"/>
          <w:szCs w:val="21"/>
          <w:lang w:val="fr-FR"/>
        </w:rPr>
        <w:t>g)</w:t>
      </w:r>
      <w:r w:rsidRPr="00653BF4">
        <w:rPr>
          <w:i/>
          <w:iCs/>
          <w:sz w:val="21"/>
          <w:szCs w:val="21"/>
          <w:lang w:val="fr-FR"/>
        </w:rPr>
        <w:tab/>
        <w:t>Améliorer l</w:t>
      </w:r>
      <w:r w:rsidR="00D77549">
        <w:rPr>
          <w:i/>
          <w:iCs/>
          <w:sz w:val="21"/>
          <w:szCs w:val="21"/>
          <w:lang w:val="fr-FR"/>
        </w:rPr>
        <w:t>’</w:t>
      </w:r>
      <w:r w:rsidRPr="00653BF4">
        <w:rPr>
          <w:i/>
          <w:iCs/>
          <w:sz w:val="21"/>
          <w:szCs w:val="21"/>
          <w:lang w:val="fr-FR"/>
        </w:rPr>
        <w:t>efficacité, l</w:t>
      </w:r>
      <w:r w:rsidR="00D77549">
        <w:rPr>
          <w:i/>
          <w:iCs/>
          <w:sz w:val="21"/>
          <w:szCs w:val="21"/>
          <w:lang w:val="fr-FR"/>
        </w:rPr>
        <w:t>’</w:t>
      </w:r>
      <w:r w:rsidRPr="00653BF4">
        <w:rPr>
          <w:i/>
          <w:iCs/>
          <w:sz w:val="21"/>
          <w:szCs w:val="21"/>
          <w:lang w:val="fr-FR"/>
        </w:rPr>
        <w:t>efficience et la transparence en matière de fourniture et d</w:t>
      </w:r>
      <w:r w:rsidR="00D77549">
        <w:rPr>
          <w:i/>
          <w:iCs/>
          <w:sz w:val="21"/>
          <w:szCs w:val="21"/>
          <w:lang w:val="fr-FR"/>
        </w:rPr>
        <w:t>’</w:t>
      </w:r>
      <w:r w:rsidRPr="00653BF4">
        <w:rPr>
          <w:i/>
          <w:iCs/>
          <w:sz w:val="21"/>
          <w:szCs w:val="21"/>
          <w:lang w:val="fr-FR"/>
        </w:rPr>
        <w:t>utilisation des ressources.</w:t>
      </w:r>
    </w:p>
    <w:p w14:paraId="44E5EF6E" w14:textId="77777777" w:rsidR="00B87039" w:rsidRPr="00653BF4" w:rsidRDefault="00B87039" w:rsidP="00B87039">
      <w:pPr>
        <w:rPr>
          <w:lang w:val="fr-FR"/>
        </w:rPr>
      </w:pPr>
    </w:p>
    <w:p w14:paraId="441F16AB" w14:textId="77777777" w:rsidR="00B87039" w:rsidRPr="00653BF4" w:rsidRDefault="00B87039" w:rsidP="00B87039">
      <w:pPr>
        <w:pStyle w:val="Heading5"/>
        <w:rPr>
          <w:lang w:val="fr-FR"/>
        </w:rPr>
      </w:pPr>
      <w:r w:rsidRPr="00653BF4">
        <w:rPr>
          <w:lang w:val="fr-FR"/>
        </w:rPr>
        <w:t>Aperçu des progrès accomplis</w:t>
      </w:r>
    </w:p>
    <w:tbl>
      <w:tblPr>
        <w:tblStyle w:val="TableGrid"/>
        <w:tblW w:w="0" w:type="auto"/>
        <w:tblLook w:val="04A0" w:firstRow="1" w:lastRow="0" w:firstColumn="1" w:lastColumn="0" w:noHBand="0" w:noVBand="1"/>
      </w:tblPr>
      <w:tblGrid>
        <w:gridCol w:w="9016"/>
      </w:tblGrid>
      <w:tr w:rsidR="00B87039" w:rsidRPr="00543148" w14:paraId="3B4661A3" w14:textId="77777777" w:rsidTr="00557FB3">
        <w:tc>
          <w:tcPr>
            <w:tcW w:w="9016" w:type="dxa"/>
            <w:shd w:val="clear" w:color="auto" w:fill="D1D1D1" w:themeFill="background2" w:themeFillShade="E6"/>
          </w:tcPr>
          <w:p w14:paraId="77B57170" w14:textId="77777777" w:rsidR="00B87039" w:rsidRPr="00653BF4" w:rsidRDefault="00B87039" w:rsidP="00557FB3">
            <w:pPr>
              <w:rPr>
                <w:rFonts w:eastAsia="Times New Roman" w:cs="Calibri"/>
                <w:color w:val="000000"/>
                <w:lang w:val="fr-FR"/>
              </w:rPr>
            </w:pPr>
          </w:p>
          <w:p w14:paraId="06CDD54B" w14:textId="6E907DA5" w:rsidR="00B87039" w:rsidRPr="00653BF4" w:rsidRDefault="00B87039" w:rsidP="00557FB3">
            <w:pPr>
              <w:rPr>
                <w:rFonts w:eastAsia="Times New Roman" w:cs="Calibri"/>
                <w:color w:val="000000"/>
                <w:lang w:val="fr-FR"/>
              </w:rPr>
            </w:pPr>
            <w:r w:rsidRPr="00653BF4">
              <w:rPr>
                <w:rFonts w:eastAsia="Times New Roman" w:cs="Calibri"/>
                <w:color w:val="000000"/>
                <w:lang w:val="fr-FR"/>
              </w:rPr>
              <w:t>Le financement en faveur de la biodiversité est en hausse, mais les progrès restent insuffisants et l</w:t>
            </w:r>
            <w:r w:rsidR="00D77549">
              <w:rPr>
                <w:rFonts w:eastAsia="Times New Roman" w:cs="Calibri"/>
                <w:color w:val="000000"/>
                <w:lang w:val="fr-FR"/>
              </w:rPr>
              <w:t>’</w:t>
            </w:r>
            <w:r w:rsidRPr="00653BF4">
              <w:rPr>
                <w:rFonts w:eastAsia="Times New Roman" w:cs="Calibri"/>
                <w:color w:val="000000"/>
                <w:lang w:val="fr-FR"/>
              </w:rPr>
              <w:t>objectif financier fixé pour 2025 n</w:t>
            </w:r>
            <w:r w:rsidR="00D77549">
              <w:rPr>
                <w:rFonts w:eastAsia="Times New Roman" w:cs="Calibri"/>
                <w:color w:val="000000"/>
                <w:lang w:val="fr-FR"/>
              </w:rPr>
              <w:t>’</w:t>
            </w:r>
            <w:r w:rsidRPr="00653BF4">
              <w:rPr>
                <w:rFonts w:eastAsia="Times New Roman" w:cs="Calibri"/>
                <w:color w:val="000000"/>
                <w:lang w:val="fr-FR"/>
              </w:rPr>
              <w:t>a probablement pas été atteint, même si une évaluation définitive ne sera possible qu</w:t>
            </w:r>
            <w:r w:rsidR="00D77549">
              <w:rPr>
                <w:rFonts w:eastAsia="Times New Roman" w:cs="Calibri"/>
                <w:color w:val="000000"/>
                <w:lang w:val="fr-FR"/>
              </w:rPr>
              <w:t>’</w:t>
            </w:r>
            <w:r w:rsidRPr="00653BF4">
              <w:rPr>
                <w:rFonts w:eastAsia="Times New Roman" w:cs="Calibri"/>
                <w:color w:val="000000"/>
                <w:lang w:val="fr-FR"/>
              </w:rPr>
              <w:t>une fois que les données complètes pour 2024 et 2025 auront été communiquées. Les éléments liés aux synergies financières et au rôle des actions collectives sont largement absents des cibles nationales. Les financements consacrés à la biodiversité, tant au niveau international que national, affichent généralement une tendance à la hausse, bien qu</w:t>
            </w:r>
            <w:r w:rsidR="00D77549">
              <w:rPr>
                <w:rFonts w:eastAsia="Times New Roman" w:cs="Calibri"/>
                <w:color w:val="000000"/>
                <w:lang w:val="fr-FR"/>
              </w:rPr>
              <w:t>’</w:t>
            </w:r>
            <w:r w:rsidRPr="00653BF4">
              <w:rPr>
                <w:rFonts w:eastAsia="Times New Roman" w:cs="Calibri"/>
                <w:color w:val="000000"/>
                <w:lang w:val="fr-FR"/>
              </w:rPr>
              <w:t>ils restent inférieurs aux niveaux nécessaires pour atteindre la cible fixée, et la part des dépenses nationales dans le PIB a diminué. D</w:t>
            </w:r>
            <w:r w:rsidR="00D77549">
              <w:rPr>
                <w:rFonts w:eastAsia="Times New Roman" w:cs="Calibri"/>
                <w:color w:val="000000"/>
                <w:lang w:val="fr-FR"/>
              </w:rPr>
              <w:t>’</w:t>
            </w:r>
            <w:r w:rsidRPr="00653BF4">
              <w:rPr>
                <w:rFonts w:eastAsia="Times New Roman" w:cs="Calibri"/>
                <w:color w:val="000000"/>
                <w:lang w:val="fr-FR"/>
              </w:rPr>
              <w:t>après les données communiquées, le financement privé a atteint son niveau maximal en 2021 avant de reculer par la suite, et demeure particulièrement peu développé. Les auto-évaluations indiquent que seule une minorité de cibles nationales sont en voie d</w:t>
            </w:r>
            <w:r w:rsidR="00D77549">
              <w:rPr>
                <w:rFonts w:eastAsia="Times New Roman" w:cs="Calibri"/>
                <w:color w:val="000000"/>
                <w:lang w:val="fr-FR"/>
              </w:rPr>
              <w:t>’</w:t>
            </w:r>
            <w:r w:rsidRPr="00653BF4">
              <w:rPr>
                <w:rFonts w:eastAsia="Times New Roman" w:cs="Calibri"/>
                <w:color w:val="000000"/>
                <w:lang w:val="fr-FR"/>
              </w:rPr>
              <w:t>être atteintes. Parmi les principaux défis figurent la mobilisation de ressources financières à grande échelle, l</w:t>
            </w:r>
            <w:r w:rsidR="00D77549">
              <w:rPr>
                <w:rFonts w:eastAsia="Times New Roman" w:cs="Calibri"/>
                <w:color w:val="000000"/>
                <w:lang w:val="fr-FR"/>
              </w:rPr>
              <w:t>’</w:t>
            </w:r>
            <w:r w:rsidRPr="00653BF4">
              <w:rPr>
                <w:rFonts w:eastAsia="Times New Roman" w:cs="Calibri"/>
                <w:color w:val="000000"/>
                <w:lang w:val="fr-FR"/>
              </w:rPr>
              <w:t>amélioration de l</w:t>
            </w:r>
            <w:r w:rsidR="00D77549">
              <w:rPr>
                <w:rFonts w:eastAsia="Times New Roman" w:cs="Calibri"/>
                <w:color w:val="000000"/>
                <w:lang w:val="fr-FR"/>
              </w:rPr>
              <w:t>’</w:t>
            </w:r>
            <w:r w:rsidRPr="00653BF4">
              <w:rPr>
                <w:rFonts w:eastAsia="Times New Roman" w:cs="Calibri"/>
                <w:color w:val="000000"/>
                <w:lang w:val="fr-FR"/>
              </w:rPr>
              <w:t>accès au financement et le renforcement des conditions propices à l</w:t>
            </w:r>
            <w:r w:rsidR="00D77549">
              <w:rPr>
                <w:rFonts w:eastAsia="Times New Roman" w:cs="Calibri"/>
                <w:color w:val="000000"/>
                <w:lang w:val="fr-FR"/>
              </w:rPr>
              <w:t>’</w:t>
            </w:r>
            <w:r w:rsidRPr="00653BF4">
              <w:rPr>
                <w:rFonts w:eastAsia="Times New Roman" w:cs="Calibri"/>
                <w:color w:val="000000"/>
                <w:lang w:val="fr-FR"/>
              </w:rPr>
              <w:t>investissement.</w:t>
            </w:r>
          </w:p>
          <w:p w14:paraId="217C5E9D" w14:textId="77777777" w:rsidR="00B87039" w:rsidRPr="00653BF4" w:rsidRDefault="00B87039" w:rsidP="00557FB3">
            <w:pPr>
              <w:rPr>
                <w:lang w:val="fr-FR"/>
              </w:rPr>
            </w:pPr>
          </w:p>
        </w:tc>
      </w:tr>
    </w:tbl>
    <w:p w14:paraId="161C7153" w14:textId="77777777" w:rsidR="00B87039" w:rsidRPr="00653BF4" w:rsidRDefault="00B87039" w:rsidP="00B87039">
      <w:pPr>
        <w:rPr>
          <w:lang w:val="fr-FR"/>
        </w:rPr>
      </w:pPr>
    </w:p>
    <w:p w14:paraId="5C343F16" w14:textId="70BE22EE" w:rsidR="00B87039" w:rsidRPr="00653BF4" w:rsidRDefault="00B87039" w:rsidP="00B87039">
      <w:pPr>
        <w:pStyle w:val="Heading5"/>
        <w:rPr>
          <w:lang w:val="fr-FR"/>
        </w:rPr>
      </w:pPr>
      <w:r w:rsidRPr="00653BF4">
        <w:rPr>
          <w:lang w:val="fr-FR"/>
        </w:rPr>
        <w:t xml:space="preserve">Prise en compte par les Parties de la portée de la </w:t>
      </w:r>
      <w:r w:rsidR="00E34DC9">
        <w:rPr>
          <w:lang w:val="fr-FR"/>
        </w:rPr>
        <w:t>cible 1</w:t>
      </w:r>
      <w:r w:rsidRPr="00653BF4">
        <w:rPr>
          <w:lang w:val="fr-FR"/>
        </w:rPr>
        <w:t>9 du Cadre dans leurs cibles nationales</w:t>
      </w:r>
    </w:p>
    <w:p w14:paraId="5B652933" w14:textId="77777777" w:rsidR="00B87039" w:rsidRPr="00653BF4" w:rsidRDefault="00B87039" w:rsidP="00B87039">
      <w:pPr>
        <w:rPr>
          <w:sz w:val="22"/>
          <w:szCs w:val="22"/>
          <w:lang w:val="fr-FR"/>
        </w:rPr>
      </w:pPr>
    </w:p>
    <w:p w14:paraId="52EA6D2E" w14:textId="77777777" w:rsidR="00B87039" w:rsidRPr="00653BF4" w:rsidRDefault="00B87039" w:rsidP="00B87039">
      <w:pPr>
        <w:rPr>
          <w:sz w:val="20"/>
          <w:szCs w:val="20"/>
          <w:lang w:val="fr-FR"/>
        </w:rPr>
      </w:pPr>
    </w:p>
    <w:p w14:paraId="066B6DE2" w14:textId="026CEEC5" w:rsidR="00B87039" w:rsidRPr="00653BF4" w:rsidRDefault="00B87039" w:rsidP="00B87039">
      <w:pPr>
        <w:pStyle w:val="Caption"/>
        <w:keepNext/>
        <w:rPr>
          <w:i w:val="0"/>
          <w:iCs w:val="0"/>
          <w:sz w:val="20"/>
          <w:szCs w:val="20"/>
          <w:lang w:val="fr-FR"/>
        </w:rPr>
      </w:pPr>
      <w:bookmarkStart w:id="372" w:name="_Ref230780302"/>
      <w:r w:rsidRPr="00653BF4">
        <w:rPr>
          <w:i w:val="0"/>
          <w:iCs w:val="0"/>
          <w:sz w:val="20"/>
          <w:szCs w:val="20"/>
          <w:lang w:val="fr-FR"/>
        </w:rPr>
        <w:lastRenderedPageBreak/>
        <w:t>Tableau 41</w:t>
      </w:r>
      <w:bookmarkEnd w:id="372"/>
    </w:p>
    <w:p w14:paraId="6263275B" w14:textId="7647CCF4" w:rsidR="00B87039" w:rsidRPr="00653BF4" w:rsidRDefault="00B87039" w:rsidP="00B87039">
      <w:pPr>
        <w:pStyle w:val="Caption"/>
        <w:keepNext/>
        <w:rPr>
          <w:i w:val="0"/>
          <w:sz w:val="20"/>
          <w:szCs w:val="20"/>
          <w:lang w:val="fr-FR"/>
        </w:rPr>
      </w:pPr>
      <w:r w:rsidRPr="00653BF4">
        <w:rPr>
          <w:b/>
          <w:i w:val="0"/>
          <w:sz w:val="20"/>
          <w:szCs w:val="20"/>
          <w:lang w:val="fr-FR"/>
        </w:rPr>
        <w:t xml:space="preserve">Éléments de la </w:t>
      </w:r>
      <w:r w:rsidR="00E34DC9">
        <w:rPr>
          <w:b/>
          <w:i w:val="0"/>
          <w:sz w:val="20"/>
          <w:szCs w:val="20"/>
          <w:lang w:val="fr-FR"/>
        </w:rPr>
        <w:t>cible 1</w:t>
      </w:r>
      <w:r w:rsidRPr="00653BF4">
        <w:rPr>
          <w:b/>
          <w:i w:val="0"/>
          <w:sz w:val="20"/>
          <w:szCs w:val="20"/>
          <w:lang w:val="fr-FR"/>
        </w:rPr>
        <w:t xml:space="preserve">9 du Cadre et </w:t>
      </w:r>
      <w:r w:rsidRPr="00653BF4">
        <w:rPr>
          <w:b/>
          <w:bCs/>
          <w:i w:val="0"/>
          <w:iCs w:val="0"/>
          <w:sz w:val="20"/>
          <w:szCs w:val="20"/>
          <w:lang w:val="fr-FR"/>
        </w:rPr>
        <w:t>leur prise en compte dans les cibles nationales</w:t>
      </w:r>
      <w:r w:rsidRPr="00653BF4">
        <w:rPr>
          <w:i w:val="0"/>
          <w:iCs w:val="0"/>
          <w:sz w:val="20"/>
          <w:szCs w:val="20"/>
          <w:vertAlign w:val="superscript"/>
          <w:lang w:val="fr-FR"/>
        </w:rPr>
        <w:t>a</w:t>
      </w:r>
    </w:p>
    <w:tbl>
      <w:tblPr>
        <w:tblStyle w:val="TableGrid"/>
        <w:tblW w:w="0" w:type="auto"/>
        <w:tblLook w:val="04A0" w:firstRow="1" w:lastRow="0" w:firstColumn="1" w:lastColumn="0" w:noHBand="0" w:noVBand="1"/>
      </w:tblPr>
      <w:tblGrid>
        <w:gridCol w:w="8359"/>
        <w:gridCol w:w="896"/>
      </w:tblGrid>
      <w:tr w:rsidR="00B87039" w:rsidRPr="00653BF4" w14:paraId="358B37C6" w14:textId="77777777" w:rsidTr="00557FB3">
        <w:tc>
          <w:tcPr>
            <w:tcW w:w="8359" w:type="dxa"/>
          </w:tcPr>
          <w:p w14:paraId="10E9A700" w14:textId="3D1BC50F"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Augmenter le montant total des ressources financières internationales liées à la biodiversité en faveur des pays en développement à au moins 20 milliards de dollars des États-Unis par an d</w:t>
            </w:r>
            <w:r w:rsidR="00D77549">
              <w:rPr>
                <w:rFonts w:cs="Times New Roman"/>
                <w:kern w:val="0"/>
                <w:sz w:val="21"/>
                <w:szCs w:val="21"/>
                <w:lang w:val="fr-FR"/>
              </w:rPr>
              <w:t>’</w:t>
            </w:r>
            <w:r w:rsidRPr="00653BF4">
              <w:rPr>
                <w:rFonts w:cs="Times New Roman"/>
                <w:kern w:val="0"/>
                <w:sz w:val="21"/>
                <w:szCs w:val="21"/>
                <w:lang w:val="fr-FR"/>
              </w:rPr>
              <w:t>ici à 2025, et à au moins 30 milliards de dollars des États-Unis d</w:t>
            </w:r>
            <w:r w:rsidR="00D77549">
              <w:rPr>
                <w:rFonts w:cs="Times New Roman"/>
                <w:kern w:val="0"/>
                <w:sz w:val="21"/>
                <w:szCs w:val="21"/>
                <w:lang w:val="fr-FR"/>
              </w:rPr>
              <w:t>’</w:t>
            </w:r>
            <w:r w:rsidRPr="00653BF4">
              <w:rPr>
                <w:rFonts w:cs="Times New Roman"/>
                <w:kern w:val="0"/>
                <w:sz w:val="21"/>
                <w:szCs w:val="21"/>
                <w:lang w:val="fr-FR"/>
              </w:rPr>
              <w:t>ici à 2030</w:t>
            </w:r>
          </w:p>
        </w:tc>
        <w:tc>
          <w:tcPr>
            <w:tcW w:w="896" w:type="dxa"/>
            <w:shd w:val="clear" w:color="auto" w:fill="FFFF00"/>
          </w:tcPr>
          <w:p w14:paraId="6EB875C7" w14:textId="77777777" w:rsidR="00B87039" w:rsidRPr="00653BF4" w:rsidRDefault="00B87039" w:rsidP="00557FB3">
            <w:pPr>
              <w:rPr>
                <w:sz w:val="22"/>
                <w:szCs w:val="22"/>
                <w:lang w:val="fr-FR"/>
              </w:rPr>
            </w:pPr>
            <w:r w:rsidRPr="00653BF4">
              <w:rPr>
                <w:sz w:val="22"/>
                <w:szCs w:val="22"/>
                <w:lang w:val="fr-FR"/>
              </w:rPr>
              <w:t>58</w:t>
            </w:r>
          </w:p>
        </w:tc>
      </w:tr>
      <w:tr w:rsidR="00B87039" w:rsidRPr="00653BF4" w14:paraId="2AC893F3" w14:textId="77777777" w:rsidTr="00557FB3">
        <w:tc>
          <w:tcPr>
            <w:tcW w:w="8359" w:type="dxa"/>
          </w:tcPr>
          <w:p w14:paraId="38E770BC" w14:textId="7D09BC76"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Accroître significativement la mobilisation des ressources nationales, grâce à l</w:t>
            </w:r>
            <w:r w:rsidR="00D77549">
              <w:rPr>
                <w:rFonts w:cs="Times New Roman"/>
                <w:kern w:val="0"/>
                <w:sz w:val="21"/>
                <w:szCs w:val="21"/>
                <w:lang w:val="fr-FR"/>
              </w:rPr>
              <w:t>’</w:t>
            </w:r>
            <w:r w:rsidRPr="00653BF4">
              <w:rPr>
                <w:rFonts w:cs="Times New Roman"/>
                <w:kern w:val="0"/>
                <w:sz w:val="21"/>
                <w:szCs w:val="21"/>
                <w:lang w:val="fr-FR"/>
              </w:rPr>
              <w:t>élaboration et à la mise en œuvre de plans nationaux de financement de la biodiversité ou d</w:t>
            </w:r>
            <w:r w:rsidR="00D77549">
              <w:rPr>
                <w:rFonts w:cs="Times New Roman"/>
                <w:kern w:val="0"/>
                <w:sz w:val="21"/>
                <w:szCs w:val="21"/>
                <w:lang w:val="fr-FR"/>
              </w:rPr>
              <w:t>’</w:t>
            </w:r>
            <w:r w:rsidRPr="00653BF4">
              <w:rPr>
                <w:rFonts w:cs="Times New Roman"/>
                <w:kern w:val="0"/>
                <w:sz w:val="21"/>
                <w:szCs w:val="21"/>
                <w:lang w:val="fr-FR"/>
              </w:rPr>
              <w:t>instruments similaires</w:t>
            </w:r>
          </w:p>
        </w:tc>
        <w:tc>
          <w:tcPr>
            <w:tcW w:w="896" w:type="dxa"/>
            <w:shd w:val="clear" w:color="auto" w:fill="00B050"/>
          </w:tcPr>
          <w:p w14:paraId="21DCB2EB" w14:textId="77777777" w:rsidR="00B87039" w:rsidRPr="00653BF4" w:rsidRDefault="00B87039" w:rsidP="00557FB3">
            <w:pPr>
              <w:rPr>
                <w:sz w:val="22"/>
                <w:szCs w:val="22"/>
                <w:lang w:val="fr-FR"/>
              </w:rPr>
            </w:pPr>
            <w:r w:rsidRPr="00653BF4">
              <w:rPr>
                <w:sz w:val="22"/>
                <w:szCs w:val="22"/>
                <w:lang w:val="fr-FR"/>
              </w:rPr>
              <w:t>81</w:t>
            </w:r>
          </w:p>
        </w:tc>
      </w:tr>
      <w:tr w:rsidR="00B87039" w:rsidRPr="00653BF4" w14:paraId="13A8E97C" w14:textId="77777777" w:rsidTr="00557FB3">
        <w:tc>
          <w:tcPr>
            <w:tcW w:w="8359" w:type="dxa"/>
          </w:tcPr>
          <w:p w14:paraId="6BE09C0E" w14:textId="7777777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Tirer parti des financements privés, promouvoir les financements mixtes, mettre en œuvre des stratégies de mobilisation de ressources nouvelles et supplémentaires, et encourager le secteur privé à investir dans la biodiversité</w:t>
            </w:r>
          </w:p>
        </w:tc>
        <w:tc>
          <w:tcPr>
            <w:tcW w:w="896" w:type="dxa"/>
            <w:shd w:val="clear" w:color="auto" w:fill="FFFF00"/>
          </w:tcPr>
          <w:p w14:paraId="22CFA991" w14:textId="77777777" w:rsidR="00B87039" w:rsidRPr="00653BF4" w:rsidRDefault="00B87039" w:rsidP="00557FB3">
            <w:pPr>
              <w:rPr>
                <w:sz w:val="22"/>
                <w:szCs w:val="22"/>
                <w:lang w:val="fr-FR"/>
              </w:rPr>
            </w:pPr>
            <w:r w:rsidRPr="00653BF4">
              <w:rPr>
                <w:sz w:val="22"/>
                <w:szCs w:val="22"/>
                <w:lang w:val="fr-FR"/>
              </w:rPr>
              <w:t>44</w:t>
            </w:r>
          </w:p>
        </w:tc>
      </w:tr>
      <w:tr w:rsidR="00B87039" w:rsidRPr="00653BF4" w14:paraId="516A2FC9" w14:textId="77777777" w:rsidTr="00557FB3">
        <w:tc>
          <w:tcPr>
            <w:tcW w:w="8359" w:type="dxa"/>
          </w:tcPr>
          <w:p w14:paraId="5211EA4D" w14:textId="7777777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Promouvoir des systèmes innovants tels que le paiement des services écosystémiques, les obligations vertes, les crédits et compensations en matière de biodiversité et les mécanismes de partage des avantages</w:t>
            </w:r>
          </w:p>
        </w:tc>
        <w:tc>
          <w:tcPr>
            <w:tcW w:w="896" w:type="dxa"/>
            <w:shd w:val="clear" w:color="auto" w:fill="FFC000"/>
          </w:tcPr>
          <w:p w14:paraId="145664EA" w14:textId="77777777" w:rsidR="00B87039" w:rsidRPr="00653BF4" w:rsidRDefault="00B87039" w:rsidP="00557FB3">
            <w:pPr>
              <w:rPr>
                <w:sz w:val="22"/>
                <w:szCs w:val="22"/>
                <w:lang w:val="fr-FR"/>
              </w:rPr>
            </w:pPr>
            <w:r w:rsidRPr="00653BF4">
              <w:rPr>
                <w:sz w:val="22"/>
                <w:szCs w:val="22"/>
                <w:lang w:val="fr-FR"/>
              </w:rPr>
              <w:t>34</w:t>
            </w:r>
          </w:p>
        </w:tc>
      </w:tr>
      <w:tr w:rsidR="00B87039" w:rsidRPr="00653BF4" w14:paraId="504A0515" w14:textId="77777777" w:rsidTr="00557FB3">
        <w:tc>
          <w:tcPr>
            <w:tcW w:w="8359" w:type="dxa"/>
          </w:tcPr>
          <w:p w14:paraId="71B8167F" w14:textId="7777777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Tirer le meilleur parti des avantages connexes et des synergies des financements ciblant les crises liées à la biodiversité et au climat</w:t>
            </w:r>
          </w:p>
        </w:tc>
        <w:tc>
          <w:tcPr>
            <w:tcW w:w="896" w:type="dxa"/>
            <w:shd w:val="clear" w:color="auto" w:fill="EE0000"/>
          </w:tcPr>
          <w:p w14:paraId="3E43F63B" w14:textId="77777777" w:rsidR="00B87039" w:rsidRPr="00653BF4" w:rsidRDefault="00B87039" w:rsidP="00557FB3">
            <w:pPr>
              <w:rPr>
                <w:sz w:val="22"/>
                <w:szCs w:val="22"/>
                <w:lang w:val="fr-FR"/>
              </w:rPr>
            </w:pPr>
            <w:r w:rsidRPr="00653BF4">
              <w:rPr>
                <w:sz w:val="22"/>
                <w:szCs w:val="22"/>
                <w:lang w:val="fr-FR"/>
              </w:rPr>
              <w:t>16</w:t>
            </w:r>
          </w:p>
        </w:tc>
      </w:tr>
      <w:tr w:rsidR="00B87039" w:rsidRPr="00653BF4" w14:paraId="61B59C64" w14:textId="77777777" w:rsidTr="00557FB3">
        <w:tc>
          <w:tcPr>
            <w:tcW w:w="8359" w:type="dxa"/>
          </w:tcPr>
          <w:p w14:paraId="42B1D3B1" w14:textId="7777777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Renforcer les actions collectives, notamment celles des peuples autochtones et des communautés locales, les actions en faveur de la Terre nourricière et les approches non commerciales</w:t>
            </w:r>
          </w:p>
        </w:tc>
        <w:tc>
          <w:tcPr>
            <w:tcW w:w="896" w:type="dxa"/>
            <w:shd w:val="clear" w:color="auto" w:fill="EE0000"/>
          </w:tcPr>
          <w:p w14:paraId="3B12F7B5" w14:textId="77777777" w:rsidR="00B87039" w:rsidRPr="00653BF4" w:rsidRDefault="00B87039" w:rsidP="00557FB3">
            <w:pPr>
              <w:rPr>
                <w:sz w:val="22"/>
                <w:szCs w:val="22"/>
                <w:lang w:val="fr-FR"/>
              </w:rPr>
            </w:pPr>
            <w:r w:rsidRPr="00653BF4">
              <w:rPr>
                <w:sz w:val="22"/>
                <w:szCs w:val="22"/>
                <w:lang w:val="fr-FR"/>
              </w:rPr>
              <w:t>14</w:t>
            </w:r>
          </w:p>
        </w:tc>
      </w:tr>
      <w:tr w:rsidR="00B87039" w:rsidRPr="00653BF4" w14:paraId="43662A9B" w14:textId="77777777" w:rsidTr="00557FB3">
        <w:tc>
          <w:tcPr>
            <w:tcW w:w="8359" w:type="dxa"/>
          </w:tcPr>
          <w:p w14:paraId="0F3D86AB" w14:textId="5D6D900A"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Améliorer l</w:t>
            </w:r>
            <w:r w:rsidR="00D77549">
              <w:rPr>
                <w:rFonts w:cs="Times New Roman"/>
                <w:kern w:val="0"/>
                <w:sz w:val="21"/>
                <w:szCs w:val="21"/>
                <w:lang w:val="fr-FR"/>
              </w:rPr>
              <w:t>’</w:t>
            </w:r>
            <w:r w:rsidRPr="00653BF4">
              <w:rPr>
                <w:rFonts w:cs="Times New Roman"/>
                <w:kern w:val="0"/>
                <w:sz w:val="21"/>
                <w:szCs w:val="21"/>
                <w:lang w:val="fr-FR"/>
              </w:rPr>
              <w:t>efficacité, l</w:t>
            </w:r>
            <w:r w:rsidR="00D77549">
              <w:rPr>
                <w:rFonts w:cs="Times New Roman"/>
                <w:kern w:val="0"/>
                <w:sz w:val="21"/>
                <w:szCs w:val="21"/>
                <w:lang w:val="fr-FR"/>
              </w:rPr>
              <w:t>’</w:t>
            </w:r>
            <w:r w:rsidRPr="00653BF4">
              <w:rPr>
                <w:rFonts w:cs="Times New Roman"/>
                <w:kern w:val="0"/>
                <w:sz w:val="21"/>
                <w:szCs w:val="21"/>
                <w:lang w:val="fr-FR"/>
              </w:rPr>
              <w:t>efficience et la transparence en matière de fourniture et d</w:t>
            </w:r>
            <w:r w:rsidR="00D77549">
              <w:rPr>
                <w:rFonts w:cs="Times New Roman"/>
                <w:kern w:val="0"/>
                <w:sz w:val="21"/>
                <w:szCs w:val="21"/>
                <w:lang w:val="fr-FR"/>
              </w:rPr>
              <w:t>’</w:t>
            </w:r>
            <w:r w:rsidRPr="00653BF4">
              <w:rPr>
                <w:rFonts w:cs="Times New Roman"/>
                <w:kern w:val="0"/>
                <w:sz w:val="21"/>
                <w:szCs w:val="21"/>
                <w:lang w:val="fr-FR"/>
              </w:rPr>
              <w:t>utilisation des ressources</w:t>
            </w:r>
          </w:p>
          <w:p w14:paraId="4663F589" w14:textId="77777777" w:rsidR="00B87039" w:rsidRPr="00653BF4" w:rsidRDefault="00B87039" w:rsidP="00557FB3">
            <w:pPr>
              <w:autoSpaceDE w:val="0"/>
              <w:autoSpaceDN w:val="0"/>
              <w:adjustRightInd w:val="0"/>
              <w:rPr>
                <w:rFonts w:cs="Times New Roman"/>
                <w:kern w:val="0"/>
                <w:sz w:val="21"/>
                <w:szCs w:val="21"/>
                <w:lang w:val="fr-FR"/>
              </w:rPr>
            </w:pPr>
          </w:p>
        </w:tc>
        <w:tc>
          <w:tcPr>
            <w:tcW w:w="896" w:type="dxa"/>
            <w:shd w:val="clear" w:color="auto" w:fill="EE0000"/>
          </w:tcPr>
          <w:p w14:paraId="03CF5114" w14:textId="77777777" w:rsidR="00B87039" w:rsidRPr="00653BF4" w:rsidRDefault="00B87039" w:rsidP="00557FB3">
            <w:pPr>
              <w:rPr>
                <w:sz w:val="22"/>
                <w:szCs w:val="22"/>
                <w:lang w:val="fr-FR"/>
              </w:rPr>
            </w:pPr>
            <w:r w:rsidRPr="00653BF4">
              <w:rPr>
                <w:sz w:val="22"/>
                <w:szCs w:val="22"/>
                <w:lang w:val="fr-FR"/>
              </w:rPr>
              <w:t>16</w:t>
            </w:r>
          </w:p>
        </w:tc>
      </w:tr>
      <w:tr w:rsidR="00B87039" w:rsidRPr="00543148" w14:paraId="2553A753" w14:textId="77777777" w:rsidTr="00557FB3">
        <w:tc>
          <w:tcPr>
            <w:tcW w:w="9255" w:type="dxa"/>
            <w:gridSpan w:val="2"/>
          </w:tcPr>
          <w:p w14:paraId="417D5AF1" w14:textId="77777777" w:rsidR="00B87039" w:rsidRPr="00653BF4" w:rsidRDefault="00B87039" w:rsidP="00557FB3">
            <w:pPr>
              <w:pStyle w:val="p1"/>
              <w:keepNext/>
              <w:rPr>
                <w:rFonts w:asciiTheme="minorHAnsi" w:hAnsiTheme="minorHAnsi"/>
                <w:b/>
                <w:bCs/>
                <w:sz w:val="22"/>
                <w:szCs w:val="22"/>
                <w:lang w:val="fr-FR"/>
              </w:rPr>
            </w:pPr>
          </w:p>
          <w:p w14:paraId="0116B934" w14:textId="62E0176D"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44</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5FCBB7B6" w14:textId="77777777" w:rsidR="00B87039" w:rsidRPr="00653BF4" w:rsidRDefault="00B87039" w:rsidP="00557FB3">
            <w:pPr>
              <w:rPr>
                <w:sz w:val="22"/>
                <w:szCs w:val="22"/>
                <w:lang w:val="fr-FR"/>
              </w:rPr>
            </w:pPr>
          </w:p>
        </w:tc>
      </w:tr>
    </w:tbl>
    <w:p w14:paraId="1546D0CE" w14:textId="77777777" w:rsidR="00B87039" w:rsidRPr="00653BF4" w:rsidRDefault="00B87039" w:rsidP="00B87039">
      <w:pPr>
        <w:rPr>
          <w:lang w:val="fr-FR"/>
        </w:rPr>
      </w:pPr>
    </w:p>
    <w:p w14:paraId="58C52469" w14:textId="42E3E32E" w:rsidR="00B87039" w:rsidRPr="00653BF4" w:rsidRDefault="00B87039" w:rsidP="00B87039">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w:t>
      </w:r>
      <w:r w:rsidR="00D77549">
        <w:rPr>
          <w:iCs/>
          <w:sz w:val="16"/>
          <w:szCs w:val="16"/>
          <w:lang w:val="fr-FR"/>
        </w:rPr>
        <w:t>’</w:t>
      </w:r>
      <w:r w:rsidRPr="00653BF4">
        <w:rPr>
          <w:iCs/>
          <w:sz w:val="16"/>
          <w:szCs w:val="16"/>
          <w:lang w:val="fr-FR"/>
        </w:rPr>
        <w:t>élément, au moins partiellement.</w:t>
      </w:r>
    </w:p>
    <w:p w14:paraId="1E12A51E" w14:textId="7800008C" w:rsidR="00B87039" w:rsidRPr="00653BF4" w:rsidRDefault="00B87039" w:rsidP="00B8703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cs="Segoe UI"/>
          <w:sz w:val="16"/>
          <w:szCs w:val="16"/>
          <w:lang w:val="fr-FR"/>
        </w:rPr>
        <w:t xml:space="preserve"> Les éléments de chaque cible ont été définis par le Groupe spécial d</w:t>
      </w:r>
      <w:r w:rsidR="00D77549">
        <w:rPr>
          <w:rStyle w:val="normaltextrun"/>
          <w:rFonts w:cs="Segoe UI"/>
          <w:sz w:val="16"/>
          <w:szCs w:val="16"/>
          <w:lang w:val="fr-FR"/>
        </w:rPr>
        <w:t>’</w:t>
      </w:r>
      <w:r w:rsidRPr="00653BF4">
        <w:rPr>
          <w:rStyle w:val="normaltextrun"/>
          <w:rFonts w:cs="Segoe UI"/>
          <w:sz w:val="16"/>
          <w:szCs w:val="16"/>
          <w:lang w:val="fr-FR"/>
        </w:rPr>
        <w:t xml:space="preserve">experts techniques sur les indicateurs du Cadre mondial de la biodiversité de Kunming-Montréal (voir annexe I du document </w:t>
      </w:r>
      <w:hyperlink r:id="rId191" w:history="1">
        <w:r w:rsidRPr="00653BF4">
          <w:rPr>
            <w:rStyle w:val="Hyperlink"/>
            <w:rFonts w:ascii="Aptos" w:hAnsi="Aptos" w:cs="Segoe UI"/>
            <w:sz w:val="16"/>
            <w:szCs w:val="16"/>
            <w:lang w:val="fr-FR"/>
          </w:rPr>
          <w:t>CBD/COP/16/INF/4</w:t>
        </w:r>
      </w:hyperlink>
      <w:r w:rsidR="00E34DC9">
        <w:rPr>
          <w:rStyle w:val="normaltextrun"/>
          <w:rFonts w:cs="Segoe UI"/>
          <w:sz w:val="16"/>
          <w:szCs w:val="16"/>
          <w:lang w:val="fr-FR"/>
        </w:rPr>
        <w:t> ;</w:t>
      </w:r>
      <w:r w:rsidRPr="00653BF4">
        <w:rPr>
          <w:rFonts w:ascii="Aptos" w:hAnsi="Aptos" w:cs="Segoe UI"/>
          <w:sz w:val="16"/>
          <w:szCs w:val="16"/>
          <w:lang w:val="fr-FR"/>
        </w:rPr>
        <w:t xml:space="preserve"> et Affinito </w:t>
      </w:r>
      <w:r w:rsidRPr="00653BF4">
        <w:rPr>
          <w:rFonts w:ascii="Aptos" w:hAnsi="Aptos" w:cs="Segoe UI"/>
          <w:i/>
          <w:iCs/>
          <w:sz w:val="16"/>
          <w:szCs w:val="16"/>
          <w:lang w:val="fr-FR"/>
        </w:rPr>
        <w:t>et al.</w:t>
      </w:r>
      <w:r w:rsidRPr="00653BF4">
        <w:rPr>
          <w:rFonts w:ascii="Aptos" w:hAnsi="Aptos" w:cs="Segoe UI"/>
          <w:sz w:val="16"/>
          <w:szCs w:val="16"/>
          <w:lang w:val="fr-FR"/>
        </w:rPr>
        <w:t>, 2025).</w:t>
      </w:r>
      <w:r w:rsidRPr="00653BF4">
        <w:rPr>
          <w:rStyle w:val="normaltextrun"/>
          <w:rFonts w:cs="Segoe UI"/>
          <w:sz w:val="16"/>
          <w:szCs w:val="16"/>
          <w:lang w:val="fr-FR"/>
        </w:rPr>
        <w:t>La méthode détaillée employée pour l</w:t>
      </w:r>
      <w:r w:rsidR="00D77549">
        <w:rPr>
          <w:rStyle w:val="normaltextrun"/>
          <w:rFonts w:cs="Segoe UI"/>
          <w:sz w:val="16"/>
          <w:szCs w:val="16"/>
          <w:lang w:val="fr-FR"/>
        </w:rPr>
        <w:t>’</w:t>
      </w:r>
      <w:r w:rsidRPr="00653BF4">
        <w:rPr>
          <w:rStyle w:val="normaltextrun"/>
          <w:rFonts w:cs="Segoe UI"/>
          <w:sz w:val="16"/>
          <w:szCs w:val="16"/>
          <w:lang w:val="fr-FR"/>
        </w:rPr>
        <w:t>analyse des cibles nationales est présentée dans le document </w:t>
      </w:r>
      <w:hyperlink r:id="rId192" w:history="1">
        <w:r w:rsidRPr="00653BF4">
          <w:rPr>
            <w:rStyle w:val="Hyperlink"/>
            <w:rFonts w:ascii="Aptos" w:hAnsi="Aptos" w:cs="Segoe UI"/>
            <w:sz w:val="16"/>
            <w:szCs w:val="16"/>
            <w:lang w:val="fr-FR"/>
          </w:rPr>
          <w:t>CBD/SBI/7/INF/22</w:t>
        </w:r>
      </w:hyperlink>
      <w:r w:rsidRPr="00653BF4">
        <w:rPr>
          <w:rStyle w:val="normaltextrun"/>
          <w:rFonts w:cs="Segoe UI"/>
          <w:sz w:val="16"/>
          <w:szCs w:val="16"/>
          <w:lang w:val="fr-FR"/>
        </w:rPr>
        <w:t xml:space="preserve">. </w:t>
      </w:r>
    </w:p>
    <w:p w14:paraId="4C5522A0" w14:textId="77777777" w:rsidR="00B87039" w:rsidRPr="00653BF4" w:rsidRDefault="00B87039" w:rsidP="00B87039">
      <w:pPr>
        <w:rPr>
          <w:lang w:val="fr-FR"/>
        </w:rPr>
      </w:pPr>
    </w:p>
    <w:p w14:paraId="791E2CD6" w14:textId="180AC50E" w:rsidR="00B87039" w:rsidRPr="00653BF4" w:rsidRDefault="00B87039" w:rsidP="00B87039">
      <w:pPr>
        <w:rPr>
          <w:lang w:val="fr-FR"/>
        </w:rPr>
      </w:pPr>
      <w:r w:rsidRPr="00653BF4">
        <w:rPr>
          <w:lang w:val="fr-FR"/>
        </w:rPr>
        <w:t xml:space="preserve">La proportion de Parties qui intègrent les différents éléments de la </w:t>
      </w:r>
      <w:r w:rsidR="00E34DC9">
        <w:rPr>
          <w:lang w:val="fr-FR"/>
        </w:rPr>
        <w:t>cible 1</w:t>
      </w:r>
      <w:r w:rsidRPr="00653BF4">
        <w:rPr>
          <w:lang w:val="fr-FR"/>
        </w:rPr>
        <w:t>9 dans leurs cibles nationales varie de manière exceptionnellement importante (voir le tableau 41). La grande majorité (81</w:t>
      </w:r>
      <w:r w:rsidR="002878D7">
        <w:rPr>
          <w:lang w:val="fr-FR"/>
        </w:rPr>
        <w:t> %</w:t>
      </w:r>
      <w:r w:rsidRPr="00653BF4">
        <w:rPr>
          <w:lang w:val="fr-FR"/>
        </w:rPr>
        <w:t>) dispose de cibles nationales visant à accroître de manière significative la mobilisation des ressources intérieures, grâce à l</w:t>
      </w:r>
      <w:r w:rsidR="00D77549">
        <w:rPr>
          <w:lang w:val="fr-FR"/>
        </w:rPr>
        <w:t>’</w:t>
      </w:r>
      <w:r w:rsidRPr="00653BF4">
        <w:rPr>
          <w:lang w:val="fr-FR"/>
        </w:rPr>
        <w:t>élaboration et à la mise en œuvre de plans nationaux de financement de la biodiversité ou d</w:t>
      </w:r>
      <w:r w:rsidR="00D77549">
        <w:rPr>
          <w:lang w:val="fr-FR"/>
        </w:rPr>
        <w:t>’</w:t>
      </w:r>
      <w:r w:rsidRPr="00653BF4">
        <w:rPr>
          <w:lang w:val="fr-FR"/>
        </w:rPr>
        <w:t>instruments similaires. Plus de la moitié des Parties (58</w:t>
      </w:r>
      <w:r w:rsidR="002878D7">
        <w:rPr>
          <w:lang w:val="fr-FR"/>
        </w:rPr>
        <w:t> %</w:t>
      </w:r>
      <w:r w:rsidRPr="00653BF4">
        <w:rPr>
          <w:lang w:val="fr-FR"/>
        </w:rPr>
        <w:t>) ont fixé des cibles nationales visant, au moins partiellement, à accroître les ressources financières internationales liées à la biodiversité en faveur des pays en développement. Moins de la moitié des Parties (44</w:t>
      </w:r>
      <w:r w:rsidR="002878D7">
        <w:rPr>
          <w:lang w:val="fr-FR"/>
        </w:rPr>
        <w:t> %</w:t>
      </w:r>
      <w:r w:rsidRPr="00653BF4">
        <w:rPr>
          <w:lang w:val="fr-FR"/>
        </w:rPr>
        <w:t xml:space="preserve">) prennent des mesures pour mobiliser des financements privés en faveur de la biodiversité, tandis qu’un </w:t>
      </w:r>
      <w:r w:rsidRPr="00653BF4">
        <w:rPr>
          <w:lang w:val="fr-FR"/>
        </w:rPr>
        <w:lastRenderedPageBreak/>
        <w:t>peu plus d’un tiers (34</w:t>
      </w:r>
      <w:r w:rsidR="002878D7">
        <w:rPr>
          <w:lang w:val="fr-FR"/>
        </w:rPr>
        <w:t> %</w:t>
      </w:r>
      <w:r w:rsidRPr="00653BF4">
        <w:rPr>
          <w:lang w:val="fr-FR"/>
        </w:rPr>
        <w:t xml:space="preserve">) ont fixé des cibles nationales visant à encourager la mise en place de mécanismes innovants destinés à accroître les financements destinés à la mise en œuvre de la Convention. Les éléments de la </w:t>
      </w:r>
      <w:r w:rsidR="00E34DC9">
        <w:rPr>
          <w:lang w:val="fr-FR"/>
        </w:rPr>
        <w:t>cible 1</w:t>
      </w:r>
      <w:r w:rsidRPr="00653BF4">
        <w:rPr>
          <w:lang w:val="fr-FR"/>
        </w:rPr>
        <w:t>9 les moins pris en compte par les Parties sont ceux relatifs à l’optimisation des avantages connexes et des synergies des financements destinés à lutter contre les crises de la biodiversité et du climat (16</w:t>
      </w:r>
      <w:r w:rsidR="002878D7">
        <w:rPr>
          <w:lang w:val="fr-FR"/>
        </w:rPr>
        <w:t> %</w:t>
      </w:r>
      <w:r w:rsidRPr="00653BF4">
        <w:rPr>
          <w:lang w:val="fr-FR"/>
        </w:rPr>
        <w:t>), au renforcement du rôle des actions collectives, notamment celles menées par les peuples autochtones et communautés locales, des actions en faveur de la Terre nourricière et des approches non commerciales (14</w:t>
      </w:r>
      <w:r w:rsidR="002878D7">
        <w:rPr>
          <w:lang w:val="fr-FR"/>
        </w:rPr>
        <w:t> %</w:t>
      </w:r>
      <w:r w:rsidRPr="00653BF4">
        <w:rPr>
          <w:lang w:val="fr-FR"/>
        </w:rPr>
        <w:t>), ainsi qu’au renforcement de l’efficacité, de l’efficience et de la transparence de la mise à disposition et de l’utilisation des ressources (16</w:t>
      </w:r>
      <w:r w:rsidR="002878D7">
        <w:rPr>
          <w:lang w:val="fr-FR"/>
        </w:rPr>
        <w:t> %</w:t>
      </w:r>
      <w:r w:rsidRPr="00653BF4">
        <w:rPr>
          <w:lang w:val="fr-FR"/>
        </w:rPr>
        <w:t>).</w:t>
      </w:r>
    </w:p>
    <w:p w14:paraId="15AB1058" w14:textId="74EBDE3A" w:rsidR="00B87039" w:rsidRPr="00653BF4" w:rsidRDefault="00B87039" w:rsidP="00B87039">
      <w:pPr>
        <w:rPr>
          <w:lang w:val="fr-FR"/>
        </w:rPr>
      </w:pPr>
      <w:r w:rsidRPr="00653BF4">
        <w:rPr>
          <w:lang w:val="fr-FR"/>
        </w:rPr>
        <w:t>Environ un quart des Parties (26</w:t>
      </w:r>
      <w:r w:rsidR="002878D7">
        <w:rPr>
          <w:lang w:val="fr-FR"/>
        </w:rPr>
        <w:t> %</w:t>
      </w:r>
      <w:r w:rsidRPr="00653BF4">
        <w:rPr>
          <w:lang w:val="fr-FR"/>
        </w:rPr>
        <w:t>) ont intégré un élément quantitatif dans leurs cibles nationales concernant l</w:t>
      </w:r>
      <w:r w:rsidR="00D77549">
        <w:rPr>
          <w:lang w:val="fr-FR"/>
        </w:rPr>
        <w:t>’</w:t>
      </w:r>
      <w:r w:rsidRPr="00653BF4">
        <w:rPr>
          <w:lang w:val="fr-FR"/>
        </w:rPr>
        <w:t>augmentation des ressources financières internationales consacrées à la biodiversité en faveur des pays en développement. Étant donné que les valeurs correspondant à ces augmentations sont exprimées en termes très variés, comprenant à la fois des montants monétaires et des pourcentages, il n</w:t>
      </w:r>
      <w:r w:rsidR="00D77549">
        <w:rPr>
          <w:lang w:val="fr-FR"/>
        </w:rPr>
        <w:t>’</w:t>
      </w:r>
      <w:r w:rsidRPr="00653BF4">
        <w:rPr>
          <w:lang w:val="fr-FR"/>
        </w:rPr>
        <w:t>est pas possible de calculer le total de l</w:t>
      </w:r>
      <w:r w:rsidR="00D77549">
        <w:rPr>
          <w:lang w:val="fr-FR"/>
        </w:rPr>
        <w:t>’</w:t>
      </w:r>
      <w:r w:rsidRPr="00653BF4">
        <w:rPr>
          <w:lang w:val="fr-FR"/>
        </w:rPr>
        <w:t>augmentation proposée des ressources financières en se basant uniquement sur les cibles nationales.</w:t>
      </w:r>
    </w:p>
    <w:p w14:paraId="5E9ECA85" w14:textId="77777777" w:rsidR="00B87039" w:rsidRPr="00653BF4" w:rsidRDefault="00B87039" w:rsidP="00B87039">
      <w:pPr>
        <w:rPr>
          <w:lang w:val="fr-FR"/>
        </w:rPr>
      </w:pPr>
    </w:p>
    <w:p w14:paraId="0CCC4642" w14:textId="2F4F7DAA" w:rsidR="00B87039" w:rsidRPr="00653BF4" w:rsidRDefault="00B87039" w:rsidP="00B87039">
      <w:pPr>
        <w:pStyle w:val="Heading5"/>
        <w:rPr>
          <w:lang w:val="fr-FR"/>
        </w:rPr>
      </w:pPr>
      <w:bookmarkStart w:id="373" w:name="_Toc235821281"/>
      <w:r w:rsidRPr="00653BF4">
        <w:rPr>
          <w:lang w:val="fr-FR"/>
        </w:rPr>
        <w:t>Indicateurs de progrès</w:t>
      </w:r>
      <w:bookmarkEnd w:id="373"/>
    </w:p>
    <w:p w14:paraId="13B001B5" w14:textId="77777777" w:rsidR="00B87039" w:rsidRPr="00653BF4" w:rsidRDefault="00B87039" w:rsidP="00B87039">
      <w:pPr>
        <w:rPr>
          <w:lang w:val="fr-FR"/>
        </w:rPr>
      </w:pPr>
    </w:p>
    <w:p w14:paraId="623E4B47" w14:textId="2D01A608" w:rsidR="00B87039" w:rsidRPr="00653BF4" w:rsidRDefault="00B87039" w:rsidP="00B87039">
      <w:pPr>
        <w:pStyle w:val="Caption"/>
        <w:rPr>
          <w:i w:val="0"/>
          <w:sz w:val="20"/>
          <w:szCs w:val="20"/>
          <w:lang w:val="fr-FR"/>
        </w:rPr>
      </w:pPr>
      <w:bookmarkStart w:id="374" w:name="_Ref238993522"/>
      <w:r w:rsidRPr="00653BF4">
        <w:rPr>
          <w:i w:val="0"/>
          <w:iCs w:val="0"/>
          <w:sz w:val="20"/>
          <w:szCs w:val="20"/>
          <w:lang w:val="fr-FR"/>
        </w:rPr>
        <w:t>Tableau 42</w:t>
      </w:r>
      <w:bookmarkEnd w:id="374"/>
      <w:r w:rsidRPr="00653BF4">
        <w:rPr>
          <w:i w:val="0"/>
          <w:iCs w:val="0"/>
          <w:sz w:val="20"/>
          <w:szCs w:val="20"/>
          <w:lang w:val="fr-FR"/>
        </w:rPr>
        <w:t xml:space="preserve"> </w:t>
      </w:r>
    </w:p>
    <w:p w14:paraId="0ADACA6C" w14:textId="58D7141C"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1</w:t>
      </w:r>
      <w:r w:rsidRPr="00653BF4">
        <w:rPr>
          <w:b/>
          <w:bCs/>
          <w:i w:val="0"/>
          <w:iCs w:val="0"/>
          <w:sz w:val="20"/>
          <w:szCs w:val="20"/>
          <w:lang w:val="fr-FR"/>
        </w:rPr>
        <w:t>9 du Cadre</w:t>
      </w:r>
    </w:p>
    <w:p w14:paraId="06944CBB" w14:textId="77777777" w:rsidR="00B87039" w:rsidRPr="00653BF4" w:rsidRDefault="00B87039" w:rsidP="00B87039">
      <w:pPr>
        <w:rPr>
          <w:lang w:val="fr-FR" w:eastAsia="ja-JP"/>
        </w:rPr>
      </w:pPr>
    </w:p>
    <w:tbl>
      <w:tblPr>
        <w:tblW w:w="10201" w:type="dxa"/>
        <w:tblLook w:val="04A0" w:firstRow="1" w:lastRow="0" w:firstColumn="1" w:lastColumn="0" w:noHBand="0" w:noVBand="1"/>
      </w:tblPr>
      <w:tblGrid>
        <w:gridCol w:w="3240"/>
        <w:gridCol w:w="2284"/>
        <w:gridCol w:w="708"/>
        <w:gridCol w:w="3261"/>
        <w:gridCol w:w="708"/>
      </w:tblGrid>
      <w:tr w:rsidR="00B87039" w:rsidRPr="00653BF4" w14:paraId="6DFFBCC4" w14:textId="77777777" w:rsidTr="00557FB3">
        <w:trPr>
          <w:trHeight w:val="1160"/>
        </w:trPr>
        <w:tc>
          <w:tcPr>
            <w:tcW w:w="3240" w:type="dxa"/>
            <w:tcBorders>
              <w:top w:val="single" w:sz="4" w:space="0" w:color="auto"/>
              <w:left w:val="single" w:sz="4" w:space="0" w:color="auto"/>
              <w:bottom w:val="single" w:sz="4" w:space="0" w:color="auto"/>
              <w:right w:val="single" w:sz="4" w:space="0" w:color="auto"/>
            </w:tcBorders>
            <w:vAlign w:val="center"/>
          </w:tcPr>
          <w:p w14:paraId="02505DF5" w14:textId="77777777" w:rsidR="00B87039" w:rsidRPr="00653BF4" w:rsidRDefault="00B87039" w:rsidP="00557FB3">
            <w:pPr>
              <w:spacing w:after="0" w:line="240" w:lineRule="auto"/>
              <w:jc w:val="center"/>
              <w:rPr>
                <w:rFonts w:eastAsia="Times New Roman" w:cs="Times New Roman"/>
                <w:color w:val="242424"/>
                <w:kern w:val="0"/>
                <w:sz w:val="20"/>
                <w:szCs w:val="20"/>
                <w:lang w:val="fr-FR"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60312012" w14:textId="001FDE51" w:rsidR="00B87039" w:rsidRPr="00653BF4" w:rsidRDefault="00E04592"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3969" w:type="dxa"/>
            <w:gridSpan w:val="2"/>
            <w:tcBorders>
              <w:top w:val="single" w:sz="4" w:space="0" w:color="auto"/>
              <w:left w:val="nil"/>
              <w:bottom w:val="single" w:sz="4" w:space="0" w:color="auto"/>
              <w:right w:val="single" w:sz="4" w:space="0" w:color="auto"/>
            </w:tcBorders>
            <w:vAlign w:val="center"/>
          </w:tcPr>
          <w:p w14:paraId="57A848DA" w14:textId="1C0E15AF" w:rsidR="00B87039" w:rsidRPr="00653BF4" w:rsidRDefault="00A443C9" w:rsidP="00557FB3">
            <w:pPr>
              <w:spacing w:after="0" w:line="240" w:lineRule="auto"/>
              <w:jc w:val="center"/>
              <w:rPr>
                <w:rFonts w:eastAsia="Times New Roman" w:cs="Calibri"/>
                <w:color w:val="000000"/>
                <w:kern w:val="0"/>
                <w:sz w:val="20"/>
                <w:szCs w:val="20"/>
                <w:lang w:val="fr-FR" w:eastAsia="en-CA"/>
                <w14:ligatures w14:val="none"/>
              </w:rPr>
            </w:pPr>
            <w:r>
              <w:rPr>
                <w:color w:val="000000"/>
                <w:sz w:val="20"/>
                <w:szCs w:val="20"/>
                <w:lang w:val="fr-FR"/>
              </w:rPr>
              <w:t>Résultats de l’indicateur</w:t>
            </w:r>
          </w:p>
        </w:tc>
      </w:tr>
      <w:tr w:rsidR="00B87039" w:rsidRPr="00543148" w14:paraId="2F17BE6F" w14:textId="77777777" w:rsidTr="00557FB3">
        <w:trPr>
          <w:trHeight w:val="1160"/>
        </w:trPr>
        <w:tc>
          <w:tcPr>
            <w:tcW w:w="3240" w:type="dxa"/>
            <w:tcBorders>
              <w:top w:val="single" w:sz="4" w:space="0" w:color="auto"/>
              <w:left w:val="single" w:sz="4" w:space="0" w:color="auto"/>
              <w:bottom w:val="single" w:sz="4" w:space="0" w:color="auto"/>
              <w:right w:val="single" w:sz="4" w:space="0" w:color="auto"/>
            </w:tcBorders>
            <w:vAlign w:val="center"/>
            <w:hideMark/>
          </w:tcPr>
          <w:p w14:paraId="06F9A8C9" w14:textId="7EFDBFCA" w:rsidR="00B87039" w:rsidRPr="00653BF4" w:rsidRDefault="00B87039" w:rsidP="00557FB3">
            <w:pPr>
              <w:spacing w:after="0" w:line="240" w:lineRule="auto"/>
              <w:jc w:val="center"/>
              <w:rPr>
                <w:rFonts w:eastAsia="Times New Roman" w:cs="Times New Roman"/>
                <w:color w:val="242424"/>
                <w:kern w:val="0"/>
                <w:sz w:val="20"/>
                <w:szCs w:val="20"/>
                <w:lang w:val="fr-FR" w:eastAsia="en-CA"/>
                <w14:ligatures w14:val="none"/>
              </w:rPr>
            </w:pPr>
            <w:r w:rsidRPr="00653BF4">
              <w:rPr>
                <w:rFonts w:eastAsia="Times New Roman" w:cs="Times New Roman"/>
                <w:color w:val="242424"/>
                <w:kern w:val="0"/>
                <w:sz w:val="20"/>
                <w:szCs w:val="20"/>
                <w:lang w:val="fr-FR"/>
                <w14:ligatures w14:val="none"/>
              </w:rPr>
              <w:t>Indicateur phare D.1</w:t>
            </w:r>
            <w:r w:rsidR="00E34DC9">
              <w:rPr>
                <w:rFonts w:eastAsia="Times New Roman" w:cs="Times New Roman"/>
                <w:color w:val="242424"/>
                <w:kern w:val="0"/>
                <w:sz w:val="20"/>
                <w:szCs w:val="20"/>
                <w:lang w:val="fr-FR"/>
                <w14:ligatures w14:val="none"/>
              </w:rPr>
              <w:t> :</w:t>
            </w:r>
            <w:r w:rsidRPr="00653BF4">
              <w:rPr>
                <w:rFonts w:eastAsia="Times New Roman" w:cs="Times New Roman"/>
                <w:color w:val="242424"/>
                <w:kern w:val="0"/>
                <w:sz w:val="20"/>
                <w:szCs w:val="20"/>
                <w:lang w:val="fr-FR"/>
                <w14:ligatures w14:val="none"/>
              </w:rPr>
              <w:t xml:space="preserve"> financements publics internationaux, y compris l</w:t>
            </w:r>
            <w:r w:rsidR="00D77549">
              <w:rPr>
                <w:rFonts w:eastAsia="Times New Roman" w:cs="Times New Roman"/>
                <w:color w:val="242424"/>
                <w:kern w:val="0"/>
                <w:sz w:val="20"/>
                <w:szCs w:val="20"/>
                <w:lang w:val="fr-FR"/>
                <w14:ligatures w14:val="none"/>
              </w:rPr>
              <w:t>’</w:t>
            </w:r>
            <w:r w:rsidRPr="00653BF4">
              <w:rPr>
                <w:rFonts w:eastAsia="Times New Roman" w:cs="Times New Roman"/>
                <w:color w:val="242424"/>
                <w:kern w:val="0"/>
                <w:sz w:val="20"/>
                <w:szCs w:val="20"/>
                <w:lang w:val="fr-FR"/>
                <w14:ligatures w14:val="none"/>
              </w:rPr>
              <w:t>aide publique au développement, consacrés à la conservation et à l</w:t>
            </w:r>
            <w:r w:rsidR="00D77549">
              <w:rPr>
                <w:rFonts w:eastAsia="Times New Roman" w:cs="Times New Roman"/>
                <w:color w:val="242424"/>
                <w:kern w:val="0"/>
                <w:sz w:val="20"/>
                <w:szCs w:val="20"/>
                <w:lang w:val="fr-FR"/>
                <w14:ligatures w14:val="none"/>
              </w:rPr>
              <w:t>’</w:t>
            </w:r>
            <w:r w:rsidRPr="00653BF4">
              <w:rPr>
                <w:rFonts w:eastAsia="Times New Roman" w:cs="Times New Roman"/>
                <w:color w:val="242424"/>
                <w:kern w:val="0"/>
                <w:sz w:val="20"/>
                <w:szCs w:val="20"/>
                <w:lang w:val="fr-FR"/>
                <w14:ligatures w14:val="none"/>
              </w:rPr>
              <w:t>utilisation durable de la biodiversité et des écosystèmes</w:t>
            </w:r>
          </w:p>
        </w:tc>
        <w:tc>
          <w:tcPr>
            <w:tcW w:w="2284" w:type="dxa"/>
            <w:tcBorders>
              <w:top w:val="single" w:sz="4" w:space="0" w:color="auto"/>
              <w:left w:val="nil"/>
              <w:bottom w:val="single" w:sz="4" w:space="0" w:color="auto"/>
              <w:right w:val="single" w:sz="4" w:space="0" w:color="auto"/>
            </w:tcBorders>
            <w:vAlign w:val="center"/>
            <w:hideMark/>
          </w:tcPr>
          <w:p w14:paraId="32CCEAFB" w14:textId="396A8BCD"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61</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708" w:type="dxa"/>
            <w:tcBorders>
              <w:top w:val="single" w:sz="4" w:space="0" w:color="auto"/>
              <w:left w:val="nil"/>
              <w:bottom w:val="single" w:sz="4" w:space="0" w:color="auto"/>
              <w:right w:val="single" w:sz="4" w:space="0" w:color="auto"/>
            </w:tcBorders>
            <w:shd w:val="clear" w:color="000000" w:fill="92D050"/>
            <w:vAlign w:val="center"/>
            <w:hideMark/>
          </w:tcPr>
          <w:p w14:paraId="7A5F6F5B"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261" w:type="dxa"/>
            <w:tcBorders>
              <w:top w:val="single" w:sz="4" w:space="0" w:color="auto"/>
              <w:left w:val="nil"/>
              <w:bottom w:val="single" w:sz="4" w:space="0" w:color="auto"/>
              <w:right w:val="single" w:sz="4" w:space="0" w:color="auto"/>
            </w:tcBorders>
            <w:vAlign w:val="center"/>
            <w:hideMark/>
          </w:tcPr>
          <w:p w14:paraId="3A3FDD89" w14:textId="3F3D9C6F"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sz w:val="20"/>
                <w:szCs w:val="20"/>
                <w:lang w:val="fr-FR"/>
              </w:rPr>
              <w:t>La moyenne pour la période 2020-2023 s</w:t>
            </w:r>
            <w:r w:rsidR="00D77549">
              <w:rPr>
                <w:sz w:val="20"/>
                <w:szCs w:val="20"/>
                <w:lang w:val="fr-FR"/>
              </w:rPr>
              <w:t>’</w:t>
            </w:r>
            <w:r w:rsidRPr="00653BF4">
              <w:rPr>
                <w:sz w:val="20"/>
                <w:szCs w:val="20"/>
                <w:lang w:val="fr-FR"/>
              </w:rPr>
              <w:t>élève à 4,4 milliards de dollars des États-Unis par an</w:t>
            </w:r>
          </w:p>
        </w:tc>
        <w:tc>
          <w:tcPr>
            <w:tcW w:w="708" w:type="dxa"/>
            <w:tcBorders>
              <w:top w:val="single" w:sz="4" w:space="0" w:color="auto"/>
              <w:left w:val="nil"/>
              <w:bottom w:val="single" w:sz="4" w:space="0" w:color="auto"/>
              <w:right w:val="single" w:sz="4" w:space="0" w:color="auto"/>
            </w:tcBorders>
            <w:shd w:val="clear" w:color="auto" w:fill="C00000"/>
            <w:vAlign w:val="center"/>
            <w:hideMark/>
          </w:tcPr>
          <w:p w14:paraId="3F22A4C4"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tc>
      </w:tr>
      <w:tr w:rsidR="00B87039" w:rsidRPr="00543148" w14:paraId="25A7A034" w14:textId="77777777" w:rsidTr="00557FB3">
        <w:trPr>
          <w:trHeight w:val="1120"/>
        </w:trPr>
        <w:tc>
          <w:tcPr>
            <w:tcW w:w="3240" w:type="dxa"/>
            <w:tcBorders>
              <w:top w:val="nil"/>
              <w:left w:val="single" w:sz="4" w:space="0" w:color="auto"/>
              <w:bottom w:val="single" w:sz="4" w:space="0" w:color="auto"/>
              <w:right w:val="single" w:sz="4" w:space="0" w:color="auto"/>
            </w:tcBorders>
            <w:vAlign w:val="center"/>
            <w:hideMark/>
          </w:tcPr>
          <w:p w14:paraId="3CF169E3" w14:textId="71999CC6" w:rsidR="00B87039" w:rsidRPr="00653BF4" w:rsidRDefault="00B87039" w:rsidP="00557FB3">
            <w:pPr>
              <w:spacing w:after="0" w:line="240" w:lineRule="auto"/>
              <w:jc w:val="center"/>
              <w:rPr>
                <w:rFonts w:eastAsia="Times New Roman" w:cs="Times New Roman"/>
                <w:color w:val="242424"/>
                <w:kern w:val="0"/>
                <w:sz w:val="20"/>
                <w:szCs w:val="20"/>
                <w:lang w:val="fr-FR" w:eastAsia="en-CA"/>
                <w14:ligatures w14:val="none"/>
              </w:rPr>
            </w:pPr>
            <w:r w:rsidRPr="00653BF4">
              <w:rPr>
                <w:rFonts w:eastAsia="Times New Roman" w:cs="Times New Roman"/>
                <w:color w:val="242424"/>
                <w:kern w:val="0"/>
                <w:sz w:val="20"/>
                <w:szCs w:val="20"/>
                <w:lang w:val="fr-FR"/>
                <w14:ligatures w14:val="none"/>
              </w:rPr>
              <w:t>Indicateur phare D.2</w:t>
            </w:r>
            <w:r w:rsidR="00E34DC9">
              <w:rPr>
                <w:rFonts w:eastAsia="Times New Roman" w:cs="Times New Roman"/>
                <w:color w:val="242424"/>
                <w:kern w:val="0"/>
                <w:sz w:val="20"/>
                <w:szCs w:val="20"/>
                <w:lang w:val="fr-FR"/>
                <w14:ligatures w14:val="none"/>
              </w:rPr>
              <w:t> :</w:t>
            </w:r>
            <w:r w:rsidRPr="00653BF4">
              <w:rPr>
                <w:rFonts w:eastAsia="Times New Roman" w:cs="Times New Roman"/>
                <w:color w:val="242424"/>
                <w:kern w:val="0"/>
                <w:sz w:val="20"/>
                <w:szCs w:val="20"/>
                <w:lang w:val="fr-FR"/>
                <w14:ligatures w14:val="none"/>
              </w:rPr>
              <w:t xml:space="preserve"> financements publics nationaux consacrés à la conservation et à </w:t>
            </w:r>
            <w:r w:rsidRPr="00653BF4">
              <w:rPr>
                <w:rFonts w:eastAsia="Times New Roman" w:cs="Times New Roman"/>
                <w:color w:val="242424"/>
                <w:kern w:val="0"/>
                <w:sz w:val="20"/>
                <w:szCs w:val="20"/>
                <w:lang w:val="fr-FR"/>
                <w14:ligatures w14:val="none"/>
              </w:rPr>
              <w:lastRenderedPageBreak/>
              <w:t>l</w:t>
            </w:r>
            <w:r w:rsidR="00D77549">
              <w:rPr>
                <w:rFonts w:eastAsia="Times New Roman" w:cs="Times New Roman"/>
                <w:color w:val="242424"/>
                <w:kern w:val="0"/>
                <w:sz w:val="20"/>
                <w:szCs w:val="20"/>
                <w:lang w:val="fr-FR"/>
                <w14:ligatures w14:val="none"/>
              </w:rPr>
              <w:t>’</w:t>
            </w:r>
            <w:r w:rsidRPr="00653BF4">
              <w:rPr>
                <w:rFonts w:eastAsia="Times New Roman" w:cs="Times New Roman"/>
                <w:color w:val="242424"/>
                <w:kern w:val="0"/>
                <w:sz w:val="20"/>
                <w:szCs w:val="20"/>
                <w:lang w:val="fr-FR"/>
                <w14:ligatures w14:val="none"/>
              </w:rPr>
              <w:t>utilisation durable de la biodiversité et des écosystèmes</w:t>
            </w:r>
          </w:p>
        </w:tc>
        <w:tc>
          <w:tcPr>
            <w:tcW w:w="2284" w:type="dxa"/>
            <w:tcBorders>
              <w:top w:val="nil"/>
              <w:left w:val="nil"/>
              <w:bottom w:val="single" w:sz="4" w:space="0" w:color="auto"/>
              <w:right w:val="single" w:sz="4" w:space="0" w:color="auto"/>
            </w:tcBorders>
            <w:vAlign w:val="center"/>
            <w:hideMark/>
          </w:tcPr>
          <w:p w14:paraId="147800D6" w14:textId="64719523"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lastRenderedPageBreak/>
              <w:t>54</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708" w:type="dxa"/>
            <w:tcBorders>
              <w:top w:val="nil"/>
              <w:left w:val="nil"/>
              <w:bottom w:val="single" w:sz="4" w:space="0" w:color="auto"/>
              <w:right w:val="single" w:sz="4" w:space="0" w:color="auto"/>
            </w:tcBorders>
            <w:shd w:val="clear" w:color="auto" w:fill="FFC000"/>
            <w:vAlign w:val="center"/>
            <w:hideMark/>
          </w:tcPr>
          <w:p w14:paraId="5AC4BD46"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261" w:type="dxa"/>
            <w:tcBorders>
              <w:top w:val="nil"/>
              <w:left w:val="nil"/>
              <w:bottom w:val="single" w:sz="4" w:space="0" w:color="auto"/>
              <w:right w:val="single" w:sz="4" w:space="0" w:color="auto"/>
            </w:tcBorders>
            <w:vAlign w:val="center"/>
            <w:hideMark/>
          </w:tcPr>
          <w:p w14:paraId="489E14B9"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 xml:space="preserve">La moyenne pour la période 2020-2023 s’élève à 34 milliards de dollars des États-Unis par an </w:t>
            </w:r>
          </w:p>
        </w:tc>
        <w:tc>
          <w:tcPr>
            <w:tcW w:w="708" w:type="dxa"/>
            <w:tcBorders>
              <w:top w:val="nil"/>
              <w:left w:val="nil"/>
              <w:bottom w:val="single" w:sz="4" w:space="0" w:color="auto"/>
              <w:right w:val="single" w:sz="4" w:space="0" w:color="auto"/>
            </w:tcBorders>
            <w:shd w:val="clear" w:color="auto" w:fill="C00000"/>
            <w:vAlign w:val="center"/>
            <w:hideMark/>
          </w:tcPr>
          <w:p w14:paraId="738DE56E"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tc>
      </w:tr>
      <w:tr w:rsidR="00B87039" w:rsidRPr="00543148" w14:paraId="687DBC70" w14:textId="77777777" w:rsidTr="00557FB3">
        <w:trPr>
          <w:trHeight w:val="1200"/>
        </w:trPr>
        <w:tc>
          <w:tcPr>
            <w:tcW w:w="3240" w:type="dxa"/>
            <w:tcBorders>
              <w:top w:val="nil"/>
              <w:left w:val="single" w:sz="4" w:space="0" w:color="auto"/>
              <w:bottom w:val="single" w:sz="4" w:space="0" w:color="auto"/>
              <w:right w:val="single" w:sz="4" w:space="0" w:color="auto"/>
            </w:tcBorders>
            <w:vAlign w:val="center"/>
            <w:hideMark/>
          </w:tcPr>
          <w:p w14:paraId="2AB9AC74" w14:textId="48A0730A" w:rsidR="00B87039" w:rsidRPr="00653BF4" w:rsidRDefault="00B87039" w:rsidP="00557FB3">
            <w:pPr>
              <w:spacing w:after="0" w:line="240" w:lineRule="auto"/>
              <w:jc w:val="center"/>
              <w:rPr>
                <w:rFonts w:eastAsia="Times New Roman" w:cs="Times New Roman"/>
                <w:color w:val="242424"/>
                <w:kern w:val="0"/>
                <w:sz w:val="20"/>
                <w:szCs w:val="20"/>
                <w:lang w:val="fr-FR" w:eastAsia="en-CA"/>
                <w14:ligatures w14:val="none"/>
              </w:rPr>
            </w:pPr>
            <w:r w:rsidRPr="00653BF4">
              <w:rPr>
                <w:rFonts w:eastAsia="Times New Roman" w:cs="Times New Roman"/>
                <w:color w:val="242424"/>
                <w:kern w:val="0"/>
                <w:sz w:val="20"/>
                <w:szCs w:val="20"/>
                <w:lang w:val="fr-FR"/>
                <w14:ligatures w14:val="none"/>
              </w:rPr>
              <w:t>Indicateur phare D.3</w:t>
            </w:r>
            <w:r w:rsidR="00E34DC9">
              <w:rPr>
                <w:rFonts w:eastAsia="Times New Roman" w:cs="Times New Roman"/>
                <w:color w:val="242424"/>
                <w:kern w:val="0"/>
                <w:sz w:val="20"/>
                <w:szCs w:val="20"/>
                <w:lang w:val="fr-FR"/>
                <w14:ligatures w14:val="none"/>
              </w:rPr>
              <w:t> :</w:t>
            </w:r>
            <w:r w:rsidRPr="00653BF4">
              <w:rPr>
                <w:rFonts w:eastAsia="Times New Roman" w:cs="Times New Roman"/>
                <w:color w:val="242424"/>
                <w:kern w:val="0"/>
                <w:sz w:val="20"/>
                <w:szCs w:val="20"/>
                <w:lang w:val="fr-FR"/>
                <w14:ligatures w14:val="none"/>
              </w:rPr>
              <w:t xml:space="preserve"> financements privés (nationaux et internationaux) consacrés à la conservation et à l</w:t>
            </w:r>
            <w:r w:rsidR="00D77549">
              <w:rPr>
                <w:rFonts w:eastAsia="Times New Roman" w:cs="Times New Roman"/>
                <w:color w:val="242424"/>
                <w:kern w:val="0"/>
                <w:sz w:val="20"/>
                <w:szCs w:val="20"/>
                <w:lang w:val="fr-FR"/>
                <w14:ligatures w14:val="none"/>
              </w:rPr>
              <w:t>’</w:t>
            </w:r>
            <w:r w:rsidRPr="00653BF4">
              <w:rPr>
                <w:rFonts w:eastAsia="Times New Roman" w:cs="Times New Roman"/>
                <w:color w:val="242424"/>
                <w:kern w:val="0"/>
                <w:sz w:val="20"/>
                <w:szCs w:val="20"/>
                <w:lang w:val="fr-FR"/>
                <w14:ligatures w14:val="none"/>
              </w:rPr>
              <w:t>utilisation durable de la biodiversité et des écosystèmes</w:t>
            </w:r>
          </w:p>
        </w:tc>
        <w:tc>
          <w:tcPr>
            <w:tcW w:w="2284" w:type="dxa"/>
            <w:tcBorders>
              <w:top w:val="nil"/>
              <w:left w:val="nil"/>
              <w:bottom w:val="single" w:sz="4" w:space="0" w:color="auto"/>
              <w:right w:val="single" w:sz="4" w:space="0" w:color="auto"/>
            </w:tcBorders>
            <w:vAlign w:val="center"/>
            <w:hideMark/>
          </w:tcPr>
          <w:p w14:paraId="3019B582" w14:textId="06620C82"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26</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708" w:type="dxa"/>
            <w:tcBorders>
              <w:top w:val="nil"/>
              <w:left w:val="nil"/>
              <w:bottom w:val="single" w:sz="4" w:space="0" w:color="auto"/>
              <w:right w:val="nil"/>
            </w:tcBorders>
            <w:shd w:val="clear" w:color="auto" w:fill="C00000"/>
            <w:vAlign w:val="center"/>
            <w:hideMark/>
          </w:tcPr>
          <w:p w14:paraId="65550E1F"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261" w:type="dxa"/>
            <w:tcBorders>
              <w:top w:val="nil"/>
              <w:left w:val="single" w:sz="4" w:space="0" w:color="auto"/>
              <w:bottom w:val="single" w:sz="4" w:space="0" w:color="auto"/>
              <w:right w:val="single" w:sz="4" w:space="0" w:color="auto"/>
            </w:tcBorders>
            <w:vAlign w:val="center"/>
            <w:hideMark/>
          </w:tcPr>
          <w:p w14:paraId="0B0BA98F" w14:textId="56621638"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sz w:val="20"/>
                <w:szCs w:val="20"/>
                <w:lang w:val="fr-FR"/>
              </w:rPr>
              <w:t>La moyenne pour la période 2020-2023 s</w:t>
            </w:r>
            <w:r w:rsidR="00D77549">
              <w:rPr>
                <w:sz w:val="20"/>
                <w:szCs w:val="20"/>
                <w:lang w:val="fr-FR"/>
              </w:rPr>
              <w:t>’</w:t>
            </w:r>
            <w:r w:rsidRPr="00653BF4">
              <w:rPr>
                <w:sz w:val="20"/>
                <w:szCs w:val="20"/>
                <w:lang w:val="fr-FR"/>
              </w:rPr>
              <w:t>élève à 8,2 milliards de dollars des États-Unis par an</w:t>
            </w:r>
          </w:p>
        </w:tc>
        <w:tc>
          <w:tcPr>
            <w:tcW w:w="708" w:type="dxa"/>
            <w:tcBorders>
              <w:top w:val="nil"/>
              <w:left w:val="nil"/>
              <w:bottom w:val="single" w:sz="4" w:space="0" w:color="auto"/>
              <w:right w:val="single" w:sz="4" w:space="0" w:color="auto"/>
            </w:tcBorders>
            <w:shd w:val="clear" w:color="auto" w:fill="C00000"/>
            <w:vAlign w:val="center"/>
            <w:hideMark/>
          </w:tcPr>
          <w:p w14:paraId="597494CF"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tc>
      </w:tr>
      <w:tr w:rsidR="00B87039" w:rsidRPr="00543148" w14:paraId="399CF05D" w14:textId="77777777" w:rsidTr="00557FB3">
        <w:trPr>
          <w:trHeight w:val="1050"/>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3AB2FC77"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Tous les indicateurs quantitatifs combinés</w:t>
            </w:r>
          </w:p>
        </w:tc>
        <w:tc>
          <w:tcPr>
            <w:tcW w:w="2284" w:type="dxa"/>
            <w:tcBorders>
              <w:top w:val="nil"/>
              <w:left w:val="nil"/>
              <w:bottom w:val="single" w:sz="4" w:space="0" w:color="auto"/>
              <w:right w:val="single" w:sz="4" w:space="0" w:color="auto"/>
            </w:tcBorders>
            <w:vAlign w:val="center"/>
            <w:hideMark/>
          </w:tcPr>
          <w:p w14:paraId="7F8C2AA8" w14:textId="163EF02B"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88 Parties, 68</w:t>
            </w:r>
            <w:r w:rsidR="002878D7">
              <w:rPr>
                <w:rFonts w:eastAsia="Times New Roman" w:cs="Calibri"/>
                <w:color w:val="000000"/>
                <w:kern w:val="0"/>
                <w:sz w:val="20"/>
                <w:szCs w:val="20"/>
                <w:lang w:val="fr-FR"/>
                <w14:ligatures w14:val="none"/>
              </w:rPr>
              <w:t> %</w:t>
            </w:r>
          </w:p>
        </w:tc>
        <w:tc>
          <w:tcPr>
            <w:tcW w:w="708" w:type="dxa"/>
            <w:tcBorders>
              <w:top w:val="nil"/>
              <w:left w:val="nil"/>
              <w:bottom w:val="single" w:sz="4" w:space="0" w:color="auto"/>
              <w:right w:val="single" w:sz="4" w:space="0" w:color="auto"/>
            </w:tcBorders>
            <w:shd w:val="clear" w:color="000000" w:fill="92D050"/>
            <w:vAlign w:val="center"/>
            <w:hideMark/>
          </w:tcPr>
          <w:p w14:paraId="3F4D6F89"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3261" w:type="dxa"/>
            <w:tcBorders>
              <w:top w:val="nil"/>
              <w:left w:val="nil"/>
              <w:bottom w:val="single" w:sz="4" w:space="0" w:color="auto"/>
              <w:right w:val="single" w:sz="4" w:space="0" w:color="auto"/>
            </w:tcBorders>
            <w:vAlign w:val="center"/>
            <w:hideMark/>
          </w:tcPr>
          <w:p w14:paraId="18BCA207" w14:textId="4A64CBFE" w:rsidR="00B87039" w:rsidRPr="00653BF4" w:rsidRDefault="00B87039" w:rsidP="00557FB3">
            <w:pPr>
              <w:jc w:val="center"/>
              <w:rPr>
                <w:sz w:val="20"/>
                <w:szCs w:val="20"/>
                <w:lang w:val="fr-FR"/>
              </w:rPr>
            </w:pPr>
            <w:r w:rsidRPr="00653BF4">
              <w:rPr>
                <w:sz w:val="20"/>
                <w:szCs w:val="20"/>
                <w:lang w:val="fr-FR"/>
              </w:rPr>
              <w:t>57</w:t>
            </w:r>
            <w:r w:rsidR="002878D7">
              <w:rPr>
                <w:sz w:val="20"/>
                <w:szCs w:val="20"/>
                <w:lang w:val="fr-FR"/>
              </w:rPr>
              <w:t> %</w:t>
            </w:r>
            <w:r w:rsidRPr="00653BF4">
              <w:rPr>
                <w:sz w:val="20"/>
                <w:szCs w:val="20"/>
                <w:lang w:val="fr-FR"/>
              </w:rPr>
              <w:t xml:space="preserve"> de tendances positives</w:t>
            </w:r>
          </w:p>
          <w:p w14:paraId="17A0B66B" w14:textId="5120E84C"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sz w:val="20"/>
                <w:szCs w:val="20"/>
                <w:lang w:val="fr-FR"/>
              </w:rPr>
              <w:t>21</w:t>
            </w:r>
            <w:r w:rsidR="002878D7">
              <w:rPr>
                <w:sz w:val="20"/>
                <w:szCs w:val="20"/>
                <w:lang w:val="fr-FR"/>
              </w:rPr>
              <w:t> %</w:t>
            </w:r>
            <w:r w:rsidRPr="00653BF4">
              <w:rPr>
                <w:sz w:val="20"/>
                <w:szCs w:val="20"/>
                <w:lang w:val="fr-FR"/>
              </w:rPr>
              <w:t xml:space="preserve"> de tendances négatives</w:t>
            </w:r>
          </w:p>
        </w:tc>
        <w:tc>
          <w:tcPr>
            <w:tcW w:w="708" w:type="dxa"/>
            <w:tcBorders>
              <w:top w:val="nil"/>
              <w:left w:val="nil"/>
              <w:bottom w:val="single" w:sz="4" w:space="0" w:color="auto"/>
              <w:right w:val="single" w:sz="4" w:space="0" w:color="auto"/>
            </w:tcBorders>
            <w:shd w:val="clear" w:color="000000" w:fill="92D050"/>
            <w:vAlign w:val="center"/>
            <w:hideMark/>
          </w:tcPr>
          <w:p w14:paraId="0B82F27A"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bl>
    <w:p w14:paraId="54BDE28C" w14:textId="77777777" w:rsidR="00B87039" w:rsidRPr="00653BF4" w:rsidRDefault="00B87039" w:rsidP="00B87039">
      <w:pPr>
        <w:pStyle w:val="p1"/>
        <w:rPr>
          <w:rFonts w:ascii="Aptos" w:hAnsi="Aptos"/>
          <w:sz w:val="24"/>
          <w:szCs w:val="24"/>
          <w:lang w:val="fr-FR"/>
        </w:rPr>
      </w:pPr>
    </w:p>
    <w:p w14:paraId="13A8E8A2" w14:textId="56B4C76A"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51F1452C" w14:textId="77777777" w:rsidR="00B87039" w:rsidRPr="00653BF4" w:rsidRDefault="00B87039" w:rsidP="00B87039">
      <w:pPr>
        <w:pStyle w:val="p1"/>
        <w:rPr>
          <w:rFonts w:ascii="Aptos" w:hAnsi="Aptos"/>
          <w:sz w:val="24"/>
          <w:szCs w:val="24"/>
          <w:lang w:val="fr-FR"/>
        </w:rPr>
      </w:pPr>
    </w:p>
    <w:p w14:paraId="2FF79D46" w14:textId="45FAC456" w:rsidR="00B87039" w:rsidRPr="00653BF4" w:rsidRDefault="00B87039" w:rsidP="00B87039">
      <w:pPr>
        <w:rPr>
          <w:lang w:val="fr-FR"/>
        </w:rPr>
      </w:pPr>
      <w:r w:rsidRPr="00653BF4">
        <w:rPr>
          <w:lang w:val="fr-FR"/>
        </w:rPr>
        <w:t>De nombreuses Parties font état de difficultés à suivre les flux financiers liés à la biodiversité, notamment en raison de l’absence de systèmes de suivi permettant de distinguer les dépenses consacrées à la biodiversité des dépenses plus générales dans les domaines environnemental, social et de la gouvernance, ainsi que de difficultés à identifier les flux financiers privés. Beaucoup indiquent qu</w:t>
      </w:r>
      <w:r w:rsidR="00D77549">
        <w:rPr>
          <w:lang w:val="fr-FR"/>
        </w:rPr>
        <w:t>’</w:t>
      </w:r>
      <w:r w:rsidRPr="00653BF4">
        <w:rPr>
          <w:lang w:val="fr-FR"/>
        </w:rPr>
        <w:t>ils sont actuellement en train de mettre au point un système de suivi financier, et nombreux sont ceux qui utilisent BIOFIN. Ces difficultés expliquent l</w:t>
      </w:r>
      <w:r w:rsidR="00D77549">
        <w:rPr>
          <w:lang w:val="fr-FR"/>
        </w:rPr>
        <w:t>’</w:t>
      </w:r>
      <w:r w:rsidRPr="00653BF4">
        <w:rPr>
          <w:lang w:val="fr-FR"/>
        </w:rPr>
        <w:t xml:space="preserve">absence de données plus récentes, et il est probable que les chiffres présentés pour certains pays soient sous-estimés, car ils ne reflètent pas toujours les financements provenant de toutes les sources. </w:t>
      </w:r>
    </w:p>
    <w:p w14:paraId="49595CAC" w14:textId="77777777" w:rsidR="00B87039" w:rsidRPr="00653BF4" w:rsidRDefault="00B87039" w:rsidP="00B87039">
      <w:pPr>
        <w:pStyle w:val="paragraph"/>
        <w:spacing w:before="0" w:beforeAutospacing="0" w:after="0" w:afterAutospacing="0"/>
        <w:textAlignment w:val="baseline"/>
        <w:rPr>
          <w:rStyle w:val="normaltextrun"/>
          <w:rFonts w:cs="Segoe UI"/>
          <w:color w:val="0F4761"/>
          <w:u w:val="single"/>
          <w:lang w:val="fr-FR"/>
        </w:rPr>
      </w:pPr>
    </w:p>
    <w:p w14:paraId="04450EF3" w14:textId="5F8E6EFA" w:rsidR="00B87039" w:rsidRPr="00653BF4" w:rsidRDefault="00B87039" w:rsidP="00B87039">
      <w:pPr>
        <w:pStyle w:val="Heading6"/>
        <w:rPr>
          <w:lang w:val="fr-FR"/>
        </w:rPr>
      </w:pPr>
      <w:bookmarkStart w:id="375" w:name="_Toc235821282"/>
      <w:r w:rsidRPr="00653BF4">
        <w:rPr>
          <w:rStyle w:val="normaltextrun"/>
          <w:lang w:val="fr-FR"/>
        </w:rPr>
        <w:t>Jalon de 2025</w:t>
      </w:r>
      <w:bookmarkEnd w:id="375"/>
    </w:p>
    <w:p w14:paraId="685B394C" w14:textId="77777777" w:rsidR="00B87039" w:rsidRPr="00653BF4" w:rsidRDefault="00B87039" w:rsidP="00B87039">
      <w:pPr>
        <w:spacing w:after="200"/>
        <w:jc w:val="both"/>
        <w:rPr>
          <w:lang w:val="fr-FR"/>
        </w:rPr>
      </w:pPr>
    </w:p>
    <w:p w14:paraId="0EB1FB38" w14:textId="71CE308C" w:rsidR="00B87039" w:rsidRPr="00653BF4" w:rsidRDefault="00B87039" w:rsidP="00B87039">
      <w:pPr>
        <w:rPr>
          <w:lang w:val="fr-FR"/>
        </w:rPr>
      </w:pPr>
      <w:r w:rsidRPr="00653BF4">
        <w:rPr>
          <w:lang w:val="fr-FR"/>
        </w:rPr>
        <w:t xml:space="preserve">La </w:t>
      </w:r>
      <w:r w:rsidR="00E34DC9">
        <w:rPr>
          <w:lang w:val="fr-FR"/>
        </w:rPr>
        <w:t>cible 1</w:t>
      </w:r>
      <w:r w:rsidRPr="00653BF4">
        <w:rPr>
          <w:lang w:val="fr-FR"/>
        </w:rPr>
        <w:t>9 a) du Cadre plaide pour l</w:t>
      </w:r>
      <w:r w:rsidR="00D77549">
        <w:rPr>
          <w:lang w:val="fr-FR"/>
        </w:rPr>
        <w:t>’</w:t>
      </w:r>
      <w:r w:rsidRPr="00653BF4">
        <w:rPr>
          <w:lang w:val="fr-FR"/>
        </w:rPr>
        <w:t>augmentation du montant total des ressources financières internationales liées à la biodiversité provenant des pays développés, y compris l</w:t>
      </w:r>
      <w:r w:rsidR="00D77549">
        <w:rPr>
          <w:lang w:val="fr-FR"/>
        </w:rPr>
        <w:t>’</w:t>
      </w:r>
      <w:r w:rsidRPr="00653BF4">
        <w:rPr>
          <w:lang w:val="fr-FR"/>
        </w:rPr>
        <w:t xml:space="preserve">aide publique au développement, et des pays qui remplissent volontairement les engagements des pays développés Parties, en faveur des pays en développement, en particulier des pays les moins avancés et des petits États insulaires en développement, </w:t>
      </w:r>
      <w:r w:rsidRPr="00653BF4">
        <w:rPr>
          <w:lang w:val="fr-FR"/>
        </w:rPr>
        <w:lastRenderedPageBreak/>
        <w:t>ainsi que des pays à économie en transition, pour le porter à au moins 20 milliards de dollars des États-Unis par an d</w:t>
      </w:r>
      <w:r w:rsidR="00D77549">
        <w:rPr>
          <w:lang w:val="fr-FR"/>
        </w:rPr>
        <w:t>’</w:t>
      </w:r>
      <w:r w:rsidRPr="00653BF4">
        <w:rPr>
          <w:lang w:val="fr-FR"/>
        </w:rPr>
        <w:t>ici à 2025, et à au moins 30 milliards de dollars des États-Unis par an d</w:t>
      </w:r>
      <w:r w:rsidR="00D77549">
        <w:rPr>
          <w:lang w:val="fr-FR"/>
        </w:rPr>
        <w:t>’</w:t>
      </w:r>
      <w:r w:rsidRPr="00653BF4">
        <w:rPr>
          <w:lang w:val="fr-FR"/>
        </w:rPr>
        <w:t>ici à 2030.</w:t>
      </w:r>
      <w:r w:rsidRPr="00653BF4">
        <w:rPr>
          <w:lang w:val="fr-FR"/>
        </w:rPr>
        <w:br/>
      </w:r>
    </w:p>
    <w:p w14:paraId="5CFF4851" w14:textId="4D60D37A" w:rsidR="00B87039" w:rsidRPr="00653BF4" w:rsidRDefault="00B87039" w:rsidP="00B87039">
      <w:pPr>
        <w:rPr>
          <w:lang w:val="fr-FR"/>
        </w:rPr>
      </w:pPr>
      <w:r w:rsidRPr="00653BF4">
        <w:rPr>
          <w:lang w:val="fr-FR"/>
        </w:rPr>
        <w:t>Les Parties ayant communiqué des données au titre de l’indicateur phare D.1, à savoir les pays développés Parties et les Parties qui ont rempli volontairement les engagements des pays développés Parties, ont déclaré un montant cumulé de 17,7 milliards de dollars des États-Unis au titre des financements publics internationaux entre 2020 et 2023, le montant le plus élevé, soit 5,2 milliards de dollars des États-Unis, ayant été déclaré en 2023 (voir le tableau 42 et figure 77).</w:t>
      </w:r>
      <w:r w:rsidRPr="00653BF4">
        <w:rPr>
          <w:rFonts w:eastAsia="Times New Roman" w:cs="Times New Roman"/>
          <w:lang w:val="fr-FR"/>
        </w:rPr>
        <w:t xml:space="preserve"> </w:t>
      </w:r>
      <w:r w:rsidRPr="00653BF4">
        <w:rPr>
          <w:lang w:val="fr-FR"/>
        </w:rPr>
        <w:t>Ce montant doit être considéré comme un minimum, car il ne reflète peut-être pas l</w:t>
      </w:r>
      <w:r w:rsidR="00D77549">
        <w:rPr>
          <w:lang w:val="fr-FR"/>
        </w:rPr>
        <w:t>’</w:t>
      </w:r>
      <w:r w:rsidRPr="00653BF4">
        <w:rPr>
          <w:lang w:val="fr-FR"/>
        </w:rPr>
        <w:t xml:space="preserve">ensemble des flux couverts par la </w:t>
      </w:r>
      <w:r w:rsidR="00E34DC9">
        <w:rPr>
          <w:lang w:val="fr-FR"/>
        </w:rPr>
        <w:t>cible 1</w:t>
      </w:r>
      <w:r w:rsidRPr="00653BF4">
        <w:rPr>
          <w:lang w:val="fr-FR"/>
        </w:rPr>
        <w:t>9 a). L</w:t>
      </w:r>
      <w:r w:rsidR="00D77549">
        <w:rPr>
          <w:lang w:val="fr-FR"/>
        </w:rPr>
        <w:t>’</w:t>
      </w:r>
      <w:r w:rsidRPr="00653BF4">
        <w:rPr>
          <w:lang w:val="fr-FR"/>
        </w:rPr>
        <w:t>OCDE, dont l</w:t>
      </w:r>
      <w:r w:rsidR="00D77549">
        <w:rPr>
          <w:lang w:val="fr-FR"/>
        </w:rPr>
        <w:t>’</w:t>
      </w:r>
      <w:r w:rsidRPr="00653BF4">
        <w:rPr>
          <w:lang w:val="fr-FR"/>
        </w:rPr>
        <w:t>analyse porte sur l</w:t>
      </w:r>
      <w:r w:rsidR="00D77549">
        <w:rPr>
          <w:lang w:val="fr-FR"/>
        </w:rPr>
        <w:t>’</w:t>
      </w:r>
      <w:r w:rsidRPr="00653BF4">
        <w:rPr>
          <w:lang w:val="fr-FR"/>
        </w:rPr>
        <w:t xml:space="preserve">ensemble des flux mentionnés dans la </w:t>
      </w:r>
      <w:r w:rsidR="00E34DC9">
        <w:rPr>
          <w:lang w:val="fr-FR"/>
        </w:rPr>
        <w:t>cible 1</w:t>
      </w:r>
      <w:r w:rsidRPr="00653BF4">
        <w:rPr>
          <w:lang w:val="fr-FR"/>
        </w:rPr>
        <w:t>9 a), estime le montant total des financements internationaux en faveur de la biodiversité à environ 16,8 milliards de dollars des États-Unis en 2023. Ces deux estimations sont inférieures au seuil des 20 milliards de dollars des États-Unis. Les données semblent donc indiquer que le jalon fixé pour 2025 n</w:t>
      </w:r>
      <w:r w:rsidR="00D77549">
        <w:rPr>
          <w:lang w:val="fr-FR"/>
        </w:rPr>
        <w:t>’</w:t>
      </w:r>
      <w:r w:rsidRPr="00653BF4">
        <w:rPr>
          <w:lang w:val="fr-FR"/>
        </w:rPr>
        <w:t>a probablement pas été atteint, même si une évaluation définitive ne sera possible qu</w:t>
      </w:r>
      <w:r w:rsidR="00D77549">
        <w:rPr>
          <w:lang w:val="fr-FR"/>
        </w:rPr>
        <w:t>’</w:t>
      </w:r>
      <w:r w:rsidRPr="00653BF4">
        <w:rPr>
          <w:lang w:val="fr-FR"/>
        </w:rPr>
        <w:t>une fois que les données complètes pour 2024 et 2025, année de référence, auront été communiquées.</w:t>
      </w:r>
    </w:p>
    <w:p w14:paraId="48863560" w14:textId="77777777" w:rsidR="00B87039" w:rsidRPr="00653BF4" w:rsidRDefault="00B87039" w:rsidP="00B87039">
      <w:pPr>
        <w:spacing w:after="200"/>
        <w:jc w:val="both"/>
        <w:rPr>
          <w:rStyle w:val="normaltextrun"/>
          <w:lang w:val="fr-FR"/>
        </w:rPr>
      </w:pPr>
    </w:p>
    <w:p w14:paraId="5FBA7791" w14:textId="71FC47B0" w:rsidR="00B87039" w:rsidRPr="00653BF4" w:rsidRDefault="00B87039" w:rsidP="00B87039">
      <w:pPr>
        <w:rPr>
          <w:i/>
          <w:iCs/>
          <w:lang w:val="fr-FR"/>
        </w:rPr>
      </w:pPr>
      <w:r w:rsidRPr="00653BF4">
        <w:rPr>
          <w:i/>
          <w:iCs/>
          <w:lang w:val="fr-FR"/>
        </w:rPr>
        <w:t>Cible de 200 milliards de dollars des États-Unis à l</w:t>
      </w:r>
      <w:r w:rsidR="00D77549">
        <w:rPr>
          <w:i/>
          <w:iCs/>
          <w:lang w:val="fr-FR"/>
        </w:rPr>
        <w:t>’</w:t>
      </w:r>
      <w:r w:rsidRPr="00653BF4">
        <w:rPr>
          <w:i/>
          <w:iCs/>
          <w:lang w:val="fr-FR"/>
        </w:rPr>
        <w:t>horizon 2030</w:t>
      </w:r>
    </w:p>
    <w:p w14:paraId="0F89F1C3" w14:textId="77777777" w:rsidR="00B87039" w:rsidRPr="00653BF4" w:rsidRDefault="00B87039" w:rsidP="00B87039">
      <w:pPr>
        <w:rPr>
          <w:lang w:val="fr-FR"/>
        </w:rPr>
      </w:pPr>
    </w:p>
    <w:p w14:paraId="3A0C7186" w14:textId="3D74A47E" w:rsidR="00B87039" w:rsidRPr="00653BF4" w:rsidRDefault="00B87039" w:rsidP="00B87039">
      <w:pPr>
        <w:rPr>
          <w:lang w:val="fr-FR"/>
        </w:rPr>
      </w:pPr>
      <w:r w:rsidRPr="00653BF4">
        <w:rPr>
          <w:lang w:val="fr-FR"/>
        </w:rPr>
        <w:t xml:space="preserve">La </w:t>
      </w:r>
      <w:r w:rsidR="00E34DC9">
        <w:rPr>
          <w:lang w:val="fr-FR"/>
        </w:rPr>
        <w:t>cible 1</w:t>
      </w:r>
      <w:r w:rsidRPr="00653BF4">
        <w:rPr>
          <w:lang w:val="fr-FR"/>
        </w:rPr>
        <w:t>9 fixe comme objectif global pour 2030 la mobilisation d</w:t>
      </w:r>
      <w:r w:rsidR="00D77549">
        <w:rPr>
          <w:lang w:val="fr-FR"/>
        </w:rPr>
        <w:t>’</w:t>
      </w:r>
      <w:r w:rsidRPr="00653BF4">
        <w:rPr>
          <w:lang w:val="fr-FR"/>
        </w:rPr>
        <w:t>au moins 200 milliards de dollars des États-Unis par an en faveur de la biodiversité, toutes sources confondues.</w:t>
      </w:r>
    </w:p>
    <w:p w14:paraId="0A6BF78D" w14:textId="77777777" w:rsidR="00B87039" w:rsidRPr="00653BF4" w:rsidRDefault="00B87039" w:rsidP="00B87039">
      <w:pPr>
        <w:rPr>
          <w:lang w:val="fr-FR"/>
        </w:rPr>
      </w:pPr>
      <w:r w:rsidRPr="00653BF4">
        <w:rPr>
          <w:lang w:val="fr-FR"/>
        </w:rPr>
        <w:t xml:space="preserve">Le montant total des financements provenant de sources publiques internationales, de sources publiques nationales et de sources privées s’est élevé respectivement à 5,2 milliards de dollars des États-Unis, 20,6 milliards de dollars des États-Unis et 6,9 milliards de dollars des États-Unis, pour un total de 32,7 milliards de dollars des États-Unis en 2023.Les Parties indiquent avoir mobilisé, sur quatre ans (2020-2023), un montant cumulé de 17,7 milliards de dollars des États-Unis provenant de sources publiques internationales, 135,9 milliards de dollars des États-Unis provenant de sources nationales et 32,8 milliards de dollars des États-Unis provenant de sources de financement privées, soit un total cumulé de 186,4 milliards de dollars des États-Unis. </w:t>
      </w:r>
    </w:p>
    <w:p w14:paraId="6B0495D7" w14:textId="2E70DCBF" w:rsidR="00B87039" w:rsidRPr="00653BF4" w:rsidRDefault="00B87039" w:rsidP="00B87039">
      <w:pPr>
        <w:rPr>
          <w:lang w:val="fr-FR"/>
        </w:rPr>
      </w:pPr>
      <w:r w:rsidRPr="00653BF4">
        <w:rPr>
          <w:lang w:val="fr-FR"/>
        </w:rPr>
        <w:t>Les financements provenant de sources publiques internationales et nationales ont augmenté d</w:t>
      </w:r>
      <w:r w:rsidR="00D77549">
        <w:rPr>
          <w:lang w:val="fr-FR"/>
        </w:rPr>
        <w:t>’</w:t>
      </w:r>
      <w:r w:rsidRPr="00653BF4">
        <w:rPr>
          <w:lang w:val="fr-FR"/>
        </w:rPr>
        <w:t>année en année</w:t>
      </w:r>
      <w:r w:rsidR="00E34DC9">
        <w:rPr>
          <w:lang w:val="fr-FR"/>
        </w:rPr>
        <w:t> ;</w:t>
      </w:r>
      <w:r w:rsidRPr="00653BF4">
        <w:rPr>
          <w:lang w:val="fr-FR"/>
        </w:rPr>
        <w:t xml:space="preserve"> toutefois, les dépenses publiques nationales consacrées à </w:t>
      </w:r>
      <w:r w:rsidRPr="00653BF4">
        <w:rPr>
          <w:lang w:val="fr-FR"/>
        </w:rPr>
        <w:lastRenderedPageBreak/>
        <w:t>la conservation et à l</w:t>
      </w:r>
      <w:r w:rsidR="00D77549">
        <w:rPr>
          <w:lang w:val="fr-FR"/>
        </w:rPr>
        <w:t>’</w:t>
      </w:r>
      <w:r w:rsidRPr="00653BF4">
        <w:rPr>
          <w:lang w:val="fr-FR"/>
        </w:rPr>
        <w:t>utilisation durable de la biodiversité et des écosystèmes, exprimées en pourcentage du PIB, ont diminué au cours de cette période (voir la figure 78).</w:t>
      </w:r>
      <w:r w:rsidRPr="00653BF4">
        <w:rPr>
          <w:color w:val="000000" w:themeColor="text1"/>
          <w:lang w:val="fr-FR"/>
        </w:rPr>
        <w:t xml:space="preserve"> </w:t>
      </w:r>
      <w:r w:rsidRPr="00653BF4">
        <w:rPr>
          <w:lang w:val="fr-FR"/>
        </w:rPr>
        <w:t>La part des sources intérieures de financement dans le PIB a connu de fortes variations, allant de moins de 0,1</w:t>
      </w:r>
      <w:r w:rsidR="002878D7">
        <w:rPr>
          <w:lang w:val="fr-FR"/>
        </w:rPr>
        <w:t> %</w:t>
      </w:r>
      <w:r w:rsidRPr="00653BF4">
        <w:rPr>
          <w:lang w:val="fr-FR"/>
        </w:rPr>
        <w:t xml:space="preserve"> à pas moins de 2,7</w:t>
      </w:r>
      <w:r w:rsidR="002878D7">
        <w:rPr>
          <w:lang w:val="fr-FR"/>
        </w:rPr>
        <w:t> %</w:t>
      </w:r>
      <w:r w:rsidRPr="00653BF4">
        <w:rPr>
          <w:lang w:val="fr-FR"/>
        </w:rPr>
        <w:t>.</w:t>
      </w:r>
    </w:p>
    <w:p w14:paraId="29F54D19" w14:textId="1BD8358B" w:rsidR="00B87039" w:rsidRPr="00653BF4" w:rsidRDefault="00B87039" w:rsidP="00B87039">
      <w:pPr>
        <w:rPr>
          <w:lang w:val="fr-FR"/>
        </w:rPr>
      </w:pPr>
      <w:r w:rsidRPr="00653BF4">
        <w:rPr>
          <w:lang w:val="fr-FR"/>
        </w:rPr>
        <w:t>En ce qui concerne les sources privées, leur montant a atteint un pic de 11,2 milliards de dollars des États-Unis en 2021 (voir la figure 79). La baisse des financements en 2022 et 2023 pourrait s</w:t>
      </w:r>
      <w:r w:rsidR="00D77549">
        <w:rPr>
          <w:lang w:val="fr-FR"/>
        </w:rPr>
        <w:t>’</w:t>
      </w:r>
      <w:r w:rsidRPr="00653BF4">
        <w:rPr>
          <w:lang w:val="fr-FR"/>
        </w:rPr>
        <w:t>expliquer par un décalage temporel dans la communication des données, ou bien refléter une diminution résultant d</w:t>
      </w:r>
      <w:r w:rsidR="00D77549">
        <w:rPr>
          <w:lang w:val="fr-FR"/>
        </w:rPr>
        <w:t>’</w:t>
      </w:r>
      <w:r w:rsidRPr="00653BF4">
        <w:rPr>
          <w:lang w:val="fr-FR"/>
        </w:rPr>
        <w:t>évolutions réelles des financements. Il n</w:t>
      </w:r>
      <w:r w:rsidR="00D77549">
        <w:rPr>
          <w:lang w:val="fr-FR"/>
        </w:rPr>
        <w:t>’</w:t>
      </w:r>
      <w:r w:rsidRPr="00653BF4">
        <w:rPr>
          <w:lang w:val="fr-FR"/>
        </w:rPr>
        <w:t>est pas possible d</w:t>
      </w:r>
      <w:r w:rsidR="00D77549">
        <w:rPr>
          <w:lang w:val="fr-FR"/>
        </w:rPr>
        <w:t>’</w:t>
      </w:r>
      <w:r w:rsidRPr="00653BF4">
        <w:rPr>
          <w:lang w:val="fr-FR"/>
        </w:rPr>
        <w:t>évaluer cet aspect dans la présente analyse, car peu de Parties ont communiqué des données sur les sources de financement privées et ces données sont donc largement incomplètes.</w:t>
      </w:r>
    </w:p>
    <w:p w14:paraId="429B7274" w14:textId="4C77436B" w:rsidR="00B87039" w:rsidRPr="00653BF4" w:rsidRDefault="00B87039" w:rsidP="00B87039">
      <w:pPr>
        <w:rPr>
          <w:lang w:val="fr-FR"/>
        </w:rPr>
      </w:pPr>
      <w:r w:rsidRPr="00653BF4">
        <w:rPr>
          <w:lang w:val="fr-FR"/>
        </w:rPr>
        <w:t>Plusieurs Parties ont communiqué des informations sur d</w:t>
      </w:r>
      <w:r w:rsidR="00D77549">
        <w:rPr>
          <w:lang w:val="fr-FR"/>
        </w:rPr>
        <w:t>’</w:t>
      </w:r>
      <w:r w:rsidRPr="00653BF4">
        <w:rPr>
          <w:lang w:val="fr-FR"/>
        </w:rPr>
        <w:t xml:space="preserve">autres indicateurs liés à la </w:t>
      </w:r>
      <w:r w:rsidR="00E34DC9">
        <w:rPr>
          <w:lang w:val="fr-FR"/>
        </w:rPr>
        <w:t>cible 1</w:t>
      </w:r>
      <w:r w:rsidRPr="00653BF4">
        <w:rPr>
          <w:lang w:val="fr-FR"/>
        </w:rPr>
        <w:t>9, la grande majorité d</w:t>
      </w:r>
      <w:r w:rsidR="00D77549">
        <w:rPr>
          <w:lang w:val="fr-FR"/>
        </w:rPr>
        <w:t>’</w:t>
      </w:r>
      <w:r w:rsidRPr="00653BF4">
        <w:rPr>
          <w:lang w:val="fr-FR"/>
        </w:rPr>
        <w:t>entre elles affichant des signes d</w:t>
      </w:r>
      <w:r w:rsidR="00D77549">
        <w:rPr>
          <w:lang w:val="fr-FR"/>
        </w:rPr>
        <w:t>’</w:t>
      </w:r>
      <w:r w:rsidRPr="00653BF4">
        <w:rPr>
          <w:lang w:val="fr-FR"/>
        </w:rPr>
        <w:t>amélioration (voir la figure 80). La plupart des indicateurs supplémentaires portent sur l</w:t>
      </w:r>
      <w:r w:rsidR="00D77549">
        <w:rPr>
          <w:lang w:val="fr-FR"/>
        </w:rPr>
        <w:t>’</w:t>
      </w:r>
      <w:r w:rsidRPr="00653BF4">
        <w:rPr>
          <w:lang w:val="fr-FR"/>
        </w:rPr>
        <w:t>amélioration de l</w:t>
      </w:r>
      <w:r w:rsidR="00D77549">
        <w:rPr>
          <w:lang w:val="fr-FR"/>
        </w:rPr>
        <w:t>’</w:t>
      </w:r>
      <w:r w:rsidRPr="00653BF4">
        <w:rPr>
          <w:lang w:val="fr-FR"/>
        </w:rPr>
        <w:t>efficacité, de l</w:t>
      </w:r>
      <w:r w:rsidR="00D77549">
        <w:rPr>
          <w:lang w:val="fr-FR"/>
        </w:rPr>
        <w:t>’</w:t>
      </w:r>
      <w:r w:rsidRPr="00653BF4">
        <w:rPr>
          <w:lang w:val="fr-FR"/>
        </w:rPr>
        <w:t>efficience et de la transparence de l</w:t>
      </w:r>
      <w:r w:rsidR="00D77549">
        <w:rPr>
          <w:lang w:val="fr-FR"/>
        </w:rPr>
        <w:t>’</w:t>
      </w:r>
      <w:r w:rsidRPr="00653BF4">
        <w:rPr>
          <w:lang w:val="fr-FR"/>
        </w:rPr>
        <w:t>allocation et de l</w:t>
      </w:r>
      <w:r w:rsidR="00D77549">
        <w:rPr>
          <w:lang w:val="fr-FR"/>
        </w:rPr>
        <w:t>’</w:t>
      </w:r>
      <w:r w:rsidRPr="00653BF4">
        <w:rPr>
          <w:lang w:val="fr-FR"/>
        </w:rPr>
        <w:t>utilisation des ressources. Ils couvrent donc principalement d</w:t>
      </w:r>
      <w:r w:rsidR="00D77549">
        <w:rPr>
          <w:lang w:val="fr-FR"/>
        </w:rPr>
        <w:t>’</w:t>
      </w:r>
      <w:r w:rsidRPr="00653BF4">
        <w:rPr>
          <w:lang w:val="fr-FR"/>
        </w:rPr>
        <w:t xml:space="preserve">autres aspects de la </w:t>
      </w:r>
      <w:r w:rsidR="00E34DC9">
        <w:rPr>
          <w:lang w:val="fr-FR"/>
        </w:rPr>
        <w:t>cible 1</w:t>
      </w:r>
      <w:r w:rsidRPr="00653BF4">
        <w:rPr>
          <w:lang w:val="fr-FR"/>
        </w:rPr>
        <w:t>9 et ne sont pas toujours directement liés au volume des financements.</w:t>
      </w:r>
    </w:p>
    <w:p w14:paraId="608292B9" w14:textId="77777777" w:rsidR="00B87039" w:rsidRPr="00653BF4" w:rsidRDefault="00B87039" w:rsidP="00B87039">
      <w:pPr>
        <w:rPr>
          <w:lang w:val="fr-FR"/>
        </w:rPr>
      </w:pPr>
    </w:p>
    <w:p w14:paraId="0C43A118" w14:textId="77777777" w:rsidR="00B87039" w:rsidRPr="00653BF4" w:rsidRDefault="00B87039" w:rsidP="00B87039">
      <w:pPr>
        <w:rPr>
          <w:sz w:val="20"/>
          <w:szCs w:val="20"/>
          <w:lang w:val="fr-FR"/>
        </w:rPr>
      </w:pPr>
      <w:r w:rsidRPr="00653BF4">
        <w:rPr>
          <w:sz w:val="20"/>
          <w:szCs w:val="20"/>
          <w:lang w:val="fr-FR"/>
        </w:rPr>
        <w:t>Figure 77</w:t>
      </w:r>
    </w:p>
    <w:p w14:paraId="1987E00D" w14:textId="3EBD76F1" w:rsidR="00B87039" w:rsidRPr="00653BF4" w:rsidRDefault="00B87039" w:rsidP="00B87039">
      <w:pPr>
        <w:rPr>
          <w:b/>
          <w:bCs/>
          <w:sz w:val="20"/>
          <w:szCs w:val="20"/>
          <w:lang w:val="fr-FR"/>
        </w:rPr>
      </w:pPr>
      <w:r w:rsidRPr="00653BF4">
        <w:rPr>
          <w:b/>
          <w:bCs/>
          <w:sz w:val="20"/>
          <w:szCs w:val="20"/>
          <w:lang w:val="fr-FR"/>
        </w:rPr>
        <w:t>Indicateur phare D.1</w:t>
      </w:r>
      <w:r w:rsidR="00E34DC9">
        <w:rPr>
          <w:b/>
          <w:bCs/>
          <w:sz w:val="20"/>
          <w:szCs w:val="20"/>
          <w:lang w:val="fr-FR"/>
        </w:rPr>
        <w:t> :</w:t>
      </w:r>
      <w:r w:rsidRPr="00653BF4">
        <w:rPr>
          <w:b/>
          <w:bCs/>
          <w:sz w:val="20"/>
          <w:szCs w:val="20"/>
          <w:lang w:val="fr-FR"/>
        </w:rPr>
        <w:t xml:space="preserve"> financements publics internationaux, y compris l</w:t>
      </w:r>
      <w:r w:rsidR="00D77549">
        <w:rPr>
          <w:b/>
          <w:bCs/>
          <w:sz w:val="20"/>
          <w:szCs w:val="20"/>
          <w:lang w:val="fr-FR"/>
        </w:rPr>
        <w:t>’</w:t>
      </w:r>
      <w:r w:rsidRPr="00653BF4">
        <w:rPr>
          <w:b/>
          <w:bCs/>
          <w:sz w:val="20"/>
          <w:szCs w:val="20"/>
          <w:lang w:val="fr-FR"/>
        </w:rPr>
        <w:t>aide publique au développement, consacrés à la conservation et à l</w:t>
      </w:r>
      <w:r w:rsidR="00D77549">
        <w:rPr>
          <w:b/>
          <w:bCs/>
          <w:sz w:val="20"/>
          <w:szCs w:val="20"/>
          <w:lang w:val="fr-FR"/>
        </w:rPr>
        <w:t>’</w:t>
      </w:r>
      <w:r w:rsidRPr="00653BF4">
        <w:rPr>
          <w:b/>
          <w:bCs/>
          <w:sz w:val="20"/>
          <w:szCs w:val="20"/>
          <w:lang w:val="fr-FR"/>
        </w:rPr>
        <w:t>utilisation durable de la biodiversité et des écosystèmes</w:t>
      </w:r>
    </w:p>
    <w:p w14:paraId="192D97C9" w14:textId="397FBC27" w:rsidR="00B87039" w:rsidRPr="00653BF4" w:rsidRDefault="00B87039" w:rsidP="00B87039">
      <w:pPr>
        <w:rPr>
          <w:rFonts w:cs="Segoe UI"/>
          <w:sz w:val="18"/>
          <w:szCs w:val="18"/>
          <w:lang w:val="fr-FR"/>
        </w:rPr>
      </w:pPr>
    </w:p>
    <w:p w14:paraId="0524C76D" w14:textId="77777777" w:rsidR="00B87039" w:rsidRPr="00653BF4" w:rsidRDefault="00B87039" w:rsidP="00B87039">
      <w:pPr>
        <w:pStyle w:val="Caption"/>
        <w:rPr>
          <w:lang w:val="fr-FR"/>
        </w:rPr>
      </w:pPr>
      <w:r w:rsidRPr="00653BF4">
        <w:rPr>
          <w:noProof/>
          <w:lang w:val="fr-FR"/>
          <w14:ligatures w14:val="standardContextual"/>
        </w:rPr>
        <w:lastRenderedPageBreak/>
        <w:drawing>
          <wp:inline distT="0" distB="0" distL="0" distR="0" wp14:anchorId="0B2BE762" wp14:editId="2E58574B">
            <wp:extent cx="4409630" cy="3307223"/>
            <wp:effectExtent l="0" t="0" r="0" b="0"/>
            <wp:docPr id="165884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407" name="Picture 16588407"/>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4440349" cy="3330262"/>
                    </a:xfrm>
                    <a:prstGeom prst="rect">
                      <a:avLst/>
                    </a:prstGeom>
                  </pic:spPr>
                </pic:pic>
              </a:graphicData>
            </a:graphic>
          </wp:inline>
        </w:drawing>
      </w:r>
    </w:p>
    <w:p w14:paraId="6F03460F" w14:textId="0262FFA3" w:rsidR="00B87039" w:rsidRPr="00653BF4" w:rsidRDefault="00B87039" w:rsidP="00B87039">
      <w:pPr>
        <w:rPr>
          <w:rFonts w:ascii="Arial" w:hAnsi="Arial" w:cs="Arial"/>
          <w:sz w:val="18"/>
          <w:szCs w:val="18"/>
          <w:lang w:val="fr-FR"/>
        </w:rPr>
      </w:pPr>
      <w:r w:rsidRPr="00653BF4">
        <w:rPr>
          <w:i/>
          <w:iCs/>
          <w:sz w:val="18"/>
          <w:szCs w:val="18"/>
          <w:lang w:val="fr-FR"/>
        </w:rPr>
        <w:t>Note</w:t>
      </w:r>
      <w:r w:rsidR="00E34DC9">
        <w:rPr>
          <w:i/>
          <w:iCs/>
          <w:sz w:val="18"/>
          <w:szCs w:val="18"/>
          <w:lang w:val="fr-FR"/>
        </w:rPr>
        <w:t> :</w:t>
      </w:r>
      <w:r w:rsidRPr="00653BF4">
        <w:rPr>
          <w:sz w:val="18"/>
          <w:szCs w:val="18"/>
          <w:lang w:val="fr-FR"/>
        </w:rPr>
        <w:t xml:space="preserve"> Les valeurs de l</w:t>
      </w:r>
      <w:r w:rsidR="00D77549">
        <w:rPr>
          <w:sz w:val="18"/>
          <w:szCs w:val="18"/>
          <w:lang w:val="fr-FR"/>
        </w:rPr>
        <w:t>’</w:t>
      </w:r>
      <w:r w:rsidRPr="00653BF4">
        <w:rPr>
          <w:sz w:val="18"/>
          <w:szCs w:val="18"/>
          <w:lang w:val="fr-FR"/>
        </w:rPr>
        <w:t>indicateur correspondent à la somme annuelle de l’aide publique au développement fournie par les Parties donatrices (en bleu) et à la part moyenne du PIB national représentée par la valeur nationale (en rouge). Le diagramme à barres de droite présente la répartition, par région, des Parties ayant communiqué des données. La couleur de chaque région est indiquée dans la légende de la figure</w:t>
      </w:r>
      <w:r w:rsidR="00E34DC9">
        <w:rPr>
          <w:sz w:val="18"/>
          <w:szCs w:val="18"/>
          <w:lang w:val="fr-FR"/>
        </w:rPr>
        <w:t> :</w:t>
      </w:r>
      <w:r w:rsidRPr="00653BF4">
        <w:rPr>
          <w:sz w:val="18"/>
          <w:szCs w:val="18"/>
          <w:lang w:val="fr-FR"/>
        </w:rPr>
        <w:t xml:space="preserve"> les tons plus foncés représentent la proportion de Parties de chaque région dont les données figurent dans le graphique</w:t>
      </w:r>
      <w:r w:rsidR="00E34DC9">
        <w:rPr>
          <w:sz w:val="18"/>
          <w:szCs w:val="18"/>
          <w:lang w:val="fr-FR"/>
        </w:rPr>
        <w:t> ;</w:t>
      </w:r>
      <w:r w:rsidRPr="00653BF4">
        <w:rPr>
          <w:sz w:val="18"/>
          <w:szCs w:val="18"/>
          <w:lang w:val="fr-FR"/>
        </w:rPr>
        <w:t xml:space="preserve"> les tons plus clairs, la proportion de Parties de la même région dont les données n’y figurent pas. Il convient de noter que trois Parties, représentant un montant total de 0,43 milliard de dollars des États-Unis, n’ont pas été incluses dans le graphique car elles n’ont pas communiqué de données pour chacune des années comprises entre 2020 et 2023.</w:t>
      </w:r>
    </w:p>
    <w:tbl>
      <w:tblPr>
        <w:tblStyle w:val="TableGrid"/>
        <w:tblW w:w="8642" w:type="dxa"/>
        <w:tblLook w:val="04A0" w:firstRow="1" w:lastRow="0" w:firstColumn="1" w:lastColumn="0" w:noHBand="0" w:noVBand="1"/>
      </w:tblPr>
      <w:tblGrid>
        <w:gridCol w:w="3964"/>
        <w:gridCol w:w="4678"/>
      </w:tblGrid>
      <w:tr w:rsidR="001279A8" w:rsidRPr="00DF04B4" w14:paraId="6F547925" w14:textId="77777777" w:rsidTr="009B4355">
        <w:tc>
          <w:tcPr>
            <w:tcW w:w="8642" w:type="dxa"/>
            <w:gridSpan w:val="2"/>
          </w:tcPr>
          <w:p w14:paraId="74620486" w14:textId="77777777" w:rsidR="001279A8" w:rsidRPr="00DF04B4" w:rsidRDefault="001279A8" w:rsidP="009B4355">
            <w:pPr>
              <w:rPr>
                <w:rFonts w:ascii="Aptos" w:hAnsi="Aptos"/>
                <w:lang w:val="fr-FR"/>
              </w:rPr>
            </w:pPr>
            <w:r w:rsidRPr="00DF04B4">
              <w:rPr>
                <w:rFonts w:ascii="Aptos" w:hAnsi="Aptos"/>
                <w:lang w:val="fr-FR"/>
              </w:rPr>
              <w:t>Figure 77</w:t>
            </w:r>
          </w:p>
        </w:tc>
      </w:tr>
      <w:tr w:rsidR="001279A8" w:rsidRPr="00DF04B4" w14:paraId="31B9F732" w14:textId="77777777" w:rsidTr="009B4355">
        <w:tc>
          <w:tcPr>
            <w:tcW w:w="3964" w:type="dxa"/>
          </w:tcPr>
          <w:p w14:paraId="16B87302" w14:textId="77777777" w:rsidR="001279A8" w:rsidRPr="00DF04B4" w:rsidRDefault="001279A8" w:rsidP="009B4355">
            <w:pPr>
              <w:rPr>
                <w:rFonts w:ascii="Aptos" w:hAnsi="Aptos"/>
                <w:lang w:val="fr-FR"/>
              </w:rPr>
            </w:pPr>
            <w:r w:rsidRPr="00DF04B4">
              <w:rPr>
                <w:rFonts w:ascii="Aptos" w:hAnsi="Aptos"/>
                <w:lang w:val="fr-FR"/>
              </w:rPr>
              <w:t xml:space="preserve">English </w:t>
            </w:r>
          </w:p>
        </w:tc>
        <w:tc>
          <w:tcPr>
            <w:tcW w:w="4678" w:type="dxa"/>
          </w:tcPr>
          <w:p w14:paraId="3D20E33A" w14:textId="77777777" w:rsidR="001279A8" w:rsidRPr="00DF04B4" w:rsidRDefault="001279A8" w:rsidP="009B4355">
            <w:pPr>
              <w:rPr>
                <w:rFonts w:ascii="Aptos" w:hAnsi="Aptos"/>
                <w:lang w:val="fr-FR"/>
              </w:rPr>
            </w:pPr>
            <w:r>
              <w:rPr>
                <w:rFonts w:ascii="Aptos" w:hAnsi="Aptos"/>
                <w:lang w:val="fr-FR"/>
              </w:rPr>
              <w:t>Français</w:t>
            </w:r>
          </w:p>
        </w:tc>
      </w:tr>
      <w:tr w:rsidR="001279A8" w:rsidRPr="006F7AF8" w14:paraId="47B78028" w14:textId="77777777" w:rsidTr="009B4355">
        <w:tc>
          <w:tcPr>
            <w:tcW w:w="3964" w:type="dxa"/>
          </w:tcPr>
          <w:p w14:paraId="464D0BCF" w14:textId="77777777" w:rsidR="001279A8" w:rsidRPr="006F7AF8" w:rsidRDefault="001279A8" w:rsidP="009B4355">
            <w:pPr>
              <w:rPr>
                <w:rFonts w:ascii="Aptos" w:hAnsi="Aptos"/>
                <w:lang w:val="fr-FR"/>
              </w:rPr>
            </w:pPr>
            <w:r w:rsidRPr="006F7AF8">
              <w:rPr>
                <w:rFonts w:ascii="Aptos" w:hAnsi="Aptos"/>
                <w:lang w:val="fr-FR"/>
              </w:rPr>
              <w:t>Official Development Assistance ($US billion)</w:t>
            </w:r>
          </w:p>
        </w:tc>
        <w:tc>
          <w:tcPr>
            <w:tcW w:w="4678" w:type="dxa"/>
          </w:tcPr>
          <w:p w14:paraId="14CAEB74" w14:textId="77777777" w:rsidR="001279A8" w:rsidRPr="006F7AF8" w:rsidRDefault="001279A8" w:rsidP="009B4355">
            <w:pPr>
              <w:rPr>
                <w:rFonts w:ascii="Aptos" w:hAnsi="Aptos"/>
                <w:lang w:val="fr-FR"/>
              </w:rPr>
            </w:pPr>
            <w:r w:rsidRPr="006F7AF8">
              <w:rPr>
                <w:rFonts w:ascii="Aptos" w:hAnsi="Aptos"/>
                <w:lang w:val="fr-FR"/>
              </w:rPr>
              <w:t>Aide publique au développement (en milliards de $US)</w:t>
            </w:r>
          </w:p>
        </w:tc>
      </w:tr>
      <w:tr w:rsidR="001279A8" w:rsidRPr="006F7AF8" w14:paraId="120031EA" w14:textId="77777777" w:rsidTr="009B4355">
        <w:tc>
          <w:tcPr>
            <w:tcW w:w="3964" w:type="dxa"/>
          </w:tcPr>
          <w:p w14:paraId="65BC4F27" w14:textId="77777777" w:rsidR="001279A8" w:rsidRPr="006F7AF8" w:rsidRDefault="001279A8" w:rsidP="009B4355">
            <w:pPr>
              <w:rPr>
                <w:rFonts w:ascii="Aptos" w:hAnsi="Aptos"/>
                <w:lang w:val="fr-FR"/>
              </w:rPr>
            </w:pPr>
            <w:r w:rsidRPr="006F7AF8">
              <w:rPr>
                <w:rFonts w:ascii="Aptos" w:hAnsi="Aptos"/>
                <w:lang w:val="fr-FR"/>
              </w:rPr>
              <w:t>Year</w:t>
            </w:r>
          </w:p>
        </w:tc>
        <w:tc>
          <w:tcPr>
            <w:tcW w:w="4678" w:type="dxa"/>
          </w:tcPr>
          <w:p w14:paraId="04357618" w14:textId="77777777" w:rsidR="001279A8" w:rsidRPr="006F7AF8" w:rsidRDefault="001279A8" w:rsidP="009B4355">
            <w:pPr>
              <w:rPr>
                <w:rFonts w:ascii="Aptos" w:hAnsi="Aptos"/>
                <w:lang w:val="fr-FR"/>
              </w:rPr>
            </w:pPr>
            <w:r w:rsidRPr="006F7AF8">
              <w:rPr>
                <w:rFonts w:ascii="Aptos" w:hAnsi="Aptos"/>
                <w:lang w:val="fr-FR"/>
              </w:rPr>
              <w:t>Année</w:t>
            </w:r>
          </w:p>
        </w:tc>
      </w:tr>
      <w:tr w:rsidR="001279A8" w:rsidRPr="006F7AF8" w14:paraId="440F6376" w14:textId="77777777" w:rsidTr="009B4355">
        <w:tc>
          <w:tcPr>
            <w:tcW w:w="3964" w:type="dxa"/>
          </w:tcPr>
          <w:p w14:paraId="2C87A484" w14:textId="77777777" w:rsidR="001279A8" w:rsidRPr="006F7AF8" w:rsidRDefault="001279A8" w:rsidP="009B4355">
            <w:pPr>
              <w:rPr>
                <w:rFonts w:ascii="Aptos" w:hAnsi="Aptos"/>
                <w:lang w:val="fr-FR"/>
              </w:rPr>
            </w:pPr>
            <w:r w:rsidRPr="006F7AF8">
              <w:rPr>
                <w:rFonts w:ascii="Aptos" w:hAnsi="Aptos"/>
                <w:lang w:val="fr-FR"/>
              </w:rPr>
              <w:t>% of GDP (average)</w:t>
            </w:r>
          </w:p>
        </w:tc>
        <w:tc>
          <w:tcPr>
            <w:tcW w:w="4678" w:type="dxa"/>
          </w:tcPr>
          <w:p w14:paraId="6ABF32DE" w14:textId="77777777" w:rsidR="001279A8" w:rsidRPr="006F7AF8" w:rsidRDefault="001279A8" w:rsidP="009B4355">
            <w:pPr>
              <w:rPr>
                <w:rFonts w:ascii="Aptos" w:hAnsi="Aptos"/>
                <w:lang w:val="fr-FR"/>
              </w:rPr>
            </w:pPr>
            <w:r w:rsidRPr="006F7AF8">
              <w:rPr>
                <w:rFonts w:ascii="Aptos" w:hAnsi="Aptos"/>
                <w:lang w:val="fr-FR"/>
              </w:rPr>
              <w:t>Pourcentage du PIB (moyenne)</w:t>
            </w:r>
          </w:p>
        </w:tc>
      </w:tr>
      <w:tr w:rsidR="001279A8" w:rsidRPr="006F7AF8" w14:paraId="59731709" w14:textId="77777777" w:rsidTr="009B4355">
        <w:tc>
          <w:tcPr>
            <w:tcW w:w="3964" w:type="dxa"/>
          </w:tcPr>
          <w:p w14:paraId="1D678687" w14:textId="77777777" w:rsidR="001279A8" w:rsidRPr="006F7AF8" w:rsidRDefault="001279A8" w:rsidP="009B4355">
            <w:pPr>
              <w:rPr>
                <w:rFonts w:ascii="Aptos" w:hAnsi="Aptos"/>
                <w:lang w:val="fr-FR"/>
              </w:rPr>
            </w:pPr>
            <w:r w:rsidRPr="006F7AF8">
              <w:rPr>
                <w:rFonts w:ascii="Aptos" w:hAnsi="Aptos"/>
                <w:lang w:val="fr-FR"/>
              </w:rPr>
              <w:t>Party count: 19</w:t>
            </w:r>
          </w:p>
        </w:tc>
        <w:tc>
          <w:tcPr>
            <w:tcW w:w="4678" w:type="dxa"/>
          </w:tcPr>
          <w:p w14:paraId="27A0A8A9" w14:textId="77777777" w:rsidR="001279A8" w:rsidRPr="006F7AF8" w:rsidRDefault="001279A8" w:rsidP="009B4355">
            <w:pPr>
              <w:rPr>
                <w:rFonts w:ascii="Aptos" w:hAnsi="Aptos"/>
                <w:lang w:val="fr-FR"/>
              </w:rPr>
            </w:pPr>
            <w:r w:rsidRPr="006F7AF8">
              <w:rPr>
                <w:rFonts w:ascii="Aptos" w:hAnsi="Aptos"/>
                <w:lang w:val="fr-FR"/>
              </w:rPr>
              <w:t>Nombre de Parties : 19</w:t>
            </w:r>
          </w:p>
        </w:tc>
      </w:tr>
      <w:tr w:rsidR="001279A8" w:rsidRPr="006F7AF8" w14:paraId="1655E40F" w14:textId="77777777" w:rsidTr="009B4355">
        <w:tc>
          <w:tcPr>
            <w:tcW w:w="3964" w:type="dxa"/>
          </w:tcPr>
          <w:p w14:paraId="2F47A497" w14:textId="77777777" w:rsidR="001279A8" w:rsidRPr="006F7AF8" w:rsidRDefault="001279A8" w:rsidP="009B4355">
            <w:pPr>
              <w:rPr>
                <w:rFonts w:ascii="Aptos" w:hAnsi="Aptos"/>
                <w:lang w:val="fr-FR"/>
              </w:rPr>
            </w:pPr>
            <w:r w:rsidRPr="006F7AF8">
              <w:rPr>
                <w:rFonts w:ascii="Aptos" w:hAnsi="Aptos"/>
                <w:lang w:val="fr-FR"/>
              </w:rPr>
              <w:t>Party count by region</w:t>
            </w:r>
          </w:p>
        </w:tc>
        <w:tc>
          <w:tcPr>
            <w:tcW w:w="4678" w:type="dxa"/>
          </w:tcPr>
          <w:p w14:paraId="6A81F30B" w14:textId="77777777" w:rsidR="001279A8" w:rsidRPr="006F7AF8" w:rsidRDefault="001279A8" w:rsidP="009B4355">
            <w:pPr>
              <w:rPr>
                <w:rFonts w:ascii="Aptos" w:hAnsi="Aptos"/>
                <w:lang w:val="fr-FR"/>
              </w:rPr>
            </w:pPr>
            <w:r w:rsidRPr="006F7AF8">
              <w:rPr>
                <w:rFonts w:ascii="Aptos" w:hAnsi="Aptos"/>
                <w:lang w:val="fr-FR"/>
              </w:rPr>
              <w:t>Nombre de Parties par région</w:t>
            </w:r>
          </w:p>
        </w:tc>
      </w:tr>
      <w:tr w:rsidR="001279A8" w:rsidRPr="006F7AF8" w14:paraId="39D57CEF" w14:textId="77777777" w:rsidTr="009B4355">
        <w:tc>
          <w:tcPr>
            <w:tcW w:w="3964" w:type="dxa"/>
          </w:tcPr>
          <w:p w14:paraId="781ADEF9" w14:textId="77777777" w:rsidR="001279A8" w:rsidRPr="006F7AF8" w:rsidRDefault="001279A8" w:rsidP="009B4355">
            <w:pPr>
              <w:rPr>
                <w:rFonts w:ascii="Aptos" w:hAnsi="Aptos"/>
                <w:lang w:val="fr-FR"/>
              </w:rPr>
            </w:pPr>
            <w:r w:rsidRPr="006F7AF8">
              <w:rPr>
                <w:rFonts w:ascii="Aptos" w:hAnsi="Aptos"/>
                <w:lang w:val="fr-FR"/>
              </w:rPr>
              <w:t>Region</w:t>
            </w:r>
          </w:p>
        </w:tc>
        <w:tc>
          <w:tcPr>
            <w:tcW w:w="4678" w:type="dxa"/>
          </w:tcPr>
          <w:p w14:paraId="39E8FA42"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65D85F95" w14:textId="77777777" w:rsidTr="009B4355">
        <w:tc>
          <w:tcPr>
            <w:tcW w:w="3964" w:type="dxa"/>
          </w:tcPr>
          <w:p w14:paraId="4E26B730"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4678" w:type="dxa"/>
          </w:tcPr>
          <w:p w14:paraId="3E4E8886"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71AFBCBB" w14:textId="77777777" w:rsidTr="009B4355">
        <w:tc>
          <w:tcPr>
            <w:tcW w:w="3964" w:type="dxa"/>
          </w:tcPr>
          <w:p w14:paraId="38D7CE57"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8" w:type="dxa"/>
          </w:tcPr>
          <w:p w14:paraId="4A13B912"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6BA3A6C1" w14:textId="77777777" w:rsidR="00B87039" w:rsidRPr="00653BF4" w:rsidRDefault="00B87039" w:rsidP="00B87039">
      <w:pPr>
        <w:rPr>
          <w:rFonts w:ascii="Arial" w:hAnsi="Arial" w:cs="Arial"/>
          <w:sz w:val="20"/>
          <w:szCs w:val="20"/>
          <w:lang w:val="fr-FR"/>
        </w:rPr>
      </w:pPr>
    </w:p>
    <w:p w14:paraId="00413D51" w14:textId="77777777" w:rsidR="00B87039" w:rsidRPr="00653BF4" w:rsidRDefault="00B87039" w:rsidP="00B87039">
      <w:pPr>
        <w:rPr>
          <w:color w:val="0E2841" w:themeColor="text2"/>
          <w:sz w:val="20"/>
          <w:szCs w:val="20"/>
          <w:lang w:val="fr-FR"/>
        </w:rPr>
      </w:pPr>
      <w:r w:rsidRPr="00653BF4">
        <w:rPr>
          <w:color w:val="0E2841" w:themeColor="text2"/>
          <w:sz w:val="20"/>
          <w:szCs w:val="20"/>
          <w:lang w:val="fr-FR"/>
        </w:rPr>
        <w:t>Figure 78</w:t>
      </w:r>
    </w:p>
    <w:p w14:paraId="61DA01FF" w14:textId="747A7FD0" w:rsidR="00B87039" w:rsidRPr="00653BF4" w:rsidRDefault="00B87039" w:rsidP="00B87039">
      <w:pPr>
        <w:rPr>
          <w:b/>
          <w:bCs/>
          <w:sz w:val="20"/>
          <w:szCs w:val="20"/>
          <w:lang w:val="fr-FR"/>
        </w:rPr>
      </w:pPr>
      <w:r w:rsidRPr="00653BF4">
        <w:rPr>
          <w:b/>
          <w:bCs/>
          <w:sz w:val="20"/>
          <w:szCs w:val="20"/>
          <w:lang w:val="fr-FR"/>
        </w:rPr>
        <w:t>Indicateur phare D.2</w:t>
      </w:r>
      <w:r w:rsidR="00E34DC9">
        <w:rPr>
          <w:b/>
          <w:bCs/>
          <w:sz w:val="20"/>
          <w:szCs w:val="20"/>
          <w:lang w:val="fr-FR"/>
        </w:rPr>
        <w:t> :</w:t>
      </w:r>
      <w:r w:rsidRPr="00653BF4">
        <w:rPr>
          <w:b/>
          <w:bCs/>
          <w:sz w:val="20"/>
          <w:szCs w:val="20"/>
          <w:lang w:val="fr-FR"/>
        </w:rPr>
        <w:t xml:space="preserve"> financements publics nationaux consacrés à la conservation et à l</w:t>
      </w:r>
      <w:r w:rsidR="00D77549">
        <w:rPr>
          <w:b/>
          <w:bCs/>
          <w:sz w:val="20"/>
          <w:szCs w:val="20"/>
          <w:lang w:val="fr-FR"/>
        </w:rPr>
        <w:t>’</w:t>
      </w:r>
      <w:r w:rsidRPr="00653BF4">
        <w:rPr>
          <w:b/>
          <w:bCs/>
          <w:sz w:val="20"/>
          <w:szCs w:val="20"/>
          <w:lang w:val="fr-FR"/>
        </w:rPr>
        <w:t>utilisation durable de la biodiversité et des écosystèmes</w:t>
      </w:r>
    </w:p>
    <w:p w14:paraId="1BF8A792" w14:textId="77777777" w:rsidR="00B87039" w:rsidRPr="00653BF4" w:rsidRDefault="00B87039" w:rsidP="00B87039">
      <w:pPr>
        <w:rPr>
          <w:rStyle w:val="eop"/>
          <w:lang w:val="fr-FR"/>
        </w:rPr>
      </w:pPr>
    </w:p>
    <w:p w14:paraId="2D415FF6" w14:textId="77777777" w:rsidR="00B87039" w:rsidRPr="00653BF4" w:rsidRDefault="00B87039" w:rsidP="00B87039">
      <w:pPr>
        <w:rPr>
          <w:rStyle w:val="eop"/>
          <w:rFonts w:cs="Segoe UI"/>
          <w:lang w:val="fr-FR"/>
        </w:rPr>
      </w:pPr>
      <w:r w:rsidRPr="00653BF4">
        <w:rPr>
          <w:rStyle w:val="eop"/>
          <w:rFonts w:cs="Segoe UI"/>
          <w:lang w:val="fr-FR"/>
        </w:rPr>
        <w:lastRenderedPageBreak/>
        <w:t> </w:t>
      </w:r>
      <w:r w:rsidRPr="00653BF4">
        <w:rPr>
          <w:rFonts w:cs="Segoe UI"/>
          <w:noProof/>
          <w:sz w:val="18"/>
          <w:szCs w:val="18"/>
          <w:lang w:val="fr-FR"/>
        </w:rPr>
        <w:drawing>
          <wp:inline distT="0" distB="0" distL="0" distR="0" wp14:anchorId="0E19B709" wp14:editId="0B8F7F22">
            <wp:extent cx="5358984" cy="4019535"/>
            <wp:effectExtent l="0" t="0" r="635" b="0"/>
            <wp:docPr id="12866459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645945" name="Picture 1286645945"/>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5370686" cy="4028312"/>
                    </a:xfrm>
                    <a:prstGeom prst="rect">
                      <a:avLst/>
                    </a:prstGeom>
                  </pic:spPr>
                </pic:pic>
              </a:graphicData>
            </a:graphic>
          </wp:inline>
        </w:drawing>
      </w:r>
    </w:p>
    <w:p w14:paraId="400B24A1" w14:textId="3374F70D" w:rsidR="00B87039" w:rsidRPr="00653BF4" w:rsidRDefault="00B87039" w:rsidP="00B87039">
      <w:pPr>
        <w:rPr>
          <w:rFonts w:ascii="Arial" w:hAnsi="Arial" w:cs="Arial"/>
          <w:i/>
          <w:iCs/>
          <w:sz w:val="18"/>
          <w:szCs w:val="18"/>
          <w:lang w:val="fr-FR"/>
        </w:rPr>
      </w:pPr>
      <w:r w:rsidRPr="00653BF4">
        <w:rPr>
          <w:i/>
          <w:iCs/>
          <w:sz w:val="18"/>
          <w:szCs w:val="18"/>
          <w:lang w:val="fr-FR"/>
        </w:rPr>
        <w:t>Note</w:t>
      </w:r>
      <w:r w:rsidR="00E34DC9">
        <w:rPr>
          <w:i/>
          <w:iCs/>
          <w:sz w:val="18"/>
          <w:szCs w:val="18"/>
          <w:lang w:val="fr-FR"/>
        </w:rPr>
        <w:t> :</w:t>
      </w:r>
      <w:r w:rsidRPr="00653BF4">
        <w:rPr>
          <w:sz w:val="18"/>
          <w:szCs w:val="18"/>
          <w:lang w:val="fr-FR"/>
        </w:rPr>
        <w:t xml:space="preserve"> Les valeurs de l</w:t>
      </w:r>
      <w:r w:rsidR="00D77549">
        <w:rPr>
          <w:sz w:val="18"/>
          <w:szCs w:val="18"/>
          <w:lang w:val="fr-FR"/>
        </w:rPr>
        <w:t>’</w:t>
      </w:r>
      <w:r w:rsidRPr="00653BF4">
        <w:rPr>
          <w:sz w:val="18"/>
          <w:szCs w:val="18"/>
          <w:lang w:val="fr-FR"/>
        </w:rPr>
        <w:t>indicateur correspondent à la somme annuelle des fonds nationaux consacrés à la biodiversité par les Parties ayant transmis des données (en bleu) et à la part moyenne du PIB national représentée par la valeur nationale (en rouge). Le diagramme à barres de droite présente la répartition, par région, des Parties ayant communiqué des données. La couleur de chaque région est indiquée dans la légende de la figure</w:t>
      </w:r>
      <w:r w:rsidR="00E34DC9">
        <w:rPr>
          <w:sz w:val="18"/>
          <w:szCs w:val="18"/>
          <w:lang w:val="fr-FR"/>
        </w:rPr>
        <w:t> :</w:t>
      </w:r>
      <w:r w:rsidRPr="00653BF4">
        <w:rPr>
          <w:sz w:val="18"/>
          <w:szCs w:val="18"/>
          <w:lang w:val="fr-FR"/>
        </w:rPr>
        <w:t xml:space="preserve"> les tons plus foncés représentent la proportion de Parties de chaque région dont les données figurent dans le graphique</w:t>
      </w:r>
      <w:r w:rsidR="00E34DC9">
        <w:rPr>
          <w:sz w:val="18"/>
          <w:szCs w:val="18"/>
          <w:lang w:val="fr-FR"/>
        </w:rPr>
        <w:t> ;</w:t>
      </w:r>
      <w:r w:rsidRPr="00653BF4">
        <w:rPr>
          <w:sz w:val="18"/>
          <w:szCs w:val="18"/>
          <w:lang w:val="fr-FR"/>
        </w:rPr>
        <w:t xml:space="preserve"> les tons plus clairs, la proportion de Parties de la même région dont les données n’y figurent pas. La zone gris foncé du diagramme circulaire indique la part du PIB de l</w:t>
      </w:r>
      <w:r w:rsidR="00D77549">
        <w:rPr>
          <w:sz w:val="18"/>
          <w:szCs w:val="18"/>
          <w:lang w:val="fr-FR"/>
        </w:rPr>
        <w:t>’</w:t>
      </w:r>
      <w:r w:rsidRPr="00653BF4">
        <w:rPr>
          <w:sz w:val="18"/>
          <w:szCs w:val="18"/>
          <w:lang w:val="fr-FR"/>
        </w:rPr>
        <w:t>ensemble des Parties représentée par ces données. Il convient de noter que 19 Parties, représentant un montant total de 73,5 milliards de dollars des États-Unis, n’ont pas été incluses dans le graphique car elles n’ont pas communiqué de données pour chacune des années comprises entre 2020 et 2023.</w:t>
      </w:r>
    </w:p>
    <w:tbl>
      <w:tblPr>
        <w:tblStyle w:val="TableGrid"/>
        <w:tblW w:w="8926" w:type="dxa"/>
        <w:tblLook w:val="04A0" w:firstRow="1" w:lastRow="0" w:firstColumn="1" w:lastColumn="0" w:noHBand="0" w:noVBand="1"/>
      </w:tblPr>
      <w:tblGrid>
        <w:gridCol w:w="4106"/>
        <w:gridCol w:w="4820"/>
      </w:tblGrid>
      <w:tr w:rsidR="001279A8" w:rsidRPr="00814BBE" w14:paraId="537A8D96" w14:textId="77777777" w:rsidTr="009B4355">
        <w:tc>
          <w:tcPr>
            <w:tcW w:w="8926" w:type="dxa"/>
            <w:gridSpan w:val="2"/>
          </w:tcPr>
          <w:p w14:paraId="19F47D60" w14:textId="77777777" w:rsidR="001279A8" w:rsidRPr="00814BBE" w:rsidRDefault="001279A8" w:rsidP="009B4355">
            <w:pPr>
              <w:rPr>
                <w:rFonts w:ascii="Aptos" w:hAnsi="Aptos"/>
                <w:lang w:val="fr-FR"/>
              </w:rPr>
            </w:pPr>
            <w:r w:rsidRPr="00814BBE">
              <w:rPr>
                <w:rFonts w:ascii="Aptos" w:hAnsi="Aptos"/>
                <w:lang w:val="fr-FR"/>
              </w:rPr>
              <w:t>Figure 78</w:t>
            </w:r>
          </w:p>
        </w:tc>
      </w:tr>
      <w:tr w:rsidR="001279A8" w:rsidRPr="00814BBE" w14:paraId="4CE18EE2" w14:textId="77777777" w:rsidTr="009B4355">
        <w:tc>
          <w:tcPr>
            <w:tcW w:w="4106" w:type="dxa"/>
          </w:tcPr>
          <w:p w14:paraId="1F9698CC" w14:textId="77777777" w:rsidR="001279A8" w:rsidRPr="00814BBE" w:rsidRDefault="001279A8" w:rsidP="009B4355">
            <w:pPr>
              <w:rPr>
                <w:rFonts w:ascii="Aptos" w:hAnsi="Aptos"/>
                <w:lang w:val="fr-FR"/>
              </w:rPr>
            </w:pPr>
            <w:r w:rsidRPr="00814BBE">
              <w:rPr>
                <w:rFonts w:ascii="Aptos" w:hAnsi="Aptos"/>
                <w:lang w:val="fr-FR"/>
              </w:rPr>
              <w:t xml:space="preserve">English </w:t>
            </w:r>
          </w:p>
        </w:tc>
        <w:tc>
          <w:tcPr>
            <w:tcW w:w="4820" w:type="dxa"/>
          </w:tcPr>
          <w:p w14:paraId="6F7093C3" w14:textId="77777777" w:rsidR="001279A8" w:rsidRPr="00814BBE" w:rsidRDefault="001279A8" w:rsidP="009B4355">
            <w:pPr>
              <w:rPr>
                <w:rFonts w:ascii="Aptos" w:hAnsi="Aptos"/>
                <w:lang w:val="fr-FR"/>
              </w:rPr>
            </w:pPr>
            <w:r>
              <w:rPr>
                <w:rFonts w:ascii="Aptos" w:hAnsi="Aptos"/>
                <w:lang w:val="fr-FR"/>
              </w:rPr>
              <w:t>Français</w:t>
            </w:r>
          </w:p>
        </w:tc>
      </w:tr>
      <w:tr w:rsidR="001279A8" w:rsidRPr="006F7AF8" w14:paraId="71F80929" w14:textId="77777777" w:rsidTr="009B4355">
        <w:tc>
          <w:tcPr>
            <w:tcW w:w="4106" w:type="dxa"/>
          </w:tcPr>
          <w:p w14:paraId="04335570" w14:textId="77777777" w:rsidR="001279A8" w:rsidRPr="006F7AF8" w:rsidRDefault="001279A8" w:rsidP="009B4355">
            <w:pPr>
              <w:rPr>
                <w:rFonts w:ascii="Aptos" w:hAnsi="Aptos"/>
                <w:lang w:val="fr-FR"/>
              </w:rPr>
            </w:pPr>
            <w:r w:rsidRPr="006F7AF8">
              <w:rPr>
                <w:rFonts w:ascii="Aptos" w:hAnsi="Aptos"/>
                <w:lang w:val="fr-FR"/>
              </w:rPr>
              <w:t>Domestic public funding ($US billion)</w:t>
            </w:r>
          </w:p>
        </w:tc>
        <w:tc>
          <w:tcPr>
            <w:tcW w:w="4820" w:type="dxa"/>
          </w:tcPr>
          <w:p w14:paraId="40615B4A" w14:textId="77777777" w:rsidR="001279A8" w:rsidRPr="006F7AF8" w:rsidRDefault="001279A8" w:rsidP="009B4355">
            <w:pPr>
              <w:rPr>
                <w:rFonts w:ascii="Aptos" w:hAnsi="Aptos"/>
                <w:lang w:val="fr-FR"/>
              </w:rPr>
            </w:pPr>
            <w:r w:rsidRPr="006F7AF8">
              <w:rPr>
                <w:rFonts w:ascii="Aptos" w:hAnsi="Aptos"/>
                <w:lang w:val="fr-FR"/>
              </w:rPr>
              <w:t>Financement public national (en milliards de $US)</w:t>
            </w:r>
          </w:p>
        </w:tc>
      </w:tr>
      <w:tr w:rsidR="001279A8" w:rsidRPr="006F7AF8" w14:paraId="60D83BC3" w14:textId="77777777" w:rsidTr="009B4355">
        <w:tc>
          <w:tcPr>
            <w:tcW w:w="4106" w:type="dxa"/>
          </w:tcPr>
          <w:p w14:paraId="53845D95" w14:textId="77777777" w:rsidR="001279A8" w:rsidRPr="006F7AF8" w:rsidRDefault="001279A8" w:rsidP="009B4355">
            <w:pPr>
              <w:rPr>
                <w:rFonts w:ascii="Aptos" w:hAnsi="Aptos"/>
                <w:lang w:val="fr-FR"/>
              </w:rPr>
            </w:pPr>
            <w:r w:rsidRPr="006F7AF8">
              <w:rPr>
                <w:rFonts w:ascii="Aptos" w:hAnsi="Aptos"/>
                <w:lang w:val="fr-FR"/>
              </w:rPr>
              <w:t>Year</w:t>
            </w:r>
          </w:p>
        </w:tc>
        <w:tc>
          <w:tcPr>
            <w:tcW w:w="4820" w:type="dxa"/>
          </w:tcPr>
          <w:p w14:paraId="1807085B" w14:textId="77777777" w:rsidR="001279A8" w:rsidRPr="006F7AF8" w:rsidRDefault="001279A8" w:rsidP="009B4355">
            <w:pPr>
              <w:rPr>
                <w:rFonts w:ascii="Aptos" w:hAnsi="Aptos"/>
                <w:lang w:val="fr-FR"/>
              </w:rPr>
            </w:pPr>
            <w:r w:rsidRPr="006F7AF8">
              <w:rPr>
                <w:rFonts w:ascii="Aptos" w:hAnsi="Aptos"/>
                <w:lang w:val="fr-FR"/>
              </w:rPr>
              <w:t>Année</w:t>
            </w:r>
          </w:p>
        </w:tc>
      </w:tr>
      <w:tr w:rsidR="001279A8" w:rsidRPr="006F7AF8" w14:paraId="2824E4C6" w14:textId="77777777" w:rsidTr="009B4355">
        <w:tc>
          <w:tcPr>
            <w:tcW w:w="4106" w:type="dxa"/>
          </w:tcPr>
          <w:p w14:paraId="6279843A" w14:textId="77777777" w:rsidR="001279A8" w:rsidRPr="006F7AF8" w:rsidRDefault="001279A8" w:rsidP="009B4355">
            <w:pPr>
              <w:rPr>
                <w:rFonts w:ascii="Aptos" w:hAnsi="Aptos"/>
                <w:lang w:val="fr-FR"/>
              </w:rPr>
            </w:pPr>
            <w:r w:rsidRPr="006F7AF8">
              <w:rPr>
                <w:rFonts w:ascii="Aptos" w:hAnsi="Aptos"/>
                <w:lang w:val="fr-FR"/>
              </w:rPr>
              <w:t>Share of GDP</w:t>
            </w:r>
          </w:p>
        </w:tc>
        <w:tc>
          <w:tcPr>
            <w:tcW w:w="4820" w:type="dxa"/>
          </w:tcPr>
          <w:p w14:paraId="6AD27D7C" w14:textId="77777777" w:rsidR="001279A8" w:rsidRPr="006F7AF8" w:rsidRDefault="001279A8" w:rsidP="009B4355">
            <w:pPr>
              <w:rPr>
                <w:rFonts w:ascii="Aptos" w:hAnsi="Aptos"/>
                <w:lang w:val="fr-FR"/>
              </w:rPr>
            </w:pPr>
            <w:r w:rsidRPr="006F7AF8">
              <w:rPr>
                <w:rFonts w:ascii="Aptos" w:hAnsi="Aptos"/>
                <w:lang w:val="fr-FR"/>
              </w:rPr>
              <w:t>Part du PIB</w:t>
            </w:r>
          </w:p>
        </w:tc>
      </w:tr>
      <w:tr w:rsidR="001279A8" w:rsidRPr="006F7AF8" w14:paraId="213417CD" w14:textId="77777777" w:rsidTr="009B4355">
        <w:tc>
          <w:tcPr>
            <w:tcW w:w="4106" w:type="dxa"/>
          </w:tcPr>
          <w:p w14:paraId="2A695AF8" w14:textId="77777777" w:rsidR="001279A8" w:rsidRPr="006F7AF8" w:rsidRDefault="001279A8" w:rsidP="009B4355">
            <w:pPr>
              <w:rPr>
                <w:rFonts w:ascii="Aptos" w:hAnsi="Aptos"/>
                <w:lang w:val="fr-FR"/>
              </w:rPr>
            </w:pPr>
            <w:r w:rsidRPr="006F7AF8">
              <w:rPr>
                <w:rFonts w:ascii="Aptos" w:hAnsi="Aptos"/>
                <w:lang w:val="fr-FR"/>
              </w:rPr>
              <w:t>% of GDP (average)</w:t>
            </w:r>
          </w:p>
        </w:tc>
        <w:tc>
          <w:tcPr>
            <w:tcW w:w="4820" w:type="dxa"/>
          </w:tcPr>
          <w:p w14:paraId="26D3AA2C" w14:textId="77777777" w:rsidR="001279A8" w:rsidRPr="006F7AF8" w:rsidRDefault="001279A8" w:rsidP="009B4355">
            <w:pPr>
              <w:rPr>
                <w:rFonts w:ascii="Aptos" w:hAnsi="Aptos"/>
                <w:lang w:val="fr-FR"/>
              </w:rPr>
            </w:pPr>
            <w:r w:rsidRPr="006F7AF8">
              <w:rPr>
                <w:rFonts w:ascii="Aptos" w:hAnsi="Aptos"/>
                <w:lang w:val="fr-FR"/>
              </w:rPr>
              <w:t>Pourcentage du PIB (moyenne)</w:t>
            </w:r>
          </w:p>
        </w:tc>
      </w:tr>
      <w:tr w:rsidR="001279A8" w:rsidRPr="006F7AF8" w14:paraId="0E1AEAE4" w14:textId="77777777" w:rsidTr="009B4355">
        <w:tc>
          <w:tcPr>
            <w:tcW w:w="4106" w:type="dxa"/>
          </w:tcPr>
          <w:p w14:paraId="6681E7B1" w14:textId="77777777" w:rsidR="001279A8" w:rsidRPr="006F7AF8" w:rsidRDefault="001279A8" w:rsidP="009B4355">
            <w:pPr>
              <w:rPr>
                <w:rFonts w:ascii="Aptos" w:hAnsi="Aptos"/>
                <w:lang w:val="fr-FR"/>
              </w:rPr>
            </w:pPr>
            <w:r w:rsidRPr="006F7AF8">
              <w:rPr>
                <w:rFonts w:ascii="Aptos" w:hAnsi="Aptos"/>
                <w:lang w:val="fr-FR"/>
              </w:rPr>
              <w:t>Party count: 39</w:t>
            </w:r>
          </w:p>
        </w:tc>
        <w:tc>
          <w:tcPr>
            <w:tcW w:w="4820" w:type="dxa"/>
          </w:tcPr>
          <w:p w14:paraId="20A25170" w14:textId="77777777" w:rsidR="001279A8" w:rsidRPr="006F7AF8" w:rsidRDefault="001279A8" w:rsidP="009B4355">
            <w:pPr>
              <w:rPr>
                <w:rFonts w:ascii="Aptos" w:hAnsi="Aptos"/>
                <w:lang w:val="fr-FR"/>
              </w:rPr>
            </w:pPr>
            <w:r w:rsidRPr="006F7AF8">
              <w:rPr>
                <w:rFonts w:ascii="Aptos" w:hAnsi="Aptos"/>
                <w:lang w:val="fr-FR"/>
              </w:rPr>
              <w:t>Nombre de Parties : 39</w:t>
            </w:r>
          </w:p>
        </w:tc>
      </w:tr>
      <w:tr w:rsidR="001279A8" w:rsidRPr="006F7AF8" w14:paraId="1455CE16" w14:textId="77777777" w:rsidTr="009B4355">
        <w:tc>
          <w:tcPr>
            <w:tcW w:w="4106" w:type="dxa"/>
          </w:tcPr>
          <w:p w14:paraId="39B1DEF5" w14:textId="77777777" w:rsidR="001279A8" w:rsidRPr="006F7AF8" w:rsidRDefault="001279A8" w:rsidP="009B4355">
            <w:pPr>
              <w:rPr>
                <w:rFonts w:ascii="Aptos" w:hAnsi="Aptos"/>
                <w:lang w:val="fr-FR"/>
              </w:rPr>
            </w:pPr>
            <w:r w:rsidRPr="006F7AF8">
              <w:rPr>
                <w:rFonts w:ascii="Aptos" w:hAnsi="Aptos"/>
                <w:lang w:val="fr-FR"/>
              </w:rPr>
              <w:t>Party count by region</w:t>
            </w:r>
          </w:p>
        </w:tc>
        <w:tc>
          <w:tcPr>
            <w:tcW w:w="4820" w:type="dxa"/>
          </w:tcPr>
          <w:p w14:paraId="77C32455" w14:textId="77777777" w:rsidR="001279A8" w:rsidRPr="006F7AF8" w:rsidRDefault="001279A8" w:rsidP="009B4355">
            <w:pPr>
              <w:rPr>
                <w:rFonts w:ascii="Aptos" w:hAnsi="Aptos"/>
                <w:lang w:val="fr-FR"/>
              </w:rPr>
            </w:pPr>
            <w:r w:rsidRPr="006F7AF8">
              <w:rPr>
                <w:rFonts w:ascii="Aptos" w:hAnsi="Aptos"/>
                <w:lang w:val="fr-FR"/>
              </w:rPr>
              <w:t>Nombre de Parties par région</w:t>
            </w:r>
          </w:p>
        </w:tc>
      </w:tr>
      <w:tr w:rsidR="001279A8" w:rsidRPr="006F7AF8" w14:paraId="01DB9ACB" w14:textId="77777777" w:rsidTr="009B4355">
        <w:tc>
          <w:tcPr>
            <w:tcW w:w="4106" w:type="dxa"/>
          </w:tcPr>
          <w:p w14:paraId="3ACFE98D" w14:textId="77777777" w:rsidR="001279A8" w:rsidRPr="006F7AF8" w:rsidRDefault="001279A8" w:rsidP="009B4355">
            <w:pPr>
              <w:rPr>
                <w:rFonts w:ascii="Aptos" w:hAnsi="Aptos"/>
                <w:lang w:val="fr-FR"/>
              </w:rPr>
            </w:pPr>
            <w:r w:rsidRPr="006F7AF8">
              <w:rPr>
                <w:rFonts w:ascii="Aptos" w:hAnsi="Aptos"/>
                <w:lang w:val="fr-FR"/>
              </w:rPr>
              <w:t>Region</w:t>
            </w:r>
          </w:p>
        </w:tc>
        <w:tc>
          <w:tcPr>
            <w:tcW w:w="4820" w:type="dxa"/>
          </w:tcPr>
          <w:p w14:paraId="553F8B9B"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4B26D707" w14:textId="77777777" w:rsidTr="009B4355">
        <w:tc>
          <w:tcPr>
            <w:tcW w:w="4106" w:type="dxa"/>
          </w:tcPr>
          <w:p w14:paraId="60CE1D49" w14:textId="77777777" w:rsidR="001279A8" w:rsidRPr="006F7AF8" w:rsidRDefault="001279A8" w:rsidP="009B4355">
            <w:pPr>
              <w:rPr>
                <w:rFonts w:ascii="Aptos" w:hAnsi="Aptos"/>
                <w:lang w:val="fr-FR"/>
              </w:rPr>
            </w:pPr>
            <w:r w:rsidRPr="006F7AF8">
              <w:rPr>
                <w:rFonts w:ascii="Aptos" w:hAnsi="Aptos"/>
                <w:lang w:val="fr-FR"/>
              </w:rPr>
              <w:t>African States</w:t>
            </w:r>
          </w:p>
        </w:tc>
        <w:tc>
          <w:tcPr>
            <w:tcW w:w="4820" w:type="dxa"/>
          </w:tcPr>
          <w:p w14:paraId="5E46548F"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7B5A04F5" w14:textId="77777777" w:rsidTr="009B4355">
        <w:tc>
          <w:tcPr>
            <w:tcW w:w="4106" w:type="dxa"/>
          </w:tcPr>
          <w:p w14:paraId="2C1402A8"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4820" w:type="dxa"/>
          </w:tcPr>
          <w:p w14:paraId="16B6BC14"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7E4E8602" w14:textId="77777777" w:rsidTr="009B4355">
        <w:tc>
          <w:tcPr>
            <w:tcW w:w="4106" w:type="dxa"/>
          </w:tcPr>
          <w:p w14:paraId="477D25F6" w14:textId="77777777" w:rsidR="001279A8" w:rsidRPr="006F7AF8" w:rsidRDefault="001279A8" w:rsidP="009B4355">
            <w:pPr>
              <w:rPr>
                <w:rFonts w:ascii="Aptos" w:hAnsi="Aptos"/>
                <w:lang w:val="fr-FR"/>
              </w:rPr>
            </w:pPr>
            <w:r w:rsidRPr="006F7AF8">
              <w:rPr>
                <w:rFonts w:ascii="Aptos" w:hAnsi="Aptos"/>
                <w:lang w:val="fr-FR"/>
              </w:rPr>
              <w:lastRenderedPageBreak/>
              <w:t>Latin American and Caribbean States</w:t>
            </w:r>
          </w:p>
        </w:tc>
        <w:tc>
          <w:tcPr>
            <w:tcW w:w="4820" w:type="dxa"/>
          </w:tcPr>
          <w:p w14:paraId="27262B0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05AB4CDD" w14:textId="77777777" w:rsidTr="009B4355">
        <w:tc>
          <w:tcPr>
            <w:tcW w:w="4106" w:type="dxa"/>
          </w:tcPr>
          <w:p w14:paraId="2577F756"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820" w:type="dxa"/>
          </w:tcPr>
          <w:p w14:paraId="0658546B"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18EE5734" w14:textId="77777777" w:rsidTr="009B4355">
        <w:tc>
          <w:tcPr>
            <w:tcW w:w="4106" w:type="dxa"/>
          </w:tcPr>
          <w:p w14:paraId="17B07269"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820" w:type="dxa"/>
          </w:tcPr>
          <w:p w14:paraId="6721DB7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0688FA2D" w14:textId="77777777" w:rsidR="00B87039" w:rsidRPr="00653BF4" w:rsidRDefault="00B87039" w:rsidP="00B87039">
      <w:pPr>
        <w:rPr>
          <w:rFonts w:ascii="Arial" w:hAnsi="Arial" w:cs="Arial"/>
          <w:i/>
          <w:iCs/>
          <w:sz w:val="18"/>
          <w:szCs w:val="18"/>
          <w:lang w:val="fr-FR"/>
        </w:rPr>
      </w:pPr>
    </w:p>
    <w:p w14:paraId="4FF240FA" w14:textId="77777777" w:rsidR="00B87039" w:rsidRPr="00653BF4" w:rsidRDefault="00B87039" w:rsidP="00B87039">
      <w:pPr>
        <w:rPr>
          <w:sz w:val="20"/>
          <w:szCs w:val="20"/>
          <w:lang w:val="fr-FR"/>
        </w:rPr>
      </w:pPr>
      <w:r w:rsidRPr="00653BF4">
        <w:rPr>
          <w:sz w:val="20"/>
          <w:szCs w:val="20"/>
          <w:lang w:val="fr-FR"/>
        </w:rPr>
        <w:t>Figure 79</w:t>
      </w:r>
    </w:p>
    <w:p w14:paraId="1BB38C3E" w14:textId="45F7534F" w:rsidR="00B87039" w:rsidRPr="00653BF4" w:rsidRDefault="00B87039" w:rsidP="00B87039">
      <w:pPr>
        <w:rPr>
          <w:b/>
          <w:bCs/>
          <w:sz w:val="20"/>
          <w:szCs w:val="20"/>
          <w:lang w:val="fr-FR"/>
        </w:rPr>
      </w:pPr>
      <w:r w:rsidRPr="00653BF4">
        <w:rPr>
          <w:b/>
          <w:bCs/>
          <w:sz w:val="20"/>
          <w:szCs w:val="20"/>
          <w:lang w:val="fr-FR"/>
        </w:rPr>
        <w:t>Indicateur phare D.3</w:t>
      </w:r>
      <w:r w:rsidR="00E34DC9">
        <w:rPr>
          <w:b/>
          <w:bCs/>
          <w:sz w:val="20"/>
          <w:szCs w:val="20"/>
          <w:lang w:val="fr-FR"/>
        </w:rPr>
        <w:t> :</w:t>
      </w:r>
      <w:r w:rsidRPr="00653BF4">
        <w:rPr>
          <w:b/>
          <w:bCs/>
          <w:sz w:val="20"/>
          <w:szCs w:val="20"/>
          <w:lang w:val="fr-FR"/>
        </w:rPr>
        <w:t xml:space="preserve"> financements privés (nationaux et internationaux) consacrés à la conservation et à l</w:t>
      </w:r>
      <w:r w:rsidR="00D77549">
        <w:rPr>
          <w:b/>
          <w:bCs/>
          <w:sz w:val="20"/>
          <w:szCs w:val="20"/>
          <w:lang w:val="fr-FR"/>
        </w:rPr>
        <w:t>’</w:t>
      </w:r>
      <w:r w:rsidRPr="00653BF4">
        <w:rPr>
          <w:b/>
          <w:bCs/>
          <w:sz w:val="20"/>
          <w:szCs w:val="20"/>
          <w:lang w:val="fr-FR"/>
        </w:rPr>
        <w:t>utilisation durable de la biodiversité et des écosystèmes</w:t>
      </w:r>
    </w:p>
    <w:p w14:paraId="37AFC4FA" w14:textId="77777777" w:rsidR="00B87039" w:rsidRPr="00653BF4" w:rsidRDefault="00B87039" w:rsidP="00B87039">
      <w:pPr>
        <w:pStyle w:val="paragraph"/>
        <w:spacing w:before="0" w:beforeAutospacing="0" w:after="0" w:afterAutospacing="0"/>
        <w:textAlignment w:val="baseline"/>
        <w:rPr>
          <w:rStyle w:val="normaltextrun"/>
          <w:rFonts w:cs="Segoe UI"/>
          <w:lang w:val="fr-FR"/>
        </w:rPr>
      </w:pPr>
      <w:r w:rsidRPr="00653BF4">
        <w:rPr>
          <w:rFonts w:ascii="Aptos" w:hAnsi="Aptos" w:cs="Segoe UI"/>
          <w:noProof/>
          <w:lang w:val="fr-FR"/>
          <w14:ligatures w14:val="standardContextual"/>
        </w:rPr>
        <w:drawing>
          <wp:inline distT="0" distB="0" distL="0" distR="0" wp14:anchorId="1B0CEAEF" wp14:editId="599D9369">
            <wp:extent cx="4752225" cy="3564432"/>
            <wp:effectExtent l="0" t="0" r="0" b="4445"/>
            <wp:docPr id="19504521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52162" name="Picture 1950452162"/>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4774681" cy="3581276"/>
                    </a:xfrm>
                    <a:prstGeom prst="rect">
                      <a:avLst/>
                    </a:prstGeom>
                  </pic:spPr>
                </pic:pic>
              </a:graphicData>
            </a:graphic>
          </wp:inline>
        </w:drawing>
      </w:r>
    </w:p>
    <w:p w14:paraId="6D2471DA" w14:textId="2A57C3DE" w:rsidR="00B87039" w:rsidRPr="00653BF4" w:rsidRDefault="00B87039" w:rsidP="00B87039">
      <w:pPr>
        <w:rPr>
          <w:sz w:val="18"/>
          <w:szCs w:val="18"/>
          <w:lang w:val="fr-FR"/>
        </w:rPr>
      </w:pPr>
      <w:bookmarkStart w:id="376" w:name="_Ref238796170"/>
      <w:r w:rsidRPr="00653BF4">
        <w:rPr>
          <w:i/>
          <w:iCs/>
          <w:sz w:val="18"/>
          <w:szCs w:val="18"/>
          <w:lang w:val="fr-FR"/>
        </w:rPr>
        <w:t>Note</w:t>
      </w:r>
      <w:r w:rsidR="00E34DC9">
        <w:rPr>
          <w:i/>
          <w:iCs/>
          <w:sz w:val="18"/>
          <w:szCs w:val="18"/>
          <w:lang w:val="fr-FR"/>
        </w:rPr>
        <w:t> :</w:t>
      </w:r>
      <w:r w:rsidRPr="00653BF4">
        <w:rPr>
          <w:sz w:val="18"/>
          <w:szCs w:val="18"/>
          <w:lang w:val="fr-FR"/>
        </w:rPr>
        <w:t xml:space="preserve"> Les valeurs de l</w:t>
      </w:r>
      <w:r w:rsidR="00D77549">
        <w:rPr>
          <w:sz w:val="18"/>
          <w:szCs w:val="18"/>
          <w:lang w:val="fr-FR"/>
        </w:rPr>
        <w:t>’</w:t>
      </w:r>
      <w:r w:rsidRPr="00653BF4">
        <w:rPr>
          <w:sz w:val="18"/>
          <w:szCs w:val="18"/>
          <w:lang w:val="fr-FR"/>
        </w:rPr>
        <w:t>indicateur correspondent à la somme annuelle des fonds privés consacrés à la biodiversité par les Parties ayant transmis des données (en bleu) et à la part moyenne du PIB national représentée par la valeur nationale (en rouge). Le diagramme à barres de droite présente la répartition, par région, des Parties ayant communiqué des données. La couleur de chaque région est indiquée dans la légende de la figure</w:t>
      </w:r>
      <w:r w:rsidR="00E34DC9">
        <w:rPr>
          <w:sz w:val="18"/>
          <w:szCs w:val="18"/>
          <w:lang w:val="fr-FR"/>
        </w:rPr>
        <w:t> :</w:t>
      </w:r>
      <w:r w:rsidRPr="00653BF4">
        <w:rPr>
          <w:sz w:val="18"/>
          <w:szCs w:val="18"/>
          <w:lang w:val="fr-FR"/>
        </w:rPr>
        <w:t xml:space="preserve"> les tons plus foncés représentent la proportion de Parties de chaque région dont les données figurent dans le graphique</w:t>
      </w:r>
      <w:r w:rsidR="00E34DC9">
        <w:rPr>
          <w:sz w:val="18"/>
          <w:szCs w:val="18"/>
          <w:lang w:val="fr-FR"/>
        </w:rPr>
        <w:t> ;</w:t>
      </w:r>
      <w:r w:rsidRPr="00653BF4">
        <w:rPr>
          <w:sz w:val="18"/>
          <w:szCs w:val="18"/>
          <w:lang w:val="fr-FR"/>
        </w:rPr>
        <w:t xml:space="preserve"> les tons plus clairs, la proportion de Parties de la même région dont les données n’y figurent pas. La zone gris foncé du diagramme circulaire indique la part du PIB de l</w:t>
      </w:r>
      <w:r w:rsidR="00D77549">
        <w:rPr>
          <w:sz w:val="18"/>
          <w:szCs w:val="18"/>
          <w:lang w:val="fr-FR"/>
        </w:rPr>
        <w:t>’</w:t>
      </w:r>
      <w:r w:rsidRPr="00653BF4">
        <w:rPr>
          <w:sz w:val="18"/>
          <w:szCs w:val="18"/>
          <w:lang w:val="fr-FR"/>
        </w:rPr>
        <w:t>ensemble des Parties représentée par ces données. Il convient de noter que huit Parties, représentant un montant total de 12,8 milliards de dollars des États-Unis, n’ont pas été incluses dans le graphique car elles n’ont pas communiqué de données pour chacune des années comprises entre 2020 et 2023.</w:t>
      </w:r>
    </w:p>
    <w:tbl>
      <w:tblPr>
        <w:tblStyle w:val="TableGrid"/>
        <w:tblW w:w="8861" w:type="dxa"/>
        <w:tblLook w:val="04A0" w:firstRow="1" w:lastRow="0" w:firstColumn="1" w:lastColumn="0" w:noHBand="0" w:noVBand="1"/>
      </w:tblPr>
      <w:tblGrid>
        <w:gridCol w:w="4188"/>
        <w:gridCol w:w="4673"/>
      </w:tblGrid>
      <w:tr w:rsidR="001279A8" w:rsidRPr="006F7AF8" w14:paraId="09928F7E" w14:textId="77777777" w:rsidTr="009B4355">
        <w:trPr>
          <w:trHeight w:val="300"/>
        </w:trPr>
        <w:tc>
          <w:tcPr>
            <w:tcW w:w="8861" w:type="dxa"/>
            <w:gridSpan w:val="2"/>
          </w:tcPr>
          <w:p w14:paraId="7E3670CE" w14:textId="77777777" w:rsidR="001279A8" w:rsidRPr="008A7A68" w:rsidRDefault="001279A8" w:rsidP="009B4355">
            <w:pPr>
              <w:rPr>
                <w:rFonts w:ascii="Aptos" w:hAnsi="Aptos"/>
                <w:lang w:val="fr-FR"/>
              </w:rPr>
            </w:pPr>
            <w:r w:rsidRPr="008A7A68">
              <w:rPr>
                <w:rFonts w:ascii="Aptos" w:hAnsi="Aptos"/>
                <w:lang w:val="fr-FR"/>
              </w:rPr>
              <w:t>Figure 79</w:t>
            </w:r>
          </w:p>
        </w:tc>
      </w:tr>
      <w:tr w:rsidR="001279A8" w:rsidRPr="006F7AF8" w14:paraId="651821E7" w14:textId="77777777" w:rsidTr="009B4355">
        <w:trPr>
          <w:trHeight w:val="300"/>
        </w:trPr>
        <w:tc>
          <w:tcPr>
            <w:tcW w:w="4188" w:type="dxa"/>
          </w:tcPr>
          <w:p w14:paraId="5697839A" w14:textId="77777777" w:rsidR="001279A8" w:rsidRPr="008A7A68" w:rsidRDefault="001279A8" w:rsidP="009B4355">
            <w:pPr>
              <w:rPr>
                <w:rFonts w:ascii="Aptos" w:hAnsi="Aptos"/>
                <w:lang w:val="fr-FR"/>
              </w:rPr>
            </w:pPr>
            <w:r w:rsidRPr="008A7A68">
              <w:rPr>
                <w:rFonts w:ascii="Aptos" w:hAnsi="Aptos"/>
                <w:lang w:val="fr-FR"/>
              </w:rPr>
              <w:t xml:space="preserve">English </w:t>
            </w:r>
          </w:p>
        </w:tc>
        <w:tc>
          <w:tcPr>
            <w:tcW w:w="4673" w:type="dxa"/>
          </w:tcPr>
          <w:p w14:paraId="0DA098F2" w14:textId="77777777" w:rsidR="001279A8" w:rsidRPr="008A7A68" w:rsidRDefault="001279A8" w:rsidP="009B4355">
            <w:pPr>
              <w:rPr>
                <w:rFonts w:ascii="Aptos" w:hAnsi="Aptos"/>
                <w:lang w:val="fr-FR"/>
              </w:rPr>
            </w:pPr>
            <w:r>
              <w:rPr>
                <w:rFonts w:ascii="Aptos" w:hAnsi="Aptos"/>
                <w:lang w:val="fr-FR"/>
              </w:rPr>
              <w:t>Français</w:t>
            </w:r>
          </w:p>
        </w:tc>
      </w:tr>
      <w:tr w:rsidR="001279A8" w:rsidRPr="006F7AF8" w14:paraId="226FE40F" w14:textId="77777777" w:rsidTr="009B4355">
        <w:trPr>
          <w:trHeight w:val="300"/>
        </w:trPr>
        <w:tc>
          <w:tcPr>
            <w:tcW w:w="4188" w:type="dxa"/>
          </w:tcPr>
          <w:p w14:paraId="69D97847" w14:textId="77777777" w:rsidR="001279A8" w:rsidRPr="006F7AF8" w:rsidRDefault="001279A8" w:rsidP="009B4355">
            <w:pPr>
              <w:rPr>
                <w:rFonts w:ascii="Aptos" w:hAnsi="Aptos"/>
                <w:lang w:val="fr-FR"/>
              </w:rPr>
            </w:pPr>
            <w:r w:rsidRPr="006F7AF8">
              <w:rPr>
                <w:rFonts w:ascii="Aptos" w:hAnsi="Aptos"/>
                <w:lang w:val="fr-FR"/>
              </w:rPr>
              <w:t>Private funding ($US  billion)</w:t>
            </w:r>
          </w:p>
        </w:tc>
        <w:tc>
          <w:tcPr>
            <w:tcW w:w="4673" w:type="dxa"/>
          </w:tcPr>
          <w:p w14:paraId="56E82212" w14:textId="77777777" w:rsidR="001279A8" w:rsidRPr="006F7AF8" w:rsidRDefault="001279A8" w:rsidP="009B4355">
            <w:pPr>
              <w:rPr>
                <w:rFonts w:ascii="Aptos" w:hAnsi="Aptos"/>
                <w:lang w:val="fr-FR"/>
              </w:rPr>
            </w:pPr>
            <w:r w:rsidRPr="006F7AF8">
              <w:rPr>
                <w:rFonts w:ascii="Aptos" w:hAnsi="Aptos"/>
                <w:lang w:val="fr-FR"/>
              </w:rPr>
              <w:t>Financement privé (en milliards de $US)</w:t>
            </w:r>
          </w:p>
        </w:tc>
      </w:tr>
      <w:tr w:rsidR="001279A8" w:rsidRPr="006F7AF8" w14:paraId="760DCD35" w14:textId="77777777" w:rsidTr="009B4355">
        <w:trPr>
          <w:trHeight w:val="300"/>
        </w:trPr>
        <w:tc>
          <w:tcPr>
            <w:tcW w:w="4188" w:type="dxa"/>
          </w:tcPr>
          <w:p w14:paraId="398CCCEC" w14:textId="77777777" w:rsidR="001279A8" w:rsidRPr="006F7AF8" w:rsidRDefault="001279A8" w:rsidP="009B4355">
            <w:pPr>
              <w:rPr>
                <w:rFonts w:ascii="Aptos" w:hAnsi="Aptos"/>
                <w:lang w:val="fr-FR"/>
              </w:rPr>
            </w:pPr>
            <w:r w:rsidRPr="006F7AF8">
              <w:rPr>
                <w:rFonts w:ascii="Aptos" w:hAnsi="Aptos"/>
                <w:lang w:val="fr-FR"/>
              </w:rPr>
              <w:t>Year</w:t>
            </w:r>
          </w:p>
        </w:tc>
        <w:tc>
          <w:tcPr>
            <w:tcW w:w="4673" w:type="dxa"/>
          </w:tcPr>
          <w:p w14:paraId="699E396C" w14:textId="77777777" w:rsidR="001279A8" w:rsidRPr="006F7AF8" w:rsidRDefault="001279A8" w:rsidP="009B4355">
            <w:pPr>
              <w:rPr>
                <w:rFonts w:ascii="Aptos" w:hAnsi="Aptos"/>
                <w:lang w:val="fr-FR"/>
              </w:rPr>
            </w:pPr>
            <w:r w:rsidRPr="006F7AF8">
              <w:rPr>
                <w:rFonts w:ascii="Aptos" w:hAnsi="Aptos"/>
                <w:lang w:val="fr-FR"/>
              </w:rPr>
              <w:t>Année</w:t>
            </w:r>
          </w:p>
        </w:tc>
      </w:tr>
      <w:tr w:rsidR="001279A8" w:rsidRPr="006F7AF8" w14:paraId="08D112EF" w14:textId="77777777" w:rsidTr="009B4355">
        <w:trPr>
          <w:trHeight w:val="300"/>
        </w:trPr>
        <w:tc>
          <w:tcPr>
            <w:tcW w:w="4188" w:type="dxa"/>
          </w:tcPr>
          <w:p w14:paraId="0A865674" w14:textId="77777777" w:rsidR="001279A8" w:rsidRPr="006F7AF8" w:rsidRDefault="001279A8" w:rsidP="009B4355">
            <w:pPr>
              <w:rPr>
                <w:rFonts w:ascii="Aptos" w:hAnsi="Aptos"/>
                <w:lang w:val="fr-FR"/>
              </w:rPr>
            </w:pPr>
            <w:r w:rsidRPr="006F7AF8">
              <w:rPr>
                <w:rFonts w:ascii="Aptos" w:hAnsi="Aptos"/>
                <w:lang w:val="fr-FR"/>
              </w:rPr>
              <w:t>Share of GDP</w:t>
            </w:r>
          </w:p>
        </w:tc>
        <w:tc>
          <w:tcPr>
            <w:tcW w:w="4673" w:type="dxa"/>
          </w:tcPr>
          <w:p w14:paraId="5EAF5EB4" w14:textId="77777777" w:rsidR="001279A8" w:rsidRPr="006F7AF8" w:rsidRDefault="001279A8" w:rsidP="009B4355">
            <w:pPr>
              <w:rPr>
                <w:rFonts w:ascii="Aptos" w:hAnsi="Aptos"/>
                <w:lang w:val="fr-FR"/>
              </w:rPr>
            </w:pPr>
            <w:r w:rsidRPr="006F7AF8">
              <w:rPr>
                <w:rFonts w:ascii="Aptos" w:hAnsi="Aptos"/>
                <w:lang w:val="fr-FR"/>
              </w:rPr>
              <w:t>Part du PIB</w:t>
            </w:r>
          </w:p>
        </w:tc>
      </w:tr>
      <w:tr w:rsidR="001279A8" w:rsidRPr="006F7AF8" w14:paraId="5FD8A74D" w14:textId="77777777" w:rsidTr="009B4355">
        <w:trPr>
          <w:trHeight w:val="300"/>
        </w:trPr>
        <w:tc>
          <w:tcPr>
            <w:tcW w:w="4188" w:type="dxa"/>
          </w:tcPr>
          <w:p w14:paraId="57D011BF" w14:textId="77777777" w:rsidR="001279A8" w:rsidRPr="006F7AF8" w:rsidRDefault="001279A8" w:rsidP="009B4355">
            <w:pPr>
              <w:rPr>
                <w:rFonts w:ascii="Aptos" w:hAnsi="Aptos"/>
                <w:lang w:val="fr-FR"/>
              </w:rPr>
            </w:pPr>
            <w:r w:rsidRPr="006F7AF8">
              <w:rPr>
                <w:rFonts w:ascii="Aptos" w:hAnsi="Aptos"/>
                <w:lang w:val="fr-FR"/>
              </w:rPr>
              <w:t>% of GDP (average)</w:t>
            </w:r>
          </w:p>
        </w:tc>
        <w:tc>
          <w:tcPr>
            <w:tcW w:w="4673" w:type="dxa"/>
          </w:tcPr>
          <w:p w14:paraId="6445ABB2" w14:textId="77777777" w:rsidR="001279A8" w:rsidRPr="006F7AF8" w:rsidRDefault="001279A8" w:rsidP="009B4355">
            <w:pPr>
              <w:rPr>
                <w:rFonts w:ascii="Aptos" w:hAnsi="Aptos"/>
                <w:lang w:val="fr-FR"/>
              </w:rPr>
            </w:pPr>
            <w:r w:rsidRPr="006F7AF8">
              <w:rPr>
                <w:rFonts w:ascii="Aptos" w:hAnsi="Aptos"/>
                <w:lang w:val="fr-FR"/>
              </w:rPr>
              <w:t>Pourcentage du PIB (moyenne)</w:t>
            </w:r>
          </w:p>
        </w:tc>
      </w:tr>
      <w:tr w:rsidR="001279A8" w:rsidRPr="006F7AF8" w14:paraId="3B2FC3FD" w14:textId="77777777" w:rsidTr="009B4355">
        <w:trPr>
          <w:trHeight w:val="300"/>
        </w:trPr>
        <w:tc>
          <w:tcPr>
            <w:tcW w:w="4188" w:type="dxa"/>
          </w:tcPr>
          <w:p w14:paraId="1597146F" w14:textId="77777777" w:rsidR="001279A8" w:rsidRPr="006F7AF8" w:rsidRDefault="001279A8" w:rsidP="009B4355">
            <w:pPr>
              <w:rPr>
                <w:rFonts w:ascii="Aptos" w:hAnsi="Aptos"/>
                <w:lang w:val="fr-FR"/>
              </w:rPr>
            </w:pPr>
            <w:r w:rsidRPr="006F7AF8">
              <w:rPr>
                <w:rFonts w:ascii="Aptos" w:hAnsi="Aptos"/>
                <w:lang w:val="fr-FR"/>
              </w:rPr>
              <w:t>Party count: 20</w:t>
            </w:r>
          </w:p>
        </w:tc>
        <w:tc>
          <w:tcPr>
            <w:tcW w:w="4673" w:type="dxa"/>
          </w:tcPr>
          <w:p w14:paraId="5FF7A989" w14:textId="77777777" w:rsidR="001279A8" w:rsidRPr="006F7AF8" w:rsidRDefault="001279A8" w:rsidP="009B4355">
            <w:pPr>
              <w:rPr>
                <w:rFonts w:ascii="Aptos" w:hAnsi="Aptos"/>
                <w:lang w:val="fr-FR"/>
              </w:rPr>
            </w:pPr>
            <w:r w:rsidRPr="006F7AF8">
              <w:rPr>
                <w:rFonts w:ascii="Aptos" w:hAnsi="Aptos"/>
                <w:lang w:val="fr-FR"/>
              </w:rPr>
              <w:t>Nombre de Parties : 20</w:t>
            </w:r>
          </w:p>
        </w:tc>
      </w:tr>
      <w:tr w:rsidR="001279A8" w:rsidRPr="006F7AF8" w14:paraId="606B058C" w14:textId="77777777" w:rsidTr="009B4355">
        <w:trPr>
          <w:trHeight w:val="300"/>
        </w:trPr>
        <w:tc>
          <w:tcPr>
            <w:tcW w:w="4188" w:type="dxa"/>
          </w:tcPr>
          <w:p w14:paraId="327E84DF" w14:textId="77777777" w:rsidR="001279A8" w:rsidRPr="006F7AF8" w:rsidRDefault="001279A8" w:rsidP="009B4355">
            <w:pPr>
              <w:rPr>
                <w:rFonts w:ascii="Aptos" w:hAnsi="Aptos"/>
                <w:lang w:val="fr-FR"/>
              </w:rPr>
            </w:pPr>
            <w:r w:rsidRPr="006F7AF8">
              <w:rPr>
                <w:rFonts w:ascii="Aptos" w:hAnsi="Aptos"/>
                <w:lang w:val="fr-FR"/>
              </w:rPr>
              <w:lastRenderedPageBreak/>
              <w:t>Party count by region</w:t>
            </w:r>
          </w:p>
        </w:tc>
        <w:tc>
          <w:tcPr>
            <w:tcW w:w="4673" w:type="dxa"/>
          </w:tcPr>
          <w:p w14:paraId="3ABC2F30" w14:textId="77777777" w:rsidR="001279A8" w:rsidRPr="006F7AF8" w:rsidRDefault="001279A8" w:rsidP="009B4355">
            <w:pPr>
              <w:rPr>
                <w:rFonts w:ascii="Aptos" w:hAnsi="Aptos"/>
                <w:lang w:val="fr-FR"/>
              </w:rPr>
            </w:pPr>
            <w:r w:rsidRPr="006F7AF8">
              <w:rPr>
                <w:rFonts w:ascii="Aptos" w:hAnsi="Aptos"/>
                <w:lang w:val="fr-FR"/>
              </w:rPr>
              <w:t>Nombre de Parties par région</w:t>
            </w:r>
          </w:p>
        </w:tc>
      </w:tr>
      <w:tr w:rsidR="001279A8" w:rsidRPr="006F7AF8" w14:paraId="7011E812" w14:textId="77777777" w:rsidTr="009B4355">
        <w:trPr>
          <w:trHeight w:val="300"/>
        </w:trPr>
        <w:tc>
          <w:tcPr>
            <w:tcW w:w="4188" w:type="dxa"/>
          </w:tcPr>
          <w:p w14:paraId="04C0C625"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727E3DB3"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2195ADF0" w14:textId="77777777" w:rsidTr="009B4355">
        <w:trPr>
          <w:trHeight w:val="300"/>
        </w:trPr>
        <w:tc>
          <w:tcPr>
            <w:tcW w:w="4188" w:type="dxa"/>
          </w:tcPr>
          <w:p w14:paraId="7A00F80A"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1238A16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0F175DD9" w14:textId="77777777" w:rsidTr="009B4355">
        <w:trPr>
          <w:trHeight w:val="300"/>
        </w:trPr>
        <w:tc>
          <w:tcPr>
            <w:tcW w:w="4188" w:type="dxa"/>
          </w:tcPr>
          <w:p w14:paraId="063E93C7" w14:textId="77777777" w:rsidR="001279A8" w:rsidRPr="006F7AF8" w:rsidRDefault="001279A8" w:rsidP="009B4355">
            <w:pPr>
              <w:rPr>
                <w:rFonts w:ascii="Aptos" w:hAnsi="Aptos"/>
                <w:lang w:val="fr-FR"/>
              </w:rPr>
            </w:pPr>
            <w:r w:rsidRPr="006F7AF8">
              <w:rPr>
                <w:rFonts w:ascii="Aptos" w:hAnsi="Aptos"/>
                <w:lang w:val="fr-FR"/>
              </w:rPr>
              <w:t>Asia –Pacific States</w:t>
            </w:r>
          </w:p>
        </w:tc>
        <w:tc>
          <w:tcPr>
            <w:tcW w:w="4673" w:type="dxa"/>
          </w:tcPr>
          <w:p w14:paraId="29B7E6A0"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035AE247" w14:textId="77777777" w:rsidTr="009B4355">
        <w:trPr>
          <w:trHeight w:val="300"/>
        </w:trPr>
        <w:tc>
          <w:tcPr>
            <w:tcW w:w="4188" w:type="dxa"/>
          </w:tcPr>
          <w:p w14:paraId="0E77F985"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2BAC12D3"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6C9200DE" w14:textId="77777777" w:rsidTr="009B4355">
        <w:trPr>
          <w:trHeight w:val="300"/>
        </w:trPr>
        <w:tc>
          <w:tcPr>
            <w:tcW w:w="4188" w:type="dxa"/>
          </w:tcPr>
          <w:p w14:paraId="50A7650E"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40DCAAD2"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685AC401" w14:textId="77777777" w:rsidTr="009B4355">
        <w:trPr>
          <w:trHeight w:val="300"/>
        </w:trPr>
        <w:tc>
          <w:tcPr>
            <w:tcW w:w="4188" w:type="dxa"/>
          </w:tcPr>
          <w:p w14:paraId="383848E6"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3" w:type="dxa"/>
          </w:tcPr>
          <w:p w14:paraId="625169F5"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2A309987" w14:textId="77777777" w:rsidR="00B87039" w:rsidRPr="00653BF4" w:rsidRDefault="00B87039" w:rsidP="00B87039">
      <w:pPr>
        <w:rPr>
          <w:sz w:val="20"/>
          <w:szCs w:val="20"/>
          <w:lang w:val="fr-FR"/>
        </w:rPr>
      </w:pPr>
    </w:p>
    <w:bookmarkEnd w:id="376"/>
    <w:p w14:paraId="257EA816" w14:textId="77777777" w:rsidR="00B87039" w:rsidRPr="00653BF4" w:rsidRDefault="00B87039" w:rsidP="00B87039">
      <w:pPr>
        <w:rPr>
          <w:sz w:val="20"/>
          <w:szCs w:val="20"/>
          <w:lang w:val="fr-FR" w:eastAsia="ja-JP"/>
        </w:rPr>
      </w:pPr>
      <w:r w:rsidRPr="00653BF4">
        <w:rPr>
          <w:sz w:val="20"/>
          <w:szCs w:val="20"/>
          <w:lang w:val="fr-FR"/>
        </w:rPr>
        <w:t>Figure 80</w:t>
      </w:r>
    </w:p>
    <w:p w14:paraId="070317E2" w14:textId="503BB913" w:rsidR="00B87039"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1</w:t>
      </w:r>
      <w:r w:rsidRPr="00653BF4">
        <w:rPr>
          <w:b/>
          <w:bCs/>
          <w:i w:val="0"/>
          <w:iCs w:val="0"/>
          <w:sz w:val="20"/>
          <w:szCs w:val="20"/>
          <w:lang w:val="fr-FR"/>
        </w:rPr>
        <w:t>9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547D9826" w14:textId="77777777" w:rsidR="00B87039" w:rsidRPr="00653BF4" w:rsidRDefault="00B87039" w:rsidP="00B87039">
      <w:pPr>
        <w:pStyle w:val="Caption"/>
        <w:rPr>
          <w:lang w:val="fr-FR"/>
        </w:rPr>
      </w:pPr>
      <w:r w:rsidRPr="00653BF4">
        <w:rPr>
          <w:noProof/>
          <w:lang w:val="fr-FR"/>
          <w14:ligatures w14:val="standardContextual"/>
        </w:rPr>
        <w:drawing>
          <wp:inline distT="0" distB="0" distL="0" distR="0" wp14:anchorId="0D2D1304" wp14:editId="153F3B33">
            <wp:extent cx="5731510" cy="2456180"/>
            <wp:effectExtent l="0" t="0" r="0" b="0"/>
            <wp:docPr id="20598770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77015" name="Picture 2059877015"/>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7142BD59" w14:textId="4A6E3662" w:rsidR="00B87039" w:rsidRPr="00653BF4" w:rsidRDefault="00B87039" w:rsidP="00B87039">
      <w:pPr>
        <w:pStyle w:val="Caption"/>
        <w:rPr>
          <w:i w:val="0"/>
          <w:iCs w:val="0"/>
          <w:lang w:val="fr-FR"/>
        </w:rPr>
      </w:pPr>
      <w:r w:rsidRPr="00653BF4">
        <w:rPr>
          <w:sz w:val="16"/>
          <w:szCs w:val="16"/>
          <w:lang w:val="fr-FR"/>
        </w:rPr>
        <w:t>Note</w:t>
      </w:r>
      <w:r w:rsidR="00E34DC9">
        <w:rPr>
          <w:sz w:val="16"/>
          <w:szCs w:val="16"/>
          <w:lang w:val="fr-FR"/>
        </w:rPr>
        <w:t> :</w:t>
      </w:r>
      <w:r w:rsidRPr="00653BF4">
        <w:rPr>
          <w:i w:val="0"/>
          <w:iCs w:val="0"/>
          <w:sz w:val="16"/>
          <w:szCs w:val="16"/>
          <w:lang w:val="fr-FR"/>
        </w:rPr>
        <w:t xml:space="preserve"> Les proportions sont pondérées par Partie. Les tendances incluent des données relatives à 3 indicateurs phares provenant de 86 Parties, ainsi qu</w:t>
      </w:r>
      <w:r w:rsidR="00D77549">
        <w:rPr>
          <w:i w:val="0"/>
          <w:iCs w:val="0"/>
          <w:sz w:val="16"/>
          <w:szCs w:val="16"/>
          <w:lang w:val="fr-FR"/>
        </w:rPr>
        <w:t>’</w:t>
      </w:r>
      <w:r w:rsidRPr="00653BF4">
        <w:rPr>
          <w:i w:val="0"/>
          <w:iCs w:val="0"/>
          <w:sz w:val="16"/>
          <w:szCs w:val="16"/>
          <w:lang w:val="fr-FR"/>
        </w:rPr>
        <w:t xml:space="preserve">à 40 indicateurs nationaux provenant au total de 16 Parties. Le diagramme circulaire représente la répartition, par région, des Parties ayant communiqué des indicateurs pour la </w:t>
      </w:r>
      <w:r w:rsidR="00E34DC9">
        <w:rPr>
          <w:i w:val="0"/>
          <w:iCs w:val="0"/>
          <w:sz w:val="16"/>
          <w:szCs w:val="16"/>
          <w:lang w:val="fr-FR"/>
        </w:rPr>
        <w:t>cible 1</w:t>
      </w:r>
      <w:r w:rsidRPr="00653BF4">
        <w:rPr>
          <w:i w:val="0"/>
          <w:iCs w:val="0"/>
          <w:sz w:val="16"/>
          <w:szCs w:val="16"/>
          <w:lang w:val="fr-FR"/>
        </w:rPr>
        <w:t xml:space="preserve">9. Le diagramme circulaire représente la répartition, par région, des Parties ayant communiqué des indicateurs pour la </w:t>
      </w:r>
      <w:r w:rsidR="00E34DC9">
        <w:rPr>
          <w:i w:val="0"/>
          <w:iCs w:val="0"/>
          <w:sz w:val="16"/>
          <w:szCs w:val="16"/>
          <w:lang w:val="fr-FR"/>
        </w:rPr>
        <w:t>cible 1</w:t>
      </w:r>
      <w:r w:rsidRPr="00653BF4">
        <w:rPr>
          <w:i w:val="0"/>
          <w:iCs w:val="0"/>
          <w:sz w:val="16"/>
          <w:szCs w:val="16"/>
          <w:lang w:val="fr-FR"/>
        </w:rPr>
        <w:t>9.</w:t>
      </w:r>
      <w:r w:rsidRPr="00653BF4">
        <w:rPr>
          <w:i w:val="0"/>
          <w:iCs w:val="0"/>
          <w:lang w:val="fr-FR"/>
        </w:rPr>
        <w:t xml:space="preserve">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1279A8" w:rsidRPr="00875B26" w14:paraId="4B5ED12F" w14:textId="77777777" w:rsidTr="009B4355">
        <w:tc>
          <w:tcPr>
            <w:tcW w:w="8861" w:type="dxa"/>
            <w:gridSpan w:val="2"/>
          </w:tcPr>
          <w:p w14:paraId="3ED9FA29" w14:textId="77777777" w:rsidR="001279A8" w:rsidRPr="00875B26" w:rsidRDefault="001279A8" w:rsidP="009B4355">
            <w:pPr>
              <w:rPr>
                <w:rFonts w:ascii="Aptos" w:hAnsi="Aptos"/>
                <w:lang w:val="fr-FR"/>
              </w:rPr>
            </w:pPr>
            <w:bookmarkStart w:id="377" w:name="_Toc235821284"/>
            <w:r w:rsidRPr="00875B26">
              <w:rPr>
                <w:rFonts w:ascii="Aptos" w:hAnsi="Aptos"/>
                <w:lang w:val="fr-FR"/>
              </w:rPr>
              <w:t>Figure 80</w:t>
            </w:r>
          </w:p>
        </w:tc>
      </w:tr>
      <w:tr w:rsidR="001279A8" w:rsidRPr="00875B26" w14:paraId="50D8107D" w14:textId="77777777" w:rsidTr="009B4355">
        <w:tc>
          <w:tcPr>
            <w:tcW w:w="4188" w:type="dxa"/>
          </w:tcPr>
          <w:p w14:paraId="0F8BCD32" w14:textId="77777777" w:rsidR="001279A8" w:rsidRPr="00875B26" w:rsidRDefault="001279A8" w:rsidP="009B4355">
            <w:pPr>
              <w:rPr>
                <w:rFonts w:ascii="Aptos" w:hAnsi="Aptos"/>
                <w:lang w:val="fr-FR"/>
              </w:rPr>
            </w:pPr>
            <w:r w:rsidRPr="00875B26">
              <w:rPr>
                <w:rFonts w:ascii="Aptos" w:hAnsi="Aptos"/>
                <w:lang w:val="fr-FR"/>
              </w:rPr>
              <w:t xml:space="preserve">English </w:t>
            </w:r>
          </w:p>
        </w:tc>
        <w:tc>
          <w:tcPr>
            <w:tcW w:w="4673" w:type="dxa"/>
          </w:tcPr>
          <w:p w14:paraId="014BB7D5" w14:textId="77777777" w:rsidR="001279A8" w:rsidRPr="00875B26" w:rsidRDefault="001279A8" w:rsidP="009B4355">
            <w:pPr>
              <w:rPr>
                <w:rFonts w:ascii="Aptos" w:hAnsi="Aptos"/>
                <w:lang w:val="fr-FR"/>
              </w:rPr>
            </w:pPr>
            <w:r>
              <w:rPr>
                <w:rFonts w:ascii="Aptos" w:hAnsi="Aptos"/>
                <w:lang w:val="fr-FR"/>
              </w:rPr>
              <w:t>Français</w:t>
            </w:r>
          </w:p>
        </w:tc>
      </w:tr>
      <w:tr w:rsidR="001279A8" w:rsidRPr="006F7AF8" w14:paraId="378E77BF" w14:textId="77777777" w:rsidTr="009B4355">
        <w:tc>
          <w:tcPr>
            <w:tcW w:w="4188" w:type="dxa"/>
          </w:tcPr>
          <w:p w14:paraId="0BFD6867" w14:textId="77777777" w:rsidR="001279A8" w:rsidRPr="006F7AF8" w:rsidRDefault="001279A8" w:rsidP="009B4355">
            <w:pPr>
              <w:rPr>
                <w:rFonts w:ascii="Aptos" w:hAnsi="Aptos"/>
                <w:lang w:val="fr-FR"/>
              </w:rPr>
            </w:pPr>
            <w:r w:rsidRPr="006F7AF8">
              <w:rPr>
                <w:rFonts w:ascii="Aptos" w:hAnsi="Aptos"/>
                <w:lang w:val="fr-FR"/>
              </w:rPr>
              <w:t>Proportion</w:t>
            </w:r>
          </w:p>
        </w:tc>
        <w:tc>
          <w:tcPr>
            <w:tcW w:w="4673" w:type="dxa"/>
          </w:tcPr>
          <w:p w14:paraId="139ADFF5" w14:textId="77777777" w:rsidR="001279A8" w:rsidRPr="006F7AF8" w:rsidRDefault="001279A8" w:rsidP="009B4355">
            <w:pPr>
              <w:rPr>
                <w:rFonts w:ascii="Aptos" w:hAnsi="Aptos"/>
                <w:lang w:val="fr-FR"/>
              </w:rPr>
            </w:pPr>
            <w:r w:rsidRPr="006F7AF8">
              <w:rPr>
                <w:rFonts w:ascii="Aptos" w:hAnsi="Aptos"/>
                <w:lang w:val="fr-FR"/>
              </w:rPr>
              <w:t>Proportion</w:t>
            </w:r>
          </w:p>
        </w:tc>
      </w:tr>
      <w:tr w:rsidR="001279A8" w:rsidRPr="006F7AF8" w14:paraId="75B562EE" w14:textId="77777777" w:rsidTr="009B4355">
        <w:tc>
          <w:tcPr>
            <w:tcW w:w="4188" w:type="dxa"/>
          </w:tcPr>
          <w:p w14:paraId="6F94A7A3" w14:textId="77777777" w:rsidR="001279A8" w:rsidRPr="006F7AF8" w:rsidRDefault="001279A8" w:rsidP="009B4355">
            <w:pPr>
              <w:rPr>
                <w:rFonts w:ascii="Aptos" w:hAnsi="Aptos"/>
                <w:lang w:val="fr-FR"/>
              </w:rPr>
            </w:pPr>
            <w:r w:rsidRPr="006F7AF8">
              <w:rPr>
                <w:rFonts w:ascii="Aptos" w:hAnsi="Aptos"/>
                <w:lang w:val="fr-FR"/>
              </w:rPr>
              <w:t>Current Status</w:t>
            </w:r>
          </w:p>
        </w:tc>
        <w:tc>
          <w:tcPr>
            <w:tcW w:w="4673" w:type="dxa"/>
          </w:tcPr>
          <w:p w14:paraId="34EFFC78" w14:textId="77777777" w:rsidR="001279A8" w:rsidRPr="006F7AF8" w:rsidRDefault="001279A8" w:rsidP="009B4355">
            <w:pPr>
              <w:rPr>
                <w:rFonts w:ascii="Aptos" w:hAnsi="Aptos"/>
                <w:lang w:val="fr-FR"/>
              </w:rPr>
            </w:pPr>
            <w:r w:rsidRPr="006F7AF8">
              <w:rPr>
                <w:rFonts w:ascii="Aptos" w:hAnsi="Aptos"/>
                <w:lang w:val="fr-FR"/>
              </w:rPr>
              <w:t>État actuel</w:t>
            </w:r>
          </w:p>
        </w:tc>
      </w:tr>
      <w:tr w:rsidR="001279A8" w:rsidRPr="006F7AF8" w14:paraId="1B4FDE91" w14:textId="77777777" w:rsidTr="009B4355">
        <w:tc>
          <w:tcPr>
            <w:tcW w:w="4188" w:type="dxa"/>
          </w:tcPr>
          <w:p w14:paraId="4AA12E69" w14:textId="77777777" w:rsidR="001279A8" w:rsidRPr="006F7AF8" w:rsidRDefault="001279A8" w:rsidP="009B4355">
            <w:pPr>
              <w:rPr>
                <w:rFonts w:ascii="Aptos" w:hAnsi="Aptos"/>
                <w:lang w:val="fr-FR"/>
              </w:rPr>
            </w:pPr>
            <w:r w:rsidRPr="006F7AF8">
              <w:rPr>
                <w:rFonts w:ascii="Aptos" w:hAnsi="Aptos"/>
                <w:lang w:val="fr-FR"/>
              </w:rPr>
              <w:t>improving</w:t>
            </w:r>
          </w:p>
        </w:tc>
        <w:tc>
          <w:tcPr>
            <w:tcW w:w="4673" w:type="dxa"/>
          </w:tcPr>
          <w:p w14:paraId="247E45FE" w14:textId="77777777" w:rsidR="001279A8" w:rsidRPr="006F7AF8" w:rsidRDefault="001279A8" w:rsidP="009B4355">
            <w:pPr>
              <w:rPr>
                <w:rFonts w:ascii="Aptos" w:hAnsi="Aptos"/>
                <w:lang w:val="fr-FR"/>
              </w:rPr>
            </w:pPr>
            <w:r>
              <w:rPr>
                <w:rFonts w:ascii="Aptos" w:hAnsi="Aptos"/>
                <w:lang w:val="fr-FR"/>
              </w:rPr>
              <w:t>amélioration</w:t>
            </w:r>
          </w:p>
        </w:tc>
      </w:tr>
      <w:tr w:rsidR="001279A8" w:rsidRPr="006F7AF8" w14:paraId="473F6DEA" w14:textId="77777777" w:rsidTr="009B4355">
        <w:tc>
          <w:tcPr>
            <w:tcW w:w="4188" w:type="dxa"/>
          </w:tcPr>
          <w:p w14:paraId="621A2A7A" w14:textId="77777777" w:rsidR="001279A8" w:rsidRPr="006F7AF8" w:rsidRDefault="001279A8" w:rsidP="009B4355">
            <w:pPr>
              <w:rPr>
                <w:rFonts w:ascii="Aptos" w:hAnsi="Aptos"/>
                <w:lang w:val="fr-FR"/>
              </w:rPr>
            </w:pPr>
            <w:r w:rsidRPr="006F7AF8">
              <w:rPr>
                <w:rFonts w:ascii="Aptos" w:hAnsi="Aptos"/>
                <w:lang w:val="fr-FR"/>
              </w:rPr>
              <w:t>stable</w:t>
            </w:r>
          </w:p>
        </w:tc>
        <w:tc>
          <w:tcPr>
            <w:tcW w:w="4673" w:type="dxa"/>
          </w:tcPr>
          <w:p w14:paraId="20DC874E" w14:textId="77777777" w:rsidR="001279A8" w:rsidRPr="006F7AF8" w:rsidRDefault="001279A8"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1279A8" w:rsidRPr="006F7AF8" w14:paraId="36D9233B" w14:textId="77777777" w:rsidTr="009B4355">
        <w:tc>
          <w:tcPr>
            <w:tcW w:w="4188" w:type="dxa"/>
          </w:tcPr>
          <w:p w14:paraId="676874C9" w14:textId="77777777" w:rsidR="001279A8" w:rsidRPr="006F7AF8" w:rsidRDefault="001279A8" w:rsidP="009B4355">
            <w:pPr>
              <w:rPr>
                <w:rFonts w:ascii="Aptos" w:hAnsi="Aptos"/>
                <w:lang w:val="fr-FR"/>
              </w:rPr>
            </w:pPr>
            <w:r w:rsidRPr="006F7AF8">
              <w:rPr>
                <w:rFonts w:ascii="Aptos" w:hAnsi="Aptos"/>
                <w:lang w:val="fr-FR"/>
              </w:rPr>
              <w:t>moving away</w:t>
            </w:r>
          </w:p>
        </w:tc>
        <w:tc>
          <w:tcPr>
            <w:tcW w:w="4673" w:type="dxa"/>
          </w:tcPr>
          <w:p w14:paraId="2D552780" w14:textId="77777777" w:rsidR="001279A8" w:rsidRPr="006F7AF8" w:rsidRDefault="001279A8" w:rsidP="009B4355">
            <w:pPr>
              <w:rPr>
                <w:rFonts w:ascii="Aptos" w:hAnsi="Aptos"/>
                <w:lang w:val="fr-FR"/>
              </w:rPr>
            </w:pPr>
            <w:r>
              <w:rPr>
                <w:rFonts w:ascii="Aptos" w:hAnsi="Aptos"/>
                <w:lang w:val="fr-FR"/>
              </w:rPr>
              <w:t>éloignement</w:t>
            </w:r>
          </w:p>
        </w:tc>
      </w:tr>
      <w:tr w:rsidR="001279A8" w:rsidRPr="006F7AF8" w14:paraId="3824D8B5" w14:textId="77777777" w:rsidTr="009B4355">
        <w:tc>
          <w:tcPr>
            <w:tcW w:w="4188" w:type="dxa"/>
          </w:tcPr>
          <w:p w14:paraId="43295E15" w14:textId="77777777" w:rsidR="001279A8" w:rsidRPr="006F7AF8" w:rsidRDefault="001279A8" w:rsidP="009B4355">
            <w:pPr>
              <w:rPr>
                <w:rFonts w:ascii="Aptos" w:hAnsi="Aptos"/>
                <w:lang w:val="fr-FR"/>
              </w:rPr>
            </w:pPr>
            <w:r w:rsidRPr="006F7AF8">
              <w:rPr>
                <w:rFonts w:ascii="Aptos" w:hAnsi="Aptos"/>
                <w:lang w:val="fr-FR"/>
              </w:rPr>
              <w:t>Party count: 88</w:t>
            </w:r>
          </w:p>
        </w:tc>
        <w:tc>
          <w:tcPr>
            <w:tcW w:w="4673" w:type="dxa"/>
          </w:tcPr>
          <w:p w14:paraId="250B28B1" w14:textId="77777777" w:rsidR="001279A8" w:rsidRPr="006F7AF8" w:rsidRDefault="001279A8" w:rsidP="009B4355">
            <w:pPr>
              <w:rPr>
                <w:rFonts w:ascii="Aptos" w:hAnsi="Aptos"/>
                <w:lang w:val="fr-FR"/>
              </w:rPr>
            </w:pPr>
            <w:r w:rsidRPr="006F7AF8">
              <w:rPr>
                <w:rFonts w:ascii="Aptos" w:hAnsi="Aptos"/>
                <w:lang w:val="fr-FR"/>
              </w:rPr>
              <w:t>Nombre de Parties : 88</w:t>
            </w:r>
          </w:p>
        </w:tc>
      </w:tr>
      <w:tr w:rsidR="001279A8" w:rsidRPr="006F7AF8" w14:paraId="22855A9C" w14:textId="77777777" w:rsidTr="009B4355">
        <w:tc>
          <w:tcPr>
            <w:tcW w:w="4188" w:type="dxa"/>
          </w:tcPr>
          <w:p w14:paraId="789A5963"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54642FA9"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6758A438" w14:textId="77777777" w:rsidTr="009B4355">
        <w:tc>
          <w:tcPr>
            <w:tcW w:w="4188" w:type="dxa"/>
          </w:tcPr>
          <w:p w14:paraId="70F1E1F1"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0A75E180"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3E0794AD" w14:textId="77777777" w:rsidTr="009B4355">
        <w:tc>
          <w:tcPr>
            <w:tcW w:w="4188" w:type="dxa"/>
          </w:tcPr>
          <w:p w14:paraId="4EA0E570"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4673" w:type="dxa"/>
          </w:tcPr>
          <w:p w14:paraId="0D8EE583"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3C343979" w14:textId="77777777" w:rsidTr="009B4355">
        <w:tc>
          <w:tcPr>
            <w:tcW w:w="4188" w:type="dxa"/>
          </w:tcPr>
          <w:p w14:paraId="43DF92A1"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730905E6"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3966B7EB" w14:textId="77777777" w:rsidTr="009B4355">
        <w:tc>
          <w:tcPr>
            <w:tcW w:w="4188" w:type="dxa"/>
          </w:tcPr>
          <w:p w14:paraId="3A8DA69B" w14:textId="77777777" w:rsidR="001279A8" w:rsidRPr="006F7AF8" w:rsidRDefault="001279A8" w:rsidP="009B4355">
            <w:pPr>
              <w:rPr>
                <w:rFonts w:ascii="Aptos" w:hAnsi="Aptos"/>
                <w:lang w:val="fr-FR"/>
              </w:rPr>
            </w:pPr>
            <w:r w:rsidRPr="006F7AF8">
              <w:rPr>
                <w:rFonts w:ascii="Aptos" w:hAnsi="Aptos"/>
                <w:lang w:val="fr-FR"/>
              </w:rPr>
              <w:lastRenderedPageBreak/>
              <w:t>Eastern European States</w:t>
            </w:r>
          </w:p>
        </w:tc>
        <w:tc>
          <w:tcPr>
            <w:tcW w:w="4673" w:type="dxa"/>
          </w:tcPr>
          <w:p w14:paraId="673D655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20B2E697" w14:textId="77777777" w:rsidTr="009B4355">
        <w:tc>
          <w:tcPr>
            <w:tcW w:w="4188" w:type="dxa"/>
          </w:tcPr>
          <w:p w14:paraId="34AA7402"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3" w:type="dxa"/>
          </w:tcPr>
          <w:p w14:paraId="0A314F11"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2866ED7A" w14:textId="77777777" w:rsidR="00B87039" w:rsidRPr="00653BF4" w:rsidRDefault="00B87039" w:rsidP="00B87039">
      <w:pPr>
        <w:pStyle w:val="Caption"/>
        <w:rPr>
          <w:lang w:val="fr-FR"/>
        </w:rPr>
      </w:pPr>
    </w:p>
    <w:p w14:paraId="0FB13BC3" w14:textId="77777777" w:rsidR="00B87039" w:rsidRPr="00653BF4" w:rsidRDefault="00B87039" w:rsidP="00B87039">
      <w:pPr>
        <w:rPr>
          <w:sz w:val="20"/>
          <w:szCs w:val="20"/>
          <w:lang w:val="fr-FR" w:eastAsia="ja-JP"/>
        </w:rPr>
      </w:pPr>
    </w:p>
    <w:p w14:paraId="1D4E6489" w14:textId="64981A28" w:rsidR="00B87039" w:rsidRPr="00653BF4" w:rsidRDefault="00B87039" w:rsidP="00B87039">
      <w:pPr>
        <w:pStyle w:val="Heading5"/>
        <w:rPr>
          <w:lang w:val="fr-FR"/>
        </w:rPr>
      </w:pPr>
      <w:r w:rsidRPr="00653BF4">
        <w:rPr>
          <w:lang w:val="fr-FR"/>
        </w:rPr>
        <w:t>Auto-évaluation des progrès accomplis</w:t>
      </w:r>
      <w:bookmarkEnd w:id="377"/>
    </w:p>
    <w:p w14:paraId="63739430" w14:textId="27E9D5D7" w:rsidR="00B87039" w:rsidRPr="00653BF4" w:rsidRDefault="00B87039" w:rsidP="00B87039">
      <w:pPr>
        <w:rPr>
          <w:lang w:val="fr-FR"/>
        </w:rPr>
      </w:pPr>
      <w:r w:rsidRPr="00653BF4">
        <w:rPr>
          <w:lang w:val="fr-FR"/>
        </w:rPr>
        <w:t>D’après les auto-évaluations des Parties figurant dans leurs rapports nationaux, 32</w:t>
      </w:r>
      <w:r w:rsidR="002878D7">
        <w:rPr>
          <w:lang w:val="fr-FR"/>
        </w:rPr>
        <w:t> %</w:t>
      </w:r>
      <w:r w:rsidRPr="00653BF4">
        <w:rPr>
          <w:lang w:val="fr-FR"/>
        </w:rPr>
        <w:t xml:space="preserve"> seulement des cibles nationales qu</w:t>
      </w:r>
      <w:r w:rsidR="00D77549">
        <w:rPr>
          <w:lang w:val="fr-FR"/>
        </w:rPr>
        <w:t>’</w:t>
      </w:r>
      <w:r w:rsidRPr="00653BF4">
        <w:rPr>
          <w:lang w:val="fr-FR"/>
        </w:rPr>
        <w:t xml:space="preserve">elles ont présentées comme étroitement alignées sur la </w:t>
      </w:r>
      <w:r w:rsidR="00E34DC9">
        <w:rPr>
          <w:lang w:val="fr-FR"/>
        </w:rPr>
        <w:t>cible 1</w:t>
      </w:r>
      <w:r w:rsidRPr="00653BF4">
        <w:rPr>
          <w:lang w:val="fr-FR"/>
        </w:rPr>
        <w:t>9 sont en voie d</w:t>
      </w:r>
      <w:r w:rsidR="00D77549">
        <w:rPr>
          <w:lang w:val="fr-FR"/>
        </w:rPr>
        <w:t>’</w:t>
      </w:r>
      <w:r w:rsidRPr="00653BF4">
        <w:rPr>
          <w:lang w:val="fr-FR"/>
        </w:rPr>
        <w:t>être atteintes, alors qu</w:t>
      </w:r>
      <w:r w:rsidR="00D77549">
        <w:rPr>
          <w:lang w:val="fr-FR"/>
        </w:rPr>
        <w:t>’</w:t>
      </w:r>
      <w:r w:rsidRPr="00653BF4">
        <w:rPr>
          <w:lang w:val="fr-FR"/>
        </w:rPr>
        <w:t>une proportion bien plus importante (64</w:t>
      </w:r>
      <w:r w:rsidR="002878D7">
        <w:rPr>
          <w:lang w:val="fr-FR"/>
        </w:rPr>
        <w:t> %</w:t>
      </w:r>
      <w:r w:rsidRPr="00653BF4">
        <w:rPr>
          <w:lang w:val="fr-FR"/>
        </w:rPr>
        <w:t>) n</w:t>
      </w:r>
      <w:r w:rsidR="00D77549">
        <w:rPr>
          <w:lang w:val="fr-FR"/>
        </w:rPr>
        <w:t>’</w:t>
      </w:r>
      <w:r w:rsidRPr="00653BF4">
        <w:rPr>
          <w:lang w:val="fr-FR"/>
        </w:rPr>
        <w:t>enregistre aucun progrès notable ou des progrès insuffisants, et que deux cibles nationales seulement (1</w:t>
      </w:r>
      <w:r w:rsidR="002878D7">
        <w:rPr>
          <w:lang w:val="fr-FR"/>
        </w:rPr>
        <w:t> %</w:t>
      </w:r>
      <w:r w:rsidRPr="00653BF4">
        <w:rPr>
          <w:lang w:val="fr-FR"/>
        </w:rPr>
        <w:t>) sont déclarées déjà atteintes (voir la figure 81).</w:t>
      </w:r>
      <w:r w:rsidRPr="00653BF4">
        <w:rPr>
          <w:rStyle w:val="eop"/>
          <w:lang w:val="fr-FR"/>
        </w:rPr>
        <w:t xml:space="preserve"> </w:t>
      </w:r>
    </w:p>
    <w:p w14:paraId="6408ED05" w14:textId="77777777" w:rsidR="00B87039" w:rsidRPr="00653BF4" w:rsidRDefault="00B87039" w:rsidP="00B87039">
      <w:pPr>
        <w:rPr>
          <w:color w:val="0E2841" w:themeColor="text2"/>
          <w:sz w:val="20"/>
          <w:szCs w:val="20"/>
          <w:lang w:val="fr-FR"/>
        </w:rPr>
      </w:pPr>
    </w:p>
    <w:p w14:paraId="4579D51F" w14:textId="77777777" w:rsidR="00B87039" w:rsidRPr="00653BF4" w:rsidRDefault="00B87039" w:rsidP="00B87039">
      <w:pPr>
        <w:rPr>
          <w:color w:val="0E2841" w:themeColor="text2"/>
          <w:sz w:val="20"/>
          <w:szCs w:val="20"/>
          <w:lang w:val="fr-FR"/>
        </w:rPr>
      </w:pPr>
      <w:r w:rsidRPr="00653BF4">
        <w:rPr>
          <w:color w:val="0E2841" w:themeColor="text2"/>
          <w:sz w:val="20"/>
          <w:szCs w:val="20"/>
          <w:lang w:val="fr-FR"/>
        </w:rPr>
        <w:t>Figure 81</w:t>
      </w:r>
    </w:p>
    <w:p w14:paraId="6DF1ED36" w14:textId="6919BCE1" w:rsidR="00B87039" w:rsidRPr="00653BF4"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1</w:t>
      </w:r>
      <w:r w:rsidRPr="00653BF4">
        <w:rPr>
          <w:b/>
          <w:bCs/>
          <w:i w:val="0"/>
          <w:iCs w:val="0"/>
          <w:sz w:val="20"/>
          <w:szCs w:val="20"/>
          <w:lang w:val="fr-FR"/>
        </w:rPr>
        <w:t>9 du Cadre</w:t>
      </w:r>
    </w:p>
    <w:p w14:paraId="52B9163A" w14:textId="77777777" w:rsidR="00B87039" w:rsidRPr="00653BF4" w:rsidRDefault="00B87039" w:rsidP="00B87039">
      <w:pPr>
        <w:rPr>
          <w:i/>
          <w:iCs/>
          <w:color w:val="0E2841" w:themeColor="text2"/>
          <w:sz w:val="18"/>
          <w:szCs w:val="18"/>
          <w:lang w:val="fr-FR"/>
        </w:rPr>
      </w:pPr>
      <w:r w:rsidRPr="00653BF4">
        <w:rPr>
          <w:rFonts w:eastAsia="Aptos" w:cs="Aptos"/>
          <w:noProof/>
          <w:lang w:val="fr-FR"/>
        </w:rPr>
        <w:drawing>
          <wp:inline distT="0" distB="0" distL="0" distR="0" wp14:anchorId="35CED697" wp14:editId="5B0B2822">
            <wp:extent cx="5731510" cy="2292350"/>
            <wp:effectExtent l="0" t="0" r="0" b="6350"/>
            <wp:docPr id="256910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10525" name="Picture 256910525"/>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21969F8A" w14:textId="01DE6A77"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lang w:val="fr-FR"/>
        </w:rPr>
        <w:t xml:space="preserve"> </w:t>
      </w:r>
      <w:r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9463" w:type="dxa"/>
        <w:tblLook w:val="04A0" w:firstRow="1" w:lastRow="0" w:firstColumn="1" w:lastColumn="0" w:noHBand="0" w:noVBand="1"/>
      </w:tblPr>
      <w:tblGrid>
        <w:gridCol w:w="4531"/>
        <w:gridCol w:w="4932"/>
      </w:tblGrid>
      <w:tr w:rsidR="001279A8" w:rsidRPr="00CB1C4A" w14:paraId="6C06A5E9" w14:textId="77777777" w:rsidTr="009B4355">
        <w:tc>
          <w:tcPr>
            <w:tcW w:w="9463" w:type="dxa"/>
            <w:gridSpan w:val="2"/>
          </w:tcPr>
          <w:p w14:paraId="1AC0A856" w14:textId="77777777" w:rsidR="001279A8" w:rsidRPr="00CB1C4A" w:rsidRDefault="001279A8" w:rsidP="009B4355">
            <w:pPr>
              <w:rPr>
                <w:rFonts w:ascii="Aptos" w:hAnsi="Aptos"/>
                <w:lang w:val="fr-FR"/>
              </w:rPr>
            </w:pPr>
            <w:r w:rsidRPr="00CB1C4A">
              <w:rPr>
                <w:rFonts w:ascii="Aptos" w:hAnsi="Aptos"/>
                <w:lang w:val="fr-FR"/>
              </w:rPr>
              <w:t>Figure 81</w:t>
            </w:r>
          </w:p>
        </w:tc>
      </w:tr>
      <w:tr w:rsidR="001279A8" w:rsidRPr="00CB1C4A" w14:paraId="4C99E866" w14:textId="77777777" w:rsidTr="009B4355">
        <w:tc>
          <w:tcPr>
            <w:tcW w:w="4531" w:type="dxa"/>
          </w:tcPr>
          <w:p w14:paraId="5617BE19" w14:textId="77777777" w:rsidR="001279A8" w:rsidRPr="00CB1C4A" w:rsidRDefault="001279A8" w:rsidP="009B4355">
            <w:pPr>
              <w:rPr>
                <w:rFonts w:ascii="Aptos" w:hAnsi="Aptos"/>
                <w:lang w:val="fr-FR"/>
              </w:rPr>
            </w:pPr>
            <w:r w:rsidRPr="00CB1C4A">
              <w:rPr>
                <w:rFonts w:ascii="Aptos" w:hAnsi="Aptos"/>
                <w:lang w:val="fr-FR"/>
              </w:rPr>
              <w:t xml:space="preserve">English </w:t>
            </w:r>
          </w:p>
        </w:tc>
        <w:tc>
          <w:tcPr>
            <w:tcW w:w="4932" w:type="dxa"/>
          </w:tcPr>
          <w:p w14:paraId="67E4B8FE" w14:textId="77777777" w:rsidR="001279A8" w:rsidRPr="00CB1C4A" w:rsidRDefault="001279A8" w:rsidP="009B4355">
            <w:pPr>
              <w:rPr>
                <w:rFonts w:ascii="Aptos" w:hAnsi="Aptos"/>
                <w:lang w:val="fr-FR"/>
              </w:rPr>
            </w:pPr>
            <w:r>
              <w:rPr>
                <w:rFonts w:ascii="Aptos" w:hAnsi="Aptos"/>
                <w:lang w:val="fr-FR"/>
              </w:rPr>
              <w:t>Français</w:t>
            </w:r>
          </w:p>
        </w:tc>
      </w:tr>
      <w:tr w:rsidR="001279A8" w:rsidRPr="006F7AF8" w14:paraId="640FC5C7" w14:textId="77777777" w:rsidTr="009B4355">
        <w:tc>
          <w:tcPr>
            <w:tcW w:w="4531" w:type="dxa"/>
          </w:tcPr>
          <w:p w14:paraId="4775821F" w14:textId="77777777" w:rsidR="001279A8" w:rsidRPr="006F7AF8" w:rsidRDefault="001279A8" w:rsidP="009B4355">
            <w:pPr>
              <w:rPr>
                <w:rFonts w:ascii="Aptos" w:hAnsi="Aptos"/>
                <w:lang w:val="fr-FR"/>
              </w:rPr>
            </w:pPr>
            <w:r w:rsidRPr="006F7AF8">
              <w:rPr>
                <w:rFonts w:ascii="Aptos" w:hAnsi="Aptos"/>
                <w:lang w:val="fr-FR"/>
              </w:rPr>
              <w:t>Percentage of national targets</w:t>
            </w:r>
          </w:p>
        </w:tc>
        <w:tc>
          <w:tcPr>
            <w:tcW w:w="4932" w:type="dxa"/>
          </w:tcPr>
          <w:p w14:paraId="020DBCC7" w14:textId="77777777" w:rsidR="001279A8" w:rsidRPr="006F7AF8" w:rsidRDefault="001279A8" w:rsidP="009B4355">
            <w:pPr>
              <w:rPr>
                <w:rFonts w:ascii="Aptos" w:hAnsi="Aptos"/>
                <w:lang w:val="fr-FR"/>
              </w:rPr>
            </w:pPr>
            <w:r>
              <w:t>Pourcentage de cibles nationales</w:t>
            </w:r>
          </w:p>
        </w:tc>
      </w:tr>
      <w:tr w:rsidR="001279A8" w:rsidRPr="006F7AF8" w14:paraId="3B7D944D" w14:textId="77777777" w:rsidTr="009B4355">
        <w:tc>
          <w:tcPr>
            <w:tcW w:w="4531" w:type="dxa"/>
          </w:tcPr>
          <w:p w14:paraId="4C2358EF" w14:textId="77777777" w:rsidR="001279A8" w:rsidRPr="006F7AF8" w:rsidRDefault="001279A8" w:rsidP="009B4355">
            <w:pPr>
              <w:rPr>
                <w:rFonts w:ascii="Aptos" w:hAnsi="Aptos"/>
                <w:lang w:val="fr-FR"/>
              </w:rPr>
            </w:pPr>
            <w:r w:rsidRPr="006F7AF8">
              <w:rPr>
                <w:rFonts w:ascii="Aptos" w:hAnsi="Aptos"/>
                <w:lang w:val="fr-FR"/>
              </w:rPr>
              <w:t>Progress level</w:t>
            </w:r>
          </w:p>
        </w:tc>
        <w:tc>
          <w:tcPr>
            <w:tcW w:w="4932" w:type="dxa"/>
          </w:tcPr>
          <w:p w14:paraId="03179A0D" w14:textId="77777777" w:rsidR="001279A8" w:rsidRPr="006F7AF8" w:rsidRDefault="001279A8" w:rsidP="009B4355">
            <w:pPr>
              <w:rPr>
                <w:rFonts w:ascii="Aptos" w:hAnsi="Aptos"/>
                <w:lang w:val="fr-FR"/>
              </w:rPr>
            </w:pPr>
            <w:r>
              <w:t>État d’avancement</w:t>
            </w:r>
          </w:p>
        </w:tc>
      </w:tr>
      <w:tr w:rsidR="001279A8" w:rsidRPr="006F7AF8" w14:paraId="4C843A59" w14:textId="77777777" w:rsidTr="009B4355">
        <w:tc>
          <w:tcPr>
            <w:tcW w:w="4531" w:type="dxa"/>
          </w:tcPr>
          <w:p w14:paraId="5BAF34ED" w14:textId="77777777" w:rsidR="001279A8" w:rsidRPr="006F7AF8" w:rsidRDefault="001279A8" w:rsidP="009B4355">
            <w:pPr>
              <w:rPr>
                <w:rFonts w:ascii="Aptos" w:hAnsi="Aptos"/>
                <w:lang w:val="fr-FR"/>
              </w:rPr>
            </w:pPr>
            <w:r w:rsidRPr="006F7AF8">
              <w:rPr>
                <w:rFonts w:ascii="Aptos" w:hAnsi="Aptos"/>
                <w:lang w:val="fr-FR"/>
              </w:rPr>
              <w:t>Achieved</w:t>
            </w:r>
          </w:p>
        </w:tc>
        <w:tc>
          <w:tcPr>
            <w:tcW w:w="4932" w:type="dxa"/>
          </w:tcPr>
          <w:p w14:paraId="6B8E489A" w14:textId="77777777" w:rsidR="001279A8" w:rsidRPr="006F7AF8" w:rsidRDefault="001279A8" w:rsidP="009B4355">
            <w:pPr>
              <w:rPr>
                <w:rFonts w:ascii="Aptos" w:hAnsi="Aptos"/>
                <w:lang w:val="fr-FR"/>
              </w:rPr>
            </w:pPr>
            <w:r w:rsidRPr="006F7AF8">
              <w:rPr>
                <w:rFonts w:ascii="Aptos" w:hAnsi="Aptos"/>
                <w:lang w:val="fr-FR"/>
              </w:rPr>
              <w:t>Cible atteinte</w:t>
            </w:r>
          </w:p>
        </w:tc>
      </w:tr>
      <w:tr w:rsidR="001279A8" w:rsidRPr="006F7AF8" w14:paraId="1E30FD5E" w14:textId="77777777" w:rsidTr="009B4355">
        <w:tc>
          <w:tcPr>
            <w:tcW w:w="4531" w:type="dxa"/>
          </w:tcPr>
          <w:p w14:paraId="07BF52A9" w14:textId="77777777" w:rsidR="001279A8" w:rsidRPr="006F7AF8" w:rsidRDefault="001279A8" w:rsidP="009B4355">
            <w:pPr>
              <w:rPr>
                <w:rFonts w:ascii="Aptos" w:hAnsi="Aptos"/>
                <w:lang w:val="fr-FR"/>
              </w:rPr>
            </w:pPr>
            <w:r w:rsidRPr="006F7AF8">
              <w:rPr>
                <w:rFonts w:ascii="Aptos" w:hAnsi="Aptos"/>
                <w:lang w:val="fr-FR"/>
              </w:rPr>
              <w:t>On track to achieve target</w:t>
            </w:r>
          </w:p>
        </w:tc>
        <w:tc>
          <w:tcPr>
            <w:tcW w:w="4932" w:type="dxa"/>
          </w:tcPr>
          <w:p w14:paraId="51D2C734" w14:textId="77777777" w:rsidR="001279A8" w:rsidRPr="006F7AF8" w:rsidRDefault="001279A8" w:rsidP="009B4355">
            <w:pPr>
              <w:rPr>
                <w:rFonts w:ascii="Aptos" w:hAnsi="Aptos"/>
                <w:lang w:val="fr-FR"/>
              </w:rPr>
            </w:pPr>
            <w:r w:rsidRPr="006F7AF8">
              <w:rPr>
                <w:rFonts w:ascii="Aptos" w:hAnsi="Aptos"/>
                <w:lang w:val="fr-FR"/>
              </w:rPr>
              <w:t>En voie d</w:t>
            </w:r>
            <w:r>
              <w:rPr>
                <w:rFonts w:ascii="Aptos" w:hAnsi="Aptos"/>
                <w:lang w:val="fr-FR"/>
              </w:rPr>
              <w:t>’</w:t>
            </w:r>
            <w:r w:rsidRPr="006F7AF8">
              <w:rPr>
                <w:rFonts w:ascii="Aptos" w:hAnsi="Aptos"/>
                <w:lang w:val="fr-FR"/>
              </w:rPr>
              <w:t>atteindre la cible</w:t>
            </w:r>
          </w:p>
        </w:tc>
      </w:tr>
      <w:tr w:rsidR="001279A8" w:rsidRPr="006F7AF8" w14:paraId="5BCE0728" w14:textId="77777777" w:rsidTr="009B4355">
        <w:tc>
          <w:tcPr>
            <w:tcW w:w="4531" w:type="dxa"/>
          </w:tcPr>
          <w:p w14:paraId="5874D311" w14:textId="77777777" w:rsidR="001279A8" w:rsidRPr="006F7AF8" w:rsidRDefault="001279A8" w:rsidP="009B4355">
            <w:pPr>
              <w:rPr>
                <w:rFonts w:ascii="Aptos" w:hAnsi="Aptos"/>
                <w:lang w:val="fr-FR"/>
              </w:rPr>
            </w:pPr>
            <w:r w:rsidRPr="006F7AF8">
              <w:rPr>
                <w:rFonts w:ascii="Aptos" w:hAnsi="Aptos"/>
                <w:lang w:val="fr-FR"/>
              </w:rPr>
              <w:lastRenderedPageBreak/>
              <w:t>Progress towards target but at an insufficient rate</w:t>
            </w:r>
          </w:p>
        </w:tc>
        <w:tc>
          <w:tcPr>
            <w:tcW w:w="4932" w:type="dxa"/>
          </w:tcPr>
          <w:p w14:paraId="14D21DCD" w14:textId="77777777" w:rsidR="001279A8" w:rsidRPr="006F7AF8" w:rsidRDefault="001279A8" w:rsidP="009B4355">
            <w:pPr>
              <w:rPr>
                <w:rFonts w:ascii="Aptos" w:hAnsi="Aptos"/>
                <w:lang w:val="fr-FR"/>
              </w:rPr>
            </w:pPr>
            <w:r w:rsidRPr="006F7AF8">
              <w:rPr>
                <w:rFonts w:ascii="Aptos" w:hAnsi="Aptos"/>
                <w:lang w:val="fr-FR"/>
              </w:rPr>
              <w:t>Progrès accomplis, mais à un rythme insuffisant</w:t>
            </w:r>
          </w:p>
        </w:tc>
      </w:tr>
      <w:tr w:rsidR="001279A8" w:rsidRPr="006F7AF8" w14:paraId="7249FD9E" w14:textId="77777777" w:rsidTr="009B4355">
        <w:tc>
          <w:tcPr>
            <w:tcW w:w="4531" w:type="dxa"/>
          </w:tcPr>
          <w:p w14:paraId="09F56087" w14:textId="77777777" w:rsidR="001279A8" w:rsidRPr="006F7AF8" w:rsidRDefault="001279A8" w:rsidP="009B4355">
            <w:pPr>
              <w:rPr>
                <w:rFonts w:ascii="Aptos" w:hAnsi="Aptos"/>
                <w:lang w:val="fr-FR"/>
              </w:rPr>
            </w:pPr>
            <w:r w:rsidRPr="006F7AF8">
              <w:rPr>
                <w:rFonts w:ascii="Aptos" w:hAnsi="Aptos"/>
                <w:lang w:val="fr-FR"/>
              </w:rPr>
              <w:t>No significant change</w:t>
            </w:r>
          </w:p>
        </w:tc>
        <w:tc>
          <w:tcPr>
            <w:tcW w:w="4932" w:type="dxa"/>
          </w:tcPr>
          <w:p w14:paraId="2584CA1A" w14:textId="77777777" w:rsidR="001279A8" w:rsidRPr="006F7AF8" w:rsidRDefault="001279A8" w:rsidP="009B4355">
            <w:pPr>
              <w:rPr>
                <w:rFonts w:ascii="Aptos" w:hAnsi="Aptos"/>
                <w:lang w:val="fr-FR"/>
              </w:rPr>
            </w:pPr>
            <w:r w:rsidRPr="006F7AF8">
              <w:rPr>
                <w:rFonts w:ascii="Aptos" w:hAnsi="Aptos"/>
                <w:lang w:val="fr-FR"/>
              </w:rPr>
              <w:t>Pas de changement notable</w:t>
            </w:r>
          </w:p>
        </w:tc>
      </w:tr>
      <w:tr w:rsidR="001279A8" w:rsidRPr="006F7AF8" w14:paraId="34EC8940" w14:textId="77777777" w:rsidTr="009B4355">
        <w:tc>
          <w:tcPr>
            <w:tcW w:w="4531" w:type="dxa"/>
          </w:tcPr>
          <w:p w14:paraId="1B937CC1" w14:textId="77777777" w:rsidR="001279A8" w:rsidRPr="006F7AF8" w:rsidRDefault="001279A8" w:rsidP="009B4355">
            <w:pPr>
              <w:rPr>
                <w:rFonts w:ascii="Aptos" w:hAnsi="Aptos"/>
                <w:lang w:val="fr-FR"/>
              </w:rPr>
            </w:pPr>
            <w:r w:rsidRPr="006F7AF8">
              <w:rPr>
                <w:rFonts w:ascii="Aptos" w:hAnsi="Aptos"/>
                <w:lang w:val="fr-FR"/>
              </w:rPr>
              <w:t>Unknown</w:t>
            </w:r>
          </w:p>
        </w:tc>
        <w:tc>
          <w:tcPr>
            <w:tcW w:w="4932" w:type="dxa"/>
          </w:tcPr>
          <w:p w14:paraId="0425B063" w14:textId="77777777" w:rsidR="001279A8" w:rsidRPr="006F7AF8" w:rsidRDefault="001279A8" w:rsidP="009B4355">
            <w:pPr>
              <w:rPr>
                <w:rFonts w:ascii="Aptos" w:hAnsi="Aptos"/>
                <w:lang w:val="fr-FR"/>
              </w:rPr>
            </w:pPr>
            <w:r w:rsidRPr="006F7AF8">
              <w:rPr>
                <w:rFonts w:ascii="Aptos" w:hAnsi="Aptos"/>
                <w:lang w:val="fr-FR"/>
              </w:rPr>
              <w:t>Inconnu</w:t>
            </w:r>
          </w:p>
        </w:tc>
      </w:tr>
      <w:tr w:rsidR="001279A8" w:rsidRPr="006F7AF8" w14:paraId="39B4FD97" w14:textId="77777777" w:rsidTr="009B4355">
        <w:tc>
          <w:tcPr>
            <w:tcW w:w="4531" w:type="dxa"/>
          </w:tcPr>
          <w:p w14:paraId="715A3A6F" w14:textId="77777777" w:rsidR="001279A8" w:rsidRPr="006F7AF8" w:rsidRDefault="001279A8" w:rsidP="009B4355">
            <w:pPr>
              <w:rPr>
                <w:rFonts w:ascii="Aptos" w:hAnsi="Aptos"/>
                <w:lang w:val="fr-FR"/>
              </w:rPr>
            </w:pPr>
            <w:r w:rsidRPr="006F7AF8">
              <w:rPr>
                <w:rFonts w:ascii="Aptos" w:hAnsi="Aptos"/>
                <w:lang w:val="fr-FR"/>
              </w:rPr>
              <w:t>Party count: 91</w:t>
            </w:r>
          </w:p>
        </w:tc>
        <w:tc>
          <w:tcPr>
            <w:tcW w:w="4932" w:type="dxa"/>
          </w:tcPr>
          <w:p w14:paraId="2D809A87" w14:textId="77777777" w:rsidR="001279A8" w:rsidRPr="006F7AF8" w:rsidRDefault="001279A8" w:rsidP="009B4355">
            <w:pPr>
              <w:rPr>
                <w:rFonts w:ascii="Aptos" w:hAnsi="Aptos"/>
                <w:lang w:val="fr-FR"/>
              </w:rPr>
            </w:pPr>
            <w:r w:rsidRPr="006F7AF8">
              <w:rPr>
                <w:rFonts w:ascii="Aptos" w:hAnsi="Aptos"/>
                <w:lang w:val="fr-FR"/>
              </w:rPr>
              <w:t>Nombre de Parties : 91</w:t>
            </w:r>
          </w:p>
        </w:tc>
      </w:tr>
      <w:tr w:rsidR="001279A8" w:rsidRPr="006F7AF8" w14:paraId="0F6614F3" w14:textId="77777777" w:rsidTr="009B4355">
        <w:tc>
          <w:tcPr>
            <w:tcW w:w="4531" w:type="dxa"/>
          </w:tcPr>
          <w:p w14:paraId="6F716DCF" w14:textId="77777777" w:rsidR="001279A8" w:rsidRPr="006F7AF8" w:rsidRDefault="001279A8" w:rsidP="009B4355">
            <w:pPr>
              <w:rPr>
                <w:rFonts w:ascii="Aptos" w:hAnsi="Aptos"/>
                <w:lang w:val="fr-FR"/>
              </w:rPr>
            </w:pPr>
            <w:r w:rsidRPr="006F7AF8">
              <w:rPr>
                <w:rFonts w:ascii="Aptos" w:hAnsi="Aptos"/>
                <w:lang w:val="fr-FR"/>
              </w:rPr>
              <w:t>Region</w:t>
            </w:r>
          </w:p>
        </w:tc>
        <w:tc>
          <w:tcPr>
            <w:tcW w:w="4932" w:type="dxa"/>
          </w:tcPr>
          <w:p w14:paraId="6D8E83E0"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6307FB41" w14:textId="77777777" w:rsidTr="009B4355">
        <w:tc>
          <w:tcPr>
            <w:tcW w:w="4531" w:type="dxa"/>
          </w:tcPr>
          <w:p w14:paraId="5A3E6965" w14:textId="77777777" w:rsidR="001279A8" w:rsidRPr="006F7AF8" w:rsidRDefault="001279A8" w:rsidP="009B4355">
            <w:pPr>
              <w:rPr>
                <w:rFonts w:ascii="Aptos" w:hAnsi="Aptos"/>
                <w:lang w:val="fr-FR"/>
              </w:rPr>
            </w:pPr>
            <w:r w:rsidRPr="006F7AF8">
              <w:rPr>
                <w:rFonts w:ascii="Aptos" w:hAnsi="Aptos"/>
                <w:lang w:val="fr-FR"/>
              </w:rPr>
              <w:t>African States</w:t>
            </w:r>
          </w:p>
        </w:tc>
        <w:tc>
          <w:tcPr>
            <w:tcW w:w="4932" w:type="dxa"/>
          </w:tcPr>
          <w:p w14:paraId="275E2D99"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03D2D924" w14:textId="77777777" w:rsidTr="009B4355">
        <w:tc>
          <w:tcPr>
            <w:tcW w:w="4531" w:type="dxa"/>
          </w:tcPr>
          <w:p w14:paraId="443EE10D"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4932" w:type="dxa"/>
          </w:tcPr>
          <w:p w14:paraId="3B4C93E7"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61DDA62E" w14:textId="77777777" w:rsidTr="009B4355">
        <w:tc>
          <w:tcPr>
            <w:tcW w:w="4531" w:type="dxa"/>
          </w:tcPr>
          <w:p w14:paraId="4AE0F3D9"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932" w:type="dxa"/>
          </w:tcPr>
          <w:p w14:paraId="32F7A765"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241E1D9C" w14:textId="77777777" w:rsidTr="009B4355">
        <w:tc>
          <w:tcPr>
            <w:tcW w:w="4531" w:type="dxa"/>
          </w:tcPr>
          <w:p w14:paraId="0F3D2069"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932" w:type="dxa"/>
          </w:tcPr>
          <w:p w14:paraId="37110CA0"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14C961C0" w14:textId="77777777" w:rsidTr="009B4355">
        <w:tc>
          <w:tcPr>
            <w:tcW w:w="4531" w:type="dxa"/>
          </w:tcPr>
          <w:p w14:paraId="3262A817"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932" w:type="dxa"/>
          </w:tcPr>
          <w:p w14:paraId="0DD73999"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2A733D43" w14:textId="77777777" w:rsidR="00B87039" w:rsidRPr="00653BF4" w:rsidRDefault="00B87039" w:rsidP="00B87039">
      <w:pPr>
        <w:pStyle w:val="Heading5"/>
        <w:rPr>
          <w:lang w:val="fr-FR"/>
        </w:rPr>
      </w:pPr>
    </w:p>
    <w:p w14:paraId="2201FBCC" w14:textId="77777777" w:rsidR="00B87039" w:rsidRPr="00653BF4" w:rsidRDefault="00B87039" w:rsidP="00B87039">
      <w:pPr>
        <w:pStyle w:val="Heading5"/>
        <w:rPr>
          <w:lang w:val="fr-FR"/>
        </w:rPr>
      </w:pPr>
      <w:bookmarkStart w:id="378" w:name="_Toc235821285"/>
      <w:r w:rsidRPr="00653BF4">
        <w:rPr>
          <w:lang w:val="fr-FR"/>
        </w:rPr>
        <w:t>Actions, réussites et difficultés</w:t>
      </w:r>
      <w:bookmarkEnd w:id="378"/>
      <w:r w:rsidRPr="00653BF4">
        <w:rPr>
          <w:lang w:val="fr-FR"/>
        </w:rPr>
        <w:t xml:space="preserve"> dans la mise en œuvre</w:t>
      </w:r>
    </w:p>
    <w:p w14:paraId="41258D63" w14:textId="77777777" w:rsidR="00B87039" w:rsidRPr="00653BF4" w:rsidRDefault="00B87039" w:rsidP="00B87039">
      <w:pPr>
        <w:pStyle w:val="Heading6"/>
        <w:rPr>
          <w:lang w:val="fr-FR"/>
        </w:rPr>
      </w:pPr>
      <w:bookmarkStart w:id="379" w:name="_Toc235821286"/>
    </w:p>
    <w:p w14:paraId="58ADE55B" w14:textId="2FEA2D8A" w:rsidR="00B87039" w:rsidRPr="00653BF4" w:rsidRDefault="00B87039" w:rsidP="00B87039">
      <w:pPr>
        <w:pStyle w:val="Heading6"/>
        <w:rPr>
          <w:lang w:val="fr-FR"/>
        </w:rPr>
      </w:pPr>
      <w:r w:rsidRPr="00653BF4">
        <w:rPr>
          <w:lang w:val="fr-FR"/>
        </w:rPr>
        <w:t>Résumé des actions menées à l</w:t>
      </w:r>
      <w:r w:rsidR="00D77549">
        <w:rPr>
          <w:lang w:val="fr-FR"/>
        </w:rPr>
        <w:t>’</w:t>
      </w:r>
      <w:r w:rsidRPr="00653BF4">
        <w:rPr>
          <w:lang w:val="fr-FR"/>
        </w:rPr>
        <w:t xml:space="preserve">appui de la </w:t>
      </w:r>
      <w:r w:rsidR="00E34DC9">
        <w:rPr>
          <w:lang w:val="fr-FR"/>
        </w:rPr>
        <w:t>cible 1</w:t>
      </w:r>
      <w:r w:rsidRPr="00653BF4">
        <w:rPr>
          <w:lang w:val="fr-FR"/>
        </w:rPr>
        <w:t>9</w:t>
      </w:r>
      <w:bookmarkEnd w:id="379"/>
      <w:r w:rsidRPr="00653BF4">
        <w:rPr>
          <w:lang w:val="fr-FR"/>
        </w:rPr>
        <w:t xml:space="preserve"> du Cadre</w:t>
      </w:r>
    </w:p>
    <w:p w14:paraId="2244BE75" w14:textId="77777777" w:rsidR="00B87039" w:rsidRPr="00653BF4" w:rsidRDefault="00B87039" w:rsidP="00B87039">
      <w:pPr>
        <w:rPr>
          <w:lang w:val="fr-FR"/>
        </w:rPr>
      </w:pPr>
    </w:p>
    <w:p w14:paraId="424B65A5" w14:textId="7BB9510D" w:rsidR="00B87039" w:rsidRPr="00653BF4" w:rsidRDefault="00B87039" w:rsidP="00B87039">
      <w:pPr>
        <w:rPr>
          <w:lang w:val="fr-FR"/>
        </w:rPr>
      </w:pPr>
      <w:r w:rsidRPr="00653BF4">
        <w:rPr>
          <w:lang w:val="fr-FR"/>
        </w:rPr>
        <w:t>L</w:t>
      </w:r>
      <w:r w:rsidR="00D77549">
        <w:rPr>
          <w:lang w:val="fr-FR"/>
        </w:rPr>
        <w:t>’</w:t>
      </w:r>
      <w:r w:rsidRPr="00653BF4">
        <w:rPr>
          <w:lang w:val="fr-FR"/>
        </w:rPr>
        <w:t xml:space="preserve">approche dominante rapportée par les Parties pour la mise en œuvre de la </w:t>
      </w:r>
      <w:r w:rsidR="00E34DC9">
        <w:rPr>
          <w:lang w:val="fr-FR"/>
        </w:rPr>
        <w:t>cible 1</w:t>
      </w:r>
      <w:r w:rsidRPr="00653BF4">
        <w:rPr>
          <w:lang w:val="fr-FR"/>
        </w:rPr>
        <w:t>9 consiste en des travaux de planification et de diagnostic en matière de financement de la biodiversité, la méthodologie BIOFIN constituant le cadre le plus largement adopté. La majorité des Parties ont soit lancé, soit mis en œuvre un plan national de financement de la biodiversité, un examen des dépenses consacrées à la biodiversité ou une évaluation des besoins financiers. Au-delà de la planification, les mesures concrètes les plus fréquemment citées sont la mobilisation de financements publics internationaux, par exemple par le biais du FEM, du Fonds vert pour le climat, de l’aide publique au développement ou des échanges dette-nature</w:t>
      </w:r>
      <w:r w:rsidR="00E34DC9">
        <w:rPr>
          <w:lang w:val="fr-FR"/>
        </w:rPr>
        <w:t> ;</w:t>
      </w:r>
      <w:r w:rsidRPr="00653BF4">
        <w:rPr>
          <w:lang w:val="fr-FR"/>
        </w:rPr>
        <w:t xml:space="preserve"> l’élaboration de taxonomies vertes et de cadres de finance durable</w:t>
      </w:r>
      <w:r w:rsidR="00E34DC9">
        <w:rPr>
          <w:lang w:val="fr-FR"/>
        </w:rPr>
        <w:t> ;</w:t>
      </w:r>
      <w:r w:rsidRPr="00653BF4">
        <w:rPr>
          <w:lang w:val="fr-FR"/>
        </w:rPr>
        <w:t xml:space="preserve"> l’émission d’obligations vertes ou liées au développement durable</w:t>
      </w:r>
      <w:r w:rsidR="00E34DC9">
        <w:rPr>
          <w:lang w:val="fr-FR"/>
        </w:rPr>
        <w:t> ;</w:t>
      </w:r>
      <w:r w:rsidRPr="00653BF4">
        <w:rPr>
          <w:lang w:val="fr-FR"/>
        </w:rPr>
        <w:t xml:space="preserve"> et la réforme des mécanismes fiscaux nationaux (voir les encadrés 45 et 46). La mobilisation de fonds privés, la réforme des subventions et l</w:t>
      </w:r>
      <w:r w:rsidR="00D77549">
        <w:rPr>
          <w:lang w:val="fr-FR"/>
        </w:rPr>
        <w:t>’</w:t>
      </w:r>
      <w:r w:rsidRPr="00653BF4">
        <w:rPr>
          <w:lang w:val="fr-FR"/>
        </w:rPr>
        <w:t>accès au financement pour les peuples autochtones et communautés locales font moins souvent l</w:t>
      </w:r>
      <w:r w:rsidR="00D77549">
        <w:rPr>
          <w:lang w:val="fr-FR"/>
        </w:rPr>
        <w:t>’</w:t>
      </w:r>
      <w:r w:rsidRPr="00653BF4">
        <w:rPr>
          <w:lang w:val="fr-FR"/>
        </w:rPr>
        <w:t>objet de rapports et en restent souvent au stade de mesures de facilitation ou d</w:t>
      </w:r>
      <w:r w:rsidR="00D77549">
        <w:rPr>
          <w:lang w:val="fr-FR"/>
        </w:rPr>
        <w:t>’</w:t>
      </w:r>
      <w:r w:rsidRPr="00653BF4">
        <w:rPr>
          <w:lang w:val="fr-FR"/>
        </w:rPr>
        <w:t>aspiration.</w:t>
      </w:r>
    </w:p>
    <w:p w14:paraId="61874E4B" w14:textId="77777777" w:rsidR="00B87039" w:rsidRPr="00653BF4" w:rsidRDefault="00B87039" w:rsidP="00B87039">
      <w:pPr>
        <w:rPr>
          <w:lang w:val="fr-FR"/>
        </w:rPr>
      </w:pPr>
    </w:p>
    <w:p w14:paraId="1ED38DE8" w14:textId="2B28F476" w:rsidR="00B87039" w:rsidRPr="00653BF4" w:rsidRDefault="00B87039" w:rsidP="00B87039">
      <w:pPr>
        <w:pStyle w:val="Heading6"/>
        <w:rPr>
          <w:lang w:val="fr-FR"/>
        </w:rPr>
      </w:pPr>
      <w:bookmarkStart w:id="380" w:name="_Toc235821287"/>
      <w:r w:rsidRPr="00653BF4">
        <w:rPr>
          <w:lang w:val="fr-FR"/>
        </w:rPr>
        <w:t>Exemples de réussites et de progrès réalisés dans la mise en œuvre</w:t>
      </w:r>
      <w:bookmarkEnd w:id="380"/>
    </w:p>
    <w:p w14:paraId="34F7BE05" w14:textId="77777777" w:rsidR="00B87039" w:rsidRPr="00653BF4" w:rsidRDefault="00B87039" w:rsidP="00B87039">
      <w:pPr>
        <w:rPr>
          <w:lang w:val="fr-FR"/>
        </w:rPr>
      </w:pPr>
    </w:p>
    <w:p w14:paraId="1F419D43" w14:textId="77777777" w:rsidR="00B87039" w:rsidRPr="00653BF4" w:rsidRDefault="00B87039" w:rsidP="00B87039">
      <w:pPr>
        <w:rPr>
          <w:lang w:val="fr-FR" w:eastAsia="ja-JP"/>
        </w:rPr>
      </w:pPr>
    </w:p>
    <w:tbl>
      <w:tblPr>
        <w:tblStyle w:val="TableGrid"/>
        <w:tblW w:w="0" w:type="auto"/>
        <w:tblLook w:val="04A0" w:firstRow="1" w:lastRow="0" w:firstColumn="1" w:lastColumn="0" w:noHBand="0" w:noVBand="1"/>
      </w:tblPr>
      <w:tblGrid>
        <w:gridCol w:w="9016"/>
      </w:tblGrid>
      <w:tr w:rsidR="00B87039" w:rsidRPr="00543148" w14:paraId="63628161" w14:textId="77777777" w:rsidTr="00557FB3">
        <w:tc>
          <w:tcPr>
            <w:tcW w:w="9016" w:type="dxa"/>
            <w:shd w:val="clear" w:color="auto" w:fill="D1D1D1" w:themeFill="background2" w:themeFillShade="E6"/>
          </w:tcPr>
          <w:p w14:paraId="333AC5D8" w14:textId="77777777" w:rsidR="00B87039" w:rsidRPr="00653BF4" w:rsidRDefault="00B87039" w:rsidP="00557FB3">
            <w:pPr>
              <w:rPr>
                <w:sz w:val="20"/>
                <w:szCs w:val="20"/>
                <w:lang w:val="fr-FR"/>
              </w:rPr>
            </w:pPr>
            <w:r w:rsidRPr="00653BF4">
              <w:rPr>
                <w:sz w:val="20"/>
                <w:szCs w:val="20"/>
                <w:lang w:val="fr-FR"/>
              </w:rPr>
              <w:t>Encadré 45</w:t>
            </w:r>
          </w:p>
          <w:p w14:paraId="70C4B347" w14:textId="52E80A7A" w:rsidR="00B87039" w:rsidRPr="00653BF4" w:rsidRDefault="00B87039" w:rsidP="00557FB3">
            <w:pPr>
              <w:rPr>
                <w:b/>
                <w:bCs/>
                <w:sz w:val="20"/>
                <w:szCs w:val="20"/>
                <w:lang w:val="fr-FR"/>
              </w:rPr>
            </w:pPr>
            <w:r w:rsidRPr="00653BF4">
              <w:rPr>
                <w:b/>
                <w:bCs/>
                <w:sz w:val="20"/>
                <w:szCs w:val="20"/>
                <w:lang w:val="fr-FR"/>
              </w:rPr>
              <w:t>Premières obligations souveraines au monde liées à la durabilité, assorties d</w:t>
            </w:r>
            <w:r w:rsidR="00D77549">
              <w:rPr>
                <w:b/>
                <w:bCs/>
                <w:sz w:val="20"/>
                <w:szCs w:val="20"/>
                <w:lang w:val="fr-FR"/>
              </w:rPr>
              <w:t>’</w:t>
            </w:r>
            <w:r w:rsidRPr="00653BF4">
              <w:rPr>
                <w:b/>
                <w:bCs/>
                <w:sz w:val="20"/>
                <w:szCs w:val="20"/>
                <w:lang w:val="fr-FR"/>
              </w:rPr>
              <w:t>indicateurs clés de performance en matière de biodiversité, au Chili</w:t>
            </w:r>
          </w:p>
          <w:p w14:paraId="451E9365" w14:textId="77777777" w:rsidR="00B87039" w:rsidRPr="00653BF4" w:rsidRDefault="00B87039" w:rsidP="00557FB3">
            <w:pPr>
              <w:rPr>
                <w:rFonts w:eastAsia="Aptos" w:cs="Aptos"/>
                <w:color w:val="000000" w:themeColor="text1"/>
                <w:lang w:val="fr-FR"/>
              </w:rPr>
            </w:pPr>
          </w:p>
          <w:p w14:paraId="4109530C" w14:textId="0A36AF3A" w:rsidR="00B87039" w:rsidRPr="00653BF4" w:rsidRDefault="00B87039" w:rsidP="00557FB3">
            <w:pPr>
              <w:spacing w:after="160" w:line="278" w:lineRule="auto"/>
              <w:rPr>
                <w:sz w:val="20"/>
                <w:szCs w:val="20"/>
                <w:lang w:val="fr-FR"/>
              </w:rPr>
            </w:pPr>
            <w:r w:rsidRPr="00653BF4">
              <w:rPr>
                <w:sz w:val="20"/>
                <w:szCs w:val="20"/>
                <w:lang w:val="fr-FR"/>
              </w:rPr>
              <w:t>En 2022, le Chili a émis les premières obligations souveraines au monde liées à la durabilité, intégrant deux indicateurs clés de performance (la réduction des émissions de gaz à effet de serre et le développement de la production d’énergies renouvelables non conventionnelles, notamment l’éolien, les petites centrales hydroélectriques au fil de l’eau, la biomasse, le biogaz, la géothermie, l’énergie solaire et l’énergie marine, ainsi que l’hydrogène vert). En 2023, ce cadre a été élargi pour inclure un indicateur clé de performance lié à l</w:t>
            </w:r>
            <w:r w:rsidR="00D77549">
              <w:rPr>
                <w:sz w:val="20"/>
                <w:szCs w:val="20"/>
                <w:lang w:val="fr-FR"/>
              </w:rPr>
              <w:t>’</w:t>
            </w:r>
            <w:r w:rsidRPr="00653BF4">
              <w:rPr>
                <w:sz w:val="20"/>
                <w:szCs w:val="20"/>
                <w:lang w:val="fr-FR"/>
              </w:rPr>
              <w:t>égalité des sexes (augmentation de la représentation des femmes au sein des conseils d</w:t>
            </w:r>
            <w:r w:rsidR="00D77549">
              <w:rPr>
                <w:sz w:val="20"/>
                <w:szCs w:val="20"/>
                <w:lang w:val="fr-FR"/>
              </w:rPr>
              <w:t>’</w:t>
            </w:r>
            <w:r w:rsidRPr="00653BF4">
              <w:rPr>
                <w:sz w:val="20"/>
                <w:szCs w:val="20"/>
                <w:lang w:val="fr-FR"/>
              </w:rPr>
              <w:t>administration des entreprises).</w:t>
            </w:r>
          </w:p>
          <w:p w14:paraId="1DC3C688" w14:textId="5AF5AEE0" w:rsidR="00B87039" w:rsidRPr="00653BF4" w:rsidRDefault="00B87039" w:rsidP="00557FB3">
            <w:pPr>
              <w:spacing w:after="160" w:line="278" w:lineRule="auto"/>
              <w:rPr>
                <w:sz w:val="20"/>
                <w:szCs w:val="20"/>
                <w:lang w:val="fr-FR"/>
              </w:rPr>
            </w:pPr>
            <w:r w:rsidRPr="00653BF4">
              <w:rPr>
                <w:sz w:val="20"/>
                <w:szCs w:val="20"/>
                <w:lang w:val="fr-FR"/>
              </w:rPr>
              <w:t>En 2025, une version actualisée du cadre relatif aux obligations liées à la durabilité a intégré un nouvel indicateur-clé de performance lié à la biodiversité, comportant deux composants principaux</w:t>
            </w:r>
            <w:r w:rsidR="00E34DC9">
              <w:rPr>
                <w:sz w:val="20"/>
                <w:szCs w:val="20"/>
                <w:lang w:val="fr-FR"/>
              </w:rPr>
              <w:t> :</w:t>
            </w:r>
            <w:r w:rsidRPr="00653BF4">
              <w:rPr>
                <w:sz w:val="20"/>
                <w:szCs w:val="20"/>
                <w:lang w:val="fr-FR"/>
              </w:rPr>
              <w:t xml:space="preserve"> l</w:t>
            </w:r>
            <w:r w:rsidR="00D77549">
              <w:rPr>
                <w:sz w:val="20"/>
                <w:szCs w:val="20"/>
                <w:lang w:val="fr-FR"/>
              </w:rPr>
              <w:t>’</w:t>
            </w:r>
            <w:r w:rsidRPr="00653BF4">
              <w:rPr>
                <w:sz w:val="20"/>
                <w:szCs w:val="20"/>
                <w:lang w:val="fr-FR"/>
              </w:rPr>
              <w:t>augmentation du pourcentage d</w:t>
            </w:r>
            <w:r w:rsidR="00D77549">
              <w:rPr>
                <w:sz w:val="20"/>
                <w:szCs w:val="20"/>
                <w:lang w:val="fr-FR"/>
              </w:rPr>
              <w:t>’</w:t>
            </w:r>
            <w:r w:rsidRPr="00653BF4">
              <w:rPr>
                <w:sz w:val="20"/>
                <w:szCs w:val="20"/>
                <w:lang w:val="fr-FR"/>
              </w:rPr>
              <w:t>aires protégées et/ou d</w:t>
            </w:r>
            <w:r w:rsidR="00D77549">
              <w:rPr>
                <w:sz w:val="20"/>
                <w:szCs w:val="20"/>
                <w:lang w:val="fr-FR"/>
              </w:rPr>
              <w:t>’</w:t>
            </w:r>
            <w:r w:rsidRPr="00653BF4">
              <w:rPr>
                <w:sz w:val="20"/>
                <w:szCs w:val="20"/>
                <w:lang w:val="fr-FR"/>
              </w:rPr>
              <w:t>AMCEZ dans les écosystèmes terrestres (y compris les eaux intérieures)</w:t>
            </w:r>
            <w:r w:rsidR="00E34DC9">
              <w:rPr>
                <w:sz w:val="20"/>
                <w:szCs w:val="20"/>
                <w:lang w:val="fr-FR"/>
              </w:rPr>
              <w:t> ;</w:t>
            </w:r>
            <w:r w:rsidRPr="00653BF4">
              <w:rPr>
                <w:sz w:val="20"/>
                <w:szCs w:val="20"/>
                <w:lang w:val="fr-FR"/>
              </w:rPr>
              <w:t xml:space="preserve"> et l</w:t>
            </w:r>
            <w:r w:rsidR="00D77549">
              <w:rPr>
                <w:sz w:val="20"/>
                <w:szCs w:val="20"/>
                <w:lang w:val="fr-FR"/>
              </w:rPr>
              <w:t>’</w:t>
            </w:r>
            <w:r w:rsidRPr="00653BF4">
              <w:rPr>
                <w:sz w:val="20"/>
                <w:szCs w:val="20"/>
                <w:lang w:val="fr-FR"/>
              </w:rPr>
              <w:t>augmentation du pourcentage d</w:t>
            </w:r>
            <w:r w:rsidR="00D77549">
              <w:rPr>
                <w:sz w:val="20"/>
                <w:szCs w:val="20"/>
                <w:lang w:val="fr-FR"/>
              </w:rPr>
              <w:t>’</w:t>
            </w:r>
            <w:r w:rsidRPr="00653BF4">
              <w:rPr>
                <w:sz w:val="20"/>
                <w:szCs w:val="20"/>
                <w:lang w:val="fr-FR"/>
              </w:rPr>
              <w:t>écosystèmes terrestres nationaux (y compris les eaux intérieures) situés dans des aires protégées qui répondent à tous les critères-clés d</w:t>
            </w:r>
            <w:r w:rsidR="00D77549">
              <w:rPr>
                <w:sz w:val="20"/>
                <w:szCs w:val="20"/>
                <w:lang w:val="fr-FR"/>
              </w:rPr>
              <w:t>’</w:t>
            </w:r>
            <w:r w:rsidRPr="00653BF4">
              <w:rPr>
                <w:sz w:val="20"/>
                <w:szCs w:val="20"/>
                <w:lang w:val="fr-FR"/>
              </w:rPr>
              <w:t>efficacité en matière de gouvernance, de planification, de personnel et de suivi. Ce nouvel indicateur clé de performance vise à porter la superficie des aires protégées à 30</w:t>
            </w:r>
            <w:r w:rsidR="002878D7">
              <w:rPr>
                <w:sz w:val="20"/>
                <w:szCs w:val="20"/>
                <w:lang w:val="fr-FR"/>
              </w:rPr>
              <w:t> %</w:t>
            </w:r>
            <w:r w:rsidRPr="00653BF4">
              <w:rPr>
                <w:sz w:val="20"/>
                <w:szCs w:val="20"/>
                <w:lang w:val="fr-FR"/>
              </w:rPr>
              <w:t xml:space="preserve"> du territoire national d’ici à 2030 (contre 21</w:t>
            </w:r>
            <w:r w:rsidR="002878D7">
              <w:rPr>
                <w:sz w:val="20"/>
                <w:szCs w:val="20"/>
                <w:lang w:val="fr-FR"/>
              </w:rPr>
              <w:t> %</w:t>
            </w:r>
            <w:r w:rsidRPr="00653BF4">
              <w:rPr>
                <w:sz w:val="20"/>
                <w:szCs w:val="20"/>
                <w:lang w:val="fr-FR"/>
              </w:rPr>
              <w:t xml:space="preserve"> actuellement) et à garantir une gestion efficace d’au moins 10</w:t>
            </w:r>
            <w:r w:rsidR="002878D7">
              <w:rPr>
                <w:sz w:val="20"/>
                <w:szCs w:val="20"/>
                <w:lang w:val="fr-FR"/>
              </w:rPr>
              <w:t> %</w:t>
            </w:r>
            <w:r w:rsidRPr="00653BF4">
              <w:rPr>
                <w:sz w:val="20"/>
                <w:szCs w:val="20"/>
                <w:lang w:val="fr-FR"/>
              </w:rPr>
              <w:t xml:space="preserve"> du territoire national.</w:t>
            </w:r>
          </w:p>
          <w:p w14:paraId="7AA41AB5" w14:textId="77777777" w:rsidR="00B87039" w:rsidRPr="00653BF4" w:rsidRDefault="00B87039" w:rsidP="00557FB3">
            <w:pPr>
              <w:spacing w:after="160" w:line="278" w:lineRule="auto"/>
              <w:rPr>
                <w:sz w:val="20"/>
                <w:szCs w:val="20"/>
                <w:lang w:val="fr-FR"/>
              </w:rPr>
            </w:pPr>
            <w:r w:rsidRPr="00653BF4">
              <w:rPr>
                <w:sz w:val="20"/>
                <w:szCs w:val="20"/>
                <w:lang w:val="fr-FR"/>
              </w:rPr>
              <w:t xml:space="preserve">La mise en œuvre de cette initiative bénéficie du soutien du Service de la biodiversité et des aires protégées, récemment créé au Chili, du Ministère de l’environnement et de la Direction de la dette publique du Ministère des finances, ainsi que des investisseurs sur le marché international des obligations. </w:t>
            </w:r>
          </w:p>
          <w:p w14:paraId="04A180A7" w14:textId="384EC205" w:rsidR="00B87039" w:rsidRPr="00653BF4" w:rsidRDefault="00B87039" w:rsidP="00557FB3">
            <w:pPr>
              <w:spacing w:after="160" w:line="278" w:lineRule="auto"/>
              <w:rPr>
                <w:sz w:val="20"/>
                <w:szCs w:val="20"/>
                <w:lang w:val="fr-FR"/>
              </w:rPr>
            </w:pPr>
            <w:r w:rsidRPr="00653BF4">
              <w:rPr>
                <w:sz w:val="20"/>
                <w:szCs w:val="20"/>
                <w:lang w:val="fr-FR"/>
              </w:rPr>
              <w:t>Ce cadre prévoit des incitations financières destinées à aider le gouvernement chilien à atteindre ses objectifs, dans la mesure où il réduit les taux d</w:t>
            </w:r>
            <w:r w:rsidR="00D77549">
              <w:rPr>
                <w:sz w:val="20"/>
                <w:szCs w:val="20"/>
                <w:lang w:val="fr-FR"/>
              </w:rPr>
              <w:t>’</w:t>
            </w:r>
            <w:r w:rsidRPr="00653BF4">
              <w:rPr>
                <w:sz w:val="20"/>
                <w:szCs w:val="20"/>
                <w:lang w:val="fr-FR"/>
              </w:rPr>
              <w:t>intérêt dont le pays peut bénéficier dès lors qu</w:t>
            </w:r>
            <w:r w:rsidR="00D77549">
              <w:rPr>
                <w:sz w:val="20"/>
                <w:szCs w:val="20"/>
                <w:lang w:val="fr-FR"/>
              </w:rPr>
              <w:t>’</w:t>
            </w:r>
            <w:r w:rsidRPr="00653BF4">
              <w:rPr>
                <w:sz w:val="20"/>
                <w:szCs w:val="20"/>
                <w:lang w:val="fr-FR"/>
              </w:rPr>
              <w:t>il atteint la cible fixée par les indicateurs clés de performance. À la fin de l</w:t>
            </w:r>
            <w:r w:rsidR="00D77549">
              <w:rPr>
                <w:sz w:val="20"/>
                <w:szCs w:val="20"/>
                <w:lang w:val="fr-FR"/>
              </w:rPr>
              <w:t>’</w:t>
            </w:r>
            <w:r w:rsidRPr="00653BF4">
              <w:rPr>
                <w:sz w:val="20"/>
                <w:szCs w:val="20"/>
                <w:lang w:val="fr-FR"/>
              </w:rPr>
              <w:t>année 2023, la valeur totale de ces obligations s</w:t>
            </w:r>
            <w:r w:rsidR="00D77549">
              <w:rPr>
                <w:sz w:val="20"/>
                <w:szCs w:val="20"/>
                <w:lang w:val="fr-FR"/>
              </w:rPr>
              <w:t>’</w:t>
            </w:r>
            <w:r w:rsidRPr="00653BF4">
              <w:rPr>
                <w:sz w:val="20"/>
                <w:szCs w:val="20"/>
                <w:lang w:val="fr-FR"/>
              </w:rPr>
              <w:t>élevait à plus de 8 milliards de dollars des États-Unis. Selon le gouvernement chilien, il s</w:t>
            </w:r>
            <w:r w:rsidR="00D77549">
              <w:rPr>
                <w:sz w:val="20"/>
                <w:szCs w:val="20"/>
                <w:lang w:val="fr-FR"/>
              </w:rPr>
              <w:t>’</w:t>
            </w:r>
            <w:r w:rsidRPr="00653BF4">
              <w:rPr>
                <w:sz w:val="20"/>
                <w:szCs w:val="20"/>
                <w:lang w:val="fr-FR"/>
              </w:rPr>
              <w:t>agit de la première obligation souveraine internationale structurée autour d</w:t>
            </w:r>
            <w:r w:rsidR="00D77549">
              <w:rPr>
                <w:sz w:val="20"/>
                <w:szCs w:val="20"/>
                <w:lang w:val="fr-FR"/>
              </w:rPr>
              <w:t>’</w:t>
            </w:r>
            <w:r w:rsidRPr="00653BF4">
              <w:rPr>
                <w:sz w:val="20"/>
                <w:szCs w:val="20"/>
                <w:lang w:val="fr-FR"/>
              </w:rPr>
              <w:t>objectifs spécifiques visant à protéger et à gérer efficacement la biodiversité.</w:t>
            </w:r>
          </w:p>
          <w:p w14:paraId="42D1338D" w14:textId="7CC81138" w:rsidR="00B87039" w:rsidRPr="00653BF4" w:rsidRDefault="00B87039" w:rsidP="00557FB3">
            <w:pPr>
              <w:rPr>
                <w:rFonts w:eastAsia="Aptos" w:cs="Aptos"/>
                <w:color w:val="000000" w:themeColor="text1"/>
                <w:sz w:val="20"/>
                <w:szCs w:val="20"/>
                <w:lang w:val="fr-FR"/>
              </w:rPr>
            </w:pPr>
            <w:r w:rsidRPr="00653BF4">
              <w:rPr>
                <w:rFonts w:eastAsia="Aptos" w:cs="Aptos"/>
                <w:i/>
                <w:iCs/>
                <w:color w:val="000000" w:themeColor="text1"/>
                <w:sz w:val="20"/>
                <w:szCs w:val="20"/>
                <w:lang w:val="fr-FR"/>
              </w:rPr>
              <w:t>Cibles concernées</w:t>
            </w:r>
            <w:r w:rsidR="00E34DC9">
              <w:rPr>
                <w:rFonts w:eastAsia="Aptos" w:cs="Aptos"/>
                <w:i/>
                <w:iCs/>
                <w:color w:val="000000" w:themeColor="text1"/>
                <w:sz w:val="20"/>
                <w:szCs w:val="20"/>
                <w:lang w:val="fr-FR"/>
              </w:rPr>
              <w:t> :</w:t>
            </w:r>
            <w:r w:rsidRPr="00653BF4">
              <w:rPr>
                <w:rFonts w:eastAsia="Aptos" w:cs="Aptos"/>
                <w:i/>
                <w:iCs/>
                <w:color w:val="000000" w:themeColor="text1"/>
                <w:sz w:val="20"/>
                <w:szCs w:val="20"/>
                <w:lang w:val="fr-FR"/>
              </w:rPr>
              <w:t xml:space="preserve"> </w:t>
            </w:r>
            <w:r w:rsidRPr="00653BF4">
              <w:rPr>
                <w:rFonts w:eastAsia="Aptos" w:cs="Aptos"/>
                <w:color w:val="000000" w:themeColor="text1"/>
                <w:sz w:val="20"/>
                <w:szCs w:val="20"/>
                <w:lang w:val="fr-FR"/>
              </w:rPr>
              <w:t>1, 3, 8, 11, 14, 15, 18, 19, 22 et 23.</w:t>
            </w:r>
          </w:p>
          <w:p w14:paraId="6EB37A7E" w14:textId="77777777" w:rsidR="00B87039" w:rsidRPr="00653BF4" w:rsidRDefault="00B87039" w:rsidP="00557FB3">
            <w:pPr>
              <w:rPr>
                <w:rFonts w:eastAsia="Aptos" w:cs="Aptos"/>
                <w:i/>
                <w:iCs/>
                <w:color w:val="000000" w:themeColor="text1"/>
                <w:lang w:val="fr-FR"/>
              </w:rPr>
            </w:pPr>
          </w:p>
          <w:p w14:paraId="766F1E8B" w14:textId="72A5BA6E" w:rsidR="00B87039" w:rsidRPr="00653BF4" w:rsidRDefault="00B87039" w:rsidP="00557FB3">
            <w:pPr>
              <w:rPr>
                <w:rFonts w:eastAsia="Aptos" w:cs="Aptos"/>
                <w:color w:val="000000" w:themeColor="text1"/>
                <w:sz w:val="20"/>
                <w:szCs w:val="20"/>
                <w:lang w:val="fr-FR"/>
              </w:rPr>
            </w:pPr>
            <w:r w:rsidRPr="00653BF4">
              <w:rPr>
                <w:rFonts w:eastAsia="Aptos" w:cs="Aptos"/>
                <w:color w:val="000000" w:themeColor="text1"/>
                <w:sz w:val="20"/>
                <w:szCs w:val="20"/>
                <w:lang w:val="fr-FR"/>
              </w:rPr>
              <w:t>Sources</w:t>
            </w:r>
            <w:r w:rsidR="00E34DC9">
              <w:rPr>
                <w:rFonts w:eastAsia="Aptos" w:cs="Aptos"/>
                <w:color w:val="000000" w:themeColor="text1"/>
                <w:sz w:val="20"/>
                <w:szCs w:val="20"/>
                <w:lang w:val="fr-FR"/>
              </w:rPr>
              <w:t> :</w:t>
            </w:r>
            <w:r w:rsidRPr="00653BF4">
              <w:rPr>
                <w:rFonts w:eastAsia="Aptos" w:cs="Aptos"/>
                <w:color w:val="000000" w:themeColor="text1"/>
                <w:sz w:val="20"/>
                <w:szCs w:val="20"/>
                <w:lang w:val="fr-FR"/>
              </w:rPr>
              <w:t xml:space="preserve"> Chili, septième rapport national présenté au titre de la Convention</w:t>
            </w:r>
            <w:r w:rsidR="00E34DC9">
              <w:rPr>
                <w:rFonts w:eastAsia="Aptos" w:cs="Aptos"/>
                <w:color w:val="000000" w:themeColor="text1"/>
                <w:sz w:val="20"/>
                <w:szCs w:val="20"/>
                <w:lang w:val="fr-FR"/>
              </w:rPr>
              <w:t> ;</w:t>
            </w:r>
            <w:r w:rsidRPr="00653BF4">
              <w:rPr>
                <w:rFonts w:eastAsia="Aptos" w:cs="Aptos"/>
                <w:color w:val="000000" w:themeColor="text1"/>
                <w:sz w:val="20"/>
                <w:szCs w:val="20"/>
                <w:lang w:val="fr-FR"/>
              </w:rPr>
              <w:t xml:space="preserve"> Ministère des finances, Gouvernement du Chili, 2025.</w:t>
            </w:r>
          </w:p>
          <w:p w14:paraId="1FF3B48E" w14:textId="77777777" w:rsidR="00B87039" w:rsidRPr="00653BF4" w:rsidRDefault="00B87039" w:rsidP="00557FB3">
            <w:pPr>
              <w:rPr>
                <w:sz w:val="20"/>
                <w:szCs w:val="20"/>
                <w:lang w:val="fr-FR"/>
              </w:rPr>
            </w:pPr>
          </w:p>
        </w:tc>
      </w:tr>
    </w:tbl>
    <w:p w14:paraId="550A3F41" w14:textId="77777777" w:rsidR="00B87039" w:rsidRPr="00653BF4" w:rsidRDefault="00B87039" w:rsidP="00B87039">
      <w:pPr>
        <w:pStyle w:val="Heading6"/>
        <w:rPr>
          <w:lang w:val="fr-FR"/>
        </w:rPr>
      </w:pPr>
    </w:p>
    <w:p w14:paraId="0529725D"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108"/>
      </w:tblGrid>
      <w:tr w:rsidR="00B87039" w:rsidRPr="00543148" w14:paraId="1A1417F7" w14:textId="77777777" w:rsidTr="00557FB3">
        <w:trPr>
          <w:trHeight w:val="280"/>
        </w:trPr>
        <w:tc>
          <w:tcPr>
            <w:tcW w:w="9108" w:type="dxa"/>
            <w:shd w:val="clear" w:color="auto" w:fill="D1D1D1" w:themeFill="background2" w:themeFillShade="E6"/>
          </w:tcPr>
          <w:p w14:paraId="221513C8" w14:textId="77777777" w:rsidR="00B87039" w:rsidRPr="00653BF4" w:rsidRDefault="00B87039" w:rsidP="00557FB3">
            <w:pPr>
              <w:rPr>
                <w:sz w:val="20"/>
                <w:szCs w:val="20"/>
                <w:lang w:val="fr-FR"/>
              </w:rPr>
            </w:pPr>
            <w:r w:rsidRPr="00653BF4">
              <w:rPr>
                <w:sz w:val="20"/>
                <w:szCs w:val="20"/>
                <w:lang w:val="fr-FR"/>
              </w:rPr>
              <w:t>Encadré 46</w:t>
            </w:r>
          </w:p>
          <w:p w14:paraId="1DA4A9C3" w14:textId="0A3C43F8" w:rsidR="00B87039" w:rsidRPr="00653BF4" w:rsidRDefault="00B87039" w:rsidP="00557FB3">
            <w:pPr>
              <w:spacing w:after="160" w:line="278" w:lineRule="auto"/>
              <w:rPr>
                <w:b/>
                <w:bCs/>
                <w:sz w:val="20"/>
                <w:szCs w:val="20"/>
                <w:lang w:val="fr-FR"/>
              </w:rPr>
            </w:pPr>
            <w:r w:rsidRPr="00653BF4">
              <w:rPr>
                <w:b/>
                <w:bCs/>
                <w:sz w:val="20"/>
                <w:szCs w:val="20"/>
                <w:lang w:val="fr-FR"/>
              </w:rPr>
              <w:t>Innovation en matière de financement de la biodiversité dans une situation de fragilité de l</w:t>
            </w:r>
            <w:r w:rsidR="00D77549">
              <w:rPr>
                <w:b/>
                <w:bCs/>
                <w:sz w:val="20"/>
                <w:szCs w:val="20"/>
                <w:lang w:val="fr-FR"/>
              </w:rPr>
              <w:t>’</w:t>
            </w:r>
            <w:r w:rsidRPr="00653BF4">
              <w:rPr>
                <w:b/>
                <w:bCs/>
                <w:sz w:val="20"/>
                <w:szCs w:val="20"/>
                <w:lang w:val="fr-FR"/>
              </w:rPr>
              <w:t>État, grâce à la synergie entre climat et biodiversité et aux systèmes traditionnels au Yémen</w:t>
            </w:r>
          </w:p>
          <w:p w14:paraId="511169F7" w14:textId="77777777" w:rsidR="00B87039" w:rsidRPr="00653BF4" w:rsidRDefault="00B87039" w:rsidP="00557FB3">
            <w:pPr>
              <w:rPr>
                <w:lang w:val="fr-FR"/>
              </w:rPr>
            </w:pPr>
          </w:p>
          <w:p w14:paraId="241B178D" w14:textId="6CBFD00E" w:rsidR="00B87039" w:rsidRPr="00653BF4" w:rsidRDefault="00B87039" w:rsidP="00557FB3">
            <w:pPr>
              <w:spacing w:after="160" w:line="278" w:lineRule="auto"/>
              <w:rPr>
                <w:sz w:val="20"/>
                <w:szCs w:val="20"/>
                <w:lang w:val="fr-FR"/>
              </w:rPr>
            </w:pPr>
            <w:r w:rsidRPr="00653BF4">
              <w:rPr>
                <w:sz w:val="20"/>
                <w:szCs w:val="20"/>
                <w:lang w:val="fr-FR"/>
              </w:rPr>
              <w:t>Le Yémen mobilise des ressources financières provenant de toutes les sources de financement, dans le but de réduire le déficit de financement de la biodiversité de 20</w:t>
            </w:r>
            <w:r w:rsidR="002878D7">
              <w:rPr>
                <w:sz w:val="20"/>
                <w:szCs w:val="20"/>
                <w:lang w:val="fr-FR"/>
              </w:rPr>
              <w:t> %</w:t>
            </w:r>
            <w:r w:rsidRPr="00653BF4">
              <w:rPr>
                <w:sz w:val="20"/>
                <w:szCs w:val="20"/>
                <w:lang w:val="fr-FR"/>
              </w:rPr>
              <w:t xml:space="preserve"> d’ici à 2030 et de 80</w:t>
            </w:r>
            <w:r w:rsidR="002878D7">
              <w:rPr>
                <w:sz w:val="20"/>
                <w:szCs w:val="20"/>
                <w:lang w:val="fr-FR"/>
              </w:rPr>
              <w:t> %</w:t>
            </w:r>
            <w:r w:rsidRPr="00653BF4">
              <w:rPr>
                <w:sz w:val="20"/>
                <w:szCs w:val="20"/>
                <w:lang w:val="fr-FR"/>
              </w:rPr>
              <w:t xml:space="preserve"> d’ici à 2050. En raison de divers défis, notamment la priorité accordée aux besoins humanitaires et sécuritaires, les dépenses publiques nationales consacrées à la biodiversité restent minimes. Par ailleurs, les </w:t>
            </w:r>
            <w:r w:rsidRPr="00653BF4">
              <w:rPr>
                <w:sz w:val="20"/>
                <w:szCs w:val="20"/>
                <w:lang w:val="fr-FR"/>
              </w:rPr>
              <w:lastRenderedPageBreak/>
              <w:t>investissements officiels du secteur privé en faveur de la biodiversité sont actuellement très limités. Par conséquent, afin de mobiliser des ressources, une combinaison de différentes approches est actuellement mise en œuvre.</w:t>
            </w:r>
          </w:p>
          <w:p w14:paraId="3E634880" w14:textId="576F675D" w:rsidR="00B87039" w:rsidRPr="00653BF4" w:rsidRDefault="00B87039" w:rsidP="00557FB3">
            <w:pPr>
              <w:spacing w:after="160" w:line="278" w:lineRule="auto"/>
              <w:rPr>
                <w:sz w:val="20"/>
                <w:szCs w:val="20"/>
                <w:lang w:val="fr-FR"/>
              </w:rPr>
            </w:pPr>
            <w:r w:rsidRPr="00653BF4">
              <w:rPr>
                <w:sz w:val="20"/>
                <w:szCs w:val="20"/>
                <w:lang w:val="fr-FR"/>
              </w:rPr>
              <w:t>Par exemple, le pays tire parti d</w:t>
            </w:r>
            <w:r w:rsidR="00D77549">
              <w:rPr>
                <w:sz w:val="20"/>
                <w:szCs w:val="20"/>
                <w:lang w:val="fr-FR"/>
              </w:rPr>
              <w:t>’</w:t>
            </w:r>
            <w:r w:rsidRPr="00653BF4">
              <w:rPr>
                <w:sz w:val="20"/>
                <w:szCs w:val="20"/>
                <w:lang w:val="fr-FR"/>
              </w:rPr>
              <w:t>actifs non monétaires par le biais de systèmes traditionnels. En l</w:t>
            </w:r>
            <w:r w:rsidR="00D77549">
              <w:rPr>
                <w:sz w:val="20"/>
                <w:szCs w:val="20"/>
                <w:lang w:val="fr-FR"/>
              </w:rPr>
              <w:t>’</w:t>
            </w:r>
            <w:r w:rsidRPr="00653BF4">
              <w:rPr>
                <w:sz w:val="20"/>
                <w:szCs w:val="20"/>
                <w:lang w:val="fr-FR"/>
              </w:rPr>
              <w:t>absence de budget national, les tribus locales des montagnes de Haraz et d</w:t>
            </w:r>
            <w:r w:rsidR="00D77549">
              <w:rPr>
                <w:sz w:val="20"/>
                <w:szCs w:val="20"/>
                <w:lang w:val="fr-FR"/>
              </w:rPr>
              <w:t>’</w:t>
            </w:r>
            <w:r w:rsidRPr="00653BF4">
              <w:rPr>
                <w:sz w:val="20"/>
                <w:szCs w:val="20"/>
                <w:lang w:val="fr-FR"/>
              </w:rPr>
              <w:t xml:space="preserve">Ibb ont redonné vie au </w:t>
            </w:r>
            <w:r w:rsidR="00E34DC9">
              <w:rPr>
                <w:sz w:val="20"/>
                <w:szCs w:val="20"/>
                <w:lang w:val="fr-FR"/>
              </w:rPr>
              <w:t>« </w:t>
            </w:r>
            <w:r w:rsidRPr="00653BF4">
              <w:rPr>
                <w:sz w:val="20"/>
                <w:szCs w:val="20"/>
                <w:lang w:val="fr-FR"/>
              </w:rPr>
              <w:t>Hima</w:t>
            </w:r>
            <w:r w:rsidR="00E34DC9">
              <w:rPr>
                <w:sz w:val="20"/>
                <w:szCs w:val="20"/>
                <w:lang w:val="fr-FR"/>
              </w:rPr>
              <w:t> »</w:t>
            </w:r>
            <w:r w:rsidRPr="00653BF4">
              <w:rPr>
                <w:sz w:val="20"/>
                <w:szCs w:val="20"/>
                <w:lang w:val="fr-FR"/>
              </w:rPr>
              <w:t>, un système traditionnel de gestion communautaire des terres.</w:t>
            </w:r>
            <w:r w:rsidRPr="00653BF4">
              <w:rPr>
                <w:sz w:val="20"/>
                <w:szCs w:val="20"/>
                <w:vertAlign w:val="superscript"/>
                <w:lang w:val="fr-FR"/>
              </w:rPr>
              <w:t xml:space="preserve"> </w:t>
            </w:r>
            <w:r w:rsidRPr="00653BF4">
              <w:rPr>
                <w:sz w:val="20"/>
                <w:szCs w:val="20"/>
                <w:lang w:val="fr-FR"/>
              </w:rPr>
              <w:t>Pratiqué depuis plus de 1 400 ans dans la péninsule arabique, l</w:t>
            </w:r>
            <w:r w:rsidR="00D77549">
              <w:rPr>
                <w:sz w:val="20"/>
                <w:szCs w:val="20"/>
                <w:lang w:val="fr-FR"/>
              </w:rPr>
              <w:t>’</w:t>
            </w:r>
            <w:r w:rsidRPr="00653BF4">
              <w:rPr>
                <w:i/>
                <w:sz w:val="20"/>
                <w:szCs w:val="20"/>
                <w:lang w:val="fr-FR"/>
              </w:rPr>
              <w:t>Al-hima</w:t>
            </w:r>
            <w:r w:rsidRPr="00653BF4">
              <w:rPr>
                <w:sz w:val="20"/>
                <w:szCs w:val="20"/>
                <w:lang w:val="fr-FR"/>
              </w:rPr>
              <w:t xml:space="preserve"> (qui signifie </w:t>
            </w:r>
            <w:r w:rsidR="00E34DC9">
              <w:rPr>
                <w:sz w:val="20"/>
                <w:szCs w:val="20"/>
                <w:lang w:val="fr-FR"/>
              </w:rPr>
              <w:t>« </w:t>
            </w:r>
            <w:r w:rsidRPr="00653BF4">
              <w:rPr>
                <w:sz w:val="20"/>
                <w:szCs w:val="20"/>
                <w:lang w:val="fr-FR"/>
              </w:rPr>
              <w:t>lieu protégé</w:t>
            </w:r>
            <w:r w:rsidR="00E34DC9">
              <w:rPr>
                <w:sz w:val="20"/>
                <w:szCs w:val="20"/>
                <w:lang w:val="fr-FR"/>
              </w:rPr>
              <w:t> »</w:t>
            </w:r>
            <w:r w:rsidRPr="00653BF4">
              <w:rPr>
                <w:sz w:val="20"/>
                <w:szCs w:val="20"/>
                <w:lang w:val="fr-FR"/>
              </w:rPr>
              <w:t>) désigne une parcelle de terre, telle qu</w:t>
            </w:r>
            <w:r w:rsidR="00D77549">
              <w:rPr>
                <w:sz w:val="20"/>
                <w:szCs w:val="20"/>
                <w:lang w:val="fr-FR"/>
              </w:rPr>
              <w:t>’</w:t>
            </w:r>
            <w:r w:rsidRPr="00653BF4">
              <w:rPr>
                <w:sz w:val="20"/>
                <w:szCs w:val="20"/>
                <w:lang w:val="fr-FR"/>
              </w:rPr>
              <w:t>une forêt, un pâturage ou une réserve florale destinée à l</w:t>
            </w:r>
            <w:r w:rsidR="00D77549">
              <w:rPr>
                <w:sz w:val="20"/>
                <w:szCs w:val="20"/>
                <w:lang w:val="fr-FR"/>
              </w:rPr>
              <w:t>’</w:t>
            </w:r>
            <w:r w:rsidRPr="00653BF4">
              <w:rPr>
                <w:sz w:val="20"/>
                <w:szCs w:val="20"/>
                <w:lang w:val="fr-FR"/>
              </w:rPr>
              <w:t xml:space="preserve">apiculture, que la communauté met périodiquement en jachère afin de permettre sa régénération. Grâce à ce système, les communautés désignent une ou plusieurs zones </w:t>
            </w:r>
            <w:r w:rsidR="00E34DC9">
              <w:rPr>
                <w:sz w:val="20"/>
                <w:szCs w:val="20"/>
                <w:lang w:val="fr-FR"/>
              </w:rPr>
              <w:t>« </w:t>
            </w:r>
            <w:r w:rsidRPr="00653BF4">
              <w:rPr>
                <w:sz w:val="20"/>
                <w:szCs w:val="20"/>
                <w:lang w:val="fr-FR"/>
              </w:rPr>
              <w:t>Hima</w:t>
            </w:r>
            <w:r w:rsidR="00E34DC9">
              <w:rPr>
                <w:sz w:val="20"/>
                <w:szCs w:val="20"/>
                <w:lang w:val="fr-FR"/>
              </w:rPr>
              <w:t> »</w:t>
            </w:r>
            <w:r w:rsidRPr="00653BF4">
              <w:rPr>
                <w:sz w:val="20"/>
                <w:szCs w:val="20"/>
                <w:lang w:val="fr-FR"/>
              </w:rPr>
              <w:t xml:space="preserve"> spécifiques en vue de la restauration des forêts de montagne. Elles interdisent ensuite collectivement le pâturage et l</w:t>
            </w:r>
            <w:r w:rsidR="00D77549">
              <w:rPr>
                <w:sz w:val="20"/>
                <w:szCs w:val="20"/>
                <w:lang w:val="fr-FR"/>
              </w:rPr>
              <w:t>’</w:t>
            </w:r>
            <w:r w:rsidRPr="00653BF4">
              <w:rPr>
                <w:sz w:val="20"/>
                <w:szCs w:val="20"/>
                <w:lang w:val="fr-FR"/>
              </w:rPr>
              <w:t>abattage d</w:t>
            </w:r>
            <w:r w:rsidR="00D77549">
              <w:rPr>
                <w:sz w:val="20"/>
                <w:szCs w:val="20"/>
                <w:lang w:val="fr-FR"/>
              </w:rPr>
              <w:t>’</w:t>
            </w:r>
            <w:r w:rsidRPr="00653BF4">
              <w:rPr>
                <w:sz w:val="20"/>
                <w:szCs w:val="20"/>
                <w:lang w:val="fr-FR"/>
              </w:rPr>
              <w:t>arbres pendant trois à cinq ans afin de permettre à l</w:t>
            </w:r>
            <w:r w:rsidR="00D77549">
              <w:rPr>
                <w:sz w:val="20"/>
                <w:szCs w:val="20"/>
                <w:lang w:val="fr-FR"/>
              </w:rPr>
              <w:t>’</w:t>
            </w:r>
            <w:r w:rsidRPr="00653BF4">
              <w:rPr>
                <w:sz w:val="20"/>
                <w:szCs w:val="20"/>
                <w:lang w:val="fr-FR"/>
              </w:rPr>
              <w:t>écosystème de se régénérer. En 2025, ces zones gérées par les communautés ont enregistré une augmentation de 15</w:t>
            </w:r>
            <w:r w:rsidR="002878D7">
              <w:rPr>
                <w:sz w:val="20"/>
                <w:szCs w:val="20"/>
                <w:lang w:val="fr-FR"/>
              </w:rPr>
              <w:t> %</w:t>
            </w:r>
            <w:r w:rsidRPr="00653BF4">
              <w:rPr>
                <w:sz w:val="20"/>
                <w:szCs w:val="20"/>
                <w:lang w:val="fr-FR"/>
              </w:rPr>
              <w:t xml:space="preserve"> du couvert végétal indigène par rapport aux terres gérées par l</w:t>
            </w:r>
            <w:r w:rsidR="00D77549">
              <w:rPr>
                <w:sz w:val="20"/>
                <w:szCs w:val="20"/>
                <w:lang w:val="fr-FR"/>
              </w:rPr>
              <w:t>’</w:t>
            </w:r>
            <w:r w:rsidRPr="00653BF4">
              <w:rPr>
                <w:sz w:val="20"/>
                <w:szCs w:val="20"/>
                <w:lang w:val="fr-FR"/>
              </w:rPr>
              <w:t>État qui ne faisaient l</w:t>
            </w:r>
            <w:r w:rsidR="00D77549">
              <w:rPr>
                <w:sz w:val="20"/>
                <w:szCs w:val="20"/>
                <w:lang w:val="fr-FR"/>
              </w:rPr>
              <w:t>’</w:t>
            </w:r>
            <w:r w:rsidRPr="00653BF4">
              <w:rPr>
                <w:sz w:val="20"/>
                <w:szCs w:val="20"/>
                <w:lang w:val="fr-FR"/>
              </w:rPr>
              <w:t>objet d</w:t>
            </w:r>
            <w:r w:rsidR="00D77549">
              <w:rPr>
                <w:sz w:val="20"/>
                <w:szCs w:val="20"/>
                <w:lang w:val="fr-FR"/>
              </w:rPr>
              <w:t>’</w:t>
            </w:r>
            <w:r w:rsidRPr="00653BF4">
              <w:rPr>
                <w:sz w:val="20"/>
                <w:szCs w:val="20"/>
                <w:lang w:val="fr-FR"/>
              </w:rPr>
              <w:t>aucun suivi.</w:t>
            </w:r>
          </w:p>
          <w:p w14:paraId="01E12CE5" w14:textId="2C414F69" w:rsidR="00B87039" w:rsidRPr="00653BF4" w:rsidRDefault="00B87039" w:rsidP="00557FB3">
            <w:pPr>
              <w:spacing w:after="160" w:line="278" w:lineRule="auto"/>
              <w:rPr>
                <w:sz w:val="20"/>
                <w:szCs w:val="20"/>
                <w:lang w:val="fr-FR"/>
              </w:rPr>
            </w:pPr>
            <w:r w:rsidRPr="00653BF4">
              <w:rPr>
                <w:sz w:val="20"/>
                <w:szCs w:val="20"/>
                <w:lang w:val="fr-FR"/>
              </w:rPr>
              <w:t>Conformément à la méthodologie mondiale BIOFIN, le Yémen a identifié des solutions de financement spécifiques pour mobiliser des ressources. En 2025, le Yémen a réussi à intégrer des projets de restauration de la biodiversité (tels que la restauration des terrasses dans le delta du Tuban) dans le cadre des financements destinés à l</w:t>
            </w:r>
            <w:r w:rsidR="00D77549">
              <w:rPr>
                <w:sz w:val="20"/>
                <w:szCs w:val="20"/>
                <w:lang w:val="fr-FR"/>
              </w:rPr>
              <w:t>’</w:t>
            </w:r>
            <w:r w:rsidRPr="00653BF4">
              <w:rPr>
                <w:sz w:val="20"/>
                <w:szCs w:val="20"/>
                <w:lang w:val="fr-FR"/>
              </w:rPr>
              <w:t>adaptation aux changements climatiques octroyés par le Fonds vert pour le climat</w:t>
            </w:r>
            <w:r w:rsidRPr="00653BF4">
              <w:rPr>
                <w:sz w:val="20"/>
                <w:szCs w:val="20"/>
                <w:vertAlign w:val="superscript"/>
                <w:lang w:val="fr-FR"/>
              </w:rPr>
              <w:t>a</w:t>
            </w:r>
            <w:r w:rsidRPr="00653BF4">
              <w:rPr>
                <w:sz w:val="20"/>
                <w:szCs w:val="20"/>
                <w:lang w:val="fr-FR"/>
              </w:rPr>
              <w:t>). C</w:t>
            </w:r>
            <w:r w:rsidR="00D77549">
              <w:rPr>
                <w:sz w:val="20"/>
                <w:szCs w:val="20"/>
                <w:lang w:val="fr-FR"/>
              </w:rPr>
              <w:t>’</w:t>
            </w:r>
            <w:r w:rsidRPr="00653BF4">
              <w:rPr>
                <w:sz w:val="20"/>
                <w:szCs w:val="20"/>
                <w:lang w:val="fr-FR"/>
              </w:rPr>
              <w:t>est ainsi que 9,9 millions de dollars des États-Unis ont pu être mobilisés, un montant qui contribue à la cible de 20</w:t>
            </w:r>
            <w:r w:rsidR="002878D7">
              <w:rPr>
                <w:sz w:val="20"/>
                <w:szCs w:val="20"/>
                <w:lang w:val="fr-FR"/>
              </w:rPr>
              <w:t> %</w:t>
            </w:r>
            <w:r w:rsidRPr="00653BF4">
              <w:rPr>
                <w:sz w:val="20"/>
                <w:szCs w:val="20"/>
                <w:lang w:val="fr-FR"/>
              </w:rPr>
              <w:t xml:space="preserve"> visant à réduire le déficit de financement en matière de biodiversité.</w:t>
            </w:r>
          </w:p>
          <w:p w14:paraId="3684113A" w14:textId="77777777" w:rsidR="00B87039" w:rsidRPr="00653BF4" w:rsidRDefault="00B87039" w:rsidP="00557FB3">
            <w:pPr>
              <w:spacing w:after="160" w:line="278" w:lineRule="auto"/>
              <w:rPr>
                <w:lang w:val="fr-FR"/>
              </w:rPr>
            </w:pPr>
          </w:p>
          <w:p w14:paraId="0395B538" w14:textId="6437450B" w:rsidR="00B87039" w:rsidRPr="00653BF4" w:rsidRDefault="00B87039" w:rsidP="00557FB3">
            <w:pPr>
              <w:rPr>
                <w:rFonts w:eastAsia="Aptos" w:cs="Aptos"/>
                <w:color w:val="000000" w:themeColor="text1"/>
                <w:sz w:val="20"/>
                <w:szCs w:val="20"/>
                <w:lang w:val="fr-FR"/>
              </w:rPr>
            </w:pPr>
            <w:r w:rsidRPr="00653BF4">
              <w:rPr>
                <w:i/>
                <w:iCs/>
                <w:sz w:val="20"/>
                <w:szCs w:val="20"/>
                <w:lang w:val="fr-FR"/>
              </w:rPr>
              <w:t>Cibles concernées</w:t>
            </w:r>
            <w:r w:rsidR="00E34DC9">
              <w:rPr>
                <w:i/>
                <w:iCs/>
                <w:sz w:val="20"/>
                <w:szCs w:val="20"/>
                <w:lang w:val="fr-FR"/>
              </w:rPr>
              <w:t> :</w:t>
            </w:r>
            <w:r w:rsidRPr="00653BF4">
              <w:rPr>
                <w:i/>
                <w:iCs/>
                <w:sz w:val="20"/>
                <w:szCs w:val="20"/>
                <w:lang w:val="fr-FR"/>
              </w:rPr>
              <w:t xml:space="preserve"> </w:t>
            </w:r>
            <w:r w:rsidRPr="00653BF4">
              <w:rPr>
                <w:rFonts w:eastAsia="Aptos" w:cs="Aptos"/>
                <w:color w:val="000000" w:themeColor="text1"/>
                <w:sz w:val="20"/>
                <w:szCs w:val="20"/>
                <w:lang w:val="fr-FR"/>
              </w:rPr>
              <w:t>1, 2, 3, 5, 8, 9, 11, 19 et 22.</w:t>
            </w:r>
          </w:p>
          <w:p w14:paraId="2155D2FA" w14:textId="75C55F7D" w:rsidR="00B87039" w:rsidRPr="00653BF4" w:rsidRDefault="00B87039" w:rsidP="00557FB3">
            <w:pPr>
              <w:rPr>
                <w:rFonts w:eastAsia="Aptos" w:cs="Aptos"/>
                <w:color w:val="000000" w:themeColor="text1"/>
                <w:sz w:val="20"/>
                <w:szCs w:val="20"/>
                <w:lang w:val="fr-FR"/>
              </w:rPr>
            </w:pPr>
            <w:r w:rsidRPr="00653BF4">
              <w:rPr>
                <w:rFonts w:eastAsia="Aptos" w:cs="Aptos"/>
                <w:i/>
                <w:iCs/>
                <w:color w:val="000000" w:themeColor="text1"/>
                <w:sz w:val="20"/>
                <w:szCs w:val="20"/>
                <w:lang w:val="fr-FR"/>
              </w:rPr>
              <w:t>Sources</w:t>
            </w:r>
            <w:r w:rsidR="00E34DC9">
              <w:rPr>
                <w:rFonts w:eastAsia="Aptos" w:cs="Aptos"/>
                <w:i/>
                <w:iCs/>
                <w:color w:val="000000" w:themeColor="text1"/>
                <w:sz w:val="20"/>
                <w:szCs w:val="20"/>
                <w:lang w:val="fr-FR"/>
              </w:rPr>
              <w:t> :</w:t>
            </w:r>
            <w:r w:rsidRPr="00653BF4">
              <w:rPr>
                <w:rFonts w:eastAsia="Aptos" w:cs="Aptos"/>
                <w:i/>
                <w:iCs/>
                <w:color w:val="000000" w:themeColor="text1"/>
                <w:sz w:val="20"/>
                <w:szCs w:val="20"/>
                <w:lang w:val="fr-FR"/>
              </w:rPr>
              <w:t xml:space="preserve"> </w:t>
            </w:r>
            <w:r w:rsidRPr="00653BF4">
              <w:rPr>
                <w:rFonts w:eastAsia="Aptos" w:cs="Aptos"/>
                <w:color w:val="000000" w:themeColor="text1"/>
                <w:sz w:val="20"/>
                <w:szCs w:val="20"/>
                <w:lang w:val="fr-FR"/>
              </w:rPr>
              <w:t>Yémen, septième rapport national présenté au titre de la Convention</w:t>
            </w:r>
            <w:r w:rsidR="00E34DC9">
              <w:rPr>
                <w:rFonts w:eastAsia="Aptos" w:cs="Aptos"/>
                <w:color w:val="000000" w:themeColor="text1"/>
                <w:sz w:val="20"/>
                <w:szCs w:val="20"/>
                <w:lang w:val="fr-FR"/>
              </w:rPr>
              <w:t> ;</w:t>
            </w:r>
            <w:r w:rsidRPr="00653BF4">
              <w:rPr>
                <w:rFonts w:eastAsia="Aptos" w:cs="Aptos"/>
                <w:color w:val="000000" w:themeColor="text1"/>
                <w:sz w:val="20"/>
                <w:szCs w:val="20"/>
                <w:lang w:val="fr-FR"/>
              </w:rPr>
              <w:t xml:space="preserve"> et informations communiquées à l</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UNESCO par la Délégation permanente du Royaume d</w:t>
            </w:r>
            <w:r w:rsidR="00D77549">
              <w:rPr>
                <w:rFonts w:eastAsia="Aptos" w:cs="Aptos"/>
                <w:color w:val="000000" w:themeColor="text1"/>
                <w:sz w:val="20"/>
                <w:szCs w:val="20"/>
                <w:lang w:val="fr-FR"/>
              </w:rPr>
              <w:t>’</w:t>
            </w:r>
            <w:r w:rsidRPr="00653BF4">
              <w:rPr>
                <w:rFonts w:eastAsia="Aptos" w:cs="Aptos"/>
                <w:color w:val="000000" w:themeColor="text1"/>
                <w:sz w:val="20"/>
                <w:szCs w:val="20"/>
                <w:lang w:val="fr-FR"/>
              </w:rPr>
              <w:t>Arabie saoudite, 2023.</w:t>
            </w:r>
          </w:p>
          <w:p w14:paraId="748B8C0C" w14:textId="77777777" w:rsidR="00B87039" w:rsidRPr="00653BF4" w:rsidRDefault="00B87039" w:rsidP="00557FB3">
            <w:pPr>
              <w:rPr>
                <w:sz w:val="20"/>
                <w:szCs w:val="20"/>
                <w:lang w:val="fr-FR"/>
              </w:rPr>
            </w:pPr>
          </w:p>
          <w:p w14:paraId="28889049" w14:textId="77777777" w:rsidR="00B87039" w:rsidRPr="00653BF4" w:rsidRDefault="00B87039" w:rsidP="00557FB3">
            <w:pPr>
              <w:rPr>
                <w:sz w:val="18"/>
                <w:szCs w:val="18"/>
                <w:lang w:val="fr-FR"/>
              </w:rPr>
            </w:pPr>
            <w:r w:rsidRPr="00653BF4">
              <w:rPr>
                <w:sz w:val="20"/>
                <w:szCs w:val="20"/>
                <w:vertAlign w:val="superscript"/>
                <w:lang w:val="fr-FR"/>
              </w:rPr>
              <w:t xml:space="preserve">a </w:t>
            </w:r>
            <w:r w:rsidRPr="00653BF4">
              <w:rPr>
                <w:sz w:val="20"/>
                <w:szCs w:val="20"/>
                <w:lang w:val="fr-FR"/>
              </w:rPr>
              <w:t xml:space="preserve">Voir </w:t>
            </w:r>
            <w:hyperlink r:id="rId198" w:history="1">
              <w:r w:rsidRPr="00653BF4">
                <w:rPr>
                  <w:rStyle w:val="Hyperlink"/>
                  <w:sz w:val="18"/>
                  <w:szCs w:val="18"/>
                  <w:lang w:val="fr-FR"/>
                </w:rPr>
                <w:t>www.greenclimate.fund/countries/yemen.</w:t>
              </w:r>
            </w:hyperlink>
            <w:r w:rsidRPr="00653BF4">
              <w:rPr>
                <w:sz w:val="18"/>
                <w:szCs w:val="18"/>
                <w:lang w:val="fr-FR"/>
              </w:rPr>
              <w:t xml:space="preserve"> </w:t>
            </w:r>
          </w:p>
        </w:tc>
      </w:tr>
    </w:tbl>
    <w:p w14:paraId="0FE8113C" w14:textId="77777777" w:rsidR="00B87039" w:rsidRPr="00653BF4" w:rsidRDefault="00B87039" w:rsidP="00B87039">
      <w:pPr>
        <w:rPr>
          <w:lang w:val="fr-FR"/>
        </w:rPr>
      </w:pPr>
    </w:p>
    <w:p w14:paraId="54E9EE9B" w14:textId="77777777" w:rsidR="00B87039" w:rsidRPr="00653BF4" w:rsidRDefault="00B87039" w:rsidP="00B87039">
      <w:pPr>
        <w:pStyle w:val="Heading6"/>
        <w:rPr>
          <w:lang w:val="fr-FR"/>
        </w:rPr>
      </w:pPr>
      <w:bookmarkStart w:id="381" w:name="_Toc235821288"/>
      <w:r w:rsidRPr="00653BF4">
        <w:rPr>
          <w:lang w:val="fr-FR"/>
        </w:rPr>
        <w:t>Difficultés</w:t>
      </w:r>
      <w:bookmarkEnd w:id="381"/>
    </w:p>
    <w:p w14:paraId="2D7398E9" w14:textId="77777777" w:rsidR="00B87039" w:rsidRPr="00653BF4" w:rsidRDefault="00B87039" w:rsidP="00B87039">
      <w:pPr>
        <w:rPr>
          <w:rFonts w:eastAsia="Aptos" w:cs="Aptos"/>
          <w:lang w:val="fr-FR"/>
        </w:rPr>
      </w:pPr>
    </w:p>
    <w:p w14:paraId="46BDEC00" w14:textId="6FF81317" w:rsidR="00B87039" w:rsidRPr="00653BF4" w:rsidRDefault="00B87039" w:rsidP="00B87039">
      <w:pPr>
        <w:rPr>
          <w:lang w:val="fr-FR"/>
        </w:rPr>
      </w:pPr>
      <w:r w:rsidRPr="00653BF4">
        <w:rPr>
          <w:lang w:val="fr-FR"/>
        </w:rPr>
        <w:t>De nombreuses Parties indiquent que les crédits budgétaires nationaux alloués à la biodiversité sont bien trop faibles. Les dépenses consacrées à l</w:t>
      </w:r>
      <w:r w:rsidR="00D77549">
        <w:rPr>
          <w:lang w:val="fr-FR"/>
        </w:rPr>
        <w:t>’</w:t>
      </w:r>
      <w:r w:rsidRPr="00653BF4">
        <w:rPr>
          <w:lang w:val="fr-FR"/>
        </w:rPr>
        <w:t>environnement ne représentent souvent qu</w:t>
      </w:r>
      <w:r w:rsidR="00D77549">
        <w:rPr>
          <w:lang w:val="fr-FR"/>
        </w:rPr>
        <w:t>’</w:t>
      </w:r>
      <w:r w:rsidRPr="00653BF4">
        <w:rPr>
          <w:lang w:val="fr-FR"/>
        </w:rPr>
        <w:t>une fraction de l</w:t>
      </w:r>
      <w:r w:rsidR="00D77549">
        <w:rPr>
          <w:lang w:val="fr-FR"/>
        </w:rPr>
        <w:t>’</w:t>
      </w:r>
      <w:r w:rsidRPr="00653BF4">
        <w:rPr>
          <w:lang w:val="fr-FR"/>
        </w:rPr>
        <w:t>ensemble des dépenses publiques, et la biodiversité est fréquemment reléguée au second plan face à d</w:t>
      </w:r>
      <w:r w:rsidR="00D77549">
        <w:rPr>
          <w:lang w:val="fr-FR"/>
        </w:rPr>
        <w:t>’</w:t>
      </w:r>
      <w:r w:rsidRPr="00653BF4">
        <w:rPr>
          <w:lang w:val="fr-FR"/>
        </w:rPr>
        <w:t>autres priorités de développement qui concernent plus directement, par exemple, la défense, la sécurité alimentaire et les infrastructures. Les pays en développement Parties font état de lacunes en matière d</w:t>
      </w:r>
      <w:r w:rsidR="00D77549">
        <w:rPr>
          <w:lang w:val="fr-FR"/>
        </w:rPr>
        <w:t>’</w:t>
      </w:r>
      <w:r w:rsidRPr="00653BF4">
        <w:rPr>
          <w:lang w:val="fr-FR"/>
        </w:rPr>
        <w:t>accès au financement international. Lorsque celui-ci est disponible, il se peut que les Parties ne disposent pas des capacités institutionnelles nécessaires pour élaborer des propositions susceptibles d</w:t>
      </w:r>
      <w:r w:rsidR="00D77549">
        <w:rPr>
          <w:lang w:val="fr-FR"/>
        </w:rPr>
        <w:t>’</w:t>
      </w:r>
      <w:r w:rsidRPr="00653BF4">
        <w:rPr>
          <w:lang w:val="fr-FR"/>
        </w:rPr>
        <w:t xml:space="preserve">être financées ou pour répondre aux exigences des donateurs. Un défi transversal récurrent réside dans le décalage entre la planification et la </w:t>
      </w:r>
      <w:r w:rsidRPr="00653BF4">
        <w:rPr>
          <w:lang w:val="fr-FR"/>
        </w:rPr>
        <w:lastRenderedPageBreak/>
        <w:t>mise en œuvre</w:t>
      </w:r>
      <w:r w:rsidR="00E34DC9">
        <w:rPr>
          <w:lang w:val="fr-FR"/>
        </w:rPr>
        <w:t> :</w:t>
      </w:r>
      <w:r w:rsidRPr="00653BF4">
        <w:rPr>
          <w:lang w:val="fr-FR"/>
        </w:rPr>
        <w:t xml:space="preserve"> de nombreuses Parties font état de plans de financement et d’analyses des dépenses finalisés, mais n’ont pas encore mis en œuvre les instruments prévus dans ces plans. La mobilisation du secteur privé est souvent citée comme une priorité, mais elle fait rarement l</w:t>
      </w:r>
      <w:r w:rsidR="00D77549">
        <w:rPr>
          <w:lang w:val="fr-FR"/>
        </w:rPr>
        <w:t>’</w:t>
      </w:r>
      <w:r w:rsidRPr="00653BF4">
        <w:rPr>
          <w:lang w:val="fr-FR"/>
        </w:rPr>
        <w:t>objet de rapports présentant des résultats chiffrés. Un autre défi concerne les données et le suivi</w:t>
      </w:r>
      <w:r w:rsidR="00E34DC9">
        <w:rPr>
          <w:lang w:val="fr-FR"/>
        </w:rPr>
        <w:t> :</w:t>
      </w:r>
      <w:r w:rsidRPr="00653BF4">
        <w:rPr>
          <w:lang w:val="fr-FR"/>
        </w:rPr>
        <w:t xml:space="preserve"> de nombreuses Parties ne disposent pas de systèmes de marquage budgétaire dédiés à la biodiversité, de données consolidées sur les financements du secteur privé, ni de cadres de suivi permettant de distinguer les financements consacrés à la biodiversité de ceux consacrés au climat. Certaines Parties indiquent que les données financières relatives à la biodiversité sont dispersées entre différents ministères, projets et partenaires, sans qu</w:t>
      </w:r>
      <w:r w:rsidR="00D77549">
        <w:rPr>
          <w:lang w:val="fr-FR"/>
        </w:rPr>
        <w:t>’</w:t>
      </w:r>
      <w:r w:rsidRPr="00653BF4">
        <w:rPr>
          <w:lang w:val="fr-FR"/>
        </w:rPr>
        <w:t>il n</w:t>
      </w:r>
      <w:r w:rsidR="00D77549">
        <w:rPr>
          <w:lang w:val="fr-FR"/>
        </w:rPr>
        <w:t>’</w:t>
      </w:r>
      <w:r w:rsidRPr="00653BF4">
        <w:rPr>
          <w:lang w:val="fr-FR"/>
        </w:rPr>
        <w:t>existe de système centralisé. Le financement de la biodiversité relève de plusieurs ministères, mais les mécanismes de coordination officiels sont rares. Cela peut entraîner des chevauchements de mandats, des retards dans la prise de décision, des interventions fragmentées et une utilisation inefficace des ressources.</w:t>
      </w:r>
    </w:p>
    <w:p w14:paraId="7F138F2B" w14:textId="77777777" w:rsidR="00B87039" w:rsidRPr="00653BF4" w:rsidRDefault="00B87039" w:rsidP="00B87039">
      <w:pPr>
        <w:rPr>
          <w:lang w:val="fr-FR"/>
        </w:rPr>
      </w:pPr>
    </w:p>
    <w:p w14:paraId="2C68564A" w14:textId="77777777" w:rsidR="00B87039" w:rsidRPr="00653BF4" w:rsidRDefault="00B87039" w:rsidP="00B87039">
      <w:pPr>
        <w:pStyle w:val="Heading5"/>
        <w:rPr>
          <w:lang w:val="fr-FR"/>
        </w:rPr>
      </w:pPr>
    </w:p>
    <w:p w14:paraId="39C31D7D" w14:textId="5A54DFFE" w:rsidR="00B87039" w:rsidRPr="00653BF4" w:rsidRDefault="00B87039" w:rsidP="00B87039">
      <w:pPr>
        <w:pStyle w:val="Heading5"/>
        <w:rPr>
          <w:lang w:val="fr-FR"/>
        </w:rPr>
      </w:pPr>
      <w:bookmarkStart w:id="382" w:name="_Toc235821289"/>
      <w:r w:rsidRPr="00653BF4">
        <w:rPr>
          <w:lang w:val="fr-FR"/>
        </w:rPr>
        <w:t>Contributions d’acteurs autres que les gouvernements nationaux</w:t>
      </w:r>
      <w:bookmarkEnd w:id="382"/>
    </w:p>
    <w:p w14:paraId="0D4F1EA1" w14:textId="77777777" w:rsidR="00B87039" w:rsidRPr="00653BF4" w:rsidRDefault="00B87039" w:rsidP="00B87039">
      <w:pPr>
        <w:rPr>
          <w:lang w:val="fr-FR"/>
        </w:rPr>
      </w:pPr>
    </w:p>
    <w:p w14:paraId="2F56AE47" w14:textId="03D5D2B2" w:rsidR="00B87039" w:rsidRPr="00653BF4" w:rsidRDefault="00B87039" w:rsidP="00B87039">
      <w:pPr>
        <w:pStyle w:val="Heading6"/>
        <w:rPr>
          <w:lang w:val="fr-FR"/>
        </w:rPr>
      </w:pPr>
      <w:bookmarkStart w:id="383" w:name="_Toc235821290"/>
      <w:r w:rsidRPr="00653BF4">
        <w:rPr>
          <w:lang w:val="fr-FR"/>
        </w:rPr>
        <w:t>Engagements communiqués directement via l</w:t>
      </w:r>
      <w:r w:rsidR="00D77549">
        <w:rPr>
          <w:lang w:val="fr-FR"/>
        </w:rPr>
        <w:t>’</w:t>
      </w:r>
      <w:r w:rsidRPr="00653BF4">
        <w:rPr>
          <w:lang w:val="fr-FR"/>
        </w:rPr>
        <w:t>outil de présentation des rapports en ligne</w:t>
      </w:r>
      <w:bookmarkEnd w:id="383"/>
    </w:p>
    <w:p w14:paraId="2B689E94" w14:textId="77777777" w:rsidR="00B87039" w:rsidRPr="00653BF4" w:rsidRDefault="00B87039" w:rsidP="00B87039">
      <w:pPr>
        <w:rPr>
          <w:lang w:val="fr-FR"/>
        </w:rPr>
      </w:pPr>
    </w:p>
    <w:p w14:paraId="679863DD" w14:textId="0C0E7677" w:rsidR="00B87039" w:rsidRPr="00653BF4" w:rsidRDefault="00B87039" w:rsidP="00B87039">
      <w:pPr>
        <w:rPr>
          <w:lang w:val="fr-FR"/>
        </w:rPr>
      </w:pPr>
      <w:r w:rsidRPr="00653BF4">
        <w:rPr>
          <w:lang w:val="fr-FR"/>
        </w:rPr>
        <w:t xml:space="preserve">Sur les 180 engagements de fond présentés par des acteurs autres que les gouvernements nationaux, seulement 4 concernent principalement la </w:t>
      </w:r>
      <w:r w:rsidR="00E34DC9">
        <w:rPr>
          <w:lang w:val="fr-FR"/>
        </w:rPr>
        <w:t>cible 1</w:t>
      </w:r>
      <w:r w:rsidRPr="00653BF4">
        <w:rPr>
          <w:lang w:val="fr-FR"/>
        </w:rPr>
        <w:t>9. Parmi eux, 2 émanent d</w:t>
      </w:r>
      <w:r w:rsidR="00D77549">
        <w:rPr>
          <w:lang w:val="fr-FR"/>
        </w:rPr>
        <w:t>’</w:t>
      </w:r>
      <w:r w:rsidRPr="00653BF4">
        <w:rPr>
          <w:lang w:val="fr-FR"/>
        </w:rPr>
        <w:t>ONG, 1 d</w:t>
      </w:r>
      <w:r w:rsidR="00D77549">
        <w:rPr>
          <w:lang w:val="fr-FR"/>
        </w:rPr>
        <w:t>’</w:t>
      </w:r>
      <w:r w:rsidRPr="00653BF4">
        <w:rPr>
          <w:lang w:val="fr-FR"/>
        </w:rPr>
        <w:t>une institution financière et 1 d</w:t>
      </w:r>
      <w:r w:rsidR="00D77549">
        <w:rPr>
          <w:lang w:val="fr-FR"/>
        </w:rPr>
        <w:t>’</w:t>
      </w:r>
      <w:r w:rsidRPr="00653BF4">
        <w:rPr>
          <w:lang w:val="fr-FR"/>
        </w:rPr>
        <w:t>un organisme de recherche. Tous ces engagements portent sur la mobilisation des ressources et le financement, et couvrent des régions telles que l</w:t>
      </w:r>
      <w:r w:rsidR="00D77549">
        <w:rPr>
          <w:lang w:val="fr-FR"/>
        </w:rPr>
        <w:t>’</w:t>
      </w:r>
      <w:r w:rsidRPr="00653BF4">
        <w:rPr>
          <w:lang w:val="fr-FR"/>
        </w:rPr>
        <w:t>Europe, l</w:t>
      </w:r>
      <w:r w:rsidR="00D77549">
        <w:rPr>
          <w:lang w:val="fr-FR"/>
        </w:rPr>
        <w:t>’</w:t>
      </w:r>
      <w:r w:rsidRPr="00653BF4">
        <w:rPr>
          <w:lang w:val="fr-FR"/>
        </w:rPr>
        <w:t>Afrique, l</w:t>
      </w:r>
      <w:r w:rsidR="00D77549">
        <w:rPr>
          <w:lang w:val="fr-FR"/>
        </w:rPr>
        <w:t>’</w:t>
      </w:r>
      <w:r w:rsidRPr="00653BF4">
        <w:rPr>
          <w:lang w:val="fr-FR"/>
        </w:rPr>
        <w:t>Amérique du Sud et l</w:t>
      </w:r>
      <w:r w:rsidR="00D77549">
        <w:rPr>
          <w:lang w:val="fr-FR"/>
        </w:rPr>
        <w:t>’</w:t>
      </w:r>
      <w:r w:rsidRPr="00653BF4">
        <w:rPr>
          <w:lang w:val="fr-FR"/>
        </w:rPr>
        <w:t>Asie. Ces engagements spécifiques comprennent un mécanisme de financement et d</w:t>
      </w:r>
      <w:r w:rsidR="00D77549">
        <w:rPr>
          <w:lang w:val="fr-FR"/>
        </w:rPr>
        <w:t>’</w:t>
      </w:r>
      <w:r w:rsidRPr="00653BF4">
        <w:rPr>
          <w:lang w:val="fr-FR"/>
        </w:rPr>
        <w:t>incitation en faveur d</w:t>
      </w:r>
      <w:r w:rsidR="00D77549">
        <w:rPr>
          <w:lang w:val="fr-FR"/>
        </w:rPr>
        <w:t>’</w:t>
      </w:r>
      <w:r w:rsidRPr="00653BF4">
        <w:rPr>
          <w:lang w:val="fr-FR"/>
        </w:rPr>
        <w:t>une production respectueuse des forêts, l</w:t>
      </w:r>
      <w:r w:rsidR="00D77549">
        <w:rPr>
          <w:lang w:val="fr-FR"/>
        </w:rPr>
        <w:t>’</w:t>
      </w:r>
      <w:r w:rsidRPr="00653BF4">
        <w:rPr>
          <w:lang w:val="fr-FR"/>
        </w:rPr>
        <w:t>affectation de fonds publics consacrés à la biodiversité à l</w:t>
      </w:r>
      <w:r w:rsidR="00D77549">
        <w:rPr>
          <w:lang w:val="fr-FR"/>
        </w:rPr>
        <w:t>’</w:t>
      </w:r>
      <w:r w:rsidRPr="00653BF4">
        <w:rPr>
          <w:lang w:val="fr-FR"/>
        </w:rPr>
        <w:t>appui des objectifs en la matière selon une approche fondée sur les droits humains, ainsi que la mobilisation de financements privés en faveur de solutions fondées sur la nature (voir l</w:t>
      </w:r>
      <w:r w:rsidR="00D77549">
        <w:rPr>
          <w:lang w:val="fr-FR"/>
        </w:rPr>
        <w:t>’</w:t>
      </w:r>
      <w:r w:rsidRPr="00653BF4">
        <w:rPr>
          <w:lang w:val="fr-FR"/>
        </w:rPr>
        <w:t>encadré 47).</w:t>
      </w:r>
    </w:p>
    <w:p w14:paraId="5C3BF5CB"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16"/>
      </w:tblGrid>
      <w:tr w:rsidR="00B87039" w:rsidRPr="00543148" w14:paraId="55C969E3" w14:textId="77777777" w:rsidTr="00557FB3">
        <w:tc>
          <w:tcPr>
            <w:tcW w:w="9016" w:type="dxa"/>
            <w:shd w:val="clear" w:color="auto" w:fill="E8E8E8" w:themeFill="background2"/>
          </w:tcPr>
          <w:p w14:paraId="035144CA" w14:textId="77777777" w:rsidR="00B87039" w:rsidRPr="00653BF4" w:rsidRDefault="00B87039" w:rsidP="00557FB3">
            <w:pPr>
              <w:rPr>
                <w:i/>
                <w:iCs/>
                <w:lang w:val="fr-FR"/>
              </w:rPr>
            </w:pPr>
          </w:p>
          <w:p w14:paraId="5FC8BD44" w14:textId="4CE11707" w:rsidR="00B87039" w:rsidRPr="00653BF4" w:rsidRDefault="00B87039" w:rsidP="00557FB3">
            <w:pPr>
              <w:rPr>
                <w:sz w:val="20"/>
                <w:szCs w:val="20"/>
                <w:lang w:val="fr-FR"/>
              </w:rPr>
            </w:pPr>
            <w:bookmarkStart w:id="384" w:name="_Ref230882260"/>
            <w:r w:rsidRPr="00653BF4">
              <w:rPr>
                <w:sz w:val="20"/>
                <w:szCs w:val="20"/>
                <w:lang w:val="fr-FR"/>
              </w:rPr>
              <w:t>Encadré 47</w:t>
            </w:r>
            <w:bookmarkEnd w:id="384"/>
          </w:p>
          <w:p w14:paraId="3311C946" w14:textId="1C3A871E" w:rsidR="00B87039" w:rsidRPr="00653BF4" w:rsidRDefault="00B87039" w:rsidP="00557FB3">
            <w:pPr>
              <w:spacing w:after="160" w:line="278" w:lineRule="auto"/>
              <w:rPr>
                <w:b/>
                <w:bCs/>
                <w:sz w:val="20"/>
                <w:szCs w:val="20"/>
                <w:lang w:val="fr-FR"/>
              </w:rPr>
            </w:pPr>
            <w:r w:rsidRPr="00653BF4">
              <w:rPr>
                <w:b/>
                <w:bCs/>
                <w:sz w:val="20"/>
                <w:szCs w:val="20"/>
                <w:lang w:val="fr-FR"/>
              </w:rPr>
              <w:t>Banque Triodos</w:t>
            </w:r>
            <w:r w:rsidR="00E34DC9">
              <w:rPr>
                <w:b/>
                <w:bCs/>
                <w:sz w:val="20"/>
                <w:szCs w:val="20"/>
                <w:lang w:val="fr-FR"/>
              </w:rPr>
              <w:t> :</w:t>
            </w:r>
            <w:r w:rsidRPr="00653BF4">
              <w:rPr>
                <w:b/>
                <w:bCs/>
                <w:sz w:val="20"/>
                <w:szCs w:val="20"/>
                <w:lang w:val="fr-FR"/>
              </w:rPr>
              <w:t xml:space="preserve"> mobiliser des financements privés en faveur des solutions fondées sur la nature</w:t>
            </w:r>
          </w:p>
          <w:p w14:paraId="4C635EAA" w14:textId="18613356" w:rsidR="00B87039" w:rsidRPr="00653BF4" w:rsidRDefault="00B87039" w:rsidP="00557FB3">
            <w:pPr>
              <w:spacing w:after="160" w:line="278" w:lineRule="auto"/>
              <w:rPr>
                <w:sz w:val="20"/>
                <w:szCs w:val="20"/>
                <w:lang w:val="fr-FR"/>
              </w:rPr>
            </w:pPr>
            <w:r w:rsidRPr="00653BF4">
              <w:rPr>
                <w:sz w:val="20"/>
                <w:szCs w:val="20"/>
                <w:lang w:val="fr-FR"/>
              </w:rPr>
              <w:t xml:space="preserve">La Banque Triodos, un établissement financier basé au Royaume des Pays-Bas et présent en Belgique, en Allemagne, aux Pays-Bas, en Espagne et au Royaume-Uni, a lancé sa stratégie en faveur de la </w:t>
            </w:r>
            <w:r w:rsidRPr="00653BF4">
              <w:rPr>
                <w:sz w:val="20"/>
                <w:szCs w:val="20"/>
                <w:lang w:val="fr-FR"/>
              </w:rPr>
              <w:lastRenderedPageBreak/>
              <w:t>nature et du climat, qui s</w:t>
            </w:r>
            <w:r w:rsidR="00D77549">
              <w:rPr>
                <w:sz w:val="20"/>
                <w:szCs w:val="20"/>
                <w:lang w:val="fr-FR"/>
              </w:rPr>
              <w:t>’</w:t>
            </w:r>
            <w:r w:rsidRPr="00653BF4">
              <w:rPr>
                <w:sz w:val="20"/>
                <w:szCs w:val="20"/>
                <w:lang w:val="fr-FR"/>
              </w:rPr>
              <w:t>étend de janvier 2020 à décembre 2030. Pour la première fois, la Banque Triodos et Triodos Investment Management ont regroupé leurs ambitions en matière de climat et de biodiversité au sein d</w:t>
            </w:r>
            <w:r w:rsidR="00D77549">
              <w:rPr>
                <w:sz w:val="20"/>
                <w:szCs w:val="20"/>
                <w:lang w:val="fr-FR"/>
              </w:rPr>
              <w:t>’</w:t>
            </w:r>
            <w:r w:rsidRPr="00653BF4">
              <w:rPr>
                <w:sz w:val="20"/>
                <w:szCs w:val="20"/>
                <w:lang w:val="fr-FR"/>
              </w:rPr>
              <w:t xml:space="preserve">une stratégie unique. Outre son </w:t>
            </w:r>
            <w:r w:rsidR="002878D7">
              <w:rPr>
                <w:sz w:val="20"/>
                <w:szCs w:val="20"/>
                <w:lang w:val="fr-FR"/>
              </w:rPr>
              <w:t>objectif D</w:t>
            </w:r>
            <w:r w:rsidRPr="00653BF4">
              <w:rPr>
                <w:sz w:val="20"/>
                <w:szCs w:val="20"/>
                <w:lang w:val="fr-FR"/>
              </w:rPr>
              <w:t>e financer 275 projets liés aux énergies renouvelables et de réduire ses émissions absolues de gaz à effet de serre de 42</w:t>
            </w:r>
            <w:r w:rsidR="002878D7">
              <w:rPr>
                <w:sz w:val="20"/>
                <w:szCs w:val="20"/>
                <w:lang w:val="fr-FR"/>
              </w:rPr>
              <w:t> %</w:t>
            </w:r>
            <w:r w:rsidRPr="00653BF4">
              <w:rPr>
                <w:sz w:val="20"/>
                <w:szCs w:val="20"/>
                <w:lang w:val="fr-FR"/>
              </w:rPr>
              <w:t xml:space="preserve"> d</w:t>
            </w:r>
            <w:r w:rsidR="00D77549">
              <w:rPr>
                <w:sz w:val="20"/>
                <w:szCs w:val="20"/>
                <w:lang w:val="fr-FR"/>
              </w:rPr>
              <w:t>’</w:t>
            </w:r>
            <w:r w:rsidRPr="00653BF4">
              <w:rPr>
                <w:sz w:val="20"/>
                <w:szCs w:val="20"/>
                <w:lang w:val="fr-FR"/>
              </w:rPr>
              <w:t>ici à 2030, la Banque Triodos vise à consacrer au moins 500 millions d</w:t>
            </w:r>
            <w:r w:rsidR="00D77549">
              <w:rPr>
                <w:sz w:val="20"/>
                <w:szCs w:val="20"/>
                <w:lang w:val="fr-FR"/>
              </w:rPr>
              <w:t>’</w:t>
            </w:r>
            <w:r w:rsidRPr="00653BF4">
              <w:rPr>
                <w:sz w:val="20"/>
                <w:szCs w:val="20"/>
                <w:lang w:val="fr-FR"/>
              </w:rPr>
              <w:t>euros à des investissements, des prêts et des contributions au secteur des solutions fondées sur la nature d</w:t>
            </w:r>
            <w:r w:rsidR="00D77549">
              <w:rPr>
                <w:sz w:val="20"/>
                <w:szCs w:val="20"/>
                <w:lang w:val="fr-FR"/>
              </w:rPr>
              <w:t>’</w:t>
            </w:r>
            <w:r w:rsidRPr="00653BF4">
              <w:rPr>
                <w:sz w:val="20"/>
                <w:szCs w:val="20"/>
                <w:lang w:val="fr-FR"/>
              </w:rPr>
              <w:t>ici à 2030, en tirant parti des capacités combinées de la Banque Triodos, de Triodos Investment Management et du Triodos Regenerative Money Centre. Par ailleurs, dans le cadre des cibles du groupe en matière de biodiversité, la Banque Triodos entend également rendre compte de l</w:t>
            </w:r>
            <w:r w:rsidR="00D77549">
              <w:rPr>
                <w:sz w:val="20"/>
                <w:szCs w:val="20"/>
                <w:lang w:val="fr-FR"/>
              </w:rPr>
              <w:t>’</w:t>
            </w:r>
            <w:r w:rsidRPr="00653BF4">
              <w:rPr>
                <w:sz w:val="20"/>
                <w:szCs w:val="20"/>
                <w:lang w:val="fr-FR"/>
              </w:rPr>
              <w:t>impact positif sur la biodiversité des projets de solutions fondées sur la nature à compter de l</w:t>
            </w:r>
            <w:r w:rsidR="00D77549">
              <w:rPr>
                <w:sz w:val="20"/>
                <w:szCs w:val="20"/>
                <w:lang w:val="fr-FR"/>
              </w:rPr>
              <w:t>’</w:t>
            </w:r>
            <w:r w:rsidRPr="00653BF4">
              <w:rPr>
                <w:sz w:val="20"/>
                <w:szCs w:val="20"/>
                <w:lang w:val="fr-FR"/>
              </w:rPr>
              <w:t>exercice 2026. Cette stratégie prévoit également un dialogue actif avec les sociétés cotées en bourse dont les activités dépendent de la déforestation et avec les entreprises du secteur chimique présentant des risques pour la biodiversité en raison de la pollution, ainsi qu’un engagement à définir des indicateurs clés de performance relatifs aux impacts sur la biodiversité liés à l’agriculture et à les mettre en œuvre. Par ailleurs, la Banque Triodos milite en faveur d</w:t>
            </w:r>
            <w:r w:rsidR="00D77549">
              <w:rPr>
                <w:sz w:val="20"/>
                <w:szCs w:val="20"/>
                <w:lang w:val="fr-FR"/>
              </w:rPr>
              <w:t>’</w:t>
            </w:r>
            <w:r w:rsidRPr="00653BF4">
              <w:rPr>
                <w:sz w:val="20"/>
                <w:szCs w:val="20"/>
                <w:lang w:val="fr-FR"/>
              </w:rPr>
              <w:t xml:space="preserve">une réglementation efficace qui aligne le secteur financier sur les objectifs climatiques et environnementaux. </w:t>
            </w:r>
          </w:p>
          <w:p w14:paraId="1B33909A" w14:textId="77777777" w:rsidR="00B87039" w:rsidRPr="00653BF4" w:rsidRDefault="00B87039" w:rsidP="00557FB3">
            <w:pPr>
              <w:spacing w:after="160" w:line="278" w:lineRule="auto"/>
              <w:rPr>
                <w:b/>
                <w:bCs/>
                <w:sz w:val="20"/>
                <w:szCs w:val="20"/>
                <w:lang w:val="fr-FR"/>
              </w:rPr>
            </w:pPr>
          </w:p>
          <w:p w14:paraId="243F2C8E" w14:textId="1867E666" w:rsidR="00B87039" w:rsidRPr="00653BF4" w:rsidRDefault="00B87039" w:rsidP="00557FB3">
            <w:pPr>
              <w:rPr>
                <w:sz w:val="20"/>
                <w:szCs w:val="20"/>
                <w:lang w:val="fr-FR"/>
              </w:rPr>
            </w:pPr>
            <w:r w:rsidRPr="00653BF4">
              <w:rPr>
                <w:i/>
                <w:iCs/>
                <w:sz w:val="20"/>
                <w:szCs w:val="20"/>
                <w:lang w:val="fr-FR"/>
              </w:rPr>
              <w:t>Cibles concernées</w:t>
            </w:r>
            <w:r w:rsidR="00E34DC9">
              <w:rPr>
                <w:rFonts w:eastAsia="Aptos" w:cs="Aptos"/>
                <w:sz w:val="20"/>
                <w:szCs w:val="20"/>
                <w:lang w:val="fr-FR"/>
              </w:rPr>
              <w:t> :</w:t>
            </w:r>
            <w:r w:rsidRPr="00653BF4">
              <w:rPr>
                <w:i/>
                <w:iCs/>
                <w:sz w:val="20"/>
                <w:szCs w:val="20"/>
                <w:lang w:val="fr-FR"/>
              </w:rPr>
              <w:t xml:space="preserve"> </w:t>
            </w:r>
            <w:r w:rsidRPr="00653BF4">
              <w:rPr>
                <w:sz w:val="20"/>
                <w:szCs w:val="20"/>
                <w:lang w:val="fr-FR"/>
              </w:rPr>
              <w:t>7</w:t>
            </w:r>
            <w:r w:rsidRPr="00653BF4">
              <w:rPr>
                <w:b/>
                <w:bCs/>
                <w:sz w:val="20"/>
                <w:szCs w:val="20"/>
                <w:lang w:val="fr-FR"/>
              </w:rPr>
              <w:t xml:space="preserve">, </w:t>
            </w:r>
            <w:r w:rsidRPr="00653BF4">
              <w:rPr>
                <w:rFonts w:eastAsia="Aptos" w:cs="Aptos"/>
                <w:sz w:val="20"/>
                <w:szCs w:val="20"/>
                <w:lang w:val="fr-FR"/>
              </w:rPr>
              <w:t>8, 10 14,15 et 19.</w:t>
            </w:r>
          </w:p>
          <w:p w14:paraId="269CF770" w14:textId="187382C6" w:rsidR="00B87039" w:rsidRPr="00653BF4" w:rsidRDefault="00B87039" w:rsidP="00557FB3">
            <w:pPr>
              <w:rPr>
                <w:sz w:val="20"/>
                <w:szCs w:val="20"/>
                <w:lang w:val="fr-FR"/>
              </w:rPr>
            </w:pPr>
            <w:r w:rsidRPr="00653BF4">
              <w:rPr>
                <w:i/>
                <w:iCs/>
                <w:sz w:val="20"/>
                <w:szCs w:val="20"/>
                <w:lang w:val="fr-FR"/>
              </w:rPr>
              <w:t>Source</w:t>
            </w:r>
            <w:r w:rsidR="00E34DC9">
              <w:rPr>
                <w:i/>
                <w:iCs/>
                <w:sz w:val="20"/>
                <w:szCs w:val="20"/>
                <w:lang w:val="fr-FR"/>
              </w:rPr>
              <w:t> :</w:t>
            </w:r>
            <w:r w:rsidRPr="00653BF4">
              <w:rPr>
                <w:i/>
                <w:iCs/>
                <w:sz w:val="20"/>
                <w:szCs w:val="20"/>
                <w:lang w:val="fr-FR"/>
              </w:rPr>
              <w:t xml:space="preserve"> </w:t>
            </w:r>
            <w:r w:rsidRPr="00653BF4">
              <w:rPr>
                <w:sz w:val="20"/>
                <w:szCs w:val="20"/>
                <w:lang w:val="fr-FR"/>
              </w:rPr>
              <w:t xml:space="preserve">Triodos, engagement des parties prenantes (voir </w:t>
            </w:r>
            <w:hyperlink r:id="rId199" w:history="1">
              <w:r w:rsidRPr="00653BF4">
                <w:rPr>
                  <w:rStyle w:val="Hyperlink"/>
                  <w:sz w:val="20"/>
                  <w:szCs w:val="20"/>
                  <w:lang w:val="fr-FR"/>
                </w:rPr>
                <w:t>https://ort.cbd.int/database/284131</w:t>
              </w:r>
            </w:hyperlink>
            <w:r w:rsidRPr="00653BF4">
              <w:rPr>
                <w:sz w:val="20"/>
                <w:szCs w:val="20"/>
                <w:lang w:val="fr-FR"/>
              </w:rPr>
              <w:t>).</w:t>
            </w:r>
          </w:p>
          <w:p w14:paraId="6ECD51D6" w14:textId="77777777" w:rsidR="00B87039" w:rsidRPr="00653BF4" w:rsidRDefault="00B87039" w:rsidP="00557FB3">
            <w:pPr>
              <w:spacing w:after="320"/>
              <w:jc w:val="both"/>
              <w:rPr>
                <w:lang w:val="fr-FR"/>
              </w:rPr>
            </w:pPr>
          </w:p>
        </w:tc>
      </w:tr>
    </w:tbl>
    <w:p w14:paraId="2AF02014" w14:textId="77777777" w:rsidR="00B87039" w:rsidRPr="00653BF4" w:rsidRDefault="00B87039" w:rsidP="00B87039">
      <w:pPr>
        <w:rPr>
          <w:lang w:val="fr-FR"/>
        </w:rPr>
      </w:pPr>
    </w:p>
    <w:p w14:paraId="590B6758" w14:textId="77777777" w:rsidR="00B87039" w:rsidRPr="00653BF4" w:rsidRDefault="00B87039" w:rsidP="00B87039">
      <w:pPr>
        <w:rPr>
          <w:i/>
          <w:iCs/>
          <w:lang w:val="fr-FR"/>
        </w:rPr>
      </w:pPr>
      <w:r w:rsidRPr="00653BF4">
        <w:rPr>
          <w:i/>
          <w:iCs/>
          <w:lang w:val="fr-FR"/>
        </w:rPr>
        <w:t>Contributions intégrées dans les rapports nationaux</w:t>
      </w:r>
    </w:p>
    <w:p w14:paraId="25889122" w14:textId="2DB10ADD" w:rsidR="00B87039" w:rsidRPr="00653BF4" w:rsidRDefault="00B87039" w:rsidP="00B87039">
      <w:pPr>
        <w:rPr>
          <w:lang w:val="fr-FR"/>
        </w:rPr>
      </w:pPr>
      <w:r w:rsidRPr="00653BF4">
        <w:rPr>
          <w:lang w:val="fr-FR"/>
        </w:rPr>
        <w:t>La mobilisation des ressources constitue l</w:t>
      </w:r>
      <w:r w:rsidR="00D77549">
        <w:rPr>
          <w:lang w:val="fr-FR"/>
        </w:rPr>
        <w:t>’</w:t>
      </w:r>
      <w:r w:rsidRPr="00653BF4">
        <w:rPr>
          <w:lang w:val="fr-FR"/>
        </w:rPr>
        <w:t xml:space="preserve">objectif principal de la </w:t>
      </w:r>
      <w:r w:rsidR="00E34DC9">
        <w:rPr>
          <w:lang w:val="fr-FR"/>
        </w:rPr>
        <w:t>cible 1</w:t>
      </w:r>
      <w:r w:rsidRPr="00653BF4">
        <w:rPr>
          <w:lang w:val="fr-FR"/>
        </w:rPr>
        <w:t>9, et les organisations intergouvernementales telles que le FEM et le Fonds vert pour le climat seraient les principaux bailleurs de fonds externes fournissant des subventions et des prêts à des conditions préférentielles, tandis que le monde des affaires et de la finance émettrait des obligations vertes et des crédits de biodiversité. Les ONG jouent un rôle de premier plan dans la mise en œuvre, la gestion des projets, des programmes de subventions et des fonds d</w:t>
      </w:r>
      <w:r w:rsidR="00D77549">
        <w:rPr>
          <w:lang w:val="fr-FR"/>
        </w:rPr>
        <w:t>’</w:t>
      </w:r>
      <w:r w:rsidRPr="00653BF4">
        <w:rPr>
          <w:lang w:val="fr-FR"/>
        </w:rPr>
        <w:t>affectation spéciale, tandis que les représentants des secteurs liés à la biodiversité ou qui en dépendent assurent le paiement des services écosystémiques et la mise en place de systèmes de certification. La cogouvernance et la cogestion mobilisent plusieurs acteurs</w:t>
      </w:r>
      <w:r w:rsidR="00E34DC9">
        <w:rPr>
          <w:lang w:val="fr-FR"/>
        </w:rPr>
        <w:t> :</w:t>
      </w:r>
      <w:r w:rsidRPr="00653BF4">
        <w:rPr>
          <w:lang w:val="fr-FR"/>
        </w:rPr>
        <w:t xml:space="preserve"> les peuples autochtones et communautés locales contribuent à la conception conjointe d’instruments de financement</w:t>
      </w:r>
      <w:r w:rsidR="00E34DC9">
        <w:rPr>
          <w:lang w:val="fr-FR"/>
        </w:rPr>
        <w:t> ;</w:t>
      </w:r>
      <w:r w:rsidRPr="00653BF4">
        <w:rPr>
          <w:lang w:val="fr-FR"/>
        </w:rPr>
        <w:t xml:space="preserve"> les gouvernements fédéraux et les autorités infranationales, les villes et autres collectivités locales gèrent les transferts fiscaux écologiques</w:t>
      </w:r>
      <w:r w:rsidR="00E34DC9">
        <w:rPr>
          <w:lang w:val="fr-FR"/>
        </w:rPr>
        <w:t> ;</w:t>
      </w:r>
      <w:r w:rsidRPr="00653BF4">
        <w:rPr>
          <w:lang w:val="fr-FR"/>
        </w:rPr>
        <w:t xml:space="preserve"> et les ONG occupent des postes au sein des conseils d’administration des fonds nationaux pour la biodiversité. La diffusion des connaissances concerne principalement les organismes de recherche et les organisations </w:t>
      </w:r>
      <w:r w:rsidRPr="00653BF4">
        <w:rPr>
          <w:lang w:val="fr-FR"/>
        </w:rPr>
        <w:lastRenderedPageBreak/>
        <w:t xml:space="preserve">intergouvernementales. La sensibilisation et la consultation constituent les rôles principaux des citoyens, des femmes et des jeunes. </w:t>
      </w:r>
    </w:p>
    <w:p w14:paraId="033489FD" w14:textId="77777777" w:rsidR="00B87039" w:rsidRPr="00653BF4" w:rsidRDefault="00B87039" w:rsidP="00B87039">
      <w:pPr>
        <w:pStyle w:val="Heading5"/>
        <w:rPr>
          <w:lang w:val="fr-FR"/>
        </w:rPr>
      </w:pPr>
    </w:p>
    <w:p w14:paraId="119E7113" w14:textId="52CCF547" w:rsidR="00B87039" w:rsidRPr="00653BF4" w:rsidRDefault="00B87039" w:rsidP="00B87039">
      <w:pPr>
        <w:pStyle w:val="Heading5"/>
        <w:rPr>
          <w:lang w:val="fr-FR"/>
        </w:rPr>
      </w:pPr>
      <w:r w:rsidRPr="00653BF4">
        <w:rPr>
          <w:lang w:val="fr-FR"/>
        </w:rPr>
        <w:t>Exemples de liens avec d</w:t>
      </w:r>
      <w:r w:rsidR="00D77549">
        <w:rPr>
          <w:lang w:val="fr-FR"/>
        </w:rPr>
        <w:t>’</w:t>
      </w:r>
      <w:r w:rsidRPr="00653BF4">
        <w:rPr>
          <w:lang w:val="fr-FR"/>
        </w:rPr>
        <w:t xml:space="preserve">autres accords, processus et organisations </w:t>
      </w:r>
    </w:p>
    <w:p w14:paraId="0664A84C" w14:textId="77777777" w:rsidR="00B87039" w:rsidRPr="00653BF4" w:rsidRDefault="00B87039" w:rsidP="00B87039">
      <w:pPr>
        <w:rPr>
          <w:lang w:val="fr-FR"/>
        </w:rPr>
      </w:pPr>
    </w:p>
    <w:p w14:paraId="5E990D2D" w14:textId="57707560" w:rsidR="00B87039" w:rsidRPr="00653BF4" w:rsidRDefault="00B87039" w:rsidP="00B87039">
      <w:pPr>
        <w:rPr>
          <w:lang w:val="fr-FR"/>
        </w:rPr>
      </w:pPr>
      <w:r w:rsidRPr="00653BF4">
        <w:rPr>
          <w:lang w:val="fr-FR"/>
        </w:rPr>
        <w:t xml:space="preserve">Le programme BIOFIN, géré par le PNUD et le FEM et mis en œuvre en partenariat avec la Commission européenne et plusieurs donateurs bilatéraux, est cité par de nombreuses Parties pour son rôle dans le soutien à la mise en œuvre de la </w:t>
      </w:r>
      <w:r w:rsidR="00E34DC9">
        <w:rPr>
          <w:lang w:val="fr-FR"/>
        </w:rPr>
        <w:t>cible 1</w:t>
      </w:r>
      <w:r w:rsidRPr="00653BF4">
        <w:rPr>
          <w:lang w:val="fr-FR"/>
        </w:rPr>
        <w:t>9. Lancée en 2012, la méthodologie BIOFIN comprend un examen des politiques et des institutions, une analyse des dépenses consacrées à la biodiversité, une évaluation des besoins financiers et un plan national de financement de la biodiversité qui donne la priorité aux solutions de financement destinées à la mise en œuvre</w:t>
      </w:r>
      <w:r w:rsidRPr="00653BF4">
        <w:rPr>
          <w:vertAlign w:val="superscript"/>
          <w:lang w:val="fr-FR"/>
        </w:rPr>
        <w:footnoteReference w:id="38"/>
      </w:r>
      <w:r w:rsidRPr="00653BF4">
        <w:rPr>
          <w:lang w:val="fr-FR"/>
        </w:rPr>
        <w:t>. À la suite de la mise en œuvre initiale de cette méthodologie dans 41 pays, le FEM s</w:t>
      </w:r>
      <w:r w:rsidR="00D77549">
        <w:rPr>
          <w:lang w:val="fr-FR"/>
        </w:rPr>
        <w:t>’</w:t>
      </w:r>
      <w:r w:rsidRPr="00653BF4">
        <w:rPr>
          <w:lang w:val="fr-FR"/>
        </w:rPr>
        <w:t>est engagé à soutenir la conception et la mise en œuvre de plans de financement en faveur de la biodiversité dans plus de 90 pays supplémentaires</w:t>
      </w:r>
      <w:r w:rsidR="00E34DC9">
        <w:rPr>
          <w:lang w:val="fr-FR"/>
        </w:rPr>
        <w:t> ;</w:t>
      </w:r>
      <w:r w:rsidRPr="00653BF4">
        <w:rPr>
          <w:lang w:val="fr-FR"/>
        </w:rPr>
        <w:t xml:space="preserve"> cette méthodologie est désormais appliquée dans plus de 130 pays. En novembre 2025, BIOFIN a indiqué avoir aidé les gouvernements partenaires à mobiliser plus de 2,7 milliards de dollars des États-Unis de financements en faveur de la nature à l</w:t>
      </w:r>
      <w:r w:rsidR="00D77549">
        <w:rPr>
          <w:lang w:val="fr-FR"/>
        </w:rPr>
        <w:t>’</w:t>
      </w:r>
      <w:r w:rsidRPr="00653BF4">
        <w:rPr>
          <w:lang w:val="fr-FR"/>
        </w:rPr>
        <w:t>échelle mondiale, soit une augmentation par rapport au montant de 1,7 milliard de dollars des États-Unis de 2024</w:t>
      </w:r>
      <w:r w:rsidRPr="00653BF4">
        <w:rPr>
          <w:vertAlign w:val="superscript"/>
          <w:lang w:val="fr-FR"/>
        </w:rPr>
        <w:footnoteReference w:id="39"/>
      </w:r>
      <w:r w:rsidRPr="00653BF4">
        <w:rPr>
          <w:lang w:val="fr-FR"/>
        </w:rPr>
        <w:t>. L</w:t>
      </w:r>
      <w:r w:rsidR="00D77549">
        <w:rPr>
          <w:lang w:val="fr-FR"/>
        </w:rPr>
        <w:t>’</w:t>
      </w:r>
      <w:r w:rsidRPr="00653BF4">
        <w:rPr>
          <w:lang w:val="fr-FR"/>
        </w:rPr>
        <w:t>initiative BIOFIN constitue une avancée majeure dans le renforcement des bases factuelles du financement de la biodiversité. Elle fournit à de nombreuses Parties leurs premières données de référence chiffrées concernant les dépenses liées à la biodiversité, une estimation chiffrée des besoins financiers, ainsi qu</w:t>
      </w:r>
      <w:r w:rsidR="00D77549">
        <w:rPr>
          <w:lang w:val="fr-FR"/>
        </w:rPr>
        <w:t>’</w:t>
      </w:r>
      <w:r w:rsidRPr="00653BF4">
        <w:rPr>
          <w:lang w:val="fr-FR"/>
        </w:rPr>
        <w:t>un ensemble de solutions de financement classées par ordre de priorité, destinées à éclairer les décisions nationales en matière de budget et de planification.</w:t>
      </w:r>
    </w:p>
    <w:p w14:paraId="309B5F93" w14:textId="77777777" w:rsidR="00B87039" w:rsidRPr="00653BF4" w:rsidRDefault="00B87039" w:rsidP="00B87039">
      <w:pPr>
        <w:rPr>
          <w:lang w:val="fr-FR"/>
        </w:rPr>
      </w:pPr>
    </w:p>
    <w:p w14:paraId="53AE5747" w14:textId="51813037" w:rsidR="00B87039" w:rsidRPr="00653BF4" w:rsidRDefault="00E34DC9" w:rsidP="00B87039">
      <w:pPr>
        <w:pStyle w:val="Heading4"/>
        <w:rPr>
          <w:i w:val="0"/>
          <w:iCs w:val="0"/>
          <w:lang w:val="fr-FR"/>
        </w:rPr>
      </w:pPr>
      <w:bookmarkStart w:id="385" w:name="_Toc235821291"/>
      <w:bookmarkStart w:id="386" w:name="_Toc239069216"/>
      <w:bookmarkStart w:id="387" w:name="_Toc1233324841"/>
      <w:bookmarkStart w:id="388" w:name="_Toc242801253"/>
      <w:r>
        <w:rPr>
          <w:b/>
          <w:bCs/>
          <w:i w:val="0"/>
          <w:iCs w:val="0"/>
          <w:lang w:val="fr-FR"/>
        </w:rPr>
        <w:t>Cible 2</w:t>
      </w:r>
      <w:r w:rsidR="00B87039" w:rsidRPr="00653BF4">
        <w:rPr>
          <w:b/>
          <w:bCs/>
          <w:i w:val="0"/>
          <w:iCs w:val="0"/>
          <w:lang w:val="fr-FR"/>
        </w:rPr>
        <w:t>0.</w:t>
      </w:r>
      <w:r w:rsidR="00B87039" w:rsidRPr="00653BF4">
        <w:rPr>
          <w:i w:val="0"/>
          <w:iCs w:val="0"/>
          <w:lang w:val="fr-FR"/>
        </w:rPr>
        <w:t xml:space="preserve"> Renforcer la création de capacités, accroître le transfert de technologies et la coopération scientifique et technique pour la biodiversité</w:t>
      </w:r>
      <w:bookmarkEnd w:id="385"/>
      <w:bookmarkEnd w:id="386"/>
      <w:bookmarkEnd w:id="387"/>
      <w:bookmarkEnd w:id="388"/>
    </w:p>
    <w:p w14:paraId="62572691" w14:textId="77777777" w:rsidR="00B87039" w:rsidRPr="00653BF4" w:rsidRDefault="00B87039" w:rsidP="00B87039">
      <w:pPr>
        <w:rPr>
          <w:lang w:val="fr-FR"/>
        </w:rPr>
      </w:pPr>
    </w:p>
    <w:p w14:paraId="446F7878" w14:textId="63A6CFCE" w:rsidR="00B87039" w:rsidRPr="00653BF4" w:rsidRDefault="00B87039" w:rsidP="00B87039">
      <w:pPr>
        <w:rPr>
          <w:sz w:val="22"/>
          <w:szCs w:val="22"/>
          <w:lang w:val="fr-FR"/>
        </w:rPr>
      </w:pPr>
      <w:r w:rsidRPr="00653BF4">
        <w:rPr>
          <w:b/>
          <w:bCs/>
          <w:sz w:val="22"/>
          <w:szCs w:val="22"/>
          <w:lang w:val="fr-FR"/>
        </w:rPr>
        <w:t>Texte de la cible.</w:t>
      </w:r>
      <w:r w:rsidRPr="00653BF4">
        <w:rPr>
          <w:i/>
          <w:iCs/>
          <w:sz w:val="22"/>
          <w:szCs w:val="22"/>
          <w:lang w:val="fr-FR"/>
        </w:rPr>
        <w:t xml:space="preserve"> Accroître le renforcement et le développement des capacités, l</w:t>
      </w:r>
      <w:r w:rsidR="00D77549">
        <w:rPr>
          <w:i/>
          <w:iCs/>
          <w:sz w:val="22"/>
          <w:szCs w:val="22"/>
          <w:lang w:val="fr-FR"/>
        </w:rPr>
        <w:t>’</w:t>
      </w:r>
      <w:r w:rsidRPr="00653BF4">
        <w:rPr>
          <w:i/>
          <w:iCs/>
          <w:sz w:val="22"/>
          <w:szCs w:val="22"/>
          <w:lang w:val="fr-FR"/>
        </w:rPr>
        <w:t>accès aux technologies et leur transfert, et promouvoir l’innovation et la coopération technique et scientifique et l</w:t>
      </w:r>
      <w:r w:rsidR="00D77549">
        <w:rPr>
          <w:i/>
          <w:iCs/>
          <w:sz w:val="22"/>
          <w:szCs w:val="22"/>
          <w:lang w:val="fr-FR"/>
        </w:rPr>
        <w:t>’</w:t>
      </w:r>
      <w:r w:rsidRPr="00653BF4">
        <w:rPr>
          <w:i/>
          <w:iCs/>
          <w:sz w:val="22"/>
          <w:szCs w:val="22"/>
          <w:lang w:val="fr-FR"/>
        </w:rPr>
        <w:t xml:space="preserve">accès à celles-ci, notamment dans le cadre de la coopération Sud-Sud, Nord-Sud et triangulaire, afin de favoriser une mise en œuvre efficace, en particulier dans les pays en </w:t>
      </w:r>
      <w:r w:rsidRPr="00653BF4">
        <w:rPr>
          <w:i/>
          <w:iCs/>
          <w:sz w:val="22"/>
          <w:szCs w:val="22"/>
          <w:lang w:val="fr-FR"/>
        </w:rPr>
        <w:lastRenderedPageBreak/>
        <w:t>développement, en encourageant la collaboration dans le développement de technologies et l</w:t>
      </w:r>
      <w:r w:rsidR="00D77549">
        <w:rPr>
          <w:i/>
          <w:iCs/>
          <w:sz w:val="22"/>
          <w:szCs w:val="22"/>
          <w:lang w:val="fr-FR"/>
        </w:rPr>
        <w:t>’</w:t>
      </w:r>
      <w:r w:rsidRPr="00653BF4">
        <w:rPr>
          <w:i/>
          <w:iCs/>
          <w:sz w:val="22"/>
          <w:szCs w:val="22"/>
          <w:lang w:val="fr-FR"/>
        </w:rPr>
        <w:t>élaboration de programmes de recherche scientifique en matière de conservation et d</w:t>
      </w:r>
      <w:r w:rsidR="00D77549">
        <w:rPr>
          <w:i/>
          <w:iCs/>
          <w:sz w:val="22"/>
          <w:szCs w:val="22"/>
          <w:lang w:val="fr-FR"/>
        </w:rPr>
        <w:t>’</w:t>
      </w:r>
      <w:r w:rsidRPr="00653BF4">
        <w:rPr>
          <w:i/>
          <w:iCs/>
          <w:sz w:val="22"/>
          <w:szCs w:val="22"/>
          <w:lang w:val="fr-FR"/>
        </w:rPr>
        <w:t>utilisation durable de la biodiversité et en renforçant les capacités de recherche scientifique et de suivi connexes, et veiller à ce que ces actions soient à la mesure de l</w:t>
      </w:r>
      <w:r w:rsidR="00D77549">
        <w:rPr>
          <w:i/>
          <w:iCs/>
          <w:sz w:val="22"/>
          <w:szCs w:val="22"/>
          <w:lang w:val="fr-FR"/>
        </w:rPr>
        <w:t>’</w:t>
      </w:r>
      <w:r w:rsidRPr="00653BF4">
        <w:rPr>
          <w:i/>
          <w:iCs/>
          <w:sz w:val="22"/>
          <w:szCs w:val="22"/>
          <w:lang w:val="fr-FR"/>
        </w:rPr>
        <w:t>ambition des objectifs et des cibles du cadre mondial.</w:t>
      </w:r>
    </w:p>
    <w:p w14:paraId="036D6DBD" w14:textId="77777777" w:rsidR="00B87039" w:rsidRPr="00653BF4" w:rsidRDefault="00B87039" w:rsidP="00B87039">
      <w:pPr>
        <w:rPr>
          <w:lang w:val="fr-FR"/>
        </w:rPr>
      </w:pPr>
    </w:p>
    <w:p w14:paraId="18178C7B" w14:textId="77777777" w:rsidR="00B87039" w:rsidRPr="00653BF4" w:rsidRDefault="00B87039" w:rsidP="00B87039">
      <w:pPr>
        <w:pStyle w:val="Heading5"/>
        <w:rPr>
          <w:lang w:val="fr-FR"/>
        </w:rPr>
      </w:pPr>
      <w:r w:rsidRPr="00653BF4">
        <w:rPr>
          <w:lang w:val="fr-FR"/>
        </w:rPr>
        <w:t>Aperçu des progrès accomplis</w:t>
      </w:r>
    </w:p>
    <w:p w14:paraId="5A751396" w14:textId="77777777" w:rsidR="00B87039" w:rsidRPr="00653BF4" w:rsidRDefault="00B87039" w:rsidP="00B87039">
      <w:pPr>
        <w:rPr>
          <w:lang w:val="fr-FR"/>
        </w:rPr>
      </w:pPr>
    </w:p>
    <w:tbl>
      <w:tblPr>
        <w:tblStyle w:val="TableGrid"/>
        <w:tblW w:w="0" w:type="auto"/>
        <w:tblLook w:val="04A0" w:firstRow="1" w:lastRow="0" w:firstColumn="1" w:lastColumn="0" w:noHBand="0" w:noVBand="1"/>
      </w:tblPr>
      <w:tblGrid>
        <w:gridCol w:w="9016"/>
      </w:tblGrid>
      <w:tr w:rsidR="00B87039" w:rsidRPr="00543148" w14:paraId="256AE8B5" w14:textId="77777777" w:rsidTr="00557FB3">
        <w:tc>
          <w:tcPr>
            <w:tcW w:w="9016" w:type="dxa"/>
            <w:shd w:val="clear" w:color="auto" w:fill="D1D1D1" w:themeFill="background2" w:themeFillShade="E6"/>
          </w:tcPr>
          <w:p w14:paraId="587D5794" w14:textId="77777777" w:rsidR="00B87039" w:rsidRPr="00653BF4" w:rsidRDefault="00B87039" w:rsidP="00557FB3">
            <w:pPr>
              <w:rPr>
                <w:rFonts w:eastAsia="Times New Roman" w:cs="Calibri"/>
                <w:color w:val="000000"/>
                <w:lang w:val="fr-FR"/>
              </w:rPr>
            </w:pPr>
          </w:p>
          <w:p w14:paraId="5B95ACCB" w14:textId="35BDF5DA" w:rsidR="00B87039" w:rsidRPr="00653BF4" w:rsidRDefault="00B87039" w:rsidP="00557FB3">
            <w:pPr>
              <w:spacing w:after="160" w:line="278" w:lineRule="auto"/>
              <w:rPr>
                <w:lang w:val="fr-FR"/>
              </w:rPr>
            </w:pPr>
            <w:r w:rsidRPr="00653BF4">
              <w:rPr>
                <w:lang w:val="fr-FR"/>
              </w:rPr>
              <w:t xml:space="preserve">Des progrès sont accomplis en matière de renforcement des capacités et de coopération technique, mais certains aspects de la </w:t>
            </w:r>
            <w:r w:rsidR="00E34DC9">
              <w:rPr>
                <w:lang w:val="fr-FR"/>
              </w:rPr>
              <w:t>cible 2</w:t>
            </w:r>
            <w:r w:rsidRPr="00653BF4">
              <w:rPr>
                <w:lang w:val="fr-FR"/>
              </w:rPr>
              <w:t xml:space="preserve">0 restent insuffisamment développés. Les Parties ont couvert les différents éléments de la </w:t>
            </w:r>
            <w:r w:rsidR="00E34DC9">
              <w:rPr>
                <w:lang w:val="fr-FR"/>
              </w:rPr>
              <w:t>cible 2</w:t>
            </w:r>
            <w:r w:rsidRPr="00653BF4">
              <w:rPr>
                <w:lang w:val="fr-FR"/>
              </w:rPr>
              <w:t>0 de manière inégale, en mettant davantage l</w:t>
            </w:r>
            <w:r w:rsidR="00D77549">
              <w:rPr>
                <w:lang w:val="fr-FR"/>
              </w:rPr>
              <w:t>’</w:t>
            </w:r>
            <w:r w:rsidRPr="00653BF4">
              <w:rPr>
                <w:lang w:val="fr-FR"/>
              </w:rPr>
              <w:t>accent sur la création et le renforcement des capacités et l</w:t>
            </w:r>
            <w:r w:rsidR="00D77549">
              <w:rPr>
                <w:lang w:val="fr-FR"/>
              </w:rPr>
              <w:t>’</w:t>
            </w:r>
            <w:r w:rsidRPr="00653BF4">
              <w:rPr>
                <w:lang w:val="fr-FR"/>
              </w:rPr>
              <w:t>accès à l</w:t>
            </w:r>
            <w:r w:rsidR="00D77549">
              <w:rPr>
                <w:lang w:val="fr-FR"/>
              </w:rPr>
              <w:t>’</w:t>
            </w:r>
            <w:r w:rsidRPr="00653BF4">
              <w:rPr>
                <w:lang w:val="fr-FR"/>
              </w:rPr>
              <w:t>innovation que sur d</w:t>
            </w:r>
            <w:r w:rsidR="00D77549">
              <w:rPr>
                <w:lang w:val="fr-FR"/>
              </w:rPr>
              <w:t>’</w:t>
            </w:r>
            <w:r w:rsidRPr="00653BF4">
              <w:rPr>
                <w:lang w:val="fr-FR"/>
              </w:rPr>
              <w:t>autres éléments. Les tendances observées dans les indicateurs communiqués par 24 Parties sont globalement à l</w:t>
            </w:r>
            <w:r w:rsidR="00D77549">
              <w:rPr>
                <w:lang w:val="fr-FR"/>
              </w:rPr>
              <w:t>’</w:t>
            </w:r>
            <w:r w:rsidRPr="00653BF4">
              <w:rPr>
                <w:lang w:val="fr-FR"/>
              </w:rPr>
              <w:t>amélioration. Les Parties ont fait état de progrès satisfaisants concernant l</w:t>
            </w:r>
            <w:r w:rsidR="00D77549">
              <w:rPr>
                <w:lang w:val="fr-FR"/>
              </w:rPr>
              <w:t>’</w:t>
            </w:r>
            <w:r w:rsidRPr="00653BF4">
              <w:rPr>
                <w:lang w:val="fr-FR"/>
              </w:rPr>
              <w:t>indicateur binaire, notamment en ce qui concerne la mise en place de mesures visant à répondre aux besoins en matière de création et de renforcement des capacités</w:t>
            </w:r>
            <w:r w:rsidR="00E34DC9">
              <w:rPr>
                <w:lang w:val="fr-FR"/>
              </w:rPr>
              <w:t> ;</w:t>
            </w:r>
            <w:r w:rsidRPr="00653BF4">
              <w:rPr>
                <w:lang w:val="fr-FR"/>
              </w:rPr>
              <w:t xml:space="preserve"> toutefois, des efforts supplémentaires sont nécessaires pour mener à bien les auto-évaluations des capacités nationales. Les auto-évaluations des cibles nationales correspondantes indiquent également que bon nombre d</w:t>
            </w:r>
            <w:r w:rsidR="00D77549">
              <w:rPr>
                <w:lang w:val="fr-FR"/>
              </w:rPr>
              <w:t>’</w:t>
            </w:r>
            <w:r w:rsidRPr="00653BF4">
              <w:rPr>
                <w:lang w:val="fr-FR"/>
              </w:rPr>
              <w:t>entre elles progressent (46</w:t>
            </w:r>
            <w:r w:rsidR="002878D7">
              <w:rPr>
                <w:lang w:val="fr-FR"/>
              </w:rPr>
              <w:t> %</w:t>
            </w:r>
            <w:r w:rsidRPr="00653BF4">
              <w:rPr>
                <w:lang w:val="fr-FR"/>
              </w:rPr>
              <w:t>), même si des lacunes subsistent Parmi les principaux obstacles figurent la couverture limitée de la coopération technique et scientifique et les difficultés rencontrées pour suivre les résultats en matière de renforcement des capacités.</w:t>
            </w:r>
          </w:p>
          <w:p w14:paraId="1812D465" w14:textId="77777777" w:rsidR="00B87039" w:rsidRPr="00653BF4" w:rsidRDefault="00B87039" w:rsidP="00557FB3">
            <w:pPr>
              <w:rPr>
                <w:lang w:val="fr-FR"/>
              </w:rPr>
            </w:pPr>
          </w:p>
        </w:tc>
      </w:tr>
    </w:tbl>
    <w:p w14:paraId="116E1C35" w14:textId="77777777" w:rsidR="00B87039" w:rsidRPr="00653BF4" w:rsidRDefault="00B87039" w:rsidP="00B87039">
      <w:pPr>
        <w:rPr>
          <w:lang w:val="fr-FR"/>
        </w:rPr>
      </w:pPr>
    </w:p>
    <w:p w14:paraId="483CD66D" w14:textId="507B9899" w:rsidR="00B87039" w:rsidRPr="00653BF4" w:rsidRDefault="00B87039" w:rsidP="00B87039">
      <w:pPr>
        <w:pStyle w:val="Heading5"/>
        <w:rPr>
          <w:lang w:val="fr-FR"/>
        </w:rPr>
      </w:pPr>
      <w:bookmarkStart w:id="389" w:name="_Ref230787631"/>
      <w:r w:rsidRPr="00653BF4">
        <w:rPr>
          <w:lang w:val="fr-FR"/>
        </w:rPr>
        <w:t xml:space="preserve">Prise en compte par les Parties de la portée de la </w:t>
      </w:r>
      <w:r w:rsidR="00E34DC9">
        <w:rPr>
          <w:lang w:val="fr-FR"/>
        </w:rPr>
        <w:t>cible 2</w:t>
      </w:r>
      <w:r w:rsidRPr="00653BF4">
        <w:rPr>
          <w:lang w:val="fr-FR"/>
        </w:rPr>
        <w:t>0 du Cadre dans leurs cibles nationales</w:t>
      </w:r>
    </w:p>
    <w:p w14:paraId="60FADDC6" w14:textId="77777777" w:rsidR="00B87039" w:rsidRPr="00653BF4" w:rsidRDefault="00B87039" w:rsidP="00B87039">
      <w:pPr>
        <w:rPr>
          <w:lang w:val="fr-FR"/>
        </w:rPr>
      </w:pPr>
    </w:p>
    <w:p w14:paraId="131AEE64" w14:textId="69F4BE83" w:rsidR="00B87039" w:rsidRPr="00653BF4" w:rsidRDefault="00B87039" w:rsidP="00B87039">
      <w:pPr>
        <w:pStyle w:val="Caption"/>
        <w:keepNext/>
        <w:rPr>
          <w:lang w:val="fr-FR"/>
        </w:rPr>
      </w:pPr>
      <w:bookmarkStart w:id="390" w:name="_Ref238800817"/>
      <w:bookmarkEnd w:id="389"/>
      <w:r w:rsidRPr="00653BF4">
        <w:rPr>
          <w:i w:val="0"/>
          <w:iCs w:val="0"/>
          <w:sz w:val="20"/>
          <w:szCs w:val="20"/>
          <w:lang w:val="fr-FR"/>
        </w:rPr>
        <w:t>Tableau 43</w:t>
      </w:r>
      <w:bookmarkEnd w:id="390"/>
      <w:r w:rsidRPr="00653BF4">
        <w:rPr>
          <w:lang w:val="fr-FR"/>
        </w:rPr>
        <w:t xml:space="preserve"> </w:t>
      </w:r>
    </w:p>
    <w:p w14:paraId="0B3836AB" w14:textId="1F6BF9FF" w:rsidR="00B87039" w:rsidRPr="00653BF4" w:rsidRDefault="00B87039" w:rsidP="00B87039">
      <w:pPr>
        <w:pStyle w:val="Caption"/>
        <w:keepNext/>
        <w:rPr>
          <w:i w:val="0"/>
          <w:iCs w:val="0"/>
          <w:sz w:val="20"/>
          <w:szCs w:val="20"/>
          <w:vertAlign w:val="superscript"/>
          <w:lang w:val="fr-FR"/>
        </w:rPr>
      </w:pPr>
      <w:r w:rsidRPr="00653BF4">
        <w:rPr>
          <w:b/>
          <w:i w:val="0"/>
          <w:sz w:val="20"/>
          <w:szCs w:val="20"/>
          <w:lang w:val="fr-FR"/>
        </w:rPr>
        <w:t xml:space="preserve">Éléments de la </w:t>
      </w:r>
      <w:r w:rsidR="00E34DC9">
        <w:rPr>
          <w:b/>
          <w:i w:val="0"/>
          <w:sz w:val="20"/>
          <w:szCs w:val="20"/>
          <w:lang w:val="fr-FR"/>
        </w:rPr>
        <w:t>cible 2</w:t>
      </w:r>
      <w:r w:rsidRPr="00653BF4">
        <w:rPr>
          <w:b/>
          <w:i w:val="0"/>
          <w:sz w:val="20"/>
          <w:szCs w:val="20"/>
          <w:lang w:val="fr-FR"/>
        </w:rPr>
        <w:t xml:space="preserve">0 du Cadre et </w:t>
      </w:r>
      <w:r w:rsidRPr="00653BF4">
        <w:rPr>
          <w:b/>
          <w:bCs/>
          <w:i w:val="0"/>
          <w:iCs w:val="0"/>
          <w:sz w:val="20"/>
          <w:szCs w:val="20"/>
          <w:lang w:val="fr-FR"/>
        </w:rPr>
        <w:t>leur prise en compte dans les cibles nationales</w:t>
      </w:r>
      <w:r w:rsidRPr="00653BF4">
        <w:rPr>
          <w:i w:val="0"/>
          <w:iCs w:val="0"/>
          <w:sz w:val="20"/>
          <w:szCs w:val="20"/>
          <w:vertAlign w:val="superscript"/>
          <w:lang w:val="fr-FR"/>
        </w:rPr>
        <w:t>a</w:t>
      </w:r>
    </w:p>
    <w:p w14:paraId="0695E46A" w14:textId="77777777" w:rsidR="00B87039" w:rsidRPr="00653BF4" w:rsidRDefault="00B87039" w:rsidP="00B87039">
      <w:pPr>
        <w:rPr>
          <w:lang w:val="fr-FR" w:eastAsia="ja-JP"/>
        </w:rPr>
      </w:pPr>
    </w:p>
    <w:tbl>
      <w:tblPr>
        <w:tblStyle w:val="TableGrid"/>
        <w:tblW w:w="0" w:type="auto"/>
        <w:tblLook w:val="04A0" w:firstRow="1" w:lastRow="0" w:firstColumn="1" w:lastColumn="0" w:noHBand="0" w:noVBand="1"/>
      </w:tblPr>
      <w:tblGrid>
        <w:gridCol w:w="8359"/>
        <w:gridCol w:w="657"/>
      </w:tblGrid>
      <w:tr w:rsidR="00B87039" w:rsidRPr="00653BF4" w14:paraId="247E57E7" w14:textId="77777777" w:rsidTr="00557FB3">
        <w:tc>
          <w:tcPr>
            <w:tcW w:w="8359" w:type="dxa"/>
          </w:tcPr>
          <w:p w14:paraId="3F686304" w14:textId="77777777"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Accroître la création et le renforcement des capacités afin de favoriser une mise en œuvre efficace</w:t>
            </w:r>
          </w:p>
        </w:tc>
        <w:tc>
          <w:tcPr>
            <w:tcW w:w="657" w:type="dxa"/>
            <w:shd w:val="clear" w:color="auto" w:fill="92D050"/>
          </w:tcPr>
          <w:p w14:paraId="22AB6640" w14:textId="77777777" w:rsidR="00B87039" w:rsidRPr="00653BF4" w:rsidRDefault="00B87039" w:rsidP="00557FB3">
            <w:pPr>
              <w:rPr>
                <w:lang w:val="fr-FR"/>
              </w:rPr>
            </w:pPr>
            <w:r w:rsidRPr="00653BF4">
              <w:rPr>
                <w:lang w:val="fr-FR"/>
              </w:rPr>
              <w:t>63</w:t>
            </w:r>
          </w:p>
        </w:tc>
      </w:tr>
      <w:tr w:rsidR="00B87039" w:rsidRPr="00653BF4" w14:paraId="76FCD500" w14:textId="77777777" w:rsidTr="00557FB3">
        <w:tc>
          <w:tcPr>
            <w:tcW w:w="8359" w:type="dxa"/>
          </w:tcPr>
          <w:p w14:paraId="1DFF0AAB" w14:textId="6C861BAB"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lastRenderedPageBreak/>
              <w:t>Accroître l</w:t>
            </w:r>
            <w:r w:rsidR="00D77549">
              <w:rPr>
                <w:rFonts w:cs="Times New Roman"/>
                <w:kern w:val="0"/>
                <w:sz w:val="22"/>
                <w:szCs w:val="22"/>
                <w:lang w:val="fr-FR"/>
              </w:rPr>
              <w:t>’</w:t>
            </w:r>
            <w:r w:rsidRPr="00653BF4">
              <w:rPr>
                <w:rFonts w:cs="Times New Roman"/>
                <w:kern w:val="0"/>
                <w:sz w:val="22"/>
                <w:szCs w:val="22"/>
                <w:lang w:val="fr-FR"/>
              </w:rPr>
              <w:t>accès aux technologies et leur transfert afin de favoriser une mise en œuvre efficace</w:t>
            </w:r>
          </w:p>
        </w:tc>
        <w:tc>
          <w:tcPr>
            <w:tcW w:w="657" w:type="dxa"/>
            <w:shd w:val="clear" w:color="auto" w:fill="FFC000"/>
          </w:tcPr>
          <w:p w14:paraId="5C48FC1D" w14:textId="77777777" w:rsidR="00B87039" w:rsidRPr="00653BF4" w:rsidRDefault="00B87039" w:rsidP="00557FB3">
            <w:pPr>
              <w:rPr>
                <w:lang w:val="fr-FR"/>
              </w:rPr>
            </w:pPr>
            <w:r w:rsidRPr="00653BF4">
              <w:rPr>
                <w:lang w:val="fr-FR"/>
              </w:rPr>
              <w:t>33</w:t>
            </w:r>
          </w:p>
        </w:tc>
      </w:tr>
      <w:tr w:rsidR="00B87039" w:rsidRPr="00653BF4" w14:paraId="6AFE90B5" w14:textId="77777777" w:rsidTr="00557FB3">
        <w:tc>
          <w:tcPr>
            <w:tcW w:w="8359" w:type="dxa"/>
          </w:tcPr>
          <w:p w14:paraId="5C84537D" w14:textId="0F60BD62"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Promouvoir l’innovation et l</w:t>
            </w:r>
            <w:r w:rsidR="00D77549">
              <w:rPr>
                <w:rFonts w:cs="Times New Roman"/>
                <w:kern w:val="0"/>
                <w:sz w:val="22"/>
                <w:szCs w:val="22"/>
                <w:lang w:val="fr-FR"/>
              </w:rPr>
              <w:t>’</w:t>
            </w:r>
            <w:r w:rsidRPr="00653BF4">
              <w:rPr>
                <w:rFonts w:cs="Times New Roman"/>
                <w:kern w:val="0"/>
                <w:sz w:val="22"/>
                <w:szCs w:val="22"/>
                <w:lang w:val="fr-FR"/>
              </w:rPr>
              <w:t>accès à celle-ci afin favoriser une mise en œuvre efficace</w:t>
            </w:r>
          </w:p>
        </w:tc>
        <w:tc>
          <w:tcPr>
            <w:tcW w:w="657" w:type="dxa"/>
            <w:shd w:val="clear" w:color="auto" w:fill="FFFF00"/>
          </w:tcPr>
          <w:p w14:paraId="5B83D13A" w14:textId="77777777" w:rsidR="00B87039" w:rsidRPr="00653BF4" w:rsidRDefault="00B87039" w:rsidP="00557FB3">
            <w:pPr>
              <w:rPr>
                <w:lang w:val="fr-FR"/>
              </w:rPr>
            </w:pPr>
            <w:r w:rsidRPr="00653BF4">
              <w:rPr>
                <w:lang w:val="fr-FR"/>
              </w:rPr>
              <w:t>56</w:t>
            </w:r>
          </w:p>
        </w:tc>
      </w:tr>
      <w:tr w:rsidR="00B87039" w:rsidRPr="00653BF4" w14:paraId="3F8D2E23" w14:textId="77777777" w:rsidTr="00557FB3">
        <w:tc>
          <w:tcPr>
            <w:tcW w:w="8359" w:type="dxa"/>
          </w:tcPr>
          <w:p w14:paraId="43026C82" w14:textId="082096B2"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Promouvoir la coopération technique et scientifique et l</w:t>
            </w:r>
            <w:r w:rsidR="00D77549">
              <w:rPr>
                <w:rFonts w:cs="Times New Roman"/>
                <w:kern w:val="0"/>
                <w:sz w:val="22"/>
                <w:szCs w:val="22"/>
                <w:lang w:val="fr-FR"/>
              </w:rPr>
              <w:t>’</w:t>
            </w:r>
            <w:r w:rsidRPr="00653BF4">
              <w:rPr>
                <w:rFonts w:cs="Times New Roman"/>
                <w:kern w:val="0"/>
                <w:sz w:val="22"/>
                <w:szCs w:val="22"/>
                <w:lang w:val="fr-FR"/>
              </w:rPr>
              <w:t>accès à celle-ci, notamment dans le cadre de la coopération Sud-Sud, Nord-Sud et triangulaire, afin favoriser une mise en œuvre efficace</w:t>
            </w:r>
          </w:p>
        </w:tc>
        <w:tc>
          <w:tcPr>
            <w:tcW w:w="657" w:type="dxa"/>
            <w:shd w:val="clear" w:color="auto" w:fill="EE0000"/>
          </w:tcPr>
          <w:p w14:paraId="4F09A1B3" w14:textId="77777777" w:rsidR="00B87039" w:rsidRPr="00653BF4" w:rsidRDefault="00B87039" w:rsidP="00557FB3">
            <w:pPr>
              <w:rPr>
                <w:lang w:val="fr-FR"/>
              </w:rPr>
            </w:pPr>
            <w:r w:rsidRPr="00653BF4">
              <w:rPr>
                <w:lang w:val="fr-FR"/>
              </w:rPr>
              <w:t>18</w:t>
            </w:r>
          </w:p>
        </w:tc>
      </w:tr>
      <w:tr w:rsidR="00B87039" w:rsidRPr="00653BF4" w14:paraId="029C587F" w14:textId="77777777" w:rsidTr="00557FB3">
        <w:tc>
          <w:tcPr>
            <w:tcW w:w="8359" w:type="dxa"/>
          </w:tcPr>
          <w:p w14:paraId="262FD3F3" w14:textId="2DE4FADE"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Encourager la collaboration dans le développement de technologies en matière de conservation et d</w:t>
            </w:r>
            <w:r w:rsidR="00D77549">
              <w:rPr>
                <w:rFonts w:cs="Times New Roman"/>
                <w:kern w:val="0"/>
                <w:sz w:val="22"/>
                <w:szCs w:val="22"/>
                <w:lang w:val="fr-FR"/>
              </w:rPr>
              <w:t>’</w:t>
            </w:r>
            <w:r w:rsidRPr="00653BF4">
              <w:rPr>
                <w:rFonts w:cs="Times New Roman"/>
                <w:kern w:val="0"/>
                <w:sz w:val="22"/>
                <w:szCs w:val="22"/>
                <w:lang w:val="fr-FR"/>
              </w:rPr>
              <w:t>utilisation durable de la biodiversité</w:t>
            </w:r>
          </w:p>
        </w:tc>
        <w:tc>
          <w:tcPr>
            <w:tcW w:w="657" w:type="dxa"/>
            <w:shd w:val="clear" w:color="auto" w:fill="FFC000"/>
          </w:tcPr>
          <w:p w14:paraId="13E2E5F3" w14:textId="77777777" w:rsidR="00B87039" w:rsidRPr="00653BF4" w:rsidRDefault="00B87039" w:rsidP="00557FB3">
            <w:pPr>
              <w:rPr>
                <w:lang w:val="fr-FR"/>
              </w:rPr>
            </w:pPr>
            <w:r w:rsidRPr="00653BF4">
              <w:rPr>
                <w:lang w:val="fr-FR"/>
              </w:rPr>
              <w:t>36</w:t>
            </w:r>
          </w:p>
        </w:tc>
      </w:tr>
      <w:tr w:rsidR="00B87039" w:rsidRPr="00653BF4" w14:paraId="22955EBC" w14:textId="77777777" w:rsidTr="00557FB3">
        <w:tc>
          <w:tcPr>
            <w:tcW w:w="8359" w:type="dxa"/>
          </w:tcPr>
          <w:p w14:paraId="42FBC2F9" w14:textId="339985E5"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Encourager la collaboration dans l</w:t>
            </w:r>
            <w:r w:rsidR="00D77549">
              <w:rPr>
                <w:rFonts w:cs="Times New Roman"/>
                <w:kern w:val="0"/>
                <w:sz w:val="22"/>
                <w:szCs w:val="22"/>
                <w:lang w:val="fr-FR"/>
              </w:rPr>
              <w:t>’</w:t>
            </w:r>
            <w:r w:rsidRPr="00653BF4">
              <w:rPr>
                <w:rFonts w:cs="Times New Roman"/>
                <w:kern w:val="0"/>
                <w:sz w:val="22"/>
                <w:szCs w:val="22"/>
                <w:lang w:val="fr-FR"/>
              </w:rPr>
              <w:t>élaboration de programmes de recherche scientifique en matière de conservation et d</w:t>
            </w:r>
            <w:r w:rsidR="00D77549">
              <w:rPr>
                <w:rFonts w:cs="Times New Roman"/>
                <w:kern w:val="0"/>
                <w:sz w:val="22"/>
                <w:szCs w:val="22"/>
                <w:lang w:val="fr-FR"/>
              </w:rPr>
              <w:t>’</w:t>
            </w:r>
            <w:r w:rsidRPr="00653BF4">
              <w:rPr>
                <w:rFonts w:cs="Times New Roman"/>
                <w:kern w:val="0"/>
                <w:sz w:val="22"/>
                <w:szCs w:val="22"/>
                <w:lang w:val="fr-FR"/>
              </w:rPr>
              <w:t>utilisation durable de la biodiversité</w:t>
            </w:r>
          </w:p>
        </w:tc>
        <w:tc>
          <w:tcPr>
            <w:tcW w:w="657" w:type="dxa"/>
            <w:shd w:val="clear" w:color="auto" w:fill="FFC000"/>
          </w:tcPr>
          <w:p w14:paraId="4F73A532" w14:textId="77777777" w:rsidR="00B87039" w:rsidRPr="00653BF4" w:rsidRDefault="00B87039" w:rsidP="00557FB3">
            <w:pPr>
              <w:rPr>
                <w:lang w:val="fr-FR"/>
              </w:rPr>
            </w:pPr>
            <w:r w:rsidRPr="00653BF4">
              <w:rPr>
                <w:lang w:val="fr-FR"/>
              </w:rPr>
              <w:t>38</w:t>
            </w:r>
          </w:p>
        </w:tc>
      </w:tr>
      <w:tr w:rsidR="00B87039" w:rsidRPr="00653BF4" w14:paraId="18664B6D" w14:textId="77777777" w:rsidTr="00557FB3">
        <w:tc>
          <w:tcPr>
            <w:tcW w:w="8359" w:type="dxa"/>
          </w:tcPr>
          <w:p w14:paraId="57601788" w14:textId="1235E61B" w:rsidR="00B87039" w:rsidRPr="00653BF4" w:rsidRDefault="00B87039" w:rsidP="00557FB3">
            <w:pPr>
              <w:autoSpaceDE w:val="0"/>
              <w:autoSpaceDN w:val="0"/>
              <w:adjustRightInd w:val="0"/>
              <w:rPr>
                <w:rFonts w:cs="Times New Roman"/>
                <w:kern w:val="0"/>
                <w:sz w:val="22"/>
                <w:szCs w:val="22"/>
                <w:lang w:val="fr-FR"/>
              </w:rPr>
            </w:pPr>
            <w:r w:rsidRPr="00653BF4">
              <w:rPr>
                <w:rFonts w:cs="Times New Roman"/>
                <w:kern w:val="0"/>
                <w:sz w:val="22"/>
                <w:szCs w:val="22"/>
                <w:lang w:val="fr-FR"/>
              </w:rPr>
              <w:t>Renforcer les capacités de recherche scientifique et de suivi connexes, et veiller à ce que ces actions soient à la mesure de l</w:t>
            </w:r>
            <w:r w:rsidR="00D77549">
              <w:rPr>
                <w:rFonts w:cs="Times New Roman"/>
                <w:kern w:val="0"/>
                <w:sz w:val="22"/>
                <w:szCs w:val="22"/>
                <w:lang w:val="fr-FR"/>
              </w:rPr>
              <w:t>’</w:t>
            </w:r>
            <w:r w:rsidRPr="00653BF4">
              <w:rPr>
                <w:rFonts w:cs="Times New Roman"/>
                <w:kern w:val="0"/>
                <w:sz w:val="22"/>
                <w:szCs w:val="22"/>
                <w:lang w:val="fr-FR"/>
              </w:rPr>
              <w:t>ambition des objectifs et des cibles du Cadre mondial</w:t>
            </w:r>
          </w:p>
        </w:tc>
        <w:tc>
          <w:tcPr>
            <w:tcW w:w="657" w:type="dxa"/>
            <w:shd w:val="clear" w:color="auto" w:fill="FFC000"/>
          </w:tcPr>
          <w:p w14:paraId="1C738FF4" w14:textId="77777777" w:rsidR="00B87039" w:rsidRPr="00653BF4" w:rsidRDefault="00B87039" w:rsidP="00557FB3">
            <w:pPr>
              <w:rPr>
                <w:lang w:val="fr-FR"/>
              </w:rPr>
            </w:pPr>
            <w:r w:rsidRPr="00653BF4">
              <w:rPr>
                <w:lang w:val="fr-FR"/>
              </w:rPr>
              <w:t>38</w:t>
            </w:r>
          </w:p>
        </w:tc>
      </w:tr>
      <w:tr w:rsidR="00B87039" w:rsidRPr="00543148" w14:paraId="72F85D2F" w14:textId="77777777" w:rsidTr="00557FB3">
        <w:tc>
          <w:tcPr>
            <w:tcW w:w="9016" w:type="dxa"/>
            <w:gridSpan w:val="2"/>
          </w:tcPr>
          <w:p w14:paraId="27684886" w14:textId="77777777" w:rsidR="00B87039" w:rsidRPr="00653BF4" w:rsidRDefault="00B87039" w:rsidP="00557FB3">
            <w:pPr>
              <w:pStyle w:val="p1"/>
              <w:keepNext/>
              <w:rPr>
                <w:rFonts w:asciiTheme="minorHAnsi" w:hAnsiTheme="minorHAnsi"/>
                <w:b/>
                <w:bCs/>
                <w:sz w:val="22"/>
                <w:szCs w:val="22"/>
                <w:lang w:val="fr-FR"/>
              </w:rPr>
            </w:pPr>
          </w:p>
          <w:p w14:paraId="66B311CC" w14:textId="7381E54C"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42</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7EBEA622" w14:textId="77777777" w:rsidR="00B87039" w:rsidRPr="00653BF4" w:rsidRDefault="00B87039" w:rsidP="00557FB3">
            <w:pPr>
              <w:rPr>
                <w:b/>
                <w:bCs/>
                <w:lang w:val="fr-FR"/>
              </w:rPr>
            </w:pPr>
          </w:p>
        </w:tc>
      </w:tr>
    </w:tbl>
    <w:p w14:paraId="3D1BD793" w14:textId="77777777" w:rsidR="00B87039" w:rsidRPr="00653BF4" w:rsidRDefault="00B87039" w:rsidP="00B87039">
      <w:pPr>
        <w:rPr>
          <w:lang w:val="fr-FR"/>
        </w:rPr>
      </w:pPr>
    </w:p>
    <w:p w14:paraId="7029F3D9" w14:textId="551C0D8B" w:rsidR="00B87039" w:rsidRPr="00653BF4" w:rsidRDefault="00B87039" w:rsidP="00B87039">
      <w:pPr>
        <w:rPr>
          <w:lang w:val="fr-FR"/>
        </w:rPr>
      </w:pPr>
      <w:r w:rsidRPr="00653BF4">
        <w:rPr>
          <w:lang w:val="fr-FR"/>
        </w:rPr>
        <w:t xml:space="preserve">Le nombre de Parties qui intègrent les différents éléments de la </w:t>
      </w:r>
      <w:r w:rsidR="00E34DC9">
        <w:rPr>
          <w:lang w:val="fr-FR"/>
        </w:rPr>
        <w:t>cible 2</w:t>
      </w:r>
      <w:r w:rsidRPr="00653BF4">
        <w:rPr>
          <w:lang w:val="fr-FR"/>
        </w:rPr>
        <w:t>0 dans leurs cibles nationales varie fortement (voir le tableau 43). Près des deux tiers des Parties (63</w:t>
      </w:r>
      <w:r w:rsidR="002878D7">
        <w:rPr>
          <w:lang w:val="fr-FR"/>
        </w:rPr>
        <w:t> %</w:t>
      </w:r>
      <w:r w:rsidRPr="00653BF4">
        <w:rPr>
          <w:lang w:val="fr-FR"/>
        </w:rPr>
        <w:t>) ont fixé des cibles nationales qui visent, dans une certaine mesure, à accroître la création et le renforcement des capacités afin de de favoriser une mise en œuvre efficace. Plus de la moitié des Parties (56</w:t>
      </w:r>
      <w:r w:rsidR="002878D7">
        <w:rPr>
          <w:lang w:val="fr-FR"/>
        </w:rPr>
        <w:t> %</w:t>
      </w:r>
      <w:r w:rsidRPr="00653BF4">
        <w:rPr>
          <w:lang w:val="fr-FR"/>
        </w:rPr>
        <w:t>) traitent de la promotion de l</w:t>
      </w:r>
      <w:r w:rsidR="00D77549">
        <w:rPr>
          <w:lang w:val="fr-FR"/>
        </w:rPr>
        <w:t>’</w:t>
      </w:r>
      <w:r w:rsidRPr="00653BF4">
        <w:rPr>
          <w:lang w:val="fr-FR"/>
        </w:rPr>
        <w:t>innovation et de l</w:t>
      </w:r>
      <w:r w:rsidR="00D77549">
        <w:rPr>
          <w:lang w:val="fr-FR"/>
        </w:rPr>
        <w:t>’</w:t>
      </w:r>
      <w:r w:rsidRPr="00653BF4">
        <w:rPr>
          <w:lang w:val="fr-FR"/>
        </w:rPr>
        <w:t>accès à celle-ci. Une proportion bien plus faible de Parties s</w:t>
      </w:r>
      <w:r w:rsidR="00D77549">
        <w:rPr>
          <w:lang w:val="fr-FR"/>
        </w:rPr>
        <w:t>’</w:t>
      </w:r>
      <w:r w:rsidRPr="00653BF4">
        <w:rPr>
          <w:lang w:val="fr-FR"/>
        </w:rPr>
        <w:t>attache à accroître l</w:t>
      </w:r>
      <w:r w:rsidR="00D77549">
        <w:rPr>
          <w:lang w:val="fr-FR"/>
        </w:rPr>
        <w:t>’</w:t>
      </w:r>
      <w:r w:rsidRPr="00653BF4">
        <w:rPr>
          <w:lang w:val="fr-FR"/>
        </w:rPr>
        <w:t>accès aux technologies et leur transfert, à encourager la collaboration dans le développement de technologies et l</w:t>
      </w:r>
      <w:r w:rsidR="00D77549">
        <w:rPr>
          <w:lang w:val="fr-FR"/>
        </w:rPr>
        <w:t>’</w:t>
      </w:r>
      <w:r w:rsidRPr="00653BF4">
        <w:rPr>
          <w:lang w:val="fr-FR"/>
        </w:rPr>
        <w:t>élaboration de programmes de recherche scientifique, ou à renforcer les capacités de recherche scientifique et de suivi. Moins d</w:t>
      </w:r>
      <w:r w:rsidR="00D77549">
        <w:rPr>
          <w:lang w:val="fr-FR"/>
        </w:rPr>
        <w:t>’</w:t>
      </w:r>
      <w:r w:rsidRPr="00653BF4">
        <w:rPr>
          <w:lang w:val="fr-FR"/>
        </w:rPr>
        <w:t>un cinquième des Parties (18</w:t>
      </w:r>
      <w:r w:rsidR="002878D7">
        <w:rPr>
          <w:lang w:val="fr-FR"/>
        </w:rPr>
        <w:t> %</w:t>
      </w:r>
      <w:r w:rsidRPr="00653BF4">
        <w:rPr>
          <w:lang w:val="fr-FR"/>
        </w:rPr>
        <w:t>) ont fixé des cibles nationales visant à promouvoir la coopération technique et scientifique, notamment par le biais de la coopération Sud-Sud, Nord-Sud et triangulaire, afin de répondre aux besoins liés à une mise en œuvre efficace.</w:t>
      </w:r>
    </w:p>
    <w:p w14:paraId="147CB6AF" w14:textId="77777777" w:rsidR="00B87039" w:rsidRPr="00653BF4" w:rsidRDefault="00B87039" w:rsidP="00B87039">
      <w:pPr>
        <w:rPr>
          <w:lang w:val="fr-FR"/>
        </w:rPr>
      </w:pPr>
    </w:p>
    <w:p w14:paraId="0F790BF4" w14:textId="653F0389" w:rsidR="00B87039" w:rsidRPr="00653BF4" w:rsidRDefault="00B87039" w:rsidP="00B87039">
      <w:pPr>
        <w:pStyle w:val="Heading5"/>
        <w:rPr>
          <w:lang w:val="fr-FR"/>
        </w:rPr>
      </w:pPr>
      <w:bookmarkStart w:id="391" w:name="_Toc235821294"/>
      <w:r w:rsidRPr="00653BF4">
        <w:rPr>
          <w:lang w:val="fr-FR"/>
        </w:rPr>
        <w:t>Indicateurs de progrès</w:t>
      </w:r>
      <w:bookmarkEnd w:id="391"/>
    </w:p>
    <w:p w14:paraId="31CC41D8" w14:textId="77777777" w:rsidR="00B87039" w:rsidRPr="00653BF4" w:rsidRDefault="00B87039" w:rsidP="00B87039">
      <w:pPr>
        <w:pStyle w:val="Caption"/>
        <w:rPr>
          <w:i w:val="0"/>
          <w:iCs w:val="0"/>
          <w:sz w:val="20"/>
          <w:szCs w:val="20"/>
          <w:lang w:val="fr-FR"/>
        </w:rPr>
      </w:pPr>
    </w:p>
    <w:p w14:paraId="0406C9C6" w14:textId="77777777" w:rsidR="00B87039" w:rsidRPr="00653BF4" w:rsidRDefault="00B87039" w:rsidP="00B87039">
      <w:pPr>
        <w:pStyle w:val="Caption"/>
        <w:rPr>
          <w:i w:val="0"/>
          <w:sz w:val="20"/>
          <w:szCs w:val="20"/>
          <w:lang w:val="fr-FR"/>
        </w:rPr>
      </w:pPr>
      <w:r w:rsidRPr="00653BF4">
        <w:rPr>
          <w:i w:val="0"/>
          <w:iCs w:val="0"/>
          <w:sz w:val="20"/>
          <w:szCs w:val="20"/>
          <w:lang w:val="fr-FR"/>
        </w:rPr>
        <w:t xml:space="preserve">Tableau 44 </w:t>
      </w:r>
    </w:p>
    <w:p w14:paraId="13775D4A" w14:textId="7671FB25"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2</w:t>
      </w:r>
      <w:r w:rsidRPr="00653BF4">
        <w:rPr>
          <w:b/>
          <w:bCs/>
          <w:i w:val="0"/>
          <w:iCs w:val="0"/>
          <w:sz w:val="20"/>
          <w:szCs w:val="20"/>
          <w:lang w:val="fr-FR"/>
        </w:rPr>
        <w:t>0 du Cadre</w:t>
      </w:r>
    </w:p>
    <w:p w14:paraId="6542A7BD" w14:textId="77777777" w:rsidR="00B87039" w:rsidRPr="00653BF4" w:rsidRDefault="00B87039" w:rsidP="00B87039">
      <w:pPr>
        <w:rPr>
          <w:lang w:val="fr-FR" w:eastAsia="ja-JP"/>
        </w:rPr>
      </w:pPr>
    </w:p>
    <w:tbl>
      <w:tblPr>
        <w:tblW w:w="9265" w:type="dxa"/>
        <w:tblLook w:val="04A0" w:firstRow="1" w:lastRow="0" w:firstColumn="1" w:lastColumn="0" w:noHBand="0" w:noVBand="1"/>
      </w:tblPr>
      <w:tblGrid>
        <w:gridCol w:w="4390"/>
        <w:gridCol w:w="1417"/>
        <w:gridCol w:w="709"/>
        <w:gridCol w:w="2119"/>
        <w:gridCol w:w="622"/>
        <w:gridCol w:w="8"/>
      </w:tblGrid>
      <w:tr w:rsidR="00B87039" w:rsidRPr="00653BF4" w14:paraId="595D752C" w14:textId="77777777" w:rsidTr="00557FB3">
        <w:trPr>
          <w:gridAfter w:val="1"/>
          <w:wAfter w:w="8" w:type="dxa"/>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tcPr>
          <w:p w14:paraId="4929DEEB"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p>
        </w:tc>
        <w:tc>
          <w:tcPr>
            <w:tcW w:w="2126" w:type="dxa"/>
            <w:gridSpan w:val="2"/>
            <w:tcBorders>
              <w:top w:val="single" w:sz="4" w:space="0" w:color="auto"/>
              <w:left w:val="nil"/>
              <w:bottom w:val="single" w:sz="4" w:space="0" w:color="auto"/>
              <w:right w:val="single" w:sz="4" w:space="0" w:color="auto"/>
            </w:tcBorders>
            <w:vAlign w:val="center"/>
          </w:tcPr>
          <w:p w14:paraId="6659AE5E" w14:textId="64EFFB12" w:rsidR="00B87039" w:rsidRPr="00653BF4" w:rsidRDefault="00E04592" w:rsidP="00557FB3">
            <w:pPr>
              <w:spacing w:after="0" w:line="240" w:lineRule="auto"/>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2741" w:type="dxa"/>
            <w:gridSpan w:val="2"/>
            <w:tcBorders>
              <w:top w:val="single" w:sz="4" w:space="0" w:color="auto"/>
              <w:left w:val="nil"/>
              <w:bottom w:val="single" w:sz="4" w:space="0" w:color="auto"/>
              <w:right w:val="single" w:sz="4" w:space="0" w:color="auto"/>
            </w:tcBorders>
            <w:vAlign w:val="center"/>
          </w:tcPr>
          <w:p w14:paraId="1983338D" w14:textId="57F5EEA0" w:rsidR="00B87039" w:rsidRPr="00653BF4" w:rsidRDefault="00A443C9" w:rsidP="00557FB3">
            <w:pPr>
              <w:spacing w:after="0" w:line="240" w:lineRule="auto"/>
              <w:rPr>
                <w:rFonts w:eastAsia="Times New Roman" w:cs="Times New Roman"/>
                <w:color w:val="000000"/>
                <w:kern w:val="0"/>
                <w:sz w:val="20"/>
                <w:szCs w:val="20"/>
                <w:lang w:val="fr-FR" w:eastAsia="en-CA"/>
                <w14:ligatures w14:val="none"/>
              </w:rPr>
            </w:pPr>
            <w:r>
              <w:rPr>
                <w:color w:val="000000"/>
                <w:sz w:val="20"/>
                <w:szCs w:val="20"/>
                <w:lang w:val="fr-FR"/>
              </w:rPr>
              <w:t>Résultats de l’indicateur</w:t>
            </w:r>
          </w:p>
        </w:tc>
      </w:tr>
      <w:tr w:rsidR="00B87039" w:rsidRPr="00543148" w14:paraId="034CF173" w14:textId="77777777" w:rsidTr="00557FB3">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6507BA" w14:textId="7E91BF83"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binaire 20.b</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nombre de pays qui ont pris des mesures importantes pour accroître la création et le renforcement des capacités et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accès aux technologies et leur transfert, et pour promouvoir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innovation et l</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accès à celle-ci, ainsi que la coopération technique et scientifique</w:t>
            </w:r>
          </w:p>
        </w:tc>
        <w:tc>
          <w:tcPr>
            <w:tcW w:w="1417" w:type="dxa"/>
            <w:tcBorders>
              <w:top w:val="single" w:sz="4" w:space="0" w:color="auto"/>
              <w:left w:val="nil"/>
              <w:bottom w:val="single" w:sz="4" w:space="0" w:color="auto"/>
              <w:right w:val="single" w:sz="4" w:space="0" w:color="auto"/>
            </w:tcBorders>
            <w:vAlign w:val="bottom"/>
            <w:hideMark/>
          </w:tcPr>
          <w:p w14:paraId="4BE6563E"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127 Parties</w:t>
            </w:r>
          </w:p>
        </w:tc>
        <w:tc>
          <w:tcPr>
            <w:tcW w:w="709" w:type="dxa"/>
            <w:tcBorders>
              <w:top w:val="single" w:sz="4" w:space="0" w:color="auto"/>
              <w:left w:val="nil"/>
              <w:bottom w:val="single" w:sz="4" w:space="0" w:color="auto"/>
              <w:right w:val="single" w:sz="4" w:space="0" w:color="auto"/>
            </w:tcBorders>
            <w:vAlign w:val="bottom"/>
            <w:hideMark/>
          </w:tcPr>
          <w:p w14:paraId="5E87631C" w14:textId="19D9A37B" w:rsidR="00B87039" w:rsidRPr="00653BF4" w:rsidRDefault="000F4D75" w:rsidP="00557FB3">
            <w:pPr>
              <w:spacing w:after="0" w:line="240" w:lineRule="auto"/>
              <w:rPr>
                <w:rFonts w:eastAsia="Times New Roman" w:cs="Times New Roman"/>
                <w:color w:val="000000"/>
                <w:kern w:val="0"/>
                <w:sz w:val="20"/>
                <w:szCs w:val="20"/>
                <w:lang w:val="fr-FR" w:eastAsia="en-CA"/>
                <w14:ligatures w14:val="none"/>
              </w:rPr>
            </w:pPr>
            <w:r>
              <w:rPr>
                <w:sz w:val="20"/>
                <w:szCs w:val="20"/>
                <w:lang w:val="fr-FR"/>
              </w:rPr>
              <w:t>s.o.</w:t>
            </w:r>
            <w:r w:rsidR="00B87039" w:rsidRPr="00653BF4">
              <w:rPr>
                <w:sz w:val="20"/>
                <w:szCs w:val="20"/>
                <w:vertAlign w:val="superscript"/>
                <w:lang w:val="fr-FR"/>
              </w:rPr>
              <w:t>a</w:t>
            </w:r>
          </w:p>
        </w:tc>
        <w:tc>
          <w:tcPr>
            <w:tcW w:w="2119" w:type="dxa"/>
            <w:tcBorders>
              <w:top w:val="single" w:sz="4" w:space="0" w:color="auto"/>
              <w:left w:val="nil"/>
              <w:bottom w:val="single" w:sz="4" w:space="0" w:color="auto"/>
              <w:right w:val="single" w:sz="4" w:space="0" w:color="auto"/>
            </w:tcBorders>
            <w:vAlign w:val="bottom"/>
            <w:hideMark/>
          </w:tcPr>
          <w:p w14:paraId="0AF21A2B" w14:textId="315BE4D4" w:rsidR="00B87039" w:rsidRPr="00653BF4" w:rsidRDefault="00B87039" w:rsidP="00557FB3">
            <w:pPr>
              <w:spacing w:after="0" w:line="240" w:lineRule="auto"/>
              <w:rPr>
                <w:rFonts w:eastAsia="Times New Roman" w:cs="Calibri"/>
                <w:color w:val="000000"/>
                <w:kern w:val="0"/>
                <w:sz w:val="20"/>
                <w:szCs w:val="20"/>
                <w:lang w:val="fr-FR" w:eastAsia="en-CA"/>
                <w14:ligatures w14:val="none"/>
              </w:rPr>
            </w:pPr>
            <w:r w:rsidRPr="00653BF4">
              <w:rPr>
                <w:sz w:val="20"/>
                <w:szCs w:val="20"/>
                <w:lang w:val="fr-FR"/>
              </w:rPr>
              <w:t>36</w:t>
            </w:r>
            <w:r w:rsidR="002878D7">
              <w:rPr>
                <w:sz w:val="20"/>
                <w:szCs w:val="20"/>
                <w:lang w:val="fr-FR"/>
              </w:rPr>
              <w:t> %</w:t>
            </w:r>
            <w:r w:rsidRPr="00653BF4">
              <w:rPr>
                <w:sz w:val="20"/>
                <w:szCs w:val="20"/>
                <w:lang w:val="fr-FR"/>
              </w:rPr>
              <w:t xml:space="preserve"> des Parties ont obtenu de très bons résultats (note</w:t>
            </w:r>
            <w:r w:rsidR="00E34DC9">
              <w:rPr>
                <w:sz w:val="20"/>
                <w:szCs w:val="20"/>
                <w:lang w:val="fr-FR"/>
              </w:rPr>
              <w:t> :</w:t>
            </w:r>
            <w:r w:rsidRPr="00653BF4">
              <w:rPr>
                <w:sz w:val="20"/>
                <w:szCs w:val="20"/>
                <w:lang w:val="fr-FR"/>
              </w:rPr>
              <w:t xml:space="preserve"> 4 ou 5)</w:t>
            </w:r>
          </w:p>
        </w:tc>
        <w:tc>
          <w:tcPr>
            <w:tcW w:w="630" w:type="dxa"/>
            <w:gridSpan w:val="2"/>
            <w:tcBorders>
              <w:top w:val="single" w:sz="4" w:space="0" w:color="auto"/>
              <w:left w:val="nil"/>
              <w:bottom w:val="single" w:sz="4" w:space="0" w:color="auto"/>
              <w:right w:val="single" w:sz="4" w:space="0" w:color="auto"/>
            </w:tcBorders>
            <w:shd w:val="clear" w:color="000000" w:fill="FFC000"/>
            <w:vAlign w:val="bottom"/>
            <w:hideMark/>
          </w:tcPr>
          <w:p w14:paraId="04E293CE"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eastAsia="en-CA"/>
                <w14:ligatures w14:val="none"/>
              </w:rPr>
              <w:t> </w:t>
            </w:r>
          </w:p>
        </w:tc>
      </w:tr>
      <w:tr w:rsidR="00B87039" w:rsidRPr="00543148" w14:paraId="6FEB1436" w14:textId="77777777" w:rsidTr="00557FB3">
        <w:trPr>
          <w:trHeight w:val="1050"/>
        </w:trPr>
        <w:tc>
          <w:tcPr>
            <w:tcW w:w="4390" w:type="dxa"/>
            <w:tcBorders>
              <w:top w:val="nil"/>
              <w:left w:val="single" w:sz="4" w:space="0" w:color="auto"/>
              <w:bottom w:val="single" w:sz="4" w:space="0" w:color="auto"/>
              <w:right w:val="single" w:sz="4" w:space="0" w:color="auto"/>
            </w:tcBorders>
            <w:shd w:val="clear" w:color="000000" w:fill="FFFFFF"/>
            <w:vAlign w:val="center"/>
            <w:hideMark/>
          </w:tcPr>
          <w:p w14:paraId="39D77150"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Tous les indicateurs quantitatifs combinés</w:t>
            </w:r>
          </w:p>
        </w:tc>
        <w:tc>
          <w:tcPr>
            <w:tcW w:w="1417" w:type="dxa"/>
            <w:tcBorders>
              <w:top w:val="nil"/>
              <w:left w:val="nil"/>
              <w:bottom w:val="single" w:sz="4" w:space="0" w:color="auto"/>
              <w:right w:val="single" w:sz="4" w:space="0" w:color="auto"/>
            </w:tcBorders>
            <w:vAlign w:val="bottom"/>
            <w:hideMark/>
          </w:tcPr>
          <w:p w14:paraId="1922EE2C" w14:textId="4EB88893" w:rsidR="00B87039" w:rsidRPr="00653BF4" w:rsidRDefault="00B87039" w:rsidP="00557FB3">
            <w:pPr>
              <w:spacing w:after="0" w:line="240" w:lineRule="auto"/>
              <w:rPr>
                <w:rFonts w:eastAsia="Times New Roman" w:cs="Calibri"/>
                <w:color w:val="000000"/>
                <w:kern w:val="0"/>
                <w:sz w:val="20"/>
                <w:szCs w:val="20"/>
                <w:lang w:val="fr-FR" w:eastAsia="en-CA"/>
                <w14:ligatures w14:val="none"/>
              </w:rPr>
            </w:pPr>
            <w:r w:rsidRPr="00653BF4">
              <w:rPr>
                <w:sz w:val="20"/>
                <w:szCs w:val="20"/>
                <w:lang w:val="fr-FR"/>
              </w:rPr>
              <w:t>24 Parties, 19</w:t>
            </w:r>
            <w:r w:rsidR="002878D7">
              <w:rPr>
                <w:sz w:val="20"/>
                <w:szCs w:val="20"/>
                <w:lang w:val="fr-FR"/>
              </w:rPr>
              <w:t> %</w:t>
            </w:r>
          </w:p>
        </w:tc>
        <w:tc>
          <w:tcPr>
            <w:tcW w:w="709" w:type="dxa"/>
            <w:tcBorders>
              <w:top w:val="nil"/>
              <w:left w:val="nil"/>
              <w:bottom w:val="single" w:sz="4" w:space="0" w:color="auto"/>
              <w:right w:val="single" w:sz="4" w:space="0" w:color="auto"/>
            </w:tcBorders>
            <w:shd w:val="clear" w:color="000000" w:fill="C00000"/>
            <w:vAlign w:val="center"/>
            <w:hideMark/>
          </w:tcPr>
          <w:p w14:paraId="6C17CBDF"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eastAsia="en-CA"/>
                <w14:ligatures w14:val="none"/>
              </w:rPr>
              <w:t> </w:t>
            </w:r>
          </w:p>
        </w:tc>
        <w:tc>
          <w:tcPr>
            <w:tcW w:w="2119" w:type="dxa"/>
            <w:tcBorders>
              <w:top w:val="nil"/>
              <w:left w:val="nil"/>
              <w:bottom w:val="single" w:sz="4" w:space="0" w:color="auto"/>
              <w:right w:val="single" w:sz="4" w:space="0" w:color="auto"/>
            </w:tcBorders>
            <w:vAlign w:val="bottom"/>
            <w:hideMark/>
          </w:tcPr>
          <w:p w14:paraId="67F52B90" w14:textId="2824D92E" w:rsidR="00B87039" w:rsidRPr="00653BF4" w:rsidRDefault="00B87039" w:rsidP="00557FB3">
            <w:pPr>
              <w:rPr>
                <w:sz w:val="20"/>
                <w:szCs w:val="20"/>
                <w:lang w:val="fr-FR"/>
              </w:rPr>
            </w:pPr>
            <w:r w:rsidRPr="00653BF4">
              <w:rPr>
                <w:sz w:val="20"/>
                <w:szCs w:val="20"/>
                <w:lang w:val="fr-FR"/>
              </w:rPr>
              <w:t>45</w:t>
            </w:r>
            <w:r w:rsidR="002878D7">
              <w:rPr>
                <w:sz w:val="20"/>
                <w:szCs w:val="20"/>
                <w:lang w:val="fr-FR"/>
              </w:rPr>
              <w:t> %</w:t>
            </w:r>
            <w:r w:rsidRPr="00653BF4">
              <w:rPr>
                <w:sz w:val="20"/>
                <w:szCs w:val="20"/>
                <w:lang w:val="fr-FR"/>
              </w:rPr>
              <w:t xml:space="preserve"> de tendances positives</w:t>
            </w:r>
          </w:p>
          <w:p w14:paraId="43950F66" w14:textId="7BC88661"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sz w:val="20"/>
                <w:szCs w:val="20"/>
                <w:lang w:val="fr-FR"/>
              </w:rPr>
              <w:t>13</w:t>
            </w:r>
            <w:r w:rsidR="002878D7">
              <w:rPr>
                <w:sz w:val="20"/>
                <w:szCs w:val="20"/>
                <w:lang w:val="fr-FR"/>
              </w:rPr>
              <w:t> %</w:t>
            </w:r>
            <w:r w:rsidRPr="00653BF4">
              <w:rPr>
                <w:sz w:val="20"/>
                <w:szCs w:val="20"/>
                <w:lang w:val="fr-FR"/>
              </w:rPr>
              <w:t xml:space="preserve"> de tendances négatives</w:t>
            </w:r>
          </w:p>
        </w:tc>
        <w:tc>
          <w:tcPr>
            <w:tcW w:w="630" w:type="dxa"/>
            <w:gridSpan w:val="2"/>
            <w:tcBorders>
              <w:top w:val="single" w:sz="4" w:space="0" w:color="auto"/>
              <w:left w:val="nil"/>
              <w:bottom w:val="single" w:sz="4" w:space="0" w:color="auto"/>
              <w:right w:val="single" w:sz="4" w:space="0" w:color="auto"/>
            </w:tcBorders>
            <w:shd w:val="clear" w:color="auto" w:fill="92D050"/>
            <w:vAlign w:val="bottom"/>
            <w:hideMark/>
          </w:tcPr>
          <w:p w14:paraId="487C9EF6" w14:textId="77777777"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eastAsia="en-CA"/>
                <w14:ligatures w14:val="none"/>
              </w:rPr>
              <w:t> </w:t>
            </w:r>
          </w:p>
        </w:tc>
      </w:tr>
    </w:tbl>
    <w:p w14:paraId="28735B72" w14:textId="77777777" w:rsidR="00B87039" w:rsidRPr="00653BF4" w:rsidRDefault="00B87039" w:rsidP="00B87039">
      <w:pPr>
        <w:rPr>
          <w:rStyle w:val="normaltextrun"/>
          <w:rFonts w:cs="Segoe UI"/>
          <w:lang w:val="fr-FR"/>
        </w:rPr>
      </w:pPr>
    </w:p>
    <w:p w14:paraId="6C87F9C1" w14:textId="1013F74F"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sz w:val="16"/>
          <w:szCs w:val="16"/>
          <w:lang w:val="fr-FR"/>
        </w:rPr>
        <w:t> %</w:t>
      </w:r>
      <w:r w:rsidRPr="00653BF4">
        <w:rPr>
          <w:sz w:val="16"/>
          <w:szCs w:val="16"/>
          <w:lang w:val="fr-FR"/>
        </w:rPr>
        <w:t>, le jaune aux valeurs comprises entre 25</w:t>
      </w:r>
      <w:r w:rsidR="002878D7">
        <w:rPr>
          <w:sz w:val="16"/>
          <w:szCs w:val="16"/>
          <w:lang w:val="fr-FR"/>
        </w:rPr>
        <w:t> %</w:t>
      </w:r>
      <w:r w:rsidRPr="00653BF4">
        <w:rPr>
          <w:sz w:val="16"/>
          <w:szCs w:val="16"/>
          <w:lang w:val="fr-FR"/>
        </w:rPr>
        <w:t xml:space="preserve"> et 50 </w:t>
      </w:r>
      <w:r w:rsidR="002878D7">
        <w:rPr>
          <w:sz w:val="16"/>
          <w:szCs w:val="16"/>
          <w:lang w:val="fr-FR"/>
        </w:rPr>
        <w:t> %</w:t>
      </w:r>
      <w:r w:rsidRPr="00653BF4">
        <w:rPr>
          <w:sz w:val="16"/>
          <w:szCs w:val="16"/>
          <w:lang w:val="fr-FR"/>
        </w:rPr>
        <w:t>, et le rouge aux valeurs inférieures à 25</w:t>
      </w:r>
      <w:r w:rsidR="002878D7">
        <w:rPr>
          <w:sz w:val="16"/>
          <w:szCs w:val="16"/>
          <w:lang w:val="fr-FR"/>
        </w:rPr>
        <w:t> %</w:t>
      </w:r>
      <w:r w:rsidRPr="00653BF4">
        <w:rPr>
          <w:sz w:val="16"/>
          <w:szCs w:val="16"/>
          <w:lang w:val="fr-FR"/>
        </w:rPr>
        <w:t xml:space="preserve">) </w:t>
      </w:r>
    </w:p>
    <w:p w14:paraId="37855D0C" w14:textId="77777777" w:rsidR="00B87039" w:rsidRPr="00653BF4" w:rsidRDefault="00B87039" w:rsidP="00B87039">
      <w:pPr>
        <w:pStyle w:val="FootnoteText"/>
        <w:rPr>
          <w:sz w:val="16"/>
          <w:szCs w:val="16"/>
          <w:lang w:val="fr-FR"/>
        </w:rPr>
      </w:pPr>
      <w:r w:rsidRPr="00653BF4">
        <w:rPr>
          <w:vertAlign w:val="superscript"/>
          <w:lang w:val="fr-FR"/>
        </w:rPr>
        <w:t>a</w:t>
      </w:r>
      <w:r w:rsidRPr="00653BF4">
        <w:rPr>
          <w:lang w:val="fr-FR"/>
        </w:rPr>
        <w:t xml:space="preserve"> </w:t>
      </w:r>
      <w:r w:rsidRPr="00653BF4">
        <w:rPr>
          <w:sz w:val="16"/>
          <w:szCs w:val="16"/>
          <w:lang w:val="fr-FR"/>
        </w:rPr>
        <w:t>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p>
    <w:p w14:paraId="124F599F" w14:textId="77777777" w:rsidR="00B87039" w:rsidRPr="00653BF4" w:rsidRDefault="00B87039" w:rsidP="00B87039">
      <w:pPr>
        <w:rPr>
          <w:strike/>
          <w:lang w:val="fr-FR"/>
        </w:rPr>
      </w:pPr>
    </w:p>
    <w:p w14:paraId="092DEE73" w14:textId="77777777" w:rsidR="00B87039" w:rsidRPr="00653BF4" w:rsidRDefault="00B87039" w:rsidP="00B87039">
      <w:pPr>
        <w:rPr>
          <w:rStyle w:val="normaltextrun"/>
          <w:rFonts w:cs="Segoe UI"/>
          <w:lang w:val="fr-FR"/>
        </w:rPr>
      </w:pPr>
    </w:p>
    <w:p w14:paraId="42216268" w14:textId="1C1D6005" w:rsidR="00B87039" w:rsidRPr="00653BF4" w:rsidRDefault="00B87039" w:rsidP="00B87039">
      <w:pPr>
        <w:rPr>
          <w:lang w:val="fr-FR"/>
        </w:rPr>
      </w:pPr>
      <w:r w:rsidRPr="00653BF4">
        <w:rPr>
          <w:lang w:val="fr-FR"/>
        </w:rPr>
        <w:t>Il est difficile de mettre en place une méthode normalisée pour suivre la création et le renforcement des capacités d</w:t>
      </w:r>
      <w:r w:rsidR="00D77549">
        <w:rPr>
          <w:lang w:val="fr-FR"/>
        </w:rPr>
        <w:t>’</w:t>
      </w:r>
      <w:r w:rsidRPr="00653BF4">
        <w:rPr>
          <w:lang w:val="fr-FR"/>
        </w:rPr>
        <w:t>un pays à l</w:t>
      </w:r>
      <w:r w:rsidR="00D77549">
        <w:rPr>
          <w:lang w:val="fr-FR"/>
        </w:rPr>
        <w:t>’</w:t>
      </w:r>
      <w:r w:rsidRPr="00653BF4">
        <w:rPr>
          <w:lang w:val="fr-FR"/>
        </w:rPr>
        <w:t>autre, car chaque pays dispose de structures institutionnelles, de priorités et de capacités existantes différentes. Certaines Parties ont toutefois communiqué des informations quantitatives sur leurs efforts en matière de renforcement des capacités (voir le tableau 44 et la figure 83). Les tendances observées dans les indicateurs communiqués sont globalement stables ou s</w:t>
      </w:r>
      <w:r w:rsidR="00D77549">
        <w:rPr>
          <w:lang w:val="fr-FR"/>
        </w:rPr>
        <w:t>’</w:t>
      </w:r>
      <w:r w:rsidRPr="00653BF4">
        <w:rPr>
          <w:lang w:val="fr-FR"/>
        </w:rPr>
        <w:t xml:space="preserve">améliorent. Comme bon nombre de ces indicateurs mesurent les efforts déployés en matière de mise en œuvre, cela laisse entrevoir des progrès constants dans la mise en place de mesures de renforcement des capacités. Environ deux cinquièmes des indicateurs supplémentaires soumis par les Parties s’inscrivaient directement dans le cadre de la </w:t>
      </w:r>
      <w:r w:rsidR="00E34DC9">
        <w:rPr>
          <w:lang w:val="fr-FR"/>
        </w:rPr>
        <w:t>cible 2</w:t>
      </w:r>
      <w:r w:rsidRPr="00653BF4">
        <w:rPr>
          <w:lang w:val="fr-FR"/>
        </w:rPr>
        <w:t xml:space="preserve">0, la plupart d’entre eux étant axés sur la création et le renforcement des capacités en vue d’une mise en œuvre efficace, sur les capacités en matière de recherche scientifique et de suivi, ainsi que sur la coopération technique et scientifique. Certains indicateurs portaient également </w:t>
      </w:r>
      <w:r w:rsidRPr="00653BF4">
        <w:rPr>
          <w:lang w:val="fr-FR"/>
        </w:rPr>
        <w:lastRenderedPageBreak/>
        <w:t>sur l</w:t>
      </w:r>
      <w:r w:rsidR="00D77549">
        <w:rPr>
          <w:lang w:val="fr-FR"/>
        </w:rPr>
        <w:t>’</w:t>
      </w:r>
      <w:r w:rsidRPr="00653BF4">
        <w:rPr>
          <w:lang w:val="fr-FR"/>
        </w:rPr>
        <w:t>innovation et l</w:t>
      </w:r>
      <w:r w:rsidR="00D77549">
        <w:rPr>
          <w:lang w:val="fr-FR"/>
        </w:rPr>
        <w:t>’</w:t>
      </w:r>
      <w:r w:rsidRPr="00653BF4">
        <w:rPr>
          <w:lang w:val="fr-FR"/>
        </w:rPr>
        <w:t>accès à la technologie, tandis que tous les autres éléments de la cible n</w:t>
      </w:r>
      <w:r w:rsidR="00D77549">
        <w:rPr>
          <w:lang w:val="fr-FR"/>
        </w:rPr>
        <w:t>’</w:t>
      </w:r>
      <w:r w:rsidRPr="00653BF4">
        <w:rPr>
          <w:lang w:val="fr-FR"/>
        </w:rPr>
        <w:t>étaient abordés que de manière limitée.</w:t>
      </w:r>
    </w:p>
    <w:p w14:paraId="15C90534" w14:textId="16070C7C" w:rsidR="00B87039" w:rsidRPr="00653BF4" w:rsidRDefault="00B87039" w:rsidP="00B87039">
      <w:pPr>
        <w:rPr>
          <w:lang w:val="fr-FR"/>
        </w:rPr>
      </w:pPr>
      <w:r w:rsidRPr="00653BF4">
        <w:rPr>
          <w:lang w:val="fr-FR"/>
        </w:rPr>
        <w:t>Les Parties font état de progrès très contrastés, tels que mesurés par l’indicateur binaire portant sur les mesures visant à accroître la création et le renforcement des capacités, ainsi que sur l’accès aux technologies et leur transfert, et à promouvoir l’innovation et la coopération technique et scientifique et l</w:t>
      </w:r>
      <w:r w:rsidR="00D77549">
        <w:rPr>
          <w:lang w:val="fr-FR"/>
        </w:rPr>
        <w:t>’</w:t>
      </w:r>
      <w:r w:rsidRPr="00653BF4">
        <w:rPr>
          <w:lang w:val="fr-FR"/>
        </w:rPr>
        <w:t>accès à celles-ci (voir la figure 82). La plupart des Parties ont fait état de progrès modérés ou importants. Cela laisse entrevoir des progrès constants dans le renforcement des capacités, dont certains premiers résultats sont déjà visibles. Les Parties ont indiqué avoir réalisé les progrès les plus importants dans la mise en place de mesures visant à répondre aux besoins en matière de création et de renforcement des capacités, suivies par la création de partenariats destinés à promouvoir le développement technologique, la recherche et le suivi, tandis que les progrès ont été moins marqués concernant la réalisation d</w:t>
      </w:r>
      <w:r w:rsidR="00D77549">
        <w:rPr>
          <w:lang w:val="fr-FR"/>
        </w:rPr>
        <w:t>’</w:t>
      </w:r>
      <w:r w:rsidRPr="00653BF4">
        <w:rPr>
          <w:lang w:val="fr-FR"/>
        </w:rPr>
        <w:t xml:space="preserve">auto-évaluations des capacités nationales. </w:t>
      </w:r>
    </w:p>
    <w:p w14:paraId="5BD95210" w14:textId="77777777" w:rsidR="00B87039" w:rsidRPr="00653BF4" w:rsidRDefault="00B87039" w:rsidP="00B87039">
      <w:pPr>
        <w:rPr>
          <w:rFonts w:cs="Segoe UI"/>
          <w:sz w:val="20"/>
          <w:szCs w:val="20"/>
          <w:lang w:val="fr-FR"/>
        </w:rPr>
      </w:pPr>
      <w:r w:rsidRPr="00653BF4">
        <w:rPr>
          <w:rFonts w:cs="Segoe UI"/>
          <w:lang w:val="fr-FR"/>
        </w:rPr>
        <w:t>Les Parties ont généralement mis en place des mesures visant à associer les femmes, les jeunes, les peuples autochtones et communautés locales, ainsi que les personnes handicapées, aux actions de renforcement des capacités.</w:t>
      </w:r>
      <w:r w:rsidRPr="00653BF4">
        <w:rPr>
          <w:rFonts w:cs="Segoe UI"/>
          <w:sz w:val="20"/>
          <w:szCs w:val="20"/>
          <w:lang w:val="fr-FR"/>
        </w:rPr>
        <w:t xml:space="preserve"> </w:t>
      </w:r>
    </w:p>
    <w:p w14:paraId="3B2E162A" w14:textId="77777777" w:rsidR="00B87039" w:rsidRPr="00653BF4" w:rsidRDefault="00B87039" w:rsidP="00B87039">
      <w:pPr>
        <w:rPr>
          <w:rFonts w:cs="Segoe UI"/>
          <w:sz w:val="20"/>
          <w:szCs w:val="20"/>
          <w:lang w:val="fr-FR"/>
        </w:rPr>
      </w:pPr>
    </w:p>
    <w:p w14:paraId="721527BD" w14:textId="264AB2C4" w:rsidR="00B87039" w:rsidRPr="00653BF4" w:rsidRDefault="00B87039" w:rsidP="00B87039">
      <w:pPr>
        <w:rPr>
          <w:sz w:val="20"/>
          <w:szCs w:val="20"/>
          <w:lang w:val="fr-FR"/>
        </w:rPr>
      </w:pPr>
      <w:bookmarkStart w:id="392" w:name="_Ref238801326"/>
      <w:r w:rsidRPr="00653BF4">
        <w:rPr>
          <w:sz w:val="20"/>
          <w:szCs w:val="20"/>
          <w:lang w:val="fr-FR"/>
        </w:rPr>
        <w:t>Figure 82</w:t>
      </w:r>
      <w:bookmarkEnd w:id="392"/>
    </w:p>
    <w:p w14:paraId="30A27FBD" w14:textId="4063F02A" w:rsidR="00B87039" w:rsidRPr="00653BF4" w:rsidRDefault="00B87039" w:rsidP="00B87039">
      <w:pPr>
        <w:rPr>
          <w:sz w:val="20"/>
          <w:szCs w:val="20"/>
          <w:lang w:val="fr-FR"/>
        </w:rPr>
      </w:pPr>
      <w:r w:rsidRPr="00653BF4">
        <w:rPr>
          <w:b/>
          <w:bCs/>
          <w:sz w:val="20"/>
          <w:szCs w:val="20"/>
          <w:lang w:val="fr-FR"/>
        </w:rPr>
        <w:t>Indicateur binaire 20.b</w:t>
      </w:r>
      <w:r w:rsidR="00E34DC9">
        <w:rPr>
          <w:b/>
          <w:bCs/>
          <w:sz w:val="20"/>
          <w:szCs w:val="20"/>
          <w:lang w:val="fr-FR"/>
        </w:rPr>
        <w:t> :</w:t>
      </w:r>
      <w:r w:rsidRPr="00653BF4">
        <w:rPr>
          <w:b/>
          <w:bCs/>
          <w:sz w:val="20"/>
          <w:szCs w:val="20"/>
          <w:lang w:val="fr-FR"/>
        </w:rPr>
        <w:t xml:space="preserve"> nombre de pays qui ont pris des mesures importantes pour accroître la création et le renforcement des capacités et l</w:t>
      </w:r>
      <w:r w:rsidR="00D77549">
        <w:rPr>
          <w:b/>
          <w:bCs/>
          <w:sz w:val="20"/>
          <w:szCs w:val="20"/>
          <w:lang w:val="fr-FR"/>
        </w:rPr>
        <w:t>’</w:t>
      </w:r>
      <w:r w:rsidRPr="00653BF4">
        <w:rPr>
          <w:b/>
          <w:bCs/>
          <w:sz w:val="20"/>
          <w:szCs w:val="20"/>
          <w:lang w:val="fr-FR"/>
        </w:rPr>
        <w:t>accès aux technologies et leur transfert, et pour promouvoir le développement de l</w:t>
      </w:r>
      <w:r w:rsidR="00D77549">
        <w:rPr>
          <w:b/>
          <w:bCs/>
          <w:sz w:val="20"/>
          <w:szCs w:val="20"/>
          <w:lang w:val="fr-FR"/>
        </w:rPr>
        <w:t>’</w:t>
      </w:r>
      <w:r w:rsidRPr="00653BF4">
        <w:rPr>
          <w:b/>
          <w:bCs/>
          <w:sz w:val="20"/>
          <w:szCs w:val="20"/>
          <w:lang w:val="fr-FR"/>
        </w:rPr>
        <w:t>innovation et l</w:t>
      </w:r>
      <w:r w:rsidR="00D77549">
        <w:rPr>
          <w:b/>
          <w:bCs/>
          <w:sz w:val="20"/>
          <w:szCs w:val="20"/>
          <w:lang w:val="fr-FR"/>
        </w:rPr>
        <w:t>’</w:t>
      </w:r>
      <w:r w:rsidRPr="00653BF4">
        <w:rPr>
          <w:b/>
          <w:bCs/>
          <w:sz w:val="20"/>
          <w:szCs w:val="20"/>
          <w:lang w:val="fr-FR"/>
        </w:rPr>
        <w:t>accès à celle-ci, ainsi que la coopération technique et scientifique.</w:t>
      </w:r>
    </w:p>
    <w:p w14:paraId="7A18DFA8" w14:textId="77777777" w:rsidR="00B87039" w:rsidRPr="00653BF4" w:rsidRDefault="00B87039" w:rsidP="00B87039">
      <w:pPr>
        <w:pStyle w:val="Caption"/>
        <w:rPr>
          <w:lang w:val="fr-FR"/>
        </w:rPr>
      </w:pPr>
      <w:r w:rsidRPr="00653BF4">
        <w:rPr>
          <w:noProof/>
          <w:lang w:val="fr-FR"/>
          <w14:ligatures w14:val="standardContextual"/>
        </w:rPr>
        <w:drawing>
          <wp:inline distT="0" distB="0" distL="0" distR="0" wp14:anchorId="560F92EA" wp14:editId="2E8410CC">
            <wp:extent cx="5943600" cy="2264410"/>
            <wp:effectExtent l="0" t="0" r="0" b="0"/>
            <wp:docPr id="13150820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082010" name="Picture 1315082010"/>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27492DFD" w14:textId="11733CE3" w:rsidR="00B87039" w:rsidRPr="00653BF4" w:rsidRDefault="00B87039" w:rsidP="00B87039">
      <w:pPr>
        <w:pStyle w:val="Caption"/>
        <w:rPr>
          <w:i w:val="0"/>
          <w:iCs w:val="0"/>
          <w:lang w:val="fr-FR"/>
        </w:rPr>
      </w:pPr>
      <w:r w:rsidRPr="00653BF4">
        <w:rPr>
          <w:i w:val="0"/>
          <w:iCs w:val="0"/>
          <w:lang w:val="fr-FR"/>
        </w:rPr>
        <w:t>Note</w:t>
      </w:r>
      <w:r w:rsidR="00E34DC9">
        <w:rPr>
          <w:i w:val="0"/>
          <w:iCs w:val="0"/>
          <w:lang w:val="fr-FR"/>
        </w:rPr>
        <w:t> :</w:t>
      </w:r>
      <w:r w:rsidRPr="00653BF4">
        <w:rPr>
          <w:i w:val="0"/>
          <w:iCs w:val="0"/>
          <w:lang w:val="fr-FR"/>
        </w:rPr>
        <w:t xml:space="preserve"> La largeur des barres indique le pourcentage de Parties dans chaque catégorie de note, une note plus élevée correspondant à des progrès plus importants. Les notes sont établies d’après les réponses aux questions de l’indicateur</w:t>
      </w:r>
      <w:r w:rsidRPr="00653BF4">
        <w:rPr>
          <w:i w:val="0"/>
          <w:iCs w:val="0"/>
          <w:vertAlign w:val="superscript"/>
          <w:lang w:val="fr-FR"/>
        </w:rPr>
        <w:t>a</w:t>
      </w:r>
      <w:r w:rsidRPr="00653BF4">
        <w:rPr>
          <w:i w:val="0"/>
          <w:iCs w:val="0"/>
          <w:lang w:val="fr-FR"/>
        </w:rPr>
        <w:t>. Le diagramme circulaire représente la répartition par région des Parties ayant répondu à toutes les questions. La couleur de chaque région est indiquée dans la légende de la figure</w:t>
      </w:r>
      <w:r w:rsidR="00E34DC9">
        <w:rPr>
          <w:i w:val="0"/>
          <w:iCs w:val="0"/>
          <w:lang w:val="fr-FR"/>
        </w:rPr>
        <w:t> :</w:t>
      </w:r>
      <w:r w:rsidRPr="00653BF4">
        <w:rPr>
          <w:i w:val="0"/>
          <w:iCs w:val="0"/>
          <w:lang w:val="fr-FR"/>
        </w:rPr>
        <w:t xml:space="preserve"> les tons plus foncés représentent la </w:t>
      </w:r>
      <w:r w:rsidRPr="00653BF4">
        <w:rPr>
          <w:i w:val="0"/>
          <w:iCs w:val="0"/>
          <w:lang w:val="fr-FR"/>
        </w:rPr>
        <w:lastRenderedPageBreak/>
        <w:t>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p w14:paraId="3D76036D" w14:textId="77777777" w:rsidR="00B87039" w:rsidRPr="00653BF4" w:rsidRDefault="00B87039" w:rsidP="00B87039">
      <w:pPr>
        <w:rPr>
          <w:sz w:val="18"/>
          <w:szCs w:val="18"/>
          <w:lang w:val="fr-FR"/>
        </w:rPr>
      </w:pPr>
      <w:r w:rsidRPr="00653BF4">
        <w:rPr>
          <w:sz w:val="18"/>
          <w:szCs w:val="18"/>
          <w:vertAlign w:val="superscript"/>
          <w:lang w:val="fr-FR"/>
        </w:rPr>
        <w:t xml:space="preserve">a </w:t>
      </w:r>
      <w:r w:rsidRPr="00653BF4">
        <w:rPr>
          <w:sz w:val="18"/>
          <w:szCs w:val="18"/>
          <w:lang w:val="fr-FR"/>
        </w:rPr>
        <w:t xml:space="preserve">La méthode de calcul des notes pour chaque indicateur binaire, ainsi que les questions associées à chaque indicateur, figurent dans le document </w:t>
      </w:r>
      <w:hyperlink r:id="rId201" w:history="1">
        <w:r w:rsidRPr="00653BF4">
          <w:rPr>
            <w:rStyle w:val="Hyperlink"/>
            <w:sz w:val="18"/>
            <w:szCs w:val="18"/>
            <w:lang w:val="fr-FR"/>
          </w:rPr>
          <w:t>CBD/COP/16/INF/3/Rev.1</w:t>
        </w:r>
      </w:hyperlink>
      <w:r w:rsidRPr="00653BF4">
        <w:rPr>
          <w:lang w:val="fr-FR"/>
        </w:rPr>
        <w:t>.</w:t>
      </w:r>
    </w:p>
    <w:tbl>
      <w:tblPr>
        <w:tblStyle w:val="TableGrid"/>
        <w:tblW w:w="8861" w:type="dxa"/>
        <w:tblLook w:val="04A0" w:firstRow="1" w:lastRow="0" w:firstColumn="1" w:lastColumn="0" w:noHBand="0" w:noVBand="1"/>
      </w:tblPr>
      <w:tblGrid>
        <w:gridCol w:w="4188"/>
        <w:gridCol w:w="4673"/>
      </w:tblGrid>
      <w:tr w:rsidR="001279A8" w:rsidRPr="00C632B0" w14:paraId="5482A5C0" w14:textId="77777777" w:rsidTr="009B4355">
        <w:tc>
          <w:tcPr>
            <w:tcW w:w="8861" w:type="dxa"/>
            <w:gridSpan w:val="2"/>
          </w:tcPr>
          <w:p w14:paraId="7AF2ED33" w14:textId="77777777" w:rsidR="001279A8" w:rsidRPr="00C632B0" w:rsidRDefault="001279A8" w:rsidP="009B4355">
            <w:pPr>
              <w:rPr>
                <w:rFonts w:ascii="Aptos" w:hAnsi="Aptos"/>
                <w:lang w:val="fr-FR"/>
              </w:rPr>
            </w:pPr>
            <w:r w:rsidRPr="00C632B0">
              <w:rPr>
                <w:rFonts w:ascii="Aptos" w:hAnsi="Aptos"/>
                <w:lang w:val="fr-FR"/>
              </w:rPr>
              <w:t>Figure 82</w:t>
            </w:r>
          </w:p>
        </w:tc>
      </w:tr>
      <w:tr w:rsidR="001279A8" w:rsidRPr="00C632B0" w14:paraId="14F83143" w14:textId="77777777" w:rsidTr="009B4355">
        <w:tc>
          <w:tcPr>
            <w:tcW w:w="4188" w:type="dxa"/>
          </w:tcPr>
          <w:p w14:paraId="331DAA11" w14:textId="77777777" w:rsidR="001279A8" w:rsidRPr="00C632B0" w:rsidRDefault="001279A8" w:rsidP="009B4355">
            <w:pPr>
              <w:rPr>
                <w:rFonts w:ascii="Aptos" w:hAnsi="Aptos"/>
                <w:lang w:val="fr-FR"/>
              </w:rPr>
            </w:pPr>
            <w:r w:rsidRPr="00C632B0">
              <w:rPr>
                <w:rFonts w:ascii="Aptos" w:hAnsi="Aptos"/>
                <w:lang w:val="fr-FR"/>
              </w:rPr>
              <w:t>English</w:t>
            </w:r>
          </w:p>
        </w:tc>
        <w:tc>
          <w:tcPr>
            <w:tcW w:w="4673" w:type="dxa"/>
          </w:tcPr>
          <w:p w14:paraId="1412168F" w14:textId="77777777" w:rsidR="001279A8" w:rsidRPr="00C632B0" w:rsidRDefault="001279A8" w:rsidP="009B4355">
            <w:pPr>
              <w:rPr>
                <w:rFonts w:ascii="Aptos" w:hAnsi="Aptos"/>
                <w:lang w:val="fr-FR"/>
              </w:rPr>
            </w:pPr>
            <w:r>
              <w:rPr>
                <w:rFonts w:ascii="Aptos" w:hAnsi="Aptos"/>
                <w:lang w:val="fr-FR"/>
              </w:rPr>
              <w:t>Français</w:t>
            </w:r>
          </w:p>
        </w:tc>
      </w:tr>
      <w:tr w:rsidR="001279A8" w:rsidRPr="006F7AF8" w14:paraId="2B5C90FD" w14:textId="77777777" w:rsidTr="009B4355">
        <w:tc>
          <w:tcPr>
            <w:tcW w:w="4188" w:type="dxa"/>
          </w:tcPr>
          <w:p w14:paraId="10868B7E" w14:textId="77777777" w:rsidR="001279A8" w:rsidRPr="006F7AF8" w:rsidRDefault="001279A8" w:rsidP="009B4355">
            <w:pPr>
              <w:rPr>
                <w:rFonts w:ascii="Aptos" w:hAnsi="Aptos"/>
                <w:lang w:val="fr-FR"/>
              </w:rPr>
            </w:pPr>
            <w:r w:rsidRPr="006F7AF8">
              <w:rPr>
                <w:rFonts w:ascii="Aptos" w:hAnsi="Aptos"/>
                <w:lang w:val="fr-FR"/>
              </w:rPr>
              <w:t>Answers (percentage)</w:t>
            </w:r>
          </w:p>
        </w:tc>
        <w:tc>
          <w:tcPr>
            <w:tcW w:w="4673" w:type="dxa"/>
          </w:tcPr>
          <w:p w14:paraId="14A22470" w14:textId="77777777" w:rsidR="001279A8" w:rsidRPr="006F7AF8" w:rsidRDefault="001279A8" w:rsidP="009B4355">
            <w:pPr>
              <w:rPr>
                <w:rFonts w:ascii="Aptos" w:hAnsi="Aptos"/>
                <w:lang w:val="fr-FR"/>
              </w:rPr>
            </w:pPr>
            <w:r w:rsidRPr="006F7AF8">
              <w:rPr>
                <w:rFonts w:ascii="Aptos" w:hAnsi="Aptos"/>
                <w:lang w:val="fr-FR"/>
              </w:rPr>
              <w:t>Réponses (pourcentage)</w:t>
            </w:r>
          </w:p>
        </w:tc>
      </w:tr>
      <w:tr w:rsidR="001279A8" w:rsidRPr="006F7AF8" w14:paraId="6E824EA6" w14:textId="77777777" w:rsidTr="009B4355">
        <w:tc>
          <w:tcPr>
            <w:tcW w:w="4188" w:type="dxa"/>
          </w:tcPr>
          <w:p w14:paraId="19330B82" w14:textId="77777777" w:rsidR="001279A8" w:rsidRPr="006F7AF8" w:rsidRDefault="001279A8" w:rsidP="009B4355">
            <w:pPr>
              <w:rPr>
                <w:rFonts w:ascii="Aptos" w:hAnsi="Aptos"/>
                <w:lang w:val="fr-FR"/>
              </w:rPr>
            </w:pPr>
            <w:r w:rsidRPr="006F7AF8">
              <w:rPr>
                <w:rFonts w:ascii="Aptos" w:hAnsi="Aptos"/>
                <w:lang w:val="fr-FR"/>
              </w:rPr>
              <w:t>Score Level</w:t>
            </w:r>
          </w:p>
        </w:tc>
        <w:tc>
          <w:tcPr>
            <w:tcW w:w="4673" w:type="dxa"/>
          </w:tcPr>
          <w:p w14:paraId="564D4CA6" w14:textId="77777777" w:rsidR="001279A8" w:rsidRPr="006F7AF8" w:rsidRDefault="001279A8" w:rsidP="009B4355">
            <w:pPr>
              <w:rPr>
                <w:rFonts w:ascii="Aptos" w:hAnsi="Aptos"/>
                <w:lang w:val="fr-FR"/>
              </w:rPr>
            </w:pPr>
            <w:r>
              <w:rPr>
                <w:rFonts w:ascii="Aptos" w:hAnsi="Aptos"/>
                <w:lang w:val="fr-FR"/>
              </w:rPr>
              <w:t>Note</w:t>
            </w:r>
          </w:p>
        </w:tc>
      </w:tr>
      <w:tr w:rsidR="001279A8" w:rsidRPr="006F7AF8" w14:paraId="44BB3DCA" w14:textId="77777777" w:rsidTr="009B4355">
        <w:tc>
          <w:tcPr>
            <w:tcW w:w="4188" w:type="dxa"/>
          </w:tcPr>
          <w:p w14:paraId="1810280C" w14:textId="77777777" w:rsidR="001279A8" w:rsidRPr="006F7AF8" w:rsidRDefault="001279A8" w:rsidP="009B4355">
            <w:pPr>
              <w:rPr>
                <w:rFonts w:ascii="Aptos" w:hAnsi="Aptos"/>
                <w:lang w:val="fr-FR"/>
              </w:rPr>
            </w:pPr>
            <w:r w:rsidRPr="006F7AF8">
              <w:rPr>
                <w:rFonts w:ascii="Aptos" w:hAnsi="Aptos"/>
                <w:lang w:val="fr-FR"/>
              </w:rPr>
              <w:t>Party count: 127</w:t>
            </w:r>
          </w:p>
        </w:tc>
        <w:tc>
          <w:tcPr>
            <w:tcW w:w="4673" w:type="dxa"/>
          </w:tcPr>
          <w:p w14:paraId="3EDD2402" w14:textId="77777777" w:rsidR="001279A8" w:rsidRPr="006F7AF8" w:rsidRDefault="001279A8" w:rsidP="009B4355">
            <w:pPr>
              <w:rPr>
                <w:rFonts w:ascii="Aptos" w:hAnsi="Aptos"/>
                <w:lang w:val="fr-FR"/>
              </w:rPr>
            </w:pPr>
            <w:r w:rsidRPr="006F7AF8">
              <w:rPr>
                <w:rFonts w:ascii="Aptos" w:hAnsi="Aptos"/>
                <w:lang w:val="fr-FR"/>
              </w:rPr>
              <w:t>Nombre de Parties : 127</w:t>
            </w:r>
          </w:p>
        </w:tc>
      </w:tr>
      <w:tr w:rsidR="001279A8" w:rsidRPr="006F7AF8" w14:paraId="12EB2127" w14:textId="77777777" w:rsidTr="009B4355">
        <w:tc>
          <w:tcPr>
            <w:tcW w:w="4188" w:type="dxa"/>
          </w:tcPr>
          <w:p w14:paraId="5E3E38C9"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14155F06"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2782D70D" w14:textId="77777777" w:rsidTr="009B4355">
        <w:tc>
          <w:tcPr>
            <w:tcW w:w="4188" w:type="dxa"/>
          </w:tcPr>
          <w:p w14:paraId="6163A2F1"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466EE638"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28365DEC" w14:textId="77777777" w:rsidTr="009B4355">
        <w:tc>
          <w:tcPr>
            <w:tcW w:w="4188" w:type="dxa"/>
          </w:tcPr>
          <w:p w14:paraId="6180C5FE" w14:textId="77777777" w:rsidR="001279A8" w:rsidRPr="006F7AF8" w:rsidRDefault="001279A8" w:rsidP="009B4355">
            <w:pPr>
              <w:rPr>
                <w:rFonts w:ascii="Aptos" w:hAnsi="Aptos"/>
                <w:lang w:val="fr-FR"/>
              </w:rPr>
            </w:pPr>
            <w:r w:rsidRPr="006F7AF8">
              <w:rPr>
                <w:rFonts w:ascii="Aptos" w:hAnsi="Aptos"/>
                <w:lang w:val="fr-FR"/>
              </w:rPr>
              <w:t>Asia –Pacific States</w:t>
            </w:r>
          </w:p>
        </w:tc>
        <w:tc>
          <w:tcPr>
            <w:tcW w:w="4673" w:type="dxa"/>
          </w:tcPr>
          <w:p w14:paraId="24388AED"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0CAAFF3C" w14:textId="77777777" w:rsidTr="009B4355">
        <w:tc>
          <w:tcPr>
            <w:tcW w:w="4188" w:type="dxa"/>
          </w:tcPr>
          <w:p w14:paraId="48BDE693"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384365F3"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51FBC08F" w14:textId="77777777" w:rsidTr="009B4355">
        <w:tc>
          <w:tcPr>
            <w:tcW w:w="4188" w:type="dxa"/>
          </w:tcPr>
          <w:p w14:paraId="170E601D"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1D89FEAC"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7834AD06" w14:textId="77777777" w:rsidTr="009B4355">
        <w:tc>
          <w:tcPr>
            <w:tcW w:w="4188" w:type="dxa"/>
          </w:tcPr>
          <w:p w14:paraId="42171101"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3" w:type="dxa"/>
          </w:tcPr>
          <w:p w14:paraId="09F43227"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72E94B19" w14:textId="77777777" w:rsidR="001279A8" w:rsidRDefault="001279A8" w:rsidP="00B87039">
      <w:pPr>
        <w:pStyle w:val="Caption"/>
        <w:rPr>
          <w:i w:val="0"/>
          <w:iCs w:val="0"/>
          <w:sz w:val="20"/>
          <w:szCs w:val="20"/>
          <w:lang w:val="fr-FR"/>
        </w:rPr>
      </w:pPr>
    </w:p>
    <w:p w14:paraId="736E2F22" w14:textId="50233D08" w:rsidR="00B87039" w:rsidRPr="00653BF4" w:rsidRDefault="00B87039" w:rsidP="00B87039">
      <w:pPr>
        <w:pStyle w:val="Caption"/>
        <w:rPr>
          <w:b/>
          <w:bCs/>
          <w:i w:val="0"/>
          <w:iCs w:val="0"/>
          <w:sz w:val="20"/>
          <w:szCs w:val="20"/>
          <w:lang w:val="fr-FR"/>
        </w:rPr>
      </w:pPr>
      <w:r w:rsidRPr="00653BF4">
        <w:rPr>
          <w:i w:val="0"/>
          <w:iCs w:val="0"/>
          <w:sz w:val="20"/>
          <w:szCs w:val="20"/>
          <w:lang w:val="fr-FR"/>
        </w:rPr>
        <w:t>Figure 83</w:t>
      </w:r>
    </w:p>
    <w:p w14:paraId="65131094" w14:textId="51958F10" w:rsidR="00B87039" w:rsidRPr="00653BF4"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2</w:t>
      </w:r>
      <w:r w:rsidRPr="00653BF4">
        <w:rPr>
          <w:b/>
          <w:bCs/>
          <w:i w:val="0"/>
          <w:iCs w:val="0"/>
          <w:sz w:val="20"/>
          <w:szCs w:val="20"/>
          <w:lang w:val="fr-FR"/>
        </w:rPr>
        <w:t>0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0AF98C9A" w14:textId="77777777" w:rsidR="00B87039" w:rsidRPr="00653BF4" w:rsidRDefault="00B87039" w:rsidP="00B87039">
      <w:pPr>
        <w:pStyle w:val="Caption"/>
        <w:rPr>
          <w:lang w:val="fr-FR"/>
        </w:rPr>
      </w:pPr>
      <w:r w:rsidRPr="00653BF4">
        <w:rPr>
          <w:noProof/>
          <w:lang w:val="fr-FR"/>
          <w14:ligatures w14:val="standardContextual"/>
        </w:rPr>
        <w:drawing>
          <wp:inline distT="0" distB="0" distL="0" distR="0" wp14:anchorId="1B852A45" wp14:editId="5EB34978">
            <wp:extent cx="5731510" cy="2456180"/>
            <wp:effectExtent l="0" t="0" r="0" b="0"/>
            <wp:docPr id="181812476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24764" name="Picture 1818124764"/>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2293A645" w14:textId="5EBC0ECF" w:rsidR="00B87039" w:rsidRPr="00653BF4" w:rsidRDefault="00B87039" w:rsidP="00B87039">
      <w:pPr>
        <w:pStyle w:val="Caption"/>
        <w:rPr>
          <w:i w:val="0"/>
          <w:iCs w:val="0"/>
          <w:sz w:val="16"/>
          <w:szCs w:val="16"/>
          <w:lang w:val="fr-FR"/>
        </w:rPr>
      </w:pPr>
      <w:r w:rsidRPr="00653BF4">
        <w:rPr>
          <w:sz w:val="16"/>
          <w:szCs w:val="16"/>
          <w:lang w:val="fr-FR"/>
        </w:rPr>
        <w:t>Note</w:t>
      </w:r>
      <w:r w:rsidR="00E34DC9">
        <w:rPr>
          <w:sz w:val="16"/>
          <w:szCs w:val="16"/>
          <w:lang w:val="fr-FR"/>
        </w:rPr>
        <w:t> :</w:t>
      </w:r>
      <w:r w:rsidRPr="00653BF4">
        <w:rPr>
          <w:i w:val="0"/>
          <w:iCs w:val="0"/>
          <w:sz w:val="16"/>
          <w:szCs w:val="16"/>
          <w:lang w:val="fr-FR"/>
        </w:rPr>
        <w:t xml:space="preserve"> Les proportions sont pondérées par Partie. Les tendances incluent des données relatives à 1 indicateur de composante, 2 indicateurs complémentaires et 67 indicateurs nationaux provenant au total de 24 Parties. Le diagramme circulaire représente la répartition, par région, des Parties ayant communiqué des indicateurs pour la </w:t>
      </w:r>
      <w:r w:rsidR="00E34DC9">
        <w:rPr>
          <w:i w:val="0"/>
          <w:iCs w:val="0"/>
          <w:sz w:val="16"/>
          <w:szCs w:val="16"/>
          <w:lang w:val="fr-FR"/>
        </w:rPr>
        <w:t>cible 2</w:t>
      </w:r>
      <w:r w:rsidRPr="00653BF4">
        <w:rPr>
          <w:i w:val="0"/>
          <w:iCs w:val="0"/>
          <w:sz w:val="16"/>
          <w:szCs w:val="16"/>
          <w:lang w:val="fr-FR"/>
        </w:rPr>
        <w:t>0. La couleur de chaque région est indiquée dans la légende de la figure</w:t>
      </w:r>
      <w:r w:rsidR="00E34DC9">
        <w:rPr>
          <w:i w:val="0"/>
          <w:iCs w:val="0"/>
          <w:sz w:val="16"/>
          <w:szCs w:val="16"/>
          <w:lang w:val="fr-FR"/>
        </w:rPr>
        <w:t> :</w:t>
      </w:r>
      <w:r w:rsidRPr="00653BF4">
        <w:rPr>
          <w:i w:val="0"/>
          <w:iCs w:val="0"/>
          <w:sz w:val="16"/>
          <w:szCs w:val="16"/>
          <w:lang w:val="fr-FR"/>
        </w:rPr>
        <w:t xml:space="preserve"> les tons plus foncés représentent la proportion de Parties de chaque région dont les données figurent dans le graphique</w:t>
      </w:r>
      <w:r w:rsidR="00E34DC9">
        <w:rPr>
          <w:i w:val="0"/>
          <w:iCs w:val="0"/>
          <w:sz w:val="16"/>
          <w:szCs w:val="16"/>
          <w:lang w:val="fr-FR"/>
        </w:rPr>
        <w:t> ;</w:t>
      </w:r>
      <w:r w:rsidRPr="00653BF4">
        <w:rPr>
          <w:i w:val="0"/>
          <w:iCs w:val="0"/>
          <w:sz w:val="16"/>
          <w:szCs w:val="16"/>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1279A8" w:rsidRPr="00515200" w14:paraId="3C04F1B2" w14:textId="77777777" w:rsidTr="009B4355">
        <w:tc>
          <w:tcPr>
            <w:tcW w:w="8861" w:type="dxa"/>
            <w:gridSpan w:val="2"/>
          </w:tcPr>
          <w:p w14:paraId="10B2F245" w14:textId="77777777" w:rsidR="001279A8" w:rsidRPr="00515200" w:rsidRDefault="001279A8" w:rsidP="009B4355">
            <w:pPr>
              <w:rPr>
                <w:rFonts w:ascii="Aptos" w:hAnsi="Aptos"/>
                <w:lang w:val="fr-FR"/>
              </w:rPr>
            </w:pPr>
            <w:r w:rsidRPr="00515200">
              <w:rPr>
                <w:rFonts w:ascii="Aptos" w:hAnsi="Aptos"/>
                <w:lang w:val="fr-FR"/>
              </w:rPr>
              <w:t>Figure 83</w:t>
            </w:r>
          </w:p>
        </w:tc>
      </w:tr>
      <w:tr w:rsidR="001279A8" w:rsidRPr="00515200" w14:paraId="768FB29B" w14:textId="77777777" w:rsidTr="009B4355">
        <w:tc>
          <w:tcPr>
            <w:tcW w:w="4188" w:type="dxa"/>
          </w:tcPr>
          <w:p w14:paraId="24B90F16" w14:textId="77777777" w:rsidR="001279A8" w:rsidRPr="00515200" w:rsidRDefault="001279A8" w:rsidP="009B4355">
            <w:pPr>
              <w:rPr>
                <w:rFonts w:ascii="Aptos" w:hAnsi="Aptos"/>
                <w:lang w:val="fr-FR"/>
              </w:rPr>
            </w:pPr>
            <w:r w:rsidRPr="00515200">
              <w:rPr>
                <w:rFonts w:ascii="Aptos" w:hAnsi="Aptos"/>
                <w:lang w:val="fr-FR"/>
              </w:rPr>
              <w:t xml:space="preserve">English </w:t>
            </w:r>
          </w:p>
        </w:tc>
        <w:tc>
          <w:tcPr>
            <w:tcW w:w="4673" w:type="dxa"/>
          </w:tcPr>
          <w:p w14:paraId="6A84752A" w14:textId="77777777" w:rsidR="001279A8" w:rsidRPr="00515200" w:rsidRDefault="001279A8" w:rsidP="009B4355">
            <w:pPr>
              <w:rPr>
                <w:rFonts w:ascii="Aptos" w:hAnsi="Aptos"/>
                <w:lang w:val="fr-FR"/>
              </w:rPr>
            </w:pPr>
            <w:r>
              <w:rPr>
                <w:rFonts w:ascii="Aptos" w:hAnsi="Aptos"/>
                <w:lang w:val="fr-FR"/>
              </w:rPr>
              <w:t>Français</w:t>
            </w:r>
          </w:p>
        </w:tc>
      </w:tr>
      <w:tr w:rsidR="001279A8" w:rsidRPr="006F7AF8" w14:paraId="1A2533D3" w14:textId="77777777" w:rsidTr="009B4355">
        <w:tc>
          <w:tcPr>
            <w:tcW w:w="4188" w:type="dxa"/>
          </w:tcPr>
          <w:p w14:paraId="01C3E929" w14:textId="77777777" w:rsidR="001279A8" w:rsidRPr="006F7AF8" w:rsidRDefault="001279A8" w:rsidP="009B4355">
            <w:pPr>
              <w:rPr>
                <w:rFonts w:ascii="Aptos" w:hAnsi="Aptos"/>
                <w:lang w:val="fr-FR"/>
              </w:rPr>
            </w:pPr>
            <w:r w:rsidRPr="006F7AF8">
              <w:rPr>
                <w:rFonts w:ascii="Aptos" w:hAnsi="Aptos"/>
                <w:lang w:val="fr-FR"/>
              </w:rPr>
              <w:t>Proportion</w:t>
            </w:r>
          </w:p>
        </w:tc>
        <w:tc>
          <w:tcPr>
            <w:tcW w:w="4673" w:type="dxa"/>
          </w:tcPr>
          <w:p w14:paraId="53D47F51" w14:textId="77777777" w:rsidR="001279A8" w:rsidRPr="006F7AF8" w:rsidRDefault="001279A8" w:rsidP="009B4355">
            <w:pPr>
              <w:rPr>
                <w:rFonts w:ascii="Aptos" w:hAnsi="Aptos"/>
                <w:lang w:val="fr-FR"/>
              </w:rPr>
            </w:pPr>
            <w:r w:rsidRPr="006F7AF8">
              <w:rPr>
                <w:rFonts w:ascii="Aptos" w:hAnsi="Aptos"/>
                <w:lang w:val="fr-FR"/>
              </w:rPr>
              <w:t>Proportion</w:t>
            </w:r>
          </w:p>
        </w:tc>
      </w:tr>
      <w:tr w:rsidR="001279A8" w:rsidRPr="006F7AF8" w14:paraId="3D66BE49" w14:textId="77777777" w:rsidTr="009B4355">
        <w:tc>
          <w:tcPr>
            <w:tcW w:w="4188" w:type="dxa"/>
          </w:tcPr>
          <w:p w14:paraId="2041F7A0" w14:textId="77777777" w:rsidR="001279A8" w:rsidRPr="006F7AF8" w:rsidRDefault="001279A8" w:rsidP="009B4355">
            <w:pPr>
              <w:rPr>
                <w:rFonts w:ascii="Aptos" w:hAnsi="Aptos"/>
                <w:lang w:val="fr-FR"/>
              </w:rPr>
            </w:pPr>
            <w:r w:rsidRPr="006F7AF8">
              <w:rPr>
                <w:rFonts w:ascii="Aptos" w:hAnsi="Aptos"/>
                <w:lang w:val="fr-FR"/>
              </w:rPr>
              <w:t>Current Status</w:t>
            </w:r>
          </w:p>
        </w:tc>
        <w:tc>
          <w:tcPr>
            <w:tcW w:w="4673" w:type="dxa"/>
          </w:tcPr>
          <w:p w14:paraId="1DC58407" w14:textId="77777777" w:rsidR="001279A8" w:rsidRPr="006F7AF8" w:rsidRDefault="001279A8" w:rsidP="009B4355">
            <w:pPr>
              <w:rPr>
                <w:rFonts w:ascii="Aptos" w:hAnsi="Aptos"/>
                <w:lang w:val="fr-FR"/>
              </w:rPr>
            </w:pPr>
            <w:r w:rsidRPr="006F7AF8">
              <w:rPr>
                <w:rFonts w:ascii="Aptos" w:hAnsi="Aptos"/>
                <w:lang w:val="fr-FR"/>
              </w:rPr>
              <w:t>État actuel</w:t>
            </w:r>
          </w:p>
        </w:tc>
      </w:tr>
      <w:tr w:rsidR="001279A8" w:rsidRPr="006F7AF8" w14:paraId="25C8937B" w14:textId="77777777" w:rsidTr="009B4355">
        <w:tc>
          <w:tcPr>
            <w:tcW w:w="4188" w:type="dxa"/>
          </w:tcPr>
          <w:p w14:paraId="299EC3C6" w14:textId="77777777" w:rsidR="001279A8" w:rsidRPr="006F7AF8" w:rsidRDefault="001279A8" w:rsidP="009B4355">
            <w:pPr>
              <w:rPr>
                <w:rFonts w:ascii="Aptos" w:hAnsi="Aptos"/>
                <w:lang w:val="fr-FR"/>
              </w:rPr>
            </w:pPr>
            <w:r w:rsidRPr="006F7AF8">
              <w:rPr>
                <w:rFonts w:ascii="Aptos" w:hAnsi="Aptos"/>
                <w:lang w:val="fr-FR"/>
              </w:rPr>
              <w:lastRenderedPageBreak/>
              <w:t>improving</w:t>
            </w:r>
          </w:p>
        </w:tc>
        <w:tc>
          <w:tcPr>
            <w:tcW w:w="4673" w:type="dxa"/>
          </w:tcPr>
          <w:p w14:paraId="4AC940D2" w14:textId="77777777" w:rsidR="001279A8" w:rsidRPr="006F7AF8" w:rsidRDefault="001279A8" w:rsidP="009B4355">
            <w:pPr>
              <w:rPr>
                <w:rFonts w:ascii="Aptos" w:hAnsi="Aptos"/>
                <w:lang w:val="fr-FR"/>
              </w:rPr>
            </w:pPr>
            <w:r>
              <w:rPr>
                <w:rFonts w:ascii="Aptos" w:hAnsi="Aptos"/>
                <w:lang w:val="fr-FR"/>
              </w:rPr>
              <w:t>amélioration</w:t>
            </w:r>
          </w:p>
        </w:tc>
      </w:tr>
      <w:tr w:rsidR="001279A8" w:rsidRPr="006F7AF8" w14:paraId="7DD281E4" w14:textId="77777777" w:rsidTr="009B4355">
        <w:tc>
          <w:tcPr>
            <w:tcW w:w="4188" w:type="dxa"/>
          </w:tcPr>
          <w:p w14:paraId="1ACE8B56" w14:textId="77777777" w:rsidR="001279A8" w:rsidRPr="006F7AF8" w:rsidRDefault="001279A8" w:rsidP="009B4355">
            <w:pPr>
              <w:rPr>
                <w:rFonts w:ascii="Aptos" w:hAnsi="Aptos"/>
                <w:lang w:val="fr-FR"/>
              </w:rPr>
            </w:pPr>
            <w:r w:rsidRPr="006F7AF8">
              <w:rPr>
                <w:rFonts w:ascii="Aptos" w:hAnsi="Aptos"/>
                <w:lang w:val="fr-FR"/>
              </w:rPr>
              <w:t>stable</w:t>
            </w:r>
          </w:p>
        </w:tc>
        <w:tc>
          <w:tcPr>
            <w:tcW w:w="4673" w:type="dxa"/>
          </w:tcPr>
          <w:p w14:paraId="00C417D2" w14:textId="77777777" w:rsidR="001279A8" w:rsidRPr="006F7AF8" w:rsidRDefault="001279A8"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1279A8" w:rsidRPr="006F7AF8" w14:paraId="337C2C34" w14:textId="77777777" w:rsidTr="009B4355">
        <w:tc>
          <w:tcPr>
            <w:tcW w:w="4188" w:type="dxa"/>
          </w:tcPr>
          <w:p w14:paraId="0FCE0749" w14:textId="77777777" w:rsidR="001279A8" w:rsidRPr="006F7AF8" w:rsidRDefault="001279A8" w:rsidP="009B4355">
            <w:pPr>
              <w:rPr>
                <w:rFonts w:ascii="Aptos" w:hAnsi="Aptos"/>
                <w:lang w:val="fr-FR"/>
              </w:rPr>
            </w:pPr>
            <w:r w:rsidRPr="006F7AF8">
              <w:rPr>
                <w:rFonts w:ascii="Aptos" w:hAnsi="Aptos"/>
                <w:lang w:val="fr-FR"/>
              </w:rPr>
              <w:t>moving away</w:t>
            </w:r>
          </w:p>
        </w:tc>
        <w:tc>
          <w:tcPr>
            <w:tcW w:w="4673" w:type="dxa"/>
          </w:tcPr>
          <w:p w14:paraId="6DFA397C" w14:textId="77777777" w:rsidR="001279A8" w:rsidRPr="006F7AF8" w:rsidRDefault="001279A8" w:rsidP="009B4355">
            <w:pPr>
              <w:rPr>
                <w:rFonts w:ascii="Aptos" w:hAnsi="Aptos"/>
                <w:lang w:val="fr-FR"/>
              </w:rPr>
            </w:pPr>
            <w:r>
              <w:rPr>
                <w:rFonts w:ascii="Aptos" w:hAnsi="Aptos"/>
                <w:lang w:val="fr-FR"/>
              </w:rPr>
              <w:t>éloignement</w:t>
            </w:r>
          </w:p>
        </w:tc>
      </w:tr>
      <w:tr w:rsidR="001279A8" w:rsidRPr="006F7AF8" w14:paraId="565FE152" w14:textId="77777777" w:rsidTr="009B4355">
        <w:tc>
          <w:tcPr>
            <w:tcW w:w="4188" w:type="dxa"/>
          </w:tcPr>
          <w:p w14:paraId="3DB89EEF" w14:textId="77777777" w:rsidR="001279A8" w:rsidRPr="006F7AF8" w:rsidRDefault="001279A8" w:rsidP="009B4355">
            <w:pPr>
              <w:rPr>
                <w:rFonts w:ascii="Aptos" w:hAnsi="Aptos"/>
                <w:lang w:val="fr-FR"/>
              </w:rPr>
            </w:pPr>
            <w:r w:rsidRPr="006F7AF8">
              <w:rPr>
                <w:rFonts w:ascii="Aptos" w:hAnsi="Aptos"/>
                <w:lang w:val="fr-FR"/>
              </w:rPr>
              <w:t>Party count: 24</w:t>
            </w:r>
          </w:p>
        </w:tc>
        <w:tc>
          <w:tcPr>
            <w:tcW w:w="4673" w:type="dxa"/>
          </w:tcPr>
          <w:p w14:paraId="6EB5FAB5" w14:textId="77777777" w:rsidR="001279A8" w:rsidRPr="006F7AF8" w:rsidRDefault="001279A8" w:rsidP="009B4355">
            <w:pPr>
              <w:rPr>
                <w:rFonts w:ascii="Aptos" w:hAnsi="Aptos"/>
                <w:lang w:val="fr-FR"/>
              </w:rPr>
            </w:pPr>
            <w:r w:rsidRPr="006F7AF8">
              <w:rPr>
                <w:rFonts w:ascii="Aptos" w:hAnsi="Aptos"/>
                <w:lang w:val="fr-FR"/>
              </w:rPr>
              <w:t>Nombre de Parties : 24</w:t>
            </w:r>
          </w:p>
        </w:tc>
      </w:tr>
      <w:tr w:rsidR="001279A8" w:rsidRPr="006F7AF8" w14:paraId="761C3A42" w14:textId="77777777" w:rsidTr="009B4355">
        <w:tc>
          <w:tcPr>
            <w:tcW w:w="4188" w:type="dxa"/>
          </w:tcPr>
          <w:p w14:paraId="3753F276"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2A897362"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0C7F1988" w14:textId="77777777" w:rsidTr="009B4355">
        <w:tc>
          <w:tcPr>
            <w:tcW w:w="4188" w:type="dxa"/>
          </w:tcPr>
          <w:p w14:paraId="33F3F701"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3157B31C"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49EB344D" w14:textId="77777777" w:rsidTr="009B4355">
        <w:tc>
          <w:tcPr>
            <w:tcW w:w="4188" w:type="dxa"/>
          </w:tcPr>
          <w:p w14:paraId="03034084" w14:textId="77777777" w:rsidR="001279A8" w:rsidRPr="006F7AF8" w:rsidRDefault="001279A8" w:rsidP="009B4355">
            <w:pPr>
              <w:rPr>
                <w:rFonts w:ascii="Aptos" w:hAnsi="Aptos"/>
                <w:lang w:val="fr-FR"/>
              </w:rPr>
            </w:pPr>
            <w:r w:rsidRPr="006F7AF8">
              <w:rPr>
                <w:rFonts w:ascii="Aptos" w:hAnsi="Aptos"/>
                <w:lang w:val="fr-FR"/>
              </w:rPr>
              <w:t>Asia –Pacific States</w:t>
            </w:r>
          </w:p>
        </w:tc>
        <w:tc>
          <w:tcPr>
            <w:tcW w:w="4673" w:type="dxa"/>
          </w:tcPr>
          <w:p w14:paraId="2ECEADB8" w14:textId="77777777" w:rsidR="001279A8" w:rsidRPr="006F7AF8" w:rsidRDefault="001279A8" w:rsidP="009B4355">
            <w:pPr>
              <w:rPr>
                <w:rFonts w:ascii="Aptos" w:hAnsi="Aptos"/>
                <w:lang w:val="fr-FR"/>
              </w:rPr>
            </w:pPr>
            <w:r w:rsidRPr="006F7AF8">
              <w:rPr>
                <w:rStyle w:val="dockedpanel"/>
                <w:lang w:val="fr-FR"/>
              </w:rPr>
              <w:t>États d</w:t>
            </w:r>
            <w:r>
              <w:rPr>
                <w:rStyle w:val="dockedpanel"/>
                <w:lang w:val="fr-FR"/>
              </w:rPr>
              <w:t>’</w:t>
            </w:r>
            <w:r w:rsidRPr="006F7AF8">
              <w:rPr>
                <w:rStyle w:val="dockedpanel"/>
                <w:lang w:val="fr-FR"/>
              </w:rPr>
              <w:t>Asie et du Pacifique</w:t>
            </w:r>
          </w:p>
        </w:tc>
      </w:tr>
      <w:tr w:rsidR="001279A8" w:rsidRPr="006F7AF8" w14:paraId="7ABB9D68" w14:textId="77777777" w:rsidTr="009B4355">
        <w:tc>
          <w:tcPr>
            <w:tcW w:w="4188" w:type="dxa"/>
          </w:tcPr>
          <w:p w14:paraId="5F425140"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0E33F7F1"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7C2FDE84" w14:textId="77777777" w:rsidTr="009B4355">
        <w:tc>
          <w:tcPr>
            <w:tcW w:w="4188" w:type="dxa"/>
          </w:tcPr>
          <w:p w14:paraId="0A929C37"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357FA028"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759F175E" w14:textId="77777777" w:rsidTr="009B4355">
        <w:tc>
          <w:tcPr>
            <w:tcW w:w="4188" w:type="dxa"/>
          </w:tcPr>
          <w:p w14:paraId="537872CD"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3" w:type="dxa"/>
          </w:tcPr>
          <w:p w14:paraId="4ED8FE42"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55E72FF" w14:textId="77777777" w:rsidR="00B87039" w:rsidRPr="00653BF4" w:rsidRDefault="00B87039" w:rsidP="00B87039">
      <w:pPr>
        <w:pStyle w:val="Caption"/>
        <w:rPr>
          <w:lang w:val="fr-FR"/>
        </w:rPr>
      </w:pPr>
    </w:p>
    <w:p w14:paraId="636E5084" w14:textId="11C30D00" w:rsidR="00B87039" w:rsidRPr="00653BF4" w:rsidRDefault="00B87039" w:rsidP="00B87039">
      <w:pPr>
        <w:pStyle w:val="Heading5"/>
        <w:rPr>
          <w:lang w:val="fr-FR"/>
        </w:rPr>
      </w:pPr>
      <w:bookmarkStart w:id="393" w:name="_Toc235821295"/>
      <w:r w:rsidRPr="00653BF4">
        <w:rPr>
          <w:lang w:val="fr-FR"/>
        </w:rPr>
        <w:t>Auto-évaluation des progrès accomplis</w:t>
      </w:r>
      <w:bookmarkEnd w:id="393"/>
    </w:p>
    <w:p w14:paraId="1A13B46B" w14:textId="5FD08BAE" w:rsidR="00B87039" w:rsidRPr="00653BF4" w:rsidRDefault="00B87039" w:rsidP="00B87039">
      <w:pPr>
        <w:rPr>
          <w:rStyle w:val="normaltextrun"/>
          <w:lang w:val="fr-FR"/>
        </w:rPr>
      </w:pPr>
      <w:r w:rsidRPr="00653BF4">
        <w:rPr>
          <w:lang w:val="fr-FR"/>
        </w:rPr>
        <w:t>D’après les auto-évaluations des Parties figurant dans leurs rapports nationaux, près de la moitié (44</w:t>
      </w:r>
      <w:r w:rsidR="002878D7">
        <w:rPr>
          <w:lang w:val="fr-FR"/>
        </w:rPr>
        <w:t> %</w:t>
      </w:r>
      <w:r w:rsidRPr="00653BF4">
        <w:rPr>
          <w:lang w:val="fr-FR"/>
        </w:rPr>
        <w:t xml:space="preserve">) des cibles nationales qu’elles ont présentées comme étroitement alignées sur la </w:t>
      </w:r>
      <w:r w:rsidR="00E34DC9">
        <w:rPr>
          <w:lang w:val="fr-FR"/>
        </w:rPr>
        <w:t>cible 2</w:t>
      </w:r>
      <w:r w:rsidRPr="00653BF4">
        <w:rPr>
          <w:lang w:val="fr-FR"/>
        </w:rPr>
        <w:t>0 sont en voie d</w:t>
      </w:r>
      <w:r w:rsidR="00D77549">
        <w:rPr>
          <w:lang w:val="fr-FR"/>
        </w:rPr>
        <w:t>’</w:t>
      </w:r>
      <w:r w:rsidRPr="00653BF4">
        <w:rPr>
          <w:lang w:val="fr-FR"/>
        </w:rPr>
        <w:t>être atteintes, alors qu</w:t>
      </w:r>
      <w:r w:rsidR="00D77549">
        <w:rPr>
          <w:lang w:val="fr-FR"/>
        </w:rPr>
        <w:t>’</w:t>
      </w:r>
      <w:r w:rsidRPr="00653BF4">
        <w:rPr>
          <w:lang w:val="fr-FR"/>
        </w:rPr>
        <w:t>à peine plus de la moitié (51</w:t>
      </w:r>
      <w:r w:rsidR="002878D7">
        <w:rPr>
          <w:lang w:val="fr-FR"/>
        </w:rPr>
        <w:t> %</w:t>
      </w:r>
      <w:r w:rsidRPr="00653BF4">
        <w:rPr>
          <w:lang w:val="fr-FR"/>
        </w:rPr>
        <w:t>) n</w:t>
      </w:r>
      <w:r w:rsidR="00D77549">
        <w:rPr>
          <w:lang w:val="fr-FR"/>
        </w:rPr>
        <w:t>’</w:t>
      </w:r>
      <w:r w:rsidRPr="00653BF4">
        <w:rPr>
          <w:lang w:val="fr-FR"/>
        </w:rPr>
        <w:t>enregistrent aucun changement notable ou des progrès insuffisants, et que trois cibles nationales (2</w:t>
      </w:r>
      <w:r w:rsidR="002878D7">
        <w:rPr>
          <w:lang w:val="fr-FR"/>
        </w:rPr>
        <w:t> %</w:t>
      </w:r>
      <w:r w:rsidRPr="00653BF4">
        <w:rPr>
          <w:lang w:val="fr-FR"/>
        </w:rPr>
        <w:t>) sont déclarées déjà atteintes (voir la figure 84).</w:t>
      </w:r>
    </w:p>
    <w:p w14:paraId="00FD25E5" w14:textId="77777777" w:rsidR="00B87039" w:rsidRPr="00653BF4" w:rsidRDefault="00B87039" w:rsidP="00B87039">
      <w:pPr>
        <w:rPr>
          <w:rStyle w:val="normaltextrun"/>
          <w:lang w:val="fr-FR"/>
        </w:rPr>
      </w:pPr>
    </w:p>
    <w:p w14:paraId="0AA37E70" w14:textId="77777777" w:rsidR="00B87039" w:rsidRPr="00653BF4" w:rsidRDefault="00B87039" w:rsidP="00B87039">
      <w:pPr>
        <w:rPr>
          <w:sz w:val="20"/>
          <w:szCs w:val="20"/>
          <w:lang w:val="fr-FR"/>
        </w:rPr>
      </w:pPr>
      <w:r w:rsidRPr="00653BF4">
        <w:rPr>
          <w:sz w:val="20"/>
          <w:szCs w:val="20"/>
          <w:lang w:val="fr-FR"/>
        </w:rPr>
        <w:t>Figure 84</w:t>
      </w:r>
    </w:p>
    <w:p w14:paraId="3D3643AA" w14:textId="462344AF" w:rsidR="00B87039" w:rsidRPr="00653BF4"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2</w:t>
      </w:r>
      <w:r w:rsidRPr="00653BF4">
        <w:rPr>
          <w:b/>
          <w:bCs/>
          <w:i w:val="0"/>
          <w:iCs w:val="0"/>
          <w:sz w:val="20"/>
          <w:szCs w:val="20"/>
          <w:lang w:val="fr-FR"/>
        </w:rPr>
        <w:t>0 du Cadre</w:t>
      </w:r>
    </w:p>
    <w:p w14:paraId="42D703C6" w14:textId="77777777" w:rsidR="00B87039" w:rsidRPr="00653BF4" w:rsidRDefault="00B87039" w:rsidP="00B87039">
      <w:pPr>
        <w:rPr>
          <w:rStyle w:val="eop"/>
          <w:lang w:val="fr-FR"/>
        </w:rPr>
      </w:pPr>
      <w:r w:rsidRPr="00653BF4">
        <w:rPr>
          <w:rStyle w:val="eop"/>
          <w:lang w:val="fr-FR"/>
        </w:rPr>
        <w:t> </w:t>
      </w:r>
      <w:r w:rsidRPr="00653BF4">
        <w:rPr>
          <w:rFonts w:eastAsia="Aptos" w:cs="Aptos"/>
          <w:noProof/>
          <w:lang w:val="fr-FR"/>
        </w:rPr>
        <w:drawing>
          <wp:inline distT="0" distB="0" distL="0" distR="0" wp14:anchorId="1F166779" wp14:editId="398C4F7E">
            <wp:extent cx="5731510" cy="2292350"/>
            <wp:effectExtent l="0" t="0" r="0" b="6350"/>
            <wp:docPr id="1504974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974542" name="Picture 1504974542"/>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4DB8A8C2" w14:textId="4D3BFE2F"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lang w:val="fr-FR"/>
        </w:rPr>
        <w:t xml:space="preserve"> </w:t>
      </w:r>
      <w:r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9463" w:type="dxa"/>
        <w:tblLook w:val="04A0" w:firstRow="1" w:lastRow="0" w:firstColumn="1" w:lastColumn="0" w:noHBand="0" w:noVBand="1"/>
      </w:tblPr>
      <w:tblGrid>
        <w:gridCol w:w="4390"/>
        <w:gridCol w:w="5073"/>
      </w:tblGrid>
      <w:tr w:rsidR="001279A8" w:rsidRPr="00A54F91" w14:paraId="048A07A0" w14:textId="77777777" w:rsidTr="009B4355">
        <w:tc>
          <w:tcPr>
            <w:tcW w:w="9463" w:type="dxa"/>
            <w:gridSpan w:val="2"/>
          </w:tcPr>
          <w:p w14:paraId="56AB4BDB" w14:textId="77777777" w:rsidR="001279A8" w:rsidRPr="00A54F91" w:rsidRDefault="001279A8" w:rsidP="009B4355">
            <w:pPr>
              <w:rPr>
                <w:rFonts w:ascii="Aptos" w:hAnsi="Aptos"/>
                <w:lang w:val="fr-FR"/>
              </w:rPr>
            </w:pPr>
            <w:r w:rsidRPr="00A54F91">
              <w:rPr>
                <w:rFonts w:ascii="Aptos" w:hAnsi="Aptos"/>
                <w:lang w:val="fr-FR"/>
              </w:rPr>
              <w:lastRenderedPageBreak/>
              <w:t>Figure 84</w:t>
            </w:r>
          </w:p>
        </w:tc>
      </w:tr>
      <w:tr w:rsidR="001279A8" w:rsidRPr="00A54F91" w14:paraId="2C52AEAC" w14:textId="77777777" w:rsidTr="009B4355">
        <w:tc>
          <w:tcPr>
            <w:tcW w:w="4390" w:type="dxa"/>
          </w:tcPr>
          <w:p w14:paraId="3E532A4A" w14:textId="77777777" w:rsidR="001279A8" w:rsidRPr="00A54F91" w:rsidRDefault="001279A8" w:rsidP="009B4355">
            <w:pPr>
              <w:rPr>
                <w:rFonts w:ascii="Aptos" w:hAnsi="Aptos"/>
                <w:lang w:val="fr-FR"/>
              </w:rPr>
            </w:pPr>
            <w:r w:rsidRPr="00A54F91">
              <w:rPr>
                <w:rFonts w:ascii="Aptos" w:hAnsi="Aptos"/>
                <w:lang w:val="fr-FR"/>
              </w:rPr>
              <w:t xml:space="preserve">English </w:t>
            </w:r>
          </w:p>
        </w:tc>
        <w:tc>
          <w:tcPr>
            <w:tcW w:w="5073" w:type="dxa"/>
          </w:tcPr>
          <w:p w14:paraId="178A3652" w14:textId="77777777" w:rsidR="001279A8" w:rsidRPr="00A54F91" w:rsidRDefault="001279A8" w:rsidP="009B4355">
            <w:pPr>
              <w:rPr>
                <w:rFonts w:ascii="Aptos" w:hAnsi="Aptos"/>
                <w:lang w:val="fr-FR"/>
              </w:rPr>
            </w:pPr>
            <w:r>
              <w:rPr>
                <w:rFonts w:ascii="Aptos" w:hAnsi="Aptos"/>
                <w:lang w:val="fr-FR"/>
              </w:rPr>
              <w:t>Français</w:t>
            </w:r>
          </w:p>
        </w:tc>
      </w:tr>
      <w:tr w:rsidR="001279A8" w:rsidRPr="006F7AF8" w14:paraId="3C588872" w14:textId="77777777" w:rsidTr="009B4355">
        <w:tc>
          <w:tcPr>
            <w:tcW w:w="4390" w:type="dxa"/>
          </w:tcPr>
          <w:p w14:paraId="7B03CFE0" w14:textId="77777777" w:rsidR="001279A8" w:rsidRPr="006F7AF8" w:rsidRDefault="001279A8" w:rsidP="009B4355">
            <w:pPr>
              <w:rPr>
                <w:rFonts w:ascii="Aptos" w:hAnsi="Aptos"/>
                <w:lang w:val="fr-FR"/>
              </w:rPr>
            </w:pPr>
            <w:r w:rsidRPr="006F7AF8">
              <w:rPr>
                <w:rFonts w:ascii="Aptos" w:hAnsi="Aptos"/>
                <w:lang w:val="fr-FR"/>
              </w:rPr>
              <w:t>Percentage of national targets</w:t>
            </w:r>
          </w:p>
        </w:tc>
        <w:tc>
          <w:tcPr>
            <w:tcW w:w="5073" w:type="dxa"/>
          </w:tcPr>
          <w:p w14:paraId="5C4ACAF2" w14:textId="77777777" w:rsidR="001279A8" w:rsidRPr="006F7AF8" w:rsidRDefault="001279A8" w:rsidP="009B4355">
            <w:pPr>
              <w:rPr>
                <w:rFonts w:ascii="Aptos" w:hAnsi="Aptos"/>
                <w:lang w:val="fr-FR"/>
              </w:rPr>
            </w:pPr>
            <w:r w:rsidRPr="006F7AF8">
              <w:rPr>
                <w:rFonts w:ascii="Aptos" w:hAnsi="Aptos"/>
                <w:lang w:val="fr-FR"/>
              </w:rPr>
              <w:t>Pourcentage de cibles nationales</w:t>
            </w:r>
          </w:p>
        </w:tc>
      </w:tr>
      <w:tr w:rsidR="001279A8" w:rsidRPr="006F7AF8" w14:paraId="7E5DD9E3" w14:textId="77777777" w:rsidTr="009B4355">
        <w:tc>
          <w:tcPr>
            <w:tcW w:w="4390" w:type="dxa"/>
          </w:tcPr>
          <w:p w14:paraId="2B7751C9" w14:textId="77777777" w:rsidR="001279A8" w:rsidRPr="006F7AF8" w:rsidRDefault="001279A8" w:rsidP="009B4355">
            <w:pPr>
              <w:rPr>
                <w:rFonts w:ascii="Aptos" w:hAnsi="Aptos"/>
                <w:lang w:val="fr-FR"/>
              </w:rPr>
            </w:pPr>
            <w:r w:rsidRPr="006F7AF8">
              <w:rPr>
                <w:rFonts w:ascii="Aptos" w:hAnsi="Aptos"/>
                <w:lang w:val="fr-FR"/>
              </w:rPr>
              <w:t>Progress level</w:t>
            </w:r>
          </w:p>
        </w:tc>
        <w:tc>
          <w:tcPr>
            <w:tcW w:w="5073" w:type="dxa"/>
          </w:tcPr>
          <w:p w14:paraId="1B8953BA" w14:textId="77777777" w:rsidR="001279A8" w:rsidRPr="006F7AF8" w:rsidRDefault="001279A8" w:rsidP="009B4355">
            <w:pPr>
              <w:rPr>
                <w:rFonts w:ascii="Aptos" w:hAnsi="Aptos"/>
                <w:lang w:val="fr-FR"/>
              </w:rPr>
            </w:pPr>
            <w:r w:rsidRPr="006F7AF8">
              <w:rPr>
                <w:rFonts w:ascii="Aptos" w:hAnsi="Aptos"/>
                <w:lang w:val="fr-FR"/>
              </w:rPr>
              <w:t>État d</w:t>
            </w:r>
            <w:r>
              <w:rPr>
                <w:rFonts w:ascii="Aptos" w:hAnsi="Aptos"/>
                <w:lang w:val="fr-FR"/>
              </w:rPr>
              <w:t>’</w:t>
            </w:r>
            <w:r w:rsidRPr="006F7AF8">
              <w:rPr>
                <w:rFonts w:ascii="Aptos" w:hAnsi="Aptos"/>
                <w:lang w:val="fr-FR"/>
              </w:rPr>
              <w:t>avancement</w:t>
            </w:r>
          </w:p>
        </w:tc>
      </w:tr>
      <w:tr w:rsidR="001279A8" w:rsidRPr="006F7AF8" w14:paraId="68F343F4" w14:textId="77777777" w:rsidTr="009B4355">
        <w:tc>
          <w:tcPr>
            <w:tcW w:w="4390" w:type="dxa"/>
          </w:tcPr>
          <w:p w14:paraId="717CD911" w14:textId="77777777" w:rsidR="001279A8" w:rsidRPr="006F7AF8" w:rsidRDefault="001279A8" w:rsidP="009B4355">
            <w:pPr>
              <w:rPr>
                <w:rFonts w:ascii="Aptos" w:hAnsi="Aptos"/>
                <w:lang w:val="fr-FR"/>
              </w:rPr>
            </w:pPr>
            <w:r w:rsidRPr="006F7AF8">
              <w:rPr>
                <w:rFonts w:ascii="Aptos" w:hAnsi="Aptos"/>
                <w:lang w:val="fr-FR"/>
              </w:rPr>
              <w:t>Achieved</w:t>
            </w:r>
          </w:p>
        </w:tc>
        <w:tc>
          <w:tcPr>
            <w:tcW w:w="5073" w:type="dxa"/>
          </w:tcPr>
          <w:p w14:paraId="5DA047E7" w14:textId="77777777" w:rsidR="001279A8" w:rsidRPr="006F7AF8" w:rsidRDefault="001279A8" w:rsidP="009B4355">
            <w:pPr>
              <w:rPr>
                <w:rFonts w:ascii="Aptos" w:hAnsi="Aptos"/>
                <w:lang w:val="fr-FR"/>
              </w:rPr>
            </w:pPr>
            <w:r w:rsidRPr="006F7AF8">
              <w:rPr>
                <w:rFonts w:ascii="Aptos" w:hAnsi="Aptos"/>
                <w:lang w:val="fr-FR"/>
              </w:rPr>
              <w:t>Cible atteinte</w:t>
            </w:r>
          </w:p>
        </w:tc>
      </w:tr>
      <w:tr w:rsidR="001279A8" w:rsidRPr="006F7AF8" w14:paraId="41C01CA2" w14:textId="77777777" w:rsidTr="009B4355">
        <w:tc>
          <w:tcPr>
            <w:tcW w:w="4390" w:type="dxa"/>
          </w:tcPr>
          <w:p w14:paraId="5782DC14" w14:textId="77777777" w:rsidR="001279A8" w:rsidRPr="006F7AF8" w:rsidRDefault="001279A8" w:rsidP="009B4355">
            <w:pPr>
              <w:rPr>
                <w:rFonts w:ascii="Aptos" w:hAnsi="Aptos"/>
                <w:lang w:val="fr-FR"/>
              </w:rPr>
            </w:pPr>
            <w:r w:rsidRPr="006F7AF8">
              <w:rPr>
                <w:rFonts w:ascii="Aptos" w:hAnsi="Aptos"/>
                <w:lang w:val="fr-FR"/>
              </w:rPr>
              <w:t>On track to achieve target</w:t>
            </w:r>
          </w:p>
        </w:tc>
        <w:tc>
          <w:tcPr>
            <w:tcW w:w="5073" w:type="dxa"/>
          </w:tcPr>
          <w:p w14:paraId="5241CF72" w14:textId="77777777" w:rsidR="001279A8" w:rsidRPr="006F7AF8" w:rsidRDefault="001279A8" w:rsidP="009B4355">
            <w:pPr>
              <w:rPr>
                <w:rFonts w:ascii="Aptos" w:hAnsi="Aptos"/>
                <w:lang w:val="fr-FR"/>
              </w:rPr>
            </w:pPr>
            <w:r w:rsidRPr="006F7AF8">
              <w:rPr>
                <w:rFonts w:ascii="Aptos" w:hAnsi="Aptos"/>
                <w:lang w:val="fr-FR"/>
              </w:rPr>
              <w:t>En voie d</w:t>
            </w:r>
            <w:r>
              <w:rPr>
                <w:rFonts w:ascii="Aptos" w:hAnsi="Aptos"/>
                <w:lang w:val="fr-FR"/>
              </w:rPr>
              <w:t>’</w:t>
            </w:r>
            <w:r w:rsidRPr="006F7AF8">
              <w:rPr>
                <w:rFonts w:ascii="Aptos" w:hAnsi="Aptos"/>
                <w:lang w:val="fr-FR"/>
              </w:rPr>
              <w:t>atteindre la cible</w:t>
            </w:r>
          </w:p>
        </w:tc>
      </w:tr>
      <w:tr w:rsidR="001279A8" w:rsidRPr="006F7AF8" w14:paraId="09E82FAB" w14:textId="77777777" w:rsidTr="009B4355">
        <w:tc>
          <w:tcPr>
            <w:tcW w:w="4390" w:type="dxa"/>
          </w:tcPr>
          <w:p w14:paraId="021752FD" w14:textId="77777777" w:rsidR="001279A8" w:rsidRPr="006F7AF8" w:rsidRDefault="001279A8" w:rsidP="009B4355">
            <w:pPr>
              <w:rPr>
                <w:rFonts w:ascii="Aptos" w:hAnsi="Aptos"/>
                <w:lang w:val="fr-FR"/>
              </w:rPr>
            </w:pPr>
            <w:r w:rsidRPr="006F7AF8">
              <w:rPr>
                <w:rFonts w:ascii="Aptos" w:hAnsi="Aptos"/>
                <w:lang w:val="fr-FR"/>
              </w:rPr>
              <w:t>Progress towards target but at an insufficient rate</w:t>
            </w:r>
          </w:p>
        </w:tc>
        <w:tc>
          <w:tcPr>
            <w:tcW w:w="5073" w:type="dxa"/>
          </w:tcPr>
          <w:p w14:paraId="53D7691C" w14:textId="77777777" w:rsidR="001279A8" w:rsidRPr="006F7AF8" w:rsidRDefault="001279A8" w:rsidP="009B4355">
            <w:pPr>
              <w:rPr>
                <w:rFonts w:ascii="Aptos" w:hAnsi="Aptos"/>
                <w:lang w:val="fr-FR"/>
              </w:rPr>
            </w:pPr>
            <w:r w:rsidRPr="006F7AF8">
              <w:rPr>
                <w:rFonts w:ascii="Aptos" w:hAnsi="Aptos"/>
                <w:lang w:val="fr-FR"/>
              </w:rPr>
              <w:t>Progrès accomplis, mais à un rythme insuffisant</w:t>
            </w:r>
          </w:p>
        </w:tc>
      </w:tr>
      <w:tr w:rsidR="001279A8" w:rsidRPr="006F7AF8" w14:paraId="7A8CE170" w14:textId="77777777" w:rsidTr="009B4355">
        <w:tc>
          <w:tcPr>
            <w:tcW w:w="4390" w:type="dxa"/>
          </w:tcPr>
          <w:p w14:paraId="2B796B18" w14:textId="77777777" w:rsidR="001279A8" w:rsidRPr="006F7AF8" w:rsidRDefault="001279A8" w:rsidP="009B4355">
            <w:pPr>
              <w:rPr>
                <w:rFonts w:ascii="Aptos" w:hAnsi="Aptos"/>
                <w:lang w:val="fr-FR"/>
              </w:rPr>
            </w:pPr>
            <w:r w:rsidRPr="006F7AF8">
              <w:rPr>
                <w:rFonts w:ascii="Aptos" w:hAnsi="Aptos"/>
                <w:lang w:val="fr-FR"/>
              </w:rPr>
              <w:t>No significant change</w:t>
            </w:r>
          </w:p>
        </w:tc>
        <w:tc>
          <w:tcPr>
            <w:tcW w:w="5073" w:type="dxa"/>
          </w:tcPr>
          <w:p w14:paraId="6C0E457E" w14:textId="77777777" w:rsidR="001279A8" w:rsidRPr="006F7AF8" w:rsidRDefault="001279A8" w:rsidP="009B4355">
            <w:pPr>
              <w:rPr>
                <w:rFonts w:ascii="Aptos" w:hAnsi="Aptos"/>
                <w:lang w:val="fr-FR"/>
              </w:rPr>
            </w:pPr>
            <w:r w:rsidRPr="006F7AF8">
              <w:rPr>
                <w:rFonts w:ascii="Aptos" w:hAnsi="Aptos"/>
                <w:lang w:val="fr-FR"/>
              </w:rPr>
              <w:t>Pas de changement notable</w:t>
            </w:r>
          </w:p>
        </w:tc>
      </w:tr>
      <w:tr w:rsidR="001279A8" w:rsidRPr="006F7AF8" w14:paraId="3F5744CC" w14:textId="77777777" w:rsidTr="009B4355">
        <w:tc>
          <w:tcPr>
            <w:tcW w:w="4390" w:type="dxa"/>
          </w:tcPr>
          <w:p w14:paraId="09B190D5" w14:textId="77777777" w:rsidR="001279A8" w:rsidRPr="006F7AF8" w:rsidRDefault="001279A8" w:rsidP="009B4355">
            <w:pPr>
              <w:rPr>
                <w:rFonts w:ascii="Aptos" w:hAnsi="Aptos"/>
                <w:lang w:val="fr-FR"/>
              </w:rPr>
            </w:pPr>
            <w:r w:rsidRPr="006F7AF8">
              <w:rPr>
                <w:rFonts w:ascii="Aptos" w:hAnsi="Aptos"/>
                <w:lang w:val="fr-FR"/>
              </w:rPr>
              <w:t>Unknown</w:t>
            </w:r>
          </w:p>
        </w:tc>
        <w:tc>
          <w:tcPr>
            <w:tcW w:w="5073" w:type="dxa"/>
          </w:tcPr>
          <w:p w14:paraId="7C0DFAB1" w14:textId="77777777" w:rsidR="001279A8" w:rsidRPr="006F7AF8" w:rsidRDefault="001279A8" w:rsidP="009B4355">
            <w:pPr>
              <w:rPr>
                <w:rFonts w:ascii="Aptos" w:hAnsi="Aptos"/>
                <w:lang w:val="fr-FR"/>
              </w:rPr>
            </w:pPr>
            <w:r w:rsidRPr="006F7AF8">
              <w:rPr>
                <w:rFonts w:ascii="Aptos" w:hAnsi="Aptos"/>
                <w:lang w:val="fr-FR"/>
              </w:rPr>
              <w:t>Inconnu</w:t>
            </w:r>
          </w:p>
        </w:tc>
      </w:tr>
      <w:tr w:rsidR="001279A8" w:rsidRPr="006F7AF8" w14:paraId="6AF358CA" w14:textId="77777777" w:rsidTr="009B4355">
        <w:tc>
          <w:tcPr>
            <w:tcW w:w="4390" w:type="dxa"/>
          </w:tcPr>
          <w:p w14:paraId="11F7208D" w14:textId="77777777" w:rsidR="001279A8" w:rsidRPr="006F7AF8" w:rsidRDefault="001279A8" w:rsidP="009B4355">
            <w:pPr>
              <w:rPr>
                <w:rFonts w:ascii="Aptos" w:hAnsi="Aptos"/>
                <w:lang w:val="fr-FR"/>
              </w:rPr>
            </w:pPr>
            <w:r w:rsidRPr="006F7AF8">
              <w:rPr>
                <w:rFonts w:ascii="Aptos" w:hAnsi="Aptos"/>
                <w:lang w:val="fr-FR"/>
              </w:rPr>
              <w:t>Party count: 96</w:t>
            </w:r>
          </w:p>
        </w:tc>
        <w:tc>
          <w:tcPr>
            <w:tcW w:w="5073" w:type="dxa"/>
          </w:tcPr>
          <w:p w14:paraId="50A87DEA" w14:textId="77777777" w:rsidR="001279A8" w:rsidRPr="006F7AF8" w:rsidRDefault="001279A8" w:rsidP="009B4355">
            <w:pPr>
              <w:rPr>
                <w:rFonts w:ascii="Aptos" w:hAnsi="Aptos"/>
                <w:lang w:val="fr-FR"/>
              </w:rPr>
            </w:pPr>
            <w:r w:rsidRPr="006F7AF8">
              <w:rPr>
                <w:rFonts w:ascii="Aptos" w:hAnsi="Aptos"/>
                <w:lang w:val="fr-FR"/>
              </w:rPr>
              <w:t>Nombre de Parties : 96</w:t>
            </w:r>
          </w:p>
        </w:tc>
      </w:tr>
      <w:tr w:rsidR="001279A8" w:rsidRPr="006F7AF8" w14:paraId="27F71439" w14:textId="77777777" w:rsidTr="009B4355">
        <w:tc>
          <w:tcPr>
            <w:tcW w:w="4390" w:type="dxa"/>
          </w:tcPr>
          <w:p w14:paraId="14A234F9" w14:textId="77777777" w:rsidR="001279A8" w:rsidRPr="006F7AF8" w:rsidRDefault="001279A8" w:rsidP="009B4355">
            <w:pPr>
              <w:rPr>
                <w:rFonts w:ascii="Aptos" w:hAnsi="Aptos"/>
                <w:lang w:val="fr-FR"/>
              </w:rPr>
            </w:pPr>
            <w:r w:rsidRPr="006F7AF8">
              <w:rPr>
                <w:rFonts w:ascii="Aptos" w:hAnsi="Aptos"/>
                <w:lang w:val="fr-FR"/>
              </w:rPr>
              <w:t>Region</w:t>
            </w:r>
          </w:p>
        </w:tc>
        <w:tc>
          <w:tcPr>
            <w:tcW w:w="5073" w:type="dxa"/>
          </w:tcPr>
          <w:p w14:paraId="2DD6E40A"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08CD12A3" w14:textId="77777777" w:rsidTr="009B4355">
        <w:tc>
          <w:tcPr>
            <w:tcW w:w="4390" w:type="dxa"/>
          </w:tcPr>
          <w:p w14:paraId="4CCF9836" w14:textId="77777777" w:rsidR="001279A8" w:rsidRPr="006F7AF8" w:rsidRDefault="001279A8" w:rsidP="009B4355">
            <w:pPr>
              <w:rPr>
                <w:rFonts w:ascii="Aptos" w:hAnsi="Aptos"/>
                <w:lang w:val="fr-FR"/>
              </w:rPr>
            </w:pPr>
            <w:r w:rsidRPr="006F7AF8">
              <w:rPr>
                <w:rFonts w:ascii="Aptos" w:hAnsi="Aptos"/>
                <w:lang w:val="fr-FR"/>
              </w:rPr>
              <w:t>African States</w:t>
            </w:r>
          </w:p>
        </w:tc>
        <w:tc>
          <w:tcPr>
            <w:tcW w:w="5073" w:type="dxa"/>
          </w:tcPr>
          <w:p w14:paraId="530F30B9"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6D74D502" w14:textId="77777777" w:rsidTr="009B4355">
        <w:tc>
          <w:tcPr>
            <w:tcW w:w="4390" w:type="dxa"/>
          </w:tcPr>
          <w:p w14:paraId="3E509A22"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5073" w:type="dxa"/>
          </w:tcPr>
          <w:p w14:paraId="3535D68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406D146A" w14:textId="77777777" w:rsidTr="009B4355">
        <w:tc>
          <w:tcPr>
            <w:tcW w:w="4390" w:type="dxa"/>
          </w:tcPr>
          <w:p w14:paraId="361C9C3F"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5073" w:type="dxa"/>
          </w:tcPr>
          <w:p w14:paraId="02A2F3BC"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77356415" w14:textId="77777777" w:rsidTr="009B4355">
        <w:tc>
          <w:tcPr>
            <w:tcW w:w="4390" w:type="dxa"/>
          </w:tcPr>
          <w:p w14:paraId="33B50B4A"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5073" w:type="dxa"/>
          </w:tcPr>
          <w:p w14:paraId="437EEC20"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3AE3F1E4" w14:textId="77777777" w:rsidTr="009B4355">
        <w:tc>
          <w:tcPr>
            <w:tcW w:w="4390" w:type="dxa"/>
          </w:tcPr>
          <w:p w14:paraId="564D7F60"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5073" w:type="dxa"/>
          </w:tcPr>
          <w:p w14:paraId="761C688D"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402EEE8C" w14:textId="77777777" w:rsidR="00B87039" w:rsidRPr="00653BF4" w:rsidRDefault="00B87039" w:rsidP="00B87039">
      <w:pPr>
        <w:rPr>
          <w:i/>
          <w:iCs/>
          <w:color w:val="0E2841" w:themeColor="text2"/>
          <w:sz w:val="18"/>
          <w:szCs w:val="18"/>
          <w:lang w:val="fr-FR"/>
        </w:rPr>
      </w:pPr>
    </w:p>
    <w:p w14:paraId="6382430E" w14:textId="77777777" w:rsidR="00B87039" w:rsidRPr="00653BF4" w:rsidRDefault="00B87039" w:rsidP="00B87039">
      <w:pPr>
        <w:spacing w:after="0" w:line="240" w:lineRule="auto"/>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eastAsia="en-CA"/>
          <w14:ligatures w14:val="none"/>
        </w:rPr>
        <w:t> </w:t>
      </w:r>
    </w:p>
    <w:p w14:paraId="175353E5" w14:textId="77777777" w:rsidR="00B87039" w:rsidRPr="00653BF4" w:rsidRDefault="00B87039" w:rsidP="00B87039">
      <w:pPr>
        <w:pStyle w:val="Heading5"/>
        <w:rPr>
          <w:lang w:val="fr-FR" w:eastAsia="en-CA"/>
        </w:rPr>
      </w:pPr>
      <w:bookmarkStart w:id="394" w:name="_Toc235821296"/>
      <w:r w:rsidRPr="00653BF4">
        <w:rPr>
          <w:lang w:val="fr-FR"/>
        </w:rPr>
        <w:t>Actions, réussites et difficultés</w:t>
      </w:r>
      <w:bookmarkEnd w:id="394"/>
      <w:r w:rsidRPr="00653BF4">
        <w:rPr>
          <w:lang w:val="fr-FR"/>
        </w:rPr>
        <w:t xml:space="preserve"> dans la mise en œuvre</w:t>
      </w:r>
    </w:p>
    <w:p w14:paraId="72C62991" w14:textId="77777777" w:rsidR="00B87039" w:rsidRPr="00653BF4" w:rsidRDefault="00B87039" w:rsidP="00B87039">
      <w:pPr>
        <w:rPr>
          <w:lang w:val="fr-FR" w:eastAsia="en-CA"/>
        </w:rPr>
      </w:pPr>
    </w:p>
    <w:p w14:paraId="3735946A" w14:textId="1EB12067" w:rsidR="00B87039" w:rsidRPr="00653BF4" w:rsidRDefault="00B87039" w:rsidP="00B87039">
      <w:pPr>
        <w:pStyle w:val="Heading6"/>
        <w:rPr>
          <w:lang w:val="fr-FR" w:eastAsia="en-CA"/>
        </w:rPr>
      </w:pPr>
      <w:bookmarkStart w:id="395" w:name="_Toc235821297"/>
      <w:r w:rsidRPr="00653BF4">
        <w:rPr>
          <w:lang w:val="fr-FR"/>
        </w:rPr>
        <w:t>Résumé des actions menées à l</w:t>
      </w:r>
      <w:r w:rsidR="00D77549">
        <w:rPr>
          <w:lang w:val="fr-FR"/>
        </w:rPr>
        <w:t>’</w:t>
      </w:r>
      <w:r w:rsidRPr="00653BF4">
        <w:rPr>
          <w:lang w:val="fr-FR"/>
        </w:rPr>
        <w:t xml:space="preserve">appui de la </w:t>
      </w:r>
      <w:r w:rsidR="00E34DC9">
        <w:rPr>
          <w:lang w:val="fr-FR"/>
        </w:rPr>
        <w:t>cible 2</w:t>
      </w:r>
      <w:r w:rsidRPr="00653BF4">
        <w:rPr>
          <w:lang w:val="fr-FR"/>
        </w:rPr>
        <w:t>0</w:t>
      </w:r>
      <w:bookmarkEnd w:id="395"/>
      <w:r w:rsidRPr="00653BF4">
        <w:rPr>
          <w:lang w:val="fr-FR"/>
        </w:rPr>
        <w:t xml:space="preserve"> du Cadre</w:t>
      </w:r>
    </w:p>
    <w:p w14:paraId="1D8B8059" w14:textId="77777777" w:rsidR="00B87039" w:rsidRPr="00653BF4" w:rsidRDefault="00B87039" w:rsidP="00B87039">
      <w:pPr>
        <w:rPr>
          <w:lang w:val="fr-FR" w:eastAsia="en-CA"/>
        </w:rPr>
      </w:pPr>
    </w:p>
    <w:p w14:paraId="0BC7A802" w14:textId="5A567F1F" w:rsidR="00B87039" w:rsidRPr="00653BF4" w:rsidRDefault="00B87039" w:rsidP="00B87039">
      <w:pPr>
        <w:rPr>
          <w:lang w:val="fr-FR"/>
        </w:rPr>
      </w:pPr>
      <w:r w:rsidRPr="00653BF4">
        <w:rPr>
          <w:lang w:val="fr-FR"/>
        </w:rPr>
        <w:t xml:space="preserve">Le développement des infrastructures de recherche et de données est le type de mesure le plus fréquemment cité dans le cadre de la mise en œuvre de la </w:t>
      </w:r>
      <w:r w:rsidR="00E34DC9">
        <w:rPr>
          <w:lang w:val="fr-FR"/>
        </w:rPr>
        <w:t>cible 2</w:t>
      </w:r>
      <w:r w:rsidRPr="00653BF4">
        <w:rPr>
          <w:lang w:val="fr-FR"/>
        </w:rPr>
        <w:t xml:space="preserve">0, ce qui montre un fort chevauchement avec la </w:t>
      </w:r>
      <w:r w:rsidR="00E34DC9">
        <w:rPr>
          <w:lang w:val="fr-FR"/>
        </w:rPr>
        <w:t>cible 2</w:t>
      </w:r>
      <w:r w:rsidRPr="00653BF4">
        <w:rPr>
          <w:lang w:val="fr-FR"/>
        </w:rPr>
        <w:t>1. Les Parties rendent compte de la mise en place ou du renforcement des systèmes d’information nationaux sur la biodiversité, de la transmission des données sur la présence des espèces au Global Biodiversity Information Facility (GBIF) et du déploiement de nouvelles technologies de suivi, notamment l’ADN environnemental (ADNe), les drones, les pièges photographiques assistés par l’intelligence artificielle, les capteurs acoustiques et l’imagerie satellite. Une coopération internationale à l</w:t>
      </w:r>
      <w:r w:rsidR="00D77549">
        <w:rPr>
          <w:lang w:val="fr-FR"/>
        </w:rPr>
        <w:t>’</w:t>
      </w:r>
      <w:r w:rsidRPr="00653BF4">
        <w:rPr>
          <w:lang w:val="fr-FR"/>
        </w:rPr>
        <w:t xml:space="preserve">appui de la </w:t>
      </w:r>
      <w:r w:rsidR="00E34DC9">
        <w:rPr>
          <w:lang w:val="fr-FR"/>
        </w:rPr>
        <w:t>cible 2</w:t>
      </w:r>
      <w:r w:rsidRPr="00653BF4">
        <w:rPr>
          <w:lang w:val="fr-FR"/>
        </w:rPr>
        <w:t>0 est rapportée dans toutes les régions</w:t>
      </w:r>
      <w:r w:rsidR="00E34DC9">
        <w:rPr>
          <w:lang w:val="fr-FR"/>
        </w:rPr>
        <w:t> ;</w:t>
      </w:r>
      <w:r w:rsidRPr="00653BF4">
        <w:rPr>
          <w:lang w:val="fr-FR"/>
        </w:rPr>
        <w:t xml:space="preserve"> elle comprend des accords bilatéraux de transfert de technologies, des plateformes multilatérales et des échanges Sud-Sud (voir l</w:t>
      </w:r>
      <w:r w:rsidR="00D77549">
        <w:rPr>
          <w:lang w:val="fr-FR"/>
        </w:rPr>
        <w:t>’</w:t>
      </w:r>
      <w:r w:rsidRPr="00653BF4">
        <w:rPr>
          <w:lang w:val="fr-FR"/>
        </w:rPr>
        <w:t>encadré 48). Presque toutes les Parties font état de formations et de mesures de renforcement des capacités, allant de programmes nationaux à grande échelle à des formations spécialisées ciblées, par exemple sur la taxonomie, les techniques de barcoding moléculaire et les technologies de suivi. Les cadres législatifs relatifs à l</w:t>
      </w:r>
      <w:r w:rsidR="00D77549">
        <w:rPr>
          <w:lang w:val="fr-FR"/>
        </w:rPr>
        <w:t>’</w:t>
      </w:r>
      <w:r w:rsidRPr="00653BF4">
        <w:rPr>
          <w:lang w:val="fr-FR"/>
        </w:rPr>
        <w:t>accès et au partage des avantages au titre du Protocole de Nagoya, ainsi qu</w:t>
      </w:r>
      <w:r w:rsidR="00D77549">
        <w:rPr>
          <w:lang w:val="fr-FR"/>
        </w:rPr>
        <w:t>’</w:t>
      </w:r>
      <w:r w:rsidRPr="00653BF4">
        <w:rPr>
          <w:lang w:val="fr-FR"/>
        </w:rPr>
        <w:t xml:space="preserve">à la prévention des </w:t>
      </w:r>
      <w:r w:rsidRPr="00653BF4">
        <w:rPr>
          <w:lang w:val="fr-FR"/>
        </w:rPr>
        <w:lastRenderedPageBreak/>
        <w:t xml:space="preserve">risques biotechnologiques au titre du Protocole de Cartagena, sont également liés à la mise en œuvre de la </w:t>
      </w:r>
      <w:r w:rsidR="00E34DC9">
        <w:rPr>
          <w:lang w:val="fr-FR"/>
        </w:rPr>
        <w:t>cible 2</w:t>
      </w:r>
      <w:r w:rsidRPr="00653BF4">
        <w:rPr>
          <w:lang w:val="fr-FR"/>
        </w:rPr>
        <w:t xml:space="preserve">0. </w:t>
      </w:r>
    </w:p>
    <w:p w14:paraId="058507C2" w14:textId="77777777" w:rsidR="00B87039" w:rsidRPr="00653BF4" w:rsidRDefault="00B87039" w:rsidP="00B87039">
      <w:pPr>
        <w:pStyle w:val="Heading6"/>
        <w:rPr>
          <w:lang w:val="fr-FR" w:eastAsia="en-CA"/>
        </w:rPr>
      </w:pPr>
    </w:p>
    <w:p w14:paraId="5B874556" w14:textId="63481573" w:rsidR="00B87039" w:rsidRPr="00653BF4" w:rsidRDefault="00B87039" w:rsidP="00B87039">
      <w:pPr>
        <w:pStyle w:val="Heading6"/>
        <w:rPr>
          <w:lang w:val="fr-FR" w:eastAsia="en-CA"/>
        </w:rPr>
      </w:pPr>
      <w:bookmarkStart w:id="396" w:name="_Toc235821298"/>
      <w:r w:rsidRPr="00653BF4">
        <w:rPr>
          <w:lang w:val="fr-FR"/>
        </w:rPr>
        <w:t>Exemples de réussites et de progrès réalisés dans la mise en œuvre</w:t>
      </w:r>
      <w:bookmarkEnd w:id="396"/>
    </w:p>
    <w:p w14:paraId="6F7BE65B" w14:textId="77777777" w:rsidR="00B87039" w:rsidRPr="00653BF4" w:rsidRDefault="00B87039" w:rsidP="00B87039">
      <w:pPr>
        <w:rPr>
          <w:lang w:val="fr-FR" w:eastAsia="en-CA"/>
        </w:rPr>
      </w:pPr>
    </w:p>
    <w:p w14:paraId="7F412365"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16"/>
      </w:tblGrid>
      <w:tr w:rsidR="00B87039" w:rsidRPr="00543148" w14:paraId="5A8AFC8B" w14:textId="77777777" w:rsidTr="00557FB3">
        <w:tc>
          <w:tcPr>
            <w:tcW w:w="9016" w:type="dxa"/>
            <w:shd w:val="clear" w:color="auto" w:fill="D1D1D1" w:themeFill="background2" w:themeFillShade="E6"/>
          </w:tcPr>
          <w:p w14:paraId="00F7E117" w14:textId="77777777" w:rsidR="00B87039" w:rsidRPr="00653BF4" w:rsidRDefault="00B87039" w:rsidP="00557FB3">
            <w:pPr>
              <w:rPr>
                <w:sz w:val="20"/>
                <w:szCs w:val="20"/>
                <w:lang w:val="fr-FR"/>
              </w:rPr>
            </w:pPr>
            <w:r w:rsidRPr="00653BF4">
              <w:rPr>
                <w:sz w:val="20"/>
                <w:szCs w:val="20"/>
                <w:lang w:val="fr-FR"/>
              </w:rPr>
              <w:t>Encadré 48</w:t>
            </w:r>
          </w:p>
          <w:p w14:paraId="4082EB86" w14:textId="16D9802A" w:rsidR="00B87039" w:rsidRPr="00653BF4" w:rsidRDefault="00B87039" w:rsidP="00557FB3">
            <w:pPr>
              <w:spacing w:after="160" w:line="278" w:lineRule="auto"/>
              <w:rPr>
                <w:b/>
                <w:bCs/>
                <w:sz w:val="20"/>
                <w:szCs w:val="20"/>
                <w:lang w:val="fr-FR"/>
              </w:rPr>
            </w:pPr>
            <w:r w:rsidRPr="00653BF4">
              <w:rPr>
                <w:b/>
                <w:bCs/>
                <w:sz w:val="20"/>
                <w:szCs w:val="20"/>
                <w:lang w:val="fr-FR"/>
              </w:rPr>
              <w:t>Coopération infrarégionale à l</w:t>
            </w:r>
            <w:r w:rsidR="00D77549">
              <w:rPr>
                <w:b/>
                <w:bCs/>
                <w:sz w:val="20"/>
                <w:szCs w:val="20"/>
                <w:lang w:val="fr-FR"/>
              </w:rPr>
              <w:t>’</w:t>
            </w:r>
            <w:r w:rsidRPr="00653BF4">
              <w:rPr>
                <w:b/>
                <w:bCs/>
                <w:sz w:val="20"/>
                <w:szCs w:val="20"/>
                <w:lang w:val="fr-FR"/>
              </w:rPr>
              <w:t>appui de la mise en œuvre du Cadre en Afrique australe</w:t>
            </w:r>
          </w:p>
          <w:p w14:paraId="7992480C" w14:textId="77777777" w:rsidR="00B87039" w:rsidRPr="00653BF4" w:rsidRDefault="00B87039" w:rsidP="00557FB3">
            <w:pPr>
              <w:rPr>
                <w:lang w:val="fr-FR" w:eastAsia="en-CA"/>
              </w:rPr>
            </w:pPr>
          </w:p>
          <w:p w14:paraId="7BE2EDE4" w14:textId="6F5FF9A2" w:rsidR="00B87039" w:rsidRPr="00653BF4" w:rsidRDefault="00B87039" w:rsidP="00557FB3">
            <w:pPr>
              <w:spacing w:after="160" w:line="278" w:lineRule="auto"/>
              <w:rPr>
                <w:sz w:val="20"/>
                <w:szCs w:val="20"/>
                <w:lang w:val="fr-FR"/>
              </w:rPr>
            </w:pPr>
            <w:r w:rsidRPr="00653BF4">
              <w:rPr>
                <w:sz w:val="20"/>
                <w:szCs w:val="20"/>
                <w:lang w:val="fr-FR"/>
              </w:rPr>
              <w:t>En 2025, l’Afrique du Sud a officiellement inauguré le Centre infrarégional d’appui à la coopération technique et scientifique, hébergé par le South African National Biodiversity Institute (SANBI), afin de répondre aux besoins de mise en œuvre de neuf pays associés d’Afrique australe</w:t>
            </w:r>
            <w:r w:rsidRPr="00653BF4">
              <w:rPr>
                <w:sz w:val="20"/>
                <w:szCs w:val="20"/>
                <w:vertAlign w:val="superscript"/>
                <w:lang w:val="fr-FR"/>
              </w:rPr>
              <w:t>a</w:t>
            </w:r>
            <w:r w:rsidRPr="00653BF4">
              <w:rPr>
                <w:sz w:val="20"/>
                <w:szCs w:val="20"/>
                <w:lang w:val="fr-FR"/>
              </w:rPr>
              <w:t>. Les projets relatifs à ce Centre, qui s’inscrit dans le mécanisme de coopération technique et scientifique établi par la Conférence des Parties (déc. 15/8 de la CDB, 2023</w:t>
            </w:r>
            <w:r w:rsidR="00E34DC9">
              <w:rPr>
                <w:sz w:val="20"/>
                <w:szCs w:val="20"/>
                <w:lang w:val="fr-FR"/>
              </w:rPr>
              <w:t> ;</w:t>
            </w:r>
            <w:r w:rsidRPr="00653BF4">
              <w:rPr>
                <w:sz w:val="20"/>
                <w:szCs w:val="20"/>
                <w:lang w:val="fr-FR"/>
              </w:rPr>
              <w:t xml:space="preserve"> et déc. 16/3 de la CDB, 2026), prévoient notamment la mise en place d’un service d’assistance technique pour les données et outils scientifiques, la réalisation d’une évaluation des besoins en capacités afin d’orienter son programme de travail jusqu’en 2030, l’organisation d’ateliers régionaux ou d’échanges d’apprentissage, la facilitation de la mise en relation d’experts en vue de recherches conjointes et l’établissement de partenariats stratégiques pour mobiliser des ressources. Le Centre s</w:t>
            </w:r>
            <w:r w:rsidR="00D77549">
              <w:rPr>
                <w:sz w:val="20"/>
                <w:szCs w:val="20"/>
                <w:lang w:val="fr-FR"/>
              </w:rPr>
              <w:t>’</w:t>
            </w:r>
            <w:r w:rsidRPr="00653BF4">
              <w:rPr>
                <w:sz w:val="20"/>
                <w:szCs w:val="20"/>
                <w:lang w:val="fr-FR"/>
              </w:rPr>
              <w:t>efforce également de renforcer la collaboration entre les neuf pays concernés</w:t>
            </w:r>
            <w:r w:rsidR="00E34DC9">
              <w:rPr>
                <w:sz w:val="20"/>
                <w:szCs w:val="20"/>
                <w:lang w:val="fr-FR"/>
              </w:rPr>
              <w:t> :</w:t>
            </w:r>
            <w:r w:rsidRPr="00653BF4">
              <w:rPr>
                <w:sz w:val="20"/>
                <w:szCs w:val="20"/>
                <w:lang w:val="fr-FR"/>
              </w:rPr>
              <w:t xml:space="preserve"> l</w:t>
            </w:r>
            <w:r w:rsidR="00D77549">
              <w:rPr>
                <w:sz w:val="20"/>
                <w:szCs w:val="20"/>
                <w:lang w:val="fr-FR"/>
              </w:rPr>
              <w:t>’</w:t>
            </w:r>
            <w:r w:rsidRPr="00653BF4">
              <w:rPr>
                <w:sz w:val="20"/>
                <w:szCs w:val="20"/>
                <w:lang w:val="fr-FR"/>
              </w:rPr>
              <w:t>Afrique du Sud, l</w:t>
            </w:r>
            <w:r w:rsidR="00D77549">
              <w:rPr>
                <w:sz w:val="20"/>
                <w:szCs w:val="20"/>
                <w:lang w:val="fr-FR"/>
              </w:rPr>
              <w:t>’</w:t>
            </w:r>
            <w:r w:rsidRPr="00653BF4">
              <w:rPr>
                <w:sz w:val="20"/>
                <w:szCs w:val="20"/>
                <w:lang w:val="fr-FR"/>
              </w:rPr>
              <w:t xml:space="preserve">Angola, le Botswana, le Lesotho, le Malawi, le Mozambique, la Namibie, les Seychelles et le Zimbabwe. </w:t>
            </w:r>
          </w:p>
          <w:p w14:paraId="4BCD35A5" w14:textId="545C1B6F" w:rsidR="00B87039" w:rsidRPr="00653BF4" w:rsidRDefault="00B87039" w:rsidP="00557FB3">
            <w:pPr>
              <w:spacing w:after="160" w:line="278" w:lineRule="auto"/>
              <w:rPr>
                <w:sz w:val="20"/>
                <w:szCs w:val="20"/>
                <w:lang w:val="fr-FR"/>
              </w:rPr>
            </w:pPr>
            <w:r w:rsidRPr="00653BF4">
              <w:rPr>
                <w:sz w:val="20"/>
                <w:szCs w:val="20"/>
                <w:lang w:val="fr-FR"/>
              </w:rPr>
              <w:t>Conscient des difficultés liées au financement de la mise en place du Centre, l</w:t>
            </w:r>
            <w:r w:rsidR="00D77549">
              <w:rPr>
                <w:sz w:val="20"/>
                <w:szCs w:val="20"/>
                <w:lang w:val="fr-FR"/>
              </w:rPr>
              <w:t>’</w:t>
            </w:r>
            <w:r w:rsidRPr="00653BF4">
              <w:rPr>
                <w:sz w:val="20"/>
                <w:szCs w:val="20"/>
                <w:lang w:val="fr-FR"/>
              </w:rPr>
              <w:t>Institut a lancé un appel à manifestation d</w:t>
            </w:r>
            <w:r w:rsidR="00D77549">
              <w:rPr>
                <w:sz w:val="20"/>
                <w:szCs w:val="20"/>
                <w:lang w:val="fr-FR"/>
              </w:rPr>
              <w:t>’</w:t>
            </w:r>
            <w:r w:rsidRPr="00653BF4">
              <w:rPr>
                <w:sz w:val="20"/>
                <w:szCs w:val="20"/>
                <w:lang w:val="fr-FR"/>
              </w:rPr>
              <w:t xml:space="preserve">intérêt en vue de la conclusion de partenariats. Ce processus, associé à la mise à profit des partenariats existants, a ouvert de nouvelles perspectives pour soutenir la mise en œuvre de la </w:t>
            </w:r>
            <w:r w:rsidR="00E34DC9">
              <w:rPr>
                <w:sz w:val="20"/>
                <w:szCs w:val="20"/>
                <w:lang w:val="fr-FR"/>
              </w:rPr>
              <w:t>cible 2</w:t>
            </w:r>
            <w:r w:rsidRPr="00653BF4">
              <w:rPr>
                <w:sz w:val="20"/>
                <w:szCs w:val="20"/>
                <w:lang w:val="fr-FR"/>
              </w:rPr>
              <w:t>0. Le Centre s</w:t>
            </w:r>
            <w:r w:rsidR="00D77549">
              <w:rPr>
                <w:sz w:val="20"/>
                <w:szCs w:val="20"/>
                <w:lang w:val="fr-FR"/>
              </w:rPr>
              <w:t>’</w:t>
            </w:r>
            <w:r w:rsidRPr="00653BF4">
              <w:rPr>
                <w:sz w:val="20"/>
                <w:szCs w:val="20"/>
                <w:lang w:val="fr-FR"/>
              </w:rPr>
              <w:t xml:space="preserve">inscrit également pleinement dans le cadre des projets et initiatives régionaux qui contribuent à la mise en œuvre de la </w:t>
            </w:r>
            <w:r w:rsidR="00E34DC9">
              <w:rPr>
                <w:sz w:val="20"/>
                <w:szCs w:val="20"/>
                <w:lang w:val="fr-FR"/>
              </w:rPr>
              <w:t>cible 2</w:t>
            </w:r>
            <w:r w:rsidRPr="00653BF4">
              <w:rPr>
                <w:sz w:val="20"/>
                <w:szCs w:val="20"/>
                <w:lang w:val="fr-FR"/>
              </w:rPr>
              <w:t>0.</w:t>
            </w:r>
          </w:p>
          <w:p w14:paraId="1A8FD17C" w14:textId="64BA844C" w:rsidR="00B87039" w:rsidRPr="00653BF4" w:rsidRDefault="00B87039" w:rsidP="00557FB3">
            <w:pPr>
              <w:pStyle w:val="FootnoteText"/>
              <w:spacing w:line="276" w:lineRule="auto"/>
              <w:rPr>
                <w:lang w:val="fr-FR"/>
              </w:rPr>
            </w:pPr>
            <w:r w:rsidRPr="00653BF4">
              <w:rPr>
                <w:lang w:val="fr-FR"/>
              </w:rPr>
              <w:t>Parmi les activités régionales menées par l</w:t>
            </w:r>
            <w:r w:rsidR="00D77549">
              <w:rPr>
                <w:lang w:val="fr-FR"/>
              </w:rPr>
              <w:t>’</w:t>
            </w:r>
            <w:r w:rsidRPr="00653BF4">
              <w:rPr>
                <w:lang w:val="fr-FR"/>
              </w:rPr>
              <w:t>Afrique du Sud figure un projet régional portant sur l</w:t>
            </w:r>
            <w:r w:rsidR="00D77549">
              <w:rPr>
                <w:lang w:val="fr-FR"/>
              </w:rPr>
              <w:t>’</w:t>
            </w:r>
            <w:r w:rsidRPr="00653BF4">
              <w:rPr>
                <w:lang w:val="fr-FR"/>
              </w:rPr>
              <w:t>évaluation, la hiérarchisation et la planification de la biodiversité spatiale, mis en œuvre en collaboration avec le Malawi, le Mozambique et la Namibie</w:t>
            </w:r>
            <w:r w:rsidRPr="00653BF4">
              <w:rPr>
                <w:vertAlign w:val="superscript"/>
                <w:lang w:val="fr-FR"/>
              </w:rPr>
              <w:t>b</w:t>
            </w:r>
            <w:r w:rsidRPr="00653BF4">
              <w:rPr>
                <w:lang w:val="fr-FR"/>
              </w:rPr>
              <w:t>. Ce projet quinquennal (2022-2027), qui vise à renforcer les connaissances en matière de biodiversité afin de favoriser l</w:t>
            </w:r>
            <w:r w:rsidR="00D77549">
              <w:rPr>
                <w:lang w:val="fr-FR"/>
              </w:rPr>
              <w:t>’</w:t>
            </w:r>
            <w:r w:rsidRPr="00653BF4">
              <w:rPr>
                <w:lang w:val="fr-FR"/>
              </w:rPr>
              <w:t>action en Afrique australe, est piloté par le SANBI et financé par l</w:t>
            </w:r>
            <w:r w:rsidR="00D77549">
              <w:rPr>
                <w:lang w:val="fr-FR"/>
              </w:rPr>
              <w:t>’</w:t>
            </w:r>
            <w:r w:rsidRPr="00653BF4">
              <w:rPr>
                <w:lang w:val="fr-FR"/>
              </w:rPr>
              <w:t>Agence française de développement et le Fonds français pour l</w:t>
            </w:r>
            <w:r w:rsidR="00D77549">
              <w:rPr>
                <w:lang w:val="fr-FR"/>
              </w:rPr>
              <w:t>’</w:t>
            </w:r>
            <w:r w:rsidRPr="00653BF4">
              <w:rPr>
                <w:lang w:val="fr-FR"/>
              </w:rPr>
              <w:t>environnement mondial. Dans le cadre de ce projet, les quatre pays s</w:t>
            </w:r>
            <w:r w:rsidR="00D77549">
              <w:rPr>
                <w:lang w:val="fr-FR"/>
              </w:rPr>
              <w:t>’</w:t>
            </w:r>
            <w:r w:rsidRPr="00653BF4">
              <w:rPr>
                <w:lang w:val="fr-FR"/>
              </w:rPr>
              <w:t>efforcent de mettre en place et d</w:t>
            </w:r>
            <w:r w:rsidR="00D77549">
              <w:rPr>
                <w:lang w:val="fr-FR"/>
              </w:rPr>
              <w:t>’</w:t>
            </w:r>
            <w:r w:rsidRPr="00653BF4">
              <w:rPr>
                <w:lang w:val="fr-FR"/>
              </w:rPr>
              <w:t>améliorer les processus et les outils nationaux d</w:t>
            </w:r>
            <w:r w:rsidR="00D77549">
              <w:rPr>
                <w:lang w:val="fr-FR"/>
              </w:rPr>
              <w:t>’</w:t>
            </w:r>
            <w:r w:rsidRPr="00653BF4">
              <w:rPr>
                <w:lang w:val="fr-FR"/>
              </w:rPr>
              <w:t>évaluation, de hiérarchisation et de planification en matière de biodiversité spatiale. Ce projet s</w:t>
            </w:r>
            <w:r w:rsidR="00D77549">
              <w:rPr>
                <w:lang w:val="fr-FR"/>
              </w:rPr>
              <w:t>’</w:t>
            </w:r>
            <w:r w:rsidRPr="00653BF4">
              <w:rPr>
                <w:lang w:val="fr-FR"/>
              </w:rPr>
              <w:t>inscrit dans le cadre d</w:t>
            </w:r>
            <w:r w:rsidR="00D77549">
              <w:rPr>
                <w:lang w:val="fr-FR"/>
              </w:rPr>
              <w:t>’</w:t>
            </w:r>
            <w:r w:rsidRPr="00653BF4">
              <w:rPr>
                <w:lang w:val="fr-FR"/>
              </w:rPr>
              <w:t>une coopération technique et scientifique visant à cartographier les types d</w:t>
            </w:r>
            <w:r w:rsidR="00D77549">
              <w:rPr>
                <w:lang w:val="fr-FR"/>
              </w:rPr>
              <w:t>’</w:t>
            </w:r>
            <w:r w:rsidRPr="00653BF4">
              <w:rPr>
                <w:lang w:val="fr-FR"/>
              </w:rPr>
              <w:t>écosystèmes afin de compiler et d</w:t>
            </w:r>
            <w:r w:rsidR="00D77549">
              <w:rPr>
                <w:lang w:val="fr-FR"/>
              </w:rPr>
              <w:t>’</w:t>
            </w:r>
            <w:r w:rsidRPr="00653BF4">
              <w:rPr>
                <w:lang w:val="fr-FR"/>
              </w:rPr>
              <w:t>élaborer des données spatiales sur les conditions écologiques terrestres aux niveaux national et régional, d</w:t>
            </w:r>
            <w:r w:rsidR="00D77549">
              <w:rPr>
                <w:lang w:val="fr-FR"/>
              </w:rPr>
              <w:t>’</w:t>
            </w:r>
            <w:r w:rsidRPr="00653BF4">
              <w:rPr>
                <w:lang w:val="fr-FR"/>
              </w:rPr>
              <w:t>améliorer les évaluations de la Liste rouge tant pour les espèces que pour les écosystèmes, et d</w:t>
            </w:r>
            <w:r w:rsidR="00D77549">
              <w:rPr>
                <w:lang w:val="fr-FR"/>
              </w:rPr>
              <w:t>’</w:t>
            </w:r>
            <w:r w:rsidRPr="00653BF4">
              <w:rPr>
                <w:lang w:val="fr-FR"/>
              </w:rPr>
              <w:t>identifier les zones d</w:t>
            </w:r>
            <w:r w:rsidR="00D77549">
              <w:rPr>
                <w:lang w:val="fr-FR"/>
              </w:rPr>
              <w:t>’</w:t>
            </w:r>
            <w:r w:rsidRPr="00653BF4">
              <w:rPr>
                <w:lang w:val="fr-FR"/>
              </w:rPr>
              <w:t>importance pour la biodiversité (UICN, 2016). Ces résultats seront utilisés pour établir des priorités dans le cadre d</w:t>
            </w:r>
            <w:r w:rsidR="00D77549">
              <w:rPr>
                <w:lang w:val="fr-FR"/>
              </w:rPr>
              <w:t>’</w:t>
            </w:r>
            <w:r w:rsidRPr="00653BF4">
              <w:rPr>
                <w:lang w:val="fr-FR"/>
              </w:rPr>
              <w:t>un aménagement du territoire intégré et pour intégrer ces priorités dans les principaux processus décisionnels. Ce projet renforce les connaissances nationales en matière de biodiversité afin de garantir une planification de l</w:t>
            </w:r>
            <w:r w:rsidR="00D77549">
              <w:rPr>
                <w:lang w:val="fr-FR"/>
              </w:rPr>
              <w:t>’</w:t>
            </w:r>
            <w:r w:rsidRPr="00653BF4">
              <w:rPr>
                <w:lang w:val="fr-FR"/>
              </w:rPr>
              <w:t>aménagement du territoire, l</w:t>
            </w:r>
            <w:r w:rsidR="00D77549">
              <w:rPr>
                <w:lang w:val="fr-FR"/>
              </w:rPr>
              <w:t>’</w:t>
            </w:r>
            <w:r w:rsidRPr="00653BF4">
              <w:rPr>
                <w:lang w:val="fr-FR"/>
              </w:rPr>
              <w:t xml:space="preserve">élaboration </w:t>
            </w:r>
            <w:r w:rsidRPr="00653BF4">
              <w:rPr>
                <w:lang w:val="fr-FR"/>
              </w:rPr>
              <w:lastRenderedPageBreak/>
              <w:t>de politiques et la prise de décision fondées sur des données scientifiques, tout en fournissant une base de référence pour le suivi futur de la biodiversité et en soutenant la capacité de chaque gouvernement à respecter les engagements pris au titre du Cadre.</w:t>
            </w:r>
          </w:p>
          <w:p w14:paraId="1A645405" w14:textId="77777777" w:rsidR="00B87039" w:rsidRPr="00653BF4" w:rsidRDefault="00B87039" w:rsidP="00557FB3">
            <w:pPr>
              <w:spacing w:after="160" w:line="278" w:lineRule="auto"/>
              <w:rPr>
                <w:sz w:val="20"/>
                <w:szCs w:val="20"/>
                <w:lang w:val="fr-FR"/>
              </w:rPr>
            </w:pPr>
          </w:p>
          <w:p w14:paraId="15F812B8" w14:textId="12D4E81C" w:rsidR="00B87039" w:rsidRPr="00653BF4" w:rsidRDefault="00B87039" w:rsidP="00557FB3">
            <w:pPr>
              <w:spacing w:after="160" w:line="278" w:lineRule="auto"/>
              <w:rPr>
                <w:sz w:val="20"/>
                <w:szCs w:val="20"/>
                <w:lang w:val="fr-FR"/>
              </w:rPr>
            </w:pPr>
            <w:r w:rsidRPr="00653BF4">
              <w:rPr>
                <w:sz w:val="20"/>
                <w:szCs w:val="20"/>
                <w:lang w:val="fr-FR"/>
              </w:rPr>
              <w:t>L</w:t>
            </w:r>
            <w:r w:rsidR="00D77549">
              <w:rPr>
                <w:sz w:val="20"/>
                <w:szCs w:val="20"/>
                <w:lang w:val="fr-FR"/>
              </w:rPr>
              <w:t>’</w:t>
            </w:r>
            <w:r w:rsidRPr="00653BF4">
              <w:rPr>
                <w:sz w:val="20"/>
                <w:szCs w:val="20"/>
                <w:lang w:val="fr-FR"/>
              </w:rPr>
              <w:t xml:space="preserve">un des résultats de ce projet régional est la mise à jour 2024 de la publication </w:t>
            </w:r>
            <w:r w:rsidRPr="00653BF4">
              <w:rPr>
                <w:i/>
                <w:iCs/>
                <w:sz w:val="20"/>
                <w:szCs w:val="20"/>
                <w:lang w:val="fr-FR"/>
              </w:rPr>
              <w:t>Mapping Biodiversity Priorities</w:t>
            </w:r>
            <w:r w:rsidRPr="00653BF4">
              <w:rPr>
                <w:sz w:val="20"/>
                <w:szCs w:val="20"/>
                <w:lang w:val="fr-FR"/>
              </w:rPr>
              <w:t xml:space="preserve"> (SANBI et Centre mondial de surveillance de la conservation de la nature du PNUE, 2024), un document d</w:t>
            </w:r>
            <w:r w:rsidR="00D77549">
              <w:rPr>
                <w:sz w:val="20"/>
                <w:szCs w:val="20"/>
                <w:lang w:val="fr-FR"/>
              </w:rPr>
              <w:t>’</w:t>
            </w:r>
            <w:r w:rsidRPr="00653BF4">
              <w:rPr>
                <w:sz w:val="20"/>
                <w:szCs w:val="20"/>
                <w:lang w:val="fr-FR"/>
              </w:rPr>
              <w:t>orientation proposant une approche pratique et fondée sur des données scientifiques pour l</w:t>
            </w:r>
            <w:r w:rsidR="00D77549">
              <w:rPr>
                <w:sz w:val="20"/>
                <w:szCs w:val="20"/>
                <w:lang w:val="fr-FR"/>
              </w:rPr>
              <w:t>’</w:t>
            </w:r>
            <w:r w:rsidRPr="00653BF4">
              <w:rPr>
                <w:sz w:val="20"/>
                <w:szCs w:val="20"/>
                <w:lang w:val="fr-FR"/>
              </w:rPr>
              <w:t>évaluation et la hiérarchisation des priorités en matière de biodiversité, applicable au niveau national dans n</w:t>
            </w:r>
            <w:r w:rsidR="00D77549">
              <w:rPr>
                <w:sz w:val="20"/>
                <w:szCs w:val="20"/>
                <w:lang w:val="fr-FR"/>
              </w:rPr>
              <w:t>’</w:t>
            </w:r>
            <w:r w:rsidRPr="00653BF4">
              <w:rPr>
                <w:sz w:val="20"/>
                <w:szCs w:val="20"/>
                <w:lang w:val="fr-FR"/>
              </w:rPr>
              <w:t>importe quel pays. Une formation d</w:t>
            </w:r>
            <w:r w:rsidR="00D77549">
              <w:rPr>
                <w:sz w:val="20"/>
                <w:szCs w:val="20"/>
                <w:lang w:val="fr-FR"/>
              </w:rPr>
              <w:t>’</w:t>
            </w:r>
            <w:r w:rsidRPr="00653BF4">
              <w:rPr>
                <w:sz w:val="20"/>
                <w:szCs w:val="20"/>
                <w:lang w:val="fr-FR"/>
              </w:rPr>
              <w:t>initiation en ligne, basée sur ce guide, est disponible sur la plateforme de l</w:t>
            </w:r>
            <w:r w:rsidR="00D77549">
              <w:rPr>
                <w:sz w:val="20"/>
                <w:szCs w:val="20"/>
                <w:lang w:val="fr-FR"/>
              </w:rPr>
              <w:t>’</w:t>
            </w:r>
            <w:r w:rsidRPr="00653BF4">
              <w:rPr>
                <w:sz w:val="20"/>
                <w:szCs w:val="20"/>
                <w:lang w:val="fr-FR"/>
              </w:rPr>
              <w:t>Académie de l</w:t>
            </w:r>
            <w:r w:rsidR="00D77549">
              <w:rPr>
                <w:sz w:val="20"/>
                <w:szCs w:val="20"/>
                <w:lang w:val="fr-FR"/>
              </w:rPr>
              <w:t>’</w:t>
            </w:r>
            <w:r w:rsidRPr="00653BF4">
              <w:rPr>
                <w:sz w:val="20"/>
                <w:szCs w:val="20"/>
                <w:lang w:val="fr-FR"/>
              </w:rPr>
              <w:t>UICN. Les ateliers techniques en présentiel, organisés au niveau régional et national, ainsi que les sessions virtuelles de partage d</w:t>
            </w:r>
            <w:r w:rsidR="00D77549">
              <w:rPr>
                <w:sz w:val="20"/>
                <w:szCs w:val="20"/>
                <w:lang w:val="fr-FR"/>
              </w:rPr>
              <w:t>’</w:t>
            </w:r>
            <w:r w:rsidRPr="00653BF4">
              <w:rPr>
                <w:sz w:val="20"/>
                <w:szCs w:val="20"/>
                <w:lang w:val="fr-FR"/>
              </w:rPr>
              <w:t>informations constituent des mécanismes essentiels de renforcement des capacités mis en œuvre dans le cadre du projet</w:t>
            </w:r>
            <w:r w:rsidR="00E34DC9">
              <w:rPr>
                <w:sz w:val="20"/>
                <w:szCs w:val="20"/>
                <w:lang w:val="fr-FR"/>
              </w:rPr>
              <w:t> ;</w:t>
            </w:r>
            <w:r w:rsidRPr="00653BF4">
              <w:rPr>
                <w:sz w:val="20"/>
                <w:szCs w:val="20"/>
                <w:lang w:val="fr-FR"/>
              </w:rPr>
              <w:t xml:space="preserve"> tous les enregistrements des sessions virtuelles sont mis à la disposition des autres utilisateurs via les pages Web du projet et du Centre. </w:t>
            </w:r>
          </w:p>
          <w:p w14:paraId="68F2DA95" w14:textId="77777777" w:rsidR="00B87039" w:rsidRPr="00653BF4" w:rsidRDefault="00B87039" w:rsidP="00557FB3">
            <w:pPr>
              <w:rPr>
                <w:lang w:val="fr-FR" w:eastAsia="en-CA"/>
              </w:rPr>
            </w:pPr>
          </w:p>
          <w:p w14:paraId="47B879BE" w14:textId="48BDC7AC" w:rsidR="00B87039" w:rsidRPr="00653BF4" w:rsidRDefault="00B87039" w:rsidP="00557FB3">
            <w:pPr>
              <w:rPr>
                <w:i/>
                <w:iCs/>
                <w:sz w:val="20"/>
                <w:szCs w:val="20"/>
                <w:lang w:val="fr-FR" w:eastAsia="en-CA"/>
              </w:rPr>
            </w:pPr>
            <w:r w:rsidRPr="00653BF4">
              <w:rPr>
                <w:i/>
                <w:iCs/>
                <w:sz w:val="20"/>
                <w:szCs w:val="20"/>
                <w:lang w:val="fr-FR"/>
              </w:rPr>
              <w:t>Cibles concernées</w:t>
            </w:r>
            <w:r w:rsidR="00E34DC9">
              <w:rPr>
                <w:i/>
                <w:iCs/>
                <w:sz w:val="20"/>
                <w:szCs w:val="20"/>
                <w:lang w:val="fr-FR"/>
              </w:rPr>
              <w:t> :</w:t>
            </w:r>
            <w:r w:rsidRPr="00653BF4">
              <w:rPr>
                <w:i/>
                <w:iCs/>
                <w:sz w:val="20"/>
                <w:szCs w:val="20"/>
                <w:lang w:val="fr-FR"/>
              </w:rPr>
              <w:t xml:space="preserve"> </w:t>
            </w:r>
            <w:r w:rsidRPr="00653BF4">
              <w:rPr>
                <w:sz w:val="20"/>
                <w:szCs w:val="20"/>
                <w:lang w:val="fr-FR"/>
              </w:rPr>
              <w:t>1, 2, 3, 4, 5, 6, 9, 10, 14, 20 et 21.</w:t>
            </w:r>
          </w:p>
          <w:p w14:paraId="0B235248" w14:textId="68D5BDE7" w:rsidR="00B87039" w:rsidRPr="00653BF4" w:rsidRDefault="00B87039" w:rsidP="00557FB3">
            <w:pPr>
              <w:rPr>
                <w:sz w:val="20"/>
                <w:szCs w:val="20"/>
                <w:lang w:val="fr-FR" w:eastAsia="en-CA"/>
              </w:rPr>
            </w:pPr>
            <w:r w:rsidRPr="00653BF4">
              <w:rPr>
                <w:i/>
                <w:iCs/>
                <w:sz w:val="20"/>
                <w:szCs w:val="20"/>
                <w:lang w:val="fr-FR"/>
              </w:rPr>
              <w:t>Source</w:t>
            </w:r>
            <w:r w:rsidR="00E34DC9">
              <w:rPr>
                <w:i/>
                <w:iCs/>
                <w:sz w:val="20"/>
                <w:szCs w:val="20"/>
                <w:lang w:val="fr-FR"/>
              </w:rPr>
              <w:t> :</w:t>
            </w:r>
            <w:r w:rsidRPr="00653BF4">
              <w:rPr>
                <w:i/>
                <w:iCs/>
                <w:sz w:val="20"/>
                <w:szCs w:val="20"/>
                <w:lang w:val="fr-FR"/>
              </w:rPr>
              <w:t xml:space="preserve"> </w:t>
            </w:r>
            <w:r w:rsidRPr="00653BF4">
              <w:rPr>
                <w:sz w:val="20"/>
                <w:szCs w:val="20"/>
                <w:lang w:val="fr-FR"/>
              </w:rPr>
              <w:t>Afrique du Sud, septième rapport national présenté au titre de la Convention.</w:t>
            </w:r>
          </w:p>
          <w:p w14:paraId="651848FB" w14:textId="77777777" w:rsidR="00B87039" w:rsidRPr="00653BF4" w:rsidRDefault="00B87039" w:rsidP="00557FB3">
            <w:pPr>
              <w:rPr>
                <w:i/>
                <w:iCs/>
                <w:sz w:val="20"/>
                <w:szCs w:val="20"/>
                <w:lang w:val="fr-FR" w:eastAsia="en-CA"/>
              </w:rPr>
            </w:pPr>
          </w:p>
          <w:p w14:paraId="6FB4A131" w14:textId="77777777" w:rsidR="00B87039" w:rsidRPr="00653BF4" w:rsidRDefault="00B87039" w:rsidP="00557FB3">
            <w:pPr>
              <w:rPr>
                <w:rStyle w:val="FootnoteTextChar"/>
                <w:sz w:val="18"/>
                <w:szCs w:val="18"/>
                <w:lang w:val="fr-FR"/>
              </w:rPr>
            </w:pPr>
            <w:r w:rsidRPr="00653BF4">
              <w:rPr>
                <w:i/>
                <w:iCs/>
                <w:sz w:val="18"/>
                <w:szCs w:val="18"/>
                <w:vertAlign w:val="superscript"/>
                <w:lang w:val="fr-FR"/>
              </w:rPr>
              <w:t>a</w:t>
            </w:r>
            <w:r w:rsidRPr="00653BF4">
              <w:rPr>
                <w:sz w:val="18"/>
                <w:szCs w:val="18"/>
                <w:lang w:val="fr-FR"/>
              </w:rPr>
              <w:t xml:space="preserve"> Voir </w:t>
            </w:r>
            <w:r w:rsidRPr="00653BF4">
              <w:rPr>
                <w:rFonts w:eastAsiaTheme="minorEastAsia"/>
                <w:kern w:val="0"/>
                <w:sz w:val="18"/>
                <w:szCs w:val="18"/>
                <w:lang w:val="fr-FR"/>
                <w14:ligatures w14:val="none"/>
              </w:rPr>
              <w:t>www.sanbi.org/biodiversity/science-into-policy-action/subregional-technical-support-centre-for-southern-africa/</w:t>
            </w:r>
            <w:r w:rsidRPr="00653BF4">
              <w:rPr>
                <w:rStyle w:val="FootnoteTextChar"/>
                <w:sz w:val="18"/>
                <w:szCs w:val="18"/>
                <w:lang w:val="fr-FR"/>
              </w:rPr>
              <w:t>.</w:t>
            </w:r>
          </w:p>
          <w:p w14:paraId="7F98D719" w14:textId="77777777" w:rsidR="00B87039" w:rsidRPr="00653BF4" w:rsidRDefault="00B87039" w:rsidP="00557FB3">
            <w:pPr>
              <w:rPr>
                <w:i/>
                <w:iCs/>
                <w:sz w:val="18"/>
                <w:szCs w:val="18"/>
                <w:lang w:val="fr-FR" w:eastAsia="en-CA"/>
              </w:rPr>
            </w:pPr>
            <w:r w:rsidRPr="00653BF4">
              <w:rPr>
                <w:i/>
                <w:iCs/>
                <w:sz w:val="18"/>
                <w:szCs w:val="18"/>
                <w:vertAlign w:val="superscript"/>
                <w:lang w:val="fr-FR"/>
              </w:rPr>
              <w:t>b</w:t>
            </w:r>
            <w:r w:rsidRPr="00653BF4">
              <w:rPr>
                <w:lang w:val="fr-FR"/>
              </w:rPr>
              <w:t xml:space="preserve"> </w:t>
            </w:r>
            <w:r w:rsidRPr="00653BF4">
              <w:rPr>
                <w:sz w:val="18"/>
                <w:szCs w:val="18"/>
                <w:lang w:val="fr-FR"/>
              </w:rPr>
              <w:t>Voir www.sanbi.org/biodiversity/building-knowledge/biodiversity-monitoring-assessment/the-sbapp-regional-project/.</w:t>
            </w:r>
          </w:p>
          <w:p w14:paraId="2580D57E" w14:textId="77777777" w:rsidR="00B87039" w:rsidRPr="00653BF4" w:rsidRDefault="00B87039" w:rsidP="00557FB3">
            <w:pPr>
              <w:rPr>
                <w:lang w:val="fr-FR" w:eastAsia="en-CA"/>
              </w:rPr>
            </w:pPr>
          </w:p>
        </w:tc>
      </w:tr>
    </w:tbl>
    <w:p w14:paraId="21073C10" w14:textId="77777777" w:rsidR="00B87039" w:rsidRPr="00653BF4" w:rsidRDefault="00B87039" w:rsidP="00B87039">
      <w:pPr>
        <w:pStyle w:val="Heading6"/>
        <w:rPr>
          <w:lang w:val="fr-FR" w:eastAsia="en-CA"/>
        </w:rPr>
      </w:pPr>
    </w:p>
    <w:p w14:paraId="2D97E3F1" w14:textId="77777777" w:rsidR="00B87039" w:rsidRPr="00653BF4" w:rsidRDefault="00B87039" w:rsidP="00B87039">
      <w:pPr>
        <w:pStyle w:val="Heading6"/>
        <w:rPr>
          <w:lang w:val="fr-FR" w:eastAsia="en-CA"/>
        </w:rPr>
      </w:pPr>
      <w:bookmarkStart w:id="397" w:name="_Toc235821299"/>
      <w:r w:rsidRPr="00653BF4">
        <w:rPr>
          <w:lang w:val="fr-FR"/>
        </w:rPr>
        <w:t>Difficultés</w:t>
      </w:r>
      <w:bookmarkEnd w:id="397"/>
    </w:p>
    <w:p w14:paraId="37105BE2" w14:textId="77777777" w:rsidR="00B87039" w:rsidRPr="00653BF4" w:rsidRDefault="00B87039" w:rsidP="00B87039">
      <w:pPr>
        <w:rPr>
          <w:lang w:val="fr-FR" w:eastAsia="en-CA"/>
        </w:rPr>
      </w:pPr>
    </w:p>
    <w:p w14:paraId="09A1C3F2" w14:textId="3942DB78" w:rsidR="00B87039" w:rsidRPr="00653BF4" w:rsidRDefault="00B87039" w:rsidP="00B87039">
      <w:pPr>
        <w:rPr>
          <w:lang w:val="fr-FR"/>
        </w:rPr>
      </w:pPr>
      <w:r w:rsidRPr="00653BF4">
        <w:rPr>
          <w:lang w:val="fr-FR"/>
        </w:rPr>
        <w:t xml:space="preserve">Compte tenu de sa portée transversale, la </w:t>
      </w:r>
      <w:r w:rsidR="00E34DC9">
        <w:rPr>
          <w:lang w:val="fr-FR"/>
        </w:rPr>
        <w:t>cible 2</w:t>
      </w:r>
      <w:r w:rsidRPr="00653BF4">
        <w:rPr>
          <w:lang w:val="fr-FR"/>
        </w:rPr>
        <w:t>0 consolide et met en évidence les défis systémiques qui traversent l</w:t>
      </w:r>
      <w:r w:rsidR="00D77549">
        <w:rPr>
          <w:lang w:val="fr-FR"/>
        </w:rPr>
        <w:t>’</w:t>
      </w:r>
      <w:r w:rsidRPr="00653BF4">
        <w:rPr>
          <w:lang w:val="fr-FR"/>
        </w:rPr>
        <w:t>ensemble du Cadre. Les Parties indiquent que le financement destiné au renforcement des capacités en matière de biodiversité est très majoritairement à court terme ou lié à des projets, et souvent d</w:t>
      </w:r>
      <w:r w:rsidR="00D77549">
        <w:rPr>
          <w:lang w:val="fr-FR"/>
        </w:rPr>
        <w:t>’</w:t>
      </w:r>
      <w:r w:rsidRPr="00653BF4">
        <w:rPr>
          <w:lang w:val="fr-FR"/>
        </w:rPr>
        <w:t>origine extérieure, ce qui signifie que les programmes de formation, les systèmes de suivi et les initiatives de recherche sont souvent interrompus à la fin de chaque projet. Les crédits budgétaires nationaux alloués à la recherche et aux technologies en matière de biodiversité restent insuffisants dans la plupart des Parties ayant présenté un rapport, et l</w:t>
      </w:r>
      <w:r w:rsidR="00D77549">
        <w:rPr>
          <w:lang w:val="fr-FR"/>
        </w:rPr>
        <w:t>’</w:t>
      </w:r>
      <w:r w:rsidRPr="00653BF4">
        <w:rPr>
          <w:lang w:val="fr-FR"/>
        </w:rPr>
        <w:t>absence de mécanismes de financement durables engendre un cercle vicieux de dépendance vis-à-vis des donateurs internationaux. À ceci s</w:t>
      </w:r>
      <w:r w:rsidR="00D77549">
        <w:rPr>
          <w:lang w:val="fr-FR"/>
        </w:rPr>
        <w:t>’</w:t>
      </w:r>
      <w:r w:rsidRPr="00653BF4">
        <w:rPr>
          <w:lang w:val="fr-FR"/>
        </w:rPr>
        <w:t>ajoute le fait que la coordination institutionnelle est insuffisante et que les missions sont fragmentées entre de multiples organes directeurs, agences et établissements universitaires, ce qui entraîne des doubles emplois, des chevauchements de responsabilités et des difficultés à mettre en place un programme national cohérent en matière de recherche et de mise en œuvre. Les Parties font régulièrement état d</w:t>
      </w:r>
      <w:r w:rsidR="00D77549">
        <w:rPr>
          <w:lang w:val="fr-FR"/>
        </w:rPr>
        <w:t>’</w:t>
      </w:r>
      <w:r w:rsidRPr="00653BF4">
        <w:rPr>
          <w:lang w:val="fr-FR"/>
        </w:rPr>
        <w:t xml:space="preserve">importantes lacunes en matière d’expertise spécialisée, notamment dans les domaines </w:t>
      </w:r>
      <w:r w:rsidRPr="00653BF4">
        <w:rPr>
          <w:lang w:val="fr-FR"/>
        </w:rPr>
        <w:lastRenderedPageBreak/>
        <w:t>de la taxonomie, de la modélisation écologique, des systèmes d’information géographique et de la gestion des données, ainsi que d’un accès limité aux technologies modernes de suivi et aux infrastructures de laboratoire. Les données relatives à la biodiversité sont souvent cloisonnées entre les différentes institutions, sans normes communes ni interopérabilité, ce qui nuit à la capacité de suivre les progrès réalisés ou d</w:t>
      </w:r>
      <w:r w:rsidR="00D77549">
        <w:rPr>
          <w:lang w:val="fr-FR"/>
        </w:rPr>
        <w:t>’</w:t>
      </w:r>
      <w:r w:rsidRPr="00653BF4">
        <w:rPr>
          <w:lang w:val="fr-FR"/>
        </w:rPr>
        <w:t>éclairer l</w:t>
      </w:r>
      <w:r w:rsidR="00D77549">
        <w:rPr>
          <w:lang w:val="fr-FR"/>
        </w:rPr>
        <w:t>’</w:t>
      </w:r>
      <w:r w:rsidRPr="00653BF4">
        <w:rPr>
          <w:lang w:val="fr-FR"/>
        </w:rPr>
        <w:t xml:space="preserve">élaboration des politiques. Le taux de rotation élevé du personnel affaiblit encore davantage la mémoire institutionnelle, ce qui signifie que les compétences acquises grâce à la formation sont rarement ancrées dans les systèmes nationaux à long terme. </w:t>
      </w:r>
    </w:p>
    <w:p w14:paraId="1DE6E266" w14:textId="77777777" w:rsidR="00B87039" w:rsidRPr="00653BF4" w:rsidRDefault="00B87039" w:rsidP="00B87039">
      <w:pPr>
        <w:spacing w:after="0" w:line="240" w:lineRule="auto"/>
        <w:rPr>
          <w:rFonts w:eastAsia="Times New Roman" w:cs="Times New Roman"/>
          <w:color w:val="000000"/>
          <w:kern w:val="0"/>
          <w:lang w:val="fr-FR" w:eastAsia="en-CA"/>
          <w14:ligatures w14:val="none"/>
        </w:rPr>
      </w:pPr>
    </w:p>
    <w:p w14:paraId="3D882178" w14:textId="0182F9C0" w:rsidR="00B87039" w:rsidRPr="00653BF4" w:rsidRDefault="00B87039" w:rsidP="00B87039">
      <w:pPr>
        <w:pStyle w:val="Heading5"/>
        <w:rPr>
          <w:lang w:val="fr-FR" w:eastAsia="en-CA"/>
        </w:rPr>
      </w:pPr>
      <w:bookmarkStart w:id="398" w:name="_Toc235821300"/>
      <w:r w:rsidRPr="00653BF4">
        <w:rPr>
          <w:lang w:val="fr-FR"/>
        </w:rPr>
        <w:t>Contributions provenant d</w:t>
      </w:r>
      <w:r w:rsidR="00D77549">
        <w:rPr>
          <w:lang w:val="fr-FR"/>
        </w:rPr>
        <w:t>’</w:t>
      </w:r>
      <w:r w:rsidRPr="00653BF4">
        <w:rPr>
          <w:lang w:val="fr-FR"/>
        </w:rPr>
        <w:t>acteurs autres que les gouvernements nationaux</w:t>
      </w:r>
      <w:bookmarkEnd w:id="398"/>
    </w:p>
    <w:p w14:paraId="2A78DE33" w14:textId="77777777" w:rsidR="00B87039" w:rsidRPr="00653BF4" w:rsidRDefault="00B87039" w:rsidP="00B87039">
      <w:pPr>
        <w:pStyle w:val="Heading6"/>
        <w:rPr>
          <w:lang w:val="fr-FR" w:eastAsia="en-CA"/>
        </w:rPr>
      </w:pPr>
      <w:bookmarkStart w:id="399" w:name="_Toc235821301"/>
    </w:p>
    <w:p w14:paraId="79F109B0" w14:textId="2A233265" w:rsidR="00B87039" w:rsidRPr="00653BF4" w:rsidRDefault="00B87039" w:rsidP="00B87039">
      <w:pPr>
        <w:pStyle w:val="Heading6"/>
        <w:rPr>
          <w:lang w:val="fr-FR" w:eastAsia="en-CA"/>
        </w:rPr>
      </w:pPr>
      <w:r w:rsidRPr="00653BF4">
        <w:rPr>
          <w:lang w:val="fr-FR"/>
        </w:rPr>
        <w:t>Engagements communiqués directement via l</w:t>
      </w:r>
      <w:r w:rsidR="00D77549">
        <w:rPr>
          <w:lang w:val="fr-FR"/>
        </w:rPr>
        <w:t>’</w:t>
      </w:r>
      <w:r w:rsidRPr="00653BF4">
        <w:rPr>
          <w:lang w:val="fr-FR"/>
        </w:rPr>
        <w:t>outil de présentation des rapports en ligne</w:t>
      </w:r>
      <w:bookmarkEnd w:id="399"/>
    </w:p>
    <w:p w14:paraId="2F0DA9DD" w14:textId="77777777" w:rsidR="00B87039" w:rsidRPr="00653BF4" w:rsidRDefault="00B87039" w:rsidP="00B87039">
      <w:pPr>
        <w:rPr>
          <w:lang w:val="fr-FR" w:eastAsia="en-CA"/>
        </w:rPr>
      </w:pPr>
    </w:p>
    <w:p w14:paraId="3A3A3FC1" w14:textId="46E14C9B" w:rsidR="00B87039" w:rsidRPr="00653BF4" w:rsidRDefault="00B87039" w:rsidP="00B87039">
      <w:pPr>
        <w:rPr>
          <w:lang w:val="fr-FR"/>
        </w:rPr>
      </w:pPr>
      <w:r w:rsidRPr="00653BF4">
        <w:rPr>
          <w:lang w:val="fr-FR"/>
        </w:rPr>
        <w:t xml:space="preserve">Sur les 180 engagements de fond présentés par des acteurs autres que les gouvernements nationaux, seulement 3 concernent principalement la </w:t>
      </w:r>
      <w:r w:rsidR="00E34DC9">
        <w:rPr>
          <w:lang w:val="fr-FR"/>
        </w:rPr>
        <w:t>cible 2</w:t>
      </w:r>
      <w:r w:rsidRPr="00653BF4">
        <w:rPr>
          <w:lang w:val="fr-FR"/>
        </w:rPr>
        <w:t>0. Ces documents ont été soumis par deux ONG et un institut de recherche international. L</w:t>
      </w:r>
      <w:r w:rsidR="00D77549">
        <w:rPr>
          <w:lang w:val="fr-FR"/>
        </w:rPr>
        <w:t>’</w:t>
      </w:r>
      <w:r w:rsidRPr="00653BF4">
        <w:rPr>
          <w:lang w:val="fr-FR"/>
        </w:rPr>
        <w:t xml:space="preserve">une des soumissions émane du réseau international de recherche agricole CGIAR, qui a pris des engagements concernant plusieurs cibles, notamment la conception et la mise en œuvre de modules de formation destinés aux agriculteurs, aux chercheurs et aux professionnels afin de soutenir la planification des agroécosystèmes. Les autres engagements concernant la </w:t>
      </w:r>
      <w:r w:rsidR="00E34DC9">
        <w:rPr>
          <w:lang w:val="fr-FR"/>
        </w:rPr>
        <w:t>cible 2</w:t>
      </w:r>
      <w:r w:rsidRPr="00653BF4">
        <w:rPr>
          <w:lang w:val="fr-FR"/>
        </w:rPr>
        <w:t>0 impliquent des ONG européennes et mettent l</w:t>
      </w:r>
      <w:r w:rsidR="00D77549">
        <w:rPr>
          <w:lang w:val="fr-FR"/>
        </w:rPr>
        <w:t>’</w:t>
      </w:r>
      <w:r w:rsidRPr="00653BF4">
        <w:rPr>
          <w:lang w:val="fr-FR"/>
        </w:rPr>
        <w:t>accent sur la coopération Nord-Sud par le biais de partenariats et d</w:t>
      </w:r>
      <w:r w:rsidR="00D77549">
        <w:rPr>
          <w:lang w:val="fr-FR"/>
        </w:rPr>
        <w:t>’</w:t>
      </w:r>
      <w:r w:rsidRPr="00653BF4">
        <w:rPr>
          <w:lang w:val="fr-FR"/>
        </w:rPr>
        <w:t xml:space="preserve">un soutien au renforcement des capacités des organisations de la société civile dans les pays en développement. </w:t>
      </w:r>
    </w:p>
    <w:p w14:paraId="67AC98FE" w14:textId="77777777" w:rsidR="00B87039" w:rsidRPr="00653BF4" w:rsidRDefault="00B87039" w:rsidP="00B87039">
      <w:pPr>
        <w:rPr>
          <w:i/>
          <w:iCs/>
          <w:lang w:val="fr-FR"/>
        </w:rPr>
      </w:pPr>
    </w:p>
    <w:p w14:paraId="637625DB" w14:textId="77777777" w:rsidR="00B87039" w:rsidRPr="00653BF4" w:rsidRDefault="00B87039" w:rsidP="00B87039">
      <w:pPr>
        <w:pStyle w:val="Heading6"/>
        <w:rPr>
          <w:lang w:val="fr-FR" w:eastAsia="en-CA"/>
        </w:rPr>
      </w:pPr>
    </w:p>
    <w:p w14:paraId="46973DBE" w14:textId="25CB5D2D" w:rsidR="00B87039" w:rsidRPr="00653BF4" w:rsidRDefault="00B87039" w:rsidP="00B87039">
      <w:pPr>
        <w:pStyle w:val="Heading6"/>
        <w:rPr>
          <w:lang w:val="fr-FR" w:eastAsia="en-CA"/>
        </w:rPr>
      </w:pPr>
      <w:bookmarkStart w:id="400" w:name="_Toc235821302"/>
      <w:r w:rsidRPr="00653BF4">
        <w:rPr>
          <w:lang w:val="fr-FR"/>
        </w:rPr>
        <w:t>Contributions intégrées dans les rapports nationaux</w:t>
      </w:r>
      <w:bookmarkEnd w:id="400"/>
    </w:p>
    <w:p w14:paraId="33286D2D" w14:textId="77777777" w:rsidR="00B87039" w:rsidRPr="00653BF4" w:rsidRDefault="00B87039" w:rsidP="00B87039">
      <w:pPr>
        <w:rPr>
          <w:lang w:val="fr-FR"/>
        </w:rPr>
      </w:pPr>
    </w:p>
    <w:p w14:paraId="30F1384E" w14:textId="2F33CDE3" w:rsidR="00B87039" w:rsidRPr="00653BF4" w:rsidRDefault="00B87039" w:rsidP="00B87039">
      <w:pPr>
        <w:rPr>
          <w:lang w:val="fr-FR"/>
        </w:rPr>
      </w:pPr>
      <w:r w:rsidRPr="00653BF4">
        <w:rPr>
          <w:lang w:val="fr-FR"/>
        </w:rPr>
        <w:t>Les organisations intergouvernementales interviennent le plus souvent en tant que partenaires financiers et co-exécutants des programmes de renforcement des capacités, d</w:t>
      </w:r>
      <w:r w:rsidR="00D77549">
        <w:rPr>
          <w:lang w:val="fr-FR"/>
        </w:rPr>
        <w:t>’</w:t>
      </w:r>
      <w:r w:rsidRPr="00653BF4">
        <w:rPr>
          <w:lang w:val="fr-FR"/>
        </w:rPr>
        <w:t>accords de transfert de technologies et d</w:t>
      </w:r>
      <w:r w:rsidR="00D77549">
        <w:rPr>
          <w:lang w:val="fr-FR"/>
        </w:rPr>
        <w:t>’</w:t>
      </w:r>
      <w:r w:rsidRPr="00653BF4">
        <w:rPr>
          <w:lang w:val="fr-FR"/>
        </w:rPr>
        <w:t>infrastructures de suivi. Les organismes de recherche sont les principaux acteurs de la production de connaissances et de la mise en place d</w:t>
      </w:r>
      <w:r w:rsidR="00D77549">
        <w:rPr>
          <w:lang w:val="fr-FR"/>
        </w:rPr>
        <w:t>’</w:t>
      </w:r>
      <w:r w:rsidRPr="00653BF4">
        <w:rPr>
          <w:lang w:val="fr-FR"/>
        </w:rPr>
        <w:t>infrastructures de données sur la biodiversité. Ces organisations gèrent des plateformes de données, dispensent des formations et fournissent des conseils en matière de politiques scientifiques. Les ONG interviennent en tant qu</w:t>
      </w:r>
      <w:r w:rsidR="00D77549">
        <w:rPr>
          <w:lang w:val="fr-FR"/>
        </w:rPr>
        <w:t>’</w:t>
      </w:r>
      <w:r w:rsidRPr="00653BF4">
        <w:rPr>
          <w:lang w:val="fr-FR"/>
        </w:rPr>
        <w:t>agents de mise en œuvre, cogestionnaires d</w:t>
      </w:r>
      <w:r w:rsidR="00D77549">
        <w:rPr>
          <w:lang w:val="fr-FR"/>
        </w:rPr>
        <w:t>’</w:t>
      </w:r>
      <w:r w:rsidRPr="00653BF4">
        <w:rPr>
          <w:lang w:val="fr-FR"/>
        </w:rPr>
        <w:t xml:space="preserve">aires protégées et partenaires de mise en œuvre de projets bénéficiant </w:t>
      </w:r>
      <w:r w:rsidRPr="00653BF4">
        <w:rPr>
          <w:lang w:val="fr-FR"/>
        </w:rPr>
        <w:lastRenderedPageBreak/>
        <w:t>d</w:t>
      </w:r>
      <w:r w:rsidR="00D77549">
        <w:rPr>
          <w:lang w:val="fr-FR"/>
        </w:rPr>
        <w:t>’</w:t>
      </w:r>
      <w:r w:rsidRPr="00653BF4">
        <w:rPr>
          <w:lang w:val="fr-FR"/>
        </w:rPr>
        <w:t>un financement international. La mise en œuvre des politiques et la cogouvernance sont des rôles assumés par les autorités infranationales, les villes et les autres autorités locales. Ceux-ci ont également des besoins spécifiques en matière de renforcement des capacités, qui varient en fonction de leurs moyens techniques et financiers. Les citoyens apportent leur contribution par le biais de la science citoyenne, tandis que les peuples autochtones et communautés locales interviennent en tant que coproducteurs et cogestionnaires des connaissances. Les jeunes et les femmes sont le plus souvent ciblés par les programmes de renforcement des capacités et de formation. Ils interviennent également en tant que détenteurs de connaissances, organisateurs et concepteurs de ces programmes.</w:t>
      </w:r>
    </w:p>
    <w:p w14:paraId="3109E3D3" w14:textId="77777777" w:rsidR="00B87039" w:rsidRPr="00653BF4" w:rsidRDefault="00B87039" w:rsidP="00B87039">
      <w:pPr>
        <w:rPr>
          <w:lang w:val="fr-FR"/>
        </w:rPr>
      </w:pPr>
    </w:p>
    <w:p w14:paraId="6375E72C" w14:textId="2B8F166C" w:rsidR="00B87039" w:rsidRPr="00653BF4" w:rsidRDefault="00B87039" w:rsidP="00B87039">
      <w:pPr>
        <w:pStyle w:val="Heading5"/>
        <w:rPr>
          <w:lang w:val="fr-FR" w:eastAsia="ja-JP"/>
        </w:rPr>
      </w:pPr>
      <w:bookmarkStart w:id="401" w:name="_Toc235821303"/>
      <w:r w:rsidRPr="00653BF4">
        <w:rPr>
          <w:lang w:val="fr-FR"/>
        </w:rPr>
        <w:t>Exemples de liens avec d</w:t>
      </w:r>
      <w:r w:rsidR="00D77549">
        <w:rPr>
          <w:lang w:val="fr-FR"/>
        </w:rPr>
        <w:t>’</w:t>
      </w:r>
      <w:r w:rsidRPr="00653BF4">
        <w:rPr>
          <w:lang w:val="fr-FR"/>
        </w:rPr>
        <w:t>autres accords, organisations et processus</w:t>
      </w:r>
      <w:bookmarkEnd w:id="401"/>
      <w:r w:rsidRPr="00653BF4">
        <w:rPr>
          <w:lang w:val="fr-FR"/>
        </w:rPr>
        <w:br/>
      </w:r>
    </w:p>
    <w:p w14:paraId="3D3274CD" w14:textId="77777777" w:rsidR="00B87039" w:rsidRPr="00653BF4" w:rsidRDefault="00B87039" w:rsidP="00B87039">
      <w:pPr>
        <w:rPr>
          <w:lang w:val="fr-FR"/>
        </w:rPr>
      </w:pPr>
    </w:p>
    <w:p w14:paraId="53B7B2F0" w14:textId="0DE269A4" w:rsidR="00B87039" w:rsidRPr="00653BF4" w:rsidRDefault="00B87039" w:rsidP="00B87039">
      <w:pPr>
        <w:rPr>
          <w:lang w:val="fr-FR"/>
        </w:rPr>
      </w:pPr>
      <w:r w:rsidRPr="00653BF4">
        <w:rPr>
          <w:lang w:val="fr-FR"/>
        </w:rPr>
        <w:t>Le Partenariat Accélérateur de stratégies et plans d’action nationaux pour la biodiversité contribue au renforcement des capacités et aux efforts de coopération technique et scientifique en apportant son soutien aux pays par le biais de son mécanisme de mise en relation, de son programme de facilitateurs et de ses activités de partage des connaissances et d</w:t>
      </w:r>
      <w:r w:rsidR="00D77549">
        <w:rPr>
          <w:lang w:val="fr-FR"/>
        </w:rPr>
        <w:t>’</w:t>
      </w:r>
      <w:r w:rsidRPr="00653BF4">
        <w:rPr>
          <w:lang w:val="fr-FR"/>
        </w:rPr>
        <w:t>apprentissage</w:t>
      </w:r>
      <w:r w:rsidRPr="00653BF4">
        <w:rPr>
          <w:rStyle w:val="FootnoteReference"/>
          <w:lang w:val="fr-FR"/>
        </w:rPr>
        <w:footnoteReference w:id="40"/>
      </w:r>
      <w:r w:rsidRPr="00653BF4">
        <w:rPr>
          <w:lang w:val="fr-FR"/>
        </w:rPr>
        <w:t>. Le Partenariat est une initiative menée par les pays, qui regroupe actuellement 69 pays, 16 institutions et 45 acteurs autres que les gouvernements nationaux, et dont l</w:t>
      </w:r>
      <w:r w:rsidR="00D77549">
        <w:rPr>
          <w:lang w:val="fr-FR"/>
        </w:rPr>
        <w:t>’</w:t>
      </w:r>
      <w:r w:rsidRPr="00653BF4">
        <w:rPr>
          <w:lang w:val="fr-FR"/>
        </w:rPr>
        <w:t>unité de coordination mondiale est assurée par le secrétariat de la Convention, le PNUE et le PNUD. Le Partenariat met en relation les pays disposant d</w:t>
      </w:r>
      <w:r w:rsidR="00D77549">
        <w:rPr>
          <w:lang w:val="fr-FR"/>
        </w:rPr>
        <w:t>’</w:t>
      </w:r>
      <w:r w:rsidRPr="00653BF4">
        <w:rPr>
          <w:lang w:val="fr-FR"/>
        </w:rPr>
        <w:t>une expertise technique, des partenaires de mise en œuvre et des possibilités d</w:t>
      </w:r>
      <w:r w:rsidR="00D77549">
        <w:rPr>
          <w:lang w:val="fr-FR"/>
        </w:rPr>
        <w:t>’</w:t>
      </w:r>
      <w:r w:rsidRPr="00653BF4">
        <w:rPr>
          <w:lang w:val="fr-FR"/>
        </w:rPr>
        <w:t>apprentissage entre pairs, tout en favorisant la coopération Nord-Sud, Sud-Sud et triangulaire afin d</w:t>
      </w:r>
      <w:r w:rsidR="00D77549">
        <w:rPr>
          <w:lang w:val="fr-FR"/>
        </w:rPr>
        <w:t>’</w:t>
      </w:r>
      <w:r w:rsidRPr="00653BF4">
        <w:rPr>
          <w:lang w:val="fr-FR"/>
        </w:rPr>
        <w:t>accélérer la mise en œuvre du Cadre.</w:t>
      </w:r>
    </w:p>
    <w:p w14:paraId="4958928E" w14:textId="77777777" w:rsidR="00B87039" w:rsidRPr="00653BF4" w:rsidRDefault="00B87039" w:rsidP="00B87039">
      <w:pPr>
        <w:rPr>
          <w:lang w:val="fr-FR"/>
        </w:rPr>
      </w:pPr>
    </w:p>
    <w:p w14:paraId="65FB249B" w14:textId="77777777" w:rsidR="00B87039" w:rsidRPr="00653BF4" w:rsidRDefault="00B87039" w:rsidP="00B87039">
      <w:pPr>
        <w:rPr>
          <w:lang w:val="fr-FR" w:eastAsia="en-CA"/>
        </w:rPr>
      </w:pPr>
    </w:p>
    <w:p w14:paraId="6EB83209" w14:textId="04261C76" w:rsidR="00B87039" w:rsidRPr="00653BF4" w:rsidRDefault="00E34DC9" w:rsidP="00B87039">
      <w:pPr>
        <w:pStyle w:val="Heading4"/>
        <w:rPr>
          <w:i w:val="0"/>
          <w:iCs w:val="0"/>
          <w:lang w:val="fr-FR"/>
        </w:rPr>
      </w:pPr>
      <w:bookmarkStart w:id="402" w:name="_Toc235821304"/>
      <w:bookmarkStart w:id="403" w:name="_Ref236214881"/>
      <w:bookmarkStart w:id="404" w:name="_Toc239069217"/>
      <w:bookmarkStart w:id="405" w:name="_Toc1064102833"/>
      <w:bookmarkStart w:id="406" w:name="_Toc242801254"/>
      <w:r>
        <w:rPr>
          <w:b/>
          <w:bCs/>
          <w:i w:val="0"/>
          <w:iCs w:val="0"/>
          <w:lang w:val="fr-FR"/>
        </w:rPr>
        <w:t>Cible 2</w:t>
      </w:r>
      <w:r w:rsidR="00B87039" w:rsidRPr="00653BF4">
        <w:rPr>
          <w:b/>
          <w:bCs/>
          <w:i w:val="0"/>
          <w:iCs w:val="0"/>
          <w:lang w:val="fr-FR"/>
        </w:rPr>
        <w:t>1.</w:t>
      </w:r>
      <w:r w:rsidR="00B87039" w:rsidRPr="00653BF4">
        <w:rPr>
          <w:i w:val="0"/>
          <w:iCs w:val="0"/>
          <w:lang w:val="fr-FR"/>
        </w:rPr>
        <w:t xml:space="preserve"> Veiller à ce que les connaissances soient disponibles et accessibles pour orienter les actions à mener en faveur de la biodiversité</w:t>
      </w:r>
      <w:bookmarkEnd w:id="402"/>
      <w:bookmarkEnd w:id="403"/>
      <w:bookmarkEnd w:id="404"/>
      <w:bookmarkEnd w:id="405"/>
      <w:bookmarkEnd w:id="406"/>
    </w:p>
    <w:p w14:paraId="2B647A68" w14:textId="77777777" w:rsidR="00B87039" w:rsidRPr="00653BF4" w:rsidRDefault="00B87039" w:rsidP="00B87039">
      <w:pPr>
        <w:rPr>
          <w:b/>
          <w:bCs/>
          <w:i/>
          <w:iCs/>
          <w:sz w:val="22"/>
          <w:szCs w:val="22"/>
          <w:lang w:val="fr-FR"/>
        </w:rPr>
      </w:pPr>
    </w:p>
    <w:p w14:paraId="48B8BA6D" w14:textId="066500B1" w:rsidR="00B87039" w:rsidRPr="00653BF4" w:rsidRDefault="00B87039" w:rsidP="00B87039">
      <w:pPr>
        <w:rPr>
          <w:sz w:val="22"/>
          <w:szCs w:val="22"/>
          <w:lang w:val="fr-FR"/>
        </w:rPr>
      </w:pPr>
      <w:r w:rsidRPr="00653BF4">
        <w:rPr>
          <w:b/>
          <w:bCs/>
          <w:sz w:val="22"/>
          <w:szCs w:val="22"/>
          <w:lang w:val="fr-FR"/>
        </w:rPr>
        <w:t>Texte de la cible.</w:t>
      </w:r>
      <w:r w:rsidRPr="00653BF4">
        <w:rPr>
          <w:i/>
          <w:iCs/>
          <w:color w:val="000000" w:themeColor="text1"/>
          <w:sz w:val="22"/>
          <w:szCs w:val="22"/>
          <w:lang w:val="fr-FR"/>
        </w:rPr>
        <w:t xml:space="preserve"> </w:t>
      </w:r>
      <w:r w:rsidRPr="00653BF4">
        <w:rPr>
          <w:i/>
          <w:iCs/>
          <w:color w:val="000000" w:themeColor="text1"/>
          <w:spacing w:val="6"/>
          <w:sz w:val="22"/>
          <w:szCs w:val="22"/>
          <w:shd w:val="clear" w:color="auto" w:fill="FFFFFF"/>
          <w:lang w:val="fr-FR"/>
        </w:rPr>
        <w:t xml:space="preserve">Faire en sorte que les décideurs, les praticiens et le public aient accès aux meilleures données, informations et connaissances disponibles afin de favoriser une gouvernance efficace et équitable et une gestion intégrée et participative de la biodiversité, </w:t>
      </w:r>
      <w:r w:rsidRPr="00653BF4">
        <w:rPr>
          <w:i/>
          <w:iCs/>
          <w:color w:val="000000" w:themeColor="text1"/>
          <w:spacing w:val="6"/>
          <w:sz w:val="22"/>
          <w:szCs w:val="22"/>
          <w:shd w:val="clear" w:color="auto" w:fill="FFFFFF"/>
          <w:lang w:val="fr-FR"/>
        </w:rPr>
        <w:lastRenderedPageBreak/>
        <w:t>ainsi que de renforcer la communication, la sensibilisation, l</w:t>
      </w:r>
      <w:r w:rsidR="00D77549">
        <w:rPr>
          <w:i/>
          <w:iCs/>
          <w:color w:val="000000" w:themeColor="text1"/>
          <w:spacing w:val="6"/>
          <w:sz w:val="22"/>
          <w:szCs w:val="22"/>
          <w:shd w:val="clear" w:color="auto" w:fill="FFFFFF"/>
          <w:lang w:val="fr-FR"/>
        </w:rPr>
        <w:t>’</w:t>
      </w:r>
      <w:r w:rsidRPr="00653BF4">
        <w:rPr>
          <w:i/>
          <w:iCs/>
          <w:color w:val="000000" w:themeColor="text1"/>
          <w:spacing w:val="6"/>
          <w:sz w:val="22"/>
          <w:szCs w:val="22"/>
          <w:shd w:val="clear" w:color="auto" w:fill="FFFFFF"/>
          <w:lang w:val="fr-FR"/>
        </w:rPr>
        <w:t>éducation, le suivi, la recherche et la gestion des connaissances</w:t>
      </w:r>
      <w:r w:rsidR="00E34DC9">
        <w:rPr>
          <w:i/>
          <w:iCs/>
          <w:color w:val="000000" w:themeColor="text1"/>
          <w:spacing w:val="6"/>
          <w:sz w:val="22"/>
          <w:szCs w:val="22"/>
          <w:shd w:val="clear" w:color="auto" w:fill="FFFFFF"/>
          <w:lang w:val="fr-FR"/>
        </w:rPr>
        <w:t> ;</w:t>
      </w:r>
      <w:r w:rsidRPr="00653BF4">
        <w:rPr>
          <w:i/>
          <w:iCs/>
          <w:color w:val="000000" w:themeColor="text1"/>
          <w:spacing w:val="6"/>
          <w:sz w:val="22"/>
          <w:szCs w:val="22"/>
          <w:shd w:val="clear" w:color="auto" w:fill="FFFFFF"/>
          <w:lang w:val="fr-FR"/>
        </w:rPr>
        <w:t xml:space="preserve"> dans ce contexte également, les connaissances, innovations, pratiques et technologies traditionnelles des peuples autochtones et des communautés locales ne devraient être accessibles qu</w:t>
      </w:r>
      <w:r w:rsidR="00D77549">
        <w:rPr>
          <w:i/>
          <w:iCs/>
          <w:color w:val="000000" w:themeColor="text1"/>
          <w:spacing w:val="6"/>
          <w:sz w:val="22"/>
          <w:szCs w:val="22"/>
          <w:shd w:val="clear" w:color="auto" w:fill="FFFFFF"/>
          <w:lang w:val="fr-FR"/>
        </w:rPr>
        <w:t>’</w:t>
      </w:r>
      <w:r w:rsidRPr="00653BF4">
        <w:rPr>
          <w:i/>
          <w:iCs/>
          <w:color w:val="000000" w:themeColor="text1"/>
          <w:spacing w:val="6"/>
          <w:sz w:val="22"/>
          <w:szCs w:val="22"/>
          <w:shd w:val="clear" w:color="auto" w:fill="FFFFFF"/>
          <w:lang w:val="fr-FR"/>
        </w:rPr>
        <w:t>avec leur consentement préalable, libre et éclairé, conformément à la législation nationale.</w:t>
      </w:r>
    </w:p>
    <w:p w14:paraId="71D4CED9" w14:textId="77777777" w:rsidR="00B87039" w:rsidRPr="00653BF4" w:rsidRDefault="00B87039" w:rsidP="00B87039">
      <w:pPr>
        <w:rPr>
          <w:lang w:val="fr-FR"/>
        </w:rPr>
      </w:pPr>
    </w:p>
    <w:p w14:paraId="0C104037" w14:textId="77777777" w:rsidR="00B87039" w:rsidRPr="00653BF4" w:rsidRDefault="00B87039" w:rsidP="00B87039">
      <w:pPr>
        <w:pStyle w:val="Heading5"/>
        <w:rPr>
          <w:lang w:val="fr-FR"/>
        </w:rPr>
      </w:pPr>
      <w:r w:rsidRPr="00653BF4">
        <w:rPr>
          <w:lang w:val="fr-FR"/>
        </w:rPr>
        <w:t>Aperçu des progrès accomplis</w:t>
      </w:r>
    </w:p>
    <w:tbl>
      <w:tblPr>
        <w:tblStyle w:val="TableGrid"/>
        <w:tblW w:w="0" w:type="auto"/>
        <w:tblLook w:val="04A0" w:firstRow="1" w:lastRow="0" w:firstColumn="1" w:lastColumn="0" w:noHBand="0" w:noVBand="1"/>
      </w:tblPr>
      <w:tblGrid>
        <w:gridCol w:w="9016"/>
      </w:tblGrid>
      <w:tr w:rsidR="00B87039" w:rsidRPr="00543148" w14:paraId="0A4E6227" w14:textId="77777777" w:rsidTr="00557FB3">
        <w:tc>
          <w:tcPr>
            <w:tcW w:w="9016" w:type="dxa"/>
            <w:shd w:val="clear" w:color="auto" w:fill="D1D1D1" w:themeFill="background2" w:themeFillShade="E6"/>
          </w:tcPr>
          <w:p w14:paraId="667C2850" w14:textId="77777777" w:rsidR="00B87039" w:rsidRPr="00653BF4" w:rsidRDefault="00B87039" w:rsidP="00557FB3">
            <w:pPr>
              <w:rPr>
                <w:rFonts w:eastAsia="Times New Roman" w:cs="Calibri"/>
                <w:color w:val="000000"/>
                <w:lang w:val="fr-FR"/>
              </w:rPr>
            </w:pPr>
            <w:bookmarkStart w:id="407" w:name="_Toc230654842"/>
          </w:p>
          <w:bookmarkEnd w:id="407"/>
          <w:p w14:paraId="442376F4" w14:textId="27FBE688" w:rsidR="00B87039" w:rsidRPr="00653BF4" w:rsidRDefault="00B87039" w:rsidP="00557FB3">
            <w:pPr>
              <w:spacing w:after="160" w:line="278" w:lineRule="auto"/>
              <w:rPr>
                <w:lang w:val="fr-FR"/>
              </w:rPr>
            </w:pPr>
            <w:r w:rsidRPr="00653BF4">
              <w:rPr>
                <w:lang w:val="fr-FR"/>
              </w:rPr>
              <w:t>Bien que les Parties déploient des efforts considérables pour améliorer l</w:t>
            </w:r>
            <w:r w:rsidR="00D77549">
              <w:rPr>
                <w:lang w:val="fr-FR"/>
              </w:rPr>
              <w:t>’</w:t>
            </w:r>
            <w:r w:rsidRPr="00653BF4">
              <w:rPr>
                <w:lang w:val="fr-FR"/>
              </w:rPr>
              <w:t>accès aux données sur la biodiversité et leur disponibilité, d</w:t>
            </w:r>
            <w:r w:rsidR="00D77549">
              <w:rPr>
                <w:lang w:val="fr-FR"/>
              </w:rPr>
              <w:t>’</w:t>
            </w:r>
            <w:r w:rsidRPr="00653BF4">
              <w:rPr>
                <w:lang w:val="fr-FR"/>
              </w:rPr>
              <w:t>importantes lacunes subsistent. La plupart des Parties abordent la question de l</w:t>
            </w:r>
            <w:r w:rsidR="00D77549">
              <w:rPr>
                <w:lang w:val="fr-FR"/>
              </w:rPr>
              <w:t>’</w:t>
            </w:r>
            <w:r w:rsidRPr="00653BF4">
              <w:rPr>
                <w:lang w:val="fr-FR"/>
              </w:rPr>
              <w:t>accès aux données, informations et connaissances relatives à la biodiversité dans le cadre de leurs cibles nationales, bien que l</w:t>
            </w:r>
            <w:r w:rsidR="00D77549">
              <w:rPr>
                <w:lang w:val="fr-FR"/>
              </w:rPr>
              <w:t>’</w:t>
            </w:r>
            <w:r w:rsidRPr="00653BF4">
              <w:rPr>
                <w:lang w:val="fr-FR"/>
              </w:rPr>
              <w:t>accès aux connaissances traditionnelles, soumis au consentement préalable, donné librement et en connaissance de cause, soit moins systématiquement pris en compte. En ce qui concerne l</w:t>
            </w:r>
            <w:r w:rsidR="00D77549">
              <w:rPr>
                <w:lang w:val="fr-FR"/>
              </w:rPr>
              <w:t>’</w:t>
            </w:r>
            <w:r w:rsidRPr="00653BF4">
              <w:rPr>
                <w:lang w:val="fr-FR"/>
              </w:rPr>
              <w:t>indicateur phare 21.1, relativement peu de Parties disposent actuellement des données nationales nécessaires à la mise en œuvre du cadre de suivi. Néanmoins, de nombreuses améliorations ont été signalées en termes de disponibilité et d</w:t>
            </w:r>
            <w:r w:rsidR="00D77549">
              <w:rPr>
                <w:lang w:val="fr-FR"/>
              </w:rPr>
              <w:t>’</w:t>
            </w:r>
            <w:r w:rsidRPr="00653BF4">
              <w:rPr>
                <w:lang w:val="fr-FR"/>
              </w:rPr>
              <w:t>accès aux données et aux connaissances. Les auto-évaluations font état de progrès encourageants concernant 43</w:t>
            </w:r>
            <w:r w:rsidR="002878D7">
              <w:rPr>
                <w:lang w:val="fr-FR"/>
              </w:rPr>
              <w:t> %</w:t>
            </w:r>
            <w:r w:rsidRPr="00653BF4">
              <w:rPr>
                <w:lang w:val="fr-FR"/>
              </w:rPr>
              <w:t xml:space="preserve"> des cibles nationales associées. Parmi les principaux difficultés mentionnées figurent le traitement des lacunes dans les données et le renforcement de la communication, notamment en ce qui concerne l</w:t>
            </w:r>
            <w:r w:rsidR="00D77549">
              <w:rPr>
                <w:lang w:val="fr-FR"/>
              </w:rPr>
              <w:t>’</w:t>
            </w:r>
            <w:r w:rsidRPr="00653BF4">
              <w:rPr>
                <w:lang w:val="fr-FR"/>
              </w:rPr>
              <w:t>accès aux connaissances traditionnelles dans le respect du consentement préalable, donné librement et en connaissance de cause. Étant donné que la disponibilité et l</w:t>
            </w:r>
            <w:r w:rsidR="00D77549">
              <w:rPr>
                <w:lang w:val="fr-FR"/>
              </w:rPr>
              <w:t>’</w:t>
            </w:r>
            <w:r w:rsidRPr="00653BF4">
              <w:rPr>
                <w:lang w:val="fr-FR"/>
              </w:rPr>
              <w:t>accessibilité des données, des informations et des connaissances constituent le fondement de la mise en œuvre de l</w:t>
            </w:r>
            <w:r w:rsidR="00D77549">
              <w:rPr>
                <w:lang w:val="fr-FR"/>
              </w:rPr>
              <w:t>’</w:t>
            </w:r>
            <w:r w:rsidRPr="00653BF4">
              <w:rPr>
                <w:lang w:val="fr-FR"/>
              </w:rPr>
              <w:t xml:space="preserve">ensemble du Cadre, les difficultés rencontrées dans la mise en œuvre de la </w:t>
            </w:r>
            <w:r w:rsidR="00E34DC9">
              <w:rPr>
                <w:lang w:val="fr-FR"/>
              </w:rPr>
              <w:t>cible 2</w:t>
            </w:r>
            <w:r w:rsidRPr="00653BF4">
              <w:rPr>
                <w:lang w:val="fr-FR"/>
              </w:rPr>
              <w:t>1 ont des implications transversales.</w:t>
            </w:r>
          </w:p>
          <w:p w14:paraId="1F974C14" w14:textId="77777777" w:rsidR="00B87039" w:rsidRPr="00653BF4" w:rsidRDefault="00B87039" w:rsidP="00557FB3">
            <w:pPr>
              <w:rPr>
                <w:lang w:val="fr-FR"/>
              </w:rPr>
            </w:pPr>
          </w:p>
        </w:tc>
      </w:tr>
    </w:tbl>
    <w:p w14:paraId="7C181F32" w14:textId="77777777" w:rsidR="00B87039" w:rsidRPr="00653BF4" w:rsidRDefault="00B87039" w:rsidP="00B87039">
      <w:pPr>
        <w:rPr>
          <w:lang w:val="fr-FR"/>
        </w:rPr>
      </w:pPr>
    </w:p>
    <w:p w14:paraId="4471C7BC" w14:textId="218B05CE" w:rsidR="00B87039" w:rsidRPr="00653BF4" w:rsidRDefault="00B87039" w:rsidP="00B87039">
      <w:pPr>
        <w:pStyle w:val="Heading5"/>
        <w:rPr>
          <w:lang w:val="fr-FR"/>
        </w:rPr>
      </w:pPr>
      <w:r w:rsidRPr="00653BF4">
        <w:rPr>
          <w:lang w:val="fr-FR"/>
        </w:rPr>
        <w:t xml:space="preserve">Prise en compte par les Parties de la portée de la </w:t>
      </w:r>
      <w:r w:rsidR="00E34DC9">
        <w:rPr>
          <w:lang w:val="fr-FR"/>
        </w:rPr>
        <w:t>cible 2</w:t>
      </w:r>
      <w:r w:rsidRPr="00653BF4">
        <w:rPr>
          <w:lang w:val="fr-FR"/>
        </w:rPr>
        <w:t>1 du Cadre dans leurs cibles nationales</w:t>
      </w:r>
    </w:p>
    <w:p w14:paraId="5C0859D4" w14:textId="77777777" w:rsidR="00B87039" w:rsidRPr="00653BF4" w:rsidRDefault="00B87039" w:rsidP="00B87039">
      <w:pPr>
        <w:pStyle w:val="Caption"/>
        <w:rPr>
          <w:lang w:val="fr-FR"/>
        </w:rPr>
      </w:pPr>
    </w:p>
    <w:p w14:paraId="476AEE62" w14:textId="7FE5B2DD" w:rsidR="00B87039" w:rsidRPr="00653BF4" w:rsidRDefault="00B87039" w:rsidP="00B87039">
      <w:pPr>
        <w:rPr>
          <w:sz w:val="20"/>
          <w:szCs w:val="20"/>
          <w:lang w:val="fr-FR"/>
        </w:rPr>
      </w:pPr>
      <w:bookmarkStart w:id="408" w:name="_Ref231250615"/>
      <w:r w:rsidRPr="00653BF4">
        <w:rPr>
          <w:sz w:val="20"/>
          <w:szCs w:val="20"/>
          <w:lang w:val="fr-FR"/>
        </w:rPr>
        <w:t>Tableau 45</w:t>
      </w:r>
      <w:bookmarkEnd w:id="408"/>
    </w:p>
    <w:p w14:paraId="6C4813AB" w14:textId="262E7D33" w:rsidR="00B87039" w:rsidRPr="00653BF4" w:rsidRDefault="00B87039" w:rsidP="00B87039">
      <w:pPr>
        <w:rPr>
          <w:sz w:val="20"/>
          <w:szCs w:val="20"/>
          <w:lang w:val="fr-FR" w:eastAsia="ja-JP"/>
        </w:rPr>
      </w:pPr>
      <w:r w:rsidRPr="00653BF4">
        <w:rPr>
          <w:b/>
          <w:sz w:val="20"/>
          <w:szCs w:val="20"/>
          <w:lang w:val="fr-FR"/>
        </w:rPr>
        <w:t xml:space="preserve">Éléments de la </w:t>
      </w:r>
      <w:r w:rsidR="00E34DC9">
        <w:rPr>
          <w:b/>
          <w:sz w:val="20"/>
          <w:szCs w:val="20"/>
          <w:lang w:val="fr-FR"/>
        </w:rPr>
        <w:t>cible 2</w:t>
      </w:r>
      <w:r w:rsidRPr="00653BF4">
        <w:rPr>
          <w:b/>
          <w:sz w:val="20"/>
          <w:szCs w:val="20"/>
          <w:lang w:val="fr-FR"/>
        </w:rPr>
        <w:t xml:space="preserve">1 du Cadre et </w:t>
      </w:r>
      <w:r w:rsidRPr="00653BF4">
        <w:rPr>
          <w:b/>
          <w:bCs/>
          <w:sz w:val="20"/>
          <w:szCs w:val="20"/>
          <w:lang w:val="fr-FR"/>
        </w:rPr>
        <w:t>leur prise en compte dans les cibles nationales</w:t>
      </w:r>
      <w:r w:rsidRPr="00653BF4">
        <w:rPr>
          <w:sz w:val="20"/>
          <w:szCs w:val="20"/>
          <w:vertAlign w:val="superscript"/>
          <w:lang w:val="fr-FR"/>
        </w:rPr>
        <w:t>a</w:t>
      </w:r>
    </w:p>
    <w:p w14:paraId="242780CF" w14:textId="77777777" w:rsidR="00B87039" w:rsidRPr="00653BF4" w:rsidRDefault="00B87039" w:rsidP="00B87039">
      <w:pPr>
        <w:pStyle w:val="Caption"/>
        <w:keepNext/>
        <w:rPr>
          <w:lang w:val="fr-FR"/>
        </w:rPr>
      </w:pPr>
    </w:p>
    <w:tbl>
      <w:tblPr>
        <w:tblStyle w:val="TableGrid"/>
        <w:tblW w:w="9782" w:type="dxa"/>
        <w:tblInd w:w="-431" w:type="dxa"/>
        <w:tblLook w:val="04A0" w:firstRow="1" w:lastRow="0" w:firstColumn="1" w:lastColumn="0" w:noHBand="0" w:noVBand="1"/>
      </w:tblPr>
      <w:tblGrid>
        <w:gridCol w:w="9073"/>
        <w:gridCol w:w="709"/>
      </w:tblGrid>
      <w:tr w:rsidR="00B87039" w:rsidRPr="00653BF4" w14:paraId="2742FD5C" w14:textId="77777777" w:rsidTr="00557FB3">
        <w:tc>
          <w:tcPr>
            <w:tcW w:w="9073" w:type="dxa"/>
          </w:tcPr>
          <w:p w14:paraId="1A853814" w14:textId="7777777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Faire en sorte que les décideurs, les praticiens et le public aient accès aux meilleures données disponibles</w:t>
            </w:r>
          </w:p>
          <w:p w14:paraId="03C5178F" w14:textId="77777777" w:rsidR="00B87039" w:rsidRPr="00653BF4" w:rsidRDefault="00B87039" w:rsidP="00557FB3">
            <w:pPr>
              <w:autoSpaceDE w:val="0"/>
              <w:autoSpaceDN w:val="0"/>
              <w:adjustRightInd w:val="0"/>
              <w:rPr>
                <w:rFonts w:cs="Times New Roman"/>
                <w:kern w:val="0"/>
                <w:sz w:val="21"/>
                <w:szCs w:val="21"/>
                <w:lang w:val="fr-FR"/>
              </w:rPr>
            </w:pPr>
          </w:p>
        </w:tc>
        <w:tc>
          <w:tcPr>
            <w:tcW w:w="709" w:type="dxa"/>
            <w:shd w:val="clear" w:color="auto" w:fill="92D050"/>
          </w:tcPr>
          <w:p w14:paraId="3B257695" w14:textId="77777777" w:rsidR="00B87039" w:rsidRPr="00653BF4" w:rsidRDefault="00B87039" w:rsidP="00557FB3">
            <w:pPr>
              <w:rPr>
                <w:sz w:val="22"/>
                <w:szCs w:val="22"/>
                <w:lang w:val="fr-FR"/>
              </w:rPr>
            </w:pPr>
            <w:r w:rsidRPr="00653BF4">
              <w:rPr>
                <w:sz w:val="22"/>
                <w:szCs w:val="22"/>
                <w:lang w:val="fr-FR"/>
              </w:rPr>
              <w:t>72</w:t>
            </w:r>
          </w:p>
        </w:tc>
      </w:tr>
      <w:tr w:rsidR="00B87039" w:rsidRPr="00653BF4" w14:paraId="565DCF49" w14:textId="77777777" w:rsidTr="00557FB3">
        <w:tc>
          <w:tcPr>
            <w:tcW w:w="9073" w:type="dxa"/>
          </w:tcPr>
          <w:p w14:paraId="4FFE73FC" w14:textId="7777777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Faire en sorte que les décideurs, les praticiens et le public aient accès aux meilleures informations et connaissances disponibles</w:t>
            </w:r>
          </w:p>
          <w:p w14:paraId="6FB461E9" w14:textId="77777777" w:rsidR="00B87039" w:rsidRPr="00653BF4" w:rsidRDefault="00B87039" w:rsidP="00557FB3">
            <w:pPr>
              <w:rPr>
                <w:sz w:val="21"/>
                <w:szCs w:val="21"/>
                <w:lang w:val="fr-FR"/>
              </w:rPr>
            </w:pPr>
          </w:p>
        </w:tc>
        <w:tc>
          <w:tcPr>
            <w:tcW w:w="709" w:type="dxa"/>
            <w:shd w:val="clear" w:color="auto" w:fill="92D050"/>
          </w:tcPr>
          <w:p w14:paraId="761D1FE7" w14:textId="77777777" w:rsidR="00B87039" w:rsidRPr="00653BF4" w:rsidRDefault="00B87039" w:rsidP="00557FB3">
            <w:pPr>
              <w:rPr>
                <w:sz w:val="22"/>
                <w:szCs w:val="22"/>
                <w:lang w:val="fr-FR"/>
              </w:rPr>
            </w:pPr>
            <w:r w:rsidRPr="00653BF4">
              <w:rPr>
                <w:sz w:val="22"/>
                <w:szCs w:val="22"/>
                <w:lang w:val="fr-FR"/>
              </w:rPr>
              <w:t>71</w:t>
            </w:r>
          </w:p>
        </w:tc>
      </w:tr>
      <w:tr w:rsidR="00B87039" w:rsidRPr="00653BF4" w14:paraId="5DB0A863" w14:textId="77777777" w:rsidTr="00557FB3">
        <w:tc>
          <w:tcPr>
            <w:tcW w:w="9073" w:type="dxa"/>
          </w:tcPr>
          <w:p w14:paraId="67E612C9" w14:textId="5045FAF2" w:rsidR="00B87039" w:rsidRPr="00653BF4" w:rsidRDefault="00B87039" w:rsidP="00557FB3">
            <w:pPr>
              <w:rPr>
                <w:rFonts w:cs="Times New Roman"/>
                <w:kern w:val="0"/>
                <w:sz w:val="21"/>
                <w:szCs w:val="21"/>
                <w:lang w:val="fr-FR"/>
              </w:rPr>
            </w:pPr>
            <w:r w:rsidRPr="00653BF4">
              <w:rPr>
                <w:rFonts w:cs="Times New Roman"/>
                <w:kern w:val="0"/>
                <w:sz w:val="21"/>
                <w:szCs w:val="21"/>
                <w:lang w:val="fr-FR"/>
              </w:rPr>
              <w:t>Renforcer la communication, la sensibilisation et l</w:t>
            </w:r>
            <w:r w:rsidR="00D77549">
              <w:rPr>
                <w:rFonts w:cs="Times New Roman"/>
                <w:kern w:val="0"/>
                <w:sz w:val="21"/>
                <w:szCs w:val="21"/>
                <w:lang w:val="fr-FR"/>
              </w:rPr>
              <w:t>’</w:t>
            </w:r>
            <w:r w:rsidRPr="00653BF4">
              <w:rPr>
                <w:rFonts w:cs="Times New Roman"/>
                <w:kern w:val="0"/>
                <w:sz w:val="21"/>
                <w:szCs w:val="21"/>
                <w:lang w:val="fr-FR"/>
              </w:rPr>
              <w:t>éducation</w:t>
            </w:r>
          </w:p>
          <w:p w14:paraId="006B9F1C" w14:textId="77777777" w:rsidR="00B87039" w:rsidRPr="00653BF4" w:rsidRDefault="00B87039" w:rsidP="00557FB3">
            <w:pPr>
              <w:rPr>
                <w:sz w:val="21"/>
                <w:szCs w:val="21"/>
                <w:lang w:val="fr-FR"/>
              </w:rPr>
            </w:pPr>
          </w:p>
        </w:tc>
        <w:tc>
          <w:tcPr>
            <w:tcW w:w="709" w:type="dxa"/>
            <w:shd w:val="clear" w:color="auto" w:fill="92D050"/>
          </w:tcPr>
          <w:p w14:paraId="3BC3B2D7" w14:textId="77777777" w:rsidR="00B87039" w:rsidRPr="00653BF4" w:rsidRDefault="00B87039" w:rsidP="00557FB3">
            <w:pPr>
              <w:rPr>
                <w:sz w:val="22"/>
                <w:szCs w:val="22"/>
                <w:lang w:val="fr-FR"/>
              </w:rPr>
            </w:pPr>
            <w:r w:rsidRPr="00653BF4">
              <w:rPr>
                <w:sz w:val="22"/>
                <w:szCs w:val="22"/>
                <w:lang w:val="fr-FR"/>
              </w:rPr>
              <w:t>70</w:t>
            </w:r>
          </w:p>
        </w:tc>
      </w:tr>
      <w:tr w:rsidR="00B87039" w:rsidRPr="00653BF4" w14:paraId="171C78FD" w14:textId="77777777" w:rsidTr="00557FB3">
        <w:tc>
          <w:tcPr>
            <w:tcW w:w="9073" w:type="dxa"/>
          </w:tcPr>
          <w:p w14:paraId="5D38D1CD" w14:textId="77777777" w:rsidR="00B87039" w:rsidRPr="00653BF4" w:rsidRDefault="00B87039" w:rsidP="00557FB3">
            <w:pPr>
              <w:rPr>
                <w:rFonts w:cs="Times New Roman"/>
                <w:kern w:val="0"/>
                <w:sz w:val="21"/>
                <w:szCs w:val="21"/>
                <w:lang w:val="fr-FR"/>
              </w:rPr>
            </w:pPr>
            <w:r w:rsidRPr="00653BF4">
              <w:rPr>
                <w:rFonts w:cs="Times New Roman"/>
                <w:kern w:val="0"/>
                <w:sz w:val="21"/>
                <w:szCs w:val="21"/>
                <w:lang w:val="fr-FR"/>
              </w:rPr>
              <w:t>Renforcer le suivi</w:t>
            </w:r>
          </w:p>
          <w:p w14:paraId="67D59EA1" w14:textId="77777777" w:rsidR="00B87039" w:rsidRPr="00653BF4" w:rsidRDefault="00B87039" w:rsidP="00557FB3">
            <w:pPr>
              <w:rPr>
                <w:sz w:val="21"/>
                <w:szCs w:val="21"/>
                <w:lang w:val="fr-FR"/>
              </w:rPr>
            </w:pPr>
          </w:p>
        </w:tc>
        <w:tc>
          <w:tcPr>
            <w:tcW w:w="709" w:type="dxa"/>
            <w:shd w:val="clear" w:color="auto" w:fill="FFFF00"/>
          </w:tcPr>
          <w:p w14:paraId="09337BAE" w14:textId="77777777" w:rsidR="00B87039" w:rsidRPr="00653BF4" w:rsidRDefault="00B87039" w:rsidP="00557FB3">
            <w:pPr>
              <w:rPr>
                <w:sz w:val="22"/>
                <w:szCs w:val="22"/>
                <w:lang w:val="fr-FR"/>
              </w:rPr>
            </w:pPr>
            <w:r w:rsidRPr="00653BF4">
              <w:rPr>
                <w:sz w:val="22"/>
                <w:szCs w:val="22"/>
                <w:lang w:val="fr-FR"/>
              </w:rPr>
              <w:t>46</w:t>
            </w:r>
          </w:p>
        </w:tc>
      </w:tr>
      <w:tr w:rsidR="00B87039" w:rsidRPr="00653BF4" w14:paraId="238F37A0" w14:textId="77777777" w:rsidTr="00557FB3">
        <w:tc>
          <w:tcPr>
            <w:tcW w:w="9073" w:type="dxa"/>
          </w:tcPr>
          <w:p w14:paraId="3A5A2CEB" w14:textId="77777777" w:rsidR="00B87039" w:rsidRPr="00653BF4" w:rsidRDefault="00B87039" w:rsidP="00557FB3">
            <w:pPr>
              <w:rPr>
                <w:rFonts w:cs="Times New Roman"/>
                <w:kern w:val="0"/>
                <w:sz w:val="21"/>
                <w:szCs w:val="21"/>
                <w:lang w:val="fr-FR"/>
              </w:rPr>
            </w:pPr>
            <w:r w:rsidRPr="00653BF4">
              <w:rPr>
                <w:rFonts w:cs="Times New Roman"/>
                <w:kern w:val="0"/>
                <w:sz w:val="21"/>
                <w:szCs w:val="21"/>
                <w:lang w:val="fr-FR"/>
              </w:rPr>
              <w:t>Renforcer la recherche</w:t>
            </w:r>
          </w:p>
          <w:p w14:paraId="307A1740" w14:textId="77777777" w:rsidR="00B87039" w:rsidRPr="00653BF4" w:rsidRDefault="00B87039" w:rsidP="00557FB3">
            <w:pPr>
              <w:rPr>
                <w:sz w:val="21"/>
                <w:szCs w:val="21"/>
                <w:lang w:val="fr-FR"/>
              </w:rPr>
            </w:pPr>
          </w:p>
        </w:tc>
        <w:tc>
          <w:tcPr>
            <w:tcW w:w="709" w:type="dxa"/>
            <w:shd w:val="clear" w:color="auto" w:fill="FFC000"/>
          </w:tcPr>
          <w:p w14:paraId="56DAD0F5" w14:textId="77777777" w:rsidR="00B87039" w:rsidRPr="00653BF4" w:rsidRDefault="00B87039" w:rsidP="00557FB3">
            <w:pPr>
              <w:rPr>
                <w:sz w:val="22"/>
                <w:szCs w:val="22"/>
                <w:lang w:val="fr-FR"/>
              </w:rPr>
            </w:pPr>
            <w:r w:rsidRPr="00653BF4">
              <w:rPr>
                <w:sz w:val="22"/>
                <w:szCs w:val="22"/>
                <w:lang w:val="fr-FR"/>
              </w:rPr>
              <w:t>39</w:t>
            </w:r>
          </w:p>
        </w:tc>
      </w:tr>
      <w:tr w:rsidR="00B87039" w:rsidRPr="00653BF4" w14:paraId="6464C737" w14:textId="77777777" w:rsidTr="00557FB3">
        <w:tc>
          <w:tcPr>
            <w:tcW w:w="9073" w:type="dxa"/>
          </w:tcPr>
          <w:p w14:paraId="4855A8D3" w14:textId="77777777" w:rsidR="00B87039" w:rsidRPr="00653BF4" w:rsidRDefault="00B87039" w:rsidP="00557FB3">
            <w:pPr>
              <w:rPr>
                <w:rFonts w:cs="Times New Roman"/>
                <w:kern w:val="0"/>
                <w:sz w:val="21"/>
                <w:szCs w:val="21"/>
                <w:lang w:val="fr-FR"/>
              </w:rPr>
            </w:pPr>
            <w:r w:rsidRPr="00653BF4">
              <w:rPr>
                <w:rFonts w:cs="Times New Roman"/>
                <w:kern w:val="0"/>
                <w:sz w:val="21"/>
                <w:szCs w:val="21"/>
                <w:lang w:val="fr-FR"/>
              </w:rPr>
              <w:t>Renforcer la gestion des connaissances</w:t>
            </w:r>
          </w:p>
          <w:p w14:paraId="193A8D3B" w14:textId="77777777" w:rsidR="00B87039" w:rsidRPr="00653BF4" w:rsidRDefault="00B87039" w:rsidP="00557FB3">
            <w:pPr>
              <w:rPr>
                <w:sz w:val="21"/>
                <w:szCs w:val="21"/>
                <w:lang w:val="fr-FR"/>
              </w:rPr>
            </w:pPr>
          </w:p>
        </w:tc>
        <w:tc>
          <w:tcPr>
            <w:tcW w:w="709" w:type="dxa"/>
            <w:shd w:val="clear" w:color="auto" w:fill="FFFF00"/>
          </w:tcPr>
          <w:p w14:paraId="7648DD75" w14:textId="77777777" w:rsidR="00B87039" w:rsidRPr="00653BF4" w:rsidRDefault="00B87039" w:rsidP="00557FB3">
            <w:pPr>
              <w:rPr>
                <w:sz w:val="22"/>
                <w:szCs w:val="22"/>
                <w:lang w:val="fr-FR"/>
              </w:rPr>
            </w:pPr>
            <w:r w:rsidRPr="00653BF4">
              <w:rPr>
                <w:sz w:val="22"/>
                <w:szCs w:val="22"/>
                <w:lang w:val="fr-FR"/>
              </w:rPr>
              <w:t>43</w:t>
            </w:r>
          </w:p>
        </w:tc>
      </w:tr>
      <w:tr w:rsidR="00B87039" w:rsidRPr="00653BF4" w14:paraId="04B449A5" w14:textId="77777777" w:rsidTr="00557FB3">
        <w:tc>
          <w:tcPr>
            <w:tcW w:w="9073" w:type="dxa"/>
          </w:tcPr>
          <w:p w14:paraId="093B709C" w14:textId="58AD8C44" w:rsidR="00B87039" w:rsidRPr="00653BF4" w:rsidRDefault="00B87039" w:rsidP="00557FB3">
            <w:pPr>
              <w:autoSpaceDE w:val="0"/>
              <w:autoSpaceDN w:val="0"/>
              <w:adjustRightInd w:val="0"/>
              <w:rPr>
                <w:sz w:val="21"/>
                <w:szCs w:val="21"/>
                <w:lang w:val="fr-FR"/>
              </w:rPr>
            </w:pPr>
            <w:r w:rsidRPr="00653BF4">
              <w:rPr>
                <w:rFonts w:cs="Times New Roman"/>
                <w:kern w:val="0"/>
                <w:sz w:val="21"/>
                <w:szCs w:val="21"/>
                <w:lang w:val="fr-FR"/>
              </w:rPr>
              <w:t>Veiller à ce que l</w:t>
            </w:r>
            <w:r w:rsidR="00D77549">
              <w:rPr>
                <w:rFonts w:cs="Times New Roman"/>
                <w:kern w:val="0"/>
                <w:sz w:val="21"/>
                <w:szCs w:val="21"/>
                <w:lang w:val="fr-FR"/>
              </w:rPr>
              <w:t>’</w:t>
            </w:r>
            <w:r w:rsidRPr="00653BF4">
              <w:rPr>
                <w:rFonts w:cs="Times New Roman"/>
                <w:kern w:val="0"/>
                <w:sz w:val="21"/>
                <w:szCs w:val="21"/>
                <w:lang w:val="fr-FR"/>
              </w:rPr>
              <w:t>accès aux connaissances, innovations, pratiques et technologies traditionnelles des peuples autochtones et communautés locales ne soit accessible qu</w:t>
            </w:r>
            <w:r w:rsidR="00D77549">
              <w:rPr>
                <w:rFonts w:cs="Times New Roman"/>
                <w:kern w:val="0"/>
                <w:sz w:val="21"/>
                <w:szCs w:val="21"/>
                <w:lang w:val="fr-FR"/>
              </w:rPr>
              <w:t>’</w:t>
            </w:r>
            <w:r w:rsidRPr="00653BF4">
              <w:rPr>
                <w:rFonts w:cs="Times New Roman"/>
                <w:kern w:val="0"/>
                <w:sz w:val="21"/>
                <w:szCs w:val="21"/>
                <w:lang w:val="fr-FR"/>
              </w:rPr>
              <w:t>avec leur consentement préalable, donné librement et en connaissance de cause</w:t>
            </w:r>
          </w:p>
        </w:tc>
        <w:tc>
          <w:tcPr>
            <w:tcW w:w="709" w:type="dxa"/>
            <w:shd w:val="clear" w:color="auto" w:fill="FFC000"/>
          </w:tcPr>
          <w:p w14:paraId="485BCC2A" w14:textId="77777777" w:rsidR="00B87039" w:rsidRPr="00653BF4" w:rsidRDefault="00B87039" w:rsidP="00557FB3">
            <w:pPr>
              <w:rPr>
                <w:sz w:val="22"/>
                <w:szCs w:val="22"/>
                <w:lang w:val="fr-FR"/>
              </w:rPr>
            </w:pPr>
            <w:r w:rsidRPr="00653BF4">
              <w:rPr>
                <w:sz w:val="22"/>
                <w:szCs w:val="22"/>
                <w:lang w:val="fr-FR"/>
              </w:rPr>
              <w:t>36</w:t>
            </w:r>
          </w:p>
        </w:tc>
      </w:tr>
      <w:tr w:rsidR="00B87039" w:rsidRPr="00543148" w14:paraId="78EE6B2C" w14:textId="77777777" w:rsidTr="00557FB3">
        <w:tc>
          <w:tcPr>
            <w:tcW w:w="9782" w:type="dxa"/>
            <w:gridSpan w:val="2"/>
          </w:tcPr>
          <w:p w14:paraId="1379DF04" w14:textId="77777777" w:rsidR="00B87039" w:rsidRPr="00653BF4" w:rsidRDefault="00B87039" w:rsidP="00557FB3">
            <w:pPr>
              <w:pStyle w:val="p1"/>
              <w:keepNext/>
              <w:rPr>
                <w:rFonts w:asciiTheme="minorHAnsi" w:hAnsiTheme="minorHAnsi"/>
                <w:b/>
                <w:bCs/>
                <w:sz w:val="22"/>
                <w:szCs w:val="22"/>
                <w:lang w:val="fr-FR"/>
              </w:rPr>
            </w:pPr>
          </w:p>
          <w:p w14:paraId="456D460A" w14:textId="59A62868"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54</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0C24C035" w14:textId="77777777" w:rsidR="00B87039" w:rsidRPr="00653BF4" w:rsidRDefault="00B87039" w:rsidP="00557FB3">
            <w:pPr>
              <w:rPr>
                <w:sz w:val="22"/>
                <w:szCs w:val="22"/>
                <w:lang w:val="fr-FR"/>
              </w:rPr>
            </w:pPr>
          </w:p>
        </w:tc>
      </w:tr>
    </w:tbl>
    <w:p w14:paraId="6D92607B" w14:textId="77777777" w:rsidR="00B87039" w:rsidRPr="00653BF4" w:rsidRDefault="00B87039" w:rsidP="00B87039">
      <w:pPr>
        <w:rPr>
          <w:lang w:val="fr-FR"/>
        </w:rPr>
      </w:pPr>
    </w:p>
    <w:p w14:paraId="238C454C" w14:textId="2C1542F8" w:rsidR="00B87039" w:rsidRPr="00653BF4" w:rsidRDefault="00B87039" w:rsidP="00B87039">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w:t>
      </w:r>
      <w:r w:rsidR="00D77549">
        <w:rPr>
          <w:iCs/>
          <w:sz w:val="16"/>
          <w:szCs w:val="16"/>
          <w:lang w:val="fr-FR"/>
        </w:rPr>
        <w:t>’</w:t>
      </w:r>
      <w:r w:rsidRPr="00653BF4">
        <w:rPr>
          <w:iCs/>
          <w:sz w:val="16"/>
          <w:szCs w:val="16"/>
          <w:lang w:val="fr-FR"/>
        </w:rPr>
        <w:t>élément, au moins partiellement.</w:t>
      </w:r>
    </w:p>
    <w:p w14:paraId="574B3CC4" w14:textId="60614225" w:rsidR="00B87039" w:rsidRPr="00653BF4" w:rsidRDefault="00B87039" w:rsidP="00B8703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cs="Segoe UI"/>
          <w:sz w:val="16"/>
          <w:szCs w:val="16"/>
          <w:lang w:val="fr-FR"/>
        </w:rPr>
        <w:t xml:space="preserve"> Les éléments de chaque cible ont été définis par le Groupe spécial d</w:t>
      </w:r>
      <w:r w:rsidR="00D77549">
        <w:rPr>
          <w:rStyle w:val="normaltextrun"/>
          <w:rFonts w:cs="Segoe UI"/>
          <w:sz w:val="16"/>
          <w:szCs w:val="16"/>
          <w:lang w:val="fr-FR"/>
        </w:rPr>
        <w:t>’</w:t>
      </w:r>
      <w:r w:rsidRPr="00653BF4">
        <w:rPr>
          <w:rStyle w:val="normaltextrun"/>
          <w:rFonts w:cs="Segoe UI"/>
          <w:sz w:val="16"/>
          <w:szCs w:val="16"/>
          <w:lang w:val="fr-FR"/>
        </w:rPr>
        <w:t xml:space="preserve">experts techniques sur les indicateurs du Cadre mondial de la biodiversité de Kunming-Montréal (voir annexe I du document </w:t>
      </w:r>
      <w:hyperlink r:id="rId204" w:history="1">
        <w:r w:rsidRPr="00653BF4">
          <w:rPr>
            <w:rStyle w:val="Hyperlink"/>
            <w:rFonts w:ascii="Aptos" w:hAnsi="Aptos" w:cs="Segoe UI"/>
            <w:sz w:val="16"/>
            <w:szCs w:val="16"/>
            <w:lang w:val="fr-FR"/>
          </w:rPr>
          <w:t>CBD/COP/16/INF/4</w:t>
        </w:r>
      </w:hyperlink>
      <w:r w:rsidR="00E34DC9">
        <w:rPr>
          <w:rStyle w:val="normaltextrun"/>
          <w:rFonts w:cs="Segoe UI"/>
          <w:sz w:val="16"/>
          <w:szCs w:val="16"/>
          <w:lang w:val="fr-FR"/>
        </w:rPr>
        <w:t> ;</w:t>
      </w:r>
      <w:r w:rsidRPr="00653BF4">
        <w:rPr>
          <w:rFonts w:ascii="Aptos" w:hAnsi="Aptos" w:cs="Segoe UI"/>
          <w:sz w:val="16"/>
          <w:szCs w:val="16"/>
          <w:lang w:val="fr-FR"/>
        </w:rPr>
        <w:t xml:space="preserve"> et Affinito </w:t>
      </w:r>
      <w:r w:rsidRPr="00653BF4">
        <w:rPr>
          <w:rFonts w:ascii="Aptos" w:hAnsi="Aptos" w:cs="Segoe UI"/>
          <w:i/>
          <w:iCs/>
          <w:sz w:val="16"/>
          <w:szCs w:val="16"/>
          <w:lang w:val="fr-FR"/>
        </w:rPr>
        <w:t>et al.</w:t>
      </w:r>
      <w:r w:rsidRPr="00653BF4">
        <w:rPr>
          <w:rFonts w:ascii="Aptos" w:hAnsi="Aptos" w:cs="Segoe UI"/>
          <w:sz w:val="16"/>
          <w:szCs w:val="16"/>
          <w:lang w:val="fr-FR"/>
        </w:rPr>
        <w:t xml:space="preserve">, 2025). </w:t>
      </w:r>
      <w:r w:rsidRPr="00653BF4">
        <w:rPr>
          <w:rStyle w:val="normaltextrun"/>
          <w:rFonts w:cs="Segoe UI"/>
          <w:sz w:val="16"/>
          <w:szCs w:val="16"/>
          <w:lang w:val="fr-FR"/>
        </w:rPr>
        <w:t>La méthode détaillée employée pour l</w:t>
      </w:r>
      <w:r w:rsidR="00D77549">
        <w:rPr>
          <w:rStyle w:val="normaltextrun"/>
          <w:rFonts w:cs="Segoe UI"/>
          <w:sz w:val="16"/>
          <w:szCs w:val="16"/>
          <w:lang w:val="fr-FR"/>
        </w:rPr>
        <w:t>’</w:t>
      </w:r>
      <w:r w:rsidRPr="00653BF4">
        <w:rPr>
          <w:rStyle w:val="normaltextrun"/>
          <w:rFonts w:cs="Segoe UI"/>
          <w:sz w:val="16"/>
          <w:szCs w:val="16"/>
          <w:lang w:val="fr-FR"/>
        </w:rPr>
        <w:t>analyse des cibles nationales est présentée dans le document </w:t>
      </w:r>
      <w:hyperlink r:id="rId205" w:history="1">
        <w:r w:rsidRPr="00653BF4">
          <w:rPr>
            <w:rStyle w:val="Hyperlink"/>
            <w:rFonts w:ascii="Aptos" w:hAnsi="Aptos" w:cs="Segoe UI"/>
            <w:sz w:val="16"/>
            <w:szCs w:val="16"/>
            <w:lang w:val="fr-FR"/>
          </w:rPr>
          <w:t>CBD/SBI/7/INF/22</w:t>
        </w:r>
      </w:hyperlink>
      <w:r w:rsidRPr="00653BF4">
        <w:rPr>
          <w:rStyle w:val="normaltextrun"/>
          <w:rFonts w:cs="Segoe UI"/>
          <w:sz w:val="16"/>
          <w:szCs w:val="16"/>
          <w:lang w:val="fr-FR"/>
        </w:rPr>
        <w:t xml:space="preserve">. </w:t>
      </w:r>
    </w:p>
    <w:p w14:paraId="7C6701F7" w14:textId="77777777" w:rsidR="00B87039" w:rsidRPr="00653BF4" w:rsidRDefault="00B87039" w:rsidP="00B87039">
      <w:pPr>
        <w:rPr>
          <w:lang w:val="fr-FR"/>
        </w:rPr>
      </w:pPr>
    </w:p>
    <w:p w14:paraId="16C36DF9" w14:textId="77777777" w:rsidR="00B87039" w:rsidRPr="00653BF4" w:rsidRDefault="00B87039" w:rsidP="00B87039">
      <w:pPr>
        <w:rPr>
          <w:lang w:val="fr-FR"/>
        </w:rPr>
      </w:pPr>
    </w:p>
    <w:p w14:paraId="625EAC11" w14:textId="698FCB78" w:rsidR="00B87039" w:rsidRPr="00653BF4" w:rsidRDefault="00B87039" w:rsidP="00B87039">
      <w:pPr>
        <w:rPr>
          <w:lang w:val="fr-FR"/>
        </w:rPr>
      </w:pPr>
      <w:r w:rsidRPr="00653BF4">
        <w:rPr>
          <w:lang w:val="fr-FR"/>
        </w:rPr>
        <w:t xml:space="preserve">Une grande majorité de Parties ont fixé des cibles nationales qui prennent en compte, au moins partiellement, les éléments de la </w:t>
      </w:r>
      <w:r w:rsidR="00E34DC9">
        <w:rPr>
          <w:lang w:val="fr-FR"/>
        </w:rPr>
        <w:t>cible 2</w:t>
      </w:r>
      <w:r w:rsidRPr="00653BF4">
        <w:rPr>
          <w:lang w:val="fr-FR"/>
        </w:rPr>
        <w:t>1 visant à garantir que les décideurs, les praticiens et le public aient accès aux meilleures données (72</w:t>
      </w:r>
      <w:r w:rsidR="002878D7">
        <w:rPr>
          <w:lang w:val="fr-FR"/>
        </w:rPr>
        <w:t> %</w:t>
      </w:r>
      <w:r w:rsidRPr="00653BF4">
        <w:rPr>
          <w:lang w:val="fr-FR"/>
        </w:rPr>
        <w:t>), informations et connaissances (71</w:t>
      </w:r>
      <w:r w:rsidR="002878D7">
        <w:rPr>
          <w:lang w:val="fr-FR"/>
        </w:rPr>
        <w:t> %</w:t>
      </w:r>
      <w:r w:rsidRPr="00653BF4">
        <w:rPr>
          <w:lang w:val="fr-FR"/>
        </w:rPr>
        <w:t>) disponibles (voir le tableau 45). Une grande majorité des Parties (70</w:t>
      </w:r>
      <w:r w:rsidR="002878D7">
        <w:rPr>
          <w:lang w:val="fr-FR"/>
        </w:rPr>
        <w:t> %</w:t>
      </w:r>
      <w:r w:rsidRPr="00653BF4">
        <w:rPr>
          <w:lang w:val="fr-FR"/>
        </w:rPr>
        <w:t>) ont également fixé des cibles nationales en matière de renforcement de la communication, de la sensibilisation et de l</w:t>
      </w:r>
      <w:r w:rsidR="00D77549">
        <w:rPr>
          <w:lang w:val="fr-FR"/>
        </w:rPr>
        <w:t>’</w:t>
      </w:r>
      <w:r w:rsidRPr="00653BF4">
        <w:rPr>
          <w:lang w:val="fr-FR"/>
        </w:rPr>
        <w:t xml:space="preserve">éducation. Moins de la moitié des Parties traitent les éléments spécifiques de la </w:t>
      </w:r>
      <w:r w:rsidR="00E34DC9">
        <w:rPr>
          <w:lang w:val="fr-FR"/>
        </w:rPr>
        <w:t>cible 2</w:t>
      </w:r>
      <w:r w:rsidRPr="00653BF4">
        <w:rPr>
          <w:lang w:val="fr-FR"/>
        </w:rPr>
        <w:t>1 relatifs au renforcement du suivi (46</w:t>
      </w:r>
      <w:r w:rsidR="002878D7">
        <w:rPr>
          <w:lang w:val="fr-FR"/>
        </w:rPr>
        <w:t> %</w:t>
      </w:r>
      <w:r w:rsidRPr="00653BF4">
        <w:rPr>
          <w:lang w:val="fr-FR"/>
        </w:rPr>
        <w:t>), de la recherche (39</w:t>
      </w:r>
      <w:r w:rsidR="002878D7">
        <w:rPr>
          <w:lang w:val="fr-FR"/>
        </w:rPr>
        <w:t> %</w:t>
      </w:r>
      <w:r w:rsidRPr="00653BF4">
        <w:rPr>
          <w:lang w:val="fr-FR"/>
        </w:rPr>
        <w:t>) et de la gestion des connaissances (43</w:t>
      </w:r>
      <w:r w:rsidR="002878D7">
        <w:rPr>
          <w:lang w:val="fr-FR"/>
        </w:rPr>
        <w:t> %</w:t>
      </w:r>
      <w:r w:rsidRPr="00653BF4">
        <w:rPr>
          <w:lang w:val="fr-FR"/>
        </w:rPr>
        <w:t>) dans leurs cibles nationales. L</w:t>
      </w:r>
      <w:r w:rsidR="00D77549">
        <w:rPr>
          <w:lang w:val="fr-FR"/>
        </w:rPr>
        <w:t>’</w:t>
      </w:r>
      <w:r w:rsidRPr="00653BF4">
        <w:rPr>
          <w:lang w:val="fr-FR"/>
        </w:rPr>
        <w:t xml:space="preserve">élément de la </w:t>
      </w:r>
      <w:r w:rsidR="00E34DC9">
        <w:rPr>
          <w:lang w:val="fr-FR"/>
        </w:rPr>
        <w:t>cible 2</w:t>
      </w:r>
      <w:r w:rsidRPr="00653BF4">
        <w:rPr>
          <w:lang w:val="fr-FR"/>
        </w:rPr>
        <w:t>1 mentionné par la plus petite proportion de Parties (36</w:t>
      </w:r>
      <w:r w:rsidR="002878D7">
        <w:rPr>
          <w:lang w:val="fr-FR"/>
        </w:rPr>
        <w:t> %</w:t>
      </w:r>
      <w:r w:rsidRPr="00653BF4">
        <w:rPr>
          <w:lang w:val="fr-FR"/>
        </w:rPr>
        <w:t>) concerne le fait de veiller à ce que l</w:t>
      </w:r>
      <w:r w:rsidR="00D77549">
        <w:rPr>
          <w:lang w:val="fr-FR"/>
        </w:rPr>
        <w:t>’</w:t>
      </w:r>
      <w:r w:rsidRPr="00653BF4">
        <w:rPr>
          <w:lang w:val="fr-FR"/>
        </w:rPr>
        <w:t>accès aux connaissances, innovations, pratiques et technologies traditionnelles des peuples autochtones et communautés locales ne soit accessible qu</w:t>
      </w:r>
      <w:r w:rsidR="00D77549">
        <w:rPr>
          <w:lang w:val="fr-FR"/>
        </w:rPr>
        <w:t>’</w:t>
      </w:r>
      <w:r w:rsidRPr="00653BF4">
        <w:rPr>
          <w:lang w:val="fr-FR"/>
        </w:rPr>
        <w:t xml:space="preserve">avec leur consentement préalable, donné librement et en connaissance de cause. </w:t>
      </w:r>
    </w:p>
    <w:p w14:paraId="64FBF45F" w14:textId="77777777" w:rsidR="00B87039" w:rsidRPr="00653BF4" w:rsidRDefault="00B87039" w:rsidP="00B87039">
      <w:pPr>
        <w:rPr>
          <w:lang w:val="fr-FR"/>
        </w:rPr>
      </w:pPr>
    </w:p>
    <w:p w14:paraId="30DAC571" w14:textId="1D1D659D" w:rsidR="00B87039" w:rsidRPr="00653BF4" w:rsidRDefault="00B87039" w:rsidP="00B87039">
      <w:pPr>
        <w:pStyle w:val="Heading5"/>
        <w:rPr>
          <w:lang w:val="fr-FR"/>
        </w:rPr>
      </w:pPr>
      <w:bookmarkStart w:id="409" w:name="_Toc235821307"/>
      <w:r w:rsidRPr="00653BF4">
        <w:rPr>
          <w:lang w:val="fr-FR"/>
        </w:rPr>
        <w:t>Indicateurs de progrès</w:t>
      </w:r>
      <w:bookmarkEnd w:id="409"/>
    </w:p>
    <w:p w14:paraId="53D54D3A" w14:textId="46E878FE" w:rsidR="00B87039" w:rsidRPr="00653BF4" w:rsidRDefault="00B87039" w:rsidP="00B87039">
      <w:pPr>
        <w:pStyle w:val="Caption"/>
        <w:rPr>
          <w:i w:val="0"/>
          <w:sz w:val="20"/>
          <w:szCs w:val="20"/>
          <w:lang w:val="fr-FR"/>
        </w:rPr>
      </w:pPr>
      <w:bookmarkStart w:id="410" w:name="_Ref238993655"/>
      <w:r w:rsidRPr="00653BF4">
        <w:rPr>
          <w:i w:val="0"/>
          <w:iCs w:val="0"/>
          <w:sz w:val="20"/>
          <w:szCs w:val="20"/>
          <w:lang w:val="fr-FR"/>
        </w:rPr>
        <w:t>Tableau 46</w:t>
      </w:r>
      <w:bookmarkEnd w:id="410"/>
      <w:r w:rsidRPr="00653BF4">
        <w:rPr>
          <w:i w:val="0"/>
          <w:iCs w:val="0"/>
          <w:sz w:val="20"/>
          <w:szCs w:val="20"/>
          <w:lang w:val="fr-FR"/>
        </w:rPr>
        <w:t xml:space="preserve"> </w:t>
      </w:r>
    </w:p>
    <w:p w14:paraId="3900875B" w14:textId="15230A31"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2</w:t>
      </w:r>
      <w:r w:rsidRPr="00653BF4">
        <w:rPr>
          <w:b/>
          <w:bCs/>
          <w:i w:val="0"/>
          <w:iCs w:val="0"/>
          <w:sz w:val="20"/>
          <w:szCs w:val="20"/>
          <w:lang w:val="fr-FR"/>
        </w:rPr>
        <w:t>1 du Cadre</w:t>
      </w:r>
    </w:p>
    <w:p w14:paraId="64558D5E" w14:textId="77777777" w:rsidR="00B87039" w:rsidRPr="00653BF4" w:rsidRDefault="00B87039" w:rsidP="00B87039">
      <w:pPr>
        <w:rPr>
          <w:lang w:val="fr-FR" w:eastAsia="ja-JP"/>
        </w:rPr>
      </w:pPr>
    </w:p>
    <w:tbl>
      <w:tblPr>
        <w:tblW w:w="9129" w:type="dxa"/>
        <w:tblLook w:val="04A0" w:firstRow="1" w:lastRow="0" w:firstColumn="1" w:lastColumn="0" w:noHBand="0" w:noVBand="1"/>
      </w:tblPr>
      <w:tblGrid>
        <w:gridCol w:w="4390"/>
        <w:gridCol w:w="1842"/>
        <w:gridCol w:w="426"/>
        <w:gridCol w:w="2094"/>
        <w:gridCol w:w="377"/>
      </w:tblGrid>
      <w:tr w:rsidR="00B87039" w:rsidRPr="00653BF4" w14:paraId="57733568" w14:textId="77777777" w:rsidTr="00557FB3">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tcPr>
          <w:p w14:paraId="411D2AC9"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268" w:type="dxa"/>
            <w:gridSpan w:val="2"/>
            <w:tcBorders>
              <w:top w:val="single" w:sz="4" w:space="0" w:color="auto"/>
              <w:left w:val="nil"/>
              <w:bottom w:val="single" w:sz="4" w:space="0" w:color="auto"/>
              <w:right w:val="single" w:sz="4" w:space="0" w:color="auto"/>
            </w:tcBorders>
            <w:vAlign w:val="center"/>
          </w:tcPr>
          <w:p w14:paraId="16FF407B" w14:textId="75A24C17" w:rsidR="00B87039" w:rsidRPr="00653BF4" w:rsidRDefault="00E04592"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2471" w:type="dxa"/>
            <w:gridSpan w:val="2"/>
            <w:tcBorders>
              <w:top w:val="single" w:sz="4" w:space="0" w:color="auto"/>
              <w:left w:val="nil"/>
              <w:bottom w:val="single" w:sz="4" w:space="0" w:color="auto"/>
              <w:right w:val="single" w:sz="4" w:space="0" w:color="auto"/>
            </w:tcBorders>
            <w:vAlign w:val="center"/>
          </w:tcPr>
          <w:p w14:paraId="595971E5" w14:textId="22EBAC4F" w:rsidR="00B87039" w:rsidRPr="00653BF4" w:rsidRDefault="00A443C9"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Résultats de l’indicateur</w:t>
            </w:r>
          </w:p>
        </w:tc>
      </w:tr>
      <w:tr w:rsidR="00B87039" w:rsidRPr="00653BF4" w14:paraId="70CAC5EA" w14:textId="77777777" w:rsidTr="00557FB3">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D4C11A" w14:textId="745E1552"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phare 21.1</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indicateur relatif aux informations sur la biodiversité destiné au suivi du Cadre mondial de la biodiversité de Kunming-Montréal</w:t>
            </w:r>
          </w:p>
        </w:tc>
        <w:tc>
          <w:tcPr>
            <w:tcW w:w="1842" w:type="dxa"/>
            <w:tcBorders>
              <w:top w:val="single" w:sz="4" w:space="0" w:color="auto"/>
              <w:left w:val="nil"/>
              <w:bottom w:val="single" w:sz="4" w:space="0" w:color="auto"/>
              <w:right w:val="single" w:sz="4" w:space="0" w:color="auto"/>
            </w:tcBorders>
            <w:vAlign w:val="center"/>
            <w:hideMark/>
          </w:tcPr>
          <w:p w14:paraId="7200F8FB" w14:textId="0BC4F4B2"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20</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426" w:type="dxa"/>
            <w:tcBorders>
              <w:top w:val="single" w:sz="4" w:space="0" w:color="auto"/>
              <w:left w:val="nil"/>
              <w:bottom w:val="single" w:sz="4" w:space="0" w:color="auto"/>
              <w:right w:val="single" w:sz="4" w:space="0" w:color="auto"/>
            </w:tcBorders>
            <w:shd w:val="clear" w:color="000000" w:fill="C00000"/>
            <w:vAlign w:val="center"/>
            <w:hideMark/>
          </w:tcPr>
          <w:p w14:paraId="2A5C9CD0"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094" w:type="dxa"/>
            <w:tcBorders>
              <w:top w:val="single" w:sz="4" w:space="0" w:color="auto"/>
              <w:left w:val="nil"/>
              <w:bottom w:val="single" w:sz="4" w:space="0" w:color="auto"/>
              <w:right w:val="single" w:sz="4" w:space="0" w:color="auto"/>
            </w:tcBorders>
            <w:vAlign w:val="center"/>
            <w:hideMark/>
          </w:tcPr>
          <w:p w14:paraId="3DF89322" w14:textId="2E1F3D3A"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sz w:val="20"/>
                <w:szCs w:val="20"/>
                <w:lang w:val="fr-FR"/>
              </w:rPr>
              <w:t>Moyenne</w:t>
            </w:r>
            <w:r w:rsidR="00E34DC9">
              <w:rPr>
                <w:sz w:val="20"/>
                <w:szCs w:val="20"/>
                <w:lang w:val="fr-FR"/>
              </w:rPr>
              <w:t> :</w:t>
            </w:r>
            <w:r w:rsidRPr="00653BF4">
              <w:rPr>
                <w:sz w:val="20"/>
                <w:szCs w:val="20"/>
                <w:lang w:val="fr-FR"/>
              </w:rPr>
              <w:t xml:space="preserve"> 51</w:t>
            </w:r>
            <w:r w:rsidR="002878D7">
              <w:rPr>
                <w:sz w:val="20"/>
                <w:szCs w:val="20"/>
                <w:lang w:val="fr-FR"/>
              </w:rPr>
              <w:t> %</w:t>
            </w:r>
            <w:r w:rsidRPr="00653BF4">
              <w:rPr>
                <w:sz w:val="20"/>
                <w:szCs w:val="20"/>
                <w:lang w:val="fr-FR"/>
              </w:rPr>
              <w:t xml:space="preserve"> (plage</w:t>
            </w:r>
            <w:r w:rsidR="00E34DC9">
              <w:rPr>
                <w:sz w:val="20"/>
                <w:szCs w:val="20"/>
                <w:lang w:val="fr-FR"/>
              </w:rPr>
              <w:t> :</w:t>
            </w:r>
            <w:r w:rsidRPr="00653BF4">
              <w:rPr>
                <w:sz w:val="20"/>
                <w:szCs w:val="20"/>
                <w:lang w:val="fr-FR"/>
              </w:rPr>
              <w:t xml:space="preserve"> 7 à 96</w:t>
            </w:r>
            <w:r w:rsidR="002878D7">
              <w:rPr>
                <w:sz w:val="20"/>
                <w:szCs w:val="20"/>
                <w:lang w:val="fr-FR"/>
              </w:rPr>
              <w:t> %</w:t>
            </w:r>
            <w:r w:rsidRPr="00653BF4">
              <w:rPr>
                <w:sz w:val="20"/>
                <w:szCs w:val="20"/>
                <w:lang w:val="fr-FR"/>
              </w:rPr>
              <w:t>)</w:t>
            </w:r>
          </w:p>
        </w:tc>
        <w:tc>
          <w:tcPr>
            <w:tcW w:w="377" w:type="dxa"/>
            <w:tcBorders>
              <w:top w:val="single" w:sz="4" w:space="0" w:color="auto"/>
              <w:left w:val="nil"/>
              <w:bottom w:val="single" w:sz="4" w:space="0" w:color="auto"/>
              <w:right w:val="single" w:sz="4" w:space="0" w:color="auto"/>
            </w:tcBorders>
            <w:shd w:val="clear" w:color="000000" w:fill="FFC000"/>
            <w:vAlign w:val="center"/>
            <w:hideMark/>
          </w:tcPr>
          <w:p w14:paraId="04314257"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1EB06BFB" w14:textId="77777777" w:rsidTr="00557FB3">
        <w:trPr>
          <w:trHeight w:val="1050"/>
        </w:trPr>
        <w:tc>
          <w:tcPr>
            <w:tcW w:w="43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1798B2"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Tous les indicateurs quantitatifs combinés</w:t>
            </w:r>
          </w:p>
        </w:tc>
        <w:tc>
          <w:tcPr>
            <w:tcW w:w="1842" w:type="dxa"/>
            <w:tcBorders>
              <w:top w:val="single" w:sz="4" w:space="0" w:color="auto"/>
              <w:left w:val="nil"/>
              <w:bottom w:val="single" w:sz="4" w:space="0" w:color="auto"/>
              <w:right w:val="single" w:sz="4" w:space="0" w:color="auto"/>
            </w:tcBorders>
            <w:vAlign w:val="center"/>
            <w:hideMark/>
          </w:tcPr>
          <w:p w14:paraId="5A49B3B6" w14:textId="6CFACFBB"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31 Parties, 24</w:t>
            </w:r>
            <w:r w:rsidR="002878D7">
              <w:rPr>
                <w:rFonts w:eastAsia="Times New Roman" w:cs="Calibri"/>
                <w:color w:val="000000"/>
                <w:kern w:val="0"/>
                <w:sz w:val="20"/>
                <w:szCs w:val="20"/>
                <w:lang w:val="fr-FR"/>
                <w14:ligatures w14:val="none"/>
              </w:rPr>
              <w:t> %</w:t>
            </w:r>
          </w:p>
        </w:tc>
        <w:tc>
          <w:tcPr>
            <w:tcW w:w="426" w:type="dxa"/>
            <w:tcBorders>
              <w:top w:val="single" w:sz="4" w:space="0" w:color="auto"/>
              <w:left w:val="nil"/>
              <w:bottom w:val="single" w:sz="4" w:space="0" w:color="auto"/>
              <w:right w:val="single" w:sz="4" w:space="0" w:color="auto"/>
            </w:tcBorders>
            <w:shd w:val="clear" w:color="000000" w:fill="C00000"/>
            <w:vAlign w:val="center"/>
            <w:hideMark/>
          </w:tcPr>
          <w:p w14:paraId="58803F28"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2094" w:type="dxa"/>
            <w:tcBorders>
              <w:top w:val="single" w:sz="4" w:space="0" w:color="auto"/>
              <w:left w:val="nil"/>
              <w:bottom w:val="single" w:sz="4" w:space="0" w:color="auto"/>
              <w:right w:val="single" w:sz="4" w:space="0" w:color="auto"/>
            </w:tcBorders>
            <w:vAlign w:val="center"/>
            <w:hideMark/>
          </w:tcPr>
          <w:p w14:paraId="4B03CCE7" w14:textId="389D7381" w:rsidR="00B87039" w:rsidRPr="00653BF4" w:rsidRDefault="00B87039" w:rsidP="00557FB3">
            <w:pPr>
              <w:rPr>
                <w:sz w:val="20"/>
                <w:szCs w:val="20"/>
                <w:lang w:val="fr-FR"/>
              </w:rPr>
            </w:pPr>
            <w:r w:rsidRPr="00653BF4">
              <w:rPr>
                <w:sz w:val="20"/>
                <w:szCs w:val="20"/>
                <w:lang w:val="fr-FR"/>
              </w:rPr>
              <w:t>46</w:t>
            </w:r>
            <w:r w:rsidR="002878D7">
              <w:rPr>
                <w:sz w:val="20"/>
                <w:szCs w:val="20"/>
                <w:lang w:val="fr-FR"/>
              </w:rPr>
              <w:t> %</w:t>
            </w:r>
            <w:r w:rsidRPr="00653BF4">
              <w:rPr>
                <w:sz w:val="20"/>
                <w:szCs w:val="20"/>
                <w:lang w:val="fr-FR"/>
              </w:rPr>
              <w:t xml:space="preserve"> de tendances positives</w:t>
            </w:r>
          </w:p>
          <w:p w14:paraId="6BD89EEB" w14:textId="37D472DC"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sz w:val="20"/>
                <w:szCs w:val="20"/>
                <w:lang w:val="fr-FR"/>
              </w:rPr>
              <w:t>12</w:t>
            </w:r>
            <w:r w:rsidR="002878D7">
              <w:rPr>
                <w:sz w:val="20"/>
                <w:szCs w:val="20"/>
                <w:lang w:val="fr-FR"/>
              </w:rPr>
              <w:t> %</w:t>
            </w:r>
            <w:r w:rsidRPr="00653BF4">
              <w:rPr>
                <w:sz w:val="20"/>
                <w:szCs w:val="20"/>
                <w:lang w:val="fr-FR"/>
              </w:rPr>
              <w:t xml:space="preserve"> de tendances négatives</w:t>
            </w:r>
          </w:p>
        </w:tc>
        <w:tc>
          <w:tcPr>
            <w:tcW w:w="377" w:type="dxa"/>
            <w:tcBorders>
              <w:top w:val="single" w:sz="4" w:space="0" w:color="auto"/>
              <w:left w:val="nil"/>
              <w:bottom w:val="single" w:sz="4" w:space="0" w:color="auto"/>
              <w:right w:val="single" w:sz="4" w:space="0" w:color="auto"/>
            </w:tcBorders>
            <w:shd w:val="clear" w:color="auto" w:fill="92D050"/>
            <w:vAlign w:val="center"/>
            <w:hideMark/>
          </w:tcPr>
          <w:p w14:paraId="705597E0"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bl>
    <w:p w14:paraId="712B3C8B" w14:textId="77777777" w:rsidR="00B87039" w:rsidRPr="00653BF4" w:rsidRDefault="00B87039" w:rsidP="00B87039">
      <w:pPr>
        <w:pStyle w:val="p1"/>
        <w:rPr>
          <w:rFonts w:ascii="Aptos" w:hAnsi="Aptos"/>
          <w:sz w:val="24"/>
          <w:szCs w:val="24"/>
          <w:lang w:val="fr-FR"/>
        </w:rPr>
      </w:pPr>
    </w:p>
    <w:p w14:paraId="22BEA1D3" w14:textId="1BC94460"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0652E2EA" w14:textId="77777777" w:rsidR="00B87039" w:rsidRPr="00653BF4" w:rsidRDefault="00B87039" w:rsidP="00B87039">
      <w:pPr>
        <w:rPr>
          <w:lang w:val="fr-FR"/>
        </w:rPr>
      </w:pPr>
    </w:p>
    <w:p w14:paraId="34D7D485" w14:textId="2DBC802B" w:rsidR="00B87039" w:rsidRPr="00653BF4" w:rsidRDefault="00B87039" w:rsidP="00B87039">
      <w:pPr>
        <w:rPr>
          <w:lang w:val="fr-FR"/>
        </w:rPr>
      </w:pPr>
      <w:r w:rsidRPr="00653BF4">
        <w:rPr>
          <w:lang w:val="fr-FR"/>
        </w:rPr>
        <w:t>Seules quelques Parties ont fourni des données comparables pouvant servir à établir les résultats relatifs à l’indicateur phare 21.1 (indicateur sur les informations relatives à la biodiversité destiné au suivi du Cadre mondial de la biodiversité de Kunming-Montréal) et certaines Parties ont signalé des problèmes méthodologiques liés à cet indicateur ou des lacunes dans les données (voir le tableau 46). De nombreuses Parties ont mis en avant les efforts déployés au niveau national pour rassembler et rendre accessibles les informations, ainsi que le rôle joué par les instituts de recherche nationaux et d</w:t>
      </w:r>
      <w:r w:rsidR="00D77549">
        <w:rPr>
          <w:lang w:val="fr-FR"/>
        </w:rPr>
        <w:t>’</w:t>
      </w:r>
      <w:r w:rsidRPr="00653BF4">
        <w:rPr>
          <w:lang w:val="fr-FR"/>
        </w:rPr>
        <w:t>autres partenaires dans le soutien aux systèmes nationaux d</w:t>
      </w:r>
      <w:r w:rsidR="00D77549">
        <w:rPr>
          <w:lang w:val="fr-FR"/>
        </w:rPr>
        <w:t>’</w:t>
      </w:r>
      <w:r w:rsidRPr="00653BF4">
        <w:rPr>
          <w:lang w:val="fr-FR"/>
        </w:rPr>
        <w:t>information sur la biodiversité Même lorsqu</w:t>
      </w:r>
      <w:r w:rsidR="00D77549">
        <w:rPr>
          <w:lang w:val="fr-FR"/>
        </w:rPr>
        <w:t>’</w:t>
      </w:r>
      <w:r w:rsidRPr="00653BF4">
        <w:rPr>
          <w:lang w:val="fr-FR"/>
        </w:rPr>
        <w:t>elles n</w:t>
      </w:r>
      <w:r w:rsidR="00D77549">
        <w:rPr>
          <w:lang w:val="fr-FR"/>
        </w:rPr>
        <w:t>’</w:t>
      </w:r>
      <w:r w:rsidRPr="00653BF4">
        <w:rPr>
          <w:lang w:val="fr-FR"/>
        </w:rPr>
        <w:t>ont pas communiqué de données concernant l</w:t>
      </w:r>
      <w:r w:rsidR="00D77549">
        <w:rPr>
          <w:lang w:val="fr-FR"/>
        </w:rPr>
        <w:t>’</w:t>
      </w:r>
      <w:r w:rsidRPr="00653BF4">
        <w:rPr>
          <w:lang w:val="fr-FR"/>
        </w:rPr>
        <w:t>indicateur principal lui-même, de nombreuses Parties ont souligné que des informations sur la biodiversité étaient disponibles et qu</w:t>
      </w:r>
      <w:r w:rsidR="00D77549">
        <w:rPr>
          <w:lang w:val="fr-FR"/>
        </w:rPr>
        <w:t>’</w:t>
      </w:r>
      <w:r w:rsidRPr="00653BF4">
        <w:rPr>
          <w:lang w:val="fr-FR"/>
        </w:rPr>
        <w:t xml:space="preserve">elles avaient été utilisées dans leur rapport national. Beaucoup ont toutefois souligné que les systèmes nationaux de suivi en sont encore à leurs débuts et </w:t>
      </w:r>
      <w:r w:rsidRPr="00653BF4">
        <w:rPr>
          <w:lang w:val="fr-FR"/>
        </w:rPr>
        <w:lastRenderedPageBreak/>
        <w:t>nécessitent un renforcement institutionnel, des investissements et un développement des capacités supplémentaires.</w:t>
      </w:r>
    </w:p>
    <w:p w14:paraId="5700BDEB" w14:textId="4BEFF729" w:rsidR="00B87039" w:rsidRPr="00653BF4" w:rsidRDefault="00B87039" w:rsidP="00B87039">
      <w:pPr>
        <w:rPr>
          <w:lang w:val="fr-FR"/>
        </w:rPr>
      </w:pPr>
      <w:r w:rsidRPr="00653BF4">
        <w:rPr>
          <w:lang w:val="fr-FR"/>
        </w:rPr>
        <w:t>Puisqu</w:t>
      </w:r>
      <w:r w:rsidR="00D77549">
        <w:rPr>
          <w:lang w:val="fr-FR"/>
        </w:rPr>
        <w:t>’</w:t>
      </w:r>
      <w:r w:rsidRPr="00653BF4">
        <w:rPr>
          <w:lang w:val="fr-FR"/>
        </w:rPr>
        <w:t>il s</w:t>
      </w:r>
      <w:r w:rsidR="00D77549">
        <w:rPr>
          <w:lang w:val="fr-FR"/>
        </w:rPr>
        <w:t>’</w:t>
      </w:r>
      <w:r w:rsidRPr="00653BF4">
        <w:rPr>
          <w:lang w:val="fr-FR"/>
        </w:rPr>
        <w:t>agit d</w:t>
      </w:r>
      <w:r w:rsidR="00D77549">
        <w:rPr>
          <w:lang w:val="fr-FR"/>
        </w:rPr>
        <w:t>’</w:t>
      </w:r>
      <w:r w:rsidRPr="00653BF4">
        <w:rPr>
          <w:lang w:val="fr-FR"/>
        </w:rPr>
        <w:t>un nouvel indicateur phare, seules les données relatives à une année sont disponibles pour le cycle de présentation des rapports couvert par le présent rapport. D</w:t>
      </w:r>
      <w:r w:rsidR="00D77549">
        <w:rPr>
          <w:lang w:val="fr-FR"/>
        </w:rPr>
        <w:t>’</w:t>
      </w:r>
      <w:r w:rsidRPr="00653BF4">
        <w:rPr>
          <w:lang w:val="fr-FR"/>
        </w:rPr>
        <w:t>après les communications reçues, il semble que relativement peu de Parties disposent actuellement des données nationales nécessaires pour établir les résultats d</w:t>
      </w:r>
      <w:r w:rsidR="00D77549">
        <w:rPr>
          <w:lang w:val="fr-FR"/>
        </w:rPr>
        <w:t>’</w:t>
      </w:r>
      <w:r w:rsidRPr="00653BF4">
        <w:rPr>
          <w:lang w:val="fr-FR"/>
        </w:rPr>
        <w:t>une grande partie des indicateurs phares, et qu</w:t>
      </w:r>
      <w:r w:rsidR="00D77549">
        <w:rPr>
          <w:lang w:val="fr-FR"/>
        </w:rPr>
        <w:t>’</w:t>
      </w:r>
      <w:r w:rsidRPr="00653BF4">
        <w:rPr>
          <w:lang w:val="fr-FR"/>
        </w:rPr>
        <w:t xml:space="preserve">il existe des lacunes supplémentaires quant à la mise à disposition des connaissances traditionnelles, avec le consentement préalable, donné librement et en connaissance de cause, aux fins de la prise de décision (voir la figure 85). </w:t>
      </w:r>
    </w:p>
    <w:p w14:paraId="5282C4C6" w14:textId="5C0B0A3E" w:rsidR="00B87039" w:rsidRPr="00653BF4" w:rsidRDefault="00B87039" w:rsidP="00B87039">
      <w:pPr>
        <w:rPr>
          <w:lang w:val="fr-FR"/>
        </w:rPr>
      </w:pPr>
      <w:r w:rsidRPr="00653BF4">
        <w:rPr>
          <w:lang w:val="fr-FR"/>
        </w:rPr>
        <w:t xml:space="preserve">Une analyse des tendances relatives à des indicateurs supplémentaires liés à la </w:t>
      </w:r>
      <w:r w:rsidR="00E34DC9">
        <w:rPr>
          <w:lang w:val="fr-FR"/>
        </w:rPr>
        <w:t>cible 2</w:t>
      </w:r>
      <w:r w:rsidRPr="00653BF4">
        <w:rPr>
          <w:lang w:val="fr-FR"/>
        </w:rPr>
        <w:t xml:space="preserve">1, communiqués par près d’un quart des Parties, fait apparaître une forte proportion de tendances positives, ce qui laisse entrevoir des améliorations en matière de disponibilité et d’accès aux données et aux connaissances (voir la figure 86). </w:t>
      </w:r>
    </w:p>
    <w:p w14:paraId="7DC3C90D" w14:textId="02F467D9" w:rsidR="00B87039" w:rsidRPr="00653BF4" w:rsidRDefault="00B87039" w:rsidP="00B87039">
      <w:pPr>
        <w:pStyle w:val="NormalWeb"/>
        <w:shd w:val="clear" w:color="auto" w:fill="FFFFFF" w:themeFill="background1"/>
        <w:rPr>
          <w:rFonts w:asciiTheme="minorHAnsi" w:hAnsiTheme="minorHAnsi"/>
          <w:sz w:val="20"/>
          <w:szCs w:val="20"/>
          <w:lang w:val="fr-FR"/>
        </w:rPr>
      </w:pPr>
      <w:bookmarkStart w:id="411" w:name="_Ref238805276"/>
      <w:r w:rsidRPr="00653BF4">
        <w:rPr>
          <w:rFonts w:asciiTheme="minorHAnsi" w:hAnsiTheme="minorHAnsi"/>
          <w:sz w:val="20"/>
          <w:szCs w:val="20"/>
          <w:lang w:val="fr-FR"/>
        </w:rPr>
        <w:t>Figure 85</w:t>
      </w:r>
      <w:bookmarkEnd w:id="411"/>
    </w:p>
    <w:p w14:paraId="5B04F1DB" w14:textId="22241A2F" w:rsidR="00B87039" w:rsidRPr="00653BF4" w:rsidRDefault="00B87039" w:rsidP="00B87039">
      <w:pPr>
        <w:pStyle w:val="NormalWeb"/>
        <w:shd w:val="clear" w:color="auto" w:fill="FFFFFF" w:themeFill="background1"/>
        <w:rPr>
          <w:rFonts w:asciiTheme="minorHAnsi" w:hAnsiTheme="minorHAnsi" w:cs="Segoe UI"/>
          <w:color w:val="0D0D0D" w:themeColor="text1" w:themeTint="F2"/>
          <w:sz w:val="20"/>
          <w:szCs w:val="20"/>
          <w:lang w:val="fr-FR"/>
        </w:rPr>
      </w:pPr>
      <w:r w:rsidRPr="00653BF4">
        <w:rPr>
          <w:rFonts w:asciiTheme="minorHAnsi" w:hAnsiTheme="minorHAnsi"/>
          <w:b/>
          <w:bCs/>
          <w:sz w:val="20"/>
          <w:szCs w:val="20"/>
          <w:lang w:val="fr-FR"/>
        </w:rPr>
        <w:t>Indicateur phare 21.1</w:t>
      </w:r>
      <w:r w:rsidR="00E34DC9">
        <w:rPr>
          <w:rFonts w:asciiTheme="minorHAnsi" w:hAnsiTheme="minorHAnsi"/>
          <w:b/>
          <w:bCs/>
          <w:sz w:val="20"/>
          <w:szCs w:val="20"/>
          <w:lang w:val="fr-FR"/>
        </w:rPr>
        <w:t> :</w:t>
      </w:r>
      <w:r w:rsidRPr="00653BF4">
        <w:rPr>
          <w:rFonts w:asciiTheme="minorHAnsi" w:hAnsiTheme="minorHAnsi"/>
          <w:b/>
          <w:bCs/>
          <w:sz w:val="20"/>
          <w:szCs w:val="20"/>
          <w:lang w:val="fr-FR"/>
        </w:rPr>
        <w:t xml:space="preserve"> indicateur relatif aux informations sur la biodiversité destiné au suivi du Cadre mondial de la biodiversité de Kunming-Montréal</w:t>
      </w:r>
    </w:p>
    <w:p w14:paraId="2E566D8E" w14:textId="77777777" w:rsidR="00B87039" w:rsidRPr="00653BF4" w:rsidRDefault="00B87039" w:rsidP="00B87039">
      <w:pPr>
        <w:pStyle w:val="Caption"/>
        <w:rPr>
          <w:lang w:val="fr-FR"/>
        </w:rPr>
      </w:pPr>
      <w:r w:rsidRPr="00653BF4">
        <w:rPr>
          <w:rFonts w:cs="Segoe UI"/>
          <w:noProof/>
          <w:lang w:val="fr-FR"/>
          <w14:ligatures w14:val="standardContextual"/>
        </w:rPr>
        <w:drawing>
          <wp:inline distT="0" distB="0" distL="0" distR="0" wp14:anchorId="56D27A00" wp14:editId="639F3B0C">
            <wp:extent cx="4828374" cy="2715894"/>
            <wp:effectExtent l="0" t="0" r="0" b="2540"/>
            <wp:docPr id="3535895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89538" name="Picture 353589538"/>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4837438" cy="2720992"/>
                    </a:xfrm>
                    <a:prstGeom prst="rect">
                      <a:avLst/>
                    </a:prstGeom>
                  </pic:spPr>
                </pic:pic>
              </a:graphicData>
            </a:graphic>
          </wp:inline>
        </w:drawing>
      </w:r>
    </w:p>
    <w:p w14:paraId="44B5AE96" w14:textId="3A295815" w:rsidR="00B87039" w:rsidRPr="00653BF4" w:rsidRDefault="00B87039" w:rsidP="00B87039">
      <w:pPr>
        <w:rPr>
          <w:i/>
          <w:iCs/>
          <w:sz w:val="20"/>
          <w:szCs w:val="20"/>
          <w:lang w:val="fr-FR"/>
        </w:rPr>
      </w:pPr>
      <w:r w:rsidRPr="00653BF4">
        <w:rPr>
          <w:i/>
          <w:iCs/>
          <w:sz w:val="20"/>
          <w:szCs w:val="20"/>
          <w:lang w:val="fr-FR"/>
        </w:rPr>
        <w:t>Note</w:t>
      </w:r>
      <w:r w:rsidR="00E34DC9">
        <w:rPr>
          <w:i/>
          <w:iCs/>
          <w:sz w:val="20"/>
          <w:szCs w:val="20"/>
          <w:lang w:val="fr-FR"/>
        </w:rPr>
        <w:t> :</w:t>
      </w:r>
      <w:r w:rsidRPr="00653BF4">
        <w:rPr>
          <w:sz w:val="20"/>
          <w:szCs w:val="20"/>
          <w:lang w:val="fr-FR"/>
        </w:rPr>
        <w:t xml:space="preserve"> seules les données concernant l</w:t>
      </w:r>
      <w:r w:rsidR="00D77549">
        <w:rPr>
          <w:sz w:val="20"/>
          <w:szCs w:val="20"/>
          <w:lang w:val="fr-FR"/>
        </w:rPr>
        <w:t>’</w:t>
      </w:r>
      <w:r w:rsidRPr="00653BF4">
        <w:rPr>
          <w:sz w:val="20"/>
          <w:szCs w:val="20"/>
          <w:lang w:val="fr-FR"/>
        </w:rPr>
        <w:t>année 2026 sont représentées, cet indicateur étant tout nouveau. Sont affichés la moyenne et la plage des pourcentages des indicateurs phares compilés par les Parties à partir des données nationales. En haut</w:t>
      </w:r>
      <w:r w:rsidR="00E34DC9">
        <w:rPr>
          <w:sz w:val="20"/>
          <w:szCs w:val="20"/>
          <w:lang w:val="fr-FR"/>
        </w:rPr>
        <w:t> :</w:t>
      </w:r>
      <w:r w:rsidRPr="00653BF4">
        <w:rPr>
          <w:sz w:val="20"/>
          <w:szCs w:val="20"/>
          <w:lang w:val="fr-FR"/>
        </w:rPr>
        <w:t xml:space="preserve"> données concernant uniquement les Parties ayant communiqué des résultats pour cet indicateur phare</w:t>
      </w:r>
      <w:r w:rsidR="00E34DC9">
        <w:rPr>
          <w:sz w:val="20"/>
          <w:szCs w:val="20"/>
          <w:lang w:val="fr-FR"/>
        </w:rPr>
        <w:t> ;</w:t>
      </w:r>
      <w:r w:rsidRPr="00653BF4">
        <w:rPr>
          <w:sz w:val="20"/>
          <w:szCs w:val="20"/>
          <w:lang w:val="fr-FR"/>
        </w:rPr>
        <w:t xml:space="preserve"> en bas</w:t>
      </w:r>
      <w:r w:rsidR="00E34DC9">
        <w:rPr>
          <w:sz w:val="20"/>
          <w:szCs w:val="20"/>
          <w:lang w:val="fr-FR"/>
        </w:rPr>
        <w:t> :</w:t>
      </w:r>
      <w:r w:rsidRPr="00653BF4">
        <w:rPr>
          <w:sz w:val="20"/>
          <w:szCs w:val="20"/>
          <w:lang w:val="fr-FR"/>
        </w:rPr>
        <w:t xml:space="preserve"> données recalculées conformément aux métadonnées de l’indicateur phare 21.1 pour toutes les Parties ayant communiqué des résultats pour au moins un indicateur phare. Les graphiques à barres présentent la répartition des Parties ayant fourni des données, par région. Les couleurs attribuées à chaque région sont indiquées dans la légende de la figure</w:t>
      </w:r>
      <w:r w:rsidR="00E34DC9">
        <w:rPr>
          <w:sz w:val="20"/>
          <w:szCs w:val="20"/>
          <w:lang w:val="fr-FR"/>
        </w:rPr>
        <w:t> :</w:t>
      </w:r>
      <w:r w:rsidRPr="00653BF4">
        <w:rPr>
          <w:sz w:val="20"/>
          <w:szCs w:val="20"/>
          <w:lang w:val="fr-FR"/>
        </w:rPr>
        <w:t xml:space="preserve"> les teintes plus foncées </w:t>
      </w:r>
      <w:r w:rsidRPr="00653BF4">
        <w:rPr>
          <w:sz w:val="20"/>
          <w:szCs w:val="20"/>
          <w:lang w:val="fr-FR"/>
        </w:rPr>
        <w:lastRenderedPageBreak/>
        <w:t>représentent la proportion des Parties d</w:t>
      </w:r>
      <w:r w:rsidR="00D77549">
        <w:rPr>
          <w:sz w:val="20"/>
          <w:szCs w:val="20"/>
          <w:lang w:val="fr-FR"/>
        </w:rPr>
        <w:t>’</w:t>
      </w:r>
      <w:r w:rsidRPr="00653BF4">
        <w:rPr>
          <w:sz w:val="20"/>
          <w:szCs w:val="20"/>
          <w:lang w:val="fr-FR"/>
        </w:rPr>
        <w:t>une région pour lesquelles des données sont intégrées dans le graphique</w:t>
      </w:r>
      <w:r w:rsidR="00E34DC9">
        <w:rPr>
          <w:sz w:val="20"/>
          <w:szCs w:val="20"/>
          <w:lang w:val="fr-FR"/>
        </w:rPr>
        <w:t> ;</w:t>
      </w:r>
      <w:r w:rsidRPr="00653BF4">
        <w:rPr>
          <w:sz w:val="20"/>
          <w:szCs w:val="20"/>
          <w:lang w:val="fr-FR"/>
        </w:rPr>
        <w:t xml:space="preserve"> les teintes plus claires représentent la proportion des Parties de cette même région pour lesquelles aucune donnée n</w:t>
      </w:r>
      <w:r w:rsidR="00D77549">
        <w:rPr>
          <w:sz w:val="20"/>
          <w:szCs w:val="20"/>
          <w:lang w:val="fr-FR"/>
        </w:rPr>
        <w:t>’</w:t>
      </w:r>
      <w:r w:rsidRPr="00653BF4">
        <w:rPr>
          <w:sz w:val="20"/>
          <w:szCs w:val="20"/>
          <w:lang w:val="fr-FR"/>
        </w:rPr>
        <w:t>est intégrée dans le graphique.</w:t>
      </w:r>
    </w:p>
    <w:tbl>
      <w:tblPr>
        <w:tblStyle w:val="TableGrid"/>
        <w:tblW w:w="8785" w:type="dxa"/>
        <w:tblLook w:val="04A0" w:firstRow="1" w:lastRow="0" w:firstColumn="1" w:lastColumn="0" w:noHBand="0" w:noVBand="1"/>
      </w:tblPr>
      <w:tblGrid>
        <w:gridCol w:w="4188"/>
        <w:gridCol w:w="4597"/>
      </w:tblGrid>
      <w:tr w:rsidR="001279A8" w:rsidRPr="00AB361B" w14:paraId="3344B014" w14:textId="77777777" w:rsidTr="009B4355">
        <w:tc>
          <w:tcPr>
            <w:tcW w:w="8785" w:type="dxa"/>
            <w:gridSpan w:val="2"/>
          </w:tcPr>
          <w:p w14:paraId="2D7D196A" w14:textId="77777777" w:rsidR="001279A8" w:rsidRPr="00AB361B" w:rsidRDefault="001279A8" w:rsidP="009B4355">
            <w:pPr>
              <w:rPr>
                <w:rFonts w:ascii="Aptos" w:hAnsi="Aptos"/>
                <w:lang w:val="fr-FR"/>
              </w:rPr>
            </w:pPr>
            <w:r w:rsidRPr="00AB361B">
              <w:rPr>
                <w:rFonts w:ascii="Aptos" w:hAnsi="Aptos"/>
                <w:lang w:val="fr-FR"/>
              </w:rPr>
              <w:t>Figure 85</w:t>
            </w:r>
          </w:p>
        </w:tc>
      </w:tr>
      <w:tr w:rsidR="001279A8" w:rsidRPr="00AB361B" w14:paraId="1A12C063" w14:textId="77777777" w:rsidTr="009B4355">
        <w:tc>
          <w:tcPr>
            <w:tcW w:w="4188" w:type="dxa"/>
          </w:tcPr>
          <w:p w14:paraId="6D23CE6C" w14:textId="77777777" w:rsidR="001279A8" w:rsidRPr="00AB361B" w:rsidRDefault="001279A8" w:rsidP="009B4355">
            <w:pPr>
              <w:rPr>
                <w:rFonts w:ascii="Aptos" w:hAnsi="Aptos"/>
                <w:lang w:val="fr-FR"/>
              </w:rPr>
            </w:pPr>
            <w:r w:rsidRPr="00AB361B">
              <w:rPr>
                <w:rFonts w:ascii="Aptos" w:hAnsi="Aptos"/>
                <w:lang w:val="fr-FR"/>
              </w:rPr>
              <w:t xml:space="preserve">English </w:t>
            </w:r>
          </w:p>
        </w:tc>
        <w:tc>
          <w:tcPr>
            <w:tcW w:w="4596" w:type="dxa"/>
          </w:tcPr>
          <w:p w14:paraId="11B2F94D" w14:textId="77777777" w:rsidR="001279A8" w:rsidRPr="00AB361B" w:rsidRDefault="001279A8" w:rsidP="009B4355">
            <w:pPr>
              <w:rPr>
                <w:rFonts w:ascii="Aptos" w:hAnsi="Aptos"/>
                <w:lang w:val="fr-FR"/>
              </w:rPr>
            </w:pPr>
            <w:r>
              <w:rPr>
                <w:rFonts w:ascii="Aptos" w:hAnsi="Aptos"/>
                <w:lang w:val="fr-FR"/>
              </w:rPr>
              <w:t>Français</w:t>
            </w:r>
          </w:p>
        </w:tc>
      </w:tr>
      <w:tr w:rsidR="001279A8" w:rsidRPr="006F7AF8" w14:paraId="522FD58F" w14:textId="77777777" w:rsidTr="009B4355">
        <w:tc>
          <w:tcPr>
            <w:tcW w:w="4188" w:type="dxa"/>
          </w:tcPr>
          <w:p w14:paraId="5C6B5F65" w14:textId="77777777" w:rsidR="001279A8" w:rsidRPr="006F7AF8" w:rsidRDefault="001279A8" w:rsidP="009B4355">
            <w:pPr>
              <w:rPr>
                <w:rFonts w:ascii="Aptos" w:hAnsi="Aptos"/>
                <w:lang w:val="fr-FR"/>
              </w:rPr>
            </w:pPr>
            <w:r w:rsidRPr="006F7AF8">
              <w:rPr>
                <w:rFonts w:ascii="Aptos" w:hAnsi="Aptos"/>
                <w:lang w:val="fr-FR"/>
              </w:rPr>
              <w:t>National submissions</w:t>
            </w:r>
          </w:p>
        </w:tc>
        <w:tc>
          <w:tcPr>
            <w:tcW w:w="4596" w:type="dxa"/>
          </w:tcPr>
          <w:p w14:paraId="1E377FD5" w14:textId="77777777" w:rsidR="001279A8" w:rsidRPr="006F7AF8" w:rsidRDefault="001279A8" w:rsidP="009B4355">
            <w:pPr>
              <w:rPr>
                <w:rFonts w:ascii="Aptos" w:hAnsi="Aptos"/>
                <w:lang w:val="fr-FR"/>
              </w:rPr>
            </w:pPr>
            <w:r w:rsidRPr="006F7AF8">
              <w:rPr>
                <w:rFonts w:ascii="Aptos" w:hAnsi="Aptos"/>
                <w:lang w:val="fr-FR"/>
              </w:rPr>
              <w:t>Communications nationales</w:t>
            </w:r>
          </w:p>
        </w:tc>
      </w:tr>
      <w:tr w:rsidR="001279A8" w:rsidRPr="006F7AF8" w14:paraId="2F768235" w14:textId="77777777" w:rsidTr="009B4355">
        <w:tc>
          <w:tcPr>
            <w:tcW w:w="4188" w:type="dxa"/>
          </w:tcPr>
          <w:p w14:paraId="1020BE39" w14:textId="77777777" w:rsidR="001279A8" w:rsidRPr="006F7AF8" w:rsidRDefault="001279A8" w:rsidP="009B4355">
            <w:pPr>
              <w:rPr>
                <w:rFonts w:ascii="Aptos" w:hAnsi="Aptos"/>
                <w:lang w:val="fr-FR"/>
              </w:rPr>
            </w:pPr>
            <w:r w:rsidRPr="006F7AF8">
              <w:rPr>
                <w:rFonts w:ascii="Aptos" w:hAnsi="Aptos"/>
                <w:lang w:val="fr-FR"/>
              </w:rPr>
              <w:t>Party count: 14</w:t>
            </w:r>
          </w:p>
        </w:tc>
        <w:tc>
          <w:tcPr>
            <w:tcW w:w="4596" w:type="dxa"/>
          </w:tcPr>
          <w:p w14:paraId="532E3A11" w14:textId="77777777" w:rsidR="001279A8" w:rsidRPr="006F7AF8" w:rsidRDefault="001279A8" w:rsidP="009B4355">
            <w:pPr>
              <w:rPr>
                <w:rFonts w:ascii="Aptos" w:hAnsi="Aptos"/>
                <w:lang w:val="fr-FR"/>
              </w:rPr>
            </w:pPr>
            <w:r w:rsidRPr="006F7AF8">
              <w:rPr>
                <w:rFonts w:ascii="Aptos" w:hAnsi="Aptos"/>
                <w:lang w:val="fr-FR"/>
              </w:rPr>
              <w:t>Nombre de Parties : 14</w:t>
            </w:r>
          </w:p>
        </w:tc>
      </w:tr>
      <w:tr w:rsidR="001279A8" w:rsidRPr="006F7AF8" w14:paraId="2D174F55" w14:textId="77777777" w:rsidTr="009B4355">
        <w:tc>
          <w:tcPr>
            <w:tcW w:w="4188" w:type="dxa"/>
          </w:tcPr>
          <w:p w14:paraId="706DF189" w14:textId="77777777" w:rsidR="001279A8" w:rsidRPr="006F7AF8" w:rsidRDefault="001279A8" w:rsidP="009B4355">
            <w:pPr>
              <w:rPr>
                <w:rFonts w:ascii="Aptos" w:hAnsi="Aptos"/>
                <w:lang w:val="fr-FR"/>
              </w:rPr>
            </w:pPr>
            <w:r w:rsidRPr="006F7AF8">
              <w:rPr>
                <w:rFonts w:ascii="Aptos" w:hAnsi="Aptos"/>
                <w:lang w:val="fr-FR"/>
              </w:rPr>
              <w:t>Party count by region</w:t>
            </w:r>
          </w:p>
        </w:tc>
        <w:tc>
          <w:tcPr>
            <w:tcW w:w="4596" w:type="dxa"/>
          </w:tcPr>
          <w:p w14:paraId="44D7FD25" w14:textId="77777777" w:rsidR="001279A8" w:rsidRPr="006F7AF8" w:rsidRDefault="001279A8" w:rsidP="009B4355">
            <w:pPr>
              <w:rPr>
                <w:rFonts w:ascii="Aptos" w:hAnsi="Aptos"/>
                <w:lang w:val="fr-FR"/>
              </w:rPr>
            </w:pPr>
            <w:r w:rsidRPr="006F7AF8">
              <w:rPr>
                <w:rFonts w:ascii="Aptos" w:hAnsi="Aptos"/>
                <w:lang w:val="fr-FR"/>
              </w:rPr>
              <w:t>Nombre de Parties par région</w:t>
            </w:r>
          </w:p>
        </w:tc>
      </w:tr>
      <w:tr w:rsidR="001279A8" w:rsidRPr="006F7AF8" w14:paraId="004E65ED" w14:textId="77777777" w:rsidTr="009B4355">
        <w:tc>
          <w:tcPr>
            <w:tcW w:w="4188" w:type="dxa"/>
          </w:tcPr>
          <w:p w14:paraId="724B3004" w14:textId="77777777" w:rsidR="001279A8" w:rsidRPr="006F7AF8" w:rsidRDefault="001279A8" w:rsidP="009B4355">
            <w:pPr>
              <w:rPr>
                <w:rFonts w:ascii="Aptos" w:hAnsi="Aptos"/>
                <w:lang w:val="fr-FR"/>
              </w:rPr>
            </w:pPr>
            <w:r w:rsidRPr="006F7AF8">
              <w:rPr>
                <w:rFonts w:ascii="Aptos" w:hAnsi="Aptos"/>
                <w:lang w:val="fr-FR"/>
              </w:rPr>
              <w:t>Calculation from 7NRs</w:t>
            </w:r>
          </w:p>
        </w:tc>
        <w:tc>
          <w:tcPr>
            <w:tcW w:w="4596" w:type="dxa"/>
          </w:tcPr>
          <w:p w14:paraId="497DF5E0" w14:textId="77777777" w:rsidR="001279A8" w:rsidRPr="006F7AF8" w:rsidRDefault="001279A8" w:rsidP="009B4355">
            <w:pPr>
              <w:rPr>
                <w:rFonts w:ascii="Aptos" w:hAnsi="Aptos"/>
                <w:lang w:val="fr-FR"/>
              </w:rPr>
            </w:pPr>
            <w:r w:rsidRPr="006F7AF8">
              <w:rPr>
                <w:rFonts w:ascii="Aptos" w:hAnsi="Aptos"/>
                <w:lang w:val="fr-FR"/>
              </w:rPr>
              <w:t>Calculs basés sur les septièmes rapports nationaux</w:t>
            </w:r>
          </w:p>
        </w:tc>
      </w:tr>
      <w:tr w:rsidR="001279A8" w:rsidRPr="006F7AF8" w14:paraId="4C8B0E07" w14:textId="77777777" w:rsidTr="009B4355">
        <w:tc>
          <w:tcPr>
            <w:tcW w:w="4188" w:type="dxa"/>
          </w:tcPr>
          <w:p w14:paraId="5AA8D684" w14:textId="77777777" w:rsidR="001279A8" w:rsidRPr="006F7AF8" w:rsidRDefault="001279A8" w:rsidP="009B4355">
            <w:pPr>
              <w:rPr>
                <w:rFonts w:ascii="Aptos" w:hAnsi="Aptos"/>
                <w:lang w:val="fr-FR"/>
              </w:rPr>
            </w:pPr>
            <w:r w:rsidRPr="006F7AF8">
              <w:rPr>
                <w:rFonts w:ascii="Aptos" w:hAnsi="Aptos"/>
                <w:lang w:val="fr-FR"/>
              </w:rPr>
              <w:t>Party count: 101</w:t>
            </w:r>
          </w:p>
        </w:tc>
        <w:tc>
          <w:tcPr>
            <w:tcW w:w="4596" w:type="dxa"/>
          </w:tcPr>
          <w:p w14:paraId="1A3A603F" w14:textId="77777777" w:rsidR="001279A8" w:rsidRPr="006F7AF8" w:rsidRDefault="001279A8" w:rsidP="009B4355">
            <w:pPr>
              <w:rPr>
                <w:rFonts w:ascii="Aptos" w:hAnsi="Aptos"/>
                <w:lang w:val="fr-FR"/>
              </w:rPr>
            </w:pPr>
            <w:r w:rsidRPr="006F7AF8">
              <w:rPr>
                <w:rFonts w:ascii="Aptos" w:hAnsi="Aptos"/>
                <w:lang w:val="fr-FR"/>
              </w:rPr>
              <w:t>Nombre de Parties : 101</w:t>
            </w:r>
          </w:p>
        </w:tc>
      </w:tr>
      <w:tr w:rsidR="001279A8" w:rsidRPr="006F7AF8" w14:paraId="0E686394" w14:textId="77777777" w:rsidTr="009B4355">
        <w:tc>
          <w:tcPr>
            <w:tcW w:w="4188" w:type="dxa"/>
          </w:tcPr>
          <w:p w14:paraId="0DA604C7" w14:textId="77777777" w:rsidR="001279A8" w:rsidRPr="006F7AF8" w:rsidRDefault="001279A8" w:rsidP="009B4355">
            <w:pPr>
              <w:rPr>
                <w:rFonts w:ascii="Aptos" w:hAnsi="Aptos"/>
                <w:lang w:val="fr-FR"/>
              </w:rPr>
            </w:pPr>
            <w:r w:rsidRPr="006F7AF8">
              <w:rPr>
                <w:rFonts w:ascii="Aptos" w:hAnsi="Aptos"/>
                <w:lang w:val="fr-FR"/>
              </w:rPr>
              <w:t>Party count by region</w:t>
            </w:r>
          </w:p>
        </w:tc>
        <w:tc>
          <w:tcPr>
            <w:tcW w:w="4596" w:type="dxa"/>
          </w:tcPr>
          <w:p w14:paraId="3511FECA" w14:textId="77777777" w:rsidR="001279A8" w:rsidRPr="006F7AF8" w:rsidRDefault="001279A8" w:rsidP="009B4355">
            <w:pPr>
              <w:rPr>
                <w:rFonts w:ascii="Aptos" w:hAnsi="Aptos"/>
                <w:lang w:val="fr-FR"/>
              </w:rPr>
            </w:pPr>
            <w:r w:rsidRPr="006F7AF8">
              <w:rPr>
                <w:rFonts w:ascii="Aptos" w:hAnsi="Aptos"/>
                <w:lang w:val="fr-FR"/>
              </w:rPr>
              <w:t>Nombre de Parties par région</w:t>
            </w:r>
          </w:p>
        </w:tc>
      </w:tr>
      <w:tr w:rsidR="001279A8" w:rsidRPr="006F7AF8" w14:paraId="7EB7D940" w14:textId="77777777" w:rsidTr="009B4355">
        <w:tc>
          <w:tcPr>
            <w:tcW w:w="4188" w:type="dxa"/>
          </w:tcPr>
          <w:p w14:paraId="55C0D039" w14:textId="77777777" w:rsidR="001279A8" w:rsidRPr="006F7AF8" w:rsidRDefault="001279A8" w:rsidP="009B4355">
            <w:pPr>
              <w:rPr>
                <w:rFonts w:ascii="Aptos" w:hAnsi="Aptos"/>
                <w:lang w:val="fr-FR"/>
              </w:rPr>
            </w:pPr>
            <w:r w:rsidRPr="006F7AF8">
              <w:rPr>
                <w:rFonts w:ascii="Aptos" w:hAnsi="Aptos"/>
                <w:lang w:val="fr-FR"/>
              </w:rPr>
              <w:t>Region</w:t>
            </w:r>
          </w:p>
        </w:tc>
        <w:tc>
          <w:tcPr>
            <w:tcW w:w="4596" w:type="dxa"/>
          </w:tcPr>
          <w:p w14:paraId="61010208"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551A975C" w14:textId="77777777" w:rsidTr="009B4355">
        <w:tc>
          <w:tcPr>
            <w:tcW w:w="4188" w:type="dxa"/>
          </w:tcPr>
          <w:p w14:paraId="6E165F1D" w14:textId="77777777" w:rsidR="001279A8" w:rsidRPr="006F7AF8" w:rsidRDefault="001279A8" w:rsidP="009B4355">
            <w:pPr>
              <w:rPr>
                <w:rFonts w:ascii="Aptos" w:hAnsi="Aptos"/>
                <w:lang w:val="fr-FR"/>
              </w:rPr>
            </w:pPr>
            <w:r w:rsidRPr="006F7AF8">
              <w:rPr>
                <w:rFonts w:ascii="Aptos" w:hAnsi="Aptos"/>
                <w:lang w:val="fr-FR"/>
              </w:rPr>
              <w:t>African States</w:t>
            </w:r>
          </w:p>
        </w:tc>
        <w:tc>
          <w:tcPr>
            <w:tcW w:w="4596" w:type="dxa"/>
          </w:tcPr>
          <w:p w14:paraId="6B4BC6E8"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0BB49884" w14:textId="77777777" w:rsidTr="009B4355">
        <w:tc>
          <w:tcPr>
            <w:tcW w:w="4188" w:type="dxa"/>
          </w:tcPr>
          <w:p w14:paraId="782D7F9B"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4596" w:type="dxa"/>
          </w:tcPr>
          <w:p w14:paraId="04855FB0"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73EDC158" w14:textId="77777777" w:rsidTr="009B4355">
        <w:tc>
          <w:tcPr>
            <w:tcW w:w="4188" w:type="dxa"/>
          </w:tcPr>
          <w:p w14:paraId="2A4BAE8F"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596" w:type="dxa"/>
          </w:tcPr>
          <w:p w14:paraId="34747D0A"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1E05BCCC" w14:textId="77777777" w:rsidTr="009B4355">
        <w:tc>
          <w:tcPr>
            <w:tcW w:w="4188" w:type="dxa"/>
          </w:tcPr>
          <w:p w14:paraId="031F4F93"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596" w:type="dxa"/>
          </w:tcPr>
          <w:p w14:paraId="633C5E97"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2FC4E78D" w14:textId="77777777" w:rsidTr="009B4355">
        <w:tc>
          <w:tcPr>
            <w:tcW w:w="4188" w:type="dxa"/>
          </w:tcPr>
          <w:p w14:paraId="5D28A4D7"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596" w:type="dxa"/>
          </w:tcPr>
          <w:p w14:paraId="7B48B7ED"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08F78DB5" w14:textId="77777777" w:rsidR="00B87039" w:rsidRPr="00653BF4" w:rsidRDefault="00B87039" w:rsidP="00B87039">
      <w:pPr>
        <w:pStyle w:val="paragraph"/>
        <w:spacing w:before="0" w:beforeAutospacing="0" w:after="0" w:afterAutospacing="0"/>
        <w:textAlignment w:val="baseline"/>
        <w:rPr>
          <w:rFonts w:asciiTheme="minorHAnsi" w:hAnsiTheme="minorHAnsi"/>
          <w:sz w:val="20"/>
          <w:szCs w:val="20"/>
          <w:lang w:val="fr-FR"/>
        </w:rPr>
      </w:pPr>
    </w:p>
    <w:p w14:paraId="1C040ABC" w14:textId="77777777" w:rsidR="00B87039" w:rsidRPr="00653BF4" w:rsidRDefault="00B87039" w:rsidP="00B87039">
      <w:pPr>
        <w:pStyle w:val="paragraph"/>
        <w:spacing w:before="0" w:beforeAutospacing="0" w:after="0" w:afterAutospacing="0"/>
        <w:textAlignment w:val="baseline"/>
        <w:rPr>
          <w:rStyle w:val="normaltextrun"/>
          <w:rFonts w:asciiTheme="minorHAnsi" w:hAnsiTheme="minorHAnsi" w:cs="Segoe UI"/>
          <w:sz w:val="20"/>
          <w:szCs w:val="20"/>
          <w:lang w:val="fr-FR"/>
        </w:rPr>
      </w:pPr>
      <w:r w:rsidRPr="00653BF4">
        <w:rPr>
          <w:rFonts w:asciiTheme="minorHAnsi" w:hAnsiTheme="minorHAnsi"/>
          <w:sz w:val="20"/>
          <w:szCs w:val="20"/>
          <w:lang w:val="fr-FR"/>
        </w:rPr>
        <w:t>Figure 86</w:t>
      </w:r>
    </w:p>
    <w:p w14:paraId="621C87B1" w14:textId="20C37ED5" w:rsidR="00B87039" w:rsidRPr="00653BF4"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2</w:t>
      </w:r>
      <w:r w:rsidRPr="00653BF4">
        <w:rPr>
          <w:b/>
          <w:bCs/>
          <w:i w:val="0"/>
          <w:iCs w:val="0"/>
          <w:sz w:val="20"/>
          <w:szCs w:val="20"/>
          <w:lang w:val="fr-FR"/>
        </w:rPr>
        <w:t>1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227A4CB3" w14:textId="77777777" w:rsidR="00B87039" w:rsidRPr="00653BF4" w:rsidRDefault="00B87039" w:rsidP="00B87039">
      <w:pPr>
        <w:pStyle w:val="Caption"/>
        <w:rPr>
          <w:lang w:val="fr-FR"/>
        </w:rPr>
      </w:pPr>
      <w:bookmarkStart w:id="412" w:name="_Ref231251221"/>
      <w:r w:rsidRPr="00653BF4">
        <w:rPr>
          <w:noProof/>
          <w:lang w:val="fr-FR"/>
          <w14:ligatures w14:val="standardContextual"/>
        </w:rPr>
        <w:drawing>
          <wp:inline distT="0" distB="0" distL="0" distR="0" wp14:anchorId="6EA92E86" wp14:editId="6B6AAB7C">
            <wp:extent cx="5731510" cy="2456180"/>
            <wp:effectExtent l="0" t="0" r="0" b="0"/>
            <wp:docPr id="207879898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798987" name="Picture 2078798987"/>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bookmarkEnd w:id="412"/>
    <w:p w14:paraId="48DD347C" w14:textId="2CCA8FA9"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i w:val="0"/>
          <w:iCs w:val="0"/>
          <w:lang w:val="fr-FR"/>
        </w:rPr>
        <w:t xml:space="preserve"> Les proportions sont pondérées par Partie. Les tendances incluent des données relatives à 1 indicateur phare provenant de 15 Parties, ainsi qu</w:t>
      </w:r>
      <w:r w:rsidR="00D77549">
        <w:rPr>
          <w:i w:val="0"/>
          <w:iCs w:val="0"/>
          <w:lang w:val="fr-FR"/>
        </w:rPr>
        <w:t>’</w:t>
      </w:r>
      <w:r w:rsidRPr="00653BF4">
        <w:rPr>
          <w:i w:val="0"/>
          <w:iCs w:val="0"/>
          <w:lang w:val="fr-FR"/>
        </w:rPr>
        <w:t xml:space="preserve">à 2 indicateurs de composante, 2 indicateurs complémentaires et 51 indicateurs nationaux provenant au total de 19 Parties. Le diagramme circulaire représente la répartition, par région, des Parties ayant communiqué des indicateurs pour la </w:t>
      </w:r>
      <w:r w:rsidR="00E34DC9">
        <w:rPr>
          <w:i w:val="0"/>
          <w:iCs w:val="0"/>
          <w:lang w:val="fr-FR"/>
        </w:rPr>
        <w:t>cible 2</w:t>
      </w:r>
      <w:r w:rsidRPr="00653BF4">
        <w:rPr>
          <w:i w:val="0"/>
          <w:iCs w:val="0"/>
          <w:lang w:val="fr-FR"/>
        </w:rPr>
        <w:t>1.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1279A8" w:rsidRPr="0071299A" w14:paraId="0A1FB413" w14:textId="77777777" w:rsidTr="009B4355">
        <w:tc>
          <w:tcPr>
            <w:tcW w:w="8861" w:type="dxa"/>
            <w:gridSpan w:val="2"/>
          </w:tcPr>
          <w:p w14:paraId="4714F59F" w14:textId="77777777" w:rsidR="001279A8" w:rsidRPr="0071299A" w:rsidRDefault="001279A8" w:rsidP="009B4355">
            <w:pPr>
              <w:rPr>
                <w:rFonts w:ascii="Aptos" w:hAnsi="Aptos"/>
                <w:lang w:val="fr-FR"/>
              </w:rPr>
            </w:pPr>
            <w:bookmarkStart w:id="413" w:name="_Toc235821308"/>
            <w:r w:rsidRPr="0071299A">
              <w:rPr>
                <w:rFonts w:ascii="Aptos" w:hAnsi="Aptos"/>
                <w:lang w:val="fr-FR"/>
              </w:rPr>
              <w:t>Figure 86</w:t>
            </w:r>
          </w:p>
        </w:tc>
      </w:tr>
      <w:tr w:rsidR="001279A8" w:rsidRPr="0071299A" w14:paraId="5AE4D38F" w14:textId="77777777" w:rsidTr="009B4355">
        <w:tc>
          <w:tcPr>
            <w:tcW w:w="4188" w:type="dxa"/>
          </w:tcPr>
          <w:p w14:paraId="7D4BF22C" w14:textId="77777777" w:rsidR="001279A8" w:rsidRPr="0071299A" w:rsidRDefault="001279A8" w:rsidP="009B4355">
            <w:pPr>
              <w:rPr>
                <w:rFonts w:ascii="Aptos" w:hAnsi="Aptos"/>
                <w:lang w:val="fr-FR"/>
              </w:rPr>
            </w:pPr>
            <w:r w:rsidRPr="0071299A">
              <w:rPr>
                <w:rFonts w:ascii="Aptos" w:hAnsi="Aptos"/>
                <w:lang w:val="fr-FR"/>
              </w:rPr>
              <w:t xml:space="preserve">English </w:t>
            </w:r>
          </w:p>
        </w:tc>
        <w:tc>
          <w:tcPr>
            <w:tcW w:w="4673" w:type="dxa"/>
          </w:tcPr>
          <w:p w14:paraId="659687CE" w14:textId="77777777" w:rsidR="001279A8" w:rsidRPr="0071299A" w:rsidRDefault="001279A8" w:rsidP="009B4355">
            <w:pPr>
              <w:rPr>
                <w:rFonts w:ascii="Aptos" w:hAnsi="Aptos"/>
                <w:lang w:val="fr-FR"/>
              </w:rPr>
            </w:pPr>
            <w:r>
              <w:rPr>
                <w:rFonts w:ascii="Aptos" w:hAnsi="Aptos"/>
                <w:lang w:val="fr-FR"/>
              </w:rPr>
              <w:t>Français</w:t>
            </w:r>
          </w:p>
        </w:tc>
      </w:tr>
      <w:tr w:rsidR="001279A8" w:rsidRPr="006F7AF8" w14:paraId="744DA0F6" w14:textId="77777777" w:rsidTr="009B4355">
        <w:tc>
          <w:tcPr>
            <w:tcW w:w="4188" w:type="dxa"/>
          </w:tcPr>
          <w:p w14:paraId="1794FA1B" w14:textId="77777777" w:rsidR="001279A8" w:rsidRPr="006F7AF8" w:rsidRDefault="001279A8" w:rsidP="009B4355">
            <w:pPr>
              <w:rPr>
                <w:rFonts w:ascii="Aptos" w:hAnsi="Aptos"/>
                <w:lang w:val="fr-FR"/>
              </w:rPr>
            </w:pPr>
            <w:r w:rsidRPr="006F7AF8">
              <w:rPr>
                <w:rFonts w:ascii="Aptos" w:hAnsi="Aptos"/>
                <w:lang w:val="fr-FR"/>
              </w:rPr>
              <w:lastRenderedPageBreak/>
              <w:t>Proportion</w:t>
            </w:r>
          </w:p>
        </w:tc>
        <w:tc>
          <w:tcPr>
            <w:tcW w:w="4673" w:type="dxa"/>
          </w:tcPr>
          <w:p w14:paraId="494B9987" w14:textId="77777777" w:rsidR="001279A8" w:rsidRPr="006F7AF8" w:rsidRDefault="001279A8" w:rsidP="009B4355">
            <w:pPr>
              <w:rPr>
                <w:rFonts w:ascii="Aptos" w:hAnsi="Aptos"/>
                <w:lang w:val="fr-FR"/>
              </w:rPr>
            </w:pPr>
            <w:r w:rsidRPr="006F7AF8">
              <w:rPr>
                <w:rFonts w:ascii="Aptos" w:hAnsi="Aptos"/>
                <w:lang w:val="fr-FR"/>
              </w:rPr>
              <w:t>Proportion</w:t>
            </w:r>
          </w:p>
        </w:tc>
      </w:tr>
      <w:tr w:rsidR="001279A8" w:rsidRPr="006F7AF8" w14:paraId="5D39B4C1" w14:textId="77777777" w:rsidTr="009B4355">
        <w:tc>
          <w:tcPr>
            <w:tcW w:w="4188" w:type="dxa"/>
          </w:tcPr>
          <w:p w14:paraId="61250429" w14:textId="77777777" w:rsidR="001279A8" w:rsidRPr="006F7AF8" w:rsidRDefault="001279A8" w:rsidP="009B4355">
            <w:pPr>
              <w:rPr>
                <w:rFonts w:ascii="Aptos" w:hAnsi="Aptos"/>
                <w:lang w:val="fr-FR"/>
              </w:rPr>
            </w:pPr>
            <w:r w:rsidRPr="006F7AF8">
              <w:rPr>
                <w:rFonts w:ascii="Aptos" w:hAnsi="Aptos"/>
                <w:lang w:val="fr-FR"/>
              </w:rPr>
              <w:t>Current Status</w:t>
            </w:r>
          </w:p>
        </w:tc>
        <w:tc>
          <w:tcPr>
            <w:tcW w:w="4673" w:type="dxa"/>
          </w:tcPr>
          <w:p w14:paraId="641D9067" w14:textId="77777777" w:rsidR="001279A8" w:rsidRPr="006F7AF8" w:rsidRDefault="001279A8" w:rsidP="009B4355">
            <w:pPr>
              <w:rPr>
                <w:rFonts w:ascii="Aptos" w:hAnsi="Aptos"/>
                <w:lang w:val="fr-FR"/>
              </w:rPr>
            </w:pPr>
            <w:r w:rsidRPr="006F7AF8">
              <w:rPr>
                <w:rFonts w:ascii="Aptos" w:hAnsi="Aptos"/>
                <w:lang w:val="fr-FR"/>
              </w:rPr>
              <w:t>État actuel</w:t>
            </w:r>
          </w:p>
        </w:tc>
      </w:tr>
      <w:tr w:rsidR="001279A8" w:rsidRPr="006F7AF8" w14:paraId="4BD5C44E" w14:textId="77777777" w:rsidTr="009B4355">
        <w:tc>
          <w:tcPr>
            <w:tcW w:w="4188" w:type="dxa"/>
          </w:tcPr>
          <w:p w14:paraId="09D83B30" w14:textId="77777777" w:rsidR="001279A8" w:rsidRPr="006F7AF8" w:rsidRDefault="001279A8" w:rsidP="009B4355">
            <w:pPr>
              <w:rPr>
                <w:rFonts w:ascii="Aptos" w:hAnsi="Aptos"/>
                <w:lang w:val="fr-FR"/>
              </w:rPr>
            </w:pPr>
            <w:r w:rsidRPr="006F7AF8">
              <w:rPr>
                <w:rFonts w:ascii="Aptos" w:hAnsi="Aptos"/>
                <w:lang w:val="fr-FR"/>
              </w:rPr>
              <w:t>improving</w:t>
            </w:r>
          </w:p>
        </w:tc>
        <w:tc>
          <w:tcPr>
            <w:tcW w:w="4673" w:type="dxa"/>
          </w:tcPr>
          <w:p w14:paraId="47636991" w14:textId="77777777" w:rsidR="001279A8" w:rsidRPr="006F7AF8" w:rsidRDefault="001279A8" w:rsidP="009B4355">
            <w:pPr>
              <w:rPr>
                <w:rFonts w:ascii="Aptos" w:hAnsi="Aptos"/>
                <w:lang w:val="fr-FR"/>
              </w:rPr>
            </w:pPr>
            <w:r>
              <w:rPr>
                <w:rFonts w:ascii="Aptos" w:hAnsi="Aptos"/>
                <w:lang w:val="fr-FR"/>
              </w:rPr>
              <w:t>amélioration</w:t>
            </w:r>
          </w:p>
        </w:tc>
      </w:tr>
      <w:tr w:rsidR="001279A8" w:rsidRPr="006F7AF8" w14:paraId="3D021861" w14:textId="77777777" w:rsidTr="009B4355">
        <w:tc>
          <w:tcPr>
            <w:tcW w:w="4188" w:type="dxa"/>
          </w:tcPr>
          <w:p w14:paraId="62D8BC00" w14:textId="77777777" w:rsidR="001279A8" w:rsidRPr="006F7AF8" w:rsidRDefault="001279A8" w:rsidP="009B4355">
            <w:pPr>
              <w:rPr>
                <w:rFonts w:ascii="Aptos" w:hAnsi="Aptos"/>
                <w:lang w:val="fr-FR"/>
              </w:rPr>
            </w:pPr>
            <w:r w:rsidRPr="006F7AF8">
              <w:rPr>
                <w:rFonts w:ascii="Aptos" w:hAnsi="Aptos"/>
                <w:lang w:val="fr-FR"/>
              </w:rPr>
              <w:t>stable</w:t>
            </w:r>
          </w:p>
        </w:tc>
        <w:tc>
          <w:tcPr>
            <w:tcW w:w="4673" w:type="dxa"/>
          </w:tcPr>
          <w:p w14:paraId="2FB139C5" w14:textId="77777777" w:rsidR="001279A8" w:rsidRPr="006F7AF8" w:rsidRDefault="001279A8"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1279A8" w:rsidRPr="006F7AF8" w14:paraId="07AD7C62" w14:textId="77777777" w:rsidTr="009B4355">
        <w:tc>
          <w:tcPr>
            <w:tcW w:w="4188" w:type="dxa"/>
          </w:tcPr>
          <w:p w14:paraId="146E049A" w14:textId="77777777" w:rsidR="001279A8" w:rsidRPr="006F7AF8" w:rsidRDefault="001279A8" w:rsidP="009B4355">
            <w:pPr>
              <w:rPr>
                <w:rFonts w:ascii="Aptos" w:hAnsi="Aptos"/>
                <w:lang w:val="fr-FR"/>
              </w:rPr>
            </w:pPr>
            <w:r w:rsidRPr="006F7AF8">
              <w:rPr>
                <w:rFonts w:ascii="Aptos" w:hAnsi="Aptos"/>
                <w:lang w:val="fr-FR"/>
              </w:rPr>
              <w:t>moving away</w:t>
            </w:r>
          </w:p>
        </w:tc>
        <w:tc>
          <w:tcPr>
            <w:tcW w:w="4673" w:type="dxa"/>
          </w:tcPr>
          <w:p w14:paraId="5BB346BC" w14:textId="77777777" w:rsidR="001279A8" w:rsidRPr="006F7AF8" w:rsidRDefault="001279A8" w:rsidP="009B4355">
            <w:pPr>
              <w:rPr>
                <w:rFonts w:ascii="Aptos" w:hAnsi="Aptos"/>
                <w:lang w:val="fr-FR"/>
              </w:rPr>
            </w:pPr>
            <w:r>
              <w:rPr>
                <w:rFonts w:ascii="Aptos" w:hAnsi="Aptos"/>
                <w:lang w:val="fr-FR"/>
              </w:rPr>
              <w:t>éloignement</w:t>
            </w:r>
          </w:p>
        </w:tc>
      </w:tr>
      <w:tr w:rsidR="001279A8" w:rsidRPr="006F7AF8" w14:paraId="46EF4E97" w14:textId="77777777" w:rsidTr="009B4355">
        <w:tc>
          <w:tcPr>
            <w:tcW w:w="4188" w:type="dxa"/>
          </w:tcPr>
          <w:p w14:paraId="2589662A" w14:textId="77777777" w:rsidR="001279A8" w:rsidRPr="006F7AF8" w:rsidRDefault="001279A8" w:rsidP="009B4355">
            <w:pPr>
              <w:rPr>
                <w:rFonts w:ascii="Aptos" w:hAnsi="Aptos"/>
                <w:lang w:val="fr-FR"/>
              </w:rPr>
            </w:pPr>
            <w:r w:rsidRPr="006F7AF8">
              <w:rPr>
                <w:rFonts w:ascii="Aptos" w:hAnsi="Aptos"/>
                <w:lang w:val="fr-FR"/>
              </w:rPr>
              <w:t>Party count: 31</w:t>
            </w:r>
          </w:p>
        </w:tc>
        <w:tc>
          <w:tcPr>
            <w:tcW w:w="4673" w:type="dxa"/>
          </w:tcPr>
          <w:p w14:paraId="23211354" w14:textId="77777777" w:rsidR="001279A8" w:rsidRPr="006F7AF8" w:rsidRDefault="001279A8" w:rsidP="009B4355">
            <w:pPr>
              <w:rPr>
                <w:rFonts w:ascii="Aptos" w:hAnsi="Aptos"/>
                <w:lang w:val="fr-FR"/>
              </w:rPr>
            </w:pPr>
            <w:r w:rsidRPr="006F7AF8">
              <w:rPr>
                <w:rFonts w:ascii="Aptos" w:hAnsi="Aptos"/>
                <w:lang w:val="fr-FR"/>
              </w:rPr>
              <w:t>Nombre de Parties : 31</w:t>
            </w:r>
          </w:p>
        </w:tc>
      </w:tr>
      <w:tr w:rsidR="001279A8" w:rsidRPr="006F7AF8" w14:paraId="773960A7" w14:textId="77777777" w:rsidTr="009B4355">
        <w:tc>
          <w:tcPr>
            <w:tcW w:w="4188" w:type="dxa"/>
          </w:tcPr>
          <w:p w14:paraId="65A6BEDC"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48F4ED1E"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35FD6DE1" w14:textId="77777777" w:rsidTr="009B4355">
        <w:tc>
          <w:tcPr>
            <w:tcW w:w="4188" w:type="dxa"/>
          </w:tcPr>
          <w:p w14:paraId="6F3DCED1"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31341459"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221C8F6E" w14:textId="77777777" w:rsidTr="009B4355">
        <w:tc>
          <w:tcPr>
            <w:tcW w:w="4188" w:type="dxa"/>
          </w:tcPr>
          <w:p w14:paraId="566D1885"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4673" w:type="dxa"/>
          </w:tcPr>
          <w:p w14:paraId="3252809B"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68041391" w14:textId="77777777" w:rsidTr="009B4355">
        <w:tc>
          <w:tcPr>
            <w:tcW w:w="4188" w:type="dxa"/>
          </w:tcPr>
          <w:p w14:paraId="3CB72FA0"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5AAADD99"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2E9F164D" w14:textId="77777777" w:rsidTr="009B4355">
        <w:tc>
          <w:tcPr>
            <w:tcW w:w="4188" w:type="dxa"/>
          </w:tcPr>
          <w:p w14:paraId="7F6F8B79"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75468D13"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5CA6A35F" w14:textId="77777777" w:rsidTr="009B4355">
        <w:tc>
          <w:tcPr>
            <w:tcW w:w="4188" w:type="dxa"/>
          </w:tcPr>
          <w:p w14:paraId="28276051"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3" w:type="dxa"/>
          </w:tcPr>
          <w:p w14:paraId="09A6BCD3"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6933617F" w14:textId="77777777" w:rsidR="00B87039" w:rsidRPr="00653BF4" w:rsidRDefault="00B87039" w:rsidP="00B87039">
      <w:pPr>
        <w:pStyle w:val="Heading5"/>
        <w:rPr>
          <w:lang w:val="fr-FR"/>
        </w:rPr>
      </w:pPr>
    </w:p>
    <w:p w14:paraId="733026EA" w14:textId="372089E2" w:rsidR="00B87039" w:rsidRPr="00653BF4" w:rsidRDefault="00B87039" w:rsidP="00B87039">
      <w:pPr>
        <w:pStyle w:val="Heading5"/>
        <w:rPr>
          <w:lang w:val="fr-FR"/>
        </w:rPr>
      </w:pPr>
      <w:r w:rsidRPr="00653BF4">
        <w:rPr>
          <w:lang w:val="fr-FR"/>
        </w:rPr>
        <w:t>Auto-évaluation des progrès accomplis</w:t>
      </w:r>
      <w:bookmarkEnd w:id="413"/>
    </w:p>
    <w:p w14:paraId="1951E0C9" w14:textId="77777777" w:rsidR="00B87039" w:rsidRPr="00653BF4" w:rsidRDefault="00B87039" w:rsidP="00B87039">
      <w:pPr>
        <w:rPr>
          <w:rStyle w:val="normaltextrun"/>
          <w:lang w:val="fr-FR"/>
        </w:rPr>
      </w:pPr>
    </w:p>
    <w:p w14:paraId="75294992" w14:textId="6AC534B6" w:rsidR="00B87039" w:rsidRPr="00653BF4" w:rsidRDefault="00B87039" w:rsidP="00B87039">
      <w:pPr>
        <w:rPr>
          <w:color w:val="000000" w:themeColor="text1"/>
          <w:lang w:val="fr-FR"/>
        </w:rPr>
      </w:pPr>
      <w:r w:rsidRPr="00653BF4">
        <w:rPr>
          <w:lang w:val="fr-FR"/>
        </w:rPr>
        <w:t>D’après les auto-évaluations des Parties figurant dans leurs rapports nationaux, 43</w:t>
      </w:r>
      <w:r w:rsidR="002878D7">
        <w:rPr>
          <w:lang w:val="fr-FR"/>
        </w:rPr>
        <w:t> %</w:t>
      </w:r>
      <w:r w:rsidRPr="00653BF4">
        <w:rPr>
          <w:lang w:val="fr-FR"/>
        </w:rPr>
        <w:t xml:space="preserve"> seulement des cibles nationales qu’elles ont présentées comme étroitement alignées sur la </w:t>
      </w:r>
      <w:r w:rsidR="00E34DC9">
        <w:rPr>
          <w:lang w:val="fr-FR"/>
        </w:rPr>
        <w:t>cible 2</w:t>
      </w:r>
      <w:r w:rsidRPr="00653BF4">
        <w:rPr>
          <w:lang w:val="fr-FR"/>
        </w:rPr>
        <w:t>1 sont en voie d</w:t>
      </w:r>
      <w:r w:rsidR="00D77549">
        <w:rPr>
          <w:lang w:val="fr-FR"/>
        </w:rPr>
        <w:t>’</w:t>
      </w:r>
      <w:r w:rsidRPr="00653BF4">
        <w:rPr>
          <w:lang w:val="fr-FR"/>
        </w:rPr>
        <w:t>être atteintes, alors qu</w:t>
      </w:r>
      <w:r w:rsidR="00D77549">
        <w:rPr>
          <w:lang w:val="fr-FR"/>
        </w:rPr>
        <w:t>’</w:t>
      </w:r>
      <w:r w:rsidRPr="00653BF4">
        <w:rPr>
          <w:lang w:val="fr-FR"/>
        </w:rPr>
        <w:t>une proportion bien plus importante (53</w:t>
      </w:r>
      <w:r w:rsidR="002878D7">
        <w:rPr>
          <w:lang w:val="fr-FR"/>
        </w:rPr>
        <w:t> %</w:t>
      </w:r>
      <w:r w:rsidRPr="00653BF4">
        <w:rPr>
          <w:lang w:val="fr-FR"/>
        </w:rPr>
        <w:t>) n</w:t>
      </w:r>
      <w:r w:rsidR="00D77549">
        <w:rPr>
          <w:lang w:val="fr-FR"/>
        </w:rPr>
        <w:t>’</w:t>
      </w:r>
      <w:r w:rsidRPr="00653BF4">
        <w:rPr>
          <w:lang w:val="fr-FR"/>
        </w:rPr>
        <w:t>enregistre aucun changement notable ou des progrès insuffisants (voir la figure 87).</w:t>
      </w:r>
    </w:p>
    <w:p w14:paraId="4BF85BFA" w14:textId="77777777" w:rsidR="00B87039" w:rsidRPr="00653BF4" w:rsidRDefault="00B87039" w:rsidP="00B87039">
      <w:pPr>
        <w:rPr>
          <w:color w:val="000000" w:themeColor="text1"/>
          <w:lang w:val="fr-FR"/>
        </w:rPr>
      </w:pPr>
    </w:p>
    <w:p w14:paraId="11ED5C11" w14:textId="77777777" w:rsidR="00B87039" w:rsidRPr="00653BF4" w:rsidRDefault="00B87039" w:rsidP="00B87039">
      <w:pPr>
        <w:rPr>
          <w:sz w:val="20"/>
          <w:szCs w:val="20"/>
          <w:lang w:val="fr-FR"/>
        </w:rPr>
      </w:pPr>
      <w:r w:rsidRPr="00653BF4">
        <w:rPr>
          <w:sz w:val="20"/>
          <w:szCs w:val="20"/>
          <w:lang w:val="fr-FR"/>
        </w:rPr>
        <w:t>Figure 87</w:t>
      </w:r>
    </w:p>
    <w:p w14:paraId="59F1AE46" w14:textId="67E6E0DC" w:rsidR="00B87039" w:rsidRPr="00653BF4"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2</w:t>
      </w:r>
      <w:r w:rsidRPr="00653BF4">
        <w:rPr>
          <w:b/>
          <w:bCs/>
          <w:i w:val="0"/>
          <w:iCs w:val="0"/>
          <w:sz w:val="20"/>
          <w:szCs w:val="20"/>
          <w:lang w:val="fr-FR"/>
        </w:rPr>
        <w:t>1 du Cadre</w:t>
      </w:r>
    </w:p>
    <w:p w14:paraId="4888182B" w14:textId="77777777" w:rsidR="00B87039" w:rsidRPr="00653BF4" w:rsidRDefault="00B87039" w:rsidP="00B87039">
      <w:pPr>
        <w:rPr>
          <w:i/>
          <w:iCs/>
          <w:color w:val="0E2841" w:themeColor="text2"/>
          <w:sz w:val="18"/>
          <w:szCs w:val="18"/>
          <w:lang w:val="fr-FR"/>
        </w:rPr>
      </w:pPr>
      <w:bookmarkStart w:id="414" w:name="_Ref231251352"/>
      <w:r w:rsidRPr="00653BF4">
        <w:rPr>
          <w:noProof/>
          <w:lang w:val="fr-FR"/>
        </w:rPr>
        <w:drawing>
          <wp:inline distT="0" distB="0" distL="0" distR="0" wp14:anchorId="7641A7F5" wp14:editId="4FD56235">
            <wp:extent cx="5731510" cy="2292350"/>
            <wp:effectExtent l="0" t="0" r="0" b="6350"/>
            <wp:docPr id="1281851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51107" name="Picture 1281851107"/>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414"/>
    <w:p w14:paraId="230F14F4" w14:textId="31E7AA04"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lang w:val="fr-FR"/>
        </w:rPr>
        <w:t xml:space="preserve"> </w:t>
      </w:r>
      <w:r w:rsidRPr="00653BF4">
        <w:rPr>
          <w:i w:val="0"/>
          <w:iCs w:val="0"/>
          <w:lang w:val="fr-FR"/>
        </w:rPr>
        <w:t xml:space="preserve">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w:t>
      </w:r>
      <w:r w:rsidRPr="00653BF4">
        <w:rPr>
          <w:i w:val="0"/>
          <w:iCs w:val="0"/>
          <w:lang w:val="fr-FR"/>
        </w:rPr>
        <w:lastRenderedPageBreak/>
        <w:t>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9463" w:type="dxa"/>
        <w:tblLook w:val="04A0" w:firstRow="1" w:lastRow="0" w:firstColumn="1" w:lastColumn="0" w:noHBand="0" w:noVBand="1"/>
      </w:tblPr>
      <w:tblGrid>
        <w:gridCol w:w="4390"/>
        <w:gridCol w:w="5073"/>
      </w:tblGrid>
      <w:tr w:rsidR="001279A8" w:rsidRPr="00D07FF9" w14:paraId="35D15BA9" w14:textId="77777777" w:rsidTr="009B4355">
        <w:tc>
          <w:tcPr>
            <w:tcW w:w="9463" w:type="dxa"/>
            <w:gridSpan w:val="2"/>
          </w:tcPr>
          <w:p w14:paraId="043D1167" w14:textId="77777777" w:rsidR="001279A8" w:rsidRPr="00D07FF9" w:rsidRDefault="001279A8" w:rsidP="009B4355">
            <w:pPr>
              <w:rPr>
                <w:rFonts w:ascii="Aptos" w:hAnsi="Aptos"/>
                <w:lang w:val="fr-FR"/>
              </w:rPr>
            </w:pPr>
            <w:r>
              <w:rPr>
                <w:rFonts w:ascii="Aptos" w:hAnsi="Aptos"/>
                <w:lang w:val="fr-FR"/>
              </w:rPr>
              <w:t>Figure 87</w:t>
            </w:r>
          </w:p>
        </w:tc>
      </w:tr>
      <w:tr w:rsidR="001279A8" w:rsidRPr="00D07FF9" w14:paraId="053AE2E9" w14:textId="77777777" w:rsidTr="009B4355">
        <w:tc>
          <w:tcPr>
            <w:tcW w:w="4390" w:type="dxa"/>
          </w:tcPr>
          <w:p w14:paraId="3BB6218F" w14:textId="77777777" w:rsidR="001279A8" w:rsidRPr="00D07FF9" w:rsidRDefault="001279A8" w:rsidP="009B4355">
            <w:pPr>
              <w:rPr>
                <w:rFonts w:ascii="Aptos" w:hAnsi="Aptos"/>
                <w:lang w:val="fr-FR"/>
              </w:rPr>
            </w:pPr>
            <w:r w:rsidRPr="00D07FF9">
              <w:rPr>
                <w:rFonts w:ascii="Aptos" w:hAnsi="Aptos"/>
                <w:lang w:val="fr-FR"/>
              </w:rPr>
              <w:t xml:space="preserve">English </w:t>
            </w:r>
          </w:p>
        </w:tc>
        <w:tc>
          <w:tcPr>
            <w:tcW w:w="5073" w:type="dxa"/>
          </w:tcPr>
          <w:p w14:paraId="55324982" w14:textId="77777777" w:rsidR="001279A8" w:rsidRPr="00D07FF9" w:rsidRDefault="001279A8" w:rsidP="009B4355">
            <w:pPr>
              <w:rPr>
                <w:rFonts w:ascii="Aptos" w:hAnsi="Aptos"/>
                <w:lang w:val="fr-FR"/>
              </w:rPr>
            </w:pPr>
            <w:r>
              <w:rPr>
                <w:rFonts w:ascii="Aptos" w:hAnsi="Aptos"/>
                <w:lang w:val="fr-FR"/>
              </w:rPr>
              <w:t>Français</w:t>
            </w:r>
          </w:p>
        </w:tc>
      </w:tr>
      <w:tr w:rsidR="001279A8" w:rsidRPr="006F7AF8" w14:paraId="77E0BDDB" w14:textId="77777777" w:rsidTr="009B4355">
        <w:tc>
          <w:tcPr>
            <w:tcW w:w="4390" w:type="dxa"/>
          </w:tcPr>
          <w:p w14:paraId="3F1FC096" w14:textId="77777777" w:rsidR="001279A8" w:rsidRPr="006F7AF8" w:rsidRDefault="001279A8" w:rsidP="009B4355">
            <w:pPr>
              <w:rPr>
                <w:rFonts w:ascii="Aptos" w:hAnsi="Aptos"/>
                <w:lang w:val="fr-FR"/>
              </w:rPr>
            </w:pPr>
            <w:r w:rsidRPr="006F7AF8">
              <w:rPr>
                <w:rFonts w:ascii="Aptos" w:hAnsi="Aptos"/>
                <w:lang w:val="fr-FR"/>
              </w:rPr>
              <w:t>Percentage of national targets</w:t>
            </w:r>
          </w:p>
        </w:tc>
        <w:tc>
          <w:tcPr>
            <w:tcW w:w="5073" w:type="dxa"/>
          </w:tcPr>
          <w:p w14:paraId="402C2052" w14:textId="77777777" w:rsidR="001279A8" w:rsidRPr="006F7AF8" w:rsidRDefault="001279A8" w:rsidP="009B4355">
            <w:pPr>
              <w:rPr>
                <w:rFonts w:ascii="Aptos" w:hAnsi="Aptos"/>
                <w:lang w:val="fr-FR"/>
              </w:rPr>
            </w:pPr>
            <w:r w:rsidRPr="006F7AF8">
              <w:rPr>
                <w:rFonts w:ascii="Aptos" w:hAnsi="Aptos"/>
                <w:lang w:val="fr-FR"/>
              </w:rPr>
              <w:t>Pourcentage de cibles nationales</w:t>
            </w:r>
          </w:p>
        </w:tc>
      </w:tr>
      <w:tr w:rsidR="001279A8" w:rsidRPr="006F7AF8" w14:paraId="12289601" w14:textId="77777777" w:rsidTr="009B4355">
        <w:tc>
          <w:tcPr>
            <w:tcW w:w="4390" w:type="dxa"/>
          </w:tcPr>
          <w:p w14:paraId="03E0731F" w14:textId="77777777" w:rsidR="001279A8" w:rsidRPr="006F7AF8" w:rsidRDefault="001279A8" w:rsidP="009B4355">
            <w:pPr>
              <w:rPr>
                <w:rFonts w:ascii="Aptos" w:hAnsi="Aptos"/>
                <w:lang w:val="fr-FR"/>
              </w:rPr>
            </w:pPr>
            <w:r w:rsidRPr="006F7AF8">
              <w:rPr>
                <w:rFonts w:ascii="Aptos" w:hAnsi="Aptos"/>
                <w:lang w:val="fr-FR"/>
              </w:rPr>
              <w:t>Progress level</w:t>
            </w:r>
          </w:p>
        </w:tc>
        <w:tc>
          <w:tcPr>
            <w:tcW w:w="5073" w:type="dxa"/>
          </w:tcPr>
          <w:p w14:paraId="54AD29C7" w14:textId="77777777" w:rsidR="001279A8" w:rsidRPr="006F7AF8" w:rsidRDefault="001279A8" w:rsidP="009B4355">
            <w:pPr>
              <w:rPr>
                <w:rFonts w:ascii="Aptos" w:hAnsi="Aptos"/>
                <w:lang w:val="fr-FR"/>
              </w:rPr>
            </w:pPr>
            <w:r w:rsidRPr="006F7AF8">
              <w:rPr>
                <w:rFonts w:ascii="Aptos" w:hAnsi="Aptos"/>
                <w:lang w:val="fr-FR"/>
              </w:rPr>
              <w:t>État d</w:t>
            </w:r>
            <w:r>
              <w:rPr>
                <w:rFonts w:ascii="Aptos" w:hAnsi="Aptos"/>
                <w:lang w:val="fr-FR"/>
              </w:rPr>
              <w:t>’</w:t>
            </w:r>
            <w:r w:rsidRPr="006F7AF8">
              <w:rPr>
                <w:rFonts w:ascii="Aptos" w:hAnsi="Aptos"/>
                <w:lang w:val="fr-FR"/>
              </w:rPr>
              <w:t>avancement</w:t>
            </w:r>
          </w:p>
        </w:tc>
      </w:tr>
      <w:tr w:rsidR="001279A8" w:rsidRPr="006F7AF8" w14:paraId="6FC0FE71" w14:textId="77777777" w:rsidTr="009B4355">
        <w:tc>
          <w:tcPr>
            <w:tcW w:w="4390" w:type="dxa"/>
          </w:tcPr>
          <w:p w14:paraId="3A0F6E9E" w14:textId="77777777" w:rsidR="001279A8" w:rsidRPr="006F7AF8" w:rsidRDefault="001279A8" w:rsidP="009B4355">
            <w:pPr>
              <w:rPr>
                <w:rFonts w:ascii="Aptos" w:hAnsi="Aptos"/>
                <w:lang w:val="fr-FR"/>
              </w:rPr>
            </w:pPr>
            <w:r w:rsidRPr="006F7AF8">
              <w:rPr>
                <w:rFonts w:ascii="Aptos" w:hAnsi="Aptos"/>
                <w:lang w:val="fr-FR"/>
              </w:rPr>
              <w:t>Achieved</w:t>
            </w:r>
          </w:p>
        </w:tc>
        <w:tc>
          <w:tcPr>
            <w:tcW w:w="5073" w:type="dxa"/>
          </w:tcPr>
          <w:p w14:paraId="7D137D75" w14:textId="77777777" w:rsidR="001279A8" w:rsidRPr="006F7AF8" w:rsidRDefault="001279A8" w:rsidP="009B4355">
            <w:pPr>
              <w:rPr>
                <w:rFonts w:ascii="Aptos" w:hAnsi="Aptos"/>
                <w:lang w:val="fr-FR"/>
              </w:rPr>
            </w:pPr>
            <w:r w:rsidRPr="006F7AF8">
              <w:rPr>
                <w:rFonts w:ascii="Aptos" w:hAnsi="Aptos"/>
                <w:lang w:val="fr-FR"/>
              </w:rPr>
              <w:t>Cible atteinte</w:t>
            </w:r>
          </w:p>
        </w:tc>
      </w:tr>
      <w:tr w:rsidR="001279A8" w:rsidRPr="006F7AF8" w14:paraId="14ECE85F" w14:textId="77777777" w:rsidTr="009B4355">
        <w:tc>
          <w:tcPr>
            <w:tcW w:w="4390" w:type="dxa"/>
          </w:tcPr>
          <w:p w14:paraId="59EE2884" w14:textId="77777777" w:rsidR="001279A8" w:rsidRPr="006F7AF8" w:rsidRDefault="001279A8" w:rsidP="009B4355">
            <w:pPr>
              <w:rPr>
                <w:rFonts w:ascii="Aptos" w:hAnsi="Aptos"/>
                <w:lang w:val="fr-FR"/>
              </w:rPr>
            </w:pPr>
            <w:r w:rsidRPr="006F7AF8">
              <w:rPr>
                <w:rFonts w:ascii="Aptos" w:hAnsi="Aptos"/>
                <w:lang w:val="fr-FR"/>
              </w:rPr>
              <w:t>On track to achieve target</w:t>
            </w:r>
          </w:p>
        </w:tc>
        <w:tc>
          <w:tcPr>
            <w:tcW w:w="5073" w:type="dxa"/>
          </w:tcPr>
          <w:p w14:paraId="20952659" w14:textId="77777777" w:rsidR="001279A8" w:rsidRPr="006F7AF8" w:rsidRDefault="001279A8" w:rsidP="009B4355">
            <w:pPr>
              <w:rPr>
                <w:rFonts w:ascii="Aptos" w:hAnsi="Aptos"/>
                <w:lang w:val="fr-FR"/>
              </w:rPr>
            </w:pPr>
            <w:r w:rsidRPr="006F7AF8">
              <w:rPr>
                <w:rFonts w:ascii="Aptos" w:hAnsi="Aptos"/>
                <w:lang w:val="fr-FR"/>
              </w:rPr>
              <w:t>En voie d</w:t>
            </w:r>
            <w:r>
              <w:rPr>
                <w:rFonts w:ascii="Aptos" w:hAnsi="Aptos"/>
                <w:lang w:val="fr-FR"/>
              </w:rPr>
              <w:t>’</w:t>
            </w:r>
            <w:r w:rsidRPr="006F7AF8">
              <w:rPr>
                <w:rFonts w:ascii="Aptos" w:hAnsi="Aptos"/>
                <w:lang w:val="fr-FR"/>
              </w:rPr>
              <w:t>atteindre la cible</w:t>
            </w:r>
          </w:p>
        </w:tc>
      </w:tr>
      <w:tr w:rsidR="001279A8" w:rsidRPr="006F7AF8" w14:paraId="33E56775" w14:textId="77777777" w:rsidTr="009B4355">
        <w:tc>
          <w:tcPr>
            <w:tcW w:w="4390" w:type="dxa"/>
          </w:tcPr>
          <w:p w14:paraId="5F9B354A" w14:textId="77777777" w:rsidR="001279A8" w:rsidRPr="006F7AF8" w:rsidRDefault="001279A8" w:rsidP="009B4355">
            <w:pPr>
              <w:rPr>
                <w:rFonts w:ascii="Aptos" w:hAnsi="Aptos"/>
                <w:lang w:val="fr-FR"/>
              </w:rPr>
            </w:pPr>
            <w:r w:rsidRPr="006F7AF8">
              <w:rPr>
                <w:rFonts w:ascii="Aptos" w:hAnsi="Aptos"/>
                <w:lang w:val="fr-FR"/>
              </w:rPr>
              <w:t>Progress towards target but at an insufficient rate</w:t>
            </w:r>
          </w:p>
        </w:tc>
        <w:tc>
          <w:tcPr>
            <w:tcW w:w="5073" w:type="dxa"/>
          </w:tcPr>
          <w:p w14:paraId="60583B3C" w14:textId="77777777" w:rsidR="001279A8" w:rsidRPr="006F7AF8" w:rsidRDefault="001279A8" w:rsidP="009B4355">
            <w:pPr>
              <w:rPr>
                <w:rFonts w:ascii="Aptos" w:hAnsi="Aptos"/>
                <w:lang w:val="fr-FR"/>
              </w:rPr>
            </w:pPr>
            <w:r w:rsidRPr="006F7AF8">
              <w:rPr>
                <w:rFonts w:ascii="Aptos" w:hAnsi="Aptos"/>
                <w:lang w:val="fr-FR"/>
              </w:rPr>
              <w:t>Progrès accomplis, mais à un rythme insuffisant</w:t>
            </w:r>
          </w:p>
        </w:tc>
      </w:tr>
      <w:tr w:rsidR="001279A8" w:rsidRPr="006F7AF8" w14:paraId="79C12D98" w14:textId="77777777" w:rsidTr="009B4355">
        <w:tc>
          <w:tcPr>
            <w:tcW w:w="4390" w:type="dxa"/>
          </w:tcPr>
          <w:p w14:paraId="02BEB43F" w14:textId="77777777" w:rsidR="001279A8" w:rsidRPr="006F7AF8" w:rsidRDefault="001279A8" w:rsidP="009B4355">
            <w:pPr>
              <w:rPr>
                <w:rFonts w:ascii="Aptos" w:hAnsi="Aptos"/>
                <w:lang w:val="fr-FR"/>
              </w:rPr>
            </w:pPr>
            <w:r w:rsidRPr="006F7AF8">
              <w:rPr>
                <w:rFonts w:ascii="Aptos" w:hAnsi="Aptos"/>
                <w:lang w:val="fr-FR"/>
              </w:rPr>
              <w:t>No significant change</w:t>
            </w:r>
          </w:p>
        </w:tc>
        <w:tc>
          <w:tcPr>
            <w:tcW w:w="5073" w:type="dxa"/>
          </w:tcPr>
          <w:p w14:paraId="691585F6" w14:textId="77777777" w:rsidR="001279A8" w:rsidRPr="006F7AF8" w:rsidRDefault="001279A8" w:rsidP="009B4355">
            <w:pPr>
              <w:rPr>
                <w:rFonts w:ascii="Aptos" w:hAnsi="Aptos"/>
                <w:lang w:val="fr-FR"/>
              </w:rPr>
            </w:pPr>
            <w:r w:rsidRPr="006F7AF8">
              <w:rPr>
                <w:rFonts w:ascii="Aptos" w:hAnsi="Aptos"/>
                <w:lang w:val="fr-FR"/>
              </w:rPr>
              <w:t>Pas de changement notable</w:t>
            </w:r>
          </w:p>
        </w:tc>
      </w:tr>
      <w:tr w:rsidR="001279A8" w:rsidRPr="006F7AF8" w14:paraId="713C1E40" w14:textId="77777777" w:rsidTr="009B4355">
        <w:tc>
          <w:tcPr>
            <w:tcW w:w="4390" w:type="dxa"/>
          </w:tcPr>
          <w:p w14:paraId="02FF2166" w14:textId="77777777" w:rsidR="001279A8" w:rsidRPr="006F7AF8" w:rsidRDefault="001279A8" w:rsidP="009B4355">
            <w:pPr>
              <w:rPr>
                <w:rFonts w:ascii="Aptos" w:hAnsi="Aptos"/>
                <w:lang w:val="fr-FR"/>
              </w:rPr>
            </w:pPr>
            <w:r w:rsidRPr="006F7AF8">
              <w:rPr>
                <w:rFonts w:ascii="Aptos" w:hAnsi="Aptos"/>
                <w:lang w:val="fr-FR"/>
              </w:rPr>
              <w:t>Unknown</w:t>
            </w:r>
          </w:p>
        </w:tc>
        <w:tc>
          <w:tcPr>
            <w:tcW w:w="5073" w:type="dxa"/>
          </w:tcPr>
          <w:p w14:paraId="10B0FF3A" w14:textId="77777777" w:rsidR="001279A8" w:rsidRPr="006F7AF8" w:rsidRDefault="001279A8" w:rsidP="009B4355">
            <w:pPr>
              <w:rPr>
                <w:rFonts w:ascii="Aptos" w:hAnsi="Aptos"/>
                <w:lang w:val="fr-FR"/>
              </w:rPr>
            </w:pPr>
            <w:r w:rsidRPr="006F7AF8">
              <w:rPr>
                <w:rFonts w:ascii="Aptos" w:hAnsi="Aptos"/>
                <w:lang w:val="fr-FR"/>
              </w:rPr>
              <w:t>Inconnu</w:t>
            </w:r>
          </w:p>
        </w:tc>
      </w:tr>
      <w:tr w:rsidR="001279A8" w:rsidRPr="006F7AF8" w14:paraId="6066AB34" w14:textId="77777777" w:rsidTr="009B4355">
        <w:tc>
          <w:tcPr>
            <w:tcW w:w="4390" w:type="dxa"/>
          </w:tcPr>
          <w:p w14:paraId="2A61675A" w14:textId="77777777" w:rsidR="001279A8" w:rsidRPr="006F7AF8" w:rsidRDefault="001279A8" w:rsidP="009B4355">
            <w:pPr>
              <w:rPr>
                <w:rFonts w:ascii="Aptos" w:hAnsi="Aptos"/>
                <w:lang w:val="fr-FR"/>
              </w:rPr>
            </w:pPr>
            <w:r w:rsidRPr="006F7AF8">
              <w:rPr>
                <w:rFonts w:ascii="Aptos" w:hAnsi="Aptos"/>
                <w:lang w:val="fr-FR"/>
              </w:rPr>
              <w:t>Party count: 97</w:t>
            </w:r>
          </w:p>
        </w:tc>
        <w:tc>
          <w:tcPr>
            <w:tcW w:w="5073" w:type="dxa"/>
          </w:tcPr>
          <w:p w14:paraId="75C6A2F6" w14:textId="77777777" w:rsidR="001279A8" w:rsidRPr="006F7AF8" w:rsidRDefault="001279A8" w:rsidP="009B4355">
            <w:pPr>
              <w:rPr>
                <w:rFonts w:ascii="Aptos" w:hAnsi="Aptos"/>
                <w:lang w:val="fr-FR"/>
              </w:rPr>
            </w:pPr>
            <w:r w:rsidRPr="006F7AF8">
              <w:rPr>
                <w:rFonts w:ascii="Aptos" w:hAnsi="Aptos"/>
                <w:lang w:val="fr-FR"/>
              </w:rPr>
              <w:t>Nombre de Parties : 97</w:t>
            </w:r>
          </w:p>
        </w:tc>
      </w:tr>
      <w:tr w:rsidR="001279A8" w:rsidRPr="006F7AF8" w14:paraId="594C03C6" w14:textId="77777777" w:rsidTr="009B4355">
        <w:tc>
          <w:tcPr>
            <w:tcW w:w="4390" w:type="dxa"/>
          </w:tcPr>
          <w:p w14:paraId="5DC2E333" w14:textId="77777777" w:rsidR="001279A8" w:rsidRPr="006F7AF8" w:rsidRDefault="001279A8" w:rsidP="009B4355">
            <w:pPr>
              <w:rPr>
                <w:rFonts w:ascii="Aptos" w:hAnsi="Aptos"/>
                <w:lang w:val="fr-FR"/>
              </w:rPr>
            </w:pPr>
            <w:r w:rsidRPr="006F7AF8">
              <w:rPr>
                <w:rFonts w:ascii="Aptos" w:hAnsi="Aptos"/>
                <w:lang w:val="fr-FR"/>
              </w:rPr>
              <w:t>Region</w:t>
            </w:r>
          </w:p>
        </w:tc>
        <w:tc>
          <w:tcPr>
            <w:tcW w:w="5073" w:type="dxa"/>
          </w:tcPr>
          <w:p w14:paraId="1892F84B"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7E4841D4" w14:textId="77777777" w:rsidTr="009B4355">
        <w:tc>
          <w:tcPr>
            <w:tcW w:w="4390" w:type="dxa"/>
          </w:tcPr>
          <w:p w14:paraId="5439BB6A" w14:textId="77777777" w:rsidR="001279A8" w:rsidRPr="006F7AF8" w:rsidRDefault="001279A8" w:rsidP="009B4355">
            <w:pPr>
              <w:rPr>
                <w:rFonts w:ascii="Aptos" w:hAnsi="Aptos"/>
                <w:lang w:val="fr-FR"/>
              </w:rPr>
            </w:pPr>
            <w:r w:rsidRPr="006F7AF8">
              <w:rPr>
                <w:rFonts w:ascii="Aptos" w:hAnsi="Aptos"/>
                <w:lang w:val="fr-FR"/>
              </w:rPr>
              <w:t>African States</w:t>
            </w:r>
          </w:p>
        </w:tc>
        <w:tc>
          <w:tcPr>
            <w:tcW w:w="5073" w:type="dxa"/>
          </w:tcPr>
          <w:p w14:paraId="45D7AE58"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641C87FD" w14:textId="77777777" w:rsidTr="009B4355">
        <w:tc>
          <w:tcPr>
            <w:tcW w:w="4390" w:type="dxa"/>
          </w:tcPr>
          <w:p w14:paraId="35125661"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5073" w:type="dxa"/>
          </w:tcPr>
          <w:p w14:paraId="1B88A487"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51158F00" w14:textId="77777777" w:rsidTr="009B4355">
        <w:tc>
          <w:tcPr>
            <w:tcW w:w="4390" w:type="dxa"/>
          </w:tcPr>
          <w:p w14:paraId="3599D08C"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5073" w:type="dxa"/>
          </w:tcPr>
          <w:p w14:paraId="68E26A51"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00ABA283" w14:textId="77777777" w:rsidTr="009B4355">
        <w:tc>
          <w:tcPr>
            <w:tcW w:w="4390" w:type="dxa"/>
          </w:tcPr>
          <w:p w14:paraId="431BCA37"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5073" w:type="dxa"/>
          </w:tcPr>
          <w:p w14:paraId="1C298A4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53AD61C9" w14:textId="77777777" w:rsidTr="009B4355">
        <w:tc>
          <w:tcPr>
            <w:tcW w:w="4390" w:type="dxa"/>
          </w:tcPr>
          <w:p w14:paraId="53863CB4"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5073" w:type="dxa"/>
          </w:tcPr>
          <w:p w14:paraId="5FD3994F"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4A3A857" w14:textId="77777777" w:rsidR="00B87039" w:rsidRPr="00653BF4" w:rsidRDefault="00B87039" w:rsidP="00B87039">
      <w:pPr>
        <w:pStyle w:val="Caption"/>
        <w:rPr>
          <w:lang w:val="fr-FR"/>
        </w:rPr>
      </w:pPr>
    </w:p>
    <w:p w14:paraId="657DC0F5" w14:textId="77777777" w:rsidR="00B87039" w:rsidRPr="00653BF4" w:rsidRDefault="00B87039" w:rsidP="00B87039">
      <w:pPr>
        <w:rPr>
          <w:lang w:val="fr-FR"/>
        </w:rPr>
      </w:pPr>
    </w:p>
    <w:p w14:paraId="24606F6A" w14:textId="77777777" w:rsidR="00B87039" w:rsidRPr="00653BF4" w:rsidRDefault="00B87039" w:rsidP="00B87039">
      <w:pPr>
        <w:pStyle w:val="Heading5"/>
        <w:rPr>
          <w:lang w:val="fr-FR"/>
        </w:rPr>
      </w:pPr>
      <w:bookmarkStart w:id="415" w:name="_Toc235821309"/>
      <w:r w:rsidRPr="00653BF4">
        <w:rPr>
          <w:lang w:val="fr-FR"/>
        </w:rPr>
        <w:t>Actions, réussites et difficultés</w:t>
      </w:r>
      <w:bookmarkEnd w:id="415"/>
      <w:r w:rsidRPr="00653BF4">
        <w:rPr>
          <w:lang w:val="fr-FR"/>
        </w:rPr>
        <w:t xml:space="preserve"> dans la mise en œuvre</w:t>
      </w:r>
    </w:p>
    <w:p w14:paraId="229F0B61" w14:textId="77777777" w:rsidR="00B87039" w:rsidRPr="00653BF4" w:rsidRDefault="00B87039" w:rsidP="00B87039">
      <w:pPr>
        <w:rPr>
          <w:lang w:val="fr-FR"/>
        </w:rPr>
      </w:pPr>
    </w:p>
    <w:p w14:paraId="4A8441DC" w14:textId="74B65B3E" w:rsidR="00B87039" w:rsidRPr="00653BF4" w:rsidRDefault="00B87039" w:rsidP="00B87039">
      <w:pPr>
        <w:pStyle w:val="Heading6"/>
        <w:rPr>
          <w:lang w:val="fr-FR"/>
        </w:rPr>
      </w:pPr>
      <w:bookmarkStart w:id="416" w:name="_Toc235821310"/>
      <w:r w:rsidRPr="00653BF4">
        <w:rPr>
          <w:lang w:val="fr-FR"/>
        </w:rPr>
        <w:t>Résumé des actions menées à l</w:t>
      </w:r>
      <w:r w:rsidR="00D77549">
        <w:rPr>
          <w:lang w:val="fr-FR"/>
        </w:rPr>
        <w:t>’</w:t>
      </w:r>
      <w:r w:rsidRPr="00653BF4">
        <w:rPr>
          <w:lang w:val="fr-FR"/>
        </w:rPr>
        <w:t xml:space="preserve">appui de la </w:t>
      </w:r>
      <w:r w:rsidR="00E34DC9">
        <w:rPr>
          <w:lang w:val="fr-FR"/>
        </w:rPr>
        <w:t>cible 2</w:t>
      </w:r>
      <w:r w:rsidRPr="00653BF4">
        <w:rPr>
          <w:lang w:val="fr-FR"/>
        </w:rPr>
        <w:t>1</w:t>
      </w:r>
      <w:bookmarkEnd w:id="416"/>
      <w:r w:rsidRPr="00653BF4">
        <w:rPr>
          <w:lang w:val="fr-FR"/>
        </w:rPr>
        <w:t xml:space="preserve"> du Cadre</w:t>
      </w:r>
    </w:p>
    <w:p w14:paraId="4EDF628C" w14:textId="77777777" w:rsidR="00B87039" w:rsidRPr="00653BF4" w:rsidRDefault="00B87039" w:rsidP="00B87039">
      <w:pPr>
        <w:rPr>
          <w:lang w:val="fr-FR"/>
        </w:rPr>
      </w:pPr>
    </w:p>
    <w:p w14:paraId="6AD47597" w14:textId="4B1AAEF5" w:rsidR="00B87039" w:rsidRPr="00653BF4" w:rsidRDefault="00B87039" w:rsidP="00B87039">
      <w:pPr>
        <w:rPr>
          <w:lang w:val="fr-FR"/>
        </w:rPr>
      </w:pPr>
      <w:r w:rsidRPr="00653BF4">
        <w:rPr>
          <w:lang w:val="fr-FR"/>
        </w:rPr>
        <w:t>L</w:t>
      </w:r>
      <w:r w:rsidR="00D77549">
        <w:rPr>
          <w:lang w:val="fr-FR"/>
        </w:rPr>
        <w:t>’</w:t>
      </w:r>
      <w:r w:rsidRPr="00653BF4">
        <w:rPr>
          <w:lang w:val="fr-FR"/>
        </w:rPr>
        <w:t xml:space="preserve">approche la plus fréquemment citée pour la mise en œuvre de la </w:t>
      </w:r>
      <w:r w:rsidR="00E34DC9">
        <w:rPr>
          <w:lang w:val="fr-FR"/>
        </w:rPr>
        <w:t>cible 2</w:t>
      </w:r>
      <w:r w:rsidRPr="00653BF4">
        <w:rPr>
          <w:lang w:val="fr-FR"/>
        </w:rPr>
        <w:t>1 est la création, le renforcement ou la mise en œuvre d</w:t>
      </w:r>
      <w:r w:rsidR="00D77549">
        <w:rPr>
          <w:lang w:val="fr-FR"/>
        </w:rPr>
        <w:t>’</w:t>
      </w:r>
      <w:r w:rsidRPr="00653BF4">
        <w:rPr>
          <w:lang w:val="fr-FR"/>
        </w:rPr>
        <w:t>une infrastructure nationale de données sur la biodiversité. Il s</w:t>
      </w:r>
      <w:r w:rsidR="00D77549">
        <w:rPr>
          <w:lang w:val="fr-FR"/>
        </w:rPr>
        <w:t>’</w:t>
      </w:r>
      <w:r w:rsidRPr="00653BF4">
        <w:rPr>
          <w:lang w:val="fr-FR"/>
        </w:rPr>
        <w:t>agit notamment de mesures relatives aux mécanismes nationaux de Centre d</w:t>
      </w:r>
      <w:r w:rsidR="00D77549">
        <w:rPr>
          <w:lang w:val="fr-FR"/>
        </w:rPr>
        <w:t>’</w:t>
      </w:r>
      <w:r w:rsidRPr="00653BF4">
        <w:rPr>
          <w:lang w:val="fr-FR"/>
        </w:rPr>
        <w:t>échange, aux systèmes nationaux d</w:t>
      </w:r>
      <w:r w:rsidR="00D77549">
        <w:rPr>
          <w:lang w:val="fr-FR"/>
        </w:rPr>
        <w:t>’</w:t>
      </w:r>
      <w:r w:rsidRPr="00653BF4">
        <w:rPr>
          <w:lang w:val="fr-FR"/>
        </w:rPr>
        <w:t>information sur la biodiversité et aux portails en libre accès, souvent associés aux antennes nationales ou régionales du Global Biodiversity Information Facility (GBIF) (voir l</w:t>
      </w:r>
      <w:r w:rsidR="00D77549">
        <w:rPr>
          <w:lang w:val="fr-FR"/>
        </w:rPr>
        <w:t>’</w:t>
      </w:r>
      <w:r w:rsidRPr="00653BF4">
        <w:rPr>
          <w:lang w:val="fr-FR"/>
        </w:rPr>
        <w:t>encadré 49). Cette tendance est observée dans l</w:t>
      </w:r>
      <w:r w:rsidR="00D77549">
        <w:rPr>
          <w:lang w:val="fr-FR"/>
        </w:rPr>
        <w:t>’</w:t>
      </w:r>
      <w:r w:rsidRPr="00653BF4">
        <w:rPr>
          <w:lang w:val="fr-FR"/>
        </w:rPr>
        <w:t>ensemble des régions et des groupes de revenus. De nombreuses Parties font également état de la participation de plateformes de science citoyenne et de la collecte de données à l</w:t>
      </w:r>
      <w:r w:rsidR="00D77549">
        <w:rPr>
          <w:lang w:val="fr-FR"/>
        </w:rPr>
        <w:t>’</w:t>
      </w:r>
      <w:r w:rsidRPr="00653BF4">
        <w:rPr>
          <w:lang w:val="fr-FR"/>
        </w:rPr>
        <w:t>échelle communautaire dans le cadre des plateformes nationales. Un nombre important de Parties fait également état de mesures visant à consigner, à recenser ou à proposer des modèles de gouvernance pour les connaissances traditionnelles (voir l</w:t>
      </w:r>
      <w:r w:rsidR="00D77549">
        <w:rPr>
          <w:lang w:val="fr-FR"/>
        </w:rPr>
        <w:t>’</w:t>
      </w:r>
      <w:r w:rsidRPr="00653BF4">
        <w:rPr>
          <w:lang w:val="fr-FR"/>
        </w:rPr>
        <w:t xml:space="preserve">encadré 50). Certains rapports nationaux contiennent des descriptions des cadres </w:t>
      </w:r>
      <w:r w:rsidRPr="00653BF4">
        <w:rPr>
          <w:lang w:val="fr-FR"/>
        </w:rPr>
        <w:lastRenderedPageBreak/>
        <w:t xml:space="preserve">juridiques et réglementaires pertinents pour la </w:t>
      </w:r>
      <w:r w:rsidR="00E34DC9">
        <w:rPr>
          <w:lang w:val="fr-FR"/>
        </w:rPr>
        <w:t>cible 2</w:t>
      </w:r>
      <w:r w:rsidRPr="00653BF4">
        <w:rPr>
          <w:lang w:val="fr-FR"/>
        </w:rPr>
        <w:t>1, notamment la législation relative à l</w:t>
      </w:r>
      <w:r w:rsidR="00D77549">
        <w:rPr>
          <w:lang w:val="fr-FR"/>
        </w:rPr>
        <w:t>’</w:t>
      </w:r>
      <w:r w:rsidRPr="00653BF4">
        <w:rPr>
          <w:lang w:val="fr-FR"/>
        </w:rPr>
        <w:t>accès et au partage des avantages, les obligations en matière d</w:t>
      </w:r>
      <w:r w:rsidR="00D77549">
        <w:rPr>
          <w:lang w:val="fr-FR"/>
        </w:rPr>
        <w:t>’</w:t>
      </w:r>
      <w:r w:rsidRPr="00653BF4">
        <w:rPr>
          <w:lang w:val="fr-FR"/>
        </w:rPr>
        <w:t>accès aux données, les lois sur les données ouvertes et la protection juridique des connaissances autochtones. De nombreuses Parties font état de campagnes d</w:t>
      </w:r>
      <w:r w:rsidR="00D77549">
        <w:rPr>
          <w:lang w:val="fr-FR"/>
        </w:rPr>
        <w:t>’</w:t>
      </w:r>
      <w:r w:rsidRPr="00653BF4">
        <w:rPr>
          <w:lang w:val="fr-FR"/>
        </w:rPr>
        <w:t>éducation à l</w:t>
      </w:r>
      <w:r w:rsidR="00D77549">
        <w:rPr>
          <w:lang w:val="fr-FR"/>
        </w:rPr>
        <w:t>’</w:t>
      </w:r>
      <w:r w:rsidRPr="00653BF4">
        <w:rPr>
          <w:lang w:val="fr-FR"/>
        </w:rPr>
        <w:t>environnement et de sensibilisation du public, d</w:t>
      </w:r>
      <w:r w:rsidR="00D77549">
        <w:rPr>
          <w:lang w:val="fr-FR"/>
        </w:rPr>
        <w:t>’</w:t>
      </w:r>
      <w:r w:rsidRPr="00653BF4">
        <w:rPr>
          <w:lang w:val="fr-FR"/>
        </w:rPr>
        <w:t xml:space="preserve">initiatives visant à renforcer les connaissances en matière de biodiversité et de dialogues multipartites menés dans le cadre de la </w:t>
      </w:r>
      <w:r w:rsidR="00E34DC9">
        <w:rPr>
          <w:lang w:val="fr-FR"/>
        </w:rPr>
        <w:t>cible 2</w:t>
      </w:r>
      <w:r w:rsidRPr="00653BF4">
        <w:rPr>
          <w:lang w:val="fr-FR"/>
        </w:rPr>
        <w:t xml:space="preserve">1. </w:t>
      </w:r>
    </w:p>
    <w:p w14:paraId="73B00ECC" w14:textId="77777777" w:rsidR="00B87039" w:rsidRPr="00653BF4" w:rsidRDefault="00B87039" w:rsidP="00B87039">
      <w:pPr>
        <w:rPr>
          <w:lang w:val="fr-FR"/>
        </w:rPr>
      </w:pPr>
    </w:p>
    <w:p w14:paraId="4434AC82" w14:textId="71C7374D" w:rsidR="00B87039" w:rsidRPr="00653BF4" w:rsidRDefault="00B87039" w:rsidP="00B87039">
      <w:pPr>
        <w:pStyle w:val="Heading6"/>
        <w:rPr>
          <w:lang w:val="fr-FR"/>
        </w:rPr>
      </w:pPr>
      <w:bookmarkStart w:id="417" w:name="_Toc235821311"/>
      <w:r w:rsidRPr="00653BF4">
        <w:rPr>
          <w:lang w:val="fr-FR"/>
        </w:rPr>
        <w:t>Exemples de réussites et de progrès réalisés dans la mise en œuvre</w:t>
      </w:r>
      <w:bookmarkEnd w:id="417"/>
    </w:p>
    <w:p w14:paraId="33CACF91" w14:textId="77777777" w:rsidR="00B87039" w:rsidRPr="00653BF4" w:rsidRDefault="00B87039" w:rsidP="00B87039">
      <w:pPr>
        <w:rPr>
          <w:lang w:val="fr-FR"/>
        </w:rPr>
      </w:pPr>
    </w:p>
    <w:p w14:paraId="0689CD70"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16"/>
      </w:tblGrid>
      <w:tr w:rsidR="00B87039" w:rsidRPr="00543148" w14:paraId="396D30AC" w14:textId="77777777" w:rsidTr="00557FB3">
        <w:tc>
          <w:tcPr>
            <w:tcW w:w="9016" w:type="dxa"/>
            <w:shd w:val="clear" w:color="auto" w:fill="D1D1D1" w:themeFill="background2" w:themeFillShade="E6"/>
          </w:tcPr>
          <w:p w14:paraId="6F9AFA68" w14:textId="77777777" w:rsidR="00B87039" w:rsidRPr="00653BF4" w:rsidRDefault="00B87039" w:rsidP="00557FB3">
            <w:pPr>
              <w:pStyle w:val="NormalWeb"/>
              <w:spacing w:before="120" w:beforeAutospacing="0" w:after="120" w:afterAutospacing="0"/>
              <w:jc w:val="both"/>
              <w:rPr>
                <w:rFonts w:asciiTheme="minorHAnsi" w:hAnsiTheme="minorHAnsi"/>
                <w:sz w:val="20"/>
                <w:szCs w:val="20"/>
                <w:lang w:val="fr-FR"/>
              </w:rPr>
            </w:pPr>
            <w:r w:rsidRPr="00653BF4">
              <w:rPr>
                <w:rFonts w:asciiTheme="minorHAnsi" w:hAnsiTheme="minorHAnsi"/>
                <w:sz w:val="20"/>
                <w:szCs w:val="20"/>
                <w:lang w:val="fr-FR"/>
              </w:rPr>
              <w:t>Encadré 49</w:t>
            </w:r>
          </w:p>
          <w:p w14:paraId="278554E1" w14:textId="4253AD5E" w:rsidR="00B87039" w:rsidRPr="00653BF4" w:rsidRDefault="00B87039" w:rsidP="00557FB3">
            <w:pPr>
              <w:spacing w:after="160" w:line="278" w:lineRule="auto"/>
              <w:rPr>
                <w:sz w:val="20"/>
                <w:szCs w:val="20"/>
                <w:lang w:val="fr-FR"/>
              </w:rPr>
            </w:pPr>
            <w:r w:rsidRPr="00653BF4">
              <w:rPr>
                <w:b/>
                <w:bCs/>
                <w:sz w:val="20"/>
                <w:szCs w:val="20"/>
                <w:lang w:val="fr-FR"/>
              </w:rPr>
              <w:t>Renforcement des connaissances environnementales et de la gouvernance inclusive grâce aux systèmes d</w:t>
            </w:r>
            <w:r w:rsidR="00D77549">
              <w:rPr>
                <w:b/>
                <w:bCs/>
                <w:sz w:val="20"/>
                <w:szCs w:val="20"/>
                <w:lang w:val="fr-FR"/>
              </w:rPr>
              <w:t>’</w:t>
            </w:r>
            <w:r w:rsidRPr="00653BF4">
              <w:rPr>
                <w:b/>
                <w:bCs/>
                <w:sz w:val="20"/>
                <w:szCs w:val="20"/>
                <w:lang w:val="fr-FR"/>
              </w:rPr>
              <w:t>information nationaux au Mexique</w:t>
            </w:r>
          </w:p>
          <w:p w14:paraId="41160132" w14:textId="772F010F" w:rsidR="00B87039" w:rsidRPr="00653BF4" w:rsidRDefault="00B87039" w:rsidP="00557FB3">
            <w:pPr>
              <w:pStyle w:val="NormalWeb"/>
              <w:spacing w:before="120" w:beforeAutospacing="0" w:after="120" w:afterAutospacing="0"/>
              <w:rPr>
                <w:rFonts w:asciiTheme="minorHAnsi" w:hAnsiTheme="minorHAnsi" w:cs="Calibri Light"/>
                <w:color w:val="000000" w:themeColor="text1"/>
                <w:sz w:val="20"/>
                <w:szCs w:val="20"/>
                <w:lang w:val="fr-FR"/>
              </w:rPr>
            </w:pPr>
            <w:r w:rsidRPr="00653BF4">
              <w:rPr>
                <w:rFonts w:asciiTheme="minorHAnsi" w:hAnsiTheme="minorHAnsi"/>
                <w:sz w:val="20"/>
                <w:szCs w:val="20"/>
                <w:lang w:val="fr-FR"/>
              </w:rPr>
              <w:t>Conformément à l’Accord régional sur l’accès à l’information, la participation du public et l’accès à la justice en matière d’environnement en Amérique latine et dans les Caraïbes (Accord d’Escazú) (Commission économique pour l’Amérique latine et les Caraïbes (CEPALC), 2018), le Mexique s’est engagé à mettre à jour son Système national d’information sur la biodiversité</w:t>
            </w:r>
            <w:r w:rsidRPr="00653BF4">
              <w:rPr>
                <w:rFonts w:asciiTheme="minorHAnsi" w:hAnsiTheme="minorHAnsi"/>
                <w:sz w:val="20"/>
                <w:szCs w:val="20"/>
                <w:vertAlign w:val="superscript"/>
                <w:lang w:val="fr-FR"/>
              </w:rPr>
              <w:t>a</w:t>
            </w:r>
            <w:r w:rsidRPr="00653BF4">
              <w:rPr>
                <w:rFonts w:asciiTheme="minorHAnsi" w:hAnsiTheme="minorHAnsi"/>
                <w:sz w:val="20"/>
                <w:szCs w:val="20"/>
                <w:lang w:val="fr-FR"/>
              </w:rPr>
              <w:t xml:space="preserve"> afin d’en faire un référentiel public, accessible, actualisé et fiable, respectant les principes FAIR (faciles à trouver, accessibles, compatibles et réutilisables) et CARE (intérêt collectif, droit de regard, responsabilité et éthique) relatifs aux données (Carroll et al., 2020</w:t>
            </w:r>
            <w:r w:rsidR="00E34DC9">
              <w:rPr>
                <w:rFonts w:asciiTheme="minorHAnsi" w:hAnsiTheme="minorHAnsi"/>
                <w:sz w:val="20"/>
                <w:szCs w:val="20"/>
                <w:lang w:val="fr-FR"/>
              </w:rPr>
              <w:t> ;</w:t>
            </w:r>
            <w:r w:rsidRPr="00653BF4">
              <w:rPr>
                <w:rFonts w:asciiTheme="minorHAnsi" w:hAnsiTheme="minorHAnsi"/>
                <w:sz w:val="20"/>
                <w:szCs w:val="20"/>
                <w:lang w:val="fr-FR"/>
              </w:rPr>
              <w:t xml:space="preserve"> Wilkinson </w:t>
            </w:r>
            <w:r w:rsidRPr="00653BF4">
              <w:rPr>
                <w:rFonts w:asciiTheme="minorHAnsi" w:hAnsiTheme="minorHAnsi"/>
                <w:i/>
                <w:iCs/>
                <w:sz w:val="20"/>
                <w:szCs w:val="20"/>
                <w:lang w:val="fr-FR"/>
              </w:rPr>
              <w:t>et al.</w:t>
            </w:r>
            <w:r w:rsidRPr="00653BF4">
              <w:rPr>
                <w:rFonts w:asciiTheme="minorHAnsi" w:hAnsiTheme="minorHAnsi"/>
                <w:sz w:val="20"/>
                <w:szCs w:val="20"/>
                <w:lang w:val="fr-FR"/>
              </w:rPr>
              <w:t>, 2016).</w:t>
            </w:r>
            <w:r w:rsidRPr="00653BF4">
              <w:rPr>
                <w:rFonts w:asciiTheme="minorHAnsi" w:hAnsiTheme="minorHAnsi" w:cs="Calibri Light"/>
                <w:color w:val="000000" w:themeColor="text1"/>
                <w:sz w:val="20"/>
                <w:szCs w:val="20"/>
                <w:lang w:val="fr-FR"/>
              </w:rPr>
              <w:t> </w:t>
            </w:r>
          </w:p>
          <w:p w14:paraId="0438C39E" w14:textId="1F71FAA5" w:rsidR="00B87039" w:rsidRPr="00653BF4" w:rsidRDefault="00B87039" w:rsidP="00557FB3">
            <w:pPr>
              <w:spacing w:after="160" w:line="278" w:lineRule="auto"/>
              <w:rPr>
                <w:sz w:val="20"/>
                <w:szCs w:val="20"/>
                <w:lang w:val="fr-FR"/>
              </w:rPr>
            </w:pPr>
            <w:r w:rsidRPr="00653BF4">
              <w:rPr>
                <w:sz w:val="20"/>
                <w:szCs w:val="20"/>
                <w:lang w:val="fr-FR"/>
              </w:rPr>
              <w:t>Géré par la Commission nationale pour la connaissance et l</w:t>
            </w:r>
            <w:r w:rsidR="00D77549">
              <w:rPr>
                <w:sz w:val="20"/>
                <w:szCs w:val="20"/>
                <w:lang w:val="fr-FR"/>
              </w:rPr>
              <w:t>’</w:t>
            </w:r>
            <w:r w:rsidRPr="00653BF4">
              <w:rPr>
                <w:sz w:val="20"/>
                <w:szCs w:val="20"/>
                <w:lang w:val="fr-FR"/>
              </w:rPr>
              <w:t>utilisation de la biodiversité (CONABIO)</w:t>
            </w:r>
            <w:r w:rsidRPr="00653BF4">
              <w:rPr>
                <w:sz w:val="20"/>
                <w:szCs w:val="20"/>
                <w:vertAlign w:val="superscript"/>
                <w:lang w:val="fr-FR"/>
              </w:rPr>
              <w:t>b</w:t>
            </w:r>
            <w:r w:rsidRPr="00653BF4">
              <w:rPr>
                <w:sz w:val="20"/>
                <w:szCs w:val="20"/>
                <w:lang w:val="fr-FR"/>
              </w:rPr>
              <w:t>, ce système collecte, génère, organise, met à jour et diffuse des informations sur la diversité biologique du pays, notamment la flore, la faune, les écosystèmes, les espèces menacées, les espèces envahissantes, les archives photographiques et les données géospatiales, afin de soutenir la recherche, la conservation et l</w:t>
            </w:r>
            <w:r w:rsidR="00D77549">
              <w:rPr>
                <w:sz w:val="20"/>
                <w:szCs w:val="20"/>
                <w:lang w:val="fr-FR"/>
              </w:rPr>
              <w:t>’</w:t>
            </w:r>
            <w:r w:rsidRPr="00653BF4">
              <w:rPr>
                <w:sz w:val="20"/>
                <w:szCs w:val="20"/>
                <w:lang w:val="fr-FR"/>
              </w:rPr>
              <w:t>utilisation durable des ressources naturelles. </w:t>
            </w:r>
          </w:p>
          <w:p w14:paraId="10B53FD2" w14:textId="61183D46" w:rsidR="00B87039" w:rsidRPr="00653BF4" w:rsidRDefault="00B87039" w:rsidP="00557FB3">
            <w:pPr>
              <w:spacing w:after="160" w:line="278" w:lineRule="auto"/>
              <w:rPr>
                <w:sz w:val="20"/>
                <w:szCs w:val="20"/>
                <w:lang w:val="fr-FR"/>
              </w:rPr>
            </w:pPr>
            <w:r w:rsidRPr="00653BF4">
              <w:rPr>
                <w:sz w:val="20"/>
                <w:szCs w:val="20"/>
                <w:lang w:val="fr-FR"/>
              </w:rPr>
              <w:t>Le système intègre les données issues de plus de 1 000 projets et de plus de 1 200 bases de données, et comprend plusieurs outils, tels que le système national de restauration environnementale, le système d</w:t>
            </w:r>
            <w:r w:rsidR="00D77549">
              <w:rPr>
                <w:sz w:val="20"/>
                <w:szCs w:val="20"/>
                <w:lang w:val="fr-FR"/>
              </w:rPr>
              <w:t>’</w:t>
            </w:r>
            <w:r w:rsidRPr="00653BF4">
              <w:rPr>
                <w:sz w:val="20"/>
                <w:szCs w:val="20"/>
                <w:lang w:val="fr-FR"/>
              </w:rPr>
              <w:t>information sur l</w:t>
            </w:r>
            <w:r w:rsidR="00D77549">
              <w:rPr>
                <w:sz w:val="20"/>
                <w:szCs w:val="20"/>
                <w:lang w:val="fr-FR"/>
              </w:rPr>
              <w:t>’</w:t>
            </w:r>
            <w:r w:rsidRPr="00653BF4">
              <w:rPr>
                <w:sz w:val="20"/>
                <w:szCs w:val="20"/>
                <w:lang w:val="fr-FR"/>
              </w:rPr>
              <w:t>agrobiodiversité, les sites permanents de surveillance de la biodiversité et le système d</w:t>
            </w:r>
            <w:r w:rsidR="00D77549">
              <w:rPr>
                <w:sz w:val="20"/>
                <w:szCs w:val="20"/>
                <w:lang w:val="fr-FR"/>
              </w:rPr>
              <w:t>’</w:t>
            </w:r>
            <w:r w:rsidRPr="00653BF4">
              <w:rPr>
                <w:sz w:val="20"/>
                <w:szCs w:val="20"/>
                <w:lang w:val="fr-FR"/>
              </w:rPr>
              <w:t>information et d</w:t>
            </w:r>
            <w:r w:rsidR="00D77549">
              <w:rPr>
                <w:sz w:val="20"/>
                <w:szCs w:val="20"/>
                <w:lang w:val="fr-FR"/>
              </w:rPr>
              <w:t>’</w:t>
            </w:r>
            <w:r w:rsidRPr="00653BF4">
              <w:rPr>
                <w:sz w:val="20"/>
                <w:szCs w:val="20"/>
                <w:lang w:val="fr-FR"/>
              </w:rPr>
              <w:t>analyse du milieu marin côtier. Des dispositifs de suivi spécifiques, tels que le système de suivi des mangroves et le système d</w:t>
            </w:r>
            <w:r w:rsidR="00D77549">
              <w:rPr>
                <w:sz w:val="20"/>
                <w:szCs w:val="20"/>
                <w:lang w:val="fr-FR"/>
              </w:rPr>
              <w:t>’</w:t>
            </w:r>
            <w:r w:rsidRPr="00653BF4">
              <w:rPr>
                <w:sz w:val="20"/>
                <w:szCs w:val="20"/>
                <w:lang w:val="fr-FR"/>
              </w:rPr>
              <w:t>alerte précoce en cas d</w:t>
            </w:r>
            <w:r w:rsidR="00D77549">
              <w:rPr>
                <w:sz w:val="20"/>
                <w:szCs w:val="20"/>
                <w:lang w:val="fr-FR"/>
              </w:rPr>
              <w:t>’</w:t>
            </w:r>
            <w:r w:rsidRPr="00653BF4">
              <w:rPr>
                <w:sz w:val="20"/>
                <w:szCs w:val="20"/>
                <w:lang w:val="fr-FR"/>
              </w:rPr>
              <w:t>incendie de forêt, facilitent l</w:t>
            </w:r>
            <w:r w:rsidR="00D77549">
              <w:rPr>
                <w:sz w:val="20"/>
                <w:szCs w:val="20"/>
                <w:lang w:val="fr-FR"/>
              </w:rPr>
              <w:t>’</w:t>
            </w:r>
            <w:r w:rsidRPr="00653BF4">
              <w:rPr>
                <w:sz w:val="20"/>
                <w:szCs w:val="20"/>
                <w:lang w:val="fr-FR"/>
              </w:rPr>
              <w:t>accès à l</w:t>
            </w:r>
            <w:r w:rsidR="00D77549">
              <w:rPr>
                <w:sz w:val="20"/>
                <w:szCs w:val="20"/>
                <w:lang w:val="fr-FR"/>
              </w:rPr>
              <w:t>’</w:t>
            </w:r>
            <w:r w:rsidRPr="00653BF4">
              <w:rPr>
                <w:sz w:val="20"/>
                <w:szCs w:val="20"/>
                <w:lang w:val="fr-FR"/>
              </w:rPr>
              <w:t>information ainsi que la prise de décision participative, et favorisent une culture de conservation et d</w:t>
            </w:r>
            <w:r w:rsidR="00D77549">
              <w:rPr>
                <w:sz w:val="20"/>
                <w:szCs w:val="20"/>
                <w:lang w:val="fr-FR"/>
              </w:rPr>
              <w:t>’</w:t>
            </w:r>
            <w:r w:rsidRPr="00653BF4">
              <w:rPr>
                <w:sz w:val="20"/>
                <w:szCs w:val="20"/>
                <w:lang w:val="fr-FR"/>
              </w:rPr>
              <w:t>utilisation durable de la biodiversité au Mexique. Le CONABIO fait également office d</w:t>
            </w:r>
            <w:r w:rsidR="00D77549">
              <w:rPr>
                <w:sz w:val="20"/>
                <w:szCs w:val="20"/>
                <w:lang w:val="fr-FR"/>
              </w:rPr>
              <w:t>’</w:t>
            </w:r>
            <w:r w:rsidRPr="00653BF4">
              <w:rPr>
                <w:sz w:val="20"/>
                <w:szCs w:val="20"/>
                <w:lang w:val="fr-FR"/>
              </w:rPr>
              <w:t>antenne nationale du GBIF, favorisant ainsi la collaboration régionale et mondiale en matière de données sur la biodiversité et d</w:t>
            </w:r>
            <w:r w:rsidR="00D77549">
              <w:rPr>
                <w:sz w:val="20"/>
                <w:szCs w:val="20"/>
                <w:lang w:val="fr-FR"/>
              </w:rPr>
              <w:t>’</w:t>
            </w:r>
            <w:r w:rsidRPr="00653BF4">
              <w:rPr>
                <w:sz w:val="20"/>
                <w:szCs w:val="20"/>
                <w:lang w:val="fr-FR"/>
              </w:rPr>
              <w:t>échange de connaissances. </w:t>
            </w:r>
          </w:p>
          <w:p w14:paraId="145E1057" w14:textId="08E3F165" w:rsidR="00B87039" w:rsidRPr="00653BF4" w:rsidRDefault="00B87039" w:rsidP="00557FB3">
            <w:pPr>
              <w:spacing w:after="160" w:line="278" w:lineRule="auto"/>
              <w:rPr>
                <w:sz w:val="20"/>
                <w:szCs w:val="20"/>
                <w:lang w:val="fr-FR"/>
              </w:rPr>
            </w:pPr>
            <w:r w:rsidRPr="00653BF4">
              <w:rPr>
                <w:sz w:val="20"/>
                <w:szCs w:val="20"/>
                <w:lang w:val="fr-FR"/>
              </w:rPr>
              <w:t>En parallèle, l</w:t>
            </w:r>
            <w:r w:rsidR="00D77549">
              <w:rPr>
                <w:sz w:val="20"/>
                <w:szCs w:val="20"/>
                <w:lang w:val="fr-FR"/>
              </w:rPr>
              <w:t>’</w:t>
            </w:r>
            <w:r w:rsidRPr="00653BF4">
              <w:rPr>
                <w:sz w:val="20"/>
                <w:szCs w:val="20"/>
                <w:lang w:val="fr-FR"/>
              </w:rPr>
              <w:t>Institut national des peuples autochtones du Mexique a conçu et lancé le Catalogue national des peuples et communautés autochtones et afro-mexicains, en 2024. Il s</w:t>
            </w:r>
            <w:r w:rsidR="00D77549">
              <w:rPr>
                <w:sz w:val="20"/>
                <w:szCs w:val="20"/>
                <w:lang w:val="fr-FR"/>
              </w:rPr>
              <w:t>’</w:t>
            </w:r>
            <w:r w:rsidRPr="00653BF4">
              <w:rPr>
                <w:sz w:val="20"/>
                <w:szCs w:val="20"/>
                <w:lang w:val="fr-FR"/>
              </w:rPr>
              <w:t>agit du premier instrument de politique publique intégrant des informations au niveau communautaire sur le territoire, la culture, l</w:t>
            </w:r>
            <w:r w:rsidR="00D77549">
              <w:rPr>
                <w:sz w:val="20"/>
                <w:szCs w:val="20"/>
                <w:lang w:val="fr-FR"/>
              </w:rPr>
              <w:t>’</w:t>
            </w:r>
            <w:r w:rsidRPr="00653BF4">
              <w:rPr>
                <w:sz w:val="20"/>
                <w:szCs w:val="20"/>
                <w:lang w:val="fr-FR"/>
              </w:rPr>
              <w:t xml:space="preserve">identité, les instances décisionnelles collectives et les systèmes réglementaires, ainsi que sur leur contexte économique et social. Ce catalogue constitue un outil essentiel permettant </w:t>
            </w:r>
            <w:r w:rsidRPr="00653BF4">
              <w:rPr>
                <w:sz w:val="20"/>
                <w:szCs w:val="20"/>
                <w:lang w:val="fr-FR"/>
              </w:rPr>
              <w:lastRenderedPageBreak/>
              <w:t>d’identifier les entités juridiques collectives et de faciliter la planification et la prise de décision concernant les processus de consultation, la mise en œuvre de projets et l’élaboration de politiques publiques adaptées au contexte culturel, afin de garantir l’exercice du droit à l’autodétermination et à l’autonomie.</w:t>
            </w:r>
          </w:p>
          <w:p w14:paraId="77A5A428" w14:textId="57196BE3" w:rsidR="00B87039" w:rsidRPr="00653BF4" w:rsidRDefault="00B87039" w:rsidP="00557FB3">
            <w:pPr>
              <w:rPr>
                <w:rFonts w:eastAsia="Aptos" w:cs="Aptos"/>
                <w:color w:val="000000" w:themeColor="text1"/>
                <w:sz w:val="20"/>
                <w:szCs w:val="20"/>
                <w:lang w:val="fr-FR"/>
              </w:rPr>
            </w:pPr>
            <w:r w:rsidRPr="00653BF4">
              <w:rPr>
                <w:i/>
                <w:iCs/>
                <w:color w:val="000000" w:themeColor="text1"/>
                <w:sz w:val="20"/>
                <w:szCs w:val="20"/>
                <w:lang w:val="fr-FR"/>
              </w:rPr>
              <w:t>Cibles concernées</w:t>
            </w:r>
            <w:r w:rsidR="00E34DC9">
              <w:rPr>
                <w:i/>
                <w:iCs/>
                <w:color w:val="000000" w:themeColor="text1"/>
                <w:sz w:val="20"/>
                <w:szCs w:val="20"/>
                <w:lang w:val="fr-FR"/>
              </w:rPr>
              <w:t> :</w:t>
            </w:r>
            <w:r w:rsidRPr="00653BF4">
              <w:rPr>
                <w:rFonts w:eastAsia="Aptos" w:cs="Aptos"/>
                <w:color w:val="000000" w:themeColor="text1"/>
                <w:sz w:val="20"/>
                <w:szCs w:val="20"/>
                <w:lang w:val="fr-FR"/>
              </w:rPr>
              <w:t xml:space="preserve"> 3, 4, 20, 21 et 22.</w:t>
            </w:r>
          </w:p>
          <w:p w14:paraId="28978878" w14:textId="6FF53DBE" w:rsidR="00B87039" w:rsidRPr="00653BF4" w:rsidRDefault="00B87039" w:rsidP="00557FB3">
            <w:pPr>
              <w:rPr>
                <w:color w:val="000000" w:themeColor="text1"/>
                <w:sz w:val="20"/>
                <w:szCs w:val="20"/>
                <w:lang w:val="fr-FR"/>
              </w:rPr>
            </w:pPr>
            <w:r w:rsidRPr="00653BF4">
              <w:rPr>
                <w:i/>
                <w:iCs/>
                <w:color w:val="000000" w:themeColor="text1"/>
                <w:sz w:val="20"/>
                <w:szCs w:val="20"/>
                <w:lang w:val="fr-FR"/>
              </w:rPr>
              <w:t>Source</w:t>
            </w:r>
            <w:r w:rsidR="00E34DC9">
              <w:rPr>
                <w:i/>
                <w:iCs/>
                <w:color w:val="000000" w:themeColor="text1"/>
                <w:sz w:val="20"/>
                <w:szCs w:val="20"/>
                <w:lang w:val="fr-FR"/>
              </w:rPr>
              <w:t> :</w:t>
            </w:r>
            <w:r w:rsidRPr="00653BF4">
              <w:rPr>
                <w:color w:val="000000" w:themeColor="text1"/>
                <w:sz w:val="20"/>
                <w:szCs w:val="20"/>
                <w:lang w:val="fr-FR"/>
              </w:rPr>
              <w:t xml:space="preserve"> Mexique, septième rapport national présenté au titre de la Convention.</w:t>
            </w:r>
          </w:p>
          <w:p w14:paraId="585B39D6" w14:textId="77777777" w:rsidR="00B87039" w:rsidRPr="00653BF4" w:rsidRDefault="00B87039" w:rsidP="00557FB3">
            <w:pPr>
              <w:rPr>
                <w:color w:val="000000" w:themeColor="text1"/>
                <w:lang w:val="fr-FR"/>
              </w:rPr>
            </w:pPr>
          </w:p>
          <w:p w14:paraId="3EC6A334" w14:textId="77777777" w:rsidR="00B87039" w:rsidRPr="00653BF4" w:rsidRDefault="00B87039" w:rsidP="00557FB3">
            <w:pPr>
              <w:rPr>
                <w:color w:val="000000" w:themeColor="text1"/>
                <w:sz w:val="18"/>
                <w:szCs w:val="18"/>
                <w:lang w:val="fr-FR"/>
              </w:rPr>
            </w:pPr>
            <w:r w:rsidRPr="00653BF4">
              <w:rPr>
                <w:color w:val="000000" w:themeColor="text1"/>
                <w:sz w:val="18"/>
                <w:szCs w:val="18"/>
                <w:vertAlign w:val="superscript"/>
                <w:lang w:val="fr-FR"/>
              </w:rPr>
              <w:t>a</w:t>
            </w:r>
            <w:r w:rsidRPr="00653BF4">
              <w:rPr>
                <w:color w:val="000000" w:themeColor="text1"/>
                <w:sz w:val="18"/>
                <w:szCs w:val="18"/>
                <w:lang w:val="fr-FR"/>
              </w:rPr>
              <w:t>Voir</w:t>
            </w:r>
            <w:r w:rsidRPr="00653BF4">
              <w:rPr>
                <w:sz w:val="18"/>
                <w:szCs w:val="18"/>
                <w:lang w:val="fr-FR"/>
              </w:rPr>
              <w:t xml:space="preserve"> </w:t>
            </w:r>
            <w:hyperlink r:id="rId209" w:history="1">
              <w:r w:rsidRPr="00653BF4">
                <w:rPr>
                  <w:rStyle w:val="Hyperlink"/>
                  <w:sz w:val="18"/>
                  <w:szCs w:val="18"/>
                  <w:lang w:val="fr-FR"/>
                </w:rPr>
                <w:t>www.snib.mx/</w:t>
              </w:r>
            </w:hyperlink>
            <w:r w:rsidRPr="00653BF4">
              <w:rPr>
                <w:sz w:val="18"/>
                <w:szCs w:val="18"/>
                <w:lang w:val="fr-FR"/>
              </w:rPr>
              <w:t>.</w:t>
            </w:r>
          </w:p>
          <w:p w14:paraId="656FE146" w14:textId="77777777" w:rsidR="00B87039" w:rsidRPr="00653BF4" w:rsidRDefault="00B87039" w:rsidP="00557FB3">
            <w:pPr>
              <w:rPr>
                <w:sz w:val="18"/>
                <w:szCs w:val="18"/>
                <w:lang w:val="fr-FR"/>
              </w:rPr>
            </w:pPr>
            <w:r w:rsidRPr="00653BF4">
              <w:rPr>
                <w:color w:val="000000" w:themeColor="text1"/>
                <w:sz w:val="18"/>
                <w:szCs w:val="18"/>
                <w:vertAlign w:val="superscript"/>
                <w:lang w:val="fr-FR"/>
              </w:rPr>
              <w:t>b</w:t>
            </w:r>
            <w:r w:rsidRPr="00653BF4">
              <w:rPr>
                <w:color w:val="000000" w:themeColor="text1"/>
                <w:sz w:val="18"/>
                <w:szCs w:val="18"/>
                <w:lang w:val="fr-FR"/>
              </w:rPr>
              <w:t xml:space="preserve">Voir </w:t>
            </w:r>
            <w:hyperlink r:id="rId210" w:history="1">
              <w:r w:rsidRPr="00653BF4">
                <w:rPr>
                  <w:rStyle w:val="Hyperlink"/>
                  <w:sz w:val="18"/>
                  <w:szCs w:val="18"/>
                  <w:lang w:val="fr-FR"/>
                </w:rPr>
                <w:t>www.gob.mx/conabio</w:t>
              </w:r>
            </w:hyperlink>
            <w:r w:rsidRPr="00653BF4">
              <w:rPr>
                <w:sz w:val="18"/>
                <w:szCs w:val="18"/>
                <w:lang w:val="fr-FR"/>
              </w:rPr>
              <w:t>.</w:t>
            </w:r>
          </w:p>
          <w:p w14:paraId="10221D0A" w14:textId="26EAD08A" w:rsidR="00B87039" w:rsidRPr="00653BF4" w:rsidRDefault="00B87039" w:rsidP="00557FB3">
            <w:pPr>
              <w:spacing w:after="160" w:line="278" w:lineRule="auto"/>
              <w:rPr>
                <w:sz w:val="18"/>
                <w:szCs w:val="18"/>
                <w:lang w:val="fr-FR"/>
              </w:rPr>
            </w:pPr>
            <w:r w:rsidRPr="00653BF4">
              <w:rPr>
                <w:color w:val="000000" w:themeColor="text1"/>
                <w:sz w:val="18"/>
                <w:szCs w:val="18"/>
                <w:vertAlign w:val="superscript"/>
                <w:lang w:val="fr-FR"/>
              </w:rPr>
              <w:t>c</w:t>
            </w:r>
            <w:r w:rsidRPr="00653BF4">
              <w:rPr>
                <w:sz w:val="18"/>
                <w:szCs w:val="18"/>
                <w:lang w:val="fr-FR"/>
              </w:rPr>
              <w:t>Disponible à l</w:t>
            </w:r>
            <w:r w:rsidR="00D77549">
              <w:rPr>
                <w:sz w:val="18"/>
                <w:szCs w:val="18"/>
                <w:lang w:val="fr-FR"/>
              </w:rPr>
              <w:t>’</w:t>
            </w:r>
            <w:r w:rsidRPr="00653BF4">
              <w:rPr>
                <w:sz w:val="18"/>
                <w:szCs w:val="18"/>
                <w:lang w:val="fr-FR"/>
              </w:rPr>
              <w:t xml:space="preserve">adresse </w:t>
            </w:r>
            <w:hyperlink r:id="rId211" w:history="1">
              <w:r w:rsidRPr="00653BF4">
                <w:rPr>
                  <w:rStyle w:val="Hyperlink"/>
                  <w:sz w:val="18"/>
                  <w:szCs w:val="18"/>
                  <w:lang w:val="fr-FR"/>
                </w:rPr>
                <w:t>https://catalogo.inpi.gob.mx/</w:t>
              </w:r>
            </w:hyperlink>
            <w:r w:rsidRPr="00653BF4">
              <w:rPr>
                <w:sz w:val="18"/>
                <w:szCs w:val="18"/>
                <w:lang w:val="fr-FR"/>
              </w:rPr>
              <w:t>.</w:t>
            </w:r>
          </w:p>
          <w:p w14:paraId="07C0BD9C" w14:textId="77777777" w:rsidR="00B87039" w:rsidRPr="00653BF4" w:rsidRDefault="00B87039" w:rsidP="00557FB3">
            <w:pPr>
              <w:rPr>
                <w:color w:val="000000" w:themeColor="text1"/>
                <w:sz w:val="18"/>
                <w:szCs w:val="18"/>
                <w:lang w:val="fr-FR"/>
              </w:rPr>
            </w:pPr>
          </w:p>
          <w:p w14:paraId="0836CD43" w14:textId="77777777" w:rsidR="00B87039" w:rsidRPr="00653BF4" w:rsidRDefault="00B87039" w:rsidP="00557FB3">
            <w:pPr>
              <w:rPr>
                <w:lang w:val="fr-FR"/>
              </w:rPr>
            </w:pPr>
          </w:p>
        </w:tc>
      </w:tr>
    </w:tbl>
    <w:p w14:paraId="2CF10C34" w14:textId="77777777" w:rsidR="00B87039" w:rsidRPr="00653BF4" w:rsidRDefault="00B87039" w:rsidP="00B87039">
      <w:pPr>
        <w:pStyle w:val="Heading6"/>
        <w:rPr>
          <w:lang w:val="fr-FR"/>
        </w:rPr>
      </w:pPr>
    </w:p>
    <w:p w14:paraId="366DF8F0"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209"/>
      </w:tblGrid>
      <w:tr w:rsidR="00B87039" w:rsidRPr="00543148" w14:paraId="3841A68B" w14:textId="77777777" w:rsidTr="00557FB3">
        <w:tc>
          <w:tcPr>
            <w:tcW w:w="9209" w:type="dxa"/>
            <w:shd w:val="clear" w:color="auto" w:fill="D1D1D1" w:themeFill="background2" w:themeFillShade="E6"/>
          </w:tcPr>
          <w:p w14:paraId="33F3E50E" w14:textId="77777777" w:rsidR="00B87039" w:rsidRPr="00653BF4" w:rsidRDefault="00B87039" w:rsidP="00557FB3">
            <w:pPr>
              <w:spacing w:after="240"/>
              <w:rPr>
                <w:sz w:val="20"/>
                <w:szCs w:val="20"/>
                <w:lang w:val="fr-FR"/>
              </w:rPr>
            </w:pPr>
            <w:r w:rsidRPr="00653BF4">
              <w:rPr>
                <w:sz w:val="20"/>
                <w:szCs w:val="20"/>
                <w:lang w:val="fr-FR"/>
              </w:rPr>
              <w:t>Encadré 50</w:t>
            </w:r>
          </w:p>
          <w:p w14:paraId="2EA72A12" w14:textId="0743E091" w:rsidR="00B87039" w:rsidRPr="00653BF4" w:rsidRDefault="00B87039" w:rsidP="00557FB3">
            <w:pPr>
              <w:spacing w:after="160" w:line="278" w:lineRule="auto"/>
              <w:rPr>
                <w:b/>
                <w:bCs/>
                <w:sz w:val="20"/>
                <w:szCs w:val="20"/>
                <w:lang w:val="fr-FR"/>
              </w:rPr>
            </w:pPr>
            <w:r w:rsidRPr="00653BF4">
              <w:rPr>
                <w:b/>
                <w:bCs/>
                <w:sz w:val="20"/>
                <w:szCs w:val="20"/>
                <w:lang w:val="fr-FR"/>
              </w:rPr>
              <w:t>Documentation des connaissances autochtones sur l</w:t>
            </w:r>
            <w:r w:rsidR="00D77549">
              <w:rPr>
                <w:b/>
                <w:bCs/>
                <w:sz w:val="20"/>
                <w:szCs w:val="20"/>
                <w:lang w:val="fr-FR"/>
              </w:rPr>
              <w:t>’</w:t>
            </w:r>
            <w:r w:rsidRPr="00653BF4">
              <w:rPr>
                <w:b/>
                <w:bCs/>
                <w:sz w:val="20"/>
                <w:szCs w:val="20"/>
                <w:lang w:val="fr-FR"/>
              </w:rPr>
              <w:t>élevage de rennes en Suède</w:t>
            </w:r>
          </w:p>
          <w:p w14:paraId="5E05C22A" w14:textId="3785B085" w:rsidR="00B87039" w:rsidRPr="00653BF4" w:rsidRDefault="00B87039" w:rsidP="00557FB3">
            <w:pPr>
              <w:spacing w:after="160" w:line="278" w:lineRule="auto"/>
              <w:rPr>
                <w:sz w:val="20"/>
                <w:szCs w:val="20"/>
                <w:lang w:val="fr-FR"/>
              </w:rPr>
            </w:pPr>
            <w:r w:rsidRPr="00653BF4">
              <w:rPr>
                <w:sz w:val="20"/>
                <w:szCs w:val="20"/>
                <w:lang w:val="fr-FR"/>
              </w:rPr>
              <w:t>Les communautés sâmes d</w:t>
            </w:r>
            <w:r w:rsidR="00D77549">
              <w:rPr>
                <w:sz w:val="20"/>
                <w:szCs w:val="20"/>
                <w:lang w:val="fr-FR"/>
              </w:rPr>
              <w:t>’</w:t>
            </w:r>
            <w:r w:rsidRPr="00653BF4">
              <w:rPr>
                <w:sz w:val="20"/>
                <w:szCs w:val="20"/>
                <w:lang w:val="fr-FR"/>
              </w:rPr>
              <w:t>éleveurs de rennes en Suède ont mis en place un référentiel officiel des connaissances autochtones qui garantit l</w:t>
            </w:r>
            <w:r w:rsidR="00D77549">
              <w:rPr>
                <w:sz w:val="20"/>
                <w:szCs w:val="20"/>
                <w:lang w:val="fr-FR"/>
              </w:rPr>
              <w:t>’</w:t>
            </w:r>
            <w:r w:rsidRPr="00653BF4">
              <w:rPr>
                <w:sz w:val="20"/>
                <w:szCs w:val="20"/>
                <w:lang w:val="fr-FR"/>
              </w:rPr>
              <w:t>accès libre et l</w:t>
            </w:r>
            <w:r w:rsidR="00D77549">
              <w:rPr>
                <w:sz w:val="20"/>
                <w:szCs w:val="20"/>
                <w:lang w:val="fr-FR"/>
              </w:rPr>
              <w:t>’</w:t>
            </w:r>
            <w:r w:rsidRPr="00653BF4">
              <w:rPr>
                <w:sz w:val="20"/>
                <w:szCs w:val="20"/>
                <w:lang w:val="fr-FR"/>
              </w:rPr>
              <w:t>exploitabilité des connaissances en matière de biodiversité. Élaborés et gérés sous la coordination technique du Parlement sâme, les plans d</w:t>
            </w:r>
            <w:r w:rsidR="00D77549">
              <w:rPr>
                <w:sz w:val="20"/>
                <w:szCs w:val="20"/>
                <w:lang w:val="fr-FR"/>
              </w:rPr>
              <w:t>’</w:t>
            </w:r>
            <w:r w:rsidRPr="00653BF4">
              <w:rPr>
                <w:sz w:val="20"/>
                <w:szCs w:val="20"/>
                <w:lang w:val="fr-FR"/>
              </w:rPr>
              <w:t>élevage de rennes organisent des générations de connaissances écologiques traditionnelles sous forme de documents d</w:t>
            </w:r>
            <w:r w:rsidR="00D77549">
              <w:rPr>
                <w:sz w:val="20"/>
                <w:szCs w:val="20"/>
                <w:lang w:val="fr-FR"/>
              </w:rPr>
              <w:t>’</w:t>
            </w:r>
            <w:r w:rsidRPr="00653BF4">
              <w:rPr>
                <w:sz w:val="20"/>
                <w:szCs w:val="20"/>
                <w:lang w:val="fr-FR"/>
              </w:rPr>
              <w:t>aménagement du territoire standardisés et accessibles au public, destinés aux écosystèmes montagneux boréaux du nord du Sápmi (le territoire traditionnel du peuple sâme). Parmi les principales parties prenantes figurent les villages de bergers sâmes, les chercheurs locaux, le gouvernement de Suède, les agences forestières et les entreprises minières. Cette initiative fait l</w:t>
            </w:r>
            <w:r w:rsidR="00D77549">
              <w:rPr>
                <w:sz w:val="20"/>
                <w:szCs w:val="20"/>
                <w:lang w:val="fr-FR"/>
              </w:rPr>
              <w:t>’</w:t>
            </w:r>
            <w:r w:rsidRPr="00653BF4">
              <w:rPr>
                <w:sz w:val="20"/>
                <w:szCs w:val="20"/>
                <w:lang w:val="fr-FR"/>
              </w:rPr>
              <w:t>objet de mises à jour régulières et est appliquée dans le cadre des procédures courantes de gestion des terres.</w:t>
            </w:r>
          </w:p>
          <w:p w14:paraId="1DF6A5FE" w14:textId="2819ED13" w:rsidR="00B87039" w:rsidRPr="00653BF4" w:rsidRDefault="00B87039" w:rsidP="00557FB3">
            <w:pPr>
              <w:spacing w:after="160" w:line="278" w:lineRule="auto"/>
              <w:rPr>
                <w:sz w:val="20"/>
                <w:szCs w:val="20"/>
                <w:lang w:val="fr-FR"/>
              </w:rPr>
            </w:pPr>
            <w:r w:rsidRPr="00653BF4">
              <w:rPr>
                <w:sz w:val="20"/>
                <w:szCs w:val="20"/>
                <w:lang w:val="fr-FR"/>
              </w:rPr>
              <w:t>Pendant des siècles, les connaissances écologiques traditionnelles des Sâmes concernant les rennes et les habitats locaux n</w:t>
            </w:r>
            <w:r w:rsidR="00D77549">
              <w:rPr>
                <w:sz w:val="20"/>
                <w:szCs w:val="20"/>
                <w:lang w:val="fr-FR"/>
              </w:rPr>
              <w:t>’</w:t>
            </w:r>
            <w:r w:rsidRPr="00653BF4">
              <w:rPr>
                <w:sz w:val="20"/>
                <w:szCs w:val="20"/>
                <w:lang w:val="fr-FR"/>
              </w:rPr>
              <w:t>ont été transmis que par la tradition orale et à travers des documents locaux dispersés. Ces connaissances fragmentées étaient rarement accessibles aux responsables de la planification publique, aux acteurs du secteur industriel ou aux professionnels externes de la conservation, ce qui créait des lacunes critiques en matière d</w:t>
            </w:r>
            <w:r w:rsidR="00D77549">
              <w:rPr>
                <w:sz w:val="20"/>
                <w:szCs w:val="20"/>
                <w:lang w:val="fr-FR"/>
              </w:rPr>
              <w:t>’</w:t>
            </w:r>
            <w:r w:rsidRPr="00653BF4">
              <w:rPr>
                <w:sz w:val="20"/>
                <w:szCs w:val="20"/>
                <w:lang w:val="fr-FR"/>
              </w:rPr>
              <w:t>information qui entravaient la prise de décisions équilibrées concernant la biodiversité et l</w:t>
            </w:r>
            <w:r w:rsidR="00D77549">
              <w:rPr>
                <w:sz w:val="20"/>
                <w:szCs w:val="20"/>
                <w:lang w:val="fr-FR"/>
              </w:rPr>
              <w:t>’</w:t>
            </w:r>
            <w:r w:rsidRPr="00653BF4">
              <w:rPr>
                <w:sz w:val="20"/>
                <w:szCs w:val="20"/>
                <w:lang w:val="fr-FR"/>
              </w:rPr>
              <w:t>utilisation des sols. Le cadre du plan d</w:t>
            </w:r>
            <w:r w:rsidR="00D77549">
              <w:rPr>
                <w:sz w:val="20"/>
                <w:szCs w:val="20"/>
                <w:lang w:val="fr-FR"/>
              </w:rPr>
              <w:t>’</w:t>
            </w:r>
            <w:r w:rsidRPr="00653BF4">
              <w:rPr>
                <w:sz w:val="20"/>
                <w:szCs w:val="20"/>
                <w:lang w:val="fr-FR"/>
              </w:rPr>
              <w:t>élevage des rennes a été élaboré afin de décrire l</w:t>
            </w:r>
            <w:r w:rsidR="00D77549">
              <w:rPr>
                <w:sz w:val="20"/>
                <w:szCs w:val="20"/>
                <w:lang w:val="fr-FR"/>
              </w:rPr>
              <w:t>’</w:t>
            </w:r>
            <w:r w:rsidRPr="00653BF4">
              <w:rPr>
                <w:sz w:val="20"/>
                <w:szCs w:val="20"/>
                <w:lang w:val="fr-FR"/>
              </w:rPr>
              <w:t>utilisation des sols par les communautés sâmes et de systématiser le savoir-faire autochtone sous la forme de documents consultables et géoréférencés, permettant ainsi aux autres acteurs impliqués dans l</w:t>
            </w:r>
            <w:r w:rsidR="00D77549">
              <w:rPr>
                <w:sz w:val="20"/>
                <w:szCs w:val="20"/>
                <w:lang w:val="fr-FR"/>
              </w:rPr>
              <w:t>’</w:t>
            </w:r>
            <w:r w:rsidRPr="00653BF4">
              <w:rPr>
                <w:sz w:val="20"/>
                <w:szCs w:val="20"/>
                <w:lang w:val="fr-FR"/>
              </w:rPr>
              <w:t>utilisation des sols de mieux comprendre les besoins liés à l</w:t>
            </w:r>
            <w:r w:rsidR="00D77549">
              <w:rPr>
                <w:sz w:val="20"/>
                <w:szCs w:val="20"/>
                <w:lang w:val="fr-FR"/>
              </w:rPr>
              <w:t>’</w:t>
            </w:r>
            <w:r w:rsidRPr="00653BF4">
              <w:rPr>
                <w:sz w:val="20"/>
                <w:szCs w:val="20"/>
                <w:lang w:val="fr-FR"/>
              </w:rPr>
              <w:t>élevage des rennes.</w:t>
            </w:r>
          </w:p>
          <w:p w14:paraId="1A4AC7DC" w14:textId="078E6571" w:rsidR="00B87039" w:rsidRPr="00653BF4" w:rsidRDefault="00B87039" w:rsidP="00557FB3">
            <w:pPr>
              <w:spacing w:after="160" w:line="278" w:lineRule="auto"/>
              <w:rPr>
                <w:sz w:val="20"/>
                <w:szCs w:val="20"/>
                <w:lang w:val="fr-FR"/>
              </w:rPr>
            </w:pPr>
            <w:r w:rsidRPr="00653BF4">
              <w:rPr>
                <w:sz w:val="20"/>
                <w:szCs w:val="20"/>
                <w:lang w:val="fr-FR"/>
              </w:rPr>
              <w:t>Parmi les principales activités figurent les opérations de cartographie menées par les communautés, dans le cadre desquelles les éleveurs décident du découpage des pâturages et réalisent des inventaires sur le terrain. Les connaissances relatives, par exemple, aux zones de pâturage saisonnières, à la répartition de la flore et aux sites d</w:t>
            </w:r>
            <w:r w:rsidR="00D77549">
              <w:rPr>
                <w:sz w:val="20"/>
                <w:szCs w:val="20"/>
                <w:lang w:val="fr-FR"/>
              </w:rPr>
              <w:t>’</w:t>
            </w:r>
            <w:r w:rsidRPr="00653BF4">
              <w:rPr>
                <w:sz w:val="20"/>
                <w:szCs w:val="20"/>
                <w:lang w:val="fr-FR"/>
              </w:rPr>
              <w:t xml:space="preserve">importance culturelle sont consignées et gérées par les communautés sâmes elles-mêmes. Un outil en ligne a été mis au point pour accompagner ces activités. Toutes les observations des peuples autochtones sont rassemblées dans des archives centralisées gérées par le Parlement sâme. Ces documents sont mis à la disposition des organismes publics, des </w:t>
            </w:r>
            <w:r w:rsidRPr="00653BF4">
              <w:rPr>
                <w:sz w:val="20"/>
                <w:szCs w:val="20"/>
                <w:lang w:val="fr-FR"/>
              </w:rPr>
              <w:lastRenderedPageBreak/>
              <w:t>concepteurs et du grand public dans le cadre de procédures telles que l</w:t>
            </w:r>
            <w:r w:rsidR="00D77549">
              <w:rPr>
                <w:sz w:val="20"/>
                <w:szCs w:val="20"/>
                <w:lang w:val="fr-FR"/>
              </w:rPr>
              <w:t>’</w:t>
            </w:r>
            <w:r w:rsidRPr="00653BF4">
              <w:rPr>
                <w:sz w:val="20"/>
                <w:szCs w:val="20"/>
                <w:lang w:val="fr-FR"/>
              </w:rPr>
              <w:t>aménagement du territoire, la délimitation des aires protégées et l</w:t>
            </w:r>
            <w:r w:rsidR="00D77549">
              <w:rPr>
                <w:sz w:val="20"/>
                <w:szCs w:val="20"/>
                <w:lang w:val="fr-FR"/>
              </w:rPr>
              <w:t>’</w:t>
            </w:r>
            <w:r w:rsidRPr="00653BF4">
              <w:rPr>
                <w:sz w:val="20"/>
                <w:szCs w:val="20"/>
                <w:lang w:val="fr-FR"/>
              </w:rPr>
              <w:t>évaluation des répercussions, et constituent ainsi une source officielle reconnue de données sur la biodiversité locale.</w:t>
            </w:r>
          </w:p>
          <w:p w14:paraId="41E1FA72" w14:textId="4F50E352" w:rsidR="00B87039" w:rsidRPr="00653BF4" w:rsidRDefault="00B87039" w:rsidP="00557FB3">
            <w:pPr>
              <w:spacing w:after="160" w:line="278" w:lineRule="auto"/>
              <w:rPr>
                <w:sz w:val="20"/>
                <w:szCs w:val="20"/>
                <w:lang w:val="fr-FR"/>
              </w:rPr>
            </w:pPr>
            <w:r w:rsidRPr="00653BF4">
              <w:rPr>
                <w:sz w:val="20"/>
                <w:szCs w:val="20"/>
                <w:lang w:val="fr-FR"/>
              </w:rPr>
              <w:t>Concrètement, cela signifie que les connaissances intergénérationnelles autochtones sur la biodiversité ont été transformées en informations structurées et facilement accessibles. Les responsables de la planification intègrent désormais les données écologiques des Sâmes dans les plans d</w:t>
            </w:r>
            <w:r w:rsidR="00D77549">
              <w:rPr>
                <w:sz w:val="20"/>
                <w:szCs w:val="20"/>
                <w:lang w:val="fr-FR"/>
              </w:rPr>
              <w:t>’</w:t>
            </w:r>
            <w:r w:rsidRPr="00653BF4">
              <w:rPr>
                <w:sz w:val="20"/>
                <w:szCs w:val="20"/>
                <w:lang w:val="fr-FR"/>
              </w:rPr>
              <w:t>action et de suivi nationaux et régionaux sur la biodiversité, comblant ainsi les lacunes relatives à la gestion des écosystèmes boréaux. Ce modèle montre que les référentiels de connaissances autochtones structurés peuvent contribuer à un accès transparent et inclusif aux informations sur la biodiversité, qui orientent les mesures concrètes en matière de conservation et d</w:t>
            </w:r>
            <w:r w:rsidR="00D77549">
              <w:rPr>
                <w:sz w:val="20"/>
                <w:szCs w:val="20"/>
                <w:lang w:val="fr-FR"/>
              </w:rPr>
              <w:t>’</w:t>
            </w:r>
            <w:r w:rsidRPr="00653BF4">
              <w:rPr>
                <w:sz w:val="20"/>
                <w:szCs w:val="20"/>
                <w:lang w:val="fr-FR"/>
              </w:rPr>
              <w:t>utilisation des sols.</w:t>
            </w:r>
          </w:p>
          <w:p w14:paraId="1551B1BF" w14:textId="1631852B" w:rsidR="00B87039" w:rsidRPr="00653BF4" w:rsidRDefault="00B87039" w:rsidP="00557FB3">
            <w:pPr>
              <w:spacing w:after="240"/>
              <w:rPr>
                <w:rFonts w:eastAsia="Aptos" w:cs="Aptos"/>
                <w:color w:val="000000" w:themeColor="text1"/>
                <w:sz w:val="20"/>
                <w:szCs w:val="20"/>
                <w:lang w:val="fr-FR"/>
              </w:rPr>
            </w:pPr>
            <w:r w:rsidRPr="00653BF4">
              <w:rPr>
                <w:rFonts w:eastAsia="Aptos" w:cs="Aptos"/>
                <w:i/>
                <w:iCs/>
                <w:color w:val="000000" w:themeColor="text1"/>
                <w:sz w:val="20"/>
                <w:szCs w:val="20"/>
                <w:lang w:val="fr-FR"/>
              </w:rPr>
              <w:t>Cibles concernées</w:t>
            </w:r>
            <w:r w:rsidR="00E34DC9">
              <w:rPr>
                <w:rFonts w:eastAsia="Aptos" w:cs="Aptos"/>
                <w:i/>
                <w:iCs/>
                <w:color w:val="000000" w:themeColor="text1"/>
                <w:sz w:val="20"/>
                <w:szCs w:val="20"/>
                <w:lang w:val="fr-FR"/>
              </w:rPr>
              <w:t> :</w:t>
            </w:r>
            <w:r w:rsidRPr="00653BF4">
              <w:rPr>
                <w:rFonts w:eastAsia="Aptos" w:cs="Aptos"/>
                <w:i/>
                <w:iCs/>
                <w:color w:val="000000" w:themeColor="text1"/>
                <w:sz w:val="20"/>
                <w:szCs w:val="20"/>
                <w:lang w:val="fr-FR"/>
              </w:rPr>
              <w:t xml:space="preserve"> </w:t>
            </w:r>
            <w:r w:rsidRPr="00653BF4">
              <w:rPr>
                <w:rFonts w:eastAsia="Aptos" w:cs="Aptos"/>
                <w:color w:val="000000" w:themeColor="text1"/>
                <w:sz w:val="20"/>
                <w:szCs w:val="20"/>
                <w:lang w:val="fr-FR"/>
              </w:rPr>
              <w:t>1, 10, 11, 14, 21 et 22.</w:t>
            </w:r>
          </w:p>
          <w:p w14:paraId="7A1CA70D" w14:textId="0386615D" w:rsidR="00B87039" w:rsidRPr="00653BF4" w:rsidRDefault="00B87039" w:rsidP="00557FB3">
            <w:pPr>
              <w:spacing w:after="240"/>
              <w:rPr>
                <w:sz w:val="22"/>
                <w:szCs w:val="22"/>
                <w:lang w:val="fr-FR"/>
              </w:rPr>
            </w:pPr>
            <w:r w:rsidRPr="00653BF4">
              <w:rPr>
                <w:i/>
                <w:iCs/>
                <w:sz w:val="20"/>
                <w:szCs w:val="20"/>
                <w:lang w:val="fr-FR"/>
              </w:rPr>
              <w:t>Source</w:t>
            </w:r>
            <w:r w:rsidR="00E34DC9">
              <w:rPr>
                <w:i/>
                <w:iCs/>
                <w:sz w:val="20"/>
                <w:szCs w:val="20"/>
                <w:lang w:val="fr-FR"/>
              </w:rPr>
              <w:t> :</w:t>
            </w:r>
            <w:r w:rsidRPr="00653BF4">
              <w:rPr>
                <w:i/>
                <w:iCs/>
                <w:sz w:val="20"/>
                <w:szCs w:val="20"/>
                <w:lang w:val="fr-FR"/>
              </w:rPr>
              <w:t xml:space="preserve"> </w:t>
            </w:r>
            <w:r w:rsidRPr="00653BF4">
              <w:rPr>
                <w:sz w:val="20"/>
                <w:szCs w:val="20"/>
                <w:lang w:val="fr-FR"/>
              </w:rPr>
              <w:t>Ministère du climat et des entreprises, administrations publiques suédoises, 2025.</w:t>
            </w:r>
          </w:p>
        </w:tc>
      </w:tr>
    </w:tbl>
    <w:p w14:paraId="499EF00C" w14:textId="77777777" w:rsidR="00B87039" w:rsidRPr="00653BF4" w:rsidRDefault="00B87039" w:rsidP="00B87039">
      <w:pPr>
        <w:rPr>
          <w:lang w:val="fr-FR"/>
        </w:rPr>
      </w:pPr>
    </w:p>
    <w:p w14:paraId="716BD61F" w14:textId="77777777" w:rsidR="00B87039" w:rsidRPr="00653BF4" w:rsidRDefault="00B87039" w:rsidP="00B87039">
      <w:pPr>
        <w:pStyle w:val="Heading6"/>
        <w:rPr>
          <w:lang w:val="fr-FR"/>
        </w:rPr>
      </w:pPr>
      <w:bookmarkStart w:id="418" w:name="_Toc235821312"/>
      <w:r w:rsidRPr="00653BF4">
        <w:rPr>
          <w:lang w:val="fr-FR"/>
        </w:rPr>
        <w:t>Difficultés</w:t>
      </w:r>
      <w:bookmarkEnd w:id="418"/>
    </w:p>
    <w:p w14:paraId="51025454" w14:textId="53AF4CD6" w:rsidR="00B87039" w:rsidRPr="00653BF4" w:rsidRDefault="00B87039" w:rsidP="00B87039">
      <w:pPr>
        <w:rPr>
          <w:lang w:val="fr-FR"/>
        </w:rPr>
      </w:pPr>
      <w:r w:rsidRPr="00653BF4">
        <w:rPr>
          <w:lang w:val="fr-FR"/>
        </w:rPr>
        <w:t xml:space="preserve">La fragmentation des données, également appelée </w:t>
      </w:r>
      <w:r w:rsidR="00E34DC9">
        <w:rPr>
          <w:lang w:val="fr-FR"/>
        </w:rPr>
        <w:t>« </w:t>
      </w:r>
      <w:r w:rsidRPr="00653BF4">
        <w:rPr>
          <w:lang w:val="fr-FR"/>
        </w:rPr>
        <w:t>cloisonnement des données</w:t>
      </w:r>
      <w:r w:rsidR="00E34DC9">
        <w:rPr>
          <w:lang w:val="fr-FR"/>
        </w:rPr>
        <w:t> »</w:t>
      </w:r>
      <w:r w:rsidRPr="00653BF4">
        <w:rPr>
          <w:lang w:val="fr-FR"/>
        </w:rPr>
        <w:t xml:space="preserve">, constitue une difficulté souvent évoquée dans le cadre de la mise en œuvre de la </w:t>
      </w:r>
      <w:r w:rsidR="00E34DC9">
        <w:rPr>
          <w:lang w:val="fr-FR"/>
        </w:rPr>
        <w:t>cible 2</w:t>
      </w:r>
      <w:r w:rsidRPr="00653BF4">
        <w:rPr>
          <w:lang w:val="fr-FR"/>
        </w:rPr>
        <w:t>1. De nombreuses Parties, dans toutes les régions et tous les groupes de revenus, signalent que les données sur la biodiversité sont dispersées entre plusieurs institutions, plateformes et secteurs, qui utilisent des normes incompatibles. Le manque d</w:t>
      </w:r>
      <w:r w:rsidR="00D77549">
        <w:rPr>
          <w:lang w:val="fr-FR"/>
        </w:rPr>
        <w:t>’</w:t>
      </w:r>
      <w:r w:rsidRPr="00653BF4">
        <w:rPr>
          <w:lang w:val="fr-FR"/>
        </w:rPr>
        <w:t>interopérabilité entre les systèmes est considéré comme un obstacle à une utilisation rapide et cohérente des informations dans le cadre de la prise de décision.</w:t>
      </w:r>
      <w:r w:rsidRPr="00653BF4">
        <w:rPr>
          <w:rFonts w:eastAsia="Aptos" w:cs="Aptos"/>
          <w:lang w:val="fr-FR"/>
        </w:rPr>
        <w:t xml:space="preserve"> Un financement insuffisant est également signalé, les Parties de toutes les régions faisant état d</w:t>
      </w:r>
      <w:r w:rsidR="00D77549">
        <w:rPr>
          <w:rFonts w:eastAsia="Aptos" w:cs="Aptos"/>
          <w:lang w:val="fr-FR"/>
        </w:rPr>
        <w:t>’</w:t>
      </w:r>
      <w:r w:rsidRPr="00653BF4">
        <w:rPr>
          <w:rFonts w:eastAsia="Aptos" w:cs="Aptos"/>
          <w:lang w:val="fr-FR"/>
        </w:rPr>
        <w:t>un manque d</w:t>
      </w:r>
      <w:r w:rsidR="00D77549">
        <w:rPr>
          <w:rFonts w:eastAsia="Aptos" w:cs="Aptos"/>
          <w:lang w:val="fr-FR"/>
        </w:rPr>
        <w:t>’</w:t>
      </w:r>
      <w:r w:rsidRPr="00653BF4">
        <w:rPr>
          <w:rFonts w:eastAsia="Aptos" w:cs="Aptos"/>
          <w:lang w:val="fr-FR"/>
        </w:rPr>
        <w:t>investissements durables destinés à soutenir les systèmes de données, le renforcement des capacités et les programmes de suivi à long terme.</w:t>
      </w:r>
      <w:r w:rsidRPr="00653BF4">
        <w:rPr>
          <w:lang w:val="fr-FR"/>
        </w:rPr>
        <w:t xml:space="preserve"> Le manque de ressources humaines et techniques en matière de gestion des données, d</w:t>
      </w:r>
      <w:r w:rsidR="00D77549">
        <w:rPr>
          <w:lang w:val="fr-FR"/>
        </w:rPr>
        <w:t>’</w:t>
      </w:r>
      <w:r w:rsidRPr="00653BF4">
        <w:rPr>
          <w:lang w:val="fr-FR"/>
        </w:rPr>
        <w:t>applications d</w:t>
      </w:r>
      <w:r w:rsidR="00D77549">
        <w:rPr>
          <w:lang w:val="fr-FR"/>
        </w:rPr>
        <w:t>’</w:t>
      </w:r>
      <w:r w:rsidRPr="00653BF4">
        <w:rPr>
          <w:lang w:val="fr-FR"/>
        </w:rPr>
        <w:t>intelligence artificielle et d</w:t>
      </w:r>
      <w:r w:rsidR="00D77549">
        <w:rPr>
          <w:lang w:val="fr-FR"/>
        </w:rPr>
        <w:t>’</w:t>
      </w:r>
      <w:r w:rsidRPr="00653BF4">
        <w:rPr>
          <w:lang w:val="fr-FR"/>
        </w:rPr>
        <w:t>élaboration d</w:t>
      </w:r>
      <w:r w:rsidR="00D77549">
        <w:rPr>
          <w:lang w:val="fr-FR"/>
        </w:rPr>
        <w:t>’</w:t>
      </w:r>
      <w:r w:rsidRPr="00653BF4">
        <w:rPr>
          <w:lang w:val="fr-FR"/>
        </w:rPr>
        <w:t>indicateurs est également largement cité comme un obstacle. L</w:t>
      </w:r>
      <w:r w:rsidR="00D77549">
        <w:rPr>
          <w:lang w:val="fr-FR"/>
        </w:rPr>
        <w:t>’</w:t>
      </w:r>
      <w:r w:rsidRPr="00653BF4">
        <w:rPr>
          <w:lang w:val="fr-FR"/>
        </w:rPr>
        <w:t>absence ou l</w:t>
      </w:r>
      <w:r w:rsidR="00D77549">
        <w:rPr>
          <w:lang w:val="fr-FR"/>
        </w:rPr>
        <w:t>’</w:t>
      </w:r>
      <w:r w:rsidRPr="00653BF4">
        <w:rPr>
          <w:lang w:val="fr-FR"/>
        </w:rPr>
        <w:t>application incohérente des cadres relatifs au consentement préalable, donné librement et en connaissance de cause constitue un obstacle majeur à la mise en œuvre dans les pays comptant une part importante de populations issues des peuples autochtones et communautés locales. Plusieurs Parties indiquent que la sensibilisation du public au déclin de la biodiversité ne correspond pas aux évaluations scientifiques, et un petit nombre d</w:t>
      </w:r>
      <w:r w:rsidR="00D77549">
        <w:rPr>
          <w:lang w:val="fr-FR"/>
        </w:rPr>
        <w:t>’</w:t>
      </w:r>
      <w:r w:rsidRPr="00653BF4">
        <w:rPr>
          <w:lang w:val="fr-FR"/>
        </w:rPr>
        <w:t xml:space="preserve">entre elles signalent que des conflits ou des crises ont gravement perturbé la collecte de données et la gestion des connaissances. </w:t>
      </w:r>
      <w:r w:rsidRPr="00653BF4">
        <w:rPr>
          <w:rFonts w:eastAsia="Aptos" w:cs="Aptos"/>
          <w:lang w:val="fr-FR"/>
        </w:rPr>
        <w:t>Les Parties soulignent également que l</w:t>
      </w:r>
      <w:r w:rsidR="00D77549">
        <w:rPr>
          <w:rFonts w:eastAsia="Aptos" w:cs="Aptos"/>
          <w:lang w:val="fr-FR"/>
        </w:rPr>
        <w:t>’</w:t>
      </w:r>
      <w:r w:rsidRPr="00653BF4">
        <w:rPr>
          <w:rFonts w:eastAsia="Aptos" w:cs="Aptos"/>
          <w:lang w:val="fr-FR"/>
        </w:rPr>
        <w:t>absence de plateformes numériques centralisées et le développement limité des outils d</w:t>
      </w:r>
      <w:r w:rsidR="00D77549">
        <w:rPr>
          <w:rFonts w:eastAsia="Aptos" w:cs="Aptos"/>
          <w:lang w:val="fr-FR"/>
        </w:rPr>
        <w:t>’</w:t>
      </w:r>
      <w:r w:rsidRPr="00653BF4">
        <w:rPr>
          <w:rFonts w:eastAsia="Aptos" w:cs="Aptos"/>
          <w:lang w:val="fr-FR"/>
        </w:rPr>
        <w:t>intelligence artificielle constituent des obstacles à l</w:t>
      </w:r>
      <w:r w:rsidR="00D77549">
        <w:rPr>
          <w:rFonts w:eastAsia="Aptos" w:cs="Aptos"/>
          <w:lang w:val="fr-FR"/>
        </w:rPr>
        <w:t>’</w:t>
      </w:r>
      <w:r w:rsidRPr="00653BF4">
        <w:rPr>
          <w:rFonts w:eastAsia="Aptos" w:cs="Aptos"/>
          <w:lang w:val="fr-FR"/>
        </w:rPr>
        <w:t>accessibilité et à l</w:t>
      </w:r>
      <w:r w:rsidR="00D77549">
        <w:rPr>
          <w:rFonts w:eastAsia="Aptos" w:cs="Aptos"/>
          <w:lang w:val="fr-FR"/>
        </w:rPr>
        <w:t>’</w:t>
      </w:r>
      <w:r w:rsidRPr="00653BF4">
        <w:rPr>
          <w:rFonts w:eastAsia="Aptos" w:cs="Aptos"/>
          <w:lang w:val="fr-FR"/>
        </w:rPr>
        <w:t>exploitabilité des données sur la biodiversité pour les décideurs.</w:t>
      </w:r>
    </w:p>
    <w:p w14:paraId="6169F819" w14:textId="77777777" w:rsidR="00B87039" w:rsidRPr="00653BF4" w:rsidRDefault="00B87039" w:rsidP="00B87039">
      <w:pPr>
        <w:rPr>
          <w:lang w:val="fr-FR"/>
        </w:rPr>
      </w:pPr>
    </w:p>
    <w:p w14:paraId="395FD244" w14:textId="72BCFD52" w:rsidR="00B87039" w:rsidRPr="00653BF4" w:rsidRDefault="00B87039" w:rsidP="00B87039">
      <w:pPr>
        <w:pStyle w:val="Heading5"/>
        <w:rPr>
          <w:lang w:val="fr-FR"/>
        </w:rPr>
      </w:pPr>
      <w:bookmarkStart w:id="419" w:name="_Toc235821313"/>
      <w:r w:rsidRPr="00653BF4">
        <w:rPr>
          <w:lang w:val="fr-FR"/>
        </w:rPr>
        <w:lastRenderedPageBreak/>
        <w:t>Contributions provenant d</w:t>
      </w:r>
      <w:r w:rsidR="00D77549">
        <w:rPr>
          <w:lang w:val="fr-FR"/>
        </w:rPr>
        <w:t>’</w:t>
      </w:r>
      <w:r w:rsidRPr="00653BF4">
        <w:rPr>
          <w:lang w:val="fr-FR"/>
        </w:rPr>
        <w:t>acteurs autres que les gouvernements nationaux</w:t>
      </w:r>
      <w:bookmarkEnd w:id="419"/>
    </w:p>
    <w:p w14:paraId="2C1245DC" w14:textId="77777777" w:rsidR="00B87039" w:rsidRPr="00653BF4" w:rsidRDefault="00B87039" w:rsidP="00B87039">
      <w:pPr>
        <w:pStyle w:val="Heading6"/>
        <w:rPr>
          <w:lang w:val="fr-FR"/>
        </w:rPr>
      </w:pPr>
      <w:bookmarkStart w:id="420" w:name="_Toc235821314"/>
    </w:p>
    <w:p w14:paraId="540EC384" w14:textId="62E948B8" w:rsidR="00B87039" w:rsidRPr="00653BF4" w:rsidRDefault="00B87039" w:rsidP="00B87039">
      <w:pPr>
        <w:pStyle w:val="Heading6"/>
        <w:rPr>
          <w:lang w:val="fr-FR"/>
        </w:rPr>
      </w:pPr>
      <w:r w:rsidRPr="00653BF4">
        <w:rPr>
          <w:lang w:val="fr-FR"/>
        </w:rPr>
        <w:t>Engagements communiqués directement via l</w:t>
      </w:r>
      <w:r w:rsidR="00D77549">
        <w:rPr>
          <w:lang w:val="fr-FR"/>
        </w:rPr>
        <w:t>’</w:t>
      </w:r>
      <w:r w:rsidRPr="00653BF4">
        <w:rPr>
          <w:lang w:val="fr-FR"/>
        </w:rPr>
        <w:t>outil de présentation des rapports en ligne</w:t>
      </w:r>
      <w:bookmarkEnd w:id="420"/>
    </w:p>
    <w:p w14:paraId="556F7A71" w14:textId="77777777" w:rsidR="00B87039" w:rsidRPr="00653BF4" w:rsidRDefault="00B87039" w:rsidP="00B87039">
      <w:pPr>
        <w:rPr>
          <w:lang w:val="fr-FR"/>
        </w:rPr>
      </w:pPr>
    </w:p>
    <w:p w14:paraId="30B91293" w14:textId="7BC15205" w:rsidR="00B87039" w:rsidRPr="00653BF4" w:rsidRDefault="00B87039" w:rsidP="00B87039">
      <w:pPr>
        <w:rPr>
          <w:lang w:val="fr-FR"/>
        </w:rPr>
      </w:pPr>
      <w:r w:rsidRPr="00653BF4">
        <w:rPr>
          <w:lang w:val="fr-FR"/>
        </w:rPr>
        <w:t xml:space="preserve">Sur les 180 engagements de fond présentés par des acteurs autres que les gouvernements nationaux, 10 concernent principalement la </w:t>
      </w:r>
      <w:r w:rsidR="00E34DC9">
        <w:rPr>
          <w:lang w:val="fr-FR"/>
        </w:rPr>
        <w:t>cible 2</w:t>
      </w:r>
      <w:r w:rsidRPr="00653BF4">
        <w:rPr>
          <w:lang w:val="fr-FR"/>
        </w:rPr>
        <w:t>1. Parmi eux, 7 ont été soumis par des organisations non gouvernementales, 2 par des organisations de jeunesse et 1 par un établissement de recherche. Tous ces engagements concernent les données et les connaissances, et plusieurs d</w:t>
      </w:r>
      <w:r w:rsidR="00D77549">
        <w:rPr>
          <w:lang w:val="fr-FR"/>
        </w:rPr>
        <w:t>’</w:t>
      </w:r>
      <w:r w:rsidRPr="00653BF4">
        <w:rPr>
          <w:lang w:val="fr-FR"/>
        </w:rPr>
        <w:t>entre eux impliquent une collaboration avec les jeunes afin de favoriser la sensibilisation et l</w:t>
      </w:r>
      <w:r w:rsidR="00D77549">
        <w:rPr>
          <w:lang w:val="fr-FR"/>
        </w:rPr>
        <w:t>’</w:t>
      </w:r>
      <w:r w:rsidRPr="00653BF4">
        <w:rPr>
          <w:lang w:val="fr-FR"/>
        </w:rPr>
        <w:t>acquisition de connaissances en matière de biodiversité. La couverture géographique s</w:t>
      </w:r>
      <w:r w:rsidR="00D77549">
        <w:rPr>
          <w:lang w:val="fr-FR"/>
        </w:rPr>
        <w:t>’</w:t>
      </w:r>
      <w:r w:rsidRPr="00653BF4">
        <w:rPr>
          <w:lang w:val="fr-FR"/>
        </w:rPr>
        <w:t>étend à l</w:t>
      </w:r>
      <w:r w:rsidR="00D77549">
        <w:rPr>
          <w:lang w:val="fr-FR"/>
        </w:rPr>
        <w:t>’</w:t>
      </w:r>
      <w:r w:rsidRPr="00653BF4">
        <w:rPr>
          <w:lang w:val="fr-FR"/>
        </w:rPr>
        <w:t>Europe, à l</w:t>
      </w:r>
      <w:r w:rsidR="00D77549">
        <w:rPr>
          <w:lang w:val="fr-FR"/>
        </w:rPr>
        <w:t>’</w:t>
      </w:r>
      <w:r w:rsidRPr="00653BF4">
        <w:rPr>
          <w:lang w:val="fr-FR"/>
        </w:rPr>
        <w:t>Afrique, à l</w:t>
      </w:r>
      <w:r w:rsidR="00D77549">
        <w:rPr>
          <w:lang w:val="fr-FR"/>
        </w:rPr>
        <w:t>’</w:t>
      </w:r>
      <w:r w:rsidRPr="00653BF4">
        <w:rPr>
          <w:lang w:val="fr-FR"/>
        </w:rPr>
        <w:t>Asie du Sud-Est et au Moyen-Orient, et les engagements prévoient notamment un appui au suivi communautaire et à son intégration dans les processus nationaux d</w:t>
      </w:r>
      <w:r w:rsidR="00D77549">
        <w:rPr>
          <w:lang w:val="fr-FR"/>
        </w:rPr>
        <w:t>’</w:t>
      </w:r>
      <w:r w:rsidRPr="00653BF4">
        <w:rPr>
          <w:lang w:val="fr-FR"/>
        </w:rPr>
        <w:t xml:space="preserve">établissement de rapports. </w:t>
      </w:r>
    </w:p>
    <w:p w14:paraId="470A5CDB" w14:textId="77777777" w:rsidR="00B87039" w:rsidRPr="00653BF4" w:rsidRDefault="00B87039" w:rsidP="00B87039">
      <w:pPr>
        <w:rPr>
          <w:lang w:val="fr-FR"/>
        </w:rPr>
      </w:pPr>
    </w:p>
    <w:p w14:paraId="73991406" w14:textId="77777777" w:rsidR="00B87039" w:rsidRPr="00653BF4" w:rsidRDefault="00B87039" w:rsidP="00B87039">
      <w:pPr>
        <w:pStyle w:val="Heading6"/>
        <w:rPr>
          <w:lang w:val="fr-FR"/>
        </w:rPr>
      </w:pPr>
    </w:p>
    <w:p w14:paraId="52A21B8C" w14:textId="48BE6632" w:rsidR="00B87039" w:rsidRPr="00653BF4" w:rsidRDefault="00B87039" w:rsidP="00B87039">
      <w:pPr>
        <w:pStyle w:val="Heading6"/>
        <w:rPr>
          <w:lang w:val="fr-FR"/>
        </w:rPr>
      </w:pPr>
      <w:bookmarkStart w:id="421" w:name="_Toc235821315"/>
      <w:r w:rsidRPr="00653BF4">
        <w:rPr>
          <w:lang w:val="fr-FR"/>
        </w:rPr>
        <w:t>Contributions intégrées dans les rapports nationaux</w:t>
      </w:r>
      <w:bookmarkEnd w:id="421"/>
    </w:p>
    <w:p w14:paraId="30079CF5" w14:textId="77777777" w:rsidR="00B87039" w:rsidRPr="00653BF4" w:rsidRDefault="00B87039" w:rsidP="00B87039">
      <w:pPr>
        <w:rPr>
          <w:lang w:val="fr-FR"/>
        </w:rPr>
      </w:pPr>
    </w:p>
    <w:p w14:paraId="2F1D2757" w14:textId="3608E1C0" w:rsidR="00B87039" w:rsidRPr="00653BF4" w:rsidRDefault="00B87039" w:rsidP="00B87039">
      <w:pPr>
        <w:rPr>
          <w:lang w:val="fr-FR"/>
        </w:rPr>
      </w:pPr>
      <w:r w:rsidRPr="00653BF4">
        <w:rPr>
          <w:lang w:val="fr-FR"/>
        </w:rPr>
        <w:t>La production de connaissances et la mise à disposition de données sont systématiquement présentées comme relevant de la responsabilité d’acteurs autres que les gouvernements nationaux, les organismes de recherche générant des fiches d’observation, menant des enquêtes et publiant des ensembles de données qui alimentent les centres d</w:t>
      </w:r>
      <w:r w:rsidR="00D77549">
        <w:rPr>
          <w:lang w:val="fr-FR"/>
        </w:rPr>
        <w:t>’</w:t>
      </w:r>
      <w:r w:rsidRPr="00653BF4">
        <w:rPr>
          <w:lang w:val="fr-FR"/>
        </w:rPr>
        <w:t>échange nationaux et les antennes du GBIF. Les organisations non gouvernementales et les réseaux de science citoyenne fournissent d’importants volumes de données d’observation des espèces, tandis que les peuples autochtones et communautés locales sont les détenteurs de ces connaissances, dont ils ont la maîtrise, ainsi que des données qui y sont associées. Lorsqu’ils le décident, ils apportent leurs connaissances traditionnelles aux systèmes nationaux, conformément au principe du consentement préalable, donné librement et en connaissance de cause. Les organisations non gouvernementales participent également à la gestion des aires protégées et des systèmes d’information sur la biodiversité, souvent en tant que partenaires institutionnels de longue date, et jouent, aux côtés des jeunes et des citoyens, un rôle central dans la sensibilisation et l’éducation. Les peuples autochtones et communautés locales assurent également la cogestion des aires protégées, exercent leur gouvernance par le biais de systèmes traditionnels et participent aux mécanismes d</w:t>
      </w:r>
      <w:r w:rsidR="00D77549">
        <w:rPr>
          <w:lang w:val="fr-FR"/>
        </w:rPr>
        <w:t>’</w:t>
      </w:r>
      <w:r w:rsidRPr="00653BF4">
        <w:rPr>
          <w:lang w:val="fr-FR"/>
        </w:rPr>
        <w:t xml:space="preserve">accès et de partage des avantages. Les autorités infranationales, les villes et autres autorités locales exploitent des sites de surveillance et gèrent les données relatives aux espèces relevant de leur </w:t>
      </w:r>
      <w:r w:rsidRPr="00653BF4">
        <w:rPr>
          <w:lang w:val="fr-FR"/>
        </w:rPr>
        <w:lastRenderedPageBreak/>
        <w:t>juridiction. Le financement repose principalement sur des contributions intergouvernementales.</w:t>
      </w:r>
    </w:p>
    <w:p w14:paraId="0C7B0143" w14:textId="77777777" w:rsidR="00B87039" w:rsidRPr="00653BF4" w:rsidRDefault="00B87039" w:rsidP="00B87039">
      <w:pPr>
        <w:rPr>
          <w:lang w:val="fr-FR"/>
        </w:rPr>
      </w:pPr>
    </w:p>
    <w:p w14:paraId="65EC13D8" w14:textId="4A970BD1" w:rsidR="00B87039" w:rsidRPr="00653BF4" w:rsidRDefault="00B87039" w:rsidP="00B87039">
      <w:pPr>
        <w:pStyle w:val="Heading5"/>
        <w:rPr>
          <w:lang w:val="fr-FR"/>
        </w:rPr>
      </w:pPr>
      <w:bookmarkStart w:id="422" w:name="_Toc235821316"/>
      <w:r w:rsidRPr="00653BF4">
        <w:rPr>
          <w:lang w:val="fr-FR"/>
        </w:rPr>
        <w:t>Exemples de liens avec d</w:t>
      </w:r>
      <w:r w:rsidR="00D77549">
        <w:rPr>
          <w:lang w:val="fr-FR"/>
        </w:rPr>
        <w:t>’</w:t>
      </w:r>
      <w:r w:rsidRPr="00653BF4">
        <w:rPr>
          <w:lang w:val="fr-FR"/>
        </w:rPr>
        <w:t>autres accords, processus et organisations</w:t>
      </w:r>
      <w:bookmarkEnd w:id="422"/>
    </w:p>
    <w:p w14:paraId="2CC241A0" w14:textId="77777777" w:rsidR="00B87039" w:rsidRPr="00653BF4" w:rsidRDefault="00B87039" w:rsidP="00B87039">
      <w:pPr>
        <w:rPr>
          <w:lang w:val="fr-FR"/>
        </w:rPr>
      </w:pPr>
    </w:p>
    <w:p w14:paraId="335C7024" w14:textId="088CD9D9" w:rsidR="00B87039" w:rsidRPr="00653BF4" w:rsidRDefault="00B87039" w:rsidP="00B87039">
      <w:pPr>
        <w:rPr>
          <w:lang w:val="fr-FR"/>
        </w:rPr>
      </w:pPr>
      <w:r w:rsidRPr="00653BF4">
        <w:rPr>
          <w:lang w:val="fr-FR"/>
        </w:rPr>
        <w:t xml:space="preserve">Comme indiqué plus haut, les Parties ont souligné le rôle du Global Biodiversity Information Facility (GBIF) en tant qu’infrastructure mondiale facilitant la mise en œuvre de la </w:t>
      </w:r>
      <w:r w:rsidR="00E34DC9">
        <w:rPr>
          <w:lang w:val="fr-FR"/>
        </w:rPr>
        <w:t>cible 2</w:t>
      </w:r>
      <w:r w:rsidRPr="00653BF4">
        <w:rPr>
          <w:lang w:val="fr-FR"/>
        </w:rPr>
        <w:t>1 grâce à la mobilisation et à l’accès à des données primaires sur la présence des espèces, destinées à la recherche et à l’élaboration des politiques, et servant de source de données pour toute une série d’indicateurs s’inscrivant dans le cadre de suivi. Le GBIF est une initiative intergouvernementale qui rassemble actuellement 70 gouvernements nationaux et 42 organisations internationales dans le cadre d</w:t>
      </w:r>
      <w:r w:rsidR="00D77549">
        <w:rPr>
          <w:lang w:val="fr-FR"/>
        </w:rPr>
        <w:t>’</w:t>
      </w:r>
      <w:r w:rsidRPr="00653BF4">
        <w:rPr>
          <w:lang w:val="fr-FR"/>
        </w:rPr>
        <w:t>un mémorandum d</w:t>
      </w:r>
      <w:r w:rsidR="00D77549">
        <w:rPr>
          <w:lang w:val="fr-FR"/>
        </w:rPr>
        <w:t>’</w:t>
      </w:r>
      <w:r w:rsidRPr="00653BF4">
        <w:rPr>
          <w:lang w:val="fr-FR"/>
        </w:rPr>
        <w:t>accord volontaire, offrant un accès libre et gratuit à environ 3,8 milliards d</w:t>
      </w:r>
      <w:r w:rsidR="00D77549">
        <w:rPr>
          <w:lang w:val="fr-FR"/>
        </w:rPr>
        <w:t>’</w:t>
      </w:r>
      <w:r w:rsidRPr="00653BF4">
        <w:rPr>
          <w:lang w:val="fr-FR"/>
        </w:rPr>
        <w:t>enregistrements sur la présence d</w:t>
      </w:r>
      <w:r w:rsidR="00D77549">
        <w:rPr>
          <w:lang w:val="fr-FR"/>
        </w:rPr>
        <w:t>’</w:t>
      </w:r>
      <w:r w:rsidRPr="00653BF4">
        <w:rPr>
          <w:lang w:val="fr-FR"/>
        </w:rPr>
        <w:t>espèces, partagés par plus de 2 700 institutions à travers le monde</w:t>
      </w:r>
      <w:r w:rsidRPr="00653BF4">
        <w:rPr>
          <w:rStyle w:val="FootnoteReference"/>
          <w:lang w:val="fr-FR"/>
        </w:rPr>
        <w:footnoteReference w:id="41"/>
      </w:r>
      <w:r w:rsidRPr="00653BF4">
        <w:rPr>
          <w:lang w:val="fr-FR"/>
        </w:rPr>
        <w:t>. Répondant aux besoins spécifiques en matière de données des communautés de recherche et de politique maritimes, le Système d’informations sur la biodiversité de l</w:t>
      </w:r>
      <w:r w:rsidR="00D77549">
        <w:rPr>
          <w:lang w:val="fr-FR"/>
        </w:rPr>
        <w:t>’</w:t>
      </w:r>
      <w:r w:rsidRPr="00653BF4">
        <w:rPr>
          <w:lang w:val="fr-FR"/>
        </w:rPr>
        <w:t>océan (OBIS) relève du Programme d</w:t>
      </w:r>
      <w:r w:rsidR="00D77549">
        <w:rPr>
          <w:lang w:val="fr-FR"/>
        </w:rPr>
        <w:t>’</w:t>
      </w:r>
      <w:r w:rsidRPr="00653BF4">
        <w:rPr>
          <w:lang w:val="fr-FR"/>
        </w:rPr>
        <w:t>échange international des données et de l</w:t>
      </w:r>
      <w:r w:rsidR="00D77549">
        <w:rPr>
          <w:lang w:val="fr-FR"/>
        </w:rPr>
        <w:t>’</w:t>
      </w:r>
      <w:r w:rsidRPr="00653BF4">
        <w:rPr>
          <w:lang w:val="fr-FR"/>
        </w:rPr>
        <w:t>information océanographiques de la Commission océanographique intergouvernementale de l’UNESCO. Parmi ses objectifs stratégiques, l’OBIS soutient les politiques en matière de biodiversité marine fondées sur des données probantes, notamment en adaptant les données, les produits d’information et les services aux besoins liés au Cadre mondial de la biodiversité de Kunming-Montréal et à l’Accord se rapportant à la Convention des Nations Unies sur le droit de la mer et portant sur la conservation et l’utilisation durable de la diversité biologique marine des zones ne relevant pas de la juridiction nationale</w:t>
      </w:r>
      <w:r w:rsidRPr="00653BF4">
        <w:rPr>
          <w:rStyle w:val="FootnoteReference"/>
          <w:lang w:val="fr-FR"/>
        </w:rPr>
        <w:footnoteReference w:id="42"/>
      </w:r>
      <w:r w:rsidRPr="00653BF4">
        <w:rPr>
          <w:lang w:val="fr-FR"/>
        </w:rPr>
        <w:t>. L</w:t>
      </w:r>
      <w:r w:rsidR="00D77549">
        <w:rPr>
          <w:lang w:val="fr-FR"/>
        </w:rPr>
        <w:t>’</w:t>
      </w:r>
      <w:r w:rsidRPr="00653BF4">
        <w:rPr>
          <w:lang w:val="fr-FR"/>
        </w:rPr>
        <w:t>OBIS donne actuellement accès à plus de 220 millions d</w:t>
      </w:r>
      <w:r w:rsidR="00D77549">
        <w:rPr>
          <w:lang w:val="fr-FR"/>
        </w:rPr>
        <w:t>’</w:t>
      </w:r>
      <w:r w:rsidRPr="00653BF4">
        <w:rPr>
          <w:lang w:val="fr-FR"/>
        </w:rPr>
        <w:t>observations portant sur 207 000 espèces marines, provenant de 99 pays.</w:t>
      </w:r>
    </w:p>
    <w:p w14:paraId="7C46E6D2" w14:textId="4A708392" w:rsidR="00B87039" w:rsidRPr="00653BF4" w:rsidRDefault="00B87039" w:rsidP="00B87039">
      <w:pPr>
        <w:rPr>
          <w:lang w:val="fr-FR"/>
        </w:rPr>
      </w:pPr>
      <w:r w:rsidRPr="00653BF4">
        <w:rPr>
          <w:lang w:val="fr-FR"/>
        </w:rPr>
        <w:t>L’un des principaux objectifs de l’évaluation méthodologique menée actuellement par l’IPBES sur le suivi de la biodiversité et des contributions de la nature aux populations (IPBES, 2023c) est de soutenir les efforts nationaux et mondiaux déployés pour suivre les progrès accomplis dans la réalisation des objectifs et cibles du Cadre mondial de la biodiversité de Kunming-Montréal, afin de favoriser une mise en œuvre équilibrée et renforcée de la Convention. À cet égard, le rapport d</w:t>
      </w:r>
      <w:r w:rsidR="00D77549">
        <w:rPr>
          <w:lang w:val="fr-FR"/>
        </w:rPr>
        <w:t>’</w:t>
      </w:r>
      <w:r w:rsidRPr="00653BF4">
        <w:rPr>
          <w:lang w:val="fr-FR"/>
        </w:rPr>
        <w:t>évaluation, lorsqu</w:t>
      </w:r>
      <w:r w:rsidR="00D77549">
        <w:rPr>
          <w:lang w:val="fr-FR"/>
        </w:rPr>
        <w:t>’</w:t>
      </w:r>
      <w:r w:rsidRPr="00653BF4">
        <w:rPr>
          <w:lang w:val="fr-FR"/>
        </w:rPr>
        <w:t xml:space="preserve">il sera publié en 2027, constituera une ressource supplémentaire pour les Parties dans le cadre de la </w:t>
      </w:r>
      <w:r w:rsidRPr="00653BF4">
        <w:rPr>
          <w:lang w:val="fr-FR"/>
        </w:rPr>
        <w:lastRenderedPageBreak/>
        <w:t xml:space="preserve">mise en œuvre de la </w:t>
      </w:r>
      <w:r w:rsidR="00E34DC9">
        <w:rPr>
          <w:lang w:val="fr-FR"/>
        </w:rPr>
        <w:t>cible 2</w:t>
      </w:r>
      <w:r w:rsidRPr="00653BF4">
        <w:rPr>
          <w:lang w:val="fr-FR"/>
        </w:rPr>
        <w:t xml:space="preserve">1 et permettra ainsi de faire face aux difficultés associées aux données et aux connaissances recensées de manière plus générale dans le présent rapport mondial. </w:t>
      </w:r>
    </w:p>
    <w:p w14:paraId="47120D03" w14:textId="77777777" w:rsidR="00B87039" w:rsidRPr="00653BF4" w:rsidRDefault="00B87039" w:rsidP="00B87039">
      <w:pPr>
        <w:rPr>
          <w:lang w:val="fr-FR"/>
        </w:rPr>
      </w:pPr>
    </w:p>
    <w:p w14:paraId="1A89F659" w14:textId="77777777" w:rsidR="00B87039" w:rsidRPr="00653BF4" w:rsidRDefault="00B87039" w:rsidP="00B87039">
      <w:pPr>
        <w:rPr>
          <w:lang w:val="fr-FR"/>
        </w:rPr>
      </w:pPr>
    </w:p>
    <w:p w14:paraId="39BC6809" w14:textId="77777777" w:rsidR="00B87039" w:rsidRPr="00653BF4" w:rsidRDefault="00B87039" w:rsidP="00B87039">
      <w:pPr>
        <w:rPr>
          <w:lang w:val="fr-FR"/>
        </w:rPr>
      </w:pPr>
    </w:p>
    <w:p w14:paraId="0BEFE17D" w14:textId="5D64E2B2" w:rsidR="00B87039" w:rsidRPr="00653BF4" w:rsidRDefault="00E34DC9" w:rsidP="00B87039">
      <w:pPr>
        <w:pStyle w:val="Heading4"/>
        <w:rPr>
          <w:i w:val="0"/>
          <w:iCs w:val="0"/>
          <w:lang w:val="fr-FR"/>
        </w:rPr>
      </w:pPr>
      <w:bookmarkStart w:id="423" w:name="_Toc235821317"/>
      <w:bookmarkStart w:id="424" w:name="_Toc239069218"/>
      <w:bookmarkStart w:id="425" w:name="_Toc1064094380"/>
      <w:bookmarkStart w:id="426" w:name="_Toc242801255"/>
      <w:r>
        <w:rPr>
          <w:b/>
          <w:bCs/>
          <w:i w:val="0"/>
          <w:iCs w:val="0"/>
          <w:lang w:val="fr-FR"/>
        </w:rPr>
        <w:t>Cible 2</w:t>
      </w:r>
      <w:r w:rsidR="00B87039" w:rsidRPr="00653BF4">
        <w:rPr>
          <w:b/>
          <w:bCs/>
          <w:i w:val="0"/>
          <w:iCs w:val="0"/>
          <w:lang w:val="fr-FR"/>
        </w:rPr>
        <w:t>2.</w:t>
      </w:r>
      <w:r w:rsidR="00B87039" w:rsidRPr="00653BF4">
        <w:rPr>
          <w:i w:val="0"/>
          <w:iCs w:val="0"/>
          <w:lang w:val="fr-FR"/>
        </w:rPr>
        <w:t xml:space="preserve"> Assurer la participation aux processus décisionnels et l</w:t>
      </w:r>
      <w:r w:rsidR="00D77549">
        <w:rPr>
          <w:i w:val="0"/>
          <w:iCs w:val="0"/>
          <w:lang w:val="fr-FR"/>
        </w:rPr>
        <w:t>’</w:t>
      </w:r>
      <w:r w:rsidR="00B87039" w:rsidRPr="00653BF4">
        <w:rPr>
          <w:i w:val="0"/>
          <w:iCs w:val="0"/>
          <w:lang w:val="fr-FR"/>
        </w:rPr>
        <w:t>accès à la justice et aux informations relatives à la biodiversité pour tous</w:t>
      </w:r>
      <w:bookmarkEnd w:id="423"/>
      <w:bookmarkEnd w:id="424"/>
      <w:bookmarkEnd w:id="425"/>
      <w:bookmarkEnd w:id="426"/>
    </w:p>
    <w:p w14:paraId="0CAA1F14" w14:textId="77777777" w:rsidR="00B87039" w:rsidRPr="00653BF4" w:rsidRDefault="00B87039" w:rsidP="00B87039">
      <w:pPr>
        <w:rPr>
          <w:lang w:val="fr-FR"/>
        </w:rPr>
      </w:pPr>
    </w:p>
    <w:p w14:paraId="7576EB40" w14:textId="3A152245" w:rsidR="00B87039" w:rsidRPr="00653BF4" w:rsidRDefault="00B87039" w:rsidP="00B87039">
      <w:pPr>
        <w:rPr>
          <w:i/>
          <w:iCs/>
          <w:sz w:val="22"/>
          <w:szCs w:val="22"/>
          <w:lang w:val="fr-FR"/>
        </w:rPr>
      </w:pPr>
      <w:r w:rsidRPr="00653BF4">
        <w:rPr>
          <w:b/>
          <w:bCs/>
          <w:sz w:val="22"/>
          <w:szCs w:val="22"/>
          <w:lang w:val="fr-FR"/>
        </w:rPr>
        <w:t xml:space="preserve">Texte de la cible. </w:t>
      </w:r>
      <w:r w:rsidRPr="00653BF4">
        <w:rPr>
          <w:i/>
          <w:iCs/>
          <w:sz w:val="22"/>
          <w:szCs w:val="22"/>
          <w:lang w:val="fr-FR"/>
        </w:rPr>
        <w:t>Assurer une représentation et une participation pleines et entières, équitables, inclusives, efficaces et tenant compte du genre des peuples autochtones et des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et les filles, les enfants et les jeunes, ainsi que les personnes handicapées, et garantir la pleine protection des défenseurs et défenseuses des droits de l</w:t>
      </w:r>
      <w:r w:rsidR="00D77549">
        <w:rPr>
          <w:i/>
          <w:iCs/>
          <w:sz w:val="22"/>
          <w:szCs w:val="22"/>
          <w:lang w:val="fr-FR"/>
        </w:rPr>
        <w:t>’</w:t>
      </w:r>
      <w:r w:rsidRPr="00653BF4">
        <w:rPr>
          <w:i/>
          <w:iCs/>
          <w:sz w:val="22"/>
          <w:szCs w:val="22"/>
          <w:lang w:val="fr-FR"/>
        </w:rPr>
        <w:t>homme en matière d</w:t>
      </w:r>
      <w:r w:rsidR="00D77549">
        <w:rPr>
          <w:i/>
          <w:iCs/>
          <w:sz w:val="22"/>
          <w:szCs w:val="22"/>
          <w:lang w:val="fr-FR"/>
        </w:rPr>
        <w:t>’</w:t>
      </w:r>
      <w:r w:rsidRPr="00653BF4">
        <w:rPr>
          <w:i/>
          <w:iCs/>
          <w:sz w:val="22"/>
          <w:szCs w:val="22"/>
          <w:lang w:val="fr-FR"/>
        </w:rPr>
        <w:t>environnement.</w:t>
      </w:r>
    </w:p>
    <w:p w14:paraId="6E2BDDCC" w14:textId="77777777" w:rsidR="00B87039" w:rsidRPr="00653BF4" w:rsidRDefault="00B87039" w:rsidP="00B87039">
      <w:pPr>
        <w:pStyle w:val="Heading5"/>
        <w:rPr>
          <w:lang w:val="fr-FR"/>
        </w:rPr>
      </w:pPr>
      <w:bookmarkStart w:id="427" w:name="_Toc235821318"/>
    </w:p>
    <w:bookmarkEnd w:id="427"/>
    <w:p w14:paraId="23E8DC83" w14:textId="77777777" w:rsidR="00B87039" w:rsidRPr="00653BF4" w:rsidRDefault="00B87039" w:rsidP="00B87039">
      <w:pPr>
        <w:pStyle w:val="Heading5"/>
        <w:rPr>
          <w:lang w:val="fr-FR"/>
        </w:rPr>
      </w:pPr>
      <w:r w:rsidRPr="00653BF4">
        <w:rPr>
          <w:lang w:val="fr-FR"/>
        </w:rPr>
        <w:t>Aperçu des progrès accomplis</w:t>
      </w:r>
    </w:p>
    <w:p w14:paraId="37605BBE" w14:textId="77777777" w:rsidR="00B87039" w:rsidRPr="00653BF4" w:rsidRDefault="00B87039" w:rsidP="00B87039">
      <w:pPr>
        <w:rPr>
          <w:lang w:val="fr-FR"/>
        </w:rPr>
      </w:pPr>
    </w:p>
    <w:tbl>
      <w:tblPr>
        <w:tblStyle w:val="TableGrid"/>
        <w:tblW w:w="0" w:type="auto"/>
        <w:tblLook w:val="04A0" w:firstRow="1" w:lastRow="0" w:firstColumn="1" w:lastColumn="0" w:noHBand="0" w:noVBand="1"/>
      </w:tblPr>
      <w:tblGrid>
        <w:gridCol w:w="9016"/>
      </w:tblGrid>
      <w:tr w:rsidR="00B87039" w:rsidRPr="00543148" w14:paraId="0A62C3F1" w14:textId="77777777" w:rsidTr="00557FB3">
        <w:tc>
          <w:tcPr>
            <w:tcW w:w="9016" w:type="dxa"/>
            <w:shd w:val="clear" w:color="auto" w:fill="D1D1D1" w:themeFill="background2" w:themeFillShade="E6"/>
          </w:tcPr>
          <w:p w14:paraId="06AC4CD0" w14:textId="77777777" w:rsidR="00B87039" w:rsidRPr="00653BF4" w:rsidRDefault="00B87039" w:rsidP="00557FB3">
            <w:pPr>
              <w:rPr>
                <w:rFonts w:eastAsia="Times New Roman" w:cs="Calibri"/>
                <w:color w:val="000000"/>
                <w:lang w:val="fr-FR"/>
              </w:rPr>
            </w:pPr>
          </w:p>
          <w:p w14:paraId="1B0B714D" w14:textId="49242C4E" w:rsidR="00B87039" w:rsidRPr="00653BF4" w:rsidRDefault="00B87039" w:rsidP="00557FB3">
            <w:pPr>
              <w:spacing w:after="160" w:line="278" w:lineRule="auto"/>
              <w:rPr>
                <w:lang w:val="fr-FR"/>
              </w:rPr>
            </w:pPr>
            <w:r w:rsidRPr="00653BF4">
              <w:rPr>
                <w:lang w:val="fr-FR"/>
              </w:rPr>
              <w:t xml:space="preserve">La plupart des Parties ont pris des mesures concernant certains éléments de la </w:t>
            </w:r>
            <w:r w:rsidR="00E34DC9">
              <w:rPr>
                <w:lang w:val="fr-FR"/>
              </w:rPr>
              <w:t>cible 2</w:t>
            </w:r>
            <w:r w:rsidRPr="00653BF4">
              <w:rPr>
                <w:lang w:val="fr-FR"/>
              </w:rPr>
              <w:t>2, mais la portée des cibles nationales n</w:t>
            </w:r>
            <w:r w:rsidR="00D77549">
              <w:rPr>
                <w:lang w:val="fr-FR"/>
              </w:rPr>
              <w:t>’</w:t>
            </w:r>
            <w:r w:rsidRPr="00653BF4">
              <w:rPr>
                <w:lang w:val="fr-FR"/>
              </w:rPr>
              <w:t>est pas suffisamment harmonisée et les données permettant d</w:t>
            </w:r>
            <w:r w:rsidR="00D77549">
              <w:rPr>
                <w:lang w:val="fr-FR"/>
              </w:rPr>
              <w:t>’</w:t>
            </w:r>
            <w:r w:rsidRPr="00653BF4">
              <w:rPr>
                <w:lang w:val="fr-FR"/>
              </w:rPr>
              <w:t>évaluer les progrès restent limitées. Des progrès sont réalisés en matière de renforcement de la participation, de l</w:t>
            </w:r>
            <w:r w:rsidR="00D77549">
              <w:rPr>
                <w:lang w:val="fr-FR"/>
              </w:rPr>
              <w:t>’</w:t>
            </w:r>
            <w:r w:rsidRPr="00653BF4">
              <w:rPr>
                <w:lang w:val="fr-FR"/>
              </w:rPr>
              <w:t>inclusion et des approches fondées sur les droits, mais les systèmes de suivi restent insuffisamment développés. Les renseignements communiqués étaient insuffisants pour évaluer les tendances, et les Parties ont fait état de difficultés liées aux méthodologies, à la définition et aux données. Certaines Parties ont fait état de progrès dans la mise en place de conditions propices à l</w:t>
            </w:r>
            <w:r w:rsidR="00D77549">
              <w:rPr>
                <w:lang w:val="fr-FR"/>
              </w:rPr>
              <w:t>’</w:t>
            </w:r>
            <w:r w:rsidRPr="00653BF4">
              <w:rPr>
                <w:lang w:val="fr-FR"/>
              </w:rPr>
              <w:t>inclusion et à une participation fondée sur les droits, ainsi que d</w:t>
            </w:r>
            <w:r w:rsidR="00D77549">
              <w:rPr>
                <w:lang w:val="fr-FR"/>
              </w:rPr>
              <w:t>’</w:t>
            </w:r>
            <w:r w:rsidRPr="00653BF4">
              <w:rPr>
                <w:lang w:val="fr-FR"/>
              </w:rPr>
              <w:t>efforts visant à garantir la représentation des peuples autochtones et communautés locales, des femmes, des jeunes et des personnes en situation de handicap, et de politiques relatives à l</w:t>
            </w:r>
            <w:r w:rsidR="00D77549">
              <w:rPr>
                <w:lang w:val="fr-FR"/>
              </w:rPr>
              <w:t>’</w:t>
            </w:r>
            <w:r w:rsidRPr="00653BF4">
              <w:rPr>
                <w:lang w:val="fr-FR"/>
              </w:rPr>
              <w:t>accès à la justice. Très peu de Parties ont fixé des cibles incluant la protection des défenseurs des droits humains en matière d</w:t>
            </w:r>
            <w:r w:rsidR="00D77549">
              <w:rPr>
                <w:lang w:val="fr-FR"/>
              </w:rPr>
              <w:t>’</w:t>
            </w:r>
            <w:r w:rsidRPr="00653BF4">
              <w:rPr>
                <w:lang w:val="fr-FR"/>
              </w:rPr>
              <w:t xml:space="preserve">environnement. Les auto-évaluations font état de progrès modérés. Parmi les </w:t>
            </w:r>
            <w:r w:rsidRPr="00653BF4">
              <w:rPr>
                <w:lang w:val="fr-FR"/>
              </w:rPr>
              <w:lastRenderedPageBreak/>
              <w:t>principales difficultés figurent les limites méthodologiques et l</w:t>
            </w:r>
            <w:r w:rsidR="00D77549">
              <w:rPr>
                <w:lang w:val="fr-FR"/>
              </w:rPr>
              <w:t>’</w:t>
            </w:r>
            <w:r w:rsidRPr="00653BF4">
              <w:rPr>
                <w:lang w:val="fr-FR"/>
              </w:rPr>
              <w:t>insuffisance des systèmes de suivi permettant de mesurer les résultats.</w:t>
            </w:r>
          </w:p>
          <w:p w14:paraId="2106511F" w14:textId="77777777" w:rsidR="00B87039" w:rsidRPr="00653BF4" w:rsidRDefault="00B87039" w:rsidP="00557FB3">
            <w:pPr>
              <w:rPr>
                <w:lang w:val="fr-FR"/>
              </w:rPr>
            </w:pPr>
          </w:p>
        </w:tc>
      </w:tr>
    </w:tbl>
    <w:p w14:paraId="0A03B870" w14:textId="77777777" w:rsidR="00B87039" w:rsidRPr="00653BF4" w:rsidRDefault="00B87039" w:rsidP="00B87039">
      <w:pPr>
        <w:rPr>
          <w:lang w:val="fr-FR"/>
        </w:rPr>
      </w:pPr>
    </w:p>
    <w:p w14:paraId="4BC769E4" w14:textId="0FDA6150" w:rsidR="00B87039" w:rsidRPr="00653BF4" w:rsidRDefault="00B87039" w:rsidP="00B87039">
      <w:pPr>
        <w:pStyle w:val="Heading5"/>
        <w:rPr>
          <w:lang w:val="fr-FR"/>
        </w:rPr>
      </w:pPr>
      <w:r w:rsidRPr="00653BF4">
        <w:rPr>
          <w:lang w:val="fr-FR"/>
        </w:rPr>
        <w:t xml:space="preserve">Prise en compte par les Parties de la portée de la </w:t>
      </w:r>
      <w:r w:rsidR="00E34DC9">
        <w:rPr>
          <w:lang w:val="fr-FR"/>
        </w:rPr>
        <w:t>cible 2</w:t>
      </w:r>
      <w:r w:rsidRPr="00653BF4">
        <w:rPr>
          <w:lang w:val="fr-FR"/>
        </w:rPr>
        <w:t>2 du Cadre dans leurs cibles nationales</w:t>
      </w:r>
    </w:p>
    <w:p w14:paraId="3C363B6D" w14:textId="77777777" w:rsidR="00B87039" w:rsidRPr="00653BF4" w:rsidRDefault="00B87039" w:rsidP="00B87039">
      <w:pPr>
        <w:pStyle w:val="Caption"/>
        <w:rPr>
          <w:lang w:val="fr-FR"/>
        </w:rPr>
      </w:pPr>
    </w:p>
    <w:p w14:paraId="07929825" w14:textId="3165126D" w:rsidR="00B87039" w:rsidRPr="00653BF4" w:rsidRDefault="00B87039" w:rsidP="00B87039">
      <w:pPr>
        <w:pStyle w:val="Caption"/>
        <w:keepNext/>
        <w:rPr>
          <w:b/>
          <w:i w:val="0"/>
          <w:iCs w:val="0"/>
          <w:sz w:val="20"/>
          <w:szCs w:val="20"/>
          <w:lang w:val="fr-FR"/>
        </w:rPr>
      </w:pPr>
      <w:bookmarkStart w:id="428" w:name="_Ref230789893"/>
      <w:r w:rsidRPr="00653BF4">
        <w:rPr>
          <w:i w:val="0"/>
          <w:iCs w:val="0"/>
          <w:sz w:val="20"/>
          <w:szCs w:val="20"/>
          <w:lang w:val="fr-FR"/>
        </w:rPr>
        <w:t>Tableau 47</w:t>
      </w:r>
      <w:bookmarkEnd w:id="428"/>
    </w:p>
    <w:p w14:paraId="1DE38B3A" w14:textId="291B8F7F" w:rsidR="00B87039" w:rsidRPr="00653BF4" w:rsidRDefault="00B87039" w:rsidP="00B87039">
      <w:pPr>
        <w:pStyle w:val="Caption"/>
        <w:keepNext/>
        <w:rPr>
          <w:b/>
          <w:i w:val="0"/>
          <w:iCs w:val="0"/>
          <w:sz w:val="20"/>
          <w:szCs w:val="20"/>
          <w:lang w:val="fr-FR"/>
        </w:rPr>
      </w:pPr>
      <w:r w:rsidRPr="00653BF4">
        <w:rPr>
          <w:b/>
          <w:i w:val="0"/>
          <w:sz w:val="20"/>
          <w:szCs w:val="20"/>
          <w:lang w:val="fr-FR"/>
        </w:rPr>
        <w:t xml:space="preserve">Éléments de la </w:t>
      </w:r>
      <w:r w:rsidR="00E34DC9">
        <w:rPr>
          <w:b/>
          <w:i w:val="0"/>
          <w:sz w:val="20"/>
          <w:szCs w:val="20"/>
          <w:lang w:val="fr-FR"/>
        </w:rPr>
        <w:t>cible 2</w:t>
      </w:r>
      <w:r w:rsidRPr="00653BF4">
        <w:rPr>
          <w:b/>
          <w:i w:val="0"/>
          <w:sz w:val="20"/>
          <w:szCs w:val="20"/>
          <w:lang w:val="fr-FR"/>
        </w:rPr>
        <w:t xml:space="preserve">2 du Cadre et </w:t>
      </w:r>
      <w:r w:rsidRPr="00653BF4">
        <w:rPr>
          <w:b/>
          <w:bCs/>
          <w:i w:val="0"/>
          <w:iCs w:val="0"/>
          <w:sz w:val="20"/>
          <w:szCs w:val="20"/>
          <w:lang w:val="fr-FR"/>
        </w:rPr>
        <w:t>leur prise en compte dans les cibles nationales</w:t>
      </w:r>
      <w:r w:rsidRPr="00653BF4">
        <w:rPr>
          <w:i w:val="0"/>
          <w:iCs w:val="0"/>
          <w:sz w:val="20"/>
          <w:szCs w:val="20"/>
          <w:vertAlign w:val="superscript"/>
          <w:lang w:val="fr-FR"/>
        </w:rPr>
        <w:t>a</w:t>
      </w:r>
    </w:p>
    <w:p w14:paraId="3D60E3FF" w14:textId="77777777" w:rsidR="00B87039" w:rsidRPr="00653BF4" w:rsidRDefault="00B87039" w:rsidP="00B87039">
      <w:pPr>
        <w:pStyle w:val="Caption"/>
        <w:keepNext/>
        <w:rPr>
          <w:lang w:val="fr-FR"/>
        </w:rPr>
      </w:pPr>
    </w:p>
    <w:tbl>
      <w:tblPr>
        <w:tblStyle w:val="TableGrid"/>
        <w:tblW w:w="9923" w:type="dxa"/>
        <w:tblInd w:w="-572" w:type="dxa"/>
        <w:tblLook w:val="04A0" w:firstRow="1" w:lastRow="0" w:firstColumn="1" w:lastColumn="0" w:noHBand="0" w:noVBand="1"/>
      </w:tblPr>
      <w:tblGrid>
        <w:gridCol w:w="9356"/>
        <w:gridCol w:w="567"/>
      </w:tblGrid>
      <w:tr w:rsidR="00B87039" w:rsidRPr="00653BF4" w14:paraId="6B04EE8C" w14:textId="77777777" w:rsidTr="00557FB3">
        <w:tc>
          <w:tcPr>
            <w:tcW w:w="9356" w:type="dxa"/>
          </w:tcPr>
          <w:p w14:paraId="491782C1" w14:textId="7777777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Assurer une représentation et une participation pleines et entières, équitables, inclusives, efficaces et tenant compte du genre des peuples autochtones et communautés locales aux processus décisionnels relatifs à la biodiversité</w:t>
            </w:r>
          </w:p>
        </w:tc>
        <w:tc>
          <w:tcPr>
            <w:tcW w:w="567" w:type="dxa"/>
            <w:shd w:val="clear" w:color="auto" w:fill="92D050"/>
          </w:tcPr>
          <w:p w14:paraId="26000D24" w14:textId="77777777" w:rsidR="00B87039" w:rsidRPr="00653BF4" w:rsidRDefault="00B87039" w:rsidP="00557FB3">
            <w:pPr>
              <w:rPr>
                <w:lang w:val="fr-FR"/>
              </w:rPr>
            </w:pPr>
            <w:r w:rsidRPr="00653BF4">
              <w:rPr>
                <w:lang w:val="fr-FR"/>
              </w:rPr>
              <w:t>69</w:t>
            </w:r>
          </w:p>
        </w:tc>
      </w:tr>
      <w:tr w:rsidR="00B87039" w:rsidRPr="00653BF4" w14:paraId="2BBF8352" w14:textId="77777777" w:rsidTr="00557FB3">
        <w:tc>
          <w:tcPr>
            <w:tcW w:w="9356" w:type="dxa"/>
          </w:tcPr>
          <w:p w14:paraId="37407436" w14:textId="21226D31"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Assurer l</w:t>
            </w:r>
            <w:r w:rsidR="00D77549">
              <w:rPr>
                <w:rFonts w:cs="Times New Roman"/>
                <w:kern w:val="0"/>
                <w:sz w:val="21"/>
                <w:szCs w:val="21"/>
                <w:lang w:val="fr-FR"/>
              </w:rPr>
              <w:t>’</w:t>
            </w:r>
            <w:r w:rsidRPr="00653BF4">
              <w:rPr>
                <w:rFonts w:cs="Times New Roman"/>
                <w:kern w:val="0"/>
                <w:sz w:val="21"/>
                <w:szCs w:val="21"/>
                <w:lang w:val="fr-FR"/>
              </w:rPr>
              <w:t>accès à la justice des peuples autochtones et communautés locales concernant la biodiversité</w:t>
            </w:r>
          </w:p>
          <w:p w14:paraId="3EB6FF21" w14:textId="77777777" w:rsidR="00B87039" w:rsidRPr="00653BF4" w:rsidRDefault="00B87039" w:rsidP="00557FB3">
            <w:pPr>
              <w:tabs>
                <w:tab w:val="left" w:pos="2173"/>
              </w:tabs>
              <w:rPr>
                <w:sz w:val="21"/>
                <w:szCs w:val="21"/>
                <w:lang w:val="fr-FR"/>
              </w:rPr>
            </w:pPr>
          </w:p>
        </w:tc>
        <w:tc>
          <w:tcPr>
            <w:tcW w:w="567" w:type="dxa"/>
            <w:shd w:val="clear" w:color="auto" w:fill="FFC000"/>
          </w:tcPr>
          <w:p w14:paraId="0D6661B8" w14:textId="77777777" w:rsidR="00B87039" w:rsidRPr="00653BF4" w:rsidRDefault="00B87039" w:rsidP="00557FB3">
            <w:pPr>
              <w:rPr>
                <w:lang w:val="fr-FR"/>
              </w:rPr>
            </w:pPr>
            <w:r w:rsidRPr="00653BF4">
              <w:rPr>
                <w:lang w:val="fr-FR"/>
              </w:rPr>
              <w:t>29</w:t>
            </w:r>
          </w:p>
        </w:tc>
      </w:tr>
      <w:tr w:rsidR="00B87039" w:rsidRPr="00653BF4" w14:paraId="28C76284" w14:textId="77777777" w:rsidTr="00557FB3">
        <w:tc>
          <w:tcPr>
            <w:tcW w:w="9356" w:type="dxa"/>
          </w:tcPr>
          <w:p w14:paraId="6D1DB275" w14:textId="2F7BC732"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Assurer l</w:t>
            </w:r>
            <w:r w:rsidR="00D77549">
              <w:rPr>
                <w:rFonts w:cs="Times New Roman"/>
                <w:kern w:val="0"/>
                <w:sz w:val="21"/>
                <w:szCs w:val="21"/>
                <w:lang w:val="fr-FR"/>
              </w:rPr>
              <w:t>’</w:t>
            </w:r>
            <w:r w:rsidRPr="00653BF4">
              <w:rPr>
                <w:rFonts w:cs="Times New Roman"/>
                <w:kern w:val="0"/>
                <w:sz w:val="21"/>
                <w:szCs w:val="21"/>
                <w:lang w:val="fr-FR"/>
              </w:rPr>
              <w:t>accès aux informations relatives à la biodiversité des peuples autochtones et communautés locales</w:t>
            </w:r>
          </w:p>
          <w:p w14:paraId="27543242" w14:textId="77777777" w:rsidR="00B87039" w:rsidRPr="00653BF4" w:rsidRDefault="00B87039" w:rsidP="00557FB3">
            <w:pPr>
              <w:rPr>
                <w:sz w:val="21"/>
                <w:szCs w:val="21"/>
                <w:lang w:val="fr-FR"/>
              </w:rPr>
            </w:pPr>
          </w:p>
        </w:tc>
        <w:tc>
          <w:tcPr>
            <w:tcW w:w="567" w:type="dxa"/>
            <w:shd w:val="clear" w:color="auto" w:fill="FFFF00"/>
          </w:tcPr>
          <w:p w14:paraId="6418DC46" w14:textId="77777777" w:rsidR="00B87039" w:rsidRPr="00653BF4" w:rsidRDefault="00B87039" w:rsidP="00557FB3">
            <w:pPr>
              <w:rPr>
                <w:lang w:val="fr-FR"/>
              </w:rPr>
            </w:pPr>
            <w:r w:rsidRPr="00653BF4">
              <w:rPr>
                <w:lang w:val="fr-FR"/>
              </w:rPr>
              <w:t>41</w:t>
            </w:r>
          </w:p>
        </w:tc>
      </w:tr>
      <w:tr w:rsidR="00B87039" w:rsidRPr="00653BF4" w14:paraId="5BCD1880" w14:textId="77777777" w:rsidTr="00557FB3">
        <w:tc>
          <w:tcPr>
            <w:tcW w:w="9356" w:type="dxa"/>
          </w:tcPr>
          <w:p w14:paraId="041B29D0" w14:textId="7777777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Assurer une représentation et une participation pleines et entières, équitables, inclusives, efficaces et tenant compte du genre des femmes et des filles dans les processus décisionnels relatifs à la biodiversité</w:t>
            </w:r>
          </w:p>
        </w:tc>
        <w:tc>
          <w:tcPr>
            <w:tcW w:w="567" w:type="dxa"/>
            <w:shd w:val="clear" w:color="auto" w:fill="92D050"/>
          </w:tcPr>
          <w:p w14:paraId="211FCB75" w14:textId="77777777" w:rsidR="00B87039" w:rsidRPr="00653BF4" w:rsidRDefault="00B87039" w:rsidP="00557FB3">
            <w:pPr>
              <w:rPr>
                <w:lang w:val="fr-FR"/>
              </w:rPr>
            </w:pPr>
            <w:r w:rsidRPr="00653BF4">
              <w:rPr>
                <w:lang w:val="fr-FR"/>
              </w:rPr>
              <w:t>63</w:t>
            </w:r>
          </w:p>
        </w:tc>
      </w:tr>
      <w:tr w:rsidR="00B87039" w:rsidRPr="00653BF4" w14:paraId="2413AA01" w14:textId="77777777" w:rsidTr="00557FB3">
        <w:tc>
          <w:tcPr>
            <w:tcW w:w="9356" w:type="dxa"/>
          </w:tcPr>
          <w:p w14:paraId="6631CDE6" w14:textId="16DAEEB9" w:rsidR="00B87039" w:rsidRPr="00653BF4" w:rsidRDefault="00B87039" w:rsidP="00557FB3">
            <w:pPr>
              <w:rPr>
                <w:rFonts w:cs="Times New Roman"/>
                <w:kern w:val="0"/>
                <w:sz w:val="21"/>
                <w:szCs w:val="21"/>
                <w:lang w:val="fr-FR"/>
              </w:rPr>
            </w:pPr>
            <w:r w:rsidRPr="00653BF4">
              <w:rPr>
                <w:rFonts w:cs="Times New Roman"/>
                <w:kern w:val="0"/>
                <w:sz w:val="21"/>
                <w:szCs w:val="21"/>
                <w:lang w:val="fr-FR"/>
              </w:rPr>
              <w:t>Assurer l</w:t>
            </w:r>
            <w:r w:rsidR="00D77549">
              <w:rPr>
                <w:rFonts w:cs="Times New Roman"/>
                <w:kern w:val="0"/>
                <w:sz w:val="21"/>
                <w:szCs w:val="21"/>
                <w:lang w:val="fr-FR"/>
              </w:rPr>
              <w:t>’</w:t>
            </w:r>
            <w:r w:rsidRPr="00653BF4">
              <w:rPr>
                <w:rFonts w:cs="Times New Roman"/>
                <w:kern w:val="0"/>
                <w:sz w:val="21"/>
                <w:szCs w:val="21"/>
                <w:lang w:val="fr-FR"/>
              </w:rPr>
              <w:t>accès à la justice des femmes et des filles concernant la biodiversité</w:t>
            </w:r>
          </w:p>
          <w:p w14:paraId="1FB4E3DF" w14:textId="77777777" w:rsidR="00B87039" w:rsidRPr="00653BF4" w:rsidRDefault="00B87039" w:rsidP="00557FB3">
            <w:pPr>
              <w:rPr>
                <w:sz w:val="21"/>
                <w:szCs w:val="21"/>
                <w:lang w:val="fr-FR"/>
              </w:rPr>
            </w:pPr>
          </w:p>
        </w:tc>
        <w:tc>
          <w:tcPr>
            <w:tcW w:w="567" w:type="dxa"/>
            <w:shd w:val="clear" w:color="auto" w:fill="FFC000"/>
          </w:tcPr>
          <w:p w14:paraId="7996AA64" w14:textId="77777777" w:rsidR="00B87039" w:rsidRPr="00653BF4" w:rsidRDefault="00B87039" w:rsidP="00557FB3">
            <w:pPr>
              <w:rPr>
                <w:lang w:val="fr-FR"/>
              </w:rPr>
            </w:pPr>
            <w:r w:rsidRPr="00653BF4">
              <w:rPr>
                <w:lang w:val="fr-FR"/>
              </w:rPr>
              <w:t>26</w:t>
            </w:r>
          </w:p>
        </w:tc>
      </w:tr>
      <w:tr w:rsidR="00B87039" w:rsidRPr="00653BF4" w14:paraId="464160D4" w14:textId="77777777" w:rsidTr="00557FB3">
        <w:tc>
          <w:tcPr>
            <w:tcW w:w="9356" w:type="dxa"/>
          </w:tcPr>
          <w:p w14:paraId="216D9C97" w14:textId="203C70F2" w:rsidR="00B87039" w:rsidRPr="00653BF4" w:rsidRDefault="00B87039" w:rsidP="00557FB3">
            <w:pPr>
              <w:rPr>
                <w:rFonts w:cs="Times New Roman"/>
                <w:kern w:val="0"/>
                <w:sz w:val="21"/>
                <w:szCs w:val="21"/>
                <w:lang w:val="fr-FR"/>
              </w:rPr>
            </w:pPr>
            <w:r w:rsidRPr="00653BF4">
              <w:rPr>
                <w:rFonts w:cs="Times New Roman"/>
                <w:kern w:val="0"/>
                <w:sz w:val="21"/>
                <w:szCs w:val="21"/>
                <w:lang w:val="fr-FR"/>
              </w:rPr>
              <w:t>Assurer l</w:t>
            </w:r>
            <w:r w:rsidR="00D77549">
              <w:rPr>
                <w:rFonts w:cs="Times New Roman"/>
                <w:kern w:val="0"/>
                <w:sz w:val="21"/>
                <w:szCs w:val="21"/>
                <w:lang w:val="fr-FR"/>
              </w:rPr>
              <w:t>’</w:t>
            </w:r>
            <w:r w:rsidRPr="00653BF4">
              <w:rPr>
                <w:rFonts w:cs="Times New Roman"/>
                <w:kern w:val="0"/>
                <w:sz w:val="21"/>
                <w:szCs w:val="21"/>
                <w:lang w:val="fr-FR"/>
              </w:rPr>
              <w:t>accès aux informations relatives à la biodiversité des femmes et des filles</w:t>
            </w:r>
          </w:p>
          <w:p w14:paraId="051D177D" w14:textId="77777777" w:rsidR="00B87039" w:rsidRPr="00653BF4" w:rsidRDefault="00B87039" w:rsidP="00557FB3">
            <w:pPr>
              <w:rPr>
                <w:sz w:val="21"/>
                <w:szCs w:val="21"/>
                <w:lang w:val="fr-FR"/>
              </w:rPr>
            </w:pPr>
          </w:p>
        </w:tc>
        <w:tc>
          <w:tcPr>
            <w:tcW w:w="567" w:type="dxa"/>
            <w:shd w:val="clear" w:color="auto" w:fill="FFC000"/>
          </w:tcPr>
          <w:p w14:paraId="481AC697" w14:textId="77777777" w:rsidR="00B87039" w:rsidRPr="00653BF4" w:rsidRDefault="00B87039" w:rsidP="00557FB3">
            <w:pPr>
              <w:rPr>
                <w:lang w:val="fr-FR"/>
              </w:rPr>
            </w:pPr>
            <w:r w:rsidRPr="00653BF4">
              <w:rPr>
                <w:lang w:val="fr-FR"/>
              </w:rPr>
              <w:t>37</w:t>
            </w:r>
          </w:p>
        </w:tc>
      </w:tr>
      <w:tr w:rsidR="00B87039" w:rsidRPr="00653BF4" w14:paraId="17A871CA" w14:textId="77777777" w:rsidTr="00557FB3">
        <w:tc>
          <w:tcPr>
            <w:tcW w:w="9356" w:type="dxa"/>
          </w:tcPr>
          <w:p w14:paraId="552C73EA" w14:textId="7777777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Assurer une représentation et une participation pleines et entières, équitables, inclusives, efficaces et tenant compte du genre des enfants et des jeunes dans les processus décisionnels relatifs à la biodiversité</w:t>
            </w:r>
          </w:p>
        </w:tc>
        <w:tc>
          <w:tcPr>
            <w:tcW w:w="567" w:type="dxa"/>
            <w:shd w:val="clear" w:color="auto" w:fill="FFFF00"/>
          </w:tcPr>
          <w:p w14:paraId="2567BC1D" w14:textId="77777777" w:rsidR="00B87039" w:rsidRPr="00653BF4" w:rsidRDefault="00B87039" w:rsidP="00557FB3">
            <w:pPr>
              <w:rPr>
                <w:lang w:val="fr-FR"/>
              </w:rPr>
            </w:pPr>
            <w:r w:rsidRPr="00653BF4">
              <w:rPr>
                <w:lang w:val="fr-FR"/>
              </w:rPr>
              <w:t>59</w:t>
            </w:r>
          </w:p>
        </w:tc>
      </w:tr>
      <w:tr w:rsidR="00B87039" w:rsidRPr="00653BF4" w14:paraId="5E2EC514" w14:textId="77777777" w:rsidTr="00557FB3">
        <w:tc>
          <w:tcPr>
            <w:tcW w:w="9356" w:type="dxa"/>
          </w:tcPr>
          <w:p w14:paraId="34221046" w14:textId="3F6890DA" w:rsidR="00B87039" w:rsidRPr="00653BF4" w:rsidRDefault="00B87039" w:rsidP="00557FB3">
            <w:pPr>
              <w:rPr>
                <w:rFonts w:cs="Times New Roman"/>
                <w:kern w:val="0"/>
                <w:sz w:val="21"/>
                <w:szCs w:val="21"/>
                <w:lang w:val="fr-FR"/>
              </w:rPr>
            </w:pPr>
            <w:r w:rsidRPr="00653BF4">
              <w:rPr>
                <w:rFonts w:cs="Times New Roman"/>
                <w:kern w:val="0"/>
                <w:sz w:val="21"/>
                <w:szCs w:val="21"/>
                <w:lang w:val="fr-FR"/>
              </w:rPr>
              <w:t>Assurer l</w:t>
            </w:r>
            <w:r w:rsidR="00D77549">
              <w:rPr>
                <w:rFonts w:cs="Times New Roman"/>
                <w:kern w:val="0"/>
                <w:sz w:val="21"/>
                <w:szCs w:val="21"/>
                <w:lang w:val="fr-FR"/>
              </w:rPr>
              <w:t>’</w:t>
            </w:r>
            <w:r w:rsidRPr="00653BF4">
              <w:rPr>
                <w:rFonts w:cs="Times New Roman"/>
                <w:kern w:val="0"/>
                <w:sz w:val="21"/>
                <w:szCs w:val="21"/>
                <w:lang w:val="fr-FR"/>
              </w:rPr>
              <w:t>accès à la justice des enfants et des jeunes concernant la biodiversité</w:t>
            </w:r>
          </w:p>
          <w:p w14:paraId="19D7289F" w14:textId="77777777" w:rsidR="00B87039" w:rsidRPr="00653BF4" w:rsidRDefault="00B87039" w:rsidP="00557FB3">
            <w:pPr>
              <w:rPr>
                <w:sz w:val="21"/>
                <w:szCs w:val="21"/>
                <w:lang w:val="fr-FR"/>
              </w:rPr>
            </w:pPr>
          </w:p>
        </w:tc>
        <w:tc>
          <w:tcPr>
            <w:tcW w:w="567" w:type="dxa"/>
            <w:shd w:val="clear" w:color="auto" w:fill="FFC000"/>
          </w:tcPr>
          <w:p w14:paraId="6E3E1168" w14:textId="77777777" w:rsidR="00B87039" w:rsidRPr="00653BF4" w:rsidRDefault="00B87039" w:rsidP="00557FB3">
            <w:pPr>
              <w:rPr>
                <w:lang w:val="fr-FR"/>
              </w:rPr>
            </w:pPr>
            <w:r w:rsidRPr="00653BF4">
              <w:rPr>
                <w:lang w:val="fr-FR"/>
              </w:rPr>
              <w:t>26</w:t>
            </w:r>
          </w:p>
        </w:tc>
      </w:tr>
      <w:tr w:rsidR="00B87039" w:rsidRPr="00653BF4" w14:paraId="0F58C0F8" w14:textId="77777777" w:rsidTr="00557FB3">
        <w:tc>
          <w:tcPr>
            <w:tcW w:w="9356" w:type="dxa"/>
          </w:tcPr>
          <w:p w14:paraId="434B8BAC" w14:textId="29035D54" w:rsidR="00B87039" w:rsidRPr="00653BF4" w:rsidRDefault="00B87039" w:rsidP="00557FB3">
            <w:pPr>
              <w:rPr>
                <w:rFonts w:cs="Times New Roman"/>
                <w:kern w:val="0"/>
                <w:sz w:val="21"/>
                <w:szCs w:val="21"/>
                <w:lang w:val="fr-FR"/>
              </w:rPr>
            </w:pPr>
            <w:r w:rsidRPr="00653BF4">
              <w:rPr>
                <w:rFonts w:cs="Times New Roman"/>
                <w:kern w:val="0"/>
                <w:sz w:val="21"/>
                <w:szCs w:val="21"/>
                <w:lang w:val="fr-FR"/>
              </w:rPr>
              <w:t>Assurer l</w:t>
            </w:r>
            <w:r w:rsidR="00D77549">
              <w:rPr>
                <w:rFonts w:cs="Times New Roman"/>
                <w:kern w:val="0"/>
                <w:sz w:val="21"/>
                <w:szCs w:val="21"/>
                <w:lang w:val="fr-FR"/>
              </w:rPr>
              <w:t>’</w:t>
            </w:r>
            <w:r w:rsidRPr="00653BF4">
              <w:rPr>
                <w:rFonts w:cs="Times New Roman"/>
                <w:kern w:val="0"/>
                <w:sz w:val="21"/>
                <w:szCs w:val="21"/>
                <w:lang w:val="fr-FR"/>
              </w:rPr>
              <w:t>accès aux informations relatives à la biodiversité des enfants et des jeunes</w:t>
            </w:r>
          </w:p>
          <w:p w14:paraId="443A258B" w14:textId="77777777" w:rsidR="00B87039" w:rsidRPr="00653BF4" w:rsidRDefault="00B87039" w:rsidP="00557FB3">
            <w:pPr>
              <w:rPr>
                <w:rFonts w:cs="Times New Roman"/>
                <w:kern w:val="0"/>
                <w:sz w:val="21"/>
                <w:szCs w:val="21"/>
                <w:lang w:val="fr-FR"/>
              </w:rPr>
            </w:pPr>
          </w:p>
        </w:tc>
        <w:tc>
          <w:tcPr>
            <w:tcW w:w="567" w:type="dxa"/>
            <w:shd w:val="clear" w:color="auto" w:fill="FFC000"/>
          </w:tcPr>
          <w:p w14:paraId="05BF1A18" w14:textId="77777777" w:rsidR="00B87039" w:rsidRPr="00653BF4" w:rsidRDefault="00B87039" w:rsidP="00557FB3">
            <w:pPr>
              <w:rPr>
                <w:lang w:val="fr-FR"/>
              </w:rPr>
            </w:pPr>
            <w:r w:rsidRPr="00653BF4">
              <w:rPr>
                <w:lang w:val="fr-FR"/>
              </w:rPr>
              <w:t>38</w:t>
            </w:r>
          </w:p>
        </w:tc>
      </w:tr>
      <w:tr w:rsidR="00B87039" w:rsidRPr="00653BF4" w14:paraId="0CBD9A15" w14:textId="77777777" w:rsidTr="00557FB3">
        <w:tc>
          <w:tcPr>
            <w:tcW w:w="9356" w:type="dxa"/>
          </w:tcPr>
          <w:p w14:paraId="5AEFB10D" w14:textId="7777777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Assurer une représentation et une participation pleines et entières, équitables, inclusives, efficaces et tenant compte du genre des personnes handicapées dans les processus décisionnels relatifs à la biodiversité</w:t>
            </w:r>
          </w:p>
        </w:tc>
        <w:tc>
          <w:tcPr>
            <w:tcW w:w="567" w:type="dxa"/>
            <w:shd w:val="clear" w:color="auto" w:fill="FFFF00"/>
          </w:tcPr>
          <w:p w14:paraId="38681A16" w14:textId="77777777" w:rsidR="00B87039" w:rsidRPr="00653BF4" w:rsidRDefault="00B87039" w:rsidP="00557FB3">
            <w:pPr>
              <w:rPr>
                <w:lang w:val="fr-FR"/>
              </w:rPr>
            </w:pPr>
            <w:r w:rsidRPr="00653BF4">
              <w:rPr>
                <w:lang w:val="fr-FR"/>
              </w:rPr>
              <w:t>50</w:t>
            </w:r>
          </w:p>
        </w:tc>
      </w:tr>
      <w:tr w:rsidR="00B87039" w:rsidRPr="00653BF4" w14:paraId="732D33A9" w14:textId="77777777" w:rsidTr="00557FB3">
        <w:tc>
          <w:tcPr>
            <w:tcW w:w="9356" w:type="dxa"/>
          </w:tcPr>
          <w:p w14:paraId="60CCD42B" w14:textId="4B67D3B0" w:rsidR="00B87039" w:rsidRPr="00653BF4" w:rsidRDefault="00B87039" w:rsidP="00557FB3">
            <w:pPr>
              <w:rPr>
                <w:rFonts w:cs="Times New Roman"/>
                <w:kern w:val="0"/>
                <w:sz w:val="21"/>
                <w:szCs w:val="21"/>
                <w:lang w:val="fr-FR"/>
              </w:rPr>
            </w:pPr>
            <w:r w:rsidRPr="00653BF4">
              <w:rPr>
                <w:rFonts w:cs="Times New Roman"/>
                <w:kern w:val="0"/>
                <w:sz w:val="21"/>
                <w:szCs w:val="21"/>
                <w:lang w:val="fr-FR"/>
              </w:rPr>
              <w:t>Assurer l</w:t>
            </w:r>
            <w:r w:rsidR="00D77549">
              <w:rPr>
                <w:rFonts w:cs="Times New Roman"/>
                <w:kern w:val="0"/>
                <w:sz w:val="21"/>
                <w:szCs w:val="21"/>
                <w:lang w:val="fr-FR"/>
              </w:rPr>
              <w:t>’</w:t>
            </w:r>
            <w:r w:rsidRPr="00653BF4">
              <w:rPr>
                <w:rFonts w:cs="Times New Roman"/>
                <w:kern w:val="0"/>
                <w:sz w:val="21"/>
                <w:szCs w:val="21"/>
                <w:lang w:val="fr-FR"/>
              </w:rPr>
              <w:t>accès à la justice des personnes handicapées concernant la biodiversité</w:t>
            </w:r>
          </w:p>
          <w:p w14:paraId="2CF46CD5" w14:textId="77777777" w:rsidR="00B87039" w:rsidRPr="00653BF4" w:rsidRDefault="00B87039" w:rsidP="00557FB3">
            <w:pPr>
              <w:rPr>
                <w:rFonts w:cs="Times New Roman"/>
                <w:kern w:val="0"/>
                <w:sz w:val="21"/>
                <w:szCs w:val="21"/>
                <w:lang w:val="fr-FR"/>
              </w:rPr>
            </w:pPr>
          </w:p>
        </w:tc>
        <w:tc>
          <w:tcPr>
            <w:tcW w:w="567" w:type="dxa"/>
            <w:shd w:val="clear" w:color="auto" w:fill="FFC000"/>
          </w:tcPr>
          <w:p w14:paraId="380000D8" w14:textId="77777777" w:rsidR="00B87039" w:rsidRPr="00653BF4" w:rsidRDefault="00B87039" w:rsidP="00557FB3">
            <w:pPr>
              <w:rPr>
                <w:lang w:val="fr-FR"/>
              </w:rPr>
            </w:pPr>
            <w:r w:rsidRPr="00653BF4">
              <w:rPr>
                <w:lang w:val="fr-FR"/>
              </w:rPr>
              <w:t>24</w:t>
            </w:r>
          </w:p>
        </w:tc>
      </w:tr>
      <w:tr w:rsidR="00B87039" w:rsidRPr="00653BF4" w14:paraId="5852E777" w14:textId="77777777" w:rsidTr="00557FB3">
        <w:tc>
          <w:tcPr>
            <w:tcW w:w="9356" w:type="dxa"/>
          </w:tcPr>
          <w:p w14:paraId="2823C864" w14:textId="14AA5E3B"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Assurer l</w:t>
            </w:r>
            <w:r w:rsidR="00D77549">
              <w:rPr>
                <w:rFonts w:cs="Times New Roman"/>
                <w:kern w:val="0"/>
                <w:sz w:val="21"/>
                <w:szCs w:val="21"/>
                <w:lang w:val="fr-FR"/>
              </w:rPr>
              <w:t>’</w:t>
            </w:r>
            <w:r w:rsidRPr="00653BF4">
              <w:rPr>
                <w:rFonts w:cs="Times New Roman"/>
                <w:kern w:val="0"/>
                <w:sz w:val="21"/>
                <w:szCs w:val="21"/>
                <w:lang w:val="fr-FR"/>
              </w:rPr>
              <w:t>accès aux informations relatives à la biodiversité des personnes handicapées</w:t>
            </w:r>
          </w:p>
          <w:p w14:paraId="7FCB70AD" w14:textId="77777777" w:rsidR="00B87039" w:rsidRPr="00653BF4" w:rsidRDefault="00B87039" w:rsidP="00557FB3">
            <w:pPr>
              <w:rPr>
                <w:rFonts w:cs="Times New Roman"/>
                <w:kern w:val="0"/>
                <w:sz w:val="21"/>
                <w:szCs w:val="21"/>
                <w:lang w:val="fr-FR"/>
              </w:rPr>
            </w:pPr>
          </w:p>
        </w:tc>
        <w:tc>
          <w:tcPr>
            <w:tcW w:w="567" w:type="dxa"/>
            <w:shd w:val="clear" w:color="auto" w:fill="FFC000"/>
          </w:tcPr>
          <w:p w14:paraId="3AAEA092" w14:textId="77777777" w:rsidR="00B87039" w:rsidRPr="00653BF4" w:rsidRDefault="00B87039" w:rsidP="00557FB3">
            <w:pPr>
              <w:rPr>
                <w:lang w:val="fr-FR"/>
              </w:rPr>
            </w:pPr>
            <w:r w:rsidRPr="00653BF4">
              <w:rPr>
                <w:lang w:val="fr-FR"/>
              </w:rPr>
              <w:t>36</w:t>
            </w:r>
          </w:p>
        </w:tc>
      </w:tr>
      <w:tr w:rsidR="00B87039" w:rsidRPr="00653BF4" w14:paraId="5039BD53" w14:textId="77777777" w:rsidTr="00557FB3">
        <w:tc>
          <w:tcPr>
            <w:tcW w:w="9356" w:type="dxa"/>
          </w:tcPr>
          <w:p w14:paraId="7F86A5AE" w14:textId="77777777" w:rsidR="00B87039" w:rsidRPr="00653BF4" w:rsidRDefault="00B87039" w:rsidP="00557FB3">
            <w:pPr>
              <w:rPr>
                <w:rFonts w:cs="Times New Roman"/>
                <w:kern w:val="0"/>
                <w:sz w:val="21"/>
                <w:szCs w:val="21"/>
                <w:lang w:val="fr-FR"/>
              </w:rPr>
            </w:pPr>
            <w:r w:rsidRPr="00653BF4">
              <w:rPr>
                <w:rFonts w:cs="Times New Roman"/>
                <w:kern w:val="0"/>
                <w:sz w:val="21"/>
                <w:szCs w:val="21"/>
                <w:lang w:val="fr-FR"/>
              </w:rPr>
              <w:t>Garantir la pleine protection des défenseurs et défenseuses des droits humains en matière d’environnement</w:t>
            </w:r>
          </w:p>
          <w:p w14:paraId="6B8F022A" w14:textId="77777777" w:rsidR="00B87039" w:rsidRPr="00653BF4" w:rsidRDefault="00B87039" w:rsidP="00557FB3">
            <w:pPr>
              <w:rPr>
                <w:rFonts w:cs="Times New Roman"/>
                <w:kern w:val="0"/>
                <w:sz w:val="21"/>
                <w:szCs w:val="21"/>
                <w:lang w:val="fr-FR"/>
              </w:rPr>
            </w:pPr>
          </w:p>
        </w:tc>
        <w:tc>
          <w:tcPr>
            <w:tcW w:w="567" w:type="dxa"/>
            <w:shd w:val="clear" w:color="auto" w:fill="EE0000"/>
          </w:tcPr>
          <w:p w14:paraId="6852EC22" w14:textId="77777777" w:rsidR="00B87039" w:rsidRPr="00653BF4" w:rsidRDefault="00B87039" w:rsidP="00557FB3">
            <w:pPr>
              <w:rPr>
                <w:lang w:val="fr-FR"/>
              </w:rPr>
            </w:pPr>
            <w:r w:rsidRPr="00653BF4">
              <w:rPr>
                <w:lang w:val="fr-FR"/>
              </w:rPr>
              <w:t>14</w:t>
            </w:r>
          </w:p>
        </w:tc>
      </w:tr>
      <w:tr w:rsidR="00B87039" w:rsidRPr="00653BF4" w14:paraId="6FFE3383" w14:textId="77777777" w:rsidTr="00557FB3">
        <w:tc>
          <w:tcPr>
            <w:tcW w:w="9356" w:type="dxa"/>
          </w:tcPr>
          <w:p w14:paraId="52210559" w14:textId="77777777" w:rsidR="00B87039" w:rsidRPr="00653BF4" w:rsidRDefault="00B87039"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lastRenderedPageBreak/>
              <w:t>Respecter les cultures des peuples autochtones et communautés locales, et leurs droits sur leurs terres, territoires, ressources et connaissances traditionnelles</w:t>
            </w:r>
          </w:p>
        </w:tc>
        <w:tc>
          <w:tcPr>
            <w:tcW w:w="567" w:type="dxa"/>
            <w:shd w:val="clear" w:color="auto" w:fill="FFC000"/>
          </w:tcPr>
          <w:p w14:paraId="57D70C42" w14:textId="77777777" w:rsidR="00B87039" w:rsidRPr="00653BF4" w:rsidRDefault="00B87039" w:rsidP="00557FB3">
            <w:pPr>
              <w:rPr>
                <w:lang w:val="fr-FR"/>
              </w:rPr>
            </w:pPr>
            <w:r w:rsidRPr="00653BF4">
              <w:rPr>
                <w:lang w:val="fr-FR"/>
              </w:rPr>
              <w:t>25</w:t>
            </w:r>
          </w:p>
        </w:tc>
      </w:tr>
      <w:tr w:rsidR="00B87039" w:rsidRPr="00543148" w14:paraId="559172C8" w14:textId="77777777" w:rsidTr="00557FB3">
        <w:trPr>
          <w:trHeight w:val="596"/>
        </w:trPr>
        <w:tc>
          <w:tcPr>
            <w:tcW w:w="9923" w:type="dxa"/>
            <w:gridSpan w:val="2"/>
          </w:tcPr>
          <w:p w14:paraId="060B2C3E" w14:textId="77777777" w:rsidR="00B87039" w:rsidRPr="00653BF4" w:rsidRDefault="00B87039" w:rsidP="00557FB3">
            <w:pPr>
              <w:pStyle w:val="p1"/>
              <w:keepNext/>
              <w:rPr>
                <w:rFonts w:asciiTheme="minorHAnsi" w:hAnsiTheme="minorHAnsi"/>
                <w:b/>
                <w:bCs/>
                <w:sz w:val="22"/>
                <w:szCs w:val="22"/>
                <w:lang w:val="fr-FR"/>
              </w:rPr>
            </w:pPr>
          </w:p>
          <w:p w14:paraId="75ACFF8A" w14:textId="28AC3C51" w:rsidR="00B87039" w:rsidRPr="00653BF4" w:rsidRDefault="00B87039"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38</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08D45A1B" w14:textId="77777777" w:rsidR="00B87039" w:rsidRPr="00653BF4" w:rsidRDefault="00B87039" w:rsidP="00557FB3">
            <w:pPr>
              <w:rPr>
                <w:lang w:val="fr-FR"/>
              </w:rPr>
            </w:pPr>
          </w:p>
        </w:tc>
      </w:tr>
    </w:tbl>
    <w:p w14:paraId="47ED4C9B" w14:textId="77777777" w:rsidR="00B87039" w:rsidRPr="00653BF4" w:rsidRDefault="00B87039" w:rsidP="00B87039">
      <w:pPr>
        <w:rPr>
          <w:lang w:val="fr-FR"/>
        </w:rPr>
      </w:pPr>
    </w:p>
    <w:p w14:paraId="75A0AA00" w14:textId="42B60942" w:rsidR="00B87039" w:rsidRPr="00653BF4" w:rsidRDefault="00B87039" w:rsidP="00B87039">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w:t>
      </w:r>
      <w:r w:rsidR="00D77549">
        <w:rPr>
          <w:iCs/>
          <w:sz w:val="16"/>
          <w:szCs w:val="16"/>
          <w:lang w:val="fr-FR"/>
        </w:rPr>
        <w:t>’</w:t>
      </w:r>
      <w:r w:rsidRPr="00653BF4">
        <w:rPr>
          <w:iCs/>
          <w:sz w:val="16"/>
          <w:szCs w:val="16"/>
          <w:lang w:val="fr-FR"/>
        </w:rPr>
        <w:t>élément, au moins partiellement.</w:t>
      </w:r>
    </w:p>
    <w:p w14:paraId="2FA6BE15" w14:textId="3894D117" w:rsidR="00B87039" w:rsidRPr="00653BF4" w:rsidRDefault="00B87039" w:rsidP="00B87039">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cs="Segoe UI"/>
          <w:sz w:val="16"/>
          <w:szCs w:val="16"/>
          <w:lang w:val="fr-FR"/>
        </w:rPr>
        <w:t xml:space="preserve"> Les éléments de chaque cible ont été définis par le Groupe spécial d</w:t>
      </w:r>
      <w:r w:rsidR="00D77549">
        <w:rPr>
          <w:rStyle w:val="normaltextrun"/>
          <w:rFonts w:cs="Segoe UI"/>
          <w:sz w:val="16"/>
          <w:szCs w:val="16"/>
          <w:lang w:val="fr-FR"/>
        </w:rPr>
        <w:t>’</w:t>
      </w:r>
      <w:r w:rsidRPr="00653BF4">
        <w:rPr>
          <w:rStyle w:val="normaltextrun"/>
          <w:rFonts w:cs="Segoe UI"/>
          <w:sz w:val="16"/>
          <w:szCs w:val="16"/>
          <w:lang w:val="fr-FR"/>
        </w:rPr>
        <w:t xml:space="preserve">experts techniques sur les indicateurs du Cadre mondial de la biodiversité de Kunming-Montréal (voir annexe I du document </w:t>
      </w:r>
      <w:hyperlink r:id="rId212" w:history="1">
        <w:r w:rsidRPr="00653BF4">
          <w:rPr>
            <w:rStyle w:val="Hyperlink"/>
            <w:rFonts w:ascii="Aptos" w:hAnsi="Aptos" w:cs="Segoe UI"/>
            <w:sz w:val="16"/>
            <w:szCs w:val="16"/>
            <w:lang w:val="fr-FR"/>
          </w:rPr>
          <w:t>CBD/COP/16/INF/4</w:t>
        </w:r>
      </w:hyperlink>
      <w:r w:rsidR="00E34DC9">
        <w:rPr>
          <w:rStyle w:val="normaltextrun"/>
          <w:rFonts w:cs="Segoe UI"/>
          <w:sz w:val="16"/>
          <w:szCs w:val="16"/>
          <w:lang w:val="fr-FR"/>
        </w:rPr>
        <w:t> ;</w:t>
      </w:r>
      <w:r w:rsidRPr="00653BF4">
        <w:rPr>
          <w:rFonts w:ascii="Aptos" w:hAnsi="Aptos" w:cs="Segoe UI"/>
          <w:sz w:val="16"/>
          <w:szCs w:val="16"/>
          <w:lang w:val="fr-FR"/>
        </w:rPr>
        <w:t xml:space="preserve"> et Affinito </w:t>
      </w:r>
      <w:r w:rsidRPr="00653BF4">
        <w:rPr>
          <w:rFonts w:ascii="Aptos" w:hAnsi="Aptos" w:cs="Segoe UI"/>
          <w:i/>
          <w:iCs/>
          <w:sz w:val="16"/>
          <w:szCs w:val="16"/>
          <w:lang w:val="fr-FR"/>
        </w:rPr>
        <w:t>et al.</w:t>
      </w:r>
      <w:r w:rsidRPr="00653BF4">
        <w:rPr>
          <w:rFonts w:ascii="Aptos" w:hAnsi="Aptos" w:cs="Segoe UI"/>
          <w:sz w:val="16"/>
          <w:szCs w:val="16"/>
          <w:lang w:val="fr-FR"/>
        </w:rPr>
        <w:t>, 2025).</w:t>
      </w:r>
      <w:r w:rsidRPr="00653BF4">
        <w:rPr>
          <w:rStyle w:val="normaltextrun"/>
          <w:rFonts w:cs="Segoe UI"/>
          <w:sz w:val="16"/>
          <w:szCs w:val="16"/>
          <w:lang w:val="fr-FR"/>
        </w:rPr>
        <w:t>La méthode détaillée employée pour l</w:t>
      </w:r>
      <w:r w:rsidR="00D77549">
        <w:rPr>
          <w:rStyle w:val="normaltextrun"/>
          <w:rFonts w:cs="Segoe UI"/>
          <w:sz w:val="16"/>
          <w:szCs w:val="16"/>
          <w:lang w:val="fr-FR"/>
        </w:rPr>
        <w:t>’</w:t>
      </w:r>
      <w:r w:rsidRPr="00653BF4">
        <w:rPr>
          <w:rStyle w:val="normaltextrun"/>
          <w:rFonts w:cs="Segoe UI"/>
          <w:sz w:val="16"/>
          <w:szCs w:val="16"/>
          <w:lang w:val="fr-FR"/>
        </w:rPr>
        <w:t>analyse des cibles nationales est présentée dans le document </w:t>
      </w:r>
      <w:hyperlink r:id="rId213" w:history="1">
        <w:r w:rsidRPr="00653BF4">
          <w:rPr>
            <w:rStyle w:val="Hyperlink"/>
            <w:rFonts w:ascii="Aptos" w:hAnsi="Aptos" w:cs="Segoe UI"/>
            <w:sz w:val="16"/>
            <w:szCs w:val="16"/>
            <w:lang w:val="fr-FR"/>
          </w:rPr>
          <w:t>CBD/SBI/7/INF/22</w:t>
        </w:r>
      </w:hyperlink>
      <w:r w:rsidRPr="00653BF4">
        <w:rPr>
          <w:rStyle w:val="normaltextrun"/>
          <w:rFonts w:cs="Segoe UI"/>
          <w:sz w:val="16"/>
          <w:szCs w:val="16"/>
          <w:lang w:val="fr-FR"/>
        </w:rPr>
        <w:t xml:space="preserve">. </w:t>
      </w:r>
    </w:p>
    <w:p w14:paraId="2AD6FDAD" w14:textId="77777777" w:rsidR="00B87039" w:rsidRPr="00653BF4" w:rsidRDefault="00B87039" w:rsidP="00B87039">
      <w:pPr>
        <w:rPr>
          <w:lang w:val="fr-FR"/>
        </w:rPr>
      </w:pPr>
    </w:p>
    <w:p w14:paraId="14CEABB8" w14:textId="02BBF8D7" w:rsidR="00B87039" w:rsidRPr="00653BF4" w:rsidRDefault="00B87039" w:rsidP="00B87039">
      <w:pPr>
        <w:rPr>
          <w:lang w:val="fr-FR"/>
        </w:rPr>
      </w:pPr>
      <w:r w:rsidRPr="00653BF4">
        <w:rPr>
          <w:lang w:val="fr-FR"/>
        </w:rPr>
        <w:t xml:space="preserve">Le nombre de Parties ayant fixé des cibles nationales portant spécifiquement sur les quatre groupes mentionnés dans la </w:t>
      </w:r>
      <w:r w:rsidR="00E34DC9">
        <w:rPr>
          <w:lang w:val="fr-FR"/>
        </w:rPr>
        <w:t>cible 2</w:t>
      </w:r>
      <w:r w:rsidRPr="00653BF4">
        <w:rPr>
          <w:lang w:val="fr-FR"/>
        </w:rPr>
        <w:t xml:space="preserve">2 varie considérablement, tout comme le degré de garantie d’une représentation de chacun d’entre eux dans les processus décisionnels relatifs à la biodiversité, à l’accès à la justice et à l’accès aux informations, respectivement (voir le tableau 47). </w:t>
      </w:r>
      <w:bookmarkStart w:id="429" w:name="_Toc235821320"/>
      <w:r w:rsidRPr="00653BF4">
        <w:rPr>
          <w:lang w:val="fr-FR"/>
        </w:rPr>
        <w:t>La plupart des Parties ont tendance à aborder la question de la représentation et de la participation des peuples autochtones et communautés locales dans leurs cibles nationales, suivies par celles des femmes et des filles, puis des enfants et des jeunes, tandis que les personnes handicapées sont celles qui font l</w:t>
      </w:r>
      <w:r w:rsidR="00D77549">
        <w:rPr>
          <w:lang w:val="fr-FR"/>
        </w:rPr>
        <w:t>’</w:t>
      </w:r>
      <w:r w:rsidRPr="00653BF4">
        <w:rPr>
          <w:lang w:val="fr-FR"/>
        </w:rPr>
        <w:t>objet de la moindre attention dans les cibles nationales. Au sein de chacun des quatre groupes, la plupart des Parties traitent de la question de la représentation dans les processus décisionnels relatifs à la biodiversité, tandis qu’un nombre plus restreint aborde l’accès aux informations et qu</w:t>
      </w:r>
      <w:r w:rsidR="00D77549">
        <w:rPr>
          <w:lang w:val="fr-FR"/>
        </w:rPr>
        <w:t>’</w:t>
      </w:r>
      <w:r w:rsidRPr="00653BF4">
        <w:rPr>
          <w:lang w:val="fr-FR"/>
        </w:rPr>
        <w:t>une minorité traite de l’accès à la justice. Environ un quart des Parties mentionnent la nécessité de respecter les cultures des peuples autochtones et communautés locales, et leurs droits sur leurs terres, territoires, ressources et connaissances traditionnelles. L</w:t>
      </w:r>
      <w:r w:rsidR="00D77549">
        <w:rPr>
          <w:lang w:val="fr-FR"/>
        </w:rPr>
        <w:t>’</w:t>
      </w:r>
      <w:r w:rsidRPr="00653BF4">
        <w:rPr>
          <w:lang w:val="fr-FR"/>
        </w:rPr>
        <w:t>élément de la cible qui a été le moins souvent abordé par les Parties (14</w:t>
      </w:r>
      <w:r w:rsidR="002878D7">
        <w:rPr>
          <w:lang w:val="fr-FR"/>
        </w:rPr>
        <w:t> %</w:t>
      </w:r>
      <w:r w:rsidRPr="00653BF4">
        <w:rPr>
          <w:lang w:val="fr-FR"/>
        </w:rPr>
        <w:t>) dans leurs cibles nationales concerne la garantie d</w:t>
      </w:r>
      <w:r w:rsidR="00D77549">
        <w:rPr>
          <w:lang w:val="fr-FR"/>
        </w:rPr>
        <w:t>’</w:t>
      </w:r>
      <w:r w:rsidRPr="00653BF4">
        <w:rPr>
          <w:lang w:val="fr-FR"/>
        </w:rPr>
        <w:t>une protection totale des défenseuses et défenseurs des droits humains en matière d</w:t>
      </w:r>
      <w:r w:rsidR="00D77549">
        <w:rPr>
          <w:lang w:val="fr-FR"/>
        </w:rPr>
        <w:t>’</w:t>
      </w:r>
      <w:r w:rsidRPr="00653BF4">
        <w:rPr>
          <w:lang w:val="fr-FR"/>
        </w:rPr>
        <w:t>environnement.</w:t>
      </w:r>
    </w:p>
    <w:p w14:paraId="579E6B76" w14:textId="77777777" w:rsidR="00B87039" w:rsidRPr="00653BF4" w:rsidRDefault="00B87039" w:rsidP="00B87039">
      <w:pPr>
        <w:rPr>
          <w:lang w:val="fr-FR"/>
        </w:rPr>
      </w:pPr>
    </w:p>
    <w:p w14:paraId="738D81DA" w14:textId="131A6E3A" w:rsidR="00B87039" w:rsidRPr="00653BF4" w:rsidRDefault="00B87039" w:rsidP="00B87039">
      <w:pPr>
        <w:rPr>
          <w:lang w:val="fr-FR"/>
        </w:rPr>
      </w:pPr>
      <w:r w:rsidRPr="00653BF4">
        <w:rPr>
          <w:lang w:val="fr-FR"/>
        </w:rPr>
        <w:t>Indicateurs de progrès</w:t>
      </w:r>
      <w:bookmarkEnd w:id="429"/>
    </w:p>
    <w:p w14:paraId="16BB8F4B" w14:textId="77777777" w:rsidR="00B87039" w:rsidRPr="00653BF4" w:rsidRDefault="00B87039" w:rsidP="00B87039">
      <w:pPr>
        <w:pStyle w:val="Caption"/>
        <w:rPr>
          <w:i w:val="0"/>
          <w:sz w:val="20"/>
          <w:szCs w:val="20"/>
          <w:lang w:val="fr-FR"/>
        </w:rPr>
      </w:pPr>
    </w:p>
    <w:p w14:paraId="3474F6E8" w14:textId="77777777" w:rsidR="00B87039" w:rsidRPr="00653BF4" w:rsidRDefault="00B87039" w:rsidP="00B87039">
      <w:pPr>
        <w:pStyle w:val="Caption"/>
        <w:rPr>
          <w:i w:val="0"/>
          <w:sz w:val="20"/>
          <w:szCs w:val="20"/>
          <w:lang w:val="fr-FR"/>
        </w:rPr>
      </w:pPr>
      <w:r w:rsidRPr="00653BF4">
        <w:rPr>
          <w:i w:val="0"/>
          <w:iCs w:val="0"/>
          <w:sz w:val="20"/>
          <w:szCs w:val="20"/>
          <w:lang w:val="fr-FR"/>
        </w:rPr>
        <w:t xml:space="preserve">Tableau 48 </w:t>
      </w:r>
    </w:p>
    <w:p w14:paraId="0630E0C6" w14:textId="598F071A" w:rsidR="00B87039" w:rsidRPr="00653BF4" w:rsidRDefault="00B87039" w:rsidP="00B87039">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2</w:t>
      </w:r>
      <w:r w:rsidRPr="00653BF4">
        <w:rPr>
          <w:b/>
          <w:bCs/>
          <w:i w:val="0"/>
          <w:iCs w:val="0"/>
          <w:sz w:val="20"/>
          <w:szCs w:val="20"/>
          <w:lang w:val="fr-FR"/>
        </w:rPr>
        <w:t>2 du Cadre</w:t>
      </w:r>
    </w:p>
    <w:p w14:paraId="1C2BD224" w14:textId="77777777" w:rsidR="00B87039" w:rsidRPr="00653BF4" w:rsidRDefault="00B87039" w:rsidP="00B87039">
      <w:pPr>
        <w:rPr>
          <w:lang w:val="fr-FR" w:eastAsia="ja-JP"/>
        </w:rPr>
      </w:pPr>
    </w:p>
    <w:tbl>
      <w:tblPr>
        <w:tblW w:w="9129" w:type="dxa"/>
        <w:tblLook w:val="04A0" w:firstRow="1" w:lastRow="0" w:firstColumn="1" w:lastColumn="0" w:noHBand="0" w:noVBand="1"/>
      </w:tblPr>
      <w:tblGrid>
        <w:gridCol w:w="4949"/>
        <w:gridCol w:w="1403"/>
        <w:gridCol w:w="659"/>
        <w:gridCol w:w="1734"/>
        <w:gridCol w:w="384"/>
      </w:tblGrid>
      <w:tr w:rsidR="00B87039" w:rsidRPr="00653BF4" w14:paraId="1420BCDB" w14:textId="77777777" w:rsidTr="00557FB3">
        <w:trPr>
          <w:trHeight w:val="1050"/>
        </w:trPr>
        <w:tc>
          <w:tcPr>
            <w:tcW w:w="5030" w:type="dxa"/>
            <w:tcBorders>
              <w:top w:val="single" w:sz="4" w:space="0" w:color="auto"/>
              <w:left w:val="single" w:sz="4" w:space="0" w:color="auto"/>
              <w:bottom w:val="single" w:sz="4" w:space="0" w:color="auto"/>
              <w:right w:val="single" w:sz="4" w:space="0" w:color="auto"/>
            </w:tcBorders>
            <w:shd w:val="clear" w:color="000000" w:fill="FFFFFF"/>
            <w:vAlign w:val="center"/>
          </w:tcPr>
          <w:p w14:paraId="58296A1F"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tc>
        <w:tc>
          <w:tcPr>
            <w:tcW w:w="1971" w:type="dxa"/>
            <w:gridSpan w:val="2"/>
            <w:tcBorders>
              <w:top w:val="single" w:sz="4" w:space="0" w:color="auto"/>
              <w:left w:val="nil"/>
              <w:bottom w:val="single" w:sz="4" w:space="0" w:color="auto"/>
              <w:right w:val="single" w:sz="4" w:space="0" w:color="auto"/>
            </w:tcBorders>
            <w:vAlign w:val="center"/>
          </w:tcPr>
          <w:p w14:paraId="47D90632" w14:textId="41806D7E" w:rsidR="00B87039" w:rsidRPr="00653BF4" w:rsidRDefault="00E04592" w:rsidP="00557FB3">
            <w:pPr>
              <w:spacing w:after="0" w:line="240" w:lineRule="auto"/>
              <w:jc w:val="center"/>
              <w:rPr>
                <w:rFonts w:eastAsia="Times New Roman" w:cs="Times New Roman"/>
                <w:color w:val="000000"/>
                <w:kern w:val="0"/>
                <w:sz w:val="20"/>
                <w:szCs w:val="20"/>
                <w:lang w:val="fr-FR" w:eastAsia="en-CA"/>
                <w14:ligatures w14:val="none"/>
              </w:rPr>
            </w:pPr>
            <w:r>
              <w:rPr>
                <w:color w:val="000000"/>
                <w:sz w:val="20"/>
                <w:szCs w:val="20"/>
                <w:lang w:val="fr-FR"/>
              </w:rPr>
              <w:t>Utilisation de l’indicateur</w:t>
            </w:r>
          </w:p>
        </w:tc>
        <w:tc>
          <w:tcPr>
            <w:tcW w:w="2128" w:type="dxa"/>
            <w:gridSpan w:val="2"/>
            <w:tcBorders>
              <w:top w:val="single" w:sz="4" w:space="0" w:color="auto"/>
              <w:left w:val="nil"/>
              <w:bottom w:val="single" w:sz="4" w:space="0" w:color="auto"/>
              <w:right w:val="single" w:sz="4" w:space="0" w:color="auto"/>
            </w:tcBorders>
            <w:vAlign w:val="center"/>
          </w:tcPr>
          <w:p w14:paraId="6BCF8B52" w14:textId="561ACB86" w:rsidR="00B87039" w:rsidRPr="00653BF4" w:rsidRDefault="00A443C9" w:rsidP="00557FB3">
            <w:pPr>
              <w:spacing w:after="0" w:line="240" w:lineRule="auto"/>
              <w:jc w:val="center"/>
              <w:rPr>
                <w:rFonts w:eastAsia="Times New Roman" w:cs="Calibri"/>
                <w:color w:val="000000"/>
                <w:kern w:val="0"/>
                <w:sz w:val="20"/>
                <w:szCs w:val="20"/>
                <w:lang w:val="fr-FR" w:eastAsia="en-CA"/>
                <w14:ligatures w14:val="none"/>
              </w:rPr>
            </w:pPr>
            <w:r>
              <w:rPr>
                <w:color w:val="000000"/>
                <w:sz w:val="20"/>
                <w:szCs w:val="20"/>
                <w:lang w:val="fr-FR"/>
              </w:rPr>
              <w:t>Résultats de l’indicateur</w:t>
            </w:r>
          </w:p>
        </w:tc>
      </w:tr>
      <w:tr w:rsidR="00B87039" w:rsidRPr="00543148" w14:paraId="6DD61CD3" w14:textId="77777777" w:rsidTr="00557FB3">
        <w:trPr>
          <w:trHeight w:val="1050"/>
        </w:trPr>
        <w:tc>
          <w:tcPr>
            <w:tcW w:w="50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F9DEF9" w14:textId="516D624F"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Indicateur phare 22.1</w:t>
            </w:r>
            <w:r w:rsidR="00E34DC9">
              <w:rPr>
                <w:rFonts w:eastAsia="Times New Roman" w:cs="Calibri"/>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changement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utilisation des sols et de régime foncier dans les territoires traditionnels des peuples autochtones et communautés locales</w:t>
            </w:r>
          </w:p>
        </w:tc>
        <w:tc>
          <w:tcPr>
            <w:tcW w:w="1416" w:type="dxa"/>
            <w:tcBorders>
              <w:top w:val="single" w:sz="4" w:space="0" w:color="auto"/>
              <w:left w:val="nil"/>
              <w:bottom w:val="single" w:sz="4" w:space="0" w:color="auto"/>
              <w:right w:val="single" w:sz="4" w:space="0" w:color="auto"/>
            </w:tcBorders>
            <w:vAlign w:val="center"/>
            <w:hideMark/>
          </w:tcPr>
          <w:p w14:paraId="7AEBBFE2" w14:textId="1618DE6E"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7</w:t>
            </w:r>
            <w:r w:rsidR="002878D7">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des Parties</w:t>
            </w:r>
          </w:p>
        </w:tc>
        <w:tc>
          <w:tcPr>
            <w:tcW w:w="555" w:type="dxa"/>
            <w:tcBorders>
              <w:top w:val="single" w:sz="4" w:space="0" w:color="auto"/>
              <w:left w:val="nil"/>
              <w:bottom w:val="single" w:sz="4" w:space="0" w:color="auto"/>
              <w:right w:val="single" w:sz="4" w:space="0" w:color="auto"/>
            </w:tcBorders>
            <w:shd w:val="clear" w:color="000000" w:fill="C00000"/>
            <w:vAlign w:val="center"/>
            <w:hideMark/>
          </w:tcPr>
          <w:p w14:paraId="412D419B"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1740" w:type="dxa"/>
            <w:tcBorders>
              <w:top w:val="single" w:sz="4" w:space="0" w:color="auto"/>
              <w:left w:val="nil"/>
              <w:bottom w:val="single" w:sz="4" w:space="0" w:color="auto"/>
              <w:right w:val="single" w:sz="4" w:space="0" w:color="auto"/>
            </w:tcBorders>
            <w:vAlign w:val="center"/>
            <w:hideMark/>
          </w:tcPr>
          <w:p w14:paraId="003A9E92" w14:textId="6D4FAC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rFonts w:eastAsia="Times New Roman" w:cs="Calibri"/>
                <w:color w:val="000000"/>
                <w:kern w:val="0"/>
                <w:sz w:val="20"/>
                <w:szCs w:val="20"/>
                <w:lang w:val="fr-FR"/>
                <w14:ligatures w14:val="none"/>
              </w:rPr>
              <w:t>Aucun résultat</w:t>
            </w:r>
            <w:r w:rsidR="00E34DC9">
              <w:rPr>
                <w:rFonts w:eastAsia="Times New Roman" w:cs="Calibri"/>
                <w:color w:val="000000"/>
                <w:kern w:val="0"/>
                <w:sz w:val="20"/>
                <w:szCs w:val="20"/>
                <w:lang w:val="fr-FR"/>
                <w14:ligatures w14:val="none"/>
              </w:rPr>
              <w:t> :</w:t>
            </w:r>
            <w:r w:rsidRPr="00653BF4">
              <w:rPr>
                <w:rFonts w:eastAsia="Times New Roman" w:cs="Calibri"/>
                <w:color w:val="000000"/>
                <w:kern w:val="0"/>
                <w:sz w:val="20"/>
                <w:szCs w:val="20"/>
                <w:lang w:val="fr-FR"/>
                <w14:ligatures w14:val="none"/>
              </w:rPr>
              <w:t xml:space="preserve"> une seule Partie a fourni l</w:t>
            </w:r>
            <w:r w:rsidR="00D77549">
              <w:rPr>
                <w:rFonts w:eastAsia="Times New Roman" w:cs="Calibri"/>
                <w:color w:val="000000"/>
                <w:kern w:val="0"/>
                <w:sz w:val="20"/>
                <w:szCs w:val="20"/>
                <w:lang w:val="fr-FR"/>
                <w14:ligatures w14:val="none"/>
              </w:rPr>
              <w:t>’</w:t>
            </w:r>
            <w:r w:rsidRPr="00653BF4">
              <w:rPr>
                <w:rFonts w:eastAsia="Times New Roman" w:cs="Calibri"/>
                <w:color w:val="000000"/>
                <w:kern w:val="0"/>
                <w:sz w:val="20"/>
                <w:szCs w:val="20"/>
                <w:lang w:val="fr-FR"/>
                <w14:ligatures w14:val="none"/>
              </w:rPr>
              <w:t>indicateur dans son intégralité, conformément à la description figurant dans les métadonnées</w:t>
            </w:r>
          </w:p>
        </w:tc>
        <w:tc>
          <w:tcPr>
            <w:tcW w:w="388" w:type="dxa"/>
            <w:tcBorders>
              <w:top w:val="single" w:sz="4" w:space="0" w:color="auto"/>
              <w:left w:val="nil"/>
              <w:bottom w:val="single" w:sz="4" w:space="0" w:color="auto"/>
              <w:right w:val="single" w:sz="4" w:space="0" w:color="auto"/>
            </w:tcBorders>
            <w:shd w:val="clear" w:color="000000" w:fill="AEAAAA"/>
            <w:vAlign w:val="center"/>
            <w:hideMark/>
          </w:tcPr>
          <w:p w14:paraId="63E1F08C" w14:textId="77777777"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p>
        </w:tc>
      </w:tr>
      <w:tr w:rsidR="00B87039" w:rsidRPr="00543148" w14:paraId="7B55CD7F" w14:textId="77777777" w:rsidTr="00557FB3">
        <w:trPr>
          <w:trHeight w:val="1050"/>
        </w:trPr>
        <w:tc>
          <w:tcPr>
            <w:tcW w:w="5030" w:type="dxa"/>
            <w:tcBorders>
              <w:top w:val="nil"/>
              <w:left w:val="single" w:sz="4" w:space="0" w:color="auto"/>
              <w:bottom w:val="single" w:sz="4" w:space="0" w:color="auto"/>
              <w:right w:val="single" w:sz="4" w:space="0" w:color="auto"/>
            </w:tcBorders>
            <w:shd w:val="clear" w:color="000000" w:fill="FFFFFF"/>
            <w:vAlign w:val="center"/>
            <w:hideMark/>
          </w:tcPr>
          <w:p w14:paraId="4A1CBD71" w14:textId="7E4011B2"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Indicateur binaire 22.b</w:t>
            </w:r>
            <w:r w:rsidR="00E34DC9">
              <w:rPr>
                <w:rFonts w:eastAsia="Times New Roman" w:cs="Times New Roman"/>
                <w:color w:val="000000"/>
                <w:kern w:val="0"/>
                <w:sz w:val="20"/>
                <w:szCs w:val="20"/>
                <w:lang w:val="fr-FR"/>
                <w14:ligatures w14:val="none"/>
              </w:rPr>
              <w:t> :</w:t>
            </w:r>
            <w:r w:rsidRPr="00653BF4">
              <w:rPr>
                <w:rFonts w:eastAsia="Times New Roman" w:cs="Times New Roman"/>
                <w:color w:val="000000"/>
                <w:kern w:val="0"/>
                <w:sz w:val="20"/>
                <w:szCs w:val="20"/>
                <w:lang w:val="fr-FR"/>
                <w14:ligatures w14:val="none"/>
              </w:rPr>
              <w:t xml:space="preserve"> nombre de pays ayant pris des mesure visant à assurer une représentation et une participation pleines et entières, équitables, inclusives, efficaces et tenant compte du genre des peuples autochtones et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et les filles, les enfants et les jeunes, ainsi que les personnes handicapées, et à garantir la pleine protection des défenseurs et défenseuses des droits humains en matière d</w:t>
            </w:r>
            <w:r w:rsidR="00D77549">
              <w:rPr>
                <w:rFonts w:eastAsia="Times New Roman" w:cs="Times New Roman"/>
                <w:color w:val="000000"/>
                <w:kern w:val="0"/>
                <w:sz w:val="20"/>
                <w:szCs w:val="20"/>
                <w:lang w:val="fr-FR"/>
                <w14:ligatures w14:val="none"/>
              </w:rPr>
              <w:t>’</w:t>
            </w:r>
            <w:r w:rsidRPr="00653BF4">
              <w:rPr>
                <w:rFonts w:eastAsia="Times New Roman" w:cs="Times New Roman"/>
                <w:color w:val="000000"/>
                <w:kern w:val="0"/>
                <w:sz w:val="20"/>
                <w:szCs w:val="20"/>
                <w:lang w:val="fr-FR"/>
                <w14:ligatures w14:val="none"/>
              </w:rPr>
              <w:t>environnement.</w:t>
            </w:r>
          </w:p>
        </w:tc>
        <w:tc>
          <w:tcPr>
            <w:tcW w:w="1416" w:type="dxa"/>
            <w:tcBorders>
              <w:top w:val="nil"/>
              <w:left w:val="nil"/>
              <w:bottom w:val="single" w:sz="4" w:space="0" w:color="auto"/>
              <w:right w:val="single" w:sz="4" w:space="0" w:color="auto"/>
            </w:tcBorders>
            <w:vAlign w:val="center"/>
            <w:hideMark/>
          </w:tcPr>
          <w:p w14:paraId="4B9C7C61"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127 Parties</w:t>
            </w:r>
          </w:p>
        </w:tc>
        <w:tc>
          <w:tcPr>
            <w:tcW w:w="555" w:type="dxa"/>
            <w:tcBorders>
              <w:top w:val="nil"/>
              <w:left w:val="nil"/>
              <w:bottom w:val="single" w:sz="4" w:space="0" w:color="auto"/>
              <w:right w:val="single" w:sz="4" w:space="0" w:color="auto"/>
            </w:tcBorders>
            <w:vAlign w:val="center"/>
            <w:hideMark/>
          </w:tcPr>
          <w:p w14:paraId="4D5C7765" w14:textId="2C52984C" w:rsidR="00B87039" w:rsidRPr="00653BF4" w:rsidRDefault="000F4D75" w:rsidP="00557FB3">
            <w:pPr>
              <w:spacing w:after="0" w:line="240" w:lineRule="auto"/>
              <w:jc w:val="center"/>
              <w:rPr>
                <w:rFonts w:eastAsia="Times New Roman" w:cs="Times New Roman"/>
                <w:color w:val="000000"/>
                <w:kern w:val="0"/>
                <w:sz w:val="20"/>
                <w:szCs w:val="20"/>
                <w:lang w:val="fr-FR" w:eastAsia="en-CA"/>
                <w14:ligatures w14:val="none"/>
              </w:rPr>
            </w:pPr>
            <w:r>
              <w:rPr>
                <w:lang w:val="fr-FR"/>
              </w:rPr>
              <w:t>s.o.</w:t>
            </w:r>
            <w:r w:rsidR="00B87039" w:rsidRPr="00653BF4">
              <w:rPr>
                <w:vertAlign w:val="superscript"/>
                <w:lang w:val="fr-FR"/>
              </w:rPr>
              <w:t>a</w:t>
            </w:r>
          </w:p>
        </w:tc>
        <w:tc>
          <w:tcPr>
            <w:tcW w:w="1740" w:type="dxa"/>
            <w:tcBorders>
              <w:top w:val="nil"/>
              <w:left w:val="nil"/>
              <w:bottom w:val="single" w:sz="4" w:space="0" w:color="auto"/>
              <w:right w:val="single" w:sz="4" w:space="0" w:color="auto"/>
            </w:tcBorders>
            <w:vAlign w:val="center"/>
            <w:hideMark/>
          </w:tcPr>
          <w:p w14:paraId="6F5D3594" w14:textId="24178278"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sz w:val="20"/>
                <w:szCs w:val="20"/>
                <w:lang w:val="fr-FR"/>
              </w:rPr>
              <w:t>62</w:t>
            </w:r>
            <w:r w:rsidR="002878D7">
              <w:rPr>
                <w:sz w:val="20"/>
                <w:szCs w:val="20"/>
                <w:lang w:val="fr-FR"/>
              </w:rPr>
              <w:t> %</w:t>
            </w:r>
            <w:r w:rsidRPr="00653BF4">
              <w:rPr>
                <w:sz w:val="20"/>
                <w:szCs w:val="20"/>
                <w:lang w:val="fr-FR"/>
              </w:rPr>
              <w:t xml:space="preserve"> des Parties ont obtenu de très bons résultats (note</w:t>
            </w:r>
            <w:r w:rsidR="00E34DC9">
              <w:rPr>
                <w:sz w:val="20"/>
                <w:szCs w:val="20"/>
                <w:lang w:val="fr-FR"/>
              </w:rPr>
              <w:t> :</w:t>
            </w:r>
            <w:r w:rsidRPr="00653BF4">
              <w:rPr>
                <w:sz w:val="20"/>
                <w:szCs w:val="20"/>
                <w:lang w:val="fr-FR"/>
              </w:rPr>
              <w:t xml:space="preserve"> 4 ou 5)</w:t>
            </w:r>
          </w:p>
        </w:tc>
        <w:tc>
          <w:tcPr>
            <w:tcW w:w="388" w:type="dxa"/>
            <w:tcBorders>
              <w:top w:val="nil"/>
              <w:left w:val="nil"/>
              <w:bottom w:val="single" w:sz="4" w:space="0" w:color="auto"/>
              <w:right w:val="single" w:sz="4" w:space="0" w:color="auto"/>
            </w:tcBorders>
            <w:shd w:val="clear" w:color="000000" w:fill="92D050"/>
            <w:vAlign w:val="center"/>
            <w:hideMark/>
          </w:tcPr>
          <w:p w14:paraId="65DD7170"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r w:rsidR="00B87039" w:rsidRPr="00543148" w14:paraId="24ECF389" w14:textId="77777777" w:rsidTr="00557FB3">
        <w:trPr>
          <w:trHeight w:val="1050"/>
        </w:trPr>
        <w:tc>
          <w:tcPr>
            <w:tcW w:w="5030" w:type="dxa"/>
            <w:tcBorders>
              <w:top w:val="nil"/>
              <w:left w:val="single" w:sz="4" w:space="0" w:color="auto"/>
              <w:bottom w:val="single" w:sz="4" w:space="0" w:color="auto"/>
              <w:right w:val="single" w:sz="4" w:space="0" w:color="auto"/>
            </w:tcBorders>
            <w:shd w:val="clear" w:color="000000" w:fill="FFFFFF"/>
            <w:vAlign w:val="center"/>
            <w:hideMark/>
          </w:tcPr>
          <w:p w14:paraId="25B96BFD"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r w:rsidRPr="00653BF4">
              <w:rPr>
                <w:rFonts w:eastAsia="Times New Roman" w:cs="Times New Roman"/>
                <w:color w:val="000000"/>
                <w:kern w:val="0"/>
                <w:sz w:val="20"/>
                <w:szCs w:val="20"/>
                <w:lang w:val="fr-FR"/>
                <w14:ligatures w14:val="none"/>
              </w:rPr>
              <w:t>Tous les indicateurs quantitatifs combinés</w:t>
            </w:r>
          </w:p>
        </w:tc>
        <w:tc>
          <w:tcPr>
            <w:tcW w:w="1416" w:type="dxa"/>
            <w:tcBorders>
              <w:top w:val="nil"/>
              <w:left w:val="nil"/>
              <w:bottom w:val="single" w:sz="4" w:space="0" w:color="auto"/>
              <w:right w:val="single" w:sz="4" w:space="0" w:color="auto"/>
            </w:tcBorders>
            <w:vAlign w:val="center"/>
            <w:hideMark/>
          </w:tcPr>
          <w:p w14:paraId="55707D49" w14:textId="3339623A" w:rsidR="00B87039" w:rsidRPr="00653BF4" w:rsidRDefault="00B87039" w:rsidP="00557FB3">
            <w:pPr>
              <w:spacing w:after="0" w:line="240" w:lineRule="auto"/>
              <w:jc w:val="center"/>
              <w:rPr>
                <w:rFonts w:eastAsia="Times New Roman" w:cs="Calibri"/>
                <w:color w:val="000000"/>
                <w:kern w:val="0"/>
                <w:sz w:val="20"/>
                <w:szCs w:val="20"/>
                <w:lang w:val="fr-FR" w:eastAsia="en-CA"/>
                <w14:ligatures w14:val="none"/>
              </w:rPr>
            </w:pPr>
            <w:r w:rsidRPr="00653BF4">
              <w:rPr>
                <w:sz w:val="20"/>
                <w:szCs w:val="20"/>
                <w:lang w:val="fr-FR"/>
              </w:rPr>
              <w:t>19 Parties, 15</w:t>
            </w:r>
            <w:r w:rsidR="002878D7">
              <w:rPr>
                <w:sz w:val="20"/>
                <w:szCs w:val="20"/>
                <w:lang w:val="fr-FR"/>
              </w:rPr>
              <w:t> %</w:t>
            </w:r>
          </w:p>
        </w:tc>
        <w:tc>
          <w:tcPr>
            <w:tcW w:w="555" w:type="dxa"/>
            <w:tcBorders>
              <w:top w:val="nil"/>
              <w:left w:val="nil"/>
              <w:bottom w:val="single" w:sz="4" w:space="0" w:color="auto"/>
              <w:right w:val="single" w:sz="4" w:space="0" w:color="auto"/>
            </w:tcBorders>
            <w:shd w:val="clear" w:color="000000" w:fill="C00000"/>
            <w:vAlign w:val="center"/>
            <w:hideMark/>
          </w:tcPr>
          <w:p w14:paraId="57833215"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c>
          <w:tcPr>
            <w:tcW w:w="1740" w:type="dxa"/>
            <w:tcBorders>
              <w:top w:val="nil"/>
              <w:left w:val="nil"/>
              <w:bottom w:val="single" w:sz="4" w:space="0" w:color="auto"/>
              <w:right w:val="single" w:sz="4" w:space="0" w:color="auto"/>
            </w:tcBorders>
            <w:vAlign w:val="center"/>
            <w:hideMark/>
          </w:tcPr>
          <w:p w14:paraId="5F25444A" w14:textId="58FAC3E6" w:rsidR="00B87039" w:rsidRPr="00653BF4" w:rsidRDefault="00B87039" w:rsidP="00557FB3">
            <w:pPr>
              <w:rPr>
                <w:sz w:val="20"/>
                <w:szCs w:val="20"/>
                <w:lang w:val="fr-FR"/>
              </w:rPr>
            </w:pPr>
            <w:r w:rsidRPr="00653BF4">
              <w:rPr>
                <w:sz w:val="20"/>
                <w:szCs w:val="20"/>
                <w:lang w:val="fr-FR"/>
              </w:rPr>
              <w:t>18</w:t>
            </w:r>
            <w:r w:rsidR="002878D7">
              <w:rPr>
                <w:sz w:val="20"/>
                <w:szCs w:val="20"/>
                <w:lang w:val="fr-FR"/>
              </w:rPr>
              <w:t> %</w:t>
            </w:r>
            <w:r w:rsidRPr="00653BF4">
              <w:rPr>
                <w:sz w:val="20"/>
                <w:szCs w:val="20"/>
                <w:lang w:val="fr-FR"/>
              </w:rPr>
              <w:t xml:space="preserve"> de tendances positives</w:t>
            </w:r>
          </w:p>
          <w:p w14:paraId="33B9C3F8" w14:textId="010F0F9F" w:rsidR="00B87039" w:rsidRPr="00653BF4" w:rsidRDefault="00B87039" w:rsidP="00557FB3">
            <w:pPr>
              <w:spacing w:after="0" w:line="240" w:lineRule="auto"/>
              <w:rPr>
                <w:rFonts w:eastAsia="Times New Roman" w:cs="Times New Roman"/>
                <w:color w:val="000000"/>
                <w:kern w:val="0"/>
                <w:sz w:val="20"/>
                <w:szCs w:val="20"/>
                <w:lang w:val="fr-FR" w:eastAsia="en-CA"/>
                <w14:ligatures w14:val="none"/>
              </w:rPr>
            </w:pPr>
            <w:r w:rsidRPr="00653BF4">
              <w:rPr>
                <w:sz w:val="20"/>
                <w:szCs w:val="20"/>
                <w:lang w:val="fr-FR"/>
              </w:rPr>
              <w:t>19</w:t>
            </w:r>
            <w:r w:rsidR="002878D7">
              <w:rPr>
                <w:sz w:val="20"/>
                <w:szCs w:val="20"/>
                <w:lang w:val="fr-FR"/>
              </w:rPr>
              <w:t> %</w:t>
            </w:r>
            <w:r w:rsidRPr="00653BF4">
              <w:rPr>
                <w:sz w:val="20"/>
                <w:szCs w:val="20"/>
                <w:lang w:val="fr-FR"/>
              </w:rPr>
              <w:t xml:space="preserve"> de tendances négatives</w:t>
            </w:r>
          </w:p>
        </w:tc>
        <w:tc>
          <w:tcPr>
            <w:tcW w:w="388" w:type="dxa"/>
            <w:tcBorders>
              <w:top w:val="nil"/>
              <w:left w:val="nil"/>
              <w:bottom w:val="single" w:sz="4" w:space="0" w:color="auto"/>
              <w:right w:val="single" w:sz="4" w:space="0" w:color="auto"/>
            </w:tcBorders>
            <w:shd w:val="clear" w:color="000000" w:fill="C00000"/>
            <w:vAlign w:val="center"/>
            <w:hideMark/>
          </w:tcPr>
          <w:p w14:paraId="789FC8F2" w14:textId="77777777" w:rsidR="00B87039" w:rsidRPr="00653BF4" w:rsidRDefault="00B87039" w:rsidP="00557FB3">
            <w:pPr>
              <w:spacing w:after="0" w:line="240" w:lineRule="auto"/>
              <w:jc w:val="center"/>
              <w:rPr>
                <w:rFonts w:eastAsia="Times New Roman" w:cs="Times New Roman"/>
                <w:color w:val="000000"/>
                <w:kern w:val="0"/>
                <w:sz w:val="20"/>
                <w:szCs w:val="20"/>
                <w:lang w:val="fr-FR" w:eastAsia="en-CA"/>
                <w14:ligatures w14:val="none"/>
              </w:rPr>
            </w:pPr>
          </w:p>
        </w:tc>
      </w:tr>
    </w:tbl>
    <w:p w14:paraId="31479FEB" w14:textId="77777777" w:rsidR="00B87039" w:rsidRPr="00653BF4" w:rsidRDefault="00B87039" w:rsidP="00B87039">
      <w:pPr>
        <w:pStyle w:val="p1"/>
        <w:rPr>
          <w:rFonts w:ascii="Aptos" w:hAnsi="Aptos"/>
          <w:sz w:val="24"/>
          <w:szCs w:val="24"/>
          <w:lang w:val="fr-FR"/>
        </w:rPr>
      </w:pPr>
    </w:p>
    <w:p w14:paraId="23CEC959" w14:textId="1ECA3F0B" w:rsidR="00B87039" w:rsidRPr="00653BF4" w:rsidRDefault="00B87039" w:rsidP="00B87039">
      <w:pPr>
        <w:rPr>
          <w:sz w:val="16"/>
          <w:szCs w:val="16"/>
          <w:lang w:val="fr-FR"/>
        </w:rPr>
      </w:pPr>
      <w:r w:rsidRPr="00653BF4">
        <w:rPr>
          <w:i/>
          <w:iCs/>
          <w:sz w:val="16"/>
          <w:szCs w:val="16"/>
          <w:lang w:val="fr-FR"/>
        </w:rPr>
        <w:t>Note</w:t>
      </w:r>
      <w:r w:rsidR="00E34DC9">
        <w:rPr>
          <w:i/>
          <w:iCs/>
          <w:sz w:val="16"/>
          <w:szCs w:val="16"/>
          <w:lang w:val="fr-FR"/>
        </w:rPr>
        <w:t> :</w:t>
      </w:r>
      <w:r w:rsidRPr="00653BF4">
        <w:rPr>
          <w:sz w:val="16"/>
          <w:szCs w:val="16"/>
          <w:lang w:val="fr-FR"/>
        </w:rPr>
        <w:t xml:space="preserve"> Le code couleur se rapporte à l</w:t>
      </w:r>
      <w:r w:rsidR="00D77549">
        <w:rPr>
          <w:sz w:val="16"/>
          <w:szCs w:val="16"/>
          <w:lang w:val="fr-FR"/>
        </w:rPr>
        <w:t>’</w:t>
      </w:r>
      <w:r w:rsidRPr="00653BF4">
        <w:rPr>
          <w:sz w:val="16"/>
          <w:szCs w:val="16"/>
          <w:lang w:val="fr-FR"/>
        </w:rPr>
        <w:t>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sz w:val="16"/>
          <w:szCs w:val="16"/>
          <w:lang w:val="fr-FR"/>
        </w:rPr>
        <w:t> %</w:t>
      </w:r>
      <w:r w:rsidRPr="00653BF4">
        <w:rPr>
          <w:sz w:val="16"/>
          <w:szCs w:val="16"/>
          <w:lang w:val="fr-FR"/>
        </w:rPr>
        <w:t>, le jaune aux valeurs comprises entre 25</w:t>
      </w:r>
      <w:r w:rsidR="002878D7">
        <w:rPr>
          <w:sz w:val="16"/>
          <w:szCs w:val="16"/>
          <w:lang w:val="fr-FR"/>
        </w:rPr>
        <w:t> %</w:t>
      </w:r>
      <w:r w:rsidRPr="00653BF4">
        <w:rPr>
          <w:sz w:val="16"/>
          <w:szCs w:val="16"/>
          <w:lang w:val="fr-FR"/>
        </w:rPr>
        <w:t xml:space="preserve"> et 50 </w:t>
      </w:r>
      <w:r w:rsidR="002878D7">
        <w:rPr>
          <w:sz w:val="16"/>
          <w:szCs w:val="16"/>
          <w:lang w:val="fr-FR"/>
        </w:rPr>
        <w:t> %</w:t>
      </w:r>
      <w:r w:rsidRPr="00653BF4">
        <w:rPr>
          <w:sz w:val="16"/>
          <w:szCs w:val="16"/>
          <w:lang w:val="fr-FR"/>
        </w:rPr>
        <w:t>, et le rouge aux valeurs inférieures à 25</w:t>
      </w:r>
      <w:r w:rsidR="002878D7">
        <w:rPr>
          <w:sz w:val="16"/>
          <w:szCs w:val="16"/>
          <w:lang w:val="fr-FR"/>
        </w:rPr>
        <w:t> %</w:t>
      </w:r>
      <w:r w:rsidRPr="00653BF4">
        <w:rPr>
          <w:sz w:val="16"/>
          <w:szCs w:val="16"/>
          <w:lang w:val="fr-FR"/>
        </w:rPr>
        <w:t>)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4F0F200A" w14:textId="77777777" w:rsidR="00B87039" w:rsidRPr="00653BF4" w:rsidRDefault="00B87039" w:rsidP="00B87039">
      <w:pPr>
        <w:pStyle w:val="FootnoteText"/>
        <w:rPr>
          <w:sz w:val="16"/>
          <w:szCs w:val="16"/>
          <w:lang w:val="fr-FR"/>
        </w:rPr>
      </w:pPr>
      <w:r w:rsidRPr="00653BF4">
        <w:rPr>
          <w:vertAlign w:val="superscript"/>
          <w:lang w:val="fr-FR"/>
        </w:rPr>
        <w:t>a</w:t>
      </w:r>
      <w:r w:rsidRPr="00653BF4">
        <w:rPr>
          <w:lang w:val="fr-FR"/>
        </w:rPr>
        <w:t xml:space="preserve"> </w:t>
      </w:r>
      <w:r w:rsidRPr="00653BF4">
        <w:rPr>
          <w:sz w:val="16"/>
          <w:szCs w:val="16"/>
          <w:lang w:val="fr-FR"/>
        </w:rPr>
        <w:t>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p>
    <w:p w14:paraId="124D0F21" w14:textId="77777777" w:rsidR="00B87039" w:rsidRPr="00653BF4" w:rsidRDefault="00B87039" w:rsidP="00B87039">
      <w:pPr>
        <w:rPr>
          <w:strike/>
          <w:lang w:val="fr-FR"/>
        </w:rPr>
      </w:pPr>
    </w:p>
    <w:p w14:paraId="314A2341" w14:textId="77777777" w:rsidR="00B87039" w:rsidRPr="00653BF4" w:rsidRDefault="00B87039" w:rsidP="00B87039">
      <w:pPr>
        <w:rPr>
          <w:lang w:val="fr-FR"/>
        </w:rPr>
      </w:pPr>
    </w:p>
    <w:p w14:paraId="04374C49" w14:textId="10B6EA2A" w:rsidR="00B87039" w:rsidRPr="00653BF4" w:rsidRDefault="00B87039" w:rsidP="00B87039">
      <w:pPr>
        <w:rPr>
          <w:lang w:val="fr-FR"/>
        </w:rPr>
      </w:pPr>
      <w:r w:rsidRPr="00653BF4">
        <w:rPr>
          <w:lang w:val="fr-FR"/>
        </w:rPr>
        <w:t>Une seule Partie a fourni des informations sur l’indicateur phare 22.1 (changement d</w:t>
      </w:r>
      <w:r w:rsidR="00D77549">
        <w:rPr>
          <w:lang w:val="fr-FR"/>
        </w:rPr>
        <w:t>’</w:t>
      </w:r>
      <w:r w:rsidRPr="00653BF4">
        <w:rPr>
          <w:lang w:val="fr-FR"/>
        </w:rPr>
        <w:t>utilisation des sols et régime foncier dans les territoires traditionnels des peuples autochtones et communautés locales) et seule une faible proportion d’entre elles (15</w:t>
      </w:r>
      <w:r w:rsidR="002878D7">
        <w:rPr>
          <w:lang w:val="fr-FR"/>
        </w:rPr>
        <w:t> %</w:t>
      </w:r>
      <w:r w:rsidRPr="00653BF4">
        <w:rPr>
          <w:lang w:val="fr-FR"/>
        </w:rPr>
        <w:t xml:space="preserve">) a fourni des données sur un indicateur quantitatif relatif à la </w:t>
      </w:r>
      <w:r w:rsidR="00E34DC9">
        <w:rPr>
          <w:lang w:val="fr-FR"/>
        </w:rPr>
        <w:t>cible 2</w:t>
      </w:r>
      <w:r w:rsidRPr="00653BF4">
        <w:rPr>
          <w:lang w:val="fr-FR"/>
        </w:rPr>
        <w:t>2 (voir le tableau 48). Les indicateurs supplémentaires communiqués par les Parties portaient principalement sur la participation, tandis que les données relatives à des domaines importants tels que l’accès aux informations, l’inclusion des personnes handicapées, la protection des défenseurs et défenseuses des droits humains en matière d’environnement, ainsi que les droits fonciers et culturels des peuples autochtones et communautés locales n’ont pas été communiquées. L</w:t>
      </w:r>
      <w:r w:rsidR="00D77549">
        <w:rPr>
          <w:lang w:val="fr-FR"/>
        </w:rPr>
        <w:t>’</w:t>
      </w:r>
      <w:r w:rsidRPr="00653BF4">
        <w:rPr>
          <w:lang w:val="fr-FR"/>
        </w:rPr>
        <w:t>analyse des tendances relatives aux indicateurs quantitatifs communiqués ne fait apparaître aucune tendance globale positive ou négative et ne peut être considérée comme représentative de l</w:t>
      </w:r>
      <w:r w:rsidR="00D77549">
        <w:rPr>
          <w:lang w:val="fr-FR"/>
        </w:rPr>
        <w:t>’</w:t>
      </w:r>
      <w:r w:rsidRPr="00653BF4">
        <w:rPr>
          <w:lang w:val="fr-FR"/>
        </w:rPr>
        <w:t xml:space="preserve">ensemble des Parties et des éléments cibles (voir la figure 90). Parmi les contraintes rencontrées, les Parties ont fait état de difficultés méthodologiques, de systèmes de collecte de données insuffisamment développés, d’informations fragmentées sur le régime foncier et de difficultés juridiques liées à la définition des territoires traditionnels. </w:t>
      </w:r>
    </w:p>
    <w:p w14:paraId="58762D90" w14:textId="0408F3A0" w:rsidR="00B87039" w:rsidRPr="00653BF4" w:rsidRDefault="00B87039" w:rsidP="00B87039">
      <w:pPr>
        <w:rPr>
          <w:lang w:val="fr-FR"/>
        </w:rPr>
      </w:pPr>
      <w:r w:rsidRPr="00653BF4">
        <w:rPr>
          <w:lang w:val="fr-FR"/>
        </w:rPr>
        <w:t>Les données compilées par le World Resources Institute pour la plateforme LandMark, sur la base des chiffres de 2024, montrent qu’un peu plus de la moitié des territoires détenus ou utilisés par les peuples autochtones et communautés locales bénéficient d’une reconnaissance juridique (pour les 102 pays figurant dans la base de données), qu’environ les trois quarts des peuples autochtones et communautés locales considèrent que leur régime foncier est sûr (pour les 108 pays figurant dans la base de données), et que 95</w:t>
      </w:r>
      <w:r w:rsidR="002878D7">
        <w:rPr>
          <w:lang w:val="fr-FR"/>
        </w:rPr>
        <w:t> %</w:t>
      </w:r>
      <w:r w:rsidRPr="00653BF4">
        <w:rPr>
          <w:lang w:val="fr-FR"/>
        </w:rPr>
        <w:t xml:space="preserve"> des terres de ces territoires restent à l’état naturel (pour les 82 pays figurant dans la base de données) (voir la figure 88) (LandMark, 2024 et 2025). </w:t>
      </w:r>
    </w:p>
    <w:p w14:paraId="48BECB1F" w14:textId="48839AA8" w:rsidR="00B87039" w:rsidRPr="00653BF4" w:rsidRDefault="00B87039" w:rsidP="00B87039">
      <w:pPr>
        <w:rPr>
          <w:lang w:val="fr-FR"/>
        </w:rPr>
      </w:pPr>
      <w:r w:rsidRPr="00653BF4">
        <w:rPr>
          <w:lang w:val="fr-FR"/>
        </w:rPr>
        <w:t xml:space="preserve">En ce qui concerne l’indicateur binaire relatif à la </w:t>
      </w:r>
      <w:r w:rsidR="00E34DC9">
        <w:rPr>
          <w:lang w:val="fr-FR"/>
        </w:rPr>
        <w:t>cible 2</w:t>
      </w:r>
      <w:r w:rsidRPr="00653BF4">
        <w:rPr>
          <w:lang w:val="fr-FR"/>
        </w:rPr>
        <w:t xml:space="preserve">2, de nombreuses Parties ont fait état de progrès dans la mise en place de conditions propices à l’inclusion et à une participation fondée sur les droits, ainsi que d’efforts visant à garantir la représentation des peuples autochtones et communautés locales, des femmes, des jeunes et des personnes en situation de handicap, et de politiques relatives à l’accès à la justice et à la protection des défenseurs et défenseuses des droits humains en matière d’environnement. Très peu de Parties ont toutefois fait état de progrès dans tous ces domaines (voir la figure 89). </w:t>
      </w:r>
    </w:p>
    <w:p w14:paraId="5A834DFC" w14:textId="77777777" w:rsidR="00B87039" w:rsidRPr="00653BF4" w:rsidRDefault="00B87039" w:rsidP="00B87039">
      <w:pPr>
        <w:rPr>
          <w:sz w:val="20"/>
          <w:szCs w:val="20"/>
          <w:lang w:val="fr-FR"/>
        </w:rPr>
      </w:pPr>
      <w:bookmarkStart w:id="430" w:name="_Ref238811794"/>
    </w:p>
    <w:bookmarkEnd w:id="430"/>
    <w:p w14:paraId="7A53A1B2" w14:textId="77777777" w:rsidR="00B87039" w:rsidRPr="00653BF4" w:rsidRDefault="00B87039" w:rsidP="00B87039">
      <w:pPr>
        <w:rPr>
          <w:sz w:val="20"/>
          <w:szCs w:val="20"/>
          <w:lang w:val="fr-FR"/>
        </w:rPr>
      </w:pPr>
      <w:r w:rsidRPr="00653BF4">
        <w:rPr>
          <w:sz w:val="20"/>
          <w:szCs w:val="20"/>
          <w:lang w:val="fr-FR"/>
        </w:rPr>
        <w:t>Figure 88</w:t>
      </w:r>
    </w:p>
    <w:p w14:paraId="756F321B" w14:textId="79962D80" w:rsidR="00B87039" w:rsidRPr="00653BF4" w:rsidRDefault="00B87039" w:rsidP="00B87039">
      <w:pPr>
        <w:rPr>
          <w:b/>
          <w:bCs/>
          <w:sz w:val="20"/>
          <w:szCs w:val="20"/>
          <w:lang w:val="fr-FR"/>
        </w:rPr>
      </w:pPr>
      <w:r w:rsidRPr="00653BF4">
        <w:rPr>
          <w:b/>
          <w:bCs/>
          <w:sz w:val="20"/>
          <w:szCs w:val="20"/>
          <w:lang w:val="fr-FR"/>
        </w:rPr>
        <w:t>Indicateur phare 22.1</w:t>
      </w:r>
      <w:r w:rsidR="00E34DC9">
        <w:rPr>
          <w:b/>
          <w:bCs/>
          <w:sz w:val="20"/>
          <w:szCs w:val="20"/>
          <w:lang w:val="fr-FR"/>
        </w:rPr>
        <w:t> :</w:t>
      </w:r>
      <w:r w:rsidRPr="00653BF4">
        <w:rPr>
          <w:b/>
          <w:bCs/>
          <w:sz w:val="20"/>
          <w:szCs w:val="20"/>
          <w:lang w:val="fr-FR"/>
        </w:rPr>
        <w:t xml:space="preserve"> changement d</w:t>
      </w:r>
      <w:r w:rsidR="00D77549">
        <w:rPr>
          <w:b/>
          <w:bCs/>
          <w:sz w:val="20"/>
          <w:szCs w:val="20"/>
          <w:lang w:val="fr-FR"/>
        </w:rPr>
        <w:t>’</w:t>
      </w:r>
      <w:r w:rsidRPr="00653BF4">
        <w:rPr>
          <w:b/>
          <w:bCs/>
          <w:sz w:val="20"/>
          <w:szCs w:val="20"/>
          <w:lang w:val="fr-FR"/>
        </w:rPr>
        <w:t>utilisation des sols et de régime foncier dans les territoires traditionnels des peuples autochtones et communautés locales (source</w:t>
      </w:r>
      <w:r w:rsidR="00E34DC9">
        <w:rPr>
          <w:b/>
          <w:bCs/>
          <w:sz w:val="20"/>
          <w:szCs w:val="20"/>
          <w:lang w:val="fr-FR"/>
        </w:rPr>
        <w:t> :</w:t>
      </w:r>
      <w:r w:rsidRPr="00653BF4">
        <w:rPr>
          <w:b/>
          <w:bCs/>
          <w:sz w:val="20"/>
          <w:szCs w:val="20"/>
          <w:lang w:val="fr-FR"/>
        </w:rPr>
        <w:t xml:space="preserve"> plateforme LandMark)</w:t>
      </w:r>
    </w:p>
    <w:p w14:paraId="3D1C3D01" w14:textId="62195193" w:rsidR="00B87039" w:rsidRPr="00653BF4" w:rsidRDefault="00B87039" w:rsidP="00B87039">
      <w:pPr>
        <w:pStyle w:val="paragraph"/>
        <w:spacing w:before="0" w:beforeAutospacing="0" w:after="0" w:afterAutospacing="0"/>
        <w:textAlignment w:val="baseline"/>
        <w:rPr>
          <w:rFonts w:ascii="Aptos" w:hAnsi="Aptos" w:cs="Segoe UI"/>
          <w:lang w:val="fr-FR"/>
        </w:rPr>
      </w:pPr>
      <w:r w:rsidRPr="00653BF4">
        <w:rPr>
          <w:rStyle w:val="eop"/>
          <w:rFonts w:cs="Segoe UI"/>
          <w:lang w:val="fr-FR"/>
        </w:rPr>
        <w:lastRenderedPageBreak/>
        <w:t xml:space="preserve"> </w:t>
      </w:r>
      <w:r w:rsidRPr="00653BF4">
        <w:rPr>
          <w:rFonts w:ascii="Aptos" w:hAnsi="Aptos" w:cs="Segoe UI"/>
          <w:noProof/>
          <w:sz w:val="18"/>
          <w:szCs w:val="18"/>
          <w:lang w:val="fr-FR"/>
          <w14:ligatures w14:val="standardContextual"/>
        </w:rPr>
        <w:drawing>
          <wp:inline distT="0" distB="0" distL="0" distR="0" wp14:anchorId="48255D00" wp14:editId="5C6DA95B">
            <wp:extent cx="5731510" cy="3223895"/>
            <wp:effectExtent l="0" t="0" r="0" b="1905"/>
            <wp:docPr id="14224047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04778" name="Picture 1422404778"/>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F5D139F" w14:textId="113B996E" w:rsidR="00B87039" w:rsidRPr="00653BF4" w:rsidRDefault="00B87039" w:rsidP="00B87039">
      <w:pPr>
        <w:rPr>
          <w:sz w:val="20"/>
          <w:szCs w:val="20"/>
          <w:lang w:val="fr-FR"/>
        </w:rPr>
      </w:pPr>
      <w:r w:rsidRPr="00653BF4">
        <w:rPr>
          <w:i/>
          <w:iCs/>
          <w:sz w:val="20"/>
          <w:szCs w:val="20"/>
          <w:lang w:val="fr-FR"/>
        </w:rPr>
        <w:t>Note</w:t>
      </w:r>
      <w:r w:rsidR="00E34DC9">
        <w:rPr>
          <w:sz w:val="20"/>
          <w:szCs w:val="20"/>
          <w:lang w:val="fr-FR"/>
        </w:rPr>
        <w:t> :</w:t>
      </w:r>
      <w:r w:rsidRPr="00653BF4">
        <w:rPr>
          <w:sz w:val="20"/>
          <w:szCs w:val="20"/>
          <w:lang w:val="fr-FR"/>
        </w:rPr>
        <w:t xml:space="preserve"> D</w:t>
      </w:r>
      <w:r w:rsidR="00D77549">
        <w:rPr>
          <w:sz w:val="20"/>
          <w:szCs w:val="20"/>
          <w:lang w:val="fr-FR"/>
        </w:rPr>
        <w:t>’</w:t>
      </w:r>
      <w:r w:rsidRPr="00653BF4">
        <w:rPr>
          <w:sz w:val="20"/>
          <w:szCs w:val="20"/>
          <w:lang w:val="fr-FR"/>
        </w:rPr>
        <w:t>après les données issues de la plateforme LandMark du World Resource Institute (LandMark, 2024, 2025</w:t>
      </w:r>
      <w:r w:rsidR="00E34DC9">
        <w:rPr>
          <w:sz w:val="20"/>
          <w:szCs w:val="20"/>
          <w:lang w:val="fr-FR"/>
        </w:rPr>
        <w:t> ;</w:t>
      </w:r>
      <w:r w:rsidRPr="00653BF4">
        <w:rPr>
          <w:sz w:val="20"/>
          <w:szCs w:val="20"/>
          <w:lang w:val="fr-FR"/>
        </w:rPr>
        <w:t xml:space="preserve"> Potapov </w:t>
      </w:r>
      <w:r w:rsidRPr="00653BF4">
        <w:rPr>
          <w:i/>
          <w:iCs/>
          <w:sz w:val="20"/>
          <w:szCs w:val="20"/>
          <w:lang w:val="fr-FR"/>
        </w:rPr>
        <w:t>et al.</w:t>
      </w:r>
      <w:r w:rsidRPr="00653BF4">
        <w:rPr>
          <w:sz w:val="20"/>
          <w:szCs w:val="20"/>
          <w:lang w:val="fr-FR"/>
        </w:rPr>
        <w:t>, 2024</w:t>
      </w:r>
      <w:r w:rsidR="00E34DC9">
        <w:rPr>
          <w:sz w:val="20"/>
          <w:szCs w:val="20"/>
          <w:lang w:val="fr-FR"/>
        </w:rPr>
        <w:t> ;</w:t>
      </w:r>
      <w:r w:rsidRPr="00653BF4">
        <w:rPr>
          <w:sz w:val="20"/>
          <w:szCs w:val="20"/>
          <w:lang w:val="fr-FR"/>
        </w:rPr>
        <w:t xml:space="preserve"> Prindex, 2024).</w:t>
      </w:r>
      <w:r w:rsidRPr="00653BF4">
        <w:rPr>
          <w:rStyle w:val="normaltextrun"/>
          <w:rFonts w:cs="Segoe UI"/>
          <w:lang w:val="fr-FR"/>
        </w:rPr>
        <w:t xml:space="preserve"> </w:t>
      </w:r>
      <w:r w:rsidRPr="00653BF4">
        <w:rPr>
          <w:sz w:val="20"/>
          <w:szCs w:val="20"/>
          <w:lang w:val="fr-FR"/>
        </w:rPr>
        <w:t>Chaque valeur représente une dimension différente de la relation entre les peuples autochtones et communautés locales, d</w:t>
      </w:r>
      <w:r w:rsidR="00D77549">
        <w:rPr>
          <w:sz w:val="20"/>
          <w:szCs w:val="20"/>
          <w:lang w:val="fr-FR"/>
        </w:rPr>
        <w:t>’</w:t>
      </w:r>
      <w:r w:rsidRPr="00653BF4">
        <w:rPr>
          <w:sz w:val="20"/>
          <w:szCs w:val="20"/>
          <w:lang w:val="fr-FR"/>
        </w:rPr>
        <w:t>une part, et leurs territoires traditionnels, d</w:t>
      </w:r>
      <w:r w:rsidR="00D77549">
        <w:rPr>
          <w:sz w:val="20"/>
          <w:szCs w:val="20"/>
          <w:lang w:val="fr-FR"/>
        </w:rPr>
        <w:t>’</w:t>
      </w:r>
      <w:r w:rsidRPr="00653BF4">
        <w:rPr>
          <w:sz w:val="20"/>
          <w:szCs w:val="20"/>
          <w:lang w:val="fr-FR"/>
        </w:rPr>
        <w:t>autre part. Il convient de noter que toutes les dimensions ne correspondent pas au même nombre de Parties, en raison de la disponibilité des données</w:t>
      </w:r>
      <w:r w:rsidR="00E34DC9">
        <w:rPr>
          <w:sz w:val="20"/>
          <w:szCs w:val="20"/>
          <w:lang w:val="fr-FR"/>
        </w:rPr>
        <w:t> ;</w:t>
      </w:r>
      <w:r w:rsidRPr="00653BF4">
        <w:rPr>
          <w:sz w:val="20"/>
          <w:szCs w:val="20"/>
          <w:lang w:val="fr-FR"/>
        </w:rPr>
        <w:t xml:space="preserve"> elles ne peuvent donc pas être comparées directement. Chaque dimension est présentée sous forme de moyenne de toutes les Parties. Le diagramme à barres présente, par région, la répartition des Parties pour lesquelles des données sont disponibles.  Les couleurs attribuées à chaque région sont définies dans la légende de la figure</w:t>
      </w:r>
      <w:r w:rsidR="00E34DC9">
        <w:rPr>
          <w:sz w:val="20"/>
          <w:szCs w:val="20"/>
          <w:lang w:val="fr-FR"/>
        </w:rPr>
        <w:t> :</w:t>
      </w:r>
      <w:r w:rsidRPr="00653BF4">
        <w:rPr>
          <w:sz w:val="20"/>
          <w:szCs w:val="20"/>
          <w:lang w:val="fr-FR"/>
        </w:rPr>
        <w:t xml:space="preserve"> les teintes plus foncées représentent la proportion de Parties d</w:t>
      </w:r>
      <w:r w:rsidR="00D77549">
        <w:rPr>
          <w:sz w:val="20"/>
          <w:szCs w:val="20"/>
          <w:lang w:val="fr-FR"/>
        </w:rPr>
        <w:t>’</w:t>
      </w:r>
      <w:r w:rsidRPr="00653BF4">
        <w:rPr>
          <w:sz w:val="20"/>
          <w:szCs w:val="20"/>
          <w:lang w:val="fr-FR"/>
        </w:rPr>
        <w:t>une région pour lesquelles des données figurent dans le graphique</w:t>
      </w:r>
      <w:r w:rsidR="00E34DC9">
        <w:rPr>
          <w:sz w:val="20"/>
          <w:szCs w:val="20"/>
          <w:lang w:val="fr-FR"/>
        </w:rPr>
        <w:t> ;</w:t>
      </w:r>
      <w:r w:rsidRPr="00653BF4">
        <w:rPr>
          <w:sz w:val="20"/>
          <w:szCs w:val="20"/>
          <w:lang w:val="fr-FR"/>
        </w:rPr>
        <w:t xml:space="preserve"> les teintes plus claires représentent la proportion de Parties de cette même région pour lesquelles aucune donnée ne figure dans le graphique.</w:t>
      </w:r>
    </w:p>
    <w:tbl>
      <w:tblPr>
        <w:tblStyle w:val="TableGrid"/>
        <w:tblW w:w="8871" w:type="dxa"/>
        <w:tblLook w:val="04A0" w:firstRow="1" w:lastRow="0" w:firstColumn="1" w:lastColumn="0" w:noHBand="0" w:noVBand="1"/>
      </w:tblPr>
      <w:tblGrid>
        <w:gridCol w:w="4188"/>
        <w:gridCol w:w="4673"/>
        <w:gridCol w:w="10"/>
      </w:tblGrid>
      <w:tr w:rsidR="001279A8" w:rsidRPr="00C147E4" w14:paraId="11AF14FD" w14:textId="77777777" w:rsidTr="009B4355">
        <w:tc>
          <w:tcPr>
            <w:tcW w:w="8871" w:type="dxa"/>
            <w:gridSpan w:val="3"/>
          </w:tcPr>
          <w:p w14:paraId="448A88CE" w14:textId="77777777" w:rsidR="001279A8" w:rsidRPr="00C147E4" w:rsidRDefault="001279A8" w:rsidP="009B4355">
            <w:pPr>
              <w:rPr>
                <w:rFonts w:ascii="Aptos" w:hAnsi="Aptos"/>
                <w:lang w:val="fr-FR"/>
              </w:rPr>
            </w:pPr>
            <w:r w:rsidRPr="00C147E4">
              <w:rPr>
                <w:rFonts w:ascii="Aptos" w:hAnsi="Aptos"/>
                <w:lang w:val="fr-FR"/>
              </w:rPr>
              <w:t>Figure 88</w:t>
            </w:r>
          </w:p>
        </w:tc>
      </w:tr>
      <w:tr w:rsidR="001279A8" w:rsidRPr="00C147E4" w14:paraId="0836275A" w14:textId="77777777" w:rsidTr="009B4355">
        <w:trPr>
          <w:gridAfter w:val="1"/>
          <w:wAfter w:w="10" w:type="dxa"/>
        </w:trPr>
        <w:tc>
          <w:tcPr>
            <w:tcW w:w="4188" w:type="dxa"/>
          </w:tcPr>
          <w:p w14:paraId="04C4F2B3" w14:textId="77777777" w:rsidR="001279A8" w:rsidRPr="00C147E4" w:rsidRDefault="001279A8" w:rsidP="009B4355">
            <w:pPr>
              <w:rPr>
                <w:rFonts w:ascii="Aptos" w:hAnsi="Aptos"/>
                <w:lang w:val="fr-FR"/>
              </w:rPr>
            </w:pPr>
            <w:r w:rsidRPr="00C147E4">
              <w:rPr>
                <w:rFonts w:ascii="Aptos" w:hAnsi="Aptos"/>
                <w:lang w:val="fr-FR"/>
              </w:rPr>
              <w:t xml:space="preserve">English </w:t>
            </w:r>
          </w:p>
        </w:tc>
        <w:tc>
          <w:tcPr>
            <w:tcW w:w="4673" w:type="dxa"/>
          </w:tcPr>
          <w:p w14:paraId="129F66C4" w14:textId="77777777" w:rsidR="001279A8" w:rsidRPr="00C147E4" w:rsidRDefault="001279A8" w:rsidP="009B4355">
            <w:pPr>
              <w:rPr>
                <w:rFonts w:ascii="Aptos" w:hAnsi="Aptos"/>
                <w:lang w:val="fr-FR"/>
              </w:rPr>
            </w:pPr>
            <w:r>
              <w:rPr>
                <w:rFonts w:ascii="Aptos" w:hAnsi="Aptos"/>
                <w:lang w:val="fr-FR"/>
              </w:rPr>
              <w:t>Français</w:t>
            </w:r>
          </w:p>
        </w:tc>
      </w:tr>
      <w:tr w:rsidR="001279A8" w:rsidRPr="006F7AF8" w14:paraId="05B5B10C" w14:textId="77777777" w:rsidTr="009B4355">
        <w:trPr>
          <w:gridAfter w:val="1"/>
          <w:wAfter w:w="10" w:type="dxa"/>
        </w:trPr>
        <w:tc>
          <w:tcPr>
            <w:tcW w:w="4188" w:type="dxa"/>
          </w:tcPr>
          <w:p w14:paraId="20905960" w14:textId="77777777" w:rsidR="001279A8" w:rsidRPr="006F7AF8" w:rsidRDefault="001279A8" w:rsidP="009B4355">
            <w:pPr>
              <w:rPr>
                <w:rFonts w:ascii="Aptos" w:hAnsi="Aptos"/>
                <w:lang w:val="fr-FR"/>
              </w:rPr>
            </w:pPr>
            <w:r w:rsidRPr="006F7AF8">
              <w:rPr>
                <w:rFonts w:ascii="Aptos" w:hAnsi="Aptos"/>
                <w:lang w:val="fr-FR"/>
              </w:rPr>
              <w:t>(a) Legal recognition</w:t>
            </w:r>
          </w:p>
        </w:tc>
        <w:tc>
          <w:tcPr>
            <w:tcW w:w="4673" w:type="dxa"/>
          </w:tcPr>
          <w:p w14:paraId="5CC17BC2" w14:textId="77777777" w:rsidR="001279A8" w:rsidRPr="006F7AF8" w:rsidRDefault="001279A8" w:rsidP="009B4355">
            <w:pPr>
              <w:rPr>
                <w:rFonts w:ascii="Aptos" w:hAnsi="Aptos"/>
                <w:lang w:val="fr-FR"/>
              </w:rPr>
            </w:pPr>
            <w:r w:rsidRPr="006F7AF8">
              <w:rPr>
                <w:rFonts w:ascii="Aptos" w:hAnsi="Aptos"/>
                <w:lang w:val="fr-FR"/>
              </w:rPr>
              <w:t>a) Reconnaissance juridique</w:t>
            </w:r>
          </w:p>
        </w:tc>
      </w:tr>
      <w:tr w:rsidR="001279A8" w:rsidRPr="006F7AF8" w14:paraId="604666FC" w14:textId="77777777" w:rsidTr="009B4355">
        <w:trPr>
          <w:gridAfter w:val="1"/>
          <w:wAfter w:w="10" w:type="dxa"/>
        </w:trPr>
        <w:tc>
          <w:tcPr>
            <w:tcW w:w="4188" w:type="dxa"/>
          </w:tcPr>
          <w:p w14:paraId="2655DE98" w14:textId="77777777" w:rsidR="001279A8" w:rsidRPr="006F7AF8" w:rsidRDefault="001279A8" w:rsidP="009B4355">
            <w:pPr>
              <w:rPr>
                <w:rFonts w:ascii="Aptos" w:hAnsi="Aptos"/>
                <w:lang w:val="fr-FR"/>
              </w:rPr>
            </w:pPr>
            <w:r w:rsidRPr="006F7AF8">
              <w:rPr>
                <w:rFonts w:ascii="Aptos" w:hAnsi="Aptos"/>
                <w:lang w:val="fr-FR"/>
              </w:rPr>
              <w:t>(b) Perception</w:t>
            </w:r>
          </w:p>
        </w:tc>
        <w:tc>
          <w:tcPr>
            <w:tcW w:w="4673" w:type="dxa"/>
          </w:tcPr>
          <w:p w14:paraId="474940C4" w14:textId="77777777" w:rsidR="001279A8" w:rsidRPr="006F7AF8" w:rsidRDefault="001279A8" w:rsidP="009B4355">
            <w:pPr>
              <w:rPr>
                <w:rFonts w:ascii="Aptos" w:hAnsi="Aptos"/>
                <w:lang w:val="fr-FR"/>
              </w:rPr>
            </w:pPr>
            <w:r w:rsidRPr="006F7AF8">
              <w:rPr>
                <w:rFonts w:ascii="Aptos" w:hAnsi="Aptos"/>
                <w:lang w:val="fr-FR"/>
              </w:rPr>
              <w:t>b) Perception</w:t>
            </w:r>
          </w:p>
        </w:tc>
      </w:tr>
      <w:tr w:rsidR="001279A8" w:rsidRPr="006F7AF8" w14:paraId="7357AFF2" w14:textId="77777777" w:rsidTr="009B4355">
        <w:trPr>
          <w:gridAfter w:val="1"/>
          <w:wAfter w:w="10" w:type="dxa"/>
        </w:trPr>
        <w:tc>
          <w:tcPr>
            <w:tcW w:w="4188" w:type="dxa"/>
          </w:tcPr>
          <w:p w14:paraId="07E9ABD7" w14:textId="77777777" w:rsidR="001279A8" w:rsidRPr="006F7AF8" w:rsidRDefault="001279A8" w:rsidP="009B4355">
            <w:pPr>
              <w:rPr>
                <w:rFonts w:ascii="Aptos" w:hAnsi="Aptos"/>
                <w:lang w:val="fr-FR"/>
              </w:rPr>
            </w:pPr>
            <w:r w:rsidRPr="006F7AF8">
              <w:rPr>
                <w:rFonts w:ascii="Aptos" w:hAnsi="Aptos"/>
                <w:lang w:val="fr-FR"/>
              </w:rPr>
              <w:t>(c) Natural land</w:t>
            </w:r>
          </w:p>
        </w:tc>
        <w:tc>
          <w:tcPr>
            <w:tcW w:w="4673" w:type="dxa"/>
          </w:tcPr>
          <w:p w14:paraId="2A7205DD" w14:textId="77777777" w:rsidR="001279A8" w:rsidRPr="006F7AF8" w:rsidRDefault="001279A8" w:rsidP="009B4355">
            <w:pPr>
              <w:rPr>
                <w:rFonts w:ascii="Aptos" w:hAnsi="Aptos"/>
                <w:lang w:val="fr-FR"/>
              </w:rPr>
            </w:pPr>
            <w:r w:rsidRPr="006F7AF8">
              <w:rPr>
                <w:rFonts w:ascii="Aptos" w:hAnsi="Aptos"/>
                <w:lang w:val="fr-FR"/>
              </w:rPr>
              <w:t>c) Terres naturelles</w:t>
            </w:r>
          </w:p>
        </w:tc>
      </w:tr>
      <w:tr w:rsidR="001279A8" w:rsidRPr="006F7AF8" w14:paraId="1D41A4D7" w14:textId="77777777" w:rsidTr="009B4355">
        <w:trPr>
          <w:gridAfter w:val="1"/>
          <w:wAfter w:w="10" w:type="dxa"/>
        </w:trPr>
        <w:tc>
          <w:tcPr>
            <w:tcW w:w="4188" w:type="dxa"/>
          </w:tcPr>
          <w:p w14:paraId="0605CDC1" w14:textId="77777777" w:rsidR="001279A8" w:rsidRPr="006F7AF8" w:rsidRDefault="001279A8" w:rsidP="009B4355">
            <w:pPr>
              <w:rPr>
                <w:rFonts w:ascii="Aptos" w:hAnsi="Aptos"/>
                <w:lang w:val="fr-FR"/>
              </w:rPr>
            </w:pPr>
            <w:r w:rsidRPr="006F7AF8">
              <w:rPr>
                <w:rFonts w:ascii="Aptos" w:hAnsi="Aptos"/>
                <w:lang w:val="fr-FR"/>
              </w:rPr>
              <w:t>Party count: 94</w:t>
            </w:r>
          </w:p>
        </w:tc>
        <w:tc>
          <w:tcPr>
            <w:tcW w:w="4673" w:type="dxa"/>
          </w:tcPr>
          <w:p w14:paraId="27B31BE3" w14:textId="77777777" w:rsidR="001279A8" w:rsidRPr="006F7AF8" w:rsidRDefault="001279A8" w:rsidP="009B4355">
            <w:pPr>
              <w:rPr>
                <w:rFonts w:ascii="Aptos" w:hAnsi="Aptos"/>
                <w:lang w:val="fr-FR"/>
              </w:rPr>
            </w:pPr>
            <w:r w:rsidRPr="006F7AF8">
              <w:rPr>
                <w:rFonts w:ascii="Aptos" w:hAnsi="Aptos"/>
                <w:lang w:val="fr-FR"/>
              </w:rPr>
              <w:t>Nombre de Parties : 94</w:t>
            </w:r>
          </w:p>
        </w:tc>
      </w:tr>
      <w:tr w:rsidR="001279A8" w:rsidRPr="006F7AF8" w14:paraId="42752736" w14:textId="77777777" w:rsidTr="009B4355">
        <w:trPr>
          <w:gridAfter w:val="1"/>
          <w:wAfter w:w="10" w:type="dxa"/>
        </w:trPr>
        <w:tc>
          <w:tcPr>
            <w:tcW w:w="4188" w:type="dxa"/>
          </w:tcPr>
          <w:p w14:paraId="7A5D899E" w14:textId="77777777" w:rsidR="001279A8" w:rsidRPr="006F7AF8" w:rsidRDefault="001279A8" w:rsidP="009B4355">
            <w:pPr>
              <w:rPr>
                <w:rFonts w:ascii="Aptos" w:hAnsi="Aptos"/>
                <w:lang w:val="fr-FR"/>
              </w:rPr>
            </w:pPr>
            <w:r w:rsidRPr="006F7AF8">
              <w:rPr>
                <w:rFonts w:ascii="Aptos" w:hAnsi="Aptos"/>
                <w:lang w:val="fr-FR"/>
              </w:rPr>
              <w:t>Party count: 101</w:t>
            </w:r>
          </w:p>
        </w:tc>
        <w:tc>
          <w:tcPr>
            <w:tcW w:w="4673" w:type="dxa"/>
          </w:tcPr>
          <w:p w14:paraId="71757778" w14:textId="77777777" w:rsidR="001279A8" w:rsidRPr="006F7AF8" w:rsidRDefault="001279A8" w:rsidP="009B4355">
            <w:pPr>
              <w:rPr>
                <w:rFonts w:ascii="Aptos" w:hAnsi="Aptos"/>
                <w:lang w:val="fr-FR"/>
              </w:rPr>
            </w:pPr>
            <w:r w:rsidRPr="006F7AF8">
              <w:rPr>
                <w:rFonts w:ascii="Aptos" w:hAnsi="Aptos"/>
                <w:lang w:val="fr-FR"/>
              </w:rPr>
              <w:t>Nombre de Parties : 101</w:t>
            </w:r>
          </w:p>
        </w:tc>
      </w:tr>
      <w:tr w:rsidR="001279A8" w:rsidRPr="006F7AF8" w14:paraId="2FAFED4D" w14:textId="77777777" w:rsidTr="009B4355">
        <w:trPr>
          <w:gridAfter w:val="1"/>
          <w:wAfter w:w="10" w:type="dxa"/>
        </w:trPr>
        <w:tc>
          <w:tcPr>
            <w:tcW w:w="4188" w:type="dxa"/>
          </w:tcPr>
          <w:p w14:paraId="236E1CC2" w14:textId="77777777" w:rsidR="001279A8" w:rsidRPr="006F7AF8" w:rsidRDefault="001279A8" w:rsidP="009B4355">
            <w:pPr>
              <w:rPr>
                <w:rFonts w:ascii="Aptos" w:hAnsi="Aptos"/>
                <w:lang w:val="fr-FR"/>
              </w:rPr>
            </w:pPr>
            <w:r w:rsidRPr="006F7AF8">
              <w:rPr>
                <w:rFonts w:ascii="Aptos" w:hAnsi="Aptos"/>
                <w:lang w:val="fr-FR"/>
              </w:rPr>
              <w:t>Party count: 75</w:t>
            </w:r>
          </w:p>
        </w:tc>
        <w:tc>
          <w:tcPr>
            <w:tcW w:w="4673" w:type="dxa"/>
          </w:tcPr>
          <w:p w14:paraId="525205A8" w14:textId="77777777" w:rsidR="001279A8" w:rsidRPr="006F7AF8" w:rsidRDefault="001279A8" w:rsidP="009B4355">
            <w:pPr>
              <w:rPr>
                <w:rFonts w:ascii="Aptos" w:hAnsi="Aptos"/>
                <w:lang w:val="fr-FR"/>
              </w:rPr>
            </w:pPr>
            <w:r w:rsidRPr="006F7AF8">
              <w:rPr>
                <w:rFonts w:ascii="Aptos" w:hAnsi="Aptos"/>
                <w:lang w:val="fr-FR"/>
              </w:rPr>
              <w:t>Nombre de Parties : 75</w:t>
            </w:r>
          </w:p>
        </w:tc>
      </w:tr>
      <w:tr w:rsidR="001279A8" w:rsidRPr="006F7AF8" w14:paraId="355144F3" w14:textId="77777777" w:rsidTr="009B4355">
        <w:trPr>
          <w:gridAfter w:val="1"/>
          <w:wAfter w:w="10" w:type="dxa"/>
        </w:trPr>
        <w:tc>
          <w:tcPr>
            <w:tcW w:w="4188" w:type="dxa"/>
          </w:tcPr>
          <w:p w14:paraId="0B2F72B3" w14:textId="77777777" w:rsidR="001279A8" w:rsidRPr="006F7AF8" w:rsidRDefault="001279A8" w:rsidP="009B4355">
            <w:pPr>
              <w:rPr>
                <w:rFonts w:ascii="Aptos" w:hAnsi="Aptos"/>
                <w:lang w:val="fr-FR"/>
              </w:rPr>
            </w:pPr>
            <w:r w:rsidRPr="006F7AF8">
              <w:rPr>
                <w:rFonts w:ascii="Aptos" w:hAnsi="Aptos"/>
                <w:lang w:val="fr-FR"/>
              </w:rPr>
              <w:t>Part count by region</w:t>
            </w:r>
          </w:p>
        </w:tc>
        <w:tc>
          <w:tcPr>
            <w:tcW w:w="4673" w:type="dxa"/>
          </w:tcPr>
          <w:p w14:paraId="364FFAB2" w14:textId="77777777" w:rsidR="001279A8" w:rsidRPr="006F7AF8" w:rsidRDefault="001279A8" w:rsidP="009B4355">
            <w:pPr>
              <w:rPr>
                <w:rFonts w:ascii="Aptos" w:hAnsi="Aptos"/>
                <w:lang w:val="fr-FR"/>
              </w:rPr>
            </w:pPr>
            <w:r w:rsidRPr="006F7AF8">
              <w:rPr>
                <w:rFonts w:ascii="Aptos" w:hAnsi="Aptos"/>
                <w:lang w:val="fr-FR"/>
              </w:rPr>
              <w:t>Nombre de Parties par région</w:t>
            </w:r>
          </w:p>
        </w:tc>
      </w:tr>
      <w:tr w:rsidR="001279A8" w:rsidRPr="006F7AF8" w14:paraId="0F6DF933" w14:textId="77777777" w:rsidTr="009B4355">
        <w:trPr>
          <w:gridAfter w:val="1"/>
          <w:wAfter w:w="10" w:type="dxa"/>
        </w:trPr>
        <w:tc>
          <w:tcPr>
            <w:tcW w:w="4188" w:type="dxa"/>
          </w:tcPr>
          <w:p w14:paraId="09CEE04B"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607F51B2"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438A9488" w14:textId="77777777" w:rsidTr="009B4355">
        <w:trPr>
          <w:gridAfter w:val="1"/>
          <w:wAfter w:w="10" w:type="dxa"/>
        </w:trPr>
        <w:tc>
          <w:tcPr>
            <w:tcW w:w="4188" w:type="dxa"/>
          </w:tcPr>
          <w:p w14:paraId="08FDE3B6"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0F1569DA"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5B96AB95" w14:textId="77777777" w:rsidTr="009B4355">
        <w:trPr>
          <w:gridAfter w:val="1"/>
          <w:wAfter w:w="10" w:type="dxa"/>
        </w:trPr>
        <w:tc>
          <w:tcPr>
            <w:tcW w:w="4188" w:type="dxa"/>
          </w:tcPr>
          <w:p w14:paraId="3670F20F"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4673" w:type="dxa"/>
          </w:tcPr>
          <w:p w14:paraId="2602FC52"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74EE86CB" w14:textId="77777777" w:rsidTr="009B4355">
        <w:trPr>
          <w:gridAfter w:val="1"/>
          <w:wAfter w:w="10" w:type="dxa"/>
        </w:trPr>
        <w:tc>
          <w:tcPr>
            <w:tcW w:w="4188" w:type="dxa"/>
          </w:tcPr>
          <w:p w14:paraId="3E414C25"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6A12F930"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20845693" w14:textId="77777777" w:rsidTr="009B4355">
        <w:trPr>
          <w:gridAfter w:val="1"/>
          <w:wAfter w:w="10" w:type="dxa"/>
        </w:trPr>
        <w:tc>
          <w:tcPr>
            <w:tcW w:w="4188" w:type="dxa"/>
          </w:tcPr>
          <w:p w14:paraId="7DB60A36"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4BB2AC2F"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7634B430" w14:textId="77777777" w:rsidTr="009B4355">
        <w:trPr>
          <w:gridAfter w:val="1"/>
          <w:wAfter w:w="10" w:type="dxa"/>
        </w:trPr>
        <w:tc>
          <w:tcPr>
            <w:tcW w:w="4188" w:type="dxa"/>
          </w:tcPr>
          <w:p w14:paraId="0FFA1488"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3" w:type="dxa"/>
          </w:tcPr>
          <w:p w14:paraId="07F251B1"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30C6A6CF" w14:textId="77777777" w:rsidR="00B87039" w:rsidRPr="00653BF4" w:rsidRDefault="00B87039" w:rsidP="00B87039">
      <w:pPr>
        <w:pStyle w:val="Caption"/>
        <w:rPr>
          <w:rFonts w:cs="Segoe UI"/>
          <w:i w:val="0"/>
          <w:iCs w:val="0"/>
          <w:lang w:val="fr-FR"/>
        </w:rPr>
      </w:pPr>
    </w:p>
    <w:p w14:paraId="4FFA2A57" w14:textId="3A36D00C" w:rsidR="00B87039" w:rsidRPr="00653BF4" w:rsidRDefault="00B87039" w:rsidP="00B87039">
      <w:pPr>
        <w:rPr>
          <w:sz w:val="20"/>
          <w:szCs w:val="20"/>
          <w:lang w:val="fr-FR"/>
        </w:rPr>
      </w:pPr>
      <w:bookmarkStart w:id="431" w:name="_Ref238811887"/>
      <w:r w:rsidRPr="00653BF4">
        <w:rPr>
          <w:sz w:val="20"/>
          <w:szCs w:val="20"/>
          <w:lang w:val="fr-FR"/>
        </w:rPr>
        <w:t>Figure 89</w:t>
      </w:r>
      <w:bookmarkEnd w:id="431"/>
    </w:p>
    <w:p w14:paraId="4B372EF6" w14:textId="228DA734" w:rsidR="00B87039" w:rsidRPr="00653BF4" w:rsidRDefault="00B87039" w:rsidP="00B87039">
      <w:pPr>
        <w:rPr>
          <w:b/>
          <w:bCs/>
          <w:sz w:val="20"/>
          <w:szCs w:val="20"/>
          <w:lang w:val="fr-FR"/>
        </w:rPr>
      </w:pPr>
      <w:r w:rsidRPr="00653BF4">
        <w:rPr>
          <w:b/>
          <w:bCs/>
          <w:sz w:val="20"/>
          <w:szCs w:val="20"/>
          <w:lang w:val="fr-FR"/>
        </w:rPr>
        <w:t>Indicateur binaire 22.b</w:t>
      </w:r>
      <w:r w:rsidR="00E34DC9">
        <w:rPr>
          <w:b/>
          <w:bCs/>
          <w:sz w:val="20"/>
          <w:szCs w:val="20"/>
          <w:lang w:val="fr-FR"/>
        </w:rPr>
        <w:t> :</w:t>
      </w:r>
      <w:r w:rsidRPr="00653BF4">
        <w:rPr>
          <w:b/>
          <w:bCs/>
          <w:sz w:val="20"/>
          <w:szCs w:val="20"/>
          <w:lang w:val="fr-FR"/>
        </w:rPr>
        <w:t xml:space="preserve"> nombre de pays ayant pris des mesures visant à assurer une représentation et une participation pleines et entières, équitables, inclusives, efficaces et tenant compte du genre des peuples autochtones et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et les filles, les enfants et les jeunes, ainsi que les personnes handicapées, et à garantir la pleine protection des défenseurs et défenseuses des droits humains en matière d</w:t>
      </w:r>
      <w:r w:rsidR="00D77549">
        <w:rPr>
          <w:b/>
          <w:bCs/>
          <w:sz w:val="20"/>
          <w:szCs w:val="20"/>
          <w:lang w:val="fr-FR"/>
        </w:rPr>
        <w:t>’</w:t>
      </w:r>
      <w:r w:rsidRPr="00653BF4">
        <w:rPr>
          <w:b/>
          <w:bCs/>
          <w:sz w:val="20"/>
          <w:szCs w:val="20"/>
          <w:lang w:val="fr-FR"/>
        </w:rPr>
        <w:t>environnement</w:t>
      </w:r>
    </w:p>
    <w:p w14:paraId="3B53D094" w14:textId="77777777" w:rsidR="00B87039" w:rsidRPr="00653BF4" w:rsidRDefault="00B87039" w:rsidP="00B87039">
      <w:pPr>
        <w:pStyle w:val="Caption"/>
        <w:rPr>
          <w:lang w:val="fr-FR"/>
        </w:rPr>
      </w:pPr>
      <w:r w:rsidRPr="00653BF4">
        <w:rPr>
          <w:noProof/>
          <w:lang w:val="fr-FR"/>
          <w14:ligatures w14:val="standardContextual"/>
        </w:rPr>
        <w:drawing>
          <wp:inline distT="0" distB="0" distL="0" distR="0" wp14:anchorId="7606F886" wp14:editId="04791F2D">
            <wp:extent cx="5943600" cy="2264410"/>
            <wp:effectExtent l="0" t="0" r="0" b="0"/>
            <wp:docPr id="14883341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334141" name="Picture 1488334141"/>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197596B5" w14:textId="794F2466" w:rsidR="00B87039" w:rsidRPr="00653BF4" w:rsidRDefault="00B87039" w:rsidP="00B87039">
      <w:pPr>
        <w:pStyle w:val="Caption"/>
        <w:rPr>
          <w:i w:val="0"/>
          <w:iCs w:val="0"/>
          <w:lang w:val="fr-FR"/>
        </w:rPr>
      </w:pPr>
      <w:r w:rsidRPr="00653BF4">
        <w:rPr>
          <w:i w:val="0"/>
          <w:iCs w:val="0"/>
          <w:lang w:val="fr-FR"/>
        </w:rPr>
        <w:t>Note   La largeur des barres indique le pourcentage de Parties dans chaque catégorie de note, une note plus élevée correspondant à des progrès plus importants. Les notes sont établies d’après les réponses aux questions de l’indicateur</w:t>
      </w:r>
      <w:r w:rsidRPr="00653BF4">
        <w:rPr>
          <w:i w:val="0"/>
          <w:iCs w:val="0"/>
          <w:vertAlign w:val="superscript"/>
          <w:lang w:val="fr-FR"/>
        </w:rPr>
        <w:t>a</w:t>
      </w:r>
      <w:r w:rsidRPr="00653BF4">
        <w:rPr>
          <w:i w:val="0"/>
          <w:iCs w:val="0"/>
          <w:lang w:val="fr-FR"/>
        </w:rPr>
        <w:t>. Le diagramme circulaire représente la répartition par région des Parties ayant répondu à toutes les questions.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p w14:paraId="4F236888" w14:textId="77777777" w:rsidR="00B87039" w:rsidRPr="00653BF4" w:rsidRDefault="00B87039" w:rsidP="00B87039">
      <w:pPr>
        <w:rPr>
          <w:sz w:val="18"/>
          <w:szCs w:val="18"/>
          <w:lang w:val="fr-FR"/>
        </w:rPr>
      </w:pPr>
      <w:r w:rsidRPr="00653BF4">
        <w:rPr>
          <w:sz w:val="18"/>
          <w:szCs w:val="18"/>
          <w:vertAlign w:val="superscript"/>
          <w:lang w:val="fr-FR"/>
        </w:rPr>
        <w:t xml:space="preserve">a </w:t>
      </w:r>
      <w:r w:rsidRPr="00653BF4">
        <w:rPr>
          <w:sz w:val="18"/>
          <w:szCs w:val="18"/>
          <w:lang w:val="fr-FR"/>
        </w:rPr>
        <w:t xml:space="preserve">La méthode de calcul des notes pour chaque indicateur binaire, ainsi que les questions associées à chaque indicateur, figurent dans le document </w:t>
      </w:r>
      <w:hyperlink r:id="rId216" w:history="1">
        <w:r w:rsidRPr="00653BF4">
          <w:rPr>
            <w:rStyle w:val="Hyperlink"/>
            <w:sz w:val="18"/>
            <w:szCs w:val="18"/>
            <w:lang w:val="fr-FR"/>
          </w:rPr>
          <w:t>CBD/COP/16/INF/3/Rev.1</w:t>
        </w:r>
      </w:hyperlink>
      <w:r w:rsidRPr="00653BF4">
        <w:rPr>
          <w:lang w:val="fr-FR"/>
        </w:rPr>
        <w:t>.</w:t>
      </w:r>
    </w:p>
    <w:tbl>
      <w:tblPr>
        <w:tblStyle w:val="TableGrid"/>
        <w:tblW w:w="8861" w:type="dxa"/>
        <w:tblLook w:val="04A0" w:firstRow="1" w:lastRow="0" w:firstColumn="1" w:lastColumn="0" w:noHBand="0" w:noVBand="1"/>
      </w:tblPr>
      <w:tblGrid>
        <w:gridCol w:w="4188"/>
        <w:gridCol w:w="4673"/>
      </w:tblGrid>
      <w:tr w:rsidR="001279A8" w:rsidRPr="00C24DBB" w14:paraId="53262413" w14:textId="77777777" w:rsidTr="009B4355">
        <w:tc>
          <w:tcPr>
            <w:tcW w:w="8861" w:type="dxa"/>
            <w:gridSpan w:val="2"/>
          </w:tcPr>
          <w:p w14:paraId="67C03109" w14:textId="77777777" w:rsidR="001279A8" w:rsidRPr="00C24DBB" w:rsidRDefault="001279A8" w:rsidP="009B4355">
            <w:pPr>
              <w:rPr>
                <w:rFonts w:ascii="Aptos" w:hAnsi="Aptos"/>
                <w:lang w:val="fr-FR"/>
              </w:rPr>
            </w:pPr>
            <w:r>
              <w:rPr>
                <w:rFonts w:ascii="Aptos" w:hAnsi="Aptos"/>
                <w:lang w:val="fr-FR"/>
              </w:rPr>
              <w:t>Figure 89</w:t>
            </w:r>
          </w:p>
        </w:tc>
      </w:tr>
      <w:tr w:rsidR="001279A8" w:rsidRPr="00C24DBB" w14:paraId="3C2B7D8D" w14:textId="77777777" w:rsidTr="009B4355">
        <w:tc>
          <w:tcPr>
            <w:tcW w:w="4188" w:type="dxa"/>
          </w:tcPr>
          <w:p w14:paraId="7942C5C4" w14:textId="77777777" w:rsidR="001279A8" w:rsidRPr="00C24DBB" w:rsidRDefault="001279A8" w:rsidP="009B4355">
            <w:pPr>
              <w:rPr>
                <w:rFonts w:ascii="Aptos" w:hAnsi="Aptos"/>
                <w:lang w:val="fr-FR"/>
              </w:rPr>
            </w:pPr>
            <w:r w:rsidRPr="00C24DBB">
              <w:rPr>
                <w:rFonts w:ascii="Aptos" w:hAnsi="Aptos"/>
                <w:lang w:val="fr-FR"/>
              </w:rPr>
              <w:t xml:space="preserve">English </w:t>
            </w:r>
          </w:p>
        </w:tc>
        <w:tc>
          <w:tcPr>
            <w:tcW w:w="4673" w:type="dxa"/>
          </w:tcPr>
          <w:p w14:paraId="11A9DA61" w14:textId="77777777" w:rsidR="001279A8" w:rsidRPr="00C24DBB" w:rsidRDefault="001279A8" w:rsidP="009B4355">
            <w:pPr>
              <w:rPr>
                <w:rFonts w:ascii="Aptos" w:hAnsi="Aptos"/>
                <w:lang w:val="fr-FR"/>
              </w:rPr>
            </w:pPr>
            <w:r>
              <w:rPr>
                <w:rFonts w:ascii="Aptos" w:hAnsi="Aptos"/>
                <w:lang w:val="fr-FR"/>
              </w:rPr>
              <w:t>Français</w:t>
            </w:r>
          </w:p>
        </w:tc>
      </w:tr>
      <w:tr w:rsidR="001279A8" w:rsidRPr="006F7AF8" w14:paraId="53606565" w14:textId="77777777" w:rsidTr="009B4355">
        <w:tc>
          <w:tcPr>
            <w:tcW w:w="4188" w:type="dxa"/>
          </w:tcPr>
          <w:p w14:paraId="6B7C5A8B" w14:textId="77777777" w:rsidR="001279A8" w:rsidRPr="006F7AF8" w:rsidRDefault="001279A8" w:rsidP="009B4355">
            <w:pPr>
              <w:rPr>
                <w:rFonts w:ascii="Aptos" w:hAnsi="Aptos"/>
                <w:lang w:val="fr-FR"/>
              </w:rPr>
            </w:pPr>
            <w:r w:rsidRPr="006F7AF8">
              <w:rPr>
                <w:rFonts w:ascii="Aptos" w:hAnsi="Aptos"/>
                <w:lang w:val="fr-FR"/>
              </w:rPr>
              <w:t>Answers (percentage)</w:t>
            </w:r>
          </w:p>
        </w:tc>
        <w:tc>
          <w:tcPr>
            <w:tcW w:w="4673" w:type="dxa"/>
          </w:tcPr>
          <w:p w14:paraId="1CAA7BE9" w14:textId="77777777" w:rsidR="001279A8" w:rsidRPr="006F7AF8" w:rsidRDefault="001279A8" w:rsidP="009B4355">
            <w:pPr>
              <w:rPr>
                <w:rFonts w:ascii="Aptos" w:hAnsi="Aptos"/>
                <w:lang w:val="fr-FR"/>
              </w:rPr>
            </w:pPr>
            <w:r w:rsidRPr="006F7AF8">
              <w:rPr>
                <w:rFonts w:ascii="Aptos" w:hAnsi="Aptos"/>
                <w:lang w:val="fr-FR"/>
              </w:rPr>
              <w:t>Réponses (pourcentage)</w:t>
            </w:r>
          </w:p>
        </w:tc>
      </w:tr>
      <w:tr w:rsidR="001279A8" w:rsidRPr="006F7AF8" w14:paraId="647176E6" w14:textId="77777777" w:rsidTr="009B4355">
        <w:tc>
          <w:tcPr>
            <w:tcW w:w="4188" w:type="dxa"/>
          </w:tcPr>
          <w:p w14:paraId="341EC608" w14:textId="77777777" w:rsidR="001279A8" w:rsidRPr="006F7AF8" w:rsidRDefault="001279A8" w:rsidP="009B4355">
            <w:pPr>
              <w:rPr>
                <w:rFonts w:ascii="Aptos" w:hAnsi="Aptos"/>
                <w:lang w:val="fr-FR"/>
              </w:rPr>
            </w:pPr>
            <w:r w:rsidRPr="006F7AF8">
              <w:rPr>
                <w:rFonts w:ascii="Aptos" w:hAnsi="Aptos"/>
                <w:lang w:val="fr-FR"/>
              </w:rPr>
              <w:t>Score Level</w:t>
            </w:r>
          </w:p>
        </w:tc>
        <w:tc>
          <w:tcPr>
            <w:tcW w:w="4673" w:type="dxa"/>
          </w:tcPr>
          <w:p w14:paraId="1BA001CB" w14:textId="77777777" w:rsidR="001279A8" w:rsidRPr="006F7AF8" w:rsidRDefault="001279A8" w:rsidP="009B4355">
            <w:pPr>
              <w:rPr>
                <w:rFonts w:ascii="Aptos" w:hAnsi="Aptos"/>
                <w:lang w:val="fr-FR"/>
              </w:rPr>
            </w:pPr>
            <w:r>
              <w:rPr>
                <w:rFonts w:ascii="Aptos" w:hAnsi="Aptos"/>
                <w:lang w:val="fr-FR"/>
              </w:rPr>
              <w:t>Note</w:t>
            </w:r>
          </w:p>
        </w:tc>
      </w:tr>
      <w:tr w:rsidR="001279A8" w:rsidRPr="006F7AF8" w14:paraId="1A41F278" w14:textId="77777777" w:rsidTr="009B4355">
        <w:tc>
          <w:tcPr>
            <w:tcW w:w="4188" w:type="dxa"/>
          </w:tcPr>
          <w:p w14:paraId="6FEB518F" w14:textId="77777777" w:rsidR="001279A8" w:rsidRPr="006F7AF8" w:rsidRDefault="001279A8" w:rsidP="009B4355">
            <w:pPr>
              <w:rPr>
                <w:rFonts w:ascii="Aptos" w:hAnsi="Aptos"/>
                <w:lang w:val="fr-FR"/>
              </w:rPr>
            </w:pPr>
            <w:r w:rsidRPr="006F7AF8">
              <w:rPr>
                <w:rFonts w:ascii="Aptos" w:hAnsi="Aptos"/>
                <w:lang w:val="fr-FR"/>
              </w:rPr>
              <w:t>Party count: 127</w:t>
            </w:r>
          </w:p>
        </w:tc>
        <w:tc>
          <w:tcPr>
            <w:tcW w:w="4673" w:type="dxa"/>
          </w:tcPr>
          <w:p w14:paraId="31A4CC64" w14:textId="77777777" w:rsidR="001279A8" w:rsidRPr="006F7AF8" w:rsidRDefault="001279A8" w:rsidP="009B4355">
            <w:pPr>
              <w:rPr>
                <w:rFonts w:ascii="Aptos" w:hAnsi="Aptos"/>
                <w:lang w:val="fr-FR"/>
              </w:rPr>
            </w:pPr>
            <w:r w:rsidRPr="006F7AF8">
              <w:rPr>
                <w:rFonts w:ascii="Aptos" w:hAnsi="Aptos"/>
                <w:lang w:val="fr-FR"/>
              </w:rPr>
              <w:t>Nombre de Parties : 127</w:t>
            </w:r>
          </w:p>
        </w:tc>
      </w:tr>
      <w:tr w:rsidR="001279A8" w:rsidRPr="006F7AF8" w14:paraId="094ACF54" w14:textId="77777777" w:rsidTr="009B4355">
        <w:tc>
          <w:tcPr>
            <w:tcW w:w="4188" w:type="dxa"/>
          </w:tcPr>
          <w:p w14:paraId="6EFFACC6"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61941732"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54FCEF44" w14:textId="77777777" w:rsidTr="009B4355">
        <w:tc>
          <w:tcPr>
            <w:tcW w:w="4188" w:type="dxa"/>
          </w:tcPr>
          <w:p w14:paraId="16008E27"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2E5A3055"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4DB80DBA" w14:textId="77777777" w:rsidTr="009B4355">
        <w:tc>
          <w:tcPr>
            <w:tcW w:w="4188" w:type="dxa"/>
          </w:tcPr>
          <w:p w14:paraId="0673DB00"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4673" w:type="dxa"/>
          </w:tcPr>
          <w:p w14:paraId="25A53391"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2F373FDF" w14:textId="77777777" w:rsidTr="009B4355">
        <w:tc>
          <w:tcPr>
            <w:tcW w:w="4188" w:type="dxa"/>
          </w:tcPr>
          <w:p w14:paraId="28F3806C"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20927FA2"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5DD2DBDD" w14:textId="77777777" w:rsidTr="009B4355">
        <w:tc>
          <w:tcPr>
            <w:tcW w:w="4188" w:type="dxa"/>
          </w:tcPr>
          <w:p w14:paraId="759A1591"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333A476C"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67A3CD22" w14:textId="77777777" w:rsidTr="009B4355">
        <w:tc>
          <w:tcPr>
            <w:tcW w:w="4188" w:type="dxa"/>
          </w:tcPr>
          <w:p w14:paraId="7D49A11F"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3" w:type="dxa"/>
          </w:tcPr>
          <w:p w14:paraId="0CB71B6D"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C6E0DE3" w14:textId="77777777" w:rsidR="00B87039" w:rsidRPr="00653BF4" w:rsidRDefault="00B87039" w:rsidP="00B87039">
      <w:pPr>
        <w:rPr>
          <w:sz w:val="18"/>
          <w:szCs w:val="18"/>
          <w:lang w:val="fr-FR"/>
        </w:rPr>
      </w:pPr>
    </w:p>
    <w:p w14:paraId="45178732" w14:textId="59ADE2ED" w:rsidR="00B87039" w:rsidRPr="00653BF4" w:rsidRDefault="00B87039" w:rsidP="00B87039">
      <w:pPr>
        <w:rPr>
          <w:sz w:val="20"/>
          <w:szCs w:val="20"/>
          <w:lang w:val="fr-FR" w:eastAsia="ja-JP"/>
        </w:rPr>
      </w:pPr>
      <w:bookmarkStart w:id="432" w:name="_Ref238812392"/>
      <w:r w:rsidRPr="00653BF4">
        <w:rPr>
          <w:sz w:val="20"/>
          <w:szCs w:val="20"/>
          <w:lang w:val="fr-FR"/>
        </w:rPr>
        <w:lastRenderedPageBreak/>
        <w:t>Figure 90</w:t>
      </w:r>
      <w:bookmarkEnd w:id="432"/>
    </w:p>
    <w:p w14:paraId="32AA58D0" w14:textId="1C3E654C" w:rsidR="00B87039" w:rsidRPr="00653BF4" w:rsidRDefault="00B87039" w:rsidP="00B87039">
      <w:pPr>
        <w:pStyle w:val="Caption"/>
        <w:rPr>
          <w:b/>
          <w:bCs/>
          <w:i w:val="0"/>
          <w:iCs w:val="0"/>
          <w:sz w:val="20"/>
          <w:szCs w:val="20"/>
          <w:lang w:val="fr-FR"/>
        </w:rPr>
      </w:pPr>
      <w:r w:rsidRPr="00653BF4">
        <w:rPr>
          <w:b/>
          <w:bCs/>
          <w:i w:val="0"/>
          <w:iCs w:val="0"/>
          <w:sz w:val="20"/>
          <w:szCs w:val="20"/>
          <w:lang w:val="fr-FR"/>
        </w:rPr>
        <w:t>Pourcentage d</w:t>
      </w:r>
      <w:r w:rsidR="00D77549">
        <w:rPr>
          <w:b/>
          <w:bCs/>
          <w:i w:val="0"/>
          <w:iCs w:val="0"/>
          <w:sz w:val="20"/>
          <w:szCs w:val="20"/>
          <w:lang w:val="fr-FR"/>
        </w:rPr>
        <w:t>’</w:t>
      </w:r>
      <w:r w:rsidRPr="00653BF4">
        <w:rPr>
          <w:b/>
          <w:bCs/>
          <w:i w:val="0"/>
          <w:iCs w:val="0"/>
          <w:sz w:val="20"/>
          <w:szCs w:val="20"/>
          <w:lang w:val="fr-FR"/>
        </w:rPr>
        <w:t xml:space="preserve">indicateurs alignés sur la </w:t>
      </w:r>
      <w:r w:rsidR="00E34DC9">
        <w:rPr>
          <w:b/>
          <w:bCs/>
          <w:i w:val="0"/>
          <w:iCs w:val="0"/>
          <w:sz w:val="20"/>
          <w:szCs w:val="20"/>
          <w:lang w:val="fr-FR"/>
        </w:rPr>
        <w:t>cible 2</w:t>
      </w:r>
      <w:r w:rsidRPr="00653BF4">
        <w:rPr>
          <w:b/>
          <w:bCs/>
          <w:i w:val="0"/>
          <w:iCs w:val="0"/>
          <w:sz w:val="20"/>
          <w:szCs w:val="20"/>
          <w:lang w:val="fr-FR"/>
        </w:rPr>
        <w:t>2 du Cadre, selon qu</w:t>
      </w:r>
      <w:r w:rsidR="00D77549">
        <w:rPr>
          <w:b/>
          <w:bCs/>
          <w:i w:val="0"/>
          <w:iCs w:val="0"/>
          <w:sz w:val="20"/>
          <w:szCs w:val="20"/>
          <w:lang w:val="fr-FR"/>
        </w:rPr>
        <w:t>’</w:t>
      </w:r>
      <w:r w:rsidRPr="00653BF4">
        <w:rPr>
          <w:b/>
          <w:bCs/>
          <w:i w:val="0"/>
          <w:iCs w:val="0"/>
          <w:sz w:val="20"/>
          <w:szCs w:val="20"/>
          <w:lang w:val="fr-FR"/>
        </w:rPr>
        <w:t xml:space="preserve">ils indiquent une tendance positive, stable ou négative </w:t>
      </w:r>
    </w:p>
    <w:p w14:paraId="360AC488" w14:textId="77777777" w:rsidR="00B87039" w:rsidRPr="00653BF4" w:rsidRDefault="00B87039" w:rsidP="00B87039">
      <w:pPr>
        <w:pStyle w:val="Caption"/>
        <w:rPr>
          <w:lang w:val="fr-FR"/>
        </w:rPr>
      </w:pPr>
      <w:r w:rsidRPr="00653BF4">
        <w:rPr>
          <w:noProof/>
          <w:lang w:val="fr-FR"/>
          <w14:ligatures w14:val="standardContextual"/>
        </w:rPr>
        <w:drawing>
          <wp:inline distT="0" distB="0" distL="0" distR="0" wp14:anchorId="35ADA371" wp14:editId="6163F253">
            <wp:extent cx="5731510" cy="2456180"/>
            <wp:effectExtent l="0" t="0" r="0" b="0"/>
            <wp:docPr id="12501484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48451" name="Picture 1250148451"/>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5622570B" w14:textId="1FF977F5" w:rsidR="00B87039" w:rsidRPr="00653BF4" w:rsidRDefault="00B87039" w:rsidP="00B87039">
      <w:pPr>
        <w:pStyle w:val="Caption"/>
        <w:rPr>
          <w:i w:val="0"/>
          <w:iCs w:val="0"/>
          <w:sz w:val="16"/>
          <w:szCs w:val="16"/>
          <w:lang w:val="fr-FR"/>
        </w:rPr>
      </w:pPr>
      <w:r w:rsidRPr="00653BF4">
        <w:rPr>
          <w:sz w:val="16"/>
          <w:szCs w:val="16"/>
          <w:lang w:val="fr-FR"/>
        </w:rPr>
        <w:t>Note</w:t>
      </w:r>
      <w:r w:rsidR="00E34DC9">
        <w:rPr>
          <w:sz w:val="16"/>
          <w:szCs w:val="16"/>
          <w:lang w:val="fr-FR"/>
        </w:rPr>
        <w:t> :</w:t>
      </w:r>
      <w:r w:rsidRPr="00653BF4">
        <w:rPr>
          <w:i w:val="0"/>
          <w:iCs w:val="0"/>
          <w:sz w:val="16"/>
          <w:szCs w:val="16"/>
          <w:lang w:val="fr-FR"/>
        </w:rPr>
        <w:t xml:space="preserve"> Les proportions sont pondérées par Partie. Les tendances incluent des données relatives à 1 indicateur phare provenant de 4 Parties, ainsi qu</w:t>
      </w:r>
      <w:r w:rsidR="00D77549">
        <w:rPr>
          <w:i w:val="0"/>
          <w:iCs w:val="0"/>
          <w:sz w:val="16"/>
          <w:szCs w:val="16"/>
          <w:lang w:val="fr-FR"/>
        </w:rPr>
        <w:t>’</w:t>
      </w:r>
      <w:r w:rsidRPr="00653BF4">
        <w:rPr>
          <w:i w:val="0"/>
          <w:iCs w:val="0"/>
          <w:sz w:val="16"/>
          <w:szCs w:val="16"/>
          <w:lang w:val="fr-FR"/>
        </w:rPr>
        <w:t xml:space="preserve">à 1 indicateur de composante, 4 indicateurs complémentaires et 39 indicateurs nationaux provenant au total de 18 Parties. Le diagramme circulaire représente la répartition, par région, des Parties ayant communiqué des indicateurs pour la </w:t>
      </w:r>
      <w:r w:rsidR="00E34DC9">
        <w:rPr>
          <w:i w:val="0"/>
          <w:iCs w:val="0"/>
          <w:sz w:val="16"/>
          <w:szCs w:val="16"/>
          <w:lang w:val="fr-FR"/>
        </w:rPr>
        <w:t>cible 2</w:t>
      </w:r>
      <w:r w:rsidRPr="00653BF4">
        <w:rPr>
          <w:i w:val="0"/>
          <w:iCs w:val="0"/>
          <w:sz w:val="16"/>
          <w:szCs w:val="16"/>
          <w:lang w:val="fr-FR"/>
        </w:rPr>
        <w:t>2. La couleur de chaque région est indiquée dans la légende de la figure</w:t>
      </w:r>
      <w:r w:rsidR="00E34DC9">
        <w:rPr>
          <w:i w:val="0"/>
          <w:iCs w:val="0"/>
          <w:sz w:val="16"/>
          <w:szCs w:val="16"/>
          <w:lang w:val="fr-FR"/>
        </w:rPr>
        <w:t> :</w:t>
      </w:r>
      <w:r w:rsidRPr="00653BF4">
        <w:rPr>
          <w:i w:val="0"/>
          <w:iCs w:val="0"/>
          <w:sz w:val="16"/>
          <w:szCs w:val="16"/>
          <w:lang w:val="fr-FR"/>
        </w:rPr>
        <w:t xml:space="preserve"> les tons plus foncés représentent la proportion de Parties de chaque région dont les données figurent dans le graphique</w:t>
      </w:r>
      <w:r w:rsidR="00E34DC9">
        <w:rPr>
          <w:i w:val="0"/>
          <w:iCs w:val="0"/>
          <w:sz w:val="16"/>
          <w:szCs w:val="16"/>
          <w:lang w:val="fr-FR"/>
        </w:rPr>
        <w:t> ;</w:t>
      </w:r>
      <w:r w:rsidRPr="00653BF4">
        <w:rPr>
          <w:i w:val="0"/>
          <w:iCs w:val="0"/>
          <w:sz w:val="16"/>
          <w:szCs w:val="16"/>
          <w:lang w:val="fr-FR"/>
        </w:rPr>
        <w:t xml:space="preserve"> les tons plus clairs, la proportion de Parties de la même région dont les données n’y figurent pas.</w:t>
      </w:r>
    </w:p>
    <w:tbl>
      <w:tblPr>
        <w:tblStyle w:val="TableGrid"/>
        <w:tblW w:w="8861" w:type="dxa"/>
        <w:tblLook w:val="04A0" w:firstRow="1" w:lastRow="0" w:firstColumn="1" w:lastColumn="0" w:noHBand="0" w:noVBand="1"/>
      </w:tblPr>
      <w:tblGrid>
        <w:gridCol w:w="4188"/>
        <w:gridCol w:w="4673"/>
      </w:tblGrid>
      <w:tr w:rsidR="001279A8" w:rsidRPr="006B2439" w14:paraId="10928D7D" w14:textId="77777777" w:rsidTr="009B4355">
        <w:tc>
          <w:tcPr>
            <w:tcW w:w="8861" w:type="dxa"/>
            <w:gridSpan w:val="2"/>
          </w:tcPr>
          <w:p w14:paraId="5FA67991" w14:textId="77777777" w:rsidR="001279A8" w:rsidRPr="006B2439" w:rsidRDefault="001279A8" w:rsidP="009B4355">
            <w:pPr>
              <w:rPr>
                <w:rFonts w:ascii="Aptos" w:hAnsi="Aptos"/>
                <w:lang w:val="fr-FR"/>
              </w:rPr>
            </w:pPr>
            <w:r>
              <w:rPr>
                <w:rFonts w:ascii="Aptos" w:hAnsi="Aptos"/>
                <w:lang w:val="fr-FR"/>
              </w:rPr>
              <w:t>Figure 90</w:t>
            </w:r>
          </w:p>
        </w:tc>
      </w:tr>
      <w:tr w:rsidR="001279A8" w:rsidRPr="006B2439" w14:paraId="5B11A5EC" w14:textId="77777777" w:rsidTr="009B4355">
        <w:tc>
          <w:tcPr>
            <w:tcW w:w="4188" w:type="dxa"/>
          </w:tcPr>
          <w:p w14:paraId="614AB7C5" w14:textId="77777777" w:rsidR="001279A8" w:rsidRPr="006B2439" w:rsidRDefault="001279A8" w:rsidP="009B4355">
            <w:pPr>
              <w:rPr>
                <w:rFonts w:ascii="Aptos" w:hAnsi="Aptos"/>
                <w:lang w:val="fr-FR"/>
              </w:rPr>
            </w:pPr>
            <w:r w:rsidRPr="006B2439">
              <w:rPr>
                <w:rFonts w:ascii="Aptos" w:hAnsi="Aptos"/>
                <w:lang w:val="fr-FR"/>
              </w:rPr>
              <w:t xml:space="preserve">English </w:t>
            </w:r>
          </w:p>
        </w:tc>
        <w:tc>
          <w:tcPr>
            <w:tcW w:w="4673" w:type="dxa"/>
          </w:tcPr>
          <w:p w14:paraId="0A78E5B9" w14:textId="77777777" w:rsidR="001279A8" w:rsidRPr="006B2439" w:rsidRDefault="001279A8" w:rsidP="009B4355">
            <w:pPr>
              <w:rPr>
                <w:rFonts w:ascii="Aptos" w:hAnsi="Aptos"/>
                <w:lang w:val="fr-FR"/>
              </w:rPr>
            </w:pPr>
            <w:r>
              <w:rPr>
                <w:rFonts w:ascii="Aptos" w:hAnsi="Aptos"/>
                <w:lang w:val="fr-FR"/>
              </w:rPr>
              <w:t>Français</w:t>
            </w:r>
          </w:p>
        </w:tc>
      </w:tr>
      <w:tr w:rsidR="001279A8" w:rsidRPr="006F7AF8" w14:paraId="76BD7E52" w14:textId="77777777" w:rsidTr="009B4355">
        <w:tc>
          <w:tcPr>
            <w:tcW w:w="4188" w:type="dxa"/>
          </w:tcPr>
          <w:p w14:paraId="4F174605" w14:textId="77777777" w:rsidR="001279A8" w:rsidRPr="006F7AF8" w:rsidRDefault="001279A8" w:rsidP="009B4355">
            <w:pPr>
              <w:rPr>
                <w:rFonts w:ascii="Aptos" w:hAnsi="Aptos"/>
                <w:lang w:val="fr-FR"/>
              </w:rPr>
            </w:pPr>
            <w:r w:rsidRPr="006F7AF8">
              <w:rPr>
                <w:rFonts w:ascii="Aptos" w:hAnsi="Aptos"/>
                <w:lang w:val="fr-FR"/>
              </w:rPr>
              <w:t>Proportion</w:t>
            </w:r>
          </w:p>
        </w:tc>
        <w:tc>
          <w:tcPr>
            <w:tcW w:w="4673" w:type="dxa"/>
          </w:tcPr>
          <w:p w14:paraId="4AE60E40" w14:textId="77777777" w:rsidR="001279A8" w:rsidRPr="006F7AF8" w:rsidRDefault="001279A8" w:rsidP="009B4355">
            <w:pPr>
              <w:rPr>
                <w:rFonts w:ascii="Aptos" w:hAnsi="Aptos"/>
                <w:lang w:val="fr-FR"/>
              </w:rPr>
            </w:pPr>
            <w:r w:rsidRPr="006F7AF8">
              <w:rPr>
                <w:rFonts w:ascii="Aptos" w:hAnsi="Aptos"/>
                <w:lang w:val="fr-FR"/>
              </w:rPr>
              <w:t>Proportion</w:t>
            </w:r>
          </w:p>
        </w:tc>
      </w:tr>
      <w:tr w:rsidR="001279A8" w:rsidRPr="006F7AF8" w14:paraId="23820F33" w14:textId="77777777" w:rsidTr="009B4355">
        <w:tc>
          <w:tcPr>
            <w:tcW w:w="4188" w:type="dxa"/>
          </w:tcPr>
          <w:p w14:paraId="5EA3FE28" w14:textId="77777777" w:rsidR="001279A8" w:rsidRPr="006F7AF8" w:rsidRDefault="001279A8" w:rsidP="009B4355">
            <w:pPr>
              <w:rPr>
                <w:rFonts w:ascii="Aptos" w:hAnsi="Aptos"/>
                <w:lang w:val="fr-FR"/>
              </w:rPr>
            </w:pPr>
            <w:r w:rsidRPr="006F7AF8">
              <w:rPr>
                <w:rFonts w:ascii="Aptos" w:hAnsi="Aptos"/>
                <w:lang w:val="fr-FR"/>
              </w:rPr>
              <w:t>Current Status</w:t>
            </w:r>
          </w:p>
        </w:tc>
        <w:tc>
          <w:tcPr>
            <w:tcW w:w="4673" w:type="dxa"/>
          </w:tcPr>
          <w:p w14:paraId="545A33CD" w14:textId="77777777" w:rsidR="001279A8" w:rsidRPr="006F7AF8" w:rsidRDefault="001279A8" w:rsidP="009B4355">
            <w:pPr>
              <w:rPr>
                <w:rFonts w:ascii="Aptos" w:hAnsi="Aptos"/>
                <w:lang w:val="fr-FR"/>
              </w:rPr>
            </w:pPr>
            <w:r w:rsidRPr="006F7AF8">
              <w:rPr>
                <w:rFonts w:ascii="Aptos" w:hAnsi="Aptos"/>
                <w:lang w:val="fr-FR"/>
              </w:rPr>
              <w:t>État actuel</w:t>
            </w:r>
          </w:p>
        </w:tc>
      </w:tr>
      <w:tr w:rsidR="001279A8" w:rsidRPr="006F7AF8" w14:paraId="0B2FEECB" w14:textId="77777777" w:rsidTr="009B4355">
        <w:tc>
          <w:tcPr>
            <w:tcW w:w="4188" w:type="dxa"/>
          </w:tcPr>
          <w:p w14:paraId="4F8DD531" w14:textId="77777777" w:rsidR="001279A8" w:rsidRPr="006F7AF8" w:rsidRDefault="001279A8" w:rsidP="009B4355">
            <w:pPr>
              <w:rPr>
                <w:rFonts w:ascii="Aptos" w:hAnsi="Aptos"/>
                <w:lang w:val="fr-FR"/>
              </w:rPr>
            </w:pPr>
            <w:r w:rsidRPr="006F7AF8">
              <w:rPr>
                <w:rFonts w:ascii="Aptos" w:hAnsi="Aptos"/>
                <w:lang w:val="fr-FR"/>
              </w:rPr>
              <w:t>Improving</w:t>
            </w:r>
          </w:p>
        </w:tc>
        <w:tc>
          <w:tcPr>
            <w:tcW w:w="4673" w:type="dxa"/>
          </w:tcPr>
          <w:p w14:paraId="0F38A573" w14:textId="77777777" w:rsidR="001279A8" w:rsidRPr="006F7AF8" w:rsidRDefault="001279A8" w:rsidP="009B4355">
            <w:pPr>
              <w:rPr>
                <w:rFonts w:ascii="Aptos" w:hAnsi="Aptos"/>
                <w:lang w:val="fr-FR"/>
              </w:rPr>
            </w:pPr>
            <w:r>
              <w:rPr>
                <w:rFonts w:ascii="Aptos" w:hAnsi="Aptos"/>
                <w:lang w:val="fr-FR"/>
              </w:rPr>
              <w:t>amélioration</w:t>
            </w:r>
          </w:p>
        </w:tc>
      </w:tr>
      <w:tr w:rsidR="001279A8" w:rsidRPr="006F7AF8" w14:paraId="56B72C35" w14:textId="77777777" w:rsidTr="009B4355">
        <w:tc>
          <w:tcPr>
            <w:tcW w:w="4188" w:type="dxa"/>
          </w:tcPr>
          <w:p w14:paraId="48E89632" w14:textId="77777777" w:rsidR="001279A8" w:rsidRPr="006F7AF8" w:rsidRDefault="001279A8" w:rsidP="009B4355">
            <w:pPr>
              <w:rPr>
                <w:rFonts w:ascii="Aptos" w:hAnsi="Aptos"/>
                <w:lang w:val="fr-FR"/>
              </w:rPr>
            </w:pPr>
            <w:r w:rsidRPr="006F7AF8">
              <w:rPr>
                <w:rFonts w:ascii="Aptos" w:hAnsi="Aptos"/>
                <w:lang w:val="fr-FR"/>
              </w:rPr>
              <w:t>Stable</w:t>
            </w:r>
          </w:p>
        </w:tc>
        <w:tc>
          <w:tcPr>
            <w:tcW w:w="4673" w:type="dxa"/>
          </w:tcPr>
          <w:p w14:paraId="1DD6DBB3" w14:textId="77777777" w:rsidR="001279A8" w:rsidRPr="006F7AF8" w:rsidRDefault="001279A8" w:rsidP="009B4355">
            <w:pPr>
              <w:rPr>
                <w:rFonts w:ascii="Aptos" w:hAnsi="Aptos"/>
                <w:lang w:val="fr-FR"/>
              </w:rPr>
            </w:pPr>
            <w:r>
              <w:rPr>
                <w:rFonts w:ascii="Aptos" w:hAnsi="Aptos"/>
                <w:lang w:val="fr-FR"/>
              </w:rPr>
              <w:t>s</w:t>
            </w:r>
            <w:r w:rsidRPr="006F7AF8">
              <w:rPr>
                <w:rFonts w:ascii="Aptos" w:hAnsi="Aptos"/>
                <w:lang w:val="fr-FR"/>
              </w:rPr>
              <w:t>tab</w:t>
            </w:r>
            <w:r>
              <w:rPr>
                <w:rFonts w:ascii="Aptos" w:hAnsi="Aptos"/>
                <w:lang w:val="fr-FR"/>
              </w:rPr>
              <w:t>ilité</w:t>
            </w:r>
          </w:p>
        </w:tc>
      </w:tr>
      <w:tr w:rsidR="001279A8" w:rsidRPr="006F7AF8" w14:paraId="3D335C8F" w14:textId="77777777" w:rsidTr="009B4355">
        <w:tc>
          <w:tcPr>
            <w:tcW w:w="4188" w:type="dxa"/>
          </w:tcPr>
          <w:p w14:paraId="4C27C059" w14:textId="77777777" w:rsidR="001279A8" w:rsidRPr="006F7AF8" w:rsidRDefault="001279A8" w:rsidP="009B4355">
            <w:pPr>
              <w:rPr>
                <w:rFonts w:ascii="Aptos" w:hAnsi="Aptos"/>
                <w:lang w:val="fr-FR"/>
              </w:rPr>
            </w:pPr>
            <w:r w:rsidRPr="006F7AF8">
              <w:rPr>
                <w:rFonts w:ascii="Aptos" w:hAnsi="Aptos"/>
                <w:lang w:val="fr-FR"/>
              </w:rPr>
              <w:t>Moving away</w:t>
            </w:r>
          </w:p>
        </w:tc>
        <w:tc>
          <w:tcPr>
            <w:tcW w:w="4673" w:type="dxa"/>
          </w:tcPr>
          <w:p w14:paraId="2C0B0108" w14:textId="77777777" w:rsidR="001279A8" w:rsidRPr="006F7AF8" w:rsidRDefault="001279A8" w:rsidP="009B4355">
            <w:pPr>
              <w:rPr>
                <w:rFonts w:ascii="Aptos" w:hAnsi="Aptos"/>
                <w:lang w:val="fr-FR"/>
              </w:rPr>
            </w:pPr>
            <w:r>
              <w:rPr>
                <w:rFonts w:ascii="Aptos" w:hAnsi="Aptos"/>
                <w:lang w:val="fr-FR"/>
              </w:rPr>
              <w:t>éloignement</w:t>
            </w:r>
          </w:p>
        </w:tc>
      </w:tr>
      <w:tr w:rsidR="001279A8" w:rsidRPr="006F7AF8" w14:paraId="0AC160B9" w14:textId="77777777" w:rsidTr="009B4355">
        <w:tc>
          <w:tcPr>
            <w:tcW w:w="4188" w:type="dxa"/>
          </w:tcPr>
          <w:p w14:paraId="7672ACD1" w14:textId="77777777" w:rsidR="001279A8" w:rsidRPr="006F7AF8" w:rsidRDefault="001279A8" w:rsidP="009B4355">
            <w:pPr>
              <w:rPr>
                <w:rFonts w:ascii="Aptos" w:hAnsi="Aptos"/>
                <w:lang w:val="fr-FR"/>
              </w:rPr>
            </w:pPr>
            <w:r w:rsidRPr="006F7AF8">
              <w:rPr>
                <w:rFonts w:ascii="Aptos" w:hAnsi="Aptos"/>
                <w:lang w:val="fr-FR"/>
              </w:rPr>
              <w:t>Party count: 19</w:t>
            </w:r>
          </w:p>
        </w:tc>
        <w:tc>
          <w:tcPr>
            <w:tcW w:w="4673" w:type="dxa"/>
          </w:tcPr>
          <w:p w14:paraId="285CCA15" w14:textId="77777777" w:rsidR="001279A8" w:rsidRPr="006F7AF8" w:rsidRDefault="001279A8" w:rsidP="009B4355">
            <w:pPr>
              <w:rPr>
                <w:rFonts w:ascii="Aptos" w:hAnsi="Aptos"/>
                <w:lang w:val="fr-FR"/>
              </w:rPr>
            </w:pPr>
            <w:r w:rsidRPr="006F7AF8">
              <w:rPr>
                <w:rFonts w:ascii="Aptos" w:hAnsi="Aptos"/>
                <w:lang w:val="fr-FR"/>
              </w:rPr>
              <w:t>Nombre de Parties : 19</w:t>
            </w:r>
          </w:p>
        </w:tc>
      </w:tr>
      <w:tr w:rsidR="001279A8" w:rsidRPr="006F7AF8" w14:paraId="7506C0EA" w14:textId="77777777" w:rsidTr="009B4355">
        <w:tc>
          <w:tcPr>
            <w:tcW w:w="4188" w:type="dxa"/>
          </w:tcPr>
          <w:p w14:paraId="37A84B8F" w14:textId="77777777" w:rsidR="001279A8" w:rsidRPr="006F7AF8" w:rsidRDefault="001279A8" w:rsidP="009B4355">
            <w:pPr>
              <w:rPr>
                <w:rFonts w:ascii="Aptos" w:hAnsi="Aptos"/>
                <w:lang w:val="fr-FR"/>
              </w:rPr>
            </w:pPr>
            <w:r w:rsidRPr="006F7AF8">
              <w:rPr>
                <w:rFonts w:ascii="Aptos" w:hAnsi="Aptos"/>
                <w:lang w:val="fr-FR"/>
              </w:rPr>
              <w:t>Region</w:t>
            </w:r>
          </w:p>
        </w:tc>
        <w:tc>
          <w:tcPr>
            <w:tcW w:w="4673" w:type="dxa"/>
          </w:tcPr>
          <w:p w14:paraId="4E67892F"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4C726B4A" w14:textId="77777777" w:rsidTr="009B4355">
        <w:tc>
          <w:tcPr>
            <w:tcW w:w="4188" w:type="dxa"/>
          </w:tcPr>
          <w:p w14:paraId="1F23BFFB" w14:textId="77777777" w:rsidR="001279A8" w:rsidRPr="006F7AF8" w:rsidRDefault="001279A8" w:rsidP="009B4355">
            <w:pPr>
              <w:rPr>
                <w:rFonts w:ascii="Aptos" w:hAnsi="Aptos"/>
                <w:lang w:val="fr-FR"/>
              </w:rPr>
            </w:pPr>
            <w:r w:rsidRPr="006F7AF8">
              <w:rPr>
                <w:rFonts w:ascii="Aptos" w:hAnsi="Aptos"/>
                <w:lang w:val="fr-FR"/>
              </w:rPr>
              <w:t>African States</w:t>
            </w:r>
          </w:p>
        </w:tc>
        <w:tc>
          <w:tcPr>
            <w:tcW w:w="4673" w:type="dxa"/>
          </w:tcPr>
          <w:p w14:paraId="3988B41C"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629D06E2" w14:textId="77777777" w:rsidTr="009B4355">
        <w:tc>
          <w:tcPr>
            <w:tcW w:w="4188" w:type="dxa"/>
          </w:tcPr>
          <w:p w14:paraId="5C8ADCE8"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4673" w:type="dxa"/>
          </w:tcPr>
          <w:p w14:paraId="5649A71E"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69761ECE" w14:textId="77777777" w:rsidTr="009B4355">
        <w:tc>
          <w:tcPr>
            <w:tcW w:w="4188" w:type="dxa"/>
          </w:tcPr>
          <w:p w14:paraId="3D1DF5E7"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673" w:type="dxa"/>
          </w:tcPr>
          <w:p w14:paraId="416F64AD"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1ECA7C31" w14:textId="77777777" w:rsidTr="009B4355">
        <w:tc>
          <w:tcPr>
            <w:tcW w:w="4188" w:type="dxa"/>
          </w:tcPr>
          <w:p w14:paraId="7388BC7E" w14:textId="77777777" w:rsidR="001279A8" w:rsidRPr="006F7AF8" w:rsidRDefault="001279A8" w:rsidP="009B4355">
            <w:pPr>
              <w:rPr>
                <w:rFonts w:ascii="Aptos" w:hAnsi="Aptos"/>
                <w:lang w:val="fr-FR"/>
              </w:rPr>
            </w:pPr>
            <w:r w:rsidRPr="006F7AF8">
              <w:rPr>
                <w:rFonts w:ascii="Aptos" w:hAnsi="Aptos"/>
                <w:lang w:val="fr-FR"/>
              </w:rPr>
              <w:t>Eastern European States</w:t>
            </w:r>
          </w:p>
        </w:tc>
        <w:tc>
          <w:tcPr>
            <w:tcW w:w="4673" w:type="dxa"/>
          </w:tcPr>
          <w:p w14:paraId="5FB4310C"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7CEFEBED" w14:textId="77777777" w:rsidTr="009B4355">
        <w:tc>
          <w:tcPr>
            <w:tcW w:w="4188" w:type="dxa"/>
          </w:tcPr>
          <w:p w14:paraId="590B2DAE" w14:textId="77777777" w:rsidR="001279A8" w:rsidRPr="006F7AF8" w:rsidRDefault="001279A8" w:rsidP="009B4355">
            <w:pPr>
              <w:rPr>
                <w:rFonts w:ascii="Aptos" w:hAnsi="Aptos"/>
                <w:lang w:val="fr-FR"/>
              </w:rPr>
            </w:pPr>
            <w:r w:rsidRPr="006F7AF8">
              <w:rPr>
                <w:rFonts w:ascii="Aptos" w:hAnsi="Aptos"/>
                <w:lang w:val="fr-FR"/>
              </w:rPr>
              <w:t>Western European and other States</w:t>
            </w:r>
          </w:p>
        </w:tc>
        <w:tc>
          <w:tcPr>
            <w:tcW w:w="4673" w:type="dxa"/>
          </w:tcPr>
          <w:p w14:paraId="1CE449CD"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7E721F54" w14:textId="77777777" w:rsidR="00B87039" w:rsidRPr="00653BF4" w:rsidRDefault="00B87039" w:rsidP="00B87039">
      <w:pPr>
        <w:pStyle w:val="Caption"/>
        <w:rPr>
          <w:lang w:val="fr-FR"/>
        </w:rPr>
      </w:pPr>
    </w:p>
    <w:p w14:paraId="7B28CDA7" w14:textId="49D49295" w:rsidR="00B87039" w:rsidRPr="00653BF4" w:rsidRDefault="00B87039" w:rsidP="00B87039">
      <w:pPr>
        <w:pStyle w:val="Heading5"/>
        <w:rPr>
          <w:lang w:val="fr-FR"/>
        </w:rPr>
      </w:pPr>
      <w:bookmarkStart w:id="433" w:name="_Toc235821321"/>
      <w:r w:rsidRPr="00653BF4">
        <w:rPr>
          <w:lang w:val="fr-FR"/>
        </w:rPr>
        <w:t>Auto-évaluation des progrès accomplis</w:t>
      </w:r>
      <w:bookmarkEnd w:id="433"/>
    </w:p>
    <w:p w14:paraId="67666E7C" w14:textId="7EC0B490" w:rsidR="00B87039" w:rsidRPr="00653BF4" w:rsidRDefault="00B87039" w:rsidP="00B87039">
      <w:pPr>
        <w:rPr>
          <w:rStyle w:val="normaltextrun"/>
          <w:color w:val="000000" w:themeColor="text1"/>
          <w:lang w:val="fr-FR"/>
        </w:rPr>
      </w:pPr>
      <w:r w:rsidRPr="00653BF4">
        <w:rPr>
          <w:lang w:val="fr-FR"/>
        </w:rPr>
        <w:t>D’après les auto-évaluations des Parties figurant dans leurs rapports nationaux, une proportion relativement élevée (42</w:t>
      </w:r>
      <w:r w:rsidR="002878D7">
        <w:rPr>
          <w:lang w:val="fr-FR"/>
        </w:rPr>
        <w:t> %</w:t>
      </w:r>
      <w:r w:rsidRPr="00653BF4">
        <w:rPr>
          <w:lang w:val="fr-FR"/>
        </w:rPr>
        <w:t xml:space="preserve">) des cibles nationales qu’elles ont présentées comme étroitement alignées sur la </w:t>
      </w:r>
      <w:r w:rsidR="00E34DC9">
        <w:rPr>
          <w:lang w:val="fr-FR"/>
        </w:rPr>
        <w:t>cible 2</w:t>
      </w:r>
      <w:r w:rsidRPr="00653BF4">
        <w:rPr>
          <w:lang w:val="fr-FR"/>
        </w:rPr>
        <w:t>2 sont en voie d</w:t>
      </w:r>
      <w:r w:rsidR="00D77549">
        <w:rPr>
          <w:lang w:val="fr-FR"/>
        </w:rPr>
        <w:t>’</w:t>
      </w:r>
      <w:r w:rsidRPr="00653BF4">
        <w:rPr>
          <w:lang w:val="fr-FR"/>
        </w:rPr>
        <w:t>être atteintes, bien qu</w:t>
      </w:r>
      <w:r w:rsidR="00D77549">
        <w:rPr>
          <w:lang w:val="fr-FR"/>
        </w:rPr>
        <w:t>’</w:t>
      </w:r>
      <w:r w:rsidRPr="00653BF4">
        <w:rPr>
          <w:lang w:val="fr-FR"/>
        </w:rPr>
        <w:t>un nombre plus important (55</w:t>
      </w:r>
      <w:r w:rsidR="002878D7">
        <w:rPr>
          <w:lang w:val="fr-FR"/>
        </w:rPr>
        <w:t> %</w:t>
      </w:r>
      <w:r w:rsidRPr="00653BF4">
        <w:rPr>
          <w:lang w:val="fr-FR"/>
        </w:rPr>
        <w:t>) n</w:t>
      </w:r>
      <w:r w:rsidR="00D77549">
        <w:rPr>
          <w:lang w:val="fr-FR"/>
        </w:rPr>
        <w:t>’</w:t>
      </w:r>
      <w:r w:rsidRPr="00653BF4">
        <w:rPr>
          <w:lang w:val="fr-FR"/>
        </w:rPr>
        <w:t xml:space="preserve">enregistre aucun changement notable ou des progrès </w:t>
      </w:r>
      <w:r w:rsidRPr="00653BF4">
        <w:rPr>
          <w:lang w:val="fr-FR"/>
        </w:rPr>
        <w:lastRenderedPageBreak/>
        <w:t>insuffisants, et qu</w:t>
      </w:r>
      <w:r w:rsidR="00D77549">
        <w:rPr>
          <w:lang w:val="fr-FR"/>
        </w:rPr>
        <w:t>’</w:t>
      </w:r>
      <w:r w:rsidRPr="00653BF4">
        <w:rPr>
          <w:lang w:val="fr-FR"/>
        </w:rPr>
        <w:t>une cible nationale seulement (0,2</w:t>
      </w:r>
      <w:r w:rsidR="002878D7">
        <w:rPr>
          <w:lang w:val="fr-FR"/>
        </w:rPr>
        <w:t> %</w:t>
      </w:r>
      <w:r w:rsidRPr="00653BF4">
        <w:rPr>
          <w:lang w:val="fr-FR"/>
        </w:rPr>
        <w:t>) est déclarée déjà atteinte (voir la figure 91).</w:t>
      </w:r>
    </w:p>
    <w:p w14:paraId="5FA97DC3" w14:textId="77777777" w:rsidR="00B87039" w:rsidRPr="00653BF4" w:rsidRDefault="00B87039" w:rsidP="00B87039">
      <w:pPr>
        <w:rPr>
          <w:lang w:val="fr-FR"/>
        </w:rPr>
      </w:pPr>
    </w:p>
    <w:p w14:paraId="044A7F34" w14:textId="77777777" w:rsidR="00B87039" w:rsidRPr="00653BF4" w:rsidRDefault="00B87039" w:rsidP="00B87039">
      <w:pPr>
        <w:rPr>
          <w:sz w:val="20"/>
          <w:szCs w:val="20"/>
          <w:lang w:val="fr-FR"/>
        </w:rPr>
      </w:pPr>
      <w:r w:rsidRPr="00653BF4">
        <w:rPr>
          <w:sz w:val="20"/>
          <w:szCs w:val="20"/>
          <w:lang w:val="fr-FR"/>
        </w:rPr>
        <w:t>Figure 91</w:t>
      </w:r>
    </w:p>
    <w:p w14:paraId="38FEADCE" w14:textId="52110D74" w:rsidR="00B87039" w:rsidRPr="00653BF4" w:rsidRDefault="00B87039" w:rsidP="00B87039">
      <w:pPr>
        <w:pStyle w:val="Caption"/>
        <w:rPr>
          <w:b/>
          <w:bCs/>
          <w:i w:val="0"/>
          <w:iCs w:val="0"/>
          <w:sz w:val="20"/>
          <w:szCs w:val="20"/>
          <w:lang w:val="fr-FR"/>
        </w:rPr>
      </w:pPr>
      <w:r w:rsidRPr="00653BF4">
        <w:rPr>
          <w:b/>
          <w:bCs/>
          <w:i w:val="0"/>
          <w:iCs w:val="0"/>
          <w:sz w:val="20"/>
          <w:szCs w:val="20"/>
          <w:lang w:val="fr-FR"/>
        </w:rPr>
        <w:t>Progrès auto-évalués pour l</w:t>
      </w:r>
      <w:r w:rsidR="00D77549">
        <w:rPr>
          <w:b/>
          <w:bCs/>
          <w:i w:val="0"/>
          <w:iCs w:val="0"/>
          <w:sz w:val="20"/>
          <w:szCs w:val="20"/>
          <w:lang w:val="fr-FR"/>
        </w:rPr>
        <w:t>’</w:t>
      </w:r>
      <w:r w:rsidRPr="00653BF4">
        <w:rPr>
          <w:b/>
          <w:bCs/>
          <w:i w:val="0"/>
          <w:iCs w:val="0"/>
          <w:sz w:val="20"/>
          <w:szCs w:val="20"/>
          <w:lang w:val="fr-FR"/>
        </w:rPr>
        <w:t xml:space="preserve">ensemble des cibles nationales présentées comme étroitement alignées sur la </w:t>
      </w:r>
      <w:r w:rsidR="00E34DC9">
        <w:rPr>
          <w:b/>
          <w:bCs/>
          <w:i w:val="0"/>
          <w:iCs w:val="0"/>
          <w:sz w:val="20"/>
          <w:szCs w:val="20"/>
          <w:lang w:val="fr-FR"/>
        </w:rPr>
        <w:t>cible 2</w:t>
      </w:r>
      <w:r w:rsidRPr="00653BF4">
        <w:rPr>
          <w:b/>
          <w:bCs/>
          <w:i w:val="0"/>
          <w:iCs w:val="0"/>
          <w:sz w:val="20"/>
          <w:szCs w:val="20"/>
          <w:lang w:val="fr-FR"/>
        </w:rPr>
        <w:t>2 du Cadre</w:t>
      </w:r>
    </w:p>
    <w:p w14:paraId="4FAE4F87" w14:textId="77777777" w:rsidR="00B87039" w:rsidRPr="00653BF4" w:rsidRDefault="00B87039" w:rsidP="00B87039">
      <w:pPr>
        <w:rPr>
          <w:i/>
          <w:iCs/>
          <w:color w:val="0E2841" w:themeColor="text2"/>
          <w:sz w:val="18"/>
          <w:szCs w:val="18"/>
          <w:lang w:val="fr-FR"/>
        </w:rPr>
      </w:pPr>
      <w:bookmarkStart w:id="434" w:name="_Ref231254006"/>
      <w:r w:rsidRPr="00653BF4">
        <w:rPr>
          <w:noProof/>
          <w:lang w:val="fr-FR"/>
        </w:rPr>
        <w:drawing>
          <wp:inline distT="0" distB="0" distL="0" distR="0" wp14:anchorId="525456E8" wp14:editId="0896ECAF">
            <wp:extent cx="5731510" cy="2292350"/>
            <wp:effectExtent l="0" t="0" r="0" b="6350"/>
            <wp:docPr id="49224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4127" name="Picture 49224127"/>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bookmarkEnd w:id="434"/>
    <w:p w14:paraId="6D2DD418" w14:textId="4FCAE424" w:rsidR="00B87039" w:rsidRPr="00653BF4" w:rsidRDefault="00B87039" w:rsidP="00B87039">
      <w:pPr>
        <w:pStyle w:val="Caption"/>
        <w:rPr>
          <w:i w:val="0"/>
          <w:iCs w:val="0"/>
          <w:lang w:val="fr-FR"/>
        </w:rPr>
      </w:pPr>
      <w:r w:rsidRPr="00653BF4">
        <w:rPr>
          <w:lang w:val="fr-FR"/>
        </w:rPr>
        <w:t>Note</w:t>
      </w:r>
      <w:r w:rsidR="00E34DC9">
        <w:rPr>
          <w:lang w:val="fr-FR"/>
        </w:rPr>
        <w:t> :</w:t>
      </w:r>
      <w:r w:rsidRPr="00653BF4">
        <w:rPr>
          <w:lang w:val="fr-FR"/>
        </w:rPr>
        <w:t xml:space="preserve"> </w:t>
      </w:r>
      <w:r w:rsidRPr="00653BF4">
        <w:rPr>
          <w:i w:val="0"/>
          <w:iCs w:val="0"/>
          <w:lang w:val="fr-FR"/>
        </w:rPr>
        <w:t>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9209" w:type="dxa"/>
        <w:tblLook w:val="04A0" w:firstRow="1" w:lastRow="0" w:firstColumn="1" w:lastColumn="0" w:noHBand="0" w:noVBand="1"/>
      </w:tblPr>
      <w:tblGrid>
        <w:gridCol w:w="4390"/>
        <w:gridCol w:w="4819"/>
      </w:tblGrid>
      <w:tr w:rsidR="001279A8" w:rsidRPr="007154FE" w14:paraId="79D65222" w14:textId="77777777" w:rsidTr="009B4355">
        <w:tc>
          <w:tcPr>
            <w:tcW w:w="9209" w:type="dxa"/>
            <w:gridSpan w:val="2"/>
          </w:tcPr>
          <w:p w14:paraId="165945C5" w14:textId="77777777" w:rsidR="001279A8" w:rsidRPr="007154FE" w:rsidRDefault="001279A8" w:rsidP="009B4355">
            <w:pPr>
              <w:rPr>
                <w:rFonts w:ascii="Aptos" w:hAnsi="Aptos"/>
                <w:lang w:val="fr-FR"/>
              </w:rPr>
            </w:pPr>
            <w:r>
              <w:rPr>
                <w:rFonts w:ascii="Aptos" w:hAnsi="Aptos"/>
                <w:lang w:val="fr-FR"/>
              </w:rPr>
              <w:t>Figure 91</w:t>
            </w:r>
          </w:p>
        </w:tc>
      </w:tr>
      <w:tr w:rsidR="001279A8" w:rsidRPr="007154FE" w14:paraId="107DDB75" w14:textId="77777777" w:rsidTr="009B4355">
        <w:tc>
          <w:tcPr>
            <w:tcW w:w="4390" w:type="dxa"/>
          </w:tcPr>
          <w:p w14:paraId="2E19CBB4" w14:textId="77777777" w:rsidR="001279A8" w:rsidRPr="007154FE" w:rsidRDefault="001279A8" w:rsidP="009B4355">
            <w:pPr>
              <w:rPr>
                <w:rFonts w:ascii="Aptos" w:hAnsi="Aptos"/>
                <w:lang w:val="fr-FR"/>
              </w:rPr>
            </w:pPr>
            <w:r w:rsidRPr="007154FE">
              <w:rPr>
                <w:rFonts w:ascii="Aptos" w:hAnsi="Aptos"/>
                <w:lang w:val="fr-FR"/>
              </w:rPr>
              <w:t xml:space="preserve">English </w:t>
            </w:r>
          </w:p>
        </w:tc>
        <w:tc>
          <w:tcPr>
            <w:tcW w:w="4819" w:type="dxa"/>
          </w:tcPr>
          <w:p w14:paraId="2EA87ADA" w14:textId="77777777" w:rsidR="001279A8" w:rsidRPr="007154FE" w:rsidRDefault="001279A8" w:rsidP="009B4355">
            <w:pPr>
              <w:rPr>
                <w:rFonts w:ascii="Aptos" w:hAnsi="Aptos"/>
                <w:lang w:val="fr-FR"/>
              </w:rPr>
            </w:pPr>
            <w:r>
              <w:rPr>
                <w:rFonts w:ascii="Aptos" w:hAnsi="Aptos"/>
                <w:lang w:val="fr-FR"/>
              </w:rPr>
              <w:t>Français</w:t>
            </w:r>
          </w:p>
        </w:tc>
      </w:tr>
      <w:tr w:rsidR="001279A8" w:rsidRPr="006F7AF8" w14:paraId="63A2F2BD" w14:textId="77777777" w:rsidTr="009B4355">
        <w:tc>
          <w:tcPr>
            <w:tcW w:w="4390" w:type="dxa"/>
          </w:tcPr>
          <w:p w14:paraId="4758DE50" w14:textId="77777777" w:rsidR="001279A8" w:rsidRPr="006F7AF8" w:rsidRDefault="001279A8" w:rsidP="009B4355">
            <w:pPr>
              <w:rPr>
                <w:rFonts w:ascii="Aptos" w:hAnsi="Aptos"/>
                <w:lang w:val="fr-FR"/>
              </w:rPr>
            </w:pPr>
            <w:r w:rsidRPr="006F7AF8">
              <w:rPr>
                <w:rFonts w:ascii="Aptos" w:hAnsi="Aptos"/>
                <w:lang w:val="fr-FR"/>
              </w:rPr>
              <w:t>Percentage of national targets</w:t>
            </w:r>
          </w:p>
        </w:tc>
        <w:tc>
          <w:tcPr>
            <w:tcW w:w="4819" w:type="dxa"/>
          </w:tcPr>
          <w:p w14:paraId="37556F7D" w14:textId="77777777" w:rsidR="001279A8" w:rsidRPr="006F7AF8" w:rsidRDefault="001279A8" w:rsidP="009B4355">
            <w:pPr>
              <w:rPr>
                <w:rFonts w:ascii="Aptos" w:hAnsi="Aptos"/>
                <w:lang w:val="fr-FR"/>
              </w:rPr>
            </w:pPr>
            <w:r w:rsidRPr="006F7AF8">
              <w:rPr>
                <w:rFonts w:ascii="Aptos" w:hAnsi="Aptos"/>
                <w:lang w:val="fr-FR"/>
              </w:rPr>
              <w:t>Pourcentage de cibles nationales</w:t>
            </w:r>
          </w:p>
        </w:tc>
      </w:tr>
      <w:tr w:rsidR="001279A8" w:rsidRPr="006F7AF8" w14:paraId="4849A150" w14:textId="77777777" w:rsidTr="009B4355">
        <w:tc>
          <w:tcPr>
            <w:tcW w:w="4390" w:type="dxa"/>
          </w:tcPr>
          <w:p w14:paraId="7D471ED0" w14:textId="77777777" w:rsidR="001279A8" w:rsidRPr="006F7AF8" w:rsidRDefault="001279A8" w:rsidP="009B4355">
            <w:pPr>
              <w:rPr>
                <w:rFonts w:ascii="Aptos" w:hAnsi="Aptos"/>
                <w:lang w:val="fr-FR"/>
              </w:rPr>
            </w:pPr>
            <w:r w:rsidRPr="006F7AF8">
              <w:rPr>
                <w:rFonts w:ascii="Aptos" w:hAnsi="Aptos"/>
                <w:lang w:val="fr-FR"/>
              </w:rPr>
              <w:t>Progress level</w:t>
            </w:r>
          </w:p>
        </w:tc>
        <w:tc>
          <w:tcPr>
            <w:tcW w:w="4819" w:type="dxa"/>
          </w:tcPr>
          <w:p w14:paraId="2C760FD1" w14:textId="77777777" w:rsidR="001279A8" w:rsidRPr="006F7AF8" w:rsidRDefault="001279A8" w:rsidP="009B4355">
            <w:pPr>
              <w:rPr>
                <w:rFonts w:ascii="Aptos" w:hAnsi="Aptos"/>
                <w:lang w:val="fr-FR"/>
              </w:rPr>
            </w:pPr>
            <w:r w:rsidRPr="006F7AF8">
              <w:rPr>
                <w:rFonts w:ascii="Aptos" w:hAnsi="Aptos"/>
                <w:lang w:val="fr-FR"/>
              </w:rPr>
              <w:t>État d</w:t>
            </w:r>
            <w:r>
              <w:rPr>
                <w:rFonts w:ascii="Aptos" w:hAnsi="Aptos"/>
                <w:lang w:val="fr-FR"/>
              </w:rPr>
              <w:t>’</w:t>
            </w:r>
            <w:r w:rsidRPr="006F7AF8">
              <w:rPr>
                <w:rFonts w:ascii="Aptos" w:hAnsi="Aptos"/>
                <w:lang w:val="fr-FR"/>
              </w:rPr>
              <w:t>avancement</w:t>
            </w:r>
          </w:p>
        </w:tc>
      </w:tr>
      <w:tr w:rsidR="001279A8" w:rsidRPr="006F7AF8" w14:paraId="3F551C53" w14:textId="77777777" w:rsidTr="009B4355">
        <w:tc>
          <w:tcPr>
            <w:tcW w:w="4390" w:type="dxa"/>
          </w:tcPr>
          <w:p w14:paraId="4BBE527A" w14:textId="77777777" w:rsidR="001279A8" w:rsidRPr="006F7AF8" w:rsidRDefault="001279A8" w:rsidP="009B4355">
            <w:pPr>
              <w:rPr>
                <w:rFonts w:ascii="Aptos" w:hAnsi="Aptos"/>
                <w:lang w:val="fr-FR"/>
              </w:rPr>
            </w:pPr>
            <w:r w:rsidRPr="006F7AF8">
              <w:rPr>
                <w:rFonts w:ascii="Aptos" w:hAnsi="Aptos"/>
                <w:lang w:val="fr-FR"/>
              </w:rPr>
              <w:t>Achieved</w:t>
            </w:r>
          </w:p>
        </w:tc>
        <w:tc>
          <w:tcPr>
            <w:tcW w:w="4819" w:type="dxa"/>
          </w:tcPr>
          <w:p w14:paraId="5F6EF90C" w14:textId="77777777" w:rsidR="001279A8" w:rsidRPr="006F7AF8" w:rsidRDefault="001279A8" w:rsidP="009B4355">
            <w:pPr>
              <w:rPr>
                <w:rFonts w:ascii="Aptos" w:hAnsi="Aptos"/>
                <w:lang w:val="fr-FR"/>
              </w:rPr>
            </w:pPr>
            <w:r w:rsidRPr="006F7AF8">
              <w:rPr>
                <w:rFonts w:ascii="Aptos" w:hAnsi="Aptos"/>
                <w:lang w:val="fr-FR"/>
              </w:rPr>
              <w:t>Cible atteinte</w:t>
            </w:r>
          </w:p>
        </w:tc>
      </w:tr>
      <w:tr w:rsidR="001279A8" w:rsidRPr="006F7AF8" w14:paraId="10984EA4" w14:textId="77777777" w:rsidTr="009B4355">
        <w:tc>
          <w:tcPr>
            <w:tcW w:w="4390" w:type="dxa"/>
          </w:tcPr>
          <w:p w14:paraId="3F2C6342" w14:textId="77777777" w:rsidR="001279A8" w:rsidRPr="006F7AF8" w:rsidRDefault="001279A8" w:rsidP="009B4355">
            <w:pPr>
              <w:rPr>
                <w:rFonts w:ascii="Aptos" w:hAnsi="Aptos"/>
                <w:lang w:val="fr-FR"/>
              </w:rPr>
            </w:pPr>
            <w:r w:rsidRPr="006F7AF8">
              <w:rPr>
                <w:rFonts w:ascii="Aptos" w:hAnsi="Aptos"/>
                <w:lang w:val="fr-FR"/>
              </w:rPr>
              <w:t>On track to achieve target</w:t>
            </w:r>
          </w:p>
        </w:tc>
        <w:tc>
          <w:tcPr>
            <w:tcW w:w="4819" w:type="dxa"/>
          </w:tcPr>
          <w:p w14:paraId="24E8C347" w14:textId="77777777" w:rsidR="001279A8" w:rsidRPr="006F7AF8" w:rsidRDefault="001279A8" w:rsidP="009B4355">
            <w:pPr>
              <w:rPr>
                <w:rFonts w:ascii="Aptos" w:hAnsi="Aptos"/>
                <w:lang w:val="fr-FR"/>
              </w:rPr>
            </w:pPr>
            <w:r w:rsidRPr="006F7AF8">
              <w:rPr>
                <w:rFonts w:ascii="Aptos" w:hAnsi="Aptos"/>
                <w:lang w:val="fr-FR"/>
              </w:rPr>
              <w:t>En voie d</w:t>
            </w:r>
            <w:r>
              <w:rPr>
                <w:rFonts w:ascii="Aptos" w:hAnsi="Aptos"/>
                <w:lang w:val="fr-FR"/>
              </w:rPr>
              <w:t>’</w:t>
            </w:r>
            <w:r w:rsidRPr="006F7AF8">
              <w:rPr>
                <w:rFonts w:ascii="Aptos" w:hAnsi="Aptos"/>
                <w:lang w:val="fr-FR"/>
              </w:rPr>
              <w:t>atteindre la cible</w:t>
            </w:r>
          </w:p>
        </w:tc>
      </w:tr>
      <w:tr w:rsidR="001279A8" w:rsidRPr="006F7AF8" w14:paraId="7CF2628A" w14:textId="77777777" w:rsidTr="009B4355">
        <w:tc>
          <w:tcPr>
            <w:tcW w:w="4390" w:type="dxa"/>
          </w:tcPr>
          <w:p w14:paraId="3E0DA6DF" w14:textId="77777777" w:rsidR="001279A8" w:rsidRPr="006F7AF8" w:rsidRDefault="001279A8" w:rsidP="009B4355">
            <w:pPr>
              <w:rPr>
                <w:rFonts w:ascii="Aptos" w:hAnsi="Aptos"/>
                <w:lang w:val="fr-FR"/>
              </w:rPr>
            </w:pPr>
            <w:r w:rsidRPr="006F7AF8">
              <w:rPr>
                <w:rFonts w:ascii="Aptos" w:hAnsi="Aptos"/>
                <w:lang w:val="fr-FR"/>
              </w:rPr>
              <w:t>Progress towards target but at an insufficient rate</w:t>
            </w:r>
          </w:p>
        </w:tc>
        <w:tc>
          <w:tcPr>
            <w:tcW w:w="4819" w:type="dxa"/>
          </w:tcPr>
          <w:p w14:paraId="2CC782D1" w14:textId="77777777" w:rsidR="001279A8" w:rsidRPr="006F7AF8" w:rsidRDefault="001279A8" w:rsidP="009B4355">
            <w:pPr>
              <w:rPr>
                <w:rFonts w:ascii="Aptos" w:hAnsi="Aptos"/>
                <w:lang w:val="fr-FR"/>
              </w:rPr>
            </w:pPr>
            <w:r w:rsidRPr="006F7AF8">
              <w:rPr>
                <w:rFonts w:ascii="Aptos" w:hAnsi="Aptos"/>
                <w:lang w:val="fr-FR"/>
              </w:rPr>
              <w:t>Progrès accomplis, mais à un rythme insuffisant</w:t>
            </w:r>
          </w:p>
        </w:tc>
      </w:tr>
      <w:tr w:rsidR="001279A8" w:rsidRPr="006F7AF8" w14:paraId="2927BFA8" w14:textId="77777777" w:rsidTr="009B4355">
        <w:tc>
          <w:tcPr>
            <w:tcW w:w="4390" w:type="dxa"/>
          </w:tcPr>
          <w:p w14:paraId="79BB476F" w14:textId="77777777" w:rsidR="001279A8" w:rsidRPr="006F7AF8" w:rsidRDefault="001279A8" w:rsidP="009B4355">
            <w:pPr>
              <w:rPr>
                <w:rFonts w:ascii="Aptos" w:hAnsi="Aptos"/>
                <w:lang w:val="fr-FR"/>
              </w:rPr>
            </w:pPr>
            <w:r w:rsidRPr="006F7AF8">
              <w:rPr>
                <w:rFonts w:ascii="Aptos" w:hAnsi="Aptos"/>
                <w:lang w:val="fr-FR"/>
              </w:rPr>
              <w:t>No significant change</w:t>
            </w:r>
          </w:p>
        </w:tc>
        <w:tc>
          <w:tcPr>
            <w:tcW w:w="4819" w:type="dxa"/>
          </w:tcPr>
          <w:p w14:paraId="20B05E8B" w14:textId="77777777" w:rsidR="001279A8" w:rsidRPr="006F7AF8" w:rsidRDefault="001279A8" w:rsidP="009B4355">
            <w:pPr>
              <w:rPr>
                <w:rFonts w:ascii="Aptos" w:hAnsi="Aptos"/>
                <w:lang w:val="fr-FR"/>
              </w:rPr>
            </w:pPr>
            <w:r w:rsidRPr="006F7AF8">
              <w:rPr>
                <w:rFonts w:ascii="Aptos" w:hAnsi="Aptos"/>
                <w:lang w:val="fr-FR"/>
              </w:rPr>
              <w:t>Pas de changement notable</w:t>
            </w:r>
          </w:p>
        </w:tc>
      </w:tr>
      <w:tr w:rsidR="001279A8" w:rsidRPr="006F7AF8" w14:paraId="3E731964" w14:textId="77777777" w:rsidTr="009B4355">
        <w:tc>
          <w:tcPr>
            <w:tcW w:w="4390" w:type="dxa"/>
          </w:tcPr>
          <w:p w14:paraId="74F05C9B" w14:textId="77777777" w:rsidR="001279A8" w:rsidRPr="006F7AF8" w:rsidRDefault="001279A8" w:rsidP="009B4355">
            <w:pPr>
              <w:rPr>
                <w:rFonts w:ascii="Aptos" w:hAnsi="Aptos"/>
                <w:lang w:val="fr-FR"/>
              </w:rPr>
            </w:pPr>
            <w:r w:rsidRPr="006F7AF8">
              <w:rPr>
                <w:rFonts w:ascii="Aptos" w:hAnsi="Aptos"/>
                <w:lang w:val="fr-FR"/>
              </w:rPr>
              <w:t>Unknown</w:t>
            </w:r>
          </w:p>
        </w:tc>
        <w:tc>
          <w:tcPr>
            <w:tcW w:w="4819" w:type="dxa"/>
          </w:tcPr>
          <w:p w14:paraId="441D9893" w14:textId="77777777" w:rsidR="001279A8" w:rsidRPr="006F7AF8" w:rsidRDefault="001279A8" w:rsidP="009B4355">
            <w:pPr>
              <w:rPr>
                <w:rFonts w:ascii="Aptos" w:hAnsi="Aptos"/>
                <w:lang w:val="fr-FR"/>
              </w:rPr>
            </w:pPr>
            <w:r w:rsidRPr="006F7AF8">
              <w:rPr>
                <w:rFonts w:ascii="Aptos" w:hAnsi="Aptos"/>
                <w:lang w:val="fr-FR"/>
              </w:rPr>
              <w:t>Inconnu</w:t>
            </w:r>
          </w:p>
        </w:tc>
      </w:tr>
      <w:tr w:rsidR="001279A8" w:rsidRPr="006F7AF8" w14:paraId="36D7CA38" w14:textId="77777777" w:rsidTr="009B4355">
        <w:tc>
          <w:tcPr>
            <w:tcW w:w="4390" w:type="dxa"/>
          </w:tcPr>
          <w:p w14:paraId="60A1F0EF" w14:textId="77777777" w:rsidR="001279A8" w:rsidRPr="006F7AF8" w:rsidRDefault="001279A8" w:rsidP="009B4355">
            <w:pPr>
              <w:rPr>
                <w:rFonts w:ascii="Aptos" w:hAnsi="Aptos"/>
                <w:lang w:val="fr-FR"/>
              </w:rPr>
            </w:pPr>
            <w:r w:rsidRPr="006F7AF8">
              <w:rPr>
                <w:rFonts w:ascii="Aptos" w:hAnsi="Aptos"/>
                <w:lang w:val="fr-FR"/>
              </w:rPr>
              <w:t>Party count: 89</w:t>
            </w:r>
          </w:p>
        </w:tc>
        <w:tc>
          <w:tcPr>
            <w:tcW w:w="4819" w:type="dxa"/>
          </w:tcPr>
          <w:p w14:paraId="3FA4F856" w14:textId="77777777" w:rsidR="001279A8" w:rsidRPr="006F7AF8" w:rsidRDefault="001279A8" w:rsidP="009B4355">
            <w:pPr>
              <w:rPr>
                <w:rFonts w:ascii="Aptos" w:hAnsi="Aptos"/>
                <w:lang w:val="fr-FR"/>
              </w:rPr>
            </w:pPr>
            <w:r w:rsidRPr="006F7AF8">
              <w:rPr>
                <w:rFonts w:ascii="Aptos" w:hAnsi="Aptos"/>
                <w:lang w:val="fr-FR"/>
              </w:rPr>
              <w:t>Nombre de Parties : 89</w:t>
            </w:r>
          </w:p>
        </w:tc>
      </w:tr>
      <w:tr w:rsidR="001279A8" w:rsidRPr="006F7AF8" w14:paraId="44F25F9C" w14:textId="77777777" w:rsidTr="009B4355">
        <w:tc>
          <w:tcPr>
            <w:tcW w:w="4390" w:type="dxa"/>
          </w:tcPr>
          <w:p w14:paraId="0F758B0E" w14:textId="77777777" w:rsidR="001279A8" w:rsidRPr="006F7AF8" w:rsidRDefault="001279A8" w:rsidP="009B4355">
            <w:pPr>
              <w:rPr>
                <w:rFonts w:ascii="Aptos" w:hAnsi="Aptos"/>
                <w:lang w:val="fr-FR"/>
              </w:rPr>
            </w:pPr>
            <w:r w:rsidRPr="006F7AF8">
              <w:rPr>
                <w:rFonts w:ascii="Aptos" w:hAnsi="Aptos"/>
                <w:lang w:val="fr-FR"/>
              </w:rPr>
              <w:t>Region</w:t>
            </w:r>
          </w:p>
        </w:tc>
        <w:tc>
          <w:tcPr>
            <w:tcW w:w="4819" w:type="dxa"/>
          </w:tcPr>
          <w:p w14:paraId="2B646138" w14:textId="77777777" w:rsidR="001279A8" w:rsidRPr="006F7AF8" w:rsidRDefault="001279A8" w:rsidP="009B4355">
            <w:pPr>
              <w:rPr>
                <w:rFonts w:ascii="Aptos" w:hAnsi="Aptos"/>
                <w:lang w:val="fr-FR"/>
              </w:rPr>
            </w:pPr>
            <w:r w:rsidRPr="006F7AF8">
              <w:rPr>
                <w:rFonts w:ascii="Aptos" w:hAnsi="Aptos"/>
                <w:lang w:val="fr-FR"/>
              </w:rPr>
              <w:t>Région</w:t>
            </w:r>
          </w:p>
        </w:tc>
      </w:tr>
      <w:tr w:rsidR="001279A8" w:rsidRPr="006F7AF8" w14:paraId="1D3010E7" w14:textId="77777777" w:rsidTr="009B4355">
        <w:tc>
          <w:tcPr>
            <w:tcW w:w="4390" w:type="dxa"/>
          </w:tcPr>
          <w:p w14:paraId="214ABB57" w14:textId="77777777" w:rsidR="001279A8" w:rsidRPr="006F7AF8" w:rsidRDefault="001279A8" w:rsidP="009B4355">
            <w:pPr>
              <w:rPr>
                <w:rFonts w:ascii="Aptos" w:hAnsi="Aptos"/>
                <w:lang w:val="fr-FR"/>
              </w:rPr>
            </w:pPr>
            <w:r w:rsidRPr="006F7AF8">
              <w:rPr>
                <w:rFonts w:ascii="Aptos" w:hAnsi="Aptos"/>
                <w:lang w:val="fr-FR"/>
              </w:rPr>
              <w:t>African States</w:t>
            </w:r>
          </w:p>
        </w:tc>
        <w:tc>
          <w:tcPr>
            <w:tcW w:w="4819" w:type="dxa"/>
          </w:tcPr>
          <w:p w14:paraId="4B01C003"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Afrique</w:t>
            </w:r>
          </w:p>
        </w:tc>
      </w:tr>
      <w:tr w:rsidR="001279A8" w:rsidRPr="006F7AF8" w14:paraId="712E06FE" w14:textId="77777777" w:rsidTr="009B4355">
        <w:tc>
          <w:tcPr>
            <w:tcW w:w="4390" w:type="dxa"/>
          </w:tcPr>
          <w:p w14:paraId="58053147" w14:textId="77777777" w:rsidR="001279A8" w:rsidRPr="006F7AF8" w:rsidRDefault="001279A8" w:rsidP="009B4355">
            <w:pPr>
              <w:rPr>
                <w:rFonts w:ascii="Aptos" w:hAnsi="Aptos"/>
                <w:lang w:val="fr-FR"/>
              </w:rPr>
            </w:pPr>
            <w:r w:rsidRPr="006F7AF8">
              <w:rPr>
                <w:rFonts w:ascii="Aptos" w:hAnsi="Aptos"/>
                <w:lang w:val="fr-FR"/>
              </w:rPr>
              <w:t>Asia-Pacific States</w:t>
            </w:r>
          </w:p>
        </w:tc>
        <w:tc>
          <w:tcPr>
            <w:tcW w:w="4819" w:type="dxa"/>
          </w:tcPr>
          <w:p w14:paraId="5A4055F2"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Asie et du Pacifique</w:t>
            </w:r>
          </w:p>
        </w:tc>
      </w:tr>
      <w:tr w:rsidR="001279A8" w:rsidRPr="006F7AF8" w14:paraId="6AF773AC" w14:textId="77777777" w:rsidTr="009B4355">
        <w:tc>
          <w:tcPr>
            <w:tcW w:w="4390" w:type="dxa"/>
          </w:tcPr>
          <w:p w14:paraId="0DCF3590" w14:textId="77777777" w:rsidR="001279A8" w:rsidRPr="006F7AF8" w:rsidRDefault="001279A8" w:rsidP="009B4355">
            <w:pPr>
              <w:rPr>
                <w:rFonts w:ascii="Aptos" w:hAnsi="Aptos"/>
                <w:lang w:val="fr-FR"/>
              </w:rPr>
            </w:pPr>
            <w:r w:rsidRPr="006F7AF8">
              <w:rPr>
                <w:rFonts w:ascii="Aptos" w:hAnsi="Aptos"/>
                <w:lang w:val="fr-FR"/>
              </w:rPr>
              <w:t>Latin American and Caribbean States</w:t>
            </w:r>
          </w:p>
        </w:tc>
        <w:tc>
          <w:tcPr>
            <w:tcW w:w="4819" w:type="dxa"/>
          </w:tcPr>
          <w:p w14:paraId="61468F61"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Amérique latine et des Caraïbes</w:t>
            </w:r>
          </w:p>
        </w:tc>
      </w:tr>
      <w:tr w:rsidR="001279A8" w:rsidRPr="006F7AF8" w14:paraId="218029F5" w14:textId="77777777" w:rsidTr="009B4355">
        <w:tc>
          <w:tcPr>
            <w:tcW w:w="4390" w:type="dxa"/>
          </w:tcPr>
          <w:p w14:paraId="321D7BDB" w14:textId="77777777" w:rsidR="001279A8" w:rsidRPr="006F7AF8" w:rsidRDefault="001279A8" w:rsidP="009B4355">
            <w:pPr>
              <w:rPr>
                <w:rFonts w:ascii="Aptos" w:hAnsi="Aptos"/>
                <w:lang w:val="fr-FR"/>
              </w:rPr>
            </w:pPr>
            <w:r w:rsidRPr="006F7AF8">
              <w:rPr>
                <w:rFonts w:ascii="Aptos" w:hAnsi="Aptos"/>
                <w:lang w:val="fr-FR"/>
              </w:rPr>
              <w:t xml:space="preserve"> Eastern European States</w:t>
            </w:r>
          </w:p>
        </w:tc>
        <w:tc>
          <w:tcPr>
            <w:tcW w:w="4819" w:type="dxa"/>
          </w:tcPr>
          <w:p w14:paraId="30254977"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orientale</w:t>
            </w:r>
          </w:p>
        </w:tc>
      </w:tr>
      <w:tr w:rsidR="001279A8" w:rsidRPr="006F7AF8" w14:paraId="2BF40494" w14:textId="77777777" w:rsidTr="009B4355">
        <w:tc>
          <w:tcPr>
            <w:tcW w:w="4390" w:type="dxa"/>
          </w:tcPr>
          <w:p w14:paraId="4CD659AB" w14:textId="77777777" w:rsidR="001279A8" w:rsidRPr="006F7AF8" w:rsidRDefault="001279A8" w:rsidP="009B4355">
            <w:pPr>
              <w:rPr>
                <w:rFonts w:ascii="Aptos" w:hAnsi="Aptos"/>
                <w:lang w:val="fr-FR"/>
              </w:rPr>
            </w:pPr>
            <w:r w:rsidRPr="006F7AF8">
              <w:rPr>
                <w:rFonts w:ascii="Aptos" w:hAnsi="Aptos"/>
                <w:lang w:val="fr-FR"/>
              </w:rPr>
              <w:lastRenderedPageBreak/>
              <w:t>Western European and other States</w:t>
            </w:r>
          </w:p>
        </w:tc>
        <w:tc>
          <w:tcPr>
            <w:tcW w:w="4819" w:type="dxa"/>
          </w:tcPr>
          <w:p w14:paraId="563AE1C4" w14:textId="77777777" w:rsidR="001279A8" w:rsidRPr="006F7AF8" w:rsidRDefault="001279A8" w:rsidP="009B4355">
            <w:pPr>
              <w:rPr>
                <w:rFonts w:ascii="Aptos" w:hAnsi="Aptos"/>
                <w:lang w:val="fr-FR"/>
              </w:rPr>
            </w:pPr>
            <w:r w:rsidRPr="006F7AF8">
              <w:rPr>
                <w:rFonts w:ascii="Aptos" w:hAnsi="Aptos"/>
                <w:lang w:val="fr-FR"/>
              </w:rPr>
              <w:t>États d</w:t>
            </w:r>
            <w:r>
              <w:rPr>
                <w:rFonts w:ascii="Aptos" w:hAnsi="Aptos"/>
                <w:lang w:val="fr-FR"/>
              </w:rPr>
              <w:t>’</w:t>
            </w:r>
            <w:r w:rsidRPr="006F7AF8">
              <w:rPr>
                <w:rFonts w:ascii="Aptos" w:hAnsi="Aptos"/>
                <w:lang w:val="fr-FR"/>
              </w:rPr>
              <w:t>Europe occidentale et autres États</w:t>
            </w:r>
          </w:p>
        </w:tc>
      </w:tr>
    </w:tbl>
    <w:p w14:paraId="122E85B2" w14:textId="77777777" w:rsidR="00B87039" w:rsidRPr="00653BF4" w:rsidRDefault="00B87039" w:rsidP="00B87039">
      <w:pPr>
        <w:rPr>
          <w:i/>
          <w:iCs/>
          <w:color w:val="0E2841" w:themeColor="text2"/>
          <w:sz w:val="18"/>
          <w:szCs w:val="18"/>
          <w:lang w:val="fr-FR"/>
        </w:rPr>
      </w:pPr>
    </w:p>
    <w:p w14:paraId="1DCBC393" w14:textId="77777777" w:rsidR="00B87039" w:rsidRPr="00653BF4" w:rsidRDefault="00B87039" w:rsidP="00B87039">
      <w:pPr>
        <w:pStyle w:val="Heading5"/>
        <w:rPr>
          <w:lang w:val="fr-FR"/>
        </w:rPr>
      </w:pPr>
    </w:p>
    <w:p w14:paraId="2D1AA3F0" w14:textId="77777777" w:rsidR="00B87039" w:rsidRPr="00653BF4" w:rsidRDefault="00B87039" w:rsidP="00B87039">
      <w:pPr>
        <w:pStyle w:val="Heading5"/>
        <w:rPr>
          <w:lang w:val="fr-FR"/>
        </w:rPr>
      </w:pPr>
      <w:bookmarkStart w:id="435" w:name="_Toc235821322"/>
      <w:r w:rsidRPr="00653BF4">
        <w:rPr>
          <w:lang w:val="fr-FR"/>
        </w:rPr>
        <w:t>Actions, réussites et difficultés</w:t>
      </w:r>
      <w:bookmarkEnd w:id="435"/>
      <w:r w:rsidRPr="00653BF4">
        <w:rPr>
          <w:lang w:val="fr-FR"/>
        </w:rPr>
        <w:t xml:space="preserve"> dans la mise en œuvre</w:t>
      </w:r>
    </w:p>
    <w:p w14:paraId="720FF73D" w14:textId="77777777" w:rsidR="00B87039" w:rsidRPr="00653BF4" w:rsidRDefault="00B87039" w:rsidP="00B87039">
      <w:pPr>
        <w:rPr>
          <w:lang w:val="fr-FR"/>
        </w:rPr>
      </w:pPr>
    </w:p>
    <w:p w14:paraId="698CE32E" w14:textId="2CFCFB10" w:rsidR="00B87039" w:rsidRPr="00653BF4" w:rsidRDefault="00B87039" w:rsidP="00B87039">
      <w:pPr>
        <w:pStyle w:val="Heading6"/>
        <w:rPr>
          <w:lang w:val="fr-FR"/>
        </w:rPr>
      </w:pPr>
      <w:bookmarkStart w:id="436" w:name="_Toc235821323"/>
      <w:r w:rsidRPr="00653BF4">
        <w:rPr>
          <w:lang w:val="fr-FR"/>
        </w:rPr>
        <w:t>Résumé des actions menées à l</w:t>
      </w:r>
      <w:r w:rsidR="00D77549">
        <w:rPr>
          <w:lang w:val="fr-FR"/>
        </w:rPr>
        <w:t>’</w:t>
      </w:r>
      <w:r w:rsidRPr="00653BF4">
        <w:rPr>
          <w:lang w:val="fr-FR"/>
        </w:rPr>
        <w:t xml:space="preserve">appui de la </w:t>
      </w:r>
      <w:r w:rsidR="00E34DC9">
        <w:rPr>
          <w:lang w:val="fr-FR"/>
        </w:rPr>
        <w:t>cible 2</w:t>
      </w:r>
      <w:r w:rsidRPr="00653BF4">
        <w:rPr>
          <w:lang w:val="fr-FR"/>
        </w:rPr>
        <w:t>2</w:t>
      </w:r>
      <w:bookmarkEnd w:id="436"/>
      <w:r w:rsidRPr="00653BF4">
        <w:rPr>
          <w:lang w:val="fr-FR"/>
        </w:rPr>
        <w:t xml:space="preserve"> du Cadre</w:t>
      </w:r>
    </w:p>
    <w:p w14:paraId="5CF45E03" w14:textId="77777777" w:rsidR="00B87039" w:rsidRPr="00653BF4" w:rsidRDefault="00B87039" w:rsidP="00B87039">
      <w:pPr>
        <w:rPr>
          <w:lang w:val="fr-FR"/>
        </w:rPr>
      </w:pPr>
    </w:p>
    <w:p w14:paraId="25C76E0F" w14:textId="39D2BD6A" w:rsidR="00B87039" w:rsidRPr="00653BF4" w:rsidRDefault="00B87039" w:rsidP="00B87039">
      <w:pPr>
        <w:rPr>
          <w:lang w:val="fr-FR"/>
        </w:rPr>
      </w:pPr>
      <w:r w:rsidRPr="00653BF4">
        <w:rPr>
          <w:lang w:val="fr-FR"/>
        </w:rPr>
        <w:t>L</w:t>
      </w:r>
      <w:r w:rsidR="00D77549">
        <w:rPr>
          <w:lang w:val="fr-FR"/>
        </w:rPr>
        <w:t>’</w:t>
      </w:r>
      <w:r w:rsidRPr="00653BF4">
        <w:rPr>
          <w:lang w:val="fr-FR"/>
        </w:rPr>
        <w:t xml:space="preserve">approche la plus couramment citée pour mettre en œuvre la </w:t>
      </w:r>
      <w:r w:rsidR="00E34DC9">
        <w:rPr>
          <w:lang w:val="fr-FR"/>
        </w:rPr>
        <w:t>cible 2</w:t>
      </w:r>
      <w:r w:rsidRPr="00653BF4">
        <w:rPr>
          <w:lang w:val="fr-FR"/>
        </w:rPr>
        <w:t>2 repose sur une gouvernance participative institutionnalisée</w:t>
      </w:r>
      <w:r w:rsidR="00E34DC9">
        <w:rPr>
          <w:lang w:val="fr-FR"/>
        </w:rPr>
        <w:t> :</w:t>
      </w:r>
      <w:r w:rsidRPr="00653BF4">
        <w:rPr>
          <w:lang w:val="fr-FR"/>
        </w:rPr>
        <w:t xml:space="preserve"> la création ou la formalisation d</w:t>
      </w:r>
      <w:r w:rsidR="00D77549">
        <w:rPr>
          <w:lang w:val="fr-FR"/>
        </w:rPr>
        <w:t>’</w:t>
      </w:r>
      <w:r w:rsidRPr="00653BF4">
        <w:rPr>
          <w:lang w:val="fr-FR"/>
        </w:rPr>
        <w:t>instances multipartites, de processus de consultation et d</w:t>
      </w:r>
      <w:r w:rsidR="00D77549">
        <w:rPr>
          <w:lang w:val="fr-FR"/>
        </w:rPr>
        <w:t>’</w:t>
      </w:r>
      <w:r w:rsidRPr="00653BF4">
        <w:rPr>
          <w:lang w:val="fr-FR"/>
        </w:rPr>
        <w:t>arrangements de cogestion qui confèrent aux peuples autochtones et communautés locales, aux femmes, aux jeunes et à d</w:t>
      </w:r>
      <w:r w:rsidR="00D77549">
        <w:rPr>
          <w:lang w:val="fr-FR"/>
        </w:rPr>
        <w:t>’</w:t>
      </w:r>
      <w:r w:rsidRPr="00653BF4">
        <w:rPr>
          <w:lang w:val="fr-FR"/>
        </w:rPr>
        <w:t>autres groupes un rôle officiel dans la prise de décision en matière de biodiversité. Une deuxième approche dominante consiste à mener des réformes juridiques et réglementaires, notamment par la ratification ou la mise en œuvre au niveau national d’accords régionaux tels que l’Accord d’Escazú en Amérique latine et dans les Caraïbes (Commission économique pour l’Amérique latine et les Caraïbes (CEPALC), 2018), et la Convention sur l’accès à l’information, la participation du public au processus décisionnel et l’accès à la justice en matière d’environnement (Convention d’Aarhus) en Europe et en Asie centrale (CEE, 1998). De nombreuses Parties ont adopté ou sont en train d</w:t>
      </w:r>
      <w:r w:rsidR="00D77549">
        <w:rPr>
          <w:lang w:val="fr-FR"/>
        </w:rPr>
        <w:t>’</w:t>
      </w:r>
      <w:r w:rsidRPr="00653BF4">
        <w:rPr>
          <w:lang w:val="fr-FR"/>
        </w:rPr>
        <w:t>adopter des textes législatifs qui instaurent des droits procéduraux en matière d</w:t>
      </w:r>
      <w:r w:rsidR="00D77549">
        <w:rPr>
          <w:lang w:val="fr-FR"/>
        </w:rPr>
        <w:t>’</w:t>
      </w:r>
      <w:r w:rsidRPr="00653BF4">
        <w:rPr>
          <w:lang w:val="fr-FR"/>
        </w:rPr>
        <w:t>information, de participation et d</w:t>
      </w:r>
      <w:r w:rsidR="00D77549">
        <w:rPr>
          <w:lang w:val="fr-FR"/>
        </w:rPr>
        <w:t>’</w:t>
      </w:r>
      <w:r w:rsidRPr="00653BF4">
        <w:rPr>
          <w:lang w:val="fr-FR"/>
        </w:rPr>
        <w:t>accès à la justice en matière d</w:t>
      </w:r>
      <w:r w:rsidR="00D77549">
        <w:rPr>
          <w:lang w:val="fr-FR"/>
        </w:rPr>
        <w:t>’</w:t>
      </w:r>
      <w:r w:rsidRPr="00653BF4">
        <w:rPr>
          <w:lang w:val="fr-FR"/>
        </w:rPr>
        <w:t>environnement. L</w:t>
      </w:r>
      <w:r w:rsidR="00D77549">
        <w:rPr>
          <w:lang w:val="fr-FR"/>
        </w:rPr>
        <w:t>’</w:t>
      </w:r>
      <w:r w:rsidRPr="00653BF4">
        <w:rPr>
          <w:lang w:val="fr-FR"/>
        </w:rPr>
        <w:t xml:space="preserve">intégration de la dimension de genre dans la gouvernance de la biodiversité (voir également la </w:t>
      </w:r>
      <w:r w:rsidR="00E34DC9">
        <w:rPr>
          <w:lang w:val="fr-FR"/>
        </w:rPr>
        <w:t>cible 2</w:t>
      </w:r>
      <w:r w:rsidRPr="00653BF4">
        <w:rPr>
          <w:lang w:val="fr-FR"/>
        </w:rPr>
        <w:t xml:space="preserve">3) est mentionnée dans plusieurs régions comme une contribution à la </w:t>
      </w:r>
      <w:r w:rsidR="00E34DC9">
        <w:rPr>
          <w:lang w:val="fr-FR"/>
        </w:rPr>
        <w:t>cible 2</w:t>
      </w:r>
      <w:r w:rsidRPr="00653BF4">
        <w:rPr>
          <w:lang w:val="fr-FR"/>
        </w:rPr>
        <w:t>2. Parmi les mesures spécifiques aux peuples autochtones et communautés locales figurent la reconnaissance des modes de gouvernance coutumiers, la documentation des connaissances traditionnelles et des droits territoriaux. Ces systèmes de gouvernance peuvent inclure des territoires sacrés, des zones gérées par les communautés et des institutions traditionnelles qui perpétuent des pratiques bioculturelles (voir les encadrés 51 et 52). Seule une poignée de Parties font état de mécanismes concrets visant à protéger les défenseurs des droits humains en matière d</w:t>
      </w:r>
      <w:r w:rsidR="00D77549">
        <w:rPr>
          <w:lang w:val="fr-FR"/>
        </w:rPr>
        <w:t>’</w:t>
      </w:r>
      <w:r w:rsidRPr="00653BF4">
        <w:rPr>
          <w:lang w:val="fr-FR"/>
        </w:rPr>
        <w:t>environnement.</w:t>
      </w:r>
    </w:p>
    <w:p w14:paraId="6ED60E89" w14:textId="77777777" w:rsidR="00B87039" w:rsidRPr="00653BF4" w:rsidRDefault="00B87039" w:rsidP="00B87039">
      <w:pPr>
        <w:rPr>
          <w:lang w:val="fr-FR"/>
        </w:rPr>
      </w:pPr>
    </w:p>
    <w:p w14:paraId="24F89CDA" w14:textId="2A6BD906" w:rsidR="00B87039" w:rsidRPr="00653BF4" w:rsidRDefault="00B87039" w:rsidP="00B87039">
      <w:pPr>
        <w:pStyle w:val="Heading6"/>
        <w:rPr>
          <w:lang w:val="fr-FR"/>
        </w:rPr>
      </w:pPr>
      <w:bookmarkStart w:id="437" w:name="_Toc235821324"/>
      <w:r w:rsidRPr="00653BF4">
        <w:rPr>
          <w:lang w:val="fr-FR"/>
        </w:rPr>
        <w:t>Exemples de réussites et de progrès réalisés dans la mise en œuvre</w:t>
      </w:r>
      <w:bookmarkEnd w:id="437"/>
    </w:p>
    <w:p w14:paraId="70A60D11" w14:textId="77777777" w:rsidR="00B87039" w:rsidRPr="00653BF4" w:rsidRDefault="00B87039" w:rsidP="00B87039">
      <w:pPr>
        <w:pStyle w:val="Caption"/>
        <w:rPr>
          <w:color w:val="212121"/>
          <w:lang w:val="fr-FR"/>
        </w:rPr>
      </w:pPr>
    </w:p>
    <w:tbl>
      <w:tblPr>
        <w:tblStyle w:val="TableGrid"/>
        <w:tblW w:w="0" w:type="auto"/>
        <w:tblLook w:val="04A0" w:firstRow="1" w:lastRow="0" w:firstColumn="1" w:lastColumn="0" w:noHBand="0" w:noVBand="1"/>
      </w:tblPr>
      <w:tblGrid>
        <w:gridCol w:w="9016"/>
      </w:tblGrid>
      <w:tr w:rsidR="00B87039" w:rsidRPr="00543148" w14:paraId="2A511989" w14:textId="77777777" w:rsidTr="00557FB3">
        <w:tc>
          <w:tcPr>
            <w:tcW w:w="9016" w:type="dxa"/>
            <w:shd w:val="clear" w:color="auto" w:fill="D1D1D1" w:themeFill="background2" w:themeFillShade="E6"/>
          </w:tcPr>
          <w:p w14:paraId="2D503605" w14:textId="77777777" w:rsidR="00B87039" w:rsidRPr="00653BF4" w:rsidRDefault="00B87039" w:rsidP="00557FB3">
            <w:pPr>
              <w:pStyle w:val="NormalWeb"/>
              <w:spacing w:after="240" w:afterAutospacing="0"/>
              <w:rPr>
                <w:rFonts w:asciiTheme="minorHAnsi" w:hAnsiTheme="minorHAnsi"/>
                <w:sz w:val="20"/>
                <w:szCs w:val="20"/>
                <w:lang w:val="fr-FR"/>
              </w:rPr>
            </w:pPr>
            <w:r w:rsidRPr="00653BF4">
              <w:rPr>
                <w:rFonts w:asciiTheme="minorHAnsi" w:hAnsiTheme="minorHAnsi"/>
                <w:sz w:val="20"/>
                <w:szCs w:val="20"/>
                <w:lang w:val="fr-FR"/>
              </w:rPr>
              <w:t>Encadré 51</w:t>
            </w:r>
          </w:p>
          <w:p w14:paraId="79352692" w14:textId="77777777" w:rsidR="00B87039" w:rsidRPr="00653BF4" w:rsidRDefault="00B87039" w:rsidP="00557FB3">
            <w:pPr>
              <w:pStyle w:val="NormalWeb"/>
              <w:spacing w:after="240" w:afterAutospacing="0"/>
              <w:rPr>
                <w:rFonts w:asciiTheme="minorHAnsi" w:hAnsiTheme="minorHAnsi"/>
                <w:sz w:val="20"/>
                <w:szCs w:val="20"/>
                <w:lang w:val="fr-FR"/>
              </w:rPr>
            </w:pPr>
            <w:r w:rsidRPr="00653BF4">
              <w:rPr>
                <w:rFonts w:asciiTheme="minorHAnsi" w:hAnsiTheme="minorHAnsi"/>
                <w:b/>
                <w:bCs/>
                <w:sz w:val="20"/>
                <w:szCs w:val="20"/>
                <w:lang w:val="fr-FR"/>
              </w:rPr>
              <w:lastRenderedPageBreak/>
              <w:t>Partenariat Rākau Rangatira entre les autorités et les peuples autochtones pour la protection des forêts de kauris en Nouvelle-Zélande</w:t>
            </w:r>
          </w:p>
          <w:p w14:paraId="07159731" w14:textId="14EC3BFD" w:rsidR="00B87039" w:rsidRPr="00653BF4" w:rsidRDefault="00B87039" w:rsidP="00557FB3">
            <w:pPr>
              <w:pStyle w:val="NormalWeb"/>
              <w:spacing w:after="240" w:afterAutospacing="0"/>
              <w:rPr>
                <w:rFonts w:asciiTheme="minorHAnsi" w:hAnsiTheme="minorHAnsi"/>
                <w:sz w:val="20"/>
                <w:szCs w:val="20"/>
                <w:lang w:val="fr-FR"/>
              </w:rPr>
            </w:pPr>
            <w:r w:rsidRPr="00653BF4">
              <w:rPr>
                <w:rFonts w:asciiTheme="minorHAnsi" w:hAnsiTheme="minorHAnsi"/>
                <w:sz w:val="20"/>
                <w:szCs w:val="20"/>
                <w:lang w:val="fr-FR"/>
              </w:rPr>
              <w:t>Le Ministère de la conservation de Nouvelle-Zélande s</w:t>
            </w:r>
            <w:r w:rsidR="00D77549">
              <w:rPr>
                <w:rFonts w:asciiTheme="minorHAnsi" w:hAnsiTheme="minorHAnsi"/>
                <w:sz w:val="20"/>
                <w:szCs w:val="20"/>
                <w:lang w:val="fr-FR"/>
              </w:rPr>
              <w:t>’</w:t>
            </w:r>
            <w:r w:rsidRPr="00653BF4">
              <w:rPr>
                <w:rFonts w:asciiTheme="minorHAnsi" w:hAnsiTheme="minorHAnsi"/>
                <w:sz w:val="20"/>
                <w:szCs w:val="20"/>
                <w:lang w:val="fr-FR"/>
              </w:rPr>
              <w:t>est associé à Te Iwi O Te Roroa (entité de gouvernance maori) afin de protéger les kauris (</w:t>
            </w:r>
            <w:r w:rsidRPr="00653BF4">
              <w:rPr>
                <w:rFonts w:asciiTheme="minorHAnsi" w:hAnsiTheme="minorHAnsi"/>
                <w:i/>
                <w:iCs/>
                <w:sz w:val="20"/>
                <w:szCs w:val="20"/>
                <w:lang w:val="fr-FR"/>
              </w:rPr>
              <w:t>Agathis australis</w:t>
            </w:r>
            <w:r w:rsidRPr="00653BF4">
              <w:rPr>
                <w:rFonts w:asciiTheme="minorHAnsi" w:hAnsiTheme="minorHAnsi"/>
                <w:sz w:val="20"/>
                <w:szCs w:val="20"/>
                <w:lang w:val="fr-FR"/>
              </w:rPr>
              <w:t>), espèce d</w:t>
            </w:r>
            <w:r w:rsidR="00D77549">
              <w:rPr>
                <w:rFonts w:asciiTheme="minorHAnsi" w:hAnsiTheme="minorHAnsi"/>
                <w:sz w:val="20"/>
                <w:szCs w:val="20"/>
                <w:lang w:val="fr-FR"/>
              </w:rPr>
              <w:t>’</w:t>
            </w:r>
            <w:r w:rsidRPr="00653BF4">
              <w:rPr>
                <w:rFonts w:asciiTheme="minorHAnsi" w:hAnsiTheme="minorHAnsi"/>
                <w:sz w:val="20"/>
                <w:szCs w:val="20"/>
                <w:lang w:val="fr-FR"/>
              </w:rPr>
              <w:t>arbres endémiques de la forêt de Waipoua, contre la propagation de la maladie du dépérissement du kauri (</w:t>
            </w:r>
            <w:r w:rsidRPr="00653BF4">
              <w:rPr>
                <w:rFonts w:asciiTheme="minorHAnsi" w:hAnsiTheme="minorHAnsi"/>
                <w:i/>
                <w:iCs/>
                <w:sz w:val="20"/>
                <w:szCs w:val="20"/>
                <w:lang w:val="fr-FR"/>
              </w:rPr>
              <w:t>Phytophthora agathidicida</w:t>
            </w:r>
            <w:r w:rsidRPr="00653BF4">
              <w:rPr>
                <w:rFonts w:asciiTheme="minorHAnsi" w:hAnsiTheme="minorHAnsi"/>
                <w:sz w:val="20"/>
                <w:szCs w:val="20"/>
                <w:lang w:val="fr-FR"/>
              </w:rPr>
              <w:t>), grâce à la modernisation des infrastructures destinées aux visiteurs. La maladie a été détectée à moins de 60 mètres de l</w:t>
            </w:r>
            <w:r w:rsidR="00D77549">
              <w:rPr>
                <w:rFonts w:asciiTheme="minorHAnsi" w:hAnsiTheme="minorHAnsi"/>
                <w:sz w:val="20"/>
                <w:szCs w:val="20"/>
                <w:lang w:val="fr-FR"/>
              </w:rPr>
              <w:t>’</w:t>
            </w:r>
            <w:r w:rsidRPr="00653BF4">
              <w:rPr>
                <w:rFonts w:asciiTheme="minorHAnsi" w:hAnsiTheme="minorHAnsi"/>
                <w:sz w:val="20"/>
                <w:szCs w:val="20"/>
                <w:lang w:val="fr-FR"/>
              </w:rPr>
              <w:t>arbre sacré Tāne Mahuta. Le Ministère et Te Roroa ont conçu conjointement une promenade surélevée, un pont et une plateforme d</w:t>
            </w:r>
            <w:r w:rsidR="00D77549">
              <w:rPr>
                <w:rFonts w:asciiTheme="minorHAnsi" w:hAnsiTheme="minorHAnsi"/>
                <w:sz w:val="20"/>
                <w:szCs w:val="20"/>
                <w:lang w:val="fr-FR"/>
              </w:rPr>
              <w:t>’</w:t>
            </w:r>
            <w:r w:rsidRPr="00653BF4">
              <w:rPr>
                <w:rFonts w:asciiTheme="minorHAnsi" w:hAnsiTheme="minorHAnsi"/>
                <w:sz w:val="20"/>
                <w:szCs w:val="20"/>
                <w:lang w:val="fr-FR"/>
              </w:rPr>
              <w:t>observation afin de réduire au minimum l</w:t>
            </w:r>
            <w:r w:rsidR="00D77549">
              <w:rPr>
                <w:rFonts w:asciiTheme="minorHAnsi" w:hAnsiTheme="minorHAnsi"/>
                <w:sz w:val="20"/>
                <w:szCs w:val="20"/>
                <w:lang w:val="fr-FR"/>
              </w:rPr>
              <w:t>’</w:t>
            </w:r>
            <w:r w:rsidRPr="00653BF4">
              <w:rPr>
                <w:rFonts w:asciiTheme="minorHAnsi" w:hAnsiTheme="minorHAnsi"/>
                <w:sz w:val="20"/>
                <w:szCs w:val="20"/>
                <w:lang w:val="fr-FR"/>
              </w:rPr>
              <w:t>impact environnemental lié aux 200 000 visiteurs annuels. Te Roroa a joué un rôle moteur sur le plan culturel tout au long du projet, ses équipes Kauri Ora ayant participé à la construction et au suivi. Ce projet associe le rongoā māori (remèdes traditionnels) à la science occidentale pour la prise en charge des maladies.</w:t>
            </w:r>
          </w:p>
          <w:p w14:paraId="6255F8DB" w14:textId="1AE230FD" w:rsidR="00B87039" w:rsidRPr="00653BF4" w:rsidRDefault="00B87039" w:rsidP="00557FB3">
            <w:pPr>
              <w:spacing w:after="160" w:line="278" w:lineRule="auto"/>
              <w:rPr>
                <w:sz w:val="20"/>
                <w:szCs w:val="20"/>
                <w:lang w:val="fr-FR"/>
              </w:rPr>
            </w:pPr>
            <w:r w:rsidRPr="00653BF4">
              <w:rPr>
                <w:sz w:val="20"/>
                <w:szCs w:val="20"/>
                <w:lang w:val="fr-FR"/>
              </w:rPr>
              <w:t>La première phase s</w:t>
            </w:r>
            <w:r w:rsidR="00D77549">
              <w:rPr>
                <w:sz w:val="20"/>
                <w:szCs w:val="20"/>
                <w:lang w:val="fr-FR"/>
              </w:rPr>
              <w:t>’</w:t>
            </w:r>
            <w:r w:rsidRPr="00653BF4">
              <w:rPr>
                <w:sz w:val="20"/>
                <w:szCs w:val="20"/>
                <w:lang w:val="fr-FR"/>
              </w:rPr>
              <w:t>est achevée en décembre 2024 par un karakia (prière) et une bénédiction de Te Roroa. La deuxième phase (de mars à octobre 2026) prévoit la construction d</w:t>
            </w:r>
            <w:r w:rsidR="00D77549">
              <w:rPr>
                <w:sz w:val="20"/>
                <w:szCs w:val="20"/>
                <w:lang w:val="fr-FR"/>
              </w:rPr>
              <w:t>’</w:t>
            </w:r>
            <w:r w:rsidRPr="00653BF4">
              <w:rPr>
                <w:sz w:val="20"/>
                <w:szCs w:val="20"/>
                <w:lang w:val="fr-FR"/>
              </w:rPr>
              <w:t xml:space="preserve">une nouvelle promenade et la réouverture des </w:t>
            </w:r>
            <w:r w:rsidR="00E34DC9">
              <w:rPr>
                <w:sz w:val="20"/>
                <w:szCs w:val="20"/>
                <w:lang w:val="fr-FR"/>
              </w:rPr>
              <w:t>« </w:t>
            </w:r>
            <w:r w:rsidRPr="00653BF4">
              <w:rPr>
                <w:sz w:val="20"/>
                <w:szCs w:val="20"/>
                <w:lang w:val="fr-FR"/>
              </w:rPr>
              <w:t>Four Sisters</w:t>
            </w:r>
            <w:r w:rsidR="00E34DC9">
              <w:rPr>
                <w:sz w:val="20"/>
                <w:szCs w:val="20"/>
                <w:lang w:val="fr-FR"/>
              </w:rPr>
              <w:t> »</w:t>
            </w:r>
            <w:r w:rsidRPr="00653BF4">
              <w:rPr>
                <w:sz w:val="20"/>
                <w:szCs w:val="20"/>
                <w:lang w:val="fr-FR"/>
              </w:rPr>
              <w:t>, un site emblématique abritant quatre grands kauris. Les prochaines étapes visent à explorer le tourisme régénérateur en adoptant une approche qui accorde la priorité à la santé des forêts </w:t>
            </w:r>
          </w:p>
          <w:p w14:paraId="1738E365" w14:textId="359D4E16" w:rsidR="00B87039" w:rsidRPr="00653BF4" w:rsidRDefault="00B87039" w:rsidP="00557FB3">
            <w:pPr>
              <w:spacing w:after="160" w:line="278" w:lineRule="auto"/>
              <w:rPr>
                <w:sz w:val="20"/>
                <w:szCs w:val="20"/>
                <w:lang w:val="fr-FR"/>
              </w:rPr>
            </w:pPr>
            <w:r w:rsidRPr="00653BF4">
              <w:rPr>
                <w:sz w:val="20"/>
                <w:szCs w:val="20"/>
                <w:lang w:val="fr-FR"/>
              </w:rPr>
              <w:t xml:space="preserve">Ce projet participe à la réalisation de la </w:t>
            </w:r>
            <w:r w:rsidR="00E34DC9">
              <w:rPr>
                <w:sz w:val="20"/>
                <w:szCs w:val="20"/>
                <w:lang w:val="fr-FR"/>
              </w:rPr>
              <w:t>cible 2</w:t>
            </w:r>
            <w:r w:rsidRPr="00653BF4">
              <w:rPr>
                <w:sz w:val="20"/>
                <w:szCs w:val="20"/>
                <w:lang w:val="fr-FR"/>
              </w:rPr>
              <w:t xml:space="preserve">2 en garantissant la pleine participation de Te Iwi O Te Roroa au processus de prise de décision en matière de biodiversité, dans le respect de leur culture et de leurs droits sur les terres, les territoires, les ressources et les connaissances traditionnelles. Te Roroa exerce le </w:t>
            </w:r>
            <w:r w:rsidR="00E34DC9">
              <w:rPr>
                <w:sz w:val="20"/>
                <w:szCs w:val="20"/>
                <w:lang w:val="fr-FR"/>
              </w:rPr>
              <w:t>« </w:t>
            </w:r>
            <w:r w:rsidRPr="00653BF4">
              <w:rPr>
                <w:sz w:val="20"/>
                <w:szCs w:val="20"/>
                <w:lang w:val="fr-FR"/>
              </w:rPr>
              <w:t>kaitiakitanga</w:t>
            </w:r>
            <w:r w:rsidR="00E34DC9">
              <w:rPr>
                <w:sz w:val="20"/>
                <w:szCs w:val="20"/>
                <w:lang w:val="fr-FR"/>
              </w:rPr>
              <w:t> »</w:t>
            </w:r>
            <w:r w:rsidRPr="00653BF4">
              <w:rPr>
                <w:sz w:val="20"/>
                <w:szCs w:val="20"/>
                <w:lang w:val="fr-FR"/>
              </w:rPr>
              <w:t xml:space="preserve"> (rôle de gardien) sur ses terres ancestrales grâce à son leadership culturel et à l</w:t>
            </w:r>
            <w:r w:rsidR="00D77549">
              <w:rPr>
                <w:sz w:val="20"/>
                <w:szCs w:val="20"/>
                <w:lang w:val="fr-FR"/>
              </w:rPr>
              <w:t>’</w:t>
            </w:r>
            <w:r w:rsidRPr="00653BF4">
              <w:rPr>
                <w:sz w:val="20"/>
                <w:szCs w:val="20"/>
                <w:lang w:val="fr-FR"/>
              </w:rPr>
              <w:t>intégration des connaissances traditionnelles. </w:t>
            </w:r>
          </w:p>
          <w:p w14:paraId="7C785A80" w14:textId="28965ACA" w:rsidR="00B87039" w:rsidRPr="00653BF4" w:rsidRDefault="00B87039" w:rsidP="00557FB3">
            <w:pPr>
              <w:rPr>
                <w:sz w:val="20"/>
                <w:szCs w:val="20"/>
                <w:lang w:val="fr-FR"/>
              </w:rPr>
            </w:pPr>
            <w:r w:rsidRPr="00653BF4">
              <w:rPr>
                <w:i/>
                <w:iCs/>
                <w:color w:val="000000"/>
                <w:sz w:val="20"/>
                <w:szCs w:val="20"/>
                <w:lang w:val="fr-FR"/>
              </w:rPr>
              <w:t>Cibles concernées</w:t>
            </w:r>
            <w:r w:rsidR="00E34DC9">
              <w:rPr>
                <w:i/>
                <w:iCs/>
                <w:color w:val="000000"/>
                <w:sz w:val="20"/>
                <w:szCs w:val="20"/>
                <w:lang w:val="fr-FR"/>
              </w:rPr>
              <w:t> :</w:t>
            </w:r>
            <w:r w:rsidRPr="00653BF4">
              <w:rPr>
                <w:i/>
                <w:iCs/>
                <w:color w:val="000000"/>
                <w:sz w:val="20"/>
                <w:szCs w:val="20"/>
                <w:lang w:val="fr-FR"/>
              </w:rPr>
              <w:t xml:space="preserve"> </w:t>
            </w:r>
            <w:r w:rsidRPr="00653BF4">
              <w:rPr>
                <w:sz w:val="20"/>
                <w:szCs w:val="20"/>
                <w:lang w:val="fr-FR"/>
              </w:rPr>
              <w:t>1, 2, 6, 11, 12, 19 et 22.</w:t>
            </w:r>
          </w:p>
          <w:p w14:paraId="3034E546" w14:textId="632EDC84" w:rsidR="00B87039" w:rsidRPr="00653BF4" w:rsidRDefault="00B87039" w:rsidP="00557FB3">
            <w:pPr>
              <w:rPr>
                <w:i/>
                <w:sz w:val="20"/>
                <w:szCs w:val="20"/>
                <w:lang w:val="fr-FR"/>
              </w:rPr>
            </w:pPr>
            <w:r w:rsidRPr="00653BF4">
              <w:rPr>
                <w:i/>
                <w:iCs/>
                <w:color w:val="212121"/>
                <w:sz w:val="20"/>
                <w:szCs w:val="20"/>
                <w:lang w:val="fr-FR"/>
              </w:rPr>
              <w:t>Source</w:t>
            </w:r>
            <w:r w:rsidR="00E34DC9">
              <w:rPr>
                <w:i/>
                <w:iCs/>
                <w:color w:val="212121"/>
                <w:sz w:val="20"/>
                <w:szCs w:val="20"/>
                <w:lang w:val="fr-FR"/>
              </w:rPr>
              <w:t> :</w:t>
            </w:r>
            <w:r w:rsidRPr="00653BF4">
              <w:rPr>
                <w:i/>
                <w:iCs/>
                <w:color w:val="212121"/>
                <w:sz w:val="20"/>
                <w:szCs w:val="20"/>
                <w:lang w:val="fr-FR"/>
              </w:rPr>
              <w:t xml:space="preserve"> </w:t>
            </w:r>
            <w:r w:rsidRPr="00653BF4">
              <w:rPr>
                <w:color w:val="212121"/>
                <w:sz w:val="20"/>
                <w:szCs w:val="20"/>
                <w:lang w:val="fr-FR"/>
              </w:rPr>
              <w:t>Nouvelle-Zélande, septième rapport national présenté au titre de la Convention.</w:t>
            </w:r>
          </w:p>
          <w:p w14:paraId="784C832C" w14:textId="77777777" w:rsidR="00B87039" w:rsidRPr="00653BF4" w:rsidRDefault="00B87039" w:rsidP="00557FB3">
            <w:pPr>
              <w:rPr>
                <w:lang w:val="fr-FR"/>
              </w:rPr>
            </w:pPr>
          </w:p>
        </w:tc>
      </w:tr>
    </w:tbl>
    <w:p w14:paraId="044D5BA3" w14:textId="77777777" w:rsidR="00B87039" w:rsidRPr="00653BF4" w:rsidRDefault="00B87039" w:rsidP="00B87039">
      <w:pPr>
        <w:pStyle w:val="Heading6"/>
        <w:rPr>
          <w:lang w:val="fr-FR"/>
        </w:rPr>
      </w:pPr>
    </w:p>
    <w:p w14:paraId="26C13EE7"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350"/>
      </w:tblGrid>
      <w:tr w:rsidR="00B87039" w:rsidRPr="00543148" w14:paraId="22FA53B4" w14:textId="77777777" w:rsidTr="00557FB3">
        <w:tc>
          <w:tcPr>
            <w:tcW w:w="9350" w:type="dxa"/>
            <w:shd w:val="clear" w:color="auto" w:fill="D1D1D1" w:themeFill="background2" w:themeFillShade="E6"/>
          </w:tcPr>
          <w:p w14:paraId="5E96F0B8" w14:textId="77777777" w:rsidR="00B87039" w:rsidRPr="00653BF4" w:rsidRDefault="00B87039" w:rsidP="00557FB3">
            <w:pPr>
              <w:rPr>
                <w:sz w:val="20"/>
                <w:szCs w:val="20"/>
                <w:lang w:val="fr-FR"/>
              </w:rPr>
            </w:pPr>
            <w:r w:rsidRPr="00653BF4">
              <w:rPr>
                <w:sz w:val="20"/>
                <w:szCs w:val="20"/>
                <w:lang w:val="fr-FR"/>
              </w:rPr>
              <w:t>Encadré 52</w:t>
            </w:r>
          </w:p>
          <w:p w14:paraId="5F9DA3A6" w14:textId="5CBBB8D1" w:rsidR="00B87039" w:rsidRPr="00653BF4" w:rsidRDefault="00B87039" w:rsidP="00557FB3">
            <w:pPr>
              <w:spacing w:after="160" w:line="278" w:lineRule="auto"/>
              <w:rPr>
                <w:b/>
                <w:bCs/>
                <w:sz w:val="20"/>
                <w:szCs w:val="20"/>
                <w:lang w:val="fr-FR"/>
              </w:rPr>
            </w:pPr>
            <w:r w:rsidRPr="00653BF4">
              <w:rPr>
                <w:b/>
                <w:bCs/>
                <w:sz w:val="20"/>
                <w:szCs w:val="20"/>
                <w:lang w:val="fr-FR"/>
              </w:rPr>
              <w:t xml:space="preserve">Union des peuples autochtones </w:t>
            </w:r>
            <w:r w:rsidR="00E34DC9">
              <w:rPr>
                <w:b/>
                <w:bCs/>
                <w:sz w:val="20"/>
                <w:szCs w:val="20"/>
                <w:lang w:val="fr-FR"/>
              </w:rPr>
              <w:t>« </w:t>
            </w:r>
            <w:r w:rsidRPr="00653BF4">
              <w:rPr>
                <w:b/>
                <w:bCs/>
                <w:sz w:val="20"/>
                <w:szCs w:val="20"/>
                <w:lang w:val="fr-FR"/>
              </w:rPr>
              <w:t>SOYUZ</w:t>
            </w:r>
            <w:r w:rsidR="00E34DC9">
              <w:rPr>
                <w:b/>
                <w:bCs/>
                <w:sz w:val="20"/>
                <w:szCs w:val="20"/>
                <w:lang w:val="fr-FR"/>
              </w:rPr>
              <w:t> » :</w:t>
            </w:r>
            <w:r w:rsidRPr="00653BF4">
              <w:rPr>
                <w:b/>
                <w:bCs/>
                <w:sz w:val="20"/>
                <w:szCs w:val="20"/>
                <w:lang w:val="fr-FR"/>
              </w:rPr>
              <w:t xml:space="preserve"> collecte de données ventilées à des fins de suivi et de présentation de rapports en Fédération de Russie</w:t>
            </w:r>
          </w:p>
          <w:p w14:paraId="3D9C0B38" w14:textId="64162EA5" w:rsidR="00B87039" w:rsidRPr="00653BF4" w:rsidRDefault="00B87039" w:rsidP="00557FB3">
            <w:pPr>
              <w:spacing w:after="160" w:line="278" w:lineRule="auto"/>
              <w:rPr>
                <w:sz w:val="20"/>
                <w:szCs w:val="20"/>
                <w:lang w:val="fr-FR"/>
              </w:rPr>
            </w:pPr>
            <w:r w:rsidRPr="00653BF4">
              <w:rPr>
                <w:sz w:val="20"/>
                <w:szCs w:val="20"/>
                <w:lang w:val="fr-FR"/>
              </w:rPr>
              <w:t>Les organisations des peuples autochtones de Russie, sous l</w:t>
            </w:r>
            <w:r w:rsidR="00D77549">
              <w:rPr>
                <w:sz w:val="20"/>
                <w:szCs w:val="20"/>
                <w:lang w:val="fr-FR"/>
              </w:rPr>
              <w:t>’</w:t>
            </w:r>
            <w:r w:rsidRPr="00653BF4">
              <w:rPr>
                <w:sz w:val="20"/>
                <w:szCs w:val="20"/>
                <w:lang w:val="fr-FR"/>
              </w:rPr>
              <w:t>égide de l</w:t>
            </w:r>
            <w:r w:rsidR="00D77549">
              <w:rPr>
                <w:sz w:val="20"/>
                <w:szCs w:val="20"/>
                <w:lang w:val="fr-FR"/>
              </w:rPr>
              <w:t>’</w:t>
            </w:r>
            <w:r w:rsidRPr="00653BF4">
              <w:rPr>
                <w:sz w:val="20"/>
                <w:szCs w:val="20"/>
                <w:lang w:val="fr-FR"/>
              </w:rPr>
              <w:t>Association russe des peuples autochtones du Nord, ont mis en place un système de collecte d</w:t>
            </w:r>
            <w:r w:rsidR="00D77549">
              <w:rPr>
                <w:sz w:val="20"/>
                <w:szCs w:val="20"/>
                <w:lang w:val="fr-FR"/>
              </w:rPr>
              <w:t>’</w:t>
            </w:r>
            <w:r w:rsidRPr="00653BF4">
              <w:rPr>
                <w:sz w:val="20"/>
                <w:szCs w:val="20"/>
                <w:lang w:val="fr-FR"/>
              </w:rPr>
              <w:t>indicateurs à des fins de suivi et de présentation de rapports. Le système de collecte d</w:t>
            </w:r>
            <w:r w:rsidR="00D77549">
              <w:rPr>
                <w:sz w:val="20"/>
                <w:szCs w:val="20"/>
                <w:lang w:val="fr-FR"/>
              </w:rPr>
              <w:t>’</w:t>
            </w:r>
            <w:r w:rsidRPr="00653BF4">
              <w:rPr>
                <w:sz w:val="20"/>
                <w:szCs w:val="20"/>
                <w:lang w:val="fr-FR"/>
              </w:rPr>
              <w:t>indicateurs vise à renforcer les capacités d</w:t>
            </w:r>
            <w:r w:rsidR="00D77549">
              <w:rPr>
                <w:sz w:val="20"/>
                <w:szCs w:val="20"/>
                <w:lang w:val="fr-FR"/>
              </w:rPr>
              <w:t>’</w:t>
            </w:r>
            <w:r w:rsidRPr="00653BF4">
              <w:rPr>
                <w:sz w:val="20"/>
                <w:szCs w:val="20"/>
                <w:lang w:val="fr-FR"/>
              </w:rPr>
              <w:t>évaluation de l</w:t>
            </w:r>
            <w:r w:rsidR="00D77549">
              <w:rPr>
                <w:sz w:val="20"/>
                <w:szCs w:val="20"/>
                <w:lang w:val="fr-FR"/>
              </w:rPr>
              <w:t>’</w:t>
            </w:r>
            <w:r w:rsidRPr="00653BF4">
              <w:rPr>
                <w:sz w:val="20"/>
                <w:szCs w:val="20"/>
                <w:lang w:val="fr-FR"/>
              </w:rPr>
              <w:t>efficacité des mesures de conservation de la biodiversité, d</w:t>
            </w:r>
            <w:r w:rsidR="00D77549">
              <w:rPr>
                <w:sz w:val="20"/>
                <w:szCs w:val="20"/>
                <w:lang w:val="fr-FR"/>
              </w:rPr>
              <w:t>’</w:t>
            </w:r>
            <w:r w:rsidRPr="00653BF4">
              <w:rPr>
                <w:sz w:val="20"/>
                <w:szCs w:val="20"/>
                <w:lang w:val="fr-FR"/>
              </w:rPr>
              <w:t>utilisation durable et de restauration des écosystèmes sur les terres traditionnelles des peuples autochtones et communautés locales. Des indicateurs ont été proposés en vue de leur intégration dans la collecte, le suivi et les statistiques des données ventilées par État, y compris ceux qui tiennent compte des connaissances traditionnelles. La proposition comprend 80 indicateurs universels, mesurables et adaptés au contexte local et culturel. Il s</w:t>
            </w:r>
            <w:r w:rsidR="00D77549">
              <w:rPr>
                <w:sz w:val="20"/>
                <w:szCs w:val="20"/>
                <w:lang w:val="fr-FR"/>
              </w:rPr>
              <w:t>’</w:t>
            </w:r>
            <w:r w:rsidRPr="00653BF4">
              <w:rPr>
                <w:sz w:val="20"/>
                <w:szCs w:val="20"/>
                <w:lang w:val="fr-FR"/>
              </w:rPr>
              <w:t>agit notamment d</w:t>
            </w:r>
            <w:r w:rsidR="00D77549">
              <w:rPr>
                <w:sz w:val="20"/>
                <w:szCs w:val="20"/>
                <w:lang w:val="fr-FR"/>
              </w:rPr>
              <w:t>’</w:t>
            </w:r>
            <w:r w:rsidRPr="00653BF4">
              <w:rPr>
                <w:sz w:val="20"/>
                <w:szCs w:val="20"/>
                <w:lang w:val="fr-FR"/>
              </w:rPr>
              <w:t>indicateurs liés à l</w:t>
            </w:r>
            <w:r w:rsidR="00D77549">
              <w:rPr>
                <w:sz w:val="20"/>
                <w:szCs w:val="20"/>
                <w:lang w:val="fr-FR"/>
              </w:rPr>
              <w:t>’</w:t>
            </w:r>
            <w:r w:rsidRPr="00653BF4">
              <w:rPr>
                <w:sz w:val="20"/>
                <w:szCs w:val="20"/>
                <w:lang w:val="fr-FR"/>
              </w:rPr>
              <w:t xml:space="preserve">utilisation de la biodiversité sur les territoires traditionnels des peuples autochtones et communautés locales. Dans plusieurs régions, il existe des registres et des systèmes de suivi qui intègrent les pratiques traditionnelles. Dans le district autonome de Yamalo-Nenets, un système unifié de modélisation et de suivi du développement socio-économique des peuples autochtones est en place. Ce système recueille et ventile les données relatives aux éleveurs nomades de </w:t>
            </w:r>
            <w:r w:rsidRPr="00653BF4">
              <w:rPr>
                <w:sz w:val="20"/>
                <w:szCs w:val="20"/>
                <w:lang w:val="fr-FR"/>
              </w:rPr>
              <w:lastRenderedPageBreak/>
              <w:t>rennes, ainsi que les informations concernant les itinéraires de migration des rennes et les familles nomades.</w:t>
            </w:r>
          </w:p>
          <w:p w14:paraId="26673D1C" w14:textId="77777777" w:rsidR="00B87039" w:rsidRPr="00653BF4" w:rsidRDefault="00B87039" w:rsidP="00557FB3">
            <w:pPr>
              <w:rPr>
                <w:sz w:val="22"/>
                <w:szCs w:val="22"/>
                <w:lang w:val="fr-FR"/>
              </w:rPr>
            </w:pPr>
          </w:p>
          <w:p w14:paraId="61A025E0" w14:textId="67A3D4B2" w:rsidR="00B87039" w:rsidRPr="00653BF4" w:rsidRDefault="00B87039" w:rsidP="00557FB3">
            <w:pPr>
              <w:rPr>
                <w:sz w:val="20"/>
                <w:szCs w:val="20"/>
                <w:lang w:val="fr-FR"/>
              </w:rPr>
            </w:pPr>
            <w:r w:rsidRPr="00653BF4">
              <w:rPr>
                <w:i/>
                <w:iCs/>
                <w:sz w:val="20"/>
                <w:szCs w:val="20"/>
                <w:lang w:val="fr-FR"/>
              </w:rPr>
              <w:t>Cibles concernées</w:t>
            </w:r>
            <w:r w:rsidR="00E34DC9">
              <w:rPr>
                <w:i/>
                <w:iCs/>
                <w:sz w:val="20"/>
                <w:szCs w:val="20"/>
                <w:lang w:val="fr-FR"/>
              </w:rPr>
              <w:t> :</w:t>
            </w:r>
            <w:r w:rsidRPr="00653BF4">
              <w:rPr>
                <w:sz w:val="20"/>
                <w:szCs w:val="20"/>
                <w:lang w:val="fr-FR"/>
              </w:rPr>
              <w:t xml:space="preserve"> 21 et 22.</w:t>
            </w:r>
          </w:p>
          <w:p w14:paraId="57D9DFE2" w14:textId="56515F5A" w:rsidR="00B87039" w:rsidRPr="00653BF4" w:rsidRDefault="00B87039" w:rsidP="00557FB3">
            <w:pPr>
              <w:rPr>
                <w:sz w:val="20"/>
                <w:szCs w:val="20"/>
                <w:lang w:val="fr-FR"/>
              </w:rPr>
            </w:pPr>
            <w:r w:rsidRPr="00653BF4">
              <w:rPr>
                <w:i/>
                <w:iCs/>
                <w:sz w:val="20"/>
                <w:szCs w:val="20"/>
                <w:lang w:val="fr-FR"/>
              </w:rPr>
              <w:t>Source</w:t>
            </w:r>
            <w:r w:rsidR="00E34DC9">
              <w:rPr>
                <w:i/>
                <w:iCs/>
                <w:sz w:val="20"/>
                <w:szCs w:val="20"/>
                <w:lang w:val="fr-FR"/>
              </w:rPr>
              <w:t> :</w:t>
            </w:r>
            <w:r w:rsidRPr="00653BF4">
              <w:rPr>
                <w:i/>
                <w:iCs/>
                <w:sz w:val="20"/>
                <w:szCs w:val="20"/>
                <w:lang w:val="fr-FR"/>
              </w:rPr>
              <w:t xml:space="preserve"> </w:t>
            </w:r>
            <w:r w:rsidRPr="00653BF4">
              <w:rPr>
                <w:sz w:val="20"/>
                <w:szCs w:val="20"/>
                <w:lang w:val="fr-FR"/>
              </w:rPr>
              <w:t>SOYUZ, 2025.</w:t>
            </w:r>
          </w:p>
          <w:p w14:paraId="5C6ED550" w14:textId="77777777" w:rsidR="00B87039" w:rsidRPr="00653BF4" w:rsidRDefault="00B87039" w:rsidP="00557FB3">
            <w:pPr>
              <w:rPr>
                <w:sz w:val="22"/>
                <w:szCs w:val="22"/>
                <w:lang w:val="fr-FR"/>
              </w:rPr>
            </w:pPr>
          </w:p>
        </w:tc>
      </w:tr>
    </w:tbl>
    <w:p w14:paraId="7869DA9B" w14:textId="77777777" w:rsidR="00B87039" w:rsidRPr="00653BF4" w:rsidRDefault="00B87039" w:rsidP="00B87039">
      <w:pPr>
        <w:rPr>
          <w:lang w:val="fr-FR"/>
        </w:rPr>
      </w:pPr>
    </w:p>
    <w:p w14:paraId="0FF471AF" w14:textId="77777777" w:rsidR="00B87039" w:rsidRPr="00653BF4" w:rsidRDefault="00B87039" w:rsidP="00B87039">
      <w:pPr>
        <w:pStyle w:val="Heading6"/>
        <w:rPr>
          <w:lang w:val="fr-FR"/>
        </w:rPr>
      </w:pPr>
      <w:bookmarkStart w:id="438" w:name="_Toc235821325"/>
      <w:r w:rsidRPr="00653BF4">
        <w:rPr>
          <w:lang w:val="fr-FR"/>
        </w:rPr>
        <w:t>Difficultés</w:t>
      </w:r>
      <w:bookmarkEnd w:id="438"/>
    </w:p>
    <w:p w14:paraId="2FBA0657" w14:textId="77777777" w:rsidR="00B87039" w:rsidRPr="00653BF4" w:rsidRDefault="00B87039" w:rsidP="00B87039">
      <w:pPr>
        <w:rPr>
          <w:lang w:val="fr-FR"/>
        </w:rPr>
      </w:pPr>
    </w:p>
    <w:p w14:paraId="0E920130" w14:textId="25D06A86" w:rsidR="00B87039" w:rsidRPr="00653BF4" w:rsidRDefault="00B87039" w:rsidP="00B87039">
      <w:pPr>
        <w:rPr>
          <w:lang w:val="fr-FR"/>
        </w:rPr>
      </w:pPr>
      <w:r w:rsidRPr="00653BF4">
        <w:rPr>
          <w:lang w:val="fr-FR"/>
        </w:rPr>
        <w:t xml:space="preserve">Plusieurs Parties signalent qu’elles ne sont pas en mesure de suivre les progrès accomplis dans la réalisation de la </w:t>
      </w:r>
      <w:r w:rsidR="00E34DC9">
        <w:rPr>
          <w:lang w:val="fr-FR"/>
        </w:rPr>
        <w:t>cible 2</w:t>
      </w:r>
      <w:r w:rsidRPr="00653BF4">
        <w:rPr>
          <w:lang w:val="fr-FR"/>
        </w:rPr>
        <w:t>2, en raison de l’absence de données ventilées concernant les groupes sociaux visés par cette cible. Beaucoup soulignent également l</w:t>
      </w:r>
      <w:r w:rsidR="00D77549">
        <w:rPr>
          <w:lang w:val="fr-FR"/>
        </w:rPr>
        <w:t>’</w:t>
      </w:r>
      <w:r w:rsidRPr="00653BF4">
        <w:rPr>
          <w:lang w:val="fr-FR"/>
        </w:rPr>
        <w:t>écart qui existe entre l’adoption de lois relatives à la représentation et à la participation aux processus décisionnels, d’une part, et leur application effective ou leur mise en œuvre concrète visant à garantir l’accès à la justice, d’autre part. Plusieurs Parties soulignent l</w:t>
      </w:r>
      <w:r w:rsidR="00D77549">
        <w:rPr>
          <w:lang w:val="fr-FR"/>
        </w:rPr>
        <w:t>’</w:t>
      </w:r>
      <w:r w:rsidRPr="00653BF4">
        <w:rPr>
          <w:lang w:val="fr-FR"/>
        </w:rPr>
        <w:t>absence de tout mécanisme visant à protéger les défenseurs des droits humains en matière d</w:t>
      </w:r>
      <w:r w:rsidR="00D77549">
        <w:rPr>
          <w:lang w:val="fr-FR"/>
        </w:rPr>
        <w:t>’</w:t>
      </w:r>
      <w:r w:rsidRPr="00653BF4">
        <w:rPr>
          <w:lang w:val="fr-FR"/>
        </w:rPr>
        <w:t>environnement. Certaines Parties font remarquer que la participation de divers groupes ne se traduit pas nécessairement par un pouvoir de décision et qu</w:t>
      </w:r>
      <w:r w:rsidR="00D77549">
        <w:rPr>
          <w:lang w:val="fr-FR"/>
        </w:rPr>
        <w:t>’</w:t>
      </w:r>
      <w:r w:rsidRPr="00653BF4">
        <w:rPr>
          <w:lang w:val="fr-FR"/>
        </w:rPr>
        <w:t>elle revêt souvent un caractère symbolique ou non contraignant. Par ailleurs, certaines Parties font remarquer que les mécanismes de participation sont souvent axés sur des projets, ponctuels ou consultatifs, plutôt que d</w:t>
      </w:r>
      <w:r w:rsidR="00D77549">
        <w:rPr>
          <w:lang w:val="fr-FR"/>
        </w:rPr>
        <w:t>’</w:t>
      </w:r>
      <w:r w:rsidRPr="00653BF4">
        <w:rPr>
          <w:lang w:val="fr-FR"/>
        </w:rPr>
        <w:t>être intégrés dans des structures de gouvernance stables. Très peu de Parties font état de mesures concrètes en faveur des personnes handicapées. D’une manière générale, les mesures visant à accroître la participation se heurtent également à des contraintes liées au manque de moyens financiers. L</w:t>
      </w:r>
      <w:r w:rsidR="00D77549">
        <w:rPr>
          <w:lang w:val="fr-FR"/>
        </w:rPr>
        <w:t>’</w:t>
      </w:r>
      <w:r w:rsidRPr="00653BF4">
        <w:rPr>
          <w:lang w:val="fr-FR"/>
        </w:rPr>
        <w:t>absence ou l</w:t>
      </w:r>
      <w:r w:rsidR="00D77549">
        <w:rPr>
          <w:lang w:val="fr-FR"/>
        </w:rPr>
        <w:t>’</w:t>
      </w:r>
      <w:r w:rsidRPr="00653BF4">
        <w:rPr>
          <w:lang w:val="fr-FR"/>
        </w:rPr>
        <w:t>application incohérente des cadres relatifs au consentement préalable, donné librement et en connaissance de cause constitue un obstacle majeur à la mise en œuvre dans les pays comptant une part importante de populations issues des peuples autochtones et communautés locales. L</w:t>
      </w:r>
      <w:r w:rsidR="00D77549">
        <w:rPr>
          <w:lang w:val="fr-FR"/>
        </w:rPr>
        <w:t>’</w:t>
      </w:r>
      <w:r w:rsidRPr="00653BF4">
        <w:rPr>
          <w:lang w:val="fr-FR"/>
        </w:rPr>
        <w:t>absence de données concernant l</w:t>
      </w:r>
      <w:r w:rsidR="00D77549">
        <w:rPr>
          <w:lang w:val="fr-FR"/>
        </w:rPr>
        <w:t>’</w:t>
      </w:r>
      <w:r w:rsidRPr="00653BF4">
        <w:rPr>
          <w:lang w:val="fr-FR"/>
        </w:rPr>
        <w:t>indicateur principal 22.1 ou d</w:t>
      </w:r>
      <w:r w:rsidR="00D77549">
        <w:rPr>
          <w:lang w:val="fr-FR"/>
        </w:rPr>
        <w:t>’</w:t>
      </w:r>
      <w:r w:rsidRPr="00653BF4">
        <w:rPr>
          <w:lang w:val="fr-FR"/>
        </w:rPr>
        <w:t xml:space="preserve">autres indicateurs relatifs à cette cible constitue une lacune dans la capacité à suivre les progrès réalisés. Parmi les autres difficultés liées au suivi de la </w:t>
      </w:r>
      <w:r w:rsidR="00E34DC9">
        <w:rPr>
          <w:lang w:val="fr-FR"/>
        </w:rPr>
        <w:t>cible 2</w:t>
      </w:r>
      <w:r w:rsidRPr="00653BF4">
        <w:rPr>
          <w:lang w:val="fr-FR"/>
        </w:rPr>
        <w:t xml:space="preserve">2 figurent la fragmentation des données et des systèmes d’information, les problèmes liés à la souveraineté des données et à leur interopérabilité, ainsi que l’enregistrement limité des régimes fonciers coutumiers et collectifs. </w:t>
      </w:r>
    </w:p>
    <w:p w14:paraId="12445027" w14:textId="77777777" w:rsidR="00B87039" w:rsidRPr="00653BF4" w:rsidRDefault="00B87039" w:rsidP="00B87039">
      <w:pPr>
        <w:pStyle w:val="Heading5"/>
        <w:rPr>
          <w:lang w:val="fr-FR"/>
        </w:rPr>
      </w:pPr>
    </w:p>
    <w:p w14:paraId="61C3A71B" w14:textId="66BB6775" w:rsidR="00B87039" w:rsidRPr="00653BF4" w:rsidRDefault="00B87039" w:rsidP="00B87039">
      <w:pPr>
        <w:pStyle w:val="Heading5"/>
        <w:rPr>
          <w:lang w:val="fr-FR"/>
        </w:rPr>
      </w:pPr>
      <w:bookmarkStart w:id="439" w:name="_Toc235821326"/>
      <w:r w:rsidRPr="00653BF4">
        <w:rPr>
          <w:lang w:val="fr-FR"/>
        </w:rPr>
        <w:t>Contributions provenant d</w:t>
      </w:r>
      <w:r w:rsidR="00D77549">
        <w:rPr>
          <w:lang w:val="fr-FR"/>
        </w:rPr>
        <w:t>’</w:t>
      </w:r>
      <w:r w:rsidRPr="00653BF4">
        <w:rPr>
          <w:lang w:val="fr-FR"/>
        </w:rPr>
        <w:t>acteurs autres que les</w:t>
      </w:r>
      <w:bookmarkEnd w:id="439"/>
      <w:r w:rsidRPr="00653BF4">
        <w:rPr>
          <w:lang w:val="fr-FR"/>
        </w:rPr>
        <w:t xml:space="preserve"> gouvernements nationaux</w:t>
      </w:r>
    </w:p>
    <w:p w14:paraId="29EEA6D4" w14:textId="77777777" w:rsidR="00B87039" w:rsidRPr="00653BF4" w:rsidRDefault="00B87039" w:rsidP="00B87039">
      <w:pPr>
        <w:rPr>
          <w:lang w:val="fr-FR"/>
        </w:rPr>
      </w:pPr>
    </w:p>
    <w:p w14:paraId="4382DBB2" w14:textId="51CB7C43" w:rsidR="00B87039" w:rsidRPr="00653BF4" w:rsidRDefault="00B87039" w:rsidP="00B87039">
      <w:pPr>
        <w:pStyle w:val="Heading6"/>
        <w:rPr>
          <w:lang w:val="fr-FR"/>
        </w:rPr>
      </w:pPr>
      <w:bookmarkStart w:id="440" w:name="_Toc235821327"/>
      <w:r w:rsidRPr="00653BF4">
        <w:rPr>
          <w:lang w:val="fr-FR"/>
        </w:rPr>
        <w:lastRenderedPageBreak/>
        <w:t>Engagements communiqués directement via l</w:t>
      </w:r>
      <w:r w:rsidR="00D77549">
        <w:rPr>
          <w:lang w:val="fr-FR"/>
        </w:rPr>
        <w:t>’</w:t>
      </w:r>
      <w:r w:rsidRPr="00653BF4">
        <w:rPr>
          <w:lang w:val="fr-FR"/>
        </w:rPr>
        <w:t>outil de présentation des rapports en ligne</w:t>
      </w:r>
      <w:bookmarkEnd w:id="440"/>
    </w:p>
    <w:p w14:paraId="0E331CD9" w14:textId="77777777" w:rsidR="00B87039" w:rsidRPr="00653BF4" w:rsidRDefault="00B87039" w:rsidP="00B87039">
      <w:pPr>
        <w:rPr>
          <w:lang w:val="fr-FR"/>
        </w:rPr>
      </w:pPr>
    </w:p>
    <w:p w14:paraId="59E67ADC" w14:textId="793D2A71" w:rsidR="00B87039" w:rsidRPr="00653BF4" w:rsidRDefault="00B87039" w:rsidP="00B87039">
      <w:pPr>
        <w:rPr>
          <w:lang w:val="fr-FR"/>
        </w:rPr>
      </w:pPr>
      <w:r w:rsidRPr="00653BF4">
        <w:rPr>
          <w:lang w:val="fr-FR"/>
        </w:rPr>
        <w:t xml:space="preserve">Sur les 180 engagements de fond présentés par des acteurs autres que les gouvernements nationaux, 14 concernent principalement la </w:t>
      </w:r>
      <w:r w:rsidR="00E34DC9">
        <w:rPr>
          <w:lang w:val="fr-FR"/>
        </w:rPr>
        <w:t>cible 2</w:t>
      </w:r>
      <w:r w:rsidRPr="00653BF4">
        <w:rPr>
          <w:lang w:val="fr-FR"/>
        </w:rPr>
        <w:t>2, la classant ainsi parmi les cibles enregistrant le plus grand nombre d</w:t>
      </w:r>
      <w:r w:rsidR="00D77549">
        <w:rPr>
          <w:lang w:val="fr-FR"/>
        </w:rPr>
        <w:t>’</w:t>
      </w:r>
      <w:r w:rsidRPr="00653BF4">
        <w:rPr>
          <w:lang w:val="fr-FR"/>
        </w:rPr>
        <w:t>engagements. Parmi eux, 10 ont été soumis par des ONG</w:t>
      </w:r>
      <w:r w:rsidR="00E34DC9">
        <w:rPr>
          <w:lang w:val="fr-FR"/>
        </w:rPr>
        <w:t> ;</w:t>
      </w:r>
      <w:r w:rsidRPr="00653BF4">
        <w:rPr>
          <w:lang w:val="fr-FR"/>
        </w:rPr>
        <w:t xml:space="preserve"> 3 par des organisations de jeunesse et 1 par un établissement de recherche. Tous ces engagements portent sur la participation et l’inclusion dans la gouvernance et les actions en matière de biodiversité, notamment celles des peuples autochtones et communautés locales, des femmes et des jeunes, l’accent étant particulièrement mis sur l’application d’une approche fondée sur les droits humains dans la mise en œuvre du Cadre (voir l</w:t>
      </w:r>
      <w:r w:rsidR="00D77549">
        <w:rPr>
          <w:lang w:val="fr-FR"/>
        </w:rPr>
        <w:t>’</w:t>
      </w:r>
      <w:r w:rsidRPr="00653BF4">
        <w:rPr>
          <w:lang w:val="fr-FR"/>
        </w:rPr>
        <w:t>encadré 53).</w:t>
      </w:r>
    </w:p>
    <w:p w14:paraId="7A043571" w14:textId="77777777" w:rsidR="00B87039" w:rsidRPr="00653BF4" w:rsidRDefault="00B87039" w:rsidP="00B87039">
      <w:pPr>
        <w:pStyle w:val="Caption"/>
        <w:keepNext/>
        <w:rPr>
          <w:lang w:val="fr-FR"/>
        </w:rPr>
      </w:pPr>
    </w:p>
    <w:tbl>
      <w:tblPr>
        <w:tblStyle w:val="TableGrid"/>
        <w:tblW w:w="0" w:type="auto"/>
        <w:tblLook w:val="04A0" w:firstRow="1" w:lastRow="0" w:firstColumn="1" w:lastColumn="0" w:noHBand="0" w:noVBand="1"/>
      </w:tblPr>
      <w:tblGrid>
        <w:gridCol w:w="9016"/>
      </w:tblGrid>
      <w:tr w:rsidR="00B87039" w:rsidRPr="00543148" w14:paraId="03105013" w14:textId="77777777" w:rsidTr="00557FB3">
        <w:tc>
          <w:tcPr>
            <w:tcW w:w="9016" w:type="dxa"/>
            <w:shd w:val="clear" w:color="auto" w:fill="E8E8E8" w:themeFill="background2"/>
          </w:tcPr>
          <w:p w14:paraId="0E8322FE" w14:textId="68F4F4CA" w:rsidR="00B87039" w:rsidRPr="00653BF4" w:rsidRDefault="00B87039" w:rsidP="00557FB3">
            <w:pPr>
              <w:rPr>
                <w:sz w:val="20"/>
                <w:szCs w:val="20"/>
                <w:lang w:val="fr-FR"/>
              </w:rPr>
            </w:pPr>
            <w:bookmarkStart w:id="441" w:name="_Ref230888128"/>
            <w:r w:rsidRPr="00653BF4">
              <w:rPr>
                <w:sz w:val="20"/>
                <w:szCs w:val="20"/>
                <w:lang w:val="fr-FR"/>
              </w:rPr>
              <w:t>Encadré 53</w:t>
            </w:r>
            <w:bookmarkEnd w:id="441"/>
          </w:p>
          <w:p w14:paraId="57E23653" w14:textId="77EF8BA2" w:rsidR="00B87039" w:rsidRPr="00653BF4" w:rsidRDefault="00B87039" w:rsidP="00557FB3">
            <w:pPr>
              <w:spacing w:after="160" w:line="278" w:lineRule="auto"/>
              <w:rPr>
                <w:b/>
                <w:bCs/>
                <w:sz w:val="20"/>
                <w:szCs w:val="20"/>
                <w:lang w:val="fr-FR"/>
              </w:rPr>
            </w:pPr>
            <w:r w:rsidRPr="00653BF4">
              <w:rPr>
                <w:b/>
                <w:bCs/>
                <w:sz w:val="20"/>
                <w:szCs w:val="20"/>
                <w:lang w:val="fr-FR"/>
              </w:rPr>
              <w:t>Application d</w:t>
            </w:r>
            <w:r w:rsidR="00D77549">
              <w:rPr>
                <w:b/>
                <w:bCs/>
                <w:sz w:val="20"/>
                <w:szCs w:val="20"/>
                <w:lang w:val="fr-FR"/>
              </w:rPr>
              <w:t>’</w:t>
            </w:r>
            <w:r w:rsidRPr="00653BF4">
              <w:rPr>
                <w:b/>
                <w:bCs/>
                <w:sz w:val="20"/>
                <w:szCs w:val="20"/>
                <w:lang w:val="fr-FR"/>
              </w:rPr>
              <w:t>une approche fondée sur les droits humains à la conservation de la biodiversité au Kenya</w:t>
            </w:r>
          </w:p>
          <w:p w14:paraId="1C4AF601" w14:textId="01D26B5F" w:rsidR="00B87039" w:rsidRPr="00653BF4" w:rsidRDefault="00B87039" w:rsidP="00557FB3">
            <w:pPr>
              <w:spacing w:after="160" w:line="278" w:lineRule="auto"/>
              <w:rPr>
                <w:sz w:val="20"/>
                <w:szCs w:val="20"/>
                <w:lang w:val="fr-FR"/>
              </w:rPr>
            </w:pPr>
            <w:r w:rsidRPr="00653BF4">
              <w:rPr>
                <w:sz w:val="20"/>
                <w:szCs w:val="20"/>
                <w:lang w:val="fr-FR"/>
              </w:rPr>
              <w:t>Le Centre des droits économiques et sociaux, connu sous le nom de Hakijamii, est une ONG basée à Nairobi qui intervient à l</w:t>
            </w:r>
            <w:r w:rsidR="00D77549">
              <w:rPr>
                <w:sz w:val="20"/>
                <w:szCs w:val="20"/>
                <w:lang w:val="fr-FR"/>
              </w:rPr>
              <w:t>’</w:t>
            </w:r>
            <w:r w:rsidRPr="00653BF4">
              <w:rPr>
                <w:sz w:val="20"/>
                <w:szCs w:val="20"/>
                <w:lang w:val="fr-FR"/>
              </w:rPr>
              <w:t>échelle nationale au Kenya. Son engagement en faveur de l</w:t>
            </w:r>
            <w:r w:rsidR="00D77549">
              <w:rPr>
                <w:sz w:val="20"/>
                <w:szCs w:val="20"/>
                <w:lang w:val="fr-FR"/>
              </w:rPr>
              <w:t>’</w:t>
            </w:r>
            <w:r w:rsidRPr="00653BF4">
              <w:rPr>
                <w:sz w:val="20"/>
                <w:szCs w:val="20"/>
                <w:lang w:val="fr-FR"/>
              </w:rPr>
              <w:t>autonomisation des peuples autochtones et communautés locales pour une action en matière de protection de la biodiversité et de lutte contre les changements climatiques fondée sur les droits se concentre sur six types d</w:t>
            </w:r>
            <w:r w:rsidR="00D77549">
              <w:rPr>
                <w:sz w:val="20"/>
                <w:szCs w:val="20"/>
                <w:lang w:val="fr-FR"/>
              </w:rPr>
              <w:t>’</w:t>
            </w:r>
            <w:r w:rsidRPr="00653BF4">
              <w:rPr>
                <w:sz w:val="20"/>
                <w:szCs w:val="20"/>
                <w:lang w:val="fr-FR"/>
              </w:rPr>
              <w:t>écosystèmes</w:t>
            </w:r>
            <w:r w:rsidR="00E34DC9">
              <w:rPr>
                <w:sz w:val="20"/>
                <w:szCs w:val="20"/>
                <w:lang w:val="fr-FR"/>
              </w:rPr>
              <w:t> :</w:t>
            </w:r>
            <w:r w:rsidRPr="00653BF4">
              <w:rPr>
                <w:sz w:val="20"/>
                <w:szCs w:val="20"/>
                <w:lang w:val="fr-FR"/>
              </w:rPr>
              <w:t xml:space="preserve"> les écosystèmes de savane et de parcours, y compris les parcours masaï du paysage de Narok</w:t>
            </w:r>
            <w:r w:rsidR="00E34DC9">
              <w:rPr>
                <w:sz w:val="20"/>
                <w:szCs w:val="20"/>
                <w:lang w:val="fr-FR"/>
              </w:rPr>
              <w:t> ;</w:t>
            </w:r>
            <w:r w:rsidRPr="00653BF4">
              <w:rPr>
                <w:sz w:val="20"/>
                <w:szCs w:val="20"/>
                <w:lang w:val="fr-FR"/>
              </w:rPr>
              <w:t xml:space="preserve"> les écosystèmes d</w:t>
            </w:r>
            <w:r w:rsidR="00D77549">
              <w:rPr>
                <w:sz w:val="20"/>
                <w:szCs w:val="20"/>
                <w:lang w:val="fr-FR"/>
              </w:rPr>
              <w:t>’</w:t>
            </w:r>
            <w:r w:rsidRPr="00653BF4">
              <w:rPr>
                <w:sz w:val="20"/>
                <w:szCs w:val="20"/>
                <w:lang w:val="fr-FR"/>
              </w:rPr>
              <w:t>eau douce, notamment le lac Nakuru et les zones humides associées</w:t>
            </w:r>
            <w:r w:rsidR="00E34DC9">
              <w:rPr>
                <w:sz w:val="20"/>
                <w:szCs w:val="20"/>
                <w:lang w:val="fr-FR"/>
              </w:rPr>
              <w:t> ;</w:t>
            </w:r>
            <w:r w:rsidRPr="00653BF4">
              <w:rPr>
                <w:sz w:val="20"/>
                <w:szCs w:val="20"/>
                <w:lang w:val="fr-FR"/>
              </w:rPr>
              <w:t xml:space="preserve"> les écosystèmes forestiers, notamment les forêts communautaires et les forêts de zones arides</w:t>
            </w:r>
            <w:r w:rsidR="00E34DC9">
              <w:rPr>
                <w:sz w:val="20"/>
                <w:szCs w:val="20"/>
                <w:lang w:val="fr-FR"/>
              </w:rPr>
              <w:t> ;</w:t>
            </w:r>
            <w:r w:rsidRPr="00653BF4">
              <w:rPr>
                <w:sz w:val="20"/>
                <w:szCs w:val="20"/>
                <w:lang w:val="fr-FR"/>
              </w:rPr>
              <w:t xml:space="preserve"> les écosystèmes côtiers et marins, notamment les mangroves du comté de Mombasa</w:t>
            </w:r>
            <w:r w:rsidR="00E34DC9">
              <w:rPr>
                <w:sz w:val="20"/>
                <w:szCs w:val="20"/>
                <w:lang w:val="fr-FR"/>
              </w:rPr>
              <w:t> ;</w:t>
            </w:r>
            <w:r w:rsidRPr="00653BF4">
              <w:rPr>
                <w:sz w:val="20"/>
                <w:szCs w:val="20"/>
                <w:lang w:val="fr-FR"/>
              </w:rPr>
              <w:t xml:space="preserve"> les espaces verts urbains et périurbains de Nairobi et de Kisumu, et les écosystèmes des zones arides et des terres arides. Hakijamii a pour </w:t>
            </w:r>
            <w:r w:rsidR="002878D7">
              <w:rPr>
                <w:sz w:val="20"/>
                <w:szCs w:val="20"/>
                <w:lang w:val="fr-FR"/>
              </w:rPr>
              <w:t>objectif D</w:t>
            </w:r>
            <w:r w:rsidRPr="00653BF4">
              <w:rPr>
                <w:sz w:val="20"/>
                <w:szCs w:val="20"/>
                <w:lang w:val="fr-FR"/>
              </w:rPr>
              <w:t>e former, d’ici à 2030, au moins 1 000 personnes issues des peuples autochtones et communautés locales, dont au moins 50</w:t>
            </w:r>
            <w:r w:rsidR="002878D7">
              <w:rPr>
                <w:sz w:val="20"/>
                <w:szCs w:val="20"/>
                <w:lang w:val="fr-FR"/>
              </w:rPr>
              <w:t> %</w:t>
            </w:r>
            <w:r w:rsidRPr="00653BF4">
              <w:rPr>
                <w:sz w:val="20"/>
                <w:szCs w:val="20"/>
                <w:lang w:val="fr-FR"/>
              </w:rPr>
              <w:t xml:space="preserve"> de femmes et 30</w:t>
            </w:r>
            <w:r w:rsidR="002878D7">
              <w:rPr>
                <w:sz w:val="20"/>
                <w:szCs w:val="20"/>
                <w:lang w:val="fr-FR"/>
              </w:rPr>
              <w:t> %</w:t>
            </w:r>
            <w:r w:rsidRPr="00653BF4">
              <w:rPr>
                <w:sz w:val="20"/>
                <w:szCs w:val="20"/>
                <w:lang w:val="fr-FR"/>
              </w:rPr>
              <w:t xml:space="preserve"> de jeunes, en mettant l’accent sur les droits liés à la biodiversité, la gestion fondée sur les écosystèmes et le financement de la lutte contre les changements climatiques. Cet engagement vise également à parvenir à une augmentation moyenne d</w:t>
            </w:r>
            <w:r w:rsidR="00D77549">
              <w:rPr>
                <w:sz w:val="20"/>
                <w:szCs w:val="20"/>
                <w:lang w:val="fr-FR"/>
              </w:rPr>
              <w:t>’</w:t>
            </w:r>
            <w:r w:rsidRPr="00653BF4">
              <w:rPr>
                <w:sz w:val="20"/>
                <w:szCs w:val="20"/>
                <w:lang w:val="fr-FR"/>
              </w:rPr>
              <w:t>au moins 30</w:t>
            </w:r>
            <w:r w:rsidR="002878D7">
              <w:rPr>
                <w:sz w:val="20"/>
                <w:szCs w:val="20"/>
                <w:lang w:val="fr-FR"/>
              </w:rPr>
              <w:t> %</w:t>
            </w:r>
            <w:r w:rsidRPr="00653BF4">
              <w:rPr>
                <w:sz w:val="20"/>
                <w:szCs w:val="20"/>
                <w:lang w:val="fr-FR"/>
              </w:rPr>
              <w:t xml:space="preserve"> de la participation effective de ces communautés aux processus de gouvernance de la biodiversité au niveau provincial et national. Parmi les mesures concrètes figurent le renforcement des capacités en matière de droits liés à la biodiversité</w:t>
            </w:r>
            <w:r w:rsidR="00E34DC9">
              <w:rPr>
                <w:sz w:val="20"/>
                <w:szCs w:val="20"/>
                <w:lang w:val="fr-FR"/>
              </w:rPr>
              <w:t> ;</w:t>
            </w:r>
            <w:r w:rsidRPr="00653BF4">
              <w:rPr>
                <w:sz w:val="20"/>
                <w:szCs w:val="20"/>
                <w:lang w:val="fr-FR"/>
              </w:rPr>
              <w:t xml:space="preserve"> le renforcement des institutions de gouvernance communautaire, notamment les associations forestières communautaires, les conseils des anciens et les comités de gestion des terres</w:t>
            </w:r>
            <w:r w:rsidR="00E34DC9">
              <w:rPr>
                <w:sz w:val="20"/>
                <w:szCs w:val="20"/>
                <w:lang w:val="fr-FR"/>
              </w:rPr>
              <w:t> ;</w:t>
            </w:r>
            <w:r w:rsidRPr="00653BF4">
              <w:rPr>
                <w:sz w:val="20"/>
                <w:szCs w:val="20"/>
                <w:lang w:val="fr-FR"/>
              </w:rPr>
              <w:t xml:space="preserve"> la facilitation d</w:t>
            </w:r>
            <w:r w:rsidR="00D77549">
              <w:rPr>
                <w:sz w:val="20"/>
                <w:szCs w:val="20"/>
                <w:lang w:val="fr-FR"/>
              </w:rPr>
              <w:t>’</w:t>
            </w:r>
            <w:r w:rsidRPr="00653BF4">
              <w:rPr>
                <w:sz w:val="20"/>
                <w:szCs w:val="20"/>
                <w:lang w:val="fr-FR"/>
              </w:rPr>
              <w:t>un dialogue structuré entre les communautés, les pouvoirs publics et les acteurs de la conservation</w:t>
            </w:r>
            <w:r w:rsidR="00E34DC9">
              <w:rPr>
                <w:sz w:val="20"/>
                <w:szCs w:val="20"/>
                <w:lang w:val="fr-FR"/>
              </w:rPr>
              <w:t> ;</w:t>
            </w:r>
            <w:r w:rsidRPr="00653BF4">
              <w:rPr>
                <w:sz w:val="20"/>
                <w:szCs w:val="20"/>
                <w:lang w:val="fr-FR"/>
              </w:rPr>
              <w:t xml:space="preserve"> et l</w:t>
            </w:r>
            <w:r w:rsidR="00D77549">
              <w:rPr>
                <w:sz w:val="20"/>
                <w:szCs w:val="20"/>
                <w:lang w:val="fr-FR"/>
              </w:rPr>
              <w:t>’</w:t>
            </w:r>
            <w:r w:rsidRPr="00653BF4">
              <w:rPr>
                <w:sz w:val="20"/>
                <w:szCs w:val="20"/>
                <w:lang w:val="fr-FR"/>
              </w:rPr>
              <w:t>intégration des connaissances traditionnelles dans le suivi et la présentation de rapports en matière de biodiversité. Les progrès sont suivis chaque trimestre par le biais de lettres d</w:t>
            </w:r>
            <w:r w:rsidR="00D77549">
              <w:rPr>
                <w:sz w:val="20"/>
                <w:szCs w:val="20"/>
                <w:lang w:val="fr-FR"/>
              </w:rPr>
              <w:t>’</w:t>
            </w:r>
            <w:r w:rsidRPr="00653BF4">
              <w:rPr>
                <w:sz w:val="20"/>
                <w:szCs w:val="20"/>
                <w:lang w:val="fr-FR"/>
              </w:rPr>
              <w:t>information et des réseaux sociaux, et chaque année dans le cadre d</w:t>
            </w:r>
            <w:r w:rsidR="00D77549">
              <w:rPr>
                <w:sz w:val="20"/>
                <w:szCs w:val="20"/>
                <w:lang w:val="fr-FR"/>
              </w:rPr>
              <w:t>’</w:t>
            </w:r>
            <w:r w:rsidRPr="00653BF4">
              <w:rPr>
                <w:sz w:val="20"/>
                <w:szCs w:val="20"/>
                <w:lang w:val="fr-FR"/>
              </w:rPr>
              <w:t>évaluations internes des performances, en collaboration avec des partenaires tels que les collectivités locales de Nakuru, Narok, Isiolo, Kisumu, Mombasa et Nairobi.</w:t>
            </w:r>
          </w:p>
          <w:p w14:paraId="02CC54C4" w14:textId="77777777" w:rsidR="00B87039" w:rsidRPr="00653BF4" w:rsidRDefault="00B87039" w:rsidP="00557FB3">
            <w:pPr>
              <w:spacing w:after="160" w:line="278" w:lineRule="auto"/>
              <w:rPr>
                <w:sz w:val="20"/>
                <w:szCs w:val="20"/>
                <w:lang w:val="fr-FR"/>
              </w:rPr>
            </w:pPr>
          </w:p>
          <w:p w14:paraId="73DC92DB" w14:textId="280478CA" w:rsidR="00B87039" w:rsidRPr="00653BF4" w:rsidRDefault="00B87039" w:rsidP="00557FB3">
            <w:pPr>
              <w:spacing w:after="320" w:line="276" w:lineRule="auto"/>
              <w:rPr>
                <w:sz w:val="20"/>
                <w:szCs w:val="20"/>
                <w:lang w:val="fr-FR"/>
              </w:rPr>
            </w:pPr>
            <w:r w:rsidRPr="00653BF4">
              <w:rPr>
                <w:i/>
                <w:iCs/>
                <w:sz w:val="20"/>
                <w:szCs w:val="20"/>
                <w:lang w:val="fr-FR"/>
              </w:rPr>
              <w:lastRenderedPageBreak/>
              <w:t>Cibles concernées</w:t>
            </w:r>
            <w:r w:rsidR="00E34DC9">
              <w:rPr>
                <w:i/>
                <w:iCs/>
                <w:sz w:val="20"/>
                <w:szCs w:val="20"/>
                <w:lang w:val="fr-FR"/>
              </w:rPr>
              <w:t> :</w:t>
            </w:r>
            <w:r w:rsidRPr="00653BF4">
              <w:rPr>
                <w:i/>
                <w:iCs/>
                <w:sz w:val="20"/>
                <w:szCs w:val="20"/>
                <w:lang w:val="fr-FR"/>
              </w:rPr>
              <w:t xml:space="preserve"> </w:t>
            </w:r>
            <w:r w:rsidRPr="00653BF4">
              <w:rPr>
                <w:sz w:val="20"/>
                <w:szCs w:val="20"/>
                <w:lang w:val="fr-FR"/>
              </w:rPr>
              <w:t>14, 22 et 23.</w:t>
            </w:r>
          </w:p>
          <w:p w14:paraId="6FFAC97A" w14:textId="1E714E88" w:rsidR="00B87039" w:rsidRPr="00653BF4" w:rsidRDefault="00B87039" w:rsidP="00557FB3">
            <w:pPr>
              <w:spacing w:after="320" w:line="276" w:lineRule="auto"/>
              <w:rPr>
                <w:sz w:val="20"/>
                <w:szCs w:val="20"/>
                <w:lang w:val="fr-FR"/>
              </w:rPr>
            </w:pPr>
            <w:r w:rsidRPr="00653BF4">
              <w:rPr>
                <w:i/>
                <w:iCs/>
                <w:sz w:val="20"/>
                <w:szCs w:val="20"/>
                <w:lang w:val="fr-FR"/>
              </w:rPr>
              <w:t>Source</w:t>
            </w:r>
            <w:r w:rsidR="00E34DC9">
              <w:rPr>
                <w:i/>
                <w:iCs/>
                <w:sz w:val="20"/>
                <w:szCs w:val="20"/>
                <w:lang w:val="fr-FR"/>
              </w:rPr>
              <w:t> :</w:t>
            </w:r>
            <w:r w:rsidRPr="00653BF4">
              <w:rPr>
                <w:i/>
                <w:iCs/>
                <w:sz w:val="20"/>
                <w:szCs w:val="20"/>
                <w:lang w:val="fr-FR"/>
              </w:rPr>
              <w:t xml:space="preserve"> </w:t>
            </w:r>
            <w:r w:rsidRPr="00653BF4">
              <w:rPr>
                <w:sz w:val="20"/>
                <w:szCs w:val="20"/>
                <w:lang w:val="fr-FR"/>
              </w:rPr>
              <w:t xml:space="preserve">Hakijamii, engagement des parties prenantes (voir </w:t>
            </w:r>
            <w:hyperlink r:id="rId219" w:history="1">
              <w:r w:rsidRPr="00653BF4">
                <w:rPr>
                  <w:rStyle w:val="Hyperlink"/>
                  <w:sz w:val="20"/>
                  <w:szCs w:val="20"/>
                  <w:lang w:val="fr-FR"/>
                </w:rPr>
                <w:t>https://ort.cbd.int/database/293963</w:t>
              </w:r>
            </w:hyperlink>
            <w:r w:rsidRPr="00653BF4">
              <w:rPr>
                <w:sz w:val="20"/>
                <w:szCs w:val="20"/>
                <w:lang w:val="fr-FR"/>
              </w:rPr>
              <w:t>).</w:t>
            </w:r>
          </w:p>
        </w:tc>
      </w:tr>
    </w:tbl>
    <w:p w14:paraId="23DC9B08" w14:textId="77777777" w:rsidR="00B87039" w:rsidRPr="00653BF4" w:rsidRDefault="00B87039" w:rsidP="00B87039">
      <w:pPr>
        <w:rPr>
          <w:lang w:val="fr-FR"/>
        </w:rPr>
      </w:pPr>
    </w:p>
    <w:p w14:paraId="6134493D" w14:textId="42179C1B" w:rsidR="00B87039" w:rsidRPr="00653BF4" w:rsidRDefault="00B87039" w:rsidP="00B87039">
      <w:pPr>
        <w:pStyle w:val="Heading6"/>
        <w:rPr>
          <w:lang w:val="fr-FR"/>
        </w:rPr>
      </w:pPr>
      <w:bookmarkStart w:id="442" w:name="_Toc235821328"/>
      <w:r w:rsidRPr="00653BF4">
        <w:rPr>
          <w:lang w:val="fr-FR"/>
        </w:rPr>
        <w:t>Contributions intégrées dans les rapports nationaux</w:t>
      </w:r>
      <w:bookmarkEnd w:id="442"/>
    </w:p>
    <w:p w14:paraId="2DEA9702" w14:textId="77777777" w:rsidR="00B87039" w:rsidRPr="00653BF4" w:rsidRDefault="00B87039" w:rsidP="00B87039">
      <w:pPr>
        <w:rPr>
          <w:lang w:val="fr-FR"/>
        </w:rPr>
      </w:pPr>
    </w:p>
    <w:p w14:paraId="1BAFE625" w14:textId="12D7BAA0" w:rsidR="00B87039" w:rsidRPr="00653BF4" w:rsidRDefault="00B87039" w:rsidP="00B87039">
      <w:pPr>
        <w:rPr>
          <w:lang w:val="fr-FR"/>
        </w:rPr>
      </w:pPr>
      <w:bookmarkStart w:id="443" w:name="_Hlk236041993"/>
      <w:r w:rsidRPr="00653BF4">
        <w:rPr>
          <w:lang w:val="fr-FR"/>
        </w:rPr>
        <w:t xml:space="preserve">La cogestion et la cogouvernance constituent un rôle important attribué aux acteurs autres que les gouvernements nationaux dans le cadre de la mise en œuvre de la </w:t>
      </w:r>
      <w:r w:rsidR="00E34DC9">
        <w:rPr>
          <w:lang w:val="fr-FR"/>
        </w:rPr>
        <w:t>cible 2</w:t>
      </w:r>
      <w:r w:rsidRPr="00653BF4">
        <w:rPr>
          <w:lang w:val="fr-FR"/>
        </w:rPr>
        <w:t>3. Les peuples autochtones et communautés locales, les représentants des secteurs liés à la biodiversité ou qui en dépendent, les autorités infranationales, les villes et autres autorités locales, ainsi que les ONG, exercent une autorité officielle, par exemple, sur les aires protégées et les ressources marines. Ces acteurs exerceraient un contrôle opérationnel sur des questions telles que les quotas de chasse des espèces sauvages et la répartition des avantages. Les ONG et les organisations intergouvernementales sont souvent désignées comme les principales responsables ou coresponsables de la mise en œuvre des programmes relatifs à la biodiversité. Le suivi et l</w:t>
      </w:r>
      <w:r w:rsidR="00D77549">
        <w:rPr>
          <w:lang w:val="fr-FR"/>
        </w:rPr>
        <w:t>’</w:t>
      </w:r>
      <w:r w:rsidRPr="00653BF4">
        <w:rPr>
          <w:lang w:val="fr-FR"/>
        </w:rPr>
        <w:t>application de la réglementation font intervenir des groupes dirigés par des femmes, des gardes communautaires et des ONG, par le biais de plateformes de science citoyenne, de comités de surveillance communautaires et de programmes de surveillance de la pollution. La mise à disposition des connaissances et l</w:t>
      </w:r>
      <w:r w:rsidR="00D77549">
        <w:rPr>
          <w:lang w:val="fr-FR"/>
        </w:rPr>
        <w:t>’</w:t>
      </w:r>
      <w:r w:rsidRPr="00653BF4">
        <w:rPr>
          <w:lang w:val="fr-FR"/>
        </w:rPr>
        <w:t>intégration des connaissances traditionnelles concernent les peuples autochtones et communautés locales, les organismes de recherche et les représentants des secteurs liés à la biodiversité ou qui en dépendent, qui coproduisent des données sur la biodiversité et intègrent les connaissances traditionnelles aux connaissances scientifiques. La participation à la gouvernance et le plaidoyer impliquent les jeunes, les femmes, les peuples autochtones et communautés locales et les ONG au sein des organes de gouvernance formels et dans les processus législatifs.</w:t>
      </w:r>
    </w:p>
    <w:p w14:paraId="461CD8AE" w14:textId="77777777" w:rsidR="00B87039" w:rsidRPr="00653BF4" w:rsidRDefault="00B87039" w:rsidP="00B87039">
      <w:pPr>
        <w:rPr>
          <w:lang w:val="fr-FR"/>
        </w:rPr>
      </w:pPr>
    </w:p>
    <w:p w14:paraId="5BB170BD" w14:textId="41E24628" w:rsidR="00B87039" w:rsidRPr="00653BF4" w:rsidRDefault="00B87039" w:rsidP="00B87039">
      <w:pPr>
        <w:pStyle w:val="Heading5"/>
        <w:rPr>
          <w:lang w:val="fr-FR"/>
        </w:rPr>
      </w:pPr>
      <w:r w:rsidRPr="00653BF4">
        <w:rPr>
          <w:lang w:val="fr-FR"/>
        </w:rPr>
        <w:t>Exemples de liens avec d</w:t>
      </w:r>
      <w:r w:rsidR="00D77549">
        <w:rPr>
          <w:lang w:val="fr-FR"/>
        </w:rPr>
        <w:t>’</w:t>
      </w:r>
      <w:r w:rsidRPr="00653BF4">
        <w:rPr>
          <w:lang w:val="fr-FR"/>
        </w:rPr>
        <w:t>autres accords, processus et organisations</w:t>
      </w:r>
    </w:p>
    <w:p w14:paraId="413EE138" w14:textId="77777777" w:rsidR="00B87039" w:rsidRPr="00653BF4" w:rsidRDefault="00B87039" w:rsidP="00B87039">
      <w:pPr>
        <w:spacing w:before="120" w:after="120"/>
        <w:rPr>
          <w:rFonts w:eastAsia="Times New Roman" w:cs="Times New Roman"/>
          <w:lang w:val="fr-FR"/>
        </w:rPr>
      </w:pPr>
    </w:p>
    <w:bookmarkEnd w:id="443"/>
    <w:p w14:paraId="24530407" w14:textId="309364CF" w:rsidR="00B87039" w:rsidRPr="00653BF4" w:rsidRDefault="00B87039" w:rsidP="00B87039">
      <w:pPr>
        <w:spacing w:before="120" w:after="120"/>
        <w:rPr>
          <w:lang w:val="fr-FR"/>
        </w:rPr>
      </w:pPr>
      <w:r w:rsidRPr="00653BF4">
        <w:rPr>
          <w:rFonts w:eastAsia="Times New Roman" w:cs="Times New Roman"/>
          <w:lang w:val="fr-FR"/>
        </w:rPr>
        <w:t xml:space="preserve">La Convention de Minamata sur le mercure reconnaît les vulnérabilités particulières des peuples autochtones et communautés locales, des femmes et des enfants, en raison de leur exposition au mercure, de la bioamplification de cette substance et de la contamination des aliments traditionnels. </w:t>
      </w:r>
      <w:r w:rsidRPr="00653BF4">
        <w:rPr>
          <w:lang w:val="fr-FR"/>
        </w:rPr>
        <w:t xml:space="preserve">La Conférence des Parties à la Convention a pris plusieurs décisions et mesures visant à élargir la participation des peuples autochtones et communautés locales à la mise en œuvre des projets et programmes au titre de la </w:t>
      </w:r>
      <w:r w:rsidRPr="00653BF4">
        <w:rPr>
          <w:lang w:val="fr-FR"/>
        </w:rPr>
        <w:lastRenderedPageBreak/>
        <w:t>Convention.</w:t>
      </w:r>
      <w:r w:rsidRPr="00653BF4">
        <w:rPr>
          <w:rFonts w:eastAsia="Times New Roman" w:cs="Times New Roman"/>
          <w:lang w:val="fr-FR"/>
        </w:rPr>
        <w:t xml:space="preserve"> Comme indiqué dans le résumé de la </w:t>
      </w:r>
      <w:r w:rsidR="00E34DC9">
        <w:rPr>
          <w:rFonts w:eastAsia="Times New Roman" w:cs="Times New Roman"/>
          <w:lang w:val="fr-FR"/>
        </w:rPr>
        <w:t>cible 7</w:t>
      </w:r>
      <w:r w:rsidRPr="00653BF4">
        <w:rPr>
          <w:rFonts w:eastAsia="Times New Roman" w:cs="Times New Roman"/>
          <w:lang w:val="fr-FR"/>
        </w:rPr>
        <w:t xml:space="preserve"> ci-dessus, la Conférence des Parties a reconnu les impacts de l’utilisation du mercure dans l’exploitation artisanale et à petite échelle de l’or, et a encouragé les Parties et d’autres acteurs à associer les peuples autochtones et communautés locales aux processus décisionnels concernant cette exploitation, afin de protéger et de renforcer les moyens de subsistance traditionnels et les pratiques culturelles des peuples autochtones et communautés locales et, le cas échéant, de développer et de promouvoir des activités économiques alternatives et durables, ainsi qu’à collaborer avec leurs peuples autochtones et communautés locales respectifs en ce qui concerne leurs besoins et leurs priorités liés à l’utilisation du mercure dans l’exploitation aurifère artisanale et à petite échelle (Convention de Minamata sur le mercure, 2025b).</w:t>
      </w:r>
    </w:p>
    <w:p w14:paraId="1FCE3C7D" w14:textId="1BD48AC2" w:rsidR="00B87039" w:rsidRPr="00653BF4" w:rsidRDefault="00B87039" w:rsidP="00B87039">
      <w:pPr>
        <w:rPr>
          <w:lang w:val="fr-FR"/>
        </w:rPr>
      </w:pPr>
      <w:r w:rsidRPr="00653BF4">
        <w:rPr>
          <w:lang w:val="fr-FR"/>
        </w:rPr>
        <w:t>L</w:t>
      </w:r>
      <w:r w:rsidR="00D77549">
        <w:rPr>
          <w:lang w:val="fr-FR"/>
        </w:rPr>
        <w:t>’</w:t>
      </w:r>
      <w:r w:rsidRPr="00653BF4">
        <w:rPr>
          <w:lang w:val="fr-FR"/>
        </w:rPr>
        <w:t xml:space="preserve">accent mis par la Commission baleinière internationale sur la chasse à la baleine de subsistance durable pratiquée par les peuples autochtones repose sur la reconnaissance du fait que la pleine participation et la coopération des peuples concernés sont essentielles pour faciliter la mise en œuvre de mesures de gestion appropriées, alignant ainsi les priorités de la Commission sur les principes de la </w:t>
      </w:r>
      <w:r w:rsidR="00E34DC9">
        <w:rPr>
          <w:lang w:val="fr-FR"/>
        </w:rPr>
        <w:t>cible 2</w:t>
      </w:r>
      <w:r w:rsidRPr="00653BF4">
        <w:rPr>
          <w:lang w:val="fr-FR"/>
        </w:rPr>
        <w:t xml:space="preserve">2 du Cadre. Par exemple, le sous-comité de la Commission chargé de la chasse à la baleine de subsistance pratiquée par les peuples autochtones travaille en étroite collaboration avec les chasseurs et leurs représentants gouvernementaux pour gérer les limites de prise (le nombre maximal de baleines que les chasseurs sont autorisés à abattre avec une arme de chasse à la baleine), en veillant à ce que toutes les voix soient entendues. Une nouvelle méthode permettant la prolongation automatique des limites de prise et de capture a été mise au point en collaboration avec les communautés de chasseurs et adoptée par la Commission en 2022. En 2024, cela a donné lieu à un renouvellement des quotas par consensus, les conditions spécifiques fixées par cette nouvelle méthode ayant été remplies (CBI, 2025). </w:t>
      </w:r>
    </w:p>
    <w:p w14:paraId="45F346E0" w14:textId="77777777" w:rsidR="00B87039" w:rsidRPr="00653BF4" w:rsidRDefault="00B87039" w:rsidP="00B87039">
      <w:pPr>
        <w:rPr>
          <w:lang w:val="fr-FR"/>
        </w:rPr>
      </w:pPr>
    </w:p>
    <w:p w14:paraId="016862B9" w14:textId="77777777" w:rsidR="007A60EC" w:rsidRPr="00653BF4" w:rsidRDefault="007A60EC" w:rsidP="007A60EC">
      <w:pPr>
        <w:rPr>
          <w:lang w:val="fr-FR" w:eastAsia="zh-CN"/>
        </w:rPr>
      </w:pPr>
    </w:p>
    <w:p w14:paraId="1CA006FC" w14:textId="68B1528A" w:rsidR="007A60EC" w:rsidRPr="00653BF4" w:rsidRDefault="00E34DC9" w:rsidP="007A60EC">
      <w:pPr>
        <w:pStyle w:val="Heading4"/>
        <w:rPr>
          <w:i w:val="0"/>
          <w:iCs w:val="0"/>
          <w:lang w:val="fr-FR"/>
        </w:rPr>
      </w:pPr>
      <w:bookmarkStart w:id="444" w:name="_Toc235821329"/>
      <w:bookmarkStart w:id="445" w:name="_Toc239069219"/>
      <w:bookmarkStart w:id="446" w:name="_Toc8451892"/>
      <w:bookmarkStart w:id="447" w:name="_Toc242801256"/>
      <w:r>
        <w:rPr>
          <w:b/>
          <w:bCs/>
          <w:i w:val="0"/>
          <w:iCs w:val="0"/>
          <w:lang w:val="fr-FR"/>
        </w:rPr>
        <w:t>Cible 2</w:t>
      </w:r>
      <w:r w:rsidR="007A60EC" w:rsidRPr="00653BF4">
        <w:rPr>
          <w:b/>
          <w:bCs/>
          <w:i w:val="0"/>
          <w:iCs w:val="0"/>
          <w:lang w:val="fr-FR"/>
        </w:rPr>
        <w:t xml:space="preserve">3. </w:t>
      </w:r>
      <w:bookmarkEnd w:id="444"/>
      <w:bookmarkEnd w:id="445"/>
      <w:bookmarkEnd w:id="446"/>
      <w:r w:rsidR="007A60EC" w:rsidRPr="00653BF4">
        <w:rPr>
          <w:i w:val="0"/>
          <w:iCs w:val="0"/>
          <w:lang w:val="fr-FR"/>
        </w:rPr>
        <w:t>Assurer l’égalité des genres et une approche tenant compte du genre dans l’action en faveur de la biodiversité</w:t>
      </w:r>
      <w:bookmarkEnd w:id="447"/>
    </w:p>
    <w:p w14:paraId="4238B8BB" w14:textId="77777777" w:rsidR="007A60EC" w:rsidRPr="00653BF4" w:rsidRDefault="007A60EC" w:rsidP="007A60EC">
      <w:pPr>
        <w:rPr>
          <w:i/>
          <w:iCs/>
          <w:sz w:val="22"/>
          <w:szCs w:val="22"/>
          <w:lang w:val="fr-FR"/>
        </w:rPr>
      </w:pPr>
      <w:r w:rsidRPr="00653BF4">
        <w:rPr>
          <w:b/>
          <w:bCs/>
          <w:sz w:val="22"/>
          <w:szCs w:val="22"/>
          <w:lang w:val="fr-FR"/>
        </w:rPr>
        <w:t>Texte de la cible</w:t>
      </w:r>
      <w:r w:rsidRPr="00653BF4">
        <w:rPr>
          <w:b/>
          <w:bCs/>
          <w:i/>
          <w:iCs/>
          <w:sz w:val="22"/>
          <w:szCs w:val="22"/>
          <w:lang w:val="fr-FR"/>
        </w:rPr>
        <w:t>.</w:t>
      </w:r>
      <w:r w:rsidRPr="00653BF4">
        <w:rPr>
          <w:i/>
          <w:iCs/>
          <w:sz w:val="22"/>
          <w:szCs w:val="22"/>
          <w:lang w:val="fr-FR"/>
        </w:rPr>
        <w:t xml:space="preserve"> Assurer l’égalité des genres dans la mise en œuvre du cadre grâce à une approche tenant compte du genre, permettant à toutes les femmes et à toutes les filles de bénéficier des mêmes possibilités et capacités de contribuer à la réalisation des trois objectifs de la Convention, notamment en reconnaissant l’égalité de leurs droits et de leur accès aux terres et aux ressources naturelles, ainsi qu’en favorisant leur participation et leur leadership pleins, équitables, significatifs et éclairés à tous les niveaux de l’action, de la participation, de l’élaboration des politiques et de la prise de décision en matière de biodiversité.</w:t>
      </w:r>
    </w:p>
    <w:p w14:paraId="1513B258" w14:textId="77777777" w:rsidR="007A60EC" w:rsidRPr="00653BF4" w:rsidRDefault="007A60EC" w:rsidP="007A60EC">
      <w:pPr>
        <w:rPr>
          <w:lang w:val="fr-FR"/>
        </w:rPr>
      </w:pPr>
    </w:p>
    <w:p w14:paraId="2FAD9204" w14:textId="77777777" w:rsidR="007A60EC" w:rsidRPr="00653BF4" w:rsidRDefault="007A60EC" w:rsidP="007A60EC">
      <w:pPr>
        <w:pStyle w:val="Heading5"/>
        <w:rPr>
          <w:lang w:val="fr-FR"/>
        </w:rPr>
      </w:pPr>
      <w:r w:rsidRPr="00653BF4">
        <w:rPr>
          <w:lang w:val="fr-FR"/>
        </w:rPr>
        <w:t>Aperçu des progrès accomplis</w:t>
      </w:r>
    </w:p>
    <w:tbl>
      <w:tblPr>
        <w:tblStyle w:val="TableGrid"/>
        <w:tblW w:w="0" w:type="auto"/>
        <w:tblLook w:val="04A0" w:firstRow="1" w:lastRow="0" w:firstColumn="1" w:lastColumn="0" w:noHBand="0" w:noVBand="1"/>
      </w:tblPr>
      <w:tblGrid>
        <w:gridCol w:w="9016"/>
      </w:tblGrid>
      <w:tr w:rsidR="007A60EC" w:rsidRPr="00543148" w14:paraId="0C80F85B" w14:textId="77777777" w:rsidTr="00557FB3">
        <w:tc>
          <w:tcPr>
            <w:tcW w:w="9016" w:type="dxa"/>
            <w:shd w:val="clear" w:color="auto" w:fill="D1D1D1" w:themeFill="background2" w:themeFillShade="E6"/>
          </w:tcPr>
          <w:p w14:paraId="30C77833" w14:textId="77777777" w:rsidR="007A60EC" w:rsidRPr="00653BF4" w:rsidRDefault="007A60EC" w:rsidP="00557FB3">
            <w:pPr>
              <w:rPr>
                <w:rFonts w:ascii="Aptos" w:eastAsia="Times New Roman" w:hAnsi="Aptos" w:cs="Calibri"/>
                <w:color w:val="000000"/>
                <w:lang w:val="fr-FR"/>
              </w:rPr>
            </w:pPr>
          </w:p>
          <w:p w14:paraId="6F5B00B6" w14:textId="13A3BE1A" w:rsidR="007A60EC" w:rsidRPr="00653BF4" w:rsidRDefault="007A60EC" w:rsidP="00557FB3">
            <w:pPr>
              <w:rPr>
                <w:lang w:val="fr-FR"/>
              </w:rPr>
            </w:pPr>
            <w:r w:rsidRPr="00653BF4">
              <w:rPr>
                <w:lang w:val="fr-FR"/>
              </w:rPr>
              <w:t xml:space="preserve">La prise en compte du genre dans la gouvernance de la biodiversité progresse, mais la mise en œuvre de la </w:t>
            </w:r>
            <w:r w:rsidR="00E34DC9">
              <w:rPr>
                <w:lang w:val="fr-FR"/>
              </w:rPr>
              <w:t>cible 2</w:t>
            </w:r>
            <w:r w:rsidRPr="00653BF4">
              <w:rPr>
                <w:lang w:val="fr-FR"/>
              </w:rPr>
              <w:t xml:space="preserve">3 reste peu avancée. Les cibles nationales sont encore loin de couvrir toute la portée de la </w:t>
            </w:r>
            <w:r w:rsidR="00E34DC9">
              <w:rPr>
                <w:lang w:val="fr-FR"/>
              </w:rPr>
              <w:t>cible 2</w:t>
            </w:r>
            <w:r w:rsidRPr="00653BF4">
              <w:rPr>
                <w:lang w:val="fr-FR"/>
              </w:rPr>
              <w:t>3, en particulier pour ce qui est des droits des femmes et des filles sur les terres et les ressources naturelles, et de leur accès à celles-ci. Les données communiquées au titre de l’indicateur binaire donnent à penser que de nombreuses Parties n’en sont encore qu’aux premiers stades du suivi, de la mise en œuvre de mesures permettant une participation et un leadership éclairés et de l’application d’approches tenant compte du genre. Selon les auto-évaluations, certains progrès ont été accomplis, mais plus de la moitié des cibles nationales étroitement alignées sur la cible ne sont toujours pas en voie d’être atteintes. Parmi les principales difficultés figurent les lacunes dans la mise en œuvre des politiques, l’insuffisance des systèmes de mesure, le manque de données ventilées par sexe et la prise en compte incomplète des éléments de la cible. Il existe un lien entre la mise en œuvre de cette cible et celle du Plan d’action pour l’égalité des sexes (2023-2030) au niveau national (décision 15/17, CDB, 2023).</w:t>
            </w:r>
          </w:p>
          <w:p w14:paraId="11372B33" w14:textId="77777777" w:rsidR="007A60EC" w:rsidRPr="00653BF4" w:rsidRDefault="007A60EC" w:rsidP="00557FB3">
            <w:pPr>
              <w:rPr>
                <w:lang w:val="fr-FR"/>
              </w:rPr>
            </w:pPr>
          </w:p>
        </w:tc>
      </w:tr>
    </w:tbl>
    <w:p w14:paraId="4AC470B5" w14:textId="77777777" w:rsidR="007A60EC" w:rsidRPr="00653BF4" w:rsidRDefault="007A60EC" w:rsidP="007A60EC">
      <w:pPr>
        <w:rPr>
          <w:lang w:val="fr-FR"/>
        </w:rPr>
      </w:pPr>
    </w:p>
    <w:p w14:paraId="6D24ABB0" w14:textId="7A52563C" w:rsidR="007A60EC" w:rsidRPr="00653BF4" w:rsidRDefault="007A60EC" w:rsidP="007A60EC">
      <w:pPr>
        <w:pStyle w:val="Heading5"/>
        <w:rPr>
          <w:lang w:val="fr-FR"/>
        </w:rPr>
      </w:pPr>
      <w:r w:rsidRPr="00653BF4">
        <w:rPr>
          <w:lang w:val="fr-FR"/>
        </w:rPr>
        <w:t xml:space="preserve">Prise en compte par les Parties de la portée de la </w:t>
      </w:r>
      <w:r w:rsidR="00E34DC9">
        <w:rPr>
          <w:lang w:val="fr-FR"/>
        </w:rPr>
        <w:t>cible 2</w:t>
      </w:r>
      <w:r w:rsidRPr="00653BF4">
        <w:rPr>
          <w:lang w:val="fr-FR"/>
        </w:rPr>
        <w:t>3 du Cadre dans leurs cibles nationales</w:t>
      </w:r>
    </w:p>
    <w:p w14:paraId="32DB7A45" w14:textId="77777777" w:rsidR="007A60EC" w:rsidRPr="00653BF4" w:rsidRDefault="007A60EC" w:rsidP="007A60EC">
      <w:pPr>
        <w:pStyle w:val="Caption"/>
        <w:rPr>
          <w:lang w:val="fr-FR"/>
        </w:rPr>
      </w:pPr>
    </w:p>
    <w:p w14:paraId="28EE824F" w14:textId="77777777" w:rsidR="007A60EC" w:rsidRPr="00653BF4" w:rsidRDefault="007A60EC" w:rsidP="007A60EC">
      <w:pPr>
        <w:pStyle w:val="Caption"/>
        <w:keepNext/>
        <w:rPr>
          <w:lang w:val="fr-FR"/>
        </w:rPr>
      </w:pPr>
    </w:p>
    <w:p w14:paraId="6109D0FC" w14:textId="2841CBDD" w:rsidR="007A60EC" w:rsidRPr="00653BF4" w:rsidRDefault="007A60EC" w:rsidP="007A60EC">
      <w:pPr>
        <w:pStyle w:val="Caption"/>
        <w:keepNext/>
        <w:rPr>
          <w:i w:val="0"/>
          <w:iCs w:val="0"/>
          <w:sz w:val="20"/>
          <w:szCs w:val="20"/>
          <w:lang w:val="fr-FR"/>
        </w:rPr>
      </w:pPr>
      <w:bookmarkStart w:id="448" w:name="_Ref238817087"/>
      <w:r w:rsidRPr="00653BF4">
        <w:rPr>
          <w:i w:val="0"/>
          <w:iCs w:val="0"/>
          <w:sz w:val="20"/>
          <w:szCs w:val="20"/>
          <w:lang w:val="fr-FR"/>
        </w:rPr>
        <w:t xml:space="preserve">Tableau </w:t>
      </w:r>
      <w:r w:rsidRPr="00653BF4">
        <w:rPr>
          <w:i w:val="0"/>
          <w:iCs w:val="0"/>
          <w:noProof/>
          <w:sz w:val="20"/>
          <w:szCs w:val="20"/>
          <w:lang w:val="fr-FR"/>
        </w:rPr>
        <w:t>49</w:t>
      </w:r>
      <w:bookmarkEnd w:id="448"/>
      <w:r w:rsidRPr="00653BF4">
        <w:rPr>
          <w:i w:val="0"/>
          <w:iCs w:val="0"/>
          <w:sz w:val="20"/>
          <w:szCs w:val="20"/>
          <w:lang w:val="fr-FR"/>
        </w:rPr>
        <w:t xml:space="preserve"> </w:t>
      </w:r>
    </w:p>
    <w:p w14:paraId="50A34DE7" w14:textId="3474373A" w:rsidR="007A60EC" w:rsidRPr="00653BF4" w:rsidRDefault="007A60EC" w:rsidP="007A60EC">
      <w:pPr>
        <w:pStyle w:val="Caption"/>
        <w:keepNext/>
        <w:rPr>
          <w:i w:val="0"/>
          <w:sz w:val="20"/>
          <w:szCs w:val="20"/>
          <w:lang w:val="fr-FR"/>
        </w:rPr>
      </w:pPr>
      <w:r w:rsidRPr="00653BF4">
        <w:rPr>
          <w:rFonts w:ascii="Aptos" w:hAnsi="Aptos" w:cs="Aptos"/>
          <w:b/>
          <w:i w:val="0"/>
          <w:sz w:val="20"/>
          <w:szCs w:val="20"/>
          <w:lang w:val="fr-FR"/>
        </w:rPr>
        <w:t xml:space="preserve">Éléments de la </w:t>
      </w:r>
      <w:r w:rsidR="00E34DC9">
        <w:rPr>
          <w:rFonts w:ascii="Aptos" w:hAnsi="Aptos" w:cs="Aptos"/>
          <w:b/>
          <w:i w:val="0"/>
          <w:sz w:val="20"/>
          <w:szCs w:val="20"/>
          <w:lang w:val="fr-FR"/>
        </w:rPr>
        <w:t>cible 2</w:t>
      </w:r>
      <w:r w:rsidRPr="00653BF4">
        <w:rPr>
          <w:rFonts w:ascii="Aptos" w:hAnsi="Aptos" w:cs="Aptos"/>
          <w:b/>
          <w:i w:val="0"/>
          <w:sz w:val="20"/>
          <w:szCs w:val="20"/>
          <w:lang w:val="fr-FR"/>
        </w:rPr>
        <w:t>3 du Cadre et leur prise en compte dans les cibles nationales</w:t>
      </w:r>
      <w:r w:rsidRPr="00653BF4">
        <w:rPr>
          <w:i w:val="0"/>
          <w:iCs w:val="0"/>
          <w:sz w:val="20"/>
          <w:szCs w:val="20"/>
          <w:vertAlign w:val="superscript"/>
          <w:lang w:val="fr-FR"/>
        </w:rPr>
        <w:t>a</w:t>
      </w:r>
    </w:p>
    <w:p w14:paraId="23F08883" w14:textId="77777777" w:rsidR="007A60EC" w:rsidRPr="00653BF4" w:rsidRDefault="007A60EC" w:rsidP="007A60EC">
      <w:pPr>
        <w:rPr>
          <w:lang w:val="fr-FR" w:eastAsia="ja-JP"/>
        </w:rPr>
      </w:pPr>
    </w:p>
    <w:tbl>
      <w:tblPr>
        <w:tblStyle w:val="TableGrid"/>
        <w:tblW w:w="0" w:type="auto"/>
        <w:tblInd w:w="-141" w:type="dxa"/>
        <w:tblLook w:val="04A0" w:firstRow="1" w:lastRow="0" w:firstColumn="1" w:lastColumn="0" w:noHBand="0" w:noVBand="1"/>
      </w:tblPr>
      <w:tblGrid>
        <w:gridCol w:w="7845"/>
        <w:gridCol w:w="1312"/>
      </w:tblGrid>
      <w:tr w:rsidR="007A60EC" w:rsidRPr="00653BF4" w14:paraId="7F5C4FAA" w14:textId="77777777" w:rsidTr="00557FB3">
        <w:tc>
          <w:tcPr>
            <w:tcW w:w="7845" w:type="dxa"/>
          </w:tcPr>
          <w:p w14:paraId="5DB1CB27" w14:textId="77777777" w:rsidR="007A60EC" w:rsidRPr="00653BF4" w:rsidRDefault="007A60EC"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Assurer l’égalité des genres dans la mise en œuvre du Cadre grâce à une approche tenant compte du genre</w:t>
            </w:r>
          </w:p>
        </w:tc>
        <w:tc>
          <w:tcPr>
            <w:tcW w:w="1312" w:type="dxa"/>
            <w:shd w:val="clear" w:color="auto" w:fill="92D050"/>
          </w:tcPr>
          <w:p w14:paraId="08CB6E8A" w14:textId="77777777" w:rsidR="007A60EC" w:rsidRPr="00653BF4" w:rsidRDefault="007A60EC" w:rsidP="00557FB3">
            <w:pPr>
              <w:rPr>
                <w:lang w:val="fr-FR"/>
              </w:rPr>
            </w:pPr>
            <w:r w:rsidRPr="00653BF4">
              <w:rPr>
                <w:lang w:val="fr-FR"/>
              </w:rPr>
              <w:t>63</w:t>
            </w:r>
          </w:p>
        </w:tc>
      </w:tr>
      <w:tr w:rsidR="007A60EC" w:rsidRPr="00653BF4" w14:paraId="1F679C28" w14:textId="77777777" w:rsidTr="00557FB3">
        <w:tc>
          <w:tcPr>
            <w:tcW w:w="7845" w:type="dxa"/>
          </w:tcPr>
          <w:p w14:paraId="13691B0E" w14:textId="77777777" w:rsidR="007A60EC" w:rsidRPr="00653BF4" w:rsidRDefault="007A60EC"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 xml:space="preserve">Reconnaître l’égalité des droits des femmes et des filles aux terres et aux ressources naturelles </w:t>
            </w:r>
          </w:p>
        </w:tc>
        <w:tc>
          <w:tcPr>
            <w:tcW w:w="1312" w:type="dxa"/>
            <w:shd w:val="clear" w:color="auto" w:fill="FFC000"/>
          </w:tcPr>
          <w:p w14:paraId="423FA9F3" w14:textId="77777777" w:rsidR="007A60EC" w:rsidRPr="00653BF4" w:rsidRDefault="007A60EC" w:rsidP="00557FB3">
            <w:pPr>
              <w:rPr>
                <w:lang w:val="fr-FR"/>
              </w:rPr>
            </w:pPr>
            <w:r w:rsidRPr="00653BF4">
              <w:rPr>
                <w:lang w:val="fr-FR"/>
              </w:rPr>
              <w:t>28</w:t>
            </w:r>
          </w:p>
        </w:tc>
      </w:tr>
      <w:tr w:rsidR="007A60EC" w:rsidRPr="00653BF4" w14:paraId="007AC61D" w14:textId="77777777" w:rsidTr="00557FB3">
        <w:tc>
          <w:tcPr>
            <w:tcW w:w="7845" w:type="dxa"/>
          </w:tcPr>
          <w:p w14:paraId="64DE6BF1" w14:textId="77777777" w:rsidR="007A60EC" w:rsidRPr="00653BF4" w:rsidRDefault="007A60EC" w:rsidP="00557FB3">
            <w:pPr>
              <w:rPr>
                <w:sz w:val="21"/>
                <w:szCs w:val="21"/>
                <w:lang w:val="fr-FR"/>
              </w:rPr>
            </w:pPr>
            <w:r w:rsidRPr="00653BF4">
              <w:rPr>
                <w:rFonts w:cs="Times New Roman"/>
                <w:kern w:val="0"/>
                <w:sz w:val="21"/>
                <w:szCs w:val="21"/>
                <w:lang w:val="fr-FR"/>
              </w:rPr>
              <w:t>Reconnaître l’égalité d’accès des femmes et des filles aux terres et aux ressources naturelles</w:t>
            </w:r>
          </w:p>
        </w:tc>
        <w:tc>
          <w:tcPr>
            <w:tcW w:w="1312" w:type="dxa"/>
            <w:shd w:val="clear" w:color="auto" w:fill="FFC000"/>
          </w:tcPr>
          <w:p w14:paraId="43DFEC58" w14:textId="77777777" w:rsidR="007A60EC" w:rsidRPr="00653BF4" w:rsidRDefault="007A60EC" w:rsidP="00557FB3">
            <w:pPr>
              <w:rPr>
                <w:lang w:val="fr-FR"/>
              </w:rPr>
            </w:pPr>
            <w:r w:rsidRPr="00653BF4">
              <w:rPr>
                <w:lang w:val="fr-FR"/>
              </w:rPr>
              <w:t>25</w:t>
            </w:r>
          </w:p>
        </w:tc>
      </w:tr>
      <w:tr w:rsidR="007A60EC" w:rsidRPr="00653BF4" w14:paraId="0DEB1CF5" w14:textId="77777777" w:rsidTr="00557FB3">
        <w:tc>
          <w:tcPr>
            <w:tcW w:w="7845" w:type="dxa"/>
          </w:tcPr>
          <w:p w14:paraId="010EE75C" w14:textId="77777777" w:rsidR="007A60EC" w:rsidRPr="00653BF4" w:rsidRDefault="007A60EC" w:rsidP="00557FB3">
            <w:pPr>
              <w:autoSpaceDE w:val="0"/>
              <w:autoSpaceDN w:val="0"/>
              <w:adjustRightInd w:val="0"/>
              <w:rPr>
                <w:rFonts w:cs="Times New Roman"/>
                <w:kern w:val="0"/>
                <w:sz w:val="21"/>
                <w:szCs w:val="21"/>
                <w:lang w:val="fr-FR"/>
              </w:rPr>
            </w:pPr>
            <w:r w:rsidRPr="00653BF4">
              <w:rPr>
                <w:rFonts w:cs="Times New Roman"/>
                <w:kern w:val="0"/>
                <w:sz w:val="21"/>
                <w:szCs w:val="21"/>
                <w:lang w:val="fr-FR"/>
              </w:rPr>
              <w:t>Assurer la participation et le leadership pleins, équitables, significatifs et éclairés des femmes et des filles à tous les niveaux de l’action, de la participation, de l’élaboration des politiques et de la prise de décision en matière de biodiversité</w:t>
            </w:r>
          </w:p>
        </w:tc>
        <w:tc>
          <w:tcPr>
            <w:tcW w:w="1312" w:type="dxa"/>
            <w:shd w:val="clear" w:color="auto" w:fill="FFFF00"/>
          </w:tcPr>
          <w:p w14:paraId="33CE56F7" w14:textId="77777777" w:rsidR="007A60EC" w:rsidRPr="00653BF4" w:rsidRDefault="007A60EC" w:rsidP="00557FB3">
            <w:pPr>
              <w:rPr>
                <w:lang w:val="fr-FR"/>
              </w:rPr>
            </w:pPr>
            <w:r w:rsidRPr="00653BF4">
              <w:rPr>
                <w:lang w:val="fr-FR"/>
              </w:rPr>
              <w:t>57</w:t>
            </w:r>
          </w:p>
        </w:tc>
      </w:tr>
      <w:tr w:rsidR="007A60EC" w:rsidRPr="00543148" w14:paraId="06B8F0F0" w14:textId="77777777" w:rsidTr="00557FB3">
        <w:tc>
          <w:tcPr>
            <w:tcW w:w="9157" w:type="dxa"/>
            <w:gridSpan w:val="2"/>
          </w:tcPr>
          <w:p w14:paraId="0FC29852" w14:textId="77777777" w:rsidR="007A60EC" w:rsidRPr="00653BF4" w:rsidRDefault="007A60EC" w:rsidP="00557FB3">
            <w:pPr>
              <w:pStyle w:val="p1"/>
              <w:keepNext/>
              <w:rPr>
                <w:rFonts w:asciiTheme="minorHAnsi" w:hAnsiTheme="minorHAnsi"/>
                <w:b/>
                <w:bCs/>
                <w:sz w:val="22"/>
                <w:szCs w:val="22"/>
                <w:lang w:val="fr-FR"/>
              </w:rPr>
            </w:pPr>
          </w:p>
          <w:p w14:paraId="375A2B30" w14:textId="0CBF3336" w:rsidR="007A60EC" w:rsidRPr="00653BF4" w:rsidRDefault="007A60EC" w:rsidP="00557FB3">
            <w:pPr>
              <w:pStyle w:val="p1"/>
              <w:keepNext/>
              <w:rPr>
                <w:rFonts w:asciiTheme="minorHAnsi" w:hAnsiTheme="minorHAnsi"/>
                <w:b/>
                <w:bCs/>
                <w:sz w:val="22"/>
                <w:szCs w:val="22"/>
                <w:lang w:val="fr-FR"/>
              </w:rPr>
            </w:pPr>
            <w:r w:rsidRPr="00653BF4">
              <w:rPr>
                <w:rFonts w:asciiTheme="minorHAnsi" w:hAnsiTheme="minorHAnsi"/>
                <w:b/>
                <w:bCs/>
                <w:sz w:val="22"/>
                <w:szCs w:val="22"/>
                <w:lang w:val="fr-FR"/>
              </w:rPr>
              <w:t>En moyenne, les Parties ont pris en compte, au moins partiellement, 43</w:t>
            </w:r>
            <w:r w:rsidR="002878D7">
              <w:rPr>
                <w:rFonts w:asciiTheme="minorHAnsi" w:hAnsiTheme="minorHAnsi"/>
                <w:b/>
                <w:bCs/>
                <w:sz w:val="22"/>
                <w:szCs w:val="22"/>
                <w:lang w:val="fr-FR"/>
              </w:rPr>
              <w:t> %</w:t>
            </w:r>
            <w:r w:rsidRPr="00653BF4">
              <w:rPr>
                <w:rFonts w:asciiTheme="minorHAnsi" w:hAnsiTheme="minorHAnsi"/>
                <w:b/>
                <w:bCs/>
                <w:sz w:val="22"/>
                <w:szCs w:val="22"/>
                <w:lang w:val="fr-FR"/>
              </w:rPr>
              <w:t xml:space="preserve"> de ces éléments dans leurs cibles nationales</w:t>
            </w:r>
          </w:p>
          <w:p w14:paraId="1937A4C6" w14:textId="77777777" w:rsidR="007A60EC" w:rsidRPr="00653BF4" w:rsidRDefault="007A60EC" w:rsidP="00557FB3">
            <w:pPr>
              <w:pStyle w:val="p1"/>
              <w:keepNext/>
              <w:rPr>
                <w:rFonts w:asciiTheme="minorHAnsi" w:hAnsiTheme="minorHAnsi"/>
                <w:b/>
                <w:bCs/>
                <w:sz w:val="22"/>
                <w:szCs w:val="22"/>
                <w:lang w:val="fr-FR"/>
              </w:rPr>
            </w:pPr>
          </w:p>
        </w:tc>
      </w:tr>
    </w:tbl>
    <w:p w14:paraId="7FFFD2B8" w14:textId="77777777" w:rsidR="007A60EC" w:rsidRPr="00653BF4" w:rsidRDefault="007A60EC" w:rsidP="007A60EC">
      <w:pPr>
        <w:rPr>
          <w:lang w:val="fr-FR"/>
        </w:rPr>
      </w:pPr>
    </w:p>
    <w:p w14:paraId="1443CB24" w14:textId="1FF6436C" w:rsidR="007A60EC" w:rsidRPr="00653BF4" w:rsidRDefault="007A60EC" w:rsidP="007A60EC">
      <w:pPr>
        <w:rPr>
          <w:iCs/>
          <w:sz w:val="16"/>
          <w:szCs w:val="16"/>
          <w:lang w:val="fr-FR"/>
        </w:rPr>
      </w:pPr>
      <w:r w:rsidRPr="00653BF4">
        <w:rPr>
          <w:i/>
          <w:sz w:val="16"/>
          <w:szCs w:val="16"/>
          <w:lang w:val="fr-FR"/>
        </w:rPr>
        <w:t>Note</w:t>
      </w:r>
      <w:r w:rsidR="00E34DC9">
        <w:rPr>
          <w:i/>
          <w:sz w:val="16"/>
          <w:szCs w:val="16"/>
          <w:lang w:val="fr-FR"/>
        </w:rPr>
        <w:t> :</w:t>
      </w:r>
      <w:r w:rsidRPr="00653BF4">
        <w:rPr>
          <w:iCs/>
          <w:sz w:val="16"/>
          <w:szCs w:val="16"/>
          <w:lang w:val="fr-FR"/>
        </w:rPr>
        <w:t xml:space="preserve"> La colonne de droite du tableau indique le pourcentage de Parties dont les cibles nationales prennent en compte l’élément au moins partiellement.</w:t>
      </w:r>
    </w:p>
    <w:p w14:paraId="07D4E5F2" w14:textId="1D2E81CF" w:rsidR="007A60EC" w:rsidRPr="00653BF4" w:rsidRDefault="007A60EC" w:rsidP="007A60EC">
      <w:pPr>
        <w:pStyle w:val="paragraph"/>
        <w:spacing w:before="0" w:beforeAutospacing="0" w:after="0" w:afterAutospacing="0"/>
        <w:textAlignment w:val="baseline"/>
        <w:rPr>
          <w:rFonts w:ascii="Segoe UI" w:hAnsi="Segoe UI" w:cs="Segoe UI"/>
          <w:sz w:val="16"/>
          <w:szCs w:val="16"/>
          <w:lang w:val="fr-FR"/>
        </w:rPr>
      </w:pPr>
      <w:r w:rsidRPr="00653BF4">
        <w:rPr>
          <w:sz w:val="16"/>
          <w:szCs w:val="16"/>
          <w:vertAlign w:val="superscript"/>
          <w:lang w:val="fr-FR"/>
        </w:rPr>
        <w:t>a</w:t>
      </w:r>
      <w:r w:rsidRPr="00653BF4">
        <w:rPr>
          <w:rStyle w:val="normaltextrun"/>
          <w:rFonts w:ascii="Aptos" w:hAnsi="Aptos" w:cs="Segoe UI"/>
          <w:sz w:val="16"/>
          <w:szCs w:val="16"/>
          <w:lang w:val="fr-FR"/>
        </w:rPr>
        <w:t xml:space="preserve"> Les éléments de chaque cible ont été définis par le Groupe spécial d’experts techniques sur les indicateurs du Cadre mondial de la biodiversité de Kunming-Montréal (voir annexe I du document </w:t>
      </w:r>
      <w:hyperlink r:id="rId220" w:history="1">
        <w:r w:rsidRPr="00653BF4">
          <w:rPr>
            <w:rStyle w:val="Hyperlink"/>
            <w:rFonts w:ascii="Aptos" w:hAnsi="Aptos" w:cs="Segoe UI"/>
            <w:sz w:val="16"/>
            <w:szCs w:val="16"/>
            <w:lang w:val="fr-FR"/>
          </w:rPr>
          <w:t>CBD/COP/16/INF/4</w:t>
        </w:r>
      </w:hyperlink>
      <w:r w:rsidR="00E34DC9">
        <w:rPr>
          <w:rStyle w:val="normaltextrun"/>
          <w:rFonts w:ascii="Aptos" w:hAnsi="Aptos" w:cs="Segoe UI"/>
          <w:sz w:val="16"/>
          <w:szCs w:val="16"/>
          <w:lang w:val="fr-FR"/>
        </w:rPr>
        <w:t> ;</w:t>
      </w:r>
      <w:r w:rsidRPr="00653BF4">
        <w:rPr>
          <w:rStyle w:val="normaltextrun"/>
          <w:rFonts w:ascii="Aptos" w:hAnsi="Aptos" w:cs="Segoe UI"/>
          <w:sz w:val="16"/>
          <w:szCs w:val="16"/>
          <w:lang w:val="fr-FR"/>
        </w:rPr>
        <w:t xml:space="preserve"> et Affinito </w:t>
      </w:r>
      <w:r w:rsidRPr="00653BF4">
        <w:rPr>
          <w:rStyle w:val="normaltextrun"/>
          <w:rFonts w:ascii="Aptos" w:hAnsi="Aptos" w:cs="Segoe UI"/>
          <w:i/>
          <w:iCs/>
          <w:sz w:val="16"/>
          <w:szCs w:val="16"/>
          <w:lang w:val="fr-FR"/>
        </w:rPr>
        <w:t>et al</w:t>
      </w:r>
      <w:r w:rsidRPr="00653BF4">
        <w:rPr>
          <w:rStyle w:val="normaltextrun"/>
          <w:rFonts w:ascii="Aptos" w:hAnsi="Aptos" w:cs="Segoe UI"/>
          <w:sz w:val="16"/>
          <w:szCs w:val="16"/>
          <w:lang w:val="fr-FR"/>
        </w:rPr>
        <w:t xml:space="preserve">., 2025). La méthode détaillée employée pour l’analyse des cibles nationales est présentée dans le document </w:t>
      </w:r>
      <w:hyperlink r:id="rId221" w:history="1">
        <w:r w:rsidRPr="00653BF4">
          <w:rPr>
            <w:rStyle w:val="Hyperlink"/>
            <w:rFonts w:ascii="Aptos" w:hAnsi="Aptos" w:cs="Segoe UI"/>
            <w:sz w:val="16"/>
            <w:szCs w:val="16"/>
            <w:lang w:val="fr-FR"/>
          </w:rPr>
          <w:t>CBD/SBI/7/INF/22</w:t>
        </w:r>
      </w:hyperlink>
      <w:r w:rsidRPr="00653BF4">
        <w:rPr>
          <w:rStyle w:val="normaltextrun"/>
          <w:rFonts w:ascii="Aptos" w:hAnsi="Aptos" w:cs="Segoe UI"/>
          <w:sz w:val="16"/>
          <w:szCs w:val="16"/>
          <w:lang w:val="fr-FR"/>
        </w:rPr>
        <w:t xml:space="preserve">. </w:t>
      </w:r>
    </w:p>
    <w:p w14:paraId="0D861B6E" w14:textId="77777777" w:rsidR="007A60EC" w:rsidRPr="00653BF4" w:rsidRDefault="007A60EC" w:rsidP="007A60EC">
      <w:pPr>
        <w:rPr>
          <w:lang w:val="fr-FR"/>
        </w:rPr>
      </w:pPr>
    </w:p>
    <w:p w14:paraId="6CD70C5F" w14:textId="16FAFC38" w:rsidR="007A60EC" w:rsidRPr="00653BF4" w:rsidRDefault="007A60EC" w:rsidP="007A60EC">
      <w:pPr>
        <w:rPr>
          <w:lang w:val="fr-FR"/>
        </w:rPr>
      </w:pPr>
      <w:bookmarkStart w:id="449" w:name="_Toc235821332"/>
      <w:r w:rsidRPr="00653BF4">
        <w:rPr>
          <w:lang w:val="fr-FR"/>
        </w:rPr>
        <w:t xml:space="preserve">La </w:t>
      </w:r>
      <w:r w:rsidR="00E34DC9">
        <w:rPr>
          <w:lang w:val="fr-FR"/>
        </w:rPr>
        <w:t>cible 2</w:t>
      </w:r>
      <w:r w:rsidRPr="00653BF4">
        <w:rPr>
          <w:lang w:val="fr-FR"/>
        </w:rPr>
        <w:t>3 se compose de quatre éléments distincts (voir le tableau 49). La majorité des Parties ont des cibles nationales portant sur la nécessité d’assurer l’égalité des genres dans la mise en œuvre du Cadre grâce à une approche tenant compte du genre (63</w:t>
      </w:r>
      <w:r w:rsidR="002878D7">
        <w:rPr>
          <w:lang w:val="fr-FR"/>
        </w:rPr>
        <w:t> %</w:t>
      </w:r>
      <w:r w:rsidRPr="00653BF4">
        <w:rPr>
          <w:lang w:val="fr-FR"/>
        </w:rPr>
        <w:t>) et d’assurer la participation et le leadership pleins, équitables, significatifs et éclairés des femmes et des filles à tous les niveaux de l’action, de la participation, de l’élaboration des politiques et de la prise de décision en matière de biodiversité (57</w:t>
      </w:r>
      <w:r w:rsidR="002878D7">
        <w:rPr>
          <w:lang w:val="fr-FR"/>
        </w:rPr>
        <w:t> %</w:t>
      </w:r>
      <w:r w:rsidRPr="00653BF4">
        <w:rPr>
          <w:lang w:val="fr-FR"/>
        </w:rPr>
        <w:t>). Les Parties sont bien moins nombreuses à traiter, dans leurs cibles nationales, de la reconnaissance de l’égalité des droits (28</w:t>
      </w:r>
      <w:r w:rsidR="002878D7">
        <w:rPr>
          <w:lang w:val="fr-FR"/>
        </w:rPr>
        <w:t> %</w:t>
      </w:r>
      <w:r w:rsidRPr="00653BF4">
        <w:rPr>
          <w:lang w:val="fr-FR"/>
        </w:rPr>
        <w:t>) et de l’égalité d’accès (25</w:t>
      </w:r>
      <w:r w:rsidR="002878D7">
        <w:rPr>
          <w:lang w:val="fr-FR"/>
        </w:rPr>
        <w:t> %</w:t>
      </w:r>
      <w:r w:rsidRPr="00653BF4">
        <w:rPr>
          <w:lang w:val="fr-FR"/>
        </w:rPr>
        <w:t xml:space="preserve">) des femmes et des filles aux terres et aux ressources naturelles. </w:t>
      </w:r>
    </w:p>
    <w:p w14:paraId="1102884F" w14:textId="3ACB83F9" w:rsidR="007A60EC" w:rsidRPr="00653BF4" w:rsidRDefault="007A60EC" w:rsidP="007A60EC">
      <w:pPr>
        <w:rPr>
          <w:lang w:val="fr-FR"/>
        </w:rPr>
      </w:pPr>
      <w:r w:rsidRPr="00653BF4">
        <w:rPr>
          <w:lang w:val="fr-FR"/>
        </w:rPr>
        <w:t xml:space="preserve">La portée des cibles nationales présente des lacunes importantes par rapport aux quatre éléments de la </w:t>
      </w:r>
      <w:r w:rsidR="00E34DC9">
        <w:rPr>
          <w:lang w:val="fr-FR"/>
        </w:rPr>
        <w:t>cible 2</w:t>
      </w:r>
      <w:r w:rsidRPr="00653BF4">
        <w:rPr>
          <w:lang w:val="fr-FR"/>
        </w:rPr>
        <w:t xml:space="preserve">3, en particulier en ce qui concerne les droits des femmes et des filles et leur accès aux terres et aux ressources naturelles. </w:t>
      </w:r>
    </w:p>
    <w:p w14:paraId="2933F27A" w14:textId="77777777" w:rsidR="007A60EC" w:rsidRPr="00653BF4" w:rsidRDefault="007A60EC" w:rsidP="007A60EC">
      <w:pPr>
        <w:pStyle w:val="Heading5"/>
        <w:rPr>
          <w:lang w:val="fr-FR"/>
        </w:rPr>
      </w:pPr>
    </w:p>
    <w:bookmarkEnd w:id="449"/>
    <w:p w14:paraId="48E9F981" w14:textId="77777777" w:rsidR="007A60EC" w:rsidRPr="00653BF4" w:rsidRDefault="007A60EC" w:rsidP="007A60EC">
      <w:pPr>
        <w:pStyle w:val="Heading5"/>
        <w:rPr>
          <w:lang w:val="fr-FR"/>
        </w:rPr>
      </w:pPr>
      <w:r w:rsidRPr="00653BF4">
        <w:rPr>
          <w:lang w:val="fr-FR"/>
        </w:rPr>
        <w:t>Indicateurs de progrès</w:t>
      </w:r>
    </w:p>
    <w:p w14:paraId="531592C5" w14:textId="77777777" w:rsidR="007A60EC" w:rsidRPr="00653BF4" w:rsidRDefault="007A60EC" w:rsidP="007A60EC">
      <w:pPr>
        <w:pStyle w:val="Caption"/>
        <w:rPr>
          <w:i w:val="0"/>
          <w:sz w:val="20"/>
          <w:szCs w:val="20"/>
          <w:lang w:val="fr-FR"/>
        </w:rPr>
      </w:pPr>
      <w:r w:rsidRPr="00653BF4">
        <w:rPr>
          <w:i w:val="0"/>
          <w:sz w:val="20"/>
          <w:szCs w:val="20"/>
          <w:lang w:val="fr-FR"/>
        </w:rPr>
        <w:t xml:space="preserve">Tableau </w:t>
      </w:r>
      <w:r w:rsidRPr="00653BF4">
        <w:rPr>
          <w:i w:val="0"/>
          <w:noProof/>
          <w:sz w:val="20"/>
          <w:szCs w:val="20"/>
          <w:lang w:val="fr-FR"/>
        </w:rPr>
        <w:t>50</w:t>
      </w:r>
      <w:r w:rsidRPr="00653BF4">
        <w:rPr>
          <w:i w:val="0"/>
          <w:iCs w:val="0"/>
          <w:sz w:val="20"/>
          <w:szCs w:val="20"/>
          <w:lang w:val="fr-FR"/>
        </w:rPr>
        <w:t xml:space="preserve"> </w:t>
      </w:r>
    </w:p>
    <w:p w14:paraId="7DAC5F49" w14:textId="39D75AE3" w:rsidR="007A60EC" w:rsidRPr="00653BF4" w:rsidRDefault="007A60EC" w:rsidP="007A60EC">
      <w:pPr>
        <w:pStyle w:val="Caption"/>
        <w:rPr>
          <w:b/>
          <w:bCs/>
          <w:i w:val="0"/>
          <w:iCs w:val="0"/>
          <w:sz w:val="20"/>
          <w:szCs w:val="20"/>
          <w:lang w:val="fr-FR"/>
        </w:rPr>
      </w:pPr>
      <w:r w:rsidRPr="00653BF4">
        <w:rPr>
          <w:b/>
          <w:bCs/>
          <w:i w:val="0"/>
          <w:iCs w:val="0"/>
          <w:sz w:val="20"/>
          <w:szCs w:val="20"/>
          <w:lang w:val="fr-FR"/>
        </w:rPr>
        <w:t xml:space="preserve">Tableau de bord des indicateurs pour la </w:t>
      </w:r>
      <w:r w:rsidR="00E34DC9">
        <w:rPr>
          <w:b/>
          <w:bCs/>
          <w:i w:val="0"/>
          <w:iCs w:val="0"/>
          <w:sz w:val="20"/>
          <w:szCs w:val="20"/>
          <w:lang w:val="fr-FR"/>
        </w:rPr>
        <w:t>cible 2</w:t>
      </w:r>
      <w:r w:rsidRPr="00653BF4">
        <w:rPr>
          <w:b/>
          <w:bCs/>
          <w:i w:val="0"/>
          <w:iCs w:val="0"/>
          <w:sz w:val="20"/>
          <w:szCs w:val="20"/>
          <w:lang w:val="fr-FR"/>
        </w:rPr>
        <w:t>3 du Cadre</w:t>
      </w:r>
    </w:p>
    <w:p w14:paraId="58D07DE9" w14:textId="77777777" w:rsidR="007A60EC" w:rsidRPr="00653BF4" w:rsidRDefault="007A60EC" w:rsidP="007A60EC">
      <w:pPr>
        <w:rPr>
          <w:lang w:val="fr-FR" w:eastAsia="ja-JP"/>
        </w:rPr>
      </w:pPr>
    </w:p>
    <w:tbl>
      <w:tblP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8"/>
        <w:gridCol w:w="3213"/>
        <w:gridCol w:w="672"/>
        <w:gridCol w:w="2601"/>
        <w:gridCol w:w="596"/>
      </w:tblGrid>
      <w:tr w:rsidR="007A60EC" w:rsidRPr="00653BF4" w14:paraId="3570F21F" w14:textId="77777777" w:rsidTr="00557FB3">
        <w:trPr>
          <w:trHeight w:val="1050"/>
        </w:trPr>
        <w:tc>
          <w:tcPr>
            <w:tcW w:w="3218" w:type="dxa"/>
            <w:shd w:val="clear" w:color="000000" w:fill="FFFFFF"/>
            <w:vAlign w:val="center"/>
          </w:tcPr>
          <w:p w14:paraId="517B405D"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3885" w:type="dxa"/>
            <w:gridSpan w:val="2"/>
            <w:vAlign w:val="center"/>
          </w:tcPr>
          <w:p w14:paraId="00611F22"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Utilisation de l’indicateur</w:t>
            </w:r>
          </w:p>
        </w:tc>
        <w:tc>
          <w:tcPr>
            <w:tcW w:w="3197" w:type="dxa"/>
            <w:gridSpan w:val="2"/>
            <w:vAlign w:val="center"/>
          </w:tcPr>
          <w:p w14:paraId="28F40BAF"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Résultats de l’indicateur</w:t>
            </w:r>
          </w:p>
        </w:tc>
      </w:tr>
      <w:tr w:rsidR="007A60EC" w:rsidRPr="00543148" w14:paraId="4EEF09F5" w14:textId="77777777" w:rsidTr="00557FB3">
        <w:trPr>
          <w:trHeight w:val="1050"/>
        </w:trPr>
        <w:tc>
          <w:tcPr>
            <w:tcW w:w="3218" w:type="dxa"/>
            <w:shd w:val="clear" w:color="000000" w:fill="FFFFFF"/>
            <w:vAlign w:val="center"/>
            <w:hideMark/>
          </w:tcPr>
          <w:p w14:paraId="4905644E" w14:textId="23658865"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Indicateur binaire 23.b</w:t>
            </w:r>
            <w:r w:rsidR="00E34DC9">
              <w:rPr>
                <w:rFonts w:ascii="Aptos" w:eastAsia="Times New Roman" w:hAnsi="Aptos" w:cs="Times New Roman"/>
                <w:color w:val="000000"/>
                <w:kern w:val="0"/>
                <w:sz w:val="20"/>
                <w:szCs w:val="20"/>
                <w:lang w:val="fr-FR" w:eastAsia="en-CA"/>
                <w14:ligatures w14:val="none"/>
              </w:rPr>
              <w:t> :</w:t>
            </w:r>
            <w:r w:rsidRPr="00653BF4">
              <w:rPr>
                <w:rFonts w:ascii="Aptos" w:eastAsia="Times New Roman" w:hAnsi="Aptos" w:cs="Times New Roman"/>
                <w:color w:val="000000"/>
                <w:kern w:val="0"/>
                <w:sz w:val="20"/>
                <w:szCs w:val="20"/>
                <w:lang w:val="fr-FR" w:eastAsia="en-CA"/>
                <w14:ligatures w14:val="none"/>
              </w:rPr>
              <w:t xml:space="preserve"> nombre de pays disposant de cadres juridiques, administratifs ou politiques, entre autres, pour mettre en œuvre le Plan d’action pour l’égalité des sexes (2023-2030), visant à garantir que toutes les femmes et toutes les filles </w:t>
            </w:r>
            <w:r w:rsidRPr="00653BF4">
              <w:rPr>
                <w:rFonts w:ascii="Aptos" w:eastAsia="Times New Roman" w:hAnsi="Aptos" w:cs="Times New Roman"/>
                <w:color w:val="000000"/>
                <w:kern w:val="0"/>
                <w:sz w:val="20"/>
                <w:szCs w:val="20"/>
                <w:lang w:val="fr-FR" w:eastAsia="en-CA"/>
                <w14:ligatures w14:val="none"/>
              </w:rPr>
              <w:lastRenderedPageBreak/>
              <w:t>bénéficient des mêmes possibilités et capacités de contribuer à la réalisation des trois objectifs de la Convention, notamment en reconnaissant l’égalité de leurs droits et de leur accès aux terres et aux ressources naturelles</w:t>
            </w:r>
          </w:p>
        </w:tc>
        <w:tc>
          <w:tcPr>
            <w:tcW w:w="3213" w:type="dxa"/>
            <w:vAlign w:val="center"/>
            <w:hideMark/>
          </w:tcPr>
          <w:p w14:paraId="6EE5E464"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lastRenderedPageBreak/>
              <w:t>127 Parties</w:t>
            </w:r>
          </w:p>
        </w:tc>
        <w:tc>
          <w:tcPr>
            <w:tcW w:w="672" w:type="dxa"/>
            <w:vAlign w:val="center"/>
            <w:hideMark/>
          </w:tcPr>
          <w:p w14:paraId="0477CB4A"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sz w:val="20"/>
                <w:szCs w:val="20"/>
                <w:lang w:val="fr-FR"/>
              </w:rPr>
              <w:t>s.o.</w:t>
            </w:r>
            <w:r w:rsidRPr="00653BF4">
              <w:rPr>
                <w:sz w:val="20"/>
                <w:szCs w:val="20"/>
                <w:vertAlign w:val="superscript"/>
                <w:lang w:val="fr-FR"/>
              </w:rPr>
              <w:t>a</w:t>
            </w:r>
          </w:p>
        </w:tc>
        <w:tc>
          <w:tcPr>
            <w:tcW w:w="2601" w:type="dxa"/>
            <w:vAlign w:val="center"/>
            <w:hideMark/>
          </w:tcPr>
          <w:p w14:paraId="02BE8C36" w14:textId="70978739"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sz w:val="20"/>
                <w:szCs w:val="20"/>
                <w:lang w:val="fr-FR"/>
              </w:rPr>
              <w:t>49</w:t>
            </w:r>
            <w:r w:rsidR="002878D7">
              <w:rPr>
                <w:sz w:val="20"/>
                <w:szCs w:val="20"/>
                <w:lang w:val="fr-FR"/>
              </w:rPr>
              <w:t> %</w:t>
            </w:r>
            <w:r w:rsidRPr="00653BF4">
              <w:rPr>
                <w:sz w:val="20"/>
                <w:szCs w:val="20"/>
                <w:lang w:val="fr-FR"/>
              </w:rPr>
              <w:t xml:space="preserve"> des Parties ont obtenu une note élevée (note de 4 ou 5)</w:t>
            </w:r>
          </w:p>
        </w:tc>
        <w:tc>
          <w:tcPr>
            <w:tcW w:w="596" w:type="dxa"/>
            <w:shd w:val="clear" w:color="000000" w:fill="FFC000"/>
            <w:vAlign w:val="center"/>
            <w:hideMark/>
          </w:tcPr>
          <w:p w14:paraId="63159B2D"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r>
      <w:tr w:rsidR="007A60EC" w:rsidRPr="00543148" w14:paraId="7E792048" w14:textId="77777777" w:rsidTr="00557FB3">
        <w:trPr>
          <w:trHeight w:val="1050"/>
        </w:trPr>
        <w:tc>
          <w:tcPr>
            <w:tcW w:w="3218" w:type="dxa"/>
            <w:shd w:val="clear" w:color="000000" w:fill="FFFFFF"/>
            <w:vAlign w:val="center"/>
            <w:hideMark/>
          </w:tcPr>
          <w:p w14:paraId="435DC91B"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Indicateurs quantitatifs combinés</w:t>
            </w:r>
          </w:p>
        </w:tc>
        <w:tc>
          <w:tcPr>
            <w:tcW w:w="3213" w:type="dxa"/>
            <w:vAlign w:val="center"/>
            <w:hideMark/>
          </w:tcPr>
          <w:p w14:paraId="7FF8E71F" w14:textId="20E6D70E"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17 Parties, soit 13</w:t>
            </w:r>
            <w:r w:rsidR="002878D7">
              <w:rPr>
                <w:rFonts w:ascii="Aptos" w:eastAsia="Times New Roman" w:hAnsi="Aptos" w:cs="Calibri"/>
                <w:color w:val="000000"/>
                <w:kern w:val="0"/>
                <w:sz w:val="20"/>
                <w:szCs w:val="20"/>
                <w:lang w:val="fr-FR" w:eastAsia="en-CA"/>
                <w14:ligatures w14:val="none"/>
              </w:rPr>
              <w:t> %</w:t>
            </w:r>
          </w:p>
        </w:tc>
        <w:tc>
          <w:tcPr>
            <w:tcW w:w="672" w:type="dxa"/>
            <w:shd w:val="clear" w:color="000000" w:fill="C00000"/>
            <w:vAlign w:val="center"/>
            <w:hideMark/>
          </w:tcPr>
          <w:p w14:paraId="0AC79A0F"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601" w:type="dxa"/>
            <w:vAlign w:val="center"/>
            <w:hideMark/>
          </w:tcPr>
          <w:p w14:paraId="266DE66D" w14:textId="4EDDE730"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12</w:t>
            </w:r>
            <w:r w:rsidR="002878D7">
              <w:rPr>
                <w:rFonts w:ascii="Aptos" w:eastAsia="Times New Roman" w:hAnsi="Aptos" w:cs="Times New Roman"/>
                <w:color w:val="000000"/>
                <w:kern w:val="0"/>
                <w:sz w:val="20"/>
                <w:szCs w:val="20"/>
                <w:lang w:val="fr-FR" w:eastAsia="en-CA"/>
                <w14:ligatures w14:val="none"/>
              </w:rPr>
              <w:t> %</w:t>
            </w:r>
            <w:r w:rsidRPr="00653BF4">
              <w:rPr>
                <w:rFonts w:ascii="Aptos" w:eastAsia="Times New Roman" w:hAnsi="Aptos" w:cs="Times New Roman"/>
                <w:color w:val="000000"/>
                <w:kern w:val="0"/>
                <w:sz w:val="20"/>
                <w:szCs w:val="20"/>
                <w:lang w:val="fr-FR" w:eastAsia="en-CA"/>
                <w14:ligatures w14:val="none"/>
              </w:rPr>
              <w:t xml:space="preserve"> de tendances positives</w:t>
            </w:r>
          </w:p>
          <w:p w14:paraId="612DA72E" w14:textId="027C425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21</w:t>
            </w:r>
            <w:r w:rsidR="002878D7">
              <w:rPr>
                <w:rFonts w:ascii="Aptos" w:eastAsia="Times New Roman" w:hAnsi="Aptos" w:cs="Times New Roman"/>
                <w:color w:val="000000"/>
                <w:kern w:val="0"/>
                <w:sz w:val="20"/>
                <w:szCs w:val="20"/>
                <w:lang w:val="fr-FR" w:eastAsia="en-CA"/>
                <w14:ligatures w14:val="none"/>
              </w:rPr>
              <w:t> %</w:t>
            </w:r>
            <w:r w:rsidRPr="00653BF4">
              <w:rPr>
                <w:rFonts w:ascii="Aptos" w:eastAsia="Times New Roman" w:hAnsi="Aptos" w:cs="Times New Roman"/>
                <w:color w:val="000000"/>
                <w:kern w:val="0"/>
                <w:sz w:val="20"/>
                <w:szCs w:val="20"/>
                <w:lang w:val="fr-FR" w:eastAsia="en-CA"/>
                <w14:ligatures w14:val="none"/>
              </w:rPr>
              <w:t xml:space="preserve"> de tendances négatives</w:t>
            </w:r>
          </w:p>
        </w:tc>
        <w:tc>
          <w:tcPr>
            <w:tcW w:w="596" w:type="dxa"/>
            <w:shd w:val="clear" w:color="000000" w:fill="C00000"/>
            <w:vAlign w:val="center"/>
            <w:hideMark/>
          </w:tcPr>
          <w:p w14:paraId="2F7389C5"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r>
    </w:tbl>
    <w:p w14:paraId="07D86292" w14:textId="77777777" w:rsidR="007A60EC" w:rsidRPr="00653BF4" w:rsidRDefault="007A60EC" w:rsidP="007A60EC">
      <w:pPr>
        <w:rPr>
          <w:lang w:val="fr-FR"/>
        </w:rPr>
      </w:pPr>
    </w:p>
    <w:p w14:paraId="134A2A9F" w14:textId="502D4817" w:rsidR="007A60EC" w:rsidRPr="00653BF4" w:rsidRDefault="007A60EC" w:rsidP="007A60EC">
      <w:pPr>
        <w:rPr>
          <w:rFonts w:ascii="Aptos" w:hAnsi="Aptos"/>
          <w:sz w:val="16"/>
          <w:szCs w:val="16"/>
          <w:lang w:val="fr-FR"/>
        </w:rPr>
      </w:pPr>
      <w:r w:rsidRPr="00653BF4">
        <w:rPr>
          <w:rFonts w:ascii="Aptos" w:hAnsi="Aptos"/>
          <w:i/>
          <w:iCs/>
          <w:sz w:val="16"/>
          <w:szCs w:val="16"/>
          <w:lang w:val="fr-FR"/>
        </w:rPr>
        <w:t>Note</w:t>
      </w:r>
      <w:r w:rsidR="00E34DC9">
        <w:rPr>
          <w:rFonts w:ascii="Aptos" w:hAnsi="Aptos"/>
          <w:i/>
          <w:iCs/>
          <w:sz w:val="16"/>
          <w:szCs w:val="16"/>
          <w:lang w:val="fr-FR"/>
        </w:rPr>
        <w:t> :</w:t>
      </w:r>
      <w:r w:rsidRPr="00653BF4">
        <w:rPr>
          <w:rFonts w:ascii="Aptos" w:hAnsi="Aptos"/>
          <w:sz w:val="16"/>
          <w:szCs w:val="16"/>
          <w:lang w:val="fr-FR"/>
        </w:rPr>
        <w:t xml:space="preserve"> Le code couleur se rapporte à l’évaluation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rFonts w:ascii="Aptos" w:hAnsi="Aptos"/>
          <w:sz w:val="16"/>
          <w:szCs w:val="16"/>
          <w:lang w:val="fr-FR"/>
        </w:rPr>
        <w:t> %</w:t>
      </w:r>
      <w:r w:rsidRPr="00653BF4">
        <w:rPr>
          <w:rFonts w:ascii="Aptos" w:hAnsi="Aptos"/>
          <w:sz w:val="16"/>
          <w:szCs w:val="16"/>
          <w:lang w:val="fr-FR"/>
        </w:rPr>
        <w:t>, le jaune aux valeurs comprises entre 25</w:t>
      </w:r>
      <w:r w:rsidR="002878D7">
        <w:rPr>
          <w:rFonts w:ascii="Aptos" w:hAnsi="Aptos"/>
          <w:sz w:val="16"/>
          <w:szCs w:val="16"/>
          <w:lang w:val="fr-FR"/>
        </w:rPr>
        <w:t> %</w:t>
      </w:r>
      <w:r w:rsidRPr="00653BF4">
        <w:rPr>
          <w:rFonts w:ascii="Aptos" w:hAnsi="Aptos"/>
          <w:sz w:val="16"/>
          <w:szCs w:val="16"/>
          <w:lang w:val="fr-FR"/>
        </w:rPr>
        <w:t xml:space="preserve"> et 50</w:t>
      </w:r>
      <w:r w:rsidR="002878D7">
        <w:rPr>
          <w:rFonts w:ascii="Aptos" w:hAnsi="Aptos"/>
          <w:sz w:val="16"/>
          <w:szCs w:val="16"/>
          <w:lang w:val="fr-FR"/>
        </w:rPr>
        <w:t> %</w:t>
      </w:r>
      <w:r w:rsidRPr="00653BF4">
        <w:rPr>
          <w:rFonts w:ascii="Aptos" w:hAnsi="Aptos"/>
          <w:sz w:val="16"/>
          <w:szCs w:val="16"/>
          <w:lang w:val="fr-FR"/>
        </w:rPr>
        <w:t>, et le rouge aux valeurs inférieures à 25</w:t>
      </w:r>
      <w:r w:rsidR="002878D7">
        <w:rPr>
          <w:rFonts w:ascii="Aptos" w:hAnsi="Aptos"/>
          <w:sz w:val="16"/>
          <w:szCs w:val="16"/>
          <w:lang w:val="fr-FR"/>
        </w:rPr>
        <w:t> %</w:t>
      </w:r>
      <w:r w:rsidRPr="00653BF4">
        <w:rPr>
          <w:rFonts w:ascii="Aptos" w:hAnsi="Aptos"/>
          <w:sz w:val="16"/>
          <w:szCs w:val="16"/>
          <w:lang w:val="fr-FR"/>
        </w:rPr>
        <w:t>).</w:t>
      </w:r>
    </w:p>
    <w:p w14:paraId="1F51D65A" w14:textId="77777777" w:rsidR="007A60EC" w:rsidRPr="00653BF4" w:rsidRDefault="007A60EC" w:rsidP="007A60EC">
      <w:pPr>
        <w:pStyle w:val="FootnoteText"/>
        <w:rPr>
          <w:sz w:val="16"/>
          <w:szCs w:val="16"/>
          <w:lang w:val="fr-FR"/>
        </w:rPr>
      </w:pPr>
      <w:r w:rsidRPr="00653BF4">
        <w:rPr>
          <w:vertAlign w:val="superscript"/>
          <w:lang w:val="fr-FR"/>
        </w:rPr>
        <w:t>a</w:t>
      </w:r>
      <w:r w:rsidRPr="00653BF4">
        <w:rPr>
          <w:lang w:val="fr-FR"/>
        </w:rPr>
        <w:t xml:space="preserve"> </w:t>
      </w:r>
      <w:r w:rsidRPr="00653BF4">
        <w:rPr>
          <w:sz w:val="16"/>
          <w:szCs w:val="16"/>
          <w:lang w:val="fr-FR"/>
        </w:rPr>
        <w:t>La communication de données sur les indicateurs binaires étant obligatoire dans l’outil de présentation des rapports en ligne, le nombre de réponses reçues pour ces indicateurs ne rend pas compte des écarts de capacité de suivi entre les cibles et n’apporte aucune information exploitable pour faire progresser la mise en œuvre, si bien que l’évaluation de l’utilisation de ces indicateurs est sans objet.</w:t>
      </w:r>
    </w:p>
    <w:p w14:paraId="21990434" w14:textId="77777777" w:rsidR="007A60EC" w:rsidRPr="00653BF4" w:rsidRDefault="007A60EC" w:rsidP="007A60EC">
      <w:pPr>
        <w:rPr>
          <w:rFonts w:ascii="Aptos" w:hAnsi="Aptos"/>
          <w:strike/>
          <w:lang w:val="fr-FR"/>
        </w:rPr>
      </w:pPr>
    </w:p>
    <w:p w14:paraId="0642F9A3" w14:textId="77777777" w:rsidR="007A60EC" w:rsidRPr="00653BF4" w:rsidRDefault="007A60EC" w:rsidP="007A60EC">
      <w:pPr>
        <w:rPr>
          <w:lang w:val="fr-FR"/>
        </w:rPr>
      </w:pPr>
    </w:p>
    <w:p w14:paraId="526FA546" w14:textId="7A36B910" w:rsidR="007A60EC" w:rsidRPr="00653BF4" w:rsidRDefault="007A60EC" w:rsidP="007A60EC">
      <w:pPr>
        <w:rPr>
          <w:lang w:val="fr-FR"/>
        </w:rPr>
      </w:pPr>
      <w:r w:rsidRPr="00653BF4">
        <w:rPr>
          <w:lang w:val="fr-FR"/>
        </w:rPr>
        <w:t xml:space="preserve">Le cadre de suivi ne comprend pas d’indicateur phare propre à la </w:t>
      </w:r>
      <w:r w:rsidR="00E34DC9">
        <w:rPr>
          <w:lang w:val="fr-FR"/>
        </w:rPr>
        <w:t>cible 2</w:t>
      </w:r>
      <w:r w:rsidRPr="00653BF4">
        <w:rPr>
          <w:lang w:val="fr-FR"/>
        </w:rPr>
        <w:t>3.</w:t>
      </w:r>
    </w:p>
    <w:p w14:paraId="20245E13" w14:textId="180E5FF7" w:rsidR="007A60EC" w:rsidRPr="00653BF4" w:rsidRDefault="007A60EC" w:rsidP="007A60EC">
      <w:pPr>
        <w:rPr>
          <w:lang w:val="fr-FR"/>
        </w:rPr>
      </w:pPr>
      <w:r w:rsidRPr="00653BF4">
        <w:rPr>
          <w:lang w:val="fr-FR"/>
        </w:rPr>
        <w:t xml:space="preserve">Environ la moitié des Parties font état d’une note faible pour l’indicateur binaire relatif à la </w:t>
      </w:r>
      <w:r w:rsidR="00E34DC9">
        <w:rPr>
          <w:lang w:val="fr-FR"/>
        </w:rPr>
        <w:t>cible 2</w:t>
      </w:r>
      <w:r w:rsidRPr="00653BF4">
        <w:rPr>
          <w:lang w:val="fr-FR"/>
        </w:rPr>
        <w:t xml:space="preserve">3, signe qu’elles n’en sont qu’aux premiers stades de l’élaboration et de la mise en œuvre de cadres juridiques, administratifs ou politiques à l’appui de la cible (voir le tableau 50). </w:t>
      </w:r>
    </w:p>
    <w:p w14:paraId="2E39CB1B" w14:textId="40D0515D" w:rsidR="007A60EC" w:rsidRPr="00653BF4" w:rsidRDefault="007A60EC" w:rsidP="007A60EC">
      <w:pPr>
        <w:rPr>
          <w:rFonts w:ascii="Aptos" w:hAnsi="Aptos"/>
          <w:lang w:val="fr-FR"/>
        </w:rPr>
      </w:pPr>
      <w:r w:rsidRPr="00653BF4">
        <w:rPr>
          <w:lang w:val="fr-FR"/>
        </w:rPr>
        <w:t xml:space="preserve">Là où des progrès sont accomplis, les Parties font plus souvent état de mesures visant à reconnaître et à protéger les droits des femmes et des filles, y compris leur accès aux terres et aux ressources naturelles. Les progrès sont toutefois plus limités en ce qui concerne le suivi, les conditions permettant une participation et un leadership éclairés et l’application d’approches tenant compte du genre dans la mise en œuvre. Dans l’ensemble, les résultats de l’indicateur binaire donnent à penser que la réalisation de la </w:t>
      </w:r>
      <w:r w:rsidR="00E34DC9">
        <w:rPr>
          <w:lang w:val="fr-FR"/>
        </w:rPr>
        <w:t>cible 2</w:t>
      </w:r>
      <w:r w:rsidRPr="00653BF4">
        <w:rPr>
          <w:lang w:val="fr-FR"/>
        </w:rPr>
        <w:t>3 en est encore à un stade précoce et qu’il existe d’importantes lacunes tant dans la mise en œuvre des politiques que dans la mesure des progrès (voir la figure 92).</w:t>
      </w:r>
    </w:p>
    <w:p w14:paraId="7A319A3B" w14:textId="76B2602D" w:rsidR="007A60EC" w:rsidRPr="00653BF4" w:rsidRDefault="007A60EC" w:rsidP="007A60EC">
      <w:pPr>
        <w:rPr>
          <w:lang w:val="fr-FR"/>
        </w:rPr>
      </w:pPr>
      <w:r w:rsidRPr="00653BF4">
        <w:rPr>
          <w:lang w:val="fr-FR"/>
        </w:rPr>
        <w:t>Une faible proportion des Parties (13</w:t>
      </w:r>
      <w:r w:rsidR="002878D7">
        <w:rPr>
          <w:lang w:val="fr-FR"/>
        </w:rPr>
        <w:t> %</w:t>
      </w:r>
      <w:r w:rsidRPr="00653BF4">
        <w:rPr>
          <w:lang w:val="fr-FR"/>
        </w:rPr>
        <w:t xml:space="preserve">) a communiqué des données sur des indicateurs nationaux, de composante ou complémentaires pertinents. Ces indicateurs présentent </w:t>
      </w:r>
      <w:r w:rsidRPr="00653BF4">
        <w:rPr>
          <w:lang w:val="fr-FR"/>
        </w:rPr>
        <w:lastRenderedPageBreak/>
        <w:t xml:space="preserve">plus souvent des tendances négatives que positives, mais, compte tenu des lacunes dans les données, ils ne peuvent être considérés comme représentatifs de l’ensemble des Parties (voir la figure 93). </w:t>
      </w:r>
    </w:p>
    <w:p w14:paraId="5BF6B7F4" w14:textId="77777777" w:rsidR="007A60EC" w:rsidRPr="00653BF4" w:rsidRDefault="007A60EC" w:rsidP="007A60EC">
      <w:pPr>
        <w:rPr>
          <w:lang w:val="fr-FR"/>
        </w:rPr>
      </w:pPr>
    </w:p>
    <w:p w14:paraId="22FBE27C" w14:textId="10EC3290" w:rsidR="007A60EC" w:rsidRPr="00653BF4" w:rsidRDefault="007A60EC" w:rsidP="007A60EC">
      <w:pPr>
        <w:rPr>
          <w:sz w:val="20"/>
          <w:szCs w:val="20"/>
          <w:lang w:val="fr-FR"/>
        </w:rPr>
      </w:pPr>
      <w:bookmarkStart w:id="450" w:name="_Ref236040082"/>
      <w:r w:rsidRPr="00653BF4">
        <w:rPr>
          <w:sz w:val="20"/>
          <w:szCs w:val="20"/>
          <w:lang w:val="fr-FR"/>
        </w:rPr>
        <w:t xml:space="preserve">Figure </w:t>
      </w:r>
      <w:r w:rsidRPr="00653BF4">
        <w:rPr>
          <w:noProof/>
          <w:sz w:val="20"/>
          <w:szCs w:val="20"/>
          <w:lang w:val="fr-FR"/>
        </w:rPr>
        <w:t>92</w:t>
      </w:r>
      <w:bookmarkEnd w:id="450"/>
    </w:p>
    <w:p w14:paraId="342C7688" w14:textId="1D5CED51" w:rsidR="007A60EC" w:rsidRDefault="007A60EC" w:rsidP="007A60EC">
      <w:pPr>
        <w:rPr>
          <w:b/>
          <w:bCs/>
          <w:sz w:val="20"/>
          <w:szCs w:val="20"/>
          <w:lang w:val="fr-FR"/>
        </w:rPr>
      </w:pPr>
      <w:r w:rsidRPr="00653BF4">
        <w:rPr>
          <w:b/>
          <w:bCs/>
          <w:sz w:val="20"/>
          <w:szCs w:val="20"/>
          <w:lang w:val="fr-FR"/>
        </w:rPr>
        <w:t>Indicateur binaire 23.b</w:t>
      </w:r>
      <w:r w:rsidR="00E34DC9">
        <w:rPr>
          <w:b/>
          <w:bCs/>
          <w:sz w:val="20"/>
          <w:szCs w:val="20"/>
          <w:lang w:val="fr-FR"/>
        </w:rPr>
        <w:t> :</w:t>
      </w:r>
      <w:r w:rsidRPr="00653BF4">
        <w:rPr>
          <w:b/>
          <w:bCs/>
          <w:sz w:val="20"/>
          <w:szCs w:val="20"/>
          <w:lang w:val="fr-FR"/>
        </w:rPr>
        <w:t xml:space="preserve"> nombre de pays disposant de cadres juridiques, administratifs ou politiques, entre autres, pour mettre en œuvre le Plan d’action pour l’égalité des sexes (2023-2030), visant à garantir que toutes les femmes et toutes les filles bénéficient des mêmes possibilités et capacités de contribuer à la réalisation des trois objectifs de la Convention, notamment en reconnaissant l’égalité de leurs droits et de leur accès aux terres et aux ressources naturelles</w:t>
      </w:r>
    </w:p>
    <w:p w14:paraId="28CBFDD3" w14:textId="77777777" w:rsidR="007A60EC" w:rsidRPr="00653BF4" w:rsidRDefault="007A60EC" w:rsidP="007A60EC">
      <w:pPr>
        <w:rPr>
          <w:lang w:val="fr-FR"/>
        </w:rPr>
      </w:pPr>
      <w:r w:rsidRPr="00653BF4">
        <w:rPr>
          <w:noProof/>
          <w:lang w:val="fr-FR"/>
        </w:rPr>
        <w:drawing>
          <wp:inline distT="0" distB="0" distL="0" distR="0" wp14:anchorId="74115520" wp14:editId="57FBA76E">
            <wp:extent cx="5943600" cy="2264410"/>
            <wp:effectExtent l="0" t="0" r="0" b="0"/>
            <wp:docPr id="9938829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82940" name="Picture 993882940"/>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750D7E5A" w14:textId="79A50B24" w:rsidR="007A60EC" w:rsidRPr="00653BF4" w:rsidRDefault="007A60EC" w:rsidP="007A60EC">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Pr="00653BF4">
        <w:rPr>
          <w:rFonts w:ascii="Aptos" w:hAnsi="Aptos"/>
          <w:lang w:val="fr-FR"/>
        </w:rPr>
        <w:t xml:space="preserve"> </w:t>
      </w:r>
      <w:r w:rsidRPr="00653BF4">
        <w:rPr>
          <w:rFonts w:ascii="Aptos" w:hAnsi="Aptos"/>
          <w:i w:val="0"/>
          <w:iCs w:val="0"/>
          <w:lang w:val="fr-FR"/>
        </w:rPr>
        <w:t>La largeur des barres indique le pourcentage de Parties dans chaque catégorie de note, une note plus élevée correspondant à des progrès plus importants. Les notes sont établies d’après les réponses aux questions de l’indicateur</w:t>
      </w:r>
      <w:r w:rsidRPr="00653BF4">
        <w:rPr>
          <w:rFonts w:ascii="Aptos" w:hAnsi="Aptos"/>
          <w:i w:val="0"/>
          <w:iCs w:val="0"/>
          <w:vertAlign w:val="superscript"/>
          <w:lang w:val="fr-FR"/>
        </w:rPr>
        <w:t>a</w:t>
      </w:r>
      <w:r w:rsidRPr="00653BF4">
        <w:rPr>
          <w:rFonts w:ascii="Aptos" w:hAnsi="Aptos"/>
          <w:i w:val="0"/>
          <w:iCs w:val="0"/>
          <w:lang w:val="fr-FR"/>
        </w:rPr>
        <w:t>. Le diagramme circulaire représente la répartition par région des Parties ayant répondu à toutes les questions. La couleur de chaque région est indiquée dans la légende de la figure</w:t>
      </w:r>
      <w:r w:rsidR="00E34DC9">
        <w:rPr>
          <w:rFonts w:ascii="Aptos" w:hAnsi="Aptos"/>
          <w:i w:val="0"/>
          <w:iCs w:val="0"/>
          <w:lang w:val="fr-FR"/>
        </w:rPr>
        <w:t> :</w:t>
      </w:r>
      <w:r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Pr="00653BF4">
        <w:rPr>
          <w:rFonts w:ascii="Aptos" w:hAnsi="Aptos"/>
          <w:i w:val="0"/>
          <w:iCs w:val="0"/>
          <w:lang w:val="fr-FR"/>
        </w:rPr>
        <w:t xml:space="preserve"> les tons plus clairs, la proportion de Parties de la même région dont les données n’y figurent pas.</w:t>
      </w:r>
    </w:p>
    <w:p w14:paraId="21B5479F" w14:textId="77777777" w:rsidR="007A60EC" w:rsidRPr="00653BF4" w:rsidRDefault="007A60EC" w:rsidP="007A60EC">
      <w:pPr>
        <w:rPr>
          <w:sz w:val="18"/>
          <w:szCs w:val="18"/>
          <w:lang w:val="fr-FR"/>
        </w:rPr>
      </w:pPr>
      <w:r w:rsidRPr="00653BF4">
        <w:rPr>
          <w:sz w:val="18"/>
          <w:szCs w:val="18"/>
          <w:vertAlign w:val="superscript"/>
          <w:lang w:val="fr-FR"/>
        </w:rPr>
        <w:t xml:space="preserve">a </w:t>
      </w:r>
      <w:r w:rsidRPr="00653BF4">
        <w:rPr>
          <w:sz w:val="18"/>
          <w:szCs w:val="18"/>
          <w:lang w:val="fr-FR"/>
        </w:rPr>
        <w:t xml:space="preserve">La méthode de calcul des notes pour chaque indicateur binaire, ainsi que les questions associées à chaque indicateur, figurent dans le document </w:t>
      </w:r>
      <w:hyperlink r:id="rId223" w:history="1">
        <w:r w:rsidRPr="00653BF4">
          <w:rPr>
            <w:rStyle w:val="Hyperlink"/>
            <w:sz w:val="18"/>
            <w:szCs w:val="18"/>
            <w:lang w:val="fr-FR"/>
          </w:rPr>
          <w:t>CBD/COP/16/INF/3/Rev.1</w:t>
        </w:r>
      </w:hyperlink>
      <w:r w:rsidRPr="00653BF4">
        <w:rPr>
          <w:sz w:val="18"/>
          <w:szCs w:val="18"/>
          <w:lang w:val="fr-FR"/>
        </w:rPr>
        <w:t>.</w:t>
      </w:r>
    </w:p>
    <w:tbl>
      <w:tblPr>
        <w:tblStyle w:val="TableGrid"/>
        <w:tblW w:w="8861" w:type="dxa"/>
        <w:tblLook w:val="04A0" w:firstRow="1" w:lastRow="0" w:firstColumn="1" w:lastColumn="0" w:noHBand="0" w:noVBand="1"/>
      </w:tblPr>
      <w:tblGrid>
        <w:gridCol w:w="4188"/>
        <w:gridCol w:w="4673"/>
      </w:tblGrid>
      <w:tr w:rsidR="001279A8" w:rsidRPr="00956A9D" w14:paraId="37F1BB8E" w14:textId="77777777" w:rsidTr="009B4355">
        <w:tc>
          <w:tcPr>
            <w:tcW w:w="8861" w:type="dxa"/>
            <w:gridSpan w:val="2"/>
          </w:tcPr>
          <w:p w14:paraId="17B939F9" w14:textId="77777777" w:rsidR="001279A8" w:rsidRPr="00956A9D" w:rsidRDefault="001279A8" w:rsidP="009B4355">
            <w:pPr>
              <w:rPr>
                <w:rFonts w:ascii="Aptos" w:hAnsi="Aptos"/>
              </w:rPr>
            </w:pPr>
            <w:r>
              <w:rPr>
                <w:rFonts w:ascii="Aptos" w:hAnsi="Aptos"/>
              </w:rPr>
              <w:t>Figure 92</w:t>
            </w:r>
          </w:p>
        </w:tc>
      </w:tr>
      <w:tr w:rsidR="001279A8" w:rsidRPr="00956A9D" w14:paraId="5ACC875D" w14:textId="77777777" w:rsidTr="009B4355">
        <w:tc>
          <w:tcPr>
            <w:tcW w:w="4188" w:type="dxa"/>
          </w:tcPr>
          <w:p w14:paraId="4FB515F8" w14:textId="77777777" w:rsidR="001279A8" w:rsidRPr="00956A9D" w:rsidRDefault="001279A8" w:rsidP="009B4355">
            <w:pPr>
              <w:rPr>
                <w:rFonts w:ascii="Aptos" w:hAnsi="Aptos"/>
              </w:rPr>
            </w:pPr>
            <w:r w:rsidRPr="00956A9D">
              <w:rPr>
                <w:rFonts w:ascii="Aptos" w:hAnsi="Aptos"/>
              </w:rPr>
              <w:t xml:space="preserve">English </w:t>
            </w:r>
          </w:p>
        </w:tc>
        <w:tc>
          <w:tcPr>
            <w:tcW w:w="4673" w:type="dxa"/>
          </w:tcPr>
          <w:p w14:paraId="7118ADB2" w14:textId="77777777" w:rsidR="001279A8" w:rsidRPr="00956A9D" w:rsidRDefault="001279A8" w:rsidP="009B4355">
            <w:pPr>
              <w:rPr>
                <w:rFonts w:ascii="Aptos" w:hAnsi="Aptos"/>
              </w:rPr>
            </w:pPr>
            <w:r>
              <w:rPr>
                <w:rFonts w:ascii="Aptos" w:hAnsi="Aptos"/>
              </w:rPr>
              <w:t>Français</w:t>
            </w:r>
          </w:p>
        </w:tc>
      </w:tr>
      <w:tr w:rsidR="001279A8" w:rsidRPr="003A6336" w14:paraId="52F7F708" w14:textId="77777777" w:rsidTr="009B4355">
        <w:tc>
          <w:tcPr>
            <w:tcW w:w="4188" w:type="dxa"/>
          </w:tcPr>
          <w:p w14:paraId="7371E4CE" w14:textId="77777777" w:rsidR="001279A8" w:rsidRPr="003A6336" w:rsidRDefault="001279A8" w:rsidP="009B4355">
            <w:pPr>
              <w:rPr>
                <w:rFonts w:ascii="Aptos" w:hAnsi="Aptos"/>
              </w:rPr>
            </w:pPr>
            <w:r>
              <w:rPr>
                <w:rFonts w:ascii="Aptos" w:hAnsi="Aptos"/>
              </w:rPr>
              <w:t>Answers (percentage)</w:t>
            </w:r>
          </w:p>
        </w:tc>
        <w:tc>
          <w:tcPr>
            <w:tcW w:w="4673" w:type="dxa"/>
          </w:tcPr>
          <w:p w14:paraId="7363B3DC" w14:textId="77777777" w:rsidR="001279A8" w:rsidRPr="003A6336" w:rsidRDefault="001279A8" w:rsidP="009B4355">
            <w:pPr>
              <w:tabs>
                <w:tab w:val="left" w:pos="518"/>
              </w:tabs>
              <w:rPr>
                <w:rFonts w:ascii="Aptos" w:hAnsi="Aptos"/>
              </w:rPr>
            </w:pPr>
            <w:r>
              <w:t>Réponses (pourcentage)</w:t>
            </w:r>
          </w:p>
        </w:tc>
      </w:tr>
      <w:tr w:rsidR="001279A8" w:rsidRPr="003A6336" w14:paraId="05CACB39" w14:textId="77777777" w:rsidTr="009B4355">
        <w:tc>
          <w:tcPr>
            <w:tcW w:w="4188" w:type="dxa"/>
          </w:tcPr>
          <w:p w14:paraId="0DCCCE58" w14:textId="77777777" w:rsidR="001279A8" w:rsidRPr="003A6336" w:rsidRDefault="001279A8" w:rsidP="009B4355">
            <w:pPr>
              <w:rPr>
                <w:rFonts w:ascii="Aptos" w:hAnsi="Aptos"/>
              </w:rPr>
            </w:pPr>
            <w:r>
              <w:rPr>
                <w:rFonts w:ascii="Aptos" w:hAnsi="Aptos"/>
              </w:rPr>
              <w:t>Score Level</w:t>
            </w:r>
          </w:p>
        </w:tc>
        <w:tc>
          <w:tcPr>
            <w:tcW w:w="4673" w:type="dxa"/>
          </w:tcPr>
          <w:p w14:paraId="0514B0AF" w14:textId="77777777" w:rsidR="001279A8" w:rsidRPr="003A6336" w:rsidRDefault="001279A8" w:rsidP="009B4355">
            <w:pPr>
              <w:rPr>
                <w:rFonts w:ascii="Aptos" w:hAnsi="Aptos"/>
              </w:rPr>
            </w:pPr>
            <w:r>
              <w:t>Note</w:t>
            </w:r>
          </w:p>
        </w:tc>
      </w:tr>
      <w:tr w:rsidR="001279A8" w:rsidRPr="003A6336" w14:paraId="2C9A2499" w14:textId="77777777" w:rsidTr="009B4355">
        <w:tc>
          <w:tcPr>
            <w:tcW w:w="4188" w:type="dxa"/>
          </w:tcPr>
          <w:p w14:paraId="4FE2EC2C" w14:textId="77777777" w:rsidR="001279A8" w:rsidRPr="003A6336" w:rsidRDefault="001279A8" w:rsidP="009B4355">
            <w:pPr>
              <w:rPr>
                <w:rFonts w:ascii="Aptos" w:hAnsi="Aptos"/>
              </w:rPr>
            </w:pPr>
            <w:r>
              <w:rPr>
                <w:rFonts w:ascii="Aptos" w:hAnsi="Aptos"/>
              </w:rPr>
              <w:t>Party count: 127</w:t>
            </w:r>
          </w:p>
        </w:tc>
        <w:tc>
          <w:tcPr>
            <w:tcW w:w="4673" w:type="dxa"/>
          </w:tcPr>
          <w:p w14:paraId="4F8B431A" w14:textId="77777777" w:rsidR="001279A8" w:rsidRPr="003A6336" w:rsidRDefault="001279A8" w:rsidP="009B4355">
            <w:pPr>
              <w:rPr>
                <w:rFonts w:ascii="Aptos" w:hAnsi="Aptos"/>
              </w:rPr>
            </w:pPr>
            <w:r>
              <w:t>Nombre de Parties : 127</w:t>
            </w:r>
          </w:p>
        </w:tc>
      </w:tr>
      <w:tr w:rsidR="001279A8" w:rsidRPr="003A6336" w14:paraId="56B389C1" w14:textId="77777777" w:rsidTr="009B4355">
        <w:tc>
          <w:tcPr>
            <w:tcW w:w="4188" w:type="dxa"/>
          </w:tcPr>
          <w:p w14:paraId="307AC77E" w14:textId="77777777" w:rsidR="001279A8" w:rsidRPr="003A6336" w:rsidRDefault="001279A8" w:rsidP="009B4355">
            <w:pPr>
              <w:rPr>
                <w:rFonts w:ascii="Aptos" w:hAnsi="Aptos"/>
              </w:rPr>
            </w:pPr>
            <w:r>
              <w:rPr>
                <w:rFonts w:ascii="Aptos" w:hAnsi="Aptos"/>
              </w:rPr>
              <w:t>Region</w:t>
            </w:r>
          </w:p>
        </w:tc>
        <w:tc>
          <w:tcPr>
            <w:tcW w:w="4673" w:type="dxa"/>
          </w:tcPr>
          <w:p w14:paraId="7143F24E" w14:textId="77777777" w:rsidR="001279A8" w:rsidRPr="003A6336" w:rsidRDefault="001279A8" w:rsidP="009B4355">
            <w:pPr>
              <w:rPr>
                <w:rFonts w:ascii="Aptos" w:hAnsi="Aptos"/>
              </w:rPr>
            </w:pPr>
            <w:r>
              <w:t>Région</w:t>
            </w:r>
          </w:p>
        </w:tc>
      </w:tr>
      <w:tr w:rsidR="001279A8" w:rsidRPr="003A6336" w14:paraId="3BA94CC4" w14:textId="77777777" w:rsidTr="009B4355">
        <w:tc>
          <w:tcPr>
            <w:tcW w:w="4188" w:type="dxa"/>
          </w:tcPr>
          <w:p w14:paraId="40B88ED9" w14:textId="77777777" w:rsidR="001279A8" w:rsidRPr="003A6336" w:rsidRDefault="001279A8" w:rsidP="009B4355">
            <w:pPr>
              <w:rPr>
                <w:rFonts w:ascii="Aptos" w:hAnsi="Aptos"/>
              </w:rPr>
            </w:pPr>
            <w:r>
              <w:rPr>
                <w:rFonts w:ascii="Aptos" w:hAnsi="Aptos"/>
              </w:rPr>
              <w:t>African States</w:t>
            </w:r>
          </w:p>
        </w:tc>
        <w:tc>
          <w:tcPr>
            <w:tcW w:w="4673" w:type="dxa"/>
          </w:tcPr>
          <w:p w14:paraId="034CFD97" w14:textId="77777777" w:rsidR="001279A8" w:rsidRPr="003A6336" w:rsidRDefault="001279A8" w:rsidP="009B4355">
            <w:pPr>
              <w:rPr>
                <w:rFonts w:ascii="Aptos" w:hAnsi="Aptos"/>
              </w:rPr>
            </w:pPr>
            <w:r>
              <w:t>États d’Afrique</w:t>
            </w:r>
          </w:p>
        </w:tc>
      </w:tr>
      <w:tr w:rsidR="001279A8" w:rsidRPr="003A6336" w14:paraId="6C4FD853" w14:textId="77777777" w:rsidTr="009B4355">
        <w:tc>
          <w:tcPr>
            <w:tcW w:w="4188" w:type="dxa"/>
          </w:tcPr>
          <w:p w14:paraId="68F2DCE9" w14:textId="77777777" w:rsidR="001279A8" w:rsidRPr="003A6336" w:rsidRDefault="001279A8" w:rsidP="009B4355">
            <w:pPr>
              <w:rPr>
                <w:rFonts w:ascii="Aptos" w:hAnsi="Aptos"/>
              </w:rPr>
            </w:pPr>
            <w:r>
              <w:rPr>
                <w:rFonts w:ascii="Aptos" w:hAnsi="Aptos"/>
              </w:rPr>
              <w:t>Asia-Pacific States</w:t>
            </w:r>
          </w:p>
        </w:tc>
        <w:tc>
          <w:tcPr>
            <w:tcW w:w="4673" w:type="dxa"/>
          </w:tcPr>
          <w:p w14:paraId="4811C217" w14:textId="77777777" w:rsidR="001279A8" w:rsidRPr="003A6336" w:rsidRDefault="001279A8" w:rsidP="009B4355">
            <w:pPr>
              <w:rPr>
                <w:rFonts w:ascii="Aptos" w:hAnsi="Aptos"/>
              </w:rPr>
            </w:pPr>
            <w:r>
              <w:t>États d’Asie et du Pacifique</w:t>
            </w:r>
          </w:p>
        </w:tc>
      </w:tr>
      <w:tr w:rsidR="001279A8" w:rsidRPr="003A6336" w14:paraId="17ECFBA6" w14:textId="77777777" w:rsidTr="009B4355">
        <w:tc>
          <w:tcPr>
            <w:tcW w:w="4188" w:type="dxa"/>
          </w:tcPr>
          <w:p w14:paraId="4E2ADE8A" w14:textId="77777777" w:rsidR="001279A8" w:rsidRPr="003A6336" w:rsidRDefault="001279A8" w:rsidP="009B4355">
            <w:pPr>
              <w:rPr>
                <w:rFonts w:ascii="Aptos" w:hAnsi="Aptos"/>
              </w:rPr>
            </w:pPr>
            <w:r>
              <w:rPr>
                <w:rFonts w:ascii="Aptos" w:hAnsi="Aptos"/>
              </w:rPr>
              <w:t>Latin American and Caribbean States</w:t>
            </w:r>
          </w:p>
        </w:tc>
        <w:tc>
          <w:tcPr>
            <w:tcW w:w="4673" w:type="dxa"/>
          </w:tcPr>
          <w:p w14:paraId="5DA82DAC" w14:textId="77777777" w:rsidR="001279A8" w:rsidRPr="003A6336" w:rsidRDefault="001279A8" w:rsidP="009B4355">
            <w:pPr>
              <w:rPr>
                <w:rFonts w:ascii="Aptos" w:hAnsi="Aptos"/>
              </w:rPr>
            </w:pPr>
            <w:r>
              <w:t>États d’Amérique latine et des Caraïbes</w:t>
            </w:r>
          </w:p>
        </w:tc>
      </w:tr>
      <w:tr w:rsidR="001279A8" w:rsidRPr="003A6336" w14:paraId="3A3DA882" w14:textId="77777777" w:rsidTr="009B4355">
        <w:tc>
          <w:tcPr>
            <w:tcW w:w="4188" w:type="dxa"/>
          </w:tcPr>
          <w:p w14:paraId="797ED2D0" w14:textId="77777777" w:rsidR="001279A8" w:rsidRPr="003A6336" w:rsidRDefault="001279A8" w:rsidP="009B4355">
            <w:pPr>
              <w:rPr>
                <w:rFonts w:ascii="Aptos" w:hAnsi="Aptos"/>
              </w:rPr>
            </w:pPr>
            <w:r>
              <w:rPr>
                <w:rFonts w:ascii="Aptos" w:hAnsi="Aptos"/>
              </w:rPr>
              <w:t>Eastern European States</w:t>
            </w:r>
          </w:p>
        </w:tc>
        <w:tc>
          <w:tcPr>
            <w:tcW w:w="4673" w:type="dxa"/>
          </w:tcPr>
          <w:p w14:paraId="116A68A8" w14:textId="77777777" w:rsidR="001279A8" w:rsidRPr="003A6336" w:rsidRDefault="001279A8" w:rsidP="009B4355">
            <w:pPr>
              <w:rPr>
                <w:rFonts w:ascii="Aptos" w:hAnsi="Aptos"/>
              </w:rPr>
            </w:pPr>
            <w:r>
              <w:t>États d’Europe orientale</w:t>
            </w:r>
          </w:p>
        </w:tc>
      </w:tr>
      <w:tr w:rsidR="001279A8" w:rsidRPr="003A6336" w14:paraId="202D1624" w14:textId="77777777" w:rsidTr="009B4355">
        <w:tc>
          <w:tcPr>
            <w:tcW w:w="4188" w:type="dxa"/>
          </w:tcPr>
          <w:p w14:paraId="6A7654E5" w14:textId="77777777" w:rsidR="001279A8" w:rsidRPr="003A6336" w:rsidRDefault="001279A8" w:rsidP="009B4355">
            <w:pPr>
              <w:rPr>
                <w:rFonts w:ascii="Aptos" w:hAnsi="Aptos"/>
              </w:rPr>
            </w:pPr>
            <w:r>
              <w:rPr>
                <w:rFonts w:ascii="Aptos" w:hAnsi="Aptos"/>
              </w:rPr>
              <w:lastRenderedPageBreak/>
              <w:t>Western European and other States</w:t>
            </w:r>
          </w:p>
        </w:tc>
        <w:tc>
          <w:tcPr>
            <w:tcW w:w="4673" w:type="dxa"/>
          </w:tcPr>
          <w:p w14:paraId="58A3D4F1" w14:textId="77777777" w:rsidR="001279A8" w:rsidRPr="003A6336" w:rsidRDefault="001279A8" w:rsidP="009B4355">
            <w:pPr>
              <w:rPr>
                <w:rFonts w:ascii="Aptos" w:hAnsi="Aptos"/>
              </w:rPr>
            </w:pPr>
            <w:r>
              <w:t>États d’Europe occidentale et autres États</w:t>
            </w:r>
          </w:p>
        </w:tc>
      </w:tr>
    </w:tbl>
    <w:p w14:paraId="42895B3B" w14:textId="77777777" w:rsidR="007A60EC" w:rsidRPr="00653BF4" w:rsidRDefault="007A60EC" w:rsidP="007A60EC">
      <w:pPr>
        <w:rPr>
          <w:lang w:val="fr-FR" w:eastAsia="ja-JP"/>
        </w:rPr>
      </w:pPr>
    </w:p>
    <w:p w14:paraId="2A7DB051" w14:textId="77777777" w:rsidR="007A60EC" w:rsidRPr="00653BF4" w:rsidRDefault="007A60EC" w:rsidP="007A60EC">
      <w:pPr>
        <w:pStyle w:val="Caption"/>
        <w:rPr>
          <w:b/>
          <w:bCs/>
          <w:i w:val="0"/>
          <w:iCs w:val="0"/>
          <w:sz w:val="20"/>
          <w:szCs w:val="20"/>
          <w:lang w:val="fr-FR"/>
        </w:rPr>
      </w:pPr>
      <w:r w:rsidRPr="00653BF4">
        <w:rPr>
          <w:rFonts w:ascii="Aptos" w:hAnsi="Aptos"/>
          <w:i w:val="0"/>
          <w:iCs w:val="0"/>
          <w:sz w:val="20"/>
          <w:szCs w:val="20"/>
          <w:lang w:val="fr-FR"/>
        </w:rPr>
        <w:t xml:space="preserve">Figure </w:t>
      </w:r>
      <w:r w:rsidRPr="00653BF4">
        <w:rPr>
          <w:rFonts w:ascii="Aptos" w:hAnsi="Aptos"/>
          <w:i w:val="0"/>
          <w:iCs w:val="0"/>
          <w:noProof/>
          <w:sz w:val="20"/>
          <w:szCs w:val="20"/>
          <w:lang w:val="fr-FR"/>
        </w:rPr>
        <w:t>93</w:t>
      </w:r>
    </w:p>
    <w:p w14:paraId="32E1CAA6" w14:textId="08E7CE45" w:rsidR="007A60EC" w:rsidRPr="00653BF4" w:rsidRDefault="007A60EC" w:rsidP="007A60EC">
      <w:pPr>
        <w:pStyle w:val="Caption"/>
        <w:rPr>
          <w:b/>
          <w:bCs/>
          <w:i w:val="0"/>
          <w:iCs w:val="0"/>
          <w:sz w:val="20"/>
          <w:szCs w:val="20"/>
          <w:lang w:val="fr-FR"/>
        </w:rPr>
      </w:pPr>
      <w:r w:rsidRPr="00653BF4">
        <w:rPr>
          <w:b/>
          <w:bCs/>
          <w:i w:val="0"/>
          <w:iCs w:val="0"/>
          <w:sz w:val="20"/>
          <w:szCs w:val="20"/>
          <w:lang w:val="fr-FR"/>
        </w:rPr>
        <w:t xml:space="preserve">Pourcentage d’indicateurs alignés sur la </w:t>
      </w:r>
      <w:r w:rsidR="00E34DC9">
        <w:rPr>
          <w:b/>
          <w:bCs/>
          <w:i w:val="0"/>
          <w:iCs w:val="0"/>
          <w:sz w:val="20"/>
          <w:szCs w:val="20"/>
          <w:lang w:val="fr-FR"/>
        </w:rPr>
        <w:t>cible 2</w:t>
      </w:r>
      <w:r w:rsidRPr="00653BF4">
        <w:rPr>
          <w:b/>
          <w:bCs/>
          <w:i w:val="0"/>
          <w:iCs w:val="0"/>
          <w:sz w:val="20"/>
          <w:szCs w:val="20"/>
          <w:lang w:val="fr-FR"/>
        </w:rPr>
        <w:t>3 du Cadre, selon qu’ils indiquent une tendance positive, stable ou négative</w:t>
      </w:r>
    </w:p>
    <w:p w14:paraId="6C0BF1C7" w14:textId="37CB66FF" w:rsidR="007A60EC" w:rsidRPr="00653BF4" w:rsidRDefault="007A60EC" w:rsidP="007A60EC">
      <w:pPr>
        <w:rPr>
          <w:rFonts w:ascii="Aptos" w:hAnsi="Aptos"/>
          <w:i/>
          <w:lang w:val="fr-FR"/>
        </w:rPr>
      </w:pPr>
      <w:r w:rsidRPr="00653BF4">
        <w:rPr>
          <w:rFonts w:ascii="Aptos" w:hAnsi="Aptos"/>
          <w:i/>
          <w:lang w:val="fr-FR"/>
        </w:rPr>
        <w:t xml:space="preserve"> </w:t>
      </w:r>
      <w:r w:rsidRPr="00653BF4">
        <w:rPr>
          <w:noProof/>
          <w:lang w:val="fr-FR"/>
        </w:rPr>
        <w:drawing>
          <wp:inline distT="0" distB="0" distL="0" distR="0" wp14:anchorId="6C531C12" wp14:editId="4B68DB12">
            <wp:extent cx="5731510" cy="2456180"/>
            <wp:effectExtent l="0" t="0" r="0" b="0"/>
            <wp:docPr id="61263649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36496" name="Picture 612636496"/>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21474041" w14:textId="32B0F38C" w:rsidR="007A60EC" w:rsidRPr="00653BF4" w:rsidRDefault="007A60EC" w:rsidP="007A60EC">
      <w:pPr>
        <w:pStyle w:val="Caption"/>
        <w:rPr>
          <w:rFonts w:ascii="Aptos" w:hAnsi="Aptos"/>
          <w:i w:val="0"/>
          <w:iCs w:val="0"/>
          <w:sz w:val="16"/>
          <w:szCs w:val="16"/>
          <w:lang w:val="fr-FR"/>
        </w:rPr>
      </w:pPr>
      <w:r w:rsidRPr="00653BF4">
        <w:rPr>
          <w:sz w:val="16"/>
          <w:szCs w:val="16"/>
          <w:lang w:val="fr-FR"/>
        </w:rPr>
        <w:t>Note</w:t>
      </w:r>
      <w:r w:rsidR="00E34DC9">
        <w:rPr>
          <w:sz w:val="16"/>
          <w:szCs w:val="16"/>
          <w:lang w:val="fr-FR"/>
        </w:rPr>
        <w:t> :</w:t>
      </w:r>
      <w:r w:rsidRPr="00653BF4">
        <w:rPr>
          <w:i w:val="0"/>
          <w:iCs w:val="0"/>
          <w:sz w:val="16"/>
          <w:szCs w:val="16"/>
          <w:lang w:val="fr-FR"/>
        </w:rPr>
        <w:t xml:space="preserve"> Les proportions sont pondérées par Partie. Les tendances incluent des données relatives à 2 indicateurs de composante, 3 indicateurs complémentaires et 29 indicateurs nationaux provenant de 19 Parties. Le diagramme circulaire présente la répartition, par région, des Parties ayant communiqué des indicateurs pour la </w:t>
      </w:r>
      <w:r w:rsidR="00E34DC9">
        <w:rPr>
          <w:i w:val="0"/>
          <w:iCs w:val="0"/>
          <w:sz w:val="16"/>
          <w:szCs w:val="16"/>
          <w:lang w:val="fr-FR"/>
        </w:rPr>
        <w:t>cible 2</w:t>
      </w:r>
      <w:r w:rsidRPr="00653BF4">
        <w:rPr>
          <w:i w:val="0"/>
          <w:iCs w:val="0"/>
          <w:sz w:val="16"/>
          <w:szCs w:val="16"/>
          <w:lang w:val="fr-FR"/>
        </w:rPr>
        <w:t>3. La couleur de chaque région est indiquée dans la légende de la figure</w:t>
      </w:r>
      <w:r w:rsidR="00E34DC9">
        <w:rPr>
          <w:i w:val="0"/>
          <w:iCs w:val="0"/>
          <w:sz w:val="16"/>
          <w:szCs w:val="16"/>
          <w:lang w:val="fr-FR"/>
        </w:rPr>
        <w:t> :</w:t>
      </w:r>
      <w:r w:rsidRPr="00653BF4">
        <w:rPr>
          <w:i w:val="0"/>
          <w:iCs w:val="0"/>
          <w:sz w:val="16"/>
          <w:szCs w:val="16"/>
          <w:lang w:val="fr-FR"/>
        </w:rPr>
        <w:t xml:space="preserve"> les tons plus foncés représentent la proportion de Parties de chaque région dont les données figurent dans le graphique</w:t>
      </w:r>
      <w:r w:rsidR="00E34DC9">
        <w:rPr>
          <w:i w:val="0"/>
          <w:iCs w:val="0"/>
          <w:sz w:val="16"/>
          <w:szCs w:val="16"/>
          <w:lang w:val="fr-FR"/>
        </w:rPr>
        <w:t> ;</w:t>
      </w:r>
      <w:r w:rsidRPr="00653BF4">
        <w:rPr>
          <w:i w:val="0"/>
          <w:iCs w:val="0"/>
          <w:sz w:val="16"/>
          <w:szCs w:val="16"/>
          <w:lang w:val="fr-FR"/>
        </w:rPr>
        <w:t xml:space="preserve"> les tons plus clairs, la proportion de Parties de la même région dont les données n’y figurent pas</w:t>
      </w:r>
      <w:r w:rsidRPr="00653BF4">
        <w:rPr>
          <w:rFonts w:ascii="Aptos" w:hAnsi="Aptos"/>
          <w:i w:val="0"/>
          <w:iCs w:val="0"/>
          <w:sz w:val="16"/>
          <w:szCs w:val="16"/>
          <w:lang w:val="fr-FR"/>
        </w:rPr>
        <w:t>.</w:t>
      </w:r>
    </w:p>
    <w:tbl>
      <w:tblPr>
        <w:tblStyle w:val="TableGrid"/>
        <w:tblW w:w="8861" w:type="dxa"/>
        <w:tblLook w:val="04A0" w:firstRow="1" w:lastRow="0" w:firstColumn="1" w:lastColumn="0" w:noHBand="0" w:noVBand="1"/>
      </w:tblPr>
      <w:tblGrid>
        <w:gridCol w:w="4188"/>
        <w:gridCol w:w="4673"/>
      </w:tblGrid>
      <w:tr w:rsidR="001279A8" w:rsidRPr="005C27C4" w14:paraId="4D45D429" w14:textId="77777777" w:rsidTr="009B4355">
        <w:tc>
          <w:tcPr>
            <w:tcW w:w="8861" w:type="dxa"/>
            <w:gridSpan w:val="2"/>
          </w:tcPr>
          <w:p w14:paraId="40EC88B8" w14:textId="77777777" w:rsidR="001279A8" w:rsidRPr="005C27C4" w:rsidRDefault="001279A8" w:rsidP="009B4355">
            <w:pPr>
              <w:rPr>
                <w:rFonts w:ascii="Aptos" w:hAnsi="Aptos"/>
              </w:rPr>
            </w:pPr>
            <w:r>
              <w:rPr>
                <w:rFonts w:ascii="Aptos" w:hAnsi="Aptos"/>
              </w:rPr>
              <w:t>Figure 93</w:t>
            </w:r>
          </w:p>
        </w:tc>
      </w:tr>
      <w:tr w:rsidR="001279A8" w:rsidRPr="005C27C4" w14:paraId="0E4AE609" w14:textId="77777777" w:rsidTr="009B4355">
        <w:tc>
          <w:tcPr>
            <w:tcW w:w="4188" w:type="dxa"/>
          </w:tcPr>
          <w:p w14:paraId="0AE90728" w14:textId="77777777" w:rsidR="001279A8" w:rsidRPr="005C27C4" w:rsidRDefault="001279A8" w:rsidP="009B4355">
            <w:pPr>
              <w:rPr>
                <w:rFonts w:ascii="Aptos" w:hAnsi="Aptos"/>
              </w:rPr>
            </w:pPr>
            <w:r w:rsidRPr="005C27C4">
              <w:rPr>
                <w:rFonts w:ascii="Aptos" w:hAnsi="Aptos"/>
              </w:rPr>
              <w:t xml:space="preserve">English </w:t>
            </w:r>
          </w:p>
        </w:tc>
        <w:tc>
          <w:tcPr>
            <w:tcW w:w="4673" w:type="dxa"/>
          </w:tcPr>
          <w:p w14:paraId="28C45057" w14:textId="77777777" w:rsidR="001279A8" w:rsidRPr="005C27C4" w:rsidRDefault="001279A8" w:rsidP="009B4355">
            <w:pPr>
              <w:rPr>
                <w:rFonts w:ascii="Aptos" w:hAnsi="Aptos"/>
              </w:rPr>
            </w:pPr>
            <w:r>
              <w:rPr>
                <w:rFonts w:ascii="Aptos" w:hAnsi="Aptos"/>
              </w:rPr>
              <w:t>Français</w:t>
            </w:r>
          </w:p>
        </w:tc>
      </w:tr>
      <w:tr w:rsidR="001279A8" w:rsidRPr="003A6336" w14:paraId="5C6EF888" w14:textId="77777777" w:rsidTr="009B4355">
        <w:tc>
          <w:tcPr>
            <w:tcW w:w="4188" w:type="dxa"/>
          </w:tcPr>
          <w:p w14:paraId="6A67A53C" w14:textId="77777777" w:rsidR="001279A8" w:rsidRPr="003A6336" w:rsidRDefault="001279A8" w:rsidP="009B4355">
            <w:pPr>
              <w:rPr>
                <w:rFonts w:ascii="Aptos" w:hAnsi="Aptos"/>
              </w:rPr>
            </w:pPr>
            <w:r>
              <w:rPr>
                <w:rFonts w:ascii="Aptos" w:hAnsi="Aptos"/>
              </w:rPr>
              <w:t>Proportion</w:t>
            </w:r>
          </w:p>
        </w:tc>
        <w:tc>
          <w:tcPr>
            <w:tcW w:w="4673" w:type="dxa"/>
          </w:tcPr>
          <w:p w14:paraId="253AD0F4" w14:textId="77777777" w:rsidR="001279A8" w:rsidRPr="003A6336" w:rsidRDefault="001279A8" w:rsidP="009B4355">
            <w:pPr>
              <w:rPr>
                <w:rFonts w:ascii="Aptos" w:hAnsi="Aptos"/>
              </w:rPr>
            </w:pPr>
            <w:r>
              <w:t>Proportion</w:t>
            </w:r>
          </w:p>
        </w:tc>
      </w:tr>
      <w:tr w:rsidR="001279A8" w:rsidRPr="003A6336" w14:paraId="39A912BB" w14:textId="77777777" w:rsidTr="009B4355">
        <w:tc>
          <w:tcPr>
            <w:tcW w:w="4188" w:type="dxa"/>
          </w:tcPr>
          <w:p w14:paraId="284155B8" w14:textId="77777777" w:rsidR="001279A8" w:rsidRPr="003A6336" w:rsidRDefault="001279A8" w:rsidP="009B4355">
            <w:pPr>
              <w:rPr>
                <w:rFonts w:ascii="Aptos" w:hAnsi="Aptos"/>
              </w:rPr>
            </w:pPr>
            <w:r>
              <w:rPr>
                <w:rFonts w:ascii="Aptos" w:hAnsi="Aptos"/>
              </w:rPr>
              <w:t>Current Status</w:t>
            </w:r>
          </w:p>
        </w:tc>
        <w:tc>
          <w:tcPr>
            <w:tcW w:w="4673" w:type="dxa"/>
          </w:tcPr>
          <w:p w14:paraId="6D82454A" w14:textId="77777777" w:rsidR="001279A8" w:rsidRPr="003A6336" w:rsidRDefault="001279A8" w:rsidP="009B4355">
            <w:pPr>
              <w:rPr>
                <w:rFonts w:ascii="Aptos" w:hAnsi="Aptos"/>
              </w:rPr>
            </w:pPr>
            <w:r>
              <w:t>État actuel</w:t>
            </w:r>
          </w:p>
        </w:tc>
      </w:tr>
      <w:tr w:rsidR="001279A8" w:rsidRPr="003A6336" w14:paraId="6085BE05" w14:textId="77777777" w:rsidTr="009B4355">
        <w:tc>
          <w:tcPr>
            <w:tcW w:w="4188" w:type="dxa"/>
          </w:tcPr>
          <w:p w14:paraId="26406AAC" w14:textId="77777777" w:rsidR="001279A8" w:rsidRPr="003A6336" w:rsidRDefault="001279A8" w:rsidP="009B4355">
            <w:pPr>
              <w:rPr>
                <w:rFonts w:ascii="Aptos" w:hAnsi="Aptos"/>
              </w:rPr>
            </w:pPr>
            <w:r>
              <w:rPr>
                <w:rFonts w:ascii="Aptos" w:hAnsi="Aptos"/>
              </w:rPr>
              <w:t>improving</w:t>
            </w:r>
          </w:p>
        </w:tc>
        <w:tc>
          <w:tcPr>
            <w:tcW w:w="4673" w:type="dxa"/>
          </w:tcPr>
          <w:p w14:paraId="1049210E" w14:textId="77777777" w:rsidR="001279A8" w:rsidRPr="003A6336" w:rsidRDefault="001279A8" w:rsidP="009B4355">
            <w:pPr>
              <w:rPr>
                <w:rFonts w:ascii="Aptos" w:hAnsi="Aptos"/>
              </w:rPr>
            </w:pPr>
            <w:r>
              <w:t>amélioration</w:t>
            </w:r>
          </w:p>
        </w:tc>
      </w:tr>
      <w:tr w:rsidR="001279A8" w:rsidRPr="003A6336" w14:paraId="240A6C30" w14:textId="77777777" w:rsidTr="009B4355">
        <w:tc>
          <w:tcPr>
            <w:tcW w:w="4188" w:type="dxa"/>
          </w:tcPr>
          <w:p w14:paraId="05D7BEE8" w14:textId="77777777" w:rsidR="001279A8" w:rsidRPr="003A6336" w:rsidRDefault="001279A8" w:rsidP="009B4355">
            <w:pPr>
              <w:rPr>
                <w:rFonts w:ascii="Aptos" w:hAnsi="Aptos"/>
              </w:rPr>
            </w:pPr>
            <w:r>
              <w:rPr>
                <w:rFonts w:ascii="Aptos" w:hAnsi="Aptos"/>
              </w:rPr>
              <w:t>stable</w:t>
            </w:r>
          </w:p>
        </w:tc>
        <w:tc>
          <w:tcPr>
            <w:tcW w:w="4673" w:type="dxa"/>
          </w:tcPr>
          <w:p w14:paraId="40C36BC6" w14:textId="77777777" w:rsidR="001279A8" w:rsidRPr="003A6336" w:rsidRDefault="001279A8" w:rsidP="009B4355">
            <w:pPr>
              <w:rPr>
                <w:rFonts w:ascii="Aptos" w:hAnsi="Aptos"/>
              </w:rPr>
            </w:pPr>
            <w:r>
              <w:t>stabilité</w:t>
            </w:r>
          </w:p>
        </w:tc>
      </w:tr>
      <w:tr w:rsidR="001279A8" w:rsidRPr="003A6336" w14:paraId="39FD1F86" w14:textId="77777777" w:rsidTr="009B4355">
        <w:tc>
          <w:tcPr>
            <w:tcW w:w="4188" w:type="dxa"/>
          </w:tcPr>
          <w:p w14:paraId="3EE53E6F" w14:textId="77777777" w:rsidR="001279A8" w:rsidRPr="003A6336" w:rsidRDefault="001279A8" w:rsidP="009B4355">
            <w:pPr>
              <w:rPr>
                <w:rFonts w:ascii="Aptos" w:hAnsi="Aptos"/>
              </w:rPr>
            </w:pPr>
            <w:r>
              <w:rPr>
                <w:rFonts w:ascii="Aptos" w:hAnsi="Aptos"/>
              </w:rPr>
              <w:t>moving away</w:t>
            </w:r>
          </w:p>
        </w:tc>
        <w:tc>
          <w:tcPr>
            <w:tcW w:w="4673" w:type="dxa"/>
          </w:tcPr>
          <w:p w14:paraId="7B990FB9" w14:textId="77777777" w:rsidR="001279A8" w:rsidRPr="003A6336" w:rsidRDefault="001279A8" w:rsidP="009B4355">
            <w:pPr>
              <w:rPr>
                <w:rFonts w:ascii="Aptos" w:hAnsi="Aptos"/>
              </w:rPr>
            </w:pPr>
            <w:r>
              <w:t>éloignement</w:t>
            </w:r>
          </w:p>
        </w:tc>
      </w:tr>
      <w:tr w:rsidR="001279A8" w:rsidRPr="003A6336" w14:paraId="005CA8AC" w14:textId="77777777" w:rsidTr="009B4355">
        <w:tc>
          <w:tcPr>
            <w:tcW w:w="4188" w:type="dxa"/>
          </w:tcPr>
          <w:p w14:paraId="3EAF2023" w14:textId="77777777" w:rsidR="001279A8" w:rsidRPr="003A6336" w:rsidRDefault="001279A8" w:rsidP="009B4355">
            <w:pPr>
              <w:rPr>
                <w:rFonts w:ascii="Aptos" w:hAnsi="Aptos"/>
              </w:rPr>
            </w:pPr>
            <w:r>
              <w:rPr>
                <w:rFonts w:ascii="Aptos" w:hAnsi="Aptos"/>
              </w:rPr>
              <w:t>Party count: 19</w:t>
            </w:r>
          </w:p>
        </w:tc>
        <w:tc>
          <w:tcPr>
            <w:tcW w:w="4673" w:type="dxa"/>
          </w:tcPr>
          <w:p w14:paraId="5F70AAFE" w14:textId="77777777" w:rsidR="001279A8" w:rsidRPr="003A6336" w:rsidRDefault="001279A8" w:rsidP="009B4355">
            <w:pPr>
              <w:rPr>
                <w:rFonts w:ascii="Aptos" w:hAnsi="Aptos"/>
              </w:rPr>
            </w:pPr>
            <w:r>
              <w:t>Nombre de Parties : 19</w:t>
            </w:r>
          </w:p>
        </w:tc>
      </w:tr>
      <w:tr w:rsidR="001279A8" w:rsidRPr="003A6336" w14:paraId="5EA3E54D" w14:textId="77777777" w:rsidTr="009B4355">
        <w:tc>
          <w:tcPr>
            <w:tcW w:w="4188" w:type="dxa"/>
          </w:tcPr>
          <w:p w14:paraId="7DBF6C27" w14:textId="77777777" w:rsidR="001279A8" w:rsidRPr="003A6336" w:rsidRDefault="001279A8" w:rsidP="009B4355">
            <w:pPr>
              <w:rPr>
                <w:rFonts w:ascii="Aptos" w:hAnsi="Aptos"/>
              </w:rPr>
            </w:pPr>
            <w:r>
              <w:rPr>
                <w:rFonts w:ascii="Aptos" w:hAnsi="Aptos"/>
              </w:rPr>
              <w:t>Region</w:t>
            </w:r>
          </w:p>
        </w:tc>
        <w:tc>
          <w:tcPr>
            <w:tcW w:w="4673" w:type="dxa"/>
          </w:tcPr>
          <w:p w14:paraId="33A511AD" w14:textId="77777777" w:rsidR="001279A8" w:rsidRPr="003A6336" w:rsidRDefault="001279A8" w:rsidP="009B4355">
            <w:pPr>
              <w:rPr>
                <w:rFonts w:ascii="Aptos" w:hAnsi="Aptos"/>
              </w:rPr>
            </w:pPr>
            <w:r>
              <w:t>Région</w:t>
            </w:r>
          </w:p>
        </w:tc>
      </w:tr>
      <w:tr w:rsidR="001279A8" w:rsidRPr="003A6336" w14:paraId="6696571B" w14:textId="77777777" w:rsidTr="009B4355">
        <w:tc>
          <w:tcPr>
            <w:tcW w:w="4188" w:type="dxa"/>
          </w:tcPr>
          <w:p w14:paraId="50A09170" w14:textId="77777777" w:rsidR="001279A8" w:rsidRPr="003A6336" w:rsidRDefault="001279A8" w:rsidP="009B4355">
            <w:pPr>
              <w:rPr>
                <w:rFonts w:ascii="Aptos" w:hAnsi="Aptos"/>
              </w:rPr>
            </w:pPr>
            <w:r>
              <w:rPr>
                <w:rFonts w:ascii="Aptos" w:hAnsi="Aptos"/>
              </w:rPr>
              <w:t>African States</w:t>
            </w:r>
          </w:p>
        </w:tc>
        <w:tc>
          <w:tcPr>
            <w:tcW w:w="4673" w:type="dxa"/>
          </w:tcPr>
          <w:p w14:paraId="3AF8670E" w14:textId="77777777" w:rsidR="001279A8" w:rsidRPr="003A6336" w:rsidRDefault="001279A8" w:rsidP="009B4355">
            <w:pPr>
              <w:rPr>
                <w:rFonts w:ascii="Aptos" w:hAnsi="Aptos"/>
              </w:rPr>
            </w:pPr>
            <w:r>
              <w:t>États d’Afrique</w:t>
            </w:r>
          </w:p>
        </w:tc>
      </w:tr>
      <w:tr w:rsidR="001279A8" w:rsidRPr="003A6336" w14:paraId="2AB4B6C7" w14:textId="77777777" w:rsidTr="009B4355">
        <w:tc>
          <w:tcPr>
            <w:tcW w:w="4188" w:type="dxa"/>
          </w:tcPr>
          <w:p w14:paraId="30988A8A" w14:textId="77777777" w:rsidR="001279A8" w:rsidRPr="003A6336" w:rsidRDefault="001279A8" w:rsidP="009B4355">
            <w:pPr>
              <w:rPr>
                <w:rFonts w:ascii="Aptos" w:hAnsi="Aptos"/>
              </w:rPr>
            </w:pPr>
            <w:r>
              <w:rPr>
                <w:rFonts w:ascii="Aptos" w:hAnsi="Aptos"/>
              </w:rPr>
              <w:t>Asia-Pacific States</w:t>
            </w:r>
          </w:p>
        </w:tc>
        <w:tc>
          <w:tcPr>
            <w:tcW w:w="4673" w:type="dxa"/>
          </w:tcPr>
          <w:p w14:paraId="6707A0E7" w14:textId="77777777" w:rsidR="001279A8" w:rsidRPr="003A6336" w:rsidRDefault="001279A8" w:rsidP="009B4355">
            <w:pPr>
              <w:rPr>
                <w:rFonts w:ascii="Aptos" w:hAnsi="Aptos"/>
              </w:rPr>
            </w:pPr>
            <w:r>
              <w:t>États d’Asie et du Pacifique</w:t>
            </w:r>
          </w:p>
        </w:tc>
      </w:tr>
      <w:tr w:rsidR="001279A8" w:rsidRPr="003A6336" w14:paraId="44937669" w14:textId="77777777" w:rsidTr="009B4355">
        <w:tc>
          <w:tcPr>
            <w:tcW w:w="4188" w:type="dxa"/>
          </w:tcPr>
          <w:p w14:paraId="71D4C99B" w14:textId="77777777" w:rsidR="001279A8" w:rsidRPr="003A6336" w:rsidRDefault="001279A8" w:rsidP="009B4355">
            <w:pPr>
              <w:rPr>
                <w:rFonts w:ascii="Aptos" w:hAnsi="Aptos"/>
              </w:rPr>
            </w:pPr>
            <w:r>
              <w:rPr>
                <w:rFonts w:ascii="Aptos" w:hAnsi="Aptos"/>
              </w:rPr>
              <w:t>Latin American and Caribbean States</w:t>
            </w:r>
          </w:p>
        </w:tc>
        <w:tc>
          <w:tcPr>
            <w:tcW w:w="4673" w:type="dxa"/>
          </w:tcPr>
          <w:p w14:paraId="0B472CEF" w14:textId="77777777" w:rsidR="001279A8" w:rsidRPr="003A6336" w:rsidRDefault="001279A8" w:rsidP="009B4355">
            <w:pPr>
              <w:rPr>
                <w:rFonts w:ascii="Aptos" w:hAnsi="Aptos"/>
              </w:rPr>
            </w:pPr>
            <w:r>
              <w:t>États d’Amérique latine et des Caraïbes</w:t>
            </w:r>
          </w:p>
        </w:tc>
      </w:tr>
      <w:tr w:rsidR="001279A8" w:rsidRPr="003A6336" w14:paraId="11688A58" w14:textId="77777777" w:rsidTr="009B4355">
        <w:tc>
          <w:tcPr>
            <w:tcW w:w="4188" w:type="dxa"/>
          </w:tcPr>
          <w:p w14:paraId="68326CB7" w14:textId="77777777" w:rsidR="001279A8" w:rsidRPr="003A6336" w:rsidRDefault="001279A8" w:rsidP="009B4355">
            <w:pPr>
              <w:rPr>
                <w:rFonts w:ascii="Aptos" w:hAnsi="Aptos"/>
              </w:rPr>
            </w:pPr>
            <w:r>
              <w:rPr>
                <w:rFonts w:ascii="Aptos" w:hAnsi="Aptos"/>
              </w:rPr>
              <w:t>Eastern European States</w:t>
            </w:r>
          </w:p>
        </w:tc>
        <w:tc>
          <w:tcPr>
            <w:tcW w:w="4673" w:type="dxa"/>
          </w:tcPr>
          <w:p w14:paraId="718188C3" w14:textId="77777777" w:rsidR="001279A8" w:rsidRPr="003A6336" w:rsidRDefault="001279A8" w:rsidP="009B4355">
            <w:pPr>
              <w:rPr>
                <w:rFonts w:ascii="Aptos" w:hAnsi="Aptos"/>
              </w:rPr>
            </w:pPr>
            <w:r>
              <w:t>États d’Europe orientale</w:t>
            </w:r>
          </w:p>
        </w:tc>
      </w:tr>
      <w:tr w:rsidR="001279A8" w:rsidRPr="003A6336" w14:paraId="43C70B87" w14:textId="77777777" w:rsidTr="009B4355">
        <w:tc>
          <w:tcPr>
            <w:tcW w:w="4188" w:type="dxa"/>
          </w:tcPr>
          <w:p w14:paraId="728FFBDA" w14:textId="77777777" w:rsidR="001279A8" w:rsidRPr="003A6336" w:rsidRDefault="001279A8" w:rsidP="009B4355">
            <w:pPr>
              <w:rPr>
                <w:rFonts w:ascii="Aptos" w:hAnsi="Aptos"/>
              </w:rPr>
            </w:pPr>
            <w:r>
              <w:rPr>
                <w:rFonts w:ascii="Aptos" w:hAnsi="Aptos"/>
              </w:rPr>
              <w:t>Western European and other States</w:t>
            </w:r>
          </w:p>
        </w:tc>
        <w:tc>
          <w:tcPr>
            <w:tcW w:w="4673" w:type="dxa"/>
          </w:tcPr>
          <w:p w14:paraId="18BDC8A4" w14:textId="77777777" w:rsidR="001279A8" w:rsidRPr="003A6336" w:rsidRDefault="001279A8" w:rsidP="009B4355">
            <w:pPr>
              <w:rPr>
                <w:rFonts w:ascii="Aptos" w:hAnsi="Aptos"/>
              </w:rPr>
            </w:pPr>
            <w:r>
              <w:t>États d’Europe occidentale et autres États</w:t>
            </w:r>
          </w:p>
        </w:tc>
      </w:tr>
    </w:tbl>
    <w:p w14:paraId="4578B2E3" w14:textId="77777777" w:rsidR="007A60EC" w:rsidRPr="00653BF4" w:rsidRDefault="007A60EC" w:rsidP="007A60EC">
      <w:pPr>
        <w:pStyle w:val="Caption"/>
        <w:rPr>
          <w:rFonts w:ascii="Aptos" w:eastAsiaTheme="majorEastAsia" w:hAnsi="Aptos" w:cstheme="majorBidi"/>
          <w:color w:val="0F4761" w:themeColor="accent1" w:themeShade="BF"/>
          <w:sz w:val="32"/>
          <w:szCs w:val="32"/>
          <w:lang w:val="fr-FR"/>
        </w:rPr>
      </w:pPr>
    </w:p>
    <w:p w14:paraId="42738DEC" w14:textId="77777777" w:rsidR="007A60EC" w:rsidRPr="00653BF4" w:rsidRDefault="007A60EC" w:rsidP="007A60EC">
      <w:pPr>
        <w:pStyle w:val="Heading5"/>
        <w:rPr>
          <w:lang w:val="fr-FR"/>
        </w:rPr>
      </w:pPr>
      <w:r w:rsidRPr="00653BF4">
        <w:rPr>
          <w:lang w:val="fr-FR"/>
        </w:rPr>
        <w:lastRenderedPageBreak/>
        <w:t>Auto-évaluation des progrès accomplis</w:t>
      </w:r>
    </w:p>
    <w:p w14:paraId="6618804E" w14:textId="06C02D01" w:rsidR="007A60EC" w:rsidRPr="00653BF4" w:rsidRDefault="007A60EC" w:rsidP="007A60EC">
      <w:pPr>
        <w:keepNext/>
        <w:rPr>
          <w:rStyle w:val="normaltextrun"/>
          <w:rFonts w:ascii="Aptos" w:hAnsi="Aptos"/>
          <w:lang w:val="fr-FR"/>
        </w:rPr>
      </w:pPr>
      <w:r w:rsidRPr="00653BF4">
        <w:rPr>
          <w:lang w:val="fr-FR"/>
        </w:rPr>
        <w:t>D’après les auto-évaluations des Parties figurant dans leurs rapports nationaux, 41</w:t>
      </w:r>
      <w:r w:rsidR="002878D7">
        <w:rPr>
          <w:lang w:val="fr-FR"/>
        </w:rPr>
        <w:t> %</w:t>
      </w:r>
      <w:r w:rsidRPr="00653BF4">
        <w:rPr>
          <w:lang w:val="fr-FR"/>
        </w:rPr>
        <w:t xml:space="preserve"> des cibles nationales qu’elles ont présentées comme étroitement alignées sur la </w:t>
      </w:r>
      <w:r w:rsidR="00E34DC9">
        <w:rPr>
          <w:lang w:val="fr-FR"/>
        </w:rPr>
        <w:t>cible 2</w:t>
      </w:r>
      <w:r w:rsidRPr="00653BF4">
        <w:rPr>
          <w:lang w:val="fr-FR"/>
        </w:rPr>
        <w:t>3 sont en voie d’être atteintes, alors qu’une proportion plus importante (54</w:t>
      </w:r>
      <w:r w:rsidR="002878D7">
        <w:rPr>
          <w:lang w:val="fr-FR"/>
        </w:rPr>
        <w:t> %</w:t>
      </w:r>
      <w:r w:rsidRPr="00653BF4">
        <w:rPr>
          <w:lang w:val="fr-FR"/>
        </w:rPr>
        <w:t>) n’enregistre aucun changement notable ou des progrès insuffisants et que deux cibles nationales seulement (1</w:t>
      </w:r>
      <w:r w:rsidR="002878D7">
        <w:rPr>
          <w:lang w:val="fr-FR"/>
        </w:rPr>
        <w:t> %</w:t>
      </w:r>
      <w:r w:rsidRPr="00653BF4">
        <w:rPr>
          <w:lang w:val="fr-FR"/>
        </w:rPr>
        <w:t>) sont déclarées déjà atteintes (voir la figure 94).</w:t>
      </w:r>
    </w:p>
    <w:p w14:paraId="54FF2DEA" w14:textId="77777777" w:rsidR="007A60EC" w:rsidRPr="00653BF4" w:rsidRDefault="007A60EC" w:rsidP="007A60EC">
      <w:pPr>
        <w:keepNext/>
        <w:rPr>
          <w:sz w:val="20"/>
          <w:szCs w:val="20"/>
          <w:lang w:val="fr-FR"/>
        </w:rPr>
      </w:pPr>
    </w:p>
    <w:p w14:paraId="5C915454" w14:textId="77777777" w:rsidR="007A60EC" w:rsidRPr="00653BF4" w:rsidRDefault="007A60EC" w:rsidP="007A60EC">
      <w:pPr>
        <w:keepNext/>
        <w:rPr>
          <w:sz w:val="20"/>
          <w:szCs w:val="20"/>
          <w:lang w:val="fr-FR"/>
        </w:rPr>
      </w:pPr>
      <w:r w:rsidRPr="00653BF4">
        <w:rPr>
          <w:sz w:val="20"/>
          <w:szCs w:val="20"/>
          <w:lang w:val="fr-FR"/>
        </w:rPr>
        <w:t xml:space="preserve">Figure </w:t>
      </w:r>
      <w:r w:rsidRPr="00653BF4">
        <w:rPr>
          <w:noProof/>
          <w:sz w:val="20"/>
          <w:szCs w:val="20"/>
          <w:lang w:val="fr-FR"/>
        </w:rPr>
        <w:t>94</w:t>
      </w:r>
    </w:p>
    <w:p w14:paraId="4E5D110D" w14:textId="48718C37" w:rsidR="007A60EC" w:rsidRPr="00653BF4" w:rsidRDefault="007A60EC" w:rsidP="007A60EC">
      <w:pPr>
        <w:pStyle w:val="Caption"/>
        <w:rPr>
          <w:b/>
          <w:bCs/>
          <w:i w:val="0"/>
          <w:iCs w:val="0"/>
          <w:sz w:val="20"/>
          <w:szCs w:val="20"/>
          <w:lang w:val="fr-FR"/>
        </w:rPr>
      </w:pPr>
      <w:r w:rsidRPr="00653BF4">
        <w:rPr>
          <w:b/>
          <w:bCs/>
          <w:i w:val="0"/>
          <w:iCs w:val="0"/>
          <w:sz w:val="20"/>
          <w:szCs w:val="20"/>
          <w:lang w:val="fr-FR"/>
        </w:rPr>
        <w:t xml:space="preserve">Progrès auto-évalués pour l’ensemble des cibles nationales présentées comme étroitement alignées sur la </w:t>
      </w:r>
      <w:r w:rsidR="00E34DC9">
        <w:rPr>
          <w:b/>
          <w:bCs/>
          <w:i w:val="0"/>
          <w:iCs w:val="0"/>
          <w:sz w:val="20"/>
          <w:szCs w:val="20"/>
          <w:lang w:val="fr-FR"/>
        </w:rPr>
        <w:t>cible 2</w:t>
      </w:r>
      <w:r w:rsidRPr="00653BF4">
        <w:rPr>
          <w:b/>
          <w:bCs/>
          <w:i w:val="0"/>
          <w:iCs w:val="0"/>
          <w:sz w:val="20"/>
          <w:szCs w:val="20"/>
          <w:lang w:val="fr-FR"/>
        </w:rPr>
        <w:t xml:space="preserve">3 du Cadre </w:t>
      </w:r>
    </w:p>
    <w:p w14:paraId="1712170A" w14:textId="77777777" w:rsidR="007A60EC" w:rsidRPr="00653BF4" w:rsidRDefault="007A60EC" w:rsidP="007A60EC">
      <w:pPr>
        <w:keepNext/>
        <w:rPr>
          <w:rFonts w:ascii="Aptos" w:hAnsi="Aptos"/>
          <w:lang w:val="fr-FR"/>
        </w:rPr>
      </w:pPr>
      <w:r w:rsidRPr="00653BF4">
        <w:rPr>
          <w:rFonts w:ascii="Aptos" w:eastAsia="Aptos" w:hAnsi="Aptos" w:cs="Aptos"/>
          <w:noProof/>
          <w:lang w:val="fr-FR"/>
        </w:rPr>
        <w:drawing>
          <wp:inline distT="0" distB="0" distL="0" distR="0" wp14:anchorId="10A9172F" wp14:editId="41EB3127">
            <wp:extent cx="5731510" cy="2292350"/>
            <wp:effectExtent l="0" t="0" r="0" b="6350"/>
            <wp:docPr id="205494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4720" name="Picture 205494720"/>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5731510" cy="2292350"/>
                    </a:xfrm>
                    <a:prstGeom prst="rect">
                      <a:avLst/>
                    </a:prstGeom>
                  </pic:spPr>
                </pic:pic>
              </a:graphicData>
            </a:graphic>
          </wp:inline>
        </w:drawing>
      </w:r>
    </w:p>
    <w:p w14:paraId="2C0AA051" w14:textId="20BA3F0F" w:rsidR="007A60EC" w:rsidRPr="00653BF4" w:rsidRDefault="007A60EC" w:rsidP="007A60EC">
      <w:pPr>
        <w:pStyle w:val="Caption"/>
        <w:rPr>
          <w:i w:val="0"/>
          <w:iCs w:val="0"/>
          <w:lang w:val="fr-FR"/>
        </w:rPr>
      </w:pPr>
      <w:r w:rsidRPr="00653BF4">
        <w:rPr>
          <w:lang w:val="fr-FR"/>
        </w:rPr>
        <w:t>Note</w:t>
      </w:r>
      <w:r w:rsidR="00E34DC9">
        <w:rPr>
          <w:lang w:val="fr-FR"/>
        </w:rPr>
        <w:t> :</w:t>
      </w:r>
      <w:r w:rsidRPr="00653BF4">
        <w:rPr>
          <w:i w:val="0"/>
          <w:iCs w:val="0"/>
          <w:lang w:val="fr-FR"/>
        </w:rPr>
        <w:t xml:space="preserve"> La largeur des barres reflète la proportion de cibles nationales soumises dans chaque catégorie de progrès. Les proportions sont pondérées par Partie afin que toutes les Parties aient le même poids dans l’évaluation globale des progrès, quel que soit le nombre de cibles nationales qu’elles ont soumises. Le diagramme circulaire représente la proportion de Parties de chaque région ayant présenté leur rapport à temps pour qu’il soit pris en compte dans le rapport mondial. La couleur de chaque région est indiquée dans la légende de la figure</w:t>
      </w:r>
      <w:r w:rsidR="00E34DC9">
        <w:rPr>
          <w:i w:val="0"/>
          <w:iCs w:val="0"/>
          <w:lang w:val="fr-FR"/>
        </w:rPr>
        <w:t> :</w:t>
      </w:r>
      <w:r w:rsidRPr="00653BF4">
        <w:rPr>
          <w:i w:val="0"/>
          <w:iCs w:val="0"/>
          <w:lang w:val="fr-FR"/>
        </w:rPr>
        <w:t xml:space="preserve"> les tons plus foncés représentent la proportion de Parties de chaque région dont les données figurent dans le graphique</w:t>
      </w:r>
      <w:r w:rsidR="00E34DC9">
        <w:rPr>
          <w:i w:val="0"/>
          <w:iCs w:val="0"/>
          <w:lang w:val="fr-FR"/>
        </w:rPr>
        <w:t> ;</w:t>
      </w:r>
      <w:r w:rsidRPr="00653BF4">
        <w:rPr>
          <w:i w:val="0"/>
          <w:iCs w:val="0"/>
          <w:lang w:val="fr-FR"/>
        </w:rPr>
        <w:t xml:space="preserve"> les tons plus clairs, la proportion de Parties de la même région dont les données n’y figurent pas.</w:t>
      </w:r>
    </w:p>
    <w:tbl>
      <w:tblPr>
        <w:tblStyle w:val="TableGrid"/>
        <w:tblW w:w="9463" w:type="dxa"/>
        <w:tblLook w:val="04A0" w:firstRow="1" w:lastRow="0" w:firstColumn="1" w:lastColumn="0" w:noHBand="0" w:noVBand="1"/>
      </w:tblPr>
      <w:tblGrid>
        <w:gridCol w:w="4957"/>
        <w:gridCol w:w="4506"/>
      </w:tblGrid>
      <w:tr w:rsidR="001279A8" w:rsidRPr="0066673C" w14:paraId="52AED7F7" w14:textId="77777777" w:rsidTr="009B4355">
        <w:tc>
          <w:tcPr>
            <w:tcW w:w="9463" w:type="dxa"/>
            <w:gridSpan w:val="2"/>
          </w:tcPr>
          <w:p w14:paraId="18215B0E" w14:textId="77777777" w:rsidR="001279A8" w:rsidRPr="0066673C" w:rsidRDefault="001279A8" w:rsidP="009B4355">
            <w:pPr>
              <w:rPr>
                <w:rFonts w:ascii="Aptos" w:hAnsi="Aptos"/>
              </w:rPr>
            </w:pPr>
            <w:r>
              <w:rPr>
                <w:rFonts w:ascii="Aptos" w:hAnsi="Aptos"/>
              </w:rPr>
              <w:t>Figure 94</w:t>
            </w:r>
          </w:p>
        </w:tc>
      </w:tr>
      <w:tr w:rsidR="001279A8" w:rsidRPr="0066673C" w14:paraId="2880FBAE" w14:textId="77777777" w:rsidTr="009B4355">
        <w:tc>
          <w:tcPr>
            <w:tcW w:w="4957" w:type="dxa"/>
          </w:tcPr>
          <w:p w14:paraId="189FFB32" w14:textId="77777777" w:rsidR="001279A8" w:rsidRPr="0066673C" w:rsidRDefault="001279A8" w:rsidP="009B4355">
            <w:pPr>
              <w:rPr>
                <w:rFonts w:ascii="Aptos" w:hAnsi="Aptos"/>
              </w:rPr>
            </w:pPr>
            <w:r w:rsidRPr="0066673C">
              <w:rPr>
                <w:rFonts w:ascii="Aptos" w:hAnsi="Aptos"/>
              </w:rPr>
              <w:t xml:space="preserve">English </w:t>
            </w:r>
          </w:p>
        </w:tc>
        <w:tc>
          <w:tcPr>
            <w:tcW w:w="4506" w:type="dxa"/>
          </w:tcPr>
          <w:p w14:paraId="4C74662F" w14:textId="77777777" w:rsidR="001279A8" w:rsidRPr="0066673C" w:rsidRDefault="001279A8" w:rsidP="009B4355">
            <w:pPr>
              <w:rPr>
                <w:rFonts w:ascii="Aptos" w:hAnsi="Aptos"/>
              </w:rPr>
            </w:pPr>
            <w:r>
              <w:rPr>
                <w:rFonts w:ascii="Aptos" w:hAnsi="Aptos"/>
              </w:rPr>
              <w:t>Français</w:t>
            </w:r>
          </w:p>
        </w:tc>
      </w:tr>
      <w:tr w:rsidR="001279A8" w:rsidRPr="003A6336" w14:paraId="0F37720C" w14:textId="77777777" w:rsidTr="009B4355">
        <w:tc>
          <w:tcPr>
            <w:tcW w:w="4957" w:type="dxa"/>
          </w:tcPr>
          <w:p w14:paraId="77441D8C" w14:textId="77777777" w:rsidR="001279A8" w:rsidRPr="003A6336" w:rsidRDefault="001279A8" w:rsidP="009B4355">
            <w:pPr>
              <w:rPr>
                <w:rFonts w:ascii="Aptos" w:hAnsi="Aptos"/>
              </w:rPr>
            </w:pPr>
            <w:r>
              <w:rPr>
                <w:rFonts w:ascii="Aptos" w:hAnsi="Aptos"/>
              </w:rPr>
              <w:t>Percentage of national targets</w:t>
            </w:r>
          </w:p>
        </w:tc>
        <w:tc>
          <w:tcPr>
            <w:tcW w:w="4506" w:type="dxa"/>
          </w:tcPr>
          <w:p w14:paraId="0B2E6DD0" w14:textId="77777777" w:rsidR="001279A8" w:rsidRPr="003A6336" w:rsidRDefault="001279A8" w:rsidP="009B4355">
            <w:pPr>
              <w:rPr>
                <w:rFonts w:ascii="Aptos" w:hAnsi="Aptos"/>
              </w:rPr>
            </w:pPr>
            <w:r>
              <w:t>Pourcentage de cibles nationales</w:t>
            </w:r>
          </w:p>
        </w:tc>
      </w:tr>
      <w:tr w:rsidR="001279A8" w:rsidRPr="003A6336" w14:paraId="586F5393" w14:textId="77777777" w:rsidTr="009B4355">
        <w:tc>
          <w:tcPr>
            <w:tcW w:w="4957" w:type="dxa"/>
          </w:tcPr>
          <w:p w14:paraId="5D1EF3A6" w14:textId="77777777" w:rsidR="001279A8" w:rsidRPr="003A6336" w:rsidRDefault="001279A8" w:rsidP="009B4355">
            <w:pPr>
              <w:rPr>
                <w:rFonts w:ascii="Aptos" w:hAnsi="Aptos"/>
              </w:rPr>
            </w:pPr>
            <w:r>
              <w:rPr>
                <w:rFonts w:ascii="Aptos" w:hAnsi="Aptos"/>
              </w:rPr>
              <w:t>Progress level</w:t>
            </w:r>
          </w:p>
        </w:tc>
        <w:tc>
          <w:tcPr>
            <w:tcW w:w="4506" w:type="dxa"/>
          </w:tcPr>
          <w:p w14:paraId="0776177A" w14:textId="77777777" w:rsidR="001279A8" w:rsidRPr="003A6336" w:rsidRDefault="001279A8" w:rsidP="009B4355">
            <w:pPr>
              <w:rPr>
                <w:rFonts w:ascii="Aptos" w:hAnsi="Aptos"/>
              </w:rPr>
            </w:pPr>
            <w:r w:rsidRPr="006F7AF8">
              <w:rPr>
                <w:rFonts w:ascii="Aptos" w:hAnsi="Aptos"/>
                <w:lang w:val="fr-FR"/>
              </w:rPr>
              <w:t>État d</w:t>
            </w:r>
            <w:r>
              <w:rPr>
                <w:rFonts w:ascii="Aptos" w:hAnsi="Aptos"/>
                <w:lang w:val="fr-FR"/>
              </w:rPr>
              <w:t>’</w:t>
            </w:r>
            <w:r w:rsidRPr="006F7AF8">
              <w:rPr>
                <w:rFonts w:ascii="Aptos" w:hAnsi="Aptos"/>
                <w:lang w:val="fr-FR"/>
              </w:rPr>
              <w:t>avancement</w:t>
            </w:r>
          </w:p>
        </w:tc>
      </w:tr>
      <w:tr w:rsidR="001279A8" w:rsidRPr="003A6336" w14:paraId="187BD4DE" w14:textId="77777777" w:rsidTr="009B4355">
        <w:tc>
          <w:tcPr>
            <w:tcW w:w="4957" w:type="dxa"/>
          </w:tcPr>
          <w:p w14:paraId="41E60758" w14:textId="77777777" w:rsidR="001279A8" w:rsidRPr="003A6336" w:rsidRDefault="001279A8" w:rsidP="009B4355">
            <w:pPr>
              <w:rPr>
                <w:rFonts w:ascii="Aptos" w:hAnsi="Aptos"/>
              </w:rPr>
            </w:pPr>
            <w:r>
              <w:rPr>
                <w:rFonts w:ascii="Aptos" w:hAnsi="Aptos"/>
              </w:rPr>
              <w:t>Achieved</w:t>
            </w:r>
          </w:p>
        </w:tc>
        <w:tc>
          <w:tcPr>
            <w:tcW w:w="4506" w:type="dxa"/>
          </w:tcPr>
          <w:p w14:paraId="30B485C0" w14:textId="77777777" w:rsidR="001279A8" w:rsidRPr="003A6336" w:rsidRDefault="001279A8" w:rsidP="009B4355">
            <w:pPr>
              <w:rPr>
                <w:rFonts w:ascii="Aptos" w:hAnsi="Aptos"/>
              </w:rPr>
            </w:pPr>
            <w:r>
              <w:t>Cible atteinte</w:t>
            </w:r>
          </w:p>
        </w:tc>
      </w:tr>
      <w:tr w:rsidR="001279A8" w:rsidRPr="003A6336" w14:paraId="40B7FB87" w14:textId="77777777" w:rsidTr="009B4355">
        <w:tc>
          <w:tcPr>
            <w:tcW w:w="4957" w:type="dxa"/>
          </w:tcPr>
          <w:p w14:paraId="61A21260" w14:textId="77777777" w:rsidR="001279A8" w:rsidRPr="003A6336" w:rsidRDefault="001279A8" w:rsidP="009B4355">
            <w:pPr>
              <w:rPr>
                <w:rFonts w:ascii="Aptos" w:hAnsi="Aptos"/>
              </w:rPr>
            </w:pPr>
            <w:r>
              <w:rPr>
                <w:rFonts w:ascii="Aptos" w:hAnsi="Aptos"/>
              </w:rPr>
              <w:t>On track to achieve target</w:t>
            </w:r>
          </w:p>
        </w:tc>
        <w:tc>
          <w:tcPr>
            <w:tcW w:w="4506" w:type="dxa"/>
          </w:tcPr>
          <w:p w14:paraId="21A7E2E4" w14:textId="77777777" w:rsidR="001279A8" w:rsidRPr="003A6336" w:rsidRDefault="001279A8" w:rsidP="009B4355">
            <w:pPr>
              <w:rPr>
                <w:rFonts w:ascii="Aptos" w:hAnsi="Aptos"/>
              </w:rPr>
            </w:pPr>
            <w:r>
              <w:t>En voie d’atteindre la cible</w:t>
            </w:r>
          </w:p>
        </w:tc>
      </w:tr>
      <w:tr w:rsidR="001279A8" w:rsidRPr="003A6336" w14:paraId="31DD7DD8" w14:textId="77777777" w:rsidTr="009B4355">
        <w:tc>
          <w:tcPr>
            <w:tcW w:w="4957" w:type="dxa"/>
          </w:tcPr>
          <w:p w14:paraId="6D393472" w14:textId="77777777" w:rsidR="001279A8" w:rsidRPr="003A6336" w:rsidRDefault="001279A8" w:rsidP="009B4355">
            <w:pPr>
              <w:rPr>
                <w:rFonts w:ascii="Aptos" w:hAnsi="Aptos"/>
              </w:rPr>
            </w:pPr>
            <w:r>
              <w:rPr>
                <w:rFonts w:ascii="Aptos" w:hAnsi="Aptos"/>
              </w:rPr>
              <w:t>Progress towards target but at an insufficient rate</w:t>
            </w:r>
          </w:p>
        </w:tc>
        <w:tc>
          <w:tcPr>
            <w:tcW w:w="4506" w:type="dxa"/>
          </w:tcPr>
          <w:p w14:paraId="469DE16A" w14:textId="77777777" w:rsidR="001279A8" w:rsidRPr="003A6336" w:rsidRDefault="001279A8" w:rsidP="009B4355">
            <w:pPr>
              <w:rPr>
                <w:rFonts w:ascii="Aptos" w:hAnsi="Aptos"/>
              </w:rPr>
            </w:pPr>
            <w:r>
              <w:t>Progrès accomplis, mais à un rythme insuffisant</w:t>
            </w:r>
          </w:p>
        </w:tc>
      </w:tr>
      <w:tr w:rsidR="001279A8" w:rsidRPr="003A6336" w14:paraId="4C8BEE81" w14:textId="77777777" w:rsidTr="009B4355">
        <w:tc>
          <w:tcPr>
            <w:tcW w:w="4957" w:type="dxa"/>
          </w:tcPr>
          <w:p w14:paraId="1931953F" w14:textId="77777777" w:rsidR="001279A8" w:rsidRPr="003A6336" w:rsidRDefault="001279A8" w:rsidP="009B4355">
            <w:pPr>
              <w:rPr>
                <w:rFonts w:ascii="Aptos" w:hAnsi="Aptos"/>
              </w:rPr>
            </w:pPr>
            <w:r>
              <w:rPr>
                <w:rFonts w:ascii="Aptos" w:hAnsi="Aptos"/>
              </w:rPr>
              <w:t>No significant change</w:t>
            </w:r>
          </w:p>
        </w:tc>
        <w:tc>
          <w:tcPr>
            <w:tcW w:w="4506" w:type="dxa"/>
          </w:tcPr>
          <w:p w14:paraId="1E375A32" w14:textId="77777777" w:rsidR="001279A8" w:rsidRPr="003A6336" w:rsidRDefault="001279A8" w:rsidP="009B4355">
            <w:pPr>
              <w:rPr>
                <w:rFonts w:ascii="Aptos" w:hAnsi="Aptos"/>
              </w:rPr>
            </w:pPr>
            <w:r>
              <w:t>Pas de changement notable</w:t>
            </w:r>
          </w:p>
        </w:tc>
      </w:tr>
      <w:tr w:rsidR="001279A8" w:rsidRPr="003A6336" w14:paraId="4D263B34" w14:textId="77777777" w:rsidTr="009B4355">
        <w:tc>
          <w:tcPr>
            <w:tcW w:w="4957" w:type="dxa"/>
          </w:tcPr>
          <w:p w14:paraId="2F49A980" w14:textId="77777777" w:rsidR="001279A8" w:rsidRPr="003A6336" w:rsidRDefault="001279A8" w:rsidP="009B4355">
            <w:pPr>
              <w:rPr>
                <w:rFonts w:ascii="Aptos" w:hAnsi="Aptos"/>
              </w:rPr>
            </w:pPr>
            <w:r>
              <w:rPr>
                <w:rFonts w:ascii="Aptos" w:hAnsi="Aptos"/>
              </w:rPr>
              <w:t>Unknown</w:t>
            </w:r>
          </w:p>
        </w:tc>
        <w:tc>
          <w:tcPr>
            <w:tcW w:w="4506" w:type="dxa"/>
          </w:tcPr>
          <w:p w14:paraId="37F856C9" w14:textId="77777777" w:rsidR="001279A8" w:rsidRPr="003A6336" w:rsidRDefault="001279A8" w:rsidP="009B4355">
            <w:pPr>
              <w:rPr>
                <w:rFonts w:ascii="Aptos" w:hAnsi="Aptos"/>
              </w:rPr>
            </w:pPr>
            <w:r>
              <w:t>Inconnu</w:t>
            </w:r>
          </w:p>
        </w:tc>
      </w:tr>
      <w:tr w:rsidR="001279A8" w:rsidRPr="003A6336" w14:paraId="796659A7" w14:textId="77777777" w:rsidTr="009B4355">
        <w:tc>
          <w:tcPr>
            <w:tcW w:w="4957" w:type="dxa"/>
          </w:tcPr>
          <w:p w14:paraId="4EBA2018" w14:textId="77777777" w:rsidR="001279A8" w:rsidRPr="003A6336" w:rsidRDefault="001279A8" w:rsidP="009B4355">
            <w:pPr>
              <w:rPr>
                <w:rFonts w:ascii="Aptos" w:hAnsi="Aptos"/>
              </w:rPr>
            </w:pPr>
            <w:r>
              <w:rPr>
                <w:rFonts w:ascii="Aptos" w:hAnsi="Aptos"/>
              </w:rPr>
              <w:t>Party count: 82</w:t>
            </w:r>
          </w:p>
        </w:tc>
        <w:tc>
          <w:tcPr>
            <w:tcW w:w="4506" w:type="dxa"/>
          </w:tcPr>
          <w:p w14:paraId="556E0944" w14:textId="77777777" w:rsidR="001279A8" w:rsidRPr="003A6336" w:rsidRDefault="001279A8" w:rsidP="009B4355">
            <w:pPr>
              <w:rPr>
                <w:rFonts w:ascii="Aptos" w:hAnsi="Aptos"/>
              </w:rPr>
            </w:pPr>
            <w:r>
              <w:t>Nombre de Parties : 82</w:t>
            </w:r>
          </w:p>
        </w:tc>
      </w:tr>
      <w:tr w:rsidR="001279A8" w:rsidRPr="003A6336" w14:paraId="74238C8E" w14:textId="77777777" w:rsidTr="009B4355">
        <w:tc>
          <w:tcPr>
            <w:tcW w:w="4957" w:type="dxa"/>
          </w:tcPr>
          <w:p w14:paraId="668A67B5" w14:textId="77777777" w:rsidR="001279A8" w:rsidRPr="003A6336" w:rsidRDefault="001279A8" w:rsidP="009B4355">
            <w:pPr>
              <w:rPr>
                <w:rFonts w:ascii="Aptos" w:hAnsi="Aptos"/>
              </w:rPr>
            </w:pPr>
            <w:r>
              <w:rPr>
                <w:rFonts w:ascii="Aptos" w:hAnsi="Aptos"/>
              </w:rPr>
              <w:lastRenderedPageBreak/>
              <w:t>Region</w:t>
            </w:r>
          </w:p>
        </w:tc>
        <w:tc>
          <w:tcPr>
            <w:tcW w:w="4506" w:type="dxa"/>
          </w:tcPr>
          <w:p w14:paraId="66B97753" w14:textId="77777777" w:rsidR="001279A8" w:rsidRPr="003A6336" w:rsidRDefault="001279A8" w:rsidP="009B4355">
            <w:pPr>
              <w:rPr>
                <w:rFonts w:ascii="Aptos" w:hAnsi="Aptos"/>
              </w:rPr>
            </w:pPr>
            <w:r>
              <w:t>Région</w:t>
            </w:r>
          </w:p>
        </w:tc>
      </w:tr>
      <w:tr w:rsidR="001279A8" w:rsidRPr="003A6336" w14:paraId="2D3DC8EA" w14:textId="77777777" w:rsidTr="009B4355">
        <w:tc>
          <w:tcPr>
            <w:tcW w:w="4957" w:type="dxa"/>
          </w:tcPr>
          <w:p w14:paraId="12D428E3" w14:textId="77777777" w:rsidR="001279A8" w:rsidRPr="003A6336" w:rsidRDefault="001279A8" w:rsidP="009B4355">
            <w:pPr>
              <w:rPr>
                <w:rFonts w:ascii="Aptos" w:hAnsi="Aptos"/>
              </w:rPr>
            </w:pPr>
            <w:r>
              <w:rPr>
                <w:rFonts w:ascii="Aptos" w:hAnsi="Aptos"/>
              </w:rPr>
              <w:t>African States</w:t>
            </w:r>
          </w:p>
        </w:tc>
        <w:tc>
          <w:tcPr>
            <w:tcW w:w="4506" w:type="dxa"/>
          </w:tcPr>
          <w:p w14:paraId="70314555" w14:textId="77777777" w:rsidR="001279A8" w:rsidRPr="003A6336" w:rsidRDefault="001279A8" w:rsidP="009B4355">
            <w:pPr>
              <w:rPr>
                <w:rFonts w:ascii="Aptos" w:hAnsi="Aptos"/>
              </w:rPr>
            </w:pPr>
            <w:r>
              <w:t>États d’Afrique</w:t>
            </w:r>
          </w:p>
        </w:tc>
      </w:tr>
      <w:tr w:rsidR="001279A8" w:rsidRPr="003A6336" w14:paraId="51ACDFCD" w14:textId="77777777" w:rsidTr="009B4355">
        <w:tc>
          <w:tcPr>
            <w:tcW w:w="4957" w:type="dxa"/>
          </w:tcPr>
          <w:p w14:paraId="36517660" w14:textId="77777777" w:rsidR="001279A8" w:rsidRPr="003A6336" w:rsidRDefault="001279A8" w:rsidP="009B4355">
            <w:pPr>
              <w:rPr>
                <w:rFonts w:ascii="Aptos" w:hAnsi="Aptos"/>
              </w:rPr>
            </w:pPr>
            <w:r>
              <w:rPr>
                <w:rFonts w:ascii="Aptos" w:hAnsi="Aptos"/>
              </w:rPr>
              <w:t>Asia-Pacific States</w:t>
            </w:r>
          </w:p>
        </w:tc>
        <w:tc>
          <w:tcPr>
            <w:tcW w:w="4506" w:type="dxa"/>
          </w:tcPr>
          <w:p w14:paraId="6E3711A5" w14:textId="77777777" w:rsidR="001279A8" w:rsidRPr="003A6336" w:rsidRDefault="001279A8" w:rsidP="009B4355">
            <w:pPr>
              <w:rPr>
                <w:rFonts w:ascii="Aptos" w:hAnsi="Aptos"/>
              </w:rPr>
            </w:pPr>
            <w:r>
              <w:t>États d’Asie et du Pacifique</w:t>
            </w:r>
          </w:p>
        </w:tc>
      </w:tr>
      <w:tr w:rsidR="001279A8" w:rsidRPr="003A6336" w14:paraId="6DB15D57" w14:textId="77777777" w:rsidTr="009B4355">
        <w:tc>
          <w:tcPr>
            <w:tcW w:w="4957" w:type="dxa"/>
          </w:tcPr>
          <w:p w14:paraId="701294DC" w14:textId="77777777" w:rsidR="001279A8" w:rsidRPr="003A6336" w:rsidRDefault="001279A8" w:rsidP="009B4355">
            <w:pPr>
              <w:rPr>
                <w:rFonts w:ascii="Aptos" w:hAnsi="Aptos"/>
              </w:rPr>
            </w:pPr>
            <w:r>
              <w:rPr>
                <w:rFonts w:ascii="Aptos" w:hAnsi="Aptos"/>
              </w:rPr>
              <w:t>Latin American and Caribbean States</w:t>
            </w:r>
          </w:p>
        </w:tc>
        <w:tc>
          <w:tcPr>
            <w:tcW w:w="4506" w:type="dxa"/>
          </w:tcPr>
          <w:p w14:paraId="13E5B083" w14:textId="77777777" w:rsidR="001279A8" w:rsidRPr="003A6336" w:rsidRDefault="001279A8" w:rsidP="009B4355">
            <w:pPr>
              <w:rPr>
                <w:rFonts w:ascii="Aptos" w:hAnsi="Aptos"/>
              </w:rPr>
            </w:pPr>
            <w:r>
              <w:t>États d’Amérique latine et des Caraïbes</w:t>
            </w:r>
          </w:p>
        </w:tc>
      </w:tr>
      <w:tr w:rsidR="001279A8" w:rsidRPr="003A6336" w14:paraId="5E371E5E" w14:textId="77777777" w:rsidTr="009B4355">
        <w:tc>
          <w:tcPr>
            <w:tcW w:w="4957" w:type="dxa"/>
          </w:tcPr>
          <w:p w14:paraId="4856C4F2" w14:textId="77777777" w:rsidR="001279A8" w:rsidRPr="003A6336" w:rsidRDefault="001279A8" w:rsidP="009B4355">
            <w:pPr>
              <w:rPr>
                <w:rFonts w:ascii="Aptos" w:hAnsi="Aptos"/>
              </w:rPr>
            </w:pPr>
            <w:r>
              <w:rPr>
                <w:rFonts w:ascii="Aptos" w:hAnsi="Aptos"/>
              </w:rPr>
              <w:t>Eastern European States</w:t>
            </w:r>
          </w:p>
        </w:tc>
        <w:tc>
          <w:tcPr>
            <w:tcW w:w="4506" w:type="dxa"/>
          </w:tcPr>
          <w:p w14:paraId="43CE58F2" w14:textId="77777777" w:rsidR="001279A8" w:rsidRPr="003A6336" w:rsidRDefault="001279A8" w:rsidP="009B4355">
            <w:pPr>
              <w:rPr>
                <w:rFonts w:ascii="Aptos" w:hAnsi="Aptos"/>
              </w:rPr>
            </w:pPr>
            <w:r>
              <w:t>États d’Europe orientale</w:t>
            </w:r>
          </w:p>
        </w:tc>
      </w:tr>
      <w:tr w:rsidR="001279A8" w:rsidRPr="003A6336" w14:paraId="2B9A77B0" w14:textId="77777777" w:rsidTr="009B4355">
        <w:tc>
          <w:tcPr>
            <w:tcW w:w="4957" w:type="dxa"/>
          </w:tcPr>
          <w:p w14:paraId="0394EFEB" w14:textId="77777777" w:rsidR="001279A8" w:rsidRPr="003A6336" w:rsidRDefault="001279A8" w:rsidP="009B4355">
            <w:pPr>
              <w:rPr>
                <w:rFonts w:ascii="Aptos" w:hAnsi="Aptos"/>
              </w:rPr>
            </w:pPr>
            <w:r>
              <w:rPr>
                <w:rFonts w:ascii="Aptos" w:hAnsi="Aptos"/>
              </w:rPr>
              <w:t>Western European and other States</w:t>
            </w:r>
          </w:p>
        </w:tc>
        <w:tc>
          <w:tcPr>
            <w:tcW w:w="4506" w:type="dxa"/>
          </w:tcPr>
          <w:p w14:paraId="03C4AFD7" w14:textId="77777777" w:rsidR="001279A8" w:rsidRPr="003A6336" w:rsidRDefault="001279A8" w:rsidP="009B4355">
            <w:pPr>
              <w:rPr>
                <w:rFonts w:ascii="Aptos" w:hAnsi="Aptos"/>
              </w:rPr>
            </w:pPr>
            <w:r>
              <w:t>États d’Europe occidentale et autres États</w:t>
            </w:r>
          </w:p>
        </w:tc>
      </w:tr>
    </w:tbl>
    <w:p w14:paraId="2EB51A6B" w14:textId="77777777" w:rsidR="007A60EC" w:rsidRPr="00653BF4" w:rsidRDefault="007A60EC" w:rsidP="007A60EC">
      <w:pPr>
        <w:rPr>
          <w:lang w:val="fr-FR"/>
        </w:rPr>
      </w:pPr>
    </w:p>
    <w:p w14:paraId="74C35049" w14:textId="77777777" w:rsidR="007A60EC" w:rsidRPr="00653BF4" w:rsidRDefault="007A60EC" w:rsidP="007A60EC">
      <w:pPr>
        <w:rPr>
          <w:lang w:val="fr-FR" w:eastAsia="ja-JP"/>
        </w:rPr>
      </w:pPr>
    </w:p>
    <w:p w14:paraId="03EC036C" w14:textId="77777777" w:rsidR="007A60EC" w:rsidRPr="00653BF4" w:rsidRDefault="007A60EC" w:rsidP="007A60EC">
      <w:pPr>
        <w:pStyle w:val="Heading5"/>
        <w:rPr>
          <w:lang w:val="fr-FR"/>
        </w:rPr>
      </w:pPr>
      <w:r w:rsidRPr="00653BF4">
        <w:rPr>
          <w:lang w:val="fr-FR"/>
        </w:rPr>
        <w:t>Actions, réussites et difficultés dans la mise en œuvre</w:t>
      </w:r>
    </w:p>
    <w:p w14:paraId="104C064D" w14:textId="77777777" w:rsidR="007A60EC" w:rsidRPr="00653BF4" w:rsidRDefault="007A60EC" w:rsidP="007A60EC">
      <w:pPr>
        <w:rPr>
          <w:lang w:val="fr-FR"/>
        </w:rPr>
      </w:pPr>
    </w:p>
    <w:p w14:paraId="4F9A7710" w14:textId="3DFEC2BC" w:rsidR="007A60EC" w:rsidRPr="00653BF4" w:rsidRDefault="007A60EC" w:rsidP="007A60EC">
      <w:pPr>
        <w:pStyle w:val="Heading6"/>
        <w:rPr>
          <w:lang w:val="fr-FR"/>
        </w:rPr>
      </w:pPr>
      <w:r w:rsidRPr="00653BF4">
        <w:rPr>
          <w:lang w:val="fr-FR"/>
        </w:rPr>
        <w:t xml:space="preserve">Résumé des actions menées à l’appui de la </w:t>
      </w:r>
      <w:r w:rsidR="00E34DC9">
        <w:rPr>
          <w:lang w:val="fr-FR"/>
        </w:rPr>
        <w:t>cible 2</w:t>
      </w:r>
      <w:r w:rsidRPr="00653BF4">
        <w:rPr>
          <w:lang w:val="fr-FR"/>
        </w:rPr>
        <w:t>3 du Cadre</w:t>
      </w:r>
    </w:p>
    <w:p w14:paraId="73D67867" w14:textId="77777777" w:rsidR="007A60EC" w:rsidRPr="00653BF4" w:rsidRDefault="007A60EC" w:rsidP="007A60EC">
      <w:pPr>
        <w:rPr>
          <w:lang w:val="fr-FR"/>
        </w:rPr>
      </w:pPr>
    </w:p>
    <w:p w14:paraId="05D5EE39" w14:textId="111A8502" w:rsidR="007A60EC" w:rsidRPr="00653BF4" w:rsidRDefault="007A60EC" w:rsidP="007A60EC">
      <w:pPr>
        <w:rPr>
          <w:lang w:val="fr-FR"/>
        </w:rPr>
      </w:pPr>
      <w:r w:rsidRPr="00653BF4">
        <w:rPr>
          <w:lang w:val="fr-FR"/>
        </w:rPr>
        <w:t xml:space="preserve">La mesure la plus couramment mentionnée à l’appui de la </w:t>
      </w:r>
      <w:r w:rsidR="00E34DC9">
        <w:rPr>
          <w:lang w:val="fr-FR"/>
        </w:rPr>
        <w:t>cible 2</w:t>
      </w:r>
      <w:r w:rsidRPr="00653BF4">
        <w:rPr>
          <w:lang w:val="fr-FR"/>
        </w:rPr>
        <w:t xml:space="preserve">3 consiste à assurer ou à promouvoir la participation des femmes aux processus de gouvernance, de planification et de gestion liés à la biodiversité. Cette mesure est souvent associée à la création de capacités. Elle prend des formes variées, des mécanismes officiels de quotas aux programmes de formation en passant par les processus consultatifs. De nombreuses Parties indiquent avoir intégré les questions de genre dans leurs SPANB, leurs plans sectoriels ou leurs cadres interministériels. Un nombre important de Parties ont adopté des quotas ou des objectifs officiels de représentation des femmes au sein des instances de gouvernance de la biodiversité. Plusieurs Parties font état de programmes de soutien aux moyens d’existence, de dispositifs de subventions et d’autres initiatives visant expressément les femmes ou dont celles-ci constituent la majorité des bénéficiaires (voir les encadrés 54 et 55). </w:t>
      </w:r>
    </w:p>
    <w:p w14:paraId="7B20BC46" w14:textId="77777777" w:rsidR="007A60EC" w:rsidRPr="00653BF4" w:rsidRDefault="007A60EC" w:rsidP="007A60EC">
      <w:pPr>
        <w:rPr>
          <w:lang w:val="fr-FR"/>
        </w:rPr>
      </w:pPr>
    </w:p>
    <w:p w14:paraId="31E3B2C8" w14:textId="77777777" w:rsidR="007A60EC" w:rsidRPr="00653BF4" w:rsidRDefault="007A60EC" w:rsidP="007A60EC">
      <w:pPr>
        <w:pStyle w:val="Heading6"/>
        <w:rPr>
          <w:lang w:val="fr-FR"/>
        </w:rPr>
      </w:pPr>
      <w:r w:rsidRPr="00653BF4">
        <w:rPr>
          <w:lang w:val="fr-FR"/>
        </w:rPr>
        <w:t>Exemples de réussites et de progrès réalisés dans la mise en œuvre</w:t>
      </w:r>
    </w:p>
    <w:p w14:paraId="074E651F" w14:textId="77777777" w:rsidR="007A60EC" w:rsidRPr="00653BF4" w:rsidRDefault="007A60EC" w:rsidP="007A60EC">
      <w:pPr>
        <w:pStyle w:val="Caption"/>
        <w:keepNext/>
        <w:rPr>
          <w:lang w:val="fr-FR"/>
        </w:rPr>
      </w:pPr>
    </w:p>
    <w:p w14:paraId="658A0E28" w14:textId="77777777" w:rsidR="007A60EC" w:rsidRPr="00653BF4" w:rsidRDefault="007A60EC" w:rsidP="007A60EC">
      <w:pPr>
        <w:pStyle w:val="Caption"/>
        <w:keepNext/>
        <w:rPr>
          <w:lang w:val="fr-FR"/>
        </w:rPr>
      </w:pPr>
    </w:p>
    <w:tbl>
      <w:tblPr>
        <w:tblStyle w:val="TableGrid"/>
        <w:tblW w:w="0" w:type="auto"/>
        <w:tblLook w:val="04A0" w:firstRow="1" w:lastRow="0" w:firstColumn="1" w:lastColumn="0" w:noHBand="0" w:noVBand="1"/>
      </w:tblPr>
      <w:tblGrid>
        <w:gridCol w:w="9016"/>
      </w:tblGrid>
      <w:tr w:rsidR="007A60EC" w:rsidRPr="00543148" w14:paraId="4505F063" w14:textId="77777777" w:rsidTr="00557FB3">
        <w:tc>
          <w:tcPr>
            <w:tcW w:w="9016" w:type="dxa"/>
            <w:shd w:val="clear" w:color="auto" w:fill="D1D1D1" w:themeFill="background2" w:themeFillShade="E6"/>
          </w:tcPr>
          <w:p w14:paraId="7C4E01B3" w14:textId="77777777" w:rsidR="007A60EC" w:rsidRPr="00653BF4" w:rsidRDefault="007A60EC" w:rsidP="00557FB3">
            <w:pPr>
              <w:rPr>
                <w:sz w:val="20"/>
                <w:szCs w:val="20"/>
                <w:lang w:val="fr-FR"/>
              </w:rPr>
            </w:pPr>
          </w:p>
          <w:p w14:paraId="57A422D1" w14:textId="77777777" w:rsidR="007A60EC" w:rsidRPr="00653BF4" w:rsidRDefault="007A60EC" w:rsidP="00557FB3">
            <w:pPr>
              <w:rPr>
                <w:sz w:val="20"/>
                <w:szCs w:val="20"/>
                <w:lang w:val="fr-FR"/>
              </w:rPr>
            </w:pPr>
            <w:r w:rsidRPr="00653BF4">
              <w:rPr>
                <w:sz w:val="20"/>
                <w:szCs w:val="20"/>
                <w:lang w:val="fr-FR"/>
              </w:rPr>
              <w:t xml:space="preserve">Encadré </w:t>
            </w:r>
            <w:r w:rsidRPr="00653BF4">
              <w:rPr>
                <w:noProof/>
                <w:sz w:val="20"/>
                <w:szCs w:val="20"/>
                <w:lang w:val="fr-FR"/>
              </w:rPr>
              <w:t>54</w:t>
            </w:r>
          </w:p>
          <w:p w14:paraId="4ED89041" w14:textId="77777777" w:rsidR="007A60EC" w:rsidRPr="00653BF4" w:rsidRDefault="007A60EC" w:rsidP="00557FB3">
            <w:pPr>
              <w:spacing w:after="160" w:line="278" w:lineRule="auto"/>
              <w:rPr>
                <w:b/>
                <w:bCs/>
                <w:sz w:val="20"/>
                <w:szCs w:val="20"/>
                <w:lang w:val="fr-FR"/>
              </w:rPr>
            </w:pPr>
            <w:r w:rsidRPr="00653BF4">
              <w:rPr>
                <w:b/>
                <w:bCs/>
                <w:sz w:val="20"/>
                <w:szCs w:val="20"/>
                <w:lang w:val="fr-FR"/>
              </w:rPr>
              <w:t>Soutien à l’entrepreneuriat féminin dans les domaines de l’agroécologie et de l’utilisation durable des ressources naturelles en Tunisie</w:t>
            </w:r>
          </w:p>
          <w:p w14:paraId="6522EFC4" w14:textId="77777777" w:rsidR="007A60EC" w:rsidRPr="00653BF4" w:rsidRDefault="007A60EC" w:rsidP="00557FB3">
            <w:pPr>
              <w:spacing w:after="160" w:line="278" w:lineRule="auto"/>
              <w:rPr>
                <w:sz w:val="20"/>
                <w:szCs w:val="20"/>
                <w:lang w:val="fr-FR"/>
              </w:rPr>
            </w:pPr>
            <w:r w:rsidRPr="00653BF4">
              <w:rPr>
                <w:sz w:val="20"/>
                <w:szCs w:val="20"/>
                <w:lang w:val="fr-FR"/>
              </w:rPr>
              <w:t xml:space="preserve">Le programme tunisien Raïdet, lancé en 2022 par le Ministère de la famille, de la femme, de l’enfance et des personnes âgées, a financé plus de 3 600 projets dirigés par des femmes et contribué ainsi à la création de près de 6 000 emplois. Le programme soutient en particulier des activités liées à </w:t>
            </w:r>
            <w:r w:rsidRPr="00653BF4">
              <w:rPr>
                <w:sz w:val="20"/>
                <w:szCs w:val="20"/>
                <w:lang w:val="fr-FR"/>
              </w:rPr>
              <w:lastRenderedPageBreak/>
              <w:t>l’agroécologie, à l’utilisation durable des ressources naturelles et à l’artisanat rural, tout en appuyant l’économie locale par la création d’emplois et la préservation des savoirs et des traditions locaux.</w:t>
            </w:r>
          </w:p>
          <w:p w14:paraId="08553076" w14:textId="77777777" w:rsidR="007A60EC" w:rsidRPr="00653BF4" w:rsidRDefault="007A60EC" w:rsidP="00557FB3">
            <w:pPr>
              <w:spacing w:after="160" w:line="278" w:lineRule="auto"/>
              <w:rPr>
                <w:sz w:val="20"/>
                <w:szCs w:val="20"/>
                <w:lang w:val="fr-FR"/>
              </w:rPr>
            </w:pPr>
            <w:r w:rsidRPr="00653BF4">
              <w:rPr>
                <w:sz w:val="20"/>
                <w:szCs w:val="20"/>
                <w:lang w:val="fr-FR"/>
              </w:rPr>
              <w:t>Il vise à soutenir l’entrepreneuriat féminin, notamment celui des femmes et des filles qui innovent dans des secteurs porteurs, dans tous les gouvernorats, dans les zones prioritaires et dans les quartiers populaires densément peuplés, ainsi qu’à appuyer des projets spéciaux destinés à certains groupes de femmes en situation de vulnérabilité.</w:t>
            </w:r>
          </w:p>
          <w:p w14:paraId="4730D4D1" w14:textId="77777777" w:rsidR="007A60EC" w:rsidRPr="00653BF4" w:rsidRDefault="007A60EC" w:rsidP="00557FB3">
            <w:pPr>
              <w:spacing w:after="160" w:line="278" w:lineRule="auto"/>
              <w:rPr>
                <w:sz w:val="20"/>
                <w:szCs w:val="20"/>
                <w:lang w:val="fr-FR"/>
              </w:rPr>
            </w:pPr>
            <w:r w:rsidRPr="00653BF4">
              <w:rPr>
                <w:sz w:val="20"/>
                <w:szCs w:val="20"/>
                <w:lang w:val="fr-FR"/>
              </w:rPr>
              <w:t xml:space="preserve">Raïdet contribue à atteindre les objectifs de la cible nationale tunisienne visant à garantir aux groupes de genres divers et aux groupes vulnérables le droit de participer à l’élaboration des politiques relatives à la biodiversité, à leur assurer l’accès aux ressources et aux processus décisionnels concernant les changements climatiques et les autres secteurs économiques liés à la biodiversité, et à dispenser une formation dans ces domaines. </w:t>
            </w:r>
          </w:p>
          <w:p w14:paraId="37612760" w14:textId="250E6E79" w:rsidR="007A60EC" w:rsidRPr="00653BF4" w:rsidRDefault="007A60EC" w:rsidP="00557FB3">
            <w:pPr>
              <w:rPr>
                <w:rFonts w:ascii="Aptos" w:eastAsia="Aptos" w:hAnsi="Aptos" w:cs="Aptos"/>
                <w:color w:val="000000" w:themeColor="text1"/>
                <w:sz w:val="20"/>
                <w:szCs w:val="20"/>
                <w:lang w:val="fr-FR"/>
              </w:rPr>
            </w:pPr>
            <w:r w:rsidRPr="00653BF4">
              <w:rPr>
                <w:rFonts w:ascii="Aptos" w:eastAsia="Aptos" w:hAnsi="Aptos" w:cs="Aptos"/>
                <w:i/>
                <w:iCs/>
                <w:color w:val="000000" w:themeColor="text1"/>
                <w:sz w:val="20"/>
                <w:szCs w:val="20"/>
                <w:lang w:val="fr-FR"/>
              </w:rPr>
              <w:t>Cibles concernées</w:t>
            </w:r>
            <w:r w:rsidR="00E34DC9">
              <w:rPr>
                <w:rFonts w:ascii="Aptos" w:eastAsia="Aptos" w:hAnsi="Aptos" w:cs="Aptos"/>
                <w:i/>
                <w:iCs/>
                <w:color w:val="000000" w:themeColor="text1"/>
                <w:sz w:val="20"/>
                <w:szCs w:val="20"/>
                <w:lang w:val="fr-FR"/>
              </w:rPr>
              <w:t> :</w:t>
            </w:r>
            <w:r w:rsidRPr="00653BF4">
              <w:rPr>
                <w:rFonts w:ascii="Aptos" w:eastAsia="Aptos" w:hAnsi="Aptos" w:cs="Aptos"/>
                <w:i/>
                <w:iCs/>
                <w:color w:val="000000" w:themeColor="text1"/>
                <w:sz w:val="20"/>
                <w:szCs w:val="20"/>
                <w:lang w:val="fr-FR"/>
              </w:rPr>
              <w:t xml:space="preserve"> </w:t>
            </w:r>
            <w:r w:rsidRPr="00653BF4">
              <w:rPr>
                <w:rFonts w:ascii="Aptos" w:eastAsia="Aptos" w:hAnsi="Aptos" w:cs="Aptos"/>
                <w:color w:val="000000" w:themeColor="text1"/>
                <w:sz w:val="20"/>
                <w:szCs w:val="20"/>
                <w:lang w:val="fr-FR"/>
              </w:rPr>
              <w:t>5, 9, 10, 11, 19, 22 et 23.</w:t>
            </w:r>
          </w:p>
          <w:p w14:paraId="2530525D" w14:textId="5E3947CD" w:rsidR="007A60EC" w:rsidRPr="00653BF4" w:rsidRDefault="007A60EC" w:rsidP="00557FB3">
            <w:pPr>
              <w:rPr>
                <w:rFonts w:ascii="Aptos" w:eastAsia="Aptos" w:hAnsi="Aptos" w:cs="Aptos"/>
                <w:i/>
                <w:iCs/>
                <w:color w:val="000000" w:themeColor="text1"/>
                <w:sz w:val="20"/>
                <w:szCs w:val="20"/>
                <w:lang w:val="fr-FR"/>
              </w:rPr>
            </w:pPr>
            <w:r w:rsidRPr="00653BF4">
              <w:rPr>
                <w:rFonts w:ascii="Aptos" w:eastAsia="Aptos" w:hAnsi="Aptos" w:cs="Aptos"/>
                <w:i/>
                <w:iCs/>
                <w:color w:val="000000" w:themeColor="text1"/>
                <w:sz w:val="20"/>
                <w:szCs w:val="20"/>
                <w:lang w:val="fr-FR"/>
              </w:rPr>
              <w:t>Source</w:t>
            </w:r>
            <w:r w:rsidR="00E34DC9">
              <w:rPr>
                <w:rFonts w:ascii="Aptos" w:eastAsia="Aptos" w:hAnsi="Aptos" w:cs="Aptos"/>
                <w:i/>
                <w:iCs/>
                <w:color w:val="000000" w:themeColor="text1"/>
                <w:sz w:val="20"/>
                <w:szCs w:val="20"/>
                <w:lang w:val="fr-FR"/>
              </w:rPr>
              <w:t> :</w:t>
            </w:r>
            <w:r w:rsidRPr="00653BF4">
              <w:rPr>
                <w:rFonts w:ascii="Aptos" w:eastAsia="Aptos" w:hAnsi="Aptos" w:cs="Aptos"/>
                <w:i/>
                <w:iCs/>
                <w:color w:val="000000" w:themeColor="text1"/>
                <w:sz w:val="20"/>
                <w:szCs w:val="20"/>
                <w:lang w:val="fr-FR"/>
              </w:rPr>
              <w:t xml:space="preserve"> </w:t>
            </w:r>
            <w:r w:rsidRPr="00653BF4">
              <w:rPr>
                <w:rFonts w:ascii="Aptos" w:eastAsia="Aptos" w:hAnsi="Aptos" w:cs="Aptos"/>
                <w:color w:val="000000" w:themeColor="text1"/>
                <w:sz w:val="20"/>
                <w:szCs w:val="20"/>
                <w:lang w:val="fr-FR"/>
              </w:rPr>
              <w:t>Tunisie, septième rapport national présenté au titre de la Convention.</w:t>
            </w:r>
          </w:p>
          <w:p w14:paraId="49D46E03" w14:textId="77777777" w:rsidR="007A60EC" w:rsidRPr="00653BF4" w:rsidRDefault="007A60EC" w:rsidP="00557FB3">
            <w:pPr>
              <w:rPr>
                <w:rFonts w:ascii="Aptos" w:eastAsia="Aptos" w:hAnsi="Aptos" w:cs="Aptos"/>
                <w:i/>
                <w:iCs/>
                <w:color w:val="000000" w:themeColor="text1"/>
                <w:lang w:val="fr-FR"/>
              </w:rPr>
            </w:pPr>
          </w:p>
          <w:p w14:paraId="758D33B7" w14:textId="77777777" w:rsidR="007A60EC" w:rsidRPr="00653BF4" w:rsidRDefault="007A60EC" w:rsidP="00557FB3">
            <w:pPr>
              <w:rPr>
                <w:lang w:val="fr-FR"/>
              </w:rPr>
            </w:pPr>
          </w:p>
        </w:tc>
      </w:tr>
    </w:tbl>
    <w:p w14:paraId="0FE3D804" w14:textId="77777777" w:rsidR="007A60EC" w:rsidRPr="00653BF4" w:rsidRDefault="007A60EC" w:rsidP="007A60EC">
      <w:pPr>
        <w:rPr>
          <w:lang w:val="fr-FR"/>
        </w:rPr>
      </w:pPr>
    </w:p>
    <w:p w14:paraId="32E2C0F5" w14:textId="77777777" w:rsidR="007A60EC" w:rsidRPr="00653BF4" w:rsidRDefault="007A60EC" w:rsidP="007A60EC">
      <w:pPr>
        <w:pStyle w:val="Caption"/>
        <w:keepNext/>
        <w:rPr>
          <w:lang w:val="fr-FR"/>
        </w:rPr>
      </w:pPr>
    </w:p>
    <w:tbl>
      <w:tblPr>
        <w:tblStyle w:val="TableGrid"/>
        <w:tblW w:w="0" w:type="auto"/>
        <w:tblLook w:val="04A0" w:firstRow="1" w:lastRow="0" w:firstColumn="1" w:lastColumn="0" w:noHBand="0" w:noVBand="1"/>
      </w:tblPr>
      <w:tblGrid>
        <w:gridCol w:w="9350"/>
      </w:tblGrid>
      <w:tr w:rsidR="007A60EC" w:rsidRPr="00543148" w14:paraId="099CFCD8" w14:textId="77777777" w:rsidTr="00557FB3">
        <w:tc>
          <w:tcPr>
            <w:tcW w:w="12950" w:type="dxa"/>
            <w:shd w:val="clear" w:color="auto" w:fill="D1D1D1" w:themeFill="background2" w:themeFillShade="E6"/>
          </w:tcPr>
          <w:p w14:paraId="401156FD" w14:textId="77777777" w:rsidR="007A60EC" w:rsidRPr="00653BF4" w:rsidRDefault="007A60EC" w:rsidP="00557FB3">
            <w:pPr>
              <w:rPr>
                <w:sz w:val="20"/>
                <w:szCs w:val="20"/>
                <w:lang w:val="fr-FR"/>
              </w:rPr>
            </w:pPr>
            <w:r w:rsidRPr="00653BF4">
              <w:rPr>
                <w:sz w:val="20"/>
                <w:szCs w:val="20"/>
                <w:lang w:val="fr-FR"/>
              </w:rPr>
              <w:t xml:space="preserve">Encadré </w:t>
            </w:r>
            <w:r w:rsidRPr="00653BF4">
              <w:rPr>
                <w:noProof/>
                <w:sz w:val="20"/>
                <w:szCs w:val="20"/>
                <w:lang w:val="fr-FR"/>
              </w:rPr>
              <w:t>55</w:t>
            </w:r>
            <w:r w:rsidRPr="00653BF4">
              <w:rPr>
                <w:sz w:val="20"/>
                <w:szCs w:val="20"/>
                <w:lang w:val="fr-FR"/>
              </w:rPr>
              <w:t xml:space="preserve"> </w:t>
            </w:r>
          </w:p>
          <w:p w14:paraId="7442F588" w14:textId="77777777" w:rsidR="007A60EC" w:rsidRPr="00653BF4" w:rsidRDefault="007A60EC" w:rsidP="00557FB3">
            <w:pPr>
              <w:spacing w:after="160" w:line="278" w:lineRule="auto"/>
              <w:rPr>
                <w:b/>
                <w:bCs/>
                <w:sz w:val="20"/>
                <w:szCs w:val="20"/>
                <w:lang w:val="fr-FR"/>
              </w:rPr>
            </w:pPr>
            <w:r w:rsidRPr="00653BF4">
              <w:rPr>
                <w:b/>
                <w:bCs/>
                <w:sz w:val="20"/>
                <w:szCs w:val="20"/>
                <w:lang w:val="fr-FR"/>
              </w:rPr>
              <w:t>Reconnaissance de la gouvernance coutumière et droits des femmes en matière de foresterie sociale en Indonésie</w:t>
            </w:r>
          </w:p>
          <w:p w14:paraId="47D26980" w14:textId="77777777" w:rsidR="007A60EC" w:rsidRPr="00653BF4" w:rsidRDefault="007A60EC" w:rsidP="00557FB3">
            <w:pPr>
              <w:rPr>
                <w:rFonts w:ascii="Aptos" w:eastAsia="Aptos" w:hAnsi="Aptos" w:cs="Aptos"/>
                <w:color w:val="000000" w:themeColor="text1"/>
                <w:sz w:val="20"/>
                <w:szCs w:val="20"/>
                <w:lang w:val="fr-FR"/>
              </w:rPr>
            </w:pPr>
          </w:p>
          <w:p w14:paraId="6E264085" w14:textId="3AB5DB21" w:rsidR="007A60EC" w:rsidRPr="00653BF4" w:rsidRDefault="007A60EC" w:rsidP="00557FB3">
            <w:pPr>
              <w:rPr>
                <w:sz w:val="20"/>
                <w:szCs w:val="20"/>
                <w:lang w:val="fr-FR"/>
              </w:rPr>
            </w:pPr>
            <w:r w:rsidRPr="00653BF4">
              <w:rPr>
                <w:sz w:val="20"/>
                <w:szCs w:val="20"/>
                <w:lang w:val="fr-FR"/>
              </w:rPr>
              <w:t xml:space="preserve">L’Indonésie promeut l’égalité des genres dans la gouvernance de la biodiversité en accordant des autorisations de gestion au titre de la foresterie sociale à des ménages dirigés par des femmes. L’initiative </w:t>
            </w:r>
            <w:r w:rsidR="00E34DC9">
              <w:rPr>
                <w:sz w:val="20"/>
                <w:szCs w:val="20"/>
                <w:lang w:val="fr-FR"/>
              </w:rPr>
              <w:t>« </w:t>
            </w:r>
            <w:r w:rsidRPr="00653BF4">
              <w:rPr>
                <w:sz w:val="20"/>
                <w:szCs w:val="20"/>
                <w:lang w:val="fr-FR"/>
              </w:rPr>
              <w:t>Mangroves pour la résilience côtière</w:t>
            </w:r>
            <w:r w:rsidR="00E34DC9">
              <w:rPr>
                <w:sz w:val="20"/>
                <w:szCs w:val="20"/>
                <w:lang w:val="fr-FR"/>
              </w:rPr>
              <w:t> »</w:t>
            </w:r>
            <w:r w:rsidRPr="00653BF4">
              <w:rPr>
                <w:sz w:val="20"/>
                <w:szCs w:val="20"/>
                <w:lang w:val="fr-FR"/>
              </w:rPr>
              <w:t xml:space="preserve"> en est un exemple</w:t>
            </w:r>
            <w:r w:rsidR="00E34DC9">
              <w:rPr>
                <w:sz w:val="20"/>
                <w:szCs w:val="20"/>
                <w:lang w:val="fr-FR"/>
              </w:rPr>
              <w:t> :</w:t>
            </w:r>
            <w:r w:rsidRPr="00653BF4">
              <w:rPr>
                <w:sz w:val="20"/>
                <w:szCs w:val="20"/>
                <w:lang w:val="fr-FR"/>
              </w:rPr>
              <w:t xml:space="preserve"> elle a démontré qu’une restauration côtière tenant compte du genre pouvait être doublement bénéfique, pour la biodiversité comme pour la résilience socioéconomique. Lancée par le Ministère indonésien des finances, l’initiative a été mise en œuvre dans le village de Kuala Selat, dans la régence d’Indragiri Hilir (province de Riau), et a eu pour principaux participants les femmes de la localité et le groupe d’agriculteurs forestiers (Kelompok Tani Hutan).</w:t>
            </w:r>
          </w:p>
          <w:p w14:paraId="4C86132B" w14:textId="77777777" w:rsidR="007A60EC" w:rsidRPr="00653BF4" w:rsidRDefault="007A60EC" w:rsidP="00557FB3">
            <w:pPr>
              <w:rPr>
                <w:sz w:val="20"/>
                <w:szCs w:val="20"/>
                <w:lang w:val="fr-FR"/>
              </w:rPr>
            </w:pPr>
          </w:p>
          <w:p w14:paraId="4E9A4557" w14:textId="77777777" w:rsidR="007A60EC" w:rsidRPr="00653BF4" w:rsidRDefault="007A60EC" w:rsidP="00557FB3">
            <w:pPr>
              <w:rPr>
                <w:sz w:val="20"/>
                <w:szCs w:val="20"/>
                <w:lang w:val="fr-FR"/>
              </w:rPr>
            </w:pPr>
            <w:r w:rsidRPr="00653BF4">
              <w:rPr>
                <w:sz w:val="20"/>
                <w:szCs w:val="20"/>
                <w:lang w:val="fr-FR"/>
              </w:rPr>
              <w:t>L’érosion côtière persistante a gravement dégradé les écosystèmes de mangrove et menacé les moyens d’existence locaux et la résilience de la communauté à Kuala Selat. Par ailleurs, les femmes du village sont traditionnellement cantonnées aux tâches domestiques et exclues de la gestion des ressources naturelles et des décisions qui s’y rapportent. Pour inverser la dégradation des écosystèmes et faire progresser l’égalité des genres, l’initiative a associé ces femmes à l’ensemble du processus de conservation des mangroves, notamment à la préparation des plants, à la plantation, à l’entretien et au suivi écologique. Le rôle moteur des femmes au sein du groupe d’agriculteurs forestiers a également ouvert des perspectives d’autonomisation économique grâce à la transformation de produits locaux, en particulier ceux issus de la mer et de la mangrove, et à la création de moyens d’existence liés à la conservation, comme le tourisme.</w:t>
            </w:r>
          </w:p>
          <w:p w14:paraId="0F6309F4" w14:textId="77777777" w:rsidR="007A60EC" w:rsidRPr="00653BF4" w:rsidRDefault="007A60EC" w:rsidP="00557FB3">
            <w:pPr>
              <w:rPr>
                <w:sz w:val="20"/>
                <w:szCs w:val="20"/>
                <w:lang w:val="fr-FR"/>
              </w:rPr>
            </w:pPr>
          </w:p>
          <w:p w14:paraId="658185F8" w14:textId="20D0A7BF" w:rsidR="007A60EC" w:rsidRPr="00653BF4" w:rsidRDefault="007A60EC" w:rsidP="00557FB3">
            <w:pPr>
              <w:spacing w:after="160" w:line="278" w:lineRule="auto"/>
              <w:rPr>
                <w:sz w:val="20"/>
                <w:szCs w:val="20"/>
                <w:lang w:val="fr-FR"/>
              </w:rPr>
            </w:pPr>
            <w:r w:rsidRPr="00653BF4">
              <w:rPr>
                <w:sz w:val="20"/>
                <w:szCs w:val="20"/>
                <w:lang w:val="fr-FR"/>
              </w:rPr>
              <w:t xml:space="preserve">Au total, 378 femmes de la province de Riau ont participé activement à la plantation et à la gestion des mangroves en 2024. L’initiative se poursuit, avec pour </w:t>
            </w:r>
            <w:r w:rsidR="002878D7">
              <w:rPr>
                <w:sz w:val="20"/>
                <w:szCs w:val="20"/>
                <w:lang w:val="fr-FR"/>
              </w:rPr>
              <w:t>objectif D</w:t>
            </w:r>
            <w:r w:rsidRPr="00653BF4">
              <w:rPr>
                <w:sz w:val="20"/>
                <w:szCs w:val="20"/>
                <w:lang w:val="fr-FR"/>
              </w:rPr>
              <w:t xml:space="preserve">e restaurer les écosystèmes de mangrove sur des zones côtières plus étendues d’ici à 2027. Elle devrait inciter davantage de femmes à sortir des rôles domestiques traditionnels et à contribuer à la conservation de la nature. Grâce à cette initiative, les moyens d’existence traditionnels sont protégés, de nouveaux voient le jour, et les femmes obtiennent un </w:t>
            </w:r>
            <w:r w:rsidRPr="00653BF4">
              <w:rPr>
                <w:sz w:val="20"/>
                <w:szCs w:val="20"/>
                <w:lang w:val="fr-FR"/>
              </w:rPr>
              <w:lastRenderedPageBreak/>
              <w:t xml:space="preserve">accès égal aux ressources naturelles côtières et ont véritablement voix au chapitre dans les décisions locales relatives à la biodiversité. </w:t>
            </w:r>
          </w:p>
          <w:p w14:paraId="34FD5B01" w14:textId="514B1984" w:rsidR="007A60EC" w:rsidRPr="00653BF4" w:rsidRDefault="007A60EC" w:rsidP="00557FB3">
            <w:pPr>
              <w:jc w:val="both"/>
              <w:rPr>
                <w:sz w:val="20"/>
                <w:szCs w:val="20"/>
                <w:lang w:val="fr-FR"/>
              </w:rPr>
            </w:pPr>
            <w:r w:rsidRPr="00653BF4">
              <w:rPr>
                <w:rFonts w:ascii="Aptos" w:eastAsia="Aptos" w:hAnsi="Aptos" w:cs="Aptos"/>
                <w:i/>
                <w:iCs/>
                <w:color w:val="000000" w:themeColor="text1"/>
                <w:sz w:val="20"/>
                <w:szCs w:val="20"/>
                <w:lang w:val="fr-FR"/>
              </w:rPr>
              <w:t>Cibles concernées</w:t>
            </w:r>
            <w:r w:rsidR="00E34DC9">
              <w:rPr>
                <w:rFonts w:ascii="Aptos" w:eastAsia="Aptos" w:hAnsi="Aptos" w:cs="Aptos"/>
                <w:i/>
                <w:iCs/>
                <w:color w:val="000000" w:themeColor="text1"/>
                <w:sz w:val="20"/>
                <w:szCs w:val="20"/>
                <w:lang w:val="fr-FR"/>
              </w:rPr>
              <w:t> :</w:t>
            </w:r>
            <w:r w:rsidRPr="00653BF4">
              <w:rPr>
                <w:rFonts w:ascii="Aptos" w:eastAsia="Aptos" w:hAnsi="Aptos" w:cs="Aptos"/>
                <w:i/>
                <w:iCs/>
                <w:color w:val="000000" w:themeColor="text1"/>
                <w:sz w:val="20"/>
                <w:szCs w:val="20"/>
                <w:lang w:val="fr-FR"/>
              </w:rPr>
              <w:t xml:space="preserve"> </w:t>
            </w:r>
            <w:r w:rsidRPr="00653BF4">
              <w:rPr>
                <w:rFonts w:ascii="Aptos" w:eastAsia="Aptos" w:hAnsi="Aptos" w:cs="Aptos"/>
                <w:color w:val="000000" w:themeColor="text1"/>
                <w:sz w:val="20"/>
                <w:szCs w:val="20"/>
                <w:lang w:val="fr-FR"/>
              </w:rPr>
              <w:t>1, 2, 4, 5, 9, 10, 11, 22 et 23.</w:t>
            </w:r>
          </w:p>
          <w:p w14:paraId="7698FC05" w14:textId="3D2BBAD4" w:rsidR="007A60EC" w:rsidRPr="00653BF4" w:rsidRDefault="007A60EC" w:rsidP="00557FB3">
            <w:pPr>
              <w:rPr>
                <w:sz w:val="20"/>
                <w:szCs w:val="20"/>
                <w:lang w:val="fr-FR"/>
              </w:rPr>
            </w:pPr>
            <w:r w:rsidRPr="00653BF4">
              <w:rPr>
                <w:i/>
                <w:iCs/>
                <w:sz w:val="20"/>
                <w:szCs w:val="20"/>
                <w:lang w:val="fr-FR"/>
              </w:rPr>
              <w:t>Source</w:t>
            </w:r>
            <w:r w:rsidR="00E34DC9">
              <w:rPr>
                <w:i/>
                <w:iCs/>
                <w:sz w:val="20"/>
                <w:szCs w:val="20"/>
                <w:lang w:val="fr-FR"/>
              </w:rPr>
              <w:t> :</w:t>
            </w:r>
            <w:r w:rsidRPr="00653BF4">
              <w:rPr>
                <w:i/>
                <w:iCs/>
                <w:sz w:val="20"/>
                <w:szCs w:val="20"/>
                <w:lang w:val="fr-FR"/>
              </w:rPr>
              <w:t xml:space="preserve"> </w:t>
            </w:r>
            <w:r w:rsidRPr="00653BF4">
              <w:rPr>
                <w:sz w:val="20"/>
                <w:szCs w:val="20"/>
                <w:lang w:val="fr-FR"/>
              </w:rPr>
              <w:t>Indonésie, septième rapport national présenté au titre de la Convention.</w:t>
            </w:r>
          </w:p>
          <w:p w14:paraId="660930AB" w14:textId="77777777" w:rsidR="007A60EC" w:rsidRPr="00653BF4" w:rsidRDefault="007A60EC" w:rsidP="00557FB3">
            <w:pPr>
              <w:rPr>
                <w:lang w:val="fr-FR"/>
              </w:rPr>
            </w:pPr>
          </w:p>
        </w:tc>
      </w:tr>
    </w:tbl>
    <w:p w14:paraId="669CB372" w14:textId="77777777" w:rsidR="007A60EC" w:rsidRPr="00653BF4" w:rsidRDefault="007A60EC" w:rsidP="007A60EC">
      <w:pPr>
        <w:rPr>
          <w:lang w:val="fr-FR"/>
        </w:rPr>
      </w:pPr>
    </w:p>
    <w:p w14:paraId="249D1979" w14:textId="77777777" w:rsidR="007A60EC" w:rsidRPr="00653BF4" w:rsidRDefault="007A60EC" w:rsidP="007A60EC">
      <w:pPr>
        <w:pStyle w:val="Heading6"/>
        <w:rPr>
          <w:lang w:val="fr-FR"/>
        </w:rPr>
      </w:pPr>
      <w:r w:rsidRPr="00653BF4">
        <w:rPr>
          <w:lang w:val="fr-FR"/>
        </w:rPr>
        <w:t>Difficultés</w:t>
      </w:r>
    </w:p>
    <w:p w14:paraId="39E6F081" w14:textId="77777777" w:rsidR="007A60EC" w:rsidRPr="00653BF4" w:rsidRDefault="007A60EC" w:rsidP="007A60EC">
      <w:pPr>
        <w:rPr>
          <w:lang w:val="fr-FR"/>
        </w:rPr>
      </w:pPr>
    </w:p>
    <w:p w14:paraId="6BA54B85" w14:textId="1CEA65DF" w:rsidR="007A60EC" w:rsidRPr="00653BF4" w:rsidRDefault="007A60EC" w:rsidP="007A60EC">
      <w:pPr>
        <w:rPr>
          <w:lang w:val="fr-FR"/>
        </w:rPr>
      </w:pPr>
      <w:r w:rsidRPr="00653BF4">
        <w:rPr>
          <w:lang w:val="fr-FR"/>
        </w:rPr>
        <w:t xml:space="preserve">Plusieurs Parties reconnaissent que la participation formelle des femmes ne leur confère pas pour autant de véritable pouvoir de décision ni de place dans la gouvernance financière liée à la biodiversité. Il est nécessaire de promouvoir des approches tenant compte du genre dans cette gouvernance, notamment dans la gestion des finances publiques, la politique budgétaire, la réglementation financière et les autres processus décisionnels financiers qui influent sur les résultats en matière de biodiversité. Même lorsque des stratégies ou des plans en matière de genre ont été adoptés, la mise en œuvre est souvent lente ou inexistante. De nombreuses Parties indiquent que les correspondants ou les unités chargés de l’égalité des sexes ne disposent ni de budgets ni de personnel propres, ni d’autorité institutionnelle. Dans certains cas, l’intégration des questions de genre, lorsqu’elle existe, se fait souvent projet par projet, de manière ponctuelle, au lieu d’être systématiquement ancrée dans les institutions, les politiques et les processus de planification. Plusieurs rapports nationaux traitent des obstacles structurels à la participation des femmes, notamment les responsabilités liées aux soins et les normes patriarcales, obstacles qui touchent en particulier les femmes issues de peuples autochtones et communautés locales ou de groupes vulnérables. En outre, les organisations de femmes manquent souvent de financements pour contribuer au Cadre. Selon quelques Parties, le fait que les femmes possèdent peu de terres et de ressources naturelles fragilise davantage leur position dans la prise de décision en matière de conservation. Plusieurs Parties admettent n’avoir mené aucune action au titre de la </w:t>
      </w:r>
      <w:r w:rsidR="00E34DC9">
        <w:rPr>
          <w:lang w:val="fr-FR"/>
        </w:rPr>
        <w:t>cible 2</w:t>
      </w:r>
      <w:r w:rsidRPr="00653BF4">
        <w:rPr>
          <w:lang w:val="fr-FR"/>
        </w:rPr>
        <w:t>3. Faute de données ventilées par sexe et d’indicateurs de biodiversité tenant compte du genre, il est difficile de dégager des tendances. Le suivi est donc lacunaire.</w:t>
      </w:r>
    </w:p>
    <w:p w14:paraId="3F4F122C" w14:textId="77777777" w:rsidR="007A60EC" w:rsidRPr="00653BF4" w:rsidRDefault="007A60EC" w:rsidP="007A60EC">
      <w:pPr>
        <w:pStyle w:val="Heading5"/>
        <w:rPr>
          <w:lang w:val="fr-FR"/>
        </w:rPr>
      </w:pPr>
    </w:p>
    <w:p w14:paraId="5778E857" w14:textId="77777777" w:rsidR="007A60EC" w:rsidRPr="00653BF4" w:rsidRDefault="007A60EC" w:rsidP="007A60EC">
      <w:pPr>
        <w:pStyle w:val="Heading5"/>
        <w:rPr>
          <w:lang w:val="fr-FR"/>
        </w:rPr>
      </w:pPr>
      <w:r w:rsidRPr="00653BF4">
        <w:rPr>
          <w:lang w:val="fr-FR"/>
        </w:rPr>
        <w:t>Contributions d’acteurs autres que les gouvernements nationaux</w:t>
      </w:r>
    </w:p>
    <w:p w14:paraId="547640F3" w14:textId="77777777" w:rsidR="007A60EC" w:rsidRPr="00653BF4" w:rsidRDefault="007A60EC" w:rsidP="007A60EC">
      <w:pPr>
        <w:rPr>
          <w:lang w:val="fr-FR"/>
        </w:rPr>
      </w:pPr>
    </w:p>
    <w:p w14:paraId="57A680F8" w14:textId="77777777" w:rsidR="007A60EC" w:rsidRPr="00653BF4" w:rsidRDefault="007A60EC" w:rsidP="007A60EC">
      <w:pPr>
        <w:pStyle w:val="Heading6"/>
        <w:rPr>
          <w:lang w:val="fr-FR"/>
        </w:rPr>
      </w:pPr>
      <w:r w:rsidRPr="00653BF4">
        <w:rPr>
          <w:lang w:val="fr-FR"/>
        </w:rPr>
        <w:t>Engagements communiqués directement via l’outil de présentation des rapports en ligne</w:t>
      </w:r>
    </w:p>
    <w:p w14:paraId="29AE8A01" w14:textId="77777777" w:rsidR="007A60EC" w:rsidRPr="00653BF4" w:rsidRDefault="007A60EC" w:rsidP="007A60EC">
      <w:pPr>
        <w:rPr>
          <w:lang w:val="fr-FR"/>
        </w:rPr>
      </w:pPr>
    </w:p>
    <w:p w14:paraId="27F10F06" w14:textId="70E2E994" w:rsidR="007A60EC" w:rsidRPr="00653BF4" w:rsidRDefault="007A60EC" w:rsidP="007A60EC">
      <w:pPr>
        <w:rPr>
          <w:lang w:val="fr-FR"/>
        </w:rPr>
      </w:pPr>
      <w:r w:rsidRPr="00653BF4">
        <w:rPr>
          <w:lang w:val="fr-FR"/>
        </w:rPr>
        <w:lastRenderedPageBreak/>
        <w:t xml:space="preserve">Sur les 180 engagements présentés par des acteurs autres que les gouvernements nationaux, 8 concernent principalement la </w:t>
      </w:r>
      <w:r w:rsidR="00E34DC9">
        <w:rPr>
          <w:lang w:val="fr-FR"/>
        </w:rPr>
        <w:t>cible 2</w:t>
      </w:r>
      <w:r w:rsidRPr="00653BF4">
        <w:rPr>
          <w:lang w:val="fr-FR"/>
        </w:rPr>
        <w:t>3. Parmi eux, 4 ont été soumis par des ONG, 3 par le Caucus des femmes de la CDB (voir l’encadré 56) et 1 par le réseau de recherche agricole CGIAR. Ces engagements couvrent l’Afrique, l’Asie, l’Amérique du Sud et l’Europe.</w:t>
      </w:r>
    </w:p>
    <w:p w14:paraId="65DA17AB" w14:textId="77777777" w:rsidR="007A60EC" w:rsidRPr="00653BF4" w:rsidRDefault="007A60EC" w:rsidP="007A60EC">
      <w:pPr>
        <w:rPr>
          <w:lang w:val="fr-FR"/>
        </w:rPr>
      </w:pPr>
    </w:p>
    <w:p w14:paraId="7ACAE7B0" w14:textId="2F0558AA" w:rsidR="007A60EC" w:rsidRPr="00653BF4" w:rsidRDefault="007A60EC" w:rsidP="007A60EC">
      <w:pPr>
        <w:pStyle w:val="Caption"/>
        <w:keepNext/>
        <w:rPr>
          <w:lang w:val="fr-FR"/>
        </w:rPr>
      </w:pPr>
      <w:r w:rsidRPr="00653BF4">
        <w:rPr>
          <w:lang w:val="fr-FR"/>
        </w:rPr>
        <w:t>(II.B.23-NSA-WOMENS_CAUCUS)</w:t>
      </w:r>
      <w:r w:rsidR="00E34DC9">
        <w:rPr>
          <w:lang w:val="fr-FR"/>
        </w:rPr>
        <w:t> :</w:t>
      </w:r>
      <w:r w:rsidRPr="00653BF4">
        <w:rPr>
          <w:lang w:val="fr-FR"/>
        </w:rPr>
        <w:t xml:space="preserve"> Le Caucus des femmes de la CDB renforce le leadership des femmes dans la mise en œuvre du Cadre</w:t>
      </w:r>
    </w:p>
    <w:p w14:paraId="552752B5" w14:textId="77777777" w:rsidR="007A60EC" w:rsidRPr="00653BF4" w:rsidRDefault="007A60EC" w:rsidP="007A60EC">
      <w:pPr>
        <w:rPr>
          <w:lang w:val="fr-FR" w:eastAsia="ja-JP"/>
        </w:rPr>
      </w:pPr>
    </w:p>
    <w:tbl>
      <w:tblPr>
        <w:tblStyle w:val="TableGrid"/>
        <w:tblW w:w="0" w:type="auto"/>
        <w:tblLook w:val="04A0" w:firstRow="1" w:lastRow="0" w:firstColumn="1" w:lastColumn="0" w:noHBand="0" w:noVBand="1"/>
      </w:tblPr>
      <w:tblGrid>
        <w:gridCol w:w="9016"/>
      </w:tblGrid>
      <w:tr w:rsidR="007A60EC" w:rsidRPr="00543148" w14:paraId="6CD4FCCB" w14:textId="77777777" w:rsidTr="00557FB3">
        <w:tc>
          <w:tcPr>
            <w:tcW w:w="9016" w:type="dxa"/>
            <w:shd w:val="clear" w:color="auto" w:fill="E8E8E8" w:themeFill="background2"/>
          </w:tcPr>
          <w:p w14:paraId="609CC8B0" w14:textId="32E6B9CC" w:rsidR="007A60EC" w:rsidRPr="00653BF4" w:rsidRDefault="007A60EC" w:rsidP="00557FB3">
            <w:pPr>
              <w:rPr>
                <w:sz w:val="20"/>
                <w:szCs w:val="20"/>
                <w:lang w:val="fr-FR"/>
              </w:rPr>
            </w:pPr>
            <w:bookmarkStart w:id="451" w:name="_Ref230889212"/>
            <w:r w:rsidRPr="00653BF4">
              <w:rPr>
                <w:noProof/>
                <w:sz w:val="20"/>
                <w:szCs w:val="20"/>
                <w:lang w:val="fr-FR"/>
              </w:rPr>
              <w:t>Encadré 56</w:t>
            </w:r>
            <w:bookmarkEnd w:id="451"/>
          </w:p>
          <w:p w14:paraId="79CBE718" w14:textId="2AAC1F5D" w:rsidR="007A60EC" w:rsidRPr="00653BF4" w:rsidRDefault="007A60EC" w:rsidP="00557FB3">
            <w:pPr>
              <w:rPr>
                <w:b/>
                <w:bCs/>
                <w:sz w:val="20"/>
                <w:szCs w:val="20"/>
                <w:lang w:val="fr-FR"/>
              </w:rPr>
            </w:pPr>
            <w:r w:rsidRPr="00653BF4">
              <w:rPr>
                <w:b/>
                <w:bCs/>
                <w:sz w:val="20"/>
                <w:szCs w:val="20"/>
                <w:lang w:val="fr-FR"/>
              </w:rPr>
              <w:t>Le Caucus des femmes de la CDB</w:t>
            </w:r>
            <w:r w:rsidR="00E34DC9">
              <w:rPr>
                <w:b/>
                <w:bCs/>
                <w:sz w:val="20"/>
                <w:szCs w:val="20"/>
                <w:lang w:val="fr-FR"/>
              </w:rPr>
              <w:t> :</w:t>
            </w:r>
            <w:r w:rsidRPr="00653BF4">
              <w:rPr>
                <w:b/>
                <w:bCs/>
                <w:sz w:val="20"/>
                <w:szCs w:val="20"/>
                <w:lang w:val="fr-FR"/>
              </w:rPr>
              <w:t xml:space="preserve"> renforcer le leadership des femmes dans la mise en œuvre du Cadre</w:t>
            </w:r>
          </w:p>
          <w:p w14:paraId="1E6D77C9" w14:textId="77777777" w:rsidR="007A60EC" w:rsidRPr="00653BF4" w:rsidRDefault="007A60EC" w:rsidP="00557FB3">
            <w:pPr>
              <w:rPr>
                <w:i/>
                <w:iCs/>
                <w:lang w:val="fr-FR"/>
              </w:rPr>
            </w:pPr>
          </w:p>
          <w:p w14:paraId="68991B6E" w14:textId="2ACA7466" w:rsidR="007A60EC" w:rsidRPr="00653BF4" w:rsidRDefault="007A60EC" w:rsidP="00557FB3">
            <w:pPr>
              <w:spacing w:after="160" w:line="278" w:lineRule="auto"/>
              <w:rPr>
                <w:sz w:val="20"/>
                <w:szCs w:val="20"/>
                <w:lang w:val="fr-FR"/>
              </w:rPr>
            </w:pPr>
            <w:r w:rsidRPr="00653BF4">
              <w:rPr>
                <w:sz w:val="20"/>
                <w:szCs w:val="20"/>
                <w:lang w:val="fr-FR"/>
              </w:rPr>
              <w:t xml:space="preserve">Le Caucus des femmes de la CDB représente plus de 800 organisations et personnes réparties dans 137 pays. Il consolide le Réseau des correspondants nationaux pour l’égalité des sexes et la biodiversité en tant que mécanisme de coordination durable entre les correspondants nationaux pour l’égalité des sexes officiellement désignés pour la Convention. Le Caucus s’attaque aux lacunes structurelles que présentent les échanges entre pairs et la cohérence interrégionale dans la mise en œuvre de la </w:t>
            </w:r>
            <w:r w:rsidR="00E34DC9">
              <w:rPr>
                <w:sz w:val="20"/>
                <w:szCs w:val="20"/>
                <w:lang w:val="fr-FR"/>
              </w:rPr>
              <w:t>cible 2</w:t>
            </w:r>
            <w:r w:rsidRPr="00653BF4">
              <w:rPr>
                <w:sz w:val="20"/>
                <w:szCs w:val="20"/>
                <w:lang w:val="fr-FR"/>
              </w:rPr>
              <w:t>3 et du Plan d’action pour l’égalité des sexes (2023-2030). L’engagement pris par le Caucus vise à renforcer systématiquement le leadership, la capacité de négociation, l’expertise technique et la participation significative des femmes et des filles dans toute leur diversité, y compris celles issues de peuples autochtones et communautés locales, dans la mise en œuvre et le suivi du Cadre, ainsi qu’à remédier aux inégalités structurelles d’accès à la prise de décision et aux obstacles financiers qui entravent la participation. Le Caucus s’emploie aussi à promouvoir des mécanismes de suivi, d’établissement de rapports et de responsabilisation tenant compte du genre, en encourageant systématiquement l’utilisation de données ventilées par sexe, d’indicateurs sensibles au genre et de données probantes produites par les communautés, afin de favoriser une mise en œuvre mesurable et assortie d’une obligation de rendre compte. </w:t>
            </w:r>
          </w:p>
          <w:p w14:paraId="54BE3AC1" w14:textId="1FD1C96D" w:rsidR="007A60EC" w:rsidRPr="00653BF4" w:rsidRDefault="007A60EC" w:rsidP="00557FB3">
            <w:pPr>
              <w:spacing w:after="320"/>
              <w:jc w:val="both"/>
              <w:rPr>
                <w:sz w:val="20"/>
                <w:szCs w:val="20"/>
                <w:lang w:val="fr-FR"/>
              </w:rPr>
            </w:pPr>
            <w:r w:rsidRPr="00653BF4">
              <w:rPr>
                <w:i/>
                <w:iCs/>
                <w:sz w:val="20"/>
                <w:szCs w:val="20"/>
                <w:lang w:val="fr-FR"/>
              </w:rPr>
              <w:t>Cibles concernées</w:t>
            </w:r>
            <w:r w:rsidR="00E34DC9">
              <w:rPr>
                <w:i/>
                <w:iCs/>
                <w:sz w:val="20"/>
                <w:szCs w:val="20"/>
                <w:lang w:val="fr-FR"/>
              </w:rPr>
              <w:t> :</w:t>
            </w:r>
            <w:r w:rsidRPr="00653BF4">
              <w:rPr>
                <w:i/>
                <w:iCs/>
                <w:sz w:val="20"/>
                <w:szCs w:val="20"/>
                <w:lang w:val="fr-FR"/>
              </w:rPr>
              <w:t xml:space="preserve"> </w:t>
            </w:r>
            <w:r w:rsidRPr="00653BF4">
              <w:rPr>
                <w:sz w:val="20"/>
                <w:szCs w:val="20"/>
                <w:lang w:val="fr-FR"/>
              </w:rPr>
              <w:t>20, 22 et 23.</w:t>
            </w:r>
          </w:p>
          <w:p w14:paraId="20E0D841" w14:textId="43B71F00" w:rsidR="007A60EC" w:rsidRPr="00653BF4" w:rsidRDefault="007A60EC" w:rsidP="00557FB3">
            <w:pPr>
              <w:spacing w:after="320"/>
              <w:jc w:val="both"/>
              <w:rPr>
                <w:sz w:val="20"/>
                <w:szCs w:val="20"/>
                <w:lang w:val="fr-FR"/>
              </w:rPr>
            </w:pPr>
            <w:r w:rsidRPr="00653BF4">
              <w:rPr>
                <w:i/>
                <w:iCs/>
                <w:sz w:val="20"/>
                <w:szCs w:val="20"/>
                <w:lang w:val="fr-FR"/>
              </w:rPr>
              <w:t>Sources</w:t>
            </w:r>
            <w:r w:rsidR="00E34DC9">
              <w:rPr>
                <w:i/>
                <w:iCs/>
                <w:sz w:val="20"/>
                <w:szCs w:val="20"/>
                <w:lang w:val="fr-FR"/>
              </w:rPr>
              <w:t> :</w:t>
            </w:r>
            <w:r w:rsidRPr="00653BF4">
              <w:rPr>
                <w:i/>
                <w:iCs/>
                <w:sz w:val="20"/>
                <w:szCs w:val="20"/>
                <w:lang w:val="fr-FR"/>
              </w:rPr>
              <w:t xml:space="preserve"> </w:t>
            </w:r>
            <w:r w:rsidRPr="00653BF4">
              <w:rPr>
                <w:sz w:val="20"/>
                <w:szCs w:val="20"/>
                <w:lang w:val="fr-FR"/>
              </w:rPr>
              <w:t xml:space="preserve">Caucus des femmes de la CDB, engagements des parties prenantes (voir </w:t>
            </w:r>
            <w:hyperlink r:id="rId226" w:history="1">
              <w:r w:rsidRPr="00653BF4">
                <w:rPr>
                  <w:rStyle w:val="Hyperlink"/>
                  <w:rFonts w:ascii="Calibri" w:hAnsi="Calibri" w:cs="Calibri"/>
                  <w:sz w:val="20"/>
                  <w:szCs w:val="20"/>
                  <w:lang w:val="fr-FR"/>
                </w:rPr>
                <w:t>https://ort.cbd.int/database/287720</w:t>
              </w:r>
            </w:hyperlink>
            <w:r w:rsidR="00E34DC9">
              <w:rPr>
                <w:lang w:val="fr-FR"/>
              </w:rPr>
              <w:t> ;</w:t>
            </w:r>
            <w:r w:rsidRPr="00653BF4">
              <w:rPr>
                <w:rFonts w:ascii="Calibri" w:hAnsi="Calibri" w:cs="Calibri"/>
                <w:color w:val="0000FF"/>
                <w:sz w:val="20"/>
                <w:szCs w:val="20"/>
                <w:u w:val="single"/>
                <w:lang w:val="fr-FR"/>
              </w:rPr>
              <w:t xml:space="preserve"> </w:t>
            </w:r>
            <w:hyperlink r:id="rId227" w:history="1">
              <w:r w:rsidRPr="00653BF4">
                <w:rPr>
                  <w:rStyle w:val="Hyperlink"/>
                  <w:rFonts w:ascii="Calibri" w:hAnsi="Calibri" w:cs="Calibri"/>
                  <w:sz w:val="20"/>
                  <w:szCs w:val="20"/>
                  <w:lang w:val="fr-FR"/>
                </w:rPr>
                <w:t>https://ort.cbd.int/database/287718</w:t>
              </w:r>
            </w:hyperlink>
            <w:r w:rsidR="00E34DC9">
              <w:rPr>
                <w:lang w:val="fr-FR"/>
              </w:rPr>
              <w:t> ;</w:t>
            </w:r>
            <w:r w:rsidRPr="00653BF4">
              <w:rPr>
                <w:sz w:val="20"/>
                <w:szCs w:val="20"/>
                <w:lang w:val="fr-FR"/>
              </w:rPr>
              <w:t xml:space="preserve"> et</w:t>
            </w:r>
            <w:r w:rsidRPr="00653BF4">
              <w:rPr>
                <w:rFonts w:ascii="Calibri" w:hAnsi="Calibri" w:cs="Calibri"/>
                <w:color w:val="0000FF"/>
                <w:sz w:val="20"/>
                <w:szCs w:val="20"/>
                <w:u w:val="single"/>
                <w:lang w:val="fr-FR"/>
              </w:rPr>
              <w:t xml:space="preserve"> </w:t>
            </w:r>
            <w:hyperlink r:id="rId228" w:history="1">
              <w:r w:rsidRPr="00653BF4">
                <w:rPr>
                  <w:rStyle w:val="Hyperlink"/>
                  <w:rFonts w:ascii="Calibri" w:hAnsi="Calibri" w:cs="Calibri"/>
                  <w:sz w:val="20"/>
                  <w:szCs w:val="20"/>
                  <w:lang w:val="fr-FR"/>
                </w:rPr>
                <w:t>https://ort.cbd.int/database/287719</w:t>
              </w:r>
            </w:hyperlink>
            <w:r w:rsidRPr="00653BF4">
              <w:rPr>
                <w:sz w:val="20"/>
                <w:szCs w:val="20"/>
                <w:lang w:val="fr-FR"/>
              </w:rPr>
              <w:t>).</w:t>
            </w:r>
          </w:p>
        </w:tc>
      </w:tr>
    </w:tbl>
    <w:p w14:paraId="41F2E704" w14:textId="77777777" w:rsidR="007A60EC" w:rsidRPr="00653BF4" w:rsidRDefault="007A60EC" w:rsidP="007A60EC">
      <w:pPr>
        <w:rPr>
          <w:lang w:val="fr-FR"/>
        </w:rPr>
      </w:pPr>
    </w:p>
    <w:p w14:paraId="1E955441" w14:textId="77777777" w:rsidR="007A60EC" w:rsidRPr="00653BF4" w:rsidRDefault="007A60EC" w:rsidP="007A60EC">
      <w:pPr>
        <w:pStyle w:val="Heading6"/>
        <w:rPr>
          <w:lang w:val="fr-FR"/>
        </w:rPr>
      </w:pPr>
      <w:r w:rsidRPr="00653BF4">
        <w:rPr>
          <w:lang w:val="fr-FR"/>
        </w:rPr>
        <w:t>Contributions intégrées dans les rapports nationaux</w:t>
      </w:r>
    </w:p>
    <w:p w14:paraId="61CE063F" w14:textId="77777777" w:rsidR="007A60EC" w:rsidRPr="00653BF4" w:rsidRDefault="007A60EC" w:rsidP="007A60EC">
      <w:pPr>
        <w:rPr>
          <w:lang w:val="fr-FR"/>
        </w:rPr>
      </w:pPr>
    </w:p>
    <w:p w14:paraId="37D2876A" w14:textId="3D23BB57" w:rsidR="007A60EC" w:rsidRPr="00653BF4" w:rsidRDefault="007A60EC" w:rsidP="007A60EC">
      <w:pPr>
        <w:rPr>
          <w:lang w:val="fr-FR"/>
        </w:rPr>
      </w:pPr>
      <w:r w:rsidRPr="00653BF4">
        <w:rPr>
          <w:lang w:val="fr-FR"/>
        </w:rPr>
        <w:t xml:space="preserve">Parmi les acteurs autres que les gouvernements nationaux, ce sont souvent les ONG qui, d’après les rapports, assurent la mise en œuvre de la </w:t>
      </w:r>
      <w:r w:rsidR="00E34DC9">
        <w:rPr>
          <w:lang w:val="fr-FR"/>
        </w:rPr>
        <w:t>cible 2</w:t>
      </w:r>
      <w:r w:rsidRPr="00653BF4">
        <w:rPr>
          <w:lang w:val="fr-FR"/>
        </w:rPr>
        <w:t xml:space="preserve">3, tandis que les organisations intergouvernementales y sont associées en tant que partenaires. Les fonds multilatéraux </w:t>
      </w:r>
      <w:r w:rsidRPr="00653BF4">
        <w:rPr>
          <w:lang w:val="fr-FR"/>
        </w:rPr>
        <w:lastRenderedPageBreak/>
        <w:t>et les organismes bilatéraux contribuent à financer et à coexécuter des programmes de biodiversité tenant compte du genre. Les rapports font état de rôles de cogestion et de gouvernance exercés par les peuples autochtones et communautés locales, les autorités infranationales, les villes et autres autorités locales, les représentants des secteurs liés à la biodiversité ou tributaires de celle-ci, et les groupes de femmes. Ces rôles comprennent notamment la participation à des conseils de gestion, la coconception de plans de conservation et l’exercice d’une autorité de gouvernance coutumière. Dans plusieurs Parties, la loi impose la représentation des femmes dans les comités de cogestion. Le financement est un rôle caractéristique des organisations intergouvernementales et, dans une moindre mesure, du monde des affaires et de la finance, qui s’appuient sur des fonds multilatéraux et des organismes bilatéraux ainsi que sur des mécanismes de financement privé plus innovants, mais limités. Selon les rapports, la fourniture de connaissances et le suivi sont des rôles assumés par les organisations de recherche, les peuples autochtones et communautés locales et les jeunes, qui établissent des données de référence sur la biodiversité, mettent au point des outils d’évaluation tenant compte du genre, coproduisent des données issues des sciences participatives et contribuent à intégrer des connaissances traditionnelles dans les instruments de gouvernance. La sensibilisation et la création de capacités sont les rôles le plus souvent attribués aux citoyens et au grand public, aux jeunes, ainsi qu’aux femmes et aux filles. Il ressort des rapports que les ONG, les organisations de jeunes et les réseaux internationaux de femmes jouent un rôle de plaidoyer et de responsabilisation, notamment par leur participation officielle aux négociations de la Convention et aux processus internationaux d’élaboration des politiques.</w:t>
      </w:r>
    </w:p>
    <w:p w14:paraId="22A1AFE5" w14:textId="77777777" w:rsidR="007A60EC" w:rsidRPr="00653BF4" w:rsidRDefault="007A60EC" w:rsidP="007A60EC">
      <w:pPr>
        <w:rPr>
          <w:lang w:val="fr-FR"/>
        </w:rPr>
      </w:pPr>
    </w:p>
    <w:p w14:paraId="2FE5BB7C" w14:textId="77777777" w:rsidR="007A60EC" w:rsidRPr="00653BF4" w:rsidRDefault="007A60EC" w:rsidP="007A60EC">
      <w:pPr>
        <w:pStyle w:val="Heading5"/>
        <w:rPr>
          <w:lang w:val="fr-FR"/>
        </w:rPr>
      </w:pPr>
      <w:r w:rsidRPr="00653BF4">
        <w:rPr>
          <w:lang w:val="fr-FR"/>
        </w:rPr>
        <w:t>Exemples de liens avec d’autres accords, processus et organisations</w:t>
      </w:r>
    </w:p>
    <w:p w14:paraId="1B564EFA" w14:textId="77777777" w:rsidR="007A60EC" w:rsidRPr="00653BF4" w:rsidRDefault="007A60EC" w:rsidP="007A60EC">
      <w:pPr>
        <w:rPr>
          <w:lang w:val="fr-FR"/>
        </w:rPr>
      </w:pPr>
    </w:p>
    <w:p w14:paraId="592098DF" w14:textId="77777777" w:rsidR="007A60EC" w:rsidRPr="00653BF4" w:rsidRDefault="007A60EC" w:rsidP="007A60EC">
      <w:pPr>
        <w:rPr>
          <w:lang w:val="fr-FR"/>
        </w:rPr>
      </w:pPr>
      <w:r w:rsidRPr="00653BF4">
        <w:rPr>
          <w:lang w:val="fr-FR"/>
        </w:rPr>
        <w:t xml:space="preserve">Les inégalités de genre liées à la gestion des produits chimiques et des déchets ont des répercussions importantes sur la santé, le pouvoir de décision et les possibilités économiques des femmes. Dans le même temps, les femmes possèdent des connaissances et une expertise précieuses qui peuvent favoriser une gestion plus efficace et plus équitable de ces produits et déchets. Compte tenu de ces facteurs, les Conventions de Bâle, de Rotterdam et de Stockholm promeuvent l’égalité des genres dans ce domaine au moyen de leur Plan d’action pour l’égalité des genres pour 2025-2035. Celui-ci prévoit notamment de recueillir des données ventilées par sexe pour orienter les politiques, de former les femmes afin qu’elles puissent assumer des fonctions de direction et d’assurer leur participation active à la prise de décision. Des partenariats avec des </w:t>
      </w:r>
      <w:r w:rsidRPr="00653BF4">
        <w:rPr>
          <w:lang w:val="fr-FR"/>
        </w:rPr>
        <w:lastRenderedPageBreak/>
        <w:t>initiatives telles que les Champions internationaux de l’égalité des genres et le FEM amplifient ces efforts en favorisant des stratégies inclusives dans l’ensemble du secteur. Le Cadre mondial relatif aux produits chimiques – Pour une planète sans produits chimiques ni déchets nocifs reconnaît lui aussi les femmes comme des agents du changement face aux questions liées aux produits chimiques et aux déchets. Sa cible B5 vise à élaborer, d’ici à 2030, des programmes d’éducation, de formation et de sensibilisation du public qui mettent en avant la sécurité chimique, la durabilité et des solutions de remplacement plus sûres, et à faire en sorte que ces initiatives intègrent une approche tenant compte du genre. En outre, la cible B7 prévoit la production de données complètes de suivi et de surveillance sur l’exposition aux produits chimiques, ventilées par sexe, par âge et selon d’autres caractéristiques démographiques. Ces initiatives visent à doter les femmes des connaissances et des outils nécessaires pour exercer des responsabilités de premier plan dans la gestion des produits chimiques et des déchets, et à renforcer ainsi leur capacité d’influer sur les politiques et de promouvoir des pratiques plus inclusives et plus durables (Secrétariat des Conventions de Bâle, de Rotterdam et de Stockholm, 2025).</w:t>
      </w:r>
    </w:p>
    <w:p w14:paraId="52958ADD" w14:textId="186D1B2B" w:rsidR="007A60EC" w:rsidRPr="00653BF4" w:rsidRDefault="007A60EC" w:rsidP="007A60EC">
      <w:pPr>
        <w:rPr>
          <w:lang w:val="fr-FR"/>
        </w:rPr>
      </w:pPr>
      <w:r w:rsidRPr="00653BF4">
        <w:rPr>
          <w:lang w:val="fr-FR"/>
        </w:rPr>
        <w:t>En 2018, les Parties contractantes à la Convention sur les zones humides ont adopté la résolution XIII.18 sur l’égalité entre les sexes dans le contexte des zones humides, dans laquelle elles ont reconnu qu’il importait de prendre en compte l’égalité entre les sexes et l’autonomisation des femmes dans la mise en œuvre de la Convention et d’intégrer une perspective de genre dans leurs travaux. À la quinzième réunion de la Conférence des Parties contractantes à la Convention, en 2025, 94</w:t>
      </w:r>
      <w:r w:rsidR="002878D7">
        <w:rPr>
          <w:lang w:val="fr-FR"/>
        </w:rPr>
        <w:t> %</w:t>
      </w:r>
      <w:r w:rsidRPr="00653BF4">
        <w:rPr>
          <w:lang w:val="fr-FR"/>
        </w:rPr>
        <w:t xml:space="preserve"> des Parties contractantes ont fait état de mesures visant à promouvoir l’équilibre entre les sexes dans les décisions ou la recherche relatives aux zones humides, contre 79</w:t>
      </w:r>
      <w:r w:rsidR="002878D7">
        <w:rPr>
          <w:lang w:val="fr-FR"/>
        </w:rPr>
        <w:t> %</w:t>
      </w:r>
      <w:r w:rsidRPr="00653BF4">
        <w:rPr>
          <w:lang w:val="fr-FR"/>
        </w:rPr>
        <w:t xml:space="preserve"> en 2022. Seules 11</w:t>
      </w:r>
      <w:r w:rsidR="002878D7">
        <w:rPr>
          <w:lang w:val="fr-FR"/>
        </w:rPr>
        <w:t> %</w:t>
      </w:r>
      <w:r w:rsidRPr="00653BF4">
        <w:rPr>
          <w:lang w:val="fr-FR"/>
        </w:rPr>
        <w:t xml:space="preserve"> des Parties contractantes ont toutefois indiqué recueillir des données ventilées par sexe concernant la participation aux décisions, aux programmes et à la recherche relatifs aux zones humides (Convention sur les zones humides, 2025a).</w:t>
      </w:r>
    </w:p>
    <w:p w14:paraId="4DFD10AF" w14:textId="77777777" w:rsidR="007A60EC" w:rsidRPr="00653BF4" w:rsidRDefault="007A60EC" w:rsidP="007A60EC">
      <w:pPr>
        <w:rPr>
          <w:lang w:val="fr-FR"/>
        </w:rPr>
      </w:pPr>
    </w:p>
    <w:p w14:paraId="0075DF99" w14:textId="2248A67E" w:rsidR="007A60EC" w:rsidRPr="00653BF4" w:rsidRDefault="007A60EC" w:rsidP="007A60EC">
      <w:pPr>
        <w:pStyle w:val="Heading2"/>
        <w:rPr>
          <w:lang w:val="fr-FR"/>
        </w:rPr>
      </w:pPr>
      <w:bookmarkStart w:id="452" w:name="_Toc235821341"/>
      <w:bookmarkStart w:id="453" w:name="_Toc239069220"/>
      <w:bookmarkStart w:id="454" w:name="_Toc903396104"/>
      <w:bookmarkStart w:id="455" w:name="_Toc242801257"/>
      <w:r w:rsidRPr="00653BF4">
        <w:rPr>
          <w:lang w:val="fr-FR"/>
        </w:rPr>
        <w:t xml:space="preserve">II.C </w:t>
      </w:r>
      <w:bookmarkEnd w:id="452"/>
      <w:bookmarkEnd w:id="453"/>
      <w:bookmarkEnd w:id="454"/>
      <w:r w:rsidRPr="00653BF4">
        <w:rPr>
          <w:lang w:val="fr-FR"/>
        </w:rPr>
        <w:t>Progrès collectifs accomplis vers la réalisation des objectifs à l’horizon 2050</w:t>
      </w:r>
      <w:bookmarkEnd w:id="455"/>
    </w:p>
    <w:p w14:paraId="450F91C6" w14:textId="77777777" w:rsidR="007A60EC" w:rsidRPr="00653BF4" w:rsidRDefault="007A60EC" w:rsidP="007A60EC">
      <w:pPr>
        <w:spacing w:line="279" w:lineRule="auto"/>
        <w:rPr>
          <w:lang w:val="fr-FR"/>
        </w:rPr>
      </w:pPr>
    </w:p>
    <w:p w14:paraId="015844AF" w14:textId="5F858084" w:rsidR="007A60EC" w:rsidRPr="00653BF4" w:rsidRDefault="007A60EC" w:rsidP="007A60EC">
      <w:pPr>
        <w:spacing w:line="279" w:lineRule="auto"/>
        <w:rPr>
          <w:lang w:val="fr-FR"/>
        </w:rPr>
      </w:pPr>
      <w:r w:rsidRPr="00653BF4">
        <w:rPr>
          <w:lang w:val="fr-FR"/>
        </w:rPr>
        <w:t xml:space="preserve">La mise en œuvre des stratégies et plans d’action nationaux pour la biodiversité (SPANB) et la réalisation des cibles nationales qui leur sont associées sont les principaux moteurs des progrès vers les objectifs du Cadre mondial de la biodiversité de Kunming-Montréal. Ces progrès seront donc compromis si les cibles nationales ne sont pas pleinement atteintes. </w:t>
      </w:r>
      <w:r w:rsidRPr="00653BF4">
        <w:rPr>
          <w:lang w:val="fr-FR"/>
        </w:rPr>
        <w:lastRenderedPageBreak/>
        <w:t xml:space="preserve">La présente section porte sur les conséquences possibles de l’état d’avancement actuel des cibles associées (décrit à la </w:t>
      </w:r>
      <w:r w:rsidR="002878D7">
        <w:rPr>
          <w:lang w:val="fr-FR"/>
        </w:rPr>
        <w:t>section I</w:t>
      </w:r>
      <w:r w:rsidRPr="00653BF4">
        <w:rPr>
          <w:lang w:val="fr-FR"/>
        </w:rPr>
        <w:t>I.B ci-dessus) pour chacun des objectifs à l’horizon 2050, étant entendu qu’il est trop tôt pour tirer des conclusions solides quant à l’ampleur des progrès accomplis vers ces objectifs. Cette partie de l’analyse effectuée pour le rapport mondial constitue donc, pour l’essentiel, une évaluation indirecte des progrès vers les objectifs, fondée sur les associations établies par les Parties elles-mêmes, et non une mesure directe de ces progrès. Y figure également une synthèse des informations disponibles issues des rapports sur les indicateurs phares du cadre de suivi directement associés à chacun des objectifs, ainsi que sur les indicateurs binaires liés à ces objectifs, compte tenu des limites et des biais de ces informations. Les relations entre les cibles du Cadre n’y sont pas examinées, pas plus que l’incidence des progrès vers un objectif sur les progrès vers les autres. De nombreuses relations directes et indirectes entre les objectifs et les cibles, qui pourraient être importantes, sont sans doute sous-estimées, et les associations entre cibles et objectifs présentées ci-après ne devraient pas être considérées comme exhaustives.</w:t>
      </w:r>
    </w:p>
    <w:p w14:paraId="324F8DCB" w14:textId="77777777" w:rsidR="007A60EC" w:rsidRPr="00653BF4" w:rsidRDefault="007A60EC" w:rsidP="007A60EC">
      <w:pPr>
        <w:pStyle w:val="Caption"/>
        <w:rPr>
          <w:lang w:val="fr-FR"/>
        </w:rPr>
      </w:pPr>
      <w:r w:rsidRPr="00653BF4">
        <w:rPr>
          <w:i w:val="0"/>
          <w:color w:val="000000" w:themeColor="text1"/>
          <w:sz w:val="24"/>
          <w:szCs w:val="24"/>
          <w:lang w:val="fr-FR"/>
        </w:rPr>
        <w:t xml:space="preserve">Les Parties ont aligné chacune de leurs cibles nationales sur une ou plusieurs des 23 cibles mondiales du Cadre. Lorsqu’elles soumettent ces cibles nationales, les Parties sont priées d’indiquer auxquels des quatre objectifs du Cadre à l’horizon 2050 chaque cible contribuera. Ces associations permettent donc de mieux comprendre comment les progrès accomplis dans la réalisation des cibles nationales fixées par les Parties contribuent, par l’intermédiaire des cibles mondiales, à la progression vers chacun des objectifs mondiaux. </w:t>
      </w:r>
    </w:p>
    <w:p w14:paraId="30FF82A2" w14:textId="64FAA93B" w:rsidR="007A60EC" w:rsidRPr="00653BF4" w:rsidRDefault="007A60EC" w:rsidP="007A60EC">
      <w:pPr>
        <w:rPr>
          <w:rFonts w:ascii="Aptos" w:eastAsia="Aptos" w:hAnsi="Aptos" w:cs="Aptos"/>
          <w:lang w:val="fr-FR"/>
        </w:rPr>
      </w:pPr>
      <w:r w:rsidRPr="00653BF4">
        <w:rPr>
          <w:lang w:val="fr-FR"/>
        </w:rPr>
        <w:t>La figure 95 indique à quelle fréquence les Parties, lorsqu’elles ont soumis leurs cibles nationales, ont associé une cible mondiale à un objectif mondial. Par exemple, les Parties indiquent que 71</w:t>
      </w:r>
      <w:r w:rsidR="002878D7">
        <w:rPr>
          <w:lang w:val="fr-FR"/>
        </w:rPr>
        <w:t> %</w:t>
      </w:r>
      <w:r w:rsidRPr="00653BF4">
        <w:rPr>
          <w:lang w:val="fr-FR"/>
        </w:rPr>
        <w:t xml:space="preserve"> de l’ensemble des cibles nationales alignées sur la </w:t>
      </w:r>
      <w:r w:rsidR="00E34DC9">
        <w:rPr>
          <w:lang w:val="fr-FR"/>
        </w:rPr>
        <w:t>cible 6</w:t>
      </w:r>
      <w:r w:rsidRPr="00653BF4">
        <w:rPr>
          <w:lang w:val="fr-FR"/>
        </w:rPr>
        <w:t xml:space="preserve"> contribuent à l’</w:t>
      </w:r>
      <w:r w:rsidR="002878D7">
        <w:rPr>
          <w:lang w:val="fr-FR"/>
        </w:rPr>
        <w:t>objectif A</w:t>
      </w:r>
      <w:r w:rsidRPr="00653BF4">
        <w:rPr>
          <w:lang w:val="fr-FR"/>
        </w:rPr>
        <w:t>, 19</w:t>
      </w:r>
      <w:r w:rsidR="002878D7">
        <w:rPr>
          <w:lang w:val="fr-FR"/>
        </w:rPr>
        <w:t> %</w:t>
      </w:r>
      <w:r w:rsidRPr="00653BF4">
        <w:rPr>
          <w:lang w:val="fr-FR"/>
        </w:rPr>
        <w:t xml:space="preserve"> à l’</w:t>
      </w:r>
      <w:r w:rsidR="002878D7">
        <w:rPr>
          <w:lang w:val="fr-FR"/>
        </w:rPr>
        <w:t>objectif B</w:t>
      </w:r>
      <w:r w:rsidRPr="00653BF4">
        <w:rPr>
          <w:lang w:val="fr-FR"/>
        </w:rPr>
        <w:t>, 4</w:t>
      </w:r>
      <w:r w:rsidR="002878D7">
        <w:rPr>
          <w:lang w:val="fr-FR"/>
        </w:rPr>
        <w:t> %</w:t>
      </w:r>
      <w:r w:rsidRPr="00653BF4">
        <w:rPr>
          <w:lang w:val="fr-FR"/>
        </w:rPr>
        <w:t xml:space="preserve"> à l’</w:t>
      </w:r>
      <w:r w:rsidR="002878D7">
        <w:rPr>
          <w:lang w:val="fr-FR"/>
        </w:rPr>
        <w:t>objectif C</w:t>
      </w:r>
      <w:r w:rsidRPr="00653BF4">
        <w:rPr>
          <w:lang w:val="fr-FR"/>
        </w:rPr>
        <w:t xml:space="preserve"> et 5</w:t>
      </w:r>
      <w:r w:rsidR="002878D7">
        <w:rPr>
          <w:lang w:val="fr-FR"/>
        </w:rPr>
        <w:t> %</w:t>
      </w:r>
      <w:r w:rsidRPr="00653BF4">
        <w:rPr>
          <w:lang w:val="fr-FR"/>
        </w:rPr>
        <w:t xml:space="preserve"> à l’</w:t>
      </w:r>
      <w:r w:rsidR="002878D7">
        <w:rPr>
          <w:lang w:val="fr-FR"/>
        </w:rPr>
        <w:t>objectif D</w:t>
      </w:r>
      <w:r w:rsidRPr="00653BF4">
        <w:rPr>
          <w:lang w:val="fr-FR"/>
        </w:rPr>
        <w:t xml:space="preserve">, ce qui donne à penser qu’à leurs yeux, la </w:t>
      </w:r>
      <w:r w:rsidR="00E34DC9">
        <w:rPr>
          <w:lang w:val="fr-FR"/>
        </w:rPr>
        <w:t>cible 6</w:t>
      </w:r>
      <w:r w:rsidRPr="00653BF4">
        <w:rPr>
          <w:lang w:val="fr-FR"/>
        </w:rPr>
        <w:t xml:space="preserve"> favorise avant tout les progrès vers l’</w:t>
      </w:r>
      <w:r w:rsidR="002878D7">
        <w:rPr>
          <w:lang w:val="fr-FR"/>
        </w:rPr>
        <w:t>objectif A</w:t>
      </w:r>
      <w:r w:rsidRPr="00653BF4">
        <w:rPr>
          <w:lang w:val="fr-FR"/>
        </w:rPr>
        <w:t>. Cette approche, examinée plus avant dans la description détaillée de la méthode adoptée pour le rapport mondial (</w:t>
      </w:r>
      <w:hyperlink r:id="rId229" w:history="1">
        <w:r w:rsidRPr="00653BF4">
          <w:rPr>
            <w:rStyle w:val="Hyperlink"/>
            <w:lang w:val="fr-FR"/>
          </w:rPr>
          <w:t>CBD/SBSTTA/28/INF/9</w:t>
        </w:r>
      </w:hyperlink>
      <w:r w:rsidRPr="00653BF4">
        <w:rPr>
          <w:lang w:val="fr-FR"/>
        </w:rPr>
        <w:t>), sert ici à recenser les cibles pour lesquelles les progrès collectifs importent le plus pour chaque objectif.</w:t>
      </w:r>
    </w:p>
    <w:p w14:paraId="554356AE" w14:textId="77777777" w:rsidR="007A60EC" w:rsidRPr="00653BF4" w:rsidRDefault="007A60EC" w:rsidP="007A60EC">
      <w:pPr>
        <w:rPr>
          <w:rFonts w:ascii="Aptos" w:hAnsi="Aptos"/>
          <w:color w:val="000000"/>
          <w:lang w:val="fr-FR"/>
        </w:rPr>
      </w:pPr>
      <w:r w:rsidRPr="00653BF4">
        <w:rPr>
          <w:rFonts w:ascii="Aptos" w:hAnsi="Aptos"/>
          <w:color w:val="000000"/>
          <w:lang w:val="fr-FR"/>
        </w:rPr>
        <w:t xml:space="preserve">La présente section contient, pour chaque objectif, une synthèse des approches recensées par les Parties pour faire face aux difficultés, combler les lacunes et saisir les possibilités constatées durant la première période de mise en œuvre du Cadre. Y figure également un résumé des actions concrètes que les Parties ont explicitement </w:t>
      </w:r>
      <w:r w:rsidRPr="00653BF4">
        <w:rPr>
          <w:lang w:val="fr-FR"/>
        </w:rPr>
        <w:t xml:space="preserve">mentionnées </w:t>
      </w:r>
      <w:r w:rsidRPr="00653BF4">
        <w:rPr>
          <w:rFonts w:ascii="Aptos" w:hAnsi="Aptos"/>
          <w:color w:val="000000"/>
          <w:lang w:val="fr-FR"/>
        </w:rPr>
        <w:t xml:space="preserve">dans leurs rapports nationaux pour attester des progrès </w:t>
      </w:r>
      <w:r w:rsidRPr="00653BF4">
        <w:rPr>
          <w:lang w:val="fr-FR"/>
        </w:rPr>
        <w:t xml:space="preserve">accomplis vers les </w:t>
      </w:r>
      <w:r w:rsidRPr="00653BF4">
        <w:rPr>
          <w:rFonts w:ascii="Aptos" w:hAnsi="Aptos"/>
          <w:color w:val="000000"/>
          <w:lang w:val="fr-FR"/>
        </w:rPr>
        <w:t xml:space="preserve">objectifs. Il convient de voir dans ces actions non pas des prescriptions, mais plutôt une source d’inspiration et d’apprentissage mutuel pour les Parties. Une quantification ou une </w:t>
      </w:r>
      <w:r w:rsidRPr="00653BF4">
        <w:rPr>
          <w:rFonts w:ascii="Aptos" w:hAnsi="Aptos"/>
          <w:color w:val="000000"/>
          <w:lang w:val="fr-FR"/>
        </w:rPr>
        <w:lastRenderedPageBreak/>
        <w:t xml:space="preserve">évaluation systématique de la contribution des actions actuelles à la réalisation des objectifs à l’horizon 2050 ne relève pas du mandat du présent rapport mondial et n’a pas non plus été possible compte tenu du temps et des ressources disponibles. </w:t>
      </w:r>
      <w:r w:rsidRPr="00653BF4">
        <w:rPr>
          <w:lang w:val="fr-FR"/>
        </w:rPr>
        <w:t xml:space="preserve">Une telle évaluation pourrait être envisagée pour le prochain rapport mondial. Elle s’appuierait sur les travaux connexes de la Plateforme intergouvernementale scientifique et politique sur la biodiversité et les services écosystémiques, à savoir son </w:t>
      </w:r>
      <w:r w:rsidRPr="00653BF4">
        <w:rPr>
          <w:i/>
          <w:iCs/>
          <w:lang w:val="fr-FR"/>
        </w:rPr>
        <w:t>évaluation thématique des causes sous-jacentes de la perte de biodiversité et des déterminants du changement transformateur, ainsi que des solutions possibles afin de réaliser la Vision 2050 pour la biodiversité</w:t>
      </w:r>
      <w:r w:rsidRPr="00653BF4">
        <w:rPr>
          <w:lang w:val="fr-FR"/>
        </w:rPr>
        <w:t>, et sa deuxième évaluation mondiale de la biodiversité et des services écosystémiques, qui est en cours (IPBES, 2024a et 2024c)</w:t>
      </w:r>
      <w:r w:rsidRPr="00653BF4">
        <w:rPr>
          <w:rFonts w:ascii="Aptos" w:hAnsi="Aptos"/>
          <w:color w:val="000000"/>
          <w:lang w:val="fr-FR"/>
        </w:rPr>
        <w:t>.</w:t>
      </w:r>
    </w:p>
    <w:p w14:paraId="136140E5" w14:textId="77777777" w:rsidR="007A60EC" w:rsidRPr="00653BF4" w:rsidDel="00CD23D8" w:rsidRDefault="007A60EC" w:rsidP="007A60EC">
      <w:pPr>
        <w:rPr>
          <w:rFonts w:ascii="Aptos" w:hAnsi="Aptos"/>
          <w:color w:val="000000"/>
          <w:lang w:val="fr-FR"/>
        </w:rPr>
      </w:pPr>
    </w:p>
    <w:p w14:paraId="15034DBD" w14:textId="77777777" w:rsidR="007A60EC" w:rsidRPr="00653BF4" w:rsidRDefault="007A60EC" w:rsidP="007A60EC">
      <w:pPr>
        <w:rPr>
          <w:sz w:val="20"/>
          <w:szCs w:val="20"/>
          <w:lang w:val="fr-FR"/>
        </w:rPr>
      </w:pPr>
      <w:r w:rsidRPr="00653BF4">
        <w:rPr>
          <w:sz w:val="20"/>
          <w:szCs w:val="20"/>
          <w:lang w:val="fr-FR"/>
        </w:rPr>
        <w:t xml:space="preserve">Figure </w:t>
      </w:r>
      <w:r w:rsidRPr="00653BF4">
        <w:rPr>
          <w:noProof/>
          <w:sz w:val="20"/>
          <w:szCs w:val="20"/>
          <w:lang w:val="fr-FR"/>
        </w:rPr>
        <w:t>95</w:t>
      </w:r>
    </w:p>
    <w:p w14:paraId="3AC9F625" w14:textId="77777777" w:rsidR="007A60EC" w:rsidRDefault="007A60EC" w:rsidP="007A60EC">
      <w:pPr>
        <w:rPr>
          <w:rFonts w:ascii="Aptos" w:eastAsia="Aptos" w:hAnsi="Aptos" w:cs="Aptos"/>
          <w:b/>
          <w:bCs/>
          <w:sz w:val="20"/>
          <w:szCs w:val="20"/>
          <w:lang w:val="fr-FR"/>
        </w:rPr>
      </w:pPr>
      <w:r w:rsidRPr="00653BF4">
        <w:rPr>
          <w:rFonts w:ascii="Aptos" w:eastAsia="Aptos" w:hAnsi="Aptos" w:cs="Aptos"/>
          <w:b/>
          <w:bCs/>
          <w:sz w:val="20"/>
          <w:szCs w:val="20"/>
          <w:lang w:val="fr-FR"/>
        </w:rPr>
        <w:t>Fréquence des cibles nationales associant chaque objectif mondial à une cible mondiale, d’après les données communiquées par les Parties</w:t>
      </w:r>
    </w:p>
    <w:p w14:paraId="70F4C2E7" w14:textId="77777777" w:rsidR="007A60EC" w:rsidRPr="00653BF4" w:rsidRDefault="007A60EC" w:rsidP="007A60EC">
      <w:pPr>
        <w:pStyle w:val="Caption"/>
        <w:rPr>
          <w:lang w:val="fr-FR"/>
        </w:rPr>
      </w:pPr>
      <w:bookmarkStart w:id="456" w:name="_Ref230630785"/>
      <w:r w:rsidRPr="00653BF4">
        <w:rPr>
          <w:noProof/>
          <w:lang w:val="fr-FR"/>
        </w:rPr>
        <w:drawing>
          <wp:inline distT="0" distB="0" distL="0" distR="0" wp14:anchorId="76C97F27" wp14:editId="2B200124">
            <wp:extent cx="6094745" cy="3042302"/>
            <wp:effectExtent l="0" t="0" r="1270" b="5715"/>
            <wp:docPr id="20226436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413" name=""/>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6104640" cy="3047241"/>
                    </a:xfrm>
                    <a:prstGeom prst="rect">
                      <a:avLst/>
                    </a:prstGeom>
                  </pic:spPr>
                </pic:pic>
              </a:graphicData>
            </a:graphic>
          </wp:inline>
        </w:drawing>
      </w:r>
    </w:p>
    <w:p w14:paraId="78E61379" w14:textId="645B2ACF" w:rsidR="007A60EC" w:rsidRPr="00653BF4" w:rsidRDefault="007A60EC" w:rsidP="007A60EC">
      <w:pPr>
        <w:pStyle w:val="Caption"/>
        <w:rPr>
          <w:rFonts w:ascii="Aptos" w:eastAsia="Aptos" w:hAnsi="Aptos" w:cs="Aptos"/>
          <w:lang w:val="fr-FR"/>
        </w:rPr>
      </w:pPr>
      <w:bookmarkStart w:id="457" w:name="_Toc235821342"/>
      <w:bookmarkEnd w:id="456"/>
      <w:r w:rsidRPr="00653BF4">
        <w:rPr>
          <w:rFonts w:ascii="Aptos" w:eastAsia="Aptos" w:hAnsi="Aptos" w:cs="Aptos"/>
          <w:lang w:val="fr-FR"/>
        </w:rPr>
        <w:t>Note</w:t>
      </w:r>
      <w:r w:rsidR="00E34DC9">
        <w:rPr>
          <w:rFonts w:ascii="Aptos" w:eastAsia="Aptos" w:hAnsi="Aptos" w:cs="Aptos"/>
          <w:lang w:val="fr-FR"/>
        </w:rPr>
        <w:t> :</w:t>
      </w:r>
      <w:r w:rsidRPr="00653BF4">
        <w:rPr>
          <w:rFonts w:ascii="Aptos" w:eastAsia="Aptos" w:hAnsi="Aptos" w:cs="Aptos"/>
          <w:i w:val="0"/>
          <w:iCs w:val="0"/>
          <w:lang w:val="fr-FR"/>
        </w:rPr>
        <w:t xml:space="preserve"> Pour chaque cible du Cadre, la carte thermique indique le pourcentage pondéré de cibles nationales alignées que les Parties ont présentées comme contribuant à chacun des objectifs. Par exemple, les Parties ont associé 64</w:t>
      </w:r>
      <w:r w:rsidR="002878D7">
        <w:rPr>
          <w:rFonts w:ascii="Aptos" w:eastAsia="Aptos" w:hAnsi="Aptos" w:cs="Aptos"/>
          <w:i w:val="0"/>
          <w:iCs w:val="0"/>
          <w:lang w:val="fr-FR"/>
        </w:rPr>
        <w:t> %</w:t>
      </w:r>
      <w:r w:rsidRPr="00653BF4">
        <w:rPr>
          <w:rFonts w:ascii="Aptos" w:eastAsia="Aptos" w:hAnsi="Aptos" w:cs="Aptos"/>
          <w:i w:val="0"/>
          <w:iCs w:val="0"/>
          <w:lang w:val="fr-FR"/>
        </w:rPr>
        <w:t xml:space="preserve"> des cibles nationales alignées sur la </w:t>
      </w:r>
      <w:r w:rsidR="00E34DC9">
        <w:rPr>
          <w:rFonts w:ascii="Aptos" w:eastAsia="Aptos" w:hAnsi="Aptos" w:cs="Aptos"/>
          <w:i w:val="0"/>
          <w:iCs w:val="0"/>
          <w:lang w:val="fr-FR"/>
        </w:rPr>
        <w:t>cible 1</w:t>
      </w:r>
      <w:r w:rsidRPr="00653BF4">
        <w:rPr>
          <w:rFonts w:ascii="Aptos" w:eastAsia="Aptos" w:hAnsi="Aptos" w:cs="Aptos"/>
          <w:i w:val="0"/>
          <w:iCs w:val="0"/>
          <w:lang w:val="fr-FR"/>
        </w:rPr>
        <w:t xml:space="preserve"> à l’</w:t>
      </w:r>
      <w:r w:rsidR="002878D7">
        <w:rPr>
          <w:rFonts w:ascii="Aptos" w:eastAsia="Aptos" w:hAnsi="Aptos" w:cs="Aptos"/>
          <w:i w:val="0"/>
          <w:iCs w:val="0"/>
          <w:lang w:val="fr-FR"/>
        </w:rPr>
        <w:t>objectif A</w:t>
      </w:r>
      <w:r w:rsidRPr="00653BF4">
        <w:rPr>
          <w:rFonts w:ascii="Aptos" w:eastAsia="Aptos" w:hAnsi="Aptos" w:cs="Aptos"/>
          <w:i w:val="0"/>
          <w:iCs w:val="0"/>
          <w:lang w:val="fr-FR"/>
        </w:rPr>
        <w:t>, 26</w:t>
      </w:r>
      <w:r w:rsidR="002878D7">
        <w:rPr>
          <w:rFonts w:ascii="Aptos" w:eastAsia="Aptos" w:hAnsi="Aptos" w:cs="Aptos"/>
          <w:i w:val="0"/>
          <w:iCs w:val="0"/>
          <w:lang w:val="fr-FR"/>
        </w:rPr>
        <w:t> %</w:t>
      </w:r>
      <w:r w:rsidRPr="00653BF4">
        <w:rPr>
          <w:rFonts w:ascii="Aptos" w:eastAsia="Aptos" w:hAnsi="Aptos" w:cs="Aptos"/>
          <w:i w:val="0"/>
          <w:iCs w:val="0"/>
          <w:lang w:val="fr-FR"/>
        </w:rPr>
        <w:t xml:space="preserve"> à l’</w:t>
      </w:r>
      <w:r w:rsidR="002878D7">
        <w:rPr>
          <w:rFonts w:ascii="Aptos" w:eastAsia="Aptos" w:hAnsi="Aptos" w:cs="Aptos"/>
          <w:i w:val="0"/>
          <w:iCs w:val="0"/>
          <w:lang w:val="fr-FR"/>
        </w:rPr>
        <w:t>objectif B</w:t>
      </w:r>
      <w:r w:rsidRPr="00653BF4">
        <w:rPr>
          <w:rFonts w:ascii="Aptos" w:eastAsia="Aptos" w:hAnsi="Aptos" w:cs="Aptos"/>
          <w:i w:val="0"/>
          <w:iCs w:val="0"/>
          <w:lang w:val="fr-FR"/>
        </w:rPr>
        <w:t>, 4</w:t>
      </w:r>
      <w:r w:rsidR="002878D7">
        <w:rPr>
          <w:rFonts w:ascii="Aptos" w:eastAsia="Aptos" w:hAnsi="Aptos" w:cs="Aptos"/>
          <w:i w:val="0"/>
          <w:iCs w:val="0"/>
          <w:lang w:val="fr-FR"/>
        </w:rPr>
        <w:t> %</w:t>
      </w:r>
      <w:r w:rsidRPr="00653BF4">
        <w:rPr>
          <w:rFonts w:ascii="Aptos" w:eastAsia="Aptos" w:hAnsi="Aptos" w:cs="Aptos"/>
          <w:i w:val="0"/>
          <w:iCs w:val="0"/>
          <w:lang w:val="fr-FR"/>
        </w:rPr>
        <w:t xml:space="preserve"> à l’</w:t>
      </w:r>
      <w:r w:rsidR="002878D7">
        <w:rPr>
          <w:rFonts w:ascii="Aptos" w:eastAsia="Aptos" w:hAnsi="Aptos" w:cs="Aptos"/>
          <w:i w:val="0"/>
          <w:iCs w:val="0"/>
          <w:lang w:val="fr-FR"/>
        </w:rPr>
        <w:t>objectif C</w:t>
      </w:r>
      <w:r w:rsidRPr="00653BF4">
        <w:rPr>
          <w:rFonts w:ascii="Aptos" w:eastAsia="Aptos" w:hAnsi="Aptos" w:cs="Aptos"/>
          <w:i w:val="0"/>
          <w:iCs w:val="0"/>
          <w:lang w:val="fr-FR"/>
        </w:rPr>
        <w:t xml:space="preserve"> et 5</w:t>
      </w:r>
      <w:r w:rsidR="002878D7">
        <w:rPr>
          <w:rFonts w:ascii="Aptos" w:eastAsia="Aptos" w:hAnsi="Aptos" w:cs="Aptos"/>
          <w:i w:val="0"/>
          <w:iCs w:val="0"/>
          <w:lang w:val="fr-FR"/>
        </w:rPr>
        <w:t> %</w:t>
      </w:r>
      <w:r w:rsidRPr="00653BF4">
        <w:rPr>
          <w:rFonts w:ascii="Aptos" w:eastAsia="Aptos" w:hAnsi="Aptos" w:cs="Aptos"/>
          <w:i w:val="0"/>
          <w:iCs w:val="0"/>
          <w:lang w:val="fr-FR"/>
        </w:rPr>
        <w:t xml:space="preserve"> à l’</w:t>
      </w:r>
      <w:r w:rsidR="002878D7">
        <w:rPr>
          <w:rFonts w:ascii="Aptos" w:eastAsia="Aptos" w:hAnsi="Aptos" w:cs="Aptos"/>
          <w:i w:val="0"/>
          <w:iCs w:val="0"/>
          <w:lang w:val="fr-FR"/>
        </w:rPr>
        <w:t>objectif D</w:t>
      </w:r>
      <w:r w:rsidRPr="00653BF4">
        <w:rPr>
          <w:rFonts w:ascii="Aptos" w:eastAsia="Aptos" w:hAnsi="Aptos" w:cs="Aptos"/>
          <w:i w:val="0"/>
          <w:iCs w:val="0"/>
          <w:lang w:val="fr-FR"/>
        </w:rPr>
        <w:t>. Les pourcentages sont pondérés par Partie, de façon à ne pas surreprésenter les associations établies par les Parties qui soumettent plusieurs cibles nationales et à donner de ces associations une image équilibrée, dans laquelle la contribution de chaque Partie a le même poids</w:t>
      </w:r>
      <w:r w:rsidRPr="00653BF4">
        <w:rPr>
          <w:rFonts w:ascii="Aptos" w:eastAsia="Aptos" w:hAnsi="Aptos" w:cs="Aptos"/>
          <w:lang w:val="fr-FR"/>
        </w:rPr>
        <w:t>.</w:t>
      </w:r>
    </w:p>
    <w:p w14:paraId="2D85F707" w14:textId="52AA2D71" w:rsidR="007A60EC" w:rsidRPr="00653BF4" w:rsidRDefault="007A60EC" w:rsidP="007A60EC">
      <w:pPr>
        <w:rPr>
          <w:sz w:val="18"/>
          <w:szCs w:val="18"/>
          <w:lang w:val="fr-FR"/>
        </w:rPr>
      </w:pPr>
      <w:r w:rsidRPr="00653BF4">
        <w:rPr>
          <w:i/>
          <w:iCs/>
          <w:sz w:val="18"/>
          <w:szCs w:val="18"/>
          <w:lang w:val="fr-FR" w:eastAsia="ja-JP"/>
        </w:rPr>
        <w:t>Abréviations</w:t>
      </w:r>
      <w:r w:rsidR="00E34DC9">
        <w:rPr>
          <w:i/>
          <w:iCs/>
          <w:sz w:val="18"/>
          <w:szCs w:val="18"/>
          <w:lang w:val="fr-FR" w:eastAsia="ja-JP"/>
        </w:rPr>
        <w:t> :</w:t>
      </w:r>
      <w:r w:rsidRPr="00653BF4">
        <w:rPr>
          <w:sz w:val="18"/>
          <w:szCs w:val="18"/>
          <w:lang w:val="fr-FR" w:eastAsia="ja-JP"/>
        </w:rPr>
        <w:t xml:space="preserve"> CMB, Cadre mondial de la biodiversité de Kunming-Montréal</w:t>
      </w:r>
      <w:r w:rsidR="00E34DC9">
        <w:rPr>
          <w:sz w:val="18"/>
          <w:szCs w:val="18"/>
          <w:lang w:val="fr-FR" w:eastAsia="ja-JP"/>
        </w:rPr>
        <w:t> ;</w:t>
      </w:r>
      <w:r w:rsidRPr="00653BF4">
        <w:rPr>
          <w:sz w:val="18"/>
          <w:szCs w:val="18"/>
          <w:lang w:val="fr-FR" w:eastAsia="ja-JP"/>
        </w:rPr>
        <w:t xml:space="preserve"> C, cible du Cadre.</w:t>
      </w:r>
    </w:p>
    <w:tbl>
      <w:tblPr>
        <w:tblStyle w:val="TableGrid"/>
        <w:tblW w:w="9700" w:type="dxa"/>
        <w:tblLayout w:type="fixed"/>
        <w:tblLook w:val="04A0" w:firstRow="1" w:lastRow="0" w:firstColumn="1" w:lastColumn="0" w:noHBand="0" w:noVBand="1"/>
      </w:tblPr>
      <w:tblGrid>
        <w:gridCol w:w="4673"/>
        <w:gridCol w:w="5027"/>
      </w:tblGrid>
      <w:tr w:rsidR="001279A8" w:rsidRPr="00652835" w14:paraId="6CD39EA5" w14:textId="77777777" w:rsidTr="009B4355">
        <w:tc>
          <w:tcPr>
            <w:tcW w:w="9700" w:type="dxa"/>
            <w:gridSpan w:val="2"/>
          </w:tcPr>
          <w:p w14:paraId="387B4A06" w14:textId="77777777" w:rsidR="001279A8" w:rsidRPr="00652835" w:rsidRDefault="001279A8" w:rsidP="009B4355">
            <w:pPr>
              <w:rPr>
                <w:rFonts w:ascii="Aptos" w:hAnsi="Aptos"/>
              </w:rPr>
            </w:pPr>
            <w:r>
              <w:rPr>
                <w:rFonts w:ascii="Aptos" w:hAnsi="Aptos"/>
              </w:rPr>
              <w:t>Figure 95</w:t>
            </w:r>
          </w:p>
        </w:tc>
      </w:tr>
      <w:tr w:rsidR="001279A8" w:rsidRPr="00652835" w14:paraId="7E9B1471" w14:textId="77777777" w:rsidTr="009B4355">
        <w:tc>
          <w:tcPr>
            <w:tcW w:w="4673" w:type="dxa"/>
          </w:tcPr>
          <w:p w14:paraId="0D7A1150" w14:textId="77777777" w:rsidR="001279A8" w:rsidRPr="00652835" w:rsidRDefault="001279A8" w:rsidP="009B4355">
            <w:pPr>
              <w:rPr>
                <w:rFonts w:ascii="Aptos" w:hAnsi="Aptos"/>
              </w:rPr>
            </w:pPr>
            <w:r w:rsidRPr="00652835">
              <w:rPr>
                <w:rFonts w:ascii="Aptos" w:hAnsi="Aptos"/>
              </w:rPr>
              <w:t xml:space="preserve">English </w:t>
            </w:r>
          </w:p>
        </w:tc>
        <w:tc>
          <w:tcPr>
            <w:tcW w:w="5027" w:type="dxa"/>
          </w:tcPr>
          <w:p w14:paraId="1EF6D6CC" w14:textId="77777777" w:rsidR="001279A8" w:rsidRPr="00652835" w:rsidRDefault="001279A8" w:rsidP="009B4355">
            <w:pPr>
              <w:rPr>
                <w:rFonts w:ascii="Aptos" w:hAnsi="Aptos"/>
              </w:rPr>
            </w:pPr>
            <w:r>
              <w:rPr>
                <w:rFonts w:ascii="Aptos" w:hAnsi="Aptos"/>
              </w:rPr>
              <w:t>Français</w:t>
            </w:r>
          </w:p>
        </w:tc>
      </w:tr>
      <w:tr w:rsidR="001279A8" w:rsidRPr="003A6336" w14:paraId="4CB8DB06" w14:textId="77777777" w:rsidTr="009B4355">
        <w:tc>
          <w:tcPr>
            <w:tcW w:w="4673" w:type="dxa"/>
          </w:tcPr>
          <w:p w14:paraId="1E6C2611" w14:textId="77777777" w:rsidR="001279A8" w:rsidRPr="003A6336" w:rsidRDefault="001279A8" w:rsidP="009B4355">
            <w:pPr>
              <w:rPr>
                <w:rFonts w:ascii="Aptos" w:hAnsi="Aptos"/>
              </w:rPr>
            </w:pPr>
            <w:r>
              <w:rPr>
                <w:rFonts w:ascii="Aptos" w:hAnsi="Aptos"/>
              </w:rPr>
              <w:lastRenderedPageBreak/>
              <w:t>Relative alignment: global goals to global targets</w:t>
            </w:r>
          </w:p>
        </w:tc>
        <w:tc>
          <w:tcPr>
            <w:tcW w:w="5027" w:type="dxa"/>
          </w:tcPr>
          <w:p w14:paraId="35FD2D1F" w14:textId="77777777" w:rsidR="001279A8" w:rsidRPr="003A6336" w:rsidRDefault="001279A8" w:rsidP="009B4355">
            <w:pPr>
              <w:rPr>
                <w:rFonts w:ascii="Aptos" w:hAnsi="Aptos"/>
              </w:rPr>
            </w:pPr>
            <w:r>
              <w:t>Alignement relatif : objectifs mondiaux et cibles mondiales</w:t>
            </w:r>
          </w:p>
        </w:tc>
      </w:tr>
      <w:tr w:rsidR="001279A8" w:rsidRPr="003A6336" w14:paraId="14ABFC05" w14:textId="77777777" w:rsidTr="009B4355">
        <w:tc>
          <w:tcPr>
            <w:tcW w:w="4673" w:type="dxa"/>
          </w:tcPr>
          <w:p w14:paraId="6AB74A12" w14:textId="77777777" w:rsidR="001279A8" w:rsidRPr="003A6336" w:rsidRDefault="001279A8" w:rsidP="009B4355">
            <w:pPr>
              <w:rPr>
                <w:rFonts w:ascii="Aptos" w:hAnsi="Aptos"/>
              </w:rPr>
            </w:pPr>
            <w:r>
              <w:rPr>
                <w:rFonts w:ascii="Aptos" w:hAnsi="Aptos"/>
              </w:rPr>
              <w:t>Labels show Party weighted % of target’s total occurrences associated with each goal</w:t>
            </w:r>
          </w:p>
        </w:tc>
        <w:tc>
          <w:tcPr>
            <w:tcW w:w="5027" w:type="dxa"/>
          </w:tcPr>
          <w:p w14:paraId="14A18D07" w14:textId="77777777" w:rsidR="001279A8" w:rsidRPr="005F317F" w:rsidRDefault="001279A8" w:rsidP="009B4355">
            <w:pPr>
              <w:rPr>
                <w:lang w:val="fr-FR"/>
              </w:rPr>
            </w:pPr>
            <w:r>
              <w:rPr>
                <w:lang w:val="fr-FR"/>
              </w:rPr>
              <w:t>Les valeurs affichées indiquent le pourcentage, pondéré par Partie, du nombre total d’occurrences de la cible associées à chaque objectif</w:t>
            </w:r>
          </w:p>
        </w:tc>
      </w:tr>
      <w:tr w:rsidR="001279A8" w:rsidRPr="003A6336" w14:paraId="172088D0" w14:textId="77777777" w:rsidTr="009B4355">
        <w:tc>
          <w:tcPr>
            <w:tcW w:w="4673" w:type="dxa"/>
          </w:tcPr>
          <w:p w14:paraId="24F00151" w14:textId="77777777" w:rsidR="001279A8" w:rsidRPr="003A6336" w:rsidRDefault="001279A8" w:rsidP="009B4355">
            <w:pPr>
              <w:rPr>
                <w:rFonts w:ascii="Aptos" w:hAnsi="Aptos"/>
              </w:rPr>
            </w:pPr>
            <w:r>
              <w:rPr>
                <w:rFonts w:ascii="Aptos" w:hAnsi="Aptos"/>
              </w:rPr>
              <w:t>Global goal</w:t>
            </w:r>
          </w:p>
        </w:tc>
        <w:tc>
          <w:tcPr>
            <w:tcW w:w="5027" w:type="dxa"/>
          </w:tcPr>
          <w:p w14:paraId="266F4E6E" w14:textId="77777777" w:rsidR="001279A8" w:rsidRPr="003A6336" w:rsidRDefault="001279A8" w:rsidP="009B4355">
            <w:pPr>
              <w:rPr>
                <w:rFonts w:ascii="Aptos" w:hAnsi="Aptos"/>
              </w:rPr>
            </w:pPr>
            <w:r>
              <w:t>Objectif mondial</w:t>
            </w:r>
          </w:p>
        </w:tc>
      </w:tr>
      <w:tr w:rsidR="001279A8" w:rsidRPr="003A6336" w14:paraId="01C96FEB" w14:textId="77777777" w:rsidTr="009B4355">
        <w:tc>
          <w:tcPr>
            <w:tcW w:w="4673" w:type="dxa"/>
          </w:tcPr>
          <w:p w14:paraId="562D458A" w14:textId="77777777" w:rsidR="001279A8" w:rsidRPr="003A6336" w:rsidRDefault="001279A8" w:rsidP="009B4355">
            <w:pPr>
              <w:rPr>
                <w:rFonts w:ascii="Aptos" w:hAnsi="Aptos"/>
              </w:rPr>
            </w:pPr>
            <w:r>
              <w:rPr>
                <w:rFonts w:ascii="Aptos" w:hAnsi="Aptos"/>
              </w:rPr>
              <w:t>GBF-Goal-D</w:t>
            </w:r>
          </w:p>
        </w:tc>
        <w:tc>
          <w:tcPr>
            <w:tcW w:w="5027" w:type="dxa"/>
          </w:tcPr>
          <w:p w14:paraId="21D19EE5" w14:textId="77777777" w:rsidR="001279A8" w:rsidRPr="003A6336" w:rsidRDefault="001279A8" w:rsidP="009B4355">
            <w:pPr>
              <w:rPr>
                <w:rFonts w:ascii="Aptos" w:hAnsi="Aptos"/>
              </w:rPr>
            </w:pPr>
            <w:r>
              <w:rPr>
                <w:rFonts w:ascii="Aptos" w:hAnsi="Aptos"/>
              </w:rPr>
              <w:t>CMB-Objectif-D</w:t>
            </w:r>
          </w:p>
        </w:tc>
      </w:tr>
      <w:tr w:rsidR="001279A8" w:rsidRPr="003A6336" w14:paraId="1040EE24" w14:textId="77777777" w:rsidTr="009B4355">
        <w:tc>
          <w:tcPr>
            <w:tcW w:w="4673" w:type="dxa"/>
          </w:tcPr>
          <w:p w14:paraId="27D72ABE" w14:textId="77777777" w:rsidR="001279A8" w:rsidRPr="003A6336" w:rsidRDefault="001279A8" w:rsidP="009B4355">
            <w:pPr>
              <w:rPr>
                <w:rFonts w:ascii="Aptos" w:hAnsi="Aptos"/>
              </w:rPr>
            </w:pPr>
            <w:r>
              <w:rPr>
                <w:rFonts w:ascii="Aptos" w:hAnsi="Aptos"/>
              </w:rPr>
              <w:t>GBF-Goal-C</w:t>
            </w:r>
          </w:p>
        </w:tc>
        <w:tc>
          <w:tcPr>
            <w:tcW w:w="5027" w:type="dxa"/>
          </w:tcPr>
          <w:p w14:paraId="048F807D" w14:textId="77777777" w:rsidR="001279A8" w:rsidRPr="003A6336" w:rsidRDefault="001279A8" w:rsidP="009B4355">
            <w:pPr>
              <w:rPr>
                <w:rFonts w:ascii="Aptos" w:hAnsi="Aptos"/>
              </w:rPr>
            </w:pPr>
            <w:r>
              <w:rPr>
                <w:rFonts w:ascii="Aptos" w:hAnsi="Aptos"/>
              </w:rPr>
              <w:t>CMB-Objectif-C</w:t>
            </w:r>
          </w:p>
        </w:tc>
      </w:tr>
      <w:tr w:rsidR="001279A8" w:rsidRPr="003A6336" w14:paraId="4A311C01" w14:textId="77777777" w:rsidTr="009B4355">
        <w:tc>
          <w:tcPr>
            <w:tcW w:w="4673" w:type="dxa"/>
          </w:tcPr>
          <w:p w14:paraId="25FC8D6F" w14:textId="77777777" w:rsidR="001279A8" w:rsidRPr="003A6336" w:rsidRDefault="001279A8" w:rsidP="009B4355">
            <w:pPr>
              <w:rPr>
                <w:rFonts w:ascii="Aptos" w:hAnsi="Aptos"/>
              </w:rPr>
            </w:pPr>
            <w:r>
              <w:rPr>
                <w:rFonts w:ascii="Aptos" w:hAnsi="Aptos"/>
              </w:rPr>
              <w:t>GBF-Goal-B</w:t>
            </w:r>
          </w:p>
        </w:tc>
        <w:tc>
          <w:tcPr>
            <w:tcW w:w="5027" w:type="dxa"/>
          </w:tcPr>
          <w:p w14:paraId="64CA9132" w14:textId="77777777" w:rsidR="001279A8" w:rsidRPr="003A6336" w:rsidRDefault="001279A8" w:rsidP="009B4355">
            <w:pPr>
              <w:rPr>
                <w:rFonts w:ascii="Aptos" w:hAnsi="Aptos"/>
              </w:rPr>
            </w:pPr>
            <w:r>
              <w:rPr>
                <w:rFonts w:ascii="Aptos" w:hAnsi="Aptos"/>
              </w:rPr>
              <w:t>CMB-Objectif-B</w:t>
            </w:r>
          </w:p>
        </w:tc>
      </w:tr>
      <w:tr w:rsidR="001279A8" w:rsidRPr="003A6336" w14:paraId="35624ADF" w14:textId="77777777" w:rsidTr="009B4355">
        <w:tc>
          <w:tcPr>
            <w:tcW w:w="4673" w:type="dxa"/>
          </w:tcPr>
          <w:p w14:paraId="590C4155" w14:textId="77777777" w:rsidR="001279A8" w:rsidRPr="003A6336" w:rsidRDefault="001279A8" w:rsidP="009B4355">
            <w:pPr>
              <w:rPr>
                <w:rFonts w:ascii="Aptos" w:hAnsi="Aptos"/>
              </w:rPr>
            </w:pPr>
            <w:r>
              <w:rPr>
                <w:rFonts w:ascii="Aptos" w:hAnsi="Aptos"/>
              </w:rPr>
              <w:t>GBF-Goal-A</w:t>
            </w:r>
          </w:p>
        </w:tc>
        <w:tc>
          <w:tcPr>
            <w:tcW w:w="5027" w:type="dxa"/>
          </w:tcPr>
          <w:p w14:paraId="46333418" w14:textId="77777777" w:rsidR="001279A8" w:rsidRPr="003A6336" w:rsidRDefault="001279A8" w:rsidP="009B4355">
            <w:pPr>
              <w:rPr>
                <w:rFonts w:ascii="Aptos" w:hAnsi="Aptos"/>
              </w:rPr>
            </w:pPr>
            <w:r>
              <w:rPr>
                <w:rFonts w:ascii="Aptos" w:hAnsi="Aptos"/>
              </w:rPr>
              <w:t>CMB-Objectif-A</w:t>
            </w:r>
          </w:p>
        </w:tc>
      </w:tr>
      <w:tr w:rsidR="001279A8" w:rsidRPr="003A6336" w14:paraId="3E14C4C3" w14:textId="77777777" w:rsidTr="009B4355">
        <w:tc>
          <w:tcPr>
            <w:tcW w:w="4673" w:type="dxa"/>
          </w:tcPr>
          <w:p w14:paraId="16DF11CC" w14:textId="77777777" w:rsidR="001279A8" w:rsidRPr="003A6336" w:rsidRDefault="001279A8" w:rsidP="009B4355">
            <w:pPr>
              <w:rPr>
                <w:rFonts w:ascii="Aptos" w:hAnsi="Aptos"/>
              </w:rPr>
            </w:pPr>
            <w:r>
              <w:rPr>
                <w:rFonts w:ascii="Aptos" w:hAnsi="Aptos"/>
              </w:rPr>
              <w:t>Global target</w:t>
            </w:r>
          </w:p>
        </w:tc>
        <w:tc>
          <w:tcPr>
            <w:tcW w:w="5027" w:type="dxa"/>
          </w:tcPr>
          <w:p w14:paraId="06BA8F36" w14:textId="77777777" w:rsidR="001279A8" w:rsidRPr="003A6336" w:rsidRDefault="001279A8" w:rsidP="009B4355">
            <w:pPr>
              <w:rPr>
                <w:rFonts w:ascii="Aptos" w:hAnsi="Aptos"/>
              </w:rPr>
            </w:pPr>
            <w:r>
              <w:t>Cible mondiale</w:t>
            </w:r>
          </w:p>
        </w:tc>
      </w:tr>
      <w:tr w:rsidR="001279A8" w:rsidRPr="003A6336" w14:paraId="3467941E" w14:textId="77777777" w:rsidTr="009B4355">
        <w:tc>
          <w:tcPr>
            <w:tcW w:w="4673" w:type="dxa"/>
          </w:tcPr>
          <w:p w14:paraId="3DCD44E2" w14:textId="77777777" w:rsidR="001279A8" w:rsidRPr="003A6336" w:rsidRDefault="001279A8" w:rsidP="009B4355">
            <w:pPr>
              <w:rPr>
                <w:rFonts w:ascii="Aptos" w:hAnsi="Aptos"/>
              </w:rPr>
            </w:pPr>
            <w:r>
              <w:rPr>
                <w:rFonts w:ascii="Aptos" w:hAnsi="Aptos"/>
              </w:rPr>
              <w:t>GBF-T01</w:t>
            </w:r>
          </w:p>
        </w:tc>
        <w:tc>
          <w:tcPr>
            <w:tcW w:w="5027" w:type="dxa"/>
          </w:tcPr>
          <w:p w14:paraId="06D855FE" w14:textId="77777777" w:rsidR="001279A8" w:rsidRPr="003A6336" w:rsidRDefault="001279A8" w:rsidP="009B4355">
            <w:pPr>
              <w:rPr>
                <w:rFonts w:ascii="Aptos" w:hAnsi="Aptos"/>
              </w:rPr>
            </w:pPr>
            <w:r>
              <w:rPr>
                <w:rFonts w:ascii="Aptos" w:hAnsi="Aptos"/>
              </w:rPr>
              <w:t>CMB-C01</w:t>
            </w:r>
          </w:p>
        </w:tc>
      </w:tr>
      <w:tr w:rsidR="001279A8" w:rsidRPr="003A6336" w14:paraId="42FBE656" w14:textId="77777777" w:rsidTr="009B4355">
        <w:tc>
          <w:tcPr>
            <w:tcW w:w="4673" w:type="dxa"/>
          </w:tcPr>
          <w:p w14:paraId="04AA0823" w14:textId="77777777" w:rsidR="001279A8" w:rsidRPr="003A6336" w:rsidRDefault="001279A8" w:rsidP="009B4355">
            <w:pPr>
              <w:rPr>
                <w:rFonts w:ascii="Aptos" w:hAnsi="Aptos"/>
              </w:rPr>
            </w:pPr>
            <w:r>
              <w:rPr>
                <w:rFonts w:ascii="Aptos" w:hAnsi="Aptos"/>
              </w:rPr>
              <w:t>GBF-T02</w:t>
            </w:r>
          </w:p>
        </w:tc>
        <w:tc>
          <w:tcPr>
            <w:tcW w:w="5027" w:type="dxa"/>
          </w:tcPr>
          <w:p w14:paraId="0A06D3E6" w14:textId="77777777" w:rsidR="001279A8" w:rsidRPr="003A6336" w:rsidRDefault="001279A8" w:rsidP="009B4355">
            <w:pPr>
              <w:rPr>
                <w:rFonts w:ascii="Aptos" w:hAnsi="Aptos"/>
              </w:rPr>
            </w:pPr>
            <w:r>
              <w:rPr>
                <w:rFonts w:ascii="Aptos" w:hAnsi="Aptos"/>
              </w:rPr>
              <w:t>CMB-C02</w:t>
            </w:r>
          </w:p>
        </w:tc>
      </w:tr>
      <w:tr w:rsidR="001279A8" w:rsidRPr="003A6336" w14:paraId="5B8F7CB4" w14:textId="77777777" w:rsidTr="009B4355">
        <w:tc>
          <w:tcPr>
            <w:tcW w:w="4673" w:type="dxa"/>
          </w:tcPr>
          <w:p w14:paraId="54C04B88" w14:textId="77777777" w:rsidR="001279A8" w:rsidRPr="003A6336" w:rsidRDefault="001279A8" w:rsidP="009B4355">
            <w:pPr>
              <w:rPr>
                <w:rFonts w:ascii="Aptos" w:hAnsi="Aptos"/>
              </w:rPr>
            </w:pPr>
            <w:r>
              <w:rPr>
                <w:rFonts w:ascii="Aptos" w:hAnsi="Aptos"/>
              </w:rPr>
              <w:t>GBF-T03</w:t>
            </w:r>
          </w:p>
        </w:tc>
        <w:tc>
          <w:tcPr>
            <w:tcW w:w="5027" w:type="dxa"/>
          </w:tcPr>
          <w:p w14:paraId="701E7586" w14:textId="77777777" w:rsidR="001279A8" w:rsidRPr="003A6336" w:rsidRDefault="001279A8" w:rsidP="009B4355">
            <w:pPr>
              <w:rPr>
                <w:rFonts w:ascii="Aptos" w:hAnsi="Aptos"/>
              </w:rPr>
            </w:pPr>
            <w:r>
              <w:rPr>
                <w:rFonts w:ascii="Aptos" w:hAnsi="Aptos"/>
              </w:rPr>
              <w:t>CMB-C03</w:t>
            </w:r>
          </w:p>
        </w:tc>
      </w:tr>
      <w:tr w:rsidR="001279A8" w:rsidRPr="003A6336" w14:paraId="0876DEC7" w14:textId="77777777" w:rsidTr="009B4355">
        <w:tc>
          <w:tcPr>
            <w:tcW w:w="4673" w:type="dxa"/>
          </w:tcPr>
          <w:p w14:paraId="2AAFFC4E" w14:textId="77777777" w:rsidR="001279A8" w:rsidRPr="003A6336" w:rsidRDefault="001279A8" w:rsidP="009B4355">
            <w:pPr>
              <w:rPr>
                <w:rFonts w:ascii="Aptos" w:hAnsi="Aptos"/>
              </w:rPr>
            </w:pPr>
            <w:r>
              <w:rPr>
                <w:rFonts w:ascii="Aptos" w:hAnsi="Aptos"/>
              </w:rPr>
              <w:t>GBF-T04</w:t>
            </w:r>
          </w:p>
        </w:tc>
        <w:tc>
          <w:tcPr>
            <w:tcW w:w="5027" w:type="dxa"/>
          </w:tcPr>
          <w:p w14:paraId="3C6EF9ED" w14:textId="77777777" w:rsidR="001279A8" w:rsidRPr="003A6336" w:rsidRDefault="001279A8" w:rsidP="009B4355">
            <w:pPr>
              <w:rPr>
                <w:rFonts w:ascii="Aptos" w:hAnsi="Aptos"/>
              </w:rPr>
            </w:pPr>
            <w:r>
              <w:rPr>
                <w:rFonts w:ascii="Aptos" w:hAnsi="Aptos"/>
              </w:rPr>
              <w:t>CMB-C04</w:t>
            </w:r>
          </w:p>
        </w:tc>
      </w:tr>
      <w:tr w:rsidR="001279A8" w:rsidRPr="003A6336" w14:paraId="7A345A52" w14:textId="77777777" w:rsidTr="009B4355">
        <w:tc>
          <w:tcPr>
            <w:tcW w:w="4673" w:type="dxa"/>
          </w:tcPr>
          <w:p w14:paraId="534D3E6D" w14:textId="77777777" w:rsidR="001279A8" w:rsidRPr="003A6336" w:rsidRDefault="001279A8" w:rsidP="009B4355">
            <w:pPr>
              <w:rPr>
                <w:rFonts w:ascii="Aptos" w:hAnsi="Aptos"/>
              </w:rPr>
            </w:pPr>
            <w:r>
              <w:rPr>
                <w:rFonts w:ascii="Aptos" w:hAnsi="Aptos"/>
              </w:rPr>
              <w:t>GBF-T05</w:t>
            </w:r>
          </w:p>
        </w:tc>
        <w:tc>
          <w:tcPr>
            <w:tcW w:w="5027" w:type="dxa"/>
          </w:tcPr>
          <w:p w14:paraId="5560B609" w14:textId="77777777" w:rsidR="001279A8" w:rsidRPr="003A6336" w:rsidRDefault="001279A8" w:rsidP="009B4355">
            <w:pPr>
              <w:rPr>
                <w:rFonts w:ascii="Aptos" w:hAnsi="Aptos"/>
              </w:rPr>
            </w:pPr>
            <w:r>
              <w:rPr>
                <w:rFonts w:ascii="Aptos" w:hAnsi="Aptos"/>
              </w:rPr>
              <w:t>CMB-C05</w:t>
            </w:r>
          </w:p>
        </w:tc>
      </w:tr>
      <w:tr w:rsidR="001279A8" w:rsidRPr="003A6336" w14:paraId="585219F5" w14:textId="77777777" w:rsidTr="009B4355">
        <w:tc>
          <w:tcPr>
            <w:tcW w:w="4673" w:type="dxa"/>
          </w:tcPr>
          <w:p w14:paraId="457A00F0" w14:textId="77777777" w:rsidR="001279A8" w:rsidRPr="003A6336" w:rsidRDefault="001279A8" w:rsidP="009B4355">
            <w:pPr>
              <w:rPr>
                <w:rFonts w:ascii="Aptos" w:hAnsi="Aptos"/>
              </w:rPr>
            </w:pPr>
            <w:r>
              <w:rPr>
                <w:rFonts w:ascii="Aptos" w:hAnsi="Aptos"/>
              </w:rPr>
              <w:t>GBF-T06</w:t>
            </w:r>
          </w:p>
        </w:tc>
        <w:tc>
          <w:tcPr>
            <w:tcW w:w="5027" w:type="dxa"/>
          </w:tcPr>
          <w:p w14:paraId="7482C87B" w14:textId="77777777" w:rsidR="001279A8" w:rsidRPr="003A6336" w:rsidRDefault="001279A8" w:rsidP="009B4355">
            <w:pPr>
              <w:rPr>
                <w:rFonts w:ascii="Aptos" w:hAnsi="Aptos"/>
              </w:rPr>
            </w:pPr>
            <w:r>
              <w:rPr>
                <w:rFonts w:ascii="Aptos" w:hAnsi="Aptos"/>
              </w:rPr>
              <w:t>CMB-C06</w:t>
            </w:r>
          </w:p>
        </w:tc>
      </w:tr>
      <w:tr w:rsidR="001279A8" w:rsidRPr="003A6336" w14:paraId="39FADE59" w14:textId="77777777" w:rsidTr="009B4355">
        <w:tc>
          <w:tcPr>
            <w:tcW w:w="4673" w:type="dxa"/>
          </w:tcPr>
          <w:p w14:paraId="60BAAED5" w14:textId="77777777" w:rsidR="001279A8" w:rsidRPr="003A6336" w:rsidRDefault="001279A8" w:rsidP="009B4355">
            <w:pPr>
              <w:rPr>
                <w:rFonts w:ascii="Aptos" w:hAnsi="Aptos"/>
              </w:rPr>
            </w:pPr>
            <w:r>
              <w:rPr>
                <w:rFonts w:ascii="Aptos" w:hAnsi="Aptos"/>
              </w:rPr>
              <w:t>GBF-T07</w:t>
            </w:r>
          </w:p>
        </w:tc>
        <w:tc>
          <w:tcPr>
            <w:tcW w:w="5027" w:type="dxa"/>
          </w:tcPr>
          <w:p w14:paraId="74D2119E" w14:textId="77777777" w:rsidR="001279A8" w:rsidRPr="003A6336" w:rsidRDefault="001279A8" w:rsidP="009B4355">
            <w:pPr>
              <w:rPr>
                <w:rFonts w:ascii="Aptos" w:hAnsi="Aptos"/>
              </w:rPr>
            </w:pPr>
            <w:r>
              <w:rPr>
                <w:rFonts w:ascii="Aptos" w:hAnsi="Aptos"/>
              </w:rPr>
              <w:t>CMB-C07</w:t>
            </w:r>
          </w:p>
        </w:tc>
      </w:tr>
      <w:tr w:rsidR="001279A8" w:rsidRPr="003A6336" w14:paraId="6AF7E4A2" w14:textId="77777777" w:rsidTr="009B4355">
        <w:tc>
          <w:tcPr>
            <w:tcW w:w="4673" w:type="dxa"/>
          </w:tcPr>
          <w:p w14:paraId="6830D139" w14:textId="77777777" w:rsidR="001279A8" w:rsidRPr="003A6336" w:rsidRDefault="001279A8" w:rsidP="009B4355">
            <w:pPr>
              <w:rPr>
                <w:rFonts w:ascii="Aptos" w:hAnsi="Aptos"/>
              </w:rPr>
            </w:pPr>
            <w:r>
              <w:rPr>
                <w:rFonts w:ascii="Aptos" w:hAnsi="Aptos"/>
              </w:rPr>
              <w:t>GBF-T08</w:t>
            </w:r>
          </w:p>
        </w:tc>
        <w:tc>
          <w:tcPr>
            <w:tcW w:w="5027" w:type="dxa"/>
          </w:tcPr>
          <w:p w14:paraId="33D77031" w14:textId="77777777" w:rsidR="001279A8" w:rsidRPr="003A6336" w:rsidRDefault="001279A8" w:rsidP="009B4355">
            <w:pPr>
              <w:rPr>
                <w:rFonts w:ascii="Aptos" w:hAnsi="Aptos"/>
              </w:rPr>
            </w:pPr>
            <w:r>
              <w:rPr>
                <w:rFonts w:ascii="Aptos" w:hAnsi="Aptos"/>
              </w:rPr>
              <w:t>CMB-C08</w:t>
            </w:r>
          </w:p>
        </w:tc>
      </w:tr>
      <w:tr w:rsidR="001279A8" w:rsidRPr="003A6336" w14:paraId="436B0BA8" w14:textId="77777777" w:rsidTr="009B4355">
        <w:tc>
          <w:tcPr>
            <w:tcW w:w="4673" w:type="dxa"/>
          </w:tcPr>
          <w:p w14:paraId="430B1D14" w14:textId="77777777" w:rsidR="001279A8" w:rsidRPr="003A6336" w:rsidRDefault="001279A8" w:rsidP="009B4355">
            <w:pPr>
              <w:rPr>
                <w:rFonts w:ascii="Aptos" w:hAnsi="Aptos"/>
              </w:rPr>
            </w:pPr>
            <w:r>
              <w:rPr>
                <w:rFonts w:ascii="Aptos" w:hAnsi="Aptos"/>
              </w:rPr>
              <w:t>GBF-T09</w:t>
            </w:r>
          </w:p>
        </w:tc>
        <w:tc>
          <w:tcPr>
            <w:tcW w:w="5027" w:type="dxa"/>
          </w:tcPr>
          <w:p w14:paraId="1C67566B" w14:textId="77777777" w:rsidR="001279A8" w:rsidRPr="003A6336" w:rsidRDefault="001279A8" w:rsidP="009B4355">
            <w:pPr>
              <w:rPr>
                <w:rFonts w:ascii="Aptos" w:hAnsi="Aptos"/>
              </w:rPr>
            </w:pPr>
            <w:r>
              <w:rPr>
                <w:rFonts w:ascii="Aptos" w:hAnsi="Aptos"/>
              </w:rPr>
              <w:t>CMB-C09</w:t>
            </w:r>
          </w:p>
        </w:tc>
      </w:tr>
      <w:tr w:rsidR="001279A8" w:rsidRPr="003A6336" w14:paraId="3811062E" w14:textId="77777777" w:rsidTr="009B4355">
        <w:tc>
          <w:tcPr>
            <w:tcW w:w="4673" w:type="dxa"/>
          </w:tcPr>
          <w:p w14:paraId="7CAAFC20" w14:textId="77777777" w:rsidR="001279A8" w:rsidRPr="003A6336" w:rsidRDefault="001279A8" w:rsidP="009B4355">
            <w:pPr>
              <w:rPr>
                <w:rFonts w:ascii="Aptos" w:hAnsi="Aptos"/>
              </w:rPr>
            </w:pPr>
            <w:r>
              <w:rPr>
                <w:rFonts w:ascii="Aptos" w:hAnsi="Aptos"/>
              </w:rPr>
              <w:t>GBF-T10</w:t>
            </w:r>
          </w:p>
        </w:tc>
        <w:tc>
          <w:tcPr>
            <w:tcW w:w="5027" w:type="dxa"/>
          </w:tcPr>
          <w:p w14:paraId="46975E7F" w14:textId="77777777" w:rsidR="001279A8" w:rsidRPr="003A6336" w:rsidRDefault="001279A8" w:rsidP="009B4355">
            <w:pPr>
              <w:rPr>
                <w:rFonts w:ascii="Aptos" w:hAnsi="Aptos"/>
              </w:rPr>
            </w:pPr>
            <w:r>
              <w:rPr>
                <w:rFonts w:ascii="Aptos" w:hAnsi="Aptos"/>
              </w:rPr>
              <w:t>CMB-C10</w:t>
            </w:r>
          </w:p>
        </w:tc>
      </w:tr>
      <w:tr w:rsidR="001279A8" w:rsidRPr="003A6336" w14:paraId="38A42E9E" w14:textId="77777777" w:rsidTr="009B4355">
        <w:tc>
          <w:tcPr>
            <w:tcW w:w="4673" w:type="dxa"/>
          </w:tcPr>
          <w:p w14:paraId="0026D69A" w14:textId="77777777" w:rsidR="001279A8" w:rsidRPr="003A6336" w:rsidRDefault="001279A8" w:rsidP="009B4355">
            <w:pPr>
              <w:rPr>
                <w:rFonts w:ascii="Aptos" w:hAnsi="Aptos"/>
              </w:rPr>
            </w:pPr>
            <w:r>
              <w:rPr>
                <w:rFonts w:ascii="Aptos" w:hAnsi="Aptos"/>
              </w:rPr>
              <w:t>GBF-T11</w:t>
            </w:r>
          </w:p>
        </w:tc>
        <w:tc>
          <w:tcPr>
            <w:tcW w:w="5027" w:type="dxa"/>
          </w:tcPr>
          <w:p w14:paraId="6D0374C9" w14:textId="77777777" w:rsidR="001279A8" w:rsidRPr="003A6336" w:rsidRDefault="001279A8" w:rsidP="009B4355">
            <w:pPr>
              <w:rPr>
                <w:rFonts w:ascii="Aptos" w:hAnsi="Aptos"/>
              </w:rPr>
            </w:pPr>
            <w:r>
              <w:rPr>
                <w:rFonts w:ascii="Aptos" w:hAnsi="Aptos"/>
              </w:rPr>
              <w:t>CMB-C11</w:t>
            </w:r>
          </w:p>
        </w:tc>
      </w:tr>
      <w:tr w:rsidR="001279A8" w:rsidRPr="003A6336" w14:paraId="03B756F7" w14:textId="77777777" w:rsidTr="009B4355">
        <w:tc>
          <w:tcPr>
            <w:tcW w:w="4673" w:type="dxa"/>
          </w:tcPr>
          <w:p w14:paraId="0D9D4555" w14:textId="77777777" w:rsidR="001279A8" w:rsidRPr="003A6336" w:rsidRDefault="001279A8" w:rsidP="009B4355">
            <w:pPr>
              <w:rPr>
                <w:rFonts w:ascii="Aptos" w:hAnsi="Aptos"/>
              </w:rPr>
            </w:pPr>
            <w:r>
              <w:rPr>
                <w:rFonts w:ascii="Aptos" w:hAnsi="Aptos"/>
              </w:rPr>
              <w:t>GBF-T12</w:t>
            </w:r>
          </w:p>
        </w:tc>
        <w:tc>
          <w:tcPr>
            <w:tcW w:w="5027" w:type="dxa"/>
          </w:tcPr>
          <w:p w14:paraId="657990DD" w14:textId="77777777" w:rsidR="001279A8" w:rsidRPr="003A6336" w:rsidRDefault="001279A8" w:rsidP="009B4355">
            <w:pPr>
              <w:rPr>
                <w:rFonts w:ascii="Aptos" w:hAnsi="Aptos"/>
              </w:rPr>
            </w:pPr>
            <w:r>
              <w:rPr>
                <w:rFonts w:ascii="Aptos" w:hAnsi="Aptos"/>
              </w:rPr>
              <w:t>CMB-C12</w:t>
            </w:r>
          </w:p>
        </w:tc>
      </w:tr>
      <w:tr w:rsidR="001279A8" w:rsidRPr="003A6336" w14:paraId="1880AC60" w14:textId="77777777" w:rsidTr="009B4355">
        <w:tc>
          <w:tcPr>
            <w:tcW w:w="4673" w:type="dxa"/>
          </w:tcPr>
          <w:p w14:paraId="2B8FEBB1" w14:textId="77777777" w:rsidR="001279A8" w:rsidRPr="003A6336" w:rsidRDefault="001279A8" w:rsidP="009B4355">
            <w:pPr>
              <w:rPr>
                <w:rFonts w:ascii="Aptos" w:hAnsi="Aptos"/>
              </w:rPr>
            </w:pPr>
            <w:r>
              <w:rPr>
                <w:rFonts w:ascii="Aptos" w:hAnsi="Aptos"/>
              </w:rPr>
              <w:t>GBF-T13</w:t>
            </w:r>
          </w:p>
        </w:tc>
        <w:tc>
          <w:tcPr>
            <w:tcW w:w="5027" w:type="dxa"/>
          </w:tcPr>
          <w:p w14:paraId="4B51B45A" w14:textId="77777777" w:rsidR="001279A8" w:rsidRPr="003A6336" w:rsidRDefault="001279A8" w:rsidP="009B4355">
            <w:pPr>
              <w:rPr>
                <w:rFonts w:ascii="Aptos" w:hAnsi="Aptos"/>
              </w:rPr>
            </w:pPr>
            <w:r>
              <w:rPr>
                <w:rFonts w:ascii="Aptos" w:hAnsi="Aptos"/>
              </w:rPr>
              <w:t>CMB-C13</w:t>
            </w:r>
          </w:p>
        </w:tc>
      </w:tr>
      <w:tr w:rsidR="001279A8" w:rsidRPr="003A6336" w14:paraId="1DFFB1F5" w14:textId="77777777" w:rsidTr="009B4355">
        <w:tc>
          <w:tcPr>
            <w:tcW w:w="4673" w:type="dxa"/>
          </w:tcPr>
          <w:p w14:paraId="1B61A3E3" w14:textId="77777777" w:rsidR="001279A8" w:rsidRPr="003A6336" w:rsidRDefault="001279A8" w:rsidP="009B4355">
            <w:pPr>
              <w:rPr>
                <w:rFonts w:ascii="Aptos" w:hAnsi="Aptos"/>
              </w:rPr>
            </w:pPr>
            <w:r>
              <w:rPr>
                <w:rFonts w:ascii="Aptos" w:hAnsi="Aptos"/>
              </w:rPr>
              <w:t>GBF-T14</w:t>
            </w:r>
          </w:p>
        </w:tc>
        <w:tc>
          <w:tcPr>
            <w:tcW w:w="5027" w:type="dxa"/>
          </w:tcPr>
          <w:p w14:paraId="0BD8FA1C" w14:textId="77777777" w:rsidR="001279A8" w:rsidRPr="003A6336" w:rsidRDefault="001279A8" w:rsidP="009B4355">
            <w:pPr>
              <w:rPr>
                <w:rFonts w:ascii="Aptos" w:hAnsi="Aptos"/>
              </w:rPr>
            </w:pPr>
            <w:r>
              <w:rPr>
                <w:rFonts w:ascii="Aptos" w:hAnsi="Aptos"/>
              </w:rPr>
              <w:t>CMB-C14</w:t>
            </w:r>
          </w:p>
        </w:tc>
      </w:tr>
      <w:tr w:rsidR="001279A8" w:rsidRPr="003A6336" w14:paraId="5ECFB281" w14:textId="77777777" w:rsidTr="009B4355">
        <w:tc>
          <w:tcPr>
            <w:tcW w:w="4673" w:type="dxa"/>
          </w:tcPr>
          <w:p w14:paraId="755AB6CD" w14:textId="77777777" w:rsidR="001279A8" w:rsidRPr="003A6336" w:rsidRDefault="001279A8" w:rsidP="009B4355">
            <w:pPr>
              <w:rPr>
                <w:rFonts w:ascii="Aptos" w:hAnsi="Aptos"/>
              </w:rPr>
            </w:pPr>
            <w:r>
              <w:rPr>
                <w:rFonts w:ascii="Aptos" w:hAnsi="Aptos"/>
              </w:rPr>
              <w:t>GBF-T15</w:t>
            </w:r>
          </w:p>
        </w:tc>
        <w:tc>
          <w:tcPr>
            <w:tcW w:w="5027" w:type="dxa"/>
          </w:tcPr>
          <w:p w14:paraId="3423DC85" w14:textId="77777777" w:rsidR="001279A8" w:rsidRPr="003A6336" w:rsidRDefault="001279A8" w:rsidP="009B4355">
            <w:pPr>
              <w:rPr>
                <w:rFonts w:ascii="Aptos" w:hAnsi="Aptos"/>
              </w:rPr>
            </w:pPr>
            <w:r>
              <w:rPr>
                <w:rFonts w:ascii="Aptos" w:hAnsi="Aptos"/>
              </w:rPr>
              <w:t>CMB-C15</w:t>
            </w:r>
          </w:p>
        </w:tc>
      </w:tr>
      <w:tr w:rsidR="001279A8" w:rsidRPr="003A6336" w14:paraId="09641BED" w14:textId="77777777" w:rsidTr="009B4355">
        <w:tc>
          <w:tcPr>
            <w:tcW w:w="4673" w:type="dxa"/>
          </w:tcPr>
          <w:p w14:paraId="60FFF70C" w14:textId="77777777" w:rsidR="001279A8" w:rsidRPr="003A6336" w:rsidRDefault="001279A8" w:rsidP="009B4355">
            <w:pPr>
              <w:rPr>
                <w:rFonts w:ascii="Aptos" w:hAnsi="Aptos"/>
              </w:rPr>
            </w:pPr>
            <w:r>
              <w:rPr>
                <w:rFonts w:ascii="Aptos" w:hAnsi="Aptos"/>
              </w:rPr>
              <w:t>GBF-T16</w:t>
            </w:r>
          </w:p>
        </w:tc>
        <w:tc>
          <w:tcPr>
            <w:tcW w:w="5027" w:type="dxa"/>
          </w:tcPr>
          <w:p w14:paraId="56B56EAF" w14:textId="77777777" w:rsidR="001279A8" w:rsidRPr="003A6336" w:rsidRDefault="001279A8" w:rsidP="009B4355">
            <w:pPr>
              <w:rPr>
                <w:rFonts w:ascii="Aptos" w:hAnsi="Aptos"/>
              </w:rPr>
            </w:pPr>
            <w:r>
              <w:rPr>
                <w:rFonts w:ascii="Aptos" w:hAnsi="Aptos"/>
              </w:rPr>
              <w:t>CMB-C16</w:t>
            </w:r>
          </w:p>
        </w:tc>
      </w:tr>
      <w:tr w:rsidR="001279A8" w:rsidRPr="003A6336" w14:paraId="157B9CC2" w14:textId="77777777" w:rsidTr="009B4355">
        <w:tc>
          <w:tcPr>
            <w:tcW w:w="4673" w:type="dxa"/>
          </w:tcPr>
          <w:p w14:paraId="608FF93C" w14:textId="77777777" w:rsidR="001279A8" w:rsidRPr="003A6336" w:rsidRDefault="001279A8" w:rsidP="009B4355">
            <w:pPr>
              <w:rPr>
                <w:rFonts w:ascii="Aptos" w:hAnsi="Aptos"/>
              </w:rPr>
            </w:pPr>
            <w:r>
              <w:rPr>
                <w:rFonts w:ascii="Aptos" w:hAnsi="Aptos"/>
              </w:rPr>
              <w:t>GBF-T17</w:t>
            </w:r>
          </w:p>
        </w:tc>
        <w:tc>
          <w:tcPr>
            <w:tcW w:w="5027" w:type="dxa"/>
          </w:tcPr>
          <w:p w14:paraId="0E595E19" w14:textId="77777777" w:rsidR="001279A8" w:rsidRPr="003A6336" w:rsidRDefault="001279A8" w:rsidP="009B4355">
            <w:pPr>
              <w:rPr>
                <w:rFonts w:ascii="Aptos" w:hAnsi="Aptos"/>
              </w:rPr>
            </w:pPr>
            <w:r>
              <w:rPr>
                <w:rFonts w:ascii="Aptos" w:hAnsi="Aptos"/>
              </w:rPr>
              <w:t>CMB-C17</w:t>
            </w:r>
          </w:p>
        </w:tc>
      </w:tr>
      <w:tr w:rsidR="001279A8" w:rsidRPr="003A6336" w14:paraId="7B5579BF" w14:textId="77777777" w:rsidTr="009B4355">
        <w:tc>
          <w:tcPr>
            <w:tcW w:w="4673" w:type="dxa"/>
          </w:tcPr>
          <w:p w14:paraId="42397061" w14:textId="77777777" w:rsidR="001279A8" w:rsidRPr="003A6336" w:rsidRDefault="001279A8" w:rsidP="009B4355">
            <w:pPr>
              <w:rPr>
                <w:rFonts w:ascii="Aptos" w:hAnsi="Aptos"/>
              </w:rPr>
            </w:pPr>
            <w:r>
              <w:rPr>
                <w:rFonts w:ascii="Aptos" w:hAnsi="Aptos"/>
              </w:rPr>
              <w:t>GBF-T18</w:t>
            </w:r>
          </w:p>
        </w:tc>
        <w:tc>
          <w:tcPr>
            <w:tcW w:w="5027" w:type="dxa"/>
          </w:tcPr>
          <w:p w14:paraId="30991208" w14:textId="77777777" w:rsidR="001279A8" w:rsidRPr="003A6336" w:rsidRDefault="001279A8" w:rsidP="009B4355">
            <w:pPr>
              <w:rPr>
                <w:rFonts w:ascii="Aptos" w:hAnsi="Aptos"/>
              </w:rPr>
            </w:pPr>
            <w:r>
              <w:rPr>
                <w:rFonts w:ascii="Aptos" w:hAnsi="Aptos"/>
              </w:rPr>
              <w:t>CMB-C18</w:t>
            </w:r>
          </w:p>
        </w:tc>
      </w:tr>
      <w:tr w:rsidR="001279A8" w:rsidRPr="003A6336" w14:paraId="53B106BB" w14:textId="77777777" w:rsidTr="009B4355">
        <w:tc>
          <w:tcPr>
            <w:tcW w:w="4673" w:type="dxa"/>
          </w:tcPr>
          <w:p w14:paraId="192C811C" w14:textId="77777777" w:rsidR="001279A8" w:rsidRPr="003A6336" w:rsidRDefault="001279A8" w:rsidP="009B4355">
            <w:pPr>
              <w:rPr>
                <w:rFonts w:ascii="Aptos" w:hAnsi="Aptos"/>
              </w:rPr>
            </w:pPr>
            <w:r>
              <w:rPr>
                <w:rFonts w:ascii="Aptos" w:hAnsi="Aptos"/>
              </w:rPr>
              <w:t>GBF-T19</w:t>
            </w:r>
          </w:p>
        </w:tc>
        <w:tc>
          <w:tcPr>
            <w:tcW w:w="5027" w:type="dxa"/>
          </w:tcPr>
          <w:p w14:paraId="5B61D83A" w14:textId="77777777" w:rsidR="001279A8" w:rsidRPr="003A6336" w:rsidRDefault="001279A8" w:rsidP="009B4355">
            <w:pPr>
              <w:rPr>
                <w:rFonts w:ascii="Aptos" w:hAnsi="Aptos"/>
              </w:rPr>
            </w:pPr>
            <w:r>
              <w:rPr>
                <w:rFonts w:ascii="Aptos" w:hAnsi="Aptos"/>
              </w:rPr>
              <w:t>CMB-C19</w:t>
            </w:r>
          </w:p>
        </w:tc>
      </w:tr>
      <w:tr w:rsidR="001279A8" w:rsidRPr="003A6336" w14:paraId="3D274C7E" w14:textId="77777777" w:rsidTr="009B4355">
        <w:tc>
          <w:tcPr>
            <w:tcW w:w="4673" w:type="dxa"/>
          </w:tcPr>
          <w:p w14:paraId="495C0FB8" w14:textId="77777777" w:rsidR="001279A8" w:rsidRPr="003A6336" w:rsidRDefault="001279A8" w:rsidP="009B4355">
            <w:pPr>
              <w:rPr>
                <w:rFonts w:ascii="Aptos" w:hAnsi="Aptos"/>
              </w:rPr>
            </w:pPr>
            <w:r>
              <w:rPr>
                <w:rFonts w:ascii="Aptos" w:hAnsi="Aptos"/>
              </w:rPr>
              <w:t>GBF-T20</w:t>
            </w:r>
          </w:p>
        </w:tc>
        <w:tc>
          <w:tcPr>
            <w:tcW w:w="5027" w:type="dxa"/>
          </w:tcPr>
          <w:p w14:paraId="6BD3F33D" w14:textId="77777777" w:rsidR="001279A8" w:rsidRPr="003A6336" w:rsidRDefault="001279A8" w:rsidP="009B4355">
            <w:pPr>
              <w:rPr>
                <w:rFonts w:ascii="Aptos" w:hAnsi="Aptos"/>
              </w:rPr>
            </w:pPr>
            <w:r>
              <w:rPr>
                <w:rFonts w:ascii="Aptos" w:hAnsi="Aptos"/>
              </w:rPr>
              <w:t>CMB-C20</w:t>
            </w:r>
          </w:p>
        </w:tc>
      </w:tr>
      <w:tr w:rsidR="001279A8" w:rsidRPr="003A6336" w14:paraId="4CEF52C4" w14:textId="77777777" w:rsidTr="009B4355">
        <w:tc>
          <w:tcPr>
            <w:tcW w:w="4673" w:type="dxa"/>
          </w:tcPr>
          <w:p w14:paraId="27AE55D1" w14:textId="77777777" w:rsidR="001279A8" w:rsidRPr="003A6336" w:rsidRDefault="001279A8" w:rsidP="009B4355">
            <w:pPr>
              <w:rPr>
                <w:rFonts w:ascii="Aptos" w:hAnsi="Aptos"/>
              </w:rPr>
            </w:pPr>
            <w:r>
              <w:rPr>
                <w:rFonts w:ascii="Aptos" w:hAnsi="Aptos"/>
              </w:rPr>
              <w:t>GBF-T21</w:t>
            </w:r>
          </w:p>
        </w:tc>
        <w:tc>
          <w:tcPr>
            <w:tcW w:w="5027" w:type="dxa"/>
          </w:tcPr>
          <w:p w14:paraId="661EF6CF" w14:textId="77777777" w:rsidR="001279A8" w:rsidRPr="003A6336" w:rsidRDefault="001279A8" w:rsidP="009B4355">
            <w:pPr>
              <w:rPr>
                <w:rFonts w:ascii="Aptos" w:hAnsi="Aptos"/>
              </w:rPr>
            </w:pPr>
            <w:r>
              <w:rPr>
                <w:rFonts w:ascii="Aptos" w:hAnsi="Aptos"/>
              </w:rPr>
              <w:t>CMB-C21</w:t>
            </w:r>
          </w:p>
        </w:tc>
      </w:tr>
      <w:tr w:rsidR="001279A8" w:rsidRPr="003A6336" w14:paraId="423A1799" w14:textId="77777777" w:rsidTr="009B4355">
        <w:tc>
          <w:tcPr>
            <w:tcW w:w="4673" w:type="dxa"/>
          </w:tcPr>
          <w:p w14:paraId="144714CE" w14:textId="77777777" w:rsidR="001279A8" w:rsidRPr="003A6336" w:rsidRDefault="001279A8" w:rsidP="009B4355">
            <w:pPr>
              <w:rPr>
                <w:rFonts w:ascii="Aptos" w:hAnsi="Aptos"/>
              </w:rPr>
            </w:pPr>
            <w:r>
              <w:rPr>
                <w:rFonts w:ascii="Aptos" w:hAnsi="Aptos"/>
              </w:rPr>
              <w:t>GBF-T22</w:t>
            </w:r>
          </w:p>
        </w:tc>
        <w:tc>
          <w:tcPr>
            <w:tcW w:w="5027" w:type="dxa"/>
          </w:tcPr>
          <w:p w14:paraId="05F5D006" w14:textId="77777777" w:rsidR="001279A8" w:rsidRPr="003A6336" w:rsidRDefault="001279A8" w:rsidP="009B4355">
            <w:pPr>
              <w:rPr>
                <w:rFonts w:ascii="Aptos" w:hAnsi="Aptos"/>
              </w:rPr>
            </w:pPr>
            <w:r>
              <w:rPr>
                <w:rFonts w:ascii="Aptos" w:hAnsi="Aptos"/>
              </w:rPr>
              <w:t>CMB-C22</w:t>
            </w:r>
          </w:p>
        </w:tc>
      </w:tr>
      <w:tr w:rsidR="001279A8" w:rsidRPr="003A6336" w14:paraId="2C7BCB04" w14:textId="77777777" w:rsidTr="009B4355">
        <w:tc>
          <w:tcPr>
            <w:tcW w:w="4673" w:type="dxa"/>
          </w:tcPr>
          <w:p w14:paraId="49A822DF" w14:textId="77777777" w:rsidR="001279A8" w:rsidRPr="003A6336" w:rsidRDefault="001279A8" w:rsidP="009B4355">
            <w:pPr>
              <w:rPr>
                <w:rFonts w:ascii="Aptos" w:hAnsi="Aptos"/>
              </w:rPr>
            </w:pPr>
            <w:r>
              <w:rPr>
                <w:rFonts w:ascii="Aptos" w:hAnsi="Aptos"/>
              </w:rPr>
              <w:t>GBF-T23</w:t>
            </w:r>
          </w:p>
        </w:tc>
        <w:tc>
          <w:tcPr>
            <w:tcW w:w="5027" w:type="dxa"/>
          </w:tcPr>
          <w:p w14:paraId="524E9A21" w14:textId="77777777" w:rsidR="001279A8" w:rsidRPr="003A6336" w:rsidRDefault="001279A8" w:rsidP="009B4355">
            <w:pPr>
              <w:rPr>
                <w:rFonts w:ascii="Aptos" w:hAnsi="Aptos"/>
              </w:rPr>
            </w:pPr>
            <w:r>
              <w:rPr>
                <w:rFonts w:ascii="Aptos" w:hAnsi="Aptos"/>
              </w:rPr>
              <w:t>CMB-C23</w:t>
            </w:r>
          </w:p>
        </w:tc>
      </w:tr>
      <w:tr w:rsidR="001279A8" w:rsidRPr="003A6336" w14:paraId="0B18B46E" w14:textId="77777777" w:rsidTr="009B4355">
        <w:tc>
          <w:tcPr>
            <w:tcW w:w="4673" w:type="dxa"/>
          </w:tcPr>
          <w:p w14:paraId="242828EE" w14:textId="77777777" w:rsidR="001279A8" w:rsidRPr="003A6336" w:rsidRDefault="001279A8" w:rsidP="009B4355">
            <w:pPr>
              <w:rPr>
                <w:rFonts w:ascii="Aptos" w:hAnsi="Aptos"/>
              </w:rPr>
            </w:pPr>
            <w:r>
              <w:rPr>
                <w:rFonts w:ascii="Aptos" w:hAnsi="Aptos"/>
              </w:rPr>
              <w:t>Relative weight</w:t>
            </w:r>
          </w:p>
        </w:tc>
        <w:tc>
          <w:tcPr>
            <w:tcW w:w="5027" w:type="dxa"/>
          </w:tcPr>
          <w:p w14:paraId="33B6E916" w14:textId="77777777" w:rsidR="001279A8" w:rsidRPr="003A6336" w:rsidRDefault="001279A8" w:rsidP="009B4355">
            <w:pPr>
              <w:rPr>
                <w:rFonts w:ascii="Aptos" w:hAnsi="Aptos"/>
              </w:rPr>
            </w:pPr>
            <w:r>
              <w:t>Pondération relative</w:t>
            </w:r>
          </w:p>
        </w:tc>
      </w:tr>
    </w:tbl>
    <w:p w14:paraId="07629AF1" w14:textId="77777777" w:rsidR="007A60EC" w:rsidRPr="00653BF4" w:rsidRDefault="007A60EC" w:rsidP="007A60EC">
      <w:pPr>
        <w:pStyle w:val="Heading4"/>
        <w:rPr>
          <w:lang w:val="fr-FR"/>
        </w:rPr>
      </w:pPr>
    </w:p>
    <w:p w14:paraId="6CDEC965" w14:textId="4D6BBA66" w:rsidR="007A60EC" w:rsidRPr="00653BF4" w:rsidRDefault="002878D7" w:rsidP="007A60EC">
      <w:pPr>
        <w:pStyle w:val="Heading4"/>
        <w:rPr>
          <w:i w:val="0"/>
          <w:iCs w:val="0"/>
          <w:lang w:val="fr-FR"/>
        </w:rPr>
      </w:pPr>
      <w:bookmarkStart w:id="458" w:name="_Toc242801258"/>
      <w:bookmarkEnd w:id="457"/>
      <w:r>
        <w:rPr>
          <w:rFonts w:ascii="Aptos" w:hAnsi="Aptos" w:cs="Aptos"/>
          <w:b/>
          <w:bCs/>
          <w:i w:val="0"/>
          <w:lang w:val="fr-FR"/>
        </w:rPr>
        <w:t>Objectif A</w:t>
      </w:r>
      <w:r w:rsidR="007A60EC" w:rsidRPr="00653BF4">
        <w:rPr>
          <w:rFonts w:ascii="Aptos" w:hAnsi="Aptos" w:cs="Aptos"/>
          <w:b/>
          <w:bCs/>
          <w:i w:val="0"/>
          <w:lang w:val="fr-FR"/>
        </w:rPr>
        <w:t>.</w:t>
      </w:r>
      <w:r w:rsidR="007A60EC" w:rsidRPr="00653BF4">
        <w:rPr>
          <w:rFonts w:ascii="Aptos" w:hAnsi="Aptos" w:cs="Aptos"/>
          <w:i w:val="0"/>
          <w:lang w:val="fr-FR"/>
        </w:rPr>
        <w:t xml:space="preserve"> Préserver et rétablir</w:t>
      </w:r>
      <w:bookmarkEnd w:id="458"/>
    </w:p>
    <w:p w14:paraId="39E10A39" w14:textId="77777777" w:rsidR="007A60EC" w:rsidRPr="00653BF4" w:rsidRDefault="007A60EC" w:rsidP="007A60EC">
      <w:pPr>
        <w:pStyle w:val="Heading5"/>
        <w:rPr>
          <w:lang w:val="fr-FR"/>
        </w:rPr>
      </w:pPr>
      <w:bookmarkStart w:id="459" w:name="_Toc235821343"/>
    </w:p>
    <w:p w14:paraId="09520128" w14:textId="77777777" w:rsidR="007A60EC" w:rsidRPr="00653BF4" w:rsidRDefault="007A60EC" w:rsidP="007A60EC">
      <w:pPr>
        <w:rPr>
          <w:lang w:val="fr-FR"/>
        </w:rPr>
      </w:pPr>
    </w:p>
    <w:p w14:paraId="2A0303D8" w14:textId="32B07420" w:rsidR="007A60EC" w:rsidRPr="00653BF4" w:rsidRDefault="007A60EC" w:rsidP="007A60EC">
      <w:pPr>
        <w:pStyle w:val="NormalWeb"/>
        <w:shd w:val="clear" w:color="auto" w:fill="FFFFFF"/>
        <w:spacing w:before="0" w:beforeAutospacing="0"/>
        <w:rPr>
          <w:rFonts w:ascii="Aptos" w:hAnsi="Aptos"/>
          <w:i/>
          <w:iCs/>
          <w:color w:val="00483A"/>
          <w:spacing w:val="6"/>
          <w:sz w:val="22"/>
          <w:szCs w:val="22"/>
          <w:lang w:val="fr-FR"/>
        </w:rPr>
      </w:pPr>
      <w:r w:rsidRPr="00653BF4">
        <w:rPr>
          <w:rFonts w:ascii="Aptos" w:hAnsi="Aptos"/>
          <w:b/>
          <w:bCs/>
          <w:sz w:val="22"/>
          <w:szCs w:val="22"/>
          <w:lang w:val="fr-FR"/>
        </w:rPr>
        <w:lastRenderedPageBreak/>
        <w:t>Texte de l’objectif.</w:t>
      </w:r>
      <w:r w:rsidRPr="00653BF4">
        <w:rPr>
          <w:rFonts w:ascii="Aptos" w:hAnsi="Aptos"/>
          <w:i/>
          <w:iCs/>
          <w:color w:val="000000"/>
          <w:spacing w:val="6"/>
          <w:sz w:val="22"/>
          <w:szCs w:val="22"/>
          <w:lang w:val="fr-FR"/>
        </w:rPr>
        <w:t xml:space="preserve"> Préserver, améliorer ou rétablir l’intégrité, la connectivité et la résilience de tous les écosystèmes, afin d’accroître considérablement la superficie des écosystèmes naturels d’ici à 2050</w:t>
      </w:r>
      <w:r w:rsidR="00E34DC9">
        <w:rPr>
          <w:rFonts w:ascii="Aptos" w:hAnsi="Aptos"/>
          <w:i/>
          <w:iCs/>
          <w:color w:val="000000"/>
          <w:spacing w:val="6"/>
          <w:sz w:val="22"/>
          <w:szCs w:val="22"/>
          <w:lang w:val="fr-FR"/>
        </w:rPr>
        <w:t> ;</w:t>
      </w:r>
    </w:p>
    <w:p w14:paraId="50B744AB" w14:textId="2DCA252E" w:rsidR="007A60EC" w:rsidRPr="00653BF4" w:rsidRDefault="007A60EC" w:rsidP="007A60EC">
      <w:pPr>
        <w:pStyle w:val="NormalWeb"/>
        <w:shd w:val="clear" w:color="auto" w:fill="FFFFFF"/>
        <w:spacing w:before="0" w:beforeAutospacing="0"/>
        <w:rPr>
          <w:rFonts w:ascii="Aptos" w:hAnsi="Aptos"/>
          <w:i/>
          <w:iCs/>
          <w:color w:val="00483A"/>
          <w:spacing w:val="6"/>
          <w:sz w:val="22"/>
          <w:szCs w:val="22"/>
          <w:lang w:val="fr-FR"/>
        </w:rPr>
      </w:pPr>
      <w:r w:rsidRPr="00653BF4">
        <w:rPr>
          <w:rFonts w:ascii="Aptos" w:hAnsi="Aptos"/>
          <w:i/>
          <w:iCs/>
          <w:color w:val="000000"/>
          <w:spacing w:val="6"/>
          <w:sz w:val="22"/>
          <w:szCs w:val="22"/>
          <w:lang w:val="fr-FR"/>
        </w:rPr>
        <w:t>Mettre fin à l’extinction d’origine anthropique des espèces menacées connues et, d’ici à 2050, diviser par dix le taux et le risque d’extinction de toutes les espèces et accroître l’abondance des espèces sauvages indigènes pour atteindre des niveaux sains et résilients</w:t>
      </w:r>
      <w:r w:rsidR="00E34DC9">
        <w:rPr>
          <w:rFonts w:ascii="Aptos" w:hAnsi="Aptos"/>
          <w:i/>
          <w:iCs/>
          <w:color w:val="000000"/>
          <w:spacing w:val="6"/>
          <w:sz w:val="22"/>
          <w:szCs w:val="22"/>
          <w:lang w:val="fr-FR"/>
        </w:rPr>
        <w:t> ;</w:t>
      </w:r>
    </w:p>
    <w:p w14:paraId="21D22DBD" w14:textId="77777777" w:rsidR="007A60EC" w:rsidRPr="00653BF4" w:rsidRDefault="007A60EC" w:rsidP="007A60EC">
      <w:pPr>
        <w:pStyle w:val="NormalWeb"/>
        <w:shd w:val="clear" w:color="auto" w:fill="FFFFFF"/>
        <w:spacing w:before="0" w:beforeAutospacing="0"/>
        <w:rPr>
          <w:rFonts w:ascii="Aptos" w:hAnsi="Aptos"/>
          <w:i/>
          <w:iCs/>
          <w:color w:val="000000"/>
          <w:spacing w:val="6"/>
          <w:sz w:val="22"/>
          <w:szCs w:val="22"/>
          <w:lang w:val="fr-FR"/>
        </w:rPr>
      </w:pPr>
      <w:r w:rsidRPr="00653BF4">
        <w:rPr>
          <w:rFonts w:ascii="Aptos" w:hAnsi="Aptos"/>
          <w:i/>
          <w:iCs/>
          <w:color w:val="000000"/>
          <w:spacing w:val="6"/>
          <w:sz w:val="22"/>
          <w:szCs w:val="22"/>
          <w:lang w:val="fr-FR"/>
        </w:rPr>
        <w:t>Préserver la diversité génétique au sein des populations d’espèces sauvages et domestiquées, afin de sauvegarder leur potentiel d’adaptation.</w:t>
      </w:r>
    </w:p>
    <w:p w14:paraId="1731686E" w14:textId="77777777" w:rsidR="007A60EC" w:rsidRPr="00653BF4" w:rsidRDefault="007A60EC" w:rsidP="007A60EC">
      <w:pPr>
        <w:pStyle w:val="Heading5"/>
        <w:rPr>
          <w:lang w:val="fr-FR"/>
        </w:rPr>
      </w:pPr>
    </w:p>
    <w:bookmarkEnd w:id="459"/>
    <w:p w14:paraId="5D800359" w14:textId="77777777" w:rsidR="007A60EC" w:rsidRPr="00653BF4" w:rsidRDefault="007A60EC" w:rsidP="007A60EC">
      <w:pPr>
        <w:pStyle w:val="Heading5"/>
        <w:rPr>
          <w:lang w:val="fr-FR"/>
        </w:rPr>
      </w:pPr>
      <w:r w:rsidRPr="00653BF4">
        <w:rPr>
          <w:lang w:val="fr-FR"/>
        </w:rPr>
        <w:t>Aperçu de l’objectif</w:t>
      </w:r>
    </w:p>
    <w:p w14:paraId="130D60CD" w14:textId="77777777" w:rsidR="007A60EC" w:rsidRPr="00653BF4" w:rsidRDefault="007A60EC" w:rsidP="007A60EC">
      <w:pPr>
        <w:pStyle w:val="NormalWeb"/>
        <w:shd w:val="clear" w:color="auto" w:fill="FFFFFF"/>
        <w:spacing w:before="0" w:beforeAutospacing="0"/>
        <w:rPr>
          <w:rFonts w:ascii="Aptos" w:hAnsi="Aptos"/>
          <w:i/>
          <w:color w:val="00483A"/>
          <w:spacing w:val="6"/>
          <w:sz w:val="22"/>
          <w:szCs w:val="22"/>
          <w:lang w:val="fr-FR"/>
        </w:rPr>
      </w:pPr>
    </w:p>
    <w:tbl>
      <w:tblPr>
        <w:tblStyle w:val="TableGrid"/>
        <w:tblW w:w="0" w:type="auto"/>
        <w:tblLook w:val="04A0" w:firstRow="1" w:lastRow="0" w:firstColumn="1" w:lastColumn="0" w:noHBand="0" w:noVBand="1"/>
      </w:tblPr>
      <w:tblGrid>
        <w:gridCol w:w="9016"/>
      </w:tblGrid>
      <w:tr w:rsidR="007A60EC" w:rsidRPr="00543148" w14:paraId="7C2DECD1" w14:textId="77777777" w:rsidTr="00557FB3">
        <w:tc>
          <w:tcPr>
            <w:tcW w:w="9016" w:type="dxa"/>
            <w:shd w:val="clear" w:color="auto" w:fill="D1D1D1" w:themeFill="background2" w:themeFillShade="E6"/>
          </w:tcPr>
          <w:p w14:paraId="0347486E" w14:textId="77777777" w:rsidR="007A60EC" w:rsidRPr="00653BF4" w:rsidRDefault="007A60EC" w:rsidP="00557FB3">
            <w:pPr>
              <w:rPr>
                <w:rFonts w:eastAsia="Aptos"/>
                <w:lang w:val="fr-FR"/>
              </w:rPr>
            </w:pPr>
          </w:p>
          <w:p w14:paraId="60B26107" w14:textId="06AAA197" w:rsidR="007A60EC" w:rsidRPr="00653BF4" w:rsidRDefault="007A60EC" w:rsidP="00557FB3">
            <w:pPr>
              <w:rPr>
                <w:rFonts w:eastAsia="Aptos"/>
                <w:lang w:val="fr-FR"/>
              </w:rPr>
            </w:pPr>
            <w:r w:rsidRPr="00653BF4">
              <w:rPr>
                <w:lang w:val="fr-FR"/>
              </w:rPr>
              <w:t>Les Parties ont associé 15 des 23 cibles du Cadre à l’</w:t>
            </w:r>
            <w:r w:rsidR="002878D7">
              <w:rPr>
                <w:lang w:val="fr-FR"/>
              </w:rPr>
              <w:t>objectif A</w:t>
            </w:r>
            <w:r w:rsidRPr="00653BF4">
              <w:rPr>
                <w:lang w:val="fr-FR"/>
              </w:rPr>
              <w:t>. Parmi celles-ci figurent toutes les cibles visant à réduire les menaces pour la biodiversité et quatre des cinq cibles destinées à satisfaire les besoins des populations grâce à l’utilisation durable et au partage des avantages. Il ressort de ces associations que les progrès vers l’</w:t>
            </w:r>
            <w:r w:rsidR="002878D7">
              <w:rPr>
                <w:lang w:val="fr-FR"/>
              </w:rPr>
              <w:t>objectif A</w:t>
            </w:r>
            <w:r w:rsidRPr="00653BF4">
              <w:rPr>
                <w:lang w:val="fr-FR"/>
              </w:rPr>
              <w:t xml:space="preserve"> dépendent de la mise en œuvre d’un large éventail de cibles ayant des incidences à la fois directes et indirectes sur la biodiversité. Si certaines des cibles associées présentent des tendances positives, les progrès collectifs vers ces cibles restent, dans l’ensemble, mitigés</w:t>
            </w:r>
            <w:r w:rsidRPr="00653BF4">
              <w:rPr>
                <w:rFonts w:eastAsia="Aptos"/>
                <w:lang w:val="fr-FR"/>
              </w:rPr>
              <w:t xml:space="preserve">. </w:t>
            </w:r>
          </w:p>
          <w:p w14:paraId="364124CF" w14:textId="77777777" w:rsidR="007A60EC" w:rsidRPr="00653BF4" w:rsidRDefault="007A60EC" w:rsidP="00557FB3">
            <w:pPr>
              <w:rPr>
                <w:rFonts w:eastAsia="Aptos"/>
                <w:lang w:val="fr-FR"/>
              </w:rPr>
            </w:pPr>
          </w:p>
        </w:tc>
      </w:tr>
    </w:tbl>
    <w:p w14:paraId="08E3030B" w14:textId="77777777" w:rsidR="007A60EC" w:rsidRPr="00653BF4" w:rsidRDefault="007A60EC" w:rsidP="007A60EC">
      <w:pPr>
        <w:pStyle w:val="NormalWeb"/>
        <w:shd w:val="clear" w:color="auto" w:fill="FFFFFF"/>
        <w:spacing w:before="0" w:beforeAutospacing="0"/>
        <w:rPr>
          <w:rFonts w:ascii="Aptos" w:hAnsi="Aptos"/>
          <w:b/>
          <w:bCs/>
          <w:i/>
          <w:iCs/>
          <w:sz w:val="22"/>
          <w:szCs w:val="22"/>
          <w:lang w:val="fr-FR"/>
        </w:rPr>
      </w:pPr>
    </w:p>
    <w:p w14:paraId="07F86CE1" w14:textId="77777777" w:rsidR="007A60EC" w:rsidRPr="00653BF4" w:rsidRDefault="007A60EC" w:rsidP="007A60EC">
      <w:pPr>
        <w:pStyle w:val="Heading5"/>
        <w:rPr>
          <w:lang w:val="fr-FR"/>
        </w:rPr>
      </w:pPr>
    </w:p>
    <w:p w14:paraId="6075A9D6" w14:textId="77777777" w:rsidR="007A60EC" w:rsidRPr="00653BF4" w:rsidRDefault="007A60EC" w:rsidP="007A60EC">
      <w:pPr>
        <w:pStyle w:val="Heading5"/>
        <w:rPr>
          <w:lang w:val="fr-FR"/>
        </w:rPr>
      </w:pPr>
      <w:r w:rsidRPr="00653BF4">
        <w:rPr>
          <w:lang w:val="fr-FR"/>
        </w:rPr>
        <w:t>Progrès concernant les cibles associées</w:t>
      </w:r>
    </w:p>
    <w:p w14:paraId="1D015621" w14:textId="77777777" w:rsidR="007A60EC" w:rsidRPr="00653BF4" w:rsidRDefault="007A60EC" w:rsidP="007A60EC">
      <w:pPr>
        <w:pStyle w:val="Caption"/>
        <w:rPr>
          <w:i w:val="0"/>
          <w:color w:val="000000" w:themeColor="text1"/>
          <w:sz w:val="24"/>
          <w:szCs w:val="24"/>
          <w:lang w:val="fr-FR"/>
        </w:rPr>
      </w:pPr>
    </w:p>
    <w:p w14:paraId="5751EC3B" w14:textId="24BE6472" w:rsidR="007A60EC" w:rsidRPr="00653BF4" w:rsidRDefault="007A60EC" w:rsidP="007A60EC">
      <w:pPr>
        <w:pStyle w:val="Caption"/>
        <w:spacing w:line="276" w:lineRule="auto"/>
        <w:rPr>
          <w:i w:val="0"/>
          <w:color w:val="000000" w:themeColor="text1"/>
          <w:sz w:val="24"/>
          <w:szCs w:val="24"/>
          <w:lang w:val="fr-FR"/>
        </w:rPr>
      </w:pPr>
      <w:r w:rsidRPr="00653BF4">
        <w:rPr>
          <w:i w:val="0"/>
          <w:color w:val="000000" w:themeColor="text1"/>
          <w:sz w:val="24"/>
          <w:szCs w:val="24"/>
          <w:lang w:val="fr-FR"/>
        </w:rPr>
        <w:t>Selon la méthode décrite ci-dessus, 15 des 23 cibles du Cadre ont été associées à l’</w:t>
      </w:r>
      <w:r w:rsidR="002878D7">
        <w:rPr>
          <w:i w:val="0"/>
          <w:color w:val="000000" w:themeColor="text1"/>
          <w:sz w:val="24"/>
          <w:szCs w:val="24"/>
          <w:lang w:val="fr-FR"/>
        </w:rPr>
        <w:t>objectif A</w:t>
      </w:r>
      <w:r w:rsidRPr="00653BF4">
        <w:rPr>
          <w:i w:val="0"/>
          <w:color w:val="000000" w:themeColor="text1"/>
          <w:sz w:val="24"/>
          <w:szCs w:val="24"/>
          <w:lang w:val="fr-FR"/>
        </w:rPr>
        <w:t xml:space="preserve"> (voir la figure 96). Toutes les cibles regroupées sous l’intitulé </w:t>
      </w:r>
      <w:r w:rsidR="00E34DC9">
        <w:rPr>
          <w:i w:val="0"/>
          <w:color w:val="000000" w:themeColor="text1"/>
          <w:sz w:val="24"/>
          <w:szCs w:val="24"/>
          <w:lang w:val="fr-FR"/>
        </w:rPr>
        <w:t>« </w:t>
      </w:r>
      <w:r w:rsidRPr="00653BF4">
        <w:rPr>
          <w:i w:val="0"/>
          <w:color w:val="000000" w:themeColor="text1"/>
          <w:sz w:val="24"/>
          <w:szCs w:val="24"/>
          <w:lang w:val="fr-FR"/>
        </w:rPr>
        <w:t>Réduire les menaces pour la biodiversité</w:t>
      </w:r>
      <w:r w:rsidR="00E34DC9">
        <w:rPr>
          <w:i w:val="0"/>
          <w:color w:val="000000" w:themeColor="text1"/>
          <w:sz w:val="24"/>
          <w:szCs w:val="24"/>
          <w:lang w:val="fr-FR"/>
        </w:rPr>
        <w:t> »</w:t>
      </w:r>
      <w:r w:rsidRPr="00653BF4">
        <w:rPr>
          <w:i w:val="0"/>
          <w:color w:val="000000" w:themeColor="text1"/>
          <w:sz w:val="24"/>
          <w:szCs w:val="24"/>
          <w:lang w:val="fr-FR"/>
        </w:rPr>
        <w:t xml:space="preserve"> (</w:t>
      </w:r>
      <w:r w:rsidR="002878D7">
        <w:rPr>
          <w:i w:val="0"/>
          <w:color w:val="000000" w:themeColor="text1"/>
          <w:sz w:val="24"/>
          <w:szCs w:val="24"/>
          <w:lang w:val="fr-FR"/>
        </w:rPr>
        <w:t>cibles 1</w:t>
      </w:r>
      <w:r w:rsidRPr="00653BF4">
        <w:rPr>
          <w:i w:val="0"/>
          <w:color w:val="000000" w:themeColor="text1"/>
          <w:sz w:val="24"/>
          <w:szCs w:val="24"/>
          <w:lang w:val="fr-FR"/>
        </w:rPr>
        <w:t xml:space="preserve"> à 8) étaient associées plus fortement à l’</w:t>
      </w:r>
      <w:r w:rsidR="002878D7">
        <w:rPr>
          <w:i w:val="0"/>
          <w:color w:val="000000" w:themeColor="text1"/>
          <w:sz w:val="24"/>
          <w:szCs w:val="24"/>
          <w:lang w:val="fr-FR"/>
        </w:rPr>
        <w:t>objectif A</w:t>
      </w:r>
      <w:r w:rsidRPr="00653BF4">
        <w:rPr>
          <w:i w:val="0"/>
          <w:color w:val="000000" w:themeColor="text1"/>
          <w:sz w:val="24"/>
          <w:szCs w:val="24"/>
          <w:lang w:val="fr-FR"/>
        </w:rPr>
        <w:t xml:space="preserve"> qu’à tout autre objectif. Quatre des cinq cibles regroupées sous l’intitulé </w:t>
      </w:r>
      <w:r w:rsidR="00E34DC9">
        <w:rPr>
          <w:i w:val="0"/>
          <w:color w:val="000000" w:themeColor="text1"/>
          <w:sz w:val="24"/>
          <w:szCs w:val="24"/>
          <w:lang w:val="fr-FR"/>
        </w:rPr>
        <w:t>« </w:t>
      </w:r>
      <w:r w:rsidRPr="00653BF4">
        <w:rPr>
          <w:i w:val="0"/>
          <w:color w:val="000000" w:themeColor="text1"/>
          <w:sz w:val="24"/>
          <w:szCs w:val="24"/>
          <w:lang w:val="fr-FR"/>
        </w:rPr>
        <w:t>Satisfaire les besoins des populations grâce à l’utilisation durable et au partage des avantages</w:t>
      </w:r>
      <w:r w:rsidR="00E34DC9">
        <w:rPr>
          <w:i w:val="0"/>
          <w:color w:val="000000" w:themeColor="text1"/>
          <w:sz w:val="24"/>
          <w:szCs w:val="24"/>
          <w:lang w:val="fr-FR"/>
        </w:rPr>
        <w:t> »</w:t>
      </w:r>
      <w:r w:rsidRPr="00653BF4">
        <w:rPr>
          <w:i w:val="0"/>
          <w:color w:val="000000" w:themeColor="text1"/>
          <w:sz w:val="24"/>
          <w:szCs w:val="24"/>
          <w:lang w:val="fr-FR"/>
        </w:rPr>
        <w:t xml:space="preserve"> (cibles 9 à 12) étaient également associées à l’</w:t>
      </w:r>
      <w:r w:rsidR="002878D7">
        <w:rPr>
          <w:i w:val="0"/>
          <w:color w:val="000000" w:themeColor="text1"/>
          <w:sz w:val="24"/>
          <w:szCs w:val="24"/>
          <w:lang w:val="fr-FR"/>
        </w:rPr>
        <w:t>objectif A</w:t>
      </w:r>
      <w:r w:rsidRPr="00653BF4">
        <w:rPr>
          <w:i w:val="0"/>
          <w:color w:val="000000" w:themeColor="text1"/>
          <w:sz w:val="24"/>
          <w:szCs w:val="24"/>
          <w:lang w:val="fr-FR"/>
        </w:rPr>
        <w:t xml:space="preserve">, tandis que trois seulement des cibles regroupées sous l’intitulé </w:t>
      </w:r>
      <w:r w:rsidR="00E34DC9">
        <w:rPr>
          <w:i w:val="0"/>
          <w:color w:val="000000" w:themeColor="text1"/>
          <w:sz w:val="24"/>
          <w:szCs w:val="24"/>
          <w:lang w:val="fr-FR"/>
        </w:rPr>
        <w:t>« </w:t>
      </w:r>
      <w:r w:rsidRPr="00653BF4">
        <w:rPr>
          <w:i w:val="0"/>
          <w:color w:val="000000" w:themeColor="text1"/>
          <w:sz w:val="24"/>
          <w:szCs w:val="24"/>
          <w:lang w:val="fr-FR"/>
        </w:rPr>
        <w:t>Outils et solutions en matière de mise en œuvre et d’intégration</w:t>
      </w:r>
      <w:r w:rsidR="00E34DC9">
        <w:rPr>
          <w:i w:val="0"/>
          <w:color w:val="000000" w:themeColor="text1"/>
          <w:sz w:val="24"/>
          <w:szCs w:val="24"/>
          <w:lang w:val="fr-FR"/>
        </w:rPr>
        <w:t> »</w:t>
      </w:r>
      <w:r w:rsidRPr="00653BF4">
        <w:rPr>
          <w:i w:val="0"/>
          <w:color w:val="000000" w:themeColor="text1"/>
          <w:sz w:val="24"/>
          <w:szCs w:val="24"/>
          <w:lang w:val="fr-FR"/>
        </w:rPr>
        <w:t xml:space="preserve"> (</w:t>
      </w:r>
      <w:r w:rsidR="002878D7">
        <w:rPr>
          <w:i w:val="0"/>
          <w:color w:val="000000" w:themeColor="text1"/>
          <w:sz w:val="24"/>
          <w:szCs w:val="24"/>
          <w:lang w:val="fr-FR"/>
        </w:rPr>
        <w:t>cibles 1</w:t>
      </w:r>
      <w:r w:rsidRPr="00653BF4">
        <w:rPr>
          <w:i w:val="0"/>
          <w:color w:val="000000" w:themeColor="text1"/>
          <w:sz w:val="24"/>
          <w:szCs w:val="24"/>
          <w:lang w:val="fr-FR"/>
        </w:rPr>
        <w:t>6, 17 et 23) l’étaient.</w:t>
      </w:r>
    </w:p>
    <w:p w14:paraId="7CE06EC5" w14:textId="7D3A2A0A" w:rsidR="007A60EC" w:rsidRPr="00653BF4" w:rsidRDefault="007A60EC" w:rsidP="007A60EC">
      <w:pPr>
        <w:rPr>
          <w:lang w:val="fr-FR"/>
        </w:rPr>
      </w:pPr>
      <w:r w:rsidRPr="00653BF4">
        <w:rPr>
          <w:iCs/>
          <w:lang w:val="fr-FR"/>
        </w:rPr>
        <w:t>Pour chacune des 15 cibles associées à l’</w:t>
      </w:r>
      <w:r w:rsidR="002878D7">
        <w:rPr>
          <w:iCs/>
          <w:lang w:val="fr-FR"/>
        </w:rPr>
        <w:t>objectif A</w:t>
      </w:r>
      <w:r w:rsidRPr="00653BF4">
        <w:rPr>
          <w:iCs/>
          <w:lang w:val="fr-FR"/>
        </w:rPr>
        <w:t xml:space="preserve">, les tendances des indicateurs présentées à la </w:t>
      </w:r>
      <w:r w:rsidR="002878D7">
        <w:rPr>
          <w:iCs/>
          <w:lang w:val="fr-FR"/>
        </w:rPr>
        <w:t>section I</w:t>
      </w:r>
      <w:r w:rsidRPr="00653BF4">
        <w:rPr>
          <w:iCs/>
          <w:lang w:val="fr-FR"/>
        </w:rPr>
        <w:t xml:space="preserve">I.B sont résumées sous la forme d’une tendance moyenne (voir la </w:t>
      </w:r>
      <w:r w:rsidRPr="00653BF4">
        <w:rPr>
          <w:iCs/>
          <w:lang w:val="fr-FR"/>
        </w:rPr>
        <w:lastRenderedPageBreak/>
        <w:t>figure 97). Deux des cibles les plus fortement associées à l’</w:t>
      </w:r>
      <w:r w:rsidR="002878D7">
        <w:rPr>
          <w:iCs/>
          <w:lang w:val="fr-FR"/>
        </w:rPr>
        <w:t>objectif A</w:t>
      </w:r>
      <w:r w:rsidRPr="00653BF4">
        <w:rPr>
          <w:iCs/>
          <w:lang w:val="fr-FR"/>
        </w:rPr>
        <w:t xml:space="preserve"> (cibles 2 et 8) comptent nettement plus d’indicateurs montrant des signes d’amélioration que de détérioration. À l’inverse, deux des cibles associées (</w:t>
      </w:r>
      <w:r w:rsidR="002878D7">
        <w:rPr>
          <w:iCs/>
          <w:lang w:val="fr-FR"/>
        </w:rPr>
        <w:t>cibles 1</w:t>
      </w:r>
      <w:r w:rsidRPr="00653BF4">
        <w:rPr>
          <w:iCs/>
          <w:lang w:val="fr-FR"/>
        </w:rPr>
        <w:t>7 et 23) comptent davantage d’indicateurs qui montrent des signes de détérioration que d’amélioration. Sur l’ensemble des cibles associées, 26,5</w:t>
      </w:r>
      <w:r w:rsidR="002878D7">
        <w:rPr>
          <w:iCs/>
          <w:lang w:val="fr-FR"/>
        </w:rPr>
        <w:t> %</w:t>
      </w:r>
      <w:r w:rsidRPr="00653BF4">
        <w:rPr>
          <w:iCs/>
          <w:lang w:val="fr-FR"/>
        </w:rPr>
        <w:t xml:space="preserve"> des indicateurs sont en amélioration, 58</w:t>
      </w:r>
      <w:r w:rsidR="002878D7">
        <w:rPr>
          <w:iCs/>
          <w:lang w:val="fr-FR"/>
        </w:rPr>
        <w:t> %</w:t>
      </w:r>
      <w:r w:rsidRPr="00653BF4">
        <w:rPr>
          <w:iCs/>
          <w:lang w:val="fr-FR"/>
        </w:rPr>
        <w:t xml:space="preserve"> sont stables et 15,5</w:t>
      </w:r>
      <w:r w:rsidR="002878D7">
        <w:rPr>
          <w:iCs/>
          <w:lang w:val="fr-FR"/>
        </w:rPr>
        <w:t> %</w:t>
      </w:r>
      <w:r w:rsidRPr="00653BF4">
        <w:rPr>
          <w:iCs/>
          <w:lang w:val="fr-FR"/>
        </w:rPr>
        <w:t xml:space="preserve"> </w:t>
      </w:r>
      <w:r w:rsidRPr="00653BF4">
        <w:rPr>
          <w:lang w:val="fr-FR"/>
        </w:rPr>
        <w:t>s’éloignent de leur cible</w:t>
      </w:r>
      <w:r w:rsidRPr="00653BF4">
        <w:rPr>
          <w:iCs/>
          <w:lang w:val="fr-FR"/>
        </w:rPr>
        <w:t>. Ces premiers résultats semblent indiquer que les progrès vers l’</w:t>
      </w:r>
      <w:r w:rsidR="002878D7">
        <w:rPr>
          <w:iCs/>
          <w:lang w:val="fr-FR"/>
        </w:rPr>
        <w:t>objectif A</w:t>
      </w:r>
      <w:r w:rsidRPr="00653BF4">
        <w:rPr>
          <w:iCs/>
          <w:lang w:val="fr-FR"/>
        </w:rPr>
        <w:t xml:space="preserve"> sont globalement mitigés et que la situation évolue peu. Des progrès comme des détériorations sont constatés pour des cibles liées à la fois aux facteurs directs et aux facteurs indirects de modification de la biodiversité. Toutefois, comme la plupart de ces indicateurs n’ont pas été conçus pour suivre les progrès vers l’</w:t>
      </w:r>
      <w:r w:rsidR="002878D7">
        <w:rPr>
          <w:iCs/>
          <w:lang w:val="fr-FR"/>
        </w:rPr>
        <w:t>objectif A</w:t>
      </w:r>
      <w:r w:rsidRPr="00653BF4">
        <w:rPr>
          <w:iCs/>
          <w:lang w:val="fr-FR"/>
        </w:rPr>
        <w:t xml:space="preserve"> et ne sont pas équivalents du point de vue des échelles, des périodes et des variables qu’ils mesurent, la tendance globale ne devrait être considérée que comme un reflet indicatif, indirect et imparfait des progrès.</w:t>
      </w:r>
    </w:p>
    <w:p w14:paraId="49066584" w14:textId="77777777" w:rsidR="007A60EC" w:rsidRPr="00653BF4" w:rsidRDefault="007A60EC" w:rsidP="007A60EC">
      <w:pPr>
        <w:pStyle w:val="Caption"/>
        <w:rPr>
          <w:i w:val="0"/>
          <w:iCs w:val="0"/>
          <w:sz w:val="20"/>
          <w:szCs w:val="20"/>
          <w:lang w:val="fr-FR"/>
        </w:rPr>
      </w:pPr>
      <w:bookmarkStart w:id="460" w:name="_Ref230638519"/>
    </w:p>
    <w:bookmarkEnd w:id="460"/>
    <w:p w14:paraId="15714CCD" w14:textId="77777777" w:rsidR="007A60EC" w:rsidRPr="00653BF4" w:rsidRDefault="007A60EC" w:rsidP="007A60EC">
      <w:pPr>
        <w:pStyle w:val="Caption"/>
        <w:rPr>
          <w:i w:val="0"/>
          <w:iCs w:val="0"/>
          <w:sz w:val="20"/>
          <w:szCs w:val="20"/>
          <w:lang w:val="fr-FR"/>
        </w:rPr>
      </w:pPr>
      <w:r w:rsidRPr="00653BF4">
        <w:rPr>
          <w:i w:val="0"/>
          <w:iCs w:val="0"/>
          <w:sz w:val="20"/>
          <w:szCs w:val="20"/>
          <w:lang w:val="fr-FR"/>
        </w:rPr>
        <w:t xml:space="preserve">Figure </w:t>
      </w:r>
      <w:r w:rsidRPr="00653BF4">
        <w:rPr>
          <w:i w:val="0"/>
          <w:iCs w:val="0"/>
          <w:noProof/>
          <w:sz w:val="20"/>
          <w:szCs w:val="20"/>
          <w:lang w:val="fr-FR"/>
        </w:rPr>
        <w:t>96</w:t>
      </w:r>
    </w:p>
    <w:p w14:paraId="369C11C4" w14:textId="29B2776C" w:rsidR="007A60EC" w:rsidRPr="00653BF4" w:rsidRDefault="007A60EC" w:rsidP="007A60EC">
      <w:pPr>
        <w:pStyle w:val="Caption"/>
        <w:rPr>
          <w:i w:val="0"/>
          <w:iCs w:val="0"/>
          <w:sz w:val="20"/>
          <w:szCs w:val="20"/>
          <w:lang w:val="fr-FR"/>
        </w:rPr>
      </w:pPr>
      <w:r w:rsidRPr="00653BF4">
        <w:rPr>
          <w:b/>
          <w:bCs/>
          <w:i w:val="0"/>
          <w:iCs w:val="0"/>
          <w:sz w:val="20"/>
          <w:szCs w:val="20"/>
          <w:lang w:val="fr-FR"/>
        </w:rPr>
        <w:t>Cibles du Cadre associées à l’</w:t>
      </w:r>
      <w:r w:rsidR="002878D7">
        <w:rPr>
          <w:b/>
          <w:bCs/>
          <w:i w:val="0"/>
          <w:iCs w:val="0"/>
          <w:sz w:val="20"/>
          <w:szCs w:val="20"/>
          <w:lang w:val="fr-FR"/>
        </w:rPr>
        <w:t>objectif A</w:t>
      </w:r>
      <w:r w:rsidRPr="00653BF4">
        <w:rPr>
          <w:b/>
          <w:bCs/>
          <w:i w:val="0"/>
          <w:iCs w:val="0"/>
          <w:sz w:val="20"/>
          <w:szCs w:val="20"/>
          <w:lang w:val="fr-FR"/>
        </w:rPr>
        <w:t xml:space="preserve"> dans les cibles nationales soumises par les Parties</w:t>
      </w:r>
    </w:p>
    <w:p w14:paraId="038A6159" w14:textId="77777777" w:rsidR="007A60EC" w:rsidRPr="00653BF4" w:rsidRDefault="007A60EC" w:rsidP="007A60EC">
      <w:pPr>
        <w:rPr>
          <w:lang w:val="fr-FR"/>
        </w:rPr>
      </w:pPr>
      <w:r w:rsidRPr="00653BF4">
        <w:rPr>
          <w:noProof/>
          <w:lang w:val="fr-FR"/>
        </w:rPr>
        <w:lastRenderedPageBreak/>
        <w:drawing>
          <wp:inline distT="0" distB="0" distL="0" distR="0" wp14:anchorId="05D8933B" wp14:editId="6094E70B">
            <wp:extent cx="4726797" cy="4856813"/>
            <wp:effectExtent l="0" t="0" r="0" b="0"/>
            <wp:docPr id="389111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1190" name="Picture 38911190"/>
                    <pic:cNvPicPr/>
                  </pic:nvPicPr>
                  <pic:blipFill rotWithShape="1">
                    <a:blip r:embed="rId231" cstate="print">
                      <a:extLst>
                        <a:ext uri="{28A0092B-C50C-407E-A947-70E740481C1C}">
                          <a14:useLocalDpi xmlns:a14="http://schemas.microsoft.com/office/drawing/2010/main" val="0"/>
                        </a:ext>
                      </a:extLst>
                    </a:blip>
                    <a:srcRect t="22494" b="22708"/>
                    <a:stretch>
                      <a:fillRect/>
                    </a:stretch>
                  </pic:blipFill>
                  <pic:spPr bwMode="auto">
                    <a:xfrm>
                      <a:off x="0" y="0"/>
                      <a:ext cx="4726940" cy="4856960"/>
                    </a:xfrm>
                    <a:prstGeom prst="rect">
                      <a:avLst/>
                    </a:prstGeom>
                    <a:ln>
                      <a:noFill/>
                    </a:ln>
                    <a:extLst>
                      <a:ext uri="{53640926-AAD7-44D8-BBD7-CCE9431645EC}">
                        <a14:shadowObscured xmlns:a14="http://schemas.microsoft.com/office/drawing/2010/main"/>
                      </a:ext>
                    </a:extLst>
                  </pic:spPr>
                </pic:pic>
              </a:graphicData>
            </a:graphic>
          </wp:inline>
        </w:drawing>
      </w:r>
    </w:p>
    <w:p w14:paraId="6EC545E8" w14:textId="77777777" w:rsidR="007A60EC" w:rsidRPr="00653BF4" w:rsidRDefault="007A60EC" w:rsidP="007A60EC">
      <w:pPr>
        <w:rPr>
          <w:sz w:val="18"/>
          <w:szCs w:val="18"/>
          <w:lang w:val="fr-FR"/>
        </w:rPr>
      </w:pPr>
    </w:p>
    <w:p w14:paraId="2117C66D" w14:textId="54546396" w:rsidR="007A60EC" w:rsidRPr="00653BF4" w:rsidRDefault="007A60EC" w:rsidP="007A60EC">
      <w:pPr>
        <w:pStyle w:val="Caption"/>
        <w:rPr>
          <w:lang w:val="fr-FR"/>
        </w:rPr>
      </w:pPr>
      <w:r w:rsidRPr="00653BF4">
        <w:rPr>
          <w:lang w:val="fr-FR"/>
        </w:rPr>
        <w:t>Note</w:t>
      </w:r>
      <w:r w:rsidR="00E34DC9">
        <w:rPr>
          <w:lang w:val="fr-FR"/>
        </w:rPr>
        <w:t> :</w:t>
      </w:r>
      <w:r w:rsidRPr="00653BF4">
        <w:rPr>
          <w:lang w:val="fr-FR"/>
        </w:rPr>
        <w:t xml:space="preserve"> </w:t>
      </w:r>
      <w:r w:rsidRPr="00653BF4">
        <w:rPr>
          <w:i w:val="0"/>
          <w:iCs w:val="0"/>
          <w:lang w:val="fr-FR"/>
        </w:rPr>
        <w:t>Un lien est établi entre une cible et l’objectif si, dans l’un quelconque des groupes régionaux d’États Membres de l’Organisation des Nations Unies, au moins un tiers des cibles nationales fixées par les Parties associent cette cible à l’objectif. Les couleurs servent à mettre en évidence chaque cible conformément à la charte graphique officielle du Cadre et n’ont aucune autre signification.</w:t>
      </w:r>
    </w:p>
    <w:tbl>
      <w:tblPr>
        <w:tblStyle w:val="TableGrid"/>
        <w:tblW w:w="9463" w:type="dxa"/>
        <w:tblLook w:val="04A0" w:firstRow="1" w:lastRow="0" w:firstColumn="1" w:lastColumn="0" w:noHBand="0" w:noVBand="1"/>
      </w:tblPr>
      <w:tblGrid>
        <w:gridCol w:w="4531"/>
        <w:gridCol w:w="4932"/>
      </w:tblGrid>
      <w:tr w:rsidR="001279A8" w:rsidRPr="005070AB" w14:paraId="78CCF66D" w14:textId="77777777" w:rsidTr="009B4355">
        <w:tc>
          <w:tcPr>
            <w:tcW w:w="9463" w:type="dxa"/>
            <w:gridSpan w:val="2"/>
          </w:tcPr>
          <w:p w14:paraId="3828302D" w14:textId="77777777" w:rsidR="001279A8" w:rsidRPr="005070AB" w:rsidRDefault="001279A8" w:rsidP="009B4355">
            <w:pPr>
              <w:rPr>
                <w:rFonts w:ascii="Aptos" w:hAnsi="Aptos"/>
              </w:rPr>
            </w:pPr>
            <w:r>
              <w:rPr>
                <w:rFonts w:ascii="Aptos" w:hAnsi="Aptos"/>
              </w:rPr>
              <w:t>Figure 96</w:t>
            </w:r>
          </w:p>
        </w:tc>
      </w:tr>
      <w:tr w:rsidR="001279A8" w:rsidRPr="005070AB" w14:paraId="5280845A" w14:textId="77777777" w:rsidTr="009B4355">
        <w:tc>
          <w:tcPr>
            <w:tcW w:w="4531" w:type="dxa"/>
          </w:tcPr>
          <w:p w14:paraId="6A16A9C2" w14:textId="77777777" w:rsidR="001279A8" w:rsidRPr="005070AB" w:rsidRDefault="001279A8" w:rsidP="009B4355">
            <w:pPr>
              <w:rPr>
                <w:rFonts w:ascii="Aptos" w:hAnsi="Aptos"/>
              </w:rPr>
            </w:pPr>
            <w:r w:rsidRPr="005070AB">
              <w:rPr>
                <w:rFonts w:ascii="Aptos" w:hAnsi="Aptos"/>
              </w:rPr>
              <w:t xml:space="preserve">English </w:t>
            </w:r>
          </w:p>
        </w:tc>
        <w:tc>
          <w:tcPr>
            <w:tcW w:w="4932" w:type="dxa"/>
          </w:tcPr>
          <w:p w14:paraId="027B628E" w14:textId="77777777" w:rsidR="001279A8" w:rsidRPr="005070AB" w:rsidRDefault="001279A8" w:rsidP="009B4355">
            <w:pPr>
              <w:rPr>
                <w:rFonts w:ascii="Aptos" w:hAnsi="Aptos"/>
              </w:rPr>
            </w:pPr>
            <w:r>
              <w:rPr>
                <w:rFonts w:ascii="Aptos" w:hAnsi="Aptos"/>
              </w:rPr>
              <w:t>Français</w:t>
            </w:r>
          </w:p>
        </w:tc>
      </w:tr>
      <w:tr w:rsidR="001279A8" w:rsidRPr="003A6336" w14:paraId="274D3FFF" w14:textId="77777777" w:rsidTr="009B4355">
        <w:tc>
          <w:tcPr>
            <w:tcW w:w="4531" w:type="dxa"/>
          </w:tcPr>
          <w:p w14:paraId="27625554" w14:textId="77777777" w:rsidR="001279A8" w:rsidRPr="003A6336" w:rsidRDefault="001279A8" w:rsidP="009B4355">
            <w:pPr>
              <w:rPr>
                <w:rFonts w:ascii="Aptos" w:hAnsi="Aptos"/>
              </w:rPr>
            </w:pPr>
            <w:r>
              <w:rPr>
                <w:rFonts w:ascii="Aptos" w:hAnsi="Aptos"/>
              </w:rPr>
              <w:t>Goal A</w:t>
            </w:r>
          </w:p>
        </w:tc>
        <w:tc>
          <w:tcPr>
            <w:tcW w:w="4932" w:type="dxa"/>
          </w:tcPr>
          <w:p w14:paraId="02703FD3" w14:textId="77777777" w:rsidR="001279A8" w:rsidRPr="003A6336" w:rsidRDefault="001279A8" w:rsidP="009B4355">
            <w:pPr>
              <w:rPr>
                <w:rFonts w:ascii="Aptos" w:hAnsi="Aptos"/>
              </w:rPr>
            </w:pPr>
            <w:r>
              <w:t>Objectif A</w:t>
            </w:r>
          </w:p>
        </w:tc>
      </w:tr>
      <w:tr w:rsidR="001279A8" w:rsidRPr="003A6336" w14:paraId="240FF2F2" w14:textId="77777777" w:rsidTr="009B4355">
        <w:tc>
          <w:tcPr>
            <w:tcW w:w="4531" w:type="dxa"/>
          </w:tcPr>
          <w:p w14:paraId="599CD1E9" w14:textId="77777777" w:rsidR="001279A8" w:rsidRPr="003A6336" w:rsidRDefault="001279A8" w:rsidP="009B4355">
            <w:pPr>
              <w:rPr>
                <w:rFonts w:ascii="Aptos" w:hAnsi="Aptos"/>
              </w:rPr>
            </w:pPr>
            <w:r>
              <w:rPr>
                <w:rFonts w:ascii="Aptos" w:hAnsi="Aptos"/>
              </w:rPr>
              <w:t>T1: Plan and manage all areas</w:t>
            </w:r>
          </w:p>
        </w:tc>
        <w:tc>
          <w:tcPr>
            <w:tcW w:w="4932" w:type="dxa"/>
          </w:tcPr>
          <w:p w14:paraId="702DB1EE" w14:textId="77777777" w:rsidR="001279A8" w:rsidRPr="003A6336" w:rsidRDefault="001279A8" w:rsidP="009B4355">
            <w:pPr>
              <w:rPr>
                <w:rFonts w:ascii="Aptos" w:hAnsi="Aptos"/>
              </w:rPr>
            </w:pPr>
            <w:r>
              <w:t>C1 : Planifier et gérer toutes les zones</w:t>
            </w:r>
          </w:p>
        </w:tc>
      </w:tr>
      <w:tr w:rsidR="001279A8" w:rsidRPr="003A6336" w14:paraId="4D502525" w14:textId="77777777" w:rsidTr="009B4355">
        <w:tc>
          <w:tcPr>
            <w:tcW w:w="4531" w:type="dxa"/>
          </w:tcPr>
          <w:p w14:paraId="12E7EE95" w14:textId="77777777" w:rsidR="001279A8" w:rsidRPr="003A6336" w:rsidRDefault="001279A8" w:rsidP="009B4355">
            <w:pPr>
              <w:rPr>
                <w:rFonts w:ascii="Aptos" w:hAnsi="Aptos"/>
              </w:rPr>
            </w:pPr>
            <w:r>
              <w:rPr>
                <w:rFonts w:ascii="Aptos" w:hAnsi="Aptos"/>
              </w:rPr>
              <w:t>T2: Restore degraded ecosystems</w:t>
            </w:r>
          </w:p>
        </w:tc>
        <w:tc>
          <w:tcPr>
            <w:tcW w:w="4932" w:type="dxa"/>
          </w:tcPr>
          <w:p w14:paraId="66B8743D" w14:textId="77777777" w:rsidR="001279A8" w:rsidRPr="003A6336" w:rsidRDefault="001279A8" w:rsidP="009B4355">
            <w:pPr>
              <w:rPr>
                <w:rFonts w:ascii="Aptos" w:hAnsi="Aptos"/>
              </w:rPr>
            </w:pPr>
            <w:r>
              <w:t>C2 : Remettre en état les écosystèmes dégradés</w:t>
            </w:r>
          </w:p>
        </w:tc>
      </w:tr>
      <w:tr w:rsidR="001279A8" w:rsidRPr="003A6336" w14:paraId="03D30E1F" w14:textId="77777777" w:rsidTr="009B4355">
        <w:tc>
          <w:tcPr>
            <w:tcW w:w="4531" w:type="dxa"/>
          </w:tcPr>
          <w:p w14:paraId="16ADE63E" w14:textId="77777777" w:rsidR="001279A8" w:rsidRPr="003A6336" w:rsidRDefault="001279A8" w:rsidP="009B4355">
            <w:pPr>
              <w:rPr>
                <w:rFonts w:ascii="Aptos" w:hAnsi="Aptos"/>
              </w:rPr>
            </w:pPr>
            <w:r>
              <w:rPr>
                <w:rFonts w:ascii="Aptos" w:hAnsi="Aptos"/>
              </w:rPr>
              <w:t>T3: Conserve land, water and seas</w:t>
            </w:r>
          </w:p>
        </w:tc>
        <w:tc>
          <w:tcPr>
            <w:tcW w:w="4932" w:type="dxa"/>
          </w:tcPr>
          <w:p w14:paraId="28669E49" w14:textId="77777777" w:rsidR="001279A8" w:rsidRPr="003A6336" w:rsidRDefault="001279A8" w:rsidP="009B4355">
            <w:pPr>
              <w:rPr>
                <w:rFonts w:ascii="Aptos" w:hAnsi="Aptos"/>
              </w:rPr>
            </w:pPr>
            <w:r>
              <w:t>C3 : Conserver les terres, les eaux et les mers</w:t>
            </w:r>
          </w:p>
        </w:tc>
      </w:tr>
      <w:tr w:rsidR="001279A8" w:rsidRPr="003A6336" w14:paraId="2FADE0BC" w14:textId="77777777" w:rsidTr="009B4355">
        <w:tc>
          <w:tcPr>
            <w:tcW w:w="4531" w:type="dxa"/>
          </w:tcPr>
          <w:p w14:paraId="52D16632" w14:textId="77777777" w:rsidR="001279A8" w:rsidRPr="003A6336" w:rsidRDefault="001279A8" w:rsidP="009B4355">
            <w:pPr>
              <w:rPr>
                <w:rFonts w:ascii="Aptos" w:hAnsi="Aptos"/>
              </w:rPr>
            </w:pPr>
            <w:r>
              <w:rPr>
                <w:rFonts w:ascii="Aptos" w:hAnsi="Aptos"/>
              </w:rPr>
              <w:t>T4: Halt species extinctions</w:t>
            </w:r>
          </w:p>
        </w:tc>
        <w:tc>
          <w:tcPr>
            <w:tcW w:w="4932" w:type="dxa"/>
          </w:tcPr>
          <w:p w14:paraId="464A6913" w14:textId="77777777" w:rsidR="001279A8" w:rsidRPr="003A6336" w:rsidRDefault="001279A8" w:rsidP="009B4355">
            <w:pPr>
              <w:rPr>
                <w:rFonts w:ascii="Aptos" w:hAnsi="Aptos"/>
              </w:rPr>
            </w:pPr>
            <w:r>
              <w:t>C4 : Faire cesser l’extinction des espèces</w:t>
            </w:r>
          </w:p>
        </w:tc>
      </w:tr>
      <w:tr w:rsidR="001279A8" w:rsidRPr="003A6336" w14:paraId="5A7E7AA4" w14:textId="77777777" w:rsidTr="009B4355">
        <w:tc>
          <w:tcPr>
            <w:tcW w:w="4531" w:type="dxa"/>
          </w:tcPr>
          <w:p w14:paraId="3C93562D" w14:textId="77777777" w:rsidR="001279A8" w:rsidRPr="003A6336" w:rsidRDefault="001279A8" w:rsidP="009B4355">
            <w:pPr>
              <w:rPr>
                <w:rFonts w:ascii="Aptos" w:hAnsi="Aptos"/>
              </w:rPr>
            </w:pPr>
            <w:r>
              <w:rPr>
                <w:rFonts w:ascii="Aptos" w:hAnsi="Aptos"/>
              </w:rPr>
              <w:t>T5: Sustainable harvest and trade</w:t>
            </w:r>
          </w:p>
        </w:tc>
        <w:tc>
          <w:tcPr>
            <w:tcW w:w="4932" w:type="dxa"/>
          </w:tcPr>
          <w:p w14:paraId="7B5DD9EE" w14:textId="77777777" w:rsidR="001279A8" w:rsidRPr="003A6336" w:rsidRDefault="001279A8" w:rsidP="009B4355">
            <w:pPr>
              <w:rPr>
                <w:rFonts w:ascii="Aptos" w:hAnsi="Aptos"/>
              </w:rPr>
            </w:pPr>
            <w:r>
              <w:t>C5 : Prélèvement et commerce durables</w:t>
            </w:r>
          </w:p>
        </w:tc>
      </w:tr>
      <w:tr w:rsidR="001279A8" w:rsidRPr="003A6336" w14:paraId="42878C56" w14:textId="77777777" w:rsidTr="009B4355">
        <w:tc>
          <w:tcPr>
            <w:tcW w:w="4531" w:type="dxa"/>
          </w:tcPr>
          <w:p w14:paraId="4133D718" w14:textId="77777777" w:rsidR="001279A8" w:rsidRPr="003A6336" w:rsidRDefault="001279A8" w:rsidP="009B4355">
            <w:pPr>
              <w:rPr>
                <w:rFonts w:ascii="Aptos" w:hAnsi="Aptos"/>
              </w:rPr>
            </w:pPr>
            <w:r>
              <w:rPr>
                <w:rFonts w:ascii="Aptos" w:hAnsi="Aptos"/>
              </w:rPr>
              <w:t>T6: Reduce introduction of IAS</w:t>
            </w:r>
          </w:p>
        </w:tc>
        <w:tc>
          <w:tcPr>
            <w:tcW w:w="4932" w:type="dxa"/>
          </w:tcPr>
          <w:p w14:paraId="7CCF94AC" w14:textId="77777777" w:rsidR="001279A8" w:rsidRPr="003A6336" w:rsidRDefault="001279A8" w:rsidP="009B4355">
            <w:pPr>
              <w:rPr>
                <w:rFonts w:ascii="Aptos" w:hAnsi="Aptos"/>
              </w:rPr>
            </w:pPr>
            <w:r>
              <w:t>C6 : Réduire l’introduction des espèces exotiques envahissantes</w:t>
            </w:r>
          </w:p>
        </w:tc>
      </w:tr>
      <w:tr w:rsidR="001279A8" w:rsidRPr="003A6336" w14:paraId="4D11BF64" w14:textId="77777777" w:rsidTr="009B4355">
        <w:tc>
          <w:tcPr>
            <w:tcW w:w="4531" w:type="dxa"/>
          </w:tcPr>
          <w:p w14:paraId="651F90D6" w14:textId="77777777" w:rsidR="001279A8" w:rsidRPr="003A6336" w:rsidRDefault="001279A8" w:rsidP="009B4355">
            <w:pPr>
              <w:rPr>
                <w:rFonts w:ascii="Aptos" w:hAnsi="Aptos"/>
              </w:rPr>
            </w:pPr>
            <w:r>
              <w:rPr>
                <w:rFonts w:ascii="Aptos" w:hAnsi="Aptos"/>
              </w:rPr>
              <w:lastRenderedPageBreak/>
              <w:t>T7: Reduce pollution</w:t>
            </w:r>
          </w:p>
        </w:tc>
        <w:tc>
          <w:tcPr>
            <w:tcW w:w="4932" w:type="dxa"/>
          </w:tcPr>
          <w:p w14:paraId="07045A88" w14:textId="77777777" w:rsidR="001279A8" w:rsidRPr="003A6336" w:rsidRDefault="001279A8" w:rsidP="009B4355">
            <w:pPr>
              <w:rPr>
                <w:rFonts w:ascii="Aptos" w:hAnsi="Aptos"/>
              </w:rPr>
            </w:pPr>
            <w:r>
              <w:t>C7 : Réduire la pollution</w:t>
            </w:r>
          </w:p>
        </w:tc>
      </w:tr>
      <w:tr w:rsidR="001279A8" w:rsidRPr="003A6336" w14:paraId="755D59BC" w14:textId="77777777" w:rsidTr="009B4355">
        <w:tc>
          <w:tcPr>
            <w:tcW w:w="4531" w:type="dxa"/>
          </w:tcPr>
          <w:p w14:paraId="3CE82AB5" w14:textId="77777777" w:rsidR="001279A8" w:rsidRPr="003A6336" w:rsidRDefault="001279A8" w:rsidP="009B4355">
            <w:pPr>
              <w:rPr>
                <w:rFonts w:ascii="Aptos" w:hAnsi="Aptos"/>
              </w:rPr>
            </w:pPr>
            <w:r>
              <w:rPr>
                <w:rFonts w:ascii="Aptos" w:hAnsi="Aptos"/>
              </w:rPr>
              <w:t>T8: Minimize the impacts of climate change</w:t>
            </w:r>
          </w:p>
        </w:tc>
        <w:tc>
          <w:tcPr>
            <w:tcW w:w="4932" w:type="dxa"/>
          </w:tcPr>
          <w:p w14:paraId="31BB3141" w14:textId="77777777" w:rsidR="001279A8" w:rsidRPr="003A6336" w:rsidRDefault="001279A8" w:rsidP="009B4355">
            <w:pPr>
              <w:rPr>
                <w:rFonts w:ascii="Aptos" w:hAnsi="Aptos"/>
              </w:rPr>
            </w:pPr>
            <w:r>
              <w:t>C8 : Réduire au minimum les effets des changements climatiques</w:t>
            </w:r>
          </w:p>
        </w:tc>
      </w:tr>
      <w:tr w:rsidR="001279A8" w:rsidRPr="003A6336" w14:paraId="7B78E4BD" w14:textId="77777777" w:rsidTr="009B4355">
        <w:tc>
          <w:tcPr>
            <w:tcW w:w="4531" w:type="dxa"/>
          </w:tcPr>
          <w:p w14:paraId="19487A4F" w14:textId="77777777" w:rsidR="001279A8" w:rsidRPr="003A6336" w:rsidRDefault="001279A8" w:rsidP="009B4355">
            <w:pPr>
              <w:rPr>
                <w:rFonts w:ascii="Aptos" w:hAnsi="Aptos"/>
              </w:rPr>
            </w:pPr>
            <w:r>
              <w:rPr>
                <w:rFonts w:ascii="Aptos" w:hAnsi="Aptos"/>
              </w:rPr>
              <w:t>T9: Manage wild species sustainably</w:t>
            </w:r>
          </w:p>
        </w:tc>
        <w:tc>
          <w:tcPr>
            <w:tcW w:w="4932" w:type="dxa"/>
          </w:tcPr>
          <w:p w14:paraId="0C88E9AA" w14:textId="77777777" w:rsidR="001279A8" w:rsidRPr="003A6336" w:rsidRDefault="001279A8" w:rsidP="009B4355">
            <w:pPr>
              <w:rPr>
                <w:rFonts w:ascii="Aptos" w:hAnsi="Aptos"/>
              </w:rPr>
            </w:pPr>
            <w:r>
              <w:t>C9 : Gérer durablement les espèces sauvages</w:t>
            </w:r>
          </w:p>
        </w:tc>
      </w:tr>
      <w:tr w:rsidR="001279A8" w:rsidRPr="003A6336" w14:paraId="69E078B9" w14:textId="77777777" w:rsidTr="009B4355">
        <w:tc>
          <w:tcPr>
            <w:tcW w:w="4531" w:type="dxa"/>
          </w:tcPr>
          <w:p w14:paraId="67EC1986" w14:textId="77777777" w:rsidR="001279A8" w:rsidRPr="003A6336" w:rsidRDefault="001279A8" w:rsidP="009B4355">
            <w:pPr>
              <w:rPr>
                <w:rFonts w:ascii="Aptos" w:hAnsi="Aptos"/>
              </w:rPr>
            </w:pPr>
            <w:r>
              <w:rPr>
                <w:rFonts w:ascii="Aptos" w:hAnsi="Aptos"/>
              </w:rPr>
              <w:t>T10: Sustainable productive sectors</w:t>
            </w:r>
          </w:p>
        </w:tc>
        <w:tc>
          <w:tcPr>
            <w:tcW w:w="4932" w:type="dxa"/>
          </w:tcPr>
          <w:p w14:paraId="679C150D" w14:textId="77777777" w:rsidR="001279A8" w:rsidRPr="003A6336" w:rsidRDefault="001279A8" w:rsidP="009B4355">
            <w:pPr>
              <w:rPr>
                <w:rFonts w:ascii="Aptos" w:hAnsi="Aptos"/>
              </w:rPr>
            </w:pPr>
            <w:r>
              <w:t>C10 : Secteurs productifs durables</w:t>
            </w:r>
          </w:p>
        </w:tc>
      </w:tr>
      <w:tr w:rsidR="001279A8" w:rsidRPr="003A6336" w14:paraId="36428DA0" w14:textId="77777777" w:rsidTr="009B4355">
        <w:tc>
          <w:tcPr>
            <w:tcW w:w="4531" w:type="dxa"/>
          </w:tcPr>
          <w:p w14:paraId="63844BB7" w14:textId="77777777" w:rsidR="001279A8" w:rsidRPr="003A6336" w:rsidRDefault="001279A8" w:rsidP="009B4355">
            <w:pPr>
              <w:rPr>
                <w:rFonts w:ascii="Aptos" w:hAnsi="Aptos"/>
              </w:rPr>
            </w:pPr>
            <w:r>
              <w:rPr>
                <w:rFonts w:ascii="Aptos" w:hAnsi="Aptos"/>
              </w:rPr>
              <w:t>T11: Nature’s contributions to people</w:t>
            </w:r>
          </w:p>
        </w:tc>
        <w:tc>
          <w:tcPr>
            <w:tcW w:w="4932" w:type="dxa"/>
          </w:tcPr>
          <w:p w14:paraId="655984A5" w14:textId="77777777" w:rsidR="001279A8" w:rsidRPr="003A6336" w:rsidRDefault="001279A8" w:rsidP="009B4355">
            <w:pPr>
              <w:rPr>
                <w:rFonts w:ascii="Aptos" w:hAnsi="Aptos"/>
              </w:rPr>
            </w:pPr>
            <w:r>
              <w:t>C11 : Contributions de la nature aux populations</w:t>
            </w:r>
          </w:p>
        </w:tc>
      </w:tr>
      <w:tr w:rsidR="001279A8" w:rsidRPr="003A6336" w14:paraId="2AA69253" w14:textId="77777777" w:rsidTr="009B4355">
        <w:tc>
          <w:tcPr>
            <w:tcW w:w="4531" w:type="dxa"/>
          </w:tcPr>
          <w:p w14:paraId="32400B3E" w14:textId="77777777" w:rsidR="001279A8" w:rsidRPr="003A6336" w:rsidRDefault="001279A8" w:rsidP="009B4355">
            <w:pPr>
              <w:rPr>
                <w:rFonts w:ascii="Aptos" w:hAnsi="Aptos"/>
              </w:rPr>
            </w:pPr>
            <w:r>
              <w:rPr>
                <w:rFonts w:ascii="Aptos" w:hAnsi="Aptos"/>
              </w:rPr>
              <w:t>T12: Enhance green spaces in urban areas</w:t>
            </w:r>
          </w:p>
        </w:tc>
        <w:tc>
          <w:tcPr>
            <w:tcW w:w="4932" w:type="dxa"/>
          </w:tcPr>
          <w:p w14:paraId="5DFC1460" w14:textId="77777777" w:rsidR="001279A8" w:rsidRPr="003A6336" w:rsidRDefault="001279A8" w:rsidP="009B4355">
            <w:pPr>
              <w:rPr>
                <w:rFonts w:ascii="Aptos" w:hAnsi="Aptos"/>
              </w:rPr>
            </w:pPr>
            <w:r>
              <w:t>C12 : Accroître les espaces verts dans les zones urbaines</w:t>
            </w:r>
          </w:p>
        </w:tc>
      </w:tr>
      <w:tr w:rsidR="001279A8" w:rsidRPr="003A6336" w14:paraId="71DF56D2" w14:textId="77777777" w:rsidTr="009B4355">
        <w:tc>
          <w:tcPr>
            <w:tcW w:w="4531" w:type="dxa"/>
          </w:tcPr>
          <w:p w14:paraId="53483FC3" w14:textId="77777777" w:rsidR="001279A8" w:rsidRPr="003A6336" w:rsidRDefault="001279A8" w:rsidP="009B4355">
            <w:pPr>
              <w:rPr>
                <w:rFonts w:ascii="Aptos" w:hAnsi="Aptos"/>
              </w:rPr>
            </w:pPr>
            <w:r>
              <w:rPr>
                <w:rFonts w:ascii="Aptos" w:hAnsi="Aptos"/>
              </w:rPr>
              <w:t>T16: Enable sustainable consumption</w:t>
            </w:r>
          </w:p>
        </w:tc>
        <w:tc>
          <w:tcPr>
            <w:tcW w:w="4932" w:type="dxa"/>
          </w:tcPr>
          <w:p w14:paraId="15C2EBDE" w14:textId="77777777" w:rsidR="001279A8" w:rsidRPr="003A6336" w:rsidRDefault="001279A8" w:rsidP="009B4355">
            <w:pPr>
              <w:rPr>
                <w:rFonts w:ascii="Aptos" w:hAnsi="Aptos"/>
              </w:rPr>
            </w:pPr>
            <w:r>
              <w:t>C16 : Favoriser des choix de consommation durables</w:t>
            </w:r>
          </w:p>
        </w:tc>
      </w:tr>
      <w:tr w:rsidR="001279A8" w:rsidRPr="003A6336" w14:paraId="4DCF6E28" w14:textId="77777777" w:rsidTr="009B4355">
        <w:tc>
          <w:tcPr>
            <w:tcW w:w="4531" w:type="dxa"/>
          </w:tcPr>
          <w:p w14:paraId="2012B8D1" w14:textId="77777777" w:rsidR="001279A8" w:rsidRPr="003A6336" w:rsidRDefault="001279A8" w:rsidP="009B4355">
            <w:pPr>
              <w:rPr>
                <w:rFonts w:ascii="Aptos" w:hAnsi="Aptos"/>
              </w:rPr>
            </w:pPr>
            <w:r>
              <w:rPr>
                <w:rFonts w:ascii="Aptos" w:hAnsi="Aptos"/>
              </w:rPr>
              <w:t>T17: Strengthen biosafety</w:t>
            </w:r>
          </w:p>
        </w:tc>
        <w:tc>
          <w:tcPr>
            <w:tcW w:w="4932" w:type="dxa"/>
          </w:tcPr>
          <w:p w14:paraId="0948ED97" w14:textId="77777777" w:rsidR="001279A8" w:rsidRPr="003A6336" w:rsidRDefault="001279A8" w:rsidP="009B4355">
            <w:pPr>
              <w:rPr>
                <w:rFonts w:ascii="Aptos" w:hAnsi="Aptos"/>
              </w:rPr>
            </w:pPr>
            <w:r>
              <w:t>C17 : Renforcer la prévention des risques biotechnologiques</w:t>
            </w:r>
          </w:p>
        </w:tc>
      </w:tr>
      <w:tr w:rsidR="001279A8" w:rsidRPr="003A6336" w14:paraId="25FB387E" w14:textId="77777777" w:rsidTr="009B4355">
        <w:tc>
          <w:tcPr>
            <w:tcW w:w="4531" w:type="dxa"/>
          </w:tcPr>
          <w:p w14:paraId="29C1C621" w14:textId="77777777" w:rsidR="001279A8" w:rsidRPr="003A6336" w:rsidRDefault="001279A8" w:rsidP="009B4355">
            <w:pPr>
              <w:rPr>
                <w:rFonts w:ascii="Aptos" w:hAnsi="Aptos"/>
              </w:rPr>
            </w:pPr>
            <w:r>
              <w:rPr>
                <w:rFonts w:ascii="Aptos" w:hAnsi="Aptos"/>
              </w:rPr>
              <w:t>T23: Ensure gender equality</w:t>
            </w:r>
          </w:p>
        </w:tc>
        <w:tc>
          <w:tcPr>
            <w:tcW w:w="4932" w:type="dxa"/>
          </w:tcPr>
          <w:p w14:paraId="09DAB26A" w14:textId="77777777" w:rsidR="001279A8" w:rsidRPr="003A6336" w:rsidRDefault="001279A8" w:rsidP="009B4355">
            <w:pPr>
              <w:rPr>
                <w:rFonts w:ascii="Aptos" w:hAnsi="Aptos"/>
              </w:rPr>
            </w:pPr>
            <w:r>
              <w:t>C23 : Assurer l’égalité des genres</w:t>
            </w:r>
          </w:p>
        </w:tc>
      </w:tr>
    </w:tbl>
    <w:p w14:paraId="282401DD" w14:textId="77777777" w:rsidR="007A60EC" w:rsidRPr="00653BF4" w:rsidRDefault="007A60EC" w:rsidP="007A60EC">
      <w:pPr>
        <w:pStyle w:val="Caption"/>
        <w:rPr>
          <w:lang w:val="fr-FR"/>
        </w:rPr>
      </w:pPr>
    </w:p>
    <w:p w14:paraId="086852F4" w14:textId="77777777" w:rsidR="007A60EC" w:rsidRPr="00653BF4" w:rsidRDefault="007A60EC" w:rsidP="007A60EC">
      <w:pPr>
        <w:rPr>
          <w:lang w:val="fr-FR" w:eastAsia="ja-JP"/>
        </w:rPr>
      </w:pPr>
    </w:p>
    <w:p w14:paraId="2543220D" w14:textId="77777777" w:rsidR="007A60EC" w:rsidRPr="00653BF4" w:rsidRDefault="007A60EC" w:rsidP="007A60EC">
      <w:pPr>
        <w:rPr>
          <w:sz w:val="20"/>
          <w:szCs w:val="20"/>
          <w:lang w:val="fr-FR"/>
        </w:rPr>
      </w:pPr>
      <w:r w:rsidRPr="00653BF4">
        <w:rPr>
          <w:sz w:val="20"/>
          <w:szCs w:val="20"/>
          <w:lang w:val="fr-FR"/>
        </w:rPr>
        <w:t xml:space="preserve">Figure </w:t>
      </w:r>
      <w:r w:rsidRPr="00653BF4">
        <w:rPr>
          <w:noProof/>
          <w:sz w:val="20"/>
          <w:szCs w:val="20"/>
          <w:lang w:val="fr-FR"/>
        </w:rPr>
        <w:t>97</w:t>
      </w:r>
    </w:p>
    <w:p w14:paraId="1B7E042C" w14:textId="06F5D7BD" w:rsidR="007A60EC" w:rsidRDefault="007A60EC" w:rsidP="007A60EC">
      <w:pPr>
        <w:pStyle w:val="Caption"/>
        <w:rPr>
          <w:rFonts w:ascii="Aptos" w:hAnsi="Aptos"/>
          <w:b/>
          <w:bCs/>
          <w:i w:val="0"/>
          <w:iCs w:val="0"/>
          <w:lang w:val="fr-FR"/>
        </w:rPr>
      </w:pPr>
      <w:r w:rsidRPr="00653BF4">
        <w:rPr>
          <w:rFonts w:ascii="Aptos" w:hAnsi="Aptos"/>
          <w:b/>
          <w:bCs/>
          <w:i w:val="0"/>
          <w:iCs w:val="0"/>
          <w:lang w:val="fr-FR"/>
        </w:rPr>
        <w:t>Pourcentage de l’ensemble des indicateurs quantitatifs (indicateurs phares, de composante, complémentaires et nationaux combinés) alignés sur chaque cible associée à l’</w:t>
      </w:r>
      <w:r w:rsidR="002878D7">
        <w:rPr>
          <w:rFonts w:ascii="Aptos" w:hAnsi="Aptos"/>
          <w:b/>
          <w:bCs/>
          <w:i w:val="0"/>
          <w:iCs w:val="0"/>
          <w:lang w:val="fr-FR"/>
        </w:rPr>
        <w:t>objectif A</w:t>
      </w:r>
      <w:r w:rsidRPr="00653BF4">
        <w:rPr>
          <w:rFonts w:ascii="Aptos" w:hAnsi="Aptos"/>
          <w:b/>
          <w:bCs/>
          <w:i w:val="0"/>
          <w:iCs w:val="0"/>
          <w:lang w:val="fr-FR"/>
        </w:rPr>
        <w:t>, selon qu’ils indiquent une tendance positive, stable ou négative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4"/>
        <w:gridCol w:w="3546"/>
      </w:tblGrid>
      <w:tr w:rsidR="003D1936" w14:paraId="1F990CDF" w14:textId="77777777" w:rsidTr="003D1936">
        <w:tc>
          <w:tcPr>
            <w:tcW w:w="4675" w:type="dxa"/>
          </w:tcPr>
          <w:p w14:paraId="36E1F189" w14:textId="7F6CE884" w:rsidR="003D1936" w:rsidRDefault="003D1936" w:rsidP="003D1936">
            <w:pPr>
              <w:rPr>
                <w:lang w:val="fr-FR" w:eastAsia="ja-JP"/>
              </w:rPr>
            </w:pPr>
            <w:r w:rsidRPr="00653BF4">
              <w:rPr>
                <w:noProof/>
                <w:lang w:val="fr-FR"/>
              </w:rPr>
              <w:drawing>
                <wp:inline distT="0" distB="0" distL="0" distR="0" wp14:anchorId="10211E3F" wp14:editId="619207F7">
                  <wp:extent cx="3563800" cy="3818172"/>
                  <wp:effectExtent l="0" t="0" r="5080" b="5080"/>
                  <wp:docPr id="192632632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26324" name="Picture 1926326324"/>
                          <pic:cNvPicPr/>
                        </pic:nvPicPr>
                        <pic:blipFill rotWithShape="1">
                          <a:blip r:embed="rId232" cstate="print">
                            <a:extLst>
                              <a:ext uri="{28A0092B-C50C-407E-A947-70E740481C1C}">
                                <a14:useLocalDpi xmlns:a14="http://schemas.microsoft.com/office/drawing/2010/main" val="0"/>
                              </a:ext>
                            </a:extLst>
                          </a:blip>
                          <a:srcRect t="4767"/>
                          <a:stretch>
                            <a:fillRect/>
                          </a:stretch>
                        </pic:blipFill>
                        <pic:spPr bwMode="auto">
                          <a:xfrm>
                            <a:off x="0" y="0"/>
                            <a:ext cx="3604821" cy="3862121"/>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tbl>
            <w:tblPr>
              <w:tblStyle w:val="TableGrid"/>
              <w:tblW w:w="3332" w:type="dxa"/>
              <w:tblLook w:val="04A0" w:firstRow="1" w:lastRow="0" w:firstColumn="1" w:lastColumn="0" w:noHBand="0" w:noVBand="1"/>
            </w:tblPr>
            <w:tblGrid>
              <w:gridCol w:w="1678"/>
              <w:gridCol w:w="1654"/>
            </w:tblGrid>
            <w:tr w:rsidR="003D1936" w:rsidRPr="001279A8" w14:paraId="1C9E7189" w14:textId="77777777" w:rsidTr="004027E8">
              <w:tc>
                <w:tcPr>
                  <w:tcW w:w="3332" w:type="dxa"/>
                  <w:gridSpan w:val="2"/>
                </w:tcPr>
                <w:p w14:paraId="574C13BF" w14:textId="77777777" w:rsidR="003D1936" w:rsidRPr="001279A8" w:rsidRDefault="003D1936" w:rsidP="003D1936">
                  <w:pPr>
                    <w:rPr>
                      <w:rFonts w:ascii="Aptos" w:hAnsi="Aptos"/>
                      <w:sz w:val="22"/>
                      <w:szCs w:val="22"/>
                    </w:rPr>
                  </w:pPr>
                  <w:r w:rsidRPr="001279A8">
                    <w:rPr>
                      <w:rFonts w:ascii="Aptos" w:hAnsi="Aptos"/>
                      <w:sz w:val="22"/>
                      <w:szCs w:val="22"/>
                    </w:rPr>
                    <w:t>Figure 97</w:t>
                  </w:r>
                </w:p>
              </w:tc>
            </w:tr>
            <w:tr w:rsidR="003D1936" w:rsidRPr="001279A8" w14:paraId="221CCB93" w14:textId="77777777" w:rsidTr="004027E8">
              <w:tc>
                <w:tcPr>
                  <w:tcW w:w="1678" w:type="dxa"/>
                </w:tcPr>
                <w:p w14:paraId="057664DF" w14:textId="77777777" w:rsidR="003D1936" w:rsidRPr="001279A8" w:rsidRDefault="003D1936" w:rsidP="003D1936">
                  <w:pPr>
                    <w:rPr>
                      <w:rFonts w:ascii="Aptos" w:hAnsi="Aptos"/>
                      <w:sz w:val="22"/>
                      <w:szCs w:val="22"/>
                    </w:rPr>
                  </w:pPr>
                  <w:r w:rsidRPr="001279A8">
                    <w:rPr>
                      <w:rFonts w:ascii="Aptos" w:hAnsi="Aptos"/>
                      <w:sz w:val="22"/>
                      <w:szCs w:val="22"/>
                    </w:rPr>
                    <w:t xml:space="preserve">English </w:t>
                  </w:r>
                </w:p>
              </w:tc>
              <w:tc>
                <w:tcPr>
                  <w:tcW w:w="1654" w:type="dxa"/>
                </w:tcPr>
                <w:p w14:paraId="2A087928" w14:textId="7F868383" w:rsidR="003D1936" w:rsidRPr="001279A8" w:rsidRDefault="00AD36A0" w:rsidP="003D1936">
                  <w:pPr>
                    <w:rPr>
                      <w:rFonts w:ascii="Aptos" w:hAnsi="Aptos"/>
                      <w:sz w:val="22"/>
                      <w:szCs w:val="22"/>
                    </w:rPr>
                  </w:pPr>
                  <w:r w:rsidRPr="001279A8">
                    <w:rPr>
                      <w:rFonts w:ascii="Aptos" w:hAnsi="Aptos"/>
                      <w:sz w:val="22"/>
                      <w:szCs w:val="22"/>
                    </w:rPr>
                    <w:t>Français</w:t>
                  </w:r>
                </w:p>
              </w:tc>
            </w:tr>
            <w:tr w:rsidR="003D1936" w:rsidRPr="001279A8" w14:paraId="6B54F196" w14:textId="77777777" w:rsidTr="004027E8">
              <w:tc>
                <w:tcPr>
                  <w:tcW w:w="1678" w:type="dxa"/>
                </w:tcPr>
                <w:p w14:paraId="45BA8A4A" w14:textId="77777777" w:rsidR="003D1936" w:rsidRPr="001279A8" w:rsidRDefault="003D1936" w:rsidP="003D1936">
                  <w:pPr>
                    <w:rPr>
                      <w:rFonts w:ascii="Aptos" w:hAnsi="Aptos"/>
                      <w:sz w:val="22"/>
                      <w:szCs w:val="22"/>
                    </w:rPr>
                  </w:pPr>
                  <w:r w:rsidRPr="001279A8">
                    <w:rPr>
                      <w:rFonts w:ascii="Aptos" w:hAnsi="Aptos"/>
                      <w:sz w:val="22"/>
                      <w:szCs w:val="22"/>
                    </w:rPr>
                    <w:t>Target</w:t>
                  </w:r>
                </w:p>
              </w:tc>
              <w:tc>
                <w:tcPr>
                  <w:tcW w:w="1654" w:type="dxa"/>
                </w:tcPr>
                <w:p w14:paraId="20580217" w14:textId="77777777" w:rsidR="003D1936" w:rsidRPr="001279A8" w:rsidRDefault="003D1936" w:rsidP="003D1936">
                  <w:pPr>
                    <w:rPr>
                      <w:rFonts w:ascii="Aptos" w:hAnsi="Aptos"/>
                      <w:sz w:val="22"/>
                      <w:szCs w:val="22"/>
                    </w:rPr>
                  </w:pPr>
                  <w:r w:rsidRPr="001279A8">
                    <w:rPr>
                      <w:sz w:val="22"/>
                      <w:szCs w:val="22"/>
                    </w:rPr>
                    <w:t>Cible</w:t>
                  </w:r>
                </w:p>
              </w:tc>
            </w:tr>
            <w:tr w:rsidR="003D1936" w:rsidRPr="001279A8" w14:paraId="43EC22B0" w14:textId="77777777" w:rsidTr="004027E8">
              <w:tc>
                <w:tcPr>
                  <w:tcW w:w="1678" w:type="dxa"/>
                </w:tcPr>
                <w:p w14:paraId="34C50167" w14:textId="77777777" w:rsidR="003D1936" w:rsidRPr="001279A8" w:rsidRDefault="003D1936" w:rsidP="003D1936">
                  <w:pPr>
                    <w:rPr>
                      <w:rFonts w:ascii="Aptos" w:hAnsi="Aptos"/>
                      <w:sz w:val="22"/>
                      <w:szCs w:val="22"/>
                    </w:rPr>
                  </w:pPr>
                  <w:r w:rsidRPr="001279A8">
                    <w:rPr>
                      <w:rFonts w:ascii="Aptos" w:hAnsi="Aptos"/>
                      <w:sz w:val="22"/>
                      <w:szCs w:val="22"/>
                    </w:rPr>
                    <w:t>Percentage</w:t>
                  </w:r>
                </w:p>
              </w:tc>
              <w:tc>
                <w:tcPr>
                  <w:tcW w:w="1654" w:type="dxa"/>
                </w:tcPr>
                <w:p w14:paraId="04D39447" w14:textId="77777777" w:rsidR="003D1936" w:rsidRPr="001279A8" w:rsidRDefault="003D1936" w:rsidP="003D1936">
                  <w:pPr>
                    <w:rPr>
                      <w:rFonts w:ascii="Aptos" w:hAnsi="Aptos"/>
                      <w:sz w:val="22"/>
                      <w:szCs w:val="22"/>
                    </w:rPr>
                  </w:pPr>
                  <w:r w:rsidRPr="001279A8">
                    <w:rPr>
                      <w:sz w:val="22"/>
                      <w:szCs w:val="22"/>
                    </w:rPr>
                    <w:t>Pourcentage</w:t>
                  </w:r>
                </w:p>
              </w:tc>
            </w:tr>
            <w:tr w:rsidR="003D1936" w:rsidRPr="001279A8" w14:paraId="1B79B006" w14:textId="77777777" w:rsidTr="004027E8">
              <w:tc>
                <w:tcPr>
                  <w:tcW w:w="1678" w:type="dxa"/>
                </w:tcPr>
                <w:p w14:paraId="54FB8AEF" w14:textId="77777777" w:rsidR="003D1936" w:rsidRPr="001279A8" w:rsidRDefault="003D1936" w:rsidP="003D1936">
                  <w:pPr>
                    <w:rPr>
                      <w:rFonts w:ascii="Aptos" w:hAnsi="Aptos"/>
                      <w:sz w:val="22"/>
                      <w:szCs w:val="22"/>
                    </w:rPr>
                  </w:pPr>
                  <w:r w:rsidRPr="001279A8">
                    <w:rPr>
                      <w:rFonts w:ascii="Aptos" w:hAnsi="Aptos"/>
                      <w:sz w:val="22"/>
                      <w:szCs w:val="22"/>
                    </w:rPr>
                    <w:t>Trend</w:t>
                  </w:r>
                </w:p>
              </w:tc>
              <w:tc>
                <w:tcPr>
                  <w:tcW w:w="1654" w:type="dxa"/>
                </w:tcPr>
                <w:p w14:paraId="510DDA39" w14:textId="77777777" w:rsidR="003D1936" w:rsidRPr="001279A8" w:rsidRDefault="003D1936" w:rsidP="003D1936">
                  <w:pPr>
                    <w:rPr>
                      <w:rFonts w:ascii="Aptos" w:hAnsi="Aptos"/>
                      <w:sz w:val="22"/>
                      <w:szCs w:val="22"/>
                    </w:rPr>
                  </w:pPr>
                  <w:r w:rsidRPr="001279A8">
                    <w:rPr>
                      <w:sz w:val="22"/>
                      <w:szCs w:val="22"/>
                    </w:rPr>
                    <w:t>Tendance</w:t>
                  </w:r>
                </w:p>
              </w:tc>
            </w:tr>
            <w:tr w:rsidR="003D1936" w:rsidRPr="001279A8" w14:paraId="63E91146" w14:textId="77777777" w:rsidTr="004027E8">
              <w:tc>
                <w:tcPr>
                  <w:tcW w:w="1678" w:type="dxa"/>
                </w:tcPr>
                <w:p w14:paraId="26629E90" w14:textId="77777777" w:rsidR="003D1936" w:rsidRPr="001279A8" w:rsidRDefault="003D1936" w:rsidP="003D1936">
                  <w:pPr>
                    <w:rPr>
                      <w:rFonts w:ascii="Aptos" w:hAnsi="Aptos"/>
                      <w:sz w:val="22"/>
                      <w:szCs w:val="22"/>
                    </w:rPr>
                  </w:pPr>
                  <w:r w:rsidRPr="001279A8">
                    <w:rPr>
                      <w:rFonts w:ascii="Aptos" w:hAnsi="Aptos"/>
                      <w:sz w:val="22"/>
                      <w:szCs w:val="22"/>
                    </w:rPr>
                    <w:t>improving</w:t>
                  </w:r>
                </w:p>
              </w:tc>
              <w:tc>
                <w:tcPr>
                  <w:tcW w:w="1654" w:type="dxa"/>
                </w:tcPr>
                <w:p w14:paraId="3069BF9F" w14:textId="77777777" w:rsidR="003D1936" w:rsidRPr="001279A8" w:rsidRDefault="003D1936" w:rsidP="003D1936">
                  <w:pPr>
                    <w:rPr>
                      <w:rFonts w:ascii="Aptos" w:hAnsi="Aptos"/>
                      <w:sz w:val="22"/>
                      <w:szCs w:val="22"/>
                    </w:rPr>
                  </w:pPr>
                  <w:r w:rsidRPr="001279A8">
                    <w:rPr>
                      <w:sz w:val="22"/>
                      <w:szCs w:val="22"/>
                    </w:rPr>
                    <w:t>amélioration</w:t>
                  </w:r>
                </w:p>
              </w:tc>
            </w:tr>
            <w:tr w:rsidR="003D1936" w:rsidRPr="001279A8" w14:paraId="634FB095" w14:textId="77777777" w:rsidTr="004027E8">
              <w:tc>
                <w:tcPr>
                  <w:tcW w:w="1678" w:type="dxa"/>
                </w:tcPr>
                <w:p w14:paraId="7F489473" w14:textId="77777777" w:rsidR="003D1936" w:rsidRPr="001279A8" w:rsidRDefault="003D1936" w:rsidP="003D1936">
                  <w:pPr>
                    <w:rPr>
                      <w:rFonts w:ascii="Aptos" w:hAnsi="Aptos"/>
                      <w:sz w:val="22"/>
                      <w:szCs w:val="22"/>
                    </w:rPr>
                  </w:pPr>
                  <w:r w:rsidRPr="001279A8">
                    <w:rPr>
                      <w:rFonts w:ascii="Aptos" w:hAnsi="Aptos"/>
                      <w:sz w:val="22"/>
                      <w:szCs w:val="22"/>
                    </w:rPr>
                    <w:t>stable</w:t>
                  </w:r>
                </w:p>
              </w:tc>
              <w:tc>
                <w:tcPr>
                  <w:tcW w:w="1654" w:type="dxa"/>
                </w:tcPr>
                <w:p w14:paraId="1E7400CE" w14:textId="77777777" w:rsidR="003D1936" w:rsidRPr="001279A8" w:rsidRDefault="003D1936" w:rsidP="003D1936">
                  <w:pPr>
                    <w:rPr>
                      <w:rFonts w:ascii="Aptos" w:hAnsi="Aptos"/>
                      <w:sz w:val="22"/>
                      <w:szCs w:val="22"/>
                    </w:rPr>
                  </w:pPr>
                  <w:r w:rsidRPr="001279A8">
                    <w:rPr>
                      <w:sz w:val="22"/>
                      <w:szCs w:val="22"/>
                    </w:rPr>
                    <w:t>stabilité</w:t>
                  </w:r>
                </w:p>
              </w:tc>
            </w:tr>
            <w:tr w:rsidR="003D1936" w:rsidRPr="001279A8" w14:paraId="7D682914" w14:textId="77777777" w:rsidTr="004027E8">
              <w:tc>
                <w:tcPr>
                  <w:tcW w:w="1678" w:type="dxa"/>
                </w:tcPr>
                <w:p w14:paraId="0336247E" w14:textId="77777777" w:rsidR="003D1936" w:rsidRPr="001279A8" w:rsidRDefault="003D1936" w:rsidP="003D1936">
                  <w:pPr>
                    <w:rPr>
                      <w:rFonts w:ascii="Aptos" w:hAnsi="Aptos"/>
                      <w:sz w:val="22"/>
                      <w:szCs w:val="22"/>
                    </w:rPr>
                  </w:pPr>
                  <w:r w:rsidRPr="001279A8">
                    <w:rPr>
                      <w:rFonts w:ascii="Aptos" w:hAnsi="Aptos"/>
                      <w:sz w:val="22"/>
                      <w:szCs w:val="22"/>
                    </w:rPr>
                    <w:t>moving away</w:t>
                  </w:r>
                </w:p>
              </w:tc>
              <w:tc>
                <w:tcPr>
                  <w:tcW w:w="1654" w:type="dxa"/>
                </w:tcPr>
                <w:p w14:paraId="4F229983" w14:textId="77777777" w:rsidR="003D1936" w:rsidRPr="001279A8" w:rsidRDefault="003D1936" w:rsidP="003D1936">
                  <w:pPr>
                    <w:rPr>
                      <w:rFonts w:ascii="Aptos" w:hAnsi="Aptos"/>
                      <w:sz w:val="22"/>
                      <w:szCs w:val="22"/>
                    </w:rPr>
                  </w:pPr>
                  <w:r w:rsidRPr="001279A8">
                    <w:rPr>
                      <w:sz w:val="22"/>
                      <w:szCs w:val="22"/>
                    </w:rPr>
                    <w:t>éloignement</w:t>
                  </w:r>
                </w:p>
              </w:tc>
            </w:tr>
            <w:tr w:rsidR="003D1936" w:rsidRPr="001279A8" w14:paraId="443F4CA2" w14:textId="77777777" w:rsidTr="004027E8">
              <w:tc>
                <w:tcPr>
                  <w:tcW w:w="1678" w:type="dxa"/>
                </w:tcPr>
                <w:p w14:paraId="1FFCEA17" w14:textId="77777777" w:rsidR="003D1936" w:rsidRPr="001279A8" w:rsidRDefault="003D1936" w:rsidP="003D1936">
                  <w:pPr>
                    <w:rPr>
                      <w:rFonts w:ascii="Aptos" w:hAnsi="Aptos"/>
                      <w:sz w:val="22"/>
                      <w:szCs w:val="22"/>
                    </w:rPr>
                  </w:pPr>
                  <w:r w:rsidRPr="001279A8">
                    <w:rPr>
                      <w:rFonts w:ascii="Aptos" w:hAnsi="Aptos"/>
                      <w:sz w:val="22"/>
                      <w:szCs w:val="22"/>
                    </w:rPr>
                    <w:t>GBF-T01</w:t>
                  </w:r>
                </w:p>
              </w:tc>
              <w:tc>
                <w:tcPr>
                  <w:tcW w:w="1654" w:type="dxa"/>
                </w:tcPr>
                <w:p w14:paraId="44AD37B7" w14:textId="77777777" w:rsidR="003D1936" w:rsidRPr="001279A8" w:rsidRDefault="003D1936" w:rsidP="003D1936">
                  <w:pPr>
                    <w:rPr>
                      <w:rFonts w:ascii="Aptos" w:hAnsi="Aptos"/>
                      <w:sz w:val="22"/>
                      <w:szCs w:val="22"/>
                    </w:rPr>
                  </w:pPr>
                  <w:r w:rsidRPr="001279A8">
                    <w:rPr>
                      <w:rFonts w:ascii="Aptos" w:hAnsi="Aptos"/>
                      <w:sz w:val="22"/>
                      <w:szCs w:val="22"/>
                    </w:rPr>
                    <w:t>CMB-C01</w:t>
                  </w:r>
                </w:p>
              </w:tc>
            </w:tr>
            <w:tr w:rsidR="003D1936" w:rsidRPr="001279A8" w14:paraId="370AE0D2" w14:textId="77777777" w:rsidTr="004027E8">
              <w:tc>
                <w:tcPr>
                  <w:tcW w:w="1678" w:type="dxa"/>
                </w:tcPr>
                <w:p w14:paraId="4B6BC4EF" w14:textId="77777777" w:rsidR="003D1936" w:rsidRPr="001279A8" w:rsidRDefault="003D1936" w:rsidP="003D1936">
                  <w:pPr>
                    <w:rPr>
                      <w:rFonts w:ascii="Aptos" w:hAnsi="Aptos"/>
                      <w:sz w:val="22"/>
                      <w:szCs w:val="22"/>
                    </w:rPr>
                  </w:pPr>
                  <w:r w:rsidRPr="001279A8">
                    <w:rPr>
                      <w:rFonts w:ascii="Aptos" w:hAnsi="Aptos"/>
                      <w:sz w:val="22"/>
                      <w:szCs w:val="22"/>
                    </w:rPr>
                    <w:t>GBF-T02</w:t>
                  </w:r>
                </w:p>
              </w:tc>
              <w:tc>
                <w:tcPr>
                  <w:tcW w:w="1654" w:type="dxa"/>
                </w:tcPr>
                <w:p w14:paraId="006ED5C0" w14:textId="77777777" w:rsidR="003D1936" w:rsidRPr="001279A8" w:rsidRDefault="003D1936" w:rsidP="003D1936">
                  <w:pPr>
                    <w:rPr>
                      <w:rFonts w:ascii="Aptos" w:hAnsi="Aptos"/>
                      <w:sz w:val="22"/>
                      <w:szCs w:val="22"/>
                    </w:rPr>
                  </w:pPr>
                  <w:r w:rsidRPr="001279A8">
                    <w:rPr>
                      <w:rFonts w:ascii="Aptos" w:hAnsi="Aptos"/>
                      <w:sz w:val="22"/>
                      <w:szCs w:val="22"/>
                    </w:rPr>
                    <w:t>CMB-C02</w:t>
                  </w:r>
                </w:p>
              </w:tc>
            </w:tr>
            <w:tr w:rsidR="003D1936" w:rsidRPr="001279A8" w14:paraId="1DA22CCB" w14:textId="77777777" w:rsidTr="004027E8">
              <w:tc>
                <w:tcPr>
                  <w:tcW w:w="1678" w:type="dxa"/>
                </w:tcPr>
                <w:p w14:paraId="375FA95D" w14:textId="77777777" w:rsidR="003D1936" w:rsidRPr="001279A8" w:rsidRDefault="003D1936" w:rsidP="003D1936">
                  <w:pPr>
                    <w:rPr>
                      <w:rFonts w:ascii="Aptos" w:hAnsi="Aptos"/>
                      <w:sz w:val="22"/>
                      <w:szCs w:val="22"/>
                    </w:rPr>
                  </w:pPr>
                  <w:r w:rsidRPr="001279A8">
                    <w:rPr>
                      <w:rFonts w:ascii="Aptos" w:hAnsi="Aptos"/>
                      <w:sz w:val="22"/>
                      <w:szCs w:val="22"/>
                    </w:rPr>
                    <w:t>GBF-T03</w:t>
                  </w:r>
                </w:p>
              </w:tc>
              <w:tc>
                <w:tcPr>
                  <w:tcW w:w="1654" w:type="dxa"/>
                </w:tcPr>
                <w:p w14:paraId="6BF12841" w14:textId="77777777" w:rsidR="003D1936" w:rsidRPr="001279A8" w:rsidRDefault="003D1936" w:rsidP="003D1936">
                  <w:pPr>
                    <w:rPr>
                      <w:rFonts w:ascii="Aptos" w:hAnsi="Aptos"/>
                      <w:sz w:val="22"/>
                      <w:szCs w:val="22"/>
                    </w:rPr>
                  </w:pPr>
                  <w:r w:rsidRPr="001279A8">
                    <w:rPr>
                      <w:rFonts w:ascii="Aptos" w:hAnsi="Aptos"/>
                      <w:sz w:val="22"/>
                      <w:szCs w:val="22"/>
                    </w:rPr>
                    <w:t>CMB-C03</w:t>
                  </w:r>
                </w:p>
              </w:tc>
            </w:tr>
            <w:tr w:rsidR="003D1936" w:rsidRPr="001279A8" w14:paraId="28DCA6DA" w14:textId="77777777" w:rsidTr="004027E8">
              <w:tc>
                <w:tcPr>
                  <w:tcW w:w="1678" w:type="dxa"/>
                </w:tcPr>
                <w:p w14:paraId="719D1FDD" w14:textId="77777777" w:rsidR="003D1936" w:rsidRPr="001279A8" w:rsidRDefault="003D1936" w:rsidP="003D1936">
                  <w:pPr>
                    <w:rPr>
                      <w:rFonts w:ascii="Aptos" w:hAnsi="Aptos"/>
                      <w:sz w:val="22"/>
                      <w:szCs w:val="22"/>
                    </w:rPr>
                  </w:pPr>
                  <w:r w:rsidRPr="001279A8">
                    <w:rPr>
                      <w:rFonts w:ascii="Aptos" w:hAnsi="Aptos"/>
                      <w:sz w:val="22"/>
                      <w:szCs w:val="22"/>
                    </w:rPr>
                    <w:t>GBF-T04</w:t>
                  </w:r>
                </w:p>
              </w:tc>
              <w:tc>
                <w:tcPr>
                  <w:tcW w:w="1654" w:type="dxa"/>
                </w:tcPr>
                <w:p w14:paraId="33DC635D" w14:textId="77777777" w:rsidR="003D1936" w:rsidRPr="001279A8" w:rsidRDefault="003D1936" w:rsidP="003D1936">
                  <w:pPr>
                    <w:rPr>
                      <w:rFonts w:ascii="Aptos" w:hAnsi="Aptos"/>
                      <w:sz w:val="22"/>
                      <w:szCs w:val="22"/>
                    </w:rPr>
                  </w:pPr>
                  <w:r w:rsidRPr="001279A8">
                    <w:rPr>
                      <w:rFonts w:ascii="Aptos" w:hAnsi="Aptos"/>
                      <w:sz w:val="22"/>
                      <w:szCs w:val="22"/>
                    </w:rPr>
                    <w:t>CMB-C04</w:t>
                  </w:r>
                </w:p>
              </w:tc>
            </w:tr>
            <w:tr w:rsidR="003D1936" w:rsidRPr="001279A8" w14:paraId="6E4E38F9" w14:textId="77777777" w:rsidTr="004027E8">
              <w:tc>
                <w:tcPr>
                  <w:tcW w:w="1678" w:type="dxa"/>
                </w:tcPr>
                <w:p w14:paraId="33F9B849" w14:textId="77777777" w:rsidR="003D1936" w:rsidRPr="001279A8" w:rsidRDefault="003D1936" w:rsidP="003D1936">
                  <w:pPr>
                    <w:rPr>
                      <w:rFonts w:ascii="Aptos" w:hAnsi="Aptos"/>
                      <w:sz w:val="22"/>
                      <w:szCs w:val="22"/>
                    </w:rPr>
                  </w:pPr>
                  <w:r w:rsidRPr="001279A8">
                    <w:rPr>
                      <w:rFonts w:ascii="Aptos" w:hAnsi="Aptos"/>
                      <w:sz w:val="22"/>
                      <w:szCs w:val="22"/>
                    </w:rPr>
                    <w:t>GBF-T05</w:t>
                  </w:r>
                </w:p>
              </w:tc>
              <w:tc>
                <w:tcPr>
                  <w:tcW w:w="1654" w:type="dxa"/>
                </w:tcPr>
                <w:p w14:paraId="0E1FA01D" w14:textId="77777777" w:rsidR="003D1936" w:rsidRPr="001279A8" w:rsidRDefault="003D1936" w:rsidP="003D1936">
                  <w:pPr>
                    <w:rPr>
                      <w:rFonts w:ascii="Aptos" w:hAnsi="Aptos"/>
                      <w:sz w:val="22"/>
                      <w:szCs w:val="22"/>
                    </w:rPr>
                  </w:pPr>
                  <w:r w:rsidRPr="001279A8">
                    <w:rPr>
                      <w:rFonts w:ascii="Aptos" w:hAnsi="Aptos"/>
                      <w:sz w:val="22"/>
                      <w:szCs w:val="22"/>
                    </w:rPr>
                    <w:t>CMB-C05</w:t>
                  </w:r>
                </w:p>
              </w:tc>
            </w:tr>
            <w:tr w:rsidR="003D1936" w:rsidRPr="001279A8" w14:paraId="3524829C" w14:textId="77777777" w:rsidTr="004027E8">
              <w:tc>
                <w:tcPr>
                  <w:tcW w:w="1678" w:type="dxa"/>
                </w:tcPr>
                <w:p w14:paraId="49EC8A63" w14:textId="77777777" w:rsidR="003D1936" w:rsidRPr="001279A8" w:rsidRDefault="003D1936" w:rsidP="003D1936">
                  <w:pPr>
                    <w:rPr>
                      <w:rFonts w:ascii="Aptos" w:hAnsi="Aptos"/>
                      <w:sz w:val="22"/>
                      <w:szCs w:val="22"/>
                    </w:rPr>
                  </w:pPr>
                  <w:r w:rsidRPr="001279A8">
                    <w:rPr>
                      <w:rFonts w:ascii="Aptos" w:hAnsi="Aptos"/>
                      <w:sz w:val="22"/>
                      <w:szCs w:val="22"/>
                    </w:rPr>
                    <w:t>GBF-T06</w:t>
                  </w:r>
                </w:p>
              </w:tc>
              <w:tc>
                <w:tcPr>
                  <w:tcW w:w="1654" w:type="dxa"/>
                </w:tcPr>
                <w:p w14:paraId="1285E164" w14:textId="77777777" w:rsidR="003D1936" w:rsidRPr="001279A8" w:rsidRDefault="003D1936" w:rsidP="003D1936">
                  <w:pPr>
                    <w:rPr>
                      <w:rFonts w:ascii="Aptos" w:hAnsi="Aptos"/>
                      <w:sz w:val="22"/>
                      <w:szCs w:val="22"/>
                    </w:rPr>
                  </w:pPr>
                  <w:r w:rsidRPr="001279A8">
                    <w:rPr>
                      <w:rFonts w:ascii="Aptos" w:hAnsi="Aptos"/>
                      <w:sz w:val="22"/>
                      <w:szCs w:val="22"/>
                    </w:rPr>
                    <w:t>CMB-C06</w:t>
                  </w:r>
                </w:p>
              </w:tc>
            </w:tr>
            <w:tr w:rsidR="003D1936" w:rsidRPr="001279A8" w14:paraId="6A6D76A0" w14:textId="77777777" w:rsidTr="004027E8">
              <w:tc>
                <w:tcPr>
                  <w:tcW w:w="1678" w:type="dxa"/>
                </w:tcPr>
                <w:p w14:paraId="54B366DF" w14:textId="77777777" w:rsidR="003D1936" w:rsidRPr="001279A8" w:rsidRDefault="003D1936" w:rsidP="003D1936">
                  <w:pPr>
                    <w:rPr>
                      <w:rFonts w:ascii="Aptos" w:hAnsi="Aptos"/>
                      <w:sz w:val="22"/>
                      <w:szCs w:val="22"/>
                    </w:rPr>
                  </w:pPr>
                  <w:r w:rsidRPr="001279A8">
                    <w:rPr>
                      <w:rFonts w:ascii="Aptos" w:hAnsi="Aptos"/>
                      <w:sz w:val="22"/>
                      <w:szCs w:val="22"/>
                    </w:rPr>
                    <w:t>GBF-T07</w:t>
                  </w:r>
                </w:p>
              </w:tc>
              <w:tc>
                <w:tcPr>
                  <w:tcW w:w="1654" w:type="dxa"/>
                </w:tcPr>
                <w:p w14:paraId="017E6ECE" w14:textId="77777777" w:rsidR="003D1936" w:rsidRPr="001279A8" w:rsidRDefault="003D1936" w:rsidP="003D1936">
                  <w:pPr>
                    <w:rPr>
                      <w:rFonts w:ascii="Aptos" w:hAnsi="Aptos"/>
                      <w:sz w:val="22"/>
                      <w:szCs w:val="22"/>
                    </w:rPr>
                  </w:pPr>
                  <w:r w:rsidRPr="001279A8">
                    <w:rPr>
                      <w:rFonts w:ascii="Aptos" w:hAnsi="Aptos"/>
                      <w:sz w:val="22"/>
                      <w:szCs w:val="22"/>
                    </w:rPr>
                    <w:t>CMB-C07</w:t>
                  </w:r>
                </w:p>
              </w:tc>
            </w:tr>
            <w:tr w:rsidR="003D1936" w:rsidRPr="001279A8" w14:paraId="0E1D4187" w14:textId="77777777" w:rsidTr="004027E8">
              <w:tc>
                <w:tcPr>
                  <w:tcW w:w="1678" w:type="dxa"/>
                </w:tcPr>
                <w:p w14:paraId="046CD543" w14:textId="77777777" w:rsidR="003D1936" w:rsidRPr="001279A8" w:rsidRDefault="003D1936" w:rsidP="003D1936">
                  <w:pPr>
                    <w:rPr>
                      <w:rFonts w:ascii="Aptos" w:hAnsi="Aptos"/>
                      <w:sz w:val="22"/>
                      <w:szCs w:val="22"/>
                    </w:rPr>
                  </w:pPr>
                  <w:r w:rsidRPr="001279A8">
                    <w:rPr>
                      <w:rFonts w:ascii="Aptos" w:hAnsi="Aptos"/>
                      <w:sz w:val="22"/>
                      <w:szCs w:val="22"/>
                    </w:rPr>
                    <w:t>GBF-T08</w:t>
                  </w:r>
                </w:p>
              </w:tc>
              <w:tc>
                <w:tcPr>
                  <w:tcW w:w="1654" w:type="dxa"/>
                </w:tcPr>
                <w:p w14:paraId="5E3E10F4" w14:textId="77777777" w:rsidR="003D1936" w:rsidRPr="001279A8" w:rsidRDefault="003D1936" w:rsidP="003D1936">
                  <w:pPr>
                    <w:rPr>
                      <w:rFonts w:ascii="Aptos" w:hAnsi="Aptos"/>
                      <w:sz w:val="22"/>
                      <w:szCs w:val="22"/>
                    </w:rPr>
                  </w:pPr>
                  <w:r w:rsidRPr="001279A8">
                    <w:rPr>
                      <w:rFonts w:ascii="Aptos" w:hAnsi="Aptos"/>
                      <w:sz w:val="22"/>
                      <w:szCs w:val="22"/>
                    </w:rPr>
                    <w:t>CMB-C08</w:t>
                  </w:r>
                </w:p>
              </w:tc>
            </w:tr>
            <w:tr w:rsidR="003D1936" w:rsidRPr="001279A8" w14:paraId="1FD5EB11" w14:textId="77777777" w:rsidTr="004027E8">
              <w:tc>
                <w:tcPr>
                  <w:tcW w:w="1678" w:type="dxa"/>
                </w:tcPr>
                <w:p w14:paraId="13678634" w14:textId="77777777" w:rsidR="003D1936" w:rsidRPr="001279A8" w:rsidRDefault="003D1936" w:rsidP="003D1936">
                  <w:pPr>
                    <w:rPr>
                      <w:rFonts w:ascii="Aptos" w:hAnsi="Aptos"/>
                      <w:sz w:val="22"/>
                      <w:szCs w:val="22"/>
                    </w:rPr>
                  </w:pPr>
                  <w:r w:rsidRPr="001279A8">
                    <w:rPr>
                      <w:rFonts w:ascii="Aptos" w:hAnsi="Aptos"/>
                      <w:sz w:val="22"/>
                      <w:szCs w:val="22"/>
                    </w:rPr>
                    <w:t>GBF-T09</w:t>
                  </w:r>
                </w:p>
              </w:tc>
              <w:tc>
                <w:tcPr>
                  <w:tcW w:w="1654" w:type="dxa"/>
                </w:tcPr>
                <w:p w14:paraId="0594282D" w14:textId="77777777" w:rsidR="003D1936" w:rsidRPr="001279A8" w:rsidRDefault="003D1936" w:rsidP="003D1936">
                  <w:pPr>
                    <w:rPr>
                      <w:rFonts w:ascii="Aptos" w:hAnsi="Aptos"/>
                      <w:sz w:val="22"/>
                      <w:szCs w:val="22"/>
                    </w:rPr>
                  </w:pPr>
                  <w:r w:rsidRPr="001279A8">
                    <w:rPr>
                      <w:rFonts w:ascii="Aptos" w:hAnsi="Aptos"/>
                      <w:sz w:val="22"/>
                      <w:szCs w:val="22"/>
                    </w:rPr>
                    <w:t>CMB-C09</w:t>
                  </w:r>
                </w:p>
              </w:tc>
            </w:tr>
            <w:tr w:rsidR="003D1936" w:rsidRPr="001279A8" w14:paraId="63B73CC6" w14:textId="77777777" w:rsidTr="004027E8">
              <w:tc>
                <w:tcPr>
                  <w:tcW w:w="1678" w:type="dxa"/>
                </w:tcPr>
                <w:p w14:paraId="6CA79ECD" w14:textId="77777777" w:rsidR="003D1936" w:rsidRPr="001279A8" w:rsidRDefault="003D1936" w:rsidP="003D1936">
                  <w:pPr>
                    <w:rPr>
                      <w:rFonts w:ascii="Aptos" w:hAnsi="Aptos"/>
                      <w:sz w:val="22"/>
                      <w:szCs w:val="22"/>
                    </w:rPr>
                  </w:pPr>
                  <w:r w:rsidRPr="001279A8">
                    <w:rPr>
                      <w:rFonts w:ascii="Aptos" w:hAnsi="Aptos"/>
                      <w:sz w:val="22"/>
                      <w:szCs w:val="22"/>
                    </w:rPr>
                    <w:t>GBF-T10</w:t>
                  </w:r>
                </w:p>
              </w:tc>
              <w:tc>
                <w:tcPr>
                  <w:tcW w:w="1654" w:type="dxa"/>
                </w:tcPr>
                <w:p w14:paraId="7583FE14" w14:textId="77777777" w:rsidR="003D1936" w:rsidRPr="001279A8" w:rsidRDefault="003D1936" w:rsidP="003D1936">
                  <w:pPr>
                    <w:rPr>
                      <w:rFonts w:ascii="Aptos" w:hAnsi="Aptos"/>
                      <w:sz w:val="22"/>
                      <w:szCs w:val="22"/>
                    </w:rPr>
                  </w:pPr>
                  <w:r w:rsidRPr="001279A8">
                    <w:rPr>
                      <w:rFonts w:ascii="Aptos" w:hAnsi="Aptos"/>
                      <w:sz w:val="22"/>
                      <w:szCs w:val="22"/>
                    </w:rPr>
                    <w:t>CMB-C10</w:t>
                  </w:r>
                </w:p>
              </w:tc>
            </w:tr>
            <w:tr w:rsidR="003D1936" w:rsidRPr="001279A8" w14:paraId="48A16950" w14:textId="77777777" w:rsidTr="004027E8">
              <w:tc>
                <w:tcPr>
                  <w:tcW w:w="1678" w:type="dxa"/>
                </w:tcPr>
                <w:p w14:paraId="07A36D59" w14:textId="77777777" w:rsidR="003D1936" w:rsidRPr="001279A8" w:rsidRDefault="003D1936" w:rsidP="003D1936">
                  <w:pPr>
                    <w:rPr>
                      <w:rFonts w:ascii="Aptos" w:hAnsi="Aptos"/>
                      <w:sz w:val="22"/>
                      <w:szCs w:val="22"/>
                    </w:rPr>
                  </w:pPr>
                  <w:r w:rsidRPr="001279A8">
                    <w:rPr>
                      <w:rFonts w:ascii="Aptos" w:hAnsi="Aptos"/>
                      <w:sz w:val="22"/>
                      <w:szCs w:val="22"/>
                    </w:rPr>
                    <w:t>GBF-T11</w:t>
                  </w:r>
                </w:p>
              </w:tc>
              <w:tc>
                <w:tcPr>
                  <w:tcW w:w="1654" w:type="dxa"/>
                </w:tcPr>
                <w:p w14:paraId="23A694A6" w14:textId="77777777" w:rsidR="003D1936" w:rsidRPr="001279A8" w:rsidRDefault="003D1936" w:rsidP="003D1936">
                  <w:pPr>
                    <w:rPr>
                      <w:rFonts w:ascii="Aptos" w:hAnsi="Aptos"/>
                      <w:sz w:val="22"/>
                      <w:szCs w:val="22"/>
                    </w:rPr>
                  </w:pPr>
                  <w:r w:rsidRPr="001279A8">
                    <w:rPr>
                      <w:rFonts w:ascii="Aptos" w:hAnsi="Aptos"/>
                      <w:sz w:val="22"/>
                      <w:szCs w:val="22"/>
                    </w:rPr>
                    <w:t>CMB-C11</w:t>
                  </w:r>
                </w:p>
              </w:tc>
            </w:tr>
            <w:tr w:rsidR="003D1936" w:rsidRPr="001279A8" w14:paraId="0B818208" w14:textId="77777777" w:rsidTr="004027E8">
              <w:tc>
                <w:tcPr>
                  <w:tcW w:w="1678" w:type="dxa"/>
                </w:tcPr>
                <w:p w14:paraId="73520710" w14:textId="77777777" w:rsidR="003D1936" w:rsidRPr="001279A8" w:rsidRDefault="003D1936" w:rsidP="003D1936">
                  <w:pPr>
                    <w:rPr>
                      <w:rFonts w:ascii="Aptos" w:hAnsi="Aptos"/>
                      <w:sz w:val="22"/>
                      <w:szCs w:val="22"/>
                    </w:rPr>
                  </w:pPr>
                  <w:r w:rsidRPr="001279A8">
                    <w:rPr>
                      <w:rFonts w:ascii="Aptos" w:hAnsi="Aptos"/>
                      <w:sz w:val="22"/>
                      <w:szCs w:val="22"/>
                    </w:rPr>
                    <w:t>GBF-T12</w:t>
                  </w:r>
                </w:p>
              </w:tc>
              <w:tc>
                <w:tcPr>
                  <w:tcW w:w="1654" w:type="dxa"/>
                </w:tcPr>
                <w:p w14:paraId="2CE5EB52" w14:textId="77777777" w:rsidR="003D1936" w:rsidRPr="001279A8" w:rsidRDefault="003D1936" w:rsidP="003D1936">
                  <w:pPr>
                    <w:rPr>
                      <w:rFonts w:ascii="Aptos" w:hAnsi="Aptos"/>
                      <w:sz w:val="22"/>
                      <w:szCs w:val="22"/>
                    </w:rPr>
                  </w:pPr>
                  <w:r w:rsidRPr="001279A8">
                    <w:rPr>
                      <w:rFonts w:ascii="Aptos" w:hAnsi="Aptos"/>
                      <w:sz w:val="22"/>
                      <w:szCs w:val="22"/>
                    </w:rPr>
                    <w:t>CMB-C12</w:t>
                  </w:r>
                </w:p>
              </w:tc>
            </w:tr>
            <w:tr w:rsidR="003D1936" w:rsidRPr="001279A8" w14:paraId="5A130F20" w14:textId="77777777" w:rsidTr="004027E8">
              <w:tc>
                <w:tcPr>
                  <w:tcW w:w="1678" w:type="dxa"/>
                </w:tcPr>
                <w:p w14:paraId="02662D33" w14:textId="77777777" w:rsidR="003D1936" w:rsidRPr="001279A8" w:rsidRDefault="003D1936" w:rsidP="003D1936">
                  <w:pPr>
                    <w:rPr>
                      <w:rFonts w:ascii="Aptos" w:hAnsi="Aptos"/>
                      <w:sz w:val="22"/>
                      <w:szCs w:val="22"/>
                    </w:rPr>
                  </w:pPr>
                  <w:r w:rsidRPr="001279A8">
                    <w:rPr>
                      <w:rFonts w:ascii="Aptos" w:hAnsi="Aptos"/>
                      <w:sz w:val="22"/>
                      <w:szCs w:val="22"/>
                    </w:rPr>
                    <w:t>GBF-T16</w:t>
                  </w:r>
                </w:p>
              </w:tc>
              <w:tc>
                <w:tcPr>
                  <w:tcW w:w="1654" w:type="dxa"/>
                </w:tcPr>
                <w:p w14:paraId="24E0AB29" w14:textId="77777777" w:rsidR="003D1936" w:rsidRPr="001279A8" w:rsidRDefault="003D1936" w:rsidP="003D1936">
                  <w:pPr>
                    <w:rPr>
                      <w:rFonts w:ascii="Aptos" w:hAnsi="Aptos"/>
                      <w:sz w:val="22"/>
                      <w:szCs w:val="22"/>
                    </w:rPr>
                  </w:pPr>
                  <w:r w:rsidRPr="001279A8">
                    <w:rPr>
                      <w:rFonts w:ascii="Aptos" w:hAnsi="Aptos"/>
                      <w:sz w:val="22"/>
                      <w:szCs w:val="22"/>
                    </w:rPr>
                    <w:t>CMB-C16</w:t>
                  </w:r>
                </w:p>
              </w:tc>
            </w:tr>
            <w:tr w:rsidR="003D1936" w:rsidRPr="001279A8" w14:paraId="150B952B" w14:textId="77777777" w:rsidTr="004027E8">
              <w:tc>
                <w:tcPr>
                  <w:tcW w:w="1678" w:type="dxa"/>
                </w:tcPr>
                <w:p w14:paraId="28381731" w14:textId="77777777" w:rsidR="003D1936" w:rsidRPr="001279A8" w:rsidRDefault="003D1936" w:rsidP="003D1936">
                  <w:pPr>
                    <w:rPr>
                      <w:rFonts w:ascii="Aptos" w:hAnsi="Aptos"/>
                      <w:sz w:val="22"/>
                      <w:szCs w:val="22"/>
                    </w:rPr>
                  </w:pPr>
                  <w:r w:rsidRPr="001279A8">
                    <w:rPr>
                      <w:rFonts w:ascii="Aptos" w:hAnsi="Aptos"/>
                      <w:sz w:val="22"/>
                      <w:szCs w:val="22"/>
                    </w:rPr>
                    <w:t>GBF-T17</w:t>
                  </w:r>
                </w:p>
              </w:tc>
              <w:tc>
                <w:tcPr>
                  <w:tcW w:w="1654" w:type="dxa"/>
                </w:tcPr>
                <w:p w14:paraId="0ADE811B" w14:textId="77777777" w:rsidR="003D1936" w:rsidRPr="001279A8" w:rsidRDefault="003D1936" w:rsidP="003D1936">
                  <w:pPr>
                    <w:rPr>
                      <w:rFonts w:ascii="Aptos" w:hAnsi="Aptos"/>
                      <w:sz w:val="22"/>
                      <w:szCs w:val="22"/>
                    </w:rPr>
                  </w:pPr>
                  <w:r w:rsidRPr="001279A8">
                    <w:rPr>
                      <w:rFonts w:ascii="Aptos" w:hAnsi="Aptos"/>
                      <w:sz w:val="22"/>
                      <w:szCs w:val="22"/>
                    </w:rPr>
                    <w:t>CMB-C17</w:t>
                  </w:r>
                </w:p>
              </w:tc>
            </w:tr>
            <w:tr w:rsidR="003D1936" w:rsidRPr="001279A8" w14:paraId="54598DE9" w14:textId="77777777" w:rsidTr="004027E8">
              <w:tc>
                <w:tcPr>
                  <w:tcW w:w="1678" w:type="dxa"/>
                </w:tcPr>
                <w:p w14:paraId="78665A79" w14:textId="77777777" w:rsidR="003D1936" w:rsidRPr="001279A8" w:rsidRDefault="003D1936" w:rsidP="003D1936">
                  <w:pPr>
                    <w:rPr>
                      <w:rFonts w:ascii="Aptos" w:hAnsi="Aptos"/>
                      <w:sz w:val="22"/>
                      <w:szCs w:val="22"/>
                    </w:rPr>
                  </w:pPr>
                  <w:r w:rsidRPr="001279A8">
                    <w:rPr>
                      <w:rFonts w:ascii="Aptos" w:hAnsi="Aptos"/>
                      <w:sz w:val="22"/>
                      <w:szCs w:val="22"/>
                    </w:rPr>
                    <w:t>GBF-T23</w:t>
                  </w:r>
                </w:p>
              </w:tc>
              <w:tc>
                <w:tcPr>
                  <w:tcW w:w="1654" w:type="dxa"/>
                </w:tcPr>
                <w:p w14:paraId="09A9DB95" w14:textId="77777777" w:rsidR="003D1936" w:rsidRPr="001279A8" w:rsidRDefault="003D1936" w:rsidP="003D1936">
                  <w:pPr>
                    <w:rPr>
                      <w:rFonts w:ascii="Aptos" w:hAnsi="Aptos"/>
                      <w:sz w:val="22"/>
                      <w:szCs w:val="22"/>
                    </w:rPr>
                  </w:pPr>
                  <w:r w:rsidRPr="001279A8">
                    <w:rPr>
                      <w:rFonts w:ascii="Aptos" w:hAnsi="Aptos"/>
                      <w:sz w:val="22"/>
                      <w:szCs w:val="22"/>
                    </w:rPr>
                    <w:t>CMB-C23</w:t>
                  </w:r>
                </w:p>
              </w:tc>
            </w:tr>
          </w:tbl>
          <w:p w14:paraId="14FBEBFD" w14:textId="77777777" w:rsidR="003D1936" w:rsidRDefault="003D1936" w:rsidP="003D1936">
            <w:pPr>
              <w:rPr>
                <w:lang w:val="fr-FR" w:eastAsia="ja-JP"/>
              </w:rPr>
            </w:pPr>
          </w:p>
        </w:tc>
      </w:tr>
    </w:tbl>
    <w:p w14:paraId="0CA0AF59" w14:textId="1930C7C7" w:rsidR="007A60EC" w:rsidRPr="00653BF4" w:rsidRDefault="007A60EC" w:rsidP="007A60EC">
      <w:pPr>
        <w:pStyle w:val="Caption"/>
        <w:rPr>
          <w:lang w:val="fr-FR"/>
        </w:rPr>
      </w:pPr>
      <w:bookmarkStart w:id="461" w:name="_Ref230638506"/>
      <w:bookmarkStart w:id="462" w:name="_Ref230638431"/>
    </w:p>
    <w:bookmarkEnd w:id="461"/>
    <w:bookmarkEnd w:id="462"/>
    <w:p w14:paraId="0B7393F8" w14:textId="15AE7627" w:rsidR="007A60EC" w:rsidRPr="00653BF4" w:rsidRDefault="007A60EC" w:rsidP="007A60EC">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Pr="00653BF4">
        <w:rPr>
          <w:rFonts w:ascii="Aptos" w:hAnsi="Aptos"/>
          <w:i w:val="0"/>
          <w:iCs w:val="0"/>
          <w:lang w:val="fr-FR"/>
        </w:rPr>
        <w:t xml:space="preserve"> Les proportions sont pondérées par Partie. Des informations sur la représentativité régionale et sur les types d’indicateurs inclus figurent dans chacune des évaluations des cibles concernées à la </w:t>
      </w:r>
      <w:r w:rsidR="002878D7">
        <w:rPr>
          <w:rFonts w:ascii="Aptos" w:hAnsi="Aptos"/>
          <w:i w:val="0"/>
          <w:iCs w:val="0"/>
          <w:lang w:val="fr-FR"/>
        </w:rPr>
        <w:t>section I</w:t>
      </w:r>
      <w:r w:rsidRPr="00653BF4">
        <w:rPr>
          <w:rFonts w:ascii="Aptos" w:hAnsi="Aptos"/>
          <w:i w:val="0"/>
          <w:iCs w:val="0"/>
          <w:lang w:val="fr-FR"/>
        </w:rPr>
        <w:t>I.B.</w:t>
      </w:r>
    </w:p>
    <w:p w14:paraId="6C005221" w14:textId="5E5205A8" w:rsidR="007A60EC" w:rsidRPr="00653BF4" w:rsidRDefault="007A60EC" w:rsidP="007A60EC">
      <w:pPr>
        <w:pStyle w:val="Caption"/>
        <w:rPr>
          <w:lang w:val="fr-FR"/>
        </w:rPr>
      </w:pPr>
      <w:r w:rsidRPr="00653BF4">
        <w:rPr>
          <w:rFonts w:ascii="Aptos" w:hAnsi="Aptos"/>
          <w:lang w:val="fr-FR"/>
        </w:rPr>
        <w:t>Abréviations</w:t>
      </w:r>
      <w:r w:rsidR="00E34DC9">
        <w:rPr>
          <w:rFonts w:ascii="Aptos" w:hAnsi="Aptos"/>
          <w:lang w:val="fr-FR"/>
        </w:rPr>
        <w:t> :</w:t>
      </w:r>
      <w:r w:rsidRPr="00653BF4">
        <w:rPr>
          <w:rFonts w:ascii="Aptos" w:hAnsi="Aptos"/>
          <w:i w:val="0"/>
          <w:iCs w:val="0"/>
          <w:lang w:val="fr-FR"/>
        </w:rPr>
        <w:t xml:space="preserve"> CMB, </w:t>
      </w:r>
      <w:r w:rsidRPr="00653BF4">
        <w:rPr>
          <w:rFonts w:ascii="Aptos" w:hAnsi="Aptos" w:cs="Aptos"/>
          <w:i w:val="0"/>
          <w:lang w:val="fr-FR"/>
        </w:rPr>
        <w:t>Cadre mondial de la biodiversité de Kunming-Montréal</w:t>
      </w:r>
      <w:r w:rsidR="00E34DC9">
        <w:rPr>
          <w:rFonts w:ascii="Aptos" w:hAnsi="Aptos" w:cs="Aptos"/>
          <w:i w:val="0"/>
          <w:lang w:val="fr-FR"/>
        </w:rPr>
        <w:t> ;</w:t>
      </w:r>
      <w:r w:rsidRPr="00653BF4">
        <w:rPr>
          <w:i w:val="0"/>
          <w:iCs w:val="0"/>
          <w:lang w:val="fr-FR"/>
        </w:rPr>
        <w:t xml:space="preserve"> C, cible du Cadre.</w:t>
      </w:r>
    </w:p>
    <w:p w14:paraId="635BAF4D" w14:textId="77777777" w:rsidR="007A60EC" w:rsidRPr="00653BF4" w:rsidRDefault="007A60EC" w:rsidP="007A60EC">
      <w:pPr>
        <w:rPr>
          <w:lang w:val="fr-FR" w:eastAsia="ja-JP"/>
        </w:rPr>
      </w:pPr>
    </w:p>
    <w:p w14:paraId="4F610BCA" w14:textId="77777777" w:rsidR="007A60EC" w:rsidRPr="00653BF4" w:rsidRDefault="007A60EC" w:rsidP="007A60EC">
      <w:pPr>
        <w:rPr>
          <w:lang w:val="fr-FR"/>
        </w:rPr>
      </w:pPr>
    </w:p>
    <w:p w14:paraId="590E3706" w14:textId="77777777" w:rsidR="007A60EC" w:rsidRPr="00653BF4" w:rsidRDefault="007A60EC" w:rsidP="007A60EC">
      <w:pPr>
        <w:pStyle w:val="Heading5"/>
        <w:rPr>
          <w:lang w:val="fr-FR"/>
        </w:rPr>
      </w:pPr>
      <w:r w:rsidRPr="00653BF4">
        <w:rPr>
          <w:lang w:val="fr-FR"/>
        </w:rPr>
        <w:t>Indicateurs de progrès</w:t>
      </w:r>
    </w:p>
    <w:p w14:paraId="1161B793" w14:textId="77777777" w:rsidR="007A60EC" w:rsidRPr="00653BF4" w:rsidRDefault="007A60EC" w:rsidP="007A60EC">
      <w:pPr>
        <w:rPr>
          <w:lang w:val="fr-FR"/>
        </w:rPr>
      </w:pPr>
    </w:p>
    <w:p w14:paraId="6CCC466F" w14:textId="7C80C0F0" w:rsidR="007A60EC" w:rsidRPr="00653BF4" w:rsidRDefault="007A60EC" w:rsidP="007A60EC">
      <w:pPr>
        <w:pStyle w:val="Caption"/>
        <w:keepNext/>
        <w:spacing w:line="276" w:lineRule="auto"/>
        <w:rPr>
          <w:i w:val="0"/>
          <w:iCs w:val="0"/>
          <w:lang w:val="fr-FR"/>
        </w:rPr>
      </w:pPr>
      <w:bookmarkStart w:id="463" w:name="_Ref238993892"/>
      <w:r w:rsidRPr="00653BF4">
        <w:rPr>
          <w:i w:val="0"/>
          <w:iCs w:val="0"/>
          <w:lang w:val="fr-FR"/>
        </w:rPr>
        <w:t xml:space="preserve">Tableau </w:t>
      </w:r>
      <w:r w:rsidRPr="00653BF4">
        <w:rPr>
          <w:i w:val="0"/>
          <w:iCs w:val="0"/>
          <w:noProof/>
          <w:lang w:val="fr-FR"/>
        </w:rPr>
        <w:t>51</w:t>
      </w:r>
      <w:bookmarkEnd w:id="463"/>
    </w:p>
    <w:p w14:paraId="73B70DD4" w14:textId="724FEE59" w:rsidR="007A60EC" w:rsidRPr="00653BF4" w:rsidRDefault="007A60EC" w:rsidP="007A60EC">
      <w:pPr>
        <w:pStyle w:val="Caption"/>
        <w:keepNext/>
        <w:spacing w:line="276" w:lineRule="auto"/>
        <w:rPr>
          <w:rFonts w:ascii="Aptos" w:hAnsi="Aptos"/>
          <w:i w:val="0"/>
          <w:iCs w:val="0"/>
          <w:lang w:val="fr-FR"/>
        </w:rPr>
      </w:pPr>
      <w:r w:rsidRPr="00653BF4">
        <w:rPr>
          <w:rFonts w:ascii="Aptos" w:hAnsi="Aptos" w:cs="Aptos"/>
          <w:b/>
          <w:i w:val="0"/>
          <w:lang w:val="fr-FR"/>
        </w:rPr>
        <w:t>Tableau de bord des indicateurs pour l’</w:t>
      </w:r>
      <w:r w:rsidR="002878D7">
        <w:rPr>
          <w:rFonts w:ascii="Aptos" w:hAnsi="Aptos" w:cs="Aptos"/>
          <w:b/>
          <w:i w:val="0"/>
          <w:lang w:val="fr-FR"/>
        </w:rPr>
        <w:t>objectif A</w:t>
      </w:r>
      <w:r w:rsidRPr="00653BF4">
        <w:rPr>
          <w:rFonts w:ascii="Aptos" w:hAnsi="Aptos"/>
          <w:i w:val="0"/>
          <w:iCs w:val="0"/>
          <w:lang w:val="fr-FR"/>
        </w:rPr>
        <w:t xml:space="preserve"> </w:t>
      </w:r>
    </w:p>
    <w:p w14:paraId="509A6172" w14:textId="77777777" w:rsidR="007A60EC" w:rsidRPr="00653BF4" w:rsidRDefault="007A60EC" w:rsidP="007A60EC">
      <w:pPr>
        <w:pStyle w:val="Caption"/>
        <w:keepNext/>
        <w:spacing w:line="276" w:lineRule="auto"/>
        <w:rPr>
          <w:rFonts w:ascii="Aptos" w:eastAsia="Aptos" w:hAnsi="Aptos" w:cs="Aptos"/>
          <w:i w:val="0"/>
          <w:color w:val="000000" w:themeColor="text1"/>
          <w:sz w:val="24"/>
          <w:szCs w:val="24"/>
          <w:lang w:val="fr-FR"/>
        </w:rPr>
      </w:pPr>
    </w:p>
    <w:tbl>
      <w:tblPr>
        <w:tblW w:w="10201" w:type="dxa"/>
        <w:tblLook w:val="04A0" w:firstRow="1" w:lastRow="0" w:firstColumn="1" w:lastColumn="0" w:noHBand="0" w:noVBand="1"/>
      </w:tblPr>
      <w:tblGrid>
        <w:gridCol w:w="2830"/>
        <w:gridCol w:w="3261"/>
        <w:gridCol w:w="567"/>
        <w:gridCol w:w="3022"/>
        <w:gridCol w:w="521"/>
      </w:tblGrid>
      <w:tr w:rsidR="007A60EC" w:rsidRPr="00653BF4" w14:paraId="4C4724ED" w14:textId="77777777" w:rsidTr="00557FB3">
        <w:trPr>
          <w:trHeight w:val="49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tcPr>
          <w:p w14:paraId="4D992DC0" w14:textId="77777777" w:rsidR="007A60EC" w:rsidRPr="00653BF4" w:rsidRDefault="007A60EC" w:rsidP="00557FB3">
            <w:pPr>
              <w:rPr>
                <w:rFonts w:ascii="Aptos" w:hAnsi="Aptos"/>
                <w:color w:val="000000"/>
                <w:sz w:val="20"/>
                <w:szCs w:val="20"/>
                <w:lang w:val="fr-FR"/>
              </w:rPr>
            </w:pPr>
          </w:p>
        </w:tc>
        <w:tc>
          <w:tcPr>
            <w:tcW w:w="3828" w:type="dxa"/>
            <w:gridSpan w:val="2"/>
            <w:tcBorders>
              <w:top w:val="single" w:sz="4" w:space="0" w:color="auto"/>
              <w:left w:val="nil"/>
              <w:bottom w:val="single" w:sz="4" w:space="0" w:color="auto"/>
              <w:right w:val="single" w:sz="4" w:space="0" w:color="auto"/>
            </w:tcBorders>
            <w:vAlign w:val="center"/>
          </w:tcPr>
          <w:p w14:paraId="087D08B4" w14:textId="77777777" w:rsidR="007A60EC" w:rsidRPr="00653BF4" w:rsidRDefault="007A60EC" w:rsidP="00557FB3">
            <w:pPr>
              <w:jc w:val="center"/>
              <w:rPr>
                <w:rFonts w:ascii="Aptos" w:hAnsi="Aptos" w:cs="Calibri"/>
                <w:color w:val="000000"/>
                <w:sz w:val="20"/>
                <w:szCs w:val="20"/>
                <w:lang w:val="fr-FR"/>
              </w:rPr>
            </w:pPr>
            <w:r w:rsidRPr="00653BF4">
              <w:rPr>
                <w:rFonts w:ascii="Aptos" w:hAnsi="Aptos"/>
                <w:color w:val="000000"/>
                <w:sz w:val="20"/>
                <w:szCs w:val="20"/>
                <w:lang w:val="fr-FR"/>
              </w:rPr>
              <w:t>Utilisation de l’indicateur</w:t>
            </w:r>
          </w:p>
        </w:tc>
        <w:tc>
          <w:tcPr>
            <w:tcW w:w="3543" w:type="dxa"/>
            <w:gridSpan w:val="2"/>
            <w:tcBorders>
              <w:top w:val="single" w:sz="4" w:space="0" w:color="auto"/>
              <w:left w:val="nil"/>
              <w:bottom w:val="single" w:sz="4" w:space="0" w:color="auto"/>
              <w:right w:val="single" w:sz="4" w:space="0" w:color="auto"/>
            </w:tcBorders>
            <w:vAlign w:val="center"/>
          </w:tcPr>
          <w:p w14:paraId="3FC38EB9" w14:textId="77777777" w:rsidR="007A60EC" w:rsidRPr="00653BF4" w:rsidRDefault="007A60EC" w:rsidP="00557FB3">
            <w:pPr>
              <w:jc w:val="center"/>
              <w:rPr>
                <w:rFonts w:ascii="Aptos" w:hAnsi="Aptos"/>
                <w:color w:val="000000"/>
                <w:sz w:val="20"/>
                <w:szCs w:val="20"/>
                <w:lang w:val="fr-FR"/>
              </w:rPr>
            </w:pPr>
            <w:r w:rsidRPr="00653BF4">
              <w:rPr>
                <w:rFonts w:ascii="Aptos" w:hAnsi="Aptos"/>
                <w:color w:val="000000"/>
                <w:sz w:val="20"/>
                <w:szCs w:val="20"/>
                <w:lang w:val="fr-FR"/>
              </w:rPr>
              <w:t>Résultats de l’indicateur</w:t>
            </w:r>
          </w:p>
        </w:tc>
      </w:tr>
      <w:tr w:rsidR="007A60EC" w:rsidRPr="00543148" w14:paraId="502CEBD0" w14:textId="77777777" w:rsidTr="00557FB3">
        <w:trPr>
          <w:trHeight w:val="1050"/>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606A24" w14:textId="6EAA1038" w:rsidR="007A60EC" w:rsidRPr="00653BF4" w:rsidRDefault="007A60EC" w:rsidP="00557FB3">
            <w:pPr>
              <w:jc w:val="center"/>
              <w:rPr>
                <w:rFonts w:ascii="Aptos" w:hAnsi="Aptos"/>
                <w:color w:val="000000"/>
                <w:sz w:val="20"/>
                <w:szCs w:val="20"/>
                <w:lang w:val="fr-FR"/>
              </w:rPr>
            </w:pPr>
            <w:r w:rsidRPr="00653BF4">
              <w:rPr>
                <w:rFonts w:ascii="Aptos" w:hAnsi="Aptos"/>
                <w:color w:val="000000"/>
                <w:sz w:val="20"/>
                <w:szCs w:val="20"/>
                <w:lang w:val="fr-FR"/>
              </w:rPr>
              <w:t>Indicateur phare A.1</w:t>
            </w:r>
            <w:r w:rsidR="00E34DC9">
              <w:rPr>
                <w:rFonts w:ascii="Aptos" w:hAnsi="Aptos"/>
                <w:color w:val="000000"/>
                <w:sz w:val="20"/>
                <w:szCs w:val="20"/>
                <w:lang w:val="fr-FR"/>
              </w:rPr>
              <w:t> :</w:t>
            </w:r>
            <w:r w:rsidRPr="00653BF4">
              <w:rPr>
                <w:rFonts w:ascii="Aptos" w:hAnsi="Aptos"/>
                <w:color w:val="000000"/>
                <w:sz w:val="20"/>
                <w:szCs w:val="20"/>
                <w:lang w:val="fr-FR"/>
              </w:rPr>
              <w:t xml:space="preserve"> Liste rouge des écosystèmes</w:t>
            </w:r>
          </w:p>
        </w:tc>
        <w:tc>
          <w:tcPr>
            <w:tcW w:w="3261" w:type="dxa"/>
            <w:tcBorders>
              <w:top w:val="single" w:sz="4" w:space="0" w:color="auto"/>
              <w:left w:val="nil"/>
              <w:bottom w:val="single" w:sz="4" w:space="0" w:color="auto"/>
              <w:right w:val="single" w:sz="4" w:space="0" w:color="auto"/>
            </w:tcBorders>
            <w:vAlign w:val="center"/>
            <w:hideMark/>
          </w:tcPr>
          <w:p w14:paraId="6DD4E34F" w14:textId="2F6B26E7" w:rsidR="007A60EC" w:rsidRPr="00653BF4" w:rsidRDefault="007A60EC" w:rsidP="00557FB3">
            <w:pPr>
              <w:jc w:val="center"/>
              <w:rPr>
                <w:rFonts w:ascii="Aptos" w:hAnsi="Aptos"/>
                <w:color w:val="000000"/>
                <w:sz w:val="20"/>
                <w:szCs w:val="20"/>
                <w:lang w:val="fr-FR"/>
              </w:rPr>
            </w:pPr>
            <w:r w:rsidRPr="00653BF4">
              <w:rPr>
                <w:rFonts w:ascii="Aptos" w:hAnsi="Aptos"/>
                <w:color w:val="000000"/>
                <w:sz w:val="20"/>
                <w:szCs w:val="20"/>
                <w:lang w:val="fr-FR"/>
              </w:rPr>
              <w:t>21</w:t>
            </w:r>
            <w:r w:rsidR="002878D7">
              <w:rPr>
                <w:rFonts w:ascii="Aptos" w:hAnsi="Aptos"/>
                <w:color w:val="000000"/>
                <w:sz w:val="20"/>
                <w:szCs w:val="20"/>
                <w:lang w:val="fr-FR"/>
              </w:rPr>
              <w:t> %</w:t>
            </w:r>
            <w:r w:rsidRPr="00653BF4">
              <w:rPr>
                <w:rFonts w:ascii="Aptos" w:hAnsi="Aptos"/>
                <w:color w:val="000000"/>
                <w:sz w:val="20"/>
                <w:szCs w:val="20"/>
                <w:lang w:val="fr-FR"/>
              </w:rPr>
              <w:t xml:space="preserve"> des Parties dont les rapports nationaux sont pris en compte</w:t>
            </w:r>
          </w:p>
        </w:tc>
        <w:tc>
          <w:tcPr>
            <w:tcW w:w="567" w:type="dxa"/>
            <w:tcBorders>
              <w:top w:val="single" w:sz="4" w:space="0" w:color="auto"/>
              <w:left w:val="nil"/>
              <w:bottom w:val="single" w:sz="4" w:space="0" w:color="auto"/>
              <w:right w:val="single" w:sz="4" w:space="0" w:color="auto"/>
            </w:tcBorders>
            <w:shd w:val="clear" w:color="000000" w:fill="C00000"/>
            <w:vAlign w:val="center"/>
            <w:hideMark/>
          </w:tcPr>
          <w:p w14:paraId="1B212DAF" w14:textId="77777777" w:rsidR="007A60EC" w:rsidRPr="00653BF4" w:rsidRDefault="007A60EC" w:rsidP="00557FB3">
            <w:pPr>
              <w:jc w:val="center"/>
              <w:rPr>
                <w:rFonts w:ascii="Aptos" w:hAnsi="Aptos" w:cs="Calibri"/>
                <w:color w:val="000000"/>
                <w:sz w:val="20"/>
                <w:szCs w:val="20"/>
                <w:lang w:val="fr-FR"/>
              </w:rPr>
            </w:pPr>
          </w:p>
        </w:tc>
        <w:tc>
          <w:tcPr>
            <w:tcW w:w="3022" w:type="dxa"/>
            <w:tcBorders>
              <w:top w:val="single" w:sz="4" w:space="0" w:color="auto"/>
              <w:left w:val="nil"/>
              <w:bottom w:val="single" w:sz="4" w:space="0" w:color="auto"/>
              <w:right w:val="single" w:sz="4" w:space="0" w:color="auto"/>
            </w:tcBorders>
            <w:vAlign w:val="center"/>
            <w:hideMark/>
          </w:tcPr>
          <w:p w14:paraId="62E26046" w14:textId="7F4F599A" w:rsidR="007A60EC" w:rsidRPr="00653BF4" w:rsidRDefault="007A60EC" w:rsidP="00557FB3">
            <w:pPr>
              <w:jc w:val="center"/>
              <w:rPr>
                <w:rFonts w:ascii="Aptos" w:hAnsi="Aptos" w:cs="Times New Roman"/>
                <w:color w:val="000000"/>
                <w:sz w:val="20"/>
                <w:szCs w:val="20"/>
                <w:lang w:val="fr-FR"/>
              </w:rPr>
            </w:pPr>
            <w:r w:rsidRPr="00653BF4">
              <w:rPr>
                <w:rFonts w:ascii="Aptos" w:hAnsi="Aptos"/>
                <w:color w:val="000000"/>
                <w:sz w:val="20"/>
                <w:szCs w:val="20"/>
                <w:lang w:val="fr-FR"/>
              </w:rPr>
              <w:t>Valeurs communiquées</w:t>
            </w:r>
            <w:r w:rsidR="00E34DC9">
              <w:rPr>
                <w:rFonts w:ascii="Aptos" w:hAnsi="Aptos"/>
                <w:color w:val="000000"/>
                <w:sz w:val="20"/>
                <w:szCs w:val="20"/>
                <w:lang w:val="fr-FR"/>
              </w:rPr>
              <w:t> :</w:t>
            </w:r>
            <w:r w:rsidRPr="00653BF4">
              <w:rPr>
                <w:rFonts w:ascii="Aptos" w:hAnsi="Aptos"/>
                <w:color w:val="000000"/>
                <w:sz w:val="20"/>
                <w:szCs w:val="20"/>
                <w:lang w:val="fr-FR"/>
              </w:rPr>
              <w:t xml:space="preserve"> moyenne de 0,58, fourchette de 0,37 à 1</w:t>
            </w:r>
          </w:p>
        </w:tc>
        <w:tc>
          <w:tcPr>
            <w:tcW w:w="521" w:type="dxa"/>
            <w:tcBorders>
              <w:top w:val="single" w:sz="4" w:space="0" w:color="auto"/>
              <w:left w:val="nil"/>
              <w:bottom w:val="single" w:sz="4" w:space="0" w:color="auto"/>
              <w:right w:val="single" w:sz="4" w:space="0" w:color="auto"/>
            </w:tcBorders>
            <w:shd w:val="clear" w:color="auto" w:fill="FFC000"/>
            <w:vAlign w:val="center"/>
            <w:hideMark/>
          </w:tcPr>
          <w:p w14:paraId="21944522" w14:textId="77777777" w:rsidR="007A60EC" w:rsidRPr="00653BF4" w:rsidRDefault="007A60EC" w:rsidP="00557FB3">
            <w:pPr>
              <w:rPr>
                <w:rFonts w:ascii="Aptos" w:hAnsi="Aptos"/>
                <w:color w:val="000000"/>
                <w:sz w:val="20"/>
                <w:szCs w:val="20"/>
                <w:lang w:val="fr-FR"/>
              </w:rPr>
            </w:pPr>
            <w:r w:rsidRPr="00653BF4">
              <w:rPr>
                <w:rFonts w:ascii="Aptos" w:hAnsi="Aptos"/>
                <w:color w:val="000000"/>
                <w:sz w:val="20"/>
                <w:szCs w:val="20"/>
                <w:lang w:val="fr-FR"/>
              </w:rPr>
              <w:t> </w:t>
            </w:r>
          </w:p>
        </w:tc>
      </w:tr>
      <w:tr w:rsidR="007A60EC" w:rsidRPr="00653BF4" w14:paraId="45FDD7B6" w14:textId="77777777" w:rsidTr="00557FB3">
        <w:trPr>
          <w:trHeight w:val="78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665F68D2" w14:textId="41CBD846" w:rsidR="007A60EC" w:rsidRPr="00653BF4" w:rsidRDefault="007A60EC" w:rsidP="00557FB3">
            <w:pPr>
              <w:jc w:val="center"/>
              <w:rPr>
                <w:rFonts w:ascii="Aptos" w:hAnsi="Aptos" w:cs="Times New Roman"/>
                <w:color w:val="000000"/>
                <w:sz w:val="20"/>
                <w:szCs w:val="20"/>
                <w:lang w:val="fr-FR"/>
              </w:rPr>
            </w:pPr>
            <w:r w:rsidRPr="00653BF4">
              <w:rPr>
                <w:rFonts w:ascii="Aptos" w:hAnsi="Aptos"/>
                <w:color w:val="000000"/>
                <w:sz w:val="20"/>
                <w:szCs w:val="20"/>
                <w:lang w:val="fr-FR"/>
              </w:rPr>
              <w:t>Indicateur phare A.2</w:t>
            </w:r>
            <w:r w:rsidR="00E34DC9">
              <w:rPr>
                <w:rFonts w:ascii="Aptos" w:hAnsi="Aptos"/>
                <w:color w:val="000000"/>
                <w:sz w:val="20"/>
                <w:szCs w:val="20"/>
                <w:lang w:val="fr-FR"/>
              </w:rPr>
              <w:t> :</w:t>
            </w:r>
            <w:r w:rsidRPr="00653BF4">
              <w:rPr>
                <w:rFonts w:ascii="Aptos" w:hAnsi="Aptos"/>
                <w:color w:val="000000"/>
                <w:sz w:val="20"/>
                <w:szCs w:val="20"/>
                <w:lang w:val="fr-FR"/>
              </w:rPr>
              <w:t xml:space="preserve"> étendue des écosystèmes naturels</w:t>
            </w:r>
          </w:p>
        </w:tc>
        <w:tc>
          <w:tcPr>
            <w:tcW w:w="3261" w:type="dxa"/>
            <w:tcBorders>
              <w:top w:val="nil"/>
              <w:left w:val="nil"/>
              <w:bottom w:val="single" w:sz="4" w:space="0" w:color="auto"/>
              <w:right w:val="single" w:sz="4" w:space="0" w:color="auto"/>
            </w:tcBorders>
            <w:vAlign w:val="center"/>
            <w:hideMark/>
          </w:tcPr>
          <w:p w14:paraId="75452D75" w14:textId="499A7072" w:rsidR="007A60EC" w:rsidRPr="00653BF4" w:rsidRDefault="007A60EC" w:rsidP="00557FB3">
            <w:pPr>
              <w:jc w:val="center"/>
              <w:rPr>
                <w:rFonts w:ascii="Aptos" w:hAnsi="Aptos"/>
                <w:color w:val="000000"/>
                <w:sz w:val="20"/>
                <w:szCs w:val="20"/>
                <w:lang w:val="fr-FR"/>
              </w:rPr>
            </w:pPr>
            <w:r w:rsidRPr="00653BF4">
              <w:rPr>
                <w:rFonts w:ascii="Aptos" w:hAnsi="Aptos"/>
                <w:color w:val="000000"/>
                <w:sz w:val="20"/>
                <w:szCs w:val="20"/>
                <w:lang w:val="fr-FR"/>
              </w:rPr>
              <w:t>50</w:t>
            </w:r>
            <w:r w:rsidR="002878D7">
              <w:rPr>
                <w:rFonts w:ascii="Aptos" w:hAnsi="Aptos"/>
                <w:color w:val="000000"/>
                <w:sz w:val="20"/>
                <w:szCs w:val="20"/>
                <w:lang w:val="fr-FR"/>
              </w:rPr>
              <w:t> %</w:t>
            </w:r>
            <w:r w:rsidRPr="00653BF4">
              <w:rPr>
                <w:rFonts w:ascii="Aptos" w:hAnsi="Aptos"/>
                <w:color w:val="000000"/>
                <w:sz w:val="20"/>
                <w:szCs w:val="20"/>
                <w:lang w:val="fr-FR"/>
              </w:rPr>
              <w:t xml:space="preserve"> des Parties, dont moins de 1</w:t>
            </w:r>
            <w:r w:rsidR="002878D7">
              <w:rPr>
                <w:rFonts w:ascii="Aptos" w:hAnsi="Aptos"/>
                <w:color w:val="000000"/>
                <w:sz w:val="20"/>
                <w:szCs w:val="20"/>
                <w:lang w:val="fr-FR"/>
              </w:rPr>
              <w:t> %</w:t>
            </w:r>
            <w:r w:rsidRPr="00653BF4">
              <w:rPr>
                <w:rFonts w:ascii="Aptos" w:hAnsi="Aptos"/>
                <w:color w:val="000000"/>
                <w:sz w:val="20"/>
                <w:szCs w:val="20"/>
                <w:lang w:val="fr-FR"/>
              </w:rPr>
              <w:t xml:space="preserve"> avec des séries chronologiques</w:t>
            </w:r>
          </w:p>
        </w:tc>
        <w:tc>
          <w:tcPr>
            <w:tcW w:w="567" w:type="dxa"/>
            <w:tcBorders>
              <w:top w:val="nil"/>
              <w:left w:val="nil"/>
              <w:bottom w:val="nil"/>
              <w:right w:val="nil"/>
            </w:tcBorders>
            <w:shd w:val="clear" w:color="000000" w:fill="92D050"/>
            <w:vAlign w:val="center"/>
            <w:hideMark/>
          </w:tcPr>
          <w:p w14:paraId="79EDD44A" w14:textId="77777777" w:rsidR="007A60EC" w:rsidRPr="00653BF4" w:rsidRDefault="007A60EC" w:rsidP="00557FB3">
            <w:pPr>
              <w:jc w:val="center"/>
              <w:rPr>
                <w:rFonts w:ascii="Aptos" w:hAnsi="Aptos"/>
                <w:color w:val="000000"/>
                <w:sz w:val="20"/>
                <w:szCs w:val="20"/>
                <w:lang w:val="fr-FR"/>
              </w:rPr>
            </w:pPr>
          </w:p>
        </w:tc>
        <w:tc>
          <w:tcPr>
            <w:tcW w:w="3022" w:type="dxa"/>
            <w:tcBorders>
              <w:top w:val="nil"/>
              <w:left w:val="single" w:sz="4" w:space="0" w:color="auto"/>
              <w:bottom w:val="single" w:sz="4" w:space="0" w:color="auto"/>
              <w:right w:val="single" w:sz="4" w:space="0" w:color="auto"/>
            </w:tcBorders>
            <w:vAlign w:val="center"/>
            <w:hideMark/>
          </w:tcPr>
          <w:p w14:paraId="33F62593" w14:textId="43C464E8" w:rsidR="007A60EC" w:rsidRPr="00653BF4" w:rsidRDefault="007A60EC" w:rsidP="00557FB3">
            <w:pPr>
              <w:jc w:val="center"/>
              <w:rPr>
                <w:rFonts w:ascii="Aptos" w:hAnsi="Aptos"/>
                <w:color w:val="000000"/>
                <w:sz w:val="20"/>
                <w:szCs w:val="20"/>
                <w:lang w:val="fr-FR"/>
              </w:rPr>
            </w:pPr>
            <w:r w:rsidRPr="00653BF4">
              <w:rPr>
                <w:rFonts w:ascii="Aptos" w:hAnsi="Aptos"/>
                <w:color w:val="000000"/>
                <w:sz w:val="20"/>
                <w:szCs w:val="20"/>
                <w:lang w:val="fr-FR"/>
              </w:rPr>
              <w:t>63</w:t>
            </w:r>
            <w:r w:rsidR="002878D7">
              <w:rPr>
                <w:rFonts w:ascii="Aptos" w:hAnsi="Aptos"/>
                <w:color w:val="000000"/>
                <w:sz w:val="20"/>
                <w:szCs w:val="20"/>
                <w:lang w:val="fr-FR"/>
              </w:rPr>
              <w:t> %</w:t>
            </w:r>
            <w:r w:rsidRPr="00653BF4">
              <w:rPr>
                <w:rFonts w:ascii="Aptos" w:hAnsi="Aptos"/>
                <w:color w:val="000000"/>
                <w:sz w:val="20"/>
                <w:szCs w:val="20"/>
                <w:lang w:val="fr-FR"/>
              </w:rPr>
              <w:t xml:space="preserve"> des zones</w:t>
            </w:r>
          </w:p>
        </w:tc>
        <w:tc>
          <w:tcPr>
            <w:tcW w:w="521" w:type="dxa"/>
            <w:tcBorders>
              <w:top w:val="nil"/>
              <w:left w:val="nil"/>
              <w:bottom w:val="single" w:sz="4" w:space="0" w:color="auto"/>
              <w:right w:val="single" w:sz="4" w:space="0" w:color="auto"/>
            </w:tcBorders>
            <w:shd w:val="clear" w:color="000000" w:fill="AEAAAA"/>
            <w:vAlign w:val="center"/>
            <w:hideMark/>
          </w:tcPr>
          <w:p w14:paraId="050C5AA3" w14:textId="77777777" w:rsidR="007A60EC" w:rsidRPr="00653BF4" w:rsidRDefault="007A60EC" w:rsidP="00557FB3">
            <w:pPr>
              <w:rPr>
                <w:rFonts w:ascii="Aptos" w:hAnsi="Aptos"/>
                <w:color w:val="000000"/>
                <w:sz w:val="20"/>
                <w:szCs w:val="20"/>
                <w:lang w:val="fr-FR"/>
              </w:rPr>
            </w:pPr>
            <w:r w:rsidRPr="00653BF4">
              <w:rPr>
                <w:rFonts w:ascii="Aptos" w:hAnsi="Aptos"/>
                <w:color w:val="000000"/>
                <w:sz w:val="20"/>
                <w:szCs w:val="20"/>
                <w:lang w:val="fr-FR"/>
              </w:rPr>
              <w:t> </w:t>
            </w:r>
          </w:p>
        </w:tc>
      </w:tr>
      <w:tr w:rsidR="007A60EC" w:rsidRPr="00543148" w14:paraId="2B4AC246" w14:textId="77777777" w:rsidTr="00557FB3">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3649394F" w14:textId="3B02E497" w:rsidR="007A60EC" w:rsidRPr="00653BF4" w:rsidRDefault="007A60EC" w:rsidP="00557FB3">
            <w:pPr>
              <w:jc w:val="center"/>
              <w:rPr>
                <w:rFonts w:ascii="Aptos" w:hAnsi="Aptos" w:cs="Times New Roman"/>
                <w:color w:val="000000"/>
                <w:sz w:val="20"/>
                <w:szCs w:val="20"/>
                <w:lang w:val="fr-FR"/>
              </w:rPr>
            </w:pPr>
            <w:r w:rsidRPr="00653BF4">
              <w:rPr>
                <w:rFonts w:ascii="Aptos" w:eastAsia="Times New Roman" w:hAnsi="Aptos" w:cs="Times New Roman"/>
                <w:color w:val="000000"/>
                <w:kern w:val="0"/>
                <w:sz w:val="20"/>
                <w:szCs w:val="20"/>
                <w:lang w:val="fr-FR" w:eastAsia="en-CA"/>
                <w14:ligatures w14:val="none"/>
              </w:rPr>
              <w:t>Indicateur phare A.3</w:t>
            </w:r>
            <w:r w:rsidR="00E34DC9">
              <w:rPr>
                <w:rFonts w:ascii="Aptos" w:eastAsia="Times New Roman" w:hAnsi="Aptos" w:cs="Times New Roman"/>
                <w:color w:val="000000"/>
                <w:kern w:val="0"/>
                <w:sz w:val="20"/>
                <w:szCs w:val="20"/>
                <w:lang w:val="fr-FR" w:eastAsia="en-CA"/>
                <w14:ligatures w14:val="none"/>
              </w:rPr>
              <w:t> :</w:t>
            </w:r>
            <w:r w:rsidRPr="00653BF4">
              <w:rPr>
                <w:rFonts w:ascii="Aptos" w:eastAsia="Times New Roman" w:hAnsi="Aptos" w:cs="Times New Roman"/>
                <w:color w:val="000000"/>
                <w:kern w:val="0"/>
                <w:sz w:val="20"/>
                <w:szCs w:val="20"/>
                <w:lang w:val="fr-FR" w:eastAsia="en-CA"/>
                <w14:ligatures w14:val="none"/>
              </w:rPr>
              <w:t xml:space="preserve"> indice de la Liste rouge</w:t>
            </w:r>
          </w:p>
        </w:tc>
        <w:tc>
          <w:tcPr>
            <w:tcW w:w="3261" w:type="dxa"/>
            <w:tcBorders>
              <w:top w:val="nil"/>
              <w:left w:val="nil"/>
              <w:bottom w:val="single" w:sz="4" w:space="0" w:color="auto"/>
              <w:right w:val="single" w:sz="4" w:space="0" w:color="auto"/>
            </w:tcBorders>
            <w:vAlign w:val="center"/>
            <w:hideMark/>
          </w:tcPr>
          <w:p w14:paraId="32285D86" w14:textId="5E7902AB" w:rsidR="007A60EC" w:rsidRPr="00653BF4" w:rsidRDefault="007A60EC" w:rsidP="00557FB3">
            <w:pPr>
              <w:jc w:val="center"/>
              <w:rPr>
                <w:rFonts w:ascii="Aptos" w:hAnsi="Aptos"/>
                <w:color w:val="000000"/>
                <w:sz w:val="20"/>
                <w:szCs w:val="20"/>
                <w:lang w:val="fr-FR"/>
              </w:rPr>
            </w:pPr>
            <w:r w:rsidRPr="00653BF4">
              <w:rPr>
                <w:rFonts w:ascii="Aptos" w:eastAsia="Times New Roman" w:hAnsi="Aptos" w:cs="Calibri"/>
                <w:color w:val="000000"/>
                <w:kern w:val="0"/>
                <w:sz w:val="20"/>
                <w:szCs w:val="20"/>
                <w:lang w:val="fr-FR" w:eastAsia="en-CA"/>
                <w14:ligatures w14:val="none"/>
              </w:rPr>
              <w:t>70</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des Parties</w:t>
            </w:r>
          </w:p>
        </w:tc>
        <w:tc>
          <w:tcPr>
            <w:tcW w:w="567" w:type="dxa"/>
            <w:tcBorders>
              <w:top w:val="single" w:sz="4" w:space="0" w:color="auto"/>
              <w:left w:val="nil"/>
              <w:bottom w:val="single" w:sz="4" w:space="0" w:color="auto"/>
              <w:right w:val="single" w:sz="4" w:space="0" w:color="auto"/>
            </w:tcBorders>
            <w:shd w:val="clear" w:color="auto" w:fill="92D050"/>
            <w:vAlign w:val="center"/>
            <w:hideMark/>
          </w:tcPr>
          <w:p w14:paraId="51989EA4" w14:textId="77777777" w:rsidR="007A60EC" w:rsidRPr="00653BF4" w:rsidRDefault="007A60EC" w:rsidP="00557FB3">
            <w:pPr>
              <w:jc w:val="center"/>
              <w:rPr>
                <w:rFonts w:ascii="Aptos" w:hAnsi="Aptos"/>
                <w:color w:val="000000"/>
                <w:sz w:val="20"/>
                <w:szCs w:val="20"/>
                <w:lang w:val="fr-FR"/>
              </w:rPr>
            </w:pPr>
          </w:p>
        </w:tc>
        <w:tc>
          <w:tcPr>
            <w:tcW w:w="3022" w:type="dxa"/>
            <w:tcBorders>
              <w:top w:val="nil"/>
              <w:left w:val="nil"/>
              <w:bottom w:val="single" w:sz="4" w:space="0" w:color="auto"/>
              <w:right w:val="single" w:sz="4" w:space="0" w:color="auto"/>
            </w:tcBorders>
            <w:vAlign w:val="center"/>
            <w:hideMark/>
          </w:tcPr>
          <w:p w14:paraId="670AE5EC" w14:textId="4D5E443E" w:rsidR="007A60EC" w:rsidRPr="00653BF4" w:rsidRDefault="007A60EC" w:rsidP="00557FB3">
            <w:pPr>
              <w:spacing w:after="0" w:line="240" w:lineRule="auto"/>
              <w:jc w:val="center"/>
              <w:rPr>
                <w:rFonts w:ascii="Aptos" w:hAnsi="Aptos"/>
                <w:color w:val="000000"/>
                <w:sz w:val="20"/>
                <w:szCs w:val="20"/>
                <w:lang w:val="fr-FR"/>
              </w:rPr>
            </w:pPr>
            <w:r w:rsidRPr="00653BF4">
              <w:rPr>
                <w:rFonts w:ascii="Aptos" w:eastAsia="Times New Roman" w:hAnsi="Aptos" w:cs="Calibri"/>
                <w:color w:val="000000"/>
                <w:kern w:val="0"/>
                <w:sz w:val="20"/>
                <w:szCs w:val="20"/>
                <w:lang w:val="fr-FR" w:eastAsia="en-CA"/>
                <w14:ligatures w14:val="none"/>
              </w:rPr>
              <w:t>Indice mondial de la Liste rouge</w:t>
            </w:r>
            <w:r w:rsidR="00E34DC9">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0,85 (fourchette de 0,65 à 0,99)</w:t>
            </w:r>
          </w:p>
          <w:p w14:paraId="2823819A" w14:textId="4FE02C02" w:rsidR="007A60EC" w:rsidRPr="00653BF4" w:rsidRDefault="007A60EC" w:rsidP="00557FB3">
            <w:pPr>
              <w:spacing w:after="0" w:line="240" w:lineRule="auto"/>
              <w:jc w:val="center"/>
              <w:rPr>
                <w:rFonts w:ascii="Aptos" w:hAnsi="Aptos"/>
                <w:color w:val="000000"/>
                <w:sz w:val="20"/>
                <w:szCs w:val="20"/>
                <w:lang w:val="fr-FR"/>
              </w:rPr>
            </w:pPr>
            <w:r w:rsidRPr="00653BF4">
              <w:rPr>
                <w:rFonts w:ascii="Aptos" w:eastAsia="Times New Roman" w:hAnsi="Aptos" w:cs="Calibri"/>
                <w:color w:val="000000"/>
                <w:kern w:val="0"/>
                <w:sz w:val="20"/>
                <w:szCs w:val="20"/>
                <w:lang w:val="fr-FR" w:eastAsia="en-CA"/>
                <w14:ligatures w14:val="none"/>
              </w:rPr>
              <w:t>Indice national de la Liste rouge</w:t>
            </w:r>
            <w:r w:rsidR="00E34DC9">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0,8 (fourchette de 0,45 à 0,97)</w:t>
            </w:r>
          </w:p>
          <w:p w14:paraId="752FB5E0" w14:textId="77777777" w:rsidR="007A60EC" w:rsidRPr="00653BF4" w:rsidRDefault="007A60EC" w:rsidP="00557FB3">
            <w:pPr>
              <w:jc w:val="center"/>
              <w:rPr>
                <w:rFonts w:ascii="Aptos" w:hAnsi="Aptos"/>
                <w:color w:val="000000"/>
                <w:sz w:val="20"/>
                <w:szCs w:val="20"/>
                <w:lang w:val="fr-FR"/>
              </w:rPr>
            </w:pPr>
            <w:r w:rsidRPr="00653BF4">
              <w:rPr>
                <w:rFonts w:ascii="Aptos" w:eastAsia="Times New Roman" w:hAnsi="Aptos" w:cs="Calibri"/>
                <w:color w:val="000000"/>
                <w:kern w:val="0"/>
                <w:sz w:val="20"/>
                <w:szCs w:val="20"/>
                <w:lang w:val="fr-FR" w:eastAsia="en-CA"/>
                <w14:ligatures w14:val="none"/>
              </w:rPr>
              <w:t>Les deux indices sont en baisse</w:t>
            </w:r>
          </w:p>
        </w:tc>
        <w:tc>
          <w:tcPr>
            <w:tcW w:w="521" w:type="dxa"/>
            <w:tcBorders>
              <w:top w:val="nil"/>
              <w:left w:val="nil"/>
              <w:bottom w:val="single" w:sz="4" w:space="0" w:color="auto"/>
              <w:right w:val="single" w:sz="4" w:space="0" w:color="auto"/>
            </w:tcBorders>
            <w:shd w:val="clear" w:color="auto" w:fill="C00000"/>
            <w:vAlign w:val="center"/>
            <w:hideMark/>
          </w:tcPr>
          <w:p w14:paraId="426156C6" w14:textId="77777777" w:rsidR="007A60EC" w:rsidRPr="00653BF4" w:rsidRDefault="007A60EC" w:rsidP="00557FB3">
            <w:pPr>
              <w:rPr>
                <w:rFonts w:ascii="Aptos" w:hAnsi="Aptos"/>
                <w:color w:val="000000"/>
                <w:sz w:val="20"/>
                <w:szCs w:val="20"/>
                <w:lang w:val="fr-FR"/>
              </w:rPr>
            </w:pPr>
          </w:p>
        </w:tc>
      </w:tr>
      <w:tr w:rsidR="007A60EC" w:rsidRPr="00543148" w14:paraId="3C368399" w14:textId="77777777" w:rsidTr="00557FB3">
        <w:trPr>
          <w:trHeight w:val="1050"/>
        </w:trPr>
        <w:tc>
          <w:tcPr>
            <w:tcW w:w="2830" w:type="dxa"/>
            <w:tcBorders>
              <w:top w:val="nil"/>
              <w:left w:val="single" w:sz="4" w:space="0" w:color="auto"/>
              <w:bottom w:val="single" w:sz="4" w:space="0" w:color="auto"/>
              <w:right w:val="single" w:sz="4" w:space="0" w:color="auto"/>
            </w:tcBorders>
            <w:shd w:val="clear" w:color="000000" w:fill="FFFFFF"/>
            <w:vAlign w:val="center"/>
          </w:tcPr>
          <w:p w14:paraId="6E0BB0D3" w14:textId="6CFDB280" w:rsidR="007A60EC" w:rsidRPr="00653BF4" w:rsidRDefault="007A60EC" w:rsidP="00557FB3">
            <w:pPr>
              <w:jc w:val="center"/>
              <w:rPr>
                <w:rFonts w:ascii="Aptos" w:hAnsi="Aptos"/>
                <w:color w:val="000000"/>
                <w:sz w:val="20"/>
                <w:szCs w:val="20"/>
                <w:lang w:val="fr-FR"/>
              </w:rPr>
            </w:pPr>
            <w:r w:rsidRPr="00653BF4">
              <w:rPr>
                <w:rFonts w:ascii="Aptos" w:eastAsia="Times New Roman" w:hAnsi="Aptos" w:cs="Times New Roman"/>
                <w:color w:val="000000"/>
                <w:kern w:val="0"/>
                <w:sz w:val="20"/>
                <w:szCs w:val="20"/>
                <w:lang w:val="fr-FR" w:eastAsia="en-CA"/>
                <w14:ligatures w14:val="none"/>
              </w:rPr>
              <w:t>Indicateur phare A.4</w:t>
            </w:r>
            <w:r w:rsidR="00E34DC9">
              <w:rPr>
                <w:rFonts w:ascii="Aptos" w:eastAsia="Times New Roman" w:hAnsi="Aptos" w:cs="Times New Roman"/>
                <w:color w:val="000000"/>
                <w:kern w:val="0"/>
                <w:sz w:val="20"/>
                <w:szCs w:val="20"/>
                <w:lang w:val="fr-FR" w:eastAsia="en-CA"/>
                <w14:ligatures w14:val="none"/>
              </w:rPr>
              <w:t> :</w:t>
            </w:r>
            <w:r w:rsidRPr="00653BF4">
              <w:rPr>
                <w:rFonts w:ascii="Aptos" w:eastAsia="Times New Roman" w:hAnsi="Aptos" w:cs="Times New Roman"/>
                <w:color w:val="000000"/>
                <w:kern w:val="0"/>
                <w:sz w:val="20"/>
                <w:szCs w:val="20"/>
                <w:lang w:val="fr-FR" w:eastAsia="en-CA"/>
                <w14:ligatures w14:val="none"/>
              </w:rPr>
              <w:t xml:space="preserve"> pourcentage de populations au sein d’une espèce dont la taille effective est supérieure à 500 individus</w:t>
            </w:r>
          </w:p>
        </w:tc>
        <w:tc>
          <w:tcPr>
            <w:tcW w:w="3261" w:type="dxa"/>
            <w:tcBorders>
              <w:top w:val="nil"/>
              <w:left w:val="nil"/>
              <w:bottom w:val="single" w:sz="4" w:space="0" w:color="auto"/>
              <w:right w:val="single" w:sz="4" w:space="0" w:color="auto"/>
            </w:tcBorders>
            <w:vAlign w:val="center"/>
          </w:tcPr>
          <w:p w14:paraId="518B6DBC" w14:textId="34837DA7" w:rsidR="007A60EC" w:rsidRPr="00653BF4" w:rsidRDefault="007A60EC" w:rsidP="00557FB3">
            <w:pPr>
              <w:jc w:val="center"/>
              <w:rPr>
                <w:rFonts w:ascii="Aptos" w:hAnsi="Aptos"/>
                <w:color w:val="000000"/>
                <w:sz w:val="20"/>
                <w:szCs w:val="20"/>
                <w:lang w:val="fr-FR"/>
              </w:rPr>
            </w:pPr>
            <w:r w:rsidRPr="00653BF4">
              <w:rPr>
                <w:rFonts w:ascii="Aptos" w:eastAsia="Times New Roman" w:hAnsi="Aptos" w:cs="Calibri"/>
                <w:color w:val="000000"/>
                <w:kern w:val="0"/>
                <w:sz w:val="20"/>
                <w:szCs w:val="20"/>
                <w:lang w:val="fr-FR" w:eastAsia="en-CA"/>
                <w14:ligatures w14:val="none"/>
              </w:rPr>
              <w:t>13</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des Parties</w:t>
            </w:r>
          </w:p>
        </w:tc>
        <w:tc>
          <w:tcPr>
            <w:tcW w:w="567" w:type="dxa"/>
            <w:tcBorders>
              <w:top w:val="single" w:sz="4" w:space="0" w:color="auto"/>
              <w:left w:val="nil"/>
              <w:bottom w:val="single" w:sz="4" w:space="0" w:color="auto"/>
              <w:right w:val="single" w:sz="4" w:space="0" w:color="auto"/>
            </w:tcBorders>
            <w:shd w:val="clear" w:color="auto" w:fill="C00000"/>
            <w:vAlign w:val="center"/>
          </w:tcPr>
          <w:p w14:paraId="6CFDB277" w14:textId="77777777" w:rsidR="007A60EC" w:rsidRPr="00653BF4" w:rsidRDefault="007A60EC" w:rsidP="00557FB3">
            <w:pPr>
              <w:jc w:val="center"/>
              <w:rPr>
                <w:rFonts w:ascii="Aptos" w:hAnsi="Aptos"/>
                <w:color w:val="000000"/>
                <w:sz w:val="20"/>
                <w:szCs w:val="20"/>
                <w:lang w:val="fr-FR"/>
              </w:rPr>
            </w:pPr>
          </w:p>
        </w:tc>
        <w:tc>
          <w:tcPr>
            <w:tcW w:w="3022" w:type="dxa"/>
            <w:tcBorders>
              <w:top w:val="single" w:sz="4" w:space="0" w:color="auto"/>
              <w:left w:val="single" w:sz="4" w:space="0" w:color="auto"/>
              <w:bottom w:val="single" w:sz="4" w:space="0" w:color="auto"/>
              <w:right w:val="nil"/>
            </w:tcBorders>
            <w:vAlign w:val="center"/>
          </w:tcPr>
          <w:p w14:paraId="5BB47205" w14:textId="6AC5BD72" w:rsidR="007A60EC" w:rsidRPr="00653BF4" w:rsidRDefault="007A60EC" w:rsidP="00557FB3">
            <w:pPr>
              <w:jc w:val="center"/>
              <w:rPr>
                <w:rFonts w:ascii="Aptos" w:hAnsi="Aptos"/>
                <w:color w:val="000000"/>
                <w:sz w:val="20"/>
                <w:szCs w:val="20"/>
                <w:lang w:val="fr-FR"/>
              </w:rPr>
            </w:pPr>
            <w:r w:rsidRPr="00653BF4">
              <w:rPr>
                <w:rFonts w:ascii="Aptos" w:eastAsia="Times New Roman" w:hAnsi="Aptos" w:cs="Calibri"/>
                <w:color w:val="000000"/>
                <w:kern w:val="0"/>
                <w:sz w:val="20"/>
                <w:szCs w:val="20"/>
                <w:lang w:val="fr-FR" w:eastAsia="en-CA"/>
                <w14:ligatures w14:val="none"/>
              </w:rPr>
              <w:t>Moyenne globale</w:t>
            </w:r>
            <w:r w:rsidR="00E34DC9">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0,58 (fourchette de 0,17 à 0,93)</w:t>
            </w:r>
          </w:p>
        </w:tc>
        <w:tc>
          <w:tcPr>
            <w:tcW w:w="521" w:type="dxa"/>
            <w:tcBorders>
              <w:top w:val="nil"/>
              <w:left w:val="single" w:sz="4" w:space="0" w:color="auto"/>
              <w:bottom w:val="single" w:sz="4" w:space="0" w:color="auto"/>
              <w:right w:val="single" w:sz="4" w:space="0" w:color="auto"/>
            </w:tcBorders>
            <w:shd w:val="clear" w:color="000000" w:fill="C00000"/>
            <w:vAlign w:val="center"/>
          </w:tcPr>
          <w:p w14:paraId="34870E25" w14:textId="77777777" w:rsidR="007A60EC" w:rsidRPr="00653BF4" w:rsidRDefault="007A60EC" w:rsidP="00557FB3">
            <w:pPr>
              <w:rPr>
                <w:rFonts w:ascii="Aptos" w:hAnsi="Aptos"/>
                <w:color w:val="000000"/>
                <w:sz w:val="20"/>
                <w:szCs w:val="20"/>
                <w:lang w:val="fr-FR"/>
              </w:rPr>
            </w:pPr>
          </w:p>
        </w:tc>
      </w:tr>
    </w:tbl>
    <w:p w14:paraId="12635C7A" w14:textId="77777777" w:rsidR="007A60EC" w:rsidRPr="00653BF4" w:rsidRDefault="007A60EC" w:rsidP="007A60EC">
      <w:pPr>
        <w:pStyle w:val="p1"/>
        <w:rPr>
          <w:rFonts w:ascii="Aptos" w:hAnsi="Aptos"/>
          <w:sz w:val="24"/>
          <w:szCs w:val="24"/>
          <w:lang w:val="fr-FR"/>
        </w:rPr>
      </w:pPr>
    </w:p>
    <w:p w14:paraId="08DF6A46" w14:textId="3DC74A14" w:rsidR="007A60EC" w:rsidRPr="00653BF4" w:rsidRDefault="007A60EC" w:rsidP="007A60EC">
      <w:pPr>
        <w:rPr>
          <w:rFonts w:ascii="Aptos" w:hAnsi="Aptos"/>
          <w:sz w:val="16"/>
          <w:szCs w:val="16"/>
          <w:lang w:val="fr-FR"/>
        </w:rPr>
      </w:pPr>
      <w:r w:rsidRPr="00653BF4">
        <w:rPr>
          <w:rFonts w:ascii="Aptos" w:hAnsi="Aptos"/>
          <w:i/>
          <w:iCs/>
          <w:sz w:val="16"/>
          <w:szCs w:val="16"/>
          <w:lang w:val="fr-FR"/>
        </w:rPr>
        <w:t>Note</w:t>
      </w:r>
      <w:r w:rsidR="00E34DC9">
        <w:rPr>
          <w:rFonts w:ascii="Aptos" w:hAnsi="Aptos"/>
          <w:i/>
          <w:iCs/>
          <w:sz w:val="16"/>
          <w:szCs w:val="16"/>
          <w:lang w:val="fr-FR"/>
        </w:rPr>
        <w:t> :</w:t>
      </w:r>
      <w:r w:rsidRPr="00653BF4">
        <w:rPr>
          <w:rFonts w:ascii="Aptos" w:hAnsi="Aptos"/>
          <w:sz w:val="16"/>
          <w:szCs w:val="16"/>
          <w:lang w:val="fr-FR"/>
        </w:rPr>
        <w:t xml:space="preserve"> Le code couleur se rapporte à l’évaluation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w:t>
      </w:r>
      <w:r w:rsidRPr="00653BF4">
        <w:rPr>
          <w:rFonts w:ascii="Aptos" w:hAnsi="Aptos"/>
          <w:sz w:val="16"/>
          <w:szCs w:val="16"/>
          <w:lang w:val="fr-FR"/>
        </w:rPr>
        <w:lastRenderedPageBreak/>
        <w:t>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7DFCAA83" w14:textId="77777777" w:rsidR="007A60EC" w:rsidRPr="00653BF4" w:rsidRDefault="007A60EC" w:rsidP="007A60EC">
      <w:pPr>
        <w:rPr>
          <w:lang w:val="fr-FR"/>
        </w:rPr>
      </w:pPr>
    </w:p>
    <w:p w14:paraId="61264E70" w14:textId="2D5F6A06" w:rsidR="007A60EC" w:rsidRPr="00653BF4" w:rsidRDefault="007A60EC" w:rsidP="007A60EC">
      <w:pPr>
        <w:rPr>
          <w:lang w:val="fr-FR"/>
        </w:rPr>
      </w:pPr>
      <w:r w:rsidRPr="00653BF4">
        <w:rPr>
          <w:lang w:val="fr-FR"/>
        </w:rPr>
        <w:t>Les indicateurs phares A.1 et A.2, axés sur le risque d’effondrement des écosystèmes et sur la superficie des écosystèmes naturels, permettent de suivre les progrès concernant les éléments de l’</w:t>
      </w:r>
      <w:r w:rsidR="002878D7">
        <w:rPr>
          <w:lang w:val="fr-FR"/>
        </w:rPr>
        <w:t>objectif A</w:t>
      </w:r>
      <w:r w:rsidRPr="00653BF4">
        <w:rPr>
          <w:lang w:val="fr-FR"/>
        </w:rPr>
        <w:t xml:space="preserve"> liés aux écosystèmes, tandis que les indicateurs phares A.3 et A.4 permettent de suivre les progrès concernant ses éléments liés au risque d’extinction des espèces et à la diversité génétique.</w:t>
      </w:r>
    </w:p>
    <w:p w14:paraId="159BF96E" w14:textId="77777777" w:rsidR="007A60EC" w:rsidRPr="00653BF4" w:rsidRDefault="007A60EC" w:rsidP="007A60EC">
      <w:pPr>
        <w:rPr>
          <w:lang w:val="fr-FR"/>
        </w:rPr>
      </w:pPr>
      <w:r w:rsidRPr="00653BF4">
        <w:rPr>
          <w:lang w:val="fr-FR"/>
        </w:rPr>
        <w:t xml:space="preserve">Si certaines Parties ont mis en place des cadres de comptabilité des écosystèmes ou dressé des cartes nationales, beaucoup d’autres en sont à une phase de transition et établissent leurs données de référence à l’aide de variables de substitution ou s’emploient à aligner leurs données nationales sur des normes mondiales telles que la Typologie mondiale des écosystèmes de l’Union internationale pour la conservation de la nature (UICN) (Keith </w:t>
      </w:r>
      <w:r w:rsidRPr="00653BF4">
        <w:rPr>
          <w:i/>
          <w:iCs/>
          <w:lang w:val="fr-FR"/>
        </w:rPr>
        <w:t>et al</w:t>
      </w:r>
      <w:r w:rsidRPr="00653BF4">
        <w:rPr>
          <w:lang w:val="fr-FR"/>
        </w:rPr>
        <w:t>., 2020, 2022)</w:t>
      </w:r>
      <w:r w:rsidRPr="00653BF4">
        <w:rPr>
          <w:rStyle w:val="FootnoteReference"/>
          <w:lang w:val="fr-FR"/>
        </w:rPr>
        <w:footnoteReference w:id="43"/>
      </w:r>
      <w:r w:rsidRPr="00653BF4">
        <w:rPr>
          <w:lang w:val="fr-FR"/>
        </w:rPr>
        <w:t>. En conséquence, de nombreuses Parties indiquent qu’elles n’ont pas encore procédé à des évaluations de l’état des écosystèmes. Les données dont disposent les Parties sur les écosystèmes sont souvent partielles et ne couvrent que certains écosystèmes. Pour l’indicateur phare A.2 en particulier, les informations communiquées par les Parties portaient en grande partie sur les écosystèmes terrestres.</w:t>
      </w:r>
    </w:p>
    <w:p w14:paraId="1BBCA32A" w14:textId="77777777" w:rsidR="007A60EC" w:rsidRPr="00653BF4" w:rsidRDefault="007A60EC" w:rsidP="007A60EC">
      <w:pPr>
        <w:rPr>
          <w:lang w:val="fr-FR"/>
        </w:rPr>
      </w:pPr>
      <w:r w:rsidRPr="00653BF4">
        <w:rPr>
          <w:lang w:val="fr-FR"/>
        </w:rPr>
        <w:t>Pour l’indicateur phare A.1 (Liste rouge des écosystèmes), les données soumises par les Parties et celles fournies par l’UICN (UICN, 2026) font apparaître un niveau de risque global comparable pour les écosystèmes (voir la figure 98). Pour l’indicateur phare A.2 (étendue des écosystèmes naturels), l’étendue communiquée par les Parties allait de la quasi-totalité des zones terrestres à une part quasi nulle, pour une couverture moyenne d’environ trois cinquièmes (voir le tableau 51 et la figure 99).</w:t>
      </w:r>
    </w:p>
    <w:p w14:paraId="2ECC508F" w14:textId="77777777" w:rsidR="007A60EC" w:rsidRPr="00653BF4" w:rsidRDefault="007A60EC" w:rsidP="007A60EC">
      <w:pPr>
        <w:rPr>
          <w:lang w:val="fr-FR"/>
        </w:rPr>
      </w:pPr>
      <w:r w:rsidRPr="00653BF4">
        <w:rPr>
          <w:lang w:val="fr-FR"/>
        </w:rPr>
        <w:t xml:space="preserve">Il convient de voir dans les résultats issus des rapports sur les indicateurs phares A.1 et A.2 une première tentative d’établir des valeurs de référence, qui pourront servir à mesurer les progrès futurs vers l’objectif à l’horizon 2050 à mesure que les Parties renforceront leur capacité à cartographier et à suivre les écosystèmes dans leur intégralité (Nicholson </w:t>
      </w:r>
      <w:r w:rsidRPr="00653BF4">
        <w:rPr>
          <w:i/>
          <w:iCs/>
          <w:lang w:val="fr-FR"/>
        </w:rPr>
        <w:t>et al</w:t>
      </w:r>
      <w:r w:rsidRPr="00653BF4">
        <w:rPr>
          <w:lang w:val="fr-FR"/>
        </w:rPr>
        <w:t xml:space="preserve">., 2024). L’initiative Global Ecosystems Atlas, pilotée par le Groupe sur l’observation de la Terre en collaboration avec le secrétariat de la Convention et les organisations compétentes chargées d’élaborer les métadonnées des indicateurs phares A.1 (UICN) et A.2 (Division de statistique de l’Organisation des Nations Unies), vise à fournir une carte mondiale harmonisée et complète de la répartition des écosystèmes naturels et artificiels, </w:t>
      </w:r>
      <w:r w:rsidRPr="00653BF4">
        <w:rPr>
          <w:lang w:val="fr-FR"/>
        </w:rPr>
        <w:lastRenderedPageBreak/>
        <w:t xml:space="preserve">alignée sur les 110 groupes fonctionnels d’écosystèmes (niveau 3) définis par la Typologie mondiale des écosystèmes (Murray </w:t>
      </w:r>
      <w:r w:rsidRPr="00653BF4">
        <w:rPr>
          <w:i/>
          <w:iCs/>
          <w:lang w:val="fr-FR"/>
        </w:rPr>
        <w:t>et al</w:t>
      </w:r>
      <w:r w:rsidRPr="00653BF4">
        <w:rPr>
          <w:lang w:val="fr-FR"/>
        </w:rPr>
        <w:t>., 2026)</w:t>
      </w:r>
      <w:r w:rsidRPr="00653BF4">
        <w:rPr>
          <w:rStyle w:val="FootnoteReference"/>
          <w:lang w:val="fr-FR"/>
        </w:rPr>
        <w:footnoteReference w:id="44"/>
      </w:r>
      <w:r w:rsidRPr="00653BF4">
        <w:rPr>
          <w:lang w:val="fr-FR"/>
        </w:rPr>
        <w:t>. Cette carte mondiale est établie principalement à partir de sources de données nationales existantes ou d’autres sources ayant fait l’objet d’un examen collégial, et les lacunes sont comblées à l’aide de modèles géospatiaux de classification des écosystèmes. L’initiative met donc l’accent sur l’appui à l’élaboration ascendante et continue des cartes des écosystèmes, notamment au moyen d’orientations précises au niveau national (Global Ecosystems Atlas, 2026). Le Global Ecosystems Atlas, dont l’achèvement est prévu avant 2029, devrait faciliter l’établissement des futurs rapports nationaux, en particulier sur l’indicateur phare A.2, et appuyer la communication d’informations sur d’autres indicateurs phares qui exigent des données sur l’étendue des écosystèmes, à savoir A.1 (Liste rouge des écosystèmes), B.1 (services rendus par les écosystèmes), 2.1 (zone en cours de restauration), 3.1 (couverture des zones protégées et autres mesures efficaces de conservation par zone) et 21.1 (indicateur sur les informations relatives à la biodiversité pour le suivi du Cadre) (Groupe sur l’observation de la Terre, 2025).</w:t>
      </w:r>
    </w:p>
    <w:p w14:paraId="6F3B50AB" w14:textId="11D88B5F" w:rsidR="007A60EC" w:rsidRPr="00653BF4" w:rsidRDefault="007A60EC" w:rsidP="007A60EC">
      <w:pPr>
        <w:rPr>
          <w:lang w:val="fr-FR"/>
        </w:rPr>
      </w:pPr>
      <w:r w:rsidRPr="00653BF4">
        <w:rPr>
          <w:lang w:val="fr-FR"/>
        </w:rPr>
        <w:t xml:space="preserve">Les données relatives à l’indicateur phare A.3 (indice de la Liste rouge) donnent à penser que le risque d’extinction des espèces continue d’augmenter (voir les figures 19 et 20). Cependant, même si les mesures récemment prises par les Parties devaient inverser cette tendance, ce renversement ne serait probablement pas décelable à court terme, en raison du décalage temporel entre les mesures de conservation et leurs effets, ainsi que des retards dans la mise à disposition d’évaluations actualisées des espèces (voir aussi la </w:t>
      </w:r>
      <w:r w:rsidR="002878D7">
        <w:rPr>
          <w:lang w:val="fr-FR"/>
        </w:rPr>
        <w:t>section I</w:t>
      </w:r>
      <w:r w:rsidRPr="00653BF4">
        <w:rPr>
          <w:lang w:val="fr-FR"/>
        </w:rPr>
        <w:t>.A et la figure 6). Les données communiquées par les Parties pour l’indicateur phare A.4 (pourcentage de populations au sein d’une espèce dont la taille effective est supérieure à 500 individus) sont trop parcellaires pour permettre de tirer des conclusions sur les progrès accomplis vers le maintien à long terme de la diversité génétique, mais des initiatives telles que Biodiversa+ Genetic Indicators for NAture MOnitoring (GINAMO)</w:t>
      </w:r>
      <w:r w:rsidRPr="00653BF4">
        <w:rPr>
          <w:rStyle w:val="FootnoteReference"/>
          <w:lang w:val="fr-FR"/>
        </w:rPr>
        <w:footnoteReference w:id="45"/>
      </w:r>
      <w:r w:rsidRPr="00653BF4">
        <w:rPr>
          <w:lang w:val="fr-FR"/>
        </w:rPr>
        <w:t xml:space="preserve">, de l’Union européenne, aident les Parties à mettre en œuvre cet indicateur. Les Parties ont par ailleurs la possibilité d’élargir la couverture taxonomique de leurs évaluations du risque d’extinction et de s’appuyer sur ces dernières pour apprécier la diversité génétique (Khorngton </w:t>
      </w:r>
      <w:r w:rsidRPr="00653BF4">
        <w:rPr>
          <w:i/>
          <w:iCs/>
          <w:lang w:val="fr-FR"/>
        </w:rPr>
        <w:t>et al</w:t>
      </w:r>
      <w:r w:rsidRPr="00653BF4">
        <w:rPr>
          <w:lang w:val="fr-FR"/>
        </w:rPr>
        <w:t xml:space="preserve">., 2026), ce qui contribuerait à mieux cerner les progrès accomplis vers l’objectif à l’horizon 2050. </w:t>
      </w:r>
    </w:p>
    <w:p w14:paraId="51929E57" w14:textId="0A646E39" w:rsidR="007A60EC" w:rsidRPr="00653BF4" w:rsidRDefault="007A60EC" w:rsidP="007A60EC">
      <w:pPr>
        <w:rPr>
          <w:lang w:val="fr-FR"/>
        </w:rPr>
      </w:pPr>
      <w:r w:rsidRPr="00653BF4">
        <w:rPr>
          <w:lang w:val="fr-FR"/>
        </w:rPr>
        <w:t xml:space="preserve">Les indicateurs phares A.3 et A.4, qui permettent aussi de suivre les progrès vers la </w:t>
      </w:r>
      <w:r w:rsidR="00E34DC9">
        <w:rPr>
          <w:lang w:val="fr-FR"/>
        </w:rPr>
        <w:t>cible 4</w:t>
      </w:r>
      <w:r w:rsidRPr="00653BF4">
        <w:rPr>
          <w:lang w:val="fr-FR"/>
        </w:rPr>
        <w:t xml:space="preserve"> du Cadre, sont examinés plus en détail à la </w:t>
      </w:r>
      <w:r w:rsidR="002878D7">
        <w:rPr>
          <w:lang w:val="fr-FR"/>
        </w:rPr>
        <w:t>section I</w:t>
      </w:r>
      <w:r w:rsidRPr="00653BF4">
        <w:rPr>
          <w:lang w:val="fr-FR"/>
        </w:rPr>
        <w:t>I.B du présent rapport.</w:t>
      </w:r>
    </w:p>
    <w:p w14:paraId="00D150F1" w14:textId="77777777" w:rsidR="007A60EC" w:rsidRPr="00653BF4" w:rsidRDefault="007A60EC" w:rsidP="007A60EC">
      <w:pPr>
        <w:rPr>
          <w:lang w:val="fr-FR"/>
        </w:rPr>
      </w:pPr>
    </w:p>
    <w:p w14:paraId="791ADF26" w14:textId="77777777" w:rsidR="007A60EC" w:rsidRPr="00653BF4" w:rsidRDefault="007A60EC" w:rsidP="007A60EC">
      <w:pPr>
        <w:rPr>
          <w:sz w:val="20"/>
          <w:szCs w:val="20"/>
          <w:lang w:val="fr-FR"/>
        </w:rPr>
      </w:pPr>
      <w:r w:rsidRPr="00653BF4">
        <w:rPr>
          <w:sz w:val="20"/>
          <w:szCs w:val="20"/>
          <w:lang w:val="fr-FR"/>
        </w:rPr>
        <w:lastRenderedPageBreak/>
        <w:t xml:space="preserve">Figure </w:t>
      </w:r>
      <w:r w:rsidRPr="00653BF4">
        <w:rPr>
          <w:noProof/>
          <w:sz w:val="20"/>
          <w:szCs w:val="20"/>
          <w:lang w:val="fr-FR"/>
        </w:rPr>
        <w:t>98</w:t>
      </w:r>
    </w:p>
    <w:p w14:paraId="16EFBE74" w14:textId="22F2EEAE" w:rsidR="007A60EC" w:rsidRPr="00653BF4" w:rsidRDefault="007A60EC" w:rsidP="007A60EC">
      <w:pPr>
        <w:rPr>
          <w:rStyle w:val="normaltextrun"/>
          <w:rFonts w:ascii="Aptos" w:hAnsi="Aptos" w:cs="Segoe UI"/>
          <w:b/>
          <w:bCs/>
          <w:sz w:val="20"/>
          <w:szCs w:val="20"/>
          <w:lang w:val="fr-FR"/>
        </w:rPr>
      </w:pPr>
      <w:r w:rsidRPr="00653BF4">
        <w:rPr>
          <w:rStyle w:val="normaltextrun"/>
          <w:rFonts w:ascii="Aptos" w:hAnsi="Aptos" w:cs="Segoe UI"/>
          <w:b/>
          <w:bCs/>
          <w:sz w:val="20"/>
          <w:szCs w:val="20"/>
          <w:lang w:val="fr-FR"/>
        </w:rPr>
        <w:t>Indicateur phare A.1</w:t>
      </w:r>
      <w:r w:rsidR="00E34DC9">
        <w:rPr>
          <w:rStyle w:val="normaltextrun"/>
          <w:rFonts w:ascii="Aptos" w:hAnsi="Aptos" w:cs="Segoe UI"/>
          <w:b/>
          <w:bCs/>
          <w:sz w:val="20"/>
          <w:szCs w:val="20"/>
          <w:lang w:val="fr-FR"/>
        </w:rPr>
        <w:t> :</w:t>
      </w:r>
      <w:r w:rsidRPr="00653BF4">
        <w:rPr>
          <w:rStyle w:val="normaltextrun"/>
          <w:rFonts w:ascii="Aptos" w:hAnsi="Aptos" w:cs="Segoe UI"/>
          <w:b/>
          <w:bCs/>
          <w:sz w:val="20"/>
          <w:szCs w:val="20"/>
          <w:lang w:val="fr-FR"/>
        </w:rPr>
        <w:t xml:space="preserve"> Liste rouge des écosystèmes</w:t>
      </w:r>
    </w:p>
    <w:p w14:paraId="3B1CEB3E" w14:textId="77777777" w:rsidR="007A60EC" w:rsidRPr="00653BF4" w:rsidRDefault="007A60EC" w:rsidP="007A60EC">
      <w:pPr>
        <w:pStyle w:val="paragraph"/>
        <w:spacing w:before="0" w:beforeAutospacing="0" w:after="0" w:afterAutospacing="0"/>
        <w:textAlignment w:val="baseline"/>
        <w:rPr>
          <w:rStyle w:val="normaltextrun"/>
          <w:rFonts w:ascii="Aptos" w:hAnsi="Aptos" w:cs="Segoe UI"/>
          <w:lang w:val="fr-FR"/>
        </w:rPr>
      </w:pPr>
      <w:r w:rsidRPr="00653BF4">
        <w:rPr>
          <w:rFonts w:ascii="Aptos" w:hAnsi="Aptos" w:cs="Segoe UI"/>
          <w:noProof/>
          <w:lang w:val="fr-FR"/>
          <w14:ligatures w14:val="standardContextual"/>
        </w:rPr>
        <w:drawing>
          <wp:inline distT="0" distB="0" distL="0" distR="0" wp14:anchorId="06E58FC1" wp14:editId="2FC8906B">
            <wp:extent cx="5731510" cy="3223895"/>
            <wp:effectExtent l="0" t="0" r="0" b="1905"/>
            <wp:docPr id="16256134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13498" name="Picture 1625613498"/>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5F797340" w14:textId="119D8F98" w:rsidR="007A60EC" w:rsidRPr="00653BF4" w:rsidRDefault="007A60EC" w:rsidP="007A60EC">
      <w:pPr>
        <w:pStyle w:val="Caption"/>
        <w:rPr>
          <w:rStyle w:val="eop"/>
          <w:rFonts w:ascii="Aptos" w:hAnsi="Aptos" w:cs="Segoe UI"/>
          <w:i w:val="0"/>
          <w:iCs w:val="0"/>
          <w:lang w:val="fr-FR"/>
        </w:rPr>
      </w:pPr>
      <w:r w:rsidRPr="00653BF4">
        <w:rPr>
          <w:rStyle w:val="normaltextrun"/>
          <w:rFonts w:ascii="Aptos" w:hAnsi="Aptos" w:cs="Segoe UI"/>
          <w:lang w:val="fr-FR"/>
        </w:rPr>
        <w:t>Note</w:t>
      </w:r>
      <w:r w:rsidR="00E34DC9">
        <w:rPr>
          <w:rStyle w:val="normaltextrun"/>
          <w:rFonts w:ascii="Aptos" w:hAnsi="Aptos" w:cs="Segoe UI"/>
          <w:lang w:val="fr-FR"/>
        </w:rPr>
        <w:t> :</w:t>
      </w:r>
      <w:r w:rsidRPr="00653BF4">
        <w:rPr>
          <w:rStyle w:val="normaltextrun"/>
          <w:rFonts w:ascii="Aptos" w:hAnsi="Aptos" w:cs="Segoe UI"/>
          <w:lang w:val="fr-FR"/>
        </w:rPr>
        <w:t xml:space="preserve"> Un seul point de données, qui regroupe toutes les</w:t>
      </w:r>
      <w:r w:rsidRPr="00653BF4">
        <w:rPr>
          <w:lang w:val="fr-FR"/>
        </w:rPr>
        <w:t xml:space="preserve"> valeurs de la Liste rouge des écosystèmes (LRE) communiquées, est représenté, car seules trois Parties ont fourni une série chronologique</w:t>
      </w:r>
      <w:r w:rsidRPr="00653BF4">
        <w:rPr>
          <w:rStyle w:val="normaltextrun"/>
          <w:rFonts w:ascii="Aptos" w:hAnsi="Aptos" w:cs="Segoe UI"/>
          <w:i w:val="0"/>
          <w:iCs w:val="0"/>
          <w:lang w:val="fr-FR"/>
        </w:rPr>
        <w:t>. La moyenne et la fourchette des valeurs de la LRE sont indiquées pour l’ensemble des Parties ayant soumis des données. Les barres représentent la répartition régionale des données fournies par les Parties et prises en compte dans la valeur affichée de l’indicateur. La correspondance entre les couleurs et les régions est indiquée dans la légende de la figure</w:t>
      </w:r>
      <w:r w:rsidR="00E34DC9">
        <w:rPr>
          <w:rStyle w:val="normaltextrun"/>
          <w:rFonts w:ascii="Aptos" w:hAnsi="Aptos" w:cs="Segoe UI"/>
          <w:i w:val="0"/>
          <w:iCs w:val="0"/>
          <w:lang w:val="fr-FR"/>
        </w:rPr>
        <w:t> :</w:t>
      </w:r>
      <w:r w:rsidRPr="00653BF4">
        <w:rPr>
          <w:rStyle w:val="normaltextrun"/>
          <w:rFonts w:ascii="Aptos" w:hAnsi="Aptos" w:cs="Segoe UI"/>
          <w:i w:val="0"/>
          <w:iCs w:val="0"/>
          <w:lang w:val="fr-FR"/>
        </w:rPr>
        <w:t xml:space="preserve"> les tons plus foncés représentent, pour chaque région, la proportion de Parties dont les données sont incluses dans la figure, tandis que les tons plus clairs représentent la proportion de Parties de la même région dont les données n’y sont pas incluses. Les valeurs présentées proviennent des communications nationales (en haut) et de l’UICN (en bas)</w:t>
      </w:r>
      <w:r w:rsidRPr="00653BF4">
        <w:rPr>
          <w:rStyle w:val="eop"/>
          <w:rFonts w:ascii="Aptos" w:hAnsi="Aptos" w:cs="Segoe UI"/>
          <w:i w:val="0"/>
          <w:iCs w:val="0"/>
          <w:lang w:val="fr-FR"/>
        </w:rPr>
        <w:t>.</w:t>
      </w:r>
    </w:p>
    <w:tbl>
      <w:tblPr>
        <w:tblStyle w:val="TableGrid"/>
        <w:tblW w:w="8861" w:type="dxa"/>
        <w:tblLook w:val="04A0" w:firstRow="1" w:lastRow="0" w:firstColumn="1" w:lastColumn="0" w:noHBand="0" w:noVBand="1"/>
      </w:tblPr>
      <w:tblGrid>
        <w:gridCol w:w="4188"/>
        <w:gridCol w:w="4673"/>
      </w:tblGrid>
      <w:tr w:rsidR="001279A8" w:rsidRPr="00504CE2" w14:paraId="6AAFC60A" w14:textId="77777777" w:rsidTr="009B4355">
        <w:tc>
          <w:tcPr>
            <w:tcW w:w="8861" w:type="dxa"/>
            <w:gridSpan w:val="2"/>
          </w:tcPr>
          <w:p w14:paraId="746F3E23" w14:textId="77777777" w:rsidR="001279A8" w:rsidRPr="00504CE2" w:rsidRDefault="001279A8" w:rsidP="009B4355">
            <w:pPr>
              <w:rPr>
                <w:rFonts w:ascii="Aptos" w:hAnsi="Aptos"/>
              </w:rPr>
            </w:pPr>
            <w:r>
              <w:rPr>
                <w:rFonts w:ascii="Aptos" w:hAnsi="Aptos"/>
              </w:rPr>
              <w:t>Figure 98</w:t>
            </w:r>
          </w:p>
        </w:tc>
      </w:tr>
      <w:tr w:rsidR="001279A8" w:rsidRPr="00504CE2" w14:paraId="1D2A332A" w14:textId="77777777" w:rsidTr="009B4355">
        <w:tc>
          <w:tcPr>
            <w:tcW w:w="4188" w:type="dxa"/>
          </w:tcPr>
          <w:p w14:paraId="744D5B40" w14:textId="77777777" w:rsidR="001279A8" w:rsidRPr="00504CE2" w:rsidRDefault="001279A8" w:rsidP="009B4355">
            <w:pPr>
              <w:rPr>
                <w:rFonts w:ascii="Aptos" w:hAnsi="Aptos"/>
              </w:rPr>
            </w:pPr>
            <w:r w:rsidRPr="00504CE2">
              <w:rPr>
                <w:rFonts w:ascii="Aptos" w:hAnsi="Aptos"/>
              </w:rPr>
              <w:t xml:space="preserve">English </w:t>
            </w:r>
          </w:p>
        </w:tc>
        <w:tc>
          <w:tcPr>
            <w:tcW w:w="4673" w:type="dxa"/>
          </w:tcPr>
          <w:p w14:paraId="56B29C7C" w14:textId="77777777" w:rsidR="001279A8" w:rsidRPr="00504CE2" w:rsidRDefault="001279A8" w:rsidP="009B4355">
            <w:pPr>
              <w:rPr>
                <w:rFonts w:ascii="Aptos" w:hAnsi="Aptos"/>
              </w:rPr>
            </w:pPr>
            <w:r>
              <w:rPr>
                <w:rFonts w:ascii="Aptos" w:hAnsi="Aptos"/>
              </w:rPr>
              <w:t>Français</w:t>
            </w:r>
          </w:p>
        </w:tc>
      </w:tr>
      <w:tr w:rsidR="001279A8" w:rsidRPr="003A6336" w14:paraId="46AF9BCE" w14:textId="77777777" w:rsidTr="009B4355">
        <w:tc>
          <w:tcPr>
            <w:tcW w:w="4188" w:type="dxa"/>
          </w:tcPr>
          <w:p w14:paraId="76F99E3B" w14:textId="77777777" w:rsidR="001279A8" w:rsidRPr="003A6336" w:rsidRDefault="001279A8" w:rsidP="009B4355">
            <w:pPr>
              <w:rPr>
                <w:rFonts w:ascii="Aptos" w:hAnsi="Aptos"/>
              </w:rPr>
            </w:pPr>
            <w:r>
              <w:rPr>
                <w:rFonts w:ascii="Aptos" w:hAnsi="Aptos"/>
              </w:rPr>
              <w:t>National submissions</w:t>
            </w:r>
          </w:p>
        </w:tc>
        <w:tc>
          <w:tcPr>
            <w:tcW w:w="4673" w:type="dxa"/>
          </w:tcPr>
          <w:p w14:paraId="613844AD" w14:textId="77777777" w:rsidR="001279A8" w:rsidRPr="003A6336" w:rsidRDefault="001279A8" w:rsidP="009B4355">
            <w:pPr>
              <w:rPr>
                <w:rFonts w:ascii="Aptos" w:hAnsi="Aptos"/>
              </w:rPr>
            </w:pPr>
            <w:r>
              <w:t>Soumissions nationales</w:t>
            </w:r>
          </w:p>
        </w:tc>
      </w:tr>
      <w:tr w:rsidR="001279A8" w:rsidRPr="003A6336" w14:paraId="60469AA9" w14:textId="77777777" w:rsidTr="009B4355">
        <w:tc>
          <w:tcPr>
            <w:tcW w:w="4188" w:type="dxa"/>
          </w:tcPr>
          <w:p w14:paraId="59F90A72" w14:textId="77777777" w:rsidR="001279A8" w:rsidRPr="003A6336" w:rsidRDefault="001279A8" w:rsidP="009B4355">
            <w:pPr>
              <w:rPr>
                <w:rFonts w:ascii="Aptos" w:hAnsi="Aptos"/>
              </w:rPr>
            </w:pPr>
            <w:r>
              <w:rPr>
                <w:rFonts w:ascii="Aptos" w:hAnsi="Aptos"/>
              </w:rPr>
              <w:t>Party count: 27</w:t>
            </w:r>
          </w:p>
        </w:tc>
        <w:tc>
          <w:tcPr>
            <w:tcW w:w="4673" w:type="dxa"/>
          </w:tcPr>
          <w:p w14:paraId="4212A4BC" w14:textId="77777777" w:rsidR="001279A8" w:rsidRPr="003A6336" w:rsidRDefault="001279A8" w:rsidP="009B4355">
            <w:pPr>
              <w:rPr>
                <w:rFonts w:ascii="Aptos" w:hAnsi="Aptos"/>
              </w:rPr>
            </w:pPr>
            <w:r>
              <w:t>Nombre de Parties : 27</w:t>
            </w:r>
          </w:p>
        </w:tc>
      </w:tr>
      <w:tr w:rsidR="001279A8" w:rsidRPr="003A6336" w14:paraId="25E8C7B4" w14:textId="77777777" w:rsidTr="009B4355">
        <w:tc>
          <w:tcPr>
            <w:tcW w:w="4188" w:type="dxa"/>
          </w:tcPr>
          <w:p w14:paraId="0FA8217C" w14:textId="77777777" w:rsidR="001279A8" w:rsidRPr="003A6336" w:rsidRDefault="001279A8" w:rsidP="009B4355">
            <w:pPr>
              <w:rPr>
                <w:rFonts w:ascii="Aptos" w:hAnsi="Aptos"/>
              </w:rPr>
            </w:pPr>
            <w:r>
              <w:rPr>
                <w:rFonts w:ascii="Aptos" w:hAnsi="Aptos"/>
              </w:rPr>
              <w:t>Party count by region</w:t>
            </w:r>
          </w:p>
        </w:tc>
        <w:tc>
          <w:tcPr>
            <w:tcW w:w="4673" w:type="dxa"/>
          </w:tcPr>
          <w:p w14:paraId="40194E97" w14:textId="77777777" w:rsidR="001279A8" w:rsidRPr="003A6336" w:rsidRDefault="001279A8" w:rsidP="009B4355">
            <w:pPr>
              <w:rPr>
                <w:rFonts w:ascii="Aptos" w:hAnsi="Aptos"/>
              </w:rPr>
            </w:pPr>
            <w:r>
              <w:t>Nombre de Parties par région</w:t>
            </w:r>
          </w:p>
        </w:tc>
      </w:tr>
      <w:tr w:rsidR="001279A8" w:rsidRPr="003A6336" w14:paraId="45B4C6D2" w14:textId="77777777" w:rsidTr="009B4355">
        <w:tc>
          <w:tcPr>
            <w:tcW w:w="4188" w:type="dxa"/>
          </w:tcPr>
          <w:p w14:paraId="6E421DDA" w14:textId="77777777" w:rsidR="001279A8" w:rsidRPr="003A6336" w:rsidRDefault="001279A8" w:rsidP="009B4355">
            <w:pPr>
              <w:rPr>
                <w:rFonts w:ascii="Aptos" w:hAnsi="Aptos"/>
              </w:rPr>
            </w:pPr>
            <w:r>
              <w:rPr>
                <w:rFonts w:ascii="Aptos" w:hAnsi="Aptos"/>
              </w:rPr>
              <w:t>IUCN data</w:t>
            </w:r>
          </w:p>
        </w:tc>
        <w:tc>
          <w:tcPr>
            <w:tcW w:w="4673" w:type="dxa"/>
          </w:tcPr>
          <w:p w14:paraId="79802FC0" w14:textId="77777777" w:rsidR="001279A8" w:rsidRPr="003A6336" w:rsidRDefault="001279A8" w:rsidP="009B4355">
            <w:pPr>
              <w:rPr>
                <w:rFonts w:ascii="Aptos" w:hAnsi="Aptos"/>
              </w:rPr>
            </w:pPr>
            <w:r>
              <w:t>Données de l’UICN</w:t>
            </w:r>
          </w:p>
        </w:tc>
      </w:tr>
      <w:tr w:rsidR="001279A8" w:rsidRPr="003A6336" w14:paraId="0D72B131" w14:textId="77777777" w:rsidTr="009B4355">
        <w:tc>
          <w:tcPr>
            <w:tcW w:w="4188" w:type="dxa"/>
          </w:tcPr>
          <w:p w14:paraId="433C39AF" w14:textId="77777777" w:rsidR="001279A8" w:rsidRPr="003A6336" w:rsidRDefault="001279A8" w:rsidP="009B4355">
            <w:pPr>
              <w:rPr>
                <w:rFonts w:ascii="Aptos" w:hAnsi="Aptos"/>
              </w:rPr>
            </w:pPr>
            <w:r>
              <w:rPr>
                <w:rFonts w:ascii="Aptos" w:hAnsi="Aptos"/>
              </w:rPr>
              <w:t>Party count: 61</w:t>
            </w:r>
          </w:p>
        </w:tc>
        <w:tc>
          <w:tcPr>
            <w:tcW w:w="4673" w:type="dxa"/>
          </w:tcPr>
          <w:p w14:paraId="787DCEC7" w14:textId="77777777" w:rsidR="001279A8" w:rsidRPr="003A6336" w:rsidRDefault="001279A8" w:rsidP="009B4355">
            <w:pPr>
              <w:rPr>
                <w:rFonts w:ascii="Aptos" w:hAnsi="Aptos"/>
              </w:rPr>
            </w:pPr>
            <w:r>
              <w:t>Nombre de Parties : 61</w:t>
            </w:r>
          </w:p>
        </w:tc>
      </w:tr>
      <w:tr w:rsidR="001279A8" w:rsidRPr="003A6336" w14:paraId="6E957F7D" w14:textId="77777777" w:rsidTr="009B4355">
        <w:tc>
          <w:tcPr>
            <w:tcW w:w="4188" w:type="dxa"/>
          </w:tcPr>
          <w:p w14:paraId="040452E3" w14:textId="77777777" w:rsidR="001279A8" w:rsidRPr="003A6336" w:rsidRDefault="001279A8" w:rsidP="009B4355">
            <w:pPr>
              <w:rPr>
                <w:rFonts w:ascii="Aptos" w:hAnsi="Aptos"/>
              </w:rPr>
            </w:pPr>
            <w:r>
              <w:rPr>
                <w:rFonts w:ascii="Aptos" w:hAnsi="Aptos"/>
              </w:rPr>
              <w:t>Party count by region</w:t>
            </w:r>
          </w:p>
        </w:tc>
        <w:tc>
          <w:tcPr>
            <w:tcW w:w="4673" w:type="dxa"/>
          </w:tcPr>
          <w:p w14:paraId="34EC76C7" w14:textId="77777777" w:rsidR="001279A8" w:rsidRPr="003A6336" w:rsidRDefault="001279A8" w:rsidP="009B4355">
            <w:pPr>
              <w:rPr>
                <w:rFonts w:ascii="Aptos" w:hAnsi="Aptos"/>
              </w:rPr>
            </w:pPr>
            <w:r>
              <w:t>Nombre de Parties par région</w:t>
            </w:r>
          </w:p>
        </w:tc>
      </w:tr>
      <w:tr w:rsidR="001279A8" w:rsidRPr="003A6336" w14:paraId="70B5018B" w14:textId="77777777" w:rsidTr="009B4355">
        <w:tc>
          <w:tcPr>
            <w:tcW w:w="4188" w:type="dxa"/>
          </w:tcPr>
          <w:p w14:paraId="7848DE62" w14:textId="77777777" w:rsidR="001279A8" w:rsidRPr="003A6336" w:rsidRDefault="001279A8" w:rsidP="009B4355">
            <w:pPr>
              <w:rPr>
                <w:rFonts w:ascii="Aptos" w:hAnsi="Aptos"/>
              </w:rPr>
            </w:pPr>
            <w:r>
              <w:rPr>
                <w:rFonts w:ascii="Aptos" w:hAnsi="Aptos"/>
              </w:rPr>
              <w:t>Region</w:t>
            </w:r>
          </w:p>
        </w:tc>
        <w:tc>
          <w:tcPr>
            <w:tcW w:w="4673" w:type="dxa"/>
          </w:tcPr>
          <w:p w14:paraId="1E885F19" w14:textId="77777777" w:rsidR="001279A8" w:rsidRPr="003A6336" w:rsidRDefault="001279A8" w:rsidP="009B4355">
            <w:pPr>
              <w:rPr>
                <w:rFonts w:ascii="Aptos" w:hAnsi="Aptos"/>
              </w:rPr>
            </w:pPr>
            <w:r>
              <w:t>Région</w:t>
            </w:r>
          </w:p>
        </w:tc>
      </w:tr>
      <w:tr w:rsidR="001279A8" w:rsidRPr="003A6336" w14:paraId="12229FA8" w14:textId="77777777" w:rsidTr="009B4355">
        <w:tc>
          <w:tcPr>
            <w:tcW w:w="4188" w:type="dxa"/>
          </w:tcPr>
          <w:p w14:paraId="6B092BED" w14:textId="77777777" w:rsidR="001279A8" w:rsidRPr="003A6336" w:rsidRDefault="001279A8" w:rsidP="009B4355">
            <w:pPr>
              <w:rPr>
                <w:rFonts w:ascii="Aptos" w:hAnsi="Aptos"/>
              </w:rPr>
            </w:pPr>
            <w:r>
              <w:rPr>
                <w:rFonts w:ascii="Aptos" w:hAnsi="Aptos"/>
              </w:rPr>
              <w:t>African States</w:t>
            </w:r>
          </w:p>
        </w:tc>
        <w:tc>
          <w:tcPr>
            <w:tcW w:w="4673" w:type="dxa"/>
          </w:tcPr>
          <w:p w14:paraId="59E71BCE" w14:textId="77777777" w:rsidR="001279A8" w:rsidRPr="003A6336" w:rsidRDefault="001279A8" w:rsidP="009B4355">
            <w:pPr>
              <w:rPr>
                <w:rFonts w:ascii="Aptos" w:hAnsi="Aptos"/>
              </w:rPr>
            </w:pPr>
            <w:r>
              <w:t>États d’Afrique</w:t>
            </w:r>
          </w:p>
        </w:tc>
      </w:tr>
      <w:tr w:rsidR="001279A8" w:rsidRPr="003A6336" w14:paraId="39D44ADD" w14:textId="77777777" w:rsidTr="009B4355">
        <w:tc>
          <w:tcPr>
            <w:tcW w:w="4188" w:type="dxa"/>
          </w:tcPr>
          <w:p w14:paraId="5553A022" w14:textId="77777777" w:rsidR="001279A8" w:rsidRPr="003A6336" w:rsidRDefault="001279A8" w:rsidP="009B4355">
            <w:pPr>
              <w:rPr>
                <w:rFonts w:ascii="Aptos" w:hAnsi="Aptos"/>
              </w:rPr>
            </w:pPr>
            <w:r>
              <w:rPr>
                <w:rFonts w:ascii="Aptos" w:hAnsi="Aptos"/>
              </w:rPr>
              <w:t>Asia-Pacific States</w:t>
            </w:r>
          </w:p>
        </w:tc>
        <w:tc>
          <w:tcPr>
            <w:tcW w:w="4673" w:type="dxa"/>
          </w:tcPr>
          <w:p w14:paraId="043329B9" w14:textId="77777777" w:rsidR="001279A8" w:rsidRPr="003A6336" w:rsidRDefault="001279A8" w:rsidP="009B4355">
            <w:pPr>
              <w:rPr>
                <w:rFonts w:ascii="Aptos" w:hAnsi="Aptos"/>
              </w:rPr>
            </w:pPr>
            <w:r>
              <w:t>États d’Asie et du Pacifique</w:t>
            </w:r>
          </w:p>
        </w:tc>
      </w:tr>
      <w:tr w:rsidR="001279A8" w:rsidRPr="003A6336" w14:paraId="32400991" w14:textId="77777777" w:rsidTr="009B4355">
        <w:tc>
          <w:tcPr>
            <w:tcW w:w="4188" w:type="dxa"/>
          </w:tcPr>
          <w:p w14:paraId="2048E404" w14:textId="77777777" w:rsidR="001279A8" w:rsidRPr="003A6336" w:rsidRDefault="001279A8" w:rsidP="009B4355">
            <w:pPr>
              <w:rPr>
                <w:rFonts w:ascii="Aptos" w:hAnsi="Aptos"/>
              </w:rPr>
            </w:pPr>
            <w:r>
              <w:rPr>
                <w:rFonts w:ascii="Aptos" w:hAnsi="Aptos"/>
              </w:rPr>
              <w:t>Latin American and Caribbean States</w:t>
            </w:r>
          </w:p>
        </w:tc>
        <w:tc>
          <w:tcPr>
            <w:tcW w:w="4673" w:type="dxa"/>
          </w:tcPr>
          <w:p w14:paraId="27603E3A" w14:textId="77777777" w:rsidR="001279A8" w:rsidRPr="003A6336" w:rsidRDefault="001279A8" w:rsidP="009B4355">
            <w:pPr>
              <w:rPr>
                <w:rFonts w:ascii="Aptos" w:hAnsi="Aptos"/>
              </w:rPr>
            </w:pPr>
            <w:r>
              <w:t>États d’Amérique latine et des Caraïbes</w:t>
            </w:r>
          </w:p>
        </w:tc>
      </w:tr>
      <w:tr w:rsidR="001279A8" w:rsidRPr="003A6336" w14:paraId="7777E447" w14:textId="77777777" w:rsidTr="009B4355">
        <w:tc>
          <w:tcPr>
            <w:tcW w:w="4188" w:type="dxa"/>
          </w:tcPr>
          <w:p w14:paraId="5DBBD8FD" w14:textId="77777777" w:rsidR="001279A8" w:rsidRPr="003A6336" w:rsidRDefault="001279A8" w:rsidP="009B4355">
            <w:pPr>
              <w:rPr>
                <w:rFonts w:ascii="Aptos" w:hAnsi="Aptos"/>
              </w:rPr>
            </w:pPr>
            <w:r>
              <w:rPr>
                <w:rFonts w:ascii="Aptos" w:hAnsi="Aptos"/>
              </w:rPr>
              <w:t>Eastern European States</w:t>
            </w:r>
          </w:p>
        </w:tc>
        <w:tc>
          <w:tcPr>
            <w:tcW w:w="4673" w:type="dxa"/>
          </w:tcPr>
          <w:p w14:paraId="0A804F89" w14:textId="77777777" w:rsidR="001279A8" w:rsidRPr="003A6336" w:rsidRDefault="001279A8" w:rsidP="009B4355">
            <w:pPr>
              <w:rPr>
                <w:rFonts w:ascii="Aptos" w:hAnsi="Aptos"/>
              </w:rPr>
            </w:pPr>
            <w:r>
              <w:t>États d’Europe orientale</w:t>
            </w:r>
          </w:p>
        </w:tc>
      </w:tr>
      <w:tr w:rsidR="001279A8" w:rsidRPr="003A6336" w14:paraId="78F04FBB" w14:textId="77777777" w:rsidTr="009B4355">
        <w:tc>
          <w:tcPr>
            <w:tcW w:w="4188" w:type="dxa"/>
          </w:tcPr>
          <w:p w14:paraId="4D7D69C2" w14:textId="77777777" w:rsidR="001279A8" w:rsidRPr="003A6336" w:rsidRDefault="001279A8" w:rsidP="009B4355">
            <w:pPr>
              <w:rPr>
                <w:rFonts w:ascii="Aptos" w:hAnsi="Aptos"/>
              </w:rPr>
            </w:pPr>
            <w:r>
              <w:rPr>
                <w:rFonts w:ascii="Aptos" w:hAnsi="Aptos"/>
              </w:rPr>
              <w:t>Western European and other States</w:t>
            </w:r>
          </w:p>
        </w:tc>
        <w:tc>
          <w:tcPr>
            <w:tcW w:w="4673" w:type="dxa"/>
          </w:tcPr>
          <w:p w14:paraId="5F4F1BF4" w14:textId="77777777" w:rsidR="001279A8" w:rsidRPr="003A6336" w:rsidRDefault="001279A8" w:rsidP="009B4355">
            <w:pPr>
              <w:rPr>
                <w:rFonts w:ascii="Aptos" w:hAnsi="Aptos"/>
              </w:rPr>
            </w:pPr>
            <w:r>
              <w:t>États d’Europe occidentale et autres États</w:t>
            </w:r>
          </w:p>
        </w:tc>
      </w:tr>
    </w:tbl>
    <w:p w14:paraId="51475443" w14:textId="77777777" w:rsidR="007A60EC" w:rsidRPr="00653BF4" w:rsidRDefault="007A60EC" w:rsidP="007A60EC">
      <w:pPr>
        <w:pStyle w:val="p1"/>
        <w:rPr>
          <w:rFonts w:ascii="Aptos" w:hAnsi="Aptos"/>
          <w:sz w:val="24"/>
          <w:szCs w:val="24"/>
          <w:lang w:val="fr-FR"/>
        </w:rPr>
      </w:pPr>
    </w:p>
    <w:p w14:paraId="38786B67" w14:textId="77777777" w:rsidR="007A60EC" w:rsidRPr="00653BF4" w:rsidRDefault="007A60EC" w:rsidP="007A60EC">
      <w:pPr>
        <w:pStyle w:val="p1"/>
        <w:rPr>
          <w:rFonts w:asciiTheme="minorHAnsi" w:hAnsiTheme="minorHAnsi"/>
          <w:sz w:val="20"/>
          <w:szCs w:val="20"/>
          <w:lang w:val="fr-FR"/>
        </w:rPr>
      </w:pPr>
      <w:r w:rsidRPr="00653BF4">
        <w:rPr>
          <w:rFonts w:asciiTheme="minorHAnsi" w:hAnsiTheme="minorHAnsi"/>
          <w:sz w:val="20"/>
          <w:szCs w:val="20"/>
          <w:lang w:val="fr-FR"/>
        </w:rPr>
        <w:t xml:space="preserve">Figure </w:t>
      </w:r>
      <w:r w:rsidRPr="00653BF4">
        <w:rPr>
          <w:rFonts w:asciiTheme="minorHAnsi" w:hAnsiTheme="minorHAnsi"/>
          <w:noProof/>
          <w:sz w:val="20"/>
          <w:szCs w:val="20"/>
          <w:lang w:val="fr-FR"/>
        </w:rPr>
        <w:t>99</w:t>
      </w:r>
    </w:p>
    <w:p w14:paraId="7EBD18D1" w14:textId="15775FEE" w:rsidR="007A60EC" w:rsidRPr="00653BF4" w:rsidRDefault="007A60EC" w:rsidP="007A60EC">
      <w:pPr>
        <w:pStyle w:val="Caption"/>
        <w:rPr>
          <w:rStyle w:val="apple-converted-space"/>
          <w:rFonts w:ascii="Aptos" w:hAnsi="Aptos" w:cs="Segoe UI"/>
          <w:i w:val="0"/>
          <w:iCs w:val="0"/>
          <w:lang w:val="fr-FR"/>
        </w:rPr>
      </w:pPr>
      <w:r w:rsidRPr="00653BF4">
        <w:rPr>
          <w:rStyle w:val="normaltextrun"/>
          <w:rFonts w:ascii="Aptos" w:hAnsi="Aptos" w:cs="Segoe UI"/>
          <w:b/>
          <w:bCs/>
          <w:i w:val="0"/>
          <w:iCs w:val="0"/>
          <w:lang w:val="fr-FR"/>
        </w:rPr>
        <w:t>Indicateur phare A.2</w:t>
      </w:r>
      <w:r w:rsidR="00E34DC9">
        <w:rPr>
          <w:rStyle w:val="normaltextrun"/>
          <w:rFonts w:ascii="Aptos" w:hAnsi="Aptos" w:cs="Segoe UI"/>
          <w:b/>
          <w:bCs/>
          <w:i w:val="0"/>
          <w:iCs w:val="0"/>
          <w:lang w:val="fr-FR"/>
        </w:rPr>
        <w:t> :</w:t>
      </w:r>
      <w:r w:rsidRPr="00653BF4">
        <w:rPr>
          <w:rStyle w:val="normaltextrun"/>
          <w:rFonts w:ascii="Aptos" w:hAnsi="Aptos" w:cs="Segoe UI"/>
          <w:b/>
          <w:bCs/>
          <w:i w:val="0"/>
          <w:iCs w:val="0"/>
          <w:lang w:val="fr-FR"/>
        </w:rPr>
        <w:t xml:space="preserve"> étendue des écosystèmes naturels</w:t>
      </w:r>
    </w:p>
    <w:p w14:paraId="15A6AD38" w14:textId="77777777" w:rsidR="007A60EC" w:rsidRPr="00653BF4" w:rsidRDefault="007A60EC" w:rsidP="007A60EC">
      <w:pPr>
        <w:pStyle w:val="Caption"/>
        <w:rPr>
          <w:lang w:val="fr-FR"/>
        </w:rPr>
      </w:pPr>
      <w:bookmarkStart w:id="464" w:name="_Ref230715672"/>
      <w:r w:rsidRPr="00653BF4">
        <w:rPr>
          <w:rFonts w:ascii="Aptos" w:hAnsi="Aptos" w:cs="Segoe UI"/>
          <w:noProof/>
          <w:lang w:val="fr-FR"/>
          <w14:ligatures w14:val="standardContextual"/>
        </w:rPr>
        <w:lastRenderedPageBreak/>
        <w:drawing>
          <wp:inline distT="0" distB="0" distL="0" distR="0" wp14:anchorId="3C592047" wp14:editId="4238219A">
            <wp:extent cx="5731510" cy="3223895"/>
            <wp:effectExtent l="0" t="0" r="0" b="1905"/>
            <wp:docPr id="10603982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398213" name="Picture 1060398213"/>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bookmarkEnd w:id="464"/>
    <w:p w14:paraId="36500B1F" w14:textId="5A2B88DC" w:rsidR="007A60EC" w:rsidRPr="00653BF4" w:rsidRDefault="007A60EC" w:rsidP="007A60EC">
      <w:pPr>
        <w:pStyle w:val="Caption"/>
        <w:rPr>
          <w:rStyle w:val="eop"/>
          <w:rFonts w:ascii="Aptos" w:hAnsi="Aptos" w:cs="Segoe UI"/>
          <w:i w:val="0"/>
          <w:iCs w:val="0"/>
          <w:lang w:val="fr-FR"/>
        </w:rPr>
      </w:pPr>
      <w:r w:rsidRPr="00653BF4">
        <w:rPr>
          <w:rStyle w:val="apple-converted-space"/>
          <w:rFonts w:ascii="Aptos" w:hAnsi="Aptos" w:cs="Segoe UI"/>
          <w:lang w:val="fr-FR"/>
        </w:rPr>
        <w:t>Note</w:t>
      </w:r>
      <w:r w:rsidR="00E34DC9">
        <w:rPr>
          <w:rStyle w:val="apple-converted-space"/>
          <w:rFonts w:ascii="Aptos" w:hAnsi="Aptos" w:cs="Segoe UI"/>
          <w:lang w:val="fr-FR"/>
        </w:rPr>
        <w:t> :</w:t>
      </w:r>
      <w:r w:rsidRPr="00653BF4">
        <w:rPr>
          <w:rStyle w:val="apple-converted-space"/>
          <w:rFonts w:ascii="Aptos" w:hAnsi="Aptos" w:cs="Segoe UI"/>
          <w:i w:val="0"/>
          <w:iCs w:val="0"/>
          <w:lang w:val="fr-FR"/>
        </w:rPr>
        <w:t xml:space="preserve"> </w:t>
      </w:r>
      <w:r w:rsidRPr="00653BF4">
        <w:rPr>
          <w:lang w:val="fr-FR"/>
        </w:rPr>
        <w:t>Toutes les valeurs communiquées sur l’étendue des écosystèmes naturels sont agrégées en un seul point de données, car très peu de Parties ont fourni une série chronologique</w:t>
      </w:r>
      <w:r w:rsidRPr="00653BF4">
        <w:rPr>
          <w:rStyle w:val="normaltextrun"/>
          <w:rFonts w:ascii="Aptos" w:hAnsi="Aptos" w:cs="Segoe UI"/>
          <w:i w:val="0"/>
          <w:iCs w:val="0"/>
          <w:lang w:val="fr-FR"/>
        </w:rPr>
        <w:t>. La moyenne et la fourchette des valeurs d’étendue des écosystèmes naturels sont indiquées pour l’ensemble des Parties ayant soumis des données. La barre représente la répartition régionale des données fournies par les Parties et prises en compte dans la valeur affichée de l’indicateur. La correspondance entre les couleurs et les régions est indiquée dans la légende de la figure</w:t>
      </w:r>
      <w:r w:rsidR="00E34DC9">
        <w:rPr>
          <w:rStyle w:val="normaltextrun"/>
          <w:rFonts w:ascii="Aptos" w:hAnsi="Aptos" w:cs="Segoe UI"/>
          <w:i w:val="0"/>
          <w:iCs w:val="0"/>
          <w:lang w:val="fr-FR"/>
        </w:rPr>
        <w:t> :</w:t>
      </w:r>
      <w:r w:rsidRPr="00653BF4">
        <w:rPr>
          <w:rStyle w:val="normaltextrun"/>
          <w:rFonts w:ascii="Aptos" w:hAnsi="Aptos" w:cs="Segoe UI"/>
          <w:i w:val="0"/>
          <w:iCs w:val="0"/>
          <w:lang w:val="fr-FR"/>
        </w:rPr>
        <w:t xml:space="preserve"> les tons plus foncés représentent, pour chaque région, la proportion de Parties dont les données sont incluses dans la figure, tandis que les tons plus clairs représentent la proportion de Parties de la même région dont les données n’y sont pas incluses. Le diagramme circulaire indique, en gris foncé, la part de la superficie terrestre totale que représentent les Parties ayant soumis des données.</w:t>
      </w:r>
      <w:r w:rsidRPr="00653BF4">
        <w:rPr>
          <w:rStyle w:val="eop"/>
          <w:rFonts w:ascii="Aptos" w:hAnsi="Aptos" w:cs="Segoe UI"/>
          <w:i w:val="0"/>
          <w:iCs w:val="0"/>
          <w:lang w:val="fr-FR"/>
        </w:rPr>
        <w:t> </w:t>
      </w:r>
    </w:p>
    <w:tbl>
      <w:tblPr>
        <w:tblStyle w:val="TableGrid"/>
        <w:tblW w:w="9351" w:type="dxa"/>
        <w:tblLook w:val="04A0" w:firstRow="1" w:lastRow="0" w:firstColumn="1" w:lastColumn="0" w:noHBand="0" w:noVBand="1"/>
      </w:tblPr>
      <w:tblGrid>
        <w:gridCol w:w="3682"/>
        <w:gridCol w:w="5669"/>
      </w:tblGrid>
      <w:tr w:rsidR="001279A8" w:rsidRPr="000341A5" w14:paraId="5D9A621B" w14:textId="77777777" w:rsidTr="009B4355">
        <w:tc>
          <w:tcPr>
            <w:tcW w:w="9351" w:type="dxa"/>
            <w:gridSpan w:val="2"/>
          </w:tcPr>
          <w:p w14:paraId="4A2737F4" w14:textId="77777777" w:rsidR="001279A8" w:rsidRPr="000341A5" w:rsidRDefault="001279A8" w:rsidP="009B4355">
            <w:pPr>
              <w:rPr>
                <w:rFonts w:ascii="Aptos" w:hAnsi="Aptos"/>
              </w:rPr>
            </w:pPr>
            <w:r>
              <w:rPr>
                <w:rFonts w:ascii="Aptos" w:hAnsi="Aptos"/>
              </w:rPr>
              <w:t>Figure 99</w:t>
            </w:r>
          </w:p>
        </w:tc>
      </w:tr>
      <w:tr w:rsidR="001279A8" w:rsidRPr="000341A5" w14:paraId="1D7035E1" w14:textId="77777777" w:rsidTr="009B4355">
        <w:tc>
          <w:tcPr>
            <w:tcW w:w="3682" w:type="dxa"/>
          </w:tcPr>
          <w:p w14:paraId="06B2972E" w14:textId="77777777" w:rsidR="001279A8" w:rsidRPr="000341A5" w:rsidRDefault="001279A8" w:rsidP="009B4355">
            <w:pPr>
              <w:rPr>
                <w:rFonts w:ascii="Aptos" w:hAnsi="Aptos"/>
              </w:rPr>
            </w:pPr>
            <w:r w:rsidRPr="000341A5">
              <w:rPr>
                <w:rFonts w:ascii="Aptos" w:hAnsi="Aptos"/>
              </w:rPr>
              <w:t xml:space="preserve">English </w:t>
            </w:r>
          </w:p>
        </w:tc>
        <w:tc>
          <w:tcPr>
            <w:tcW w:w="5669" w:type="dxa"/>
          </w:tcPr>
          <w:p w14:paraId="0C5E6C5F" w14:textId="77777777" w:rsidR="001279A8" w:rsidRPr="000341A5" w:rsidRDefault="001279A8" w:rsidP="009B4355">
            <w:pPr>
              <w:rPr>
                <w:rFonts w:ascii="Aptos" w:hAnsi="Aptos"/>
              </w:rPr>
            </w:pPr>
            <w:r>
              <w:rPr>
                <w:rFonts w:ascii="Aptos" w:hAnsi="Aptos"/>
              </w:rPr>
              <w:t>Français</w:t>
            </w:r>
          </w:p>
        </w:tc>
      </w:tr>
      <w:tr w:rsidR="001279A8" w:rsidRPr="003A6336" w14:paraId="5C9C1A61" w14:textId="77777777" w:rsidTr="009B4355">
        <w:tc>
          <w:tcPr>
            <w:tcW w:w="3682" w:type="dxa"/>
          </w:tcPr>
          <w:p w14:paraId="74CFC982" w14:textId="77777777" w:rsidR="001279A8" w:rsidRPr="003A6336" w:rsidRDefault="001279A8" w:rsidP="009B4355">
            <w:pPr>
              <w:rPr>
                <w:rFonts w:ascii="Aptos" w:hAnsi="Aptos"/>
              </w:rPr>
            </w:pPr>
            <w:r>
              <w:rPr>
                <w:rFonts w:ascii="Aptos" w:hAnsi="Aptos"/>
              </w:rPr>
              <w:t>Share of Parties’ land area</w:t>
            </w:r>
          </w:p>
        </w:tc>
        <w:tc>
          <w:tcPr>
            <w:tcW w:w="5669" w:type="dxa"/>
          </w:tcPr>
          <w:p w14:paraId="62727916" w14:textId="77777777" w:rsidR="001279A8" w:rsidRPr="003A6336" w:rsidRDefault="001279A8" w:rsidP="009B4355">
            <w:pPr>
              <w:rPr>
                <w:rFonts w:ascii="Aptos" w:hAnsi="Aptos"/>
              </w:rPr>
            </w:pPr>
            <w:r>
              <w:t>Part de la superficie terrestre couverte par les Parties</w:t>
            </w:r>
          </w:p>
        </w:tc>
      </w:tr>
      <w:tr w:rsidR="001279A8" w:rsidRPr="003A6336" w14:paraId="1FF5489F" w14:textId="77777777" w:rsidTr="009B4355">
        <w:tc>
          <w:tcPr>
            <w:tcW w:w="3682" w:type="dxa"/>
          </w:tcPr>
          <w:p w14:paraId="6BACEFD3" w14:textId="77777777" w:rsidR="001279A8" w:rsidRPr="003A6336" w:rsidRDefault="001279A8" w:rsidP="009B4355">
            <w:pPr>
              <w:rPr>
                <w:rFonts w:ascii="Aptos" w:hAnsi="Aptos"/>
              </w:rPr>
            </w:pPr>
            <w:r>
              <w:rPr>
                <w:rFonts w:ascii="Aptos" w:hAnsi="Aptos"/>
              </w:rPr>
              <w:t>Party count: 46</w:t>
            </w:r>
          </w:p>
        </w:tc>
        <w:tc>
          <w:tcPr>
            <w:tcW w:w="5669" w:type="dxa"/>
          </w:tcPr>
          <w:p w14:paraId="647963C4" w14:textId="77777777" w:rsidR="001279A8" w:rsidRPr="003A6336" w:rsidRDefault="001279A8" w:rsidP="009B4355">
            <w:pPr>
              <w:rPr>
                <w:rFonts w:ascii="Aptos" w:hAnsi="Aptos"/>
              </w:rPr>
            </w:pPr>
            <w:r>
              <w:t>Nombre de Parties : 46</w:t>
            </w:r>
          </w:p>
        </w:tc>
      </w:tr>
      <w:tr w:rsidR="001279A8" w:rsidRPr="003A6336" w14:paraId="5A578652" w14:textId="77777777" w:rsidTr="009B4355">
        <w:tc>
          <w:tcPr>
            <w:tcW w:w="3682" w:type="dxa"/>
          </w:tcPr>
          <w:p w14:paraId="1FEFBD40" w14:textId="77777777" w:rsidR="001279A8" w:rsidRPr="003A6336" w:rsidRDefault="001279A8" w:rsidP="009B4355">
            <w:pPr>
              <w:rPr>
                <w:rFonts w:ascii="Aptos" w:hAnsi="Aptos"/>
              </w:rPr>
            </w:pPr>
            <w:r>
              <w:rPr>
                <w:rFonts w:ascii="Aptos" w:hAnsi="Aptos"/>
              </w:rPr>
              <w:t>Party count by region</w:t>
            </w:r>
          </w:p>
        </w:tc>
        <w:tc>
          <w:tcPr>
            <w:tcW w:w="5669" w:type="dxa"/>
          </w:tcPr>
          <w:p w14:paraId="4B3C10A6" w14:textId="77777777" w:rsidR="001279A8" w:rsidRPr="003A6336" w:rsidRDefault="001279A8" w:rsidP="009B4355">
            <w:pPr>
              <w:rPr>
                <w:rFonts w:ascii="Aptos" w:hAnsi="Aptos"/>
              </w:rPr>
            </w:pPr>
            <w:r>
              <w:t>Nombre de Parties par région</w:t>
            </w:r>
          </w:p>
        </w:tc>
      </w:tr>
      <w:tr w:rsidR="001279A8" w:rsidRPr="003A6336" w14:paraId="6E1ADC21" w14:textId="77777777" w:rsidTr="009B4355">
        <w:tc>
          <w:tcPr>
            <w:tcW w:w="3682" w:type="dxa"/>
          </w:tcPr>
          <w:p w14:paraId="6AC8E5B5" w14:textId="77777777" w:rsidR="001279A8" w:rsidRPr="003A6336" w:rsidRDefault="001279A8" w:rsidP="009B4355">
            <w:pPr>
              <w:rPr>
                <w:rFonts w:ascii="Aptos" w:hAnsi="Aptos"/>
              </w:rPr>
            </w:pPr>
            <w:r>
              <w:rPr>
                <w:rFonts w:ascii="Aptos" w:hAnsi="Aptos"/>
              </w:rPr>
              <w:t>Region</w:t>
            </w:r>
          </w:p>
        </w:tc>
        <w:tc>
          <w:tcPr>
            <w:tcW w:w="5669" w:type="dxa"/>
          </w:tcPr>
          <w:p w14:paraId="38213C80" w14:textId="77777777" w:rsidR="001279A8" w:rsidRPr="003A6336" w:rsidRDefault="001279A8" w:rsidP="009B4355">
            <w:pPr>
              <w:rPr>
                <w:rFonts w:ascii="Aptos" w:hAnsi="Aptos"/>
              </w:rPr>
            </w:pPr>
            <w:r>
              <w:t>Région</w:t>
            </w:r>
          </w:p>
        </w:tc>
      </w:tr>
      <w:tr w:rsidR="001279A8" w:rsidRPr="003A6336" w14:paraId="6152AE20" w14:textId="77777777" w:rsidTr="009B4355">
        <w:tc>
          <w:tcPr>
            <w:tcW w:w="3682" w:type="dxa"/>
          </w:tcPr>
          <w:p w14:paraId="177BD1D5" w14:textId="77777777" w:rsidR="001279A8" w:rsidRPr="003A6336" w:rsidRDefault="001279A8" w:rsidP="009B4355">
            <w:pPr>
              <w:rPr>
                <w:rFonts w:ascii="Aptos" w:hAnsi="Aptos"/>
              </w:rPr>
            </w:pPr>
            <w:r>
              <w:rPr>
                <w:rFonts w:ascii="Aptos" w:hAnsi="Aptos"/>
              </w:rPr>
              <w:t>African States</w:t>
            </w:r>
          </w:p>
        </w:tc>
        <w:tc>
          <w:tcPr>
            <w:tcW w:w="5669" w:type="dxa"/>
          </w:tcPr>
          <w:p w14:paraId="042D84F7" w14:textId="77777777" w:rsidR="001279A8" w:rsidRPr="003A6336" w:rsidRDefault="001279A8" w:rsidP="009B4355">
            <w:pPr>
              <w:rPr>
                <w:rFonts w:ascii="Aptos" w:hAnsi="Aptos"/>
              </w:rPr>
            </w:pPr>
            <w:r>
              <w:t>États d’Afrique</w:t>
            </w:r>
          </w:p>
        </w:tc>
      </w:tr>
      <w:tr w:rsidR="001279A8" w:rsidRPr="003A6336" w14:paraId="6BDB338A" w14:textId="77777777" w:rsidTr="009B4355">
        <w:tc>
          <w:tcPr>
            <w:tcW w:w="3682" w:type="dxa"/>
          </w:tcPr>
          <w:p w14:paraId="3BEEFCE2" w14:textId="77777777" w:rsidR="001279A8" w:rsidRPr="003A6336" w:rsidRDefault="001279A8" w:rsidP="009B4355">
            <w:pPr>
              <w:rPr>
                <w:rFonts w:ascii="Aptos" w:hAnsi="Aptos"/>
              </w:rPr>
            </w:pPr>
            <w:r>
              <w:rPr>
                <w:rFonts w:ascii="Aptos" w:hAnsi="Aptos"/>
              </w:rPr>
              <w:t>Asia-Pacific States</w:t>
            </w:r>
          </w:p>
        </w:tc>
        <w:tc>
          <w:tcPr>
            <w:tcW w:w="5669" w:type="dxa"/>
          </w:tcPr>
          <w:p w14:paraId="5A683C39" w14:textId="77777777" w:rsidR="001279A8" w:rsidRPr="003A6336" w:rsidRDefault="001279A8" w:rsidP="009B4355">
            <w:pPr>
              <w:rPr>
                <w:rFonts w:ascii="Aptos" w:hAnsi="Aptos"/>
              </w:rPr>
            </w:pPr>
            <w:r>
              <w:t>États d’Asie et du Pacifique</w:t>
            </w:r>
          </w:p>
        </w:tc>
      </w:tr>
      <w:tr w:rsidR="001279A8" w:rsidRPr="003A6336" w14:paraId="46B8D630" w14:textId="77777777" w:rsidTr="009B4355">
        <w:tc>
          <w:tcPr>
            <w:tcW w:w="3682" w:type="dxa"/>
          </w:tcPr>
          <w:p w14:paraId="5355375B" w14:textId="77777777" w:rsidR="001279A8" w:rsidRPr="003A6336" w:rsidRDefault="001279A8" w:rsidP="009B4355">
            <w:pPr>
              <w:rPr>
                <w:rFonts w:ascii="Aptos" w:hAnsi="Aptos"/>
              </w:rPr>
            </w:pPr>
            <w:r>
              <w:rPr>
                <w:rFonts w:ascii="Aptos" w:hAnsi="Aptos"/>
              </w:rPr>
              <w:t>Latin American and Caribbean States</w:t>
            </w:r>
          </w:p>
        </w:tc>
        <w:tc>
          <w:tcPr>
            <w:tcW w:w="5669" w:type="dxa"/>
          </w:tcPr>
          <w:p w14:paraId="07399293" w14:textId="77777777" w:rsidR="001279A8" w:rsidRPr="003A6336" w:rsidRDefault="001279A8" w:rsidP="009B4355">
            <w:pPr>
              <w:rPr>
                <w:rFonts w:ascii="Aptos" w:hAnsi="Aptos"/>
              </w:rPr>
            </w:pPr>
            <w:r>
              <w:t>États d’Amérique latine et des Caraïbes</w:t>
            </w:r>
          </w:p>
        </w:tc>
      </w:tr>
      <w:tr w:rsidR="001279A8" w:rsidRPr="003A6336" w14:paraId="5CE83AD5" w14:textId="77777777" w:rsidTr="009B4355">
        <w:tc>
          <w:tcPr>
            <w:tcW w:w="3682" w:type="dxa"/>
          </w:tcPr>
          <w:p w14:paraId="3BFDBF89" w14:textId="77777777" w:rsidR="001279A8" w:rsidRPr="003A6336" w:rsidRDefault="001279A8" w:rsidP="009B4355">
            <w:pPr>
              <w:rPr>
                <w:rFonts w:ascii="Aptos" w:hAnsi="Aptos"/>
              </w:rPr>
            </w:pPr>
            <w:r>
              <w:rPr>
                <w:rFonts w:ascii="Aptos" w:hAnsi="Aptos"/>
              </w:rPr>
              <w:t>Eastern European States</w:t>
            </w:r>
          </w:p>
        </w:tc>
        <w:tc>
          <w:tcPr>
            <w:tcW w:w="5669" w:type="dxa"/>
          </w:tcPr>
          <w:p w14:paraId="10A9CB48" w14:textId="77777777" w:rsidR="001279A8" w:rsidRPr="003A6336" w:rsidRDefault="001279A8" w:rsidP="009B4355">
            <w:pPr>
              <w:rPr>
                <w:rFonts w:ascii="Aptos" w:hAnsi="Aptos"/>
              </w:rPr>
            </w:pPr>
            <w:r>
              <w:t>États d’Europe orientale</w:t>
            </w:r>
          </w:p>
        </w:tc>
      </w:tr>
      <w:tr w:rsidR="001279A8" w:rsidRPr="003A6336" w14:paraId="587375E6" w14:textId="77777777" w:rsidTr="009B4355">
        <w:tc>
          <w:tcPr>
            <w:tcW w:w="3682" w:type="dxa"/>
          </w:tcPr>
          <w:p w14:paraId="5425E7A0" w14:textId="77777777" w:rsidR="001279A8" w:rsidRPr="003A6336" w:rsidRDefault="001279A8" w:rsidP="009B4355">
            <w:pPr>
              <w:rPr>
                <w:rFonts w:ascii="Aptos" w:hAnsi="Aptos"/>
              </w:rPr>
            </w:pPr>
            <w:r>
              <w:rPr>
                <w:rFonts w:ascii="Aptos" w:hAnsi="Aptos"/>
              </w:rPr>
              <w:t>Western European and other States</w:t>
            </w:r>
          </w:p>
        </w:tc>
        <w:tc>
          <w:tcPr>
            <w:tcW w:w="5669" w:type="dxa"/>
          </w:tcPr>
          <w:p w14:paraId="4D33D4B1" w14:textId="77777777" w:rsidR="001279A8" w:rsidRPr="003A6336" w:rsidRDefault="001279A8" w:rsidP="009B4355">
            <w:pPr>
              <w:rPr>
                <w:rFonts w:ascii="Aptos" w:hAnsi="Aptos"/>
              </w:rPr>
            </w:pPr>
            <w:r>
              <w:t>États d’Europe occidentale et autres États</w:t>
            </w:r>
          </w:p>
        </w:tc>
      </w:tr>
    </w:tbl>
    <w:p w14:paraId="37C76C91" w14:textId="77777777" w:rsidR="007A60EC" w:rsidRPr="00653BF4" w:rsidRDefault="007A60EC" w:rsidP="007A60EC">
      <w:pPr>
        <w:pStyle w:val="p1"/>
        <w:rPr>
          <w:rFonts w:ascii="Aptos" w:hAnsi="Aptos"/>
          <w:sz w:val="24"/>
          <w:szCs w:val="24"/>
          <w:lang w:val="fr-FR"/>
        </w:rPr>
      </w:pPr>
    </w:p>
    <w:p w14:paraId="789CDB60" w14:textId="1F7C59B7" w:rsidR="007A60EC" w:rsidRPr="00653BF4" w:rsidRDefault="007A60EC" w:rsidP="007A60EC">
      <w:pPr>
        <w:pStyle w:val="Heading5"/>
        <w:rPr>
          <w:lang w:val="fr-FR"/>
        </w:rPr>
      </w:pPr>
      <w:r w:rsidRPr="00653BF4">
        <w:rPr>
          <w:rFonts w:ascii="Aptos" w:hAnsi="Aptos" w:cs="Aptos"/>
          <w:bCs/>
          <w:lang w:val="fr-FR"/>
        </w:rPr>
        <w:lastRenderedPageBreak/>
        <w:t>Résumé des mesures prises pour progresser vers la réalisation de l’</w:t>
      </w:r>
      <w:r w:rsidR="002878D7">
        <w:rPr>
          <w:rFonts w:ascii="Aptos" w:hAnsi="Aptos" w:cs="Aptos"/>
          <w:bCs/>
          <w:lang w:val="fr-FR"/>
        </w:rPr>
        <w:t>objectif A</w:t>
      </w:r>
    </w:p>
    <w:p w14:paraId="3498F6E0" w14:textId="35010B64" w:rsidR="007A60EC" w:rsidRPr="00653BF4" w:rsidRDefault="007A60EC" w:rsidP="007A60EC">
      <w:pPr>
        <w:spacing w:before="240" w:after="240"/>
        <w:rPr>
          <w:lang w:val="fr-FR"/>
        </w:rPr>
      </w:pPr>
      <w:r w:rsidRPr="00653BF4">
        <w:rPr>
          <w:lang w:val="fr-FR"/>
        </w:rPr>
        <w:t>Dans leurs rapports nationaux, les Parties ont mis en avant les actions menées pour progresser vers l’</w:t>
      </w:r>
      <w:r w:rsidR="002878D7">
        <w:rPr>
          <w:lang w:val="fr-FR"/>
        </w:rPr>
        <w:t>objectif A</w:t>
      </w:r>
      <w:r w:rsidRPr="00653BF4">
        <w:rPr>
          <w:lang w:val="fr-FR"/>
        </w:rPr>
        <w:t>, dont bon nombre portent essentiellement sur la mise en œuvre concrète des cibles correspondantes. Ces actions visent en particulier à étendre les zones protégées et autres mesures efficaces de conservation par zone, notamment aux écosystèmes importants et aux sites de grande importance pour la biodiversité</w:t>
      </w:r>
      <w:r w:rsidR="00E34DC9">
        <w:rPr>
          <w:lang w:val="fr-FR"/>
        </w:rPr>
        <w:t> ;</w:t>
      </w:r>
      <w:r w:rsidRPr="00653BF4">
        <w:rPr>
          <w:lang w:val="fr-FR"/>
        </w:rPr>
        <w:t xml:space="preserve"> à intensifier les efforts de restauration</w:t>
      </w:r>
      <w:r w:rsidR="00E34DC9">
        <w:rPr>
          <w:lang w:val="fr-FR"/>
        </w:rPr>
        <w:t> ;</w:t>
      </w:r>
      <w:r w:rsidRPr="00653BF4">
        <w:rPr>
          <w:lang w:val="fr-FR"/>
        </w:rPr>
        <w:t xml:space="preserve"> à mettre un terme à la déforestation</w:t>
      </w:r>
      <w:r w:rsidR="00E34DC9">
        <w:rPr>
          <w:lang w:val="fr-FR"/>
        </w:rPr>
        <w:t> ;</w:t>
      </w:r>
      <w:r w:rsidRPr="00653BF4">
        <w:rPr>
          <w:lang w:val="fr-FR"/>
        </w:rPr>
        <w:t xml:space="preserve"> et à contrôler ou à éradiquer les espèces exotiques envahissantes. Si de telles actions sont déjà en cours dans de nombreux pays, comme il ressort des résumés des cibles concernées à la </w:t>
      </w:r>
      <w:r w:rsidR="002878D7">
        <w:rPr>
          <w:lang w:val="fr-FR"/>
        </w:rPr>
        <w:t>section I</w:t>
      </w:r>
      <w:r w:rsidRPr="00653BF4">
        <w:rPr>
          <w:lang w:val="fr-FR"/>
        </w:rPr>
        <w:t>I.B, elles sont insuffisantes tant par leur ampleur que par leur rythme, et ne tiennent souvent pas compte de l’utilisation durable, de la connectivité, de la conservation fondée sur les droits et à base communautaire, des territoires autochtones et traditionnels, ni du besoin de moyens de mise en œuvre adéquats, en fonction des circonstances nationales. Les Parties ont souligné la nécessité de réformer le cadre législatif et réglementaire, d’améliorer le suivi, de s’attaquer aux facteurs directs de la perte de biodiversité et de disposer de moyens de mise en œuvre. Pour remédier à l’insuffisance des progrès collectifs, il faudra s’attaquer à ses causes profondes, notamment celles qui tiennent à la volonté politique et à l’ambition, à la mise en œuvre, aux moyens de mise en œuvre, à la gouvernance environnementale et à la cohérence des politiques, à la mobilisation de l’ensemble de la société, ainsi qu’aux données et aux connaissances. Compte tenu des cibles associées à l’</w:t>
      </w:r>
      <w:r w:rsidR="002878D7">
        <w:rPr>
          <w:lang w:val="fr-FR"/>
        </w:rPr>
        <w:t>objectif A</w:t>
      </w:r>
      <w:r w:rsidRPr="00653BF4">
        <w:rPr>
          <w:lang w:val="fr-FR"/>
        </w:rPr>
        <w:t xml:space="preserve">, les progrès vers sa réalisation passeront par une action cohérente portant sur la majorité des cibles du Cadre. </w:t>
      </w:r>
    </w:p>
    <w:p w14:paraId="6B43B2BC" w14:textId="77777777" w:rsidR="007A60EC" w:rsidRPr="00653BF4" w:rsidRDefault="007A60EC" w:rsidP="007A60EC">
      <w:pPr>
        <w:spacing w:before="240" w:after="240"/>
        <w:rPr>
          <w:lang w:val="fr-FR"/>
        </w:rPr>
      </w:pPr>
    </w:p>
    <w:p w14:paraId="1F2CBB74" w14:textId="1EA202AD" w:rsidR="007A60EC" w:rsidRPr="00653BF4" w:rsidRDefault="002878D7" w:rsidP="007A60EC">
      <w:pPr>
        <w:pStyle w:val="Heading4"/>
        <w:rPr>
          <w:i w:val="0"/>
          <w:iCs w:val="0"/>
          <w:lang w:val="fr-FR"/>
        </w:rPr>
      </w:pPr>
      <w:bookmarkStart w:id="465" w:name="_Toc235821347"/>
      <w:bookmarkStart w:id="466" w:name="_Toc239069222"/>
      <w:bookmarkStart w:id="467" w:name="_Toc241035081"/>
      <w:bookmarkStart w:id="468" w:name="_Toc242801259"/>
      <w:r>
        <w:rPr>
          <w:b/>
          <w:bCs/>
          <w:i w:val="0"/>
          <w:iCs w:val="0"/>
          <w:lang w:val="fr-FR"/>
        </w:rPr>
        <w:t>Objectif B</w:t>
      </w:r>
      <w:r w:rsidR="007A60EC" w:rsidRPr="00653BF4">
        <w:rPr>
          <w:b/>
          <w:bCs/>
          <w:i w:val="0"/>
          <w:iCs w:val="0"/>
          <w:lang w:val="fr-FR"/>
        </w:rPr>
        <w:t xml:space="preserve">. </w:t>
      </w:r>
      <w:bookmarkEnd w:id="465"/>
      <w:bookmarkEnd w:id="466"/>
      <w:bookmarkEnd w:id="467"/>
      <w:r w:rsidR="007A60EC" w:rsidRPr="00653BF4">
        <w:rPr>
          <w:i w:val="0"/>
          <w:iCs w:val="0"/>
          <w:lang w:val="fr-FR"/>
        </w:rPr>
        <w:t>Prospérer avec la nature</w:t>
      </w:r>
      <w:bookmarkEnd w:id="468"/>
    </w:p>
    <w:p w14:paraId="12200D03" w14:textId="77777777" w:rsidR="007A60EC" w:rsidRPr="00653BF4" w:rsidRDefault="007A60EC" w:rsidP="007A60EC">
      <w:pPr>
        <w:rPr>
          <w:lang w:val="fr-FR"/>
        </w:rPr>
      </w:pPr>
    </w:p>
    <w:p w14:paraId="729FE495" w14:textId="77777777" w:rsidR="007A60EC" w:rsidRPr="00653BF4" w:rsidRDefault="007A60EC" w:rsidP="007A60EC">
      <w:pPr>
        <w:rPr>
          <w:b/>
          <w:bCs/>
          <w:i/>
          <w:iCs/>
          <w:sz w:val="22"/>
          <w:szCs w:val="22"/>
          <w:lang w:val="fr-FR"/>
        </w:rPr>
      </w:pPr>
      <w:r w:rsidRPr="00653BF4">
        <w:rPr>
          <w:b/>
          <w:bCs/>
          <w:sz w:val="22"/>
          <w:szCs w:val="22"/>
          <w:lang w:val="fr-FR"/>
        </w:rPr>
        <w:t>Texte de l’objectif.</w:t>
      </w:r>
      <w:r w:rsidRPr="00653BF4">
        <w:rPr>
          <w:b/>
          <w:bCs/>
          <w:i/>
          <w:iCs/>
          <w:sz w:val="22"/>
          <w:szCs w:val="22"/>
          <w:lang w:val="fr-FR"/>
        </w:rPr>
        <w:t xml:space="preserve"> </w:t>
      </w:r>
      <w:r w:rsidRPr="00653BF4">
        <w:rPr>
          <w:rFonts w:ascii="Aptos" w:hAnsi="Aptos"/>
          <w:i/>
          <w:iCs/>
          <w:color w:val="000000"/>
          <w:spacing w:val="6"/>
          <w:sz w:val="22"/>
          <w:szCs w:val="22"/>
          <w:shd w:val="clear" w:color="auto" w:fill="FFFFFF"/>
          <w:lang w:val="fr-FR"/>
        </w:rPr>
        <w:t>Utiliser et gérer durablement la biodiversité et valoriser, préserver et renforcer les contributions de la nature à l’homme, y compris les fonctions et services écosystémiques, et rétablir ceux qui sont actuellement en déclin, afin de favoriser un développement durable dans l’intérêt des générations actuelles et futures d’ici à 2050.</w:t>
      </w:r>
    </w:p>
    <w:p w14:paraId="7B1126AE" w14:textId="77777777" w:rsidR="007A60EC" w:rsidRPr="00653BF4" w:rsidRDefault="007A60EC" w:rsidP="007A60EC">
      <w:pPr>
        <w:rPr>
          <w:lang w:val="fr-FR"/>
        </w:rPr>
      </w:pPr>
    </w:p>
    <w:p w14:paraId="5C05D978" w14:textId="77777777" w:rsidR="007A60EC" w:rsidRPr="00653BF4" w:rsidRDefault="007A60EC" w:rsidP="007A60EC">
      <w:pPr>
        <w:pStyle w:val="Heading5"/>
        <w:rPr>
          <w:lang w:val="fr-FR"/>
        </w:rPr>
      </w:pPr>
      <w:r w:rsidRPr="00653BF4">
        <w:rPr>
          <w:lang w:val="fr-FR"/>
        </w:rPr>
        <w:t>Aperçu de l’objectif</w:t>
      </w:r>
    </w:p>
    <w:tbl>
      <w:tblPr>
        <w:tblStyle w:val="TableGrid"/>
        <w:tblW w:w="0" w:type="auto"/>
        <w:tblLook w:val="04A0" w:firstRow="1" w:lastRow="0" w:firstColumn="1" w:lastColumn="0" w:noHBand="0" w:noVBand="1"/>
      </w:tblPr>
      <w:tblGrid>
        <w:gridCol w:w="9016"/>
      </w:tblGrid>
      <w:tr w:rsidR="007A60EC" w:rsidRPr="00543148" w14:paraId="35C61F54" w14:textId="77777777" w:rsidTr="00557FB3">
        <w:tc>
          <w:tcPr>
            <w:tcW w:w="9016" w:type="dxa"/>
            <w:shd w:val="clear" w:color="auto" w:fill="D1D1D1" w:themeFill="background2" w:themeFillShade="E6"/>
          </w:tcPr>
          <w:p w14:paraId="6774BEF6" w14:textId="77777777" w:rsidR="007A60EC" w:rsidRPr="00653BF4" w:rsidRDefault="007A60EC" w:rsidP="00557FB3">
            <w:pPr>
              <w:rPr>
                <w:rFonts w:eastAsia="Aptos"/>
                <w:lang w:val="fr-FR"/>
              </w:rPr>
            </w:pPr>
          </w:p>
          <w:p w14:paraId="04CED291" w14:textId="3E9BD264" w:rsidR="007A60EC" w:rsidRPr="00653BF4" w:rsidRDefault="007A60EC" w:rsidP="00557FB3">
            <w:pPr>
              <w:rPr>
                <w:rFonts w:eastAsia="Aptos"/>
                <w:lang w:val="fr-FR"/>
              </w:rPr>
            </w:pPr>
            <w:r w:rsidRPr="00653BF4">
              <w:rPr>
                <w:rFonts w:eastAsia="Aptos"/>
                <w:lang w:val="fr-FR"/>
              </w:rPr>
              <w:t>Sur les 23 cibles du Cadre, les Parties en ont associé 19 à l’</w:t>
            </w:r>
            <w:r w:rsidR="002878D7">
              <w:rPr>
                <w:rFonts w:eastAsia="Aptos"/>
                <w:lang w:val="fr-FR"/>
              </w:rPr>
              <w:t>objectif B</w:t>
            </w:r>
            <w:r w:rsidRPr="00653BF4">
              <w:rPr>
                <w:rFonts w:eastAsia="Aptos"/>
                <w:lang w:val="fr-FR"/>
              </w:rPr>
              <w:t>, soit plus que pour tout autre objectif. Les progrès vers l’</w:t>
            </w:r>
            <w:r w:rsidR="002878D7">
              <w:rPr>
                <w:rFonts w:eastAsia="Aptos"/>
                <w:lang w:val="fr-FR"/>
              </w:rPr>
              <w:t>objectif B</w:t>
            </w:r>
            <w:r w:rsidRPr="00653BF4">
              <w:rPr>
                <w:rFonts w:eastAsia="Aptos"/>
                <w:lang w:val="fr-FR"/>
              </w:rPr>
              <w:t xml:space="preserve"> dépendent donc étroitement d’une action coordonnée touchant la majeure partie du Cadre. Comme indiqué à la </w:t>
            </w:r>
            <w:r w:rsidR="002878D7">
              <w:rPr>
                <w:rFonts w:eastAsia="Aptos"/>
                <w:lang w:val="fr-FR"/>
              </w:rPr>
              <w:lastRenderedPageBreak/>
              <w:t>section I</w:t>
            </w:r>
            <w:r w:rsidRPr="00653BF4">
              <w:rPr>
                <w:rFonts w:eastAsia="Aptos"/>
                <w:lang w:val="fr-FR"/>
              </w:rPr>
              <w:t>I.B, les progrès collectifs sur l’ensemble du Cadre sont mitigés, et une action coordonnée s’impose pour s’attaquer aux facteurs tant directs qu’indirects de modification de la biodiversité et ainsi préserver, renforcer et rétablir les contributions de la nature aux générations actuelles et futures.</w:t>
            </w:r>
          </w:p>
          <w:p w14:paraId="0D70A712" w14:textId="77777777" w:rsidR="007A60EC" w:rsidRPr="00653BF4" w:rsidRDefault="007A60EC" w:rsidP="00557FB3">
            <w:pPr>
              <w:rPr>
                <w:rFonts w:eastAsia="Aptos"/>
                <w:lang w:val="fr-FR"/>
              </w:rPr>
            </w:pPr>
          </w:p>
        </w:tc>
      </w:tr>
    </w:tbl>
    <w:p w14:paraId="0CAC9F6D" w14:textId="77777777" w:rsidR="007A60EC" w:rsidRPr="00653BF4" w:rsidRDefault="007A60EC" w:rsidP="007A60EC">
      <w:pPr>
        <w:rPr>
          <w:b/>
          <w:bCs/>
          <w:i/>
          <w:iCs/>
          <w:sz w:val="22"/>
          <w:szCs w:val="22"/>
          <w:lang w:val="fr-FR"/>
        </w:rPr>
      </w:pPr>
    </w:p>
    <w:p w14:paraId="556CDE21" w14:textId="77777777" w:rsidR="007A60EC" w:rsidRPr="00653BF4" w:rsidRDefault="007A60EC" w:rsidP="007A60EC">
      <w:pPr>
        <w:pStyle w:val="Heading5"/>
        <w:rPr>
          <w:lang w:val="fr-FR"/>
        </w:rPr>
      </w:pPr>
    </w:p>
    <w:p w14:paraId="4C928768" w14:textId="77777777" w:rsidR="007A60EC" w:rsidRPr="00653BF4" w:rsidRDefault="007A60EC" w:rsidP="007A60EC">
      <w:pPr>
        <w:pStyle w:val="Heading5"/>
        <w:rPr>
          <w:lang w:val="fr-FR"/>
        </w:rPr>
      </w:pPr>
      <w:r w:rsidRPr="00653BF4">
        <w:rPr>
          <w:lang w:val="fr-FR"/>
        </w:rPr>
        <w:t>Progrès concernant les cibles associées</w:t>
      </w:r>
    </w:p>
    <w:p w14:paraId="2C617E71" w14:textId="77777777" w:rsidR="007A60EC" w:rsidRPr="00653BF4" w:rsidRDefault="007A60EC" w:rsidP="007A60EC">
      <w:pPr>
        <w:rPr>
          <w:lang w:val="fr-FR"/>
        </w:rPr>
      </w:pPr>
    </w:p>
    <w:p w14:paraId="333C90D7" w14:textId="4F112EF6" w:rsidR="007A60EC" w:rsidRPr="00653BF4" w:rsidRDefault="007A60EC" w:rsidP="007A60EC">
      <w:pPr>
        <w:rPr>
          <w:lang w:val="fr-FR"/>
        </w:rPr>
      </w:pPr>
      <w:r w:rsidRPr="00653BF4">
        <w:rPr>
          <w:lang w:val="fr-FR"/>
        </w:rPr>
        <w:t>Selon la méthode décrite plus haut, 19 cibles du Cadre ont été associées à l’</w:t>
      </w:r>
      <w:r w:rsidR="002878D7">
        <w:rPr>
          <w:lang w:val="fr-FR"/>
        </w:rPr>
        <w:t>objectif B</w:t>
      </w:r>
      <w:r w:rsidRPr="00653BF4">
        <w:rPr>
          <w:lang w:val="fr-FR"/>
        </w:rPr>
        <w:t xml:space="preserve">, soit plus que pour tout autre objectif (voir la figure 100). Quatre des cinq cibles regroupées sous l’intitulé </w:t>
      </w:r>
      <w:r w:rsidR="00E34DC9">
        <w:rPr>
          <w:lang w:val="fr-FR"/>
        </w:rPr>
        <w:t>« </w:t>
      </w:r>
      <w:r w:rsidRPr="00653BF4">
        <w:rPr>
          <w:lang w:val="fr-FR"/>
        </w:rPr>
        <w:t>Satisfaire les besoins des populations grâce à l’utilisation durable et au partage des avantages</w:t>
      </w:r>
      <w:r w:rsidR="00E34DC9">
        <w:rPr>
          <w:lang w:val="fr-FR"/>
        </w:rPr>
        <w:t> »</w:t>
      </w:r>
      <w:r w:rsidRPr="00653BF4">
        <w:rPr>
          <w:lang w:val="fr-FR"/>
        </w:rPr>
        <w:t xml:space="preserve"> (cibles 9 à 12) étaient plus fortement associées à l’</w:t>
      </w:r>
      <w:r w:rsidR="002878D7">
        <w:rPr>
          <w:lang w:val="fr-FR"/>
        </w:rPr>
        <w:t>objectif B</w:t>
      </w:r>
      <w:r w:rsidRPr="00653BF4">
        <w:rPr>
          <w:lang w:val="fr-FR"/>
        </w:rPr>
        <w:t xml:space="preserve"> qu’à tout autre objectif (voir la figure 95). En outre, l’</w:t>
      </w:r>
      <w:r w:rsidR="002878D7">
        <w:rPr>
          <w:lang w:val="fr-FR"/>
        </w:rPr>
        <w:t>objectif B</w:t>
      </w:r>
      <w:r w:rsidRPr="00653BF4">
        <w:rPr>
          <w:lang w:val="fr-FR"/>
        </w:rPr>
        <w:t xml:space="preserve"> était associé à six des huit cibles regroupées sous l’intitulé </w:t>
      </w:r>
      <w:r w:rsidR="00E34DC9">
        <w:rPr>
          <w:lang w:val="fr-FR"/>
        </w:rPr>
        <w:t>« </w:t>
      </w:r>
      <w:r w:rsidRPr="00653BF4">
        <w:rPr>
          <w:lang w:val="fr-FR"/>
        </w:rPr>
        <w:t>Réduire les menaces pour la biodiversité</w:t>
      </w:r>
      <w:r w:rsidR="00E34DC9">
        <w:rPr>
          <w:lang w:val="fr-FR"/>
        </w:rPr>
        <w:t> »</w:t>
      </w:r>
      <w:r w:rsidRPr="00653BF4">
        <w:rPr>
          <w:lang w:val="fr-FR"/>
        </w:rPr>
        <w:t xml:space="preserve"> et à toutes les cibles de la rubrique </w:t>
      </w:r>
      <w:r w:rsidR="00E34DC9">
        <w:rPr>
          <w:lang w:val="fr-FR"/>
        </w:rPr>
        <w:t>« </w:t>
      </w:r>
      <w:r w:rsidRPr="00653BF4">
        <w:rPr>
          <w:lang w:val="fr-FR"/>
        </w:rPr>
        <w:t>Outils et solutions en matière de mise en œuvre et d’intégration</w:t>
      </w:r>
      <w:r w:rsidR="00E34DC9">
        <w:rPr>
          <w:lang w:val="fr-FR"/>
        </w:rPr>
        <w:t> »</w:t>
      </w:r>
      <w:r w:rsidRPr="00653BF4">
        <w:rPr>
          <w:lang w:val="fr-FR"/>
        </w:rPr>
        <w:t xml:space="preserve">, à l’exception de la </w:t>
      </w:r>
      <w:r w:rsidR="00E34DC9">
        <w:rPr>
          <w:lang w:val="fr-FR"/>
        </w:rPr>
        <w:t>cible 1</w:t>
      </w:r>
      <w:r w:rsidRPr="00653BF4">
        <w:rPr>
          <w:lang w:val="fr-FR"/>
        </w:rPr>
        <w:t xml:space="preserve">9. </w:t>
      </w:r>
    </w:p>
    <w:p w14:paraId="358D4F23" w14:textId="6137DD0F" w:rsidR="007A60EC" w:rsidRPr="00653BF4" w:rsidRDefault="007A60EC" w:rsidP="007A60EC">
      <w:pPr>
        <w:rPr>
          <w:color w:val="000000" w:themeColor="text1"/>
          <w:lang w:val="fr-FR"/>
        </w:rPr>
      </w:pPr>
      <w:r w:rsidRPr="00653BF4">
        <w:rPr>
          <w:lang w:val="fr-FR"/>
        </w:rPr>
        <w:t>Pour chacune des 19 cibles associées à l’</w:t>
      </w:r>
      <w:r w:rsidR="002878D7">
        <w:rPr>
          <w:lang w:val="fr-FR"/>
        </w:rPr>
        <w:t>objectif B</w:t>
      </w:r>
      <w:r w:rsidRPr="00653BF4">
        <w:rPr>
          <w:lang w:val="fr-FR"/>
        </w:rPr>
        <w:t xml:space="preserve">, les tendances des indicateurs présentées à la </w:t>
      </w:r>
      <w:r w:rsidR="002878D7">
        <w:rPr>
          <w:lang w:val="fr-FR"/>
        </w:rPr>
        <w:t>section I</w:t>
      </w:r>
      <w:r w:rsidRPr="00653BF4">
        <w:rPr>
          <w:lang w:val="fr-FR"/>
        </w:rPr>
        <w:t>I.B sont résumées sous la forme d’une tendance moyenne (voir la figure 101). Deux des cibles les plus fortement associées à l’</w:t>
      </w:r>
      <w:r w:rsidR="002878D7">
        <w:rPr>
          <w:lang w:val="fr-FR"/>
        </w:rPr>
        <w:t>objectif B</w:t>
      </w:r>
      <w:r w:rsidRPr="00653BF4">
        <w:rPr>
          <w:lang w:val="fr-FR"/>
        </w:rPr>
        <w:t xml:space="preserve"> (</w:t>
      </w:r>
      <w:r w:rsidR="002878D7">
        <w:rPr>
          <w:lang w:val="fr-FR"/>
        </w:rPr>
        <w:t>cibles 1</w:t>
      </w:r>
      <w:r w:rsidRPr="00653BF4">
        <w:rPr>
          <w:lang w:val="fr-FR"/>
        </w:rPr>
        <w:t>1 et 16) comptent nettement plus d’indicateurs montrant des signes d’amélioration que de détérioration. À l’inverse, trois cibles associées à l’</w:t>
      </w:r>
      <w:r w:rsidR="002878D7">
        <w:rPr>
          <w:lang w:val="fr-FR"/>
        </w:rPr>
        <w:t>objectif B</w:t>
      </w:r>
      <w:r w:rsidRPr="00653BF4">
        <w:rPr>
          <w:lang w:val="fr-FR"/>
        </w:rPr>
        <w:t xml:space="preserve"> (</w:t>
      </w:r>
      <w:r w:rsidR="002878D7">
        <w:rPr>
          <w:lang w:val="fr-FR"/>
        </w:rPr>
        <w:t>cibles 1</w:t>
      </w:r>
      <w:r w:rsidRPr="00653BF4">
        <w:rPr>
          <w:lang w:val="fr-FR"/>
        </w:rPr>
        <w:t>7, 22 et 23) comptent plus d’indicateurs montrant des signes de détérioration que d’amélioration. Sur l’ensemble des cibles associées, 31</w:t>
      </w:r>
      <w:r w:rsidR="002878D7">
        <w:rPr>
          <w:lang w:val="fr-FR"/>
        </w:rPr>
        <w:t> %</w:t>
      </w:r>
      <w:r w:rsidRPr="00653BF4">
        <w:rPr>
          <w:lang w:val="fr-FR"/>
        </w:rPr>
        <w:t xml:space="preserve"> des indicateurs sont en amélioration, 53</w:t>
      </w:r>
      <w:r w:rsidR="002878D7">
        <w:rPr>
          <w:lang w:val="fr-FR"/>
        </w:rPr>
        <w:t> %</w:t>
      </w:r>
      <w:r w:rsidRPr="00653BF4">
        <w:rPr>
          <w:lang w:val="fr-FR"/>
        </w:rPr>
        <w:t xml:space="preserve"> sont stables et 16</w:t>
      </w:r>
      <w:r w:rsidR="002878D7">
        <w:rPr>
          <w:lang w:val="fr-FR"/>
        </w:rPr>
        <w:t> %</w:t>
      </w:r>
      <w:r w:rsidRPr="00653BF4">
        <w:rPr>
          <w:lang w:val="fr-FR"/>
        </w:rPr>
        <w:t xml:space="preserve"> s’éloignent de leur cible. Ces premiers résultats semblent indiquer que, dans l’ensemble, les progrès vers l’</w:t>
      </w:r>
      <w:r w:rsidR="002878D7">
        <w:rPr>
          <w:lang w:val="fr-FR"/>
        </w:rPr>
        <w:t>objectif B</w:t>
      </w:r>
      <w:r w:rsidRPr="00653BF4">
        <w:rPr>
          <w:lang w:val="fr-FR"/>
        </w:rPr>
        <w:t xml:space="preserve"> sont mitigés et que la situation évolue peu. Les cibles liées aux facteurs directs et indirects de modification de la biodiversité font apparaître à la fois des progrès et des reculs. Toutefois, la plupart de ces indicateurs n’ont pas été conçus pour suivre les progrès vers l’</w:t>
      </w:r>
      <w:r w:rsidR="002878D7">
        <w:rPr>
          <w:lang w:val="fr-FR"/>
        </w:rPr>
        <w:t>objectif B</w:t>
      </w:r>
      <w:r w:rsidRPr="00653BF4">
        <w:rPr>
          <w:lang w:val="fr-FR"/>
        </w:rPr>
        <w:t xml:space="preserve"> et ne sont pas équivalents du point de vue des échelles, des périodes et des variables qu’ils mesurent, de sorte que cette tendance globale ne devrait être considérée que comme un reflet indicatif, indirect et imparfait de la progression vers l’objectif à l’horizon 2050</w:t>
      </w:r>
      <w:r w:rsidRPr="00653BF4">
        <w:rPr>
          <w:color w:val="000000" w:themeColor="text1"/>
          <w:lang w:val="fr-FR"/>
        </w:rPr>
        <w:t>.</w:t>
      </w:r>
    </w:p>
    <w:p w14:paraId="0921D30D" w14:textId="77777777" w:rsidR="007A60EC" w:rsidRPr="00653BF4" w:rsidRDefault="007A60EC" w:rsidP="007A60EC">
      <w:pPr>
        <w:rPr>
          <w:lang w:val="fr-FR"/>
        </w:rPr>
      </w:pPr>
    </w:p>
    <w:p w14:paraId="71AA4B53" w14:textId="3D291553" w:rsidR="007A60EC" w:rsidRPr="00653BF4" w:rsidRDefault="007A60EC" w:rsidP="007A60EC">
      <w:pPr>
        <w:rPr>
          <w:sz w:val="20"/>
          <w:szCs w:val="20"/>
          <w:lang w:val="fr-FR"/>
        </w:rPr>
      </w:pPr>
      <w:bookmarkStart w:id="469" w:name="_Ref230635998"/>
      <w:r w:rsidRPr="00653BF4">
        <w:rPr>
          <w:sz w:val="20"/>
          <w:szCs w:val="20"/>
          <w:lang w:val="fr-FR"/>
        </w:rPr>
        <w:t xml:space="preserve">Figure </w:t>
      </w:r>
      <w:r w:rsidRPr="00653BF4">
        <w:rPr>
          <w:noProof/>
          <w:sz w:val="20"/>
          <w:szCs w:val="20"/>
          <w:lang w:val="fr-FR"/>
        </w:rPr>
        <w:t>100</w:t>
      </w:r>
      <w:bookmarkEnd w:id="469"/>
    </w:p>
    <w:p w14:paraId="2D18926F" w14:textId="7F22705F" w:rsidR="007A60EC" w:rsidRPr="00653BF4" w:rsidRDefault="007A60EC" w:rsidP="007A60EC">
      <w:pPr>
        <w:pStyle w:val="Caption"/>
        <w:rPr>
          <w:i w:val="0"/>
          <w:iCs w:val="0"/>
          <w:lang w:val="fr-FR"/>
        </w:rPr>
      </w:pPr>
      <w:r w:rsidRPr="00653BF4">
        <w:rPr>
          <w:b/>
          <w:bCs/>
          <w:i w:val="0"/>
          <w:iCs w:val="0"/>
          <w:lang w:val="fr-FR"/>
        </w:rPr>
        <w:t>Cibles du Cadre associées à l’</w:t>
      </w:r>
      <w:r w:rsidR="002878D7">
        <w:rPr>
          <w:b/>
          <w:bCs/>
          <w:i w:val="0"/>
          <w:iCs w:val="0"/>
          <w:lang w:val="fr-FR"/>
        </w:rPr>
        <w:t>objectif B</w:t>
      </w:r>
      <w:r w:rsidRPr="00653BF4">
        <w:rPr>
          <w:b/>
          <w:bCs/>
          <w:i w:val="0"/>
          <w:iCs w:val="0"/>
          <w:lang w:val="fr-FR"/>
        </w:rPr>
        <w:t xml:space="preserve"> dans les cibles nationales soumises par les Parties</w:t>
      </w:r>
      <w:r w:rsidRPr="00653BF4">
        <w:rPr>
          <w:i w:val="0"/>
          <w:iCs w:val="0"/>
          <w:lang w:val="fr-FR"/>
        </w:rPr>
        <w:t xml:space="preserve"> </w:t>
      </w:r>
    </w:p>
    <w:p w14:paraId="4D68A066" w14:textId="77777777" w:rsidR="007A60EC" w:rsidRPr="00653BF4" w:rsidRDefault="007A60EC" w:rsidP="007A60EC">
      <w:pPr>
        <w:rPr>
          <w:lang w:val="fr-FR"/>
        </w:rPr>
      </w:pPr>
      <w:r w:rsidRPr="00653BF4">
        <w:rPr>
          <w:noProof/>
          <w:lang w:val="fr-FR"/>
        </w:rPr>
        <w:lastRenderedPageBreak/>
        <w:drawing>
          <wp:inline distT="0" distB="0" distL="0" distR="0" wp14:anchorId="7E6DFAAA" wp14:editId="786C7A88">
            <wp:extent cx="3921378" cy="5067656"/>
            <wp:effectExtent l="0" t="0" r="3175" b="0"/>
            <wp:docPr id="1109129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29042" name="Picture 1109129042"/>
                    <pic:cNvPicPr/>
                  </pic:nvPicPr>
                  <pic:blipFill rotWithShape="1">
                    <a:blip r:embed="rId235" cstate="print">
                      <a:extLst>
                        <a:ext uri="{28A0092B-C50C-407E-A947-70E740481C1C}">
                          <a14:useLocalDpi xmlns:a14="http://schemas.microsoft.com/office/drawing/2010/main" val="0"/>
                        </a:ext>
                      </a:extLst>
                    </a:blip>
                    <a:srcRect t="15644" b="15435"/>
                    <a:stretch>
                      <a:fillRect/>
                    </a:stretch>
                  </pic:blipFill>
                  <pic:spPr bwMode="auto">
                    <a:xfrm>
                      <a:off x="0" y="0"/>
                      <a:ext cx="3951257" cy="5106270"/>
                    </a:xfrm>
                    <a:prstGeom prst="rect">
                      <a:avLst/>
                    </a:prstGeom>
                    <a:ln>
                      <a:noFill/>
                    </a:ln>
                    <a:extLst>
                      <a:ext uri="{53640926-AAD7-44D8-BBD7-CCE9431645EC}">
                        <a14:shadowObscured xmlns:a14="http://schemas.microsoft.com/office/drawing/2010/main"/>
                      </a:ext>
                    </a:extLst>
                  </pic:spPr>
                </pic:pic>
              </a:graphicData>
            </a:graphic>
          </wp:inline>
        </w:drawing>
      </w:r>
    </w:p>
    <w:p w14:paraId="41DE3C00" w14:textId="2F8A5E17" w:rsidR="007A60EC" w:rsidRPr="00653BF4" w:rsidRDefault="007A60EC" w:rsidP="007A60EC">
      <w:pPr>
        <w:pStyle w:val="Caption"/>
        <w:rPr>
          <w:i w:val="0"/>
          <w:iCs w:val="0"/>
          <w:lang w:val="fr-FR"/>
        </w:rPr>
      </w:pPr>
      <w:r w:rsidRPr="00653BF4">
        <w:rPr>
          <w:lang w:val="fr-FR"/>
        </w:rPr>
        <w:t>Note</w:t>
      </w:r>
      <w:r w:rsidR="00E34DC9">
        <w:rPr>
          <w:lang w:val="fr-FR"/>
        </w:rPr>
        <w:t> :</w:t>
      </w:r>
      <w:r w:rsidRPr="00653BF4">
        <w:rPr>
          <w:i w:val="0"/>
          <w:iCs w:val="0"/>
          <w:lang w:val="fr-FR"/>
        </w:rPr>
        <w:t xml:space="preserve"> Un lien est établi entre une cible et l’objectif si, dans l’un quelconque des groupes régionaux d’États Membres de l’Organisation des Nations Unies, au moins un tiers des cibles nationales fixées par les Parties associent cette cible à l’objectif. Les couleurs servent à mettre en évidence chaque cible conformément à la charte graphique officielle du Cadre et n’ont aucune autre signification.</w:t>
      </w:r>
    </w:p>
    <w:tbl>
      <w:tblPr>
        <w:tblStyle w:val="TableGrid"/>
        <w:tblW w:w="9463" w:type="dxa"/>
        <w:tblLook w:val="04A0" w:firstRow="1" w:lastRow="0" w:firstColumn="1" w:lastColumn="0" w:noHBand="0" w:noVBand="1"/>
      </w:tblPr>
      <w:tblGrid>
        <w:gridCol w:w="4248"/>
        <w:gridCol w:w="5215"/>
      </w:tblGrid>
      <w:tr w:rsidR="001279A8" w:rsidRPr="00381616" w14:paraId="0BD13344" w14:textId="77777777" w:rsidTr="009B4355">
        <w:tc>
          <w:tcPr>
            <w:tcW w:w="9463" w:type="dxa"/>
            <w:gridSpan w:val="2"/>
          </w:tcPr>
          <w:p w14:paraId="31CC75D5" w14:textId="77777777" w:rsidR="001279A8" w:rsidRPr="00381616" w:rsidRDefault="001279A8" w:rsidP="009B4355">
            <w:pPr>
              <w:rPr>
                <w:rFonts w:ascii="Aptos" w:hAnsi="Aptos"/>
              </w:rPr>
            </w:pPr>
            <w:r>
              <w:rPr>
                <w:rFonts w:ascii="Aptos" w:hAnsi="Aptos"/>
              </w:rPr>
              <w:t>Figure 100</w:t>
            </w:r>
          </w:p>
        </w:tc>
      </w:tr>
      <w:tr w:rsidR="001279A8" w:rsidRPr="00381616" w14:paraId="4DDC1765" w14:textId="77777777" w:rsidTr="009B4355">
        <w:tc>
          <w:tcPr>
            <w:tcW w:w="4248" w:type="dxa"/>
          </w:tcPr>
          <w:p w14:paraId="73A864BB" w14:textId="77777777" w:rsidR="001279A8" w:rsidRPr="00381616" w:rsidRDefault="001279A8" w:rsidP="009B4355">
            <w:pPr>
              <w:rPr>
                <w:rFonts w:ascii="Aptos" w:hAnsi="Aptos"/>
              </w:rPr>
            </w:pPr>
            <w:r w:rsidRPr="00381616">
              <w:rPr>
                <w:rFonts w:ascii="Aptos" w:hAnsi="Aptos"/>
              </w:rPr>
              <w:t xml:space="preserve">English </w:t>
            </w:r>
          </w:p>
        </w:tc>
        <w:tc>
          <w:tcPr>
            <w:tcW w:w="5215" w:type="dxa"/>
          </w:tcPr>
          <w:p w14:paraId="1E2D6082" w14:textId="77777777" w:rsidR="001279A8" w:rsidRPr="00381616" w:rsidRDefault="001279A8" w:rsidP="009B4355">
            <w:pPr>
              <w:rPr>
                <w:rFonts w:ascii="Aptos" w:hAnsi="Aptos"/>
              </w:rPr>
            </w:pPr>
            <w:r>
              <w:rPr>
                <w:rFonts w:ascii="Aptos" w:hAnsi="Aptos"/>
              </w:rPr>
              <w:t>Français</w:t>
            </w:r>
          </w:p>
        </w:tc>
      </w:tr>
      <w:tr w:rsidR="001279A8" w:rsidRPr="003A6336" w14:paraId="53E67CA3" w14:textId="77777777" w:rsidTr="009B4355">
        <w:tc>
          <w:tcPr>
            <w:tcW w:w="4248" w:type="dxa"/>
          </w:tcPr>
          <w:p w14:paraId="0F7A5210" w14:textId="77777777" w:rsidR="001279A8" w:rsidRPr="003A6336" w:rsidRDefault="001279A8" w:rsidP="009B4355">
            <w:pPr>
              <w:rPr>
                <w:rFonts w:ascii="Aptos" w:hAnsi="Aptos"/>
              </w:rPr>
            </w:pPr>
            <w:r>
              <w:rPr>
                <w:rFonts w:ascii="Aptos" w:hAnsi="Aptos"/>
              </w:rPr>
              <w:t>Goal B</w:t>
            </w:r>
          </w:p>
        </w:tc>
        <w:tc>
          <w:tcPr>
            <w:tcW w:w="5215" w:type="dxa"/>
          </w:tcPr>
          <w:p w14:paraId="62AAF784" w14:textId="77777777" w:rsidR="001279A8" w:rsidRPr="003A6336" w:rsidRDefault="001279A8" w:rsidP="009B4355">
            <w:pPr>
              <w:rPr>
                <w:rFonts w:ascii="Aptos" w:hAnsi="Aptos"/>
              </w:rPr>
            </w:pPr>
            <w:r>
              <w:t>Objectif B</w:t>
            </w:r>
          </w:p>
        </w:tc>
      </w:tr>
      <w:tr w:rsidR="001279A8" w:rsidRPr="003A6336" w14:paraId="6B2DC9BD" w14:textId="77777777" w:rsidTr="009B4355">
        <w:tc>
          <w:tcPr>
            <w:tcW w:w="4248" w:type="dxa"/>
          </w:tcPr>
          <w:p w14:paraId="4C485274" w14:textId="77777777" w:rsidR="001279A8" w:rsidRPr="003A6336" w:rsidRDefault="001279A8" w:rsidP="009B4355">
            <w:pPr>
              <w:rPr>
                <w:rFonts w:ascii="Aptos" w:hAnsi="Aptos"/>
              </w:rPr>
            </w:pPr>
            <w:r>
              <w:rPr>
                <w:rFonts w:ascii="Aptos" w:hAnsi="Aptos"/>
              </w:rPr>
              <w:t>T1: Plan and manage all areas</w:t>
            </w:r>
          </w:p>
        </w:tc>
        <w:tc>
          <w:tcPr>
            <w:tcW w:w="5215" w:type="dxa"/>
          </w:tcPr>
          <w:p w14:paraId="0D9012CC" w14:textId="77777777" w:rsidR="001279A8" w:rsidRPr="003A6336" w:rsidRDefault="001279A8" w:rsidP="009B4355">
            <w:pPr>
              <w:rPr>
                <w:rFonts w:ascii="Aptos" w:hAnsi="Aptos"/>
              </w:rPr>
            </w:pPr>
            <w:r>
              <w:rPr>
                <w:rFonts w:ascii="Aptos" w:hAnsi="Aptos"/>
              </w:rPr>
              <w:t xml:space="preserve">C1 : </w:t>
            </w:r>
            <w:r>
              <w:t>Planifier et gérer toutes les zones</w:t>
            </w:r>
          </w:p>
        </w:tc>
      </w:tr>
      <w:tr w:rsidR="001279A8" w:rsidRPr="003A6336" w14:paraId="57A109B7" w14:textId="77777777" w:rsidTr="009B4355">
        <w:tc>
          <w:tcPr>
            <w:tcW w:w="4248" w:type="dxa"/>
          </w:tcPr>
          <w:p w14:paraId="56A14940" w14:textId="77777777" w:rsidR="001279A8" w:rsidRPr="003A6336" w:rsidRDefault="001279A8" w:rsidP="009B4355">
            <w:pPr>
              <w:rPr>
                <w:rFonts w:ascii="Aptos" w:hAnsi="Aptos"/>
              </w:rPr>
            </w:pPr>
            <w:r>
              <w:rPr>
                <w:rFonts w:ascii="Aptos" w:hAnsi="Aptos"/>
              </w:rPr>
              <w:t>T2: Restore degraded ecosystems</w:t>
            </w:r>
          </w:p>
        </w:tc>
        <w:tc>
          <w:tcPr>
            <w:tcW w:w="5215" w:type="dxa"/>
          </w:tcPr>
          <w:p w14:paraId="0484042E" w14:textId="77777777" w:rsidR="001279A8" w:rsidRPr="003A6336" w:rsidRDefault="001279A8" w:rsidP="009B4355">
            <w:pPr>
              <w:rPr>
                <w:rFonts w:ascii="Aptos" w:hAnsi="Aptos"/>
              </w:rPr>
            </w:pPr>
            <w:r>
              <w:rPr>
                <w:rFonts w:ascii="Aptos" w:hAnsi="Aptos"/>
              </w:rPr>
              <w:t xml:space="preserve">C2 : </w:t>
            </w:r>
            <w:r>
              <w:t>Remettre en état les écosystèmes dégradés</w:t>
            </w:r>
          </w:p>
        </w:tc>
      </w:tr>
      <w:tr w:rsidR="001279A8" w:rsidRPr="003A6336" w14:paraId="3C91A1D9" w14:textId="77777777" w:rsidTr="009B4355">
        <w:tc>
          <w:tcPr>
            <w:tcW w:w="4248" w:type="dxa"/>
          </w:tcPr>
          <w:p w14:paraId="57FE8360" w14:textId="77777777" w:rsidR="001279A8" w:rsidRPr="003A6336" w:rsidRDefault="001279A8" w:rsidP="009B4355">
            <w:pPr>
              <w:rPr>
                <w:rFonts w:ascii="Aptos" w:hAnsi="Aptos"/>
              </w:rPr>
            </w:pPr>
            <w:r>
              <w:rPr>
                <w:rFonts w:ascii="Aptos" w:hAnsi="Aptos"/>
              </w:rPr>
              <w:t>T5: Sustainable harvest and trade</w:t>
            </w:r>
          </w:p>
        </w:tc>
        <w:tc>
          <w:tcPr>
            <w:tcW w:w="5215" w:type="dxa"/>
          </w:tcPr>
          <w:p w14:paraId="5A02E82B" w14:textId="77777777" w:rsidR="001279A8" w:rsidRPr="003A6336" w:rsidRDefault="001279A8" w:rsidP="009B4355">
            <w:pPr>
              <w:rPr>
                <w:rFonts w:ascii="Aptos" w:hAnsi="Aptos"/>
              </w:rPr>
            </w:pPr>
            <w:r>
              <w:t xml:space="preserve">C5 : Prélèvement et commerce durables </w:t>
            </w:r>
          </w:p>
        </w:tc>
      </w:tr>
      <w:tr w:rsidR="001279A8" w:rsidRPr="003A6336" w14:paraId="4BB773D6" w14:textId="77777777" w:rsidTr="009B4355">
        <w:tc>
          <w:tcPr>
            <w:tcW w:w="4248" w:type="dxa"/>
          </w:tcPr>
          <w:p w14:paraId="39FACEB6" w14:textId="77777777" w:rsidR="001279A8" w:rsidRPr="003A6336" w:rsidRDefault="001279A8" w:rsidP="009B4355">
            <w:pPr>
              <w:rPr>
                <w:rFonts w:ascii="Aptos" w:hAnsi="Aptos"/>
              </w:rPr>
            </w:pPr>
            <w:r>
              <w:rPr>
                <w:rFonts w:ascii="Aptos" w:hAnsi="Aptos"/>
              </w:rPr>
              <w:t>T6: Reduce introduction of IAS</w:t>
            </w:r>
          </w:p>
        </w:tc>
        <w:tc>
          <w:tcPr>
            <w:tcW w:w="5215" w:type="dxa"/>
          </w:tcPr>
          <w:p w14:paraId="65D8DD87" w14:textId="77777777" w:rsidR="001279A8" w:rsidRPr="003A6336" w:rsidRDefault="001279A8" w:rsidP="009B4355">
            <w:pPr>
              <w:rPr>
                <w:rFonts w:ascii="Aptos" w:hAnsi="Aptos"/>
              </w:rPr>
            </w:pPr>
            <w:r>
              <w:rPr>
                <w:rFonts w:ascii="Aptos" w:hAnsi="Aptos"/>
              </w:rPr>
              <w:t xml:space="preserve">C6 : </w:t>
            </w:r>
            <w:r>
              <w:t>Réduire l’introduction des espèces exotiques envahissantes</w:t>
            </w:r>
          </w:p>
        </w:tc>
      </w:tr>
      <w:tr w:rsidR="001279A8" w:rsidRPr="003A6336" w14:paraId="51B86C6D" w14:textId="77777777" w:rsidTr="009B4355">
        <w:tc>
          <w:tcPr>
            <w:tcW w:w="4248" w:type="dxa"/>
          </w:tcPr>
          <w:p w14:paraId="57E3B2E1" w14:textId="77777777" w:rsidR="001279A8" w:rsidRPr="003A6336" w:rsidRDefault="001279A8" w:rsidP="009B4355">
            <w:pPr>
              <w:rPr>
                <w:rFonts w:ascii="Aptos" w:hAnsi="Aptos"/>
              </w:rPr>
            </w:pPr>
            <w:r>
              <w:rPr>
                <w:rFonts w:ascii="Aptos" w:hAnsi="Aptos"/>
              </w:rPr>
              <w:t>T7: Reduce pollution</w:t>
            </w:r>
          </w:p>
        </w:tc>
        <w:tc>
          <w:tcPr>
            <w:tcW w:w="5215" w:type="dxa"/>
          </w:tcPr>
          <w:p w14:paraId="55524F48" w14:textId="77777777" w:rsidR="001279A8" w:rsidRPr="003A6336" w:rsidRDefault="001279A8" w:rsidP="009B4355">
            <w:pPr>
              <w:rPr>
                <w:rFonts w:ascii="Aptos" w:hAnsi="Aptos"/>
              </w:rPr>
            </w:pPr>
            <w:r>
              <w:t>C7 : Réduire la pollution</w:t>
            </w:r>
          </w:p>
        </w:tc>
      </w:tr>
      <w:tr w:rsidR="001279A8" w:rsidRPr="003A6336" w14:paraId="4A2CC092" w14:textId="77777777" w:rsidTr="009B4355">
        <w:tc>
          <w:tcPr>
            <w:tcW w:w="4248" w:type="dxa"/>
          </w:tcPr>
          <w:p w14:paraId="2B246153" w14:textId="77777777" w:rsidR="001279A8" w:rsidRPr="003A6336" w:rsidRDefault="001279A8" w:rsidP="009B4355">
            <w:pPr>
              <w:rPr>
                <w:rFonts w:ascii="Aptos" w:hAnsi="Aptos"/>
              </w:rPr>
            </w:pPr>
            <w:r>
              <w:rPr>
                <w:rFonts w:ascii="Aptos" w:hAnsi="Aptos"/>
              </w:rPr>
              <w:t>T8: Minimize the impacts of climate change</w:t>
            </w:r>
          </w:p>
        </w:tc>
        <w:tc>
          <w:tcPr>
            <w:tcW w:w="5215" w:type="dxa"/>
          </w:tcPr>
          <w:p w14:paraId="2DB66AD2" w14:textId="77777777" w:rsidR="001279A8" w:rsidRPr="003A6336" w:rsidRDefault="001279A8" w:rsidP="009B4355">
            <w:pPr>
              <w:rPr>
                <w:rFonts w:ascii="Aptos" w:hAnsi="Aptos"/>
              </w:rPr>
            </w:pPr>
            <w:r>
              <w:t>C8 : Réduire au minimum les effets des changements climatiques</w:t>
            </w:r>
          </w:p>
        </w:tc>
      </w:tr>
      <w:tr w:rsidR="001279A8" w:rsidRPr="003A6336" w14:paraId="552C6352" w14:textId="77777777" w:rsidTr="009B4355">
        <w:tc>
          <w:tcPr>
            <w:tcW w:w="4248" w:type="dxa"/>
          </w:tcPr>
          <w:p w14:paraId="31E4896A" w14:textId="77777777" w:rsidR="001279A8" w:rsidRPr="003A6336" w:rsidRDefault="001279A8" w:rsidP="009B4355">
            <w:pPr>
              <w:rPr>
                <w:rFonts w:ascii="Aptos" w:hAnsi="Aptos"/>
              </w:rPr>
            </w:pPr>
            <w:r>
              <w:rPr>
                <w:rFonts w:ascii="Aptos" w:hAnsi="Aptos"/>
              </w:rPr>
              <w:t>T9: Manage wild species sustainably</w:t>
            </w:r>
          </w:p>
        </w:tc>
        <w:tc>
          <w:tcPr>
            <w:tcW w:w="5215" w:type="dxa"/>
          </w:tcPr>
          <w:p w14:paraId="27788253" w14:textId="77777777" w:rsidR="001279A8" w:rsidRPr="003A6336" w:rsidRDefault="001279A8" w:rsidP="009B4355">
            <w:pPr>
              <w:rPr>
                <w:rFonts w:ascii="Aptos" w:hAnsi="Aptos"/>
              </w:rPr>
            </w:pPr>
            <w:r>
              <w:t>C9 : Gérer durablement les espèces sauvages</w:t>
            </w:r>
          </w:p>
        </w:tc>
      </w:tr>
      <w:tr w:rsidR="001279A8" w:rsidRPr="003A6336" w14:paraId="5B8BA727" w14:textId="77777777" w:rsidTr="009B4355">
        <w:tc>
          <w:tcPr>
            <w:tcW w:w="4248" w:type="dxa"/>
          </w:tcPr>
          <w:p w14:paraId="22EB3155" w14:textId="77777777" w:rsidR="001279A8" w:rsidRPr="003A6336" w:rsidRDefault="001279A8" w:rsidP="009B4355">
            <w:pPr>
              <w:rPr>
                <w:rFonts w:ascii="Aptos" w:hAnsi="Aptos"/>
              </w:rPr>
            </w:pPr>
            <w:r>
              <w:rPr>
                <w:rFonts w:ascii="Aptos" w:hAnsi="Aptos"/>
              </w:rPr>
              <w:lastRenderedPageBreak/>
              <w:t>T10: Sustainable productive sectors</w:t>
            </w:r>
          </w:p>
        </w:tc>
        <w:tc>
          <w:tcPr>
            <w:tcW w:w="5215" w:type="dxa"/>
          </w:tcPr>
          <w:p w14:paraId="33D05CFA" w14:textId="77777777" w:rsidR="001279A8" w:rsidRPr="003A6336" w:rsidRDefault="001279A8" w:rsidP="009B4355">
            <w:pPr>
              <w:rPr>
                <w:rFonts w:ascii="Aptos" w:hAnsi="Aptos"/>
              </w:rPr>
            </w:pPr>
            <w:r>
              <w:t>C10 : Secteurs productifs durables</w:t>
            </w:r>
          </w:p>
        </w:tc>
      </w:tr>
      <w:tr w:rsidR="001279A8" w:rsidRPr="003A6336" w14:paraId="040908B6" w14:textId="77777777" w:rsidTr="009B4355">
        <w:tc>
          <w:tcPr>
            <w:tcW w:w="4248" w:type="dxa"/>
          </w:tcPr>
          <w:p w14:paraId="17987630" w14:textId="77777777" w:rsidR="001279A8" w:rsidRPr="003A6336" w:rsidRDefault="001279A8" w:rsidP="009B4355">
            <w:pPr>
              <w:rPr>
                <w:rFonts w:ascii="Aptos" w:hAnsi="Aptos"/>
              </w:rPr>
            </w:pPr>
            <w:r>
              <w:rPr>
                <w:rFonts w:ascii="Aptos" w:hAnsi="Aptos"/>
              </w:rPr>
              <w:t>T11: Nature’s contributions to people</w:t>
            </w:r>
          </w:p>
        </w:tc>
        <w:tc>
          <w:tcPr>
            <w:tcW w:w="5215" w:type="dxa"/>
          </w:tcPr>
          <w:p w14:paraId="4EFABBF2" w14:textId="77777777" w:rsidR="001279A8" w:rsidRPr="00640075" w:rsidRDefault="001279A8" w:rsidP="009B4355">
            <w:r>
              <w:t>C11 : Contributions de la nature aux populations</w:t>
            </w:r>
          </w:p>
        </w:tc>
      </w:tr>
      <w:tr w:rsidR="001279A8" w:rsidRPr="003A6336" w14:paraId="594B586B" w14:textId="77777777" w:rsidTr="009B4355">
        <w:tc>
          <w:tcPr>
            <w:tcW w:w="4248" w:type="dxa"/>
          </w:tcPr>
          <w:p w14:paraId="699FE0C4" w14:textId="77777777" w:rsidR="001279A8" w:rsidRPr="003A6336" w:rsidRDefault="001279A8" w:rsidP="009B4355">
            <w:pPr>
              <w:rPr>
                <w:rFonts w:ascii="Aptos" w:hAnsi="Aptos"/>
              </w:rPr>
            </w:pPr>
            <w:r>
              <w:rPr>
                <w:rFonts w:ascii="Aptos" w:hAnsi="Aptos"/>
              </w:rPr>
              <w:t>T12: Enhance green spaces in urban areas</w:t>
            </w:r>
          </w:p>
        </w:tc>
        <w:tc>
          <w:tcPr>
            <w:tcW w:w="5215" w:type="dxa"/>
          </w:tcPr>
          <w:p w14:paraId="357EB750" w14:textId="77777777" w:rsidR="001279A8" w:rsidRPr="003A6336" w:rsidRDefault="001279A8" w:rsidP="009B4355">
            <w:pPr>
              <w:rPr>
                <w:rFonts w:ascii="Aptos" w:hAnsi="Aptos"/>
              </w:rPr>
            </w:pPr>
            <w:r>
              <w:t xml:space="preserve">C12 : Accroître les espaces verts dans les zones urbaines </w:t>
            </w:r>
          </w:p>
        </w:tc>
      </w:tr>
      <w:tr w:rsidR="001279A8" w:rsidRPr="003A6336" w14:paraId="60F68EC0" w14:textId="77777777" w:rsidTr="009B4355">
        <w:tc>
          <w:tcPr>
            <w:tcW w:w="4248" w:type="dxa"/>
          </w:tcPr>
          <w:p w14:paraId="3A8BF157" w14:textId="77777777" w:rsidR="001279A8" w:rsidRPr="003A6336" w:rsidRDefault="001279A8" w:rsidP="009B4355">
            <w:pPr>
              <w:rPr>
                <w:rFonts w:ascii="Aptos" w:hAnsi="Aptos"/>
              </w:rPr>
            </w:pPr>
            <w:r>
              <w:rPr>
                <w:rFonts w:ascii="Aptos" w:hAnsi="Aptos"/>
              </w:rPr>
              <w:t>T14: Mainstream biodiversity</w:t>
            </w:r>
          </w:p>
        </w:tc>
        <w:tc>
          <w:tcPr>
            <w:tcW w:w="5215" w:type="dxa"/>
          </w:tcPr>
          <w:p w14:paraId="25B662BC" w14:textId="77777777" w:rsidR="001279A8" w:rsidRPr="003A6336" w:rsidRDefault="001279A8" w:rsidP="009B4355">
            <w:pPr>
              <w:rPr>
                <w:rFonts w:ascii="Aptos" w:hAnsi="Aptos"/>
              </w:rPr>
            </w:pPr>
            <w:r>
              <w:t xml:space="preserve">C14 : Intégrer la biodiversité </w:t>
            </w:r>
          </w:p>
        </w:tc>
      </w:tr>
      <w:tr w:rsidR="001279A8" w:rsidRPr="003A6336" w14:paraId="0BCA0552" w14:textId="77777777" w:rsidTr="009B4355">
        <w:tc>
          <w:tcPr>
            <w:tcW w:w="4248" w:type="dxa"/>
          </w:tcPr>
          <w:p w14:paraId="6DCF4E63" w14:textId="77777777" w:rsidR="001279A8" w:rsidRPr="003A6336" w:rsidRDefault="001279A8" w:rsidP="009B4355">
            <w:pPr>
              <w:rPr>
                <w:rFonts w:ascii="Aptos" w:hAnsi="Aptos"/>
              </w:rPr>
            </w:pPr>
            <w:r>
              <w:rPr>
                <w:rFonts w:ascii="Aptos" w:hAnsi="Aptos"/>
              </w:rPr>
              <w:t>T15: Businesses assess and disclose</w:t>
            </w:r>
          </w:p>
        </w:tc>
        <w:tc>
          <w:tcPr>
            <w:tcW w:w="5215" w:type="dxa"/>
          </w:tcPr>
          <w:p w14:paraId="44FF28B8" w14:textId="77777777" w:rsidR="001279A8" w:rsidRPr="003A6336" w:rsidRDefault="001279A8" w:rsidP="009B4355">
            <w:pPr>
              <w:rPr>
                <w:rFonts w:ascii="Aptos" w:hAnsi="Aptos"/>
              </w:rPr>
            </w:pPr>
            <w:r>
              <w:rPr>
                <w:rFonts w:ascii="Aptos" w:hAnsi="Aptos"/>
              </w:rPr>
              <w:t xml:space="preserve">C15 : </w:t>
            </w:r>
            <w:r>
              <w:t>Évaluation et communication par les entreprises</w:t>
            </w:r>
          </w:p>
        </w:tc>
      </w:tr>
      <w:tr w:rsidR="001279A8" w:rsidRPr="003A6336" w14:paraId="16823E7D" w14:textId="77777777" w:rsidTr="009B4355">
        <w:tc>
          <w:tcPr>
            <w:tcW w:w="4248" w:type="dxa"/>
          </w:tcPr>
          <w:p w14:paraId="603AD289" w14:textId="77777777" w:rsidR="001279A8" w:rsidRPr="003A6336" w:rsidRDefault="001279A8" w:rsidP="009B4355">
            <w:pPr>
              <w:rPr>
                <w:rFonts w:ascii="Aptos" w:hAnsi="Aptos"/>
              </w:rPr>
            </w:pPr>
            <w:r>
              <w:rPr>
                <w:rFonts w:ascii="Aptos" w:hAnsi="Aptos"/>
              </w:rPr>
              <w:t>T16: Enable sustainable consumption</w:t>
            </w:r>
          </w:p>
        </w:tc>
        <w:tc>
          <w:tcPr>
            <w:tcW w:w="5215" w:type="dxa"/>
          </w:tcPr>
          <w:p w14:paraId="4BABB101" w14:textId="77777777" w:rsidR="001279A8" w:rsidRDefault="001279A8" w:rsidP="009B4355">
            <w:r>
              <w:t>C16 : Favoriser des choix de consommation durables</w:t>
            </w:r>
          </w:p>
          <w:p w14:paraId="14B24809" w14:textId="77777777" w:rsidR="001279A8" w:rsidRPr="003A6336" w:rsidRDefault="001279A8" w:rsidP="009B4355">
            <w:pPr>
              <w:rPr>
                <w:rFonts w:ascii="Aptos" w:hAnsi="Aptos"/>
              </w:rPr>
            </w:pPr>
          </w:p>
        </w:tc>
      </w:tr>
      <w:tr w:rsidR="001279A8" w:rsidRPr="003A6336" w14:paraId="20E7959A" w14:textId="77777777" w:rsidTr="009B4355">
        <w:tc>
          <w:tcPr>
            <w:tcW w:w="4248" w:type="dxa"/>
          </w:tcPr>
          <w:p w14:paraId="1DA40440" w14:textId="77777777" w:rsidR="001279A8" w:rsidRPr="003A6336" w:rsidRDefault="001279A8" w:rsidP="009B4355">
            <w:pPr>
              <w:rPr>
                <w:rFonts w:ascii="Aptos" w:hAnsi="Aptos"/>
              </w:rPr>
            </w:pPr>
            <w:r>
              <w:rPr>
                <w:rFonts w:ascii="Aptos" w:hAnsi="Aptos"/>
              </w:rPr>
              <w:t>T17: Strengthen biosafety</w:t>
            </w:r>
          </w:p>
        </w:tc>
        <w:tc>
          <w:tcPr>
            <w:tcW w:w="5215" w:type="dxa"/>
          </w:tcPr>
          <w:p w14:paraId="3843BFA0" w14:textId="77777777" w:rsidR="001279A8" w:rsidRDefault="001279A8" w:rsidP="009B4355">
            <w:r>
              <w:t>C17 : Renforcer la prévention des risques biotechnologiques</w:t>
            </w:r>
          </w:p>
          <w:p w14:paraId="1A1B35B1" w14:textId="77777777" w:rsidR="001279A8" w:rsidRPr="003A6336" w:rsidRDefault="001279A8" w:rsidP="009B4355">
            <w:pPr>
              <w:rPr>
                <w:rFonts w:ascii="Aptos" w:hAnsi="Aptos"/>
              </w:rPr>
            </w:pPr>
          </w:p>
        </w:tc>
      </w:tr>
      <w:tr w:rsidR="001279A8" w:rsidRPr="003A6336" w14:paraId="755B4226" w14:textId="77777777" w:rsidTr="009B4355">
        <w:tc>
          <w:tcPr>
            <w:tcW w:w="4248" w:type="dxa"/>
          </w:tcPr>
          <w:p w14:paraId="6F6307AA" w14:textId="77777777" w:rsidR="001279A8" w:rsidRPr="003A6336" w:rsidRDefault="001279A8" w:rsidP="009B4355">
            <w:pPr>
              <w:rPr>
                <w:rFonts w:ascii="Aptos" w:hAnsi="Aptos"/>
              </w:rPr>
            </w:pPr>
            <w:r>
              <w:rPr>
                <w:rFonts w:ascii="Aptos" w:hAnsi="Aptos"/>
              </w:rPr>
              <w:t>T18: Reduce harmful incentives</w:t>
            </w:r>
          </w:p>
        </w:tc>
        <w:tc>
          <w:tcPr>
            <w:tcW w:w="5215" w:type="dxa"/>
          </w:tcPr>
          <w:p w14:paraId="4529F2FA" w14:textId="77777777" w:rsidR="001279A8" w:rsidRPr="00F41904" w:rsidRDefault="001279A8" w:rsidP="009B4355">
            <w:r>
              <w:t>C18 : Réduire les incitations préjudiciables</w:t>
            </w:r>
          </w:p>
        </w:tc>
      </w:tr>
      <w:tr w:rsidR="001279A8" w:rsidRPr="003A6336" w14:paraId="196A2681" w14:textId="77777777" w:rsidTr="009B4355">
        <w:tc>
          <w:tcPr>
            <w:tcW w:w="4248" w:type="dxa"/>
          </w:tcPr>
          <w:p w14:paraId="4905AA22" w14:textId="77777777" w:rsidR="001279A8" w:rsidRPr="003A6336" w:rsidRDefault="001279A8" w:rsidP="009B4355">
            <w:pPr>
              <w:rPr>
                <w:rFonts w:ascii="Aptos" w:hAnsi="Aptos"/>
              </w:rPr>
            </w:pPr>
            <w:r>
              <w:rPr>
                <w:rFonts w:ascii="Aptos" w:hAnsi="Aptos"/>
              </w:rPr>
              <w:t>T20: Strengthen capacity-building</w:t>
            </w:r>
          </w:p>
        </w:tc>
        <w:tc>
          <w:tcPr>
            <w:tcW w:w="5215" w:type="dxa"/>
          </w:tcPr>
          <w:p w14:paraId="795CBDC7" w14:textId="77777777" w:rsidR="001279A8" w:rsidRDefault="001279A8" w:rsidP="009B4355">
            <w:r>
              <w:t>C20 : Renforcer la création de capacités</w:t>
            </w:r>
          </w:p>
          <w:p w14:paraId="75E97CEA" w14:textId="77777777" w:rsidR="001279A8" w:rsidRPr="003A6336" w:rsidRDefault="001279A8" w:rsidP="009B4355">
            <w:pPr>
              <w:rPr>
                <w:rFonts w:ascii="Aptos" w:hAnsi="Aptos"/>
              </w:rPr>
            </w:pPr>
          </w:p>
        </w:tc>
      </w:tr>
      <w:tr w:rsidR="001279A8" w:rsidRPr="003A6336" w14:paraId="5ED140B0" w14:textId="77777777" w:rsidTr="009B4355">
        <w:tc>
          <w:tcPr>
            <w:tcW w:w="4248" w:type="dxa"/>
          </w:tcPr>
          <w:p w14:paraId="1853E255" w14:textId="77777777" w:rsidR="001279A8" w:rsidRPr="003A6336" w:rsidRDefault="001279A8" w:rsidP="009B4355">
            <w:pPr>
              <w:rPr>
                <w:rFonts w:ascii="Aptos" w:hAnsi="Aptos"/>
              </w:rPr>
            </w:pPr>
            <w:r>
              <w:rPr>
                <w:rFonts w:ascii="Aptos" w:hAnsi="Aptos"/>
              </w:rPr>
              <w:t>T21: Knowledge is available</w:t>
            </w:r>
          </w:p>
        </w:tc>
        <w:tc>
          <w:tcPr>
            <w:tcW w:w="5215" w:type="dxa"/>
          </w:tcPr>
          <w:p w14:paraId="651E8495" w14:textId="77777777" w:rsidR="001279A8" w:rsidRPr="00F41904" w:rsidRDefault="001279A8" w:rsidP="009B4355">
            <w:r>
              <w:t>C21 : Connaissances disponibles</w:t>
            </w:r>
          </w:p>
        </w:tc>
      </w:tr>
      <w:tr w:rsidR="001279A8" w:rsidRPr="003A6336" w14:paraId="7A6D1893" w14:textId="77777777" w:rsidTr="009B4355">
        <w:tc>
          <w:tcPr>
            <w:tcW w:w="4248" w:type="dxa"/>
          </w:tcPr>
          <w:p w14:paraId="1CAB83BF" w14:textId="77777777" w:rsidR="001279A8" w:rsidRPr="003A6336" w:rsidRDefault="001279A8" w:rsidP="009B4355">
            <w:pPr>
              <w:rPr>
                <w:rFonts w:ascii="Aptos" w:hAnsi="Aptos"/>
              </w:rPr>
            </w:pPr>
            <w:r>
              <w:rPr>
                <w:rFonts w:ascii="Aptos" w:hAnsi="Aptos"/>
              </w:rPr>
              <w:t>T22: Ensure participation for all</w:t>
            </w:r>
          </w:p>
        </w:tc>
        <w:tc>
          <w:tcPr>
            <w:tcW w:w="5215" w:type="dxa"/>
          </w:tcPr>
          <w:p w14:paraId="7AE9E7C3" w14:textId="77777777" w:rsidR="001279A8" w:rsidRPr="00F41904" w:rsidRDefault="001279A8" w:rsidP="009B4355">
            <w:r>
              <w:t>C22 : Assurer la participation de tous</w:t>
            </w:r>
          </w:p>
        </w:tc>
      </w:tr>
      <w:tr w:rsidR="001279A8" w:rsidRPr="003A6336" w14:paraId="1B7C4C72" w14:textId="77777777" w:rsidTr="009B4355">
        <w:tc>
          <w:tcPr>
            <w:tcW w:w="4248" w:type="dxa"/>
          </w:tcPr>
          <w:p w14:paraId="4654BF9B" w14:textId="77777777" w:rsidR="001279A8" w:rsidRPr="003A6336" w:rsidRDefault="001279A8" w:rsidP="009B4355">
            <w:pPr>
              <w:rPr>
                <w:rFonts w:ascii="Aptos" w:hAnsi="Aptos"/>
              </w:rPr>
            </w:pPr>
            <w:r>
              <w:rPr>
                <w:rFonts w:ascii="Aptos" w:hAnsi="Aptos"/>
              </w:rPr>
              <w:t>T23: Ensure gender equality</w:t>
            </w:r>
          </w:p>
        </w:tc>
        <w:tc>
          <w:tcPr>
            <w:tcW w:w="5215" w:type="dxa"/>
          </w:tcPr>
          <w:p w14:paraId="3C476F0E" w14:textId="77777777" w:rsidR="001279A8" w:rsidRPr="00381616" w:rsidRDefault="001279A8" w:rsidP="009B4355">
            <w:pPr>
              <w:pStyle w:val="NormalWeb"/>
              <w:rPr>
                <w:rFonts w:asciiTheme="minorHAnsi" w:eastAsiaTheme="minorHAnsi" w:hAnsiTheme="minorHAnsi" w:cstheme="minorBidi"/>
                <w:kern w:val="2"/>
                <w:lang w:val="en-GB"/>
                <w14:ligatures w14:val="standardContextual"/>
              </w:rPr>
            </w:pPr>
            <w:r w:rsidRPr="00381616">
              <w:rPr>
                <w:rFonts w:asciiTheme="minorHAnsi" w:eastAsiaTheme="minorHAnsi" w:hAnsiTheme="minorHAnsi" w:cstheme="minorBidi"/>
                <w:kern w:val="2"/>
                <w:lang w:val="en-GB"/>
                <w14:ligatures w14:val="standardContextual"/>
              </w:rPr>
              <w:t>C23 : Assurer l’égalité des genres</w:t>
            </w:r>
          </w:p>
        </w:tc>
      </w:tr>
    </w:tbl>
    <w:p w14:paraId="05B0A8C4" w14:textId="77777777" w:rsidR="007A60EC" w:rsidRPr="00653BF4" w:rsidRDefault="007A60EC" w:rsidP="007A60EC">
      <w:pPr>
        <w:rPr>
          <w:lang w:val="fr-FR" w:eastAsia="ja-JP"/>
        </w:rPr>
      </w:pPr>
    </w:p>
    <w:p w14:paraId="654715BB" w14:textId="77777777" w:rsidR="007A60EC" w:rsidRPr="00653BF4" w:rsidRDefault="007A60EC" w:rsidP="007A60EC">
      <w:pPr>
        <w:rPr>
          <w:sz w:val="20"/>
          <w:szCs w:val="20"/>
          <w:lang w:val="fr-FR"/>
        </w:rPr>
      </w:pPr>
      <w:r w:rsidRPr="00653BF4">
        <w:rPr>
          <w:sz w:val="20"/>
          <w:szCs w:val="20"/>
          <w:lang w:val="fr-FR"/>
        </w:rPr>
        <w:t xml:space="preserve">Figure </w:t>
      </w:r>
      <w:r w:rsidRPr="00653BF4">
        <w:rPr>
          <w:noProof/>
          <w:sz w:val="20"/>
          <w:szCs w:val="20"/>
          <w:lang w:val="fr-FR"/>
        </w:rPr>
        <w:t>101</w:t>
      </w:r>
    </w:p>
    <w:p w14:paraId="73199F6A" w14:textId="4F55874A" w:rsidR="007A60EC" w:rsidRDefault="007A60EC" w:rsidP="007A60EC">
      <w:pPr>
        <w:pStyle w:val="Caption"/>
        <w:rPr>
          <w:rFonts w:ascii="Aptos" w:hAnsi="Aptos"/>
          <w:b/>
          <w:bCs/>
          <w:i w:val="0"/>
          <w:iCs w:val="0"/>
          <w:lang w:val="fr-FR"/>
        </w:rPr>
      </w:pPr>
      <w:r w:rsidRPr="00653BF4">
        <w:rPr>
          <w:rFonts w:ascii="Aptos" w:hAnsi="Aptos"/>
          <w:b/>
          <w:bCs/>
          <w:i w:val="0"/>
          <w:iCs w:val="0"/>
          <w:lang w:val="fr-FR"/>
        </w:rPr>
        <w:t>Pourcentage de l’ensemble des indicateurs quantitatifs (indicateurs phares, de composante, complémentaires et nationaux combinés) alignés sur chaque cible associée à l’</w:t>
      </w:r>
      <w:r w:rsidR="002878D7">
        <w:rPr>
          <w:rFonts w:ascii="Aptos" w:hAnsi="Aptos"/>
          <w:b/>
          <w:bCs/>
          <w:i w:val="0"/>
          <w:iCs w:val="0"/>
          <w:lang w:val="fr-FR"/>
        </w:rPr>
        <w:t>objectif B</w:t>
      </w:r>
      <w:r w:rsidRPr="00653BF4">
        <w:rPr>
          <w:rFonts w:ascii="Aptos" w:hAnsi="Aptos"/>
          <w:b/>
          <w:bCs/>
          <w:i w:val="0"/>
          <w:iCs w:val="0"/>
          <w:lang w:val="fr-FR"/>
        </w:rPr>
        <w:t>, selon qu’ils indiquent une tendance positive, stable ou négative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6"/>
        <w:gridCol w:w="4224"/>
      </w:tblGrid>
      <w:tr w:rsidR="00A41485" w14:paraId="284A8E79" w14:textId="77777777" w:rsidTr="00A41485">
        <w:tc>
          <w:tcPr>
            <w:tcW w:w="4675" w:type="dxa"/>
          </w:tcPr>
          <w:p w14:paraId="79129CE3" w14:textId="76964080" w:rsidR="00A41485" w:rsidRDefault="00A41485" w:rsidP="00A41485">
            <w:pPr>
              <w:rPr>
                <w:lang w:val="fr-FR" w:eastAsia="ja-JP"/>
              </w:rPr>
            </w:pPr>
            <w:r w:rsidRPr="00653BF4">
              <w:rPr>
                <w:noProof/>
                <w:lang w:val="fr-FR"/>
              </w:rPr>
              <w:lastRenderedPageBreak/>
              <w:drawing>
                <wp:inline distT="0" distB="0" distL="0" distR="0" wp14:anchorId="7D355EBD" wp14:editId="03807CC3">
                  <wp:extent cx="3122091" cy="4063117"/>
                  <wp:effectExtent l="0" t="0" r="2540" b="1270"/>
                  <wp:docPr id="75791276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12762" name="Picture 757912762"/>
                          <pic:cNvPicPr/>
                        </pic:nvPicPr>
                        <pic:blipFill rotWithShape="1">
                          <a:blip r:embed="rId236" cstate="print">
                            <a:extLst>
                              <a:ext uri="{28A0092B-C50C-407E-A947-70E740481C1C}">
                                <a14:useLocalDpi xmlns:a14="http://schemas.microsoft.com/office/drawing/2010/main" val="0"/>
                              </a:ext>
                            </a:extLst>
                          </a:blip>
                          <a:srcRect t="4060"/>
                          <a:stretch>
                            <a:fillRect/>
                          </a:stretch>
                        </pic:blipFill>
                        <pic:spPr bwMode="auto">
                          <a:xfrm>
                            <a:off x="0" y="0"/>
                            <a:ext cx="3151769" cy="4101740"/>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tbl>
            <w:tblPr>
              <w:tblStyle w:val="TableGrid"/>
              <w:tblW w:w="3332" w:type="dxa"/>
              <w:tblLook w:val="04A0" w:firstRow="1" w:lastRow="0" w:firstColumn="1" w:lastColumn="0" w:noHBand="0" w:noVBand="1"/>
            </w:tblPr>
            <w:tblGrid>
              <w:gridCol w:w="1678"/>
              <w:gridCol w:w="1654"/>
            </w:tblGrid>
            <w:tr w:rsidR="00A41485" w:rsidRPr="001279A8" w14:paraId="60109632" w14:textId="77777777" w:rsidTr="004027E8">
              <w:tc>
                <w:tcPr>
                  <w:tcW w:w="3332" w:type="dxa"/>
                  <w:gridSpan w:val="2"/>
                </w:tcPr>
                <w:p w14:paraId="25DE668B" w14:textId="77777777" w:rsidR="00A41485" w:rsidRPr="001279A8" w:rsidRDefault="00A41485" w:rsidP="00A41485">
                  <w:pPr>
                    <w:rPr>
                      <w:rFonts w:ascii="Aptos" w:hAnsi="Aptos"/>
                      <w:sz w:val="22"/>
                      <w:szCs w:val="22"/>
                    </w:rPr>
                  </w:pPr>
                  <w:r w:rsidRPr="001279A8">
                    <w:rPr>
                      <w:rFonts w:ascii="Aptos" w:hAnsi="Aptos"/>
                      <w:sz w:val="22"/>
                      <w:szCs w:val="22"/>
                    </w:rPr>
                    <w:t>Figure 101</w:t>
                  </w:r>
                </w:p>
              </w:tc>
            </w:tr>
            <w:tr w:rsidR="00A41485" w:rsidRPr="001279A8" w14:paraId="7DCAA211" w14:textId="77777777" w:rsidTr="004027E8">
              <w:tc>
                <w:tcPr>
                  <w:tcW w:w="1678" w:type="dxa"/>
                </w:tcPr>
                <w:p w14:paraId="775EE2BD" w14:textId="77777777" w:rsidR="00A41485" w:rsidRPr="001279A8" w:rsidRDefault="00A41485" w:rsidP="00A41485">
                  <w:pPr>
                    <w:rPr>
                      <w:rFonts w:ascii="Aptos" w:hAnsi="Aptos"/>
                      <w:sz w:val="22"/>
                      <w:szCs w:val="22"/>
                    </w:rPr>
                  </w:pPr>
                  <w:r w:rsidRPr="001279A8">
                    <w:rPr>
                      <w:rFonts w:ascii="Aptos" w:hAnsi="Aptos"/>
                      <w:sz w:val="22"/>
                      <w:szCs w:val="22"/>
                    </w:rPr>
                    <w:t xml:space="preserve">English </w:t>
                  </w:r>
                </w:p>
              </w:tc>
              <w:tc>
                <w:tcPr>
                  <w:tcW w:w="1654" w:type="dxa"/>
                </w:tcPr>
                <w:p w14:paraId="0E2D600E" w14:textId="6671AC09" w:rsidR="00A41485" w:rsidRPr="001279A8" w:rsidRDefault="00AD36A0" w:rsidP="00A41485">
                  <w:pPr>
                    <w:rPr>
                      <w:rFonts w:ascii="Aptos" w:hAnsi="Aptos"/>
                      <w:sz w:val="22"/>
                      <w:szCs w:val="22"/>
                    </w:rPr>
                  </w:pPr>
                  <w:r w:rsidRPr="001279A8">
                    <w:rPr>
                      <w:rFonts w:ascii="Aptos" w:hAnsi="Aptos"/>
                      <w:sz w:val="22"/>
                      <w:szCs w:val="22"/>
                    </w:rPr>
                    <w:t>Français</w:t>
                  </w:r>
                </w:p>
              </w:tc>
            </w:tr>
            <w:tr w:rsidR="00A41485" w:rsidRPr="001279A8" w14:paraId="4EECFDC4" w14:textId="77777777" w:rsidTr="004027E8">
              <w:tc>
                <w:tcPr>
                  <w:tcW w:w="1678" w:type="dxa"/>
                </w:tcPr>
                <w:p w14:paraId="61B87417" w14:textId="77777777" w:rsidR="00A41485" w:rsidRPr="001279A8" w:rsidRDefault="00A41485" w:rsidP="00A41485">
                  <w:pPr>
                    <w:rPr>
                      <w:rFonts w:ascii="Aptos" w:hAnsi="Aptos"/>
                      <w:sz w:val="22"/>
                      <w:szCs w:val="22"/>
                    </w:rPr>
                  </w:pPr>
                  <w:r w:rsidRPr="001279A8">
                    <w:rPr>
                      <w:rFonts w:ascii="Aptos" w:hAnsi="Aptos"/>
                      <w:sz w:val="22"/>
                      <w:szCs w:val="22"/>
                    </w:rPr>
                    <w:t>Target</w:t>
                  </w:r>
                </w:p>
              </w:tc>
              <w:tc>
                <w:tcPr>
                  <w:tcW w:w="1654" w:type="dxa"/>
                </w:tcPr>
                <w:p w14:paraId="7C4A7164" w14:textId="77777777" w:rsidR="00A41485" w:rsidRPr="001279A8" w:rsidRDefault="00A41485" w:rsidP="00A41485">
                  <w:pPr>
                    <w:rPr>
                      <w:rFonts w:ascii="Aptos" w:hAnsi="Aptos"/>
                      <w:sz w:val="22"/>
                      <w:szCs w:val="22"/>
                    </w:rPr>
                  </w:pPr>
                  <w:r w:rsidRPr="001279A8">
                    <w:rPr>
                      <w:sz w:val="22"/>
                      <w:szCs w:val="22"/>
                    </w:rPr>
                    <w:t>Cible</w:t>
                  </w:r>
                </w:p>
              </w:tc>
            </w:tr>
            <w:tr w:rsidR="00A41485" w:rsidRPr="001279A8" w14:paraId="22184F5B" w14:textId="77777777" w:rsidTr="004027E8">
              <w:tc>
                <w:tcPr>
                  <w:tcW w:w="1678" w:type="dxa"/>
                </w:tcPr>
                <w:p w14:paraId="74D02C87" w14:textId="77777777" w:rsidR="00A41485" w:rsidRPr="001279A8" w:rsidRDefault="00A41485" w:rsidP="00A41485">
                  <w:pPr>
                    <w:rPr>
                      <w:rFonts w:ascii="Aptos" w:hAnsi="Aptos"/>
                      <w:sz w:val="22"/>
                      <w:szCs w:val="22"/>
                    </w:rPr>
                  </w:pPr>
                  <w:r w:rsidRPr="001279A8">
                    <w:rPr>
                      <w:rFonts w:ascii="Aptos" w:hAnsi="Aptos"/>
                      <w:sz w:val="22"/>
                      <w:szCs w:val="22"/>
                    </w:rPr>
                    <w:t>Percentage</w:t>
                  </w:r>
                </w:p>
              </w:tc>
              <w:tc>
                <w:tcPr>
                  <w:tcW w:w="1654" w:type="dxa"/>
                </w:tcPr>
                <w:p w14:paraId="71493F8F" w14:textId="77777777" w:rsidR="00A41485" w:rsidRPr="001279A8" w:rsidRDefault="00A41485" w:rsidP="00A41485">
                  <w:pPr>
                    <w:rPr>
                      <w:rFonts w:ascii="Aptos" w:hAnsi="Aptos"/>
                      <w:sz w:val="22"/>
                      <w:szCs w:val="22"/>
                    </w:rPr>
                  </w:pPr>
                  <w:r w:rsidRPr="001279A8">
                    <w:rPr>
                      <w:sz w:val="22"/>
                      <w:szCs w:val="22"/>
                    </w:rPr>
                    <w:t>Pourcentage</w:t>
                  </w:r>
                </w:p>
              </w:tc>
            </w:tr>
            <w:tr w:rsidR="00A41485" w:rsidRPr="001279A8" w14:paraId="56512E63" w14:textId="77777777" w:rsidTr="004027E8">
              <w:tc>
                <w:tcPr>
                  <w:tcW w:w="1678" w:type="dxa"/>
                </w:tcPr>
                <w:p w14:paraId="19A91A05" w14:textId="77777777" w:rsidR="00A41485" w:rsidRPr="001279A8" w:rsidRDefault="00A41485" w:rsidP="00A41485">
                  <w:pPr>
                    <w:rPr>
                      <w:rFonts w:ascii="Aptos" w:hAnsi="Aptos"/>
                      <w:sz w:val="22"/>
                      <w:szCs w:val="22"/>
                    </w:rPr>
                  </w:pPr>
                  <w:r w:rsidRPr="001279A8">
                    <w:rPr>
                      <w:rFonts w:ascii="Aptos" w:hAnsi="Aptos"/>
                      <w:sz w:val="22"/>
                      <w:szCs w:val="22"/>
                    </w:rPr>
                    <w:t>Trend</w:t>
                  </w:r>
                </w:p>
              </w:tc>
              <w:tc>
                <w:tcPr>
                  <w:tcW w:w="1654" w:type="dxa"/>
                </w:tcPr>
                <w:p w14:paraId="075801FE" w14:textId="77777777" w:rsidR="00A41485" w:rsidRPr="001279A8" w:rsidRDefault="00A41485" w:rsidP="00A41485">
                  <w:pPr>
                    <w:rPr>
                      <w:rFonts w:ascii="Aptos" w:hAnsi="Aptos"/>
                      <w:sz w:val="22"/>
                      <w:szCs w:val="22"/>
                    </w:rPr>
                  </w:pPr>
                  <w:r w:rsidRPr="001279A8">
                    <w:rPr>
                      <w:sz w:val="22"/>
                      <w:szCs w:val="22"/>
                    </w:rPr>
                    <w:t>Tendance</w:t>
                  </w:r>
                </w:p>
              </w:tc>
            </w:tr>
            <w:tr w:rsidR="00A41485" w:rsidRPr="001279A8" w14:paraId="3DD9E441" w14:textId="77777777" w:rsidTr="004027E8">
              <w:tc>
                <w:tcPr>
                  <w:tcW w:w="1678" w:type="dxa"/>
                </w:tcPr>
                <w:p w14:paraId="036D5FE3" w14:textId="77777777" w:rsidR="00A41485" w:rsidRPr="001279A8" w:rsidRDefault="00A41485" w:rsidP="00A41485">
                  <w:pPr>
                    <w:rPr>
                      <w:rFonts w:ascii="Aptos" w:hAnsi="Aptos"/>
                      <w:sz w:val="22"/>
                      <w:szCs w:val="22"/>
                    </w:rPr>
                  </w:pPr>
                  <w:r w:rsidRPr="001279A8">
                    <w:rPr>
                      <w:rFonts w:ascii="Aptos" w:hAnsi="Aptos"/>
                      <w:sz w:val="22"/>
                      <w:szCs w:val="22"/>
                    </w:rPr>
                    <w:t>improving</w:t>
                  </w:r>
                </w:p>
              </w:tc>
              <w:tc>
                <w:tcPr>
                  <w:tcW w:w="1654" w:type="dxa"/>
                </w:tcPr>
                <w:p w14:paraId="16044BBA" w14:textId="77777777" w:rsidR="00A41485" w:rsidRPr="001279A8" w:rsidRDefault="00A41485" w:rsidP="00A41485">
                  <w:pPr>
                    <w:rPr>
                      <w:rFonts w:ascii="Aptos" w:hAnsi="Aptos"/>
                      <w:sz w:val="22"/>
                      <w:szCs w:val="22"/>
                    </w:rPr>
                  </w:pPr>
                  <w:r w:rsidRPr="001279A8">
                    <w:rPr>
                      <w:sz w:val="22"/>
                      <w:szCs w:val="22"/>
                    </w:rPr>
                    <w:t>amélioration</w:t>
                  </w:r>
                </w:p>
              </w:tc>
            </w:tr>
            <w:tr w:rsidR="00A41485" w:rsidRPr="001279A8" w14:paraId="08DBD71C" w14:textId="77777777" w:rsidTr="004027E8">
              <w:tc>
                <w:tcPr>
                  <w:tcW w:w="1678" w:type="dxa"/>
                </w:tcPr>
                <w:p w14:paraId="6B16689A" w14:textId="77777777" w:rsidR="00A41485" w:rsidRPr="001279A8" w:rsidRDefault="00A41485" w:rsidP="00A41485">
                  <w:pPr>
                    <w:rPr>
                      <w:rFonts w:ascii="Aptos" w:hAnsi="Aptos"/>
                      <w:sz w:val="22"/>
                      <w:szCs w:val="22"/>
                    </w:rPr>
                  </w:pPr>
                  <w:r w:rsidRPr="001279A8">
                    <w:rPr>
                      <w:rFonts w:ascii="Aptos" w:hAnsi="Aptos"/>
                      <w:sz w:val="22"/>
                      <w:szCs w:val="22"/>
                    </w:rPr>
                    <w:t>stable</w:t>
                  </w:r>
                </w:p>
              </w:tc>
              <w:tc>
                <w:tcPr>
                  <w:tcW w:w="1654" w:type="dxa"/>
                </w:tcPr>
                <w:p w14:paraId="55B7D7BA" w14:textId="77777777" w:rsidR="00A41485" w:rsidRPr="001279A8" w:rsidRDefault="00A41485" w:rsidP="00A41485">
                  <w:pPr>
                    <w:rPr>
                      <w:rFonts w:ascii="Aptos" w:hAnsi="Aptos"/>
                      <w:sz w:val="22"/>
                      <w:szCs w:val="22"/>
                    </w:rPr>
                  </w:pPr>
                  <w:r w:rsidRPr="001279A8">
                    <w:rPr>
                      <w:sz w:val="22"/>
                      <w:szCs w:val="22"/>
                    </w:rPr>
                    <w:t>stabilité</w:t>
                  </w:r>
                </w:p>
              </w:tc>
            </w:tr>
            <w:tr w:rsidR="00A41485" w:rsidRPr="001279A8" w14:paraId="35B0B107" w14:textId="77777777" w:rsidTr="004027E8">
              <w:tc>
                <w:tcPr>
                  <w:tcW w:w="1678" w:type="dxa"/>
                </w:tcPr>
                <w:p w14:paraId="74D80D28" w14:textId="77777777" w:rsidR="00A41485" w:rsidRPr="001279A8" w:rsidRDefault="00A41485" w:rsidP="00A41485">
                  <w:pPr>
                    <w:rPr>
                      <w:rFonts w:ascii="Aptos" w:hAnsi="Aptos"/>
                      <w:sz w:val="22"/>
                      <w:szCs w:val="22"/>
                    </w:rPr>
                  </w:pPr>
                  <w:r w:rsidRPr="001279A8">
                    <w:rPr>
                      <w:rFonts w:ascii="Aptos" w:hAnsi="Aptos"/>
                      <w:sz w:val="22"/>
                      <w:szCs w:val="22"/>
                    </w:rPr>
                    <w:t>moving away</w:t>
                  </w:r>
                </w:p>
              </w:tc>
              <w:tc>
                <w:tcPr>
                  <w:tcW w:w="1654" w:type="dxa"/>
                </w:tcPr>
                <w:p w14:paraId="1F7DBC62" w14:textId="77777777" w:rsidR="00A41485" w:rsidRPr="001279A8" w:rsidRDefault="00A41485" w:rsidP="00A41485">
                  <w:pPr>
                    <w:rPr>
                      <w:rFonts w:ascii="Aptos" w:hAnsi="Aptos"/>
                      <w:sz w:val="22"/>
                      <w:szCs w:val="22"/>
                    </w:rPr>
                  </w:pPr>
                  <w:r w:rsidRPr="001279A8">
                    <w:rPr>
                      <w:sz w:val="22"/>
                      <w:szCs w:val="22"/>
                    </w:rPr>
                    <w:t>éloignement</w:t>
                  </w:r>
                </w:p>
              </w:tc>
            </w:tr>
            <w:tr w:rsidR="00A41485" w:rsidRPr="001279A8" w14:paraId="7EA46C42" w14:textId="77777777" w:rsidTr="004027E8">
              <w:tc>
                <w:tcPr>
                  <w:tcW w:w="1678" w:type="dxa"/>
                </w:tcPr>
                <w:p w14:paraId="56842093" w14:textId="77777777" w:rsidR="00A41485" w:rsidRPr="001279A8" w:rsidRDefault="00A41485" w:rsidP="00A41485">
                  <w:pPr>
                    <w:rPr>
                      <w:rFonts w:ascii="Aptos" w:hAnsi="Aptos"/>
                      <w:sz w:val="22"/>
                      <w:szCs w:val="22"/>
                    </w:rPr>
                  </w:pPr>
                  <w:r w:rsidRPr="001279A8">
                    <w:rPr>
                      <w:rFonts w:ascii="Aptos" w:hAnsi="Aptos"/>
                      <w:sz w:val="22"/>
                      <w:szCs w:val="22"/>
                    </w:rPr>
                    <w:t>GBF-T01</w:t>
                  </w:r>
                </w:p>
              </w:tc>
              <w:tc>
                <w:tcPr>
                  <w:tcW w:w="1654" w:type="dxa"/>
                </w:tcPr>
                <w:p w14:paraId="25E288BC" w14:textId="77777777" w:rsidR="00A41485" w:rsidRPr="001279A8" w:rsidRDefault="00A41485" w:rsidP="00A41485">
                  <w:pPr>
                    <w:rPr>
                      <w:rFonts w:ascii="Aptos" w:hAnsi="Aptos"/>
                      <w:sz w:val="22"/>
                      <w:szCs w:val="22"/>
                    </w:rPr>
                  </w:pPr>
                  <w:r w:rsidRPr="001279A8">
                    <w:rPr>
                      <w:rFonts w:ascii="Aptos" w:hAnsi="Aptos"/>
                      <w:sz w:val="22"/>
                      <w:szCs w:val="22"/>
                    </w:rPr>
                    <w:t>CMB-C01</w:t>
                  </w:r>
                </w:p>
              </w:tc>
            </w:tr>
            <w:tr w:rsidR="00A41485" w:rsidRPr="001279A8" w14:paraId="5DD6C515" w14:textId="77777777" w:rsidTr="004027E8">
              <w:tc>
                <w:tcPr>
                  <w:tcW w:w="1678" w:type="dxa"/>
                </w:tcPr>
                <w:p w14:paraId="04DA29A0" w14:textId="77777777" w:rsidR="00A41485" w:rsidRPr="001279A8" w:rsidRDefault="00A41485" w:rsidP="00A41485">
                  <w:pPr>
                    <w:rPr>
                      <w:rFonts w:ascii="Aptos" w:hAnsi="Aptos"/>
                      <w:sz w:val="22"/>
                      <w:szCs w:val="22"/>
                    </w:rPr>
                  </w:pPr>
                  <w:r w:rsidRPr="001279A8">
                    <w:rPr>
                      <w:rFonts w:ascii="Aptos" w:hAnsi="Aptos"/>
                      <w:sz w:val="22"/>
                      <w:szCs w:val="22"/>
                    </w:rPr>
                    <w:t>GBF-T02</w:t>
                  </w:r>
                </w:p>
              </w:tc>
              <w:tc>
                <w:tcPr>
                  <w:tcW w:w="1654" w:type="dxa"/>
                </w:tcPr>
                <w:p w14:paraId="407B862A" w14:textId="77777777" w:rsidR="00A41485" w:rsidRPr="001279A8" w:rsidRDefault="00A41485" w:rsidP="00A41485">
                  <w:pPr>
                    <w:rPr>
                      <w:rFonts w:ascii="Aptos" w:hAnsi="Aptos"/>
                      <w:sz w:val="22"/>
                      <w:szCs w:val="22"/>
                    </w:rPr>
                  </w:pPr>
                  <w:r w:rsidRPr="001279A8">
                    <w:rPr>
                      <w:rFonts w:ascii="Aptos" w:hAnsi="Aptos"/>
                      <w:sz w:val="22"/>
                      <w:szCs w:val="22"/>
                    </w:rPr>
                    <w:t>CMB-C02</w:t>
                  </w:r>
                </w:p>
              </w:tc>
            </w:tr>
            <w:tr w:rsidR="00A41485" w:rsidRPr="001279A8" w14:paraId="41274D2C" w14:textId="77777777" w:rsidTr="004027E8">
              <w:tc>
                <w:tcPr>
                  <w:tcW w:w="1678" w:type="dxa"/>
                </w:tcPr>
                <w:p w14:paraId="1353AFF1" w14:textId="77777777" w:rsidR="00A41485" w:rsidRPr="001279A8" w:rsidRDefault="00A41485" w:rsidP="00A41485">
                  <w:pPr>
                    <w:rPr>
                      <w:rFonts w:ascii="Aptos" w:hAnsi="Aptos"/>
                      <w:sz w:val="22"/>
                      <w:szCs w:val="22"/>
                    </w:rPr>
                  </w:pPr>
                  <w:r w:rsidRPr="001279A8">
                    <w:rPr>
                      <w:rFonts w:ascii="Aptos" w:hAnsi="Aptos"/>
                      <w:sz w:val="22"/>
                      <w:szCs w:val="22"/>
                    </w:rPr>
                    <w:t>GBF-T05</w:t>
                  </w:r>
                </w:p>
              </w:tc>
              <w:tc>
                <w:tcPr>
                  <w:tcW w:w="1654" w:type="dxa"/>
                </w:tcPr>
                <w:p w14:paraId="0C9166F4" w14:textId="77777777" w:rsidR="00A41485" w:rsidRPr="001279A8" w:rsidRDefault="00A41485" w:rsidP="00A41485">
                  <w:pPr>
                    <w:rPr>
                      <w:rFonts w:ascii="Aptos" w:hAnsi="Aptos"/>
                      <w:sz w:val="22"/>
                      <w:szCs w:val="22"/>
                    </w:rPr>
                  </w:pPr>
                  <w:r w:rsidRPr="001279A8">
                    <w:rPr>
                      <w:rFonts w:ascii="Aptos" w:hAnsi="Aptos"/>
                      <w:sz w:val="22"/>
                      <w:szCs w:val="22"/>
                    </w:rPr>
                    <w:t>CMB-C05</w:t>
                  </w:r>
                </w:p>
              </w:tc>
            </w:tr>
            <w:tr w:rsidR="00A41485" w:rsidRPr="001279A8" w14:paraId="112698CF" w14:textId="77777777" w:rsidTr="004027E8">
              <w:tc>
                <w:tcPr>
                  <w:tcW w:w="1678" w:type="dxa"/>
                </w:tcPr>
                <w:p w14:paraId="1BC8631C" w14:textId="77777777" w:rsidR="00A41485" w:rsidRPr="001279A8" w:rsidRDefault="00A41485" w:rsidP="00A41485">
                  <w:pPr>
                    <w:rPr>
                      <w:rFonts w:ascii="Aptos" w:hAnsi="Aptos"/>
                      <w:sz w:val="22"/>
                      <w:szCs w:val="22"/>
                    </w:rPr>
                  </w:pPr>
                  <w:r w:rsidRPr="001279A8">
                    <w:rPr>
                      <w:rFonts w:ascii="Aptos" w:hAnsi="Aptos"/>
                      <w:sz w:val="22"/>
                      <w:szCs w:val="22"/>
                    </w:rPr>
                    <w:t>GBF-T06</w:t>
                  </w:r>
                </w:p>
              </w:tc>
              <w:tc>
                <w:tcPr>
                  <w:tcW w:w="1654" w:type="dxa"/>
                </w:tcPr>
                <w:p w14:paraId="718EDFA4" w14:textId="77777777" w:rsidR="00A41485" w:rsidRPr="001279A8" w:rsidRDefault="00A41485" w:rsidP="00A41485">
                  <w:pPr>
                    <w:rPr>
                      <w:rFonts w:ascii="Aptos" w:hAnsi="Aptos"/>
                      <w:sz w:val="22"/>
                      <w:szCs w:val="22"/>
                    </w:rPr>
                  </w:pPr>
                  <w:r w:rsidRPr="001279A8">
                    <w:rPr>
                      <w:rFonts w:ascii="Aptos" w:hAnsi="Aptos"/>
                      <w:sz w:val="22"/>
                      <w:szCs w:val="22"/>
                    </w:rPr>
                    <w:t>CMB-C06</w:t>
                  </w:r>
                </w:p>
              </w:tc>
            </w:tr>
            <w:tr w:rsidR="00A41485" w:rsidRPr="001279A8" w14:paraId="2E2BB6C4" w14:textId="77777777" w:rsidTr="004027E8">
              <w:tc>
                <w:tcPr>
                  <w:tcW w:w="1678" w:type="dxa"/>
                </w:tcPr>
                <w:p w14:paraId="10C0E4FD" w14:textId="77777777" w:rsidR="00A41485" w:rsidRPr="001279A8" w:rsidRDefault="00A41485" w:rsidP="00A41485">
                  <w:pPr>
                    <w:rPr>
                      <w:rFonts w:ascii="Aptos" w:hAnsi="Aptos"/>
                      <w:sz w:val="22"/>
                      <w:szCs w:val="22"/>
                    </w:rPr>
                  </w:pPr>
                  <w:r w:rsidRPr="001279A8">
                    <w:rPr>
                      <w:rFonts w:ascii="Aptos" w:hAnsi="Aptos"/>
                      <w:sz w:val="22"/>
                      <w:szCs w:val="22"/>
                    </w:rPr>
                    <w:t>GBF-T07</w:t>
                  </w:r>
                </w:p>
              </w:tc>
              <w:tc>
                <w:tcPr>
                  <w:tcW w:w="1654" w:type="dxa"/>
                </w:tcPr>
                <w:p w14:paraId="531D82B2" w14:textId="77777777" w:rsidR="00A41485" w:rsidRPr="001279A8" w:rsidRDefault="00A41485" w:rsidP="00A41485">
                  <w:pPr>
                    <w:rPr>
                      <w:rFonts w:ascii="Aptos" w:hAnsi="Aptos"/>
                      <w:sz w:val="22"/>
                      <w:szCs w:val="22"/>
                    </w:rPr>
                  </w:pPr>
                  <w:r w:rsidRPr="001279A8">
                    <w:rPr>
                      <w:rFonts w:ascii="Aptos" w:hAnsi="Aptos"/>
                      <w:sz w:val="22"/>
                      <w:szCs w:val="22"/>
                    </w:rPr>
                    <w:t>CMB-C07</w:t>
                  </w:r>
                </w:p>
              </w:tc>
            </w:tr>
            <w:tr w:rsidR="00A41485" w:rsidRPr="001279A8" w14:paraId="74FF0BC2" w14:textId="77777777" w:rsidTr="004027E8">
              <w:tc>
                <w:tcPr>
                  <w:tcW w:w="1678" w:type="dxa"/>
                </w:tcPr>
                <w:p w14:paraId="5E0F3759" w14:textId="77777777" w:rsidR="00A41485" w:rsidRPr="001279A8" w:rsidRDefault="00A41485" w:rsidP="00A41485">
                  <w:pPr>
                    <w:rPr>
                      <w:rFonts w:ascii="Aptos" w:hAnsi="Aptos"/>
                      <w:sz w:val="22"/>
                      <w:szCs w:val="22"/>
                    </w:rPr>
                  </w:pPr>
                  <w:r w:rsidRPr="001279A8">
                    <w:rPr>
                      <w:rFonts w:ascii="Aptos" w:hAnsi="Aptos"/>
                      <w:sz w:val="22"/>
                      <w:szCs w:val="22"/>
                    </w:rPr>
                    <w:t>GBF-T08</w:t>
                  </w:r>
                </w:p>
              </w:tc>
              <w:tc>
                <w:tcPr>
                  <w:tcW w:w="1654" w:type="dxa"/>
                </w:tcPr>
                <w:p w14:paraId="08CB2960" w14:textId="77777777" w:rsidR="00A41485" w:rsidRPr="001279A8" w:rsidRDefault="00A41485" w:rsidP="00A41485">
                  <w:pPr>
                    <w:rPr>
                      <w:rFonts w:ascii="Aptos" w:hAnsi="Aptos"/>
                      <w:sz w:val="22"/>
                      <w:szCs w:val="22"/>
                    </w:rPr>
                  </w:pPr>
                  <w:r w:rsidRPr="001279A8">
                    <w:rPr>
                      <w:rFonts w:ascii="Aptos" w:hAnsi="Aptos"/>
                      <w:sz w:val="22"/>
                      <w:szCs w:val="22"/>
                    </w:rPr>
                    <w:t>CMB-C08</w:t>
                  </w:r>
                </w:p>
              </w:tc>
            </w:tr>
            <w:tr w:rsidR="00A41485" w:rsidRPr="001279A8" w14:paraId="08FFF0B7" w14:textId="77777777" w:rsidTr="004027E8">
              <w:tc>
                <w:tcPr>
                  <w:tcW w:w="1678" w:type="dxa"/>
                </w:tcPr>
                <w:p w14:paraId="7773010B" w14:textId="77777777" w:rsidR="00A41485" w:rsidRPr="001279A8" w:rsidRDefault="00A41485" w:rsidP="00A41485">
                  <w:pPr>
                    <w:rPr>
                      <w:rFonts w:ascii="Aptos" w:hAnsi="Aptos"/>
                      <w:sz w:val="22"/>
                      <w:szCs w:val="22"/>
                    </w:rPr>
                  </w:pPr>
                  <w:r w:rsidRPr="001279A8">
                    <w:rPr>
                      <w:rFonts w:ascii="Aptos" w:hAnsi="Aptos"/>
                      <w:sz w:val="22"/>
                      <w:szCs w:val="22"/>
                    </w:rPr>
                    <w:t>GBF-T09</w:t>
                  </w:r>
                </w:p>
              </w:tc>
              <w:tc>
                <w:tcPr>
                  <w:tcW w:w="1654" w:type="dxa"/>
                </w:tcPr>
                <w:p w14:paraId="11FBEEAC" w14:textId="77777777" w:rsidR="00A41485" w:rsidRPr="001279A8" w:rsidRDefault="00A41485" w:rsidP="00A41485">
                  <w:pPr>
                    <w:rPr>
                      <w:rFonts w:ascii="Aptos" w:hAnsi="Aptos"/>
                      <w:sz w:val="22"/>
                      <w:szCs w:val="22"/>
                    </w:rPr>
                  </w:pPr>
                  <w:r w:rsidRPr="001279A8">
                    <w:rPr>
                      <w:rFonts w:ascii="Aptos" w:hAnsi="Aptos"/>
                      <w:sz w:val="22"/>
                      <w:szCs w:val="22"/>
                    </w:rPr>
                    <w:t>CMB-C09</w:t>
                  </w:r>
                </w:p>
              </w:tc>
            </w:tr>
            <w:tr w:rsidR="00A41485" w:rsidRPr="001279A8" w14:paraId="67623D6E" w14:textId="77777777" w:rsidTr="004027E8">
              <w:tc>
                <w:tcPr>
                  <w:tcW w:w="1678" w:type="dxa"/>
                </w:tcPr>
                <w:p w14:paraId="5DC240BF" w14:textId="77777777" w:rsidR="00A41485" w:rsidRPr="001279A8" w:rsidRDefault="00A41485" w:rsidP="00A41485">
                  <w:pPr>
                    <w:rPr>
                      <w:rFonts w:ascii="Aptos" w:hAnsi="Aptos"/>
                      <w:sz w:val="22"/>
                      <w:szCs w:val="22"/>
                    </w:rPr>
                  </w:pPr>
                  <w:r w:rsidRPr="001279A8">
                    <w:rPr>
                      <w:rFonts w:ascii="Aptos" w:hAnsi="Aptos"/>
                      <w:sz w:val="22"/>
                      <w:szCs w:val="22"/>
                    </w:rPr>
                    <w:t>GBF-T10</w:t>
                  </w:r>
                </w:p>
              </w:tc>
              <w:tc>
                <w:tcPr>
                  <w:tcW w:w="1654" w:type="dxa"/>
                </w:tcPr>
                <w:p w14:paraId="003AB5EF" w14:textId="77777777" w:rsidR="00A41485" w:rsidRPr="001279A8" w:rsidRDefault="00A41485" w:rsidP="00A41485">
                  <w:pPr>
                    <w:rPr>
                      <w:rFonts w:ascii="Aptos" w:hAnsi="Aptos"/>
                      <w:sz w:val="22"/>
                      <w:szCs w:val="22"/>
                    </w:rPr>
                  </w:pPr>
                  <w:r w:rsidRPr="001279A8">
                    <w:rPr>
                      <w:rFonts w:ascii="Aptos" w:hAnsi="Aptos"/>
                      <w:sz w:val="22"/>
                      <w:szCs w:val="22"/>
                    </w:rPr>
                    <w:t>CMB-C10</w:t>
                  </w:r>
                </w:p>
              </w:tc>
            </w:tr>
            <w:tr w:rsidR="00A41485" w:rsidRPr="001279A8" w14:paraId="038EBFFD" w14:textId="77777777" w:rsidTr="004027E8">
              <w:tc>
                <w:tcPr>
                  <w:tcW w:w="1678" w:type="dxa"/>
                </w:tcPr>
                <w:p w14:paraId="3EDB9A3A" w14:textId="77777777" w:rsidR="00A41485" w:rsidRPr="001279A8" w:rsidRDefault="00A41485" w:rsidP="00A41485">
                  <w:pPr>
                    <w:rPr>
                      <w:rFonts w:ascii="Aptos" w:hAnsi="Aptos"/>
                      <w:sz w:val="22"/>
                      <w:szCs w:val="22"/>
                    </w:rPr>
                  </w:pPr>
                  <w:r w:rsidRPr="001279A8">
                    <w:rPr>
                      <w:rFonts w:ascii="Aptos" w:hAnsi="Aptos"/>
                      <w:sz w:val="22"/>
                      <w:szCs w:val="22"/>
                    </w:rPr>
                    <w:t>GBF-T11</w:t>
                  </w:r>
                </w:p>
              </w:tc>
              <w:tc>
                <w:tcPr>
                  <w:tcW w:w="1654" w:type="dxa"/>
                </w:tcPr>
                <w:p w14:paraId="09B86F33" w14:textId="77777777" w:rsidR="00A41485" w:rsidRPr="001279A8" w:rsidRDefault="00A41485" w:rsidP="00A41485">
                  <w:pPr>
                    <w:rPr>
                      <w:rFonts w:ascii="Aptos" w:hAnsi="Aptos"/>
                      <w:sz w:val="22"/>
                      <w:szCs w:val="22"/>
                    </w:rPr>
                  </w:pPr>
                  <w:r w:rsidRPr="001279A8">
                    <w:rPr>
                      <w:rFonts w:ascii="Aptos" w:hAnsi="Aptos"/>
                      <w:sz w:val="22"/>
                      <w:szCs w:val="22"/>
                    </w:rPr>
                    <w:t>CMB-C11</w:t>
                  </w:r>
                </w:p>
              </w:tc>
            </w:tr>
            <w:tr w:rsidR="00A41485" w:rsidRPr="001279A8" w14:paraId="76DA1364" w14:textId="77777777" w:rsidTr="004027E8">
              <w:tc>
                <w:tcPr>
                  <w:tcW w:w="1678" w:type="dxa"/>
                </w:tcPr>
                <w:p w14:paraId="1667F2D4" w14:textId="77777777" w:rsidR="00A41485" w:rsidRPr="001279A8" w:rsidRDefault="00A41485" w:rsidP="00A41485">
                  <w:pPr>
                    <w:rPr>
                      <w:rFonts w:ascii="Aptos" w:hAnsi="Aptos"/>
                      <w:sz w:val="22"/>
                      <w:szCs w:val="22"/>
                    </w:rPr>
                  </w:pPr>
                  <w:r w:rsidRPr="001279A8">
                    <w:rPr>
                      <w:rFonts w:ascii="Aptos" w:hAnsi="Aptos"/>
                      <w:sz w:val="22"/>
                      <w:szCs w:val="22"/>
                    </w:rPr>
                    <w:t>GBF-T12</w:t>
                  </w:r>
                </w:p>
              </w:tc>
              <w:tc>
                <w:tcPr>
                  <w:tcW w:w="1654" w:type="dxa"/>
                </w:tcPr>
                <w:p w14:paraId="2CDB5F0C" w14:textId="77777777" w:rsidR="00A41485" w:rsidRPr="001279A8" w:rsidRDefault="00A41485" w:rsidP="00A41485">
                  <w:pPr>
                    <w:rPr>
                      <w:rFonts w:ascii="Aptos" w:hAnsi="Aptos"/>
                      <w:sz w:val="22"/>
                      <w:szCs w:val="22"/>
                    </w:rPr>
                  </w:pPr>
                  <w:r w:rsidRPr="001279A8">
                    <w:rPr>
                      <w:rFonts w:ascii="Aptos" w:hAnsi="Aptos"/>
                      <w:sz w:val="22"/>
                      <w:szCs w:val="22"/>
                    </w:rPr>
                    <w:t>CMB-C12</w:t>
                  </w:r>
                </w:p>
              </w:tc>
            </w:tr>
            <w:tr w:rsidR="00A41485" w:rsidRPr="001279A8" w14:paraId="31EC9677" w14:textId="77777777" w:rsidTr="004027E8">
              <w:tc>
                <w:tcPr>
                  <w:tcW w:w="1678" w:type="dxa"/>
                </w:tcPr>
                <w:p w14:paraId="2726E0D6" w14:textId="77777777" w:rsidR="00A41485" w:rsidRPr="001279A8" w:rsidRDefault="00A41485" w:rsidP="00A41485">
                  <w:pPr>
                    <w:rPr>
                      <w:rFonts w:ascii="Aptos" w:hAnsi="Aptos"/>
                      <w:sz w:val="22"/>
                      <w:szCs w:val="22"/>
                    </w:rPr>
                  </w:pPr>
                  <w:r w:rsidRPr="001279A8">
                    <w:rPr>
                      <w:rFonts w:ascii="Aptos" w:hAnsi="Aptos"/>
                      <w:sz w:val="22"/>
                      <w:szCs w:val="22"/>
                    </w:rPr>
                    <w:t>GBF-T14</w:t>
                  </w:r>
                </w:p>
              </w:tc>
              <w:tc>
                <w:tcPr>
                  <w:tcW w:w="1654" w:type="dxa"/>
                </w:tcPr>
                <w:p w14:paraId="198C2ED0" w14:textId="77777777" w:rsidR="00A41485" w:rsidRPr="001279A8" w:rsidRDefault="00A41485" w:rsidP="00A41485">
                  <w:pPr>
                    <w:rPr>
                      <w:rFonts w:ascii="Aptos" w:hAnsi="Aptos"/>
                      <w:sz w:val="22"/>
                      <w:szCs w:val="22"/>
                    </w:rPr>
                  </w:pPr>
                  <w:r w:rsidRPr="001279A8">
                    <w:rPr>
                      <w:rFonts w:ascii="Aptos" w:hAnsi="Aptos"/>
                      <w:sz w:val="22"/>
                      <w:szCs w:val="22"/>
                    </w:rPr>
                    <w:t>CMB-C14</w:t>
                  </w:r>
                </w:p>
              </w:tc>
            </w:tr>
            <w:tr w:rsidR="00A41485" w:rsidRPr="001279A8" w14:paraId="3223E8A6" w14:textId="77777777" w:rsidTr="004027E8">
              <w:tc>
                <w:tcPr>
                  <w:tcW w:w="1678" w:type="dxa"/>
                </w:tcPr>
                <w:p w14:paraId="5C550FD9" w14:textId="77777777" w:rsidR="00A41485" w:rsidRPr="001279A8" w:rsidRDefault="00A41485" w:rsidP="00A41485">
                  <w:pPr>
                    <w:rPr>
                      <w:rFonts w:ascii="Aptos" w:hAnsi="Aptos"/>
                      <w:sz w:val="22"/>
                      <w:szCs w:val="22"/>
                    </w:rPr>
                  </w:pPr>
                  <w:r w:rsidRPr="001279A8">
                    <w:rPr>
                      <w:rFonts w:ascii="Aptos" w:hAnsi="Aptos"/>
                      <w:sz w:val="22"/>
                      <w:szCs w:val="22"/>
                    </w:rPr>
                    <w:t>GBF-T15</w:t>
                  </w:r>
                </w:p>
              </w:tc>
              <w:tc>
                <w:tcPr>
                  <w:tcW w:w="1654" w:type="dxa"/>
                </w:tcPr>
                <w:p w14:paraId="464DCFA6" w14:textId="77777777" w:rsidR="00A41485" w:rsidRPr="001279A8" w:rsidRDefault="00A41485" w:rsidP="00A41485">
                  <w:pPr>
                    <w:rPr>
                      <w:rFonts w:ascii="Aptos" w:hAnsi="Aptos"/>
                      <w:sz w:val="22"/>
                      <w:szCs w:val="22"/>
                    </w:rPr>
                  </w:pPr>
                  <w:r w:rsidRPr="001279A8">
                    <w:rPr>
                      <w:rFonts w:ascii="Aptos" w:hAnsi="Aptos"/>
                      <w:sz w:val="22"/>
                      <w:szCs w:val="22"/>
                    </w:rPr>
                    <w:t>CMB-C15</w:t>
                  </w:r>
                </w:p>
              </w:tc>
            </w:tr>
            <w:tr w:rsidR="00A41485" w:rsidRPr="001279A8" w14:paraId="4DC1F928" w14:textId="77777777" w:rsidTr="004027E8">
              <w:tc>
                <w:tcPr>
                  <w:tcW w:w="1678" w:type="dxa"/>
                </w:tcPr>
                <w:p w14:paraId="26A0FDE0" w14:textId="77777777" w:rsidR="00A41485" w:rsidRPr="001279A8" w:rsidRDefault="00A41485" w:rsidP="00A41485">
                  <w:pPr>
                    <w:rPr>
                      <w:rFonts w:ascii="Aptos" w:hAnsi="Aptos"/>
                      <w:sz w:val="22"/>
                      <w:szCs w:val="22"/>
                    </w:rPr>
                  </w:pPr>
                  <w:r w:rsidRPr="001279A8">
                    <w:rPr>
                      <w:rFonts w:ascii="Aptos" w:hAnsi="Aptos"/>
                      <w:sz w:val="22"/>
                      <w:szCs w:val="22"/>
                    </w:rPr>
                    <w:t>GBF-T16</w:t>
                  </w:r>
                </w:p>
              </w:tc>
              <w:tc>
                <w:tcPr>
                  <w:tcW w:w="1654" w:type="dxa"/>
                </w:tcPr>
                <w:p w14:paraId="09383E7D" w14:textId="77777777" w:rsidR="00A41485" w:rsidRPr="001279A8" w:rsidRDefault="00A41485" w:rsidP="00A41485">
                  <w:pPr>
                    <w:rPr>
                      <w:rFonts w:ascii="Aptos" w:hAnsi="Aptos"/>
                      <w:sz w:val="22"/>
                      <w:szCs w:val="22"/>
                    </w:rPr>
                  </w:pPr>
                  <w:r w:rsidRPr="001279A8">
                    <w:rPr>
                      <w:rFonts w:ascii="Aptos" w:hAnsi="Aptos"/>
                      <w:sz w:val="22"/>
                      <w:szCs w:val="22"/>
                    </w:rPr>
                    <w:t>CMB-C16</w:t>
                  </w:r>
                </w:p>
              </w:tc>
            </w:tr>
            <w:tr w:rsidR="00A41485" w:rsidRPr="001279A8" w14:paraId="195F3798" w14:textId="77777777" w:rsidTr="004027E8">
              <w:tc>
                <w:tcPr>
                  <w:tcW w:w="1678" w:type="dxa"/>
                </w:tcPr>
                <w:p w14:paraId="258052C4" w14:textId="77777777" w:rsidR="00A41485" w:rsidRPr="001279A8" w:rsidRDefault="00A41485" w:rsidP="00A41485">
                  <w:pPr>
                    <w:rPr>
                      <w:rFonts w:ascii="Aptos" w:hAnsi="Aptos"/>
                      <w:sz w:val="22"/>
                      <w:szCs w:val="22"/>
                    </w:rPr>
                  </w:pPr>
                  <w:r w:rsidRPr="001279A8">
                    <w:rPr>
                      <w:rFonts w:ascii="Aptos" w:hAnsi="Aptos"/>
                      <w:sz w:val="22"/>
                      <w:szCs w:val="22"/>
                    </w:rPr>
                    <w:t>GBF-T17</w:t>
                  </w:r>
                </w:p>
              </w:tc>
              <w:tc>
                <w:tcPr>
                  <w:tcW w:w="1654" w:type="dxa"/>
                </w:tcPr>
                <w:p w14:paraId="46F3FDDF" w14:textId="77777777" w:rsidR="00A41485" w:rsidRPr="001279A8" w:rsidRDefault="00A41485" w:rsidP="00A41485">
                  <w:pPr>
                    <w:rPr>
                      <w:rFonts w:ascii="Aptos" w:hAnsi="Aptos"/>
                      <w:sz w:val="22"/>
                      <w:szCs w:val="22"/>
                    </w:rPr>
                  </w:pPr>
                  <w:r w:rsidRPr="001279A8">
                    <w:rPr>
                      <w:rFonts w:ascii="Aptos" w:hAnsi="Aptos"/>
                      <w:sz w:val="22"/>
                      <w:szCs w:val="22"/>
                    </w:rPr>
                    <w:t>CMB-C17</w:t>
                  </w:r>
                </w:p>
              </w:tc>
            </w:tr>
            <w:tr w:rsidR="00A41485" w:rsidRPr="001279A8" w14:paraId="604A2B4A" w14:textId="77777777" w:rsidTr="004027E8">
              <w:tc>
                <w:tcPr>
                  <w:tcW w:w="1678" w:type="dxa"/>
                </w:tcPr>
                <w:p w14:paraId="74E4850D" w14:textId="77777777" w:rsidR="00A41485" w:rsidRPr="001279A8" w:rsidRDefault="00A41485" w:rsidP="00A41485">
                  <w:pPr>
                    <w:rPr>
                      <w:rFonts w:ascii="Aptos" w:hAnsi="Aptos"/>
                      <w:sz w:val="22"/>
                      <w:szCs w:val="22"/>
                    </w:rPr>
                  </w:pPr>
                  <w:r w:rsidRPr="001279A8">
                    <w:rPr>
                      <w:rFonts w:ascii="Aptos" w:hAnsi="Aptos"/>
                      <w:sz w:val="22"/>
                      <w:szCs w:val="22"/>
                    </w:rPr>
                    <w:t>GBF-T18</w:t>
                  </w:r>
                </w:p>
              </w:tc>
              <w:tc>
                <w:tcPr>
                  <w:tcW w:w="1654" w:type="dxa"/>
                </w:tcPr>
                <w:p w14:paraId="7DD144D2" w14:textId="77777777" w:rsidR="00A41485" w:rsidRPr="001279A8" w:rsidRDefault="00A41485" w:rsidP="00A41485">
                  <w:pPr>
                    <w:rPr>
                      <w:rFonts w:ascii="Aptos" w:hAnsi="Aptos"/>
                      <w:sz w:val="22"/>
                      <w:szCs w:val="22"/>
                    </w:rPr>
                  </w:pPr>
                  <w:r w:rsidRPr="001279A8">
                    <w:rPr>
                      <w:rFonts w:ascii="Aptos" w:hAnsi="Aptos"/>
                      <w:sz w:val="22"/>
                      <w:szCs w:val="22"/>
                    </w:rPr>
                    <w:t>CMB-C18</w:t>
                  </w:r>
                </w:p>
              </w:tc>
            </w:tr>
            <w:tr w:rsidR="00A41485" w:rsidRPr="001279A8" w14:paraId="77BDF0B4" w14:textId="77777777" w:rsidTr="004027E8">
              <w:tc>
                <w:tcPr>
                  <w:tcW w:w="1678" w:type="dxa"/>
                </w:tcPr>
                <w:p w14:paraId="186BB198" w14:textId="77777777" w:rsidR="00A41485" w:rsidRPr="001279A8" w:rsidRDefault="00A41485" w:rsidP="00A41485">
                  <w:pPr>
                    <w:rPr>
                      <w:rFonts w:ascii="Aptos" w:hAnsi="Aptos"/>
                      <w:sz w:val="22"/>
                      <w:szCs w:val="22"/>
                    </w:rPr>
                  </w:pPr>
                  <w:r w:rsidRPr="001279A8">
                    <w:rPr>
                      <w:rFonts w:ascii="Aptos" w:hAnsi="Aptos"/>
                      <w:sz w:val="22"/>
                      <w:szCs w:val="22"/>
                    </w:rPr>
                    <w:t>GBF-T20</w:t>
                  </w:r>
                </w:p>
              </w:tc>
              <w:tc>
                <w:tcPr>
                  <w:tcW w:w="1654" w:type="dxa"/>
                </w:tcPr>
                <w:p w14:paraId="7688C36C" w14:textId="77777777" w:rsidR="00A41485" w:rsidRPr="001279A8" w:rsidRDefault="00A41485" w:rsidP="00A41485">
                  <w:pPr>
                    <w:rPr>
                      <w:rFonts w:ascii="Aptos" w:hAnsi="Aptos"/>
                      <w:sz w:val="22"/>
                      <w:szCs w:val="22"/>
                    </w:rPr>
                  </w:pPr>
                  <w:r w:rsidRPr="001279A8">
                    <w:rPr>
                      <w:rFonts w:ascii="Aptos" w:hAnsi="Aptos"/>
                      <w:sz w:val="22"/>
                      <w:szCs w:val="22"/>
                    </w:rPr>
                    <w:t>CMB-C20</w:t>
                  </w:r>
                </w:p>
              </w:tc>
            </w:tr>
            <w:tr w:rsidR="00A41485" w:rsidRPr="001279A8" w14:paraId="62114ABF" w14:textId="77777777" w:rsidTr="004027E8">
              <w:tc>
                <w:tcPr>
                  <w:tcW w:w="1678" w:type="dxa"/>
                </w:tcPr>
                <w:p w14:paraId="4CC82DF0" w14:textId="77777777" w:rsidR="00A41485" w:rsidRPr="001279A8" w:rsidRDefault="00A41485" w:rsidP="00A41485">
                  <w:pPr>
                    <w:rPr>
                      <w:rFonts w:ascii="Aptos" w:hAnsi="Aptos"/>
                      <w:sz w:val="22"/>
                      <w:szCs w:val="22"/>
                    </w:rPr>
                  </w:pPr>
                  <w:r w:rsidRPr="001279A8">
                    <w:rPr>
                      <w:rFonts w:ascii="Aptos" w:hAnsi="Aptos"/>
                      <w:sz w:val="22"/>
                      <w:szCs w:val="22"/>
                    </w:rPr>
                    <w:t>GBF-T21</w:t>
                  </w:r>
                </w:p>
              </w:tc>
              <w:tc>
                <w:tcPr>
                  <w:tcW w:w="1654" w:type="dxa"/>
                </w:tcPr>
                <w:p w14:paraId="36973677" w14:textId="77777777" w:rsidR="00A41485" w:rsidRPr="001279A8" w:rsidRDefault="00A41485" w:rsidP="00A41485">
                  <w:pPr>
                    <w:rPr>
                      <w:rFonts w:ascii="Aptos" w:hAnsi="Aptos"/>
                      <w:sz w:val="22"/>
                      <w:szCs w:val="22"/>
                    </w:rPr>
                  </w:pPr>
                  <w:r w:rsidRPr="001279A8">
                    <w:rPr>
                      <w:rFonts w:ascii="Aptos" w:hAnsi="Aptos"/>
                      <w:sz w:val="22"/>
                      <w:szCs w:val="22"/>
                    </w:rPr>
                    <w:t>CMB-C21</w:t>
                  </w:r>
                </w:p>
              </w:tc>
            </w:tr>
            <w:tr w:rsidR="00A41485" w:rsidRPr="001279A8" w14:paraId="3C5216AB" w14:textId="77777777" w:rsidTr="004027E8">
              <w:tc>
                <w:tcPr>
                  <w:tcW w:w="1678" w:type="dxa"/>
                </w:tcPr>
                <w:p w14:paraId="4C6D6138" w14:textId="77777777" w:rsidR="00A41485" w:rsidRPr="001279A8" w:rsidRDefault="00A41485" w:rsidP="00A41485">
                  <w:pPr>
                    <w:rPr>
                      <w:rFonts w:ascii="Aptos" w:hAnsi="Aptos"/>
                      <w:sz w:val="22"/>
                      <w:szCs w:val="22"/>
                    </w:rPr>
                  </w:pPr>
                  <w:r w:rsidRPr="001279A8">
                    <w:rPr>
                      <w:rFonts w:ascii="Aptos" w:hAnsi="Aptos"/>
                      <w:sz w:val="22"/>
                      <w:szCs w:val="22"/>
                    </w:rPr>
                    <w:t>GBF-T22</w:t>
                  </w:r>
                </w:p>
              </w:tc>
              <w:tc>
                <w:tcPr>
                  <w:tcW w:w="1654" w:type="dxa"/>
                </w:tcPr>
                <w:p w14:paraId="1B378766" w14:textId="77777777" w:rsidR="00A41485" w:rsidRPr="001279A8" w:rsidRDefault="00A41485" w:rsidP="00A41485">
                  <w:pPr>
                    <w:rPr>
                      <w:rFonts w:ascii="Aptos" w:hAnsi="Aptos"/>
                      <w:sz w:val="22"/>
                      <w:szCs w:val="22"/>
                    </w:rPr>
                  </w:pPr>
                  <w:r w:rsidRPr="001279A8">
                    <w:rPr>
                      <w:rFonts w:ascii="Aptos" w:hAnsi="Aptos"/>
                      <w:sz w:val="22"/>
                      <w:szCs w:val="22"/>
                    </w:rPr>
                    <w:t>CMB-C22</w:t>
                  </w:r>
                </w:p>
              </w:tc>
            </w:tr>
            <w:tr w:rsidR="00A41485" w:rsidRPr="001279A8" w14:paraId="48F8EA37" w14:textId="77777777" w:rsidTr="004027E8">
              <w:tc>
                <w:tcPr>
                  <w:tcW w:w="1678" w:type="dxa"/>
                </w:tcPr>
                <w:p w14:paraId="343C63F5" w14:textId="77777777" w:rsidR="00A41485" w:rsidRPr="001279A8" w:rsidRDefault="00A41485" w:rsidP="00A41485">
                  <w:pPr>
                    <w:rPr>
                      <w:rFonts w:ascii="Aptos" w:hAnsi="Aptos"/>
                      <w:sz w:val="22"/>
                      <w:szCs w:val="22"/>
                    </w:rPr>
                  </w:pPr>
                  <w:r w:rsidRPr="001279A8">
                    <w:rPr>
                      <w:rFonts w:ascii="Aptos" w:hAnsi="Aptos"/>
                      <w:sz w:val="22"/>
                      <w:szCs w:val="22"/>
                    </w:rPr>
                    <w:t>GBF-T23</w:t>
                  </w:r>
                </w:p>
              </w:tc>
              <w:tc>
                <w:tcPr>
                  <w:tcW w:w="1654" w:type="dxa"/>
                </w:tcPr>
                <w:p w14:paraId="0BD36C93" w14:textId="77777777" w:rsidR="00A41485" w:rsidRPr="001279A8" w:rsidRDefault="00A41485" w:rsidP="00A41485">
                  <w:pPr>
                    <w:rPr>
                      <w:rFonts w:ascii="Aptos" w:hAnsi="Aptos"/>
                      <w:sz w:val="22"/>
                      <w:szCs w:val="22"/>
                    </w:rPr>
                  </w:pPr>
                  <w:r w:rsidRPr="001279A8">
                    <w:rPr>
                      <w:rFonts w:ascii="Aptos" w:hAnsi="Aptos"/>
                      <w:sz w:val="22"/>
                      <w:szCs w:val="22"/>
                    </w:rPr>
                    <w:t>CMB-C23</w:t>
                  </w:r>
                </w:p>
              </w:tc>
            </w:tr>
          </w:tbl>
          <w:p w14:paraId="5A19BBE8" w14:textId="77777777" w:rsidR="00A41485" w:rsidRDefault="00A41485" w:rsidP="00A41485">
            <w:pPr>
              <w:rPr>
                <w:lang w:val="fr-FR" w:eastAsia="ja-JP"/>
              </w:rPr>
            </w:pPr>
          </w:p>
        </w:tc>
      </w:tr>
    </w:tbl>
    <w:p w14:paraId="53ADF62E" w14:textId="77777777" w:rsidR="00A41485" w:rsidRPr="00A41485" w:rsidRDefault="00A41485" w:rsidP="00A41485">
      <w:pPr>
        <w:rPr>
          <w:lang w:val="fr-FR" w:eastAsia="ja-JP"/>
        </w:rPr>
      </w:pPr>
    </w:p>
    <w:p w14:paraId="32687245" w14:textId="1F64AA25" w:rsidR="007A60EC" w:rsidRPr="00653BF4" w:rsidRDefault="007A60EC" w:rsidP="007A60EC">
      <w:pPr>
        <w:pStyle w:val="Caption"/>
        <w:rPr>
          <w:rFonts w:ascii="Aptos" w:hAnsi="Aptos"/>
          <w:b/>
          <w:bCs/>
          <w:lang w:val="fr-FR"/>
        </w:rPr>
      </w:pPr>
      <w:r w:rsidRPr="00653BF4">
        <w:rPr>
          <w:rFonts w:ascii="Aptos" w:hAnsi="Aptos"/>
          <w:lang w:val="fr-FR"/>
        </w:rPr>
        <w:t>Note</w:t>
      </w:r>
      <w:r w:rsidR="00E34DC9">
        <w:rPr>
          <w:rFonts w:ascii="Aptos" w:hAnsi="Aptos"/>
          <w:lang w:val="fr-FR"/>
        </w:rPr>
        <w:t> :</w:t>
      </w:r>
      <w:r w:rsidRPr="00653BF4">
        <w:rPr>
          <w:rFonts w:ascii="Aptos" w:hAnsi="Aptos"/>
          <w:i w:val="0"/>
          <w:iCs w:val="0"/>
          <w:lang w:val="fr-FR"/>
        </w:rPr>
        <w:t xml:space="preserve"> Les proportions sont pondérées par Partie. Des informations sur la représentativité régionale et les types d’indicateurs pris en compte figurent à la </w:t>
      </w:r>
      <w:r w:rsidR="002878D7">
        <w:rPr>
          <w:rFonts w:ascii="Aptos" w:hAnsi="Aptos"/>
          <w:i w:val="0"/>
          <w:iCs w:val="0"/>
          <w:lang w:val="fr-FR"/>
        </w:rPr>
        <w:t>section I</w:t>
      </w:r>
      <w:r w:rsidRPr="00653BF4">
        <w:rPr>
          <w:rFonts w:ascii="Aptos" w:hAnsi="Aptos"/>
          <w:i w:val="0"/>
          <w:iCs w:val="0"/>
          <w:lang w:val="fr-FR"/>
        </w:rPr>
        <w:t>I.B, dans la description de chaque cible concernée.</w:t>
      </w:r>
      <w:r w:rsidRPr="00653BF4">
        <w:rPr>
          <w:rFonts w:ascii="Aptos" w:hAnsi="Aptos"/>
          <w:b/>
          <w:bCs/>
          <w:lang w:val="fr-FR"/>
        </w:rPr>
        <w:t xml:space="preserve"> </w:t>
      </w:r>
    </w:p>
    <w:p w14:paraId="6BF49A27" w14:textId="77777777" w:rsidR="007A60EC" w:rsidRPr="00653BF4" w:rsidRDefault="007A60EC" w:rsidP="007A60EC">
      <w:pPr>
        <w:pStyle w:val="Heading5"/>
        <w:rPr>
          <w:lang w:val="fr-FR"/>
        </w:rPr>
      </w:pPr>
    </w:p>
    <w:p w14:paraId="21CAC940" w14:textId="77777777" w:rsidR="007A60EC" w:rsidRPr="00653BF4" w:rsidRDefault="007A60EC" w:rsidP="007A60EC">
      <w:pPr>
        <w:pStyle w:val="Heading5"/>
        <w:rPr>
          <w:lang w:val="fr-FR"/>
        </w:rPr>
      </w:pPr>
      <w:r w:rsidRPr="00653BF4">
        <w:rPr>
          <w:lang w:val="fr-FR"/>
        </w:rPr>
        <w:t xml:space="preserve">Indicateurs de progrès </w:t>
      </w:r>
    </w:p>
    <w:p w14:paraId="7B97521F" w14:textId="77777777" w:rsidR="007A60EC" w:rsidRPr="00653BF4" w:rsidRDefault="007A60EC" w:rsidP="007A60EC">
      <w:pPr>
        <w:rPr>
          <w:lang w:val="fr-FR"/>
        </w:rPr>
      </w:pPr>
    </w:p>
    <w:p w14:paraId="7736601A" w14:textId="3E23B578" w:rsidR="007A60EC" w:rsidRPr="00653BF4" w:rsidRDefault="007A60EC" w:rsidP="007A60EC">
      <w:pPr>
        <w:pStyle w:val="Caption"/>
        <w:spacing w:line="276" w:lineRule="auto"/>
        <w:rPr>
          <w:i w:val="0"/>
          <w:iCs w:val="0"/>
          <w:lang w:val="fr-FR"/>
        </w:rPr>
      </w:pPr>
      <w:bookmarkStart w:id="470" w:name="_Ref238993993"/>
      <w:r w:rsidRPr="00653BF4">
        <w:rPr>
          <w:i w:val="0"/>
          <w:iCs w:val="0"/>
          <w:lang w:val="fr-FR"/>
        </w:rPr>
        <w:t xml:space="preserve">Tableau </w:t>
      </w:r>
      <w:r w:rsidRPr="00653BF4">
        <w:rPr>
          <w:i w:val="0"/>
          <w:iCs w:val="0"/>
          <w:noProof/>
          <w:lang w:val="fr-FR"/>
        </w:rPr>
        <w:t>52</w:t>
      </w:r>
      <w:bookmarkEnd w:id="470"/>
      <w:r w:rsidRPr="00653BF4">
        <w:rPr>
          <w:i w:val="0"/>
          <w:iCs w:val="0"/>
          <w:lang w:val="fr-FR"/>
        </w:rPr>
        <w:t xml:space="preserve"> </w:t>
      </w:r>
    </w:p>
    <w:p w14:paraId="7C11B490" w14:textId="2B85B4C4" w:rsidR="007A60EC" w:rsidRPr="00653BF4" w:rsidRDefault="007A60EC" w:rsidP="007A60EC">
      <w:pPr>
        <w:pStyle w:val="Caption"/>
        <w:spacing w:line="276" w:lineRule="auto"/>
        <w:rPr>
          <w:i w:val="0"/>
          <w:iCs w:val="0"/>
          <w:lang w:val="fr-FR"/>
        </w:rPr>
      </w:pPr>
      <w:r w:rsidRPr="00653BF4">
        <w:rPr>
          <w:b/>
          <w:bCs/>
          <w:i w:val="0"/>
          <w:iCs w:val="0"/>
          <w:sz w:val="20"/>
          <w:szCs w:val="20"/>
          <w:lang w:val="fr-FR"/>
        </w:rPr>
        <w:t>Tableau de bord des indicateurs pour l’</w:t>
      </w:r>
      <w:r w:rsidR="002878D7">
        <w:rPr>
          <w:b/>
          <w:bCs/>
          <w:i w:val="0"/>
          <w:iCs w:val="0"/>
          <w:sz w:val="20"/>
          <w:szCs w:val="20"/>
          <w:lang w:val="fr-FR"/>
        </w:rPr>
        <w:t>objectif B</w:t>
      </w:r>
    </w:p>
    <w:tbl>
      <w:tblPr>
        <w:tblW w:w="9016" w:type="dxa"/>
        <w:tblLook w:val="04A0" w:firstRow="1" w:lastRow="0" w:firstColumn="1" w:lastColumn="0" w:noHBand="0" w:noVBand="1"/>
      </w:tblPr>
      <w:tblGrid>
        <w:gridCol w:w="2506"/>
        <w:gridCol w:w="1884"/>
        <w:gridCol w:w="708"/>
        <w:gridCol w:w="3261"/>
        <w:gridCol w:w="657"/>
      </w:tblGrid>
      <w:tr w:rsidR="007A60EC" w:rsidRPr="00653BF4" w14:paraId="336F5F2F" w14:textId="77777777" w:rsidTr="00557FB3">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tcPr>
          <w:p w14:paraId="4E48E08A"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592" w:type="dxa"/>
            <w:gridSpan w:val="2"/>
            <w:tcBorders>
              <w:top w:val="single" w:sz="4" w:space="0" w:color="auto"/>
              <w:left w:val="nil"/>
              <w:bottom w:val="single" w:sz="4" w:space="0" w:color="auto"/>
              <w:right w:val="single" w:sz="4" w:space="0" w:color="auto"/>
            </w:tcBorders>
            <w:vAlign w:val="center"/>
          </w:tcPr>
          <w:p w14:paraId="5CDADB15"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color w:val="000000"/>
                <w:sz w:val="20"/>
                <w:szCs w:val="20"/>
                <w:lang w:val="fr-FR"/>
              </w:rPr>
              <w:t>Utilisation de l’indicateur</w:t>
            </w:r>
          </w:p>
        </w:tc>
        <w:tc>
          <w:tcPr>
            <w:tcW w:w="3918" w:type="dxa"/>
            <w:gridSpan w:val="2"/>
            <w:tcBorders>
              <w:top w:val="single" w:sz="4" w:space="0" w:color="auto"/>
              <w:left w:val="single" w:sz="4" w:space="0" w:color="auto"/>
              <w:bottom w:val="single" w:sz="4" w:space="0" w:color="auto"/>
              <w:right w:val="single" w:sz="4" w:space="0" w:color="auto"/>
            </w:tcBorders>
            <w:vAlign w:val="center"/>
          </w:tcPr>
          <w:p w14:paraId="5313A35F"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hAnsi="Aptos"/>
                <w:color w:val="000000"/>
                <w:sz w:val="20"/>
                <w:szCs w:val="20"/>
                <w:lang w:val="fr-FR"/>
              </w:rPr>
              <w:t>Résultats de l’indicateur</w:t>
            </w:r>
          </w:p>
        </w:tc>
      </w:tr>
      <w:tr w:rsidR="007A60EC" w:rsidRPr="00543148" w14:paraId="75975ACB" w14:textId="77777777" w:rsidTr="00557FB3">
        <w:trPr>
          <w:trHeight w:val="1050"/>
        </w:trPr>
        <w:tc>
          <w:tcPr>
            <w:tcW w:w="25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A36896" w14:textId="338182A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lastRenderedPageBreak/>
              <w:t>Indicateur phare B.1</w:t>
            </w:r>
            <w:r w:rsidR="00E34DC9">
              <w:rPr>
                <w:rFonts w:ascii="Aptos" w:eastAsia="Times New Roman" w:hAnsi="Aptos" w:cs="Times New Roman"/>
                <w:color w:val="000000"/>
                <w:kern w:val="0"/>
                <w:sz w:val="20"/>
                <w:szCs w:val="20"/>
                <w:lang w:val="fr-FR" w:eastAsia="en-CA"/>
                <w14:ligatures w14:val="none"/>
              </w:rPr>
              <w:t> :</w:t>
            </w:r>
            <w:r w:rsidRPr="00653BF4">
              <w:rPr>
                <w:rFonts w:ascii="Aptos" w:eastAsia="Times New Roman" w:hAnsi="Aptos" w:cs="Times New Roman"/>
                <w:color w:val="000000"/>
                <w:kern w:val="0"/>
                <w:sz w:val="20"/>
                <w:szCs w:val="20"/>
                <w:lang w:val="fr-FR" w:eastAsia="en-CA"/>
                <w14:ligatures w14:val="none"/>
              </w:rPr>
              <w:t xml:space="preserve"> services rendus par les écosystèmes</w:t>
            </w:r>
          </w:p>
        </w:tc>
        <w:tc>
          <w:tcPr>
            <w:tcW w:w="1884" w:type="dxa"/>
            <w:tcBorders>
              <w:top w:val="single" w:sz="4" w:space="0" w:color="auto"/>
              <w:left w:val="nil"/>
              <w:bottom w:val="single" w:sz="4" w:space="0" w:color="auto"/>
              <w:right w:val="single" w:sz="4" w:space="0" w:color="auto"/>
            </w:tcBorders>
            <w:vAlign w:val="center"/>
            <w:hideMark/>
          </w:tcPr>
          <w:p w14:paraId="61F02C84" w14:textId="256BEA3E"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26</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des Parties</w:t>
            </w:r>
          </w:p>
        </w:tc>
        <w:tc>
          <w:tcPr>
            <w:tcW w:w="708" w:type="dxa"/>
            <w:tcBorders>
              <w:top w:val="single" w:sz="4" w:space="0" w:color="auto"/>
              <w:left w:val="nil"/>
              <w:bottom w:val="single" w:sz="4" w:space="0" w:color="auto"/>
              <w:right w:val="nil"/>
            </w:tcBorders>
            <w:shd w:val="clear" w:color="000000" w:fill="FFC000"/>
            <w:vAlign w:val="center"/>
            <w:hideMark/>
          </w:tcPr>
          <w:p w14:paraId="55E89E9E"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3261" w:type="dxa"/>
            <w:tcBorders>
              <w:top w:val="single" w:sz="4" w:space="0" w:color="auto"/>
              <w:left w:val="single" w:sz="4" w:space="0" w:color="auto"/>
              <w:bottom w:val="single" w:sz="4" w:space="0" w:color="auto"/>
              <w:right w:val="single" w:sz="4" w:space="0" w:color="auto"/>
            </w:tcBorders>
            <w:vAlign w:val="center"/>
            <w:hideMark/>
          </w:tcPr>
          <w:p w14:paraId="5819E4FF" w14:textId="5DC9DD2A"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Baisse globale de 2,5</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entre 2015 et 2023, les services culturels étant en hausse alors que les services de régulation et d’approvisionnement reculent</w:t>
            </w:r>
          </w:p>
        </w:tc>
        <w:tc>
          <w:tcPr>
            <w:tcW w:w="657" w:type="dxa"/>
            <w:tcBorders>
              <w:top w:val="single" w:sz="4" w:space="0" w:color="auto"/>
              <w:left w:val="single" w:sz="4" w:space="0" w:color="auto"/>
              <w:bottom w:val="single" w:sz="4" w:space="0" w:color="auto"/>
              <w:right w:val="single" w:sz="4" w:space="0" w:color="auto"/>
            </w:tcBorders>
            <w:shd w:val="clear" w:color="auto" w:fill="FFC000"/>
            <w:vAlign w:val="center"/>
          </w:tcPr>
          <w:p w14:paraId="7472DD0E"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p>
        </w:tc>
      </w:tr>
      <w:tr w:rsidR="007A60EC" w:rsidRPr="00543148" w14:paraId="6AD5CC4D" w14:textId="77777777" w:rsidTr="00557FB3">
        <w:trPr>
          <w:trHeight w:val="1050"/>
        </w:trPr>
        <w:tc>
          <w:tcPr>
            <w:tcW w:w="2506" w:type="dxa"/>
            <w:tcBorders>
              <w:top w:val="nil"/>
              <w:left w:val="single" w:sz="4" w:space="0" w:color="auto"/>
              <w:bottom w:val="single" w:sz="4" w:space="0" w:color="auto"/>
              <w:right w:val="single" w:sz="4" w:space="0" w:color="auto"/>
            </w:tcBorders>
            <w:shd w:val="clear" w:color="000000" w:fill="FFFFFF"/>
            <w:vAlign w:val="center"/>
            <w:hideMark/>
          </w:tcPr>
          <w:p w14:paraId="4A830F90" w14:textId="2347595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themeColor="text1"/>
                <w:kern w:val="0"/>
                <w:sz w:val="20"/>
                <w:szCs w:val="20"/>
                <w:lang w:val="fr-FR" w:eastAsia="en-CA"/>
                <w14:ligatures w14:val="none"/>
              </w:rPr>
              <w:t>Indicateur binaire B.b</w:t>
            </w:r>
            <w:r w:rsidR="00E34DC9">
              <w:rPr>
                <w:rFonts w:ascii="Aptos" w:eastAsia="Times New Roman" w:hAnsi="Aptos" w:cs="Times New Roman"/>
                <w:color w:val="000000" w:themeColor="text1"/>
                <w:kern w:val="0"/>
                <w:sz w:val="20"/>
                <w:szCs w:val="20"/>
                <w:lang w:val="fr-FR" w:eastAsia="en-CA"/>
                <w14:ligatures w14:val="none"/>
              </w:rPr>
              <w:t> :</w:t>
            </w:r>
            <w:r w:rsidRPr="00653BF4">
              <w:rPr>
                <w:rFonts w:ascii="Aptos" w:eastAsia="Times New Roman" w:hAnsi="Aptos" w:cs="Times New Roman"/>
                <w:color w:val="000000" w:themeColor="text1"/>
                <w:kern w:val="0"/>
                <w:sz w:val="20"/>
                <w:szCs w:val="20"/>
                <w:lang w:val="fr-FR" w:eastAsia="en-CA"/>
                <w14:ligatures w14:val="none"/>
              </w:rPr>
              <w:t xml:space="preserve"> nombre de pays disposant de politiques ou de mesures pour mettre en œuvre et surveiller l’utilisation durable de la biodiversité et la préservation et le renforcement des contributions de la nature à l’homme, y compris les fonctions et services écosystémiques</w:t>
            </w:r>
          </w:p>
        </w:tc>
        <w:tc>
          <w:tcPr>
            <w:tcW w:w="1884" w:type="dxa"/>
            <w:tcBorders>
              <w:top w:val="nil"/>
              <w:left w:val="nil"/>
              <w:bottom w:val="single" w:sz="4" w:space="0" w:color="auto"/>
              <w:right w:val="single" w:sz="4" w:space="0" w:color="auto"/>
            </w:tcBorders>
            <w:vAlign w:val="center"/>
            <w:hideMark/>
          </w:tcPr>
          <w:p w14:paraId="20F8DDDB"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118 Parties</w:t>
            </w:r>
          </w:p>
        </w:tc>
        <w:tc>
          <w:tcPr>
            <w:tcW w:w="708" w:type="dxa"/>
            <w:tcBorders>
              <w:top w:val="nil"/>
              <w:left w:val="nil"/>
              <w:bottom w:val="single" w:sz="4" w:space="0" w:color="auto"/>
              <w:right w:val="nil"/>
            </w:tcBorders>
            <w:shd w:val="clear" w:color="auto" w:fill="FFFFFF" w:themeFill="background1"/>
            <w:vAlign w:val="center"/>
            <w:hideMark/>
          </w:tcPr>
          <w:p w14:paraId="0663EC89"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vertAlign w:val="superscript"/>
                <w:lang w:val="fr-FR" w:eastAsia="en-CA"/>
                <w14:ligatures w14:val="none"/>
              </w:rPr>
            </w:pPr>
            <w:r w:rsidRPr="00653BF4">
              <w:rPr>
                <w:rFonts w:ascii="Aptos" w:eastAsia="Times New Roman" w:hAnsi="Aptos" w:cs="Times New Roman"/>
                <w:color w:val="000000"/>
                <w:kern w:val="0"/>
                <w:sz w:val="20"/>
                <w:szCs w:val="20"/>
                <w:lang w:val="fr-FR" w:eastAsia="en-CA"/>
                <w14:ligatures w14:val="none"/>
              </w:rPr>
              <w:t>s.o.</w:t>
            </w:r>
            <w:r w:rsidRPr="00653BF4">
              <w:rPr>
                <w:vertAlign w:val="superscript"/>
                <w:lang w:val="fr-FR"/>
              </w:rPr>
              <w:t>a</w:t>
            </w:r>
          </w:p>
        </w:tc>
        <w:tc>
          <w:tcPr>
            <w:tcW w:w="3261" w:type="dxa"/>
            <w:tcBorders>
              <w:top w:val="nil"/>
              <w:left w:val="single" w:sz="4" w:space="0" w:color="auto"/>
              <w:bottom w:val="single" w:sz="4" w:space="0" w:color="auto"/>
              <w:right w:val="single" w:sz="4" w:space="0" w:color="auto"/>
            </w:tcBorders>
            <w:vAlign w:val="center"/>
            <w:hideMark/>
          </w:tcPr>
          <w:p w14:paraId="4275EC4E" w14:textId="59526DEC"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Note élevée (4 ou 5) obtenue par 71</w:t>
            </w:r>
            <w:r w:rsidR="002878D7">
              <w:rPr>
                <w:rFonts w:ascii="Aptos" w:eastAsia="Times New Roman" w:hAnsi="Aptos" w:cs="Times New Roman"/>
                <w:color w:val="000000"/>
                <w:kern w:val="0"/>
                <w:sz w:val="20"/>
                <w:szCs w:val="20"/>
                <w:lang w:val="fr-FR" w:eastAsia="en-CA"/>
                <w14:ligatures w14:val="none"/>
              </w:rPr>
              <w:t> %</w:t>
            </w:r>
            <w:r w:rsidRPr="00653BF4">
              <w:rPr>
                <w:rFonts w:ascii="Aptos" w:eastAsia="Times New Roman" w:hAnsi="Aptos" w:cs="Times New Roman"/>
                <w:color w:val="000000"/>
                <w:kern w:val="0"/>
                <w:sz w:val="20"/>
                <w:szCs w:val="20"/>
                <w:lang w:val="fr-FR" w:eastAsia="en-CA"/>
                <w14:ligatures w14:val="none"/>
              </w:rPr>
              <w:t xml:space="preserve"> des Parties</w:t>
            </w:r>
          </w:p>
        </w:tc>
        <w:tc>
          <w:tcPr>
            <w:tcW w:w="657" w:type="dxa"/>
            <w:tcBorders>
              <w:top w:val="nil"/>
              <w:left w:val="single" w:sz="4" w:space="0" w:color="auto"/>
              <w:bottom w:val="single" w:sz="4" w:space="0" w:color="auto"/>
              <w:right w:val="single" w:sz="4" w:space="0" w:color="auto"/>
            </w:tcBorders>
            <w:shd w:val="clear" w:color="auto" w:fill="92D050"/>
            <w:vAlign w:val="center"/>
          </w:tcPr>
          <w:p w14:paraId="40F75071"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r>
    </w:tbl>
    <w:p w14:paraId="270B8A3B" w14:textId="77777777" w:rsidR="007A60EC" w:rsidRPr="00653BF4" w:rsidRDefault="007A60EC" w:rsidP="007A60EC">
      <w:pPr>
        <w:rPr>
          <w:rFonts w:ascii="Aptos" w:hAnsi="Aptos"/>
          <w:lang w:val="fr-FR"/>
        </w:rPr>
      </w:pPr>
    </w:p>
    <w:p w14:paraId="00C2AE69" w14:textId="785E2187" w:rsidR="007A60EC" w:rsidRPr="00653BF4" w:rsidRDefault="007A60EC" w:rsidP="007A60EC">
      <w:pPr>
        <w:rPr>
          <w:rFonts w:ascii="Aptos" w:hAnsi="Aptos"/>
          <w:sz w:val="16"/>
          <w:szCs w:val="16"/>
          <w:lang w:val="fr-FR"/>
        </w:rPr>
      </w:pPr>
      <w:r w:rsidRPr="00653BF4">
        <w:rPr>
          <w:rFonts w:ascii="Aptos" w:hAnsi="Aptos"/>
          <w:i/>
          <w:iCs/>
          <w:sz w:val="16"/>
          <w:szCs w:val="16"/>
          <w:lang w:val="fr-FR"/>
        </w:rPr>
        <w:t>Note</w:t>
      </w:r>
      <w:r w:rsidR="00E34DC9">
        <w:rPr>
          <w:rFonts w:ascii="Aptos" w:hAnsi="Aptos"/>
          <w:i/>
          <w:iCs/>
          <w:sz w:val="16"/>
          <w:szCs w:val="16"/>
          <w:lang w:val="fr-FR"/>
        </w:rPr>
        <w:t> :</w:t>
      </w:r>
      <w:r w:rsidRPr="00653BF4">
        <w:rPr>
          <w:rFonts w:ascii="Aptos" w:hAnsi="Aptos"/>
          <w:sz w:val="16"/>
          <w:szCs w:val="16"/>
          <w:lang w:val="fr-FR"/>
        </w:rPr>
        <w:t xml:space="preserve"> Le code couleur se rapporte à l’évaluation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indicateurs binaires sont fondées sur le pourcentage de Parties ayant obtenu une note élevée (4 ou 5) pour l’indicateur dans son ensemble (le vert est attribué aux valeurs égales ou supérieures à 50</w:t>
      </w:r>
      <w:r w:rsidR="002878D7">
        <w:rPr>
          <w:rFonts w:ascii="Aptos" w:hAnsi="Aptos"/>
          <w:sz w:val="16"/>
          <w:szCs w:val="16"/>
          <w:lang w:val="fr-FR"/>
        </w:rPr>
        <w:t> %</w:t>
      </w:r>
      <w:r w:rsidRPr="00653BF4">
        <w:rPr>
          <w:rFonts w:ascii="Aptos" w:hAnsi="Aptos"/>
          <w:sz w:val="16"/>
          <w:szCs w:val="16"/>
          <w:lang w:val="fr-FR"/>
        </w:rPr>
        <w:t>, le jaune aux valeurs comprises entre 25</w:t>
      </w:r>
      <w:r w:rsidR="002878D7">
        <w:rPr>
          <w:rFonts w:ascii="Aptos" w:hAnsi="Aptos"/>
          <w:sz w:val="16"/>
          <w:szCs w:val="16"/>
          <w:lang w:val="fr-FR"/>
        </w:rPr>
        <w:t> %</w:t>
      </w:r>
      <w:r w:rsidRPr="00653BF4">
        <w:rPr>
          <w:rFonts w:ascii="Aptos" w:hAnsi="Aptos"/>
          <w:sz w:val="16"/>
          <w:szCs w:val="16"/>
          <w:lang w:val="fr-FR"/>
        </w:rPr>
        <w:t xml:space="preserve"> et 50</w:t>
      </w:r>
      <w:r w:rsidR="002878D7">
        <w:rPr>
          <w:rFonts w:ascii="Aptos" w:hAnsi="Aptos"/>
          <w:sz w:val="16"/>
          <w:szCs w:val="16"/>
          <w:lang w:val="fr-FR"/>
        </w:rPr>
        <w:t> %</w:t>
      </w:r>
      <w:r w:rsidRPr="00653BF4">
        <w:rPr>
          <w:rFonts w:ascii="Aptos" w:hAnsi="Aptos"/>
          <w:sz w:val="16"/>
          <w:szCs w:val="16"/>
          <w:lang w:val="fr-FR"/>
        </w:rPr>
        <w:t>, et le rouge aux valeurs inférieures à 25</w:t>
      </w:r>
      <w:r w:rsidR="002878D7">
        <w:rPr>
          <w:rFonts w:ascii="Aptos" w:hAnsi="Aptos"/>
          <w:sz w:val="16"/>
          <w:szCs w:val="16"/>
          <w:lang w:val="fr-FR"/>
        </w:rPr>
        <w:t> %</w:t>
      </w:r>
      <w:r w:rsidRPr="00653BF4">
        <w:rPr>
          <w:rFonts w:ascii="Aptos" w:hAnsi="Aptos"/>
          <w:sz w:val="16"/>
          <w:szCs w:val="16"/>
          <w:lang w:val="fr-FR"/>
        </w:rPr>
        <w:t>).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47A9B5BB" w14:textId="77777777" w:rsidR="007A60EC" w:rsidRPr="00653BF4" w:rsidRDefault="007A60EC" w:rsidP="007A60EC">
      <w:pPr>
        <w:pStyle w:val="FootnoteText"/>
        <w:rPr>
          <w:sz w:val="16"/>
          <w:szCs w:val="16"/>
          <w:lang w:val="fr-FR"/>
        </w:rPr>
      </w:pPr>
      <w:r w:rsidRPr="00653BF4">
        <w:rPr>
          <w:vertAlign w:val="superscript"/>
          <w:lang w:val="fr-FR"/>
        </w:rPr>
        <w:t>a</w:t>
      </w:r>
      <w:r w:rsidRPr="00653BF4">
        <w:rPr>
          <w:lang w:val="fr-FR"/>
        </w:rPr>
        <w:t xml:space="preserve"> </w:t>
      </w:r>
      <w:r w:rsidRPr="00653BF4">
        <w:rPr>
          <w:sz w:val="16"/>
          <w:szCs w:val="16"/>
          <w:lang w:val="fr-FR"/>
        </w:rPr>
        <w:t>Étant donné que l’outil de présentation des rapports en ligne exige des données sur les indicateurs binaires, le nombre de soumissions concernant ces indicateurs ne rend pas compte des différences de capacités de suivi entre les cibles et ne fournit pas d’informations exploitables pour progresser dans la mise en œuvre, de sorte qu’il n’y a pas lieu d’évaluer l’utilisation de ces indicateurs.</w:t>
      </w:r>
    </w:p>
    <w:p w14:paraId="54AD9AA1" w14:textId="77777777" w:rsidR="007A60EC" w:rsidRPr="00653BF4" w:rsidRDefault="007A60EC" w:rsidP="007A60EC">
      <w:pPr>
        <w:rPr>
          <w:lang w:val="fr-FR"/>
        </w:rPr>
      </w:pPr>
    </w:p>
    <w:p w14:paraId="2311F3AC" w14:textId="77777777" w:rsidR="007A60EC" w:rsidRPr="00653BF4" w:rsidRDefault="007A60EC" w:rsidP="007A60EC">
      <w:pPr>
        <w:rPr>
          <w:lang w:val="fr-FR"/>
        </w:rPr>
      </w:pPr>
    </w:p>
    <w:p w14:paraId="02BDD785" w14:textId="66E29868" w:rsidR="007A60EC" w:rsidRPr="00653BF4" w:rsidRDefault="007A60EC" w:rsidP="007A60EC">
      <w:pPr>
        <w:rPr>
          <w:rFonts w:ascii="Aptos" w:hAnsi="Aptos"/>
          <w:lang w:val="fr-FR"/>
        </w:rPr>
      </w:pPr>
      <w:r w:rsidRPr="00653BF4">
        <w:rPr>
          <w:lang w:val="fr-FR"/>
        </w:rPr>
        <w:t>Les Parties ont communiqué des données quantitatives sur de nombreux services écosystémiques différents, en mettant surtout l’accent sur les services liés à la qualité de l’eau et de l’air et aux secteurs productifs. Dans l’ensemble, les services écosystémiques ont suivi une tendance à la baisse chez les sept Parties ayant fourni des données sur l’indicateur phare B.1 (services rendus par les écosystèmes) au moyen de l’indice fondé sur les comptes de ces services (voir le tableau 52 et la figure 49). Il en ressort la nécessité de favoriser l’adoption et la mise en œuvre de la comptabilité écosystémique pour appuyer le suivi des progrès accomplis vers l’</w:t>
      </w:r>
      <w:r w:rsidR="002878D7">
        <w:rPr>
          <w:lang w:val="fr-FR"/>
        </w:rPr>
        <w:t>objectif B</w:t>
      </w:r>
      <w:r w:rsidRPr="00653BF4">
        <w:rPr>
          <w:lang w:val="fr-FR"/>
        </w:rPr>
        <w:t xml:space="preserve">. L’indicateur phare B.1, qui permet aussi de suivre les progrès vers la </w:t>
      </w:r>
      <w:r w:rsidR="00E34DC9">
        <w:rPr>
          <w:lang w:val="fr-FR"/>
        </w:rPr>
        <w:t>cible 1</w:t>
      </w:r>
      <w:r w:rsidRPr="00653BF4">
        <w:rPr>
          <w:lang w:val="fr-FR"/>
        </w:rPr>
        <w:t xml:space="preserve">1 du Cadre, est examiné plus en détail dans la partie correspondante de la </w:t>
      </w:r>
      <w:r w:rsidR="002878D7">
        <w:rPr>
          <w:lang w:val="fr-FR"/>
        </w:rPr>
        <w:t>section I</w:t>
      </w:r>
      <w:r w:rsidRPr="00653BF4">
        <w:rPr>
          <w:lang w:val="fr-FR"/>
        </w:rPr>
        <w:t>I.B ci-dessus.</w:t>
      </w:r>
    </w:p>
    <w:p w14:paraId="4801A81D" w14:textId="28BADD6D" w:rsidR="007A60EC" w:rsidRPr="00653BF4" w:rsidRDefault="007A60EC" w:rsidP="007A60EC">
      <w:pPr>
        <w:rPr>
          <w:rFonts w:ascii="Aptos" w:hAnsi="Aptos"/>
          <w:color w:val="000000" w:themeColor="text1"/>
          <w:shd w:val="clear" w:color="auto" w:fill="FFFFFF"/>
          <w:lang w:val="fr-FR"/>
        </w:rPr>
      </w:pPr>
      <w:r w:rsidRPr="00653BF4">
        <w:rPr>
          <w:lang w:val="fr-FR"/>
        </w:rPr>
        <w:lastRenderedPageBreak/>
        <w:t>D’après l’indicateur binaire associé à l’</w:t>
      </w:r>
      <w:r w:rsidR="002878D7">
        <w:rPr>
          <w:lang w:val="fr-FR"/>
        </w:rPr>
        <w:t>objectif B</w:t>
      </w:r>
      <w:r w:rsidRPr="00653BF4">
        <w:rPr>
          <w:lang w:val="fr-FR"/>
        </w:rPr>
        <w:t>, la plupart des Parties ont indiqué avoir bien progressé dans la mise en place de mesures visant à mettre en œuvre et à suivre l’utilisation durable de la biodiversité ainsi que la préservation et le renforcement des contributions de la nature à l’homme, y compris les fonctions et services écosystémiques (voir la figure 102). Toutefois, seule une Partie sur dix a déclaré avoir pleinement mis en œuvre de telles mesures. Selon les Parties, les progrès ont été nettement plus importants pour les mesures de mise en œuvre que pour les mesures de suivi, et plus marqués pour les mesures relatives à l’utilisation durable de la biodiversité que pour celles visant à préserver et à renforcer les contributions de la nature à l’homme</w:t>
      </w:r>
      <w:r w:rsidRPr="00653BF4">
        <w:rPr>
          <w:rFonts w:ascii="Aptos" w:hAnsi="Aptos"/>
          <w:color w:val="000000" w:themeColor="text1"/>
          <w:shd w:val="clear" w:color="auto" w:fill="FFFFFF"/>
          <w:lang w:val="fr-FR"/>
        </w:rPr>
        <w:t>.</w:t>
      </w:r>
    </w:p>
    <w:p w14:paraId="029B2D1E" w14:textId="77777777" w:rsidR="007A60EC" w:rsidRPr="00653BF4" w:rsidRDefault="007A60EC" w:rsidP="007A60EC">
      <w:pPr>
        <w:rPr>
          <w:rFonts w:ascii="Aptos" w:hAnsi="Aptos"/>
          <w:color w:val="000000" w:themeColor="text1"/>
          <w:shd w:val="clear" w:color="auto" w:fill="FFFFFF"/>
          <w:lang w:val="fr-FR"/>
        </w:rPr>
      </w:pPr>
    </w:p>
    <w:p w14:paraId="161E9472" w14:textId="3CA63D48" w:rsidR="007A60EC" w:rsidRPr="00653BF4" w:rsidRDefault="007A60EC" w:rsidP="007A60EC">
      <w:pPr>
        <w:rPr>
          <w:sz w:val="20"/>
          <w:szCs w:val="20"/>
          <w:lang w:val="fr-FR"/>
        </w:rPr>
      </w:pPr>
      <w:bookmarkStart w:id="471" w:name="_Ref238833366"/>
      <w:r w:rsidRPr="00653BF4">
        <w:rPr>
          <w:sz w:val="20"/>
          <w:szCs w:val="20"/>
          <w:lang w:val="fr-FR"/>
        </w:rPr>
        <w:t xml:space="preserve">Figure </w:t>
      </w:r>
      <w:r w:rsidRPr="00653BF4">
        <w:rPr>
          <w:noProof/>
          <w:sz w:val="20"/>
          <w:szCs w:val="20"/>
          <w:lang w:val="fr-FR"/>
        </w:rPr>
        <w:t>102</w:t>
      </w:r>
      <w:bookmarkEnd w:id="471"/>
    </w:p>
    <w:p w14:paraId="2E3183E7" w14:textId="5F1B4B56" w:rsidR="007A60EC" w:rsidRPr="00653BF4" w:rsidRDefault="007A60EC" w:rsidP="007A60EC">
      <w:pPr>
        <w:pStyle w:val="Caption"/>
        <w:rPr>
          <w:rFonts w:ascii="Aptos" w:hAnsi="Aptos"/>
          <w:i w:val="0"/>
          <w:iCs w:val="0"/>
          <w:lang w:val="fr-FR"/>
        </w:rPr>
      </w:pPr>
      <w:r w:rsidRPr="00653BF4">
        <w:rPr>
          <w:rFonts w:ascii="Aptos" w:hAnsi="Aptos"/>
          <w:b/>
          <w:bCs/>
          <w:i w:val="0"/>
          <w:iCs w:val="0"/>
          <w:lang w:val="fr-FR"/>
        </w:rPr>
        <w:t>Indicateur binaire B.b</w:t>
      </w:r>
      <w:r w:rsidR="00E34DC9">
        <w:rPr>
          <w:rFonts w:ascii="Aptos" w:hAnsi="Aptos"/>
          <w:b/>
          <w:bCs/>
          <w:i w:val="0"/>
          <w:iCs w:val="0"/>
          <w:lang w:val="fr-FR"/>
        </w:rPr>
        <w:t> :</w:t>
      </w:r>
      <w:r w:rsidRPr="00653BF4">
        <w:rPr>
          <w:rFonts w:ascii="Aptos" w:hAnsi="Aptos"/>
          <w:b/>
          <w:bCs/>
          <w:i w:val="0"/>
          <w:iCs w:val="0"/>
          <w:lang w:val="fr-FR"/>
        </w:rPr>
        <w:t xml:space="preserve"> nombre de pays disposant de politiques ou de mesures pour mettre en œuvre et surveiller l’utilisation durable de la biodiversité et la préservation et le renforcement des contributions de la nature à l’homme, y compris les fonctions et services écosystémiques</w:t>
      </w:r>
      <w:r w:rsidRPr="00653BF4">
        <w:rPr>
          <w:rFonts w:ascii="Aptos" w:hAnsi="Aptos"/>
          <w:i w:val="0"/>
          <w:iCs w:val="0"/>
          <w:lang w:val="fr-FR"/>
        </w:rPr>
        <w:t xml:space="preserve"> </w:t>
      </w:r>
    </w:p>
    <w:p w14:paraId="144D554F" w14:textId="77777777" w:rsidR="007A60EC" w:rsidRPr="00653BF4" w:rsidRDefault="007A60EC" w:rsidP="007A60EC">
      <w:pPr>
        <w:pStyle w:val="Caption"/>
        <w:rPr>
          <w:lang w:val="fr-FR"/>
        </w:rPr>
      </w:pPr>
      <w:r w:rsidRPr="00653BF4">
        <w:rPr>
          <w:noProof/>
          <w:lang w:val="fr-FR"/>
          <w14:ligatures w14:val="standardContextual"/>
        </w:rPr>
        <w:drawing>
          <wp:inline distT="0" distB="0" distL="0" distR="0" wp14:anchorId="00E709CF" wp14:editId="3A6FF5A9">
            <wp:extent cx="5943600" cy="2264410"/>
            <wp:effectExtent l="0" t="0" r="0" b="0"/>
            <wp:docPr id="842413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13928" name="Picture 842413928"/>
                    <pic:cNvPicPr/>
                  </pic:nvPicPr>
                  <pic:blipFill>
                    <a:blip r:embed="rId237" cstate="print">
                      <a:extLst>
                        <a:ext uri="{28A0092B-C50C-407E-A947-70E740481C1C}">
                          <a14:useLocalDpi xmlns:a14="http://schemas.microsoft.com/office/drawing/2010/main" val="0"/>
                        </a:ext>
                      </a:extLst>
                    </a:blip>
                    <a:stretch>
                      <a:fillRect/>
                    </a:stretch>
                  </pic:blipFill>
                  <pic:spPr>
                    <a:xfrm>
                      <a:off x="0" y="0"/>
                      <a:ext cx="5943600" cy="2264410"/>
                    </a:xfrm>
                    <a:prstGeom prst="rect">
                      <a:avLst/>
                    </a:prstGeom>
                  </pic:spPr>
                </pic:pic>
              </a:graphicData>
            </a:graphic>
          </wp:inline>
        </w:drawing>
      </w:r>
    </w:p>
    <w:p w14:paraId="75CE8027" w14:textId="2B922EF9" w:rsidR="007A60EC" w:rsidRPr="00653BF4" w:rsidRDefault="007A60EC" w:rsidP="007A60EC">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Pr="00653BF4">
        <w:rPr>
          <w:rFonts w:ascii="Aptos" w:hAnsi="Aptos"/>
          <w:lang w:val="fr-FR"/>
        </w:rPr>
        <w:t xml:space="preserve"> </w:t>
      </w:r>
      <w:r w:rsidRPr="00653BF4">
        <w:rPr>
          <w:rFonts w:ascii="Aptos" w:hAnsi="Aptos"/>
          <w:i w:val="0"/>
          <w:iCs w:val="0"/>
          <w:lang w:val="fr-FR"/>
        </w:rPr>
        <w:t>La largeur des barres indique le pourcentage de Parties dans chaque catégorie de note, une note plus élevée correspondant à des progrès plus importants. Les notes sont établies d’après les réponses aux questions de l’indicateur</w:t>
      </w:r>
      <w:r w:rsidRPr="00653BF4">
        <w:rPr>
          <w:rFonts w:ascii="Arial" w:hAnsi="Arial" w:cs="Arial"/>
          <w:i w:val="0"/>
          <w:iCs w:val="0"/>
          <w:lang w:val="fr-FR"/>
        </w:rPr>
        <w:t>ᵃ</w:t>
      </w:r>
      <w:r w:rsidRPr="00653BF4">
        <w:rPr>
          <w:rFonts w:ascii="Aptos" w:hAnsi="Aptos"/>
          <w:i w:val="0"/>
          <w:iCs w:val="0"/>
          <w:lang w:val="fr-FR"/>
        </w:rPr>
        <w:t>. Le diagramme circulaire représente la répartition par région des Parties ayant répondu à toutes les questions. La couleur de chaque région est indiquée dans la légende de la figure</w:t>
      </w:r>
      <w:r w:rsidR="00E34DC9">
        <w:rPr>
          <w:rFonts w:ascii="Aptos" w:hAnsi="Aptos"/>
          <w:i w:val="0"/>
          <w:iCs w:val="0"/>
          <w:lang w:val="fr-FR"/>
        </w:rPr>
        <w:t> :</w:t>
      </w:r>
      <w:r w:rsidRPr="00653BF4">
        <w:rPr>
          <w:rFonts w:ascii="Aptos" w:hAnsi="Aptos"/>
          <w:i w:val="0"/>
          <w:iCs w:val="0"/>
          <w:lang w:val="fr-FR"/>
        </w:rPr>
        <w:t xml:space="preserve"> les tons plus foncés représentent la proportion de Parties de chaque région dont les données figurent dans le graphique</w:t>
      </w:r>
      <w:r w:rsidR="00E34DC9">
        <w:rPr>
          <w:rFonts w:ascii="Aptos" w:hAnsi="Aptos"/>
          <w:i w:val="0"/>
          <w:iCs w:val="0"/>
          <w:lang w:val="fr-FR"/>
        </w:rPr>
        <w:t> ;</w:t>
      </w:r>
      <w:r w:rsidRPr="00653BF4">
        <w:rPr>
          <w:rFonts w:ascii="Aptos" w:hAnsi="Aptos"/>
          <w:i w:val="0"/>
          <w:iCs w:val="0"/>
          <w:lang w:val="fr-FR"/>
        </w:rPr>
        <w:t xml:space="preserve"> les tons plus clairs, la proportion de Parties de la même région dont les données n’y figurent pas.</w:t>
      </w:r>
    </w:p>
    <w:p w14:paraId="0E174AD0" w14:textId="77777777" w:rsidR="007A60EC" w:rsidRPr="00653BF4" w:rsidRDefault="007A60EC" w:rsidP="007A60EC">
      <w:pPr>
        <w:rPr>
          <w:sz w:val="18"/>
          <w:szCs w:val="18"/>
          <w:lang w:val="fr-FR"/>
        </w:rPr>
      </w:pPr>
      <w:r w:rsidRPr="00653BF4">
        <w:rPr>
          <w:sz w:val="18"/>
          <w:szCs w:val="18"/>
          <w:vertAlign w:val="superscript"/>
          <w:lang w:val="fr-FR"/>
        </w:rPr>
        <w:t xml:space="preserve">a </w:t>
      </w:r>
      <w:r w:rsidRPr="00653BF4">
        <w:rPr>
          <w:sz w:val="18"/>
          <w:szCs w:val="18"/>
          <w:lang w:val="fr-FR"/>
        </w:rPr>
        <w:t xml:space="preserve">La méthode de calcul des notes pour chaque indicateur binaire, ainsi que les questions associées à chaque indicateur, figurent dans le document </w:t>
      </w:r>
      <w:hyperlink r:id="rId238" w:history="1">
        <w:r w:rsidRPr="00653BF4">
          <w:rPr>
            <w:rStyle w:val="Hyperlink"/>
            <w:sz w:val="18"/>
            <w:szCs w:val="18"/>
            <w:lang w:val="fr-FR"/>
          </w:rPr>
          <w:t>CBD/COP/16/INF/3/Rev.1</w:t>
        </w:r>
      </w:hyperlink>
      <w:r w:rsidRPr="00653BF4">
        <w:rPr>
          <w:lang w:val="fr-FR"/>
        </w:rPr>
        <w:t>.</w:t>
      </w:r>
    </w:p>
    <w:tbl>
      <w:tblPr>
        <w:tblStyle w:val="TableGrid"/>
        <w:tblW w:w="8861" w:type="dxa"/>
        <w:tblLook w:val="04A0" w:firstRow="1" w:lastRow="0" w:firstColumn="1" w:lastColumn="0" w:noHBand="0" w:noVBand="1"/>
      </w:tblPr>
      <w:tblGrid>
        <w:gridCol w:w="4188"/>
        <w:gridCol w:w="4673"/>
      </w:tblGrid>
      <w:tr w:rsidR="001279A8" w:rsidRPr="003C6BAA" w14:paraId="6F4EB809" w14:textId="77777777" w:rsidTr="009B4355">
        <w:tc>
          <w:tcPr>
            <w:tcW w:w="8861" w:type="dxa"/>
            <w:gridSpan w:val="2"/>
          </w:tcPr>
          <w:p w14:paraId="0791614F" w14:textId="77777777" w:rsidR="001279A8" w:rsidRPr="003C6BAA" w:rsidRDefault="001279A8" w:rsidP="009B4355">
            <w:pPr>
              <w:rPr>
                <w:rFonts w:ascii="Aptos" w:hAnsi="Aptos"/>
              </w:rPr>
            </w:pPr>
            <w:r>
              <w:rPr>
                <w:rFonts w:ascii="Aptos" w:hAnsi="Aptos"/>
              </w:rPr>
              <w:t>Figure 102</w:t>
            </w:r>
          </w:p>
        </w:tc>
      </w:tr>
      <w:tr w:rsidR="001279A8" w:rsidRPr="003C6BAA" w14:paraId="3A31FE85" w14:textId="77777777" w:rsidTr="009B4355">
        <w:tc>
          <w:tcPr>
            <w:tcW w:w="4188" w:type="dxa"/>
          </w:tcPr>
          <w:p w14:paraId="39F73525" w14:textId="77777777" w:rsidR="001279A8" w:rsidRPr="003C6BAA" w:rsidRDefault="001279A8" w:rsidP="009B4355">
            <w:pPr>
              <w:rPr>
                <w:rFonts w:ascii="Aptos" w:hAnsi="Aptos"/>
              </w:rPr>
            </w:pPr>
            <w:r w:rsidRPr="003C6BAA">
              <w:rPr>
                <w:rFonts w:ascii="Aptos" w:hAnsi="Aptos"/>
              </w:rPr>
              <w:t xml:space="preserve">English </w:t>
            </w:r>
          </w:p>
        </w:tc>
        <w:tc>
          <w:tcPr>
            <w:tcW w:w="4673" w:type="dxa"/>
          </w:tcPr>
          <w:p w14:paraId="5BBE9A4A" w14:textId="77777777" w:rsidR="001279A8" w:rsidRPr="003C6BAA" w:rsidRDefault="001279A8" w:rsidP="009B4355">
            <w:pPr>
              <w:rPr>
                <w:rFonts w:ascii="Aptos" w:hAnsi="Aptos"/>
              </w:rPr>
            </w:pPr>
            <w:r>
              <w:rPr>
                <w:rFonts w:ascii="Aptos" w:hAnsi="Aptos"/>
              </w:rPr>
              <w:t>Français</w:t>
            </w:r>
          </w:p>
        </w:tc>
      </w:tr>
      <w:tr w:rsidR="001279A8" w:rsidRPr="003A6336" w14:paraId="445A6C71" w14:textId="77777777" w:rsidTr="009B4355">
        <w:tc>
          <w:tcPr>
            <w:tcW w:w="4188" w:type="dxa"/>
          </w:tcPr>
          <w:p w14:paraId="2AFE14E7" w14:textId="77777777" w:rsidR="001279A8" w:rsidRPr="003A6336" w:rsidRDefault="001279A8" w:rsidP="009B4355">
            <w:pPr>
              <w:rPr>
                <w:rFonts w:ascii="Aptos" w:hAnsi="Aptos"/>
              </w:rPr>
            </w:pPr>
            <w:r>
              <w:rPr>
                <w:rFonts w:ascii="Aptos" w:hAnsi="Aptos"/>
              </w:rPr>
              <w:t>Answers (percentage)</w:t>
            </w:r>
          </w:p>
        </w:tc>
        <w:tc>
          <w:tcPr>
            <w:tcW w:w="4673" w:type="dxa"/>
          </w:tcPr>
          <w:p w14:paraId="70749A90" w14:textId="77777777" w:rsidR="001279A8" w:rsidRPr="003A6336" w:rsidRDefault="001279A8" w:rsidP="009B4355">
            <w:pPr>
              <w:rPr>
                <w:rFonts w:ascii="Aptos" w:hAnsi="Aptos"/>
              </w:rPr>
            </w:pPr>
            <w:r>
              <w:t>Réponses (pourcentage)</w:t>
            </w:r>
          </w:p>
        </w:tc>
      </w:tr>
      <w:tr w:rsidR="001279A8" w:rsidRPr="003A6336" w14:paraId="665E5F81" w14:textId="77777777" w:rsidTr="009B4355">
        <w:tc>
          <w:tcPr>
            <w:tcW w:w="4188" w:type="dxa"/>
          </w:tcPr>
          <w:p w14:paraId="5BFEF4B4" w14:textId="77777777" w:rsidR="001279A8" w:rsidRPr="003A6336" w:rsidRDefault="001279A8" w:rsidP="009B4355">
            <w:pPr>
              <w:rPr>
                <w:rFonts w:ascii="Aptos" w:hAnsi="Aptos"/>
              </w:rPr>
            </w:pPr>
            <w:r>
              <w:rPr>
                <w:rFonts w:ascii="Aptos" w:hAnsi="Aptos"/>
              </w:rPr>
              <w:t>Score level</w:t>
            </w:r>
          </w:p>
        </w:tc>
        <w:tc>
          <w:tcPr>
            <w:tcW w:w="4673" w:type="dxa"/>
          </w:tcPr>
          <w:p w14:paraId="5EFE8C6F" w14:textId="77777777" w:rsidR="001279A8" w:rsidRPr="003A6336" w:rsidRDefault="001279A8" w:rsidP="009B4355">
            <w:pPr>
              <w:rPr>
                <w:rFonts w:ascii="Aptos" w:hAnsi="Aptos"/>
              </w:rPr>
            </w:pPr>
            <w:r>
              <w:rPr>
                <w:rFonts w:ascii="Aptos" w:hAnsi="Aptos"/>
              </w:rPr>
              <w:t>Note</w:t>
            </w:r>
          </w:p>
        </w:tc>
      </w:tr>
      <w:tr w:rsidR="001279A8" w:rsidRPr="003A6336" w14:paraId="70BA784A" w14:textId="77777777" w:rsidTr="009B4355">
        <w:tc>
          <w:tcPr>
            <w:tcW w:w="4188" w:type="dxa"/>
          </w:tcPr>
          <w:p w14:paraId="4D82C841" w14:textId="77777777" w:rsidR="001279A8" w:rsidRPr="003A6336" w:rsidRDefault="001279A8" w:rsidP="009B4355">
            <w:pPr>
              <w:rPr>
                <w:rFonts w:ascii="Aptos" w:hAnsi="Aptos"/>
              </w:rPr>
            </w:pPr>
            <w:r>
              <w:rPr>
                <w:rFonts w:ascii="Aptos" w:hAnsi="Aptos"/>
              </w:rPr>
              <w:t>Party count: 118</w:t>
            </w:r>
          </w:p>
        </w:tc>
        <w:tc>
          <w:tcPr>
            <w:tcW w:w="4673" w:type="dxa"/>
          </w:tcPr>
          <w:p w14:paraId="2D495123" w14:textId="77777777" w:rsidR="001279A8" w:rsidRPr="003A6336" w:rsidRDefault="001279A8" w:rsidP="009B4355">
            <w:pPr>
              <w:rPr>
                <w:rFonts w:ascii="Aptos" w:hAnsi="Aptos"/>
              </w:rPr>
            </w:pPr>
            <w:r>
              <w:t>Nombre de Parties : 118</w:t>
            </w:r>
          </w:p>
        </w:tc>
      </w:tr>
      <w:tr w:rsidR="001279A8" w:rsidRPr="003A6336" w14:paraId="3672335B" w14:textId="77777777" w:rsidTr="009B4355">
        <w:tc>
          <w:tcPr>
            <w:tcW w:w="4188" w:type="dxa"/>
          </w:tcPr>
          <w:p w14:paraId="3CA5A126" w14:textId="77777777" w:rsidR="001279A8" w:rsidRPr="003A6336" w:rsidRDefault="001279A8" w:rsidP="009B4355">
            <w:pPr>
              <w:rPr>
                <w:rFonts w:ascii="Aptos" w:hAnsi="Aptos"/>
              </w:rPr>
            </w:pPr>
            <w:r>
              <w:rPr>
                <w:rFonts w:ascii="Aptos" w:hAnsi="Aptos"/>
              </w:rPr>
              <w:t>Region</w:t>
            </w:r>
          </w:p>
        </w:tc>
        <w:tc>
          <w:tcPr>
            <w:tcW w:w="4673" w:type="dxa"/>
          </w:tcPr>
          <w:p w14:paraId="392408CB" w14:textId="77777777" w:rsidR="001279A8" w:rsidRPr="003A6336" w:rsidRDefault="001279A8" w:rsidP="009B4355">
            <w:pPr>
              <w:rPr>
                <w:rFonts w:ascii="Aptos" w:hAnsi="Aptos"/>
              </w:rPr>
            </w:pPr>
            <w:r>
              <w:t>Région</w:t>
            </w:r>
          </w:p>
        </w:tc>
      </w:tr>
      <w:tr w:rsidR="001279A8" w:rsidRPr="003A6336" w14:paraId="329B6F25" w14:textId="77777777" w:rsidTr="009B4355">
        <w:tc>
          <w:tcPr>
            <w:tcW w:w="4188" w:type="dxa"/>
          </w:tcPr>
          <w:p w14:paraId="5628FB34" w14:textId="77777777" w:rsidR="001279A8" w:rsidRPr="003A6336" w:rsidRDefault="001279A8" w:rsidP="009B4355">
            <w:pPr>
              <w:rPr>
                <w:rFonts w:ascii="Aptos" w:hAnsi="Aptos"/>
              </w:rPr>
            </w:pPr>
            <w:r>
              <w:rPr>
                <w:rFonts w:ascii="Aptos" w:hAnsi="Aptos"/>
              </w:rPr>
              <w:lastRenderedPageBreak/>
              <w:t>African States</w:t>
            </w:r>
          </w:p>
        </w:tc>
        <w:tc>
          <w:tcPr>
            <w:tcW w:w="4673" w:type="dxa"/>
          </w:tcPr>
          <w:p w14:paraId="7D39EF3A" w14:textId="77777777" w:rsidR="001279A8" w:rsidRPr="003A6336" w:rsidRDefault="001279A8" w:rsidP="009B4355">
            <w:pPr>
              <w:rPr>
                <w:rFonts w:ascii="Aptos" w:hAnsi="Aptos"/>
              </w:rPr>
            </w:pPr>
            <w:r>
              <w:t>États d’Afrique</w:t>
            </w:r>
          </w:p>
        </w:tc>
      </w:tr>
      <w:tr w:rsidR="001279A8" w:rsidRPr="003A6336" w14:paraId="6C7591AD" w14:textId="77777777" w:rsidTr="009B4355">
        <w:tc>
          <w:tcPr>
            <w:tcW w:w="4188" w:type="dxa"/>
          </w:tcPr>
          <w:p w14:paraId="1003A7A6" w14:textId="77777777" w:rsidR="001279A8" w:rsidRPr="003A6336" w:rsidRDefault="001279A8" w:rsidP="009B4355">
            <w:pPr>
              <w:rPr>
                <w:rFonts w:ascii="Aptos" w:hAnsi="Aptos"/>
              </w:rPr>
            </w:pPr>
            <w:r>
              <w:rPr>
                <w:rFonts w:ascii="Aptos" w:hAnsi="Aptos"/>
              </w:rPr>
              <w:t>Asia-Pacific States</w:t>
            </w:r>
          </w:p>
        </w:tc>
        <w:tc>
          <w:tcPr>
            <w:tcW w:w="4673" w:type="dxa"/>
          </w:tcPr>
          <w:p w14:paraId="77435089" w14:textId="77777777" w:rsidR="001279A8" w:rsidRPr="003A6336" w:rsidRDefault="001279A8" w:rsidP="009B4355">
            <w:pPr>
              <w:rPr>
                <w:rFonts w:ascii="Aptos" w:hAnsi="Aptos"/>
              </w:rPr>
            </w:pPr>
            <w:r>
              <w:t>États d’Asie et du Pacifique</w:t>
            </w:r>
          </w:p>
        </w:tc>
      </w:tr>
      <w:tr w:rsidR="001279A8" w:rsidRPr="003A6336" w14:paraId="1AADB445" w14:textId="77777777" w:rsidTr="009B4355">
        <w:tc>
          <w:tcPr>
            <w:tcW w:w="4188" w:type="dxa"/>
          </w:tcPr>
          <w:p w14:paraId="75628810" w14:textId="77777777" w:rsidR="001279A8" w:rsidRPr="003A6336" w:rsidRDefault="001279A8" w:rsidP="009B4355">
            <w:pPr>
              <w:rPr>
                <w:rFonts w:ascii="Aptos" w:hAnsi="Aptos"/>
              </w:rPr>
            </w:pPr>
            <w:r>
              <w:rPr>
                <w:rFonts w:ascii="Aptos" w:hAnsi="Aptos"/>
              </w:rPr>
              <w:t>Latin American and Caribbean States</w:t>
            </w:r>
          </w:p>
        </w:tc>
        <w:tc>
          <w:tcPr>
            <w:tcW w:w="4673" w:type="dxa"/>
          </w:tcPr>
          <w:p w14:paraId="600AD582" w14:textId="77777777" w:rsidR="001279A8" w:rsidRPr="003A6336" w:rsidRDefault="001279A8" w:rsidP="009B4355">
            <w:pPr>
              <w:rPr>
                <w:rFonts w:ascii="Aptos" w:hAnsi="Aptos"/>
              </w:rPr>
            </w:pPr>
            <w:r>
              <w:t>États d’Amérique latine et des Caraïbes</w:t>
            </w:r>
          </w:p>
        </w:tc>
      </w:tr>
      <w:tr w:rsidR="001279A8" w:rsidRPr="003A6336" w14:paraId="1EAA8D11" w14:textId="77777777" w:rsidTr="009B4355">
        <w:tc>
          <w:tcPr>
            <w:tcW w:w="4188" w:type="dxa"/>
          </w:tcPr>
          <w:p w14:paraId="14E97EF4" w14:textId="77777777" w:rsidR="001279A8" w:rsidRPr="003A6336" w:rsidRDefault="001279A8" w:rsidP="009B4355">
            <w:pPr>
              <w:rPr>
                <w:rFonts w:ascii="Aptos" w:hAnsi="Aptos"/>
              </w:rPr>
            </w:pPr>
            <w:r>
              <w:rPr>
                <w:rFonts w:ascii="Aptos" w:hAnsi="Aptos"/>
              </w:rPr>
              <w:t>Eastern European States</w:t>
            </w:r>
          </w:p>
        </w:tc>
        <w:tc>
          <w:tcPr>
            <w:tcW w:w="4673" w:type="dxa"/>
          </w:tcPr>
          <w:p w14:paraId="5CB81FD8" w14:textId="77777777" w:rsidR="001279A8" w:rsidRPr="003A6336" w:rsidRDefault="001279A8" w:rsidP="009B4355">
            <w:pPr>
              <w:rPr>
                <w:rFonts w:ascii="Aptos" w:hAnsi="Aptos"/>
              </w:rPr>
            </w:pPr>
            <w:r>
              <w:t>États d’Europe orientale</w:t>
            </w:r>
          </w:p>
        </w:tc>
      </w:tr>
      <w:tr w:rsidR="001279A8" w:rsidRPr="003A6336" w14:paraId="039A9C34" w14:textId="77777777" w:rsidTr="009B4355">
        <w:tc>
          <w:tcPr>
            <w:tcW w:w="4188" w:type="dxa"/>
          </w:tcPr>
          <w:p w14:paraId="0FF298B9" w14:textId="77777777" w:rsidR="001279A8" w:rsidRPr="003A6336" w:rsidRDefault="001279A8" w:rsidP="009B4355">
            <w:pPr>
              <w:rPr>
                <w:rFonts w:ascii="Aptos" w:hAnsi="Aptos"/>
              </w:rPr>
            </w:pPr>
            <w:r>
              <w:rPr>
                <w:rFonts w:ascii="Aptos" w:hAnsi="Aptos"/>
              </w:rPr>
              <w:t>Western European and other States</w:t>
            </w:r>
          </w:p>
        </w:tc>
        <w:tc>
          <w:tcPr>
            <w:tcW w:w="4673" w:type="dxa"/>
          </w:tcPr>
          <w:p w14:paraId="68D9B8FC" w14:textId="77777777" w:rsidR="001279A8" w:rsidRPr="003A6336" w:rsidRDefault="001279A8" w:rsidP="009B4355">
            <w:pPr>
              <w:rPr>
                <w:rFonts w:ascii="Aptos" w:hAnsi="Aptos"/>
              </w:rPr>
            </w:pPr>
            <w:r>
              <w:t>États d’Europe occidentale et autres États</w:t>
            </w:r>
          </w:p>
        </w:tc>
      </w:tr>
    </w:tbl>
    <w:p w14:paraId="2E9DBDBE" w14:textId="77777777" w:rsidR="007A60EC" w:rsidRPr="00653BF4" w:rsidRDefault="007A60EC" w:rsidP="007A60EC">
      <w:pPr>
        <w:pStyle w:val="p1"/>
        <w:rPr>
          <w:rFonts w:ascii="Aptos" w:hAnsi="Aptos"/>
          <w:sz w:val="24"/>
          <w:szCs w:val="24"/>
          <w:lang w:val="fr-FR"/>
        </w:rPr>
      </w:pPr>
    </w:p>
    <w:p w14:paraId="7484F3FE" w14:textId="17F4C784" w:rsidR="007A60EC" w:rsidRPr="00653BF4" w:rsidRDefault="007A60EC" w:rsidP="007A60EC">
      <w:pPr>
        <w:pStyle w:val="Heading5"/>
        <w:rPr>
          <w:lang w:val="fr-FR"/>
        </w:rPr>
      </w:pPr>
      <w:r w:rsidRPr="00653BF4">
        <w:rPr>
          <w:lang w:val="fr-FR"/>
        </w:rPr>
        <w:t>Résumé des mesures prises pour progresser vers la réalisation de l’</w:t>
      </w:r>
      <w:r w:rsidR="002878D7">
        <w:rPr>
          <w:lang w:val="fr-FR"/>
        </w:rPr>
        <w:t>objectif B</w:t>
      </w:r>
    </w:p>
    <w:p w14:paraId="2B914C8A" w14:textId="77777777" w:rsidR="007A60EC" w:rsidRPr="00653BF4" w:rsidRDefault="007A60EC" w:rsidP="007A60EC">
      <w:pPr>
        <w:rPr>
          <w:lang w:val="fr-FR"/>
        </w:rPr>
      </w:pPr>
    </w:p>
    <w:p w14:paraId="003207F4" w14:textId="76F94A24" w:rsidR="007A60EC" w:rsidRPr="00653BF4" w:rsidRDefault="007A60EC" w:rsidP="007A60EC">
      <w:pPr>
        <w:spacing w:line="279" w:lineRule="auto"/>
        <w:rPr>
          <w:lang w:val="fr-FR"/>
        </w:rPr>
      </w:pPr>
      <w:r w:rsidRPr="00653BF4">
        <w:rPr>
          <w:lang w:val="fr-FR"/>
        </w:rPr>
        <w:t>Dans leurs rapports nationaux, les Parties ont mis en avant de nombreuses actions visant à promouvoir la durabilité des secteurs productifs, finalité elle-même associée à l’</w:t>
      </w:r>
      <w:r w:rsidR="002878D7">
        <w:rPr>
          <w:lang w:val="fr-FR"/>
        </w:rPr>
        <w:t>objectif B</w:t>
      </w:r>
      <w:r w:rsidRPr="00653BF4">
        <w:rPr>
          <w:lang w:val="fr-FR"/>
        </w:rPr>
        <w:t xml:space="preserve">. Parmi les mesures jugées particulièrement efficaces figurent l’extension des dispositifs de certification et des pratiques de gestion communautaire, la désignation d’aires marines protégées de non-prélèvement, la réduction de l’utilisation de pesticides et la création de mécanismes fondés sur le marché reliant les activités de développement au maintien des services écosystémiques. Les Parties ont également mis en avant une série d’actions liées à l’intégration de la biodiversité, telles que la comptabilité du capital naturel et la mise en place, dans tous les ministères, de budgets </w:t>
      </w:r>
      <w:r w:rsidR="00E34DC9">
        <w:rPr>
          <w:lang w:val="fr-FR"/>
        </w:rPr>
        <w:t>« </w:t>
      </w:r>
      <w:r w:rsidRPr="00653BF4">
        <w:rPr>
          <w:lang w:val="fr-FR"/>
        </w:rPr>
        <w:t>verts</w:t>
      </w:r>
      <w:r w:rsidR="00E34DC9">
        <w:rPr>
          <w:lang w:val="fr-FR"/>
        </w:rPr>
        <w:t> »</w:t>
      </w:r>
      <w:r w:rsidRPr="00653BF4">
        <w:rPr>
          <w:lang w:val="fr-FR"/>
        </w:rPr>
        <w:t xml:space="preserve"> conçus expressément pour appuyer les activités liées à l’environnement dans l’ensemble de l’administration. De nombreuses Parties ont estimé que la nécessité de se doter d’instruments juridiquement contraignants à l’appui de cette intégration et de la conservation constituait une difficulté à surmonter pour progresser vers l’</w:t>
      </w:r>
      <w:r w:rsidR="002878D7">
        <w:rPr>
          <w:lang w:val="fr-FR"/>
        </w:rPr>
        <w:t>objectif B</w:t>
      </w:r>
      <w:r w:rsidRPr="00653BF4">
        <w:rPr>
          <w:lang w:val="fr-FR"/>
        </w:rPr>
        <w:t xml:space="preserve">. Parmi les autres actions pertinentes recensées par les Parties figurent le recours à des solutions fondées sur la nature liées à la restauration des écosystèmes, la promotion et le financement des moyens d’existence fondés sur les écosystèmes, ainsi que l’intégration d’infrastructures vertes et de mesures de réduction de la pollution dans l’aménagement urbain. Les Parties ont en outre proposé de remédier au manque de participation en soutenant et en favorisant la gestion des zones protégées et conservées par les peuples autochtones et communautés locales, ainsi que l’implication des femmes et des communautés dans les projets de restauration, y compris par le versement de salaires. </w:t>
      </w:r>
    </w:p>
    <w:p w14:paraId="1A67C980" w14:textId="77777777" w:rsidR="007A60EC" w:rsidRPr="00653BF4" w:rsidRDefault="007A60EC" w:rsidP="007A60EC">
      <w:pPr>
        <w:pStyle w:val="Heading4"/>
        <w:rPr>
          <w:lang w:val="fr-FR"/>
        </w:rPr>
      </w:pPr>
    </w:p>
    <w:p w14:paraId="1AA9ED46" w14:textId="34A40480" w:rsidR="007A60EC" w:rsidRPr="00653BF4" w:rsidRDefault="002878D7" w:rsidP="007A60EC">
      <w:pPr>
        <w:pStyle w:val="Heading4"/>
        <w:rPr>
          <w:i w:val="0"/>
          <w:iCs w:val="0"/>
          <w:lang w:val="fr-FR"/>
        </w:rPr>
      </w:pPr>
      <w:bookmarkStart w:id="472" w:name="_Toc235821352"/>
      <w:bookmarkStart w:id="473" w:name="_Toc239069223"/>
      <w:bookmarkStart w:id="474" w:name="_Toc927307887"/>
      <w:bookmarkStart w:id="475" w:name="_Toc242801260"/>
      <w:r>
        <w:rPr>
          <w:b/>
          <w:bCs/>
          <w:i w:val="0"/>
          <w:iCs w:val="0"/>
          <w:lang w:val="fr-FR"/>
        </w:rPr>
        <w:t>Objectif C</w:t>
      </w:r>
      <w:r w:rsidR="007A60EC" w:rsidRPr="00653BF4">
        <w:rPr>
          <w:b/>
          <w:bCs/>
          <w:i w:val="0"/>
          <w:iCs w:val="0"/>
          <w:lang w:val="fr-FR"/>
        </w:rPr>
        <w:t xml:space="preserve">. </w:t>
      </w:r>
      <w:bookmarkEnd w:id="472"/>
      <w:bookmarkEnd w:id="473"/>
      <w:bookmarkEnd w:id="474"/>
      <w:r w:rsidR="007A60EC" w:rsidRPr="00653BF4">
        <w:rPr>
          <w:rFonts w:ascii="Aptos" w:hAnsi="Aptos" w:cs="Aptos"/>
          <w:i w:val="0"/>
          <w:lang w:val="fr-FR"/>
        </w:rPr>
        <w:t xml:space="preserve">Partager de manière juste les avantages découlant </w:t>
      </w:r>
      <w:r w:rsidR="007A60EC" w:rsidRPr="00653BF4">
        <w:rPr>
          <w:rFonts w:ascii="Aptos" w:hAnsi="Aptos" w:cs="Aptos"/>
          <w:i w:val="0"/>
          <w:spacing w:val="6"/>
          <w:shd w:val="clear" w:color="auto" w:fill="FFFFFF"/>
          <w:lang w:val="fr-FR"/>
        </w:rPr>
        <w:t xml:space="preserve">de l’utilisation </w:t>
      </w:r>
      <w:r w:rsidR="007A60EC" w:rsidRPr="00653BF4">
        <w:rPr>
          <w:rFonts w:ascii="Aptos" w:hAnsi="Aptos" w:cs="Aptos"/>
          <w:i w:val="0"/>
          <w:lang w:val="fr-FR"/>
        </w:rPr>
        <w:t>des ressources génétiques</w:t>
      </w:r>
      <w:bookmarkEnd w:id="475"/>
    </w:p>
    <w:p w14:paraId="04005A00" w14:textId="77777777" w:rsidR="007A60EC" w:rsidRPr="00653BF4" w:rsidRDefault="007A60EC" w:rsidP="007A60EC">
      <w:pPr>
        <w:rPr>
          <w:lang w:val="fr-FR"/>
        </w:rPr>
      </w:pPr>
    </w:p>
    <w:p w14:paraId="1C89672F" w14:textId="77777777" w:rsidR="007A60EC" w:rsidRPr="00653BF4" w:rsidRDefault="007A60EC" w:rsidP="007A60EC">
      <w:pPr>
        <w:rPr>
          <w:b/>
          <w:bCs/>
          <w:i/>
          <w:iCs/>
          <w:sz w:val="22"/>
          <w:szCs w:val="22"/>
          <w:lang w:val="fr-FR"/>
        </w:rPr>
      </w:pPr>
      <w:r w:rsidRPr="00653BF4">
        <w:rPr>
          <w:b/>
          <w:bCs/>
          <w:sz w:val="22"/>
          <w:szCs w:val="22"/>
          <w:lang w:val="fr-FR"/>
        </w:rPr>
        <w:t>Texte de l’objectif</w:t>
      </w:r>
      <w:r w:rsidRPr="00653BF4">
        <w:rPr>
          <w:rFonts w:ascii="Aptos" w:hAnsi="Aptos"/>
          <w:i/>
          <w:iCs/>
          <w:color w:val="000000"/>
          <w:spacing w:val="6"/>
          <w:sz w:val="22"/>
          <w:szCs w:val="22"/>
          <w:shd w:val="clear" w:color="auto" w:fill="FFFFFF"/>
          <w:lang w:val="fr-FR"/>
        </w:rPr>
        <w:t xml:space="preserve">. Partager de manière juste et équitable les avantages monétaires et non monétaires découlant de l’utilisation des ressources génétiques et de l’information de séquençage numérique sur les ressources génétiques, ainsi que des connaissances traditionnelles associées aux ressources génétiques, le cas échéant, y compris, s’il y a lieu, </w:t>
      </w:r>
      <w:r w:rsidRPr="00653BF4">
        <w:rPr>
          <w:rFonts w:ascii="Aptos" w:hAnsi="Aptos"/>
          <w:i/>
          <w:iCs/>
          <w:color w:val="000000"/>
          <w:spacing w:val="6"/>
          <w:sz w:val="22"/>
          <w:szCs w:val="22"/>
          <w:shd w:val="clear" w:color="auto" w:fill="FFFFFF"/>
          <w:lang w:val="fr-FR"/>
        </w:rPr>
        <w:lastRenderedPageBreak/>
        <w:t>avec les peuples autochtones et communautés locales, et les augmenter significativement d’ici à 2050, tout en veillant à ce que les connaissances traditionnelles associées aux ressources génétiques soient protégées de manière appropriée, contribuant ainsi à la conservation et à l’utilisation durable de la biodiversité, conformément aux instruments relatifs à l’accès et au partage des avantages convenus au niveau international.</w:t>
      </w:r>
    </w:p>
    <w:p w14:paraId="5E48300C" w14:textId="77777777" w:rsidR="007A60EC" w:rsidRPr="00653BF4" w:rsidRDefault="007A60EC" w:rsidP="007A60EC">
      <w:pPr>
        <w:rPr>
          <w:lang w:val="fr-FR"/>
        </w:rPr>
      </w:pPr>
    </w:p>
    <w:p w14:paraId="126834B3" w14:textId="77777777" w:rsidR="007A60EC" w:rsidRPr="00653BF4" w:rsidRDefault="007A60EC" w:rsidP="007A60EC">
      <w:pPr>
        <w:pStyle w:val="Heading5"/>
        <w:rPr>
          <w:lang w:val="fr-FR"/>
        </w:rPr>
      </w:pPr>
      <w:r w:rsidRPr="00653BF4">
        <w:rPr>
          <w:rFonts w:ascii="Aptos" w:hAnsi="Aptos" w:cs="Aptos"/>
          <w:bCs/>
          <w:lang w:val="fr-FR"/>
        </w:rPr>
        <w:t>Aperçu de l’objectif</w:t>
      </w:r>
    </w:p>
    <w:p w14:paraId="42BA5F90" w14:textId="77777777" w:rsidR="007A60EC" w:rsidRPr="00653BF4" w:rsidRDefault="007A60EC" w:rsidP="007A60EC">
      <w:pPr>
        <w:rPr>
          <w:lang w:val="fr-FR"/>
        </w:rPr>
      </w:pPr>
    </w:p>
    <w:tbl>
      <w:tblPr>
        <w:tblStyle w:val="TableGrid"/>
        <w:tblW w:w="0" w:type="auto"/>
        <w:tblLook w:val="04A0" w:firstRow="1" w:lastRow="0" w:firstColumn="1" w:lastColumn="0" w:noHBand="0" w:noVBand="1"/>
      </w:tblPr>
      <w:tblGrid>
        <w:gridCol w:w="9016"/>
      </w:tblGrid>
      <w:tr w:rsidR="007A60EC" w:rsidRPr="00543148" w14:paraId="7C446C37" w14:textId="77777777" w:rsidTr="00557FB3">
        <w:tc>
          <w:tcPr>
            <w:tcW w:w="9016" w:type="dxa"/>
            <w:shd w:val="clear" w:color="auto" w:fill="D1D1D1" w:themeFill="background2" w:themeFillShade="E6"/>
          </w:tcPr>
          <w:p w14:paraId="02F0FB6C" w14:textId="77777777" w:rsidR="007A60EC" w:rsidRPr="00653BF4" w:rsidRDefault="007A60EC" w:rsidP="00557FB3">
            <w:pPr>
              <w:rPr>
                <w:rFonts w:eastAsia="Aptos"/>
                <w:lang w:val="fr-FR"/>
              </w:rPr>
            </w:pPr>
          </w:p>
          <w:p w14:paraId="71EA051F" w14:textId="1AB414CD" w:rsidR="007A60EC" w:rsidRPr="00653BF4" w:rsidRDefault="007A60EC" w:rsidP="00557FB3">
            <w:pPr>
              <w:rPr>
                <w:rFonts w:eastAsia="Aptos"/>
                <w:lang w:val="fr-FR"/>
              </w:rPr>
            </w:pPr>
            <w:r w:rsidRPr="00653BF4">
              <w:rPr>
                <w:rFonts w:eastAsia="Aptos"/>
                <w:lang w:val="fr-FR"/>
              </w:rPr>
              <w:t>Les Parties n’ont associé que deux cibles du Cadre à l’</w:t>
            </w:r>
            <w:r w:rsidR="002878D7">
              <w:rPr>
                <w:rFonts w:eastAsia="Aptos"/>
                <w:lang w:val="fr-FR"/>
              </w:rPr>
              <w:t>objectif C</w:t>
            </w:r>
            <w:r w:rsidR="00E34DC9">
              <w:rPr>
                <w:rFonts w:eastAsia="Aptos"/>
                <w:lang w:val="fr-FR"/>
              </w:rPr>
              <w:t> :</w:t>
            </w:r>
            <w:r w:rsidRPr="00653BF4">
              <w:rPr>
                <w:rFonts w:eastAsia="Aptos"/>
                <w:lang w:val="fr-FR"/>
              </w:rPr>
              <w:t xml:space="preserve"> la </w:t>
            </w:r>
            <w:r w:rsidR="00E34DC9">
              <w:rPr>
                <w:rFonts w:eastAsia="Aptos"/>
                <w:lang w:val="fr-FR"/>
              </w:rPr>
              <w:t>cible 1</w:t>
            </w:r>
            <w:r w:rsidRPr="00653BF4">
              <w:rPr>
                <w:rFonts w:eastAsia="Aptos"/>
                <w:lang w:val="fr-FR"/>
              </w:rPr>
              <w:t xml:space="preserve">3, relative à l’accès et au partage des avantages, et la </w:t>
            </w:r>
            <w:r w:rsidR="00E34DC9">
              <w:rPr>
                <w:rFonts w:eastAsia="Aptos"/>
                <w:lang w:val="fr-FR"/>
              </w:rPr>
              <w:t>cible 1</w:t>
            </w:r>
            <w:r w:rsidRPr="00653BF4">
              <w:rPr>
                <w:rFonts w:eastAsia="Aptos"/>
                <w:lang w:val="fr-FR"/>
              </w:rPr>
              <w:t>7, relative à la prévention des risques biotechnologiques. Si les informations disponibles sont insuffisantes pour suivre l’évolution des résultats liés à ces cibles mondiales, les Parties ont néanmoins fait part des progrès réalisés dans l’élaboration de certaines des mesures administratives, législatives et politiques nécessaires à la mise en œuvre des deux cibles.</w:t>
            </w:r>
          </w:p>
          <w:p w14:paraId="39D35A85" w14:textId="77777777" w:rsidR="007A60EC" w:rsidRPr="00653BF4" w:rsidRDefault="007A60EC" w:rsidP="00557FB3">
            <w:pPr>
              <w:rPr>
                <w:rFonts w:eastAsia="Aptos"/>
                <w:lang w:val="fr-FR"/>
              </w:rPr>
            </w:pPr>
          </w:p>
        </w:tc>
      </w:tr>
    </w:tbl>
    <w:p w14:paraId="67F87A41" w14:textId="77777777" w:rsidR="007A60EC" w:rsidRPr="00653BF4" w:rsidRDefault="007A60EC" w:rsidP="007A60EC">
      <w:pPr>
        <w:rPr>
          <w:b/>
          <w:bCs/>
          <w:i/>
          <w:iCs/>
          <w:sz w:val="22"/>
          <w:szCs w:val="22"/>
          <w:lang w:val="fr-FR"/>
        </w:rPr>
      </w:pPr>
    </w:p>
    <w:p w14:paraId="42770E9E" w14:textId="77777777" w:rsidR="007A60EC" w:rsidRPr="00653BF4" w:rsidRDefault="007A60EC" w:rsidP="007A60EC">
      <w:pPr>
        <w:pStyle w:val="Heading5"/>
        <w:rPr>
          <w:lang w:val="fr-FR"/>
        </w:rPr>
      </w:pPr>
    </w:p>
    <w:p w14:paraId="6C7898AA" w14:textId="77777777" w:rsidR="007A60EC" w:rsidRPr="00653BF4" w:rsidRDefault="007A60EC" w:rsidP="007A60EC">
      <w:pPr>
        <w:pStyle w:val="Heading5"/>
        <w:rPr>
          <w:lang w:val="fr-FR"/>
        </w:rPr>
      </w:pPr>
      <w:r w:rsidRPr="00653BF4">
        <w:rPr>
          <w:lang w:val="fr-FR"/>
        </w:rPr>
        <w:t>Progrès concernant les cibles associées</w:t>
      </w:r>
    </w:p>
    <w:p w14:paraId="6985A6B8" w14:textId="3D9C749C" w:rsidR="007A60EC" w:rsidRPr="00653BF4" w:rsidRDefault="007A60EC" w:rsidP="007A60EC">
      <w:pPr>
        <w:rPr>
          <w:lang w:val="fr-FR"/>
        </w:rPr>
      </w:pPr>
      <w:r w:rsidRPr="00653BF4">
        <w:rPr>
          <w:lang w:val="fr-FR"/>
        </w:rPr>
        <w:t>Selon la méthode décrite plus haut, seules deux cibles du Cadre (</w:t>
      </w:r>
      <w:r w:rsidR="002878D7">
        <w:rPr>
          <w:lang w:val="fr-FR"/>
        </w:rPr>
        <w:t>cibles 1</w:t>
      </w:r>
      <w:r w:rsidRPr="00653BF4">
        <w:rPr>
          <w:lang w:val="fr-FR"/>
        </w:rPr>
        <w:t>3 et 17) ont été associées à l’</w:t>
      </w:r>
      <w:r w:rsidR="002878D7">
        <w:rPr>
          <w:lang w:val="fr-FR"/>
        </w:rPr>
        <w:t>objectif C</w:t>
      </w:r>
      <w:r w:rsidRPr="00653BF4">
        <w:rPr>
          <w:lang w:val="fr-FR"/>
        </w:rPr>
        <w:t xml:space="preserve">, soit moins que pour tout autre objectif (voir la figure 103). Aucune des cibles relevant de l’intitulé </w:t>
      </w:r>
      <w:r w:rsidR="00E34DC9">
        <w:rPr>
          <w:lang w:val="fr-FR"/>
        </w:rPr>
        <w:t>« </w:t>
      </w:r>
      <w:r w:rsidRPr="00653BF4">
        <w:rPr>
          <w:lang w:val="fr-FR"/>
        </w:rPr>
        <w:t>Réduire les menaces pour la biodiversité</w:t>
      </w:r>
      <w:r w:rsidR="00E34DC9">
        <w:rPr>
          <w:lang w:val="fr-FR"/>
        </w:rPr>
        <w:t> »</w:t>
      </w:r>
      <w:r w:rsidRPr="00653BF4">
        <w:rPr>
          <w:lang w:val="fr-FR"/>
        </w:rPr>
        <w:t xml:space="preserve"> n’a été associée à l’</w:t>
      </w:r>
      <w:r w:rsidR="002878D7">
        <w:rPr>
          <w:lang w:val="fr-FR"/>
        </w:rPr>
        <w:t>objectif C</w:t>
      </w:r>
      <w:r w:rsidRPr="00653BF4">
        <w:rPr>
          <w:lang w:val="fr-FR"/>
        </w:rPr>
        <w:t xml:space="preserve">. La </w:t>
      </w:r>
      <w:r w:rsidR="00E34DC9">
        <w:rPr>
          <w:lang w:val="fr-FR"/>
        </w:rPr>
        <w:t>cible 1</w:t>
      </w:r>
      <w:r w:rsidRPr="00653BF4">
        <w:rPr>
          <w:lang w:val="fr-FR"/>
        </w:rPr>
        <w:t>3, de loin la plus fortement associée à l’</w:t>
      </w:r>
      <w:r w:rsidR="002878D7">
        <w:rPr>
          <w:lang w:val="fr-FR"/>
        </w:rPr>
        <w:t>objectif C</w:t>
      </w:r>
      <w:r w:rsidRPr="00653BF4">
        <w:rPr>
          <w:lang w:val="fr-FR"/>
        </w:rPr>
        <w:t>, n’était liée à aucun autre objectif, ce qui en faisait la seule cible du Cadre rattachée à un objectif unique.</w:t>
      </w:r>
    </w:p>
    <w:p w14:paraId="4759CF83" w14:textId="2FCE46F2" w:rsidR="007A60EC" w:rsidRPr="00653BF4" w:rsidRDefault="007A60EC" w:rsidP="007A60EC">
      <w:pPr>
        <w:rPr>
          <w:color w:val="000000" w:themeColor="text1"/>
          <w:lang w:val="fr-FR"/>
        </w:rPr>
      </w:pPr>
      <w:r w:rsidRPr="00653BF4">
        <w:rPr>
          <w:lang w:val="fr-FR"/>
        </w:rPr>
        <w:t>Pour les deux cibles associées à l’</w:t>
      </w:r>
      <w:r w:rsidR="002878D7">
        <w:rPr>
          <w:lang w:val="fr-FR"/>
        </w:rPr>
        <w:t>objectif C</w:t>
      </w:r>
      <w:r w:rsidRPr="00653BF4">
        <w:rPr>
          <w:lang w:val="fr-FR"/>
        </w:rPr>
        <w:t xml:space="preserve">, les tendances des indicateurs présentées à la </w:t>
      </w:r>
      <w:r w:rsidR="002878D7">
        <w:rPr>
          <w:lang w:val="fr-FR"/>
        </w:rPr>
        <w:t>section I</w:t>
      </w:r>
      <w:r w:rsidRPr="00653BF4">
        <w:rPr>
          <w:lang w:val="fr-FR"/>
        </w:rPr>
        <w:t>I.B sont résumées sous la forme d’une tendance moyenne (voir la figure 104). La cible la plus fortement associée à l’</w:t>
      </w:r>
      <w:r w:rsidR="002878D7">
        <w:rPr>
          <w:lang w:val="fr-FR"/>
        </w:rPr>
        <w:t>objectif C</w:t>
      </w:r>
      <w:r w:rsidRPr="00653BF4">
        <w:rPr>
          <w:lang w:val="fr-FR"/>
        </w:rPr>
        <w:t xml:space="preserve"> (</w:t>
      </w:r>
      <w:r w:rsidR="00E34DC9">
        <w:rPr>
          <w:lang w:val="fr-FR"/>
        </w:rPr>
        <w:t>cible 1</w:t>
      </w:r>
      <w:r w:rsidRPr="00653BF4">
        <w:rPr>
          <w:lang w:val="fr-FR"/>
        </w:rPr>
        <w:t xml:space="preserve">3) compte plus d’indicateurs montrant des signes d’amélioration que de détérioration. À l’inverse, la </w:t>
      </w:r>
      <w:r w:rsidR="00E34DC9">
        <w:rPr>
          <w:lang w:val="fr-FR"/>
        </w:rPr>
        <w:t>cible 1</w:t>
      </w:r>
      <w:r w:rsidRPr="00653BF4">
        <w:rPr>
          <w:lang w:val="fr-FR"/>
        </w:rPr>
        <w:t>7 compte plus d’indicateurs montrant des signes de détérioration que d’amélioration. Sur les deux cibles associées, 27</w:t>
      </w:r>
      <w:r w:rsidR="002878D7">
        <w:rPr>
          <w:lang w:val="fr-FR"/>
        </w:rPr>
        <w:t> %</w:t>
      </w:r>
      <w:r w:rsidRPr="00653BF4">
        <w:rPr>
          <w:lang w:val="fr-FR"/>
        </w:rPr>
        <w:t xml:space="preserve"> des indicateurs sont en amélioration, 56</w:t>
      </w:r>
      <w:r w:rsidR="002878D7">
        <w:rPr>
          <w:lang w:val="fr-FR"/>
        </w:rPr>
        <w:t> %</w:t>
      </w:r>
      <w:r w:rsidRPr="00653BF4">
        <w:rPr>
          <w:lang w:val="fr-FR"/>
        </w:rPr>
        <w:t xml:space="preserve"> sont stables et 17</w:t>
      </w:r>
      <w:r w:rsidR="002878D7">
        <w:rPr>
          <w:lang w:val="fr-FR"/>
        </w:rPr>
        <w:t> %</w:t>
      </w:r>
      <w:r w:rsidRPr="00653BF4">
        <w:rPr>
          <w:lang w:val="fr-FR"/>
        </w:rPr>
        <w:t xml:space="preserve"> s’éloignent de leur cible. Ces premiers résultats semblent indiquer que les progrès vers l’</w:t>
      </w:r>
      <w:r w:rsidR="002878D7">
        <w:rPr>
          <w:lang w:val="fr-FR"/>
        </w:rPr>
        <w:t>objectif C</w:t>
      </w:r>
      <w:r w:rsidRPr="00653BF4">
        <w:rPr>
          <w:lang w:val="fr-FR"/>
        </w:rPr>
        <w:t xml:space="preserve"> sont globalement mitigés, avec une détérioration notable pour l’une des cibles retenues par les Parties. Toutefois, la plupart de ces indicateurs n’ont pas été conçus pour suivre les progrès vers l’</w:t>
      </w:r>
      <w:r w:rsidR="002878D7">
        <w:rPr>
          <w:lang w:val="fr-FR"/>
        </w:rPr>
        <w:t>objectif C</w:t>
      </w:r>
      <w:r w:rsidRPr="00653BF4">
        <w:rPr>
          <w:lang w:val="fr-FR"/>
        </w:rPr>
        <w:t xml:space="preserve"> et ne sont pas équivalents du point de vue des échelles, des périodes et des variables qu’ils mesurent, de sorte que cette tendance globale ne </w:t>
      </w:r>
      <w:r w:rsidRPr="00653BF4">
        <w:rPr>
          <w:lang w:val="fr-FR"/>
        </w:rPr>
        <w:lastRenderedPageBreak/>
        <w:t>devrait être considérée que comme un reflet indicatif, indirect et imparfait de la progression vers l’objectif</w:t>
      </w:r>
      <w:r w:rsidRPr="00653BF4">
        <w:rPr>
          <w:color w:val="000000" w:themeColor="text1"/>
          <w:lang w:val="fr-FR"/>
        </w:rPr>
        <w:t>.</w:t>
      </w:r>
    </w:p>
    <w:p w14:paraId="5B7AB94B" w14:textId="77777777" w:rsidR="007A60EC" w:rsidRPr="00653BF4" w:rsidRDefault="007A60EC" w:rsidP="007A60EC">
      <w:pPr>
        <w:rPr>
          <w:color w:val="000000" w:themeColor="text1"/>
          <w:lang w:val="fr-FR"/>
        </w:rPr>
      </w:pPr>
    </w:p>
    <w:p w14:paraId="0E2350E2" w14:textId="2DF7CD0D" w:rsidR="007A60EC" w:rsidRPr="00653BF4" w:rsidRDefault="007A60EC" w:rsidP="007A60EC">
      <w:pPr>
        <w:rPr>
          <w:sz w:val="20"/>
          <w:szCs w:val="20"/>
          <w:lang w:val="fr-FR"/>
        </w:rPr>
      </w:pPr>
      <w:bookmarkStart w:id="476" w:name="_Ref230639022"/>
      <w:r w:rsidRPr="00653BF4">
        <w:rPr>
          <w:sz w:val="20"/>
          <w:szCs w:val="20"/>
          <w:lang w:val="fr-FR"/>
        </w:rPr>
        <w:t xml:space="preserve">Figure </w:t>
      </w:r>
      <w:r w:rsidRPr="00653BF4">
        <w:rPr>
          <w:noProof/>
          <w:sz w:val="20"/>
          <w:szCs w:val="20"/>
          <w:lang w:val="fr-FR"/>
        </w:rPr>
        <w:t>103</w:t>
      </w:r>
      <w:bookmarkEnd w:id="476"/>
    </w:p>
    <w:p w14:paraId="7BE2B162" w14:textId="2946BDFA" w:rsidR="007A60EC" w:rsidRPr="00653BF4" w:rsidRDefault="007A60EC" w:rsidP="007A60EC">
      <w:pPr>
        <w:rPr>
          <w:b/>
          <w:bCs/>
          <w:sz w:val="20"/>
          <w:szCs w:val="20"/>
          <w:lang w:val="fr-FR"/>
        </w:rPr>
      </w:pPr>
      <w:r w:rsidRPr="00653BF4">
        <w:rPr>
          <w:b/>
          <w:bCs/>
          <w:sz w:val="20"/>
          <w:szCs w:val="20"/>
          <w:lang w:val="fr-FR"/>
        </w:rPr>
        <w:t>Cibles du Cadre associées à l’</w:t>
      </w:r>
      <w:r w:rsidR="002878D7">
        <w:rPr>
          <w:b/>
          <w:bCs/>
          <w:sz w:val="20"/>
          <w:szCs w:val="20"/>
          <w:lang w:val="fr-FR"/>
        </w:rPr>
        <w:t>objectif C</w:t>
      </w:r>
      <w:r w:rsidRPr="00653BF4">
        <w:rPr>
          <w:b/>
          <w:bCs/>
          <w:sz w:val="20"/>
          <w:szCs w:val="20"/>
          <w:lang w:val="fr-FR"/>
        </w:rPr>
        <w:t xml:space="preserve"> dans les cibles nationales soumises par les Parties</w:t>
      </w:r>
    </w:p>
    <w:p w14:paraId="4184F515" w14:textId="77777777" w:rsidR="007A60EC" w:rsidRPr="00653BF4" w:rsidRDefault="007A60EC" w:rsidP="007A60EC">
      <w:pPr>
        <w:rPr>
          <w:lang w:val="fr-FR"/>
        </w:rPr>
      </w:pPr>
      <w:r w:rsidRPr="00653BF4">
        <w:rPr>
          <w:noProof/>
          <w:lang w:val="fr-FR"/>
        </w:rPr>
        <w:drawing>
          <wp:inline distT="0" distB="0" distL="0" distR="0" wp14:anchorId="7430155B" wp14:editId="73B03BDE">
            <wp:extent cx="4726616" cy="786651"/>
            <wp:effectExtent l="0" t="0" r="0" b="1270"/>
            <wp:docPr id="1280133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133332" name="Picture 1280133332"/>
                    <pic:cNvPicPr/>
                  </pic:nvPicPr>
                  <pic:blipFill rotWithShape="1">
                    <a:blip r:embed="rId239" cstate="print">
                      <a:extLst>
                        <a:ext uri="{28A0092B-C50C-407E-A947-70E740481C1C}">
                          <a14:useLocalDpi xmlns:a14="http://schemas.microsoft.com/office/drawing/2010/main" val="0"/>
                        </a:ext>
                      </a:extLst>
                    </a:blip>
                    <a:srcRect t="45921" b="45203"/>
                    <a:stretch>
                      <a:fillRect/>
                    </a:stretch>
                  </pic:blipFill>
                  <pic:spPr bwMode="auto">
                    <a:xfrm>
                      <a:off x="0" y="0"/>
                      <a:ext cx="4726940" cy="786705"/>
                    </a:xfrm>
                    <a:prstGeom prst="rect">
                      <a:avLst/>
                    </a:prstGeom>
                    <a:ln>
                      <a:noFill/>
                    </a:ln>
                    <a:extLst>
                      <a:ext uri="{53640926-AAD7-44D8-BBD7-CCE9431645EC}">
                        <a14:shadowObscured xmlns:a14="http://schemas.microsoft.com/office/drawing/2010/main"/>
                      </a:ext>
                    </a:extLst>
                  </pic:spPr>
                </pic:pic>
              </a:graphicData>
            </a:graphic>
          </wp:inline>
        </w:drawing>
      </w:r>
    </w:p>
    <w:p w14:paraId="34B4B147" w14:textId="5FD64C19" w:rsidR="007A60EC" w:rsidRPr="00653BF4" w:rsidRDefault="007A60EC" w:rsidP="007A60EC">
      <w:pPr>
        <w:pStyle w:val="Caption"/>
        <w:rPr>
          <w:i w:val="0"/>
          <w:iCs w:val="0"/>
          <w:lang w:val="fr-FR"/>
        </w:rPr>
      </w:pPr>
      <w:r w:rsidRPr="00653BF4">
        <w:rPr>
          <w:lang w:val="fr-FR"/>
        </w:rPr>
        <w:t>Note</w:t>
      </w:r>
      <w:r w:rsidR="00E34DC9">
        <w:rPr>
          <w:lang w:val="fr-FR"/>
        </w:rPr>
        <w:t> :</w:t>
      </w:r>
      <w:r w:rsidRPr="00653BF4">
        <w:rPr>
          <w:i w:val="0"/>
          <w:iCs w:val="0"/>
          <w:lang w:val="fr-FR"/>
        </w:rPr>
        <w:t xml:space="preserve"> Un lien est établi entre une cible et l’objectif si, dans l’un quelconque des groupes régionaux d’États Membres de l’Organisation des Nations Unies, au moins un tiers des cibles nationales fixées par les Parties associent cette cible à l’objectif. Les couleurs servent à mettre en évidence chaque cible conformément à la charte graphique officielle du Cadre et n’ont aucune autre signification.</w:t>
      </w:r>
    </w:p>
    <w:tbl>
      <w:tblPr>
        <w:tblStyle w:val="TableGrid"/>
        <w:tblW w:w="9463" w:type="dxa"/>
        <w:tblLook w:val="04A0" w:firstRow="1" w:lastRow="0" w:firstColumn="1" w:lastColumn="0" w:noHBand="0" w:noVBand="1"/>
      </w:tblPr>
      <w:tblGrid>
        <w:gridCol w:w="3393"/>
        <w:gridCol w:w="6070"/>
      </w:tblGrid>
      <w:tr w:rsidR="001279A8" w:rsidRPr="005F1C73" w14:paraId="2CE5F5D2" w14:textId="77777777" w:rsidTr="009B4355">
        <w:tc>
          <w:tcPr>
            <w:tcW w:w="3393" w:type="dxa"/>
          </w:tcPr>
          <w:p w14:paraId="499BFCC2" w14:textId="77777777" w:rsidR="001279A8" w:rsidRPr="005F1C73" w:rsidRDefault="001279A8" w:rsidP="009B4355">
            <w:pPr>
              <w:rPr>
                <w:rFonts w:ascii="Aptos" w:hAnsi="Aptos"/>
              </w:rPr>
            </w:pPr>
            <w:r>
              <w:rPr>
                <w:rFonts w:ascii="Aptos" w:hAnsi="Aptos"/>
              </w:rPr>
              <w:t>Figure 103</w:t>
            </w:r>
          </w:p>
        </w:tc>
        <w:tc>
          <w:tcPr>
            <w:tcW w:w="6070" w:type="dxa"/>
          </w:tcPr>
          <w:p w14:paraId="003C85CF" w14:textId="77777777" w:rsidR="001279A8" w:rsidRPr="005F1C73" w:rsidRDefault="001279A8" w:rsidP="009B4355">
            <w:pPr>
              <w:rPr>
                <w:rFonts w:ascii="Aptos" w:hAnsi="Aptos"/>
              </w:rPr>
            </w:pPr>
          </w:p>
        </w:tc>
      </w:tr>
      <w:tr w:rsidR="001279A8" w:rsidRPr="005F1C73" w14:paraId="1BFA756B" w14:textId="77777777" w:rsidTr="009B4355">
        <w:tc>
          <w:tcPr>
            <w:tcW w:w="3393" w:type="dxa"/>
          </w:tcPr>
          <w:p w14:paraId="0D1445CC" w14:textId="77777777" w:rsidR="001279A8" w:rsidRPr="005F1C73" w:rsidRDefault="001279A8" w:rsidP="009B4355">
            <w:pPr>
              <w:rPr>
                <w:rFonts w:ascii="Aptos" w:hAnsi="Aptos"/>
              </w:rPr>
            </w:pPr>
            <w:r w:rsidRPr="005F1C73">
              <w:rPr>
                <w:rFonts w:ascii="Aptos" w:hAnsi="Aptos"/>
              </w:rPr>
              <w:t xml:space="preserve">English </w:t>
            </w:r>
          </w:p>
        </w:tc>
        <w:tc>
          <w:tcPr>
            <w:tcW w:w="6070" w:type="dxa"/>
          </w:tcPr>
          <w:p w14:paraId="5DC65011" w14:textId="77777777" w:rsidR="001279A8" w:rsidRPr="005F1C73" w:rsidRDefault="001279A8" w:rsidP="009B4355">
            <w:pPr>
              <w:rPr>
                <w:rFonts w:ascii="Aptos" w:hAnsi="Aptos"/>
              </w:rPr>
            </w:pPr>
            <w:r>
              <w:rPr>
                <w:rFonts w:ascii="Aptos" w:hAnsi="Aptos"/>
              </w:rPr>
              <w:t>Français</w:t>
            </w:r>
          </w:p>
        </w:tc>
      </w:tr>
      <w:tr w:rsidR="001279A8" w:rsidRPr="003A6336" w14:paraId="692E2821" w14:textId="77777777" w:rsidTr="009B4355">
        <w:tc>
          <w:tcPr>
            <w:tcW w:w="3393" w:type="dxa"/>
          </w:tcPr>
          <w:p w14:paraId="72774A28" w14:textId="77777777" w:rsidR="001279A8" w:rsidRPr="003A6336" w:rsidRDefault="001279A8" w:rsidP="009B4355">
            <w:pPr>
              <w:rPr>
                <w:rFonts w:ascii="Aptos" w:hAnsi="Aptos"/>
              </w:rPr>
            </w:pPr>
            <w:r>
              <w:rPr>
                <w:rFonts w:ascii="Aptos" w:hAnsi="Aptos"/>
              </w:rPr>
              <w:t>Goal C</w:t>
            </w:r>
          </w:p>
        </w:tc>
        <w:tc>
          <w:tcPr>
            <w:tcW w:w="6070" w:type="dxa"/>
          </w:tcPr>
          <w:p w14:paraId="6564DAE3" w14:textId="77777777" w:rsidR="001279A8" w:rsidRPr="003A6336" w:rsidRDefault="001279A8" w:rsidP="009B4355">
            <w:pPr>
              <w:rPr>
                <w:rFonts w:ascii="Aptos" w:hAnsi="Aptos"/>
              </w:rPr>
            </w:pPr>
            <w:r>
              <w:t>Objectif C</w:t>
            </w:r>
            <w:r>
              <w:br/>
            </w:r>
          </w:p>
        </w:tc>
      </w:tr>
      <w:tr w:rsidR="001279A8" w:rsidRPr="003A6336" w14:paraId="11E61D9B" w14:textId="77777777" w:rsidTr="009B4355">
        <w:tc>
          <w:tcPr>
            <w:tcW w:w="3393" w:type="dxa"/>
          </w:tcPr>
          <w:p w14:paraId="2AC668E2" w14:textId="77777777" w:rsidR="001279A8" w:rsidRPr="003A6336" w:rsidRDefault="001279A8" w:rsidP="009B4355">
            <w:pPr>
              <w:rPr>
                <w:rFonts w:ascii="Aptos" w:hAnsi="Aptos"/>
              </w:rPr>
            </w:pPr>
            <w:r>
              <w:rPr>
                <w:rFonts w:ascii="Aptos" w:hAnsi="Aptos"/>
              </w:rPr>
              <w:t>T13: Increase benefit- sharing</w:t>
            </w:r>
          </w:p>
        </w:tc>
        <w:tc>
          <w:tcPr>
            <w:tcW w:w="6070" w:type="dxa"/>
          </w:tcPr>
          <w:p w14:paraId="18B2795A" w14:textId="77777777" w:rsidR="001279A8" w:rsidRPr="003A6336" w:rsidRDefault="001279A8" w:rsidP="009B4355">
            <w:pPr>
              <w:rPr>
                <w:rFonts w:ascii="Aptos" w:hAnsi="Aptos"/>
              </w:rPr>
            </w:pPr>
            <w:r>
              <w:t>C13 : Accroître le partage des avantages</w:t>
            </w:r>
            <w:r>
              <w:br/>
            </w:r>
          </w:p>
        </w:tc>
      </w:tr>
      <w:tr w:rsidR="001279A8" w:rsidRPr="003A6336" w14:paraId="62DEB0FA" w14:textId="77777777" w:rsidTr="009B4355">
        <w:tc>
          <w:tcPr>
            <w:tcW w:w="3393" w:type="dxa"/>
          </w:tcPr>
          <w:p w14:paraId="440A87B8" w14:textId="77777777" w:rsidR="001279A8" w:rsidRPr="003A6336" w:rsidRDefault="001279A8" w:rsidP="009B4355">
            <w:pPr>
              <w:rPr>
                <w:rFonts w:ascii="Aptos" w:hAnsi="Aptos"/>
              </w:rPr>
            </w:pPr>
            <w:r>
              <w:rPr>
                <w:rFonts w:ascii="Aptos" w:hAnsi="Aptos"/>
              </w:rPr>
              <w:t xml:space="preserve">T17: Strengthen biosafety </w:t>
            </w:r>
          </w:p>
        </w:tc>
        <w:tc>
          <w:tcPr>
            <w:tcW w:w="6070" w:type="dxa"/>
          </w:tcPr>
          <w:p w14:paraId="63057176" w14:textId="77777777" w:rsidR="001279A8" w:rsidRPr="003A6336" w:rsidRDefault="001279A8" w:rsidP="009B4355">
            <w:pPr>
              <w:rPr>
                <w:rFonts w:ascii="Aptos" w:hAnsi="Aptos"/>
              </w:rPr>
            </w:pPr>
            <w:r>
              <w:t>C17 : Renforcer la prévention des risques biotechnologiques</w:t>
            </w:r>
          </w:p>
        </w:tc>
      </w:tr>
    </w:tbl>
    <w:p w14:paraId="1301B07C" w14:textId="77777777" w:rsidR="007A60EC" w:rsidRPr="00653BF4" w:rsidRDefault="007A60EC" w:rsidP="007A60EC">
      <w:pPr>
        <w:rPr>
          <w:lang w:val="fr-FR" w:eastAsia="ja-JP"/>
        </w:rPr>
      </w:pPr>
    </w:p>
    <w:p w14:paraId="42DC47A9" w14:textId="77777777" w:rsidR="007A60EC" w:rsidRPr="00653BF4" w:rsidRDefault="007A60EC" w:rsidP="007A60EC">
      <w:pPr>
        <w:rPr>
          <w:sz w:val="20"/>
          <w:szCs w:val="20"/>
          <w:lang w:val="fr-FR" w:eastAsia="ja-JP"/>
        </w:rPr>
      </w:pPr>
      <w:r w:rsidRPr="00653BF4">
        <w:rPr>
          <w:sz w:val="20"/>
          <w:szCs w:val="20"/>
          <w:lang w:val="fr-FR"/>
        </w:rPr>
        <w:t xml:space="preserve">Figure </w:t>
      </w:r>
      <w:r w:rsidRPr="00653BF4">
        <w:rPr>
          <w:noProof/>
          <w:sz w:val="20"/>
          <w:szCs w:val="20"/>
          <w:lang w:val="fr-FR"/>
        </w:rPr>
        <w:t>104</w:t>
      </w:r>
    </w:p>
    <w:p w14:paraId="17B5E43B" w14:textId="1597E5A7" w:rsidR="007A60EC" w:rsidRDefault="007A60EC" w:rsidP="007A60EC">
      <w:pPr>
        <w:rPr>
          <w:rFonts w:ascii="Aptos" w:hAnsi="Aptos"/>
          <w:b/>
          <w:bCs/>
          <w:sz w:val="20"/>
          <w:szCs w:val="20"/>
          <w:lang w:val="fr-FR"/>
        </w:rPr>
      </w:pPr>
      <w:r w:rsidRPr="00653BF4">
        <w:rPr>
          <w:rFonts w:ascii="Aptos" w:hAnsi="Aptos"/>
          <w:b/>
          <w:bCs/>
          <w:sz w:val="20"/>
          <w:szCs w:val="20"/>
          <w:lang w:val="fr-FR"/>
        </w:rPr>
        <w:t>Pourcentage de l’ensemble des indicateurs quantitatifs (indicateurs phares, de composante, complémentaires et nationaux combinés) alignés sur chaque cible associée à l’</w:t>
      </w:r>
      <w:r w:rsidR="002878D7">
        <w:rPr>
          <w:rFonts w:ascii="Aptos" w:hAnsi="Aptos"/>
          <w:b/>
          <w:bCs/>
          <w:sz w:val="20"/>
          <w:szCs w:val="20"/>
          <w:lang w:val="fr-FR"/>
        </w:rPr>
        <w:t>objectif C</w:t>
      </w:r>
      <w:r w:rsidRPr="00653BF4">
        <w:rPr>
          <w:rFonts w:ascii="Aptos" w:hAnsi="Aptos"/>
          <w:b/>
          <w:bCs/>
          <w:sz w:val="20"/>
          <w:szCs w:val="20"/>
          <w:lang w:val="fr-FR"/>
        </w:rPr>
        <w:t>, selon qu’ils indiquent une tendance positive, stable ou négative</w:t>
      </w:r>
    </w:p>
    <w:p w14:paraId="38016A00" w14:textId="77777777" w:rsidR="007A60EC" w:rsidRPr="00653BF4" w:rsidRDefault="007A60EC" w:rsidP="007A60EC">
      <w:pPr>
        <w:pStyle w:val="Caption"/>
        <w:rPr>
          <w:lang w:val="fr-FR"/>
        </w:rPr>
      </w:pPr>
      <w:bookmarkStart w:id="477" w:name="_Ref230639171"/>
      <w:r w:rsidRPr="00653BF4">
        <w:rPr>
          <w:noProof/>
          <w:lang w:val="fr-FR"/>
          <w14:ligatures w14:val="standardContextual"/>
        </w:rPr>
        <w:drawing>
          <wp:inline distT="0" distB="0" distL="0" distR="0" wp14:anchorId="4AF59E92" wp14:editId="4BD128AC">
            <wp:extent cx="4299826" cy="1335819"/>
            <wp:effectExtent l="0" t="0" r="0" b="0"/>
            <wp:docPr id="57564747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47474" name="Picture 575647474"/>
                    <pic:cNvPicPr/>
                  </pic:nvPicPr>
                  <pic:blipFill rotWithShape="1">
                    <a:blip r:embed="rId240" cstate="print">
                      <a:extLst>
                        <a:ext uri="{28A0092B-C50C-407E-A947-70E740481C1C}">
                          <a14:useLocalDpi xmlns:a14="http://schemas.microsoft.com/office/drawing/2010/main" val="0"/>
                        </a:ext>
                      </a:extLst>
                    </a:blip>
                    <a:srcRect t="15058"/>
                    <a:stretch>
                      <a:fillRect/>
                    </a:stretch>
                  </pic:blipFill>
                  <pic:spPr bwMode="auto">
                    <a:xfrm>
                      <a:off x="0" y="0"/>
                      <a:ext cx="4356512" cy="1353429"/>
                    </a:xfrm>
                    <a:prstGeom prst="rect">
                      <a:avLst/>
                    </a:prstGeom>
                    <a:ln>
                      <a:noFill/>
                    </a:ln>
                    <a:extLst>
                      <a:ext uri="{53640926-AAD7-44D8-BBD7-CCE9431645EC}">
                        <a14:shadowObscured xmlns:a14="http://schemas.microsoft.com/office/drawing/2010/main"/>
                      </a:ext>
                    </a:extLst>
                  </pic:spPr>
                </pic:pic>
              </a:graphicData>
            </a:graphic>
          </wp:inline>
        </w:drawing>
      </w:r>
    </w:p>
    <w:bookmarkEnd w:id="477"/>
    <w:p w14:paraId="294C4F2E" w14:textId="3E046896" w:rsidR="007A60EC" w:rsidRPr="00653BF4" w:rsidRDefault="007A60EC" w:rsidP="007A60EC">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Pr="00653BF4">
        <w:rPr>
          <w:rFonts w:ascii="Aptos" w:hAnsi="Aptos"/>
          <w:i w:val="0"/>
          <w:iCs w:val="0"/>
          <w:lang w:val="fr-FR"/>
        </w:rPr>
        <w:t xml:space="preserve"> Les proportions sont pondérées par Partie. Des informations sur la représentativité régionale et les types d’indicateurs pris en compte figurent à la </w:t>
      </w:r>
      <w:r w:rsidR="002878D7">
        <w:rPr>
          <w:rFonts w:ascii="Aptos" w:hAnsi="Aptos"/>
          <w:i w:val="0"/>
          <w:iCs w:val="0"/>
          <w:lang w:val="fr-FR"/>
        </w:rPr>
        <w:t>section I</w:t>
      </w:r>
      <w:r w:rsidRPr="00653BF4">
        <w:rPr>
          <w:rFonts w:ascii="Aptos" w:hAnsi="Aptos"/>
          <w:i w:val="0"/>
          <w:iCs w:val="0"/>
          <w:lang w:val="fr-FR"/>
        </w:rPr>
        <w:t>I.B, dans la description de chaque cible concernée.</w:t>
      </w:r>
    </w:p>
    <w:tbl>
      <w:tblPr>
        <w:tblStyle w:val="TableGrid"/>
        <w:tblW w:w="3373" w:type="dxa"/>
        <w:tblLook w:val="04A0" w:firstRow="1" w:lastRow="0" w:firstColumn="1" w:lastColumn="0" w:noHBand="0" w:noVBand="1"/>
      </w:tblPr>
      <w:tblGrid>
        <w:gridCol w:w="1678"/>
        <w:gridCol w:w="1695"/>
      </w:tblGrid>
      <w:tr w:rsidR="001279A8" w:rsidRPr="009C6C22" w14:paraId="13D281F6" w14:textId="77777777" w:rsidTr="009B4355">
        <w:tc>
          <w:tcPr>
            <w:tcW w:w="3373" w:type="dxa"/>
            <w:gridSpan w:val="2"/>
          </w:tcPr>
          <w:p w14:paraId="65EB6D71" w14:textId="77777777" w:rsidR="001279A8" w:rsidRPr="009C6C22" w:rsidRDefault="001279A8" w:rsidP="009B4355">
            <w:pPr>
              <w:rPr>
                <w:rFonts w:ascii="Aptos" w:hAnsi="Aptos"/>
              </w:rPr>
            </w:pPr>
            <w:r>
              <w:rPr>
                <w:rFonts w:ascii="Aptos" w:hAnsi="Aptos"/>
              </w:rPr>
              <w:t>Figure 104</w:t>
            </w:r>
          </w:p>
        </w:tc>
      </w:tr>
      <w:tr w:rsidR="001279A8" w:rsidRPr="009C6C22" w14:paraId="78455BD6" w14:textId="77777777" w:rsidTr="009B4355">
        <w:tc>
          <w:tcPr>
            <w:tcW w:w="1678" w:type="dxa"/>
          </w:tcPr>
          <w:p w14:paraId="0DD08227" w14:textId="77777777" w:rsidR="001279A8" w:rsidRPr="009C6C22" w:rsidRDefault="001279A8" w:rsidP="009B4355">
            <w:pPr>
              <w:rPr>
                <w:rFonts w:ascii="Aptos" w:hAnsi="Aptos"/>
              </w:rPr>
            </w:pPr>
            <w:r w:rsidRPr="009C6C22">
              <w:rPr>
                <w:rFonts w:ascii="Aptos" w:hAnsi="Aptos"/>
              </w:rPr>
              <w:t xml:space="preserve">English </w:t>
            </w:r>
          </w:p>
        </w:tc>
        <w:tc>
          <w:tcPr>
            <w:tcW w:w="1695" w:type="dxa"/>
          </w:tcPr>
          <w:p w14:paraId="131DC619" w14:textId="77777777" w:rsidR="001279A8" w:rsidRPr="009C6C22" w:rsidRDefault="001279A8" w:rsidP="009B4355">
            <w:pPr>
              <w:rPr>
                <w:rFonts w:ascii="Aptos" w:hAnsi="Aptos"/>
              </w:rPr>
            </w:pPr>
            <w:r>
              <w:rPr>
                <w:rFonts w:ascii="Aptos" w:hAnsi="Aptos"/>
              </w:rPr>
              <w:t>Français</w:t>
            </w:r>
          </w:p>
        </w:tc>
      </w:tr>
      <w:tr w:rsidR="001279A8" w:rsidRPr="003A6336" w14:paraId="5D0FF97D" w14:textId="77777777" w:rsidTr="009B4355">
        <w:tc>
          <w:tcPr>
            <w:tcW w:w="1678" w:type="dxa"/>
          </w:tcPr>
          <w:p w14:paraId="17E107C5" w14:textId="77777777" w:rsidR="001279A8" w:rsidRPr="003A6336" w:rsidRDefault="001279A8" w:rsidP="009B4355">
            <w:pPr>
              <w:rPr>
                <w:rFonts w:ascii="Aptos" w:hAnsi="Aptos"/>
              </w:rPr>
            </w:pPr>
            <w:r>
              <w:rPr>
                <w:rFonts w:ascii="Aptos" w:hAnsi="Aptos"/>
              </w:rPr>
              <w:lastRenderedPageBreak/>
              <w:t>Target</w:t>
            </w:r>
          </w:p>
        </w:tc>
        <w:tc>
          <w:tcPr>
            <w:tcW w:w="1695" w:type="dxa"/>
          </w:tcPr>
          <w:p w14:paraId="2EF3E11E" w14:textId="77777777" w:rsidR="001279A8" w:rsidRPr="003A6336" w:rsidRDefault="001279A8" w:rsidP="009B4355">
            <w:pPr>
              <w:rPr>
                <w:rFonts w:ascii="Aptos" w:hAnsi="Aptos"/>
              </w:rPr>
            </w:pPr>
            <w:r>
              <w:t>Cible</w:t>
            </w:r>
          </w:p>
        </w:tc>
      </w:tr>
      <w:tr w:rsidR="001279A8" w:rsidRPr="003A6336" w14:paraId="23DE33DA" w14:textId="77777777" w:rsidTr="009B4355">
        <w:tc>
          <w:tcPr>
            <w:tcW w:w="1678" w:type="dxa"/>
          </w:tcPr>
          <w:p w14:paraId="48E31616" w14:textId="77777777" w:rsidR="001279A8" w:rsidRPr="003A6336" w:rsidRDefault="001279A8" w:rsidP="009B4355">
            <w:pPr>
              <w:rPr>
                <w:rFonts w:ascii="Aptos" w:hAnsi="Aptos"/>
              </w:rPr>
            </w:pPr>
            <w:r>
              <w:rPr>
                <w:rFonts w:ascii="Aptos" w:hAnsi="Aptos"/>
              </w:rPr>
              <w:t>GBF-T13</w:t>
            </w:r>
          </w:p>
        </w:tc>
        <w:tc>
          <w:tcPr>
            <w:tcW w:w="1695" w:type="dxa"/>
          </w:tcPr>
          <w:p w14:paraId="4AD3367D" w14:textId="77777777" w:rsidR="001279A8" w:rsidRPr="003A6336" w:rsidRDefault="001279A8" w:rsidP="009B4355">
            <w:pPr>
              <w:rPr>
                <w:rFonts w:ascii="Aptos" w:hAnsi="Aptos"/>
              </w:rPr>
            </w:pPr>
            <w:r>
              <w:rPr>
                <w:rFonts w:ascii="Aptos" w:hAnsi="Aptos"/>
              </w:rPr>
              <w:t>CMB-C13</w:t>
            </w:r>
          </w:p>
        </w:tc>
      </w:tr>
      <w:tr w:rsidR="001279A8" w:rsidRPr="003A6336" w14:paraId="79B0BD78" w14:textId="77777777" w:rsidTr="009B4355">
        <w:tc>
          <w:tcPr>
            <w:tcW w:w="1678" w:type="dxa"/>
          </w:tcPr>
          <w:p w14:paraId="1E77EEE4" w14:textId="77777777" w:rsidR="001279A8" w:rsidRPr="003A6336" w:rsidRDefault="001279A8" w:rsidP="009B4355">
            <w:pPr>
              <w:rPr>
                <w:rFonts w:ascii="Aptos" w:hAnsi="Aptos"/>
              </w:rPr>
            </w:pPr>
            <w:r>
              <w:rPr>
                <w:rFonts w:ascii="Aptos" w:hAnsi="Aptos"/>
              </w:rPr>
              <w:t>GBF-T17</w:t>
            </w:r>
          </w:p>
        </w:tc>
        <w:tc>
          <w:tcPr>
            <w:tcW w:w="1695" w:type="dxa"/>
          </w:tcPr>
          <w:p w14:paraId="7A14593F" w14:textId="77777777" w:rsidR="001279A8" w:rsidRPr="003A6336" w:rsidRDefault="001279A8" w:rsidP="009B4355">
            <w:pPr>
              <w:rPr>
                <w:rFonts w:ascii="Aptos" w:hAnsi="Aptos"/>
              </w:rPr>
            </w:pPr>
            <w:r>
              <w:rPr>
                <w:rFonts w:ascii="Aptos" w:hAnsi="Aptos"/>
              </w:rPr>
              <w:t>CMB-C17</w:t>
            </w:r>
          </w:p>
        </w:tc>
      </w:tr>
      <w:tr w:rsidR="001279A8" w:rsidRPr="003A6336" w14:paraId="2F12EA9A" w14:textId="77777777" w:rsidTr="009B4355">
        <w:tc>
          <w:tcPr>
            <w:tcW w:w="1678" w:type="dxa"/>
          </w:tcPr>
          <w:p w14:paraId="0C61A0E7" w14:textId="77777777" w:rsidR="001279A8" w:rsidRPr="003A6336" w:rsidRDefault="001279A8" w:rsidP="009B4355">
            <w:pPr>
              <w:rPr>
                <w:rFonts w:ascii="Aptos" w:hAnsi="Aptos"/>
              </w:rPr>
            </w:pPr>
            <w:r>
              <w:rPr>
                <w:rFonts w:ascii="Aptos" w:hAnsi="Aptos"/>
              </w:rPr>
              <w:t>Percentage</w:t>
            </w:r>
          </w:p>
        </w:tc>
        <w:tc>
          <w:tcPr>
            <w:tcW w:w="1695" w:type="dxa"/>
          </w:tcPr>
          <w:p w14:paraId="18667E95" w14:textId="77777777" w:rsidR="001279A8" w:rsidRPr="003A6336" w:rsidRDefault="001279A8" w:rsidP="009B4355">
            <w:pPr>
              <w:rPr>
                <w:rFonts w:ascii="Aptos" w:hAnsi="Aptos"/>
              </w:rPr>
            </w:pPr>
            <w:r>
              <w:t xml:space="preserve">Pourcentage </w:t>
            </w:r>
          </w:p>
        </w:tc>
      </w:tr>
      <w:tr w:rsidR="001279A8" w:rsidRPr="003A6336" w14:paraId="294A961A" w14:textId="77777777" w:rsidTr="009B4355">
        <w:tc>
          <w:tcPr>
            <w:tcW w:w="1678" w:type="dxa"/>
          </w:tcPr>
          <w:p w14:paraId="03BEF2EF" w14:textId="77777777" w:rsidR="001279A8" w:rsidRPr="003A6336" w:rsidRDefault="001279A8" w:rsidP="009B4355">
            <w:pPr>
              <w:rPr>
                <w:rFonts w:ascii="Aptos" w:hAnsi="Aptos"/>
              </w:rPr>
            </w:pPr>
            <w:r>
              <w:rPr>
                <w:rFonts w:ascii="Aptos" w:hAnsi="Aptos"/>
              </w:rPr>
              <w:t>Trend</w:t>
            </w:r>
          </w:p>
        </w:tc>
        <w:tc>
          <w:tcPr>
            <w:tcW w:w="1695" w:type="dxa"/>
          </w:tcPr>
          <w:p w14:paraId="4F7A7E42" w14:textId="77777777" w:rsidR="001279A8" w:rsidRPr="003A6336" w:rsidRDefault="001279A8" w:rsidP="009B4355">
            <w:pPr>
              <w:rPr>
                <w:rFonts w:ascii="Aptos" w:hAnsi="Aptos"/>
              </w:rPr>
            </w:pPr>
            <w:r>
              <w:t>Tendance</w:t>
            </w:r>
          </w:p>
        </w:tc>
      </w:tr>
      <w:tr w:rsidR="001279A8" w:rsidRPr="003A6336" w14:paraId="719C8828" w14:textId="77777777" w:rsidTr="009B4355">
        <w:tc>
          <w:tcPr>
            <w:tcW w:w="1678" w:type="dxa"/>
          </w:tcPr>
          <w:p w14:paraId="2D6D1B0B" w14:textId="77777777" w:rsidR="001279A8" w:rsidRPr="003A6336" w:rsidRDefault="001279A8" w:rsidP="009B4355">
            <w:pPr>
              <w:rPr>
                <w:rFonts w:ascii="Aptos" w:hAnsi="Aptos"/>
              </w:rPr>
            </w:pPr>
            <w:r>
              <w:rPr>
                <w:rFonts w:ascii="Aptos" w:hAnsi="Aptos"/>
              </w:rPr>
              <w:t>improving</w:t>
            </w:r>
          </w:p>
        </w:tc>
        <w:tc>
          <w:tcPr>
            <w:tcW w:w="1695" w:type="dxa"/>
          </w:tcPr>
          <w:p w14:paraId="4DB3464B" w14:textId="77777777" w:rsidR="001279A8" w:rsidRPr="003A6336" w:rsidRDefault="001279A8" w:rsidP="009B4355">
            <w:pPr>
              <w:rPr>
                <w:rFonts w:ascii="Aptos" w:hAnsi="Aptos"/>
              </w:rPr>
            </w:pPr>
            <w:r>
              <w:rPr>
                <w:rFonts w:ascii="Aptos" w:hAnsi="Aptos"/>
              </w:rPr>
              <w:t>amélioration</w:t>
            </w:r>
          </w:p>
        </w:tc>
      </w:tr>
      <w:tr w:rsidR="001279A8" w:rsidRPr="003A6336" w14:paraId="1692BD37" w14:textId="77777777" w:rsidTr="009B4355">
        <w:tc>
          <w:tcPr>
            <w:tcW w:w="1678" w:type="dxa"/>
          </w:tcPr>
          <w:p w14:paraId="1D20495D" w14:textId="77777777" w:rsidR="001279A8" w:rsidRPr="003A6336" w:rsidRDefault="001279A8" w:rsidP="009B4355">
            <w:pPr>
              <w:rPr>
                <w:rFonts w:ascii="Aptos" w:hAnsi="Aptos"/>
              </w:rPr>
            </w:pPr>
            <w:r>
              <w:rPr>
                <w:rFonts w:ascii="Aptos" w:hAnsi="Aptos"/>
              </w:rPr>
              <w:t>stable</w:t>
            </w:r>
          </w:p>
        </w:tc>
        <w:tc>
          <w:tcPr>
            <w:tcW w:w="1695" w:type="dxa"/>
          </w:tcPr>
          <w:p w14:paraId="7AAB3EBC" w14:textId="77777777" w:rsidR="001279A8" w:rsidRPr="003A6336" w:rsidRDefault="001279A8" w:rsidP="009B4355">
            <w:pPr>
              <w:rPr>
                <w:rFonts w:ascii="Aptos" w:hAnsi="Aptos"/>
              </w:rPr>
            </w:pPr>
            <w:r>
              <w:rPr>
                <w:rFonts w:ascii="Aptos" w:hAnsi="Aptos"/>
              </w:rPr>
              <w:t>stabilité</w:t>
            </w:r>
          </w:p>
        </w:tc>
      </w:tr>
      <w:tr w:rsidR="001279A8" w:rsidRPr="003A6336" w14:paraId="362C58E1" w14:textId="77777777" w:rsidTr="009B4355">
        <w:tc>
          <w:tcPr>
            <w:tcW w:w="1678" w:type="dxa"/>
          </w:tcPr>
          <w:p w14:paraId="1671B7D5" w14:textId="77777777" w:rsidR="001279A8" w:rsidRPr="003A6336" w:rsidRDefault="001279A8" w:rsidP="009B4355">
            <w:pPr>
              <w:rPr>
                <w:rFonts w:ascii="Aptos" w:hAnsi="Aptos"/>
              </w:rPr>
            </w:pPr>
            <w:r>
              <w:rPr>
                <w:rFonts w:ascii="Aptos" w:hAnsi="Aptos"/>
              </w:rPr>
              <w:t>moving away</w:t>
            </w:r>
          </w:p>
        </w:tc>
        <w:tc>
          <w:tcPr>
            <w:tcW w:w="1695" w:type="dxa"/>
          </w:tcPr>
          <w:p w14:paraId="23A6197B" w14:textId="77777777" w:rsidR="001279A8" w:rsidRPr="003A6336" w:rsidRDefault="001279A8" w:rsidP="009B4355">
            <w:pPr>
              <w:rPr>
                <w:rFonts w:ascii="Aptos" w:hAnsi="Aptos"/>
              </w:rPr>
            </w:pPr>
            <w:r>
              <w:rPr>
                <w:rFonts w:ascii="Aptos" w:hAnsi="Aptos"/>
              </w:rPr>
              <w:t>éloignement</w:t>
            </w:r>
          </w:p>
        </w:tc>
      </w:tr>
    </w:tbl>
    <w:p w14:paraId="6F864EA1" w14:textId="77777777" w:rsidR="007A60EC" w:rsidRPr="00653BF4" w:rsidRDefault="007A60EC" w:rsidP="007A60EC">
      <w:pPr>
        <w:pStyle w:val="Heading5"/>
        <w:rPr>
          <w:lang w:val="fr-FR"/>
        </w:rPr>
      </w:pPr>
    </w:p>
    <w:p w14:paraId="0E837C2A" w14:textId="77777777" w:rsidR="007A60EC" w:rsidRPr="00653BF4" w:rsidRDefault="007A60EC" w:rsidP="007A60EC">
      <w:pPr>
        <w:pStyle w:val="Heading5"/>
        <w:rPr>
          <w:lang w:val="fr-FR"/>
        </w:rPr>
      </w:pPr>
      <w:r w:rsidRPr="00653BF4">
        <w:rPr>
          <w:lang w:val="fr-FR"/>
        </w:rPr>
        <w:t>Indicateurs de progrès</w:t>
      </w:r>
    </w:p>
    <w:p w14:paraId="653F0C88" w14:textId="77777777" w:rsidR="007A60EC" w:rsidRPr="00653BF4" w:rsidRDefault="007A60EC" w:rsidP="007A60EC">
      <w:pPr>
        <w:pStyle w:val="Caption"/>
        <w:spacing w:line="276" w:lineRule="auto"/>
        <w:rPr>
          <w:lang w:val="fr-FR"/>
        </w:rPr>
      </w:pPr>
    </w:p>
    <w:p w14:paraId="3ED09CDE" w14:textId="342E5C91" w:rsidR="007A60EC" w:rsidRPr="00653BF4" w:rsidRDefault="007A60EC" w:rsidP="007A60EC">
      <w:pPr>
        <w:pStyle w:val="Caption"/>
        <w:spacing w:line="276" w:lineRule="auto"/>
        <w:rPr>
          <w:lang w:val="fr-FR"/>
        </w:rPr>
      </w:pPr>
      <w:bookmarkStart w:id="478" w:name="_Ref238835346"/>
      <w:r w:rsidRPr="00653BF4">
        <w:rPr>
          <w:i w:val="0"/>
          <w:iCs w:val="0"/>
          <w:sz w:val="20"/>
          <w:szCs w:val="20"/>
          <w:lang w:val="fr-FR"/>
        </w:rPr>
        <w:t xml:space="preserve">Tableau </w:t>
      </w:r>
      <w:r w:rsidRPr="00653BF4">
        <w:rPr>
          <w:i w:val="0"/>
          <w:iCs w:val="0"/>
          <w:noProof/>
          <w:sz w:val="20"/>
          <w:szCs w:val="20"/>
          <w:lang w:val="fr-FR"/>
        </w:rPr>
        <w:t>53</w:t>
      </w:r>
      <w:bookmarkEnd w:id="478"/>
      <w:r w:rsidRPr="00653BF4">
        <w:rPr>
          <w:lang w:val="fr-FR"/>
        </w:rPr>
        <w:t xml:space="preserve"> </w:t>
      </w:r>
    </w:p>
    <w:p w14:paraId="641EB3DB" w14:textId="05CD8F93" w:rsidR="007A60EC" w:rsidRPr="00653BF4" w:rsidRDefault="007A60EC" w:rsidP="007A60EC">
      <w:pPr>
        <w:pStyle w:val="Caption"/>
        <w:spacing w:line="276" w:lineRule="auto"/>
        <w:rPr>
          <w:i w:val="0"/>
          <w:iCs w:val="0"/>
          <w:lang w:val="fr-FR"/>
        </w:rPr>
      </w:pPr>
      <w:r w:rsidRPr="00653BF4">
        <w:rPr>
          <w:b/>
          <w:bCs/>
          <w:i w:val="0"/>
          <w:iCs w:val="0"/>
          <w:lang w:val="fr-FR"/>
        </w:rPr>
        <w:t>Tableau de bord des indicateurs pour l’</w:t>
      </w:r>
      <w:r w:rsidR="002878D7">
        <w:rPr>
          <w:b/>
          <w:bCs/>
          <w:i w:val="0"/>
          <w:iCs w:val="0"/>
          <w:lang w:val="fr-FR"/>
        </w:rPr>
        <w:t>objectif C</w:t>
      </w:r>
    </w:p>
    <w:p w14:paraId="08E6D624" w14:textId="77777777" w:rsidR="007A60EC" w:rsidRPr="00653BF4" w:rsidRDefault="007A60EC" w:rsidP="007A60EC">
      <w:pPr>
        <w:rPr>
          <w:lang w:val="fr-FR" w:eastAsia="ja-JP"/>
        </w:rPr>
      </w:pPr>
    </w:p>
    <w:tbl>
      <w:tblPr>
        <w:tblW w:w="10300" w:type="dxa"/>
        <w:tblLook w:val="04A0" w:firstRow="1" w:lastRow="0" w:firstColumn="1" w:lastColumn="0" w:noHBand="0" w:noVBand="1"/>
      </w:tblPr>
      <w:tblGrid>
        <w:gridCol w:w="3240"/>
        <w:gridCol w:w="2851"/>
        <w:gridCol w:w="708"/>
        <w:gridCol w:w="2835"/>
        <w:gridCol w:w="666"/>
      </w:tblGrid>
      <w:tr w:rsidR="007A60EC" w:rsidRPr="00653BF4" w14:paraId="1FE448FC"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tcPr>
          <w:p w14:paraId="1AB1E70A"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3559" w:type="dxa"/>
            <w:gridSpan w:val="2"/>
            <w:tcBorders>
              <w:top w:val="single" w:sz="4" w:space="0" w:color="auto"/>
              <w:left w:val="nil"/>
              <w:bottom w:val="single" w:sz="4" w:space="0" w:color="auto"/>
              <w:right w:val="single" w:sz="4" w:space="0" w:color="auto"/>
            </w:tcBorders>
            <w:vAlign w:val="center"/>
          </w:tcPr>
          <w:p w14:paraId="35F93ACF"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color w:val="000000"/>
                <w:sz w:val="20"/>
                <w:szCs w:val="20"/>
                <w:lang w:val="fr-FR"/>
              </w:rPr>
              <w:t>Utilisation de l’indicateur</w:t>
            </w:r>
          </w:p>
        </w:tc>
        <w:tc>
          <w:tcPr>
            <w:tcW w:w="3501" w:type="dxa"/>
            <w:gridSpan w:val="2"/>
            <w:tcBorders>
              <w:top w:val="single" w:sz="4" w:space="0" w:color="auto"/>
              <w:left w:val="nil"/>
              <w:bottom w:val="single" w:sz="4" w:space="0" w:color="auto"/>
              <w:right w:val="single" w:sz="4" w:space="0" w:color="auto"/>
            </w:tcBorders>
            <w:vAlign w:val="center"/>
          </w:tcPr>
          <w:p w14:paraId="3551D850"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hAnsi="Aptos"/>
                <w:color w:val="000000"/>
                <w:sz w:val="20"/>
                <w:szCs w:val="20"/>
                <w:lang w:val="fr-FR"/>
              </w:rPr>
              <w:t>Résultats de l’indicateur</w:t>
            </w:r>
          </w:p>
        </w:tc>
      </w:tr>
      <w:tr w:rsidR="007A60EC" w:rsidRPr="00543148" w14:paraId="5FD620AD"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D0AFCF" w14:textId="1405CE63"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Indicateur phare C.1</w:t>
            </w:r>
            <w:r w:rsidR="00E34DC9">
              <w:rPr>
                <w:rFonts w:ascii="Aptos" w:eastAsia="Times New Roman" w:hAnsi="Aptos" w:cs="Times New Roman"/>
                <w:color w:val="000000"/>
                <w:kern w:val="0"/>
                <w:sz w:val="20"/>
                <w:szCs w:val="20"/>
                <w:lang w:val="fr-FR" w:eastAsia="en-CA"/>
                <w14:ligatures w14:val="none"/>
              </w:rPr>
              <w:t> :</w:t>
            </w:r>
            <w:r w:rsidRPr="00653BF4">
              <w:rPr>
                <w:rFonts w:ascii="Aptos" w:eastAsia="Times New Roman" w:hAnsi="Aptos" w:cs="Times New Roman"/>
                <w:color w:val="000000"/>
                <w:kern w:val="0"/>
                <w:sz w:val="20"/>
                <w:szCs w:val="20"/>
                <w:lang w:val="fr-FR" w:eastAsia="en-CA"/>
                <w14:ligatures w14:val="none"/>
              </w:rPr>
              <w:t xml:space="preserve"> avantages monétaires reçus conformément aux instruments internationaux applicables en matière d’accès et de partage des avantages</w:t>
            </w:r>
          </w:p>
        </w:tc>
        <w:tc>
          <w:tcPr>
            <w:tcW w:w="2851" w:type="dxa"/>
            <w:tcBorders>
              <w:top w:val="single" w:sz="4" w:space="0" w:color="auto"/>
              <w:left w:val="nil"/>
              <w:bottom w:val="single" w:sz="4" w:space="0" w:color="auto"/>
              <w:right w:val="single" w:sz="4" w:space="0" w:color="auto"/>
            </w:tcBorders>
            <w:vAlign w:val="center"/>
            <w:hideMark/>
          </w:tcPr>
          <w:p w14:paraId="47F55DE2" w14:textId="4E3AF31A"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11</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des Parties</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2B1F7E18"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72353422" w14:textId="4132A00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Avantages monétaires</w:t>
            </w:r>
            <w:r w:rsidR="00E34DC9">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6,9 millions de dollars des États-Unis au total (2022-2025)</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7E1DFF3F"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p>
        </w:tc>
      </w:tr>
      <w:tr w:rsidR="007A60EC" w:rsidRPr="00543148" w14:paraId="384B753D" w14:textId="77777777" w:rsidTr="00557FB3">
        <w:trPr>
          <w:trHeight w:val="1050"/>
        </w:trPr>
        <w:tc>
          <w:tcPr>
            <w:tcW w:w="3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B07260" w14:textId="721FD8C5"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eastAsia="Times New Roman" w:hAnsi="Aptos" w:cs="Times New Roman"/>
                <w:color w:val="000000"/>
                <w:kern w:val="0"/>
                <w:sz w:val="20"/>
                <w:szCs w:val="20"/>
                <w:lang w:val="fr-FR" w:eastAsia="en-CA"/>
                <w14:ligatures w14:val="none"/>
              </w:rPr>
              <w:t>Indicateur phare C.2</w:t>
            </w:r>
            <w:r w:rsidR="00E34DC9">
              <w:rPr>
                <w:rFonts w:ascii="Aptos" w:eastAsia="Times New Roman" w:hAnsi="Aptos" w:cs="Times New Roman"/>
                <w:color w:val="000000"/>
                <w:kern w:val="0"/>
                <w:sz w:val="20"/>
                <w:szCs w:val="20"/>
                <w:lang w:val="fr-FR" w:eastAsia="en-CA"/>
                <w14:ligatures w14:val="none"/>
              </w:rPr>
              <w:t> :</w:t>
            </w:r>
            <w:r w:rsidRPr="00653BF4">
              <w:rPr>
                <w:rFonts w:ascii="Aptos" w:eastAsia="Times New Roman" w:hAnsi="Aptos" w:cs="Times New Roman"/>
                <w:color w:val="000000"/>
                <w:kern w:val="0"/>
                <w:sz w:val="20"/>
                <w:szCs w:val="20"/>
                <w:lang w:val="fr-FR" w:eastAsia="en-CA"/>
                <w14:ligatures w14:val="none"/>
              </w:rPr>
              <w:t xml:space="preserve"> avantages non monétaires découlant des instruments internationaux applicables en matière d’accès et de partage des avantages</w:t>
            </w:r>
          </w:p>
        </w:tc>
        <w:tc>
          <w:tcPr>
            <w:tcW w:w="2851" w:type="dxa"/>
            <w:tcBorders>
              <w:top w:val="single" w:sz="4" w:space="0" w:color="auto"/>
              <w:left w:val="nil"/>
              <w:bottom w:val="single" w:sz="4" w:space="0" w:color="auto"/>
              <w:right w:val="single" w:sz="4" w:space="0" w:color="auto"/>
            </w:tcBorders>
            <w:vAlign w:val="center"/>
            <w:hideMark/>
          </w:tcPr>
          <w:p w14:paraId="7020AB6F" w14:textId="2BD22936"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14</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des Parties</w:t>
            </w:r>
          </w:p>
        </w:tc>
        <w:tc>
          <w:tcPr>
            <w:tcW w:w="708" w:type="dxa"/>
            <w:tcBorders>
              <w:top w:val="single" w:sz="4" w:space="0" w:color="auto"/>
              <w:left w:val="nil"/>
              <w:bottom w:val="single" w:sz="4" w:space="0" w:color="auto"/>
              <w:right w:val="single" w:sz="4" w:space="0" w:color="auto"/>
            </w:tcBorders>
            <w:shd w:val="clear" w:color="000000" w:fill="C00000"/>
            <w:vAlign w:val="center"/>
            <w:hideMark/>
          </w:tcPr>
          <w:p w14:paraId="305DA402"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2835" w:type="dxa"/>
            <w:tcBorders>
              <w:top w:val="single" w:sz="4" w:space="0" w:color="auto"/>
              <w:left w:val="nil"/>
              <w:bottom w:val="single" w:sz="4" w:space="0" w:color="auto"/>
              <w:right w:val="single" w:sz="4" w:space="0" w:color="auto"/>
            </w:tcBorders>
            <w:vAlign w:val="center"/>
            <w:hideMark/>
          </w:tcPr>
          <w:p w14:paraId="13699CBF" w14:textId="0AC86EE0"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Avantages non monétaires</w:t>
            </w:r>
            <w:r w:rsidR="00E34DC9">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960 au total (2022-2025)</w:t>
            </w:r>
          </w:p>
        </w:tc>
        <w:tc>
          <w:tcPr>
            <w:tcW w:w="666" w:type="dxa"/>
            <w:tcBorders>
              <w:top w:val="single" w:sz="4" w:space="0" w:color="auto"/>
              <w:left w:val="nil"/>
              <w:bottom w:val="single" w:sz="4" w:space="0" w:color="auto"/>
              <w:right w:val="single" w:sz="4" w:space="0" w:color="auto"/>
            </w:tcBorders>
            <w:shd w:val="clear" w:color="auto" w:fill="ADADAD" w:themeFill="background2" w:themeFillShade="BF"/>
            <w:vAlign w:val="center"/>
            <w:hideMark/>
          </w:tcPr>
          <w:p w14:paraId="55AF11D1"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p>
        </w:tc>
      </w:tr>
    </w:tbl>
    <w:p w14:paraId="41DD77BB" w14:textId="77777777" w:rsidR="007A60EC" w:rsidRPr="00653BF4" w:rsidRDefault="007A60EC" w:rsidP="007A60EC">
      <w:pPr>
        <w:rPr>
          <w:lang w:val="fr-FR"/>
        </w:rPr>
      </w:pPr>
    </w:p>
    <w:p w14:paraId="68472137" w14:textId="1DE7FEDD" w:rsidR="007A60EC" w:rsidRPr="00653BF4" w:rsidRDefault="007A60EC" w:rsidP="007A60EC">
      <w:pPr>
        <w:rPr>
          <w:rFonts w:ascii="Aptos" w:hAnsi="Aptos"/>
          <w:lang w:val="fr-FR"/>
        </w:rPr>
      </w:pPr>
      <w:r w:rsidRPr="00653BF4">
        <w:rPr>
          <w:lang w:val="fr-FR"/>
        </w:rPr>
        <w:t>Très peu de Parties ont utilisé les deux indicateurs phares liés à l’</w:t>
      </w:r>
      <w:r w:rsidR="002878D7">
        <w:rPr>
          <w:lang w:val="fr-FR"/>
        </w:rPr>
        <w:t>objectif C</w:t>
      </w:r>
      <w:r w:rsidRPr="00653BF4">
        <w:rPr>
          <w:lang w:val="fr-FR"/>
        </w:rPr>
        <w:t xml:space="preserve"> pour rendre compte des avantages monétaires ou non monétaires reçus au titre d’accords d’accès et de partage des avantages (voir le tableau 53). De nombreuses Parties ont souligné qu’il était difficile de retracer les avantages tant monétaires que non monétaires lorsque les systèmes de permis sont décentralisés et ne font pas l’objet d’un suivi au niveau national. En conséquence, les Parties ont fait état de nombreux types d’avantages non monétaires, notamment des résultats scientifiques, la participation à des travaux de recherche, la formation technique, le transfert de technologies, des bases de données et la mobilisation communautaire. Par ailleurs, plusieurs Parties ont indiqué qu’elles finalisaient encore leur législation sur l’accès et le partage des avantages et qu’elles étaient en train de mettre en œuvre le Protocole de Nagoya sur l’accès aux ressources génétiques et le partage juste et </w:t>
      </w:r>
      <w:r w:rsidRPr="00653BF4">
        <w:rPr>
          <w:lang w:val="fr-FR"/>
        </w:rPr>
        <w:lastRenderedPageBreak/>
        <w:t>équitable des avantages découlant de leur utilisation relatif à la Convention sur la diversité biologique. En outre, certaines Parties n’exigent pas de partage des avantages découlant de l’utilisation de leurs ressources génétiques</w:t>
      </w:r>
      <w:r w:rsidRPr="00653BF4">
        <w:rPr>
          <w:rFonts w:ascii="Aptos" w:hAnsi="Aptos"/>
          <w:lang w:val="fr-FR"/>
        </w:rPr>
        <w:t xml:space="preserve">. </w:t>
      </w:r>
    </w:p>
    <w:p w14:paraId="0BD2247C" w14:textId="0F137C64" w:rsidR="007A60EC" w:rsidRPr="00653BF4" w:rsidRDefault="007A60EC" w:rsidP="007A60EC">
      <w:pPr>
        <w:rPr>
          <w:lang w:val="fr-FR"/>
        </w:rPr>
      </w:pPr>
      <w:r w:rsidRPr="00653BF4">
        <w:rPr>
          <w:lang w:val="fr-FR"/>
        </w:rPr>
        <w:t>Il n’a pas été possible, à ce jour, de déterminer si les avantages sont partagés de manière juste et équitable, ni quel rôle jouent les connaissances traditionnelles et les peuples autochtones et communautés locales. On ne peut donc pas encore évaluer les progrès accomplis vers l’</w:t>
      </w:r>
      <w:r w:rsidR="002878D7">
        <w:rPr>
          <w:lang w:val="fr-FR"/>
        </w:rPr>
        <w:t>objectif C</w:t>
      </w:r>
      <w:r w:rsidRPr="00653BF4">
        <w:rPr>
          <w:lang w:val="fr-FR"/>
        </w:rPr>
        <w:t>.</w:t>
      </w:r>
    </w:p>
    <w:p w14:paraId="17CE52EF" w14:textId="3EE42337" w:rsidR="007A60EC" w:rsidRPr="00653BF4" w:rsidRDefault="007A60EC" w:rsidP="007A60EC">
      <w:pPr>
        <w:rPr>
          <w:lang w:val="fr-FR"/>
        </w:rPr>
      </w:pPr>
      <w:r w:rsidRPr="00653BF4">
        <w:rPr>
          <w:lang w:val="fr-FR"/>
        </w:rPr>
        <w:t xml:space="preserve">Les données de l’Institut Leibniz DSMZ – Collection allemande de micro-organismes et de cultures cellulaires, qui recensent les publications citant des permis délivrés au titre de l’accès et du partage des avantages (Institut Leibniz DSMZ, 2025), montrent que le nombre de ces publications a augmenté au fil du temps, pour atteindre 228 en 2025 (voir la figure 105). Il en ressort que des Parties de toutes les régions collaborent entre elles dans le cadre de ces permis. Étant donné que seules quelques Parties ont communiqué des informations sur les avantages non monétaires selon la méthode définie dans les métadonnées de l’indicateur (Nunez-Vega </w:t>
      </w:r>
      <w:r w:rsidRPr="00653BF4">
        <w:rPr>
          <w:i/>
          <w:iCs/>
          <w:lang w:val="fr-FR"/>
        </w:rPr>
        <w:t>et al</w:t>
      </w:r>
      <w:r w:rsidRPr="00653BF4">
        <w:rPr>
          <w:lang w:val="fr-FR"/>
        </w:rPr>
        <w:t xml:space="preserve">., 2025), ces chiffres ne sont pas directement comparables. Les indicateurs phares C.1 et C.2, qui permettent aussi de suivre les progrès vers la </w:t>
      </w:r>
      <w:r w:rsidR="00E34DC9">
        <w:rPr>
          <w:lang w:val="fr-FR"/>
        </w:rPr>
        <w:t>cible 1</w:t>
      </w:r>
      <w:r w:rsidRPr="00653BF4">
        <w:rPr>
          <w:lang w:val="fr-FR"/>
        </w:rPr>
        <w:t xml:space="preserve">3 du Cadre, sont examinés plus en détail à la </w:t>
      </w:r>
      <w:r w:rsidR="002878D7">
        <w:rPr>
          <w:lang w:val="fr-FR"/>
        </w:rPr>
        <w:t>section I</w:t>
      </w:r>
      <w:r w:rsidRPr="00653BF4">
        <w:rPr>
          <w:lang w:val="fr-FR"/>
        </w:rPr>
        <w:t>I.B du présent rapport.</w:t>
      </w:r>
    </w:p>
    <w:p w14:paraId="615062E7" w14:textId="77777777" w:rsidR="007A60EC" w:rsidRPr="00653BF4" w:rsidRDefault="007A60EC" w:rsidP="007A60EC">
      <w:pPr>
        <w:rPr>
          <w:sz w:val="20"/>
          <w:szCs w:val="20"/>
          <w:lang w:val="fr-FR"/>
        </w:rPr>
      </w:pPr>
    </w:p>
    <w:p w14:paraId="63EF2E14" w14:textId="77777777" w:rsidR="007A60EC" w:rsidRPr="00653BF4" w:rsidRDefault="007A60EC" w:rsidP="007A60EC">
      <w:pPr>
        <w:rPr>
          <w:sz w:val="20"/>
          <w:szCs w:val="20"/>
          <w:lang w:val="fr-FR"/>
        </w:rPr>
      </w:pPr>
      <w:r w:rsidRPr="00653BF4">
        <w:rPr>
          <w:sz w:val="20"/>
          <w:szCs w:val="20"/>
          <w:lang w:val="fr-FR"/>
        </w:rPr>
        <w:t xml:space="preserve">Figure </w:t>
      </w:r>
      <w:r w:rsidRPr="00653BF4">
        <w:rPr>
          <w:noProof/>
          <w:sz w:val="20"/>
          <w:szCs w:val="20"/>
          <w:lang w:val="fr-FR"/>
        </w:rPr>
        <w:t>105</w:t>
      </w:r>
    </w:p>
    <w:p w14:paraId="69C7A043" w14:textId="5ABFB957" w:rsidR="007A60EC" w:rsidRPr="00653BF4" w:rsidRDefault="007A60EC" w:rsidP="007A60EC">
      <w:pPr>
        <w:pStyle w:val="Caption"/>
        <w:rPr>
          <w:rStyle w:val="normaltextrun"/>
          <w:rFonts w:ascii="Aptos" w:hAnsi="Aptos" w:cs="Segoe UI"/>
          <w:i w:val="0"/>
          <w:iCs w:val="0"/>
          <w:lang w:val="fr-FR"/>
        </w:rPr>
      </w:pPr>
      <w:r w:rsidRPr="00653BF4">
        <w:rPr>
          <w:rStyle w:val="normaltextrun"/>
          <w:rFonts w:ascii="Aptos" w:hAnsi="Aptos" w:cs="Segoe UI"/>
          <w:b/>
          <w:bCs/>
          <w:i w:val="0"/>
          <w:iCs w:val="0"/>
          <w:lang w:val="fr-FR"/>
        </w:rPr>
        <w:t>Indicateur phare C.2</w:t>
      </w:r>
      <w:r w:rsidR="00E34DC9">
        <w:rPr>
          <w:rStyle w:val="normaltextrun"/>
          <w:rFonts w:ascii="Aptos" w:hAnsi="Aptos" w:cs="Segoe UI"/>
          <w:b/>
          <w:bCs/>
          <w:i w:val="0"/>
          <w:iCs w:val="0"/>
          <w:lang w:val="fr-FR"/>
        </w:rPr>
        <w:t> :</w:t>
      </w:r>
      <w:r w:rsidRPr="00653BF4">
        <w:rPr>
          <w:rStyle w:val="normaltextrun"/>
          <w:rFonts w:ascii="Aptos" w:hAnsi="Aptos" w:cs="Segoe UI"/>
          <w:b/>
          <w:bCs/>
          <w:i w:val="0"/>
          <w:iCs w:val="0"/>
          <w:lang w:val="fr-FR"/>
        </w:rPr>
        <w:t xml:space="preserve"> avantages non monétaires découlant des instruments internationaux applicables en matière d’accès et de partage des avantages (données de l’Institut Leibniz DSMZ)</w:t>
      </w:r>
    </w:p>
    <w:p w14:paraId="294C9109" w14:textId="77777777" w:rsidR="007A60EC" w:rsidRPr="00653BF4" w:rsidRDefault="007A60EC" w:rsidP="007A60EC">
      <w:pPr>
        <w:pStyle w:val="Caption"/>
        <w:rPr>
          <w:lang w:val="fr-FR"/>
        </w:rPr>
      </w:pPr>
      <w:bookmarkStart w:id="479" w:name="_Ref230716762"/>
      <w:r w:rsidRPr="00653BF4">
        <w:rPr>
          <w:rFonts w:ascii="Aptos" w:hAnsi="Aptos" w:cs="Segoe UI"/>
          <w:noProof/>
          <w:lang w:val="fr-FR"/>
          <w14:ligatures w14:val="standardContextual"/>
        </w:rPr>
        <w:lastRenderedPageBreak/>
        <w:drawing>
          <wp:inline distT="0" distB="0" distL="0" distR="0" wp14:anchorId="32121BF6" wp14:editId="7BC77F29">
            <wp:extent cx="5731510" cy="3820795"/>
            <wp:effectExtent l="0" t="0" r="0" b="1905"/>
            <wp:docPr id="10705806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580669" name="Picture 1070580669"/>
                    <pic:cNvPicPr/>
                  </pic:nvPicPr>
                  <pic:blipFill>
                    <a:blip r:embed="rId241"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bookmarkEnd w:id="479"/>
    <w:p w14:paraId="7964DD8F" w14:textId="4C855D67" w:rsidR="007A60EC" w:rsidRPr="00653BF4" w:rsidRDefault="007A60EC" w:rsidP="007A60EC">
      <w:pPr>
        <w:pStyle w:val="Caption"/>
        <w:rPr>
          <w:rFonts w:ascii="Segoe UI" w:hAnsi="Segoe UI" w:cs="Segoe UI"/>
          <w:i w:val="0"/>
          <w:iCs w:val="0"/>
          <w:lang w:val="fr-FR"/>
        </w:rPr>
      </w:pPr>
      <w:r w:rsidRPr="00653BF4">
        <w:rPr>
          <w:rStyle w:val="normaltextrun"/>
          <w:rFonts w:ascii="Aptos" w:hAnsi="Aptos" w:cs="Segoe UI"/>
          <w:lang w:val="fr-FR"/>
        </w:rPr>
        <w:t>Note</w:t>
      </w:r>
      <w:r w:rsidR="00E34DC9">
        <w:rPr>
          <w:rStyle w:val="normaltextrun"/>
          <w:rFonts w:ascii="Aptos" w:hAnsi="Aptos" w:cs="Segoe UI"/>
          <w:lang w:val="fr-FR"/>
        </w:rPr>
        <w:t> :</w:t>
      </w:r>
      <w:r w:rsidRPr="00653BF4">
        <w:rPr>
          <w:rStyle w:val="normaltextrun"/>
          <w:rFonts w:ascii="Aptos" w:hAnsi="Aptos" w:cs="Segoe UI"/>
          <w:lang w:val="fr-FR"/>
        </w:rPr>
        <w:t xml:space="preserve"> </w:t>
      </w:r>
      <w:r w:rsidRPr="00653BF4">
        <w:rPr>
          <w:rStyle w:val="normaltextrun"/>
          <w:rFonts w:ascii="Aptos" w:hAnsi="Aptos" w:cs="Segoe UI"/>
          <w:i w:val="0"/>
          <w:iCs w:val="0"/>
          <w:lang w:val="fr-FR"/>
        </w:rPr>
        <w:t>À gauche, les valeurs de l’indicateur correspondent au nombre total d’avantages non monétaires reçus par l’ensemble des Parties chaque année. À droite figure la représentativité régionale du jeu de données (les tons plus foncés correspondent aux données soumises pour une région donnée). La correspondance entre les couleurs et les régions est indiquée dans la légende de la figure</w:t>
      </w:r>
      <w:r w:rsidR="00E34DC9">
        <w:rPr>
          <w:rStyle w:val="normaltextrun"/>
          <w:rFonts w:ascii="Aptos" w:hAnsi="Aptos" w:cs="Segoe UI"/>
          <w:i w:val="0"/>
          <w:iCs w:val="0"/>
          <w:lang w:val="fr-FR"/>
        </w:rPr>
        <w:t> :</w:t>
      </w:r>
      <w:r w:rsidRPr="00653BF4">
        <w:rPr>
          <w:rStyle w:val="normaltextrun"/>
          <w:rFonts w:ascii="Aptos" w:hAnsi="Aptos" w:cs="Segoe UI"/>
          <w:i w:val="0"/>
          <w:iCs w:val="0"/>
          <w:lang w:val="fr-FR"/>
        </w:rPr>
        <w:t xml:space="preserve"> les tons plus foncés représentent, pour chaque région, la proportion de Parties dont les données sont incluses dans le graphique, tandis que les tons plus clairs représentent la proportion de Parties de la même région dont les données ne sont pas incluses dans la figure.</w:t>
      </w:r>
    </w:p>
    <w:tbl>
      <w:tblPr>
        <w:tblStyle w:val="TableGrid"/>
        <w:tblW w:w="9463" w:type="dxa"/>
        <w:tblLook w:val="04A0" w:firstRow="1" w:lastRow="0" w:firstColumn="1" w:lastColumn="0" w:noHBand="0" w:noVBand="1"/>
      </w:tblPr>
      <w:tblGrid>
        <w:gridCol w:w="4539"/>
        <w:gridCol w:w="4924"/>
      </w:tblGrid>
      <w:tr w:rsidR="001279A8" w:rsidRPr="00BE1196" w14:paraId="599A33EE" w14:textId="77777777" w:rsidTr="009B4355">
        <w:tc>
          <w:tcPr>
            <w:tcW w:w="9463" w:type="dxa"/>
            <w:gridSpan w:val="2"/>
          </w:tcPr>
          <w:p w14:paraId="4BB0D2F7" w14:textId="77777777" w:rsidR="001279A8" w:rsidRPr="00BE1196" w:rsidRDefault="001279A8" w:rsidP="009B4355">
            <w:pPr>
              <w:rPr>
                <w:rFonts w:ascii="Aptos" w:hAnsi="Aptos"/>
              </w:rPr>
            </w:pPr>
            <w:r>
              <w:rPr>
                <w:rFonts w:ascii="Aptos" w:hAnsi="Aptos"/>
              </w:rPr>
              <w:t>Figure 105</w:t>
            </w:r>
          </w:p>
        </w:tc>
      </w:tr>
      <w:tr w:rsidR="001279A8" w:rsidRPr="00BE1196" w14:paraId="1A9FC2E9" w14:textId="77777777" w:rsidTr="009B4355">
        <w:tc>
          <w:tcPr>
            <w:tcW w:w="4539" w:type="dxa"/>
          </w:tcPr>
          <w:p w14:paraId="0BC72860" w14:textId="77777777" w:rsidR="001279A8" w:rsidRPr="00BE1196" w:rsidRDefault="001279A8" w:rsidP="009B4355">
            <w:pPr>
              <w:rPr>
                <w:rFonts w:ascii="Aptos" w:hAnsi="Aptos"/>
              </w:rPr>
            </w:pPr>
            <w:r w:rsidRPr="00BE1196">
              <w:rPr>
                <w:rFonts w:ascii="Aptos" w:hAnsi="Aptos"/>
              </w:rPr>
              <w:t xml:space="preserve">English </w:t>
            </w:r>
          </w:p>
        </w:tc>
        <w:tc>
          <w:tcPr>
            <w:tcW w:w="4924" w:type="dxa"/>
          </w:tcPr>
          <w:p w14:paraId="7264A877" w14:textId="77777777" w:rsidR="001279A8" w:rsidRPr="00BE1196" w:rsidRDefault="001279A8" w:rsidP="009B4355">
            <w:pPr>
              <w:rPr>
                <w:rFonts w:ascii="Aptos" w:hAnsi="Aptos"/>
              </w:rPr>
            </w:pPr>
            <w:r>
              <w:rPr>
                <w:rFonts w:ascii="Aptos" w:hAnsi="Aptos"/>
              </w:rPr>
              <w:t>Français</w:t>
            </w:r>
          </w:p>
        </w:tc>
      </w:tr>
      <w:tr w:rsidR="001279A8" w:rsidRPr="003A6336" w14:paraId="5587C8E1" w14:textId="77777777" w:rsidTr="009B4355">
        <w:tc>
          <w:tcPr>
            <w:tcW w:w="4539" w:type="dxa"/>
          </w:tcPr>
          <w:p w14:paraId="7E052AD9" w14:textId="77777777" w:rsidR="001279A8" w:rsidRPr="003A6336" w:rsidRDefault="001279A8" w:rsidP="009B4355">
            <w:pPr>
              <w:rPr>
                <w:rFonts w:ascii="Aptos" w:hAnsi="Aptos"/>
              </w:rPr>
            </w:pPr>
            <w:r>
              <w:rPr>
                <w:rFonts w:ascii="Aptos" w:hAnsi="Aptos"/>
              </w:rPr>
              <w:t>Non-monetary benefits from ABS (count)</w:t>
            </w:r>
          </w:p>
        </w:tc>
        <w:tc>
          <w:tcPr>
            <w:tcW w:w="4924" w:type="dxa"/>
          </w:tcPr>
          <w:p w14:paraId="2749CE9B" w14:textId="77777777" w:rsidR="001279A8" w:rsidRPr="003A6336" w:rsidRDefault="001279A8" w:rsidP="009B4355">
            <w:pPr>
              <w:rPr>
                <w:rFonts w:ascii="Aptos" w:hAnsi="Aptos"/>
              </w:rPr>
            </w:pPr>
            <w:r>
              <w:t>Avantages non monétaires liés à l’accès et au partage des avantages (nombre)</w:t>
            </w:r>
          </w:p>
        </w:tc>
      </w:tr>
      <w:tr w:rsidR="001279A8" w:rsidRPr="003A6336" w14:paraId="3DB96451" w14:textId="77777777" w:rsidTr="009B4355">
        <w:tc>
          <w:tcPr>
            <w:tcW w:w="4539" w:type="dxa"/>
          </w:tcPr>
          <w:p w14:paraId="55323EE5" w14:textId="77777777" w:rsidR="001279A8" w:rsidRPr="003A6336" w:rsidRDefault="001279A8" w:rsidP="009B4355">
            <w:pPr>
              <w:rPr>
                <w:rFonts w:ascii="Aptos" w:hAnsi="Aptos"/>
              </w:rPr>
            </w:pPr>
            <w:r>
              <w:rPr>
                <w:rFonts w:ascii="Aptos" w:hAnsi="Aptos"/>
              </w:rPr>
              <w:t>Year</w:t>
            </w:r>
          </w:p>
        </w:tc>
        <w:tc>
          <w:tcPr>
            <w:tcW w:w="4924" w:type="dxa"/>
          </w:tcPr>
          <w:p w14:paraId="03A3CB42" w14:textId="77777777" w:rsidR="001279A8" w:rsidRPr="003A6336" w:rsidRDefault="001279A8" w:rsidP="009B4355">
            <w:pPr>
              <w:rPr>
                <w:rFonts w:ascii="Aptos" w:hAnsi="Aptos"/>
              </w:rPr>
            </w:pPr>
            <w:r>
              <w:t>Année</w:t>
            </w:r>
          </w:p>
        </w:tc>
      </w:tr>
      <w:tr w:rsidR="001279A8" w:rsidRPr="003A6336" w14:paraId="6A188160" w14:textId="77777777" w:rsidTr="009B4355">
        <w:tc>
          <w:tcPr>
            <w:tcW w:w="4539" w:type="dxa"/>
          </w:tcPr>
          <w:p w14:paraId="0C4A39E4" w14:textId="77777777" w:rsidR="001279A8" w:rsidRPr="003A6336" w:rsidRDefault="001279A8" w:rsidP="009B4355">
            <w:pPr>
              <w:rPr>
                <w:rFonts w:ascii="Aptos" w:hAnsi="Aptos"/>
              </w:rPr>
            </w:pPr>
            <w:r>
              <w:rPr>
                <w:rFonts w:ascii="Aptos" w:hAnsi="Aptos"/>
              </w:rPr>
              <w:t>Party count: 33</w:t>
            </w:r>
          </w:p>
        </w:tc>
        <w:tc>
          <w:tcPr>
            <w:tcW w:w="4924" w:type="dxa"/>
          </w:tcPr>
          <w:p w14:paraId="169B97BA" w14:textId="77777777" w:rsidR="001279A8" w:rsidRPr="003A6336" w:rsidRDefault="001279A8" w:rsidP="009B4355">
            <w:pPr>
              <w:rPr>
                <w:rFonts w:ascii="Aptos" w:hAnsi="Aptos"/>
              </w:rPr>
            </w:pPr>
            <w:r>
              <w:t>Nombre de Parties : 33</w:t>
            </w:r>
          </w:p>
        </w:tc>
      </w:tr>
      <w:tr w:rsidR="001279A8" w:rsidRPr="003A6336" w14:paraId="156D9627" w14:textId="77777777" w:rsidTr="009B4355">
        <w:tc>
          <w:tcPr>
            <w:tcW w:w="4539" w:type="dxa"/>
          </w:tcPr>
          <w:p w14:paraId="492832AA" w14:textId="77777777" w:rsidR="001279A8" w:rsidRPr="003A6336" w:rsidRDefault="001279A8" w:rsidP="009B4355">
            <w:pPr>
              <w:rPr>
                <w:rFonts w:ascii="Aptos" w:hAnsi="Aptos"/>
              </w:rPr>
            </w:pPr>
            <w:r>
              <w:rPr>
                <w:rFonts w:ascii="Aptos" w:hAnsi="Aptos"/>
              </w:rPr>
              <w:t>Parties covered</w:t>
            </w:r>
          </w:p>
        </w:tc>
        <w:tc>
          <w:tcPr>
            <w:tcW w:w="4924" w:type="dxa"/>
          </w:tcPr>
          <w:p w14:paraId="262C8817" w14:textId="77777777" w:rsidR="001279A8" w:rsidRPr="003A6336" w:rsidRDefault="001279A8" w:rsidP="009B4355">
            <w:pPr>
              <w:rPr>
                <w:rFonts w:ascii="Aptos" w:hAnsi="Aptos"/>
              </w:rPr>
            </w:pPr>
            <w:r>
              <w:t>Parties visées</w:t>
            </w:r>
          </w:p>
        </w:tc>
      </w:tr>
      <w:tr w:rsidR="001279A8" w:rsidRPr="003A6336" w14:paraId="28C52F45" w14:textId="77777777" w:rsidTr="009B4355">
        <w:tc>
          <w:tcPr>
            <w:tcW w:w="4539" w:type="dxa"/>
          </w:tcPr>
          <w:p w14:paraId="282607B3" w14:textId="77777777" w:rsidR="001279A8" w:rsidRPr="003A6336" w:rsidRDefault="001279A8" w:rsidP="009B4355">
            <w:pPr>
              <w:rPr>
                <w:rFonts w:ascii="Aptos" w:hAnsi="Aptos"/>
              </w:rPr>
            </w:pPr>
            <w:r>
              <w:rPr>
                <w:rFonts w:ascii="Aptos" w:hAnsi="Aptos"/>
              </w:rPr>
              <w:t>Region</w:t>
            </w:r>
          </w:p>
        </w:tc>
        <w:tc>
          <w:tcPr>
            <w:tcW w:w="4924" w:type="dxa"/>
          </w:tcPr>
          <w:p w14:paraId="560213FA" w14:textId="77777777" w:rsidR="001279A8" w:rsidRPr="003A6336" w:rsidRDefault="001279A8" w:rsidP="009B4355">
            <w:pPr>
              <w:rPr>
                <w:rFonts w:ascii="Aptos" w:hAnsi="Aptos"/>
              </w:rPr>
            </w:pPr>
            <w:r>
              <w:t>Région</w:t>
            </w:r>
          </w:p>
        </w:tc>
      </w:tr>
      <w:tr w:rsidR="001279A8" w:rsidRPr="003A6336" w14:paraId="106B4332" w14:textId="77777777" w:rsidTr="009B4355">
        <w:tc>
          <w:tcPr>
            <w:tcW w:w="4539" w:type="dxa"/>
          </w:tcPr>
          <w:p w14:paraId="2FB32E8D" w14:textId="77777777" w:rsidR="001279A8" w:rsidRPr="003A6336" w:rsidRDefault="001279A8" w:rsidP="009B4355">
            <w:pPr>
              <w:rPr>
                <w:rFonts w:ascii="Aptos" w:hAnsi="Aptos"/>
              </w:rPr>
            </w:pPr>
            <w:r>
              <w:rPr>
                <w:rFonts w:ascii="Aptos" w:hAnsi="Aptos"/>
              </w:rPr>
              <w:t>African States</w:t>
            </w:r>
          </w:p>
        </w:tc>
        <w:tc>
          <w:tcPr>
            <w:tcW w:w="4924" w:type="dxa"/>
          </w:tcPr>
          <w:p w14:paraId="080DB1D1" w14:textId="77777777" w:rsidR="001279A8" w:rsidRPr="003A6336" w:rsidRDefault="001279A8" w:rsidP="009B4355">
            <w:pPr>
              <w:rPr>
                <w:rFonts w:ascii="Aptos" w:hAnsi="Aptos"/>
              </w:rPr>
            </w:pPr>
            <w:r>
              <w:t>États d’Afrique</w:t>
            </w:r>
          </w:p>
        </w:tc>
      </w:tr>
      <w:tr w:rsidR="001279A8" w:rsidRPr="003A6336" w14:paraId="2207B69A" w14:textId="77777777" w:rsidTr="009B4355">
        <w:tc>
          <w:tcPr>
            <w:tcW w:w="4539" w:type="dxa"/>
          </w:tcPr>
          <w:p w14:paraId="7DFD8557" w14:textId="77777777" w:rsidR="001279A8" w:rsidRPr="003A6336" w:rsidRDefault="001279A8" w:rsidP="009B4355">
            <w:pPr>
              <w:rPr>
                <w:rFonts w:ascii="Aptos" w:hAnsi="Aptos"/>
              </w:rPr>
            </w:pPr>
            <w:r>
              <w:rPr>
                <w:rFonts w:ascii="Aptos" w:hAnsi="Aptos"/>
              </w:rPr>
              <w:t>Asia-Pacific States</w:t>
            </w:r>
          </w:p>
        </w:tc>
        <w:tc>
          <w:tcPr>
            <w:tcW w:w="4924" w:type="dxa"/>
          </w:tcPr>
          <w:p w14:paraId="01F152F2" w14:textId="77777777" w:rsidR="001279A8" w:rsidRPr="003A6336" w:rsidRDefault="001279A8" w:rsidP="009B4355">
            <w:pPr>
              <w:rPr>
                <w:rFonts w:ascii="Aptos" w:hAnsi="Aptos"/>
              </w:rPr>
            </w:pPr>
            <w:r>
              <w:t>États d’Asie et du Pacifique</w:t>
            </w:r>
          </w:p>
        </w:tc>
      </w:tr>
      <w:tr w:rsidR="001279A8" w:rsidRPr="003A6336" w14:paraId="4D5B7DA7" w14:textId="77777777" w:rsidTr="009B4355">
        <w:tc>
          <w:tcPr>
            <w:tcW w:w="4539" w:type="dxa"/>
          </w:tcPr>
          <w:p w14:paraId="1CF4FDA1" w14:textId="77777777" w:rsidR="001279A8" w:rsidRPr="003A6336" w:rsidRDefault="001279A8" w:rsidP="009B4355">
            <w:pPr>
              <w:rPr>
                <w:rFonts w:ascii="Aptos" w:hAnsi="Aptos"/>
              </w:rPr>
            </w:pPr>
            <w:r>
              <w:rPr>
                <w:rFonts w:ascii="Aptos" w:hAnsi="Aptos"/>
              </w:rPr>
              <w:t>Latin American and Caribbean States</w:t>
            </w:r>
          </w:p>
        </w:tc>
        <w:tc>
          <w:tcPr>
            <w:tcW w:w="4924" w:type="dxa"/>
          </w:tcPr>
          <w:p w14:paraId="7DB2BF22" w14:textId="77777777" w:rsidR="001279A8" w:rsidRPr="003A6336" w:rsidRDefault="001279A8" w:rsidP="009B4355">
            <w:pPr>
              <w:rPr>
                <w:rFonts w:ascii="Aptos" w:hAnsi="Aptos"/>
              </w:rPr>
            </w:pPr>
            <w:r>
              <w:t>États d’Amérique latine et des Caraïbes</w:t>
            </w:r>
          </w:p>
        </w:tc>
      </w:tr>
      <w:tr w:rsidR="001279A8" w:rsidRPr="003A6336" w14:paraId="1A26C4F2" w14:textId="77777777" w:rsidTr="009B4355">
        <w:tc>
          <w:tcPr>
            <w:tcW w:w="4539" w:type="dxa"/>
          </w:tcPr>
          <w:p w14:paraId="49F044B6" w14:textId="77777777" w:rsidR="001279A8" w:rsidRPr="003A6336" w:rsidRDefault="001279A8" w:rsidP="009B4355">
            <w:pPr>
              <w:rPr>
                <w:rFonts w:ascii="Aptos" w:hAnsi="Aptos"/>
              </w:rPr>
            </w:pPr>
            <w:r>
              <w:rPr>
                <w:rFonts w:ascii="Aptos" w:hAnsi="Aptos"/>
              </w:rPr>
              <w:t>Eastern European States</w:t>
            </w:r>
          </w:p>
        </w:tc>
        <w:tc>
          <w:tcPr>
            <w:tcW w:w="4924" w:type="dxa"/>
          </w:tcPr>
          <w:p w14:paraId="2188DA2D" w14:textId="77777777" w:rsidR="001279A8" w:rsidRPr="003A6336" w:rsidRDefault="001279A8" w:rsidP="009B4355">
            <w:pPr>
              <w:rPr>
                <w:rFonts w:ascii="Aptos" w:hAnsi="Aptos"/>
              </w:rPr>
            </w:pPr>
            <w:r>
              <w:t>États d’Europe orientale</w:t>
            </w:r>
          </w:p>
        </w:tc>
      </w:tr>
      <w:tr w:rsidR="001279A8" w:rsidRPr="003A6336" w14:paraId="2596C059" w14:textId="77777777" w:rsidTr="009B4355">
        <w:tc>
          <w:tcPr>
            <w:tcW w:w="4539" w:type="dxa"/>
          </w:tcPr>
          <w:p w14:paraId="5C5E2E29" w14:textId="77777777" w:rsidR="001279A8" w:rsidRPr="003A6336" w:rsidRDefault="001279A8" w:rsidP="009B4355">
            <w:pPr>
              <w:rPr>
                <w:rFonts w:ascii="Aptos" w:hAnsi="Aptos"/>
              </w:rPr>
            </w:pPr>
            <w:r>
              <w:rPr>
                <w:rFonts w:ascii="Aptos" w:hAnsi="Aptos"/>
              </w:rPr>
              <w:t>Western European and other States</w:t>
            </w:r>
          </w:p>
        </w:tc>
        <w:tc>
          <w:tcPr>
            <w:tcW w:w="4924" w:type="dxa"/>
          </w:tcPr>
          <w:p w14:paraId="241DC838" w14:textId="77777777" w:rsidR="001279A8" w:rsidRPr="003A6336" w:rsidRDefault="001279A8" w:rsidP="009B4355">
            <w:pPr>
              <w:rPr>
                <w:rFonts w:ascii="Aptos" w:hAnsi="Aptos"/>
              </w:rPr>
            </w:pPr>
            <w:r>
              <w:t>États d’Europe occidentale et autres États</w:t>
            </w:r>
          </w:p>
        </w:tc>
      </w:tr>
    </w:tbl>
    <w:p w14:paraId="2D94A83E" w14:textId="1301EB69" w:rsidR="007A60EC" w:rsidRPr="00653BF4" w:rsidRDefault="007A60EC" w:rsidP="007A60EC">
      <w:pPr>
        <w:rPr>
          <w:lang w:val="fr-FR"/>
        </w:rPr>
      </w:pPr>
    </w:p>
    <w:p w14:paraId="3B071E94" w14:textId="4C0FAAE3" w:rsidR="007A60EC" w:rsidRPr="00653BF4" w:rsidRDefault="007A60EC" w:rsidP="007A60EC">
      <w:pPr>
        <w:pStyle w:val="Heading5"/>
        <w:rPr>
          <w:lang w:val="fr-FR"/>
        </w:rPr>
      </w:pPr>
      <w:r w:rsidRPr="00653BF4">
        <w:rPr>
          <w:lang w:val="fr-FR"/>
        </w:rPr>
        <w:t>Résumé des mesures prises pour progresser vers la réalisation de l’</w:t>
      </w:r>
      <w:r w:rsidR="002878D7">
        <w:rPr>
          <w:lang w:val="fr-FR"/>
        </w:rPr>
        <w:t>objectif C</w:t>
      </w:r>
    </w:p>
    <w:p w14:paraId="1B2CD541" w14:textId="77777777" w:rsidR="007A60EC" w:rsidRPr="00653BF4" w:rsidRDefault="007A60EC" w:rsidP="007A60EC">
      <w:pPr>
        <w:rPr>
          <w:lang w:val="fr-FR"/>
        </w:rPr>
      </w:pPr>
    </w:p>
    <w:p w14:paraId="21FDEF03" w14:textId="7435BB5A" w:rsidR="007A60EC" w:rsidRPr="00653BF4" w:rsidRDefault="007A60EC" w:rsidP="007A60EC">
      <w:pPr>
        <w:rPr>
          <w:lang w:val="fr-FR"/>
        </w:rPr>
      </w:pPr>
      <w:r w:rsidRPr="00653BF4">
        <w:rPr>
          <w:lang w:val="fr-FR"/>
        </w:rPr>
        <w:lastRenderedPageBreak/>
        <w:t>C’est sur l’</w:t>
      </w:r>
      <w:r w:rsidR="002878D7">
        <w:rPr>
          <w:lang w:val="fr-FR"/>
        </w:rPr>
        <w:t>objectif C</w:t>
      </w:r>
      <w:r w:rsidRPr="00653BF4">
        <w:rPr>
          <w:lang w:val="fr-FR"/>
        </w:rPr>
        <w:t xml:space="preserve"> que les Parties ont fourni le moins d’informations dans leurs rapports nationaux. Si de nombreuses Parties ont adhéré au Protocole de Nagoya, elles ont souligné l’absence de textes d’application, de points de contrôle institutionnels et de mécanismes de mise en application nécessaires pour suivre et garantir le partage des avantages. Certaines actions concrètes menées par les Parties, et décrites dans leurs rapports nationaux, mettent néanmoins en évidence des possibilités de combler les lacunes liées à la mise en œuvre de l’</w:t>
      </w:r>
      <w:r w:rsidR="002878D7">
        <w:rPr>
          <w:lang w:val="fr-FR"/>
        </w:rPr>
        <w:t>objectif C</w:t>
      </w:r>
      <w:r w:rsidRPr="00653BF4">
        <w:rPr>
          <w:lang w:val="fr-FR"/>
        </w:rPr>
        <w:t>.</w:t>
      </w:r>
    </w:p>
    <w:p w14:paraId="25C71C1C" w14:textId="1FE8D22A" w:rsidR="007A60EC" w:rsidRPr="00653BF4" w:rsidRDefault="007A60EC" w:rsidP="007A60EC">
      <w:pPr>
        <w:rPr>
          <w:lang w:val="fr-FR"/>
        </w:rPr>
      </w:pPr>
      <w:r w:rsidRPr="00653BF4">
        <w:rPr>
          <w:lang w:val="fr-FR"/>
        </w:rPr>
        <w:t>Le signe de progrès le plus fréquemment mentionné pour l’</w:t>
      </w:r>
      <w:r w:rsidR="002878D7">
        <w:rPr>
          <w:lang w:val="fr-FR"/>
        </w:rPr>
        <w:t>objectif C</w:t>
      </w:r>
      <w:r w:rsidRPr="00653BF4">
        <w:rPr>
          <w:lang w:val="fr-FR"/>
        </w:rPr>
        <w:t xml:space="preserve"> a été la ratification du Protocole de Nagoya, suivie de la mise en place de cadres juridiques nationaux relatifs à l’accès et au partage des avantages. Selon les Parties, formaliser des contrats d’accès et de partage des avantages, plutôt que d’appliquer de manière générale les principes du Protocole de Nagoya, constituait un moyen efficace de garantir un partage juste et équitable des avantages et de contribuer à leur suivi. Pour faciliter le suivi, la création du Centre d’échange sur l’accès et le partage des avantages a été citée en particulier comme un moyen efficace de retracer la délivrance des permis et les avantages associés. Sur le plan institutionnel, les Parties ont indiqué qu’une participation active au Traité international sur les ressources phytogénétiques pour l’alimentation et l’agriculture soutenait les efforts liés à l’accès et au partage des avantages grâce aux synergies entre le Traité, la Convention et le Protocole de Nagoya. Il ressort en outre des rapports que des mesures directes visant à faire appliquer la réglementation et à réprimer le trafic illicite de ressources génétiques ont aussi contribué à un partage juste et équitable des avantages. Au-delà des actions gouvernementales, des partenariats multipartites associant des praticiens des savoirs traditionnels, ainsi que le développement, en collaboration avec les peuples autochtones et communautés locales, de chaînes de valeur conformes aux règles d’accès et de partage des avantages, ont été considérés comme des moyens de renforcer la mise en œuvre des éléments de l’</w:t>
      </w:r>
      <w:r w:rsidR="002878D7">
        <w:rPr>
          <w:lang w:val="fr-FR"/>
        </w:rPr>
        <w:t>objectif C</w:t>
      </w:r>
      <w:r w:rsidRPr="00653BF4">
        <w:rPr>
          <w:lang w:val="fr-FR"/>
        </w:rPr>
        <w:t>. Ces partenariats seraient axés sur les connaissances traditionnelles, sur une intégration accrue de l’accès et du partage des avantages, et sur la fourniture d’avantages tangibles et visibles aux peuples autochtones et communautés locales, dans le respect de leurs droits.</w:t>
      </w:r>
    </w:p>
    <w:p w14:paraId="628E25BA" w14:textId="77777777" w:rsidR="007A60EC" w:rsidRPr="00653BF4" w:rsidRDefault="007A60EC" w:rsidP="007A60EC">
      <w:pPr>
        <w:spacing w:line="279" w:lineRule="auto"/>
        <w:rPr>
          <w:lang w:val="fr-FR"/>
        </w:rPr>
      </w:pPr>
    </w:p>
    <w:p w14:paraId="024A3C52" w14:textId="77777777" w:rsidR="007A60EC" w:rsidRPr="00653BF4" w:rsidRDefault="007A60EC" w:rsidP="007A60EC">
      <w:pPr>
        <w:spacing w:line="279" w:lineRule="auto"/>
        <w:rPr>
          <w:lang w:val="fr-FR"/>
        </w:rPr>
      </w:pPr>
    </w:p>
    <w:p w14:paraId="74F8D0E8" w14:textId="48545523" w:rsidR="007A60EC" w:rsidRPr="00653BF4" w:rsidRDefault="002878D7" w:rsidP="007A60EC">
      <w:pPr>
        <w:pStyle w:val="Heading4"/>
        <w:rPr>
          <w:i w:val="0"/>
          <w:iCs w:val="0"/>
          <w:lang w:val="fr-FR"/>
        </w:rPr>
      </w:pPr>
      <w:bookmarkStart w:id="480" w:name="_Toc235821357"/>
      <w:bookmarkStart w:id="481" w:name="_Toc239069224"/>
      <w:bookmarkStart w:id="482" w:name="_Toc854706487"/>
      <w:bookmarkStart w:id="483" w:name="_Toc242801261"/>
      <w:r>
        <w:rPr>
          <w:b/>
          <w:bCs/>
          <w:i w:val="0"/>
          <w:iCs w:val="0"/>
          <w:lang w:val="fr-FR"/>
        </w:rPr>
        <w:t>Objectif D</w:t>
      </w:r>
      <w:r w:rsidR="007A60EC" w:rsidRPr="00653BF4">
        <w:rPr>
          <w:b/>
          <w:bCs/>
          <w:i w:val="0"/>
          <w:iCs w:val="0"/>
          <w:lang w:val="fr-FR"/>
        </w:rPr>
        <w:t>.</w:t>
      </w:r>
      <w:r w:rsidR="007A60EC" w:rsidRPr="00653BF4">
        <w:rPr>
          <w:i w:val="0"/>
          <w:iCs w:val="0"/>
          <w:lang w:val="fr-FR"/>
        </w:rPr>
        <w:t xml:space="preserve"> </w:t>
      </w:r>
      <w:bookmarkEnd w:id="480"/>
      <w:bookmarkEnd w:id="481"/>
      <w:bookmarkEnd w:id="482"/>
      <w:r w:rsidR="007A60EC" w:rsidRPr="00653BF4">
        <w:rPr>
          <w:i w:val="0"/>
          <w:iCs w:val="0"/>
          <w:lang w:val="fr-FR"/>
        </w:rPr>
        <w:t>Investir et collaborer</w:t>
      </w:r>
      <w:bookmarkEnd w:id="483"/>
    </w:p>
    <w:p w14:paraId="08733A31" w14:textId="77777777" w:rsidR="007A60EC" w:rsidRPr="00653BF4" w:rsidRDefault="007A60EC" w:rsidP="007A60EC">
      <w:pPr>
        <w:rPr>
          <w:lang w:val="fr-FR"/>
        </w:rPr>
      </w:pPr>
    </w:p>
    <w:p w14:paraId="478C0F31" w14:textId="77777777" w:rsidR="007A60EC" w:rsidRPr="00653BF4" w:rsidRDefault="007A60EC" w:rsidP="007A60EC">
      <w:pPr>
        <w:rPr>
          <w:lang w:val="fr-FR"/>
        </w:rPr>
      </w:pPr>
    </w:p>
    <w:p w14:paraId="632F96C7" w14:textId="77777777" w:rsidR="007A60EC" w:rsidRPr="00653BF4" w:rsidRDefault="007A60EC" w:rsidP="007A60EC">
      <w:pPr>
        <w:rPr>
          <w:b/>
          <w:bCs/>
          <w:i/>
          <w:iCs/>
          <w:sz w:val="22"/>
          <w:szCs w:val="22"/>
          <w:lang w:val="fr-FR"/>
        </w:rPr>
      </w:pPr>
      <w:r w:rsidRPr="00653BF4">
        <w:rPr>
          <w:b/>
          <w:bCs/>
          <w:sz w:val="22"/>
          <w:szCs w:val="22"/>
          <w:lang w:val="fr-FR"/>
        </w:rPr>
        <w:lastRenderedPageBreak/>
        <w:t>Texte de l’objectif.</w:t>
      </w:r>
      <w:r w:rsidRPr="00653BF4">
        <w:rPr>
          <w:b/>
          <w:bCs/>
          <w:i/>
          <w:iCs/>
          <w:sz w:val="22"/>
          <w:szCs w:val="22"/>
          <w:lang w:val="fr-FR"/>
        </w:rPr>
        <w:t xml:space="preserve"> </w:t>
      </w:r>
      <w:r w:rsidRPr="00653BF4">
        <w:rPr>
          <w:rFonts w:ascii="Aptos" w:hAnsi="Aptos"/>
          <w:i/>
          <w:color w:val="000000"/>
          <w:spacing w:val="6"/>
          <w:sz w:val="22"/>
          <w:szCs w:val="22"/>
          <w:shd w:val="clear" w:color="auto" w:fill="FFFFFF"/>
          <w:lang w:val="fr-FR"/>
        </w:rPr>
        <w:t>Donner à toutes les Parties, en particulier aux pays en développement Parties, notamment aux pays les moins avancés et aux petits États insulaires en développement ainsi qu’aux pays à économie en transition, des moyens de mise en œuvre adéquats, y compris en matière de financement, de renforcement des capacités, de coopération technique et scientifique, d’accès aux technologies et de transfert de celles-ci, afin de mettre pleinement en œuvre le cadre mondial de la biodiversité de Kunming-Montréal, en comblant progressivement le déficit de financement de la biodiversité, qui s’élève à 700 milliards de dollars par an, et en alignant les flux financiers sur le cadre mondial et sur la Vision 2050 pour la biodiversité.</w:t>
      </w:r>
    </w:p>
    <w:p w14:paraId="33B8312D" w14:textId="77777777" w:rsidR="007A60EC" w:rsidRPr="00653BF4" w:rsidRDefault="007A60EC" w:rsidP="007A60EC">
      <w:pPr>
        <w:rPr>
          <w:lang w:val="fr-FR"/>
        </w:rPr>
      </w:pPr>
    </w:p>
    <w:p w14:paraId="3C435FDE" w14:textId="77777777" w:rsidR="007A60EC" w:rsidRPr="00653BF4" w:rsidRDefault="007A60EC" w:rsidP="007A60EC">
      <w:pPr>
        <w:pStyle w:val="Heading5"/>
        <w:rPr>
          <w:lang w:val="fr-FR"/>
        </w:rPr>
      </w:pPr>
      <w:r w:rsidRPr="00653BF4">
        <w:rPr>
          <w:lang w:val="fr-FR"/>
        </w:rPr>
        <w:t>Aperçu de l’objectif</w:t>
      </w:r>
    </w:p>
    <w:p w14:paraId="7FC19D4A" w14:textId="77777777" w:rsidR="007A60EC" w:rsidRPr="00653BF4" w:rsidRDefault="007A60EC" w:rsidP="007A60EC">
      <w:pPr>
        <w:rPr>
          <w:lang w:val="fr-FR"/>
        </w:rPr>
      </w:pPr>
    </w:p>
    <w:tbl>
      <w:tblPr>
        <w:tblStyle w:val="TableGrid"/>
        <w:tblW w:w="0" w:type="auto"/>
        <w:tblLook w:val="04A0" w:firstRow="1" w:lastRow="0" w:firstColumn="1" w:lastColumn="0" w:noHBand="0" w:noVBand="1"/>
      </w:tblPr>
      <w:tblGrid>
        <w:gridCol w:w="9016"/>
      </w:tblGrid>
      <w:tr w:rsidR="007A60EC" w:rsidRPr="00543148" w14:paraId="64E027DD" w14:textId="77777777" w:rsidTr="00557FB3">
        <w:tc>
          <w:tcPr>
            <w:tcW w:w="9016" w:type="dxa"/>
            <w:shd w:val="clear" w:color="auto" w:fill="D1D1D1" w:themeFill="background2" w:themeFillShade="E6"/>
          </w:tcPr>
          <w:p w14:paraId="41BC1153" w14:textId="77777777" w:rsidR="007A60EC" w:rsidRPr="00653BF4" w:rsidRDefault="007A60EC" w:rsidP="00557FB3">
            <w:pPr>
              <w:rPr>
                <w:rFonts w:eastAsia="Aptos"/>
                <w:lang w:val="fr-FR"/>
              </w:rPr>
            </w:pPr>
          </w:p>
          <w:p w14:paraId="66F1774A" w14:textId="7A6FA2EF" w:rsidR="007A60EC" w:rsidRPr="00653BF4" w:rsidRDefault="007A60EC" w:rsidP="00557FB3">
            <w:pPr>
              <w:rPr>
                <w:rFonts w:eastAsia="Aptos"/>
                <w:lang w:val="fr-FR"/>
              </w:rPr>
            </w:pPr>
            <w:r w:rsidRPr="00653BF4">
              <w:rPr>
                <w:rFonts w:eastAsia="Aptos"/>
                <w:lang w:val="fr-FR"/>
              </w:rPr>
              <w:t>Les Parties ont associé 10 des 23 cibles du Cadre à l’</w:t>
            </w:r>
            <w:r w:rsidR="002878D7">
              <w:rPr>
                <w:rFonts w:eastAsia="Aptos"/>
                <w:lang w:val="fr-FR"/>
              </w:rPr>
              <w:t>objectif D</w:t>
            </w:r>
            <w:r w:rsidRPr="00653BF4">
              <w:rPr>
                <w:rFonts w:eastAsia="Aptos"/>
                <w:lang w:val="fr-FR"/>
              </w:rPr>
              <w:t xml:space="preserve">. Ces 10 cibles correspondent exactement aux cibles relevant de l’intitulé </w:t>
            </w:r>
            <w:r w:rsidR="00E34DC9">
              <w:rPr>
                <w:rFonts w:eastAsia="Aptos"/>
                <w:lang w:val="fr-FR"/>
              </w:rPr>
              <w:t>« </w:t>
            </w:r>
            <w:r w:rsidRPr="00653BF4">
              <w:rPr>
                <w:rFonts w:eastAsia="Aptos"/>
                <w:lang w:val="fr-FR"/>
              </w:rPr>
              <w:t>Outils et solutions en matière de mise en œuvre et d’intégration</w:t>
            </w:r>
            <w:r w:rsidR="00E34DC9">
              <w:rPr>
                <w:rFonts w:eastAsia="Aptos"/>
                <w:lang w:val="fr-FR"/>
              </w:rPr>
              <w:t> »</w:t>
            </w:r>
            <w:r w:rsidRPr="00653BF4">
              <w:rPr>
                <w:rFonts w:eastAsia="Aptos"/>
                <w:lang w:val="fr-FR"/>
              </w:rPr>
              <w:t xml:space="preserve"> (</w:t>
            </w:r>
            <w:r w:rsidR="002878D7">
              <w:rPr>
                <w:rFonts w:eastAsia="Aptos"/>
                <w:lang w:val="fr-FR"/>
              </w:rPr>
              <w:t>cibles 1</w:t>
            </w:r>
            <w:r w:rsidRPr="00653BF4">
              <w:rPr>
                <w:rFonts w:eastAsia="Aptos"/>
                <w:lang w:val="fr-FR"/>
              </w:rPr>
              <w:t xml:space="preserve">4 à 23). Les </w:t>
            </w:r>
            <w:r w:rsidR="002878D7">
              <w:rPr>
                <w:rFonts w:eastAsia="Aptos"/>
                <w:lang w:val="fr-FR"/>
              </w:rPr>
              <w:t>cibles 1</w:t>
            </w:r>
            <w:r w:rsidRPr="00653BF4">
              <w:rPr>
                <w:rFonts w:eastAsia="Aptos"/>
                <w:lang w:val="fr-FR"/>
              </w:rPr>
              <w:t>8, 19 et 20 étaient les plus fortement associées à l’</w:t>
            </w:r>
            <w:r w:rsidR="002878D7">
              <w:rPr>
                <w:rFonts w:eastAsia="Aptos"/>
                <w:lang w:val="fr-FR"/>
              </w:rPr>
              <w:t>objectif D</w:t>
            </w:r>
            <w:r w:rsidRPr="00653BF4">
              <w:rPr>
                <w:rFonts w:eastAsia="Aptos"/>
                <w:lang w:val="fr-FR"/>
              </w:rPr>
              <w:t>. Les progrès collectifs vers plusieurs des cibles associées à l’</w:t>
            </w:r>
            <w:r w:rsidR="002878D7">
              <w:rPr>
                <w:rFonts w:eastAsia="Aptos"/>
                <w:lang w:val="fr-FR"/>
              </w:rPr>
              <w:t>objectif D</w:t>
            </w:r>
            <w:r w:rsidRPr="00653BF4">
              <w:rPr>
                <w:rFonts w:eastAsia="Aptos"/>
                <w:lang w:val="fr-FR"/>
              </w:rPr>
              <w:t xml:space="preserve"> se heurtent à d’importantes difficultés de mise en œuvre.</w:t>
            </w:r>
          </w:p>
          <w:p w14:paraId="587A3F6D" w14:textId="77777777" w:rsidR="007A60EC" w:rsidRPr="00653BF4" w:rsidRDefault="007A60EC" w:rsidP="00557FB3">
            <w:pPr>
              <w:rPr>
                <w:rFonts w:eastAsia="Aptos"/>
                <w:lang w:val="fr-FR"/>
              </w:rPr>
            </w:pPr>
          </w:p>
        </w:tc>
      </w:tr>
    </w:tbl>
    <w:p w14:paraId="06663F60" w14:textId="77777777" w:rsidR="007A60EC" w:rsidRPr="00653BF4" w:rsidRDefault="007A60EC" w:rsidP="007A60EC">
      <w:pPr>
        <w:rPr>
          <w:b/>
          <w:bCs/>
          <w:i/>
          <w:iCs/>
          <w:sz w:val="22"/>
          <w:szCs w:val="22"/>
          <w:lang w:val="fr-FR"/>
        </w:rPr>
      </w:pPr>
    </w:p>
    <w:p w14:paraId="1B9A038B" w14:textId="77777777" w:rsidR="007A60EC" w:rsidRPr="00653BF4" w:rsidRDefault="007A60EC" w:rsidP="007A60EC">
      <w:pPr>
        <w:pStyle w:val="Heading5"/>
        <w:rPr>
          <w:lang w:val="fr-FR"/>
        </w:rPr>
      </w:pPr>
    </w:p>
    <w:p w14:paraId="7E86B1C6" w14:textId="77777777" w:rsidR="007A60EC" w:rsidRPr="00653BF4" w:rsidRDefault="007A60EC" w:rsidP="007A60EC">
      <w:pPr>
        <w:pStyle w:val="Heading5"/>
        <w:rPr>
          <w:lang w:val="fr-FR"/>
        </w:rPr>
      </w:pPr>
      <w:r w:rsidRPr="00653BF4">
        <w:rPr>
          <w:lang w:val="fr-FR"/>
        </w:rPr>
        <w:t>Progrès concernant les cibles associées</w:t>
      </w:r>
    </w:p>
    <w:p w14:paraId="105F07AC" w14:textId="77777777" w:rsidR="007A60EC" w:rsidRPr="00653BF4" w:rsidRDefault="007A60EC" w:rsidP="007A60EC">
      <w:pPr>
        <w:rPr>
          <w:lang w:val="fr-FR"/>
        </w:rPr>
      </w:pPr>
    </w:p>
    <w:p w14:paraId="28B60603" w14:textId="2D0BE472" w:rsidR="007A60EC" w:rsidRPr="00653BF4" w:rsidRDefault="007A60EC" w:rsidP="007A60EC">
      <w:pPr>
        <w:pStyle w:val="Caption"/>
        <w:rPr>
          <w:i w:val="0"/>
          <w:color w:val="000000" w:themeColor="text1"/>
          <w:sz w:val="24"/>
          <w:szCs w:val="24"/>
          <w:lang w:val="fr-FR"/>
        </w:rPr>
      </w:pPr>
      <w:r w:rsidRPr="00653BF4">
        <w:rPr>
          <w:i w:val="0"/>
          <w:color w:val="000000" w:themeColor="text1"/>
          <w:sz w:val="24"/>
          <w:szCs w:val="24"/>
          <w:lang w:val="fr-FR"/>
        </w:rPr>
        <w:t xml:space="preserve">Selon la méthode décrite plus haut, les 10 cibles relevant de l’intitulé </w:t>
      </w:r>
      <w:r w:rsidR="00E34DC9">
        <w:rPr>
          <w:i w:val="0"/>
          <w:color w:val="000000" w:themeColor="text1"/>
          <w:sz w:val="24"/>
          <w:szCs w:val="24"/>
          <w:lang w:val="fr-FR"/>
        </w:rPr>
        <w:t>« </w:t>
      </w:r>
      <w:r w:rsidRPr="00653BF4">
        <w:rPr>
          <w:i w:val="0"/>
          <w:color w:val="000000" w:themeColor="text1"/>
          <w:sz w:val="24"/>
          <w:szCs w:val="24"/>
          <w:lang w:val="fr-FR"/>
        </w:rPr>
        <w:t>Outils et solutions en matière de mise en œuvre et d’intégration</w:t>
      </w:r>
      <w:r w:rsidR="00E34DC9">
        <w:rPr>
          <w:i w:val="0"/>
          <w:color w:val="000000" w:themeColor="text1"/>
          <w:sz w:val="24"/>
          <w:szCs w:val="24"/>
          <w:lang w:val="fr-FR"/>
        </w:rPr>
        <w:t> »</w:t>
      </w:r>
      <w:r w:rsidRPr="00653BF4">
        <w:rPr>
          <w:i w:val="0"/>
          <w:color w:val="000000" w:themeColor="text1"/>
          <w:sz w:val="24"/>
          <w:szCs w:val="24"/>
          <w:lang w:val="fr-FR"/>
        </w:rPr>
        <w:t xml:space="preserve"> ont toutes été associées à l’</w:t>
      </w:r>
      <w:r w:rsidR="002878D7">
        <w:rPr>
          <w:i w:val="0"/>
          <w:color w:val="000000" w:themeColor="text1"/>
          <w:sz w:val="24"/>
          <w:szCs w:val="24"/>
          <w:lang w:val="fr-FR"/>
        </w:rPr>
        <w:t>objectif D</w:t>
      </w:r>
      <w:r w:rsidRPr="00653BF4">
        <w:rPr>
          <w:i w:val="0"/>
          <w:color w:val="000000" w:themeColor="text1"/>
          <w:sz w:val="24"/>
          <w:szCs w:val="24"/>
          <w:lang w:val="fr-FR"/>
        </w:rPr>
        <w:t xml:space="preserve"> (voir la figure 106). Toutes, à l’exception de la </w:t>
      </w:r>
      <w:r w:rsidR="00E34DC9">
        <w:rPr>
          <w:i w:val="0"/>
          <w:color w:val="000000" w:themeColor="text1"/>
          <w:sz w:val="24"/>
          <w:szCs w:val="24"/>
          <w:lang w:val="fr-FR"/>
        </w:rPr>
        <w:t>cible 1</w:t>
      </w:r>
      <w:r w:rsidRPr="00653BF4">
        <w:rPr>
          <w:i w:val="0"/>
          <w:color w:val="000000" w:themeColor="text1"/>
          <w:sz w:val="24"/>
          <w:szCs w:val="24"/>
          <w:lang w:val="fr-FR"/>
        </w:rPr>
        <w:t>6, étaient plus fortement associées à l’</w:t>
      </w:r>
      <w:r w:rsidR="002878D7">
        <w:rPr>
          <w:i w:val="0"/>
          <w:color w:val="000000" w:themeColor="text1"/>
          <w:sz w:val="24"/>
          <w:szCs w:val="24"/>
          <w:lang w:val="fr-FR"/>
        </w:rPr>
        <w:t>objectif D</w:t>
      </w:r>
      <w:r w:rsidRPr="00653BF4">
        <w:rPr>
          <w:i w:val="0"/>
          <w:color w:val="000000" w:themeColor="text1"/>
          <w:sz w:val="24"/>
          <w:szCs w:val="24"/>
          <w:lang w:val="fr-FR"/>
        </w:rPr>
        <w:t xml:space="preserve"> qu’à tout autre objectif. L’association était la plus forte pour les </w:t>
      </w:r>
      <w:r w:rsidR="002878D7">
        <w:rPr>
          <w:i w:val="0"/>
          <w:color w:val="000000" w:themeColor="text1"/>
          <w:sz w:val="24"/>
          <w:szCs w:val="24"/>
          <w:lang w:val="fr-FR"/>
        </w:rPr>
        <w:t>cibles 1</w:t>
      </w:r>
      <w:r w:rsidRPr="00653BF4">
        <w:rPr>
          <w:i w:val="0"/>
          <w:color w:val="000000" w:themeColor="text1"/>
          <w:sz w:val="24"/>
          <w:szCs w:val="24"/>
          <w:lang w:val="fr-FR"/>
        </w:rPr>
        <w:t xml:space="preserve">8, 19 et 20, c’est-à-dire les cibles que les Parties associent le plus fortement aux moyens de mise en œuvre (voir la figure 95 et la </w:t>
      </w:r>
      <w:r w:rsidR="002878D7">
        <w:rPr>
          <w:i w:val="0"/>
          <w:color w:val="000000" w:themeColor="text1"/>
          <w:sz w:val="24"/>
          <w:szCs w:val="24"/>
          <w:lang w:val="fr-FR"/>
        </w:rPr>
        <w:t>section I</w:t>
      </w:r>
      <w:r w:rsidRPr="00653BF4">
        <w:rPr>
          <w:i w:val="0"/>
          <w:color w:val="000000" w:themeColor="text1"/>
          <w:sz w:val="24"/>
          <w:szCs w:val="24"/>
          <w:lang w:val="fr-FR"/>
        </w:rPr>
        <w:t>I.D)</w:t>
      </w:r>
      <w:r w:rsidRPr="00653BF4">
        <w:rPr>
          <w:i w:val="0"/>
          <w:iCs w:val="0"/>
          <w:color w:val="000000" w:themeColor="text1"/>
          <w:sz w:val="24"/>
          <w:szCs w:val="24"/>
          <w:lang w:val="fr-FR"/>
        </w:rPr>
        <w:t xml:space="preserve">. </w:t>
      </w:r>
    </w:p>
    <w:p w14:paraId="6A11613A" w14:textId="4AAC500F" w:rsidR="007A60EC" w:rsidRPr="00653BF4" w:rsidRDefault="007A60EC" w:rsidP="007A60EC">
      <w:pPr>
        <w:rPr>
          <w:lang w:val="fr-FR"/>
        </w:rPr>
      </w:pPr>
      <w:r w:rsidRPr="00653BF4">
        <w:rPr>
          <w:lang w:val="fr-FR"/>
        </w:rPr>
        <w:t>Pour chacune des 10 cibles associées à l’</w:t>
      </w:r>
      <w:r w:rsidR="002878D7">
        <w:rPr>
          <w:lang w:val="fr-FR"/>
        </w:rPr>
        <w:t>objectif D</w:t>
      </w:r>
      <w:r w:rsidRPr="00653BF4">
        <w:rPr>
          <w:lang w:val="fr-FR"/>
        </w:rPr>
        <w:t xml:space="preserve">, les tendances des indicateurs présentées à la </w:t>
      </w:r>
      <w:r w:rsidR="002878D7">
        <w:rPr>
          <w:lang w:val="fr-FR"/>
        </w:rPr>
        <w:t>section I</w:t>
      </w:r>
      <w:r w:rsidRPr="00653BF4">
        <w:rPr>
          <w:lang w:val="fr-FR"/>
        </w:rPr>
        <w:t>I.B sont résumées sous la forme d’une tendance moyenne (voir la figure 107). Parmi les cibles les plus fortement associées à l’</w:t>
      </w:r>
      <w:r w:rsidR="002878D7">
        <w:rPr>
          <w:lang w:val="fr-FR"/>
        </w:rPr>
        <w:t>objectif D</w:t>
      </w:r>
      <w:r w:rsidRPr="00653BF4">
        <w:rPr>
          <w:lang w:val="fr-FR"/>
        </w:rPr>
        <w:t>, cinq (</w:t>
      </w:r>
      <w:r w:rsidR="002878D7">
        <w:rPr>
          <w:lang w:val="fr-FR"/>
        </w:rPr>
        <w:t>cibles 1</w:t>
      </w:r>
      <w:r w:rsidRPr="00653BF4">
        <w:rPr>
          <w:lang w:val="fr-FR"/>
        </w:rPr>
        <w:t>4, 15, 19, 20 et 21) comptent nettement plus d’indicateurs présentant des signes d’amélioration que de détérioration. À l’inverse, pour trois autres (</w:t>
      </w:r>
      <w:r w:rsidR="002878D7">
        <w:rPr>
          <w:lang w:val="fr-FR"/>
        </w:rPr>
        <w:t>cibles 1</w:t>
      </w:r>
      <w:r w:rsidRPr="00653BF4">
        <w:rPr>
          <w:lang w:val="fr-FR"/>
        </w:rPr>
        <w:t>7, 22 et 23), les indicateurs présentant des signes de détérioration sont plus nombreux que ceux qui montrent des signes d’amélioration. Sur l’ensemble des cibles associées, 35</w:t>
      </w:r>
      <w:r w:rsidR="002878D7">
        <w:rPr>
          <w:lang w:val="fr-FR"/>
        </w:rPr>
        <w:t> %</w:t>
      </w:r>
      <w:r w:rsidRPr="00653BF4">
        <w:rPr>
          <w:lang w:val="fr-FR"/>
        </w:rPr>
        <w:t xml:space="preserve"> des indicateurs sont en </w:t>
      </w:r>
      <w:r w:rsidRPr="00653BF4">
        <w:rPr>
          <w:lang w:val="fr-FR"/>
        </w:rPr>
        <w:lastRenderedPageBreak/>
        <w:t>amélioration, 49</w:t>
      </w:r>
      <w:r w:rsidR="002878D7">
        <w:rPr>
          <w:lang w:val="fr-FR"/>
        </w:rPr>
        <w:t> %</w:t>
      </w:r>
      <w:r w:rsidRPr="00653BF4">
        <w:rPr>
          <w:lang w:val="fr-FR"/>
        </w:rPr>
        <w:t xml:space="preserve"> sont stables et 16</w:t>
      </w:r>
      <w:r w:rsidR="002878D7">
        <w:rPr>
          <w:lang w:val="fr-FR"/>
        </w:rPr>
        <w:t> %</w:t>
      </w:r>
      <w:r w:rsidRPr="00653BF4">
        <w:rPr>
          <w:lang w:val="fr-FR"/>
        </w:rPr>
        <w:t xml:space="preserve"> s’éloignent de leur cible. Ces premiers résultats semblent indiquer que, dans l’ensemble, les progrès vers l’</w:t>
      </w:r>
      <w:r w:rsidR="002878D7">
        <w:rPr>
          <w:lang w:val="fr-FR"/>
        </w:rPr>
        <w:t>objectif D</w:t>
      </w:r>
      <w:r w:rsidRPr="00653BF4">
        <w:rPr>
          <w:lang w:val="fr-FR"/>
        </w:rPr>
        <w:t xml:space="preserve"> sont mitigés mais encourageants. Les cibles liées aux facteurs indirects de modification de la biodiversité présentent à la fois des progrès et des reculs. Toutefois, la plupart de ces indicateurs n’ont pas été conçus pour suivre les progrès vers l’</w:t>
      </w:r>
      <w:r w:rsidR="002878D7">
        <w:rPr>
          <w:lang w:val="fr-FR"/>
        </w:rPr>
        <w:t>objectif D</w:t>
      </w:r>
      <w:r w:rsidRPr="00653BF4">
        <w:rPr>
          <w:lang w:val="fr-FR"/>
        </w:rPr>
        <w:t xml:space="preserve"> et ne sont pas équivalents du point de vue des échelles, des périodes et des variables qu’ils mesurent, de sorte que cette tendance globale ne devrait être considérée que comme un reflet indicatif, indirect et imparfait des progrès</w:t>
      </w:r>
      <w:r w:rsidRPr="00653BF4">
        <w:rPr>
          <w:color w:val="000000" w:themeColor="text1"/>
          <w:lang w:val="fr-FR"/>
        </w:rPr>
        <w:t>.</w:t>
      </w:r>
    </w:p>
    <w:p w14:paraId="37CBDA7E" w14:textId="77777777" w:rsidR="007A60EC" w:rsidRPr="00653BF4" w:rsidRDefault="007A60EC" w:rsidP="007A60EC">
      <w:pPr>
        <w:rPr>
          <w:sz w:val="20"/>
          <w:szCs w:val="20"/>
          <w:lang w:val="fr-FR"/>
        </w:rPr>
      </w:pPr>
    </w:p>
    <w:p w14:paraId="2289E73F" w14:textId="77777777" w:rsidR="007A60EC" w:rsidRPr="00653BF4" w:rsidRDefault="007A60EC" w:rsidP="007A60EC">
      <w:pPr>
        <w:rPr>
          <w:sz w:val="20"/>
          <w:szCs w:val="20"/>
          <w:lang w:val="fr-FR"/>
        </w:rPr>
      </w:pPr>
      <w:r w:rsidRPr="00653BF4">
        <w:rPr>
          <w:sz w:val="20"/>
          <w:szCs w:val="20"/>
          <w:lang w:val="fr-FR"/>
        </w:rPr>
        <w:t xml:space="preserve">Figure </w:t>
      </w:r>
      <w:r w:rsidRPr="00653BF4">
        <w:rPr>
          <w:noProof/>
          <w:sz w:val="20"/>
          <w:szCs w:val="20"/>
          <w:lang w:val="fr-FR"/>
        </w:rPr>
        <w:t>106</w:t>
      </w:r>
    </w:p>
    <w:p w14:paraId="1F791CB4" w14:textId="5B642E5F" w:rsidR="007A60EC" w:rsidRPr="00653BF4" w:rsidRDefault="007A60EC" w:rsidP="007A60EC">
      <w:pPr>
        <w:pStyle w:val="Caption"/>
        <w:rPr>
          <w:i w:val="0"/>
          <w:iCs w:val="0"/>
          <w:lang w:val="fr-FR"/>
        </w:rPr>
      </w:pPr>
      <w:r w:rsidRPr="00653BF4">
        <w:rPr>
          <w:b/>
          <w:bCs/>
          <w:i w:val="0"/>
          <w:iCs w:val="0"/>
          <w:lang w:val="fr-FR"/>
        </w:rPr>
        <w:t>Cibles du Cadre associées à l’</w:t>
      </w:r>
      <w:r w:rsidR="002878D7">
        <w:rPr>
          <w:b/>
          <w:bCs/>
          <w:i w:val="0"/>
          <w:iCs w:val="0"/>
          <w:lang w:val="fr-FR"/>
        </w:rPr>
        <w:t>objectif D</w:t>
      </w:r>
      <w:r w:rsidRPr="00653BF4">
        <w:rPr>
          <w:b/>
          <w:bCs/>
          <w:i w:val="0"/>
          <w:iCs w:val="0"/>
          <w:lang w:val="fr-FR"/>
        </w:rPr>
        <w:t xml:space="preserve"> dans les cibles nationales soumises par les Parties</w:t>
      </w:r>
      <w:r w:rsidRPr="00653BF4">
        <w:rPr>
          <w:i w:val="0"/>
          <w:iCs w:val="0"/>
          <w:lang w:val="fr-FR"/>
        </w:rPr>
        <w:t xml:space="preserve"> </w:t>
      </w:r>
    </w:p>
    <w:p w14:paraId="6091E66E" w14:textId="77777777" w:rsidR="007A60EC" w:rsidRPr="00653BF4" w:rsidRDefault="007A60EC" w:rsidP="007A60EC">
      <w:pPr>
        <w:pStyle w:val="Caption"/>
        <w:rPr>
          <w:lang w:val="fr-FR"/>
        </w:rPr>
      </w:pPr>
      <w:r w:rsidRPr="00653BF4">
        <w:rPr>
          <w:noProof/>
          <w:lang w:val="fr-FR"/>
        </w:rPr>
        <w:drawing>
          <wp:inline distT="0" distB="0" distL="0" distR="0" wp14:anchorId="2F663D15" wp14:editId="00422BC5">
            <wp:extent cx="4261485" cy="3289289"/>
            <wp:effectExtent l="0" t="0" r="0" b="635"/>
            <wp:docPr id="879504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504022" name="Picture 879504022"/>
                    <pic:cNvPicPr/>
                  </pic:nvPicPr>
                  <pic:blipFill rotWithShape="1">
                    <a:blip r:embed="rId242" cstate="print">
                      <a:extLst>
                        <a:ext uri="{28A0092B-C50C-407E-A947-70E740481C1C}">
                          <a14:useLocalDpi xmlns:a14="http://schemas.microsoft.com/office/drawing/2010/main" val="0"/>
                        </a:ext>
                      </a:extLst>
                    </a:blip>
                    <a:srcRect l="9832" t="31463" b="31419"/>
                    <a:stretch>
                      <a:fillRect/>
                    </a:stretch>
                  </pic:blipFill>
                  <pic:spPr bwMode="auto">
                    <a:xfrm>
                      <a:off x="0" y="0"/>
                      <a:ext cx="4262223" cy="3289859"/>
                    </a:xfrm>
                    <a:prstGeom prst="rect">
                      <a:avLst/>
                    </a:prstGeom>
                    <a:ln>
                      <a:noFill/>
                    </a:ln>
                    <a:extLst>
                      <a:ext uri="{53640926-AAD7-44D8-BBD7-CCE9431645EC}">
                        <a14:shadowObscured xmlns:a14="http://schemas.microsoft.com/office/drawing/2010/main"/>
                      </a:ext>
                    </a:extLst>
                  </pic:spPr>
                </pic:pic>
              </a:graphicData>
            </a:graphic>
          </wp:inline>
        </w:drawing>
      </w:r>
    </w:p>
    <w:p w14:paraId="5841F482" w14:textId="15E29085" w:rsidR="007A60EC" w:rsidRPr="00653BF4" w:rsidRDefault="007A60EC" w:rsidP="007A60EC">
      <w:pPr>
        <w:pStyle w:val="Caption"/>
        <w:rPr>
          <w:i w:val="0"/>
          <w:iCs w:val="0"/>
          <w:lang w:val="fr-FR"/>
        </w:rPr>
      </w:pPr>
      <w:r w:rsidRPr="00653BF4">
        <w:rPr>
          <w:lang w:val="fr-FR"/>
        </w:rPr>
        <w:t>Note</w:t>
      </w:r>
      <w:r w:rsidR="00E34DC9">
        <w:rPr>
          <w:lang w:val="fr-FR"/>
        </w:rPr>
        <w:t> :</w:t>
      </w:r>
      <w:r w:rsidRPr="00653BF4">
        <w:rPr>
          <w:i w:val="0"/>
          <w:iCs w:val="0"/>
          <w:lang w:val="fr-FR"/>
        </w:rPr>
        <w:t xml:space="preserve"> Un lien est établi entre une cible et l’objectif si, dans l’un quelconque des groupes régionaux d’États Membres de l’Organisation des Nations Unies, au moins un tiers des cibles nationales fixées par les Parties associent cette cible à l’objectif. Les couleurs servent à mettre en évidence chaque cible conformément à la charte graphique officielle du Cadre et n’ont aucune autre signification.</w:t>
      </w:r>
    </w:p>
    <w:tbl>
      <w:tblPr>
        <w:tblStyle w:val="TableGrid"/>
        <w:tblW w:w="9463" w:type="dxa"/>
        <w:tblLayout w:type="fixed"/>
        <w:tblLook w:val="04A0" w:firstRow="1" w:lastRow="0" w:firstColumn="1" w:lastColumn="0" w:noHBand="0" w:noVBand="1"/>
      </w:tblPr>
      <w:tblGrid>
        <w:gridCol w:w="4236"/>
        <w:gridCol w:w="5227"/>
      </w:tblGrid>
      <w:tr w:rsidR="001279A8" w:rsidRPr="00217950" w14:paraId="7923F093" w14:textId="77777777" w:rsidTr="009B4355">
        <w:tc>
          <w:tcPr>
            <w:tcW w:w="9463" w:type="dxa"/>
            <w:gridSpan w:val="2"/>
          </w:tcPr>
          <w:p w14:paraId="059D2869" w14:textId="77777777" w:rsidR="001279A8" w:rsidRPr="00217950" w:rsidRDefault="001279A8" w:rsidP="009B4355">
            <w:pPr>
              <w:rPr>
                <w:rFonts w:ascii="Aptos" w:hAnsi="Aptos"/>
              </w:rPr>
            </w:pPr>
            <w:r>
              <w:rPr>
                <w:rFonts w:ascii="Aptos" w:hAnsi="Aptos"/>
              </w:rPr>
              <w:t>Figure 106</w:t>
            </w:r>
          </w:p>
        </w:tc>
      </w:tr>
      <w:tr w:rsidR="001279A8" w:rsidRPr="00217950" w14:paraId="235CD6B9" w14:textId="77777777" w:rsidTr="009B4355">
        <w:tc>
          <w:tcPr>
            <w:tcW w:w="4236" w:type="dxa"/>
          </w:tcPr>
          <w:p w14:paraId="72D12C96" w14:textId="77777777" w:rsidR="001279A8" w:rsidRPr="00217950" w:rsidRDefault="001279A8" w:rsidP="009B4355">
            <w:pPr>
              <w:rPr>
                <w:rFonts w:ascii="Aptos" w:hAnsi="Aptos"/>
              </w:rPr>
            </w:pPr>
            <w:r w:rsidRPr="00217950">
              <w:rPr>
                <w:rFonts w:ascii="Aptos" w:hAnsi="Aptos"/>
              </w:rPr>
              <w:t xml:space="preserve">English </w:t>
            </w:r>
          </w:p>
        </w:tc>
        <w:tc>
          <w:tcPr>
            <w:tcW w:w="5227" w:type="dxa"/>
          </w:tcPr>
          <w:p w14:paraId="5DA879FD" w14:textId="77777777" w:rsidR="001279A8" w:rsidRPr="00217950" w:rsidRDefault="001279A8" w:rsidP="009B4355">
            <w:pPr>
              <w:rPr>
                <w:rFonts w:ascii="Aptos" w:hAnsi="Aptos"/>
              </w:rPr>
            </w:pPr>
            <w:r>
              <w:rPr>
                <w:rFonts w:ascii="Aptos" w:hAnsi="Aptos"/>
              </w:rPr>
              <w:t>Français</w:t>
            </w:r>
          </w:p>
        </w:tc>
      </w:tr>
      <w:tr w:rsidR="001279A8" w:rsidRPr="003A6336" w14:paraId="64D02874" w14:textId="77777777" w:rsidTr="009B4355">
        <w:tc>
          <w:tcPr>
            <w:tcW w:w="4236" w:type="dxa"/>
          </w:tcPr>
          <w:p w14:paraId="3BA63BB1" w14:textId="77777777" w:rsidR="001279A8" w:rsidRPr="003A6336" w:rsidRDefault="001279A8" w:rsidP="009B4355">
            <w:pPr>
              <w:rPr>
                <w:rFonts w:ascii="Aptos" w:hAnsi="Aptos"/>
              </w:rPr>
            </w:pPr>
            <w:r>
              <w:rPr>
                <w:rFonts w:ascii="Aptos" w:hAnsi="Aptos"/>
              </w:rPr>
              <w:t>Goal D</w:t>
            </w:r>
          </w:p>
        </w:tc>
        <w:tc>
          <w:tcPr>
            <w:tcW w:w="5227" w:type="dxa"/>
          </w:tcPr>
          <w:p w14:paraId="734CCFE3" w14:textId="77777777" w:rsidR="001279A8" w:rsidRPr="00DC2CA0" w:rsidRDefault="001279A8" w:rsidP="009B4355">
            <w:r>
              <w:t>Objectif D</w:t>
            </w:r>
          </w:p>
        </w:tc>
      </w:tr>
      <w:tr w:rsidR="001279A8" w:rsidRPr="003A6336" w14:paraId="422950C7" w14:textId="77777777" w:rsidTr="009B4355">
        <w:tc>
          <w:tcPr>
            <w:tcW w:w="4236" w:type="dxa"/>
          </w:tcPr>
          <w:p w14:paraId="20ACE70C" w14:textId="77777777" w:rsidR="001279A8" w:rsidRPr="003A6336" w:rsidRDefault="001279A8" w:rsidP="009B4355">
            <w:pPr>
              <w:rPr>
                <w:rFonts w:ascii="Aptos" w:hAnsi="Aptos"/>
              </w:rPr>
            </w:pPr>
            <w:r>
              <w:rPr>
                <w:rFonts w:ascii="Aptos" w:hAnsi="Aptos"/>
              </w:rPr>
              <w:t>T14: Mainstream biodiversity</w:t>
            </w:r>
          </w:p>
        </w:tc>
        <w:tc>
          <w:tcPr>
            <w:tcW w:w="5227" w:type="dxa"/>
          </w:tcPr>
          <w:p w14:paraId="24288955" w14:textId="77777777" w:rsidR="001279A8" w:rsidRPr="003A6336" w:rsidRDefault="001279A8" w:rsidP="009B4355">
            <w:pPr>
              <w:rPr>
                <w:rFonts w:ascii="Aptos" w:hAnsi="Aptos"/>
              </w:rPr>
            </w:pPr>
            <w:r>
              <w:rPr>
                <w:rFonts w:ascii="Aptos" w:hAnsi="Aptos"/>
              </w:rPr>
              <w:t xml:space="preserve">C14 : </w:t>
            </w:r>
            <w:r>
              <w:t>Intégrer</w:t>
            </w:r>
            <w:r>
              <w:rPr>
                <w:rFonts w:ascii="Aptos" w:hAnsi="Aptos"/>
              </w:rPr>
              <w:t xml:space="preserve"> la biodiversité</w:t>
            </w:r>
          </w:p>
        </w:tc>
      </w:tr>
      <w:tr w:rsidR="001279A8" w:rsidRPr="003A6336" w14:paraId="13446432" w14:textId="77777777" w:rsidTr="009B4355">
        <w:tc>
          <w:tcPr>
            <w:tcW w:w="4236" w:type="dxa"/>
          </w:tcPr>
          <w:p w14:paraId="460CC666" w14:textId="77777777" w:rsidR="001279A8" w:rsidRPr="003A6336" w:rsidRDefault="001279A8" w:rsidP="009B4355">
            <w:pPr>
              <w:rPr>
                <w:rFonts w:ascii="Aptos" w:hAnsi="Aptos"/>
              </w:rPr>
            </w:pPr>
            <w:r>
              <w:rPr>
                <w:rFonts w:ascii="Aptos" w:hAnsi="Aptos"/>
              </w:rPr>
              <w:t>T15: Businesses assess and disclose</w:t>
            </w:r>
          </w:p>
        </w:tc>
        <w:tc>
          <w:tcPr>
            <w:tcW w:w="5227" w:type="dxa"/>
          </w:tcPr>
          <w:p w14:paraId="7324044E" w14:textId="77777777" w:rsidR="001279A8" w:rsidRDefault="001279A8" w:rsidP="009B4355">
            <w:r>
              <w:t>C15 : Évaluation et communication par les entreprises</w:t>
            </w:r>
          </w:p>
          <w:p w14:paraId="47C60897" w14:textId="77777777" w:rsidR="001279A8" w:rsidRPr="003A6336" w:rsidRDefault="001279A8" w:rsidP="009B4355">
            <w:pPr>
              <w:rPr>
                <w:rFonts w:ascii="Aptos" w:hAnsi="Aptos"/>
              </w:rPr>
            </w:pPr>
          </w:p>
        </w:tc>
      </w:tr>
      <w:tr w:rsidR="001279A8" w:rsidRPr="003A6336" w14:paraId="164A7D23" w14:textId="77777777" w:rsidTr="009B4355">
        <w:tc>
          <w:tcPr>
            <w:tcW w:w="4236" w:type="dxa"/>
          </w:tcPr>
          <w:p w14:paraId="41C495C0" w14:textId="77777777" w:rsidR="001279A8" w:rsidRPr="003A6336" w:rsidRDefault="001279A8" w:rsidP="009B4355">
            <w:pPr>
              <w:rPr>
                <w:rFonts w:ascii="Aptos" w:hAnsi="Aptos"/>
              </w:rPr>
            </w:pPr>
            <w:r>
              <w:rPr>
                <w:rFonts w:ascii="Aptos" w:hAnsi="Aptos"/>
              </w:rPr>
              <w:lastRenderedPageBreak/>
              <w:t>T16: Enable sustainable consumption</w:t>
            </w:r>
          </w:p>
        </w:tc>
        <w:tc>
          <w:tcPr>
            <w:tcW w:w="5227" w:type="dxa"/>
          </w:tcPr>
          <w:p w14:paraId="2DB1BA72" w14:textId="77777777" w:rsidR="001279A8" w:rsidRPr="001A734E" w:rsidRDefault="001279A8" w:rsidP="009B4355">
            <w:r>
              <w:t>C16 : Favoriser des choix de consommation durables</w:t>
            </w:r>
          </w:p>
        </w:tc>
      </w:tr>
      <w:tr w:rsidR="001279A8" w:rsidRPr="003A6336" w14:paraId="59CA4EB7" w14:textId="77777777" w:rsidTr="009B4355">
        <w:tc>
          <w:tcPr>
            <w:tcW w:w="4236" w:type="dxa"/>
          </w:tcPr>
          <w:p w14:paraId="42AF5366" w14:textId="77777777" w:rsidR="001279A8" w:rsidRPr="003A6336" w:rsidRDefault="001279A8" w:rsidP="009B4355">
            <w:pPr>
              <w:rPr>
                <w:rFonts w:ascii="Aptos" w:hAnsi="Aptos"/>
              </w:rPr>
            </w:pPr>
            <w:r>
              <w:rPr>
                <w:rFonts w:ascii="Aptos" w:hAnsi="Aptos"/>
              </w:rPr>
              <w:t>T17: Strengthen biosafety</w:t>
            </w:r>
          </w:p>
        </w:tc>
        <w:tc>
          <w:tcPr>
            <w:tcW w:w="5227" w:type="dxa"/>
          </w:tcPr>
          <w:p w14:paraId="5B1F45EC" w14:textId="77777777" w:rsidR="001279A8" w:rsidRPr="001A734E" w:rsidRDefault="001279A8" w:rsidP="009B4355">
            <w:r>
              <w:t>C17 : Renforcer la prévention des risques biotechnologiques</w:t>
            </w:r>
          </w:p>
        </w:tc>
      </w:tr>
      <w:tr w:rsidR="001279A8" w:rsidRPr="003A6336" w14:paraId="636E2F19" w14:textId="77777777" w:rsidTr="009B4355">
        <w:tc>
          <w:tcPr>
            <w:tcW w:w="4236" w:type="dxa"/>
          </w:tcPr>
          <w:p w14:paraId="413AB678" w14:textId="77777777" w:rsidR="001279A8" w:rsidRPr="003A6336" w:rsidRDefault="001279A8" w:rsidP="009B4355">
            <w:pPr>
              <w:rPr>
                <w:rFonts w:ascii="Aptos" w:hAnsi="Aptos"/>
              </w:rPr>
            </w:pPr>
            <w:r>
              <w:rPr>
                <w:rFonts w:ascii="Aptos" w:hAnsi="Aptos"/>
              </w:rPr>
              <w:t>T18: Reduce harmful incentives</w:t>
            </w:r>
          </w:p>
        </w:tc>
        <w:tc>
          <w:tcPr>
            <w:tcW w:w="5227" w:type="dxa"/>
          </w:tcPr>
          <w:p w14:paraId="0476FA55" w14:textId="77777777" w:rsidR="001279A8" w:rsidRPr="003A6336" w:rsidRDefault="001279A8" w:rsidP="009B4355">
            <w:pPr>
              <w:rPr>
                <w:rFonts w:ascii="Aptos" w:hAnsi="Aptos"/>
              </w:rPr>
            </w:pPr>
            <w:r>
              <w:rPr>
                <w:rFonts w:ascii="Aptos" w:hAnsi="Aptos"/>
              </w:rPr>
              <w:t xml:space="preserve">C18 : </w:t>
            </w:r>
            <w:r>
              <w:t>Réduire les incitations préjudiciables</w:t>
            </w:r>
          </w:p>
        </w:tc>
      </w:tr>
      <w:tr w:rsidR="001279A8" w:rsidRPr="003A6336" w14:paraId="10901B45" w14:textId="77777777" w:rsidTr="009B4355">
        <w:tc>
          <w:tcPr>
            <w:tcW w:w="4236" w:type="dxa"/>
          </w:tcPr>
          <w:p w14:paraId="1511AFF8" w14:textId="77777777" w:rsidR="001279A8" w:rsidRPr="003A6336" w:rsidRDefault="001279A8" w:rsidP="009B4355">
            <w:pPr>
              <w:rPr>
                <w:rFonts w:ascii="Aptos" w:hAnsi="Aptos"/>
              </w:rPr>
            </w:pPr>
            <w:r>
              <w:rPr>
                <w:rFonts w:ascii="Aptos" w:hAnsi="Aptos"/>
              </w:rPr>
              <w:t>T19: Mobilize $200 billion</w:t>
            </w:r>
          </w:p>
        </w:tc>
        <w:tc>
          <w:tcPr>
            <w:tcW w:w="5227" w:type="dxa"/>
          </w:tcPr>
          <w:p w14:paraId="6298876C" w14:textId="77777777" w:rsidR="001279A8" w:rsidRPr="001A734E" w:rsidRDefault="001279A8" w:rsidP="009B4355">
            <w:r>
              <w:t>C19 : Mobiliser 200 milliards de dollars</w:t>
            </w:r>
          </w:p>
        </w:tc>
      </w:tr>
      <w:tr w:rsidR="001279A8" w:rsidRPr="003A6336" w14:paraId="64F38B6F" w14:textId="77777777" w:rsidTr="009B4355">
        <w:tc>
          <w:tcPr>
            <w:tcW w:w="4236" w:type="dxa"/>
          </w:tcPr>
          <w:p w14:paraId="0372E22A" w14:textId="77777777" w:rsidR="001279A8" w:rsidRPr="003A6336" w:rsidRDefault="001279A8" w:rsidP="009B4355">
            <w:pPr>
              <w:rPr>
                <w:rFonts w:ascii="Aptos" w:hAnsi="Aptos"/>
              </w:rPr>
            </w:pPr>
            <w:r>
              <w:rPr>
                <w:rFonts w:ascii="Aptos" w:hAnsi="Aptos"/>
              </w:rPr>
              <w:t>T20: Strengthen capacity-building</w:t>
            </w:r>
          </w:p>
        </w:tc>
        <w:tc>
          <w:tcPr>
            <w:tcW w:w="5227" w:type="dxa"/>
          </w:tcPr>
          <w:p w14:paraId="695B0C4B" w14:textId="77777777" w:rsidR="001279A8" w:rsidRPr="001A734E" w:rsidRDefault="001279A8" w:rsidP="009B4355">
            <w:r>
              <w:t>C20 : Renforcer la création de capacités</w:t>
            </w:r>
          </w:p>
        </w:tc>
      </w:tr>
      <w:tr w:rsidR="001279A8" w:rsidRPr="003A6336" w14:paraId="13DB7D15" w14:textId="77777777" w:rsidTr="009B4355">
        <w:tc>
          <w:tcPr>
            <w:tcW w:w="4236" w:type="dxa"/>
          </w:tcPr>
          <w:p w14:paraId="6E391AA1" w14:textId="77777777" w:rsidR="001279A8" w:rsidRPr="003A6336" w:rsidRDefault="001279A8" w:rsidP="009B4355">
            <w:pPr>
              <w:rPr>
                <w:rFonts w:ascii="Aptos" w:hAnsi="Aptos"/>
              </w:rPr>
            </w:pPr>
            <w:r>
              <w:rPr>
                <w:rFonts w:ascii="Aptos" w:hAnsi="Aptos"/>
              </w:rPr>
              <w:t>T21: Knowledge is available</w:t>
            </w:r>
          </w:p>
        </w:tc>
        <w:tc>
          <w:tcPr>
            <w:tcW w:w="5227" w:type="dxa"/>
          </w:tcPr>
          <w:p w14:paraId="1FBF959D" w14:textId="77777777" w:rsidR="001279A8" w:rsidRPr="001A734E" w:rsidRDefault="001279A8" w:rsidP="009B4355">
            <w:r>
              <w:t>C21 : Connaissances disponibles</w:t>
            </w:r>
          </w:p>
        </w:tc>
      </w:tr>
      <w:tr w:rsidR="001279A8" w:rsidRPr="003A6336" w14:paraId="6F79B7FF" w14:textId="77777777" w:rsidTr="009B4355">
        <w:tc>
          <w:tcPr>
            <w:tcW w:w="4236" w:type="dxa"/>
          </w:tcPr>
          <w:p w14:paraId="665A4852" w14:textId="77777777" w:rsidR="001279A8" w:rsidRPr="003A6336" w:rsidRDefault="001279A8" w:rsidP="009B4355">
            <w:pPr>
              <w:rPr>
                <w:rFonts w:ascii="Aptos" w:hAnsi="Aptos"/>
              </w:rPr>
            </w:pPr>
            <w:r>
              <w:rPr>
                <w:rFonts w:ascii="Aptos" w:hAnsi="Aptos"/>
              </w:rPr>
              <w:t>T22: Ensure participation for all</w:t>
            </w:r>
          </w:p>
        </w:tc>
        <w:tc>
          <w:tcPr>
            <w:tcW w:w="5227" w:type="dxa"/>
          </w:tcPr>
          <w:p w14:paraId="30956CBF" w14:textId="77777777" w:rsidR="001279A8" w:rsidRPr="00217950" w:rsidRDefault="001279A8" w:rsidP="009B4355">
            <w:pPr>
              <w:rPr>
                <w:rFonts w:ascii="Aptos" w:hAnsi="Aptos"/>
              </w:rPr>
            </w:pPr>
            <w:r w:rsidRPr="00217950">
              <w:rPr>
                <w:rFonts w:ascii="Aptos" w:hAnsi="Aptos"/>
              </w:rPr>
              <w:t>C22 : Assurer la participation de tous</w:t>
            </w:r>
          </w:p>
        </w:tc>
      </w:tr>
      <w:tr w:rsidR="001279A8" w:rsidRPr="003A6336" w14:paraId="29FB8D1C" w14:textId="77777777" w:rsidTr="009B4355">
        <w:tc>
          <w:tcPr>
            <w:tcW w:w="4236" w:type="dxa"/>
          </w:tcPr>
          <w:p w14:paraId="2B949EF5" w14:textId="77777777" w:rsidR="001279A8" w:rsidRPr="003A6336" w:rsidRDefault="001279A8" w:rsidP="009B4355">
            <w:pPr>
              <w:rPr>
                <w:rFonts w:ascii="Aptos" w:hAnsi="Aptos"/>
              </w:rPr>
            </w:pPr>
            <w:r>
              <w:rPr>
                <w:rFonts w:ascii="Aptos" w:hAnsi="Aptos"/>
              </w:rPr>
              <w:t>T23: Ensure gender equality</w:t>
            </w:r>
          </w:p>
        </w:tc>
        <w:tc>
          <w:tcPr>
            <w:tcW w:w="5227" w:type="dxa"/>
          </w:tcPr>
          <w:p w14:paraId="7FA2F770" w14:textId="77777777" w:rsidR="001279A8" w:rsidRPr="00217950" w:rsidRDefault="001279A8" w:rsidP="009B4355">
            <w:pPr>
              <w:pStyle w:val="NormalWeb"/>
              <w:rPr>
                <w:rFonts w:ascii="Aptos" w:eastAsiaTheme="minorHAnsi" w:hAnsi="Aptos" w:cstheme="minorBidi"/>
                <w:kern w:val="2"/>
                <w:lang w:val="en-GB"/>
                <w14:ligatures w14:val="standardContextual"/>
              </w:rPr>
            </w:pPr>
            <w:r w:rsidRPr="00217950">
              <w:rPr>
                <w:rFonts w:ascii="Aptos" w:eastAsiaTheme="minorHAnsi" w:hAnsi="Aptos" w:cstheme="minorBidi"/>
                <w:kern w:val="2"/>
                <w:lang w:val="en-GB"/>
                <w14:ligatures w14:val="standardContextual"/>
              </w:rPr>
              <w:t>C23 : Assurer l’égalité des genres</w:t>
            </w:r>
          </w:p>
        </w:tc>
      </w:tr>
    </w:tbl>
    <w:p w14:paraId="754E044D" w14:textId="77777777" w:rsidR="007A60EC" w:rsidRPr="00653BF4" w:rsidRDefault="007A60EC" w:rsidP="007A60EC">
      <w:pPr>
        <w:pStyle w:val="Caption"/>
        <w:rPr>
          <w:lang w:val="fr-FR"/>
        </w:rPr>
      </w:pPr>
    </w:p>
    <w:p w14:paraId="4D07FF73" w14:textId="77777777" w:rsidR="007A60EC" w:rsidRPr="00653BF4" w:rsidRDefault="007A60EC" w:rsidP="007A60EC">
      <w:pPr>
        <w:rPr>
          <w:sz w:val="20"/>
          <w:szCs w:val="20"/>
          <w:lang w:val="fr-FR"/>
        </w:rPr>
      </w:pPr>
      <w:r w:rsidRPr="00653BF4">
        <w:rPr>
          <w:sz w:val="20"/>
          <w:szCs w:val="20"/>
          <w:lang w:val="fr-FR"/>
        </w:rPr>
        <w:t xml:space="preserve">Figure </w:t>
      </w:r>
      <w:r w:rsidRPr="00653BF4">
        <w:rPr>
          <w:noProof/>
          <w:sz w:val="20"/>
          <w:szCs w:val="20"/>
          <w:lang w:val="fr-FR"/>
        </w:rPr>
        <w:t>107</w:t>
      </w:r>
    </w:p>
    <w:p w14:paraId="46DFB3D2" w14:textId="076B2C7B" w:rsidR="007A60EC" w:rsidRDefault="007A60EC" w:rsidP="007A60EC">
      <w:pPr>
        <w:rPr>
          <w:rFonts w:ascii="Aptos" w:hAnsi="Aptos"/>
          <w:b/>
          <w:bCs/>
          <w:sz w:val="20"/>
          <w:szCs w:val="20"/>
          <w:lang w:val="fr-FR"/>
        </w:rPr>
      </w:pPr>
      <w:r w:rsidRPr="00653BF4">
        <w:rPr>
          <w:rFonts w:ascii="Aptos" w:hAnsi="Aptos"/>
          <w:b/>
          <w:bCs/>
          <w:sz w:val="20"/>
          <w:szCs w:val="20"/>
          <w:lang w:val="fr-FR"/>
        </w:rPr>
        <w:t>Pourcentage de l’ensemble des indicateurs quantitatifs (indicateurs phares, de composante, complémentaires et nationaux combinés) alignés sur chaque cible associée à l’</w:t>
      </w:r>
      <w:r w:rsidR="002878D7">
        <w:rPr>
          <w:rFonts w:ascii="Aptos" w:hAnsi="Aptos"/>
          <w:b/>
          <w:bCs/>
          <w:sz w:val="20"/>
          <w:szCs w:val="20"/>
          <w:lang w:val="fr-FR"/>
        </w:rPr>
        <w:t>objectif D</w:t>
      </w:r>
      <w:r w:rsidRPr="00653BF4">
        <w:rPr>
          <w:rFonts w:ascii="Aptos" w:hAnsi="Aptos"/>
          <w:b/>
          <w:bCs/>
          <w:sz w:val="20"/>
          <w:szCs w:val="20"/>
          <w:lang w:val="fr-FR"/>
        </w:rPr>
        <w:t>, selon qu’ils indiquent une tendance positive, stable ou négative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2"/>
        <w:gridCol w:w="3448"/>
      </w:tblGrid>
      <w:tr w:rsidR="00A14215" w14:paraId="0FB4A31A" w14:textId="77777777" w:rsidTr="00A14215">
        <w:tc>
          <w:tcPr>
            <w:tcW w:w="4675" w:type="dxa"/>
          </w:tcPr>
          <w:p w14:paraId="0C6E846B" w14:textId="6C1CD5C5" w:rsidR="00A14215" w:rsidRDefault="00A14215" w:rsidP="007A60EC">
            <w:pPr>
              <w:rPr>
                <w:sz w:val="20"/>
                <w:szCs w:val="20"/>
                <w:lang w:val="fr-FR" w:eastAsia="ja-JP"/>
              </w:rPr>
            </w:pPr>
            <w:r w:rsidRPr="00653BF4">
              <w:rPr>
                <w:noProof/>
                <w:lang w:val="fr-FR"/>
              </w:rPr>
              <w:drawing>
                <wp:inline distT="0" distB="0" distL="0" distR="0" wp14:anchorId="2941DFA7" wp14:editId="5F2DD186">
                  <wp:extent cx="3760967" cy="2910662"/>
                  <wp:effectExtent l="0" t="0" r="0" b="0"/>
                  <wp:docPr id="182491708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17080" name="Picture 1824917080"/>
                          <pic:cNvPicPr/>
                        </pic:nvPicPr>
                        <pic:blipFill rotWithShape="1">
                          <a:blip r:embed="rId243" cstate="print">
                            <a:extLst>
                              <a:ext uri="{28A0092B-C50C-407E-A947-70E740481C1C}">
                                <a14:useLocalDpi xmlns:a14="http://schemas.microsoft.com/office/drawing/2010/main" val="0"/>
                              </a:ext>
                            </a:extLst>
                          </a:blip>
                          <a:srcRect t="7131"/>
                          <a:stretch>
                            <a:fillRect/>
                          </a:stretch>
                        </pic:blipFill>
                        <pic:spPr bwMode="auto">
                          <a:xfrm>
                            <a:off x="0" y="0"/>
                            <a:ext cx="3786356" cy="2930311"/>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tbl>
            <w:tblPr>
              <w:tblStyle w:val="TableGrid"/>
              <w:tblW w:w="3332" w:type="dxa"/>
              <w:tblLook w:val="04A0" w:firstRow="1" w:lastRow="0" w:firstColumn="1" w:lastColumn="0" w:noHBand="0" w:noVBand="1"/>
            </w:tblPr>
            <w:tblGrid>
              <w:gridCol w:w="1678"/>
              <w:gridCol w:w="1654"/>
            </w:tblGrid>
            <w:tr w:rsidR="00A14215" w:rsidRPr="001279A8" w14:paraId="02218963" w14:textId="77777777" w:rsidTr="004027E8">
              <w:trPr>
                <w:trHeight w:val="300"/>
              </w:trPr>
              <w:tc>
                <w:tcPr>
                  <w:tcW w:w="1678" w:type="dxa"/>
                </w:tcPr>
                <w:p w14:paraId="4742AA60" w14:textId="77777777" w:rsidR="00A14215" w:rsidRPr="001279A8" w:rsidRDefault="00A14215" w:rsidP="00A14215">
                  <w:pPr>
                    <w:rPr>
                      <w:rFonts w:ascii="Aptos" w:hAnsi="Aptos"/>
                      <w:sz w:val="22"/>
                      <w:szCs w:val="22"/>
                    </w:rPr>
                  </w:pPr>
                  <w:r w:rsidRPr="001279A8">
                    <w:rPr>
                      <w:rFonts w:ascii="Aptos" w:hAnsi="Aptos"/>
                      <w:sz w:val="22"/>
                      <w:szCs w:val="22"/>
                    </w:rPr>
                    <w:t>Figure 107</w:t>
                  </w:r>
                </w:p>
              </w:tc>
              <w:tc>
                <w:tcPr>
                  <w:tcW w:w="1654" w:type="dxa"/>
                </w:tcPr>
                <w:p w14:paraId="638F0E39" w14:textId="77777777" w:rsidR="00A14215" w:rsidRPr="001279A8" w:rsidRDefault="00A14215" w:rsidP="00A14215">
                  <w:pPr>
                    <w:rPr>
                      <w:rFonts w:ascii="Aptos" w:hAnsi="Aptos"/>
                      <w:sz w:val="22"/>
                      <w:szCs w:val="22"/>
                    </w:rPr>
                  </w:pPr>
                </w:p>
              </w:tc>
            </w:tr>
            <w:tr w:rsidR="00A14215" w:rsidRPr="001279A8" w14:paraId="26FC1F7D" w14:textId="77777777" w:rsidTr="004027E8">
              <w:trPr>
                <w:trHeight w:val="300"/>
              </w:trPr>
              <w:tc>
                <w:tcPr>
                  <w:tcW w:w="1678" w:type="dxa"/>
                </w:tcPr>
                <w:p w14:paraId="5BA044EC" w14:textId="77777777" w:rsidR="00A14215" w:rsidRPr="001279A8" w:rsidRDefault="00A14215" w:rsidP="00A14215">
                  <w:pPr>
                    <w:rPr>
                      <w:rFonts w:ascii="Aptos" w:hAnsi="Aptos"/>
                      <w:sz w:val="22"/>
                      <w:szCs w:val="22"/>
                    </w:rPr>
                  </w:pPr>
                  <w:r w:rsidRPr="001279A8">
                    <w:rPr>
                      <w:rFonts w:ascii="Aptos" w:hAnsi="Aptos"/>
                      <w:sz w:val="22"/>
                      <w:szCs w:val="22"/>
                    </w:rPr>
                    <w:t xml:space="preserve">English </w:t>
                  </w:r>
                </w:p>
              </w:tc>
              <w:tc>
                <w:tcPr>
                  <w:tcW w:w="1654" w:type="dxa"/>
                </w:tcPr>
                <w:p w14:paraId="2E810727" w14:textId="74A7B002" w:rsidR="00A14215" w:rsidRPr="001279A8" w:rsidRDefault="00AD36A0" w:rsidP="00A14215">
                  <w:pPr>
                    <w:rPr>
                      <w:rFonts w:ascii="Aptos" w:hAnsi="Aptos"/>
                      <w:sz w:val="22"/>
                      <w:szCs w:val="22"/>
                    </w:rPr>
                  </w:pPr>
                  <w:r w:rsidRPr="001279A8">
                    <w:rPr>
                      <w:rFonts w:ascii="Aptos" w:hAnsi="Aptos"/>
                      <w:sz w:val="22"/>
                      <w:szCs w:val="22"/>
                    </w:rPr>
                    <w:t>Français</w:t>
                  </w:r>
                </w:p>
              </w:tc>
            </w:tr>
            <w:tr w:rsidR="00A14215" w:rsidRPr="001279A8" w14:paraId="75F68CBF" w14:textId="77777777" w:rsidTr="004027E8">
              <w:trPr>
                <w:trHeight w:val="300"/>
              </w:trPr>
              <w:tc>
                <w:tcPr>
                  <w:tcW w:w="1678" w:type="dxa"/>
                </w:tcPr>
                <w:p w14:paraId="3150BA5B" w14:textId="77777777" w:rsidR="00A14215" w:rsidRPr="001279A8" w:rsidRDefault="00A14215" w:rsidP="00A14215">
                  <w:pPr>
                    <w:rPr>
                      <w:rFonts w:ascii="Aptos" w:hAnsi="Aptos"/>
                      <w:sz w:val="22"/>
                      <w:szCs w:val="22"/>
                    </w:rPr>
                  </w:pPr>
                  <w:r w:rsidRPr="001279A8">
                    <w:rPr>
                      <w:rFonts w:ascii="Aptos" w:hAnsi="Aptos"/>
                      <w:sz w:val="22"/>
                      <w:szCs w:val="22"/>
                    </w:rPr>
                    <w:t>Target</w:t>
                  </w:r>
                </w:p>
              </w:tc>
              <w:tc>
                <w:tcPr>
                  <w:tcW w:w="1654" w:type="dxa"/>
                </w:tcPr>
                <w:p w14:paraId="0109F487" w14:textId="77777777" w:rsidR="00A14215" w:rsidRPr="001279A8" w:rsidRDefault="00A14215" w:rsidP="00A14215">
                  <w:pPr>
                    <w:rPr>
                      <w:rFonts w:ascii="Aptos" w:hAnsi="Aptos"/>
                      <w:sz w:val="22"/>
                      <w:szCs w:val="22"/>
                    </w:rPr>
                  </w:pPr>
                  <w:r w:rsidRPr="001279A8">
                    <w:rPr>
                      <w:sz w:val="22"/>
                      <w:szCs w:val="22"/>
                    </w:rPr>
                    <w:t>Cible</w:t>
                  </w:r>
                </w:p>
              </w:tc>
            </w:tr>
            <w:tr w:rsidR="00A14215" w:rsidRPr="001279A8" w14:paraId="49DE6C8A" w14:textId="77777777" w:rsidTr="004027E8">
              <w:trPr>
                <w:trHeight w:val="300"/>
              </w:trPr>
              <w:tc>
                <w:tcPr>
                  <w:tcW w:w="1678" w:type="dxa"/>
                </w:tcPr>
                <w:p w14:paraId="0E8273F3" w14:textId="77777777" w:rsidR="00A14215" w:rsidRPr="001279A8" w:rsidRDefault="00A14215" w:rsidP="00A14215">
                  <w:pPr>
                    <w:rPr>
                      <w:rFonts w:ascii="Aptos" w:hAnsi="Aptos"/>
                      <w:sz w:val="22"/>
                      <w:szCs w:val="22"/>
                    </w:rPr>
                  </w:pPr>
                  <w:r w:rsidRPr="001279A8">
                    <w:rPr>
                      <w:rFonts w:ascii="Aptos" w:hAnsi="Aptos"/>
                      <w:sz w:val="22"/>
                      <w:szCs w:val="22"/>
                    </w:rPr>
                    <w:t>Percentage</w:t>
                  </w:r>
                </w:p>
              </w:tc>
              <w:tc>
                <w:tcPr>
                  <w:tcW w:w="1654" w:type="dxa"/>
                </w:tcPr>
                <w:p w14:paraId="3DA6FA55" w14:textId="77777777" w:rsidR="00A14215" w:rsidRPr="001279A8" w:rsidRDefault="00A14215" w:rsidP="00A14215">
                  <w:pPr>
                    <w:rPr>
                      <w:rFonts w:ascii="Aptos" w:hAnsi="Aptos"/>
                      <w:sz w:val="22"/>
                      <w:szCs w:val="22"/>
                    </w:rPr>
                  </w:pPr>
                  <w:r w:rsidRPr="001279A8">
                    <w:rPr>
                      <w:sz w:val="22"/>
                      <w:szCs w:val="22"/>
                    </w:rPr>
                    <w:t>Pourcentage</w:t>
                  </w:r>
                </w:p>
              </w:tc>
            </w:tr>
            <w:tr w:rsidR="00A14215" w:rsidRPr="001279A8" w14:paraId="2131018A" w14:textId="77777777" w:rsidTr="004027E8">
              <w:trPr>
                <w:trHeight w:val="300"/>
              </w:trPr>
              <w:tc>
                <w:tcPr>
                  <w:tcW w:w="1678" w:type="dxa"/>
                </w:tcPr>
                <w:p w14:paraId="74F6C5EB" w14:textId="77777777" w:rsidR="00A14215" w:rsidRPr="001279A8" w:rsidRDefault="00A14215" w:rsidP="00A14215">
                  <w:pPr>
                    <w:rPr>
                      <w:rFonts w:ascii="Aptos" w:hAnsi="Aptos"/>
                      <w:sz w:val="22"/>
                      <w:szCs w:val="22"/>
                    </w:rPr>
                  </w:pPr>
                  <w:r w:rsidRPr="001279A8">
                    <w:rPr>
                      <w:rFonts w:ascii="Aptos" w:hAnsi="Aptos"/>
                      <w:sz w:val="22"/>
                      <w:szCs w:val="22"/>
                    </w:rPr>
                    <w:t>Trend</w:t>
                  </w:r>
                </w:p>
              </w:tc>
              <w:tc>
                <w:tcPr>
                  <w:tcW w:w="1654" w:type="dxa"/>
                </w:tcPr>
                <w:p w14:paraId="3A13B5C4" w14:textId="77777777" w:rsidR="00A14215" w:rsidRPr="001279A8" w:rsidRDefault="00A14215" w:rsidP="00A14215">
                  <w:pPr>
                    <w:rPr>
                      <w:rFonts w:ascii="Aptos" w:hAnsi="Aptos"/>
                      <w:sz w:val="22"/>
                      <w:szCs w:val="22"/>
                    </w:rPr>
                  </w:pPr>
                  <w:r w:rsidRPr="001279A8">
                    <w:rPr>
                      <w:sz w:val="22"/>
                      <w:szCs w:val="22"/>
                    </w:rPr>
                    <w:t>Tendance</w:t>
                  </w:r>
                </w:p>
              </w:tc>
            </w:tr>
            <w:tr w:rsidR="00A14215" w:rsidRPr="001279A8" w14:paraId="245B0A2B" w14:textId="77777777" w:rsidTr="004027E8">
              <w:trPr>
                <w:trHeight w:val="300"/>
              </w:trPr>
              <w:tc>
                <w:tcPr>
                  <w:tcW w:w="1678" w:type="dxa"/>
                </w:tcPr>
                <w:p w14:paraId="7014BCBC" w14:textId="77777777" w:rsidR="00A14215" w:rsidRPr="001279A8" w:rsidRDefault="00A14215" w:rsidP="00A14215">
                  <w:pPr>
                    <w:rPr>
                      <w:rFonts w:ascii="Aptos" w:hAnsi="Aptos"/>
                      <w:sz w:val="22"/>
                      <w:szCs w:val="22"/>
                    </w:rPr>
                  </w:pPr>
                  <w:r w:rsidRPr="001279A8">
                    <w:rPr>
                      <w:rFonts w:ascii="Aptos" w:hAnsi="Aptos"/>
                      <w:sz w:val="22"/>
                      <w:szCs w:val="22"/>
                    </w:rPr>
                    <w:t>improving</w:t>
                  </w:r>
                </w:p>
              </w:tc>
              <w:tc>
                <w:tcPr>
                  <w:tcW w:w="1654" w:type="dxa"/>
                </w:tcPr>
                <w:p w14:paraId="66995B93" w14:textId="77777777" w:rsidR="00A14215" w:rsidRPr="001279A8" w:rsidRDefault="00A14215" w:rsidP="00A14215">
                  <w:pPr>
                    <w:rPr>
                      <w:rFonts w:ascii="Aptos" w:hAnsi="Aptos"/>
                      <w:sz w:val="22"/>
                      <w:szCs w:val="22"/>
                    </w:rPr>
                  </w:pPr>
                  <w:r w:rsidRPr="001279A8">
                    <w:rPr>
                      <w:sz w:val="22"/>
                      <w:szCs w:val="22"/>
                    </w:rPr>
                    <w:t>amélioration</w:t>
                  </w:r>
                </w:p>
              </w:tc>
            </w:tr>
            <w:tr w:rsidR="00A14215" w:rsidRPr="001279A8" w14:paraId="77E2C2F7" w14:textId="77777777" w:rsidTr="004027E8">
              <w:trPr>
                <w:trHeight w:val="300"/>
              </w:trPr>
              <w:tc>
                <w:tcPr>
                  <w:tcW w:w="1678" w:type="dxa"/>
                </w:tcPr>
                <w:p w14:paraId="53A1DF73" w14:textId="77777777" w:rsidR="00A14215" w:rsidRPr="001279A8" w:rsidRDefault="00A14215" w:rsidP="00A14215">
                  <w:pPr>
                    <w:rPr>
                      <w:rFonts w:ascii="Aptos" w:hAnsi="Aptos"/>
                      <w:sz w:val="22"/>
                      <w:szCs w:val="22"/>
                    </w:rPr>
                  </w:pPr>
                  <w:r w:rsidRPr="001279A8">
                    <w:rPr>
                      <w:rFonts w:ascii="Aptos" w:hAnsi="Aptos"/>
                      <w:sz w:val="22"/>
                      <w:szCs w:val="22"/>
                    </w:rPr>
                    <w:t>stable</w:t>
                  </w:r>
                </w:p>
              </w:tc>
              <w:tc>
                <w:tcPr>
                  <w:tcW w:w="1654" w:type="dxa"/>
                </w:tcPr>
                <w:p w14:paraId="040611BA" w14:textId="77777777" w:rsidR="00A14215" w:rsidRPr="001279A8" w:rsidRDefault="00A14215" w:rsidP="00A14215">
                  <w:pPr>
                    <w:rPr>
                      <w:rFonts w:ascii="Aptos" w:hAnsi="Aptos"/>
                      <w:sz w:val="22"/>
                      <w:szCs w:val="22"/>
                    </w:rPr>
                  </w:pPr>
                  <w:r w:rsidRPr="001279A8">
                    <w:rPr>
                      <w:sz w:val="22"/>
                      <w:szCs w:val="22"/>
                    </w:rPr>
                    <w:t>stabilité</w:t>
                  </w:r>
                </w:p>
              </w:tc>
            </w:tr>
            <w:tr w:rsidR="00A14215" w:rsidRPr="001279A8" w14:paraId="2E2B739D" w14:textId="77777777" w:rsidTr="004027E8">
              <w:trPr>
                <w:trHeight w:val="300"/>
              </w:trPr>
              <w:tc>
                <w:tcPr>
                  <w:tcW w:w="1678" w:type="dxa"/>
                </w:tcPr>
                <w:p w14:paraId="515E78FD" w14:textId="77777777" w:rsidR="00A14215" w:rsidRPr="001279A8" w:rsidRDefault="00A14215" w:rsidP="00A14215">
                  <w:pPr>
                    <w:rPr>
                      <w:rFonts w:ascii="Aptos" w:hAnsi="Aptos"/>
                      <w:sz w:val="22"/>
                      <w:szCs w:val="22"/>
                    </w:rPr>
                  </w:pPr>
                  <w:r w:rsidRPr="001279A8">
                    <w:rPr>
                      <w:rFonts w:ascii="Aptos" w:hAnsi="Aptos"/>
                      <w:sz w:val="22"/>
                      <w:szCs w:val="22"/>
                    </w:rPr>
                    <w:t>moving away</w:t>
                  </w:r>
                </w:p>
              </w:tc>
              <w:tc>
                <w:tcPr>
                  <w:tcW w:w="1654" w:type="dxa"/>
                </w:tcPr>
                <w:p w14:paraId="3054541C" w14:textId="77777777" w:rsidR="00A14215" w:rsidRPr="001279A8" w:rsidRDefault="00A14215" w:rsidP="00A14215">
                  <w:pPr>
                    <w:rPr>
                      <w:rFonts w:ascii="Aptos" w:hAnsi="Aptos"/>
                      <w:sz w:val="22"/>
                      <w:szCs w:val="22"/>
                    </w:rPr>
                  </w:pPr>
                  <w:r w:rsidRPr="001279A8">
                    <w:rPr>
                      <w:sz w:val="22"/>
                      <w:szCs w:val="22"/>
                    </w:rPr>
                    <w:t>éloignement</w:t>
                  </w:r>
                </w:p>
              </w:tc>
            </w:tr>
            <w:tr w:rsidR="00A14215" w:rsidRPr="001279A8" w14:paraId="3A07A6D0" w14:textId="77777777" w:rsidTr="004027E8">
              <w:trPr>
                <w:trHeight w:val="300"/>
              </w:trPr>
              <w:tc>
                <w:tcPr>
                  <w:tcW w:w="1678" w:type="dxa"/>
                </w:tcPr>
                <w:p w14:paraId="53FF25C6" w14:textId="77777777" w:rsidR="00A14215" w:rsidRPr="001279A8" w:rsidRDefault="00A14215" w:rsidP="00A14215">
                  <w:pPr>
                    <w:rPr>
                      <w:rFonts w:ascii="Aptos" w:hAnsi="Aptos"/>
                      <w:sz w:val="22"/>
                      <w:szCs w:val="22"/>
                    </w:rPr>
                  </w:pPr>
                  <w:r w:rsidRPr="001279A8">
                    <w:rPr>
                      <w:rFonts w:ascii="Aptos" w:hAnsi="Aptos"/>
                      <w:sz w:val="22"/>
                      <w:szCs w:val="22"/>
                    </w:rPr>
                    <w:t>GBF-T14</w:t>
                  </w:r>
                </w:p>
              </w:tc>
              <w:tc>
                <w:tcPr>
                  <w:tcW w:w="1654" w:type="dxa"/>
                </w:tcPr>
                <w:p w14:paraId="7E5911AA" w14:textId="77777777" w:rsidR="00A14215" w:rsidRPr="001279A8" w:rsidRDefault="00A14215" w:rsidP="00A14215">
                  <w:pPr>
                    <w:rPr>
                      <w:rFonts w:ascii="Aptos" w:hAnsi="Aptos"/>
                      <w:sz w:val="22"/>
                      <w:szCs w:val="22"/>
                    </w:rPr>
                  </w:pPr>
                  <w:r w:rsidRPr="001279A8">
                    <w:rPr>
                      <w:rFonts w:ascii="Aptos" w:hAnsi="Aptos"/>
                      <w:sz w:val="22"/>
                      <w:szCs w:val="22"/>
                    </w:rPr>
                    <w:t>CMB-C14</w:t>
                  </w:r>
                </w:p>
              </w:tc>
            </w:tr>
            <w:tr w:rsidR="00A14215" w:rsidRPr="001279A8" w14:paraId="7F3377E3" w14:textId="77777777" w:rsidTr="004027E8">
              <w:trPr>
                <w:trHeight w:val="300"/>
              </w:trPr>
              <w:tc>
                <w:tcPr>
                  <w:tcW w:w="1678" w:type="dxa"/>
                </w:tcPr>
                <w:p w14:paraId="52973D5F" w14:textId="77777777" w:rsidR="00A14215" w:rsidRPr="001279A8" w:rsidRDefault="00A14215" w:rsidP="00A14215">
                  <w:pPr>
                    <w:rPr>
                      <w:rFonts w:ascii="Aptos" w:hAnsi="Aptos"/>
                      <w:sz w:val="22"/>
                      <w:szCs w:val="22"/>
                    </w:rPr>
                  </w:pPr>
                  <w:r w:rsidRPr="001279A8">
                    <w:rPr>
                      <w:rFonts w:ascii="Aptos" w:hAnsi="Aptos"/>
                      <w:sz w:val="22"/>
                      <w:szCs w:val="22"/>
                    </w:rPr>
                    <w:t>GBF-T15</w:t>
                  </w:r>
                </w:p>
              </w:tc>
              <w:tc>
                <w:tcPr>
                  <w:tcW w:w="1654" w:type="dxa"/>
                </w:tcPr>
                <w:p w14:paraId="0F1A4E1D" w14:textId="77777777" w:rsidR="00A14215" w:rsidRPr="001279A8" w:rsidRDefault="00A14215" w:rsidP="00A14215">
                  <w:pPr>
                    <w:rPr>
                      <w:rFonts w:ascii="Aptos" w:hAnsi="Aptos"/>
                      <w:sz w:val="22"/>
                      <w:szCs w:val="22"/>
                    </w:rPr>
                  </w:pPr>
                  <w:r w:rsidRPr="001279A8">
                    <w:rPr>
                      <w:rFonts w:ascii="Aptos" w:hAnsi="Aptos"/>
                      <w:sz w:val="22"/>
                      <w:szCs w:val="22"/>
                    </w:rPr>
                    <w:t>CMB-C15</w:t>
                  </w:r>
                </w:p>
              </w:tc>
            </w:tr>
            <w:tr w:rsidR="00A14215" w:rsidRPr="001279A8" w14:paraId="264AB8AF" w14:textId="77777777" w:rsidTr="004027E8">
              <w:trPr>
                <w:trHeight w:val="300"/>
              </w:trPr>
              <w:tc>
                <w:tcPr>
                  <w:tcW w:w="1678" w:type="dxa"/>
                </w:tcPr>
                <w:p w14:paraId="748B38FF" w14:textId="77777777" w:rsidR="00A14215" w:rsidRPr="001279A8" w:rsidRDefault="00A14215" w:rsidP="00A14215">
                  <w:pPr>
                    <w:rPr>
                      <w:rFonts w:ascii="Aptos" w:hAnsi="Aptos"/>
                      <w:sz w:val="22"/>
                      <w:szCs w:val="22"/>
                    </w:rPr>
                  </w:pPr>
                  <w:r w:rsidRPr="001279A8">
                    <w:rPr>
                      <w:rFonts w:ascii="Aptos" w:hAnsi="Aptos"/>
                      <w:sz w:val="22"/>
                      <w:szCs w:val="22"/>
                    </w:rPr>
                    <w:t>GBF-T16</w:t>
                  </w:r>
                </w:p>
              </w:tc>
              <w:tc>
                <w:tcPr>
                  <w:tcW w:w="1654" w:type="dxa"/>
                </w:tcPr>
                <w:p w14:paraId="1C168075" w14:textId="77777777" w:rsidR="00A14215" w:rsidRPr="001279A8" w:rsidRDefault="00A14215" w:rsidP="00A14215">
                  <w:pPr>
                    <w:rPr>
                      <w:rFonts w:ascii="Aptos" w:hAnsi="Aptos"/>
                      <w:sz w:val="22"/>
                      <w:szCs w:val="22"/>
                    </w:rPr>
                  </w:pPr>
                  <w:r w:rsidRPr="001279A8">
                    <w:rPr>
                      <w:rFonts w:ascii="Aptos" w:hAnsi="Aptos"/>
                      <w:sz w:val="22"/>
                      <w:szCs w:val="22"/>
                    </w:rPr>
                    <w:t>CMB-C16</w:t>
                  </w:r>
                </w:p>
              </w:tc>
            </w:tr>
            <w:tr w:rsidR="00A14215" w:rsidRPr="001279A8" w14:paraId="1B423695" w14:textId="77777777" w:rsidTr="004027E8">
              <w:trPr>
                <w:trHeight w:val="300"/>
              </w:trPr>
              <w:tc>
                <w:tcPr>
                  <w:tcW w:w="1678" w:type="dxa"/>
                </w:tcPr>
                <w:p w14:paraId="1B9BE38C" w14:textId="77777777" w:rsidR="00A14215" w:rsidRPr="001279A8" w:rsidRDefault="00A14215" w:rsidP="00A14215">
                  <w:pPr>
                    <w:rPr>
                      <w:rFonts w:ascii="Aptos" w:hAnsi="Aptos"/>
                      <w:sz w:val="22"/>
                      <w:szCs w:val="22"/>
                    </w:rPr>
                  </w:pPr>
                  <w:r w:rsidRPr="001279A8">
                    <w:rPr>
                      <w:rFonts w:ascii="Aptos" w:hAnsi="Aptos"/>
                      <w:sz w:val="22"/>
                      <w:szCs w:val="22"/>
                    </w:rPr>
                    <w:t>GBF-T17</w:t>
                  </w:r>
                </w:p>
              </w:tc>
              <w:tc>
                <w:tcPr>
                  <w:tcW w:w="1654" w:type="dxa"/>
                </w:tcPr>
                <w:p w14:paraId="467540C2" w14:textId="77777777" w:rsidR="00A14215" w:rsidRPr="001279A8" w:rsidRDefault="00A14215" w:rsidP="00A14215">
                  <w:pPr>
                    <w:rPr>
                      <w:rFonts w:ascii="Aptos" w:hAnsi="Aptos"/>
                      <w:sz w:val="22"/>
                      <w:szCs w:val="22"/>
                    </w:rPr>
                  </w:pPr>
                  <w:r w:rsidRPr="001279A8">
                    <w:rPr>
                      <w:rFonts w:ascii="Aptos" w:hAnsi="Aptos"/>
                      <w:sz w:val="22"/>
                      <w:szCs w:val="22"/>
                    </w:rPr>
                    <w:t>CMB-C17</w:t>
                  </w:r>
                </w:p>
              </w:tc>
            </w:tr>
            <w:tr w:rsidR="00A14215" w:rsidRPr="001279A8" w14:paraId="27B14CF7" w14:textId="77777777" w:rsidTr="004027E8">
              <w:trPr>
                <w:trHeight w:val="300"/>
              </w:trPr>
              <w:tc>
                <w:tcPr>
                  <w:tcW w:w="1678" w:type="dxa"/>
                </w:tcPr>
                <w:p w14:paraId="5634BF61" w14:textId="77777777" w:rsidR="00A14215" w:rsidRPr="001279A8" w:rsidRDefault="00A14215" w:rsidP="00A14215">
                  <w:pPr>
                    <w:rPr>
                      <w:rFonts w:ascii="Aptos" w:hAnsi="Aptos"/>
                      <w:sz w:val="22"/>
                      <w:szCs w:val="22"/>
                    </w:rPr>
                  </w:pPr>
                  <w:r w:rsidRPr="001279A8">
                    <w:rPr>
                      <w:rFonts w:ascii="Aptos" w:hAnsi="Aptos"/>
                      <w:sz w:val="22"/>
                      <w:szCs w:val="22"/>
                    </w:rPr>
                    <w:t>GBF-T18</w:t>
                  </w:r>
                </w:p>
              </w:tc>
              <w:tc>
                <w:tcPr>
                  <w:tcW w:w="1654" w:type="dxa"/>
                </w:tcPr>
                <w:p w14:paraId="409ED07E" w14:textId="77777777" w:rsidR="00A14215" w:rsidRPr="001279A8" w:rsidRDefault="00A14215" w:rsidP="00A14215">
                  <w:pPr>
                    <w:rPr>
                      <w:rFonts w:ascii="Aptos" w:hAnsi="Aptos"/>
                      <w:sz w:val="22"/>
                      <w:szCs w:val="22"/>
                    </w:rPr>
                  </w:pPr>
                  <w:r w:rsidRPr="001279A8">
                    <w:rPr>
                      <w:rFonts w:ascii="Aptos" w:hAnsi="Aptos"/>
                      <w:sz w:val="22"/>
                      <w:szCs w:val="22"/>
                    </w:rPr>
                    <w:t>CMB-C18</w:t>
                  </w:r>
                </w:p>
              </w:tc>
            </w:tr>
            <w:tr w:rsidR="00A14215" w:rsidRPr="001279A8" w14:paraId="097B0152" w14:textId="77777777" w:rsidTr="004027E8">
              <w:trPr>
                <w:trHeight w:val="300"/>
              </w:trPr>
              <w:tc>
                <w:tcPr>
                  <w:tcW w:w="1678" w:type="dxa"/>
                </w:tcPr>
                <w:p w14:paraId="57E25561" w14:textId="77777777" w:rsidR="00A14215" w:rsidRPr="001279A8" w:rsidRDefault="00A14215" w:rsidP="00A14215">
                  <w:pPr>
                    <w:rPr>
                      <w:rFonts w:ascii="Aptos" w:hAnsi="Aptos"/>
                      <w:sz w:val="22"/>
                      <w:szCs w:val="22"/>
                    </w:rPr>
                  </w:pPr>
                  <w:r w:rsidRPr="001279A8">
                    <w:rPr>
                      <w:rFonts w:ascii="Aptos" w:hAnsi="Aptos"/>
                      <w:sz w:val="22"/>
                      <w:szCs w:val="22"/>
                    </w:rPr>
                    <w:t>GBF-T19</w:t>
                  </w:r>
                </w:p>
              </w:tc>
              <w:tc>
                <w:tcPr>
                  <w:tcW w:w="1654" w:type="dxa"/>
                </w:tcPr>
                <w:p w14:paraId="20F2462D" w14:textId="77777777" w:rsidR="00A14215" w:rsidRPr="001279A8" w:rsidRDefault="00A14215" w:rsidP="00A14215">
                  <w:pPr>
                    <w:rPr>
                      <w:rFonts w:ascii="Aptos" w:hAnsi="Aptos"/>
                      <w:sz w:val="22"/>
                      <w:szCs w:val="22"/>
                    </w:rPr>
                  </w:pPr>
                  <w:r w:rsidRPr="001279A8">
                    <w:rPr>
                      <w:rFonts w:ascii="Aptos" w:hAnsi="Aptos"/>
                      <w:sz w:val="22"/>
                      <w:szCs w:val="22"/>
                    </w:rPr>
                    <w:t>CMB-C19</w:t>
                  </w:r>
                </w:p>
              </w:tc>
            </w:tr>
            <w:tr w:rsidR="00A14215" w:rsidRPr="001279A8" w14:paraId="25997D5C" w14:textId="77777777" w:rsidTr="004027E8">
              <w:trPr>
                <w:trHeight w:val="300"/>
              </w:trPr>
              <w:tc>
                <w:tcPr>
                  <w:tcW w:w="1678" w:type="dxa"/>
                </w:tcPr>
                <w:p w14:paraId="4EEE5984" w14:textId="77777777" w:rsidR="00A14215" w:rsidRPr="001279A8" w:rsidRDefault="00A14215" w:rsidP="00A14215">
                  <w:pPr>
                    <w:rPr>
                      <w:rFonts w:ascii="Aptos" w:hAnsi="Aptos"/>
                      <w:sz w:val="22"/>
                      <w:szCs w:val="22"/>
                    </w:rPr>
                  </w:pPr>
                  <w:r w:rsidRPr="001279A8">
                    <w:rPr>
                      <w:rFonts w:ascii="Aptos" w:hAnsi="Aptos"/>
                      <w:sz w:val="22"/>
                      <w:szCs w:val="22"/>
                    </w:rPr>
                    <w:t>GBF-T20</w:t>
                  </w:r>
                </w:p>
              </w:tc>
              <w:tc>
                <w:tcPr>
                  <w:tcW w:w="1654" w:type="dxa"/>
                </w:tcPr>
                <w:p w14:paraId="28ECF5AC" w14:textId="77777777" w:rsidR="00A14215" w:rsidRPr="001279A8" w:rsidRDefault="00A14215" w:rsidP="00A14215">
                  <w:pPr>
                    <w:rPr>
                      <w:rFonts w:ascii="Aptos" w:hAnsi="Aptos"/>
                      <w:sz w:val="22"/>
                      <w:szCs w:val="22"/>
                    </w:rPr>
                  </w:pPr>
                  <w:r w:rsidRPr="001279A8">
                    <w:rPr>
                      <w:rFonts w:ascii="Aptos" w:hAnsi="Aptos"/>
                      <w:sz w:val="22"/>
                      <w:szCs w:val="22"/>
                    </w:rPr>
                    <w:t>CMB-C20</w:t>
                  </w:r>
                </w:p>
              </w:tc>
            </w:tr>
            <w:tr w:rsidR="00A14215" w:rsidRPr="001279A8" w14:paraId="4488D8E5" w14:textId="77777777" w:rsidTr="004027E8">
              <w:trPr>
                <w:trHeight w:val="300"/>
              </w:trPr>
              <w:tc>
                <w:tcPr>
                  <w:tcW w:w="1678" w:type="dxa"/>
                </w:tcPr>
                <w:p w14:paraId="0C6AFCE7" w14:textId="77777777" w:rsidR="00A14215" w:rsidRPr="001279A8" w:rsidRDefault="00A14215" w:rsidP="00A14215">
                  <w:pPr>
                    <w:rPr>
                      <w:rFonts w:ascii="Aptos" w:hAnsi="Aptos"/>
                      <w:sz w:val="22"/>
                      <w:szCs w:val="22"/>
                    </w:rPr>
                  </w:pPr>
                  <w:r w:rsidRPr="001279A8">
                    <w:rPr>
                      <w:rFonts w:ascii="Aptos" w:hAnsi="Aptos"/>
                      <w:sz w:val="22"/>
                      <w:szCs w:val="22"/>
                    </w:rPr>
                    <w:t>GBF-T21</w:t>
                  </w:r>
                </w:p>
              </w:tc>
              <w:tc>
                <w:tcPr>
                  <w:tcW w:w="1654" w:type="dxa"/>
                </w:tcPr>
                <w:p w14:paraId="7F74F285" w14:textId="77777777" w:rsidR="00A14215" w:rsidRPr="001279A8" w:rsidRDefault="00A14215" w:rsidP="00A14215">
                  <w:pPr>
                    <w:rPr>
                      <w:rFonts w:ascii="Aptos" w:hAnsi="Aptos"/>
                      <w:sz w:val="22"/>
                      <w:szCs w:val="22"/>
                    </w:rPr>
                  </w:pPr>
                  <w:r w:rsidRPr="001279A8">
                    <w:rPr>
                      <w:rFonts w:ascii="Aptos" w:hAnsi="Aptos"/>
                      <w:sz w:val="22"/>
                      <w:szCs w:val="22"/>
                    </w:rPr>
                    <w:t>CMB-C21</w:t>
                  </w:r>
                </w:p>
              </w:tc>
            </w:tr>
            <w:tr w:rsidR="00A14215" w:rsidRPr="001279A8" w14:paraId="581DEF36" w14:textId="77777777" w:rsidTr="004027E8">
              <w:trPr>
                <w:trHeight w:val="300"/>
              </w:trPr>
              <w:tc>
                <w:tcPr>
                  <w:tcW w:w="1678" w:type="dxa"/>
                </w:tcPr>
                <w:p w14:paraId="50F59757" w14:textId="77777777" w:rsidR="00A14215" w:rsidRPr="001279A8" w:rsidRDefault="00A14215" w:rsidP="00A14215">
                  <w:pPr>
                    <w:rPr>
                      <w:rFonts w:ascii="Aptos" w:hAnsi="Aptos"/>
                      <w:sz w:val="22"/>
                      <w:szCs w:val="22"/>
                    </w:rPr>
                  </w:pPr>
                  <w:r w:rsidRPr="001279A8">
                    <w:rPr>
                      <w:rFonts w:ascii="Aptos" w:hAnsi="Aptos"/>
                      <w:sz w:val="22"/>
                      <w:szCs w:val="22"/>
                    </w:rPr>
                    <w:t>GBF-T22</w:t>
                  </w:r>
                </w:p>
              </w:tc>
              <w:tc>
                <w:tcPr>
                  <w:tcW w:w="1654" w:type="dxa"/>
                </w:tcPr>
                <w:p w14:paraId="78BBCFC0" w14:textId="77777777" w:rsidR="00A14215" w:rsidRPr="001279A8" w:rsidRDefault="00A14215" w:rsidP="00A14215">
                  <w:pPr>
                    <w:rPr>
                      <w:rFonts w:ascii="Aptos" w:hAnsi="Aptos"/>
                      <w:sz w:val="22"/>
                      <w:szCs w:val="22"/>
                    </w:rPr>
                  </w:pPr>
                  <w:r w:rsidRPr="001279A8">
                    <w:rPr>
                      <w:rFonts w:ascii="Aptos" w:hAnsi="Aptos"/>
                      <w:sz w:val="22"/>
                      <w:szCs w:val="22"/>
                    </w:rPr>
                    <w:t>CMB-C22</w:t>
                  </w:r>
                </w:p>
              </w:tc>
            </w:tr>
            <w:tr w:rsidR="00A14215" w:rsidRPr="001279A8" w14:paraId="5BE367E5" w14:textId="77777777" w:rsidTr="004027E8">
              <w:trPr>
                <w:trHeight w:val="300"/>
              </w:trPr>
              <w:tc>
                <w:tcPr>
                  <w:tcW w:w="1678" w:type="dxa"/>
                </w:tcPr>
                <w:p w14:paraId="0F6ECB34" w14:textId="77777777" w:rsidR="00A14215" w:rsidRPr="001279A8" w:rsidRDefault="00A14215" w:rsidP="00A14215">
                  <w:pPr>
                    <w:rPr>
                      <w:rFonts w:ascii="Aptos" w:hAnsi="Aptos"/>
                      <w:sz w:val="22"/>
                      <w:szCs w:val="22"/>
                    </w:rPr>
                  </w:pPr>
                  <w:r w:rsidRPr="001279A8">
                    <w:rPr>
                      <w:rFonts w:ascii="Aptos" w:hAnsi="Aptos"/>
                      <w:sz w:val="22"/>
                      <w:szCs w:val="22"/>
                    </w:rPr>
                    <w:t>GBF-T23</w:t>
                  </w:r>
                </w:p>
              </w:tc>
              <w:tc>
                <w:tcPr>
                  <w:tcW w:w="1654" w:type="dxa"/>
                </w:tcPr>
                <w:p w14:paraId="2876428A" w14:textId="77777777" w:rsidR="00A14215" w:rsidRPr="001279A8" w:rsidRDefault="00A14215" w:rsidP="00A14215">
                  <w:pPr>
                    <w:rPr>
                      <w:rFonts w:ascii="Aptos" w:hAnsi="Aptos"/>
                      <w:sz w:val="22"/>
                      <w:szCs w:val="22"/>
                    </w:rPr>
                  </w:pPr>
                  <w:r w:rsidRPr="001279A8">
                    <w:rPr>
                      <w:rFonts w:ascii="Aptos" w:hAnsi="Aptos"/>
                      <w:sz w:val="22"/>
                      <w:szCs w:val="22"/>
                    </w:rPr>
                    <w:t>CMB-C23</w:t>
                  </w:r>
                </w:p>
              </w:tc>
            </w:tr>
          </w:tbl>
          <w:p w14:paraId="06DAB73F" w14:textId="77777777" w:rsidR="00A14215" w:rsidRDefault="00A14215" w:rsidP="007A60EC">
            <w:pPr>
              <w:rPr>
                <w:sz w:val="20"/>
                <w:szCs w:val="20"/>
                <w:lang w:val="fr-FR" w:eastAsia="ja-JP"/>
              </w:rPr>
            </w:pPr>
          </w:p>
        </w:tc>
      </w:tr>
    </w:tbl>
    <w:p w14:paraId="6910ADED" w14:textId="011A9EEB" w:rsidR="007A60EC" w:rsidRPr="00653BF4" w:rsidRDefault="007A60EC" w:rsidP="007A60EC">
      <w:pPr>
        <w:pStyle w:val="Caption"/>
        <w:rPr>
          <w:rFonts w:ascii="Aptos" w:hAnsi="Aptos"/>
          <w:i w:val="0"/>
          <w:iCs w:val="0"/>
          <w:lang w:val="fr-FR"/>
        </w:rPr>
      </w:pPr>
      <w:r w:rsidRPr="00653BF4">
        <w:rPr>
          <w:rFonts w:ascii="Aptos" w:hAnsi="Aptos"/>
          <w:lang w:val="fr-FR"/>
        </w:rPr>
        <w:t>Note</w:t>
      </w:r>
      <w:r w:rsidR="00E34DC9">
        <w:rPr>
          <w:rFonts w:ascii="Aptos" w:hAnsi="Aptos"/>
          <w:lang w:val="fr-FR"/>
        </w:rPr>
        <w:t> :</w:t>
      </w:r>
      <w:r w:rsidRPr="00653BF4">
        <w:rPr>
          <w:rFonts w:ascii="Aptos" w:hAnsi="Aptos"/>
          <w:i w:val="0"/>
          <w:iCs w:val="0"/>
          <w:lang w:val="fr-FR"/>
        </w:rPr>
        <w:t xml:space="preserve"> Les proportions sont pondérées par Partie. Des informations sur la représentativité régionale et les types d’indicateurs pris en compte figurent dans chacune des descriptions des cibles concernées à la </w:t>
      </w:r>
      <w:r w:rsidR="002878D7">
        <w:rPr>
          <w:rFonts w:ascii="Aptos" w:hAnsi="Aptos"/>
          <w:i w:val="0"/>
          <w:iCs w:val="0"/>
          <w:lang w:val="fr-FR"/>
        </w:rPr>
        <w:t>section I</w:t>
      </w:r>
      <w:r w:rsidRPr="00653BF4">
        <w:rPr>
          <w:rFonts w:ascii="Aptos" w:hAnsi="Aptos"/>
          <w:i w:val="0"/>
          <w:iCs w:val="0"/>
          <w:lang w:val="fr-FR"/>
        </w:rPr>
        <w:t>I.B.</w:t>
      </w:r>
    </w:p>
    <w:p w14:paraId="3FED39B6" w14:textId="77777777" w:rsidR="007A60EC" w:rsidRPr="00653BF4" w:rsidRDefault="007A60EC" w:rsidP="007A60EC">
      <w:pPr>
        <w:pStyle w:val="Heading5"/>
        <w:rPr>
          <w:lang w:val="fr-FR"/>
        </w:rPr>
      </w:pPr>
    </w:p>
    <w:p w14:paraId="0ACBC214" w14:textId="77777777" w:rsidR="007A60EC" w:rsidRPr="00653BF4" w:rsidRDefault="007A60EC" w:rsidP="007A60EC">
      <w:pPr>
        <w:pStyle w:val="Heading5"/>
        <w:rPr>
          <w:lang w:val="fr-FR"/>
        </w:rPr>
      </w:pPr>
      <w:r w:rsidRPr="00653BF4">
        <w:rPr>
          <w:lang w:val="fr-FR"/>
        </w:rPr>
        <w:t>Indicateurs de progrès</w:t>
      </w:r>
    </w:p>
    <w:p w14:paraId="45E12D44" w14:textId="77777777" w:rsidR="007A60EC" w:rsidRPr="00653BF4" w:rsidRDefault="007A60EC" w:rsidP="007A60EC">
      <w:pPr>
        <w:rPr>
          <w:i/>
          <w:color w:val="0E2841" w:themeColor="text2"/>
          <w:sz w:val="18"/>
          <w:szCs w:val="18"/>
          <w:lang w:val="fr-FR"/>
        </w:rPr>
      </w:pPr>
    </w:p>
    <w:p w14:paraId="6A9265CA" w14:textId="77777777" w:rsidR="007A60EC" w:rsidRPr="00653BF4" w:rsidRDefault="007A60EC" w:rsidP="007A60EC">
      <w:pPr>
        <w:rPr>
          <w:iCs/>
          <w:color w:val="0E2841" w:themeColor="text2"/>
          <w:sz w:val="20"/>
          <w:szCs w:val="20"/>
          <w:lang w:val="fr-FR"/>
        </w:rPr>
      </w:pPr>
      <w:r w:rsidRPr="00653BF4">
        <w:rPr>
          <w:iCs/>
          <w:color w:val="0E2841" w:themeColor="text2"/>
          <w:sz w:val="20"/>
          <w:szCs w:val="20"/>
          <w:lang w:val="fr-FR"/>
        </w:rPr>
        <w:t xml:space="preserve">Tableau </w:t>
      </w:r>
      <w:r w:rsidRPr="00653BF4">
        <w:rPr>
          <w:iCs/>
          <w:noProof/>
          <w:color w:val="0E2841" w:themeColor="text2"/>
          <w:sz w:val="20"/>
          <w:szCs w:val="20"/>
          <w:lang w:val="fr-FR"/>
        </w:rPr>
        <w:t>54</w:t>
      </w:r>
      <w:r w:rsidRPr="00653BF4">
        <w:rPr>
          <w:iCs/>
          <w:color w:val="0E2841" w:themeColor="text2"/>
          <w:sz w:val="20"/>
          <w:szCs w:val="20"/>
          <w:lang w:val="fr-FR"/>
        </w:rPr>
        <w:t xml:space="preserve"> </w:t>
      </w:r>
    </w:p>
    <w:p w14:paraId="0D57D94B" w14:textId="5A01A8B9" w:rsidR="007A60EC" w:rsidRPr="00653BF4" w:rsidRDefault="007A60EC" w:rsidP="007A60EC">
      <w:pPr>
        <w:rPr>
          <w:iCs/>
          <w:color w:val="0E2841" w:themeColor="text2"/>
          <w:sz w:val="20"/>
          <w:szCs w:val="20"/>
          <w:lang w:val="fr-FR"/>
        </w:rPr>
      </w:pPr>
      <w:r w:rsidRPr="00653BF4">
        <w:rPr>
          <w:b/>
          <w:bCs/>
          <w:iCs/>
          <w:color w:val="0E2841" w:themeColor="text2"/>
          <w:sz w:val="20"/>
          <w:szCs w:val="20"/>
          <w:lang w:val="fr-FR"/>
        </w:rPr>
        <w:lastRenderedPageBreak/>
        <w:t>Tableau de bord des indicateurs pour l’</w:t>
      </w:r>
      <w:r w:rsidR="002878D7">
        <w:rPr>
          <w:b/>
          <w:bCs/>
          <w:iCs/>
          <w:color w:val="0E2841" w:themeColor="text2"/>
          <w:sz w:val="20"/>
          <w:szCs w:val="20"/>
          <w:lang w:val="fr-FR"/>
        </w:rPr>
        <w:t>objectif D</w:t>
      </w:r>
    </w:p>
    <w:p w14:paraId="7E37BCBA" w14:textId="77777777" w:rsidR="007A60EC" w:rsidRPr="00653BF4" w:rsidRDefault="007A60EC" w:rsidP="007A60EC">
      <w:pPr>
        <w:rPr>
          <w:lang w:val="fr-FR"/>
        </w:rPr>
      </w:pPr>
    </w:p>
    <w:tbl>
      <w:tblPr>
        <w:tblW w:w="10201" w:type="dxa"/>
        <w:tblLook w:val="04A0" w:firstRow="1" w:lastRow="0" w:firstColumn="1" w:lastColumn="0" w:noHBand="0" w:noVBand="1"/>
      </w:tblPr>
      <w:tblGrid>
        <w:gridCol w:w="3240"/>
        <w:gridCol w:w="2284"/>
        <w:gridCol w:w="708"/>
        <w:gridCol w:w="3261"/>
        <w:gridCol w:w="708"/>
      </w:tblGrid>
      <w:tr w:rsidR="007A60EC" w:rsidRPr="00653BF4" w14:paraId="4932093C" w14:textId="77777777" w:rsidTr="00557FB3">
        <w:trPr>
          <w:trHeight w:val="1160"/>
        </w:trPr>
        <w:tc>
          <w:tcPr>
            <w:tcW w:w="3240" w:type="dxa"/>
            <w:tcBorders>
              <w:top w:val="single" w:sz="4" w:space="0" w:color="auto"/>
              <w:left w:val="single" w:sz="4" w:space="0" w:color="auto"/>
              <w:bottom w:val="single" w:sz="4" w:space="0" w:color="auto"/>
              <w:right w:val="single" w:sz="4" w:space="0" w:color="auto"/>
            </w:tcBorders>
            <w:vAlign w:val="center"/>
          </w:tcPr>
          <w:p w14:paraId="3B502B66" w14:textId="77777777" w:rsidR="007A60EC" w:rsidRPr="00653BF4" w:rsidRDefault="007A60EC" w:rsidP="00557FB3">
            <w:pPr>
              <w:spacing w:after="0" w:line="240" w:lineRule="auto"/>
              <w:rPr>
                <w:rFonts w:ascii="Aptos" w:eastAsia="Times New Roman" w:hAnsi="Aptos" w:cs="Times New Roman"/>
                <w:color w:val="242424"/>
                <w:kern w:val="0"/>
                <w:sz w:val="20"/>
                <w:szCs w:val="20"/>
                <w:lang w:val="fr-FR" w:eastAsia="en-CA"/>
                <w14:ligatures w14:val="none"/>
              </w:rPr>
            </w:pPr>
          </w:p>
        </w:tc>
        <w:tc>
          <w:tcPr>
            <w:tcW w:w="2992" w:type="dxa"/>
            <w:gridSpan w:val="2"/>
            <w:tcBorders>
              <w:top w:val="single" w:sz="4" w:space="0" w:color="auto"/>
              <w:left w:val="nil"/>
              <w:bottom w:val="single" w:sz="4" w:space="0" w:color="auto"/>
              <w:right w:val="single" w:sz="4" w:space="0" w:color="auto"/>
            </w:tcBorders>
            <w:vAlign w:val="center"/>
          </w:tcPr>
          <w:p w14:paraId="0D9DBD67"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r w:rsidRPr="00653BF4">
              <w:rPr>
                <w:rFonts w:ascii="Aptos" w:hAnsi="Aptos"/>
                <w:color w:val="000000"/>
                <w:sz w:val="20"/>
                <w:szCs w:val="20"/>
                <w:lang w:val="fr-FR"/>
              </w:rPr>
              <w:t>Utilisation de l’indicateur</w:t>
            </w:r>
          </w:p>
        </w:tc>
        <w:tc>
          <w:tcPr>
            <w:tcW w:w="3969" w:type="dxa"/>
            <w:gridSpan w:val="2"/>
            <w:tcBorders>
              <w:top w:val="single" w:sz="4" w:space="0" w:color="auto"/>
              <w:left w:val="nil"/>
              <w:bottom w:val="single" w:sz="4" w:space="0" w:color="auto"/>
              <w:right w:val="single" w:sz="4" w:space="0" w:color="auto"/>
            </w:tcBorders>
            <w:vAlign w:val="center"/>
          </w:tcPr>
          <w:p w14:paraId="7777C79F"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hAnsi="Aptos"/>
                <w:color w:val="000000"/>
                <w:sz w:val="20"/>
                <w:szCs w:val="20"/>
                <w:lang w:val="fr-FR"/>
              </w:rPr>
              <w:t>Résultats de l’indicateur</w:t>
            </w:r>
          </w:p>
        </w:tc>
      </w:tr>
      <w:tr w:rsidR="007A60EC" w:rsidRPr="00543148" w14:paraId="5018547B" w14:textId="77777777" w:rsidTr="00557FB3">
        <w:trPr>
          <w:trHeight w:val="1160"/>
        </w:trPr>
        <w:tc>
          <w:tcPr>
            <w:tcW w:w="3240" w:type="dxa"/>
            <w:tcBorders>
              <w:top w:val="single" w:sz="4" w:space="0" w:color="auto"/>
              <w:left w:val="single" w:sz="4" w:space="0" w:color="auto"/>
              <w:bottom w:val="single" w:sz="4" w:space="0" w:color="auto"/>
              <w:right w:val="single" w:sz="4" w:space="0" w:color="auto"/>
            </w:tcBorders>
            <w:vAlign w:val="center"/>
            <w:hideMark/>
          </w:tcPr>
          <w:p w14:paraId="1F9920FC" w14:textId="0586E82A" w:rsidR="007A60EC" w:rsidRPr="00653BF4" w:rsidRDefault="007A60EC" w:rsidP="00557FB3">
            <w:pPr>
              <w:spacing w:after="0" w:line="240" w:lineRule="auto"/>
              <w:jc w:val="center"/>
              <w:rPr>
                <w:rFonts w:ascii="Aptos" w:eastAsia="Times New Roman" w:hAnsi="Aptos" w:cs="Times New Roman"/>
                <w:color w:val="242424"/>
                <w:kern w:val="0"/>
                <w:sz w:val="20"/>
                <w:szCs w:val="20"/>
                <w:lang w:val="fr-FR" w:eastAsia="en-CA"/>
                <w14:ligatures w14:val="none"/>
              </w:rPr>
            </w:pPr>
            <w:r w:rsidRPr="00653BF4">
              <w:rPr>
                <w:rFonts w:ascii="Aptos" w:eastAsia="Times New Roman" w:hAnsi="Aptos" w:cs="Times New Roman"/>
                <w:color w:val="242424"/>
                <w:kern w:val="0"/>
                <w:sz w:val="20"/>
                <w:szCs w:val="20"/>
                <w:lang w:val="fr-FR" w:eastAsia="en-CA"/>
                <w14:ligatures w14:val="none"/>
              </w:rPr>
              <w:t>Indicateur phare D.1</w:t>
            </w:r>
            <w:r w:rsidR="00E34DC9">
              <w:rPr>
                <w:rFonts w:ascii="Aptos" w:eastAsia="Times New Roman" w:hAnsi="Aptos" w:cs="Times New Roman"/>
                <w:color w:val="242424"/>
                <w:kern w:val="0"/>
                <w:sz w:val="20"/>
                <w:szCs w:val="20"/>
                <w:lang w:val="fr-FR" w:eastAsia="en-CA"/>
                <w14:ligatures w14:val="none"/>
              </w:rPr>
              <w:t> :</w:t>
            </w:r>
            <w:r w:rsidRPr="00653BF4">
              <w:rPr>
                <w:rFonts w:ascii="Aptos" w:eastAsia="Times New Roman" w:hAnsi="Aptos" w:cs="Times New Roman"/>
                <w:color w:val="242424"/>
                <w:kern w:val="0"/>
                <w:sz w:val="20"/>
                <w:szCs w:val="20"/>
                <w:lang w:val="fr-FR" w:eastAsia="en-CA"/>
                <w14:ligatures w14:val="none"/>
              </w:rPr>
              <w:t xml:space="preserve"> financement public international, y compris aide publique au développement (APD) pour la conservation et l’utilisation durable de la biodiversité et des écosystèmes</w:t>
            </w:r>
          </w:p>
        </w:tc>
        <w:tc>
          <w:tcPr>
            <w:tcW w:w="2284" w:type="dxa"/>
            <w:tcBorders>
              <w:top w:val="single" w:sz="4" w:space="0" w:color="auto"/>
              <w:left w:val="nil"/>
              <w:bottom w:val="single" w:sz="4" w:space="0" w:color="auto"/>
              <w:right w:val="single" w:sz="4" w:space="0" w:color="auto"/>
            </w:tcBorders>
            <w:vAlign w:val="center"/>
            <w:hideMark/>
          </w:tcPr>
          <w:p w14:paraId="50932363" w14:textId="371A7CBE"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61</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des Parties</w:t>
            </w:r>
          </w:p>
        </w:tc>
        <w:tc>
          <w:tcPr>
            <w:tcW w:w="708" w:type="dxa"/>
            <w:tcBorders>
              <w:top w:val="single" w:sz="4" w:space="0" w:color="auto"/>
              <w:left w:val="nil"/>
              <w:bottom w:val="single" w:sz="4" w:space="0" w:color="auto"/>
              <w:right w:val="single" w:sz="4" w:space="0" w:color="auto"/>
            </w:tcBorders>
            <w:shd w:val="clear" w:color="000000" w:fill="92D050"/>
            <w:vAlign w:val="center"/>
            <w:hideMark/>
          </w:tcPr>
          <w:p w14:paraId="37C15D83"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3261" w:type="dxa"/>
            <w:tcBorders>
              <w:top w:val="single" w:sz="4" w:space="0" w:color="auto"/>
              <w:left w:val="nil"/>
              <w:bottom w:val="single" w:sz="4" w:space="0" w:color="auto"/>
              <w:right w:val="single" w:sz="4" w:space="0" w:color="auto"/>
            </w:tcBorders>
            <w:vAlign w:val="center"/>
            <w:hideMark/>
          </w:tcPr>
          <w:p w14:paraId="102D4E8C" w14:textId="4A5F12D3"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Moyenne 2020-2023</w:t>
            </w:r>
            <w:r w:rsidR="00E34DC9">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4,4 milliards de dollars des États-Unis par an</w:t>
            </w:r>
          </w:p>
        </w:tc>
        <w:tc>
          <w:tcPr>
            <w:tcW w:w="708" w:type="dxa"/>
            <w:tcBorders>
              <w:top w:val="single" w:sz="4" w:space="0" w:color="auto"/>
              <w:left w:val="nil"/>
              <w:bottom w:val="single" w:sz="4" w:space="0" w:color="auto"/>
              <w:right w:val="single" w:sz="4" w:space="0" w:color="auto"/>
            </w:tcBorders>
            <w:shd w:val="clear" w:color="auto" w:fill="EE0000"/>
            <w:vAlign w:val="center"/>
            <w:hideMark/>
          </w:tcPr>
          <w:p w14:paraId="352B102D"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p>
        </w:tc>
      </w:tr>
      <w:tr w:rsidR="007A60EC" w:rsidRPr="00543148" w14:paraId="417ACC50" w14:textId="77777777" w:rsidTr="00557FB3">
        <w:trPr>
          <w:trHeight w:val="1120"/>
        </w:trPr>
        <w:tc>
          <w:tcPr>
            <w:tcW w:w="3240" w:type="dxa"/>
            <w:tcBorders>
              <w:top w:val="nil"/>
              <w:left w:val="single" w:sz="4" w:space="0" w:color="auto"/>
              <w:bottom w:val="single" w:sz="4" w:space="0" w:color="auto"/>
              <w:right w:val="single" w:sz="4" w:space="0" w:color="auto"/>
            </w:tcBorders>
            <w:vAlign w:val="center"/>
            <w:hideMark/>
          </w:tcPr>
          <w:p w14:paraId="506DCD1F" w14:textId="1531E287" w:rsidR="007A60EC" w:rsidRPr="00653BF4" w:rsidRDefault="007A60EC" w:rsidP="00557FB3">
            <w:pPr>
              <w:spacing w:after="0" w:line="240" w:lineRule="auto"/>
              <w:jc w:val="center"/>
              <w:rPr>
                <w:rFonts w:ascii="Aptos" w:eastAsia="Times New Roman" w:hAnsi="Aptos" w:cs="Times New Roman"/>
                <w:color w:val="242424"/>
                <w:kern w:val="0"/>
                <w:sz w:val="20"/>
                <w:szCs w:val="20"/>
                <w:lang w:val="fr-FR" w:eastAsia="en-CA"/>
                <w14:ligatures w14:val="none"/>
              </w:rPr>
            </w:pPr>
            <w:r w:rsidRPr="00653BF4">
              <w:rPr>
                <w:rFonts w:ascii="Aptos" w:eastAsia="Times New Roman" w:hAnsi="Aptos" w:cs="Times New Roman"/>
                <w:color w:val="242424"/>
                <w:kern w:val="0"/>
                <w:sz w:val="20"/>
                <w:szCs w:val="20"/>
                <w:lang w:val="fr-FR" w:eastAsia="en-CA"/>
                <w14:ligatures w14:val="none"/>
              </w:rPr>
              <w:t>Indicateur phare D.2</w:t>
            </w:r>
            <w:r w:rsidR="00E34DC9">
              <w:rPr>
                <w:rFonts w:ascii="Aptos" w:eastAsia="Times New Roman" w:hAnsi="Aptos" w:cs="Times New Roman"/>
                <w:color w:val="242424"/>
                <w:kern w:val="0"/>
                <w:sz w:val="20"/>
                <w:szCs w:val="20"/>
                <w:lang w:val="fr-FR" w:eastAsia="en-CA"/>
                <w14:ligatures w14:val="none"/>
              </w:rPr>
              <w:t> :</w:t>
            </w:r>
            <w:r w:rsidRPr="00653BF4">
              <w:rPr>
                <w:rFonts w:ascii="Aptos" w:eastAsia="Times New Roman" w:hAnsi="Aptos" w:cs="Times New Roman"/>
                <w:color w:val="242424"/>
                <w:kern w:val="0"/>
                <w:sz w:val="20"/>
                <w:szCs w:val="20"/>
                <w:lang w:val="fr-FR" w:eastAsia="en-CA"/>
                <w14:ligatures w14:val="none"/>
              </w:rPr>
              <w:t xml:space="preserve"> financement public national pour la conservation et l’utilisation durable de la biodiversité et des écosystèmes</w:t>
            </w:r>
          </w:p>
        </w:tc>
        <w:tc>
          <w:tcPr>
            <w:tcW w:w="2284" w:type="dxa"/>
            <w:tcBorders>
              <w:top w:val="nil"/>
              <w:left w:val="nil"/>
              <w:bottom w:val="single" w:sz="4" w:space="0" w:color="auto"/>
              <w:right w:val="single" w:sz="4" w:space="0" w:color="auto"/>
            </w:tcBorders>
            <w:vAlign w:val="center"/>
            <w:hideMark/>
          </w:tcPr>
          <w:p w14:paraId="1F630152" w14:textId="70D6946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54</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des Parties</w:t>
            </w:r>
          </w:p>
        </w:tc>
        <w:tc>
          <w:tcPr>
            <w:tcW w:w="708" w:type="dxa"/>
            <w:tcBorders>
              <w:top w:val="nil"/>
              <w:left w:val="nil"/>
              <w:bottom w:val="single" w:sz="4" w:space="0" w:color="auto"/>
              <w:right w:val="single" w:sz="4" w:space="0" w:color="auto"/>
            </w:tcBorders>
            <w:shd w:val="clear" w:color="000000" w:fill="92D050"/>
            <w:vAlign w:val="center"/>
            <w:hideMark/>
          </w:tcPr>
          <w:p w14:paraId="34365F36"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3261" w:type="dxa"/>
            <w:tcBorders>
              <w:top w:val="nil"/>
              <w:left w:val="nil"/>
              <w:bottom w:val="single" w:sz="4" w:space="0" w:color="auto"/>
              <w:right w:val="single" w:sz="4" w:space="0" w:color="auto"/>
            </w:tcBorders>
            <w:vAlign w:val="center"/>
            <w:hideMark/>
          </w:tcPr>
          <w:p w14:paraId="24EF6BD7" w14:textId="724CA702"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Moyenne 2020-2023</w:t>
            </w:r>
            <w:r w:rsidR="00E34DC9">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34 milliards de dollars des États-Unis par an</w:t>
            </w:r>
          </w:p>
        </w:tc>
        <w:tc>
          <w:tcPr>
            <w:tcW w:w="708" w:type="dxa"/>
            <w:tcBorders>
              <w:top w:val="nil"/>
              <w:left w:val="nil"/>
              <w:bottom w:val="single" w:sz="4" w:space="0" w:color="auto"/>
              <w:right w:val="single" w:sz="4" w:space="0" w:color="auto"/>
            </w:tcBorders>
            <w:shd w:val="clear" w:color="auto" w:fill="EE0000"/>
            <w:vAlign w:val="center"/>
            <w:hideMark/>
          </w:tcPr>
          <w:p w14:paraId="1008ED0D"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p>
        </w:tc>
      </w:tr>
      <w:tr w:rsidR="007A60EC" w:rsidRPr="00543148" w14:paraId="68D77F41" w14:textId="77777777" w:rsidTr="00557FB3">
        <w:trPr>
          <w:trHeight w:val="1200"/>
        </w:trPr>
        <w:tc>
          <w:tcPr>
            <w:tcW w:w="3240" w:type="dxa"/>
            <w:tcBorders>
              <w:top w:val="nil"/>
              <w:left w:val="single" w:sz="4" w:space="0" w:color="auto"/>
              <w:bottom w:val="nil"/>
              <w:right w:val="single" w:sz="4" w:space="0" w:color="auto"/>
            </w:tcBorders>
            <w:vAlign w:val="center"/>
            <w:hideMark/>
          </w:tcPr>
          <w:p w14:paraId="1EFCE292" w14:textId="547431E7" w:rsidR="007A60EC" w:rsidRPr="00653BF4" w:rsidRDefault="007A60EC" w:rsidP="00557FB3">
            <w:pPr>
              <w:spacing w:after="0" w:line="240" w:lineRule="auto"/>
              <w:jc w:val="center"/>
              <w:rPr>
                <w:rFonts w:ascii="Aptos" w:eastAsia="Times New Roman" w:hAnsi="Aptos" w:cs="Times New Roman"/>
                <w:color w:val="242424"/>
                <w:kern w:val="0"/>
                <w:sz w:val="20"/>
                <w:szCs w:val="20"/>
                <w:lang w:val="fr-FR" w:eastAsia="en-CA"/>
                <w14:ligatures w14:val="none"/>
              </w:rPr>
            </w:pPr>
            <w:r w:rsidRPr="00653BF4">
              <w:rPr>
                <w:rFonts w:ascii="Aptos" w:eastAsia="Times New Roman" w:hAnsi="Aptos" w:cs="Times New Roman"/>
                <w:color w:val="242424"/>
                <w:kern w:val="0"/>
                <w:sz w:val="20"/>
                <w:szCs w:val="20"/>
                <w:lang w:val="fr-FR" w:eastAsia="en-CA"/>
                <w14:ligatures w14:val="none"/>
              </w:rPr>
              <w:t>Indicateur phare D.3</w:t>
            </w:r>
            <w:r w:rsidR="00E34DC9">
              <w:rPr>
                <w:rFonts w:ascii="Aptos" w:eastAsia="Times New Roman" w:hAnsi="Aptos" w:cs="Times New Roman"/>
                <w:color w:val="242424"/>
                <w:kern w:val="0"/>
                <w:sz w:val="20"/>
                <w:szCs w:val="20"/>
                <w:lang w:val="fr-FR" w:eastAsia="en-CA"/>
                <w14:ligatures w14:val="none"/>
              </w:rPr>
              <w:t> :</w:t>
            </w:r>
            <w:r w:rsidRPr="00653BF4">
              <w:rPr>
                <w:rFonts w:ascii="Aptos" w:eastAsia="Times New Roman" w:hAnsi="Aptos" w:cs="Times New Roman"/>
                <w:color w:val="242424"/>
                <w:kern w:val="0"/>
                <w:sz w:val="20"/>
                <w:szCs w:val="20"/>
                <w:lang w:val="fr-FR" w:eastAsia="en-CA"/>
                <w14:ligatures w14:val="none"/>
              </w:rPr>
              <w:t xml:space="preserve"> financement privé (national et international) pour la conservation et l’utilisation durable de la biodiversité et des écosystèmes</w:t>
            </w:r>
          </w:p>
        </w:tc>
        <w:tc>
          <w:tcPr>
            <w:tcW w:w="2284" w:type="dxa"/>
            <w:tcBorders>
              <w:top w:val="nil"/>
              <w:left w:val="nil"/>
              <w:bottom w:val="nil"/>
              <w:right w:val="single" w:sz="4" w:space="0" w:color="auto"/>
            </w:tcBorders>
            <w:vAlign w:val="center"/>
            <w:hideMark/>
          </w:tcPr>
          <w:p w14:paraId="668CB5C8" w14:textId="1AF6806D"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26</w:t>
            </w:r>
            <w:r w:rsidR="002878D7">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des Parties</w:t>
            </w:r>
          </w:p>
        </w:tc>
        <w:tc>
          <w:tcPr>
            <w:tcW w:w="708" w:type="dxa"/>
            <w:tcBorders>
              <w:top w:val="nil"/>
              <w:left w:val="nil"/>
              <w:bottom w:val="nil"/>
              <w:right w:val="nil"/>
            </w:tcBorders>
            <w:shd w:val="clear" w:color="000000" w:fill="FFC000"/>
            <w:vAlign w:val="center"/>
            <w:hideMark/>
          </w:tcPr>
          <w:p w14:paraId="3F26A315"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3261" w:type="dxa"/>
            <w:tcBorders>
              <w:top w:val="nil"/>
              <w:left w:val="single" w:sz="4" w:space="0" w:color="auto"/>
              <w:bottom w:val="nil"/>
              <w:right w:val="single" w:sz="4" w:space="0" w:color="auto"/>
            </w:tcBorders>
            <w:vAlign w:val="center"/>
            <w:hideMark/>
          </w:tcPr>
          <w:p w14:paraId="484B25E9" w14:textId="2EC44048"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r w:rsidRPr="00653BF4">
              <w:rPr>
                <w:rFonts w:ascii="Aptos" w:eastAsia="Times New Roman" w:hAnsi="Aptos" w:cs="Calibri"/>
                <w:color w:val="000000"/>
                <w:kern w:val="0"/>
                <w:sz w:val="20"/>
                <w:szCs w:val="20"/>
                <w:lang w:val="fr-FR" w:eastAsia="en-CA"/>
                <w14:ligatures w14:val="none"/>
              </w:rPr>
              <w:t>Moyenne 2020-2023</w:t>
            </w:r>
            <w:r w:rsidR="00E34DC9">
              <w:rPr>
                <w:rFonts w:ascii="Aptos" w:eastAsia="Times New Roman" w:hAnsi="Aptos" w:cs="Calibri"/>
                <w:color w:val="000000"/>
                <w:kern w:val="0"/>
                <w:sz w:val="20"/>
                <w:szCs w:val="20"/>
                <w:lang w:val="fr-FR" w:eastAsia="en-CA"/>
                <w14:ligatures w14:val="none"/>
              </w:rPr>
              <w:t> :</w:t>
            </w:r>
            <w:r w:rsidRPr="00653BF4">
              <w:rPr>
                <w:rFonts w:ascii="Aptos" w:eastAsia="Times New Roman" w:hAnsi="Aptos" w:cs="Calibri"/>
                <w:color w:val="000000"/>
                <w:kern w:val="0"/>
                <w:sz w:val="20"/>
                <w:szCs w:val="20"/>
                <w:lang w:val="fr-FR" w:eastAsia="en-CA"/>
                <w14:ligatures w14:val="none"/>
              </w:rPr>
              <w:t xml:space="preserve"> 8,2 milliards de dollars des États-Unis par an</w:t>
            </w:r>
          </w:p>
        </w:tc>
        <w:tc>
          <w:tcPr>
            <w:tcW w:w="708" w:type="dxa"/>
            <w:tcBorders>
              <w:top w:val="nil"/>
              <w:left w:val="nil"/>
              <w:bottom w:val="nil"/>
              <w:right w:val="single" w:sz="4" w:space="0" w:color="auto"/>
            </w:tcBorders>
            <w:shd w:val="clear" w:color="auto" w:fill="EE0000"/>
            <w:vAlign w:val="center"/>
            <w:hideMark/>
          </w:tcPr>
          <w:p w14:paraId="05FA27DA"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p>
        </w:tc>
      </w:tr>
      <w:tr w:rsidR="007A60EC" w:rsidRPr="00543148" w14:paraId="1AE40F6A" w14:textId="77777777" w:rsidTr="00557FB3">
        <w:trPr>
          <w:trHeight w:val="1200"/>
        </w:trPr>
        <w:tc>
          <w:tcPr>
            <w:tcW w:w="3240" w:type="dxa"/>
            <w:tcBorders>
              <w:top w:val="nil"/>
              <w:left w:val="single" w:sz="4" w:space="0" w:color="auto"/>
              <w:bottom w:val="single" w:sz="4" w:space="0" w:color="auto"/>
              <w:right w:val="single" w:sz="4" w:space="0" w:color="auto"/>
            </w:tcBorders>
            <w:vAlign w:val="center"/>
          </w:tcPr>
          <w:p w14:paraId="2E39CF22" w14:textId="77777777" w:rsidR="007A60EC" w:rsidRPr="00653BF4" w:rsidRDefault="007A60EC" w:rsidP="00557FB3">
            <w:pPr>
              <w:spacing w:after="0" w:line="240" w:lineRule="auto"/>
              <w:rPr>
                <w:rFonts w:ascii="Aptos" w:eastAsia="Times New Roman" w:hAnsi="Aptos" w:cs="Times New Roman"/>
                <w:color w:val="242424"/>
                <w:kern w:val="0"/>
                <w:sz w:val="20"/>
                <w:szCs w:val="20"/>
                <w:lang w:val="fr-FR" w:eastAsia="en-CA"/>
                <w14:ligatures w14:val="none"/>
              </w:rPr>
            </w:pPr>
          </w:p>
          <w:p w14:paraId="7ACC221E" w14:textId="77777777" w:rsidR="007A60EC" w:rsidRPr="00653BF4" w:rsidRDefault="007A60EC" w:rsidP="00557FB3">
            <w:pPr>
              <w:spacing w:after="0" w:line="240" w:lineRule="auto"/>
              <w:rPr>
                <w:rFonts w:ascii="Aptos" w:eastAsia="Times New Roman" w:hAnsi="Aptos" w:cs="Times New Roman"/>
                <w:color w:val="242424"/>
                <w:kern w:val="0"/>
                <w:sz w:val="20"/>
                <w:szCs w:val="20"/>
                <w:lang w:val="fr-FR" w:eastAsia="en-CA"/>
                <w14:ligatures w14:val="none"/>
              </w:rPr>
            </w:pPr>
          </w:p>
        </w:tc>
        <w:tc>
          <w:tcPr>
            <w:tcW w:w="2284" w:type="dxa"/>
            <w:tcBorders>
              <w:top w:val="nil"/>
              <w:left w:val="nil"/>
              <w:bottom w:val="single" w:sz="4" w:space="0" w:color="auto"/>
              <w:right w:val="single" w:sz="4" w:space="0" w:color="auto"/>
            </w:tcBorders>
            <w:vAlign w:val="center"/>
          </w:tcPr>
          <w:p w14:paraId="0445BFC7"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p>
        </w:tc>
        <w:tc>
          <w:tcPr>
            <w:tcW w:w="708" w:type="dxa"/>
            <w:tcBorders>
              <w:top w:val="nil"/>
              <w:left w:val="nil"/>
              <w:bottom w:val="single" w:sz="4" w:space="0" w:color="auto"/>
              <w:right w:val="nil"/>
            </w:tcBorders>
            <w:shd w:val="clear" w:color="000000" w:fill="FFC000"/>
            <w:vAlign w:val="center"/>
          </w:tcPr>
          <w:p w14:paraId="02DAF7E9" w14:textId="77777777" w:rsidR="007A60EC" w:rsidRPr="00653BF4" w:rsidRDefault="007A60EC" w:rsidP="00557FB3">
            <w:pPr>
              <w:spacing w:after="0" w:line="240" w:lineRule="auto"/>
              <w:jc w:val="center"/>
              <w:rPr>
                <w:rFonts w:ascii="Aptos" w:eastAsia="Times New Roman" w:hAnsi="Aptos" w:cs="Times New Roman"/>
                <w:color w:val="000000"/>
                <w:kern w:val="0"/>
                <w:sz w:val="20"/>
                <w:szCs w:val="20"/>
                <w:lang w:val="fr-FR" w:eastAsia="en-CA"/>
                <w14:ligatures w14:val="none"/>
              </w:rPr>
            </w:pPr>
          </w:p>
        </w:tc>
        <w:tc>
          <w:tcPr>
            <w:tcW w:w="3261" w:type="dxa"/>
            <w:tcBorders>
              <w:top w:val="nil"/>
              <w:left w:val="single" w:sz="4" w:space="0" w:color="auto"/>
              <w:bottom w:val="single" w:sz="4" w:space="0" w:color="auto"/>
              <w:right w:val="single" w:sz="4" w:space="0" w:color="auto"/>
            </w:tcBorders>
            <w:vAlign w:val="center"/>
          </w:tcPr>
          <w:p w14:paraId="2565451E"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p>
        </w:tc>
        <w:tc>
          <w:tcPr>
            <w:tcW w:w="708" w:type="dxa"/>
            <w:tcBorders>
              <w:top w:val="nil"/>
              <w:left w:val="nil"/>
              <w:bottom w:val="single" w:sz="4" w:space="0" w:color="auto"/>
              <w:right w:val="single" w:sz="4" w:space="0" w:color="auto"/>
            </w:tcBorders>
            <w:shd w:val="clear" w:color="auto" w:fill="EE0000"/>
            <w:vAlign w:val="center"/>
          </w:tcPr>
          <w:p w14:paraId="39194E77" w14:textId="77777777" w:rsidR="007A60EC" w:rsidRPr="00653BF4" w:rsidRDefault="007A60EC" w:rsidP="00557FB3">
            <w:pPr>
              <w:spacing w:after="0" w:line="240" w:lineRule="auto"/>
              <w:jc w:val="center"/>
              <w:rPr>
                <w:rFonts w:ascii="Aptos" w:eastAsia="Times New Roman" w:hAnsi="Aptos" w:cs="Calibri"/>
                <w:color w:val="000000"/>
                <w:kern w:val="0"/>
                <w:sz w:val="20"/>
                <w:szCs w:val="20"/>
                <w:lang w:val="fr-FR" w:eastAsia="en-CA"/>
                <w14:ligatures w14:val="none"/>
              </w:rPr>
            </w:pPr>
          </w:p>
        </w:tc>
      </w:tr>
    </w:tbl>
    <w:p w14:paraId="3A30035D" w14:textId="77777777" w:rsidR="007A60EC" w:rsidRPr="00653BF4" w:rsidRDefault="007A60EC" w:rsidP="007A60EC">
      <w:pPr>
        <w:pStyle w:val="p1"/>
        <w:rPr>
          <w:rFonts w:ascii="Aptos" w:hAnsi="Aptos"/>
          <w:sz w:val="24"/>
          <w:szCs w:val="24"/>
          <w:lang w:val="fr-FR"/>
        </w:rPr>
      </w:pPr>
    </w:p>
    <w:p w14:paraId="5EFDE6EB" w14:textId="77777777" w:rsidR="007A60EC" w:rsidRPr="00653BF4" w:rsidRDefault="007A60EC" w:rsidP="007A60EC">
      <w:pPr>
        <w:pStyle w:val="p1"/>
        <w:rPr>
          <w:rFonts w:ascii="Aptos" w:hAnsi="Aptos"/>
          <w:sz w:val="24"/>
          <w:szCs w:val="24"/>
          <w:lang w:val="fr-FR"/>
        </w:rPr>
      </w:pPr>
    </w:p>
    <w:p w14:paraId="4D90A0EF" w14:textId="4CDC2724" w:rsidR="007A60EC" w:rsidRPr="00653BF4" w:rsidRDefault="007A60EC" w:rsidP="007A60EC">
      <w:pPr>
        <w:rPr>
          <w:rFonts w:ascii="Aptos" w:hAnsi="Aptos"/>
          <w:sz w:val="16"/>
          <w:szCs w:val="16"/>
          <w:lang w:val="fr-FR"/>
        </w:rPr>
      </w:pPr>
      <w:r w:rsidRPr="00653BF4">
        <w:rPr>
          <w:rFonts w:ascii="Aptos" w:hAnsi="Aptos"/>
          <w:i/>
          <w:iCs/>
          <w:sz w:val="16"/>
          <w:szCs w:val="16"/>
          <w:lang w:val="fr-FR"/>
        </w:rPr>
        <w:t>Note</w:t>
      </w:r>
      <w:r w:rsidR="00E34DC9">
        <w:rPr>
          <w:rFonts w:ascii="Aptos" w:hAnsi="Aptos"/>
          <w:i/>
          <w:iCs/>
          <w:sz w:val="16"/>
          <w:szCs w:val="16"/>
          <w:lang w:val="fr-FR"/>
        </w:rPr>
        <w:t> :</w:t>
      </w:r>
      <w:r w:rsidRPr="00653BF4">
        <w:rPr>
          <w:rFonts w:ascii="Aptos" w:hAnsi="Aptos"/>
          <w:sz w:val="16"/>
          <w:szCs w:val="16"/>
          <w:lang w:val="fr-FR"/>
        </w:rPr>
        <w:t xml:space="preserve"> Le code couleur se rapporte à l’évaluation globale des progrès accomplis pour l’ensemble des cibles. La méthode de cette évaluation est expliquée dans le tableau de bord récapitulatif global (voir le tableau 3). Pour l’utilisation des données des indicateurs et l’ensemble des tendances des indicateurs quantitatifs, le code couleur indique où se situe la valeur de chaque cible par rapport aux notes les plus élevées et les plus faibles obtenues pour toutes les cibles du Cadre (le vert correspond aux valeurs en pourcentage situées dans le tiers supérieur de la fourchette totale, le jaune au tiers intermédiaire et le rouge au tiers inférieur). Les couleurs des résultats des indicateurs phares sont fondées sur les progrès accomplis par rapport à la cible (le vert est attribué lorsque des progrès sont accomplis, le jaune lorsqu’ils sont mitigés, le rouge lorsqu’ils sont insuffisants et le gris lorsqu’ils ne peuvent pas être évalués). Il est à noter que le pourcentage de Parties ayant communiqué des données sur les indicateurs phares peut différer de celui qui est retenu dans les résultats agrégés, aussi bien pour l’indicateur phare que pour l’ensemble des indicateurs quantitatifs combinés, en raison de différences méthodologiques dans l’utilisation des données.</w:t>
      </w:r>
    </w:p>
    <w:p w14:paraId="407AC951" w14:textId="77777777" w:rsidR="007A60EC" w:rsidRPr="00653BF4" w:rsidRDefault="007A60EC" w:rsidP="007A60EC">
      <w:pPr>
        <w:pStyle w:val="p1"/>
        <w:rPr>
          <w:rFonts w:ascii="Aptos" w:hAnsi="Aptos"/>
          <w:sz w:val="24"/>
          <w:szCs w:val="24"/>
          <w:lang w:val="fr-FR"/>
        </w:rPr>
      </w:pPr>
    </w:p>
    <w:p w14:paraId="4189EFC2" w14:textId="0ACD6BC3" w:rsidR="007A60EC" w:rsidRPr="00653BF4" w:rsidRDefault="007A60EC" w:rsidP="007A60EC">
      <w:pPr>
        <w:spacing w:line="279" w:lineRule="auto"/>
        <w:rPr>
          <w:rFonts w:ascii="Aptos" w:hAnsi="Aptos"/>
          <w:lang w:val="fr-FR"/>
        </w:rPr>
      </w:pPr>
      <w:r w:rsidRPr="00653BF4">
        <w:rPr>
          <w:lang w:val="fr-FR" w:eastAsia="ja-JP"/>
        </w:rPr>
        <w:t>Tous les indicateurs phares associés à l’</w:t>
      </w:r>
      <w:r w:rsidR="002878D7">
        <w:rPr>
          <w:lang w:val="fr-FR" w:eastAsia="ja-JP"/>
        </w:rPr>
        <w:t>objectif D</w:t>
      </w:r>
      <w:r w:rsidRPr="00653BF4">
        <w:rPr>
          <w:lang w:val="fr-FR" w:eastAsia="ja-JP"/>
        </w:rPr>
        <w:t xml:space="preserve"> portent sur le suivi de la mobilisation des ressources financières. Les Parties ont indiqué avoir mobilisé en faveur de la biodiversité nettement plus de fonds provenant du financement public national que du financement public international ou du financement privé (voir le tableau 54 et la figure 108). S’il est encore trop tôt pour tirer des conclusions sur les progrès accomplis vers l’</w:t>
      </w:r>
      <w:r w:rsidR="002878D7">
        <w:rPr>
          <w:lang w:val="fr-FR" w:eastAsia="ja-JP"/>
        </w:rPr>
        <w:t>objectif D</w:t>
      </w:r>
      <w:r w:rsidRPr="00653BF4">
        <w:rPr>
          <w:lang w:val="fr-FR" w:eastAsia="ja-JP"/>
        </w:rPr>
        <w:t xml:space="preserve">, le montant total mobilisé à ce jour reste très en deçà de ce qui est nécessaire pour combler progressivement le déficit de financement de la biodiversité, qui s’élève à 700 milliards de </w:t>
      </w:r>
      <w:r w:rsidRPr="00653BF4">
        <w:rPr>
          <w:lang w:val="fr-FR" w:eastAsia="ja-JP"/>
        </w:rPr>
        <w:lastRenderedPageBreak/>
        <w:t xml:space="preserve">dollars des États-Unis par an. </w:t>
      </w:r>
      <w:r w:rsidRPr="00653BF4">
        <w:rPr>
          <w:lang w:val="fr-FR"/>
        </w:rPr>
        <w:t xml:space="preserve">Les indicateurs phares D.1, D.2 et D.3, qui permettent aussi de suivre les progrès vers la </w:t>
      </w:r>
      <w:r w:rsidR="00E34DC9">
        <w:rPr>
          <w:lang w:val="fr-FR"/>
        </w:rPr>
        <w:t>cible 1</w:t>
      </w:r>
      <w:r w:rsidRPr="00653BF4">
        <w:rPr>
          <w:lang w:val="fr-FR"/>
        </w:rPr>
        <w:t xml:space="preserve">9 du Cadre, sont examinés plus en détail à la </w:t>
      </w:r>
      <w:r w:rsidR="002878D7">
        <w:rPr>
          <w:lang w:val="fr-FR"/>
        </w:rPr>
        <w:t>section I</w:t>
      </w:r>
      <w:r w:rsidRPr="00653BF4">
        <w:rPr>
          <w:lang w:val="fr-FR"/>
        </w:rPr>
        <w:t>I.B du présent rapport.</w:t>
      </w:r>
      <w:r w:rsidRPr="00653BF4">
        <w:rPr>
          <w:rFonts w:ascii="Aptos" w:hAnsi="Aptos"/>
          <w:lang w:val="fr-FR"/>
        </w:rPr>
        <w:t xml:space="preserve"> </w:t>
      </w:r>
    </w:p>
    <w:p w14:paraId="63BFBC51" w14:textId="5B215201" w:rsidR="007A60EC" w:rsidRPr="00653BF4" w:rsidRDefault="007A60EC" w:rsidP="007A60EC">
      <w:pPr>
        <w:spacing w:line="279" w:lineRule="auto"/>
        <w:rPr>
          <w:rFonts w:ascii="Aptos" w:hAnsi="Aptos"/>
          <w:lang w:val="fr-FR"/>
        </w:rPr>
      </w:pPr>
      <w:r w:rsidRPr="00653BF4">
        <w:rPr>
          <w:lang w:val="fr-FR"/>
        </w:rPr>
        <w:t>Faute de permettre d’évaluer si les flux financiers s’alignent sur le Cadre, les indicateurs phares de l’</w:t>
      </w:r>
      <w:r w:rsidR="002878D7">
        <w:rPr>
          <w:lang w:val="fr-FR"/>
        </w:rPr>
        <w:t>objectif D</w:t>
      </w:r>
      <w:r w:rsidRPr="00653BF4">
        <w:rPr>
          <w:lang w:val="fr-FR"/>
        </w:rPr>
        <w:t xml:space="preserve"> ne montrent pas si le financement des activités préjudiciables à la biodiversité est réduit ou réorienté, et ne donnent donc qu’une image partielle des progrès accomplis vers l’</w:t>
      </w:r>
      <w:r w:rsidR="002878D7">
        <w:rPr>
          <w:lang w:val="fr-FR"/>
        </w:rPr>
        <w:t>objectif D</w:t>
      </w:r>
      <w:r w:rsidRPr="00653BF4">
        <w:rPr>
          <w:rFonts w:ascii="Aptos" w:hAnsi="Aptos"/>
          <w:lang w:val="fr-FR"/>
        </w:rPr>
        <w:t>.</w:t>
      </w:r>
    </w:p>
    <w:p w14:paraId="4DA85D45" w14:textId="77777777" w:rsidR="007A60EC" w:rsidRPr="00653BF4" w:rsidRDefault="007A60EC" w:rsidP="007A60EC">
      <w:pPr>
        <w:spacing w:after="0"/>
        <w:rPr>
          <w:sz w:val="20"/>
          <w:szCs w:val="20"/>
          <w:lang w:val="fr-FR"/>
        </w:rPr>
      </w:pPr>
      <w:r w:rsidRPr="00653BF4">
        <w:rPr>
          <w:sz w:val="20"/>
          <w:szCs w:val="20"/>
          <w:lang w:val="fr-FR"/>
        </w:rPr>
        <w:t xml:space="preserve">Figure </w:t>
      </w:r>
      <w:r w:rsidRPr="00653BF4">
        <w:rPr>
          <w:noProof/>
          <w:sz w:val="20"/>
          <w:szCs w:val="20"/>
          <w:lang w:val="fr-FR"/>
        </w:rPr>
        <w:t>108</w:t>
      </w:r>
    </w:p>
    <w:p w14:paraId="4F0F04D8" w14:textId="77777777" w:rsidR="007A60EC" w:rsidRPr="00653BF4" w:rsidRDefault="007A60EC" w:rsidP="007A60EC">
      <w:pPr>
        <w:pStyle w:val="Caption"/>
        <w:rPr>
          <w:i w:val="0"/>
          <w:iCs w:val="0"/>
          <w:lang w:val="fr-FR"/>
        </w:rPr>
      </w:pPr>
      <w:r w:rsidRPr="00653BF4">
        <w:rPr>
          <w:b/>
          <w:bCs/>
          <w:i w:val="0"/>
          <w:iCs w:val="0"/>
          <w:lang w:val="fr-FR"/>
        </w:rPr>
        <w:t>Financement total communiqué par les Parties, en milliards de dollars des États-Unis, pour la période 2020-2023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4104"/>
      </w:tblGrid>
      <w:tr w:rsidR="00567172" w14:paraId="7AAA1FA6" w14:textId="77777777" w:rsidTr="00C84D1A">
        <w:tc>
          <w:tcPr>
            <w:tcW w:w="4675" w:type="dxa"/>
          </w:tcPr>
          <w:p w14:paraId="2869A50E" w14:textId="06235B85" w:rsidR="00567172" w:rsidRDefault="00567172" w:rsidP="007A60EC">
            <w:pPr>
              <w:rPr>
                <w:sz w:val="20"/>
                <w:szCs w:val="20"/>
                <w:lang w:val="fr-FR"/>
              </w:rPr>
            </w:pPr>
            <w:r w:rsidRPr="00653BF4">
              <w:rPr>
                <w:rFonts w:ascii="Aptos" w:hAnsi="Aptos"/>
                <w:noProof/>
                <w:shd w:val="clear" w:color="auto" w:fill="FFFFFF"/>
                <w:lang w:val="fr-FR"/>
              </w:rPr>
              <w:drawing>
                <wp:inline distT="0" distB="0" distL="0" distR="0" wp14:anchorId="157AB058" wp14:editId="1ECBEE32">
                  <wp:extent cx="3200188" cy="3223736"/>
                  <wp:effectExtent l="0" t="0" r="635" b="2540"/>
                  <wp:docPr id="105005955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59555" name="Picture 1050059555"/>
                          <pic:cNvPicPr/>
                        </pic:nvPicPr>
                        <pic:blipFill rotWithShape="1">
                          <a:blip r:embed="rId244" cstate="print">
                            <a:extLst>
                              <a:ext uri="{28A0092B-C50C-407E-A947-70E740481C1C}">
                                <a14:useLocalDpi xmlns:a14="http://schemas.microsoft.com/office/drawing/2010/main" val="0"/>
                              </a:ext>
                            </a:extLst>
                          </a:blip>
                          <a:srcRect l="19206" r="24957"/>
                          <a:stretch>
                            <a:fillRect/>
                          </a:stretch>
                        </pic:blipFill>
                        <pic:spPr bwMode="auto">
                          <a:xfrm>
                            <a:off x="0" y="0"/>
                            <a:ext cx="3200346" cy="3223895"/>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tbl>
            <w:tblPr>
              <w:tblStyle w:val="TableGrid"/>
              <w:tblW w:w="3823" w:type="dxa"/>
              <w:tblLook w:val="04A0" w:firstRow="1" w:lastRow="0" w:firstColumn="1" w:lastColumn="0" w:noHBand="0" w:noVBand="1"/>
            </w:tblPr>
            <w:tblGrid>
              <w:gridCol w:w="1892"/>
              <w:gridCol w:w="1931"/>
            </w:tblGrid>
            <w:tr w:rsidR="00C84D1A" w:rsidRPr="003A6336" w14:paraId="6FCBAA4B" w14:textId="77777777" w:rsidTr="000F1F1E">
              <w:trPr>
                <w:trHeight w:val="300"/>
              </w:trPr>
              <w:tc>
                <w:tcPr>
                  <w:tcW w:w="3823" w:type="dxa"/>
                  <w:gridSpan w:val="2"/>
                </w:tcPr>
                <w:p w14:paraId="469C2887" w14:textId="72CBDF51" w:rsidR="00C84D1A" w:rsidRPr="00C84D1A" w:rsidRDefault="00C84D1A" w:rsidP="00C84D1A">
                  <w:pPr>
                    <w:rPr>
                      <w:rFonts w:ascii="Aptos" w:hAnsi="Aptos"/>
                    </w:rPr>
                  </w:pPr>
                  <w:r>
                    <w:rPr>
                      <w:rFonts w:ascii="Aptos" w:hAnsi="Aptos"/>
                    </w:rPr>
                    <w:t>Figure 108</w:t>
                  </w:r>
                </w:p>
              </w:tc>
            </w:tr>
            <w:tr w:rsidR="00C84D1A" w:rsidRPr="003A6336" w14:paraId="3D7268ED" w14:textId="77777777" w:rsidTr="004027E8">
              <w:trPr>
                <w:trHeight w:val="300"/>
              </w:trPr>
              <w:tc>
                <w:tcPr>
                  <w:tcW w:w="1892" w:type="dxa"/>
                </w:tcPr>
                <w:p w14:paraId="644A530F" w14:textId="77777777" w:rsidR="00C84D1A" w:rsidRPr="00C84D1A" w:rsidRDefault="00C84D1A" w:rsidP="00C84D1A">
                  <w:pPr>
                    <w:rPr>
                      <w:rFonts w:ascii="Aptos" w:hAnsi="Aptos"/>
                    </w:rPr>
                  </w:pPr>
                  <w:r w:rsidRPr="00C84D1A">
                    <w:rPr>
                      <w:rFonts w:ascii="Aptos" w:hAnsi="Aptos"/>
                    </w:rPr>
                    <w:t xml:space="preserve">English </w:t>
                  </w:r>
                </w:p>
              </w:tc>
              <w:tc>
                <w:tcPr>
                  <w:tcW w:w="1931" w:type="dxa"/>
                </w:tcPr>
                <w:p w14:paraId="12616528" w14:textId="1DD7BD59" w:rsidR="00C84D1A" w:rsidRPr="00C84D1A" w:rsidRDefault="00AD36A0" w:rsidP="00C84D1A">
                  <w:pPr>
                    <w:rPr>
                      <w:rFonts w:ascii="Aptos" w:hAnsi="Aptos"/>
                    </w:rPr>
                  </w:pPr>
                  <w:r>
                    <w:rPr>
                      <w:rFonts w:ascii="Aptos" w:hAnsi="Aptos"/>
                    </w:rPr>
                    <w:t>Français</w:t>
                  </w:r>
                </w:p>
              </w:tc>
            </w:tr>
            <w:tr w:rsidR="00C84D1A" w:rsidRPr="003A6336" w14:paraId="1DF57AA9" w14:textId="77777777" w:rsidTr="004027E8">
              <w:trPr>
                <w:trHeight w:val="300"/>
              </w:trPr>
              <w:tc>
                <w:tcPr>
                  <w:tcW w:w="1892" w:type="dxa"/>
                </w:tcPr>
                <w:p w14:paraId="69302B2E" w14:textId="77777777" w:rsidR="00C84D1A" w:rsidRPr="003A6336" w:rsidRDefault="00C84D1A" w:rsidP="00C84D1A">
                  <w:pPr>
                    <w:rPr>
                      <w:rFonts w:ascii="Aptos" w:hAnsi="Aptos"/>
                    </w:rPr>
                  </w:pPr>
                  <w:r>
                    <w:rPr>
                      <w:rFonts w:ascii="Aptos" w:hAnsi="Aptos"/>
                    </w:rPr>
                    <w:t xml:space="preserve">US$ billion </w:t>
                  </w:r>
                </w:p>
              </w:tc>
              <w:tc>
                <w:tcPr>
                  <w:tcW w:w="1931" w:type="dxa"/>
                </w:tcPr>
                <w:p w14:paraId="77F570CE" w14:textId="77777777" w:rsidR="00C84D1A" w:rsidRPr="003A6336" w:rsidRDefault="00C84D1A" w:rsidP="00C84D1A">
                  <w:pPr>
                    <w:rPr>
                      <w:rFonts w:ascii="Aptos" w:hAnsi="Aptos"/>
                    </w:rPr>
                  </w:pPr>
                  <w:r>
                    <w:t>Milliards de dollars des États-Unis</w:t>
                  </w:r>
                </w:p>
              </w:tc>
            </w:tr>
            <w:tr w:rsidR="00C84D1A" w:rsidRPr="003A6336" w14:paraId="0E2809B0" w14:textId="77777777" w:rsidTr="004027E8">
              <w:trPr>
                <w:trHeight w:val="300"/>
              </w:trPr>
              <w:tc>
                <w:tcPr>
                  <w:tcW w:w="1892" w:type="dxa"/>
                </w:tcPr>
                <w:p w14:paraId="6D6F678E" w14:textId="77777777" w:rsidR="00C84D1A" w:rsidRPr="003A6336" w:rsidRDefault="00C84D1A" w:rsidP="00C84D1A">
                  <w:pPr>
                    <w:rPr>
                      <w:rFonts w:ascii="Aptos" w:hAnsi="Aptos"/>
                    </w:rPr>
                  </w:pPr>
                  <w:r>
                    <w:rPr>
                      <w:rFonts w:ascii="Aptos" w:hAnsi="Aptos"/>
                    </w:rPr>
                    <w:t>Party count: 22</w:t>
                  </w:r>
                </w:p>
              </w:tc>
              <w:tc>
                <w:tcPr>
                  <w:tcW w:w="1931" w:type="dxa"/>
                </w:tcPr>
                <w:p w14:paraId="65E49B55" w14:textId="77777777" w:rsidR="00C84D1A" w:rsidRPr="003A6336" w:rsidRDefault="00C84D1A" w:rsidP="00C84D1A">
                  <w:pPr>
                    <w:rPr>
                      <w:rFonts w:ascii="Aptos" w:hAnsi="Aptos"/>
                    </w:rPr>
                  </w:pPr>
                  <w:r>
                    <w:t>Nombre de Parties : 22</w:t>
                  </w:r>
                </w:p>
              </w:tc>
            </w:tr>
            <w:tr w:rsidR="00C84D1A" w:rsidRPr="003A6336" w14:paraId="6E2AD985" w14:textId="77777777" w:rsidTr="004027E8">
              <w:trPr>
                <w:trHeight w:val="300"/>
              </w:trPr>
              <w:tc>
                <w:tcPr>
                  <w:tcW w:w="1892" w:type="dxa"/>
                </w:tcPr>
                <w:p w14:paraId="31085771" w14:textId="77777777" w:rsidR="00C84D1A" w:rsidRPr="003A6336" w:rsidRDefault="00C84D1A" w:rsidP="00C84D1A">
                  <w:pPr>
                    <w:rPr>
                      <w:rFonts w:ascii="Aptos" w:hAnsi="Aptos"/>
                    </w:rPr>
                  </w:pPr>
                  <w:r>
                    <w:rPr>
                      <w:rFonts w:ascii="Aptos" w:hAnsi="Aptos"/>
                    </w:rPr>
                    <w:t>Party count: 58</w:t>
                  </w:r>
                </w:p>
              </w:tc>
              <w:tc>
                <w:tcPr>
                  <w:tcW w:w="1931" w:type="dxa"/>
                </w:tcPr>
                <w:p w14:paraId="280F4DDD" w14:textId="77777777" w:rsidR="00C84D1A" w:rsidRPr="003A6336" w:rsidRDefault="00C84D1A" w:rsidP="00C84D1A">
                  <w:pPr>
                    <w:rPr>
                      <w:rFonts w:ascii="Aptos" w:hAnsi="Aptos"/>
                    </w:rPr>
                  </w:pPr>
                  <w:r>
                    <w:t>Nombre de Parties : 58</w:t>
                  </w:r>
                </w:p>
              </w:tc>
            </w:tr>
            <w:tr w:rsidR="00C84D1A" w:rsidRPr="003A6336" w14:paraId="37E1214D" w14:textId="77777777" w:rsidTr="004027E8">
              <w:trPr>
                <w:trHeight w:val="300"/>
              </w:trPr>
              <w:tc>
                <w:tcPr>
                  <w:tcW w:w="1892" w:type="dxa"/>
                </w:tcPr>
                <w:p w14:paraId="7CE7B308" w14:textId="77777777" w:rsidR="00C84D1A" w:rsidRPr="003A6336" w:rsidRDefault="00C84D1A" w:rsidP="00C84D1A">
                  <w:pPr>
                    <w:rPr>
                      <w:rFonts w:ascii="Aptos" w:hAnsi="Aptos"/>
                    </w:rPr>
                  </w:pPr>
                  <w:r>
                    <w:rPr>
                      <w:rFonts w:ascii="Aptos" w:hAnsi="Aptos"/>
                    </w:rPr>
                    <w:t>Party count: 28</w:t>
                  </w:r>
                </w:p>
              </w:tc>
              <w:tc>
                <w:tcPr>
                  <w:tcW w:w="1931" w:type="dxa"/>
                </w:tcPr>
                <w:p w14:paraId="5FCC3383" w14:textId="77777777" w:rsidR="00C84D1A" w:rsidRPr="003A6336" w:rsidRDefault="00C84D1A" w:rsidP="00C84D1A">
                  <w:pPr>
                    <w:rPr>
                      <w:rFonts w:ascii="Aptos" w:hAnsi="Aptos"/>
                    </w:rPr>
                  </w:pPr>
                  <w:r>
                    <w:t>Nombre de Parties : 28</w:t>
                  </w:r>
                </w:p>
              </w:tc>
            </w:tr>
          </w:tbl>
          <w:p w14:paraId="77EDD8FB" w14:textId="77777777" w:rsidR="00567172" w:rsidRDefault="00567172" w:rsidP="007A60EC">
            <w:pPr>
              <w:rPr>
                <w:sz w:val="20"/>
                <w:szCs w:val="20"/>
                <w:lang w:val="fr-FR"/>
              </w:rPr>
            </w:pPr>
          </w:p>
        </w:tc>
      </w:tr>
    </w:tbl>
    <w:p w14:paraId="0E39B813" w14:textId="77777777" w:rsidR="007A60EC" w:rsidRPr="00653BF4" w:rsidRDefault="007A60EC" w:rsidP="007A60EC">
      <w:pPr>
        <w:spacing w:after="0"/>
        <w:rPr>
          <w:sz w:val="20"/>
          <w:szCs w:val="20"/>
          <w:lang w:val="fr-FR"/>
        </w:rPr>
      </w:pPr>
    </w:p>
    <w:p w14:paraId="57577011" w14:textId="206963B8" w:rsidR="007A60EC" w:rsidRPr="00653BF4" w:rsidRDefault="007A60EC" w:rsidP="007A60EC">
      <w:pPr>
        <w:pStyle w:val="Caption"/>
        <w:rPr>
          <w:lang w:val="fr-FR"/>
        </w:rPr>
      </w:pPr>
    </w:p>
    <w:p w14:paraId="50731ABC" w14:textId="20957196" w:rsidR="007A60EC" w:rsidRPr="00653BF4" w:rsidRDefault="007A60EC" w:rsidP="007A60EC">
      <w:pPr>
        <w:pStyle w:val="Default"/>
        <w:rPr>
          <w:rFonts w:asciiTheme="minorHAnsi" w:hAnsiTheme="minorHAnsi"/>
          <w:sz w:val="18"/>
          <w:szCs w:val="18"/>
          <w:lang w:val="fr-FR"/>
        </w:rPr>
      </w:pPr>
      <w:r w:rsidRPr="00653BF4">
        <w:rPr>
          <w:rFonts w:asciiTheme="minorHAnsi" w:hAnsiTheme="minorHAnsi"/>
          <w:i/>
          <w:iCs/>
          <w:sz w:val="18"/>
          <w:szCs w:val="18"/>
          <w:lang w:val="fr-FR"/>
        </w:rPr>
        <w:t>Note</w:t>
      </w:r>
      <w:r w:rsidR="00E34DC9">
        <w:rPr>
          <w:rFonts w:asciiTheme="minorHAnsi" w:hAnsiTheme="minorHAnsi"/>
          <w:i/>
          <w:iCs/>
          <w:sz w:val="18"/>
          <w:szCs w:val="18"/>
          <w:lang w:val="fr-FR"/>
        </w:rPr>
        <w:t> :</w:t>
      </w:r>
      <w:r w:rsidRPr="00653BF4">
        <w:rPr>
          <w:rFonts w:asciiTheme="minorHAnsi" w:hAnsiTheme="minorHAnsi"/>
          <w:sz w:val="18"/>
          <w:szCs w:val="18"/>
          <w:lang w:val="fr-FR"/>
        </w:rPr>
        <w:t xml:space="preserve"> Chacune des trois barres représente le total cumulé pour l’un des trois indicateurs phares suivants</w:t>
      </w:r>
      <w:r w:rsidR="00E34DC9">
        <w:rPr>
          <w:rFonts w:asciiTheme="minorHAnsi" w:hAnsiTheme="minorHAnsi"/>
          <w:sz w:val="18"/>
          <w:szCs w:val="18"/>
          <w:lang w:val="fr-FR"/>
        </w:rPr>
        <w:t> :</w:t>
      </w:r>
      <w:r w:rsidRPr="00653BF4">
        <w:rPr>
          <w:rFonts w:asciiTheme="minorHAnsi" w:hAnsiTheme="minorHAnsi"/>
          <w:sz w:val="18"/>
          <w:szCs w:val="18"/>
          <w:lang w:val="fr-FR"/>
        </w:rPr>
        <w:t xml:space="preserve"> D.1 (financement public international, y compris aide publique au développement pour la conservation et l’utilisation durable de la biodiversité et des écosystèmes)</w:t>
      </w:r>
      <w:r w:rsidR="00E34DC9">
        <w:rPr>
          <w:rFonts w:asciiTheme="minorHAnsi" w:hAnsiTheme="minorHAnsi"/>
          <w:sz w:val="18"/>
          <w:szCs w:val="18"/>
          <w:lang w:val="fr-FR"/>
        </w:rPr>
        <w:t> ;</w:t>
      </w:r>
      <w:r w:rsidRPr="00653BF4">
        <w:rPr>
          <w:rFonts w:asciiTheme="minorHAnsi" w:hAnsiTheme="minorHAnsi"/>
          <w:sz w:val="18"/>
          <w:szCs w:val="18"/>
          <w:lang w:val="fr-FR"/>
        </w:rPr>
        <w:t xml:space="preserve"> D.2 (financement public national pour la conservation et l’utilisation durable de la biodiversité et des écosystèmes)</w:t>
      </w:r>
      <w:r w:rsidR="00E34DC9">
        <w:rPr>
          <w:rFonts w:asciiTheme="minorHAnsi" w:hAnsiTheme="minorHAnsi"/>
          <w:sz w:val="18"/>
          <w:szCs w:val="18"/>
          <w:lang w:val="fr-FR"/>
        </w:rPr>
        <w:t> ;</w:t>
      </w:r>
      <w:r w:rsidRPr="00653BF4">
        <w:rPr>
          <w:rFonts w:asciiTheme="minorHAnsi" w:hAnsiTheme="minorHAnsi"/>
          <w:sz w:val="18"/>
          <w:szCs w:val="18"/>
          <w:lang w:val="fr-FR"/>
        </w:rPr>
        <w:t xml:space="preserve"> et D.3 (financement privé (national et international) pour la conservation et l’utilisation durable de la biodiversité et des écosystèmes). Le nombre de Parties diffère de celui indiqué dans les figures relatives aux indicateurs phares de la </w:t>
      </w:r>
      <w:r w:rsidR="00E34DC9">
        <w:rPr>
          <w:rFonts w:asciiTheme="minorHAnsi" w:hAnsiTheme="minorHAnsi"/>
          <w:sz w:val="18"/>
          <w:szCs w:val="18"/>
          <w:lang w:val="fr-FR"/>
        </w:rPr>
        <w:t>cible 1</w:t>
      </w:r>
      <w:r w:rsidRPr="00653BF4">
        <w:rPr>
          <w:rFonts w:asciiTheme="minorHAnsi" w:hAnsiTheme="minorHAnsi"/>
          <w:sz w:val="18"/>
          <w:szCs w:val="18"/>
          <w:lang w:val="fr-FR"/>
        </w:rPr>
        <w:t>9, car les totaux présentés ici incluent des Parties dont la série chronologique est incomplète entre 2020 et 2023</w:t>
      </w:r>
      <w:r w:rsidRPr="00653BF4">
        <w:rPr>
          <w:rFonts w:asciiTheme="minorHAnsi" w:hAnsiTheme="minorHAnsi"/>
          <w:sz w:val="18"/>
          <w:szCs w:val="18"/>
          <w:shd w:val="clear" w:color="auto" w:fill="FFFFFF"/>
          <w:lang w:val="fr-FR"/>
        </w:rPr>
        <w:t>.</w:t>
      </w:r>
    </w:p>
    <w:p w14:paraId="6AD580FA" w14:textId="77777777" w:rsidR="007A60EC" w:rsidRPr="00653BF4" w:rsidRDefault="007A60EC" w:rsidP="007A60EC">
      <w:pPr>
        <w:pStyle w:val="Heading5"/>
        <w:rPr>
          <w:lang w:val="fr-FR"/>
        </w:rPr>
      </w:pPr>
    </w:p>
    <w:p w14:paraId="1BC1D921" w14:textId="35AE4E74" w:rsidR="007A60EC" w:rsidRPr="00653BF4" w:rsidRDefault="007A60EC" w:rsidP="007A60EC">
      <w:pPr>
        <w:pStyle w:val="Heading5"/>
        <w:rPr>
          <w:lang w:val="fr-FR"/>
        </w:rPr>
      </w:pPr>
      <w:r w:rsidRPr="00653BF4">
        <w:rPr>
          <w:lang w:val="fr-FR"/>
        </w:rPr>
        <w:t>Résumé des mesures prises pour progresser vers la réalisation de l’</w:t>
      </w:r>
      <w:r w:rsidR="002878D7">
        <w:rPr>
          <w:lang w:val="fr-FR"/>
        </w:rPr>
        <w:t>objectif D</w:t>
      </w:r>
    </w:p>
    <w:p w14:paraId="76B38673" w14:textId="77777777" w:rsidR="007A60EC" w:rsidRPr="00653BF4" w:rsidRDefault="007A60EC" w:rsidP="007A60EC">
      <w:pPr>
        <w:pStyle w:val="Heading5"/>
        <w:rPr>
          <w:lang w:val="fr-FR"/>
        </w:rPr>
      </w:pPr>
    </w:p>
    <w:p w14:paraId="6039E435" w14:textId="734380F4" w:rsidR="007A60EC" w:rsidRPr="00653BF4" w:rsidRDefault="007A60EC" w:rsidP="007A60EC">
      <w:pPr>
        <w:spacing w:line="279" w:lineRule="auto"/>
        <w:rPr>
          <w:lang w:val="fr-FR"/>
        </w:rPr>
      </w:pPr>
      <w:r w:rsidRPr="00653BF4">
        <w:rPr>
          <w:lang w:val="fr-FR" w:eastAsia="ja-JP"/>
        </w:rPr>
        <w:t>L’</w:t>
      </w:r>
      <w:r w:rsidR="002878D7">
        <w:rPr>
          <w:lang w:val="fr-FR" w:eastAsia="ja-JP"/>
        </w:rPr>
        <w:t>objectif D</w:t>
      </w:r>
      <w:r w:rsidRPr="00653BF4">
        <w:rPr>
          <w:lang w:val="fr-FR" w:eastAsia="ja-JP"/>
        </w:rPr>
        <w:t xml:space="preserve"> constitue le socle de la mise en œuvre du Cadre dans son ensemble, y compris de ses objectifs et de ses cibles. Dans leurs rapports nationaux, les Parties ont rendu </w:t>
      </w:r>
      <w:r w:rsidRPr="00653BF4">
        <w:rPr>
          <w:lang w:val="fr-FR" w:eastAsia="ja-JP"/>
        </w:rPr>
        <w:lastRenderedPageBreak/>
        <w:t>compte des progrès accomplis vers l’</w:t>
      </w:r>
      <w:r w:rsidR="002878D7">
        <w:rPr>
          <w:lang w:val="fr-FR" w:eastAsia="ja-JP"/>
        </w:rPr>
        <w:t>objectif D</w:t>
      </w:r>
      <w:r w:rsidRPr="00653BF4">
        <w:rPr>
          <w:lang w:val="fr-FR" w:eastAsia="ja-JP"/>
        </w:rPr>
        <w:t xml:space="preserve"> en mettant surtout, mais pas exclusivement, l’accent sur la mobilisation de ressources financières. Elles ont mentionné plusieurs moyens de mobiliser ces ressources, notamment l’alimentation et l’utilisation du Fonds de Kunming pour la biodiversité</w:t>
      </w:r>
      <w:r w:rsidR="00E34DC9">
        <w:rPr>
          <w:lang w:val="fr-FR" w:eastAsia="ja-JP"/>
        </w:rPr>
        <w:t> ;</w:t>
      </w:r>
      <w:r w:rsidRPr="00653BF4">
        <w:rPr>
          <w:lang w:val="fr-FR" w:eastAsia="ja-JP"/>
        </w:rPr>
        <w:t xml:space="preserve"> le recours à des approches extrabudgétaires (par exemple les redevances de licence, le paiement pour services liés aux écosystèmes, la conversion de dettes en mesures en faveur de la nature et les obligations vertes) pour lever des fonds supplémentaires</w:t>
      </w:r>
      <w:r w:rsidR="00E34DC9">
        <w:rPr>
          <w:lang w:val="fr-FR" w:eastAsia="ja-JP"/>
        </w:rPr>
        <w:t> ;</w:t>
      </w:r>
      <w:r w:rsidRPr="00653BF4">
        <w:rPr>
          <w:lang w:val="fr-FR" w:eastAsia="ja-JP"/>
        </w:rPr>
        <w:t xml:space="preserve"> la création, l’alimentation et l’utilisation de fonds de dotation, afin d’assurer aux initiatives de conservation un financement fiable à long terme</w:t>
      </w:r>
      <w:r w:rsidR="00E34DC9">
        <w:rPr>
          <w:lang w:val="fr-FR" w:eastAsia="ja-JP"/>
        </w:rPr>
        <w:t> ;</w:t>
      </w:r>
      <w:r w:rsidRPr="00653BF4">
        <w:rPr>
          <w:lang w:val="fr-FR" w:eastAsia="ja-JP"/>
        </w:rPr>
        <w:t xml:space="preserve"> ainsi que le recours à des obligations souveraines assorties de cibles précises de protection et de gestion efficace de la biodiversité. En complément de la mobilisation de ressources, plusieurs Parties ont proposé une mesure essentielle, à savoir élaborer, dans le cadre de l’Initiative de financement de la biodiversité (BIOFIN) du Programme des Nations Unies pour le développement (PNUD), un plan national de financement de la biodiversité comprenant une évaluation du déficit de financement. Toutes ces mesures contribuent à combler le déficit de financement de la biodiversité d’ici à 2050</w:t>
      </w:r>
      <w:r w:rsidRPr="00653BF4">
        <w:rPr>
          <w:lang w:val="fr-FR"/>
        </w:rPr>
        <w:t>, comme le prévoit l’</w:t>
      </w:r>
      <w:r w:rsidR="002878D7">
        <w:rPr>
          <w:lang w:val="fr-FR"/>
        </w:rPr>
        <w:t>objectif D</w:t>
      </w:r>
      <w:r w:rsidRPr="00653BF4">
        <w:rPr>
          <w:lang w:val="fr-FR"/>
        </w:rPr>
        <w:t>.</w:t>
      </w:r>
    </w:p>
    <w:p w14:paraId="27F4BDF7" w14:textId="2C58E84A" w:rsidR="007A60EC" w:rsidRPr="00653BF4" w:rsidRDefault="007A60EC" w:rsidP="007A60EC">
      <w:pPr>
        <w:spacing w:line="279" w:lineRule="auto"/>
        <w:rPr>
          <w:lang w:val="fr-FR"/>
        </w:rPr>
      </w:pPr>
      <w:r w:rsidRPr="00653BF4">
        <w:rPr>
          <w:lang w:val="fr-FR"/>
        </w:rPr>
        <w:t>En outre, plusieurs Parties ont fait observer que l’alignement des flux financiers sur le Cadre, notamment par la réorientation des subventions préjudiciables, était un élément essentiel pour progresser vers la réalisation de l’</w:t>
      </w:r>
      <w:r w:rsidR="002878D7">
        <w:rPr>
          <w:lang w:val="fr-FR"/>
        </w:rPr>
        <w:t>objectif D</w:t>
      </w:r>
      <w:r w:rsidRPr="00653BF4">
        <w:rPr>
          <w:lang w:val="fr-FR"/>
        </w:rPr>
        <w:t>.</w:t>
      </w:r>
    </w:p>
    <w:p w14:paraId="7328781B" w14:textId="0833B636" w:rsidR="007A60EC" w:rsidRPr="00653BF4" w:rsidRDefault="007A60EC" w:rsidP="007A60EC">
      <w:pPr>
        <w:spacing w:line="279" w:lineRule="auto"/>
        <w:rPr>
          <w:lang w:val="fr-FR"/>
        </w:rPr>
      </w:pPr>
      <w:r w:rsidRPr="00653BF4">
        <w:rPr>
          <w:lang w:val="fr-FR"/>
        </w:rPr>
        <w:t xml:space="preserve">Certaines Parties ont suggéré que plusieurs solutions pourraient être efficaces pour garantir des moyens de mise en œuvre adéquats, à savoir renforcer la coopération scientifique et politique transfrontière, collaborer par l’intermédiaire des centres d’appui à la coopération technique et scientifique et développer une infrastructure technique d’information géospatiale intégrant des ressources internationales, notamment grâce au Système mondial d’information sur la biodiversité (GBIF) (voir aussi la </w:t>
      </w:r>
      <w:r w:rsidR="002878D7">
        <w:rPr>
          <w:lang w:val="fr-FR"/>
        </w:rPr>
        <w:t>section I</w:t>
      </w:r>
      <w:r w:rsidRPr="00653BF4">
        <w:rPr>
          <w:lang w:val="fr-FR"/>
        </w:rPr>
        <w:t>I.D ci-dessous).</w:t>
      </w:r>
    </w:p>
    <w:p w14:paraId="729499AB" w14:textId="77777777" w:rsidR="007A60EC" w:rsidRPr="00653BF4" w:rsidRDefault="007A60EC" w:rsidP="007A60EC">
      <w:pPr>
        <w:pStyle w:val="Heading2"/>
        <w:rPr>
          <w:lang w:val="fr-FR"/>
        </w:rPr>
      </w:pPr>
    </w:p>
    <w:p w14:paraId="49D82AAF" w14:textId="59686302" w:rsidR="007A60EC" w:rsidRPr="00653BF4" w:rsidRDefault="007A60EC" w:rsidP="007A60EC">
      <w:pPr>
        <w:pStyle w:val="Heading2"/>
        <w:rPr>
          <w:lang w:val="fr-FR"/>
        </w:rPr>
      </w:pPr>
      <w:bookmarkStart w:id="484" w:name="_Toc235821362"/>
      <w:bookmarkStart w:id="485" w:name="_Ref236397868"/>
      <w:bookmarkStart w:id="486" w:name="_Toc239069225"/>
      <w:bookmarkStart w:id="487" w:name="_Toc198516150"/>
      <w:bookmarkStart w:id="488" w:name="_Toc242801262"/>
      <w:r w:rsidRPr="00653BF4">
        <w:rPr>
          <w:lang w:val="fr-FR"/>
        </w:rPr>
        <w:t xml:space="preserve">II.D </w:t>
      </w:r>
      <w:bookmarkEnd w:id="484"/>
      <w:bookmarkEnd w:id="485"/>
      <w:bookmarkEnd w:id="486"/>
      <w:bookmarkEnd w:id="487"/>
      <w:r w:rsidRPr="00653BF4">
        <w:rPr>
          <w:lang w:val="fr-FR"/>
        </w:rPr>
        <w:t>Fourniture des moyens de mise en œuvre</w:t>
      </w:r>
      <w:bookmarkEnd w:id="488"/>
    </w:p>
    <w:p w14:paraId="04EA5544" w14:textId="77777777" w:rsidR="007A60EC" w:rsidRPr="00653BF4" w:rsidRDefault="007A60EC" w:rsidP="007A60EC">
      <w:pPr>
        <w:pStyle w:val="Heading3"/>
        <w:rPr>
          <w:lang w:val="fr-FR"/>
        </w:rPr>
      </w:pPr>
      <w:bookmarkStart w:id="489" w:name="_Toc235521193"/>
    </w:p>
    <w:p w14:paraId="2CD5D571" w14:textId="77777777" w:rsidR="007A60EC" w:rsidRPr="00653BF4" w:rsidRDefault="007A60EC" w:rsidP="007A60EC">
      <w:pPr>
        <w:pStyle w:val="Heading3"/>
        <w:rPr>
          <w:lang w:val="fr-FR"/>
        </w:rPr>
      </w:pPr>
      <w:bookmarkStart w:id="490" w:name="_Toc239069226"/>
      <w:bookmarkStart w:id="491" w:name="_Toc1282347414"/>
      <w:bookmarkStart w:id="492" w:name="_Toc242801263"/>
      <w:r w:rsidRPr="00653BF4">
        <w:rPr>
          <w:lang w:val="fr-FR"/>
        </w:rPr>
        <w:t>Introduction</w:t>
      </w:r>
      <w:bookmarkEnd w:id="489"/>
      <w:bookmarkEnd w:id="490"/>
      <w:bookmarkEnd w:id="491"/>
      <w:bookmarkEnd w:id="492"/>
    </w:p>
    <w:p w14:paraId="226A0B52" w14:textId="77777777" w:rsidR="007A60EC" w:rsidRPr="00653BF4" w:rsidRDefault="007A60EC" w:rsidP="007A60EC">
      <w:pPr>
        <w:rPr>
          <w:rFonts w:eastAsia="Times New Roman" w:cs="Times New Roman"/>
          <w:lang w:val="fr-FR"/>
        </w:rPr>
      </w:pPr>
    </w:p>
    <w:p w14:paraId="59411644" w14:textId="0C2C72EB" w:rsidR="007A60EC" w:rsidRPr="00653BF4" w:rsidRDefault="007A60EC" w:rsidP="007A60EC">
      <w:pPr>
        <w:rPr>
          <w:lang w:val="fr-FR"/>
        </w:rPr>
      </w:pPr>
      <w:r w:rsidRPr="00653BF4">
        <w:rPr>
          <w:lang w:val="fr-FR"/>
        </w:rPr>
        <w:t xml:space="preserve">Si aucune définition formelle de l’expression </w:t>
      </w:r>
      <w:r w:rsidR="00E34DC9">
        <w:rPr>
          <w:lang w:val="fr-FR"/>
        </w:rPr>
        <w:t>« </w:t>
      </w:r>
      <w:r w:rsidRPr="00653BF4">
        <w:rPr>
          <w:lang w:val="fr-FR"/>
        </w:rPr>
        <w:t>moyens de mise en œuvre</w:t>
      </w:r>
      <w:r w:rsidR="00E34DC9">
        <w:rPr>
          <w:lang w:val="fr-FR"/>
        </w:rPr>
        <w:t> »</w:t>
      </w:r>
      <w:r w:rsidRPr="00653BF4">
        <w:rPr>
          <w:lang w:val="fr-FR"/>
        </w:rPr>
        <w:t xml:space="preserve"> ne figure dans le Cadre mondial de la biodiversité de Kunming-Montréal, cette notion y est circonscrite, aux </w:t>
      </w:r>
      <w:r w:rsidRPr="00653BF4">
        <w:rPr>
          <w:lang w:val="fr-FR"/>
        </w:rPr>
        <w:lastRenderedPageBreak/>
        <w:t>fins du Cadre, par une finalité générale énoncée à l’</w:t>
      </w:r>
      <w:r w:rsidR="002878D7">
        <w:rPr>
          <w:lang w:val="fr-FR"/>
        </w:rPr>
        <w:t>objectif D</w:t>
      </w:r>
      <w:r w:rsidRPr="00653BF4">
        <w:rPr>
          <w:rFonts w:eastAsia="Times New Roman" w:cs="Times New Roman"/>
          <w:lang w:val="fr-FR"/>
        </w:rPr>
        <w:t xml:space="preserve"> (sect. G de la décision 15/4, CDB, 2023)</w:t>
      </w:r>
      <w:r w:rsidR="00E34DC9">
        <w:rPr>
          <w:rFonts w:eastAsia="Times New Roman" w:cs="Times New Roman"/>
          <w:lang w:val="fr-FR"/>
        </w:rPr>
        <w:t> :</w:t>
      </w:r>
    </w:p>
    <w:p w14:paraId="31000180" w14:textId="5CC4F385" w:rsidR="007A60EC" w:rsidRPr="00653BF4" w:rsidRDefault="00E34DC9" w:rsidP="007A60EC">
      <w:pPr>
        <w:rPr>
          <w:lang w:val="fr-FR"/>
        </w:rPr>
      </w:pPr>
      <w:r>
        <w:rPr>
          <w:rFonts w:eastAsia="Times New Roman" w:cs="Times New Roman"/>
          <w:i/>
          <w:lang w:val="fr-FR"/>
        </w:rPr>
        <w:t>« </w:t>
      </w:r>
      <w:r w:rsidR="007A60EC" w:rsidRPr="00653BF4">
        <w:rPr>
          <w:rFonts w:eastAsia="Times New Roman" w:cs="Times New Roman"/>
          <w:i/>
          <w:lang w:val="fr-FR"/>
        </w:rPr>
        <w:t>Donner à toutes les Parties, en particulier aux pays en développement Parties, notamment aux pays les moins avancés et aux petits États insulaires en développement ainsi qu’aux pays à économie en transition, des moyens de mise en œuvre adéquats, y compris en matière de financement, de renforcement des capacités, de coopération technique et scientifique, d’accès aux technologies et de transfert de celles-ci, afin de mettre pleinement en œuvre le cadre mondial de la biodiversité de Kunming-Montréal, en comblant progressivement le déficit de financement de la biodiversité, qui s’élève à 700 milliards de dollars par an, et en alignant les flux financiers sur le cadre mondial et sur la Vision 2050 pour la biodiversité.</w:t>
      </w:r>
      <w:r>
        <w:rPr>
          <w:rFonts w:eastAsia="Times New Roman" w:cs="Times New Roman"/>
          <w:i/>
          <w:lang w:val="fr-FR"/>
        </w:rPr>
        <w:t> »</w:t>
      </w:r>
    </w:p>
    <w:p w14:paraId="68465A53" w14:textId="7E6157F9" w:rsidR="007A60EC" w:rsidRPr="00653BF4" w:rsidRDefault="007A60EC" w:rsidP="007A60EC">
      <w:pPr>
        <w:rPr>
          <w:rFonts w:eastAsia="Times New Roman" w:cs="Times New Roman"/>
          <w:lang w:val="fr-FR"/>
        </w:rPr>
      </w:pPr>
      <w:r w:rsidRPr="00653BF4">
        <w:rPr>
          <w:rFonts w:eastAsia="Times New Roman" w:cs="Times New Roman"/>
          <w:lang w:val="fr-FR"/>
        </w:rPr>
        <w:t>Dans cette optique, les moyens de mise en œuvre recouvrent, dans le rapport mondial, quatre composantes</w:t>
      </w:r>
      <w:r w:rsidR="00E34DC9">
        <w:rPr>
          <w:rFonts w:eastAsia="Times New Roman" w:cs="Times New Roman"/>
          <w:lang w:val="fr-FR"/>
        </w:rPr>
        <w:t> :</w:t>
      </w:r>
      <w:r w:rsidRPr="00653BF4">
        <w:rPr>
          <w:rFonts w:eastAsia="Times New Roman" w:cs="Times New Roman"/>
          <w:lang w:val="fr-FR"/>
        </w:rPr>
        <w:t xml:space="preserve"> les ressources financières</w:t>
      </w:r>
      <w:r w:rsidR="00E34DC9">
        <w:rPr>
          <w:rFonts w:eastAsia="Times New Roman" w:cs="Times New Roman"/>
          <w:lang w:val="fr-FR"/>
        </w:rPr>
        <w:t> ;</w:t>
      </w:r>
      <w:r w:rsidRPr="00653BF4">
        <w:rPr>
          <w:rFonts w:eastAsia="Times New Roman" w:cs="Times New Roman"/>
          <w:lang w:val="fr-FR"/>
        </w:rPr>
        <w:t xml:space="preserve"> les capacités</w:t>
      </w:r>
      <w:r w:rsidR="00E34DC9">
        <w:rPr>
          <w:rFonts w:eastAsia="Times New Roman" w:cs="Times New Roman"/>
          <w:lang w:val="fr-FR"/>
        </w:rPr>
        <w:t> ;</w:t>
      </w:r>
      <w:r w:rsidRPr="00653BF4">
        <w:rPr>
          <w:rFonts w:eastAsia="Times New Roman" w:cs="Times New Roman"/>
          <w:lang w:val="fr-FR"/>
        </w:rPr>
        <w:t xml:space="preserve"> la coopération technique et scientifique</w:t>
      </w:r>
      <w:r w:rsidR="00E34DC9">
        <w:rPr>
          <w:rFonts w:eastAsia="Times New Roman" w:cs="Times New Roman"/>
          <w:lang w:val="fr-FR"/>
        </w:rPr>
        <w:t> ;</w:t>
      </w:r>
      <w:r w:rsidRPr="00653BF4">
        <w:rPr>
          <w:rFonts w:eastAsia="Times New Roman" w:cs="Times New Roman"/>
          <w:lang w:val="fr-FR"/>
        </w:rPr>
        <w:t xml:space="preserve"> et l’accès aux technologies et leur transfert. Pour la clarté de l’analyse, ces quatre composantes sont présentées séparément, mais, dans la pratique, elles se recoupent et se renforcent mutuellement, si bien qu’une délimitation nette n’est pas toujours possible. Reconnaissant l’étroite interdépendance de ces composantes, la Conférence des Parties a souligné la nécessité, pour les Parties, de ne pas les envisager isolément mais comme un ensemble (décision 15/8, CDB, 2023).</w:t>
      </w:r>
    </w:p>
    <w:p w14:paraId="6E03FF49" w14:textId="72AC0D60" w:rsidR="007A60EC" w:rsidRPr="00653BF4" w:rsidRDefault="007A60EC" w:rsidP="007A60EC">
      <w:pPr>
        <w:rPr>
          <w:rFonts w:eastAsia="Times New Roman" w:cs="Times New Roman"/>
          <w:lang w:val="fr-FR"/>
        </w:rPr>
      </w:pPr>
      <w:r w:rsidRPr="00653BF4">
        <w:rPr>
          <w:rFonts w:eastAsia="Times New Roman" w:cs="Times New Roman"/>
          <w:lang w:val="fr-FR"/>
        </w:rPr>
        <w:t xml:space="preserve">Les difficultés recensées par les Parties pour certaines cibles du Cadre sont traitées en détail dans l’analyse cible par cible de la </w:t>
      </w:r>
      <w:r w:rsidR="002878D7">
        <w:rPr>
          <w:rFonts w:eastAsia="Times New Roman" w:cs="Times New Roman"/>
          <w:lang w:val="fr-FR"/>
        </w:rPr>
        <w:t>section I</w:t>
      </w:r>
      <w:r w:rsidRPr="00653BF4">
        <w:rPr>
          <w:rFonts w:eastAsia="Times New Roman" w:cs="Times New Roman"/>
          <w:lang w:val="fr-FR"/>
        </w:rPr>
        <w:t>I.B ci-dessus. Dans la présente section, les moyens de mise en œuvre sont examinés dans une perspective plus large et transversale, l’accent étant mis sur les difficultés systémiques et structurelles qui se retrouvent d’une cible à l’autre. Ces difficultés tiennent notamment à la nécessité d’assurer la prévisibilité et l’adéquation des flux financiers, à des lacunes persistantes en matière de capacités et de transfert de technologies, à une accessibilité inégale des mécanismes d’appui, ainsi qu’à des contraintes pesant sur la mobilisation et l’utilisation effectives de cet appui par les Parties. Cette approche vient compléter les constatations établies pour chaque cible par une évaluation d’ensemble du fonctionnement de l’architecture des moyens de mise en œuvre au service du Cadre.</w:t>
      </w:r>
    </w:p>
    <w:p w14:paraId="2A658B42" w14:textId="77777777" w:rsidR="007A60EC" w:rsidRPr="00653BF4" w:rsidRDefault="007A60EC" w:rsidP="007A60EC">
      <w:pPr>
        <w:rPr>
          <w:lang w:val="fr-FR"/>
        </w:rPr>
      </w:pPr>
    </w:p>
    <w:p w14:paraId="149C20A5" w14:textId="33E36ED4" w:rsidR="007A60EC" w:rsidRPr="00653BF4" w:rsidRDefault="007A60EC" w:rsidP="007A60EC">
      <w:pPr>
        <w:pStyle w:val="Heading3"/>
        <w:rPr>
          <w:rFonts w:eastAsia="Times New Roman"/>
          <w:lang w:val="fr-FR"/>
        </w:rPr>
      </w:pPr>
      <w:bookmarkStart w:id="493" w:name="_Toc242801264"/>
      <w:r w:rsidRPr="00653BF4">
        <w:rPr>
          <w:rFonts w:eastAsia="Times New Roman"/>
          <w:lang w:val="fr-FR"/>
        </w:rPr>
        <w:t>Analyse des besoins</w:t>
      </w:r>
      <w:bookmarkEnd w:id="493"/>
    </w:p>
    <w:p w14:paraId="449D2039" w14:textId="77777777" w:rsidR="007A60EC" w:rsidRPr="00653BF4" w:rsidRDefault="007A60EC" w:rsidP="007A60EC">
      <w:pPr>
        <w:rPr>
          <w:lang w:val="fr-FR"/>
        </w:rPr>
      </w:pPr>
    </w:p>
    <w:p w14:paraId="5AEA1315" w14:textId="07270613" w:rsidR="007A60EC" w:rsidRPr="00653BF4" w:rsidRDefault="007A60EC" w:rsidP="007A60EC">
      <w:pPr>
        <w:rPr>
          <w:rFonts w:eastAsia="Times New Roman" w:cs="Times New Roman"/>
          <w:lang w:val="fr-FR"/>
        </w:rPr>
      </w:pPr>
      <w:r w:rsidRPr="00653BF4">
        <w:rPr>
          <w:rFonts w:eastAsia="Times New Roman" w:cs="Times New Roman"/>
          <w:lang w:val="fr-FR"/>
        </w:rPr>
        <w:t xml:space="preserve">Les besoins décrits ci-après, tirés des rapports nationaux disponibles aux fins du rapport mondial, sont classés selon les quatre composantes des moyens de mise en œuvre </w:t>
      </w:r>
      <w:r w:rsidRPr="00653BF4">
        <w:rPr>
          <w:rFonts w:eastAsia="Times New Roman" w:cs="Times New Roman"/>
          <w:lang w:val="fr-FR"/>
        </w:rPr>
        <w:lastRenderedPageBreak/>
        <w:t>énoncées à l’</w:t>
      </w:r>
      <w:r w:rsidR="002878D7">
        <w:rPr>
          <w:rFonts w:eastAsia="Times New Roman" w:cs="Times New Roman"/>
          <w:lang w:val="fr-FR"/>
        </w:rPr>
        <w:t>objectif D</w:t>
      </w:r>
      <w:r w:rsidRPr="00653BF4">
        <w:rPr>
          <w:rFonts w:eastAsia="Times New Roman" w:cs="Times New Roman"/>
          <w:lang w:val="fr-FR"/>
        </w:rPr>
        <w:t>. L’analyse repose sur la méthode utilisée pour examiner les cibles nationales. De plus amples précisions figurent dans la description des méthodes employées pour l’élaboration du rapport mondial (</w:t>
      </w:r>
      <w:hyperlink r:id="rId245" w:history="1">
        <w:r w:rsidRPr="00653BF4">
          <w:rPr>
            <w:rStyle w:val="Hyperlink"/>
            <w:rFonts w:eastAsia="Times New Roman" w:cs="Times New Roman"/>
            <w:lang w:val="fr-FR"/>
          </w:rPr>
          <w:t>CBD/SBI/7/INF/22</w:t>
        </w:r>
      </w:hyperlink>
      <w:r w:rsidRPr="00653BF4">
        <w:rPr>
          <w:rFonts w:eastAsia="Times New Roman" w:cs="Times New Roman"/>
          <w:lang w:val="fr-FR"/>
        </w:rPr>
        <w:t xml:space="preserve"> et </w:t>
      </w:r>
      <w:hyperlink r:id="rId246" w:history="1">
        <w:r w:rsidRPr="00653BF4">
          <w:rPr>
            <w:rStyle w:val="Hyperlink"/>
            <w:rFonts w:eastAsia="Times New Roman" w:cs="Times New Roman"/>
            <w:lang w:val="fr-FR"/>
          </w:rPr>
          <w:t>CBD/SBSTTA/28/INF/9</w:t>
        </w:r>
      </w:hyperlink>
      <w:r w:rsidRPr="00653BF4">
        <w:rPr>
          <w:rFonts w:eastAsia="Times New Roman" w:cs="Times New Roman"/>
          <w:lang w:val="fr-FR"/>
        </w:rPr>
        <w:t xml:space="preserve">). </w:t>
      </w:r>
    </w:p>
    <w:p w14:paraId="60EAE771" w14:textId="5DD45EC3" w:rsidR="007A60EC" w:rsidRPr="00653BF4" w:rsidRDefault="007A60EC" w:rsidP="007A60EC">
      <w:pPr>
        <w:pStyle w:val="Heading4"/>
        <w:rPr>
          <w:lang w:val="fr-FR"/>
        </w:rPr>
      </w:pPr>
      <w:bookmarkStart w:id="494" w:name="_Toc242801265"/>
      <w:r w:rsidRPr="00653BF4">
        <w:rPr>
          <w:lang w:val="fr-FR"/>
        </w:rPr>
        <w:t>Ressources financières</w:t>
      </w:r>
      <w:bookmarkEnd w:id="494"/>
    </w:p>
    <w:p w14:paraId="2EBDB996" w14:textId="77777777" w:rsidR="007A60EC" w:rsidRPr="00653BF4" w:rsidRDefault="007A60EC" w:rsidP="007A60EC">
      <w:pPr>
        <w:rPr>
          <w:lang w:val="fr-FR"/>
        </w:rPr>
      </w:pPr>
    </w:p>
    <w:p w14:paraId="3F8579AC" w14:textId="77777777" w:rsidR="007A60EC" w:rsidRPr="00653BF4" w:rsidRDefault="007A60EC" w:rsidP="007A60EC">
      <w:pPr>
        <w:rPr>
          <w:rFonts w:ascii="Aptos" w:eastAsia="Aptos" w:hAnsi="Aptos" w:cs="Aptos"/>
          <w:lang w:val="fr-FR"/>
        </w:rPr>
      </w:pPr>
      <w:r w:rsidRPr="00653BF4">
        <w:rPr>
          <w:rFonts w:eastAsia="Times New Roman" w:cs="Times New Roman"/>
          <w:lang w:val="fr-FR"/>
        </w:rPr>
        <w:t>Les rapports nationaux désignent systématiquement et explicitement le manque de ressources financières comme une contrainte pesant sur la mise en œuvre. La planification financière permet de quantifier et de hiérarchiser les besoins de financement, et, d’après les rapports, les progrès en la matière sont inégaux. Si de nombreuses Parties ont entamé un tel exercice de planification, le plus souvent selon la méthode BIOFIN, beaucoup indiquent que leur évaluation des besoins financiers et leur examen des dépenses relatives à la biodiversité demeurent incomplets. C’est là une lacune importante, car ces analyses sont une condition préalable à une quantification crédible des besoins de financement. En outre, plusieurs Parties font savoir que leurs stratégies ou plans nationaux de financement de la biodiversité sont encore en cours d’élaboration, ou qu’elles n’en disposent pas.</w:t>
      </w:r>
    </w:p>
    <w:p w14:paraId="7E998E94" w14:textId="77777777" w:rsidR="007A60EC" w:rsidRPr="00653BF4" w:rsidRDefault="007A60EC" w:rsidP="007A60EC">
      <w:pPr>
        <w:pStyle w:val="Heading5"/>
        <w:rPr>
          <w:lang w:val="fr-FR"/>
        </w:rPr>
      </w:pPr>
    </w:p>
    <w:p w14:paraId="63FFAE76" w14:textId="77777777" w:rsidR="007A60EC" w:rsidRPr="00653BF4" w:rsidRDefault="007A60EC" w:rsidP="007A60EC">
      <w:pPr>
        <w:pStyle w:val="Heading5"/>
        <w:rPr>
          <w:lang w:val="fr-FR"/>
        </w:rPr>
      </w:pPr>
      <w:r w:rsidRPr="00653BF4">
        <w:rPr>
          <w:lang w:val="fr-FR"/>
        </w:rPr>
        <w:t>Financement national</w:t>
      </w:r>
    </w:p>
    <w:p w14:paraId="62D4D7E1" w14:textId="77777777" w:rsidR="007A60EC" w:rsidRPr="00653BF4" w:rsidRDefault="007A60EC" w:rsidP="007A60EC">
      <w:pPr>
        <w:rPr>
          <w:lang w:val="fr-FR"/>
        </w:rPr>
      </w:pPr>
    </w:p>
    <w:p w14:paraId="1A6ACBFA" w14:textId="77777777" w:rsidR="007A60EC" w:rsidRPr="00653BF4" w:rsidRDefault="007A60EC" w:rsidP="007A60EC">
      <w:pPr>
        <w:rPr>
          <w:rFonts w:ascii="Aptos" w:eastAsia="Aptos" w:hAnsi="Aptos" w:cs="Aptos"/>
          <w:lang w:val="fr-FR"/>
        </w:rPr>
      </w:pPr>
      <w:r w:rsidRPr="00653BF4">
        <w:rPr>
          <w:rFonts w:ascii="Aptos" w:eastAsia="Aptos" w:hAnsi="Aptos" w:cs="Aptos"/>
          <w:lang w:val="fr-FR"/>
        </w:rPr>
        <w:t>De nombreuses Parties font état d’un écart important entre le niveau actuel des dépenses publiques nationales consacrées à la biodiversité et le niveau de dépenses nécessaire pour mettre en œuvre le Cadre d’ici à 2030. Dans plusieurs cas, l’écart a été chiffré dans le cadre de BIOFIN ou de processus nationaux équivalents, et les déficits mis en évidence pour la période allant jusqu’à 2030 sont considérables. Selon certaines Parties, le financement de la biodiversité est fragmenté, ce qui en réduit encore l’efficacité face aux besoins recensés.</w:t>
      </w:r>
    </w:p>
    <w:p w14:paraId="0E1FE541" w14:textId="46A770EB" w:rsidR="007A60EC" w:rsidRPr="00653BF4" w:rsidRDefault="007A60EC" w:rsidP="007A60EC">
      <w:pPr>
        <w:rPr>
          <w:rFonts w:ascii="Aptos" w:eastAsia="Aptos" w:hAnsi="Aptos" w:cs="Aptos"/>
          <w:lang w:val="fr-FR"/>
        </w:rPr>
      </w:pPr>
      <w:r w:rsidRPr="00653BF4">
        <w:rPr>
          <w:rFonts w:ascii="Aptos" w:eastAsia="Aptos" w:hAnsi="Aptos" w:cs="Aptos"/>
          <w:lang w:val="fr-FR"/>
        </w:rPr>
        <w:t>Les Parties indiquent qu’il est difficile de poursuivre des objectifs à long terme car le financement de la biodiversité n’est souvent approuvé que pour un an, conformément aux cycles budgétaires nationaux habituels. Cela nuit en outre à la continuité du suivi</w:t>
      </w:r>
      <w:r w:rsidR="00E34DC9">
        <w:rPr>
          <w:rFonts w:ascii="Aptos" w:eastAsia="Aptos" w:hAnsi="Aptos" w:cs="Aptos"/>
          <w:lang w:val="fr-FR"/>
        </w:rPr>
        <w:t> :</w:t>
      </w:r>
      <w:r w:rsidRPr="00653BF4">
        <w:rPr>
          <w:rFonts w:ascii="Aptos" w:eastAsia="Aptos" w:hAnsi="Aptos" w:cs="Aptos"/>
          <w:lang w:val="fr-FR"/>
        </w:rPr>
        <w:t xml:space="preserve"> lorsque les ressources ne sont pas assurées sur plusieurs années, les séries chronologiques de données sont interrompues et les résultats cessent d’être comparables, ce qui complique l’évaluation des tendances ou la démonstration des progrès accomplis par rapport aux données de référence. Une difficulté connexe tient à la consolidation des dépenses relatives à la biodiversité au sein de structures de gouvernance à plusieurs niveaux. Le suivi </w:t>
      </w:r>
      <w:r w:rsidRPr="00653BF4">
        <w:rPr>
          <w:rFonts w:ascii="Aptos" w:eastAsia="Aptos" w:hAnsi="Aptos" w:cs="Aptos"/>
          <w:lang w:val="fr-FR"/>
        </w:rPr>
        <w:lastRenderedPageBreak/>
        <w:t>systématique se heurte à la fragmentation du financement lié à la biodiversité entre les ministères, les organismes et les niveaux de gouvernement, ainsi qu’à l’absence, dans la plupart des Parties, de systèmes de marquage budgétaire propres à la biodiversité. Les Parties ont par ailleurs fait état des obstacles supplémentaires suivants</w:t>
      </w:r>
      <w:r w:rsidR="00E34DC9">
        <w:rPr>
          <w:rFonts w:ascii="Aptos" w:eastAsia="Aptos" w:hAnsi="Aptos" w:cs="Aptos"/>
          <w:lang w:val="fr-FR"/>
        </w:rPr>
        <w:t> :</w:t>
      </w:r>
      <w:r w:rsidRPr="00653BF4">
        <w:rPr>
          <w:rFonts w:ascii="Aptos" w:eastAsia="Aptos" w:hAnsi="Aptos" w:cs="Aptos"/>
          <w:lang w:val="fr-FR"/>
        </w:rPr>
        <w:t xml:space="preserve"> des cycles de décaissement imprévisibles et fondés sur des projets</w:t>
      </w:r>
      <w:r w:rsidR="00E34DC9">
        <w:rPr>
          <w:rFonts w:ascii="Aptos" w:eastAsia="Aptos" w:hAnsi="Aptos" w:cs="Aptos"/>
          <w:lang w:val="fr-FR"/>
        </w:rPr>
        <w:t> ;</w:t>
      </w:r>
      <w:r w:rsidRPr="00653BF4">
        <w:rPr>
          <w:rFonts w:ascii="Aptos" w:eastAsia="Aptos" w:hAnsi="Aptos" w:cs="Aptos"/>
          <w:lang w:val="fr-FR"/>
        </w:rPr>
        <w:t xml:space="preserve"> l’absence générale de lignes budgétaires nationales consacrées à la biodiversité</w:t>
      </w:r>
      <w:r w:rsidR="00E34DC9">
        <w:rPr>
          <w:rFonts w:ascii="Aptos" w:eastAsia="Aptos" w:hAnsi="Aptos" w:cs="Aptos"/>
          <w:lang w:val="fr-FR"/>
        </w:rPr>
        <w:t> ;</w:t>
      </w:r>
      <w:r w:rsidRPr="00653BF4">
        <w:rPr>
          <w:rFonts w:ascii="Aptos" w:eastAsia="Aptos" w:hAnsi="Aptos" w:cs="Aptos"/>
          <w:lang w:val="fr-FR"/>
        </w:rPr>
        <w:t xml:space="preserve"> des entraves structurelles empêchant les parties prenantes d’accéder aux instruments financiers disponibles (voir plus loin)</w:t>
      </w:r>
      <w:r w:rsidR="00E34DC9">
        <w:rPr>
          <w:rFonts w:ascii="Aptos" w:eastAsia="Aptos" w:hAnsi="Aptos" w:cs="Aptos"/>
          <w:lang w:val="fr-FR"/>
        </w:rPr>
        <w:t> ;</w:t>
      </w:r>
      <w:r w:rsidRPr="00653BF4">
        <w:rPr>
          <w:rFonts w:ascii="Aptos" w:eastAsia="Aptos" w:hAnsi="Aptos" w:cs="Aptos"/>
          <w:lang w:val="fr-FR"/>
        </w:rPr>
        <w:t xml:space="preserve"> et une capacité institutionnelle limitée pour concevoir des propositions ou mettre en œuvre des mécanismes de financement novateurs tels que le paiement pour services liés aux écosystèmes, les crédits en matière de biodiversité ou les financements mixtes.</w:t>
      </w:r>
    </w:p>
    <w:p w14:paraId="78AAA143" w14:textId="77777777" w:rsidR="007A60EC" w:rsidRPr="00653BF4" w:rsidRDefault="007A60EC" w:rsidP="007A60EC">
      <w:pPr>
        <w:pStyle w:val="Heading5"/>
        <w:rPr>
          <w:lang w:val="fr-FR"/>
        </w:rPr>
      </w:pPr>
    </w:p>
    <w:p w14:paraId="44F97F73" w14:textId="77777777" w:rsidR="007A60EC" w:rsidRPr="00653BF4" w:rsidRDefault="007A60EC" w:rsidP="007A60EC">
      <w:pPr>
        <w:pStyle w:val="Heading5"/>
        <w:rPr>
          <w:lang w:val="fr-FR"/>
        </w:rPr>
      </w:pPr>
      <w:r w:rsidRPr="00653BF4">
        <w:rPr>
          <w:lang w:val="fr-FR"/>
        </w:rPr>
        <w:t>Financement international</w:t>
      </w:r>
    </w:p>
    <w:p w14:paraId="329B3F36" w14:textId="77777777" w:rsidR="007A60EC" w:rsidRPr="00653BF4" w:rsidRDefault="007A60EC" w:rsidP="007A60EC">
      <w:pPr>
        <w:spacing w:line="276" w:lineRule="auto"/>
        <w:rPr>
          <w:lang w:val="fr-FR"/>
        </w:rPr>
      </w:pPr>
    </w:p>
    <w:p w14:paraId="08D4CBB1" w14:textId="77777777" w:rsidR="007A60EC" w:rsidRPr="00653BF4" w:rsidRDefault="007A60EC" w:rsidP="007A60EC">
      <w:pPr>
        <w:spacing w:line="276" w:lineRule="auto"/>
        <w:rPr>
          <w:rFonts w:ascii="Aptos" w:eastAsia="Aptos" w:hAnsi="Aptos" w:cs="Aptos"/>
          <w:lang w:val="fr-FR"/>
        </w:rPr>
      </w:pPr>
      <w:r w:rsidRPr="00653BF4">
        <w:rPr>
          <w:rFonts w:ascii="Aptos" w:eastAsia="Aptos" w:hAnsi="Aptos" w:cs="Aptos"/>
          <w:lang w:val="fr-FR"/>
        </w:rPr>
        <w:t>Les pays en développement Parties, y compris les pays les moins avancés et les petits États insulaires en développement, font état de leur dépendance à l’égard du financement international et de l’aide publique au développement (APD), ainsi que des limites de ces sources de financement. D’après les rapports, cette dépendance à l’égard des cycles des donateurs et des projets a entraîné des interruptions de la mise en œuvre en fin de projet.</w:t>
      </w:r>
    </w:p>
    <w:p w14:paraId="66970D4E" w14:textId="77777777" w:rsidR="007A60EC" w:rsidRPr="00653BF4" w:rsidRDefault="007A60EC" w:rsidP="007A60EC">
      <w:pPr>
        <w:spacing w:line="276" w:lineRule="auto"/>
        <w:rPr>
          <w:rFonts w:eastAsia="Times New Roman" w:cs="Times New Roman"/>
          <w:lang w:val="fr-FR"/>
        </w:rPr>
      </w:pPr>
      <w:r w:rsidRPr="00653BF4">
        <w:rPr>
          <w:rFonts w:ascii="Aptos" w:eastAsia="Aptos" w:hAnsi="Aptos" w:cs="Aptos"/>
          <w:lang w:val="fr-FR"/>
        </w:rPr>
        <w:t xml:space="preserve">Au-delà des difficultés liées au niveau global du financement, qu’elles exposent en détail, les Parties font état d’obstacles à l’accès au financement international disponible. </w:t>
      </w:r>
    </w:p>
    <w:p w14:paraId="4BE65887" w14:textId="77777777" w:rsidR="007A60EC" w:rsidRPr="00653BF4" w:rsidRDefault="007A60EC" w:rsidP="007A60EC">
      <w:pPr>
        <w:pStyle w:val="Heading5"/>
        <w:rPr>
          <w:lang w:val="fr-FR"/>
        </w:rPr>
      </w:pPr>
    </w:p>
    <w:p w14:paraId="5EDF2229" w14:textId="77777777" w:rsidR="007A60EC" w:rsidRPr="00653BF4" w:rsidRDefault="007A60EC" w:rsidP="007A60EC">
      <w:pPr>
        <w:pStyle w:val="Heading5"/>
        <w:rPr>
          <w:lang w:val="fr-FR"/>
        </w:rPr>
      </w:pPr>
      <w:r w:rsidRPr="00653BF4">
        <w:rPr>
          <w:lang w:val="fr-FR"/>
        </w:rPr>
        <w:t>Financement privé</w:t>
      </w:r>
    </w:p>
    <w:p w14:paraId="312E670C" w14:textId="77777777" w:rsidR="007A60EC" w:rsidRPr="00653BF4" w:rsidRDefault="007A60EC" w:rsidP="007A60EC">
      <w:pPr>
        <w:rPr>
          <w:rFonts w:ascii="Aptos" w:eastAsia="Aptos" w:hAnsi="Aptos" w:cs="Aptos"/>
          <w:lang w:val="fr-FR"/>
        </w:rPr>
      </w:pPr>
    </w:p>
    <w:p w14:paraId="5C33FD44" w14:textId="77777777" w:rsidR="007A60EC" w:rsidRPr="00653BF4" w:rsidRDefault="007A60EC" w:rsidP="007A60EC">
      <w:pPr>
        <w:rPr>
          <w:rFonts w:ascii="Aptos" w:eastAsia="Aptos" w:hAnsi="Aptos" w:cs="Aptos"/>
          <w:lang w:val="fr-FR"/>
        </w:rPr>
      </w:pPr>
      <w:r w:rsidRPr="00653BF4">
        <w:rPr>
          <w:rFonts w:ascii="Aptos" w:eastAsia="Aptos" w:hAnsi="Aptos" w:cs="Aptos"/>
          <w:lang w:val="fr-FR"/>
        </w:rPr>
        <w:t>D’après de nombreux rapports, le financement privé de la biodiversité est peu développé, l’engagement du secteur privé reste limité et, pour certaines Parties, ce financement ne représente qu’une faible part de l’ensemble des fonds disponibles en faveur de la biodiversité. Les Parties indiquent que les politiques et réglementations en vigueur compliquent le déploiement à grande échelle de modèles d’investissement alignés sur la biodiversité.</w:t>
      </w:r>
    </w:p>
    <w:p w14:paraId="51880599" w14:textId="6C667FDA" w:rsidR="007A60EC" w:rsidRPr="00653BF4" w:rsidRDefault="007A60EC" w:rsidP="007A60EC">
      <w:pPr>
        <w:spacing w:before="240" w:after="240"/>
        <w:rPr>
          <w:rFonts w:ascii="Aptos" w:eastAsia="Aptos" w:hAnsi="Aptos" w:cs="Aptos"/>
          <w:lang w:val="fr-FR"/>
        </w:rPr>
      </w:pPr>
      <w:r w:rsidRPr="00653BF4">
        <w:rPr>
          <w:rFonts w:ascii="Aptos" w:eastAsia="Aptos" w:hAnsi="Aptos" w:cs="Aptos"/>
          <w:lang w:val="fr-FR"/>
        </w:rPr>
        <w:t xml:space="preserve">Les conditions de publication d’informations limitent en outre les données communiquées sur le financement privé. Plusieurs Parties font observer qu’il n’existe aucune obligation de publier des informations sur les risques liés à la biodiversité, et aucune Partie n’a mentionné d’institution financière nationale inscrite parmi celles qui ont officiellement adopté les recommandations de l’Équipe spéciale des informations financières ayant trait </w:t>
      </w:r>
      <w:r w:rsidRPr="00653BF4">
        <w:rPr>
          <w:rFonts w:ascii="Aptos" w:eastAsia="Aptos" w:hAnsi="Aptos" w:cs="Aptos"/>
          <w:lang w:val="fr-FR"/>
        </w:rPr>
        <w:lastRenderedPageBreak/>
        <w:t xml:space="preserve">à la nature. L’adoption plus large de dispositifs de divulgation volontaire est examinée dans l’analyse de la </w:t>
      </w:r>
      <w:r w:rsidR="00E34DC9">
        <w:rPr>
          <w:rFonts w:ascii="Aptos" w:eastAsia="Aptos" w:hAnsi="Aptos" w:cs="Aptos"/>
          <w:lang w:val="fr-FR"/>
        </w:rPr>
        <w:t>cible 1</w:t>
      </w:r>
      <w:r w:rsidRPr="00653BF4">
        <w:rPr>
          <w:rFonts w:ascii="Aptos" w:eastAsia="Aptos" w:hAnsi="Aptos" w:cs="Aptos"/>
          <w:lang w:val="fr-FR"/>
        </w:rPr>
        <w:t>5 ci-dessus.</w:t>
      </w:r>
    </w:p>
    <w:p w14:paraId="6A4BAE00" w14:textId="25B1EBE1" w:rsidR="007A60EC" w:rsidRPr="00653BF4" w:rsidRDefault="007A60EC" w:rsidP="007A60EC">
      <w:pPr>
        <w:spacing w:before="240" w:after="240"/>
        <w:rPr>
          <w:rFonts w:ascii="Aptos" w:eastAsia="Aptos" w:hAnsi="Aptos" w:cs="Aptos"/>
          <w:lang w:val="fr-FR"/>
        </w:rPr>
      </w:pPr>
      <w:r w:rsidRPr="00653BF4">
        <w:rPr>
          <w:rFonts w:ascii="Aptos" w:eastAsia="Aptos" w:hAnsi="Aptos" w:cs="Aptos"/>
          <w:lang w:val="fr-FR"/>
        </w:rPr>
        <w:t>Parmi les trois indicateurs phares associés à l’</w:t>
      </w:r>
      <w:r w:rsidR="002878D7">
        <w:rPr>
          <w:rFonts w:ascii="Aptos" w:eastAsia="Aptos" w:hAnsi="Aptos" w:cs="Aptos"/>
          <w:lang w:val="fr-FR"/>
        </w:rPr>
        <w:t>objectif D</w:t>
      </w:r>
      <w:r w:rsidRPr="00653BF4">
        <w:rPr>
          <w:rFonts w:ascii="Aptos" w:eastAsia="Aptos" w:hAnsi="Aptos" w:cs="Aptos"/>
          <w:lang w:val="fr-FR"/>
        </w:rPr>
        <w:t xml:space="preserve"> du Cadre, l’indicateur phare D.3 (financement privé (national et international) pour la conservation et l’utilisation durable de la biodiversité et des écosystèmes) est systématiquement cité comme le plus difficile à renseigner. À cet égard, de nombreuses contributions du secteur privé ne sont pas enregistrées, la communication d’informations par les entreprises n’est pas obligatoire dans la plupart des pays, et d’autres sources de financement privé, notamment la philanthropie et les dons de particuliers, sont rarement recensées.</w:t>
      </w:r>
    </w:p>
    <w:p w14:paraId="745F13A8" w14:textId="77777777" w:rsidR="007A60EC" w:rsidRPr="00653BF4" w:rsidRDefault="007A60EC" w:rsidP="007A60EC">
      <w:pPr>
        <w:pStyle w:val="Heading5"/>
        <w:rPr>
          <w:lang w:val="fr-FR"/>
        </w:rPr>
      </w:pPr>
    </w:p>
    <w:p w14:paraId="7E82162E" w14:textId="77777777" w:rsidR="007A60EC" w:rsidRPr="00653BF4" w:rsidRDefault="007A60EC" w:rsidP="007A60EC">
      <w:pPr>
        <w:pStyle w:val="Heading5"/>
        <w:rPr>
          <w:lang w:val="fr-FR"/>
        </w:rPr>
      </w:pPr>
      <w:r w:rsidRPr="00653BF4">
        <w:rPr>
          <w:lang w:val="fr-FR"/>
        </w:rPr>
        <w:t>Incitations, y compris les subventions, préjudiciables à la biodiversité, et incitations positives</w:t>
      </w:r>
    </w:p>
    <w:p w14:paraId="5F99D02E" w14:textId="77777777" w:rsidR="007A60EC" w:rsidRPr="00653BF4" w:rsidRDefault="007A60EC" w:rsidP="007A60EC">
      <w:pPr>
        <w:rPr>
          <w:lang w:val="fr-FR"/>
        </w:rPr>
      </w:pPr>
    </w:p>
    <w:p w14:paraId="2AD45D16" w14:textId="27C7E8DC" w:rsidR="007A60EC" w:rsidRPr="00653BF4" w:rsidRDefault="007A60EC" w:rsidP="007A60EC">
      <w:pPr>
        <w:rPr>
          <w:rFonts w:eastAsia="Times New Roman" w:cs="Times New Roman"/>
          <w:lang w:val="fr-FR"/>
        </w:rPr>
      </w:pPr>
      <w:bookmarkStart w:id="495" w:name="_Toc235521196"/>
      <w:r w:rsidRPr="00653BF4">
        <w:rPr>
          <w:rFonts w:eastAsia="Times New Roman" w:cs="Times New Roman"/>
          <w:lang w:val="fr-FR"/>
        </w:rPr>
        <w:t>L’</w:t>
      </w:r>
      <w:r w:rsidR="002878D7">
        <w:rPr>
          <w:rFonts w:eastAsia="Times New Roman" w:cs="Times New Roman"/>
          <w:lang w:val="fr-FR"/>
        </w:rPr>
        <w:t>objectif D</w:t>
      </w:r>
      <w:r w:rsidRPr="00653BF4">
        <w:rPr>
          <w:rFonts w:eastAsia="Times New Roman" w:cs="Times New Roman"/>
          <w:lang w:val="fr-FR"/>
        </w:rPr>
        <w:t xml:space="preserve"> du Cadre porte à la fois sur le comblement progressif du déficit de financement de la biodiversité, qui s’élève à 700 milliards de dollars par an, et sur l’alignement des flux financiers sur le Cadre. C’est en particulier à ce second volet que se rattachent la réduction, d’au moins 500 milliards de dollars par an d’ici à 2030, des incitations, y compris les subventions, préjudiciables à la biodiversité et le renforcement des incitations positives, prévus par la </w:t>
      </w:r>
      <w:r w:rsidR="00E34DC9">
        <w:rPr>
          <w:rFonts w:eastAsia="Times New Roman" w:cs="Times New Roman"/>
          <w:lang w:val="fr-FR"/>
        </w:rPr>
        <w:t>cible 1</w:t>
      </w:r>
      <w:r w:rsidRPr="00653BF4">
        <w:rPr>
          <w:rFonts w:eastAsia="Times New Roman" w:cs="Times New Roman"/>
          <w:lang w:val="fr-FR"/>
        </w:rPr>
        <w:t xml:space="preserve">8 (voir le résumé de la </w:t>
      </w:r>
      <w:r w:rsidR="00E34DC9">
        <w:rPr>
          <w:rFonts w:eastAsia="Times New Roman" w:cs="Times New Roman"/>
          <w:lang w:val="fr-FR"/>
        </w:rPr>
        <w:t>cible 1</w:t>
      </w:r>
      <w:r w:rsidRPr="00653BF4">
        <w:rPr>
          <w:rFonts w:eastAsia="Times New Roman" w:cs="Times New Roman"/>
          <w:lang w:val="fr-FR"/>
        </w:rPr>
        <w:t>8 ci-dessus).</w:t>
      </w:r>
    </w:p>
    <w:p w14:paraId="3003EFCE" w14:textId="77777777" w:rsidR="007A60EC" w:rsidRPr="00653BF4" w:rsidRDefault="007A60EC" w:rsidP="007A60EC">
      <w:pPr>
        <w:rPr>
          <w:rFonts w:eastAsia="Times New Roman" w:cs="Times New Roman"/>
          <w:lang w:val="fr-FR"/>
        </w:rPr>
      </w:pPr>
      <w:r w:rsidRPr="00653BF4">
        <w:rPr>
          <w:rFonts w:eastAsia="Times New Roman" w:cs="Times New Roman"/>
          <w:lang w:val="fr-FR"/>
        </w:rPr>
        <w:t>Selon les Parties, le recensement, la quantification et la réforme des incitations préjudiciables sont complexes, sur les plans méthodologique et politique. Un certain nombre d’entre elles mentionnent l’absence d’inventaire national des subventions ayant une incidence sur la biodiversité et soulignent que, faute de valeurs de référence monétaires, il est difficile de mesurer la réduction requise d’ici à 2030. Plusieurs Parties font observer qu’il n’existe pas de registre centralisé des subventions et des avantages fiscaux, et que les incitations peuvent être disséminées dans diverses lignes budgétaires ou dépenses fiscales.</w:t>
      </w:r>
    </w:p>
    <w:p w14:paraId="2213915F" w14:textId="77777777" w:rsidR="007A60EC" w:rsidRPr="00653BF4" w:rsidRDefault="007A60EC" w:rsidP="007A60EC">
      <w:pPr>
        <w:rPr>
          <w:lang w:val="fr-FR"/>
        </w:rPr>
      </w:pPr>
      <w:r w:rsidRPr="00653BF4">
        <w:rPr>
          <w:rFonts w:eastAsia="Times New Roman" w:cs="Times New Roman"/>
          <w:lang w:val="fr-FR"/>
        </w:rPr>
        <w:t>D’après les rapports, la coordination intersectorielle en vue de la réforme des incitations préjudiciables est politiquement délicate et dispersée entre plusieurs institutions. Ces incitations peuvent relever de la fiscalité ou s’inscrire dans des cadres relatifs à des secteurs tels que l’agriculture, les transports ou l’énergie, qui échappent au mandat des ministères de l’environnement.</w:t>
      </w:r>
    </w:p>
    <w:p w14:paraId="63BCB3B0" w14:textId="77777777" w:rsidR="007A60EC" w:rsidRPr="00653BF4" w:rsidRDefault="007A60EC" w:rsidP="007A60EC">
      <w:pPr>
        <w:pStyle w:val="Heading4"/>
        <w:rPr>
          <w:rFonts w:eastAsia="Times New Roman"/>
          <w:lang w:val="fr-FR"/>
        </w:rPr>
      </w:pPr>
    </w:p>
    <w:p w14:paraId="59466065" w14:textId="77777777" w:rsidR="007A60EC" w:rsidRPr="00653BF4" w:rsidRDefault="007A60EC" w:rsidP="007A60EC">
      <w:pPr>
        <w:pStyle w:val="Heading4"/>
        <w:rPr>
          <w:color w:val="auto"/>
          <w:lang w:val="fr-FR"/>
        </w:rPr>
      </w:pPr>
      <w:bookmarkStart w:id="496" w:name="_Toc242801266"/>
      <w:bookmarkEnd w:id="495"/>
      <w:r w:rsidRPr="00653BF4">
        <w:rPr>
          <w:rFonts w:eastAsia="Times New Roman"/>
          <w:lang w:val="fr-FR"/>
        </w:rPr>
        <w:t>Capacités</w:t>
      </w:r>
      <w:bookmarkEnd w:id="496"/>
    </w:p>
    <w:p w14:paraId="7BECED63" w14:textId="77777777" w:rsidR="007A60EC" w:rsidRPr="00653BF4" w:rsidRDefault="007A60EC" w:rsidP="007A60EC">
      <w:pPr>
        <w:rPr>
          <w:lang w:val="fr-FR"/>
        </w:rPr>
      </w:pPr>
    </w:p>
    <w:p w14:paraId="4B5BE1FB" w14:textId="77777777" w:rsidR="007A60EC" w:rsidRPr="00653BF4" w:rsidRDefault="007A60EC" w:rsidP="007A60EC">
      <w:pPr>
        <w:rPr>
          <w:lang w:val="fr-FR"/>
        </w:rPr>
      </w:pPr>
      <w:r w:rsidRPr="00653BF4">
        <w:rPr>
          <w:lang w:val="fr-FR"/>
        </w:rPr>
        <w:t>Presque toutes les Parties ayant présenté un rapport font état de besoins en capacités. Ces besoins vont des capacités institutionnelles de base dans les pays les moins avancés et les petits États insulaires en développement aux capacités techniques spécialisées dans les pays développés Parties. Parmi les nombreux besoins d’appui recensés figurent l’actualisation des SPANB et l’établissement des rapports nationaux, mais aussi la conception et la mise en œuvre de plans de financement de la biodiversité, l’application d’outils de planification spatiale et la gestion des zones protégées et des autres mesures efficaces de conservation par zone.</w:t>
      </w:r>
    </w:p>
    <w:p w14:paraId="1EF92D22" w14:textId="77777777" w:rsidR="007A60EC" w:rsidRPr="00653BF4" w:rsidRDefault="007A60EC" w:rsidP="007A60EC">
      <w:pPr>
        <w:rPr>
          <w:lang w:val="fr-FR"/>
        </w:rPr>
      </w:pPr>
      <w:r w:rsidRPr="00653BF4">
        <w:rPr>
          <w:lang w:val="fr-FR"/>
        </w:rPr>
        <w:t>Les ressources humaines sont le socle des autres dimensions des capacités, et le manque de personnel qualifié dans le domaine de la biodiversité se retrouve dans l’ensemble des besoins décrits par les Parties. Les compétences jugées insuffisantes portent notamment sur la taxonomie, l’écologie, l’analyse par systèmes d’information géographique (SIG), l’informatique de la biodiversité, la prévention des risques biotechnologiques et les sciences de la mer et des eaux douces. S’y ajoutent les compétences mixtes, à la fois financières et écologiques, utiles à la mobilisation du financement privé évoquée plus haut. D’après les rapports, les besoins de capacités dans le domaine de la prévention des risques biotechnologiques restent durablement insatisfaits, notamment pour l’évaluation et la gestion des risques, l’échantillonnage, la détection et le transfert des technologies correspondantes, car les avancées scientifiques continues exigent une mise à jour permanente de l’expertise.</w:t>
      </w:r>
    </w:p>
    <w:p w14:paraId="584527C0" w14:textId="77777777" w:rsidR="007A60EC" w:rsidRPr="00653BF4" w:rsidRDefault="007A60EC" w:rsidP="007A60EC">
      <w:pPr>
        <w:rPr>
          <w:lang w:val="fr-FR"/>
        </w:rPr>
      </w:pPr>
      <w:r w:rsidRPr="00653BF4">
        <w:rPr>
          <w:lang w:val="fr-FR"/>
        </w:rPr>
        <w:t>Selon les Parties, l’absence d’expertise interne sur la biodiversité dans les ministères chargés des secteurs concernés freine l’intégration des questions de biodiversité au niveau national. Les rapports indiquent que, dans les Parties touchées par un conflit ou en situation de fragilité institutionnelle, la perte de personnel formé aggrave les contraintes structurelles qui pèsent sur la mise en œuvre, des décennies de conflit ayant, dans certains cas, créé un vide de données et entraîné la disparition de la mémoire institutionnelle et de ce personnel.</w:t>
      </w:r>
    </w:p>
    <w:p w14:paraId="7012C5A4" w14:textId="77777777" w:rsidR="007A60EC" w:rsidRPr="00653BF4" w:rsidRDefault="007A60EC" w:rsidP="007A60EC">
      <w:pPr>
        <w:pStyle w:val="Heading5"/>
        <w:rPr>
          <w:lang w:val="fr-FR"/>
        </w:rPr>
      </w:pPr>
    </w:p>
    <w:p w14:paraId="1B351D11" w14:textId="77777777" w:rsidR="007A60EC" w:rsidRPr="00653BF4" w:rsidRDefault="007A60EC" w:rsidP="007A60EC">
      <w:pPr>
        <w:pStyle w:val="Heading5"/>
        <w:rPr>
          <w:lang w:val="fr-FR"/>
        </w:rPr>
      </w:pPr>
    </w:p>
    <w:p w14:paraId="5FA8CBA6" w14:textId="77777777" w:rsidR="007A60EC" w:rsidRPr="00653BF4" w:rsidRDefault="007A60EC" w:rsidP="007A60EC">
      <w:pPr>
        <w:pStyle w:val="Heading5"/>
        <w:rPr>
          <w:lang w:val="fr-FR"/>
        </w:rPr>
      </w:pPr>
      <w:r w:rsidRPr="00653BF4">
        <w:rPr>
          <w:lang w:val="fr-FR"/>
        </w:rPr>
        <w:t>Communication et sensibilisation</w:t>
      </w:r>
    </w:p>
    <w:p w14:paraId="69997B2A" w14:textId="77777777" w:rsidR="007A60EC" w:rsidRPr="00653BF4" w:rsidRDefault="007A60EC" w:rsidP="007A60EC">
      <w:pPr>
        <w:rPr>
          <w:lang w:val="fr-FR"/>
        </w:rPr>
      </w:pPr>
    </w:p>
    <w:p w14:paraId="4016EE9F" w14:textId="77777777" w:rsidR="007A60EC" w:rsidRPr="00653BF4" w:rsidRDefault="007A60EC" w:rsidP="007A60EC">
      <w:pPr>
        <w:rPr>
          <w:lang w:val="fr-FR"/>
        </w:rPr>
      </w:pPr>
      <w:r w:rsidRPr="00653BF4">
        <w:rPr>
          <w:rFonts w:eastAsia="Times New Roman" w:cs="Times New Roman"/>
          <w:lang w:val="fr-FR"/>
        </w:rPr>
        <w:lastRenderedPageBreak/>
        <w:t xml:space="preserve">Selon les rapports, la communication sur la biodiversité n’atteint souvent ni les communautés rurales, ni les décideurs extérieurs au secteur de l’environnement, ni le grand public, et le public est insuffisamment sensibilisé aux liens entre biodiversité et changements climatiques. Les systèmes éducatifs font généralement une place insuffisante à la biodiversité et à la culture environnementale, bien que certaines Parties fassent état de progrès en la matière (voir plus loin). Les normes relatives à une consommation durable sont rarement intégrées dans les programmes scolaires ou les dispositifs d’information des consommateurs, et, d’après les rapports, l’étiquetage des produits relatif à la biodiversité, par exemple au moyen de systèmes de certification, est limité et peu reconnu. </w:t>
      </w:r>
      <w:r w:rsidRPr="00653BF4">
        <w:rPr>
          <w:lang w:val="fr-FR"/>
        </w:rPr>
        <w:t>Les Parties estiment en outre que les sciences participatives sont trop peu utilisées pour mobiliser le public</w:t>
      </w:r>
      <w:r w:rsidRPr="00653BF4">
        <w:rPr>
          <w:rFonts w:eastAsia="Times New Roman" w:cs="Times New Roman"/>
          <w:lang w:val="fr-FR"/>
        </w:rPr>
        <w:t xml:space="preserve">. </w:t>
      </w:r>
    </w:p>
    <w:p w14:paraId="4ACD26F9" w14:textId="77777777" w:rsidR="007A60EC" w:rsidRPr="00653BF4" w:rsidRDefault="007A60EC" w:rsidP="007A60EC">
      <w:pPr>
        <w:pStyle w:val="Heading5"/>
        <w:rPr>
          <w:lang w:val="fr-FR"/>
        </w:rPr>
      </w:pPr>
    </w:p>
    <w:p w14:paraId="3B5CF6CC" w14:textId="77777777" w:rsidR="007A60EC" w:rsidRPr="00653BF4" w:rsidRDefault="007A60EC" w:rsidP="007A60EC">
      <w:pPr>
        <w:pStyle w:val="Heading5"/>
        <w:rPr>
          <w:lang w:val="fr-FR"/>
        </w:rPr>
      </w:pPr>
      <w:r w:rsidRPr="00653BF4">
        <w:rPr>
          <w:lang w:val="fr-FR"/>
        </w:rPr>
        <w:t>Cadres juridiques et réglementaires</w:t>
      </w:r>
    </w:p>
    <w:p w14:paraId="7874CFDD" w14:textId="77777777" w:rsidR="007A60EC" w:rsidRPr="00653BF4" w:rsidRDefault="007A60EC" w:rsidP="007A60EC">
      <w:pPr>
        <w:rPr>
          <w:rFonts w:eastAsia="Times New Roman" w:cs="Times New Roman"/>
          <w:lang w:val="fr-FR"/>
        </w:rPr>
      </w:pPr>
    </w:p>
    <w:p w14:paraId="345756BC" w14:textId="77777777" w:rsidR="007A60EC" w:rsidRPr="00653BF4" w:rsidRDefault="007A60EC" w:rsidP="007A60EC">
      <w:pPr>
        <w:rPr>
          <w:lang w:val="fr-FR"/>
        </w:rPr>
      </w:pPr>
      <w:r w:rsidRPr="00653BF4">
        <w:rPr>
          <w:rFonts w:eastAsia="Times New Roman" w:cs="Times New Roman"/>
          <w:lang w:val="fr-FR"/>
        </w:rPr>
        <w:t>Les Parties recensent des besoins persistants concernant la mise en œuvre, le respect et l’application de la législation relative à la biodiversité. Ces besoins portent notamment sur un appui à l’actualisation de textes législatifs obsolètes (datant, dans certains cas, de plusieurs décennies), au renforcement des capacités d’application, au comblement de lacunes juridiques telles que l’absence de protection juridique propre aux défenseurs des droits de l’homme en matière d’environnement, ainsi qu’à la mise en conformité du droit national avec les obligations internationales découlant du Protocole de Nagoya, du Protocole de Cartagena sur la prévention des risques biotechnologiques et d’instruments connexes. Plusieurs Parties ont explicitement relevé que, si des droits et des cadres existent sur le papier, leur application concrète demeure inégale.</w:t>
      </w:r>
    </w:p>
    <w:p w14:paraId="15A7311B" w14:textId="77777777" w:rsidR="007A60EC" w:rsidRPr="00653BF4" w:rsidRDefault="007A60EC" w:rsidP="007A60EC">
      <w:pPr>
        <w:pStyle w:val="Heading5"/>
        <w:rPr>
          <w:lang w:val="fr-FR"/>
        </w:rPr>
      </w:pPr>
    </w:p>
    <w:p w14:paraId="4A13A53C" w14:textId="77777777" w:rsidR="007A60EC" w:rsidRPr="00653BF4" w:rsidRDefault="007A60EC" w:rsidP="007A60EC">
      <w:pPr>
        <w:pStyle w:val="Heading5"/>
        <w:rPr>
          <w:lang w:val="fr-FR"/>
        </w:rPr>
      </w:pPr>
      <w:r w:rsidRPr="00653BF4">
        <w:rPr>
          <w:lang w:val="fr-FR"/>
        </w:rPr>
        <w:t>Gouvernance et politiques environnementales</w:t>
      </w:r>
    </w:p>
    <w:p w14:paraId="6EB6D320" w14:textId="77777777" w:rsidR="007A60EC" w:rsidRPr="00653BF4" w:rsidRDefault="007A60EC" w:rsidP="007A60EC">
      <w:pPr>
        <w:rPr>
          <w:rFonts w:eastAsia="Times New Roman" w:cs="Times New Roman"/>
          <w:lang w:val="fr-FR"/>
        </w:rPr>
      </w:pPr>
    </w:p>
    <w:p w14:paraId="76CE54C7" w14:textId="77777777" w:rsidR="007A60EC" w:rsidRPr="00653BF4" w:rsidRDefault="007A60EC" w:rsidP="007A60EC">
      <w:pPr>
        <w:rPr>
          <w:rFonts w:eastAsia="Times New Roman" w:cs="Times New Roman"/>
          <w:lang w:val="fr-FR"/>
        </w:rPr>
      </w:pPr>
      <w:bookmarkStart w:id="497" w:name="_Toc235521198"/>
      <w:r w:rsidRPr="00653BF4">
        <w:rPr>
          <w:rFonts w:eastAsia="Times New Roman" w:cs="Times New Roman"/>
          <w:lang w:val="fr-FR"/>
        </w:rPr>
        <w:t>Les Parties ont recensé des besoins liés aux dispositifs institutionnels et aux processus d’intégration des politiques grâce auxquels la biodiversité peut être traitée de manière cohérente dans l’ensemble des administrations. La fragmentation de la gouvernance à plusieurs niveaux, mentionnée parmi les difficultés relatives à de nombreuses cibles, constitue un obstacle important à la mise en œuvre. Cet obstacle se traduit notamment par la fragmentation et l’incohérence des données entre entités territoriales, chacune pouvant recourir à des méthodes de collecte, des normes et des métadonnées différentes, ce qui complique l’établissement de rapports nationaux consolidés. Selon les rapports, le</w:t>
      </w:r>
      <w:r w:rsidRPr="00653BF4">
        <w:rPr>
          <w:lang w:val="fr-FR"/>
        </w:rPr>
        <w:t xml:space="preserve"> </w:t>
      </w:r>
      <w:r w:rsidRPr="00653BF4">
        <w:rPr>
          <w:lang w:val="fr-FR"/>
        </w:rPr>
        <w:lastRenderedPageBreak/>
        <w:t>manque de capacités se fait sentir en particulier au niveau infranational, où la responsabilité des décisions relatives à l’affectation des terres est la plus grande</w:t>
      </w:r>
      <w:r w:rsidRPr="00653BF4">
        <w:rPr>
          <w:rFonts w:eastAsia="Times New Roman" w:cs="Times New Roman"/>
          <w:lang w:val="fr-FR"/>
        </w:rPr>
        <w:t>.</w:t>
      </w:r>
    </w:p>
    <w:p w14:paraId="649754B2" w14:textId="77777777" w:rsidR="007A60EC" w:rsidRPr="00653BF4" w:rsidRDefault="007A60EC" w:rsidP="007A60EC">
      <w:pPr>
        <w:rPr>
          <w:lang w:val="fr-FR"/>
        </w:rPr>
      </w:pPr>
      <w:r w:rsidRPr="00653BF4">
        <w:rPr>
          <w:rFonts w:eastAsia="Times New Roman" w:cs="Times New Roman"/>
          <w:lang w:val="fr-FR"/>
        </w:rPr>
        <w:t>Pour ce qui est de la cohérence de la gouvernance, les besoins recensés portent notamment sur des mécanismes de coordination interministérielle, sur l’intégration de la biodiversité dans la planification nationale du développement et dans les stratégies sectorielles (en particulier dans les domaines des finances, de l’agriculture, de la foresterie, de l’eau, de l’adaptation aux changements climatiques et de l’affectation des terres) et, pour un nombre plus restreint de Parties, sur la mise en place ou le renforcement de structures de conseil scientifique reliant les sciences de la biodiversité aux politiques publiques.</w:t>
      </w:r>
    </w:p>
    <w:p w14:paraId="1C991AFD" w14:textId="77777777" w:rsidR="007A60EC" w:rsidRPr="00653BF4" w:rsidRDefault="007A60EC" w:rsidP="007A60EC">
      <w:pPr>
        <w:pStyle w:val="Heading4"/>
        <w:rPr>
          <w:rFonts w:eastAsia="Times New Roman"/>
          <w:lang w:val="fr-FR"/>
        </w:rPr>
      </w:pPr>
    </w:p>
    <w:p w14:paraId="38AD2C16" w14:textId="77DCAC4B" w:rsidR="007A60EC" w:rsidRPr="00653BF4" w:rsidRDefault="007A60EC" w:rsidP="007A60EC">
      <w:pPr>
        <w:pStyle w:val="Heading4"/>
        <w:rPr>
          <w:color w:val="auto"/>
          <w:lang w:val="fr-FR"/>
        </w:rPr>
      </w:pPr>
      <w:bookmarkStart w:id="498" w:name="_Toc242801267"/>
      <w:bookmarkEnd w:id="497"/>
      <w:r w:rsidRPr="00653BF4">
        <w:rPr>
          <w:lang w:val="fr-FR"/>
        </w:rPr>
        <w:t>Coopération technique et scientifique</w:t>
      </w:r>
      <w:bookmarkEnd w:id="498"/>
    </w:p>
    <w:p w14:paraId="6681091A" w14:textId="77777777" w:rsidR="007A60EC" w:rsidRPr="00653BF4" w:rsidRDefault="007A60EC" w:rsidP="007A60EC">
      <w:pPr>
        <w:rPr>
          <w:rFonts w:eastAsia="Times New Roman" w:cs="Times New Roman"/>
          <w:lang w:val="fr-FR"/>
        </w:rPr>
      </w:pPr>
    </w:p>
    <w:p w14:paraId="7F4724BA" w14:textId="27F69EC7" w:rsidR="007A60EC" w:rsidRPr="00653BF4" w:rsidRDefault="007A60EC" w:rsidP="007A60EC">
      <w:pPr>
        <w:rPr>
          <w:lang w:val="fr-FR"/>
        </w:rPr>
      </w:pPr>
      <w:r w:rsidRPr="00653BF4">
        <w:rPr>
          <w:rFonts w:eastAsia="Times New Roman" w:cs="Times New Roman"/>
          <w:lang w:val="fr-FR"/>
        </w:rPr>
        <w:t>Les rapports nationaux indiquent que la coopération technique et scientifique nécessaire à la mise en œuvre du Cadre est limitée par des lacunes dans les domaines suivants</w:t>
      </w:r>
      <w:r w:rsidR="00E34DC9">
        <w:rPr>
          <w:rFonts w:eastAsia="Times New Roman" w:cs="Times New Roman"/>
          <w:lang w:val="fr-FR"/>
        </w:rPr>
        <w:t> :</w:t>
      </w:r>
      <w:r w:rsidRPr="00653BF4">
        <w:rPr>
          <w:rFonts w:eastAsia="Times New Roman" w:cs="Times New Roman"/>
          <w:lang w:val="fr-FR"/>
        </w:rPr>
        <w:t xml:space="preserve"> la recherche scientifique</w:t>
      </w:r>
      <w:r w:rsidR="00E34DC9">
        <w:rPr>
          <w:rFonts w:eastAsia="Times New Roman" w:cs="Times New Roman"/>
          <w:lang w:val="fr-FR"/>
        </w:rPr>
        <w:t> ;</w:t>
      </w:r>
      <w:r w:rsidRPr="00653BF4">
        <w:rPr>
          <w:rFonts w:eastAsia="Times New Roman" w:cs="Times New Roman"/>
          <w:lang w:val="fr-FR"/>
        </w:rPr>
        <w:t xml:space="preserve"> les systèmes de données et d’information par lesquels les connaissances scientifiques sont mises à la disposition des décideurs</w:t>
      </w:r>
      <w:r w:rsidR="00E34DC9">
        <w:rPr>
          <w:rFonts w:eastAsia="Times New Roman" w:cs="Times New Roman"/>
          <w:lang w:val="fr-FR"/>
        </w:rPr>
        <w:t> ;</w:t>
      </w:r>
      <w:r w:rsidRPr="00653BF4">
        <w:rPr>
          <w:rFonts w:eastAsia="Times New Roman" w:cs="Times New Roman"/>
          <w:lang w:val="fr-FR"/>
        </w:rPr>
        <w:t xml:space="preserve"> la coopération entre acteurs nationaux et locaux</w:t>
      </w:r>
      <w:r w:rsidR="00E34DC9">
        <w:rPr>
          <w:rFonts w:eastAsia="Times New Roman" w:cs="Times New Roman"/>
          <w:lang w:val="fr-FR"/>
        </w:rPr>
        <w:t> ;</w:t>
      </w:r>
      <w:r w:rsidRPr="00653BF4">
        <w:rPr>
          <w:rFonts w:eastAsia="Times New Roman" w:cs="Times New Roman"/>
          <w:lang w:val="fr-FR"/>
        </w:rPr>
        <w:t xml:space="preserve"> et la coopération internationale et le transfert de connaissances.</w:t>
      </w:r>
    </w:p>
    <w:p w14:paraId="6758DE31" w14:textId="77777777" w:rsidR="007A60EC" w:rsidRPr="00653BF4" w:rsidRDefault="007A60EC" w:rsidP="007A60EC">
      <w:pPr>
        <w:pStyle w:val="Heading5"/>
        <w:rPr>
          <w:lang w:val="fr-FR"/>
        </w:rPr>
      </w:pPr>
    </w:p>
    <w:p w14:paraId="5750E9EC" w14:textId="77777777" w:rsidR="007A60EC" w:rsidRPr="00653BF4" w:rsidRDefault="007A60EC" w:rsidP="007A60EC">
      <w:pPr>
        <w:pStyle w:val="Heading5"/>
        <w:rPr>
          <w:lang w:val="fr-FR"/>
        </w:rPr>
      </w:pPr>
      <w:r w:rsidRPr="00653BF4">
        <w:rPr>
          <w:lang w:val="fr-FR"/>
        </w:rPr>
        <w:t>Recherche scientifique</w:t>
      </w:r>
    </w:p>
    <w:p w14:paraId="562AE0B2" w14:textId="77777777" w:rsidR="007A60EC" w:rsidRPr="00653BF4" w:rsidRDefault="007A60EC" w:rsidP="007A60EC">
      <w:pPr>
        <w:rPr>
          <w:lang w:val="fr-FR"/>
        </w:rPr>
      </w:pPr>
    </w:p>
    <w:p w14:paraId="45FADDF6" w14:textId="77777777" w:rsidR="007A60EC" w:rsidRPr="00653BF4" w:rsidRDefault="007A60EC" w:rsidP="007A60EC">
      <w:pPr>
        <w:rPr>
          <w:lang w:val="fr-FR"/>
        </w:rPr>
      </w:pPr>
      <w:r w:rsidRPr="00653BF4">
        <w:rPr>
          <w:lang w:val="fr-FR"/>
        </w:rPr>
        <w:t xml:space="preserve">Selon les rapports, les effectifs de recherche disponibles dans le domaine de la biodiversité sont nettement inférieurs à ce qu’exige la mise en œuvre du Cadre au niveau national. Les rapports indiquent en outre que la recherche sur la biodiversité est souvent insuffisamment reliée aux domaines connexes, ce qui nuit à la coordination des interventions. Les Parties notent, en particulier, que les sciences sociales, y compris l’économie, ne sont pas encore pleinement intégrées à la recherche sur la biodiversité ni au suivi des SPANB et des cibles nationales. Les rapports font fréquemment état du cloisonnement de la recherche sur les changements climatiques et la biodiversité, les mécanismes permettant de traduire les données probantes transdisciplinaires en politiques publiques demeurant limités. Des lacunes semblables sont mentionnées dans le domaine de la biodiversité marine, où la recherche scientifique n’est pas toujours suffisamment liée à la gestion des pêches ou à la gouvernance des océans. Les Parties soulignent par ailleurs la nécessité de renforcer la coopération intersectorielle concernant </w:t>
      </w:r>
      <w:r w:rsidRPr="00653BF4">
        <w:rPr>
          <w:lang w:val="fr-FR"/>
        </w:rPr>
        <w:lastRenderedPageBreak/>
        <w:t>les maladies zoonotiques, les conflits entre l’homme et la faune et la prévention des risques biotechnologiques.</w:t>
      </w:r>
    </w:p>
    <w:p w14:paraId="44220347" w14:textId="77777777" w:rsidR="007A60EC" w:rsidRPr="00653BF4" w:rsidRDefault="007A60EC" w:rsidP="007A60EC">
      <w:pPr>
        <w:pStyle w:val="Heading5"/>
        <w:rPr>
          <w:lang w:val="fr-FR"/>
        </w:rPr>
      </w:pPr>
    </w:p>
    <w:p w14:paraId="67E49D9F" w14:textId="77777777" w:rsidR="007A60EC" w:rsidRPr="00653BF4" w:rsidRDefault="007A60EC" w:rsidP="007A60EC">
      <w:pPr>
        <w:pStyle w:val="Heading5"/>
        <w:rPr>
          <w:lang w:val="fr-FR"/>
        </w:rPr>
      </w:pPr>
      <w:r w:rsidRPr="00653BF4">
        <w:rPr>
          <w:lang w:val="fr-FR"/>
        </w:rPr>
        <w:t>Information et données</w:t>
      </w:r>
    </w:p>
    <w:p w14:paraId="487FCD01" w14:textId="77777777" w:rsidR="007A60EC" w:rsidRPr="00653BF4" w:rsidRDefault="007A60EC" w:rsidP="007A60EC">
      <w:pPr>
        <w:rPr>
          <w:rFonts w:eastAsia="Times New Roman" w:cs="Times New Roman"/>
          <w:lang w:val="fr-FR"/>
        </w:rPr>
      </w:pPr>
    </w:p>
    <w:p w14:paraId="69E87CF2" w14:textId="77777777" w:rsidR="007A60EC" w:rsidRPr="00653BF4" w:rsidRDefault="007A60EC" w:rsidP="007A60EC">
      <w:pPr>
        <w:rPr>
          <w:rFonts w:eastAsia="Times New Roman" w:cs="Times New Roman"/>
          <w:lang w:val="fr-FR"/>
        </w:rPr>
      </w:pPr>
      <w:r w:rsidRPr="00653BF4">
        <w:rPr>
          <w:rFonts w:eastAsia="Times New Roman" w:cs="Times New Roman"/>
          <w:lang w:val="fr-FR"/>
        </w:rPr>
        <w:t>L’un des besoins les plus souvent mentionnés par les Parties concerne l’absence de jeux de données nationaux ou harmonisés propres à alimenter les indicateurs phares du Cadre. Plusieurs Parties indiquent que l’établissement de rapports rigoureux sur les indicateurs phares représente une charge technique et financière importante. Cette difficulté a une dimension structurelle, car les données requises pour les indicateurs phares du Cadre ne sont souvent pas de celles que les systèmes statistiques nationaux collectent habituellement. Plusieurs Parties précisent donc que la collecte de données sur la biodiversité continue de dépendre du financement des donateurs au lieu de relever d’un engagement national permanent.</w:t>
      </w:r>
    </w:p>
    <w:p w14:paraId="170E4B19" w14:textId="77777777" w:rsidR="007A60EC" w:rsidRPr="00653BF4" w:rsidRDefault="007A60EC" w:rsidP="007A60EC">
      <w:pPr>
        <w:rPr>
          <w:rFonts w:eastAsia="Times New Roman" w:cs="Times New Roman"/>
          <w:lang w:val="fr-FR"/>
        </w:rPr>
      </w:pPr>
    </w:p>
    <w:p w14:paraId="1A63C93D" w14:textId="77777777" w:rsidR="007A60EC" w:rsidRPr="00653BF4" w:rsidRDefault="007A60EC" w:rsidP="007A60EC">
      <w:pPr>
        <w:rPr>
          <w:rFonts w:eastAsia="Times New Roman" w:cs="Times New Roman"/>
          <w:lang w:val="fr-FR"/>
        </w:rPr>
      </w:pPr>
      <w:r w:rsidRPr="00653BF4">
        <w:rPr>
          <w:rFonts w:eastAsia="Times New Roman" w:cs="Times New Roman"/>
          <w:lang w:val="fr-FR"/>
        </w:rPr>
        <w:t>Parmi les besoins recensés par les Parties en matière de données figurent un système de collecte de données sur la biodiversité ventilées par sexe et par âge, le renforcement de l’interopérabilité des bases de données et un système national unifié d’enregistrement des données sur la biodiversité, commun aux différentes institutions et plateformes. D’après les rapports, l’agrégation des données infranationales au niveau national manque de cohérence. Les Parties indiquent qu’elles ne disposent pas de données de référence permettant d’évaluer les progrès accomplis, par exemple en ce qui concerne la couverture corallienne, l’étendue et l’état des zones dégradées, et le gaspillage alimentaire. D’après plusieurs Parties, les données de référence relatives aux milieux marins et côtiers, en particulier, n’ont été établies que récemment ou sont encore en cours d’élaboration.</w:t>
      </w:r>
    </w:p>
    <w:p w14:paraId="012BE3C2" w14:textId="77777777" w:rsidR="007A60EC" w:rsidRPr="00653BF4" w:rsidRDefault="007A60EC" w:rsidP="007A60EC">
      <w:pPr>
        <w:rPr>
          <w:lang w:val="fr-FR"/>
        </w:rPr>
      </w:pPr>
    </w:p>
    <w:p w14:paraId="0BCD3E9B" w14:textId="77777777" w:rsidR="007A60EC" w:rsidRPr="00653BF4" w:rsidRDefault="007A60EC" w:rsidP="007A60EC">
      <w:pPr>
        <w:rPr>
          <w:lang w:val="fr-FR"/>
        </w:rPr>
      </w:pPr>
    </w:p>
    <w:p w14:paraId="5BE76B78" w14:textId="77777777" w:rsidR="007A60EC" w:rsidRPr="00653BF4" w:rsidRDefault="007A60EC" w:rsidP="007A60EC">
      <w:pPr>
        <w:pStyle w:val="Heading5"/>
        <w:rPr>
          <w:lang w:val="fr-FR"/>
        </w:rPr>
      </w:pPr>
      <w:r w:rsidRPr="00653BF4">
        <w:rPr>
          <w:lang w:val="fr-FR"/>
        </w:rPr>
        <w:t>Coopération internationale et transfert de connaissances</w:t>
      </w:r>
    </w:p>
    <w:p w14:paraId="5812B18C" w14:textId="77777777" w:rsidR="007A60EC" w:rsidRPr="00653BF4" w:rsidRDefault="007A60EC" w:rsidP="007A60EC">
      <w:pPr>
        <w:rPr>
          <w:lang w:val="fr-FR"/>
        </w:rPr>
      </w:pPr>
    </w:p>
    <w:p w14:paraId="60322D03" w14:textId="44DFEE66" w:rsidR="007A60EC" w:rsidRPr="00653BF4" w:rsidRDefault="007A60EC" w:rsidP="007A60EC">
      <w:pPr>
        <w:rPr>
          <w:rFonts w:eastAsia="Times New Roman" w:cs="Times New Roman"/>
          <w:lang w:val="fr-FR"/>
        </w:rPr>
      </w:pPr>
      <w:r w:rsidRPr="00653BF4">
        <w:rPr>
          <w:rFonts w:eastAsia="Times New Roman" w:cs="Times New Roman"/>
          <w:lang w:val="fr-FR"/>
        </w:rPr>
        <w:t xml:space="preserve">Dans le domaine de la coopération internationale et du transfert de connaissances, certaines Parties font état de liens opérationnels ténus entre le secrétariat de la Convention et d’autres organes internationaux. Les Parties estiment que les synergies entre les conventions de Rio sont sous-exploitées (voir la </w:t>
      </w:r>
      <w:r w:rsidR="002878D7">
        <w:rPr>
          <w:rFonts w:eastAsia="Times New Roman" w:cs="Times New Roman"/>
          <w:lang w:val="fr-FR"/>
        </w:rPr>
        <w:t>section I</w:t>
      </w:r>
      <w:r w:rsidRPr="00653BF4">
        <w:rPr>
          <w:rFonts w:eastAsia="Times New Roman" w:cs="Times New Roman"/>
          <w:lang w:val="fr-FR"/>
        </w:rPr>
        <w:t xml:space="preserve">I.E ci-dessous). Elles jugent par ailleurs la coopération transfrontière à la fois essentielle et insuffisamment </w:t>
      </w:r>
      <w:r w:rsidRPr="00653BF4">
        <w:rPr>
          <w:rFonts w:eastAsia="Times New Roman" w:cs="Times New Roman"/>
          <w:lang w:val="fr-FR"/>
        </w:rPr>
        <w:lastRenderedPageBreak/>
        <w:t>développée, notamment en ce qui concerne les déplacements d’espèces exotiques envahissantes d’un pays à l’autre, les eaux transfrontières partagées, les espèces migratrices et la mise en œuvre, au titre du Protocole de Cartagena, des cadres de prévention des risques biotechnologiques applicables aux mouvements transfrontières d’organismes vivants modifiés.</w:t>
      </w:r>
    </w:p>
    <w:p w14:paraId="7FF5AE2B" w14:textId="77777777" w:rsidR="007A60EC" w:rsidRPr="00653BF4" w:rsidRDefault="007A60EC" w:rsidP="007A60EC">
      <w:pPr>
        <w:rPr>
          <w:lang w:val="fr-FR"/>
        </w:rPr>
      </w:pPr>
    </w:p>
    <w:p w14:paraId="0F279EE9" w14:textId="77777777" w:rsidR="007A60EC" w:rsidRPr="00653BF4" w:rsidRDefault="007A60EC" w:rsidP="007A60EC">
      <w:pPr>
        <w:pStyle w:val="Heading5"/>
        <w:rPr>
          <w:lang w:val="fr-FR"/>
        </w:rPr>
      </w:pPr>
      <w:r w:rsidRPr="00653BF4">
        <w:rPr>
          <w:lang w:val="fr-FR"/>
        </w:rPr>
        <w:t>Coopération nationale et locale et transfert de connaissances</w:t>
      </w:r>
    </w:p>
    <w:p w14:paraId="7E080AB6" w14:textId="77777777" w:rsidR="007A60EC" w:rsidRPr="00653BF4" w:rsidRDefault="007A60EC" w:rsidP="007A60EC">
      <w:pPr>
        <w:rPr>
          <w:lang w:val="fr-FR"/>
        </w:rPr>
      </w:pPr>
    </w:p>
    <w:p w14:paraId="158FDF8E" w14:textId="77777777" w:rsidR="007A60EC" w:rsidRPr="00653BF4" w:rsidRDefault="007A60EC" w:rsidP="007A60EC">
      <w:pPr>
        <w:rPr>
          <w:rFonts w:eastAsia="Times New Roman" w:cs="Times New Roman"/>
          <w:lang w:val="fr-FR"/>
        </w:rPr>
      </w:pPr>
      <w:r w:rsidRPr="00653BF4">
        <w:rPr>
          <w:rFonts w:eastAsia="Times New Roman" w:cs="Times New Roman"/>
          <w:lang w:val="fr-FR"/>
        </w:rPr>
        <w:t>Les Parties indiquent que les données infranationales sur la biodiversité ne sont pas agrégées de manière systématique aux fins de l’établissement des rapports nationaux. La coordination entre organismes fédéraux, régionaux et locaux est jugée insuffisante pour assurer une gouvernance de la biodiversité s’étendant à plusieurs entités territoriales. Les principales difficultés recensées sont la faiblesse de la coordination interinstitutionnelle, l’absence de financement durable pour l’entretien des systèmes de données, la participation limitée des peuples autochtones et communautés locales et l’accès inégal aux technologies. Le partage de données entre les institutions de recherche et les ministères compétents serait entravé par le cloisonnement institutionnel et, dans certains cas, par des obstacles financiers.</w:t>
      </w:r>
    </w:p>
    <w:p w14:paraId="4B8012BE" w14:textId="77777777" w:rsidR="007A60EC" w:rsidRPr="00653BF4" w:rsidRDefault="007A60EC" w:rsidP="007A60EC">
      <w:pPr>
        <w:rPr>
          <w:lang w:val="fr-FR"/>
        </w:rPr>
      </w:pPr>
    </w:p>
    <w:p w14:paraId="0B5BD9CB" w14:textId="7D310F9C" w:rsidR="007A60EC" w:rsidRPr="00653BF4" w:rsidRDefault="007A60EC" w:rsidP="007A60EC">
      <w:pPr>
        <w:pStyle w:val="Heading4"/>
        <w:rPr>
          <w:rFonts w:eastAsia="Times New Roman"/>
          <w:lang w:val="fr-FR"/>
        </w:rPr>
      </w:pPr>
      <w:bookmarkStart w:id="499" w:name="_Toc242801268"/>
      <w:r w:rsidRPr="00653BF4">
        <w:rPr>
          <w:rFonts w:eastAsia="Times New Roman"/>
          <w:lang w:val="fr-FR"/>
        </w:rPr>
        <w:t>Accès aux technologies et transfert de technologies</w:t>
      </w:r>
      <w:bookmarkEnd w:id="499"/>
    </w:p>
    <w:p w14:paraId="5DBF0142" w14:textId="77777777" w:rsidR="007A60EC" w:rsidRPr="00653BF4" w:rsidRDefault="007A60EC" w:rsidP="007A60EC">
      <w:pPr>
        <w:rPr>
          <w:lang w:val="fr-FR"/>
        </w:rPr>
      </w:pPr>
    </w:p>
    <w:p w14:paraId="03A029E1" w14:textId="77777777" w:rsidR="007A60EC" w:rsidRPr="00653BF4" w:rsidRDefault="007A60EC" w:rsidP="007A60EC">
      <w:pPr>
        <w:pStyle w:val="Heading5"/>
        <w:rPr>
          <w:lang w:val="fr-FR"/>
        </w:rPr>
      </w:pPr>
      <w:r w:rsidRPr="00653BF4">
        <w:rPr>
          <w:lang w:val="fr-FR"/>
        </w:rPr>
        <w:t>Suivi et surveillance</w:t>
      </w:r>
    </w:p>
    <w:p w14:paraId="32735B9B" w14:textId="77777777" w:rsidR="007A60EC" w:rsidRPr="00653BF4" w:rsidRDefault="007A60EC" w:rsidP="007A60EC">
      <w:pPr>
        <w:rPr>
          <w:rFonts w:eastAsia="Times New Roman" w:cs="Times New Roman"/>
          <w:lang w:val="fr-FR"/>
        </w:rPr>
      </w:pPr>
    </w:p>
    <w:p w14:paraId="0E8E0C00" w14:textId="77777777" w:rsidR="007A60EC" w:rsidRPr="00653BF4" w:rsidRDefault="007A60EC" w:rsidP="007A60EC">
      <w:pPr>
        <w:rPr>
          <w:lang w:val="fr-FR"/>
        </w:rPr>
      </w:pPr>
      <w:r w:rsidRPr="00653BF4">
        <w:rPr>
          <w:rFonts w:eastAsia="Times New Roman" w:cs="Times New Roman"/>
          <w:lang w:val="fr-FR"/>
        </w:rPr>
        <w:t>De nombreuses Parties indiquent que, lorsque des systèmes de suivi existent, ils manquent de ressources, sont peu fonctionnels et ne couvrent pas l’ensemble du territoire. Les besoins technologiques recensés par les Parties comprennent les SIG, la télédétection, l’analyse assistée par intelligence artificielle et les plateformes numériques intégrées. Dans les Parties touchées par un conflit ou par une situation de fragilité institutionnelle, le suivi est en outre limité par l’inaccessibilité physique des zones de biodiversité, la perte de personnel technique formé et la fragmentation des registres administratifs.</w:t>
      </w:r>
    </w:p>
    <w:p w14:paraId="7A6F026F" w14:textId="77777777" w:rsidR="007A60EC" w:rsidRPr="00653BF4" w:rsidRDefault="007A60EC" w:rsidP="007A60EC">
      <w:pPr>
        <w:pStyle w:val="Heading5"/>
        <w:rPr>
          <w:lang w:val="fr-FR"/>
        </w:rPr>
      </w:pPr>
    </w:p>
    <w:p w14:paraId="0FBD6380" w14:textId="77777777" w:rsidR="007A60EC" w:rsidRPr="00653BF4" w:rsidRDefault="007A60EC" w:rsidP="007A60EC">
      <w:pPr>
        <w:pStyle w:val="Heading5"/>
        <w:rPr>
          <w:lang w:val="fr-FR"/>
        </w:rPr>
      </w:pPr>
      <w:r w:rsidRPr="00653BF4">
        <w:rPr>
          <w:lang w:val="fr-FR"/>
        </w:rPr>
        <w:t>Autres technologies et infrastructures</w:t>
      </w:r>
    </w:p>
    <w:p w14:paraId="6F9ECCAF" w14:textId="77777777" w:rsidR="007A60EC" w:rsidRPr="00653BF4" w:rsidRDefault="007A60EC" w:rsidP="007A60EC">
      <w:pPr>
        <w:rPr>
          <w:rFonts w:eastAsia="Times New Roman" w:cs="Times New Roman"/>
          <w:lang w:val="fr-FR"/>
        </w:rPr>
      </w:pPr>
    </w:p>
    <w:p w14:paraId="3A1F55B4" w14:textId="77777777" w:rsidR="007A60EC" w:rsidRPr="00653BF4" w:rsidRDefault="007A60EC" w:rsidP="007A60EC">
      <w:pPr>
        <w:rPr>
          <w:rFonts w:eastAsia="Times New Roman" w:cs="Times New Roman"/>
          <w:lang w:val="fr-FR"/>
        </w:rPr>
      </w:pPr>
      <w:r w:rsidRPr="00653BF4">
        <w:rPr>
          <w:rFonts w:eastAsia="Times New Roman" w:cs="Times New Roman"/>
          <w:lang w:val="fr-FR"/>
        </w:rPr>
        <w:t>Les rapports nationaux font état d’une infrastructure numérique insuffisante pour la gestion et le partage des données sur la biodiversité. Dans certaines Parties, aucun système national d’information sur la biodiversité n’a encore été mis en place et des ajustements budgétaires auraient parfois limité la modernisation des plateformes numériques et la supervision sur le terrain. En outre, selon les rapports, le transfert de technologies des pays développés vers les pays en développement nécessite un soutien structurel plus solide et un appui financier prévisible.</w:t>
      </w:r>
    </w:p>
    <w:p w14:paraId="5F27A53E" w14:textId="77777777" w:rsidR="007A60EC" w:rsidRPr="00653BF4" w:rsidRDefault="007A60EC" w:rsidP="007A60EC">
      <w:pPr>
        <w:rPr>
          <w:rFonts w:eastAsia="Times New Roman" w:cs="Times New Roman"/>
          <w:lang w:val="fr-FR"/>
        </w:rPr>
      </w:pPr>
      <w:r w:rsidRPr="00653BF4">
        <w:rPr>
          <w:rFonts w:eastAsia="Times New Roman" w:cs="Times New Roman"/>
          <w:lang w:val="fr-FR"/>
        </w:rPr>
        <w:t>Plusieurs Parties indiquent que leurs banques de gènes, leurs banques de semences et leurs laboratoires sont peu développés ou en déclin. Selon plusieurs Parties, la capacité de contrôle des organismes vivants modifiés aux fins de la prévention des risques biotechnologiques doit être renforcée, notamment en ce qui concerne les procédures d’évaluation des risques, les capacités des services frontaliers et douaniers à détecter les mouvements transfrontières d’organismes vivants modifiés, ainsi que la formation du personnel chargé de la réglementation.</w:t>
      </w:r>
    </w:p>
    <w:p w14:paraId="0EFB26F9" w14:textId="77777777" w:rsidR="007A60EC" w:rsidRPr="00653BF4" w:rsidRDefault="007A60EC" w:rsidP="007A60EC">
      <w:pPr>
        <w:rPr>
          <w:rFonts w:eastAsia="Times New Roman" w:cs="Times New Roman"/>
          <w:lang w:val="fr-FR"/>
        </w:rPr>
      </w:pPr>
      <w:r w:rsidRPr="00653BF4">
        <w:rPr>
          <w:rFonts w:eastAsia="Times New Roman" w:cs="Times New Roman"/>
          <w:lang w:val="fr-FR"/>
        </w:rPr>
        <w:t>Il ressort des rapports que, dans plusieurs régions reculées et insulaires, l’accès aux services numériques de base est limité dans les zones rurales et pour les peuples autochtones et communautés locales, ce qui freine le recours aux technologies pour mettre en œuvre le Cadre.</w:t>
      </w:r>
    </w:p>
    <w:p w14:paraId="5412E411" w14:textId="77777777" w:rsidR="007A60EC" w:rsidRPr="00653BF4" w:rsidRDefault="007A60EC" w:rsidP="007A60EC">
      <w:pPr>
        <w:rPr>
          <w:lang w:val="fr-FR"/>
        </w:rPr>
      </w:pPr>
    </w:p>
    <w:p w14:paraId="73C43032" w14:textId="0EDC6446" w:rsidR="007A60EC" w:rsidRPr="00653BF4" w:rsidRDefault="007A60EC" w:rsidP="007A60EC">
      <w:pPr>
        <w:pStyle w:val="Heading4"/>
        <w:rPr>
          <w:color w:val="auto"/>
          <w:lang w:val="fr-FR"/>
        </w:rPr>
      </w:pPr>
      <w:bookmarkStart w:id="500" w:name="_Toc242801269"/>
      <w:r w:rsidRPr="00653BF4">
        <w:rPr>
          <w:rFonts w:eastAsia="Times New Roman"/>
          <w:lang w:val="fr-FR"/>
        </w:rPr>
        <w:t>Aperçu des besoins relatifs aux moyens de mise en œuvre</w:t>
      </w:r>
      <w:bookmarkEnd w:id="500"/>
    </w:p>
    <w:p w14:paraId="4879EE11" w14:textId="77777777" w:rsidR="007A60EC" w:rsidRPr="00653BF4" w:rsidRDefault="007A60EC" w:rsidP="007A60EC">
      <w:pPr>
        <w:rPr>
          <w:lang w:val="fr-FR"/>
        </w:rPr>
      </w:pPr>
    </w:p>
    <w:p w14:paraId="08AEDE6B" w14:textId="3893F11B" w:rsidR="007A60EC" w:rsidRPr="00653BF4" w:rsidRDefault="007A60EC" w:rsidP="007A60EC">
      <w:pPr>
        <w:rPr>
          <w:lang w:val="fr-FR"/>
        </w:rPr>
      </w:pPr>
      <w:r w:rsidRPr="00653BF4">
        <w:rPr>
          <w:lang w:val="fr-FR"/>
        </w:rPr>
        <w:t>Cinq contraintes reviennent systématiquement dans les besoins recensés ci-dessus</w:t>
      </w:r>
      <w:r w:rsidR="00E34DC9">
        <w:rPr>
          <w:lang w:val="fr-FR"/>
        </w:rPr>
        <w:t> :</w:t>
      </w:r>
      <w:r w:rsidRPr="00653BF4">
        <w:rPr>
          <w:lang w:val="fr-FR"/>
        </w:rPr>
        <w:t xml:space="preserve"> un financement insuffisant</w:t>
      </w:r>
      <w:r w:rsidR="00E34DC9">
        <w:rPr>
          <w:lang w:val="fr-FR"/>
        </w:rPr>
        <w:t> ;</w:t>
      </w:r>
      <w:r w:rsidRPr="00653BF4">
        <w:rPr>
          <w:lang w:val="fr-FR"/>
        </w:rPr>
        <w:t xml:space="preserve"> des capacités institutionnelles et humaines insuffisantes</w:t>
      </w:r>
      <w:r w:rsidR="00E34DC9">
        <w:rPr>
          <w:lang w:val="fr-FR"/>
        </w:rPr>
        <w:t> ;</w:t>
      </w:r>
      <w:r w:rsidRPr="00653BF4">
        <w:rPr>
          <w:lang w:val="fr-FR"/>
        </w:rPr>
        <w:t xml:space="preserve"> une gouvernance et une coordination fragmentées</w:t>
      </w:r>
      <w:r w:rsidR="00E34DC9">
        <w:rPr>
          <w:lang w:val="fr-FR"/>
        </w:rPr>
        <w:t> ;</w:t>
      </w:r>
      <w:r w:rsidRPr="00653BF4">
        <w:rPr>
          <w:lang w:val="fr-FR"/>
        </w:rPr>
        <w:t xml:space="preserve"> des systèmes de suivi et de données fragiles</w:t>
      </w:r>
      <w:r w:rsidR="00E34DC9">
        <w:rPr>
          <w:lang w:val="fr-FR"/>
        </w:rPr>
        <w:t> ;</w:t>
      </w:r>
      <w:r w:rsidRPr="00653BF4">
        <w:rPr>
          <w:lang w:val="fr-FR"/>
        </w:rPr>
        <w:t xml:space="preserve"> et des cadres juridiques incomplets ou non appliqués. Ces contraintes sont évoquées pour la quasi-totalité des cibles examinées et touchent les quatre composantes des moyens de mise en œuvre.</w:t>
      </w:r>
    </w:p>
    <w:p w14:paraId="379752FD" w14:textId="77777777" w:rsidR="007A60EC" w:rsidRPr="00653BF4" w:rsidRDefault="007A60EC" w:rsidP="007A60EC">
      <w:pPr>
        <w:rPr>
          <w:lang w:val="fr-FR"/>
        </w:rPr>
      </w:pPr>
      <w:r w:rsidRPr="00653BF4">
        <w:rPr>
          <w:lang w:val="fr-FR"/>
        </w:rPr>
        <w:t xml:space="preserve">En outre, ces contraintes sont interdépendantes. Le manque de financement peut freiner le renforcement des institutions, tandis que les faiblesses institutionnelles peuvent limiter l’accès des Parties au financement disponible. De même, des systèmes de suivi partiels affaiblissent le socle de données probantes nécessaire aux décisions des pouvoirs </w:t>
      </w:r>
      <w:r w:rsidRPr="00653BF4">
        <w:rPr>
          <w:lang w:val="fr-FR"/>
        </w:rPr>
        <w:lastRenderedPageBreak/>
        <w:t>publics. Des mesures isolées ont donc peu de chances de permettre une mise en œuvre à grande échelle. Un appui efficace à la mise en œuvre du Cadre suppose des interventions qui tiennent compte de ces interdépendances.</w:t>
      </w:r>
    </w:p>
    <w:p w14:paraId="43577C84" w14:textId="77777777" w:rsidR="007A60EC" w:rsidRPr="00653BF4" w:rsidRDefault="007A60EC" w:rsidP="007A60EC">
      <w:pPr>
        <w:pStyle w:val="Heading3"/>
        <w:rPr>
          <w:rFonts w:eastAsia="Times New Roman"/>
          <w:lang w:val="fr-FR"/>
        </w:rPr>
      </w:pPr>
    </w:p>
    <w:p w14:paraId="0E50AE2C" w14:textId="152FB2A2" w:rsidR="007A60EC" w:rsidRPr="00653BF4" w:rsidRDefault="007A60EC" w:rsidP="007A60EC">
      <w:pPr>
        <w:pStyle w:val="Heading3"/>
        <w:rPr>
          <w:color w:val="auto"/>
          <w:sz w:val="24"/>
          <w:szCs w:val="24"/>
          <w:lang w:val="fr-FR"/>
        </w:rPr>
      </w:pPr>
      <w:bookmarkStart w:id="501" w:name="_Toc242801270"/>
      <w:r w:rsidRPr="00653BF4">
        <w:rPr>
          <w:rFonts w:eastAsia="Times New Roman"/>
          <w:lang w:val="fr-FR"/>
        </w:rPr>
        <w:t>Analyse de la fourniture des moyens de mise en œuvre</w:t>
      </w:r>
      <w:bookmarkEnd w:id="501"/>
    </w:p>
    <w:p w14:paraId="483675C5" w14:textId="2F4AC742" w:rsidR="007A60EC" w:rsidRPr="00653BF4" w:rsidRDefault="007A60EC" w:rsidP="007A60EC">
      <w:pPr>
        <w:spacing w:before="240" w:after="240"/>
        <w:rPr>
          <w:rFonts w:eastAsia="Times New Roman" w:cs="Times New Roman"/>
          <w:lang w:val="fr-FR"/>
        </w:rPr>
      </w:pPr>
      <w:r w:rsidRPr="00653BF4">
        <w:rPr>
          <w:rFonts w:eastAsia="Times New Roman" w:cs="Times New Roman"/>
          <w:lang w:val="fr-FR"/>
        </w:rPr>
        <w:t>Dans le rapport mondial, l’analyse de la fourniture des moyens de mise en œuvre s’articule autour de leurs quatre composantes</w:t>
      </w:r>
      <w:r w:rsidR="00E34DC9">
        <w:rPr>
          <w:rFonts w:eastAsia="Times New Roman" w:cs="Times New Roman"/>
          <w:lang w:val="fr-FR"/>
        </w:rPr>
        <w:t> :</w:t>
      </w:r>
      <w:r w:rsidRPr="00653BF4">
        <w:rPr>
          <w:rFonts w:eastAsia="Times New Roman" w:cs="Times New Roman"/>
          <w:lang w:val="fr-FR"/>
        </w:rPr>
        <w:t xml:space="preserve"> les ressources financières</w:t>
      </w:r>
      <w:r w:rsidR="00E34DC9">
        <w:rPr>
          <w:rFonts w:eastAsia="Times New Roman" w:cs="Times New Roman"/>
          <w:lang w:val="fr-FR"/>
        </w:rPr>
        <w:t> ;</w:t>
      </w:r>
      <w:r w:rsidRPr="00653BF4">
        <w:rPr>
          <w:rFonts w:eastAsia="Times New Roman" w:cs="Times New Roman"/>
          <w:lang w:val="fr-FR"/>
        </w:rPr>
        <w:t xml:space="preserve"> les capacités</w:t>
      </w:r>
      <w:r w:rsidR="00E34DC9">
        <w:rPr>
          <w:rFonts w:eastAsia="Times New Roman" w:cs="Times New Roman"/>
          <w:lang w:val="fr-FR"/>
        </w:rPr>
        <w:t> ;</w:t>
      </w:r>
      <w:r w:rsidRPr="00653BF4">
        <w:rPr>
          <w:rFonts w:eastAsia="Times New Roman" w:cs="Times New Roman"/>
          <w:lang w:val="fr-FR"/>
        </w:rPr>
        <w:t xml:space="preserve"> la coopération technique et scientifique</w:t>
      </w:r>
      <w:r w:rsidR="00E34DC9">
        <w:rPr>
          <w:rFonts w:eastAsia="Times New Roman" w:cs="Times New Roman"/>
          <w:lang w:val="fr-FR"/>
        </w:rPr>
        <w:t> ;</w:t>
      </w:r>
      <w:r w:rsidRPr="00653BF4">
        <w:rPr>
          <w:rFonts w:eastAsia="Times New Roman" w:cs="Times New Roman"/>
          <w:lang w:val="fr-FR"/>
        </w:rPr>
        <w:t xml:space="preserve"> et l’accès aux technologies et leur transfert. L’hétérogénéité des rapports quant au degré d’approfondissement, au niveau de détail et à la méthode limite cette analyse.</w:t>
      </w:r>
    </w:p>
    <w:p w14:paraId="6C50F1B6" w14:textId="77777777" w:rsidR="007A60EC" w:rsidRPr="00653BF4" w:rsidRDefault="007A60EC" w:rsidP="007A60EC">
      <w:pPr>
        <w:pStyle w:val="Heading4"/>
        <w:rPr>
          <w:rFonts w:eastAsia="Times New Roman"/>
          <w:lang w:val="fr-FR"/>
        </w:rPr>
      </w:pPr>
    </w:p>
    <w:p w14:paraId="7855C993" w14:textId="4FA70AA7" w:rsidR="007A60EC" w:rsidRPr="00653BF4" w:rsidRDefault="007A60EC" w:rsidP="007A60EC">
      <w:pPr>
        <w:pStyle w:val="Heading4"/>
        <w:rPr>
          <w:rFonts w:eastAsia="Times New Roman"/>
          <w:lang w:val="fr-FR"/>
        </w:rPr>
      </w:pPr>
      <w:bookmarkStart w:id="502" w:name="_Toc242801271"/>
      <w:r w:rsidRPr="00653BF4">
        <w:rPr>
          <w:rFonts w:eastAsia="Times New Roman"/>
          <w:lang w:val="fr-FR"/>
        </w:rPr>
        <w:t>Ressources financières</w:t>
      </w:r>
      <w:bookmarkEnd w:id="502"/>
    </w:p>
    <w:p w14:paraId="0E23135A" w14:textId="77777777" w:rsidR="007A60EC" w:rsidRPr="00653BF4" w:rsidRDefault="007A60EC" w:rsidP="007A60EC">
      <w:pPr>
        <w:rPr>
          <w:lang w:val="fr-FR"/>
        </w:rPr>
      </w:pPr>
    </w:p>
    <w:p w14:paraId="72AA1C6A" w14:textId="6C702CA4" w:rsidR="007A60EC" w:rsidRPr="00653BF4" w:rsidRDefault="007A60EC" w:rsidP="007A60EC">
      <w:pPr>
        <w:spacing w:after="200"/>
        <w:rPr>
          <w:rFonts w:eastAsia="Times New Roman" w:cs="Times New Roman"/>
          <w:lang w:val="fr-FR"/>
        </w:rPr>
      </w:pPr>
      <w:r w:rsidRPr="00653BF4">
        <w:rPr>
          <w:rFonts w:eastAsia="Times New Roman" w:cs="Times New Roman"/>
          <w:lang w:val="fr-FR"/>
        </w:rPr>
        <w:t xml:space="preserve">Ces dernières années, la fourniture de ressources financières a suivi une tendance globale à la hausse. Cette tendance se reflète dans l’analyse de la </w:t>
      </w:r>
      <w:r w:rsidR="00E34DC9">
        <w:rPr>
          <w:rFonts w:eastAsia="Times New Roman" w:cs="Times New Roman"/>
          <w:lang w:val="fr-FR"/>
        </w:rPr>
        <w:t>cible 1</w:t>
      </w:r>
      <w:r w:rsidRPr="00653BF4">
        <w:rPr>
          <w:rFonts w:eastAsia="Times New Roman" w:cs="Times New Roman"/>
          <w:lang w:val="fr-FR"/>
        </w:rPr>
        <w:t>9 présentée ci-dessus, d’où il ressort que le financement tant international que national de la biodiversité a augmenté dans les Parties dont les rapports nationaux sont pris en considération dans le rapport mondial. Si cette évolution est encourageante, les données disponibles donnent à penser que de nouvelles augmentations, une meilleure prévisibilité et un accès plus efficace aux ressources seront nécessaires pour appuyer la pleine mise en œuvre du Cadre.</w:t>
      </w:r>
    </w:p>
    <w:p w14:paraId="0310FB9C" w14:textId="5151DE82" w:rsidR="007A60EC" w:rsidRPr="00653BF4" w:rsidRDefault="007A60EC" w:rsidP="007A60EC">
      <w:pPr>
        <w:spacing w:after="200"/>
        <w:rPr>
          <w:rFonts w:eastAsia="Times New Roman" w:cs="Times New Roman"/>
          <w:lang w:val="fr-FR"/>
        </w:rPr>
      </w:pPr>
      <w:r w:rsidRPr="00653BF4">
        <w:rPr>
          <w:rFonts w:eastAsia="Times New Roman" w:cs="Times New Roman"/>
          <w:lang w:val="fr-FR"/>
        </w:rPr>
        <w:t xml:space="preserve">La </w:t>
      </w:r>
      <w:r w:rsidR="00E34DC9">
        <w:rPr>
          <w:rFonts w:eastAsia="Times New Roman" w:cs="Times New Roman"/>
          <w:lang w:val="fr-FR"/>
        </w:rPr>
        <w:t>cible 1</w:t>
      </w:r>
      <w:r w:rsidRPr="00653BF4">
        <w:rPr>
          <w:rFonts w:eastAsia="Times New Roman" w:cs="Times New Roman"/>
          <w:lang w:val="fr-FR"/>
        </w:rPr>
        <w:t>9 a) du Cadre prévoit d’</w:t>
      </w:r>
      <w:r w:rsidR="00E34DC9">
        <w:rPr>
          <w:rFonts w:eastAsia="Times New Roman" w:cs="Times New Roman"/>
          <w:lang w:val="fr-FR"/>
        </w:rPr>
        <w:t xml:space="preserve">» </w:t>
      </w:r>
      <w:r w:rsidRPr="00653BF4">
        <w:rPr>
          <w:rFonts w:eastAsia="Times New Roman" w:cs="Times New Roman"/>
          <w:lang w:val="fr-FR"/>
        </w:rPr>
        <w:t>augmenter le montant total des ressources financières internationales liées à la biodiversité provenant des pays développés, y compris l’aide publique au développement, et des pays qui remplissent volontairement les engagements des pays développés Parties, en faveur des pays en développement, en particulier des pays les moins avancés et des petits États insulaires en développement, ainsi que des pays à économie en transition, pour le porter à au moins 20 milliards de dollars par an d’ici à 2025, et à au moins 30 milliards de dollars par an d’ici à 2030</w:t>
      </w:r>
      <w:r w:rsidR="00E34DC9">
        <w:rPr>
          <w:rFonts w:eastAsia="Times New Roman" w:cs="Times New Roman"/>
          <w:lang w:val="fr-FR"/>
        </w:rPr>
        <w:t> »</w:t>
      </w:r>
      <w:r w:rsidRPr="00653BF4">
        <w:rPr>
          <w:rFonts w:eastAsia="Times New Roman" w:cs="Times New Roman"/>
          <w:lang w:val="fr-FR"/>
        </w:rPr>
        <w:t xml:space="preserve"> (décision 15/4, CDB, 2023).</w:t>
      </w:r>
    </w:p>
    <w:p w14:paraId="3D912EC5" w14:textId="4724B56D" w:rsidR="007A60EC" w:rsidRPr="00653BF4" w:rsidRDefault="007A60EC" w:rsidP="007A60EC">
      <w:pPr>
        <w:spacing w:after="200"/>
        <w:rPr>
          <w:rFonts w:eastAsia="Times New Roman" w:cs="Times New Roman"/>
          <w:lang w:val="fr-FR"/>
        </w:rPr>
      </w:pPr>
      <w:r w:rsidRPr="00653BF4">
        <w:rPr>
          <w:rFonts w:eastAsia="Times New Roman" w:cs="Times New Roman"/>
          <w:lang w:val="fr-FR"/>
        </w:rPr>
        <w:t xml:space="preserve">Les Parties qui rendent compte au titre de l’indicateur phare D.1 (financement public international, y compris aide publique au développement pour la conservation et l’utilisation durable de la biodiversité et des écosystèmes), à savoir les pays développés Parties et les Parties ayant volontairement assumé ces obligations, ont communiqué un </w:t>
      </w:r>
      <w:r w:rsidRPr="00653BF4">
        <w:rPr>
          <w:rFonts w:eastAsia="Times New Roman" w:cs="Times New Roman"/>
          <w:lang w:val="fr-FR"/>
        </w:rPr>
        <w:lastRenderedPageBreak/>
        <w:t xml:space="preserve">montant cumulé de 17,7 milliards de dollars de financement public international entre 2020 et 2023, le total annuel communiqué ayant atteint son niveau le plus élevé en 2023, à 5,2 milliards de dollars. Ce chiffre </w:t>
      </w:r>
      <w:r w:rsidRPr="00653BF4">
        <w:rPr>
          <w:lang w:val="fr-FR"/>
        </w:rPr>
        <w:t>devrait</w:t>
      </w:r>
      <w:r w:rsidRPr="00653BF4">
        <w:rPr>
          <w:rFonts w:eastAsia="Times New Roman" w:cs="Times New Roman"/>
          <w:lang w:val="fr-FR"/>
        </w:rPr>
        <w:t xml:space="preserve"> être considéré comme un minimum, car il ne rend peut-être pas compte de l’ensemble des flux visés par la </w:t>
      </w:r>
      <w:r w:rsidR="00E34DC9">
        <w:rPr>
          <w:rFonts w:eastAsia="Times New Roman" w:cs="Times New Roman"/>
          <w:lang w:val="fr-FR"/>
        </w:rPr>
        <w:t>cible 1</w:t>
      </w:r>
      <w:r w:rsidRPr="00653BF4">
        <w:rPr>
          <w:rFonts w:eastAsia="Times New Roman" w:cs="Times New Roman"/>
          <w:lang w:val="fr-FR"/>
        </w:rPr>
        <w:t xml:space="preserve">9 a). L’Organisation de coopération et de développement économiques (OCDE), dont l’analyse couvre l’éventail plus large de flux visés à la </w:t>
      </w:r>
      <w:r w:rsidR="00E34DC9">
        <w:rPr>
          <w:rFonts w:eastAsia="Times New Roman" w:cs="Times New Roman"/>
          <w:lang w:val="fr-FR"/>
        </w:rPr>
        <w:t>cible 1</w:t>
      </w:r>
      <w:r w:rsidRPr="00653BF4">
        <w:rPr>
          <w:rFonts w:eastAsia="Times New Roman" w:cs="Times New Roman"/>
          <w:lang w:val="fr-FR"/>
        </w:rPr>
        <w:t xml:space="preserve">9 a), estime le financement international total de la biodiversité à environ 16,8 milliards de dollars en 2023. Ces deux estimations sont inférieures au jalon de 20 milliards de dollars fixé dans la </w:t>
      </w:r>
      <w:r w:rsidR="00E34DC9">
        <w:rPr>
          <w:rFonts w:eastAsia="Times New Roman" w:cs="Times New Roman"/>
          <w:lang w:val="fr-FR"/>
        </w:rPr>
        <w:t>cible 1</w:t>
      </w:r>
      <w:r w:rsidRPr="00653BF4">
        <w:rPr>
          <w:rFonts w:eastAsia="Times New Roman" w:cs="Times New Roman"/>
          <w:lang w:val="fr-FR"/>
        </w:rPr>
        <w:t xml:space="preserve">9. Un examen plus détaillé figure dans l’analyse de la </w:t>
      </w:r>
      <w:r w:rsidR="00E34DC9">
        <w:rPr>
          <w:rFonts w:eastAsia="Times New Roman" w:cs="Times New Roman"/>
          <w:lang w:val="fr-FR"/>
        </w:rPr>
        <w:t>cible 1</w:t>
      </w:r>
      <w:r w:rsidRPr="00653BF4">
        <w:rPr>
          <w:rFonts w:eastAsia="Times New Roman" w:cs="Times New Roman"/>
          <w:lang w:val="fr-FR"/>
        </w:rPr>
        <w:t>9 présentée ci-dessus. Si les données disponibles donnent à penser que le jalon de 2025 n’a probablement pas été atteint, une évaluation définitive ne sera possible qu’une fois que les données complètes pour 2024 et 2025 auront été communiquées</w:t>
      </w:r>
      <w:r w:rsidRPr="00653BF4">
        <w:rPr>
          <w:rStyle w:val="FootnoteReference"/>
          <w:rFonts w:eastAsia="Times New Roman" w:cs="Times New Roman"/>
          <w:lang w:val="fr-FR"/>
        </w:rPr>
        <w:footnoteReference w:id="46"/>
      </w:r>
      <w:r w:rsidRPr="00653BF4">
        <w:rPr>
          <w:lang w:val="fr-FR"/>
        </w:rPr>
        <w:t>.</w:t>
      </w:r>
    </w:p>
    <w:p w14:paraId="05BBFDA9" w14:textId="77777777" w:rsidR="007A60EC" w:rsidRPr="00653BF4" w:rsidRDefault="007A60EC" w:rsidP="007A60EC">
      <w:pPr>
        <w:rPr>
          <w:lang w:val="fr-FR"/>
        </w:rPr>
      </w:pPr>
      <w:r w:rsidRPr="00653BF4">
        <w:rPr>
          <w:lang w:val="fr-FR"/>
        </w:rPr>
        <w:t>Dans le droit fil des évaluations antérieures, le financement national demeure la principale source de fonds des Parties. Dans la plupart des pays en développement Parties dont les rapports nationaux sont pris en considération dans le rapport mondial, les dépenses relatives à la biodiversité dépendent des cycles budgétaires annuels ou de l’appui des donateurs par projet, et sont donc exposées aux changements de politique budgétaire, de priorités sectorielles ou de décisions de financement extérieur. Face à ces difficultés, les Parties font état d’un intérêt croissant pour des instruments susceptibles de diversifier les sources de financement et de réduire la dépendance à l’égard des dotations budgétaires annuelles ou de l’appui par projet. Parmi les instruments mentionnés par les Parties figurent le paiement pour services liés aux écosystèmes, les obligations vertes et bleues, la conversion de dettes en mesures en faveur de la nature et les crédits en matière de biodiversité.</w:t>
      </w:r>
    </w:p>
    <w:p w14:paraId="17FEE875" w14:textId="5A1DF77C" w:rsidR="007A60EC" w:rsidRPr="00653BF4" w:rsidRDefault="007A60EC" w:rsidP="007A60EC">
      <w:pPr>
        <w:spacing w:after="200"/>
        <w:rPr>
          <w:lang w:val="fr-FR"/>
        </w:rPr>
      </w:pPr>
      <w:r w:rsidRPr="00653BF4">
        <w:rPr>
          <w:lang w:val="fr-FR"/>
        </w:rPr>
        <w:t>L’accès au financement demeure inégal, tant à l’intérieur des pays qu’entre eux. Dans un certain nombre de cas, l’accessibilité des fonds constitue une difficulté de gouvernance interne</w:t>
      </w:r>
      <w:r w:rsidR="00E34DC9">
        <w:rPr>
          <w:lang w:val="fr-FR"/>
        </w:rPr>
        <w:t> :</w:t>
      </w:r>
      <w:r w:rsidRPr="00653BF4">
        <w:rPr>
          <w:lang w:val="fr-FR"/>
        </w:rPr>
        <w:t xml:space="preserve"> le financement n’atteint pas systématiquement les autorités infranationales, les peuples autochtones et communautés locales, ou les acteurs directement responsables de la gestion des zones protégées.</w:t>
      </w:r>
    </w:p>
    <w:p w14:paraId="29287C7D" w14:textId="77777777" w:rsidR="007A60EC" w:rsidRPr="00653BF4" w:rsidRDefault="007A60EC" w:rsidP="007A60EC">
      <w:pPr>
        <w:spacing w:after="200"/>
        <w:rPr>
          <w:lang w:val="fr-FR"/>
        </w:rPr>
      </w:pPr>
      <w:r w:rsidRPr="00653BF4">
        <w:rPr>
          <w:lang w:val="fr-FR"/>
        </w:rPr>
        <w:lastRenderedPageBreak/>
        <w:t>La tendance positive la plus constante est l’essor de la planification nationale du financement de la biodiversité, le plus souvent selon la méthode BIOFIN. Les évaluations des dépenses relatives à la biodiversité ainsi que des besoins et des déficits de financement constituent le fondement de la mobilisation des ressources. Ces processus améliorent la prévisibilité du cadre de planification, même lorsqu’ils n’ont pas encore amélioré celle des décaissements. Les progrès demeurent inégaux, les pays les moins avancés et les petits États insulaires en développement indiquant souvent que leurs systèmes de financement de la biodiversité, y compris l’établissement de rapports financiers, en sont encore à un stade initial.</w:t>
      </w:r>
    </w:p>
    <w:p w14:paraId="113C92CB" w14:textId="77777777" w:rsidR="007A60EC" w:rsidRPr="00653BF4" w:rsidRDefault="007A60EC" w:rsidP="007A60EC">
      <w:pPr>
        <w:spacing w:after="200"/>
        <w:rPr>
          <w:lang w:val="fr-FR"/>
        </w:rPr>
      </w:pPr>
      <w:r w:rsidRPr="00653BF4">
        <w:rPr>
          <w:lang w:val="fr-FR"/>
        </w:rPr>
        <w:t>Les rapports ne fournissent pas de données chiffrées sur les contributions du secteur privé à la biodiversité, ce que plusieurs Parties considèrent comme une difficulté. Lorsque les Parties rendent compte de l’efficacité du financement, elles s’appuient le plus souvent sur des instruments précis et des études de cas plutôt que sur des indicateurs de résultats systématiques.</w:t>
      </w:r>
    </w:p>
    <w:p w14:paraId="5BD81EE1" w14:textId="48D2C684" w:rsidR="007A60EC" w:rsidRPr="00653BF4" w:rsidRDefault="007A60EC" w:rsidP="007A60EC">
      <w:pPr>
        <w:spacing w:after="200"/>
        <w:rPr>
          <w:rFonts w:eastAsia="Times New Roman" w:cs="Times New Roman"/>
          <w:lang w:val="fr-FR"/>
        </w:rPr>
      </w:pPr>
      <w:r w:rsidRPr="00653BF4">
        <w:rPr>
          <w:lang w:val="fr-FR"/>
        </w:rPr>
        <w:t>Les Parties ayant achevé un examen des dépenses font régulièrement état d’écarts entre les besoins estimés et les dépenses prévues. Les rapports des pays les moins avancés et des petits États insulaires en développement sont particulièrement concordants sur ce point</w:t>
      </w:r>
      <w:r w:rsidR="00E34DC9">
        <w:rPr>
          <w:lang w:val="fr-FR"/>
        </w:rPr>
        <w:t> :</w:t>
      </w:r>
      <w:r w:rsidRPr="00653BF4">
        <w:rPr>
          <w:lang w:val="fr-FR"/>
        </w:rPr>
        <w:t xml:space="preserve"> même lorsque le financement international a augmenté, il demeure insuffisant au regard de l’ampleur des besoins recensés dans les SPANB en matière de conservation, de restauration et d’utilisation durable</w:t>
      </w:r>
      <w:r w:rsidRPr="00653BF4">
        <w:rPr>
          <w:rFonts w:eastAsia="Times New Roman" w:cs="Times New Roman"/>
          <w:lang w:val="fr-FR"/>
        </w:rPr>
        <w:t>.</w:t>
      </w:r>
    </w:p>
    <w:p w14:paraId="0D25933B" w14:textId="77777777" w:rsidR="007A60EC" w:rsidRPr="00653BF4" w:rsidRDefault="007A60EC" w:rsidP="007A60EC">
      <w:pPr>
        <w:spacing w:after="200"/>
        <w:rPr>
          <w:rFonts w:eastAsia="Times New Roman" w:cs="Times New Roman"/>
          <w:lang w:val="fr-FR"/>
        </w:rPr>
      </w:pPr>
    </w:p>
    <w:p w14:paraId="758DEAB7" w14:textId="77777777" w:rsidR="007A60EC" w:rsidRPr="00653BF4" w:rsidRDefault="007A60EC" w:rsidP="007A60EC">
      <w:pPr>
        <w:pStyle w:val="Heading5"/>
        <w:rPr>
          <w:lang w:val="fr-FR"/>
        </w:rPr>
      </w:pPr>
      <w:r w:rsidRPr="00653BF4">
        <w:rPr>
          <w:lang w:val="fr-FR"/>
        </w:rPr>
        <w:t>Incitations, y compris les subventions, préjudiciables à la biodiversité, et incitations positives</w:t>
      </w:r>
    </w:p>
    <w:p w14:paraId="607255BB" w14:textId="77777777" w:rsidR="007A60EC" w:rsidRPr="00653BF4" w:rsidRDefault="007A60EC" w:rsidP="007A60EC">
      <w:pPr>
        <w:rPr>
          <w:lang w:val="fr-FR"/>
        </w:rPr>
      </w:pPr>
    </w:p>
    <w:p w14:paraId="1D4FCC77" w14:textId="6777F5A1" w:rsidR="007A60EC" w:rsidRPr="00653BF4" w:rsidRDefault="007A60EC" w:rsidP="007A60EC">
      <w:pPr>
        <w:spacing w:after="200"/>
        <w:rPr>
          <w:rFonts w:eastAsia="Times New Roman" w:cs="Times New Roman"/>
          <w:lang w:val="fr-FR"/>
        </w:rPr>
      </w:pPr>
      <w:r w:rsidRPr="00653BF4">
        <w:rPr>
          <w:rFonts w:eastAsia="Times New Roman" w:cs="Times New Roman"/>
          <w:lang w:val="fr-FR"/>
        </w:rPr>
        <w:t xml:space="preserve">La </w:t>
      </w:r>
      <w:r w:rsidR="00E34DC9">
        <w:rPr>
          <w:rFonts w:eastAsia="Times New Roman" w:cs="Times New Roman"/>
          <w:lang w:val="fr-FR"/>
        </w:rPr>
        <w:t>cible 1</w:t>
      </w:r>
      <w:r w:rsidRPr="00653BF4">
        <w:rPr>
          <w:rFonts w:eastAsia="Times New Roman" w:cs="Times New Roman"/>
          <w:lang w:val="fr-FR"/>
        </w:rPr>
        <w:t xml:space="preserve">8 du Cadre fixe à 2025 l’échéance du recensement des incitations, y compris les subventions, préjudiciables à la biodiversité, et prévoit leur élimination, leur suppression progressive ou leur réforme, ainsi que leur réduction d’au moins 500 milliards de dollars par an d’ici à 2030. </w:t>
      </w:r>
      <w:r w:rsidRPr="00653BF4">
        <w:rPr>
          <w:lang w:val="fr-FR"/>
        </w:rPr>
        <w:t>Elle vise en outre à renforcer</w:t>
      </w:r>
      <w:r w:rsidRPr="00653BF4">
        <w:rPr>
          <w:rFonts w:eastAsia="Times New Roman" w:cs="Times New Roman"/>
          <w:lang w:val="fr-FR"/>
        </w:rPr>
        <w:t xml:space="preserve"> les incitations positives en faveur de la conservation et de l’utilisation durable de la biodiversité. Les informations communiquées au titre de la </w:t>
      </w:r>
      <w:r w:rsidR="00E34DC9">
        <w:rPr>
          <w:rFonts w:eastAsia="Times New Roman" w:cs="Times New Roman"/>
          <w:lang w:val="fr-FR"/>
        </w:rPr>
        <w:t>cible 1</w:t>
      </w:r>
      <w:r w:rsidRPr="00653BF4">
        <w:rPr>
          <w:rFonts w:eastAsia="Times New Roman" w:cs="Times New Roman"/>
          <w:lang w:val="fr-FR"/>
        </w:rPr>
        <w:t xml:space="preserve">8 dans les septièmes rapports nationaux ne fournissent pas de base suffisante pour déterminer si le jalon de 2025 a été atteint. En outre, peu de Parties ont communiqué des données au titre des indicateurs phares correspondants, à savoir l’indicateur 18.1 (incitations positives) et l’indicateur 18.2 (valeur des subventions préjudiciables). Une analyse plus détaillée figure dans la partie consacrée à la </w:t>
      </w:r>
      <w:r w:rsidR="00E34DC9">
        <w:rPr>
          <w:rFonts w:eastAsia="Times New Roman" w:cs="Times New Roman"/>
          <w:lang w:val="fr-FR"/>
        </w:rPr>
        <w:t>cible 1</w:t>
      </w:r>
      <w:r w:rsidRPr="00653BF4">
        <w:rPr>
          <w:rFonts w:eastAsia="Times New Roman" w:cs="Times New Roman"/>
          <w:lang w:val="fr-FR"/>
        </w:rPr>
        <w:t>8 ci-dessus.</w:t>
      </w:r>
    </w:p>
    <w:p w14:paraId="1963A96E" w14:textId="112CA3B8" w:rsidR="007A60EC" w:rsidRPr="00653BF4" w:rsidRDefault="007A60EC" w:rsidP="007A60EC">
      <w:pPr>
        <w:spacing w:after="200"/>
        <w:rPr>
          <w:rFonts w:eastAsia="Times New Roman" w:cs="Times New Roman"/>
          <w:lang w:val="fr-FR"/>
        </w:rPr>
      </w:pPr>
      <w:r w:rsidRPr="00653BF4">
        <w:rPr>
          <w:rFonts w:eastAsia="Times New Roman" w:cs="Times New Roman"/>
          <w:lang w:val="fr-FR"/>
        </w:rPr>
        <w:lastRenderedPageBreak/>
        <w:t xml:space="preserve">En ce qui concerne le volet de la </w:t>
      </w:r>
      <w:r w:rsidR="00E34DC9">
        <w:rPr>
          <w:rFonts w:eastAsia="Times New Roman" w:cs="Times New Roman"/>
          <w:lang w:val="fr-FR"/>
        </w:rPr>
        <w:t>cible 1</w:t>
      </w:r>
      <w:r w:rsidRPr="00653BF4">
        <w:rPr>
          <w:rFonts w:eastAsia="Times New Roman" w:cs="Times New Roman"/>
          <w:lang w:val="fr-FR"/>
        </w:rPr>
        <w:t xml:space="preserve">8 relatif aux incitations, y compris les subventions, préjudiciables à la biodiversité, les informations communiquées par la plupart des Parties portent sur le recensement des subventions et la détermination des secteurs prioritaires à réformer, plutôt que sur des réductions quantifiées ou des suppressions progressives menées à leur terme. </w:t>
      </w:r>
      <w:r w:rsidRPr="00653BF4">
        <w:rPr>
          <w:lang w:val="fr-FR"/>
        </w:rPr>
        <w:t>Les Parties qui ont commencé à quantifier leurs subventions préjudiciables font état de montants considérables, mais, dans la plupart des cas, elles n’ont pas encore recensé l’ensemble des flux concernés</w:t>
      </w:r>
      <w:r w:rsidRPr="00653BF4">
        <w:rPr>
          <w:rFonts w:eastAsia="Times New Roman" w:cs="Times New Roman"/>
          <w:lang w:val="fr-FR"/>
        </w:rPr>
        <w:t xml:space="preserve">. Parmi les premiers exemples concrets d’action en la matière figure la ratification de l’Accord de l’OMC sur les subventions à la pêche, qui interdit les subventions à la pêche illicite, non déclarée et non réglementée, à la pêche de stocks surexploités et à la pêche en haute mer non réglementée, </w:t>
      </w:r>
      <w:r w:rsidRPr="00653BF4">
        <w:rPr>
          <w:lang w:val="fr-FR"/>
        </w:rPr>
        <w:t>ce qui permet ainsi de s’attaquer à</w:t>
      </w:r>
      <w:r w:rsidRPr="00653BF4">
        <w:rPr>
          <w:rFonts w:eastAsia="Times New Roman" w:cs="Times New Roman"/>
          <w:lang w:val="fr-FR"/>
        </w:rPr>
        <w:t xml:space="preserve"> l’une des plus importantes catégories d’incitations préjudiciables reconnues au niveau international (OMC, 2022).</w:t>
      </w:r>
    </w:p>
    <w:p w14:paraId="1F679D48" w14:textId="0AEB6104" w:rsidR="007A60EC" w:rsidRPr="00653BF4" w:rsidRDefault="007A60EC" w:rsidP="007A60EC">
      <w:pPr>
        <w:rPr>
          <w:lang w:val="fr-FR"/>
        </w:rPr>
      </w:pPr>
      <w:r w:rsidRPr="00653BF4">
        <w:rPr>
          <w:rFonts w:eastAsia="Times New Roman" w:cs="Times New Roman"/>
          <w:lang w:val="fr-FR"/>
        </w:rPr>
        <w:t xml:space="preserve">Pour ce qui est du volet de la </w:t>
      </w:r>
      <w:r w:rsidR="00E34DC9">
        <w:rPr>
          <w:rFonts w:eastAsia="Times New Roman" w:cs="Times New Roman"/>
          <w:lang w:val="fr-FR"/>
        </w:rPr>
        <w:t>cible 1</w:t>
      </w:r>
      <w:r w:rsidRPr="00653BF4">
        <w:rPr>
          <w:rFonts w:eastAsia="Times New Roman" w:cs="Times New Roman"/>
          <w:lang w:val="fr-FR"/>
        </w:rPr>
        <w:t xml:space="preserve">8 consacré aux incitations positives en faveur de la conservation et de l’utilisation durable de la biodiversité, les engagements de politique générale dont font état les Parties couvrent un éventail plus large que les actions menées à terme. Parmi les instruments mentionnés par les Parties comme offrant des incitations positives figurent les programmes agroenvironnementaux, les dispositifs de paiement pour services liés aux écosystèmes, des projets pilotes exploratoires sur les crédits en matière de biodiversité et les marchés alignés sur la biodiversité, des instruments de financement verts ou liés à des objectifs de durabilité, ainsi que des programmes en faveur d’une économie alignée sur la biodiversité. </w:t>
      </w:r>
      <w:r w:rsidRPr="00653BF4">
        <w:rPr>
          <w:lang w:val="fr-FR"/>
        </w:rPr>
        <w:t>Toutefois, lorsqu’elles évoquaient le renforcement des incitations positives, la plupart des Parties ayant présenté un rapport faisaient surtout état d’engagements prospectifs plutôt que d’instruments déjà opérationnels</w:t>
      </w:r>
      <w:r w:rsidRPr="00653BF4">
        <w:rPr>
          <w:rFonts w:eastAsia="Times New Roman" w:cs="Times New Roman"/>
          <w:lang w:val="fr-FR"/>
        </w:rPr>
        <w:t xml:space="preserve">. </w:t>
      </w:r>
      <w:r w:rsidRPr="00653BF4">
        <w:rPr>
          <w:lang w:val="fr-FR"/>
        </w:rPr>
        <w:t xml:space="preserve">Plusieurs de ces instruments, en particulier le paiement pour services liés aux écosystèmes et les crédits en matière de biodiversité, sont également cités au titre de la </w:t>
      </w:r>
      <w:r w:rsidR="00E34DC9">
        <w:rPr>
          <w:lang w:val="fr-FR"/>
        </w:rPr>
        <w:t>cible 1</w:t>
      </w:r>
      <w:r w:rsidRPr="00653BF4">
        <w:rPr>
          <w:lang w:val="fr-FR"/>
        </w:rPr>
        <w:t>9, car ils servent à la fois d’incitations positives et de mécanismes de mobilisation des ressources</w:t>
      </w:r>
      <w:r w:rsidRPr="00653BF4">
        <w:rPr>
          <w:rFonts w:eastAsia="Times New Roman" w:cs="Times New Roman"/>
          <w:lang w:val="fr-FR"/>
        </w:rPr>
        <w:t>.</w:t>
      </w:r>
    </w:p>
    <w:p w14:paraId="65098F19" w14:textId="77777777" w:rsidR="007A60EC" w:rsidRPr="00653BF4" w:rsidRDefault="007A60EC" w:rsidP="007A60EC">
      <w:pPr>
        <w:pStyle w:val="Heading5"/>
        <w:rPr>
          <w:lang w:val="fr-FR"/>
        </w:rPr>
      </w:pPr>
    </w:p>
    <w:p w14:paraId="3AC397E9" w14:textId="77777777" w:rsidR="007A60EC" w:rsidRPr="00653BF4" w:rsidRDefault="007A60EC" w:rsidP="007A60EC">
      <w:pPr>
        <w:pStyle w:val="Heading5"/>
        <w:rPr>
          <w:lang w:val="fr-FR"/>
        </w:rPr>
      </w:pPr>
      <w:r w:rsidRPr="00653BF4">
        <w:rPr>
          <w:lang w:val="fr-FR"/>
        </w:rPr>
        <w:t>Financement par l’intermédiaire du Fonds pour l’environnement mondial</w:t>
      </w:r>
    </w:p>
    <w:p w14:paraId="7CA799B6" w14:textId="77777777" w:rsidR="007A60EC" w:rsidRPr="00653BF4" w:rsidRDefault="007A60EC" w:rsidP="007A60EC">
      <w:pPr>
        <w:rPr>
          <w:lang w:val="fr-FR"/>
        </w:rPr>
      </w:pPr>
    </w:p>
    <w:p w14:paraId="44C0D3AD" w14:textId="0C0DAAAC" w:rsidR="007A60EC" w:rsidRPr="00653BF4" w:rsidRDefault="007A60EC" w:rsidP="007A60EC">
      <w:pPr>
        <w:spacing w:after="200"/>
        <w:rPr>
          <w:rFonts w:eastAsia="Times New Roman" w:cs="Times New Roman"/>
          <w:lang w:val="fr-FR"/>
        </w:rPr>
      </w:pPr>
      <w:r w:rsidRPr="00653BF4">
        <w:rPr>
          <w:rFonts w:eastAsia="Times New Roman" w:cs="Times New Roman"/>
          <w:lang w:val="fr-FR"/>
        </w:rPr>
        <w:t xml:space="preserve">Le Fonds pour l’environnement mondial (FEM) constitue la structure institutionnelle qui assure le fonctionnement du mécanisme de financement de la Convention. Sur la période 2022-2026, le FEM a programmé 4,2 milliards de dollars de financements nouveaux et additionnels </w:t>
      </w:r>
      <w:r w:rsidRPr="00653BF4">
        <w:rPr>
          <w:lang w:val="fr-FR"/>
        </w:rPr>
        <w:t>à l’appui du Cadre dans l’ensemble des fonds qu’il gère</w:t>
      </w:r>
      <w:r w:rsidRPr="00653BF4">
        <w:rPr>
          <w:rFonts w:eastAsia="Times New Roman" w:cs="Times New Roman"/>
          <w:lang w:val="fr-FR"/>
        </w:rPr>
        <w:t xml:space="preserve">, et mobilisé 26,85 milliards de dollars de cofinancement, dont 2,13 milliards de dollars provenant du secteur privé. Ce financement soutient 560 projets dans 142 pays et contribuera sensiblement à la réalisation des cibles du Cadre, notamment par les retombées </w:t>
      </w:r>
      <w:r w:rsidRPr="00653BF4">
        <w:rPr>
          <w:rFonts w:eastAsia="Times New Roman" w:cs="Times New Roman"/>
          <w:lang w:val="fr-FR"/>
        </w:rPr>
        <w:lastRenderedPageBreak/>
        <w:t>attendues sur 1,4 milliard d’hectares de terres et de mers (</w:t>
      </w:r>
      <w:r w:rsidR="00E34DC9">
        <w:rPr>
          <w:rFonts w:eastAsia="Times New Roman" w:cs="Times New Roman"/>
          <w:lang w:val="fr-FR"/>
        </w:rPr>
        <w:t>cible 1</w:t>
      </w:r>
      <w:r w:rsidRPr="00653BF4">
        <w:rPr>
          <w:rFonts w:eastAsia="Times New Roman" w:cs="Times New Roman"/>
          <w:lang w:val="fr-FR"/>
        </w:rPr>
        <w:t xml:space="preserve">), </w:t>
      </w:r>
      <w:r w:rsidRPr="00653BF4">
        <w:rPr>
          <w:lang w:val="fr-FR"/>
        </w:rPr>
        <w:t>par 2 millions de tonnes de déchets plastiques résiduels évités</w:t>
      </w:r>
      <w:r w:rsidRPr="00653BF4">
        <w:rPr>
          <w:rFonts w:eastAsia="Times New Roman" w:cs="Times New Roman"/>
          <w:lang w:val="fr-FR"/>
        </w:rPr>
        <w:t xml:space="preserve"> (</w:t>
      </w:r>
      <w:r w:rsidR="00E34DC9">
        <w:rPr>
          <w:rFonts w:eastAsia="Times New Roman" w:cs="Times New Roman"/>
          <w:lang w:val="fr-FR"/>
        </w:rPr>
        <w:t>cible 7</w:t>
      </w:r>
      <w:r w:rsidRPr="00653BF4">
        <w:rPr>
          <w:rFonts w:eastAsia="Times New Roman" w:cs="Times New Roman"/>
          <w:lang w:val="fr-FR"/>
        </w:rPr>
        <w:t>) et par les avantages procurés à près de 40 millions de personnes. Ces retombées s’ajouteront à la contribution importante des projets déjà en cours, qui ont fait état de résultats substantiels obtenus au cours des quatre dernières années, notamment 25 millions d’hectares de terres et d’écosystèmes en cours de restauration (</w:t>
      </w:r>
      <w:r w:rsidR="00E34DC9">
        <w:rPr>
          <w:rFonts w:eastAsia="Times New Roman" w:cs="Times New Roman"/>
          <w:lang w:val="fr-FR"/>
        </w:rPr>
        <w:t>cible 2</w:t>
      </w:r>
      <w:r w:rsidRPr="00653BF4">
        <w:rPr>
          <w:rFonts w:eastAsia="Times New Roman" w:cs="Times New Roman"/>
          <w:lang w:val="fr-FR"/>
        </w:rPr>
        <w:t>), 287 millions d’hectares de zones protégées créées et 170 millions d’hectares de zones protégées existantes bénéficiant d’une gestion améliorée (</w:t>
      </w:r>
      <w:r w:rsidR="00E34DC9">
        <w:rPr>
          <w:rFonts w:eastAsia="Times New Roman" w:cs="Times New Roman"/>
          <w:lang w:val="fr-FR"/>
        </w:rPr>
        <w:t>cible 3</w:t>
      </w:r>
      <w:r w:rsidRPr="00653BF4">
        <w:rPr>
          <w:rFonts w:eastAsia="Times New Roman" w:cs="Times New Roman"/>
          <w:lang w:val="fr-FR"/>
        </w:rPr>
        <w:t>).</w:t>
      </w:r>
    </w:p>
    <w:p w14:paraId="348577BA" w14:textId="77777777" w:rsidR="007A60EC" w:rsidRPr="00653BF4" w:rsidRDefault="007A60EC" w:rsidP="007A60EC">
      <w:pPr>
        <w:spacing w:after="200"/>
        <w:rPr>
          <w:rFonts w:eastAsia="Times New Roman" w:cs="Times New Roman"/>
          <w:lang w:val="fr-FR"/>
        </w:rPr>
      </w:pPr>
      <w:r w:rsidRPr="00653BF4">
        <w:rPr>
          <w:rFonts w:eastAsia="Times New Roman" w:cs="Times New Roman"/>
          <w:lang w:val="fr-FR"/>
        </w:rPr>
        <w:t>Grâce à la création et à la mise en service rapides du Fonds du Cadre mondial de la biodiversité, 387 millions de dollars ont été mobilisés auprès de 12 contributeurs et 362,1 millions de dollars ont été programmés dans 87 pays, l’accent étant mis sur l’appui aux petits États insulaires en développement, aux pays les moins avancés et aux peuples autochtones et communautés locales, ainsi que sur la collaboration avec les institutions financières internationales.</w:t>
      </w:r>
    </w:p>
    <w:p w14:paraId="7F4EF947" w14:textId="53576B42" w:rsidR="007A60EC" w:rsidRPr="00653BF4" w:rsidRDefault="007A60EC" w:rsidP="007A60EC">
      <w:pPr>
        <w:spacing w:after="200"/>
        <w:rPr>
          <w:lang w:val="fr-FR"/>
        </w:rPr>
      </w:pPr>
      <w:r w:rsidRPr="00653BF4">
        <w:rPr>
          <w:rFonts w:eastAsia="Times New Roman" w:cs="Times New Roman"/>
          <w:lang w:val="fr-FR"/>
        </w:rPr>
        <w:t>Par la neuvième reconstitution des ressources de sa Caisse, le FEM a donné suite à l’évaluation des besoins de financement adoptée par la Conférence des Parties. Les participants à la reconstitution ont annoncé une contribution initiale de 3,85 milliards de dollars à la Caisse du FEM pour la période allant du 1er juillet 2026 au 30 juin 2030. Ils ont décidé d’en allouer 35</w:t>
      </w:r>
      <w:r w:rsidR="002878D7">
        <w:rPr>
          <w:rFonts w:eastAsia="Times New Roman" w:cs="Times New Roman"/>
          <w:lang w:val="fr-FR"/>
        </w:rPr>
        <w:t> %</w:t>
      </w:r>
      <w:r w:rsidRPr="00653BF4">
        <w:rPr>
          <w:rFonts w:eastAsia="Times New Roman" w:cs="Times New Roman"/>
          <w:lang w:val="fr-FR"/>
        </w:rPr>
        <w:t xml:space="preserve"> au domaine d’intervention </w:t>
      </w:r>
      <w:r w:rsidR="00E34DC9">
        <w:rPr>
          <w:rFonts w:eastAsia="Times New Roman" w:cs="Times New Roman"/>
          <w:lang w:val="fr-FR"/>
        </w:rPr>
        <w:t>« </w:t>
      </w:r>
      <w:r w:rsidRPr="00653BF4">
        <w:rPr>
          <w:rFonts w:eastAsia="Times New Roman" w:cs="Times New Roman"/>
          <w:lang w:val="fr-FR"/>
        </w:rPr>
        <w:t>biodiversité</w:t>
      </w:r>
      <w:r w:rsidR="00E34DC9">
        <w:rPr>
          <w:rFonts w:eastAsia="Times New Roman" w:cs="Times New Roman"/>
          <w:lang w:val="fr-FR"/>
        </w:rPr>
        <w:t> »</w:t>
      </w:r>
      <w:r w:rsidRPr="00653BF4">
        <w:rPr>
          <w:rFonts w:eastAsia="Times New Roman" w:cs="Times New Roman"/>
          <w:lang w:val="fr-FR"/>
        </w:rPr>
        <w:t xml:space="preserve"> et ont précisé en outre que 70</w:t>
      </w:r>
      <w:r w:rsidR="002878D7">
        <w:rPr>
          <w:rFonts w:eastAsia="Times New Roman" w:cs="Times New Roman"/>
          <w:lang w:val="fr-FR"/>
        </w:rPr>
        <w:t> %</w:t>
      </w:r>
      <w:r w:rsidRPr="00653BF4">
        <w:rPr>
          <w:rFonts w:eastAsia="Times New Roman" w:cs="Times New Roman"/>
          <w:lang w:val="fr-FR"/>
        </w:rPr>
        <w:t xml:space="preserve"> de l’ensemble de la programmation de cette neuvième reconstitution devraient contribuer aux objectifs de la Convention sur la diversité biologique, selon la méthode des marqueurs de Rio du Comité d’aide au développement de l’OCDE, qui permet de suivre les projets </w:t>
      </w:r>
      <w:r w:rsidRPr="00653BF4">
        <w:rPr>
          <w:lang w:val="fr-FR"/>
        </w:rPr>
        <w:t>dont la biodiversité constitue l’objectif principal ou un objectif significatif</w:t>
      </w:r>
      <w:r w:rsidRPr="00653BF4">
        <w:rPr>
          <w:rFonts w:eastAsia="Times New Roman" w:cs="Times New Roman"/>
          <w:lang w:val="fr-FR"/>
        </w:rPr>
        <w:t>, quel que soit leur domaine d’intervention. De plus amples informations figurent dans l’avant-projet du rapport du Conseil du FEM à la dix-septième réunion de la Conférence des Parties à la Convention (</w:t>
      </w:r>
      <w:hyperlink r:id="rId247" w:history="1">
        <w:r w:rsidRPr="00653BF4">
          <w:rPr>
            <w:rStyle w:val="Hyperlink"/>
            <w:lang w:val="fr-FR"/>
          </w:rPr>
          <w:t>CBD/SBI/7/INF/13</w:t>
        </w:r>
      </w:hyperlink>
      <w:r w:rsidRPr="00653BF4">
        <w:rPr>
          <w:rFonts w:eastAsia="Times New Roman" w:cs="Times New Roman"/>
          <w:lang w:val="fr-FR"/>
        </w:rPr>
        <w:t>).</w:t>
      </w:r>
    </w:p>
    <w:p w14:paraId="13BE096A" w14:textId="77777777" w:rsidR="007A60EC" w:rsidRPr="00653BF4" w:rsidRDefault="007A60EC" w:rsidP="007A60EC">
      <w:pPr>
        <w:pStyle w:val="Heading4"/>
        <w:rPr>
          <w:rFonts w:eastAsia="Times New Roman"/>
          <w:lang w:val="fr-FR"/>
        </w:rPr>
      </w:pPr>
      <w:bookmarkStart w:id="503" w:name="_Toc235521203"/>
    </w:p>
    <w:p w14:paraId="7C7BDB48" w14:textId="77777777" w:rsidR="007A60EC" w:rsidRPr="00653BF4" w:rsidRDefault="007A60EC" w:rsidP="007A60EC">
      <w:pPr>
        <w:pStyle w:val="Heading4"/>
        <w:rPr>
          <w:lang w:val="fr-FR"/>
        </w:rPr>
      </w:pPr>
      <w:bookmarkStart w:id="504" w:name="_Toc242801272"/>
      <w:bookmarkEnd w:id="503"/>
      <w:r w:rsidRPr="00653BF4">
        <w:rPr>
          <w:lang w:val="fr-FR"/>
        </w:rPr>
        <w:t>Capacités</w:t>
      </w:r>
      <w:bookmarkEnd w:id="504"/>
    </w:p>
    <w:p w14:paraId="369846B4" w14:textId="77777777" w:rsidR="007A60EC" w:rsidRPr="00653BF4" w:rsidRDefault="007A60EC" w:rsidP="007A60EC">
      <w:pPr>
        <w:spacing w:after="200"/>
        <w:rPr>
          <w:rFonts w:eastAsia="Times New Roman" w:cs="Times New Roman"/>
          <w:lang w:val="fr-FR"/>
        </w:rPr>
      </w:pPr>
    </w:p>
    <w:p w14:paraId="0ADD3073" w14:textId="77777777" w:rsidR="007A60EC" w:rsidRPr="00653BF4" w:rsidRDefault="007A60EC" w:rsidP="007A60EC">
      <w:pPr>
        <w:spacing w:after="200"/>
        <w:rPr>
          <w:rFonts w:eastAsia="Times New Roman" w:cs="Times New Roman"/>
          <w:lang w:val="fr-FR"/>
        </w:rPr>
      </w:pPr>
      <w:r w:rsidRPr="00653BF4">
        <w:rPr>
          <w:rFonts w:eastAsia="Times New Roman" w:cs="Times New Roman"/>
          <w:lang w:val="fr-FR"/>
        </w:rPr>
        <w:t>Les Parties indiquent que les activités de création de capacités sont de plus en plus menées dans le cadre d’une coopération entre pairs, en complément des transferts traditionnels entre donateurs et bénéficiaires, et décrivent des programmes de formation en cours et des programmes de coopération internationale récurrents. Des Parties de tous les niveaux de revenu font état d’une coopération Sud-Sud, Nord-Sud et triangulaire.</w:t>
      </w:r>
    </w:p>
    <w:p w14:paraId="62986313" w14:textId="77777777" w:rsidR="007A60EC" w:rsidRPr="00653BF4" w:rsidRDefault="007A60EC" w:rsidP="007A60EC">
      <w:pPr>
        <w:spacing w:after="200"/>
        <w:rPr>
          <w:rFonts w:eastAsia="Times New Roman" w:cs="Times New Roman"/>
          <w:lang w:val="fr-FR"/>
        </w:rPr>
      </w:pPr>
      <w:r w:rsidRPr="00653BF4">
        <w:rPr>
          <w:rFonts w:eastAsia="Times New Roman" w:cs="Times New Roman"/>
          <w:lang w:val="fr-FR"/>
        </w:rPr>
        <w:lastRenderedPageBreak/>
        <w:t xml:space="preserve">Les Parties ont recensé certaines des difficultés structurelles qui entravent la création et le renforcement des capacités, notamment un faible investissement national dans la recherche-développement en proportion du PIB, une pénurie persistante d’expertise taxonomique et une intégration limitée des résultats de la recherche dans les politiques et la gestion. </w:t>
      </w:r>
      <w:r w:rsidRPr="00653BF4">
        <w:rPr>
          <w:lang w:val="fr-FR"/>
        </w:rPr>
        <w:t>De nombreuses Parties indiquent que l’infrastructure nécessaire pour absorber les technologies transférées est en cours de mise en place, mais pas encore opérationnelle.</w:t>
      </w:r>
    </w:p>
    <w:p w14:paraId="0B1DABB1" w14:textId="77777777" w:rsidR="007A60EC" w:rsidRPr="00653BF4" w:rsidRDefault="007A60EC" w:rsidP="007A60EC">
      <w:pPr>
        <w:spacing w:after="200"/>
        <w:rPr>
          <w:rFonts w:eastAsia="Times New Roman" w:cs="Times New Roman"/>
          <w:lang w:val="fr-FR"/>
        </w:rPr>
      </w:pPr>
      <w:r w:rsidRPr="00653BF4">
        <w:rPr>
          <w:rFonts w:eastAsia="Times New Roman" w:cs="Times New Roman"/>
          <w:lang w:val="fr-FR"/>
        </w:rPr>
        <w:t>Signe encourageant, les Parties font état d’une augmentation des travaux de recherche sur la biodiversité évalués par les pairs et de l’expansion des herbiers nationaux et des collections de banques de gènes, autant d’évolutions qui contribuent à accroître les capacités.</w:t>
      </w:r>
    </w:p>
    <w:p w14:paraId="0C506C56" w14:textId="77777777" w:rsidR="007A60EC" w:rsidRPr="00653BF4" w:rsidRDefault="007A60EC" w:rsidP="007A60EC">
      <w:pPr>
        <w:spacing w:after="200"/>
        <w:rPr>
          <w:rFonts w:eastAsia="Times New Roman" w:cs="Times New Roman"/>
          <w:lang w:val="fr-FR"/>
        </w:rPr>
      </w:pPr>
      <w:r w:rsidRPr="00653BF4">
        <w:rPr>
          <w:lang w:val="fr-FR"/>
        </w:rPr>
        <w:t>Pour plusieurs cibles</w:t>
      </w:r>
      <w:r w:rsidRPr="00653BF4">
        <w:rPr>
          <w:rFonts w:eastAsia="Times New Roman" w:cs="Times New Roman"/>
          <w:lang w:val="fr-FR"/>
        </w:rPr>
        <w:t>, les Parties présentent l’adoption ou le renforcement de cadres juridiques comme un élément fondamental de la fourniture de capacités, ainsi qu’en témoigne notamment la législation relative à l’évaluation de l’impact sur l’environnement qui prévoit un examen préalable obligatoire des incidences sur la biodiversité. La majorité des Parties font état de cadres juridiques et institutionnels ancrés dans des dispositions constitutionnelles, des lois environnementales nationales et la ratification de conventions régionales pertinentes qui favorisent la participation, l’accès à l’information environnementale et l’accès à la justice. Plusieurs Parties ayant présenté un rapport citent comme thèmes transversaux prioritaires les approches tenant compte du genre, la mobilisation des peuples autochtones et communautés locales, et la participation des jeunes.</w:t>
      </w:r>
    </w:p>
    <w:p w14:paraId="0458DA37" w14:textId="77777777" w:rsidR="007A60EC" w:rsidRPr="00653BF4" w:rsidRDefault="007A60EC" w:rsidP="007A60EC">
      <w:pPr>
        <w:spacing w:after="200"/>
        <w:rPr>
          <w:rFonts w:eastAsia="Times New Roman" w:cs="Times New Roman"/>
          <w:lang w:val="fr-FR"/>
        </w:rPr>
      </w:pPr>
      <w:r w:rsidRPr="00653BF4">
        <w:rPr>
          <w:rFonts w:eastAsia="Times New Roman" w:cs="Times New Roman"/>
          <w:lang w:val="fr-FR"/>
        </w:rPr>
        <w:t>Toutefois, l’écart entre ces cadres et leur application concrète est un thème récurrent. Plusieurs Parties reconnaissent explicitement des lacunes juridiques, notamment l’absence de protection juridique propre aux défenseurs des droits de l’homme en matière d’environnement, ainsi que des insuffisances plus générales dans les cadres réglementaires. Un certain nombre de Parties admettent explicitement des lacunes liées à l’adoption de cadres d’action et à leur mise en œuvre effective.</w:t>
      </w:r>
    </w:p>
    <w:p w14:paraId="5FB82195" w14:textId="77777777" w:rsidR="007A60EC" w:rsidRPr="00653BF4" w:rsidRDefault="007A60EC" w:rsidP="007A60EC">
      <w:pPr>
        <w:spacing w:after="200"/>
        <w:rPr>
          <w:rFonts w:eastAsia="Times New Roman" w:cs="Times New Roman"/>
          <w:lang w:val="fr-FR"/>
        </w:rPr>
      </w:pPr>
      <w:r w:rsidRPr="00653BF4">
        <w:rPr>
          <w:rFonts w:eastAsia="Times New Roman" w:cs="Times New Roman"/>
          <w:lang w:val="fr-FR"/>
        </w:rPr>
        <w:t>Si de nombreux rapports évoquent des stratégies de communication et des campagnes de sensibilisation, les effets sur les comportements et la prise de décision ne sont pour l’essentiel pas mesurés de manière systématique. Un certain nombre de Parties font état d’activités d’éducation à l’environnement en cours.</w:t>
      </w:r>
    </w:p>
    <w:p w14:paraId="35ED3469" w14:textId="77777777" w:rsidR="007A60EC" w:rsidRPr="00653BF4" w:rsidRDefault="007A60EC" w:rsidP="007A60EC">
      <w:pPr>
        <w:spacing w:after="200"/>
        <w:rPr>
          <w:rFonts w:eastAsia="Times New Roman" w:cs="Times New Roman"/>
          <w:lang w:val="fr-FR"/>
        </w:rPr>
      </w:pPr>
      <w:r w:rsidRPr="00653BF4">
        <w:rPr>
          <w:rFonts w:eastAsia="Times New Roman" w:cs="Times New Roman"/>
          <w:lang w:val="fr-FR"/>
        </w:rPr>
        <w:t xml:space="preserve">Plusieurs Parties renforcent leur engagement en faveur de l’égalité des genres dans le domaine de la biodiversité et de la gestion de l’environnement. Parmi les approches utilisées figurent l’élaboration de stratégies nationales reliant l’égalité des genres à la </w:t>
      </w:r>
      <w:r w:rsidRPr="00653BF4">
        <w:rPr>
          <w:rFonts w:eastAsia="Times New Roman" w:cs="Times New Roman"/>
          <w:lang w:val="fr-FR"/>
        </w:rPr>
        <w:lastRenderedPageBreak/>
        <w:t>gouvernance de la biodiversité, la mise en place de quotas obligatoires garantissant la participation des femmes aux formations environnementales et leur accès aux postes de direction, et l’intégration de critères de genre dans les décisions de gestion des ressources. En outre, des pays soutiennent des entreprises dirigées par des femmes dans les secteurs environnementaux, forment des correspondants chargés des questions de genre et investissent dans des analyses de genre destinées à éclairer les futurs plans d’action. Cependant, faute de données ventilées par sexe en quantité suffisante, il reste difficile d’évaluer dans quelle mesure ces initiatives se traduisent par des résultats mesurables pour les femmes et les filles.</w:t>
      </w:r>
    </w:p>
    <w:p w14:paraId="68006D78" w14:textId="77777777" w:rsidR="007A60EC" w:rsidRPr="00653BF4" w:rsidRDefault="007A60EC" w:rsidP="007A60EC">
      <w:pPr>
        <w:spacing w:after="200"/>
        <w:rPr>
          <w:rFonts w:eastAsia="Times New Roman" w:cs="Times New Roman"/>
          <w:lang w:val="fr-FR"/>
        </w:rPr>
      </w:pPr>
      <w:r w:rsidRPr="00653BF4">
        <w:rPr>
          <w:rFonts w:eastAsia="Times New Roman" w:cs="Times New Roman"/>
          <w:lang w:val="fr-FR"/>
        </w:rPr>
        <w:t>Dans l’ensemble, les informations communiquées rendent peu compte des résultats obtenus en matière de capacités, à la différence des moyens engagés, et peu de Parties mesurent l’efficacité de leurs formations à faire évoluer les décisions ou les comportements.</w:t>
      </w:r>
    </w:p>
    <w:p w14:paraId="73747FD0" w14:textId="77777777" w:rsidR="007A60EC" w:rsidRPr="00653BF4" w:rsidRDefault="007A60EC" w:rsidP="007A60EC">
      <w:pPr>
        <w:spacing w:after="200"/>
        <w:rPr>
          <w:lang w:val="fr-FR"/>
        </w:rPr>
      </w:pPr>
    </w:p>
    <w:p w14:paraId="57584BFE" w14:textId="64077643" w:rsidR="007A60EC" w:rsidRPr="00653BF4" w:rsidRDefault="007A60EC" w:rsidP="007A60EC">
      <w:pPr>
        <w:pStyle w:val="Heading4"/>
        <w:rPr>
          <w:rFonts w:eastAsia="Times New Roman"/>
          <w:lang w:val="fr-FR"/>
        </w:rPr>
      </w:pPr>
      <w:bookmarkStart w:id="505" w:name="_Toc242801273"/>
      <w:r w:rsidRPr="00653BF4">
        <w:rPr>
          <w:rFonts w:eastAsia="Times New Roman"/>
          <w:lang w:val="fr-FR"/>
        </w:rPr>
        <w:t>Coopération technique et scientifique</w:t>
      </w:r>
      <w:bookmarkEnd w:id="505"/>
    </w:p>
    <w:p w14:paraId="71682BCF" w14:textId="77777777" w:rsidR="007A60EC" w:rsidRPr="00653BF4" w:rsidRDefault="007A60EC" w:rsidP="007A60EC">
      <w:pPr>
        <w:rPr>
          <w:lang w:val="fr-FR"/>
        </w:rPr>
      </w:pPr>
    </w:p>
    <w:p w14:paraId="44658A8D" w14:textId="1E2FF8DD" w:rsidR="007A60EC" w:rsidRPr="00653BF4" w:rsidRDefault="007A60EC" w:rsidP="007A60EC">
      <w:pPr>
        <w:spacing w:after="200"/>
        <w:rPr>
          <w:rFonts w:eastAsia="Times New Roman" w:cs="Times New Roman"/>
          <w:lang w:val="fr-FR"/>
        </w:rPr>
      </w:pPr>
      <w:bookmarkStart w:id="506" w:name="_Toc235521205"/>
      <w:r w:rsidRPr="00653BF4">
        <w:rPr>
          <w:rFonts w:eastAsia="Times New Roman" w:cs="Times New Roman"/>
          <w:lang w:val="fr-FR"/>
        </w:rPr>
        <w:t>Un mécanisme officiel de coopération technique et scientifique à l’appui de la mise en œuvre du Cadre a été créé en application de décisions de la Conférence des Parties. Ce mécanisme comprend des centres régionaux et sous-régionaux d’appui à la coopération technique et scientifique, et repose sur une entité de coordination mondiale (décision 15/8, CDB, 2023</w:t>
      </w:r>
      <w:r w:rsidR="00E34DC9">
        <w:rPr>
          <w:rFonts w:eastAsia="Times New Roman" w:cs="Times New Roman"/>
          <w:lang w:val="fr-FR"/>
        </w:rPr>
        <w:t> ;</w:t>
      </w:r>
      <w:r w:rsidRPr="00653BF4">
        <w:rPr>
          <w:rFonts w:eastAsia="Times New Roman" w:cs="Times New Roman"/>
          <w:lang w:val="fr-FR"/>
        </w:rPr>
        <w:t xml:space="preserve"> et décision 16/3, CDB, 2026).</w:t>
      </w:r>
    </w:p>
    <w:p w14:paraId="068121DC" w14:textId="77777777" w:rsidR="007A60EC" w:rsidRPr="00653BF4" w:rsidRDefault="007A60EC" w:rsidP="007A60EC">
      <w:pPr>
        <w:spacing w:after="200"/>
        <w:rPr>
          <w:rFonts w:eastAsia="Times New Roman" w:cs="Times New Roman"/>
          <w:lang w:val="fr-FR"/>
        </w:rPr>
      </w:pPr>
      <w:r w:rsidRPr="00653BF4">
        <w:rPr>
          <w:rFonts w:eastAsia="Times New Roman" w:cs="Times New Roman"/>
          <w:lang w:val="fr-FR"/>
        </w:rPr>
        <w:t>La fourniture de données devient plus prévisible dans les Parties, dont un certain nombre mettent en place, modernisent ou officialisent des systèmes nationaux d’information sur la biodiversité et des portails de données. Là où de tels systèmes existent, ils sont généralement adossés à des mandats institutionnels permanents.</w:t>
      </w:r>
    </w:p>
    <w:p w14:paraId="22FCB836" w14:textId="77777777" w:rsidR="007A60EC" w:rsidRPr="00653BF4" w:rsidRDefault="007A60EC" w:rsidP="007A60EC">
      <w:pPr>
        <w:spacing w:after="200"/>
        <w:rPr>
          <w:rFonts w:eastAsia="Times New Roman" w:cs="Times New Roman"/>
          <w:lang w:val="fr-FR"/>
        </w:rPr>
      </w:pPr>
      <w:r w:rsidRPr="00653BF4">
        <w:rPr>
          <w:rFonts w:eastAsia="Times New Roman" w:cs="Times New Roman"/>
          <w:lang w:val="fr-FR"/>
        </w:rPr>
        <w:t xml:space="preserve">Certaines Parties font état d’une hausse de la productivité de la recherche, qui se traduit par davantage de publications scientifiques, de découvertes d’espèces et d’initiatives de recherche collaborative menées en partenariat avec des institutions internationales. Quelques-unes mentionnent le renforcement de leurs capacités de recherche avancée grâce à l’extension de réseaux de laboratoires </w:t>
      </w:r>
      <w:r w:rsidRPr="00653BF4">
        <w:rPr>
          <w:lang w:val="fr-FR"/>
        </w:rPr>
        <w:t>équipés notamment de technologies de recherche par drone et de télédétection</w:t>
      </w:r>
      <w:r w:rsidRPr="00653BF4">
        <w:rPr>
          <w:rFonts w:eastAsia="Times New Roman" w:cs="Times New Roman"/>
          <w:lang w:val="fr-FR"/>
        </w:rPr>
        <w:t>.</w:t>
      </w:r>
    </w:p>
    <w:p w14:paraId="5433A770" w14:textId="04589797" w:rsidR="007A60EC" w:rsidRPr="00653BF4" w:rsidRDefault="007A60EC" w:rsidP="007A60EC">
      <w:pPr>
        <w:spacing w:after="200"/>
        <w:rPr>
          <w:rFonts w:eastAsia="Times New Roman" w:cs="Times New Roman"/>
          <w:lang w:val="fr-FR"/>
        </w:rPr>
      </w:pPr>
      <w:r w:rsidRPr="00653BF4">
        <w:rPr>
          <w:rFonts w:eastAsia="Times New Roman" w:cs="Times New Roman"/>
          <w:lang w:val="fr-FR"/>
        </w:rPr>
        <w:t xml:space="preserve">Selon certaines Parties, l’accessibilité des données sur la biodiversité a progressé. Les plateformes de sciences participatives et les systèmes ouverts de données sur la biodiversité offrent de plus en plus un appui complémentaire au suivi, notamment par </w:t>
      </w:r>
      <w:r w:rsidRPr="00653BF4">
        <w:rPr>
          <w:rFonts w:eastAsia="Times New Roman" w:cs="Times New Roman"/>
          <w:lang w:val="fr-FR"/>
        </w:rPr>
        <w:lastRenderedPageBreak/>
        <w:t xml:space="preserve">l’intermédiaire des nœuds du GBIF et du Système d’informations sur la biodiversité de l’océan (OBIS), ainsi que grâce au Réseau d’observation de la biodiversité du Groupe sur l’observation de la Terre (GEO BON) (voir également le résumé de la </w:t>
      </w:r>
      <w:r w:rsidR="00E34DC9">
        <w:rPr>
          <w:rFonts w:eastAsia="Times New Roman" w:cs="Times New Roman"/>
          <w:lang w:val="fr-FR"/>
        </w:rPr>
        <w:t>cible 2</w:t>
      </w:r>
      <w:r w:rsidRPr="00653BF4">
        <w:rPr>
          <w:rFonts w:eastAsia="Times New Roman" w:cs="Times New Roman"/>
          <w:lang w:val="fr-FR"/>
        </w:rPr>
        <w:t>1 ci-dessus).</w:t>
      </w:r>
    </w:p>
    <w:p w14:paraId="5CAB59E3" w14:textId="77777777" w:rsidR="007A60EC" w:rsidRPr="00653BF4" w:rsidRDefault="007A60EC" w:rsidP="007A60EC">
      <w:pPr>
        <w:spacing w:after="200"/>
        <w:rPr>
          <w:rFonts w:eastAsia="Times New Roman" w:cs="Times New Roman"/>
          <w:lang w:val="fr-FR"/>
        </w:rPr>
      </w:pPr>
      <w:r w:rsidRPr="00653BF4">
        <w:rPr>
          <w:rFonts w:eastAsia="Times New Roman" w:cs="Times New Roman"/>
          <w:lang w:val="fr-FR"/>
        </w:rPr>
        <w:t>Plusieurs Parties indiquent que la coopération technique internationale les aide à développer leurs capacités de conservation et de recherche en matière de biodiversité. Les partenariats Nord-Sud facilitent le transfert de connaissances par le biais d’initiatives multilatérales axées sur des enjeux environnementaux liés notamment à la dégradation des terres et aux écosystèmes d’eau douce, ainsi que de programmes ciblés de création de capacités menés dans plusieurs pays à la fois. Les échanges Sud-Sud sont tout aussi importants, en ce qu’ils permettent aux Parties de partager des expériences et des compétences pertinentes, adaptées à des contextes écologiques et de développement similaires. Ces efforts de collaboration s’étendent à des partenariats de recherche, à des accords de transfert de technologies et à la participation à des réseaux et bases de données scientifiques mondiaux.</w:t>
      </w:r>
    </w:p>
    <w:p w14:paraId="34A45061" w14:textId="170D1C9F" w:rsidR="007A60EC" w:rsidRPr="00653BF4" w:rsidRDefault="007A60EC" w:rsidP="007A60EC">
      <w:pPr>
        <w:rPr>
          <w:rFonts w:eastAsia="Times New Roman" w:cs="Times New Roman"/>
          <w:i/>
          <w:iCs/>
          <w:lang w:val="fr-FR"/>
        </w:rPr>
      </w:pPr>
      <w:r w:rsidRPr="00653BF4">
        <w:rPr>
          <w:rFonts w:eastAsia="Times New Roman" w:cs="Times New Roman"/>
          <w:lang w:val="fr-FR"/>
        </w:rPr>
        <w:t xml:space="preserve">Les dispositifs de coopération entre accords multilatéraux sur l’environnement (AME) contribuent largement à la fourniture des moyens de mise en œuvre, comme cela est exposé à la </w:t>
      </w:r>
      <w:r w:rsidR="002878D7">
        <w:rPr>
          <w:rFonts w:eastAsia="Times New Roman" w:cs="Times New Roman"/>
          <w:lang w:val="fr-FR"/>
        </w:rPr>
        <w:t>section I</w:t>
      </w:r>
      <w:r w:rsidRPr="00653BF4">
        <w:rPr>
          <w:rFonts w:eastAsia="Times New Roman" w:cs="Times New Roman"/>
          <w:lang w:val="fr-FR"/>
        </w:rPr>
        <w:t xml:space="preserve">I.E ci-dessous. Ainsi, le sixième plan de travail conjoint de la Convention sur la diversité biologique et de la Convention relative aux zones humides d’importance internationale particulièrement comme habitats des oiseaux d’eau (2024-2030) comprend un domaine d’activité consacré à la mise en œuvre et au suivi, ainsi qu’à la fourniture d’orientations techniques relatives à l’intégration des zones humides dans les SPANB pour chacune des 23 cibles du Cadre. Le Plan d’action stratégique de Hangzhou (2026-2035) pour le Programme sur l’Homme et la biosphère et le Réseau mondial des réserves de biosphère de l’Organisation des Nations Unies pour l’éducation, la science et la culture, qui vise à ce que toutes les réserves de biosphère aient recensé leur contribution au Cadre d’ici à 2028, </w:t>
      </w:r>
      <w:r w:rsidRPr="00653BF4">
        <w:rPr>
          <w:lang w:val="fr-FR"/>
        </w:rPr>
        <w:t>est un exemple de la manière dont</w:t>
      </w:r>
      <w:r w:rsidRPr="00653BF4">
        <w:rPr>
          <w:rFonts w:eastAsia="Times New Roman" w:cs="Times New Roman"/>
          <w:lang w:val="fr-FR"/>
        </w:rPr>
        <w:t xml:space="preserve"> la coopération technique passe par des programmes des Nations Unies établis de longue date à l’appui de la mise en œuvre nationale</w:t>
      </w:r>
      <w:r w:rsidRPr="00653BF4">
        <w:rPr>
          <w:rFonts w:ascii="Aptos" w:eastAsia="Times New Roman" w:hAnsi="Aptos" w:cs="Aptos"/>
          <w:iCs/>
          <w:lang w:val="fr-FR"/>
        </w:rPr>
        <w:t>.</w:t>
      </w:r>
    </w:p>
    <w:p w14:paraId="1EAC56D5" w14:textId="77777777" w:rsidR="007A60EC" w:rsidRPr="00653BF4" w:rsidRDefault="007A60EC" w:rsidP="007A60EC">
      <w:pPr>
        <w:pStyle w:val="Heading4"/>
        <w:rPr>
          <w:rFonts w:eastAsia="Times New Roman" w:cs="Times New Roman"/>
          <w:i w:val="0"/>
          <w:iCs w:val="0"/>
          <w:color w:val="auto"/>
          <w:lang w:val="fr-FR"/>
        </w:rPr>
      </w:pPr>
    </w:p>
    <w:p w14:paraId="548BE8B1" w14:textId="084BB675" w:rsidR="007A60EC" w:rsidRPr="00653BF4" w:rsidRDefault="007A60EC" w:rsidP="007A60EC">
      <w:pPr>
        <w:pStyle w:val="Heading4"/>
        <w:rPr>
          <w:lang w:val="fr-FR"/>
        </w:rPr>
      </w:pPr>
      <w:bookmarkStart w:id="507" w:name="_Toc242801274"/>
      <w:bookmarkEnd w:id="506"/>
      <w:r w:rsidRPr="00653BF4">
        <w:rPr>
          <w:rFonts w:eastAsia="Times New Roman"/>
          <w:lang w:val="fr-FR"/>
        </w:rPr>
        <w:t>Accès aux technologies et transfert de technologies</w:t>
      </w:r>
      <w:bookmarkEnd w:id="507"/>
      <w:r w:rsidRPr="00653BF4">
        <w:rPr>
          <w:rFonts w:eastAsia="Times New Roman"/>
          <w:lang w:val="fr-FR"/>
        </w:rPr>
        <w:t xml:space="preserve"> </w:t>
      </w:r>
    </w:p>
    <w:p w14:paraId="166ABACD" w14:textId="77777777" w:rsidR="007A60EC" w:rsidRPr="00653BF4" w:rsidRDefault="007A60EC" w:rsidP="007A60EC">
      <w:pPr>
        <w:spacing w:after="200"/>
        <w:rPr>
          <w:rFonts w:ascii="Aptos" w:eastAsia="Aptos" w:hAnsi="Aptos" w:cs="Aptos"/>
          <w:lang w:val="fr-FR"/>
        </w:rPr>
      </w:pPr>
    </w:p>
    <w:p w14:paraId="178CFE8D" w14:textId="77777777" w:rsidR="007A60EC" w:rsidRPr="00653BF4" w:rsidRDefault="007A60EC" w:rsidP="007A60EC">
      <w:pPr>
        <w:spacing w:after="200"/>
        <w:rPr>
          <w:rFonts w:ascii="Aptos" w:eastAsia="Aptos" w:hAnsi="Aptos" w:cs="Aptos"/>
          <w:lang w:val="fr-FR"/>
        </w:rPr>
      </w:pPr>
      <w:bookmarkStart w:id="508" w:name="_Toc235521206"/>
      <w:r w:rsidRPr="00653BF4">
        <w:rPr>
          <w:rFonts w:ascii="Aptos" w:eastAsia="Aptos" w:hAnsi="Aptos" w:cs="Aptos"/>
          <w:lang w:val="fr-FR"/>
        </w:rPr>
        <w:t xml:space="preserve">Les Parties font état d’investissements dans des systèmes technologiques destinés à appuyer le suivi et la gestion de la biodiversité ainsi que le respect des obligations en la matière. Des progrès ont été réalisés dans le transfert de technologies destinées au suivi de la biodiversité. Des dispositifs de suivi intégrés associent la télédétection par imagerie </w:t>
      </w:r>
      <w:r w:rsidRPr="00653BF4">
        <w:rPr>
          <w:rFonts w:ascii="Aptos" w:eastAsia="Aptos" w:hAnsi="Aptos" w:cs="Aptos"/>
          <w:lang w:val="fr-FR"/>
        </w:rPr>
        <w:lastRenderedPageBreak/>
        <w:t xml:space="preserve">satellite, la surveillance par drone, la collecte de données de terrain et les SIG, et permettent un suivi en temps réel dans divers habitats, des milieux terrestres et des eaux intérieures aux écosystèmes marins et côtiers. Les technologies moléculaires et génomiques, notamment le code-barres ADN et l’analyse de l’ADN environnemental (ADNe), renforcent les capacités d’identification et de découverte des espèces. La disponibilité croissante d’outils d’un bon rapport coût-efficacité réduit davantage le coût unitaire de la production de données pour certaines de ces applications. Parallèlement, quelques Parties mettent en place une infrastructure numérique pour appliquer les cadres relatifs à l’accès et au partage des avantages, notamment des systèmes de suivi, des points de contrôle nationaux et des accords de partage des avantages avec les communautés, alignés sur les protocoles internationaux. Certaines Parties indiquent qu’elles modernisent leurs systèmes d’information sur la biodiversité en investissant dans des plateformes géospatiales, des centres d’échange et des systèmes numériques de suivi des indicateurs, afin de faciliter le partage des données et de fonder les décisions sur des données probantes. Si des progrès ont été réalisés dans la fourniture des moyens de mise en œuvre dans ce domaine, les Parties considèrent que le transfert de technologies destinées au suivi demeure une priorité et doit encore être renforcé, en cohérence avec les besoins technologiques recensés. </w:t>
      </w:r>
    </w:p>
    <w:p w14:paraId="170E23EB" w14:textId="77777777" w:rsidR="007A60EC" w:rsidRPr="00653BF4" w:rsidRDefault="007A60EC" w:rsidP="007A60EC">
      <w:pPr>
        <w:pStyle w:val="Heading4"/>
        <w:rPr>
          <w:rFonts w:eastAsia="Times New Roman"/>
          <w:lang w:val="fr-FR"/>
        </w:rPr>
      </w:pPr>
    </w:p>
    <w:p w14:paraId="1484A6CC" w14:textId="5B32527B" w:rsidR="007A60EC" w:rsidRPr="00653BF4" w:rsidRDefault="007A60EC" w:rsidP="007A60EC">
      <w:pPr>
        <w:pStyle w:val="Heading4"/>
        <w:rPr>
          <w:rFonts w:eastAsia="Times New Roman"/>
          <w:lang w:val="fr-FR"/>
        </w:rPr>
      </w:pPr>
      <w:bookmarkStart w:id="509" w:name="_Toc242801275"/>
      <w:bookmarkEnd w:id="508"/>
      <w:r w:rsidRPr="00653BF4">
        <w:rPr>
          <w:rFonts w:eastAsia="Times New Roman"/>
          <w:lang w:val="fr-FR"/>
        </w:rPr>
        <w:t>Observations finales</w:t>
      </w:r>
      <w:bookmarkEnd w:id="509"/>
    </w:p>
    <w:p w14:paraId="3FFF8AF8" w14:textId="77777777" w:rsidR="007A60EC" w:rsidRPr="00653BF4" w:rsidRDefault="007A60EC" w:rsidP="007A60EC">
      <w:pPr>
        <w:rPr>
          <w:lang w:val="fr-FR"/>
        </w:rPr>
      </w:pPr>
    </w:p>
    <w:p w14:paraId="49832209" w14:textId="77777777" w:rsidR="007A60EC" w:rsidRPr="00653BF4" w:rsidRDefault="007A60EC" w:rsidP="007A60EC">
      <w:pPr>
        <w:spacing w:after="200"/>
        <w:rPr>
          <w:lang w:val="fr-FR"/>
        </w:rPr>
      </w:pPr>
      <w:r w:rsidRPr="00653BF4">
        <w:rPr>
          <w:lang w:val="fr-FR"/>
        </w:rPr>
        <w:t>La fourniture des moyens de mise en œuvre dépend non seulement de l’offre, mais aussi de la capacité des institutions bénéficiaires. Le niveau de préparation institutionnelle – notamment l’existence d’unités spécialisées, de personnel qualifié et de procédures opérationnelles normalisées pour la réception et l’utilisation des ressources – varie considérablement, en particulier dans les pays en développement et les pays les moins avancés. Les procédures d’accès aux instruments multilatéraux demeurent une contrainte attestée, en particulier pour les Parties qui ont elles-mêmes besoin d’un soutien supplémentaire pour élaborer des projets. Les exigences de cofinancement peuvent limiter l’accès des acteurs ne disposant pas de ressources nationales suffisantes pour apporter des fonds de contrepartie. En outre, la courte durée de certains instruments de financement peut être mal adaptée au caractère à long terme des investissements dans la conservation</w:t>
      </w:r>
      <w:r w:rsidRPr="00653BF4">
        <w:rPr>
          <w:rFonts w:eastAsia="Times New Roman" w:cs="Times New Roman"/>
          <w:lang w:val="fr-FR"/>
        </w:rPr>
        <w:t xml:space="preserve">. </w:t>
      </w:r>
    </w:p>
    <w:p w14:paraId="46BD9A39" w14:textId="77777777" w:rsidR="007A60EC" w:rsidRPr="00653BF4" w:rsidRDefault="007A60EC" w:rsidP="007A60EC">
      <w:pPr>
        <w:spacing w:after="200"/>
        <w:rPr>
          <w:lang w:val="fr-FR"/>
        </w:rPr>
      </w:pPr>
      <w:r w:rsidRPr="00653BF4">
        <w:rPr>
          <w:rFonts w:eastAsia="Times New Roman" w:cs="Times New Roman"/>
          <w:lang w:val="fr-FR"/>
        </w:rPr>
        <w:t xml:space="preserve">Plusieurs Parties, en particulier les pays développés Parties, indiquent qu’elles améliorent la mise en œuvre en organisant leurs institutions de manière à leur permettre de poursuivre conjointement des objectifs environnementaux liés entre eux. Ces dispositifs </w:t>
      </w:r>
      <w:r w:rsidRPr="00653BF4">
        <w:rPr>
          <w:rFonts w:eastAsia="Times New Roman" w:cs="Times New Roman"/>
          <w:lang w:val="fr-FR"/>
        </w:rPr>
        <w:lastRenderedPageBreak/>
        <w:t xml:space="preserve">comprennent des comités de coordination interministérielle, des systèmes de suivi partagés qui facilitent l’établissement de rapports au titre de plusieurs conventions, ainsi que des mécanismes de cohérence des politiques qui relient les mesures en faveur de la biodiversité à celles concernant le climat, la dégradation des terres, les zones humides et la gouvernance environnementale au sens large. Certains pays en développement Parties ont mentionné le Fonds pour l’adaptation relevant de la Convention-cadre des Nations Unies sur les changements climatiques comme canal de cofinancement des solutions fondées sur la nature. Les Parties reconnaissent qu’il serait notamment possible, à l’avenir, de renforcer ces synergies en harmonisant les indicateurs et les processus d’établissement de rapports, de sorte que les données collectées une seule fois puissent être utilisées au titre de plusieurs conventions. En outre, lorsque les résultats visés se recoupent, les instruments de financement peuvent être conçus pour contribuer à la réalisation de plusieurs ensembles d’engagements. </w:t>
      </w:r>
    </w:p>
    <w:p w14:paraId="72D24635" w14:textId="77777777" w:rsidR="007A60EC" w:rsidRPr="00653BF4" w:rsidRDefault="007A60EC" w:rsidP="007A60EC">
      <w:pPr>
        <w:pStyle w:val="Heading3"/>
        <w:rPr>
          <w:lang w:val="fr-FR"/>
        </w:rPr>
      </w:pPr>
    </w:p>
    <w:p w14:paraId="07DC66BA" w14:textId="603A5F31" w:rsidR="007A60EC" w:rsidRPr="00653BF4" w:rsidRDefault="007A60EC" w:rsidP="007A60EC">
      <w:pPr>
        <w:pStyle w:val="Heading3"/>
        <w:rPr>
          <w:rFonts w:ascii="Aptos" w:eastAsia="Aptos" w:hAnsi="Aptos" w:cs="Aptos"/>
          <w:color w:val="008080"/>
          <w:sz w:val="24"/>
          <w:szCs w:val="24"/>
          <w:u w:val="single"/>
          <w:lang w:val="fr-FR"/>
        </w:rPr>
      </w:pPr>
      <w:bookmarkStart w:id="510" w:name="_Toc242801276"/>
      <w:r w:rsidRPr="00653BF4">
        <w:rPr>
          <w:lang w:val="fr-FR"/>
        </w:rPr>
        <w:t>Moyens de mise en œuvre pour les peuples autochtones et communautés locales, les femmes, les jeunes et les autres parties prenantes</w:t>
      </w:r>
      <w:bookmarkEnd w:id="510"/>
    </w:p>
    <w:p w14:paraId="2D5DB0A2" w14:textId="77777777" w:rsidR="007A60EC" w:rsidRPr="00653BF4" w:rsidRDefault="007A60EC" w:rsidP="007A60EC">
      <w:pPr>
        <w:spacing w:before="80" w:after="120"/>
        <w:rPr>
          <w:rFonts w:eastAsia="Times New Roman" w:cs="Times New Roman"/>
          <w:lang w:val="fr-FR"/>
        </w:rPr>
      </w:pPr>
    </w:p>
    <w:p w14:paraId="7E4E0021" w14:textId="77777777" w:rsidR="007A60EC" w:rsidRPr="00653BF4" w:rsidRDefault="007A60EC" w:rsidP="007A60EC">
      <w:pPr>
        <w:spacing w:before="80" w:after="120"/>
        <w:rPr>
          <w:rFonts w:eastAsia="Times New Roman" w:cs="Times New Roman"/>
          <w:lang w:val="fr-FR"/>
        </w:rPr>
      </w:pPr>
      <w:bookmarkStart w:id="511" w:name="_Toc235521208"/>
      <w:r w:rsidRPr="00653BF4">
        <w:rPr>
          <w:rFonts w:eastAsia="Times New Roman" w:cs="Times New Roman"/>
          <w:lang w:val="fr-FR"/>
        </w:rPr>
        <w:t>La présente section du rapport mondial porte sur les réussites, les difficultés et les lacunes constatées dans la fourniture des moyens de mise en œuvre du Cadre aux peuples autochtones et communautés locales, aux femmes, aux jeunes, aux autorités infranationales et locales ainsi qu’aux autres parties prenantes.</w:t>
      </w:r>
    </w:p>
    <w:p w14:paraId="1167E48F" w14:textId="0CCD7A67" w:rsidR="007A60EC" w:rsidRPr="00653BF4" w:rsidRDefault="007A60EC" w:rsidP="007A60EC">
      <w:pPr>
        <w:spacing w:before="80" w:after="120"/>
        <w:rPr>
          <w:rFonts w:eastAsia="Times New Roman" w:cs="Times New Roman"/>
          <w:lang w:val="fr-FR"/>
        </w:rPr>
      </w:pPr>
      <w:r w:rsidRPr="00653BF4">
        <w:rPr>
          <w:rFonts w:eastAsia="Times New Roman" w:cs="Times New Roman"/>
          <w:lang w:val="fr-FR"/>
        </w:rPr>
        <w:t>La plupart des Parties reconnaissent désormais largement les contributions de ces acteurs au Cadre. L’</w:t>
      </w:r>
      <w:r w:rsidR="002878D7">
        <w:rPr>
          <w:rFonts w:eastAsia="Times New Roman" w:cs="Times New Roman"/>
          <w:lang w:val="fr-FR"/>
        </w:rPr>
        <w:t>objectif D</w:t>
      </w:r>
      <w:r w:rsidRPr="00653BF4">
        <w:rPr>
          <w:rFonts w:eastAsia="Times New Roman" w:cs="Times New Roman"/>
          <w:lang w:val="fr-FR"/>
        </w:rPr>
        <w:t xml:space="preserve"> et les cibles 22 et 23 font explicitement de la participation, des droits et d’une mise en œuvre tenant compte du genre des conditions de réalisation, tandis que la </w:t>
      </w:r>
      <w:r w:rsidR="00E34DC9">
        <w:rPr>
          <w:rFonts w:eastAsia="Times New Roman" w:cs="Times New Roman"/>
          <w:lang w:val="fr-FR"/>
        </w:rPr>
        <w:t>cible 1</w:t>
      </w:r>
      <w:r w:rsidRPr="00653BF4">
        <w:rPr>
          <w:rFonts w:eastAsia="Times New Roman" w:cs="Times New Roman"/>
          <w:lang w:val="fr-FR"/>
        </w:rPr>
        <w:t xml:space="preserve">9 f) reconnaît dans les actions collectives menées par les peuples autochtones et communautés locales un volet distinct de la mobilisation des ressources. Cette reconnaissance trouve un appui supplémentaire dans la section C du Cadre, consacrée aux considérations relatives à sa mise en œuvre, où l’accent est mis sur une approche pansociétale et sur la participation pleine et effective des peuples autochtones et communautés locales, des femmes et des jeunes, ainsi que sur l’équité intergénérationnelle. L’Organe subsidiaire chargé du suivi de l’article 8 j) et des autres dispositions de la Convention sur la diversité biologique relatives aux peuples autochtones et communautés locales, créé par la Conférence des Parties à la Convention dans sa décision 16/5, a fourni des avis et des contributions concernant les connaissances traditionnelles, les innovations et les pratiques des peuples autochtones et communautés </w:t>
      </w:r>
      <w:r w:rsidRPr="00653BF4">
        <w:rPr>
          <w:rFonts w:eastAsia="Times New Roman" w:cs="Times New Roman"/>
          <w:lang w:val="fr-FR"/>
        </w:rPr>
        <w:lastRenderedPageBreak/>
        <w:t>locales, à prendre en compte dans l’élaboration du rapport mondial. Dans la recommandation qu’il a adoptée (rec. 1/5, CDB, 2025b), l’Organe subsidiaire a souligné la nécessité de soutenir la participation des peuples autochtones et communautés locales, y compris des femmes et des jeunes qui en sont issus, à l’établissement des rapports nationaux et du rapport mondial, notamment par la création de capacités et par un appui financier et technique.</w:t>
      </w:r>
    </w:p>
    <w:p w14:paraId="59B7EB15" w14:textId="77777777" w:rsidR="007A60EC" w:rsidRPr="00653BF4" w:rsidRDefault="007A60EC" w:rsidP="007A60EC">
      <w:pPr>
        <w:spacing w:before="80" w:after="120"/>
        <w:rPr>
          <w:lang w:val="fr-FR"/>
        </w:rPr>
      </w:pPr>
      <w:r w:rsidRPr="00653BF4">
        <w:rPr>
          <w:rFonts w:eastAsia="Times New Roman" w:cs="Times New Roman"/>
          <w:lang w:val="fr-FR"/>
        </w:rPr>
        <w:t>Il ressort toutefois des communications examinées aux fins du présent rapport que les mécanismes d’appui dont bénéficient ces acteurs restent inégaux et que, dans de nombreux cas, les données sur les flux correspondants sont elles-mêmes incomplètes.</w:t>
      </w:r>
    </w:p>
    <w:p w14:paraId="7FC27A1D" w14:textId="77777777" w:rsidR="007A60EC" w:rsidRPr="00653BF4" w:rsidRDefault="007A60EC" w:rsidP="007A60EC">
      <w:pPr>
        <w:spacing w:before="80" w:after="120"/>
        <w:rPr>
          <w:rFonts w:eastAsia="Times New Roman"/>
          <w:lang w:val="fr-FR"/>
        </w:rPr>
      </w:pPr>
    </w:p>
    <w:p w14:paraId="62D3A38B" w14:textId="0303DBBD" w:rsidR="007A60EC" w:rsidRPr="00653BF4" w:rsidRDefault="007A60EC" w:rsidP="007A60EC">
      <w:pPr>
        <w:pStyle w:val="Heading4"/>
        <w:rPr>
          <w:lang w:val="fr-FR"/>
        </w:rPr>
      </w:pPr>
      <w:bookmarkStart w:id="512" w:name="_Toc242801277"/>
      <w:bookmarkEnd w:id="511"/>
      <w:r w:rsidRPr="00653BF4">
        <w:rPr>
          <w:rFonts w:ascii="Aptos" w:hAnsi="Aptos" w:cs="Aptos"/>
          <w:iCs w:val="0"/>
          <w:lang w:val="fr-FR"/>
        </w:rPr>
        <w:t>Ressources financières</w:t>
      </w:r>
      <w:bookmarkEnd w:id="512"/>
    </w:p>
    <w:p w14:paraId="6C35F2D2" w14:textId="77777777" w:rsidR="007A60EC" w:rsidRPr="00653BF4" w:rsidRDefault="007A60EC" w:rsidP="007A60EC">
      <w:pPr>
        <w:spacing w:before="80" w:after="120"/>
        <w:rPr>
          <w:rFonts w:eastAsia="Times New Roman" w:cs="Times New Roman"/>
          <w:lang w:val="fr-FR"/>
        </w:rPr>
      </w:pPr>
    </w:p>
    <w:p w14:paraId="6CB14EA2" w14:textId="5F3ED8F2" w:rsidR="007A60EC" w:rsidRPr="00653BF4" w:rsidRDefault="007A60EC" w:rsidP="007A60EC">
      <w:pPr>
        <w:spacing w:before="80" w:after="120"/>
        <w:rPr>
          <w:lang w:val="fr-FR"/>
        </w:rPr>
      </w:pPr>
      <w:r w:rsidRPr="00653BF4">
        <w:rPr>
          <w:lang w:val="fr-FR"/>
        </w:rPr>
        <w:t xml:space="preserve">L’appui aux acteurs autres que les gouvernements nationaux est le plus souvent abordé sous l’angle des ressources financières, l’une des quatre composantes des moyens de mise en œuvre. C’est pourtant dans ce domaine que l’écart entre la reconnaissance et l’appui effectivement apporté est le plus manifeste. Parmi les actions communiquées au titre de la </w:t>
      </w:r>
      <w:r w:rsidR="00E34DC9">
        <w:rPr>
          <w:lang w:val="fr-FR"/>
        </w:rPr>
        <w:t>cible 1</w:t>
      </w:r>
      <w:r w:rsidRPr="00653BF4">
        <w:rPr>
          <w:lang w:val="fr-FR"/>
        </w:rPr>
        <w:t>9 du Cadre, seule une minorité mentionne explicitement des financements reçus par les peuples autochtones et communautés locales, les femmes, les jeunes ou les autorités infranationales et locales</w:t>
      </w:r>
      <w:r w:rsidRPr="00653BF4">
        <w:rPr>
          <w:rFonts w:eastAsia="Times New Roman" w:cs="Times New Roman"/>
          <w:lang w:val="fr-FR"/>
        </w:rPr>
        <w:t>.</w:t>
      </w:r>
    </w:p>
    <w:p w14:paraId="69228FDD" w14:textId="1E86031D" w:rsidR="007A60EC" w:rsidRPr="00653BF4" w:rsidRDefault="007A60EC" w:rsidP="007A60EC">
      <w:pPr>
        <w:spacing w:before="80" w:after="120"/>
        <w:rPr>
          <w:lang w:val="fr-FR"/>
        </w:rPr>
      </w:pPr>
      <w:r w:rsidRPr="00653BF4">
        <w:rPr>
          <w:rFonts w:eastAsia="Times New Roman" w:cs="Times New Roman"/>
          <w:lang w:val="fr-FR"/>
        </w:rPr>
        <w:t xml:space="preserve">Peu de Parties font état de mécanismes de financement substantiels et prévisibles spécialement destinés aux peuples autochtones et communautés locales. L’appui leur parvient le plus souvent de manière indirecte, notamment au travers de dispositifs de cogestion au sein des systèmes de zones protégées, de fonds environnementaux aux critères d’admissibilité généraux ou de projets financés par des donateurs et exécutés par des organisations non gouvernementales nationales. Les modalités d’accès direct des peuples autochtones et communautés locales à un appui financier restent rares, et l’essentiel de ces financements transite indirectement par des organismes nationaux ou des partenaires d’exécution internationaux. Il en résulte que les délais de décaissement, les règles d’admissibilité et la charge liée à l’établissement des rapports sont rarement adaptés aux réalités de terrain de ces peuples et communautés ainsi que de leurs organisations. Les données communiquées sur les actions collectives au titre de la </w:t>
      </w:r>
      <w:r w:rsidR="00E34DC9">
        <w:rPr>
          <w:rFonts w:eastAsia="Times New Roman" w:cs="Times New Roman"/>
          <w:lang w:val="fr-FR"/>
        </w:rPr>
        <w:t>cible 1</w:t>
      </w:r>
      <w:r w:rsidRPr="00653BF4">
        <w:rPr>
          <w:rFonts w:eastAsia="Times New Roman" w:cs="Times New Roman"/>
          <w:lang w:val="fr-FR"/>
        </w:rPr>
        <w:t xml:space="preserve">9 f) sont trop limitées pour permettre d’évaluer le volume ou la part de ces flux et, lorsque l’information existe, elle concerne généralement des projets isolés et non l’ensemble du système. </w:t>
      </w:r>
    </w:p>
    <w:p w14:paraId="6DF60A97" w14:textId="77777777" w:rsidR="007A60EC" w:rsidRPr="00653BF4" w:rsidRDefault="007A60EC" w:rsidP="007A60EC">
      <w:pPr>
        <w:spacing w:before="80" w:after="120"/>
        <w:rPr>
          <w:lang w:val="fr-FR"/>
        </w:rPr>
      </w:pPr>
    </w:p>
    <w:p w14:paraId="130145FC" w14:textId="77777777" w:rsidR="007A60EC" w:rsidRPr="00653BF4" w:rsidRDefault="007A60EC" w:rsidP="007A60EC">
      <w:pPr>
        <w:spacing w:before="80" w:after="120"/>
        <w:rPr>
          <w:lang w:val="fr-FR"/>
        </w:rPr>
      </w:pPr>
      <w:r w:rsidRPr="00653BF4">
        <w:rPr>
          <w:rFonts w:eastAsia="Times New Roman" w:cs="Times New Roman"/>
          <w:lang w:val="fr-FR"/>
        </w:rPr>
        <w:lastRenderedPageBreak/>
        <w:t xml:space="preserve">Les données sur les ressources financières qui parviennent aux femmes dans le cadre de leur action en faveur de la biodiversité sont encore plus limitées que celles qui concernent l’appui aux peuples autochtones et communautés locales. Lorsque les Parties mentionnent ces ressources, elles évoquent généralement les exigences de prise en compte du genre intégrées aux financements internationaux et multilatéraux, ainsi que l’appui ciblé aux moyens d’existence et aux entreprises des femmes apporté dans le cadre de programmes nationaux et de projets financés par des bailleurs de fonds. La budgétisation nationale tenant compte du genre et les cadres relatifs à l’égalité des genres ont certes commencé à influer sur le financement de la biodiversité, mais peu de Parties les évoquent dans leurs rapports nationaux. Plusieurs Parties notent que la budgétisation tenant compte du genre, malgré des progrès d’ensemble, se traduit encore peu par des crédits réservés à la biodiversité. Autre difficulté persistante, peu de Parties communiquent des données financières ventilées par sexe, si bien que l’on ignore en grande partie quelle part des dépenses nationales de biodiversité transite par des organisations dirigées par des femmes ou est consacrée à des activités tenant compte du genre. </w:t>
      </w:r>
    </w:p>
    <w:p w14:paraId="32E6833A" w14:textId="77777777" w:rsidR="007A60EC" w:rsidRPr="00653BF4" w:rsidRDefault="007A60EC" w:rsidP="007A60EC">
      <w:pPr>
        <w:spacing w:before="80" w:after="120"/>
        <w:rPr>
          <w:rFonts w:eastAsia="Times New Roman" w:cs="Times New Roman"/>
          <w:lang w:val="fr-FR"/>
        </w:rPr>
      </w:pPr>
    </w:p>
    <w:p w14:paraId="50452821" w14:textId="77777777" w:rsidR="007A60EC" w:rsidRPr="00653BF4" w:rsidRDefault="007A60EC" w:rsidP="007A60EC">
      <w:pPr>
        <w:spacing w:before="80" w:after="120"/>
        <w:rPr>
          <w:lang w:val="fr-FR"/>
        </w:rPr>
      </w:pPr>
      <w:r w:rsidRPr="00653BF4">
        <w:rPr>
          <w:rFonts w:eastAsia="Times New Roman" w:cs="Times New Roman"/>
          <w:lang w:val="fr-FR"/>
        </w:rPr>
        <w:t xml:space="preserve">Lorsqu’il est mentionné, l’appui financier expressément destiné aux jeunes prend le plus souvent la forme d’une aide indirecte (bourses, stages ou allocations) ou de subventions de faible montant accordées à des projets et gérées par des organismes nationaux, des ministères de la jeunesse ou des organisations non gouvernementales à vocation environnementale. Un petit nombre de Parties font état d’initiatives spécialement destinées aux jeunes, notamment d’un </w:t>
      </w:r>
      <w:r w:rsidRPr="00653BF4">
        <w:rPr>
          <w:lang w:val="fr-FR"/>
        </w:rPr>
        <w:t>appui à des projets en faveur de la biodiversité menés par des jeunes</w:t>
      </w:r>
      <w:r w:rsidRPr="00653BF4">
        <w:rPr>
          <w:rFonts w:eastAsia="Times New Roman" w:cs="Times New Roman"/>
          <w:lang w:val="fr-FR"/>
        </w:rPr>
        <w:t>, de formations professionnelles telles que des programmes à l’intention des guides nature et d’une collaboration avec les antennes nationales du Réseau mondial des jeunes pour la biodiversité. Les engagements financiers communiqués pour ces initiatives restent toutefois généralement modestes. Les antennes nationales du Réseau mondial des jeunes pour la biodiversité et les plateformes similaires dirigées par des jeunes deviennent peu à peu des relais de mobilisation. Plusieurs Parties indiquent également que la participation des jeunes à la gouvernance de la biodiversité est officiellement reconnue. Les flux financiers mentionnés sont en règle générale liés à des projets et soumis à des cycles de financement courts, et peu d’éléments attestent l’existence d’un appui pluriannuel ou institutionnel aux organisations de jeunesse.</w:t>
      </w:r>
    </w:p>
    <w:p w14:paraId="08214E96" w14:textId="77777777" w:rsidR="007A60EC" w:rsidRPr="00653BF4" w:rsidRDefault="007A60EC" w:rsidP="007A60EC">
      <w:pPr>
        <w:spacing w:before="80" w:after="120"/>
        <w:rPr>
          <w:lang w:val="fr-FR"/>
        </w:rPr>
      </w:pPr>
      <w:bookmarkStart w:id="513" w:name="_Toc235521209"/>
      <w:r w:rsidRPr="00653BF4">
        <w:rPr>
          <w:rFonts w:eastAsia="Times New Roman" w:cs="Times New Roman"/>
          <w:lang w:val="fr-FR"/>
        </w:rPr>
        <w:t xml:space="preserve">Plusieurs rapports nationaux mentionnent une collaboration avec les autorités infranationales et locales, notamment celles des provinces, des États fédérés, des régions, des municipalités et des autres collectivités locales. Un petit nombre de pays développés Parties, et quelques pays en développement Parties, font état d’un appui budgétaire direct </w:t>
      </w:r>
      <w:r w:rsidRPr="00653BF4">
        <w:rPr>
          <w:rFonts w:eastAsia="Times New Roman" w:cs="Times New Roman"/>
          <w:lang w:val="fr-FR"/>
        </w:rPr>
        <w:lastRenderedPageBreak/>
        <w:t>transitant du niveau national vers le niveau infranational pour financer l’action en faveur de la biodiversité, notamment des fonds affectés à la biodiversité et accessibles aux municipalités, un financement de mesures liées aux écosystèmes, avec un cofinancement des autorités provinciales, et des fonds spécialement consacrés à la restauration de la nature alimentant directement les budgets des autorités locales. Quelques pays en développement Parties ont mentionné l’intégration de la biodiversité dans leurs systèmes infranationaux de planification et de budgétisation, comme en témoignent l’inscription, dans les plans locaux de développement et d’investissement, de mesures communautaires de gestion des ressources naturelles, notamment au moyen d’autres mesures efficaces de conservation par zone, et la prise en compte de la biodiversité dans la réduction des risques de catastrophe et l’aménagement du territoire à l’échelle municipale.</w:t>
      </w:r>
    </w:p>
    <w:p w14:paraId="00D086BF" w14:textId="77777777" w:rsidR="007A60EC" w:rsidRPr="00653BF4" w:rsidRDefault="007A60EC" w:rsidP="007A60EC">
      <w:pPr>
        <w:spacing w:before="80" w:after="120"/>
        <w:rPr>
          <w:lang w:val="fr-FR"/>
        </w:rPr>
      </w:pPr>
      <w:bookmarkStart w:id="514" w:name="OLE_LINK1"/>
      <w:r w:rsidRPr="00653BF4">
        <w:rPr>
          <w:rFonts w:eastAsia="Times New Roman" w:cs="Times New Roman"/>
          <w:lang w:val="fr-FR"/>
        </w:rPr>
        <w:t>Les rapports nationaux présentent certes quelques exemples de systèmes fédéraux et décentralisés, de transferts budgétaires vers le niveau infranational et de fonds infranationaux affectés à la biodiversité et déjà en fonctionnement, et un petit nombre de Parties décrivent l’intégration de la biodiversité dans leurs instruments locaux de planification et de budgétisation, mais dans de nombreux rapports, les autorités infranationales et locales apparaissent comme des partenaires d’exécution plutôt que comme des acteurs qui assurent un financement prévisible de la biodiversité. Les rapports nationaux ne fournissent guère d’indications sur la part des dépenses nationales de biodiversité qui parvient au niveau infranational, autorités locales comprises.</w:t>
      </w:r>
    </w:p>
    <w:p w14:paraId="5ACDEDFB" w14:textId="236F05A6" w:rsidR="007A60EC" w:rsidRPr="00653BF4" w:rsidRDefault="007A60EC" w:rsidP="007A60EC">
      <w:pPr>
        <w:spacing w:before="80" w:after="120"/>
        <w:rPr>
          <w:lang w:val="fr-FR"/>
        </w:rPr>
      </w:pPr>
      <w:r w:rsidRPr="00653BF4">
        <w:rPr>
          <w:rFonts w:eastAsia="Times New Roman" w:cs="Times New Roman"/>
          <w:lang w:val="fr-FR"/>
        </w:rPr>
        <w:t xml:space="preserve">Les personnes handicapées et les défenseurs des droits de l’homme en matière d’environnement, deux groupes explicitement cités dans la </w:t>
      </w:r>
      <w:r w:rsidR="00E34DC9">
        <w:rPr>
          <w:rFonts w:eastAsia="Times New Roman" w:cs="Times New Roman"/>
          <w:lang w:val="fr-FR"/>
        </w:rPr>
        <w:t>cible 2</w:t>
      </w:r>
      <w:r w:rsidRPr="00653BF4">
        <w:rPr>
          <w:rFonts w:eastAsia="Times New Roman" w:cs="Times New Roman"/>
          <w:lang w:val="fr-FR"/>
        </w:rPr>
        <w:t xml:space="preserve">2, sont mentionnés dans bien moins d’actions que les autres groupes visés par cette cible. Les rapports fournissent par ailleurs très peu d’informations à leur sujet. </w:t>
      </w:r>
    </w:p>
    <w:bookmarkEnd w:id="514"/>
    <w:p w14:paraId="292F908D" w14:textId="77777777" w:rsidR="007A60EC" w:rsidRPr="00653BF4" w:rsidRDefault="007A60EC" w:rsidP="007A60EC">
      <w:pPr>
        <w:pStyle w:val="Heading4"/>
        <w:rPr>
          <w:rFonts w:eastAsia="Times New Roman"/>
          <w:lang w:val="fr-FR"/>
        </w:rPr>
      </w:pPr>
    </w:p>
    <w:p w14:paraId="20C9326A" w14:textId="77777777" w:rsidR="007A60EC" w:rsidRPr="00653BF4" w:rsidRDefault="007A60EC" w:rsidP="007A60EC">
      <w:pPr>
        <w:pStyle w:val="Heading4"/>
        <w:rPr>
          <w:color w:val="auto"/>
          <w:lang w:val="fr-FR"/>
        </w:rPr>
      </w:pPr>
      <w:bookmarkStart w:id="515" w:name="_Toc242801278"/>
      <w:bookmarkEnd w:id="513"/>
      <w:r w:rsidRPr="00653BF4">
        <w:rPr>
          <w:rFonts w:eastAsia="Times New Roman"/>
          <w:lang w:val="fr-FR"/>
        </w:rPr>
        <w:t>Capacités</w:t>
      </w:r>
      <w:bookmarkEnd w:id="515"/>
    </w:p>
    <w:p w14:paraId="619FC108" w14:textId="77777777" w:rsidR="007A60EC" w:rsidRPr="00653BF4" w:rsidRDefault="007A60EC" w:rsidP="007A60EC">
      <w:pPr>
        <w:spacing w:before="80" w:after="120"/>
        <w:rPr>
          <w:rFonts w:eastAsia="Times New Roman" w:cs="Times New Roman"/>
          <w:lang w:val="fr-FR"/>
        </w:rPr>
      </w:pPr>
    </w:p>
    <w:p w14:paraId="48BD3668" w14:textId="77777777" w:rsidR="007A60EC" w:rsidRPr="00653BF4" w:rsidRDefault="007A60EC" w:rsidP="007A60EC">
      <w:pPr>
        <w:spacing w:before="80" w:after="120"/>
        <w:rPr>
          <w:rFonts w:eastAsia="Times New Roman" w:cs="Times New Roman"/>
          <w:lang w:val="fr-FR"/>
        </w:rPr>
      </w:pPr>
      <w:r w:rsidRPr="00653BF4">
        <w:rPr>
          <w:rFonts w:eastAsia="Times New Roman" w:cs="Times New Roman"/>
          <w:lang w:val="fr-FR"/>
        </w:rPr>
        <w:t xml:space="preserve">Plusieurs Parties décrivent des dispositifs dans lesquels les peuples autochtones et communautés locales apportent eux-mêmes des capacités, par exemple dans le cadre de la cogestion des zones protégées, de la conception concertée des plans de gestion et d’organes de gouvernance conjoints. Quelques Parties indiquent avoir institutionnalisé les connaissances traditionnelles au moyen de programmes nationaux de sensibilisation et d’initiatives visant à autonomiser les femmes et les jeunes en tant que gardiens de ces savoirs dans la planification de la conservation, démarche qui passe par la création d’organes d’experts indépendants comprenant des représentants autochtones ou par la </w:t>
      </w:r>
      <w:r w:rsidRPr="00653BF4">
        <w:rPr>
          <w:rFonts w:eastAsia="Times New Roman" w:cs="Times New Roman"/>
          <w:lang w:val="fr-FR"/>
        </w:rPr>
        <w:lastRenderedPageBreak/>
        <w:t>mise en place de dispositifs de cogestion qui reconnaissent les systèmes de connaissances autochtones et les pratiques coutumières d’utilisation durable.</w:t>
      </w:r>
    </w:p>
    <w:p w14:paraId="1DDD2034" w14:textId="77777777" w:rsidR="007A60EC" w:rsidRPr="00653BF4" w:rsidRDefault="007A60EC" w:rsidP="007A60EC">
      <w:pPr>
        <w:spacing w:before="80" w:after="120"/>
        <w:rPr>
          <w:rFonts w:eastAsia="Times New Roman" w:cs="Times New Roman"/>
          <w:lang w:val="fr-FR"/>
        </w:rPr>
      </w:pPr>
      <w:r w:rsidRPr="00653BF4">
        <w:rPr>
          <w:rFonts w:eastAsia="Times New Roman" w:cs="Times New Roman"/>
          <w:lang w:val="fr-FR"/>
        </w:rPr>
        <w:t>Les rapports font état de diverses approches de création de capacités à l’intention des femmes dans la gouvernance de la biodiversité, notamment l’élaboration de stratégies nationales liant l’égalité des genres à cette gouvernance, l’instauration de quotas obligatoires pour garantir la participation des femmes aux formations environnementales et leur accès aux postes de direction, l’intégration de critères de genre dans les décisions relatives à la gestion des ressources, l’appui aux entreprises dirigées par des femmes dans les secteurs de l’environnement, la formation de correspondants pour les questions de genre et des investissements dans des analyses de genre destinées à éclairer les futurs plans d’action.</w:t>
      </w:r>
    </w:p>
    <w:p w14:paraId="47293E5C" w14:textId="06E37F40" w:rsidR="007A60EC" w:rsidRPr="00653BF4" w:rsidRDefault="007A60EC" w:rsidP="007A60EC">
      <w:pPr>
        <w:spacing w:before="80" w:after="120"/>
        <w:rPr>
          <w:rFonts w:eastAsia="Times New Roman" w:cs="Times New Roman"/>
          <w:lang w:val="fr-FR"/>
        </w:rPr>
      </w:pPr>
      <w:r w:rsidRPr="00653BF4">
        <w:rPr>
          <w:rFonts w:eastAsia="Times New Roman" w:cs="Times New Roman"/>
          <w:lang w:val="fr-FR"/>
        </w:rPr>
        <w:t xml:space="preserve">Un certain nombre de Parties font état d’activités de création de capacités destinées aux jeunes. Un petit nombre de Parties décrivent des instruments ciblés, notamment des plateformes nationales d’enseignement à distance portant sur la gestion environnementale et la gouvernance territoriale, ainsi que des </w:t>
      </w:r>
      <w:r w:rsidR="00E34DC9">
        <w:rPr>
          <w:rFonts w:eastAsia="Times New Roman" w:cs="Times New Roman"/>
          <w:lang w:val="fr-FR"/>
        </w:rPr>
        <w:t>« </w:t>
      </w:r>
      <w:r w:rsidRPr="00653BF4">
        <w:rPr>
          <w:rFonts w:eastAsia="Times New Roman" w:cs="Times New Roman"/>
          <w:lang w:val="fr-FR"/>
        </w:rPr>
        <w:t>laboratoires vivants</w:t>
      </w:r>
      <w:r w:rsidR="00E34DC9">
        <w:rPr>
          <w:rFonts w:eastAsia="Times New Roman" w:cs="Times New Roman"/>
          <w:lang w:val="fr-FR"/>
        </w:rPr>
        <w:t> »</w:t>
      </w:r>
      <w:r w:rsidRPr="00653BF4">
        <w:rPr>
          <w:rFonts w:eastAsia="Times New Roman" w:cs="Times New Roman"/>
          <w:lang w:val="fr-FR"/>
        </w:rPr>
        <w:t xml:space="preserve"> environnementaux axés sur les jeunes. De nombreuses Parties mentionnent </w:t>
      </w:r>
      <w:r w:rsidRPr="00653BF4">
        <w:rPr>
          <w:lang w:val="fr-FR"/>
        </w:rPr>
        <w:t>l’intégration de connaissances sur la biodiversité dans les programmes scolaires</w:t>
      </w:r>
      <w:r w:rsidRPr="00653BF4">
        <w:rPr>
          <w:rFonts w:eastAsia="Times New Roman" w:cs="Times New Roman"/>
          <w:lang w:val="fr-FR"/>
        </w:rPr>
        <w:t xml:space="preserve"> et les programmes de formation des enseignants.</w:t>
      </w:r>
    </w:p>
    <w:p w14:paraId="144A369A" w14:textId="77777777" w:rsidR="007A60EC" w:rsidRPr="00653BF4" w:rsidRDefault="007A60EC" w:rsidP="007A60EC">
      <w:pPr>
        <w:spacing w:before="80" w:after="120"/>
        <w:rPr>
          <w:rFonts w:eastAsia="Times New Roman" w:cs="Times New Roman"/>
          <w:lang w:val="fr-FR"/>
        </w:rPr>
      </w:pPr>
      <w:r w:rsidRPr="00653BF4">
        <w:rPr>
          <w:rFonts w:eastAsia="Times New Roman" w:cs="Times New Roman"/>
          <w:lang w:val="fr-FR"/>
        </w:rPr>
        <w:t>Les Parties indiquent que la création de capacités des autorités infranationales et locales passe par des programmes de formation destinés au personnel des autorités locales, par l’élaboration et la mise en œuvre de plans de création de capacités liés à la gestion des zones protégées et par la participation de représentants de ces autorités à l’élaboration des SPANB.</w:t>
      </w:r>
    </w:p>
    <w:p w14:paraId="7E1D69FD" w14:textId="77777777" w:rsidR="007A60EC" w:rsidRPr="00653BF4" w:rsidRDefault="007A60EC" w:rsidP="007A60EC">
      <w:pPr>
        <w:spacing w:before="80" w:after="120"/>
        <w:rPr>
          <w:lang w:val="fr-FR"/>
        </w:rPr>
      </w:pPr>
    </w:p>
    <w:p w14:paraId="49780A04" w14:textId="4E49DD25" w:rsidR="007A60EC" w:rsidRPr="00653BF4" w:rsidRDefault="007A60EC" w:rsidP="007A60EC">
      <w:pPr>
        <w:pStyle w:val="Heading4"/>
        <w:rPr>
          <w:rFonts w:eastAsia="Times New Roman"/>
          <w:lang w:val="fr-FR"/>
        </w:rPr>
      </w:pPr>
      <w:bookmarkStart w:id="516" w:name="_Toc242801279"/>
      <w:r w:rsidRPr="00653BF4">
        <w:rPr>
          <w:rFonts w:eastAsia="Times New Roman"/>
          <w:lang w:val="fr-FR"/>
        </w:rPr>
        <w:t>Coopération technique et scientifique</w:t>
      </w:r>
      <w:bookmarkEnd w:id="516"/>
    </w:p>
    <w:p w14:paraId="1D252614" w14:textId="77777777" w:rsidR="007A60EC" w:rsidRPr="00653BF4" w:rsidRDefault="007A60EC" w:rsidP="007A60EC">
      <w:pPr>
        <w:rPr>
          <w:lang w:val="fr-FR"/>
        </w:rPr>
      </w:pPr>
    </w:p>
    <w:p w14:paraId="353292F3" w14:textId="77777777" w:rsidR="007A60EC" w:rsidRPr="00653BF4" w:rsidRDefault="007A60EC" w:rsidP="007A60EC">
      <w:pPr>
        <w:spacing w:before="80" w:after="120"/>
        <w:rPr>
          <w:rFonts w:eastAsia="Times New Roman" w:cs="Times New Roman"/>
          <w:lang w:val="fr-FR"/>
        </w:rPr>
      </w:pPr>
      <w:r w:rsidRPr="00653BF4">
        <w:rPr>
          <w:lang w:val="fr-FR"/>
        </w:rPr>
        <w:t>Les rapports contiennent moins d’informations sur la coopération technique et scientifique dont bénéficient ces acteurs que sur le financement ou les capacités</w:t>
      </w:r>
      <w:r w:rsidRPr="00653BF4">
        <w:rPr>
          <w:rFonts w:eastAsia="Times New Roman" w:cs="Times New Roman"/>
          <w:lang w:val="fr-FR"/>
        </w:rPr>
        <w:t xml:space="preserve">. Un petit nombre de Parties indiquent associer les peuples autochtones et communautés locales à la recherche, aux systèmes d’information et à la planification en matière de biodiversité. Parmi les exemples cités à ce titre figure l’intégration des connaissances traditionnelles dans la planification nationale de la biodiversité et, dans certains cas, dans les cadres de suivi. Les exemples plus précis de pratiques émergentes sont plus rares. À cet égard, une Partie fait état de la ventilation des données relatives à la biodiversité en fonction du régime de propriété forestière, y compris pour les terres gérées par les peuples </w:t>
      </w:r>
      <w:r w:rsidRPr="00653BF4">
        <w:rPr>
          <w:rFonts w:eastAsia="Times New Roman" w:cs="Times New Roman"/>
          <w:lang w:val="fr-FR"/>
        </w:rPr>
        <w:lastRenderedPageBreak/>
        <w:t>autochtones et communautés locales, tandis qu’une autre mentionne des consultations participatives au niveau infranational pour la révision des SPANB, auxquelles sont associés les autorités locales, la société civile, les organisations de femmes, les instituts de recherche et les représentants des peuples autochtones et communautés locales.</w:t>
      </w:r>
    </w:p>
    <w:p w14:paraId="703C4B44" w14:textId="77777777" w:rsidR="007A60EC" w:rsidRPr="00653BF4" w:rsidRDefault="007A60EC" w:rsidP="007A60EC">
      <w:pPr>
        <w:spacing w:before="80" w:after="120"/>
        <w:rPr>
          <w:rFonts w:eastAsia="Times New Roman" w:cs="Times New Roman"/>
          <w:lang w:val="fr-FR"/>
        </w:rPr>
      </w:pPr>
      <w:r w:rsidRPr="00653BF4">
        <w:rPr>
          <w:rFonts w:eastAsia="Times New Roman" w:cs="Times New Roman"/>
          <w:lang w:val="fr-FR"/>
        </w:rPr>
        <w:t>Un nombre limité de Parties évoquent la participation des femmes et des jeunes aux organes scientifiques et techniques ainsi qu’aux comités et conseils consultatifs. Elles la présentent généralement comme un élément d’un cadre plus large favorisant une participation inclusive, plutôt que comme une mesure distincte.</w:t>
      </w:r>
    </w:p>
    <w:p w14:paraId="54206B7C" w14:textId="77777777" w:rsidR="007A60EC" w:rsidRPr="00653BF4" w:rsidRDefault="007A60EC" w:rsidP="007A60EC">
      <w:pPr>
        <w:spacing w:before="80" w:after="120"/>
        <w:rPr>
          <w:rFonts w:eastAsia="Times New Roman" w:cs="Times New Roman"/>
          <w:lang w:val="fr-FR"/>
        </w:rPr>
      </w:pPr>
      <w:r w:rsidRPr="00653BF4">
        <w:rPr>
          <w:rFonts w:eastAsia="Times New Roman" w:cs="Times New Roman"/>
          <w:lang w:val="fr-FR"/>
        </w:rPr>
        <w:t>Les infrastructures de données infranationales présentent des disparités d’une Partie à l’autre. Dans les systèmes fédéraux et décentralisés, les Parties indiquent que l’agrégation des données infranationales en vue de l’établissement des rapports nationaux pose toujours des difficultés techniques et institutionnelles.</w:t>
      </w:r>
    </w:p>
    <w:p w14:paraId="7AC85094" w14:textId="77777777" w:rsidR="007A60EC" w:rsidRPr="00653BF4" w:rsidRDefault="007A60EC" w:rsidP="007A60EC">
      <w:pPr>
        <w:spacing w:before="80" w:after="120"/>
        <w:rPr>
          <w:rFonts w:eastAsia="Times New Roman" w:cs="Times New Roman"/>
          <w:lang w:val="fr-FR"/>
        </w:rPr>
      </w:pPr>
      <w:r w:rsidRPr="00653BF4">
        <w:rPr>
          <w:rFonts w:eastAsia="Times New Roman" w:cs="Times New Roman"/>
          <w:lang w:val="fr-FR"/>
        </w:rPr>
        <w:t>Un petit nombre de Parties font état de programmes de coopération internationale et régionale ciblant explicitement ces groupes d’acteurs. Parmi les exemples figurent des initiatives de longue date relatives au climat et aux forêts qui prévoient un appui particulier aux peuples autochtones et communautés locales, ainsi que des conférences internationales de la jeunesse sur la biodiversité.</w:t>
      </w:r>
    </w:p>
    <w:p w14:paraId="71C84A7A" w14:textId="77777777" w:rsidR="007A60EC" w:rsidRPr="00653BF4" w:rsidRDefault="007A60EC" w:rsidP="007A60EC">
      <w:pPr>
        <w:spacing w:before="80" w:after="120"/>
        <w:rPr>
          <w:rFonts w:eastAsia="Times New Roman" w:cs="Times New Roman"/>
          <w:lang w:val="fr-FR"/>
        </w:rPr>
      </w:pPr>
      <w:r w:rsidRPr="00653BF4">
        <w:rPr>
          <w:rFonts w:eastAsia="Times New Roman" w:cs="Times New Roman"/>
          <w:lang w:val="fr-FR"/>
        </w:rPr>
        <w:t xml:space="preserve">Pour l’ensemble des groupes, les Parties ne communiquent pas systématiquement de données sur la biodiversité ventilées par sexe et par âge, et les mécanismes opérationnels permettant aux peuples autochtones et communautés locales de contrôler la collecte, le stockage et l’utilisation des données relatives à leurs territoires sont encore en cours d’élaboration. Si un petit nombre de Parties citent la souveraineté des peuples autochtones et communautés locales sur les données comme une priorité émergente, les dispositifs opérationnels ne sont souvent pas encore en place. </w:t>
      </w:r>
    </w:p>
    <w:p w14:paraId="2BDE2F52" w14:textId="77777777" w:rsidR="007A60EC" w:rsidRPr="00653BF4" w:rsidRDefault="007A60EC" w:rsidP="007A60EC">
      <w:pPr>
        <w:spacing w:before="80" w:after="120"/>
        <w:rPr>
          <w:lang w:val="fr-FR"/>
        </w:rPr>
      </w:pPr>
    </w:p>
    <w:p w14:paraId="05CA2027" w14:textId="3A4A2576" w:rsidR="007A60EC" w:rsidRPr="00653BF4" w:rsidRDefault="007A60EC" w:rsidP="007A60EC">
      <w:pPr>
        <w:pStyle w:val="Heading4"/>
        <w:rPr>
          <w:rFonts w:eastAsia="Times New Roman"/>
          <w:lang w:val="fr-FR"/>
        </w:rPr>
      </w:pPr>
      <w:bookmarkStart w:id="517" w:name="_Toc242801280"/>
      <w:r w:rsidRPr="00653BF4">
        <w:rPr>
          <w:rFonts w:eastAsia="Times New Roman"/>
          <w:lang w:val="fr-FR"/>
        </w:rPr>
        <w:t>Accès aux technologies et transfert de technologies</w:t>
      </w:r>
      <w:bookmarkEnd w:id="517"/>
      <w:r w:rsidRPr="00653BF4">
        <w:rPr>
          <w:rFonts w:eastAsia="Times New Roman"/>
          <w:lang w:val="fr-FR"/>
        </w:rPr>
        <w:t xml:space="preserve"> </w:t>
      </w:r>
    </w:p>
    <w:p w14:paraId="364036F5" w14:textId="77777777" w:rsidR="007A60EC" w:rsidRPr="00653BF4" w:rsidRDefault="007A60EC" w:rsidP="007A60EC">
      <w:pPr>
        <w:spacing w:before="80" w:after="120"/>
        <w:rPr>
          <w:rFonts w:eastAsia="Times New Roman" w:cs="Times New Roman"/>
          <w:lang w:val="fr-FR"/>
        </w:rPr>
      </w:pPr>
      <w:bookmarkStart w:id="518" w:name="_Toc235521212"/>
      <w:r w:rsidRPr="00653BF4">
        <w:rPr>
          <w:rFonts w:eastAsia="Times New Roman" w:cs="Times New Roman"/>
          <w:lang w:val="fr-FR"/>
        </w:rPr>
        <w:t xml:space="preserve">Le transfert de technologies aux peuples autochtones et communautés locales reste généralement au stade des intentions, sans se traduire par des politiques et des mesures concrètes, notamment en ce qui concerne le respect des droits et des connaissances traditionnelles. Pour les femmes, les jeunes et de nombreux acteurs infranationaux, les rapports évoquent l’accès aux technologies de pointe dans le domaine de la biodiversité, notamment la télédétection et les plateformes de données sur la biodiversité, dans le cadre de projets particuliers plutôt que d’une démarche d’ensemble. Les transferts de technologies en faveur de ces acteurs dont les Parties font état s’inscrivent le plus souvent </w:t>
      </w:r>
      <w:r w:rsidRPr="00653BF4">
        <w:rPr>
          <w:rFonts w:eastAsia="Times New Roman" w:cs="Times New Roman"/>
          <w:lang w:val="fr-FR"/>
        </w:rPr>
        <w:lastRenderedPageBreak/>
        <w:t>dans des projets financés par des bailleurs de fonds. Leur poursuite après la fin des projets reste limitée.</w:t>
      </w:r>
    </w:p>
    <w:p w14:paraId="58893715" w14:textId="77777777" w:rsidR="007A60EC" w:rsidRPr="00653BF4" w:rsidRDefault="007A60EC" w:rsidP="007A60EC">
      <w:pPr>
        <w:spacing w:before="80" w:after="120"/>
        <w:rPr>
          <w:rFonts w:eastAsia="Times New Roman" w:cs="Times New Roman"/>
          <w:lang w:val="fr-FR"/>
        </w:rPr>
      </w:pPr>
      <w:r w:rsidRPr="00653BF4">
        <w:rPr>
          <w:rFonts w:eastAsia="Times New Roman" w:cs="Times New Roman"/>
          <w:lang w:val="fr-FR"/>
        </w:rPr>
        <w:t>Un certain nombre de Parties présentent le suivi communautaire comme un dispositif permettant de mettre la technologie à la disposition des acteurs locaux. En ce qui concerne les sciences participatives, plusieurs Parties décrivent des initiatives de suivi de la biodiversité qui sont expressément conçues pour faire participer les jeunes et la société civile et qui reposent elles-mêmes sur des moyens technologiques tels que des outils d’enregistrement, des normes de données et des infrastructures. Certaines Parties indiquent avoir intégré les connaissances traditionnelles, le suivi communautaire et les sciences participatives dans les systèmes nationaux de données sur la biodiversité.</w:t>
      </w:r>
    </w:p>
    <w:p w14:paraId="231317EB" w14:textId="77777777" w:rsidR="007A60EC" w:rsidRPr="00653BF4" w:rsidRDefault="007A60EC" w:rsidP="007A60EC">
      <w:pPr>
        <w:spacing w:before="80" w:after="120"/>
        <w:rPr>
          <w:rFonts w:eastAsia="Times New Roman" w:cs="Times New Roman"/>
          <w:lang w:val="fr-FR"/>
        </w:rPr>
      </w:pPr>
    </w:p>
    <w:bookmarkEnd w:id="518"/>
    <w:p w14:paraId="2E894C71" w14:textId="77777777" w:rsidR="007A60EC" w:rsidRPr="00653BF4" w:rsidRDefault="007A60EC" w:rsidP="007A60EC">
      <w:pPr>
        <w:spacing w:before="80" w:after="120"/>
        <w:rPr>
          <w:lang w:val="fr-FR"/>
        </w:rPr>
      </w:pPr>
      <w:r w:rsidRPr="00653BF4">
        <w:rPr>
          <w:rFonts w:eastAsia="Times New Roman"/>
          <w:lang w:val="fr-FR"/>
        </w:rPr>
        <w:t>Observations finales</w:t>
      </w:r>
    </w:p>
    <w:p w14:paraId="64465C1F" w14:textId="77777777" w:rsidR="007A60EC" w:rsidRPr="00653BF4" w:rsidRDefault="007A60EC" w:rsidP="007A60EC">
      <w:pPr>
        <w:spacing w:before="80" w:after="120"/>
        <w:rPr>
          <w:rFonts w:eastAsia="Times New Roman" w:cs="Times New Roman"/>
          <w:lang w:val="fr-FR"/>
        </w:rPr>
      </w:pPr>
    </w:p>
    <w:p w14:paraId="7A48FFA1" w14:textId="77777777" w:rsidR="007A60EC" w:rsidRPr="00653BF4" w:rsidRDefault="007A60EC" w:rsidP="007A60EC">
      <w:pPr>
        <w:spacing w:before="80" w:after="120"/>
        <w:rPr>
          <w:rFonts w:eastAsia="Times New Roman" w:cs="Times New Roman"/>
          <w:lang w:val="fr-FR"/>
        </w:rPr>
      </w:pPr>
      <w:bookmarkStart w:id="519" w:name="_Toc235521213"/>
      <w:r w:rsidRPr="00653BF4">
        <w:rPr>
          <w:rFonts w:eastAsia="Times New Roman" w:cs="Times New Roman"/>
          <w:lang w:val="fr-FR"/>
        </w:rPr>
        <w:t>Bien que tous les acteurs soient reconnus dans les cibles et actions nationales, le volume de l’appui qui, selon les rapports, leur parvient directement reste modeste. Les exemples les plus marquants d’un appui direct, prévisible et adapté se concentrent dans un nombre relativement restreint de Parties et concernent généralement les peuples autochtones et communautés locales.</w:t>
      </w:r>
    </w:p>
    <w:p w14:paraId="5D83B2AE" w14:textId="5E15EE4A" w:rsidR="007A60EC" w:rsidRPr="00653BF4" w:rsidRDefault="007A60EC" w:rsidP="007A60EC">
      <w:pPr>
        <w:spacing w:before="80" w:after="120"/>
        <w:rPr>
          <w:rFonts w:eastAsia="Times New Roman" w:cs="Times New Roman"/>
          <w:lang w:val="fr-FR"/>
        </w:rPr>
      </w:pPr>
      <w:r w:rsidRPr="00653BF4">
        <w:rPr>
          <w:rFonts w:eastAsia="Times New Roman" w:cs="Times New Roman"/>
          <w:lang w:val="fr-FR"/>
        </w:rPr>
        <w:t xml:space="preserve">L’accès à la justice, l’accès à l’information et le consentement préalable, donné librement et en connaissance de cause, abordés dans l’analyse de la </w:t>
      </w:r>
      <w:r w:rsidR="00E34DC9">
        <w:rPr>
          <w:rFonts w:eastAsia="Times New Roman" w:cs="Times New Roman"/>
          <w:lang w:val="fr-FR"/>
        </w:rPr>
        <w:t>cible 2</w:t>
      </w:r>
      <w:r w:rsidRPr="00653BF4">
        <w:rPr>
          <w:rFonts w:eastAsia="Times New Roman" w:cs="Times New Roman"/>
          <w:lang w:val="fr-FR"/>
        </w:rPr>
        <w:t>2 ci-dessus, constituent des conditions propices aux moyens de mise en œuvre. Certains rapports nationaux mentionnent des cadres de responsabilité environnementale, dont beaucoup reposent sur le principe du pollueur-payeur, mais les Parties indiquent que leur application concrète reste inégale ou n’en est qu’à ses débuts. Selon les rapports, l’accès du public à l’information environnementale est limité en pratique dans un certain nombre de Parties, même lorsqu’il existe une législation sur l’accès à l’information ou des cadres de transparence. Plusieurs Parties relèvent que les procédures de consentement préalable, donné librement et en connaissance de cause, sont inexistantes, consultatives plutôt que contraignantes, peu appliquées ou appliquées de manière inégale.</w:t>
      </w:r>
    </w:p>
    <w:p w14:paraId="206AAC55" w14:textId="1C75FBC4" w:rsidR="007A60EC" w:rsidRPr="00653BF4" w:rsidRDefault="007A60EC" w:rsidP="007A60EC">
      <w:pPr>
        <w:spacing w:before="80" w:after="120"/>
        <w:rPr>
          <w:rFonts w:ascii="Aptos" w:eastAsia="Aptos" w:hAnsi="Aptos" w:cs="Aptos"/>
          <w:color w:val="008080"/>
          <w:u w:val="single"/>
          <w:lang w:val="fr-FR"/>
        </w:rPr>
      </w:pPr>
      <w:r w:rsidRPr="00653BF4">
        <w:rPr>
          <w:rFonts w:eastAsia="Times New Roman" w:cs="Times New Roman"/>
          <w:lang w:val="fr-FR"/>
        </w:rPr>
        <w:t xml:space="preserve">L’absence de données ventilées est une autre constatation récurrente, commune aux différents moyens de mise en œuvre. Faute de données ventilées par sexe et par âge dans les rapports, de postes distincts pour les actions collectives au titre de la </w:t>
      </w:r>
      <w:r w:rsidR="00E34DC9">
        <w:rPr>
          <w:rFonts w:eastAsia="Times New Roman" w:cs="Times New Roman"/>
          <w:lang w:val="fr-FR"/>
        </w:rPr>
        <w:t>cible 1</w:t>
      </w:r>
      <w:r w:rsidRPr="00653BF4">
        <w:rPr>
          <w:rFonts w:eastAsia="Times New Roman" w:cs="Times New Roman"/>
          <w:lang w:val="fr-FR"/>
        </w:rPr>
        <w:t xml:space="preserve">9 f) et d’indicateurs normalisés sur le financement et les capacités consacrés à la biodiversité au niveau infranational, même les Parties qui accomplissent de réels progrès ne peuvent en </w:t>
      </w:r>
      <w:r w:rsidRPr="00653BF4">
        <w:rPr>
          <w:rFonts w:eastAsia="Times New Roman" w:cs="Times New Roman"/>
          <w:lang w:val="fr-FR"/>
        </w:rPr>
        <w:lastRenderedPageBreak/>
        <w:t>apporter la preuve en des termes pleinement comparables. L’amélioration de la base factuelle figure parmi les pistes recensées dans les rapports nationaux</w:t>
      </w:r>
      <w:r w:rsidRPr="00653BF4">
        <w:rPr>
          <w:rFonts w:ascii="Aptos" w:eastAsia="Aptos" w:hAnsi="Aptos" w:cs="Aptos"/>
          <w:color w:val="008080"/>
          <w:u w:val="single"/>
          <w:lang w:val="fr-FR"/>
        </w:rPr>
        <w:t>.</w:t>
      </w:r>
    </w:p>
    <w:p w14:paraId="3761FAAB" w14:textId="77777777" w:rsidR="007A60EC" w:rsidRPr="00653BF4" w:rsidRDefault="007A60EC" w:rsidP="007A60EC">
      <w:pPr>
        <w:pStyle w:val="Heading3"/>
        <w:rPr>
          <w:rFonts w:eastAsia="Times New Roman"/>
          <w:lang w:val="fr-FR"/>
        </w:rPr>
      </w:pPr>
    </w:p>
    <w:p w14:paraId="44DA3807" w14:textId="0033F05F" w:rsidR="007A60EC" w:rsidRPr="00653BF4" w:rsidRDefault="007A60EC" w:rsidP="007A60EC">
      <w:pPr>
        <w:pStyle w:val="Heading3"/>
        <w:rPr>
          <w:rFonts w:eastAsia="Times New Roman"/>
          <w:b/>
          <w:bCs/>
          <w:lang w:val="fr-FR"/>
        </w:rPr>
      </w:pPr>
      <w:bookmarkStart w:id="520" w:name="_Toc242801281"/>
      <w:bookmarkEnd w:id="519"/>
      <w:r w:rsidRPr="00653BF4">
        <w:rPr>
          <w:rFonts w:ascii="Aptos" w:eastAsia="Times New Roman" w:hAnsi="Aptos" w:cs="Aptos"/>
          <w:bCs/>
          <w:lang w:val="fr-FR"/>
        </w:rPr>
        <w:t>Résumé et principales observations concernant les moyens de mise en œuvre</w:t>
      </w:r>
      <w:bookmarkEnd w:id="520"/>
    </w:p>
    <w:p w14:paraId="02A45072" w14:textId="77777777" w:rsidR="007A60EC" w:rsidRPr="00653BF4" w:rsidRDefault="007A60EC" w:rsidP="007A60EC">
      <w:pPr>
        <w:rPr>
          <w:lang w:val="fr-FR"/>
        </w:rPr>
      </w:pPr>
    </w:p>
    <w:p w14:paraId="74AEC81A" w14:textId="77777777" w:rsidR="007A60EC" w:rsidRPr="00653BF4" w:rsidRDefault="007A60EC" w:rsidP="007A60EC">
      <w:pPr>
        <w:pStyle w:val="Heading4"/>
        <w:rPr>
          <w:lang w:val="fr-FR"/>
        </w:rPr>
      </w:pPr>
      <w:bookmarkStart w:id="521" w:name="_Toc239069245"/>
      <w:bookmarkStart w:id="522" w:name="_Toc667297100"/>
      <w:bookmarkStart w:id="523" w:name="_Toc242801282"/>
      <w:r w:rsidRPr="00653BF4">
        <w:rPr>
          <w:lang w:val="fr-FR"/>
        </w:rPr>
        <w:t>Résumé</w:t>
      </w:r>
      <w:bookmarkEnd w:id="521"/>
      <w:bookmarkEnd w:id="522"/>
      <w:bookmarkEnd w:id="523"/>
    </w:p>
    <w:p w14:paraId="703F9178" w14:textId="77777777" w:rsidR="007A60EC" w:rsidRPr="00653BF4" w:rsidRDefault="007A60EC" w:rsidP="007A60EC">
      <w:pPr>
        <w:rPr>
          <w:rFonts w:eastAsia="Times New Roman" w:cs="Times New Roman"/>
          <w:lang w:val="fr-FR"/>
        </w:rPr>
      </w:pPr>
    </w:p>
    <w:p w14:paraId="51BC9B75" w14:textId="77777777" w:rsidR="007A60EC" w:rsidRPr="00653BF4" w:rsidRDefault="007A60EC" w:rsidP="007A60EC">
      <w:pPr>
        <w:rPr>
          <w:rFonts w:eastAsia="Times New Roman" w:cs="Times New Roman"/>
          <w:lang w:val="fr-FR"/>
        </w:rPr>
      </w:pPr>
      <w:bookmarkStart w:id="524" w:name="_Toc235521214"/>
      <w:r w:rsidRPr="00653BF4">
        <w:rPr>
          <w:rFonts w:eastAsia="Times New Roman" w:cs="Times New Roman"/>
          <w:lang w:val="fr-FR"/>
        </w:rPr>
        <w:t>Les besoins liés aux moyens de mise en œuvre du Cadre sont globalement similaires dans les pays développés Parties et les pays en développement Parties, même si leur forme et leur ampleur varient. Une forte proportion de Parties indiquent avoir fourni des moyens au titre de chacune des quatre composantes, et la planification du financement de la biodiversité, les activités visant à combler les lacunes de capacités, les systèmes de données et d’information ainsi que les technologies de suivi sont chacun cités par une majorité d’entre elles. Dans l’ensemble, les moyens de mise en œuvre fournis, tels qu’ils ressortent des actions communiquées par les Parties, ne sont pas à la hauteur des besoins qu’elles recensent elles-mêmes.</w:t>
      </w:r>
    </w:p>
    <w:p w14:paraId="4BA4C2E0" w14:textId="7458E1F7" w:rsidR="007A60EC" w:rsidRPr="00653BF4" w:rsidRDefault="007A60EC" w:rsidP="007A60EC">
      <w:pPr>
        <w:rPr>
          <w:rFonts w:eastAsia="Times New Roman" w:cs="Times New Roman"/>
          <w:lang w:val="fr-FR"/>
        </w:rPr>
      </w:pPr>
      <w:r w:rsidRPr="00653BF4">
        <w:rPr>
          <w:rFonts w:eastAsia="Times New Roman" w:cs="Times New Roman"/>
          <w:lang w:val="fr-FR"/>
        </w:rPr>
        <w:t xml:space="preserve">Au titre de la </w:t>
      </w:r>
      <w:r w:rsidR="00E34DC9">
        <w:rPr>
          <w:rFonts w:eastAsia="Times New Roman" w:cs="Times New Roman"/>
          <w:lang w:val="fr-FR"/>
        </w:rPr>
        <w:t>cible 1</w:t>
      </w:r>
      <w:r w:rsidRPr="00653BF4">
        <w:rPr>
          <w:rFonts w:eastAsia="Times New Roman" w:cs="Times New Roman"/>
          <w:lang w:val="fr-FR"/>
        </w:rPr>
        <w:t xml:space="preserve">9, les Parties font état d’une progression du financement international et national en faveur de la biodiversité. Une grande majorité d’entre elles planifient désormais ce financement dans le cadre de BIOFIN. Des déficits de financement nationaux sont néanmoins mentionnés, tandis que le financement par projet et le financement annuel restent prédominants. En outre, au titre de la </w:t>
      </w:r>
      <w:r w:rsidR="00E34DC9">
        <w:rPr>
          <w:rFonts w:eastAsia="Times New Roman" w:cs="Times New Roman"/>
          <w:lang w:val="fr-FR"/>
        </w:rPr>
        <w:t>cible 1</w:t>
      </w:r>
      <w:r w:rsidRPr="00653BF4">
        <w:rPr>
          <w:rFonts w:eastAsia="Times New Roman" w:cs="Times New Roman"/>
          <w:lang w:val="fr-FR"/>
        </w:rPr>
        <w:t>8, le recensement et la réforme des incitations, y compris les subventions, préjudiciables à la biodiversité n’en sont qu’à leurs débuts, et les réformes achevées comme les réductions quantifiées font largement défaut. Le financement privé demeure peu développé</w:t>
      </w:r>
      <w:r w:rsidR="00E34DC9">
        <w:rPr>
          <w:rFonts w:eastAsia="Times New Roman" w:cs="Times New Roman"/>
          <w:lang w:val="fr-FR"/>
        </w:rPr>
        <w:t> :</w:t>
      </w:r>
      <w:r w:rsidRPr="00653BF4">
        <w:rPr>
          <w:rFonts w:eastAsia="Times New Roman" w:cs="Times New Roman"/>
          <w:lang w:val="fr-FR"/>
        </w:rPr>
        <w:t xml:space="preserve"> l’engagement est limité, la plupart des Parties n’imposent aucune obligation de communication d’informations et seuls quelques précurseurs publient des informations sur la durabilité des entreprises conformes aux cadres internationaux.</w:t>
      </w:r>
    </w:p>
    <w:p w14:paraId="0AD4F062" w14:textId="77777777" w:rsidR="007A60EC" w:rsidRPr="00653BF4" w:rsidRDefault="007A60EC" w:rsidP="007A60EC">
      <w:pPr>
        <w:rPr>
          <w:rFonts w:eastAsia="Times New Roman" w:cs="Times New Roman"/>
          <w:lang w:val="fr-FR"/>
        </w:rPr>
      </w:pPr>
      <w:r w:rsidRPr="00653BF4">
        <w:rPr>
          <w:rFonts w:eastAsia="Times New Roman" w:cs="Times New Roman"/>
          <w:lang w:val="fr-FR"/>
        </w:rPr>
        <w:t xml:space="preserve">Le besoin le plus souvent cité est de combler les lacunes en matière de capacités. Or, bien que la création de capacités soit aussi la composante des moyens de mise en œuvre dont la fourniture est le plus souvent mentionnée, des lacunes structurelles persistent. Selon les rapports, des pénuries de personnel qualifié touchent la quasi-totalité des Parties, notamment dans les domaines de la taxonomie, de l’écologie, des sciences géospatiales, de l’informatique appliquée à la biodiversité, de la prévention des risques </w:t>
      </w:r>
      <w:r w:rsidRPr="00653BF4">
        <w:rPr>
          <w:rFonts w:eastAsia="Times New Roman" w:cs="Times New Roman"/>
          <w:lang w:val="fr-FR"/>
        </w:rPr>
        <w:lastRenderedPageBreak/>
        <w:t>biotechnologiques et de l’élaboration de projets. Les lacunes en matière de communication et de sensibilisation, en particulier auprès des communautés rurales et isolées, figurent aussi parmi les besoins de capacités fréquemment mentionnés. D’après les rapports, la fourniture de capacités passe notamment par la coopération Sud-Sud, Nord-Sud et triangulaire. Parmi les difficultés structurelles largement reconnues figurent la faiblesse des investissements nationaux dans la recherche-développement, la pénurie persistante d’expertise spécialisée, la fragmentation de la gouvernance entre les ministères et les différents niveaux de gouvernement, ainsi que le caractère embryonnaire des infrastructures.</w:t>
      </w:r>
    </w:p>
    <w:p w14:paraId="26168D62" w14:textId="77777777" w:rsidR="007A60EC" w:rsidRPr="00653BF4" w:rsidRDefault="007A60EC" w:rsidP="007A60EC">
      <w:pPr>
        <w:rPr>
          <w:rFonts w:eastAsia="Times New Roman" w:cs="Times New Roman"/>
          <w:lang w:val="fr-FR"/>
        </w:rPr>
      </w:pPr>
      <w:r w:rsidRPr="00653BF4">
        <w:rPr>
          <w:rFonts w:eastAsia="Times New Roman" w:cs="Times New Roman"/>
          <w:lang w:val="fr-FR"/>
        </w:rPr>
        <w:t>La coopération technique et scientifique porte avant tout sur les données et l’information. Toutes les Parties prises en compte dans l’analyse font état de besoins d’information et de données, liés notamment à l’absence de données de référence, au manque d’ensembles de données harmonisés à l’appui des indicateurs phares et à la fragmentation entre ministères et entités territoriales. Une grande majorité de Parties mettent en place ou officialisent des systèmes nationaux d’information sur la biodiversité, des portails de données centralisés et des centres d’échange nationaux, et les contributions nationales aux infrastructures mondiales de données sur la biodiversité se sont accrues. Selon les rapports, la création des centres régionaux et sous-régionaux d’appui à la coopération technique et scientifique constitue une avancée notable. L’ampleur de ces activités constitue une base importante pour combler une lacune largement évoquée, mais elle montre aussi la nécessité d’un appui continu et durable. L’appui à la recherche scientifique se concentre dans un nombre plus restreint de Parties. Les principales lacunes recensées sont le manque de personnel de recherche, l’insuffisance des capacités taxonomiques et le cloisonnement des travaux de recherche interdisciplinaires.</w:t>
      </w:r>
    </w:p>
    <w:p w14:paraId="4A3AC1C4" w14:textId="77777777" w:rsidR="007A60EC" w:rsidRPr="00653BF4" w:rsidRDefault="007A60EC" w:rsidP="007A60EC">
      <w:pPr>
        <w:rPr>
          <w:rFonts w:eastAsia="Times New Roman" w:cs="Times New Roman"/>
          <w:lang w:val="fr-FR"/>
        </w:rPr>
      </w:pPr>
      <w:r w:rsidRPr="00653BF4">
        <w:rPr>
          <w:lang w:val="fr-FR"/>
        </w:rPr>
        <w:t>Bien que de nombreuses Parties aient largement déployé des technologies de suivi modernes, l’accès à ces technologies reste très insuffisant. Quant à l’infrastructure numérique nécessaire à l’accès et au partage des avantages, elle commence tout juste à être utilisée concrètement</w:t>
      </w:r>
      <w:r w:rsidRPr="00653BF4">
        <w:rPr>
          <w:rFonts w:eastAsia="Times New Roman" w:cs="Times New Roman"/>
          <w:lang w:val="fr-FR"/>
        </w:rPr>
        <w:t>.</w:t>
      </w:r>
    </w:p>
    <w:p w14:paraId="4B285BE3" w14:textId="4730D506" w:rsidR="007A60EC" w:rsidRPr="00653BF4" w:rsidRDefault="007A60EC" w:rsidP="007A60EC">
      <w:pPr>
        <w:rPr>
          <w:rFonts w:eastAsia="Times New Roman" w:cs="Times New Roman"/>
          <w:lang w:val="fr-FR"/>
        </w:rPr>
      </w:pPr>
      <w:r w:rsidRPr="00653BF4">
        <w:rPr>
          <w:rFonts w:eastAsia="Times New Roman" w:cs="Times New Roman"/>
          <w:lang w:val="fr-FR"/>
        </w:rPr>
        <w:t xml:space="preserve">La manière dont les moyens de mise en œuvre atteignent les acteurs autres que les gouvernements nationaux reste inégalement documentée. Lorsque les rapports nationaux évoquent ces groupes, ils les présentent le plus souvent comme des bénéficiaires visés ou des participants aux consultations plutôt que comme des acteurs dotés de ressources et d’un appui ciblé et prévisible. L’accès direct des peuples autochtones et communautés locales aux modalités de financement reste rare, les données relatives à la </w:t>
      </w:r>
      <w:r w:rsidR="00E34DC9">
        <w:rPr>
          <w:rFonts w:eastAsia="Times New Roman" w:cs="Times New Roman"/>
          <w:lang w:val="fr-FR"/>
        </w:rPr>
        <w:t>cible 1</w:t>
      </w:r>
      <w:r w:rsidRPr="00653BF4">
        <w:rPr>
          <w:rFonts w:eastAsia="Times New Roman" w:cs="Times New Roman"/>
          <w:lang w:val="fr-FR"/>
        </w:rPr>
        <w:t xml:space="preserve">9 f) sur les actions collectives sont limitées, peu de Parties font état d’un financement ventilé par sexe, et l’appui prévisible spécialement destiné aux autorités infranationales et locales se </w:t>
      </w:r>
      <w:r w:rsidRPr="00653BF4">
        <w:rPr>
          <w:rFonts w:eastAsia="Times New Roman" w:cs="Times New Roman"/>
          <w:lang w:val="fr-FR"/>
        </w:rPr>
        <w:lastRenderedPageBreak/>
        <w:t xml:space="preserve">concentre dans quelques Parties, qui sont pour la plupart des pays développés. Les personnes handicapées et les défenseurs des droits de l’homme en matière d’environnement, expressément nommés dans la </w:t>
      </w:r>
      <w:r w:rsidR="00E34DC9">
        <w:rPr>
          <w:rFonts w:eastAsia="Times New Roman" w:cs="Times New Roman"/>
          <w:lang w:val="fr-FR"/>
        </w:rPr>
        <w:t>cible 2</w:t>
      </w:r>
      <w:r w:rsidRPr="00653BF4">
        <w:rPr>
          <w:rFonts w:eastAsia="Times New Roman" w:cs="Times New Roman"/>
          <w:lang w:val="fr-FR"/>
        </w:rPr>
        <w:t>2, apparaissent dans un nombre bien plus restreint d’actions, et les données sur l’appui direct qui leur parvient font largement défaut.</w:t>
      </w:r>
    </w:p>
    <w:p w14:paraId="6659EB94" w14:textId="77777777" w:rsidR="007A60EC" w:rsidRPr="00653BF4" w:rsidRDefault="007A60EC" w:rsidP="007A60EC">
      <w:pPr>
        <w:rPr>
          <w:rFonts w:eastAsia="Times New Roman" w:cs="Times New Roman"/>
          <w:lang w:val="fr-FR"/>
        </w:rPr>
      </w:pPr>
      <w:r w:rsidRPr="00653BF4">
        <w:rPr>
          <w:rFonts w:eastAsia="Times New Roman" w:cs="Times New Roman"/>
          <w:lang w:val="fr-FR"/>
        </w:rPr>
        <w:t>Faute de données ventilées, harmonisées et comparables sur les flux, même les Parties qui réalisent de réels progrès ne sont pas en mesure d’en apporter la preuve de manière pleinement comparable. Les Parties voient une piste à exploiter dans l’amélioration des données probantes, a</w:t>
      </w:r>
      <w:r w:rsidRPr="00653BF4">
        <w:rPr>
          <w:lang w:val="fr-FR"/>
        </w:rPr>
        <w:t>u moyen d’indicateurs normalisés des dépenses consacrées à la biodiversité ainsi que d’une ventilation des financements par sexe, par âge et par niveau infranational, en distinguant l’appui direct aux peuples autochtones et communautés locales</w:t>
      </w:r>
      <w:r w:rsidRPr="00653BF4">
        <w:rPr>
          <w:rFonts w:eastAsia="Times New Roman" w:cs="Times New Roman"/>
          <w:lang w:val="fr-FR"/>
        </w:rPr>
        <w:t>.</w:t>
      </w:r>
    </w:p>
    <w:p w14:paraId="22AF7DFC" w14:textId="77777777" w:rsidR="007A60EC" w:rsidRPr="00653BF4" w:rsidRDefault="007A60EC" w:rsidP="007A60EC">
      <w:pPr>
        <w:pStyle w:val="Heading4"/>
        <w:rPr>
          <w:rFonts w:eastAsia="Times New Roman"/>
          <w:lang w:val="fr-FR"/>
        </w:rPr>
      </w:pPr>
    </w:p>
    <w:p w14:paraId="4180F1A2" w14:textId="4FEF4AF3" w:rsidR="007A60EC" w:rsidRPr="00653BF4" w:rsidRDefault="007A60EC" w:rsidP="007A60EC">
      <w:pPr>
        <w:pStyle w:val="Heading4"/>
        <w:rPr>
          <w:rFonts w:eastAsia="Times New Roman"/>
          <w:b/>
          <w:bCs/>
          <w:lang w:val="fr-FR"/>
        </w:rPr>
      </w:pPr>
      <w:bookmarkStart w:id="525" w:name="_Toc242801283"/>
      <w:bookmarkEnd w:id="524"/>
      <w:r w:rsidRPr="00653BF4">
        <w:rPr>
          <w:rFonts w:ascii="Aptos" w:eastAsia="Times New Roman" w:hAnsi="Aptos" w:cs="Aptos"/>
          <w:bCs/>
          <w:lang w:val="fr-FR"/>
        </w:rPr>
        <w:t>Observations finales</w:t>
      </w:r>
      <w:bookmarkEnd w:id="525"/>
    </w:p>
    <w:p w14:paraId="0AC29977" w14:textId="77777777" w:rsidR="007A60EC" w:rsidRPr="00653BF4" w:rsidRDefault="007A60EC" w:rsidP="007A60EC">
      <w:pPr>
        <w:rPr>
          <w:rFonts w:eastAsia="Times New Roman" w:cs="Times New Roman"/>
          <w:lang w:val="fr-FR"/>
        </w:rPr>
      </w:pPr>
    </w:p>
    <w:p w14:paraId="668613E3" w14:textId="3E0BBE47" w:rsidR="007A60EC" w:rsidRPr="00653BF4" w:rsidRDefault="007A60EC" w:rsidP="007A60EC">
      <w:pPr>
        <w:rPr>
          <w:rFonts w:eastAsia="Times New Roman" w:cs="Times New Roman"/>
          <w:lang w:val="fr-FR"/>
        </w:rPr>
      </w:pPr>
      <w:r w:rsidRPr="00653BF4">
        <w:rPr>
          <w:rFonts w:eastAsia="Times New Roman" w:cs="Times New Roman"/>
          <w:lang w:val="fr-FR"/>
        </w:rPr>
        <w:t xml:space="preserve">Selon les rapports, la fourniture des moyens de mise en œuvre progresse dans ses quatre composantes, et les Parties indiquent que la planification du financement de la biodiversité, la mise en place de systèmes nationaux d’information sur la biodiversité et le déploiement de technologies de suivi numériques et géospatiales s’intensifient. Dans le même temps, des besoins restent insatisfaits dans chacune des composantes, et presque toutes les Parties font état de lacunes concernant les données et l’information, tandis que la grande majorité relève des insuffisances dans la gouvernance et la coordination et que plus des trois quarts mentionnent des carences dans les capacités, le suivi et le cadre juridique. En outre, d’après les données communiquées, le volume des moyens financiers fournis reste inférieur à ce qu’exige la réalisation des ambitions chiffrées du Cadre, en particulier la réforme des incitations préjudiciables prévue dans la </w:t>
      </w:r>
      <w:r w:rsidR="00E34DC9">
        <w:rPr>
          <w:rFonts w:eastAsia="Times New Roman" w:cs="Times New Roman"/>
          <w:lang w:val="fr-FR"/>
        </w:rPr>
        <w:t>cible 1</w:t>
      </w:r>
      <w:r w:rsidRPr="00653BF4">
        <w:rPr>
          <w:rFonts w:eastAsia="Times New Roman" w:cs="Times New Roman"/>
          <w:lang w:val="fr-FR"/>
        </w:rPr>
        <w:t xml:space="preserve">8 et les engagements de mobilisation des ressources énoncés dans la </w:t>
      </w:r>
      <w:r w:rsidR="00E34DC9">
        <w:rPr>
          <w:rFonts w:eastAsia="Times New Roman" w:cs="Times New Roman"/>
          <w:lang w:val="fr-FR"/>
        </w:rPr>
        <w:t>cible 1</w:t>
      </w:r>
      <w:r w:rsidRPr="00653BF4">
        <w:rPr>
          <w:rFonts w:eastAsia="Times New Roman" w:cs="Times New Roman"/>
          <w:lang w:val="fr-FR"/>
        </w:rPr>
        <w:t>9.</w:t>
      </w:r>
    </w:p>
    <w:p w14:paraId="40B5EB5E" w14:textId="77777777" w:rsidR="007A60EC" w:rsidRPr="00653BF4" w:rsidRDefault="007A60EC" w:rsidP="007A60EC">
      <w:pPr>
        <w:rPr>
          <w:rFonts w:eastAsia="Times New Roman" w:cs="Times New Roman"/>
          <w:lang w:val="fr-FR"/>
        </w:rPr>
      </w:pPr>
      <w:r w:rsidRPr="00653BF4">
        <w:rPr>
          <w:rFonts w:eastAsia="Times New Roman" w:cs="Times New Roman"/>
          <w:lang w:val="fr-FR"/>
        </w:rPr>
        <w:t>La fourniture des moyens de mise en œuvre nécessaires, comme le prévoit la mission 2030 du Cadre, exigera non seulement une nouvelle intensification de l’appui dans chaque composante, mais aussi une mise en cohérence structurelle du financement, des capacités, de la coopération technique et scientifique et du transfert de technologies, de sorte que ces moyens atteignent les acteurs concernés au moment opportun et se renforcent mutuellement dans la pratique. Pour combler les lacunes recensées dans le rapport mondial, les Parties doivent travailler de concert entre ministères et entre niveaux de gouvernement, ainsi qu’avec l’ensemble des acteurs de la société, afin de réunir les moyens indispensables à la mise en œuvre du Cadre.</w:t>
      </w:r>
    </w:p>
    <w:p w14:paraId="1E135150" w14:textId="77777777" w:rsidR="007A60EC" w:rsidRPr="00653BF4" w:rsidRDefault="007A60EC" w:rsidP="007A60EC">
      <w:pPr>
        <w:rPr>
          <w:lang w:val="fr-FR"/>
        </w:rPr>
      </w:pPr>
    </w:p>
    <w:p w14:paraId="66232D92" w14:textId="19D4EFBF" w:rsidR="007A60EC" w:rsidRPr="00653BF4" w:rsidRDefault="007A60EC" w:rsidP="007A60EC">
      <w:pPr>
        <w:pStyle w:val="Heading2"/>
        <w:rPr>
          <w:lang w:val="fr-FR"/>
        </w:rPr>
      </w:pPr>
      <w:bookmarkStart w:id="526" w:name="_Toc235821383"/>
      <w:bookmarkStart w:id="527" w:name="_Ref236149954"/>
      <w:bookmarkStart w:id="528" w:name="_Toc239069247"/>
      <w:bookmarkStart w:id="529" w:name="_Toc2038448745"/>
      <w:bookmarkStart w:id="530" w:name="_Toc242801284"/>
      <w:r w:rsidRPr="00653BF4">
        <w:rPr>
          <w:lang w:val="fr-FR"/>
        </w:rPr>
        <w:t xml:space="preserve">II.E </w:t>
      </w:r>
      <w:bookmarkEnd w:id="526"/>
      <w:bookmarkEnd w:id="527"/>
      <w:bookmarkEnd w:id="528"/>
      <w:bookmarkEnd w:id="529"/>
      <w:r w:rsidRPr="00653BF4">
        <w:rPr>
          <w:lang w:val="fr-FR"/>
        </w:rPr>
        <w:t>Contributions des accords multilatéraux sur l’environnement et des organisations et processus internationaux pertinents</w:t>
      </w:r>
      <w:bookmarkEnd w:id="530"/>
    </w:p>
    <w:p w14:paraId="6E982D20" w14:textId="77777777" w:rsidR="007A60EC" w:rsidRPr="00653BF4" w:rsidRDefault="007A60EC" w:rsidP="007A60EC">
      <w:pPr>
        <w:pStyle w:val="Heading3"/>
        <w:rPr>
          <w:lang w:val="fr-FR"/>
        </w:rPr>
      </w:pPr>
      <w:bookmarkStart w:id="531" w:name="_Toc235821384"/>
    </w:p>
    <w:p w14:paraId="5F0824D3" w14:textId="77777777" w:rsidR="007A60EC" w:rsidRPr="00653BF4" w:rsidRDefault="007A60EC" w:rsidP="007A60EC">
      <w:pPr>
        <w:pStyle w:val="Heading3"/>
        <w:rPr>
          <w:lang w:val="fr-FR"/>
        </w:rPr>
      </w:pPr>
      <w:bookmarkStart w:id="532" w:name="_Toc239069248"/>
      <w:bookmarkStart w:id="533" w:name="_Toc364867422"/>
      <w:bookmarkStart w:id="534" w:name="_Toc242801285"/>
      <w:r w:rsidRPr="00653BF4">
        <w:rPr>
          <w:lang w:val="fr-FR"/>
        </w:rPr>
        <w:t>Introduction</w:t>
      </w:r>
      <w:bookmarkEnd w:id="531"/>
      <w:bookmarkEnd w:id="532"/>
      <w:bookmarkEnd w:id="533"/>
      <w:bookmarkEnd w:id="534"/>
    </w:p>
    <w:p w14:paraId="5679AAC3" w14:textId="77777777" w:rsidR="007A60EC" w:rsidRPr="00653BF4" w:rsidRDefault="007A60EC" w:rsidP="007A60EC">
      <w:pPr>
        <w:rPr>
          <w:lang w:val="fr-FR"/>
        </w:rPr>
      </w:pPr>
    </w:p>
    <w:p w14:paraId="1498DB33" w14:textId="77777777" w:rsidR="007A60EC" w:rsidRPr="00653BF4" w:rsidRDefault="007A60EC" w:rsidP="007A60EC">
      <w:pPr>
        <w:rPr>
          <w:lang w:val="fr-FR"/>
        </w:rPr>
      </w:pPr>
      <w:r w:rsidRPr="00653BF4">
        <w:rPr>
          <w:lang w:val="fr-FR"/>
        </w:rPr>
        <w:t>Au fil des ans, les gouvernements ont conclu un large éventail d’accords multilatéraux qui, de différentes manières, peuvent contribuer à la réalisation des objectifs et des cibles du Cadre mondial de la biodiversité de Kunming-Montréal. Depuis l’adoption du Cadre en 2022, cette contribution est reconnue dans des décisions et des mesures visant à aligner les travaux de ces accords sur le Cadre. Le fait que de nombreuses Parties à la Convention soient également parties à d’autres accords pertinents crée des possibilités de synergies et de coopération.</w:t>
      </w:r>
    </w:p>
    <w:p w14:paraId="471DFDA2" w14:textId="011B3328" w:rsidR="007A60EC" w:rsidRPr="00653BF4" w:rsidRDefault="007A60EC" w:rsidP="007A60EC">
      <w:pPr>
        <w:rPr>
          <w:lang w:val="fr-FR"/>
        </w:rPr>
      </w:pPr>
      <w:r w:rsidRPr="00653BF4">
        <w:rPr>
          <w:lang w:val="fr-FR"/>
        </w:rPr>
        <w:t xml:space="preserve">La présente section du rapport mondial comprend un récapitulatif des mesures prises récemment à l’appui du Cadre par l’intermédiaire des accords multilatéraux sur l’environnement (AME) ainsi que d’autres organisations et processus, tant au sein du système des Nations Unies qu’en dehors. Elle complète les exemples de liens, de synergies et de coopération donnés dans les résumés des progrès collectifs accomplis dans la mise en œuvre de chacune des cibles du Cadre, présentés à la </w:t>
      </w:r>
      <w:r w:rsidR="002878D7">
        <w:rPr>
          <w:lang w:val="fr-FR"/>
        </w:rPr>
        <w:t>section I</w:t>
      </w:r>
      <w:r w:rsidRPr="00653BF4">
        <w:rPr>
          <w:lang w:val="fr-FR"/>
        </w:rPr>
        <w:t>I.B ci-dessus</w:t>
      </w:r>
      <w:r w:rsidRPr="00653BF4">
        <w:rPr>
          <w:rStyle w:val="FootnoteReference"/>
          <w:lang w:val="fr-FR"/>
        </w:rPr>
        <w:footnoteReference w:id="47"/>
      </w:r>
      <w:r w:rsidRPr="00653BF4">
        <w:rPr>
          <w:lang w:val="fr-FR"/>
        </w:rPr>
        <w:t>.</w:t>
      </w:r>
    </w:p>
    <w:p w14:paraId="6497FBFA" w14:textId="600C8553" w:rsidR="007A60EC" w:rsidRPr="00653BF4" w:rsidRDefault="007A60EC" w:rsidP="007A60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val="fr-FR"/>
        </w:rPr>
      </w:pPr>
      <w:r w:rsidRPr="00653BF4">
        <w:rPr>
          <w:lang w:val="fr-FR"/>
        </w:rPr>
        <w:t xml:space="preserve">Conçu pour susciter une action coordonnée à tous les niveaux, le Cadre est destiné à servir de plan mondial pour la biodiversité. La nécessité d’une cohérence accrue est reconnue à la section C du Cadre, où il est indiqué que </w:t>
      </w:r>
      <w:r w:rsidR="00E34DC9">
        <w:rPr>
          <w:lang w:val="fr-FR"/>
        </w:rPr>
        <w:t>« </w:t>
      </w:r>
      <w:r w:rsidRPr="00653BF4">
        <w:rPr>
          <w:lang w:val="fr-FR"/>
        </w:rPr>
        <w:t>le renforcement de la collaboration, de la coopération et des synergies entre la Convention sur la diversité biologique et ses Protocoles, d’autres conventions relatives à la biodiversité, d’autres accords multilatéraux pertinents et des organisations et processus internationaux, dans le respect de leurs mandats respectifs, notamment aux niveaux mondial, régional, sous-</w:t>
      </w:r>
      <w:r w:rsidRPr="00653BF4">
        <w:rPr>
          <w:lang w:val="fr-FR"/>
        </w:rPr>
        <w:lastRenderedPageBreak/>
        <w:t>régional et national, contribuera à promouvoir une mise en œuvre plus efficace et efficiente du cadre</w:t>
      </w:r>
      <w:r w:rsidR="00E34DC9">
        <w:rPr>
          <w:lang w:val="fr-FR"/>
        </w:rPr>
        <w:t> »</w:t>
      </w:r>
      <w:r w:rsidRPr="00653BF4">
        <w:rPr>
          <w:lang w:val="fr-FR"/>
        </w:rPr>
        <w:t xml:space="preserve"> (décision 15/4, CDB, 2023).</w:t>
      </w:r>
    </w:p>
    <w:p w14:paraId="35AA94A4" w14:textId="11E110A6" w:rsidR="007A60EC" w:rsidRPr="00653BF4" w:rsidRDefault="007A60EC" w:rsidP="007A60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lang w:val="fr-FR"/>
        </w:rPr>
      </w:pPr>
      <w:r w:rsidRPr="00653BF4">
        <w:rPr>
          <w:lang w:val="fr-FR"/>
        </w:rPr>
        <w:t xml:space="preserve">Dans sa résolution 78/155 du 19 décembre 2023, l’Assemblée générale des Nations Unies, se félicitant de l’adoption du Cadre, a exhorté les Parties à la Convention </w:t>
      </w:r>
      <w:r w:rsidR="00E34DC9">
        <w:rPr>
          <w:lang w:val="fr-FR"/>
        </w:rPr>
        <w:t>« </w:t>
      </w:r>
      <w:r w:rsidRPr="00653BF4">
        <w:rPr>
          <w:lang w:val="fr-FR"/>
        </w:rPr>
        <w:t>à garantir la cohérence et la complémentarité du Cadre mondial de la biodiversité de Kunming-Montréal avec les autres régimes internationaux actuels ou à venir, en particulier avec le Programme 2030, l’Accord de Paris et les processus, cadres et stratégies qui en découlent</w:t>
      </w:r>
      <w:r w:rsidR="00E34DC9">
        <w:rPr>
          <w:lang w:val="fr-FR"/>
        </w:rPr>
        <w:t> »</w:t>
      </w:r>
      <w:r w:rsidRPr="00653BF4">
        <w:rPr>
          <w:lang w:val="fr-FR"/>
        </w:rPr>
        <w:t xml:space="preserve">, et a réitéré </w:t>
      </w:r>
      <w:r w:rsidR="00E34DC9">
        <w:rPr>
          <w:lang w:val="fr-FR"/>
        </w:rPr>
        <w:t>« </w:t>
      </w:r>
      <w:r w:rsidRPr="00653BF4">
        <w:rPr>
          <w:lang w:val="fr-FR"/>
        </w:rPr>
        <w:t>l’invitation adressée aux autres accords multilatéraux sur l’environnement, notamment les conventions relatives à la biodiversité et les conventions de Rio, les organisations internationales compétentes et leurs programmes et les autres processus pertinents, à prendre part activement à leur mise en œuvre</w:t>
      </w:r>
      <w:r w:rsidR="00E34DC9">
        <w:rPr>
          <w:lang w:val="fr-FR"/>
        </w:rPr>
        <w:t> »</w:t>
      </w:r>
      <w:r w:rsidRPr="00653BF4">
        <w:rPr>
          <w:lang w:val="fr-FR"/>
        </w:rPr>
        <w:t xml:space="preserve"> (Assemblée générale des Nations Unies, 2023a).</w:t>
      </w:r>
    </w:p>
    <w:p w14:paraId="6C1523DA" w14:textId="77777777" w:rsidR="007A60EC" w:rsidRPr="00653BF4" w:rsidRDefault="007A60EC" w:rsidP="007A60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0"/>
          <w:lang w:val="fr-FR"/>
        </w:rPr>
      </w:pPr>
    </w:p>
    <w:p w14:paraId="020D5EF4" w14:textId="1D1DC3FD" w:rsidR="007A60EC" w:rsidRPr="00653BF4" w:rsidRDefault="007A60EC" w:rsidP="007A60EC">
      <w:pPr>
        <w:rPr>
          <w:lang w:val="fr-FR"/>
        </w:rPr>
      </w:pPr>
      <w:bookmarkStart w:id="535" w:name="OLE_LINK2"/>
      <w:r w:rsidRPr="00653BF4">
        <w:rPr>
          <w:lang w:val="fr-FR"/>
        </w:rPr>
        <w:t>La collaboration entre conventions et accords peut se heurter à des difficultés, tenant par exemple aux différences de mandats, de calendriers, d’indicateurs et de sources de financement. Il est indispensable de surmonter ces obstacles pour réaliser les objectifs et la vision du Cadre, et des progrès sont accomplis en ce sens. Des mesures ont été prises pour renforcer la collaboration et la communication entre les AME dans le cadre de plusieurs processus et initiatives, notamment</w:t>
      </w:r>
      <w:r w:rsidR="00E34DC9">
        <w:rPr>
          <w:lang w:val="fr-FR"/>
        </w:rPr>
        <w:t> :</w:t>
      </w:r>
    </w:p>
    <w:p w14:paraId="56007AC0" w14:textId="77777777" w:rsidR="007A60EC" w:rsidRPr="00653BF4" w:rsidRDefault="007A60EC" w:rsidP="007A60EC">
      <w:pPr>
        <w:pStyle w:val="ListParagraph"/>
        <w:numPr>
          <w:ilvl w:val="0"/>
          <w:numId w:val="51"/>
        </w:numPr>
        <w:rPr>
          <w:lang w:val="fr-FR"/>
        </w:rPr>
      </w:pPr>
      <w:r w:rsidRPr="00653BF4">
        <w:rPr>
          <w:lang w:val="fr-FR"/>
        </w:rPr>
        <w:t>L’Assemblée des Nations Unies pour l’environnement. Plus haute instance décisionnelle en matière d’environnement, l’Assemblée pour l’environnement réunit, sous ses auspices, l’ensemble des AME, mondiaux comme régionaux, afin d’examiner les questions de synergies et de coopération. La septième session de l’Assemblée, tenue du 8 au 12 décembre 2025, a comporté une Journée des accords multilatéraux sur l’environnement, qui a offert aux pays une tribune importante pour faire part de leur expérience au niveau national, notamment de leurs réussites, de leurs difficultés, de leurs idées et de leurs solutions innovantes</w:t>
      </w:r>
      <w:r w:rsidRPr="00653BF4">
        <w:rPr>
          <w:rStyle w:val="FootnoteReference"/>
          <w:lang w:val="fr-FR"/>
        </w:rPr>
        <w:footnoteReference w:id="48"/>
      </w:r>
      <w:r w:rsidRPr="00653BF4">
        <w:rPr>
          <w:lang w:val="fr-FR"/>
        </w:rPr>
        <w:t>. Cette plateforme a constitué un point de convergence important pour les cadres mondiaux, dont le Cadre mondial de la biodiversité de Kunming-Montréal, car elle est axée sur les questions, démarches et points d’entrée communs à plusieurs conventions et susceptibles d’accélérer la mise en œuvre de ces cadres (PNUE, 2025d et 2025e).</w:t>
      </w:r>
    </w:p>
    <w:p w14:paraId="6B71F5DC" w14:textId="77777777" w:rsidR="007A60EC" w:rsidRPr="00653BF4" w:rsidRDefault="007A60EC" w:rsidP="007A60EC">
      <w:pPr>
        <w:pStyle w:val="ListParagraph"/>
        <w:numPr>
          <w:ilvl w:val="0"/>
          <w:numId w:val="51"/>
        </w:numPr>
        <w:rPr>
          <w:lang w:val="fr-FR"/>
        </w:rPr>
      </w:pPr>
      <w:r w:rsidRPr="00653BF4">
        <w:rPr>
          <w:lang w:val="fr-FR"/>
        </w:rPr>
        <w:t xml:space="preserve">Le processus de Berne, dont la première réunion s’est tenue en 2019 sous l’égide du Programme des Nations Unies pour l’environnement (PNUE). Le processus de Berne favorise une coopération et une collaboration effectives entre les parties à plus de </w:t>
      </w:r>
      <w:r w:rsidRPr="00653BF4">
        <w:rPr>
          <w:lang w:val="fr-FR"/>
        </w:rPr>
        <w:lastRenderedPageBreak/>
        <w:t xml:space="preserve">16 AME et leurs parties prenantes, en promouvant les synergies entre les domaines thématiques que sont la biodiversité et la désertification, les produits chimiques et les déchets, et les changements climatiques. La Conférence de Berne III sur la coopération entre les conventions relatives à la biodiversité aux fins de la mise en œuvre du Cadre mondial de la biodiversité de Kunming-Montréal, tenue à Berne (Suisse) du 23 au 25 janvier 2024, a porté expressément sur la coopération entre ces conventions aux fins de la mise en œuvre du Cadre (PNUE, 2023 et 2024c). </w:t>
      </w:r>
    </w:p>
    <w:p w14:paraId="0DF1EF2A" w14:textId="2D676F2B" w:rsidR="007A60EC" w:rsidRPr="00653BF4" w:rsidRDefault="007A60EC" w:rsidP="007A60EC">
      <w:pPr>
        <w:pStyle w:val="ListParagraph"/>
        <w:numPr>
          <w:ilvl w:val="0"/>
          <w:numId w:val="51"/>
        </w:numPr>
        <w:rPr>
          <w:lang w:val="fr-FR"/>
        </w:rPr>
      </w:pPr>
      <w:r w:rsidRPr="00653BF4">
        <w:rPr>
          <w:lang w:val="fr-FR"/>
        </w:rPr>
        <w:t>Le Groupe de liaison sur les conventions concernant la diversité biologique, créé en 2002 et actualisé en 2014. Ce groupe de liaison réunit les chefs de secrétariat de huit conventions, dont la Convention sur la diversité biologique. Il étudie et promeut des moyens de renforcer la coopération entre les conventions (décision 16/35, CDB, 2026)</w:t>
      </w:r>
      <w:r w:rsidRPr="00653BF4">
        <w:rPr>
          <w:rStyle w:val="FootnoteReference"/>
          <w:lang w:val="fr-FR"/>
        </w:rPr>
        <w:footnoteReference w:id="49"/>
      </w:r>
      <w:r w:rsidRPr="00653BF4">
        <w:rPr>
          <w:lang w:val="fr-FR" w:eastAsia="zh-CN"/>
        </w:rPr>
        <w:t>.</w:t>
      </w:r>
      <w:r w:rsidRPr="00653BF4">
        <w:rPr>
          <w:lang w:val="fr-FR"/>
        </w:rPr>
        <w:t xml:space="preserve"> </w:t>
      </w:r>
      <w:bookmarkEnd w:id="535"/>
    </w:p>
    <w:p w14:paraId="1570C3A6" w14:textId="77777777" w:rsidR="007A60EC" w:rsidRPr="00653BF4" w:rsidRDefault="007A60EC" w:rsidP="007A60EC">
      <w:pPr>
        <w:rPr>
          <w:lang w:val="fr-FR"/>
        </w:rPr>
      </w:pPr>
    </w:p>
    <w:p w14:paraId="220E8349" w14:textId="24AA976B" w:rsidR="007A60EC" w:rsidRPr="00653BF4" w:rsidRDefault="007A60EC" w:rsidP="007A60EC">
      <w:pPr>
        <w:pStyle w:val="Heading3"/>
        <w:rPr>
          <w:lang w:val="fr-FR"/>
        </w:rPr>
      </w:pPr>
      <w:bookmarkStart w:id="536" w:name="_Toc242801286"/>
      <w:r w:rsidRPr="00653BF4">
        <w:rPr>
          <w:lang w:val="fr-FR"/>
        </w:rPr>
        <w:t>Appui des accords multilatéraux sur l’environnement au Cadre</w:t>
      </w:r>
      <w:bookmarkEnd w:id="536"/>
    </w:p>
    <w:p w14:paraId="21CF420A" w14:textId="77777777" w:rsidR="007A60EC" w:rsidRPr="00653BF4" w:rsidRDefault="007A60EC" w:rsidP="007A60EC">
      <w:pPr>
        <w:pStyle w:val="Heading4"/>
        <w:rPr>
          <w:lang w:val="fr-FR"/>
        </w:rPr>
      </w:pPr>
    </w:p>
    <w:p w14:paraId="27254E27" w14:textId="71DB7F3A" w:rsidR="007A60EC" w:rsidRPr="00653BF4" w:rsidRDefault="007A60EC" w:rsidP="007A60EC">
      <w:pPr>
        <w:pStyle w:val="Heading4"/>
        <w:rPr>
          <w:lang w:val="fr-FR"/>
        </w:rPr>
      </w:pPr>
      <w:bookmarkStart w:id="537" w:name="_Toc242801287"/>
      <w:r w:rsidRPr="00653BF4">
        <w:rPr>
          <w:lang w:val="fr-FR"/>
        </w:rPr>
        <w:t>Conventions de Rio</w:t>
      </w:r>
      <w:bookmarkEnd w:id="537"/>
    </w:p>
    <w:p w14:paraId="5D3403CF" w14:textId="77777777" w:rsidR="007A60EC" w:rsidRPr="00653BF4" w:rsidRDefault="007A60EC" w:rsidP="007A60EC">
      <w:pPr>
        <w:rPr>
          <w:lang w:val="fr-FR"/>
        </w:rPr>
      </w:pPr>
    </w:p>
    <w:p w14:paraId="2F830DA4" w14:textId="2E623EBE" w:rsidR="007A60EC" w:rsidRPr="00653BF4" w:rsidRDefault="007A60EC" w:rsidP="007A60EC">
      <w:pPr>
        <w:rPr>
          <w:lang w:val="fr-FR"/>
        </w:rPr>
      </w:pPr>
      <w:r w:rsidRPr="00653BF4">
        <w:rPr>
          <w:lang w:val="fr-FR"/>
        </w:rPr>
        <w:t xml:space="preserve">Le Groupe de liaison mixte des conventions de Rio a été créé en 2001 pour renforcer la collaboration entre les secrétariats des trois conventions issues de la Conférence des Nations Unies sur l’environnement et le développement (le </w:t>
      </w:r>
      <w:r w:rsidR="00E34DC9">
        <w:rPr>
          <w:lang w:val="fr-FR"/>
        </w:rPr>
        <w:t>« </w:t>
      </w:r>
      <w:r w:rsidRPr="00653BF4">
        <w:rPr>
          <w:lang w:val="fr-FR"/>
        </w:rPr>
        <w:t>Sommet de la Terre</w:t>
      </w:r>
      <w:r w:rsidR="00E34DC9">
        <w:rPr>
          <w:lang w:val="fr-FR"/>
        </w:rPr>
        <w:t> »</w:t>
      </w:r>
      <w:r w:rsidRPr="00653BF4">
        <w:rPr>
          <w:lang w:val="fr-FR"/>
        </w:rPr>
        <w:t>), tenue à Rio de Janeiro (Brésil) en 1992</w:t>
      </w:r>
      <w:r w:rsidR="00E34DC9">
        <w:rPr>
          <w:lang w:val="fr-FR"/>
        </w:rPr>
        <w:t> :</w:t>
      </w:r>
      <w:r w:rsidRPr="00653BF4">
        <w:rPr>
          <w:lang w:val="fr-FR"/>
        </w:rPr>
        <w:t xml:space="preserve"> la Convention sur la diversité biologique</w:t>
      </w:r>
      <w:r w:rsidR="00E34DC9">
        <w:rPr>
          <w:lang w:val="fr-FR"/>
        </w:rPr>
        <w:t> ;</w:t>
      </w:r>
      <w:r w:rsidRPr="00653BF4">
        <w:rPr>
          <w:lang w:val="fr-FR"/>
        </w:rPr>
        <w:t xml:space="preserve"> la Convention des Nations Unies sur la lutte contre la désertification dans les pays gravement touchés par la sécheresse et/ou la désertification, en particulier en Afrique (CLD)</w:t>
      </w:r>
      <w:r w:rsidR="00E34DC9">
        <w:rPr>
          <w:lang w:val="fr-FR"/>
        </w:rPr>
        <w:t> ;</w:t>
      </w:r>
      <w:r w:rsidRPr="00653BF4">
        <w:rPr>
          <w:lang w:val="fr-FR"/>
        </w:rPr>
        <w:t xml:space="preserve"> et la Convention-cadre des Nations Unies sur les changements climatiques (CCNUCC). Le Groupe favorise la coordination, l’échange d’informations et l’action conjointe concernant les priorités communes aux conventions. Il réunit les secrétaires exécutifs, des responsables scientifiques et d’autres membres du personnel des secrétariats afin de promouvoir des solutions intégrées face aux problèmes environnementaux mondiaux</w:t>
      </w:r>
      <w:r w:rsidRPr="00653BF4">
        <w:rPr>
          <w:rStyle w:val="FootnoteReference"/>
          <w:color w:val="333333"/>
          <w:shd w:val="clear" w:color="auto" w:fill="FFFFFF"/>
          <w:lang w:val="fr-FR"/>
        </w:rPr>
        <w:footnoteReference w:id="50"/>
      </w:r>
      <w:r w:rsidRPr="00653BF4">
        <w:rPr>
          <w:lang w:val="fr-FR"/>
        </w:rPr>
        <w:t>.</w:t>
      </w:r>
    </w:p>
    <w:p w14:paraId="51AF2691" w14:textId="2A144543" w:rsidR="007A60EC" w:rsidRPr="00653BF4" w:rsidRDefault="007A60EC" w:rsidP="007A60EC">
      <w:pPr>
        <w:autoSpaceDE w:val="0"/>
        <w:autoSpaceDN w:val="0"/>
        <w:adjustRightInd w:val="0"/>
        <w:spacing w:after="0" w:line="276" w:lineRule="auto"/>
        <w:rPr>
          <w:lang w:val="fr-FR"/>
        </w:rPr>
      </w:pPr>
      <w:r w:rsidRPr="00653BF4">
        <w:rPr>
          <w:lang w:val="fr-FR"/>
        </w:rPr>
        <w:lastRenderedPageBreak/>
        <w:t>La collaboration entre les conventions de Rio a permis de mettre en évidence les liens indissociables entre les solutions visant à lutter contre la perte de biodiversité, les changements climatiques, la désertification et la dégradation des terres, tant à l’échelle nationale qu’à l’échelle mondiale (voir l’encadré 57)</w:t>
      </w:r>
      <w:r w:rsidRPr="00653BF4">
        <w:rPr>
          <w:rStyle w:val="FootnoteReference"/>
          <w:lang w:val="fr-FR"/>
        </w:rPr>
        <w:footnoteReference w:id="51"/>
      </w:r>
      <w:r w:rsidRPr="00653BF4">
        <w:rPr>
          <w:lang w:val="fr-FR"/>
        </w:rPr>
        <w:t xml:space="preserve">. Ainsi, dans les résultats du premier bilan mondial de l’Accord de Paris sur les changements climatiques, la coopération entre les conventions de Rio est encouragée et l’accent est expressément mis sur l’importance de conserver, de protéger et de restaurer la nature, de mettre un terme à la déforestation et d’inverser cette tendance, ainsi que de conserver la biodiversité conformément au Cadre mondial de la biodiversité de Kunming-Montréal (CCNUCC, 2024b). Le Cadre des Émirats arabes unis pour la résilience climatique mondiale a établi une cible visant à réduire les effets des changements climatiques sur les écosystèmes et la biodiversité et à accélérer l’adaptation fondée sur les écosystèmes et les solutions fondées sur la nature, cible qui appuie fortement plusieurs éléments de la </w:t>
      </w:r>
      <w:r w:rsidR="00E34DC9">
        <w:rPr>
          <w:lang w:val="fr-FR"/>
        </w:rPr>
        <w:t>cible 8</w:t>
      </w:r>
      <w:r w:rsidRPr="00653BF4">
        <w:rPr>
          <w:lang w:val="fr-FR"/>
        </w:rPr>
        <w:t xml:space="preserve"> du Cadre (CCNUCC, 2024b). Ces liens ont été renforcés par la Déclaration commune sur le climat, la nature et les populations, adoptée à la vingt-huitième session de la Conférence des Parties à la Convention-cadre des Nations Unies sur les changements climatiques en 2023</w:t>
      </w:r>
      <w:r w:rsidRPr="00653BF4">
        <w:rPr>
          <w:rStyle w:val="FootnoteReference"/>
          <w:lang w:val="fr-FR"/>
        </w:rPr>
        <w:footnoteReference w:id="52"/>
      </w:r>
      <w:r w:rsidRPr="00653BF4">
        <w:rPr>
          <w:lang w:val="fr-FR"/>
        </w:rPr>
        <w:t>, et par la Déclaration commune de Belém sur les conventions de Rio, adoptée à la trentième session de cette même Conférence en 2025</w:t>
      </w:r>
      <w:r w:rsidRPr="00653BF4">
        <w:rPr>
          <w:rStyle w:val="FootnoteReference"/>
          <w:lang w:val="fr-FR"/>
        </w:rPr>
        <w:footnoteReference w:id="53"/>
      </w:r>
      <w:r w:rsidRPr="00653BF4">
        <w:rPr>
          <w:lang w:val="fr-FR"/>
        </w:rPr>
        <w:t xml:space="preserve">, deux textes qui ont favorisé un alignement et une coordination accrus dans la mise en œuvre des plans nationaux relatifs au climat, à la biodiversité et à la restauration des terres (voir également le résumé de la </w:t>
      </w:r>
      <w:r w:rsidR="00E34DC9">
        <w:rPr>
          <w:lang w:val="fr-FR"/>
        </w:rPr>
        <w:t>cible 8</w:t>
      </w:r>
      <w:r w:rsidRPr="00653BF4">
        <w:rPr>
          <w:lang w:val="fr-FR"/>
        </w:rPr>
        <w:t xml:space="preserve"> à la </w:t>
      </w:r>
      <w:r w:rsidR="002878D7">
        <w:rPr>
          <w:lang w:val="fr-FR"/>
        </w:rPr>
        <w:t>section I</w:t>
      </w:r>
      <w:r w:rsidRPr="00653BF4">
        <w:rPr>
          <w:lang w:val="fr-FR"/>
        </w:rPr>
        <w:t xml:space="preserve">I.B ci-dessus). Les résumés des </w:t>
      </w:r>
      <w:r w:rsidR="002878D7">
        <w:rPr>
          <w:lang w:val="fr-FR"/>
        </w:rPr>
        <w:t>cibles 1</w:t>
      </w:r>
      <w:r w:rsidRPr="00653BF4">
        <w:rPr>
          <w:lang w:val="fr-FR"/>
        </w:rPr>
        <w:t xml:space="preserve">, 2, 3 et 10, à la </w:t>
      </w:r>
      <w:r w:rsidR="002878D7">
        <w:rPr>
          <w:lang w:val="fr-FR"/>
        </w:rPr>
        <w:t>section I</w:t>
      </w:r>
      <w:r w:rsidRPr="00653BF4">
        <w:rPr>
          <w:lang w:val="fr-FR"/>
        </w:rPr>
        <w:t>I.B ci-dessus, traitent plus en détail de la contribution des mesures prises au titre de la CLD, qui visent respectivement à favoriser la neutralité en matière de dégradation des terres en l’intégrant à la planification spatiale respectueuse de la biodiversité, à appuyer le suivi de la restauration des écosystèmes, à renforcer la connectivité écologique et à promouvoir des pratiques agricoles durables (CLD, 2025).</w:t>
      </w:r>
    </w:p>
    <w:p w14:paraId="47676849" w14:textId="77777777" w:rsidR="007A60EC" w:rsidRPr="00653BF4" w:rsidRDefault="007A60EC" w:rsidP="007A60EC">
      <w:pPr>
        <w:autoSpaceDE w:val="0"/>
        <w:autoSpaceDN w:val="0"/>
        <w:adjustRightInd w:val="0"/>
        <w:spacing w:after="0" w:line="276" w:lineRule="auto"/>
        <w:rPr>
          <w:lang w:val="fr-FR"/>
        </w:rPr>
      </w:pPr>
    </w:p>
    <w:p w14:paraId="651889AA" w14:textId="77777777" w:rsidR="007A60EC" w:rsidRPr="00653BF4" w:rsidRDefault="007A60EC" w:rsidP="007A60EC">
      <w:pPr>
        <w:spacing w:after="0" w:line="276" w:lineRule="auto"/>
        <w:rPr>
          <w:lang w:val="fr-FR"/>
        </w:rPr>
      </w:pPr>
    </w:p>
    <w:tbl>
      <w:tblPr>
        <w:tblStyle w:val="TableGrid"/>
        <w:tblW w:w="0" w:type="auto"/>
        <w:tblLook w:val="04A0" w:firstRow="1" w:lastRow="0" w:firstColumn="1" w:lastColumn="0" w:noHBand="0" w:noVBand="1"/>
      </w:tblPr>
      <w:tblGrid>
        <w:gridCol w:w="9016"/>
      </w:tblGrid>
      <w:tr w:rsidR="007A60EC" w:rsidRPr="00543148" w14:paraId="024C5263" w14:textId="77777777" w:rsidTr="00557FB3">
        <w:tc>
          <w:tcPr>
            <w:tcW w:w="9016" w:type="dxa"/>
            <w:shd w:val="clear" w:color="auto" w:fill="D1D1D1" w:themeFill="background2" w:themeFillShade="E6"/>
          </w:tcPr>
          <w:p w14:paraId="79663418" w14:textId="14F5AB0D" w:rsidR="007A60EC" w:rsidRPr="00653BF4" w:rsidRDefault="007A60EC" w:rsidP="00557FB3">
            <w:pPr>
              <w:rPr>
                <w:sz w:val="20"/>
                <w:szCs w:val="20"/>
                <w:lang w:val="fr-FR"/>
              </w:rPr>
            </w:pPr>
            <w:bookmarkStart w:id="538" w:name="_Ref236395038"/>
            <w:r w:rsidRPr="00653BF4">
              <w:rPr>
                <w:sz w:val="20"/>
                <w:szCs w:val="20"/>
                <w:lang w:val="fr-FR"/>
              </w:rPr>
              <w:t xml:space="preserve">Encadré </w:t>
            </w:r>
            <w:r w:rsidRPr="00653BF4">
              <w:rPr>
                <w:noProof/>
                <w:sz w:val="20"/>
                <w:szCs w:val="20"/>
                <w:lang w:val="fr-FR"/>
              </w:rPr>
              <w:t>57</w:t>
            </w:r>
            <w:bookmarkEnd w:id="538"/>
          </w:p>
          <w:p w14:paraId="60E967CA" w14:textId="11D656FE" w:rsidR="007A60EC" w:rsidRPr="00653BF4" w:rsidRDefault="007A60EC" w:rsidP="00557FB3">
            <w:pPr>
              <w:rPr>
                <w:sz w:val="20"/>
                <w:szCs w:val="20"/>
                <w:lang w:val="fr-FR"/>
              </w:rPr>
            </w:pPr>
            <w:r w:rsidRPr="00653BF4">
              <w:rPr>
                <w:b/>
                <w:bCs/>
                <w:sz w:val="20"/>
                <w:szCs w:val="20"/>
                <w:lang w:val="fr-FR"/>
              </w:rPr>
              <w:t>Coordination des actions relatives aux conventions de Rio au niveau national</w:t>
            </w:r>
            <w:r w:rsidR="00E34DC9">
              <w:rPr>
                <w:b/>
                <w:bCs/>
                <w:sz w:val="20"/>
                <w:szCs w:val="20"/>
                <w:lang w:val="fr-FR"/>
              </w:rPr>
              <w:t> :</w:t>
            </w:r>
            <w:r w:rsidRPr="00653BF4">
              <w:rPr>
                <w:b/>
                <w:bCs/>
                <w:sz w:val="20"/>
                <w:szCs w:val="20"/>
                <w:lang w:val="fr-FR"/>
              </w:rPr>
              <w:t xml:space="preserve"> le Panama Nature Pledge</w:t>
            </w:r>
          </w:p>
          <w:p w14:paraId="753F9FF3" w14:textId="77777777" w:rsidR="007A60EC" w:rsidRPr="00653BF4" w:rsidRDefault="007A60EC" w:rsidP="00557FB3">
            <w:pPr>
              <w:rPr>
                <w:sz w:val="20"/>
                <w:szCs w:val="20"/>
                <w:lang w:val="fr-FR"/>
              </w:rPr>
            </w:pPr>
            <w:r w:rsidRPr="00653BF4">
              <w:rPr>
                <w:sz w:val="20"/>
                <w:szCs w:val="20"/>
                <w:lang w:val="fr-FR"/>
              </w:rPr>
              <w:t xml:space="preserve">Le Panama Nature Pledge est un cadre stratégique qui réunit les engagements pris au titre des trois conventions de Rio, relatives à la perte de biodiversité, aux changements climatiques et à la désertification. Annoncé par le Président du Panama à la quatre-vingtième session de l’Assemblée générale des Nations Unies en 2025, cet engagement structure un ensemble cohérent de politiques destinées à sous-tendre les mises à jour du SPANB établi par le Panama en application de la Convention sur la diversité biologique, en articulation avec la contribution déterminée au niveau national que ce pays a présentée au titre de la CCNUCC et avec les cibles de neutralité en matière de </w:t>
            </w:r>
            <w:r w:rsidRPr="00653BF4">
              <w:rPr>
                <w:sz w:val="20"/>
                <w:szCs w:val="20"/>
                <w:lang w:val="fr-FR"/>
              </w:rPr>
              <w:lastRenderedPageBreak/>
              <w:t>dégradation des terres qu’il a fixées au titre de la CLD. En inscrivant ces engagements dans une vision unique d’action intersectorielle coordonnée, le Panama cherche à surmonter la fragmentation institutionnelle et à renforcer la cohérence des politiques publiques visant plusieurs objectifs environnementaux, avec des cibles quantifiables à atteindre d’ici à 2035.</w:t>
            </w:r>
          </w:p>
          <w:p w14:paraId="24E818E0" w14:textId="77777777" w:rsidR="007A60EC" w:rsidRPr="00653BF4" w:rsidRDefault="007A60EC" w:rsidP="00557FB3">
            <w:pPr>
              <w:rPr>
                <w:sz w:val="20"/>
                <w:szCs w:val="20"/>
                <w:lang w:val="fr-FR"/>
              </w:rPr>
            </w:pPr>
          </w:p>
          <w:p w14:paraId="770F1CEB" w14:textId="77777777" w:rsidR="007A60EC" w:rsidRPr="00653BF4" w:rsidRDefault="007A60EC" w:rsidP="00557FB3">
            <w:pPr>
              <w:keepNext/>
              <w:rPr>
                <w:lang w:val="fr-FR"/>
              </w:rPr>
            </w:pPr>
          </w:p>
          <w:p w14:paraId="19D55185" w14:textId="3364FED9" w:rsidR="007A60EC" w:rsidRPr="00653BF4" w:rsidRDefault="007A60EC" w:rsidP="00557FB3">
            <w:pPr>
              <w:keepNext/>
              <w:rPr>
                <w:i/>
                <w:sz w:val="20"/>
                <w:szCs w:val="20"/>
                <w:lang w:val="fr-FR"/>
              </w:rPr>
            </w:pPr>
            <w:r w:rsidRPr="00653BF4">
              <w:rPr>
                <w:i/>
                <w:sz w:val="20"/>
                <w:szCs w:val="20"/>
                <w:lang w:val="fr-FR"/>
              </w:rPr>
              <w:t>Sources</w:t>
            </w:r>
            <w:r w:rsidR="00E34DC9">
              <w:rPr>
                <w:i/>
                <w:sz w:val="20"/>
                <w:szCs w:val="20"/>
                <w:lang w:val="fr-FR"/>
              </w:rPr>
              <w:t> :</w:t>
            </w:r>
            <w:r w:rsidRPr="00653BF4">
              <w:rPr>
                <w:rFonts w:ascii="Aptos" w:cs="Times New Roman"/>
                <w:kern w:val="0"/>
                <w:sz w:val="20"/>
                <w:szCs w:val="20"/>
                <w:lang w:val="fr-FR"/>
              </w:rPr>
              <w:t xml:space="preserve"> Ministère de l’environnement du Panama (MiAMBIENTE), 2025</w:t>
            </w:r>
            <w:r w:rsidR="00E34DC9">
              <w:rPr>
                <w:rFonts w:ascii="Aptos" w:cs="Times New Roman"/>
                <w:kern w:val="0"/>
                <w:sz w:val="20"/>
                <w:szCs w:val="20"/>
                <w:lang w:val="fr-FR"/>
              </w:rPr>
              <w:t> ;</w:t>
            </w:r>
            <w:r w:rsidRPr="00653BF4">
              <w:rPr>
                <w:rFonts w:ascii="Aptos" w:cs="Times New Roman"/>
                <w:kern w:val="0"/>
                <w:sz w:val="20"/>
                <w:szCs w:val="20"/>
                <w:lang w:val="fr-FR"/>
              </w:rPr>
              <w:t xml:space="preserve"> et CLD, 2025</w:t>
            </w:r>
            <w:r w:rsidRPr="00653BF4">
              <w:rPr>
                <w:rFonts w:ascii="Aptos" w:cs="Times New Roman"/>
                <w:i/>
                <w:sz w:val="20"/>
                <w:szCs w:val="20"/>
                <w:lang w:val="fr-FR"/>
              </w:rPr>
              <w:t>.</w:t>
            </w:r>
          </w:p>
          <w:p w14:paraId="27A50F65" w14:textId="77777777" w:rsidR="007A60EC" w:rsidRPr="00653BF4" w:rsidRDefault="007A60EC" w:rsidP="00557FB3">
            <w:pPr>
              <w:keepNext/>
              <w:rPr>
                <w:lang w:val="fr-FR"/>
              </w:rPr>
            </w:pPr>
          </w:p>
        </w:tc>
      </w:tr>
    </w:tbl>
    <w:p w14:paraId="45015863" w14:textId="77777777" w:rsidR="007A60EC" w:rsidRPr="00653BF4" w:rsidRDefault="007A60EC" w:rsidP="007A60EC">
      <w:pPr>
        <w:autoSpaceDE w:val="0"/>
        <w:autoSpaceDN w:val="0"/>
        <w:adjustRightInd w:val="0"/>
        <w:spacing w:after="0" w:line="276" w:lineRule="auto"/>
        <w:rPr>
          <w:lang w:val="fr-FR"/>
        </w:rPr>
      </w:pPr>
    </w:p>
    <w:p w14:paraId="5FA89F30" w14:textId="4ABF269B" w:rsidR="007A60EC" w:rsidRPr="00653BF4" w:rsidRDefault="007A60EC" w:rsidP="007A60EC">
      <w:pPr>
        <w:pStyle w:val="Heading4"/>
        <w:rPr>
          <w:lang w:val="fr-FR"/>
        </w:rPr>
      </w:pPr>
      <w:bookmarkStart w:id="539" w:name="_Toc242801288"/>
      <w:r w:rsidRPr="00653BF4">
        <w:rPr>
          <w:lang w:val="fr-FR"/>
        </w:rPr>
        <w:t>Conventions relatives à la biodiversité</w:t>
      </w:r>
      <w:bookmarkEnd w:id="539"/>
    </w:p>
    <w:p w14:paraId="62EFE162" w14:textId="77777777" w:rsidR="007A60EC" w:rsidRPr="00653BF4" w:rsidRDefault="007A60EC" w:rsidP="007A60EC">
      <w:pPr>
        <w:autoSpaceDE w:val="0"/>
        <w:autoSpaceDN w:val="0"/>
        <w:adjustRightInd w:val="0"/>
        <w:spacing w:after="0" w:line="276" w:lineRule="auto"/>
        <w:rPr>
          <w:rFonts w:cs="Times New Roman"/>
          <w:color w:val="000000"/>
          <w:lang w:val="fr-FR"/>
        </w:rPr>
      </w:pPr>
    </w:p>
    <w:p w14:paraId="27A64A7D" w14:textId="35FF0885" w:rsidR="007A60EC" w:rsidRPr="00653BF4" w:rsidRDefault="007A60EC" w:rsidP="007A60EC">
      <w:pPr>
        <w:spacing w:after="0" w:line="276" w:lineRule="auto"/>
        <w:rPr>
          <w:rFonts w:cs="Times New Roman"/>
          <w:color w:val="000000" w:themeColor="text1"/>
          <w:lang w:val="fr-FR"/>
        </w:rPr>
      </w:pPr>
      <w:r w:rsidRPr="00653BF4">
        <w:rPr>
          <w:rFonts w:cs="Times New Roman"/>
          <w:color w:val="000000" w:themeColor="text1"/>
          <w:lang w:val="fr-FR"/>
        </w:rPr>
        <w:t>Chacune des conventions relatives à la biodiversité tient compte du Cadre mondial de la biodiversité de Kunming-Montréal dans ses propres processus et procédures, ce qui donne aux Parties d’importantes possibilités de recenser des mesures porteuses de synergies qui appuient les engagements pris au titre de chaque convention tout en contribuant à la mise en œuvre du Cadre. Par exemple</w:t>
      </w:r>
      <w:r w:rsidR="00E34DC9">
        <w:rPr>
          <w:rFonts w:cs="Times New Roman"/>
          <w:color w:val="000000" w:themeColor="text1"/>
          <w:lang w:val="fr-FR"/>
        </w:rPr>
        <w:t> :</w:t>
      </w:r>
      <w:r w:rsidRPr="00653BF4">
        <w:rPr>
          <w:rFonts w:cs="Times New Roman"/>
          <w:color w:val="000000" w:themeColor="text1"/>
          <w:lang w:val="fr-FR"/>
        </w:rPr>
        <w:t xml:space="preserve"> </w:t>
      </w:r>
    </w:p>
    <w:p w14:paraId="318467BD" w14:textId="77777777" w:rsidR="007A60EC" w:rsidRPr="00653BF4" w:rsidRDefault="007A60EC" w:rsidP="007A60EC">
      <w:pPr>
        <w:spacing w:after="0" w:line="276" w:lineRule="auto"/>
        <w:rPr>
          <w:lang w:val="fr-FR"/>
        </w:rPr>
      </w:pPr>
    </w:p>
    <w:p w14:paraId="3F8C9EB1" w14:textId="254045CD" w:rsidR="007A60EC" w:rsidRPr="00653BF4" w:rsidRDefault="007A60EC" w:rsidP="007A60EC">
      <w:pPr>
        <w:pStyle w:val="ListParagraph"/>
        <w:numPr>
          <w:ilvl w:val="0"/>
          <w:numId w:val="35"/>
        </w:numPr>
        <w:autoSpaceDE w:val="0"/>
        <w:autoSpaceDN w:val="0"/>
        <w:adjustRightInd w:val="0"/>
        <w:spacing w:after="0" w:line="276" w:lineRule="auto"/>
        <w:rPr>
          <w:rFonts w:cs="Times New Roman"/>
          <w:color w:val="000000"/>
          <w:lang w:val="fr-FR"/>
        </w:rPr>
      </w:pPr>
      <w:r w:rsidRPr="00653BF4">
        <w:rPr>
          <w:lang w:val="fr-FR"/>
        </w:rPr>
        <w:t>La Conférence des Parties à la Convention sur le commerce international des espèces de faune et de flore sauvages menacées d’extinction (CITES) a souligné que l’application effective de la CITES était nécessaire pour appuyer la mise en œuvre du Cadre et a insisté sur l’engagement de la Convention à démontrer sa contribution au Cadre (CITES, 2025c). La contribution de la CITES au Cadre est reconnue dans la Vision de la stratégie CITES pour 2021-2030, et la CITES a publié une mise en correspondance des objectifs de la Vision avec des objectifs et cibles précis du Cadre (CITES, 2025d)</w:t>
      </w:r>
      <w:r w:rsidRPr="00653BF4">
        <w:rPr>
          <w:rStyle w:val="FootnoteReference"/>
          <w:lang w:val="fr-FR"/>
        </w:rPr>
        <w:footnoteReference w:id="54"/>
      </w:r>
      <w:r w:rsidRPr="00653BF4">
        <w:rPr>
          <w:lang w:val="fr-FR"/>
        </w:rPr>
        <w:t xml:space="preserve">. Dans leurs SPANB et leurs rapports nationaux, les Parties mentionnent largement des actions liées au respect de la CITES, notamment à propos des mesures de rétablissement, de conservation et d’utilisation durable des espèces menacées qu’elles prennent pour mettre en œuvre les cibles 4, 5 et 9 du Cadre (voir le tableau 55 et les sections correspondantes des résumés de ces cibles à la </w:t>
      </w:r>
      <w:r w:rsidR="002878D7">
        <w:rPr>
          <w:lang w:val="fr-FR"/>
        </w:rPr>
        <w:t>section I</w:t>
      </w:r>
      <w:r w:rsidRPr="00653BF4">
        <w:rPr>
          <w:lang w:val="fr-FR"/>
        </w:rPr>
        <w:t xml:space="preserve">I.B ci-dessus). </w:t>
      </w:r>
    </w:p>
    <w:p w14:paraId="10B0CEC3" w14:textId="77777777" w:rsidR="007A60EC" w:rsidRPr="00653BF4" w:rsidRDefault="007A60EC" w:rsidP="007A60EC">
      <w:pPr>
        <w:autoSpaceDE w:val="0"/>
        <w:autoSpaceDN w:val="0"/>
        <w:adjustRightInd w:val="0"/>
        <w:spacing w:after="0" w:line="276" w:lineRule="auto"/>
        <w:rPr>
          <w:rFonts w:cs="Times New Roman"/>
          <w:color w:val="000000"/>
          <w:lang w:val="fr-FR"/>
        </w:rPr>
      </w:pPr>
    </w:p>
    <w:p w14:paraId="69F8B5E0" w14:textId="19F83FAD" w:rsidR="007A60EC" w:rsidRPr="00653BF4" w:rsidRDefault="007A60EC" w:rsidP="007A60EC">
      <w:pPr>
        <w:pStyle w:val="ListParagraph"/>
        <w:numPr>
          <w:ilvl w:val="0"/>
          <w:numId w:val="35"/>
        </w:numPr>
        <w:autoSpaceDE w:val="0"/>
        <w:autoSpaceDN w:val="0"/>
        <w:adjustRightInd w:val="0"/>
        <w:spacing w:after="0" w:line="276" w:lineRule="auto"/>
        <w:rPr>
          <w:rFonts w:cs="Times New Roman"/>
          <w:color w:val="000000"/>
          <w:lang w:val="fr-FR"/>
        </w:rPr>
      </w:pPr>
      <w:r w:rsidRPr="00653BF4">
        <w:rPr>
          <w:lang w:val="fr-FR"/>
        </w:rPr>
        <w:t xml:space="preserve">La Convention relative aux zones humides d’importance internationale particulièrement comme habitats des oiseaux d’eau a adopté avec la Convention sur la diversité biologique un plan de travail conjoint pour la période 2024-2030, visant à harmoniser l’action menée en vue d’atteindre les objectifs des deux conventions. Ce plan contient des orientations facultatives et comprend notamment un domaine d’activité consacré à la mise en œuvre et au suivi, qui relie le cinquième plan stratégique de la Convention sur les zones humides (2025-2034) au Cadre. Cet alignement est renforcé par une résolution accompagnant le plan stratégique, adoptée </w:t>
      </w:r>
      <w:r w:rsidRPr="00653BF4">
        <w:rPr>
          <w:lang w:val="fr-FR"/>
        </w:rPr>
        <w:lastRenderedPageBreak/>
        <w:t xml:space="preserve">à la quinzième réunion de la Conférence des Parties contractantes à la Convention sur les zones humides. Cette résolution établit une passerelle entre les deux conventions en encourageant l’intégration des données sur les zones humides dans les SPANB, ainsi qu’un recours accru aux désignations de sites Ramsar et aux données sur les eaux douces à l’appui des cibles mondiales de conservation et de restauration (voir également les sections correspondantes des résumés des cibles 2 et 3 à la </w:t>
      </w:r>
      <w:r w:rsidR="002878D7">
        <w:rPr>
          <w:lang w:val="fr-FR"/>
        </w:rPr>
        <w:t>section I</w:t>
      </w:r>
      <w:r w:rsidRPr="00653BF4">
        <w:rPr>
          <w:lang w:val="fr-FR"/>
        </w:rPr>
        <w:t>I.B ci-dessus). La Convention sur les zones humides a élaboré, à l’intention des Parties à la Convention sur la diversité biologique, des orientations techniques détaillées sur la façon d’intégrer les zones humides à l’ensemble des cibles du Cadre dans leurs SPANB (décision 16/35, CDB, 2026</w:t>
      </w:r>
      <w:r w:rsidR="00E34DC9">
        <w:rPr>
          <w:lang w:val="fr-FR"/>
        </w:rPr>
        <w:t> ;</w:t>
      </w:r>
      <w:r w:rsidRPr="00653BF4">
        <w:rPr>
          <w:lang w:val="fr-FR"/>
        </w:rPr>
        <w:t xml:space="preserve"> CDB et Convention sur les zones humides, 2024</w:t>
      </w:r>
      <w:r w:rsidR="00E34DC9">
        <w:rPr>
          <w:lang w:val="fr-FR"/>
        </w:rPr>
        <w:t> ;</w:t>
      </w:r>
      <w:r w:rsidRPr="00653BF4">
        <w:rPr>
          <w:lang w:val="fr-FR"/>
        </w:rPr>
        <w:t xml:space="preserve"> et Convention sur les zones humides, 2024, 2025a, 2025f et 2025g).</w:t>
      </w:r>
    </w:p>
    <w:p w14:paraId="05664492" w14:textId="77777777" w:rsidR="007A60EC" w:rsidRPr="00653BF4" w:rsidRDefault="007A60EC" w:rsidP="007A60EC">
      <w:pPr>
        <w:pStyle w:val="ListParagraph"/>
        <w:autoSpaceDE w:val="0"/>
        <w:autoSpaceDN w:val="0"/>
        <w:adjustRightInd w:val="0"/>
        <w:spacing w:after="0" w:line="276" w:lineRule="auto"/>
        <w:ind w:left="360"/>
        <w:rPr>
          <w:rFonts w:cs="Times New Roman"/>
          <w:color w:val="000000"/>
          <w:lang w:val="fr-FR"/>
        </w:rPr>
      </w:pPr>
    </w:p>
    <w:p w14:paraId="3F61419F" w14:textId="5FF49152" w:rsidR="007A60EC" w:rsidRPr="00653BF4" w:rsidRDefault="007A60EC" w:rsidP="007A60EC">
      <w:pPr>
        <w:pStyle w:val="ListParagraph"/>
        <w:numPr>
          <w:ilvl w:val="0"/>
          <w:numId w:val="35"/>
        </w:numPr>
        <w:autoSpaceDE w:val="0"/>
        <w:autoSpaceDN w:val="0"/>
        <w:adjustRightInd w:val="0"/>
        <w:spacing w:after="0" w:line="276" w:lineRule="auto"/>
        <w:rPr>
          <w:rFonts w:cs="Times New Roman"/>
          <w:color w:val="000000"/>
          <w:lang w:val="fr-FR"/>
        </w:rPr>
      </w:pPr>
      <w:r w:rsidRPr="00653BF4">
        <w:rPr>
          <w:lang w:val="fr-FR"/>
        </w:rPr>
        <w:t xml:space="preserve">La Convention sur la conservation des espèces migratrices appartenant à la faune sauvage a adopté un plan stratégique pour les espèces migratrices 2024-2030, qui met explicitement en évidence les liens entre les cibles du plan et celles du Cadre. Il y est souligné qu’une collaboration est nécessaire pour harmoniser les indicateurs du plan avec ceux du cadre de suivi (Convention sur les espèces migratrices, 2023, 2025a et 2025b). Parmi les contributions précises aux cibles du Cadre figurent des mesures visant à renforcer la connectivité écologique, ainsi que des programmes de conservation ciblant les menaces qui pèsent sur les espèces, notamment la pollution, dans l’ensemble de leur aire de répartition migratoire (voir les sections correspondantes des résumés des cibles 3, 4 et 7 à la </w:t>
      </w:r>
      <w:r w:rsidR="002878D7">
        <w:rPr>
          <w:lang w:val="fr-FR"/>
        </w:rPr>
        <w:t>section I</w:t>
      </w:r>
      <w:r w:rsidRPr="00653BF4">
        <w:rPr>
          <w:lang w:val="fr-FR"/>
        </w:rPr>
        <w:t>I.B ci-dessus).</w:t>
      </w:r>
    </w:p>
    <w:p w14:paraId="111F4D87" w14:textId="77777777" w:rsidR="007A60EC" w:rsidRPr="00653BF4" w:rsidRDefault="007A60EC" w:rsidP="007A60EC">
      <w:pPr>
        <w:pStyle w:val="ListParagraph"/>
        <w:autoSpaceDE w:val="0"/>
        <w:autoSpaceDN w:val="0"/>
        <w:adjustRightInd w:val="0"/>
        <w:spacing w:after="0" w:line="276" w:lineRule="auto"/>
        <w:ind w:left="360"/>
        <w:rPr>
          <w:rFonts w:cs="Times New Roman"/>
          <w:color w:val="000000"/>
          <w:lang w:val="fr-FR"/>
        </w:rPr>
      </w:pPr>
    </w:p>
    <w:p w14:paraId="78EDE292" w14:textId="47E6CFFB" w:rsidR="007A60EC" w:rsidRPr="00653BF4" w:rsidRDefault="007A60EC" w:rsidP="007A60EC">
      <w:pPr>
        <w:pStyle w:val="ListParagraph"/>
        <w:numPr>
          <w:ilvl w:val="0"/>
          <w:numId w:val="35"/>
        </w:numPr>
        <w:shd w:val="clear" w:color="auto" w:fill="FFFFFF"/>
        <w:spacing w:after="0" w:line="276" w:lineRule="auto"/>
        <w:rPr>
          <w:rFonts w:ascii="Arial" w:eastAsia="Times New Roman" w:hAnsi="Arial" w:cs="Arial"/>
          <w:color w:val="000000"/>
          <w:kern w:val="0"/>
          <w:sz w:val="20"/>
          <w:szCs w:val="20"/>
          <w:lang w:val="fr-FR" w:eastAsia="en-GB"/>
          <w14:ligatures w14:val="none"/>
        </w:rPr>
      </w:pPr>
      <w:r w:rsidRPr="00653BF4">
        <w:rPr>
          <w:rFonts w:eastAsia="Times New Roman" w:cs="Arial"/>
          <w:color w:val="000000"/>
          <w:kern w:val="0"/>
          <w:lang w:val="fr-FR" w:eastAsia="en-GB"/>
          <w14:ligatures w14:val="none"/>
        </w:rPr>
        <w:t xml:space="preserve">À sa réunion de 2024, la Commission baleinière internationale (CBI) s’est engagée à contribuer au Cadre, notamment à sa mise en œuvre, à son suivi et à la création des capacités correspondantes. Le Comité de conservation de la CBI élabore actuellement un nouveau plan stratégique, aligné sur les cibles du Cadre, afin de garantir que ses activités y contribuent efficacement. Grâce au programme de la CBI relatif aux plans de gestion de la conservation, les pays situés dans les aires de répartition des populations de cétacés vulnérables disposent d’un cadre pour coopérer à la protection de ces espèces et à la restauration de leurs habitats. Ce programme concourt à la réalisation de plusieurs cibles du Cadre (voir les sections correspondantes dans les résumés des cibles 4 et 7 de la </w:t>
      </w:r>
      <w:r w:rsidR="002878D7">
        <w:rPr>
          <w:rFonts w:eastAsia="Times New Roman" w:cs="Arial"/>
          <w:color w:val="000000"/>
          <w:kern w:val="0"/>
          <w:lang w:val="fr-FR" w:eastAsia="en-GB"/>
          <w14:ligatures w14:val="none"/>
        </w:rPr>
        <w:t>section I</w:t>
      </w:r>
      <w:r w:rsidRPr="00653BF4">
        <w:rPr>
          <w:rFonts w:eastAsia="Times New Roman" w:cs="Arial"/>
          <w:color w:val="000000"/>
          <w:kern w:val="0"/>
          <w:lang w:val="fr-FR" w:eastAsia="en-GB"/>
          <w14:ligatures w14:val="none"/>
        </w:rPr>
        <w:t>I.B ci-dessus) (CBI, 2024 et 2025).</w:t>
      </w:r>
    </w:p>
    <w:p w14:paraId="5919F386" w14:textId="77777777" w:rsidR="007A60EC" w:rsidRPr="00653BF4" w:rsidRDefault="007A60EC" w:rsidP="007A60EC">
      <w:pPr>
        <w:pStyle w:val="ListParagraph"/>
        <w:shd w:val="clear" w:color="auto" w:fill="FFFFFF"/>
        <w:spacing w:after="0" w:line="276" w:lineRule="auto"/>
        <w:ind w:left="360"/>
        <w:rPr>
          <w:rFonts w:ascii="Arial" w:eastAsia="Times New Roman" w:hAnsi="Arial" w:cs="Arial"/>
          <w:color w:val="000000"/>
          <w:kern w:val="0"/>
          <w:sz w:val="20"/>
          <w:szCs w:val="20"/>
          <w:lang w:val="fr-FR" w:eastAsia="en-GB"/>
          <w14:ligatures w14:val="none"/>
        </w:rPr>
      </w:pPr>
    </w:p>
    <w:p w14:paraId="53A03884" w14:textId="47DEA56B" w:rsidR="007A60EC" w:rsidRPr="00653BF4" w:rsidRDefault="007A60EC" w:rsidP="007A60EC">
      <w:pPr>
        <w:pStyle w:val="ListParagraph"/>
        <w:numPr>
          <w:ilvl w:val="0"/>
          <w:numId w:val="35"/>
        </w:numPr>
        <w:spacing w:line="279" w:lineRule="auto"/>
        <w:rPr>
          <w:b/>
          <w:bCs/>
          <w:lang w:val="fr-FR"/>
        </w:rPr>
      </w:pPr>
      <w:r w:rsidRPr="00653BF4">
        <w:rPr>
          <w:lang w:val="fr-FR"/>
        </w:rPr>
        <w:t xml:space="preserve">À sa réunion de 2025, l’organe directeur de la Convention du patrimoine mondial a souligné l’importance d’aligner la Convention sur le Cadre. Il a pris note des recommandations issues d’une réunion d’experts tenue en novembre 2024, qui a confirmé la pertinence de la Convention pour la quasi-totalité des 23 cibles du Cadre </w:t>
      </w:r>
      <w:r w:rsidRPr="00653BF4">
        <w:rPr>
          <w:lang w:val="fr-FR"/>
        </w:rPr>
        <w:lastRenderedPageBreak/>
        <w:t xml:space="preserve">(UNESCO, 2024). Parmi les mesures préconisées figurait l’intégration des objectifs de la Convention du patrimoine mondial dans les SPANB. Dans sa décision, l’organe directeur a mis l’accent sur les liens entre la diversité culturelle et la diversité biologique, ainsi que sur le rôle essentiel que les sites du patrimoine mondial de l’UNESCO peuvent jouer pour obtenir, à l’échelle mondiale, des résultats en faveur de la biodiversité (voir les sections correspondantes dans les résumés des cibles 5 et 8 de la </w:t>
      </w:r>
      <w:r w:rsidR="002878D7">
        <w:rPr>
          <w:lang w:val="fr-FR"/>
        </w:rPr>
        <w:t>section I</w:t>
      </w:r>
      <w:r w:rsidRPr="00653BF4">
        <w:rPr>
          <w:lang w:val="fr-FR"/>
        </w:rPr>
        <w:t>I.B ci-dessus) (UNESCO, 2025a</w:t>
      </w:r>
      <w:r w:rsidR="00E34DC9">
        <w:rPr>
          <w:lang w:val="fr-FR"/>
        </w:rPr>
        <w:t> ;</w:t>
      </w:r>
      <w:r w:rsidRPr="00653BF4">
        <w:rPr>
          <w:lang w:val="fr-FR"/>
        </w:rPr>
        <w:t xml:space="preserve"> et Comité du patrimoine mondial, 2023, 2025).</w:t>
      </w:r>
    </w:p>
    <w:p w14:paraId="44A4FBD1" w14:textId="77777777" w:rsidR="007A60EC" w:rsidRPr="00653BF4" w:rsidRDefault="007A60EC" w:rsidP="007A60EC">
      <w:pPr>
        <w:pStyle w:val="ListParagraph"/>
        <w:spacing w:line="279" w:lineRule="auto"/>
        <w:ind w:left="360"/>
        <w:rPr>
          <w:b/>
          <w:bCs/>
          <w:lang w:val="fr-FR"/>
        </w:rPr>
      </w:pPr>
    </w:p>
    <w:p w14:paraId="085D4EEE" w14:textId="4F24106A" w:rsidR="007A60EC" w:rsidRPr="00653BF4" w:rsidRDefault="007A60EC" w:rsidP="007A60EC">
      <w:pPr>
        <w:pStyle w:val="ListParagraph"/>
        <w:numPr>
          <w:ilvl w:val="0"/>
          <w:numId w:val="35"/>
        </w:numPr>
        <w:spacing w:line="279" w:lineRule="auto"/>
        <w:rPr>
          <w:b/>
          <w:bCs/>
          <w:lang w:val="fr-FR"/>
        </w:rPr>
      </w:pPr>
      <w:r w:rsidRPr="00653BF4">
        <w:rPr>
          <w:lang w:val="fr-FR"/>
        </w:rPr>
        <w:t xml:space="preserve">L’Organe directeur du Traité international sur les ressources phytogénétiques pour l’alimentation et l’agriculture s’est félicité du Cadre et a souligné que la mise en œuvre du Traité international contribuerait largement à la réalisation de la vision, des objectifs et des cibles du Cadre, en particulier en ce qui concerne les systèmes alimentaires durables. Il a notamment invité les Parties contractantes à intégrer la mise en œuvre du Traité international dans leurs SPANB afin d’appuyer celle du Cadre. Il a en outre reconnu qu’il importait d’intégrer les ressources phytogénétiques pour l’alimentation et l’agriculture dans les plans de financement de la biodiversité (Traité international sur les ressources phytogénétiques pour l’alimentation et l’agriculture, 2023 et 2025b). Les organes intersessions de l’Organe directeur du Traité international ont relevé, à plusieurs reprises, que les cibles 4, 10, 13, 15 et 19 présentaient un intérêt particulier pour les ressources phytogénétiques pour l’alimentation et l’agriculture et pour les travaux du Traité international (voir les sections correspondantes des résumés des </w:t>
      </w:r>
      <w:r w:rsidR="002878D7">
        <w:rPr>
          <w:lang w:val="fr-FR"/>
        </w:rPr>
        <w:t>cibles 1</w:t>
      </w:r>
      <w:r w:rsidRPr="00653BF4">
        <w:rPr>
          <w:lang w:val="fr-FR"/>
        </w:rPr>
        <w:t xml:space="preserve">0 et 13 à la </w:t>
      </w:r>
      <w:r w:rsidR="002878D7">
        <w:rPr>
          <w:lang w:val="fr-FR"/>
        </w:rPr>
        <w:t>section I</w:t>
      </w:r>
      <w:r w:rsidRPr="00653BF4">
        <w:rPr>
          <w:lang w:val="fr-FR"/>
        </w:rPr>
        <w:t xml:space="preserve">I.B ci-dessus) (Traité international sur les ressources phytogénétiques pour l’alimentation et l’agriculture, 2026). </w:t>
      </w:r>
    </w:p>
    <w:p w14:paraId="7EA9B74E" w14:textId="76CB82FD" w:rsidR="007A60EC" w:rsidRPr="00653BF4" w:rsidRDefault="007A60EC" w:rsidP="007A60EC">
      <w:pPr>
        <w:pStyle w:val="Default"/>
        <w:spacing w:line="276" w:lineRule="auto"/>
        <w:rPr>
          <w:rFonts w:asciiTheme="minorHAnsi" w:hAnsiTheme="minorHAnsi"/>
          <w:lang w:val="fr-FR"/>
        </w:rPr>
      </w:pPr>
      <w:r w:rsidRPr="00653BF4">
        <w:rPr>
          <w:rFonts w:asciiTheme="minorHAnsi" w:hAnsiTheme="minorHAnsi"/>
          <w:lang w:val="fr-FR"/>
        </w:rPr>
        <w:t>L’Accord se rapportant à la Convention des Nations Unies sur le droit de la mer et portant sur la conservation et l’utilisation durable de la diversité biologique marine des zones ne relevant pas de la juridiction nationale est entré en vigueur en janvier 2026. Bien qu’il soit encore trop tôt pour évaluer son alignement formel sur le Cadre, on peut s’attendre à ce que les dispositions de l’Accord appuient les objectifs et les cibles du Cadre dans plusieurs domaines clés. En particulier</w:t>
      </w:r>
      <w:r w:rsidR="00E34DC9">
        <w:rPr>
          <w:rFonts w:asciiTheme="minorHAnsi" w:hAnsiTheme="minorHAnsi"/>
          <w:lang w:val="fr-FR"/>
        </w:rPr>
        <w:t> :</w:t>
      </w:r>
    </w:p>
    <w:p w14:paraId="4FEA2A0A" w14:textId="77777777" w:rsidR="007A60EC" w:rsidRPr="00653BF4" w:rsidRDefault="007A60EC" w:rsidP="007A60EC">
      <w:pPr>
        <w:pStyle w:val="Default"/>
        <w:spacing w:line="276" w:lineRule="auto"/>
        <w:rPr>
          <w:rFonts w:asciiTheme="minorHAnsi" w:hAnsiTheme="minorHAnsi"/>
          <w:lang w:val="fr-FR"/>
        </w:rPr>
      </w:pPr>
    </w:p>
    <w:p w14:paraId="655BA177" w14:textId="57CAFF59" w:rsidR="007A60EC" w:rsidRPr="00653BF4" w:rsidRDefault="007A60EC" w:rsidP="007A60EC">
      <w:pPr>
        <w:pStyle w:val="Default"/>
        <w:numPr>
          <w:ilvl w:val="0"/>
          <w:numId w:val="36"/>
        </w:numPr>
        <w:spacing w:line="276" w:lineRule="auto"/>
        <w:rPr>
          <w:rFonts w:asciiTheme="minorHAnsi" w:hAnsiTheme="minorHAnsi"/>
          <w:lang w:val="fr-FR"/>
        </w:rPr>
      </w:pPr>
      <w:r w:rsidRPr="00653BF4">
        <w:rPr>
          <w:rFonts w:asciiTheme="minorHAnsi" w:hAnsiTheme="minorHAnsi"/>
          <w:lang w:val="fr-FR"/>
        </w:rPr>
        <w:t>L’importance accordée dans l’Accord au partage juste et équitable des avantages découlant des ressources génétiques marines, y compris les informations de séquençage numérique sur ces ressources, peut appuyer l’</w:t>
      </w:r>
      <w:r w:rsidR="002878D7">
        <w:rPr>
          <w:rFonts w:asciiTheme="minorHAnsi" w:hAnsiTheme="minorHAnsi"/>
          <w:lang w:val="fr-FR"/>
        </w:rPr>
        <w:t>objectif C</w:t>
      </w:r>
      <w:r w:rsidRPr="00653BF4">
        <w:rPr>
          <w:rFonts w:asciiTheme="minorHAnsi" w:hAnsiTheme="minorHAnsi"/>
          <w:lang w:val="fr-FR"/>
        </w:rPr>
        <w:t xml:space="preserve"> et la </w:t>
      </w:r>
      <w:r w:rsidR="00E34DC9">
        <w:rPr>
          <w:rFonts w:asciiTheme="minorHAnsi" w:hAnsiTheme="minorHAnsi"/>
          <w:lang w:val="fr-FR"/>
        </w:rPr>
        <w:t>cible 1</w:t>
      </w:r>
      <w:r w:rsidRPr="00653BF4">
        <w:rPr>
          <w:rFonts w:asciiTheme="minorHAnsi" w:hAnsiTheme="minorHAnsi"/>
          <w:lang w:val="fr-FR"/>
        </w:rPr>
        <w:t>3 du Cadre</w:t>
      </w:r>
      <w:r w:rsidR="00E34DC9">
        <w:rPr>
          <w:rFonts w:asciiTheme="minorHAnsi" w:hAnsiTheme="minorHAnsi"/>
          <w:lang w:val="fr-FR"/>
        </w:rPr>
        <w:t> ;</w:t>
      </w:r>
    </w:p>
    <w:p w14:paraId="074E3849" w14:textId="6B16F88E" w:rsidR="007A60EC" w:rsidRPr="00653BF4" w:rsidRDefault="007A60EC" w:rsidP="007A60EC">
      <w:pPr>
        <w:pStyle w:val="Default"/>
        <w:numPr>
          <w:ilvl w:val="0"/>
          <w:numId w:val="36"/>
        </w:numPr>
        <w:spacing w:line="276" w:lineRule="auto"/>
        <w:rPr>
          <w:rFonts w:asciiTheme="minorHAnsi" w:hAnsiTheme="minorHAnsi"/>
          <w:lang w:val="fr-FR"/>
        </w:rPr>
      </w:pPr>
      <w:r w:rsidRPr="00653BF4">
        <w:rPr>
          <w:rFonts w:asciiTheme="minorHAnsi" w:hAnsiTheme="minorHAnsi"/>
          <w:lang w:val="fr-FR"/>
        </w:rPr>
        <w:lastRenderedPageBreak/>
        <w:t xml:space="preserve">Les dispositions de l’Accord relatives aux outils de gestion par zone, y compris les aires marines protégées situées dans des zones ne relevant pas de la juridiction nationale, peuvent appuyer la </w:t>
      </w:r>
      <w:r w:rsidR="00E34DC9">
        <w:rPr>
          <w:rFonts w:asciiTheme="minorHAnsi" w:hAnsiTheme="minorHAnsi"/>
          <w:lang w:val="fr-FR"/>
        </w:rPr>
        <w:t>cible 3</w:t>
      </w:r>
      <w:r w:rsidRPr="00653BF4">
        <w:rPr>
          <w:rFonts w:asciiTheme="minorHAnsi" w:hAnsiTheme="minorHAnsi"/>
          <w:lang w:val="fr-FR"/>
        </w:rPr>
        <w:t xml:space="preserve"> du Cadre</w:t>
      </w:r>
      <w:r w:rsidR="00E34DC9">
        <w:rPr>
          <w:rFonts w:asciiTheme="minorHAnsi" w:hAnsiTheme="minorHAnsi"/>
          <w:lang w:val="fr-FR"/>
        </w:rPr>
        <w:t> ;</w:t>
      </w:r>
    </w:p>
    <w:p w14:paraId="5ED20B21" w14:textId="0143E5E1" w:rsidR="007A60EC" w:rsidRPr="00653BF4" w:rsidRDefault="007A60EC" w:rsidP="007A60EC">
      <w:pPr>
        <w:pStyle w:val="Default"/>
        <w:numPr>
          <w:ilvl w:val="0"/>
          <w:numId w:val="36"/>
        </w:numPr>
        <w:spacing w:line="276" w:lineRule="auto"/>
        <w:rPr>
          <w:rFonts w:asciiTheme="minorHAnsi" w:hAnsiTheme="minorHAnsi"/>
          <w:lang w:val="fr-FR"/>
        </w:rPr>
      </w:pPr>
      <w:r w:rsidRPr="00653BF4">
        <w:rPr>
          <w:rFonts w:asciiTheme="minorHAnsi" w:hAnsiTheme="minorHAnsi"/>
          <w:lang w:val="fr-FR"/>
        </w:rPr>
        <w:t xml:space="preserve">Les dispositions de l’Accord relatives aux évaluations d’impact sur l’environnement des activités pertinentes menées dans les zones ne relevant pas de la juridiction nationale s’alignent sur la </w:t>
      </w:r>
      <w:r w:rsidR="00E34DC9">
        <w:rPr>
          <w:rFonts w:asciiTheme="minorHAnsi" w:hAnsiTheme="minorHAnsi"/>
          <w:lang w:val="fr-FR"/>
        </w:rPr>
        <w:t>cible 1</w:t>
      </w:r>
      <w:r w:rsidRPr="00653BF4">
        <w:rPr>
          <w:rFonts w:asciiTheme="minorHAnsi" w:hAnsiTheme="minorHAnsi"/>
          <w:lang w:val="fr-FR"/>
        </w:rPr>
        <w:t>4 du Cadre, qui porte sur la prise en compte de la biodiversité et de ses multiples valeurs</w:t>
      </w:r>
      <w:r w:rsidR="00E34DC9">
        <w:rPr>
          <w:rFonts w:asciiTheme="minorHAnsi" w:hAnsiTheme="minorHAnsi"/>
          <w:lang w:val="fr-FR"/>
        </w:rPr>
        <w:t> ;</w:t>
      </w:r>
    </w:p>
    <w:p w14:paraId="3B01DD2F" w14:textId="5466AC8B" w:rsidR="007A60EC" w:rsidRPr="00653BF4" w:rsidRDefault="007A60EC" w:rsidP="007A60EC">
      <w:pPr>
        <w:pStyle w:val="Default"/>
        <w:numPr>
          <w:ilvl w:val="0"/>
          <w:numId w:val="36"/>
        </w:numPr>
        <w:spacing w:line="276" w:lineRule="auto"/>
        <w:rPr>
          <w:rFonts w:asciiTheme="minorHAnsi" w:hAnsiTheme="minorHAnsi"/>
          <w:lang w:val="fr-FR"/>
        </w:rPr>
      </w:pPr>
      <w:r w:rsidRPr="00653BF4">
        <w:rPr>
          <w:rFonts w:asciiTheme="minorHAnsi" w:hAnsiTheme="minorHAnsi"/>
          <w:lang w:val="fr-FR"/>
        </w:rPr>
        <w:t xml:space="preserve">L’engagement pris dans l’Accord en faveur du renforcement des capacités et du transfert de technologies marines peut appuyer la </w:t>
      </w:r>
      <w:r w:rsidR="00E34DC9">
        <w:rPr>
          <w:rFonts w:asciiTheme="minorHAnsi" w:hAnsiTheme="minorHAnsi"/>
          <w:lang w:val="fr-FR"/>
        </w:rPr>
        <w:t>cible 2</w:t>
      </w:r>
      <w:r w:rsidRPr="00653BF4">
        <w:rPr>
          <w:rFonts w:asciiTheme="minorHAnsi" w:hAnsiTheme="minorHAnsi"/>
          <w:lang w:val="fr-FR"/>
        </w:rPr>
        <w:t>0 du Cadre</w:t>
      </w:r>
      <w:r w:rsidR="00E34DC9">
        <w:rPr>
          <w:rFonts w:asciiTheme="minorHAnsi" w:hAnsiTheme="minorHAnsi"/>
          <w:lang w:val="fr-FR"/>
        </w:rPr>
        <w:t> ;</w:t>
      </w:r>
    </w:p>
    <w:p w14:paraId="518F3900" w14:textId="77777777" w:rsidR="007A60EC" w:rsidRPr="00653BF4" w:rsidRDefault="007A60EC" w:rsidP="007A60EC">
      <w:pPr>
        <w:pStyle w:val="Default"/>
        <w:numPr>
          <w:ilvl w:val="0"/>
          <w:numId w:val="36"/>
        </w:numPr>
        <w:spacing w:line="276" w:lineRule="auto"/>
        <w:rPr>
          <w:rFonts w:asciiTheme="minorHAnsi" w:hAnsiTheme="minorHAnsi"/>
          <w:lang w:val="fr-FR"/>
        </w:rPr>
      </w:pPr>
      <w:r w:rsidRPr="00653BF4">
        <w:rPr>
          <w:rFonts w:asciiTheme="minorHAnsi" w:hAnsiTheme="minorHAnsi"/>
          <w:lang w:val="fr-FR"/>
        </w:rPr>
        <w:t>Dans l’ensemble, l’Accord peut contribuer à renforcer encore la collaboration intersectorielle à l’appui de la conservation et de l’utilisation durable de la biodiversité marine, grâce à l’importance qu’il accorde à la coopération avec les organes et processus intergouvernementaux compétents.</w:t>
      </w:r>
    </w:p>
    <w:p w14:paraId="7E8AA889" w14:textId="77777777" w:rsidR="007A60EC" w:rsidRPr="00653BF4" w:rsidRDefault="007A60EC" w:rsidP="007A60EC">
      <w:pPr>
        <w:pStyle w:val="Default"/>
        <w:spacing w:line="276" w:lineRule="auto"/>
        <w:ind w:left="720"/>
        <w:rPr>
          <w:rFonts w:asciiTheme="minorHAnsi" w:hAnsiTheme="minorHAnsi"/>
          <w:lang w:val="fr-FR"/>
        </w:rPr>
      </w:pPr>
    </w:p>
    <w:p w14:paraId="2870936C" w14:textId="77777777" w:rsidR="007A60EC" w:rsidRPr="00653BF4" w:rsidRDefault="007A60EC" w:rsidP="007A60EC">
      <w:pPr>
        <w:pStyle w:val="Default"/>
        <w:spacing w:line="276" w:lineRule="auto"/>
        <w:ind w:left="720"/>
        <w:rPr>
          <w:rFonts w:asciiTheme="minorHAnsi" w:hAnsiTheme="minorHAnsi"/>
          <w:lang w:val="fr-FR"/>
        </w:rPr>
      </w:pPr>
    </w:p>
    <w:p w14:paraId="01D44F42" w14:textId="18AF49B2" w:rsidR="007A60EC" w:rsidRPr="00653BF4" w:rsidRDefault="007A60EC" w:rsidP="007A60EC">
      <w:pPr>
        <w:rPr>
          <w:lang w:val="fr-FR"/>
        </w:rPr>
      </w:pPr>
      <w:hyperlink r:id="rId248" w:history="1">
        <w:r w:rsidRPr="00653BF4">
          <w:rPr>
            <w:rStyle w:val="Hyperlink"/>
            <w:rFonts w:ascii="Aptos" w:cs="Times New Roman"/>
            <w:lang w:val="fr-FR"/>
          </w:rPr>
          <w:t>CBD/SBSTTA/26/INF/9/Rev.1</w:t>
        </w:r>
      </w:hyperlink>
      <w:r w:rsidRPr="00653BF4">
        <w:rPr>
          <w:rFonts w:ascii="Aptos" w:cs="Times New Roman"/>
          <w:color w:val="156082" w:themeColor="accent1"/>
          <w:lang w:val="fr-FR"/>
        </w:rPr>
        <w:t xml:space="preserve"> </w:t>
      </w:r>
      <w:r w:rsidRPr="00653BF4">
        <w:rPr>
          <w:rFonts w:ascii="Aptos" w:cs="Times New Roman"/>
          <w:noProof/>
          <w:lang w:val="fr-FR"/>
        </w:rPr>
        <w:t>(Blasiak et Jouffray, 2024</w:t>
      </w:r>
      <w:r w:rsidR="00E34DC9">
        <w:rPr>
          <w:rFonts w:ascii="Aptos" w:cs="Times New Roman"/>
          <w:noProof/>
          <w:lang w:val="fr-FR"/>
        </w:rPr>
        <w:t> ;</w:t>
      </w:r>
      <w:r w:rsidRPr="00653BF4">
        <w:rPr>
          <w:rFonts w:ascii="Aptos" w:cs="Times New Roman"/>
          <w:noProof/>
          <w:lang w:val="fr-FR"/>
        </w:rPr>
        <w:t xml:space="preserve"> CDB, 2025c</w:t>
      </w:r>
      <w:r w:rsidR="00E34DC9">
        <w:rPr>
          <w:rFonts w:ascii="Aptos" w:cs="Times New Roman"/>
          <w:noProof/>
          <w:lang w:val="fr-FR"/>
        </w:rPr>
        <w:t> ;</w:t>
      </w:r>
      <w:r w:rsidRPr="00653BF4">
        <w:rPr>
          <w:rFonts w:ascii="Aptos" w:cs="Times New Roman"/>
          <w:noProof/>
          <w:lang w:val="fr-FR"/>
        </w:rPr>
        <w:t xml:space="preserve"> Ricard, 2024</w:t>
      </w:r>
      <w:r w:rsidR="00E34DC9">
        <w:rPr>
          <w:rFonts w:ascii="Aptos" w:cs="Times New Roman"/>
          <w:noProof/>
          <w:lang w:val="fr-FR"/>
        </w:rPr>
        <w:t> ;</w:t>
      </w:r>
      <w:r w:rsidRPr="00653BF4">
        <w:rPr>
          <w:rFonts w:ascii="Aptos" w:cs="Times New Roman"/>
          <w:noProof/>
          <w:lang w:val="fr-FR"/>
        </w:rPr>
        <w:t xml:space="preserve"> </w:t>
      </w:r>
      <w:r w:rsidRPr="00653BF4">
        <w:rPr>
          <w:lang w:val="fr-FR"/>
        </w:rPr>
        <w:t>Division des affaires maritimes et du droit de la mer</w:t>
      </w:r>
      <w:r w:rsidRPr="00653BF4">
        <w:rPr>
          <w:rFonts w:ascii="Aptos" w:cs="Times New Roman"/>
          <w:noProof/>
          <w:lang w:val="fr-FR"/>
        </w:rPr>
        <w:t>, 2025</w:t>
      </w:r>
      <w:r w:rsidR="00E34DC9">
        <w:rPr>
          <w:rFonts w:ascii="Aptos" w:cs="Times New Roman"/>
          <w:noProof/>
          <w:lang w:val="fr-FR"/>
        </w:rPr>
        <w:t> ;</w:t>
      </w:r>
      <w:r w:rsidRPr="00653BF4">
        <w:rPr>
          <w:rFonts w:ascii="Aptos" w:cs="Times New Roman"/>
          <w:noProof/>
          <w:lang w:val="fr-FR"/>
        </w:rPr>
        <w:t xml:space="preserve"> </w:t>
      </w:r>
      <w:r w:rsidRPr="00653BF4">
        <w:rPr>
          <w:lang w:val="fr-FR"/>
        </w:rPr>
        <w:t>PNUE</w:t>
      </w:r>
      <w:r w:rsidRPr="00653BF4">
        <w:rPr>
          <w:rFonts w:ascii="Aptos" w:cs="Times New Roman"/>
          <w:noProof/>
          <w:lang w:val="fr-FR"/>
        </w:rPr>
        <w:t>, 2025f)</w:t>
      </w:r>
    </w:p>
    <w:p w14:paraId="48F15338" w14:textId="77777777" w:rsidR="007A60EC" w:rsidRPr="00653BF4" w:rsidRDefault="007A60EC" w:rsidP="007A60EC">
      <w:pPr>
        <w:rPr>
          <w:lang w:val="fr-FR"/>
        </w:rPr>
      </w:pPr>
    </w:p>
    <w:p w14:paraId="6D1266AE" w14:textId="1B208AE9" w:rsidR="007A60EC" w:rsidRPr="00653BF4" w:rsidRDefault="007A60EC" w:rsidP="007A60EC">
      <w:pPr>
        <w:pStyle w:val="Heading4"/>
        <w:rPr>
          <w:lang w:val="fr-FR"/>
        </w:rPr>
      </w:pPr>
      <w:bookmarkStart w:id="540" w:name="_Toc242801289"/>
      <w:r w:rsidRPr="00653BF4">
        <w:rPr>
          <w:lang w:val="fr-FR"/>
        </w:rPr>
        <w:t>Autres accords multilatéraux sur l’environnement pertinents</w:t>
      </w:r>
      <w:bookmarkEnd w:id="540"/>
    </w:p>
    <w:p w14:paraId="75FA2229" w14:textId="77777777" w:rsidR="007A60EC" w:rsidRPr="00653BF4" w:rsidRDefault="007A60EC" w:rsidP="007A60EC">
      <w:pPr>
        <w:rPr>
          <w:lang w:val="fr-FR"/>
        </w:rPr>
      </w:pPr>
    </w:p>
    <w:p w14:paraId="17FD6FF7" w14:textId="4E680FC7" w:rsidR="007A60EC" w:rsidRPr="00653BF4" w:rsidRDefault="007A60EC" w:rsidP="007A60EC">
      <w:pPr>
        <w:rPr>
          <w:lang w:val="fr-FR"/>
        </w:rPr>
      </w:pPr>
      <w:r w:rsidRPr="00653BF4">
        <w:rPr>
          <w:lang w:val="fr-FR"/>
        </w:rPr>
        <w:t xml:space="preserve">Outre les conventions de Rio et les conventions relatives à la biodiversité, les AME les plus étroitement liés à la mise en œuvre du Cadre sont ceux qui portent sur l’action et la coopération internationales dans le domaine des produits chimiques et des déchets. En particulier, la contribution des AME suivants à la réalisation de certaines cibles du Cadre est décrite à la </w:t>
      </w:r>
      <w:r w:rsidR="002878D7">
        <w:rPr>
          <w:lang w:val="fr-FR"/>
        </w:rPr>
        <w:t>section I</w:t>
      </w:r>
      <w:r w:rsidRPr="00653BF4">
        <w:rPr>
          <w:lang w:val="fr-FR"/>
        </w:rPr>
        <w:t>I.B ci-dessus</w:t>
      </w:r>
      <w:r w:rsidR="00E34DC9">
        <w:rPr>
          <w:lang w:val="fr-FR"/>
        </w:rPr>
        <w:t> :</w:t>
      </w:r>
    </w:p>
    <w:p w14:paraId="70BD0DF3" w14:textId="120E68CA" w:rsidR="007A60EC" w:rsidRPr="00653BF4" w:rsidRDefault="007A60EC" w:rsidP="007A60EC">
      <w:pPr>
        <w:pStyle w:val="ListParagraph"/>
        <w:numPr>
          <w:ilvl w:val="0"/>
          <w:numId w:val="56"/>
        </w:numPr>
        <w:rPr>
          <w:lang w:val="fr-FR"/>
        </w:rPr>
      </w:pPr>
      <w:r w:rsidRPr="00653BF4">
        <w:rPr>
          <w:lang w:val="fr-FR"/>
        </w:rPr>
        <w:t>La Convention de Bâle sur le contrôle des mouvements transfrontières de déchets dangereux et de leur élimination (cibles 7, 10, 12, 16, 18 et 23) (Secrétariat des Conventions de Bâle, de Rotterdam et de Stockholm, 2025)</w:t>
      </w:r>
      <w:r w:rsidR="00E34DC9">
        <w:rPr>
          <w:lang w:val="fr-FR"/>
        </w:rPr>
        <w:t> ;</w:t>
      </w:r>
    </w:p>
    <w:p w14:paraId="1FCD1E76" w14:textId="41D153AE" w:rsidR="007A60EC" w:rsidRPr="00653BF4" w:rsidRDefault="007A60EC" w:rsidP="007A60EC">
      <w:pPr>
        <w:pStyle w:val="ListParagraph"/>
        <w:numPr>
          <w:ilvl w:val="0"/>
          <w:numId w:val="56"/>
        </w:numPr>
        <w:rPr>
          <w:lang w:val="fr-FR"/>
        </w:rPr>
      </w:pPr>
      <w:r w:rsidRPr="00653BF4">
        <w:rPr>
          <w:lang w:val="fr-FR"/>
        </w:rPr>
        <w:t>La Convention de Rotterdam sur la procédure de consentement préalable en connaissance de cause applicable à certains produits chimiques et pesticides dangereux qui font l’objet d’un commerce international (cibles 7, 8 et 18) (Secrétariat des Conventions de Bâle, de Rotterdam et de Stockholm, 2025)</w:t>
      </w:r>
      <w:r w:rsidR="00E34DC9">
        <w:rPr>
          <w:lang w:val="fr-FR"/>
        </w:rPr>
        <w:t> ;</w:t>
      </w:r>
    </w:p>
    <w:p w14:paraId="1B166006" w14:textId="661E7014" w:rsidR="007A60EC" w:rsidRPr="00653BF4" w:rsidRDefault="007A60EC" w:rsidP="007A60EC">
      <w:pPr>
        <w:pStyle w:val="ListParagraph"/>
        <w:numPr>
          <w:ilvl w:val="0"/>
          <w:numId w:val="56"/>
        </w:numPr>
        <w:rPr>
          <w:lang w:val="fr-FR"/>
        </w:rPr>
      </w:pPr>
      <w:r w:rsidRPr="00653BF4">
        <w:rPr>
          <w:lang w:val="fr-FR"/>
        </w:rPr>
        <w:t>La Convention de Stockholm sur les polluants organiques persistants (cibles 7, 8, 10, 12, 16, 18 et 23) (Secrétariat des Conventions de Bâle, de Rotterdam et de Stockholm, 2025)</w:t>
      </w:r>
      <w:r w:rsidR="00E34DC9">
        <w:rPr>
          <w:lang w:val="fr-FR"/>
        </w:rPr>
        <w:t> ;</w:t>
      </w:r>
    </w:p>
    <w:p w14:paraId="446E80C6" w14:textId="77777777" w:rsidR="007A60EC" w:rsidRPr="00653BF4" w:rsidRDefault="007A60EC" w:rsidP="007A60EC">
      <w:pPr>
        <w:pStyle w:val="ListParagraph"/>
        <w:numPr>
          <w:ilvl w:val="0"/>
          <w:numId w:val="56"/>
        </w:numPr>
        <w:rPr>
          <w:lang w:val="fr-FR"/>
        </w:rPr>
      </w:pPr>
      <w:r w:rsidRPr="00653BF4">
        <w:rPr>
          <w:lang w:val="fr-FR"/>
        </w:rPr>
        <w:t xml:space="preserve">La Convention de Minamata sur le mercure (cibles 7 et 22). </w:t>
      </w:r>
    </w:p>
    <w:p w14:paraId="5E4F076A" w14:textId="77777777" w:rsidR="007A60EC" w:rsidRPr="00653BF4" w:rsidRDefault="007A60EC" w:rsidP="007A60EC">
      <w:pPr>
        <w:rPr>
          <w:lang w:val="fr-FR"/>
        </w:rPr>
      </w:pPr>
    </w:p>
    <w:p w14:paraId="18DC6565" w14:textId="7586855F" w:rsidR="007A60EC" w:rsidRPr="00653BF4" w:rsidRDefault="007A60EC" w:rsidP="007A60EC">
      <w:pPr>
        <w:pStyle w:val="Heading3"/>
        <w:rPr>
          <w:lang w:val="fr-FR"/>
        </w:rPr>
      </w:pPr>
      <w:bookmarkStart w:id="541" w:name="_Toc242801290"/>
      <w:bookmarkStart w:id="542" w:name="_Toc227079278"/>
      <w:r w:rsidRPr="00653BF4">
        <w:rPr>
          <w:lang w:val="fr-FR"/>
        </w:rPr>
        <w:t>Accords multilatéraux sur l’environnement, autres accords et conventions figurant dans les stratégies et plans d’action nationaux pour la biodiversité</w:t>
      </w:r>
      <w:bookmarkEnd w:id="541"/>
      <w:r w:rsidRPr="00653BF4">
        <w:rPr>
          <w:lang w:val="fr-FR"/>
        </w:rPr>
        <w:t xml:space="preserve"> </w:t>
      </w:r>
      <w:bookmarkEnd w:id="542"/>
    </w:p>
    <w:p w14:paraId="5A2A9F25" w14:textId="77777777" w:rsidR="007A60EC" w:rsidRPr="00653BF4" w:rsidRDefault="007A60EC" w:rsidP="007A60EC">
      <w:pPr>
        <w:pStyle w:val="Caption"/>
        <w:keepNext/>
        <w:rPr>
          <w:i w:val="0"/>
          <w:iCs w:val="0"/>
          <w:sz w:val="24"/>
          <w:szCs w:val="24"/>
          <w:lang w:val="fr-FR"/>
        </w:rPr>
      </w:pPr>
    </w:p>
    <w:p w14:paraId="302824E9" w14:textId="624BB3BF" w:rsidR="007A60EC" w:rsidRPr="00653BF4" w:rsidRDefault="007A60EC" w:rsidP="007A60EC">
      <w:pPr>
        <w:pStyle w:val="Caption"/>
        <w:keepNext/>
        <w:rPr>
          <w:i w:val="0"/>
          <w:lang w:val="fr-FR"/>
        </w:rPr>
      </w:pPr>
      <w:r w:rsidRPr="00653BF4">
        <w:rPr>
          <w:i w:val="0"/>
          <w:iCs w:val="0"/>
          <w:sz w:val="24"/>
          <w:szCs w:val="24"/>
          <w:lang w:val="fr-FR"/>
        </w:rPr>
        <w:t xml:space="preserve">Comme indiqué à la </w:t>
      </w:r>
      <w:r w:rsidR="002878D7">
        <w:rPr>
          <w:i w:val="0"/>
          <w:iCs w:val="0"/>
          <w:sz w:val="24"/>
          <w:szCs w:val="24"/>
          <w:lang w:val="fr-FR"/>
        </w:rPr>
        <w:t>section I</w:t>
      </w:r>
      <w:r w:rsidRPr="00653BF4">
        <w:rPr>
          <w:i w:val="0"/>
          <w:iCs w:val="0"/>
          <w:sz w:val="24"/>
          <w:szCs w:val="24"/>
          <w:lang w:val="fr-FR"/>
        </w:rPr>
        <w:t>I.A ci-dessus, des liens et des synergies entre la mise en œuvre du Cadre et l’action menée au titre d’autres accords multilatéraux sur l’environnement et d’autres accords et conventions sont mentionnés dans bon nombre des stratégies et plans d’action nationaux pour la biodiversité (SPANB) examinés pour le présent rapport. Le tableau 55 recense, par ordre de fréquence, les accords cités dans les SPANB.</w:t>
      </w:r>
    </w:p>
    <w:p w14:paraId="0F1CC9A7" w14:textId="51B6DA82" w:rsidR="007A60EC" w:rsidRPr="00653BF4" w:rsidRDefault="007A60EC" w:rsidP="007A60EC">
      <w:pPr>
        <w:pStyle w:val="Caption"/>
        <w:keepNext/>
        <w:rPr>
          <w:i w:val="0"/>
          <w:iCs w:val="0"/>
          <w:sz w:val="20"/>
          <w:szCs w:val="20"/>
          <w:lang w:val="fr-FR"/>
        </w:rPr>
      </w:pPr>
      <w:bookmarkStart w:id="543" w:name="_Ref231280727"/>
      <w:r w:rsidRPr="00653BF4">
        <w:rPr>
          <w:i w:val="0"/>
          <w:iCs w:val="0"/>
          <w:sz w:val="20"/>
          <w:szCs w:val="20"/>
          <w:lang w:val="fr-FR"/>
        </w:rPr>
        <w:t xml:space="preserve">Tableau </w:t>
      </w:r>
      <w:r w:rsidRPr="00653BF4">
        <w:rPr>
          <w:i w:val="0"/>
          <w:iCs w:val="0"/>
          <w:noProof/>
          <w:sz w:val="20"/>
          <w:szCs w:val="20"/>
          <w:lang w:val="fr-FR"/>
        </w:rPr>
        <w:t>55</w:t>
      </w:r>
      <w:bookmarkEnd w:id="543"/>
    </w:p>
    <w:p w14:paraId="5E70B853" w14:textId="77777777" w:rsidR="007A60EC" w:rsidRPr="00653BF4" w:rsidRDefault="007A60EC" w:rsidP="007A60EC">
      <w:pPr>
        <w:rPr>
          <w:b/>
          <w:bCs/>
          <w:sz w:val="20"/>
          <w:szCs w:val="20"/>
          <w:lang w:val="fr-FR"/>
        </w:rPr>
      </w:pPr>
      <w:r w:rsidRPr="00653BF4">
        <w:rPr>
          <w:b/>
          <w:bCs/>
          <w:sz w:val="20"/>
          <w:szCs w:val="20"/>
          <w:lang w:val="fr-FR"/>
        </w:rPr>
        <w:t xml:space="preserve">Accords multilatéraux sur l’environnement et autres accords et conventions cités dans les SPANB, classés selon le nombre de SPANB dans lesquels ils figurent </w:t>
      </w:r>
    </w:p>
    <w:tbl>
      <w:tblPr>
        <w:tblStyle w:val="TableGrid"/>
        <w:tblW w:w="9639" w:type="dxa"/>
        <w:tblInd w:w="-289" w:type="dxa"/>
        <w:tblLook w:val="04A0" w:firstRow="1" w:lastRow="0" w:firstColumn="1" w:lastColumn="0" w:noHBand="0" w:noVBand="1"/>
      </w:tblPr>
      <w:tblGrid>
        <w:gridCol w:w="8194"/>
        <w:gridCol w:w="1445"/>
      </w:tblGrid>
      <w:tr w:rsidR="007A60EC" w:rsidRPr="00653BF4" w14:paraId="2B3BB054" w14:textId="77777777" w:rsidTr="00557FB3">
        <w:tc>
          <w:tcPr>
            <w:tcW w:w="8194" w:type="dxa"/>
            <w:shd w:val="clear" w:color="auto" w:fill="D1D1D1" w:themeFill="background2" w:themeFillShade="E6"/>
          </w:tcPr>
          <w:p w14:paraId="255C2BE2" w14:textId="77777777" w:rsidR="007A60EC" w:rsidRPr="00653BF4" w:rsidRDefault="007A60EC" w:rsidP="00557FB3">
            <w:pPr>
              <w:rPr>
                <w:b/>
                <w:bCs/>
                <w:sz w:val="20"/>
                <w:szCs w:val="20"/>
                <w:lang w:val="fr-FR"/>
              </w:rPr>
            </w:pPr>
            <w:r w:rsidRPr="00653BF4">
              <w:rPr>
                <w:b/>
                <w:bCs/>
                <w:sz w:val="20"/>
                <w:szCs w:val="20"/>
                <w:lang w:val="fr-FR"/>
              </w:rPr>
              <w:t>Convention/accord</w:t>
            </w:r>
          </w:p>
          <w:p w14:paraId="5C0C4DDF" w14:textId="77777777" w:rsidR="007A60EC" w:rsidRPr="00653BF4" w:rsidRDefault="007A60EC" w:rsidP="00557FB3">
            <w:pPr>
              <w:rPr>
                <w:b/>
                <w:bCs/>
                <w:sz w:val="20"/>
                <w:szCs w:val="20"/>
                <w:lang w:val="fr-FR"/>
              </w:rPr>
            </w:pPr>
          </w:p>
        </w:tc>
        <w:tc>
          <w:tcPr>
            <w:tcW w:w="1445" w:type="dxa"/>
            <w:shd w:val="clear" w:color="auto" w:fill="D1D1D1" w:themeFill="background2" w:themeFillShade="E6"/>
          </w:tcPr>
          <w:p w14:paraId="5F145CDF" w14:textId="77777777" w:rsidR="007A60EC" w:rsidRPr="00653BF4" w:rsidRDefault="007A60EC" w:rsidP="00557FB3">
            <w:pPr>
              <w:rPr>
                <w:b/>
                <w:sz w:val="20"/>
                <w:szCs w:val="20"/>
                <w:lang w:val="fr-FR"/>
              </w:rPr>
            </w:pPr>
            <w:r w:rsidRPr="00653BF4">
              <w:rPr>
                <w:b/>
                <w:sz w:val="20"/>
                <w:szCs w:val="20"/>
                <w:lang w:val="fr-FR"/>
              </w:rPr>
              <w:t>SPANB (Parties)</w:t>
            </w:r>
          </w:p>
        </w:tc>
      </w:tr>
      <w:tr w:rsidR="007A60EC" w:rsidRPr="00653BF4" w14:paraId="3A118318" w14:textId="77777777" w:rsidTr="00557FB3">
        <w:tc>
          <w:tcPr>
            <w:tcW w:w="8194" w:type="dxa"/>
          </w:tcPr>
          <w:p w14:paraId="2BE84DC6" w14:textId="77777777" w:rsidR="007A60EC" w:rsidRPr="00653BF4" w:rsidRDefault="007A60EC" w:rsidP="00557FB3">
            <w:pPr>
              <w:rPr>
                <w:sz w:val="20"/>
                <w:szCs w:val="20"/>
                <w:lang w:val="fr-FR"/>
              </w:rPr>
            </w:pPr>
            <w:r w:rsidRPr="00653BF4">
              <w:rPr>
                <w:sz w:val="20"/>
                <w:szCs w:val="20"/>
                <w:lang w:val="fr-FR"/>
              </w:rPr>
              <w:t xml:space="preserve">Convention sur le commerce international des espèces de faune et de flore sauvages menacées d’extinction (CITES) </w:t>
            </w:r>
          </w:p>
          <w:p w14:paraId="09FC74CF" w14:textId="77777777" w:rsidR="007A60EC" w:rsidRPr="00653BF4" w:rsidRDefault="007A60EC" w:rsidP="00557FB3">
            <w:pPr>
              <w:rPr>
                <w:sz w:val="20"/>
                <w:szCs w:val="20"/>
                <w:lang w:val="fr-FR"/>
              </w:rPr>
            </w:pPr>
          </w:p>
        </w:tc>
        <w:tc>
          <w:tcPr>
            <w:tcW w:w="1445" w:type="dxa"/>
          </w:tcPr>
          <w:p w14:paraId="3519CE71" w14:textId="77777777" w:rsidR="007A60EC" w:rsidRPr="00653BF4" w:rsidRDefault="007A60EC" w:rsidP="00557FB3">
            <w:pPr>
              <w:rPr>
                <w:sz w:val="20"/>
                <w:szCs w:val="20"/>
                <w:lang w:val="fr-FR"/>
              </w:rPr>
            </w:pPr>
            <w:r w:rsidRPr="00653BF4">
              <w:rPr>
                <w:sz w:val="20"/>
                <w:szCs w:val="20"/>
                <w:lang w:val="fr-FR"/>
              </w:rPr>
              <w:t>65 (64)</w:t>
            </w:r>
          </w:p>
        </w:tc>
      </w:tr>
      <w:tr w:rsidR="007A60EC" w:rsidRPr="00653BF4" w14:paraId="330CA4F1" w14:textId="77777777" w:rsidTr="00557FB3">
        <w:tc>
          <w:tcPr>
            <w:tcW w:w="8194" w:type="dxa"/>
          </w:tcPr>
          <w:p w14:paraId="4CDEF27B" w14:textId="77777777" w:rsidR="007A60EC" w:rsidRPr="00653BF4" w:rsidRDefault="007A60EC" w:rsidP="00557FB3">
            <w:pPr>
              <w:rPr>
                <w:sz w:val="20"/>
                <w:szCs w:val="20"/>
                <w:lang w:val="fr-FR"/>
              </w:rPr>
            </w:pPr>
            <w:r w:rsidRPr="00653BF4">
              <w:rPr>
                <w:sz w:val="20"/>
                <w:szCs w:val="20"/>
                <w:lang w:val="fr-FR"/>
              </w:rPr>
              <w:t xml:space="preserve">Convention relative aux zones humides d’importance internationale particulièrement comme habitats des oiseaux d’eau </w:t>
            </w:r>
          </w:p>
          <w:p w14:paraId="20092C75" w14:textId="77777777" w:rsidR="007A60EC" w:rsidRPr="00653BF4" w:rsidRDefault="007A60EC" w:rsidP="00557FB3">
            <w:pPr>
              <w:rPr>
                <w:sz w:val="20"/>
                <w:szCs w:val="20"/>
                <w:lang w:val="fr-FR"/>
              </w:rPr>
            </w:pPr>
          </w:p>
        </w:tc>
        <w:tc>
          <w:tcPr>
            <w:tcW w:w="1445" w:type="dxa"/>
          </w:tcPr>
          <w:p w14:paraId="1AFB3AD4" w14:textId="77777777" w:rsidR="007A60EC" w:rsidRPr="00653BF4" w:rsidRDefault="007A60EC" w:rsidP="00557FB3">
            <w:pPr>
              <w:rPr>
                <w:sz w:val="20"/>
                <w:szCs w:val="20"/>
                <w:lang w:val="fr-FR"/>
              </w:rPr>
            </w:pPr>
            <w:r w:rsidRPr="00653BF4">
              <w:rPr>
                <w:sz w:val="20"/>
                <w:szCs w:val="20"/>
                <w:lang w:val="fr-FR"/>
              </w:rPr>
              <w:t xml:space="preserve">64 (62) </w:t>
            </w:r>
          </w:p>
        </w:tc>
      </w:tr>
      <w:tr w:rsidR="007A60EC" w:rsidRPr="00653BF4" w14:paraId="5BD30AD2" w14:textId="77777777" w:rsidTr="00557FB3">
        <w:tc>
          <w:tcPr>
            <w:tcW w:w="8194" w:type="dxa"/>
          </w:tcPr>
          <w:p w14:paraId="072087CC" w14:textId="77777777" w:rsidR="007A60EC" w:rsidRPr="00653BF4" w:rsidRDefault="007A60EC" w:rsidP="00557FB3">
            <w:pPr>
              <w:rPr>
                <w:sz w:val="20"/>
                <w:szCs w:val="20"/>
                <w:lang w:val="fr-FR"/>
              </w:rPr>
            </w:pPr>
            <w:r w:rsidRPr="00653BF4">
              <w:rPr>
                <w:sz w:val="20"/>
                <w:szCs w:val="20"/>
                <w:lang w:val="fr-FR"/>
              </w:rPr>
              <w:t>Convention-cadre des Nations Unies sur les changements climatiques (CCNUCC)</w:t>
            </w:r>
          </w:p>
          <w:p w14:paraId="06065336" w14:textId="77777777" w:rsidR="007A60EC" w:rsidRPr="00653BF4" w:rsidRDefault="007A60EC" w:rsidP="00557FB3">
            <w:pPr>
              <w:rPr>
                <w:sz w:val="20"/>
                <w:szCs w:val="20"/>
                <w:lang w:val="fr-FR"/>
              </w:rPr>
            </w:pPr>
          </w:p>
        </w:tc>
        <w:tc>
          <w:tcPr>
            <w:tcW w:w="1445" w:type="dxa"/>
          </w:tcPr>
          <w:p w14:paraId="3BB2F7A3" w14:textId="77777777" w:rsidR="007A60EC" w:rsidRPr="00653BF4" w:rsidRDefault="007A60EC" w:rsidP="00557FB3">
            <w:pPr>
              <w:rPr>
                <w:sz w:val="20"/>
                <w:szCs w:val="20"/>
                <w:lang w:val="fr-FR"/>
              </w:rPr>
            </w:pPr>
            <w:r w:rsidRPr="00653BF4">
              <w:rPr>
                <w:sz w:val="20"/>
                <w:szCs w:val="20"/>
                <w:lang w:val="fr-FR"/>
              </w:rPr>
              <w:t>53</w:t>
            </w:r>
          </w:p>
        </w:tc>
      </w:tr>
      <w:tr w:rsidR="007A60EC" w:rsidRPr="00653BF4" w14:paraId="1DAF0C61" w14:textId="77777777" w:rsidTr="00557FB3">
        <w:tc>
          <w:tcPr>
            <w:tcW w:w="8194" w:type="dxa"/>
          </w:tcPr>
          <w:p w14:paraId="4A52F5A0" w14:textId="77777777" w:rsidR="007A60EC" w:rsidRPr="00653BF4" w:rsidRDefault="007A60EC" w:rsidP="00557FB3">
            <w:pPr>
              <w:rPr>
                <w:sz w:val="20"/>
                <w:szCs w:val="20"/>
                <w:lang w:val="fr-FR"/>
              </w:rPr>
            </w:pPr>
            <w:r w:rsidRPr="00653BF4">
              <w:rPr>
                <w:sz w:val="20"/>
                <w:szCs w:val="20"/>
                <w:lang w:val="fr-FR"/>
              </w:rPr>
              <w:t>Convention des Nations Unies sur la lutte contre la désertification dans les pays gravement touchés par la sécheresse et/ou la désertification, en particulier en Afrique (CLD)</w:t>
            </w:r>
          </w:p>
          <w:p w14:paraId="6BA5E512" w14:textId="77777777" w:rsidR="007A60EC" w:rsidRPr="00653BF4" w:rsidRDefault="007A60EC" w:rsidP="00557FB3">
            <w:pPr>
              <w:rPr>
                <w:sz w:val="20"/>
                <w:szCs w:val="20"/>
                <w:lang w:val="fr-FR"/>
              </w:rPr>
            </w:pPr>
          </w:p>
        </w:tc>
        <w:tc>
          <w:tcPr>
            <w:tcW w:w="1445" w:type="dxa"/>
          </w:tcPr>
          <w:p w14:paraId="5651DD99" w14:textId="77777777" w:rsidR="007A60EC" w:rsidRPr="00653BF4" w:rsidRDefault="007A60EC" w:rsidP="00557FB3">
            <w:pPr>
              <w:rPr>
                <w:sz w:val="20"/>
                <w:szCs w:val="20"/>
                <w:lang w:val="fr-FR"/>
              </w:rPr>
            </w:pPr>
            <w:r w:rsidRPr="00653BF4">
              <w:rPr>
                <w:sz w:val="20"/>
                <w:szCs w:val="20"/>
                <w:lang w:val="fr-FR"/>
              </w:rPr>
              <w:t>47</w:t>
            </w:r>
          </w:p>
        </w:tc>
      </w:tr>
      <w:tr w:rsidR="007A60EC" w:rsidRPr="00653BF4" w14:paraId="496EBD18" w14:textId="77777777" w:rsidTr="00557FB3">
        <w:tc>
          <w:tcPr>
            <w:tcW w:w="8194" w:type="dxa"/>
          </w:tcPr>
          <w:p w14:paraId="5F7A97E3" w14:textId="77777777" w:rsidR="007A60EC" w:rsidRPr="00653BF4" w:rsidRDefault="007A60EC" w:rsidP="00557FB3">
            <w:pPr>
              <w:rPr>
                <w:sz w:val="20"/>
                <w:szCs w:val="20"/>
                <w:lang w:val="fr-FR"/>
              </w:rPr>
            </w:pPr>
            <w:r w:rsidRPr="00653BF4">
              <w:rPr>
                <w:sz w:val="20"/>
                <w:szCs w:val="20"/>
                <w:lang w:val="fr-FR"/>
              </w:rPr>
              <w:t xml:space="preserve">Convention sur la conservation des espèces migratrices appartenant à la faune sauvage </w:t>
            </w:r>
          </w:p>
          <w:p w14:paraId="7D21D792" w14:textId="77777777" w:rsidR="007A60EC" w:rsidRPr="00653BF4" w:rsidRDefault="007A60EC" w:rsidP="00557FB3">
            <w:pPr>
              <w:rPr>
                <w:sz w:val="20"/>
                <w:szCs w:val="20"/>
                <w:lang w:val="fr-FR"/>
              </w:rPr>
            </w:pPr>
          </w:p>
        </w:tc>
        <w:tc>
          <w:tcPr>
            <w:tcW w:w="1445" w:type="dxa"/>
          </w:tcPr>
          <w:p w14:paraId="165802C3" w14:textId="77777777" w:rsidR="007A60EC" w:rsidRPr="00653BF4" w:rsidRDefault="007A60EC" w:rsidP="00557FB3">
            <w:pPr>
              <w:rPr>
                <w:sz w:val="20"/>
                <w:szCs w:val="20"/>
                <w:lang w:val="fr-FR"/>
              </w:rPr>
            </w:pPr>
            <w:r w:rsidRPr="00653BF4">
              <w:rPr>
                <w:sz w:val="20"/>
                <w:szCs w:val="20"/>
                <w:lang w:val="fr-FR"/>
              </w:rPr>
              <w:t>37 (36)</w:t>
            </w:r>
          </w:p>
        </w:tc>
      </w:tr>
      <w:tr w:rsidR="007A60EC" w:rsidRPr="00653BF4" w14:paraId="02346E01" w14:textId="77777777" w:rsidTr="00557FB3">
        <w:tc>
          <w:tcPr>
            <w:tcW w:w="8194" w:type="dxa"/>
          </w:tcPr>
          <w:p w14:paraId="38591BC9" w14:textId="77777777" w:rsidR="007A60EC" w:rsidRPr="00653BF4" w:rsidRDefault="007A60EC" w:rsidP="00557FB3">
            <w:pPr>
              <w:rPr>
                <w:sz w:val="20"/>
                <w:szCs w:val="20"/>
                <w:lang w:val="fr-FR"/>
              </w:rPr>
            </w:pPr>
            <w:r w:rsidRPr="00653BF4">
              <w:rPr>
                <w:sz w:val="20"/>
                <w:szCs w:val="20"/>
                <w:lang w:val="fr-FR"/>
              </w:rPr>
              <w:t>Accord de Paris</w:t>
            </w:r>
          </w:p>
          <w:p w14:paraId="4D8BAE3C" w14:textId="77777777" w:rsidR="007A60EC" w:rsidRPr="00653BF4" w:rsidRDefault="007A60EC" w:rsidP="00557FB3">
            <w:pPr>
              <w:rPr>
                <w:sz w:val="20"/>
                <w:szCs w:val="20"/>
                <w:lang w:val="fr-FR"/>
              </w:rPr>
            </w:pPr>
          </w:p>
        </w:tc>
        <w:tc>
          <w:tcPr>
            <w:tcW w:w="1445" w:type="dxa"/>
          </w:tcPr>
          <w:p w14:paraId="02A800D4" w14:textId="77777777" w:rsidR="007A60EC" w:rsidRPr="00653BF4" w:rsidRDefault="007A60EC" w:rsidP="00557FB3">
            <w:pPr>
              <w:rPr>
                <w:sz w:val="20"/>
                <w:szCs w:val="20"/>
                <w:lang w:val="fr-FR"/>
              </w:rPr>
            </w:pPr>
            <w:r w:rsidRPr="00653BF4">
              <w:rPr>
                <w:sz w:val="20"/>
                <w:szCs w:val="20"/>
                <w:lang w:val="fr-FR"/>
              </w:rPr>
              <w:t>32</w:t>
            </w:r>
          </w:p>
        </w:tc>
      </w:tr>
      <w:tr w:rsidR="007A60EC" w:rsidRPr="00653BF4" w14:paraId="3FFBA3BF" w14:textId="77777777" w:rsidTr="00557FB3">
        <w:tc>
          <w:tcPr>
            <w:tcW w:w="8194" w:type="dxa"/>
          </w:tcPr>
          <w:p w14:paraId="306CDD8E" w14:textId="77777777" w:rsidR="007A60EC" w:rsidRPr="00653BF4" w:rsidRDefault="007A60EC" w:rsidP="00557FB3">
            <w:pPr>
              <w:rPr>
                <w:sz w:val="20"/>
                <w:szCs w:val="20"/>
                <w:lang w:val="fr-FR"/>
              </w:rPr>
            </w:pPr>
            <w:r w:rsidRPr="00653BF4">
              <w:rPr>
                <w:sz w:val="20"/>
                <w:szCs w:val="20"/>
                <w:lang w:val="fr-FR"/>
              </w:rPr>
              <w:t xml:space="preserve">Traité international sur les ressources phytogénétiques pour l’alimentation et l’agriculture </w:t>
            </w:r>
          </w:p>
          <w:p w14:paraId="5B7C5C1C" w14:textId="77777777" w:rsidR="007A60EC" w:rsidRPr="00653BF4" w:rsidRDefault="007A60EC" w:rsidP="00557FB3">
            <w:pPr>
              <w:rPr>
                <w:sz w:val="20"/>
                <w:szCs w:val="20"/>
                <w:lang w:val="fr-FR"/>
              </w:rPr>
            </w:pPr>
          </w:p>
        </w:tc>
        <w:tc>
          <w:tcPr>
            <w:tcW w:w="1445" w:type="dxa"/>
          </w:tcPr>
          <w:p w14:paraId="4CE673F7" w14:textId="77777777" w:rsidR="007A60EC" w:rsidRPr="00653BF4" w:rsidRDefault="007A60EC" w:rsidP="00557FB3">
            <w:pPr>
              <w:rPr>
                <w:sz w:val="20"/>
                <w:szCs w:val="20"/>
                <w:lang w:val="fr-FR"/>
              </w:rPr>
            </w:pPr>
            <w:r w:rsidRPr="00653BF4">
              <w:rPr>
                <w:sz w:val="20"/>
                <w:szCs w:val="20"/>
                <w:lang w:val="fr-FR"/>
              </w:rPr>
              <w:t>30</w:t>
            </w:r>
          </w:p>
        </w:tc>
      </w:tr>
      <w:tr w:rsidR="007A60EC" w:rsidRPr="00653BF4" w14:paraId="5E5326D5" w14:textId="77777777" w:rsidTr="00557FB3">
        <w:tc>
          <w:tcPr>
            <w:tcW w:w="8194" w:type="dxa"/>
          </w:tcPr>
          <w:p w14:paraId="33C5A822" w14:textId="77777777" w:rsidR="007A60EC" w:rsidRPr="00653BF4" w:rsidRDefault="007A60EC" w:rsidP="00557FB3">
            <w:pPr>
              <w:rPr>
                <w:sz w:val="20"/>
                <w:szCs w:val="20"/>
                <w:lang w:val="fr-FR"/>
              </w:rPr>
            </w:pPr>
            <w:r w:rsidRPr="00653BF4">
              <w:rPr>
                <w:sz w:val="20"/>
                <w:szCs w:val="20"/>
                <w:lang w:val="fr-FR"/>
              </w:rPr>
              <w:t>Convention du patrimoine mondial</w:t>
            </w:r>
          </w:p>
          <w:p w14:paraId="40D000B6" w14:textId="77777777" w:rsidR="007A60EC" w:rsidRPr="00653BF4" w:rsidRDefault="007A60EC" w:rsidP="00557FB3">
            <w:pPr>
              <w:rPr>
                <w:sz w:val="20"/>
                <w:szCs w:val="20"/>
                <w:lang w:val="fr-FR"/>
              </w:rPr>
            </w:pPr>
          </w:p>
        </w:tc>
        <w:tc>
          <w:tcPr>
            <w:tcW w:w="1445" w:type="dxa"/>
          </w:tcPr>
          <w:p w14:paraId="06B8103A" w14:textId="77777777" w:rsidR="007A60EC" w:rsidRPr="00653BF4" w:rsidRDefault="007A60EC" w:rsidP="00557FB3">
            <w:pPr>
              <w:rPr>
                <w:sz w:val="20"/>
                <w:szCs w:val="20"/>
                <w:lang w:val="fr-FR"/>
              </w:rPr>
            </w:pPr>
            <w:r w:rsidRPr="00653BF4">
              <w:rPr>
                <w:sz w:val="20"/>
                <w:szCs w:val="20"/>
                <w:lang w:val="fr-FR"/>
              </w:rPr>
              <w:t>25</w:t>
            </w:r>
          </w:p>
        </w:tc>
      </w:tr>
      <w:tr w:rsidR="007A60EC" w:rsidRPr="00653BF4" w14:paraId="56EC948B" w14:textId="77777777" w:rsidTr="00557FB3">
        <w:tc>
          <w:tcPr>
            <w:tcW w:w="8194" w:type="dxa"/>
          </w:tcPr>
          <w:p w14:paraId="3705A833" w14:textId="77777777" w:rsidR="007A60EC" w:rsidRPr="00653BF4" w:rsidRDefault="007A60EC" w:rsidP="00557FB3">
            <w:pPr>
              <w:rPr>
                <w:sz w:val="20"/>
                <w:szCs w:val="20"/>
                <w:lang w:val="fr-FR"/>
              </w:rPr>
            </w:pPr>
            <w:r w:rsidRPr="00653BF4">
              <w:rPr>
                <w:rFonts w:ascii="Aptos" w:hAnsi="Aptos" w:cs="Aptos"/>
                <w:sz w:val="20"/>
                <w:szCs w:val="20"/>
                <w:lang w:val="fr-FR"/>
              </w:rPr>
              <w:t xml:space="preserve">Accord se rapportant à la Convention des Nations Unies sur le droit de la mer et portant sur la conservation et l’utilisation durable de la diversité biologique marine des zones ne relevant pas de la juridiction nationale </w:t>
            </w:r>
          </w:p>
          <w:p w14:paraId="6F1278CD" w14:textId="77777777" w:rsidR="007A60EC" w:rsidRPr="00653BF4" w:rsidRDefault="007A60EC" w:rsidP="00557FB3">
            <w:pPr>
              <w:rPr>
                <w:sz w:val="20"/>
                <w:szCs w:val="20"/>
                <w:lang w:val="fr-FR"/>
              </w:rPr>
            </w:pPr>
          </w:p>
        </w:tc>
        <w:tc>
          <w:tcPr>
            <w:tcW w:w="1445" w:type="dxa"/>
          </w:tcPr>
          <w:p w14:paraId="32B14D3B" w14:textId="77777777" w:rsidR="007A60EC" w:rsidRPr="00653BF4" w:rsidRDefault="007A60EC" w:rsidP="00557FB3">
            <w:pPr>
              <w:rPr>
                <w:sz w:val="20"/>
                <w:szCs w:val="20"/>
                <w:lang w:val="fr-FR"/>
              </w:rPr>
            </w:pPr>
            <w:r w:rsidRPr="00653BF4">
              <w:rPr>
                <w:sz w:val="20"/>
                <w:szCs w:val="20"/>
                <w:lang w:val="fr-FR"/>
              </w:rPr>
              <w:t>18</w:t>
            </w:r>
          </w:p>
        </w:tc>
      </w:tr>
      <w:tr w:rsidR="007A60EC" w:rsidRPr="00653BF4" w14:paraId="499982D6" w14:textId="77777777" w:rsidTr="00557FB3">
        <w:tc>
          <w:tcPr>
            <w:tcW w:w="8194" w:type="dxa"/>
          </w:tcPr>
          <w:p w14:paraId="4D0B769B" w14:textId="77777777" w:rsidR="007A60EC" w:rsidRPr="00653BF4" w:rsidRDefault="007A60EC" w:rsidP="00557FB3">
            <w:pPr>
              <w:rPr>
                <w:sz w:val="20"/>
                <w:szCs w:val="20"/>
                <w:lang w:val="fr-FR"/>
              </w:rPr>
            </w:pPr>
            <w:r w:rsidRPr="00653BF4">
              <w:rPr>
                <w:sz w:val="20"/>
                <w:szCs w:val="20"/>
                <w:lang w:val="fr-FR"/>
              </w:rPr>
              <w:t>Convention internationale pour la protection des végétaux (CIPV)</w:t>
            </w:r>
          </w:p>
          <w:p w14:paraId="4BD1F78B" w14:textId="77777777" w:rsidR="007A60EC" w:rsidRPr="00653BF4" w:rsidRDefault="007A60EC" w:rsidP="00557FB3">
            <w:pPr>
              <w:rPr>
                <w:sz w:val="20"/>
                <w:szCs w:val="20"/>
                <w:lang w:val="fr-FR"/>
              </w:rPr>
            </w:pPr>
          </w:p>
        </w:tc>
        <w:tc>
          <w:tcPr>
            <w:tcW w:w="1445" w:type="dxa"/>
          </w:tcPr>
          <w:p w14:paraId="5112642A" w14:textId="77777777" w:rsidR="007A60EC" w:rsidRPr="00653BF4" w:rsidRDefault="007A60EC" w:rsidP="00557FB3">
            <w:pPr>
              <w:rPr>
                <w:sz w:val="20"/>
                <w:szCs w:val="20"/>
                <w:lang w:val="fr-FR"/>
              </w:rPr>
            </w:pPr>
            <w:r w:rsidRPr="00653BF4">
              <w:rPr>
                <w:sz w:val="20"/>
                <w:szCs w:val="20"/>
                <w:lang w:val="fr-FR"/>
              </w:rPr>
              <w:t>14</w:t>
            </w:r>
          </w:p>
        </w:tc>
      </w:tr>
      <w:tr w:rsidR="007A60EC" w:rsidRPr="00653BF4" w14:paraId="5BA69913" w14:textId="77777777" w:rsidTr="00557FB3">
        <w:tc>
          <w:tcPr>
            <w:tcW w:w="8194" w:type="dxa"/>
          </w:tcPr>
          <w:p w14:paraId="213D34F2" w14:textId="77777777" w:rsidR="007A60EC" w:rsidRPr="00653BF4" w:rsidRDefault="007A60EC" w:rsidP="00557FB3">
            <w:pPr>
              <w:rPr>
                <w:sz w:val="20"/>
                <w:szCs w:val="20"/>
                <w:lang w:val="fr-FR"/>
              </w:rPr>
            </w:pPr>
            <w:r w:rsidRPr="00653BF4">
              <w:rPr>
                <w:sz w:val="20"/>
                <w:szCs w:val="20"/>
                <w:lang w:val="fr-FR"/>
              </w:rPr>
              <w:t>Convention de Stockholm sur les polluants organiques persistants</w:t>
            </w:r>
          </w:p>
          <w:p w14:paraId="4424DC4A" w14:textId="77777777" w:rsidR="007A60EC" w:rsidRPr="00653BF4" w:rsidRDefault="007A60EC" w:rsidP="00557FB3">
            <w:pPr>
              <w:rPr>
                <w:sz w:val="20"/>
                <w:szCs w:val="20"/>
                <w:lang w:val="fr-FR"/>
              </w:rPr>
            </w:pPr>
          </w:p>
        </w:tc>
        <w:tc>
          <w:tcPr>
            <w:tcW w:w="1445" w:type="dxa"/>
          </w:tcPr>
          <w:p w14:paraId="5523DB72" w14:textId="77777777" w:rsidR="007A60EC" w:rsidRPr="00653BF4" w:rsidRDefault="007A60EC" w:rsidP="00557FB3">
            <w:pPr>
              <w:rPr>
                <w:sz w:val="20"/>
                <w:szCs w:val="20"/>
                <w:lang w:val="fr-FR"/>
              </w:rPr>
            </w:pPr>
            <w:r w:rsidRPr="00653BF4">
              <w:rPr>
                <w:sz w:val="20"/>
                <w:szCs w:val="20"/>
                <w:lang w:val="fr-FR"/>
              </w:rPr>
              <w:t>13</w:t>
            </w:r>
          </w:p>
        </w:tc>
      </w:tr>
      <w:tr w:rsidR="007A60EC" w:rsidRPr="00653BF4" w14:paraId="359AB6DE" w14:textId="77777777" w:rsidTr="00557FB3">
        <w:tc>
          <w:tcPr>
            <w:tcW w:w="8194" w:type="dxa"/>
          </w:tcPr>
          <w:p w14:paraId="214B66FD" w14:textId="77777777" w:rsidR="007A60EC" w:rsidRPr="00653BF4" w:rsidRDefault="007A60EC" w:rsidP="00557FB3">
            <w:pPr>
              <w:rPr>
                <w:sz w:val="20"/>
                <w:szCs w:val="20"/>
                <w:lang w:val="fr-FR"/>
              </w:rPr>
            </w:pPr>
            <w:r w:rsidRPr="00653BF4">
              <w:rPr>
                <w:sz w:val="20"/>
                <w:szCs w:val="20"/>
                <w:lang w:val="fr-FR"/>
              </w:rPr>
              <w:t>Convention de Bâle sur le contrôle des mouvements transfrontières de déchets dangereux et de leur élimination</w:t>
            </w:r>
          </w:p>
          <w:p w14:paraId="64BABFC4" w14:textId="77777777" w:rsidR="007A60EC" w:rsidRPr="00653BF4" w:rsidRDefault="007A60EC" w:rsidP="00557FB3">
            <w:pPr>
              <w:rPr>
                <w:sz w:val="20"/>
                <w:szCs w:val="20"/>
                <w:lang w:val="fr-FR"/>
              </w:rPr>
            </w:pPr>
          </w:p>
        </w:tc>
        <w:tc>
          <w:tcPr>
            <w:tcW w:w="1445" w:type="dxa"/>
          </w:tcPr>
          <w:p w14:paraId="6B5BA375" w14:textId="77777777" w:rsidR="007A60EC" w:rsidRPr="00653BF4" w:rsidRDefault="007A60EC" w:rsidP="00557FB3">
            <w:pPr>
              <w:rPr>
                <w:sz w:val="20"/>
                <w:szCs w:val="20"/>
                <w:lang w:val="fr-FR"/>
              </w:rPr>
            </w:pPr>
            <w:r w:rsidRPr="00653BF4">
              <w:rPr>
                <w:sz w:val="20"/>
                <w:szCs w:val="20"/>
                <w:lang w:val="fr-FR"/>
              </w:rPr>
              <w:t>13</w:t>
            </w:r>
          </w:p>
        </w:tc>
      </w:tr>
      <w:tr w:rsidR="007A60EC" w:rsidRPr="00653BF4" w14:paraId="6515AF20" w14:textId="77777777" w:rsidTr="00557FB3">
        <w:tc>
          <w:tcPr>
            <w:tcW w:w="8194" w:type="dxa"/>
          </w:tcPr>
          <w:p w14:paraId="0B6623C4" w14:textId="77777777" w:rsidR="007A60EC" w:rsidRPr="00653BF4" w:rsidRDefault="007A60EC" w:rsidP="00557FB3">
            <w:pPr>
              <w:rPr>
                <w:sz w:val="20"/>
                <w:szCs w:val="20"/>
                <w:lang w:val="fr-FR"/>
              </w:rPr>
            </w:pPr>
            <w:r w:rsidRPr="00653BF4">
              <w:rPr>
                <w:sz w:val="20"/>
                <w:szCs w:val="20"/>
                <w:lang w:val="fr-FR"/>
              </w:rPr>
              <w:lastRenderedPageBreak/>
              <w:t>Convention de Rotterdam sur la procédure de consentement préalable en connaissance de cause applicable à certains produits chimiques et pesticides dangereux qui font l’objet d’un commerce international</w:t>
            </w:r>
          </w:p>
          <w:p w14:paraId="6876C3C2" w14:textId="77777777" w:rsidR="007A60EC" w:rsidRPr="00653BF4" w:rsidRDefault="007A60EC" w:rsidP="00557FB3">
            <w:pPr>
              <w:rPr>
                <w:sz w:val="20"/>
                <w:szCs w:val="20"/>
                <w:lang w:val="fr-FR"/>
              </w:rPr>
            </w:pPr>
          </w:p>
        </w:tc>
        <w:tc>
          <w:tcPr>
            <w:tcW w:w="1445" w:type="dxa"/>
          </w:tcPr>
          <w:p w14:paraId="2F40D41A" w14:textId="77777777" w:rsidR="007A60EC" w:rsidRPr="00653BF4" w:rsidRDefault="007A60EC" w:rsidP="00557FB3">
            <w:pPr>
              <w:rPr>
                <w:sz w:val="20"/>
                <w:szCs w:val="20"/>
                <w:lang w:val="fr-FR"/>
              </w:rPr>
            </w:pPr>
            <w:r w:rsidRPr="00653BF4">
              <w:rPr>
                <w:sz w:val="20"/>
                <w:szCs w:val="20"/>
                <w:lang w:val="fr-FR"/>
              </w:rPr>
              <w:t>12</w:t>
            </w:r>
          </w:p>
        </w:tc>
      </w:tr>
      <w:tr w:rsidR="007A60EC" w:rsidRPr="00653BF4" w14:paraId="5748CE09" w14:textId="77777777" w:rsidTr="00557FB3">
        <w:tc>
          <w:tcPr>
            <w:tcW w:w="8194" w:type="dxa"/>
          </w:tcPr>
          <w:p w14:paraId="0BEC5BFC" w14:textId="77777777" w:rsidR="007A60EC" w:rsidRPr="00653BF4" w:rsidRDefault="007A60EC" w:rsidP="00557FB3">
            <w:pPr>
              <w:rPr>
                <w:sz w:val="20"/>
                <w:szCs w:val="20"/>
                <w:lang w:val="fr-FR"/>
              </w:rPr>
            </w:pPr>
            <w:r w:rsidRPr="00653BF4">
              <w:rPr>
                <w:sz w:val="20"/>
                <w:szCs w:val="20"/>
                <w:lang w:val="fr-FR"/>
              </w:rPr>
              <w:t>Convention des Nations Unies sur le droit de la mer</w:t>
            </w:r>
          </w:p>
          <w:p w14:paraId="0591819B" w14:textId="77777777" w:rsidR="007A60EC" w:rsidRPr="00653BF4" w:rsidRDefault="007A60EC" w:rsidP="00557FB3">
            <w:pPr>
              <w:rPr>
                <w:sz w:val="20"/>
                <w:szCs w:val="20"/>
                <w:lang w:val="fr-FR"/>
              </w:rPr>
            </w:pPr>
          </w:p>
        </w:tc>
        <w:tc>
          <w:tcPr>
            <w:tcW w:w="1445" w:type="dxa"/>
          </w:tcPr>
          <w:p w14:paraId="3A25CD7C" w14:textId="77777777" w:rsidR="007A60EC" w:rsidRPr="00653BF4" w:rsidRDefault="007A60EC" w:rsidP="00557FB3">
            <w:pPr>
              <w:rPr>
                <w:sz w:val="20"/>
                <w:szCs w:val="20"/>
                <w:lang w:val="fr-FR"/>
              </w:rPr>
            </w:pPr>
            <w:r w:rsidRPr="00653BF4">
              <w:rPr>
                <w:sz w:val="20"/>
                <w:szCs w:val="20"/>
                <w:lang w:val="fr-FR"/>
              </w:rPr>
              <w:t>11</w:t>
            </w:r>
          </w:p>
        </w:tc>
      </w:tr>
      <w:tr w:rsidR="007A60EC" w:rsidRPr="00653BF4" w14:paraId="7F43B5B7" w14:textId="77777777" w:rsidTr="00557FB3">
        <w:tc>
          <w:tcPr>
            <w:tcW w:w="8194" w:type="dxa"/>
          </w:tcPr>
          <w:p w14:paraId="1F150DC2" w14:textId="77777777" w:rsidR="007A60EC" w:rsidRPr="00653BF4" w:rsidRDefault="007A60EC" w:rsidP="00557FB3">
            <w:pPr>
              <w:rPr>
                <w:sz w:val="20"/>
                <w:szCs w:val="20"/>
                <w:lang w:val="fr-FR"/>
              </w:rPr>
            </w:pPr>
            <w:r w:rsidRPr="00653BF4">
              <w:rPr>
                <w:sz w:val="20"/>
                <w:szCs w:val="20"/>
                <w:lang w:val="fr-FR"/>
              </w:rPr>
              <w:t>Commission baleinière internationale (CBI) / Convention internationale pour la réglementation de la chasse à la baleine</w:t>
            </w:r>
          </w:p>
          <w:p w14:paraId="05BD80D4" w14:textId="77777777" w:rsidR="007A60EC" w:rsidRPr="00653BF4" w:rsidRDefault="007A60EC" w:rsidP="00557FB3">
            <w:pPr>
              <w:rPr>
                <w:sz w:val="20"/>
                <w:szCs w:val="20"/>
                <w:lang w:val="fr-FR"/>
              </w:rPr>
            </w:pPr>
          </w:p>
        </w:tc>
        <w:tc>
          <w:tcPr>
            <w:tcW w:w="1445" w:type="dxa"/>
          </w:tcPr>
          <w:p w14:paraId="52040514" w14:textId="77777777" w:rsidR="007A60EC" w:rsidRPr="00653BF4" w:rsidRDefault="007A60EC" w:rsidP="00557FB3">
            <w:pPr>
              <w:rPr>
                <w:sz w:val="20"/>
                <w:szCs w:val="20"/>
                <w:lang w:val="fr-FR"/>
              </w:rPr>
            </w:pPr>
            <w:r w:rsidRPr="00653BF4">
              <w:rPr>
                <w:sz w:val="20"/>
                <w:szCs w:val="20"/>
                <w:lang w:val="fr-FR"/>
              </w:rPr>
              <w:t>7</w:t>
            </w:r>
          </w:p>
        </w:tc>
      </w:tr>
      <w:tr w:rsidR="007A60EC" w:rsidRPr="00653BF4" w14:paraId="0A8BDBD4" w14:textId="77777777" w:rsidTr="00557FB3">
        <w:tc>
          <w:tcPr>
            <w:tcW w:w="8194" w:type="dxa"/>
          </w:tcPr>
          <w:p w14:paraId="639F2B6F" w14:textId="77777777" w:rsidR="007A60EC" w:rsidRPr="00653BF4" w:rsidRDefault="007A60EC" w:rsidP="00557FB3">
            <w:pPr>
              <w:rPr>
                <w:sz w:val="20"/>
                <w:szCs w:val="20"/>
                <w:lang w:val="fr-FR"/>
              </w:rPr>
            </w:pPr>
            <w:r w:rsidRPr="00653BF4">
              <w:rPr>
                <w:sz w:val="20"/>
                <w:szCs w:val="20"/>
                <w:lang w:val="fr-FR"/>
              </w:rPr>
              <w:t>Convention de Minamata sur le mercure</w:t>
            </w:r>
          </w:p>
          <w:p w14:paraId="6C522833" w14:textId="77777777" w:rsidR="007A60EC" w:rsidRPr="00653BF4" w:rsidRDefault="007A60EC" w:rsidP="00557FB3">
            <w:pPr>
              <w:rPr>
                <w:sz w:val="20"/>
                <w:szCs w:val="20"/>
                <w:lang w:val="fr-FR"/>
              </w:rPr>
            </w:pPr>
          </w:p>
        </w:tc>
        <w:tc>
          <w:tcPr>
            <w:tcW w:w="1445" w:type="dxa"/>
          </w:tcPr>
          <w:p w14:paraId="26DD156E" w14:textId="77777777" w:rsidR="007A60EC" w:rsidRPr="00653BF4" w:rsidRDefault="007A60EC" w:rsidP="00557FB3">
            <w:pPr>
              <w:rPr>
                <w:sz w:val="20"/>
                <w:szCs w:val="20"/>
                <w:lang w:val="fr-FR"/>
              </w:rPr>
            </w:pPr>
            <w:r w:rsidRPr="00653BF4">
              <w:rPr>
                <w:sz w:val="20"/>
                <w:szCs w:val="20"/>
                <w:lang w:val="fr-FR"/>
              </w:rPr>
              <w:t>9</w:t>
            </w:r>
          </w:p>
        </w:tc>
      </w:tr>
      <w:tr w:rsidR="007A60EC" w:rsidRPr="00653BF4" w14:paraId="32D66A39" w14:textId="77777777" w:rsidTr="00557FB3">
        <w:tc>
          <w:tcPr>
            <w:tcW w:w="8194" w:type="dxa"/>
          </w:tcPr>
          <w:p w14:paraId="327D16B4" w14:textId="77777777" w:rsidR="007A60EC" w:rsidRPr="00653BF4" w:rsidRDefault="007A60EC" w:rsidP="00557FB3">
            <w:pPr>
              <w:rPr>
                <w:sz w:val="20"/>
                <w:szCs w:val="20"/>
                <w:lang w:val="fr-FR"/>
              </w:rPr>
            </w:pPr>
            <w:r w:rsidRPr="00653BF4">
              <w:rPr>
                <w:sz w:val="20"/>
                <w:szCs w:val="20"/>
                <w:lang w:val="fr-FR"/>
              </w:rPr>
              <w:t>Protocole de Montréal relatif à des substances qui appauvrissent la couche d’ozone</w:t>
            </w:r>
          </w:p>
          <w:p w14:paraId="03DCC432" w14:textId="77777777" w:rsidR="007A60EC" w:rsidRPr="00653BF4" w:rsidRDefault="007A60EC" w:rsidP="00557FB3">
            <w:pPr>
              <w:rPr>
                <w:sz w:val="20"/>
                <w:szCs w:val="20"/>
                <w:lang w:val="fr-FR"/>
              </w:rPr>
            </w:pPr>
          </w:p>
        </w:tc>
        <w:tc>
          <w:tcPr>
            <w:tcW w:w="1445" w:type="dxa"/>
          </w:tcPr>
          <w:p w14:paraId="475F6C9C" w14:textId="77777777" w:rsidR="007A60EC" w:rsidRPr="00653BF4" w:rsidRDefault="007A60EC" w:rsidP="00557FB3">
            <w:pPr>
              <w:rPr>
                <w:sz w:val="20"/>
                <w:szCs w:val="20"/>
                <w:lang w:val="fr-FR"/>
              </w:rPr>
            </w:pPr>
            <w:r w:rsidRPr="00653BF4">
              <w:rPr>
                <w:sz w:val="20"/>
                <w:szCs w:val="20"/>
                <w:lang w:val="fr-FR"/>
              </w:rPr>
              <w:t>9</w:t>
            </w:r>
          </w:p>
        </w:tc>
      </w:tr>
      <w:tr w:rsidR="007A60EC" w:rsidRPr="00653BF4" w14:paraId="05EFCC23" w14:textId="77777777" w:rsidTr="00557FB3">
        <w:tc>
          <w:tcPr>
            <w:tcW w:w="8194" w:type="dxa"/>
          </w:tcPr>
          <w:p w14:paraId="66B5E678" w14:textId="77777777" w:rsidR="007A60EC" w:rsidRPr="00653BF4" w:rsidRDefault="007A60EC" w:rsidP="00557FB3">
            <w:pPr>
              <w:pStyle w:val="Default"/>
              <w:rPr>
                <w:sz w:val="20"/>
                <w:szCs w:val="20"/>
                <w:lang w:val="fr-FR"/>
              </w:rPr>
            </w:pPr>
            <w:r w:rsidRPr="00653BF4">
              <w:rPr>
                <w:rFonts w:ascii="Aptos" w:hAnsi="Aptos" w:cs="Aptos"/>
                <w:sz w:val="20"/>
                <w:szCs w:val="20"/>
                <w:lang w:val="fr-FR"/>
              </w:rPr>
              <w:t xml:space="preserve">Convention sur l’élimination de toutes les formes de discrimination à l’égard des femmes </w:t>
            </w:r>
          </w:p>
          <w:p w14:paraId="6B577AA9" w14:textId="77777777" w:rsidR="007A60EC" w:rsidRPr="00653BF4" w:rsidRDefault="007A60EC" w:rsidP="00557FB3">
            <w:pPr>
              <w:rPr>
                <w:sz w:val="20"/>
                <w:szCs w:val="20"/>
                <w:lang w:val="fr-FR"/>
              </w:rPr>
            </w:pPr>
          </w:p>
        </w:tc>
        <w:tc>
          <w:tcPr>
            <w:tcW w:w="1445" w:type="dxa"/>
          </w:tcPr>
          <w:p w14:paraId="160982E8" w14:textId="77777777" w:rsidR="007A60EC" w:rsidRPr="00653BF4" w:rsidRDefault="007A60EC" w:rsidP="00557FB3">
            <w:pPr>
              <w:rPr>
                <w:sz w:val="20"/>
                <w:szCs w:val="20"/>
                <w:lang w:val="fr-FR"/>
              </w:rPr>
            </w:pPr>
            <w:r w:rsidRPr="00653BF4">
              <w:rPr>
                <w:sz w:val="20"/>
                <w:szCs w:val="20"/>
                <w:lang w:val="fr-FR"/>
              </w:rPr>
              <w:t>7</w:t>
            </w:r>
          </w:p>
        </w:tc>
      </w:tr>
      <w:tr w:rsidR="007A60EC" w:rsidRPr="00653BF4" w14:paraId="5A8F8BC3" w14:textId="77777777" w:rsidTr="00557FB3">
        <w:tc>
          <w:tcPr>
            <w:tcW w:w="8194" w:type="dxa"/>
          </w:tcPr>
          <w:p w14:paraId="5B7703A0" w14:textId="77777777" w:rsidR="007A60EC" w:rsidRPr="00653BF4" w:rsidRDefault="007A60EC" w:rsidP="00557FB3">
            <w:pPr>
              <w:rPr>
                <w:sz w:val="20"/>
                <w:szCs w:val="20"/>
                <w:lang w:val="fr-FR"/>
              </w:rPr>
            </w:pPr>
            <w:r w:rsidRPr="00653BF4">
              <w:rPr>
                <w:sz w:val="20"/>
                <w:szCs w:val="20"/>
                <w:lang w:val="fr-FR"/>
              </w:rPr>
              <w:t>Convention internationale de 2004 pour le contrôle et la gestion des eaux de ballast et sédiments des navires (Convention BWM)</w:t>
            </w:r>
          </w:p>
        </w:tc>
        <w:tc>
          <w:tcPr>
            <w:tcW w:w="1445" w:type="dxa"/>
          </w:tcPr>
          <w:p w14:paraId="7FD2F1B4" w14:textId="77777777" w:rsidR="007A60EC" w:rsidRPr="00653BF4" w:rsidRDefault="007A60EC" w:rsidP="00557FB3">
            <w:pPr>
              <w:rPr>
                <w:sz w:val="20"/>
                <w:szCs w:val="20"/>
                <w:lang w:val="fr-FR"/>
              </w:rPr>
            </w:pPr>
            <w:r w:rsidRPr="00653BF4">
              <w:rPr>
                <w:sz w:val="20"/>
                <w:szCs w:val="20"/>
                <w:lang w:val="fr-FR"/>
              </w:rPr>
              <w:t>5</w:t>
            </w:r>
          </w:p>
        </w:tc>
      </w:tr>
    </w:tbl>
    <w:p w14:paraId="4FF19DF7" w14:textId="51D8FC13" w:rsidR="007A60EC" w:rsidRPr="00653BF4" w:rsidRDefault="007A60EC" w:rsidP="007A60EC">
      <w:pPr>
        <w:pStyle w:val="Heading3"/>
        <w:rPr>
          <w:sz w:val="18"/>
          <w:szCs w:val="18"/>
          <w:lang w:val="fr-FR"/>
        </w:rPr>
      </w:pPr>
      <w:bookmarkStart w:id="544" w:name="_Toc239069254"/>
      <w:bookmarkStart w:id="545" w:name="_Toc2082394028"/>
      <w:bookmarkStart w:id="546" w:name="_Toc242801291"/>
      <w:bookmarkStart w:id="547" w:name="_Toc226619228"/>
      <w:bookmarkStart w:id="548" w:name="_Toc227079279"/>
      <w:bookmarkStart w:id="549" w:name="_Toc235821387"/>
      <w:r w:rsidRPr="00653BF4">
        <w:rPr>
          <w:i/>
          <w:iCs/>
          <w:sz w:val="18"/>
          <w:szCs w:val="18"/>
          <w:lang w:val="fr-FR"/>
        </w:rPr>
        <w:t>Note</w:t>
      </w:r>
      <w:bookmarkEnd w:id="544"/>
      <w:bookmarkEnd w:id="545"/>
      <w:r w:rsidR="00E34DC9">
        <w:rPr>
          <w:i/>
          <w:iCs/>
          <w:sz w:val="18"/>
          <w:szCs w:val="18"/>
          <w:lang w:val="fr-FR"/>
        </w:rPr>
        <w:t> :</w:t>
      </w:r>
      <w:r w:rsidRPr="00653BF4">
        <w:rPr>
          <w:sz w:val="18"/>
          <w:szCs w:val="18"/>
          <w:lang w:val="fr-FR"/>
        </w:rPr>
        <w:t xml:space="preserve"> Seuls les accords de portée mondiale sont recensés. Lorsqu’une Partie a soumis plus d’un SPANB (par exemple, lorsque des SPANB distincts ont été soumis pour des territoires d’outre-mer), le nombre de Parties est indiqué entre parenthèses.</w:t>
      </w:r>
      <w:bookmarkEnd w:id="546"/>
      <w:r w:rsidRPr="00653BF4">
        <w:rPr>
          <w:sz w:val="18"/>
          <w:szCs w:val="18"/>
          <w:lang w:val="fr-FR"/>
        </w:rPr>
        <w:t xml:space="preserve"> </w:t>
      </w:r>
    </w:p>
    <w:p w14:paraId="0345FCAD" w14:textId="3D5C9493" w:rsidR="007A60EC" w:rsidRPr="00653BF4" w:rsidRDefault="007A60EC" w:rsidP="007A60EC">
      <w:pPr>
        <w:rPr>
          <w:sz w:val="18"/>
          <w:szCs w:val="18"/>
          <w:lang w:val="fr-FR"/>
        </w:rPr>
      </w:pPr>
      <w:r w:rsidRPr="00653BF4">
        <w:rPr>
          <w:i/>
          <w:iCs/>
          <w:sz w:val="18"/>
          <w:szCs w:val="18"/>
          <w:lang w:val="fr-FR"/>
        </w:rPr>
        <w:t>Source</w:t>
      </w:r>
      <w:r w:rsidR="00E34DC9">
        <w:rPr>
          <w:i/>
          <w:iCs/>
          <w:sz w:val="18"/>
          <w:szCs w:val="18"/>
          <w:lang w:val="fr-FR"/>
        </w:rPr>
        <w:t> :</w:t>
      </w:r>
      <w:r w:rsidRPr="00653BF4">
        <w:rPr>
          <w:i/>
          <w:iCs/>
          <w:sz w:val="18"/>
          <w:szCs w:val="18"/>
          <w:lang w:val="fr-FR"/>
        </w:rPr>
        <w:t xml:space="preserve"> </w:t>
      </w:r>
      <w:r w:rsidRPr="00653BF4">
        <w:rPr>
          <w:sz w:val="18"/>
          <w:szCs w:val="18"/>
          <w:lang w:val="fr-FR"/>
        </w:rPr>
        <w:t xml:space="preserve">annexe II du document </w:t>
      </w:r>
      <w:hyperlink r:id="rId249" w:history="1">
        <w:r w:rsidRPr="00653BF4">
          <w:rPr>
            <w:rStyle w:val="Hyperlink"/>
            <w:sz w:val="18"/>
            <w:szCs w:val="18"/>
            <w:lang w:val="fr-FR"/>
          </w:rPr>
          <w:t>CBD/SBI/7/INF/22</w:t>
        </w:r>
      </w:hyperlink>
      <w:r w:rsidRPr="00653BF4">
        <w:rPr>
          <w:sz w:val="18"/>
          <w:szCs w:val="18"/>
          <w:lang w:val="fr-FR"/>
        </w:rPr>
        <w:t>.</w:t>
      </w:r>
    </w:p>
    <w:p w14:paraId="2EFB3A90" w14:textId="77777777" w:rsidR="007A60EC" w:rsidRPr="00653BF4" w:rsidRDefault="007A60EC" w:rsidP="007A60EC">
      <w:pPr>
        <w:pStyle w:val="Heading3"/>
        <w:rPr>
          <w:lang w:val="fr-FR"/>
        </w:rPr>
      </w:pPr>
    </w:p>
    <w:p w14:paraId="77026540" w14:textId="1939DA2D" w:rsidR="007A60EC" w:rsidRPr="00653BF4" w:rsidRDefault="007A60EC" w:rsidP="007A60EC">
      <w:pPr>
        <w:pStyle w:val="Heading3"/>
        <w:rPr>
          <w:lang w:val="fr-FR"/>
        </w:rPr>
      </w:pPr>
      <w:bookmarkStart w:id="550" w:name="_Toc242801292"/>
      <w:bookmarkEnd w:id="547"/>
      <w:bookmarkEnd w:id="548"/>
      <w:bookmarkEnd w:id="549"/>
      <w:r w:rsidRPr="00653BF4">
        <w:rPr>
          <w:lang w:val="fr-FR"/>
        </w:rPr>
        <w:t>Autres organisations et processus internationaux pertinents</w:t>
      </w:r>
      <w:bookmarkEnd w:id="550"/>
    </w:p>
    <w:p w14:paraId="31F34F46" w14:textId="77777777" w:rsidR="007A60EC" w:rsidRPr="00653BF4" w:rsidRDefault="007A60EC" w:rsidP="007A60EC">
      <w:pPr>
        <w:rPr>
          <w:lang w:val="fr-FR"/>
        </w:rPr>
      </w:pPr>
    </w:p>
    <w:p w14:paraId="5E34F031" w14:textId="77777777" w:rsidR="007A60EC" w:rsidRPr="00653BF4" w:rsidRDefault="007A60EC" w:rsidP="007A60EC">
      <w:pPr>
        <w:rPr>
          <w:lang w:val="fr-FR"/>
        </w:rPr>
      </w:pPr>
      <w:r w:rsidRPr="00653BF4">
        <w:rPr>
          <w:lang w:val="fr-FR"/>
        </w:rPr>
        <w:t>Au-delà des engagements pris par les gouvernements dans le cadre d’accords multilatéraux formels, un éventail plus large d’organisations et de processus internationaux peut contribuer, par ses activités, à la mise en œuvre du Cadre. En réponse à l’appel à contributions lancé pour le présent rapport, plusieurs organisations et institutions des Nations Unies, autres que les secrétariats des AME, ont présenté leurs travaux alignés sur le Cadre. D’autres organisations et processus intergouvernementaux extérieurs au système des Nations Unies contribuent également, aux niveaux mondial et régional, à la mise en œuvre du Cadre. On trouvera ci-après un aperçu de certaines de leurs activités.</w:t>
      </w:r>
    </w:p>
    <w:p w14:paraId="2FEF77BF" w14:textId="7936A54F" w:rsidR="007A60EC" w:rsidRPr="00653BF4" w:rsidRDefault="007A60EC" w:rsidP="007A60EC">
      <w:pPr>
        <w:rPr>
          <w:lang w:val="fr-FR"/>
        </w:rPr>
      </w:pPr>
      <w:r w:rsidRPr="00653BF4">
        <w:rPr>
          <w:lang w:val="fr-FR"/>
        </w:rPr>
        <w:t>Plusieurs organisations des Nations Unies ont élaboré des feuilles de route ou des orientations pour intégrer le Cadre à leurs travaux. Parmi elles</w:t>
      </w:r>
      <w:r w:rsidR="00E34DC9">
        <w:rPr>
          <w:lang w:val="fr-FR"/>
        </w:rPr>
        <w:t> :</w:t>
      </w:r>
    </w:p>
    <w:p w14:paraId="10D19C1A" w14:textId="42001CB8" w:rsidR="007A60EC" w:rsidRPr="00653BF4" w:rsidRDefault="007A60EC" w:rsidP="007A60EC">
      <w:pPr>
        <w:pStyle w:val="ListParagraph"/>
        <w:numPr>
          <w:ilvl w:val="0"/>
          <w:numId w:val="38"/>
        </w:numPr>
        <w:rPr>
          <w:lang w:val="fr-FR"/>
        </w:rPr>
      </w:pPr>
      <w:r w:rsidRPr="00653BF4">
        <w:rPr>
          <w:lang w:val="fr-FR"/>
        </w:rPr>
        <w:t xml:space="preserve">L’Organisation des Nations Unies pour l’alimentation et l’agriculture (FAO) contribue directement à la mise en œuvre du Cadre en appuyant les pays dans le suivi et l’établissement de rapports, notamment en tant qu’organisme responsable de plusieurs indicateurs du Cadre et des objectifs de développement durable ou contribuant à ces indicateurs, comme il ressort des résumés des cibles 2, 5 et 10 à </w:t>
      </w:r>
      <w:r w:rsidRPr="00653BF4">
        <w:rPr>
          <w:lang w:val="fr-FR"/>
        </w:rPr>
        <w:lastRenderedPageBreak/>
        <w:t xml:space="preserve">la </w:t>
      </w:r>
      <w:r w:rsidR="002878D7">
        <w:rPr>
          <w:lang w:val="fr-FR"/>
        </w:rPr>
        <w:t>section I</w:t>
      </w:r>
      <w:r w:rsidRPr="00653BF4">
        <w:rPr>
          <w:lang w:val="fr-FR"/>
        </w:rPr>
        <w:t>I.B ci-dessus, ainsi qu’en aidant à renforcer les systèmes nationaux de suivi de la biodiversité. En outre, la FAO fournit des éléments factuels pour orienter la mise en œuvre, notamment au moyen de son analyse mondiale de la prise en compte des systèmes agroalimentaires dans les SPANB révisés et actualisés, qui aide à recenser les voies de mise en œuvre, les lacunes et les priorités dans les domaines de l’agriculture, de la foresterie, des pêches et de l’aquaculture. La FAO fournit par ailleurs des orientations pratiques, des outils, des ressources d’apprentissage et un appui en matière de politiques, notamment par l’intermédiaire de son Centre de connaissances sur la biodiversité</w:t>
      </w:r>
      <w:r w:rsidRPr="00653BF4">
        <w:rPr>
          <w:rStyle w:val="FootnoteReference"/>
          <w:rFonts w:cs="Helvetica"/>
          <w:lang w:val="fr-FR"/>
        </w:rPr>
        <w:footnoteReference w:id="55"/>
      </w:r>
      <w:r w:rsidRPr="00653BF4">
        <w:rPr>
          <w:lang w:val="fr-FR"/>
        </w:rPr>
        <w:t>,</w:t>
      </w:r>
      <w:r w:rsidRPr="00653BF4">
        <w:rPr>
          <w:rFonts w:cs="Helvetica"/>
          <w:lang w:val="fr-FR"/>
        </w:rPr>
        <w:t xml:space="preserve"> </w:t>
      </w:r>
      <w:r w:rsidRPr="00653BF4">
        <w:rPr>
          <w:lang w:val="fr-FR"/>
        </w:rPr>
        <w:t>afin d’aider les pays à traduire les cibles du Cadre en mesures concrètes qu’ils pilotent eux-mêmes. Ces contributions reposent sur la Stratégie de la FAO relative à l’intégration de la biodiversité dans tous les secteurs de l’agriculture et sur le Plan d’action pour la mise en œuvre de cette stratégie. Négociée par les membres de la FAO, cette stratégie institutionnelle est alignée sur les cibles du Cadre (FAO, 2024b et 2025a).</w:t>
      </w:r>
    </w:p>
    <w:p w14:paraId="545E5062" w14:textId="77777777" w:rsidR="007A60EC" w:rsidRPr="00653BF4" w:rsidRDefault="007A60EC" w:rsidP="007A60EC">
      <w:pPr>
        <w:pStyle w:val="ListParagraph"/>
        <w:rPr>
          <w:lang w:val="fr-FR"/>
        </w:rPr>
      </w:pPr>
    </w:p>
    <w:p w14:paraId="413EAF9F" w14:textId="77777777" w:rsidR="007A60EC" w:rsidRPr="00653BF4" w:rsidRDefault="007A60EC" w:rsidP="007A60EC">
      <w:pPr>
        <w:pStyle w:val="ListParagraph"/>
        <w:numPr>
          <w:ilvl w:val="0"/>
          <w:numId w:val="38"/>
        </w:numPr>
        <w:rPr>
          <w:lang w:val="fr-FR"/>
        </w:rPr>
      </w:pPr>
      <w:r w:rsidRPr="00653BF4">
        <w:rPr>
          <w:lang w:val="fr-FR"/>
        </w:rPr>
        <w:t xml:space="preserve">Le Programme sur l’Homme et la biosphère (MAB) de l’UNESCO a adopté un plan d’action stratégique, ou feuille de route, pour la période 2026-2035. Il y met en avant le rôle que joue le Réseau mondial de près de 800 réserves de biosphère dans la mise en œuvre du Cadre et du Programme de développement durable à l’horizon 2030. Adopté en septembre 2025 à Hangzhou (Chine) par le Conseil international de coordination du MAB, ce plan prévoit que, d’ici à 2028, toutes les réserves de biosphère, réparties dans plus de 140 pays, auront déterminé leur contribution propre au Cadre et l’auront intégrée à leur plan ou à leur stratégie de gestion. Il prévoit également que, d’ici à 2030, toutes les réserves de biosphère auront été intégrées à la planification nationale de la biodiversité et du développement durable, notamment aux stratégies et plans d’action nationaux et locaux pour la biodiversité (SPANB et SPALB), aux rapports nationaux et aux systèmes de suivi (UNESCO, 2025c, 2025d et 2025e). </w:t>
      </w:r>
    </w:p>
    <w:p w14:paraId="1CE42F72" w14:textId="77777777" w:rsidR="007A60EC" w:rsidRPr="00653BF4" w:rsidRDefault="007A60EC" w:rsidP="007A60EC">
      <w:pPr>
        <w:pStyle w:val="ListParagraph"/>
        <w:rPr>
          <w:lang w:val="fr-FR"/>
        </w:rPr>
      </w:pPr>
    </w:p>
    <w:p w14:paraId="78FCE33B" w14:textId="122A9DE1" w:rsidR="007A60EC" w:rsidRPr="00653BF4" w:rsidRDefault="007A60EC" w:rsidP="007A60EC">
      <w:pPr>
        <w:pStyle w:val="ListParagraph"/>
        <w:numPr>
          <w:ilvl w:val="0"/>
          <w:numId w:val="38"/>
        </w:numPr>
        <w:rPr>
          <w:lang w:val="fr-FR"/>
        </w:rPr>
      </w:pPr>
      <w:r w:rsidRPr="00653BF4">
        <w:rPr>
          <w:lang w:val="fr-FR"/>
        </w:rPr>
        <w:t xml:space="preserve">Le Bureau des Nations Unies pour la réduction des risques de catastrophe (UNDRR) a élaboré des orientations sur l’intégration de la réduction des risques de catastrophe dans les stratégies et plans d’action nationaux pour la biodiversité (SPANB), qu’il a publiées en 2025 à l’intention des gouvernements. Ces orientations s’appuient sur l’examen à mi-parcours de la mise en œuvre du Cadre de Sendai pour la réduction des risques de catastrophe (2015-2030), mené en 2023, qui a réaffirmé le rôle essentiel d’écosystèmes sains et résilients dans la réduction des </w:t>
      </w:r>
      <w:r w:rsidRPr="00653BF4">
        <w:rPr>
          <w:lang w:val="fr-FR"/>
        </w:rPr>
        <w:lastRenderedPageBreak/>
        <w:t>risques de catastrophe. Les cibles 8 et 11 du Cadre mentionnent expressément la réduction des risques de catastrophe, et l’</w:t>
      </w:r>
      <w:r w:rsidR="002878D7">
        <w:rPr>
          <w:lang w:val="fr-FR"/>
        </w:rPr>
        <w:t>objectif A</w:t>
      </w:r>
      <w:r w:rsidRPr="00653BF4">
        <w:rPr>
          <w:lang w:val="fr-FR"/>
        </w:rPr>
        <w:t xml:space="preserve"> porte sur la résilience des écosystèmes. Ces orientations visent en outre à favoriser les synergies entre la conservation de la biodiversité, la réduction des risques de catastrophe et l’adaptation aux changements climatiques. La session de 2025 de la Plateforme mondiale pour la réduction des risques de catastrophe a réaffirmé l’importance d’aligner l’action dans ce domaine sur le Cadre. Elle a souligné les nombreux bienfaits des solutions fondées sur la nature et de l’approche écosystémique, ainsi que le rôle que jouent, dans le renforcement de la résilience, les infrastructures vertes et la protection de la biodiversité, stratégies d’un bon rapport coût-efficacité qui présentent de multiples avantages (UNDRR, 2015, 2025a, 2025b, 2025c</w:t>
      </w:r>
      <w:r w:rsidR="00E34DC9">
        <w:rPr>
          <w:lang w:val="fr-FR"/>
        </w:rPr>
        <w:t> ;</w:t>
      </w:r>
      <w:r w:rsidRPr="00653BF4">
        <w:rPr>
          <w:lang w:val="fr-FR"/>
        </w:rPr>
        <w:t xml:space="preserve"> et Assemblée générale des Nations Unies, 2023b).</w:t>
      </w:r>
    </w:p>
    <w:p w14:paraId="18A63ED4" w14:textId="77777777" w:rsidR="007A60EC" w:rsidRPr="00653BF4" w:rsidRDefault="007A60EC" w:rsidP="007A60EC">
      <w:pPr>
        <w:rPr>
          <w:lang w:val="fr-FR"/>
        </w:rPr>
      </w:pPr>
    </w:p>
    <w:p w14:paraId="3CC5102D" w14:textId="45F62859" w:rsidR="007A60EC" w:rsidRPr="00653BF4" w:rsidRDefault="007A60EC" w:rsidP="007A60EC">
      <w:pPr>
        <w:rPr>
          <w:lang w:val="fr-FR"/>
        </w:rPr>
      </w:pPr>
      <w:r w:rsidRPr="00653BF4">
        <w:rPr>
          <w:lang w:val="fr-FR"/>
        </w:rPr>
        <w:t xml:space="preserve">On trouvera à la </w:t>
      </w:r>
      <w:r w:rsidR="002878D7">
        <w:rPr>
          <w:lang w:val="fr-FR"/>
        </w:rPr>
        <w:t>section I</w:t>
      </w:r>
      <w:r w:rsidRPr="00653BF4">
        <w:rPr>
          <w:lang w:val="fr-FR"/>
        </w:rPr>
        <w:t>I.B ci-dessus d’autres exemples de contributions d’organisations des Nations Unies à des cibles précises du Cadre.</w:t>
      </w:r>
    </w:p>
    <w:p w14:paraId="6F0A5AEC" w14:textId="280A6FA7" w:rsidR="007A60EC" w:rsidRPr="00653BF4" w:rsidRDefault="007A60EC" w:rsidP="007A60EC">
      <w:pPr>
        <w:rPr>
          <w:lang w:val="fr-FR"/>
        </w:rPr>
      </w:pPr>
      <w:r w:rsidRPr="00653BF4">
        <w:rPr>
          <w:lang w:val="fr-FR"/>
        </w:rPr>
        <w:t>Certaines organisations internationales extérieures au système des Nations Unies contribuent de manière importante à la mise en œuvre du Cadre, même si elles ne sont pas particulièrement axées sur la biodiversité ou le développement durable. L’Organisation internationale de normalisation (ISO) en offre un exemple</w:t>
      </w:r>
      <w:r w:rsidR="00E34DC9">
        <w:rPr>
          <w:lang w:val="fr-FR"/>
        </w:rPr>
        <w:t> :</w:t>
      </w:r>
      <w:r w:rsidRPr="00653BF4">
        <w:rPr>
          <w:lang w:val="fr-FR"/>
        </w:rPr>
        <w:t xml:space="preserve"> ce réseau mondial d’organismes nationaux de normalisation compte un membre par pays. En 2024, l’ISO a fait réaliser une étude visant à mieux comprendre comment ses normes pourraient contribuer au Cadre. Au total, 549 normes ISO en lien avec la biodiversité ont été recensées, chacune des 23 cibles du Cadre étant concernée par au moins l’une d’entre elles</w:t>
      </w:r>
      <w:r w:rsidRPr="00653BF4">
        <w:rPr>
          <w:rStyle w:val="FootnoteReference"/>
          <w:lang w:val="fr-FR"/>
        </w:rPr>
        <w:footnoteReference w:id="56"/>
      </w:r>
      <w:r w:rsidRPr="00653BF4">
        <w:rPr>
          <w:lang w:val="fr-FR"/>
        </w:rPr>
        <w:t>. En 2020, l’ISO a créé un comité technique sur la biodiversité (ISO/TC 331, Biodiversité), chargé d’élaborer un ensemble de normes internationales fondamentales visant à intégrer la biodiversité dans les pratiques économiques et organisationnelles. Deux normes récemment adoptées se rapportent au Cadre</w:t>
      </w:r>
      <w:r w:rsidR="00E34DC9">
        <w:rPr>
          <w:lang w:val="fr-FR"/>
        </w:rPr>
        <w:t> :</w:t>
      </w:r>
      <w:r w:rsidRPr="00653BF4">
        <w:rPr>
          <w:lang w:val="fr-FR"/>
        </w:rPr>
        <w:t xml:space="preserve"> l’ISO 17298, relative aux exigences et lignes directrices applicables à la prise en compte de la biodiversité dans la stratégie et les activités des organisations, et l’ISO 17620, qui porte sur le processus de conception et de mise en œuvre du gain net de biodiversité dans les projets d’aménagement (ISO, 2025).</w:t>
      </w:r>
    </w:p>
    <w:p w14:paraId="7B4F01FF" w14:textId="06C65346" w:rsidR="007A60EC" w:rsidRPr="00653BF4" w:rsidRDefault="007A60EC" w:rsidP="007A60EC">
      <w:pPr>
        <w:rPr>
          <w:lang w:val="fr-FR"/>
        </w:rPr>
      </w:pPr>
      <w:r w:rsidRPr="00653BF4">
        <w:rPr>
          <w:lang w:val="fr-FR"/>
        </w:rPr>
        <w:t>Des organisations et processus intergouvernementaux appuient la mise en œuvre du Cadre aux niveaux régional et sous-régional. Par exemple</w:t>
      </w:r>
      <w:r w:rsidR="00E34DC9">
        <w:rPr>
          <w:lang w:val="fr-FR"/>
        </w:rPr>
        <w:t> :</w:t>
      </w:r>
    </w:p>
    <w:p w14:paraId="210C93FE" w14:textId="4F59C990" w:rsidR="007A60EC" w:rsidRPr="00653BF4" w:rsidRDefault="007A60EC" w:rsidP="007A60EC">
      <w:pPr>
        <w:pStyle w:val="ListParagraph"/>
        <w:numPr>
          <w:ilvl w:val="0"/>
          <w:numId w:val="39"/>
        </w:numPr>
        <w:spacing w:line="279" w:lineRule="auto"/>
        <w:rPr>
          <w:b/>
          <w:bCs/>
          <w:lang w:val="fr-FR"/>
        </w:rPr>
      </w:pPr>
      <w:r w:rsidRPr="00653BF4">
        <w:rPr>
          <w:lang w:val="fr-FR"/>
        </w:rPr>
        <w:lastRenderedPageBreak/>
        <w:t xml:space="preserve">Dans le cadre régional, le Conseil de l’Arctique élabore, par l’intermédiaire de son groupe de travail chargé de la biodiversité, le groupe de travail sur la conservation de la flore et de la faune arctiques (CFFA), une stratégie décennale intitulée </w:t>
      </w:r>
      <w:r w:rsidR="00E34DC9">
        <w:rPr>
          <w:lang w:val="fr-FR"/>
        </w:rPr>
        <w:t>« </w:t>
      </w:r>
      <w:r w:rsidRPr="00653BF4">
        <w:rPr>
          <w:lang w:val="fr-FR"/>
        </w:rPr>
        <w:t>Actions for Arctic biodiversity 2025-2035</w:t>
      </w:r>
      <w:r w:rsidR="00E34DC9">
        <w:rPr>
          <w:lang w:val="fr-FR"/>
        </w:rPr>
        <w:t> »</w:t>
      </w:r>
      <w:r w:rsidRPr="00653BF4">
        <w:rPr>
          <w:lang w:val="fr-FR"/>
        </w:rPr>
        <w:t xml:space="preserve"> (Actions pour la biodiversité arctique 2025-2035). Celle-ci définit 4 grands axes et 16 domaines d’intervention qui s’y rattachent, destinés à répondre aux changements sans précédent que connaît l’environnement arctique. Globalement alignés sur le Cadre, ces axes consistent à</w:t>
      </w:r>
      <w:r w:rsidR="00E34DC9">
        <w:rPr>
          <w:lang w:val="fr-FR"/>
        </w:rPr>
        <w:t> :</w:t>
      </w:r>
    </w:p>
    <w:p w14:paraId="7A963097" w14:textId="4D4B3373" w:rsidR="007A60EC" w:rsidRPr="00653BF4" w:rsidRDefault="007A60EC" w:rsidP="007A60EC">
      <w:pPr>
        <w:pStyle w:val="ListParagraph"/>
        <w:numPr>
          <w:ilvl w:val="1"/>
          <w:numId w:val="37"/>
        </w:numPr>
        <w:spacing w:line="279" w:lineRule="auto"/>
        <w:rPr>
          <w:lang w:val="fr-FR"/>
        </w:rPr>
      </w:pPr>
      <w:r w:rsidRPr="00653BF4">
        <w:rPr>
          <w:lang w:val="fr-FR"/>
        </w:rPr>
        <w:t>Agir sur les effets distincts et cumulés des pressions et des facteurs de perte de biodiversité dans l’Arctique</w:t>
      </w:r>
      <w:r w:rsidR="00E34DC9">
        <w:rPr>
          <w:lang w:val="fr-FR"/>
        </w:rPr>
        <w:t> ;</w:t>
      </w:r>
    </w:p>
    <w:p w14:paraId="6ED30F55" w14:textId="2FF8D304" w:rsidR="007A60EC" w:rsidRPr="00653BF4" w:rsidRDefault="007A60EC" w:rsidP="007A60EC">
      <w:pPr>
        <w:pStyle w:val="ListParagraph"/>
        <w:numPr>
          <w:ilvl w:val="1"/>
          <w:numId w:val="37"/>
        </w:numPr>
        <w:spacing w:line="279" w:lineRule="auto"/>
        <w:rPr>
          <w:lang w:val="fr-FR"/>
        </w:rPr>
      </w:pPr>
      <w:r w:rsidRPr="00653BF4">
        <w:rPr>
          <w:lang w:val="fr-FR"/>
        </w:rPr>
        <w:t>Promouvoir l’utilisation durable de la biodiversité arctique</w:t>
      </w:r>
      <w:r w:rsidR="00E34DC9">
        <w:rPr>
          <w:lang w:val="fr-FR"/>
        </w:rPr>
        <w:t> ;</w:t>
      </w:r>
    </w:p>
    <w:p w14:paraId="32002119" w14:textId="393D0067" w:rsidR="007A60EC" w:rsidRPr="00653BF4" w:rsidRDefault="007A60EC" w:rsidP="007A60EC">
      <w:pPr>
        <w:pStyle w:val="ListParagraph"/>
        <w:numPr>
          <w:ilvl w:val="1"/>
          <w:numId w:val="37"/>
        </w:numPr>
        <w:spacing w:line="279" w:lineRule="auto"/>
        <w:rPr>
          <w:lang w:val="fr-FR"/>
        </w:rPr>
      </w:pPr>
      <w:r w:rsidRPr="00653BF4">
        <w:rPr>
          <w:lang w:val="fr-FR"/>
        </w:rPr>
        <w:t>Créer des conditions propices à la mise en œuvre des mesures</w:t>
      </w:r>
      <w:r w:rsidR="00E34DC9">
        <w:rPr>
          <w:lang w:val="fr-FR"/>
        </w:rPr>
        <w:t> ;</w:t>
      </w:r>
    </w:p>
    <w:p w14:paraId="4A02813E" w14:textId="77777777" w:rsidR="007A60EC" w:rsidRPr="00653BF4" w:rsidRDefault="007A60EC" w:rsidP="007A60EC">
      <w:pPr>
        <w:pStyle w:val="ListParagraph"/>
        <w:numPr>
          <w:ilvl w:val="1"/>
          <w:numId w:val="37"/>
        </w:numPr>
        <w:spacing w:line="279" w:lineRule="auto"/>
        <w:rPr>
          <w:b/>
          <w:bCs/>
          <w:lang w:val="fr-FR"/>
        </w:rPr>
      </w:pPr>
      <w:r w:rsidRPr="00653BF4">
        <w:rPr>
          <w:lang w:val="fr-FR"/>
        </w:rPr>
        <w:t>Établir un cadre de suivi et d’évaluation de leur mise en œuvre.</w:t>
      </w:r>
    </w:p>
    <w:p w14:paraId="5D24F419" w14:textId="77777777" w:rsidR="007A60EC" w:rsidRPr="00653BF4" w:rsidRDefault="007A60EC" w:rsidP="007A60EC">
      <w:pPr>
        <w:ind w:left="360"/>
        <w:rPr>
          <w:lang w:val="fr-FR"/>
        </w:rPr>
      </w:pPr>
      <w:r w:rsidRPr="00653BF4">
        <w:rPr>
          <w:lang w:val="fr-FR"/>
        </w:rPr>
        <w:t>Un ensemble de mesures précises portant sur ces axes est en cours d’élaboration et devrait être arrêté en mai 2027 (CFFA, 2025a et 2025b).</w:t>
      </w:r>
    </w:p>
    <w:p w14:paraId="6DB55558" w14:textId="1A9DCFEF" w:rsidR="007A60EC" w:rsidRPr="00653BF4" w:rsidRDefault="007A60EC" w:rsidP="007A60EC">
      <w:pPr>
        <w:pStyle w:val="ListParagraph"/>
        <w:numPr>
          <w:ilvl w:val="0"/>
          <w:numId w:val="39"/>
        </w:numPr>
        <w:spacing w:line="279" w:lineRule="auto"/>
        <w:rPr>
          <w:b/>
          <w:bCs/>
          <w:lang w:val="fr-FR"/>
        </w:rPr>
      </w:pPr>
      <w:r w:rsidRPr="00653BF4">
        <w:rPr>
          <w:lang w:val="fr-FR"/>
        </w:rPr>
        <w:t>Au titre de son plan stratégique pour la période 2022-2030, l’Initiative du Corridor biologique dans la Caraïbe, qui réunit les autorités environnementales des cinq pays et territoires des Grandes Antilles (Cuba, Haïti, Jamaïque, Porto Rico et République dominicaine), encourage des actions concertées dans l’ensemble de cette sous-région, qui fait partie du point chaud de biodiversité des îles des Caraïbes. Parmi les mesures directement alignées sur les cibles du Cadre figurent une approche spatiale, globale et concertée de la planification du développement dans des paysages terrestres et marins prioritaires (</w:t>
      </w:r>
      <w:r w:rsidR="00E34DC9">
        <w:rPr>
          <w:lang w:val="fr-FR"/>
        </w:rPr>
        <w:t>cible 1</w:t>
      </w:r>
      <w:r w:rsidRPr="00653BF4">
        <w:rPr>
          <w:lang w:val="fr-FR"/>
        </w:rPr>
        <w:t>)</w:t>
      </w:r>
      <w:r w:rsidR="00E34DC9">
        <w:rPr>
          <w:lang w:val="fr-FR"/>
        </w:rPr>
        <w:t> ;</w:t>
      </w:r>
      <w:r w:rsidRPr="00653BF4">
        <w:rPr>
          <w:lang w:val="fr-FR"/>
        </w:rPr>
        <w:t xml:space="preserve"> la restauration des mangroves en Haïti et à Cuba (</w:t>
      </w:r>
      <w:r w:rsidR="00E34DC9">
        <w:rPr>
          <w:lang w:val="fr-FR"/>
        </w:rPr>
        <w:t>cible 2</w:t>
      </w:r>
      <w:r w:rsidRPr="00653BF4">
        <w:rPr>
          <w:lang w:val="fr-FR"/>
        </w:rPr>
        <w:t>)</w:t>
      </w:r>
      <w:r w:rsidR="00E34DC9">
        <w:rPr>
          <w:lang w:val="fr-FR"/>
        </w:rPr>
        <w:t> ;</w:t>
      </w:r>
      <w:r w:rsidRPr="00653BF4">
        <w:rPr>
          <w:lang w:val="fr-FR"/>
        </w:rPr>
        <w:t xml:space="preserve"> ainsi que l’extension et le renforcement de la conservation efficace des écosystèmes et des espèces prioritaires au moyen de zones protégées et d’autres mesures efficaces de conservation par zone, en particulier pour la biodiversité côtière et marine, domaine où subsistent les lacunes les plus importantes (</w:t>
      </w:r>
      <w:r w:rsidR="00E34DC9">
        <w:rPr>
          <w:lang w:val="fr-FR"/>
        </w:rPr>
        <w:t>cible 3</w:t>
      </w:r>
      <w:r w:rsidRPr="00653BF4">
        <w:rPr>
          <w:lang w:val="fr-FR"/>
        </w:rPr>
        <w:t>) (Secrétariat de l’Initiative du Corridor biologique dans la Caraïbe, 2025).</w:t>
      </w:r>
    </w:p>
    <w:p w14:paraId="6098113F" w14:textId="77777777" w:rsidR="007A60EC" w:rsidRPr="00653BF4" w:rsidRDefault="007A60EC" w:rsidP="007A60EC">
      <w:pPr>
        <w:pStyle w:val="ListParagraph"/>
        <w:spacing w:line="279" w:lineRule="auto"/>
        <w:rPr>
          <w:b/>
          <w:bCs/>
          <w:lang w:val="fr-FR"/>
        </w:rPr>
      </w:pPr>
    </w:p>
    <w:p w14:paraId="44DA7687" w14:textId="3517D80D" w:rsidR="007A60EC" w:rsidRPr="00653BF4" w:rsidRDefault="007A60EC" w:rsidP="007A60EC">
      <w:pPr>
        <w:pStyle w:val="ListParagraph"/>
        <w:numPr>
          <w:ilvl w:val="0"/>
          <w:numId w:val="39"/>
        </w:numPr>
        <w:spacing w:line="279" w:lineRule="auto"/>
        <w:rPr>
          <w:lang w:val="fr-FR"/>
        </w:rPr>
      </w:pPr>
      <w:r w:rsidRPr="00653BF4">
        <w:rPr>
          <w:lang w:val="fr-FR"/>
        </w:rPr>
        <w:t>La Commission pour la protection de l’environnement marin de la mer Baltique (HELCOM) a établi la correspondance entre 199 mesures prévues par le Plan d’action pour la mer Baltique 2021-2030 et les cibles du Cadre. Ces mesures, qui concernent 14 des 23 cibles, vont du renforcement des dispositifs de conservation des populations de marsouins communs (</w:t>
      </w:r>
      <w:r w:rsidRPr="00653BF4">
        <w:rPr>
          <w:i/>
          <w:iCs/>
          <w:lang w:val="fr-FR"/>
        </w:rPr>
        <w:t>Phocoena phocoena</w:t>
      </w:r>
      <w:r w:rsidRPr="00653BF4">
        <w:rPr>
          <w:lang w:val="fr-FR"/>
        </w:rPr>
        <w:t>) de la Baltique, en danger critique d’extinction (</w:t>
      </w:r>
      <w:r w:rsidR="00E34DC9">
        <w:rPr>
          <w:lang w:val="fr-FR"/>
        </w:rPr>
        <w:t>cible 4</w:t>
      </w:r>
      <w:r w:rsidRPr="00653BF4">
        <w:rPr>
          <w:lang w:val="fr-FR"/>
        </w:rPr>
        <w:t>), à une meilleure efficacité des dispositifs visant à prévenir l’introduction d’espèces exotiques envahissantes dans la mer Baltique par l’encrassement biologique des navires et par leurs eaux de ballast (</w:t>
      </w:r>
      <w:r w:rsidR="00E34DC9">
        <w:rPr>
          <w:lang w:val="fr-FR"/>
        </w:rPr>
        <w:t>cible 6</w:t>
      </w:r>
      <w:r w:rsidRPr="00653BF4">
        <w:rPr>
          <w:lang w:val="fr-FR"/>
        </w:rPr>
        <w:t xml:space="preserve">). </w:t>
      </w:r>
      <w:r w:rsidRPr="00653BF4">
        <w:rPr>
          <w:lang w:val="fr-FR"/>
        </w:rPr>
        <w:lastRenderedPageBreak/>
        <w:t>Cette mise en correspondance vise à aider les gouvernements de la région à élaborer leurs SPANB en faisant ressortir les engagements déjà pris au titre de la Convention sur la protection de l’environnement marin dans la région de la mer Baltique (Convention d’Helsinki) (HELCOM, 2024 et 2025).</w:t>
      </w:r>
    </w:p>
    <w:p w14:paraId="0C01EE51" w14:textId="77777777" w:rsidR="007A60EC" w:rsidRPr="00653BF4" w:rsidRDefault="007A60EC" w:rsidP="007A60EC">
      <w:pPr>
        <w:rPr>
          <w:rFonts w:asciiTheme="majorHAnsi" w:eastAsiaTheme="majorEastAsia" w:hAnsiTheme="majorHAnsi" w:cstheme="majorBidi"/>
          <w:color w:val="0F4761" w:themeColor="accent1" w:themeShade="BF"/>
          <w:sz w:val="40"/>
          <w:szCs w:val="40"/>
          <w:lang w:val="fr-FR"/>
        </w:rPr>
      </w:pPr>
      <w:r w:rsidRPr="00653BF4">
        <w:rPr>
          <w:lang w:val="fr-FR"/>
        </w:rPr>
        <w:br w:type="page"/>
      </w:r>
    </w:p>
    <w:p w14:paraId="412041AA" w14:textId="652117B3" w:rsidR="007A60EC" w:rsidRPr="00653BF4" w:rsidRDefault="007A60EC" w:rsidP="007A60EC">
      <w:pPr>
        <w:pStyle w:val="Heading1"/>
        <w:rPr>
          <w:lang w:val="fr-FR"/>
        </w:rPr>
      </w:pPr>
      <w:bookmarkStart w:id="551" w:name="_Toc242801293"/>
      <w:r w:rsidRPr="00653BF4">
        <w:rPr>
          <w:lang w:val="fr-FR"/>
        </w:rPr>
        <w:lastRenderedPageBreak/>
        <w:t>Partie III</w:t>
      </w:r>
      <w:r w:rsidR="00E34DC9">
        <w:rPr>
          <w:lang w:val="fr-FR"/>
        </w:rPr>
        <w:t> :</w:t>
      </w:r>
      <w:r w:rsidRPr="00653BF4">
        <w:rPr>
          <w:lang w:val="fr-FR"/>
        </w:rPr>
        <w:t xml:space="preserve"> Conclusions et principaux messages</w:t>
      </w:r>
      <w:bookmarkEnd w:id="551"/>
    </w:p>
    <w:p w14:paraId="0D83DEFE" w14:textId="77777777" w:rsidR="007A60EC" w:rsidRPr="00653BF4" w:rsidRDefault="007A60EC" w:rsidP="007A60EC">
      <w:pPr>
        <w:pStyle w:val="CBDNormalNoNumber"/>
        <w:spacing w:line="259" w:lineRule="auto"/>
        <w:ind w:left="0"/>
        <w:rPr>
          <w:rFonts w:ascii="Aptos" w:hAnsi="Aptos"/>
          <w:sz w:val="24"/>
          <w:szCs w:val="24"/>
          <w:lang w:val="fr-FR"/>
        </w:rPr>
      </w:pPr>
    </w:p>
    <w:p w14:paraId="170E6DA6" w14:textId="56791931" w:rsidR="007A60EC" w:rsidRPr="00653BF4" w:rsidRDefault="007A60EC" w:rsidP="007A60EC">
      <w:pPr>
        <w:pStyle w:val="CBDNormalNoNumber"/>
        <w:spacing w:line="259" w:lineRule="auto"/>
        <w:ind w:left="0"/>
        <w:jc w:val="left"/>
        <w:rPr>
          <w:rFonts w:ascii="Aptos" w:hAnsi="Aptos"/>
          <w:sz w:val="24"/>
          <w:szCs w:val="24"/>
          <w:lang w:val="fr-FR"/>
        </w:rPr>
      </w:pPr>
      <w:r w:rsidRPr="00653BF4">
        <w:rPr>
          <w:rFonts w:ascii="Aptos" w:hAnsi="Aptos"/>
          <w:sz w:val="24"/>
          <w:szCs w:val="24"/>
          <w:lang w:val="fr-FR"/>
        </w:rPr>
        <w:t xml:space="preserve">Le présent rapport dresse le bilan de l’engagement collectif en faveur de la mise en œuvre du Cadre et des progrès réalisés, à mi-chemin entre son adoption en 2022 et l’échéance de 2030 fixée pour la réalisation de ses cibles. Il convient de noter que les Parties, conformément au dispositif prévu, rendent compte de leurs progrès au regard de leurs cibles nationales, et non des cibles mondiales du Cadre, mais qu’elles indiquent comment elles conçoivent l’alignement de leurs cibles nationales sur ces dernières. C’est sur cet alignement que repose, dans l’ensemble du rapport mondial, la synthèse de l’engagement collectif et des progrès vers chacune des cibles mondiales, établie à partir des cibles nationales, des SPANB et des progrès communiqués par les Parties au titre de leurs cibles nationales, dont bon nombre n’ont été fixées qu’entre 2023 et 2026. Les données communiquées par les Parties sur l’ensemble commun d’indicateurs adopté dans le cadre de suivi, chacun étant associé aux objectifs et aux cibles du Cadre, ont en outre été prises en compte. Le rapport mondial comporte ainsi une évaluation relative de l’engagement collectif et des progrès des Parties pour chaque cible mondiale du Cadre, fondée sur les rapports nationaux et sur les données que les Parties avaient communiquées au moment de son élaboration. La méthode suivie est présentée brièvement à la </w:t>
      </w:r>
      <w:r w:rsidR="002878D7">
        <w:rPr>
          <w:rFonts w:ascii="Aptos" w:hAnsi="Aptos"/>
          <w:sz w:val="24"/>
          <w:szCs w:val="24"/>
          <w:lang w:val="fr-FR"/>
        </w:rPr>
        <w:t>section I</w:t>
      </w:r>
      <w:r w:rsidRPr="00653BF4">
        <w:rPr>
          <w:rFonts w:ascii="Aptos" w:hAnsi="Aptos"/>
          <w:sz w:val="24"/>
          <w:szCs w:val="24"/>
          <w:lang w:val="fr-FR"/>
        </w:rPr>
        <w:t>.A et exposée en détail dans le document complémentaire sur les méthodes d’élaboration du rapport mondial (</w:t>
      </w:r>
      <w:hyperlink r:id="rId250" w:history="1">
        <w:r w:rsidRPr="00653BF4">
          <w:rPr>
            <w:rStyle w:val="Hyperlink"/>
            <w:rFonts w:ascii="Aptos" w:hAnsi="Aptos"/>
            <w:sz w:val="24"/>
            <w:szCs w:val="24"/>
            <w:lang w:val="fr-FR"/>
          </w:rPr>
          <w:t>CBD/SBSTTA/28/INF/9</w:t>
        </w:r>
      </w:hyperlink>
      <w:r w:rsidRPr="00653BF4">
        <w:rPr>
          <w:rFonts w:ascii="Aptos" w:hAnsi="Aptos"/>
          <w:sz w:val="24"/>
          <w:szCs w:val="24"/>
          <w:lang w:val="fr-FR"/>
        </w:rPr>
        <w:t xml:space="preserve">).  </w:t>
      </w:r>
    </w:p>
    <w:p w14:paraId="1F9135B3" w14:textId="77777777" w:rsidR="007A60EC" w:rsidRPr="00653BF4" w:rsidRDefault="007A60EC" w:rsidP="007A60EC">
      <w:pPr>
        <w:pStyle w:val="CBDNormalNoNumber"/>
        <w:spacing w:line="259" w:lineRule="auto"/>
        <w:ind w:left="0"/>
        <w:rPr>
          <w:rFonts w:ascii="Aptos" w:hAnsi="Aptos"/>
          <w:sz w:val="24"/>
          <w:szCs w:val="24"/>
          <w:lang w:val="fr-FR"/>
        </w:rPr>
      </w:pPr>
    </w:p>
    <w:p w14:paraId="20C5D6F1" w14:textId="037E3434" w:rsidR="007A60EC" w:rsidRPr="00653BF4" w:rsidRDefault="007A60EC" w:rsidP="007A60EC">
      <w:pPr>
        <w:pStyle w:val="Heading2"/>
        <w:rPr>
          <w:lang w:val="fr-FR"/>
        </w:rPr>
      </w:pPr>
      <w:bookmarkStart w:id="552" w:name="_Toc242801294"/>
      <w:r w:rsidRPr="00653BF4">
        <w:rPr>
          <w:lang w:val="fr-FR"/>
        </w:rPr>
        <w:t>III.A Synthèse des progrès collectifs accomplis dans la mise en œuvre du Cadre mondial de la biodiversité de Kunming-Montréal, y compris la mission à l’horizon 2030 et la vision à l’horizon 2050</w:t>
      </w:r>
      <w:bookmarkEnd w:id="552"/>
    </w:p>
    <w:p w14:paraId="60D396E4" w14:textId="77777777" w:rsidR="007A60EC" w:rsidRPr="00653BF4" w:rsidRDefault="007A60EC" w:rsidP="007A60EC">
      <w:pPr>
        <w:spacing w:before="120" w:after="120"/>
        <w:rPr>
          <w:rFonts w:ascii="Aptos" w:eastAsia="Times New Roman" w:hAnsi="Aptos"/>
          <w:b/>
          <w:bCs/>
          <w:lang w:val="fr-FR"/>
        </w:rPr>
      </w:pPr>
      <w:r w:rsidRPr="00653BF4">
        <w:rPr>
          <w:rFonts w:ascii="Aptos" w:eastAsia="Times New Roman" w:hAnsi="Aptos"/>
          <w:b/>
          <w:bCs/>
          <w:u w:val="single"/>
          <w:lang w:val="fr-FR"/>
        </w:rPr>
        <w:t>Message général</w:t>
      </w:r>
      <w:r w:rsidRPr="00653BF4">
        <w:rPr>
          <w:rFonts w:ascii="Aptos" w:eastAsia="Times New Roman" w:hAnsi="Aptos"/>
          <w:b/>
          <w:bCs/>
          <w:lang w:val="fr-FR"/>
        </w:rPr>
        <w:t xml:space="preserve">. Le Cadre mondial de la biodiversité de Kunming-Montréal a suscité une mobilisation et un engagement sans précédent à l’échelle mondiale, et stimulé l’action, l’innovation, la collaboration et l’apprentissage pour l’ensemble de ses 23 cibles. Cependant, si la mise en œuvre collective ne s’accélère pas rapidement, il ne sera pas possible d’atteindre les cibles ni d’accomplir la mission à l’horizon 2030. S’il est encore trop tôt pour déceler une évolution de l’état de la biodiversité, la lenteur des progrès actuels fait peser un risque à long terme, car c’est en atteignant les cibles et en accomplissant la mission à l’horizon 2030 que le monde pourra s’engager sur la voie des objectifs et de la vision à l’horizon 2050. </w:t>
      </w:r>
    </w:p>
    <w:p w14:paraId="3050A3A3" w14:textId="77777777" w:rsidR="007A60EC" w:rsidRPr="00653BF4" w:rsidRDefault="007A60EC" w:rsidP="007A60EC">
      <w:pPr>
        <w:spacing w:before="120" w:after="120"/>
        <w:rPr>
          <w:rFonts w:ascii="Aptos" w:hAnsi="Aptos"/>
          <w:lang w:val="fr-FR"/>
        </w:rPr>
      </w:pPr>
      <w:r w:rsidRPr="00653BF4">
        <w:rPr>
          <w:lang w:val="fr-FR"/>
        </w:rPr>
        <w:t xml:space="preserve">Les Parties et les autres acteurs ont pris des mesures pour l’ensemble des 23 cibles, mais le bilan des progrès accomplis n’est entièrement positif pour aucune d’entre elles. Les </w:t>
      </w:r>
      <w:r w:rsidRPr="00653BF4">
        <w:rPr>
          <w:lang w:val="fr-FR"/>
        </w:rPr>
        <w:lastRenderedPageBreak/>
        <w:t>données disponibles mettent en évidence des lacunes dans les progrès collectifs, ainsi que des obstacles qui les freinent (voir le tableau 56). Si ces lacunes ne sont pas comblées et ces obstacles levés de toute urgence, il ne sera pas possible d’atteindre les cibles ni d’accomplir la mission à l’horizon 2030, ce qui compromettra la réalisation des objectifs et de la vision à l’horizon 2050 (voir la figure 109 et l’encadré 58).</w:t>
      </w:r>
    </w:p>
    <w:p w14:paraId="20A272E4" w14:textId="77777777" w:rsidR="007A60EC" w:rsidRPr="00653BF4" w:rsidRDefault="007A60EC" w:rsidP="007A60EC">
      <w:pPr>
        <w:pStyle w:val="CBDNormalNoNumber"/>
        <w:rPr>
          <w:rFonts w:eastAsia="Times New Roman"/>
          <w:lang w:val="fr-FR"/>
        </w:rPr>
      </w:pPr>
    </w:p>
    <w:p w14:paraId="131E6408" w14:textId="77777777" w:rsidR="007A60EC" w:rsidRPr="00653BF4" w:rsidRDefault="007A60EC" w:rsidP="007A60EC">
      <w:pPr>
        <w:spacing w:line="276" w:lineRule="auto"/>
        <w:rPr>
          <w:color w:val="0E2841" w:themeColor="text2"/>
          <w:sz w:val="20"/>
          <w:szCs w:val="20"/>
          <w:lang w:val="fr-FR"/>
        </w:rPr>
      </w:pPr>
      <w:r w:rsidRPr="00653BF4">
        <w:rPr>
          <w:rFonts w:eastAsia="Times New Roman"/>
          <w:lang w:val="fr-FR"/>
        </w:rPr>
        <w:br w:type="page"/>
      </w:r>
      <w:bookmarkStart w:id="553" w:name="_Ref235609008"/>
      <w:r w:rsidRPr="00653BF4">
        <w:rPr>
          <w:color w:val="0E2841" w:themeColor="text2"/>
          <w:sz w:val="20"/>
          <w:szCs w:val="20"/>
          <w:lang w:val="fr-FR"/>
        </w:rPr>
        <w:lastRenderedPageBreak/>
        <w:t xml:space="preserve">Tableau </w:t>
      </w:r>
      <w:bookmarkEnd w:id="553"/>
      <w:r w:rsidRPr="00653BF4">
        <w:rPr>
          <w:noProof/>
          <w:color w:val="0E2841" w:themeColor="text2"/>
          <w:sz w:val="20"/>
          <w:szCs w:val="20"/>
          <w:lang w:val="fr-FR"/>
        </w:rPr>
        <w:t>56</w:t>
      </w:r>
    </w:p>
    <w:p w14:paraId="0FF03A29" w14:textId="77777777" w:rsidR="007A60EC" w:rsidRPr="00653BF4" w:rsidRDefault="007A60EC" w:rsidP="007A60EC">
      <w:pPr>
        <w:spacing w:line="276" w:lineRule="auto"/>
        <w:rPr>
          <w:color w:val="0E2841" w:themeColor="text2"/>
          <w:sz w:val="20"/>
          <w:szCs w:val="20"/>
          <w:lang w:val="fr-FR"/>
        </w:rPr>
      </w:pPr>
      <w:r w:rsidRPr="00653BF4">
        <w:rPr>
          <w:b/>
          <w:color w:val="0E2841" w:themeColor="text2"/>
          <w:sz w:val="20"/>
          <w:szCs w:val="20"/>
          <w:lang w:val="fr-FR"/>
        </w:rPr>
        <w:t>Tableau de bord des progrès collectifs accomplis vers chacune des cibles du Cadre</w:t>
      </w:r>
      <w:r w:rsidRPr="00653BF4">
        <w:rPr>
          <w:bCs/>
          <w:color w:val="0E2841" w:themeColor="text2"/>
          <w:sz w:val="20"/>
          <w:szCs w:val="20"/>
          <w:lang w:val="fr-FR"/>
        </w:rPr>
        <w:t xml:space="preserve"> </w:t>
      </w:r>
    </w:p>
    <w:p w14:paraId="0DF3F3AA" w14:textId="77777777" w:rsidR="007A60EC" w:rsidRPr="00653BF4" w:rsidRDefault="007A60EC" w:rsidP="007A60EC">
      <w:pPr>
        <w:spacing w:line="276" w:lineRule="auto"/>
        <w:rPr>
          <w:bCs/>
          <w:i/>
          <w:iCs/>
          <w:color w:val="0E2841" w:themeColor="text2"/>
          <w:sz w:val="18"/>
          <w:szCs w:val="18"/>
          <w:lang w:val="fr-FR"/>
        </w:rPr>
      </w:pPr>
    </w:p>
    <w:tbl>
      <w:tblPr>
        <w:tblW w:w="9634" w:type="dxa"/>
        <w:tblBorders>
          <w:top w:val="single" w:sz="4" w:space="0" w:color="auto"/>
          <w:bottom w:val="single" w:sz="4" w:space="0" w:color="auto"/>
        </w:tblBorders>
        <w:tblLook w:val="04A0" w:firstRow="1" w:lastRow="0" w:firstColumn="1" w:lastColumn="0" w:noHBand="0" w:noVBand="1"/>
      </w:tblPr>
      <w:tblGrid>
        <w:gridCol w:w="1080"/>
        <w:gridCol w:w="635"/>
        <w:gridCol w:w="663"/>
        <w:gridCol w:w="630"/>
        <w:gridCol w:w="687"/>
        <w:gridCol w:w="875"/>
        <w:gridCol w:w="5064"/>
      </w:tblGrid>
      <w:tr w:rsidR="007A60EC" w:rsidRPr="00653BF4" w14:paraId="4473C808" w14:textId="77777777" w:rsidTr="00557FB3">
        <w:trPr>
          <w:trHeight w:val="558"/>
        </w:trPr>
        <w:tc>
          <w:tcPr>
            <w:tcW w:w="1080" w:type="dxa"/>
            <w:tcBorders>
              <w:top w:val="single" w:sz="4" w:space="0" w:color="auto"/>
              <w:bottom w:val="single" w:sz="4" w:space="0" w:color="auto"/>
            </w:tcBorders>
            <w:shd w:val="clear" w:color="auto" w:fill="FFFFFF" w:themeFill="background1"/>
            <w:noWrap/>
            <w:vAlign w:val="center"/>
          </w:tcPr>
          <w:p w14:paraId="62D78025" w14:textId="77777777" w:rsidR="007A60EC" w:rsidRPr="00653BF4" w:rsidRDefault="007A60EC" w:rsidP="00557FB3">
            <w:pPr>
              <w:jc w:val="center"/>
              <w:rPr>
                <w:rFonts w:ascii="Calibri" w:eastAsia="Times New Roman" w:hAnsi="Calibri" w:cs="Calibri"/>
                <w:i/>
                <w:iCs/>
                <w:color w:val="000000"/>
                <w:lang w:val="fr-FR"/>
              </w:rPr>
            </w:pPr>
            <w:r w:rsidRPr="00653BF4">
              <w:rPr>
                <w:rFonts w:ascii="Aptos" w:eastAsia="Times New Roman" w:hAnsi="Aptos" w:cs="Aptos"/>
                <w:i/>
                <w:iCs/>
                <w:color w:val="000000"/>
                <w:sz w:val="20"/>
                <w:szCs w:val="20"/>
                <w:lang w:val="fr-FR"/>
              </w:rPr>
              <w:t>Cible</w:t>
            </w:r>
          </w:p>
        </w:tc>
        <w:tc>
          <w:tcPr>
            <w:tcW w:w="633" w:type="dxa"/>
            <w:tcBorders>
              <w:top w:val="single" w:sz="4" w:space="0" w:color="auto"/>
              <w:bottom w:val="single" w:sz="4" w:space="0" w:color="auto"/>
            </w:tcBorders>
            <w:shd w:val="clear" w:color="auto" w:fill="FFFFFF" w:themeFill="background1"/>
            <w:noWrap/>
            <w:vAlign w:val="center"/>
          </w:tcPr>
          <w:p w14:paraId="005BFEE9" w14:textId="77777777" w:rsidR="007A60EC" w:rsidRPr="00653BF4" w:rsidRDefault="007A60EC" w:rsidP="00557FB3">
            <w:pPr>
              <w:jc w:val="center"/>
              <w:rPr>
                <w:rFonts w:ascii="Calibri" w:eastAsia="Times New Roman" w:hAnsi="Calibri" w:cs="Calibri"/>
                <w:i/>
                <w:iCs/>
                <w:color w:val="000000"/>
                <w:lang w:val="fr-FR"/>
              </w:rPr>
            </w:pPr>
            <w:r w:rsidRPr="00653BF4">
              <w:rPr>
                <w:rFonts w:ascii="Aptos" w:eastAsia="Times New Roman" w:hAnsi="Aptos" w:cs="Aptos"/>
                <w:i/>
                <w:iCs/>
                <w:color w:val="000000" w:themeColor="text1"/>
                <w:sz w:val="20"/>
                <w:szCs w:val="20"/>
                <w:lang w:val="fr-FR"/>
              </w:rPr>
              <w:t>1</w:t>
            </w:r>
          </w:p>
        </w:tc>
        <w:tc>
          <w:tcPr>
            <w:tcW w:w="663" w:type="dxa"/>
            <w:tcBorders>
              <w:top w:val="single" w:sz="4" w:space="0" w:color="auto"/>
              <w:bottom w:val="single" w:sz="4" w:space="0" w:color="auto"/>
            </w:tcBorders>
            <w:shd w:val="clear" w:color="auto" w:fill="FFFFFF" w:themeFill="background1"/>
            <w:noWrap/>
            <w:vAlign w:val="center"/>
          </w:tcPr>
          <w:p w14:paraId="644EE099" w14:textId="77777777" w:rsidR="007A60EC" w:rsidRPr="00653BF4" w:rsidRDefault="007A60EC" w:rsidP="00557FB3">
            <w:pPr>
              <w:jc w:val="center"/>
              <w:rPr>
                <w:rFonts w:ascii="Calibri" w:eastAsia="Times New Roman" w:hAnsi="Calibri" w:cs="Calibri"/>
                <w:i/>
                <w:iCs/>
                <w:color w:val="000000"/>
                <w:lang w:val="fr-FR"/>
              </w:rPr>
            </w:pPr>
            <w:r w:rsidRPr="00653BF4">
              <w:rPr>
                <w:rFonts w:ascii="Aptos" w:eastAsia="Times New Roman" w:hAnsi="Aptos" w:cs="Aptos"/>
                <w:i/>
                <w:iCs/>
                <w:color w:val="000000"/>
                <w:sz w:val="20"/>
                <w:szCs w:val="20"/>
                <w:lang w:val="fr-FR"/>
              </w:rPr>
              <w:t>2</w:t>
            </w:r>
          </w:p>
        </w:tc>
        <w:tc>
          <w:tcPr>
            <w:tcW w:w="630" w:type="dxa"/>
            <w:tcBorders>
              <w:top w:val="single" w:sz="4" w:space="0" w:color="auto"/>
              <w:bottom w:val="single" w:sz="4" w:space="0" w:color="auto"/>
            </w:tcBorders>
            <w:shd w:val="clear" w:color="auto" w:fill="FFFFFF" w:themeFill="background1"/>
            <w:noWrap/>
            <w:vAlign w:val="center"/>
          </w:tcPr>
          <w:p w14:paraId="410B3103" w14:textId="77777777" w:rsidR="007A60EC" w:rsidRPr="00653BF4" w:rsidRDefault="007A60EC" w:rsidP="00557FB3">
            <w:pPr>
              <w:jc w:val="center"/>
              <w:rPr>
                <w:rFonts w:ascii="Calibri" w:eastAsia="Times New Roman" w:hAnsi="Calibri" w:cs="Calibri"/>
                <w:i/>
                <w:iCs/>
                <w:lang w:val="fr-FR"/>
              </w:rPr>
            </w:pPr>
            <w:r w:rsidRPr="00653BF4">
              <w:rPr>
                <w:rFonts w:ascii="Aptos" w:eastAsia="Times New Roman" w:hAnsi="Aptos" w:cs="Aptos"/>
                <w:i/>
                <w:iCs/>
                <w:sz w:val="20"/>
                <w:szCs w:val="20"/>
                <w:lang w:val="fr-FR"/>
              </w:rPr>
              <w:t>3</w:t>
            </w:r>
          </w:p>
        </w:tc>
        <w:tc>
          <w:tcPr>
            <w:tcW w:w="687" w:type="dxa"/>
            <w:tcBorders>
              <w:top w:val="single" w:sz="4" w:space="0" w:color="auto"/>
              <w:bottom w:val="single" w:sz="4" w:space="0" w:color="auto"/>
            </w:tcBorders>
            <w:shd w:val="clear" w:color="auto" w:fill="FFFFFF" w:themeFill="background1"/>
            <w:noWrap/>
            <w:vAlign w:val="center"/>
          </w:tcPr>
          <w:p w14:paraId="656429BD" w14:textId="77777777" w:rsidR="007A60EC" w:rsidRPr="00653BF4" w:rsidRDefault="007A60EC" w:rsidP="00557FB3">
            <w:pPr>
              <w:jc w:val="center"/>
              <w:rPr>
                <w:rFonts w:ascii="Calibri" w:eastAsia="Times New Roman" w:hAnsi="Calibri" w:cs="Calibri"/>
                <w:i/>
                <w:iCs/>
                <w:color w:val="000000"/>
                <w:lang w:val="fr-FR"/>
              </w:rPr>
            </w:pPr>
            <w:r w:rsidRPr="00653BF4">
              <w:rPr>
                <w:rFonts w:ascii="Aptos" w:eastAsia="Times New Roman" w:hAnsi="Aptos" w:cs="Aptos"/>
                <w:i/>
                <w:iCs/>
                <w:color w:val="000000" w:themeColor="text1"/>
                <w:sz w:val="20"/>
                <w:szCs w:val="20"/>
                <w:lang w:val="fr-FR"/>
              </w:rPr>
              <w:t>4</w:t>
            </w:r>
          </w:p>
        </w:tc>
        <w:tc>
          <w:tcPr>
            <w:tcW w:w="875" w:type="dxa"/>
            <w:tcBorders>
              <w:top w:val="single" w:sz="4" w:space="0" w:color="auto"/>
              <w:bottom w:val="single" w:sz="4" w:space="0" w:color="auto"/>
            </w:tcBorders>
            <w:noWrap/>
            <w:vAlign w:val="center"/>
          </w:tcPr>
          <w:p w14:paraId="4EA215D8" w14:textId="77777777" w:rsidR="007A60EC" w:rsidRPr="00653BF4" w:rsidRDefault="007A60EC" w:rsidP="00557FB3">
            <w:pPr>
              <w:jc w:val="center"/>
              <w:rPr>
                <w:rFonts w:ascii="Calibri" w:eastAsia="Times New Roman" w:hAnsi="Calibri" w:cs="Calibri"/>
                <w:i/>
                <w:iCs/>
                <w:color w:val="000000"/>
                <w:lang w:val="fr-FR"/>
              </w:rPr>
            </w:pPr>
            <w:r w:rsidRPr="00653BF4">
              <w:rPr>
                <w:rFonts w:ascii="Aptos" w:eastAsia="Times New Roman" w:hAnsi="Aptos" w:cs="Aptos"/>
                <w:i/>
                <w:iCs/>
                <w:color w:val="000000"/>
                <w:sz w:val="20"/>
                <w:szCs w:val="20"/>
                <w:lang w:val="fr-FR"/>
              </w:rPr>
              <w:t>Note globale</w:t>
            </w:r>
          </w:p>
        </w:tc>
        <w:tc>
          <w:tcPr>
            <w:tcW w:w="5066" w:type="dxa"/>
            <w:tcBorders>
              <w:top w:val="single" w:sz="4" w:space="0" w:color="auto"/>
              <w:bottom w:val="single" w:sz="4" w:space="0" w:color="auto"/>
            </w:tcBorders>
            <w:vAlign w:val="center"/>
          </w:tcPr>
          <w:p w14:paraId="3B2CE5AC" w14:textId="77777777" w:rsidR="007A60EC" w:rsidRPr="00653BF4" w:rsidRDefault="007A60EC" w:rsidP="00557FB3">
            <w:pPr>
              <w:jc w:val="center"/>
              <w:rPr>
                <w:rFonts w:ascii="Calibri" w:eastAsia="Times New Roman" w:hAnsi="Calibri" w:cs="Calibri"/>
                <w:i/>
                <w:iCs/>
                <w:color w:val="000000"/>
                <w:sz w:val="20"/>
                <w:szCs w:val="20"/>
                <w:lang w:val="fr-FR"/>
              </w:rPr>
            </w:pPr>
            <w:r w:rsidRPr="00653BF4">
              <w:rPr>
                <w:rFonts w:ascii="Aptos" w:eastAsia="Times New Roman" w:hAnsi="Aptos" w:cs="Aptos"/>
                <w:i/>
                <w:iCs/>
                <w:color w:val="000000"/>
                <w:sz w:val="20"/>
                <w:szCs w:val="20"/>
                <w:lang w:val="fr-FR"/>
              </w:rPr>
              <w:t>Description sommaire des progrès</w:t>
            </w:r>
          </w:p>
        </w:tc>
      </w:tr>
      <w:tr w:rsidR="007A60EC" w:rsidRPr="00543148" w14:paraId="763150E0" w14:textId="77777777" w:rsidTr="00557FB3">
        <w:trPr>
          <w:trHeight w:val="3827"/>
        </w:trPr>
        <w:tc>
          <w:tcPr>
            <w:tcW w:w="1080" w:type="dxa"/>
            <w:tcBorders>
              <w:top w:val="single" w:sz="4" w:space="0" w:color="auto"/>
            </w:tcBorders>
            <w:shd w:val="clear" w:color="auto" w:fill="FFFFFF" w:themeFill="background1"/>
            <w:noWrap/>
            <w:vAlign w:val="center"/>
            <w:hideMark/>
          </w:tcPr>
          <w:p w14:paraId="28CDBEDD" w14:textId="4D8138CE"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t>Cible 1</w:t>
            </w:r>
          </w:p>
        </w:tc>
        <w:tc>
          <w:tcPr>
            <w:tcW w:w="633" w:type="dxa"/>
            <w:tcBorders>
              <w:top w:val="single" w:sz="4" w:space="0" w:color="auto"/>
            </w:tcBorders>
            <w:shd w:val="clear" w:color="auto" w:fill="FFFFFF" w:themeFill="background1"/>
            <w:noWrap/>
            <w:vAlign w:val="center"/>
            <w:hideMark/>
          </w:tcPr>
          <w:p w14:paraId="781FE399" w14:textId="77777777" w:rsidR="007A60EC" w:rsidRPr="00653BF4" w:rsidRDefault="007A60EC" w:rsidP="00557FB3">
            <w:pPr>
              <w:jc w:val="center"/>
              <w:rPr>
                <w:rFonts w:ascii="Calibri" w:hAnsi="Calibri" w:cs="Calibri"/>
                <w:color w:val="C00000"/>
                <w:sz w:val="52"/>
                <w:szCs w:val="52"/>
                <w:lang w:val="fr-FR"/>
              </w:rPr>
            </w:pPr>
            <w:r w:rsidRPr="00653BF4">
              <w:rPr>
                <w:rFonts w:ascii="Symbol" w:eastAsia="Symbol" w:hAnsi="Symbol" w:cs="Symbol"/>
                <w:color w:val="C00000"/>
                <w:sz w:val="20"/>
                <w:szCs w:val="20"/>
                <w:lang w:val="fr-FR"/>
              </w:rPr>
              <w:t>¨</w:t>
            </w:r>
          </w:p>
          <w:p w14:paraId="7A6B5113" w14:textId="77777777" w:rsidR="007A60EC" w:rsidRPr="00653BF4" w:rsidRDefault="007A60EC" w:rsidP="00557FB3">
            <w:pPr>
              <w:jc w:val="center"/>
              <w:rPr>
                <w:rFonts w:ascii="Calibri" w:eastAsia="Times New Roman" w:hAnsi="Calibri" w:cs="Calibri"/>
                <w:color w:val="000000"/>
                <w:lang w:val="fr-FR"/>
              </w:rPr>
            </w:pPr>
            <w:r w:rsidRPr="00653BF4">
              <w:rPr>
                <w:rFonts w:ascii="Calibri" w:hAnsi="Calibri" w:cs="Calibri"/>
                <w:color w:val="000000"/>
                <w:sz w:val="20"/>
                <w:szCs w:val="20"/>
                <w:lang w:val="fr-FR"/>
              </w:rPr>
              <w:t>47 %</w:t>
            </w:r>
          </w:p>
        </w:tc>
        <w:tc>
          <w:tcPr>
            <w:tcW w:w="663" w:type="dxa"/>
            <w:tcBorders>
              <w:top w:val="single" w:sz="4" w:space="0" w:color="auto"/>
            </w:tcBorders>
            <w:shd w:val="clear" w:color="auto" w:fill="FFFFFF" w:themeFill="background1"/>
            <w:noWrap/>
            <w:vAlign w:val="center"/>
            <w:hideMark/>
          </w:tcPr>
          <w:p w14:paraId="021246B5"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122F4A86" w14:textId="77777777" w:rsidR="007A60EC" w:rsidRPr="00653BF4" w:rsidRDefault="007A60EC" w:rsidP="00557FB3">
            <w:pPr>
              <w:jc w:val="center"/>
              <w:rPr>
                <w:rFonts w:ascii="Calibri" w:eastAsia="Times New Roman" w:hAnsi="Calibri" w:cs="Calibri"/>
                <w:color w:val="000000"/>
                <w:lang w:val="fr-FR"/>
              </w:rPr>
            </w:pPr>
            <w:r w:rsidRPr="00653BF4">
              <w:rPr>
                <w:rFonts w:ascii="Calibri" w:hAnsi="Calibri" w:cs="Calibri"/>
                <w:color w:val="000000"/>
                <w:sz w:val="20"/>
                <w:szCs w:val="20"/>
                <w:lang w:val="fr-FR"/>
              </w:rPr>
              <w:t>49 %</w:t>
            </w:r>
          </w:p>
        </w:tc>
        <w:tc>
          <w:tcPr>
            <w:tcW w:w="630" w:type="dxa"/>
            <w:tcBorders>
              <w:top w:val="single" w:sz="4" w:space="0" w:color="auto"/>
            </w:tcBorders>
            <w:shd w:val="clear" w:color="auto" w:fill="FFFFFF" w:themeFill="background1"/>
            <w:noWrap/>
            <w:vAlign w:val="center"/>
            <w:hideMark/>
          </w:tcPr>
          <w:p w14:paraId="3B4AB612"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3C37B4A5" w14:textId="77777777" w:rsidR="007A60EC" w:rsidRPr="00653BF4" w:rsidRDefault="007A60EC" w:rsidP="00557FB3">
            <w:pPr>
              <w:jc w:val="center"/>
              <w:rPr>
                <w:rFonts w:ascii="Calibri" w:eastAsia="Times New Roman" w:hAnsi="Calibri" w:cs="Calibri"/>
                <w:lang w:val="fr-FR"/>
              </w:rPr>
            </w:pPr>
            <w:r w:rsidRPr="00653BF4">
              <w:rPr>
                <w:rFonts w:ascii="Calibri" w:hAnsi="Calibri" w:cs="Calibri"/>
                <w:color w:val="000000"/>
                <w:sz w:val="20"/>
                <w:szCs w:val="20"/>
                <w:lang w:val="fr-FR"/>
              </w:rPr>
              <w:t>50 %</w:t>
            </w:r>
          </w:p>
        </w:tc>
        <w:tc>
          <w:tcPr>
            <w:tcW w:w="687" w:type="dxa"/>
            <w:tcBorders>
              <w:top w:val="single" w:sz="4" w:space="0" w:color="auto"/>
            </w:tcBorders>
            <w:shd w:val="clear" w:color="auto" w:fill="FFFFFF" w:themeFill="background1"/>
            <w:noWrap/>
            <w:vAlign w:val="center"/>
            <w:hideMark/>
          </w:tcPr>
          <w:p w14:paraId="4019EB31"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3D609B0E" w14:textId="77777777" w:rsidR="007A60EC" w:rsidRPr="00653BF4" w:rsidRDefault="007A60EC" w:rsidP="00557FB3">
            <w:pPr>
              <w:jc w:val="center"/>
              <w:rPr>
                <w:rFonts w:ascii="Calibri" w:eastAsia="Times New Roman" w:hAnsi="Calibri" w:cs="Calibri"/>
                <w:color w:val="000000"/>
                <w:lang w:val="fr-FR"/>
              </w:rPr>
            </w:pPr>
            <w:r w:rsidRPr="00653BF4">
              <w:rPr>
                <w:rFonts w:ascii="Calibri" w:hAnsi="Calibri" w:cs="Calibri"/>
                <w:color w:val="000000"/>
                <w:sz w:val="20"/>
                <w:szCs w:val="20"/>
                <w:lang w:val="fr-FR"/>
              </w:rPr>
              <w:t>44 %</w:t>
            </w:r>
          </w:p>
        </w:tc>
        <w:tc>
          <w:tcPr>
            <w:tcW w:w="875" w:type="dxa"/>
            <w:tcBorders>
              <w:top w:val="single" w:sz="4" w:space="0" w:color="auto"/>
            </w:tcBorders>
            <w:shd w:val="clear" w:color="auto" w:fill="FC8D59"/>
            <w:noWrap/>
            <w:vAlign w:val="center"/>
            <w:hideMark/>
          </w:tcPr>
          <w:p w14:paraId="3E294346"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0,25</w:t>
            </w:r>
          </w:p>
        </w:tc>
        <w:tc>
          <w:tcPr>
            <w:tcW w:w="5066" w:type="dxa"/>
            <w:tcBorders>
              <w:top w:val="single" w:sz="4" w:space="0" w:color="auto"/>
            </w:tcBorders>
            <w:vAlign w:val="center"/>
            <w:hideMark/>
          </w:tcPr>
          <w:p w14:paraId="5006B071" w14:textId="77777777"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Des progrès ont été accomplis dans l’élaboration d’approches de planification spatiale et de gestion respectueuses de la biodiversité, mais d’importantes lacunes subsistent dans l’intégration de la biodiversité aux processus de planification plus larges et dans la mise en œuvre participative. Les cibles nationales ne couvrent souvent pas pleinement ce que prévoit la cible en matière de planification intégrée et de participation, et la mise en œuvre reste très en deçà de ce qui serait nécessaire pour que toutes les zones fassent l’objet d’une planification spatiale respectueuse de la biodiversité, pour réduire au minimum la perte de zones de grande importance pour la biodiversité et pour garantir des processus intégrés et participatifs. Les Parties ont du mal à améliorer la participation des parties prenantes et des détenteurs de droits, à étendre la mise en œuvre au-delà des zones protégées et à assurer l’intégration entre les secteurs.</w:t>
            </w:r>
          </w:p>
          <w:p w14:paraId="2BABBAFD" w14:textId="77777777" w:rsidR="007A60EC" w:rsidRPr="00653BF4" w:rsidRDefault="007A60EC" w:rsidP="00557FB3">
            <w:pPr>
              <w:rPr>
                <w:rFonts w:ascii="Calibri" w:eastAsia="Times New Roman" w:hAnsi="Calibri" w:cs="Calibri"/>
                <w:color w:val="000000"/>
                <w:sz w:val="20"/>
                <w:szCs w:val="20"/>
                <w:lang w:val="fr-FR"/>
              </w:rPr>
            </w:pPr>
          </w:p>
        </w:tc>
      </w:tr>
      <w:tr w:rsidR="007A60EC" w:rsidRPr="00543148" w14:paraId="33F10790" w14:textId="77777777" w:rsidTr="00557FB3">
        <w:trPr>
          <w:trHeight w:val="3828"/>
        </w:trPr>
        <w:tc>
          <w:tcPr>
            <w:tcW w:w="1080" w:type="dxa"/>
            <w:shd w:val="clear" w:color="auto" w:fill="FFFFFF" w:themeFill="background1"/>
            <w:noWrap/>
            <w:vAlign w:val="center"/>
            <w:hideMark/>
          </w:tcPr>
          <w:p w14:paraId="5CF8A0D4" w14:textId="56A2E1A3"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t>Cible 2</w:t>
            </w:r>
          </w:p>
        </w:tc>
        <w:tc>
          <w:tcPr>
            <w:tcW w:w="633" w:type="dxa"/>
            <w:shd w:val="clear" w:color="auto" w:fill="FFFFFF" w:themeFill="background1"/>
            <w:noWrap/>
            <w:vAlign w:val="center"/>
            <w:hideMark/>
          </w:tcPr>
          <w:p w14:paraId="493EBDCE"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07046B0B"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56 %</w:t>
            </w:r>
          </w:p>
        </w:tc>
        <w:tc>
          <w:tcPr>
            <w:tcW w:w="663" w:type="dxa"/>
            <w:shd w:val="clear" w:color="auto" w:fill="FFFFFF" w:themeFill="background1"/>
            <w:noWrap/>
            <w:vAlign w:val="center"/>
            <w:hideMark/>
          </w:tcPr>
          <w:p w14:paraId="4F8B4B5A"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2DD6AB0A"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46 %</w:t>
            </w:r>
          </w:p>
        </w:tc>
        <w:tc>
          <w:tcPr>
            <w:tcW w:w="630" w:type="dxa"/>
            <w:shd w:val="clear" w:color="auto" w:fill="FFFFFF" w:themeFill="background1"/>
            <w:noWrap/>
            <w:vAlign w:val="center"/>
            <w:hideMark/>
          </w:tcPr>
          <w:p w14:paraId="1F6C7554"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1EDDD110" w14:textId="77777777" w:rsidR="007A60EC" w:rsidRPr="00653BF4" w:rsidRDefault="007A60EC" w:rsidP="00557FB3">
            <w:pPr>
              <w:rPr>
                <w:rFonts w:ascii="Calibri" w:eastAsia="Times New Roman" w:hAnsi="Calibri" w:cs="Calibri"/>
                <w:lang w:val="fr-FR"/>
              </w:rPr>
            </w:pPr>
            <w:r w:rsidRPr="00653BF4">
              <w:rPr>
                <w:rFonts w:ascii="Calibri" w:hAnsi="Calibri" w:cs="Calibri"/>
                <w:color w:val="000000"/>
                <w:sz w:val="20"/>
                <w:szCs w:val="20"/>
                <w:lang w:val="fr-FR"/>
              </w:rPr>
              <w:t>50 %</w:t>
            </w:r>
          </w:p>
        </w:tc>
        <w:tc>
          <w:tcPr>
            <w:tcW w:w="687" w:type="dxa"/>
            <w:shd w:val="clear" w:color="auto" w:fill="FFFFFF" w:themeFill="background1"/>
            <w:noWrap/>
            <w:vAlign w:val="center"/>
            <w:hideMark/>
          </w:tcPr>
          <w:p w14:paraId="3EAA1978"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1E9FF573"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39 %</w:t>
            </w:r>
          </w:p>
        </w:tc>
        <w:tc>
          <w:tcPr>
            <w:tcW w:w="875" w:type="dxa"/>
            <w:shd w:val="clear" w:color="auto" w:fill="FEE08B"/>
            <w:noWrap/>
            <w:vAlign w:val="center"/>
            <w:hideMark/>
          </w:tcPr>
          <w:p w14:paraId="799802FB"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0,50</w:t>
            </w:r>
          </w:p>
        </w:tc>
        <w:tc>
          <w:tcPr>
            <w:tcW w:w="5066" w:type="dxa"/>
            <w:vAlign w:val="center"/>
            <w:hideMark/>
          </w:tcPr>
          <w:p w14:paraId="57B75EF4" w14:textId="2260C11E"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Les efforts de restauration s’intensifient, mais les engagements actuels portant sur la restauration de zones et leur mise en œuvre restent en deçà du niveau requis pour restaurer 30</w:t>
            </w:r>
            <w:r w:rsidR="002878D7">
              <w:rPr>
                <w:rFonts w:ascii="Aptos" w:eastAsia="Times New Roman" w:hAnsi="Aptos" w:cs="Aptos"/>
                <w:color w:val="000000"/>
                <w:sz w:val="20"/>
                <w:szCs w:val="20"/>
                <w:lang w:val="fr-FR"/>
              </w:rPr>
              <w:t> %</w:t>
            </w:r>
            <w:r w:rsidRPr="00653BF4">
              <w:rPr>
                <w:rFonts w:ascii="Aptos" w:eastAsia="Times New Roman" w:hAnsi="Aptos" w:cs="Aptos"/>
                <w:color w:val="000000"/>
                <w:sz w:val="20"/>
                <w:szCs w:val="20"/>
                <w:lang w:val="fr-FR"/>
              </w:rPr>
              <w:t xml:space="preserve"> des écosystèmes dégradés d’ici à 2030, et les progrès sont moindres dans les zones marines, côtières et d’eau douce que dans les zones terrestres. Les cibles nationales sont généralement bien alignées sur la </w:t>
            </w:r>
            <w:r w:rsidR="00E34DC9">
              <w:rPr>
                <w:rFonts w:ascii="Aptos" w:eastAsia="Times New Roman" w:hAnsi="Aptos" w:cs="Aptos"/>
                <w:color w:val="000000"/>
                <w:sz w:val="20"/>
                <w:szCs w:val="20"/>
                <w:lang w:val="fr-FR"/>
              </w:rPr>
              <w:t>cible 2</w:t>
            </w:r>
            <w:r w:rsidRPr="00653BF4">
              <w:rPr>
                <w:rFonts w:ascii="Aptos" w:eastAsia="Times New Roman" w:hAnsi="Aptos" w:cs="Aptos"/>
                <w:color w:val="000000"/>
                <w:sz w:val="20"/>
                <w:szCs w:val="20"/>
                <w:lang w:val="fr-FR"/>
              </w:rPr>
              <w:t xml:space="preserve">, même si elles manquent souvent d’éléments relatifs à l’efficacité des efforts de restauration. Le suivi des progrès est entravé par l’hétérogénéité des définitions et des méthodes utilisées pour évaluer la dégradation et la restauration des écosystèmes. Les difficultés de mise en œuvre et de suivi demeurent un obstacle majeur, qu’il faut surmonter en assurant une fourniture accrue et fiable de ressources pour la restauration. </w:t>
            </w:r>
          </w:p>
          <w:p w14:paraId="30C29593" w14:textId="77777777" w:rsidR="007A60EC" w:rsidRPr="00653BF4" w:rsidRDefault="007A60EC" w:rsidP="00557FB3">
            <w:pPr>
              <w:rPr>
                <w:rFonts w:ascii="Calibri" w:eastAsia="Times New Roman" w:hAnsi="Calibri" w:cs="Calibri"/>
                <w:color w:val="000000"/>
                <w:sz w:val="20"/>
                <w:szCs w:val="20"/>
                <w:lang w:val="fr-FR"/>
              </w:rPr>
            </w:pPr>
          </w:p>
        </w:tc>
      </w:tr>
      <w:tr w:rsidR="007A60EC" w:rsidRPr="00543148" w14:paraId="7FBFBF7A" w14:textId="77777777" w:rsidTr="00557FB3">
        <w:trPr>
          <w:trHeight w:val="1408"/>
        </w:trPr>
        <w:tc>
          <w:tcPr>
            <w:tcW w:w="1080" w:type="dxa"/>
            <w:shd w:val="clear" w:color="auto" w:fill="FFFFFF" w:themeFill="background1"/>
            <w:noWrap/>
            <w:vAlign w:val="center"/>
            <w:hideMark/>
          </w:tcPr>
          <w:p w14:paraId="40BBED03" w14:textId="073BDFF6"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lastRenderedPageBreak/>
              <w:t>Cible 3</w:t>
            </w:r>
          </w:p>
        </w:tc>
        <w:tc>
          <w:tcPr>
            <w:tcW w:w="633" w:type="dxa"/>
            <w:shd w:val="clear" w:color="auto" w:fill="FFFFFF" w:themeFill="background1"/>
            <w:noWrap/>
            <w:vAlign w:val="center"/>
            <w:hideMark/>
          </w:tcPr>
          <w:p w14:paraId="048073CB"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4EE6F535"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48 %</w:t>
            </w:r>
          </w:p>
        </w:tc>
        <w:tc>
          <w:tcPr>
            <w:tcW w:w="663" w:type="dxa"/>
            <w:shd w:val="clear" w:color="auto" w:fill="FFFFFF" w:themeFill="background1"/>
            <w:noWrap/>
            <w:vAlign w:val="center"/>
            <w:hideMark/>
          </w:tcPr>
          <w:p w14:paraId="0D59D084"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49A11EC3"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50 %</w:t>
            </w:r>
          </w:p>
        </w:tc>
        <w:tc>
          <w:tcPr>
            <w:tcW w:w="630" w:type="dxa"/>
            <w:shd w:val="clear" w:color="auto" w:fill="FFFFFF" w:themeFill="background1"/>
            <w:noWrap/>
            <w:vAlign w:val="center"/>
            <w:hideMark/>
          </w:tcPr>
          <w:p w14:paraId="4525EB44"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5ABF7408" w14:textId="77777777" w:rsidR="007A60EC" w:rsidRPr="00653BF4" w:rsidRDefault="007A60EC" w:rsidP="00557FB3">
            <w:pPr>
              <w:rPr>
                <w:rFonts w:ascii="Calibri" w:eastAsia="Times New Roman" w:hAnsi="Calibri" w:cs="Calibri"/>
                <w:lang w:val="fr-FR"/>
              </w:rPr>
            </w:pPr>
            <w:r w:rsidRPr="00653BF4">
              <w:rPr>
                <w:rFonts w:ascii="Calibri" w:hAnsi="Calibri" w:cs="Calibri"/>
                <w:color w:val="000000"/>
                <w:sz w:val="20"/>
                <w:szCs w:val="20"/>
                <w:lang w:val="fr-FR"/>
              </w:rPr>
              <w:t>25 %</w:t>
            </w:r>
          </w:p>
        </w:tc>
        <w:tc>
          <w:tcPr>
            <w:tcW w:w="687" w:type="dxa"/>
            <w:shd w:val="clear" w:color="auto" w:fill="FFFFFF" w:themeFill="background1"/>
            <w:noWrap/>
            <w:vAlign w:val="center"/>
            <w:hideMark/>
          </w:tcPr>
          <w:p w14:paraId="7DD3390F"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2B40F2B4"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65 %</w:t>
            </w:r>
          </w:p>
        </w:tc>
        <w:tc>
          <w:tcPr>
            <w:tcW w:w="875" w:type="dxa"/>
            <w:shd w:val="clear" w:color="auto" w:fill="FC8D59"/>
            <w:noWrap/>
            <w:vAlign w:val="center"/>
            <w:hideMark/>
          </w:tcPr>
          <w:p w14:paraId="75ABBFC6"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0,38</w:t>
            </w:r>
          </w:p>
        </w:tc>
        <w:tc>
          <w:tcPr>
            <w:tcW w:w="5066" w:type="dxa"/>
            <w:vAlign w:val="center"/>
            <w:hideMark/>
          </w:tcPr>
          <w:p w14:paraId="58E90DB5" w14:textId="239B6207"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themeColor="text1"/>
                <w:sz w:val="20"/>
                <w:szCs w:val="20"/>
                <w:lang w:val="fr-FR"/>
              </w:rPr>
              <w:t xml:space="preserve">Les Parties continuent de progresser dans l’extension et la gestion des zones protégées, en particulier pour les zones marines et côtières, mais l’ambition et la mise en œuvre actuelles restent insuffisantes pour que tous les aspects de la </w:t>
            </w:r>
            <w:r w:rsidR="00E34DC9">
              <w:rPr>
                <w:rFonts w:ascii="Aptos" w:eastAsia="Times New Roman" w:hAnsi="Aptos" w:cs="Aptos"/>
                <w:color w:val="000000" w:themeColor="text1"/>
                <w:sz w:val="20"/>
                <w:szCs w:val="20"/>
                <w:lang w:val="fr-FR"/>
              </w:rPr>
              <w:t>cible 3</w:t>
            </w:r>
            <w:r w:rsidRPr="00653BF4">
              <w:rPr>
                <w:rFonts w:ascii="Aptos" w:eastAsia="Times New Roman" w:hAnsi="Aptos" w:cs="Aptos"/>
                <w:color w:val="000000" w:themeColor="text1"/>
                <w:sz w:val="20"/>
                <w:szCs w:val="20"/>
                <w:lang w:val="fr-FR"/>
              </w:rPr>
              <w:t xml:space="preserve"> soient pleinement réalisés. Elles progressent également dans la désignation de zones terrestres et d’eaux intérieures ainsi que de zones marines et côtières en vue d’assurer une conservation et une gestion efficaces, et en sont à un stade précoce de la mise en œuvre et du suivi des autres mesures efficaces de conservation par zone. Des limites méthodologiques entravent néanmoins l’évaluation précise de ces progrès. Les cibles nationales sont toutefois moins bien alignées sur les aspects qualitatifs de la </w:t>
            </w:r>
            <w:r w:rsidR="00E34DC9">
              <w:rPr>
                <w:rFonts w:ascii="Aptos" w:eastAsia="Times New Roman" w:hAnsi="Aptos" w:cs="Aptos"/>
                <w:color w:val="000000" w:themeColor="text1"/>
                <w:sz w:val="20"/>
                <w:szCs w:val="20"/>
                <w:lang w:val="fr-FR"/>
              </w:rPr>
              <w:t>cible 3</w:t>
            </w:r>
            <w:r w:rsidRPr="00653BF4">
              <w:rPr>
                <w:rFonts w:ascii="Aptos" w:eastAsia="Times New Roman" w:hAnsi="Aptos" w:cs="Aptos"/>
                <w:color w:val="000000" w:themeColor="text1"/>
                <w:sz w:val="20"/>
                <w:szCs w:val="20"/>
                <w:lang w:val="fr-FR"/>
              </w:rPr>
              <w:t>, et le suivi de certains éléments de la cible et la communication d’informations à leur sujet restent limités, notamment pour ce qui est de la gouvernance équitable des zones protégées et des autres mesures efficaces de conservation par zone, de la reconnaissance des territoires autochtones et locaux et de l’intégration dans des paysages terrestres et marins plus vastes. Les Parties se heurtent à d’importantes difficultés de mise en œuvre, liées en particulier au manque de financement et de capacités.</w:t>
            </w:r>
          </w:p>
        </w:tc>
      </w:tr>
      <w:tr w:rsidR="007A60EC" w:rsidRPr="00543148" w14:paraId="6FC48199" w14:textId="77777777" w:rsidTr="00557FB3">
        <w:trPr>
          <w:trHeight w:val="851"/>
        </w:trPr>
        <w:tc>
          <w:tcPr>
            <w:tcW w:w="1080" w:type="dxa"/>
            <w:shd w:val="clear" w:color="auto" w:fill="FFFFFF" w:themeFill="background1"/>
            <w:noWrap/>
            <w:vAlign w:val="center"/>
            <w:hideMark/>
          </w:tcPr>
          <w:p w14:paraId="7A21ACA5" w14:textId="198BEDBD"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t>Cible 4</w:t>
            </w:r>
          </w:p>
        </w:tc>
        <w:tc>
          <w:tcPr>
            <w:tcW w:w="633" w:type="dxa"/>
            <w:shd w:val="clear" w:color="auto" w:fill="FFFFFF" w:themeFill="background1"/>
            <w:noWrap/>
            <w:vAlign w:val="center"/>
            <w:hideMark/>
          </w:tcPr>
          <w:p w14:paraId="78E9238F"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23061B43"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70 %</w:t>
            </w:r>
          </w:p>
        </w:tc>
        <w:tc>
          <w:tcPr>
            <w:tcW w:w="663" w:type="dxa"/>
            <w:shd w:val="clear" w:color="auto" w:fill="FFFFFF" w:themeFill="background1"/>
            <w:noWrap/>
            <w:vAlign w:val="center"/>
            <w:hideMark/>
          </w:tcPr>
          <w:p w14:paraId="3C50ABFC"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7DE2C9CB"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36 %</w:t>
            </w:r>
          </w:p>
        </w:tc>
        <w:tc>
          <w:tcPr>
            <w:tcW w:w="630" w:type="dxa"/>
            <w:shd w:val="clear" w:color="auto" w:fill="FFFFFF" w:themeFill="background1"/>
            <w:noWrap/>
            <w:vAlign w:val="center"/>
            <w:hideMark/>
          </w:tcPr>
          <w:p w14:paraId="00647C7E"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2A08981C" w14:textId="77777777" w:rsidR="007A60EC" w:rsidRPr="00653BF4" w:rsidRDefault="007A60EC" w:rsidP="00557FB3">
            <w:pPr>
              <w:rPr>
                <w:rFonts w:ascii="Calibri" w:eastAsia="Times New Roman" w:hAnsi="Calibri" w:cs="Calibri"/>
                <w:lang w:val="fr-FR"/>
              </w:rPr>
            </w:pPr>
            <w:r w:rsidRPr="00653BF4">
              <w:rPr>
                <w:rFonts w:ascii="Calibri" w:hAnsi="Calibri" w:cs="Calibri"/>
                <w:color w:val="000000"/>
                <w:sz w:val="20"/>
                <w:szCs w:val="20"/>
                <w:lang w:val="fr-FR"/>
              </w:rPr>
              <w:t>0 %</w:t>
            </w:r>
          </w:p>
        </w:tc>
        <w:tc>
          <w:tcPr>
            <w:tcW w:w="687" w:type="dxa"/>
            <w:shd w:val="clear" w:color="auto" w:fill="FFFFFF" w:themeFill="background1"/>
            <w:noWrap/>
            <w:vAlign w:val="center"/>
            <w:hideMark/>
          </w:tcPr>
          <w:p w14:paraId="26C035B4"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36D8FFDA"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68 %</w:t>
            </w:r>
          </w:p>
        </w:tc>
        <w:tc>
          <w:tcPr>
            <w:tcW w:w="875" w:type="dxa"/>
            <w:shd w:val="clear" w:color="auto" w:fill="FC8D59"/>
            <w:noWrap/>
            <w:vAlign w:val="center"/>
            <w:hideMark/>
          </w:tcPr>
          <w:p w14:paraId="3DDC1048"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0,25</w:t>
            </w:r>
          </w:p>
        </w:tc>
        <w:tc>
          <w:tcPr>
            <w:tcW w:w="5066" w:type="dxa"/>
            <w:vAlign w:val="center"/>
            <w:hideMark/>
          </w:tcPr>
          <w:p w14:paraId="3E697BF0" w14:textId="77777777"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themeColor="text1"/>
                <w:sz w:val="20"/>
                <w:szCs w:val="20"/>
                <w:lang w:val="fr-FR"/>
              </w:rPr>
              <w:t>Les données disponibles indiquent que les espèces menacées subissent toujours des pressions et courent des risques d’extinction, mais l’évaluation des progrès collectifs demeure entravée par des capacités nationales de suivi inégales, une couverture taxonomique incomplète et des données limitées sur la diversité génétique. Si les cibles nationales portent généralement sur la conservation des espèces, elles tiennent moins compte du maintien et du rétablissement de la diversité génétique au sein des populations d’espèces domestiquées et entre elles, ainsi que de la gestion efficace des interactions entre l’être humain et la faune sauvage afin de réduire au minimum les conflits et de favoriser la coexistence. Le renforcement des programmes de rétablissement des espèces, l’extension des systèmes de suivi et la lutte contre les facteurs de déclin des espèces ont été jugés prioritaires.</w:t>
            </w:r>
          </w:p>
        </w:tc>
      </w:tr>
      <w:tr w:rsidR="007A60EC" w:rsidRPr="00543148" w14:paraId="487BB86C" w14:textId="77777777" w:rsidTr="00557FB3">
        <w:trPr>
          <w:trHeight w:val="4221"/>
        </w:trPr>
        <w:tc>
          <w:tcPr>
            <w:tcW w:w="1080" w:type="dxa"/>
            <w:shd w:val="clear" w:color="auto" w:fill="FFFFFF" w:themeFill="background1"/>
            <w:noWrap/>
            <w:vAlign w:val="center"/>
            <w:hideMark/>
          </w:tcPr>
          <w:p w14:paraId="60ACBB7F" w14:textId="6CAE32E9"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lastRenderedPageBreak/>
              <w:t>Cible 5</w:t>
            </w:r>
          </w:p>
        </w:tc>
        <w:tc>
          <w:tcPr>
            <w:tcW w:w="633" w:type="dxa"/>
            <w:shd w:val="clear" w:color="auto" w:fill="FFFFFF" w:themeFill="background1"/>
            <w:noWrap/>
            <w:vAlign w:val="center"/>
            <w:hideMark/>
          </w:tcPr>
          <w:p w14:paraId="5DA1ED26"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2813A7DE"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60 %</w:t>
            </w:r>
          </w:p>
        </w:tc>
        <w:tc>
          <w:tcPr>
            <w:tcW w:w="663" w:type="dxa"/>
            <w:shd w:val="clear" w:color="auto" w:fill="FFFFFF" w:themeFill="background1"/>
            <w:noWrap/>
            <w:vAlign w:val="center"/>
            <w:hideMark/>
          </w:tcPr>
          <w:p w14:paraId="151BBA0E"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63BD6CB9"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42 %</w:t>
            </w:r>
          </w:p>
        </w:tc>
        <w:tc>
          <w:tcPr>
            <w:tcW w:w="630" w:type="dxa"/>
            <w:shd w:val="clear" w:color="auto" w:fill="FFFFFF" w:themeFill="background1"/>
            <w:noWrap/>
            <w:vAlign w:val="center"/>
            <w:hideMark/>
          </w:tcPr>
          <w:p w14:paraId="7500D38A"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3BC04946" w14:textId="77777777" w:rsidR="007A60EC" w:rsidRPr="00653BF4" w:rsidRDefault="007A60EC" w:rsidP="00557FB3">
            <w:pPr>
              <w:rPr>
                <w:rFonts w:ascii="Calibri" w:eastAsia="Times New Roman" w:hAnsi="Calibri" w:cs="Calibri"/>
                <w:lang w:val="fr-FR"/>
              </w:rPr>
            </w:pPr>
            <w:r w:rsidRPr="00653BF4">
              <w:rPr>
                <w:rFonts w:ascii="Calibri" w:hAnsi="Calibri" w:cs="Calibri"/>
                <w:color w:val="000000"/>
                <w:sz w:val="20"/>
                <w:szCs w:val="20"/>
                <w:lang w:val="fr-FR"/>
              </w:rPr>
              <w:t>83 %</w:t>
            </w:r>
          </w:p>
        </w:tc>
        <w:tc>
          <w:tcPr>
            <w:tcW w:w="687" w:type="dxa"/>
            <w:shd w:val="clear" w:color="auto" w:fill="FFFFFF" w:themeFill="background1"/>
            <w:noWrap/>
            <w:vAlign w:val="center"/>
            <w:hideMark/>
          </w:tcPr>
          <w:p w14:paraId="5AC7CAE2"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3DBF32BE"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33 %</w:t>
            </w:r>
          </w:p>
        </w:tc>
        <w:tc>
          <w:tcPr>
            <w:tcW w:w="875" w:type="dxa"/>
            <w:shd w:val="clear" w:color="auto" w:fill="FEE08B"/>
            <w:noWrap/>
            <w:vAlign w:val="center"/>
            <w:hideMark/>
          </w:tcPr>
          <w:p w14:paraId="6B0A796A"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0,67</w:t>
            </w:r>
          </w:p>
        </w:tc>
        <w:tc>
          <w:tcPr>
            <w:tcW w:w="5066" w:type="dxa"/>
            <w:vAlign w:val="center"/>
            <w:hideMark/>
          </w:tcPr>
          <w:p w14:paraId="0BE0C1E9" w14:textId="77777777"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Des progrès sont accomplis dans le renforcement des cadres juridiques et politiques relatifs à l’utilisation et au commerce durables des espèces sauvages, mais les données sont insuffisantes pour évaluer les progrès collectifs concernant l’ensemble des éléments de la cible. Les progrès dont font état les Parties portent principalement sur le commerce réglementé et les pratiques de prélèvement durable, mais d’importantes lacunes dans les connaissances, le suivi et les capacités freinent la mise en œuvre et l’évaluation des pratiques de prélèvement durable. Les cibles nationales sont généralement alignées sur la plupart des aspects de la cible, à l’exception de la réduction du risque de propagation d’agents pathogènes. Des lacunes considérables sur le plan des connaissances, des données et de la technique entravent les progrès, et des contraintes juridiques, financières et administratives ainsi que le manque de capacités continuent de peser sur la mise en œuvre.</w:t>
            </w:r>
          </w:p>
        </w:tc>
      </w:tr>
      <w:tr w:rsidR="007A60EC" w:rsidRPr="00543148" w14:paraId="47308813" w14:textId="77777777" w:rsidTr="00557FB3">
        <w:trPr>
          <w:trHeight w:val="2340"/>
        </w:trPr>
        <w:tc>
          <w:tcPr>
            <w:tcW w:w="1080" w:type="dxa"/>
            <w:shd w:val="clear" w:color="auto" w:fill="FFFFFF" w:themeFill="background1"/>
            <w:noWrap/>
            <w:vAlign w:val="center"/>
            <w:hideMark/>
          </w:tcPr>
          <w:p w14:paraId="4D5EEA97" w14:textId="124ECD42"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t>Cible 6</w:t>
            </w:r>
          </w:p>
        </w:tc>
        <w:tc>
          <w:tcPr>
            <w:tcW w:w="633" w:type="dxa"/>
            <w:shd w:val="clear" w:color="auto" w:fill="FFFFFF" w:themeFill="background1"/>
            <w:noWrap/>
            <w:vAlign w:val="center"/>
            <w:hideMark/>
          </w:tcPr>
          <w:p w14:paraId="4D5A7726"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2299D3E8"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54 %</w:t>
            </w:r>
          </w:p>
        </w:tc>
        <w:tc>
          <w:tcPr>
            <w:tcW w:w="663" w:type="dxa"/>
            <w:shd w:val="clear" w:color="auto" w:fill="FFFFFF" w:themeFill="background1"/>
            <w:noWrap/>
            <w:vAlign w:val="center"/>
            <w:hideMark/>
          </w:tcPr>
          <w:p w14:paraId="026342BA"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35038C13"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32 %</w:t>
            </w:r>
          </w:p>
        </w:tc>
        <w:tc>
          <w:tcPr>
            <w:tcW w:w="630" w:type="dxa"/>
            <w:shd w:val="clear" w:color="auto" w:fill="FFFFFF" w:themeFill="background1"/>
            <w:noWrap/>
            <w:vAlign w:val="center"/>
            <w:hideMark/>
          </w:tcPr>
          <w:p w14:paraId="642178B7"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7320DDB8" w14:textId="77777777" w:rsidR="007A60EC" w:rsidRPr="00653BF4" w:rsidRDefault="007A60EC" w:rsidP="00557FB3">
            <w:pPr>
              <w:rPr>
                <w:rFonts w:ascii="Calibri" w:eastAsia="Times New Roman" w:hAnsi="Calibri" w:cs="Calibri"/>
                <w:lang w:val="fr-FR"/>
              </w:rPr>
            </w:pPr>
            <w:r w:rsidRPr="00653BF4">
              <w:rPr>
                <w:rFonts w:ascii="Calibri" w:hAnsi="Calibri" w:cs="Calibri"/>
                <w:color w:val="000000"/>
                <w:sz w:val="20"/>
                <w:szCs w:val="20"/>
                <w:lang w:val="fr-FR"/>
              </w:rPr>
              <w:t>67 %</w:t>
            </w:r>
          </w:p>
        </w:tc>
        <w:tc>
          <w:tcPr>
            <w:tcW w:w="687" w:type="dxa"/>
            <w:shd w:val="clear" w:color="auto" w:fill="FFFFFF" w:themeFill="background1"/>
            <w:noWrap/>
            <w:vAlign w:val="center"/>
            <w:hideMark/>
          </w:tcPr>
          <w:p w14:paraId="4EE6C27F"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05C05649"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27 %</w:t>
            </w:r>
          </w:p>
        </w:tc>
        <w:tc>
          <w:tcPr>
            <w:tcW w:w="875" w:type="dxa"/>
            <w:shd w:val="clear" w:color="auto" w:fill="FC8D59"/>
            <w:noWrap/>
            <w:vAlign w:val="center"/>
            <w:hideMark/>
          </w:tcPr>
          <w:p w14:paraId="3EBAE152"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0,33</w:t>
            </w:r>
          </w:p>
        </w:tc>
        <w:tc>
          <w:tcPr>
            <w:tcW w:w="5066" w:type="dxa"/>
            <w:vAlign w:val="center"/>
            <w:hideMark/>
          </w:tcPr>
          <w:p w14:paraId="2262E67A" w14:textId="08C48D77"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 xml:space="preserve">Les Parties prennent des mesures pour lutter contre les espèces exotiques envahissantes, mais les progrès restent difficiles à évaluer. La plupart des Parties indiquent qu’elles ne sont pas en voie d’atteindre les cibles nationales liées à la </w:t>
            </w:r>
            <w:r w:rsidR="00E34DC9">
              <w:rPr>
                <w:rFonts w:ascii="Aptos" w:eastAsia="Times New Roman" w:hAnsi="Aptos" w:cs="Aptos"/>
                <w:color w:val="000000"/>
                <w:sz w:val="20"/>
                <w:szCs w:val="20"/>
                <w:lang w:val="fr-FR"/>
              </w:rPr>
              <w:t>cible 6</w:t>
            </w:r>
            <w:r w:rsidRPr="00653BF4">
              <w:rPr>
                <w:rFonts w:ascii="Aptos" w:eastAsia="Times New Roman" w:hAnsi="Aptos" w:cs="Aptos"/>
                <w:color w:val="000000"/>
                <w:sz w:val="20"/>
                <w:szCs w:val="20"/>
                <w:lang w:val="fr-FR"/>
              </w:rPr>
              <w:t xml:space="preserve">. Dans l’ensemble, les cibles nationales ne couvrent pas explicitement toute la portée de la cible, et seule une minorité de Parties ont fixé des cibles nationales comportant des éléments quantitatifs correspondant à l’ambition mondiale de la </w:t>
            </w:r>
            <w:r w:rsidR="00E34DC9">
              <w:rPr>
                <w:rFonts w:ascii="Aptos" w:eastAsia="Times New Roman" w:hAnsi="Aptos" w:cs="Aptos"/>
                <w:color w:val="000000"/>
                <w:sz w:val="20"/>
                <w:szCs w:val="20"/>
                <w:lang w:val="fr-FR"/>
              </w:rPr>
              <w:t>cible 6</w:t>
            </w:r>
            <w:r w:rsidRPr="00653BF4">
              <w:rPr>
                <w:rFonts w:ascii="Aptos" w:eastAsia="Times New Roman" w:hAnsi="Aptos" w:cs="Aptos"/>
                <w:color w:val="000000"/>
                <w:sz w:val="20"/>
                <w:szCs w:val="20"/>
                <w:lang w:val="fr-FR"/>
              </w:rPr>
              <w:t>. Les Parties relèvent en outre des difficultés liées au suivi, telles que le manque de données de référence et la faible capacité de détection des espèces exotiques envahissantes. Bien que les Parties aient fait état de mesures importantes prises pour atteindre la cible, il n’est pas encore possible de déterminer les effets à long terme de ces efforts sur l’établissement des espèces exotiques envahissantes ou sur leurs incidences. Les mesures de biosécurité rigoureuses axées sur la prévention comptent parmi les actions efficaces, mais elles restent peu appliquées dans les Parties, du fait des différences de capacités et de contextes nationaux.</w:t>
            </w:r>
          </w:p>
        </w:tc>
      </w:tr>
      <w:tr w:rsidR="007A60EC" w:rsidRPr="00543148" w14:paraId="1B240670" w14:textId="77777777" w:rsidTr="00557FB3">
        <w:trPr>
          <w:trHeight w:val="3392"/>
        </w:trPr>
        <w:tc>
          <w:tcPr>
            <w:tcW w:w="1080" w:type="dxa"/>
            <w:shd w:val="clear" w:color="auto" w:fill="FFFFFF" w:themeFill="background1"/>
            <w:noWrap/>
            <w:vAlign w:val="center"/>
            <w:hideMark/>
          </w:tcPr>
          <w:p w14:paraId="2BE10BC2" w14:textId="12C28E01"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lastRenderedPageBreak/>
              <w:t>Cible 7</w:t>
            </w:r>
          </w:p>
        </w:tc>
        <w:tc>
          <w:tcPr>
            <w:tcW w:w="633" w:type="dxa"/>
            <w:shd w:val="clear" w:color="auto" w:fill="FFFFFF" w:themeFill="background1"/>
            <w:noWrap/>
            <w:vAlign w:val="center"/>
            <w:hideMark/>
          </w:tcPr>
          <w:p w14:paraId="738CD68F"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7D1017EB"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55 %</w:t>
            </w:r>
          </w:p>
        </w:tc>
        <w:tc>
          <w:tcPr>
            <w:tcW w:w="663" w:type="dxa"/>
            <w:shd w:val="clear" w:color="auto" w:fill="FFFFFF" w:themeFill="background1"/>
            <w:noWrap/>
            <w:vAlign w:val="center"/>
            <w:hideMark/>
          </w:tcPr>
          <w:p w14:paraId="6D7288D5"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5DF833F6"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36 %</w:t>
            </w:r>
          </w:p>
        </w:tc>
        <w:tc>
          <w:tcPr>
            <w:tcW w:w="630" w:type="dxa"/>
            <w:shd w:val="clear" w:color="auto" w:fill="FFFFFF" w:themeFill="background1"/>
            <w:noWrap/>
            <w:vAlign w:val="center"/>
            <w:hideMark/>
          </w:tcPr>
          <w:p w14:paraId="15EE4374"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709E7FDF" w14:textId="77777777" w:rsidR="007A60EC" w:rsidRPr="00653BF4" w:rsidRDefault="007A60EC" w:rsidP="00557FB3">
            <w:pPr>
              <w:rPr>
                <w:rFonts w:ascii="Aptos Narrow" w:eastAsia="Times New Roman" w:hAnsi="Aptos Narrow" w:cs="Calibri"/>
                <w:lang w:val="fr-FR"/>
              </w:rPr>
            </w:pPr>
            <w:r w:rsidRPr="00653BF4">
              <w:rPr>
                <w:rFonts w:ascii="Aptos Narrow" w:hAnsi="Aptos Narrow" w:cs="Aptos Narrow"/>
                <w:color w:val="000000"/>
                <w:sz w:val="20"/>
                <w:szCs w:val="20"/>
                <w:lang w:val="fr-FR"/>
              </w:rPr>
              <w:t>50 %</w:t>
            </w:r>
          </w:p>
        </w:tc>
        <w:tc>
          <w:tcPr>
            <w:tcW w:w="687" w:type="dxa"/>
            <w:shd w:val="clear" w:color="auto" w:fill="FFFFFF" w:themeFill="background1"/>
            <w:noWrap/>
            <w:vAlign w:val="center"/>
            <w:hideMark/>
          </w:tcPr>
          <w:p w14:paraId="0B9C79D6"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0CFAC8E8"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30 %</w:t>
            </w:r>
          </w:p>
        </w:tc>
        <w:tc>
          <w:tcPr>
            <w:tcW w:w="875" w:type="dxa"/>
            <w:shd w:val="clear" w:color="auto" w:fill="FC8D59"/>
            <w:noWrap/>
            <w:vAlign w:val="center"/>
            <w:hideMark/>
          </w:tcPr>
          <w:p w14:paraId="0BFA2EAC"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0,38</w:t>
            </w:r>
          </w:p>
        </w:tc>
        <w:tc>
          <w:tcPr>
            <w:tcW w:w="5066" w:type="dxa"/>
            <w:vAlign w:val="center"/>
            <w:hideMark/>
          </w:tcPr>
          <w:p w14:paraId="17DD2D6A" w14:textId="68FBAA64"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 xml:space="preserve">Les avancées dans la lutte contre la pollution sont inégales, et d’importantes lacunes dans les données disponibles entravent l’évaluation des progrès. La </w:t>
            </w:r>
            <w:r w:rsidR="00E34DC9">
              <w:rPr>
                <w:rFonts w:ascii="Aptos" w:eastAsia="Times New Roman" w:hAnsi="Aptos" w:cs="Aptos"/>
                <w:color w:val="000000"/>
                <w:sz w:val="20"/>
                <w:szCs w:val="20"/>
                <w:lang w:val="fr-FR"/>
              </w:rPr>
              <w:t>cible 7</w:t>
            </w:r>
            <w:r w:rsidRPr="00653BF4">
              <w:rPr>
                <w:rFonts w:ascii="Aptos" w:eastAsia="Times New Roman" w:hAnsi="Aptos" w:cs="Aptos"/>
                <w:color w:val="000000"/>
                <w:sz w:val="20"/>
                <w:szCs w:val="20"/>
                <w:lang w:val="fr-FR"/>
              </w:rPr>
              <w:t xml:space="preserve"> englobe diverses sources de pollution, que les Parties ont prises en compte de manière différente dans leurs cibles nationales. Les tendances communiquées pour les indicateurs nationaux sont divergentes. Il est difficile d’évaluer globalement les risques liés à la pollution et les progrès accomplis, car peu de Parties communiquent des données sur les indicateurs phares, les systèmes de suivi sont incomplets ou hétérogènes et les indicateurs se prêtent mal aux comparaisons. La plupart des Parties (60</w:t>
            </w:r>
            <w:r w:rsidR="002878D7">
              <w:rPr>
                <w:rFonts w:ascii="Aptos" w:eastAsia="Times New Roman" w:hAnsi="Aptos" w:cs="Aptos"/>
                <w:color w:val="000000"/>
                <w:sz w:val="20"/>
                <w:szCs w:val="20"/>
                <w:lang w:val="fr-FR"/>
              </w:rPr>
              <w:t> %</w:t>
            </w:r>
            <w:r w:rsidRPr="00653BF4">
              <w:rPr>
                <w:rFonts w:ascii="Aptos" w:eastAsia="Times New Roman" w:hAnsi="Aptos" w:cs="Aptos"/>
                <w:color w:val="000000"/>
                <w:sz w:val="20"/>
                <w:szCs w:val="20"/>
                <w:lang w:val="fr-FR"/>
              </w:rPr>
              <w:t xml:space="preserve">) reconnaissent qu’elles ne sont pas actuellement en voie d’atteindre les cibles nationales associées à la </w:t>
            </w:r>
            <w:r w:rsidR="00E34DC9">
              <w:rPr>
                <w:rFonts w:ascii="Aptos" w:eastAsia="Times New Roman" w:hAnsi="Aptos" w:cs="Aptos"/>
                <w:color w:val="000000"/>
                <w:sz w:val="20"/>
                <w:szCs w:val="20"/>
                <w:lang w:val="fr-FR"/>
              </w:rPr>
              <w:t>cible 7</w:t>
            </w:r>
            <w:r w:rsidRPr="00653BF4">
              <w:rPr>
                <w:rFonts w:ascii="Aptos" w:eastAsia="Times New Roman" w:hAnsi="Aptos" w:cs="Aptos"/>
                <w:color w:val="000000"/>
                <w:sz w:val="20"/>
                <w:szCs w:val="20"/>
                <w:lang w:val="fr-FR"/>
              </w:rPr>
              <w:t xml:space="preserve">. L’une des principales difficultés pour progresser vers la </w:t>
            </w:r>
            <w:r w:rsidR="00E34DC9">
              <w:rPr>
                <w:rFonts w:ascii="Aptos" w:eastAsia="Times New Roman" w:hAnsi="Aptos" w:cs="Aptos"/>
                <w:color w:val="000000"/>
                <w:sz w:val="20"/>
                <w:szCs w:val="20"/>
                <w:lang w:val="fr-FR"/>
              </w:rPr>
              <w:t>cible 7</w:t>
            </w:r>
            <w:r w:rsidRPr="00653BF4">
              <w:rPr>
                <w:rFonts w:ascii="Aptos" w:eastAsia="Times New Roman" w:hAnsi="Aptos" w:cs="Aptos"/>
                <w:color w:val="000000"/>
                <w:sz w:val="20"/>
                <w:szCs w:val="20"/>
                <w:lang w:val="fr-FR"/>
              </w:rPr>
              <w:t xml:space="preserve"> consiste à prendre en compte de manière efficace et équitable les incidences sur la sécurité alimentaire et les moyens d’existence, et à les gérer.</w:t>
            </w:r>
          </w:p>
        </w:tc>
      </w:tr>
      <w:tr w:rsidR="007A60EC" w:rsidRPr="00543148" w14:paraId="699BF100" w14:textId="77777777" w:rsidTr="00557FB3">
        <w:trPr>
          <w:trHeight w:val="4234"/>
        </w:trPr>
        <w:tc>
          <w:tcPr>
            <w:tcW w:w="1080" w:type="dxa"/>
            <w:shd w:val="clear" w:color="auto" w:fill="FFFFFF" w:themeFill="background1"/>
            <w:noWrap/>
            <w:vAlign w:val="center"/>
            <w:hideMark/>
          </w:tcPr>
          <w:p w14:paraId="5017C2BD" w14:textId="2C293D56"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t>Cible 8</w:t>
            </w:r>
          </w:p>
        </w:tc>
        <w:tc>
          <w:tcPr>
            <w:tcW w:w="633" w:type="dxa"/>
            <w:shd w:val="clear" w:color="auto" w:fill="FFFFFF" w:themeFill="background1"/>
            <w:noWrap/>
            <w:vAlign w:val="center"/>
            <w:hideMark/>
          </w:tcPr>
          <w:p w14:paraId="3A96B483"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4297D5FD"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62 %</w:t>
            </w:r>
          </w:p>
        </w:tc>
        <w:tc>
          <w:tcPr>
            <w:tcW w:w="663" w:type="dxa"/>
            <w:shd w:val="clear" w:color="auto" w:fill="FFFFFF" w:themeFill="background1"/>
            <w:noWrap/>
            <w:vAlign w:val="center"/>
            <w:hideMark/>
          </w:tcPr>
          <w:p w14:paraId="55F920ED"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51711204"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43 %</w:t>
            </w:r>
          </w:p>
        </w:tc>
        <w:tc>
          <w:tcPr>
            <w:tcW w:w="630" w:type="dxa"/>
            <w:shd w:val="clear" w:color="auto" w:fill="FFFFFF" w:themeFill="background1"/>
            <w:noWrap/>
            <w:vAlign w:val="center"/>
            <w:hideMark/>
          </w:tcPr>
          <w:p w14:paraId="79CD0F32"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4ACCF902" w14:textId="77777777" w:rsidR="007A60EC" w:rsidRPr="00653BF4" w:rsidRDefault="007A60EC" w:rsidP="00557FB3">
            <w:pPr>
              <w:rPr>
                <w:rFonts w:ascii="Calibri" w:eastAsia="Times New Roman" w:hAnsi="Calibri" w:cs="Calibri"/>
                <w:lang w:val="fr-FR"/>
              </w:rPr>
            </w:pPr>
            <w:r w:rsidRPr="00653BF4">
              <w:rPr>
                <w:rFonts w:ascii="Calibri" w:hAnsi="Calibri" w:cs="Calibri"/>
                <w:color w:val="000000"/>
                <w:sz w:val="20"/>
                <w:szCs w:val="20"/>
                <w:lang w:val="fr-FR"/>
              </w:rPr>
              <w:t>50 %</w:t>
            </w:r>
          </w:p>
        </w:tc>
        <w:tc>
          <w:tcPr>
            <w:tcW w:w="687" w:type="dxa"/>
            <w:shd w:val="clear" w:color="auto" w:fill="FFFFFF" w:themeFill="background1"/>
            <w:noWrap/>
            <w:vAlign w:val="center"/>
            <w:hideMark/>
          </w:tcPr>
          <w:p w14:paraId="3479A7B4"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3A238666"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18 %</w:t>
            </w:r>
          </w:p>
        </w:tc>
        <w:tc>
          <w:tcPr>
            <w:tcW w:w="875" w:type="dxa"/>
            <w:shd w:val="clear" w:color="auto" w:fill="91CF60"/>
            <w:noWrap/>
            <w:vAlign w:val="center"/>
            <w:hideMark/>
          </w:tcPr>
          <w:p w14:paraId="7FE7C101"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0,75</w:t>
            </w:r>
          </w:p>
        </w:tc>
        <w:tc>
          <w:tcPr>
            <w:tcW w:w="5066" w:type="dxa"/>
            <w:vAlign w:val="center"/>
            <w:hideMark/>
          </w:tcPr>
          <w:p w14:paraId="78E44E47" w14:textId="50F4DDF4"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 xml:space="preserve">Les mesures visant à renforcer la résilience et l’adaptation face aux changements climatiques progressent, mais leur mise en œuvre reste limitée par le manque de données et de moyens, ainsi que par une articulation insuffisante entre la planification en matière de biodiversité, de climat et de réduction des risques de catastrophe. Les cibles nationales sont généralement bien alignées sur l’ensemble des éléments de la </w:t>
            </w:r>
            <w:r w:rsidR="00E34DC9">
              <w:rPr>
                <w:rFonts w:ascii="Aptos" w:eastAsia="Times New Roman" w:hAnsi="Aptos" w:cs="Aptos"/>
                <w:color w:val="000000"/>
                <w:sz w:val="20"/>
                <w:szCs w:val="20"/>
                <w:lang w:val="fr-FR"/>
              </w:rPr>
              <w:t>cible 8</w:t>
            </w:r>
            <w:r w:rsidRPr="00653BF4">
              <w:rPr>
                <w:rFonts w:ascii="Aptos" w:eastAsia="Times New Roman" w:hAnsi="Aptos" w:cs="Aptos"/>
                <w:color w:val="000000"/>
                <w:sz w:val="20"/>
                <w:szCs w:val="20"/>
                <w:lang w:val="fr-FR"/>
              </w:rPr>
              <w:t xml:space="preserve">, sauf en ce qui concerne la réduction au minimum des effets de l’acidification des océans. La moitié des indicateurs communiqués par les Parties présentent des tendances positives, ce qui donne à penser que les mesures prises sont dans l’ensemble efficaces. Les Parties reconnaissent toutefois, dans leurs auto-évaluations, qu’au rythme actuel des progrès, la moitié des cibles ne seront pas atteintes. Parmi les principales approches mentionnées pour la </w:t>
            </w:r>
            <w:r w:rsidR="00E34DC9">
              <w:rPr>
                <w:rFonts w:ascii="Aptos" w:eastAsia="Times New Roman" w:hAnsi="Aptos" w:cs="Aptos"/>
                <w:color w:val="000000"/>
                <w:sz w:val="20"/>
                <w:szCs w:val="20"/>
                <w:lang w:val="fr-FR"/>
              </w:rPr>
              <w:t>cible 8</w:t>
            </w:r>
            <w:r w:rsidRPr="00653BF4">
              <w:rPr>
                <w:rFonts w:ascii="Aptos" w:eastAsia="Times New Roman" w:hAnsi="Aptos" w:cs="Aptos"/>
                <w:color w:val="000000"/>
                <w:sz w:val="20"/>
                <w:szCs w:val="20"/>
                <w:lang w:val="fr-FR"/>
              </w:rPr>
              <w:t xml:space="preserve"> figurent la restauration des écosystèmes, également citée au titre de la </w:t>
            </w:r>
            <w:r w:rsidR="00E34DC9">
              <w:rPr>
                <w:rFonts w:ascii="Aptos" w:eastAsia="Times New Roman" w:hAnsi="Aptos" w:cs="Aptos"/>
                <w:color w:val="000000"/>
                <w:sz w:val="20"/>
                <w:szCs w:val="20"/>
                <w:lang w:val="fr-FR"/>
              </w:rPr>
              <w:t>cible 2</w:t>
            </w:r>
            <w:r w:rsidRPr="00653BF4">
              <w:rPr>
                <w:rFonts w:ascii="Aptos" w:eastAsia="Times New Roman" w:hAnsi="Aptos" w:cs="Aptos"/>
                <w:color w:val="000000"/>
                <w:sz w:val="20"/>
                <w:szCs w:val="20"/>
                <w:lang w:val="fr-FR"/>
              </w:rPr>
              <w:t>, et les solutions fondées sur la nature, mais elles ne sont pas déployées à une échelle suffisante.</w:t>
            </w:r>
          </w:p>
        </w:tc>
      </w:tr>
      <w:tr w:rsidR="007A60EC" w:rsidRPr="00543148" w14:paraId="57321869" w14:textId="77777777" w:rsidTr="00557FB3">
        <w:trPr>
          <w:trHeight w:val="4251"/>
        </w:trPr>
        <w:tc>
          <w:tcPr>
            <w:tcW w:w="1080" w:type="dxa"/>
            <w:shd w:val="clear" w:color="auto" w:fill="FFFFFF" w:themeFill="background1"/>
            <w:noWrap/>
            <w:vAlign w:val="center"/>
            <w:hideMark/>
          </w:tcPr>
          <w:p w14:paraId="1E798CE8" w14:textId="64770682"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lastRenderedPageBreak/>
              <w:t>Cible 9</w:t>
            </w:r>
          </w:p>
        </w:tc>
        <w:tc>
          <w:tcPr>
            <w:tcW w:w="633" w:type="dxa"/>
            <w:shd w:val="clear" w:color="auto" w:fill="FFFFFF" w:themeFill="background1"/>
            <w:noWrap/>
            <w:vAlign w:val="center"/>
            <w:hideMark/>
          </w:tcPr>
          <w:p w14:paraId="381F5615"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25362724"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61 %</w:t>
            </w:r>
          </w:p>
        </w:tc>
        <w:tc>
          <w:tcPr>
            <w:tcW w:w="663" w:type="dxa"/>
            <w:shd w:val="clear" w:color="auto" w:fill="FFFFFF" w:themeFill="background1"/>
            <w:noWrap/>
            <w:vAlign w:val="center"/>
            <w:hideMark/>
          </w:tcPr>
          <w:p w14:paraId="29885CCE"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6F5D24AC"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36 %</w:t>
            </w:r>
          </w:p>
        </w:tc>
        <w:tc>
          <w:tcPr>
            <w:tcW w:w="630" w:type="dxa"/>
            <w:shd w:val="clear" w:color="auto" w:fill="FFFFFF" w:themeFill="background1"/>
            <w:noWrap/>
            <w:vAlign w:val="center"/>
            <w:hideMark/>
          </w:tcPr>
          <w:p w14:paraId="6354D285"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481D11DB" w14:textId="77777777" w:rsidR="007A60EC" w:rsidRPr="00653BF4" w:rsidRDefault="007A60EC" w:rsidP="00557FB3">
            <w:pPr>
              <w:rPr>
                <w:rFonts w:ascii="Aptos Narrow" w:eastAsia="Times New Roman" w:hAnsi="Aptos Narrow" w:cs="Calibri"/>
                <w:lang w:val="fr-FR"/>
              </w:rPr>
            </w:pPr>
            <w:r w:rsidRPr="00653BF4">
              <w:rPr>
                <w:rFonts w:ascii="Aptos Narrow" w:hAnsi="Aptos Narrow" w:cs="Aptos Narrow"/>
                <w:color w:val="000000"/>
                <w:sz w:val="20"/>
                <w:szCs w:val="20"/>
                <w:lang w:val="fr-FR"/>
              </w:rPr>
              <w:t>33 %</w:t>
            </w:r>
          </w:p>
        </w:tc>
        <w:tc>
          <w:tcPr>
            <w:tcW w:w="687" w:type="dxa"/>
            <w:shd w:val="clear" w:color="auto" w:fill="FFFFFF" w:themeFill="background1"/>
            <w:noWrap/>
            <w:vAlign w:val="center"/>
            <w:hideMark/>
          </w:tcPr>
          <w:p w14:paraId="1E42DAB9"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05CDAEB9"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25 %</w:t>
            </w:r>
          </w:p>
        </w:tc>
        <w:tc>
          <w:tcPr>
            <w:tcW w:w="875" w:type="dxa"/>
            <w:shd w:val="clear" w:color="auto" w:fill="FC8D59"/>
            <w:noWrap/>
            <w:vAlign w:val="center"/>
            <w:hideMark/>
          </w:tcPr>
          <w:p w14:paraId="3EB49592"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0,42</w:t>
            </w:r>
          </w:p>
        </w:tc>
        <w:tc>
          <w:tcPr>
            <w:tcW w:w="5066" w:type="dxa"/>
            <w:vAlign w:val="center"/>
            <w:hideMark/>
          </w:tcPr>
          <w:p w14:paraId="30DADBE1" w14:textId="02E29494"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 xml:space="preserve">Les progrès accomplis pour garantir l’utilisation durable des espèces sauvages et les avantages qui y sont associés restent inégaux, mais plusieurs Parties font état de politiques habilitantes et d’approches communautaires qui jouent un rôle important dans le soutien aux moyens d’existence, la promotion de l’utilisation durable coutumière et l’obtention de résultats en matière de conservation. Les cibles nationales couvrent le vaste champ de la </w:t>
            </w:r>
            <w:r w:rsidR="00E34DC9">
              <w:rPr>
                <w:rFonts w:ascii="Aptos" w:eastAsia="Times New Roman" w:hAnsi="Aptos" w:cs="Aptos"/>
                <w:color w:val="000000"/>
                <w:sz w:val="20"/>
                <w:szCs w:val="20"/>
                <w:lang w:val="fr-FR"/>
              </w:rPr>
              <w:t>cible 9</w:t>
            </w:r>
            <w:r w:rsidRPr="00653BF4">
              <w:rPr>
                <w:rFonts w:ascii="Aptos" w:eastAsia="Times New Roman" w:hAnsi="Aptos" w:cs="Aptos"/>
                <w:color w:val="000000"/>
                <w:sz w:val="20"/>
                <w:szCs w:val="20"/>
                <w:lang w:val="fr-FR"/>
              </w:rPr>
              <w:t>, mais les éléments propres aux peuples autochtones et communautés locales ainsi qu’aux personnes en situation de vulnérabilité y sont moins bien pris en compte. Il est difficile de dégager des tendances collectives concernant les indicateurs phares de la cible, en raison des lacunes et de la variabilité des données ainsi que de problèmes méthodologiques. Les progrès de la mise en œuvre des politiques, tels qu’ils ressortent de l’indicateur binaire, et les progrès vers les cibles nationales, selon l’auto-évaluation des Parties, étaient relativement faibles. Parmi les difficultés de mise en œuvre mentionnées figuraient le manque de financement, la persistance d’incitations, y compris de subventions, préjudiciables à la biodiversité, l’application peu rigoureuse de la réglementation et l’insuffisance des systèmes de suivi.</w:t>
            </w:r>
          </w:p>
        </w:tc>
      </w:tr>
      <w:tr w:rsidR="007A60EC" w:rsidRPr="00543148" w14:paraId="6953C1EB" w14:textId="77777777" w:rsidTr="00557FB3">
        <w:trPr>
          <w:trHeight w:val="709"/>
        </w:trPr>
        <w:tc>
          <w:tcPr>
            <w:tcW w:w="1080" w:type="dxa"/>
            <w:shd w:val="clear" w:color="auto" w:fill="FFFFFF" w:themeFill="background1"/>
            <w:noWrap/>
            <w:vAlign w:val="center"/>
          </w:tcPr>
          <w:p w14:paraId="37DF4D89" w14:textId="008D09DE"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t>Cible 1</w:t>
            </w:r>
            <w:r w:rsidR="007A60EC" w:rsidRPr="00653BF4">
              <w:rPr>
                <w:rFonts w:ascii="Aptos" w:eastAsia="Times New Roman" w:hAnsi="Aptos" w:cs="Aptos"/>
                <w:color w:val="000000"/>
                <w:sz w:val="20"/>
                <w:szCs w:val="20"/>
                <w:lang w:val="fr-FR"/>
              </w:rPr>
              <w:t>0</w:t>
            </w:r>
          </w:p>
        </w:tc>
        <w:tc>
          <w:tcPr>
            <w:tcW w:w="633" w:type="dxa"/>
            <w:shd w:val="clear" w:color="auto" w:fill="FFFFFF" w:themeFill="background1"/>
            <w:noWrap/>
            <w:vAlign w:val="center"/>
          </w:tcPr>
          <w:p w14:paraId="0CAE4F00"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16195864" w14:textId="77777777" w:rsidR="007A60EC" w:rsidRPr="00653BF4" w:rsidRDefault="007A60EC" w:rsidP="00557FB3">
            <w:pPr>
              <w:rPr>
                <w:rFonts w:ascii="Calibri" w:eastAsia="Times New Roman" w:hAnsi="Calibri" w:cs="Calibri"/>
                <w:color w:val="000000"/>
                <w:lang w:val="fr-FR"/>
              </w:rPr>
            </w:pPr>
            <w:r w:rsidRPr="00653BF4">
              <w:rPr>
                <w:rFonts w:ascii="Aptos" w:hAnsi="Aptos" w:cs="Aptos"/>
                <w:color w:val="000000"/>
                <w:sz w:val="20"/>
                <w:szCs w:val="20"/>
                <w:lang w:val="fr-FR"/>
              </w:rPr>
              <w:t>60 %</w:t>
            </w:r>
          </w:p>
        </w:tc>
        <w:tc>
          <w:tcPr>
            <w:tcW w:w="663" w:type="dxa"/>
            <w:shd w:val="clear" w:color="auto" w:fill="FFFFFF" w:themeFill="background1"/>
            <w:noWrap/>
            <w:vAlign w:val="center"/>
          </w:tcPr>
          <w:p w14:paraId="6560C04E"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4BBE5138"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42 %</w:t>
            </w:r>
          </w:p>
        </w:tc>
        <w:tc>
          <w:tcPr>
            <w:tcW w:w="630" w:type="dxa"/>
            <w:shd w:val="clear" w:color="auto" w:fill="FFFFFF" w:themeFill="background1"/>
            <w:noWrap/>
            <w:vAlign w:val="center"/>
          </w:tcPr>
          <w:p w14:paraId="5F3EA5DC"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016DE4EF" w14:textId="77777777" w:rsidR="007A60EC" w:rsidRPr="00653BF4" w:rsidRDefault="007A60EC" w:rsidP="00557FB3">
            <w:pPr>
              <w:rPr>
                <w:rFonts w:ascii="Aptos Narrow" w:eastAsia="Times New Roman" w:hAnsi="Aptos Narrow" w:cs="Calibri"/>
                <w:lang w:val="fr-FR"/>
              </w:rPr>
            </w:pPr>
            <w:r w:rsidRPr="00653BF4">
              <w:rPr>
                <w:rFonts w:ascii="Calibri" w:hAnsi="Calibri" w:cs="Calibri"/>
                <w:color w:val="000000"/>
                <w:sz w:val="20"/>
                <w:szCs w:val="20"/>
                <w:lang w:val="fr-FR"/>
              </w:rPr>
              <w:t>50 %</w:t>
            </w:r>
          </w:p>
        </w:tc>
        <w:tc>
          <w:tcPr>
            <w:tcW w:w="687" w:type="dxa"/>
            <w:shd w:val="clear" w:color="auto" w:fill="FFFFFF" w:themeFill="background1"/>
            <w:noWrap/>
            <w:vAlign w:val="center"/>
          </w:tcPr>
          <w:p w14:paraId="6FF44989"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09B60D20"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57 %</w:t>
            </w:r>
          </w:p>
        </w:tc>
        <w:tc>
          <w:tcPr>
            <w:tcW w:w="875" w:type="dxa"/>
            <w:shd w:val="clear" w:color="auto" w:fill="FEE08B"/>
            <w:noWrap/>
            <w:vAlign w:val="center"/>
          </w:tcPr>
          <w:p w14:paraId="2822497C"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0,50</w:t>
            </w:r>
          </w:p>
        </w:tc>
        <w:tc>
          <w:tcPr>
            <w:tcW w:w="5066" w:type="dxa"/>
            <w:vAlign w:val="center"/>
          </w:tcPr>
          <w:p w14:paraId="4669F11D" w14:textId="70DB466A"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 xml:space="preserve">Les progrès collectifs restent inégaux selon les secteurs de production, mais des tendances positives se dessinent depuis peu dans certains domaines. Dans l’ensemble, les cibles nationales présentées par les Parties couvrent bien le champ de la </w:t>
            </w:r>
            <w:r w:rsidR="00E34DC9">
              <w:rPr>
                <w:rFonts w:ascii="Aptos" w:eastAsia="Times New Roman" w:hAnsi="Aptos" w:cs="Aptos"/>
                <w:color w:val="000000"/>
                <w:sz w:val="20"/>
                <w:szCs w:val="20"/>
                <w:lang w:val="fr-FR"/>
              </w:rPr>
              <w:t>cible 1</w:t>
            </w:r>
            <w:r w:rsidRPr="00653BF4">
              <w:rPr>
                <w:rFonts w:ascii="Aptos" w:eastAsia="Times New Roman" w:hAnsi="Aptos" w:cs="Aptos"/>
                <w:color w:val="000000"/>
                <w:sz w:val="20"/>
                <w:szCs w:val="20"/>
                <w:lang w:val="fr-FR"/>
              </w:rPr>
              <w:t xml:space="preserve">0. Les indicateurs quantitatifs de la </w:t>
            </w:r>
            <w:r w:rsidR="00E34DC9">
              <w:rPr>
                <w:rFonts w:ascii="Aptos" w:eastAsia="Times New Roman" w:hAnsi="Aptos" w:cs="Aptos"/>
                <w:color w:val="000000"/>
                <w:sz w:val="20"/>
                <w:szCs w:val="20"/>
                <w:lang w:val="fr-FR"/>
              </w:rPr>
              <w:t>cible 1</w:t>
            </w:r>
            <w:r w:rsidRPr="00653BF4">
              <w:rPr>
                <w:rFonts w:ascii="Aptos" w:eastAsia="Times New Roman" w:hAnsi="Aptos" w:cs="Aptos"/>
                <w:color w:val="000000"/>
                <w:sz w:val="20"/>
                <w:szCs w:val="20"/>
                <w:lang w:val="fr-FR"/>
              </w:rPr>
              <w:t xml:space="preserve">0 font apparaître des améliorations récentes, ce qui donne à penser que les pratiques agricoles et forestières deviennent plus durables. Les Parties reconnaissent toutefois dans leurs auto-évaluations que plus de la moitié des cibles nationales ne sont pas en voie d’être atteintes. Il n’est pas possible d’évaluer les progrès concernant l’aquaculture durable. D’importantes difficultés subsistent pour généraliser les pratiques respectueuses de la biodiversité tout en préservant la sécurité alimentaire, les moyens d’existence et le développement durable. En particulier, les progrès restent entravés par le manque de mesures d’incitation, la persistance de subventions préjudiciables, l’application insuffisante des règles, les faibles </w:t>
            </w:r>
            <w:r w:rsidRPr="00653BF4">
              <w:rPr>
                <w:rFonts w:ascii="Aptos" w:eastAsia="Times New Roman" w:hAnsi="Aptos" w:cs="Aptos"/>
                <w:color w:val="000000"/>
                <w:sz w:val="20"/>
                <w:szCs w:val="20"/>
                <w:lang w:val="fr-FR"/>
              </w:rPr>
              <w:lastRenderedPageBreak/>
              <w:t>capacités des communautés locales et l’intensification des pressions extérieures, y compris celles liées aux changements climatiques.</w:t>
            </w:r>
          </w:p>
        </w:tc>
      </w:tr>
      <w:tr w:rsidR="007A60EC" w:rsidRPr="00543148" w14:paraId="3B07A97E" w14:textId="77777777" w:rsidTr="00557FB3">
        <w:trPr>
          <w:trHeight w:val="4238"/>
        </w:trPr>
        <w:tc>
          <w:tcPr>
            <w:tcW w:w="1080" w:type="dxa"/>
            <w:shd w:val="clear" w:color="auto" w:fill="FFFFFF" w:themeFill="background1"/>
            <w:noWrap/>
            <w:vAlign w:val="center"/>
          </w:tcPr>
          <w:p w14:paraId="4D435326" w14:textId="7324B4AA"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lastRenderedPageBreak/>
              <w:t>Cible 1</w:t>
            </w:r>
            <w:r w:rsidR="007A60EC" w:rsidRPr="00653BF4">
              <w:rPr>
                <w:rFonts w:ascii="Aptos" w:eastAsia="Times New Roman" w:hAnsi="Aptos" w:cs="Aptos"/>
                <w:color w:val="000000"/>
                <w:sz w:val="20"/>
                <w:szCs w:val="20"/>
                <w:lang w:val="fr-FR"/>
              </w:rPr>
              <w:t>1</w:t>
            </w:r>
          </w:p>
        </w:tc>
        <w:tc>
          <w:tcPr>
            <w:tcW w:w="633" w:type="dxa"/>
            <w:shd w:val="clear" w:color="auto" w:fill="FFFFFF" w:themeFill="background1"/>
            <w:noWrap/>
            <w:vAlign w:val="center"/>
          </w:tcPr>
          <w:p w14:paraId="2AD9BF88"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7E959F5E"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63 %</w:t>
            </w:r>
          </w:p>
        </w:tc>
        <w:tc>
          <w:tcPr>
            <w:tcW w:w="663" w:type="dxa"/>
            <w:shd w:val="clear" w:color="auto" w:fill="FFFFFF" w:themeFill="background1"/>
            <w:noWrap/>
            <w:vAlign w:val="center"/>
          </w:tcPr>
          <w:p w14:paraId="4D0FC69E"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714383C5"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37 %</w:t>
            </w:r>
          </w:p>
        </w:tc>
        <w:tc>
          <w:tcPr>
            <w:tcW w:w="630" w:type="dxa"/>
            <w:shd w:val="clear" w:color="auto" w:fill="FFFFFF" w:themeFill="background1"/>
            <w:noWrap/>
            <w:vAlign w:val="center"/>
          </w:tcPr>
          <w:p w14:paraId="46231DBE"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4C38E18E" w14:textId="77777777" w:rsidR="007A60EC" w:rsidRPr="00653BF4" w:rsidRDefault="007A60EC" w:rsidP="00557FB3">
            <w:pPr>
              <w:rPr>
                <w:rFonts w:ascii="Aptos Narrow" w:eastAsia="Times New Roman" w:hAnsi="Aptos Narrow" w:cs="Calibri"/>
                <w:lang w:val="fr-FR"/>
              </w:rPr>
            </w:pPr>
            <w:r w:rsidRPr="00653BF4">
              <w:rPr>
                <w:rFonts w:ascii="Calibri" w:hAnsi="Calibri" w:cs="Calibri"/>
                <w:color w:val="000000"/>
                <w:sz w:val="20"/>
                <w:szCs w:val="20"/>
                <w:lang w:val="fr-FR"/>
              </w:rPr>
              <w:t>50 %</w:t>
            </w:r>
          </w:p>
        </w:tc>
        <w:tc>
          <w:tcPr>
            <w:tcW w:w="687" w:type="dxa"/>
            <w:shd w:val="clear" w:color="auto" w:fill="FFFFFF" w:themeFill="background1"/>
            <w:noWrap/>
            <w:vAlign w:val="center"/>
          </w:tcPr>
          <w:p w14:paraId="3D31F521"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4095C616"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32 %</w:t>
            </w:r>
          </w:p>
        </w:tc>
        <w:tc>
          <w:tcPr>
            <w:tcW w:w="875" w:type="dxa"/>
            <w:shd w:val="clear" w:color="auto" w:fill="FEE08B"/>
            <w:noWrap/>
            <w:vAlign w:val="center"/>
          </w:tcPr>
          <w:p w14:paraId="4CDCFE54"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0,50</w:t>
            </w:r>
          </w:p>
        </w:tc>
        <w:tc>
          <w:tcPr>
            <w:tcW w:w="5066" w:type="dxa"/>
            <w:vAlign w:val="center"/>
          </w:tcPr>
          <w:p w14:paraId="5515A92B" w14:textId="2813E404"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 xml:space="preserve">Les données disponibles restent insuffisantes pour évaluer rigoureusement les progrès collectifs, et les auto-évaluations des Parties indiquent que la mise en œuvre n’avance pas encore au rythme requis. Les cibles nationales présentées par les Parties couvrent bien l’ensemble du champ de la </w:t>
            </w:r>
            <w:r w:rsidR="00E34DC9">
              <w:rPr>
                <w:rFonts w:ascii="Aptos" w:eastAsia="Times New Roman" w:hAnsi="Aptos" w:cs="Aptos"/>
                <w:color w:val="000000"/>
                <w:sz w:val="20"/>
                <w:szCs w:val="20"/>
                <w:lang w:val="fr-FR"/>
              </w:rPr>
              <w:t>cible 1</w:t>
            </w:r>
            <w:r w:rsidRPr="00653BF4">
              <w:rPr>
                <w:rFonts w:ascii="Aptos" w:eastAsia="Times New Roman" w:hAnsi="Aptos" w:cs="Aptos"/>
                <w:color w:val="000000"/>
                <w:sz w:val="20"/>
                <w:szCs w:val="20"/>
                <w:lang w:val="fr-FR"/>
              </w:rPr>
              <w:t>1. Toutefois, trop peu de rapports nationaux contiennent des données cohérentes sur l’indicateur phare B.1 correspondant (services rendus par les écosystèmes) pour permettre d’évaluer les progrès, et cet indicateur ne peut être considéré que comme expérimental à ce stade. L’analyse des tendances donne des résultats mitigés pour l’ensemble des indicateurs communiqués par un tiers des Parties dont les rapports nationaux ont été examinés pour le rapport mondial, et il ressort des auto-évaluations que les Parties jugent insuffisants leurs progrès vers la plupart des cibles nationales (64</w:t>
            </w:r>
            <w:r w:rsidR="002878D7">
              <w:rPr>
                <w:rFonts w:ascii="Aptos" w:eastAsia="Times New Roman" w:hAnsi="Aptos" w:cs="Aptos"/>
                <w:color w:val="000000"/>
                <w:sz w:val="20"/>
                <w:szCs w:val="20"/>
                <w:lang w:val="fr-FR"/>
              </w:rPr>
              <w:t> %</w:t>
            </w:r>
            <w:r w:rsidRPr="00653BF4">
              <w:rPr>
                <w:rFonts w:ascii="Aptos" w:eastAsia="Times New Roman" w:hAnsi="Aptos" w:cs="Aptos"/>
                <w:color w:val="000000"/>
                <w:sz w:val="20"/>
                <w:szCs w:val="20"/>
                <w:lang w:val="fr-FR"/>
              </w:rPr>
              <w:t xml:space="preserve">) associées à la </w:t>
            </w:r>
            <w:r w:rsidR="00E34DC9">
              <w:rPr>
                <w:rFonts w:ascii="Aptos" w:eastAsia="Times New Roman" w:hAnsi="Aptos" w:cs="Aptos"/>
                <w:color w:val="000000"/>
                <w:sz w:val="20"/>
                <w:szCs w:val="20"/>
                <w:lang w:val="fr-FR"/>
              </w:rPr>
              <w:t>cible 1</w:t>
            </w:r>
            <w:r w:rsidRPr="00653BF4">
              <w:rPr>
                <w:rFonts w:ascii="Aptos" w:eastAsia="Times New Roman" w:hAnsi="Aptos" w:cs="Aptos"/>
                <w:color w:val="000000"/>
                <w:sz w:val="20"/>
                <w:szCs w:val="20"/>
                <w:lang w:val="fr-FR"/>
              </w:rPr>
              <w:t>1. Les difficultés mentionnées concernent l’application, dans les politiques comme dans le suivi, de méthodes d’évaluation des contributions de la nature aux populations, ainsi que l’insuffisance des cadres financiers et juridiques nécessaires à la mise en œuvre des solutions fondées sur la nature et à la gestion des arbitrages avec d’autres domaines d’action.</w:t>
            </w:r>
          </w:p>
        </w:tc>
      </w:tr>
      <w:tr w:rsidR="007A60EC" w:rsidRPr="00543148" w14:paraId="149D5A51" w14:textId="77777777" w:rsidTr="00557FB3">
        <w:trPr>
          <w:trHeight w:val="1915"/>
        </w:trPr>
        <w:tc>
          <w:tcPr>
            <w:tcW w:w="1080" w:type="dxa"/>
            <w:shd w:val="clear" w:color="auto" w:fill="FFFFFF" w:themeFill="background1"/>
            <w:noWrap/>
            <w:vAlign w:val="center"/>
          </w:tcPr>
          <w:p w14:paraId="2FFE1C91" w14:textId="7CCB1489"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t>Cible 1</w:t>
            </w:r>
            <w:r w:rsidR="007A60EC" w:rsidRPr="00653BF4">
              <w:rPr>
                <w:rFonts w:ascii="Aptos" w:eastAsia="Times New Roman" w:hAnsi="Aptos" w:cs="Aptos"/>
                <w:color w:val="000000"/>
                <w:sz w:val="20"/>
                <w:szCs w:val="20"/>
                <w:lang w:val="fr-FR"/>
              </w:rPr>
              <w:t>2</w:t>
            </w:r>
          </w:p>
        </w:tc>
        <w:tc>
          <w:tcPr>
            <w:tcW w:w="633" w:type="dxa"/>
            <w:shd w:val="clear" w:color="auto" w:fill="FFFFFF" w:themeFill="background1"/>
            <w:noWrap/>
            <w:vAlign w:val="center"/>
          </w:tcPr>
          <w:p w14:paraId="429ABFB1"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45B8BB0C"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51 %</w:t>
            </w:r>
          </w:p>
        </w:tc>
        <w:tc>
          <w:tcPr>
            <w:tcW w:w="663" w:type="dxa"/>
            <w:shd w:val="clear" w:color="auto" w:fill="FFFFFF" w:themeFill="background1"/>
            <w:noWrap/>
            <w:vAlign w:val="center"/>
          </w:tcPr>
          <w:p w14:paraId="5AEC9BB7"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421EABF3"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32 %</w:t>
            </w:r>
          </w:p>
        </w:tc>
        <w:tc>
          <w:tcPr>
            <w:tcW w:w="630" w:type="dxa"/>
            <w:shd w:val="clear" w:color="auto" w:fill="FFFFFF" w:themeFill="background1"/>
            <w:noWrap/>
            <w:vAlign w:val="center"/>
          </w:tcPr>
          <w:p w14:paraId="2DB75568"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6D543F3C" w14:textId="77777777" w:rsidR="007A60EC" w:rsidRPr="00653BF4" w:rsidRDefault="007A60EC" w:rsidP="00557FB3">
            <w:pPr>
              <w:rPr>
                <w:rFonts w:ascii="Aptos Narrow" w:eastAsia="Times New Roman" w:hAnsi="Aptos Narrow" w:cs="Calibri"/>
                <w:lang w:val="fr-FR"/>
              </w:rPr>
            </w:pPr>
            <w:r w:rsidRPr="00653BF4">
              <w:rPr>
                <w:rFonts w:ascii="Calibri" w:hAnsi="Calibri" w:cs="Calibri"/>
                <w:color w:val="000000"/>
                <w:sz w:val="20"/>
                <w:szCs w:val="20"/>
                <w:lang w:val="fr-FR"/>
              </w:rPr>
              <w:t>50 %</w:t>
            </w:r>
          </w:p>
        </w:tc>
        <w:tc>
          <w:tcPr>
            <w:tcW w:w="687" w:type="dxa"/>
            <w:shd w:val="clear" w:color="auto" w:fill="FFFFFF" w:themeFill="background1"/>
            <w:noWrap/>
            <w:vAlign w:val="center"/>
          </w:tcPr>
          <w:p w14:paraId="540AD370"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3E5E463B"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21 %</w:t>
            </w:r>
          </w:p>
        </w:tc>
        <w:tc>
          <w:tcPr>
            <w:tcW w:w="875" w:type="dxa"/>
            <w:shd w:val="clear" w:color="auto" w:fill="FC8D59"/>
            <w:noWrap/>
            <w:vAlign w:val="center"/>
          </w:tcPr>
          <w:p w14:paraId="41B91768"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0,25</w:t>
            </w:r>
          </w:p>
        </w:tc>
        <w:tc>
          <w:tcPr>
            <w:tcW w:w="5066" w:type="dxa"/>
            <w:vAlign w:val="center"/>
          </w:tcPr>
          <w:p w14:paraId="74C3BFAE" w14:textId="4405D39F"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 xml:space="preserve">Des lacunes persistent dans l’alignement des cibles nationales sur l’ensemble du champ de la </w:t>
            </w:r>
            <w:r w:rsidR="00E34DC9">
              <w:rPr>
                <w:rFonts w:ascii="Aptos" w:eastAsia="Times New Roman" w:hAnsi="Aptos" w:cs="Aptos"/>
                <w:color w:val="000000"/>
                <w:sz w:val="20"/>
                <w:szCs w:val="20"/>
                <w:lang w:val="fr-FR"/>
              </w:rPr>
              <w:t>cible 1</w:t>
            </w:r>
            <w:r w:rsidRPr="00653BF4">
              <w:rPr>
                <w:rFonts w:ascii="Aptos" w:eastAsia="Times New Roman" w:hAnsi="Aptos" w:cs="Aptos"/>
                <w:color w:val="000000"/>
                <w:sz w:val="20"/>
                <w:szCs w:val="20"/>
                <w:lang w:val="fr-FR"/>
              </w:rPr>
              <w:t xml:space="preserve">2, ainsi que dans la mise en œuvre et le suivi. Les cibles nationales portent principalement sur l’accroissement de la superficie des espaces verts et sur la prise en compte de la biodiversité dans l’aménagement urbain, plutôt que sur les autres aspects de la cible. Les données communiquées sont insuffisantes pour évaluer les tendances, mais elles permettent d’établir une première base de référence concernant les espaces verts et bleus dans les zones urbaines et densément peuplées. Une nette majorité de Parties font état de progrès dans l’intégration de la biodiversité et des services écosystémiques à l’aménagement urbain. Toutefois, les autres indicateurs nationaux communiqués, ainsi que les auto-évaluations des </w:t>
            </w:r>
            <w:r w:rsidRPr="00653BF4">
              <w:rPr>
                <w:rFonts w:ascii="Aptos" w:eastAsia="Times New Roman" w:hAnsi="Aptos" w:cs="Aptos"/>
                <w:color w:val="000000"/>
                <w:sz w:val="20"/>
                <w:szCs w:val="20"/>
                <w:lang w:val="fr-FR"/>
              </w:rPr>
              <w:lastRenderedPageBreak/>
              <w:t>Parties, donnent à penser que les progrès ne suffisent pas pour atteindre la plupart des cibles nationales. Les Parties ont fait état de difficultés liées aux données et aux méthodes de suivi, à la faiblesse des cadres de planification et de l’application des règles, à l’insuffisance de la coordination entre les autorités et au manque de compétences spécialisées en la matière.</w:t>
            </w:r>
          </w:p>
        </w:tc>
      </w:tr>
      <w:tr w:rsidR="007A60EC" w:rsidRPr="00543148" w14:paraId="732F89AC" w14:textId="77777777" w:rsidTr="00557FB3">
        <w:trPr>
          <w:trHeight w:val="4668"/>
        </w:trPr>
        <w:tc>
          <w:tcPr>
            <w:tcW w:w="1080" w:type="dxa"/>
            <w:shd w:val="clear" w:color="auto" w:fill="FFFFFF" w:themeFill="background1"/>
            <w:noWrap/>
            <w:vAlign w:val="center"/>
          </w:tcPr>
          <w:p w14:paraId="739EA2AD" w14:textId="0D80F279"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lastRenderedPageBreak/>
              <w:t>Cible 1</w:t>
            </w:r>
            <w:r w:rsidR="007A60EC" w:rsidRPr="00653BF4">
              <w:rPr>
                <w:rFonts w:ascii="Aptos" w:eastAsia="Times New Roman" w:hAnsi="Aptos" w:cs="Aptos"/>
                <w:color w:val="000000"/>
                <w:sz w:val="20"/>
                <w:szCs w:val="20"/>
                <w:lang w:val="fr-FR"/>
              </w:rPr>
              <w:t>3</w:t>
            </w:r>
          </w:p>
        </w:tc>
        <w:tc>
          <w:tcPr>
            <w:tcW w:w="633" w:type="dxa"/>
            <w:shd w:val="clear" w:color="auto" w:fill="FFFFFF" w:themeFill="background1"/>
            <w:noWrap/>
            <w:vAlign w:val="center"/>
          </w:tcPr>
          <w:p w14:paraId="27D3AB1B"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7E57DFC8"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59 %</w:t>
            </w:r>
          </w:p>
        </w:tc>
        <w:tc>
          <w:tcPr>
            <w:tcW w:w="663" w:type="dxa"/>
            <w:shd w:val="clear" w:color="auto" w:fill="FFFFFF" w:themeFill="background1"/>
            <w:noWrap/>
            <w:vAlign w:val="center"/>
          </w:tcPr>
          <w:p w14:paraId="0C30E59C"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4AE53F27"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44 %</w:t>
            </w:r>
          </w:p>
        </w:tc>
        <w:tc>
          <w:tcPr>
            <w:tcW w:w="630" w:type="dxa"/>
            <w:shd w:val="clear" w:color="auto" w:fill="FFFFFF" w:themeFill="background1"/>
            <w:noWrap/>
            <w:vAlign w:val="center"/>
          </w:tcPr>
          <w:p w14:paraId="57B49ED2"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473DCE75" w14:textId="77777777" w:rsidR="007A60EC" w:rsidRPr="00653BF4" w:rsidRDefault="007A60EC" w:rsidP="00557FB3">
            <w:pPr>
              <w:rPr>
                <w:rFonts w:ascii="Aptos Narrow" w:eastAsia="Times New Roman" w:hAnsi="Aptos Narrow" w:cs="Calibri"/>
                <w:lang w:val="fr-FR"/>
              </w:rPr>
            </w:pPr>
            <w:r w:rsidRPr="00653BF4">
              <w:rPr>
                <w:rFonts w:ascii="Aptos Narrow" w:hAnsi="Aptos Narrow" w:cs="Aptos Narrow"/>
                <w:color w:val="000000"/>
                <w:sz w:val="20"/>
                <w:szCs w:val="20"/>
                <w:lang w:val="fr-FR"/>
              </w:rPr>
              <w:t>25 %</w:t>
            </w:r>
          </w:p>
        </w:tc>
        <w:tc>
          <w:tcPr>
            <w:tcW w:w="687" w:type="dxa"/>
            <w:shd w:val="clear" w:color="auto" w:fill="FFFFFF" w:themeFill="background1"/>
            <w:noWrap/>
            <w:vAlign w:val="center"/>
          </w:tcPr>
          <w:p w14:paraId="2926351F"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39D0BF34"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24 %</w:t>
            </w:r>
          </w:p>
        </w:tc>
        <w:tc>
          <w:tcPr>
            <w:tcW w:w="875" w:type="dxa"/>
            <w:shd w:val="clear" w:color="auto" w:fill="FC8D59"/>
            <w:noWrap/>
            <w:vAlign w:val="center"/>
          </w:tcPr>
          <w:p w14:paraId="1843F8AC"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0,38</w:t>
            </w:r>
          </w:p>
        </w:tc>
        <w:tc>
          <w:tcPr>
            <w:tcW w:w="5066" w:type="dxa"/>
            <w:vAlign w:val="center"/>
          </w:tcPr>
          <w:p w14:paraId="02A79C9B" w14:textId="2EFF30F0"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 xml:space="preserve">Des progrès sont accomplis dans la mise en place de cadres d’accès et de partage des avantages, mais la mise en œuvre des exigences législatives, administratives et de politique générale nécessaires en est encore largement à ses débuts. Dans l’ensemble, les cibles nationales couvrent bien les éléments de la </w:t>
            </w:r>
            <w:r w:rsidR="00E34DC9">
              <w:rPr>
                <w:rFonts w:ascii="Aptos" w:eastAsia="Times New Roman" w:hAnsi="Aptos" w:cs="Aptos"/>
                <w:color w:val="000000"/>
                <w:sz w:val="20"/>
                <w:szCs w:val="20"/>
                <w:lang w:val="fr-FR"/>
              </w:rPr>
              <w:t>cible 1</w:t>
            </w:r>
            <w:r w:rsidRPr="00653BF4">
              <w:rPr>
                <w:rFonts w:ascii="Aptos" w:eastAsia="Times New Roman" w:hAnsi="Aptos" w:cs="Aptos"/>
                <w:color w:val="000000"/>
                <w:sz w:val="20"/>
                <w:szCs w:val="20"/>
                <w:lang w:val="fr-FR"/>
              </w:rPr>
              <w:t>3 relatifs aux ressources génétiques. Les Parties ont communiqué peu de données sur les avantages monétaires et non monétaires découlant des instruments d’accès et de partage des avantages. D’après l’analyse des indicateurs, la tendance semble globalement positive, ce qu’étayent les auto-évaluations des Parties, selon lesquelles 43</w:t>
            </w:r>
            <w:r w:rsidR="002878D7">
              <w:rPr>
                <w:rFonts w:ascii="Aptos" w:eastAsia="Times New Roman" w:hAnsi="Aptos" w:cs="Aptos"/>
                <w:color w:val="000000"/>
                <w:sz w:val="20"/>
                <w:szCs w:val="20"/>
                <w:lang w:val="fr-FR"/>
              </w:rPr>
              <w:t> %</w:t>
            </w:r>
            <w:r w:rsidRPr="00653BF4">
              <w:rPr>
                <w:rFonts w:ascii="Aptos" w:eastAsia="Times New Roman" w:hAnsi="Aptos" w:cs="Aptos"/>
                <w:color w:val="000000"/>
                <w:sz w:val="20"/>
                <w:szCs w:val="20"/>
                <w:lang w:val="fr-FR"/>
              </w:rPr>
              <w:t xml:space="preserve"> des cibles nationales étroitement alignées sur la </w:t>
            </w:r>
            <w:r w:rsidR="00E34DC9">
              <w:rPr>
                <w:rFonts w:ascii="Aptos" w:eastAsia="Times New Roman" w:hAnsi="Aptos" w:cs="Aptos"/>
                <w:color w:val="000000"/>
                <w:sz w:val="20"/>
                <w:szCs w:val="20"/>
                <w:lang w:val="fr-FR"/>
              </w:rPr>
              <w:t>cible 1</w:t>
            </w:r>
            <w:r w:rsidRPr="00653BF4">
              <w:rPr>
                <w:rFonts w:ascii="Aptos" w:eastAsia="Times New Roman" w:hAnsi="Aptos" w:cs="Aptos"/>
                <w:color w:val="000000"/>
                <w:sz w:val="20"/>
                <w:szCs w:val="20"/>
                <w:lang w:val="fr-FR"/>
              </w:rPr>
              <w:t>3 sont en voie d’être atteintes. Les difficultés d’ordre réglementaire figurent parmi les obstacles à la mise en œuvre les plus fréquemment cités. Il faut renforcer le suivi pour déterminer dans quelle mesure les cadres nationaux d’accès et de partage des avantages et les autres cadres réglementaires contribuent à accroître les avantages partagés.</w:t>
            </w:r>
          </w:p>
        </w:tc>
      </w:tr>
      <w:tr w:rsidR="007A60EC" w:rsidRPr="00543148" w14:paraId="4588262D" w14:textId="77777777" w:rsidTr="00557FB3">
        <w:trPr>
          <w:trHeight w:val="2340"/>
        </w:trPr>
        <w:tc>
          <w:tcPr>
            <w:tcW w:w="1080" w:type="dxa"/>
            <w:shd w:val="clear" w:color="auto" w:fill="FFFFFF" w:themeFill="background1"/>
            <w:noWrap/>
            <w:vAlign w:val="center"/>
          </w:tcPr>
          <w:p w14:paraId="01C18181" w14:textId="652C8D46"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t>Cible 1</w:t>
            </w:r>
            <w:r w:rsidR="007A60EC" w:rsidRPr="00653BF4">
              <w:rPr>
                <w:rFonts w:ascii="Aptos" w:eastAsia="Times New Roman" w:hAnsi="Aptos" w:cs="Aptos"/>
                <w:color w:val="000000"/>
                <w:sz w:val="20"/>
                <w:szCs w:val="20"/>
                <w:lang w:val="fr-FR"/>
              </w:rPr>
              <w:t>4</w:t>
            </w:r>
          </w:p>
        </w:tc>
        <w:tc>
          <w:tcPr>
            <w:tcW w:w="633" w:type="dxa"/>
            <w:shd w:val="clear" w:color="auto" w:fill="FFFFFF" w:themeFill="background1"/>
            <w:noWrap/>
            <w:vAlign w:val="center"/>
          </w:tcPr>
          <w:p w14:paraId="7791D933"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3146613B"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43 %</w:t>
            </w:r>
          </w:p>
        </w:tc>
        <w:tc>
          <w:tcPr>
            <w:tcW w:w="663" w:type="dxa"/>
            <w:shd w:val="clear" w:color="auto" w:fill="FFFFFF" w:themeFill="background1"/>
            <w:noWrap/>
            <w:vAlign w:val="center"/>
          </w:tcPr>
          <w:p w14:paraId="740CEDF8"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2F12459F"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38 %</w:t>
            </w:r>
          </w:p>
        </w:tc>
        <w:tc>
          <w:tcPr>
            <w:tcW w:w="630" w:type="dxa"/>
            <w:shd w:val="clear" w:color="auto" w:fill="FFFFFF" w:themeFill="background1"/>
            <w:noWrap/>
            <w:vAlign w:val="center"/>
          </w:tcPr>
          <w:p w14:paraId="6B05A86B"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531B11E6" w14:textId="77777777" w:rsidR="007A60EC" w:rsidRPr="00653BF4" w:rsidRDefault="007A60EC" w:rsidP="00557FB3">
            <w:pPr>
              <w:rPr>
                <w:rFonts w:ascii="Aptos Narrow" w:eastAsia="Times New Roman" w:hAnsi="Aptos Narrow" w:cs="Calibri"/>
                <w:lang w:val="fr-FR"/>
              </w:rPr>
            </w:pPr>
            <w:r w:rsidRPr="00653BF4">
              <w:rPr>
                <w:rFonts w:ascii="Calibri" w:hAnsi="Calibri" w:cs="Calibri"/>
                <w:color w:val="000000"/>
                <w:sz w:val="20"/>
                <w:szCs w:val="20"/>
                <w:lang w:val="fr-FR"/>
              </w:rPr>
              <w:t>50 %</w:t>
            </w:r>
          </w:p>
        </w:tc>
        <w:tc>
          <w:tcPr>
            <w:tcW w:w="687" w:type="dxa"/>
            <w:shd w:val="clear" w:color="auto" w:fill="FFFFFF" w:themeFill="background1"/>
            <w:noWrap/>
            <w:vAlign w:val="center"/>
          </w:tcPr>
          <w:p w14:paraId="508A764D"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6AE94854"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12 %</w:t>
            </w:r>
          </w:p>
        </w:tc>
        <w:tc>
          <w:tcPr>
            <w:tcW w:w="875" w:type="dxa"/>
            <w:shd w:val="clear" w:color="auto" w:fill="FC8D59"/>
            <w:noWrap/>
            <w:vAlign w:val="center"/>
          </w:tcPr>
          <w:p w14:paraId="1288AEFC"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0,25</w:t>
            </w:r>
          </w:p>
        </w:tc>
        <w:tc>
          <w:tcPr>
            <w:tcW w:w="5066" w:type="dxa"/>
            <w:vAlign w:val="center"/>
          </w:tcPr>
          <w:p w14:paraId="20ADC5C0" w14:textId="7197ECD6"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L’intégration des valeurs de la biodiversité dans les politiques, la planification et la prise de décisions progresse, mais leur prise en compte dans la pratique n’en est généralement qu’à ses débuts et reste difficile à évaluer. La plupart des Parties ont présenté des cibles nationales portant sur l’intégration de la biodiversité et de ses multiples valeurs dans les politiques, les réglementations et les processus de planification et de développement</w:t>
            </w:r>
            <w:r w:rsidR="00E34DC9">
              <w:rPr>
                <w:rFonts w:ascii="Aptos" w:eastAsia="Times New Roman" w:hAnsi="Aptos" w:cs="Aptos"/>
                <w:color w:val="000000"/>
                <w:sz w:val="20"/>
                <w:szCs w:val="20"/>
                <w:lang w:val="fr-FR"/>
              </w:rPr>
              <w:t> ;</w:t>
            </w:r>
            <w:r w:rsidRPr="00653BF4">
              <w:rPr>
                <w:rFonts w:ascii="Aptos" w:eastAsia="Times New Roman" w:hAnsi="Aptos" w:cs="Aptos"/>
                <w:color w:val="000000"/>
                <w:sz w:val="20"/>
                <w:szCs w:val="20"/>
                <w:lang w:val="fr-FR"/>
              </w:rPr>
              <w:t xml:space="preserve"> la couverture de tous les autres éléments de la cible reste toutefois très lacunaire, notamment en ce qui concerne l’intégration de la biodiversité dans les stratégies d’élimination de la pauvreté et l’alignement des flux fiscaux et financiers. Les informations communiquées sur les progrès vers la </w:t>
            </w:r>
            <w:r w:rsidR="00E34DC9">
              <w:rPr>
                <w:rFonts w:ascii="Aptos" w:eastAsia="Times New Roman" w:hAnsi="Aptos" w:cs="Aptos"/>
                <w:color w:val="000000"/>
                <w:sz w:val="20"/>
                <w:szCs w:val="20"/>
                <w:lang w:val="fr-FR"/>
              </w:rPr>
              <w:t>cible 1</w:t>
            </w:r>
            <w:r w:rsidRPr="00653BF4">
              <w:rPr>
                <w:rFonts w:ascii="Aptos" w:eastAsia="Times New Roman" w:hAnsi="Aptos" w:cs="Aptos"/>
                <w:color w:val="000000"/>
                <w:sz w:val="20"/>
                <w:szCs w:val="20"/>
                <w:lang w:val="fr-FR"/>
              </w:rPr>
              <w:t xml:space="preserve">4 restent limitées, très peu de Parties ayant présenté des indicateurs quantitatifs, et de nombreux </w:t>
            </w:r>
            <w:r w:rsidRPr="00653BF4">
              <w:rPr>
                <w:rFonts w:ascii="Aptos" w:eastAsia="Times New Roman" w:hAnsi="Aptos" w:cs="Aptos"/>
                <w:color w:val="000000"/>
                <w:sz w:val="20"/>
                <w:szCs w:val="20"/>
                <w:lang w:val="fr-FR"/>
              </w:rPr>
              <w:lastRenderedPageBreak/>
              <w:t>aspects de la mise en œuvre mesurés par l’indicateur binaire sont encore mal pris en compte. Toutefois, dans leurs auto-évaluations, les Parties se montrent relativement confiantes et s’estiment en voie d’atteindre les cibles nationales relatives à l’intégration de la biodiversité. Les Parties font état d’un décalage persistant entre les politiques officielles en matière de biodiversité et leur mise en œuvre effective.</w:t>
            </w:r>
          </w:p>
        </w:tc>
      </w:tr>
      <w:tr w:rsidR="007A60EC" w:rsidRPr="00543148" w14:paraId="5E5B3169" w14:textId="77777777" w:rsidTr="00557FB3">
        <w:trPr>
          <w:trHeight w:val="983"/>
        </w:trPr>
        <w:tc>
          <w:tcPr>
            <w:tcW w:w="1080" w:type="dxa"/>
            <w:shd w:val="clear" w:color="auto" w:fill="FFFFFF" w:themeFill="background1"/>
            <w:noWrap/>
            <w:vAlign w:val="center"/>
          </w:tcPr>
          <w:p w14:paraId="132D5482" w14:textId="193B876C"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lastRenderedPageBreak/>
              <w:t>Cible 1</w:t>
            </w:r>
            <w:r w:rsidR="007A60EC" w:rsidRPr="00653BF4">
              <w:rPr>
                <w:rFonts w:ascii="Aptos" w:eastAsia="Times New Roman" w:hAnsi="Aptos" w:cs="Aptos"/>
                <w:color w:val="000000"/>
                <w:sz w:val="20"/>
                <w:szCs w:val="20"/>
                <w:lang w:val="fr-FR"/>
              </w:rPr>
              <w:t>5</w:t>
            </w:r>
          </w:p>
        </w:tc>
        <w:tc>
          <w:tcPr>
            <w:tcW w:w="633" w:type="dxa"/>
            <w:shd w:val="clear" w:color="auto" w:fill="FFFFFF" w:themeFill="background1"/>
            <w:noWrap/>
            <w:vAlign w:val="center"/>
          </w:tcPr>
          <w:p w14:paraId="4D0FAFA1"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6DD19A5D"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40 %</w:t>
            </w:r>
          </w:p>
        </w:tc>
        <w:tc>
          <w:tcPr>
            <w:tcW w:w="663" w:type="dxa"/>
            <w:shd w:val="clear" w:color="auto" w:fill="FFFFFF" w:themeFill="background1"/>
            <w:noWrap/>
            <w:vAlign w:val="center"/>
          </w:tcPr>
          <w:p w14:paraId="1D1BCAB0"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4E3B80CD"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31 %</w:t>
            </w:r>
          </w:p>
        </w:tc>
        <w:tc>
          <w:tcPr>
            <w:tcW w:w="630" w:type="dxa"/>
            <w:shd w:val="clear" w:color="auto" w:fill="FFFFFF" w:themeFill="background1"/>
            <w:noWrap/>
            <w:vAlign w:val="center"/>
          </w:tcPr>
          <w:p w14:paraId="5BC92185"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4E17DE7B" w14:textId="77777777" w:rsidR="007A60EC" w:rsidRPr="00653BF4" w:rsidRDefault="007A60EC" w:rsidP="00557FB3">
            <w:pPr>
              <w:rPr>
                <w:rFonts w:ascii="Aptos Narrow" w:eastAsia="Times New Roman" w:hAnsi="Aptos Narrow" w:cs="Calibri"/>
                <w:lang w:val="fr-FR"/>
              </w:rPr>
            </w:pPr>
            <w:r w:rsidRPr="00653BF4">
              <w:rPr>
                <w:rFonts w:ascii="Aptos Narrow" w:hAnsi="Aptos Narrow" w:cs="Aptos Narrow"/>
                <w:color w:val="000000"/>
                <w:sz w:val="20"/>
                <w:szCs w:val="20"/>
                <w:lang w:val="fr-FR"/>
              </w:rPr>
              <w:t>50 %</w:t>
            </w:r>
          </w:p>
        </w:tc>
        <w:tc>
          <w:tcPr>
            <w:tcW w:w="687" w:type="dxa"/>
            <w:shd w:val="clear" w:color="auto" w:fill="FFFFFF" w:themeFill="background1"/>
            <w:noWrap/>
            <w:vAlign w:val="center"/>
          </w:tcPr>
          <w:p w14:paraId="04BEF57F"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2CDCB053"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27 %</w:t>
            </w:r>
          </w:p>
        </w:tc>
        <w:tc>
          <w:tcPr>
            <w:tcW w:w="875" w:type="dxa"/>
            <w:shd w:val="clear" w:color="auto" w:fill="FC8D59"/>
            <w:noWrap/>
            <w:vAlign w:val="center"/>
          </w:tcPr>
          <w:p w14:paraId="296539EB"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0,25</w:t>
            </w:r>
          </w:p>
        </w:tc>
        <w:tc>
          <w:tcPr>
            <w:tcW w:w="5066" w:type="dxa"/>
            <w:vAlign w:val="center"/>
          </w:tcPr>
          <w:p w14:paraId="2B6BB714" w14:textId="47A12060"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 xml:space="preserve">Les entreprises publient davantage d’informations, mais la mise en œuvre des politiques reste limitée et les cibles nationales ne prennent encore que partiellement en compte les éléments de la </w:t>
            </w:r>
            <w:r w:rsidR="00E34DC9">
              <w:rPr>
                <w:rFonts w:ascii="Aptos" w:eastAsia="Times New Roman" w:hAnsi="Aptos" w:cs="Aptos"/>
                <w:color w:val="000000"/>
                <w:sz w:val="20"/>
                <w:szCs w:val="20"/>
                <w:lang w:val="fr-FR"/>
              </w:rPr>
              <w:t>cible 1</w:t>
            </w:r>
            <w:r w:rsidRPr="00653BF4">
              <w:rPr>
                <w:rFonts w:ascii="Aptos" w:eastAsia="Times New Roman" w:hAnsi="Aptos" w:cs="Aptos"/>
                <w:color w:val="000000"/>
                <w:sz w:val="20"/>
                <w:szCs w:val="20"/>
                <w:lang w:val="fr-FR"/>
              </w:rPr>
              <w:t xml:space="preserve">5. La plupart de ces cibles sont peu alignées sur ces éléments. Si de nombreuses Parties ont eu du mal à compiler les données relatives à l’indicateur phare 15.1, près d’un cinquième des Parties dont les rapports nationaux étaient disponibles pour l’analyse ont fait état, au total, de plus de 5 000 entreprises publiant des informations sur les risques liés à la biodiversité, un nombre en hausse d’année en année. Toutefois, d’après l’indicateur binaire, les mesures visant à atteindre la </w:t>
            </w:r>
            <w:r w:rsidR="00E34DC9">
              <w:rPr>
                <w:rFonts w:ascii="Aptos" w:eastAsia="Times New Roman" w:hAnsi="Aptos" w:cs="Aptos"/>
                <w:color w:val="000000"/>
                <w:sz w:val="20"/>
                <w:szCs w:val="20"/>
                <w:lang w:val="fr-FR"/>
              </w:rPr>
              <w:t>cible 1</w:t>
            </w:r>
            <w:r w:rsidRPr="00653BF4">
              <w:rPr>
                <w:rFonts w:ascii="Aptos" w:eastAsia="Times New Roman" w:hAnsi="Aptos" w:cs="Aptos"/>
                <w:color w:val="000000"/>
                <w:sz w:val="20"/>
                <w:szCs w:val="20"/>
                <w:lang w:val="fr-FR"/>
              </w:rPr>
              <w:t>5 sont pour la plupart en cours d’élaboration et ne sont pas encore en place. Dans leurs auto-évaluations, les Parties reconnaissent que, pour les deux tiers des cibles nationales, les progrès sont nuls ou insuffisants. Parmi les principales difficultés recensées figurent l’absence de cadres obligatoires de communication d’informations, les lacunes en matière de capacités et de données, l’exclusion des petites et moyennes entreprises ainsi que l’inadéquation des mesures d’incitation.</w:t>
            </w:r>
          </w:p>
        </w:tc>
      </w:tr>
      <w:tr w:rsidR="007A60EC" w:rsidRPr="00543148" w14:paraId="4DD11ECF" w14:textId="77777777" w:rsidTr="00557FB3">
        <w:trPr>
          <w:trHeight w:val="5884"/>
        </w:trPr>
        <w:tc>
          <w:tcPr>
            <w:tcW w:w="1080" w:type="dxa"/>
            <w:shd w:val="clear" w:color="auto" w:fill="FFFFFF" w:themeFill="background1"/>
            <w:noWrap/>
            <w:vAlign w:val="center"/>
          </w:tcPr>
          <w:p w14:paraId="6B837D5B" w14:textId="12C09704"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lastRenderedPageBreak/>
              <w:t>Cible 1</w:t>
            </w:r>
            <w:r w:rsidR="007A60EC" w:rsidRPr="00653BF4">
              <w:rPr>
                <w:rFonts w:ascii="Aptos" w:eastAsia="Times New Roman" w:hAnsi="Aptos" w:cs="Aptos"/>
                <w:color w:val="000000"/>
                <w:sz w:val="20"/>
                <w:szCs w:val="20"/>
                <w:lang w:val="fr-FR"/>
              </w:rPr>
              <w:t>6</w:t>
            </w:r>
          </w:p>
        </w:tc>
        <w:tc>
          <w:tcPr>
            <w:tcW w:w="633" w:type="dxa"/>
            <w:shd w:val="clear" w:color="auto" w:fill="FFFFFF" w:themeFill="background1"/>
            <w:noWrap/>
            <w:vAlign w:val="center"/>
          </w:tcPr>
          <w:p w14:paraId="2E6D01B3"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26E6EA66"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37 %</w:t>
            </w:r>
          </w:p>
        </w:tc>
        <w:tc>
          <w:tcPr>
            <w:tcW w:w="663" w:type="dxa"/>
            <w:shd w:val="clear" w:color="auto" w:fill="FFFFFF" w:themeFill="background1"/>
            <w:noWrap/>
            <w:vAlign w:val="center"/>
          </w:tcPr>
          <w:p w14:paraId="03BB11A4"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3AA0781A"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29 %</w:t>
            </w:r>
          </w:p>
        </w:tc>
        <w:tc>
          <w:tcPr>
            <w:tcW w:w="630" w:type="dxa"/>
            <w:shd w:val="clear" w:color="auto" w:fill="FFFFFF" w:themeFill="background1"/>
            <w:noWrap/>
            <w:vAlign w:val="center"/>
          </w:tcPr>
          <w:p w14:paraId="392C47C6"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72CA57F6" w14:textId="77777777" w:rsidR="007A60EC" w:rsidRPr="00653BF4" w:rsidRDefault="007A60EC" w:rsidP="00557FB3">
            <w:pPr>
              <w:rPr>
                <w:rFonts w:ascii="Aptos Narrow" w:eastAsia="Times New Roman" w:hAnsi="Aptos Narrow" w:cs="Calibri"/>
                <w:lang w:val="fr-FR"/>
              </w:rPr>
            </w:pPr>
            <w:r w:rsidRPr="00653BF4">
              <w:rPr>
                <w:rFonts w:ascii="Calibri" w:hAnsi="Calibri" w:cs="Calibri"/>
                <w:color w:val="000000"/>
                <w:sz w:val="20"/>
                <w:szCs w:val="20"/>
                <w:lang w:val="fr-FR"/>
              </w:rPr>
              <w:t>75 %</w:t>
            </w:r>
          </w:p>
        </w:tc>
        <w:tc>
          <w:tcPr>
            <w:tcW w:w="687" w:type="dxa"/>
            <w:shd w:val="clear" w:color="auto" w:fill="FFFFFF" w:themeFill="background1"/>
            <w:noWrap/>
            <w:vAlign w:val="center"/>
          </w:tcPr>
          <w:p w14:paraId="579D5AD2"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4AB21E34"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19 %</w:t>
            </w:r>
          </w:p>
        </w:tc>
        <w:tc>
          <w:tcPr>
            <w:tcW w:w="875" w:type="dxa"/>
            <w:shd w:val="clear" w:color="auto" w:fill="FC8D59"/>
            <w:noWrap/>
            <w:vAlign w:val="center"/>
          </w:tcPr>
          <w:p w14:paraId="2E3D8AA8"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0,38</w:t>
            </w:r>
          </w:p>
        </w:tc>
        <w:tc>
          <w:tcPr>
            <w:tcW w:w="5066" w:type="dxa"/>
            <w:vAlign w:val="center"/>
          </w:tcPr>
          <w:p w14:paraId="09FD19BD" w14:textId="583D73F9" w:rsidR="007A60EC" w:rsidRPr="00653BF4" w:rsidRDefault="007A60EC" w:rsidP="00557FB3">
            <w:pPr>
              <w:rPr>
                <w:rFonts w:ascii="Aptos" w:hAnsi="Aptos" w:cs="Aptos"/>
                <w:sz w:val="20"/>
                <w:szCs w:val="20"/>
                <w:lang w:val="fr-FR"/>
              </w:rPr>
            </w:pPr>
            <w:r w:rsidRPr="00653BF4">
              <w:rPr>
                <w:rFonts w:ascii="Aptos" w:hAnsi="Aptos" w:cs="Aptos"/>
                <w:sz w:val="20"/>
                <w:szCs w:val="20"/>
                <w:lang w:val="fr-FR"/>
              </w:rPr>
              <w:t xml:space="preserve">Les cibles nationales prennent insuffisamment en compte la plupart des aspects de la </w:t>
            </w:r>
            <w:r w:rsidR="00E34DC9">
              <w:rPr>
                <w:rFonts w:ascii="Aptos" w:hAnsi="Aptos" w:cs="Aptos"/>
                <w:sz w:val="20"/>
                <w:szCs w:val="20"/>
                <w:lang w:val="fr-FR"/>
              </w:rPr>
              <w:t>cible 1</w:t>
            </w:r>
            <w:r w:rsidRPr="00653BF4">
              <w:rPr>
                <w:rFonts w:ascii="Aptos" w:hAnsi="Aptos" w:cs="Aptos"/>
                <w:sz w:val="20"/>
                <w:szCs w:val="20"/>
                <w:lang w:val="fr-FR"/>
              </w:rPr>
              <w:t xml:space="preserve">6, mais des progrès sont réalisés dans la mise en œuvre des instruments de politique publique pertinents. Chaque élément de la </w:t>
            </w:r>
            <w:r w:rsidR="00E34DC9">
              <w:rPr>
                <w:rFonts w:ascii="Aptos" w:hAnsi="Aptos" w:cs="Aptos"/>
                <w:sz w:val="20"/>
                <w:szCs w:val="20"/>
                <w:lang w:val="fr-FR"/>
              </w:rPr>
              <w:t>cible 1</w:t>
            </w:r>
            <w:r w:rsidRPr="00653BF4">
              <w:rPr>
                <w:rFonts w:ascii="Aptos" w:hAnsi="Aptos" w:cs="Aptos"/>
                <w:sz w:val="20"/>
                <w:szCs w:val="20"/>
                <w:lang w:val="fr-FR"/>
              </w:rPr>
              <w:t>6 est repris par moins de la moitié des Parties dont les cibles nationales ont été examinées dans le rapport mondial. Les Parties font état de certains progrès appréciables dans la mise en place de politiques et de mécanismes en faveur d’une consommation durable, mais les mesures ciblées concernant le gaspillage alimentaire, la surconsommation et la gestion des déchets sont encore en cours d’élaboration. Dans leurs auto-évaluations, les Parties dont les rapports nationaux ont pu être analysés reconnaissent que les progrès demeurent insuffisants pour la plupart (70</w:t>
            </w:r>
            <w:r w:rsidR="002878D7">
              <w:rPr>
                <w:rFonts w:ascii="Aptos" w:hAnsi="Aptos" w:cs="Aptos"/>
                <w:sz w:val="20"/>
                <w:szCs w:val="20"/>
                <w:lang w:val="fr-FR"/>
              </w:rPr>
              <w:t> %</w:t>
            </w:r>
            <w:r w:rsidRPr="00653BF4">
              <w:rPr>
                <w:rFonts w:ascii="Aptos" w:hAnsi="Aptos" w:cs="Aptos"/>
                <w:sz w:val="20"/>
                <w:szCs w:val="20"/>
                <w:lang w:val="fr-FR"/>
              </w:rPr>
              <w:t xml:space="preserve">) des cibles nationales liées à la </w:t>
            </w:r>
            <w:r w:rsidR="00E34DC9">
              <w:rPr>
                <w:rFonts w:ascii="Aptos" w:hAnsi="Aptos" w:cs="Aptos"/>
                <w:sz w:val="20"/>
                <w:szCs w:val="20"/>
                <w:lang w:val="fr-FR"/>
              </w:rPr>
              <w:t>cible 1</w:t>
            </w:r>
            <w:r w:rsidRPr="00653BF4">
              <w:rPr>
                <w:rFonts w:ascii="Aptos" w:hAnsi="Aptos" w:cs="Aptos"/>
                <w:sz w:val="20"/>
                <w:szCs w:val="20"/>
                <w:lang w:val="fr-FR"/>
              </w:rPr>
              <w:t>6. Les Parties mentionnent d’importantes difficultés, notamment l’absence d’installations adéquates de gestion des déchets, le manque de financement et de contrôle de l’application des règles, la faible mise en œuvre de la responsabilité élargie des producteurs et la persistance d’empreintes matérielles élevées dans certains pays.</w:t>
            </w:r>
          </w:p>
        </w:tc>
      </w:tr>
      <w:tr w:rsidR="007A60EC" w:rsidRPr="00543148" w14:paraId="2132B00A" w14:textId="77777777" w:rsidTr="00557FB3">
        <w:trPr>
          <w:trHeight w:val="993"/>
        </w:trPr>
        <w:tc>
          <w:tcPr>
            <w:tcW w:w="1080" w:type="dxa"/>
            <w:shd w:val="clear" w:color="auto" w:fill="FFFFFF" w:themeFill="background1"/>
            <w:noWrap/>
            <w:vAlign w:val="center"/>
          </w:tcPr>
          <w:p w14:paraId="6A97B90C" w14:textId="0B7F5EBD"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t>Cible 1</w:t>
            </w:r>
            <w:r w:rsidR="007A60EC" w:rsidRPr="00653BF4">
              <w:rPr>
                <w:rFonts w:ascii="Aptos" w:eastAsia="Times New Roman" w:hAnsi="Aptos" w:cs="Aptos"/>
                <w:color w:val="000000"/>
                <w:sz w:val="20"/>
                <w:szCs w:val="20"/>
                <w:lang w:val="fr-FR"/>
              </w:rPr>
              <w:t>7</w:t>
            </w:r>
          </w:p>
        </w:tc>
        <w:tc>
          <w:tcPr>
            <w:tcW w:w="633" w:type="dxa"/>
            <w:shd w:val="clear" w:color="auto" w:fill="FFFFFF" w:themeFill="background1"/>
            <w:noWrap/>
            <w:vAlign w:val="center"/>
          </w:tcPr>
          <w:p w14:paraId="59A2F6FF"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5BEA7538"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50 %</w:t>
            </w:r>
          </w:p>
        </w:tc>
        <w:tc>
          <w:tcPr>
            <w:tcW w:w="663" w:type="dxa"/>
            <w:shd w:val="clear" w:color="auto" w:fill="FFFFFF" w:themeFill="background1"/>
            <w:noWrap/>
            <w:vAlign w:val="center"/>
          </w:tcPr>
          <w:p w14:paraId="4C9FC45A"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283C96D3"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42 %</w:t>
            </w:r>
          </w:p>
        </w:tc>
        <w:tc>
          <w:tcPr>
            <w:tcW w:w="630" w:type="dxa"/>
            <w:shd w:val="clear" w:color="auto" w:fill="FFFFFF" w:themeFill="background1"/>
            <w:noWrap/>
            <w:vAlign w:val="center"/>
          </w:tcPr>
          <w:p w14:paraId="3772E63C"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4DF74D82" w14:textId="77777777" w:rsidR="007A60EC" w:rsidRPr="00653BF4" w:rsidRDefault="007A60EC" w:rsidP="00557FB3">
            <w:pPr>
              <w:rPr>
                <w:rFonts w:ascii="Aptos Narrow" w:eastAsia="Times New Roman" w:hAnsi="Aptos Narrow" w:cs="Calibri"/>
                <w:lang w:val="fr-FR"/>
              </w:rPr>
            </w:pPr>
            <w:r w:rsidRPr="00653BF4">
              <w:rPr>
                <w:rFonts w:ascii="Calibri" w:hAnsi="Calibri" w:cs="Calibri"/>
                <w:color w:val="000000"/>
                <w:sz w:val="20"/>
                <w:szCs w:val="20"/>
                <w:lang w:val="fr-FR"/>
              </w:rPr>
              <w:t>25 %</w:t>
            </w:r>
          </w:p>
        </w:tc>
        <w:tc>
          <w:tcPr>
            <w:tcW w:w="687" w:type="dxa"/>
            <w:shd w:val="clear" w:color="auto" w:fill="FFFFFF" w:themeFill="background1"/>
            <w:noWrap/>
            <w:vAlign w:val="center"/>
          </w:tcPr>
          <w:p w14:paraId="23655988"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02288011"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8 %</w:t>
            </w:r>
          </w:p>
        </w:tc>
        <w:tc>
          <w:tcPr>
            <w:tcW w:w="875" w:type="dxa"/>
            <w:shd w:val="clear" w:color="auto" w:fill="FC8D59"/>
            <w:noWrap/>
            <w:vAlign w:val="center"/>
          </w:tcPr>
          <w:p w14:paraId="66C5AE7E"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0,25</w:t>
            </w:r>
          </w:p>
        </w:tc>
        <w:tc>
          <w:tcPr>
            <w:tcW w:w="5066" w:type="dxa"/>
            <w:vAlign w:val="center"/>
          </w:tcPr>
          <w:p w14:paraId="48C3F8F5" w14:textId="711AEF3E"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 xml:space="preserve">La mise en place et l’application de mesures de prévention des risques biotechnologiques progressent, mais de manière inégale, et certains éléments de la </w:t>
            </w:r>
            <w:r w:rsidR="00E34DC9">
              <w:rPr>
                <w:rFonts w:ascii="Aptos" w:eastAsia="Times New Roman" w:hAnsi="Aptos" w:cs="Aptos"/>
                <w:color w:val="000000"/>
                <w:sz w:val="20"/>
                <w:szCs w:val="20"/>
                <w:lang w:val="fr-FR"/>
              </w:rPr>
              <w:t>cible 1</w:t>
            </w:r>
            <w:r w:rsidRPr="00653BF4">
              <w:rPr>
                <w:rFonts w:ascii="Aptos" w:eastAsia="Times New Roman" w:hAnsi="Aptos" w:cs="Aptos"/>
                <w:color w:val="000000"/>
                <w:sz w:val="20"/>
                <w:szCs w:val="20"/>
                <w:lang w:val="fr-FR"/>
              </w:rPr>
              <w:t>7 restent insuffisamment pris en compte. Une majorité de Parties disposent de cibles nationales portant sur les éléments relatifs à la mise en place et à la mise en œuvre de mesures de prévention des risques biotechnologiques, tandis que les éléments relatifs à l’article 19 sur la gestion de la biotechnologie et la répartition de ses avantages restent absents des cibles nationales. Les Parties indiquent que 37</w:t>
            </w:r>
            <w:r w:rsidR="002878D7">
              <w:rPr>
                <w:rFonts w:ascii="Aptos" w:eastAsia="Times New Roman" w:hAnsi="Aptos" w:cs="Aptos"/>
                <w:color w:val="000000"/>
                <w:sz w:val="20"/>
                <w:szCs w:val="20"/>
                <w:lang w:val="fr-FR"/>
              </w:rPr>
              <w:t> %</w:t>
            </w:r>
            <w:r w:rsidRPr="00653BF4">
              <w:rPr>
                <w:rFonts w:ascii="Aptos" w:eastAsia="Times New Roman" w:hAnsi="Aptos" w:cs="Aptos"/>
                <w:color w:val="000000"/>
                <w:sz w:val="20"/>
                <w:szCs w:val="20"/>
                <w:lang w:val="fr-FR"/>
              </w:rPr>
              <w:t xml:space="preserve"> des cibles nationales étroitement alignées sur la </w:t>
            </w:r>
            <w:r w:rsidR="00E34DC9">
              <w:rPr>
                <w:rFonts w:ascii="Aptos" w:eastAsia="Times New Roman" w:hAnsi="Aptos" w:cs="Aptos"/>
                <w:color w:val="000000"/>
                <w:sz w:val="20"/>
                <w:szCs w:val="20"/>
                <w:lang w:val="fr-FR"/>
              </w:rPr>
              <w:t>cible 1</w:t>
            </w:r>
            <w:r w:rsidRPr="00653BF4">
              <w:rPr>
                <w:rFonts w:ascii="Aptos" w:eastAsia="Times New Roman" w:hAnsi="Aptos" w:cs="Aptos"/>
                <w:color w:val="000000"/>
                <w:sz w:val="20"/>
                <w:szCs w:val="20"/>
                <w:lang w:val="fr-FR"/>
              </w:rPr>
              <w:t>7 sont en voie d’être atteintes et que 5</w:t>
            </w:r>
            <w:r w:rsidR="002878D7">
              <w:rPr>
                <w:rFonts w:ascii="Aptos" w:eastAsia="Times New Roman" w:hAnsi="Aptos" w:cs="Aptos"/>
                <w:color w:val="000000"/>
                <w:sz w:val="20"/>
                <w:szCs w:val="20"/>
                <w:lang w:val="fr-FR"/>
              </w:rPr>
              <w:t> %</w:t>
            </w:r>
            <w:r w:rsidRPr="00653BF4">
              <w:rPr>
                <w:rFonts w:ascii="Aptos" w:eastAsia="Times New Roman" w:hAnsi="Aptos" w:cs="Aptos"/>
                <w:color w:val="000000"/>
                <w:sz w:val="20"/>
                <w:szCs w:val="20"/>
                <w:lang w:val="fr-FR"/>
              </w:rPr>
              <w:t xml:space="preserve"> le sont déjà. Seules quelques Parties ont communiqué des données et des indicateurs relatifs à cette cible. Parmi les principales difficultés recensées figurent l’insuffisance des cadres juridiques et réglementaires, les problèmes liés à leur mise en œuvre et à leur application, le manque de capacités et d’accès aux installations de laboratoire, ainsi que la dépendance à l’égard du financement extérieur des projets.</w:t>
            </w:r>
          </w:p>
        </w:tc>
      </w:tr>
      <w:tr w:rsidR="007A60EC" w:rsidRPr="00543148" w14:paraId="16E181E3" w14:textId="77777777" w:rsidTr="00557FB3">
        <w:trPr>
          <w:trHeight w:val="3959"/>
        </w:trPr>
        <w:tc>
          <w:tcPr>
            <w:tcW w:w="1080" w:type="dxa"/>
            <w:shd w:val="clear" w:color="auto" w:fill="FFFFFF" w:themeFill="background1"/>
            <w:noWrap/>
            <w:vAlign w:val="center"/>
          </w:tcPr>
          <w:p w14:paraId="30982BBA" w14:textId="3AEAFC0C"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lastRenderedPageBreak/>
              <w:t>Cible 1</w:t>
            </w:r>
            <w:r w:rsidR="007A60EC" w:rsidRPr="00653BF4">
              <w:rPr>
                <w:rFonts w:ascii="Aptos" w:eastAsia="Times New Roman" w:hAnsi="Aptos" w:cs="Aptos"/>
                <w:color w:val="000000"/>
                <w:sz w:val="20"/>
                <w:szCs w:val="20"/>
                <w:lang w:val="fr-FR"/>
              </w:rPr>
              <w:t>8</w:t>
            </w:r>
          </w:p>
        </w:tc>
        <w:tc>
          <w:tcPr>
            <w:tcW w:w="633" w:type="dxa"/>
            <w:shd w:val="clear" w:color="auto" w:fill="FFFFFF" w:themeFill="background1"/>
            <w:noWrap/>
            <w:vAlign w:val="center"/>
          </w:tcPr>
          <w:p w14:paraId="58D24BF8"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16B95B4A"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43 %</w:t>
            </w:r>
          </w:p>
        </w:tc>
        <w:tc>
          <w:tcPr>
            <w:tcW w:w="663" w:type="dxa"/>
            <w:shd w:val="clear" w:color="auto" w:fill="FFFFFF" w:themeFill="background1"/>
            <w:noWrap/>
            <w:vAlign w:val="center"/>
          </w:tcPr>
          <w:p w14:paraId="5FEFD277"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0E69FBFF"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26 %</w:t>
            </w:r>
          </w:p>
        </w:tc>
        <w:tc>
          <w:tcPr>
            <w:tcW w:w="630" w:type="dxa"/>
            <w:shd w:val="clear" w:color="auto" w:fill="FFFFFF" w:themeFill="background1"/>
            <w:noWrap/>
            <w:vAlign w:val="center"/>
          </w:tcPr>
          <w:p w14:paraId="12F5142C"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5F1387BE" w14:textId="77777777" w:rsidR="007A60EC" w:rsidRPr="00653BF4" w:rsidRDefault="007A60EC" w:rsidP="00557FB3">
            <w:pPr>
              <w:rPr>
                <w:rFonts w:ascii="Aptos Narrow" w:eastAsia="Times New Roman" w:hAnsi="Aptos Narrow" w:cs="Calibri"/>
                <w:lang w:val="fr-FR"/>
              </w:rPr>
            </w:pPr>
            <w:r w:rsidRPr="00653BF4">
              <w:rPr>
                <w:rFonts w:ascii="Calibri" w:hAnsi="Calibri" w:cs="Calibri"/>
                <w:color w:val="000000"/>
                <w:sz w:val="20"/>
                <w:szCs w:val="20"/>
                <w:lang w:val="fr-FR"/>
              </w:rPr>
              <w:t>33 %</w:t>
            </w:r>
          </w:p>
        </w:tc>
        <w:tc>
          <w:tcPr>
            <w:tcW w:w="687" w:type="dxa"/>
            <w:shd w:val="clear" w:color="auto" w:fill="FFFFFF" w:themeFill="background1"/>
            <w:noWrap/>
            <w:vAlign w:val="center"/>
          </w:tcPr>
          <w:p w14:paraId="0B4B60DD"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65CFB3C8"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37 %</w:t>
            </w:r>
          </w:p>
        </w:tc>
        <w:tc>
          <w:tcPr>
            <w:tcW w:w="875" w:type="dxa"/>
            <w:shd w:val="clear" w:color="auto" w:fill="C00000"/>
            <w:noWrap/>
            <w:vAlign w:val="center"/>
          </w:tcPr>
          <w:p w14:paraId="6C30F404"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0,17</w:t>
            </w:r>
          </w:p>
        </w:tc>
        <w:tc>
          <w:tcPr>
            <w:tcW w:w="5066" w:type="dxa"/>
            <w:vAlign w:val="center"/>
          </w:tcPr>
          <w:p w14:paraId="2D0E4107" w14:textId="5D378F63"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themeColor="text1"/>
                <w:sz w:val="20"/>
                <w:szCs w:val="20"/>
                <w:lang w:val="fr-FR"/>
              </w:rPr>
              <w:t xml:space="preserve">Les progrès restent limités tant pour le renforcement des incitations positives que pour le recensement et la réforme des incitations préjudiciables. Les données disponibles donnent à penser que le jalon de 2025 n’a pas été atteint pour le recensement des incitations, y compris les subventions, préjudiciables à la biodiversité. Les cibles nationales prennent en compte de manière inégale les éléments de la </w:t>
            </w:r>
            <w:r w:rsidR="00E34DC9">
              <w:rPr>
                <w:rFonts w:ascii="Aptos" w:eastAsia="Times New Roman" w:hAnsi="Aptos" w:cs="Aptos"/>
                <w:color w:val="000000" w:themeColor="text1"/>
                <w:sz w:val="20"/>
                <w:szCs w:val="20"/>
                <w:lang w:val="fr-FR"/>
              </w:rPr>
              <w:t>cible 1</w:t>
            </w:r>
            <w:r w:rsidRPr="00653BF4">
              <w:rPr>
                <w:rFonts w:ascii="Aptos" w:eastAsia="Times New Roman" w:hAnsi="Aptos" w:cs="Aptos"/>
                <w:color w:val="000000" w:themeColor="text1"/>
                <w:sz w:val="20"/>
                <w:szCs w:val="20"/>
                <w:lang w:val="fr-FR"/>
              </w:rPr>
              <w:t xml:space="preserve">8. Il ressort des données relatives aux indicateurs que le nombre d’incitations positives augmente, mais que, parallèlement, la valeur déclarée des incitations, y compris les subventions, préjudiciables à la biodiversité, demeure considérable. Les auto-évaluations indiquent que seul un quart des cibles nationales étroitement alignées sur la </w:t>
            </w:r>
            <w:r w:rsidR="00E34DC9">
              <w:rPr>
                <w:rFonts w:ascii="Aptos" w:eastAsia="Times New Roman" w:hAnsi="Aptos" w:cs="Aptos"/>
                <w:color w:val="000000" w:themeColor="text1"/>
                <w:sz w:val="20"/>
                <w:szCs w:val="20"/>
                <w:lang w:val="fr-FR"/>
              </w:rPr>
              <w:t>cible 1</w:t>
            </w:r>
            <w:r w:rsidRPr="00653BF4">
              <w:rPr>
                <w:rFonts w:ascii="Aptos" w:eastAsia="Times New Roman" w:hAnsi="Aptos" w:cs="Aptos"/>
                <w:color w:val="000000" w:themeColor="text1"/>
                <w:sz w:val="20"/>
                <w:szCs w:val="20"/>
                <w:lang w:val="fr-FR"/>
              </w:rPr>
              <w:t>8 sont en voie d’être atteintes, tandis que la plupart affichent des progrès insuffisants. Parmi les principales difficultés figurent le recensement, la quantification et la réforme des subventions préjudiciables.</w:t>
            </w:r>
          </w:p>
        </w:tc>
      </w:tr>
      <w:tr w:rsidR="007A60EC" w:rsidRPr="00543148" w14:paraId="7C83E51D" w14:textId="77777777" w:rsidTr="00557FB3">
        <w:trPr>
          <w:trHeight w:val="4242"/>
        </w:trPr>
        <w:tc>
          <w:tcPr>
            <w:tcW w:w="1080" w:type="dxa"/>
            <w:shd w:val="clear" w:color="auto" w:fill="FFFFFF" w:themeFill="background1"/>
            <w:noWrap/>
            <w:vAlign w:val="center"/>
          </w:tcPr>
          <w:p w14:paraId="64409ADC" w14:textId="7960483C"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t>Cible 1</w:t>
            </w:r>
            <w:r w:rsidR="007A60EC" w:rsidRPr="00653BF4">
              <w:rPr>
                <w:rFonts w:ascii="Aptos" w:eastAsia="Times New Roman" w:hAnsi="Aptos" w:cs="Aptos"/>
                <w:color w:val="000000"/>
                <w:sz w:val="20"/>
                <w:szCs w:val="20"/>
                <w:lang w:val="fr-FR"/>
              </w:rPr>
              <w:t>9</w:t>
            </w:r>
          </w:p>
        </w:tc>
        <w:tc>
          <w:tcPr>
            <w:tcW w:w="633" w:type="dxa"/>
            <w:shd w:val="clear" w:color="auto" w:fill="FFFFFF" w:themeFill="background1"/>
            <w:noWrap/>
            <w:vAlign w:val="center"/>
          </w:tcPr>
          <w:p w14:paraId="1D81C902"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17091876"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41 %</w:t>
            </w:r>
          </w:p>
        </w:tc>
        <w:tc>
          <w:tcPr>
            <w:tcW w:w="663" w:type="dxa"/>
            <w:shd w:val="clear" w:color="auto" w:fill="FFFFFF" w:themeFill="background1"/>
            <w:noWrap/>
            <w:vAlign w:val="center"/>
          </w:tcPr>
          <w:p w14:paraId="52FC2C53"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2F3D549B"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33 %</w:t>
            </w:r>
          </w:p>
        </w:tc>
        <w:tc>
          <w:tcPr>
            <w:tcW w:w="630" w:type="dxa"/>
            <w:shd w:val="clear" w:color="auto" w:fill="FFFFFF" w:themeFill="background1"/>
            <w:noWrap/>
            <w:vAlign w:val="center"/>
          </w:tcPr>
          <w:p w14:paraId="5EE379BA"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57C1AFFB" w14:textId="77777777" w:rsidR="007A60EC" w:rsidRPr="00653BF4" w:rsidRDefault="007A60EC" w:rsidP="00557FB3">
            <w:pPr>
              <w:rPr>
                <w:rFonts w:ascii="Aptos Narrow" w:eastAsia="Times New Roman" w:hAnsi="Aptos Narrow" w:cs="Calibri"/>
                <w:lang w:val="fr-FR"/>
              </w:rPr>
            </w:pPr>
            <w:r w:rsidRPr="00653BF4">
              <w:rPr>
                <w:rFonts w:ascii="Calibri" w:hAnsi="Calibri" w:cs="Calibri"/>
                <w:color w:val="000000"/>
                <w:sz w:val="20"/>
                <w:szCs w:val="20"/>
                <w:lang w:val="fr-FR"/>
              </w:rPr>
              <w:t>25 %</w:t>
            </w:r>
          </w:p>
        </w:tc>
        <w:tc>
          <w:tcPr>
            <w:tcW w:w="687" w:type="dxa"/>
            <w:shd w:val="clear" w:color="auto" w:fill="FFFFFF" w:themeFill="background1"/>
            <w:noWrap/>
            <w:vAlign w:val="center"/>
          </w:tcPr>
          <w:p w14:paraId="3C89211A"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73C7B204"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68 %</w:t>
            </w:r>
          </w:p>
        </w:tc>
        <w:tc>
          <w:tcPr>
            <w:tcW w:w="875" w:type="dxa"/>
            <w:shd w:val="clear" w:color="auto" w:fill="C00000"/>
            <w:noWrap/>
            <w:vAlign w:val="center"/>
          </w:tcPr>
          <w:p w14:paraId="4F053FE9"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0,13</w:t>
            </w:r>
          </w:p>
        </w:tc>
        <w:tc>
          <w:tcPr>
            <w:tcW w:w="5066" w:type="dxa"/>
            <w:vAlign w:val="center"/>
          </w:tcPr>
          <w:p w14:paraId="17719C3F" w14:textId="77777777"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Le financement de la biodiversité augmente, mais les progrès restent insuffisants et le jalon financier de 2025 n’a probablement pas été atteint, même si une évaluation définitive ne sera possible qu’une fois communiquées les données complètes de 2024 et 2025. Les éléments relatifs aux synergies entre les financements et au rôle des actions collectives sont largement absents des cibles nationales. Les financements internationaux et nationaux en faveur de la biodiversité sont généralement en hausse, tout en restant inférieurs aux niveaux requis pour atteindre la cible, et la part des dépenses nationales dans le PIB a diminué. D’après les données communiquées, le financement privé a culminé en 2021 avant de reculer et reste particulièrement peu développé. Les auto-évaluations indiquent que seule une minorité des cibles nationales sont en voie d’être atteintes. Parmi les principales difficultés figurent la mobilisation de financements à grande échelle, l’amélioration de l’accès aux fonds et le renforcement des conditions propices à l’investissement.</w:t>
            </w:r>
          </w:p>
        </w:tc>
      </w:tr>
      <w:tr w:rsidR="007A60EC" w:rsidRPr="00543148" w14:paraId="69D63EF2" w14:textId="77777777" w:rsidTr="00557FB3">
        <w:trPr>
          <w:trHeight w:val="5245"/>
        </w:trPr>
        <w:tc>
          <w:tcPr>
            <w:tcW w:w="1080" w:type="dxa"/>
            <w:shd w:val="clear" w:color="auto" w:fill="FFFFFF" w:themeFill="background1"/>
            <w:noWrap/>
            <w:vAlign w:val="center"/>
          </w:tcPr>
          <w:p w14:paraId="6AF98DA2" w14:textId="6CBDF22A"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lastRenderedPageBreak/>
              <w:t>Cible 2</w:t>
            </w:r>
            <w:r w:rsidR="007A60EC" w:rsidRPr="00653BF4">
              <w:rPr>
                <w:rFonts w:ascii="Aptos" w:eastAsia="Times New Roman" w:hAnsi="Aptos" w:cs="Aptos"/>
                <w:color w:val="000000"/>
                <w:sz w:val="20"/>
                <w:szCs w:val="20"/>
                <w:lang w:val="fr-FR"/>
              </w:rPr>
              <w:t>0</w:t>
            </w:r>
          </w:p>
        </w:tc>
        <w:tc>
          <w:tcPr>
            <w:tcW w:w="633" w:type="dxa"/>
            <w:shd w:val="clear" w:color="auto" w:fill="FFFFFF" w:themeFill="background1"/>
            <w:noWrap/>
            <w:vAlign w:val="center"/>
          </w:tcPr>
          <w:p w14:paraId="02BB62B0"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69C59D87"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42 %</w:t>
            </w:r>
          </w:p>
        </w:tc>
        <w:tc>
          <w:tcPr>
            <w:tcW w:w="663" w:type="dxa"/>
            <w:shd w:val="clear" w:color="auto" w:fill="FFFFFF" w:themeFill="background1"/>
            <w:noWrap/>
            <w:vAlign w:val="center"/>
          </w:tcPr>
          <w:p w14:paraId="5D392899"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74D75D48"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46 %</w:t>
            </w:r>
          </w:p>
        </w:tc>
        <w:tc>
          <w:tcPr>
            <w:tcW w:w="630" w:type="dxa"/>
            <w:shd w:val="clear" w:color="auto" w:fill="FFFFFF" w:themeFill="background1"/>
            <w:noWrap/>
            <w:vAlign w:val="center"/>
          </w:tcPr>
          <w:p w14:paraId="05227BFC"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16FB2A85" w14:textId="77777777" w:rsidR="007A60EC" w:rsidRPr="00653BF4" w:rsidRDefault="007A60EC" w:rsidP="00557FB3">
            <w:pPr>
              <w:rPr>
                <w:rFonts w:ascii="Aptos Narrow" w:eastAsia="Times New Roman" w:hAnsi="Aptos Narrow" w:cs="Calibri"/>
                <w:lang w:val="fr-FR"/>
              </w:rPr>
            </w:pPr>
            <w:r w:rsidRPr="00653BF4">
              <w:rPr>
                <w:rFonts w:ascii="Calibri" w:hAnsi="Calibri" w:cs="Calibri"/>
                <w:color w:val="000000"/>
                <w:sz w:val="20"/>
                <w:szCs w:val="20"/>
                <w:lang w:val="fr-FR"/>
              </w:rPr>
              <w:t>75 %</w:t>
            </w:r>
          </w:p>
        </w:tc>
        <w:tc>
          <w:tcPr>
            <w:tcW w:w="687" w:type="dxa"/>
            <w:shd w:val="clear" w:color="auto" w:fill="FFFFFF" w:themeFill="background1"/>
            <w:noWrap/>
            <w:vAlign w:val="center"/>
          </w:tcPr>
          <w:p w14:paraId="3C9AFE18"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2112A707"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18 %</w:t>
            </w:r>
          </w:p>
        </w:tc>
        <w:tc>
          <w:tcPr>
            <w:tcW w:w="875" w:type="dxa"/>
            <w:shd w:val="clear" w:color="auto" w:fill="FC8D59"/>
            <w:noWrap/>
            <w:vAlign w:val="center"/>
          </w:tcPr>
          <w:p w14:paraId="639E75E2"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0,38</w:t>
            </w:r>
          </w:p>
        </w:tc>
        <w:tc>
          <w:tcPr>
            <w:tcW w:w="5066" w:type="dxa"/>
            <w:vAlign w:val="center"/>
          </w:tcPr>
          <w:p w14:paraId="511D3DBC" w14:textId="425D7FC0"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 xml:space="preserve">Des progrès sont accomplis dans la création de capacités et la coopération technique, mais certains aspects de la cible restent insuffisamment pris en compte. Les Parties ont traité de manière inégale les éléments de la </w:t>
            </w:r>
            <w:r w:rsidR="00E34DC9">
              <w:rPr>
                <w:rFonts w:ascii="Aptos" w:eastAsia="Times New Roman" w:hAnsi="Aptos" w:cs="Aptos"/>
                <w:color w:val="000000"/>
                <w:sz w:val="20"/>
                <w:szCs w:val="20"/>
                <w:lang w:val="fr-FR"/>
              </w:rPr>
              <w:t>cible 2</w:t>
            </w:r>
            <w:r w:rsidRPr="00653BF4">
              <w:rPr>
                <w:rFonts w:ascii="Aptos" w:eastAsia="Times New Roman" w:hAnsi="Aptos" w:cs="Aptos"/>
                <w:color w:val="000000"/>
                <w:sz w:val="20"/>
                <w:szCs w:val="20"/>
                <w:lang w:val="fr-FR"/>
              </w:rPr>
              <w:t>0, en privilégiant la création et le renforcement des capacités ainsi que l’accès à l’innovation. Les indicateurs communiqués par 24 Parties évoluent pour la plupart favorablement, et les Parties ont fait état, au titre de l’indicateur binaire, de progrès satisfaisants, en particulier dans la mise en place de mesures visant à répondre aux besoins de création et de renforcement des capacités. Des efforts supplémentaires sont toutefois nécessaires pour procéder à des auto-évaluations nationales des capacités. Les auto-évaluations des cibles nationales correspondantes indiquent également que des progrès sont accomplis pour nombre d’entre elles (46</w:t>
            </w:r>
            <w:r w:rsidR="002878D7">
              <w:rPr>
                <w:rFonts w:ascii="Aptos" w:eastAsia="Times New Roman" w:hAnsi="Aptos" w:cs="Aptos"/>
                <w:color w:val="000000"/>
                <w:sz w:val="20"/>
                <w:szCs w:val="20"/>
                <w:lang w:val="fr-FR"/>
              </w:rPr>
              <w:t> %</w:t>
            </w:r>
            <w:r w:rsidRPr="00653BF4">
              <w:rPr>
                <w:rFonts w:ascii="Aptos" w:eastAsia="Times New Roman" w:hAnsi="Aptos" w:cs="Aptos"/>
                <w:color w:val="000000"/>
                <w:sz w:val="20"/>
                <w:szCs w:val="20"/>
                <w:lang w:val="fr-FR"/>
              </w:rPr>
              <w:t>), même si des lacunes subsistent. Parmi les principales difficultés figurent la prise en compte limitée de la coopération technique et scientifique ainsi que les problèmes que pose le suivi des résultats de la création de capacités.</w:t>
            </w:r>
          </w:p>
        </w:tc>
      </w:tr>
      <w:tr w:rsidR="007A60EC" w:rsidRPr="00543148" w14:paraId="2C857189" w14:textId="77777777" w:rsidTr="00557FB3">
        <w:trPr>
          <w:trHeight w:val="1065"/>
        </w:trPr>
        <w:tc>
          <w:tcPr>
            <w:tcW w:w="1080" w:type="dxa"/>
            <w:shd w:val="clear" w:color="auto" w:fill="FFFFFF" w:themeFill="background1"/>
            <w:noWrap/>
            <w:vAlign w:val="center"/>
          </w:tcPr>
          <w:p w14:paraId="5B39A819" w14:textId="1B4302C0"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t>Cible 2</w:t>
            </w:r>
            <w:r w:rsidR="007A60EC" w:rsidRPr="00653BF4">
              <w:rPr>
                <w:rFonts w:ascii="Aptos" w:eastAsia="Times New Roman" w:hAnsi="Aptos" w:cs="Aptos"/>
                <w:color w:val="000000"/>
                <w:sz w:val="20"/>
                <w:szCs w:val="20"/>
                <w:lang w:val="fr-FR"/>
              </w:rPr>
              <w:t>1</w:t>
            </w:r>
          </w:p>
        </w:tc>
        <w:tc>
          <w:tcPr>
            <w:tcW w:w="633" w:type="dxa"/>
            <w:shd w:val="clear" w:color="auto" w:fill="FFFFFF" w:themeFill="background1"/>
            <w:noWrap/>
            <w:vAlign w:val="center"/>
          </w:tcPr>
          <w:p w14:paraId="4DF2AD49"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71EE9A11"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54 %</w:t>
            </w:r>
          </w:p>
        </w:tc>
        <w:tc>
          <w:tcPr>
            <w:tcW w:w="663" w:type="dxa"/>
            <w:shd w:val="clear" w:color="auto" w:fill="FFFFFF" w:themeFill="background1"/>
            <w:noWrap/>
            <w:vAlign w:val="center"/>
          </w:tcPr>
          <w:p w14:paraId="69996221"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3C5671D1"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44 %</w:t>
            </w:r>
          </w:p>
        </w:tc>
        <w:tc>
          <w:tcPr>
            <w:tcW w:w="630" w:type="dxa"/>
            <w:shd w:val="clear" w:color="auto" w:fill="FFFFFF" w:themeFill="background1"/>
            <w:noWrap/>
            <w:vAlign w:val="center"/>
          </w:tcPr>
          <w:p w14:paraId="5B5932FE"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080632D6" w14:textId="77777777" w:rsidR="007A60EC" w:rsidRPr="00653BF4" w:rsidRDefault="007A60EC" w:rsidP="00557FB3">
            <w:pPr>
              <w:rPr>
                <w:rFonts w:ascii="Aptos Narrow" w:eastAsia="Times New Roman" w:hAnsi="Aptos Narrow" w:cs="Calibri"/>
                <w:lang w:val="fr-FR"/>
              </w:rPr>
            </w:pPr>
            <w:r w:rsidRPr="00653BF4">
              <w:rPr>
                <w:rFonts w:ascii="Calibri" w:hAnsi="Calibri" w:cs="Calibri"/>
                <w:color w:val="000000"/>
                <w:sz w:val="20"/>
                <w:szCs w:val="20"/>
                <w:lang w:val="fr-FR"/>
              </w:rPr>
              <w:t>75 %</w:t>
            </w:r>
          </w:p>
        </w:tc>
        <w:tc>
          <w:tcPr>
            <w:tcW w:w="687" w:type="dxa"/>
            <w:shd w:val="clear" w:color="auto" w:fill="FFFFFF" w:themeFill="background1"/>
            <w:noWrap/>
            <w:vAlign w:val="center"/>
          </w:tcPr>
          <w:p w14:paraId="70D8F92E"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4EDC57D1"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24 %</w:t>
            </w:r>
          </w:p>
        </w:tc>
        <w:tc>
          <w:tcPr>
            <w:tcW w:w="875" w:type="dxa"/>
            <w:shd w:val="clear" w:color="auto" w:fill="FEE08B"/>
            <w:noWrap/>
            <w:vAlign w:val="center"/>
          </w:tcPr>
          <w:p w14:paraId="7621BB5F"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0,63</w:t>
            </w:r>
          </w:p>
        </w:tc>
        <w:tc>
          <w:tcPr>
            <w:tcW w:w="5066" w:type="dxa"/>
            <w:vAlign w:val="center"/>
          </w:tcPr>
          <w:p w14:paraId="071E3289" w14:textId="0833619C"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Les Parties œuvrent activement à améliorer la disponibilité des données sur la biodiversité et l’accès à celles-ci, mais d’importantes lacunes subsistent. La plupart des Parties traitent dans leurs cibles nationales de l’accès aux données, aux informations et aux connaissances relatives à la biodiversité, mais moins systématiquement de l’accès aux connaissances traditionnelles avec le consentement préalable, donné librement et en connaissance de cause. D’après l’indicateur phare 21.1, relativement peu de Parties disposent actuellement des données nationales nécessaires à la mise en œuvre du cadre de suivi. Les Parties font néanmoins état de nombreuses améliorations dans la disponibilité des données et des connaissances comme dans l’accès à celles-ci. Selon les auto-évaluations, 43</w:t>
            </w:r>
            <w:r w:rsidR="002878D7">
              <w:rPr>
                <w:rFonts w:ascii="Aptos" w:eastAsia="Times New Roman" w:hAnsi="Aptos" w:cs="Aptos"/>
                <w:color w:val="000000"/>
                <w:sz w:val="20"/>
                <w:szCs w:val="20"/>
                <w:lang w:val="fr-FR"/>
              </w:rPr>
              <w:t> %</w:t>
            </w:r>
            <w:r w:rsidRPr="00653BF4">
              <w:rPr>
                <w:rFonts w:ascii="Aptos" w:eastAsia="Times New Roman" w:hAnsi="Aptos" w:cs="Aptos"/>
                <w:color w:val="000000"/>
                <w:sz w:val="20"/>
                <w:szCs w:val="20"/>
                <w:lang w:val="fr-FR"/>
              </w:rPr>
              <w:t xml:space="preserve"> des cibles nationales associées progressent favorablement. Les principales difficultés consistent à combler les lacunes en matière de données, à renforcer la communication et à améliorer l’accès aux connaissances traditionnelles, qui doit se faire avec le consentement préalable, donné librement et en connaissance de cause. La disponibilité et l’accessibilité des données, des informations et des </w:t>
            </w:r>
            <w:r w:rsidRPr="00653BF4">
              <w:rPr>
                <w:rFonts w:ascii="Aptos" w:eastAsia="Times New Roman" w:hAnsi="Aptos" w:cs="Aptos"/>
                <w:color w:val="000000"/>
                <w:sz w:val="20"/>
                <w:szCs w:val="20"/>
                <w:lang w:val="fr-FR"/>
              </w:rPr>
              <w:lastRenderedPageBreak/>
              <w:t xml:space="preserve">connaissances étant essentielles à la mise en œuvre de l’ensemble du Cadre, les difficultés liées à la </w:t>
            </w:r>
            <w:r w:rsidR="00E34DC9">
              <w:rPr>
                <w:rFonts w:ascii="Aptos" w:eastAsia="Times New Roman" w:hAnsi="Aptos" w:cs="Aptos"/>
                <w:color w:val="000000"/>
                <w:sz w:val="20"/>
                <w:szCs w:val="20"/>
                <w:lang w:val="fr-FR"/>
              </w:rPr>
              <w:t>cible 2</w:t>
            </w:r>
            <w:r w:rsidRPr="00653BF4">
              <w:rPr>
                <w:rFonts w:ascii="Aptos" w:eastAsia="Times New Roman" w:hAnsi="Aptos" w:cs="Aptos"/>
                <w:color w:val="000000"/>
                <w:sz w:val="20"/>
                <w:szCs w:val="20"/>
                <w:lang w:val="fr-FR"/>
              </w:rPr>
              <w:t>1 ont des incidences transversales.</w:t>
            </w:r>
          </w:p>
        </w:tc>
      </w:tr>
      <w:tr w:rsidR="007A60EC" w:rsidRPr="00543148" w14:paraId="71DC6CBB" w14:textId="77777777" w:rsidTr="00557FB3">
        <w:trPr>
          <w:trHeight w:val="4537"/>
        </w:trPr>
        <w:tc>
          <w:tcPr>
            <w:tcW w:w="1080" w:type="dxa"/>
            <w:shd w:val="clear" w:color="auto" w:fill="FFFFFF" w:themeFill="background1"/>
            <w:noWrap/>
            <w:vAlign w:val="center"/>
          </w:tcPr>
          <w:p w14:paraId="16615E5A" w14:textId="33CEE7A4"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lastRenderedPageBreak/>
              <w:t>Cible 2</w:t>
            </w:r>
            <w:r w:rsidR="007A60EC" w:rsidRPr="00653BF4">
              <w:rPr>
                <w:rFonts w:ascii="Aptos" w:eastAsia="Times New Roman" w:hAnsi="Aptos" w:cs="Aptos"/>
                <w:color w:val="000000"/>
                <w:sz w:val="20"/>
                <w:szCs w:val="20"/>
                <w:lang w:val="fr-FR"/>
              </w:rPr>
              <w:t>2</w:t>
            </w:r>
          </w:p>
        </w:tc>
        <w:tc>
          <w:tcPr>
            <w:tcW w:w="633" w:type="dxa"/>
            <w:shd w:val="clear" w:color="auto" w:fill="FFFFFF" w:themeFill="background1"/>
            <w:noWrap/>
            <w:vAlign w:val="center"/>
          </w:tcPr>
          <w:p w14:paraId="306D6469"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6FB1CF15"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38 %</w:t>
            </w:r>
          </w:p>
        </w:tc>
        <w:tc>
          <w:tcPr>
            <w:tcW w:w="663" w:type="dxa"/>
            <w:shd w:val="clear" w:color="auto" w:fill="FFFFFF" w:themeFill="background1"/>
            <w:noWrap/>
            <w:vAlign w:val="center"/>
          </w:tcPr>
          <w:p w14:paraId="136248A6" w14:textId="77777777" w:rsidR="007A60EC" w:rsidRPr="00653BF4" w:rsidRDefault="007A60EC" w:rsidP="00557FB3">
            <w:pPr>
              <w:jc w:val="center"/>
              <w:rPr>
                <w:rFonts w:ascii="Calibri" w:hAnsi="Calibri" w:cs="Calibri"/>
                <w:color w:val="00B050"/>
                <w:sz w:val="48"/>
                <w:szCs w:val="48"/>
                <w:lang w:val="fr-FR"/>
              </w:rPr>
            </w:pPr>
            <w:r w:rsidRPr="00653BF4">
              <w:rPr>
                <w:rFonts w:ascii="Symbol" w:eastAsia="Symbol" w:hAnsi="Symbol" w:cs="Symbol"/>
                <w:color w:val="00B050"/>
                <w:sz w:val="20"/>
                <w:szCs w:val="20"/>
                <w:lang w:val="fr-FR"/>
              </w:rPr>
              <w:t>¨</w:t>
            </w:r>
          </w:p>
          <w:p w14:paraId="3C89D110"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44 %</w:t>
            </w:r>
          </w:p>
        </w:tc>
        <w:tc>
          <w:tcPr>
            <w:tcW w:w="630" w:type="dxa"/>
            <w:shd w:val="clear" w:color="auto" w:fill="FFFFFF" w:themeFill="background1"/>
            <w:noWrap/>
            <w:vAlign w:val="center"/>
          </w:tcPr>
          <w:p w14:paraId="0E26149A"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65F11DDA" w14:textId="77777777" w:rsidR="007A60EC" w:rsidRPr="00653BF4" w:rsidRDefault="007A60EC" w:rsidP="00557FB3">
            <w:pPr>
              <w:rPr>
                <w:rFonts w:ascii="Aptos Narrow" w:eastAsia="Times New Roman" w:hAnsi="Aptos Narrow" w:cs="Calibri"/>
                <w:lang w:val="fr-FR"/>
              </w:rPr>
            </w:pPr>
            <w:r w:rsidRPr="00653BF4">
              <w:rPr>
                <w:rFonts w:ascii="Calibri" w:hAnsi="Calibri" w:cs="Calibri"/>
                <w:color w:val="000000"/>
                <w:sz w:val="20"/>
                <w:szCs w:val="20"/>
                <w:lang w:val="fr-FR"/>
              </w:rPr>
              <w:t>50 %</w:t>
            </w:r>
          </w:p>
        </w:tc>
        <w:tc>
          <w:tcPr>
            <w:tcW w:w="687" w:type="dxa"/>
            <w:shd w:val="clear" w:color="auto" w:fill="FFFFFF" w:themeFill="background1"/>
            <w:noWrap/>
            <w:vAlign w:val="center"/>
          </w:tcPr>
          <w:p w14:paraId="6E132017"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6EC301C5"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15 %</w:t>
            </w:r>
          </w:p>
        </w:tc>
        <w:tc>
          <w:tcPr>
            <w:tcW w:w="875" w:type="dxa"/>
            <w:shd w:val="clear" w:color="auto" w:fill="FC8D59"/>
            <w:noWrap/>
            <w:vAlign w:val="center"/>
          </w:tcPr>
          <w:p w14:paraId="4A27E6AA"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0,25</w:t>
            </w:r>
          </w:p>
        </w:tc>
        <w:tc>
          <w:tcPr>
            <w:tcW w:w="5066" w:type="dxa"/>
            <w:vAlign w:val="center"/>
          </w:tcPr>
          <w:p w14:paraId="77C8EA96" w14:textId="4D774BD1"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 xml:space="preserve">La plupart des Parties ont pris en compte certains éléments de la </w:t>
            </w:r>
            <w:r w:rsidR="00E34DC9">
              <w:rPr>
                <w:rFonts w:ascii="Aptos" w:eastAsia="Times New Roman" w:hAnsi="Aptos" w:cs="Aptos"/>
                <w:color w:val="000000"/>
                <w:sz w:val="20"/>
                <w:szCs w:val="20"/>
                <w:lang w:val="fr-FR"/>
              </w:rPr>
              <w:t>cible 2</w:t>
            </w:r>
            <w:r w:rsidRPr="00653BF4">
              <w:rPr>
                <w:rFonts w:ascii="Aptos" w:eastAsia="Times New Roman" w:hAnsi="Aptos" w:cs="Aptos"/>
                <w:color w:val="000000"/>
                <w:sz w:val="20"/>
                <w:szCs w:val="20"/>
                <w:lang w:val="fr-FR"/>
              </w:rPr>
              <w:t>2, mais la portée des cibles nationales est mal alignée sur celle de la cible et les données permettant d’évaluer les progrès restent limitées. Des progrès sont accomplis dans le renforcement de la participation, de l’inclusion et des approches fondées sur les droits, mais les systèmes de suivi restent peu développés. Les données communiquées sont insuffisantes pour évaluer les tendances, et les Parties mentionnent des difficultés liées aux méthodes, aux définitions et aux données. Certaines Parties indiquent avoir progressé dans la création de conditions propices à l’inclusion et à une participation fondée sur les droits, et avoir œuvré pour assurer la représentation des peuples autochtones et communautés locales, des femmes, des jeunes et des personnes handicapées, ainsi que pour mettre en place des politiques relatives à l’accès à la justice. Très peu de Parties ont fixé des cibles prévoyant la protection des défenseurs des droits de l’homme en matière d’environnement. Les auto-évaluations semblent indiquer des progrès modérés. Parmi les principales difficultés figurent les limites méthodologiques et l’insuffisance des systèmes de suivi permettant de mesurer les résultats.</w:t>
            </w:r>
          </w:p>
        </w:tc>
      </w:tr>
      <w:tr w:rsidR="007A60EC" w:rsidRPr="00543148" w14:paraId="010FEBD3" w14:textId="77777777" w:rsidTr="00557FB3">
        <w:trPr>
          <w:trHeight w:val="1125"/>
        </w:trPr>
        <w:tc>
          <w:tcPr>
            <w:tcW w:w="1080" w:type="dxa"/>
            <w:shd w:val="clear" w:color="auto" w:fill="FFFFFF" w:themeFill="background1"/>
            <w:noWrap/>
            <w:vAlign w:val="center"/>
          </w:tcPr>
          <w:p w14:paraId="30444609" w14:textId="64F0D83B" w:rsidR="007A60EC" w:rsidRPr="00653BF4" w:rsidRDefault="00E34DC9" w:rsidP="00557FB3">
            <w:pPr>
              <w:rPr>
                <w:rFonts w:ascii="Calibri" w:eastAsia="Times New Roman" w:hAnsi="Calibri" w:cs="Calibri"/>
                <w:color w:val="000000"/>
                <w:lang w:val="fr-FR"/>
              </w:rPr>
            </w:pPr>
            <w:r>
              <w:rPr>
                <w:rFonts w:ascii="Aptos" w:eastAsia="Times New Roman" w:hAnsi="Aptos" w:cs="Aptos"/>
                <w:color w:val="000000"/>
                <w:sz w:val="20"/>
                <w:szCs w:val="20"/>
                <w:lang w:val="fr-FR"/>
              </w:rPr>
              <w:t>Cible 2</w:t>
            </w:r>
            <w:r w:rsidR="007A60EC" w:rsidRPr="00653BF4">
              <w:rPr>
                <w:rFonts w:ascii="Aptos" w:eastAsia="Times New Roman" w:hAnsi="Aptos" w:cs="Aptos"/>
                <w:color w:val="000000"/>
                <w:sz w:val="20"/>
                <w:szCs w:val="20"/>
                <w:lang w:val="fr-FR"/>
              </w:rPr>
              <w:t>3</w:t>
            </w:r>
          </w:p>
        </w:tc>
        <w:tc>
          <w:tcPr>
            <w:tcW w:w="633" w:type="dxa"/>
            <w:shd w:val="clear" w:color="auto" w:fill="FFFFFF" w:themeFill="background1"/>
            <w:noWrap/>
            <w:vAlign w:val="center"/>
          </w:tcPr>
          <w:p w14:paraId="463F83BD"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0DADB38B"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43 %</w:t>
            </w:r>
          </w:p>
        </w:tc>
        <w:tc>
          <w:tcPr>
            <w:tcW w:w="663" w:type="dxa"/>
            <w:shd w:val="clear" w:color="auto" w:fill="FFFFFF" w:themeFill="background1"/>
            <w:noWrap/>
            <w:vAlign w:val="center"/>
          </w:tcPr>
          <w:p w14:paraId="5BCD92B8" w14:textId="77777777" w:rsidR="007A60EC" w:rsidRPr="00653BF4" w:rsidRDefault="007A60EC" w:rsidP="00557FB3">
            <w:pPr>
              <w:jc w:val="center"/>
              <w:rPr>
                <w:rFonts w:ascii="Calibri" w:hAnsi="Calibri" w:cs="Calibri"/>
                <w:color w:val="FFE601"/>
                <w:sz w:val="48"/>
                <w:szCs w:val="48"/>
                <w:lang w:val="fr-FR"/>
              </w:rPr>
            </w:pPr>
            <w:r w:rsidRPr="00653BF4">
              <w:rPr>
                <w:rFonts w:ascii="Symbol" w:eastAsia="Symbol" w:hAnsi="Symbol" w:cs="Symbol"/>
                <w:color w:val="FFE601"/>
                <w:sz w:val="20"/>
                <w:szCs w:val="20"/>
                <w:lang w:val="fr-FR"/>
              </w:rPr>
              <w:t>¨</w:t>
            </w:r>
          </w:p>
          <w:p w14:paraId="788271A9"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42 %</w:t>
            </w:r>
          </w:p>
        </w:tc>
        <w:tc>
          <w:tcPr>
            <w:tcW w:w="630" w:type="dxa"/>
            <w:shd w:val="clear" w:color="auto" w:fill="FFFFFF" w:themeFill="background1"/>
            <w:noWrap/>
            <w:vAlign w:val="center"/>
          </w:tcPr>
          <w:p w14:paraId="3F4F51E9"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610638AD" w14:textId="77777777" w:rsidR="007A60EC" w:rsidRPr="00653BF4" w:rsidRDefault="007A60EC" w:rsidP="00557FB3">
            <w:pPr>
              <w:rPr>
                <w:rFonts w:ascii="Calibri" w:eastAsia="Times New Roman" w:hAnsi="Calibri" w:cs="Calibri"/>
                <w:lang w:val="fr-FR"/>
              </w:rPr>
            </w:pPr>
            <w:r w:rsidRPr="00653BF4">
              <w:rPr>
                <w:rFonts w:ascii="Calibri" w:hAnsi="Calibri" w:cs="Calibri"/>
                <w:color w:val="000000"/>
                <w:sz w:val="20"/>
                <w:szCs w:val="20"/>
                <w:lang w:val="fr-FR"/>
              </w:rPr>
              <w:t>25 %</w:t>
            </w:r>
          </w:p>
        </w:tc>
        <w:tc>
          <w:tcPr>
            <w:tcW w:w="687" w:type="dxa"/>
            <w:shd w:val="clear" w:color="auto" w:fill="FFFFFF" w:themeFill="background1"/>
            <w:noWrap/>
            <w:vAlign w:val="center"/>
          </w:tcPr>
          <w:p w14:paraId="46B9274E" w14:textId="77777777" w:rsidR="007A60EC" w:rsidRPr="00653BF4" w:rsidRDefault="007A60EC" w:rsidP="00557FB3">
            <w:pPr>
              <w:jc w:val="center"/>
              <w:rPr>
                <w:rFonts w:ascii="Calibri" w:hAnsi="Calibri" w:cs="Calibri"/>
                <w:color w:val="C00000"/>
                <w:sz w:val="48"/>
                <w:szCs w:val="48"/>
                <w:lang w:val="fr-FR"/>
              </w:rPr>
            </w:pPr>
            <w:r w:rsidRPr="00653BF4">
              <w:rPr>
                <w:rFonts w:ascii="Symbol" w:eastAsia="Symbol" w:hAnsi="Symbol" w:cs="Symbol"/>
                <w:color w:val="C00000"/>
                <w:sz w:val="20"/>
                <w:szCs w:val="20"/>
                <w:lang w:val="fr-FR"/>
              </w:rPr>
              <w:t>¨</w:t>
            </w:r>
          </w:p>
          <w:p w14:paraId="4825A8BD" w14:textId="77777777" w:rsidR="007A60EC" w:rsidRPr="00653BF4" w:rsidRDefault="007A60EC" w:rsidP="00557FB3">
            <w:pPr>
              <w:rPr>
                <w:rFonts w:ascii="Calibri" w:eastAsia="Times New Roman" w:hAnsi="Calibri" w:cs="Calibri"/>
                <w:color w:val="000000"/>
                <w:lang w:val="fr-FR"/>
              </w:rPr>
            </w:pPr>
            <w:r w:rsidRPr="00653BF4">
              <w:rPr>
                <w:rFonts w:ascii="Calibri" w:hAnsi="Calibri" w:cs="Calibri"/>
                <w:color w:val="000000"/>
                <w:sz w:val="20"/>
                <w:szCs w:val="20"/>
                <w:lang w:val="fr-FR"/>
              </w:rPr>
              <w:t>13 %</w:t>
            </w:r>
          </w:p>
        </w:tc>
        <w:tc>
          <w:tcPr>
            <w:tcW w:w="875" w:type="dxa"/>
            <w:shd w:val="clear" w:color="auto" w:fill="C00000"/>
            <w:noWrap/>
            <w:vAlign w:val="center"/>
          </w:tcPr>
          <w:p w14:paraId="67C7267C" w14:textId="77777777" w:rsidR="007A60EC" w:rsidRPr="00653BF4" w:rsidRDefault="007A60EC" w:rsidP="00557FB3">
            <w:pPr>
              <w:jc w:val="center"/>
              <w:rPr>
                <w:rFonts w:ascii="Calibri" w:eastAsia="Times New Roman" w:hAnsi="Calibri" w:cs="Calibri"/>
                <w:b/>
                <w:bCs/>
                <w:color w:val="FFFFFF" w:themeColor="background1"/>
                <w:lang w:val="fr-FR"/>
              </w:rPr>
            </w:pPr>
            <w:r w:rsidRPr="00653BF4">
              <w:rPr>
                <w:rFonts w:ascii="Aptos" w:eastAsia="Times New Roman" w:hAnsi="Aptos" w:cs="Aptos"/>
                <w:b/>
                <w:bCs/>
                <w:color w:val="FFFFFF" w:themeColor="background1"/>
                <w:sz w:val="20"/>
                <w:szCs w:val="20"/>
                <w:lang w:val="fr-FR"/>
              </w:rPr>
              <w:t>0,13</w:t>
            </w:r>
          </w:p>
        </w:tc>
        <w:tc>
          <w:tcPr>
            <w:tcW w:w="5066" w:type="dxa"/>
            <w:vAlign w:val="center"/>
          </w:tcPr>
          <w:p w14:paraId="5E1C5C5B" w14:textId="2F7C9330" w:rsidR="007A60EC" w:rsidRPr="00653BF4" w:rsidRDefault="007A60EC" w:rsidP="00557FB3">
            <w:pPr>
              <w:rPr>
                <w:rFonts w:ascii="Calibri" w:eastAsia="Times New Roman" w:hAnsi="Calibri" w:cs="Calibri"/>
                <w:color w:val="000000"/>
                <w:sz w:val="20"/>
                <w:szCs w:val="20"/>
                <w:lang w:val="fr-FR"/>
              </w:rPr>
            </w:pPr>
            <w:r w:rsidRPr="00653BF4">
              <w:rPr>
                <w:rFonts w:ascii="Aptos" w:eastAsia="Times New Roman" w:hAnsi="Aptos" w:cs="Aptos"/>
                <w:color w:val="000000"/>
                <w:sz w:val="20"/>
                <w:szCs w:val="20"/>
                <w:lang w:val="fr-FR"/>
              </w:rPr>
              <w:t xml:space="preserve">La prise en compte du genre dans la gouvernance de la biodiversité progresse, mais la mise en œuvre de la </w:t>
            </w:r>
            <w:r w:rsidR="00E34DC9">
              <w:rPr>
                <w:rFonts w:ascii="Aptos" w:eastAsia="Times New Roman" w:hAnsi="Aptos" w:cs="Aptos"/>
                <w:color w:val="000000"/>
                <w:sz w:val="20"/>
                <w:szCs w:val="20"/>
                <w:lang w:val="fr-FR"/>
              </w:rPr>
              <w:t>cible 2</w:t>
            </w:r>
            <w:r w:rsidRPr="00653BF4">
              <w:rPr>
                <w:rFonts w:ascii="Aptos" w:eastAsia="Times New Roman" w:hAnsi="Aptos" w:cs="Aptos"/>
                <w:color w:val="000000"/>
                <w:sz w:val="20"/>
                <w:szCs w:val="20"/>
                <w:lang w:val="fr-FR"/>
              </w:rPr>
              <w:t xml:space="preserve">3 reste peu avancée. Les cibles nationales sont encore loin de couvrir toute la portée de la </w:t>
            </w:r>
            <w:r w:rsidR="00E34DC9">
              <w:rPr>
                <w:rFonts w:ascii="Aptos" w:eastAsia="Times New Roman" w:hAnsi="Aptos" w:cs="Aptos"/>
                <w:color w:val="000000"/>
                <w:sz w:val="20"/>
                <w:szCs w:val="20"/>
                <w:lang w:val="fr-FR"/>
              </w:rPr>
              <w:t>cible 2</w:t>
            </w:r>
            <w:r w:rsidRPr="00653BF4">
              <w:rPr>
                <w:rFonts w:ascii="Aptos" w:eastAsia="Times New Roman" w:hAnsi="Aptos" w:cs="Aptos"/>
                <w:color w:val="000000"/>
                <w:sz w:val="20"/>
                <w:szCs w:val="20"/>
                <w:lang w:val="fr-FR"/>
              </w:rPr>
              <w:t xml:space="preserve">3, en particulier pour ce qui est des droits des femmes et des filles sur les terres et les ressources naturelles, et de leur accès à celles-ci. Les données communiquées au titre de l’indicateur binaire donnent à penser que de nombreuses Parties n’en sont encore qu’aux premiers stades du suivi, de la mise en œuvre de mesures permettant une participation et un leadership éclairés et de l’application d’approches tenant compte du genre. Selon les auto-évaluations, certains progrès ont été accomplis, mais plus de la moitié des cibles nationales étroitement alignées sur la cible ne sont toujours pas en voie d’être atteintes. Parmi les principales difficultés </w:t>
            </w:r>
            <w:r w:rsidRPr="00653BF4">
              <w:rPr>
                <w:rFonts w:ascii="Aptos" w:eastAsia="Times New Roman" w:hAnsi="Aptos" w:cs="Aptos"/>
                <w:color w:val="000000"/>
                <w:sz w:val="20"/>
                <w:szCs w:val="20"/>
                <w:lang w:val="fr-FR"/>
              </w:rPr>
              <w:lastRenderedPageBreak/>
              <w:t>figurent les lacunes dans la mise en œuvre des politiques, l’insuffisance des systèmes de mesure, le manque de données ventilées par sexe et la prise en compte incomplète des éléments de la cible. Il existe un lien entre la mise en œuvre de cette cible et celle du Plan d’action pour l’égalité des sexes (2023-2030) au niveau national (décision 15/17, CDB, 2023).</w:t>
            </w:r>
          </w:p>
        </w:tc>
      </w:tr>
    </w:tbl>
    <w:p w14:paraId="5AD6AC2E" w14:textId="77777777" w:rsidR="007A60EC" w:rsidRPr="00653BF4" w:rsidRDefault="007A60EC" w:rsidP="007A60EC">
      <w:pPr>
        <w:pStyle w:val="Caption"/>
        <w:rPr>
          <w:lang w:val="fr-FR"/>
        </w:rPr>
      </w:pPr>
    </w:p>
    <w:p w14:paraId="78985932" w14:textId="37EE650C" w:rsidR="007A60EC" w:rsidRPr="00653BF4" w:rsidRDefault="007A60EC" w:rsidP="007A60EC">
      <w:pPr>
        <w:pStyle w:val="Caption"/>
        <w:rPr>
          <w:bCs/>
          <w:lang w:val="fr-FR"/>
        </w:rPr>
      </w:pPr>
      <w:r w:rsidRPr="00653BF4">
        <w:rPr>
          <w:bCs/>
          <w:lang w:val="fr-FR"/>
        </w:rPr>
        <w:t>Note</w:t>
      </w:r>
      <w:r w:rsidR="00E34DC9">
        <w:rPr>
          <w:bCs/>
          <w:lang w:val="fr-FR"/>
        </w:rPr>
        <w:t> :</w:t>
      </w:r>
      <w:r w:rsidRPr="00653BF4">
        <w:rPr>
          <w:bCs/>
          <w:i w:val="0"/>
          <w:iCs w:val="0"/>
          <w:lang w:val="fr-FR"/>
        </w:rPr>
        <w:t xml:space="preserve"> Pour chaque cible, les colonnes et les valeurs en pourcentage associées correspondent aux principaux critères ci-après, qui servent à mesurer les progrès accomplis dans la mise en œuvre du Cadre. Colonne 1</w:t>
      </w:r>
      <w:r w:rsidR="00E34DC9">
        <w:rPr>
          <w:bCs/>
          <w:i w:val="0"/>
          <w:iCs w:val="0"/>
          <w:lang w:val="fr-FR"/>
        </w:rPr>
        <w:t> :</w:t>
      </w:r>
      <w:r w:rsidRPr="00653BF4">
        <w:rPr>
          <w:bCs/>
          <w:i w:val="0"/>
          <w:iCs w:val="0"/>
          <w:lang w:val="fr-FR"/>
        </w:rPr>
        <w:t xml:space="preserve"> prise en compte des éléments de la cible du Cadre dans les cibles nationales des Parties (pourcentage de Parties couvrant, dans une certaine mesure, au moins la moitié des éléments de la cible). Colonne 2</w:t>
      </w:r>
      <w:r w:rsidR="00E34DC9">
        <w:rPr>
          <w:bCs/>
          <w:i w:val="0"/>
          <w:iCs w:val="0"/>
          <w:lang w:val="fr-FR"/>
        </w:rPr>
        <w:t> :</w:t>
      </w:r>
      <w:r w:rsidRPr="00653BF4">
        <w:rPr>
          <w:bCs/>
          <w:i w:val="0"/>
          <w:iCs w:val="0"/>
          <w:lang w:val="fr-FR"/>
        </w:rPr>
        <w:t xml:space="preserve"> auto-évaluation par les Parties des progrès accomplis vers leurs cibles nationales (pourcentage de cibles nationales déclarées </w:t>
      </w:r>
      <w:r w:rsidR="00E34DC9">
        <w:rPr>
          <w:bCs/>
          <w:i w:val="0"/>
          <w:iCs w:val="0"/>
          <w:lang w:val="fr-FR"/>
        </w:rPr>
        <w:t>« </w:t>
      </w:r>
      <w:r w:rsidRPr="00653BF4">
        <w:rPr>
          <w:bCs/>
          <w:i w:val="0"/>
          <w:iCs w:val="0"/>
          <w:lang w:val="fr-FR"/>
        </w:rPr>
        <w:t>en voie d’atteindre la cible</w:t>
      </w:r>
      <w:r w:rsidR="00E34DC9">
        <w:rPr>
          <w:bCs/>
          <w:i w:val="0"/>
          <w:iCs w:val="0"/>
          <w:lang w:val="fr-FR"/>
        </w:rPr>
        <w:t> »</w:t>
      </w:r>
      <w:r w:rsidRPr="00653BF4">
        <w:rPr>
          <w:bCs/>
          <w:i w:val="0"/>
          <w:iCs w:val="0"/>
          <w:lang w:val="fr-FR"/>
        </w:rPr>
        <w:t xml:space="preserve"> ou </w:t>
      </w:r>
      <w:r w:rsidR="00E34DC9">
        <w:rPr>
          <w:bCs/>
          <w:i w:val="0"/>
          <w:iCs w:val="0"/>
          <w:lang w:val="fr-FR"/>
        </w:rPr>
        <w:t>« </w:t>
      </w:r>
      <w:r w:rsidRPr="00653BF4">
        <w:rPr>
          <w:bCs/>
          <w:i w:val="0"/>
          <w:iCs w:val="0"/>
          <w:lang w:val="fr-FR"/>
        </w:rPr>
        <w:t>cible atteinte</w:t>
      </w:r>
      <w:r w:rsidR="00E34DC9">
        <w:rPr>
          <w:bCs/>
          <w:i w:val="0"/>
          <w:iCs w:val="0"/>
          <w:lang w:val="fr-FR"/>
        </w:rPr>
        <w:t> »</w:t>
      </w:r>
      <w:r w:rsidRPr="00653BF4">
        <w:rPr>
          <w:bCs/>
          <w:i w:val="0"/>
          <w:iCs w:val="0"/>
          <w:lang w:val="fr-FR"/>
        </w:rPr>
        <w:t>). Colonne 3</w:t>
      </w:r>
      <w:r w:rsidR="00E34DC9">
        <w:rPr>
          <w:bCs/>
          <w:i w:val="0"/>
          <w:iCs w:val="0"/>
          <w:lang w:val="fr-FR"/>
        </w:rPr>
        <w:t> :</w:t>
      </w:r>
      <w:r w:rsidRPr="00653BF4">
        <w:rPr>
          <w:bCs/>
          <w:i w:val="0"/>
          <w:iCs w:val="0"/>
          <w:lang w:val="fr-FR"/>
        </w:rPr>
        <w:t xml:space="preserve"> évaluation des progrès accomplis vers la cible du Cadre sur la base de l’ensemble des indicateurs pertinents (pourcentage fondé sur la note moyenne de tous les types d’indicateurs associés, dont le détail figure au tableau 3). Colonne 4</w:t>
      </w:r>
      <w:r w:rsidR="00E34DC9">
        <w:rPr>
          <w:bCs/>
          <w:i w:val="0"/>
          <w:iCs w:val="0"/>
          <w:lang w:val="fr-FR"/>
        </w:rPr>
        <w:t> :</w:t>
      </w:r>
      <w:r w:rsidRPr="00653BF4">
        <w:rPr>
          <w:bCs/>
          <w:i w:val="0"/>
          <w:iCs w:val="0"/>
          <w:lang w:val="fr-FR"/>
        </w:rPr>
        <w:t xml:space="preserve"> disponibilité des données dans les rapports nationaux (pourcentage de Parties communiquant des données quantitatives sur les indicateurs phares, de composante, complémentaires ou nationaux). Les trois couleurs des colonnes 1 à 4 situent la valeur de chaque cible par rapport aux notes les plus élevées et les plus basses obtenues pour l’ensemble des cibles (le vert est attribué aux valeurs comprises dans le tiers supérieur de la fourchette totale, le jaune à celles du tiers intermédiaire et le rouge à celles du tiers inférieur). La note d’évaluation globale est calculée selon une formule qui pondère à 50</w:t>
      </w:r>
      <w:r w:rsidR="002878D7">
        <w:rPr>
          <w:bCs/>
          <w:i w:val="0"/>
          <w:iCs w:val="0"/>
          <w:lang w:val="fr-FR"/>
        </w:rPr>
        <w:t> %</w:t>
      </w:r>
      <w:r w:rsidRPr="00653BF4">
        <w:rPr>
          <w:bCs/>
          <w:i w:val="0"/>
          <w:iCs w:val="0"/>
          <w:lang w:val="fr-FR"/>
        </w:rPr>
        <w:t xml:space="preserve"> l’auto-évaluation des progrès mise en rapport avec la prise en compte dans les cibles nationales et à 50</w:t>
      </w:r>
      <w:r w:rsidR="002878D7">
        <w:rPr>
          <w:bCs/>
          <w:i w:val="0"/>
          <w:iCs w:val="0"/>
          <w:lang w:val="fr-FR"/>
        </w:rPr>
        <w:t> %</w:t>
      </w:r>
      <w:r w:rsidRPr="00653BF4">
        <w:rPr>
          <w:bCs/>
          <w:i w:val="0"/>
          <w:iCs w:val="0"/>
          <w:lang w:val="fr-FR"/>
        </w:rPr>
        <w:t xml:space="preserve"> l’évaluation des progrès fondée sur les indicateurs. Les résultats de ce calcul sont ensuite répartis en quatre catégories (0-0,25</w:t>
      </w:r>
      <w:r w:rsidR="00E34DC9">
        <w:rPr>
          <w:bCs/>
          <w:i w:val="0"/>
          <w:iCs w:val="0"/>
          <w:lang w:val="fr-FR"/>
        </w:rPr>
        <w:t> :</w:t>
      </w:r>
      <w:r w:rsidRPr="00653BF4">
        <w:rPr>
          <w:bCs/>
          <w:i w:val="0"/>
          <w:iCs w:val="0"/>
          <w:lang w:val="fr-FR"/>
        </w:rPr>
        <w:t xml:space="preserve"> rouge</w:t>
      </w:r>
      <w:r w:rsidR="00E34DC9">
        <w:rPr>
          <w:bCs/>
          <w:i w:val="0"/>
          <w:iCs w:val="0"/>
          <w:lang w:val="fr-FR"/>
        </w:rPr>
        <w:t> ;</w:t>
      </w:r>
      <w:r w:rsidRPr="00653BF4">
        <w:rPr>
          <w:bCs/>
          <w:i w:val="0"/>
          <w:iCs w:val="0"/>
          <w:lang w:val="fr-FR"/>
        </w:rPr>
        <w:t xml:space="preserve"> 0,25-0,5</w:t>
      </w:r>
      <w:r w:rsidR="00E34DC9">
        <w:rPr>
          <w:bCs/>
          <w:i w:val="0"/>
          <w:iCs w:val="0"/>
          <w:lang w:val="fr-FR"/>
        </w:rPr>
        <w:t> :</w:t>
      </w:r>
      <w:r w:rsidRPr="00653BF4">
        <w:rPr>
          <w:bCs/>
          <w:i w:val="0"/>
          <w:iCs w:val="0"/>
          <w:lang w:val="fr-FR"/>
        </w:rPr>
        <w:t xml:space="preserve"> orange</w:t>
      </w:r>
      <w:r w:rsidR="00E34DC9">
        <w:rPr>
          <w:bCs/>
          <w:i w:val="0"/>
          <w:iCs w:val="0"/>
          <w:lang w:val="fr-FR"/>
        </w:rPr>
        <w:t> ;</w:t>
      </w:r>
      <w:r w:rsidRPr="00653BF4">
        <w:rPr>
          <w:bCs/>
          <w:i w:val="0"/>
          <w:iCs w:val="0"/>
          <w:lang w:val="fr-FR"/>
        </w:rPr>
        <w:t xml:space="preserve"> 0,5-0,75</w:t>
      </w:r>
      <w:r w:rsidR="00E34DC9">
        <w:rPr>
          <w:bCs/>
          <w:i w:val="0"/>
          <w:iCs w:val="0"/>
          <w:lang w:val="fr-FR"/>
        </w:rPr>
        <w:t> :</w:t>
      </w:r>
      <w:r w:rsidRPr="00653BF4">
        <w:rPr>
          <w:bCs/>
          <w:i w:val="0"/>
          <w:iCs w:val="0"/>
          <w:lang w:val="fr-FR"/>
        </w:rPr>
        <w:t xml:space="preserve"> jaune</w:t>
      </w:r>
      <w:r w:rsidR="00E34DC9">
        <w:rPr>
          <w:bCs/>
          <w:i w:val="0"/>
          <w:iCs w:val="0"/>
          <w:lang w:val="fr-FR"/>
        </w:rPr>
        <w:t> ;</w:t>
      </w:r>
      <w:r w:rsidRPr="00653BF4">
        <w:rPr>
          <w:bCs/>
          <w:i w:val="0"/>
          <w:iCs w:val="0"/>
          <w:lang w:val="fr-FR"/>
        </w:rPr>
        <w:t xml:space="preserve"> 0,75-1</w:t>
      </w:r>
      <w:r w:rsidR="00E34DC9">
        <w:rPr>
          <w:bCs/>
          <w:i w:val="0"/>
          <w:iCs w:val="0"/>
          <w:lang w:val="fr-FR"/>
        </w:rPr>
        <w:t> :</w:t>
      </w:r>
      <w:r w:rsidRPr="00653BF4">
        <w:rPr>
          <w:bCs/>
          <w:i w:val="0"/>
          <w:iCs w:val="0"/>
          <w:lang w:val="fr-FR"/>
        </w:rPr>
        <w:t xml:space="preserve"> vert). Les descriptions sommaires des progrès reposent sur les conclusions de l’analyse cible par cible présentée à la </w:t>
      </w:r>
      <w:r w:rsidR="002878D7">
        <w:rPr>
          <w:bCs/>
          <w:i w:val="0"/>
          <w:iCs w:val="0"/>
          <w:lang w:val="fr-FR"/>
        </w:rPr>
        <w:t>section I</w:t>
      </w:r>
      <w:r w:rsidRPr="00653BF4">
        <w:rPr>
          <w:bCs/>
          <w:i w:val="0"/>
          <w:iCs w:val="0"/>
          <w:lang w:val="fr-FR"/>
        </w:rPr>
        <w:t xml:space="preserve">I.B. La logique suivie pour établir ces notes est brièvement exposée dans la rubrique de la </w:t>
      </w:r>
      <w:r w:rsidR="002878D7">
        <w:rPr>
          <w:bCs/>
          <w:i w:val="0"/>
          <w:iCs w:val="0"/>
          <w:lang w:val="fr-FR"/>
        </w:rPr>
        <w:t>section I</w:t>
      </w:r>
      <w:r w:rsidRPr="00653BF4">
        <w:rPr>
          <w:bCs/>
          <w:i w:val="0"/>
          <w:iCs w:val="0"/>
          <w:lang w:val="fr-FR"/>
        </w:rPr>
        <w:t>.A consacrée aux sources et à la méthode du rapport mondial, et détaillée dans une note du secrétariat (</w:t>
      </w:r>
      <w:hyperlink r:id="rId251" w:history="1">
        <w:r w:rsidRPr="00653BF4">
          <w:rPr>
            <w:rStyle w:val="Hyperlink"/>
            <w:bCs/>
            <w:i w:val="0"/>
            <w:iCs w:val="0"/>
            <w:lang w:val="fr-FR"/>
          </w:rPr>
          <w:t>CBD/SBSTTA/28/INF/9</w:t>
        </w:r>
      </w:hyperlink>
      <w:r w:rsidRPr="00653BF4">
        <w:rPr>
          <w:bCs/>
          <w:i w:val="0"/>
          <w:iCs w:val="0"/>
          <w:lang w:val="fr-FR"/>
        </w:rPr>
        <w:t xml:space="preserve">).   </w:t>
      </w:r>
      <w:r w:rsidRPr="00653BF4">
        <w:rPr>
          <w:bCs/>
          <w:lang w:val="fr-FR"/>
        </w:rPr>
        <w:t xml:space="preserve">  </w:t>
      </w:r>
    </w:p>
    <w:p w14:paraId="07A2BB78" w14:textId="77777777" w:rsidR="007A60EC" w:rsidRPr="00653BF4" w:rsidRDefault="007A60EC" w:rsidP="007A60EC">
      <w:pPr>
        <w:pStyle w:val="Caption"/>
        <w:rPr>
          <w:bCs/>
          <w:lang w:val="fr-FR"/>
        </w:rPr>
      </w:pPr>
    </w:p>
    <w:p w14:paraId="08FE9814" w14:textId="171C1C58" w:rsidR="007A60EC" w:rsidRPr="00653BF4" w:rsidRDefault="007A60EC" w:rsidP="007A60EC">
      <w:pPr>
        <w:pStyle w:val="Caption"/>
        <w:rPr>
          <w:b/>
          <w:bCs/>
          <w:i w:val="0"/>
          <w:iCs w:val="0"/>
          <w:lang w:val="fr-FR"/>
        </w:rPr>
      </w:pPr>
      <w:bookmarkStart w:id="554" w:name="_Ref239057275"/>
      <w:r w:rsidRPr="00653BF4">
        <w:rPr>
          <w:b/>
          <w:bCs/>
          <w:i w:val="0"/>
          <w:iCs w:val="0"/>
          <w:lang w:val="fr-FR"/>
        </w:rPr>
        <w:t xml:space="preserve">Figure </w:t>
      </w:r>
      <w:r w:rsidRPr="00653BF4">
        <w:rPr>
          <w:b/>
          <w:bCs/>
          <w:i w:val="0"/>
          <w:iCs w:val="0"/>
          <w:noProof/>
          <w:lang w:val="fr-FR"/>
        </w:rPr>
        <w:t>109</w:t>
      </w:r>
      <w:bookmarkEnd w:id="554"/>
    </w:p>
    <w:p w14:paraId="2A1CF48F" w14:textId="77777777" w:rsidR="007A60EC" w:rsidRDefault="007A60EC" w:rsidP="007A60EC">
      <w:pPr>
        <w:rPr>
          <w:b/>
          <w:sz w:val="20"/>
          <w:szCs w:val="20"/>
          <w:lang w:val="fr-FR"/>
        </w:rPr>
      </w:pPr>
      <w:r w:rsidRPr="00653BF4">
        <w:rPr>
          <w:b/>
          <w:sz w:val="20"/>
          <w:szCs w:val="20"/>
          <w:lang w:val="fr-FR"/>
        </w:rPr>
        <w:t>Cibles du Cadre associées à chacun des objectifs du Cadre</w:t>
      </w:r>
    </w:p>
    <w:p w14:paraId="33DEDBC1" w14:textId="77777777" w:rsidR="007A60EC" w:rsidRPr="00653BF4" w:rsidRDefault="007A60EC" w:rsidP="007A60EC">
      <w:pPr>
        <w:pStyle w:val="Caption"/>
        <w:rPr>
          <w:lang w:val="fr-FR"/>
        </w:rPr>
      </w:pPr>
      <w:r w:rsidRPr="00653BF4">
        <w:rPr>
          <w:noProof/>
          <w:lang w:val="fr-FR"/>
        </w:rPr>
        <w:lastRenderedPageBreak/>
        <w:drawing>
          <wp:inline distT="0" distB="0" distL="0" distR="0" wp14:anchorId="3B9A8514" wp14:editId="31F028FB">
            <wp:extent cx="6257657" cy="3898372"/>
            <wp:effectExtent l="0" t="0" r="0" b="0"/>
            <wp:docPr id="4166135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2">
                      <a:extLst>
                        <a:ext uri="{28A0092B-C50C-407E-A947-70E740481C1C}">
                          <a14:useLocalDpi xmlns:a14="http://schemas.microsoft.com/office/drawing/2010/main"/>
                        </a:ext>
                      </a:extLst>
                    </a:blip>
                    <a:srcRect t="12050" b="14388"/>
                    <a:stretch>
                      <a:fillRect/>
                    </a:stretch>
                  </pic:blipFill>
                  <pic:spPr bwMode="auto">
                    <a:xfrm>
                      <a:off x="0" y="0"/>
                      <a:ext cx="6257657" cy="3898372"/>
                    </a:xfrm>
                    <a:prstGeom prst="rect">
                      <a:avLst/>
                    </a:prstGeom>
                    <a:noFill/>
                    <a:ln>
                      <a:noFill/>
                    </a:ln>
                  </pic:spPr>
                </pic:pic>
              </a:graphicData>
            </a:graphic>
          </wp:inline>
        </w:drawing>
      </w:r>
    </w:p>
    <w:p w14:paraId="07A151BC" w14:textId="0CF68D6B" w:rsidR="007A60EC" w:rsidRPr="00653BF4" w:rsidRDefault="007A60EC" w:rsidP="007A60EC">
      <w:pPr>
        <w:pStyle w:val="Caption"/>
        <w:rPr>
          <w:rFonts w:eastAsia="Times New Roman"/>
          <w:bCs/>
          <w:i w:val="0"/>
          <w:lang w:val="fr-FR"/>
        </w:rPr>
      </w:pPr>
      <w:r w:rsidRPr="00653BF4">
        <w:rPr>
          <w:bCs/>
          <w:iCs w:val="0"/>
          <w:lang w:val="fr-FR"/>
        </w:rPr>
        <w:t>Note</w:t>
      </w:r>
      <w:r w:rsidR="00E34DC9">
        <w:rPr>
          <w:bCs/>
          <w:iCs w:val="0"/>
          <w:lang w:val="fr-FR"/>
        </w:rPr>
        <w:t> :</w:t>
      </w:r>
      <w:r w:rsidRPr="00653BF4">
        <w:rPr>
          <w:bCs/>
          <w:i w:val="0"/>
          <w:iCs w:val="0"/>
          <w:lang w:val="fr-FR"/>
        </w:rPr>
        <w:t xml:space="preserve"> Les associations sont fondées sur les cibles nationales communiquées par les Parties. Un lien est établi entre une cible et un objectif si, dans l’un quelconque des groupes régionaux d’États Membres de l’Organisation des Nations Unies, au moins un tiers des cibles nationales fixées par les Parties associent cette cible à cet objectif. Le Cadre n’établissant pas de correspondance entre ses cibles et ses objectifs, cette figure représente la manière dont les Parties perçoivent collectivement les liens entre les cibles et les objectifs du Cadre. Elle regroupe les informations des quatre figures de la </w:t>
      </w:r>
      <w:r w:rsidR="002878D7">
        <w:rPr>
          <w:bCs/>
          <w:i w:val="0"/>
          <w:iCs w:val="0"/>
          <w:lang w:val="fr-FR"/>
        </w:rPr>
        <w:t>section I</w:t>
      </w:r>
      <w:r w:rsidRPr="00653BF4">
        <w:rPr>
          <w:bCs/>
          <w:i w:val="0"/>
          <w:iCs w:val="0"/>
          <w:lang w:val="fr-FR"/>
        </w:rPr>
        <w:t>I.C ci-dessus (figures 96, 100, 103 et 106), qui font apparaître séparément les cibles associées à chaque objectif. Elle s’appuie sur les rattachements opérés par les Parties entre leurs cibles nationales et les cibles et objectifs du Cadre.</w:t>
      </w:r>
    </w:p>
    <w:tbl>
      <w:tblPr>
        <w:tblStyle w:val="TableGrid"/>
        <w:tblW w:w="9463" w:type="dxa"/>
        <w:tblLook w:val="04A0" w:firstRow="1" w:lastRow="0" w:firstColumn="1" w:lastColumn="0" w:noHBand="0" w:noVBand="1"/>
      </w:tblPr>
      <w:tblGrid>
        <w:gridCol w:w="4531"/>
        <w:gridCol w:w="4932"/>
      </w:tblGrid>
      <w:tr w:rsidR="001279A8" w:rsidRPr="00693353" w14:paraId="7BD9EEFA" w14:textId="77777777" w:rsidTr="009B4355">
        <w:trPr>
          <w:trHeight w:val="300"/>
        </w:trPr>
        <w:tc>
          <w:tcPr>
            <w:tcW w:w="9463" w:type="dxa"/>
            <w:gridSpan w:val="2"/>
          </w:tcPr>
          <w:p w14:paraId="29D56D96" w14:textId="77777777" w:rsidR="001279A8" w:rsidRPr="00693353" w:rsidRDefault="001279A8" w:rsidP="009B4355">
            <w:pPr>
              <w:rPr>
                <w:rFonts w:ascii="Aptos" w:hAnsi="Aptos"/>
              </w:rPr>
            </w:pPr>
            <w:r>
              <w:rPr>
                <w:rFonts w:ascii="Aptos" w:hAnsi="Aptos"/>
              </w:rPr>
              <w:t>Figure 109</w:t>
            </w:r>
          </w:p>
        </w:tc>
      </w:tr>
      <w:tr w:rsidR="001279A8" w:rsidRPr="00693353" w14:paraId="64772ACB" w14:textId="77777777" w:rsidTr="009B4355">
        <w:trPr>
          <w:trHeight w:val="300"/>
        </w:trPr>
        <w:tc>
          <w:tcPr>
            <w:tcW w:w="4531" w:type="dxa"/>
          </w:tcPr>
          <w:p w14:paraId="72B1E4B4" w14:textId="77777777" w:rsidR="001279A8" w:rsidRPr="00693353" w:rsidRDefault="001279A8" w:rsidP="009B4355">
            <w:pPr>
              <w:rPr>
                <w:rFonts w:ascii="Aptos" w:hAnsi="Aptos"/>
              </w:rPr>
            </w:pPr>
            <w:r w:rsidRPr="00693353">
              <w:rPr>
                <w:rFonts w:ascii="Aptos" w:hAnsi="Aptos"/>
              </w:rPr>
              <w:t xml:space="preserve">English </w:t>
            </w:r>
          </w:p>
        </w:tc>
        <w:tc>
          <w:tcPr>
            <w:tcW w:w="4932" w:type="dxa"/>
          </w:tcPr>
          <w:p w14:paraId="2D9FBF35" w14:textId="77777777" w:rsidR="001279A8" w:rsidRPr="00693353" w:rsidRDefault="001279A8" w:rsidP="009B4355">
            <w:pPr>
              <w:rPr>
                <w:rFonts w:ascii="Aptos" w:hAnsi="Aptos"/>
              </w:rPr>
            </w:pPr>
            <w:r>
              <w:rPr>
                <w:rFonts w:ascii="Aptos" w:hAnsi="Aptos"/>
              </w:rPr>
              <w:t>Français</w:t>
            </w:r>
          </w:p>
        </w:tc>
      </w:tr>
      <w:tr w:rsidR="001279A8" w:rsidRPr="003A6336" w14:paraId="752E1925" w14:textId="77777777" w:rsidTr="009B4355">
        <w:trPr>
          <w:trHeight w:val="300"/>
        </w:trPr>
        <w:tc>
          <w:tcPr>
            <w:tcW w:w="4531" w:type="dxa"/>
          </w:tcPr>
          <w:p w14:paraId="4AB1A615" w14:textId="77777777" w:rsidR="001279A8" w:rsidRPr="003A6336" w:rsidRDefault="001279A8" w:rsidP="009B4355">
            <w:pPr>
              <w:rPr>
                <w:rFonts w:ascii="Aptos" w:hAnsi="Aptos"/>
              </w:rPr>
            </w:pPr>
            <w:r>
              <w:rPr>
                <w:rFonts w:ascii="Aptos" w:hAnsi="Aptos"/>
              </w:rPr>
              <w:t>Goal A: Protect and restore</w:t>
            </w:r>
          </w:p>
        </w:tc>
        <w:tc>
          <w:tcPr>
            <w:tcW w:w="4932" w:type="dxa"/>
          </w:tcPr>
          <w:p w14:paraId="1C3D4288" w14:textId="77777777" w:rsidR="001279A8" w:rsidRPr="003A6336" w:rsidRDefault="001279A8" w:rsidP="009B4355">
            <w:pPr>
              <w:rPr>
                <w:rFonts w:ascii="Aptos" w:hAnsi="Aptos"/>
              </w:rPr>
            </w:pPr>
            <w:r>
              <w:t>Objectif A : Préserver et rétablir</w:t>
            </w:r>
          </w:p>
        </w:tc>
      </w:tr>
      <w:tr w:rsidR="001279A8" w:rsidRPr="003A6336" w14:paraId="3BD3E1AA" w14:textId="77777777" w:rsidTr="009B4355">
        <w:trPr>
          <w:trHeight w:val="300"/>
        </w:trPr>
        <w:tc>
          <w:tcPr>
            <w:tcW w:w="4531" w:type="dxa"/>
          </w:tcPr>
          <w:p w14:paraId="0487940F" w14:textId="77777777" w:rsidR="001279A8" w:rsidRPr="003A6336" w:rsidRDefault="001279A8" w:rsidP="009B4355">
            <w:pPr>
              <w:rPr>
                <w:rFonts w:ascii="Aptos" w:hAnsi="Aptos"/>
              </w:rPr>
            </w:pPr>
            <w:r>
              <w:rPr>
                <w:rFonts w:ascii="Aptos" w:hAnsi="Aptos"/>
              </w:rPr>
              <w:t>Goal B: Prosper with nature</w:t>
            </w:r>
          </w:p>
        </w:tc>
        <w:tc>
          <w:tcPr>
            <w:tcW w:w="4932" w:type="dxa"/>
          </w:tcPr>
          <w:p w14:paraId="6047C16A" w14:textId="77777777" w:rsidR="001279A8" w:rsidRPr="003A6336" w:rsidRDefault="001279A8" w:rsidP="009B4355">
            <w:pPr>
              <w:rPr>
                <w:rFonts w:ascii="Aptos" w:hAnsi="Aptos"/>
              </w:rPr>
            </w:pPr>
            <w:r>
              <w:t>Objectif B : Prospérer avec la nature</w:t>
            </w:r>
          </w:p>
        </w:tc>
      </w:tr>
      <w:tr w:rsidR="001279A8" w:rsidRPr="003A6336" w14:paraId="418FC8D9" w14:textId="77777777" w:rsidTr="009B4355">
        <w:trPr>
          <w:trHeight w:val="300"/>
        </w:trPr>
        <w:tc>
          <w:tcPr>
            <w:tcW w:w="4531" w:type="dxa"/>
          </w:tcPr>
          <w:p w14:paraId="4A850EA6" w14:textId="77777777" w:rsidR="001279A8" w:rsidRPr="003A6336" w:rsidRDefault="001279A8" w:rsidP="009B4355">
            <w:pPr>
              <w:rPr>
                <w:rFonts w:ascii="Aptos" w:hAnsi="Aptos"/>
              </w:rPr>
            </w:pPr>
            <w:r>
              <w:rPr>
                <w:rFonts w:ascii="Aptos" w:hAnsi="Aptos"/>
              </w:rPr>
              <w:t>Goal C: Share benefits fairly</w:t>
            </w:r>
          </w:p>
        </w:tc>
        <w:tc>
          <w:tcPr>
            <w:tcW w:w="4932" w:type="dxa"/>
          </w:tcPr>
          <w:p w14:paraId="6D8FD29D" w14:textId="77777777" w:rsidR="001279A8" w:rsidRPr="003A6336" w:rsidRDefault="001279A8" w:rsidP="009B4355">
            <w:pPr>
              <w:rPr>
                <w:rFonts w:ascii="Aptos" w:hAnsi="Aptos"/>
              </w:rPr>
            </w:pPr>
            <w:r>
              <w:t xml:space="preserve">Objectif C : Partager les avantages de manière juste </w:t>
            </w:r>
          </w:p>
        </w:tc>
      </w:tr>
      <w:tr w:rsidR="001279A8" w:rsidRPr="003A6336" w14:paraId="479E4CF9" w14:textId="77777777" w:rsidTr="009B4355">
        <w:trPr>
          <w:trHeight w:val="300"/>
        </w:trPr>
        <w:tc>
          <w:tcPr>
            <w:tcW w:w="4531" w:type="dxa"/>
          </w:tcPr>
          <w:p w14:paraId="4418F164" w14:textId="77777777" w:rsidR="001279A8" w:rsidRPr="003A6336" w:rsidRDefault="001279A8" w:rsidP="009B4355">
            <w:pPr>
              <w:rPr>
                <w:rFonts w:ascii="Aptos" w:hAnsi="Aptos"/>
              </w:rPr>
            </w:pPr>
            <w:r>
              <w:rPr>
                <w:rFonts w:ascii="Aptos" w:hAnsi="Aptos"/>
              </w:rPr>
              <w:t>Goal D: Invest and collaborate</w:t>
            </w:r>
          </w:p>
        </w:tc>
        <w:tc>
          <w:tcPr>
            <w:tcW w:w="4932" w:type="dxa"/>
          </w:tcPr>
          <w:p w14:paraId="0BF16AE3" w14:textId="77777777" w:rsidR="001279A8" w:rsidRPr="003A6336" w:rsidRDefault="001279A8" w:rsidP="009B4355">
            <w:pPr>
              <w:rPr>
                <w:rFonts w:ascii="Aptos" w:hAnsi="Aptos"/>
              </w:rPr>
            </w:pPr>
            <w:r>
              <w:t>Objectif D : Investir et collaborer</w:t>
            </w:r>
          </w:p>
        </w:tc>
      </w:tr>
      <w:tr w:rsidR="001279A8" w:rsidRPr="003A6336" w14:paraId="2CE338D0" w14:textId="77777777" w:rsidTr="009B4355">
        <w:trPr>
          <w:trHeight w:val="300"/>
        </w:trPr>
        <w:tc>
          <w:tcPr>
            <w:tcW w:w="4531" w:type="dxa"/>
          </w:tcPr>
          <w:p w14:paraId="1EFBC360" w14:textId="77777777" w:rsidR="001279A8" w:rsidRPr="003A6336" w:rsidRDefault="001279A8" w:rsidP="009B4355">
            <w:pPr>
              <w:rPr>
                <w:rFonts w:ascii="Aptos" w:hAnsi="Aptos"/>
              </w:rPr>
            </w:pPr>
            <w:r>
              <w:rPr>
                <w:rFonts w:ascii="Aptos" w:hAnsi="Aptos"/>
              </w:rPr>
              <w:t>Target 1: Plan and manage all areas</w:t>
            </w:r>
          </w:p>
        </w:tc>
        <w:tc>
          <w:tcPr>
            <w:tcW w:w="4932" w:type="dxa"/>
          </w:tcPr>
          <w:p w14:paraId="3B830853" w14:textId="77777777" w:rsidR="001279A8" w:rsidRPr="003A6336" w:rsidRDefault="001279A8" w:rsidP="009B4355">
            <w:pPr>
              <w:rPr>
                <w:rFonts w:ascii="Aptos" w:hAnsi="Aptos"/>
              </w:rPr>
            </w:pPr>
            <w:r>
              <w:t>Cible 1 : Planifier et gérer toutes les zones</w:t>
            </w:r>
          </w:p>
        </w:tc>
      </w:tr>
      <w:tr w:rsidR="001279A8" w:rsidRPr="003A6336" w14:paraId="7E262802" w14:textId="77777777" w:rsidTr="009B4355">
        <w:trPr>
          <w:trHeight w:val="300"/>
        </w:trPr>
        <w:tc>
          <w:tcPr>
            <w:tcW w:w="4531" w:type="dxa"/>
          </w:tcPr>
          <w:p w14:paraId="2407432E" w14:textId="77777777" w:rsidR="001279A8" w:rsidRPr="003A6336" w:rsidRDefault="001279A8" w:rsidP="009B4355">
            <w:pPr>
              <w:rPr>
                <w:rFonts w:ascii="Aptos" w:hAnsi="Aptos"/>
              </w:rPr>
            </w:pPr>
            <w:r>
              <w:rPr>
                <w:rFonts w:ascii="Aptos" w:hAnsi="Aptos"/>
              </w:rPr>
              <w:t>Target 2: Restore degraded ecosystems</w:t>
            </w:r>
          </w:p>
        </w:tc>
        <w:tc>
          <w:tcPr>
            <w:tcW w:w="4932" w:type="dxa"/>
          </w:tcPr>
          <w:p w14:paraId="45A8F75B" w14:textId="77777777" w:rsidR="001279A8" w:rsidRPr="003A6336" w:rsidRDefault="001279A8" w:rsidP="009B4355">
            <w:pPr>
              <w:rPr>
                <w:rFonts w:ascii="Aptos" w:hAnsi="Aptos"/>
              </w:rPr>
            </w:pPr>
            <w:r>
              <w:t>Cible 2 : Remettre en état les écosystèmes dégradés</w:t>
            </w:r>
          </w:p>
        </w:tc>
      </w:tr>
      <w:tr w:rsidR="001279A8" w:rsidRPr="003A6336" w14:paraId="47FD57D9" w14:textId="77777777" w:rsidTr="009B4355">
        <w:trPr>
          <w:trHeight w:val="300"/>
        </w:trPr>
        <w:tc>
          <w:tcPr>
            <w:tcW w:w="4531" w:type="dxa"/>
          </w:tcPr>
          <w:p w14:paraId="18D9DFA5" w14:textId="77777777" w:rsidR="001279A8" w:rsidRPr="003A6336" w:rsidRDefault="001279A8" w:rsidP="009B4355">
            <w:pPr>
              <w:rPr>
                <w:rFonts w:ascii="Aptos" w:hAnsi="Aptos"/>
              </w:rPr>
            </w:pPr>
            <w:r>
              <w:rPr>
                <w:rFonts w:ascii="Aptos" w:hAnsi="Aptos"/>
              </w:rPr>
              <w:t>Target 3: Conserve land, water and seas</w:t>
            </w:r>
          </w:p>
        </w:tc>
        <w:tc>
          <w:tcPr>
            <w:tcW w:w="4932" w:type="dxa"/>
          </w:tcPr>
          <w:p w14:paraId="79658DC9" w14:textId="77777777" w:rsidR="001279A8" w:rsidRPr="003A6336" w:rsidRDefault="001279A8" w:rsidP="009B4355">
            <w:pPr>
              <w:rPr>
                <w:rFonts w:ascii="Aptos" w:hAnsi="Aptos"/>
              </w:rPr>
            </w:pPr>
            <w:r>
              <w:t>Cible 3 : Conserver les terres, les eaux et les mers</w:t>
            </w:r>
          </w:p>
        </w:tc>
      </w:tr>
      <w:tr w:rsidR="001279A8" w:rsidRPr="003A6336" w14:paraId="5A16BF7B" w14:textId="77777777" w:rsidTr="009B4355">
        <w:trPr>
          <w:trHeight w:val="300"/>
        </w:trPr>
        <w:tc>
          <w:tcPr>
            <w:tcW w:w="4531" w:type="dxa"/>
          </w:tcPr>
          <w:p w14:paraId="5D1FF52D" w14:textId="77777777" w:rsidR="001279A8" w:rsidRPr="003A6336" w:rsidRDefault="001279A8" w:rsidP="009B4355">
            <w:pPr>
              <w:rPr>
                <w:rFonts w:ascii="Aptos" w:hAnsi="Aptos"/>
              </w:rPr>
            </w:pPr>
            <w:r>
              <w:rPr>
                <w:rFonts w:ascii="Aptos" w:hAnsi="Aptos"/>
              </w:rPr>
              <w:t>Target 4: Halt species extinctions</w:t>
            </w:r>
          </w:p>
        </w:tc>
        <w:tc>
          <w:tcPr>
            <w:tcW w:w="4932" w:type="dxa"/>
          </w:tcPr>
          <w:p w14:paraId="2E0D94EB" w14:textId="77777777" w:rsidR="001279A8" w:rsidRPr="003A6336" w:rsidRDefault="001279A8" w:rsidP="009B4355">
            <w:pPr>
              <w:rPr>
                <w:rFonts w:ascii="Aptos" w:hAnsi="Aptos"/>
              </w:rPr>
            </w:pPr>
            <w:r>
              <w:t>Cible 4 : Faire cesser l’extinction des espèces</w:t>
            </w:r>
          </w:p>
        </w:tc>
      </w:tr>
      <w:tr w:rsidR="001279A8" w:rsidRPr="003A6336" w14:paraId="7640BAD9" w14:textId="77777777" w:rsidTr="009B4355">
        <w:trPr>
          <w:trHeight w:val="300"/>
        </w:trPr>
        <w:tc>
          <w:tcPr>
            <w:tcW w:w="4531" w:type="dxa"/>
          </w:tcPr>
          <w:p w14:paraId="35BCAFCB" w14:textId="77777777" w:rsidR="001279A8" w:rsidRPr="003A6336" w:rsidRDefault="001279A8" w:rsidP="009B4355">
            <w:pPr>
              <w:rPr>
                <w:rFonts w:ascii="Aptos" w:hAnsi="Aptos"/>
              </w:rPr>
            </w:pPr>
            <w:r>
              <w:rPr>
                <w:rFonts w:ascii="Aptos" w:hAnsi="Aptos"/>
              </w:rPr>
              <w:t>Target 5: Sustainable harvest and trade</w:t>
            </w:r>
          </w:p>
        </w:tc>
        <w:tc>
          <w:tcPr>
            <w:tcW w:w="4932" w:type="dxa"/>
          </w:tcPr>
          <w:p w14:paraId="22B0DDFB" w14:textId="77777777" w:rsidR="001279A8" w:rsidRPr="003A6336" w:rsidRDefault="001279A8" w:rsidP="009B4355">
            <w:pPr>
              <w:rPr>
                <w:rFonts w:ascii="Aptos" w:hAnsi="Aptos"/>
              </w:rPr>
            </w:pPr>
            <w:r>
              <w:t>Cible 5 : Prélèvement et commerce durables</w:t>
            </w:r>
          </w:p>
        </w:tc>
      </w:tr>
      <w:tr w:rsidR="001279A8" w:rsidRPr="003A6336" w14:paraId="64D8ED98" w14:textId="77777777" w:rsidTr="009B4355">
        <w:trPr>
          <w:trHeight w:val="300"/>
        </w:trPr>
        <w:tc>
          <w:tcPr>
            <w:tcW w:w="4531" w:type="dxa"/>
          </w:tcPr>
          <w:p w14:paraId="2C4D20C7" w14:textId="77777777" w:rsidR="001279A8" w:rsidRPr="003A6336" w:rsidRDefault="001279A8" w:rsidP="009B4355">
            <w:pPr>
              <w:rPr>
                <w:rFonts w:ascii="Aptos" w:hAnsi="Aptos"/>
              </w:rPr>
            </w:pPr>
            <w:r>
              <w:rPr>
                <w:rFonts w:ascii="Aptos" w:hAnsi="Aptos"/>
              </w:rPr>
              <w:lastRenderedPageBreak/>
              <w:t>Target 6: Reduce introduction of IAS</w:t>
            </w:r>
          </w:p>
        </w:tc>
        <w:tc>
          <w:tcPr>
            <w:tcW w:w="4932" w:type="dxa"/>
          </w:tcPr>
          <w:p w14:paraId="25EF3535" w14:textId="77777777" w:rsidR="001279A8" w:rsidRPr="003A6336" w:rsidRDefault="001279A8" w:rsidP="009B4355">
            <w:pPr>
              <w:rPr>
                <w:rFonts w:ascii="Aptos" w:hAnsi="Aptos"/>
              </w:rPr>
            </w:pPr>
            <w:r>
              <w:t>Cible 6 : Réduire l’introduction des espèces exotiques envahissantes</w:t>
            </w:r>
          </w:p>
        </w:tc>
      </w:tr>
      <w:tr w:rsidR="001279A8" w:rsidRPr="003A6336" w14:paraId="3951B5B2" w14:textId="77777777" w:rsidTr="009B4355">
        <w:trPr>
          <w:trHeight w:val="300"/>
        </w:trPr>
        <w:tc>
          <w:tcPr>
            <w:tcW w:w="4531" w:type="dxa"/>
          </w:tcPr>
          <w:p w14:paraId="711FDB06" w14:textId="77777777" w:rsidR="001279A8" w:rsidRPr="003A6336" w:rsidRDefault="001279A8" w:rsidP="009B4355">
            <w:pPr>
              <w:rPr>
                <w:rFonts w:ascii="Aptos" w:hAnsi="Aptos"/>
              </w:rPr>
            </w:pPr>
            <w:r>
              <w:rPr>
                <w:rFonts w:ascii="Aptos" w:hAnsi="Aptos"/>
              </w:rPr>
              <w:t>Target 7: Reduce pollution</w:t>
            </w:r>
          </w:p>
        </w:tc>
        <w:tc>
          <w:tcPr>
            <w:tcW w:w="4932" w:type="dxa"/>
          </w:tcPr>
          <w:p w14:paraId="6E226A37" w14:textId="77777777" w:rsidR="001279A8" w:rsidRPr="003A6336" w:rsidRDefault="001279A8" w:rsidP="009B4355">
            <w:pPr>
              <w:rPr>
                <w:rFonts w:ascii="Aptos" w:hAnsi="Aptos"/>
              </w:rPr>
            </w:pPr>
            <w:r>
              <w:t>Cible 7 : Réduire la pollution</w:t>
            </w:r>
          </w:p>
        </w:tc>
      </w:tr>
      <w:tr w:rsidR="001279A8" w:rsidRPr="003A6336" w14:paraId="0E324206" w14:textId="77777777" w:rsidTr="009B4355">
        <w:trPr>
          <w:trHeight w:val="300"/>
        </w:trPr>
        <w:tc>
          <w:tcPr>
            <w:tcW w:w="4531" w:type="dxa"/>
          </w:tcPr>
          <w:p w14:paraId="0EB42EEE" w14:textId="77777777" w:rsidR="001279A8" w:rsidRPr="003A6336" w:rsidRDefault="001279A8" w:rsidP="009B4355">
            <w:pPr>
              <w:rPr>
                <w:rFonts w:ascii="Aptos" w:hAnsi="Aptos"/>
              </w:rPr>
            </w:pPr>
            <w:r>
              <w:rPr>
                <w:rFonts w:ascii="Aptos" w:hAnsi="Aptos"/>
              </w:rPr>
              <w:t>Target 8: Minimize the impacts of climate change</w:t>
            </w:r>
          </w:p>
        </w:tc>
        <w:tc>
          <w:tcPr>
            <w:tcW w:w="4932" w:type="dxa"/>
          </w:tcPr>
          <w:p w14:paraId="31791BF5" w14:textId="77777777" w:rsidR="001279A8" w:rsidRPr="003A6336" w:rsidRDefault="001279A8" w:rsidP="009B4355">
            <w:pPr>
              <w:rPr>
                <w:rFonts w:ascii="Aptos" w:hAnsi="Aptos"/>
              </w:rPr>
            </w:pPr>
            <w:r>
              <w:t>Cible 8 : Réduire au minimum les effets des changements climatiques</w:t>
            </w:r>
          </w:p>
        </w:tc>
      </w:tr>
      <w:tr w:rsidR="001279A8" w:rsidRPr="003A6336" w14:paraId="766D2A1D" w14:textId="77777777" w:rsidTr="009B4355">
        <w:trPr>
          <w:trHeight w:val="300"/>
        </w:trPr>
        <w:tc>
          <w:tcPr>
            <w:tcW w:w="4531" w:type="dxa"/>
          </w:tcPr>
          <w:p w14:paraId="391BA69D" w14:textId="77777777" w:rsidR="001279A8" w:rsidRPr="003A6336" w:rsidRDefault="001279A8" w:rsidP="009B4355">
            <w:pPr>
              <w:rPr>
                <w:rFonts w:ascii="Aptos" w:hAnsi="Aptos"/>
              </w:rPr>
            </w:pPr>
            <w:r>
              <w:rPr>
                <w:rFonts w:ascii="Aptos" w:hAnsi="Aptos"/>
              </w:rPr>
              <w:t>Target 9: Manage wild species sustainably</w:t>
            </w:r>
          </w:p>
        </w:tc>
        <w:tc>
          <w:tcPr>
            <w:tcW w:w="4932" w:type="dxa"/>
          </w:tcPr>
          <w:p w14:paraId="74D3A4FB" w14:textId="77777777" w:rsidR="001279A8" w:rsidRPr="003A6336" w:rsidRDefault="001279A8" w:rsidP="009B4355">
            <w:pPr>
              <w:rPr>
                <w:rFonts w:ascii="Aptos" w:hAnsi="Aptos"/>
              </w:rPr>
            </w:pPr>
            <w:r>
              <w:t>Cible 9 : Gérer durablement les espèces sauvages</w:t>
            </w:r>
          </w:p>
        </w:tc>
      </w:tr>
      <w:tr w:rsidR="001279A8" w:rsidRPr="003A6336" w14:paraId="6A22DA84" w14:textId="77777777" w:rsidTr="009B4355">
        <w:trPr>
          <w:trHeight w:val="300"/>
        </w:trPr>
        <w:tc>
          <w:tcPr>
            <w:tcW w:w="4531" w:type="dxa"/>
          </w:tcPr>
          <w:p w14:paraId="54F5A155" w14:textId="77777777" w:rsidR="001279A8" w:rsidRPr="003A6336" w:rsidRDefault="001279A8" w:rsidP="009B4355">
            <w:pPr>
              <w:rPr>
                <w:rFonts w:ascii="Aptos" w:hAnsi="Aptos"/>
              </w:rPr>
            </w:pPr>
            <w:r>
              <w:rPr>
                <w:rFonts w:ascii="Aptos" w:hAnsi="Aptos"/>
              </w:rPr>
              <w:t>Target 10: Sustainable productive sectors</w:t>
            </w:r>
          </w:p>
        </w:tc>
        <w:tc>
          <w:tcPr>
            <w:tcW w:w="4932" w:type="dxa"/>
          </w:tcPr>
          <w:p w14:paraId="6E3B0B06" w14:textId="77777777" w:rsidR="001279A8" w:rsidRPr="003A6336" w:rsidRDefault="001279A8" w:rsidP="009B4355">
            <w:pPr>
              <w:rPr>
                <w:rFonts w:ascii="Aptos" w:hAnsi="Aptos"/>
              </w:rPr>
            </w:pPr>
            <w:r>
              <w:t>Cible 10 : Secteurs productifs durables</w:t>
            </w:r>
          </w:p>
        </w:tc>
      </w:tr>
      <w:tr w:rsidR="001279A8" w:rsidRPr="003A6336" w14:paraId="5229ACE5" w14:textId="77777777" w:rsidTr="009B4355">
        <w:trPr>
          <w:trHeight w:val="300"/>
        </w:trPr>
        <w:tc>
          <w:tcPr>
            <w:tcW w:w="4531" w:type="dxa"/>
          </w:tcPr>
          <w:p w14:paraId="5625E52D" w14:textId="77777777" w:rsidR="001279A8" w:rsidRPr="003A6336" w:rsidRDefault="001279A8" w:rsidP="009B4355">
            <w:pPr>
              <w:rPr>
                <w:rFonts w:ascii="Aptos" w:hAnsi="Aptos"/>
              </w:rPr>
            </w:pPr>
            <w:r>
              <w:rPr>
                <w:rFonts w:ascii="Aptos" w:hAnsi="Aptos"/>
              </w:rPr>
              <w:t>Target 11: Nature’s contributions to people</w:t>
            </w:r>
          </w:p>
        </w:tc>
        <w:tc>
          <w:tcPr>
            <w:tcW w:w="4932" w:type="dxa"/>
          </w:tcPr>
          <w:p w14:paraId="06D5C66B" w14:textId="77777777" w:rsidR="001279A8" w:rsidRPr="003A6336" w:rsidRDefault="001279A8" w:rsidP="009B4355">
            <w:pPr>
              <w:rPr>
                <w:rFonts w:ascii="Aptos" w:hAnsi="Aptos"/>
              </w:rPr>
            </w:pPr>
            <w:r>
              <w:t>Cible 11 : Contributions de la nature aux populations</w:t>
            </w:r>
          </w:p>
        </w:tc>
      </w:tr>
      <w:tr w:rsidR="001279A8" w:rsidRPr="003A6336" w14:paraId="0190BE3D" w14:textId="77777777" w:rsidTr="009B4355">
        <w:trPr>
          <w:trHeight w:val="300"/>
        </w:trPr>
        <w:tc>
          <w:tcPr>
            <w:tcW w:w="4531" w:type="dxa"/>
          </w:tcPr>
          <w:p w14:paraId="23DAA59C" w14:textId="77777777" w:rsidR="001279A8" w:rsidRPr="003A6336" w:rsidRDefault="001279A8" w:rsidP="009B4355">
            <w:pPr>
              <w:rPr>
                <w:rFonts w:ascii="Aptos" w:hAnsi="Aptos"/>
              </w:rPr>
            </w:pPr>
            <w:r>
              <w:rPr>
                <w:rFonts w:ascii="Aptos" w:hAnsi="Aptos"/>
              </w:rPr>
              <w:t>Target 12: Enhance green spaces in urban areas</w:t>
            </w:r>
          </w:p>
        </w:tc>
        <w:tc>
          <w:tcPr>
            <w:tcW w:w="4932" w:type="dxa"/>
          </w:tcPr>
          <w:p w14:paraId="1610120A" w14:textId="77777777" w:rsidR="001279A8" w:rsidRPr="003A6336" w:rsidRDefault="001279A8" w:rsidP="009B4355">
            <w:pPr>
              <w:rPr>
                <w:rFonts w:ascii="Aptos" w:hAnsi="Aptos"/>
              </w:rPr>
            </w:pPr>
            <w:r>
              <w:t>Cible 12 : Accroître les espaces verts dans les zones urbaines</w:t>
            </w:r>
          </w:p>
        </w:tc>
      </w:tr>
      <w:tr w:rsidR="001279A8" w:rsidRPr="003A6336" w14:paraId="514B8BB0" w14:textId="77777777" w:rsidTr="009B4355">
        <w:trPr>
          <w:trHeight w:val="300"/>
        </w:trPr>
        <w:tc>
          <w:tcPr>
            <w:tcW w:w="4531" w:type="dxa"/>
          </w:tcPr>
          <w:p w14:paraId="28DECAE8" w14:textId="77777777" w:rsidR="001279A8" w:rsidRPr="003A6336" w:rsidRDefault="001279A8" w:rsidP="009B4355">
            <w:pPr>
              <w:rPr>
                <w:rFonts w:ascii="Aptos" w:hAnsi="Aptos"/>
              </w:rPr>
            </w:pPr>
            <w:r>
              <w:rPr>
                <w:rFonts w:ascii="Aptos" w:hAnsi="Aptos"/>
              </w:rPr>
              <w:t>Target 13: Increase benefit- sharing</w:t>
            </w:r>
          </w:p>
        </w:tc>
        <w:tc>
          <w:tcPr>
            <w:tcW w:w="4932" w:type="dxa"/>
          </w:tcPr>
          <w:p w14:paraId="061AE839" w14:textId="77777777" w:rsidR="001279A8" w:rsidRPr="003A6336" w:rsidRDefault="001279A8" w:rsidP="009B4355">
            <w:pPr>
              <w:rPr>
                <w:rFonts w:ascii="Aptos" w:hAnsi="Aptos"/>
              </w:rPr>
            </w:pPr>
            <w:r>
              <w:t>Cible 13 : Accroître le partage des avantages</w:t>
            </w:r>
          </w:p>
        </w:tc>
      </w:tr>
      <w:tr w:rsidR="001279A8" w:rsidRPr="003A6336" w14:paraId="6CA0297C" w14:textId="77777777" w:rsidTr="009B4355">
        <w:trPr>
          <w:trHeight w:val="300"/>
        </w:trPr>
        <w:tc>
          <w:tcPr>
            <w:tcW w:w="4531" w:type="dxa"/>
          </w:tcPr>
          <w:p w14:paraId="5A3AD13D" w14:textId="77777777" w:rsidR="001279A8" w:rsidRPr="003A6336" w:rsidRDefault="001279A8" w:rsidP="009B4355">
            <w:pPr>
              <w:rPr>
                <w:rFonts w:ascii="Aptos" w:hAnsi="Aptos"/>
              </w:rPr>
            </w:pPr>
            <w:r>
              <w:rPr>
                <w:rFonts w:ascii="Aptos" w:hAnsi="Aptos"/>
              </w:rPr>
              <w:t>Target 14: Mainstream biodiversity</w:t>
            </w:r>
          </w:p>
        </w:tc>
        <w:tc>
          <w:tcPr>
            <w:tcW w:w="4932" w:type="dxa"/>
          </w:tcPr>
          <w:p w14:paraId="1D7A01B4" w14:textId="77777777" w:rsidR="001279A8" w:rsidRPr="003A6336" w:rsidRDefault="001279A8" w:rsidP="009B4355">
            <w:pPr>
              <w:rPr>
                <w:rFonts w:ascii="Aptos" w:hAnsi="Aptos"/>
              </w:rPr>
            </w:pPr>
            <w:r>
              <w:t>Cible 14 : Intégrer la biodiversité</w:t>
            </w:r>
          </w:p>
        </w:tc>
      </w:tr>
      <w:tr w:rsidR="001279A8" w:rsidRPr="003A6336" w14:paraId="76C91280" w14:textId="77777777" w:rsidTr="009B4355">
        <w:trPr>
          <w:trHeight w:val="300"/>
        </w:trPr>
        <w:tc>
          <w:tcPr>
            <w:tcW w:w="4531" w:type="dxa"/>
          </w:tcPr>
          <w:p w14:paraId="576464BE" w14:textId="77777777" w:rsidR="001279A8" w:rsidRPr="003A6336" w:rsidRDefault="001279A8" w:rsidP="009B4355">
            <w:pPr>
              <w:rPr>
                <w:rFonts w:ascii="Aptos" w:hAnsi="Aptos"/>
              </w:rPr>
            </w:pPr>
            <w:r>
              <w:rPr>
                <w:rFonts w:ascii="Aptos" w:hAnsi="Aptos"/>
              </w:rPr>
              <w:t>Target 15: Businesses assess and disclose</w:t>
            </w:r>
          </w:p>
        </w:tc>
        <w:tc>
          <w:tcPr>
            <w:tcW w:w="4932" w:type="dxa"/>
          </w:tcPr>
          <w:p w14:paraId="4179C00A" w14:textId="77777777" w:rsidR="001279A8" w:rsidRPr="003A6336" w:rsidRDefault="001279A8" w:rsidP="009B4355">
            <w:pPr>
              <w:rPr>
                <w:rFonts w:ascii="Aptos" w:hAnsi="Aptos"/>
              </w:rPr>
            </w:pPr>
            <w:r>
              <w:t>Cible 15 : Évaluation et communication par les entreprises</w:t>
            </w:r>
          </w:p>
        </w:tc>
      </w:tr>
      <w:tr w:rsidR="001279A8" w:rsidRPr="003A6336" w14:paraId="3C05FFFA" w14:textId="77777777" w:rsidTr="009B4355">
        <w:trPr>
          <w:trHeight w:val="300"/>
        </w:trPr>
        <w:tc>
          <w:tcPr>
            <w:tcW w:w="4531" w:type="dxa"/>
          </w:tcPr>
          <w:p w14:paraId="1AD7B4A9" w14:textId="77777777" w:rsidR="001279A8" w:rsidRPr="003A6336" w:rsidRDefault="001279A8" w:rsidP="009B4355">
            <w:pPr>
              <w:rPr>
                <w:rFonts w:ascii="Aptos" w:hAnsi="Aptos"/>
              </w:rPr>
            </w:pPr>
            <w:r>
              <w:rPr>
                <w:rFonts w:ascii="Aptos" w:hAnsi="Aptos"/>
              </w:rPr>
              <w:t>Target 16: Enable sustainable consumption</w:t>
            </w:r>
          </w:p>
        </w:tc>
        <w:tc>
          <w:tcPr>
            <w:tcW w:w="4932" w:type="dxa"/>
          </w:tcPr>
          <w:p w14:paraId="603A6A1F" w14:textId="77777777" w:rsidR="001279A8" w:rsidRPr="003A6336" w:rsidRDefault="001279A8" w:rsidP="009B4355">
            <w:pPr>
              <w:rPr>
                <w:rFonts w:ascii="Aptos" w:hAnsi="Aptos"/>
              </w:rPr>
            </w:pPr>
            <w:r>
              <w:t>Cible 16 : Favoriser des choix de consommation durables</w:t>
            </w:r>
          </w:p>
        </w:tc>
      </w:tr>
      <w:tr w:rsidR="001279A8" w:rsidRPr="003A6336" w14:paraId="221CDE12" w14:textId="77777777" w:rsidTr="009B4355">
        <w:trPr>
          <w:trHeight w:val="300"/>
        </w:trPr>
        <w:tc>
          <w:tcPr>
            <w:tcW w:w="4531" w:type="dxa"/>
          </w:tcPr>
          <w:p w14:paraId="4D39F60E" w14:textId="77777777" w:rsidR="001279A8" w:rsidRPr="003A6336" w:rsidRDefault="001279A8" w:rsidP="009B4355">
            <w:pPr>
              <w:rPr>
                <w:rFonts w:ascii="Aptos" w:hAnsi="Aptos"/>
              </w:rPr>
            </w:pPr>
            <w:r>
              <w:rPr>
                <w:rFonts w:ascii="Aptos" w:hAnsi="Aptos"/>
              </w:rPr>
              <w:t>Target 17: Strengthen biosafety</w:t>
            </w:r>
          </w:p>
        </w:tc>
        <w:tc>
          <w:tcPr>
            <w:tcW w:w="4932" w:type="dxa"/>
          </w:tcPr>
          <w:p w14:paraId="43A167EE" w14:textId="77777777" w:rsidR="001279A8" w:rsidRPr="003A6336" w:rsidRDefault="001279A8" w:rsidP="009B4355">
            <w:pPr>
              <w:rPr>
                <w:rFonts w:ascii="Aptos" w:hAnsi="Aptos"/>
              </w:rPr>
            </w:pPr>
            <w:r>
              <w:t>Cible 17 : Renforcer la prévention des risques biotechnologiques</w:t>
            </w:r>
          </w:p>
        </w:tc>
      </w:tr>
      <w:tr w:rsidR="001279A8" w:rsidRPr="003A6336" w14:paraId="7D990177" w14:textId="77777777" w:rsidTr="009B4355">
        <w:trPr>
          <w:trHeight w:val="300"/>
        </w:trPr>
        <w:tc>
          <w:tcPr>
            <w:tcW w:w="4531" w:type="dxa"/>
          </w:tcPr>
          <w:p w14:paraId="48800C64" w14:textId="77777777" w:rsidR="001279A8" w:rsidRPr="003A6336" w:rsidRDefault="001279A8" w:rsidP="009B4355">
            <w:pPr>
              <w:rPr>
                <w:rFonts w:ascii="Aptos" w:hAnsi="Aptos"/>
              </w:rPr>
            </w:pPr>
            <w:r>
              <w:rPr>
                <w:rFonts w:ascii="Aptos" w:hAnsi="Aptos"/>
              </w:rPr>
              <w:t>Target 18: Reduce harmful incentives</w:t>
            </w:r>
          </w:p>
        </w:tc>
        <w:tc>
          <w:tcPr>
            <w:tcW w:w="4932" w:type="dxa"/>
          </w:tcPr>
          <w:p w14:paraId="7368267A" w14:textId="77777777" w:rsidR="001279A8" w:rsidRPr="003A6336" w:rsidRDefault="001279A8" w:rsidP="009B4355">
            <w:pPr>
              <w:rPr>
                <w:rFonts w:ascii="Aptos" w:hAnsi="Aptos"/>
              </w:rPr>
            </w:pPr>
            <w:r>
              <w:t>Cible 18 : Réduire les incitations préjudiciables</w:t>
            </w:r>
          </w:p>
        </w:tc>
      </w:tr>
      <w:tr w:rsidR="001279A8" w:rsidRPr="003A6336" w14:paraId="7A0106F7" w14:textId="77777777" w:rsidTr="009B4355">
        <w:trPr>
          <w:trHeight w:val="300"/>
        </w:trPr>
        <w:tc>
          <w:tcPr>
            <w:tcW w:w="4531" w:type="dxa"/>
          </w:tcPr>
          <w:p w14:paraId="71DA28D7" w14:textId="77777777" w:rsidR="001279A8" w:rsidRPr="003A6336" w:rsidRDefault="001279A8" w:rsidP="009B4355">
            <w:pPr>
              <w:rPr>
                <w:rFonts w:ascii="Aptos" w:hAnsi="Aptos"/>
              </w:rPr>
            </w:pPr>
            <w:r>
              <w:rPr>
                <w:rFonts w:ascii="Aptos" w:hAnsi="Aptos"/>
              </w:rPr>
              <w:t>Target 19: Mobilize $200 billion</w:t>
            </w:r>
          </w:p>
        </w:tc>
        <w:tc>
          <w:tcPr>
            <w:tcW w:w="4932" w:type="dxa"/>
          </w:tcPr>
          <w:p w14:paraId="595DAEA0" w14:textId="77777777" w:rsidR="001279A8" w:rsidRPr="003A6336" w:rsidRDefault="001279A8" w:rsidP="009B4355">
            <w:pPr>
              <w:rPr>
                <w:rFonts w:ascii="Aptos" w:hAnsi="Aptos"/>
              </w:rPr>
            </w:pPr>
            <w:r>
              <w:t>Cible 19 : Mobiliser 200 milliards de dollars</w:t>
            </w:r>
          </w:p>
        </w:tc>
      </w:tr>
      <w:tr w:rsidR="001279A8" w:rsidRPr="003A6336" w14:paraId="4EA99D0E" w14:textId="77777777" w:rsidTr="009B4355">
        <w:trPr>
          <w:trHeight w:val="300"/>
        </w:trPr>
        <w:tc>
          <w:tcPr>
            <w:tcW w:w="4531" w:type="dxa"/>
          </w:tcPr>
          <w:p w14:paraId="14751F94" w14:textId="77777777" w:rsidR="001279A8" w:rsidRPr="003A6336" w:rsidRDefault="001279A8" w:rsidP="009B4355">
            <w:pPr>
              <w:rPr>
                <w:rFonts w:ascii="Aptos" w:hAnsi="Aptos"/>
              </w:rPr>
            </w:pPr>
            <w:r>
              <w:rPr>
                <w:rFonts w:ascii="Aptos" w:hAnsi="Aptos"/>
              </w:rPr>
              <w:t>Target 20: Strengthen capacity-building</w:t>
            </w:r>
          </w:p>
        </w:tc>
        <w:tc>
          <w:tcPr>
            <w:tcW w:w="4932" w:type="dxa"/>
          </w:tcPr>
          <w:p w14:paraId="6C492F54" w14:textId="77777777" w:rsidR="001279A8" w:rsidRPr="003A6336" w:rsidRDefault="001279A8" w:rsidP="009B4355">
            <w:pPr>
              <w:rPr>
                <w:rFonts w:ascii="Aptos" w:hAnsi="Aptos"/>
              </w:rPr>
            </w:pPr>
            <w:r>
              <w:t>Cible 20 : Renforcer la création de capacités</w:t>
            </w:r>
          </w:p>
        </w:tc>
      </w:tr>
      <w:tr w:rsidR="001279A8" w:rsidRPr="003A6336" w14:paraId="1DE92DB6" w14:textId="77777777" w:rsidTr="009B4355">
        <w:trPr>
          <w:trHeight w:val="300"/>
        </w:trPr>
        <w:tc>
          <w:tcPr>
            <w:tcW w:w="4531" w:type="dxa"/>
          </w:tcPr>
          <w:p w14:paraId="5BFAFF85" w14:textId="77777777" w:rsidR="001279A8" w:rsidRPr="003A6336" w:rsidRDefault="001279A8" w:rsidP="009B4355">
            <w:pPr>
              <w:rPr>
                <w:rFonts w:ascii="Aptos" w:hAnsi="Aptos"/>
              </w:rPr>
            </w:pPr>
            <w:r>
              <w:rPr>
                <w:rFonts w:ascii="Aptos" w:hAnsi="Aptos"/>
              </w:rPr>
              <w:t>Target 21: Knowledge is available</w:t>
            </w:r>
          </w:p>
        </w:tc>
        <w:tc>
          <w:tcPr>
            <w:tcW w:w="4932" w:type="dxa"/>
          </w:tcPr>
          <w:p w14:paraId="47297E90" w14:textId="77777777" w:rsidR="001279A8" w:rsidRPr="003A6336" w:rsidRDefault="001279A8" w:rsidP="009B4355">
            <w:pPr>
              <w:rPr>
                <w:rFonts w:ascii="Aptos" w:hAnsi="Aptos"/>
              </w:rPr>
            </w:pPr>
            <w:r>
              <w:t>Cible 21 : Connaissances disponibles</w:t>
            </w:r>
          </w:p>
        </w:tc>
      </w:tr>
      <w:tr w:rsidR="001279A8" w:rsidRPr="003A6336" w14:paraId="50FBC6EC" w14:textId="77777777" w:rsidTr="009B4355">
        <w:trPr>
          <w:trHeight w:val="300"/>
        </w:trPr>
        <w:tc>
          <w:tcPr>
            <w:tcW w:w="4531" w:type="dxa"/>
          </w:tcPr>
          <w:p w14:paraId="158B58F7" w14:textId="77777777" w:rsidR="001279A8" w:rsidRPr="003A6336" w:rsidRDefault="001279A8" w:rsidP="009B4355">
            <w:pPr>
              <w:rPr>
                <w:rFonts w:ascii="Aptos" w:hAnsi="Aptos"/>
              </w:rPr>
            </w:pPr>
            <w:r>
              <w:rPr>
                <w:rFonts w:ascii="Aptos" w:hAnsi="Aptos"/>
              </w:rPr>
              <w:t>Target 22: Ensure participation for all</w:t>
            </w:r>
          </w:p>
        </w:tc>
        <w:tc>
          <w:tcPr>
            <w:tcW w:w="4932" w:type="dxa"/>
          </w:tcPr>
          <w:p w14:paraId="1DE0B7E6" w14:textId="77777777" w:rsidR="001279A8" w:rsidRPr="003A6336" w:rsidRDefault="001279A8" w:rsidP="009B4355">
            <w:pPr>
              <w:rPr>
                <w:rFonts w:ascii="Aptos" w:hAnsi="Aptos"/>
              </w:rPr>
            </w:pPr>
            <w:r>
              <w:t>Cible 22 : Assurer la participation de tous</w:t>
            </w:r>
          </w:p>
        </w:tc>
      </w:tr>
      <w:tr w:rsidR="001279A8" w:rsidRPr="003A6336" w14:paraId="654342C5" w14:textId="77777777" w:rsidTr="009B4355">
        <w:trPr>
          <w:trHeight w:val="300"/>
        </w:trPr>
        <w:tc>
          <w:tcPr>
            <w:tcW w:w="4531" w:type="dxa"/>
          </w:tcPr>
          <w:p w14:paraId="660B39CD" w14:textId="77777777" w:rsidR="001279A8" w:rsidRPr="003A6336" w:rsidRDefault="001279A8" w:rsidP="009B4355">
            <w:pPr>
              <w:rPr>
                <w:rFonts w:ascii="Aptos" w:hAnsi="Aptos"/>
              </w:rPr>
            </w:pPr>
            <w:r>
              <w:rPr>
                <w:rFonts w:ascii="Aptos" w:hAnsi="Aptos"/>
              </w:rPr>
              <w:t>Target 23: Ensure gender equality</w:t>
            </w:r>
          </w:p>
        </w:tc>
        <w:tc>
          <w:tcPr>
            <w:tcW w:w="4932" w:type="dxa"/>
          </w:tcPr>
          <w:p w14:paraId="57B56728" w14:textId="77777777" w:rsidR="001279A8" w:rsidRPr="003A6336" w:rsidRDefault="001279A8" w:rsidP="009B4355">
            <w:pPr>
              <w:rPr>
                <w:rFonts w:ascii="Aptos" w:hAnsi="Aptos"/>
              </w:rPr>
            </w:pPr>
            <w:r>
              <w:rPr>
                <w:rFonts w:ascii="Aptos" w:hAnsi="Aptos"/>
              </w:rPr>
              <w:t>Cible 23 : Assurer l’égalité des genres</w:t>
            </w:r>
          </w:p>
        </w:tc>
      </w:tr>
    </w:tbl>
    <w:p w14:paraId="52C94BDF" w14:textId="77777777" w:rsidR="007A60EC" w:rsidRPr="00653BF4" w:rsidRDefault="007A60EC" w:rsidP="007A60EC">
      <w:pPr>
        <w:rPr>
          <w:lang w:val="fr-FR" w:eastAsia="ja-JP"/>
        </w:rPr>
      </w:pPr>
    </w:p>
    <w:p w14:paraId="0F709B28" w14:textId="77777777" w:rsidR="007A60EC" w:rsidRPr="00653BF4" w:rsidRDefault="007A60EC" w:rsidP="007A60EC">
      <w:pPr>
        <w:pStyle w:val="Caption"/>
        <w:keepNext/>
        <w:rPr>
          <w:lang w:val="fr-FR"/>
        </w:rPr>
      </w:pPr>
    </w:p>
    <w:tbl>
      <w:tblPr>
        <w:tblStyle w:val="TableGrid"/>
        <w:tblW w:w="0" w:type="auto"/>
        <w:tblLook w:val="04A0" w:firstRow="1" w:lastRow="0" w:firstColumn="1" w:lastColumn="0" w:noHBand="0" w:noVBand="1"/>
      </w:tblPr>
      <w:tblGrid>
        <w:gridCol w:w="9340"/>
      </w:tblGrid>
      <w:tr w:rsidR="007A60EC" w:rsidRPr="00543148" w14:paraId="087C102C" w14:textId="77777777" w:rsidTr="00557FB3">
        <w:trPr>
          <w:trHeight w:val="300"/>
        </w:trPr>
        <w:tc>
          <w:tcPr>
            <w:tcW w:w="934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6DFD0BA5" w14:textId="2FF9565A" w:rsidR="007A60EC" w:rsidRPr="00653BF4" w:rsidRDefault="007A60EC" w:rsidP="00557FB3">
            <w:pPr>
              <w:rPr>
                <w:sz w:val="20"/>
                <w:szCs w:val="20"/>
                <w:lang w:val="fr-FR"/>
              </w:rPr>
            </w:pPr>
            <w:bookmarkStart w:id="555" w:name="_Ref238908216"/>
            <w:r w:rsidRPr="00653BF4">
              <w:rPr>
                <w:sz w:val="20"/>
                <w:szCs w:val="20"/>
                <w:lang w:val="fr-FR"/>
              </w:rPr>
              <w:t xml:space="preserve">Encadré </w:t>
            </w:r>
            <w:r w:rsidRPr="00653BF4">
              <w:rPr>
                <w:noProof/>
                <w:sz w:val="20"/>
                <w:szCs w:val="20"/>
                <w:lang w:val="fr-FR"/>
              </w:rPr>
              <w:t>58</w:t>
            </w:r>
            <w:bookmarkEnd w:id="555"/>
          </w:p>
          <w:p w14:paraId="1FB4A909" w14:textId="77777777" w:rsidR="007A60EC" w:rsidRPr="00653BF4" w:rsidRDefault="007A60EC" w:rsidP="00557FB3">
            <w:pPr>
              <w:rPr>
                <w:rFonts w:eastAsia="Aptos"/>
                <w:b/>
                <w:sz w:val="20"/>
                <w:szCs w:val="20"/>
                <w:lang w:val="fr-FR"/>
              </w:rPr>
            </w:pPr>
            <w:r w:rsidRPr="00653BF4">
              <w:rPr>
                <w:rFonts w:ascii="Aptos" w:hAnsi="Aptos"/>
                <w:b/>
                <w:bCs/>
                <w:sz w:val="20"/>
                <w:szCs w:val="20"/>
                <w:lang w:val="fr-FR"/>
              </w:rPr>
              <w:t>Aperçu des objectifs d’après les associations présentées à la figure 109</w:t>
            </w:r>
          </w:p>
          <w:p w14:paraId="70C58DEA" w14:textId="77777777" w:rsidR="007A60EC" w:rsidRPr="00653BF4" w:rsidRDefault="007A60EC" w:rsidP="00557FB3">
            <w:pPr>
              <w:rPr>
                <w:rFonts w:eastAsia="Aptos"/>
                <w:b/>
                <w:bCs/>
                <w:sz w:val="20"/>
                <w:szCs w:val="20"/>
                <w:lang w:val="fr-FR"/>
              </w:rPr>
            </w:pPr>
          </w:p>
          <w:p w14:paraId="65E24D6E" w14:textId="3D4E9B57" w:rsidR="007A60EC" w:rsidRPr="00653BF4" w:rsidRDefault="002878D7" w:rsidP="00557FB3">
            <w:pPr>
              <w:rPr>
                <w:rFonts w:eastAsia="Aptos"/>
                <w:b/>
                <w:sz w:val="20"/>
                <w:szCs w:val="20"/>
                <w:lang w:val="fr-FR"/>
              </w:rPr>
            </w:pPr>
            <w:r>
              <w:rPr>
                <w:rFonts w:eastAsia="Aptos"/>
                <w:b/>
                <w:sz w:val="20"/>
                <w:szCs w:val="20"/>
                <w:lang w:val="fr-FR"/>
              </w:rPr>
              <w:t>Objectif A</w:t>
            </w:r>
            <w:r w:rsidR="007A60EC" w:rsidRPr="00653BF4">
              <w:rPr>
                <w:rFonts w:eastAsia="Aptos"/>
                <w:b/>
                <w:sz w:val="20"/>
                <w:szCs w:val="20"/>
                <w:lang w:val="fr-FR"/>
              </w:rPr>
              <w:t xml:space="preserve"> – Préserver et rétablir</w:t>
            </w:r>
          </w:p>
          <w:p w14:paraId="35C165E1" w14:textId="77777777" w:rsidR="007A60EC" w:rsidRPr="00653BF4" w:rsidRDefault="007A60EC" w:rsidP="00557FB3">
            <w:pPr>
              <w:rPr>
                <w:rFonts w:eastAsia="Aptos"/>
                <w:b/>
                <w:sz w:val="20"/>
                <w:szCs w:val="20"/>
                <w:lang w:val="fr-FR"/>
              </w:rPr>
            </w:pPr>
          </w:p>
          <w:p w14:paraId="576E3850" w14:textId="16461256" w:rsidR="007A60EC" w:rsidRPr="00653BF4" w:rsidRDefault="007A60EC" w:rsidP="00557FB3">
            <w:pPr>
              <w:rPr>
                <w:rFonts w:eastAsia="Aptos"/>
                <w:sz w:val="20"/>
                <w:szCs w:val="20"/>
                <w:lang w:val="fr-FR"/>
              </w:rPr>
            </w:pPr>
            <w:r w:rsidRPr="00653BF4">
              <w:rPr>
                <w:rFonts w:eastAsia="Aptos"/>
                <w:sz w:val="20"/>
                <w:szCs w:val="20"/>
                <w:lang w:val="fr-FR"/>
              </w:rPr>
              <w:t>Les Parties ont associé 15 des 23 cibles du Cadre à l’</w:t>
            </w:r>
            <w:r w:rsidR="002878D7">
              <w:rPr>
                <w:rFonts w:eastAsia="Aptos"/>
                <w:sz w:val="20"/>
                <w:szCs w:val="20"/>
                <w:lang w:val="fr-FR"/>
              </w:rPr>
              <w:t>objectif A</w:t>
            </w:r>
            <w:r w:rsidRPr="00653BF4">
              <w:rPr>
                <w:rFonts w:eastAsia="Aptos"/>
                <w:sz w:val="20"/>
                <w:szCs w:val="20"/>
                <w:lang w:val="fr-FR"/>
              </w:rPr>
              <w:t xml:space="preserve">, dont toutes les cibles relatives à la réduction des menaces pesant sur la biodiversité à l’exception de la </w:t>
            </w:r>
            <w:r w:rsidR="00E34DC9">
              <w:rPr>
                <w:rFonts w:eastAsia="Aptos"/>
                <w:sz w:val="20"/>
                <w:szCs w:val="20"/>
                <w:lang w:val="fr-FR"/>
              </w:rPr>
              <w:t>cible 5</w:t>
            </w:r>
            <w:r w:rsidRPr="00653BF4">
              <w:rPr>
                <w:rFonts w:eastAsia="Aptos"/>
                <w:sz w:val="20"/>
                <w:szCs w:val="20"/>
                <w:lang w:val="fr-FR"/>
              </w:rPr>
              <w:t>, et quatre des cinq cibles relatives à l’utilisation durable et au partage des avantages. Les progrès vers l’</w:t>
            </w:r>
            <w:r w:rsidR="002878D7">
              <w:rPr>
                <w:rFonts w:eastAsia="Aptos"/>
                <w:sz w:val="20"/>
                <w:szCs w:val="20"/>
                <w:lang w:val="fr-FR"/>
              </w:rPr>
              <w:t>objectif A</w:t>
            </w:r>
            <w:r w:rsidRPr="00653BF4">
              <w:rPr>
                <w:rFonts w:eastAsia="Aptos"/>
                <w:sz w:val="20"/>
                <w:szCs w:val="20"/>
                <w:lang w:val="fr-FR"/>
              </w:rPr>
              <w:t xml:space="preserve"> dépendent donc de la mise en œuvre d’un large éventail de cibles ayant des incidences à la fois directes et indirectes sur la biodiversité. Si certaines des cibles associées affichent des tendances positives, les progrès collectifs accomplis vers ces cibles restent globalement mitigés. </w:t>
            </w:r>
          </w:p>
          <w:p w14:paraId="3A732B28" w14:textId="77777777" w:rsidR="007A60EC" w:rsidRPr="00653BF4" w:rsidRDefault="007A60EC" w:rsidP="00557FB3">
            <w:pPr>
              <w:rPr>
                <w:rFonts w:eastAsia="Aptos"/>
                <w:sz w:val="20"/>
                <w:szCs w:val="20"/>
                <w:lang w:val="fr-FR"/>
              </w:rPr>
            </w:pPr>
          </w:p>
          <w:p w14:paraId="6F4B6C0E" w14:textId="2B9D2C56" w:rsidR="007A60EC" w:rsidRPr="00653BF4" w:rsidRDefault="002878D7" w:rsidP="00557FB3">
            <w:pPr>
              <w:rPr>
                <w:rFonts w:eastAsia="Aptos"/>
                <w:b/>
                <w:sz w:val="20"/>
                <w:szCs w:val="20"/>
                <w:lang w:val="fr-FR"/>
              </w:rPr>
            </w:pPr>
            <w:r>
              <w:rPr>
                <w:rFonts w:eastAsia="Aptos"/>
                <w:b/>
                <w:sz w:val="20"/>
                <w:szCs w:val="20"/>
                <w:lang w:val="fr-FR"/>
              </w:rPr>
              <w:t>Objectif B</w:t>
            </w:r>
            <w:r w:rsidR="007A60EC" w:rsidRPr="00653BF4">
              <w:rPr>
                <w:rFonts w:eastAsia="Aptos"/>
                <w:b/>
                <w:sz w:val="20"/>
                <w:szCs w:val="20"/>
                <w:lang w:val="fr-FR"/>
              </w:rPr>
              <w:t xml:space="preserve"> – Prospérer avec la nature</w:t>
            </w:r>
          </w:p>
          <w:p w14:paraId="3B7D3CB6" w14:textId="77777777" w:rsidR="007A60EC" w:rsidRPr="00653BF4" w:rsidRDefault="007A60EC" w:rsidP="00557FB3">
            <w:pPr>
              <w:rPr>
                <w:rFonts w:eastAsia="Aptos"/>
                <w:b/>
                <w:sz w:val="20"/>
                <w:szCs w:val="20"/>
                <w:lang w:val="fr-FR"/>
              </w:rPr>
            </w:pPr>
          </w:p>
          <w:p w14:paraId="4E8EF40C" w14:textId="7B309FB3" w:rsidR="007A60EC" w:rsidRPr="00653BF4" w:rsidRDefault="007A60EC" w:rsidP="00557FB3">
            <w:pPr>
              <w:rPr>
                <w:rFonts w:eastAsia="Aptos"/>
                <w:sz w:val="20"/>
                <w:szCs w:val="20"/>
                <w:lang w:val="fr-FR"/>
              </w:rPr>
            </w:pPr>
            <w:r w:rsidRPr="00653BF4">
              <w:rPr>
                <w:rFonts w:eastAsia="Aptos"/>
                <w:sz w:val="20"/>
                <w:szCs w:val="20"/>
                <w:lang w:val="fr-FR"/>
              </w:rPr>
              <w:lastRenderedPageBreak/>
              <w:t>Les Parties ont associé 19 des 23 cibles du Cadre à l’</w:t>
            </w:r>
            <w:r w:rsidR="002878D7">
              <w:rPr>
                <w:rFonts w:eastAsia="Aptos"/>
                <w:sz w:val="20"/>
                <w:szCs w:val="20"/>
                <w:lang w:val="fr-FR"/>
              </w:rPr>
              <w:t>objectif B</w:t>
            </w:r>
            <w:r w:rsidRPr="00653BF4">
              <w:rPr>
                <w:rFonts w:eastAsia="Aptos"/>
                <w:sz w:val="20"/>
                <w:szCs w:val="20"/>
                <w:lang w:val="fr-FR"/>
              </w:rPr>
              <w:t>, soit plus que pour tout autre objectif. Les progrès accomplis dans la réalisation de l’</w:t>
            </w:r>
            <w:r w:rsidR="002878D7">
              <w:rPr>
                <w:rFonts w:eastAsia="Aptos"/>
                <w:sz w:val="20"/>
                <w:szCs w:val="20"/>
                <w:lang w:val="fr-FR"/>
              </w:rPr>
              <w:t>objectif B</w:t>
            </w:r>
            <w:r w:rsidRPr="00653BF4">
              <w:rPr>
                <w:rFonts w:eastAsia="Aptos"/>
                <w:sz w:val="20"/>
                <w:szCs w:val="20"/>
                <w:lang w:val="fr-FR"/>
              </w:rPr>
              <w:t xml:space="preserve"> dépendent donc fortement d’une action coordonnée portant sur la majeure partie du Cadre. Comme indiqué à la </w:t>
            </w:r>
            <w:r w:rsidR="002878D7">
              <w:rPr>
                <w:rFonts w:eastAsia="Aptos"/>
                <w:sz w:val="20"/>
                <w:szCs w:val="20"/>
                <w:lang w:val="fr-FR"/>
              </w:rPr>
              <w:t>section I</w:t>
            </w:r>
            <w:r w:rsidRPr="00653BF4">
              <w:rPr>
                <w:rFonts w:eastAsia="Aptos"/>
                <w:sz w:val="20"/>
                <w:szCs w:val="20"/>
                <w:lang w:val="fr-FR"/>
              </w:rPr>
              <w:t>I.B, les progrès collectifs accomplis dans l’ensemble du Cadre sont mitigés, et il faut s’attaquer aux facteurs tant directs qu’indirects de modification de la biodiversité.</w:t>
            </w:r>
          </w:p>
          <w:p w14:paraId="5D3559B5" w14:textId="77777777" w:rsidR="007A60EC" w:rsidRPr="00653BF4" w:rsidRDefault="007A60EC" w:rsidP="00557FB3">
            <w:pPr>
              <w:rPr>
                <w:rFonts w:eastAsia="Aptos"/>
                <w:sz w:val="20"/>
                <w:szCs w:val="20"/>
                <w:lang w:val="fr-FR"/>
              </w:rPr>
            </w:pPr>
          </w:p>
          <w:p w14:paraId="62BF5D6D" w14:textId="64702FC0" w:rsidR="007A60EC" w:rsidRPr="00653BF4" w:rsidRDefault="002878D7" w:rsidP="00557FB3">
            <w:pPr>
              <w:rPr>
                <w:rFonts w:eastAsia="Aptos"/>
                <w:b/>
                <w:sz w:val="20"/>
                <w:szCs w:val="20"/>
                <w:lang w:val="fr-FR"/>
              </w:rPr>
            </w:pPr>
            <w:r>
              <w:rPr>
                <w:rFonts w:eastAsia="Aptos"/>
                <w:b/>
                <w:sz w:val="20"/>
                <w:szCs w:val="20"/>
                <w:lang w:val="fr-FR"/>
              </w:rPr>
              <w:t>Objectif C</w:t>
            </w:r>
            <w:r w:rsidR="007A60EC" w:rsidRPr="00653BF4">
              <w:rPr>
                <w:rFonts w:eastAsia="Aptos"/>
                <w:b/>
                <w:sz w:val="20"/>
                <w:szCs w:val="20"/>
                <w:lang w:val="fr-FR"/>
              </w:rPr>
              <w:t xml:space="preserve"> – Partager de manière juste les avantages découlant de l’utilisation des ressources génétiques </w:t>
            </w:r>
          </w:p>
          <w:p w14:paraId="62701548" w14:textId="77777777" w:rsidR="007A60EC" w:rsidRPr="00653BF4" w:rsidRDefault="007A60EC" w:rsidP="00557FB3">
            <w:pPr>
              <w:rPr>
                <w:rFonts w:eastAsia="Aptos"/>
                <w:b/>
                <w:sz w:val="20"/>
                <w:szCs w:val="20"/>
                <w:lang w:val="fr-FR"/>
              </w:rPr>
            </w:pPr>
          </w:p>
          <w:p w14:paraId="00ED6093" w14:textId="67FFECE0" w:rsidR="007A60EC" w:rsidRPr="00653BF4" w:rsidRDefault="007A60EC" w:rsidP="00557FB3">
            <w:pPr>
              <w:rPr>
                <w:rFonts w:eastAsia="Aptos"/>
                <w:sz w:val="20"/>
                <w:szCs w:val="20"/>
                <w:lang w:val="fr-FR"/>
              </w:rPr>
            </w:pPr>
            <w:r w:rsidRPr="00653BF4">
              <w:rPr>
                <w:rFonts w:eastAsia="Aptos"/>
                <w:sz w:val="20"/>
                <w:szCs w:val="20"/>
                <w:lang w:val="fr-FR"/>
              </w:rPr>
              <w:t>Les Parties n’ont associé que deux cibles du Cadre à l’</w:t>
            </w:r>
            <w:r w:rsidR="002878D7">
              <w:rPr>
                <w:rFonts w:eastAsia="Aptos"/>
                <w:sz w:val="20"/>
                <w:szCs w:val="20"/>
                <w:lang w:val="fr-FR"/>
              </w:rPr>
              <w:t>objectif C</w:t>
            </w:r>
            <w:r w:rsidR="00E34DC9">
              <w:rPr>
                <w:rFonts w:eastAsia="Aptos"/>
                <w:sz w:val="20"/>
                <w:szCs w:val="20"/>
                <w:lang w:val="fr-FR"/>
              </w:rPr>
              <w:t> :</w:t>
            </w:r>
            <w:r w:rsidRPr="00653BF4">
              <w:rPr>
                <w:rFonts w:eastAsia="Aptos"/>
                <w:sz w:val="20"/>
                <w:szCs w:val="20"/>
                <w:lang w:val="fr-FR"/>
              </w:rPr>
              <w:t xml:space="preserve"> la </w:t>
            </w:r>
            <w:r w:rsidR="00E34DC9">
              <w:rPr>
                <w:rFonts w:eastAsia="Aptos"/>
                <w:sz w:val="20"/>
                <w:szCs w:val="20"/>
                <w:lang w:val="fr-FR"/>
              </w:rPr>
              <w:t>cible 1</w:t>
            </w:r>
            <w:r w:rsidRPr="00653BF4">
              <w:rPr>
                <w:rFonts w:eastAsia="Aptos"/>
                <w:sz w:val="20"/>
                <w:szCs w:val="20"/>
                <w:lang w:val="fr-FR"/>
              </w:rPr>
              <w:t xml:space="preserve">3, relative à l’accès et au partage des avantages, et la </w:t>
            </w:r>
            <w:r w:rsidR="00E34DC9">
              <w:rPr>
                <w:rFonts w:eastAsia="Aptos"/>
                <w:sz w:val="20"/>
                <w:szCs w:val="20"/>
                <w:lang w:val="fr-FR"/>
              </w:rPr>
              <w:t>cible 1</w:t>
            </w:r>
            <w:r w:rsidRPr="00653BF4">
              <w:rPr>
                <w:rFonts w:eastAsia="Aptos"/>
                <w:sz w:val="20"/>
                <w:szCs w:val="20"/>
                <w:lang w:val="fr-FR"/>
              </w:rPr>
              <w:t>7, relative à la prévention des risques biotechnologiques. Si les informations sont insuffisantes pour suivre l’évolution des résultats liés à ces deux cibles mondiales, les Parties ont indiqué avoir avancé dans l’élaboration de certaines des mesures administratives, législatives et politiques prévues par ces cibles.</w:t>
            </w:r>
          </w:p>
          <w:p w14:paraId="2D9E8CB8" w14:textId="77777777" w:rsidR="007A60EC" w:rsidRPr="00653BF4" w:rsidRDefault="007A60EC" w:rsidP="00557FB3">
            <w:pPr>
              <w:rPr>
                <w:rFonts w:eastAsia="Aptos"/>
                <w:sz w:val="20"/>
                <w:szCs w:val="20"/>
                <w:lang w:val="fr-FR"/>
              </w:rPr>
            </w:pPr>
          </w:p>
          <w:p w14:paraId="368933DB" w14:textId="13D2F78B" w:rsidR="007A60EC" w:rsidRPr="00653BF4" w:rsidRDefault="002878D7" w:rsidP="00557FB3">
            <w:pPr>
              <w:rPr>
                <w:rFonts w:eastAsia="Aptos"/>
                <w:b/>
                <w:sz w:val="20"/>
                <w:szCs w:val="20"/>
                <w:lang w:val="fr-FR"/>
              </w:rPr>
            </w:pPr>
            <w:r>
              <w:rPr>
                <w:rFonts w:eastAsia="Aptos"/>
                <w:b/>
                <w:sz w:val="20"/>
                <w:szCs w:val="20"/>
                <w:lang w:val="fr-FR"/>
              </w:rPr>
              <w:t>Objectif D</w:t>
            </w:r>
            <w:r w:rsidR="007A60EC" w:rsidRPr="00653BF4">
              <w:rPr>
                <w:rFonts w:eastAsia="Aptos"/>
                <w:b/>
                <w:sz w:val="20"/>
                <w:szCs w:val="20"/>
                <w:lang w:val="fr-FR"/>
              </w:rPr>
              <w:t xml:space="preserve"> – Investir et collaborer</w:t>
            </w:r>
          </w:p>
          <w:p w14:paraId="489722B3" w14:textId="77777777" w:rsidR="007A60EC" w:rsidRPr="00653BF4" w:rsidRDefault="007A60EC" w:rsidP="00557FB3">
            <w:pPr>
              <w:rPr>
                <w:rFonts w:eastAsia="Aptos"/>
                <w:b/>
                <w:sz w:val="20"/>
                <w:szCs w:val="20"/>
                <w:lang w:val="fr-FR"/>
              </w:rPr>
            </w:pPr>
          </w:p>
          <w:p w14:paraId="691B0FC8" w14:textId="116AAADE" w:rsidR="007A60EC" w:rsidRPr="00653BF4" w:rsidRDefault="007A60EC" w:rsidP="00557FB3">
            <w:pPr>
              <w:rPr>
                <w:rFonts w:eastAsia="Aptos"/>
                <w:sz w:val="20"/>
                <w:szCs w:val="20"/>
                <w:lang w:val="fr-FR"/>
              </w:rPr>
            </w:pPr>
            <w:r w:rsidRPr="00653BF4">
              <w:rPr>
                <w:rFonts w:eastAsia="Aptos"/>
                <w:sz w:val="20"/>
                <w:szCs w:val="20"/>
                <w:lang w:val="fr-FR"/>
              </w:rPr>
              <w:t>Les Parties ont associé 10 des 23 cibles du Cadre à l’</w:t>
            </w:r>
            <w:r w:rsidR="002878D7">
              <w:rPr>
                <w:rFonts w:eastAsia="Aptos"/>
                <w:sz w:val="20"/>
                <w:szCs w:val="20"/>
                <w:lang w:val="fr-FR"/>
              </w:rPr>
              <w:t>objectif D</w:t>
            </w:r>
            <w:r w:rsidRPr="00653BF4">
              <w:rPr>
                <w:rFonts w:eastAsia="Aptos"/>
                <w:sz w:val="20"/>
                <w:szCs w:val="20"/>
                <w:lang w:val="fr-FR"/>
              </w:rPr>
              <w:t xml:space="preserve">. Ces 10 cibles portent toutes sur les outils et solutions en matière de mise en œuvre et d’intégration. Les </w:t>
            </w:r>
            <w:r w:rsidR="002878D7">
              <w:rPr>
                <w:rFonts w:eastAsia="Aptos"/>
                <w:sz w:val="20"/>
                <w:szCs w:val="20"/>
                <w:lang w:val="fr-FR"/>
              </w:rPr>
              <w:t>cibles 1</w:t>
            </w:r>
            <w:r w:rsidRPr="00653BF4">
              <w:rPr>
                <w:rFonts w:eastAsia="Aptos"/>
                <w:sz w:val="20"/>
                <w:szCs w:val="20"/>
                <w:lang w:val="fr-FR"/>
              </w:rPr>
              <w:t>8, 19 et 20 présentent le lien le plus étroit avec l’</w:t>
            </w:r>
            <w:r w:rsidR="002878D7">
              <w:rPr>
                <w:rFonts w:eastAsia="Aptos"/>
                <w:sz w:val="20"/>
                <w:szCs w:val="20"/>
                <w:lang w:val="fr-FR"/>
              </w:rPr>
              <w:t>objectif D</w:t>
            </w:r>
            <w:r w:rsidRPr="00653BF4">
              <w:rPr>
                <w:rFonts w:eastAsia="Aptos"/>
                <w:sz w:val="20"/>
                <w:szCs w:val="20"/>
                <w:lang w:val="fr-FR"/>
              </w:rPr>
              <w:t>. Les progrès collectifs vers plusieurs des cibles associées à l’</w:t>
            </w:r>
            <w:r w:rsidR="002878D7">
              <w:rPr>
                <w:rFonts w:eastAsia="Aptos"/>
                <w:sz w:val="20"/>
                <w:szCs w:val="20"/>
                <w:lang w:val="fr-FR"/>
              </w:rPr>
              <w:t>objectif D</w:t>
            </w:r>
            <w:r w:rsidRPr="00653BF4">
              <w:rPr>
                <w:rFonts w:eastAsia="Aptos"/>
                <w:sz w:val="20"/>
                <w:szCs w:val="20"/>
                <w:lang w:val="fr-FR"/>
              </w:rPr>
              <w:t xml:space="preserve"> se heurtent à d’importantes difficultés de mise en œuvre.</w:t>
            </w:r>
          </w:p>
          <w:p w14:paraId="4E3954EE" w14:textId="77777777" w:rsidR="007A60EC" w:rsidRPr="00653BF4" w:rsidRDefault="007A60EC" w:rsidP="00557FB3">
            <w:pPr>
              <w:rPr>
                <w:rFonts w:ascii="Aptos" w:eastAsia="Aptos" w:hAnsi="Aptos" w:cs="Aptos"/>
                <w:sz w:val="20"/>
                <w:szCs w:val="20"/>
                <w:lang w:val="fr-FR"/>
              </w:rPr>
            </w:pPr>
          </w:p>
        </w:tc>
      </w:tr>
    </w:tbl>
    <w:p w14:paraId="1A851611" w14:textId="77777777" w:rsidR="007A60EC" w:rsidRPr="00653BF4" w:rsidRDefault="007A60EC" w:rsidP="007A60EC">
      <w:pPr>
        <w:rPr>
          <w:lang w:val="fr-FR"/>
        </w:rPr>
      </w:pPr>
    </w:p>
    <w:p w14:paraId="7EAC58D9" w14:textId="77777777" w:rsidR="007A60EC" w:rsidRPr="00653BF4" w:rsidRDefault="007A60EC" w:rsidP="007A60EC">
      <w:pPr>
        <w:pStyle w:val="Caption"/>
        <w:rPr>
          <w:lang w:val="fr-FR"/>
        </w:rPr>
      </w:pPr>
    </w:p>
    <w:p w14:paraId="34D97265" w14:textId="77777777" w:rsidR="007A60EC" w:rsidRPr="00653BF4" w:rsidRDefault="007A60EC" w:rsidP="007A60EC">
      <w:pPr>
        <w:rPr>
          <w:lang w:val="fr-FR"/>
        </w:rPr>
      </w:pPr>
    </w:p>
    <w:p w14:paraId="15066662" w14:textId="77777777" w:rsidR="007A60EC" w:rsidRPr="00653BF4" w:rsidRDefault="007A60EC" w:rsidP="007A60EC">
      <w:pPr>
        <w:rPr>
          <w:lang w:val="fr-FR"/>
        </w:rPr>
        <w:sectPr w:rsidR="007A60EC" w:rsidRPr="00653BF4" w:rsidSect="00665960">
          <w:headerReference w:type="even" r:id="rId253"/>
          <w:headerReference w:type="default" r:id="rId254"/>
          <w:footerReference w:type="even" r:id="rId255"/>
          <w:footerReference w:type="default" r:id="rId256"/>
          <w:pgSz w:w="12240" w:h="15840"/>
          <w:pgMar w:top="1440" w:right="1440" w:bottom="1440" w:left="1440" w:header="709" w:footer="709" w:gutter="0"/>
          <w:cols w:space="708"/>
          <w:titlePg/>
          <w:docGrid w:linePitch="360"/>
        </w:sectPr>
      </w:pPr>
    </w:p>
    <w:p w14:paraId="31928157" w14:textId="3E3FBC5B" w:rsidR="007A60EC" w:rsidRPr="00653BF4" w:rsidRDefault="007A60EC" w:rsidP="007A60EC">
      <w:pPr>
        <w:pStyle w:val="Heading2"/>
        <w:rPr>
          <w:lang w:val="fr-FR"/>
        </w:rPr>
      </w:pPr>
      <w:bookmarkStart w:id="556" w:name="_Toc235821390"/>
      <w:bookmarkStart w:id="557" w:name="_Toc239069258"/>
      <w:bookmarkStart w:id="558" w:name="_Toc1970051347"/>
      <w:bookmarkStart w:id="559" w:name="_Toc242801295"/>
      <w:r w:rsidRPr="00653BF4">
        <w:rPr>
          <w:lang w:val="fr-FR"/>
        </w:rPr>
        <w:lastRenderedPageBreak/>
        <w:t xml:space="preserve">III.B </w:t>
      </w:r>
      <w:bookmarkEnd w:id="556"/>
      <w:bookmarkEnd w:id="557"/>
      <w:bookmarkEnd w:id="558"/>
      <w:r w:rsidRPr="00653BF4">
        <w:rPr>
          <w:lang w:val="fr-FR"/>
        </w:rPr>
        <w:t>Pour aller de l’avant</w:t>
      </w:r>
      <w:r w:rsidR="00E34DC9">
        <w:rPr>
          <w:lang w:val="fr-FR"/>
        </w:rPr>
        <w:t> :</w:t>
      </w:r>
      <w:r w:rsidRPr="00653BF4">
        <w:rPr>
          <w:lang w:val="fr-FR"/>
        </w:rPr>
        <w:t xml:space="preserve"> difficultés et possibilités</w:t>
      </w:r>
      <w:bookmarkEnd w:id="559"/>
      <w:r w:rsidRPr="00653BF4">
        <w:rPr>
          <w:lang w:val="fr-FR"/>
        </w:rPr>
        <w:t> </w:t>
      </w:r>
    </w:p>
    <w:p w14:paraId="5C78A1DF" w14:textId="77777777" w:rsidR="007A60EC" w:rsidRPr="00653BF4" w:rsidRDefault="007A60EC" w:rsidP="007A60EC">
      <w:pPr>
        <w:spacing w:after="120"/>
        <w:rPr>
          <w:rFonts w:ascii="Aptos" w:hAnsi="Aptos"/>
          <w:u w:val="single"/>
          <w:lang w:val="fr-FR"/>
        </w:rPr>
      </w:pPr>
      <w:r w:rsidRPr="00653BF4">
        <w:rPr>
          <w:rFonts w:ascii="Aptos" w:hAnsi="Aptos"/>
          <w:lang w:val="fr-FR"/>
        </w:rPr>
        <w:t>Six messages clés relatifs aux progrès collectifs se dégagent du présent rapport mondial. La réussite de la mise en œuvre du Cadre suppose de combler les lacunes et de lever les obstacles, recensés dans ces messages, qui entravent les progrès collectifs. Les six messages sont exposés ci-après, chacun étant assorti d’approches non prescriptives envisageables pour combler les lacunes et surmonter les obstacles correspondants. Ils sont suivis d’une brève réflexion finale sur l’élaboration du présent rapport (encadré 59).</w:t>
      </w:r>
    </w:p>
    <w:p w14:paraId="1AE6DBDA" w14:textId="7992FC7C" w:rsidR="007A60EC" w:rsidRPr="00653BF4" w:rsidRDefault="007A60EC" w:rsidP="007A60EC">
      <w:pPr>
        <w:spacing w:after="120"/>
        <w:rPr>
          <w:rFonts w:ascii="Aptos" w:hAnsi="Aptos"/>
          <w:b/>
          <w:bCs/>
          <w:i/>
          <w:iCs/>
          <w:u w:val="single"/>
          <w:lang w:val="fr-FR"/>
        </w:rPr>
      </w:pPr>
      <w:r w:rsidRPr="00653BF4">
        <w:rPr>
          <w:rFonts w:ascii="Aptos" w:hAnsi="Aptos"/>
          <w:b/>
          <w:bCs/>
          <w:u w:val="single"/>
          <w:lang w:val="fr-FR"/>
        </w:rPr>
        <w:t>Message clé 1</w:t>
      </w:r>
      <w:r w:rsidR="00E34DC9">
        <w:rPr>
          <w:rFonts w:ascii="Aptos" w:hAnsi="Aptos"/>
          <w:b/>
          <w:bCs/>
          <w:u w:val="single"/>
          <w:lang w:val="fr-FR"/>
        </w:rPr>
        <w:t> :</w:t>
      </w:r>
      <w:r w:rsidRPr="00653BF4">
        <w:rPr>
          <w:rFonts w:ascii="Aptos" w:hAnsi="Aptos"/>
          <w:b/>
          <w:bCs/>
          <w:u w:val="single"/>
          <w:lang w:val="fr-FR"/>
        </w:rPr>
        <w:t xml:space="preserve"> Portée et couverture</w:t>
      </w:r>
    </w:p>
    <w:p w14:paraId="258D0CFE" w14:textId="77777777" w:rsidR="007A60EC" w:rsidRPr="00653BF4" w:rsidRDefault="007A60EC" w:rsidP="007A60EC">
      <w:pPr>
        <w:spacing w:after="120"/>
        <w:rPr>
          <w:rFonts w:ascii="Aptos" w:hAnsi="Aptos"/>
          <w:b/>
          <w:bCs/>
          <w:lang w:val="fr-FR"/>
        </w:rPr>
      </w:pPr>
      <w:r w:rsidRPr="00653BF4">
        <w:rPr>
          <w:rFonts w:ascii="Aptos" w:eastAsia="Aptos" w:hAnsi="Aptos"/>
          <w:b/>
          <w:bCs/>
          <w:lang w:val="fr-FR"/>
        </w:rPr>
        <w:t>Le Cadre a suscité une volonté et un engagement politiques forts. Cependant, des écarts subsistent entre la portée des cibles nationales prises collectivement et celle des cibles mondiales du Cadre. Un renforcement de la volonté et de l’engagement politiques permettrait de combler ces écarts de portée et d’ambition</w:t>
      </w:r>
      <w:r w:rsidRPr="00653BF4">
        <w:rPr>
          <w:rFonts w:ascii="Aptos" w:hAnsi="Aptos"/>
          <w:b/>
          <w:bCs/>
          <w:lang w:val="fr-FR"/>
        </w:rPr>
        <w:t xml:space="preserve">. </w:t>
      </w:r>
    </w:p>
    <w:p w14:paraId="2F383B19" w14:textId="6313A253" w:rsidR="007A60EC" w:rsidRPr="00653BF4" w:rsidRDefault="007A60EC" w:rsidP="007A60EC">
      <w:pPr>
        <w:pStyle w:val="CBDNormalNoNumber"/>
        <w:ind w:left="0"/>
        <w:jc w:val="left"/>
        <w:rPr>
          <w:rFonts w:ascii="Aptos" w:hAnsi="Aptos"/>
          <w:sz w:val="24"/>
          <w:szCs w:val="24"/>
          <w:lang w:val="fr-FR"/>
        </w:rPr>
      </w:pPr>
      <w:r w:rsidRPr="00653BF4">
        <w:rPr>
          <w:rFonts w:ascii="Aptos" w:hAnsi="Aptos"/>
          <w:sz w:val="24"/>
          <w:szCs w:val="24"/>
          <w:lang w:val="fr-FR"/>
        </w:rPr>
        <w:t>Au moment de l’élaboration du rapport mondial, 162 Parties (83</w:t>
      </w:r>
      <w:r w:rsidR="002878D7">
        <w:rPr>
          <w:rFonts w:ascii="Aptos" w:hAnsi="Aptos"/>
          <w:sz w:val="24"/>
          <w:szCs w:val="24"/>
          <w:lang w:val="fr-FR"/>
        </w:rPr>
        <w:t> %</w:t>
      </w:r>
      <w:r w:rsidRPr="00653BF4">
        <w:rPr>
          <w:rFonts w:ascii="Aptos" w:hAnsi="Aptos"/>
          <w:sz w:val="24"/>
          <w:szCs w:val="24"/>
          <w:lang w:val="fr-FR"/>
        </w:rPr>
        <w:t>) avaient fixé des cibles nationales alignées sur le Cadre, chaque Partie couvrant en moyenne 22 des 23 cibles mondiales. Cette situation tranche nettement avec celle observée lors de l’examen final des objectifs d’Aichi pour la biodiversité en 2020, où seule la moitié environ des Parties avaient fixé des cibles nationales alignées sur les cibles mondiales (CDB, 2020). En outre, plus de 100 acteurs autres que les gouvernements nationaux avaient soumis des engagements sur le portail créé à cet effet, à temps pour que ces engagements soient pris en compte dans l’élaboration du présent rapport, et le nombre d’engagements soumis ne cesse d’augmenter</w:t>
      </w:r>
      <w:r w:rsidRPr="00653BF4">
        <w:rPr>
          <w:rStyle w:val="FootnoteReference"/>
          <w:rFonts w:ascii="Aptos" w:hAnsi="Aptos"/>
          <w:sz w:val="24"/>
          <w:szCs w:val="24"/>
          <w:lang w:val="fr-FR"/>
        </w:rPr>
        <w:footnoteReference w:id="57"/>
      </w:r>
      <w:r w:rsidRPr="00653BF4">
        <w:rPr>
          <w:rFonts w:ascii="Aptos" w:hAnsi="Aptos"/>
          <w:sz w:val="24"/>
          <w:szCs w:val="24"/>
          <w:lang w:val="fr-FR"/>
        </w:rPr>
        <w:t>. Malgré cette forte mobilisation, nombre d’éléments centraux des cibles mondiales ne sont pas pris en compte ou ne le sont que faiblement dans les cibles nationales transmises par les Parties.</w:t>
      </w:r>
    </w:p>
    <w:p w14:paraId="1B400B38" w14:textId="34BE6CDF" w:rsidR="007A60EC" w:rsidRPr="00653BF4" w:rsidRDefault="007A60EC" w:rsidP="007A60EC">
      <w:pPr>
        <w:pStyle w:val="CBDNormalNoNumber"/>
        <w:spacing w:line="259" w:lineRule="auto"/>
        <w:ind w:left="0"/>
        <w:jc w:val="left"/>
        <w:rPr>
          <w:rFonts w:ascii="Aptos" w:hAnsi="Aptos"/>
          <w:sz w:val="24"/>
          <w:szCs w:val="24"/>
          <w:lang w:val="fr-FR"/>
        </w:rPr>
      </w:pPr>
      <w:r w:rsidRPr="00653BF4">
        <w:rPr>
          <w:rFonts w:ascii="Aptos" w:hAnsi="Aptos"/>
          <w:sz w:val="24"/>
          <w:szCs w:val="24"/>
          <w:lang w:val="fr-FR"/>
        </w:rPr>
        <w:t xml:space="preserve">Les cibles nationales alignées sur les cibles 4, 8 et 11 du Cadre, suivies par celles alignées sur les cibles 5, 9 et 10, présentaient, selon l’évaluation, le taux de couverture des éléments des cibles mondiales le plus élevé (voir la figure 1). Les cibles nationales alignées sur les </w:t>
      </w:r>
      <w:r w:rsidR="002878D7">
        <w:rPr>
          <w:rFonts w:ascii="Aptos" w:hAnsi="Aptos"/>
          <w:sz w:val="24"/>
          <w:szCs w:val="24"/>
          <w:lang w:val="fr-FR"/>
        </w:rPr>
        <w:t>cibles 1</w:t>
      </w:r>
      <w:r w:rsidRPr="00653BF4">
        <w:rPr>
          <w:rFonts w:ascii="Aptos" w:hAnsi="Aptos"/>
          <w:sz w:val="24"/>
          <w:szCs w:val="24"/>
          <w:lang w:val="fr-FR"/>
        </w:rPr>
        <w:t xml:space="preserve">5, 16, 19 et 22 du Cadre présentaient le taux de couverture des éléments des cibles mondiales le plus faible, suivies par celles alignées sur les </w:t>
      </w:r>
      <w:r w:rsidR="002878D7">
        <w:rPr>
          <w:rFonts w:ascii="Aptos" w:hAnsi="Aptos"/>
          <w:sz w:val="24"/>
          <w:szCs w:val="24"/>
          <w:lang w:val="fr-FR"/>
        </w:rPr>
        <w:t>cibles 1</w:t>
      </w:r>
      <w:r w:rsidRPr="00653BF4">
        <w:rPr>
          <w:rFonts w:ascii="Aptos" w:hAnsi="Aptos"/>
          <w:sz w:val="24"/>
          <w:szCs w:val="24"/>
          <w:lang w:val="fr-FR"/>
        </w:rPr>
        <w:t>, 14, 18, 20 et 23 du Cadre. La prise en compte des différents éléments dans les cibles nationales varie fortement d’une cible mondiale à l’autre.</w:t>
      </w:r>
    </w:p>
    <w:p w14:paraId="02FB34B8" w14:textId="5980F91F" w:rsidR="007A60EC" w:rsidRPr="00653BF4" w:rsidRDefault="007A60EC" w:rsidP="007A60EC">
      <w:pPr>
        <w:pStyle w:val="CBDNormalNoNumber"/>
        <w:spacing w:line="259" w:lineRule="auto"/>
        <w:ind w:left="0"/>
        <w:jc w:val="left"/>
        <w:rPr>
          <w:rFonts w:ascii="Aptos" w:hAnsi="Aptos"/>
          <w:sz w:val="24"/>
          <w:szCs w:val="24"/>
          <w:lang w:val="fr-FR"/>
        </w:rPr>
      </w:pPr>
      <w:r w:rsidRPr="00653BF4">
        <w:rPr>
          <w:rFonts w:ascii="Aptos" w:hAnsi="Aptos"/>
          <w:sz w:val="24"/>
          <w:szCs w:val="24"/>
          <w:lang w:val="fr-FR"/>
        </w:rPr>
        <w:t xml:space="preserve">Dans l’ensemble, les cibles nationales traitent de manière plus complète les cibles et éléments de cible relatifs à la conservation et à l’utilisation durable de la biodiversité que ceux relatifs aux facteurs indirects de perte de biodiversité. La prise en compte est moins systématique pour les cibles et les éléments relatifs à l’intégration de la biodiversité, à la consommation durable, à la mobilisation des ressources, aux incitations et aux subventions, à la participation et aux processus participatifs, à la gouvernance équitable, </w:t>
      </w:r>
      <w:r w:rsidRPr="00653BF4">
        <w:rPr>
          <w:rFonts w:ascii="Aptos" w:hAnsi="Aptos"/>
          <w:sz w:val="24"/>
          <w:szCs w:val="24"/>
          <w:lang w:val="fr-FR"/>
        </w:rPr>
        <w:lastRenderedPageBreak/>
        <w:t>aux droits sur les terres et les ressources, aux questions de genre, à la cohérence des politiques et aux moyens de mise en œuvre. Les écosystèmes marins, côtiers et d’eaux intérieures sont également sous-représentés par rapport aux écosystèmes terrestres. Les questions transversales, telles que les contributions et les droits des peuples autochtones et communautés locales, des femmes et des jeunes</w:t>
      </w:r>
      <w:r w:rsidR="00E34DC9">
        <w:rPr>
          <w:rFonts w:ascii="Aptos" w:hAnsi="Aptos"/>
          <w:sz w:val="24"/>
          <w:szCs w:val="24"/>
          <w:lang w:val="fr-FR"/>
        </w:rPr>
        <w:t> ;</w:t>
      </w:r>
      <w:r w:rsidRPr="00653BF4">
        <w:rPr>
          <w:rFonts w:ascii="Aptos" w:hAnsi="Aptos"/>
          <w:sz w:val="24"/>
          <w:szCs w:val="24"/>
          <w:lang w:val="fr-FR"/>
        </w:rPr>
        <w:t xml:space="preserve"> les approches pangouvernementales et pansociétales</w:t>
      </w:r>
      <w:r w:rsidR="00E34DC9">
        <w:rPr>
          <w:rFonts w:ascii="Aptos" w:hAnsi="Aptos"/>
          <w:sz w:val="24"/>
          <w:szCs w:val="24"/>
          <w:lang w:val="fr-FR"/>
        </w:rPr>
        <w:t> ;</w:t>
      </w:r>
      <w:r w:rsidRPr="00653BF4">
        <w:rPr>
          <w:rFonts w:ascii="Aptos" w:hAnsi="Aptos"/>
          <w:sz w:val="24"/>
          <w:szCs w:val="24"/>
          <w:lang w:val="fr-FR"/>
        </w:rPr>
        <w:t xml:space="preserve"> les approches fondées sur les droits de l’homme</w:t>
      </w:r>
      <w:r w:rsidR="00E34DC9">
        <w:rPr>
          <w:rFonts w:ascii="Aptos" w:hAnsi="Aptos"/>
          <w:sz w:val="24"/>
          <w:szCs w:val="24"/>
          <w:lang w:val="fr-FR"/>
        </w:rPr>
        <w:t> ;</w:t>
      </w:r>
      <w:r w:rsidRPr="00653BF4">
        <w:rPr>
          <w:rFonts w:ascii="Aptos" w:hAnsi="Aptos"/>
          <w:sz w:val="24"/>
          <w:szCs w:val="24"/>
          <w:lang w:val="fr-FR"/>
        </w:rPr>
        <w:t xml:space="preserve"> le genre</w:t>
      </w:r>
      <w:r w:rsidR="00E34DC9">
        <w:rPr>
          <w:rFonts w:ascii="Aptos" w:hAnsi="Aptos"/>
          <w:sz w:val="24"/>
          <w:szCs w:val="24"/>
          <w:lang w:val="fr-FR"/>
        </w:rPr>
        <w:t> ;</w:t>
      </w:r>
      <w:r w:rsidRPr="00653BF4">
        <w:rPr>
          <w:rFonts w:ascii="Aptos" w:hAnsi="Aptos"/>
          <w:sz w:val="24"/>
          <w:szCs w:val="24"/>
          <w:lang w:val="fr-FR"/>
        </w:rPr>
        <w:t xml:space="preserve"> et l’équité intergénérationnelle, ainsi que d’autres considérations énoncées à la section C du Cadre, sont souvent absentes des descriptions accompagnant les cibles nationales, les stratégies et plans d’action nationaux pour la biodiversité et les rapports nationaux. </w:t>
      </w:r>
    </w:p>
    <w:p w14:paraId="7A22345B" w14:textId="2394353E" w:rsidR="007A60EC" w:rsidRPr="00653BF4" w:rsidRDefault="007A60EC" w:rsidP="007A60EC">
      <w:pPr>
        <w:rPr>
          <w:rFonts w:ascii="Aptos" w:hAnsi="Aptos"/>
          <w:i/>
          <w:iCs/>
          <w:lang w:val="fr-FR"/>
        </w:rPr>
      </w:pPr>
      <w:r w:rsidRPr="00653BF4">
        <w:rPr>
          <w:i/>
          <w:iCs/>
          <w:lang w:val="fr-FR"/>
        </w:rPr>
        <w:t>Approches non prescriptives possibles</w:t>
      </w:r>
      <w:r w:rsidR="00E34DC9">
        <w:rPr>
          <w:i/>
          <w:iCs/>
          <w:lang w:val="fr-FR"/>
        </w:rPr>
        <w:t> :</w:t>
      </w:r>
      <w:r w:rsidRPr="00653BF4">
        <w:rPr>
          <w:rFonts w:ascii="Aptos" w:hAnsi="Aptos"/>
          <w:i/>
          <w:iCs/>
          <w:lang w:val="fr-FR"/>
        </w:rPr>
        <w:t xml:space="preserve"> </w:t>
      </w:r>
    </w:p>
    <w:p w14:paraId="0D3F8C23" w14:textId="7A9ED5CD" w:rsidR="007A60EC" w:rsidRPr="00653BF4" w:rsidRDefault="007A60EC" w:rsidP="007A60EC">
      <w:pPr>
        <w:pStyle w:val="ListParagraph"/>
        <w:numPr>
          <w:ilvl w:val="0"/>
          <w:numId w:val="20"/>
        </w:numPr>
        <w:spacing w:before="120" w:after="120" w:line="259" w:lineRule="auto"/>
        <w:ind w:left="1134" w:hanging="567"/>
        <w:rPr>
          <w:rFonts w:ascii="Aptos" w:hAnsi="Aptos"/>
          <w:lang w:val="fr-FR"/>
        </w:rPr>
      </w:pPr>
      <w:r w:rsidRPr="00653BF4">
        <w:rPr>
          <w:rFonts w:ascii="Aptos" w:hAnsi="Aptos"/>
          <w:lang w:val="fr-FR"/>
        </w:rPr>
        <w:t>Sans détourner de ressources de la mise en œuvre, les Parties pourraient ajuster leurs cibles et renforcer leurs mesures pour mieux couvrir certaines cibles ou certains éléments des cibles mondiales qui ne sont pas pleinement pris en compte. Les politiques nationales pourraient être réexaminées et, au besoin, étoffées compte tenu de la portée complète des cibles mondiales associées, afin de repérer les domaines dans lesquels des engagements nationaux plus fermes et plus complets permettraient de combler les lacunes et de surmonter les difficultés liées à la mise en œuvre et à l’ambition collectives. Différentes options peuvent être envisagées selon les contextes nationaux. Par exemple, les Parties qui n’ont pas encore actualisé leurs stratégies et plans d’action nationaux pour la biodiversité ou leurs cibles pourraient redoubler d’efforts pour s’aligner sur la portée et l’ambition des cibles mondiales, avec des moyens de mise en œuvre adéquats</w:t>
      </w:r>
      <w:r w:rsidR="00E34DC9">
        <w:rPr>
          <w:rFonts w:ascii="Aptos" w:hAnsi="Aptos"/>
          <w:lang w:val="fr-FR"/>
        </w:rPr>
        <w:t> ;</w:t>
      </w:r>
      <w:r w:rsidRPr="00653BF4">
        <w:rPr>
          <w:rFonts w:ascii="Aptos" w:hAnsi="Aptos"/>
          <w:lang w:val="fr-FR"/>
        </w:rPr>
        <w:t xml:space="preserve"> une autre option consisterait à revoir et à ajuster les cibles, si le contexte national s’y prête, </w:t>
      </w:r>
      <w:r w:rsidRPr="00653BF4">
        <w:rPr>
          <w:lang w:val="fr-FR"/>
        </w:rPr>
        <w:t>sans pour autant détourner de la mise en œuvre les ressources ni l’attention qui lui sont consacrées</w:t>
      </w:r>
      <w:r w:rsidR="00E34DC9">
        <w:rPr>
          <w:rFonts w:ascii="Aptos" w:hAnsi="Aptos"/>
          <w:lang w:val="fr-FR"/>
        </w:rPr>
        <w:t> ;</w:t>
      </w:r>
      <w:r w:rsidRPr="00653BF4">
        <w:rPr>
          <w:rFonts w:ascii="Aptos" w:hAnsi="Aptos"/>
          <w:lang w:val="fr-FR"/>
        </w:rPr>
        <w:t xml:space="preserve"> une autre encore consisterait à conserver les cibles déjà actualisées tout en renforçant les mesures afin de mieux couvrir les cibles ou éléments de cible pour lesquels des lacunes ont été constatées en matière de portée et d’ambition collectives.</w:t>
      </w:r>
    </w:p>
    <w:p w14:paraId="59EFD5AF" w14:textId="77777777" w:rsidR="007A60EC" w:rsidRPr="00653BF4" w:rsidRDefault="007A60EC" w:rsidP="007A60EC">
      <w:pPr>
        <w:pStyle w:val="ListParagraph"/>
        <w:numPr>
          <w:ilvl w:val="0"/>
          <w:numId w:val="20"/>
        </w:numPr>
        <w:spacing w:before="120" w:after="120" w:line="240" w:lineRule="auto"/>
        <w:ind w:left="1134" w:hanging="567"/>
        <w:rPr>
          <w:rFonts w:ascii="Aptos" w:hAnsi="Aptos"/>
          <w:lang w:val="fr-FR"/>
        </w:rPr>
      </w:pPr>
      <w:r w:rsidRPr="00653BF4">
        <w:rPr>
          <w:rFonts w:ascii="Aptos" w:hAnsi="Aptos"/>
          <w:lang w:val="fr-FR"/>
        </w:rPr>
        <w:t>Les plateformes multipartites, coalitions, partenariats, initiatives et autres formes de coopération et de collaboration pourraient être déployés à plus grande échelle et reproduits afin de soutenir une ambition et une mise en œuvre accrues, un engagement durable, la communication, la sensibilisation, l’éducation et le plaidoyer, ce qui élargirait l’adhésion au Cadre, en particulier pour les cibles et les éléments sous-représentés.</w:t>
      </w:r>
    </w:p>
    <w:p w14:paraId="60E5728A" w14:textId="77777777" w:rsidR="007A60EC" w:rsidRPr="00653BF4" w:rsidRDefault="007A60EC" w:rsidP="007A60EC">
      <w:pPr>
        <w:pStyle w:val="ListParagraph"/>
        <w:numPr>
          <w:ilvl w:val="0"/>
          <w:numId w:val="20"/>
        </w:numPr>
        <w:spacing w:before="120" w:after="120" w:line="240" w:lineRule="auto"/>
        <w:ind w:left="1134" w:hanging="567"/>
        <w:contextualSpacing w:val="0"/>
        <w:rPr>
          <w:rFonts w:ascii="Aptos" w:eastAsia="Aptos" w:hAnsi="Aptos"/>
          <w:lang w:val="fr-FR"/>
        </w:rPr>
      </w:pPr>
      <w:r w:rsidRPr="00653BF4">
        <w:rPr>
          <w:rFonts w:ascii="Aptos" w:hAnsi="Aptos"/>
          <w:lang w:val="fr-FR"/>
        </w:rPr>
        <w:t xml:space="preserve">Pour favoriser l’élargissement de la portée de leurs stratégies nationales et, en particulier, de leurs plans d’action, les Parties pourraient s’attacher en priorité à lever les principaux obstacles liés aux moyens de mise en œuvre, à la cohérence des politiques et à la gouvernance environnementale, à la </w:t>
      </w:r>
      <w:r w:rsidRPr="00653BF4">
        <w:rPr>
          <w:rFonts w:ascii="Aptos" w:hAnsi="Aptos"/>
          <w:lang w:val="fr-FR"/>
        </w:rPr>
        <w:lastRenderedPageBreak/>
        <w:t>participation et à l’engagement des acteurs autres que les gouvernements nationaux, ainsi qu’aux lacunes dans les données et les connaissances.</w:t>
      </w:r>
    </w:p>
    <w:p w14:paraId="5D67FB69" w14:textId="77777777" w:rsidR="007A60EC" w:rsidRPr="00653BF4" w:rsidRDefault="007A60EC" w:rsidP="007A60EC">
      <w:pPr>
        <w:spacing w:before="120" w:after="120"/>
        <w:rPr>
          <w:rFonts w:ascii="Aptos" w:hAnsi="Aptos"/>
          <w:b/>
          <w:u w:val="single"/>
          <w:lang w:val="fr-FR"/>
        </w:rPr>
      </w:pPr>
    </w:p>
    <w:p w14:paraId="7924DED5" w14:textId="1BFD4C02" w:rsidR="007A60EC" w:rsidRPr="00653BF4" w:rsidRDefault="007A60EC" w:rsidP="007A60EC">
      <w:pPr>
        <w:spacing w:before="120" w:after="120"/>
        <w:rPr>
          <w:rFonts w:ascii="Aptos" w:hAnsi="Aptos"/>
          <w:b/>
          <w:u w:val="single"/>
          <w:lang w:val="fr-FR"/>
        </w:rPr>
      </w:pPr>
      <w:r w:rsidRPr="00653BF4">
        <w:rPr>
          <w:rFonts w:ascii="Aptos" w:hAnsi="Aptos"/>
          <w:b/>
          <w:u w:val="single"/>
          <w:lang w:val="fr-FR"/>
        </w:rPr>
        <w:t>Message clé 2</w:t>
      </w:r>
      <w:r w:rsidR="00E34DC9">
        <w:rPr>
          <w:rFonts w:ascii="Aptos" w:hAnsi="Aptos"/>
          <w:b/>
          <w:u w:val="single"/>
          <w:lang w:val="fr-FR"/>
        </w:rPr>
        <w:t> :</w:t>
      </w:r>
      <w:r w:rsidRPr="00653BF4">
        <w:rPr>
          <w:rFonts w:ascii="Aptos" w:hAnsi="Aptos"/>
          <w:b/>
          <w:u w:val="single"/>
          <w:lang w:val="fr-FR"/>
        </w:rPr>
        <w:t xml:space="preserve"> Mesures et mise en œuvre</w:t>
      </w:r>
    </w:p>
    <w:p w14:paraId="16857C9B" w14:textId="77777777" w:rsidR="007A60EC" w:rsidRPr="00653BF4" w:rsidRDefault="007A60EC" w:rsidP="007A60EC">
      <w:pPr>
        <w:spacing w:after="120" w:line="259" w:lineRule="auto"/>
        <w:rPr>
          <w:rFonts w:ascii="Aptos" w:eastAsia="Times New Roman" w:hAnsi="Aptos"/>
          <w:lang w:val="fr-FR"/>
        </w:rPr>
      </w:pPr>
      <w:r w:rsidRPr="00653BF4">
        <w:rPr>
          <w:b/>
          <w:bCs/>
          <w:lang w:val="fr-FR"/>
        </w:rPr>
        <w:t>La mise en œuvre est en cours pour l’ensemble des cibles, mais, pour chacune des cibles mondiales, moins de la moitié des Parties ont indiqué que leurs cibles nationales correspondantes étaient en voie d’être atteintes. Une action accélérée, stratégique et hiérarchisée, adaptée aux contextes nationaux, permettrait de remédier à cette situation, en particulier pour s’attaquer aux facteurs sous-jacents de la perte de biodiversité.</w:t>
      </w:r>
      <w:r w:rsidRPr="00653BF4">
        <w:rPr>
          <w:rFonts w:ascii="Aptos" w:hAnsi="Aptos"/>
          <w:b/>
          <w:bCs/>
          <w:lang w:val="fr-FR"/>
        </w:rPr>
        <w:t xml:space="preserve"> </w:t>
      </w:r>
    </w:p>
    <w:p w14:paraId="1A09F717" w14:textId="6B380036" w:rsidR="007A60EC" w:rsidRPr="00653BF4" w:rsidRDefault="007A60EC" w:rsidP="007A60EC">
      <w:pPr>
        <w:spacing w:after="120" w:line="259" w:lineRule="auto"/>
        <w:rPr>
          <w:rFonts w:ascii="Aptos" w:eastAsia="Times New Roman" w:hAnsi="Aptos"/>
          <w:lang w:val="fr-FR"/>
        </w:rPr>
      </w:pPr>
      <w:r w:rsidRPr="00653BF4">
        <w:rPr>
          <w:rFonts w:ascii="Aptos" w:eastAsia="Times New Roman" w:hAnsi="Aptos"/>
          <w:lang w:val="fr-FR"/>
        </w:rPr>
        <w:t>Des mesures sont actuellement prises au titre de toutes les cibles du Cadre et les rapports nationaux contiennent de nombreux exemples de mise en œuvre réussie. Nombre de Parties ont fait état de progrès accomplis dans la réalisation d’une ou plusieurs cibles nationales</w:t>
      </w:r>
      <w:r w:rsidR="00E34DC9">
        <w:rPr>
          <w:rFonts w:ascii="Aptos" w:eastAsia="Times New Roman" w:hAnsi="Aptos"/>
          <w:lang w:val="fr-FR"/>
        </w:rPr>
        <w:t> ;</w:t>
      </w:r>
      <w:r w:rsidRPr="00653BF4">
        <w:rPr>
          <w:rFonts w:ascii="Aptos" w:eastAsia="Times New Roman" w:hAnsi="Aptos"/>
          <w:lang w:val="fr-FR"/>
        </w:rPr>
        <w:t xml:space="preserve"> cependant, il ressort de l’examen des progrès collectifs relatifs aux cibles mondiales que pour chacune des cibles mondiales du Cadre, moins de la moitié des Parties ayant présenté un rapport estimaient que leurs cibles nationales correspondantes étaient en voie d’être atteintes. Les tendances des indicateurs étaient mitigées, les tendances négatives étant dans l’ensemble plus fréquentes que les positives.</w:t>
      </w:r>
    </w:p>
    <w:p w14:paraId="0B58EA5A" w14:textId="6DAECD37" w:rsidR="007A60EC" w:rsidRPr="00653BF4" w:rsidRDefault="007A60EC" w:rsidP="007A60EC">
      <w:pPr>
        <w:spacing w:after="120" w:line="259" w:lineRule="auto"/>
        <w:rPr>
          <w:rFonts w:ascii="Aptos" w:eastAsia="Times New Roman" w:hAnsi="Aptos"/>
          <w:lang w:val="fr-FR"/>
        </w:rPr>
      </w:pPr>
      <w:r w:rsidRPr="00653BF4">
        <w:rPr>
          <w:lang w:val="fr-FR"/>
        </w:rPr>
        <w:t xml:space="preserve">Dans leurs auto-évaluations, les Parties estiment le plus souvent être en voie d’atteindre leurs cibles nationales associées aux </w:t>
      </w:r>
      <w:r w:rsidR="002878D7">
        <w:rPr>
          <w:lang w:val="fr-FR"/>
        </w:rPr>
        <w:t>cibles 1</w:t>
      </w:r>
      <w:r w:rsidRPr="00653BF4">
        <w:rPr>
          <w:lang w:val="fr-FR"/>
        </w:rPr>
        <w:t>, 2, 3, 8, 13, 20, 21 et 22 du Cadre, et le moins souvent celles associées aux cibles 6, 12, 15, 16, 18 et 19</w:t>
      </w:r>
      <w:r w:rsidRPr="00653BF4">
        <w:rPr>
          <w:rFonts w:ascii="Aptos" w:eastAsia="Times New Roman" w:hAnsi="Aptos"/>
          <w:lang w:val="fr-FR"/>
        </w:rPr>
        <w:t xml:space="preserve">. Il est peut-être trop tôt pour déceler des tendances dans les indicateurs relatifs à la mise en œuvre du Cadre, en raison des décalages temporels entre celle-ci et le suivi, ainsi que des lacunes dans les données qui touchent l’ensemble du Cadre. </w:t>
      </w:r>
      <w:r w:rsidRPr="00653BF4">
        <w:rPr>
          <w:lang w:val="fr-FR"/>
        </w:rPr>
        <w:t>Toutefois, les données communiquées dans les rapports nationaux ne permettent pas encore d’établir de façon systématique que les tendances évoluent au rythme nécessaire pour atteindre l’une quelconque des cibles mondiales</w:t>
      </w:r>
      <w:r w:rsidRPr="00653BF4">
        <w:rPr>
          <w:rFonts w:ascii="Aptos" w:eastAsia="Times New Roman" w:hAnsi="Aptos"/>
          <w:lang w:val="fr-FR"/>
        </w:rPr>
        <w:t>. Certaines cibles nationales, notamment celles alignées sur les cibles mondiales 5, 6, 16 et 20, progressent néanmoins collectivement davantage vers la cible mondiale correspondante que d’autres, en particulier celles alignées sur les cibles mondiales 3, 4, 13, 17, 19 et 23.</w:t>
      </w:r>
    </w:p>
    <w:p w14:paraId="6D232CA0" w14:textId="77777777" w:rsidR="007A60EC" w:rsidRPr="00653BF4" w:rsidRDefault="007A60EC" w:rsidP="007A60EC">
      <w:pPr>
        <w:spacing w:after="120"/>
        <w:rPr>
          <w:rFonts w:ascii="Aptos" w:eastAsia="Times New Roman" w:hAnsi="Aptos" w:cs="Arial"/>
          <w:color w:val="000000"/>
          <w:lang w:val="fr-FR"/>
        </w:rPr>
      </w:pPr>
      <w:r w:rsidRPr="00653BF4">
        <w:rPr>
          <w:rFonts w:ascii="Aptos" w:eastAsia="Times New Roman" w:hAnsi="Aptos"/>
          <w:lang w:val="fr-FR"/>
        </w:rPr>
        <w:t xml:space="preserve">Il ressort de l’analyse de l’auto-évaluation des progrès accomplis et des indicateurs communiqués dans les rapports nationaux que la mise en œuvre de l’ensemble du Cadre présente des lacunes. </w:t>
      </w:r>
      <w:r w:rsidRPr="00653BF4">
        <w:rPr>
          <w:lang w:val="fr-FR"/>
        </w:rPr>
        <w:t>Ainsi, certains types d’écosystèmes sont inégalement couverts par les données ventilées communiquées et par les tendances qui s’en dégagent</w:t>
      </w:r>
      <w:r w:rsidRPr="00653BF4">
        <w:rPr>
          <w:rFonts w:ascii="Aptos" w:eastAsia="Times New Roman" w:hAnsi="Aptos"/>
          <w:lang w:val="fr-FR"/>
        </w:rPr>
        <w:t>. Ces lacunes traduisent des difficultés plus générales à s’attaquer aux facteurs indirects de perte de biodiversité, notamment les modes de production et de consommation non durables, les incitations économiques inadaptées et l’intégration insuffisante de la biodiversité et de ses multiples valeurs dans tous les secteurs</w:t>
      </w:r>
      <w:r w:rsidRPr="00653BF4">
        <w:rPr>
          <w:rFonts w:ascii="Aptos" w:hAnsi="Aptos"/>
          <w:lang w:val="fr-FR"/>
        </w:rPr>
        <w:t xml:space="preserve">. </w:t>
      </w:r>
    </w:p>
    <w:p w14:paraId="7973DD39" w14:textId="10567430" w:rsidR="007A60EC" w:rsidRPr="00653BF4" w:rsidRDefault="007A60EC" w:rsidP="007A60EC">
      <w:pPr>
        <w:spacing w:before="120" w:after="120"/>
        <w:rPr>
          <w:rFonts w:ascii="Aptos" w:hAnsi="Aptos"/>
          <w:lang w:val="fr-FR"/>
        </w:rPr>
      </w:pPr>
      <w:r w:rsidRPr="00653BF4">
        <w:rPr>
          <w:rFonts w:ascii="Aptos" w:eastAsia="Times New Roman" w:hAnsi="Aptos"/>
          <w:i/>
          <w:iCs/>
          <w:lang w:val="fr-FR"/>
        </w:rPr>
        <w:lastRenderedPageBreak/>
        <w:t xml:space="preserve"> </w:t>
      </w:r>
      <w:r w:rsidRPr="00653BF4">
        <w:rPr>
          <w:rFonts w:ascii="Aptos" w:hAnsi="Aptos"/>
          <w:i/>
          <w:iCs/>
          <w:lang w:val="fr-FR"/>
        </w:rPr>
        <w:t>Approches non prescriptives possibles</w:t>
      </w:r>
      <w:r w:rsidR="00E34DC9">
        <w:rPr>
          <w:rFonts w:ascii="Aptos" w:hAnsi="Aptos"/>
          <w:i/>
          <w:iCs/>
          <w:lang w:val="fr-FR"/>
        </w:rPr>
        <w:t> :</w:t>
      </w:r>
      <w:r w:rsidRPr="00653BF4">
        <w:rPr>
          <w:rFonts w:ascii="Aptos" w:eastAsia="Times New Roman" w:hAnsi="Aptos"/>
          <w:i/>
          <w:iCs/>
          <w:lang w:val="fr-FR"/>
        </w:rPr>
        <w:t xml:space="preserve"> </w:t>
      </w:r>
    </w:p>
    <w:p w14:paraId="6CFAD182" w14:textId="77777777" w:rsidR="007A60EC" w:rsidRPr="00653BF4" w:rsidRDefault="007A60EC" w:rsidP="007A60EC">
      <w:pPr>
        <w:pStyle w:val="ListParagraph"/>
        <w:numPr>
          <w:ilvl w:val="0"/>
          <w:numId w:val="19"/>
        </w:numPr>
        <w:spacing w:before="120" w:after="120" w:line="240" w:lineRule="auto"/>
        <w:ind w:left="1134" w:hanging="567"/>
        <w:contextualSpacing w:val="0"/>
        <w:rPr>
          <w:rFonts w:ascii="Aptos" w:eastAsia="Aptos" w:hAnsi="Aptos"/>
          <w:lang w:val="fr-FR"/>
        </w:rPr>
      </w:pPr>
      <w:r w:rsidRPr="00653BF4">
        <w:rPr>
          <w:rFonts w:ascii="Aptos" w:eastAsia="Aptos" w:hAnsi="Aptos"/>
          <w:lang w:val="fr-FR"/>
        </w:rPr>
        <w:t>L’apprentissage entre pairs, y compris au niveau régional, et les échanges entre décideurs politiques, experts techniques, détenteurs de droits, spécialistes participant à la mise en œuvre et autres parties prenantes pourraient être poursuivis plus avant afin de faciliter le recensement des mesures possibles et d’accélérer la mise en œuvre.</w:t>
      </w:r>
    </w:p>
    <w:p w14:paraId="6D446787" w14:textId="77777777" w:rsidR="007A60EC" w:rsidRPr="00653BF4" w:rsidRDefault="007A60EC" w:rsidP="007A60EC">
      <w:pPr>
        <w:pStyle w:val="ListParagraph"/>
        <w:numPr>
          <w:ilvl w:val="0"/>
          <w:numId w:val="19"/>
        </w:numPr>
        <w:spacing w:before="120" w:after="120" w:line="240" w:lineRule="auto"/>
        <w:ind w:left="1134" w:hanging="567"/>
        <w:contextualSpacing w:val="0"/>
        <w:rPr>
          <w:rFonts w:ascii="Aptos" w:eastAsia="Aptos" w:hAnsi="Aptos"/>
          <w:lang w:val="fr-FR"/>
        </w:rPr>
      </w:pPr>
      <w:r w:rsidRPr="00653BF4">
        <w:rPr>
          <w:rFonts w:ascii="Aptos" w:eastAsia="Aptos" w:hAnsi="Aptos"/>
          <w:lang w:val="fr-FR"/>
        </w:rPr>
        <w:t>En mettant davantage l’accent sur l’élaboration de plans de financement de la biodiversité, de plans de création de capacités et de plans de suivi à l’appui de la mise en œuvre nationale, on pourrait rendre celle-ci plus efficace et disposer d’une base pour cibler les mesures et pour recenser et combler les lacunes de mise en œuvre.</w:t>
      </w:r>
    </w:p>
    <w:p w14:paraId="74449742" w14:textId="77777777" w:rsidR="007A60EC" w:rsidRPr="00653BF4" w:rsidRDefault="007A60EC" w:rsidP="007A60EC">
      <w:pPr>
        <w:pStyle w:val="ListParagraph"/>
        <w:numPr>
          <w:ilvl w:val="0"/>
          <w:numId w:val="19"/>
        </w:numPr>
        <w:spacing w:before="120" w:after="120" w:line="240" w:lineRule="auto"/>
        <w:ind w:left="1134" w:hanging="567"/>
        <w:contextualSpacing w:val="0"/>
        <w:rPr>
          <w:rFonts w:ascii="Aptos" w:eastAsia="Aptos" w:hAnsi="Aptos"/>
          <w:lang w:val="fr-FR"/>
        </w:rPr>
      </w:pPr>
      <w:r w:rsidRPr="00653BF4">
        <w:rPr>
          <w:rFonts w:ascii="Aptos" w:eastAsia="Aptos" w:hAnsi="Aptos"/>
          <w:lang w:val="fr-FR"/>
        </w:rPr>
        <w:t>Les Parties pourraient gagner à recenser et à hiérarchiser les mesures dans lesquelles investir des ressources a le plus de chances de faire progresser au maximum la réalisation des cibles, compte tenu des exigences associées en matière de financements, de capacités, de technologie, de gouvernance et de suivi. Cet exercice pourrait notamment cibler les mesures visant à s’attaquer aux facteurs sous-jacents de perte de biodiversité, à aligner les systèmes économiques et financiers sur les objectifs de biodiversité, à renforcer une gouvernance inclusive et adaptative, à favoriser une production et une consommation durables et équitables et à promouvoir des approches intégrées dans les domaines de la biodiversité, du climat, de l’alimentation, de l’utilisation des terres, de l’eau et de la santé, ce qui offrirait la possibilité d’obtenir de multiples avantages et de limiter les arbitrages.</w:t>
      </w:r>
    </w:p>
    <w:p w14:paraId="066BAA81" w14:textId="77777777" w:rsidR="007A60EC" w:rsidRPr="00653BF4" w:rsidRDefault="007A60EC" w:rsidP="007A60EC">
      <w:pPr>
        <w:pStyle w:val="ListParagraph"/>
        <w:numPr>
          <w:ilvl w:val="0"/>
          <w:numId w:val="19"/>
        </w:numPr>
        <w:spacing w:before="120" w:after="120" w:line="240" w:lineRule="auto"/>
        <w:ind w:left="1134" w:hanging="567"/>
        <w:contextualSpacing w:val="0"/>
        <w:rPr>
          <w:rFonts w:ascii="Aptos" w:eastAsia="Aptos" w:hAnsi="Aptos"/>
          <w:lang w:val="fr-FR"/>
        </w:rPr>
      </w:pPr>
      <w:r w:rsidRPr="00653BF4">
        <w:rPr>
          <w:rFonts w:ascii="Aptos" w:eastAsia="Aptos" w:hAnsi="Aptos"/>
          <w:lang w:val="fr-FR"/>
        </w:rPr>
        <w:t>Pour mieux combler les lacunes de mise en œuvre, il serait possible de renforcer les approches faisant intervenir l’ensemble de la société et l’ensemble des pouvoirs publics, de lever les obstacles liés aux moyens de mise en œuvre, à la cohérence des politiques et à la gouvernance environnementale, à la participation et à l’engagement des acteurs autres que les gouvernements nationaux, et de remédier aux lacunes en matière de données et de connaissances.</w:t>
      </w:r>
    </w:p>
    <w:p w14:paraId="6B78BD26" w14:textId="77777777" w:rsidR="007A60EC" w:rsidRPr="00653BF4" w:rsidRDefault="007A60EC" w:rsidP="007A60EC">
      <w:pPr>
        <w:spacing w:before="120" w:after="120"/>
        <w:rPr>
          <w:rFonts w:ascii="Aptos" w:eastAsia="Aptos" w:hAnsi="Aptos"/>
          <w:b/>
          <w:bCs/>
          <w:u w:val="single"/>
          <w:lang w:val="fr-FR"/>
        </w:rPr>
      </w:pPr>
    </w:p>
    <w:p w14:paraId="11FD540B" w14:textId="1B8CCABD" w:rsidR="007A60EC" w:rsidRPr="00653BF4" w:rsidRDefault="007A60EC" w:rsidP="007A60EC">
      <w:pPr>
        <w:spacing w:before="120" w:after="120"/>
        <w:rPr>
          <w:rFonts w:ascii="Aptos" w:eastAsia="Aptos" w:hAnsi="Aptos"/>
          <w:lang w:val="fr-FR"/>
        </w:rPr>
      </w:pPr>
      <w:r w:rsidRPr="00653BF4">
        <w:rPr>
          <w:rFonts w:ascii="Aptos" w:eastAsia="Aptos" w:hAnsi="Aptos"/>
          <w:b/>
          <w:bCs/>
          <w:u w:val="single"/>
          <w:lang w:val="fr-FR"/>
        </w:rPr>
        <w:t>Message clé 3</w:t>
      </w:r>
      <w:r w:rsidR="00E34DC9">
        <w:rPr>
          <w:rFonts w:ascii="Aptos" w:eastAsia="Aptos" w:hAnsi="Aptos"/>
          <w:b/>
          <w:bCs/>
          <w:u w:val="single"/>
          <w:lang w:val="fr-FR"/>
        </w:rPr>
        <w:t> :</w:t>
      </w:r>
      <w:r w:rsidRPr="00653BF4">
        <w:rPr>
          <w:rFonts w:ascii="Aptos" w:eastAsia="Aptos" w:hAnsi="Aptos"/>
          <w:b/>
          <w:bCs/>
          <w:u w:val="single"/>
          <w:lang w:val="fr-FR"/>
        </w:rPr>
        <w:t xml:space="preserve"> Moyens de mise en œuvre</w:t>
      </w:r>
      <w:r w:rsidRPr="00653BF4">
        <w:rPr>
          <w:rFonts w:ascii="Aptos" w:eastAsia="Aptos" w:hAnsi="Aptos"/>
          <w:lang w:val="fr-FR"/>
        </w:rPr>
        <w:t> </w:t>
      </w:r>
    </w:p>
    <w:p w14:paraId="3E8DD993" w14:textId="18E7543F" w:rsidR="007A60EC" w:rsidRPr="00653BF4" w:rsidRDefault="007A60EC" w:rsidP="007A60EC">
      <w:pPr>
        <w:rPr>
          <w:rFonts w:ascii="Aptos" w:hAnsi="Aptos"/>
          <w:lang w:val="fr-FR"/>
        </w:rPr>
      </w:pPr>
      <w:r w:rsidRPr="00653BF4">
        <w:rPr>
          <w:b/>
          <w:bCs/>
          <w:lang w:val="fr-FR"/>
        </w:rPr>
        <w:t>Depuis l’adoption du Cadre, des progrès ont été accomplis en matière de financement public national et international, d’incitations positives en faveur de la biodiversité, de création et de renforcement des capacités, de transfert de technologie et de coopération technique et scientifique</w:t>
      </w:r>
      <w:r w:rsidR="00E34DC9">
        <w:rPr>
          <w:b/>
          <w:bCs/>
          <w:lang w:val="fr-FR"/>
        </w:rPr>
        <w:t> ;</w:t>
      </w:r>
      <w:r w:rsidRPr="00653BF4">
        <w:rPr>
          <w:b/>
          <w:bCs/>
          <w:lang w:val="fr-FR"/>
        </w:rPr>
        <w:t xml:space="preserve"> cependant, les rapports font état de progrès moindres dans la mobilisation et le suivi des financements privés ainsi que dans la réduction des incitations, y compris les subventions, préjudiciables à la biodiversité. </w:t>
      </w:r>
      <w:r w:rsidRPr="00653BF4">
        <w:rPr>
          <w:b/>
          <w:bCs/>
          <w:lang w:val="fr-FR"/>
        </w:rPr>
        <w:lastRenderedPageBreak/>
        <w:t>Les Parties indiquent que le manque d’accès en temps voulu à des moyens de mise en œuvre suffisants demeure un obstacle à la mise en œuvre de l’ensemble du Cadre</w:t>
      </w:r>
      <w:r w:rsidRPr="00653BF4">
        <w:rPr>
          <w:rFonts w:ascii="Aptos" w:hAnsi="Aptos"/>
          <w:b/>
          <w:bCs/>
          <w:lang w:val="fr-FR"/>
        </w:rPr>
        <w:t>.</w:t>
      </w:r>
      <w:r w:rsidRPr="00653BF4">
        <w:rPr>
          <w:rFonts w:ascii="Aptos" w:hAnsi="Aptos"/>
          <w:lang w:val="fr-FR"/>
        </w:rPr>
        <w:t xml:space="preserve"> </w:t>
      </w:r>
    </w:p>
    <w:p w14:paraId="62E0C35A" w14:textId="0E21632B" w:rsidR="007A60EC" w:rsidRPr="00653BF4" w:rsidRDefault="007A60EC" w:rsidP="007A60EC">
      <w:pPr>
        <w:spacing w:line="259" w:lineRule="auto"/>
        <w:rPr>
          <w:rFonts w:ascii="Aptos" w:hAnsi="Aptos"/>
          <w:lang w:val="fr-FR"/>
        </w:rPr>
      </w:pPr>
      <w:r w:rsidRPr="00653BF4">
        <w:rPr>
          <w:rFonts w:ascii="Aptos" w:hAnsi="Aptos"/>
          <w:lang w:val="fr-FR"/>
        </w:rPr>
        <w:t>L’</w:t>
      </w:r>
      <w:r w:rsidR="002878D7">
        <w:rPr>
          <w:rFonts w:ascii="Aptos" w:hAnsi="Aptos"/>
          <w:lang w:val="fr-FR"/>
        </w:rPr>
        <w:t>objectif D</w:t>
      </w:r>
      <w:r w:rsidRPr="00653BF4">
        <w:rPr>
          <w:rFonts w:ascii="Aptos" w:hAnsi="Aptos"/>
          <w:lang w:val="fr-FR"/>
        </w:rPr>
        <w:t xml:space="preserve"> du Cadre porte sur la nécessité de disposer de moyens de mise en œuvre adéquats afin de mettre pleinement en œuvre le Cadre. Selon les Parties, les cibles nationales alignées sur la </w:t>
      </w:r>
      <w:r w:rsidR="00E34DC9">
        <w:rPr>
          <w:rFonts w:ascii="Aptos" w:hAnsi="Aptos"/>
          <w:lang w:val="fr-FR"/>
        </w:rPr>
        <w:t>cible 1</w:t>
      </w:r>
      <w:r w:rsidRPr="00653BF4">
        <w:rPr>
          <w:rFonts w:ascii="Aptos" w:hAnsi="Aptos"/>
          <w:lang w:val="fr-FR"/>
        </w:rPr>
        <w:t xml:space="preserve">9 du Cadre, ainsi que sur les </w:t>
      </w:r>
      <w:r w:rsidR="002878D7">
        <w:rPr>
          <w:rFonts w:ascii="Aptos" w:hAnsi="Aptos"/>
          <w:lang w:val="fr-FR"/>
        </w:rPr>
        <w:t>cibles 1</w:t>
      </w:r>
      <w:r w:rsidRPr="00653BF4">
        <w:rPr>
          <w:rFonts w:ascii="Aptos" w:hAnsi="Aptos"/>
          <w:lang w:val="fr-FR"/>
        </w:rPr>
        <w:t>8 et 20, sont les plus étroitement liées à l’</w:t>
      </w:r>
      <w:r w:rsidR="002878D7">
        <w:rPr>
          <w:rFonts w:ascii="Aptos" w:hAnsi="Aptos"/>
          <w:lang w:val="fr-FR"/>
        </w:rPr>
        <w:t>objectif D</w:t>
      </w:r>
      <w:r w:rsidRPr="00653BF4">
        <w:rPr>
          <w:rFonts w:ascii="Aptos" w:hAnsi="Aptos"/>
          <w:lang w:val="fr-FR"/>
        </w:rPr>
        <w:t xml:space="preserve">, suivies de celles alignées sur les </w:t>
      </w:r>
      <w:r w:rsidR="002878D7">
        <w:rPr>
          <w:rFonts w:ascii="Aptos" w:hAnsi="Aptos"/>
          <w:lang w:val="fr-FR"/>
        </w:rPr>
        <w:t>cibles 1</w:t>
      </w:r>
      <w:r w:rsidRPr="00653BF4">
        <w:rPr>
          <w:rFonts w:ascii="Aptos" w:hAnsi="Aptos"/>
          <w:lang w:val="fr-FR"/>
        </w:rPr>
        <w:t>4, 15, 16, 17, 21, 22 et 23. Comme il ressort de l’analyse cible par cible, ces cibles mondiales comptent généralement parmi celles qui présentent les plus grands écarts de portée et d’ambition collectives.</w:t>
      </w:r>
    </w:p>
    <w:p w14:paraId="63B34390" w14:textId="1D876FB9" w:rsidR="007A60EC" w:rsidRPr="00653BF4" w:rsidRDefault="007A60EC" w:rsidP="007A60EC">
      <w:pPr>
        <w:spacing w:line="259" w:lineRule="auto"/>
        <w:rPr>
          <w:rFonts w:ascii="Aptos" w:hAnsi="Aptos"/>
          <w:lang w:val="fr-FR"/>
        </w:rPr>
      </w:pPr>
      <w:r w:rsidRPr="00653BF4">
        <w:rPr>
          <w:rFonts w:ascii="Aptos" w:hAnsi="Aptos"/>
          <w:lang w:val="fr-FR"/>
        </w:rPr>
        <w:t xml:space="preserve">Les </w:t>
      </w:r>
      <w:r w:rsidR="002878D7">
        <w:rPr>
          <w:rFonts w:ascii="Aptos" w:hAnsi="Aptos"/>
          <w:lang w:val="fr-FR"/>
        </w:rPr>
        <w:t>cibles 1</w:t>
      </w:r>
      <w:r w:rsidRPr="00653BF4">
        <w:rPr>
          <w:rFonts w:ascii="Aptos" w:hAnsi="Aptos"/>
          <w:lang w:val="fr-FR"/>
        </w:rPr>
        <w:t xml:space="preserve">5, 16, 18 et 19 sont parmi celles du Cadre qui obtiennent les notes les plus basses dans l’auto-évaluation des progrès réalisée par les Parties. D’après les données fournies par les Parties aux fins de l’évaluation des progrès collectifs vers la </w:t>
      </w:r>
      <w:r w:rsidR="00E34DC9">
        <w:rPr>
          <w:rFonts w:ascii="Aptos" w:hAnsi="Aptos"/>
          <w:lang w:val="fr-FR"/>
        </w:rPr>
        <w:t>cible 1</w:t>
      </w:r>
      <w:r w:rsidRPr="00653BF4">
        <w:rPr>
          <w:rFonts w:ascii="Aptos" w:hAnsi="Aptos"/>
          <w:lang w:val="fr-FR"/>
        </w:rPr>
        <w:t>9, le jalon de 2025, qui prévoit un total de 20 milliards de dollars par an de ressources financières internationales liées à la biodiversité, n’a probablement pas été atteint</w:t>
      </w:r>
      <w:r w:rsidR="00E34DC9">
        <w:rPr>
          <w:rFonts w:ascii="Aptos" w:hAnsi="Aptos"/>
          <w:lang w:val="fr-FR"/>
        </w:rPr>
        <w:t> ;</w:t>
      </w:r>
      <w:r w:rsidRPr="00653BF4">
        <w:rPr>
          <w:rFonts w:ascii="Aptos" w:hAnsi="Aptos"/>
          <w:lang w:val="fr-FR"/>
        </w:rPr>
        <w:t xml:space="preserve"> cependant, une évaluation définitive ne sera possible qu’une fois que des données complètes jusqu’en 2025 inclus auront été communiquées.</w:t>
      </w:r>
    </w:p>
    <w:p w14:paraId="6F33CC6B" w14:textId="459CB9D0" w:rsidR="007A60EC" w:rsidRPr="00653BF4" w:rsidRDefault="007A60EC" w:rsidP="007A60EC">
      <w:pPr>
        <w:rPr>
          <w:rFonts w:ascii="Aptos" w:hAnsi="Aptos"/>
          <w:lang w:val="fr-FR"/>
        </w:rPr>
      </w:pPr>
      <w:r w:rsidRPr="00653BF4">
        <w:rPr>
          <w:rFonts w:ascii="Aptos" w:hAnsi="Aptos"/>
          <w:lang w:val="fr-FR"/>
        </w:rPr>
        <w:t>Certaines des difficultés mises en avant par les Parties concernent l’ampleur des moyens de mise en œuvre, leur disponibilité et les délais dans lesquels ils sont fournis, ainsi que leur alignement sur le Cadre. Les Parties mentionnent en outre des difficultés relatives, d’une part, aux données financières propres à la biodiversité, notamment des lacunes dans les informations ventilées sur les bénéficiaires, et, d’autre part, aux données financières par cible. Nombre de Parties indiquent que le manque de ressources financières et humaines a limité les capacités institutionnelles et techniques et s’est accompagné de difficultés à accéder aux technologies ou à les déployer. Les pays en développement, en particulier les pays les moins avancés et les petits États insulaires en développement, évoquent plus souvent dans leurs rapports nationaux des lacunes dans les moyens de mise en œuvre. Par ailleurs, il ressort des rapports nationaux que les peuples autochtones et communautés locales, les femmes, les jeunes, les autorités infranationales et d’autres acteurs ne disposent souvent pas de ressources suffisantes pour soutenir ou accroître leurs contributions à la mise en œuvre du Cadre. Les Parties ont recensé des pratiques réussies et des possibilités d’améliorer les moyens de mise en œuvre, notamment des cadres politiques, réglementaires et institutionnels renforcés</w:t>
      </w:r>
      <w:r w:rsidR="00E34DC9">
        <w:rPr>
          <w:rFonts w:ascii="Aptos" w:hAnsi="Aptos"/>
          <w:lang w:val="fr-FR"/>
        </w:rPr>
        <w:t> ;</w:t>
      </w:r>
      <w:r w:rsidRPr="00653BF4">
        <w:rPr>
          <w:rFonts w:ascii="Aptos" w:hAnsi="Aptos"/>
          <w:lang w:val="fr-FR"/>
        </w:rPr>
        <w:t xml:space="preserve"> un meilleur alignement des flux financiers publics et privés sur les objectifs de biodiversité</w:t>
      </w:r>
      <w:r w:rsidR="00E34DC9">
        <w:rPr>
          <w:rFonts w:ascii="Aptos" w:hAnsi="Aptos"/>
          <w:lang w:val="fr-FR"/>
        </w:rPr>
        <w:t> ;</w:t>
      </w:r>
      <w:r w:rsidRPr="00653BF4">
        <w:rPr>
          <w:rFonts w:ascii="Aptos" w:hAnsi="Aptos"/>
          <w:lang w:val="fr-FR"/>
        </w:rPr>
        <w:t xml:space="preserve"> une réforme des incitations, y compris les subventions, préjudiciables à la biodiversité</w:t>
      </w:r>
      <w:r w:rsidR="00E34DC9">
        <w:rPr>
          <w:rFonts w:ascii="Aptos" w:hAnsi="Aptos"/>
          <w:lang w:val="fr-FR"/>
        </w:rPr>
        <w:t> ;</w:t>
      </w:r>
      <w:r w:rsidRPr="00653BF4">
        <w:rPr>
          <w:rFonts w:ascii="Aptos" w:hAnsi="Aptos"/>
          <w:lang w:val="fr-FR"/>
        </w:rPr>
        <w:t xml:space="preserve"> un accès élargi au financement, à la création de capacités, au transfert de technologie et à la coopération technique et scientifique</w:t>
      </w:r>
      <w:r w:rsidR="00E34DC9">
        <w:rPr>
          <w:rFonts w:ascii="Aptos" w:hAnsi="Aptos"/>
          <w:lang w:val="fr-FR"/>
        </w:rPr>
        <w:t> ;</w:t>
      </w:r>
      <w:r w:rsidRPr="00653BF4">
        <w:rPr>
          <w:rFonts w:ascii="Aptos" w:hAnsi="Aptos"/>
          <w:lang w:val="fr-FR"/>
        </w:rPr>
        <w:t xml:space="preserve"> et une collaboration accrue entre secteurs, acteurs </w:t>
      </w:r>
      <w:r w:rsidRPr="00653BF4">
        <w:rPr>
          <w:rFonts w:ascii="Aptos" w:hAnsi="Aptos"/>
          <w:lang w:val="fr-FR"/>
        </w:rPr>
        <w:lastRenderedPageBreak/>
        <w:t>et initiatives internationales existantes afin d’en maximiser les effets et d’appuyer la mise en œuvre équitable du Cadre.</w:t>
      </w:r>
    </w:p>
    <w:p w14:paraId="31360E4C" w14:textId="5B279A41" w:rsidR="007A60EC" w:rsidRPr="00653BF4" w:rsidRDefault="007A60EC" w:rsidP="007A60EC">
      <w:pPr>
        <w:spacing w:before="120" w:after="120"/>
        <w:rPr>
          <w:rFonts w:ascii="Aptos" w:hAnsi="Aptos"/>
          <w:i/>
          <w:iCs/>
          <w:lang w:val="fr-FR"/>
        </w:rPr>
      </w:pPr>
      <w:r w:rsidRPr="00653BF4">
        <w:rPr>
          <w:i/>
          <w:iCs/>
          <w:lang w:val="fr-FR"/>
        </w:rPr>
        <w:t>Approches non prescriptives possibles</w:t>
      </w:r>
      <w:r w:rsidR="00E34DC9">
        <w:rPr>
          <w:i/>
          <w:iCs/>
          <w:lang w:val="fr-FR"/>
        </w:rPr>
        <w:t> :</w:t>
      </w:r>
      <w:r w:rsidRPr="00653BF4">
        <w:rPr>
          <w:rFonts w:ascii="Aptos" w:eastAsia="Times New Roman" w:hAnsi="Aptos"/>
          <w:i/>
          <w:iCs/>
          <w:lang w:val="fr-FR"/>
        </w:rPr>
        <w:t xml:space="preserve"> </w:t>
      </w:r>
    </w:p>
    <w:p w14:paraId="01CF42F8" w14:textId="77777777" w:rsidR="007A60EC" w:rsidRPr="00653BF4" w:rsidRDefault="007A60EC" w:rsidP="007A60EC">
      <w:pPr>
        <w:numPr>
          <w:ilvl w:val="0"/>
          <w:numId w:val="46"/>
        </w:numPr>
        <w:rPr>
          <w:rFonts w:ascii="Aptos" w:hAnsi="Aptos"/>
          <w:lang w:val="fr-FR"/>
        </w:rPr>
      </w:pPr>
      <w:r w:rsidRPr="00653BF4">
        <w:rPr>
          <w:rFonts w:ascii="Aptos" w:hAnsi="Aptos"/>
          <w:lang w:val="fr-FR"/>
        </w:rPr>
        <w:t>L’investissement dans des politiques publiques, des cadres réglementaires, des garanties et des mécanismes de responsabilisation solides, y compris, selon qu’il conviendra, pour les taxonomies, les cadres de publication d’informations et d’autres instruments financiers, pourrait à la fois appuyer la mobilisation de ressources et mieux aligner les systèmes économiques sur les objectifs de biodiversité. L’intégration systématique de considérations relatives à la biodiversité dans la prise de décisions économiques et l’alignement des méthodes utilisées par les entreprises, les institutions financières et d’autres acteurs sur les objectifs et les indicateurs du Cadre pourraient favoriser une meilleure coordination et des changements systémiques à long terme.</w:t>
      </w:r>
    </w:p>
    <w:p w14:paraId="0748D0E8" w14:textId="77777777" w:rsidR="007A60EC" w:rsidRPr="00653BF4" w:rsidRDefault="007A60EC" w:rsidP="007A60EC">
      <w:pPr>
        <w:numPr>
          <w:ilvl w:val="0"/>
          <w:numId w:val="46"/>
        </w:numPr>
        <w:rPr>
          <w:rFonts w:ascii="Aptos" w:hAnsi="Aptos"/>
          <w:lang w:val="fr-FR"/>
        </w:rPr>
      </w:pPr>
      <w:r w:rsidRPr="00653BF4">
        <w:rPr>
          <w:rFonts w:ascii="Aptos" w:hAnsi="Aptos"/>
          <w:lang w:val="fr-FR"/>
        </w:rPr>
        <w:t>Des approches de financement mixte et d’autres mécanismes financiers innovants pourraient aider à mobiliser des ressources supplémentaires, tout en favorisant des résultats mesurables pour la biodiversité et un partage équitable des avantages.</w:t>
      </w:r>
    </w:p>
    <w:p w14:paraId="0F82F93A" w14:textId="77777777" w:rsidR="007A60EC" w:rsidRPr="00653BF4" w:rsidRDefault="007A60EC" w:rsidP="007A60EC">
      <w:pPr>
        <w:numPr>
          <w:ilvl w:val="0"/>
          <w:numId w:val="46"/>
        </w:numPr>
        <w:rPr>
          <w:rFonts w:ascii="Aptos" w:hAnsi="Aptos"/>
          <w:lang w:val="fr-FR"/>
        </w:rPr>
      </w:pPr>
      <w:r w:rsidRPr="00653BF4">
        <w:rPr>
          <w:rFonts w:ascii="Aptos" w:hAnsi="Aptos"/>
          <w:lang w:val="fr-FR"/>
        </w:rPr>
        <w:t>Les Parties pourraient tirer parti d’une approche faisant intervenir l’ensemble de la société en s’appuyant sur la reconnaissance et l’intégration des contributions et des engagements d’acteurs autres que les gouvernements nationaux pour la mise en œuvre, et en améliorant l’accès de différents intervenants, notamment les peuples autochtones et communautés locales, les femmes et les jeunes, à des financements adaptés.</w:t>
      </w:r>
    </w:p>
    <w:p w14:paraId="2E9FDF3C" w14:textId="77777777" w:rsidR="007A60EC" w:rsidRPr="00653BF4" w:rsidRDefault="007A60EC" w:rsidP="007A60EC">
      <w:pPr>
        <w:numPr>
          <w:ilvl w:val="0"/>
          <w:numId w:val="46"/>
        </w:numPr>
        <w:rPr>
          <w:rFonts w:ascii="Aptos" w:hAnsi="Aptos"/>
          <w:lang w:val="fr-FR"/>
        </w:rPr>
      </w:pPr>
      <w:r w:rsidRPr="00653BF4">
        <w:rPr>
          <w:rFonts w:ascii="Aptos" w:hAnsi="Aptos"/>
          <w:lang w:val="fr-FR"/>
        </w:rPr>
        <w:t>Les Parties pourraient intensifier leurs efforts visant à recenser, puis à éliminer, supprimer progressivement ou réformer les incitations, y compris les subventions, préjudiciables à la biodiversité, de manière proportionnée, juste, efficace et équitable, et à accroître les incitations positives en faveur de la conservation et de l’utilisation durable de la biodiversité.</w:t>
      </w:r>
    </w:p>
    <w:p w14:paraId="4643BBBA" w14:textId="77777777" w:rsidR="007A60EC" w:rsidRPr="00653BF4" w:rsidRDefault="007A60EC" w:rsidP="007A60EC">
      <w:pPr>
        <w:numPr>
          <w:ilvl w:val="0"/>
          <w:numId w:val="46"/>
        </w:numPr>
        <w:rPr>
          <w:rFonts w:ascii="Aptos" w:hAnsi="Aptos"/>
          <w:lang w:val="fr-FR"/>
        </w:rPr>
      </w:pPr>
      <w:r w:rsidRPr="00653BF4">
        <w:rPr>
          <w:rFonts w:ascii="Aptos" w:hAnsi="Aptos"/>
          <w:lang w:val="fr-FR"/>
        </w:rPr>
        <w:t xml:space="preserve">Les Parties pourraient avoir intérêt à renforcer les capacités de mobilisation de ressources et de suivi. De tels efforts permettraient de recenser des solutions pour étendre la création et le renforcement des capacités, le partage de connaissances et d’informations avec différents acteurs, le transfert de technologie et la coopération technique et scientifique, notamment en améliorant les mécanismes régionaux et sous-régionaux. Les centres régionaux et sous-régionaux d’appui à la coopération technique et scientifique créés au titre de la Convention, ou d’autres </w:t>
      </w:r>
      <w:r w:rsidRPr="00653BF4">
        <w:rPr>
          <w:rFonts w:ascii="Aptos" w:hAnsi="Aptos"/>
          <w:lang w:val="fr-FR"/>
        </w:rPr>
        <w:lastRenderedPageBreak/>
        <w:t>mécanismes régionaux, pourraient jouer un rôle particulièrement important à cet égard.</w:t>
      </w:r>
    </w:p>
    <w:p w14:paraId="2F85B63C" w14:textId="77777777" w:rsidR="007A60EC" w:rsidRPr="00653BF4" w:rsidRDefault="007A60EC" w:rsidP="007A60EC">
      <w:pPr>
        <w:numPr>
          <w:ilvl w:val="0"/>
          <w:numId w:val="46"/>
        </w:numPr>
        <w:rPr>
          <w:rFonts w:ascii="Aptos" w:hAnsi="Aptos"/>
          <w:lang w:val="fr-FR"/>
        </w:rPr>
      </w:pPr>
      <w:r w:rsidRPr="00653BF4">
        <w:rPr>
          <w:lang w:val="fr-FR"/>
        </w:rPr>
        <w:t>Dans le cadre des travaux menés au titre de la Convention en matière de mobilisation des ressources, d’incitations, de création de capacités, de coopération technique et scientifique et de transfert de technologie, il pourrait être tenu compte des constatations du rapport mondial, ainsi que des besoins recensés dans les rapports nationaux, pour concevoir des mesures visant à combler les lacunes dans les moyens de mise en œuvre</w:t>
      </w:r>
      <w:r w:rsidRPr="00653BF4">
        <w:rPr>
          <w:rFonts w:ascii="Aptos" w:hAnsi="Aptos"/>
          <w:lang w:val="fr-FR"/>
        </w:rPr>
        <w:t>.</w:t>
      </w:r>
    </w:p>
    <w:p w14:paraId="37ACEDEB" w14:textId="77777777" w:rsidR="007A60EC" w:rsidRPr="00653BF4" w:rsidRDefault="007A60EC" w:rsidP="007A60EC">
      <w:pPr>
        <w:numPr>
          <w:ilvl w:val="0"/>
          <w:numId w:val="46"/>
        </w:numPr>
        <w:rPr>
          <w:rFonts w:ascii="Aptos" w:hAnsi="Aptos"/>
          <w:lang w:val="fr-FR"/>
        </w:rPr>
      </w:pPr>
      <w:r w:rsidRPr="00653BF4">
        <w:rPr>
          <w:rFonts w:ascii="Aptos" w:hAnsi="Aptos"/>
          <w:lang w:val="fr-FR"/>
        </w:rPr>
        <w:t>Le partage de connaissances, la mise en relation et la coopération Sud-Sud, Nord-Sud et triangulaire pourraient être intensifiés, y compris éventuellement par l’intermédiaire des centres régionaux et sous-régionaux d’appui à la coopération technique et scientifique.</w:t>
      </w:r>
    </w:p>
    <w:p w14:paraId="00302D36" w14:textId="77777777" w:rsidR="007A60EC" w:rsidRPr="00653BF4" w:rsidRDefault="007A60EC" w:rsidP="007A60EC">
      <w:pPr>
        <w:numPr>
          <w:ilvl w:val="0"/>
          <w:numId w:val="46"/>
        </w:numPr>
        <w:rPr>
          <w:rFonts w:ascii="Aptos" w:hAnsi="Aptos"/>
          <w:lang w:val="fr-FR"/>
        </w:rPr>
      </w:pPr>
      <w:r w:rsidRPr="00653BF4">
        <w:rPr>
          <w:rFonts w:ascii="Aptos" w:hAnsi="Aptos"/>
          <w:lang w:val="fr-FR"/>
        </w:rPr>
        <w:t>Il serait possible d’améliorer la cohérence, de réduire les doubles emplois et d’optimiser l’effet des ressources disponibles en tirant parti des initiatives existantes relevant de la Convention et de ses Protocoles, des conventions relatives à la biodiversité, d’autres accords multilatéraux sur l’environnement pertinents ainsi que d’organisations et de processus internationaux.</w:t>
      </w:r>
    </w:p>
    <w:p w14:paraId="5343261D" w14:textId="014AB289" w:rsidR="007A60EC" w:rsidRPr="00653BF4" w:rsidRDefault="007A60EC" w:rsidP="007A60EC">
      <w:pPr>
        <w:spacing w:before="120" w:after="120"/>
        <w:rPr>
          <w:rFonts w:ascii="Aptos" w:hAnsi="Aptos"/>
          <w:b/>
          <w:bCs/>
          <w:u w:val="single"/>
          <w:lang w:val="fr-FR"/>
        </w:rPr>
      </w:pPr>
      <w:r w:rsidRPr="00653BF4">
        <w:rPr>
          <w:rFonts w:ascii="Aptos" w:hAnsi="Aptos"/>
          <w:b/>
          <w:bCs/>
          <w:u w:val="single"/>
          <w:lang w:val="fr-FR"/>
        </w:rPr>
        <w:t>Message clé 4</w:t>
      </w:r>
      <w:r w:rsidR="00E34DC9">
        <w:rPr>
          <w:rFonts w:ascii="Aptos" w:hAnsi="Aptos"/>
          <w:b/>
          <w:bCs/>
          <w:u w:val="single"/>
          <w:lang w:val="fr-FR"/>
        </w:rPr>
        <w:t> :</w:t>
      </w:r>
      <w:r w:rsidRPr="00653BF4">
        <w:rPr>
          <w:rFonts w:ascii="Aptos" w:hAnsi="Aptos"/>
          <w:b/>
          <w:bCs/>
          <w:u w:val="single"/>
          <w:lang w:val="fr-FR"/>
        </w:rPr>
        <w:t xml:space="preserve"> Approches faisant intervenir l’ensemble des pouvoirs publics</w:t>
      </w:r>
    </w:p>
    <w:p w14:paraId="521A1AE6" w14:textId="77777777" w:rsidR="007A60EC" w:rsidRPr="00653BF4" w:rsidRDefault="007A60EC" w:rsidP="007A60EC">
      <w:pPr>
        <w:spacing w:after="80" w:line="259" w:lineRule="auto"/>
        <w:rPr>
          <w:rFonts w:ascii="Aptos" w:hAnsi="Aptos"/>
          <w:b/>
          <w:bCs/>
          <w:lang w:val="fr-FR"/>
        </w:rPr>
      </w:pPr>
      <w:r w:rsidRPr="00653BF4">
        <w:rPr>
          <w:rFonts w:ascii="Aptos" w:hAnsi="Aptos"/>
          <w:b/>
          <w:bCs/>
          <w:lang w:val="fr-FR"/>
        </w:rPr>
        <w:t>Si nombre de Parties font état de mesures visant à renforcer la gouvernance environnementale, à mieux intégrer la biodiversité et ses multiples valeurs et à améliorer la cohérence des politiques, les progrès demeurent inégaux et insuffisants. Les cibles du Cadre touchent aux plans de développement économique, aux systèmes alimentaires, à la santé, aux infrastructures, au commerce, à la politique budgétaire, au financement et à d’autres priorités nationales. Une meilleure intégration de la biodiversité dans toute l’action gouvernementale est nécessaire pour mettre en œuvre l’approche pangouvernementale du Cadre, éviter ou limiter au minimum les arbitrages, réduire les doubles emplois et rationaliser l’allocation des ressources nationales.</w:t>
      </w:r>
    </w:p>
    <w:p w14:paraId="4E86D527" w14:textId="77777777" w:rsidR="007A60EC" w:rsidRPr="00653BF4" w:rsidRDefault="007A60EC" w:rsidP="007A60EC">
      <w:pPr>
        <w:spacing w:after="80" w:line="259" w:lineRule="auto"/>
        <w:rPr>
          <w:rFonts w:ascii="Aptos" w:hAnsi="Aptos"/>
          <w:b/>
          <w:bCs/>
          <w:lang w:val="fr-FR"/>
        </w:rPr>
      </w:pPr>
    </w:p>
    <w:p w14:paraId="25AC0CB7" w14:textId="77777777" w:rsidR="007A60EC" w:rsidRPr="00653BF4" w:rsidRDefault="007A60EC" w:rsidP="007A60EC">
      <w:pPr>
        <w:spacing w:after="80"/>
        <w:rPr>
          <w:rFonts w:ascii="Aptos" w:eastAsia="Times New Roman" w:hAnsi="Aptos"/>
          <w:lang w:val="fr-FR"/>
        </w:rPr>
      </w:pPr>
      <w:r w:rsidRPr="00653BF4">
        <w:rPr>
          <w:lang w:val="fr-FR"/>
        </w:rPr>
        <w:t>En ce qui concerne les mesures de politique générale décrites dans leurs rapports nationaux, les Parties indiquent avoir progressé dans l’élaboration de textes législatifs, la mobilisation de ministères autres que celui de l’environnement et l’association des autorités infranationales, ainsi que dans la mise en place d’une planification spatiale tenant compte de la biodiversité et de processus de gestion efficaces</w:t>
      </w:r>
      <w:r w:rsidRPr="00653BF4">
        <w:rPr>
          <w:rFonts w:ascii="Aptos" w:eastAsia="Times New Roman" w:hAnsi="Aptos"/>
          <w:lang w:val="fr-FR"/>
        </w:rPr>
        <w:t xml:space="preserve">. </w:t>
      </w:r>
      <w:r w:rsidRPr="00653BF4">
        <w:rPr>
          <w:lang w:val="fr-FR"/>
        </w:rPr>
        <w:t>Les ministères que les Parties citent le plus souvent sont notamment ceux de l’agriculture, de la pêche et des finances</w:t>
      </w:r>
      <w:r w:rsidRPr="00653BF4">
        <w:rPr>
          <w:rFonts w:ascii="Aptos" w:eastAsia="Times New Roman" w:hAnsi="Aptos"/>
          <w:lang w:val="fr-FR"/>
        </w:rPr>
        <w:t xml:space="preserve">. Nombre de Parties ont pris en compte les conventions de Rio et d’autres accords </w:t>
      </w:r>
      <w:r w:rsidRPr="00653BF4">
        <w:rPr>
          <w:rFonts w:ascii="Aptos" w:eastAsia="Times New Roman" w:hAnsi="Aptos"/>
          <w:lang w:val="fr-FR"/>
        </w:rPr>
        <w:lastRenderedPageBreak/>
        <w:t>multilatéraux sur l’environnement dans leurs stratégies et plans d’action nationaux pour la biodiversité, et de nombreux accords et initiatives internationaux sont mentionnés dans les cibles nationales et les rapports nationaux. Plusieurs Parties ont donné des exemples de planification intégrée associant la biodiversité au climat, à l’alimentation, à l’eau, à la santé, à l’utilisation des terres ou à d’autres objectifs de développement. Cependant, les Parties décrivent souvent en termes généraux la mobilisation des ministères autres que celui de l’environnement, sans donner d’informations sur la coordination de la mise en œuvre entre les secteurs.</w:t>
      </w:r>
    </w:p>
    <w:p w14:paraId="54709043" w14:textId="7B20D4F4" w:rsidR="007A60EC" w:rsidRPr="00653BF4" w:rsidRDefault="007A60EC" w:rsidP="007A60EC">
      <w:pPr>
        <w:spacing w:before="120" w:after="120"/>
        <w:rPr>
          <w:rFonts w:ascii="Aptos" w:hAnsi="Aptos"/>
          <w:b/>
          <w:bCs/>
          <w:lang w:val="fr-FR"/>
        </w:rPr>
      </w:pPr>
      <w:r w:rsidRPr="00653BF4">
        <w:rPr>
          <w:rFonts w:ascii="Aptos" w:eastAsia="Times New Roman" w:hAnsi="Aptos"/>
          <w:lang w:val="fr-FR"/>
        </w:rPr>
        <w:t xml:space="preserve">Les </w:t>
      </w:r>
      <w:r w:rsidR="002878D7">
        <w:rPr>
          <w:rFonts w:ascii="Aptos" w:eastAsia="Times New Roman" w:hAnsi="Aptos"/>
          <w:lang w:val="fr-FR"/>
        </w:rPr>
        <w:t>cibles 1</w:t>
      </w:r>
      <w:r w:rsidRPr="00653BF4">
        <w:rPr>
          <w:rFonts w:ascii="Aptos" w:eastAsia="Times New Roman" w:hAnsi="Aptos"/>
          <w:lang w:val="fr-FR"/>
        </w:rPr>
        <w:t xml:space="preserve"> et 14 du Cadre, dont la réussite dépend le plus directement d’approches faisant intervenir l’ensemble des pouvoirs publics, par la planification intégrée pour la première et par la prise en compte de la biodiversité pour la seconde, ont enregistré des progrès limités. Ce constat vaut en particulier pour la planification spatiale intégrée, pour la prise en compte de la biodiversité et de ses multiples valeurs dans les politiques, les réglementations et les processus de planification et de développement, ainsi que pour l’intégration à tous les niveaux de gouvernement et dans tous les secteurs</w:t>
      </w:r>
      <w:r w:rsidRPr="00653BF4">
        <w:rPr>
          <w:rFonts w:ascii="Aptos" w:hAnsi="Aptos"/>
          <w:lang w:val="fr-FR"/>
        </w:rPr>
        <w:t xml:space="preserve">. </w:t>
      </w:r>
    </w:p>
    <w:p w14:paraId="7D5B34A0" w14:textId="5C05F30B" w:rsidR="007A60EC" w:rsidRPr="00653BF4" w:rsidRDefault="007A60EC" w:rsidP="007A60EC">
      <w:pPr>
        <w:spacing w:before="120" w:after="120"/>
        <w:rPr>
          <w:rFonts w:ascii="Aptos" w:hAnsi="Aptos"/>
          <w:i/>
          <w:iCs/>
          <w:lang w:val="fr-FR"/>
        </w:rPr>
      </w:pPr>
      <w:r w:rsidRPr="00653BF4">
        <w:rPr>
          <w:rFonts w:ascii="Aptos" w:hAnsi="Aptos"/>
          <w:i/>
          <w:iCs/>
          <w:lang w:val="fr-FR"/>
        </w:rPr>
        <w:t>Approches non prescriptives possibles</w:t>
      </w:r>
      <w:r w:rsidR="00E34DC9">
        <w:rPr>
          <w:rFonts w:ascii="Aptos" w:hAnsi="Aptos"/>
          <w:i/>
          <w:iCs/>
          <w:lang w:val="fr-FR"/>
        </w:rPr>
        <w:t> :</w:t>
      </w:r>
      <w:r w:rsidRPr="00653BF4">
        <w:rPr>
          <w:rFonts w:ascii="Aptos" w:eastAsia="Times New Roman" w:hAnsi="Aptos"/>
          <w:i/>
          <w:iCs/>
          <w:lang w:val="fr-FR"/>
        </w:rPr>
        <w:t xml:space="preserve"> </w:t>
      </w:r>
    </w:p>
    <w:p w14:paraId="2EFED99C" w14:textId="77777777" w:rsidR="007A60EC" w:rsidRPr="00653BF4" w:rsidRDefault="007A60EC" w:rsidP="007A60EC">
      <w:pPr>
        <w:numPr>
          <w:ilvl w:val="0"/>
          <w:numId w:val="46"/>
        </w:numPr>
        <w:rPr>
          <w:rFonts w:ascii="Aptos" w:hAnsi="Aptos"/>
          <w:lang w:val="fr-FR"/>
        </w:rPr>
      </w:pPr>
      <w:r w:rsidRPr="00653BF4">
        <w:rPr>
          <w:rFonts w:ascii="Aptos" w:hAnsi="Aptos"/>
          <w:lang w:val="fr-FR"/>
        </w:rPr>
        <w:t>Il est impératif de renforcer la mise en œuvre grâce à de meilleurs cadres législatifs et politiques, à des mécanismes de coordination plus solides et à une collaboration accrue entre les secteurs et les différents niveaux de gouvernement, afin d’assurer une planification et une mise en œuvre efficaces et intégrées.</w:t>
      </w:r>
    </w:p>
    <w:p w14:paraId="01EEF657" w14:textId="77777777" w:rsidR="007A60EC" w:rsidRPr="00653BF4" w:rsidRDefault="007A60EC" w:rsidP="007A60EC">
      <w:pPr>
        <w:numPr>
          <w:ilvl w:val="0"/>
          <w:numId w:val="46"/>
        </w:numPr>
        <w:rPr>
          <w:rFonts w:ascii="Aptos" w:hAnsi="Aptos"/>
          <w:lang w:val="fr-FR"/>
        </w:rPr>
      </w:pPr>
      <w:r w:rsidRPr="00653BF4">
        <w:rPr>
          <w:rFonts w:ascii="Aptos" w:hAnsi="Aptos"/>
          <w:lang w:val="fr-FR"/>
        </w:rPr>
        <w:t xml:space="preserve">Une meilleure intégration de la biodiversité pourrait améliorer la planification, le suivi et la mise en œuvre intégrés dans les différents processus, notamment au titre des conventions de Rio, d’accords multilatéraux sur l’environnement relatifs à la biodiversité ou à d’autres domaines, ou d’autres accords et processus internationaux, régionaux ou sous-régionaux, y compris ceux qui portent sur le financement ou sur des objectifs socioéconomiques et de développement, et ainsi accroître l’efficacité, réduire les doubles emplois, renforcer la cohérence des politiques et des mesures et améliorer l’allocation des ressources nationales. </w:t>
      </w:r>
    </w:p>
    <w:p w14:paraId="476D11B7" w14:textId="77777777" w:rsidR="007A60EC" w:rsidRPr="00653BF4" w:rsidRDefault="007A60EC" w:rsidP="007A60EC">
      <w:pPr>
        <w:numPr>
          <w:ilvl w:val="0"/>
          <w:numId w:val="46"/>
        </w:numPr>
        <w:rPr>
          <w:rFonts w:ascii="Aptos" w:hAnsi="Aptos"/>
          <w:lang w:val="fr-FR"/>
        </w:rPr>
      </w:pPr>
      <w:r w:rsidRPr="00653BF4">
        <w:rPr>
          <w:rFonts w:ascii="Aptos" w:hAnsi="Aptos"/>
          <w:lang w:val="fr-FR"/>
        </w:rPr>
        <w:t>Une meilleure compréhension institutionnelle du Cadre et de ses processus connexes dans tous les ministères, et pas seulement au ministère de l’environnement, pourrait favoriser des mesures mieux coordonnées et plus complémentaires dans les institutions gouvernementales et les différents secteurs.</w:t>
      </w:r>
    </w:p>
    <w:p w14:paraId="3E4D7678" w14:textId="350497B0" w:rsidR="007A60EC" w:rsidRPr="00653BF4" w:rsidRDefault="007A60EC" w:rsidP="007A60EC">
      <w:pPr>
        <w:numPr>
          <w:ilvl w:val="0"/>
          <w:numId w:val="46"/>
        </w:numPr>
        <w:rPr>
          <w:rFonts w:ascii="Aptos" w:hAnsi="Aptos"/>
          <w:lang w:val="fr-FR"/>
        </w:rPr>
      </w:pPr>
      <w:r w:rsidRPr="00653BF4">
        <w:rPr>
          <w:rFonts w:ascii="Aptos" w:hAnsi="Aptos"/>
          <w:lang w:val="fr-FR"/>
        </w:rPr>
        <w:t xml:space="preserve">On pourrait améliorer la mise en œuvre de l’ensemble des cibles du Cadre en investissant dans une planification spatiale participative, intégrée et respectueuse de la biodiversité, comme le prévoit la </w:t>
      </w:r>
      <w:r w:rsidR="00E34DC9">
        <w:rPr>
          <w:rFonts w:ascii="Aptos" w:hAnsi="Aptos"/>
          <w:lang w:val="fr-FR"/>
        </w:rPr>
        <w:t>cible 1</w:t>
      </w:r>
      <w:r w:rsidRPr="00653BF4">
        <w:rPr>
          <w:rFonts w:ascii="Aptos" w:hAnsi="Aptos"/>
          <w:lang w:val="fr-FR"/>
        </w:rPr>
        <w:t xml:space="preserve">, et en évaluant les multiples valeurs </w:t>
      </w:r>
      <w:r w:rsidRPr="00653BF4">
        <w:rPr>
          <w:rFonts w:ascii="Aptos" w:hAnsi="Aptos"/>
          <w:lang w:val="fr-FR"/>
        </w:rPr>
        <w:lastRenderedPageBreak/>
        <w:t xml:space="preserve">de la biodiversité, comme le prévoit la </w:t>
      </w:r>
      <w:r w:rsidR="00E34DC9">
        <w:rPr>
          <w:rFonts w:ascii="Aptos" w:hAnsi="Aptos"/>
          <w:lang w:val="fr-FR"/>
        </w:rPr>
        <w:t>cible 1</w:t>
      </w:r>
      <w:r w:rsidRPr="00653BF4">
        <w:rPr>
          <w:rFonts w:ascii="Aptos" w:hAnsi="Aptos"/>
          <w:lang w:val="fr-FR"/>
        </w:rPr>
        <w:t>4, tout en s’appuyant sur les connaissances et les pratiques traditionnelles des peuples autochtones et communautés locales, des femmes et des jeunes.</w:t>
      </w:r>
    </w:p>
    <w:p w14:paraId="3CC6B408" w14:textId="078D6AD5" w:rsidR="007A60EC" w:rsidRPr="00653BF4" w:rsidRDefault="007A60EC" w:rsidP="007A60EC">
      <w:pPr>
        <w:spacing w:before="120" w:after="120"/>
        <w:rPr>
          <w:rFonts w:ascii="Aptos" w:hAnsi="Aptos"/>
          <w:b/>
          <w:bCs/>
          <w:u w:val="single"/>
          <w:lang w:val="fr-FR"/>
        </w:rPr>
      </w:pPr>
      <w:r w:rsidRPr="00653BF4">
        <w:rPr>
          <w:rFonts w:ascii="Aptos" w:hAnsi="Aptos"/>
          <w:b/>
          <w:bCs/>
          <w:u w:val="single"/>
          <w:lang w:val="fr-FR"/>
        </w:rPr>
        <w:t>Message clé 5</w:t>
      </w:r>
      <w:r w:rsidR="00E34DC9">
        <w:rPr>
          <w:rFonts w:ascii="Aptos" w:hAnsi="Aptos"/>
          <w:b/>
          <w:bCs/>
          <w:u w:val="single"/>
          <w:lang w:val="fr-FR"/>
        </w:rPr>
        <w:t> :</w:t>
      </w:r>
      <w:r w:rsidRPr="00653BF4">
        <w:rPr>
          <w:rFonts w:ascii="Aptos" w:hAnsi="Aptos"/>
          <w:b/>
          <w:bCs/>
          <w:u w:val="single"/>
          <w:lang w:val="fr-FR"/>
        </w:rPr>
        <w:t xml:space="preserve"> Approche faisant intervenir l’ensemble de la société</w:t>
      </w:r>
    </w:p>
    <w:p w14:paraId="2DF579F6" w14:textId="77777777" w:rsidR="007A60EC" w:rsidRPr="00653BF4" w:rsidRDefault="007A60EC" w:rsidP="007A60EC">
      <w:pPr>
        <w:spacing w:before="120" w:after="120"/>
        <w:rPr>
          <w:rFonts w:ascii="Aptos" w:hAnsi="Aptos"/>
          <w:b/>
          <w:bCs/>
          <w:lang w:val="fr-FR"/>
        </w:rPr>
      </w:pPr>
      <w:r w:rsidRPr="00653BF4">
        <w:rPr>
          <w:rFonts w:ascii="Aptos" w:eastAsia="Times New Roman" w:hAnsi="Aptos"/>
          <w:b/>
          <w:bCs/>
          <w:lang w:val="fr-FR"/>
        </w:rPr>
        <w:t>La réalisation du Cadre passe nécessairement par la mobilisation d’acteurs autres que les gouvernements nationaux. L’approche faisant intervenir l’ensemble de la société peut être un moyen très efficace, inclusif et économique de renforcer la mise en œuvre. Plusieurs aspects ne sont pas encore pleinement reconnus, pris en compte et soutenus, ni systématiquement intégrés dans la planification, le suivi et l’établissement de rapports, à savoir les incidences des différents acteurs sur la biodiversité et leur dépendance à son égard, la participation, les droits et les besoins en ressources des peuples autochtones et communautés locales, des femmes, des jeunes et d’autres acteurs, et enfin la contribution que les uns et les autres apportent ou pourraient apporter au Cadre.</w:t>
      </w:r>
    </w:p>
    <w:p w14:paraId="3D54B127" w14:textId="77777777" w:rsidR="007A60EC" w:rsidRPr="00653BF4" w:rsidRDefault="007A60EC" w:rsidP="007A60EC">
      <w:pPr>
        <w:spacing w:before="120" w:after="120"/>
        <w:rPr>
          <w:rFonts w:ascii="Aptos" w:hAnsi="Aptos"/>
          <w:b/>
          <w:bCs/>
          <w:lang w:val="fr-FR"/>
        </w:rPr>
      </w:pPr>
    </w:p>
    <w:p w14:paraId="751CF663" w14:textId="77C50A29" w:rsidR="007A60EC" w:rsidRPr="00653BF4" w:rsidRDefault="007A60EC" w:rsidP="007A60EC">
      <w:pPr>
        <w:pStyle w:val="CBDNormalNoNumber"/>
        <w:spacing w:before="120" w:line="259" w:lineRule="auto"/>
        <w:ind w:left="0"/>
        <w:jc w:val="left"/>
        <w:rPr>
          <w:rFonts w:ascii="Aptos" w:eastAsia="Times New Roman" w:hAnsi="Aptos"/>
          <w:sz w:val="24"/>
          <w:szCs w:val="24"/>
          <w:lang w:val="fr-FR"/>
        </w:rPr>
      </w:pPr>
      <w:r w:rsidRPr="00653BF4">
        <w:rPr>
          <w:rFonts w:ascii="Aptos" w:eastAsia="Times New Roman" w:hAnsi="Aptos"/>
          <w:sz w:val="24"/>
          <w:szCs w:val="24"/>
          <w:lang w:val="fr-FR"/>
        </w:rPr>
        <w:t xml:space="preserve">Nombre d’acteurs autres que les gouvernements nationaux appuient actuellement la mise en œuvre du Cadre, notamment les peuples autochtones et communautés locales, les autorités infranationales, les municipalités et autres autorités locales, les organisations intergouvernementales, les organisations non gouvernementales, les femmes, les jeunes, les organismes de recherche, le monde des affaires et de la finance, et les représentants des secteurs qui ont un lien avec la biodiversité ou qui en dépendent. La participation des différents acteurs aux processus de planification nationale, plus ou moins importante selon les cas, est décrite dans bon nombre de stratégies et plans d’action nationaux pour la biodiversité, et plus de 100 acteurs autres que les gouvernements nationaux ont pris des engagements à l’appui du Cadre au moyen du portail lancé à cet effet. Les progrès ont été inégaux en ce qui concerne les droits et l’équité, la gouvernance équitable et la participation des détenteurs de droits et d’autres acteurs, les mesures prises par les entreprises, ainsi que la coordination et la mobilisation des acteurs autres que les gouvernements nationaux dans la mise en œuvre. Si de nombreuses Parties ont fait état de progrès dans la réalisation de certains éléments des cibles 22 et 23, par exemple l’association, à des degrés divers, des peuples autochtones et communautés locales, des femmes, des jeunes et d’autres acteurs à la prise de décisions relatives à la biodiversité, les cibles nationales ont accordé moins de place à l’accès à l’information et à la justice, aux droits sur les terres, les territoires, les ressources et les connaissances traditionnelles, ou encore à une gouvernance de la biodiversité tenant compte du genre. Comme il ressort de l’évaluation de la </w:t>
      </w:r>
      <w:r w:rsidR="00E34DC9">
        <w:rPr>
          <w:rFonts w:ascii="Aptos" w:eastAsia="Times New Roman" w:hAnsi="Aptos"/>
          <w:sz w:val="24"/>
          <w:szCs w:val="24"/>
          <w:lang w:val="fr-FR"/>
        </w:rPr>
        <w:t>cible 1</w:t>
      </w:r>
      <w:r w:rsidRPr="00653BF4">
        <w:rPr>
          <w:rFonts w:ascii="Aptos" w:eastAsia="Times New Roman" w:hAnsi="Aptos"/>
          <w:sz w:val="24"/>
          <w:szCs w:val="24"/>
          <w:lang w:val="fr-FR"/>
        </w:rPr>
        <w:t xml:space="preserve">5, les progrès ont été limités pour ce qui est de réduire les incidences négatives des entreprises sur la biodiversité, d’accroître les incidences positives, d’atténuer les risques liés à la biodiversité pour les entreprises et les </w:t>
      </w:r>
      <w:r w:rsidRPr="00653BF4">
        <w:rPr>
          <w:rFonts w:ascii="Aptos" w:eastAsia="Times New Roman" w:hAnsi="Aptos"/>
          <w:sz w:val="24"/>
          <w:szCs w:val="24"/>
          <w:lang w:val="fr-FR"/>
        </w:rPr>
        <w:lastRenderedPageBreak/>
        <w:t>institutions financières, d’encourager des mesures visant à garantir des modes de production et de consommation durables et équitables et d’élaborer des cadres de publication d’informations et d’établissement de rapports par les entreprises.</w:t>
      </w:r>
    </w:p>
    <w:p w14:paraId="73253045" w14:textId="77777777" w:rsidR="007A60EC" w:rsidRPr="00653BF4" w:rsidRDefault="007A60EC" w:rsidP="007A60EC">
      <w:pPr>
        <w:pStyle w:val="CBDNormalNoNumber"/>
        <w:spacing w:before="120" w:line="259" w:lineRule="auto"/>
        <w:ind w:left="0"/>
        <w:jc w:val="left"/>
        <w:rPr>
          <w:rFonts w:ascii="Aptos" w:eastAsia="Times New Roman" w:hAnsi="Aptos"/>
          <w:sz w:val="24"/>
          <w:szCs w:val="24"/>
          <w:lang w:val="fr-FR"/>
        </w:rPr>
      </w:pPr>
      <w:r w:rsidRPr="00653BF4">
        <w:rPr>
          <w:rFonts w:ascii="Aptos" w:eastAsia="Times New Roman" w:hAnsi="Aptos"/>
          <w:sz w:val="24"/>
          <w:szCs w:val="24"/>
          <w:lang w:val="fr-FR"/>
        </w:rPr>
        <w:t>De nombreuses Parties ont fait état de difficultés de coordination et de suivi des contributions des acteurs autres que les gouvernements nationaux à la réalisation de leurs cibles nationales. Les informations sur les contributions des différents acteurs sont limitées, tout comme celles qui portent sur les moyens financiers, les capacités et les autres moyens de mise en œuvre dont ces acteurs disposent. On dispose en outre de peu d’informations sur les moyens de mise en œuvre qui manqueraient aux peuples autochtones et communautés locales, aux femmes, aux jeunes et aux autorités infranationales pour soutenir ou accroître leurs contributions à la mise en œuvre du Cadre. Il convient de noter que ce manque d’informations peut s’expliquer par le fait que le portail destiné à recueillir des informations auprès de ces acteurs n’a été lancé que quelques mois avant l’élaboration du présent rapport.</w:t>
      </w:r>
    </w:p>
    <w:p w14:paraId="74B9AE17" w14:textId="045DCC07" w:rsidR="007A60EC" w:rsidRPr="00653BF4" w:rsidRDefault="007A60EC" w:rsidP="007A60EC">
      <w:pPr>
        <w:spacing w:before="120" w:after="120"/>
        <w:rPr>
          <w:rFonts w:ascii="Aptos" w:hAnsi="Aptos"/>
          <w:i/>
          <w:iCs/>
          <w:lang w:val="fr-FR"/>
        </w:rPr>
      </w:pPr>
      <w:r w:rsidRPr="00653BF4">
        <w:rPr>
          <w:rFonts w:ascii="Aptos" w:hAnsi="Aptos"/>
          <w:i/>
          <w:iCs/>
          <w:lang w:val="fr-FR"/>
        </w:rPr>
        <w:t>Approches non prescriptives possibles</w:t>
      </w:r>
      <w:r w:rsidR="00E34DC9">
        <w:rPr>
          <w:rFonts w:ascii="Aptos" w:hAnsi="Aptos"/>
          <w:i/>
          <w:iCs/>
          <w:lang w:val="fr-FR"/>
        </w:rPr>
        <w:t> :</w:t>
      </w:r>
      <w:r w:rsidRPr="00653BF4">
        <w:rPr>
          <w:rFonts w:ascii="Aptos" w:eastAsia="Times New Roman" w:hAnsi="Aptos"/>
          <w:i/>
          <w:iCs/>
          <w:lang w:val="fr-FR"/>
        </w:rPr>
        <w:t xml:space="preserve"> </w:t>
      </w:r>
    </w:p>
    <w:p w14:paraId="12589F45" w14:textId="77777777" w:rsidR="007A60EC" w:rsidRPr="00653BF4" w:rsidRDefault="007A60EC" w:rsidP="007A60EC">
      <w:pPr>
        <w:pStyle w:val="ListParagraph"/>
        <w:numPr>
          <w:ilvl w:val="0"/>
          <w:numId w:val="16"/>
        </w:numPr>
        <w:tabs>
          <w:tab w:val="left" w:pos="567"/>
        </w:tabs>
        <w:spacing w:before="120" w:after="120" w:line="240" w:lineRule="auto"/>
        <w:ind w:left="1134" w:hanging="567"/>
        <w:contextualSpacing w:val="0"/>
        <w:rPr>
          <w:rFonts w:ascii="Aptos" w:hAnsi="Aptos"/>
          <w:lang w:val="fr-FR"/>
        </w:rPr>
      </w:pPr>
      <w:r w:rsidRPr="00653BF4">
        <w:rPr>
          <w:rFonts w:ascii="Aptos" w:hAnsi="Aptos"/>
          <w:lang w:val="fr-FR"/>
        </w:rPr>
        <w:t>L’amélioration des mécanismes de communication, de coordination, de suivi et de mise en œuvre conjointe de mesures avec des acteurs autres que les gouvernements nationaux, y compris au moyen de plateformes multipartites, pourrait rendre la planification, la mise en œuvre, le suivi, l’établissement de rapports et l’examen plus cohérents et inclusifs.</w:t>
      </w:r>
    </w:p>
    <w:p w14:paraId="6CE2D7BB" w14:textId="77777777" w:rsidR="007A60EC" w:rsidRPr="00653BF4" w:rsidRDefault="007A60EC" w:rsidP="007A60EC">
      <w:pPr>
        <w:pStyle w:val="ListParagraph"/>
        <w:numPr>
          <w:ilvl w:val="0"/>
          <w:numId w:val="16"/>
        </w:numPr>
        <w:tabs>
          <w:tab w:val="left" w:pos="567"/>
        </w:tabs>
        <w:spacing w:before="120" w:after="120" w:line="240" w:lineRule="auto"/>
        <w:ind w:left="1134" w:hanging="567"/>
        <w:contextualSpacing w:val="0"/>
        <w:rPr>
          <w:rFonts w:ascii="Aptos" w:hAnsi="Aptos"/>
          <w:lang w:val="fr-FR"/>
        </w:rPr>
      </w:pPr>
      <w:r w:rsidRPr="00653BF4">
        <w:rPr>
          <w:rFonts w:ascii="Aptos" w:hAnsi="Aptos"/>
          <w:lang w:val="fr-FR"/>
        </w:rPr>
        <w:t xml:space="preserve">Des mécanismes permettant de mieux suivre, au niveau national, les engagements des acteurs autres que les gouvernements nationaux et les progrès qu’ils accomplissent pour les honorer pourraient améliorer la transparence et la coordination, ainsi que l’intégration. </w:t>
      </w:r>
      <w:r w:rsidRPr="00653BF4">
        <w:rPr>
          <w:lang w:val="fr-FR"/>
        </w:rPr>
        <w:t>Ces mécanismes pourraient notamment permettre de suivre les moyens de mise en œuvre dont disposent les différents acteurs, ou ceux dont certains d’entre eux ont besoin, comme les peuples autochtones et communautés locales, les femmes, les jeunes et les autorités infranationales.</w:t>
      </w:r>
    </w:p>
    <w:p w14:paraId="557B0D94" w14:textId="77777777" w:rsidR="007A60EC" w:rsidRPr="00653BF4" w:rsidRDefault="007A60EC" w:rsidP="007A60EC">
      <w:pPr>
        <w:pStyle w:val="ListParagraph"/>
        <w:numPr>
          <w:ilvl w:val="0"/>
          <w:numId w:val="16"/>
        </w:numPr>
        <w:tabs>
          <w:tab w:val="left" w:pos="567"/>
        </w:tabs>
        <w:spacing w:before="120" w:after="120" w:line="240" w:lineRule="auto"/>
        <w:ind w:left="1134" w:hanging="567"/>
        <w:contextualSpacing w:val="0"/>
        <w:rPr>
          <w:rFonts w:ascii="Aptos" w:hAnsi="Aptos"/>
          <w:lang w:val="fr-FR"/>
        </w:rPr>
      </w:pPr>
      <w:r w:rsidRPr="00653BF4">
        <w:rPr>
          <w:rFonts w:ascii="Aptos" w:hAnsi="Aptos"/>
          <w:lang w:val="fr-FR"/>
        </w:rPr>
        <w:t>Des conditions plus propices à l’action et à la responsabilisation des entreprises et des acteurs financiers pourraient favoriser la mise en œuvre du Cadre. Cela pourrait consister notamment à élaborer et à faire appliquer des politiques, des lois et des réglementations pertinentes, à encourager la publication d’informations et l’établissement de rapports sur la biodiversité, à intégrer des considérations relatives à la biodiversité dans la prise de décisions économiques et financières, et à inciter à agir dans tous les secteurs et toutes les chaînes de valeur qui ont des incidences importantes sur la biodiversité et en dépendent fortement.</w:t>
      </w:r>
    </w:p>
    <w:p w14:paraId="6CC4CF4A" w14:textId="77777777" w:rsidR="007A60EC" w:rsidRPr="00653BF4" w:rsidRDefault="007A60EC" w:rsidP="007A60EC">
      <w:pPr>
        <w:pStyle w:val="ListParagraph"/>
        <w:numPr>
          <w:ilvl w:val="0"/>
          <w:numId w:val="16"/>
        </w:numPr>
        <w:tabs>
          <w:tab w:val="left" w:pos="567"/>
        </w:tabs>
        <w:spacing w:before="120" w:after="120" w:line="240" w:lineRule="auto"/>
        <w:ind w:left="1134" w:hanging="567"/>
        <w:contextualSpacing w:val="0"/>
        <w:rPr>
          <w:rFonts w:ascii="Aptos" w:hAnsi="Aptos"/>
          <w:lang w:val="fr-FR"/>
        </w:rPr>
      </w:pPr>
      <w:r w:rsidRPr="00653BF4">
        <w:rPr>
          <w:rFonts w:ascii="Aptos" w:hAnsi="Aptos"/>
          <w:lang w:val="fr-FR"/>
        </w:rPr>
        <w:t xml:space="preserve">Un développement plus poussé d’approches inclusives, fondées sur les droits et tenant compte des jeunes et des questions de genre, pourrait contribuer à une mise en œuvre plus efficace du Cadre. Cela passe notamment par la </w:t>
      </w:r>
      <w:r w:rsidRPr="00653BF4">
        <w:rPr>
          <w:rFonts w:ascii="Aptos" w:hAnsi="Aptos"/>
          <w:lang w:val="fr-FR"/>
        </w:rPr>
        <w:lastRenderedPageBreak/>
        <w:t xml:space="preserve">reconnaissance des détenteurs de droits comme partenaires de la mise en œuvre et par la promotion d’une participation et d’une représentation pleines et entières, équitables, </w:t>
      </w:r>
      <w:r w:rsidRPr="00653BF4">
        <w:rPr>
          <w:lang w:val="fr-FR"/>
        </w:rPr>
        <w:t>inclusives, tenant compte du genre et efficaces des peuples autochtones</w:t>
      </w:r>
      <w:r w:rsidRPr="00653BF4">
        <w:rPr>
          <w:rFonts w:ascii="Aptos" w:hAnsi="Aptos"/>
          <w:lang w:val="fr-FR"/>
        </w:rPr>
        <w:t xml:space="preserve"> et communautés locales, des femmes, des jeunes, des personnes handicapées et d’autres parties prenantes concernées dans l’élaboration des politiques et la prise de décisions relatives à la biodiversité.</w:t>
      </w:r>
    </w:p>
    <w:p w14:paraId="555132A2" w14:textId="77777777" w:rsidR="007A60EC" w:rsidRPr="00653BF4" w:rsidRDefault="007A60EC" w:rsidP="007A60EC">
      <w:pPr>
        <w:pStyle w:val="ListParagraph"/>
        <w:tabs>
          <w:tab w:val="left" w:pos="567"/>
        </w:tabs>
        <w:spacing w:before="120" w:after="120" w:line="240" w:lineRule="auto"/>
        <w:ind w:left="1134"/>
        <w:contextualSpacing w:val="0"/>
        <w:rPr>
          <w:rFonts w:ascii="Aptos" w:eastAsia="Aptos" w:hAnsi="Aptos"/>
          <w:lang w:val="fr-FR"/>
        </w:rPr>
      </w:pPr>
    </w:p>
    <w:p w14:paraId="2710484B" w14:textId="5C7CAA17" w:rsidR="007A60EC" w:rsidRPr="00653BF4" w:rsidRDefault="007A60EC" w:rsidP="007A60EC">
      <w:pPr>
        <w:spacing w:before="120" w:after="120"/>
        <w:rPr>
          <w:rFonts w:ascii="Aptos" w:hAnsi="Aptos"/>
          <w:b/>
          <w:u w:val="single"/>
          <w:lang w:val="fr-FR"/>
        </w:rPr>
      </w:pPr>
      <w:r w:rsidRPr="00653BF4">
        <w:rPr>
          <w:rFonts w:ascii="Aptos" w:hAnsi="Aptos"/>
          <w:b/>
          <w:u w:val="single"/>
          <w:lang w:val="fr-FR"/>
        </w:rPr>
        <w:t>Message clé 6</w:t>
      </w:r>
      <w:r w:rsidR="00E34DC9">
        <w:rPr>
          <w:rFonts w:ascii="Aptos" w:hAnsi="Aptos"/>
          <w:b/>
          <w:u w:val="single"/>
          <w:lang w:val="fr-FR"/>
        </w:rPr>
        <w:t> :</w:t>
      </w:r>
      <w:r w:rsidRPr="00653BF4">
        <w:rPr>
          <w:rFonts w:ascii="Aptos" w:hAnsi="Aptos"/>
          <w:b/>
          <w:u w:val="single"/>
          <w:lang w:val="fr-FR"/>
        </w:rPr>
        <w:t xml:space="preserve"> Données et connaissances</w:t>
      </w:r>
    </w:p>
    <w:p w14:paraId="36B23E1D" w14:textId="77777777" w:rsidR="007A60EC" w:rsidRPr="00653BF4" w:rsidRDefault="007A60EC" w:rsidP="007A60EC">
      <w:pPr>
        <w:spacing w:before="120" w:after="120"/>
        <w:rPr>
          <w:rFonts w:ascii="Aptos" w:hAnsi="Aptos"/>
          <w:b/>
          <w:bCs/>
          <w:lang w:val="fr-FR"/>
        </w:rPr>
      </w:pPr>
      <w:r w:rsidRPr="00653BF4">
        <w:rPr>
          <w:rFonts w:ascii="Aptos" w:hAnsi="Aptos"/>
          <w:b/>
          <w:bCs/>
          <w:lang w:val="fr-FR"/>
        </w:rPr>
        <w:t>Les Parties ont accompli un travail considérable pour améliorer leurs systèmes nationaux de suivi et de gestion des connaissances, y compris des connaissances traditionnelles. D’importantes lacunes subsistent toutefois en matière de disponibilité et de partage des données, d’indicateurs adaptés et opérationnels, d’infrastructures existantes et de capacités techniques, ce qui limite les données, les informations et les connaissances disponibles pour la prise de décisions.</w:t>
      </w:r>
    </w:p>
    <w:p w14:paraId="6F05A258" w14:textId="69695BC9" w:rsidR="007A60EC" w:rsidRPr="00653BF4" w:rsidRDefault="007A60EC" w:rsidP="007A60EC">
      <w:pPr>
        <w:spacing w:after="80" w:line="259" w:lineRule="auto"/>
        <w:rPr>
          <w:rFonts w:ascii="Aptos" w:eastAsia="Times New Roman" w:hAnsi="Aptos" w:cs="Aptos"/>
          <w:kern w:val="0"/>
          <w:lang w:val="fr-FR"/>
          <w14:ligatures w14:val="none"/>
        </w:rPr>
      </w:pPr>
      <w:r w:rsidRPr="00653BF4">
        <w:rPr>
          <w:rFonts w:ascii="Aptos" w:eastAsia="Times New Roman" w:hAnsi="Aptos" w:cs="Aptos"/>
          <w:kern w:val="0"/>
          <w:lang w:val="fr-FR"/>
          <w14:ligatures w14:val="none"/>
        </w:rPr>
        <w:t xml:space="preserve">De nombreuses Parties disposent de données quantitatives pour suivre les </w:t>
      </w:r>
      <w:r w:rsidR="002878D7">
        <w:rPr>
          <w:rFonts w:ascii="Aptos" w:eastAsia="Times New Roman" w:hAnsi="Aptos" w:cs="Aptos"/>
          <w:kern w:val="0"/>
          <w:lang w:val="fr-FR"/>
          <w14:ligatures w14:val="none"/>
        </w:rPr>
        <w:t>cibles 1</w:t>
      </w:r>
      <w:r w:rsidRPr="00653BF4">
        <w:rPr>
          <w:rFonts w:ascii="Aptos" w:eastAsia="Times New Roman" w:hAnsi="Aptos" w:cs="Aptos"/>
          <w:kern w:val="0"/>
          <w:lang w:val="fr-FR"/>
          <w14:ligatures w14:val="none"/>
        </w:rPr>
        <w:t xml:space="preserve">, 2, 3, 4 et 10, mais les informations communiquées sur les autres cibles étaient inégales et présentaient parfois d’importantes lacunes. Les Parties ont puisé leurs informations auprès d’organismes publics, d’institutions scientifiques, des peuples autochtones et communautés locales, de la société civile et de sources internationales, et ont progressé dans la réalisation de la </w:t>
      </w:r>
      <w:r w:rsidR="00E34DC9">
        <w:rPr>
          <w:rFonts w:ascii="Aptos" w:eastAsia="Times New Roman" w:hAnsi="Aptos" w:cs="Aptos"/>
          <w:kern w:val="0"/>
          <w:lang w:val="fr-FR"/>
          <w14:ligatures w14:val="none"/>
        </w:rPr>
        <w:t>cible 2</w:t>
      </w:r>
      <w:r w:rsidRPr="00653BF4">
        <w:rPr>
          <w:rFonts w:ascii="Aptos" w:eastAsia="Times New Roman" w:hAnsi="Aptos" w:cs="Aptos"/>
          <w:kern w:val="0"/>
          <w:lang w:val="fr-FR"/>
          <w14:ligatures w14:val="none"/>
        </w:rPr>
        <w:t>1. Les Parties communiquent davantage de données quantitatives sur certains écosystèmes et sur les cibles relatives à la restauration, aux zones protégées et conservées, au statut des espèces et aux systèmes de production que sur les cibles portant sur des questions socioéconomiques et transversales. Les informations qualitatives sur les éléments des cibles sont elles aussi inégales. Aucune Partie n’a rendu compte de l’ensemble des indicateurs phares, et la méthode de calcul de deux d’entre eux n’est pas opérationnelle. Pour la plupart des indicateurs, les données communiquées ne permettent pas d’établir des séries chronologiques comparables et sont rarement ventilées par type d’écosystème, sexe, âge, lien avec les peuples autochtones et communautés locales ou autre caractéristique pertinente. Les indicateurs phares les plus récents ont été particulièrement difficiles à renseigner de façon cohérente, et donc à compiler.</w:t>
      </w:r>
    </w:p>
    <w:p w14:paraId="4631F292" w14:textId="77777777" w:rsidR="007A60EC" w:rsidRPr="00653BF4" w:rsidRDefault="007A60EC" w:rsidP="007A60EC">
      <w:pPr>
        <w:spacing w:after="80" w:line="259" w:lineRule="auto"/>
        <w:rPr>
          <w:rFonts w:ascii="Aptos" w:hAnsi="Aptos"/>
          <w:lang w:val="fr-FR"/>
        </w:rPr>
      </w:pPr>
      <w:r w:rsidRPr="00653BF4">
        <w:rPr>
          <w:rFonts w:ascii="Aptos" w:eastAsia="Times New Roman" w:hAnsi="Aptos" w:cs="Aptos"/>
          <w:kern w:val="0"/>
          <w:lang w:val="fr-FR"/>
          <w14:ligatures w14:val="none"/>
        </w:rPr>
        <w:t xml:space="preserve">Les difficultés liées aux données et aux connaissances tiennent notamment au manque de clarté des méthodes applicables à certains indicateurs, y compris des indicateurs phares, aux problèmes de disponibilité des données et d’accès à celles-ci, à la fragmentation des données entre institutions et plateformes, à l’insuffisance des infrastructures techniques et technologiques, à la complexité des systèmes statistiques nationaux, à l’absence de financements stables et fiables, à la faiblesse des capacités humaines, à l’insuffisance de la coordination institutionnelle et de la gouvernance des données, ainsi qu’à la difficulté d’intégrer au suivi les informations d’origine communautaire et les connaissances </w:t>
      </w:r>
      <w:r w:rsidRPr="00653BF4">
        <w:rPr>
          <w:rFonts w:ascii="Aptos" w:eastAsia="Times New Roman" w:hAnsi="Aptos" w:cs="Aptos"/>
          <w:kern w:val="0"/>
          <w:lang w:val="fr-FR"/>
          <w14:ligatures w14:val="none"/>
        </w:rPr>
        <w:lastRenderedPageBreak/>
        <w:t>traditionnelles, sous réserve, pour ces dernières, du consentement préalable, donné librement et en connaissance de cause. Les indicateurs phares étant censés à la fois orienter la mise en œuvre et mesurer les progrès, il se pourrait donc que les Parties ne disposent pas des informations dont elles ont besoin pour mettre en œuvre le Cadre, ce qui ralentit encore les progrès</w:t>
      </w:r>
      <w:r w:rsidRPr="00653BF4">
        <w:rPr>
          <w:rFonts w:ascii="Aptos" w:hAnsi="Aptos"/>
          <w:lang w:val="fr-FR"/>
        </w:rPr>
        <w:t>.</w:t>
      </w:r>
    </w:p>
    <w:p w14:paraId="05339466" w14:textId="57F36E1D" w:rsidR="007A60EC" w:rsidRPr="00653BF4" w:rsidRDefault="007A60EC" w:rsidP="007A60EC">
      <w:pPr>
        <w:spacing w:before="120" w:after="120"/>
        <w:ind w:left="567"/>
        <w:rPr>
          <w:rFonts w:ascii="Aptos" w:hAnsi="Aptos"/>
          <w:lang w:val="fr-FR"/>
        </w:rPr>
      </w:pPr>
      <w:r w:rsidRPr="00653BF4">
        <w:rPr>
          <w:rFonts w:ascii="Aptos" w:eastAsia="Times New Roman" w:hAnsi="Aptos"/>
          <w:i/>
          <w:iCs/>
          <w:lang w:val="fr-FR"/>
        </w:rPr>
        <w:t>Approches non prescriptives possibles</w:t>
      </w:r>
      <w:r w:rsidR="00E34DC9">
        <w:rPr>
          <w:rFonts w:ascii="Aptos" w:eastAsia="Times New Roman" w:hAnsi="Aptos"/>
          <w:i/>
          <w:iCs/>
          <w:lang w:val="fr-FR"/>
        </w:rPr>
        <w:t> :</w:t>
      </w:r>
      <w:r w:rsidRPr="00653BF4">
        <w:rPr>
          <w:rFonts w:ascii="Aptos" w:eastAsia="Times New Roman" w:hAnsi="Aptos"/>
          <w:i/>
          <w:iCs/>
          <w:lang w:val="fr-FR"/>
        </w:rPr>
        <w:t xml:space="preserve"> </w:t>
      </w:r>
    </w:p>
    <w:p w14:paraId="26D0B9DD" w14:textId="77777777" w:rsidR="007A60EC" w:rsidRPr="00653BF4" w:rsidRDefault="007A60EC" w:rsidP="007A60EC">
      <w:pPr>
        <w:pStyle w:val="ListParagraph"/>
        <w:numPr>
          <w:ilvl w:val="0"/>
          <w:numId w:val="16"/>
        </w:numPr>
        <w:tabs>
          <w:tab w:val="left" w:pos="567"/>
        </w:tabs>
        <w:spacing w:before="120" w:after="120" w:line="240" w:lineRule="auto"/>
        <w:ind w:left="1134" w:hanging="567"/>
        <w:contextualSpacing w:val="0"/>
        <w:rPr>
          <w:rFonts w:ascii="Aptos" w:eastAsia="Aptos" w:hAnsi="Aptos"/>
          <w:lang w:val="fr-FR"/>
        </w:rPr>
      </w:pPr>
      <w:r w:rsidRPr="00653BF4">
        <w:rPr>
          <w:rFonts w:ascii="Aptos" w:eastAsia="Aptos" w:hAnsi="Aptos"/>
          <w:lang w:val="fr-FR"/>
        </w:rPr>
        <w:t xml:space="preserve">Des investissements dans les données, le suivi et les multiples systèmes de connaissances, y compris l’appui aux infrastructures numériques, aux centres d’échange nationaux ou à d’autres systèmes nationaux de gestion de l’information, seraient essentiels pour assurer l’efficacité de la mise en œuvre nationale, de l’établissement de rapports et de la prise de décisions aux niveaux national, infranational et mondial. </w:t>
      </w:r>
      <w:r w:rsidRPr="00653BF4">
        <w:rPr>
          <w:lang w:val="fr-FR"/>
        </w:rPr>
        <w:t>Cela supposerait notamment de recenser les possibilités de renforcer les moyens de mise en œuvre dont disposent les pays en développement Parties, afin d’appuyer la mise en place de systèmes nationaux de suivi et de systèmes statistiques.</w:t>
      </w:r>
    </w:p>
    <w:p w14:paraId="30771E97" w14:textId="77777777" w:rsidR="007A60EC" w:rsidRPr="00653BF4" w:rsidRDefault="007A60EC" w:rsidP="007A60EC">
      <w:pPr>
        <w:pStyle w:val="ListParagraph"/>
        <w:numPr>
          <w:ilvl w:val="0"/>
          <w:numId w:val="16"/>
        </w:numPr>
        <w:tabs>
          <w:tab w:val="left" w:pos="567"/>
        </w:tabs>
        <w:spacing w:before="120" w:after="120" w:line="240" w:lineRule="auto"/>
        <w:ind w:left="1134" w:hanging="567"/>
        <w:contextualSpacing w:val="0"/>
        <w:rPr>
          <w:rFonts w:ascii="Aptos" w:eastAsia="Aptos" w:hAnsi="Aptos"/>
          <w:lang w:val="fr-FR"/>
        </w:rPr>
      </w:pPr>
      <w:r w:rsidRPr="00653BF4">
        <w:rPr>
          <w:rFonts w:ascii="Aptos" w:eastAsia="Aptos" w:hAnsi="Aptos"/>
          <w:lang w:val="fr-FR"/>
        </w:rPr>
        <w:t>Il pourrait être utile aux Parties de recenser les domaines prioritaires où les investissements dans le suivi, l’analyse des données et les systèmes de gestion des connaissances sont les plus nécessaires pour étayer la mise en œuvre du Cadre et l’établissement de rapports sur celui-ci. Cela suppose notamment de reconnaître qu’il est utile, pour éclairer la prise de décisions, de disposer d’informations ventilées par type d’écosystème, groupe taxonomique, secteur, sexe, âge, lien avec les peuples autochtones et communautés locales et autres caractéristiques pertinentes, et d’élaborer des cartes nationales des écosystèmes.</w:t>
      </w:r>
    </w:p>
    <w:p w14:paraId="64DD4F62" w14:textId="77777777" w:rsidR="007A60EC" w:rsidRPr="00653BF4" w:rsidRDefault="007A60EC" w:rsidP="007A60EC">
      <w:pPr>
        <w:pStyle w:val="ListParagraph"/>
        <w:numPr>
          <w:ilvl w:val="0"/>
          <w:numId w:val="16"/>
        </w:numPr>
        <w:tabs>
          <w:tab w:val="left" w:pos="567"/>
        </w:tabs>
        <w:spacing w:before="120" w:after="120" w:line="240" w:lineRule="auto"/>
        <w:ind w:left="1134" w:hanging="567"/>
        <w:contextualSpacing w:val="0"/>
        <w:rPr>
          <w:rFonts w:ascii="Aptos" w:eastAsia="Aptos" w:hAnsi="Aptos"/>
          <w:lang w:val="fr-FR"/>
        </w:rPr>
      </w:pPr>
      <w:r w:rsidRPr="00653BF4">
        <w:rPr>
          <w:lang w:val="fr-FR"/>
        </w:rPr>
        <w:t>L’apprentissage entre pairs, la création de capacités et un appui technique ciblé, y compris aux niveaux régional et sous-régional et avec la participation d’acteurs autres que les gouvernements nationaux, pourraient être organisés, par exemple, par l’intermédiaire des centres d’appui à la coopération technique et scientifique</w:t>
      </w:r>
      <w:r w:rsidRPr="00653BF4">
        <w:rPr>
          <w:rFonts w:ascii="Aptos" w:eastAsia="Aptos" w:hAnsi="Aptos"/>
          <w:lang w:val="fr-FR"/>
        </w:rPr>
        <w:t>.</w:t>
      </w:r>
    </w:p>
    <w:p w14:paraId="193B5C36" w14:textId="77777777" w:rsidR="007A60EC" w:rsidRPr="00653BF4" w:rsidRDefault="007A60EC" w:rsidP="007A60EC">
      <w:pPr>
        <w:pStyle w:val="ListParagraph"/>
        <w:numPr>
          <w:ilvl w:val="0"/>
          <w:numId w:val="16"/>
        </w:numPr>
        <w:tabs>
          <w:tab w:val="left" w:pos="567"/>
        </w:tabs>
        <w:spacing w:before="120" w:after="120" w:line="240" w:lineRule="auto"/>
        <w:ind w:left="1134" w:hanging="567"/>
        <w:contextualSpacing w:val="0"/>
        <w:rPr>
          <w:rFonts w:ascii="Aptos" w:eastAsia="Aptos" w:hAnsi="Aptos"/>
          <w:lang w:val="fr-FR"/>
        </w:rPr>
      </w:pPr>
      <w:r w:rsidRPr="00653BF4">
        <w:rPr>
          <w:lang w:val="fr-FR"/>
        </w:rPr>
        <w:t>La coordination de la recherche et les investissements dans ce domaine pourraient cibler les lacunes de connaissances recensées dans les rapports nationaux, notamment celles qui touchent les pays en développement ainsi que les écosystèmes, régions, groupes sociaux et systèmes de connaissances sous-représentés</w:t>
      </w:r>
      <w:r w:rsidRPr="00653BF4">
        <w:rPr>
          <w:rFonts w:ascii="Aptos" w:eastAsia="Aptos" w:hAnsi="Aptos"/>
          <w:lang w:val="fr-FR"/>
        </w:rPr>
        <w:t>.</w:t>
      </w:r>
    </w:p>
    <w:p w14:paraId="154D55E4" w14:textId="77777777" w:rsidR="007A60EC" w:rsidRPr="00653BF4" w:rsidRDefault="007A60EC" w:rsidP="007A60EC">
      <w:pPr>
        <w:pStyle w:val="ListParagraph"/>
        <w:numPr>
          <w:ilvl w:val="0"/>
          <w:numId w:val="16"/>
        </w:numPr>
        <w:tabs>
          <w:tab w:val="left" w:pos="567"/>
        </w:tabs>
        <w:spacing w:before="120" w:after="120" w:line="240" w:lineRule="auto"/>
        <w:ind w:left="1134" w:hanging="567"/>
        <w:contextualSpacing w:val="0"/>
        <w:rPr>
          <w:rFonts w:ascii="Aptos" w:eastAsia="Aptos" w:hAnsi="Aptos"/>
          <w:lang w:val="fr-FR"/>
        </w:rPr>
      </w:pPr>
      <w:r w:rsidRPr="00653BF4">
        <w:rPr>
          <w:lang w:val="fr-FR"/>
        </w:rPr>
        <w:t xml:space="preserve">Les processus de mobilisation des peuples autochtones et communautés locales, des femmes, des jeunes et d’autres détenteurs de connaissances, notamment en tirant parti des initiatives de suivi communautaire, pourraient être élaborés conjointement avec ces acteurs et prévoir des garanties appropriées ainsi que des mécanismes de reconnaissance et de consentement préalable, donné librement et en connaissance de cause. De tels processus </w:t>
      </w:r>
      <w:r w:rsidRPr="00653BF4">
        <w:rPr>
          <w:lang w:val="fr-FR"/>
        </w:rPr>
        <w:lastRenderedPageBreak/>
        <w:t>pourraient viser à améliorer les fonctionnalités du portail permettant aux acteurs autres que les gouvernements nationaux de communiquer leurs engagements et à en encourager l’utilisation</w:t>
      </w:r>
      <w:r w:rsidRPr="00653BF4">
        <w:rPr>
          <w:rFonts w:ascii="Aptos" w:eastAsia="Aptos" w:hAnsi="Aptos"/>
          <w:lang w:val="fr-FR"/>
        </w:rPr>
        <w:t>.</w:t>
      </w:r>
    </w:p>
    <w:p w14:paraId="52E4D03D" w14:textId="77777777" w:rsidR="007A60EC" w:rsidRPr="00653BF4" w:rsidRDefault="007A60EC" w:rsidP="007A60EC">
      <w:pPr>
        <w:pStyle w:val="ListParagraph"/>
        <w:numPr>
          <w:ilvl w:val="0"/>
          <w:numId w:val="16"/>
        </w:numPr>
        <w:tabs>
          <w:tab w:val="left" w:pos="567"/>
        </w:tabs>
        <w:spacing w:before="120" w:after="120" w:line="240" w:lineRule="auto"/>
        <w:ind w:left="1134" w:hanging="567"/>
        <w:contextualSpacing w:val="0"/>
        <w:rPr>
          <w:lang w:val="fr-FR"/>
        </w:rPr>
      </w:pPr>
      <w:r w:rsidRPr="00653BF4">
        <w:rPr>
          <w:lang w:val="fr-FR"/>
        </w:rPr>
        <w:t>La cohérence et la transparence seraient meilleures si les systèmes de suivi et de données utilisés par les entreprises et les institutions financières dans leurs cadres de publication d’informations étaient alignés sur ceux des gouvernements, y compris sur les indicateurs employés dans les rapports nationaux.</w:t>
      </w:r>
    </w:p>
    <w:p w14:paraId="2F1587C8" w14:textId="77777777" w:rsidR="007A60EC" w:rsidRPr="00653BF4" w:rsidRDefault="007A60EC" w:rsidP="007A60EC">
      <w:pPr>
        <w:pStyle w:val="ListParagraph"/>
        <w:tabs>
          <w:tab w:val="left" w:pos="567"/>
        </w:tabs>
        <w:spacing w:before="120" w:after="120" w:line="240" w:lineRule="auto"/>
        <w:ind w:left="1134"/>
        <w:contextualSpacing w:val="0"/>
        <w:rPr>
          <w:rFonts w:ascii="Aptos" w:eastAsia="Times New Roman" w:hAnsi="Aptos"/>
          <w:color w:val="000000"/>
          <w:lang w:val="fr-FR"/>
        </w:rPr>
      </w:pPr>
    </w:p>
    <w:p w14:paraId="6806D267" w14:textId="77777777" w:rsidR="007A60EC" w:rsidRPr="00653BF4" w:rsidRDefault="007A60EC" w:rsidP="007A60EC">
      <w:pPr>
        <w:pStyle w:val="CBDH2"/>
        <w:ind w:left="0" w:firstLine="0"/>
        <w:jc w:val="left"/>
        <w:rPr>
          <w:rFonts w:ascii="Aptos" w:hAnsi="Aptos"/>
          <w:b w:val="0"/>
          <w:bCs/>
          <w:szCs w:val="24"/>
          <w:lang w:val="fr-FR"/>
        </w:rPr>
      </w:pPr>
      <w:bookmarkStart w:id="560" w:name="_Toc231329552"/>
    </w:p>
    <w:p w14:paraId="68C2B5F2" w14:textId="77777777" w:rsidR="007A60EC" w:rsidRPr="00653BF4" w:rsidRDefault="007A60EC" w:rsidP="007A60EC">
      <w:pPr>
        <w:pStyle w:val="Caption"/>
        <w:keepNext/>
        <w:rPr>
          <w:lang w:val="fr-FR"/>
        </w:rPr>
      </w:pPr>
    </w:p>
    <w:tbl>
      <w:tblPr>
        <w:tblStyle w:val="TableGrid"/>
        <w:tblW w:w="0" w:type="auto"/>
        <w:tblInd w:w="567" w:type="dxa"/>
        <w:tblLook w:val="04A0" w:firstRow="1" w:lastRow="0" w:firstColumn="1" w:lastColumn="0" w:noHBand="0" w:noVBand="1"/>
      </w:tblPr>
      <w:tblGrid>
        <w:gridCol w:w="8783"/>
      </w:tblGrid>
      <w:tr w:rsidR="007A60EC" w:rsidRPr="00543148" w14:paraId="71B15F37" w14:textId="77777777" w:rsidTr="00557FB3">
        <w:tc>
          <w:tcPr>
            <w:tcW w:w="9350" w:type="dxa"/>
            <w:shd w:val="clear" w:color="auto" w:fill="E8E8E8" w:themeFill="background2"/>
          </w:tcPr>
          <w:p w14:paraId="10CB00C6" w14:textId="77777777" w:rsidR="007A60EC" w:rsidRPr="00653BF4" w:rsidRDefault="007A60EC" w:rsidP="00557FB3">
            <w:pPr>
              <w:pStyle w:val="CBDH2"/>
              <w:jc w:val="left"/>
              <w:rPr>
                <w:rFonts w:asciiTheme="minorHAnsi" w:hAnsiTheme="minorHAnsi"/>
                <w:b w:val="0"/>
                <w:bCs/>
                <w:sz w:val="20"/>
                <w:szCs w:val="20"/>
                <w:lang w:val="fr-FR"/>
              </w:rPr>
            </w:pPr>
          </w:p>
          <w:p w14:paraId="56E96912" w14:textId="77777777" w:rsidR="007A60EC" w:rsidRPr="00653BF4" w:rsidRDefault="007A60EC" w:rsidP="00557FB3">
            <w:pPr>
              <w:pStyle w:val="CBDH2"/>
              <w:jc w:val="left"/>
              <w:rPr>
                <w:rFonts w:asciiTheme="minorHAnsi" w:hAnsiTheme="minorHAnsi"/>
                <w:b w:val="0"/>
                <w:bCs/>
                <w:sz w:val="20"/>
                <w:szCs w:val="20"/>
                <w:lang w:val="fr-FR"/>
              </w:rPr>
            </w:pPr>
            <w:bookmarkStart w:id="561" w:name="_Ref239059247"/>
            <w:r w:rsidRPr="00653BF4">
              <w:rPr>
                <w:rFonts w:asciiTheme="minorHAnsi" w:hAnsiTheme="minorHAnsi"/>
                <w:b w:val="0"/>
                <w:bCs/>
                <w:sz w:val="20"/>
                <w:szCs w:val="20"/>
                <w:lang w:val="fr-FR"/>
              </w:rPr>
              <w:t xml:space="preserve">Encadré </w:t>
            </w:r>
            <w:r w:rsidRPr="00653BF4">
              <w:rPr>
                <w:rFonts w:asciiTheme="minorHAnsi" w:hAnsiTheme="minorHAnsi"/>
                <w:b w:val="0"/>
                <w:bCs/>
                <w:noProof/>
                <w:sz w:val="20"/>
                <w:szCs w:val="20"/>
                <w:lang w:val="fr-FR"/>
              </w:rPr>
              <w:t>59</w:t>
            </w:r>
            <w:bookmarkEnd w:id="561"/>
          </w:p>
          <w:p w14:paraId="5370B9C5" w14:textId="77777777" w:rsidR="007A60EC" w:rsidRPr="00653BF4" w:rsidRDefault="007A60EC" w:rsidP="00557FB3">
            <w:pPr>
              <w:pStyle w:val="CBDH2"/>
              <w:jc w:val="left"/>
              <w:rPr>
                <w:rFonts w:ascii="Aptos" w:hAnsi="Aptos"/>
                <w:sz w:val="20"/>
                <w:szCs w:val="20"/>
                <w:lang w:val="fr-FR"/>
              </w:rPr>
            </w:pPr>
            <w:r w:rsidRPr="00653BF4">
              <w:rPr>
                <w:rFonts w:ascii="Aptos" w:hAnsi="Aptos"/>
                <w:sz w:val="20"/>
                <w:szCs w:val="20"/>
                <w:lang w:val="fr-FR"/>
              </w:rPr>
              <w:t>Conclusions relatives à l’élaboration du présent rapport</w:t>
            </w:r>
          </w:p>
          <w:p w14:paraId="2693996D" w14:textId="77777777" w:rsidR="007A60EC" w:rsidRPr="00653BF4" w:rsidRDefault="007A60EC" w:rsidP="00557FB3">
            <w:pPr>
              <w:pStyle w:val="CBDNormalNoNumber"/>
              <w:spacing w:before="120"/>
              <w:ind w:left="0"/>
              <w:jc w:val="left"/>
              <w:rPr>
                <w:rFonts w:ascii="Aptos" w:eastAsia="Times New Roman" w:hAnsi="Aptos"/>
                <w:sz w:val="20"/>
                <w:szCs w:val="20"/>
                <w:lang w:val="fr-FR"/>
              </w:rPr>
            </w:pPr>
            <w:r w:rsidRPr="00653BF4">
              <w:rPr>
                <w:rFonts w:ascii="Aptos" w:eastAsia="Times New Roman" w:hAnsi="Aptos"/>
                <w:sz w:val="20"/>
                <w:szCs w:val="20"/>
                <w:lang w:val="fr-FR"/>
              </w:rPr>
              <w:t>L’actualisation des SPANB, la communication des cibles nationales, l’élaboration des septièmes rapports nationaux et la préparation du présent rapport mondial, le premier consacré aux progrès collectifs accomplis dans la mise en œuvre du Cadre mondial de la biodiversité de Kunming-Montréal, ont été les premières occasions d’appliquer l’approche multidimensionnelle renforcée de la planification, du suivi, de l’établissement de rapports et de l’examen, cadre de suivi compris, que la Conférence des Parties a adoptée à ses quinzième et seizième réunions pour répondre à l’exigence de transparence et de responsabilité dans la mise en œuvre du Cadre. Le rapport mondial n’a pas pour objet d’évaluer le mécanisme de planification, de suivi, d’établissement de rapports et d’examen, mais sa préparation a permis de tirer plusieurs enseignements sur le fonctionnement de ces mécanismes.</w:t>
            </w:r>
          </w:p>
          <w:p w14:paraId="0771C2CB" w14:textId="3CEB4877" w:rsidR="007A60EC" w:rsidRPr="00653BF4" w:rsidRDefault="007A60EC" w:rsidP="00557FB3">
            <w:pPr>
              <w:pStyle w:val="CBDNormalNoNumber"/>
              <w:spacing w:before="120"/>
              <w:ind w:left="0"/>
              <w:jc w:val="left"/>
              <w:rPr>
                <w:rFonts w:ascii="Aptos" w:eastAsia="Times New Roman" w:hAnsi="Aptos"/>
                <w:sz w:val="20"/>
                <w:szCs w:val="20"/>
                <w:lang w:val="fr-FR"/>
              </w:rPr>
            </w:pPr>
            <w:r w:rsidRPr="00653BF4">
              <w:rPr>
                <w:rFonts w:ascii="Aptos" w:eastAsia="Times New Roman" w:hAnsi="Aptos"/>
                <w:sz w:val="20"/>
                <w:szCs w:val="20"/>
                <w:lang w:val="fr-FR"/>
              </w:rPr>
              <w:t>D’après les informations analysées dans le présent rapport, les mécanismes de planification, de suivi, d’établissement de rapports et d’examen relatifs au Cadre offrent une base solide pour la transparence, la responsabilisation et l’évaluation des progrès collectifs, tout en laissant aux Parties la latitude de les utiliser en fonction de leur situation nationale. Toutes les Parties qui ont présenté un rapport y ont inclus des données sur au moins un indicateur du cadre de suivi adopté. Selon l’indicateur phare, la proportion de Parties ayant communiqué des données va de 7</w:t>
            </w:r>
            <w:r w:rsidR="002878D7">
              <w:rPr>
                <w:rFonts w:ascii="Aptos" w:eastAsia="Times New Roman" w:hAnsi="Aptos"/>
                <w:sz w:val="20"/>
                <w:szCs w:val="20"/>
                <w:lang w:val="fr-FR"/>
              </w:rPr>
              <w:t> %</w:t>
            </w:r>
            <w:r w:rsidRPr="00653BF4">
              <w:rPr>
                <w:rFonts w:ascii="Aptos" w:eastAsia="Times New Roman" w:hAnsi="Aptos"/>
                <w:sz w:val="20"/>
                <w:szCs w:val="20"/>
                <w:lang w:val="fr-FR"/>
              </w:rPr>
              <w:t xml:space="preserve"> à 78</w:t>
            </w:r>
            <w:r w:rsidR="002878D7">
              <w:rPr>
                <w:rFonts w:ascii="Aptos" w:eastAsia="Times New Roman" w:hAnsi="Aptos"/>
                <w:sz w:val="20"/>
                <w:szCs w:val="20"/>
                <w:lang w:val="fr-FR"/>
              </w:rPr>
              <w:t> %</w:t>
            </w:r>
            <w:r w:rsidRPr="00653BF4">
              <w:rPr>
                <w:rFonts w:ascii="Aptos" w:eastAsia="Times New Roman" w:hAnsi="Aptos"/>
                <w:sz w:val="20"/>
                <w:szCs w:val="20"/>
                <w:lang w:val="fr-FR"/>
              </w:rPr>
              <w:t>. De bonnes bases ont été posées, mais les données sur les indicateurs phares ne sont pas encore suffisamment représentatives ni cohérentes pour que l’on puisse tirer des conclusions fermes sur les progrès collectifs. Les autres indicateurs nationaux communiqués apportent des informations complémentaires précieuses, mais la diversité des types d’indicateurs et des thèmes traités rend difficile l’évaluation des tendances collectives.</w:t>
            </w:r>
          </w:p>
          <w:p w14:paraId="324A9135" w14:textId="77777777" w:rsidR="007A60EC" w:rsidRPr="00653BF4" w:rsidRDefault="007A60EC" w:rsidP="00557FB3">
            <w:pPr>
              <w:spacing w:before="120" w:after="120"/>
              <w:rPr>
                <w:rFonts w:ascii="Aptos" w:eastAsia="Times New Roman" w:hAnsi="Aptos"/>
                <w:sz w:val="20"/>
                <w:szCs w:val="20"/>
                <w:lang w:val="fr-FR"/>
              </w:rPr>
            </w:pPr>
            <w:r w:rsidRPr="00653BF4">
              <w:rPr>
                <w:rFonts w:ascii="Aptos" w:eastAsia="Times New Roman" w:hAnsi="Aptos"/>
                <w:sz w:val="20"/>
                <w:szCs w:val="20"/>
                <w:lang w:val="fr-FR"/>
              </w:rPr>
              <w:t>La normalisation des rapports, qu’ils émanent des Parties ou des acteurs autres que les gouvernements nationaux, a permis de mieux évaluer les progrès collectifs à l’échelle mondiale. Les informations recueillies et les orientations relatives à l’établissement des rapports présentent toutefois des lacunes, notamment en ce qui concerne l’utilisation des indicateurs, les informations relatives à la section C du Cadre et les informations sur les progrès accomplis par les acteurs autres que les gouvernements nationaux, qui figurent à la fois dans les rapports nationaux et dans les engagements de ces acteurs. Des orientations supplémentaires sont en outre nécessaires sur la méthode et le calendrier à suivre pour compléter les informations communiquées par les Parties au moyen d’évaluations scientifiques, notamment des travaux de la Plateforme intergouvernementale scientifique et politique sur la biodiversité et les services écosystémiques (IPBES), de sources de données mondiales et des publications pertinentes, en particulier dans la perspective de la deuxième évaluation mondiale de l’IPBES. Des orientations sont également nécessaires pour déterminer comment les lacunes dans les connaissances mises en évidence par les rapports nationaux et par le rapport mondial pourraient guider les futurs investissements dans la recherche et le suivi, ainsi que dans la mise au point d’outils et la réalisation d’évaluations.</w:t>
            </w:r>
          </w:p>
        </w:tc>
      </w:tr>
      <w:bookmarkEnd w:id="560"/>
    </w:tbl>
    <w:p w14:paraId="3C9EAD54" w14:textId="77777777" w:rsidR="007A60EC" w:rsidRPr="00653BF4" w:rsidRDefault="007A60EC" w:rsidP="007A60EC">
      <w:pPr>
        <w:rPr>
          <w:rFonts w:asciiTheme="majorHAnsi" w:eastAsiaTheme="majorEastAsia" w:hAnsiTheme="majorHAnsi" w:cstheme="majorBidi"/>
          <w:color w:val="0F4761" w:themeColor="accent1" w:themeShade="BF"/>
          <w:sz w:val="40"/>
          <w:szCs w:val="40"/>
          <w:lang w:val="fr-FR"/>
        </w:rPr>
      </w:pPr>
    </w:p>
    <w:p w14:paraId="2E6C3C2B" w14:textId="77777777" w:rsidR="007A60EC" w:rsidRPr="00653BF4" w:rsidRDefault="007A60EC" w:rsidP="007A60EC">
      <w:pPr>
        <w:pStyle w:val="Heading1"/>
        <w:rPr>
          <w:lang w:val="fr-FR"/>
        </w:rPr>
      </w:pPr>
      <w:bookmarkStart w:id="562" w:name="_Toc235821391"/>
      <w:bookmarkStart w:id="563" w:name="_Toc239069259"/>
      <w:bookmarkStart w:id="564" w:name="_Toc206313170"/>
      <w:bookmarkStart w:id="565" w:name="_Toc242801296"/>
      <w:r w:rsidRPr="00653BF4">
        <w:rPr>
          <w:lang w:val="fr-FR"/>
        </w:rPr>
        <w:t>Bibliograph</w:t>
      </w:r>
      <w:bookmarkEnd w:id="562"/>
      <w:bookmarkEnd w:id="563"/>
      <w:bookmarkEnd w:id="564"/>
      <w:r w:rsidRPr="00653BF4">
        <w:rPr>
          <w:lang w:val="fr-FR"/>
        </w:rPr>
        <w:t>ie</w:t>
      </w:r>
      <w:bookmarkEnd w:id="565"/>
    </w:p>
    <w:p w14:paraId="094D107F" w14:textId="77777777" w:rsidR="007A60EC" w:rsidRPr="00653BF4" w:rsidRDefault="007A60EC" w:rsidP="007A60EC">
      <w:pPr>
        <w:rPr>
          <w:lang w:val="fr-FR"/>
        </w:rPr>
      </w:pPr>
    </w:p>
    <w:p w14:paraId="6C7E8790" w14:textId="77777777" w:rsidR="007A60EC" w:rsidRPr="00653BF4" w:rsidRDefault="007A60EC" w:rsidP="007A60EC">
      <w:pPr>
        <w:pStyle w:val="Bibliography"/>
        <w:rPr>
          <w:lang w:val="fr-FR"/>
        </w:rPr>
      </w:pPr>
      <w:r w:rsidRPr="00653BF4">
        <w:rPr>
          <w:lang w:val="fr-FR"/>
        </w:rPr>
        <w:lastRenderedPageBreak/>
        <w:t xml:space="preserve">Affinito, F. </w:t>
      </w:r>
      <w:r w:rsidRPr="00653BF4">
        <w:rPr>
          <w:i/>
          <w:lang w:val="fr-FR"/>
        </w:rPr>
        <w:t>et al.</w:t>
      </w:r>
      <w:r w:rsidRPr="00653BF4">
        <w:rPr>
          <w:lang w:val="fr-FR"/>
        </w:rPr>
        <w:t xml:space="preserve">, 2024. </w:t>
      </w:r>
      <w:r w:rsidRPr="00543148">
        <w:rPr>
          <w:lang w:val="en-US"/>
        </w:rPr>
        <w:t xml:space="preserve">Progress in developing and operationalizing the Monitoring Framework of the Global Biodiversity Framework. </w:t>
      </w:r>
      <w:r w:rsidRPr="00653BF4">
        <w:rPr>
          <w:lang w:val="fr-FR"/>
        </w:rPr>
        <w:t xml:space="preserve">Nat. Ecol. Evol. </w:t>
      </w:r>
      <w:hyperlink r:id="rId257" w:history="1">
        <w:r w:rsidRPr="00653BF4">
          <w:rPr>
            <w:rStyle w:val="Hyperlink"/>
            <w:lang w:val="fr-FR"/>
          </w:rPr>
          <w:t>https://doi.org/10.1038/s41559-024-02566-7</w:t>
        </w:r>
      </w:hyperlink>
    </w:p>
    <w:p w14:paraId="4D239EB1" w14:textId="77777777" w:rsidR="007A60EC" w:rsidRPr="00543148" w:rsidRDefault="007A60EC" w:rsidP="007A60EC">
      <w:pPr>
        <w:pStyle w:val="Bibliography"/>
        <w:rPr>
          <w:lang w:val="en-US"/>
        </w:rPr>
      </w:pPr>
      <w:r w:rsidRPr="00653BF4">
        <w:rPr>
          <w:lang w:val="fr-FR"/>
        </w:rPr>
        <w:t xml:space="preserve">Affinito, F. </w:t>
      </w:r>
      <w:r w:rsidRPr="00653BF4">
        <w:rPr>
          <w:i/>
          <w:lang w:val="fr-FR"/>
        </w:rPr>
        <w:t>et al.</w:t>
      </w:r>
      <w:r w:rsidRPr="00653BF4">
        <w:rPr>
          <w:lang w:val="fr-FR"/>
        </w:rPr>
        <w:t xml:space="preserve">, 2025. </w:t>
      </w:r>
      <w:r w:rsidRPr="00543148">
        <w:rPr>
          <w:lang w:val="en-US"/>
        </w:rPr>
        <w:t xml:space="preserve">Assessing coverage of the monitoring framework of the Kunming-Montreal Global Biodiversity Framework and opportunities to fill gaps. Nat. Ecol. Evol. 1–15. </w:t>
      </w:r>
      <w:hyperlink r:id="rId258" w:history="1">
        <w:r w:rsidRPr="00543148">
          <w:rPr>
            <w:rStyle w:val="Hyperlink"/>
            <w:lang w:val="en-US"/>
          </w:rPr>
          <w:t>https://doi.org/10.1038/s41559-025-02718-3</w:t>
        </w:r>
      </w:hyperlink>
    </w:p>
    <w:p w14:paraId="6A8BBE0C" w14:textId="77777777" w:rsidR="007A60EC" w:rsidRPr="00653BF4" w:rsidRDefault="007A60EC" w:rsidP="007A60EC">
      <w:pPr>
        <w:pStyle w:val="Bibliography"/>
        <w:rPr>
          <w:lang w:val="fr-FR"/>
        </w:rPr>
      </w:pPr>
      <w:r w:rsidRPr="00543148">
        <w:rPr>
          <w:lang w:val="en-US"/>
        </w:rPr>
        <w:t xml:space="preserve">AIEA, 2025. Submission of International Atomic Energy Agency, Division of Marine Environment Laboratories, in response to CBD notification 2025-099. </w:t>
      </w:r>
      <w:r w:rsidRPr="00653BF4">
        <w:rPr>
          <w:lang w:val="fr-FR"/>
        </w:rPr>
        <w:t xml:space="preserve">Secrétariat de la Convention sur la diversité biologique, Montréal. Disponible à l’adresse </w:t>
      </w:r>
      <w:hyperlink r:id="rId259" w:history="1">
        <w:r w:rsidRPr="00653BF4">
          <w:rPr>
            <w:rStyle w:val="Hyperlink"/>
            <w:lang w:val="fr-FR"/>
          </w:rPr>
          <w:t>https://www.cbd.int/notifications/2025-099</w:t>
        </w:r>
      </w:hyperlink>
      <w:r w:rsidRPr="00653BF4">
        <w:rPr>
          <w:lang w:val="fr-FR"/>
        </w:rPr>
        <w:t xml:space="preserve"> (consulté le 21 mai 2026)</w:t>
      </w:r>
    </w:p>
    <w:p w14:paraId="0E06B2B8" w14:textId="77777777" w:rsidR="007A60EC" w:rsidRPr="00653BF4" w:rsidRDefault="007A60EC" w:rsidP="007A60EC">
      <w:pPr>
        <w:pStyle w:val="Bibliography"/>
        <w:rPr>
          <w:lang w:val="fr-FR"/>
        </w:rPr>
      </w:pPr>
      <w:r w:rsidRPr="00543148">
        <w:rPr>
          <w:lang w:val="en-US"/>
        </w:rPr>
        <w:t xml:space="preserve">Asare, R.A., Kyei, A., Mason, J.J., 2013. The community resource management area mechanism: a strategy to manage African forest resources for REDD+. </w:t>
      </w:r>
      <w:r w:rsidRPr="00653BF4">
        <w:rPr>
          <w:lang w:val="fr-FR"/>
        </w:rPr>
        <w:t xml:space="preserve">Philos. Trans. R. Soc. B Biol. Sci. 368, 20120311. </w:t>
      </w:r>
      <w:hyperlink r:id="rId260" w:history="1">
        <w:r w:rsidRPr="00653BF4">
          <w:rPr>
            <w:rStyle w:val="Hyperlink"/>
            <w:lang w:val="fr-FR"/>
          </w:rPr>
          <w:t>https://doi.org/10.1098/rstb.2012.0311</w:t>
        </w:r>
      </w:hyperlink>
    </w:p>
    <w:p w14:paraId="320306F3" w14:textId="55548599" w:rsidR="007A60EC" w:rsidRPr="00653BF4" w:rsidRDefault="007A60EC" w:rsidP="007A60EC">
      <w:pPr>
        <w:pStyle w:val="Bibliography"/>
        <w:rPr>
          <w:lang w:val="fr-FR"/>
        </w:rPr>
      </w:pPr>
      <w:r w:rsidRPr="00653BF4">
        <w:rPr>
          <w:lang w:val="fr-FR"/>
        </w:rPr>
        <w:t>Assemblée générale des Nations Unies, 2023a. A/RES/78/155</w:t>
      </w:r>
      <w:r w:rsidR="00E34DC9">
        <w:rPr>
          <w:lang w:val="fr-FR"/>
        </w:rPr>
        <w:t> :</w:t>
      </w:r>
      <w:r w:rsidRPr="00653BF4">
        <w:rPr>
          <w:lang w:val="fr-FR"/>
        </w:rPr>
        <w:t xml:space="preserve"> Application de la Convention sur la diversité biologique et contribution au développement durable. Résolution 78/155. Nations Unies. Disponible à l’adresse </w:t>
      </w:r>
      <w:hyperlink r:id="rId261" w:history="1">
        <w:r w:rsidRPr="00653BF4">
          <w:rPr>
            <w:rStyle w:val="Hyperlink"/>
            <w:lang w:val="fr-FR"/>
          </w:rPr>
          <w:t>https://docs.un.org/fr/a/res/78/155</w:t>
        </w:r>
      </w:hyperlink>
      <w:r w:rsidRPr="00653BF4">
        <w:rPr>
          <w:lang w:val="fr-FR"/>
        </w:rPr>
        <w:t xml:space="preserve"> (consulté le 4 mai 2026)</w:t>
      </w:r>
    </w:p>
    <w:p w14:paraId="392E6468" w14:textId="6A1F1747" w:rsidR="007A60EC" w:rsidRPr="00653BF4" w:rsidRDefault="007A60EC" w:rsidP="007A60EC">
      <w:pPr>
        <w:pStyle w:val="Bibliography"/>
        <w:rPr>
          <w:lang w:val="fr-FR"/>
        </w:rPr>
      </w:pPr>
      <w:r w:rsidRPr="00653BF4">
        <w:rPr>
          <w:lang w:val="fr-FR"/>
        </w:rPr>
        <w:t>Assemblée générale des Nations Unies, 2023b. A/RES/77/289</w:t>
      </w:r>
      <w:r w:rsidR="00E34DC9">
        <w:rPr>
          <w:lang w:val="fr-FR"/>
        </w:rPr>
        <w:t> :</w:t>
      </w:r>
      <w:r w:rsidRPr="00653BF4">
        <w:rPr>
          <w:lang w:val="fr-FR"/>
        </w:rPr>
        <w:t xml:space="preserve"> Déclaration politique issue de la réunion de haut niveau sur l’examen à mi-parcours du Cadre de Sendai pour la réduction des risques de catastrophe (2015-2030). Assemblée générale des Nations Unies. Disponible à l’adresse </w:t>
      </w:r>
      <w:hyperlink r:id="rId262" w:history="1">
        <w:r w:rsidRPr="00653BF4">
          <w:rPr>
            <w:rStyle w:val="Hyperlink"/>
            <w:lang w:val="fr-FR"/>
          </w:rPr>
          <w:t>https://docs.un.org/fr/a/res/77/289</w:t>
        </w:r>
      </w:hyperlink>
      <w:r w:rsidRPr="00653BF4">
        <w:rPr>
          <w:lang w:val="fr-FR"/>
        </w:rPr>
        <w:t xml:space="preserve"> (consulté le 15 juillet 2026)</w:t>
      </w:r>
    </w:p>
    <w:p w14:paraId="43CEB23D" w14:textId="77777777" w:rsidR="007A60EC" w:rsidRPr="00653BF4" w:rsidRDefault="007A60EC" w:rsidP="007A60EC">
      <w:pPr>
        <w:pStyle w:val="Bibliography"/>
        <w:rPr>
          <w:lang w:val="fr-FR"/>
        </w:rPr>
      </w:pPr>
      <w:r w:rsidRPr="00543148">
        <w:rPr>
          <w:lang w:val="en-US"/>
        </w:rPr>
        <w:t xml:space="preserve">BioJapan, 2025. Documentation of Traditional Knowledge on Medicinal Plants in Peninsular Malaysia and the Promotion of Genetic Resource Management through Bioprospecting. </w:t>
      </w:r>
      <w:r w:rsidRPr="00653BF4">
        <w:rPr>
          <w:lang w:val="fr-FR"/>
        </w:rPr>
        <w:t xml:space="preserve">Bureau d’appui à l’APA de l’Institut national de génétique, Yokohama. Disponible à l’adresse </w:t>
      </w:r>
      <w:hyperlink r:id="rId263" w:history="1">
        <w:r w:rsidRPr="00653BF4">
          <w:rPr>
            <w:rStyle w:val="Hyperlink"/>
            <w:lang w:val="fr-FR"/>
          </w:rPr>
          <w:t>https://terayoshi-gyosei.com/absreport13/</w:t>
        </w:r>
      </w:hyperlink>
      <w:r w:rsidRPr="00653BF4">
        <w:rPr>
          <w:lang w:val="fr-FR"/>
        </w:rPr>
        <w:t xml:space="preserve"> (consulté le 25 juillet 2026)</w:t>
      </w:r>
    </w:p>
    <w:p w14:paraId="6B989A6F" w14:textId="77777777" w:rsidR="007A60EC" w:rsidRPr="00E91E17" w:rsidRDefault="007A60EC" w:rsidP="007A60EC">
      <w:pPr>
        <w:pStyle w:val="Bibliography"/>
        <w:rPr>
          <w:lang w:val="en-US"/>
        </w:rPr>
      </w:pPr>
      <w:r w:rsidRPr="00653BF4">
        <w:rPr>
          <w:lang w:val="fr-FR"/>
        </w:rPr>
        <w:t xml:space="preserve">Blasiak, R., Jouffray, J.-B., 2024. </w:t>
      </w:r>
      <w:r w:rsidRPr="00543148">
        <w:rPr>
          <w:lang w:val="en-US"/>
        </w:rPr>
        <w:t xml:space="preserve">When will the BBNJ Agreement deliver results? </w:t>
      </w:r>
      <w:r w:rsidRPr="00E91E17">
        <w:rPr>
          <w:lang w:val="en-US"/>
        </w:rPr>
        <w:t xml:space="preserve">Npj Ocean Sustain. 3, 21. </w:t>
      </w:r>
      <w:hyperlink r:id="rId264" w:history="1">
        <w:r w:rsidRPr="00E91E17">
          <w:rPr>
            <w:rStyle w:val="Hyperlink"/>
            <w:lang w:val="en-US"/>
          </w:rPr>
          <w:t>https://doi.org/10.1038/s44183-024-00058-6</w:t>
        </w:r>
      </w:hyperlink>
    </w:p>
    <w:p w14:paraId="58699114" w14:textId="64B58A6D" w:rsidR="007A60EC" w:rsidRPr="00653BF4" w:rsidRDefault="007A60EC" w:rsidP="007A60EC">
      <w:pPr>
        <w:pStyle w:val="Bibliography"/>
        <w:rPr>
          <w:lang w:val="fr-FR"/>
        </w:rPr>
      </w:pPr>
      <w:r w:rsidRPr="00543148">
        <w:rPr>
          <w:lang w:val="en-US"/>
        </w:rPr>
        <w:t>Bosetti, L., 2023. Global Reporting Initiative Standards, dans</w:t>
      </w:r>
      <w:r w:rsidR="00E34DC9" w:rsidRPr="00543148">
        <w:rPr>
          <w:lang w:val="en-US"/>
        </w:rPr>
        <w:t> :</w:t>
      </w:r>
      <w:r w:rsidRPr="00543148">
        <w:rPr>
          <w:lang w:val="en-US"/>
        </w:rPr>
        <w:t xml:space="preserve"> Idowu, S.O. </w:t>
      </w:r>
      <w:r w:rsidRPr="00543148">
        <w:rPr>
          <w:i/>
          <w:lang w:val="en-US"/>
        </w:rPr>
        <w:t>et al.</w:t>
      </w:r>
      <w:r w:rsidRPr="00543148">
        <w:rPr>
          <w:lang w:val="en-US"/>
        </w:rPr>
        <w:t xml:space="preserve"> (dir.), Encyclopedia of Sustainable Management. </w:t>
      </w:r>
      <w:r w:rsidRPr="00653BF4">
        <w:rPr>
          <w:lang w:val="fr-FR"/>
        </w:rPr>
        <w:t xml:space="preserve">Springer International Publishing, Cham, p. 1706–1718. </w:t>
      </w:r>
      <w:hyperlink r:id="rId265" w:history="1">
        <w:r w:rsidRPr="00653BF4">
          <w:rPr>
            <w:rStyle w:val="Hyperlink"/>
            <w:lang w:val="fr-FR"/>
          </w:rPr>
          <w:t>https://doi.org/10.1007/978-3-031-25984-5_1033</w:t>
        </w:r>
      </w:hyperlink>
    </w:p>
    <w:p w14:paraId="64EF96BD" w14:textId="77777777" w:rsidR="007A60EC" w:rsidRPr="00653BF4" w:rsidRDefault="007A60EC" w:rsidP="007A60EC">
      <w:pPr>
        <w:pStyle w:val="Bibliography"/>
        <w:rPr>
          <w:lang w:val="fr-FR"/>
        </w:rPr>
      </w:pPr>
      <w:r w:rsidRPr="00653BF4">
        <w:rPr>
          <w:lang w:val="fr-FR"/>
        </w:rPr>
        <w:t xml:space="preserve">Brésil, Ministère des affaires étrangères, 2025. </w:t>
      </w:r>
      <w:r w:rsidRPr="00543148">
        <w:rPr>
          <w:lang w:val="en-US"/>
        </w:rPr>
        <w:t xml:space="preserve">Submission of Brazil in response to CBD notification 2025-100. </w:t>
      </w:r>
      <w:r w:rsidRPr="00653BF4">
        <w:rPr>
          <w:lang w:val="fr-FR"/>
        </w:rPr>
        <w:t xml:space="preserve">Secrétariat de la Convention sur la diversité biologique, Montréal. Disponible à l’adresse </w:t>
      </w:r>
      <w:hyperlink r:id="rId266" w:history="1">
        <w:r w:rsidRPr="00653BF4">
          <w:rPr>
            <w:rStyle w:val="Hyperlink"/>
            <w:lang w:val="fr-FR"/>
          </w:rPr>
          <w:t>https://www.cbd.int/notifications/2025-100</w:t>
        </w:r>
      </w:hyperlink>
      <w:r w:rsidRPr="00653BF4">
        <w:rPr>
          <w:lang w:val="fr-FR"/>
        </w:rPr>
        <w:t xml:space="preserve"> (consulté le 23 juin 2026)</w:t>
      </w:r>
    </w:p>
    <w:p w14:paraId="5676AEC5" w14:textId="77777777" w:rsidR="007A60EC" w:rsidRPr="00653BF4" w:rsidRDefault="007A60EC" w:rsidP="007A60EC">
      <w:pPr>
        <w:pStyle w:val="Bibliography"/>
        <w:rPr>
          <w:lang w:val="fr-FR"/>
        </w:rPr>
      </w:pPr>
      <w:r w:rsidRPr="00543148">
        <w:rPr>
          <w:lang w:val="en-US"/>
        </w:rPr>
        <w:t xml:space="preserve">Brito, D. </w:t>
      </w:r>
      <w:r w:rsidRPr="00543148">
        <w:rPr>
          <w:i/>
          <w:lang w:val="en-US"/>
        </w:rPr>
        <w:t>et al.</w:t>
      </w:r>
      <w:r w:rsidRPr="00543148">
        <w:rPr>
          <w:lang w:val="en-US"/>
        </w:rPr>
        <w:t xml:space="preserve">, 2010. How similar are national red lists and the IUCN Red List? </w:t>
      </w:r>
      <w:r w:rsidRPr="00653BF4">
        <w:rPr>
          <w:lang w:val="fr-FR"/>
        </w:rPr>
        <w:t xml:space="preserve">Biol. Conserv. 143, 1154–1158. </w:t>
      </w:r>
      <w:hyperlink r:id="rId267" w:history="1">
        <w:r w:rsidRPr="00653BF4">
          <w:rPr>
            <w:rStyle w:val="Hyperlink"/>
            <w:lang w:val="fr-FR"/>
          </w:rPr>
          <w:t>https://doi.org/10.1016/j.biocon.2010.02.015</w:t>
        </w:r>
      </w:hyperlink>
    </w:p>
    <w:p w14:paraId="221B9ACD" w14:textId="77777777" w:rsidR="007A60EC" w:rsidRPr="00543148" w:rsidRDefault="007A60EC" w:rsidP="007A60EC">
      <w:pPr>
        <w:pStyle w:val="Bibliography"/>
        <w:rPr>
          <w:lang w:val="en-US"/>
        </w:rPr>
      </w:pPr>
      <w:r w:rsidRPr="00653BF4">
        <w:rPr>
          <w:lang w:val="fr-FR"/>
        </w:rPr>
        <w:t xml:space="preserve">Butchart, S.H.M. </w:t>
      </w:r>
      <w:r w:rsidRPr="00653BF4">
        <w:rPr>
          <w:i/>
          <w:lang w:val="fr-FR"/>
        </w:rPr>
        <w:t>et al.</w:t>
      </w:r>
      <w:r w:rsidRPr="00653BF4">
        <w:rPr>
          <w:lang w:val="fr-FR"/>
        </w:rPr>
        <w:t xml:space="preserve">, 2025. </w:t>
      </w:r>
      <w:r w:rsidRPr="00543148">
        <w:rPr>
          <w:lang w:val="en-US"/>
        </w:rPr>
        <w:t xml:space="preserve">Measuring trends in extinction risk: a review of two decades of development and application of the Red List Index. </w:t>
      </w:r>
      <w:r w:rsidRPr="00653BF4">
        <w:rPr>
          <w:lang w:val="fr-FR"/>
        </w:rPr>
        <w:t xml:space="preserve">Philos. Trans. </w:t>
      </w:r>
      <w:r w:rsidRPr="00543148">
        <w:rPr>
          <w:lang w:val="en-US"/>
        </w:rPr>
        <w:t xml:space="preserve">R. Soc. B Biol. Sci. 380, 20230206. </w:t>
      </w:r>
      <w:hyperlink r:id="rId268" w:history="1">
        <w:r w:rsidRPr="00543148">
          <w:rPr>
            <w:rStyle w:val="Hyperlink"/>
            <w:lang w:val="en-US"/>
          </w:rPr>
          <w:t>https://doi.org/10.1098/rstb.2023.0206</w:t>
        </w:r>
      </w:hyperlink>
    </w:p>
    <w:p w14:paraId="180E7F25" w14:textId="77777777" w:rsidR="007A60EC" w:rsidRPr="00543148" w:rsidRDefault="007A60EC" w:rsidP="007A60EC">
      <w:pPr>
        <w:pStyle w:val="Bibliography"/>
        <w:rPr>
          <w:lang w:val="en-US"/>
        </w:rPr>
      </w:pPr>
      <w:r w:rsidRPr="00543148">
        <w:rPr>
          <w:lang w:val="en-US"/>
        </w:rPr>
        <w:t xml:space="preserve">Carroll, S.R. </w:t>
      </w:r>
      <w:r w:rsidRPr="00543148">
        <w:rPr>
          <w:i/>
          <w:lang w:val="en-US"/>
        </w:rPr>
        <w:t>et al.</w:t>
      </w:r>
      <w:r w:rsidRPr="00543148">
        <w:rPr>
          <w:lang w:val="en-US"/>
        </w:rPr>
        <w:t xml:space="preserve">, 2020. The CARE Principles for Indigenous Data Governance. Data Sci. J. 19. </w:t>
      </w:r>
      <w:hyperlink r:id="rId269" w:history="1">
        <w:r w:rsidRPr="00543148">
          <w:rPr>
            <w:rStyle w:val="Hyperlink"/>
            <w:lang w:val="en-US"/>
          </w:rPr>
          <w:t>https://doi.org/10.5334/dsj-2020-043</w:t>
        </w:r>
      </w:hyperlink>
    </w:p>
    <w:p w14:paraId="7F306BA7" w14:textId="77777777" w:rsidR="007A60EC" w:rsidRPr="00653BF4" w:rsidRDefault="007A60EC" w:rsidP="007A60EC">
      <w:pPr>
        <w:pStyle w:val="Bibliography"/>
        <w:rPr>
          <w:lang w:val="fr-FR"/>
        </w:rPr>
      </w:pPr>
      <w:r w:rsidRPr="00543148">
        <w:rPr>
          <w:lang w:val="en-US"/>
        </w:rPr>
        <w:lastRenderedPageBreak/>
        <w:t xml:space="preserve">CBI, 2024. Resolution 2024-2: Resolution on the synergies between the IWC, the Convention on Biological Diversity and the Kunming-Montreal Global Biodiversity Framework adopted thereunder, and the agreement under the United Nations Convention on the Law of the Sea on the Conservation and Sustainable Use of Marine Biological Diversity of Areas Beyond National Jurisdiction. </w:t>
      </w:r>
      <w:r w:rsidRPr="00653BF4">
        <w:rPr>
          <w:lang w:val="fr-FR"/>
        </w:rPr>
        <w:t xml:space="preserve">Secrétariat de la Commission baleinière internationale, Lima. Disponible à l’adresse </w:t>
      </w:r>
      <w:hyperlink r:id="rId270" w:history="1">
        <w:r w:rsidRPr="00653BF4">
          <w:rPr>
            <w:rStyle w:val="Hyperlink"/>
            <w:lang w:val="fr-FR"/>
          </w:rPr>
          <w:t>https://crm.iwc.int/data/node/9832</w:t>
        </w:r>
      </w:hyperlink>
      <w:r w:rsidRPr="00653BF4">
        <w:rPr>
          <w:lang w:val="fr-FR"/>
        </w:rPr>
        <w:t xml:space="preserve"> (consulté le 21 mai 2026)</w:t>
      </w:r>
    </w:p>
    <w:p w14:paraId="7F9EF53A" w14:textId="77777777" w:rsidR="007A60EC" w:rsidRPr="00653BF4" w:rsidRDefault="007A60EC" w:rsidP="007A60EC">
      <w:pPr>
        <w:pStyle w:val="Bibliography"/>
        <w:rPr>
          <w:lang w:val="fr-FR"/>
        </w:rPr>
      </w:pPr>
      <w:r w:rsidRPr="00543148">
        <w:rPr>
          <w:lang w:val="en-US"/>
        </w:rPr>
        <w:t xml:space="preserve">CBI, 2025. Submission of the Secretariat of the International Whaling Commission (IWC), in response to CBD notification 2025-099. </w:t>
      </w:r>
      <w:r w:rsidRPr="00653BF4">
        <w:rPr>
          <w:lang w:val="fr-FR"/>
        </w:rPr>
        <w:t xml:space="preserve">Secrétariat de la Convention sur la diversité biologique, Montréal. Disponible à l’adresse </w:t>
      </w:r>
      <w:hyperlink r:id="rId271" w:history="1">
        <w:r w:rsidRPr="00653BF4">
          <w:rPr>
            <w:rStyle w:val="Hyperlink"/>
            <w:lang w:val="fr-FR"/>
          </w:rPr>
          <w:t>https://www.cbd.int/notifications/2025-099</w:t>
        </w:r>
      </w:hyperlink>
      <w:r w:rsidRPr="00653BF4">
        <w:rPr>
          <w:lang w:val="fr-FR"/>
        </w:rPr>
        <w:t xml:space="preserve"> (consulté le 21 mai 2026)</w:t>
      </w:r>
    </w:p>
    <w:p w14:paraId="1032B32D" w14:textId="77777777" w:rsidR="007A60EC" w:rsidRPr="00653BF4" w:rsidRDefault="007A60EC" w:rsidP="007A60EC">
      <w:pPr>
        <w:pStyle w:val="Bibliography"/>
        <w:rPr>
          <w:lang w:val="fr-FR"/>
        </w:rPr>
      </w:pPr>
      <w:r w:rsidRPr="00543148">
        <w:rPr>
          <w:lang w:val="en-US"/>
        </w:rPr>
        <w:t xml:space="preserve">CCNUCC, 2024a. Yearbook of Global Climate Action 2024: Marrakech Partnership for Global Climate Action. </w:t>
      </w:r>
      <w:r w:rsidRPr="00653BF4">
        <w:rPr>
          <w:lang w:val="fr-FR"/>
        </w:rPr>
        <w:t xml:space="preserve">Secrétariat de la Convention-cadre des Nations Unies sur les changements climatiques, Bonn. Disponible à l’adresse </w:t>
      </w:r>
      <w:hyperlink r:id="rId272" w:history="1">
        <w:r w:rsidRPr="00653BF4">
          <w:rPr>
            <w:rStyle w:val="Hyperlink"/>
            <w:lang w:val="fr-FR"/>
          </w:rPr>
          <w:t>https://unfccc.int/documents/642847</w:t>
        </w:r>
      </w:hyperlink>
      <w:r w:rsidRPr="00653BF4">
        <w:rPr>
          <w:lang w:val="fr-FR"/>
        </w:rPr>
        <w:t xml:space="preserve"> (consulté le 12 juin 2026)</w:t>
      </w:r>
    </w:p>
    <w:p w14:paraId="041077A1" w14:textId="5D83D4AA" w:rsidR="007A60EC" w:rsidRPr="00653BF4" w:rsidRDefault="007A60EC" w:rsidP="007A60EC">
      <w:pPr>
        <w:pStyle w:val="Bibliography"/>
        <w:rPr>
          <w:lang w:val="fr-FR"/>
        </w:rPr>
      </w:pPr>
      <w:r w:rsidRPr="00653BF4">
        <w:rPr>
          <w:lang w:val="fr-FR"/>
        </w:rPr>
        <w:t>CCNUCC, 2024b. Décision 2/CMA.5</w:t>
      </w:r>
      <w:r w:rsidR="00E34DC9">
        <w:rPr>
          <w:lang w:val="fr-FR"/>
        </w:rPr>
        <w:t> :</w:t>
      </w:r>
      <w:r w:rsidRPr="00653BF4">
        <w:rPr>
          <w:lang w:val="fr-FR"/>
        </w:rPr>
        <w:t xml:space="preserve"> Objectif mondial en matière d’adaptation. Secrétariat de la Convention-cadre des Nations Unies sur les changements climatiques, Émirats arabes unis. Disponible à l’adresse </w:t>
      </w:r>
      <w:hyperlink r:id="rId273" w:history="1">
        <w:r w:rsidRPr="00653BF4">
          <w:rPr>
            <w:rStyle w:val="Hyperlink"/>
            <w:lang w:val="fr-FR"/>
          </w:rPr>
          <w:t>https://unfccc.int/sites/default/files/resource/cma2023_16a01F.pdf</w:t>
        </w:r>
      </w:hyperlink>
      <w:r w:rsidRPr="00653BF4">
        <w:rPr>
          <w:lang w:val="fr-FR"/>
        </w:rPr>
        <w:t xml:space="preserve"> (consulté le 27 juillet 2026)</w:t>
      </w:r>
    </w:p>
    <w:p w14:paraId="06CA0A66" w14:textId="77777777" w:rsidR="007A60EC" w:rsidRPr="00653BF4" w:rsidRDefault="007A60EC" w:rsidP="007A60EC">
      <w:pPr>
        <w:pStyle w:val="Bibliography"/>
        <w:rPr>
          <w:lang w:val="fr-FR"/>
        </w:rPr>
      </w:pPr>
      <w:r w:rsidRPr="00543148">
        <w:rPr>
          <w:lang w:val="en-US"/>
        </w:rPr>
        <w:t xml:space="preserve">CCNUCC, 2025. FCCC/PA/CMA/2025/8: Nationally determined contributions under the Paris Agreement. </w:t>
      </w:r>
      <w:r w:rsidRPr="00653BF4">
        <w:rPr>
          <w:lang w:val="fr-FR"/>
        </w:rPr>
        <w:t xml:space="preserve">Synthesis report by the secretariat. Secrétariat de la Convention-cadre des Nations Unies sur les changements climatiques, Bonn. Disponible à l’adresse </w:t>
      </w:r>
      <w:hyperlink r:id="rId274" w:history="1">
        <w:r w:rsidRPr="00653BF4">
          <w:rPr>
            <w:rStyle w:val="Hyperlink"/>
            <w:lang w:val="fr-FR"/>
          </w:rPr>
          <w:t>https://unfccc.int/documents/650664</w:t>
        </w:r>
      </w:hyperlink>
      <w:r w:rsidRPr="00653BF4">
        <w:rPr>
          <w:lang w:val="fr-FR"/>
        </w:rPr>
        <w:t xml:space="preserve"> (consulté le 11 août 2026)</w:t>
      </w:r>
    </w:p>
    <w:p w14:paraId="0FFD934B" w14:textId="77777777" w:rsidR="007A60EC" w:rsidRPr="00653BF4" w:rsidRDefault="007A60EC" w:rsidP="007A60EC">
      <w:pPr>
        <w:pStyle w:val="Bibliography"/>
        <w:rPr>
          <w:lang w:val="fr-FR"/>
        </w:rPr>
      </w:pPr>
      <w:r w:rsidRPr="00543148">
        <w:rPr>
          <w:lang w:val="en-US"/>
        </w:rPr>
        <w:t xml:space="preserve">CDB, 2001. First Edition of the Global Biodiversity Outlook. </w:t>
      </w:r>
      <w:r w:rsidRPr="00653BF4">
        <w:rPr>
          <w:lang w:val="fr-FR"/>
        </w:rPr>
        <w:t xml:space="preserve">Secrétariat de la Convention sur la diversité biologique, Montréal. Disponible à l’adresse </w:t>
      </w:r>
      <w:hyperlink r:id="rId275" w:history="1">
        <w:r w:rsidRPr="00653BF4">
          <w:rPr>
            <w:rStyle w:val="Hyperlink"/>
            <w:lang w:val="fr-FR"/>
          </w:rPr>
          <w:t>https://www.cbd.int/gbo</w:t>
        </w:r>
      </w:hyperlink>
      <w:r w:rsidRPr="00653BF4">
        <w:rPr>
          <w:lang w:val="fr-FR"/>
        </w:rPr>
        <w:t xml:space="preserve"> (consulté le 17 avril 2026)</w:t>
      </w:r>
    </w:p>
    <w:p w14:paraId="0E086C7B" w14:textId="77777777" w:rsidR="007A60EC" w:rsidRPr="00653BF4" w:rsidRDefault="007A60EC" w:rsidP="007A60EC">
      <w:pPr>
        <w:pStyle w:val="Bibliography"/>
        <w:rPr>
          <w:lang w:val="fr-FR"/>
        </w:rPr>
      </w:pPr>
      <w:r w:rsidRPr="00653BF4">
        <w:rPr>
          <w:lang w:val="fr-FR"/>
        </w:rPr>
        <w:t xml:space="preserve">CDB, 2006a. Perspectives mondiales de la diversité biologique, deuxième édition. Secrétariat de la Convention sur la diversité biologique, Montréal. Disponible à l’adresse </w:t>
      </w:r>
      <w:hyperlink r:id="rId276" w:history="1">
        <w:r w:rsidRPr="00653BF4">
          <w:rPr>
            <w:rStyle w:val="Hyperlink"/>
            <w:lang w:val="fr-FR"/>
          </w:rPr>
          <w:t>https://www.cbd.int/doc/gbo/gbo2/cbd-gbo2-fr.pdf</w:t>
        </w:r>
      </w:hyperlink>
      <w:r w:rsidRPr="00653BF4">
        <w:rPr>
          <w:lang w:val="fr-FR"/>
        </w:rPr>
        <w:t xml:space="preserve"> (consulté le 16 avril 2026)</w:t>
      </w:r>
    </w:p>
    <w:p w14:paraId="7436620E" w14:textId="13B52246" w:rsidR="007A60EC" w:rsidRPr="00653BF4" w:rsidRDefault="007A60EC" w:rsidP="007A60EC">
      <w:pPr>
        <w:pStyle w:val="Bibliography"/>
        <w:rPr>
          <w:lang w:val="fr-FR"/>
        </w:rPr>
      </w:pPr>
      <w:r w:rsidRPr="00653BF4">
        <w:rPr>
          <w:lang w:val="fr-FR"/>
        </w:rPr>
        <w:t>CDB, 2006b. UNEP/CBD/COP/8/31</w:t>
      </w:r>
      <w:r w:rsidR="00E34DC9">
        <w:rPr>
          <w:lang w:val="fr-FR"/>
        </w:rPr>
        <w:t> :</w:t>
      </w:r>
      <w:r w:rsidRPr="00653BF4">
        <w:rPr>
          <w:lang w:val="fr-FR"/>
        </w:rPr>
        <w:t xml:space="preserve"> RAPPORT DE LA CONFÉRENCE DES PARTIES À LA CONVENTION SUR LA DIVERSITÉ BIOLOGIQUE SUR LES TRAVAUX DE SA HUITIÈME RÉUNION. Secrétariat de la Convention sur la diversité biologique. Disponible à l’adresse </w:t>
      </w:r>
      <w:hyperlink r:id="rId277" w:history="1">
        <w:r w:rsidRPr="00653BF4">
          <w:rPr>
            <w:rStyle w:val="Hyperlink"/>
            <w:lang w:val="fr-FR"/>
          </w:rPr>
          <w:t>https://www.cbd.int/doc/meetings/cop/cop-08/official/cop-08-31-fr.pdf</w:t>
        </w:r>
      </w:hyperlink>
    </w:p>
    <w:p w14:paraId="655C95D7" w14:textId="77777777" w:rsidR="007A60EC" w:rsidRPr="00653BF4" w:rsidRDefault="007A60EC" w:rsidP="007A60EC">
      <w:pPr>
        <w:pStyle w:val="Bibliography"/>
        <w:rPr>
          <w:lang w:val="fr-FR"/>
        </w:rPr>
      </w:pPr>
      <w:r w:rsidRPr="00543148">
        <w:rPr>
          <w:lang w:val="en-US"/>
        </w:rPr>
        <w:t xml:space="preserve">CDB, 2008. UNEP/CBD/COP/9/29/Corr.1/Rev.1: REPORT OF THE CONFERENCE OF THE PARTIES TO THE CONVENTION ON BIOLOGICAL DIVERSITY ON THE WORK OF ITS NINTH MEETING. </w:t>
      </w:r>
      <w:r w:rsidRPr="00653BF4">
        <w:rPr>
          <w:lang w:val="fr-FR"/>
        </w:rPr>
        <w:t xml:space="preserve">Secrétariat de la Convention sur la diversité biologique, Bonn (Allemagne). Disponible à l’adresse </w:t>
      </w:r>
      <w:hyperlink r:id="rId278" w:history="1">
        <w:r w:rsidRPr="00653BF4">
          <w:rPr>
            <w:rStyle w:val="Hyperlink"/>
            <w:lang w:val="fr-FR"/>
          </w:rPr>
          <w:t>https://www.cbd.int/doc/meetings/cop/cop-09/official/cop-09-29-corr1-rev1-en.pdf</w:t>
        </w:r>
      </w:hyperlink>
    </w:p>
    <w:p w14:paraId="2BED4288" w14:textId="77777777" w:rsidR="007A60EC" w:rsidRPr="00653BF4" w:rsidRDefault="007A60EC" w:rsidP="007A60EC">
      <w:pPr>
        <w:pStyle w:val="Bibliography"/>
        <w:rPr>
          <w:lang w:val="fr-FR"/>
        </w:rPr>
      </w:pPr>
      <w:r w:rsidRPr="00653BF4">
        <w:rPr>
          <w:lang w:val="fr-FR"/>
        </w:rPr>
        <w:t xml:space="preserve">CDB, 2010. Perspectives mondiales de la diversité biologique 3. Secrétariat de la Convention sur la diversité biologique, Montréal. Disponible à l’adresse </w:t>
      </w:r>
      <w:hyperlink r:id="rId279" w:history="1">
        <w:r w:rsidRPr="00653BF4">
          <w:rPr>
            <w:rStyle w:val="Hyperlink"/>
            <w:lang w:val="fr-FR"/>
          </w:rPr>
          <w:t>https://www.cbd.int/gbo/gbo3/doc/GBO3-final-fr.pdf</w:t>
        </w:r>
      </w:hyperlink>
      <w:r w:rsidRPr="00653BF4">
        <w:rPr>
          <w:lang w:val="fr-FR"/>
        </w:rPr>
        <w:t xml:space="preserve"> (consulté le 16 avril 2026)</w:t>
      </w:r>
    </w:p>
    <w:p w14:paraId="481E24B0" w14:textId="77777777" w:rsidR="007A60EC" w:rsidRPr="00653BF4" w:rsidRDefault="007A60EC" w:rsidP="007A60EC">
      <w:pPr>
        <w:pStyle w:val="Bibliography"/>
        <w:rPr>
          <w:lang w:val="fr-FR"/>
        </w:rPr>
      </w:pPr>
      <w:r w:rsidRPr="00543148">
        <w:rPr>
          <w:lang w:val="en-US"/>
        </w:rPr>
        <w:lastRenderedPageBreak/>
        <w:t xml:space="preserve">CDB, 2011. UNEP/CBD/COP/10/27/Corr.1: REPORT OF THE TENTH MEETING OF THE CONFERENCE OF THE PARTIES TO THE CONVENTION ON BIOLOGICAL DIVERSITY. </w:t>
      </w:r>
      <w:r w:rsidRPr="00653BF4">
        <w:rPr>
          <w:lang w:val="fr-FR"/>
        </w:rPr>
        <w:t xml:space="preserve">Secrétariat de la Convention sur la diversité biologique, Nagoya (Japon). Disponible à l’adresse </w:t>
      </w:r>
      <w:hyperlink r:id="rId280" w:history="1">
        <w:r w:rsidRPr="00653BF4">
          <w:rPr>
            <w:rStyle w:val="Hyperlink"/>
            <w:lang w:val="fr-FR"/>
          </w:rPr>
          <w:t>https://www.cbd.int/doc/meetings/cop/cop-10/official/cop-10-27-corr1-en.pdf</w:t>
        </w:r>
      </w:hyperlink>
    </w:p>
    <w:p w14:paraId="47724024" w14:textId="78C80D04" w:rsidR="007A60EC" w:rsidRPr="00653BF4" w:rsidRDefault="007A60EC" w:rsidP="007A60EC">
      <w:pPr>
        <w:pStyle w:val="Bibliography"/>
        <w:rPr>
          <w:lang w:val="fr-FR"/>
        </w:rPr>
      </w:pPr>
      <w:r w:rsidRPr="00653BF4">
        <w:rPr>
          <w:lang w:val="fr-FR"/>
        </w:rPr>
        <w:t>CDB, 2012. UNEP/CBD/COP/11/35</w:t>
      </w:r>
      <w:r w:rsidR="00E34DC9">
        <w:rPr>
          <w:lang w:val="fr-FR"/>
        </w:rPr>
        <w:t> :</w:t>
      </w:r>
      <w:r w:rsidRPr="00653BF4">
        <w:rPr>
          <w:lang w:val="fr-FR"/>
        </w:rPr>
        <w:t xml:space="preserve"> RAPPORT DE LA ONZIÈME RÉUNION DE LA CONFÉRENCE DES PARTIES À LA CONVENTION SUR LA DIVERSITÉ BIOLOGIQUE. Secrétariat de la Convention sur la diversité biologique, Hyderabad (Inde). Disponible à l’adresse </w:t>
      </w:r>
      <w:hyperlink r:id="rId281" w:history="1">
        <w:r w:rsidRPr="00653BF4">
          <w:rPr>
            <w:rStyle w:val="Hyperlink"/>
            <w:lang w:val="fr-FR"/>
          </w:rPr>
          <w:t>https://www.cbd.int/doc/meetings/cop/cop-11/official/cop-11-35-fr.pdf</w:t>
        </w:r>
      </w:hyperlink>
    </w:p>
    <w:p w14:paraId="05137482" w14:textId="77777777" w:rsidR="007A60EC" w:rsidRPr="00653BF4" w:rsidRDefault="007A60EC" w:rsidP="007A60EC">
      <w:pPr>
        <w:pStyle w:val="Bibliography"/>
        <w:rPr>
          <w:lang w:val="fr-FR"/>
        </w:rPr>
      </w:pPr>
      <w:r w:rsidRPr="00653BF4">
        <w:rPr>
          <w:lang w:val="fr-FR"/>
        </w:rPr>
        <w:t xml:space="preserve">CDB, 2014a. Perspectives mondiales de la diversité biologique 4. Secrétariat de la Convention sur la diversité biologique, Montréal. Disponible à l’adresse </w:t>
      </w:r>
      <w:hyperlink r:id="rId282" w:history="1">
        <w:r w:rsidRPr="00653BF4">
          <w:rPr>
            <w:rStyle w:val="Hyperlink"/>
            <w:lang w:val="fr-FR"/>
          </w:rPr>
          <w:t>https://www.cbd.int/gbo/gbo4/publication/gbo4-fr-hr.pdf</w:t>
        </w:r>
      </w:hyperlink>
      <w:r w:rsidRPr="00653BF4">
        <w:rPr>
          <w:lang w:val="fr-FR"/>
        </w:rPr>
        <w:t xml:space="preserve"> (consulté le 16 avril 2026)</w:t>
      </w:r>
    </w:p>
    <w:p w14:paraId="56694105" w14:textId="29953587" w:rsidR="007A60EC" w:rsidRPr="00653BF4" w:rsidRDefault="007A60EC" w:rsidP="007A60EC">
      <w:pPr>
        <w:pStyle w:val="Bibliography"/>
        <w:rPr>
          <w:lang w:val="fr-FR"/>
        </w:rPr>
      </w:pPr>
      <w:r w:rsidRPr="00653BF4">
        <w:rPr>
          <w:lang w:val="fr-FR"/>
        </w:rPr>
        <w:t>CDB, 2014b. UNEP/CBD/COP/12/29</w:t>
      </w:r>
      <w:r w:rsidR="00E34DC9">
        <w:rPr>
          <w:lang w:val="fr-FR"/>
        </w:rPr>
        <w:t> :</w:t>
      </w:r>
      <w:r w:rsidRPr="00653BF4">
        <w:rPr>
          <w:lang w:val="fr-FR"/>
        </w:rPr>
        <w:t xml:space="preserve"> RAPPORT DE LA DOUZIÈME RÉUNION DE LA CONFÉRENCE DES PARTIES À LA CONVENTION SUR LA DIVERSITÉ BIOLOGIQUE. Secrétariat de la Convention sur la diversité biologique, Pyeongchang (République de Corée). Disponible à l’adresse </w:t>
      </w:r>
      <w:hyperlink r:id="rId283" w:history="1">
        <w:r w:rsidRPr="00653BF4">
          <w:rPr>
            <w:rStyle w:val="Hyperlink"/>
            <w:lang w:val="fr-FR"/>
          </w:rPr>
          <w:t>https://www.cbd.int/doc/meetings/cop/cop-12/official/cop-12-29-fr.pdf</w:t>
        </w:r>
      </w:hyperlink>
    </w:p>
    <w:p w14:paraId="1EF03396" w14:textId="34A41C9E" w:rsidR="007A60EC" w:rsidRPr="00653BF4" w:rsidRDefault="007A60EC" w:rsidP="007A60EC">
      <w:pPr>
        <w:pStyle w:val="Bibliography"/>
        <w:rPr>
          <w:lang w:val="fr-FR"/>
        </w:rPr>
      </w:pPr>
      <w:r w:rsidRPr="00653BF4">
        <w:rPr>
          <w:lang w:val="fr-FR"/>
        </w:rPr>
        <w:t>CDB, 2016. CBD/COP/13/25</w:t>
      </w:r>
      <w:r w:rsidR="00E34DC9">
        <w:rPr>
          <w:lang w:val="fr-FR"/>
        </w:rPr>
        <w:t> :</w:t>
      </w:r>
      <w:r w:rsidRPr="00653BF4">
        <w:rPr>
          <w:lang w:val="fr-FR"/>
        </w:rPr>
        <w:t xml:space="preserve"> RAPPORT DE LA CONFÉRENCE DES PARTIES À LA CONVENTION SUR LA DIVERSITÉ BIOLOGIQUE SUR LES TRAVAUX DE SA TREIZIÈME RÉUNION. Secrétariat de la Convention sur la diversité biologique, Cancún (Mexique). Disponible à l’adresse </w:t>
      </w:r>
      <w:hyperlink r:id="rId284" w:history="1">
        <w:r w:rsidRPr="00653BF4">
          <w:rPr>
            <w:rStyle w:val="Hyperlink"/>
            <w:lang w:val="fr-FR"/>
          </w:rPr>
          <w:t>https://www.cbd.int/doc/c/f74e/9fb7/0a96e44dbe0efad66b180d61/cop-13-25-fr.pdf</w:t>
        </w:r>
      </w:hyperlink>
    </w:p>
    <w:p w14:paraId="7FF7C200" w14:textId="417E4447" w:rsidR="007A60EC" w:rsidRPr="00653BF4" w:rsidRDefault="007A60EC" w:rsidP="007A60EC">
      <w:pPr>
        <w:pStyle w:val="Bibliography"/>
        <w:rPr>
          <w:lang w:val="fr-FR"/>
        </w:rPr>
      </w:pPr>
      <w:r w:rsidRPr="00653BF4">
        <w:rPr>
          <w:lang w:val="fr-FR"/>
        </w:rPr>
        <w:t>CDB, 2019. CBD/COP/14/14</w:t>
      </w:r>
      <w:r w:rsidR="00E34DC9">
        <w:rPr>
          <w:lang w:val="fr-FR"/>
        </w:rPr>
        <w:t> :</w:t>
      </w:r>
      <w:r w:rsidRPr="00653BF4">
        <w:rPr>
          <w:lang w:val="fr-FR"/>
        </w:rPr>
        <w:t xml:space="preserve"> RAPPORT DE LA CONFÉRENCE DES PARTIES À LA CONVENTION SUR LA DIVERSITÉ BIOLOGIQUE SUR LES TRAVAUX DE SA QUATORZIÈME RÉUNION. Secrétariat de la Convention sur la diversité biologique, Charm el-Cheikh (Égypte). Disponible à l’adresse </w:t>
      </w:r>
      <w:hyperlink r:id="rId285" w:history="1">
        <w:r w:rsidRPr="00653BF4">
          <w:rPr>
            <w:rStyle w:val="Hyperlink"/>
            <w:lang w:val="fr-FR"/>
          </w:rPr>
          <w:t>https://www.cbd.int/doc/c/c678/f6ac/b40ab072aa9b1ea9d3056bd0/cop-14-14-fr.pdf</w:t>
        </w:r>
      </w:hyperlink>
    </w:p>
    <w:p w14:paraId="5EDA8943" w14:textId="77777777" w:rsidR="007A60EC" w:rsidRPr="00653BF4" w:rsidRDefault="007A60EC" w:rsidP="007A60EC">
      <w:pPr>
        <w:pStyle w:val="Bibliography"/>
        <w:rPr>
          <w:lang w:val="fr-FR"/>
        </w:rPr>
      </w:pPr>
      <w:r w:rsidRPr="00653BF4">
        <w:rPr>
          <w:lang w:val="fr-FR"/>
        </w:rPr>
        <w:t xml:space="preserve">CDB, 2020. Perspectives mondiales de la diversité biologique 5. Secrétariat de la Convention sur la diversité biologique, Montréal. Disponible à l’adresse </w:t>
      </w:r>
      <w:hyperlink r:id="rId286" w:history="1">
        <w:r w:rsidRPr="00653BF4">
          <w:rPr>
            <w:rStyle w:val="Hyperlink"/>
            <w:lang w:val="fr-FR"/>
          </w:rPr>
          <w:t>https://www.cbd.int/gbo/gbo5/publication/gbo-5-fr.pdf</w:t>
        </w:r>
      </w:hyperlink>
      <w:r w:rsidRPr="00653BF4">
        <w:rPr>
          <w:lang w:val="fr-FR"/>
        </w:rPr>
        <w:t xml:space="preserve"> (consulté le 17 avril 2026)</w:t>
      </w:r>
    </w:p>
    <w:p w14:paraId="00D0B492" w14:textId="4E25D5F2" w:rsidR="007A60EC" w:rsidRPr="00653BF4" w:rsidRDefault="007A60EC" w:rsidP="007A60EC">
      <w:pPr>
        <w:pStyle w:val="Bibliography"/>
        <w:rPr>
          <w:lang w:val="fr-FR"/>
        </w:rPr>
      </w:pPr>
      <w:r w:rsidRPr="00653BF4">
        <w:rPr>
          <w:lang w:val="fr-FR"/>
        </w:rPr>
        <w:t>CDB, 2023. CBD/COP/15/17</w:t>
      </w:r>
      <w:r w:rsidR="00E34DC9">
        <w:rPr>
          <w:lang w:val="fr-FR"/>
        </w:rPr>
        <w:t> :</w:t>
      </w:r>
      <w:r w:rsidRPr="00653BF4">
        <w:rPr>
          <w:lang w:val="fr-FR"/>
        </w:rPr>
        <w:t xml:space="preserve"> RAPPORT DE LA CONFÉRENCE DES PARTIES À LA CONVENTION SUR LA DIVERSITÉ BIOLOGIQUE SUR LA DEUXIÈME PARTIE DE SA QUINZIÈME RÉUNION. Secrétariat de la Convention sur la diversité biologique, Montréal. Disponible à l’adresse </w:t>
      </w:r>
      <w:hyperlink r:id="rId287" w:history="1">
        <w:r w:rsidRPr="00653BF4">
          <w:rPr>
            <w:rStyle w:val="Hyperlink"/>
            <w:lang w:val="fr-FR"/>
          </w:rPr>
          <w:t>https://www.cbd.int/doc/c/09f7/b86c/c90f54a67c2d4ea17297d93d/cop-15-17-fr.pdf</w:t>
        </w:r>
      </w:hyperlink>
    </w:p>
    <w:p w14:paraId="61AC07B9" w14:textId="7EE4FA02" w:rsidR="007A60EC" w:rsidRPr="00653BF4" w:rsidRDefault="007A60EC" w:rsidP="007A60EC">
      <w:pPr>
        <w:pStyle w:val="Bibliography"/>
        <w:rPr>
          <w:lang w:val="fr-FR"/>
        </w:rPr>
      </w:pPr>
      <w:r w:rsidRPr="00653BF4">
        <w:rPr>
          <w:lang w:val="fr-FR"/>
        </w:rPr>
        <w:t>CDB, 2025a. CBD/SBSTTA/27/10</w:t>
      </w:r>
      <w:r w:rsidR="00E34DC9">
        <w:rPr>
          <w:lang w:val="fr-FR"/>
        </w:rPr>
        <w:t> :</w:t>
      </w:r>
      <w:r w:rsidRPr="00653BF4">
        <w:rPr>
          <w:lang w:val="fr-FR"/>
        </w:rPr>
        <w:t xml:space="preserve"> Rapport de l’Organe subsidiaire chargé de fournir des avis scientifiques, techniques et technologiques sur sa vingt-septième réunion. Secrétariat de la Convention sur la diversité biologique, Panama. Disponible à l’adresse </w:t>
      </w:r>
      <w:hyperlink r:id="rId288" w:history="1">
        <w:r w:rsidRPr="00653BF4">
          <w:rPr>
            <w:rStyle w:val="Hyperlink"/>
            <w:lang w:val="fr-FR"/>
          </w:rPr>
          <w:t>https://www.cbd.int/doc/c/e635/73f1/8351052ee6448c5bad07af86/sbstta-27-10-fr.pdf</w:t>
        </w:r>
      </w:hyperlink>
    </w:p>
    <w:p w14:paraId="1FB13760" w14:textId="1E53AEDE" w:rsidR="007A60EC" w:rsidRPr="00653BF4" w:rsidRDefault="007A60EC" w:rsidP="007A60EC">
      <w:pPr>
        <w:pStyle w:val="Bibliography"/>
        <w:rPr>
          <w:lang w:val="fr-FR"/>
        </w:rPr>
      </w:pPr>
      <w:r w:rsidRPr="00653BF4">
        <w:rPr>
          <w:lang w:val="fr-FR"/>
        </w:rPr>
        <w:t>CDB, 2025b. CBD/SB8J/REC/1/5</w:t>
      </w:r>
      <w:r w:rsidR="00E34DC9">
        <w:rPr>
          <w:lang w:val="fr-FR"/>
        </w:rPr>
        <w:t> :</w:t>
      </w:r>
      <w:r w:rsidRPr="00653BF4">
        <w:rPr>
          <w:lang w:val="fr-FR"/>
        </w:rPr>
        <w:t xml:space="preserve"> Communication d’avis concernant les connaissances traditionnelles aux fins du rapport mondial sur les progrès collectifs accomplis dans la mise en œuvre du Cadre mondial de la biodiversité de Kunming-Montréal. Secrétariat de la Convention sur la diversité biologique, Panama. Disponible à l’adresse </w:t>
      </w:r>
      <w:hyperlink r:id="rId289" w:history="1">
        <w:r w:rsidRPr="00653BF4">
          <w:rPr>
            <w:rStyle w:val="Hyperlink"/>
            <w:lang w:val="fr-FR"/>
          </w:rPr>
          <w:t>https://www.cbd.int/doc/recommendations/sb8j-01/sb8j-01-rec-05-fr.pdf</w:t>
        </w:r>
      </w:hyperlink>
      <w:r w:rsidRPr="00653BF4">
        <w:rPr>
          <w:lang w:val="fr-FR"/>
        </w:rPr>
        <w:t xml:space="preserve"> (consulté le 29 juillet 2026) </w:t>
      </w:r>
    </w:p>
    <w:p w14:paraId="6CA623C8" w14:textId="77777777" w:rsidR="007A60EC" w:rsidRPr="00653BF4" w:rsidRDefault="007A60EC" w:rsidP="007A60EC">
      <w:pPr>
        <w:pStyle w:val="Bibliography"/>
        <w:rPr>
          <w:lang w:val="fr-FR"/>
        </w:rPr>
      </w:pPr>
      <w:r w:rsidRPr="00543148">
        <w:rPr>
          <w:lang w:val="en-US"/>
        </w:rPr>
        <w:t xml:space="preserve">CDB, 2025c. Work under the Convention on Biological Diversity (CBD) relevant to the Agreement under UNCLOS on the Conservation and Sustainable Use of Marine Biological Diversity of Areas beyond National Jurisdiction (BBNJ Agreement). </w:t>
      </w:r>
      <w:r w:rsidRPr="00653BF4">
        <w:rPr>
          <w:lang w:val="fr-FR"/>
        </w:rPr>
        <w:t xml:space="preserve">Secrétariat de la Convention sur la diversité biologique, Montréal. Disponible à l’adresse </w:t>
      </w:r>
      <w:hyperlink r:id="rId290" w:history="1">
        <w:r w:rsidRPr="00653BF4">
          <w:rPr>
            <w:rStyle w:val="Hyperlink"/>
            <w:lang w:val="fr-FR"/>
          </w:rPr>
          <w:t>https://www.cbd.int/doc/publications/cbd-bbnj-booklet-en.pdf</w:t>
        </w:r>
      </w:hyperlink>
      <w:r w:rsidRPr="00653BF4">
        <w:rPr>
          <w:lang w:val="fr-FR"/>
        </w:rPr>
        <w:t xml:space="preserve"> (consulté le 17 avril 2026)</w:t>
      </w:r>
    </w:p>
    <w:p w14:paraId="3CB79B8E" w14:textId="36A47476" w:rsidR="007A60EC" w:rsidRPr="00653BF4" w:rsidRDefault="007A60EC" w:rsidP="007A60EC">
      <w:pPr>
        <w:pStyle w:val="Bibliography"/>
        <w:rPr>
          <w:lang w:val="fr-FR"/>
        </w:rPr>
      </w:pPr>
      <w:r w:rsidRPr="00653BF4">
        <w:rPr>
          <w:lang w:val="fr-FR"/>
        </w:rPr>
        <w:t>CDB, 2026. CBD/COP/16/13/Rev.1</w:t>
      </w:r>
      <w:r w:rsidR="00E34DC9">
        <w:rPr>
          <w:lang w:val="fr-FR"/>
        </w:rPr>
        <w:t> :</w:t>
      </w:r>
      <w:r w:rsidRPr="00653BF4">
        <w:rPr>
          <w:lang w:val="fr-FR"/>
        </w:rPr>
        <w:t xml:space="preserve"> Rapport de la Conférence des Parties à la Convention sur la diversité biologique sur sa seizième réunion. Secrétariat de la Convention sur la diversité biologique, Rome. Disponible à l’adresse </w:t>
      </w:r>
      <w:hyperlink r:id="rId291" w:history="1">
        <w:r w:rsidRPr="00653BF4">
          <w:rPr>
            <w:rStyle w:val="Hyperlink"/>
            <w:lang w:val="fr-FR"/>
          </w:rPr>
          <w:t>https://www.cbd.int/doc/c/a5a2/459d/35c27fcdd69f8e15a4885bc6/cop-16-13-rev1-fr.pdf</w:t>
        </w:r>
      </w:hyperlink>
    </w:p>
    <w:p w14:paraId="6AD75FA4" w14:textId="77777777" w:rsidR="007A60EC" w:rsidRPr="00653BF4" w:rsidRDefault="007A60EC" w:rsidP="007A60EC">
      <w:pPr>
        <w:pStyle w:val="Bibliography"/>
        <w:rPr>
          <w:lang w:val="fr-FR"/>
        </w:rPr>
      </w:pPr>
      <w:r w:rsidRPr="00653BF4">
        <w:rPr>
          <w:lang w:val="fr-FR"/>
        </w:rPr>
        <w:t xml:space="preserve">CDB, Convention sur les zones humides, 2024. </w:t>
      </w:r>
      <w:r w:rsidRPr="00543148">
        <w:rPr>
          <w:lang w:val="en-US"/>
        </w:rPr>
        <w:t xml:space="preserve">CBD/COP/16/INF/19: Sixth joint work plan (2024–2030) of the Convention on Biological Diversity and the Convention on Wetlands of International Importance especially as Waterfowl Habitat. </w:t>
      </w:r>
      <w:r w:rsidRPr="00653BF4">
        <w:rPr>
          <w:lang w:val="fr-FR"/>
        </w:rPr>
        <w:t xml:space="preserve">Secrétariat de la Convention sur la diversité biologique, Cali. Disponible à l’adresse </w:t>
      </w:r>
      <w:hyperlink r:id="rId292" w:history="1">
        <w:r w:rsidRPr="00653BF4">
          <w:rPr>
            <w:rStyle w:val="Hyperlink"/>
            <w:lang w:val="fr-FR"/>
          </w:rPr>
          <w:t>https://www.cbd.int/doc/c/9064/7ac2/28ce9b98f96e723a731f3361/cop-16-inf-19-en.pdf</w:t>
        </w:r>
      </w:hyperlink>
      <w:r w:rsidRPr="00653BF4">
        <w:rPr>
          <w:lang w:val="fr-FR"/>
        </w:rPr>
        <w:t xml:space="preserve"> (consulté le 21 mai 2026)</w:t>
      </w:r>
    </w:p>
    <w:p w14:paraId="637CF43D" w14:textId="77777777" w:rsidR="007A60EC" w:rsidRPr="00653BF4" w:rsidRDefault="007A60EC" w:rsidP="007A60EC">
      <w:pPr>
        <w:pStyle w:val="Bibliography"/>
        <w:rPr>
          <w:lang w:val="fr-FR"/>
        </w:rPr>
      </w:pPr>
      <w:r w:rsidRPr="00543148">
        <w:rPr>
          <w:lang w:val="en-US"/>
        </w:rPr>
        <w:t xml:space="preserve">CDP, 2025. Target 15 data: CDP monitoring of the global biodiversity framework (GBF) target 15.1. </w:t>
      </w:r>
      <w:r w:rsidRPr="00653BF4">
        <w:rPr>
          <w:lang w:val="fr-FR"/>
        </w:rPr>
        <w:t xml:space="preserve">CDP Worldwide. Disponible à l’adresse </w:t>
      </w:r>
      <w:hyperlink r:id="rId293" w:history="1">
        <w:r w:rsidRPr="00653BF4">
          <w:rPr>
            <w:rStyle w:val="Hyperlink"/>
            <w:lang w:val="fr-FR"/>
          </w:rPr>
          <w:t>https://www.cdp.net/en/data/monitoring-gbf</w:t>
        </w:r>
      </w:hyperlink>
    </w:p>
    <w:p w14:paraId="4BB2A419" w14:textId="77777777" w:rsidR="007A60EC" w:rsidRPr="00653BF4" w:rsidRDefault="007A60EC" w:rsidP="007A60EC">
      <w:pPr>
        <w:pStyle w:val="Bibliography"/>
        <w:rPr>
          <w:lang w:val="fr-FR"/>
        </w:rPr>
      </w:pPr>
      <w:r w:rsidRPr="00653BF4">
        <w:rPr>
          <w:lang w:val="fr-FR"/>
        </w:rPr>
        <w:t xml:space="preserve">CEE, 1979. Convention sur la pollution atmosphérique transfrontière à longue distance. Disponible à l’adresse </w:t>
      </w:r>
      <w:hyperlink r:id="rId294" w:history="1">
        <w:r w:rsidRPr="00653BF4">
          <w:rPr>
            <w:rStyle w:val="Hyperlink"/>
            <w:lang w:val="fr-FR"/>
          </w:rPr>
          <w:t>https://unece.org/sites/default/files/2021-05/1979%20CLRTAP.f.pdf</w:t>
        </w:r>
      </w:hyperlink>
    </w:p>
    <w:p w14:paraId="1F4E280E" w14:textId="77777777" w:rsidR="007A60EC" w:rsidRPr="00653BF4" w:rsidRDefault="007A60EC" w:rsidP="007A60EC">
      <w:pPr>
        <w:pStyle w:val="Bibliography"/>
        <w:rPr>
          <w:lang w:val="fr-FR"/>
        </w:rPr>
      </w:pPr>
      <w:r w:rsidRPr="00653BF4">
        <w:rPr>
          <w:lang w:val="fr-FR"/>
        </w:rPr>
        <w:t xml:space="preserve">CEE, 1998. Convention sur l’accès à l’information, la participation du public au processus décisionnel et l’accès à la justice en matière d’environnement. Commission économique pour l’Europe (CEE), Aarhus. Disponible à l’adresse </w:t>
      </w:r>
      <w:hyperlink r:id="rId295" w:history="1">
        <w:r w:rsidRPr="00653BF4">
          <w:rPr>
            <w:rStyle w:val="Hyperlink"/>
            <w:lang w:val="fr-FR"/>
          </w:rPr>
          <w:t>https://unece.org/environment-policy/public-participation/aarhus-convention/text</w:t>
        </w:r>
      </w:hyperlink>
      <w:r w:rsidRPr="00653BF4">
        <w:rPr>
          <w:lang w:val="fr-FR"/>
        </w:rPr>
        <w:t xml:space="preserve"> (consulté le 27 juillet 2026)</w:t>
      </w:r>
    </w:p>
    <w:p w14:paraId="146353D1" w14:textId="77777777" w:rsidR="007A60EC" w:rsidRPr="00653BF4" w:rsidRDefault="007A60EC" w:rsidP="007A60EC">
      <w:pPr>
        <w:pStyle w:val="Bibliography"/>
        <w:rPr>
          <w:lang w:val="fr-FR"/>
        </w:rPr>
      </w:pPr>
      <w:r w:rsidRPr="00543148">
        <w:rPr>
          <w:lang w:val="en-US"/>
        </w:rPr>
        <w:t xml:space="preserve">CFFA, 2025a. Submission of the Secretariat of Conservation of Arctic Flora and Fauna (CAFF), in response to CBD notification 2025-099. </w:t>
      </w:r>
      <w:r w:rsidRPr="00653BF4">
        <w:rPr>
          <w:lang w:val="fr-FR"/>
        </w:rPr>
        <w:t xml:space="preserve">Secrétariat de la Convention sur la diversité biologique, Montréal. Disponible à l’adresse </w:t>
      </w:r>
      <w:hyperlink r:id="rId296" w:history="1">
        <w:r w:rsidRPr="00653BF4">
          <w:rPr>
            <w:rStyle w:val="Hyperlink"/>
            <w:lang w:val="fr-FR"/>
          </w:rPr>
          <w:t>https://www.cbd.int/notifications/2025-099</w:t>
        </w:r>
      </w:hyperlink>
      <w:r w:rsidRPr="00653BF4">
        <w:rPr>
          <w:lang w:val="fr-FR"/>
        </w:rPr>
        <w:t xml:space="preserve"> (consulté le 21 mai 2026)</w:t>
      </w:r>
    </w:p>
    <w:p w14:paraId="41932B47" w14:textId="77777777" w:rsidR="007A60EC" w:rsidRPr="00653BF4" w:rsidRDefault="007A60EC" w:rsidP="007A60EC">
      <w:pPr>
        <w:pStyle w:val="Bibliography"/>
        <w:rPr>
          <w:lang w:val="fr-FR"/>
        </w:rPr>
      </w:pPr>
      <w:r w:rsidRPr="00543148">
        <w:rPr>
          <w:lang w:val="en-US"/>
        </w:rPr>
        <w:t xml:space="preserve">CFFA, 2025b. Actions for Arctic Biodiversity 2025-2035. </w:t>
      </w:r>
      <w:r w:rsidRPr="00653BF4">
        <w:rPr>
          <w:lang w:val="fr-FR"/>
        </w:rPr>
        <w:t xml:space="preserve">Conservation de la flore et de la faune arctiques, Akureyri (Islande). Disponible à l’adresse </w:t>
      </w:r>
      <w:hyperlink r:id="rId297" w:history="1">
        <w:r w:rsidRPr="00653BF4">
          <w:rPr>
            <w:rStyle w:val="Hyperlink"/>
            <w:lang w:val="fr-FR"/>
          </w:rPr>
          <w:t>https://oaarchive.arctic-council.org/items/287297c8-cdec-46e1-8022-2c240242d1ad</w:t>
        </w:r>
      </w:hyperlink>
      <w:r w:rsidRPr="00653BF4">
        <w:rPr>
          <w:lang w:val="fr-FR"/>
        </w:rPr>
        <w:t xml:space="preserve"> (consulté le 21 mai 2026)</w:t>
      </w:r>
    </w:p>
    <w:p w14:paraId="45F01F08" w14:textId="77777777" w:rsidR="007A60EC" w:rsidRPr="00653BF4" w:rsidRDefault="007A60EC" w:rsidP="007A60EC">
      <w:pPr>
        <w:pStyle w:val="Bibliography"/>
        <w:rPr>
          <w:lang w:val="fr-FR"/>
        </w:rPr>
      </w:pPr>
      <w:r w:rsidRPr="00543148">
        <w:rPr>
          <w:lang w:val="en-US"/>
        </w:rPr>
        <w:lastRenderedPageBreak/>
        <w:t xml:space="preserve">CITES, 2025a. Submission of the Secretariat of the Convention on International Trade in Endangered Species of Wild Fauna and Flora (CITES), in response to CBD notification 2025-099. </w:t>
      </w:r>
      <w:r w:rsidRPr="00653BF4">
        <w:rPr>
          <w:lang w:val="fr-FR"/>
        </w:rPr>
        <w:t xml:space="preserve">Secrétariat de la Convention sur la diversité biologique, Montréal. Disponible à l’adresse </w:t>
      </w:r>
      <w:hyperlink r:id="rId298" w:history="1">
        <w:r w:rsidRPr="00653BF4">
          <w:rPr>
            <w:rStyle w:val="Hyperlink"/>
            <w:lang w:val="fr-FR"/>
          </w:rPr>
          <w:t>https://www.cbd.int/notifications/2025-099</w:t>
        </w:r>
      </w:hyperlink>
      <w:r w:rsidRPr="00653BF4">
        <w:rPr>
          <w:lang w:val="fr-FR"/>
        </w:rPr>
        <w:t xml:space="preserve"> (consulté le 21 mai 2026)</w:t>
      </w:r>
    </w:p>
    <w:p w14:paraId="27E34063" w14:textId="59F05066" w:rsidR="007A60EC" w:rsidRPr="00653BF4" w:rsidRDefault="007A60EC" w:rsidP="007A60EC">
      <w:pPr>
        <w:pStyle w:val="Bibliography"/>
        <w:rPr>
          <w:lang w:val="fr-FR"/>
        </w:rPr>
      </w:pPr>
      <w:r w:rsidRPr="00653BF4">
        <w:rPr>
          <w:lang w:val="fr-FR"/>
        </w:rPr>
        <w:t>CITES, 2025b. SC79 Doc. 6.4</w:t>
      </w:r>
      <w:r w:rsidR="00E34DC9">
        <w:rPr>
          <w:lang w:val="fr-FR"/>
        </w:rPr>
        <w:t> :</w:t>
      </w:r>
      <w:r w:rsidRPr="00653BF4">
        <w:rPr>
          <w:lang w:val="fr-FR"/>
        </w:rPr>
        <w:t xml:space="preserve"> Palissandres, bois de rose (Dalbergia spp.) et ébènes (Diospyros spp.) de Madagascar. Secrétariat de la Convention sur le commerce international des espèces de faune et de flore sauvages menacées d’extinction, Samarcande. Disponible à l’adresse </w:t>
      </w:r>
      <w:hyperlink r:id="rId299" w:history="1">
        <w:r w:rsidRPr="00653BF4">
          <w:rPr>
            <w:rStyle w:val="Hyperlink"/>
            <w:lang w:val="fr-FR"/>
          </w:rPr>
          <w:t>https://cites.org/fra/sc/79/agenda-documents</w:t>
        </w:r>
      </w:hyperlink>
      <w:r w:rsidRPr="00653BF4">
        <w:rPr>
          <w:lang w:val="fr-FR"/>
        </w:rPr>
        <w:t xml:space="preserve"> (consulté le 21 mai 2026)</w:t>
      </w:r>
    </w:p>
    <w:p w14:paraId="5429DE92" w14:textId="5CD5CE78" w:rsidR="007A60EC" w:rsidRPr="00653BF4" w:rsidRDefault="007A60EC" w:rsidP="007A60EC">
      <w:pPr>
        <w:pStyle w:val="Bibliography"/>
        <w:rPr>
          <w:lang w:val="fr-FR"/>
        </w:rPr>
      </w:pPr>
      <w:r w:rsidRPr="00653BF4">
        <w:rPr>
          <w:lang w:val="fr-FR"/>
        </w:rPr>
        <w:t>CITES, 2025c. Conf. 16.4 (Rev. CoP20)</w:t>
      </w:r>
      <w:r w:rsidR="00E34DC9">
        <w:rPr>
          <w:lang w:val="fr-FR"/>
        </w:rPr>
        <w:t> :</w:t>
      </w:r>
      <w:r w:rsidRPr="00653BF4">
        <w:rPr>
          <w:lang w:val="fr-FR"/>
        </w:rPr>
        <w:t xml:space="preserve"> Coopération de la CITES avec d’autres conventions relatives à la biodiversité. Secrétariat de la Convention sur le commerce international des espèces de faune et de flore sauvages menacées d’extinction, Samarcande. Disponible à l’adresse </w:t>
      </w:r>
      <w:hyperlink r:id="rId300" w:history="1">
        <w:r w:rsidRPr="00653BF4">
          <w:rPr>
            <w:rStyle w:val="Hyperlink"/>
            <w:lang w:val="fr-FR"/>
          </w:rPr>
          <w:t>https://cites.org/fra/res/index.php</w:t>
        </w:r>
      </w:hyperlink>
      <w:r w:rsidRPr="00653BF4">
        <w:rPr>
          <w:lang w:val="fr-FR"/>
        </w:rPr>
        <w:t xml:space="preserve"> (consulté le 31 juillet 2026)</w:t>
      </w:r>
    </w:p>
    <w:p w14:paraId="654C6140" w14:textId="7C2DA197" w:rsidR="007A60EC" w:rsidRPr="00653BF4" w:rsidRDefault="007A60EC" w:rsidP="007A60EC">
      <w:pPr>
        <w:pStyle w:val="Bibliography"/>
        <w:rPr>
          <w:lang w:val="fr-FR"/>
        </w:rPr>
      </w:pPr>
      <w:r w:rsidRPr="00653BF4">
        <w:rPr>
          <w:lang w:val="fr-FR"/>
        </w:rPr>
        <w:t>CITES, 2025d. Conf. 18.3 (Rev. CoP20)</w:t>
      </w:r>
      <w:r w:rsidR="00E34DC9">
        <w:rPr>
          <w:lang w:val="fr-FR"/>
        </w:rPr>
        <w:t> :</w:t>
      </w:r>
      <w:r w:rsidRPr="00653BF4">
        <w:rPr>
          <w:lang w:val="fr-FR"/>
        </w:rPr>
        <w:t xml:space="preserve"> Vision de la stratégie CITES pour 2021-2030. Secrétariat de la Convention sur le commerce international des espèces de faune et de flore sauvages menacées d’extinction, Samarcande. Disponible à l’adresse </w:t>
      </w:r>
      <w:hyperlink r:id="rId301" w:history="1">
        <w:r w:rsidRPr="00653BF4">
          <w:rPr>
            <w:rStyle w:val="Hyperlink"/>
            <w:lang w:val="fr-FR"/>
          </w:rPr>
          <w:t>https://cites.org/fra/res/index.php</w:t>
        </w:r>
      </w:hyperlink>
      <w:r w:rsidRPr="00653BF4">
        <w:rPr>
          <w:lang w:val="fr-FR"/>
        </w:rPr>
        <w:t xml:space="preserve"> (consulté le 31 juillet 2026)</w:t>
      </w:r>
    </w:p>
    <w:p w14:paraId="3E3BC8C4" w14:textId="0F51FA4E" w:rsidR="007A60EC" w:rsidRPr="00653BF4" w:rsidRDefault="007A60EC" w:rsidP="007A60EC">
      <w:pPr>
        <w:pStyle w:val="Bibliography"/>
        <w:rPr>
          <w:lang w:val="fr-FR"/>
        </w:rPr>
      </w:pPr>
      <w:r w:rsidRPr="00653BF4">
        <w:rPr>
          <w:lang w:val="fr-FR"/>
        </w:rPr>
        <w:t>CITES, 2026. 2026/005</w:t>
      </w:r>
      <w:r w:rsidR="00E34DC9">
        <w:rPr>
          <w:lang w:val="fr-FR"/>
        </w:rPr>
        <w:t> :</w:t>
      </w:r>
      <w:r w:rsidRPr="00653BF4">
        <w:rPr>
          <w:lang w:val="fr-FR"/>
        </w:rPr>
        <w:t xml:space="preserve"> Notification aux Parties – Amendements aux Annexes I et II de la Convention adoptés par la Conférence des Parties à sa 20</w:t>
      </w:r>
      <w:r w:rsidRPr="00653BF4">
        <w:rPr>
          <w:vertAlign w:val="superscript"/>
          <w:lang w:val="fr-FR"/>
        </w:rPr>
        <w:t>e</w:t>
      </w:r>
      <w:r w:rsidRPr="00653BF4">
        <w:rPr>
          <w:lang w:val="fr-FR"/>
        </w:rPr>
        <w:t xml:space="preserve"> session (Samarkand, 24 novembre – 5 décembre 2025). Secrétariat de la Convention sur le commerce international des espèces de faune et de flore sauvages menacées d’extinction, Genève. Disponible à l’adresse </w:t>
      </w:r>
      <w:hyperlink r:id="rId302" w:history="1">
        <w:r w:rsidRPr="00653BF4">
          <w:rPr>
            <w:rStyle w:val="Hyperlink"/>
            <w:lang w:val="fr-FR"/>
          </w:rPr>
          <w:t>https://cites.org/sites/default/files/notifications/F-Notif-2026-005_0.pdf</w:t>
        </w:r>
      </w:hyperlink>
      <w:r w:rsidRPr="00653BF4">
        <w:rPr>
          <w:lang w:val="fr-FR"/>
        </w:rPr>
        <w:t xml:space="preserve"> (consulté le 21 mai 2026)</w:t>
      </w:r>
    </w:p>
    <w:p w14:paraId="1691CBFD" w14:textId="23394ECA" w:rsidR="007A60EC" w:rsidRPr="00653BF4" w:rsidRDefault="007A60EC" w:rsidP="007A60EC">
      <w:pPr>
        <w:pStyle w:val="Bibliography"/>
        <w:rPr>
          <w:lang w:val="fr-FR"/>
        </w:rPr>
      </w:pPr>
      <w:r w:rsidRPr="00653BF4">
        <w:rPr>
          <w:lang w:val="fr-FR"/>
        </w:rPr>
        <w:t>CLD, 2015. Décision 3/COP.12</w:t>
      </w:r>
      <w:r w:rsidR="00E34DC9">
        <w:rPr>
          <w:lang w:val="fr-FR"/>
        </w:rPr>
        <w:t> :</w:t>
      </w:r>
      <w:r w:rsidRPr="00653BF4">
        <w:rPr>
          <w:lang w:val="fr-FR"/>
        </w:rPr>
        <w:t xml:space="preserve"> Intégration des buts et objectifs de développement durable dans la mise en œuvre de la Convention des Nations Unies sur la lutte contre la désertification et rapport du Groupe de travail intergouvernemental sur la neutralité en matière de dégradation des terres. Secrétariat de la Convention des Nations Unies sur la lutte contre la désertification, Ankara. Disponible à l’adresse </w:t>
      </w:r>
      <w:hyperlink r:id="rId303" w:history="1">
        <w:r w:rsidRPr="00653BF4">
          <w:rPr>
            <w:rStyle w:val="Hyperlink"/>
            <w:lang w:val="fr-FR"/>
          </w:rPr>
          <w:t>https://www.unccd.int/official-documentscop-12-ankara-2015/3cop12</w:t>
        </w:r>
      </w:hyperlink>
      <w:r w:rsidRPr="00653BF4">
        <w:rPr>
          <w:lang w:val="fr-FR"/>
        </w:rPr>
        <w:t xml:space="preserve"> (consulté le 21 mai 2026)</w:t>
      </w:r>
    </w:p>
    <w:p w14:paraId="724B7901" w14:textId="77777777" w:rsidR="007A60EC" w:rsidRPr="00653BF4" w:rsidRDefault="007A60EC" w:rsidP="007A60EC">
      <w:pPr>
        <w:pStyle w:val="Bibliography"/>
        <w:rPr>
          <w:lang w:val="fr-FR"/>
        </w:rPr>
      </w:pPr>
      <w:r w:rsidRPr="00543148">
        <w:rPr>
          <w:lang w:val="en-US"/>
        </w:rPr>
        <w:t xml:space="preserve">CLD, 2022. UNCCD Data Dashboard: Proportion of degraded land over the total land area – Africa. </w:t>
      </w:r>
      <w:r w:rsidRPr="00653BF4">
        <w:rPr>
          <w:lang w:val="fr-FR"/>
        </w:rPr>
        <w:t xml:space="preserve">Secrétariat de la Convention des Nations Unies sur la lutte contre la désertification, Bonn. Disponible à l’adresse </w:t>
      </w:r>
      <w:hyperlink r:id="rId304" w:history="1">
        <w:r w:rsidRPr="00653BF4">
          <w:rPr>
            <w:rStyle w:val="Hyperlink"/>
            <w:lang w:val="fr-FR"/>
          </w:rPr>
          <w:t>https://data.unccd.int/land-degradation?grouping=UNCCD&amp;region=aprL8rz</w:t>
        </w:r>
      </w:hyperlink>
    </w:p>
    <w:p w14:paraId="546E223C" w14:textId="076CAEB6" w:rsidR="007A60EC" w:rsidRPr="00653BF4" w:rsidRDefault="007A60EC" w:rsidP="007A60EC">
      <w:pPr>
        <w:pStyle w:val="Bibliography"/>
        <w:rPr>
          <w:lang w:val="fr-FR"/>
        </w:rPr>
      </w:pPr>
      <w:r w:rsidRPr="00653BF4">
        <w:rPr>
          <w:lang w:val="fr-FR"/>
        </w:rPr>
        <w:t>CLD, 2024a. Décision 19/COP.16</w:t>
      </w:r>
      <w:r w:rsidR="00E34DC9">
        <w:rPr>
          <w:lang w:val="fr-FR"/>
        </w:rPr>
        <w:t> :</w:t>
      </w:r>
      <w:r w:rsidRPr="00653BF4">
        <w:rPr>
          <w:lang w:val="fr-FR"/>
        </w:rPr>
        <w:t xml:space="preserve"> Éviter, réduire et faire reculer la dégradation des terres et des sols agricoles. CLD. Disponible à l’adresse </w:t>
      </w:r>
      <w:hyperlink r:id="rId305" w:history="1">
        <w:r w:rsidRPr="00653BF4">
          <w:rPr>
            <w:rStyle w:val="Hyperlink"/>
            <w:lang w:val="fr-FR"/>
          </w:rPr>
          <w:t>https://www.unccd.int/sites/default/files/2025-03/2424652F.pdf</w:t>
        </w:r>
      </w:hyperlink>
    </w:p>
    <w:p w14:paraId="20242FD7" w14:textId="4C9D128B" w:rsidR="007A60EC" w:rsidRPr="00653BF4" w:rsidRDefault="007A60EC" w:rsidP="007A60EC">
      <w:pPr>
        <w:pStyle w:val="Bibliography"/>
        <w:rPr>
          <w:lang w:val="fr-FR"/>
        </w:rPr>
      </w:pPr>
      <w:r w:rsidRPr="00653BF4">
        <w:rPr>
          <w:lang w:val="fr-FR"/>
        </w:rPr>
        <w:t>CLD, 2024b. Décision 29/COP.16</w:t>
      </w:r>
      <w:r w:rsidR="00E34DC9">
        <w:rPr>
          <w:lang w:val="fr-FR"/>
        </w:rPr>
        <w:t> :</w:t>
      </w:r>
      <w:r w:rsidRPr="00653BF4">
        <w:rPr>
          <w:lang w:val="fr-FR"/>
        </w:rPr>
        <w:t xml:space="preserve"> Parcours et éleveurs. CLD. Disponible à l’adresse </w:t>
      </w:r>
      <w:hyperlink r:id="rId306" w:history="1">
        <w:r w:rsidRPr="00653BF4">
          <w:rPr>
            <w:rStyle w:val="Hyperlink"/>
            <w:lang w:val="fr-FR"/>
          </w:rPr>
          <w:t>https://www.unccd.int/sites/default/files/2025-03/2424652F.pdf</w:t>
        </w:r>
      </w:hyperlink>
    </w:p>
    <w:p w14:paraId="274C0EFE" w14:textId="77777777" w:rsidR="007A60EC" w:rsidRPr="00653BF4" w:rsidRDefault="007A60EC" w:rsidP="007A60EC">
      <w:pPr>
        <w:pStyle w:val="Bibliography"/>
        <w:rPr>
          <w:lang w:val="fr-FR"/>
        </w:rPr>
      </w:pPr>
      <w:r w:rsidRPr="00543148">
        <w:rPr>
          <w:lang w:val="en-US"/>
        </w:rPr>
        <w:t xml:space="preserve">CLD, 2025. Submission of the Secretariat of the United Nations Convention to Combat Desertification (UNCCD), in response to CBD notification 2025-099. </w:t>
      </w:r>
      <w:r w:rsidRPr="00653BF4">
        <w:rPr>
          <w:lang w:val="fr-FR"/>
        </w:rPr>
        <w:t xml:space="preserve">Secrétariat de </w:t>
      </w:r>
      <w:r w:rsidRPr="00653BF4">
        <w:rPr>
          <w:lang w:val="fr-FR"/>
        </w:rPr>
        <w:lastRenderedPageBreak/>
        <w:t xml:space="preserve">la Convention sur la diversité biologique. Disponible à l’adresse </w:t>
      </w:r>
      <w:hyperlink r:id="rId307" w:history="1">
        <w:r w:rsidRPr="00653BF4">
          <w:rPr>
            <w:rStyle w:val="Hyperlink"/>
            <w:lang w:val="fr-FR"/>
          </w:rPr>
          <w:t>https://www.cbd.int/notifications/2025-099</w:t>
        </w:r>
      </w:hyperlink>
      <w:r w:rsidRPr="00653BF4">
        <w:rPr>
          <w:lang w:val="fr-FR"/>
        </w:rPr>
        <w:t xml:space="preserve"> (consulté le 21 mai 2026)</w:t>
      </w:r>
    </w:p>
    <w:p w14:paraId="2BE7EF7B" w14:textId="016B110E" w:rsidR="007A60EC" w:rsidRPr="00653BF4" w:rsidRDefault="007A60EC" w:rsidP="007A60EC">
      <w:pPr>
        <w:pStyle w:val="Bibliography"/>
        <w:rPr>
          <w:lang w:val="fr-FR"/>
        </w:rPr>
      </w:pPr>
      <w:r w:rsidRPr="00653BF4">
        <w:rPr>
          <w:lang w:val="fr-FR"/>
        </w:rPr>
        <w:t>Comité du patrimoine mondial, 2023. Décision 45 COM 7.2</w:t>
      </w:r>
      <w:r w:rsidR="00E34DC9">
        <w:rPr>
          <w:lang w:val="fr-FR"/>
        </w:rPr>
        <w:t> :</w:t>
      </w:r>
      <w:r w:rsidRPr="00653BF4">
        <w:rPr>
          <w:lang w:val="fr-FR"/>
        </w:rPr>
        <w:t xml:space="preserve"> État de conservation des biens du patrimoine mondial. UNESCO, Paris. Disponible à l’adresse </w:t>
      </w:r>
      <w:hyperlink r:id="rId308" w:history="1">
        <w:r w:rsidRPr="00653BF4">
          <w:rPr>
            <w:rStyle w:val="Hyperlink"/>
            <w:lang w:val="fr-FR"/>
          </w:rPr>
          <w:t>https://whc.unesco.org/fr/decisions/8082/</w:t>
        </w:r>
      </w:hyperlink>
    </w:p>
    <w:p w14:paraId="7BDB06EA" w14:textId="7BDA7ECA" w:rsidR="007A60EC" w:rsidRPr="00653BF4" w:rsidRDefault="007A60EC" w:rsidP="007A60EC">
      <w:pPr>
        <w:pStyle w:val="Bibliography"/>
        <w:rPr>
          <w:lang w:val="fr-FR"/>
        </w:rPr>
      </w:pPr>
      <w:r w:rsidRPr="00653BF4">
        <w:rPr>
          <w:lang w:val="fr-FR"/>
        </w:rPr>
        <w:t>Comité du patrimoine mondial, 2025. Décision 47 COM 5D</w:t>
      </w:r>
      <w:r w:rsidR="00E34DC9">
        <w:rPr>
          <w:lang w:val="fr-FR"/>
        </w:rPr>
        <w:t> :</w:t>
      </w:r>
      <w:r w:rsidRPr="00653BF4">
        <w:rPr>
          <w:lang w:val="fr-FR"/>
        </w:rPr>
        <w:t xml:space="preserve"> Rapport d’avancement sur la Convention du patrimoine mondial et le développement durable. UNESCO, Paris. Disponible à l’adresse </w:t>
      </w:r>
      <w:hyperlink r:id="rId309" w:history="1">
        <w:r w:rsidRPr="00653BF4">
          <w:rPr>
            <w:rStyle w:val="Hyperlink"/>
            <w:lang w:val="fr-FR"/>
          </w:rPr>
          <w:t>https://whc.unesco.org/fr/decisions/8658/</w:t>
        </w:r>
      </w:hyperlink>
      <w:r w:rsidRPr="00653BF4">
        <w:rPr>
          <w:lang w:val="fr-FR"/>
        </w:rPr>
        <w:t xml:space="preserve"> (consulté le 21 mai 2026)</w:t>
      </w:r>
    </w:p>
    <w:p w14:paraId="1CA538EB" w14:textId="74ECF5DE" w:rsidR="007A60EC" w:rsidRPr="00653BF4" w:rsidRDefault="007A60EC" w:rsidP="007A60EC">
      <w:pPr>
        <w:pStyle w:val="Bibliography"/>
        <w:rPr>
          <w:lang w:val="fr-FR"/>
        </w:rPr>
      </w:pPr>
      <w:r w:rsidRPr="00653BF4">
        <w:rPr>
          <w:lang w:val="fr-FR"/>
        </w:rPr>
        <w:t>Commission économique pour l’Amérique latine et les Caraïbes (CEPALC), 2018. LC/PUB.2018/8</w:t>
      </w:r>
      <w:r w:rsidR="00E34DC9">
        <w:rPr>
          <w:lang w:val="fr-FR"/>
        </w:rPr>
        <w:t> :</w:t>
      </w:r>
      <w:r w:rsidRPr="00653BF4">
        <w:rPr>
          <w:lang w:val="fr-FR"/>
        </w:rPr>
        <w:t xml:space="preserve"> Accord régional sur l’accès à l’information, la participation publique et l’accès à la justice à propos des questions environnementales en Amérique latine et dans les Caraïbes. Nations Unies, Santiago. Disponible à l’adresse </w:t>
      </w:r>
      <w:hyperlink r:id="rId310" w:history="1">
        <w:r w:rsidRPr="00653BF4">
          <w:rPr>
            <w:rStyle w:val="Hyperlink"/>
            <w:lang w:val="fr-FR"/>
          </w:rPr>
          <w:t>https://www.cepal.org/en/escazuagreement</w:t>
        </w:r>
      </w:hyperlink>
      <w:r w:rsidRPr="00653BF4">
        <w:rPr>
          <w:lang w:val="fr-FR"/>
        </w:rPr>
        <w:t xml:space="preserve"> (consulté le 25 juillet 2026)</w:t>
      </w:r>
    </w:p>
    <w:p w14:paraId="0985573B" w14:textId="77777777" w:rsidR="007A60EC" w:rsidRPr="00653BF4" w:rsidRDefault="007A60EC" w:rsidP="007A60EC">
      <w:pPr>
        <w:pStyle w:val="Bibliography"/>
        <w:rPr>
          <w:lang w:val="fr-FR"/>
        </w:rPr>
      </w:pPr>
      <w:r w:rsidRPr="00653BF4">
        <w:rPr>
          <w:lang w:val="fr-FR"/>
        </w:rPr>
        <w:t xml:space="preserve">Commission européenne, Direction générale de l’environnement, 2023. </w:t>
      </w:r>
      <w:r w:rsidRPr="00543148">
        <w:rPr>
          <w:lang w:val="en-US"/>
        </w:rPr>
        <w:t xml:space="preserve">Pollinators on the edge: our European hoverflies: the European red list of hoverflies. </w:t>
      </w:r>
      <w:r w:rsidRPr="00653BF4">
        <w:rPr>
          <w:lang w:val="fr-FR"/>
        </w:rPr>
        <w:t xml:space="preserve">Office des publications, Luxembourg. </w:t>
      </w:r>
      <w:hyperlink r:id="rId311" w:history="1">
        <w:r w:rsidRPr="00653BF4">
          <w:rPr>
            <w:rStyle w:val="Hyperlink"/>
            <w:lang w:val="fr-FR"/>
          </w:rPr>
          <w:t>https://doi.org/10.2779/652219</w:t>
        </w:r>
      </w:hyperlink>
    </w:p>
    <w:p w14:paraId="5B702D53" w14:textId="77777777" w:rsidR="007A60EC" w:rsidRPr="00653BF4" w:rsidRDefault="007A60EC" w:rsidP="007A60EC">
      <w:pPr>
        <w:pStyle w:val="Bibliography"/>
        <w:rPr>
          <w:lang w:val="fr-FR"/>
        </w:rPr>
      </w:pPr>
      <w:r w:rsidRPr="00653BF4">
        <w:rPr>
          <w:lang w:val="fr-FR"/>
        </w:rPr>
        <w:t xml:space="preserve">Commission européenne, Direction générale de l’environnement </w:t>
      </w:r>
      <w:r w:rsidRPr="00653BF4">
        <w:rPr>
          <w:i/>
          <w:lang w:val="fr-FR"/>
        </w:rPr>
        <w:t>et al.</w:t>
      </w:r>
      <w:r w:rsidRPr="00653BF4">
        <w:rPr>
          <w:lang w:val="fr-FR"/>
        </w:rPr>
        <w:t xml:space="preserve">, 2025. European red list of butterflies. Office des publications de l’Union européenne, Luxembourg. </w:t>
      </w:r>
      <w:hyperlink r:id="rId312" w:history="1">
        <w:r w:rsidRPr="00653BF4">
          <w:rPr>
            <w:rStyle w:val="Hyperlink"/>
            <w:lang w:val="fr-FR"/>
          </w:rPr>
          <w:t>https://doi.org/10.2779/1280375</w:t>
        </w:r>
      </w:hyperlink>
    </w:p>
    <w:p w14:paraId="7987C083" w14:textId="77777777" w:rsidR="007A60EC" w:rsidRPr="00653BF4" w:rsidRDefault="007A60EC" w:rsidP="007A60EC">
      <w:pPr>
        <w:pStyle w:val="Bibliography"/>
        <w:rPr>
          <w:lang w:val="fr-FR"/>
        </w:rPr>
      </w:pPr>
      <w:r w:rsidRPr="00653BF4">
        <w:rPr>
          <w:lang w:val="fr-FR"/>
        </w:rPr>
        <w:t xml:space="preserve">Commission européenne, Direction générale de l’environnement </w:t>
      </w:r>
      <w:r w:rsidRPr="00653BF4">
        <w:rPr>
          <w:i/>
          <w:lang w:val="fr-FR"/>
        </w:rPr>
        <w:t>et al.</w:t>
      </w:r>
      <w:r w:rsidRPr="00653BF4">
        <w:rPr>
          <w:lang w:val="fr-FR"/>
        </w:rPr>
        <w:t xml:space="preserve">, 2026a. European red list of bees. Office des publications de l’Union européenne, Luxembourg. </w:t>
      </w:r>
      <w:hyperlink r:id="rId313" w:history="1">
        <w:r w:rsidRPr="00653BF4">
          <w:rPr>
            <w:rStyle w:val="Hyperlink"/>
            <w:lang w:val="fr-FR"/>
          </w:rPr>
          <w:t>https://doi.org/10.2779/521877</w:t>
        </w:r>
      </w:hyperlink>
    </w:p>
    <w:p w14:paraId="67F148FD" w14:textId="77777777" w:rsidR="007A60EC" w:rsidRPr="00653BF4" w:rsidRDefault="007A60EC" w:rsidP="007A60EC">
      <w:pPr>
        <w:pStyle w:val="Bibliography"/>
        <w:rPr>
          <w:lang w:val="fr-FR"/>
        </w:rPr>
      </w:pPr>
      <w:r w:rsidRPr="00653BF4">
        <w:rPr>
          <w:lang w:val="fr-FR"/>
        </w:rPr>
        <w:t xml:space="preserve">Commission européenne, Direction générale de l’environnement </w:t>
      </w:r>
      <w:r w:rsidRPr="00653BF4">
        <w:rPr>
          <w:i/>
          <w:lang w:val="fr-FR"/>
        </w:rPr>
        <w:t>et al.</w:t>
      </w:r>
      <w:r w:rsidRPr="00653BF4">
        <w:rPr>
          <w:lang w:val="fr-FR"/>
        </w:rPr>
        <w:t xml:space="preserve">, 2026b. European red list of moths. Office des publications de l’Union européenne, Luxembourg. </w:t>
      </w:r>
      <w:hyperlink r:id="rId314" w:history="1">
        <w:r w:rsidRPr="00653BF4">
          <w:rPr>
            <w:rStyle w:val="Hyperlink"/>
            <w:lang w:val="fr-FR"/>
          </w:rPr>
          <w:t>https://doi.org/10.2779/6590787</w:t>
        </w:r>
      </w:hyperlink>
    </w:p>
    <w:p w14:paraId="2E8A053A" w14:textId="77777777" w:rsidR="007A60EC" w:rsidRPr="00653BF4" w:rsidRDefault="007A60EC" w:rsidP="007A60EC">
      <w:pPr>
        <w:pStyle w:val="Bibliography"/>
        <w:rPr>
          <w:lang w:val="fr-FR"/>
        </w:rPr>
      </w:pPr>
      <w:r w:rsidRPr="00653BF4">
        <w:rPr>
          <w:lang w:val="fr-FR"/>
        </w:rPr>
        <w:t xml:space="preserve">Conseil des normes internationales d’information sur la durabilité, 2023. </w:t>
      </w:r>
      <w:r w:rsidRPr="00543148">
        <w:rPr>
          <w:lang w:val="en-US"/>
        </w:rPr>
        <w:t xml:space="preserve">IFRS sustainability disclosure standards: IFRS S1 and IFRS S2. IFRS Foundation, Londres (Royaume-Uni). </w:t>
      </w:r>
      <w:r w:rsidRPr="00653BF4">
        <w:rPr>
          <w:lang w:val="fr-FR"/>
        </w:rPr>
        <w:t xml:space="preserve">Disponible à l’adresse </w:t>
      </w:r>
      <w:hyperlink r:id="rId315" w:history="1">
        <w:r w:rsidRPr="00653BF4">
          <w:rPr>
            <w:rStyle w:val="Hyperlink"/>
            <w:lang w:val="fr-FR"/>
          </w:rPr>
          <w:t>https://www.ifrs.org/issued-standards/ifrs-sustainability-standards-navigator/</w:t>
        </w:r>
      </w:hyperlink>
    </w:p>
    <w:p w14:paraId="7FF74A73" w14:textId="77777777" w:rsidR="007A60EC" w:rsidRPr="00653BF4" w:rsidRDefault="007A60EC" w:rsidP="007A60EC">
      <w:pPr>
        <w:pStyle w:val="Bibliography"/>
        <w:rPr>
          <w:lang w:val="fr-FR"/>
        </w:rPr>
      </w:pPr>
      <w:r w:rsidRPr="00653BF4">
        <w:rPr>
          <w:lang w:val="fr-FR"/>
        </w:rPr>
        <w:t xml:space="preserve">Convention de Minamata sur le mercure, 2024. Mercure et biodiversité – Opportunités de générer des co-bénéfices par une mise en œuvre cohérente de la Convention de Minamata sur le mercure et du Cadre mondial de la biodiversité de Kunming-Montréal. Secrétariat de la Convention de Minamata sur le mercure, Genève. Disponible à l’adresse </w:t>
      </w:r>
      <w:hyperlink r:id="rId316" w:history="1">
        <w:r w:rsidRPr="00653BF4">
          <w:rPr>
            <w:rStyle w:val="Hyperlink"/>
            <w:lang w:val="fr-FR"/>
          </w:rPr>
          <w:t>https://minamataconvention.org/fr/resources/mercure-et-biodiversite</w:t>
        </w:r>
      </w:hyperlink>
    </w:p>
    <w:p w14:paraId="4CF00973" w14:textId="28D41543" w:rsidR="007A60EC" w:rsidRPr="00653BF4" w:rsidRDefault="007A60EC" w:rsidP="007A60EC">
      <w:pPr>
        <w:pStyle w:val="Bibliography"/>
        <w:rPr>
          <w:lang w:val="fr-FR"/>
        </w:rPr>
      </w:pPr>
      <w:r w:rsidRPr="00653BF4">
        <w:rPr>
          <w:lang w:val="fr-FR"/>
        </w:rPr>
        <w:t>Convention de Minamata sur le mercure, 2025a. UNEP/MC/COP.6/20</w:t>
      </w:r>
      <w:r w:rsidR="00E34DC9">
        <w:rPr>
          <w:lang w:val="fr-FR"/>
        </w:rPr>
        <w:t> :</w:t>
      </w:r>
      <w:r w:rsidRPr="00653BF4">
        <w:rPr>
          <w:lang w:val="fr-FR"/>
        </w:rPr>
        <w:t xml:space="preserve"> Feuille de route pour renforcer les avantages mutuels découlant de la mise en œuvre de la Convention de Minamata et du Cadre mondial de la biodiversité de Kunming-Montréal. Secrétariat de la Convention de Minamata sur le mercure, Genève. Disponible à l’adresse </w:t>
      </w:r>
      <w:hyperlink r:id="rId317" w:history="1">
        <w:r w:rsidRPr="00653BF4">
          <w:rPr>
            <w:rStyle w:val="Hyperlink"/>
            <w:lang w:val="fr-FR"/>
          </w:rPr>
          <w:t>https://minamataconvention.org/sites/default/files/documents/working_document/UNEP-MC-COP6-20-Roadmap-Biodiversity_</w:t>
        </w:r>
        <w:r w:rsidR="00AD36A0">
          <w:rPr>
            <w:rStyle w:val="Hyperlink"/>
            <w:lang w:val="fr-FR"/>
          </w:rPr>
          <w:t>Français</w:t>
        </w:r>
        <w:r w:rsidRPr="00653BF4">
          <w:rPr>
            <w:rStyle w:val="Hyperlink"/>
            <w:lang w:val="fr-FR"/>
          </w:rPr>
          <w:t>.pdf</w:t>
        </w:r>
      </w:hyperlink>
      <w:r w:rsidRPr="00653BF4">
        <w:rPr>
          <w:lang w:val="fr-FR"/>
        </w:rPr>
        <w:t xml:space="preserve"> (consulté le 21 mai 2026)</w:t>
      </w:r>
    </w:p>
    <w:p w14:paraId="2FA75B5E" w14:textId="77777777" w:rsidR="007A60EC" w:rsidRPr="00653BF4" w:rsidRDefault="007A60EC" w:rsidP="007A60EC">
      <w:pPr>
        <w:pStyle w:val="Bibliography"/>
        <w:rPr>
          <w:lang w:val="fr-FR"/>
        </w:rPr>
      </w:pPr>
      <w:r w:rsidRPr="00653BF4">
        <w:rPr>
          <w:lang w:val="fr-FR"/>
        </w:rPr>
        <w:lastRenderedPageBreak/>
        <w:t xml:space="preserve">Convention de Minamata sur le mercure, 2025b. </w:t>
      </w:r>
      <w:r w:rsidRPr="00543148">
        <w:rPr>
          <w:lang w:val="en-US"/>
        </w:rPr>
        <w:t xml:space="preserve">Submission of the Secretariat of the Minamata Convention on Mercury, in response to CBD notification 2025-099. </w:t>
      </w:r>
      <w:r w:rsidRPr="00653BF4">
        <w:rPr>
          <w:lang w:val="fr-FR"/>
        </w:rPr>
        <w:t xml:space="preserve">Secrétariat de la Convention sur la diversité biologique, Montréal. Disponible à l’adresse </w:t>
      </w:r>
      <w:hyperlink r:id="rId318" w:history="1">
        <w:r w:rsidRPr="00653BF4">
          <w:rPr>
            <w:rStyle w:val="Hyperlink"/>
            <w:lang w:val="fr-FR"/>
          </w:rPr>
          <w:t>https://www.cbd.int/notifications/2025-099</w:t>
        </w:r>
      </w:hyperlink>
      <w:r w:rsidRPr="00653BF4">
        <w:rPr>
          <w:lang w:val="fr-FR"/>
        </w:rPr>
        <w:t xml:space="preserve"> (consulté le 21 mai 2026)</w:t>
      </w:r>
    </w:p>
    <w:p w14:paraId="4268EFC7" w14:textId="77777777" w:rsidR="007A60EC" w:rsidRPr="00653BF4" w:rsidRDefault="007A60EC" w:rsidP="007A60EC">
      <w:pPr>
        <w:pStyle w:val="Bibliography"/>
        <w:rPr>
          <w:lang w:val="fr-FR"/>
        </w:rPr>
      </w:pPr>
      <w:r w:rsidRPr="00653BF4">
        <w:rPr>
          <w:lang w:val="fr-FR"/>
        </w:rPr>
        <w:t xml:space="preserve">Convention sur les espèces migratrices, 2008. Plan d’action pour la conservation des oiseaux de proie migrateurs en Afrique et en Eurasie. Disponible à l’adresse </w:t>
      </w:r>
      <w:hyperlink r:id="rId319" w:history="1">
        <w:r w:rsidRPr="00653BF4">
          <w:rPr>
            <w:rStyle w:val="Hyperlink"/>
            <w:lang w:val="fr-FR"/>
          </w:rPr>
          <w:t>https://raptors.cms.int/sites/default/files/document/Raptors_Action_Plan_F_0.pdf</w:t>
        </w:r>
      </w:hyperlink>
    </w:p>
    <w:p w14:paraId="4EC37BD6" w14:textId="77777777" w:rsidR="007A60EC" w:rsidRPr="00653BF4" w:rsidRDefault="007A60EC" w:rsidP="007A60EC">
      <w:pPr>
        <w:pStyle w:val="Bibliography"/>
        <w:rPr>
          <w:lang w:val="fr-FR"/>
        </w:rPr>
      </w:pPr>
      <w:r w:rsidRPr="00653BF4">
        <w:rPr>
          <w:lang w:val="fr-FR"/>
        </w:rPr>
        <w:t xml:space="preserve">Convention sur les espèces migratrices, 2021. </w:t>
      </w:r>
      <w:r w:rsidRPr="00543148">
        <w:rPr>
          <w:lang w:val="en-US"/>
        </w:rPr>
        <w:t xml:space="preserve">UNEP/CMS/Saiga/MOS4/Outcome 1: Medium-Term International Work Programme for the Saiga Antelope (2021-2025). </w:t>
      </w:r>
      <w:r w:rsidRPr="00653BF4">
        <w:rPr>
          <w:lang w:val="fr-FR"/>
        </w:rPr>
        <w:t xml:space="preserve">Secrétariat de la Convention sur la conservation des espèces migratrices appartenant à la faune sauvage, Bonn. Disponible à l’adresse </w:t>
      </w:r>
      <w:hyperlink r:id="rId320" w:history="1">
        <w:r w:rsidRPr="00653BF4">
          <w:rPr>
            <w:rStyle w:val="Hyperlink"/>
            <w:lang w:val="fr-FR"/>
          </w:rPr>
          <w:t>https://saiga.cms.int/document/medium-term-international-work-programme-saiga-antelope-2021-2025</w:t>
        </w:r>
      </w:hyperlink>
    </w:p>
    <w:p w14:paraId="3C7292B7" w14:textId="17CC2C16" w:rsidR="007A60EC" w:rsidRPr="00653BF4" w:rsidRDefault="007A60EC" w:rsidP="007A60EC">
      <w:pPr>
        <w:pStyle w:val="Bibliography"/>
        <w:rPr>
          <w:lang w:val="fr-FR"/>
        </w:rPr>
      </w:pPr>
      <w:r w:rsidRPr="00653BF4">
        <w:rPr>
          <w:lang w:val="fr-FR"/>
        </w:rPr>
        <w:t>Convention sur les espèces migratrices, 2023. UNEP/CMS/COP15/CRP18.3</w:t>
      </w:r>
      <w:r w:rsidR="00E34DC9">
        <w:rPr>
          <w:lang w:val="fr-FR"/>
        </w:rPr>
        <w:t> :</w:t>
      </w:r>
      <w:r w:rsidRPr="00653BF4">
        <w:rPr>
          <w:lang w:val="fr-FR"/>
        </w:rPr>
        <w:t xml:space="preserve"> Contribution de la CMS au Cadre mondial de la biodiversité de Kunming-Montréal. Secrétariat de la Convention sur la conservation des espèces migratrices appartenant à la faune sauvage, Campo Grande. Disponible à l’adresse </w:t>
      </w:r>
      <w:hyperlink r:id="rId321" w:history="1">
        <w:r w:rsidRPr="00653BF4">
          <w:rPr>
            <w:rStyle w:val="Hyperlink"/>
            <w:lang w:val="fr-FR"/>
          </w:rPr>
          <w:t>https://www.cms.int/document/cms-contribution-kunming-montreal-global-biodiversity-framework-1</w:t>
        </w:r>
      </w:hyperlink>
      <w:r w:rsidRPr="00653BF4">
        <w:rPr>
          <w:lang w:val="fr-FR"/>
        </w:rPr>
        <w:t xml:space="preserve"> (consulté le 17 avril 2026)</w:t>
      </w:r>
    </w:p>
    <w:p w14:paraId="12734562" w14:textId="11F740B9" w:rsidR="007A60EC" w:rsidRPr="00543148" w:rsidRDefault="007A60EC" w:rsidP="007A60EC">
      <w:pPr>
        <w:pStyle w:val="Bibliography"/>
      </w:pPr>
      <w:r w:rsidRPr="00653BF4">
        <w:rPr>
          <w:lang w:val="fr-FR"/>
        </w:rPr>
        <w:t>Convention sur les espèces migratrices, 2024. UNEP/CMS/Resolution 14.16</w:t>
      </w:r>
      <w:r w:rsidR="00E34DC9">
        <w:rPr>
          <w:lang w:val="fr-FR"/>
        </w:rPr>
        <w:t> :</w:t>
      </w:r>
      <w:r w:rsidRPr="00653BF4">
        <w:rPr>
          <w:lang w:val="fr-FR"/>
        </w:rPr>
        <w:t xml:space="preserve"> Connectivité écologique. Secrétariat de la Convention sur la conservation des espèces migratrices appartenant à la faune sauvage, Samarcande. </w:t>
      </w:r>
      <w:hyperlink r:id="rId322" w:history="1">
        <w:r w:rsidRPr="00543148">
          <w:rPr>
            <w:rStyle w:val="Hyperlink"/>
          </w:rPr>
          <w:t>https://www.cms.int/sites/default/files/document/cms_cop14_res.14.16_ecological-connectivity_f.pdf</w:t>
        </w:r>
      </w:hyperlink>
    </w:p>
    <w:p w14:paraId="6B397E57" w14:textId="77777777" w:rsidR="007A60EC" w:rsidRPr="00653BF4" w:rsidRDefault="007A60EC" w:rsidP="007A60EC">
      <w:pPr>
        <w:pStyle w:val="Bibliography"/>
        <w:rPr>
          <w:lang w:val="fr-FR"/>
        </w:rPr>
      </w:pPr>
      <w:r w:rsidRPr="00653BF4">
        <w:rPr>
          <w:lang w:val="fr-FR"/>
        </w:rPr>
        <w:t xml:space="preserve">Convention sur les espèces migratrices, 2025a. </w:t>
      </w:r>
      <w:r w:rsidRPr="00543148">
        <w:rPr>
          <w:lang w:val="en-US"/>
        </w:rPr>
        <w:t xml:space="preserve">Submission of the Secretariat of the Convention on the Conservation of Migratory Species of Wild Animals (CMS), in response to CBD notification 2025-099. </w:t>
      </w:r>
      <w:r w:rsidRPr="00653BF4">
        <w:rPr>
          <w:lang w:val="fr-FR"/>
        </w:rPr>
        <w:t xml:space="preserve">Secrétariat de la Convention sur la diversité biologique, Montréal. Disponible à l’adresse </w:t>
      </w:r>
      <w:hyperlink r:id="rId323" w:history="1">
        <w:r w:rsidRPr="00653BF4">
          <w:rPr>
            <w:rStyle w:val="Hyperlink"/>
            <w:lang w:val="fr-FR"/>
          </w:rPr>
          <w:t>https://www.cbd.int/notifications/2025-099</w:t>
        </w:r>
      </w:hyperlink>
      <w:r w:rsidRPr="00653BF4">
        <w:rPr>
          <w:lang w:val="fr-FR"/>
        </w:rPr>
        <w:t xml:space="preserve"> (consulté le 21 mai 2026)</w:t>
      </w:r>
    </w:p>
    <w:p w14:paraId="17B0C339" w14:textId="5EDDA022" w:rsidR="007A60EC" w:rsidRPr="00653BF4" w:rsidRDefault="007A60EC" w:rsidP="007A60EC">
      <w:pPr>
        <w:pStyle w:val="Bibliography"/>
        <w:rPr>
          <w:lang w:val="fr-FR"/>
        </w:rPr>
      </w:pPr>
      <w:r w:rsidRPr="00653BF4">
        <w:rPr>
          <w:lang w:val="fr-FR"/>
        </w:rPr>
        <w:t>Convention sur les espèces migratrices, 2025b. UNEP/CMS/COP15/Doc.15</w:t>
      </w:r>
      <w:r w:rsidR="00E34DC9">
        <w:rPr>
          <w:lang w:val="fr-FR"/>
        </w:rPr>
        <w:t> :</w:t>
      </w:r>
      <w:r w:rsidRPr="00653BF4">
        <w:rPr>
          <w:lang w:val="fr-FR"/>
        </w:rPr>
        <w:t xml:space="preserve"> Plan stratégique de Samarcande pour les espèces migratrices 2024-2032. Secrétariat de la Convention sur la conservation des espèces migratrices appartenant à la faune sauvage, Samarcande. Disponible à l’adresse </w:t>
      </w:r>
      <w:hyperlink r:id="rId324" w:history="1">
        <w:r w:rsidRPr="00653BF4">
          <w:rPr>
            <w:rStyle w:val="Hyperlink"/>
            <w:lang w:val="fr-FR"/>
          </w:rPr>
          <w:t>https://www.cms.int/document/strategic-plan-migratory-species-2024-2032</w:t>
        </w:r>
      </w:hyperlink>
      <w:r w:rsidRPr="00653BF4">
        <w:rPr>
          <w:lang w:val="fr-FR"/>
        </w:rPr>
        <w:t xml:space="preserve"> (consulté le 15 juillet 2026)</w:t>
      </w:r>
    </w:p>
    <w:p w14:paraId="733E1FAC" w14:textId="161D8E2C" w:rsidR="007A60EC" w:rsidRPr="00653BF4" w:rsidRDefault="007A60EC" w:rsidP="007A60EC">
      <w:pPr>
        <w:pStyle w:val="Bibliography"/>
        <w:rPr>
          <w:lang w:val="fr-FR"/>
        </w:rPr>
      </w:pPr>
      <w:r w:rsidRPr="00653BF4">
        <w:rPr>
          <w:lang w:val="fr-FR"/>
        </w:rPr>
        <w:t>Convention sur les zones humides, 2024. Intensifier les efforts de conservation et de restauration des zones humides pour mettre en œuvre le Cadre mondial de la biodiversité de Kunming-Montréal</w:t>
      </w:r>
      <w:r w:rsidR="00E34DC9">
        <w:rPr>
          <w:lang w:val="fr-FR"/>
        </w:rPr>
        <w:t> :</w:t>
      </w:r>
      <w:r w:rsidRPr="00653BF4">
        <w:rPr>
          <w:lang w:val="fr-FR"/>
        </w:rPr>
        <w:t xml:space="preserve"> Orientations sur les moyens d’inscrire les zones humides dans les Stratégies et plans d’action nationaux pour la biodiversité (SPANB) afin de renforcer la biodiversité et de faire cesser la perte et la dégradation des zones humides. Secrétariat de la Convention sur les zones humides, Gland. </w:t>
      </w:r>
      <w:hyperlink r:id="rId325" w:history="1">
        <w:r w:rsidRPr="00653BF4">
          <w:rPr>
            <w:rStyle w:val="Hyperlink"/>
            <w:lang w:val="fr-FR"/>
          </w:rPr>
          <w:t>https://doi.org/10.69556/strp.tr12.24</w:t>
        </w:r>
      </w:hyperlink>
    </w:p>
    <w:p w14:paraId="3151EBA4" w14:textId="77777777" w:rsidR="007A60EC" w:rsidRPr="00653BF4" w:rsidRDefault="007A60EC" w:rsidP="007A60EC">
      <w:pPr>
        <w:pStyle w:val="Bibliography"/>
        <w:rPr>
          <w:lang w:val="fr-FR"/>
        </w:rPr>
      </w:pPr>
      <w:r w:rsidRPr="00653BF4">
        <w:rPr>
          <w:lang w:val="fr-FR"/>
        </w:rPr>
        <w:t xml:space="preserve">Convention sur les zones humides, 2025a. </w:t>
      </w:r>
      <w:r w:rsidRPr="00543148">
        <w:rPr>
          <w:lang w:val="en-US"/>
        </w:rPr>
        <w:t xml:space="preserve">Submission of the Secretariat of the Convention on Wetlands, in response to CBD notification 2025-099. </w:t>
      </w:r>
      <w:r w:rsidRPr="00653BF4">
        <w:rPr>
          <w:lang w:val="fr-FR"/>
        </w:rPr>
        <w:t xml:space="preserve">Secrétariat de la </w:t>
      </w:r>
      <w:r w:rsidRPr="00653BF4">
        <w:rPr>
          <w:lang w:val="fr-FR"/>
        </w:rPr>
        <w:lastRenderedPageBreak/>
        <w:t xml:space="preserve">Convention sur la diversité biologique, Montréal. Disponible à l’adresse </w:t>
      </w:r>
      <w:hyperlink r:id="rId326" w:history="1">
        <w:r w:rsidRPr="00653BF4">
          <w:rPr>
            <w:rStyle w:val="Hyperlink"/>
            <w:lang w:val="fr-FR"/>
          </w:rPr>
          <w:t>https://www.cbd.int/notifications/2025-099</w:t>
        </w:r>
      </w:hyperlink>
      <w:r w:rsidRPr="00653BF4">
        <w:rPr>
          <w:lang w:val="fr-FR"/>
        </w:rPr>
        <w:t xml:space="preserve"> (consulté le 21 mai 2026)</w:t>
      </w:r>
    </w:p>
    <w:p w14:paraId="2EC9CA9F" w14:textId="72AB96BD" w:rsidR="007A60EC" w:rsidRPr="00653BF4" w:rsidRDefault="007A60EC" w:rsidP="007A60EC">
      <w:pPr>
        <w:pStyle w:val="Bibliography"/>
        <w:rPr>
          <w:lang w:val="fr-FR"/>
        </w:rPr>
      </w:pPr>
      <w:r w:rsidRPr="00653BF4">
        <w:rPr>
          <w:lang w:val="fr-FR"/>
        </w:rPr>
        <w:t>Convention sur les zones humides, 2025b. Perspectives mondiales des zones humides 2025</w:t>
      </w:r>
      <w:r w:rsidR="00E34DC9">
        <w:rPr>
          <w:lang w:val="fr-FR"/>
        </w:rPr>
        <w:t> :</w:t>
      </w:r>
      <w:r w:rsidRPr="00653BF4">
        <w:rPr>
          <w:lang w:val="fr-FR"/>
        </w:rPr>
        <w:t xml:space="preserve"> Valoriser, conserver, restaurer et financer les zones humides. Secrétariat de la Convention sur les zones humides, Gland. </w:t>
      </w:r>
      <w:hyperlink r:id="rId327" w:history="1">
        <w:r w:rsidRPr="00653BF4">
          <w:rPr>
            <w:rStyle w:val="Hyperlink"/>
            <w:lang w:val="fr-FR"/>
          </w:rPr>
          <w:t>https://www.global-wetland-outlook.ramsar.org/outlook</w:t>
        </w:r>
      </w:hyperlink>
    </w:p>
    <w:p w14:paraId="0E6EF9A6" w14:textId="77777777" w:rsidR="007A60EC" w:rsidRPr="00653BF4" w:rsidRDefault="007A60EC" w:rsidP="007A60EC">
      <w:pPr>
        <w:pStyle w:val="Bibliography"/>
        <w:rPr>
          <w:lang w:val="fr-FR"/>
        </w:rPr>
      </w:pPr>
      <w:r w:rsidRPr="00653BF4">
        <w:rPr>
          <w:lang w:val="fr-FR"/>
        </w:rPr>
        <w:t xml:space="preserve">Convention sur les zones humides, 2025c. </w:t>
      </w:r>
      <w:r w:rsidRPr="00543148">
        <w:rPr>
          <w:lang w:val="en-US"/>
        </w:rPr>
        <w:t xml:space="preserve">COP15 Inf.3: Report of the Secretariat on assessment of progress on wetland restoration: Full assessment report. </w:t>
      </w:r>
      <w:r w:rsidRPr="00653BF4">
        <w:rPr>
          <w:lang w:val="fr-FR"/>
        </w:rPr>
        <w:t xml:space="preserve">Secrétariat de la Convention sur les zones humides, Victoria Falls. Disponible à l’adresse </w:t>
      </w:r>
      <w:hyperlink r:id="rId328" w:history="1">
        <w:r w:rsidRPr="00653BF4">
          <w:rPr>
            <w:rStyle w:val="Hyperlink"/>
            <w:lang w:val="fr-FR"/>
          </w:rPr>
          <w:t>https://www.ramsar.org/sites/default/files/2025-05/COP15_inf_3_full_restoration_assessment_report_e.pdf</w:t>
        </w:r>
      </w:hyperlink>
      <w:r w:rsidRPr="00653BF4">
        <w:rPr>
          <w:lang w:val="fr-FR"/>
        </w:rPr>
        <w:t xml:space="preserve"> (consulté le 9 juillet 2026)</w:t>
      </w:r>
    </w:p>
    <w:p w14:paraId="526C1E82" w14:textId="3A74CFCF" w:rsidR="007A60EC" w:rsidRPr="00653BF4" w:rsidRDefault="007A60EC" w:rsidP="007A60EC">
      <w:pPr>
        <w:pStyle w:val="Bibliography"/>
        <w:rPr>
          <w:lang w:val="fr-FR"/>
        </w:rPr>
      </w:pPr>
      <w:r w:rsidRPr="00653BF4">
        <w:rPr>
          <w:lang w:val="fr-FR"/>
        </w:rPr>
        <w:t>Convention sur les zones humides, 2025d. COP15 Doc.9 Rev.1</w:t>
      </w:r>
      <w:r w:rsidR="00E34DC9">
        <w:rPr>
          <w:lang w:val="fr-FR"/>
        </w:rPr>
        <w:t> :</w:t>
      </w:r>
      <w:r w:rsidRPr="00653BF4">
        <w:rPr>
          <w:lang w:val="fr-FR"/>
        </w:rPr>
        <w:t xml:space="preserve"> Rapport du Secrétariat conformément à l’article 8.2 sur la Liste des zones humides d’importance internationale. Secrétariat de la Convention sur les zones humides, Victoria Falls. Disponible à l’adresse </w:t>
      </w:r>
      <w:hyperlink r:id="rId329" w:history="1">
        <w:r w:rsidRPr="00653BF4">
          <w:rPr>
            <w:rStyle w:val="Hyperlink"/>
            <w:lang w:val="fr-FR"/>
          </w:rPr>
          <w:t>https://www.ramsar.org/fr/document/cop15-doc9-rev1-rapport-du-secretariat-conformement-larticle-82-sur-la-liste-des-zones</w:t>
        </w:r>
      </w:hyperlink>
      <w:r w:rsidRPr="00653BF4">
        <w:rPr>
          <w:lang w:val="fr-FR"/>
        </w:rPr>
        <w:t xml:space="preserve"> (consulté le 21 mai 2026)</w:t>
      </w:r>
    </w:p>
    <w:p w14:paraId="18DB4CD4" w14:textId="5B349262" w:rsidR="007A60EC" w:rsidRPr="00653BF4" w:rsidRDefault="007A60EC" w:rsidP="007A60EC">
      <w:pPr>
        <w:pStyle w:val="Bibliography"/>
        <w:rPr>
          <w:lang w:val="fr-FR"/>
        </w:rPr>
      </w:pPr>
      <w:r w:rsidRPr="00653BF4">
        <w:rPr>
          <w:lang w:val="fr-FR"/>
        </w:rPr>
        <w:t>Convention sur les zones humides, 2025e. COP15 Doc.8.1</w:t>
      </w:r>
      <w:r w:rsidR="00E34DC9">
        <w:rPr>
          <w:lang w:val="fr-FR"/>
        </w:rPr>
        <w:t> :</w:t>
      </w:r>
      <w:r w:rsidRPr="00653BF4">
        <w:rPr>
          <w:lang w:val="fr-FR"/>
        </w:rPr>
        <w:t xml:space="preserve"> Rapport de la Secrétaire générale sur l’application de la Convention</w:t>
      </w:r>
      <w:r w:rsidR="00E34DC9">
        <w:rPr>
          <w:lang w:val="fr-FR"/>
        </w:rPr>
        <w:t> :</w:t>
      </w:r>
      <w:r w:rsidRPr="00653BF4">
        <w:rPr>
          <w:lang w:val="fr-FR"/>
        </w:rPr>
        <w:t xml:space="preserve"> Application au niveau mondial. Secrétariat de la Convention sur les zones humides, Victoria Falls. Disponible à l’adresse </w:t>
      </w:r>
      <w:hyperlink r:id="rId330" w:history="1">
        <w:r w:rsidRPr="00653BF4">
          <w:rPr>
            <w:rStyle w:val="Hyperlink"/>
            <w:lang w:val="fr-FR"/>
          </w:rPr>
          <w:t>https://www.ramsar.org/sites/default/files/2025-05/cop15_8_1_sg_report_global_implementation_f.pdf</w:t>
        </w:r>
      </w:hyperlink>
      <w:r w:rsidRPr="00653BF4">
        <w:rPr>
          <w:lang w:val="fr-FR"/>
        </w:rPr>
        <w:t xml:space="preserve"> (consulté le 12 août 2026)</w:t>
      </w:r>
    </w:p>
    <w:p w14:paraId="301F0E33" w14:textId="77777777" w:rsidR="007A60EC" w:rsidRPr="00653BF4" w:rsidRDefault="007A60EC" w:rsidP="007A60EC">
      <w:pPr>
        <w:pStyle w:val="Bibliography"/>
        <w:rPr>
          <w:lang w:val="fr-FR"/>
        </w:rPr>
      </w:pPr>
      <w:r w:rsidRPr="00653BF4">
        <w:rPr>
          <w:lang w:val="fr-FR"/>
        </w:rPr>
        <w:t xml:space="preserve">Convention sur les zones humides, 2025f. Le Plan stratégique de la Convention sur les zones humides 2025-2034. Secrétariat de la Convention sur les zones humides, Victoria Falls. Disponible à l’adresse </w:t>
      </w:r>
      <w:hyperlink r:id="rId331" w:history="1">
        <w:r w:rsidRPr="00653BF4">
          <w:rPr>
            <w:rStyle w:val="Hyperlink"/>
            <w:lang w:val="fr-FR"/>
          </w:rPr>
          <w:t>https://www.ramsar.org/sites/default/files/2025-09/Convention_on_Wetlands_fifth_strategic_plan_f.pdf</w:t>
        </w:r>
      </w:hyperlink>
      <w:r w:rsidRPr="00653BF4">
        <w:rPr>
          <w:lang w:val="fr-FR"/>
        </w:rPr>
        <w:t xml:space="preserve"> (consulté le 15 juillet 2026)</w:t>
      </w:r>
    </w:p>
    <w:p w14:paraId="3270824F" w14:textId="687BDA12" w:rsidR="007A60EC" w:rsidRPr="00653BF4" w:rsidRDefault="007A60EC" w:rsidP="007A60EC">
      <w:pPr>
        <w:pStyle w:val="Bibliography"/>
        <w:rPr>
          <w:lang w:val="fr-FR"/>
        </w:rPr>
      </w:pPr>
      <w:r w:rsidRPr="00653BF4">
        <w:rPr>
          <w:lang w:val="fr-FR"/>
        </w:rPr>
        <w:t>Convention sur les zones humides, 2025g. Résolution XV.4</w:t>
      </w:r>
      <w:r w:rsidR="00E34DC9">
        <w:rPr>
          <w:lang w:val="fr-FR"/>
        </w:rPr>
        <w:t> :</w:t>
      </w:r>
      <w:r w:rsidRPr="00653BF4">
        <w:rPr>
          <w:lang w:val="fr-FR"/>
        </w:rPr>
        <w:t xml:space="preserve"> Renforcement de la visibilité de la Convention et synergies avec d’autres accords multilatéraux sur l’environnement et institutions internationales. Secrétariat de la Convention sur les zones humides, Victoria Falls. Disponible à l’adresse </w:t>
      </w:r>
      <w:hyperlink r:id="rId332" w:history="1">
        <w:r w:rsidRPr="00653BF4">
          <w:rPr>
            <w:rStyle w:val="Hyperlink"/>
            <w:lang w:val="fr-FR"/>
          </w:rPr>
          <w:t>https://www.ramsar.org/sites/default/files/2025-09/xv.4_synergies_f.pdf</w:t>
        </w:r>
      </w:hyperlink>
      <w:r w:rsidRPr="00653BF4">
        <w:rPr>
          <w:lang w:val="fr-FR"/>
        </w:rPr>
        <w:t xml:space="preserve"> (consulté le 15 juillet 2026)</w:t>
      </w:r>
    </w:p>
    <w:p w14:paraId="2143EAFD" w14:textId="77777777" w:rsidR="007A60EC" w:rsidRPr="00653BF4" w:rsidRDefault="007A60EC" w:rsidP="007A60EC">
      <w:pPr>
        <w:pStyle w:val="Bibliography"/>
        <w:rPr>
          <w:lang w:val="fr-FR"/>
        </w:rPr>
      </w:pPr>
      <w:r w:rsidRPr="00543148">
        <w:rPr>
          <w:lang w:val="en-US"/>
        </w:rPr>
        <w:t xml:space="preserve">DCCEEW, 2024. Australia’s Circular Economy Framework. </w:t>
      </w:r>
      <w:r w:rsidRPr="00653BF4">
        <w:rPr>
          <w:lang w:val="fr-FR"/>
        </w:rPr>
        <w:t xml:space="preserve">Ministère du changement climatique, de l’énergie, de l’environnement et de l’eau, Canberra. Disponible à l’adresse </w:t>
      </w:r>
      <w:hyperlink r:id="rId333" w:history="1">
        <w:r w:rsidRPr="00653BF4">
          <w:rPr>
            <w:rStyle w:val="Hyperlink"/>
            <w:lang w:val="fr-FR"/>
          </w:rPr>
          <w:t>https://www.dcceew.gov.au/environment/protection/circular-economy/framework</w:t>
        </w:r>
      </w:hyperlink>
      <w:r w:rsidRPr="00653BF4">
        <w:rPr>
          <w:lang w:val="fr-FR"/>
        </w:rPr>
        <w:t xml:space="preserve"> (consulté le 25 juin 2026)</w:t>
      </w:r>
    </w:p>
    <w:p w14:paraId="459AC107" w14:textId="77777777" w:rsidR="007A60EC" w:rsidRPr="00653BF4" w:rsidRDefault="007A60EC" w:rsidP="007A60EC">
      <w:pPr>
        <w:pStyle w:val="Bibliography"/>
        <w:rPr>
          <w:lang w:val="fr-FR"/>
        </w:rPr>
      </w:pPr>
      <w:r w:rsidRPr="00653BF4">
        <w:rPr>
          <w:lang w:val="fr-FR"/>
        </w:rPr>
        <w:t xml:space="preserve">Délégation permanente du Royaume d’Arabie saoudite, informations communiquées à l’UNESCO, 2023. The Rural Cultural Landscapes of Sarawat Mountains. Convention du patrimoine mondial de l’UNESCO, Paris. Disponible à l’adresse </w:t>
      </w:r>
      <w:hyperlink r:id="rId334" w:history="1">
        <w:r w:rsidRPr="00653BF4">
          <w:rPr>
            <w:rStyle w:val="Hyperlink"/>
            <w:lang w:val="fr-FR"/>
          </w:rPr>
          <w:t>https://whc.unesco.org/en/tentativelists/6640/</w:t>
        </w:r>
      </w:hyperlink>
      <w:r w:rsidRPr="00653BF4">
        <w:rPr>
          <w:lang w:val="fr-FR"/>
        </w:rPr>
        <w:t xml:space="preserve"> (consulté le 14 août 2026)</w:t>
      </w:r>
    </w:p>
    <w:p w14:paraId="5CEC1091" w14:textId="77777777" w:rsidR="007A60EC" w:rsidRPr="00653BF4" w:rsidRDefault="007A60EC" w:rsidP="007A60EC">
      <w:pPr>
        <w:pStyle w:val="Bibliography"/>
        <w:rPr>
          <w:lang w:val="fr-FR"/>
        </w:rPr>
      </w:pPr>
      <w:r w:rsidRPr="00653BF4">
        <w:rPr>
          <w:lang w:val="fr-FR"/>
        </w:rPr>
        <w:t xml:space="preserve">Division des affaires maritimes et du droit de la mer, 2025. </w:t>
      </w:r>
      <w:r w:rsidRPr="00543148">
        <w:rPr>
          <w:lang w:val="en-US"/>
        </w:rPr>
        <w:t xml:space="preserve">Submission of the interim secretariat of the Agreement under the United Nations Convention on the Law of the </w:t>
      </w:r>
      <w:r w:rsidRPr="00543148">
        <w:rPr>
          <w:lang w:val="en-US"/>
        </w:rPr>
        <w:lastRenderedPageBreak/>
        <w:t xml:space="preserve">Sea on the Conservation and Sustainable Use of Marine Biological Diversity of Areas beyond National Jurisdiction (BBNJ Agreement). </w:t>
      </w:r>
      <w:r w:rsidRPr="00653BF4">
        <w:rPr>
          <w:lang w:val="fr-FR"/>
        </w:rPr>
        <w:t xml:space="preserve">Secrétariat de la Convention sur la diversité biologique, Montréal. Disponible à l’adresse </w:t>
      </w:r>
      <w:hyperlink r:id="rId335" w:history="1">
        <w:r w:rsidRPr="00653BF4">
          <w:rPr>
            <w:rStyle w:val="Hyperlink"/>
            <w:lang w:val="fr-FR"/>
          </w:rPr>
          <w:t>https://www.cbd.int/notifications/2025-099</w:t>
        </w:r>
      </w:hyperlink>
      <w:r w:rsidRPr="00653BF4">
        <w:rPr>
          <w:lang w:val="fr-FR"/>
        </w:rPr>
        <w:t xml:space="preserve"> (consulté le 21 mai 2026)</w:t>
      </w:r>
    </w:p>
    <w:p w14:paraId="67448183" w14:textId="77777777" w:rsidR="007A60EC" w:rsidRPr="00543148" w:rsidRDefault="007A60EC" w:rsidP="007A60EC">
      <w:pPr>
        <w:pStyle w:val="Bibliography"/>
        <w:rPr>
          <w:lang w:val="en-US"/>
        </w:rPr>
      </w:pPr>
      <w:r w:rsidRPr="00653BF4">
        <w:rPr>
          <w:lang w:val="fr-FR"/>
        </w:rPr>
        <w:t xml:space="preserve">Dossou Etui, I.M. </w:t>
      </w:r>
      <w:r w:rsidRPr="00653BF4">
        <w:rPr>
          <w:i/>
          <w:lang w:val="fr-FR"/>
        </w:rPr>
        <w:t>et al.</w:t>
      </w:r>
      <w:r w:rsidRPr="00653BF4">
        <w:rPr>
          <w:lang w:val="fr-FR"/>
        </w:rPr>
        <w:t xml:space="preserve">, 2024. </w:t>
      </w:r>
      <w:r w:rsidRPr="00543148">
        <w:rPr>
          <w:lang w:val="en-US"/>
        </w:rPr>
        <w:t xml:space="preserve">Artisanal and small-scale gold mining and biodiversity: a global literature review. Ecotoxicology 33, 484–504. </w:t>
      </w:r>
      <w:hyperlink r:id="rId336" w:history="1">
        <w:r w:rsidRPr="00543148">
          <w:rPr>
            <w:rStyle w:val="Hyperlink"/>
            <w:lang w:val="en-US"/>
          </w:rPr>
          <w:t>https://doi.org/10.1007/s10646-024-02748-w</w:t>
        </w:r>
      </w:hyperlink>
    </w:p>
    <w:p w14:paraId="4A295B93" w14:textId="77777777" w:rsidR="007A60EC" w:rsidRPr="00653BF4" w:rsidRDefault="007A60EC" w:rsidP="007A60EC">
      <w:pPr>
        <w:pStyle w:val="Bibliography"/>
        <w:rPr>
          <w:lang w:val="fr-FR"/>
        </w:rPr>
      </w:pPr>
      <w:r w:rsidRPr="00543148">
        <w:rPr>
          <w:lang w:val="en-US"/>
        </w:rPr>
        <w:t xml:space="preserve">Enkhbayar, O. </w:t>
      </w:r>
      <w:r w:rsidRPr="00543148">
        <w:rPr>
          <w:i/>
          <w:lang w:val="en-US"/>
        </w:rPr>
        <w:t>et al.</w:t>
      </w:r>
      <w:r w:rsidRPr="00543148">
        <w:rPr>
          <w:lang w:val="en-US"/>
        </w:rPr>
        <w:t xml:space="preserve">, 2025. Reforming livestock taxation for sustainable rangeland use: Macro-level analysis on Mongolia’s livestock tax law implementation. </w:t>
      </w:r>
      <w:r w:rsidRPr="00653BF4">
        <w:rPr>
          <w:lang w:val="fr-FR"/>
        </w:rPr>
        <w:t xml:space="preserve">Proc. Mong. Acad. Sci. 1–16. </w:t>
      </w:r>
      <w:hyperlink r:id="rId337" w:history="1">
        <w:r w:rsidRPr="00653BF4">
          <w:rPr>
            <w:rStyle w:val="Hyperlink"/>
            <w:lang w:val="fr-FR"/>
          </w:rPr>
          <w:t>https://doi.org/10.5564/pmas.v65i03.4530</w:t>
        </w:r>
      </w:hyperlink>
    </w:p>
    <w:p w14:paraId="2FAB0034" w14:textId="77777777" w:rsidR="007A60EC" w:rsidRPr="00653BF4" w:rsidRDefault="007A60EC" w:rsidP="007A60EC">
      <w:pPr>
        <w:pStyle w:val="Bibliography"/>
        <w:rPr>
          <w:lang w:val="fr-FR"/>
        </w:rPr>
      </w:pPr>
      <w:r w:rsidRPr="00653BF4">
        <w:rPr>
          <w:lang w:val="fr-FR"/>
        </w:rPr>
        <w:t xml:space="preserve">Équipe spéciale des informations financières ayant trait à la nature, 2023. Recommandations de la taskforce on nature-related financial disclosures. Disponible à l’adresse </w:t>
      </w:r>
      <w:hyperlink r:id="rId338" w:history="1">
        <w:r w:rsidRPr="00653BF4">
          <w:rPr>
            <w:rStyle w:val="Hyperlink"/>
            <w:lang w:val="fr-FR"/>
          </w:rPr>
          <w:t>https://tnfd.global/recommendations/</w:t>
        </w:r>
      </w:hyperlink>
    </w:p>
    <w:p w14:paraId="4E3390A6" w14:textId="77777777" w:rsidR="007A60EC" w:rsidRPr="00653BF4" w:rsidRDefault="007A60EC" w:rsidP="007A60EC">
      <w:pPr>
        <w:pStyle w:val="Bibliography"/>
        <w:rPr>
          <w:lang w:val="fr-FR"/>
        </w:rPr>
      </w:pPr>
      <w:r w:rsidRPr="00653BF4">
        <w:rPr>
          <w:lang w:val="fr-FR"/>
        </w:rPr>
        <w:t xml:space="preserve">FAO, 2020. Stratégie de la FAO relative à l’intégration de la biodiversité dans tous les secteurs de l’agriculture. Organisation des Nations Unies pour l’alimentation et l’agriculture, Rome. </w:t>
      </w:r>
      <w:hyperlink r:id="rId339" w:history="1">
        <w:r w:rsidRPr="00653BF4">
          <w:rPr>
            <w:rStyle w:val="Hyperlink"/>
            <w:lang w:val="fr-FR"/>
          </w:rPr>
          <w:t>https://doi.org/10.4060/ca7722fr</w:t>
        </w:r>
      </w:hyperlink>
    </w:p>
    <w:p w14:paraId="2B410E44" w14:textId="77777777" w:rsidR="007A60EC" w:rsidRPr="00543148" w:rsidRDefault="007A60EC" w:rsidP="007A60EC">
      <w:pPr>
        <w:pStyle w:val="Bibliography"/>
        <w:rPr>
          <w:lang w:val="en-US"/>
        </w:rPr>
      </w:pPr>
      <w:r w:rsidRPr="00543148">
        <w:rPr>
          <w:lang w:val="en-US"/>
        </w:rPr>
        <w:t xml:space="preserve">FAO, 2021. Climate change, biodiversity and nutrition nexus. FAO. </w:t>
      </w:r>
      <w:hyperlink r:id="rId340" w:history="1">
        <w:r w:rsidRPr="00543148">
          <w:rPr>
            <w:rStyle w:val="Hyperlink"/>
            <w:lang w:val="en-US"/>
          </w:rPr>
          <w:t>https://doi.org/10.4060/cb6701en</w:t>
        </w:r>
      </w:hyperlink>
    </w:p>
    <w:p w14:paraId="79CD17FF" w14:textId="77777777" w:rsidR="007A60EC" w:rsidRPr="00653BF4" w:rsidRDefault="007A60EC" w:rsidP="007A60EC">
      <w:pPr>
        <w:pStyle w:val="Bibliography"/>
        <w:rPr>
          <w:lang w:val="fr-FR"/>
        </w:rPr>
      </w:pPr>
      <w:r w:rsidRPr="00543148">
        <w:rPr>
          <w:lang w:val="en-US"/>
        </w:rPr>
        <w:t xml:space="preserve">FAO, 2022. </w:t>
      </w:r>
      <w:r w:rsidRPr="00653BF4">
        <w:rPr>
          <w:lang w:val="fr-FR"/>
        </w:rPr>
        <w:t xml:space="preserve">Cadre d’action en faveur de la biodiversité pour l’alimentation et l’agriculture. Organisation des Nations Unies pour l’alimentation et l’agriculture, Rome. </w:t>
      </w:r>
      <w:hyperlink r:id="rId341" w:history="1">
        <w:r w:rsidRPr="00653BF4">
          <w:rPr>
            <w:rStyle w:val="Hyperlink"/>
            <w:lang w:val="fr-FR"/>
          </w:rPr>
          <w:t>https://doi.org/10.4060/cb8338fr</w:t>
        </w:r>
      </w:hyperlink>
    </w:p>
    <w:p w14:paraId="4C1E94E9" w14:textId="5E1DFC62" w:rsidR="007A60EC" w:rsidRPr="00653BF4" w:rsidRDefault="007A60EC" w:rsidP="007A60EC">
      <w:pPr>
        <w:pStyle w:val="Bibliography"/>
        <w:rPr>
          <w:lang w:val="fr-FR"/>
        </w:rPr>
      </w:pPr>
      <w:r w:rsidRPr="00653BF4">
        <w:rPr>
          <w:lang w:val="fr-FR"/>
        </w:rPr>
        <w:t>FAO, 2024a. COAG/2024/18</w:t>
      </w:r>
      <w:r w:rsidR="00E34DC9">
        <w:rPr>
          <w:lang w:val="fr-FR"/>
        </w:rPr>
        <w:t> :</w:t>
      </w:r>
      <w:r w:rsidRPr="00653BF4">
        <w:rPr>
          <w:lang w:val="fr-FR"/>
        </w:rPr>
        <w:t xml:space="preserve"> Directives actualisées pour la planification intégrée de l’utilisation des terres. Organisation des Nations Unies pour l’alimentation et l’agriculture, Rome. Disponible à l’adresse </w:t>
      </w:r>
      <w:hyperlink r:id="rId342" w:history="1">
        <w:r w:rsidRPr="00653BF4">
          <w:rPr>
            <w:rStyle w:val="Hyperlink"/>
            <w:lang w:val="fr-FR"/>
          </w:rPr>
          <w:t>https://openknowledge.fao.org/server/api/core/bitstreams/77e575e1-2ec6-4bfe-9d5a-f5bfa645a454/content</w:t>
        </w:r>
      </w:hyperlink>
      <w:r w:rsidRPr="00653BF4">
        <w:rPr>
          <w:lang w:val="fr-FR"/>
        </w:rPr>
        <w:t xml:space="preserve"> (consulté le 21 mai 2026)</w:t>
      </w:r>
    </w:p>
    <w:p w14:paraId="4C439179" w14:textId="77777777" w:rsidR="007A60EC" w:rsidRPr="00653BF4" w:rsidRDefault="007A60EC" w:rsidP="007A60EC">
      <w:pPr>
        <w:pStyle w:val="Bibliography"/>
        <w:rPr>
          <w:lang w:val="fr-FR"/>
        </w:rPr>
      </w:pPr>
      <w:r w:rsidRPr="00653BF4">
        <w:rPr>
          <w:lang w:val="fr-FR"/>
        </w:rPr>
        <w:t xml:space="preserve">FAO, 2024b. Plan d’action 2024-2027 pour la mise en œuvre de la Stratégie de la FAO relative à l’intégration de la biodiversité dans tous les secteurs de l’agriculture. Organisation des Nations Unies pour l’alimentation et l’agriculture, Rome. </w:t>
      </w:r>
      <w:hyperlink r:id="rId343" w:history="1">
        <w:r w:rsidRPr="00653BF4">
          <w:rPr>
            <w:rStyle w:val="Hyperlink"/>
            <w:lang w:val="fr-FR"/>
          </w:rPr>
          <w:t>https://doi.org/10.4060/cd0709fr</w:t>
        </w:r>
      </w:hyperlink>
    </w:p>
    <w:p w14:paraId="5730BF33" w14:textId="77777777" w:rsidR="007A60EC" w:rsidRPr="00653BF4" w:rsidRDefault="007A60EC" w:rsidP="007A60EC">
      <w:pPr>
        <w:pStyle w:val="Bibliography"/>
        <w:rPr>
          <w:lang w:val="fr-FR"/>
        </w:rPr>
      </w:pPr>
      <w:r w:rsidRPr="00543148">
        <w:rPr>
          <w:lang w:val="en-US"/>
        </w:rPr>
        <w:t xml:space="preserve">FAO, 2025a. Submission of the Food and Agriculture Organization of the United Nations (FAO), in response to CBD Notification 2025-099. </w:t>
      </w:r>
      <w:r w:rsidRPr="00653BF4">
        <w:rPr>
          <w:lang w:val="fr-FR"/>
        </w:rPr>
        <w:t xml:space="preserve">Secrétariat de la Convention sur la diversité biologique, Montréal. Disponible à l’adresse </w:t>
      </w:r>
      <w:hyperlink r:id="rId344" w:history="1">
        <w:r w:rsidRPr="00653BF4">
          <w:rPr>
            <w:rStyle w:val="Hyperlink"/>
            <w:lang w:val="fr-FR"/>
          </w:rPr>
          <w:t>https://www.cbd.int/notifications/2025-099</w:t>
        </w:r>
      </w:hyperlink>
      <w:r w:rsidRPr="00653BF4">
        <w:rPr>
          <w:lang w:val="fr-FR"/>
        </w:rPr>
        <w:t xml:space="preserve"> (consulté le 21 mai 2026)</w:t>
      </w:r>
    </w:p>
    <w:p w14:paraId="0423E51E" w14:textId="77777777" w:rsidR="007A60EC" w:rsidRPr="00653BF4" w:rsidRDefault="007A60EC" w:rsidP="007A60EC">
      <w:pPr>
        <w:pStyle w:val="Bibliography"/>
        <w:rPr>
          <w:lang w:val="fr-FR"/>
        </w:rPr>
      </w:pPr>
      <w:r w:rsidRPr="00653BF4">
        <w:rPr>
          <w:lang w:val="fr-FR"/>
        </w:rPr>
        <w:t xml:space="preserve">FAO, 2025b. Évaluation des ressources forestières mondiales 2025. Organisation des Nations Unies pour l’alimentation et l’agriculture, Rome. </w:t>
      </w:r>
      <w:hyperlink r:id="rId345" w:history="1">
        <w:r w:rsidRPr="00653BF4">
          <w:rPr>
            <w:rStyle w:val="Hyperlink"/>
            <w:lang w:val="fr-FR"/>
          </w:rPr>
          <w:t>https://doi.org/10.4060/cd6709fr</w:t>
        </w:r>
      </w:hyperlink>
    </w:p>
    <w:p w14:paraId="70195E5A" w14:textId="185E9277" w:rsidR="007A60EC" w:rsidRPr="00653BF4" w:rsidRDefault="007A60EC" w:rsidP="007A60EC">
      <w:pPr>
        <w:pStyle w:val="Bibliography"/>
        <w:rPr>
          <w:lang w:val="fr-FR"/>
        </w:rPr>
      </w:pPr>
      <w:r w:rsidRPr="00653BF4">
        <w:rPr>
          <w:lang w:val="fr-FR"/>
        </w:rPr>
        <w:t>FAO, 2025c. Le Fonds pour le partage des avantages</w:t>
      </w:r>
      <w:r w:rsidR="00E34DC9">
        <w:rPr>
          <w:lang w:val="fr-FR"/>
        </w:rPr>
        <w:t> :</w:t>
      </w:r>
      <w:r w:rsidRPr="00653BF4">
        <w:rPr>
          <w:lang w:val="fr-FR"/>
        </w:rPr>
        <w:t xml:space="preserve"> rapport 2024-2025. Organisation des Nations Unies pour l’alimentation et l’agriculture, Rome. Disponible à l’adresse </w:t>
      </w:r>
      <w:hyperlink r:id="rId346" w:history="1">
        <w:r w:rsidRPr="00653BF4">
          <w:rPr>
            <w:rStyle w:val="Hyperlink"/>
            <w:lang w:val="fr-FR"/>
          </w:rPr>
          <w:t>https://openknowledge.fao.org/server/api/core/bitstreams/466f6492-5041-4808-90bd-1e4eb095176e/content</w:t>
        </w:r>
      </w:hyperlink>
      <w:r w:rsidRPr="00653BF4">
        <w:rPr>
          <w:lang w:val="fr-FR"/>
        </w:rPr>
        <w:t xml:space="preserve"> (consulté le 30 juillet 2026)</w:t>
      </w:r>
    </w:p>
    <w:p w14:paraId="18459437" w14:textId="77777777" w:rsidR="007A60EC" w:rsidRPr="00543148" w:rsidRDefault="007A60EC" w:rsidP="007A60EC">
      <w:pPr>
        <w:pStyle w:val="Bibliography"/>
        <w:rPr>
          <w:lang w:val="en-US"/>
        </w:rPr>
      </w:pPr>
      <w:r w:rsidRPr="00653BF4">
        <w:rPr>
          <w:lang w:val="fr-FR"/>
        </w:rPr>
        <w:t xml:space="preserve">FAO, 2026. La Situation mondiale des pêches et de l’aquaculture 2026. </w:t>
      </w:r>
      <w:r w:rsidRPr="00543148">
        <w:rPr>
          <w:lang w:val="en-US"/>
        </w:rPr>
        <w:t xml:space="preserve">FAO, Rome. </w:t>
      </w:r>
      <w:hyperlink r:id="rId347" w:history="1">
        <w:r w:rsidRPr="00543148">
          <w:rPr>
            <w:rStyle w:val="Hyperlink"/>
            <w:lang w:val="en-US"/>
          </w:rPr>
          <w:t>https://doi.org/10.4060/cd8357fr</w:t>
        </w:r>
      </w:hyperlink>
    </w:p>
    <w:p w14:paraId="4053BCA6" w14:textId="77777777" w:rsidR="007A60EC" w:rsidRPr="00653BF4" w:rsidRDefault="007A60EC" w:rsidP="007A60EC">
      <w:pPr>
        <w:pStyle w:val="Bibliography"/>
        <w:rPr>
          <w:lang w:val="fr-FR"/>
        </w:rPr>
      </w:pPr>
      <w:r w:rsidRPr="00543148">
        <w:rPr>
          <w:lang w:val="en-US"/>
        </w:rPr>
        <w:lastRenderedPageBreak/>
        <w:t xml:space="preserve">FAO, CDB, Society for Ecological Restoration, 2024. Delivering restoration outcomes for biodiversity and human well-being: Resource guide to Target 2 of the Kunming-Montreal Global Biodiversity Framework. </w:t>
      </w:r>
      <w:r w:rsidRPr="00653BF4">
        <w:rPr>
          <w:lang w:val="fr-FR"/>
        </w:rPr>
        <w:t xml:space="preserve">Organisation des Nations Unies pour l’alimentation et l’agriculture, Rome. </w:t>
      </w:r>
      <w:hyperlink r:id="rId348" w:history="1">
        <w:r w:rsidRPr="00653BF4">
          <w:rPr>
            <w:rStyle w:val="Hyperlink"/>
            <w:lang w:val="fr-FR"/>
          </w:rPr>
          <w:t>https://doi.org/10.4060/cd2925en</w:t>
        </w:r>
      </w:hyperlink>
    </w:p>
    <w:p w14:paraId="67790EC2" w14:textId="77777777" w:rsidR="007A60EC" w:rsidRPr="00653BF4" w:rsidRDefault="007A60EC" w:rsidP="007A60EC">
      <w:pPr>
        <w:pStyle w:val="Bibliography"/>
        <w:rPr>
          <w:lang w:val="fr-FR"/>
        </w:rPr>
      </w:pPr>
      <w:r w:rsidRPr="00543148">
        <w:rPr>
          <w:lang w:val="en-US"/>
        </w:rPr>
        <w:t xml:space="preserve">FAO, PNUD, 2025. The implementation of the Livestock Tax Law: An opportunity for climate action, Scaling up climate ambition on land use and agriculture through NDC and NAPs (SCALA). </w:t>
      </w:r>
      <w:r w:rsidRPr="00653BF4">
        <w:rPr>
          <w:lang w:val="fr-FR"/>
        </w:rPr>
        <w:t xml:space="preserve">Organisation des Nations Unies pour l’alimentation et l’agriculture, Programme des Nations Unies pour le développement. Disponible à l’adresse </w:t>
      </w:r>
      <w:hyperlink r:id="rId349" w:history="1">
        <w:r w:rsidRPr="00653BF4">
          <w:rPr>
            <w:rStyle w:val="Hyperlink"/>
            <w:lang w:val="fr-FR"/>
          </w:rPr>
          <w:t>https://www.adaptation-undp.org/sites/default/files/resources/Mongolia%20SLA%20Policy%20Brief%20%281%29.pdf</w:t>
        </w:r>
      </w:hyperlink>
      <w:r w:rsidRPr="00653BF4">
        <w:rPr>
          <w:lang w:val="fr-FR"/>
        </w:rPr>
        <w:t xml:space="preserve"> (consulté le 27 juin 2026)</w:t>
      </w:r>
    </w:p>
    <w:p w14:paraId="2A381C3E" w14:textId="6145E6BB" w:rsidR="007A60EC" w:rsidRPr="00653BF4" w:rsidRDefault="007A60EC" w:rsidP="007A60EC">
      <w:pPr>
        <w:pStyle w:val="Bibliography"/>
        <w:rPr>
          <w:lang w:val="fr-FR"/>
        </w:rPr>
      </w:pPr>
      <w:r w:rsidRPr="00653BF4">
        <w:rPr>
          <w:lang w:val="fr-FR"/>
        </w:rPr>
        <w:t xml:space="preserve">Forest Peoples Programme </w:t>
      </w:r>
      <w:r w:rsidRPr="00653BF4">
        <w:rPr>
          <w:i/>
          <w:lang w:val="fr-FR"/>
        </w:rPr>
        <w:t>et al.</w:t>
      </w:r>
      <w:r w:rsidRPr="00653BF4">
        <w:rPr>
          <w:lang w:val="fr-FR"/>
        </w:rPr>
        <w:t>, 2020. Perspectives locales de la diversité biologique 2</w:t>
      </w:r>
      <w:r w:rsidR="00E34DC9">
        <w:rPr>
          <w:lang w:val="fr-FR"/>
        </w:rPr>
        <w:t> :</w:t>
      </w:r>
      <w:r w:rsidRPr="00653BF4">
        <w:rPr>
          <w:lang w:val="fr-FR"/>
        </w:rPr>
        <w:t xml:space="preserve"> contributions des peuples autochtones et des communautés locales à la mise en œuvre du Plan stratégique 2011–2020 pour la diversité biologique et le renouveau de la nature et des cultures. Complément à la cinquième édition des Perspectives mondiales de la diversité biologique. Forest Peoples Programme, Moreton-in-Marsh. Disponible à l’adresse </w:t>
      </w:r>
      <w:hyperlink r:id="rId350" w:history="1">
        <w:r w:rsidRPr="00653BF4">
          <w:rPr>
            <w:rStyle w:val="Hyperlink"/>
            <w:lang w:val="fr-FR"/>
          </w:rPr>
          <w:t>https://localbiodiversityoutlooks.net/publications/</w:t>
        </w:r>
      </w:hyperlink>
      <w:r w:rsidRPr="00653BF4">
        <w:rPr>
          <w:lang w:val="fr-FR"/>
        </w:rPr>
        <w:t xml:space="preserve"> (consulté le 30 mai 2026)</w:t>
      </w:r>
    </w:p>
    <w:p w14:paraId="45A0425A" w14:textId="236D6152" w:rsidR="007A60EC" w:rsidRPr="00653BF4" w:rsidRDefault="007A60EC" w:rsidP="007A60EC">
      <w:pPr>
        <w:pStyle w:val="Bibliography"/>
        <w:rPr>
          <w:lang w:val="fr-FR"/>
        </w:rPr>
      </w:pPr>
      <w:r w:rsidRPr="00653BF4">
        <w:rPr>
          <w:lang w:val="fr-FR"/>
        </w:rPr>
        <w:t>Forest Peoples Programme, Forum international des peuples autochtones sur la biodiversité, Secrétariat de la Convention sur la diversité biologique, 2016. Perspectives locales de la diversité biologique</w:t>
      </w:r>
      <w:r w:rsidR="00E34DC9">
        <w:rPr>
          <w:lang w:val="fr-FR"/>
        </w:rPr>
        <w:t> :</w:t>
      </w:r>
      <w:r w:rsidRPr="00653BF4">
        <w:rPr>
          <w:lang w:val="fr-FR"/>
        </w:rPr>
        <w:t xml:space="preserve"> contributions des peuples autochtones et des communautés locales à la mise en œuvre du Plan stratégique pour la diversité biologique 2011-2020. Complément à la quatrième édition des Perspectives mondiales de la diversité biologique. Forest Peoples Programme, Moreton-in-Marsh. Disponible à l’adresse </w:t>
      </w:r>
      <w:hyperlink r:id="rId351" w:history="1">
        <w:r w:rsidRPr="00653BF4">
          <w:rPr>
            <w:rStyle w:val="Hyperlink"/>
            <w:lang w:val="fr-FR"/>
          </w:rPr>
          <w:t>https://localbiodiversityoutlooks.net/publications/</w:t>
        </w:r>
      </w:hyperlink>
      <w:r w:rsidRPr="00653BF4">
        <w:rPr>
          <w:lang w:val="fr-FR"/>
        </w:rPr>
        <w:t xml:space="preserve"> (consulté le 30 mai 2026)</w:t>
      </w:r>
    </w:p>
    <w:p w14:paraId="301E49A4" w14:textId="77777777" w:rsidR="007A60EC" w:rsidRPr="00653BF4" w:rsidRDefault="007A60EC" w:rsidP="007A60EC">
      <w:pPr>
        <w:pStyle w:val="Bibliography"/>
        <w:rPr>
          <w:lang w:val="fr-FR"/>
        </w:rPr>
      </w:pPr>
      <w:r w:rsidRPr="00543148">
        <w:rPr>
          <w:lang w:val="en-US"/>
        </w:rPr>
        <w:t xml:space="preserve">Franke, J. </w:t>
      </w:r>
      <w:r w:rsidRPr="00543148">
        <w:rPr>
          <w:i/>
          <w:lang w:val="en-US"/>
        </w:rPr>
        <w:t>et al.</w:t>
      </w:r>
      <w:r w:rsidRPr="00543148">
        <w:rPr>
          <w:lang w:val="en-US"/>
        </w:rPr>
        <w:t xml:space="preserve">, 2024. Prescribed burning and integrated fire management in the Brazilian Cerrado: demonstrated impacts and scale-up potential for emission abatement. </w:t>
      </w:r>
      <w:r w:rsidRPr="00653BF4">
        <w:rPr>
          <w:lang w:val="fr-FR"/>
        </w:rPr>
        <w:t xml:space="preserve">Environ. Res. Lett. 19, 034020. </w:t>
      </w:r>
      <w:hyperlink r:id="rId352" w:history="1">
        <w:r w:rsidRPr="00653BF4">
          <w:rPr>
            <w:rStyle w:val="Hyperlink"/>
            <w:lang w:val="fr-FR"/>
          </w:rPr>
          <w:t>https://doi.org/10.1088/1748-9326/ad2820</w:t>
        </w:r>
      </w:hyperlink>
    </w:p>
    <w:p w14:paraId="14FBF558" w14:textId="77777777" w:rsidR="007A60EC" w:rsidRPr="00653BF4" w:rsidRDefault="007A60EC" w:rsidP="007A60EC">
      <w:pPr>
        <w:pStyle w:val="Bibliography"/>
        <w:rPr>
          <w:lang w:val="fr-FR"/>
        </w:rPr>
      </w:pPr>
      <w:r w:rsidRPr="00653BF4">
        <w:rPr>
          <w:lang w:val="fr-FR"/>
        </w:rPr>
        <w:t xml:space="preserve">Fumey-Nassah, C.A., 2025. </w:t>
      </w:r>
      <w:r w:rsidRPr="00543148">
        <w:rPr>
          <w:lang w:val="en-US"/>
        </w:rPr>
        <w:t xml:space="preserve">The CREMA model: a tool for shaping Ghana’s landscape. </w:t>
      </w:r>
      <w:r w:rsidRPr="00653BF4">
        <w:rPr>
          <w:lang w:val="fr-FR"/>
        </w:rPr>
        <w:t xml:space="preserve">Présenté au Forum national sur les paysages. Disponible à l’adresse </w:t>
      </w:r>
      <w:hyperlink r:id="rId353" w:history="1">
        <w:r w:rsidRPr="00653BF4">
          <w:rPr>
            <w:rStyle w:val="Hyperlink"/>
            <w:lang w:val="fr-FR"/>
          </w:rPr>
          <w:t>https://thedocs.worldbank.org/en/doc/4b347cebf3722a5af3500909c71ea022-0320052025/original/7-CREMA.pdf</w:t>
        </w:r>
      </w:hyperlink>
      <w:r w:rsidRPr="00653BF4">
        <w:rPr>
          <w:lang w:val="fr-FR"/>
        </w:rPr>
        <w:t xml:space="preserve"> (consulté le 15 juin 2026)</w:t>
      </w:r>
    </w:p>
    <w:p w14:paraId="20FFDF80" w14:textId="77777777" w:rsidR="007A60EC" w:rsidRPr="00653BF4" w:rsidRDefault="007A60EC" w:rsidP="007A60EC">
      <w:pPr>
        <w:pStyle w:val="Bibliography"/>
        <w:rPr>
          <w:lang w:val="fr-FR"/>
        </w:rPr>
      </w:pPr>
      <w:r w:rsidRPr="00543148">
        <w:rPr>
          <w:lang w:val="en-US"/>
        </w:rPr>
        <w:t xml:space="preserve">Gerhartz-Muro, J., Viña-Dávila, N., 2022. </w:t>
      </w:r>
      <w:r w:rsidRPr="00653BF4">
        <w:rPr>
          <w:lang w:val="fr-FR"/>
        </w:rPr>
        <w:t xml:space="preserve">Plan stratégique du Corridor biologique dans la Caraïbe 2022-2030. Programme des Nations Unies pour l’environnement, Saint-Domingue. Disponible à l’adresse </w:t>
      </w:r>
      <w:hyperlink r:id="rId354" w:history="1">
        <w:r w:rsidRPr="00653BF4">
          <w:rPr>
            <w:rStyle w:val="Hyperlink"/>
            <w:lang w:val="fr-FR"/>
          </w:rPr>
          <w:t>https://cbcbio.org/wp-content/uploads/2024/02/PlanEstrategico-CBC-FR-Full-25ene-FINAL.pdf</w:t>
        </w:r>
      </w:hyperlink>
    </w:p>
    <w:p w14:paraId="132E03A0" w14:textId="77777777" w:rsidR="007A60EC" w:rsidRPr="00543148" w:rsidRDefault="007A60EC" w:rsidP="007A60EC">
      <w:pPr>
        <w:pStyle w:val="Bibliography"/>
        <w:rPr>
          <w:lang w:val="en-US"/>
        </w:rPr>
      </w:pPr>
      <w:r w:rsidRPr="00543148">
        <w:rPr>
          <w:lang w:val="en-US"/>
        </w:rPr>
        <w:t xml:space="preserve">Global Ecosystems Atlas, 2026. Guidelines for developing national ecosystem maps. </w:t>
      </w:r>
      <w:hyperlink r:id="rId355" w:history="1">
        <w:r w:rsidRPr="00543148">
          <w:rPr>
            <w:rStyle w:val="Hyperlink"/>
            <w:lang w:val="en-US"/>
          </w:rPr>
          <w:t>https://doi.org/10.60566/CD13V-0ME13</w:t>
        </w:r>
      </w:hyperlink>
    </w:p>
    <w:p w14:paraId="674DC799" w14:textId="77777777" w:rsidR="007A60EC" w:rsidRPr="00653BF4" w:rsidRDefault="007A60EC" w:rsidP="007A60EC">
      <w:pPr>
        <w:pStyle w:val="Bibliography"/>
        <w:rPr>
          <w:lang w:val="fr-FR"/>
        </w:rPr>
      </w:pPr>
      <w:r w:rsidRPr="00543148">
        <w:rPr>
          <w:lang w:val="en-US"/>
        </w:rPr>
        <w:t xml:space="preserve">Gouvernement de la Malaisie, 2017. Act 795: Access to Biological Resources and Benefit Sharing Act 2017. </w:t>
      </w:r>
      <w:r w:rsidRPr="00653BF4">
        <w:rPr>
          <w:lang w:val="fr-FR"/>
        </w:rPr>
        <w:t xml:space="preserve">Kuala Lumpur. Disponible à l’adresse </w:t>
      </w:r>
      <w:hyperlink r:id="rId356" w:history="1">
        <w:r w:rsidRPr="00653BF4">
          <w:rPr>
            <w:rStyle w:val="Hyperlink"/>
            <w:lang w:val="fr-FR"/>
          </w:rPr>
          <w:t>https://www.mybis.gov.my/pb/3567</w:t>
        </w:r>
      </w:hyperlink>
      <w:r w:rsidRPr="00653BF4">
        <w:rPr>
          <w:lang w:val="fr-FR"/>
        </w:rPr>
        <w:t xml:space="preserve"> (consulté le 30 juin 2026)</w:t>
      </w:r>
    </w:p>
    <w:p w14:paraId="2DEF1472" w14:textId="77777777" w:rsidR="007A60EC" w:rsidRPr="00653BF4" w:rsidRDefault="007A60EC" w:rsidP="007A60EC">
      <w:pPr>
        <w:pStyle w:val="Bibliography"/>
        <w:rPr>
          <w:lang w:val="fr-FR"/>
        </w:rPr>
      </w:pPr>
      <w:r w:rsidRPr="00653BF4">
        <w:rPr>
          <w:lang w:val="fr-FR"/>
        </w:rPr>
        <w:lastRenderedPageBreak/>
        <w:t xml:space="preserve">Gouvernement de la Mongolie, 2020. Law on Livestock Tax. Oulan-Bator. Disponible à l’adresse </w:t>
      </w:r>
      <w:hyperlink r:id="rId357" w:history="1">
        <w:r w:rsidRPr="00653BF4">
          <w:rPr>
            <w:rStyle w:val="Hyperlink"/>
            <w:lang w:val="fr-FR"/>
          </w:rPr>
          <w:t>https://www.ecolex.org/details/legislation/law-on-livestock-tax-lex-faoc202443/</w:t>
        </w:r>
      </w:hyperlink>
      <w:r w:rsidRPr="00653BF4">
        <w:rPr>
          <w:lang w:val="fr-FR"/>
        </w:rPr>
        <w:t xml:space="preserve"> (consulté le 27 juin 2026)</w:t>
      </w:r>
    </w:p>
    <w:p w14:paraId="47F0276A" w14:textId="77777777" w:rsidR="007A60EC" w:rsidRPr="00653BF4" w:rsidRDefault="007A60EC" w:rsidP="007A60EC">
      <w:pPr>
        <w:pStyle w:val="Bibliography"/>
        <w:rPr>
          <w:lang w:val="fr-FR"/>
        </w:rPr>
      </w:pPr>
      <w:r w:rsidRPr="00653BF4">
        <w:rPr>
          <w:lang w:val="fr-FR"/>
        </w:rPr>
        <w:t xml:space="preserve">Gouvernement du Cameroun, 2025. Loi N°2025/006 du 25 avril 2025 régissant la biosécurité au Cameroun. Présidence de la République du Cameroun. Disponible à l’adresse </w:t>
      </w:r>
      <w:hyperlink r:id="rId358" w:history="1">
        <w:r w:rsidRPr="00653BF4">
          <w:rPr>
            <w:rStyle w:val="Hyperlink"/>
            <w:lang w:val="fr-FR"/>
          </w:rPr>
          <w:t>https://www.prc.cm/fr/actualites/actes/lois/7712-loi-n-2025-006-du-25-avril-2025-regissant-la-biosecurite-au-cameroun</w:t>
        </w:r>
      </w:hyperlink>
      <w:r w:rsidRPr="00653BF4">
        <w:rPr>
          <w:lang w:val="fr-FR"/>
        </w:rPr>
        <w:t xml:space="preserve"> (consulté le 30 juin 2026)</w:t>
      </w:r>
    </w:p>
    <w:p w14:paraId="6324EAB7" w14:textId="77777777" w:rsidR="007A60EC" w:rsidRPr="00653BF4" w:rsidRDefault="007A60EC" w:rsidP="007A60EC">
      <w:pPr>
        <w:pStyle w:val="Bibliography"/>
        <w:rPr>
          <w:lang w:val="fr-FR"/>
        </w:rPr>
      </w:pPr>
      <w:r w:rsidRPr="00543148">
        <w:rPr>
          <w:lang w:val="en-US"/>
        </w:rPr>
        <w:t xml:space="preserve">Grantham, H., Adams, V., IUCN WCPA Taskforce on Spatial Planning, 2024. An overview of Participatory, Integrated, and Biodiversity-Inclusive Spatial Planning and Target 1 under the Convention on Biological Diversity Kunming-Montreal Global Biodiversity Framework, IUCN WCPA Issues Paper Series. </w:t>
      </w:r>
      <w:r w:rsidRPr="00653BF4">
        <w:rPr>
          <w:lang w:val="fr-FR"/>
        </w:rPr>
        <w:t xml:space="preserve">UICN, Gland. Disponible à l’adresse </w:t>
      </w:r>
      <w:hyperlink r:id="rId359" w:history="1">
        <w:r w:rsidRPr="00653BF4">
          <w:rPr>
            <w:rStyle w:val="Hyperlink"/>
            <w:lang w:val="fr-FR"/>
          </w:rPr>
          <w:t>https://iucn.org/sites/default/files/2024-10/iucn-wcpa-issues-paper-4.pdf</w:t>
        </w:r>
      </w:hyperlink>
      <w:r w:rsidRPr="00653BF4">
        <w:rPr>
          <w:lang w:val="fr-FR"/>
        </w:rPr>
        <w:t xml:space="preserve"> (consulté le 14 juillet 2026)</w:t>
      </w:r>
    </w:p>
    <w:p w14:paraId="1A4D6D30" w14:textId="77777777" w:rsidR="007A60EC" w:rsidRPr="00653BF4" w:rsidRDefault="007A60EC" w:rsidP="007A60EC">
      <w:pPr>
        <w:pStyle w:val="Bibliography"/>
        <w:rPr>
          <w:lang w:val="fr-FR"/>
        </w:rPr>
      </w:pPr>
      <w:r w:rsidRPr="00653BF4">
        <w:rPr>
          <w:lang w:val="fr-FR"/>
        </w:rPr>
        <w:t xml:space="preserve">Groupe de haut niveau pour une économie océanique durable, 2024. </w:t>
      </w:r>
      <w:r w:rsidRPr="00543148">
        <w:rPr>
          <w:lang w:val="en-US"/>
        </w:rPr>
        <w:t xml:space="preserve">Ocean Panel Progress Report 2024: The second progress report from the High Level Panel for a Sustainable Ocean Economy. </w:t>
      </w:r>
      <w:r w:rsidRPr="00653BF4">
        <w:rPr>
          <w:lang w:val="fr-FR"/>
        </w:rPr>
        <w:t xml:space="preserve">World Resources Institute, Washington. Disponible à l’adresse </w:t>
      </w:r>
      <w:hyperlink r:id="rId360" w:history="1">
        <w:r w:rsidRPr="00653BF4">
          <w:rPr>
            <w:rStyle w:val="Hyperlink"/>
            <w:lang w:val="fr-FR"/>
          </w:rPr>
          <w:t>https://oceanpanel.org/wp-content/uploads/2024/09/OP_Progress_2024-Final.pdf</w:t>
        </w:r>
      </w:hyperlink>
      <w:r w:rsidRPr="00653BF4">
        <w:rPr>
          <w:lang w:val="fr-FR"/>
        </w:rPr>
        <w:t xml:space="preserve"> (consulté le 12 mai 2026)</w:t>
      </w:r>
    </w:p>
    <w:p w14:paraId="276283D6" w14:textId="77777777" w:rsidR="007A60EC" w:rsidRPr="00653BF4" w:rsidRDefault="007A60EC" w:rsidP="007A60EC">
      <w:pPr>
        <w:pStyle w:val="Bibliography"/>
        <w:rPr>
          <w:lang w:val="fr-FR"/>
        </w:rPr>
      </w:pPr>
      <w:r w:rsidRPr="00653BF4">
        <w:rPr>
          <w:lang w:val="fr-FR"/>
        </w:rPr>
        <w:t xml:space="preserve">Groupe sur l’observation de la Terre, 2025. </w:t>
      </w:r>
      <w:r w:rsidRPr="00543148">
        <w:rPr>
          <w:lang w:val="en-US"/>
        </w:rPr>
        <w:t xml:space="preserve">Submission of the Group on Earth Observations (GEO) Secretariat, in response to CBD notification 2025-099. </w:t>
      </w:r>
      <w:r w:rsidRPr="00653BF4">
        <w:rPr>
          <w:lang w:val="fr-FR"/>
        </w:rPr>
        <w:t xml:space="preserve">Secrétariat de la Convention sur la diversité biologique, Montréal. Disponible à l’adresse </w:t>
      </w:r>
      <w:hyperlink r:id="rId361" w:history="1">
        <w:r w:rsidRPr="00653BF4">
          <w:rPr>
            <w:rStyle w:val="Hyperlink"/>
            <w:lang w:val="fr-FR"/>
          </w:rPr>
          <w:t>https://www.cbd.int/notifications/2025-099</w:t>
        </w:r>
      </w:hyperlink>
      <w:r w:rsidRPr="00653BF4">
        <w:rPr>
          <w:lang w:val="fr-FR"/>
        </w:rPr>
        <w:t xml:space="preserve"> (consulté le 21 mai 2026)</w:t>
      </w:r>
    </w:p>
    <w:p w14:paraId="09686177" w14:textId="77777777" w:rsidR="007A60EC" w:rsidRPr="00653BF4" w:rsidRDefault="007A60EC" w:rsidP="007A60EC">
      <w:pPr>
        <w:pStyle w:val="Bibliography"/>
        <w:rPr>
          <w:lang w:val="fr-FR"/>
        </w:rPr>
      </w:pPr>
      <w:r w:rsidRPr="00543148">
        <w:rPr>
          <w:lang w:val="en-US"/>
        </w:rPr>
        <w:t xml:space="preserve">Immerzeel, R. </w:t>
      </w:r>
      <w:r w:rsidRPr="00543148">
        <w:rPr>
          <w:i/>
          <w:lang w:val="en-US"/>
        </w:rPr>
        <w:t>et al.</w:t>
      </w:r>
      <w:r w:rsidRPr="00543148">
        <w:rPr>
          <w:lang w:val="en-US"/>
        </w:rPr>
        <w:t xml:space="preserve">, 2026. From Global Ambition to National Commitments: National Target Setting under the Global Biodiversity Framework: A contribution to the Convention on Biological Diversity’s Global Review. </w:t>
      </w:r>
      <w:r w:rsidRPr="00653BF4">
        <w:rPr>
          <w:lang w:val="fr-FR"/>
        </w:rPr>
        <w:t xml:space="preserve">PBL Netherlands Environmental Assessment Agency, La Haye. Disponible à l’adresse </w:t>
      </w:r>
      <w:hyperlink r:id="rId362" w:history="1">
        <w:r w:rsidRPr="00653BF4">
          <w:rPr>
            <w:rStyle w:val="Hyperlink"/>
            <w:lang w:val="fr-FR"/>
          </w:rPr>
          <w:t>https://www.pbl.nl/en/publications/from-global-ambition-to-national-commitments-national-target-setting-under-the-global-biodiversity-framework</w:t>
        </w:r>
      </w:hyperlink>
      <w:r w:rsidRPr="00653BF4">
        <w:rPr>
          <w:lang w:val="fr-FR"/>
        </w:rPr>
        <w:t xml:space="preserve"> (consulté le 22 juillet 2026)</w:t>
      </w:r>
    </w:p>
    <w:p w14:paraId="046FD8F7" w14:textId="77777777" w:rsidR="007A60EC" w:rsidRPr="00653BF4" w:rsidRDefault="007A60EC" w:rsidP="007A60EC">
      <w:pPr>
        <w:pStyle w:val="Bibliography"/>
        <w:rPr>
          <w:lang w:val="fr-FR"/>
        </w:rPr>
      </w:pPr>
      <w:r w:rsidRPr="00653BF4">
        <w:rPr>
          <w:lang w:val="fr-FR"/>
        </w:rPr>
        <w:t xml:space="preserve">INMS, 2026. INMS The International Nitrogen Management System [document en ligne]. Disponible à l’adresse </w:t>
      </w:r>
      <w:hyperlink r:id="rId363" w:history="1">
        <w:r w:rsidRPr="00653BF4">
          <w:rPr>
            <w:rStyle w:val="Hyperlink"/>
            <w:lang w:val="fr-FR"/>
          </w:rPr>
          <w:t>https://www.inms.international/</w:t>
        </w:r>
      </w:hyperlink>
      <w:r w:rsidRPr="00653BF4">
        <w:rPr>
          <w:lang w:val="fr-FR"/>
        </w:rPr>
        <w:t xml:space="preserve"> (consulté le 10 juillet 2026)</w:t>
      </w:r>
    </w:p>
    <w:p w14:paraId="51E34130" w14:textId="77777777" w:rsidR="007A60EC" w:rsidRPr="00543148" w:rsidRDefault="007A60EC" w:rsidP="007A60EC">
      <w:pPr>
        <w:pStyle w:val="Bibliography"/>
        <w:rPr>
          <w:lang w:val="en-US"/>
        </w:rPr>
      </w:pPr>
      <w:r w:rsidRPr="00543148">
        <w:rPr>
          <w:lang w:val="en-US"/>
        </w:rPr>
        <w:t xml:space="preserve">Institut Leibniz DSMZ, 2025. NMBS database: Non-monetary benefit-sharing from the use of genetic resources. Disponible à l’adresse </w:t>
      </w:r>
      <w:hyperlink r:id="rId364" w:history="1">
        <w:r w:rsidRPr="00543148">
          <w:rPr>
            <w:rStyle w:val="Hyperlink"/>
            <w:lang w:val="en-US"/>
          </w:rPr>
          <w:t>https://nmbs.dsmz.de/</w:t>
        </w:r>
      </w:hyperlink>
    </w:p>
    <w:p w14:paraId="1648B6E4" w14:textId="77777777" w:rsidR="007A60EC" w:rsidRPr="00543148" w:rsidRDefault="007A60EC" w:rsidP="007A60EC">
      <w:pPr>
        <w:pStyle w:val="Bibliography"/>
        <w:rPr>
          <w:lang w:val="en-US"/>
        </w:rPr>
      </w:pPr>
      <w:r w:rsidRPr="00543148">
        <w:rPr>
          <w:lang w:val="en-US"/>
        </w:rPr>
        <w:t xml:space="preserve">IPBES, 2019. Global assessment report on biodiversity and ecosystem services of the Intergovernmental Science-Policy Platform on Biodiversity and Ecosystem Services. Secrétariat de l’IPBES, Bonn. </w:t>
      </w:r>
      <w:hyperlink r:id="rId365" w:history="1">
        <w:r w:rsidRPr="00543148">
          <w:rPr>
            <w:rStyle w:val="Hyperlink"/>
            <w:lang w:val="en-US"/>
          </w:rPr>
          <w:t>https://doi.org/10.5281/ZENODO.6417333</w:t>
        </w:r>
      </w:hyperlink>
    </w:p>
    <w:p w14:paraId="7E9D043E" w14:textId="77777777" w:rsidR="007A60EC" w:rsidRPr="00653BF4" w:rsidRDefault="007A60EC" w:rsidP="007A60EC">
      <w:pPr>
        <w:pStyle w:val="Bibliography"/>
        <w:rPr>
          <w:lang w:val="fr-FR"/>
        </w:rPr>
      </w:pPr>
      <w:r w:rsidRPr="00543148">
        <w:rPr>
          <w:lang w:val="en-US"/>
        </w:rPr>
        <w:t xml:space="preserve">IPBES, 2022. Methodological assessment report on the diverse values and valuation of nature of the intergovernmental science-policy platform on biodiversity and ecosystem services. </w:t>
      </w:r>
      <w:r w:rsidRPr="00653BF4">
        <w:rPr>
          <w:lang w:val="fr-FR"/>
        </w:rPr>
        <w:t xml:space="preserve">Secrétariat de l’IPBES, Bonn (Allemagne). </w:t>
      </w:r>
      <w:hyperlink r:id="rId366" w:history="1">
        <w:r w:rsidRPr="00653BF4">
          <w:rPr>
            <w:rStyle w:val="Hyperlink"/>
            <w:lang w:val="fr-FR"/>
          </w:rPr>
          <w:t>https://doi.org/10.5281/zenodo.6522522</w:t>
        </w:r>
      </w:hyperlink>
    </w:p>
    <w:p w14:paraId="68B8C04C" w14:textId="77777777" w:rsidR="007A60EC" w:rsidRPr="00653BF4" w:rsidRDefault="007A60EC" w:rsidP="007A60EC">
      <w:pPr>
        <w:pStyle w:val="Bibliography"/>
        <w:rPr>
          <w:lang w:val="fr-FR"/>
        </w:rPr>
      </w:pPr>
      <w:r w:rsidRPr="00653BF4">
        <w:rPr>
          <w:lang w:val="fr-FR"/>
        </w:rPr>
        <w:t xml:space="preserve">IPBES, 2023a. </w:t>
      </w:r>
      <w:r w:rsidRPr="00543148">
        <w:rPr>
          <w:lang w:val="en-US"/>
        </w:rPr>
        <w:t xml:space="preserve">Thematic assessment report on invasive alien species and their control of the intergovernmental science-policy platform on biodiversity and ecosystem services. </w:t>
      </w:r>
      <w:r w:rsidRPr="00653BF4">
        <w:rPr>
          <w:lang w:val="fr-FR"/>
        </w:rPr>
        <w:t xml:space="preserve">Secrétariat de l’IPBES, Bonn (Allemagne). </w:t>
      </w:r>
      <w:hyperlink r:id="rId367" w:history="1">
        <w:r w:rsidRPr="00653BF4">
          <w:rPr>
            <w:rStyle w:val="Hyperlink"/>
            <w:lang w:val="fr-FR"/>
          </w:rPr>
          <w:t>https://doi.org/10.5281/zenodo.7430682</w:t>
        </w:r>
      </w:hyperlink>
    </w:p>
    <w:p w14:paraId="12B61488" w14:textId="77777777" w:rsidR="007A60EC" w:rsidRPr="00653BF4" w:rsidRDefault="007A60EC" w:rsidP="007A60EC">
      <w:pPr>
        <w:pStyle w:val="Bibliography"/>
        <w:rPr>
          <w:lang w:val="fr-FR"/>
        </w:rPr>
      </w:pPr>
      <w:r w:rsidRPr="00653BF4">
        <w:rPr>
          <w:lang w:val="fr-FR"/>
        </w:rPr>
        <w:lastRenderedPageBreak/>
        <w:t xml:space="preserve">IPBES, 2023b. </w:t>
      </w:r>
      <w:r w:rsidRPr="00543148">
        <w:rPr>
          <w:lang w:val="en-US"/>
        </w:rPr>
        <w:t xml:space="preserve">Decision IPBES-10/1 Annex II: Scoping report for a methodological assessment of integrated biodiversity-inclusive spatial planning and ecological connectivity. </w:t>
      </w:r>
      <w:r w:rsidRPr="00653BF4">
        <w:rPr>
          <w:lang w:val="fr-FR"/>
        </w:rPr>
        <w:t xml:space="preserve">Secrétariat de l’IPBES, Bonn. Disponible à l’adresse </w:t>
      </w:r>
      <w:hyperlink r:id="rId368" w:history="1">
        <w:r w:rsidRPr="00653BF4">
          <w:rPr>
            <w:rStyle w:val="Hyperlink"/>
            <w:lang w:val="fr-FR"/>
          </w:rPr>
          <w:t>https://www.ipbes.net/spatial-planning-assessment</w:t>
        </w:r>
      </w:hyperlink>
      <w:r w:rsidRPr="00653BF4">
        <w:rPr>
          <w:lang w:val="fr-FR"/>
        </w:rPr>
        <w:t xml:space="preserve"> (consulté le 14 juillet 2026)</w:t>
      </w:r>
    </w:p>
    <w:p w14:paraId="6E3E4E9D" w14:textId="77777777" w:rsidR="007A60EC" w:rsidRPr="00653BF4" w:rsidRDefault="007A60EC" w:rsidP="007A60EC">
      <w:pPr>
        <w:pStyle w:val="Bibliography"/>
        <w:rPr>
          <w:lang w:val="fr-FR"/>
        </w:rPr>
      </w:pPr>
      <w:r w:rsidRPr="00543148">
        <w:rPr>
          <w:lang w:val="en-US"/>
        </w:rPr>
        <w:t xml:space="preserve">IPBES, 2023c. Decision IPBES-10/1, Annex I: Scoping report for a methodological assessment on monitoring biodiversity and nature’s contributions to people. </w:t>
      </w:r>
      <w:r w:rsidRPr="00653BF4">
        <w:rPr>
          <w:lang w:val="fr-FR"/>
        </w:rPr>
        <w:t xml:space="preserve">Secrétariat de l’IPBES, Bonn. Disponible à l’adresse </w:t>
      </w:r>
      <w:hyperlink r:id="rId369" w:history="1">
        <w:r w:rsidRPr="00653BF4">
          <w:rPr>
            <w:rStyle w:val="Hyperlink"/>
            <w:lang w:val="fr-FR"/>
          </w:rPr>
          <w:t>https://www.ipbes.net/monitoring-assessment</w:t>
        </w:r>
      </w:hyperlink>
      <w:r w:rsidRPr="00653BF4">
        <w:rPr>
          <w:lang w:val="fr-FR"/>
        </w:rPr>
        <w:t xml:space="preserve"> (consulté le 14 juin 2026)</w:t>
      </w:r>
    </w:p>
    <w:p w14:paraId="675AD97D" w14:textId="77777777" w:rsidR="007A60EC" w:rsidRPr="00653BF4" w:rsidRDefault="007A60EC" w:rsidP="007A60EC">
      <w:pPr>
        <w:pStyle w:val="Bibliography"/>
        <w:rPr>
          <w:lang w:val="fr-FR"/>
        </w:rPr>
      </w:pPr>
      <w:r w:rsidRPr="00543148">
        <w:rPr>
          <w:lang w:val="en-US"/>
        </w:rPr>
        <w:t xml:space="preserve">IPBES, 2024a. Thematic assessment report on the underlying causes of biodiversity loss and the determinants of transformative change and options for achieving the 2050 vision for biodiversity of the intergovernmental science-policy platform on biodiversity and ecosystem services. </w:t>
      </w:r>
      <w:r w:rsidRPr="00653BF4">
        <w:rPr>
          <w:lang w:val="fr-FR"/>
        </w:rPr>
        <w:t xml:space="preserve">Secrétariat de l’IPBES, Bonn (Allemagne). </w:t>
      </w:r>
      <w:hyperlink r:id="rId370" w:history="1">
        <w:r w:rsidRPr="00653BF4">
          <w:rPr>
            <w:rStyle w:val="Hyperlink"/>
            <w:lang w:val="fr-FR"/>
          </w:rPr>
          <w:t>https://doi.org/10.5281/zenodo.11382215</w:t>
        </w:r>
      </w:hyperlink>
    </w:p>
    <w:p w14:paraId="23568560" w14:textId="77777777" w:rsidR="007A60EC" w:rsidRPr="00653BF4" w:rsidRDefault="007A60EC" w:rsidP="007A60EC">
      <w:pPr>
        <w:pStyle w:val="Bibliography"/>
        <w:rPr>
          <w:lang w:val="fr-FR"/>
        </w:rPr>
      </w:pPr>
      <w:r w:rsidRPr="00653BF4">
        <w:rPr>
          <w:lang w:val="fr-FR"/>
        </w:rPr>
        <w:t xml:space="preserve">IPBES, 2024b. </w:t>
      </w:r>
      <w:r w:rsidRPr="00543148">
        <w:rPr>
          <w:lang w:val="en-US"/>
        </w:rPr>
        <w:t xml:space="preserve">Thematic assessment report on the interlinkages among biodiversity, water, food and health of the intergovernmental science-policy platform on biodiversity and ecosystem services. </w:t>
      </w:r>
      <w:r w:rsidRPr="00653BF4">
        <w:rPr>
          <w:lang w:val="fr-FR"/>
        </w:rPr>
        <w:t xml:space="preserve">Secrétariat de l’IPBES, Bonn (Allemagne). </w:t>
      </w:r>
      <w:hyperlink r:id="rId371" w:history="1">
        <w:r w:rsidRPr="00653BF4">
          <w:rPr>
            <w:rStyle w:val="Hyperlink"/>
            <w:lang w:val="fr-FR"/>
          </w:rPr>
          <w:t>https://doi.org/10.5281/zenodo.13850054</w:t>
        </w:r>
      </w:hyperlink>
    </w:p>
    <w:p w14:paraId="49477C1B" w14:textId="77777777" w:rsidR="007A60EC" w:rsidRPr="00653BF4" w:rsidRDefault="007A60EC" w:rsidP="007A60EC">
      <w:pPr>
        <w:pStyle w:val="Bibliography"/>
        <w:rPr>
          <w:lang w:val="fr-FR"/>
        </w:rPr>
      </w:pPr>
      <w:r w:rsidRPr="00653BF4">
        <w:rPr>
          <w:lang w:val="fr-FR"/>
        </w:rPr>
        <w:t xml:space="preserve">IPBES, 2024c. </w:t>
      </w:r>
      <w:r w:rsidRPr="00543148">
        <w:rPr>
          <w:lang w:val="en-US"/>
        </w:rPr>
        <w:t xml:space="preserve">Decision IPBES-11/1, Annex I: Scoping report for a second global assessment of biodiversity and ecosystem services. </w:t>
      </w:r>
      <w:r w:rsidRPr="00653BF4">
        <w:rPr>
          <w:lang w:val="fr-FR"/>
        </w:rPr>
        <w:t xml:space="preserve">Secrétariat de l’IPBES. Disponible à l’adresse </w:t>
      </w:r>
      <w:hyperlink r:id="rId372" w:history="1">
        <w:r w:rsidRPr="00653BF4">
          <w:rPr>
            <w:rStyle w:val="Hyperlink"/>
            <w:lang w:val="fr-FR"/>
          </w:rPr>
          <w:t>https://www.ipbes.net/second-global-assessment</w:t>
        </w:r>
      </w:hyperlink>
      <w:r w:rsidRPr="00653BF4">
        <w:rPr>
          <w:lang w:val="fr-FR"/>
        </w:rPr>
        <w:t xml:space="preserve"> (consulté le 2 août 2026)</w:t>
      </w:r>
    </w:p>
    <w:p w14:paraId="5670F58B" w14:textId="77777777" w:rsidR="007A60EC" w:rsidRPr="00653BF4" w:rsidRDefault="007A60EC" w:rsidP="007A60EC">
      <w:pPr>
        <w:pStyle w:val="Bibliography"/>
        <w:rPr>
          <w:lang w:val="fr-FR"/>
        </w:rPr>
      </w:pPr>
      <w:r w:rsidRPr="00543148">
        <w:rPr>
          <w:lang w:val="en-US"/>
        </w:rPr>
        <w:t xml:space="preserve">IPBES, 2026. Methodological assessment of the impact and dependence of business on biodiversity and nature’s contributions to people of the Intergovernmental Science-Policy Platform on Biodiversity and Ecosystem Services. </w:t>
      </w:r>
      <w:r w:rsidRPr="00653BF4">
        <w:rPr>
          <w:lang w:val="fr-FR"/>
        </w:rPr>
        <w:t xml:space="preserve">Secrétariat de l’IPBES, Bonn (Allemagne). </w:t>
      </w:r>
      <w:hyperlink r:id="rId373" w:history="1">
        <w:r w:rsidRPr="00653BF4">
          <w:rPr>
            <w:rStyle w:val="Hyperlink"/>
            <w:lang w:val="fr-FR"/>
          </w:rPr>
          <w:t>https://doi.org/10.5281/zenodo.17185116</w:t>
        </w:r>
      </w:hyperlink>
    </w:p>
    <w:p w14:paraId="4688B840" w14:textId="77777777" w:rsidR="007A60EC" w:rsidRPr="00653BF4" w:rsidRDefault="007A60EC" w:rsidP="007A60EC">
      <w:pPr>
        <w:pStyle w:val="Bibliography"/>
        <w:rPr>
          <w:lang w:val="fr-FR"/>
        </w:rPr>
      </w:pPr>
      <w:r w:rsidRPr="00653BF4">
        <w:rPr>
          <w:lang w:val="fr-FR"/>
        </w:rPr>
        <w:t xml:space="preserve">ISO, 2025. </w:t>
      </w:r>
      <w:r w:rsidRPr="00543148">
        <w:rPr>
          <w:lang w:val="en-US"/>
        </w:rPr>
        <w:t xml:space="preserve">Submission of the Secretariat of the International Organization for Standardization (ISO), in response to CBD notification 2025-099. </w:t>
      </w:r>
      <w:r w:rsidRPr="00653BF4">
        <w:rPr>
          <w:lang w:val="fr-FR"/>
        </w:rPr>
        <w:t xml:space="preserve">Secrétariat de la Convention sur la diversité biologique, Montréal. Disponible à l’adresse </w:t>
      </w:r>
      <w:hyperlink r:id="rId374" w:history="1">
        <w:r w:rsidRPr="00653BF4">
          <w:rPr>
            <w:rStyle w:val="Hyperlink"/>
            <w:lang w:val="fr-FR"/>
          </w:rPr>
          <w:t>https://www.cbd.int/notifications/2025-099</w:t>
        </w:r>
      </w:hyperlink>
      <w:r w:rsidRPr="00653BF4">
        <w:rPr>
          <w:lang w:val="fr-FR"/>
        </w:rPr>
        <w:t xml:space="preserve"> (consulté le 21 mai 2026)</w:t>
      </w:r>
    </w:p>
    <w:p w14:paraId="06115887" w14:textId="77777777" w:rsidR="007A60EC" w:rsidRPr="00543148" w:rsidRDefault="007A60EC" w:rsidP="007A60EC">
      <w:pPr>
        <w:pStyle w:val="Bibliography"/>
        <w:rPr>
          <w:lang w:val="en-US"/>
        </w:rPr>
      </w:pPr>
      <w:r w:rsidRPr="00653BF4">
        <w:rPr>
          <w:lang w:val="fr-FR"/>
        </w:rPr>
        <w:t xml:space="preserve">Keith, D.A. </w:t>
      </w:r>
      <w:r w:rsidRPr="00653BF4">
        <w:rPr>
          <w:i/>
          <w:lang w:val="fr-FR"/>
        </w:rPr>
        <w:t>et al.</w:t>
      </w:r>
      <w:r w:rsidRPr="00653BF4">
        <w:rPr>
          <w:lang w:val="fr-FR"/>
        </w:rPr>
        <w:t xml:space="preserve"> </w:t>
      </w:r>
      <w:r w:rsidRPr="00543148">
        <w:rPr>
          <w:lang w:val="en-US"/>
        </w:rPr>
        <w:t xml:space="preserve">(dir.), 2020. IUCN Global Ecosystem Typology 2.0: descriptive profiles for biomes and ecosystem functional groups. UICN, International Union for Conservation of Nature. </w:t>
      </w:r>
      <w:hyperlink r:id="rId375" w:history="1">
        <w:r w:rsidRPr="00543148">
          <w:rPr>
            <w:rStyle w:val="Hyperlink"/>
            <w:lang w:val="en-US"/>
          </w:rPr>
          <w:t>https://doi.org/10.2305/IUCN.CH.2020.13.en</w:t>
        </w:r>
      </w:hyperlink>
    </w:p>
    <w:p w14:paraId="627DEE62" w14:textId="77777777" w:rsidR="007A60EC" w:rsidRPr="00543148" w:rsidRDefault="007A60EC" w:rsidP="007A60EC">
      <w:pPr>
        <w:pStyle w:val="Bibliography"/>
        <w:rPr>
          <w:lang w:val="en-US"/>
        </w:rPr>
      </w:pPr>
      <w:r w:rsidRPr="00653BF4">
        <w:rPr>
          <w:lang w:val="fr-FR"/>
        </w:rPr>
        <w:t xml:space="preserve">Keith, D.A. </w:t>
      </w:r>
      <w:r w:rsidRPr="00653BF4">
        <w:rPr>
          <w:i/>
          <w:lang w:val="fr-FR"/>
        </w:rPr>
        <w:t>et al.</w:t>
      </w:r>
      <w:r w:rsidRPr="00653BF4">
        <w:rPr>
          <w:lang w:val="fr-FR"/>
        </w:rPr>
        <w:t xml:space="preserve">, 2022. </w:t>
      </w:r>
      <w:r w:rsidRPr="00543148">
        <w:rPr>
          <w:lang w:val="en-US"/>
        </w:rPr>
        <w:t xml:space="preserve">A function-based typology for Earth’s ecosystems. Nature 610, 513–518. </w:t>
      </w:r>
      <w:hyperlink r:id="rId376" w:history="1">
        <w:r w:rsidRPr="00543148">
          <w:rPr>
            <w:rStyle w:val="Hyperlink"/>
            <w:lang w:val="en-US"/>
          </w:rPr>
          <w:t>https://doi.org/10.1038/s41586-022-05318-4</w:t>
        </w:r>
      </w:hyperlink>
    </w:p>
    <w:p w14:paraId="142F2069" w14:textId="77777777" w:rsidR="007A60EC" w:rsidRPr="00653BF4" w:rsidRDefault="007A60EC" w:rsidP="007A60EC">
      <w:pPr>
        <w:pStyle w:val="Bibliography"/>
        <w:rPr>
          <w:lang w:val="fr-FR"/>
        </w:rPr>
      </w:pPr>
      <w:r w:rsidRPr="00543148">
        <w:rPr>
          <w:lang w:val="en-US"/>
        </w:rPr>
        <w:t xml:space="preserve">Khorngton, S. </w:t>
      </w:r>
      <w:r w:rsidRPr="00543148">
        <w:rPr>
          <w:i/>
          <w:lang w:val="en-US"/>
        </w:rPr>
        <w:t>et al.</w:t>
      </w:r>
      <w:r w:rsidRPr="00543148">
        <w:rPr>
          <w:lang w:val="en-US"/>
        </w:rPr>
        <w:t xml:space="preserve">, 2026. Leveraging Red List data to estimate genetic diversity indicators: Improved workflows to support the Global Biodiversity Framework. </w:t>
      </w:r>
      <w:r w:rsidRPr="00653BF4">
        <w:rPr>
          <w:lang w:val="fr-FR"/>
        </w:rPr>
        <w:t xml:space="preserve">Conserv. Sci. Pract. e70321. </w:t>
      </w:r>
      <w:hyperlink r:id="rId377" w:history="1">
        <w:r w:rsidRPr="00653BF4">
          <w:rPr>
            <w:rStyle w:val="Hyperlink"/>
            <w:lang w:val="fr-FR"/>
          </w:rPr>
          <w:t>https://doi.org/10.1111/csp2.70321</w:t>
        </w:r>
      </w:hyperlink>
    </w:p>
    <w:p w14:paraId="6EFB2AD1" w14:textId="77777777" w:rsidR="007A60EC" w:rsidRPr="00543148" w:rsidRDefault="007A60EC" w:rsidP="007A60EC">
      <w:pPr>
        <w:pStyle w:val="Bibliography"/>
        <w:rPr>
          <w:lang w:val="en-US"/>
        </w:rPr>
      </w:pPr>
      <w:r w:rsidRPr="00653BF4">
        <w:rPr>
          <w:lang w:val="fr-FR"/>
        </w:rPr>
        <w:t xml:space="preserve">Kok, M.T.J. </w:t>
      </w:r>
      <w:r w:rsidRPr="00653BF4">
        <w:rPr>
          <w:i/>
          <w:lang w:val="fr-FR"/>
        </w:rPr>
        <w:t>et al.</w:t>
      </w:r>
      <w:r w:rsidRPr="00653BF4">
        <w:rPr>
          <w:lang w:val="fr-FR"/>
        </w:rPr>
        <w:t xml:space="preserve">, 2023. </w:t>
      </w:r>
      <w:r w:rsidRPr="00543148">
        <w:rPr>
          <w:lang w:val="en-US"/>
        </w:rPr>
        <w:t xml:space="preserve">Assessing ambitious nature conservation strategies in a below 2-degree and food-secure world. </w:t>
      </w:r>
      <w:r w:rsidRPr="00653BF4">
        <w:rPr>
          <w:lang w:val="fr-FR"/>
        </w:rPr>
        <w:t xml:space="preserve">Biol. Conserv. </w:t>
      </w:r>
      <w:r w:rsidRPr="00543148">
        <w:rPr>
          <w:lang w:val="en-US"/>
        </w:rPr>
        <w:t xml:space="preserve">284, 110068. </w:t>
      </w:r>
      <w:hyperlink r:id="rId378" w:history="1">
        <w:r w:rsidRPr="00543148">
          <w:rPr>
            <w:rStyle w:val="Hyperlink"/>
            <w:lang w:val="en-US"/>
          </w:rPr>
          <w:t>https://doi.org/10.1016/j.biocon.2023.110068</w:t>
        </w:r>
      </w:hyperlink>
    </w:p>
    <w:p w14:paraId="34A6897D" w14:textId="77777777" w:rsidR="007A60EC" w:rsidRPr="00543148" w:rsidRDefault="007A60EC" w:rsidP="007A60EC">
      <w:pPr>
        <w:pStyle w:val="Bibliography"/>
        <w:rPr>
          <w:lang w:val="en-US"/>
        </w:rPr>
      </w:pPr>
      <w:r w:rsidRPr="00543148">
        <w:rPr>
          <w:lang w:val="en-US"/>
        </w:rPr>
        <w:t xml:space="preserve">LandMark, 2024. Percent of country held by indigenous peoples and communities – acknowledged by government and total (version 202408). LandMark Global Platform of Indigenous and Community Lands. Disponible à l’adresse </w:t>
      </w:r>
      <w:hyperlink r:id="rId379" w:history="1">
        <w:r w:rsidRPr="00543148">
          <w:rPr>
            <w:rStyle w:val="Hyperlink"/>
            <w:lang w:val="en-US"/>
          </w:rPr>
          <w:t>https://landmarkmap.org/</w:t>
        </w:r>
      </w:hyperlink>
    </w:p>
    <w:p w14:paraId="73F55A19" w14:textId="77777777" w:rsidR="007A60EC" w:rsidRPr="00543148" w:rsidRDefault="007A60EC" w:rsidP="007A60EC">
      <w:pPr>
        <w:pStyle w:val="Bibliography"/>
        <w:rPr>
          <w:lang w:val="en-US"/>
        </w:rPr>
      </w:pPr>
      <w:r w:rsidRPr="00543148">
        <w:rPr>
          <w:lang w:val="en-US"/>
        </w:rPr>
        <w:lastRenderedPageBreak/>
        <w:t xml:space="preserve">LandMark, 2025. Indigenous peoples’ lands &amp; territories, local communities lands, and indicative areas of indigenous and local community lands (version 202509). LandMark Global Platform of Indigenous and Community Lands. Disponible à l’adresse </w:t>
      </w:r>
      <w:hyperlink r:id="rId380" w:history="1">
        <w:r w:rsidRPr="00543148">
          <w:rPr>
            <w:rStyle w:val="Hyperlink"/>
            <w:lang w:val="en-US"/>
          </w:rPr>
          <w:t>https://www.landmarkmap.org/</w:t>
        </w:r>
      </w:hyperlink>
    </w:p>
    <w:p w14:paraId="268E5B2F" w14:textId="77777777" w:rsidR="007A60EC" w:rsidRPr="00653BF4" w:rsidRDefault="007A60EC" w:rsidP="007A60EC">
      <w:pPr>
        <w:pStyle w:val="Bibliography"/>
        <w:rPr>
          <w:lang w:val="fr-FR"/>
        </w:rPr>
      </w:pPr>
      <w:r w:rsidRPr="00543148">
        <w:rPr>
          <w:lang w:val="en-US"/>
        </w:rPr>
        <w:t xml:space="preserve">Langhammer, P.F. </w:t>
      </w:r>
      <w:r w:rsidRPr="00543148">
        <w:rPr>
          <w:i/>
          <w:lang w:val="en-US"/>
        </w:rPr>
        <w:t>et al.</w:t>
      </w:r>
      <w:r w:rsidRPr="00543148">
        <w:rPr>
          <w:lang w:val="en-US"/>
        </w:rPr>
        <w:t xml:space="preserve">, 2024. The positive impact of conservation action. </w:t>
      </w:r>
      <w:r w:rsidRPr="00653BF4">
        <w:rPr>
          <w:lang w:val="fr-FR"/>
        </w:rPr>
        <w:t xml:space="preserve">Science 384, 453–458. </w:t>
      </w:r>
      <w:hyperlink r:id="rId381" w:history="1">
        <w:r w:rsidRPr="00653BF4">
          <w:rPr>
            <w:rStyle w:val="Hyperlink"/>
            <w:lang w:val="fr-FR"/>
          </w:rPr>
          <w:t>https://doi.org/10.1126/science.adj6598</w:t>
        </w:r>
      </w:hyperlink>
    </w:p>
    <w:p w14:paraId="3E4CD558" w14:textId="77777777" w:rsidR="007A60EC" w:rsidRPr="00543148" w:rsidRDefault="007A60EC" w:rsidP="007A60EC">
      <w:pPr>
        <w:pStyle w:val="Bibliography"/>
        <w:rPr>
          <w:lang w:val="en-US"/>
        </w:rPr>
      </w:pPr>
      <w:r w:rsidRPr="00653BF4">
        <w:rPr>
          <w:lang w:val="fr-FR"/>
        </w:rPr>
        <w:t xml:space="preserve">Leadley, P. </w:t>
      </w:r>
      <w:r w:rsidRPr="00653BF4">
        <w:rPr>
          <w:i/>
          <w:lang w:val="fr-FR"/>
        </w:rPr>
        <w:t>et al.</w:t>
      </w:r>
      <w:r w:rsidRPr="00653BF4">
        <w:rPr>
          <w:lang w:val="fr-FR"/>
        </w:rPr>
        <w:t xml:space="preserve">, 2022. </w:t>
      </w:r>
      <w:r w:rsidRPr="00543148">
        <w:rPr>
          <w:lang w:val="en-US"/>
        </w:rPr>
        <w:t xml:space="preserve">Achieving global biodiversity goals by 2050 requires urgent and integrated actions. One Earth 5, 597–603. </w:t>
      </w:r>
      <w:hyperlink r:id="rId382" w:history="1">
        <w:r w:rsidRPr="00543148">
          <w:rPr>
            <w:rStyle w:val="Hyperlink"/>
            <w:lang w:val="en-US"/>
          </w:rPr>
          <w:t>https://doi.org/10.1016/j.oneear.2022.05.009</w:t>
        </w:r>
      </w:hyperlink>
    </w:p>
    <w:p w14:paraId="24A15E72" w14:textId="77777777" w:rsidR="007A60EC" w:rsidRPr="00653BF4" w:rsidRDefault="007A60EC" w:rsidP="007A60EC">
      <w:pPr>
        <w:pStyle w:val="Bibliography"/>
        <w:rPr>
          <w:lang w:val="fr-FR"/>
        </w:rPr>
      </w:pPr>
      <w:r w:rsidRPr="00543148">
        <w:rPr>
          <w:lang w:val="en-US"/>
        </w:rPr>
        <w:t xml:space="preserve">Leclère, D. </w:t>
      </w:r>
      <w:r w:rsidRPr="00543148">
        <w:rPr>
          <w:i/>
          <w:lang w:val="en-US"/>
        </w:rPr>
        <w:t>et al.</w:t>
      </w:r>
      <w:r w:rsidRPr="00543148">
        <w:rPr>
          <w:lang w:val="en-US"/>
        </w:rPr>
        <w:t xml:space="preserve">, 2020. Bending the curve of terrestrial biodiversity needs an integrated strategy. </w:t>
      </w:r>
      <w:r w:rsidRPr="00653BF4">
        <w:rPr>
          <w:lang w:val="fr-FR"/>
        </w:rPr>
        <w:t xml:space="preserve">Nature 585, 551–556. </w:t>
      </w:r>
      <w:hyperlink r:id="rId383" w:history="1">
        <w:r w:rsidRPr="00653BF4">
          <w:rPr>
            <w:rStyle w:val="Hyperlink"/>
            <w:lang w:val="fr-FR"/>
          </w:rPr>
          <w:t>https://doi.org/10.1038/s41586-020-2705-y</w:t>
        </w:r>
      </w:hyperlink>
    </w:p>
    <w:p w14:paraId="5DB10E35" w14:textId="77777777" w:rsidR="007A60EC" w:rsidRPr="00653BF4" w:rsidRDefault="007A60EC" w:rsidP="007A60EC">
      <w:pPr>
        <w:pStyle w:val="Bibliography"/>
        <w:rPr>
          <w:lang w:val="fr-FR"/>
        </w:rPr>
      </w:pPr>
      <w:r w:rsidRPr="00653BF4">
        <w:rPr>
          <w:lang w:val="fr-FR"/>
        </w:rPr>
        <w:t xml:space="preserve">Mastretta-Yanes, A. </w:t>
      </w:r>
      <w:r w:rsidRPr="00653BF4">
        <w:rPr>
          <w:i/>
          <w:lang w:val="fr-FR"/>
        </w:rPr>
        <w:t>et al.</w:t>
      </w:r>
      <w:r w:rsidRPr="00653BF4">
        <w:rPr>
          <w:lang w:val="fr-FR"/>
        </w:rPr>
        <w:t xml:space="preserve">, 2024. </w:t>
      </w:r>
      <w:r w:rsidRPr="00543148">
        <w:rPr>
          <w:lang w:val="en-US"/>
        </w:rPr>
        <w:t xml:space="preserve">Multinational evaluation of genetic diversity indicators for the Kunming-Montreal Global Biodiversity Framework. </w:t>
      </w:r>
      <w:r w:rsidRPr="00653BF4">
        <w:rPr>
          <w:lang w:val="fr-FR"/>
        </w:rPr>
        <w:t xml:space="preserve">Dryad. </w:t>
      </w:r>
      <w:hyperlink r:id="rId384" w:history="1">
        <w:r w:rsidRPr="00653BF4">
          <w:rPr>
            <w:rStyle w:val="Hyperlink"/>
            <w:lang w:val="fr-FR"/>
          </w:rPr>
          <w:t>https://doi.org/10.5061/DRYAD.BK3J9KDKM</w:t>
        </w:r>
      </w:hyperlink>
    </w:p>
    <w:p w14:paraId="6C7AFC70" w14:textId="77777777" w:rsidR="007A60EC" w:rsidRPr="00653BF4" w:rsidRDefault="007A60EC" w:rsidP="007A60EC">
      <w:pPr>
        <w:pStyle w:val="Bibliography"/>
        <w:rPr>
          <w:lang w:val="fr-FR"/>
        </w:rPr>
      </w:pPr>
      <w:r w:rsidRPr="00653BF4">
        <w:rPr>
          <w:lang w:val="fr-FR"/>
        </w:rPr>
        <w:t xml:space="preserve">Ministère de l’environnement du Panama (MiAMBIENTE), 2025. Pacto de Panamá con la Naturaleza (Nature Pledge). Ministère de l’environnement du Panama (MiAMBIENTE), Panama. Disponible à l’adresse </w:t>
      </w:r>
      <w:hyperlink r:id="rId385" w:history="1">
        <w:r w:rsidRPr="00653BF4">
          <w:rPr>
            <w:rStyle w:val="Hyperlink"/>
            <w:lang w:val="fr-FR"/>
          </w:rPr>
          <w:t>https://transparencia-climatica.miambiente.gob.pa/wp-content/uploads/2025/11/Pacto-de-Panama-con-la-Naturaleza-Nature-Pledge.pdf</w:t>
        </w:r>
      </w:hyperlink>
      <w:r w:rsidRPr="00653BF4">
        <w:rPr>
          <w:lang w:val="fr-FR"/>
        </w:rPr>
        <w:t xml:space="preserve"> (consulté le 14 juin 2026)</w:t>
      </w:r>
    </w:p>
    <w:p w14:paraId="45335830" w14:textId="77777777" w:rsidR="007A60EC" w:rsidRPr="00653BF4" w:rsidRDefault="007A60EC" w:rsidP="007A60EC">
      <w:pPr>
        <w:pStyle w:val="Bibliography"/>
        <w:rPr>
          <w:lang w:val="fr-FR"/>
        </w:rPr>
      </w:pPr>
      <w:r w:rsidRPr="00653BF4">
        <w:rPr>
          <w:lang w:val="fr-FR"/>
        </w:rPr>
        <w:t xml:space="preserve">Ministère des finances, Gouvernement du Chili, 2025. </w:t>
      </w:r>
      <w:r w:rsidRPr="00543148">
        <w:rPr>
          <w:lang w:val="en-US"/>
        </w:rPr>
        <w:t xml:space="preserve">Chile’s Sustainability-Linked Bond Framework. </w:t>
      </w:r>
      <w:r w:rsidRPr="00653BF4">
        <w:rPr>
          <w:lang w:val="fr-FR"/>
        </w:rPr>
        <w:t xml:space="preserve">Ministère des finances, Gouvernement du Chili, Santiago. Disponible à l’adresse </w:t>
      </w:r>
      <w:hyperlink r:id="rId386" w:history="1">
        <w:r w:rsidRPr="00653BF4">
          <w:rPr>
            <w:rStyle w:val="Hyperlink"/>
            <w:lang w:val="fr-FR"/>
          </w:rPr>
          <w:t>https://www.hacienda.cl/english/work-areas/international-finance/public-debt-office/esg-bonds/sustainability-linked-bonds</w:t>
        </w:r>
      </w:hyperlink>
      <w:r w:rsidRPr="00653BF4">
        <w:rPr>
          <w:lang w:val="fr-FR"/>
        </w:rPr>
        <w:t xml:space="preserve"> (consulté le 14 août 2026)</w:t>
      </w:r>
    </w:p>
    <w:p w14:paraId="5DCAFAE2" w14:textId="77777777" w:rsidR="007A60EC" w:rsidRPr="00653BF4" w:rsidRDefault="007A60EC" w:rsidP="007A60EC">
      <w:pPr>
        <w:pStyle w:val="Bibliography"/>
        <w:rPr>
          <w:lang w:val="fr-FR"/>
        </w:rPr>
      </w:pPr>
      <w:r w:rsidRPr="00653BF4">
        <w:rPr>
          <w:lang w:val="fr-FR"/>
        </w:rPr>
        <w:t xml:space="preserve">Ministère du climat et des entreprises, Services du Gouvernement suédois, 2025. </w:t>
      </w:r>
      <w:r w:rsidRPr="00543148">
        <w:rPr>
          <w:lang w:val="en-US"/>
        </w:rPr>
        <w:t xml:space="preserve">Submission of the Ministry of Climate and Enterprise, Government Offices of Sweden, in response to CBD notification 2025-100. </w:t>
      </w:r>
      <w:r w:rsidRPr="00653BF4">
        <w:rPr>
          <w:lang w:val="fr-FR"/>
        </w:rPr>
        <w:t xml:space="preserve">Secrétariat de la Convention sur la diversité biologique, Montréal. Disponible à l’adresse </w:t>
      </w:r>
      <w:hyperlink r:id="rId387" w:history="1">
        <w:r w:rsidRPr="00653BF4">
          <w:rPr>
            <w:rStyle w:val="Hyperlink"/>
            <w:lang w:val="fr-FR"/>
          </w:rPr>
          <w:t>https://www.cbd.int/notifications/2025-100</w:t>
        </w:r>
      </w:hyperlink>
      <w:r w:rsidRPr="00653BF4">
        <w:rPr>
          <w:lang w:val="fr-FR"/>
        </w:rPr>
        <w:t xml:space="preserve"> (consulté le 14 août 2026)</w:t>
      </w:r>
    </w:p>
    <w:p w14:paraId="4F079AF3" w14:textId="77777777" w:rsidR="007A60EC" w:rsidRPr="00653BF4" w:rsidRDefault="007A60EC" w:rsidP="007A60EC">
      <w:pPr>
        <w:pStyle w:val="Bibliography"/>
        <w:rPr>
          <w:lang w:val="fr-FR"/>
        </w:rPr>
      </w:pPr>
      <w:r w:rsidRPr="00653BF4">
        <w:rPr>
          <w:lang w:val="fr-FR"/>
        </w:rPr>
        <w:t xml:space="preserve">MMA, 2024. Plano Nacional de Recuperação da Vegetação Nativa (PLANAVEG) 2025–2028. Ministério do Meio Ambiente e Mudança do Clima (MMA), Brasilia. Disponible à l’adresse </w:t>
      </w:r>
      <w:hyperlink r:id="rId388" w:history="1">
        <w:r w:rsidRPr="00653BF4">
          <w:rPr>
            <w:rStyle w:val="Hyperlink"/>
            <w:lang w:val="fr-FR"/>
          </w:rPr>
          <w:t>https://www.gov.br/mma/pt-br/composicao/sbio/dflo/plano-nacional-de-recuperacao-da-vegetacao-nativa-planaveg/planaveg_2025-2028_2dez2024.pdf</w:t>
        </w:r>
      </w:hyperlink>
      <w:r w:rsidRPr="00653BF4">
        <w:rPr>
          <w:lang w:val="fr-FR"/>
        </w:rPr>
        <w:t xml:space="preserve"> (consulté le 23 juin 2026)</w:t>
      </w:r>
    </w:p>
    <w:p w14:paraId="71D036DD" w14:textId="77777777" w:rsidR="007A60EC" w:rsidRPr="00653BF4" w:rsidRDefault="007A60EC" w:rsidP="007A60EC">
      <w:pPr>
        <w:pStyle w:val="Bibliography"/>
        <w:rPr>
          <w:lang w:val="fr-FR"/>
        </w:rPr>
      </w:pPr>
      <w:r w:rsidRPr="00653BF4">
        <w:rPr>
          <w:lang w:val="fr-FR"/>
        </w:rPr>
        <w:t xml:space="preserve">Moreno-Mateos, D. </w:t>
      </w:r>
      <w:r w:rsidRPr="00653BF4">
        <w:rPr>
          <w:i/>
          <w:lang w:val="fr-FR"/>
        </w:rPr>
        <w:t>et al.</w:t>
      </w:r>
      <w:r w:rsidRPr="00653BF4">
        <w:rPr>
          <w:lang w:val="fr-FR"/>
        </w:rPr>
        <w:t xml:space="preserve">, 2017. </w:t>
      </w:r>
      <w:r w:rsidRPr="00543148">
        <w:rPr>
          <w:lang w:val="en-US"/>
        </w:rPr>
        <w:t xml:space="preserve">Anthropogenic ecosystem disturbance and the recovery debt. </w:t>
      </w:r>
      <w:r w:rsidRPr="00653BF4">
        <w:rPr>
          <w:lang w:val="fr-FR"/>
        </w:rPr>
        <w:t xml:space="preserve">Nat. Commun. 8, 14163. </w:t>
      </w:r>
      <w:hyperlink r:id="rId389" w:history="1">
        <w:r w:rsidRPr="00653BF4">
          <w:rPr>
            <w:rStyle w:val="Hyperlink"/>
            <w:lang w:val="fr-FR"/>
          </w:rPr>
          <w:t>https://doi.org/10.1038/ncomms14163</w:t>
        </w:r>
      </w:hyperlink>
    </w:p>
    <w:p w14:paraId="5BD5AD47" w14:textId="77777777" w:rsidR="007A60EC" w:rsidRPr="00653BF4" w:rsidRDefault="007A60EC" w:rsidP="007A60EC">
      <w:pPr>
        <w:pStyle w:val="Bibliography"/>
        <w:rPr>
          <w:lang w:val="fr-FR"/>
        </w:rPr>
      </w:pPr>
      <w:r w:rsidRPr="00653BF4">
        <w:rPr>
          <w:lang w:val="fr-FR"/>
        </w:rPr>
        <w:t xml:space="preserve">Murray, N. </w:t>
      </w:r>
      <w:r w:rsidRPr="00653BF4">
        <w:rPr>
          <w:i/>
          <w:lang w:val="fr-FR"/>
        </w:rPr>
        <w:t>et al.</w:t>
      </w:r>
      <w:r w:rsidRPr="00653BF4">
        <w:rPr>
          <w:lang w:val="fr-FR"/>
        </w:rPr>
        <w:t xml:space="preserve">, 2026. </w:t>
      </w:r>
      <w:r w:rsidRPr="00543148">
        <w:rPr>
          <w:lang w:val="en-US"/>
        </w:rPr>
        <w:t xml:space="preserve">The Global Ecosystems Atlas: comprehensive and systematic mapping of Earth’s ecosystems. </w:t>
      </w:r>
      <w:r w:rsidRPr="00653BF4">
        <w:rPr>
          <w:lang w:val="fr-FR"/>
        </w:rPr>
        <w:t xml:space="preserve">EcoEvoRxiv. </w:t>
      </w:r>
      <w:hyperlink r:id="rId390" w:history="1">
        <w:r w:rsidRPr="00653BF4">
          <w:rPr>
            <w:rStyle w:val="Hyperlink"/>
            <w:lang w:val="fr-FR"/>
          </w:rPr>
          <w:t>https://doi.org/10.32942/X22Q3M</w:t>
        </w:r>
      </w:hyperlink>
    </w:p>
    <w:p w14:paraId="2F655356" w14:textId="3263AAC4" w:rsidR="007A60EC" w:rsidRPr="00653BF4" w:rsidRDefault="007A60EC" w:rsidP="007A60EC">
      <w:pPr>
        <w:pStyle w:val="Bibliography"/>
        <w:rPr>
          <w:lang w:val="fr-FR"/>
        </w:rPr>
      </w:pPr>
      <w:r w:rsidRPr="00653BF4">
        <w:rPr>
          <w:lang w:val="fr-FR"/>
        </w:rPr>
        <w:t>Nations Unies, 2015. A/RES/70/1</w:t>
      </w:r>
      <w:r w:rsidR="00E34DC9">
        <w:rPr>
          <w:lang w:val="fr-FR"/>
        </w:rPr>
        <w:t> :</w:t>
      </w:r>
      <w:r w:rsidRPr="00653BF4">
        <w:rPr>
          <w:lang w:val="fr-FR"/>
        </w:rPr>
        <w:t xml:space="preserve"> Transformer notre monde</w:t>
      </w:r>
      <w:r w:rsidR="00E34DC9">
        <w:rPr>
          <w:lang w:val="fr-FR"/>
        </w:rPr>
        <w:t> :</w:t>
      </w:r>
      <w:r w:rsidRPr="00653BF4">
        <w:rPr>
          <w:lang w:val="fr-FR"/>
        </w:rPr>
        <w:t xml:space="preserve"> le Programme de développement durable à l’horizon 2030. Nations Unies, New York. Disponible à l’adresse </w:t>
      </w:r>
      <w:hyperlink r:id="rId391" w:history="1">
        <w:r w:rsidRPr="00653BF4">
          <w:rPr>
            <w:rStyle w:val="Hyperlink"/>
            <w:lang w:val="fr-FR"/>
          </w:rPr>
          <w:t>https://digitallibrary.un.org/record/3923923?ln=fr</w:t>
        </w:r>
      </w:hyperlink>
      <w:r w:rsidRPr="00653BF4">
        <w:rPr>
          <w:lang w:val="fr-FR"/>
        </w:rPr>
        <w:t xml:space="preserve"> (consulté le 22 mai 2026)</w:t>
      </w:r>
    </w:p>
    <w:p w14:paraId="5D3ADC36" w14:textId="77777777" w:rsidR="007A60EC" w:rsidRPr="00653BF4" w:rsidRDefault="007A60EC" w:rsidP="007A60EC">
      <w:pPr>
        <w:pStyle w:val="Bibliography"/>
        <w:rPr>
          <w:lang w:val="fr-FR"/>
        </w:rPr>
      </w:pPr>
      <w:r w:rsidRPr="00543148">
        <w:rPr>
          <w:lang w:val="en-US"/>
        </w:rPr>
        <w:lastRenderedPageBreak/>
        <w:t xml:space="preserve">Nicholson, E. </w:t>
      </w:r>
      <w:r w:rsidRPr="00543148">
        <w:rPr>
          <w:i/>
          <w:lang w:val="en-US"/>
        </w:rPr>
        <w:t>et al.</w:t>
      </w:r>
      <w:r w:rsidRPr="00543148">
        <w:rPr>
          <w:lang w:val="en-US"/>
        </w:rPr>
        <w:t xml:space="preserve">, 2021. Scientific foundations for an ecosystem goal, milestones and indicators for the post-2020 global biodiversity framework. </w:t>
      </w:r>
      <w:r w:rsidRPr="00653BF4">
        <w:rPr>
          <w:lang w:val="fr-FR"/>
        </w:rPr>
        <w:t xml:space="preserve">Nat. Ecol. Evol. 5, 1338–1349. </w:t>
      </w:r>
      <w:hyperlink r:id="rId392" w:history="1">
        <w:r w:rsidRPr="00653BF4">
          <w:rPr>
            <w:rStyle w:val="Hyperlink"/>
            <w:lang w:val="fr-FR"/>
          </w:rPr>
          <w:t>https://doi.org/10.1038/s41559-021-01538-5</w:t>
        </w:r>
      </w:hyperlink>
    </w:p>
    <w:p w14:paraId="361EF8E2" w14:textId="77777777" w:rsidR="007A60EC" w:rsidRPr="00653BF4" w:rsidRDefault="007A60EC" w:rsidP="007A60EC">
      <w:pPr>
        <w:pStyle w:val="Bibliography"/>
        <w:rPr>
          <w:lang w:val="fr-FR"/>
        </w:rPr>
      </w:pPr>
      <w:r w:rsidRPr="00653BF4">
        <w:rPr>
          <w:lang w:val="fr-FR"/>
        </w:rPr>
        <w:t xml:space="preserve">Nicholson, E. </w:t>
      </w:r>
      <w:r w:rsidRPr="00653BF4">
        <w:rPr>
          <w:i/>
          <w:lang w:val="fr-FR"/>
        </w:rPr>
        <w:t>et al.</w:t>
      </w:r>
      <w:r w:rsidRPr="00653BF4">
        <w:rPr>
          <w:lang w:val="fr-FR"/>
        </w:rPr>
        <w:t xml:space="preserve">, 2024. </w:t>
      </w:r>
      <w:r w:rsidRPr="00543148">
        <w:rPr>
          <w:lang w:val="en-US"/>
        </w:rPr>
        <w:t xml:space="preserve">Roles of the Red List of Ecosystems in the Kunming-Montreal Global Biodiversity Framework. </w:t>
      </w:r>
      <w:r w:rsidRPr="00653BF4">
        <w:rPr>
          <w:lang w:val="fr-FR"/>
        </w:rPr>
        <w:t xml:space="preserve">Nat. Ecol. Evol. 8, 614–621. </w:t>
      </w:r>
      <w:hyperlink r:id="rId393" w:history="1">
        <w:r w:rsidRPr="00653BF4">
          <w:rPr>
            <w:rStyle w:val="Hyperlink"/>
            <w:lang w:val="fr-FR"/>
          </w:rPr>
          <w:t>https://doi.org/10.1038/s41559-023-02320-5</w:t>
        </w:r>
      </w:hyperlink>
    </w:p>
    <w:p w14:paraId="5D3EB3D7" w14:textId="77777777" w:rsidR="007A60EC" w:rsidRPr="00543148" w:rsidRDefault="007A60EC" w:rsidP="007A60EC">
      <w:pPr>
        <w:pStyle w:val="Bibliography"/>
        <w:rPr>
          <w:lang w:val="en-US"/>
        </w:rPr>
      </w:pPr>
      <w:r w:rsidRPr="00653BF4">
        <w:rPr>
          <w:lang w:val="fr-FR"/>
        </w:rPr>
        <w:t xml:space="preserve">Nunez-Vega, G. </w:t>
      </w:r>
      <w:r w:rsidRPr="00653BF4">
        <w:rPr>
          <w:i/>
          <w:lang w:val="fr-FR"/>
        </w:rPr>
        <w:t>et al.</w:t>
      </w:r>
      <w:r w:rsidRPr="00653BF4">
        <w:rPr>
          <w:lang w:val="fr-FR"/>
        </w:rPr>
        <w:t xml:space="preserve">, 2025. </w:t>
      </w:r>
      <w:r w:rsidRPr="00543148">
        <w:rPr>
          <w:lang w:val="en-US"/>
        </w:rPr>
        <w:t xml:space="preserve">A new indicator for the Kunming–Montreal Global Biodiversity Framework: Capturing non-monetary benefit data from access and benefit-sharing agreements. BioScience 75, 298–306. </w:t>
      </w:r>
      <w:hyperlink r:id="rId394" w:history="1">
        <w:r w:rsidRPr="00543148">
          <w:rPr>
            <w:rStyle w:val="Hyperlink"/>
            <w:lang w:val="en-US"/>
          </w:rPr>
          <w:t>https://doi.org/10.1093/biosci/biae132</w:t>
        </w:r>
      </w:hyperlink>
    </w:p>
    <w:p w14:paraId="498632B8" w14:textId="77777777" w:rsidR="007A60EC" w:rsidRPr="00653BF4" w:rsidRDefault="007A60EC" w:rsidP="007A60EC">
      <w:pPr>
        <w:pStyle w:val="Bibliography"/>
        <w:rPr>
          <w:lang w:val="fr-FR"/>
        </w:rPr>
      </w:pPr>
      <w:r w:rsidRPr="00543148">
        <w:rPr>
          <w:lang w:val="en-US"/>
        </w:rPr>
        <w:t xml:space="preserve">OCDE, 2024. Policy instruments for the environment (PINE) database. </w:t>
      </w:r>
      <w:r w:rsidRPr="00653BF4">
        <w:rPr>
          <w:lang w:val="fr-FR"/>
        </w:rPr>
        <w:t xml:space="preserve">Organisation de coopération et de développement économiques (OCDE). Disponible à l’adresse </w:t>
      </w:r>
      <w:hyperlink r:id="rId395" w:history="1">
        <w:r w:rsidRPr="00653BF4">
          <w:rPr>
            <w:rStyle w:val="Hyperlink"/>
            <w:lang w:val="fr-FR"/>
          </w:rPr>
          <w:t>https://oecd-main.shinyapps.io/pinedatabase</w:t>
        </w:r>
      </w:hyperlink>
    </w:p>
    <w:p w14:paraId="3C54A119" w14:textId="77777777" w:rsidR="007A60EC" w:rsidRPr="00653BF4" w:rsidRDefault="007A60EC" w:rsidP="007A60EC">
      <w:pPr>
        <w:pStyle w:val="Bibliography"/>
        <w:rPr>
          <w:lang w:val="fr-FR"/>
        </w:rPr>
      </w:pPr>
      <w:r w:rsidRPr="00543148">
        <w:rPr>
          <w:lang w:val="en-US"/>
        </w:rPr>
        <w:t xml:space="preserve">OCDE, 2025. Roadmap for Sustainable Investment Policy Reforms in Uzbekistan, OECD Investment Policy Reviews. </w:t>
      </w:r>
      <w:r w:rsidRPr="00653BF4">
        <w:rPr>
          <w:lang w:val="fr-FR"/>
        </w:rPr>
        <w:t xml:space="preserve">Organisation de coopération et de développement économiques (OCDE), Paris. </w:t>
      </w:r>
      <w:hyperlink r:id="rId396" w:history="1">
        <w:r w:rsidRPr="00653BF4">
          <w:rPr>
            <w:rStyle w:val="Hyperlink"/>
            <w:lang w:val="fr-FR"/>
          </w:rPr>
          <w:t>https://doi.org/10.1787/20865f29-en</w:t>
        </w:r>
      </w:hyperlink>
    </w:p>
    <w:p w14:paraId="15B51746" w14:textId="77777777" w:rsidR="007A60EC" w:rsidRPr="00653BF4" w:rsidRDefault="007A60EC" w:rsidP="007A60EC">
      <w:pPr>
        <w:pStyle w:val="Bibliography"/>
        <w:rPr>
          <w:lang w:val="fr-FR"/>
        </w:rPr>
      </w:pPr>
      <w:r w:rsidRPr="00543148">
        <w:rPr>
          <w:lang w:val="en-US"/>
        </w:rPr>
        <w:t xml:space="preserve">OCDE, 2026. Biodiversity and Development Finance 2015-2023. </w:t>
      </w:r>
      <w:r w:rsidRPr="00653BF4">
        <w:rPr>
          <w:lang w:val="fr-FR"/>
        </w:rPr>
        <w:t xml:space="preserve">Organisation de coopération et de développement économiques (OCDE), Paris. Disponible à l’adresse </w:t>
      </w:r>
      <w:hyperlink r:id="rId397" w:history="1">
        <w:r w:rsidRPr="00653BF4">
          <w:rPr>
            <w:rStyle w:val="Hyperlink"/>
            <w:lang w:val="fr-FR"/>
          </w:rPr>
          <w:t>https://storageprdv2inwink.blob.core.windows.net/26dc05c5-0072-f011-8dca-0022488a3cad-public/assets/documents/9118c8a7-66be-f011-8194-6045bd90aa7b/638983976656338368/Biodiversity-and-development-finance-2015-2023-compressed.pdf</w:t>
        </w:r>
      </w:hyperlink>
    </w:p>
    <w:p w14:paraId="5F4A8E14" w14:textId="349894F8" w:rsidR="007A60EC" w:rsidRPr="00653BF4" w:rsidRDefault="007A60EC" w:rsidP="007A60EC">
      <w:pPr>
        <w:pStyle w:val="Bibliography"/>
        <w:rPr>
          <w:lang w:val="fr-FR"/>
        </w:rPr>
      </w:pPr>
      <w:r w:rsidRPr="00653BF4">
        <w:rPr>
          <w:lang w:val="fr-FR"/>
        </w:rPr>
        <w:t>OMC, 2022. WT/MIN(22)/33-WT/L/1144</w:t>
      </w:r>
      <w:r w:rsidR="00E34DC9">
        <w:rPr>
          <w:lang w:val="fr-FR"/>
        </w:rPr>
        <w:t> :</w:t>
      </w:r>
      <w:r w:rsidRPr="00653BF4">
        <w:rPr>
          <w:lang w:val="fr-FR"/>
        </w:rPr>
        <w:t xml:space="preserve"> Accord sur les subventions à la pêche. Organisation mondiale du commerce, Genève. Disponible à l’adresse </w:t>
      </w:r>
      <w:hyperlink r:id="rId398" w:history="1">
        <w:r w:rsidRPr="00653BF4">
          <w:rPr>
            <w:rStyle w:val="Hyperlink"/>
            <w:lang w:val="fr-FR"/>
          </w:rPr>
          <w:t>https://docs.wto.org/dol2fe/Pages/SS/directdoc.aspx?filename=r:/WT/MIN22/33.pdf</w:t>
        </w:r>
      </w:hyperlink>
      <w:r w:rsidRPr="00653BF4">
        <w:rPr>
          <w:lang w:val="fr-FR"/>
        </w:rPr>
        <w:t xml:space="preserve"> (consulté le 28 avril 2026)</w:t>
      </w:r>
    </w:p>
    <w:p w14:paraId="4A397134" w14:textId="77777777" w:rsidR="007A60EC" w:rsidRPr="00653BF4" w:rsidRDefault="007A60EC" w:rsidP="007A60EC">
      <w:pPr>
        <w:pStyle w:val="Bibliography"/>
        <w:rPr>
          <w:lang w:val="fr-FR"/>
        </w:rPr>
      </w:pPr>
      <w:r w:rsidRPr="00543148">
        <w:rPr>
          <w:lang w:val="en-US"/>
        </w:rPr>
        <w:t xml:space="preserve">OMI, 2023a. BWM.2/Circ.13/Rev.5: International Convention for the Control and Management of Ships’ Ballast Water and Sediments, 2004; Methodology for information gathering and conduct of work of the GESAMP-BWWG. </w:t>
      </w:r>
      <w:r w:rsidRPr="00653BF4">
        <w:rPr>
          <w:lang w:val="fr-FR"/>
        </w:rPr>
        <w:t xml:space="preserve">Organisation maritime internationale, Londres. Disponible à l’adresse </w:t>
      </w:r>
      <w:hyperlink r:id="rId399" w:history="1">
        <w:r w:rsidRPr="00653BF4">
          <w:rPr>
            <w:rStyle w:val="Hyperlink"/>
            <w:lang w:val="fr-FR"/>
          </w:rPr>
          <w:t>https://wwwcdn.imo.org/localresources/en/OurWork/Environment/Documents/Biofouling%20pages/BWM.2-Circ.13-Rev.5.pdf</w:t>
        </w:r>
      </w:hyperlink>
      <w:r w:rsidRPr="00653BF4">
        <w:rPr>
          <w:lang w:val="fr-FR"/>
        </w:rPr>
        <w:t xml:space="preserve"> (consulté le 21 mai 2026)</w:t>
      </w:r>
    </w:p>
    <w:p w14:paraId="18B8ACDD" w14:textId="42AD923A" w:rsidR="007A60EC" w:rsidRPr="00653BF4" w:rsidRDefault="007A60EC" w:rsidP="007A60EC">
      <w:pPr>
        <w:pStyle w:val="Bibliography"/>
        <w:rPr>
          <w:lang w:val="fr-FR"/>
        </w:rPr>
      </w:pPr>
      <w:r w:rsidRPr="00653BF4">
        <w:rPr>
          <w:lang w:val="fr-FR"/>
        </w:rPr>
        <w:t>OMI, 2023b. Résolution MEPC.378(80)</w:t>
      </w:r>
      <w:r w:rsidR="00E34DC9">
        <w:rPr>
          <w:lang w:val="fr-FR"/>
        </w:rPr>
        <w:t> :</w:t>
      </w:r>
      <w:r w:rsidRPr="00653BF4">
        <w:rPr>
          <w:lang w:val="fr-FR"/>
        </w:rPr>
        <w:t xml:space="preserve"> Directives de 2023 pour le contrôle et la gestion de l’encrassement biologique des navires en vue de réduire au minimum le transfert d’espèces aquatiques envahissantes. Organisation maritime internationale, Londres. Disponible à l’adresse </w:t>
      </w:r>
      <w:hyperlink r:id="rId400" w:history="1">
        <w:r w:rsidRPr="00653BF4">
          <w:rPr>
            <w:rStyle w:val="Hyperlink"/>
            <w:lang w:val="fr-FR"/>
          </w:rPr>
          <w:t>https://wwwcdn.imo.org/localresources/fr/Documents/MEPC%2080-17-Add.1_annex%2017.pdf</w:t>
        </w:r>
      </w:hyperlink>
      <w:r w:rsidRPr="00653BF4">
        <w:rPr>
          <w:lang w:val="fr-FR"/>
        </w:rPr>
        <w:t xml:space="preserve"> (consulté le 21 mai 2026)</w:t>
      </w:r>
    </w:p>
    <w:p w14:paraId="7FCC4D02" w14:textId="77777777" w:rsidR="007A60EC" w:rsidRPr="00653BF4" w:rsidRDefault="007A60EC" w:rsidP="007A60EC">
      <w:pPr>
        <w:pStyle w:val="Bibliography"/>
        <w:rPr>
          <w:lang w:val="fr-FR"/>
        </w:rPr>
      </w:pPr>
      <w:r w:rsidRPr="00543148">
        <w:rPr>
          <w:lang w:val="en-US"/>
        </w:rPr>
        <w:t xml:space="preserve">OMI, 2025. Submission of the Secretariat of the International Maritime Organization (IMO), in response to CBD notification 2025-099. </w:t>
      </w:r>
      <w:r w:rsidRPr="00653BF4">
        <w:rPr>
          <w:lang w:val="fr-FR"/>
        </w:rPr>
        <w:t xml:space="preserve">Secrétariat de la Convention sur la diversité biologique, Montréal. Disponible à l’adresse </w:t>
      </w:r>
      <w:hyperlink r:id="rId401" w:history="1">
        <w:r w:rsidRPr="00653BF4">
          <w:rPr>
            <w:rStyle w:val="Hyperlink"/>
            <w:lang w:val="fr-FR"/>
          </w:rPr>
          <w:t>https://www.cbd.int/notifications/2025-099</w:t>
        </w:r>
      </w:hyperlink>
      <w:r w:rsidRPr="00653BF4">
        <w:rPr>
          <w:lang w:val="fr-FR"/>
        </w:rPr>
        <w:t xml:space="preserve"> (consulté le 21 mai 2026)</w:t>
      </w:r>
    </w:p>
    <w:p w14:paraId="5BB344CE" w14:textId="0EAAE1B0" w:rsidR="007A60EC" w:rsidRPr="00653BF4" w:rsidRDefault="007A60EC" w:rsidP="007A60EC">
      <w:pPr>
        <w:pStyle w:val="Bibliography"/>
        <w:rPr>
          <w:lang w:val="fr-FR"/>
        </w:rPr>
      </w:pPr>
      <w:r w:rsidRPr="00653BF4">
        <w:rPr>
          <w:lang w:val="fr-FR"/>
        </w:rPr>
        <w:t>OMPI, 2024. Document GRATK/DC/7</w:t>
      </w:r>
      <w:r w:rsidR="00E34DC9">
        <w:rPr>
          <w:lang w:val="fr-FR"/>
        </w:rPr>
        <w:t> :</w:t>
      </w:r>
      <w:r w:rsidRPr="00653BF4">
        <w:rPr>
          <w:lang w:val="fr-FR"/>
        </w:rPr>
        <w:t xml:space="preserve"> Traité de l’OMPI sur la propriété intellectuelle, les ressources génétiques et les savoirs traditionnels associés. Organisation mondiale de la propriété intellectuelle, Genève. Disponible à l’adresse </w:t>
      </w:r>
      <w:hyperlink r:id="rId402" w:history="1">
        <w:r w:rsidRPr="00653BF4">
          <w:rPr>
            <w:rStyle w:val="Hyperlink"/>
            <w:lang w:val="fr-FR"/>
          </w:rPr>
          <w:t>https://www.wipo.int/edocs/mdocs/tk/fr/gratk_dc/gratk_dc_7.pdf</w:t>
        </w:r>
      </w:hyperlink>
      <w:r w:rsidRPr="00653BF4">
        <w:rPr>
          <w:lang w:val="fr-FR"/>
        </w:rPr>
        <w:t xml:space="preserve"> (consulté le 25 juillet 2026)</w:t>
      </w:r>
    </w:p>
    <w:p w14:paraId="07636F14" w14:textId="77777777" w:rsidR="007A60EC" w:rsidRPr="00653BF4" w:rsidRDefault="007A60EC" w:rsidP="007A60EC">
      <w:pPr>
        <w:pStyle w:val="Bibliography"/>
        <w:rPr>
          <w:lang w:val="fr-FR"/>
        </w:rPr>
      </w:pPr>
      <w:r w:rsidRPr="00653BF4">
        <w:rPr>
          <w:lang w:val="fr-FR"/>
        </w:rPr>
        <w:t xml:space="preserve">PNUD, 2023. Workbook sur l’aménagement intégré du territoire. Programme des Nations Unies pour le développement, New York. Disponible à l’adresse </w:t>
      </w:r>
      <w:hyperlink r:id="rId403" w:history="1">
        <w:r w:rsidRPr="00653BF4">
          <w:rPr>
            <w:rStyle w:val="Hyperlink"/>
            <w:lang w:val="fr-FR"/>
          </w:rPr>
          <w:t>https://www.undp.org/publications/integrated-spatial-planning-workbook</w:t>
        </w:r>
      </w:hyperlink>
      <w:r w:rsidRPr="00653BF4">
        <w:rPr>
          <w:lang w:val="fr-FR"/>
        </w:rPr>
        <w:t xml:space="preserve"> (consulté le 14 juillet 2026)</w:t>
      </w:r>
    </w:p>
    <w:p w14:paraId="0CA8F662" w14:textId="77777777" w:rsidR="007A60EC" w:rsidRPr="00653BF4" w:rsidRDefault="007A60EC" w:rsidP="007A60EC">
      <w:pPr>
        <w:pStyle w:val="Bibliography"/>
        <w:rPr>
          <w:lang w:val="fr-FR"/>
        </w:rPr>
      </w:pPr>
      <w:r w:rsidRPr="00543148">
        <w:rPr>
          <w:lang w:val="en-US"/>
        </w:rPr>
        <w:t xml:space="preserve">PNUD, CEE et OIT, 2025. A Just Energy Transition Roadmap for Uzbekistan. </w:t>
      </w:r>
      <w:r w:rsidRPr="00653BF4">
        <w:rPr>
          <w:lang w:val="fr-FR"/>
        </w:rPr>
        <w:t xml:space="preserve">Programme des Nations Unies pour le développement, Commission économique pour l’Europe et Organisation internationale du Travail. Disponible à l’adresse </w:t>
      </w:r>
      <w:hyperlink r:id="rId404" w:history="1">
        <w:r w:rsidRPr="00653BF4">
          <w:rPr>
            <w:rStyle w:val="Hyperlink"/>
            <w:lang w:val="fr-FR"/>
          </w:rPr>
          <w:t>https://unece.org/sites/default/files/2026-03/UZB_JET_Roadmap_Final%20REV_with_Govnt.logo_.pdf</w:t>
        </w:r>
      </w:hyperlink>
      <w:r w:rsidRPr="00653BF4">
        <w:rPr>
          <w:lang w:val="fr-FR"/>
        </w:rPr>
        <w:t xml:space="preserve"> (consulté le 13 août 2026)</w:t>
      </w:r>
    </w:p>
    <w:p w14:paraId="4900D635" w14:textId="77777777" w:rsidR="007A60EC" w:rsidRPr="00653BF4" w:rsidRDefault="007A60EC" w:rsidP="007A60EC">
      <w:pPr>
        <w:pStyle w:val="Bibliography"/>
        <w:rPr>
          <w:lang w:val="fr-FR"/>
        </w:rPr>
      </w:pPr>
      <w:r w:rsidRPr="00543148">
        <w:rPr>
          <w:lang w:val="en-US"/>
        </w:rPr>
        <w:t xml:space="preserve">PNUE, 2021. Guidelines for Integrating Ecosystem-based Adaptation into National Adaptation Plans: Supplement to the UNFCCC NAP Technical Guidelines. </w:t>
      </w:r>
      <w:r w:rsidRPr="00653BF4">
        <w:rPr>
          <w:lang w:val="fr-FR"/>
        </w:rPr>
        <w:t xml:space="preserve">Programme des Nations Unies pour l’environnement, Nairobi. Disponible à l’adresse </w:t>
      </w:r>
      <w:hyperlink r:id="rId405" w:history="1">
        <w:r w:rsidRPr="00653BF4">
          <w:rPr>
            <w:rStyle w:val="Hyperlink"/>
            <w:lang w:val="fr-FR"/>
          </w:rPr>
          <w:t>https://wedocs.unep.org/handle/20.500.11822/36703</w:t>
        </w:r>
      </w:hyperlink>
      <w:r w:rsidRPr="00653BF4">
        <w:rPr>
          <w:lang w:val="fr-FR"/>
        </w:rPr>
        <w:t xml:space="preserve"> (consulté le 11 août 2026)</w:t>
      </w:r>
    </w:p>
    <w:p w14:paraId="40268978" w14:textId="77777777" w:rsidR="007A60EC" w:rsidRPr="00653BF4" w:rsidRDefault="007A60EC" w:rsidP="007A60EC">
      <w:pPr>
        <w:pStyle w:val="Bibliography"/>
        <w:rPr>
          <w:lang w:val="fr-FR"/>
        </w:rPr>
      </w:pPr>
      <w:r w:rsidRPr="00543148">
        <w:rPr>
          <w:lang w:val="en-US"/>
        </w:rPr>
        <w:t xml:space="preserve">PNUE, 2023. Key entry points for cooperation and collaboration amongst MEAs. </w:t>
      </w:r>
      <w:r w:rsidRPr="00653BF4">
        <w:rPr>
          <w:lang w:val="fr-FR"/>
        </w:rPr>
        <w:t xml:space="preserve">Programme des Nations Unies pour l’environnement, Nairobi. Disponible à l’adresse </w:t>
      </w:r>
      <w:hyperlink r:id="rId406" w:history="1">
        <w:r w:rsidRPr="00653BF4">
          <w:rPr>
            <w:rStyle w:val="Hyperlink"/>
            <w:lang w:val="fr-FR"/>
          </w:rPr>
          <w:t>https://wedocs.unep.org/items/9e7e3bcd-0eda-40cd-a116-5057e1725e72</w:t>
        </w:r>
      </w:hyperlink>
      <w:r w:rsidRPr="00653BF4">
        <w:rPr>
          <w:lang w:val="fr-FR"/>
        </w:rPr>
        <w:t xml:space="preserve"> (consulté le 21 mai 2026)</w:t>
      </w:r>
    </w:p>
    <w:p w14:paraId="21748EBF" w14:textId="77777777" w:rsidR="007A60EC" w:rsidRPr="00653BF4" w:rsidRDefault="007A60EC" w:rsidP="007A60EC">
      <w:pPr>
        <w:pStyle w:val="Bibliography"/>
        <w:rPr>
          <w:lang w:val="fr-FR"/>
        </w:rPr>
      </w:pPr>
      <w:r w:rsidRPr="00543148">
        <w:rPr>
          <w:lang w:val="en-US"/>
        </w:rPr>
        <w:t xml:space="preserve">PNUE, 2024a. Global Framework on Chemicals: For a Planet Free from Chemicals and Waste - Brochure. </w:t>
      </w:r>
      <w:r w:rsidRPr="00653BF4">
        <w:rPr>
          <w:lang w:val="fr-FR"/>
        </w:rPr>
        <w:t xml:space="preserve">Programme des Nations Unies pour l’environnement, Nairobi. Disponible à l’adresse </w:t>
      </w:r>
      <w:hyperlink r:id="rId407" w:history="1">
        <w:r w:rsidRPr="00653BF4">
          <w:rPr>
            <w:rStyle w:val="Hyperlink"/>
            <w:lang w:val="fr-FR"/>
          </w:rPr>
          <w:t>https://wedocs.unep.org/items/0acdac69-9e34-47da-8f2c-fbf77b78895a</w:t>
        </w:r>
      </w:hyperlink>
      <w:r w:rsidRPr="00653BF4">
        <w:rPr>
          <w:lang w:val="fr-FR"/>
        </w:rPr>
        <w:t xml:space="preserve"> (consulté le 21 mai 2026)</w:t>
      </w:r>
    </w:p>
    <w:p w14:paraId="0F94FA2D" w14:textId="77777777" w:rsidR="007A60EC" w:rsidRPr="00653BF4" w:rsidRDefault="007A60EC" w:rsidP="007A60EC">
      <w:pPr>
        <w:pStyle w:val="Bibliography"/>
        <w:rPr>
          <w:lang w:val="fr-FR"/>
        </w:rPr>
      </w:pPr>
      <w:r w:rsidRPr="00543148">
        <w:rPr>
          <w:lang w:val="en-US"/>
        </w:rPr>
        <w:t xml:space="preserve">PNUE, 2024b. Key entry points for mutually supportive action on biodiversity and chemicals and waste. Background document for Capacity-Building Workshop: Implementation of Biodiversity and Chemicals and Waste Multilateral Environmental Agreements (Dakar, Senegal, 26-28 November 2024). </w:t>
      </w:r>
      <w:r w:rsidRPr="00653BF4">
        <w:rPr>
          <w:lang w:val="fr-FR"/>
        </w:rPr>
        <w:t xml:space="preserve">Programme des Nations Unies pour l’environnement, Nairobi. Disponible à l’adresse </w:t>
      </w:r>
      <w:hyperlink r:id="rId408" w:history="1">
        <w:r w:rsidRPr="00653BF4">
          <w:rPr>
            <w:rStyle w:val="Hyperlink"/>
            <w:lang w:val="fr-FR"/>
          </w:rPr>
          <w:t>https://wedocs.unep.org/items/6b928e4c-63e8-49ef-b06d-59216092dbf6</w:t>
        </w:r>
      </w:hyperlink>
      <w:r w:rsidRPr="00653BF4">
        <w:rPr>
          <w:lang w:val="fr-FR"/>
        </w:rPr>
        <w:t xml:space="preserve"> (consulté le 15 juillet 2026)</w:t>
      </w:r>
    </w:p>
    <w:p w14:paraId="614E3A15" w14:textId="77777777" w:rsidR="007A60EC" w:rsidRPr="00653BF4" w:rsidRDefault="007A60EC" w:rsidP="007A60EC">
      <w:pPr>
        <w:pStyle w:val="Bibliography"/>
        <w:rPr>
          <w:lang w:val="fr-FR"/>
        </w:rPr>
      </w:pPr>
      <w:r w:rsidRPr="00543148">
        <w:rPr>
          <w:lang w:val="en-US"/>
        </w:rPr>
        <w:t xml:space="preserve">PNUE, 2024c. Report of the Bern III Conference on Cooperation among the biodiversity-related conventions for the implementation of the Kunming-Montreal Global Biodiversity Framework Bern, Switzerland, 23-25 January 2024. </w:t>
      </w:r>
      <w:r w:rsidRPr="00653BF4">
        <w:rPr>
          <w:lang w:val="fr-FR"/>
        </w:rPr>
        <w:t xml:space="preserve">Programme des Nations Unies pour l’environnement, Nairobi. Disponible à l’adresse </w:t>
      </w:r>
      <w:hyperlink r:id="rId409" w:history="1">
        <w:r w:rsidRPr="00653BF4">
          <w:rPr>
            <w:rStyle w:val="Hyperlink"/>
            <w:lang w:val="fr-FR"/>
          </w:rPr>
          <w:t>https://wedocs.unep.org/items/51420dde-87c9-41af-b192-2c1a701f1ac3</w:t>
        </w:r>
      </w:hyperlink>
      <w:r w:rsidRPr="00653BF4">
        <w:rPr>
          <w:lang w:val="fr-FR"/>
        </w:rPr>
        <w:t xml:space="preserve"> (consulté le 21 mai 2026)</w:t>
      </w:r>
    </w:p>
    <w:p w14:paraId="11171824" w14:textId="77777777" w:rsidR="007A60EC" w:rsidRPr="00653BF4" w:rsidRDefault="007A60EC" w:rsidP="007A60EC">
      <w:pPr>
        <w:pStyle w:val="Bibliography"/>
        <w:rPr>
          <w:lang w:val="fr-FR"/>
        </w:rPr>
      </w:pPr>
      <w:r w:rsidRPr="00543148">
        <w:rPr>
          <w:lang w:val="en-US"/>
        </w:rPr>
        <w:t xml:space="preserve">PNUE, 2025a. Submission by the United Nations Environment Programme (UNEP), in response to CBD notification 2025-099. </w:t>
      </w:r>
      <w:r w:rsidRPr="00653BF4">
        <w:rPr>
          <w:lang w:val="fr-FR"/>
        </w:rPr>
        <w:t xml:space="preserve">Secrétariat de la Convention sur la diversité biologique, Montréal. Disponible à l’adresse </w:t>
      </w:r>
      <w:hyperlink r:id="rId410" w:history="1">
        <w:r w:rsidRPr="00653BF4">
          <w:rPr>
            <w:rStyle w:val="Hyperlink"/>
            <w:lang w:val="fr-FR"/>
          </w:rPr>
          <w:t>https://www.cbd.int/notifications/2025-099</w:t>
        </w:r>
      </w:hyperlink>
      <w:r w:rsidRPr="00653BF4">
        <w:rPr>
          <w:lang w:val="fr-FR"/>
        </w:rPr>
        <w:t xml:space="preserve"> (consulté le 21 mai 2026)</w:t>
      </w:r>
    </w:p>
    <w:p w14:paraId="3E05CEC2" w14:textId="77777777" w:rsidR="007A60EC" w:rsidRPr="00653BF4" w:rsidRDefault="007A60EC" w:rsidP="007A60EC">
      <w:pPr>
        <w:pStyle w:val="Bibliography"/>
        <w:rPr>
          <w:lang w:val="fr-FR"/>
        </w:rPr>
      </w:pPr>
      <w:r w:rsidRPr="00543148">
        <w:rPr>
          <w:lang w:val="en-US"/>
        </w:rPr>
        <w:t xml:space="preserve">PNUE, 2025b. UNEP/GFC/OEWG.1/INF/12: Open-ended Working Group of the Global Framework on Chemicals – for a Planet Free of Harm from Chemicals and Waste </w:t>
      </w:r>
      <w:r w:rsidRPr="00543148">
        <w:rPr>
          <w:lang w:val="en-US"/>
        </w:rPr>
        <w:lastRenderedPageBreak/>
        <w:t xml:space="preserve">First meeting: Measurability structure and indicators. </w:t>
      </w:r>
      <w:r w:rsidRPr="00653BF4">
        <w:rPr>
          <w:lang w:val="fr-FR"/>
        </w:rPr>
        <w:t xml:space="preserve">Programme des Nations Unies pour l’environnement, Punta del Este. Disponible à l’adresse </w:t>
      </w:r>
      <w:hyperlink r:id="rId411" w:history="1">
        <w:r w:rsidRPr="00653BF4">
          <w:rPr>
            <w:rStyle w:val="Hyperlink"/>
            <w:lang w:val="fr-FR"/>
          </w:rPr>
          <w:t>https://wedocs.unep.org/rest/api/core/bitstreams/da768e39-2249-4b08-92ff-89bddf4c7b60/content</w:t>
        </w:r>
      </w:hyperlink>
      <w:r w:rsidRPr="00653BF4">
        <w:rPr>
          <w:lang w:val="fr-FR"/>
        </w:rPr>
        <w:t xml:space="preserve"> (consulté le 21 mai 2026)</w:t>
      </w:r>
    </w:p>
    <w:p w14:paraId="7FD9AC5C" w14:textId="77777777" w:rsidR="007A60EC" w:rsidRPr="00653BF4" w:rsidRDefault="007A60EC" w:rsidP="007A60EC">
      <w:pPr>
        <w:pStyle w:val="Bibliography"/>
        <w:rPr>
          <w:lang w:val="fr-FR"/>
        </w:rPr>
      </w:pPr>
      <w:r w:rsidRPr="00543148">
        <w:rPr>
          <w:lang w:val="en-US"/>
        </w:rPr>
        <w:t xml:space="preserve">PNUE, 2025c. UNEP/CHW.17/INF/48: Further revised draft of the overall guidance document on the environmentally sound management of household waste. </w:t>
      </w:r>
      <w:r w:rsidRPr="00653BF4">
        <w:rPr>
          <w:lang w:val="fr-FR"/>
        </w:rPr>
        <w:t xml:space="preserve">Programme des Nations Unies pour l’environnement, Genève. Disponible à l’adresse </w:t>
      </w:r>
      <w:hyperlink r:id="rId412" w:history="1">
        <w:r w:rsidRPr="00653BF4">
          <w:rPr>
            <w:rStyle w:val="Hyperlink"/>
            <w:lang w:val="fr-FR"/>
          </w:rPr>
          <w:t>https://www.basel.int/Implementation/HouseholdWastePartnership/OverallGuidanceDocument/tabid/8227/Default.aspx</w:t>
        </w:r>
      </w:hyperlink>
      <w:r w:rsidRPr="00653BF4">
        <w:rPr>
          <w:lang w:val="fr-FR"/>
        </w:rPr>
        <w:t xml:space="preserve"> (consulté le 13 août 2026)</w:t>
      </w:r>
    </w:p>
    <w:p w14:paraId="5CB634FD" w14:textId="4EB357D6" w:rsidR="007A60EC" w:rsidRPr="00653BF4" w:rsidRDefault="007A60EC" w:rsidP="007A60EC">
      <w:pPr>
        <w:pStyle w:val="Bibliography"/>
        <w:rPr>
          <w:lang w:val="fr-FR"/>
        </w:rPr>
      </w:pPr>
      <w:r w:rsidRPr="00653BF4">
        <w:rPr>
          <w:lang w:val="fr-FR"/>
        </w:rPr>
        <w:t>PNUE, 2025d. UNEP/EA.7/9</w:t>
      </w:r>
      <w:r w:rsidR="00E34DC9">
        <w:rPr>
          <w:lang w:val="fr-FR"/>
        </w:rPr>
        <w:t> :</w:t>
      </w:r>
      <w:r w:rsidRPr="00653BF4">
        <w:rPr>
          <w:lang w:val="fr-FR"/>
        </w:rPr>
        <w:t xml:space="preserve"> Progrès accomplis dans l’application de la résolution 6/4 sur la promotion des synergies, de la coopération ou de la collaboration pour la mise en œuvre au niveau national des accords multilatéraux sur l’environnement et d’autres instruments relatifs à l’environnement et de la résolution 6/6 sur la promotion d’une action nationale pour remédier aux problèmes environnementaux mondiaux par une coopération accrue entre l’Assemblée des Nations Unies pour l’environnement, le Programme des Nations Unies pour l’environnement et les accords multilatéraux sur l’environnement. Programme des Nations Unies pour l’environnement, Nairobi. Disponible à l’adresse </w:t>
      </w:r>
      <w:hyperlink r:id="rId413" w:history="1">
        <w:r w:rsidRPr="00653BF4">
          <w:rPr>
            <w:rStyle w:val="Hyperlink"/>
            <w:lang w:val="fr-FR"/>
          </w:rPr>
          <w:t>https://docs.un.org/fr/UNEP/EA.7/9</w:t>
        </w:r>
      </w:hyperlink>
      <w:r w:rsidRPr="00653BF4">
        <w:rPr>
          <w:lang w:val="fr-FR"/>
        </w:rPr>
        <w:t xml:space="preserve"> (consulté le 21 mai 2026)</w:t>
      </w:r>
    </w:p>
    <w:p w14:paraId="551BB995" w14:textId="77777777" w:rsidR="007A60EC" w:rsidRPr="00653BF4" w:rsidRDefault="007A60EC" w:rsidP="007A60EC">
      <w:pPr>
        <w:pStyle w:val="Bibliography"/>
        <w:rPr>
          <w:lang w:val="fr-FR"/>
        </w:rPr>
      </w:pPr>
      <w:r w:rsidRPr="00543148">
        <w:rPr>
          <w:lang w:val="en-US"/>
        </w:rPr>
        <w:t xml:space="preserve">PNUE, 2025e. UNEP/EA.7/INF/6: Background document to support discussions on cooperation with multilateral environmental agreements. </w:t>
      </w:r>
      <w:r w:rsidRPr="00653BF4">
        <w:rPr>
          <w:lang w:val="fr-FR"/>
        </w:rPr>
        <w:t xml:space="preserve">Programme des Nations Unies pour l’environnement, Nairobi. Disponible à l’adresse </w:t>
      </w:r>
      <w:hyperlink r:id="rId414" w:history="1">
        <w:r w:rsidRPr="00653BF4">
          <w:rPr>
            <w:rStyle w:val="Hyperlink"/>
            <w:lang w:val="fr-FR"/>
          </w:rPr>
          <w:t>https://docs.un.org/en/UNEP/EA.7/INF/6</w:t>
        </w:r>
      </w:hyperlink>
      <w:r w:rsidRPr="00653BF4">
        <w:rPr>
          <w:lang w:val="fr-FR"/>
        </w:rPr>
        <w:t xml:space="preserve"> (consulté le 21 mai 2026)</w:t>
      </w:r>
    </w:p>
    <w:p w14:paraId="23AB63A5" w14:textId="77777777" w:rsidR="007A60EC" w:rsidRPr="00653BF4" w:rsidRDefault="007A60EC" w:rsidP="007A60EC">
      <w:pPr>
        <w:pStyle w:val="Bibliography"/>
        <w:rPr>
          <w:lang w:val="fr-FR"/>
        </w:rPr>
      </w:pPr>
      <w:r w:rsidRPr="00543148">
        <w:rPr>
          <w:lang w:val="en-US"/>
        </w:rPr>
        <w:t xml:space="preserve">PNUE, 2025f. Horizon scan of possible linkages between the BBNJ Agreement and biodiversity-related MEAs. </w:t>
      </w:r>
      <w:r w:rsidRPr="00653BF4">
        <w:rPr>
          <w:lang w:val="fr-FR"/>
        </w:rPr>
        <w:t xml:space="preserve">Centre mondial de surveillance de la conservation du Programme des Nations Unies pour l’environnement, Cambridge. Disponible à l’adresse </w:t>
      </w:r>
      <w:hyperlink r:id="rId415" w:history="1">
        <w:r w:rsidRPr="00653BF4">
          <w:rPr>
            <w:rStyle w:val="Hyperlink"/>
            <w:lang w:val="fr-FR"/>
          </w:rPr>
          <w:t>https://www.unep.org/resources/report/horizon-scan-possible-linkages-between-bbnj-agreement-and-biodiversity-related</w:t>
        </w:r>
      </w:hyperlink>
    </w:p>
    <w:p w14:paraId="011A749B" w14:textId="77777777" w:rsidR="007A60EC" w:rsidRPr="00653BF4" w:rsidRDefault="007A60EC" w:rsidP="007A60EC">
      <w:pPr>
        <w:pStyle w:val="Bibliography"/>
        <w:rPr>
          <w:lang w:val="fr-FR"/>
        </w:rPr>
      </w:pPr>
      <w:r w:rsidRPr="00543148">
        <w:rPr>
          <w:lang w:val="en-US"/>
        </w:rPr>
        <w:t xml:space="preserve">PNUE et FEM, 2023. GEF-10981: Implementation and institutionalization of National Monitoring and Management Frameworks for Living Modified Organisms and Invasive Alien Species. </w:t>
      </w:r>
      <w:r w:rsidRPr="00653BF4">
        <w:rPr>
          <w:lang w:val="fr-FR"/>
        </w:rPr>
        <w:t xml:space="preserve">Programme des Nations Unies pour l’environnement/Fonds pour l’environnement mondial. Disponible à l’adresse </w:t>
      </w:r>
      <w:hyperlink r:id="rId416" w:history="1">
        <w:r w:rsidRPr="00653BF4">
          <w:rPr>
            <w:rStyle w:val="Hyperlink"/>
            <w:lang w:val="fr-FR"/>
          </w:rPr>
          <w:t>https://www.unep.org/gef/index.php/projects/implementation-and-institutionalization-national-monitoring-and-management-frameworks</w:t>
        </w:r>
      </w:hyperlink>
      <w:r w:rsidRPr="00653BF4">
        <w:rPr>
          <w:lang w:val="fr-FR"/>
        </w:rPr>
        <w:t xml:space="preserve"> (consulté le 30 juin 2026)</w:t>
      </w:r>
    </w:p>
    <w:p w14:paraId="6EF8129B" w14:textId="77777777" w:rsidR="007A60EC" w:rsidRPr="00653BF4" w:rsidRDefault="007A60EC" w:rsidP="007A60EC">
      <w:pPr>
        <w:pStyle w:val="Bibliography"/>
        <w:rPr>
          <w:rFonts w:ascii="Aptos" w:cs="Times New Roman"/>
          <w:kern w:val="0"/>
          <w:lang w:val="fr-FR"/>
        </w:rPr>
      </w:pPr>
      <w:r w:rsidRPr="00543148">
        <w:rPr>
          <w:lang w:val="en-US"/>
        </w:rPr>
        <w:t xml:space="preserve">Potapov, P. </w:t>
      </w:r>
      <w:r w:rsidRPr="00543148">
        <w:rPr>
          <w:i/>
          <w:lang w:val="en-US"/>
        </w:rPr>
        <w:t>et al.</w:t>
      </w:r>
      <w:r w:rsidRPr="00543148">
        <w:rPr>
          <w:lang w:val="en-US"/>
        </w:rPr>
        <w:t xml:space="preserve">, 2022. The Global 2000–2020 Land Cover and Land Use Change Dataset Derived From the Landsat Archive: First Results. </w:t>
      </w:r>
      <w:r w:rsidRPr="00653BF4">
        <w:rPr>
          <w:lang w:val="fr-FR"/>
        </w:rPr>
        <w:t xml:space="preserve">Front. Remote Sens. 3, 856903. </w:t>
      </w:r>
      <w:hyperlink r:id="rId417" w:history="1">
        <w:r w:rsidRPr="00653BF4">
          <w:rPr>
            <w:rStyle w:val="Hyperlink"/>
            <w:lang w:val="fr-FR"/>
          </w:rPr>
          <w:t>https://doi.org/10.3389/frsen.2022.856903</w:t>
        </w:r>
      </w:hyperlink>
    </w:p>
    <w:p w14:paraId="3DEEBC45" w14:textId="77777777" w:rsidR="007A60EC" w:rsidRPr="00653BF4" w:rsidRDefault="007A60EC" w:rsidP="007A60EC">
      <w:pPr>
        <w:pStyle w:val="Bibliography"/>
        <w:rPr>
          <w:lang w:val="fr-FR"/>
        </w:rPr>
      </w:pPr>
      <w:r w:rsidRPr="00653BF4">
        <w:rPr>
          <w:lang w:val="fr-FR"/>
        </w:rPr>
        <w:t xml:space="preserve">Prindex, 2024. Prindex global tenure security dataset (Version 2024). Disponible à l’adresse </w:t>
      </w:r>
      <w:hyperlink r:id="rId418" w:history="1">
        <w:r w:rsidRPr="00653BF4">
          <w:rPr>
            <w:rStyle w:val="Hyperlink"/>
            <w:lang w:val="fr-FR"/>
          </w:rPr>
          <w:t>https://www.prindex.net/data/</w:t>
        </w:r>
      </w:hyperlink>
    </w:p>
    <w:p w14:paraId="0AB9811B" w14:textId="77777777" w:rsidR="007A60EC" w:rsidRPr="00543148" w:rsidRDefault="007A60EC" w:rsidP="007A60EC">
      <w:pPr>
        <w:pStyle w:val="Bibliography"/>
        <w:rPr>
          <w:lang w:val="en-US"/>
        </w:rPr>
      </w:pPr>
      <w:r w:rsidRPr="00543148">
        <w:rPr>
          <w:lang w:val="en-US"/>
        </w:rPr>
        <w:t xml:space="preserve">Ricard, P., 2024. The Advent of the 2023 “BBNJ” Agreement: A Preliminary Legal Analysis. Environ. Policy Law 53, 427–437. </w:t>
      </w:r>
      <w:hyperlink r:id="rId419" w:history="1">
        <w:r w:rsidRPr="00543148">
          <w:rPr>
            <w:rStyle w:val="Hyperlink"/>
            <w:lang w:val="en-US"/>
          </w:rPr>
          <w:t>https://doi.org/10.3233/EPL-239014</w:t>
        </w:r>
      </w:hyperlink>
    </w:p>
    <w:p w14:paraId="099A9AB7" w14:textId="77777777" w:rsidR="007A60EC" w:rsidRPr="00653BF4" w:rsidRDefault="007A60EC" w:rsidP="007A60EC">
      <w:pPr>
        <w:pStyle w:val="Bibliography"/>
        <w:rPr>
          <w:lang w:val="fr-FR"/>
        </w:rPr>
      </w:pPr>
      <w:r w:rsidRPr="00543148">
        <w:rPr>
          <w:lang w:val="en-US"/>
        </w:rPr>
        <w:t xml:space="preserve">SANBI, PNUE-WCMC, 2024. Mapping biodiversity priorities: A practical approach to spatial biodiversity assessment and prioritisation to inform national policy, planning, </w:t>
      </w:r>
      <w:r w:rsidRPr="00543148">
        <w:rPr>
          <w:lang w:val="en-US"/>
        </w:rPr>
        <w:lastRenderedPageBreak/>
        <w:t xml:space="preserve">decisions and action. </w:t>
      </w:r>
      <w:r w:rsidRPr="00653BF4">
        <w:rPr>
          <w:lang w:val="fr-FR"/>
        </w:rPr>
        <w:t xml:space="preserve">Second edition. South African National Biodiversity Institute, Pretoria. Disponible à l’adresse </w:t>
      </w:r>
      <w:hyperlink r:id="rId420" w:history="1">
        <w:r w:rsidRPr="00653BF4">
          <w:rPr>
            <w:rStyle w:val="Hyperlink"/>
            <w:lang w:val="fr-FR"/>
          </w:rPr>
          <w:t>https://www.sanbi.org/wp-content/uploads/2024/10/2024-Mapping-Biodiversity-Priorities.pdf</w:t>
        </w:r>
      </w:hyperlink>
      <w:r w:rsidRPr="00653BF4">
        <w:rPr>
          <w:lang w:val="fr-FR"/>
        </w:rPr>
        <w:t xml:space="preserve"> (consulté le 11 mai 2026)</w:t>
      </w:r>
    </w:p>
    <w:p w14:paraId="0B2E10E9" w14:textId="77777777" w:rsidR="007A60EC" w:rsidRPr="00653BF4" w:rsidRDefault="007A60EC" w:rsidP="007A60EC">
      <w:pPr>
        <w:pStyle w:val="Bibliography"/>
        <w:rPr>
          <w:lang w:val="fr-FR"/>
        </w:rPr>
      </w:pPr>
      <w:r w:rsidRPr="00653BF4">
        <w:rPr>
          <w:lang w:val="fr-FR"/>
        </w:rPr>
        <w:t xml:space="preserve">Secrétariat de la CIPV, 2024. Réduction maximale des risques phytosanitaires liés à la filière des conteneurs maritimes. FAO au nom du Secrétariat de la Convention internationale pour la protection des végétaux, Rome. Disponible à l’adresse </w:t>
      </w:r>
      <w:hyperlink r:id="rId421" w:history="1">
        <w:r w:rsidRPr="00653BF4">
          <w:rPr>
            <w:rStyle w:val="Hyperlink"/>
            <w:lang w:val="fr-FR"/>
          </w:rPr>
          <w:t>https://assets.ippc.int/static/media/files/publication/fr/2024/07/R-06_Fr_2024_Sea_Containers_Post-CPM-18_2024-07-27_Combined.pdf</w:t>
        </w:r>
      </w:hyperlink>
      <w:r w:rsidRPr="00653BF4">
        <w:rPr>
          <w:lang w:val="fr-FR"/>
        </w:rPr>
        <w:t xml:space="preserve"> (consulté le 17 avril 2026)</w:t>
      </w:r>
    </w:p>
    <w:p w14:paraId="014B777E" w14:textId="77777777" w:rsidR="007A60EC" w:rsidRPr="00653BF4" w:rsidRDefault="007A60EC" w:rsidP="007A60EC">
      <w:pPr>
        <w:pStyle w:val="Bibliography"/>
        <w:rPr>
          <w:lang w:val="fr-FR"/>
        </w:rPr>
      </w:pPr>
      <w:r w:rsidRPr="00653BF4">
        <w:rPr>
          <w:lang w:val="fr-FR"/>
        </w:rPr>
        <w:t xml:space="preserve">Secrétariat de l’Initiative du Corridor biologique dans la Caraïbe, 2025. </w:t>
      </w:r>
      <w:r w:rsidRPr="00543148">
        <w:rPr>
          <w:lang w:val="en-US"/>
        </w:rPr>
        <w:t xml:space="preserve">Submission of the Caribbean Biological Corridor Secretariat, in response to CBD notification 2025-099. </w:t>
      </w:r>
      <w:r w:rsidRPr="00653BF4">
        <w:rPr>
          <w:lang w:val="fr-FR"/>
        </w:rPr>
        <w:t xml:space="preserve">Secrétariat de la Convention sur la diversité biologique, Montréal. Disponible à l’adresse </w:t>
      </w:r>
      <w:hyperlink r:id="rId422" w:history="1">
        <w:r w:rsidRPr="00653BF4">
          <w:rPr>
            <w:rStyle w:val="Hyperlink"/>
            <w:lang w:val="fr-FR"/>
          </w:rPr>
          <w:t>https://www.cbd.int/notifications/2025-099</w:t>
        </w:r>
      </w:hyperlink>
      <w:r w:rsidRPr="00653BF4">
        <w:rPr>
          <w:lang w:val="fr-FR"/>
        </w:rPr>
        <w:t xml:space="preserve"> (consulté le 21 mai 2026)</w:t>
      </w:r>
    </w:p>
    <w:p w14:paraId="4733BCC5" w14:textId="77777777" w:rsidR="007A60EC" w:rsidRPr="00653BF4" w:rsidRDefault="007A60EC" w:rsidP="007A60EC">
      <w:pPr>
        <w:pStyle w:val="Bibliography"/>
        <w:rPr>
          <w:lang w:val="fr-FR"/>
        </w:rPr>
      </w:pPr>
      <w:r w:rsidRPr="00653BF4">
        <w:rPr>
          <w:lang w:val="fr-FR"/>
        </w:rPr>
        <w:t xml:space="preserve">Secrétariat des Conventions de Bâle, de Rotterdam et de Stockholm, 2025. </w:t>
      </w:r>
      <w:r w:rsidRPr="00543148">
        <w:rPr>
          <w:lang w:val="en-US"/>
        </w:rPr>
        <w:t xml:space="preserve">Submission of the Secretariat of the Basel, Rotterdam and Stockholm (BRS) Conventions, in response to CBD notification 2025-099. </w:t>
      </w:r>
      <w:r w:rsidRPr="00653BF4">
        <w:rPr>
          <w:lang w:val="fr-FR"/>
        </w:rPr>
        <w:t xml:space="preserve">Secrétariat de la Convention sur la diversité biologique, Montréal. Disponible à l’adresse </w:t>
      </w:r>
      <w:hyperlink r:id="rId423" w:history="1">
        <w:r w:rsidRPr="00653BF4">
          <w:rPr>
            <w:rStyle w:val="Hyperlink"/>
            <w:lang w:val="fr-FR"/>
          </w:rPr>
          <w:t>https://www.cbd.int/notifications/2025-099</w:t>
        </w:r>
      </w:hyperlink>
      <w:r w:rsidRPr="00653BF4">
        <w:rPr>
          <w:lang w:val="fr-FR"/>
        </w:rPr>
        <w:t xml:space="preserve"> (consulté le 21 mai 2026)</w:t>
      </w:r>
    </w:p>
    <w:p w14:paraId="26DD9A8D" w14:textId="77777777" w:rsidR="007A60EC" w:rsidRPr="00543148" w:rsidRDefault="007A60EC" w:rsidP="007A60EC">
      <w:pPr>
        <w:pStyle w:val="Bibliography"/>
        <w:rPr>
          <w:lang w:val="en-US"/>
        </w:rPr>
      </w:pPr>
      <w:r w:rsidRPr="00653BF4">
        <w:rPr>
          <w:lang w:val="fr-FR"/>
        </w:rPr>
        <w:t xml:space="preserve">Sims, N.C. </w:t>
      </w:r>
      <w:r w:rsidRPr="00653BF4">
        <w:rPr>
          <w:i/>
          <w:lang w:val="fr-FR"/>
        </w:rPr>
        <w:t>et al.</w:t>
      </w:r>
      <w:r w:rsidRPr="00653BF4">
        <w:rPr>
          <w:lang w:val="fr-FR"/>
        </w:rPr>
        <w:t xml:space="preserve">, 2021. </w:t>
      </w:r>
      <w:r w:rsidRPr="00543148">
        <w:rPr>
          <w:lang w:val="en-US"/>
        </w:rPr>
        <w:t>Good Practice Guidance. SDG Indicator 15.3.1, Proportion of Land That Is Degraded Over Total Land Area. Version 2.0. CLD, Bonn (Allemagne).</w:t>
      </w:r>
    </w:p>
    <w:p w14:paraId="1E7ECF05" w14:textId="77777777" w:rsidR="007A60EC" w:rsidRPr="00653BF4" w:rsidRDefault="007A60EC" w:rsidP="007A60EC">
      <w:pPr>
        <w:pStyle w:val="Bibliography"/>
        <w:rPr>
          <w:lang w:val="fr-FR"/>
        </w:rPr>
      </w:pPr>
      <w:r w:rsidRPr="00543148">
        <w:rPr>
          <w:lang w:val="en-US"/>
        </w:rPr>
        <w:t xml:space="preserve">SOYUZ, 2025. Submission of the Union of Indigenous Peoples “SOYUZ” in response to CBD notification 2025-100. </w:t>
      </w:r>
      <w:r w:rsidRPr="00653BF4">
        <w:rPr>
          <w:lang w:val="fr-FR"/>
        </w:rPr>
        <w:t xml:space="preserve">Secrétariat de la Convention sur la diversité biologique, Montréal. Disponible à l’adresse </w:t>
      </w:r>
      <w:hyperlink r:id="rId424" w:history="1">
        <w:r w:rsidRPr="00653BF4">
          <w:rPr>
            <w:rStyle w:val="Hyperlink"/>
            <w:lang w:val="fr-FR"/>
          </w:rPr>
          <w:t>https://www.cbd.int/notifications/2025-100</w:t>
        </w:r>
      </w:hyperlink>
      <w:r w:rsidRPr="00653BF4">
        <w:rPr>
          <w:lang w:val="fr-FR"/>
        </w:rPr>
        <w:t xml:space="preserve"> (consulté le 16 juillet 2026)</w:t>
      </w:r>
    </w:p>
    <w:p w14:paraId="01D8A459" w14:textId="77777777" w:rsidR="007A60EC" w:rsidRPr="00543148" w:rsidRDefault="007A60EC" w:rsidP="007A60EC">
      <w:pPr>
        <w:pStyle w:val="Bibliography"/>
        <w:rPr>
          <w:lang w:val="en-US"/>
        </w:rPr>
      </w:pPr>
      <w:r w:rsidRPr="00543148">
        <w:rPr>
          <w:lang w:val="en-US"/>
        </w:rPr>
        <w:t xml:space="preserve">Stolton, S., Dudley, N., Hocking, M., 2021. METT Handbook: A guide to using the Management Effectiveness Tracking Tool (METT). Second edition guidance for using METT-4. WWF, Gland. Disponible à l’adresse </w:t>
      </w:r>
      <w:hyperlink r:id="rId425" w:history="1">
        <w:r w:rsidRPr="00543148">
          <w:rPr>
            <w:rStyle w:val="Hyperlink"/>
            <w:lang w:val="en-US"/>
          </w:rPr>
          <w:t>https://wdpa.s3.eu-west-1.amazonaws.com/PAME/METT/METT_4_Handbook.pdf</w:t>
        </w:r>
      </w:hyperlink>
      <w:r w:rsidRPr="00543148">
        <w:rPr>
          <w:lang w:val="en-US"/>
        </w:rPr>
        <w:t xml:space="preserve"> (consulté le 23 juillet 2026)</w:t>
      </w:r>
    </w:p>
    <w:p w14:paraId="6F25A047" w14:textId="77777777" w:rsidR="007A60EC" w:rsidRPr="00653BF4" w:rsidRDefault="007A60EC" w:rsidP="007A60EC">
      <w:pPr>
        <w:pStyle w:val="Bibliography"/>
        <w:rPr>
          <w:lang w:val="fr-FR"/>
        </w:rPr>
      </w:pPr>
      <w:r w:rsidRPr="00543148">
        <w:rPr>
          <w:lang w:val="en-US"/>
        </w:rPr>
        <w:t xml:space="preserve">Teich, I. </w:t>
      </w:r>
      <w:r w:rsidRPr="00543148">
        <w:rPr>
          <w:i/>
          <w:lang w:val="en-US"/>
        </w:rPr>
        <w:t>et al.</w:t>
      </w:r>
      <w:r w:rsidRPr="00543148">
        <w:rPr>
          <w:lang w:val="en-US"/>
        </w:rPr>
        <w:t xml:space="preserve">, 2025. Good Practice Guidance Addendum. SDG Indicator 15.3.1, Proportion of Land That Is Degraded Over Total Land Area. </w:t>
      </w:r>
      <w:r w:rsidRPr="00653BF4">
        <w:rPr>
          <w:lang w:val="fr-FR"/>
        </w:rPr>
        <w:t>CLD, Bonn (Allemagne).</w:t>
      </w:r>
    </w:p>
    <w:p w14:paraId="1182BB9C" w14:textId="42327EDA" w:rsidR="007A60EC" w:rsidRPr="00653BF4" w:rsidRDefault="007A60EC" w:rsidP="007A60EC">
      <w:pPr>
        <w:pStyle w:val="Bibliography"/>
        <w:rPr>
          <w:lang w:val="fr-FR"/>
        </w:rPr>
      </w:pPr>
      <w:r w:rsidRPr="00653BF4">
        <w:rPr>
          <w:lang w:val="fr-FR"/>
        </w:rPr>
        <w:t>Traité international sur les ressources phytogénétiques pour l’alimentation et l’agriculture, 2023. Résolution 13/2023</w:t>
      </w:r>
      <w:r w:rsidR="00E34DC9">
        <w:rPr>
          <w:lang w:val="fr-FR"/>
        </w:rPr>
        <w:t> :</w:t>
      </w:r>
      <w:r w:rsidRPr="00653BF4">
        <w:rPr>
          <w:lang w:val="fr-FR"/>
        </w:rPr>
        <w:t xml:space="preserve"> Coopération avec la Convention sur la diversité biologique. Organisation des Nations Unies pour l’alimentation et l’agriculture, Rome. Disponible à l’adresse </w:t>
      </w:r>
      <w:hyperlink r:id="rId426" w:history="1">
        <w:r w:rsidRPr="00653BF4">
          <w:rPr>
            <w:rStyle w:val="Hyperlink"/>
            <w:lang w:val="fr-FR"/>
          </w:rPr>
          <w:t>https://www.fao.org/3/no036fr/no036fr.pdf</w:t>
        </w:r>
      </w:hyperlink>
      <w:r w:rsidRPr="00653BF4">
        <w:rPr>
          <w:lang w:val="fr-FR"/>
        </w:rPr>
        <w:t xml:space="preserve"> (consulté le 19 juin 2026)</w:t>
      </w:r>
    </w:p>
    <w:p w14:paraId="5F6404CB" w14:textId="7C9F055B" w:rsidR="007A60EC" w:rsidRPr="00653BF4" w:rsidRDefault="007A60EC" w:rsidP="007A60EC">
      <w:pPr>
        <w:pStyle w:val="Bibliography"/>
        <w:rPr>
          <w:lang w:val="fr-FR"/>
        </w:rPr>
      </w:pPr>
      <w:r w:rsidRPr="00653BF4">
        <w:rPr>
          <w:lang w:val="fr-FR"/>
        </w:rPr>
        <w:t>Traité international sur les ressources phytogénétiques pour l’alimentation et l’agriculture, 2025a. IT/GB-11/25/9.1 Rev.1</w:t>
      </w:r>
      <w:r w:rsidR="00E34DC9">
        <w:rPr>
          <w:lang w:val="fr-FR"/>
        </w:rPr>
        <w:t> :</w:t>
      </w:r>
      <w:r w:rsidRPr="00653BF4">
        <w:rPr>
          <w:lang w:val="fr-FR"/>
        </w:rPr>
        <w:t xml:space="preserve"> Rapport sur la mise en œuvre et le fonctionnement du Système multilatéral. Organisation des Nations Unies pour l’alimentation et l’agriculture, Lima. Disponible à l’adresse </w:t>
      </w:r>
      <w:hyperlink r:id="rId427" w:history="1">
        <w:r w:rsidRPr="00653BF4">
          <w:rPr>
            <w:rStyle w:val="Hyperlink"/>
            <w:lang w:val="fr-FR"/>
          </w:rPr>
          <w:t>https://www.fao.org/3/ns530fr/ns530fr.pdf</w:t>
        </w:r>
      </w:hyperlink>
      <w:r w:rsidRPr="00653BF4">
        <w:rPr>
          <w:lang w:val="fr-FR"/>
        </w:rPr>
        <w:t xml:space="preserve"> (consulté le 30 juillet 2026)</w:t>
      </w:r>
    </w:p>
    <w:p w14:paraId="1B18D7A2" w14:textId="61234FDD" w:rsidR="007A60EC" w:rsidRPr="00653BF4" w:rsidRDefault="007A60EC" w:rsidP="007A60EC">
      <w:pPr>
        <w:pStyle w:val="Bibliography"/>
        <w:rPr>
          <w:lang w:val="fr-FR"/>
        </w:rPr>
      </w:pPr>
      <w:r w:rsidRPr="00653BF4">
        <w:rPr>
          <w:lang w:val="fr-FR"/>
        </w:rPr>
        <w:t>Traité international sur les ressources phytogénétiques pour l’alimentation et l’agriculture, 2025b. Résolution 12/2025</w:t>
      </w:r>
      <w:r w:rsidR="00E34DC9">
        <w:rPr>
          <w:lang w:val="fr-FR"/>
        </w:rPr>
        <w:t> :</w:t>
      </w:r>
      <w:r w:rsidRPr="00653BF4">
        <w:rPr>
          <w:lang w:val="fr-FR"/>
        </w:rPr>
        <w:t xml:space="preserve"> Coopération avec la Convention sur la diversité biologique. Organisation des Nations Unies pour l’alimentation et l’agriculture, </w:t>
      </w:r>
      <w:r w:rsidRPr="00653BF4">
        <w:rPr>
          <w:lang w:val="fr-FR"/>
        </w:rPr>
        <w:lastRenderedPageBreak/>
        <w:t xml:space="preserve">Rome. Disponible à l’adresse </w:t>
      </w:r>
      <w:hyperlink r:id="rId428" w:history="1">
        <w:r w:rsidRPr="00653BF4">
          <w:rPr>
            <w:rStyle w:val="Hyperlink"/>
            <w:lang w:val="fr-FR"/>
          </w:rPr>
          <w:t>https://openknowledge.fao.org/handle/20.500.14283/nt048fr</w:t>
        </w:r>
      </w:hyperlink>
      <w:r w:rsidRPr="00653BF4">
        <w:rPr>
          <w:lang w:val="fr-FR"/>
        </w:rPr>
        <w:t xml:space="preserve"> (consulté le 19 juin 2026)</w:t>
      </w:r>
    </w:p>
    <w:p w14:paraId="23152D4E" w14:textId="77777777" w:rsidR="007A60EC" w:rsidRPr="00653BF4" w:rsidRDefault="007A60EC" w:rsidP="007A60EC">
      <w:pPr>
        <w:pStyle w:val="Bibliography"/>
        <w:rPr>
          <w:lang w:val="fr-FR"/>
        </w:rPr>
      </w:pPr>
      <w:r w:rsidRPr="00653BF4">
        <w:rPr>
          <w:lang w:val="fr-FR"/>
        </w:rPr>
        <w:t xml:space="preserve">Traité international sur les ressources phytogénétiques pour l’alimentation et l’agriculture, 2026. </w:t>
      </w:r>
      <w:r w:rsidRPr="00543148">
        <w:rPr>
          <w:lang w:val="en-US"/>
        </w:rPr>
        <w:t xml:space="preserve">Submission of the Secretariat of the International Treaty on Plant Genetic Resources for Food and Agriculture in response to CBD notification 2025-099. </w:t>
      </w:r>
      <w:r w:rsidRPr="00653BF4">
        <w:rPr>
          <w:lang w:val="fr-FR"/>
        </w:rPr>
        <w:t xml:space="preserve">Secrétariat de la Convention sur la diversité biologique, Montréal. Disponible à l’adresse </w:t>
      </w:r>
      <w:hyperlink r:id="rId429" w:history="1">
        <w:r w:rsidRPr="00653BF4">
          <w:rPr>
            <w:rStyle w:val="Hyperlink"/>
            <w:lang w:val="fr-FR"/>
          </w:rPr>
          <w:t>https://www.cbd.int/notifications/2025-099</w:t>
        </w:r>
      </w:hyperlink>
      <w:r w:rsidRPr="00653BF4">
        <w:rPr>
          <w:lang w:val="fr-FR"/>
        </w:rPr>
        <w:t xml:space="preserve"> (consulté le 19 juin 2026)</w:t>
      </w:r>
    </w:p>
    <w:p w14:paraId="7E77DFCD" w14:textId="1638E9EF" w:rsidR="007A60EC" w:rsidRPr="00653BF4" w:rsidRDefault="007A60EC" w:rsidP="007A60EC">
      <w:pPr>
        <w:pStyle w:val="Bibliography"/>
        <w:rPr>
          <w:lang w:val="fr-FR"/>
        </w:rPr>
      </w:pPr>
      <w:r w:rsidRPr="00653BF4">
        <w:rPr>
          <w:lang w:val="fr-FR"/>
        </w:rPr>
        <w:t>UICN, 2016. Standard mondial pour l’identification des Zones Clés pour la Biodiversité</w:t>
      </w:r>
      <w:r w:rsidR="00E34DC9">
        <w:rPr>
          <w:lang w:val="fr-FR"/>
        </w:rPr>
        <w:t> :</w:t>
      </w:r>
      <w:r w:rsidRPr="00653BF4">
        <w:rPr>
          <w:lang w:val="fr-FR"/>
        </w:rPr>
        <w:t xml:space="preserve"> version 1.0. Union internationale pour la conservation de la nature, Gland. Disponible à l’adresse </w:t>
      </w:r>
      <w:hyperlink r:id="rId430" w:history="1">
        <w:r w:rsidRPr="00653BF4">
          <w:rPr>
            <w:rStyle w:val="Hyperlink"/>
            <w:lang w:val="fr-FR"/>
          </w:rPr>
          <w:t>https://portals.iucn.org/library/node/46320</w:t>
        </w:r>
      </w:hyperlink>
      <w:r w:rsidRPr="00653BF4">
        <w:rPr>
          <w:lang w:val="fr-FR"/>
        </w:rPr>
        <w:t xml:space="preserve"> (consulté le 25 août 2026)</w:t>
      </w:r>
    </w:p>
    <w:p w14:paraId="57D1ACD7" w14:textId="77777777" w:rsidR="007A60EC" w:rsidRPr="00653BF4" w:rsidRDefault="007A60EC" w:rsidP="007A60EC">
      <w:pPr>
        <w:pStyle w:val="Bibliography"/>
        <w:rPr>
          <w:lang w:val="fr-FR"/>
        </w:rPr>
      </w:pPr>
      <w:r w:rsidRPr="00543148">
        <w:rPr>
          <w:lang w:val="en-US"/>
        </w:rPr>
        <w:t xml:space="preserve">UICN, 2026. IUCN red list of ecosystems inventory. </w:t>
      </w:r>
      <w:r w:rsidRPr="00653BF4">
        <w:rPr>
          <w:lang w:val="fr-FR"/>
        </w:rPr>
        <w:t xml:space="preserve">Union internationale pour la conservation de la nature. Disponible à l’adresse </w:t>
      </w:r>
      <w:hyperlink r:id="rId431" w:history="1">
        <w:r w:rsidRPr="00653BF4">
          <w:rPr>
            <w:rStyle w:val="Hyperlink"/>
            <w:lang w:val="fr-FR"/>
          </w:rPr>
          <w:t>https://iucn.org/red-list-ecosystems-inventory</w:t>
        </w:r>
      </w:hyperlink>
    </w:p>
    <w:p w14:paraId="21E08734" w14:textId="77777777" w:rsidR="007A60EC" w:rsidRPr="00653BF4" w:rsidRDefault="007A60EC" w:rsidP="007A60EC">
      <w:pPr>
        <w:pStyle w:val="Bibliography"/>
        <w:rPr>
          <w:lang w:val="fr-FR"/>
        </w:rPr>
      </w:pPr>
      <w:r w:rsidRPr="00653BF4">
        <w:rPr>
          <w:lang w:val="fr-FR"/>
        </w:rPr>
        <w:t xml:space="preserve">UNDRR, 2015. Cadre de Sendai pour la réduction des risques de catastrophe (2015-2030). Bureau des Nations Unies pour la réduction des risques de catastrophe, Genève. Disponible à l’adresse </w:t>
      </w:r>
      <w:hyperlink r:id="rId432" w:history="1">
        <w:r w:rsidRPr="00653BF4">
          <w:rPr>
            <w:rStyle w:val="Hyperlink"/>
            <w:lang w:val="fr-FR"/>
          </w:rPr>
          <w:t>https://www.undrr.org/publication/sendai-framework-disaster-risk-reduction-2015-2030</w:t>
        </w:r>
      </w:hyperlink>
    </w:p>
    <w:p w14:paraId="3DAF9A3A" w14:textId="77777777" w:rsidR="007A60EC" w:rsidRPr="00653BF4" w:rsidRDefault="007A60EC" w:rsidP="007A60EC">
      <w:pPr>
        <w:pStyle w:val="Bibliography"/>
        <w:rPr>
          <w:lang w:val="fr-FR"/>
        </w:rPr>
      </w:pPr>
      <w:r w:rsidRPr="00543148">
        <w:rPr>
          <w:lang w:val="en-US"/>
        </w:rPr>
        <w:t xml:space="preserve">UNDRR, 2025a. Submission of the United Nations Office for Disaster Risk Reduction (UNDRR), in response to CBD notification 2025-099. </w:t>
      </w:r>
      <w:r w:rsidRPr="00653BF4">
        <w:rPr>
          <w:lang w:val="fr-FR"/>
        </w:rPr>
        <w:t xml:space="preserve">Secrétariat de la Convention sur la diversité biologique, Montréal. Disponible à l’adresse </w:t>
      </w:r>
      <w:hyperlink r:id="rId433" w:history="1">
        <w:r w:rsidRPr="00653BF4">
          <w:rPr>
            <w:rStyle w:val="Hyperlink"/>
            <w:lang w:val="fr-FR"/>
          </w:rPr>
          <w:t>https://www.cbd.int/notifications/2025-099</w:t>
        </w:r>
      </w:hyperlink>
      <w:r w:rsidRPr="00653BF4">
        <w:rPr>
          <w:lang w:val="fr-FR"/>
        </w:rPr>
        <w:t xml:space="preserve"> (consulté le 21 mai 2026)</w:t>
      </w:r>
    </w:p>
    <w:p w14:paraId="14BC6FBA" w14:textId="77777777" w:rsidR="007A60EC" w:rsidRPr="00653BF4" w:rsidRDefault="007A60EC" w:rsidP="007A60EC">
      <w:pPr>
        <w:pStyle w:val="Bibliography"/>
        <w:rPr>
          <w:lang w:val="fr-FR"/>
        </w:rPr>
      </w:pPr>
      <w:r w:rsidRPr="00543148">
        <w:rPr>
          <w:lang w:val="en-US"/>
        </w:rPr>
        <w:t xml:space="preserve">UNDRR, 2025b. Integrating Disaster Risk Reduction and Biodiversity into National Strategies and their Implementation: Recommendations and Guidance for Governments. </w:t>
      </w:r>
      <w:r w:rsidRPr="00653BF4">
        <w:rPr>
          <w:lang w:val="fr-FR"/>
        </w:rPr>
        <w:t xml:space="preserve">Bureau des Nations Unies pour la réduction des risques de catastrophe, Genève. Disponible à l’adresse </w:t>
      </w:r>
      <w:hyperlink r:id="rId434" w:history="1">
        <w:r w:rsidRPr="00653BF4">
          <w:rPr>
            <w:rStyle w:val="Hyperlink"/>
            <w:lang w:val="fr-FR"/>
          </w:rPr>
          <w:t>https://www.undrr.org/publication/documents-and-publications/integrating-disaster-risk-reduction-and-biodiversity</w:t>
        </w:r>
      </w:hyperlink>
      <w:r w:rsidRPr="00653BF4">
        <w:rPr>
          <w:lang w:val="fr-FR"/>
        </w:rPr>
        <w:t xml:space="preserve"> (consulté le 21 mai 2026)</w:t>
      </w:r>
    </w:p>
    <w:p w14:paraId="1C16DF15" w14:textId="77777777" w:rsidR="007A60EC" w:rsidRPr="00653BF4" w:rsidRDefault="007A60EC" w:rsidP="007A60EC">
      <w:pPr>
        <w:pStyle w:val="Bibliography"/>
        <w:rPr>
          <w:lang w:val="fr-FR"/>
        </w:rPr>
      </w:pPr>
      <w:r w:rsidRPr="00543148">
        <w:rPr>
          <w:lang w:val="en-US"/>
        </w:rPr>
        <w:t xml:space="preserve">UNDRR, 2025c. Global Platform 2025 Co-Chairs’ Summary: Geneva Call for Disaster Risk Reduction. </w:t>
      </w:r>
      <w:r w:rsidRPr="00653BF4">
        <w:rPr>
          <w:lang w:val="fr-FR"/>
        </w:rPr>
        <w:t xml:space="preserve">Bureau des Nations Unies pour la réduction des risques de catastrophe, Genève. Disponible à l’adresse </w:t>
      </w:r>
      <w:hyperlink r:id="rId435" w:history="1">
        <w:r w:rsidRPr="00653BF4">
          <w:rPr>
            <w:rStyle w:val="Hyperlink"/>
            <w:lang w:val="fr-FR"/>
          </w:rPr>
          <w:t>https://www.undrr.org/publication/global-platform-2025-co-chairs-summary-geneva-call-disaster-risk-reduction</w:t>
        </w:r>
      </w:hyperlink>
      <w:r w:rsidRPr="00653BF4">
        <w:rPr>
          <w:lang w:val="fr-FR"/>
        </w:rPr>
        <w:t xml:space="preserve"> (consulté le 21 mai 2026)</w:t>
      </w:r>
    </w:p>
    <w:p w14:paraId="3478D80F" w14:textId="77777777" w:rsidR="007A60EC" w:rsidRPr="00653BF4" w:rsidRDefault="007A60EC" w:rsidP="007A60EC">
      <w:pPr>
        <w:pStyle w:val="Bibliography"/>
        <w:rPr>
          <w:lang w:val="fr-FR"/>
        </w:rPr>
      </w:pPr>
      <w:r w:rsidRPr="00543148">
        <w:rPr>
          <w:lang w:val="en-US"/>
        </w:rPr>
        <w:t xml:space="preserve">UNESCO, 2024. WORLD HERITAGE AND THE KUNMING-MONTREAL GLOBAL BIODIVERSITY FRAMEWORK Recommendations from expert meeting. </w:t>
      </w:r>
      <w:r w:rsidRPr="00653BF4">
        <w:rPr>
          <w:lang w:val="fr-FR"/>
        </w:rPr>
        <w:t xml:space="preserve">Vilm (Allemagne). Disponible à l’adresse </w:t>
      </w:r>
      <w:hyperlink r:id="rId436" w:history="1">
        <w:r w:rsidRPr="00653BF4">
          <w:rPr>
            <w:rStyle w:val="Hyperlink"/>
            <w:lang w:val="fr-FR"/>
          </w:rPr>
          <w:t>https://whc.unesco.org/document/219325</w:t>
        </w:r>
      </w:hyperlink>
    </w:p>
    <w:p w14:paraId="1B059077" w14:textId="77777777" w:rsidR="007A60EC" w:rsidRPr="00653BF4" w:rsidRDefault="007A60EC" w:rsidP="007A60EC">
      <w:pPr>
        <w:pStyle w:val="Bibliography"/>
        <w:rPr>
          <w:lang w:val="fr-FR"/>
        </w:rPr>
      </w:pPr>
      <w:r w:rsidRPr="00543148">
        <w:rPr>
          <w:lang w:val="en-US"/>
        </w:rPr>
        <w:t xml:space="preserve">UNESCO, 2025a. Submission of the UNESCO World Heritage Centre, in response to CBD notification 2025-099. </w:t>
      </w:r>
      <w:r w:rsidRPr="00653BF4">
        <w:rPr>
          <w:lang w:val="fr-FR"/>
        </w:rPr>
        <w:t xml:space="preserve">Secrétariat de la Convention sur la diversité biologique, Montréal. Disponible à l’adresse </w:t>
      </w:r>
      <w:hyperlink r:id="rId437" w:history="1">
        <w:r w:rsidRPr="00653BF4">
          <w:rPr>
            <w:rStyle w:val="Hyperlink"/>
            <w:lang w:val="fr-FR"/>
          </w:rPr>
          <w:t>https://www.cbd.int/notifications/2025-099</w:t>
        </w:r>
      </w:hyperlink>
      <w:r w:rsidRPr="00653BF4">
        <w:rPr>
          <w:lang w:val="fr-FR"/>
        </w:rPr>
        <w:t xml:space="preserve"> (consulté le 24 juin 2026)</w:t>
      </w:r>
    </w:p>
    <w:p w14:paraId="3F83F6FA" w14:textId="6F3DFE58" w:rsidR="007A60EC" w:rsidRPr="00653BF4" w:rsidRDefault="007A60EC" w:rsidP="007A60EC">
      <w:pPr>
        <w:pStyle w:val="Bibliography"/>
        <w:rPr>
          <w:lang w:val="fr-FR"/>
        </w:rPr>
      </w:pPr>
      <w:r w:rsidRPr="00653BF4">
        <w:rPr>
          <w:lang w:val="fr-FR"/>
        </w:rPr>
        <w:t>UNESCO, 2025b. WHC/25/47.COM/17</w:t>
      </w:r>
      <w:r w:rsidR="00E34DC9">
        <w:rPr>
          <w:lang w:val="fr-FR"/>
        </w:rPr>
        <w:t> :</w:t>
      </w:r>
      <w:r w:rsidRPr="00653BF4">
        <w:rPr>
          <w:lang w:val="fr-FR"/>
        </w:rPr>
        <w:t xml:space="preserve"> Décision 47 COM 7A.14</w:t>
      </w:r>
      <w:r w:rsidR="00E34DC9">
        <w:rPr>
          <w:lang w:val="fr-FR"/>
        </w:rPr>
        <w:t> :</w:t>
      </w:r>
      <w:r w:rsidRPr="00653BF4">
        <w:rPr>
          <w:lang w:val="fr-FR"/>
        </w:rPr>
        <w:t xml:space="preserve"> Forêts humides de l’Atsinanana (Madagascar). Comité du patrimoine mondial. Disponible à l’adresse </w:t>
      </w:r>
      <w:hyperlink r:id="rId438" w:history="1">
        <w:r w:rsidRPr="00653BF4">
          <w:rPr>
            <w:rStyle w:val="Hyperlink"/>
            <w:lang w:val="fr-FR"/>
          </w:rPr>
          <w:t>https://whc.unesco.org/fr/decisions/8681/</w:t>
        </w:r>
      </w:hyperlink>
      <w:r w:rsidRPr="00653BF4">
        <w:rPr>
          <w:lang w:val="fr-FR"/>
        </w:rPr>
        <w:t xml:space="preserve"> (consulté le 23 juin 2026)</w:t>
      </w:r>
    </w:p>
    <w:p w14:paraId="44A6B52E" w14:textId="77777777" w:rsidR="007A60EC" w:rsidRPr="00653BF4" w:rsidRDefault="007A60EC" w:rsidP="007A60EC">
      <w:pPr>
        <w:pStyle w:val="Bibliography"/>
        <w:rPr>
          <w:lang w:val="fr-FR"/>
        </w:rPr>
      </w:pPr>
      <w:r w:rsidRPr="00543148">
        <w:rPr>
          <w:lang w:val="en-US"/>
        </w:rPr>
        <w:lastRenderedPageBreak/>
        <w:t xml:space="preserve">UNESCO, 2025c. Submission of the UNESCO Secretariat on behalf of the Man and the Biosphere Programme, UNESCO Local and Indigenous Knowledge Systems programme, and UNESCO Education for Sustainable Development, in response to CBD notification 2025-099. </w:t>
      </w:r>
      <w:r w:rsidRPr="00653BF4">
        <w:rPr>
          <w:lang w:val="fr-FR"/>
        </w:rPr>
        <w:t xml:space="preserve">Secrétariat de la Convention sur la diversité biologique, Montréal. Disponible à l’adresse </w:t>
      </w:r>
      <w:hyperlink r:id="rId439" w:history="1">
        <w:r w:rsidRPr="00653BF4">
          <w:rPr>
            <w:rStyle w:val="Hyperlink"/>
            <w:lang w:val="fr-FR"/>
          </w:rPr>
          <w:t>https://www.cbd.int/notifications/2025-099</w:t>
        </w:r>
      </w:hyperlink>
      <w:r w:rsidRPr="00653BF4">
        <w:rPr>
          <w:lang w:val="fr-FR"/>
        </w:rPr>
        <w:t xml:space="preserve"> (consulté le 24 juin 2026)</w:t>
      </w:r>
    </w:p>
    <w:p w14:paraId="4A816FD1" w14:textId="77777777" w:rsidR="007A60EC" w:rsidRPr="00653BF4" w:rsidRDefault="007A60EC" w:rsidP="007A60EC">
      <w:pPr>
        <w:pStyle w:val="Bibliography"/>
        <w:rPr>
          <w:lang w:val="fr-FR"/>
        </w:rPr>
      </w:pPr>
      <w:r w:rsidRPr="00653BF4">
        <w:rPr>
          <w:lang w:val="fr-FR"/>
        </w:rPr>
        <w:t xml:space="preserve">UNESCO, 2025d. Plan d’action stratégique de Hangzhou pour le Programme sur l’Homme et la biosphère (MAB) de l’UNESCO et son Réseau mondial des réserves de biosphère (2026-2035). UNESCO. Disponible à l’adresse </w:t>
      </w:r>
      <w:hyperlink r:id="rId440" w:history="1">
        <w:r w:rsidRPr="00653BF4">
          <w:rPr>
            <w:rStyle w:val="Hyperlink"/>
            <w:lang w:val="fr-FR"/>
          </w:rPr>
          <w:t>https://www.biosphere2025.org.cn/content/content_9084168.html</w:t>
        </w:r>
      </w:hyperlink>
    </w:p>
    <w:p w14:paraId="62AB710D" w14:textId="67D62370" w:rsidR="007A60EC" w:rsidRPr="00653BF4" w:rsidRDefault="007A60EC" w:rsidP="007A60EC">
      <w:pPr>
        <w:pStyle w:val="Bibliography"/>
        <w:rPr>
          <w:lang w:val="fr-FR"/>
        </w:rPr>
      </w:pPr>
      <w:r w:rsidRPr="00653BF4">
        <w:rPr>
          <w:lang w:val="fr-FR"/>
        </w:rPr>
        <w:t>UNESCO, 2025e. SC-25/CONF.237/5</w:t>
      </w:r>
      <w:r w:rsidR="00E34DC9">
        <w:rPr>
          <w:lang w:val="fr-FR"/>
        </w:rPr>
        <w:t> :</w:t>
      </w:r>
      <w:r w:rsidRPr="00653BF4">
        <w:rPr>
          <w:lang w:val="fr-FR"/>
        </w:rPr>
        <w:t xml:space="preserve"> Conseil international de coordination du Programme sur l’Homme et la biosphère (MAB), Trente-septième session, Lin’an, Hangzhou, Chine, 26-28 septembre 2025</w:t>
      </w:r>
      <w:r w:rsidR="00E34DC9">
        <w:rPr>
          <w:lang w:val="fr-FR"/>
        </w:rPr>
        <w:t> ;</w:t>
      </w:r>
      <w:r w:rsidRPr="00653BF4">
        <w:rPr>
          <w:lang w:val="fr-FR"/>
        </w:rPr>
        <w:t xml:space="preserve"> Mise à jour sur la contribution du Programme MAB de l’UNESCO au Cadre mondial de la biodiversité de Kunming-Montréal. UNESCO. Disponible à l’adresse </w:t>
      </w:r>
      <w:hyperlink r:id="rId441" w:history="1">
        <w:r w:rsidRPr="00653BF4">
          <w:rPr>
            <w:rStyle w:val="Hyperlink"/>
            <w:lang w:val="fr-FR"/>
          </w:rPr>
          <w:t>https://www.unesco.org/fr/mab</w:t>
        </w:r>
      </w:hyperlink>
    </w:p>
    <w:p w14:paraId="661CEE8A" w14:textId="77777777" w:rsidR="007A60EC" w:rsidRPr="00543148" w:rsidRDefault="007A60EC" w:rsidP="007A60EC">
      <w:pPr>
        <w:pStyle w:val="Bibliography"/>
        <w:rPr>
          <w:lang w:val="en-US"/>
        </w:rPr>
      </w:pPr>
      <w:r w:rsidRPr="00653BF4">
        <w:rPr>
          <w:lang w:val="fr-FR"/>
        </w:rPr>
        <w:t xml:space="preserve">UNESCO-COI, 2024. </w:t>
      </w:r>
      <w:r w:rsidRPr="00543148">
        <w:rPr>
          <w:lang w:val="en-US"/>
        </w:rPr>
        <w:t xml:space="preserve">State of the Ocean Report 2024. </w:t>
      </w:r>
      <w:r w:rsidRPr="00653BF4">
        <w:rPr>
          <w:lang w:val="fr-FR"/>
        </w:rPr>
        <w:t xml:space="preserve">IOC Technical Series, 190. Commission océanographique intergouvernementale de l’UNESCO, Paris. </w:t>
      </w:r>
      <w:hyperlink r:id="rId442" w:history="1">
        <w:r w:rsidRPr="00543148">
          <w:rPr>
            <w:rStyle w:val="Hyperlink"/>
            <w:lang w:val="en-US"/>
          </w:rPr>
          <w:t>https://doi.org/10.25607/4WBG-D349</w:t>
        </w:r>
      </w:hyperlink>
    </w:p>
    <w:p w14:paraId="7EF816C5" w14:textId="77777777" w:rsidR="007A60EC" w:rsidRPr="00653BF4" w:rsidRDefault="007A60EC" w:rsidP="007A60EC">
      <w:pPr>
        <w:pStyle w:val="Bibliography"/>
        <w:rPr>
          <w:lang w:val="fr-FR"/>
        </w:rPr>
      </w:pPr>
      <w:r w:rsidRPr="00543148">
        <w:rPr>
          <w:lang w:val="en-US"/>
        </w:rPr>
        <w:t xml:space="preserve">UNESCO-COI, Commission européenne, 2022. Updated Joint Roadmap to accelerate Marine/Maritime Spatial Planning processes worldwide –MSProadmap (2022–2027), IOC Technical Series. </w:t>
      </w:r>
      <w:r w:rsidRPr="00653BF4">
        <w:rPr>
          <w:lang w:val="fr-FR"/>
        </w:rPr>
        <w:t xml:space="preserve">Organisation des Nations Unies pour l’éducation, la science et la culture, Paris. Disponible à l’adresse </w:t>
      </w:r>
      <w:hyperlink r:id="rId443" w:history="1">
        <w:r w:rsidRPr="00653BF4">
          <w:rPr>
            <w:rStyle w:val="Hyperlink"/>
            <w:lang w:val="fr-FR"/>
          </w:rPr>
          <w:t>https://unesdoc.unesco.org/ark:/48223/pf0000385718</w:t>
        </w:r>
      </w:hyperlink>
      <w:r w:rsidRPr="00653BF4">
        <w:rPr>
          <w:lang w:val="fr-FR"/>
        </w:rPr>
        <w:t xml:space="preserve"> (consulté le 4 août 2026)</w:t>
      </w:r>
    </w:p>
    <w:p w14:paraId="0E8E8053" w14:textId="77777777" w:rsidR="007A60EC" w:rsidRPr="00653BF4" w:rsidRDefault="007A60EC" w:rsidP="007A60EC">
      <w:pPr>
        <w:pStyle w:val="Bibliography"/>
        <w:rPr>
          <w:lang w:val="fr-FR"/>
        </w:rPr>
      </w:pPr>
      <w:r w:rsidRPr="00653BF4">
        <w:rPr>
          <w:lang w:val="fr-FR"/>
        </w:rPr>
        <w:t xml:space="preserve">UNESCO-COI, Commission européenne, 2025. MSPglobal international guide on marine/maritime spatial planning, volume 2 : Biodiversity Inclusive Principle, IOC Manuals and Guides. Organisation des Nations Unies pour l’éducation, la science et la culture, Paris. Disponible à l’adresse </w:t>
      </w:r>
      <w:hyperlink r:id="rId444" w:history="1">
        <w:r w:rsidRPr="00653BF4">
          <w:rPr>
            <w:rStyle w:val="Hyperlink"/>
            <w:lang w:val="fr-FR"/>
          </w:rPr>
          <w:t>https://unesdoc.unesco.org/ark:/48223/pf0000395354</w:t>
        </w:r>
      </w:hyperlink>
      <w:r w:rsidRPr="00653BF4">
        <w:rPr>
          <w:lang w:val="fr-FR"/>
        </w:rPr>
        <w:t xml:space="preserve"> (consulté le 4 août 2026)</w:t>
      </w:r>
    </w:p>
    <w:p w14:paraId="0BDDB444" w14:textId="4691BF00" w:rsidR="007A60EC" w:rsidRPr="00653BF4" w:rsidRDefault="007A60EC" w:rsidP="007A60EC">
      <w:pPr>
        <w:pStyle w:val="Bibliography"/>
        <w:rPr>
          <w:lang w:val="fr-FR"/>
        </w:rPr>
      </w:pPr>
      <w:r w:rsidRPr="00653BF4">
        <w:rPr>
          <w:lang w:val="fr-FR"/>
        </w:rPr>
        <w:t>Union européenne, 2023. COM(2023) 35 final</w:t>
      </w:r>
      <w:r w:rsidR="00E34DC9">
        <w:rPr>
          <w:lang w:val="fr-FR"/>
        </w:rPr>
        <w:t> :</w:t>
      </w:r>
      <w:r w:rsidRPr="00653BF4">
        <w:rPr>
          <w:lang w:val="fr-FR"/>
        </w:rPr>
        <w:t xml:space="preserve"> Révision de l’initiative européenne sur les pollinisateurs</w:t>
      </w:r>
      <w:r w:rsidR="00E34DC9">
        <w:rPr>
          <w:lang w:val="fr-FR"/>
        </w:rPr>
        <w:t> :</w:t>
      </w:r>
      <w:r w:rsidRPr="00653BF4">
        <w:rPr>
          <w:lang w:val="fr-FR"/>
        </w:rPr>
        <w:t xml:space="preserve"> Un nouveau pacte en faveur des pollinisateurs. Commission européenne, Bruxelles. Disponible à l’adresse </w:t>
      </w:r>
      <w:hyperlink r:id="rId445" w:history="1">
        <w:r w:rsidRPr="00653BF4">
          <w:rPr>
            <w:rStyle w:val="Hyperlink"/>
            <w:lang w:val="fr-FR"/>
          </w:rPr>
          <w:t>https://eur-lex.europa.eu/legal-content/FR/TXT/?uri=COM%3A2023%3A35%3AFIN</w:t>
        </w:r>
      </w:hyperlink>
      <w:r w:rsidRPr="00653BF4">
        <w:rPr>
          <w:lang w:val="fr-FR"/>
        </w:rPr>
        <w:t xml:space="preserve"> (consulté le 27 juin 2026)</w:t>
      </w:r>
    </w:p>
    <w:p w14:paraId="53594C73" w14:textId="77777777" w:rsidR="007A60EC" w:rsidRPr="00653BF4" w:rsidRDefault="007A60EC" w:rsidP="007A60EC">
      <w:pPr>
        <w:pStyle w:val="Bibliography"/>
        <w:rPr>
          <w:lang w:val="fr-FR"/>
        </w:rPr>
      </w:pPr>
      <w:r w:rsidRPr="00653BF4">
        <w:rPr>
          <w:lang w:val="fr-FR"/>
        </w:rPr>
        <w:t xml:space="preserve">Union européenne, 2024. Règlement (UE) 2024/1991 du Parlement européen et du Conseil du 24 juin 2024 relatif à la restauration de la nature et modifiant le règlement (UE) 2022/869. Bruxelles. Disponible à l’adresse </w:t>
      </w:r>
      <w:hyperlink r:id="rId446" w:history="1">
        <w:r w:rsidRPr="00653BF4">
          <w:rPr>
            <w:rStyle w:val="Hyperlink"/>
            <w:lang w:val="fr-FR"/>
          </w:rPr>
          <w:t>https://eur-lex.europa.eu/legal-content/FR/TXT/?uri=CELEX%3A32024R1991&amp;qid=1722240349976</w:t>
        </w:r>
      </w:hyperlink>
      <w:r w:rsidRPr="00653BF4">
        <w:rPr>
          <w:lang w:val="fr-FR"/>
        </w:rPr>
        <w:t xml:space="preserve"> (consulté le 25 juillet 2026)</w:t>
      </w:r>
    </w:p>
    <w:p w14:paraId="23D6B703" w14:textId="77777777" w:rsidR="007A60EC" w:rsidRPr="00653BF4" w:rsidRDefault="007A60EC" w:rsidP="007A60EC">
      <w:pPr>
        <w:pStyle w:val="Bibliography"/>
        <w:rPr>
          <w:lang w:val="fr-FR"/>
        </w:rPr>
      </w:pPr>
      <w:r w:rsidRPr="00653BF4">
        <w:rPr>
          <w:lang w:val="fr-FR"/>
        </w:rPr>
        <w:t xml:space="preserve">Union européenne, 2025. Règlement délégué (UE) 2025/2188 de la Commission du 19 septembre 2025 complétant le règlement (UE) 2024/1991 du Parlement européen et du Conseil en établissant une méthode scientifique de surveillance de la diversité des pollinisateurs et des populations de pollinisateurs. Bruxelles. Disponible à l’adresse </w:t>
      </w:r>
      <w:hyperlink r:id="rId447" w:history="1">
        <w:r w:rsidRPr="00653BF4">
          <w:rPr>
            <w:rStyle w:val="Hyperlink"/>
            <w:lang w:val="fr-FR"/>
          </w:rPr>
          <w:t>https://eur-lex.europa.eu/legal-content/FR/TXT/?uri=OJ:L_202502188</w:t>
        </w:r>
      </w:hyperlink>
      <w:r w:rsidRPr="00653BF4">
        <w:rPr>
          <w:lang w:val="fr-FR"/>
        </w:rPr>
        <w:t xml:space="preserve"> (consulté le 25 juillet 2026)</w:t>
      </w:r>
    </w:p>
    <w:p w14:paraId="7F37C2C1" w14:textId="77777777" w:rsidR="007A60EC" w:rsidRPr="00653BF4" w:rsidRDefault="007A60EC" w:rsidP="007A60EC">
      <w:pPr>
        <w:pStyle w:val="Bibliography"/>
        <w:rPr>
          <w:lang w:val="fr-FR"/>
        </w:rPr>
      </w:pPr>
      <w:r w:rsidRPr="00543148">
        <w:rPr>
          <w:lang w:val="en-US"/>
        </w:rPr>
        <w:lastRenderedPageBreak/>
        <w:t xml:space="preserve">Verburg, P.H., 2022. The Contribution of Integrated Land Use Planning and Integrated Landscape Management to Implementing Land Degradation Neutrality: Entry Points and Support Tools. </w:t>
      </w:r>
      <w:r w:rsidRPr="00653BF4">
        <w:rPr>
          <w:lang w:val="fr-FR"/>
        </w:rPr>
        <w:t xml:space="preserve">CLD, Bonn. Disponible à l’adresse </w:t>
      </w:r>
      <w:hyperlink r:id="rId448" w:history="1">
        <w:r w:rsidRPr="00653BF4">
          <w:rPr>
            <w:rStyle w:val="Hyperlink"/>
            <w:lang w:val="fr-FR"/>
          </w:rPr>
          <w:t>https://www.unccd.int/resources/reports/contribution-integrated-land-use-planning-and-integrated-landscape-management</w:t>
        </w:r>
      </w:hyperlink>
    </w:p>
    <w:p w14:paraId="1937700F" w14:textId="77777777" w:rsidR="007A60EC" w:rsidRPr="00653BF4" w:rsidRDefault="007A60EC" w:rsidP="007A60EC">
      <w:pPr>
        <w:pStyle w:val="Bibliography"/>
        <w:rPr>
          <w:lang w:val="fr-FR"/>
        </w:rPr>
      </w:pPr>
      <w:r w:rsidRPr="00653BF4">
        <w:rPr>
          <w:lang w:val="fr-FR"/>
        </w:rPr>
        <w:t xml:space="preserve">Wilkinson, M.D. </w:t>
      </w:r>
      <w:r w:rsidRPr="00653BF4">
        <w:rPr>
          <w:i/>
          <w:lang w:val="fr-FR"/>
        </w:rPr>
        <w:t>et al.</w:t>
      </w:r>
      <w:r w:rsidRPr="00653BF4">
        <w:rPr>
          <w:lang w:val="fr-FR"/>
        </w:rPr>
        <w:t xml:space="preserve">, 2016. </w:t>
      </w:r>
      <w:r w:rsidRPr="00543148">
        <w:rPr>
          <w:lang w:val="en-US"/>
        </w:rPr>
        <w:t xml:space="preserve">The FAIR Guiding Principles for scientific data management and stewardship. </w:t>
      </w:r>
      <w:r w:rsidRPr="00653BF4">
        <w:rPr>
          <w:lang w:val="fr-FR"/>
        </w:rPr>
        <w:t xml:space="preserve">Sci. Data 3, 160018. </w:t>
      </w:r>
      <w:hyperlink r:id="rId449" w:history="1">
        <w:r w:rsidRPr="00653BF4">
          <w:rPr>
            <w:rStyle w:val="Hyperlink"/>
            <w:lang w:val="fr-FR"/>
          </w:rPr>
          <w:t>https://doi.org/10.1038/sdata.2016.18</w:t>
        </w:r>
      </w:hyperlink>
    </w:p>
    <w:p w14:paraId="7ED2B25B" w14:textId="77777777" w:rsidR="007A60EC" w:rsidRPr="00653BF4" w:rsidRDefault="007A60EC" w:rsidP="007A60EC">
      <w:pPr>
        <w:pStyle w:val="Bibliography"/>
        <w:rPr>
          <w:lang w:val="fr-FR"/>
        </w:rPr>
      </w:pPr>
      <w:r w:rsidRPr="00653BF4">
        <w:rPr>
          <w:lang w:val="fr-FR"/>
        </w:rPr>
        <w:t xml:space="preserve">Zhang, J. </w:t>
      </w:r>
      <w:r w:rsidRPr="00653BF4">
        <w:rPr>
          <w:i/>
          <w:lang w:val="fr-FR"/>
        </w:rPr>
        <w:t>et al.</w:t>
      </w:r>
      <w:r w:rsidRPr="00653BF4">
        <w:rPr>
          <w:lang w:val="fr-FR"/>
        </w:rPr>
        <w:t xml:space="preserve">, 2026. </w:t>
      </w:r>
      <w:r w:rsidRPr="00543148">
        <w:rPr>
          <w:lang w:val="en-US"/>
        </w:rPr>
        <w:t xml:space="preserve">Shipping and water diversion pathways expand the global area at risk from invasive freshwater bivalves. </w:t>
      </w:r>
      <w:r w:rsidRPr="00653BF4">
        <w:rPr>
          <w:lang w:val="fr-FR"/>
        </w:rPr>
        <w:t xml:space="preserve">Commun. Earth Environ. 7, 224. </w:t>
      </w:r>
      <w:hyperlink r:id="rId450" w:history="1">
        <w:r w:rsidRPr="00653BF4">
          <w:rPr>
            <w:rStyle w:val="Hyperlink"/>
            <w:lang w:val="fr-FR"/>
          </w:rPr>
          <w:t>https://doi.org/10.1038/s43247-026-03256-x</w:t>
        </w:r>
      </w:hyperlink>
    </w:p>
    <w:p w14:paraId="70029DED" w14:textId="6B2E2A39" w:rsidR="00F473DB" w:rsidRPr="00653BF4" w:rsidRDefault="00F473DB" w:rsidP="003802FD">
      <w:pPr>
        <w:pStyle w:val="Bibliography"/>
        <w:rPr>
          <w:lang w:val="fr-FR"/>
        </w:rPr>
      </w:pPr>
    </w:p>
    <w:sectPr w:rsidR="00F473DB" w:rsidRPr="00653BF4" w:rsidSect="005F6131">
      <w:headerReference w:type="default" r:id="rId451"/>
      <w:footerReference w:type="default" r:id="rId452"/>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2087A" w14:textId="77777777" w:rsidR="00B94182" w:rsidRDefault="00B94182" w:rsidP="00F473DB">
      <w:pPr>
        <w:spacing w:after="0" w:line="240" w:lineRule="auto"/>
      </w:pPr>
      <w:r>
        <w:separator/>
      </w:r>
    </w:p>
  </w:endnote>
  <w:endnote w:type="continuationSeparator" w:id="0">
    <w:p w14:paraId="25C38B10" w14:textId="77777777" w:rsidR="00B94182" w:rsidRDefault="00B94182" w:rsidP="00F47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ExtG">
    <w:panose1 w:val="02010609060101010101"/>
    <w:charset w:val="86"/>
    <w:family w:val="modern"/>
    <w:pitch w:val="fixed"/>
    <w:sig w:usb0="00000003" w:usb1="0A0E0000" w:usb2="00000010" w:usb3="00000000" w:csb0="00040001" w:csb1="00000000"/>
  </w:font>
  <w:font w:name="Aptos Narrow">
    <w:charset w:val="00"/>
    <w:family w:val="swiss"/>
    <w:pitch w:val="variable"/>
    <w:sig w:usb0="20000287" w:usb1="00000003" w:usb2="00000000" w:usb3="00000000" w:csb0="0000019F" w:csb1="00000000"/>
  </w:font>
  <w:font w:name="Microsoft YaHei UI">
    <w:panose1 w:val="020B0503020204020204"/>
    <w:charset w:val="86"/>
    <w:family w:val="swiss"/>
    <w:pitch w:val="variable"/>
    <w:sig w:usb0="80000287" w:usb1="2ACF3C50" w:usb2="00000016" w:usb3="00000000" w:csb0="0004001F" w:csb1="00000000"/>
  </w:font>
  <w:font w:name="Helvetica Neue">
    <w:altName w:val="Sylfaen"/>
    <w:charset w:val="00"/>
    <w:family w:val="auto"/>
    <w:pitch w:val="variable"/>
    <w:sig w:usb0="E50002FF" w:usb1="500079DB" w:usb2="00000010" w:usb3="00000000" w:csb0="00000001" w:csb1="00000000"/>
  </w:font>
  <w:font w:name="PingFang SC">
    <w:altName w:val="Microsoft YaHei"/>
    <w:panose1 w:val="00000000000000000000"/>
    <w:charset w:val="86"/>
    <w:family w:val="auto"/>
    <w:notTrueType/>
    <w:pitch w:val="default"/>
    <w:sig w:usb0="00000001" w:usb1="080E0000" w:usb2="00000010" w:usb3="00000000" w:csb0="00040000" w:csb1="00000000"/>
  </w:font>
  <w:font w:name="Helvetica">
    <w:panose1 w:val="020B0604020202020204"/>
    <w:charset w:val="CC"/>
    <w:family w:val="swiss"/>
    <w:pitch w:val="variable"/>
    <w:sig w:usb0="E0002EFF" w:usb1="C000785B" w:usb2="00000009" w:usb3="00000000" w:csb0="000001FF" w:csb1="00000000"/>
  </w:font>
  <w:font w:name="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121645F5" w14:textId="77777777" w:rsidR="00E91E17" w:rsidRDefault="00E91E17" w:rsidP="00E91E17">
        <w:pPr>
          <w:pStyle w:val="CBDFooter"/>
        </w:pPr>
        <w:r w:rsidRPr="001C3B15">
          <w:fldChar w:fldCharType="begin"/>
        </w:r>
        <w:r w:rsidRPr="001C3B15">
          <w:instrText xml:space="preserve"> PAGE </w:instrText>
        </w:r>
        <w:r w:rsidRPr="001C3B15">
          <w:fldChar w:fldCharType="separate"/>
        </w:r>
        <w:r>
          <w:t>2</w:t>
        </w:r>
        <w:r w:rsidRPr="001C3B15">
          <w:fldChar w:fldCharType="end"/>
        </w:r>
        <w:r w:rsidRPr="001C3B15">
          <w:t>/</w:t>
        </w:r>
        <w:fldSimple w:instr=" NUMPAGES  ">
          <w:r>
            <w:t>6</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B5B57" w14:textId="77777777" w:rsidR="007A60EC" w:rsidRPr="008E45B6" w:rsidRDefault="007A60EC" w:rsidP="00A741C6">
    <w:pPr>
      <w:pStyle w:val="Footer"/>
      <w:jc w:val="right"/>
      <w:rPr>
        <w:rFonts w:ascii="Times New Roman" w:hAnsi="Times New Roman" w:cs="Times New Roman"/>
        <w:sz w:val="20"/>
        <w:szCs w:val="20"/>
      </w:rPr>
    </w:pPr>
    <w:r w:rsidRPr="008E45B6">
      <w:rPr>
        <w:rFonts w:ascii="Times New Roman" w:hAnsi="Times New Roman" w:cs="Times New Roman"/>
        <w:sz w:val="20"/>
        <w:szCs w:val="20"/>
      </w:rPr>
      <w:fldChar w:fldCharType="begin"/>
    </w:r>
    <w:r w:rsidRPr="008E45B6">
      <w:rPr>
        <w:rFonts w:ascii="Times New Roman" w:hAnsi="Times New Roman" w:cs="Times New Roman"/>
        <w:sz w:val="20"/>
        <w:szCs w:val="20"/>
      </w:rPr>
      <w:instrText xml:space="preserve"> PAGE </w:instrText>
    </w:r>
    <w:r w:rsidRPr="008E45B6">
      <w:rPr>
        <w:rFonts w:ascii="Times New Roman" w:hAnsi="Times New Roman" w:cs="Times New Roman"/>
        <w:sz w:val="20"/>
        <w:szCs w:val="20"/>
      </w:rPr>
      <w:fldChar w:fldCharType="separate"/>
    </w:r>
    <w:r w:rsidRPr="008E45B6">
      <w:rPr>
        <w:rFonts w:ascii="Times New Roman" w:hAnsi="Times New Roman" w:cs="Times New Roman"/>
        <w:sz w:val="20"/>
        <w:szCs w:val="20"/>
      </w:rPr>
      <w:t>2</w:t>
    </w:r>
    <w:r w:rsidRPr="008E45B6">
      <w:rPr>
        <w:rFonts w:ascii="Times New Roman" w:hAnsi="Times New Roman" w:cs="Times New Roman"/>
        <w:sz w:val="20"/>
        <w:szCs w:val="20"/>
      </w:rPr>
      <w:fldChar w:fldCharType="end"/>
    </w:r>
    <w:r w:rsidRPr="008E45B6">
      <w:rPr>
        <w:rFonts w:ascii="Times New Roman" w:hAnsi="Times New Roman" w:cs="Times New Roman"/>
        <w:sz w:val="20"/>
        <w:szCs w:val="20"/>
      </w:rPr>
      <w:t>/</w:t>
    </w:r>
    <w:r w:rsidRPr="008E45B6">
      <w:rPr>
        <w:rFonts w:ascii="Times New Roman" w:hAnsi="Times New Roman" w:cs="Times New Roman"/>
        <w:sz w:val="20"/>
        <w:szCs w:val="20"/>
      </w:rPr>
      <w:fldChar w:fldCharType="begin"/>
    </w:r>
    <w:r w:rsidRPr="008E45B6">
      <w:rPr>
        <w:rFonts w:ascii="Times New Roman" w:hAnsi="Times New Roman" w:cs="Times New Roman"/>
        <w:sz w:val="20"/>
        <w:szCs w:val="20"/>
      </w:rPr>
      <w:instrText>NUMPAGES \* MERGEFORMAT</w:instrText>
    </w:r>
    <w:r w:rsidRPr="008E45B6">
      <w:rPr>
        <w:rFonts w:ascii="Times New Roman" w:hAnsi="Times New Roman" w:cs="Times New Roman"/>
        <w:sz w:val="20"/>
        <w:szCs w:val="20"/>
      </w:rPr>
      <w:fldChar w:fldCharType="separate"/>
    </w:r>
    <w:r w:rsidRPr="008E45B6">
      <w:rPr>
        <w:rFonts w:ascii="Times New Roman" w:hAnsi="Times New Roman" w:cs="Times New Roman"/>
        <w:sz w:val="20"/>
        <w:szCs w:val="20"/>
      </w:rPr>
      <w:t>325</w:t>
    </w:r>
    <w:r w:rsidRPr="008E45B6">
      <w:rPr>
        <w:rFonts w:ascii="Times New Roman" w:hAnsi="Times New Roman" w:cs="Times New Roman"/>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DCEE0" w14:textId="77777777" w:rsidR="00E241EB" w:rsidRPr="008E45B6" w:rsidRDefault="006D38A1" w:rsidP="008E45B6">
    <w:pPr>
      <w:pStyle w:val="Footer"/>
      <w:jc w:val="right"/>
      <w:rPr>
        <w:rFonts w:ascii="Times New Roman" w:hAnsi="Times New Roman" w:cs="Times New Roman"/>
        <w:sz w:val="20"/>
        <w:szCs w:val="20"/>
      </w:rPr>
    </w:pPr>
    <w:r w:rsidRPr="008E45B6">
      <w:rPr>
        <w:rFonts w:ascii="Times New Roman" w:hAnsi="Times New Roman" w:cs="Times New Roman"/>
        <w:sz w:val="20"/>
        <w:szCs w:val="20"/>
      </w:rPr>
      <w:fldChar w:fldCharType="begin"/>
    </w:r>
    <w:r w:rsidRPr="008E45B6">
      <w:rPr>
        <w:rFonts w:ascii="Times New Roman" w:hAnsi="Times New Roman" w:cs="Times New Roman"/>
        <w:sz w:val="20"/>
        <w:szCs w:val="20"/>
      </w:rPr>
      <w:instrText xml:space="preserve"> PAGE </w:instrText>
    </w:r>
    <w:r w:rsidRPr="008E45B6">
      <w:rPr>
        <w:rFonts w:ascii="Times New Roman" w:hAnsi="Times New Roman" w:cs="Times New Roman"/>
        <w:sz w:val="20"/>
        <w:szCs w:val="20"/>
      </w:rPr>
      <w:fldChar w:fldCharType="separate"/>
    </w:r>
    <w:r w:rsidRPr="008E45B6">
      <w:rPr>
        <w:rFonts w:ascii="Times New Roman" w:hAnsi="Times New Roman" w:cs="Times New Roman"/>
        <w:sz w:val="20"/>
        <w:szCs w:val="20"/>
      </w:rPr>
      <w:t>2</w:t>
    </w:r>
    <w:r w:rsidRPr="008E45B6">
      <w:rPr>
        <w:rFonts w:ascii="Times New Roman" w:hAnsi="Times New Roman" w:cs="Times New Roman"/>
        <w:sz w:val="20"/>
        <w:szCs w:val="20"/>
      </w:rPr>
      <w:fldChar w:fldCharType="end"/>
    </w:r>
    <w:r w:rsidRPr="008E45B6">
      <w:rPr>
        <w:rFonts w:ascii="Times New Roman" w:hAnsi="Times New Roman" w:cs="Times New Roman"/>
        <w:sz w:val="20"/>
        <w:szCs w:val="20"/>
      </w:rPr>
      <w:t>/</w:t>
    </w:r>
    <w:r w:rsidRPr="008E45B6">
      <w:rPr>
        <w:rFonts w:ascii="Times New Roman" w:hAnsi="Times New Roman" w:cs="Times New Roman"/>
        <w:sz w:val="20"/>
        <w:szCs w:val="20"/>
      </w:rPr>
      <w:fldChar w:fldCharType="begin"/>
    </w:r>
    <w:r w:rsidRPr="008E45B6">
      <w:rPr>
        <w:rFonts w:ascii="Times New Roman" w:hAnsi="Times New Roman" w:cs="Times New Roman"/>
        <w:sz w:val="20"/>
        <w:szCs w:val="20"/>
      </w:rPr>
      <w:instrText>NUMPAGES \* MERGEFORMAT</w:instrText>
    </w:r>
    <w:r w:rsidRPr="008E45B6">
      <w:rPr>
        <w:rFonts w:ascii="Times New Roman" w:hAnsi="Times New Roman" w:cs="Times New Roman"/>
        <w:sz w:val="20"/>
        <w:szCs w:val="20"/>
      </w:rPr>
      <w:fldChar w:fldCharType="separate"/>
    </w:r>
    <w:r w:rsidRPr="008E45B6">
      <w:rPr>
        <w:rFonts w:ascii="Times New Roman" w:hAnsi="Times New Roman" w:cs="Times New Roman"/>
        <w:sz w:val="20"/>
        <w:szCs w:val="20"/>
      </w:rPr>
      <w:t>325</w:t>
    </w:r>
    <w:r w:rsidRPr="008E45B6">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2CBBF" w14:textId="77777777" w:rsidR="00B94182" w:rsidRDefault="00B94182" w:rsidP="00F473DB">
      <w:pPr>
        <w:spacing w:after="0" w:line="240" w:lineRule="auto"/>
      </w:pPr>
      <w:r>
        <w:separator/>
      </w:r>
    </w:p>
  </w:footnote>
  <w:footnote w:type="continuationSeparator" w:id="0">
    <w:p w14:paraId="14300555" w14:textId="77777777" w:rsidR="00B94182" w:rsidRDefault="00B94182" w:rsidP="00F473DB">
      <w:pPr>
        <w:spacing w:after="0" w:line="240" w:lineRule="auto"/>
      </w:pPr>
      <w:r>
        <w:continuationSeparator/>
      </w:r>
    </w:p>
  </w:footnote>
  <w:footnote w:id="1">
    <w:p w14:paraId="0D5F7B7B" w14:textId="77777777" w:rsidR="00A7624F" w:rsidRPr="00665960" w:rsidRDefault="00A7624F" w:rsidP="00A7624F">
      <w:pPr>
        <w:pStyle w:val="FootnoteText"/>
        <w:rPr>
          <w:lang w:val="fr-CA"/>
        </w:rPr>
      </w:pPr>
      <w:r w:rsidRPr="00665960">
        <w:rPr>
          <w:rStyle w:val="FootnoteReference"/>
          <w:lang w:val="fr-CA"/>
        </w:rPr>
        <w:t>*</w:t>
      </w:r>
      <w:r w:rsidRPr="00665960">
        <w:rPr>
          <w:lang w:val="fr-CA"/>
        </w:rPr>
        <w:t xml:space="preserve"> </w:t>
      </w:r>
      <w:hyperlink r:id="rId1" w:history="1">
        <w:r w:rsidRPr="00665960">
          <w:rPr>
            <w:rStyle w:val="Hyperlink"/>
            <w:lang w:val="fr-CA"/>
          </w:rPr>
          <w:t>CBD/COP/17/1/Rev.1</w:t>
        </w:r>
      </w:hyperlink>
      <w:r w:rsidRPr="00665960">
        <w:rPr>
          <w:lang w:val="fr-CA"/>
        </w:rPr>
        <w:t>.</w:t>
      </w:r>
    </w:p>
  </w:footnote>
  <w:footnote w:id="2">
    <w:p w14:paraId="1AAC44FC" w14:textId="3A2FD5BD" w:rsidR="00B2624D" w:rsidRPr="00A777FC" w:rsidRDefault="00B2624D">
      <w:pPr>
        <w:pStyle w:val="FootnoteText"/>
        <w:rPr>
          <w:lang w:val="fr-FR"/>
        </w:rPr>
      </w:pPr>
      <w:r w:rsidRPr="00A777FC">
        <w:rPr>
          <w:rStyle w:val="FootnoteReference"/>
          <w:lang w:val="fr-FR"/>
        </w:rPr>
        <w:footnoteRef/>
      </w:r>
      <w:r w:rsidRPr="00A777FC">
        <w:rPr>
          <w:lang w:val="fr-FR"/>
        </w:rPr>
        <w:t xml:space="preserve"> Dans la suite du présent rapport, la Convention sur la diversité biologique est désignée par le terme </w:t>
      </w:r>
      <w:r w:rsidR="00E34DC9">
        <w:rPr>
          <w:lang w:val="fr-FR"/>
        </w:rPr>
        <w:t>« </w:t>
      </w:r>
      <w:r w:rsidRPr="00A777FC">
        <w:rPr>
          <w:lang w:val="fr-FR"/>
        </w:rPr>
        <w:t>la Convention</w:t>
      </w:r>
      <w:r w:rsidR="00E34DC9">
        <w:rPr>
          <w:lang w:val="fr-FR"/>
        </w:rPr>
        <w:t> »</w:t>
      </w:r>
      <w:r w:rsidRPr="00A777FC">
        <w:rPr>
          <w:lang w:val="fr-FR"/>
        </w:rPr>
        <w:t xml:space="preserve"> et le Cadre mondial de la biodiversité de Kunming-Montréal, par le terme </w:t>
      </w:r>
      <w:r w:rsidR="00E34DC9">
        <w:rPr>
          <w:lang w:val="fr-FR"/>
        </w:rPr>
        <w:t>« </w:t>
      </w:r>
      <w:r w:rsidRPr="00A777FC">
        <w:rPr>
          <w:lang w:val="fr-FR"/>
        </w:rPr>
        <w:t>le Cadre</w:t>
      </w:r>
      <w:r w:rsidR="00E34DC9">
        <w:rPr>
          <w:lang w:val="fr-FR"/>
        </w:rPr>
        <w:t> »</w:t>
      </w:r>
      <w:r w:rsidRPr="00A777FC">
        <w:rPr>
          <w:lang w:val="fr-FR"/>
        </w:rPr>
        <w:t>, sauf dans les cas où les noms complets sont utilisés afin d’éviter toute confusion avec d’autres conventions ou cadres.</w:t>
      </w:r>
    </w:p>
  </w:footnote>
  <w:footnote w:id="3">
    <w:p w14:paraId="48F51EFE" w14:textId="73AC1E07" w:rsidR="005D3F01" w:rsidRPr="00A777FC" w:rsidRDefault="005D3F01" w:rsidP="005D3F01">
      <w:pPr>
        <w:pStyle w:val="FootnoteText"/>
        <w:rPr>
          <w:lang w:val="fr-FR"/>
        </w:rPr>
      </w:pPr>
      <w:r w:rsidRPr="00A777FC">
        <w:rPr>
          <w:rStyle w:val="FootnoteReference"/>
          <w:lang w:val="fr-FR"/>
        </w:rPr>
        <w:footnoteRef/>
      </w:r>
      <w:r w:rsidRPr="00A777FC">
        <w:rPr>
          <w:lang w:val="fr-FR"/>
        </w:rPr>
        <w:t xml:space="preserve"> </w:t>
      </w:r>
      <w:r w:rsidR="007A1C80" w:rsidRPr="00A777FC">
        <w:rPr>
          <w:lang w:val="fr-FR"/>
        </w:rPr>
        <w:t>Les SPANB, les cibles nationales et les rapports nationaux ont été pris en compte dans l</w:t>
      </w:r>
      <w:r w:rsidR="002A58C8" w:rsidRPr="00A777FC">
        <w:rPr>
          <w:lang w:val="fr-FR"/>
        </w:rPr>
        <w:t>’</w:t>
      </w:r>
      <w:r w:rsidR="007A1C80" w:rsidRPr="00A777FC">
        <w:rPr>
          <w:lang w:val="fr-FR"/>
        </w:rPr>
        <w:t>analyse du rapport mondial à condition d</w:t>
      </w:r>
      <w:r w:rsidR="002A58C8" w:rsidRPr="00A777FC">
        <w:rPr>
          <w:lang w:val="fr-FR"/>
        </w:rPr>
        <w:t>’</w:t>
      </w:r>
      <w:r w:rsidR="007A1C80" w:rsidRPr="00A777FC">
        <w:rPr>
          <w:lang w:val="fr-FR"/>
        </w:rPr>
        <w:t>avoir été présentés avant le 7 mars 2026, soit une semaine après la date limite du 28 février 2026 fixée pour la présentation des septièmes rapports nationaux</w:t>
      </w:r>
      <w:r w:rsidR="006F7740" w:rsidRPr="00A777FC">
        <w:rPr>
          <w:lang w:val="fr-FR"/>
        </w:rPr>
        <w:t>.</w:t>
      </w:r>
    </w:p>
    <w:p w14:paraId="7EB2CD7D" w14:textId="77777777" w:rsidR="005D3F01" w:rsidRPr="00A777FC" w:rsidRDefault="005D3F01" w:rsidP="005D3F01">
      <w:pPr>
        <w:pStyle w:val="FootnoteText"/>
        <w:rPr>
          <w:lang w:val="fr-FR"/>
        </w:rPr>
      </w:pPr>
    </w:p>
  </w:footnote>
  <w:footnote w:id="4">
    <w:p w14:paraId="1C2BBA10" w14:textId="7CF9F5A2" w:rsidR="002C3C96" w:rsidRPr="00A777FC" w:rsidRDefault="002C3C96" w:rsidP="002C3C96">
      <w:pPr>
        <w:pStyle w:val="FootnoteText"/>
        <w:rPr>
          <w:lang w:val="fr-FR"/>
        </w:rPr>
      </w:pPr>
      <w:r w:rsidRPr="00A777FC">
        <w:rPr>
          <w:rStyle w:val="FootnoteReference"/>
          <w:lang w:val="fr-FR"/>
        </w:rPr>
        <w:footnoteRef/>
      </w:r>
      <w:r w:rsidR="00AA3C6E" w:rsidRPr="00A777FC">
        <w:rPr>
          <w:lang w:val="fr-FR"/>
        </w:rPr>
        <w:t xml:space="preserve"> </w:t>
      </w:r>
      <w:r w:rsidR="009C1E6B" w:rsidRPr="00A777FC">
        <w:rPr>
          <w:lang w:val="fr-FR"/>
        </w:rPr>
        <w:t>Voir</w:t>
      </w:r>
      <w:r w:rsidR="002F60F5" w:rsidRPr="00A777FC">
        <w:rPr>
          <w:lang w:val="fr-FR"/>
        </w:rPr>
        <w:t xml:space="preserve"> </w:t>
      </w:r>
      <w:hyperlink r:id="rId2" w:history="1">
        <w:r w:rsidR="007E0ACF" w:rsidRPr="00A777FC">
          <w:rPr>
            <w:rStyle w:val="Hyperlink"/>
            <w:lang w:val="fr-FR"/>
          </w:rPr>
          <w:t>www.cbd.int/notifications/2025-099</w:t>
        </w:r>
      </w:hyperlink>
      <w:r w:rsidR="0040291D" w:rsidRPr="00A777FC">
        <w:rPr>
          <w:lang w:val="fr-FR"/>
        </w:rPr>
        <w:t>.</w:t>
      </w:r>
      <w:r w:rsidRPr="00A777FC">
        <w:rPr>
          <w:lang w:val="fr-FR"/>
        </w:rPr>
        <w:t xml:space="preserve"> </w:t>
      </w:r>
    </w:p>
  </w:footnote>
  <w:footnote w:id="5">
    <w:p w14:paraId="0701A7FF" w14:textId="6389FA35" w:rsidR="007D1195" w:rsidRPr="00A777FC" w:rsidRDefault="007D1195" w:rsidP="007D1195">
      <w:pPr>
        <w:pStyle w:val="FootnoteText"/>
        <w:rPr>
          <w:lang w:val="fr-FR"/>
        </w:rPr>
      </w:pPr>
      <w:r w:rsidRPr="00A777FC">
        <w:rPr>
          <w:rStyle w:val="FootnoteReference"/>
          <w:lang w:val="fr-FR"/>
        </w:rPr>
        <w:footnoteRef/>
      </w:r>
      <w:r w:rsidRPr="00A777FC">
        <w:rPr>
          <w:lang w:val="fr-FR"/>
        </w:rPr>
        <w:t xml:space="preserve"> </w:t>
      </w:r>
      <w:r w:rsidR="00FF7B76" w:rsidRPr="00A777FC">
        <w:rPr>
          <w:lang w:val="fr-FR"/>
        </w:rPr>
        <w:t>Voir</w:t>
      </w:r>
      <w:r w:rsidRPr="00A777FC">
        <w:rPr>
          <w:lang w:val="fr-FR"/>
        </w:rPr>
        <w:t xml:space="preserve"> </w:t>
      </w:r>
      <w:hyperlink r:id="rId3" w:history="1">
        <w:r w:rsidR="00E35C66" w:rsidRPr="00A777FC">
          <w:rPr>
            <w:rStyle w:val="Hyperlink"/>
            <w:lang w:val="fr-FR"/>
          </w:rPr>
          <w:t>https://ort.cbd.int/fr/stakeholders/commitments</w:t>
        </w:r>
      </w:hyperlink>
      <w:r w:rsidRPr="00A777FC">
        <w:rPr>
          <w:lang w:val="fr-FR"/>
        </w:rPr>
        <w:t xml:space="preserve">. </w:t>
      </w:r>
    </w:p>
  </w:footnote>
  <w:footnote w:id="6">
    <w:p w14:paraId="201C12FD" w14:textId="3A39B58D" w:rsidR="00E71AE1" w:rsidRPr="00A777FC" w:rsidRDefault="00E71AE1" w:rsidP="00E71AE1">
      <w:pPr>
        <w:pStyle w:val="FootnoteText"/>
        <w:rPr>
          <w:lang w:val="fr-FR"/>
        </w:rPr>
      </w:pPr>
      <w:r w:rsidRPr="00A777FC">
        <w:rPr>
          <w:rStyle w:val="FootnoteReference"/>
          <w:lang w:val="fr-FR"/>
        </w:rPr>
        <w:footnoteRef/>
      </w:r>
      <w:r w:rsidRPr="00A777FC">
        <w:rPr>
          <w:lang w:val="fr-FR"/>
        </w:rPr>
        <w:t xml:space="preserve"> </w:t>
      </w:r>
      <w:r w:rsidR="0024515A" w:rsidRPr="00A777FC">
        <w:rPr>
          <w:lang w:val="fr-FR"/>
        </w:rPr>
        <w:t>Voir</w:t>
      </w:r>
      <w:r w:rsidR="00AD7EED" w:rsidRPr="00A777FC">
        <w:rPr>
          <w:lang w:val="fr-FR"/>
        </w:rPr>
        <w:t xml:space="preserve"> </w:t>
      </w:r>
      <w:hyperlink r:id="rId4" w:history="1">
        <w:r w:rsidR="00291BCE" w:rsidRPr="00A777FC">
          <w:rPr>
            <w:rStyle w:val="Hyperlink"/>
            <w:lang w:val="fr-FR"/>
          </w:rPr>
          <w:t>https://ort.cbd.int/fr</w:t>
        </w:r>
      </w:hyperlink>
      <w:r w:rsidR="00AD7EED" w:rsidRPr="00A777FC">
        <w:rPr>
          <w:lang w:val="fr-FR"/>
        </w:rPr>
        <w:t>.</w:t>
      </w:r>
      <w:r w:rsidRPr="00A777FC">
        <w:rPr>
          <w:lang w:val="fr-FR"/>
        </w:rPr>
        <w:t xml:space="preserve"> </w:t>
      </w:r>
    </w:p>
  </w:footnote>
  <w:footnote w:id="7">
    <w:p w14:paraId="70114235" w14:textId="6D15CF77" w:rsidR="007579DB" w:rsidRPr="00A777FC" w:rsidRDefault="007579DB">
      <w:pPr>
        <w:pStyle w:val="FootnoteText"/>
        <w:rPr>
          <w:lang w:val="fr-FR"/>
        </w:rPr>
      </w:pPr>
      <w:r w:rsidRPr="00A777FC">
        <w:rPr>
          <w:rStyle w:val="FootnoteReference"/>
          <w:lang w:val="fr-FR"/>
        </w:rPr>
        <w:footnoteRef/>
      </w:r>
      <w:r w:rsidR="006B0211" w:rsidRPr="00A777FC">
        <w:rPr>
          <w:lang w:val="fr-FR"/>
        </w:rPr>
        <w:t xml:space="preserve"> </w:t>
      </w:r>
      <w:r w:rsidR="0031365B" w:rsidRPr="00A777FC">
        <w:rPr>
          <w:lang w:val="fr-FR"/>
        </w:rPr>
        <w:t>Les SPANB, les cibles nationales et les rapports nationaux ont été pris en compte dans l</w:t>
      </w:r>
      <w:r w:rsidR="002A58C8" w:rsidRPr="00A777FC">
        <w:rPr>
          <w:lang w:val="fr-FR"/>
        </w:rPr>
        <w:t>’</w:t>
      </w:r>
      <w:r w:rsidR="0031365B" w:rsidRPr="00A777FC">
        <w:rPr>
          <w:lang w:val="fr-FR"/>
        </w:rPr>
        <w:t>analyse du rapport mondial à condition d</w:t>
      </w:r>
      <w:r w:rsidR="002A58C8" w:rsidRPr="00A777FC">
        <w:rPr>
          <w:lang w:val="fr-FR"/>
        </w:rPr>
        <w:t>’</w:t>
      </w:r>
      <w:r w:rsidR="0031365B" w:rsidRPr="00A777FC">
        <w:rPr>
          <w:lang w:val="fr-FR"/>
        </w:rPr>
        <w:t>avoir été présentés avant le 7</w:t>
      </w:r>
      <w:r w:rsidR="00BF473E" w:rsidRPr="00A777FC">
        <w:rPr>
          <w:lang w:val="fr-FR"/>
        </w:rPr>
        <w:t> </w:t>
      </w:r>
      <w:r w:rsidR="0031365B" w:rsidRPr="00A777FC">
        <w:rPr>
          <w:lang w:val="fr-FR"/>
        </w:rPr>
        <w:t>mars 2026, soit une semaine après la date limite du 28</w:t>
      </w:r>
      <w:r w:rsidR="00D81BA0" w:rsidRPr="00A777FC">
        <w:rPr>
          <w:lang w:val="fr-FR"/>
        </w:rPr>
        <w:t> </w:t>
      </w:r>
      <w:r w:rsidR="0031365B" w:rsidRPr="00A777FC">
        <w:rPr>
          <w:lang w:val="fr-FR"/>
        </w:rPr>
        <w:t>février 2026 fixée pour la présentation des septièmes rapports nationaux (décision</w:t>
      </w:r>
      <w:r w:rsidR="00A8492C" w:rsidRPr="00A777FC">
        <w:rPr>
          <w:lang w:val="fr-FR"/>
        </w:rPr>
        <w:t> </w:t>
      </w:r>
      <w:r w:rsidR="0031365B" w:rsidRPr="00A777FC">
        <w:rPr>
          <w:lang w:val="fr-FR"/>
        </w:rPr>
        <w:t>15/6 de la C</w:t>
      </w:r>
      <w:r w:rsidR="00291BCE" w:rsidRPr="00A777FC">
        <w:rPr>
          <w:lang w:val="fr-FR"/>
        </w:rPr>
        <w:t>DB</w:t>
      </w:r>
      <w:r w:rsidR="0031365B" w:rsidRPr="00A777FC">
        <w:rPr>
          <w:lang w:val="fr-FR"/>
        </w:rPr>
        <w:t>, 2023</w:t>
      </w:r>
      <w:r w:rsidR="001C79EC" w:rsidRPr="00A777FC">
        <w:rPr>
          <w:color w:val="000000" w:themeColor="text1"/>
          <w:lang w:val="fr-FR"/>
        </w:rPr>
        <w:t>).</w:t>
      </w:r>
    </w:p>
  </w:footnote>
  <w:footnote w:id="8">
    <w:p w14:paraId="0A5D675A" w14:textId="35C4D55F" w:rsidR="006C3026" w:rsidRPr="00A777FC" w:rsidRDefault="006C3026" w:rsidP="006C3026">
      <w:pPr>
        <w:pStyle w:val="FootnoteText"/>
        <w:rPr>
          <w:lang w:val="fr-FR"/>
        </w:rPr>
      </w:pPr>
      <w:r w:rsidRPr="00A777FC">
        <w:rPr>
          <w:rStyle w:val="FootnoteReference"/>
          <w:lang w:val="fr-FR"/>
        </w:rPr>
        <w:footnoteRef/>
      </w:r>
      <w:r w:rsidRPr="00A777FC">
        <w:rPr>
          <w:lang w:val="fr-FR"/>
        </w:rPr>
        <w:t xml:space="preserve"> </w:t>
      </w:r>
      <w:r w:rsidR="0031365B" w:rsidRPr="00A777FC">
        <w:rPr>
          <w:lang w:val="fr-FR"/>
        </w:rPr>
        <w:t>Aux fins des comparaisons régionales, le présent rapport utilise les groupes régionaux des États membres des Nations Unies (</w:t>
      </w:r>
      <w:hyperlink r:id="rId5" w:history="1">
        <w:r w:rsidR="00262B27" w:rsidRPr="00A777FC">
          <w:rPr>
            <w:rStyle w:val="Hyperlink"/>
            <w:lang w:val="fr-FR"/>
          </w:rPr>
          <w:t>https://www.un.org/dgacm/fr/content/regional-groups</w:t>
        </w:r>
      </w:hyperlink>
      <w:r w:rsidR="00262B27" w:rsidRPr="00A777FC">
        <w:rPr>
          <w:lang w:val="fr-FR"/>
        </w:rPr>
        <w:t>)</w:t>
      </w:r>
    </w:p>
  </w:footnote>
  <w:footnote w:id="9">
    <w:p w14:paraId="6C13DC29" w14:textId="3DB8AD66" w:rsidR="005F128B" w:rsidRPr="00A777FC" w:rsidRDefault="005F128B" w:rsidP="005F128B">
      <w:pPr>
        <w:pStyle w:val="FootnoteText"/>
        <w:rPr>
          <w:lang w:val="fr-FR"/>
        </w:rPr>
      </w:pPr>
      <w:r w:rsidRPr="00A777FC">
        <w:rPr>
          <w:rStyle w:val="FootnoteReference"/>
          <w:lang w:val="fr-FR"/>
        </w:rPr>
        <w:footnoteRef/>
      </w:r>
      <w:r w:rsidR="007A730E" w:rsidRPr="00A777FC">
        <w:rPr>
          <w:lang w:val="fr-FR"/>
        </w:rPr>
        <w:t xml:space="preserve"> </w:t>
      </w:r>
      <w:r w:rsidR="005D65B4" w:rsidRPr="00A777FC">
        <w:rPr>
          <w:lang w:val="fr-FR"/>
        </w:rPr>
        <w:t>Voir</w:t>
      </w:r>
      <w:r w:rsidR="00D76740" w:rsidRPr="00A777FC">
        <w:rPr>
          <w:lang w:val="fr-FR"/>
        </w:rPr>
        <w:t xml:space="preserve"> </w:t>
      </w:r>
      <w:hyperlink r:id="rId6" w:history="1">
        <w:r w:rsidR="002043B2" w:rsidRPr="00A777FC">
          <w:rPr>
            <w:rStyle w:val="Hyperlink"/>
            <w:lang w:val="fr-FR"/>
          </w:rPr>
          <w:t>https://nbsapaccelerator.org/</w:t>
        </w:r>
      </w:hyperlink>
      <w:r w:rsidR="00D76740" w:rsidRPr="00A777FC">
        <w:rPr>
          <w:lang w:val="fr-FR"/>
        </w:rPr>
        <w:t>.</w:t>
      </w:r>
    </w:p>
  </w:footnote>
  <w:footnote w:id="10">
    <w:p w14:paraId="4A384ED4" w14:textId="2B83B5CC" w:rsidR="00FA3E4F" w:rsidRPr="00A777FC" w:rsidRDefault="00FA3E4F" w:rsidP="00144EB2">
      <w:pPr>
        <w:pStyle w:val="FootnoteText"/>
        <w:rPr>
          <w:u w:val="single"/>
          <w:lang w:val="fr-FR"/>
        </w:rPr>
      </w:pPr>
      <w:r w:rsidRPr="00A777FC">
        <w:rPr>
          <w:rStyle w:val="FootnoteReference"/>
          <w:lang w:val="fr-FR"/>
        </w:rPr>
        <w:footnoteRef/>
      </w:r>
      <w:r w:rsidRPr="00A777FC">
        <w:rPr>
          <w:lang w:val="fr-FR"/>
        </w:rPr>
        <w:t xml:space="preserve"> </w:t>
      </w:r>
      <w:r w:rsidR="00144EB2" w:rsidRPr="00A777FC">
        <w:rPr>
          <w:lang w:val="fr-FR"/>
        </w:rPr>
        <w:t xml:space="preserve">Une analyse plus détaillée des SPANB est disponible dans le document </w:t>
      </w:r>
      <w:hyperlink r:id="rId7" w:history="1">
        <w:r w:rsidR="00C465A3" w:rsidRPr="00A777FC">
          <w:rPr>
            <w:rStyle w:val="Hyperlink"/>
            <w:lang w:val="fr-FR"/>
          </w:rPr>
          <w:t>CBD/SBI/7/INF/22</w:t>
        </w:r>
      </w:hyperlink>
      <w:r w:rsidR="00736C2F" w:rsidRPr="00A777FC">
        <w:rPr>
          <w:lang w:val="fr-FR"/>
        </w:rPr>
        <w:t>.</w:t>
      </w:r>
    </w:p>
  </w:footnote>
  <w:footnote w:id="11">
    <w:p w14:paraId="147927F7" w14:textId="4A63CCEC" w:rsidR="003C7A9D" w:rsidRPr="00A777FC" w:rsidRDefault="003C7A9D">
      <w:pPr>
        <w:pStyle w:val="FootnoteText"/>
        <w:rPr>
          <w:lang w:val="fr-FR"/>
        </w:rPr>
      </w:pPr>
      <w:r w:rsidRPr="00A777FC">
        <w:rPr>
          <w:rStyle w:val="FootnoteReference"/>
          <w:lang w:val="fr-FR"/>
        </w:rPr>
        <w:footnoteRef/>
      </w:r>
      <w:r w:rsidRPr="00A777FC">
        <w:rPr>
          <w:lang w:val="fr-FR"/>
        </w:rPr>
        <w:t xml:space="preserve"> </w:t>
      </w:r>
      <w:r w:rsidR="007D49B7" w:rsidRPr="00A777FC">
        <w:rPr>
          <w:lang w:val="fr-FR"/>
        </w:rPr>
        <w:t>Disponible à l</w:t>
      </w:r>
      <w:r w:rsidR="002A58C8" w:rsidRPr="00A777FC">
        <w:rPr>
          <w:lang w:val="fr-FR"/>
        </w:rPr>
        <w:t>’</w:t>
      </w:r>
      <w:r w:rsidR="007D49B7" w:rsidRPr="00A777FC">
        <w:rPr>
          <w:lang w:val="fr-FR"/>
        </w:rPr>
        <w:t>adresse</w:t>
      </w:r>
      <w:r w:rsidR="00E34DC9">
        <w:rPr>
          <w:lang w:val="fr-FR"/>
        </w:rPr>
        <w:t> :</w:t>
      </w:r>
      <w:r w:rsidR="00F05414" w:rsidRPr="00A777FC">
        <w:rPr>
          <w:lang w:val="fr-FR"/>
        </w:rPr>
        <w:t xml:space="preserve"> </w:t>
      </w:r>
      <w:hyperlink r:id="rId8" w:history="1">
        <w:r w:rsidR="003756B7" w:rsidRPr="00A777FC">
          <w:rPr>
            <w:rStyle w:val="Hyperlink"/>
            <w:lang w:val="fr-FR"/>
          </w:rPr>
          <w:t>www.cbd.int/notifications/2025-099</w:t>
        </w:r>
      </w:hyperlink>
      <w:r w:rsidR="0098619A" w:rsidRPr="00A777FC">
        <w:rPr>
          <w:lang w:val="fr-FR"/>
        </w:rPr>
        <w:t>.</w:t>
      </w:r>
      <w:r w:rsidR="007731CF" w:rsidRPr="00A777FC">
        <w:rPr>
          <w:lang w:val="fr-FR"/>
        </w:rPr>
        <w:t xml:space="preserve"> </w:t>
      </w:r>
    </w:p>
  </w:footnote>
  <w:footnote w:id="12">
    <w:p w14:paraId="07A3102F" w14:textId="0D8A9FB0" w:rsidR="00B64022" w:rsidRPr="00A777FC" w:rsidRDefault="00B64022">
      <w:pPr>
        <w:pStyle w:val="FootnoteText"/>
        <w:rPr>
          <w:lang w:val="fr-FR"/>
        </w:rPr>
      </w:pPr>
      <w:r w:rsidRPr="00A777FC">
        <w:rPr>
          <w:rStyle w:val="FootnoteReference"/>
          <w:lang w:val="fr-FR"/>
        </w:rPr>
        <w:footnoteRef/>
      </w:r>
      <w:r w:rsidRPr="00A777FC">
        <w:rPr>
          <w:lang w:val="fr-FR"/>
        </w:rPr>
        <w:t xml:space="preserve"> </w:t>
      </w:r>
      <w:r w:rsidR="00DC10B4" w:rsidRPr="00A777FC">
        <w:rPr>
          <w:lang w:val="fr-FR"/>
        </w:rPr>
        <w:t>Voir</w:t>
      </w:r>
      <w:r w:rsidR="00A673A0" w:rsidRPr="00A777FC">
        <w:rPr>
          <w:lang w:val="fr-FR"/>
        </w:rPr>
        <w:t xml:space="preserve"> </w:t>
      </w:r>
      <w:hyperlink r:id="rId9" w:history="1">
        <w:r w:rsidR="002043B2" w:rsidRPr="00A777FC">
          <w:rPr>
            <w:rStyle w:val="Hyperlink"/>
            <w:lang w:val="fr-FR"/>
          </w:rPr>
          <w:t>https://unbiodiversitylab.org/fr/integrated-spatial-planning/mapping-essential-life-support-areas-elsas/</w:t>
        </w:r>
      </w:hyperlink>
      <w:r w:rsidR="00A673A0" w:rsidRPr="00A777FC">
        <w:rPr>
          <w:lang w:val="fr-FR"/>
        </w:rPr>
        <w:t>.</w:t>
      </w:r>
    </w:p>
  </w:footnote>
  <w:footnote w:id="13">
    <w:p w14:paraId="26EB0113" w14:textId="70F57B79" w:rsidR="006C5D9A" w:rsidRPr="00A777FC" w:rsidRDefault="006C5D9A">
      <w:pPr>
        <w:pStyle w:val="FootnoteText"/>
        <w:rPr>
          <w:lang w:val="fr-FR"/>
        </w:rPr>
      </w:pPr>
      <w:r w:rsidRPr="00A777FC">
        <w:rPr>
          <w:rStyle w:val="FootnoteReference"/>
          <w:lang w:val="fr-FR"/>
        </w:rPr>
        <w:footnoteRef/>
      </w:r>
      <w:r w:rsidR="00A673A0" w:rsidRPr="00A777FC">
        <w:rPr>
          <w:lang w:val="fr-FR"/>
        </w:rPr>
        <w:t xml:space="preserve"> </w:t>
      </w:r>
      <w:r w:rsidR="00DC10B4" w:rsidRPr="00A777FC">
        <w:rPr>
          <w:lang w:val="fr-FR"/>
        </w:rPr>
        <w:t>Disponible à l</w:t>
      </w:r>
      <w:r w:rsidR="002A58C8" w:rsidRPr="00A777FC">
        <w:rPr>
          <w:lang w:val="fr-FR"/>
        </w:rPr>
        <w:t>’</w:t>
      </w:r>
      <w:r w:rsidR="00DC10B4" w:rsidRPr="00A777FC">
        <w:rPr>
          <w:lang w:val="fr-FR"/>
        </w:rPr>
        <w:t>adresse</w:t>
      </w:r>
      <w:r w:rsidR="00E34DC9">
        <w:rPr>
          <w:lang w:val="fr-FR"/>
        </w:rPr>
        <w:t> :</w:t>
      </w:r>
      <w:r w:rsidRPr="00A777FC">
        <w:rPr>
          <w:lang w:val="fr-FR"/>
        </w:rPr>
        <w:t xml:space="preserve"> </w:t>
      </w:r>
      <w:hyperlink r:id="rId10" w:history="1">
        <w:r w:rsidR="00596C92" w:rsidRPr="00A777FC">
          <w:rPr>
            <w:rStyle w:val="Hyperlink"/>
            <w:lang w:val="fr-FR"/>
          </w:rPr>
          <w:t>https://www.mspglobal2030.org/fr/msp-global/</w:t>
        </w:r>
      </w:hyperlink>
      <w:r w:rsidR="00B7067C" w:rsidRPr="00A777FC">
        <w:rPr>
          <w:lang w:val="fr-FR"/>
        </w:rPr>
        <w:t>.</w:t>
      </w:r>
    </w:p>
  </w:footnote>
  <w:footnote w:id="14">
    <w:p w14:paraId="7B08F3F0" w14:textId="1514F205" w:rsidR="00AF4F3B" w:rsidRPr="00A777FC" w:rsidRDefault="00AF4F3B">
      <w:pPr>
        <w:pStyle w:val="FootnoteText"/>
        <w:rPr>
          <w:lang w:val="fr-FR"/>
        </w:rPr>
      </w:pPr>
      <w:r w:rsidRPr="00A777FC">
        <w:rPr>
          <w:rStyle w:val="FootnoteReference"/>
          <w:lang w:val="fr-FR"/>
        </w:rPr>
        <w:footnoteRef/>
      </w:r>
      <w:r w:rsidRPr="00A777FC">
        <w:rPr>
          <w:lang w:val="fr-FR"/>
        </w:rPr>
        <w:t xml:space="preserve"> </w:t>
      </w:r>
      <w:r w:rsidR="00432146" w:rsidRPr="00A777FC">
        <w:rPr>
          <w:lang w:val="fr-FR"/>
        </w:rPr>
        <w:t>Voir</w:t>
      </w:r>
      <w:r w:rsidR="00E2217B" w:rsidRPr="00A777FC">
        <w:rPr>
          <w:lang w:val="fr-FR"/>
        </w:rPr>
        <w:t xml:space="preserve"> </w:t>
      </w:r>
      <w:hyperlink r:id="rId11" w:history="1">
        <w:r w:rsidR="00B51ADA" w:rsidRPr="00A777FC">
          <w:rPr>
            <w:rStyle w:val="Hyperlink"/>
            <w:lang w:val="fr-FR"/>
          </w:rPr>
          <w:t>https://ferm.fao.org/fr</w:t>
        </w:r>
      </w:hyperlink>
      <w:r w:rsidR="00E2217B" w:rsidRPr="00A777FC">
        <w:rPr>
          <w:lang w:val="fr-FR"/>
        </w:rPr>
        <w:t>.</w:t>
      </w:r>
      <w:r w:rsidRPr="00A777FC">
        <w:rPr>
          <w:lang w:val="fr-FR"/>
        </w:rPr>
        <w:t xml:space="preserve"> </w:t>
      </w:r>
    </w:p>
  </w:footnote>
  <w:footnote w:id="15">
    <w:p w14:paraId="01BB296F" w14:textId="2CDD27D1" w:rsidR="00227F93" w:rsidRPr="00A777FC" w:rsidRDefault="00227F93">
      <w:pPr>
        <w:pStyle w:val="FootnoteText"/>
        <w:rPr>
          <w:lang w:val="fr-FR"/>
        </w:rPr>
      </w:pPr>
      <w:r w:rsidRPr="00A777FC">
        <w:rPr>
          <w:rStyle w:val="FootnoteReference"/>
          <w:lang w:val="fr-FR"/>
        </w:rPr>
        <w:footnoteRef/>
      </w:r>
      <w:r w:rsidRPr="00A777FC">
        <w:rPr>
          <w:lang w:val="fr-FR"/>
        </w:rPr>
        <w:t xml:space="preserve"> </w:t>
      </w:r>
      <w:r w:rsidR="00514775" w:rsidRPr="00A777FC">
        <w:rPr>
          <w:lang w:val="fr-FR"/>
        </w:rPr>
        <w:t>Voir</w:t>
      </w:r>
      <w:r w:rsidR="00285F82" w:rsidRPr="00A777FC">
        <w:rPr>
          <w:lang w:val="fr-FR"/>
        </w:rPr>
        <w:t xml:space="preserve"> </w:t>
      </w:r>
      <w:hyperlink r:id="rId12" w:history="1">
        <w:r w:rsidR="00EB1843" w:rsidRPr="00A777FC">
          <w:rPr>
            <w:rStyle w:val="Hyperlink"/>
            <w:lang w:val="fr-FR"/>
          </w:rPr>
          <w:t>https://www.decadeonrestoration.org/fr</w:t>
        </w:r>
      </w:hyperlink>
      <w:r w:rsidR="00285F82" w:rsidRPr="00A777FC">
        <w:rPr>
          <w:lang w:val="fr-FR"/>
        </w:rPr>
        <w:t>.</w:t>
      </w:r>
    </w:p>
  </w:footnote>
  <w:footnote w:id="16">
    <w:p w14:paraId="3BFFE679" w14:textId="0FFAB36D" w:rsidR="00F849D0" w:rsidRPr="00A777FC" w:rsidRDefault="00F849D0" w:rsidP="00F849D0">
      <w:pPr>
        <w:pStyle w:val="FootnoteText"/>
        <w:rPr>
          <w:lang w:val="fr-FR"/>
        </w:rPr>
      </w:pPr>
      <w:r w:rsidRPr="00A777FC">
        <w:rPr>
          <w:rStyle w:val="FootnoteReference"/>
          <w:lang w:val="fr-FR"/>
        </w:rPr>
        <w:footnoteRef/>
      </w:r>
      <w:r w:rsidRPr="00A777FC">
        <w:rPr>
          <w:lang w:val="fr-FR"/>
        </w:rPr>
        <w:t xml:space="preserve"> </w:t>
      </w:r>
      <w:r w:rsidR="00514775" w:rsidRPr="00A777FC">
        <w:rPr>
          <w:lang w:val="fr-FR"/>
        </w:rPr>
        <w:t>Voir</w:t>
      </w:r>
      <w:r w:rsidRPr="00A777FC">
        <w:rPr>
          <w:lang w:val="fr-FR"/>
        </w:rPr>
        <w:t xml:space="preserve"> </w:t>
      </w:r>
      <w:hyperlink r:id="rId13" w:history="1">
        <w:r w:rsidR="00EB1843" w:rsidRPr="00A777FC">
          <w:rPr>
            <w:rStyle w:val="Hyperlink"/>
            <w:lang w:val="fr-FR"/>
          </w:rPr>
          <w:t>https://ferm.fao.org/fr</w:t>
        </w:r>
      </w:hyperlink>
      <w:r w:rsidRPr="00A777FC">
        <w:rPr>
          <w:lang w:val="fr-FR"/>
        </w:rPr>
        <w:t>.</w:t>
      </w:r>
    </w:p>
  </w:footnote>
  <w:footnote w:id="17">
    <w:p w14:paraId="4858D6A3" w14:textId="06B5A7ED" w:rsidR="00024039" w:rsidRPr="00A777FC" w:rsidRDefault="00024039" w:rsidP="00C838D2">
      <w:pPr>
        <w:pStyle w:val="FootnoteText"/>
        <w:rPr>
          <w:lang w:val="fr-FR"/>
        </w:rPr>
      </w:pPr>
      <w:r w:rsidRPr="00A777FC">
        <w:rPr>
          <w:rStyle w:val="FootnoteReference"/>
          <w:lang w:val="fr-FR"/>
        </w:rPr>
        <w:footnoteRef/>
      </w:r>
      <w:r w:rsidRPr="00A777FC">
        <w:rPr>
          <w:lang w:val="fr-FR"/>
        </w:rPr>
        <w:t xml:space="preserve"> </w:t>
      </w:r>
      <w:r w:rsidR="003806E6" w:rsidRPr="00A777FC">
        <w:rPr>
          <w:lang w:val="fr-FR"/>
        </w:rPr>
        <w:t>Les différences entre les données figurant dans les rapports nationaux et celles du WDPCA s</w:t>
      </w:r>
      <w:r w:rsidR="002A58C8" w:rsidRPr="00A777FC">
        <w:rPr>
          <w:lang w:val="fr-FR"/>
        </w:rPr>
        <w:t>’</w:t>
      </w:r>
      <w:r w:rsidR="003806E6" w:rsidRPr="00A777FC">
        <w:rPr>
          <w:lang w:val="fr-FR"/>
        </w:rPr>
        <w:t>expliquent probablement par des divergences méthodologiques. Par exemple, l</w:t>
      </w:r>
      <w:r w:rsidR="002A58C8" w:rsidRPr="00A777FC">
        <w:rPr>
          <w:lang w:val="fr-FR"/>
        </w:rPr>
        <w:t>’</w:t>
      </w:r>
      <w:r w:rsidR="003806E6" w:rsidRPr="00A777FC">
        <w:rPr>
          <w:lang w:val="fr-FR"/>
        </w:rPr>
        <w:t>agrégation des données nationales communiquées au titre de la Convention dépend de la fourniture ou non, dans leurs rapports nationaux, de données relatives aux indicateurs par quelques grands pays dotés de vastes réseaux de zones protégées, et toutes les Parties n</w:t>
      </w:r>
      <w:r w:rsidR="002A58C8" w:rsidRPr="00A777FC">
        <w:rPr>
          <w:lang w:val="fr-FR"/>
        </w:rPr>
        <w:t>’</w:t>
      </w:r>
      <w:r w:rsidR="003806E6" w:rsidRPr="00A777FC">
        <w:rPr>
          <w:lang w:val="fr-FR"/>
        </w:rPr>
        <w:t>ont pas récemment révisé leurs données sur le WDPCA.</w:t>
      </w:r>
    </w:p>
  </w:footnote>
  <w:footnote w:id="18">
    <w:p w14:paraId="5EE5BC62" w14:textId="4A60593E" w:rsidR="00FB256E" w:rsidRPr="00A777FC" w:rsidRDefault="00FB256E">
      <w:pPr>
        <w:pStyle w:val="FootnoteText"/>
        <w:rPr>
          <w:lang w:val="fr-FR"/>
        </w:rPr>
      </w:pPr>
      <w:r w:rsidRPr="00A777FC">
        <w:rPr>
          <w:rStyle w:val="FootnoteReference"/>
          <w:lang w:val="fr-FR"/>
        </w:rPr>
        <w:footnoteRef/>
      </w:r>
      <w:r w:rsidRPr="00A777FC">
        <w:rPr>
          <w:lang w:val="fr-FR"/>
        </w:rPr>
        <w:t xml:space="preserve"> </w:t>
      </w:r>
      <w:r w:rsidR="00EC3186" w:rsidRPr="00A777FC">
        <w:rPr>
          <w:lang w:val="fr-FR"/>
        </w:rPr>
        <w:t>Parmi ces outils figurent l</w:t>
      </w:r>
      <w:r w:rsidR="002A58C8" w:rsidRPr="00A777FC">
        <w:rPr>
          <w:lang w:val="fr-FR"/>
        </w:rPr>
        <w:t>’</w:t>
      </w:r>
      <w:r w:rsidR="00EC3186" w:rsidRPr="00A777FC">
        <w:rPr>
          <w:lang w:val="fr-FR"/>
        </w:rPr>
        <w:t>outil de suivi de l</w:t>
      </w:r>
      <w:r w:rsidR="002A58C8" w:rsidRPr="00A777FC">
        <w:rPr>
          <w:lang w:val="fr-FR"/>
        </w:rPr>
        <w:t>’</w:t>
      </w:r>
      <w:r w:rsidR="00EC3186" w:rsidRPr="00A777FC">
        <w:rPr>
          <w:lang w:val="fr-FR"/>
        </w:rPr>
        <w:t>efficacité de la gestion, l</w:t>
      </w:r>
      <w:r w:rsidR="002A58C8" w:rsidRPr="00A777FC">
        <w:rPr>
          <w:lang w:val="fr-FR"/>
        </w:rPr>
        <w:t>’</w:t>
      </w:r>
      <w:r w:rsidR="00EC3186" w:rsidRPr="00A777FC">
        <w:rPr>
          <w:lang w:val="fr-FR"/>
        </w:rPr>
        <w:t>outil intégré d</w:t>
      </w:r>
      <w:r w:rsidR="002A58C8" w:rsidRPr="00A777FC">
        <w:rPr>
          <w:lang w:val="fr-FR"/>
        </w:rPr>
        <w:t>’</w:t>
      </w:r>
      <w:r w:rsidR="00EC3186" w:rsidRPr="00A777FC">
        <w:rPr>
          <w:lang w:val="fr-FR"/>
        </w:rPr>
        <w:t>évaluation de l</w:t>
      </w:r>
      <w:r w:rsidR="002A58C8" w:rsidRPr="00A777FC">
        <w:rPr>
          <w:lang w:val="fr-FR"/>
        </w:rPr>
        <w:t>’</w:t>
      </w:r>
      <w:r w:rsidR="00EC3186" w:rsidRPr="00A777FC">
        <w:rPr>
          <w:lang w:val="fr-FR"/>
        </w:rPr>
        <w:t>efficacité de la gestion, la méthodologie d</w:t>
      </w:r>
      <w:r w:rsidR="002A58C8" w:rsidRPr="00A777FC">
        <w:rPr>
          <w:lang w:val="fr-FR"/>
        </w:rPr>
        <w:t>’</w:t>
      </w:r>
      <w:r w:rsidR="00EC3186" w:rsidRPr="00A777FC">
        <w:rPr>
          <w:lang w:val="fr-FR"/>
        </w:rPr>
        <w:t>évaluation rapide et de hiérarchisation des priorités en matière de gestion des zones protégées, ainsi que leurs équivalents nationaux.</w:t>
      </w:r>
    </w:p>
  </w:footnote>
  <w:footnote w:id="19">
    <w:p w14:paraId="5C511F96" w14:textId="439F3ECD" w:rsidR="006C6FCE" w:rsidRPr="00A777FC" w:rsidRDefault="006C6FCE">
      <w:pPr>
        <w:pStyle w:val="FootnoteText"/>
        <w:rPr>
          <w:lang w:val="fr-FR"/>
        </w:rPr>
      </w:pPr>
      <w:r w:rsidRPr="00A777FC">
        <w:rPr>
          <w:rStyle w:val="FootnoteReference"/>
          <w:lang w:val="fr-FR"/>
        </w:rPr>
        <w:footnoteRef/>
      </w:r>
      <w:r w:rsidRPr="00A777FC">
        <w:rPr>
          <w:lang w:val="fr-FR"/>
        </w:rPr>
        <w:t xml:space="preserve"> </w:t>
      </w:r>
      <w:r w:rsidR="00671583" w:rsidRPr="00A777FC">
        <w:rPr>
          <w:lang w:val="fr-FR"/>
        </w:rPr>
        <w:t>Disponible à l</w:t>
      </w:r>
      <w:r w:rsidR="002A58C8" w:rsidRPr="00A777FC">
        <w:rPr>
          <w:lang w:val="fr-FR"/>
        </w:rPr>
        <w:t>’</w:t>
      </w:r>
      <w:r w:rsidR="00671583" w:rsidRPr="00A777FC">
        <w:rPr>
          <w:lang w:val="fr-FR"/>
        </w:rPr>
        <w:t>adresse</w:t>
      </w:r>
      <w:r w:rsidR="00E34DC9">
        <w:rPr>
          <w:lang w:val="fr-FR"/>
        </w:rPr>
        <w:t> :</w:t>
      </w:r>
      <w:r w:rsidRPr="00A777FC">
        <w:rPr>
          <w:lang w:val="fr-FR"/>
        </w:rPr>
        <w:t xml:space="preserve"> </w:t>
      </w:r>
      <w:hyperlink r:id="rId14" w:history="1">
        <w:r w:rsidR="00C52963" w:rsidRPr="00A777FC">
          <w:rPr>
            <w:rStyle w:val="Hyperlink"/>
            <w:lang w:val="fr-FR"/>
          </w:rPr>
          <w:t>https://www.cms.int/topics/atlas-animal-migration</w:t>
        </w:r>
      </w:hyperlink>
      <w:r w:rsidRPr="00A777FC">
        <w:rPr>
          <w:lang w:val="fr-FR"/>
        </w:rPr>
        <w:t>.</w:t>
      </w:r>
    </w:p>
  </w:footnote>
  <w:footnote w:id="20">
    <w:p w14:paraId="2A941F14" w14:textId="5AD6F8B6" w:rsidR="00AE5B8B" w:rsidRPr="00A777FC" w:rsidRDefault="00AE5B8B">
      <w:pPr>
        <w:pStyle w:val="FootnoteText"/>
        <w:rPr>
          <w:lang w:val="fr-FR"/>
        </w:rPr>
      </w:pPr>
      <w:r w:rsidRPr="00A777FC">
        <w:rPr>
          <w:rStyle w:val="FootnoteReference"/>
          <w:lang w:val="fr-FR"/>
        </w:rPr>
        <w:footnoteRef/>
      </w:r>
      <w:r w:rsidRPr="00A777FC">
        <w:rPr>
          <w:lang w:val="fr-FR"/>
        </w:rPr>
        <w:t xml:space="preserve"> </w:t>
      </w:r>
      <w:r w:rsidR="00BF2960" w:rsidRPr="00A777FC">
        <w:rPr>
          <w:lang w:val="fr-FR"/>
        </w:rPr>
        <w:t>Disponible à l</w:t>
      </w:r>
      <w:r w:rsidR="002A58C8" w:rsidRPr="00A777FC">
        <w:rPr>
          <w:lang w:val="fr-FR"/>
        </w:rPr>
        <w:t>’</w:t>
      </w:r>
      <w:r w:rsidR="00BF2960" w:rsidRPr="00A777FC">
        <w:rPr>
          <w:lang w:val="fr-FR"/>
        </w:rPr>
        <w:t>adresse</w:t>
      </w:r>
      <w:r w:rsidR="00E34DC9">
        <w:rPr>
          <w:lang w:val="fr-FR"/>
        </w:rPr>
        <w:t> :</w:t>
      </w:r>
      <w:r w:rsidR="00C75C87" w:rsidRPr="00A777FC">
        <w:rPr>
          <w:lang w:val="fr-FR"/>
        </w:rPr>
        <w:t xml:space="preserve"> </w:t>
      </w:r>
      <w:hyperlink r:id="rId15" w:history="1">
        <w:r w:rsidR="00C37543" w:rsidRPr="00A777FC">
          <w:rPr>
            <w:rStyle w:val="Hyperlink"/>
            <w:lang w:val="fr-FR"/>
          </w:rPr>
          <w:t>https://rsis.ramsar.org/fr</w:t>
        </w:r>
      </w:hyperlink>
      <w:r w:rsidR="00C75C87" w:rsidRPr="00A777FC">
        <w:rPr>
          <w:lang w:val="fr-FR"/>
        </w:rPr>
        <w:t>.</w:t>
      </w:r>
    </w:p>
  </w:footnote>
  <w:footnote w:id="21">
    <w:p w14:paraId="4253DD2B" w14:textId="1FC1797E" w:rsidR="005D2C0F" w:rsidRPr="00A777FC" w:rsidRDefault="005D2C0F">
      <w:pPr>
        <w:pStyle w:val="FootnoteText"/>
        <w:rPr>
          <w:lang w:val="fr-FR"/>
        </w:rPr>
      </w:pPr>
      <w:r w:rsidRPr="00A777FC">
        <w:rPr>
          <w:rStyle w:val="FootnoteReference"/>
          <w:lang w:val="fr-FR"/>
        </w:rPr>
        <w:footnoteRef/>
      </w:r>
      <w:r w:rsidRPr="00A777FC">
        <w:rPr>
          <w:lang w:val="fr-FR"/>
        </w:rPr>
        <w:t xml:space="preserve"> </w:t>
      </w:r>
      <w:r w:rsidR="001528BE" w:rsidRPr="00A777FC">
        <w:rPr>
          <w:lang w:val="fr-FR"/>
        </w:rPr>
        <w:t> Voir </w:t>
      </w:r>
      <w:hyperlink r:id="rId16" w:history="1">
        <w:r w:rsidR="008A02BD" w:rsidRPr="00A777FC">
          <w:rPr>
            <w:rStyle w:val="Hyperlink"/>
            <w:lang w:val="fr-FR"/>
          </w:rPr>
          <w:t>www.fao.org/forestry-fao/wildlife-partnership/en/</w:t>
        </w:r>
      </w:hyperlink>
      <w:r w:rsidR="00E26735" w:rsidRPr="00A777FC">
        <w:rPr>
          <w:lang w:val="fr-FR"/>
        </w:rPr>
        <w:t>.</w:t>
      </w:r>
    </w:p>
  </w:footnote>
  <w:footnote w:id="22">
    <w:p w14:paraId="475CC82B" w14:textId="69CE9DA0" w:rsidR="008C3622" w:rsidRPr="00A777FC" w:rsidRDefault="008C3622">
      <w:pPr>
        <w:pStyle w:val="FootnoteText"/>
        <w:rPr>
          <w:lang w:val="fr-FR"/>
        </w:rPr>
      </w:pPr>
      <w:r w:rsidRPr="00A777FC">
        <w:rPr>
          <w:rStyle w:val="FootnoteReference"/>
          <w:lang w:val="fr-FR"/>
        </w:rPr>
        <w:footnoteRef/>
      </w:r>
      <w:r w:rsidRPr="00A777FC">
        <w:rPr>
          <w:lang w:val="fr-FR"/>
        </w:rPr>
        <w:t xml:space="preserve"> </w:t>
      </w:r>
      <w:r w:rsidR="001528BE" w:rsidRPr="00A777FC">
        <w:rPr>
          <w:lang w:val="fr-FR"/>
        </w:rPr>
        <w:t> Voir </w:t>
      </w:r>
      <w:hyperlink r:id="rId17" w:history="1">
        <w:r w:rsidR="00A27C96" w:rsidRPr="00A777FC">
          <w:rPr>
            <w:rStyle w:val="Hyperlink"/>
            <w:lang w:val="fr-FR"/>
          </w:rPr>
          <w:t>https://www.fao.org/in-action/swm-programme/home/fr</w:t>
        </w:r>
      </w:hyperlink>
      <w:r w:rsidR="00E26735" w:rsidRPr="00A777FC">
        <w:rPr>
          <w:lang w:val="fr-FR"/>
        </w:rPr>
        <w:t>.</w:t>
      </w:r>
    </w:p>
  </w:footnote>
  <w:footnote w:id="23">
    <w:p w14:paraId="2AD5DA4F" w14:textId="580EFBE6" w:rsidR="0085450E" w:rsidRPr="00A777FC" w:rsidRDefault="0085450E">
      <w:pPr>
        <w:pStyle w:val="FootnoteText"/>
        <w:rPr>
          <w:lang w:val="fr-FR"/>
        </w:rPr>
      </w:pPr>
      <w:r w:rsidRPr="00A777FC">
        <w:rPr>
          <w:rStyle w:val="FootnoteReference"/>
          <w:lang w:val="fr-FR"/>
        </w:rPr>
        <w:footnoteRef/>
      </w:r>
      <w:r w:rsidRPr="00A777FC">
        <w:rPr>
          <w:lang w:val="fr-FR"/>
        </w:rPr>
        <w:t xml:space="preserve"> </w:t>
      </w:r>
      <w:r w:rsidR="001528BE" w:rsidRPr="00A777FC">
        <w:rPr>
          <w:lang w:val="fr-FR"/>
        </w:rPr>
        <w:t> Voir </w:t>
      </w:r>
      <w:hyperlink r:id="rId18" w:history="1">
        <w:r w:rsidR="003614F1" w:rsidRPr="00A777FC">
          <w:rPr>
            <w:rStyle w:val="Hyperlink"/>
            <w:lang w:val="fr-FR"/>
          </w:rPr>
          <w:t>www.cbd.int/invasive/IALG</w:t>
        </w:r>
      </w:hyperlink>
      <w:r w:rsidR="008B217A" w:rsidRPr="00A777FC">
        <w:rPr>
          <w:lang w:val="fr-FR"/>
        </w:rPr>
        <w:t>.</w:t>
      </w:r>
    </w:p>
  </w:footnote>
  <w:footnote w:id="24">
    <w:p w14:paraId="00AB22EA" w14:textId="6866426C" w:rsidR="006B5361" w:rsidRPr="00A777FC" w:rsidRDefault="006B5361">
      <w:pPr>
        <w:pStyle w:val="FootnoteText"/>
        <w:rPr>
          <w:lang w:val="fr-FR"/>
        </w:rPr>
      </w:pPr>
      <w:r w:rsidRPr="00A777FC">
        <w:rPr>
          <w:rStyle w:val="FootnoteReference"/>
          <w:lang w:val="fr-FR"/>
        </w:rPr>
        <w:footnoteRef/>
      </w:r>
      <w:r w:rsidRPr="00A777FC">
        <w:rPr>
          <w:lang w:val="fr-FR"/>
        </w:rPr>
        <w:t xml:space="preserve"> </w:t>
      </w:r>
      <w:r w:rsidR="001528BE" w:rsidRPr="00A777FC">
        <w:rPr>
          <w:lang w:val="fr-FR"/>
        </w:rPr>
        <w:t>Voir </w:t>
      </w:r>
      <w:hyperlink r:id="rId19" w:history="1">
        <w:r w:rsidR="008156D3" w:rsidRPr="00A777FC">
          <w:rPr>
            <w:rStyle w:val="Hyperlink"/>
            <w:lang w:val="fr-FR"/>
          </w:rPr>
          <w:t>https://www.unep.org/fr/cadre-mondial-sur-les-produits-chimiques</w:t>
        </w:r>
      </w:hyperlink>
      <w:r w:rsidR="004324C4" w:rsidRPr="00A777FC">
        <w:rPr>
          <w:lang w:val="fr-FR"/>
        </w:rPr>
        <w:t>.</w:t>
      </w:r>
    </w:p>
  </w:footnote>
  <w:footnote w:id="25">
    <w:p w14:paraId="6717C363" w14:textId="5C6AC2A1" w:rsidR="00394F8D" w:rsidRPr="00A777FC" w:rsidRDefault="00394F8D">
      <w:pPr>
        <w:pStyle w:val="FootnoteText"/>
        <w:rPr>
          <w:lang w:val="fr-FR"/>
        </w:rPr>
      </w:pPr>
      <w:r w:rsidRPr="00A777FC">
        <w:rPr>
          <w:rStyle w:val="FootnoteReference"/>
          <w:lang w:val="fr-FR"/>
        </w:rPr>
        <w:footnoteRef/>
      </w:r>
      <w:r w:rsidRPr="00A777FC">
        <w:rPr>
          <w:lang w:val="fr-FR"/>
        </w:rPr>
        <w:t xml:space="preserve"> </w:t>
      </w:r>
      <w:r w:rsidR="001528BE" w:rsidRPr="00A777FC">
        <w:rPr>
          <w:lang w:val="fr-FR"/>
        </w:rPr>
        <w:t>Voir </w:t>
      </w:r>
      <w:hyperlink r:id="rId20" w:history="1">
        <w:r w:rsidR="008156D3" w:rsidRPr="00A777FC">
          <w:rPr>
            <w:rStyle w:val="Hyperlink"/>
            <w:lang w:val="fr-FR"/>
          </w:rPr>
          <w:t>https://www.planetgold.org/fr/about</w:t>
        </w:r>
      </w:hyperlink>
      <w:r w:rsidRPr="00A777FC">
        <w:rPr>
          <w:lang w:val="fr-FR"/>
        </w:rPr>
        <w:t>.</w:t>
      </w:r>
    </w:p>
  </w:footnote>
  <w:footnote w:id="26">
    <w:p w14:paraId="09560B31" w14:textId="2607874B" w:rsidR="00DD2695" w:rsidRPr="00A777FC" w:rsidRDefault="00DD2695" w:rsidP="00DD2695">
      <w:pPr>
        <w:pStyle w:val="FootnoteText"/>
        <w:rPr>
          <w:lang w:val="fr-FR"/>
        </w:rPr>
      </w:pPr>
      <w:r w:rsidRPr="00A777FC">
        <w:rPr>
          <w:rStyle w:val="FootnoteReference"/>
          <w:lang w:val="fr-FR"/>
        </w:rPr>
        <w:footnoteRef/>
      </w:r>
      <w:r w:rsidR="00B939EB" w:rsidRPr="00A777FC">
        <w:rPr>
          <w:lang w:val="fr-FR"/>
        </w:rPr>
        <w:t xml:space="preserve"> </w:t>
      </w:r>
      <w:r w:rsidR="001528BE" w:rsidRPr="00A777FC">
        <w:rPr>
          <w:lang w:val="fr-FR"/>
        </w:rPr>
        <w:t>Voir </w:t>
      </w:r>
      <w:hyperlink r:id="rId21" w:history="1">
        <w:r w:rsidRPr="00A777FC">
          <w:rPr>
            <w:rStyle w:val="Hyperlink"/>
            <w:lang w:val="fr-FR"/>
          </w:rPr>
          <w:t>https://rioconventions.org/</w:t>
        </w:r>
      </w:hyperlink>
      <w:r w:rsidRPr="00A777FC">
        <w:rPr>
          <w:lang w:val="fr-FR"/>
        </w:rPr>
        <w:t>.</w:t>
      </w:r>
    </w:p>
  </w:footnote>
  <w:footnote w:id="27">
    <w:p w14:paraId="38B30CF3" w14:textId="09DE0E15" w:rsidR="003875FB" w:rsidRPr="00A777FC" w:rsidRDefault="003875FB">
      <w:pPr>
        <w:pStyle w:val="FootnoteText"/>
        <w:rPr>
          <w:lang w:val="fr-FR"/>
        </w:rPr>
      </w:pPr>
      <w:r w:rsidRPr="00A777FC">
        <w:rPr>
          <w:rStyle w:val="FootnoteReference"/>
          <w:lang w:val="fr-FR"/>
        </w:rPr>
        <w:footnoteRef/>
      </w:r>
      <w:r w:rsidRPr="00A777FC">
        <w:rPr>
          <w:lang w:val="fr-FR"/>
        </w:rPr>
        <w:t xml:space="preserve"> </w:t>
      </w:r>
      <w:r w:rsidR="001528BE" w:rsidRPr="00A777FC">
        <w:rPr>
          <w:lang w:val="fr-FR"/>
        </w:rPr>
        <w:t>Voir </w:t>
      </w:r>
      <w:hyperlink r:id="rId22" w:history="1">
        <w:r w:rsidR="008156D3" w:rsidRPr="00A777FC">
          <w:rPr>
            <w:rStyle w:val="Hyperlink"/>
            <w:lang w:val="fr-FR"/>
          </w:rPr>
          <w:t>https://whc.unesco.org/fr/resiliencedesrecifs/</w:t>
        </w:r>
      </w:hyperlink>
      <w:r w:rsidRPr="00A777FC">
        <w:rPr>
          <w:lang w:val="fr-FR"/>
        </w:rPr>
        <w:t>.</w:t>
      </w:r>
    </w:p>
  </w:footnote>
  <w:footnote w:id="28">
    <w:p w14:paraId="2102A65B" w14:textId="77777777"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Voir https://cites.org/fra/prog/livelihoods.</w:t>
      </w:r>
    </w:p>
    <w:p w14:paraId="7DB4AE0C" w14:textId="77777777" w:rsidR="00B87039" w:rsidRPr="00A777FC" w:rsidRDefault="00B87039" w:rsidP="00B87039">
      <w:pPr>
        <w:pStyle w:val="FootnoteText"/>
        <w:rPr>
          <w:lang w:val="fr-FR"/>
        </w:rPr>
      </w:pPr>
    </w:p>
  </w:footnote>
  <w:footnote w:id="29">
    <w:p w14:paraId="1785FD05" w14:textId="77777777"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Voir </w:t>
      </w:r>
      <w:hyperlink r:id="rId23" w:history="1">
        <w:r w:rsidRPr="00A777FC">
          <w:rPr>
            <w:rStyle w:val="Hyperlink"/>
            <w:rFonts w:ascii="Helvetica" w:hAnsi="Helvetica" w:cs="Helvetica"/>
            <w:lang w:val="fr-FR"/>
          </w:rPr>
          <w:t>www.fao.org/sustainable-development-goals-data-portal/data/indicators/indicator-241-proxy-progress-towards-productive-and-sustainable-agriculture/en</w:t>
        </w:r>
      </w:hyperlink>
      <w:r w:rsidRPr="00A777FC">
        <w:rPr>
          <w:rFonts w:ascii="Helvetica" w:hAnsi="Helvetica" w:cs="Helvetica"/>
          <w:lang w:val="fr-FR"/>
        </w:rPr>
        <w:t>.</w:t>
      </w:r>
    </w:p>
  </w:footnote>
  <w:footnote w:id="30">
    <w:p w14:paraId="0A4869A2" w14:textId="77777777"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Voir </w:t>
      </w:r>
      <w:hyperlink r:id="rId24" w:history="1">
        <w:r w:rsidRPr="00A777FC">
          <w:rPr>
            <w:rStyle w:val="Hyperlink"/>
            <w:lang w:val="fr-FR"/>
          </w:rPr>
          <w:t>www.unesco.org/en/soil-initiative</w:t>
        </w:r>
      </w:hyperlink>
      <w:r w:rsidRPr="00A777FC">
        <w:rPr>
          <w:lang w:val="fr-FR"/>
        </w:rPr>
        <w:t>.</w:t>
      </w:r>
    </w:p>
  </w:footnote>
  <w:footnote w:id="31">
    <w:p w14:paraId="170923E7" w14:textId="1F171A4C"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Disponible à l</w:t>
      </w:r>
      <w:r w:rsidR="00D77549" w:rsidRPr="00A777FC">
        <w:rPr>
          <w:lang w:val="fr-FR"/>
        </w:rPr>
        <w:t>’</w:t>
      </w:r>
      <w:r w:rsidRPr="00A777FC">
        <w:rPr>
          <w:lang w:val="fr-FR"/>
        </w:rPr>
        <w:t xml:space="preserve">adresse </w:t>
      </w:r>
      <w:hyperlink r:id="rId25" w:history="1">
        <w:r w:rsidRPr="00A777FC">
          <w:rPr>
            <w:rStyle w:val="Hyperlink"/>
            <w:lang w:val="fr-FR"/>
          </w:rPr>
          <w:t>https://www.fao.org/cgrfa/resources/publications/fr</w:t>
        </w:r>
      </w:hyperlink>
      <w:r w:rsidRPr="00A777FC">
        <w:rPr>
          <w:lang w:val="fr-FR"/>
        </w:rPr>
        <w:t>.</w:t>
      </w:r>
    </w:p>
  </w:footnote>
  <w:footnote w:id="32">
    <w:p w14:paraId="54B3034C" w14:textId="77777777"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Voir </w:t>
      </w:r>
      <w:hyperlink r:id="rId26" w:history="1">
        <w:r w:rsidRPr="00A777FC">
          <w:rPr>
            <w:rStyle w:val="Hyperlink"/>
            <w:lang w:val="fr-FR"/>
          </w:rPr>
          <w:t>https://seea.un.org/ecosystem-accounting/</w:t>
        </w:r>
      </w:hyperlink>
      <w:r w:rsidRPr="00A777FC">
        <w:rPr>
          <w:lang w:val="fr-FR"/>
        </w:rPr>
        <w:t xml:space="preserve">. </w:t>
      </w:r>
    </w:p>
  </w:footnote>
  <w:footnote w:id="33">
    <w:p w14:paraId="72926528" w14:textId="6780D545"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Disponible à l</w:t>
      </w:r>
      <w:r w:rsidR="00D77549" w:rsidRPr="00A777FC">
        <w:rPr>
          <w:lang w:val="fr-FR"/>
        </w:rPr>
        <w:t>’</w:t>
      </w:r>
      <w:r w:rsidRPr="00A777FC">
        <w:rPr>
          <w:lang w:val="fr-FR"/>
        </w:rPr>
        <w:t xml:space="preserve">adresse </w:t>
      </w:r>
      <w:hyperlink r:id="rId27" w:history="1">
        <w:r w:rsidRPr="00A777FC">
          <w:rPr>
            <w:rStyle w:val="Hyperlink"/>
            <w:lang w:val="fr-FR"/>
          </w:rPr>
          <w:t>https://sdgs.unep.org/article/sdg-indicator-1171</w:t>
        </w:r>
      </w:hyperlink>
      <w:r w:rsidRPr="00A777FC">
        <w:rPr>
          <w:lang w:val="fr-FR"/>
        </w:rPr>
        <w:t xml:space="preserve">. </w:t>
      </w:r>
    </w:p>
  </w:footnote>
  <w:footnote w:id="34">
    <w:p w14:paraId="753F949B" w14:textId="77777777"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Voir </w:t>
      </w:r>
      <w:hyperlink r:id="rId28" w:history="1">
        <w:r w:rsidRPr="00A777FC">
          <w:rPr>
            <w:rStyle w:val="Hyperlink"/>
            <w:lang w:val="fr-FR"/>
          </w:rPr>
          <w:t>https://thecalifund.org/</w:t>
        </w:r>
      </w:hyperlink>
      <w:r w:rsidRPr="00A777FC">
        <w:rPr>
          <w:lang w:val="fr-FR"/>
        </w:rPr>
        <w:t>.</w:t>
      </w:r>
    </w:p>
  </w:footnote>
  <w:footnote w:id="35">
    <w:p w14:paraId="2334FFDD" w14:textId="77777777"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Voir </w:t>
      </w:r>
      <w:hyperlink r:id="rId29" w:history="1">
        <w:r w:rsidRPr="00A777FC">
          <w:rPr>
            <w:rStyle w:val="Hyperlink"/>
            <w:lang w:val="fr-FR"/>
          </w:rPr>
          <w:t>https://bch.cbd.int/protocol</w:t>
        </w:r>
      </w:hyperlink>
      <w:r w:rsidRPr="00A777FC">
        <w:rPr>
          <w:lang w:val="fr-FR"/>
        </w:rPr>
        <w:t xml:space="preserve">. </w:t>
      </w:r>
    </w:p>
  </w:footnote>
  <w:footnote w:id="36">
    <w:p w14:paraId="43487702" w14:textId="77777777"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Voir https://bch.cbd.int/protocol/supplementary/about.</w:t>
      </w:r>
    </w:p>
  </w:footnote>
  <w:footnote w:id="37">
    <w:p w14:paraId="4E0A6AA2" w14:textId="3780DD3D"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Voir </w:t>
      </w:r>
      <w:hyperlink r:id="rId30" w:history="1">
        <w:r w:rsidRPr="00A777FC">
          <w:rPr>
            <w:rStyle w:val="Hyperlink"/>
            <w:lang w:val="fr-FR"/>
          </w:rPr>
          <w:t>https://www.wto.org/</w:t>
        </w:r>
        <w:r w:rsidR="00AD36A0">
          <w:rPr>
            <w:rStyle w:val="Hyperlink"/>
            <w:lang w:val="fr-FR"/>
          </w:rPr>
          <w:t>Français</w:t>
        </w:r>
        <w:r w:rsidRPr="00A777FC">
          <w:rPr>
            <w:rStyle w:val="Hyperlink"/>
            <w:lang w:val="fr-FR"/>
          </w:rPr>
          <w:t>/news_f/news25_f/fish_15sep25_f.htm</w:t>
        </w:r>
      </w:hyperlink>
      <w:r w:rsidRPr="00A777FC">
        <w:rPr>
          <w:lang w:val="fr-FR"/>
        </w:rPr>
        <w:t>.</w:t>
      </w:r>
    </w:p>
  </w:footnote>
  <w:footnote w:id="38">
    <w:p w14:paraId="00A999B4" w14:textId="77777777"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Voir </w:t>
      </w:r>
      <w:hyperlink r:id="rId31" w:history="1">
        <w:r w:rsidRPr="00A777FC">
          <w:rPr>
            <w:rStyle w:val="Hyperlink"/>
            <w:lang w:val="fr-FR"/>
          </w:rPr>
          <w:t>www.biofin.org/about-biofin/biofin-approach</w:t>
        </w:r>
      </w:hyperlink>
      <w:r w:rsidRPr="00A777FC">
        <w:rPr>
          <w:lang w:val="fr-FR"/>
        </w:rPr>
        <w:t>.</w:t>
      </w:r>
    </w:p>
  </w:footnote>
  <w:footnote w:id="39">
    <w:p w14:paraId="057A417F" w14:textId="77777777"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Voir </w:t>
      </w:r>
      <w:hyperlink r:id="rId32" w:history="1">
        <w:r w:rsidRPr="00A777FC">
          <w:rPr>
            <w:rStyle w:val="Hyperlink"/>
            <w:lang w:val="fr-FR"/>
          </w:rPr>
          <w:t>www.biofin.org/news-and-media/global-momentum-nature-finance-undps-biodiversity-finance-initiative-helps-countries</w:t>
        </w:r>
      </w:hyperlink>
      <w:r w:rsidRPr="00A777FC">
        <w:rPr>
          <w:lang w:val="fr-FR"/>
        </w:rPr>
        <w:t>.</w:t>
      </w:r>
    </w:p>
  </w:footnote>
  <w:footnote w:id="40">
    <w:p w14:paraId="3E2F53F8" w14:textId="77777777"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Voir https://nbsapaccelerator.org/.</w:t>
      </w:r>
    </w:p>
  </w:footnote>
  <w:footnote w:id="41">
    <w:p w14:paraId="38B52439" w14:textId="77777777"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Voir </w:t>
      </w:r>
      <w:hyperlink r:id="rId33" w:history="1">
        <w:r w:rsidRPr="00A777FC">
          <w:rPr>
            <w:rStyle w:val="Hyperlink"/>
            <w:lang w:val="fr-FR"/>
          </w:rPr>
          <w:t>www.gbif.org/the-gbif-network</w:t>
        </w:r>
      </w:hyperlink>
      <w:r w:rsidRPr="00A777FC">
        <w:rPr>
          <w:lang w:val="fr-FR"/>
        </w:rPr>
        <w:t xml:space="preserve">. </w:t>
      </w:r>
    </w:p>
  </w:footnote>
  <w:footnote w:id="42">
    <w:p w14:paraId="183B721B" w14:textId="77777777" w:rsidR="00B87039" w:rsidRPr="00A777FC" w:rsidRDefault="00B87039" w:rsidP="00B87039">
      <w:pPr>
        <w:pStyle w:val="FootnoteText"/>
        <w:rPr>
          <w:lang w:val="fr-FR"/>
        </w:rPr>
      </w:pPr>
      <w:r w:rsidRPr="00A777FC">
        <w:rPr>
          <w:rStyle w:val="FootnoteReference"/>
          <w:lang w:val="fr-FR"/>
        </w:rPr>
        <w:footnoteRef/>
      </w:r>
      <w:r w:rsidRPr="00A777FC">
        <w:rPr>
          <w:lang w:val="fr-FR"/>
        </w:rPr>
        <w:t xml:space="preserve"> Voir https://obis.org/about/visionmission/.</w:t>
      </w:r>
    </w:p>
  </w:footnote>
  <w:footnote w:id="43">
    <w:p w14:paraId="6561016B"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Voir </w:t>
      </w:r>
      <w:hyperlink r:id="rId34" w:history="1">
        <w:r w:rsidRPr="00A777FC">
          <w:rPr>
            <w:rStyle w:val="Hyperlink"/>
            <w:lang w:val="fr-FR"/>
          </w:rPr>
          <w:t>https://global-ecosystems.org/</w:t>
        </w:r>
      </w:hyperlink>
      <w:r w:rsidRPr="00A777FC">
        <w:rPr>
          <w:lang w:val="fr-FR"/>
        </w:rPr>
        <w:t xml:space="preserve">. </w:t>
      </w:r>
    </w:p>
  </w:footnote>
  <w:footnote w:id="44">
    <w:p w14:paraId="558056B6"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Voir </w:t>
      </w:r>
      <w:hyperlink r:id="rId35" w:history="1">
        <w:r w:rsidRPr="00A777FC">
          <w:rPr>
            <w:rStyle w:val="Hyperlink"/>
            <w:lang w:val="fr-FR"/>
          </w:rPr>
          <w:t>https://globalecosystemsatlas.org/</w:t>
        </w:r>
      </w:hyperlink>
      <w:r w:rsidRPr="00A777FC">
        <w:rPr>
          <w:lang w:val="fr-FR"/>
        </w:rPr>
        <w:t>.</w:t>
      </w:r>
    </w:p>
  </w:footnote>
  <w:footnote w:id="45">
    <w:p w14:paraId="378B7316"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Voir </w:t>
      </w:r>
      <w:hyperlink r:id="rId36" w:history="1">
        <w:r w:rsidRPr="00A777FC">
          <w:rPr>
            <w:rStyle w:val="Hyperlink"/>
            <w:lang w:val="fr-FR"/>
          </w:rPr>
          <w:t>www.biodiversa.eu/2024/04/15/ginamo/</w:t>
        </w:r>
      </w:hyperlink>
      <w:r w:rsidRPr="00A777FC">
        <w:rPr>
          <w:lang w:val="fr-FR"/>
        </w:rPr>
        <w:t xml:space="preserve"> et </w:t>
      </w:r>
      <w:hyperlink r:id="rId37" w:history="1">
        <w:r w:rsidRPr="00A777FC">
          <w:rPr>
            <w:rStyle w:val="Hyperlink"/>
            <w:lang w:val="fr-FR"/>
          </w:rPr>
          <w:t>https://ginamo.org/</w:t>
        </w:r>
      </w:hyperlink>
      <w:r w:rsidRPr="00A777FC">
        <w:rPr>
          <w:lang w:val="fr-FR"/>
        </w:rPr>
        <w:t>.</w:t>
      </w:r>
    </w:p>
  </w:footnote>
  <w:footnote w:id="46">
    <w:p w14:paraId="7BCAED34"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Le financement public international lié à la biodiversité fait l’objet d’un suivi par l’OCDE au moyen du Système de notification des pays créanciers du Comité d’aide au développement, y compris son marqueur de Rio lié à la biodiversité, et des synthèses périodiques sont publiées dans la série Biodiversity and Development Finance de l’OCDE (voir, par exemple, OCDE, 2026). Ces publications paraissent environ deux ans après l’année de référence des données. Les données complètes pour 2024 et 2025 (année du jalon) ne sont donc pas encore disponibles.</w:t>
      </w:r>
    </w:p>
    <w:p w14:paraId="32FAD868" w14:textId="77777777" w:rsidR="007A60EC" w:rsidRPr="00A777FC" w:rsidRDefault="007A60EC" w:rsidP="007A60EC">
      <w:pPr>
        <w:pStyle w:val="FootnoteText"/>
        <w:rPr>
          <w:lang w:val="fr-FR"/>
        </w:rPr>
      </w:pPr>
    </w:p>
  </w:footnote>
  <w:footnote w:id="47">
    <w:p w14:paraId="5C4CD2A4"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Les informations figurant dans la présente section du rapport mondial proviennent principalement de communications transmises par les secrétariats des AME et par d’autres organisations et processus internationaux, en réponse à la notification n</w:t>
      </w:r>
      <w:r w:rsidRPr="00A777FC">
        <w:rPr>
          <w:vertAlign w:val="superscript"/>
          <w:lang w:val="fr-FR"/>
        </w:rPr>
        <w:t>o</w:t>
      </w:r>
      <w:r w:rsidRPr="00A777FC">
        <w:rPr>
          <w:lang w:val="fr-FR"/>
        </w:rPr>
        <w:t xml:space="preserve"> 2025-099 de la Convention. Le texte intégral de ces communications est disponible à l’adresse </w:t>
      </w:r>
      <w:hyperlink r:id="rId38" w:history="1">
        <w:r w:rsidRPr="00A777FC">
          <w:rPr>
            <w:rStyle w:val="Hyperlink"/>
            <w:lang w:val="fr-FR"/>
          </w:rPr>
          <w:t>www.cbd.int/notifications/2025-099</w:t>
        </w:r>
      </w:hyperlink>
      <w:r w:rsidRPr="00A777FC">
        <w:rPr>
          <w:lang w:val="fr-FR"/>
        </w:rPr>
        <w:t>. Au total, 9 secrétariats d’accords multilatéraux sur l’environnement, 5 organisations des Nations Unies, 7 organisations intergouvernementales, 7 organisations non gouvernementales, 2 réseaux de recherche et 1 organisation de femmes ont transmis des communications.</w:t>
      </w:r>
    </w:p>
  </w:footnote>
  <w:footnote w:id="48">
    <w:p w14:paraId="0A39B4A6"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Voir </w:t>
      </w:r>
      <w:hyperlink r:id="rId39" w:history="1">
        <w:r w:rsidRPr="00A777FC">
          <w:rPr>
            <w:rStyle w:val="Hyperlink"/>
            <w:lang w:val="fr-FR"/>
          </w:rPr>
          <w:t>www.unep.org/environmentassembly/unea7/mea-day</w:t>
        </w:r>
      </w:hyperlink>
      <w:r w:rsidRPr="00A777FC">
        <w:rPr>
          <w:lang w:val="fr-FR"/>
        </w:rPr>
        <w:t xml:space="preserve">. </w:t>
      </w:r>
    </w:p>
  </w:footnote>
  <w:footnote w:id="49">
    <w:p w14:paraId="62D3FA54" w14:textId="098064F3"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Voir </w:t>
      </w:r>
      <w:hyperlink r:id="rId40" w:history="1">
        <w:r w:rsidRPr="00A777FC">
          <w:rPr>
            <w:rStyle w:val="Hyperlink"/>
            <w:lang w:val="fr-FR"/>
          </w:rPr>
          <w:t>www.cbd.int/blg</w:t>
        </w:r>
      </w:hyperlink>
      <w:r w:rsidRPr="00A777FC">
        <w:rPr>
          <w:lang w:val="fr-FR"/>
        </w:rPr>
        <w:t>. Les conventions qui composent ce groupe sont</w:t>
      </w:r>
      <w:r w:rsidR="00E34DC9">
        <w:rPr>
          <w:lang w:val="fr-FR"/>
        </w:rPr>
        <w:t> :</w:t>
      </w:r>
      <w:r w:rsidRPr="00A777FC">
        <w:rPr>
          <w:lang w:val="fr-FR"/>
        </w:rPr>
        <w:t xml:space="preserve"> la Convention sur la diversité biologique</w:t>
      </w:r>
      <w:r w:rsidR="00E34DC9">
        <w:rPr>
          <w:lang w:val="fr-FR"/>
        </w:rPr>
        <w:t> ;</w:t>
      </w:r>
      <w:r w:rsidRPr="00A777FC">
        <w:rPr>
          <w:lang w:val="fr-FR"/>
        </w:rPr>
        <w:t xml:space="preserve"> la Convention sur la conservation des espèces migratrices appartenant à la faune sauvage</w:t>
      </w:r>
      <w:r w:rsidR="00E34DC9">
        <w:rPr>
          <w:lang w:val="fr-FR"/>
        </w:rPr>
        <w:t> ;</w:t>
      </w:r>
      <w:r w:rsidRPr="00A777FC">
        <w:rPr>
          <w:lang w:val="fr-FR"/>
        </w:rPr>
        <w:t xml:space="preserve"> la Convention sur le commerce international des espèces de faune et de flore sauvages menacées d’extinction (CITES)</w:t>
      </w:r>
      <w:r w:rsidR="00E34DC9">
        <w:rPr>
          <w:lang w:val="fr-FR"/>
        </w:rPr>
        <w:t> ;</w:t>
      </w:r>
      <w:r w:rsidRPr="00A777FC">
        <w:rPr>
          <w:lang w:val="fr-FR"/>
        </w:rPr>
        <w:t xml:space="preserve"> le Traité international sur les ressources phytogénétiques pour l’alimentation et l’agriculture</w:t>
      </w:r>
      <w:r w:rsidR="00E34DC9">
        <w:rPr>
          <w:lang w:val="fr-FR"/>
        </w:rPr>
        <w:t> ;</w:t>
      </w:r>
      <w:r w:rsidRPr="00A777FC">
        <w:rPr>
          <w:lang w:val="fr-FR"/>
        </w:rPr>
        <w:t xml:space="preserve"> la Convention relative aux zones humides d’importance internationale particulièrement comme habitats des oiseaux d’eau</w:t>
      </w:r>
      <w:r w:rsidR="00E34DC9">
        <w:rPr>
          <w:lang w:val="fr-FR"/>
        </w:rPr>
        <w:t> ;</w:t>
      </w:r>
      <w:r w:rsidRPr="00A777FC">
        <w:rPr>
          <w:lang w:val="fr-FR"/>
        </w:rPr>
        <w:t xml:space="preserve"> la Convention pour la protection du patrimoine mondial, culturel et naturel (Convention du patrimoine mondial)</w:t>
      </w:r>
      <w:r w:rsidR="00E34DC9">
        <w:rPr>
          <w:lang w:val="fr-FR"/>
        </w:rPr>
        <w:t> ;</w:t>
      </w:r>
      <w:r w:rsidRPr="00A777FC">
        <w:rPr>
          <w:lang w:val="fr-FR"/>
        </w:rPr>
        <w:t xml:space="preserve"> la Convention internationale pour la protection des végétaux (CIPV)</w:t>
      </w:r>
      <w:r w:rsidR="00E34DC9">
        <w:rPr>
          <w:lang w:val="fr-FR"/>
        </w:rPr>
        <w:t> ;</w:t>
      </w:r>
      <w:r w:rsidRPr="00A777FC">
        <w:rPr>
          <w:lang w:val="fr-FR"/>
        </w:rPr>
        <w:t xml:space="preserve"> et la Commission baleinière internationale.  </w:t>
      </w:r>
    </w:p>
  </w:footnote>
  <w:footnote w:id="50">
    <w:p w14:paraId="793740EE"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Voir </w:t>
      </w:r>
      <w:hyperlink r:id="rId41" w:history="1">
        <w:r w:rsidRPr="00A777FC">
          <w:rPr>
            <w:rStyle w:val="Hyperlink"/>
            <w:lang w:val="fr-FR"/>
          </w:rPr>
          <w:t>https://rioconventions.org/joint-liaison-group-rio-conventions</w:t>
        </w:r>
      </w:hyperlink>
      <w:r w:rsidRPr="00A777FC">
        <w:rPr>
          <w:lang w:val="fr-FR"/>
        </w:rPr>
        <w:t>.</w:t>
      </w:r>
    </w:p>
  </w:footnote>
  <w:footnote w:id="51">
    <w:p w14:paraId="57C2D130"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Voir </w:t>
      </w:r>
      <w:hyperlink r:id="rId42" w:history="1">
        <w:r w:rsidRPr="00A777FC">
          <w:rPr>
            <w:rStyle w:val="Hyperlink"/>
            <w:lang w:val="fr-FR"/>
          </w:rPr>
          <w:t>https://rioconventions.org/case-studies</w:t>
        </w:r>
      </w:hyperlink>
      <w:r w:rsidRPr="00A777FC">
        <w:rPr>
          <w:lang w:val="fr-FR"/>
        </w:rPr>
        <w:t>.</w:t>
      </w:r>
    </w:p>
  </w:footnote>
  <w:footnote w:id="52">
    <w:p w14:paraId="67DFF979"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Voir </w:t>
      </w:r>
      <w:hyperlink r:id="rId43" w:history="1">
        <w:r w:rsidRPr="00A777FC">
          <w:rPr>
            <w:rStyle w:val="Hyperlink"/>
            <w:lang w:val="fr-FR"/>
          </w:rPr>
          <w:t>www.cop28.com/en/joint-statement-on-climate-nature</w:t>
        </w:r>
      </w:hyperlink>
      <w:r w:rsidRPr="00A777FC">
        <w:rPr>
          <w:lang w:val="fr-FR"/>
        </w:rPr>
        <w:t>.</w:t>
      </w:r>
    </w:p>
  </w:footnote>
  <w:footnote w:id="53">
    <w:p w14:paraId="16728B66"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Voir </w:t>
      </w:r>
      <w:hyperlink r:id="rId44" w:history="1">
        <w:r w:rsidRPr="00A777FC">
          <w:rPr>
            <w:rStyle w:val="Hyperlink"/>
            <w:lang w:val="fr-FR"/>
          </w:rPr>
          <w:t>www.unccd.int/resources/other/belem-joint-statement-rio-conventions</w:t>
        </w:r>
      </w:hyperlink>
      <w:r w:rsidRPr="00A777FC">
        <w:rPr>
          <w:lang w:val="fr-FR"/>
        </w:rPr>
        <w:t>.</w:t>
      </w:r>
    </w:p>
  </w:footnote>
  <w:footnote w:id="54">
    <w:p w14:paraId="435A85DF"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Voir </w:t>
      </w:r>
      <w:hyperlink r:id="rId45" w:history="1">
        <w:r w:rsidRPr="00A777FC">
          <w:rPr>
            <w:rStyle w:val="Hyperlink"/>
            <w:lang w:val="fr-FR"/>
          </w:rPr>
          <w:t>https://cites.org/fra/documents/Strategic_vision</w:t>
        </w:r>
      </w:hyperlink>
      <w:r w:rsidRPr="00A777FC">
        <w:rPr>
          <w:lang w:val="fr-FR"/>
        </w:rPr>
        <w:t>.</w:t>
      </w:r>
    </w:p>
  </w:footnote>
  <w:footnote w:id="55">
    <w:p w14:paraId="02CE903C"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Voir </w:t>
      </w:r>
      <w:hyperlink r:id="rId46" w:history="1">
        <w:r w:rsidRPr="00A777FC">
          <w:rPr>
            <w:rStyle w:val="Hyperlink"/>
            <w:lang w:val="fr-FR"/>
          </w:rPr>
          <w:t>www.fao.org/biodiversity/knowledge-hub/fr/</w:t>
        </w:r>
      </w:hyperlink>
      <w:r w:rsidRPr="00A777FC">
        <w:rPr>
          <w:rStyle w:val="Hyperlink"/>
          <w:lang w:val="fr-FR"/>
        </w:rPr>
        <w:t>.</w:t>
      </w:r>
      <w:r w:rsidRPr="00A777FC">
        <w:rPr>
          <w:lang w:val="fr-FR"/>
        </w:rPr>
        <w:t xml:space="preserve"> </w:t>
      </w:r>
    </w:p>
  </w:footnote>
  <w:footnote w:id="56">
    <w:p w14:paraId="49800791"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Voir </w:t>
      </w:r>
      <w:hyperlink r:id="rId47" w:history="1">
        <w:r w:rsidRPr="00A777FC">
          <w:rPr>
            <w:rStyle w:val="Hyperlink"/>
            <w:lang w:val="fr-FR"/>
          </w:rPr>
          <w:t>www.iso.org/biodiversity</w:t>
        </w:r>
      </w:hyperlink>
      <w:r w:rsidRPr="00A777FC">
        <w:rPr>
          <w:lang w:val="fr-FR"/>
        </w:rPr>
        <w:t>.</w:t>
      </w:r>
    </w:p>
  </w:footnote>
  <w:footnote w:id="57">
    <w:p w14:paraId="4FAF213D" w14:textId="77777777" w:rsidR="007A60EC" w:rsidRPr="00A777FC" w:rsidRDefault="007A60EC" w:rsidP="007A60EC">
      <w:pPr>
        <w:pStyle w:val="FootnoteText"/>
        <w:rPr>
          <w:lang w:val="fr-FR"/>
        </w:rPr>
      </w:pPr>
      <w:r w:rsidRPr="00A777FC">
        <w:rPr>
          <w:rStyle w:val="FootnoteReference"/>
          <w:lang w:val="fr-FR"/>
        </w:rPr>
        <w:footnoteRef/>
      </w:r>
      <w:r w:rsidRPr="00A777FC">
        <w:rPr>
          <w:lang w:val="fr-FR"/>
        </w:rPr>
        <w:t xml:space="preserve"> Voir https://ort.cbd.int/stakeholders/commitments.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FAFB9" w14:textId="77777777" w:rsidR="00543148" w:rsidRPr="005D10C3" w:rsidRDefault="00543148" w:rsidP="00543148">
    <w:pPr>
      <w:pStyle w:val="Header"/>
      <w:pBdr>
        <w:bottom w:val="single" w:sz="4" w:space="1" w:color="auto"/>
      </w:pBdr>
      <w:rPr>
        <w:rFonts w:ascii="Times New Roman" w:hAnsi="Times New Roman" w:cs="Times New Roman"/>
        <w:sz w:val="20"/>
        <w:szCs w:val="20"/>
      </w:rPr>
    </w:pPr>
    <w:r w:rsidRPr="006E2E8E">
      <w:rPr>
        <w:rFonts w:ascii="Times New Roman" w:hAnsi="Times New Roman" w:cs="Times New Roman"/>
        <w:noProof/>
        <w:sz w:val="20"/>
        <w:szCs w:val="20"/>
      </w:rPr>
      <mc:AlternateContent>
        <mc:Choice Requires="wps">
          <w:drawing>
            <wp:anchor distT="0" distB="0" distL="114300" distR="114300" simplePos="0" relativeHeight="251662336" behindDoc="1" locked="0" layoutInCell="0" allowOverlap="1" wp14:anchorId="5E15370E" wp14:editId="6EEDEED2">
              <wp:simplePos x="0" y="0"/>
              <wp:positionH relativeFrom="margin">
                <wp:align>center</wp:align>
              </wp:positionH>
              <wp:positionV relativeFrom="margin">
                <wp:align>center</wp:align>
              </wp:positionV>
              <wp:extent cx="6835140" cy="1242695"/>
              <wp:effectExtent l="0" t="0" r="0" b="0"/>
              <wp:wrapNone/>
              <wp:docPr id="1797390650"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FEA9AFF" w14:textId="77777777" w:rsidR="00543148" w:rsidRDefault="00543148" w:rsidP="00543148">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E15370E" id="_x0000_t202" coordsize="21600,21600" o:spt="202" path="m,l,21600r21600,l21600,xe">
              <v:stroke joinstyle="miter"/>
              <v:path gradientshapeok="t" o:connecttype="rect"/>
            </v:shapetype>
            <v:shape id="PowerPlusWaterMarkObject153505105" o:spid="_x0000_s1026" type="#_x0000_t202" style="position:absolute;margin-left:0;margin-top:0;width:538.2pt;height:97.85pt;rotation:-45;z-index:-251654144;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23WGwIAAB4EAAAOAAAAZHJzL2Uyb0RvYy54bWysU01z2jAQvXem/0GjezHQwBAPJkOTNj2k&#10;LdPQyVlIMnZqadWVwCa/vithoB+3Tn3QyLvy03tvn+c3nWnYXqOvwRZ8NBhypq0EVdttwb+tP7yZ&#10;ceaDsEo0YHXBD9rzm8XrV/PW5XoMFTRKIyMQ6/PWFbwKweVZ5mWljfADcNpSswQ0ItArbjOFoiV0&#10;02Tj4XCatYDKIUjtPVXvjk2+SPhlqWX4UpZeB9YUnLiFtGJaN3HNFnORb1G4qpY9DfEPLIyoLV16&#10;hroTQbAd1n9BmVoieCjDQILJoCxrqZMGUjMa/qHmsRJOJy1kjndnm/z/g5Wf949uhSx076CjASYR&#10;3j2A/O6ZhXukmYw47b4CeZd2t5WwW730jsw9NbWvX2i6qf9e1WEFtQ1EMxWW6nnnw0cKQaNPtR4E&#10;EdpKC/V7OeleH9wJca27EFEjHg0sa53Pe+Jx0D73UcKm/QSKPhG7AElGV6JhmHjProfxSWUynZFU&#10;SsPhnAC6gEkqTmdvJ6MraknqjcZX4+n1JF0p8ogWJ+zQh3sNhsVNwZFcSLBi/+BDZHc50lON7I48&#10;Q7fp6EikvAF1INItRa/g/sdOoCabd+YWKKlkW4lgnijbS0yyTzevuyeBrr87EO1Vc4peIpAyqJgV&#10;JjqhngnINJTovWjYJFlwpNgf7skeUeO3FpZkX1knJReevRIKYRLY/zAx5b++p1OX33rxEwAA//8D&#10;AFBLAwQUAAYACAAAACEAp834Y9wAAAAGAQAADwAAAGRycy9kb3ducmV2LnhtbEyPQU/DMAyF70j7&#10;D5EncUEsHRrbKE0nVIkeQQwu3NzGtBGN0zXp1v17Mi5wsZ71rPc+Z7vJduJIgzeOFSwXCQji2mnD&#10;jYKP9+fbLQgfkDV2jknBmTzs8tlVhql2J36j4z40IoawT1FBG0KfSunrliz6heuJo/flBoshrkMj&#10;9YCnGG47eZcka2nRcGxosaeipfp7P1oFn6VZcePGsji8VuHFFLQtzzdKXc+np0cQgabwdwwX/IgO&#10;eWSq3Mjai05BfCT8zouXbNYrEFVUD/cbkHkm/+PnPwAAAP//AwBQSwECLQAUAAYACAAAACEAtoM4&#10;kv4AAADhAQAAEwAAAAAAAAAAAAAAAAAAAAAAW0NvbnRlbnRfVHlwZXNdLnhtbFBLAQItABQABgAI&#10;AAAAIQA4/SH/1gAAAJQBAAALAAAAAAAAAAAAAAAAAC8BAABfcmVscy8ucmVsc1BLAQItABQABgAI&#10;AAAAIQCw123WGwIAAB4EAAAOAAAAAAAAAAAAAAAAAC4CAABkcnMvZTJvRG9jLnhtbFBLAQItABQA&#10;BgAIAAAAIQCnzfhj3AAAAAYBAAAPAAAAAAAAAAAAAAAAAHUEAABkcnMvZG93bnJldi54bWxQSwUG&#10;AAAAAAQABADzAAAAfgUAAAAA&#10;" o:allowincell="f" filled="f" stroked="f">
              <v:stroke joinstyle="round"/>
              <o:lock v:ext="edit" rotation="t" aspectratio="t" verticies="t" adjusthandles="t" grouping="t" shapetype="t"/>
              <v:textbox>
                <w:txbxContent>
                  <w:p w14:paraId="5FEA9AFF" w14:textId="77777777" w:rsidR="00543148" w:rsidRDefault="00543148" w:rsidP="00543148">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Pr="006E2E8E">
      <w:rPr>
        <w:rFonts w:ascii="Times New Roman" w:hAnsi="Times New Roman" w:cs="Times New Roman"/>
        <w:sz w:val="20"/>
        <w:szCs w:val="20"/>
      </w:rPr>
      <w:t>CBD/COP/17/INF/7</w:t>
    </w:r>
  </w:p>
  <w:p w14:paraId="151F2BB6" w14:textId="77777777" w:rsidR="00543148" w:rsidRDefault="005431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F564A" w14:textId="77777777" w:rsidR="00BA4196" w:rsidRPr="006E2E8E" w:rsidRDefault="007A60EC" w:rsidP="00BA4196">
    <w:pPr>
      <w:pStyle w:val="Header"/>
      <w:pBdr>
        <w:bottom w:val="single" w:sz="4" w:space="1" w:color="auto"/>
      </w:pBdr>
      <w:jc w:val="right"/>
      <w:rPr>
        <w:rFonts w:ascii="Times New Roman" w:hAnsi="Times New Roman" w:cs="Times New Roman"/>
        <w:sz w:val="20"/>
        <w:szCs w:val="20"/>
      </w:rPr>
    </w:pPr>
    <w:r>
      <w:rPr>
        <w:noProof/>
      </w:rPr>
      <mc:AlternateContent>
        <mc:Choice Requires="wps">
          <w:drawing>
            <wp:anchor distT="0" distB="0" distL="114300" distR="114300" simplePos="0" relativeHeight="251660288" behindDoc="1" locked="0" layoutInCell="0" allowOverlap="1" wp14:anchorId="2C5277E3" wp14:editId="72CDFB2E">
              <wp:simplePos x="0" y="0"/>
              <wp:positionH relativeFrom="margin">
                <wp:align>center</wp:align>
              </wp:positionH>
              <wp:positionV relativeFrom="margin">
                <wp:align>center</wp:align>
              </wp:positionV>
              <wp:extent cx="6835140" cy="1242695"/>
              <wp:effectExtent l="0" t="0" r="0" b="0"/>
              <wp:wrapNone/>
              <wp:docPr id="191469776"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C9B10A8" w14:textId="77777777" w:rsidR="007A60EC" w:rsidRDefault="007A60EC" w:rsidP="009E4F21">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C5277E3" id="_x0000_t202" coordsize="21600,21600" o:spt="202" path="m,l,21600r21600,l21600,xe">
              <v:stroke joinstyle="miter"/>
              <v:path gradientshapeok="t" o:connecttype="rect"/>
            </v:shapetype>
            <v:shape id="_x0000_s1027" type="#_x0000_t202" style="position:absolute;left:0;text-align:left;margin-left:0;margin-top:0;width:538.2pt;height:97.85pt;rotation:-45;z-index:-251656192;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IgkHQIAACUEAAAOAAAAZHJzL2Uyb0RvYy54bWysU01z2jAUvHem/0GjezHQwBAPJkOTNj2k&#10;LdPQyVnoAyu19FRJYJNf3ydhoB+3Tn3QyO/Jq9196/lNZxqylz5osBUdDYaUSMtBaLut6Lf1hzcz&#10;SkJkVrAGrKzoQQZ6s3j9at66Uo6hhkZITxDEhrJ1Fa1jdGVRBF5Lw8IAnLTYVOANi/jqt4XwrEV0&#10;0xTj4XBatOCF88BlCFi9OzbpIuMrJXn8olSQkTQVRW4xrz6vm7QWizkrt565WvOeBvsHFoZpi5ee&#10;oe5YZGTn9V9QRnMPAVQccDAFKKW5zBpQzWj4h5rHmjmZtaA5wZ1tCv8Pln/eP7qVJ7F7Bx0OMIsI&#10;7gH490As3HucyYji7iugd3l3WzO7lcvg0NxTUwb9gtPN/fdCxxVoG5FmLizF8y7EjxiCRp5qPYj3&#10;0NaSid/LWff64E6Ia9nFhJrwcGBF60LZE0+DDmVIEjbtJxD4CdtFyDI65Q3xmffsepieXEbTCUrF&#10;NBzOCcALCMfidPZ2MrrCFsfeaHw1nl5P8pWsTGhpws6HeC/BkLSpqEcXMizbP4SY2F2O9FQTuyPP&#10;2G06okWvIzHfgDgg9xYTWNHwY8e8RLd35hYwsOie8mCeMOJLn9WfCKy7J+ZdTyEi+1VzSmDmkaMo&#10;iGUmGSKeEcg0GOw9a8gkO3Fk2h/uOR9R07cWluii0lnQhWcvCLOYdfb/TQr7r+/51OXvXvwEAAD/&#10;/wMAUEsDBBQABgAIAAAAIQCnzfhj3AAAAAYBAAAPAAAAZHJzL2Rvd25yZXYueG1sTI9BT8MwDIXv&#10;SPsPkSdxQSwdGtsoTSdUiR5BDC7c3Ma0EY3TNenW/XsyLnCxnvWs9z5nu8l24kiDN44VLBcJCOLa&#10;acONgo/359stCB+QNXaOScGZPOzy2VWGqXYnfqPjPjQihrBPUUEbQp9K6euWLPqF64mj9+UGiyGu&#10;QyP1gKcYbjt5lyRradFwbGixp6Kl+ns/WgWfpVlx48ayOLxW4cUUtC3PN0pdz6enRxCBpvB3DBf8&#10;iA55ZKrcyNqLTkF8JPzOi5ds1isQVVQP9xuQeSb/4+c/AAAA//8DAFBLAQItABQABgAIAAAAIQC2&#10;gziS/gAAAOEBAAATAAAAAAAAAAAAAAAAAAAAAABbQ29udGVudF9UeXBlc10ueG1sUEsBAi0AFAAG&#10;AAgAAAAhADj9If/WAAAAlAEAAAsAAAAAAAAAAAAAAAAALwEAAF9yZWxzLy5yZWxzUEsBAi0AFAAG&#10;AAgAAAAhADxIiCQdAgAAJQQAAA4AAAAAAAAAAAAAAAAALgIAAGRycy9lMm9Eb2MueG1sUEsBAi0A&#10;FAAGAAgAAAAhAKfN+GPcAAAABgEAAA8AAAAAAAAAAAAAAAAAdwQAAGRycy9kb3ducmV2LnhtbFBL&#10;BQYAAAAABAAEAPMAAACABQAAAAA=&#10;" o:allowincell="f" filled="f" stroked="f">
              <v:stroke joinstyle="round"/>
              <o:lock v:ext="edit" rotation="t" aspectratio="t" verticies="t" adjusthandles="t" grouping="t" shapetype="t"/>
              <v:textbox>
                <w:txbxContent>
                  <w:p w14:paraId="0C9B10A8" w14:textId="77777777" w:rsidR="007A60EC" w:rsidRDefault="007A60EC" w:rsidP="009E4F21">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00BA4196">
      <w:tab/>
    </w:r>
    <w:r w:rsidR="00BA4196" w:rsidRPr="006E2E8E">
      <w:rPr>
        <w:rFonts w:ascii="Times New Roman" w:hAnsi="Times New Roman" w:cs="Times New Roman"/>
        <w:noProof/>
        <w:sz w:val="20"/>
        <w:szCs w:val="20"/>
      </w:rPr>
      <mc:AlternateContent>
        <mc:Choice Requires="wps">
          <w:drawing>
            <wp:anchor distT="0" distB="0" distL="114300" distR="114300" simplePos="0" relativeHeight="251664384" behindDoc="1" locked="0" layoutInCell="0" allowOverlap="1" wp14:anchorId="062D3046" wp14:editId="0EA19838">
              <wp:simplePos x="0" y="0"/>
              <wp:positionH relativeFrom="margin">
                <wp:align>center</wp:align>
              </wp:positionH>
              <wp:positionV relativeFrom="margin">
                <wp:align>center</wp:align>
              </wp:positionV>
              <wp:extent cx="6835140" cy="1242695"/>
              <wp:effectExtent l="0" t="0" r="0" b="0"/>
              <wp:wrapNone/>
              <wp:docPr id="168069366"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BACFBB" w14:textId="77777777" w:rsidR="00BA4196" w:rsidRDefault="00BA4196" w:rsidP="00BA4196">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62D3046" id="_x0000_s1028" type="#_x0000_t202" style="position:absolute;left:0;text-align:left;margin-left:0;margin-top:0;width:538.2pt;height:97.85pt;rotation:-45;z-index:-251652096;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cvEHwIAACUEAAAOAAAAZHJzL2Uyb0RvYy54bWysU01z2jAUvHem/0GjezHQwBAPJkOTNj2k&#10;LdPQyVnoAyu19FRJYJNf3ydhoB+3Tn3QyO/Jq9196/lNZxqylz5osBUdDYaUSMtBaLut6Lf1hzcz&#10;SkJkVrAGrKzoQQZ6s3j9at66Uo6hhkZITxDEhrJ1Fa1jdGVRBF5Lw8IAnLTYVOANi/jqt4XwrEV0&#10;0xTj4XBatOCF88BlCFi9OzbpIuMrJXn8olSQkTQVRW4xrz6vm7QWizkrt565WvOeBvsHFoZpi5ee&#10;oe5YZGTn9V9QRnMPAVQccDAFKKW5zBpQzWj4h5rHmjmZtaA5wZ1tCv8Pln/eP7qVJ7F7Bx0OMIsI&#10;7gH490As3HucyYji7iugd3l3WzO7lcvg0NxTUwb9gtPN/fdCxxVoG5FmLizF8y7EjxiCRp5qPYj3&#10;0NaSid/LWff64E6Ia9nFhJrwcGBF60LZE0+DDmVIEjbtJxD4CdtFyDI65Q3xmffsepieXEbTCUrF&#10;NBzOCcALCMfidPZ2MrrCFsfeaHw1nl5P8pWsTGhpws6HeC/BkLSpqEcXMizbP4SY2F2O9FQTuyPP&#10;2G06okVFxwk0Md+AOCD3FhNY0fBjx7xEt3fmFjCw6J7yYJ4w4kuf1Z8IrLsn5l1PISL7VXNKYOaR&#10;oyiIZSYZIp4RyDQY7D1ryCQ7cWTaH+45H1HTtxaW6KLSWdCFZy8Is5h19v9NCvuv7/nU5e9e/AQA&#10;AP//AwBQSwMEFAAGAAgAAAAhAKfN+GPcAAAABgEAAA8AAABkcnMvZG93bnJldi54bWxMj0FPwzAM&#10;he9I+w+RJ3FBLB0a2yhNJ1SJHkEMLtzcxrQRjdM16db9ezIucLGe9az3Pme7yXbiSIM3jhUsFwkI&#10;4tppw42Cj/fn2y0IH5A1do5JwZk87PLZVYapdid+o+M+NCKGsE9RQRtCn0rp65Ys+oXriaP35QaL&#10;Ia5DI/WApxhuO3mXJGtp0XBsaLGnoqX6ez9aBZ+lWXHjxrI4vFbhxRS0Lc83Sl3Pp6dHEIGm8HcM&#10;F/yIDnlkqtzI2otOQXwk/M6Ll2zWKxBVVA/3G5B5Jv/j5z8AAAD//wMAUEsBAi0AFAAGAAgAAAAh&#10;ALaDOJL+AAAA4QEAABMAAAAAAAAAAAAAAAAAAAAAAFtDb250ZW50X1R5cGVzXS54bWxQSwECLQAU&#10;AAYACAAAACEAOP0h/9YAAACUAQAACwAAAAAAAAAAAAAAAAAvAQAAX3JlbHMvLnJlbHNQSwECLQAU&#10;AAYACAAAACEAgK3LxB8CAAAlBAAADgAAAAAAAAAAAAAAAAAuAgAAZHJzL2Uyb0RvYy54bWxQSwEC&#10;LQAUAAYACAAAACEAp834Y9wAAAAGAQAADwAAAAAAAAAAAAAAAAB5BAAAZHJzL2Rvd25yZXYueG1s&#10;UEsFBgAAAAAEAAQA8wAAAIIFAAAAAA==&#10;" o:allowincell="f" filled="f" stroked="f">
              <v:stroke joinstyle="round"/>
              <o:lock v:ext="edit" rotation="t" aspectratio="t" verticies="t" adjusthandles="t" grouping="t" shapetype="t"/>
              <v:textbox>
                <w:txbxContent>
                  <w:p w14:paraId="26BACFBB" w14:textId="77777777" w:rsidR="00BA4196" w:rsidRDefault="00BA4196" w:rsidP="00BA4196">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r w:rsidR="00BA4196" w:rsidRPr="006E2E8E">
      <w:rPr>
        <w:rFonts w:ascii="Times New Roman" w:hAnsi="Times New Roman" w:cs="Times New Roman"/>
        <w:sz w:val="20"/>
        <w:szCs w:val="20"/>
      </w:rPr>
      <w:t>CBD/COP/17/INF/7</w:t>
    </w:r>
  </w:p>
  <w:p w14:paraId="69502A46" w14:textId="77EE25CD" w:rsidR="007A60EC" w:rsidRDefault="007A60EC" w:rsidP="00BA4196">
    <w:pPr>
      <w:pStyle w:val="Header"/>
      <w:tabs>
        <w:tab w:val="clear" w:pos="4513"/>
        <w:tab w:val="clear" w:pos="9026"/>
        <w:tab w:val="left" w:pos="802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0935" w14:textId="77777777" w:rsidR="00583245" w:rsidRDefault="00EA6A10">
    <w:pPr>
      <w:pStyle w:val="Header"/>
    </w:pPr>
    <w:r>
      <w:rPr>
        <w:noProof/>
      </w:rPr>
      <mc:AlternateContent>
        <mc:Choice Requires="wps">
          <w:drawing>
            <wp:anchor distT="0" distB="0" distL="114300" distR="114300" simplePos="0" relativeHeight="251658240" behindDoc="1" locked="0" layoutInCell="0" allowOverlap="1" wp14:anchorId="2665006F" wp14:editId="1147745C">
              <wp:simplePos x="0" y="0"/>
              <wp:positionH relativeFrom="margin">
                <wp:align>center</wp:align>
              </wp:positionH>
              <wp:positionV relativeFrom="margin">
                <wp:align>center</wp:align>
              </wp:positionV>
              <wp:extent cx="6835140" cy="1242695"/>
              <wp:effectExtent l="0" t="0" r="0" b="0"/>
              <wp:wrapNone/>
              <wp:docPr id="280904290" name="PowerPlusWaterMarkObject153505105" hidden="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835140" cy="1242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A99493C" w14:textId="77777777" w:rsidR="00EA6A10" w:rsidRDefault="00EA6A10" w:rsidP="009E4F21">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665006F" id="_x0000_t202" coordsize="21600,21600" o:spt="202" path="m,l,21600r21600,l21600,xe">
              <v:stroke joinstyle="miter"/>
              <v:path gradientshapeok="t" o:connecttype="rect"/>
            </v:shapetype>
            <v:shape id="_x0000_s1029" type="#_x0000_t202" style="position:absolute;margin-left:0;margin-top:0;width:538.2pt;height:97.85pt;rotation:-45;z-index:-251658240;visibility:hidden;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QqbHwIAACUEAAAOAAAAZHJzL2Uyb0RvYy54bWysU01z2jAUvHem/0GjezGQwBAPJkOTNj2k&#10;LdPQyVnoAyu19FRJYNNf3ydhoB+3Tn3QyO/Jq9196/ltZxqylz5osBUdDYaUSMtBaLut6Nf1+zcz&#10;SkJkVrAGrKzoQQZ6u3j9at66Uo6hhkZITxDEhrJ1Fa1jdGVRBF5Lw8IAnLTYVOANi/jqt4XwrEV0&#10;0xTj4XBatOCF88BlCFi9PzbpIuMrJXn8rFSQkTQVRW4xrz6vm7QWizkrt565WvOeBvsHFoZpi5ee&#10;oe5ZZGTn9V9QRnMPAVQccDAFKKW5zBpQzWj4h5qnmjmZtaA5wZ1tCv8Pln/aP7mVJ7F7Cx0OMIsI&#10;7hH4t0AsPHicyYji7gugd3l3VzO7lcvg0NxTUwb9A6eb+++EjivQNiLNXFiKl12IHzAEjTzVehDv&#10;oa0lE7+Xs+71wZ0Q17KLCTXh4cCK1oWyJ54GHcqQJGzajyDwE7aLkGV0yhviM+/ZzTA9uYymE5SK&#10;aTicE4AXEI7F6exqMrrGFsfeaHw9nt5M8pWsTGhpws6H+CDBkLSpqEcXMizbP4aY2F2O9FQTuyPP&#10;2G06okVFrxJoYr4BcUDuLSawouH7jnmJbu/MHWBg0T3lwTxjxJc+qz8RWHfPzLueQkT2q+aUwMwj&#10;R1EQy0wyRLwgkGkw2HvWkEl24si0P9xzPqKmby0s0UWls6ALz14QZjHr7P+bFPZf3/Opy9+9+AkA&#10;AP//AwBQSwMEFAAGAAgAAAAhAKfN+GPcAAAABgEAAA8AAABkcnMvZG93bnJldi54bWxMj0FPwzAM&#10;he9I+w+RJ3FBLB0a2yhNJ1SJHkEMLtzcxrQRjdM16db9ezIucLGe9az3Pme7yXbiSIM3jhUsFwkI&#10;4tppw42Cj/fn2y0IH5A1do5JwZk87PLZVYapdid+o+M+NCKGsE9RQRtCn0rp65Ys+oXriaP35QaL&#10;Ia5DI/WApxhuO3mXJGtp0XBsaLGnoqX6ez9aBZ+lWXHjxrI4vFbhxRS0Lc83Sl3Pp6dHEIGm8HcM&#10;F/yIDnlkqtzI2otOQXwk/M6Ll2zWKxBVVA/3G5B5Jv/j5z8AAAD//wMAUEsBAi0AFAAGAAgAAAAh&#10;ALaDOJL+AAAA4QEAABMAAAAAAAAAAAAAAAAAAAAAAFtDb250ZW50X1R5cGVzXS54bWxQSwECLQAU&#10;AAYACAAAACEAOP0h/9YAAACUAQAACwAAAAAAAAAAAAAAAAAvAQAAX3JlbHMvLnJlbHNQSwECLQAU&#10;AAYACAAAACEAFPEKmx8CAAAlBAAADgAAAAAAAAAAAAAAAAAuAgAAZHJzL2Uyb0RvYy54bWxQSwEC&#10;LQAUAAYACAAAACEAp834Y9wAAAAGAQAADwAAAAAAAAAAAAAAAAB5BAAAZHJzL2Rvd25yZXYueG1s&#10;UEsFBgAAAAAEAAQA8wAAAIIFAAAAAA==&#10;" o:allowincell="f" filled="f" stroked="f">
              <v:stroke joinstyle="round"/>
              <o:lock v:ext="edit" rotation="t" aspectratio="t" verticies="t" adjusthandles="t" grouping="t" shapetype="t"/>
              <v:textbox>
                <w:txbxContent>
                  <w:p w14:paraId="2A99493C" w14:textId="77777777" w:rsidR="00EA6A10" w:rsidRDefault="00EA6A10" w:rsidP="009E4F21">
                    <w:pPr>
                      <w:jc w:val="center"/>
                      <w:rPr>
                        <w:rFonts w:ascii="Calibri" w:hAnsi="Calibri" w:cs="Calibri"/>
                        <w:color w:val="D1D1D1" w:themeColor="background2" w:themeShade="E6"/>
                        <w:kern w:val="0"/>
                        <w:sz w:val="16"/>
                        <w:szCs w:val="16"/>
                        <w14:ligatures w14:val="none"/>
                      </w:rPr>
                    </w:pPr>
                    <w:r>
                      <w:rPr>
                        <w:rFonts w:ascii="Calibri" w:hAnsi="Calibri" w:cs="Calibri"/>
                        <w:color w:val="D1D1D1" w:themeColor="background2" w:themeShade="E6"/>
                        <w:sz w:val="16"/>
                        <w:szCs w:val="16"/>
                      </w:rPr>
                      <w:t>Draft for review</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129"/>
    <w:multiLevelType w:val="hybridMultilevel"/>
    <w:tmpl w:val="BE5AF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F0469"/>
    <w:multiLevelType w:val="hybridMultilevel"/>
    <w:tmpl w:val="6B8068C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364D7A"/>
    <w:multiLevelType w:val="hybridMultilevel"/>
    <w:tmpl w:val="EE526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720D52"/>
    <w:multiLevelType w:val="hybridMultilevel"/>
    <w:tmpl w:val="4BBCF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A5A2C"/>
    <w:multiLevelType w:val="hybridMultilevel"/>
    <w:tmpl w:val="05CEF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6" w15:restartNumberingAfterBreak="0">
    <w:nsid w:val="1124575E"/>
    <w:multiLevelType w:val="hybridMultilevel"/>
    <w:tmpl w:val="01F8D44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13B52A91"/>
    <w:multiLevelType w:val="hybridMultilevel"/>
    <w:tmpl w:val="8F1219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825449"/>
    <w:multiLevelType w:val="multilevel"/>
    <w:tmpl w:val="8972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202249"/>
    <w:multiLevelType w:val="hybridMultilevel"/>
    <w:tmpl w:val="168EA8E6"/>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01B180"/>
    <w:multiLevelType w:val="hybridMultilevel"/>
    <w:tmpl w:val="FFFFFFFF"/>
    <w:lvl w:ilvl="0" w:tplc="7E88943C">
      <w:start w:val="1"/>
      <w:numFmt w:val="bullet"/>
      <w:lvlText w:val=""/>
      <w:lvlJc w:val="left"/>
      <w:pPr>
        <w:ind w:left="720" w:hanging="360"/>
      </w:pPr>
      <w:rPr>
        <w:rFonts w:ascii="Symbol" w:hAnsi="Symbol" w:hint="default"/>
      </w:rPr>
    </w:lvl>
    <w:lvl w:ilvl="1" w:tplc="6D3C101C">
      <w:start w:val="1"/>
      <w:numFmt w:val="bullet"/>
      <w:lvlText w:val="o"/>
      <w:lvlJc w:val="left"/>
      <w:pPr>
        <w:ind w:left="1440" w:hanging="360"/>
      </w:pPr>
      <w:rPr>
        <w:rFonts w:ascii="Courier New" w:hAnsi="Courier New" w:hint="default"/>
      </w:rPr>
    </w:lvl>
    <w:lvl w:ilvl="2" w:tplc="5ECC4EC2">
      <w:start w:val="1"/>
      <w:numFmt w:val="bullet"/>
      <w:lvlText w:val=""/>
      <w:lvlJc w:val="left"/>
      <w:pPr>
        <w:ind w:left="2160" w:hanging="360"/>
      </w:pPr>
      <w:rPr>
        <w:rFonts w:ascii="Wingdings" w:hAnsi="Wingdings" w:hint="default"/>
      </w:rPr>
    </w:lvl>
    <w:lvl w:ilvl="3" w:tplc="BFCC791C">
      <w:start w:val="1"/>
      <w:numFmt w:val="bullet"/>
      <w:lvlText w:val=""/>
      <w:lvlJc w:val="left"/>
      <w:pPr>
        <w:ind w:left="2880" w:hanging="360"/>
      </w:pPr>
      <w:rPr>
        <w:rFonts w:ascii="Symbol" w:hAnsi="Symbol" w:hint="default"/>
      </w:rPr>
    </w:lvl>
    <w:lvl w:ilvl="4" w:tplc="87B847AE">
      <w:start w:val="1"/>
      <w:numFmt w:val="bullet"/>
      <w:lvlText w:val="o"/>
      <w:lvlJc w:val="left"/>
      <w:pPr>
        <w:ind w:left="3600" w:hanging="360"/>
      </w:pPr>
      <w:rPr>
        <w:rFonts w:ascii="Courier New" w:hAnsi="Courier New" w:hint="default"/>
      </w:rPr>
    </w:lvl>
    <w:lvl w:ilvl="5" w:tplc="65000606">
      <w:start w:val="1"/>
      <w:numFmt w:val="bullet"/>
      <w:lvlText w:val=""/>
      <w:lvlJc w:val="left"/>
      <w:pPr>
        <w:ind w:left="4320" w:hanging="360"/>
      </w:pPr>
      <w:rPr>
        <w:rFonts w:ascii="Wingdings" w:hAnsi="Wingdings" w:hint="default"/>
      </w:rPr>
    </w:lvl>
    <w:lvl w:ilvl="6" w:tplc="9420FC5C">
      <w:start w:val="1"/>
      <w:numFmt w:val="bullet"/>
      <w:lvlText w:val=""/>
      <w:lvlJc w:val="left"/>
      <w:pPr>
        <w:ind w:left="5040" w:hanging="360"/>
      </w:pPr>
      <w:rPr>
        <w:rFonts w:ascii="Symbol" w:hAnsi="Symbol" w:hint="default"/>
      </w:rPr>
    </w:lvl>
    <w:lvl w:ilvl="7" w:tplc="E3D2B1DC">
      <w:start w:val="1"/>
      <w:numFmt w:val="bullet"/>
      <w:lvlText w:val="o"/>
      <w:lvlJc w:val="left"/>
      <w:pPr>
        <w:ind w:left="5760" w:hanging="360"/>
      </w:pPr>
      <w:rPr>
        <w:rFonts w:ascii="Courier New" w:hAnsi="Courier New" w:hint="default"/>
      </w:rPr>
    </w:lvl>
    <w:lvl w:ilvl="8" w:tplc="EE68AB1C">
      <w:start w:val="1"/>
      <w:numFmt w:val="bullet"/>
      <w:lvlText w:val=""/>
      <w:lvlJc w:val="left"/>
      <w:pPr>
        <w:ind w:left="6480" w:hanging="360"/>
      </w:pPr>
      <w:rPr>
        <w:rFonts w:ascii="Wingdings" w:hAnsi="Wingdings" w:hint="default"/>
      </w:rPr>
    </w:lvl>
  </w:abstractNum>
  <w:abstractNum w:abstractNumId="13" w15:restartNumberingAfterBreak="0">
    <w:nsid w:val="21805348"/>
    <w:multiLevelType w:val="hybridMultilevel"/>
    <w:tmpl w:val="6C70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1E05D7"/>
    <w:multiLevelType w:val="hybridMultilevel"/>
    <w:tmpl w:val="7366AC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39424BC"/>
    <w:multiLevelType w:val="hybridMultilevel"/>
    <w:tmpl w:val="EF74B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DF4E69"/>
    <w:multiLevelType w:val="hybridMultilevel"/>
    <w:tmpl w:val="B6508C9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26A427A7"/>
    <w:multiLevelType w:val="hybridMultilevel"/>
    <w:tmpl w:val="D9704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DB1187"/>
    <w:multiLevelType w:val="hybridMultilevel"/>
    <w:tmpl w:val="5866D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D40A37"/>
    <w:multiLevelType w:val="hybridMultilevel"/>
    <w:tmpl w:val="22C6680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2FAF034E"/>
    <w:multiLevelType w:val="hybridMultilevel"/>
    <w:tmpl w:val="1B4203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2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2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25" w15:restartNumberingAfterBreak="0">
    <w:nsid w:val="36E938B0"/>
    <w:multiLevelType w:val="multilevel"/>
    <w:tmpl w:val="DF20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234A78"/>
    <w:multiLevelType w:val="hybridMultilevel"/>
    <w:tmpl w:val="5074D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515105"/>
    <w:multiLevelType w:val="hybridMultilevel"/>
    <w:tmpl w:val="D35C19CA"/>
    <w:lvl w:ilvl="0" w:tplc="75187966">
      <w:start w:val="2"/>
      <w:numFmt w:val="bullet"/>
      <w:lvlText w:val="-"/>
      <w:lvlJc w:val="left"/>
      <w:pPr>
        <w:ind w:left="720" w:hanging="360"/>
      </w:pPr>
      <w:rPr>
        <w:rFonts w:ascii="Aptos" w:eastAsiaTheme="minorEastAsia"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29" w15:restartNumberingAfterBreak="0">
    <w:nsid w:val="44B925D4"/>
    <w:multiLevelType w:val="multilevel"/>
    <w:tmpl w:val="C848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9D5F6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23329A8"/>
    <w:multiLevelType w:val="multilevel"/>
    <w:tmpl w:val="8EBE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56F3ED9"/>
    <w:multiLevelType w:val="hybridMultilevel"/>
    <w:tmpl w:val="9006D602"/>
    <w:styleLink w:val="ImportedStyl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C07550"/>
    <w:multiLevelType w:val="hybridMultilevel"/>
    <w:tmpl w:val="98F47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36"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37" w15:restartNumberingAfterBreak="0">
    <w:nsid w:val="57134DC7"/>
    <w:multiLevelType w:val="hybridMultilevel"/>
    <w:tmpl w:val="41BC32F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8"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39" w15:restartNumberingAfterBreak="0">
    <w:nsid w:val="5C0E591C"/>
    <w:multiLevelType w:val="hybridMultilevel"/>
    <w:tmpl w:val="B2ACD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D943BE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5FDE0557"/>
    <w:multiLevelType w:val="hybridMultilevel"/>
    <w:tmpl w:val="2D1AA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62D37A81"/>
    <w:multiLevelType w:val="hybridMultilevel"/>
    <w:tmpl w:val="F9F48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916312"/>
    <w:multiLevelType w:val="hybridMultilevel"/>
    <w:tmpl w:val="CD62C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C1C2D3E"/>
    <w:multiLevelType w:val="hybridMultilevel"/>
    <w:tmpl w:val="023875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D135084"/>
    <w:multiLevelType w:val="hybridMultilevel"/>
    <w:tmpl w:val="2E060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D4820F8"/>
    <w:multiLevelType w:val="hybridMultilevel"/>
    <w:tmpl w:val="06BE0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DEB29B6"/>
    <w:multiLevelType w:val="hybridMultilevel"/>
    <w:tmpl w:val="F06E3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841511"/>
    <w:multiLevelType w:val="hybridMultilevel"/>
    <w:tmpl w:val="BC6888AE"/>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51"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52" w15:restartNumberingAfterBreak="0">
    <w:nsid w:val="75F87724"/>
    <w:multiLevelType w:val="hybridMultilevel"/>
    <w:tmpl w:val="5334793C"/>
    <w:lvl w:ilvl="0" w:tplc="0192ABD4">
      <w:start w:val="3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8AA6677"/>
    <w:multiLevelType w:val="multilevel"/>
    <w:tmpl w:val="71FEB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abstractNum w:abstractNumId="55" w15:restartNumberingAfterBreak="0">
    <w:nsid w:val="7B6D5FB4"/>
    <w:multiLevelType w:val="hybridMultilevel"/>
    <w:tmpl w:val="FFFFFFFF"/>
    <w:styleLink w:val="ListCB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BFE02E2"/>
    <w:multiLevelType w:val="hybridMultilevel"/>
    <w:tmpl w:val="2B48ACF2"/>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F205185"/>
    <w:multiLevelType w:val="hybridMultilevel"/>
    <w:tmpl w:val="10FA954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3063335">
    <w:abstractNumId w:val="12"/>
  </w:num>
  <w:num w:numId="2" w16cid:durableId="1740126243">
    <w:abstractNumId w:val="41"/>
  </w:num>
  <w:num w:numId="3" w16cid:durableId="960385107">
    <w:abstractNumId w:val="30"/>
  </w:num>
  <w:num w:numId="4" w16cid:durableId="1631126932">
    <w:abstractNumId w:val="55"/>
  </w:num>
  <w:num w:numId="5" w16cid:durableId="948321284">
    <w:abstractNumId w:val="15"/>
  </w:num>
  <w:num w:numId="6" w16cid:durableId="1445886020">
    <w:abstractNumId w:val="17"/>
  </w:num>
  <w:num w:numId="7" w16cid:durableId="494566720">
    <w:abstractNumId w:val="33"/>
  </w:num>
  <w:num w:numId="8" w16cid:durableId="1394347816">
    <w:abstractNumId w:val="16"/>
  </w:num>
  <w:num w:numId="9" w16cid:durableId="1007899677">
    <w:abstractNumId w:val="6"/>
  </w:num>
  <w:num w:numId="10" w16cid:durableId="933829409">
    <w:abstractNumId w:val="49"/>
  </w:num>
  <w:num w:numId="11" w16cid:durableId="1528175971">
    <w:abstractNumId w:val="2"/>
  </w:num>
  <w:num w:numId="12" w16cid:durableId="298190225">
    <w:abstractNumId w:val="36"/>
  </w:num>
  <w:num w:numId="13" w16cid:durableId="1546210416">
    <w:abstractNumId w:val="21"/>
  </w:num>
  <w:num w:numId="14" w16cid:durableId="2071420966">
    <w:abstractNumId w:val="38"/>
  </w:num>
  <w:num w:numId="15" w16cid:durableId="1789275923">
    <w:abstractNumId w:val="24"/>
  </w:num>
  <w:num w:numId="16" w16cid:durableId="88159009">
    <w:abstractNumId w:val="28"/>
  </w:num>
  <w:num w:numId="17" w16cid:durableId="189343280">
    <w:abstractNumId w:val="54"/>
  </w:num>
  <w:num w:numId="18" w16cid:durableId="1740178091">
    <w:abstractNumId w:val="5"/>
  </w:num>
  <w:num w:numId="19" w16cid:durableId="1550874067">
    <w:abstractNumId w:val="35"/>
  </w:num>
  <w:num w:numId="20" w16cid:durableId="658465241">
    <w:abstractNumId w:val="51"/>
  </w:num>
  <w:num w:numId="21" w16cid:durableId="945577433">
    <w:abstractNumId w:val="22"/>
  </w:num>
  <w:num w:numId="22" w16cid:durableId="1138838832">
    <w:abstractNumId w:val="44"/>
  </w:num>
  <w:num w:numId="23" w16cid:durableId="1219701910">
    <w:abstractNumId w:val="18"/>
  </w:num>
  <w:num w:numId="24" w16cid:durableId="1414814529">
    <w:abstractNumId w:val="7"/>
  </w:num>
  <w:num w:numId="25" w16cid:durableId="150298305">
    <w:abstractNumId w:val="47"/>
  </w:num>
  <w:num w:numId="26" w16cid:durableId="1656109279">
    <w:abstractNumId w:val="23"/>
  </w:num>
  <w:num w:numId="27" w16cid:durableId="1711490183">
    <w:abstractNumId w:val="14"/>
  </w:num>
  <w:num w:numId="28" w16cid:durableId="1796370358">
    <w:abstractNumId w:val="45"/>
  </w:num>
  <w:num w:numId="29" w16cid:durableId="2110277035">
    <w:abstractNumId w:val="43"/>
  </w:num>
  <w:num w:numId="30" w16cid:durableId="727068378">
    <w:abstractNumId w:val="19"/>
  </w:num>
  <w:num w:numId="31" w16cid:durableId="1926836911">
    <w:abstractNumId w:val="10"/>
  </w:num>
  <w:num w:numId="32" w16cid:durableId="615984003">
    <w:abstractNumId w:val="8"/>
  </w:num>
  <w:num w:numId="33" w16cid:durableId="683434058">
    <w:abstractNumId w:val="1"/>
  </w:num>
  <w:num w:numId="34" w16cid:durableId="1206522047">
    <w:abstractNumId w:val="56"/>
  </w:num>
  <w:num w:numId="35" w16cid:durableId="1216697168">
    <w:abstractNumId w:val="46"/>
  </w:num>
  <w:num w:numId="36" w16cid:durableId="765227413">
    <w:abstractNumId w:val="26"/>
  </w:num>
  <w:num w:numId="37" w16cid:durableId="221448356">
    <w:abstractNumId w:val="27"/>
  </w:num>
  <w:num w:numId="38" w16cid:durableId="1329673412">
    <w:abstractNumId w:val="3"/>
  </w:num>
  <w:num w:numId="39" w16cid:durableId="1600598903">
    <w:abstractNumId w:val="13"/>
  </w:num>
  <w:num w:numId="40" w16cid:durableId="1000081347">
    <w:abstractNumId w:val="42"/>
  </w:num>
  <w:num w:numId="41" w16cid:durableId="1537694420">
    <w:abstractNumId w:val="32"/>
  </w:num>
  <w:num w:numId="42" w16cid:durableId="323945383">
    <w:abstractNumId w:val="40"/>
  </w:num>
  <w:num w:numId="43" w16cid:durableId="2089382371">
    <w:abstractNumId w:val="39"/>
  </w:num>
  <w:num w:numId="44" w16cid:durableId="1048262138">
    <w:abstractNumId w:val="29"/>
  </w:num>
  <w:num w:numId="45" w16cid:durableId="1244408844">
    <w:abstractNumId w:val="4"/>
  </w:num>
  <w:num w:numId="46" w16cid:durableId="1813715920">
    <w:abstractNumId w:val="25"/>
  </w:num>
  <w:num w:numId="47" w16cid:durableId="1958751613">
    <w:abstractNumId w:val="34"/>
  </w:num>
  <w:num w:numId="48" w16cid:durableId="359937558">
    <w:abstractNumId w:val="9"/>
  </w:num>
  <w:num w:numId="49" w16cid:durableId="764158630">
    <w:abstractNumId w:val="52"/>
  </w:num>
  <w:num w:numId="50" w16cid:durableId="1185629645">
    <w:abstractNumId w:val="0"/>
  </w:num>
  <w:num w:numId="51" w16cid:durableId="909392108">
    <w:abstractNumId w:val="48"/>
  </w:num>
  <w:num w:numId="52" w16cid:durableId="67926323">
    <w:abstractNumId w:val="50"/>
  </w:num>
  <w:num w:numId="53" w16cid:durableId="1055156761">
    <w:abstractNumId w:val="57"/>
  </w:num>
  <w:num w:numId="54" w16cid:durableId="2095514500">
    <w:abstractNumId w:val="20"/>
  </w:num>
  <w:num w:numId="55" w16cid:durableId="880480263">
    <w:abstractNumId w:val="11"/>
  </w:num>
  <w:num w:numId="56" w16cid:durableId="813958883">
    <w:abstractNumId w:val="37"/>
  </w:num>
  <w:num w:numId="57" w16cid:durableId="1680546755">
    <w:abstractNumId w:val="53"/>
  </w:num>
  <w:num w:numId="58" w16cid:durableId="830828777">
    <w:abstractNumId w:val="3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A74"/>
    <w:rsid w:val="00000138"/>
    <w:rsid w:val="000001E8"/>
    <w:rsid w:val="000001FC"/>
    <w:rsid w:val="00000200"/>
    <w:rsid w:val="00000344"/>
    <w:rsid w:val="00000438"/>
    <w:rsid w:val="0000047E"/>
    <w:rsid w:val="00000512"/>
    <w:rsid w:val="0000052F"/>
    <w:rsid w:val="000005A0"/>
    <w:rsid w:val="000005E9"/>
    <w:rsid w:val="000005F9"/>
    <w:rsid w:val="0000064B"/>
    <w:rsid w:val="000008BE"/>
    <w:rsid w:val="000008C2"/>
    <w:rsid w:val="00000C02"/>
    <w:rsid w:val="00000C8E"/>
    <w:rsid w:val="00000C99"/>
    <w:rsid w:val="00000D43"/>
    <w:rsid w:val="00000D7B"/>
    <w:rsid w:val="00000E46"/>
    <w:rsid w:val="00000E92"/>
    <w:rsid w:val="00000ECE"/>
    <w:rsid w:val="00000F57"/>
    <w:rsid w:val="00000F77"/>
    <w:rsid w:val="000011AB"/>
    <w:rsid w:val="000011EB"/>
    <w:rsid w:val="00001270"/>
    <w:rsid w:val="0000129C"/>
    <w:rsid w:val="00001340"/>
    <w:rsid w:val="0000141A"/>
    <w:rsid w:val="0000150C"/>
    <w:rsid w:val="0000158F"/>
    <w:rsid w:val="000015A3"/>
    <w:rsid w:val="000016A0"/>
    <w:rsid w:val="00001768"/>
    <w:rsid w:val="0000183D"/>
    <w:rsid w:val="0000184C"/>
    <w:rsid w:val="00001A34"/>
    <w:rsid w:val="00001B13"/>
    <w:rsid w:val="00001B36"/>
    <w:rsid w:val="00001B4C"/>
    <w:rsid w:val="00001C34"/>
    <w:rsid w:val="00001CA3"/>
    <w:rsid w:val="00001D78"/>
    <w:rsid w:val="00001DE3"/>
    <w:rsid w:val="00001E04"/>
    <w:rsid w:val="00001E54"/>
    <w:rsid w:val="00001FD8"/>
    <w:rsid w:val="0000202A"/>
    <w:rsid w:val="00002043"/>
    <w:rsid w:val="00002178"/>
    <w:rsid w:val="0000228B"/>
    <w:rsid w:val="00002304"/>
    <w:rsid w:val="00002323"/>
    <w:rsid w:val="000024E0"/>
    <w:rsid w:val="00002521"/>
    <w:rsid w:val="00002743"/>
    <w:rsid w:val="000028A9"/>
    <w:rsid w:val="0000291F"/>
    <w:rsid w:val="00002B5F"/>
    <w:rsid w:val="00002BC2"/>
    <w:rsid w:val="00002C30"/>
    <w:rsid w:val="00002C9B"/>
    <w:rsid w:val="00002D60"/>
    <w:rsid w:val="00002E0A"/>
    <w:rsid w:val="00002E26"/>
    <w:rsid w:val="00002ECE"/>
    <w:rsid w:val="00002F57"/>
    <w:rsid w:val="00002F5A"/>
    <w:rsid w:val="0000304A"/>
    <w:rsid w:val="0000319B"/>
    <w:rsid w:val="0000333A"/>
    <w:rsid w:val="0000334D"/>
    <w:rsid w:val="00003518"/>
    <w:rsid w:val="00003539"/>
    <w:rsid w:val="00003643"/>
    <w:rsid w:val="00003765"/>
    <w:rsid w:val="0000378F"/>
    <w:rsid w:val="000037F6"/>
    <w:rsid w:val="00003856"/>
    <w:rsid w:val="000039C5"/>
    <w:rsid w:val="000039D1"/>
    <w:rsid w:val="00003A4C"/>
    <w:rsid w:val="00003AA4"/>
    <w:rsid w:val="00003B2B"/>
    <w:rsid w:val="00003BFB"/>
    <w:rsid w:val="00003C74"/>
    <w:rsid w:val="00003D2F"/>
    <w:rsid w:val="00003EA2"/>
    <w:rsid w:val="00003EB6"/>
    <w:rsid w:val="00003F6D"/>
    <w:rsid w:val="00003F6E"/>
    <w:rsid w:val="00003F9A"/>
    <w:rsid w:val="0000405F"/>
    <w:rsid w:val="000040E0"/>
    <w:rsid w:val="00004124"/>
    <w:rsid w:val="00004154"/>
    <w:rsid w:val="000041A4"/>
    <w:rsid w:val="00004369"/>
    <w:rsid w:val="000044B7"/>
    <w:rsid w:val="000046B8"/>
    <w:rsid w:val="00004831"/>
    <w:rsid w:val="00004BCC"/>
    <w:rsid w:val="00004C10"/>
    <w:rsid w:val="00004D01"/>
    <w:rsid w:val="00004D6D"/>
    <w:rsid w:val="00004E1A"/>
    <w:rsid w:val="00004E8B"/>
    <w:rsid w:val="00004E9E"/>
    <w:rsid w:val="00004F0C"/>
    <w:rsid w:val="00005071"/>
    <w:rsid w:val="000050F8"/>
    <w:rsid w:val="0000518B"/>
    <w:rsid w:val="00005308"/>
    <w:rsid w:val="000053A2"/>
    <w:rsid w:val="000053D8"/>
    <w:rsid w:val="000054D3"/>
    <w:rsid w:val="0000555A"/>
    <w:rsid w:val="00005576"/>
    <w:rsid w:val="0000566D"/>
    <w:rsid w:val="000057AD"/>
    <w:rsid w:val="000057D6"/>
    <w:rsid w:val="00005838"/>
    <w:rsid w:val="000058BB"/>
    <w:rsid w:val="00005911"/>
    <w:rsid w:val="000059A7"/>
    <w:rsid w:val="00005A39"/>
    <w:rsid w:val="00005C61"/>
    <w:rsid w:val="00005C8F"/>
    <w:rsid w:val="00005CF7"/>
    <w:rsid w:val="00005DB3"/>
    <w:rsid w:val="00005F7D"/>
    <w:rsid w:val="00005F7E"/>
    <w:rsid w:val="00005F89"/>
    <w:rsid w:val="00005FBB"/>
    <w:rsid w:val="00005FCB"/>
    <w:rsid w:val="00005FD9"/>
    <w:rsid w:val="00006038"/>
    <w:rsid w:val="0000607D"/>
    <w:rsid w:val="0000612C"/>
    <w:rsid w:val="000061A7"/>
    <w:rsid w:val="00006309"/>
    <w:rsid w:val="000063DC"/>
    <w:rsid w:val="0000670B"/>
    <w:rsid w:val="00006729"/>
    <w:rsid w:val="00006768"/>
    <w:rsid w:val="00006895"/>
    <w:rsid w:val="00006925"/>
    <w:rsid w:val="000069CC"/>
    <w:rsid w:val="00006A14"/>
    <w:rsid w:val="00006E62"/>
    <w:rsid w:val="00006EB4"/>
    <w:rsid w:val="000072AF"/>
    <w:rsid w:val="00007383"/>
    <w:rsid w:val="00007435"/>
    <w:rsid w:val="00007632"/>
    <w:rsid w:val="00007667"/>
    <w:rsid w:val="0000771D"/>
    <w:rsid w:val="000077B7"/>
    <w:rsid w:val="000077C8"/>
    <w:rsid w:val="0000780F"/>
    <w:rsid w:val="00007826"/>
    <w:rsid w:val="0000785F"/>
    <w:rsid w:val="00007965"/>
    <w:rsid w:val="00007AC4"/>
    <w:rsid w:val="00007BCD"/>
    <w:rsid w:val="00007C4C"/>
    <w:rsid w:val="00007CBA"/>
    <w:rsid w:val="00007D87"/>
    <w:rsid w:val="00007D8C"/>
    <w:rsid w:val="00007FDD"/>
    <w:rsid w:val="0001002F"/>
    <w:rsid w:val="000101BE"/>
    <w:rsid w:val="000101EB"/>
    <w:rsid w:val="000101FF"/>
    <w:rsid w:val="00010373"/>
    <w:rsid w:val="000104B9"/>
    <w:rsid w:val="0001091A"/>
    <w:rsid w:val="00010A63"/>
    <w:rsid w:val="00010BAD"/>
    <w:rsid w:val="00010CDF"/>
    <w:rsid w:val="00010CE3"/>
    <w:rsid w:val="00010EA0"/>
    <w:rsid w:val="00010EF1"/>
    <w:rsid w:val="00010F53"/>
    <w:rsid w:val="00010FB4"/>
    <w:rsid w:val="0001120E"/>
    <w:rsid w:val="0001127F"/>
    <w:rsid w:val="000112A9"/>
    <w:rsid w:val="00011345"/>
    <w:rsid w:val="00011484"/>
    <w:rsid w:val="00011557"/>
    <w:rsid w:val="000115F4"/>
    <w:rsid w:val="0001161C"/>
    <w:rsid w:val="00011A01"/>
    <w:rsid w:val="00011AAE"/>
    <w:rsid w:val="00011AB9"/>
    <w:rsid w:val="00011ABE"/>
    <w:rsid w:val="00011D35"/>
    <w:rsid w:val="00011EF8"/>
    <w:rsid w:val="00011FD6"/>
    <w:rsid w:val="00012008"/>
    <w:rsid w:val="000120C7"/>
    <w:rsid w:val="00012145"/>
    <w:rsid w:val="000121E2"/>
    <w:rsid w:val="0001243E"/>
    <w:rsid w:val="0001260F"/>
    <w:rsid w:val="000127FC"/>
    <w:rsid w:val="00012854"/>
    <w:rsid w:val="000128BC"/>
    <w:rsid w:val="00012A3E"/>
    <w:rsid w:val="00012A81"/>
    <w:rsid w:val="00012B30"/>
    <w:rsid w:val="00012C0F"/>
    <w:rsid w:val="00012C34"/>
    <w:rsid w:val="00012C67"/>
    <w:rsid w:val="00012DA7"/>
    <w:rsid w:val="00012DB4"/>
    <w:rsid w:val="00012E26"/>
    <w:rsid w:val="00012F08"/>
    <w:rsid w:val="00013092"/>
    <w:rsid w:val="000130C7"/>
    <w:rsid w:val="00013122"/>
    <w:rsid w:val="0001325B"/>
    <w:rsid w:val="000132DB"/>
    <w:rsid w:val="00013395"/>
    <w:rsid w:val="00013592"/>
    <w:rsid w:val="000135B2"/>
    <w:rsid w:val="0001366D"/>
    <w:rsid w:val="00013804"/>
    <w:rsid w:val="00013925"/>
    <w:rsid w:val="000139DB"/>
    <w:rsid w:val="00013A83"/>
    <w:rsid w:val="00013BF4"/>
    <w:rsid w:val="00013C38"/>
    <w:rsid w:val="00013C81"/>
    <w:rsid w:val="00013CCA"/>
    <w:rsid w:val="00013D26"/>
    <w:rsid w:val="00013FFF"/>
    <w:rsid w:val="00014033"/>
    <w:rsid w:val="0001420E"/>
    <w:rsid w:val="00014219"/>
    <w:rsid w:val="0001424A"/>
    <w:rsid w:val="00014457"/>
    <w:rsid w:val="000144BB"/>
    <w:rsid w:val="00014593"/>
    <w:rsid w:val="0001461E"/>
    <w:rsid w:val="00014874"/>
    <w:rsid w:val="000149F1"/>
    <w:rsid w:val="00014C44"/>
    <w:rsid w:val="00014C5E"/>
    <w:rsid w:val="00014DF9"/>
    <w:rsid w:val="00014EC6"/>
    <w:rsid w:val="00014ED8"/>
    <w:rsid w:val="00014F05"/>
    <w:rsid w:val="00015010"/>
    <w:rsid w:val="00015123"/>
    <w:rsid w:val="00015128"/>
    <w:rsid w:val="000151A1"/>
    <w:rsid w:val="000151D7"/>
    <w:rsid w:val="00015296"/>
    <w:rsid w:val="0001571C"/>
    <w:rsid w:val="00015842"/>
    <w:rsid w:val="00015850"/>
    <w:rsid w:val="00015867"/>
    <w:rsid w:val="000158F0"/>
    <w:rsid w:val="00015950"/>
    <w:rsid w:val="00015955"/>
    <w:rsid w:val="000159A2"/>
    <w:rsid w:val="00015A32"/>
    <w:rsid w:val="00015A33"/>
    <w:rsid w:val="00015B02"/>
    <w:rsid w:val="00015B1A"/>
    <w:rsid w:val="00015BDC"/>
    <w:rsid w:val="00015D26"/>
    <w:rsid w:val="00015F6C"/>
    <w:rsid w:val="00015F7F"/>
    <w:rsid w:val="00016025"/>
    <w:rsid w:val="000161A8"/>
    <w:rsid w:val="00016242"/>
    <w:rsid w:val="00016247"/>
    <w:rsid w:val="0001625A"/>
    <w:rsid w:val="0001634E"/>
    <w:rsid w:val="00016415"/>
    <w:rsid w:val="00016424"/>
    <w:rsid w:val="00016519"/>
    <w:rsid w:val="0001676C"/>
    <w:rsid w:val="0001681C"/>
    <w:rsid w:val="00016846"/>
    <w:rsid w:val="00016851"/>
    <w:rsid w:val="000168DF"/>
    <w:rsid w:val="00016A31"/>
    <w:rsid w:val="00016AA8"/>
    <w:rsid w:val="00016AD0"/>
    <w:rsid w:val="00016D43"/>
    <w:rsid w:val="00016D74"/>
    <w:rsid w:val="00016DE0"/>
    <w:rsid w:val="00016E85"/>
    <w:rsid w:val="00016FAB"/>
    <w:rsid w:val="00016FAD"/>
    <w:rsid w:val="000170E4"/>
    <w:rsid w:val="00017123"/>
    <w:rsid w:val="00017126"/>
    <w:rsid w:val="000173F6"/>
    <w:rsid w:val="0001744A"/>
    <w:rsid w:val="0001746D"/>
    <w:rsid w:val="00017655"/>
    <w:rsid w:val="000177D7"/>
    <w:rsid w:val="0001782F"/>
    <w:rsid w:val="0001798B"/>
    <w:rsid w:val="00017C27"/>
    <w:rsid w:val="00017C8B"/>
    <w:rsid w:val="00017D58"/>
    <w:rsid w:val="00017D9F"/>
    <w:rsid w:val="00017DB9"/>
    <w:rsid w:val="00017DD0"/>
    <w:rsid w:val="00017E00"/>
    <w:rsid w:val="00017ECF"/>
    <w:rsid w:val="00017EF7"/>
    <w:rsid w:val="00017F04"/>
    <w:rsid w:val="00017F4C"/>
    <w:rsid w:val="000200C6"/>
    <w:rsid w:val="00020131"/>
    <w:rsid w:val="000201CF"/>
    <w:rsid w:val="0002028C"/>
    <w:rsid w:val="000202F8"/>
    <w:rsid w:val="00020313"/>
    <w:rsid w:val="0002042F"/>
    <w:rsid w:val="0002044E"/>
    <w:rsid w:val="000204C6"/>
    <w:rsid w:val="0002050F"/>
    <w:rsid w:val="0002083F"/>
    <w:rsid w:val="00020888"/>
    <w:rsid w:val="00020892"/>
    <w:rsid w:val="00020A42"/>
    <w:rsid w:val="00020A4A"/>
    <w:rsid w:val="00020B5A"/>
    <w:rsid w:val="00020B90"/>
    <w:rsid w:val="00020C01"/>
    <w:rsid w:val="00020C78"/>
    <w:rsid w:val="00020C96"/>
    <w:rsid w:val="00020D9D"/>
    <w:rsid w:val="00020DC5"/>
    <w:rsid w:val="00020E18"/>
    <w:rsid w:val="000210CD"/>
    <w:rsid w:val="000212E9"/>
    <w:rsid w:val="00021307"/>
    <w:rsid w:val="00021339"/>
    <w:rsid w:val="000213BE"/>
    <w:rsid w:val="00021459"/>
    <w:rsid w:val="000214A9"/>
    <w:rsid w:val="00021700"/>
    <w:rsid w:val="00021736"/>
    <w:rsid w:val="0002197A"/>
    <w:rsid w:val="0002197E"/>
    <w:rsid w:val="00021A2A"/>
    <w:rsid w:val="00021A5A"/>
    <w:rsid w:val="00021AD2"/>
    <w:rsid w:val="00021B61"/>
    <w:rsid w:val="00021C8B"/>
    <w:rsid w:val="00021C93"/>
    <w:rsid w:val="00021D66"/>
    <w:rsid w:val="00021DC7"/>
    <w:rsid w:val="00021E27"/>
    <w:rsid w:val="00021EAB"/>
    <w:rsid w:val="00021EF2"/>
    <w:rsid w:val="00022061"/>
    <w:rsid w:val="00022121"/>
    <w:rsid w:val="000223D4"/>
    <w:rsid w:val="00022421"/>
    <w:rsid w:val="00022574"/>
    <w:rsid w:val="000225E4"/>
    <w:rsid w:val="00022615"/>
    <w:rsid w:val="0002279F"/>
    <w:rsid w:val="000227B9"/>
    <w:rsid w:val="000227E4"/>
    <w:rsid w:val="0002284E"/>
    <w:rsid w:val="00022909"/>
    <w:rsid w:val="0002290D"/>
    <w:rsid w:val="000229AB"/>
    <w:rsid w:val="00022C17"/>
    <w:rsid w:val="00022CF6"/>
    <w:rsid w:val="00022D94"/>
    <w:rsid w:val="00022DA0"/>
    <w:rsid w:val="000231A3"/>
    <w:rsid w:val="000231E7"/>
    <w:rsid w:val="00023206"/>
    <w:rsid w:val="00023232"/>
    <w:rsid w:val="00023341"/>
    <w:rsid w:val="00023639"/>
    <w:rsid w:val="0002367D"/>
    <w:rsid w:val="000236C4"/>
    <w:rsid w:val="000236FF"/>
    <w:rsid w:val="0002377F"/>
    <w:rsid w:val="000238AD"/>
    <w:rsid w:val="0002399B"/>
    <w:rsid w:val="00023BA1"/>
    <w:rsid w:val="00023BAD"/>
    <w:rsid w:val="00023C15"/>
    <w:rsid w:val="00023FBF"/>
    <w:rsid w:val="00024039"/>
    <w:rsid w:val="0002428E"/>
    <w:rsid w:val="00024564"/>
    <w:rsid w:val="0002463A"/>
    <w:rsid w:val="0002473D"/>
    <w:rsid w:val="00024834"/>
    <w:rsid w:val="0002484E"/>
    <w:rsid w:val="00024877"/>
    <w:rsid w:val="0002488D"/>
    <w:rsid w:val="00024937"/>
    <w:rsid w:val="00024A1F"/>
    <w:rsid w:val="00024B28"/>
    <w:rsid w:val="00024BC3"/>
    <w:rsid w:val="00024BCC"/>
    <w:rsid w:val="00024BF7"/>
    <w:rsid w:val="00024C12"/>
    <w:rsid w:val="00024C55"/>
    <w:rsid w:val="00024EA7"/>
    <w:rsid w:val="00025172"/>
    <w:rsid w:val="00025192"/>
    <w:rsid w:val="00025219"/>
    <w:rsid w:val="0002524C"/>
    <w:rsid w:val="00025313"/>
    <w:rsid w:val="000254A6"/>
    <w:rsid w:val="000254B8"/>
    <w:rsid w:val="00025629"/>
    <w:rsid w:val="000256E4"/>
    <w:rsid w:val="0002576C"/>
    <w:rsid w:val="00025A1A"/>
    <w:rsid w:val="00025A27"/>
    <w:rsid w:val="00025BD0"/>
    <w:rsid w:val="00025BD5"/>
    <w:rsid w:val="00025D4C"/>
    <w:rsid w:val="00025E3D"/>
    <w:rsid w:val="00025EFF"/>
    <w:rsid w:val="00025F14"/>
    <w:rsid w:val="00026109"/>
    <w:rsid w:val="00026110"/>
    <w:rsid w:val="0002636E"/>
    <w:rsid w:val="000263E7"/>
    <w:rsid w:val="0002646A"/>
    <w:rsid w:val="00026592"/>
    <w:rsid w:val="000266DE"/>
    <w:rsid w:val="00026874"/>
    <w:rsid w:val="000268DF"/>
    <w:rsid w:val="0002698F"/>
    <w:rsid w:val="000269F7"/>
    <w:rsid w:val="00026A77"/>
    <w:rsid w:val="00026A8B"/>
    <w:rsid w:val="00026B22"/>
    <w:rsid w:val="00026B28"/>
    <w:rsid w:val="00026BB8"/>
    <w:rsid w:val="00026BD4"/>
    <w:rsid w:val="00026BE8"/>
    <w:rsid w:val="00026CEF"/>
    <w:rsid w:val="00026D0C"/>
    <w:rsid w:val="00026D18"/>
    <w:rsid w:val="00026E5D"/>
    <w:rsid w:val="00026ED9"/>
    <w:rsid w:val="00026EE4"/>
    <w:rsid w:val="00026EEA"/>
    <w:rsid w:val="000270C8"/>
    <w:rsid w:val="000271F7"/>
    <w:rsid w:val="000272D4"/>
    <w:rsid w:val="000272ED"/>
    <w:rsid w:val="000274B8"/>
    <w:rsid w:val="0002750B"/>
    <w:rsid w:val="00027525"/>
    <w:rsid w:val="00027539"/>
    <w:rsid w:val="000275DE"/>
    <w:rsid w:val="000276F0"/>
    <w:rsid w:val="00027767"/>
    <w:rsid w:val="00027968"/>
    <w:rsid w:val="0002799A"/>
    <w:rsid w:val="000279C0"/>
    <w:rsid w:val="00027A5D"/>
    <w:rsid w:val="00027B67"/>
    <w:rsid w:val="00027BCC"/>
    <w:rsid w:val="00027C4D"/>
    <w:rsid w:val="00027DA6"/>
    <w:rsid w:val="00027E58"/>
    <w:rsid w:val="00027E76"/>
    <w:rsid w:val="00027F4E"/>
    <w:rsid w:val="00027F8D"/>
    <w:rsid w:val="0003006B"/>
    <w:rsid w:val="00030072"/>
    <w:rsid w:val="000300EF"/>
    <w:rsid w:val="0003010E"/>
    <w:rsid w:val="00030132"/>
    <w:rsid w:val="000302B7"/>
    <w:rsid w:val="00030309"/>
    <w:rsid w:val="0003037F"/>
    <w:rsid w:val="000303DC"/>
    <w:rsid w:val="00030517"/>
    <w:rsid w:val="00030780"/>
    <w:rsid w:val="00030836"/>
    <w:rsid w:val="00030902"/>
    <w:rsid w:val="00030974"/>
    <w:rsid w:val="00030AB0"/>
    <w:rsid w:val="00030DAB"/>
    <w:rsid w:val="00030E17"/>
    <w:rsid w:val="00030E54"/>
    <w:rsid w:val="00030EAD"/>
    <w:rsid w:val="00030F25"/>
    <w:rsid w:val="0003118A"/>
    <w:rsid w:val="0003123B"/>
    <w:rsid w:val="00031251"/>
    <w:rsid w:val="00031270"/>
    <w:rsid w:val="000312F3"/>
    <w:rsid w:val="00031336"/>
    <w:rsid w:val="000313D1"/>
    <w:rsid w:val="00031499"/>
    <w:rsid w:val="00031578"/>
    <w:rsid w:val="00031615"/>
    <w:rsid w:val="000316D1"/>
    <w:rsid w:val="00031982"/>
    <w:rsid w:val="00031D13"/>
    <w:rsid w:val="00031D1D"/>
    <w:rsid w:val="00031F06"/>
    <w:rsid w:val="00031FF0"/>
    <w:rsid w:val="0003203F"/>
    <w:rsid w:val="000320A5"/>
    <w:rsid w:val="0003215F"/>
    <w:rsid w:val="000322A3"/>
    <w:rsid w:val="0003231E"/>
    <w:rsid w:val="000323E4"/>
    <w:rsid w:val="00032420"/>
    <w:rsid w:val="0003243B"/>
    <w:rsid w:val="000324E2"/>
    <w:rsid w:val="00032579"/>
    <w:rsid w:val="000325B4"/>
    <w:rsid w:val="000325BB"/>
    <w:rsid w:val="000326CF"/>
    <w:rsid w:val="000327A9"/>
    <w:rsid w:val="000328D9"/>
    <w:rsid w:val="00032982"/>
    <w:rsid w:val="00032A54"/>
    <w:rsid w:val="00032BD9"/>
    <w:rsid w:val="00032D6D"/>
    <w:rsid w:val="00032E85"/>
    <w:rsid w:val="00032ED8"/>
    <w:rsid w:val="00032F5F"/>
    <w:rsid w:val="00032FF9"/>
    <w:rsid w:val="00033176"/>
    <w:rsid w:val="00033179"/>
    <w:rsid w:val="0003325A"/>
    <w:rsid w:val="00033275"/>
    <w:rsid w:val="000333A4"/>
    <w:rsid w:val="000333CC"/>
    <w:rsid w:val="0003377B"/>
    <w:rsid w:val="000338B4"/>
    <w:rsid w:val="00033AEC"/>
    <w:rsid w:val="00033BB9"/>
    <w:rsid w:val="00033C3E"/>
    <w:rsid w:val="00033CE0"/>
    <w:rsid w:val="00033CEF"/>
    <w:rsid w:val="00033DB9"/>
    <w:rsid w:val="00033DE6"/>
    <w:rsid w:val="00033EE1"/>
    <w:rsid w:val="000340AB"/>
    <w:rsid w:val="000341A5"/>
    <w:rsid w:val="000342A4"/>
    <w:rsid w:val="00034353"/>
    <w:rsid w:val="000345DC"/>
    <w:rsid w:val="000347EC"/>
    <w:rsid w:val="00034855"/>
    <w:rsid w:val="0003490B"/>
    <w:rsid w:val="00034919"/>
    <w:rsid w:val="000349A2"/>
    <w:rsid w:val="000349A3"/>
    <w:rsid w:val="00034BE9"/>
    <w:rsid w:val="00034D18"/>
    <w:rsid w:val="00034D7D"/>
    <w:rsid w:val="00034DA0"/>
    <w:rsid w:val="00034F94"/>
    <w:rsid w:val="00034F98"/>
    <w:rsid w:val="000350B1"/>
    <w:rsid w:val="0003515B"/>
    <w:rsid w:val="0003536B"/>
    <w:rsid w:val="00035410"/>
    <w:rsid w:val="0003543A"/>
    <w:rsid w:val="0003549B"/>
    <w:rsid w:val="0003556B"/>
    <w:rsid w:val="000357D6"/>
    <w:rsid w:val="00035885"/>
    <w:rsid w:val="0003597D"/>
    <w:rsid w:val="00035A79"/>
    <w:rsid w:val="00035AFB"/>
    <w:rsid w:val="00035B9D"/>
    <w:rsid w:val="00035BBE"/>
    <w:rsid w:val="00035DA7"/>
    <w:rsid w:val="00035DCE"/>
    <w:rsid w:val="000361CC"/>
    <w:rsid w:val="00036269"/>
    <w:rsid w:val="000363A3"/>
    <w:rsid w:val="0003644C"/>
    <w:rsid w:val="00036462"/>
    <w:rsid w:val="000364E7"/>
    <w:rsid w:val="00036578"/>
    <w:rsid w:val="000365AB"/>
    <w:rsid w:val="00036669"/>
    <w:rsid w:val="000366EA"/>
    <w:rsid w:val="000367A6"/>
    <w:rsid w:val="000367BB"/>
    <w:rsid w:val="0003681F"/>
    <w:rsid w:val="0003682D"/>
    <w:rsid w:val="000368C7"/>
    <w:rsid w:val="000368F2"/>
    <w:rsid w:val="000368F5"/>
    <w:rsid w:val="000369E2"/>
    <w:rsid w:val="00036A63"/>
    <w:rsid w:val="00036C24"/>
    <w:rsid w:val="00036C6A"/>
    <w:rsid w:val="00036E13"/>
    <w:rsid w:val="00036F8B"/>
    <w:rsid w:val="00037064"/>
    <w:rsid w:val="0003713E"/>
    <w:rsid w:val="00037186"/>
    <w:rsid w:val="000373E8"/>
    <w:rsid w:val="0003744F"/>
    <w:rsid w:val="00037608"/>
    <w:rsid w:val="00037770"/>
    <w:rsid w:val="00037790"/>
    <w:rsid w:val="00037791"/>
    <w:rsid w:val="000377CD"/>
    <w:rsid w:val="000379F7"/>
    <w:rsid w:val="00037B38"/>
    <w:rsid w:val="00037EC9"/>
    <w:rsid w:val="00037EE3"/>
    <w:rsid w:val="00037FC9"/>
    <w:rsid w:val="0004005F"/>
    <w:rsid w:val="0004015B"/>
    <w:rsid w:val="00040199"/>
    <w:rsid w:val="000401A6"/>
    <w:rsid w:val="00040227"/>
    <w:rsid w:val="0004031E"/>
    <w:rsid w:val="00040324"/>
    <w:rsid w:val="000404ED"/>
    <w:rsid w:val="00040582"/>
    <w:rsid w:val="000406FC"/>
    <w:rsid w:val="00040711"/>
    <w:rsid w:val="00040793"/>
    <w:rsid w:val="000409E9"/>
    <w:rsid w:val="00040CD3"/>
    <w:rsid w:val="00040D46"/>
    <w:rsid w:val="00040D57"/>
    <w:rsid w:val="00040D68"/>
    <w:rsid w:val="00040DC9"/>
    <w:rsid w:val="00040E3D"/>
    <w:rsid w:val="00040EE1"/>
    <w:rsid w:val="00040F65"/>
    <w:rsid w:val="000410BA"/>
    <w:rsid w:val="00041118"/>
    <w:rsid w:val="00041132"/>
    <w:rsid w:val="00041135"/>
    <w:rsid w:val="000411E0"/>
    <w:rsid w:val="00041320"/>
    <w:rsid w:val="0004138C"/>
    <w:rsid w:val="00041410"/>
    <w:rsid w:val="000414C6"/>
    <w:rsid w:val="000414EF"/>
    <w:rsid w:val="000417AE"/>
    <w:rsid w:val="000417BC"/>
    <w:rsid w:val="000418A0"/>
    <w:rsid w:val="000419B9"/>
    <w:rsid w:val="00041A83"/>
    <w:rsid w:val="00041ADA"/>
    <w:rsid w:val="00041B24"/>
    <w:rsid w:val="00041C58"/>
    <w:rsid w:val="00041C90"/>
    <w:rsid w:val="00041F64"/>
    <w:rsid w:val="00042083"/>
    <w:rsid w:val="00042125"/>
    <w:rsid w:val="000421CA"/>
    <w:rsid w:val="0004224F"/>
    <w:rsid w:val="0004244C"/>
    <w:rsid w:val="0004254B"/>
    <w:rsid w:val="0004262E"/>
    <w:rsid w:val="000426D2"/>
    <w:rsid w:val="000427C6"/>
    <w:rsid w:val="00042856"/>
    <w:rsid w:val="00042897"/>
    <w:rsid w:val="00042A14"/>
    <w:rsid w:val="00042A2F"/>
    <w:rsid w:val="00042AFF"/>
    <w:rsid w:val="00042B02"/>
    <w:rsid w:val="00042B44"/>
    <w:rsid w:val="00042B56"/>
    <w:rsid w:val="00042BB3"/>
    <w:rsid w:val="00042C54"/>
    <w:rsid w:val="00042D12"/>
    <w:rsid w:val="00042DAC"/>
    <w:rsid w:val="00042E87"/>
    <w:rsid w:val="00043051"/>
    <w:rsid w:val="0004319A"/>
    <w:rsid w:val="0004329C"/>
    <w:rsid w:val="00043355"/>
    <w:rsid w:val="0004335A"/>
    <w:rsid w:val="0004338D"/>
    <w:rsid w:val="0004341D"/>
    <w:rsid w:val="00043653"/>
    <w:rsid w:val="000436BB"/>
    <w:rsid w:val="0004375C"/>
    <w:rsid w:val="000439BC"/>
    <w:rsid w:val="00043A52"/>
    <w:rsid w:val="00043A69"/>
    <w:rsid w:val="00043A99"/>
    <w:rsid w:val="00043B77"/>
    <w:rsid w:val="00043B8D"/>
    <w:rsid w:val="00043C70"/>
    <w:rsid w:val="00043CD7"/>
    <w:rsid w:val="00043D74"/>
    <w:rsid w:val="00043ED1"/>
    <w:rsid w:val="00044176"/>
    <w:rsid w:val="00044199"/>
    <w:rsid w:val="000441AB"/>
    <w:rsid w:val="000441C5"/>
    <w:rsid w:val="000441FB"/>
    <w:rsid w:val="0004420C"/>
    <w:rsid w:val="00044348"/>
    <w:rsid w:val="00044393"/>
    <w:rsid w:val="00044453"/>
    <w:rsid w:val="000447A3"/>
    <w:rsid w:val="0004482A"/>
    <w:rsid w:val="00044879"/>
    <w:rsid w:val="00044926"/>
    <w:rsid w:val="00044947"/>
    <w:rsid w:val="00044B20"/>
    <w:rsid w:val="00044CC1"/>
    <w:rsid w:val="00044D12"/>
    <w:rsid w:val="00044D2D"/>
    <w:rsid w:val="00044E1C"/>
    <w:rsid w:val="00044EB6"/>
    <w:rsid w:val="00044EF6"/>
    <w:rsid w:val="00044F29"/>
    <w:rsid w:val="0004512B"/>
    <w:rsid w:val="000451FE"/>
    <w:rsid w:val="00045247"/>
    <w:rsid w:val="00045317"/>
    <w:rsid w:val="00045358"/>
    <w:rsid w:val="00045370"/>
    <w:rsid w:val="0004549A"/>
    <w:rsid w:val="000455DE"/>
    <w:rsid w:val="00045600"/>
    <w:rsid w:val="00045762"/>
    <w:rsid w:val="000457D9"/>
    <w:rsid w:val="00045874"/>
    <w:rsid w:val="000458B0"/>
    <w:rsid w:val="000458E9"/>
    <w:rsid w:val="00045948"/>
    <w:rsid w:val="00045A76"/>
    <w:rsid w:val="00045AB9"/>
    <w:rsid w:val="00045E88"/>
    <w:rsid w:val="00045EEB"/>
    <w:rsid w:val="0004606E"/>
    <w:rsid w:val="000463B2"/>
    <w:rsid w:val="00046452"/>
    <w:rsid w:val="000464A6"/>
    <w:rsid w:val="00046516"/>
    <w:rsid w:val="000466D5"/>
    <w:rsid w:val="000468B1"/>
    <w:rsid w:val="000469DC"/>
    <w:rsid w:val="00046A93"/>
    <w:rsid w:val="00046A94"/>
    <w:rsid w:val="00046B2B"/>
    <w:rsid w:val="00046D5A"/>
    <w:rsid w:val="00046E23"/>
    <w:rsid w:val="00046E78"/>
    <w:rsid w:val="00047092"/>
    <w:rsid w:val="00047097"/>
    <w:rsid w:val="00047112"/>
    <w:rsid w:val="000471BB"/>
    <w:rsid w:val="00047240"/>
    <w:rsid w:val="00047358"/>
    <w:rsid w:val="000474AC"/>
    <w:rsid w:val="000474D8"/>
    <w:rsid w:val="00047543"/>
    <w:rsid w:val="00047600"/>
    <w:rsid w:val="00047607"/>
    <w:rsid w:val="000476BE"/>
    <w:rsid w:val="00047783"/>
    <w:rsid w:val="000477B8"/>
    <w:rsid w:val="00047A40"/>
    <w:rsid w:val="00047ADF"/>
    <w:rsid w:val="00047B62"/>
    <w:rsid w:val="00047D38"/>
    <w:rsid w:val="00047D41"/>
    <w:rsid w:val="00047D4B"/>
    <w:rsid w:val="00047DB0"/>
    <w:rsid w:val="00047E1B"/>
    <w:rsid w:val="00047E8C"/>
    <w:rsid w:val="00047FDA"/>
    <w:rsid w:val="00050135"/>
    <w:rsid w:val="000502E2"/>
    <w:rsid w:val="0005037A"/>
    <w:rsid w:val="000503B1"/>
    <w:rsid w:val="000504EB"/>
    <w:rsid w:val="00050637"/>
    <w:rsid w:val="00050769"/>
    <w:rsid w:val="00050772"/>
    <w:rsid w:val="00050872"/>
    <w:rsid w:val="00050884"/>
    <w:rsid w:val="000509CB"/>
    <w:rsid w:val="00050A6E"/>
    <w:rsid w:val="00050A87"/>
    <w:rsid w:val="00050ACF"/>
    <w:rsid w:val="00050BFC"/>
    <w:rsid w:val="00050C1B"/>
    <w:rsid w:val="00050C6D"/>
    <w:rsid w:val="00050D32"/>
    <w:rsid w:val="00050D87"/>
    <w:rsid w:val="00050DE9"/>
    <w:rsid w:val="00050E4A"/>
    <w:rsid w:val="00050F57"/>
    <w:rsid w:val="00050F88"/>
    <w:rsid w:val="00051013"/>
    <w:rsid w:val="000510D1"/>
    <w:rsid w:val="00051140"/>
    <w:rsid w:val="000511A7"/>
    <w:rsid w:val="000511EA"/>
    <w:rsid w:val="00051211"/>
    <w:rsid w:val="0005135C"/>
    <w:rsid w:val="000513A3"/>
    <w:rsid w:val="000513E3"/>
    <w:rsid w:val="0005142B"/>
    <w:rsid w:val="00051540"/>
    <w:rsid w:val="000515A7"/>
    <w:rsid w:val="000515AF"/>
    <w:rsid w:val="000515E5"/>
    <w:rsid w:val="000516C9"/>
    <w:rsid w:val="00051743"/>
    <w:rsid w:val="00051755"/>
    <w:rsid w:val="00051857"/>
    <w:rsid w:val="000518C4"/>
    <w:rsid w:val="0005191B"/>
    <w:rsid w:val="00051AE8"/>
    <w:rsid w:val="00051B0B"/>
    <w:rsid w:val="00051B2E"/>
    <w:rsid w:val="00051BF3"/>
    <w:rsid w:val="00051C36"/>
    <w:rsid w:val="00051CC1"/>
    <w:rsid w:val="00051D26"/>
    <w:rsid w:val="00051DCA"/>
    <w:rsid w:val="00051E34"/>
    <w:rsid w:val="00051E55"/>
    <w:rsid w:val="00051ECD"/>
    <w:rsid w:val="00051F1B"/>
    <w:rsid w:val="00051FC2"/>
    <w:rsid w:val="00052041"/>
    <w:rsid w:val="0005205B"/>
    <w:rsid w:val="0005217F"/>
    <w:rsid w:val="000521AB"/>
    <w:rsid w:val="00052388"/>
    <w:rsid w:val="0005243B"/>
    <w:rsid w:val="00052525"/>
    <w:rsid w:val="00052540"/>
    <w:rsid w:val="0005263B"/>
    <w:rsid w:val="00052653"/>
    <w:rsid w:val="00052700"/>
    <w:rsid w:val="00052774"/>
    <w:rsid w:val="000527EC"/>
    <w:rsid w:val="00052845"/>
    <w:rsid w:val="00052A34"/>
    <w:rsid w:val="00052A8A"/>
    <w:rsid w:val="00052B4F"/>
    <w:rsid w:val="00053025"/>
    <w:rsid w:val="00053075"/>
    <w:rsid w:val="000531BA"/>
    <w:rsid w:val="000531EE"/>
    <w:rsid w:val="00053208"/>
    <w:rsid w:val="000533B6"/>
    <w:rsid w:val="0005346B"/>
    <w:rsid w:val="00053697"/>
    <w:rsid w:val="00053884"/>
    <w:rsid w:val="00053937"/>
    <w:rsid w:val="00053ADB"/>
    <w:rsid w:val="00053AE4"/>
    <w:rsid w:val="00053BD4"/>
    <w:rsid w:val="00053C22"/>
    <w:rsid w:val="00053DA9"/>
    <w:rsid w:val="00054153"/>
    <w:rsid w:val="00054228"/>
    <w:rsid w:val="00054360"/>
    <w:rsid w:val="000543F4"/>
    <w:rsid w:val="0005443B"/>
    <w:rsid w:val="00054455"/>
    <w:rsid w:val="00054747"/>
    <w:rsid w:val="000548CB"/>
    <w:rsid w:val="00054919"/>
    <w:rsid w:val="00054A88"/>
    <w:rsid w:val="00054A9A"/>
    <w:rsid w:val="00054B21"/>
    <w:rsid w:val="00054B69"/>
    <w:rsid w:val="00054BAD"/>
    <w:rsid w:val="00054C01"/>
    <w:rsid w:val="00054C6B"/>
    <w:rsid w:val="00054E8C"/>
    <w:rsid w:val="00054EB8"/>
    <w:rsid w:val="0005504D"/>
    <w:rsid w:val="00055064"/>
    <w:rsid w:val="000550A5"/>
    <w:rsid w:val="000550D9"/>
    <w:rsid w:val="000551FE"/>
    <w:rsid w:val="0005529F"/>
    <w:rsid w:val="000552B6"/>
    <w:rsid w:val="000552B7"/>
    <w:rsid w:val="0005552B"/>
    <w:rsid w:val="00055559"/>
    <w:rsid w:val="00055583"/>
    <w:rsid w:val="000556FF"/>
    <w:rsid w:val="000557C9"/>
    <w:rsid w:val="00055890"/>
    <w:rsid w:val="000558AC"/>
    <w:rsid w:val="00055913"/>
    <w:rsid w:val="00055A4B"/>
    <w:rsid w:val="00055AC4"/>
    <w:rsid w:val="00055D77"/>
    <w:rsid w:val="00055E23"/>
    <w:rsid w:val="00056002"/>
    <w:rsid w:val="00056100"/>
    <w:rsid w:val="0005610E"/>
    <w:rsid w:val="00056239"/>
    <w:rsid w:val="00056287"/>
    <w:rsid w:val="00056524"/>
    <w:rsid w:val="00056620"/>
    <w:rsid w:val="000566A7"/>
    <w:rsid w:val="000569A2"/>
    <w:rsid w:val="000569CA"/>
    <w:rsid w:val="00056A51"/>
    <w:rsid w:val="00056AD5"/>
    <w:rsid w:val="00056AF7"/>
    <w:rsid w:val="00056C97"/>
    <w:rsid w:val="00056CDB"/>
    <w:rsid w:val="00056CF0"/>
    <w:rsid w:val="00056D12"/>
    <w:rsid w:val="00056ED9"/>
    <w:rsid w:val="000570FE"/>
    <w:rsid w:val="0005744D"/>
    <w:rsid w:val="000574D8"/>
    <w:rsid w:val="0005754C"/>
    <w:rsid w:val="00057754"/>
    <w:rsid w:val="00057830"/>
    <w:rsid w:val="0005784D"/>
    <w:rsid w:val="00057940"/>
    <w:rsid w:val="00057AEC"/>
    <w:rsid w:val="00057B27"/>
    <w:rsid w:val="00057BB4"/>
    <w:rsid w:val="00057BE1"/>
    <w:rsid w:val="00057C36"/>
    <w:rsid w:val="00057C6E"/>
    <w:rsid w:val="00057D3E"/>
    <w:rsid w:val="00057D69"/>
    <w:rsid w:val="00057E30"/>
    <w:rsid w:val="00057E6A"/>
    <w:rsid w:val="00057E6D"/>
    <w:rsid w:val="00057F95"/>
    <w:rsid w:val="00060067"/>
    <w:rsid w:val="0006020B"/>
    <w:rsid w:val="000602CD"/>
    <w:rsid w:val="00060314"/>
    <w:rsid w:val="0006036E"/>
    <w:rsid w:val="00060621"/>
    <w:rsid w:val="0006064A"/>
    <w:rsid w:val="00060738"/>
    <w:rsid w:val="00060B28"/>
    <w:rsid w:val="00060C28"/>
    <w:rsid w:val="00060C79"/>
    <w:rsid w:val="00060E63"/>
    <w:rsid w:val="00060F52"/>
    <w:rsid w:val="00060F9E"/>
    <w:rsid w:val="00060FAA"/>
    <w:rsid w:val="00060FB4"/>
    <w:rsid w:val="00061035"/>
    <w:rsid w:val="000610AB"/>
    <w:rsid w:val="00061122"/>
    <w:rsid w:val="000611DE"/>
    <w:rsid w:val="00061267"/>
    <w:rsid w:val="00061282"/>
    <w:rsid w:val="000612CD"/>
    <w:rsid w:val="000612F8"/>
    <w:rsid w:val="00061438"/>
    <w:rsid w:val="00061758"/>
    <w:rsid w:val="00061922"/>
    <w:rsid w:val="00061A37"/>
    <w:rsid w:val="00061C4F"/>
    <w:rsid w:val="00061CD9"/>
    <w:rsid w:val="00061DEF"/>
    <w:rsid w:val="00061E49"/>
    <w:rsid w:val="00061F67"/>
    <w:rsid w:val="00062021"/>
    <w:rsid w:val="000621F5"/>
    <w:rsid w:val="00062221"/>
    <w:rsid w:val="00062226"/>
    <w:rsid w:val="0006226E"/>
    <w:rsid w:val="00062331"/>
    <w:rsid w:val="000624C6"/>
    <w:rsid w:val="00062530"/>
    <w:rsid w:val="0006253E"/>
    <w:rsid w:val="000625B2"/>
    <w:rsid w:val="000625C5"/>
    <w:rsid w:val="00062604"/>
    <w:rsid w:val="00062651"/>
    <w:rsid w:val="00062825"/>
    <w:rsid w:val="00062833"/>
    <w:rsid w:val="0006284A"/>
    <w:rsid w:val="000629D8"/>
    <w:rsid w:val="00062A65"/>
    <w:rsid w:val="00062CF9"/>
    <w:rsid w:val="00062D7C"/>
    <w:rsid w:val="00062DD2"/>
    <w:rsid w:val="00062FEC"/>
    <w:rsid w:val="0006304F"/>
    <w:rsid w:val="000630DB"/>
    <w:rsid w:val="000631C1"/>
    <w:rsid w:val="000632B2"/>
    <w:rsid w:val="00063301"/>
    <w:rsid w:val="00063316"/>
    <w:rsid w:val="00063366"/>
    <w:rsid w:val="000633F6"/>
    <w:rsid w:val="00063581"/>
    <w:rsid w:val="00063606"/>
    <w:rsid w:val="000636CE"/>
    <w:rsid w:val="0006376C"/>
    <w:rsid w:val="00063785"/>
    <w:rsid w:val="0006386F"/>
    <w:rsid w:val="00063978"/>
    <w:rsid w:val="00063AE3"/>
    <w:rsid w:val="00063B6C"/>
    <w:rsid w:val="00063C7B"/>
    <w:rsid w:val="00063CC6"/>
    <w:rsid w:val="00063CE4"/>
    <w:rsid w:val="00063D1D"/>
    <w:rsid w:val="00063DCA"/>
    <w:rsid w:val="00063E80"/>
    <w:rsid w:val="00063EC0"/>
    <w:rsid w:val="00063EF3"/>
    <w:rsid w:val="00063FA3"/>
    <w:rsid w:val="00063FEB"/>
    <w:rsid w:val="00064230"/>
    <w:rsid w:val="000642CB"/>
    <w:rsid w:val="00064438"/>
    <w:rsid w:val="000644CB"/>
    <w:rsid w:val="00064508"/>
    <w:rsid w:val="0006455B"/>
    <w:rsid w:val="0006466D"/>
    <w:rsid w:val="0006470E"/>
    <w:rsid w:val="0006472E"/>
    <w:rsid w:val="00064769"/>
    <w:rsid w:val="000647B7"/>
    <w:rsid w:val="000647BD"/>
    <w:rsid w:val="000647CF"/>
    <w:rsid w:val="0006480F"/>
    <w:rsid w:val="000648AC"/>
    <w:rsid w:val="00064A8A"/>
    <w:rsid w:val="00064A8B"/>
    <w:rsid w:val="00064B97"/>
    <w:rsid w:val="00064CDA"/>
    <w:rsid w:val="00064D50"/>
    <w:rsid w:val="00064FF6"/>
    <w:rsid w:val="0006500D"/>
    <w:rsid w:val="000650BE"/>
    <w:rsid w:val="000651C7"/>
    <w:rsid w:val="000652CB"/>
    <w:rsid w:val="00065326"/>
    <w:rsid w:val="000653BF"/>
    <w:rsid w:val="000654DC"/>
    <w:rsid w:val="000654E0"/>
    <w:rsid w:val="00065593"/>
    <w:rsid w:val="000655D7"/>
    <w:rsid w:val="0006575B"/>
    <w:rsid w:val="00065950"/>
    <w:rsid w:val="0006598B"/>
    <w:rsid w:val="00065B79"/>
    <w:rsid w:val="00065BB6"/>
    <w:rsid w:val="00065C17"/>
    <w:rsid w:val="00065C25"/>
    <w:rsid w:val="00065C37"/>
    <w:rsid w:val="00065C57"/>
    <w:rsid w:val="00065DEE"/>
    <w:rsid w:val="00065E24"/>
    <w:rsid w:val="00065EB3"/>
    <w:rsid w:val="00065EDA"/>
    <w:rsid w:val="00065FCA"/>
    <w:rsid w:val="00066047"/>
    <w:rsid w:val="000660B8"/>
    <w:rsid w:val="0006612A"/>
    <w:rsid w:val="00066134"/>
    <w:rsid w:val="00066372"/>
    <w:rsid w:val="000663F4"/>
    <w:rsid w:val="0006640E"/>
    <w:rsid w:val="00066531"/>
    <w:rsid w:val="00066533"/>
    <w:rsid w:val="00066579"/>
    <w:rsid w:val="000665B3"/>
    <w:rsid w:val="00066779"/>
    <w:rsid w:val="000668F6"/>
    <w:rsid w:val="00066A89"/>
    <w:rsid w:val="00066B72"/>
    <w:rsid w:val="00066DA8"/>
    <w:rsid w:val="00066DAC"/>
    <w:rsid w:val="00066DE1"/>
    <w:rsid w:val="00066F6A"/>
    <w:rsid w:val="000670E0"/>
    <w:rsid w:val="000671BD"/>
    <w:rsid w:val="000671E6"/>
    <w:rsid w:val="00067225"/>
    <w:rsid w:val="00067385"/>
    <w:rsid w:val="00067392"/>
    <w:rsid w:val="00067482"/>
    <w:rsid w:val="000674FD"/>
    <w:rsid w:val="0006750F"/>
    <w:rsid w:val="00067628"/>
    <w:rsid w:val="000676A8"/>
    <w:rsid w:val="00067746"/>
    <w:rsid w:val="00067786"/>
    <w:rsid w:val="000677A0"/>
    <w:rsid w:val="00067825"/>
    <w:rsid w:val="000679A4"/>
    <w:rsid w:val="00067A41"/>
    <w:rsid w:val="00067A53"/>
    <w:rsid w:val="00067A64"/>
    <w:rsid w:val="00067A71"/>
    <w:rsid w:val="00067A75"/>
    <w:rsid w:val="00067B05"/>
    <w:rsid w:val="00067BBF"/>
    <w:rsid w:val="00067DE4"/>
    <w:rsid w:val="00067E10"/>
    <w:rsid w:val="00067E91"/>
    <w:rsid w:val="00067F52"/>
    <w:rsid w:val="00067FA7"/>
    <w:rsid w:val="0007004B"/>
    <w:rsid w:val="00070153"/>
    <w:rsid w:val="00070354"/>
    <w:rsid w:val="0007040F"/>
    <w:rsid w:val="0007048A"/>
    <w:rsid w:val="000704F5"/>
    <w:rsid w:val="00070577"/>
    <w:rsid w:val="00070590"/>
    <w:rsid w:val="000705D6"/>
    <w:rsid w:val="000706B2"/>
    <w:rsid w:val="0007073C"/>
    <w:rsid w:val="000707D6"/>
    <w:rsid w:val="00070943"/>
    <w:rsid w:val="000709F1"/>
    <w:rsid w:val="00070A05"/>
    <w:rsid w:val="00070A31"/>
    <w:rsid w:val="00070A7B"/>
    <w:rsid w:val="00070B47"/>
    <w:rsid w:val="00070C23"/>
    <w:rsid w:val="00070DBD"/>
    <w:rsid w:val="00070E4D"/>
    <w:rsid w:val="00070E8C"/>
    <w:rsid w:val="00070F4F"/>
    <w:rsid w:val="00070F77"/>
    <w:rsid w:val="00070FE1"/>
    <w:rsid w:val="00071074"/>
    <w:rsid w:val="00071176"/>
    <w:rsid w:val="0007123B"/>
    <w:rsid w:val="00071265"/>
    <w:rsid w:val="000713FD"/>
    <w:rsid w:val="0007146F"/>
    <w:rsid w:val="000714AF"/>
    <w:rsid w:val="0007165D"/>
    <w:rsid w:val="00071676"/>
    <w:rsid w:val="0007168E"/>
    <w:rsid w:val="0007170A"/>
    <w:rsid w:val="0007177F"/>
    <w:rsid w:val="00071781"/>
    <w:rsid w:val="00071795"/>
    <w:rsid w:val="000717A3"/>
    <w:rsid w:val="000717D7"/>
    <w:rsid w:val="0007181C"/>
    <w:rsid w:val="00071A1D"/>
    <w:rsid w:val="00071B25"/>
    <w:rsid w:val="00071C92"/>
    <w:rsid w:val="00071CBA"/>
    <w:rsid w:val="00072015"/>
    <w:rsid w:val="000720AC"/>
    <w:rsid w:val="000720E3"/>
    <w:rsid w:val="00072128"/>
    <w:rsid w:val="000721B3"/>
    <w:rsid w:val="00072200"/>
    <w:rsid w:val="0007225F"/>
    <w:rsid w:val="00072279"/>
    <w:rsid w:val="000722BF"/>
    <w:rsid w:val="0007251F"/>
    <w:rsid w:val="00072537"/>
    <w:rsid w:val="000725D5"/>
    <w:rsid w:val="00072623"/>
    <w:rsid w:val="000727DC"/>
    <w:rsid w:val="000727FF"/>
    <w:rsid w:val="00072802"/>
    <w:rsid w:val="0007282E"/>
    <w:rsid w:val="00072920"/>
    <w:rsid w:val="0007299D"/>
    <w:rsid w:val="000729D2"/>
    <w:rsid w:val="00072AB1"/>
    <w:rsid w:val="00072AC6"/>
    <w:rsid w:val="00072DBA"/>
    <w:rsid w:val="00072DE5"/>
    <w:rsid w:val="00072EF4"/>
    <w:rsid w:val="00072EF7"/>
    <w:rsid w:val="00072F6E"/>
    <w:rsid w:val="00072FB3"/>
    <w:rsid w:val="00072FE9"/>
    <w:rsid w:val="00073003"/>
    <w:rsid w:val="00073088"/>
    <w:rsid w:val="000730BE"/>
    <w:rsid w:val="000731FF"/>
    <w:rsid w:val="0007331E"/>
    <w:rsid w:val="000733F6"/>
    <w:rsid w:val="0007357A"/>
    <w:rsid w:val="000735E6"/>
    <w:rsid w:val="000735F8"/>
    <w:rsid w:val="00073643"/>
    <w:rsid w:val="00073646"/>
    <w:rsid w:val="000736AD"/>
    <w:rsid w:val="000736D6"/>
    <w:rsid w:val="00073706"/>
    <w:rsid w:val="0007379A"/>
    <w:rsid w:val="000737F2"/>
    <w:rsid w:val="00073860"/>
    <w:rsid w:val="00073902"/>
    <w:rsid w:val="00073AB6"/>
    <w:rsid w:val="00073AED"/>
    <w:rsid w:val="00073CB9"/>
    <w:rsid w:val="00073DCD"/>
    <w:rsid w:val="00073DE3"/>
    <w:rsid w:val="00074054"/>
    <w:rsid w:val="0007415E"/>
    <w:rsid w:val="00074232"/>
    <w:rsid w:val="000742E4"/>
    <w:rsid w:val="0007436E"/>
    <w:rsid w:val="00074583"/>
    <w:rsid w:val="000745A8"/>
    <w:rsid w:val="0007465D"/>
    <w:rsid w:val="000746C9"/>
    <w:rsid w:val="000746E8"/>
    <w:rsid w:val="0007470B"/>
    <w:rsid w:val="00074782"/>
    <w:rsid w:val="000748D7"/>
    <w:rsid w:val="00074A10"/>
    <w:rsid w:val="00074C74"/>
    <w:rsid w:val="00074CAF"/>
    <w:rsid w:val="00074D1B"/>
    <w:rsid w:val="00074D86"/>
    <w:rsid w:val="00074DE2"/>
    <w:rsid w:val="00074FF8"/>
    <w:rsid w:val="00075020"/>
    <w:rsid w:val="000751B1"/>
    <w:rsid w:val="0007522A"/>
    <w:rsid w:val="00075274"/>
    <w:rsid w:val="000752A5"/>
    <w:rsid w:val="000754FF"/>
    <w:rsid w:val="000755E4"/>
    <w:rsid w:val="0007565C"/>
    <w:rsid w:val="00075677"/>
    <w:rsid w:val="00075679"/>
    <w:rsid w:val="00075797"/>
    <w:rsid w:val="000758DA"/>
    <w:rsid w:val="0007592A"/>
    <w:rsid w:val="00075AE0"/>
    <w:rsid w:val="00075BF2"/>
    <w:rsid w:val="00075CD7"/>
    <w:rsid w:val="00075D1B"/>
    <w:rsid w:val="00075F0B"/>
    <w:rsid w:val="00075F6B"/>
    <w:rsid w:val="0007604E"/>
    <w:rsid w:val="000760A1"/>
    <w:rsid w:val="0007613E"/>
    <w:rsid w:val="00076178"/>
    <w:rsid w:val="00076208"/>
    <w:rsid w:val="0007634F"/>
    <w:rsid w:val="0007642B"/>
    <w:rsid w:val="00076579"/>
    <w:rsid w:val="000765A1"/>
    <w:rsid w:val="000765CB"/>
    <w:rsid w:val="0007660C"/>
    <w:rsid w:val="000766A6"/>
    <w:rsid w:val="00076728"/>
    <w:rsid w:val="0007672B"/>
    <w:rsid w:val="00076820"/>
    <w:rsid w:val="00076921"/>
    <w:rsid w:val="000769CD"/>
    <w:rsid w:val="000769F3"/>
    <w:rsid w:val="00076A3F"/>
    <w:rsid w:val="00076B58"/>
    <w:rsid w:val="00076C58"/>
    <w:rsid w:val="00076DBD"/>
    <w:rsid w:val="00076DE2"/>
    <w:rsid w:val="00076DFE"/>
    <w:rsid w:val="00076E95"/>
    <w:rsid w:val="00076F17"/>
    <w:rsid w:val="00076F90"/>
    <w:rsid w:val="00076FEB"/>
    <w:rsid w:val="00077076"/>
    <w:rsid w:val="00077101"/>
    <w:rsid w:val="000771BC"/>
    <w:rsid w:val="000774CA"/>
    <w:rsid w:val="000774E3"/>
    <w:rsid w:val="000774FF"/>
    <w:rsid w:val="00077571"/>
    <w:rsid w:val="0007759A"/>
    <w:rsid w:val="00077778"/>
    <w:rsid w:val="0007779F"/>
    <w:rsid w:val="00077A8F"/>
    <w:rsid w:val="00077B81"/>
    <w:rsid w:val="00077C3F"/>
    <w:rsid w:val="00077C5D"/>
    <w:rsid w:val="00077DAB"/>
    <w:rsid w:val="000800BD"/>
    <w:rsid w:val="0008010C"/>
    <w:rsid w:val="00080128"/>
    <w:rsid w:val="000801F2"/>
    <w:rsid w:val="00080249"/>
    <w:rsid w:val="0008037F"/>
    <w:rsid w:val="00080447"/>
    <w:rsid w:val="0008047A"/>
    <w:rsid w:val="0008047D"/>
    <w:rsid w:val="000805EB"/>
    <w:rsid w:val="0008086C"/>
    <w:rsid w:val="000809C1"/>
    <w:rsid w:val="00080A85"/>
    <w:rsid w:val="00080B09"/>
    <w:rsid w:val="00080BF0"/>
    <w:rsid w:val="00080CA5"/>
    <w:rsid w:val="00080CD3"/>
    <w:rsid w:val="00080D0E"/>
    <w:rsid w:val="00080D27"/>
    <w:rsid w:val="0008112C"/>
    <w:rsid w:val="000811C3"/>
    <w:rsid w:val="00081206"/>
    <w:rsid w:val="00081291"/>
    <w:rsid w:val="00081304"/>
    <w:rsid w:val="000813F5"/>
    <w:rsid w:val="00081400"/>
    <w:rsid w:val="0008142A"/>
    <w:rsid w:val="00081468"/>
    <w:rsid w:val="0008147E"/>
    <w:rsid w:val="000815DD"/>
    <w:rsid w:val="000815E2"/>
    <w:rsid w:val="000815E6"/>
    <w:rsid w:val="00081634"/>
    <w:rsid w:val="0008169A"/>
    <w:rsid w:val="0008171B"/>
    <w:rsid w:val="00081866"/>
    <w:rsid w:val="00081A97"/>
    <w:rsid w:val="00081B74"/>
    <w:rsid w:val="00081BD5"/>
    <w:rsid w:val="00081BD8"/>
    <w:rsid w:val="00081C90"/>
    <w:rsid w:val="00081C9B"/>
    <w:rsid w:val="00081CF4"/>
    <w:rsid w:val="00081D0F"/>
    <w:rsid w:val="00081DD9"/>
    <w:rsid w:val="00081E05"/>
    <w:rsid w:val="00081ED0"/>
    <w:rsid w:val="00081EFB"/>
    <w:rsid w:val="00081F45"/>
    <w:rsid w:val="000821C2"/>
    <w:rsid w:val="000822D8"/>
    <w:rsid w:val="000823F7"/>
    <w:rsid w:val="000826AF"/>
    <w:rsid w:val="00082731"/>
    <w:rsid w:val="00082830"/>
    <w:rsid w:val="00082899"/>
    <w:rsid w:val="0008290E"/>
    <w:rsid w:val="00082B46"/>
    <w:rsid w:val="00082B61"/>
    <w:rsid w:val="00082BAF"/>
    <w:rsid w:val="00082BCF"/>
    <w:rsid w:val="00082CE5"/>
    <w:rsid w:val="00082D7A"/>
    <w:rsid w:val="00082E9C"/>
    <w:rsid w:val="00082F18"/>
    <w:rsid w:val="00083104"/>
    <w:rsid w:val="00083224"/>
    <w:rsid w:val="0008347A"/>
    <w:rsid w:val="000835F0"/>
    <w:rsid w:val="000836B7"/>
    <w:rsid w:val="00083775"/>
    <w:rsid w:val="000837E9"/>
    <w:rsid w:val="0008384C"/>
    <w:rsid w:val="00083862"/>
    <w:rsid w:val="000838BE"/>
    <w:rsid w:val="0008390F"/>
    <w:rsid w:val="00083B51"/>
    <w:rsid w:val="00083BB0"/>
    <w:rsid w:val="00083BCA"/>
    <w:rsid w:val="00083C22"/>
    <w:rsid w:val="00083C26"/>
    <w:rsid w:val="00083C66"/>
    <w:rsid w:val="00083C67"/>
    <w:rsid w:val="00083CD7"/>
    <w:rsid w:val="00083F47"/>
    <w:rsid w:val="0008432C"/>
    <w:rsid w:val="000846F6"/>
    <w:rsid w:val="000848A2"/>
    <w:rsid w:val="000848DD"/>
    <w:rsid w:val="000848E7"/>
    <w:rsid w:val="000849C6"/>
    <w:rsid w:val="00084A6F"/>
    <w:rsid w:val="00084B32"/>
    <w:rsid w:val="00084BAC"/>
    <w:rsid w:val="00084BB9"/>
    <w:rsid w:val="00084BE9"/>
    <w:rsid w:val="00084CE5"/>
    <w:rsid w:val="00084D73"/>
    <w:rsid w:val="00084DBD"/>
    <w:rsid w:val="00084EAC"/>
    <w:rsid w:val="00084EC4"/>
    <w:rsid w:val="00084EEE"/>
    <w:rsid w:val="000850C7"/>
    <w:rsid w:val="00085130"/>
    <w:rsid w:val="0008515D"/>
    <w:rsid w:val="00085229"/>
    <w:rsid w:val="00085370"/>
    <w:rsid w:val="00085433"/>
    <w:rsid w:val="0008552E"/>
    <w:rsid w:val="0008562D"/>
    <w:rsid w:val="0008570C"/>
    <w:rsid w:val="0008574B"/>
    <w:rsid w:val="000857A0"/>
    <w:rsid w:val="0008580F"/>
    <w:rsid w:val="0008594F"/>
    <w:rsid w:val="000859C4"/>
    <w:rsid w:val="000859FA"/>
    <w:rsid w:val="00085BD3"/>
    <w:rsid w:val="00085C1C"/>
    <w:rsid w:val="00085D2E"/>
    <w:rsid w:val="00085DA5"/>
    <w:rsid w:val="00085E2E"/>
    <w:rsid w:val="00085E3E"/>
    <w:rsid w:val="00085E5F"/>
    <w:rsid w:val="00085E7E"/>
    <w:rsid w:val="00085EAF"/>
    <w:rsid w:val="00085EC2"/>
    <w:rsid w:val="00085F5C"/>
    <w:rsid w:val="00085F86"/>
    <w:rsid w:val="0008603D"/>
    <w:rsid w:val="00086044"/>
    <w:rsid w:val="0008619E"/>
    <w:rsid w:val="0008622B"/>
    <w:rsid w:val="000862CF"/>
    <w:rsid w:val="0008643C"/>
    <w:rsid w:val="000864B8"/>
    <w:rsid w:val="0008650C"/>
    <w:rsid w:val="0008655A"/>
    <w:rsid w:val="00086571"/>
    <w:rsid w:val="00086581"/>
    <w:rsid w:val="0008667C"/>
    <w:rsid w:val="000866EC"/>
    <w:rsid w:val="00086832"/>
    <w:rsid w:val="000868AE"/>
    <w:rsid w:val="000868F3"/>
    <w:rsid w:val="000868F4"/>
    <w:rsid w:val="0008694E"/>
    <w:rsid w:val="00086B37"/>
    <w:rsid w:val="00086D63"/>
    <w:rsid w:val="00086D70"/>
    <w:rsid w:val="00086D72"/>
    <w:rsid w:val="00086E63"/>
    <w:rsid w:val="000870F0"/>
    <w:rsid w:val="000870F1"/>
    <w:rsid w:val="0008736F"/>
    <w:rsid w:val="00087457"/>
    <w:rsid w:val="000874ED"/>
    <w:rsid w:val="000875EA"/>
    <w:rsid w:val="000876A1"/>
    <w:rsid w:val="0008770D"/>
    <w:rsid w:val="00087784"/>
    <w:rsid w:val="00087885"/>
    <w:rsid w:val="0008792D"/>
    <w:rsid w:val="000879CE"/>
    <w:rsid w:val="000879DD"/>
    <w:rsid w:val="00087B60"/>
    <w:rsid w:val="00087BCF"/>
    <w:rsid w:val="00087D70"/>
    <w:rsid w:val="00087E2B"/>
    <w:rsid w:val="00087EB9"/>
    <w:rsid w:val="00087FF1"/>
    <w:rsid w:val="0009007A"/>
    <w:rsid w:val="000900D8"/>
    <w:rsid w:val="0009011A"/>
    <w:rsid w:val="0009012C"/>
    <w:rsid w:val="00090134"/>
    <w:rsid w:val="00090186"/>
    <w:rsid w:val="00090235"/>
    <w:rsid w:val="0009037B"/>
    <w:rsid w:val="000903F3"/>
    <w:rsid w:val="00090442"/>
    <w:rsid w:val="0009049C"/>
    <w:rsid w:val="000904C2"/>
    <w:rsid w:val="000904EE"/>
    <w:rsid w:val="00090665"/>
    <w:rsid w:val="00090972"/>
    <w:rsid w:val="0009099A"/>
    <w:rsid w:val="00090A06"/>
    <w:rsid w:val="00090A30"/>
    <w:rsid w:val="00090B31"/>
    <w:rsid w:val="00090BB9"/>
    <w:rsid w:val="00090BDC"/>
    <w:rsid w:val="00090E22"/>
    <w:rsid w:val="00090EB9"/>
    <w:rsid w:val="00090F89"/>
    <w:rsid w:val="00091041"/>
    <w:rsid w:val="00091048"/>
    <w:rsid w:val="0009111C"/>
    <w:rsid w:val="00091147"/>
    <w:rsid w:val="000911DF"/>
    <w:rsid w:val="00091302"/>
    <w:rsid w:val="00091303"/>
    <w:rsid w:val="00091388"/>
    <w:rsid w:val="00091504"/>
    <w:rsid w:val="0009150E"/>
    <w:rsid w:val="000916A7"/>
    <w:rsid w:val="00091748"/>
    <w:rsid w:val="0009187B"/>
    <w:rsid w:val="00091989"/>
    <w:rsid w:val="00091C5C"/>
    <w:rsid w:val="00091CB4"/>
    <w:rsid w:val="00091FA4"/>
    <w:rsid w:val="0009206C"/>
    <w:rsid w:val="000920EC"/>
    <w:rsid w:val="0009213F"/>
    <w:rsid w:val="000922FA"/>
    <w:rsid w:val="000922FB"/>
    <w:rsid w:val="0009243E"/>
    <w:rsid w:val="00092448"/>
    <w:rsid w:val="00092495"/>
    <w:rsid w:val="000924B2"/>
    <w:rsid w:val="000924B6"/>
    <w:rsid w:val="000924DE"/>
    <w:rsid w:val="000925E8"/>
    <w:rsid w:val="00092620"/>
    <w:rsid w:val="00092688"/>
    <w:rsid w:val="000926CE"/>
    <w:rsid w:val="00092704"/>
    <w:rsid w:val="00092705"/>
    <w:rsid w:val="00092790"/>
    <w:rsid w:val="000927B4"/>
    <w:rsid w:val="000927E9"/>
    <w:rsid w:val="00092DAE"/>
    <w:rsid w:val="00092E71"/>
    <w:rsid w:val="00092EAC"/>
    <w:rsid w:val="00092FAF"/>
    <w:rsid w:val="00092FD2"/>
    <w:rsid w:val="0009317E"/>
    <w:rsid w:val="000931A8"/>
    <w:rsid w:val="000933B2"/>
    <w:rsid w:val="00093578"/>
    <w:rsid w:val="000935AC"/>
    <w:rsid w:val="000935C0"/>
    <w:rsid w:val="000936D6"/>
    <w:rsid w:val="00093764"/>
    <w:rsid w:val="000937AF"/>
    <w:rsid w:val="000938BB"/>
    <w:rsid w:val="000939CF"/>
    <w:rsid w:val="00093B07"/>
    <w:rsid w:val="00093B74"/>
    <w:rsid w:val="00093BAE"/>
    <w:rsid w:val="00093CE4"/>
    <w:rsid w:val="00093D00"/>
    <w:rsid w:val="00093D19"/>
    <w:rsid w:val="00093EE5"/>
    <w:rsid w:val="00094079"/>
    <w:rsid w:val="000942CD"/>
    <w:rsid w:val="00094381"/>
    <w:rsid w:val="00094482"/>
    <w:rsid w:val="00094494"/>
    <w:rsid w:val="000944A2"/>
    <w:rsid w:val="0009451A"/>
    <w:rsid w:val="00094583"/>
    <w:rsid w:val="000945B3"/>
    <w:rsid w:val="000945F5"/>
    <w:rsid w:val="00094728"/>
    <w:rsid w:val="000947D6"/>
    <w:rsid w:val="00094845"/>
    <w:rsid w:val="00094922"/>
    <w:rsid w:val="00094A34"/>
    <w:rsid w:val="00094A36"/>
    <w:rsid w:val="00094B05"/>
    <w:rsid w:val="00094D58"/>
    <w:rsid w:val="00094EFB"/>
    <w:rsid w:val="00094F2F"/>
    <w:rsid w:val="00094FE7"/>
    <w:rsid w:val="00094FE9"/>
    <w:rsid w:val="00095037"/>
    <w:rsid w:val="000950F2"/>
    <w:rsid w:val="00095106"/>
    <w:rsid w:val="0009521E"/>
    <w:rsid w:val="00095324"/>
    <w:rsid w:val="00095359"/>
    <w:rsid w:val="0009535B"/>
    <w:rsid w:val="0009561E"/>
    <w:rsid w:val="00095696"/>
    <w:rsid w:val="000956A7"/>
    <w:rsid w:val="000958B1"/>
    <w:rsid w:val="00095B70"/>
    <w:rsid w:val="00095C48"/>
    <w:rsid w:val="00095F5D"/>
    <w:rsid w:val="00095F69"/>
    <w:rsid w:val="00096103"/>
    <w:rsid w:val="0009616A"/>
    <w:rsid w:val="00096171"/>
    <w:rsid w:val="00096215"/>
    <w:rsid w:val="00096392"/>
    <w:rsid w:val="00096545"/>
    <w:rsid w:val="0009661D"/>
    <w:rsid w:val="00096623"/>
    <w:rsid w:val="00096656"/>
    <w:rsid w:val="0009665E"/>
    <w:rsid w:val="0009668D"/>
    <w:rsid w:val="000966EF"/>
    <w:rsid w:val="00096966"/>
    <w:rsid w:val="00096A04"/>
    <w:rsid w:val="00096BCA"/>
    <w:rsid w:val="00096D6B"/>
    <w:rsid w:val="00096EDC"/>
    <w:rsid w:val="00097021"/>
    <w:rsid w:val="00097055"/>
    <w:rsid w:val="00097177"/>
    <w:rsid w:val="00097239"/>
    <w:rsid w:val="00097295"/>
    <w:rsid w:val="000972A4"/>
    <w:rsid w:val="000973CC"/>
    <w:rsid w:val="000973F1"/>
    <w:rsid w:val="0009743C"/>
    <w:rsid w:val="00097492"/>
    <w:rsid w:val="000974B6"/>
    <w:rsid w:val="000974FC"/>
    <w:rsid w:val="00097636"/>
    <w:rsid w:val="000976EE"/>
    <w:rsid w:val="0009776E"/>
    <w:rsid w:val="000977D8"/>
    <w:rsid w:val="000977E2"/>
    <w:rsid w:val="000979C8"/>
    <w:rsid w:val="00097AE4"/>
    <w:rsid w:val="00097B1B"/>
    <w:rsid w:val="00097B7A"/>
    <w:rsid w:val="00097B7C"/>
    <w:rsid w:val="00097D00"/>
    <w:rsid w:val="00097E04"/>
    <w:rsid w:val="00097E92"/>
    <w:rsid w:val="000A002F"/>
    <w:rsid w:val="000A0043"/>
    <w:rsid w:val="000A004D"/>
    <w:rsid w:val="000A01F6"/>
    <w:rsid w:val="000A0210"/>
    <w:rsid w:val="000A025E"/>
    <w:rsid w:val="000A03B9"/>
    <w:rsid w:val="000A04B4"/>
    <w:rsid w:val="000A05F0"/>
    <w:rsid w:val="000A0741"/>
    <w:rsid w:val="000A0789"/>
    <w:rsid w:val="000A0810"/>
    <w:rsid w:val="000A0A40"/>
    <w:rsid w:val="000A0A5C"/>
    <w:rsid w:val="000A0DA7"/>
    <w:rsid w:val="000A0EF9"/>
    <w:rsid w:val="000A0F91"/>
    <w:rsid w:val="000A11A8"/>
    <w:rsid w:val="000A11BD"/>
    <w:rsid w:val="000A1234"/>
    <w:rsid w:val="000A1266"/>
    <w:rsid w:val="000A12D1"/>
    <w:rsid w:val="000A1354"/>
    <w:rsid w:val="000A136E"/>
    <w:rsid w:val="000A143D"/>
    <w:rsid w:val="000A15C0"/>
    <w:rsid w:val="000A15D1"/>
    <w:rsid w:val="000A1613"/>
    <w:rsid w:val="000A1674"/>
    <w:rsid w:val="000A176D"/>
    <w:rsid w:val="000A1826"/>
    <w:rsid w:val="000A18AB"/>
    <w:rsid w:val="000A18E2"/>
    <w:rsid w:val="000A196E"/>
    <w:rsid w:val="000A1990"/>
    <w:rsid w:val="000A19D0"/>
    <w:rsid w:val="000A1A7A"/>
    <w:rsid w:val="000A1BEB"/>
    <w:rsid w:val="000A1C3B"/>
    <w:rsid w:val="000A1DD9"/>
    <w:rsid w:val="000A1E14"/>
    <w:rsid w:val="000A1F17"/>
    <w:rsid w:val="000A1F50"/>
    <w:rsid w:val="000A1FBD"/>
    <w:rsid w:val="000A2136"/>
    <w:rsid w:val="000A2167"/>
    <w:rsid w:val="000A2187"/>
    <w:rsid w:val="000A2315"/>
    <w:rsid w:val="000A2493"/>
    <w:rsid w:val="000A24BF"/>
    <w:rsid w:val="000A259A"/>
    <w:rsid w:val="000A2606"/>
    <w:rsid w:val="000A261B"/>
    <w:rsid w:val="000A2852"/>
    <w:rsid w:val="000A28C4"/>
    <w:rsid w:val="000A299F"/>
    <w:rsid w:val="000A2A98"/>
    <w:rsid w:val="000A2AD5"/>
    <w:rsid w:val="000A2B2A"/>
    <w:rsid w:val="000A2C54"/>
    <w:rsid w:val="000A2C7E"/>
    <w:rsid w:val="000A2D65"/>
    <w:rsid w:val="000A2FCF"/>
    <w:rsid w:val="000A316E"/>
    <w:rsid w:val="000A3515"/>
    <w:rsid w:val="000A356E"/>
    <w:rsid w:val="000A35BE"/>
    <w:rsid w:val="000A3623"/>
    <w:rsid w:val="000A36DA"/>
    <w:rsid w:val="000A36FE"/>
    <w:rsid w:val="000A3796"/>
    <w:rsid w:val="000A3799"/>
    <w:rsid w:val="000A3A0D"/>
    <w:rsid w:val="000A3B5D"/>
    <w:rsid w:val="000A3C59"/>
    <w:rsid w:val="000A3C76"/>
    <w:rsid w:val="000A3CD3"/>
    <w:rsid w:val="000A3D86"/>
    <w:rsid w:val="000A3D8A"/>
    <w:rsid w:val="000A3F21"/>
    <w:rsid w:val="000A3F8F"/>
    <w:rsid w:val="000A408F"/>
    <w:rsid w:val="000A41BA"/>
    <w:rsid w:val="000A42F6"/>
    <w:rsid w:val="000A42FB"/>
    <w:rsid w:val="000A4341"/>
    <w:rsid w:val="000A447E"/>
    <w:rsid w:val="000A4519"/>
    <w:rsid w:val="000A47A3"/>
    <w:rsid w:val="000A4839"/>
    <w:rsid w:val="000A4A76"/>
    <w:rsid w:val="000A4A81"/>
    <w:rsid w:val="000A4AC4"/>
    <w:rsid w:val="000A4CFF"/>
    <w:rsid w:val="000A5017"/>
    <w:rsid w:val="000A5025"/>
    <w:rsid w:val="000A51E2"/>
    <w:rsid w:val="000A51EE"/>
    <w:rsid w:val="000A52C5"/>
    <w:rsid w:val="000A53C0"/>
    <w:rsid w:val="000A5412"/>
    <w:rsid w:val="000A55A5"/>
    <w:rsid w:val="000A55DB"/>
    <w:rsid w:val="000A55E4"/>
    <w:rsid w:val="000A562F"/>
    <w:rsid w:val="000A57F5"/>
    <w:rsid w:val="000A5816"/>
    <w:rsid w:val="000A5841"/>
    <w:rsid w:val="000A58C1"/>
    <w:rsid w:val="000A5BAF"/>
    <w:rsid w:val="000A5BB7"/>
    <w:rsid w:val="000A5CAB"/>
    <w:rsid w:val="000A5D86"/>
    <w:rsid w:val="000A5F3B"/>
    <w:rsid w:val="000A600A"/>
    <w:rsid w:val="000A6157"/>
    <w:rsid w:val="000A6198"/>
    <w:rsid w:val="000A623F"/>
    <w:rsid w:val="000A632C"/>
    <w:rsid w:val="000A63FD"/>
    <w:rsid w:val="000A6590"/>
    <w:rsid w:val="000A67C5"/>
    <w:rsid w:val="000A680A"/>
    <w:rsid w:val="000A6856"/>
    <w:rsid w:val="000A69C8"/>
    <w:rsid w:val="000A6A8A"/>
    <w:rsid w:val="000A6BAA"/>
    <w:rsid w:val="000A6BAD"/>
    <w:rsid w:val="000A6C9D"/>
    <w:rsid w:val="000A6D17"/>
    <w:rsid w:val="000A6D63"/>
    <w:rsid w:val="000A6D75"/>
    <w:rsid w:val="000A6E9D"/>
    <w:rsid w:val="000A6F3B"/>
    <w:rsid w:val="000A6F85"/>
    <w:rsid w:val="000A6F8A"/>
    <w:rsid w:val="000A6FB4"/>
    <w:rsid w:val="000A7232"/>
    <w:rsid w:val="000A72EF"/>
    <w:rsid w:val="000A7328"/>
    <w:rsid w:val="000A73AB"/>
    <w:rsid w:val="000A7426"/>
    <w:rsid w:val="000A75CA"/>
    <w:rsid w:val="000A7755"/>
    <w:rsid w:val="000A77BB"/>
    <w:rsid w:val="000A78E7"/>
    <w:rsid w:val="000A79E9"/>
    <w:rsid w:val="000A7A9D"/>
    <w:rsid w:val="000A7B3A"/>
    <w:rsid w:val="000A7BAB"/>
    <w:rsid w:val="000A7CAD"/>
    <w:rsid w:val="000A7D62"/>
    <w:rsid w:val="000A7DBF"/>
    <w:rsid w:val="000A7FC1"/>
    <w:rsid w:val="000A7FE4"/>
    <w:rsid w:val="000B0109"/>
    <w:rsid w:val="000B01EB"/>
    <w:rsid w:val="000B0269"/>
    <w:rsid w:val="000B04DF"/>
    <w:rsid w:val="000B061C"/>
    <w:rsid w:val="000B0633"/>
    <w:rsid w:val="000B06DD"/>
    <w:rsid w:val="000B06E3"/>
    <w:rsid w:val="000B0748"/>
    <w:rsid w:val="000B078A"/>
    <w:rsid w:val="000B07B6"/>
    <w:rsid w:val="000B080C"/>
    <w:rsid w:val="000B0A64"/>
    <w:rsid w:val="000B0A66"/>
    <w:rsid w:val="000B0BE1"/>
    <w:rsid w:val="000B0C53"/>
    <w:rsid w:val="000B0CCE"/>
    <w:rsid w:val="000B0FCE"/>
    <w:rsid w:val="000B106D"/>
    <w:rsid w:val="000B1156"/>
    <w:rsid w:val="000B117B"/>
    <w:rsid w:val="000B119A"/>
    <w:rsid w:val="000B11AB"/>
    <w:rsid w:val="000B120D"/>
    <w:rsid w:val="000B121D"/>
    <w:rsid w:val="000B13FF"/>
    <w:rsid w:val="000B1592"/>
    <w:rsid w:val="000B1633"/>
    <w:rsid w:val="000B1649"/>
    <w:rsid w:val="000B167A"/>
    <w:rsid w:val="000B1720"/>
    <w:rsid w:val="000B175F"/>
    <w:rsid w:val="000B1A47"/>
    <w:rsid w:val="000B1A69"/>
    <w:rsid w:val="000B1B72"/>
    <w:rsid w:val="000B1C4E"/>
    <w:rsid w:val="000B1C50"/>
    <w:rsid w:val="000B1E2E"/>
    <w:rsid w:val="000B1E54"/>
    <w:rsid w:val="000B1F19"/>
    <w:rsid w:val="000B228C"/>
    <w:rsid w:val="000B22A7"/>
    <w:rsid w:val="000B2332"/>
    <w:rsid w:val="000B2375"/>
    <w:rsid w:val="000B2400"/>
    <w:rsid w:val="000B2462"/>
    <w:rsid w:val="000B24AB"/>
    <w:rsid w:val="000B2550"/>
    <w:rsid w:val="000B2644"/>
    <w:rsid w:val="000B27BB"/>
    <w:rsid w:val="000B2818"/>
    <w:rsid w:val="000B29E1"/>
    <w:rsid w:val="000B29FE"/>
    <w:rsid w:val="000B2B04"/>
    <w:rsid w:val="000B2D4E"/>
    <w:rsid w:val="000B2DF5"/>
    <w:rsid w:val="000B2DF8"/>
    <w:rsid w:val="000B2ED2"/>
    <w:rsid w:val="000B2F09"/>
    <w:rsid w:val="000B2F1B"/>
    <w:rsid w:val="000B30DA"/>
    <w:rsid w:val="000B312C"/>
    <w:rsid w:val="000B3135"/>
    <w:rsid w:val="000B32CF"/>
    <w:rsid w:val="000B3452"/>
    <w:rsid w:val="000B3457"/>
    <w:rsid w:val="000B3479"/>
    <w:rsid w:val="000B34CC"/>
    <w:rsid w:val="000B3503"/>
    <w:rsid w:val="000B366C"/>
    <w:rsid w:val="000B36B2"/>
    <w:rsid w:val="000B38DE"/>
    <w:rsid w:val="000B3A22"/>
    <w:rsid w:val="000B3A29"/>
    <w:rsid w:val="000B3A70"/>
    <w:rsid w:val="000B3CA3"/>
    <w:rsid w:val="000B3D14"/>
    <w:rsid w:val="000B3FD8"/>
    <w:rsid w:val="000B3FE2"/>
    <w:rsid w:val="000B407E"/>
    <w:rsid w:val="000B40D9"/>
    <w:rsid w:val="000B41C8"/>
    <w:rsid w:val="000B442C"/>
    <w:rsid w:val="000B44E6"/>
    <w:rsid w:val="000B4646"/>
    <w:rsid w:val="000B46B3"/>
    <w:rsid w:val="000B4700"/>
    <w:rsid w:val="000B4785"/>
    <w:rsid w:val="000B47A8"/>
    <w:rsid w:val="000B486B"/>
    <w:rsid w:val="000B4988"/>
    <w:rsid w:val="000B4A7C"/>
    <w:rsid w:val="000B4AB4"/>
    <w:rsid w:val="000B4BD6"/>
    <w:rsid w:val="000B4BE3"/>
    <w:rsid w:val="000B4C19"/>
    <w:rsid w:val="000B4D43"/>
    <w:rsid w:val="000B4EC0"/>
    <w:rsid w:val="000B4F19"/>
    <w:rsid w:val="000B4FD2"/>
    <w:rsid w:val="000B4FF7"/>
    <w:rsid w:val="000B5006"/>
    <w:rsid w:val="000B5073"/>
    <w:rsid w:val="000B50DB"/>
    <w:rsid w:val="000B52BA"/>
    <w:rsid w:val="000B539C"/>
    <w:rsid w:val="000B5460"/>
    <w:rsid w:val="000B554F"/>
    <w:rsid w:val="000B5699"/>
    <w:rsid w:val="000B58AF"/>
    <w:rsid w:val="000B5B2B"/>
    <w:rsid w:val="000B5C50"/>
    <w:rsid w:val="000B5C5E"/>
    <w:rsid w:val="000B5CAA"/>
    <w:rsid w:val="000B5D01"/>
    <w:rsid w:val="000B5D75"/>
    <w:rsid w:val="000B5D8C"/>
    <w:rsid w:val="000B5E11"/>
    <w:rsid w:val="000B5E7C"/>
    <w:rsid w:val="000B602C"/>
    <w:rsid w:val="000B6074"/>
    <w:rsid w:val="000B6198"/>
    <w:rsid w:val="000B633A"/>
    <w:rsid w:val="000B6433"/>
    <w:rsid w:val="000B6441"/>
    <w:rsid w:val="000B65AC"/>
    <w:rsid w:val="000B674E"/>
    <w:rsid w:val="000B6971"/>
    <w:rsid w:val="000B6990"/>
    <w:rsid w:val="000B69A5"/>
    <w:rsid w:val="000B69D7"/>
    <w:rsid w:val="000B6A2D"/>
    <w:rsid w:val="000B6AAF"/>
    <w:rsid w:val="000B6AFF"/>
    <w:rsid w:val="000B6BC2"/>
    <w:rsid w:val="000B6BE5"/>
    <w:rsid w:val="000B6CC3"/>
    <w:rsid w:val="000B6D31"/>
    <w:rsid w:val="000B6E08"/>
    <w:rsid w:val="000B6F90"/>
    <w:rsid w:val="000B71F1"/>
    <w:rsid w:val="000B720B"/>
    <w:rsid w:val="000B7232"/>
    <w:rsid w:val="000B72F7"/>
    <w:rsid w:val="000B7339"/>
    <w:rsid w:val="000B743D"/>
    <w:rsid w:val="000B7440"/>
    <w:rsid w:val="000B745C"/>
    <w:rsid w:val="000B74A3"/>
    <w:rsid w:val="000B7547"/>
    <w:rsid w:val="000B7597"/>
    <w:rsid w:val="000B75AC"/>
    <w:rsid w:val="000B75B5"/>
    <w:rsid w:val="000B7775"/>
    <w:rsid w:val="000B7861"/>
    <w:rsid w:val="000B7886"/>
    <w:rsid w:val="000B78E4"/>
    <w:rsid w:val="000B7A3B"/>
    <w:rsid w:val="000B7B01"/>
    <w:rsid w:val="000B7ECE"/>
    <w:rsid w:val="000B7F3C"/>
    <w:rsid w:val="000C0175"/>
    <w:rsid w:val="000C01F7"/>
    <w:rsid w:val="000C0236"/>
    <w:rsid w:val="000C02B2"/>
    <w:rsid w:val="000C02F9"/>
    <w:rsid w:val="000C0380"/>
    <w:rsid w:val="000C0431"/>
    <w:rsid w:val="000C045C"/>
    <w:rsid w:val="000C04CC"/>
    <w:rsid w:val="000C04F1"/>
    <w:rsid w:val="000C04F9"/>
    <w:rsid w:val="000C07B8"/>
    <w:rsid w:val="000C0986"/>
    <w:rsid w:val="000C0A69"/>
    <w:rsid w:val="000C0B5F"/>
    <w:rsid w:val="000C0BAC"/>
    <w:rsid w:val="000C0BFF"/>
    <w:rsid w:val="000C0DBE"/>
    <w:rsid w:val="000C0FDF"/>
    <w:rsid w:val="000C122F"/>
    <w:rsid w:val="000C140F"/>
    <w:rsid w:val="000C142E"/>
    <w:rsid w:val="000C1448"/>
    <w:rsid w:val="000C15A5"/>
    <w:rsid w:val="000C1607"/>
    <w:rsid w:val="000C17C1"/>
    <w:rsid w:val="000C1957"/>
    <w:rsid w:val="000C197C"/>
    <w:rsid w:val="000C1A25"/>
    <w:rsid w:val="000C1A81"/>
    <w:rsid w:val="000C1ABD"/>
    <w:rsid w:val="000C1C22"/>
    <w:rsid w:val="000C1C4F"/>
    <w:rsid w:val="000C1FAF"/>
    <w:rsid w:val="000C206E"/>
    <w:rsid w:val="000C210D"/>
    <w:rsid w:val="000C21BF"/>
    <w:rsid w:val="000C21ED"/>
    <w:rsid w:val="000C2282"/>
    <w:rsid w:val="000C22C7"/>
    <w:rsid w:val="000C22FA"/>
    <w:rsid w:val="000C247B"/>
    <w:rsid w:val="000C2530"/>
    <w:rsid w:val="000C2546"/>
    <w:rsid w:val="000C25C2"/>
    <w:rsid w:val="000C261C"/>
    <w:rsid w:val="000C2659"/>
    <w:rsid w:val="000C26B9"/>
    <w:rsid w:val="000C26F5"/>
    <w:rsid w:val="000C2718"/>
    <w:rsid w:val="000C2749"/>
    <w:rsid w:val="000C2753"/>
    <w:rsid w:val="000C27E5"/>
    <w:rsid w:val="000C2888"/>
    <w:rsid w:val="000C2962"/>
    <w:rsid w:val="000C2BC3"/>
    <w:rsid w:val="000C2BE4"/>
    <w:rsid w:val="000C2C7C"/>
    <w:rsid w:val="000C2D45"/>
    <w:rsid w:val="000C2F30"/>
    <w:rsid w:val="000C3014"/>
    <w:rsid w:val="000C3137"/>
    <w:rsid w:val="000C317F"/>
    <w:rsid w:val="000C31EB"/>
    <w:rsid w:val="000C31F6"/>
    <w:rsid w:val="000C31FB"/>
    <w:rsid w:val="000C3332"/>
    <w:rsid w:val="000C3461"/>
    <w:rsid w:val="000C3572"/>
    <w:rsid w:val="000C3603"/>
    <w:rsid w:val="000C365C"/>
    <w:rsid w:val="000C36B6"/>
    <w:rsid w:val="000C36C6"/>
    <w:rsid w:val="000C3840"/>
    <w:rsid w:val="000C3854"/>
    <w:rsid w:val="000C3B1F"/>
    <w:rsid w:val="000C3D75"/>
    <w:rsid w:val="000C3E59"/>
    <w:rsid w:val="000C3E62"/>
    <w:rsid w:val="000C3F66"/>
    <w:rsid w:val="000C4085"/>
    <w:rsid w:val="000C4153"/>
    <w:rsid w:val="000C4238"/>
    <w:rsid w:val="000C437F"/>
    <w:rsid w:val="000C43E5"/>
    <w:rsid w:val="000C440D"/>
    <w:rsid w:val="000C44A2"/>
    <w:rsid w:val="000C453C"/>
    <w:rsid w:val="000C46C7"/>
    <w:rsid w:val="000C4775"/>
    <w:rsid w:val="000C47D7"/>
    <w:rsid w:val="000C486F"/>
    <w:rsid w:val="000C4972"/>
    <w:rsid w:val="000C4B41"/>
    <w:rsid w:val="000C4BB3"/>
    <w:rsid w:val="000C4C4F"/>
    <w:rsid w:val="000C4CE3"/>
    <w:rsid w:val="000C4D35"/>
    <w:rsid w:val="000C4E18"/>
    <w:rsid w:val="000C4F4E"/>
    <w:rsid w:val="000C4F6B"/>
    <w:rsid w:val="000C5009"/>
    <w:rsid w:val="000C511B"/>
    <w:rsid w:val="000C5172"/>
    <w:rsid w:val="000C518F"/>
    <w:rsid w:val="000C5297"/>
    <w:rsid w:val="000C52AC"/>
    <w:rsid w:val="000C530C"/>
    <w:rsid w:val="000C5469"/>
    <w:rsid w:val="000C55B7"/>
    <w:rsid w:val="000C55FF"/>
    <w:rsid w:val="000C561A"/>
    <w:rsid w:val="000C5642"/>
    <w:rsid w:val="000C5696"/>
    <w:rsid w:val="000C59B7"/>
    <w:rsid w:val="000C5AE9"/>
    <w:rsid w:val="000C5BA9"/>
    <w:rsid w:val="000C5BE7"/>
    <w:rsid w:val="000C5C32"/>
    <w:rsid w:val="000C5CF1"/>
    <w:rsid w:val="000C5E17"/>
    <w:rsid w:val="000C5FBE"/>
    <w:rsid w:val="000C5FE7"/>
    <w:rsid w:val="000C5FEF"/>
    <w:rsid w:val="000C6003"/>
    <w:rsid w:val="000C602A"/>
    <w:rsid w:val="000C6198"/>
    <w:rsid w:val="000C6302"/>
    <w:rsid w:val="000C63E0"/>
    <w:rsid w:val="000C6419"/>
    <w:rsid w:val="000C642C"/>
    <w:rsid w:val="000C649C"/>
    <w:rsid w:val="000C64D5"/>
    <w:rsid w:val="000C64F9"/>
    <w:rsid w:val="000C659B"/>
    <w:rsid w:val="000C65F8"/>
    <w:rsid w:val="000C6647"/>
    <w:rsid w:val="000C6676"/>
    <w:rsid w:val="000C67BA"/>
    <w:rsid w:val="000C68C3"/>
    <w:rsid w:val="000C69E9"/>
    <w:rsid w:val="000C6A20"/>
    <w:rsid w:val="000C6CAF"/>
    <w:rsid w:val="000C6CCF"/>
    <w:rsid w:val="000C6D4D"/>
    <w:rsid w:val="000C6DC2"/>
    <w:rsid w:val="000C6F7B"/>
    <w:rsid w:val="000C6F96"/>
    <w:rsid w:val="000C6FCD"/>
    <w:rsid w:val="000C70C4"/>
    <w:rsid w:val="000C716A"/>
    <w:rsid w:val="000C7282"/>
    <w:rsid w:val="000C73F5"/>
    <w:rsid w:val="000C7446"/>
    <w:rsid w:val="000C74A6"/>
    <w:rsid w:val="000C7551"/>
    <w:rsid w:val="000C756A"/>
    <w:rsid w:val="000C75C0"/>
    <w:rsid w:val="000C75D9"/>
    <w:rsid w:val="000C75F8"/>
    <w:rsid w:val="000C76B5"/>
    <w:rsid w:val="000C7918"/>
    <w:rsid w:val="000C793A"/>
    <w:rsid w:val="000C7AF5"/>
    <w:rsid w:val="000C7B46"/>
    <w:rsid w:val="000C7C06"/>
    <w:rsid w:val="000C7C34"/>
    <w:rsid w:val="000C7C4C"/>
    <w:rsid w:val="000C7F16"/>
    <w:rsid w:val="000C7FE6"/>
    <w:rsid w:val="000C7FE9"/>
    <w:rsid w:val="000D0002"/>
    <w:rsid w:val="000D00D7"/>
    <w:rsid w:val="000D0161"/>
    <w:rsid w:val="000D032C"/>
    <w:rsid w:val="000D037D"/>
    <w:rsid w:val="000D0390"/>
    <w:rsid w:val="000D0473"/>
    <w:rsid w:val="000D0666"/>
    <w:rsid w:val="000D07FE"/>
    <w:rsid w:val="000D0814"/>
    <w:rsid w:val="000D08B0"/>
    <w:rsid w:val="000D09A7"/>
    <w:rsid w:val="000D0AD6"/>
    <w:rsid w:val="000D0B96"/>
    <w:rsid w:val="000D0C84"/>
    <w:rsid w:val="000D0CAD"/>
    <w:rsid w:val="000D0CDA"/>
    <w:rsid w:val="000D0E05"/>
    <w:rsid w:val="000D104A"/>
    <w:rsid w:val="000D1097"/>
    <w:rsid w:val="000D1171"/>
    <w:rsid w:val="000D129F"/>
    <w:rsid w:val="000D12BD"/>
    <w:rsid w:val="000D12E8"/>
    <w:rsid w:val="000D1443"/>
    <w:rsid w:val="000D148A"/>
    <w:rsid w:val="000D14C1"/>
    <w:rsid w:val="000D1593"/>
    <w:rsid w:val="000D1597"/>
    <w:rsid w:val="000D1666"/>
    <w:rsid w:val="000D17EB"/>
    <w:rsid w:val="000D182C"/>
    <w:rsid w:val="000D19B0"/>
    <w:rsid w:val="000D1AB6"/>
    <w:rsid w:val="000D1AF9"/>
    <w:rsid w:val="000D1C94"/>
    <w:rsid w:val="000D1DA3"/>
    <w:rsid w:val="000D1DA5"/>
    <w:rsid w:val="000D1E48"/>
    <w:rsid w:val="000D1E5E"/>
    <w:rsid w:val="000D1E82"/>
    <w:rsid w:val="000D1F86"/>
    <w:rsid w:val="000D1F98"/>
    <w:rsid w:val="000D1FED"/>
    <w:rsid w:val="000D2050"/>
    <w:rsid w:val="000D2191"/>
    <w:rsid w:val="000D234D"/>
    <w:rsid w:val="000D2352"/>
    <w:rsid w:val="000D24C5"/>
    <w:rsid w:val="000D252C"/>
    <w:rsid w:val="000D265C"/>
    <w:rsid w:val="000D2677"/>
    <w:rsid w:val="000D2794"/>
    <w:rsid w:val="000D2818"/>
    <w:rsid w:val="000D2961"/>
    <w:rsid w:val="000D2A8D"/>
    <w:rsid w:val="000D2BCA"/>
    <w:rsid w:val="000D2C2E"/>
    <w:rsid w:val="000D2C7F"/>
    <w:rsid w:val="000D2CC7"/>
    <w:rsid w:val="000D2D60"/>
    <w:rsid w:val="000D2DFA"/>
    <w:rsid w:val="000D2EC1"/>
    <w:rsid w:val="000D2F2F"/>
    <w:rsid w:val="000D2FF9"/>
    <w:rsid w:val="000D3177"/>
    <w:rsid w:val="000D3230"/>
    <w:rsid w:val="000D3284"/>
    <w:rsid w:val="000D33AB"/>
    <w:rsid w:val="000D34C2"/>
    <w:rsid w:val="000D34D8"/>
    <w:rsid w:val="000D3637"/>
    <w:rsid w:val="000D36A9"/>
    <w:rsid w:val="000D37B4"/>
    <w:rsid w:val="000D3848"/>
    <w:rsid w:val="000D38E5"/>
    <w:rsid w:val="000D3AA3"/>
    <w:rsid w:val="000D3AC4"/>
    <w:rsid w:val="000D3B91"/>
    <w:rsid w:val="000D3C73"/>
    <w:rsid w:val="000D3C9E"/>
    <w:rsid w:val="000D3CA8"/>
    <w:rsid w:val="000D3D4A"/>
    <w:rsid w:val="000D3D79"/>
    <w:rsid w:val="000D3E8B"/>
    <w:rsid w:val="000D3F38"/>
    <w:rsid w:val="000D4148"/>
    <w:rsid w:val="000D41DA"/>
    <w:rsid w:val="000D4482"/>
    <w:rsid w:val="000D4604"/>
    <w:rsid w:val="000D4662"/>
    <w:rsid w:val="000D475F"/>
    <w:rsid w:val="000D4779"/>
    <w:rsid w:val="000D47A9"/>
    <w:rsid w:val="000D48C9"/>
    <w:rsid w:val="000D48FB"/>
    <w:rsid w:val="000D4AAE"/>
    <w:rsid w:val="000D4CE3"/>
    <w:rsid w:val="000D4D8C"/>
    <w:rsid w:val="000D4ED2"/>
    <w:rsid w:val="000D4F01"/>
    <w:rsid w:val="000D521F"/>
    <w:rsid w:val="000D5235"/>
    <w:rsid w:val="000D52B8"/>
    <w:rsid w:val="000D5331"/>
    <w:rsid w:val="000D55F7"/>
    <w:rsid w:val="000D568A"/>
    <w:rsid w:val="000D56C5"/>
    <w:rsid w:val="000D56F8"/>
    <w:rsid w:val="000D5759"/>
    <w:rsid w:val="000D57DB"/>
    <w:rsid w:val="000D58B8"/>
    <w:rsid w:val="000D5A74"/>
    <w:rsid w:val="000D5FD3"/>
    <w:rsid w:val="000D600C"/>
    <w:rsid w:val="000D60CD"/>
    <w:rsid w:val="000D60D5"/>
    <w:rsid w:val="000D613F"/>
    <w:rsid w:val="000D61AF"/>
    <w:rsid w:val="000D6200"/>
    <w:rsid w:val="000D647C"/>
    <w:rsid w:val="000D64D8"/>
    <w:rsid w:val="000D64DE"/>
    <w:rsid w:val="000D6606"/>
    <w:rsid w:val="000D665E"/>
    <w:rsid w:val="000D66ED"/>
    <w:rsid w:val="000D67EB"/>
    <w:rsid w:val="000D692C"/>
    <w:rsid w:val="000D69E2"/>
    <w:rsid w:val="000D6A44"/>
    <w:rsid w:val="000D6A91"/>
    <w:rsid w:val="000D6AF2"/>
    <w:rsid w:val="000D6C6D"/>
    <w:rsid w:val="000D6CD6"/>
    <w:rsid w:val="000D6CDD"/>
    <w:rsid w:val="000D6CED"/>
    <w:rsid w:val="000D6E59"/>
    <w:rsid w:val="000D6FD8"/>
    <w:rsid w:val="000D7049"/>
    <w:rsid w:val="000D7115"/>
    <w:rsid w:val="000D719C"/>
    <w:rsid w:val="000D7364"/>
    <w:rsid w:val="000D739A"/>
    <w:rsid w:val="000D75BE"/>
    <w:rsid w:val="000D76D2"/>
    <w:rsid w:val="000D77C6"/>
    <w:rsid w:val="000D77D7"/>
    <w:rsid w:val="000D7AFD"/>
    <w:rsid w:val="000D7B9C"/>
    <w:rsid w:val="000D7C30"/>
    <w:rsid w:val="000D7E4A"/>
    <w:rsid w:val="000D7F9F"/>
    <w:rsid w:val="000E01D4"/>
    <w:rsid w:val="000E0295"/>
    <w:rsid w:val="000E03F8"/>
    <w:rsid w:val="000E041D"/>
    <w:rsid w:val="000E04DC"/>
    <w:rsid w:val="000E055C"/>
    <w:rsid w:val="000E060A"/>
    <w:rsid w:val="000E06FB"/>
    <w:rsid w:val="000E074C"/>
    <w:rsid w:val="000E0879"/>
    <w:rsid w:val="000E099C"/>
    <w:rsid w:val="000E0AFF"/>
    <w:rsid w:val="000E0B11"/>
    <w:rsid w:val="000E0B75"/>
    <w:rsid w:val="000E0C68"/>
    <w:rsid w:val="000E0CC8"/>
    <w:rsid w:val="000E0D79"/>
    <w:rsid w:val="000E0E94"/>
    <w:rsid w:val="000E0E9B"/>
    <w:rsid w:val="000E0EC7"/>
    <w:rsid w:val="000E1178"/>
    <w:rsid w:val="000E1210"/>
    <w:rsid w:val="000E12A1"/>
    <w:rsid w:val="000E1421"/>
    <w:rsid w:val="000E146B"/>
    <w:rsid w:val="000E154D"/>
    <w:rsid w:val="000E1654"/>
    <w:rsid w:val="000E168A"/>
    <w:rsid w:val="000E16BD"/>
    <w:rsid w:val="000E16CA"/>
    <w:rsid w:val="000E1703"/>
    <w:rsid w:val="000E173C"/>
    <w:rsid w:val="000E1943"/>
    <w:rsid w:val="000E19ED"/>
    <w:rsid w:val="000E1C09"/>
    <w:rsid w:val="000E1C17"/>
    <w:rsid w:val="000E1D42"/>
    <w:rsid w:val="000E1D54"/>
    <w:rsid w:val="000E1E4A"/>
    <w:rsid w:val="000E208A"/>
    <w:rsid w:val="000E2182"/>
    <w:rsid w:val="000E22FC"/>
    <w:rsid w:val="000E23D2"/>
    <w:rsid w:val="000E2515"/>
    <w:rsid w:val="000E26E6"/>
    <w:rsid w:val="000E27DC"/>
    <w:rsid w:val="000E27F9"/>
    <w:rsid w:val="000E2851"/>
    <w:rsid w:val="000E28FA"/>
    <w:rsid w:val="000E2B35"/>
    <w:rsid w:val="000E2B86"/>
    <w:rsid w:val="000E2BAE"/>
    <w:rsid w:val="000E2BB4"/>
    <w:rsid w:val="000E2BCC"/>
    <w:rsid w:val="000E2CCA"/>
    <w:rsid w:val="000E2D27"/>
    <w:rsid w:val="000E2D8D"/>
    <w:rsid w:val="000E2E40"/>
    <w:rsid w:val="000E3018"/>
    <w:rsid w:val="000E301A"/>
    <w:rsid w:val="000E302E"/>
    <w:rsid w:val="000E3091"/>
    <w:rsid w:val="000E3206"/>
    <w:rsid w:val="000E326B"/>
    <w:rsid w:val="000E343A"/>
    <w:rsid w:val="000E3494"/>
    <w:rsid w:val="000E349F"/>
    <w:rsid w:val="000E34FA"/>
    <w:rsid w:val="000E356B"/>
    <w:rsid w:val="000E3639"/>
    <w:rsid w:val="000E363C"/>
    <w:rsid w:val="000E369B"/>
    <w:rsid w:val="000E393C"/>
    <w:rsid w:val="000E39A1"/>
    <w:rsid w:val="000E39BC"/>
    <w:rsid w:val="000E3A0C"/>
    <w:rsid w:val="000E3AEE"/>
    <w:rsid w:val="000E3D88"/>
    <w:rsid w:val="000E3D91"/>
    <w:rsid w:val="000E3F5C"/>
    <w:rsid w:val="000E3FBE"/>
    <w:rsid w:val="000E4013"/>
    <w:rsid w:val="000E4059"/>
    <w:rsid w:val="000E40A2"/>
    <w:rsid w:val="000E4176"/>
    <w:rsid w:val="000E42DE"/>
    <w:rsid w:val="000E439C"/>
    <w:rsid w:val="000E46D7"/>
    <w:rsid w:val="000E46E3"/>
    <w:rsid w:val="000E46F2"/>
    <w:rsid w:val="000E470D"/>
    <w:rsid w:val="000E47DA"/>
    <w:rsid w:val="000E4A30"/>
    <w:rsid w:val="000E4B2A"/>
    <w:rsid w:val="000E4C65"/>
    <w:rsid w:val="000E4CCA"/>
    <w:rsid w:val="000E4D67"/>
    <w:rsid w:val="000E4D7D"/>
    <w:rsid w:val="000E4DC0"/>
    <w:rsid w:val="000E4E73"/>
    <w:rsid w:val="000E4F0F"/>
    <w:rsid w:val="000E4F11"/>
    <w:rsid w:val="000E4F50"/>
    <w:rsid w:val="000E4F74"/>
    <w:rsid w:val="000E4FEF"/>
    <w:rsid w:val="000E5038"/>
    <w:rsid w:val="000E503D"/>
    <w:rsid w:val="000E516D"/>
    <w:rsid w:val="000E519E"/>
    <w:rsid w:val="000E5201"/>
    <w:rsid w:val="000E5358"/>
    <w:rsid w:val="000E53BF"/>
    <w:rsid w:val="000E5452"/>
    <w:rsid w:val="000E5504"/>
    <w:rsid w:val="000E55A9"/>
    <w:rsid w:val="000E56A8"/>
    <w:rsid w:val="000E57E4"/>
    <w:rsid w:val="000E5952"/>
    <w:rsid w:val="000E5981"/>
    <w:rsid w:val="000E59D6"/>
    <w:rsid w:val="000E5A14"/>
    <w:rsid w:val="000E5A60"/>
    <w:rsid w:val="000E5BC7"/>
    <w:rsid w:val="000E5BD6"/>
    <w:rsid w:val="000E5C15"/>
    <w:rsid w:val="000E5CF5"/>
    <w:rsid w:val="000E5D64"/>
    <w:rsid w:val="000E5F28"/>
    <w:rsid w:val="000E5F5C"/>
    <w:rsid w:val="000E5F6C"/>
    <w:rsid w:val="000E6298"/>
    <w:rsid w:val="000E63C6"/>
    <w:rsid w:val="000E63FD"/>
    <w:rsid w:val="000E6437"/>
    <w:rsid w:val="000E64F6"/>
    <w:rsid w:val="000E6577"/>
    <w:rsid w:val="000E65C9"/>
    <w:rsid w:val="000E65D9"/>
    <w:rsid w:val="000E66A3"/>
    <w:rsid w:val="000E66E7"/>
    <w:rsid w:val="000E6734"/>
    <w:rsid w:val="000E6794"/>
    <w:rsid w:val="000E67E6"/>
    <w:rsid w:val="000E687B"/>
    <w:rsid w:val="000E688C"/>
    <w:rsid w:val="000E6A0B"/>
    <w:rsid w:val="000E6A55"/>
    <w:rsid w:val="000E6B37"/>
    <w:rsid w:val="000E6DD8"/>
    <w:rsid w:val="000E6E9A"/>
    <w:rsid w:val="000E6EEC"/>
    <w:rsid w:val="000E71E7"/>
    <w:rsid w:val="000E7213"/>
    <w:rsid w:val="000E7224"/>
    <w:rsid w:val="000E722D"/>
    <w:rsid w:val="000E72B1"/>
    <w:rsid w:val="000E73EC"/>
    <w:rsid w:val="000E74BF"/>
    <w:rsid w:val="000E75B2"/>
    <w:rsid w:val="000E7675"/>
    <w:rsid w:val="000E7B12"/>
    <w:rsid w:val="000E7B48"/>
    <w:rsid w:val="000E7BC5"/>
    <w:rsid w:val="000E7C84"/>
    <w:rsid w:val="000E7D43"/>
    <w:rsid w:val="000E7E4B"/>
    <w:rsid w:val="000E7F26"/>
    <w:rsid w:val="000E7FBF"/>
    <w:rsid w:val="000F0021"/>
    <w:rsid w:val="000F028B"/>
    <w:rsid w:val="000F03AB"/>
    <w:rsid w:val="000F0432"/>
    <w:rsid w:val="000F049D"/>
    <w:rsid w:val="000F0681"/>
    <w:rsid w:val="000F0685"/>
    <w:rsid w:val="000F06B4"/>
    <w:rsid w:val="000F0771"/>
    <w:rsid w:val="000F0985"/>
    <w:rsid w:val="000F0A1E"/>
    <w:rsid w:val="000F0B25"/>
    <w:rsid w:val="000F0BA0"/>
    <w:rsid w:val="000F0CFD"/>
    <w:rsid w:val="000F0D76"/>
    <w:rsid w:val="000F0DCB"/>
    <w:rsid w:val="000F0E40"/>
    <w:rsid w:val="000F0E6C"/>
    <w:rsid w:val="000F0F4D"/>
    <w:rsid w:val="000F0FC8"/>
    <w:rsid w:val="000F10CE"/>
    <w:rsid w:val="000F117C"/>
    <w:rsid w:val="000F1184"/>
    <w:rsid w:val="000F11EA"/>
    <w:rsid w:val="000F14B9"/>
    <w:rsid w:val="000F15AD"/>
    <w:rsid w:val="000F174D"/>
    <w:rsid w:val="000F1770"/>
    <w:rsid w:val="000F1A30"/>
    <w:rsid w:val="000F1AD9"/>
    <w:rsid w:val="000F1E23"/>
    <w:rsid w:val="000F209E"/>
    <w:rsid w:val="000F210F"/>
    <w:rsid w:val="000F2136"/>
    <w:rsid w:val="000F215E"/>
    <w:rsid w:val="000F21D1"/>
    <w:rsid w:val="000F2237"/>
    <w:rsid w:val="000F229C"/>
    <w:rsid w:val="000F22A6"/>
    <w:rsid w:val="000F2322"/>
    <w:rsid w:val="000F23F9"/>
    <w:rsid w:val="000F24EB"/>
    <w:rsid w:val="000F27A9"/>
    <w:rsid w:val="000F2840"/>
    <w:rsid w:val="000F285C"/>
    <w:rsid w:val="000F2930"/>
    <w:rsid w:val="000F29D7"/>
    <w:rsid w:val="000F29E2"/>
    <w:rsid w:val="000F2B5F"/>
    <w:rsid w:val="000F2BD6"/>
    <w:rsid w:val="000F2C67"/>
    <w:rsid w:val="000F2EE1"/>
    <w:rsid w:val="000F2EFA"/>
    <w:rsid w:val="000F2F12"/>
    <w:rsid w:val="000F2FB2"/>
    <w:rsid w:val="000F3004"/>
    <w:rsid w:val="000F309E"/>
    <w:rsid w:val="000F3113"/>
    <w:rsid w:val="000F3166"/>
    <w:rsid w:val="000F3294"/>
    <w:rsid w:val="000F3367"/>
    <w:rsid w:val="000F3556"/>
    <w:rsid w:val="000F35D3"/>
    <w:rsid w:val="000F36EE"/>
    <w:rsid w:val="000F371A"/>
    <w:rsid w:val="000F3760"/>
    <w:rsid w:val="000F3779"/>
    <w:rsid w:val="000F3878"/>
    <w:rsid w:val="000F38EB"/>
    <w:rsid w:val="000F38F3"/>
    <w:rsid w:val="000F3BCF"/>
    <w:rsid w:val="000F3C4F"/>
    <w:rsid w:val="000F3D2B"/>
    <w:rsid w:val="000F3E04"/>
    <w:rsid w:val="000F3E4D"/>
    <w:rsid w:val="000F3E65"/>
    <w:rsid w:val="000F3F30"/>
    <w:rsid w:val="000F40DF"/>
    <w:rsid w:val="000F4251"/>
    <w:rsid w:val="000F4293"/>
    <w:rsid w:val="000F42F3"/>
    <w:rsid w:val="000F4368"/>
    <w:rsid w:val="000F437E"/>
    <w:rsid w:val="000F4489"/>
    <w:rsid w:val="000F457C"/>
    <w:rsid w:val="000F45CE"/>
    <w:rsid w:val="000F47BD"/>
    <w:rsid w:val="000F48B7"/>
    <w:rsid w:val="000F4AED"/>
    <w:rsid w:val="000F4D75"/>
    <w:rsid w:val="000F4E11"/>
    <w:rsid w:val="000F4F24"/>
    <w:rsid w:val="000F503C"/>
    <w:rsid w:val="000F50EF"/>
    <w:rsid w:val="000F5172"/>
    <w:rsid w:val="000F529C"/>
    <w:rsid w:val="000F52CD"/>
    <w:rsid w:val="000F52E3"/>
    <w:rsid w:val="000F52E6"/>
    <w:rsid w:val="000F52EE"/>
    <w:rsid w:val="000F541E"/>
    <w:rsid w:val="000F54D6"/>
    <w:rsid w:val="000F5660"/>
    <w:rsid w:val="000F572C"/>
    <w:rsid w:val="000F577C"/>
    <w:rsid w:val="000F587C"/>
    <w:rsid w:val="000F58A4"/>
    <w:rsid w:val="000F59C9"/>
    <w:rsid w:val="000F5B8E"/>
    <w:rsid w:val="000F5C00"/>
    <w:rsid w:val="000F5C2B"/>
    <w:rsid w:val="000F5C9F"/>
    <w:rsid w:val="000F5D85"/>
    <w:rsid w:val="000F5DCC"/>
    <w:rsid w:val="000F5DF6"/>
    <w:rsid w:val="000F5F11"/>
    <w:rsid w:val="000F5F3F"/>
    <w:rsid w:val="000F5FA0"/>
    <w:rsid w:val="000F6004"/>
    <w:rsid w:val="000F615F"/>
    <w:rsid w:val="000F621E"/>
    <w:rsid w:val="000F6233"/>
    <w:rsid w:val="000F63A7"/>
    <w:rsid w:val="000F6416"/>
    <w:rsid w:val="000F6424"/>
    <w:rsid w:val="000F654B"/>
    <w:rsid w:val="000F656E"/>
    <w:rsid w:val="000F67AC"/>
    <w:rsid w:val="000F68B9"/>
    <w:rsid w:val="000F68D5"/>
    <w:rsid w:val="000F6920"/>
    <w:rsid w:val="000F69A7"/>
    <w:rsid w:val="000F69AF"/>
    <w:rsid w:val="000F6A36"/>
    <w:rsid w:val="000F6BE8"/>
    <w:rsid w:val="000F6C82"/>
    <w:rsid w:val="000F6EE7"/>
    <w:rsid w:val="000F718D"/>
    <w:rsid w:val="000F71BA"/>
    <w:rsid w:val="000F730F"/>
    <w:rsid w:val="000F753C"/>
    <w:rsid w:val="000F756E"/>
    <w:rsid w:val="000F75DE"/>
    <w:rsid w:val="000F76DC"/>
    <w:rsid w:val="000F7702"/>
    <w:rsid w:val="000F7919"/>
    <w:rsid w:val="000F7996"/>
    <w:rsid w:val="000F79BE"/>
    <w:rsid w:val="000F7AB9"/>
    <w:rsid w:val="000F7B76"/>
    <w:rsid w:val="000F7C43"/>
    <w:rsid w:val="000F7C7A"/>
    <w:rsid w:val="000F7CAD"/>
    <w:rsid w:val="000F7D50"/>
    <w:rsid w:val="000F7FD6"/>
    <w:rsid w:val="00100055"/>
    <w:rsid w:val="00100067"/>
    <w:rsid w:val="0010008A"/>
    <w:rsid w:val="00100091"/>
    <w:rsid w:val="001000F6"/>
    <w:rsid w:val="00100220"/>
    <w:rsid w:val="001002C4"/>
    <w:rsid w:val="0010043C"/>
    <w:rsid w:val="00100470"/>
    <w:rsid w:val="001004CC"/>
    <w:rsid w:val="001006A0"/>
    <w:rsid w:val="00100771"/>
    <w:rsid w:val="001007BD"/>
    <w:rsid w:val="00100872"/>
    <w:rsid w:val="00100882"/>
    <w:rsid w:val="00100935"/>
    <w:rsid w:val="00100A54"/>
    <w:rsid w:val="00100AA0"/>
    <w:rsid w:val="00100B8D"/>
    <w:rsid w:val="00100CE7"/>
    <w:rsid w:val="00100E1C"/>
    <w:rsid w:val="00100E7E"/>
    <w:rsid w:val="00100EEE"/>
    <w:rsid w:val="00100F57"/>
    <w:rsid w:val="0010100F"/>
    <w:rsid w:val="00101095"/>
    <w:rsid w:val="00101113"/>
    <w:rsid w:val="00101118"/>
    <w:rsid w:val="00101148"/>
    <w:rsid w:val="00101238"/>
    <w:rsid w:val="001012B7"/>
    <w:rsid w:val="001014FC"/>
    <w:rsid w:val="00101545"/>
    <w:rsid w:val="0010168C"/>
    <w:rsid w:val="00101697"/>
    <w:rsid w:val="0010169B"/>
    <w:rsid w:val="0010172C"/>
    <w:rsid w:val="001017D1"/>
    <w:rsid w:val="00101841"/>
    <w:rsid w:val="00101850"/>
    <w:rsid w:val="001018EE"/>
    <w:rsid w:val="001019BE"/>
    <w:rsid w:val="00101A9D"/>
    <w:rsid w:val="00101B25"/>
    <w:rsid w:val="00101B7E"/>
    <w:rsid w:val="00101BC8"/>
    <w:rsid w:val="00101CCF"/>
    <w:rsid w:val="00101E30"/>
    <w:rsid w:val="00101E35"/>
    <w:rsid w:val="00101FF7"/>
    <w:rsid w:val="001022C9"/>
    <w:rsid w:val="0010235D"/>
    <w:rsid w:val="0010246C"/>
    <w:rsid w:val="001024E0"/>
    <w:rsid w:val="00102587"/>
    <w:rsid w:val="0010270F"/>
    <w:rsid w:val="001027CB"/>
    <w:rsid w:val="001027EC"/>
    <w:rsid w:val="00102838"/>
    <w:rsid w:val="0010293C"/>
    <w:rsid w:val="00102A05"/>
    <w:rsid w:val="00102AC1"/>
    <w:rsid w:val="00102B50"/>
    <w:rsid w:val="00102EA1"/>
    <w:rsid w:val="00102EA7"/>
    <w:rsid w:val="00102F26"/>
    <w:rsid w:val="0010312C"/>
    <w:rsid w:val="001031B8"/>
    <w:rsid w:val="001031EE"/>
    <w:rsid w:val="00103227"/>
    <w:rsid w:val="001032F1"/>
    <w:rsid w:val="00103332"/>
    <w:rsid w:val="00103424"/>
    <w:rsid w:val="0010343A"/>
    <w:rsid w:val="00103456"/>
    <w:rsid w:val="001034B4"/>
    <w:rsid w:val="00103657"/>
    <w:rsid w:val="00103770"/>
    <w:rsid w:val="001037BC"/>
    <w:rsid w:val="001038D2"/>
    <w:rsid w:val="00103916"/>
    <w:rsid w:val="0010392F"/>
    <w:rsid w:val="0010394F"/>
    <w:rsid w:val="00103C43"/>
    <w:rsid w:val="00103C4A"/>
    <w:rsid w:val="00103CC5"/>
    <w:rsid w:val="00103D09"/>
    <w:rsid w:val="00103D78"/>
    <w:rsid w:val="00103E4A"/>
    <w:rsid w:val="00103E8B"/>
    <w:rsid w:val="00103F47"/>
    <w:rsid w:val="00104024"/>
    <w:rsid w:val="00104072"/>
    <w:rsid w:val="001040E1"/>
    <w:rsid w:val="001041A0"/>
    <w:rsid w:val="001041D0"/>
    <w:rsid w:val="001041D3"/>
    <w:rsid w:val="001041E2"/>
    <w:rsid w:val="00104283"/>
    <w:rsid w:val="00104332"/>
    <w:rsid w:val="0010438D"/>
    <w:rsid w:val="001043C3"/>
    <w:rsid w:val="001043E2"/>
    <w:rsid w:val="0010460B"/>
    <w:rsid w:val="00104676"/>
    <w:rsid w:val="0010470F"/>
    <w:rsid w:val="001047AD"/>
    <w:rsid w:val="00104913"/>
    <w:rsid w:val="001049FE"/>
    <w:rsid w:val="00104B9F"/>
    <w:rsid w:val="00104CAA"/>
    <w:rsid w:val="001050C0"/>
    <w:rsid w:val="001050F4"/>
    <w:rsid w:val="001051D8"/>
    <w:rsid w:val="0010523E"/>
    <w:rsid w:val="001052DD"/>
    <w:rsid w:val="0010533A"/>
    <w:rsid w:val="001053B7"/>
    <w:rsid w:val="00105582"/>
    <w:rsid w:val="001055CD"/>
    <w:rsid w:val="001055E7"/>
    <w:rsid w:val="00105609"/>
    <w:rsid w:val="00105859"/>
    <w:rsid w:val="001059E8"/>
    <w:rsid w:val="00105B0C"/>
    <w:rsid w:val="00105B15"/>
    <w:rsid w:val="00105B8E"/>
    <w:rsid w:val="00105C55"/>
    <w:rsid w:val="00105D23"/>
    <w:rsid w:val="00105D4E"/>
    <w:rsid w:val="00105F89"/>
    <w:rsid w:val="001061BB"/>
    <w:rsid w:val="0010623C"/>
    <w:rsid w:val="001063A1"/>
    <w:rsid w:val="001063D2"/>
    <w:rsid w:val="001063E5"/>
    <w:rsid w:val="0010654D"/>
    <w:rsid w:val="0010657F"/>
    <w:rsid w:val="0010699E"/>
    <w:rsid w:val="00106BFC"/>
    <w:rsid w:val="00106D46"/>
    <w:rsid w:val="00106DD9"/>
    <w:rsid w:val="00106E19"/>
    <w:rsid w:val="00106E59"/>
    <w:rsid w:val="00106E83"/>
    <w:rsid w:val="00106E8A"/>
    <w:rsid w:val="00106EE0"/>
    <w:rsid w:val="00106FB9"/>
    <w:rsid w:val="00107000"/>
    <w:rsid w:val="00107133"/>
    <w:rsid w:val="00107146"/>
    <w:rsid w:val="00107197"/>
    <w:rsid w:val="001071A1"/>
    <w:rsid w:val="001071D4"/>
    <w:rsid w:val="0010721E"/>
    <w:rsid w:val="0010723C"/>
    <w:rsid w:val="0010739D"/>
    <w:rsid w:val="00107409"/>
    <w:rsid w:val="0010741A"/>
    <w:rsid w:val="0010748A"/>
    <w:rsid w:val="001075AA"/>
    <w:rsid w:val="001075F9"/>
    <w:rsid w:val="001077EB"/>
    <w:rsid w:val="0010789C"/>
    <w:rsid w:val="001078BD"/>
    <w:rsid w:val="001078E4"/>
    <w:rsid w:val="001079B6"/>
    <w:rsid w:val="001079F0"/>
    <w:rsid w:val="00107A74"/>
    <w:rsid w:val="00107AB7"/>
    <w:rsid w:val="00107ABA"/>
    <w:rsid w:val="00107B14"/>
    <w:rsid w:val="00107C7A"/>
    <w:rsid w:val="00107D13"/>
    <w:rsid w:val="00107D6B"/>
    <w:rsid w:val="00107E20"/>
    <w:rsid w:val="00107FB4"/>
    <w:rsid w:val="001100E2"/>
    <w:rsid w:val="00110133"/>
    <w:rsid w:val="00110143"/>
    <w:rsid w:val="001101B3"/>
    <w:rsid w:val="00110254"/>
    <w:rsid w:val="00110269"/>
    <w:rsid w:val="00110280"/>
    <w:rsid w:val="001102F7"/>
    <w:rsid w:val="0011046A"/>
    <w:rsid w:val="00110529"/>
    <w:rsid w:val="0011068B"/>
    <w:rsid w:val="0011073A"/>
    <w:rsid w:val="00110805"/>
    <w:rsid w:val="00110816"/>
    <w:rsid w:val="00110A7C"/>
    <w:rsid w:val="00110AE0"/>
    <w:rsid w:val="00110B45"/>
    <w:rsid w:val="00110C1B"/>
    <w:rsid w:val="00110D0E"/>
    <w:rsid w:val="00110D84"/>
    <w:rsid w:val="00110DA7"/>
    <w:rsid w:val="00110E13"/>
    <w:rsid w:val="00110E2C"/>
    <w:rsid w:val="00110E5F"/>
    <w:rsid w:val="00110F12"/>
    <w:rsid w:val="00111089"/>
    <w:rsid w:val="001110C3"/>
    <w:rsid w:val="00111211"/>
    <w:rsid w:val="00111357"/>
    <w:rsid w:val="001113B2"/>
    <w:rsid w:val="0011143A"/>
    <w:rsid w:val="0011170B"/>
    <w:rsid w:val="001117BF"/>
    <w:rsid w:val="00111869"/>
    <w:rsid w:val="001118BD"/>
    <w:rsid w:val="001118E1"/>
    <w:rsid w:val="001119F6"/>
    <w:rsid w:val="00111A0C"/>
    <w:rsid w:val="00111EC8"/>
    <w:rsid w:val="00111ED7"/>
    <w:rsid w:val="00111EE0"/>
    <w:rsid w:val="00111F45"/>
    <w:rsid w:val="0011200A"/>
    <w:rsid w:val="00112078"/>
    <w:rsid w:val="001121BC"/>
    <w:rsid w:val="001121D3"/>
    <w:rsid w:val="00112314"/>
    <w:rsid w:val="0011232E"/>
    <w:rsid w:val="00112455"/>
    <w:rsid w:val="00112463"/>
    <w:rsid w:val="00112529"/>
    <w:rsid w:val="001126A4"/>
    <w:rsid w:val="0011270A"/>
    <w:rsid w:val="00112940"/>
    <w:rsid w:val="001129D9"/>
    <w:rsid w:val="00112ADB"/>
    <w:rsid w:val="00112B6A"/>
    <w:rsid w:val="00112D6E"/>
    <w:rsid w:val="00112DCB"/>
    <w:rsid w:val="00112E7A"/>
    <w:rsid w:val="00112EAC"/>
    <w:rsid w:val="00112F97"/>
    <w:rsid w:val="001130F9"/>
    <w:rsid w:val="00113169"/>
    <w:rsid w:val="001131E6"/>
    <w:rsid w:val="00113217"/>
    <w:rsid w:val="00113391"/>
    <w:rsid w:val="001133AF"/>
    <w:rsid w:val="001133DE"/>
    <w:rsid w:val="00113411"/>
    <w:rsid w:val="001135E6"/>
    <w:rsid w:val="0011364C"/>
    <w:rsid w:val="001136DA"/>
    <w:rsid w:val="00113729"/>
    <w:rsid w:val="00113824"/>
    <w:rsid w:val="00113900"/>
    <w:rsid w:val="00113940"/>
    <w:rsid w:val="00113A71"/>
    <w:rsid w:val="00113B5B"/>
    <w:rsid w:val="00113C97"/>
    <w:rsid w:val="00113D42"/>
    <w:rsid w:val="00113E62"/>
    <w:rsid w:val="0011405B"/>
    <w:rsid w:val="00114067"/>
    <w:rsid w:val="00114117"/>
    <w:rsid w:val="001141E6"/>
    <w:rsid w:val="00114232"/>
    <w:rsid w:val="001142B2"/>
    <w:rsid w:val="001143F6"/>
    <w:rsid w:val="001145FA"/>
    <w:rsid w:val="00114712"/>
    <w:rsid w:val="00114806"/>
    <w:rsid w:val="001148B3"/>
    <w:rsid w:val="00114911"/>
    <w:rsid w:val="001149CD"/>
    <w:rsid w:val="001149DF"/>
    <w:rsid w:val="00114A41"/>
    <w:rsid w:val="00114B26"/>
    <w:rsid w:val="00114BD0"/>
    <w:rsid w:val="00114C0F"/>
    <w:rsid w:val="00114CB3"/>
    <w:rsid w:val="00114CE1"/>
    <w:rsid w:val="00114E23"/>
    <w:rsid w:val="00114E4C"/>
    <w:rsid w:val="00114F1F"/>
    <w:rsid w:val="00114F9F"/>
    <w:rsid w:val="00115017"/>
    <w:rsid w:val="00115024"/>
    <w:rsid w:val="00115058"/>
    <w:rsid w:val="001150C0"/>
    <w:rsid w:val="001150C7"/>
    <w:rsid w:val="0011532E"/>
    <w:rsid w:val="00115344"/>
    <w:rsid w:val="001153F9"/>
    <w:rsid w:val="0011552B"/>
    <w:rsid w:val="00115549"/>
    <w:rsid w:val="0011557C"/>
    <w:rsid w:val="0011565A"/>
    <w:rsid w:val="00115749"/>
    <w:rsid w:val="00115782"/>
    <w:rsid w:val="00115893"/>
    <w:rsid w:val="001158F8"/>
    <w:rsid w:val="00115934"/>
    <w:rsid w:val="001159AB"/>
    <w:rsid w:val="00115A85"/>
    <w:rsid w:val="00115A99"/>
    <w:rsid w:val="00115B42"/>
    <w:rsid w:val="00115C7F"/>
    <w:rsid w:val="00115D29"/>
    <w:rsid w:val="00115ECC"/>
    <w:rsid w:val="00116117"/>
    <w:rsid w:val="0011631E"/>
    <w:rsid w:val="00116387"/>
    <w:rsid w:val="001163E9"/>
    <w:rsid w:val="00116521"/>
    <w:rsid w:val="0011652F"/>
    <w:rsid w:val="00116573"/>
    <w:rsid w:val="001165C7"/>
    <w:rsid w:val="001165F0"/>
    <w:rsid w:val="001165F6"/>
    <w:rsid w:val="0011668C"/>
    <w:rsid w:val="001166CA"/>
    <w:rsid w:val="001166E8"/>
    <w:rsid w:val="00116786"/>
    <w:rsid w:val="001167DC"/>
    <w:rsid w:val="00116815"/>
    <w:rsid w:val="00116828"/>
    <w:rsid w:val="001168B5"/>
    <w:rsid w:val="001168CE"/>
    <w:rsid w:val="00116938"/>
    <w:rsid w:val="00116BEA"/>
    <w:rsid w:val="00116D00"/>
    <w:rsid w:val="00116D58"/>
    <w:rsid w:val="00116DA2"/>
    <w:rsid w:val="00116E91"/>
    <w:rsid w:val="00117137"/>
    <w:rsid w:val="001172C0"/>
    <w:rsid w:val="00117300"/>
    <w:rsid w:val="00117405"/>
    <w:rsid w:val="00117457"/>
    <w:rsid w:val="001174AC"/>
    <w:rsid w:val="0011757F"/>
    <w:rsid w:val="001175A4"/>
    <w:rsid w:val="00117641"/>
    <w:rsid w:val="001176B3"/>
    <w:rsid w:val="001178F4"/>
    <w:rsid w:val="00117A21"/>
    <w:rsid w:val="00117D0D"/>
    <w:rsid w:val="00117D7B"/>
    <w:rsid w:val="00117FDA"/>
    <w:rsid w:val="001200FC"/>
    <w:rsid w:val="0012011A"/>
    <w:rsid w:val="001201DD"/>
    <w:rsid w:val="0012028D"/>
    <w:rsid w:val="001202A6"/>
    <w:rsid w:val="00120352"/>
    <w:rsid w:val="001203C7"/>
    <w:rsid w:val="001205EA"/>
    <w:rsid w:val="001205F4"/>
    <w:rsid w:val="00120654"/>
    <w:rsid w:val="00120699"/>
    <w:rsid w:val="00120885"/>
    <w:rsid w:val="00120D13"/>
    <w:rsid w:val="00120DBA"/>
    <w:rsid w:val="00120E0D"/>
    <w:rsid w:val="00120EFE"/>
    <w:rsid w:val="00120F68"/>
    <w:rsid w:val="00120F7C"/>
    <w:rsid w:val="00121137"/>
    <w:rsid w:val="00121181"/>
    <w:rsid w:val="001212EB"/>
    <w:rsid w:val="00121303"/>
    <w:rsid w:val="001213A9"/>
    <w:rsid w:val="001213B1"/>
    <w:rsid w:val="001213C0"/>
    <w:rsid w:val="0012141E"/>
    <w:rsid w:val="00121556"/>
    <w:rsid w:val="00121557"/>
    <w:rsid w:val="00121576"/>
    <w:rsid w:val="0012172B"/>
    <w:rsid w:val="001217F5"/>
    <w:rsid w:val="00121829"/>
    <w:rsid w:val="00121844"/>
    <w:rsid w:val="001218A1"/>
    <w:rsid w:val="001218E3"/>
    <w:rsid w:val="001219BF"/>
    <w:rsid w:val="001219DB"/>
    <w:rsid w:val="00121A13"/>
    <w:rsid w:val="00121B66"/>
    <w:rsid w:val="00121BCA"/>
    <w:rsid w:val="00121C29"/>
    <w:rsid w:val="00121D2E"/>
    <w:rsid w:val="00121D3A"/>
    <w:rsid w:val="00121D85"/>
    <w:rsid w:val="00121DF3"/>
    <w:rsid w:val="00121E7B"/>
    <w:rsid w:val="00121F98"/>
    <w:rsid w:val="001221A8"/>
    <w:rsid w:val="0012221D"/>
    <w:rsid w:val="00122286"/>
    <w:rsid w:val="00122363"/>
    <w:rsid w:val="00122423"/>
    <w:rsid w:val="00122512"/>
    <w:rsid w:val="00122833"/>
    <w:rsid w:val="001228C1"/>
    <w:rsid w:val="00122B0D"/>
    <w:rsid w:val="00122B48"/>
    <w:rsid w:val="00122B66"/>
    <w:rsid w:val="00122CA0"/>
    <w:rsid w:val="00122D02"/>
    <w:rsid w:val="00122F6D"/>
    <w:rsid w:val="0012308D"/>
    <w:rsid w:val="00123192"/>
    <w:rsid w:val="001234E5"/>
    <w:rsid w:val="00123520"/>
    <w:rsid w:val="00123619"/>
    <w:rsid w:val="00123660"/>
    <w:rsid w:val="00123678"/>
    <w:rsid w:val="00123732"/>
    <w:rsid w:val="0012376A"/>
    <w:rsid w:val="00123932"/>
    <w:rsid w:val="00123A80"/>
    <w:rsid w:val="00123AF0"/>
    <w:rsid w:val="00123AF3"/>
    <w:rsid w:val="00123CA0"/>
    <w:rsid w:val="00123CD5"/>
    <w:rsid w:val="00123EE8"/>
    <w:rsid w:val="00123F2B"/>
    <w:rsid w:val="00123FC5"/>
    <w:rsid w:val="00124002"/>
    <w:rsid w:val="0012402F"/>
    <w:rsid w:val="00124125"/>
    <w:rsid w:val="0012414D"/>
    <w:rsid w:val="001241B6"/>
    <w:rsid w:val="00124227"/>
    <w:rsid w:val="001242AC"/>
    <w:rsid w:val="001242D3"/>
    <w:rsid w:val="00124312"/>
    <w:rsid w:val="00124430"/>
    <w:rsid w:val="00124471"/>
    <w:rsid w:val="00124506"/>
    <w:rsid w:val="00124664"/>
    <w:rsid w:val="00124904"/>
    <w:rsid w:val="00124982"/>
    <w:rsid w:val="00124AFD"/>
    <w:rsid w:val="00124B05"/>
    <w:rsid w:val="00124B16"/>
    <w:rsid w:val="00124B63"/>
    <w:rsid w:val="00124BEA"/>
    <w:rsid w:val="00124E41"/>
    <w:rsid w:val="00124EB5"/>
    <w:rsid w:val="00124F3A"/>
    <w:rsid w:val="00125092"/>
    <w:rsid w:val="00125111"/>
    <w:rsid w:val="00125297"/>
    <w:rsid w:val="0012529F"/>
    <w:rsid w:val="001252EB"/>
    <w:rsid w:val="0012530E"/>
    <w:rsid w:val="001253D6"/>
    <w:rsid w:val="00125426"/>
    <w:rsid w:val="00125590"/>
    <w:rsid w:val="001256B5"/>
    <w:rsid w:val="0012575D"/>
    <w:rsid w:val="001257C3"/>
    <w:rsid w:val="00125915"/>
    <w:rsid w:val="00125995"/>
    <w:rsid w:val="001259F4"/>
    <w:rsid w:val="00125B28"/>
    <w:rsid w:val="00125B51"/>
    <w:rsid w:val="00125B84"/>
    <w:rsid w:val="00125B8A"/>
    <w:rsid w:val="00125C84"/>
    <w:rsid w:val="00125C8E"/>
    <w:rsid w:val="00125C9A"/>
    <w:rsid w:val="00125CFE"/>
    <w:rsid w:val="00125E72"/>
    <w:rsid w:val="00126156"/>
    <w:rsid w:val="0012624F"/>
    <w:rsid w:val="0012625C"/>
    <w:rsid w:val="00126368"/>
    <w:rsid w:val="00126412"/>
    <w:rsid w:val="0012646D"/>
    <w:rsid w:val="00126518"/>
    <w:rsid w:val="00126607"/>
    <w:rsid w:val="0012679D"/>
    <w:rsid w:val="001268B9"/>
    <w:rsid w:val="001268D8"/>
    <w:rsid w:val="00126931"/>
    <w:rsid w:val="001269D5"/>
    <w:rsid w:val="00126AB4"/>
    <w:rsid w:val="00126D57"/>
    <w:rsid w:val="00127117"/>
    <w:rsid w:val="00127147"/>
    <w:rsid w:val="001271C8"/>
    <w:rsid w:val="001272D7"/>
    <w:rsid w:val="001272E0"/>
    <w:rsid w:val="00127349"/>
    <w:rsid w:val="0012744E"/>
    <w:rsid w:val="00127491"/>
    <w:rsid w:val="001274A0"/>
    <w:rsid w:val="0012755E"/>
    <w:rsid w:val="00127643"/>
    <w:rsid w:val="001276CA"/>
    <w:rsid w:val="001277CC"/>
    <w:rsid w:val="00127857"/>
    <w:rsid w:val="00127917"/>
    <w:rsid w:val="0012793E"/>
    <w:rsid w:val="001279A8"/>
    <w:rsid w:val="001279AE"/>
    <w:rsid w:val="00127A3E"/>
    <w:rsid w:val="00127A69"/>
    <w:rsid w:val="00127B4C"/>
    <w:rsid w:val="00127BD7"/>
    <w:rsid w:val="00127CDE"/>
    <w:rsid w:val="00127E39"/>
    <w:rsid w:val="00127EF8"/>
    <w:rsid w:val="00127FC7"/>
    <w:rsid w:val="001300C5"/>
    <w:rsid w:val="00130115"/>
    <w:rsid w:val="0013012B"/>
    <w:rsid w:val="00130170"/>
    <w:rsid w:val="001301FC"/>
    <w:rsid w:val="00130240"/>
    <w:rsid w:val="001302A3"/>
    <w:rsid w:val="00130389"/>
    <w:rsid w:val="00130527"/>
    <w:rsid w:val="00130533"/>
    <w:rsid w:val="00130764"/>
    <w:rsid w:val="001307AF"/>
    <w:rsid w:val="0013081E"/>
    <w:rsid w:val="00130858"/>
    <w:rsid w:val="00130867"/>
    <w:rsid w:val="00130890"/>
    <w:rsid w:val="00130999"/>
    <w:rsid w:val="00130B4B"/>
    <w:rsid w:val="00130CC0"/>
    <w:rsid w:val="00131031"/>
    <w:rsid w:val="001310E5"/>
    <w:rsid w:val="001310EB"/>
    <w:rsid w:val="001310F7"/>
    <w:rsid w:val="001311DD"/>
    <w:rsid w:val="001313C6"/>
    <w:rsid w:val="00131441"/>
    <w:rsid w:val="0013166B"/>
    <w:rsid w:val="001316A0"/>
    <w:rsid w:val="001316A4"/>
    <w:rsid w:val="0013171F"/>
    <w:rsid w:val="00131803"/>
    <w:rsid w:val="00131957"/>
    <w:rsid w:val="00131CCC"/>
    <w:rsid w:val="00131D4F"/>
    <w:rsid w:val="00131DA9"/>
    <w:rsid w:val="00131DE7"/>
    <w:rsid w:val="00131DE8"/>
    <w:rsid w:val="00131E33"/>
    <w:rsid w:val="00131F28"/>
    <w:rsid w:val="00132025"/>
    <w:rsid w:val="001321EB"/>
    <w:rsid w:val="0013221E"/>
    <w:rsid w:val="001322DB"/>
    <w:rsid w:val="0013233E"/>
    <w:rsid w:val="00132386"/>
    <w:rsid w:val="001323A3"/>
    <w:rsid w:val="0013246A"/>
    <w:rsid w:val="001326B1"/>
    <w:rsid w:val="00132730"/>
    <w:rsid w:val="0013289B"/>
    <w:rsid w:val="001328DA"/>
    <w:rsid w:val="00132AE8"/>
    <w:rsid w:val="00132B8D"/>
    <w:rsid w:val="00132B9B"/>
    <w:rsid w:val="00132C62"/>
    <w:rsid w:val="00132CEA"/>
    <w:rsid w:val="00132CFD"/>
    <w:rsid w:val="00132D1E"/>
    <w:rsid w:val="00132D8B"/>
    <w:rsid w:val="00132F72"/>
    <w:rsid w:val="00133046"/>
    <w:rsid w:val="00133134"/>
    <w:rsid w:val="00133261"/>
    <w:rsid w:val="001332F7"/>
    <w:rsid w:val="0013341F"/>
    <w:rsid w:val="001337CE"/>
    <w:rsid w:val="0013382B"/>
    <w:rsid w:val="0013394F"/>
    <w:rsid w:val="00133975"/>
    <w:rsid w:val="00133993"/>
    <w:rsid w:val="001339D8"/>
    <w:rsid w:val="00133A4D"/>
    <w:rsid w:val="00133A67"/>
    <w:rsid w:val="00133C86"/>
    <w:rsid w:val="00133CED"/>
    <w:rsid w:val="00133D50"/>
    <w:rsid w:val="00134011"/>
    <w:rsid w:val="0013404A"/>
    <w:rsid w:val="001341E5"/>
    <w:rsid w:val="00134278"/>
    <w:rsid w:val="001342A9"/>
    <w:rsid w:val="001342F5"/>
    <w:rsid w:val="00134446"/>
    <w:rsid w:val="001344E2"/>
    <w:rsid w:val="001345E9"/>
    <w:rsid w:val="001345EC"/>
    <w:rsid w:val="00134728"/>
    <w:rsid w:val="001347D6"/>
    <w:rsid w:val="001348C9"/>
    <w:rsid w:val="00134D4F"/>
    <w:rsid w:val="00134D69"/>
    <w:rsid w:val="00134DE7"/>
    <w:rsid w:val="00134DEC"/>
    <w:rsid w:val="00134E35"/>
    <w:rsid w:val="00134F06"/>
    <w:rsid w:val="00135024"/>
    <w:rsid w:val="00135045"/>
    <w:rsid w:val="0013505C"/>
    <w:rsid w:val="00135097"/>
    <w:rsid w:val="00135147"/>
    <w:rsid w:val="001352FF"/>
    <w:rsid w:val="00135308"/>
    <w:rsid w:val="0013535C"/>
    <w:rsid w:val="001355AA"/>
    <w:rsid w:val="00135644"/>
    <w:rsid w:val="00135652"/>
    <w:rsid w:val="00135785"/>
    <w:rsid w:val="00135881"/>
    <w:rsid w:val="0013599E"/>
    <w:rsid w:val="00135BC5"/>
    <w:rsid w:val="00135BD0"/>
    <w:rsid w:val="00135D66"/>
    <w:rsid w:val="00135E05"/>
    <w:rsid w:val="00135F02"/>
    <w:rsid w:val="00135F76"/>
    <w:rsid w:val="00135FCC"/>
    <w:rsid w:val="001360E4"/>
    <w:rsid w:val="0013628F"/>
    <w:rsid w:val="001362D9"/>
    <w:rsid w:val="001362DA"/>
    <w:rsid w:val="001365DE"/>
    <w:rsid w:val="001366A7"/>
    <w:rsid w:val="00136747"/>
    <w:rsid w:val="001367B7"/>
    <w:rsid w:val="001367B9"/>
    <w:rsid w:val="00136857"/>
    <w:rsid w:val="001368C0"/>
    <w:rsid w:val="00136A99"/>
    <w:rsid w:val="00136AE4"/>
    <w:rsid w:val="00136C43"/>
    <w:rsid w:val="00136C60"/>
    <w:rsid w:val="00136CBC"/>
    <w:rsid w:val="00136E9E"/>
    <w:rsid w:val="00136F27"/>
    <w:rsid w:val="0013715A"/>
    <w:rsid w:val="00137239"/>
    <w:rsid w:val="0013734C"/>
    <w:rsid w:val="0013748F"/>
    <w:rsid w:val="00137755"/>
    <w:rsid w:val="0013775E"/>
    <w:rsid w:val="00137887"/>
    <w:rsid w:val="001378B8"/>
    <w:rsid w:val="001379C4"/>
    <w:rsid w:val="00137A81"/>
    <w:rsid w:val="00137B14"/>
    <w:rsid w:val="00137C36"/>
    <w:rsid w:val="00137C3C"/>
    <w:rsid w:val="00137C7D"/>
    <w:rsid w:val="00137C8E"/>
    <w:rsid w:val="00137D6B"/>
    <w:rsid w:val="00137D6C"/>
    <w:rsid w:val="00137DF5"/>
    <w:rsid w:val="00137E4A"/>
    <w:rsid w:val="00140112"/>
    <w:rsid w:val="001401C6"/>
    <w:rsid w:val="00140251"/>
    <w:rsid w:val="00140310"/>
    <w:rsid w:val="001404E3"/>
    <w:rsid w:val="0014053B"/>
    <w:rsid w:val="001405E6"/>
    <w:rsid w:val="001406A0"/>
    <w:rsid w:val="0014071A"/>
    <w:rsid w:val="0014079D"/>
    <w:rsid w:val="00140897"/>
    <w:rsid w:val="00140900"/>
    <w:rsid w:val="00140943"/>
    <w:rsid w:val="001409EB"/>
    <w:rsid w:val="001409F4"/>
    <w:rsid w:val="00140C75"/>
    <w:rsid w:val="00140CE0"/>
    <w:rsid w:val="00140EA9"/>
    <w:rsid w:val="00140EDB"/>
    <w:rsid w:val="001411B6"/>
    <w:rsid w:val="00141231"/>
    <w:rsid w:val="001414F9"/>
    <w:rsid w:val="00141505"/>
    <w:rsid w:val="0014159F"/>
    <w:rsid w:val="0014163C"/>
    <w:rsid w:val="001416C4"/>
    <w:rsid w:val="0014179D"/>
    <w:rsid w:val="0014180F"/>
    <w:rsid w:val="001418C7"/>
    <w:rsid w:val="0014193D"/>
    <w:rsid w:val="00141A92"/>
    <w:rsid w:val="00141AAC"/>
    <w:rsid w:val="00141C15"/>
    <w:rsid w:val="00141CE0"/>
    <w:rsid w:val="00141EED"/>
    <w:rsid w:val="00141EF8"/>
    <w:rsid w:val="00141F35"/>
    <w:rsid w:val="0014201F"/>
    <w:rsid w:val="0014204E"/>
    <w:rsid w:val="00142143"/>
    <w:rsid w:val="00142178"/>
    <w:rsid w:val="00142419"/>
    <w:rsid w:val="00142546"/>
    <w:rsid w:val="001426F2"/>
    <w:rsid w:val="00142806"/>
    <w:rsid w:val="00142A31"/>
    <w:rsid w:val="00142E5E"/>
    <w:rsid w:val="00142EA8"/>
    <w:rsid w:val="00142FB7"/>
    <w:rsid w:val="00142FBA"/>
    <w:rsid w:val="0014311D"/>
    <w:rsid w:val="001431CF"/>
    <w:rsid w:val="00143258"/>
    <w:rsid w:val="00143268"/>
    <w:rsid w:val="001432DE"/>
    <w:rsid w:val="001432EA"/>
    <w:rsid w:val="00143356"/>
    <w:rsid w:val="00143534"/>
    <w:rsid w:val="001437A1"/>
    <w:rsid w:val="00143903"/>
    <w:rsid w:val="00143906"/>
    <w:rsid w:val="00143997"/>
    <w:rsid w:val="001439B8"/>
    <w:rsid w:val="00143A93"/>
    <w:rsid w:val="00143C2B"/>
    <w:rsid w:val="00143C44"/>
    <w:rsid w:val="00143C47"/>
    <w:rsid w:val="00143E4A"/>
    <w:rsid w:val="0014411C"/>
    <w:rsid w:val="0014429A"/>
    <w:rsid w:val="001443D2"/>
    <w:rsid w:val="00144546"/>
    <w:rsid w:val="0014455D"/>
    <w:rsid w:val="00144647"/>
    <w:rsid w:val="0014474B"/>
    <w:rsid w:val="00144844"/>
    <w:rsid w:val="00144900"/>
    <w:rsid w:val="001449A0"/>
    <w:rsid w:val="00144AFD"/>
    <w:rsid w:val="00144B3F"/>
    <w:rsid w:val="00144BA7"/>
    <w:rsid w:val="00144EAF"/>
    <w:rsid w:val="00144EB2"/>
    <w:rsid w:val="00144F9C"/>
    <w:rsid w:val="00145123"/>
    <w:rsid w:val="0014519A"/>
    <w:rsid w:val="001452F9"/>
    <w:rsid w:val="001453C0"/>
    <w:rsid w:val="001454C5"/>
    <w:rsid w:val="00145756"/>
    <w:rsid w:val="00145757"/>
    <w:rsid w:val="001457AC"/>
    <w:rsid w:val="001459CF"/>
    <w:rsid w:val="00145A7F"/>
    <w:rsid w:val="00145A9C"/>
    <w:rsid w:val="00145AD2"/>
    <w:rsid w:val="00145BBE"/>
    <w:rsid w:val="00145BC4"/>
    <w:rsid w:val="00145C74"/>
    <w:rsid w:val="00145D22"/>
    <w:rsid w:val="00145DA1"/>
    <w:rsid w:val="00145ED1"/>
    <w:rsid w:val="00145EDF"/>
    <w:rsid w:val="00145F30"/>
    <w:rsid w:val="00145F6C"/>
    <w:rsid w:val="00145FA5"/>
    <w:rsid w:val="00145FBC"/>
    <w:rsid w:val="00145FD3"/>
    <w:rsid w:val="001460D6"/>
    <w:rsid w:val="0014610F"/>
    <w:rsid w:val="0014619D"/>
    <w:rsid w:val="00146299"/>
    <w:rsid w:val="001462AA"/>
    <w:rsid w:val="00146371"/>
    <w:rsid w:val="001463BA"/>
    <w:rsid w:val="001464F2"/>
    <w:rsid w:val="0014656D"/>
    <w:rsid w:val="0014657E"/>
    <w:rsid w:val="001465EF"/>
    <w:rsid w:val="001466BC"/>
    <w:rsid w:val="00146731"/>
    <w:rsid w:val="00146892"/>
    <w:rsid w:val="00146A81"/>
    <w:rsid w:val="00146B45"/>
    <w:rsid w:val="00146D4B"/>
    <w:rsid w:val="00146DC5"/>
    <w:rsid w:val="00146F67"/>
    <w:rsid w:val="00146F99"/>
    <w:rsid w:val="00146FEE"/>
    <w:rsid w:val="001471C5"/>
    <w:rsid w:val="00147287"/>
    <w:rsid w:val="0014739D"/>
    <w:rsid w:val="001473B7"/>
    <w:rsid w:val="0014742F"/>
    <w:rsid w:val="001475AC"/>
    <w:rsid w:val="00147690"/>
    <w:rsid w:val="00147822"/>
    <w:rsid w:val="001478C3"/>
    <w:rsid w:val="001478DC"/>
    <w:rsid w:val="0014791E"/>
    <w:rsid w:val="00147BC3"/>
    <w:rsid w:val="00147D69"/>
    <w:rsid w:val="00147DA6"/>
    <w:rsid w:val="00147FB7"/>
    <w:rsid w:val="00150107"/>
    <w:rsid w:val="001505BC"/>
    <w:rsid w:val="001506A0"/>
    <w:rsid w:val="0015070B"/>
    <w:rsid w:val="00150749"/>
    <w:rsid w:val="001508AA"/>
    <w:rsid w:val="00150A35"/>
    <w:rsid w:val="00150AAF"/>
    <w:rsid w:val="00150B98"/>
    <w:rsid w:val="00150E30"/>
    <w:rsid w:val="00150EF4"/>
    <w:rsid w:val="00151023"/>
    <w:rsid w:val="001510D4"/>
    <w:rsid w:val="001511ED"/>
    <w:rsid w:val="001512FA"/>
    <w:rsid w:val="001513A5"/>
    <w:rsid w:val="00151488"/>
    <w:rsid w:val="00151553"/>
    <w:rsid w:val="001515E5"/>
    <w:rsid w:val="001517DC"/>
    <w:rsid w:val="001518E5"/>
    <w:rsid w:val="00151AD6"/>
    <w:rsid w:val="00151B6C"/>
    <w:rsid w:val="00151B86"/>
    <w:rsid w:val="00151C32"/>
    <w:rsid w:val="00151C41"/>
    <w:rsid w:val="00151D50"/>
    <w:rsid w:val="00151D65"/>
    <w:rsid w:val="00152000"/>
    <w:rsid w:val="00152211"/>
    <w:rsid w:val="00152455"/>
    <w:rsid w:val="00152476"/>
    <w:rsid w:val="00152482"/>
    <w:rsid w:val="00152540"/>
    <w:rsid w:val="001526E6"/>
    <w:rsid w:val="001528BA"/>
    <w:rsid w:val="001528BE"/>
    <w:rsid w:val="00152999"/>
    <w:rsid w:val="00152C2B"/>
    <w:rsid w:val="00152CA5"/>
    <w:rsid w:val="00152D72"/>
    <w:rsid w:val="00152DD7"/>
    <w:rsid w:val="00152E57"/>
    <w:rsid w:val="00152F82"/>
    <w:rsid w:val="00153025"/>
    <w:rsid w:val="001530D0"/>
    <w:rsid w:val="00153159"/>
    <w:rsid w:val="001532DA"/>
    <w:rsid w:val="0015331E"/>
    <w:rsid w:val="00153402"/>
    <w:rsid w:val="0015364E"/>
    <w:rsid w:val="001536A8"/>
    <w:rsid w:val="00153728"/>
    <w:rsid w:val="0015381A"/>
    <w:rsid w:val="00153867"/>
    <w:rsid w:val="00153868"/>
    <w:rsid w:val="001539D3"/>
    <w:rsid w:val="00153A09"/>
    <w:rsid w:val="00153A26"/>
    <w:rsid w:val="00153AB0"/>
    <w:rsid w:val="00153AB9"/>
    <w:rsid w:val="00153BBB"/>
    <w:rsid w:val="00153C62"/>
    <w:rsid w:val="00153D1B"/>
    <w:rsid w:val="00153DFB"/>
    <w:rsid w:val="00153DFD"/>
    <w:rsid w:val="001540D2"/>
    <w:rsid w:val="0015416F"/>
    <w:rsid w:val="00154281"/>
    <w:rsid w:val="001542AB"/>
    <w:rsid w:val="001543B7"/>
    <w:rsid w:val="00154467"/>
    <w:rsid w:val="00154601"/>
    <w:rsid w:val="001546B0"/>
    <w:rsid w:val="0015473D"/>
    <w:rsid w:val="00154960"/>
    <w:rsid w:val="001549B1"/>
    <w:rsid w:val="00154A17"/>
    <w:rsid w:val="00154AB5"/>
    <w:rsid w:val="00154BB7"/>
    <w:rsid w:val="00154BC3"/>
    <w:rsid w:val="00154CD6"/>
    <w:rsid w:val="00154E3C"/>
    <w:rsid w:val="001550D2"/>
    <w:rsid w:val="001552B8"/>
    <w:rsid w:val="0015545F"/>
    <w:rsid w:val="00155504"/>
    <w:rsid w:val="00155736"/>
    <w:rsid w:val="00155919"/>
    <w:rsid w:val="001559EB"/>
    <w:rsid w:val="001559F3"/>
    <w:rsid w:val="00155B01"/>
    <w:rsid w:val="00155B05"/>
    <w:rsid w:val="00155BD0"/>
    <w:rsid w:val="00155C06"/>
    <w:rsid w:val="00155C3C"/>
    <w:rsid w:val="00155C40"/>
    <w:rsid w:val="00155D45"/>
    <w:rsid w:val="00155D63"/>
    <w:rsid w:val="00155DB9"/>
    <w:rsid w:val="00155E45"/>
    <w:rsid w:val="00155E94"/>
    <w:rsid w:val="00155F81"/>
    <w:rsid w:val="0015609E"/>
    <w:rsid w:val="00156134"/>
    <w:rsid w:val="001561F8"/>
    <w:rsid w:val="00156411"/>
    <w:rsid w:val="0015659B"/>
    <w:rsid w:val="001565E8"/>
    <w:rsid w:val="00156720"/>
    <w:rsid w:val="001567C3"/>
    <w:rsid w:val="001569AB"/>
    <w:rsid w:val="00156C5E"/>
    <w:rsid w:val="00156C70"/>
    <w:rsid w:val="00156D50"/>
    <w:rsid w:val="00156DFC"/>
    <w:rsid w:val="0015709C"/>
    <w:rsid w:val="00157449"/>
    <w:rsid w:val="0015767B"/>
    <w:rsid w:val="00157790"/>
    <w:rsid w:val="001577C0"/>
    <w:rsid w:val="001579A0"/>
    <w:rsid w:val="00157A7A"/>
    <w:rsid w:val="00157AB1"/>
    <w:rsid w:val="00157AEE"/>
    <w:rsid w:val="00157C93"/>
    <w:rsid w:val="00157CD9"/>
    <w:rsid w:val="00157E9F"/>
    <w:rsid w:val="00157EA7"/>
    <w:rsid w:val="00157F03"/>
    <w:rsid w:val="00160160"/>
    <w:rsid w:val="001601A6"/>
    <w:rsid w:val="001601F0"/>
    <w:rsid w:val="00160365"/>
    <w:rsid w:val="00160688"/>
    <w:rsid w:val="001607EB"/>
    <w:rsid w:val="001609A8"/>
    <w:rsid w:val="001609DF"/>
    <w:rsid w:val="00160CD0"/>
    <w:rsid w:val="00160D52"/>
    <w:rsid w:val="001611C2"/>
    <w:rsid w:val="001612FF"/>
    <w:rsid w:val="001613A7"/>
    <w:rsid w:val="001613FA"/>
    <w:rsid w:val="001614AF"/>
    <w:rsid w:val="00161546"/>
    <w:rsid w:val="00161653"/>
    <w:rsid w:val="00161726"/>
    <w:rsid w:val="0016186D"/>
    <w:rsid w:val="001618AD"/>
    <w:rsid w:val="001618B8"/>
    <w:rsid w:val="001619B6"/>
    <w:rsid w:val="00161A68"/>
    <w:rsid w:val="00161B00"/>
    <w:rsid w:val="00161BA9"/>
    <w:rsid w:val="00161DFD"/>
    <w:rsid w:val="00161E9A"/>
    <w:rsid w:val="00161F81"/>
    <w:rsid w:val="001620B9"/>
    <w:rsid w:val="001620D6"/>
    <w:rsid w:val="0016235E"/>
    <w:rsid w:val="001623E2"/>
    <w:rsid w:val="001625A3"/>
    <w:rsid w:val="001625CE"/>
    <w:rsid w:val="001625D8"/>
    <w:rsid w:val="001625D9"/>
    <w:rsid w:val="001625F5"/>
    <w:rsid w:val="0016260C"/>
    <w:rsid w:val="00162633"/>
    <w:rsid w:val="001626CC"/>
    <w:rsid w:val="001626D1"/>
    <w:rsid w:val="001627DF"/>
    <w:rsid w:val="00162AD0"/>
    <w:rsid w:val="00162BD5"/>
    <w:rsid w:val="00162E47"/>
    <w:rsid w:val="00162EC5"/>
    <w:rsid w:val="00162F4F"/>
    <w:rsid w:val="00162FB5"/>
    <w:rsid w:val="0016304A"/>
    <w:rsid w:val="00163368"/>
    <w:rsid w:val="001634FF"/>
    <w:rsid w:val="001635C9"/>
    <w:rsid w:val="0016361E"/>
    <w:rsid w:val="0016366A"/>
    <w:rsid w:val="001637C6"/>
    <w:rsid w:val="00163873"/>
    <w:rsid w:val="00163876"/>
    <w:rsid w:val="00163B41"/>
    <w:rsid w:val="00163BD6"/>
    <w:rsid w:val="00163C5E"/>
    <w:rsid w:val="00163CCD"/>
    <w:rsid w:val="00163CF0"/>
    <w:rsid w:val="00163D03"/>
    <w:rsid w:val="00163D23"/>
    <w:rsid w:val="00163D6D"/>
    <w:rsid w:val="00163D91"/>
    <w:rsid w:val="00163E41"/>
    <w:rsid w:val="00163FDD"/>
    <w:rsid w:val="001640E4"/>
    <w:rsid w:val="0016413A"/>
    <w:rsid w:val="001641BD"/>
    <w:rsid w:val="001641F0"/>
    <w:rsid w:val="00164377"/>
    <w:rsid w:val="0016466D"/>
    <w:rsid w:val="001646AC"/>
    <w:rsid w:val="00164756"/>
    <w:rsid w:val="001647B1"/>
    <w:rsid w:val="00164A12"/>
    <w:rsid w:val="00164B15"/>
    <w:rsid w:val="00164C20"/>
    <w:rsid w:val="00164C44"/>
    <w:rsid w:val="00164C67"/>
    <w:rsid w:val="00164CA1"/>
    <w:rsid w:val="00164D96"/>
    <w:rsid w:val="00164F8D"/>
    <w:rsid w:val="0016504B"/>
    <w:rsid w:val="0016506F"/>
    <w:rsid w:val="00165198"/>
    <w:rsid w:val="001651BD"/>
    <w:rsid w:val="00165255"/>
    <w:rsid w:val="001653B9"/>
    <w:rsid w:val="00165451"/>
    <w:rsid w:val="001654EB"/>
    <w:rsid w:val="00165598"/>
    <w:rsid w:val="00165666"/>
    <w:rsid w:val="0016580F"/>
    <w:rsid w:val="001658EA"/>
    <w:rsid w:val="00165A7A"/>
    <w:rsid w:val="00165AE5"/>
    <w:rsid w:val="00165CC4"/>
    <w:rsid w:val="00165D36"/>
    <w:rsid w:val="00165E84"/>
    <w:rsid w:val="00165EF2"/>
    <w:rsid w:val="0016601C"/>
    <w:rsid w:val="0016605B"/>
    <w:rsid w:val="001661F6"/>
    <w:rsid w:val="001665B7"/>
    <w:rsid w:val="00166629"/>
    <w:rsid w:val="0016677D"/>
    <w:rsid w:val="00166818"/>
    <w:rsid w:val="0016694D"/>
    <w:rsid w:val="00166953"/>
    <w:rsid w:val="00166AB7"/>
    <w:rsid w:val="00166AE2"/>
    <w:rsid w:val="00166B7D"/>
    <w:rsid w:val="00166BB3"/>
    <w:rsid w:val="00166E16"/>
    <w:rsid w:val="00166E3E"/>
    <w:rsid w:val="00166E44"/>
    <w:rsid w:val="00167042"/>
    <w:rsid w:val="00167054"/>
    <w:rsid w:val="00167095"/>
    <w:rsid w:val="001672A3"/>
    <w:rsid w:val="00167368"/>
    <w:rsid w:val="0016738D"/>
    <w:rsid w:val="00167393"/>
    <w:rsid w:val="00167415"/>
    <w:rsid w:val="0016746B"/>
    <w:rsid w:val="001675D9"/>
    <w:rsid w:val="0016767E"/>
    <w:rsid w:val="001677B2"/>
    <w:rsid w:val="0016796E"/>
    <w:rsid w:val="001679B3"/>
    <w:rsid w:val="00167A5C"/>
    <w:rsid w:val="00167B06"/>
    <w:rsid w:val="00167C11"/>
    <w:rsid w:val="00167CCE"/>
    <w:rsid w:val="00167D57"/>
    <w:rsid w:val="00167E95"/>
    <w:rsid w:val="00167EA0"/>
    <w:rsid w:val="0017000B"/>
    <w:rsid w:val="0017001F"/>
    <w:rsid w:val="0017002C"/>
    <w:rsid w:val="00170092"/>
    <w:rsid w:val="00170121"/>
    <w:rsid w:val="00170384"/>
    <w:rsid w:val="00170399"/>
    <w:rsid w:val="001703DB"/>
    <w:rsid w:val="0017042B"/>
    <w:rsid w:val="00170490"/>
    <w:rsid w:val="00170623"/>
    <w:rsid w:val="0017067A"/>
    <w:rsid w:val="00170685"/>
    <w:rsid w:val="00170717"/>
    <w:rsid w:val="00170726"/>
    <w:rsid w:val="001709D6"/>
    <w:rsid w:val="00170A42"/>
    <w:rsid w:val="00170AB7"/>
    <w:rsid w:val="00170ABE"/>
    <w:rsid w:val="00170B5F"/>
    <w:rsid w:val="00170C41"/>
    <w:rsid w:val="00170C80"/>
    <w:rsid w:val="00170C99"/>
    <w:rsid w:val="00170CD5"/>
    <w:rsid w:val="00170E04"/>
    <w:rsid w:val="00170EF1"/>
    <w:rsid w:val="00170F8D"/>
    <w:rsid w:val="00170FAF"/>
    <w:rsid w:val="00170FE1"/>
    <w:rsid w:val="001711FE"/>
    <w:rsid w:val="00171215"/>
    <w:rsid w:val="001712F0"/>
    <w:rsid w:val="0017155E"/>
    <w:rsid w:val="001715BB"/>
    <w:rsid w:val="00171906"/>
    <w:rsid w:val="00171910"/>
    <w:rsid w:val="00171934"/>
    <w:rsid w:val="001719F6"/>
    <w:rsid w:val="00171A1C"/>
    <w:rsid w:val="00171A33"/>
    <w:rsid w:val="00171BD8"/>
    <w:rsid w:val="00171C4D"/>
    <w:rsid w:val="00171D56"/>
    <w:rsid w:val="00171F72"/>
    <w:rsid w:val="00171FEA"/>
    <w:rsid w:val="001720EF"/>
    <w:rsid w:val="001720F8"/>
    <w:rsid w:val="00172226"/>
    <w:rsid w:val="0017224E"/>
    <w:rsid w:val="001722C1"/>
    <w:rsid w:val="00172346"/>
    <w:rsid w:val="00172374"/>
    <w:rsid w:val="0017243B"/>
    <w:rsid w:val="00172457"/>
    <w:rsid w:val="0017247C"/>
    <w:rsid w:val="00172595"/>
    <w:rsid w:val="001725EE"/>
    <w:rsid w:val="00172620"/>
    <w:rsid w:val="001726D6"/>
    <w:rsid w:val="0017281A"/>
    <w:rsid w:val="001728B4"/>
    <w:rsid w:val="001728CB"/>
    <w:rsid w:val="001729BE"/>
    <w:rsid w:val="00172A31"/>
    <w:rsid w:val="00172AC6"/>
    <w:rsid w:val="00172BF8"/>
    <w:rsid w:val="00172C9D"/>
    <w:rsid w:val="00172CE3"/>
    <w:rsid w:val="00172DA1"/>
    <w:rsid w:val="00172DDF"/>
    <w:rsid w:val="00172EEE"/>
    <w:rsid w:val="00172FC2"/>
    <w:rsid w:val="00173006"/>
    <w:rsid w:val="0017322A"/>
    <w:rsid w:val="001732DF"/>
    <w:rsid w:val="001733C3"/>
    <w:rsid w:val="001735D3"/>
    <w:rsid w:val="0017360C"/>
    <w:rsid w:val="0017369A"/>
    <w:rsid w:val="00173725"/>
    <w:rsid w:val="0017374B"/>
    <w:rsid w:val="00173815"/>
    <w:rsid w:val="00173882"/>
    <w:rsid w:val="001738DC"/>
    <w:rsid w:val="00173A84"/>
    <w:rsid w:val="00173B48"/>
    <w:rsid w:val="00173B58"/>
    <w:rsid w:val="00173BA0"/>
    <w:rsid w:val="00173DE8"/>
    <w:rsid w:val="0017408F"/>
    <w:rsid w:val="001740DA"/>
    <w:rsid w:val="00174181"/>
    <w:rsid w:val="001741A7"/>
    <w:rsid w:val="001741B7"/>
    <w:rsid w:val="00174242"/>
    <w:rsid w:val="0017443E"/>
    <w:rsid w:val="00174441"/>
    <w:rsid w:val="0017451B"/>
    <w:rsid w:val="0017452E"/>
    <w:rsid w:val="001745E9"/>
    <w:rsid w:val="00174606"/>
    <w:rsid w:val="00174612"/>
    <w:rsid w:val="00174785"/>
    <w:rsid w:val="001747A8"/>
    <w:rsid w:val="0017480A"/>
    <w:rsid w:val="00174813"/>
    <w:rsid w:val="001748E8"/>
    <w:rsid w:val="00174DB6"/>
    <w:rsid w:val="00175100"/>
    <w:rsid w:val="001751AF"/>
    <w:rsid w:val="0017526E"/>
    <w:rsid w:val="00175475"/>
    <w:rsid w:val="001754A5"/>
    <w:rsid w:val="001754A8"/>
    <w:rsid w:val="001754BD"/>
    <w:rsid w:val="001756AF"/>
    <w:rsid w:val="001756D0"/>
    <w:rsid w:val="001759C9"/>
    <w:rsid w:val="00175A8E"/>
    <w:rsid w:val="00175B17"/>
    <w:rsid w:val="00175B23"/>
    <w:rsid w:val="00175BAD"/>
    <w:rsid w:val="00175C72"/>
    <w:rsid w:val="00175E5D"/>
    <w:rsid w:val="0017604A"/>
    <w:rsid w:val="001760A5"/>
    <w:rsid w:val="001760AD"/>
    <w:rsid w:val="00176211"/>
    <w:rsid w:val="0017627C"/>
    <w:rsid w:val="0017635F"/>
    <w:rsid w:val="00176380"/>
    <w:rsid w:val="00176387"/>
    <w:rsid w:val="00176443"/>
    <w:rsid w:val="0017652B"/>
    <w:rsid w:val="00176556"/>
    <w:rsid w:val="00176565"/>
    <w:rsid w:val="00176577"/>
    <w:rsid w:val="001765F5"/>
    <w:rsid w:val="00176685"/>
    <w:rsid w:val="001766C2"/>
    <w:rsid w:val="001766FD"/>
    <w:rsid w:val="00176700"/>
    <w:rsid w:val="00176717"/>
    <w:rsid w:val="001768CB"/>
    <w:rsid w:val="0017698E"/>
    <w:rsid w:val="00176BF5"/>
    <w:rsid w:val="00176C14"/>
    <w:rsid w:val="00176CAE"/>
    <w:rsid w:val="00176D31"/>
    <w:rsid w:val="00176D5E"/>
    <w:rsid w:val="00176DB9"/>
    <w:rsid w:val="00177091"/>
    <w:rsid w:val="001770AC"/>
    <w:rsid w:val="00177125"/>
    <w:rsid w:val="001771AD"/>
    <w:rsid w:val="001771F1"/>
    <w:rsid w:val="001771F5"/>
    <w:rsid w:val="00177353"/>
    <w:rsid w:val="001773D3"/>
    <w:rsid w:val="001774B4"/>
    <w:rsid w:val="0017751B"/>
    <w:rsid w:val="001776BE"/>
    <w:rsid w:val="00177751"/>
    <w:rsid w:val="00177764"/>
    <w:rsid w:val="001778A3"/>
    <w:rsid w:val="001778A8"/>
    <w:rsid w:val="00177A45"/>
    <w:rsid w:val="00177A90"/>
    <w:rsid w:val="00177C1E"/>
    <w:rsid w:val="00177C43"/>
    <w:rsid w:val="00177C61"/>
    <w:rsid w:val="00177C7A"/>
    <w:rsid w:val="00177CD1"/>
    <w:rsid w:val="00177DD9"/>
    <w:rsid w:val="00177E47"/>
    <w:rsid w:val="00177F0B"/>
    <w:rsid w:val="00177FA7"/>
    <w:rsid w:val="001800F5"/>
    <w:rsid w:val="001802DE"/>
    <w:rsid w:val="00180319"/>
    <w:rsid w:val="00180368"/>
    <w:rsid w:val="001803B9"/>
    <w:rsid w:val="00180427"/>
    <w:rsid w:val="001804BE"/>
    <w:rsid w:val="00180551"/>
    <w:rsid w:val="00180627"/>
    <w:rsid w:val="0018062D"/>
    <w:rsid w:val="00180679"/>
    <w:rsid w:val="00180685"/>
    <w:rsid w:val="00180780"/>
    <w:rsid w:val="001807BB"/>
    <w:rsid w:val="001807F5"/>
    <w:rsid w:val="0018082E"/>
    <w:rsid w:val="001808CE"/>
    <w:rsid w:val="00180916"/>
    <w:rsid w:val="00180AE5"/>
    <w:rsid w:val="00180C1D"/>
    <w:rsid w:val="00180C6A"/>
    <w:rsid w:val="00180C7C"/>
    <w:rsid w:val="00180CBC"/>
    <w:rsid w:val="00180D09"/>
    <w:rsid w:val="00180D71"/>
    <w:rsid w:val="001810C0"/>
    <w:rsid w:val="00181175"/>
    <w:rsid w:val="00181197"/>
    <w:rsid w:val="001811BB"/>
    <w:rsid w:val="00181203"/>
    <w:rsid w:val="001812E4"/>
    <w:rsid w:val="001813AD"/>
    <w:rsid w:val="0018151C"/>
    <w:rsid w:val="0018159B"/>
    <w:rsid w:val="001815C4"/>
    <w:rsid w:val="00181671"/>
    <w:rsid w:val="001816D1"/>
    <w:rsid w:val="00181922"/>
    <w:rsid w:val="00181932"/>
    <w:rsid w:val="00181969"/>
    <w:rsid w:val="00181A03"/>
    <w:rsid w:val="00181A65"/>
    <w:rsid w:val="00181A6D"/>
    <w:rsid w:val="00181B64"/>
    <w:rsid w:val="00181BB6"/>
    <w:rsid w:val="00181C31"/>
    <w:rsid w:val="00181DA4"/>
    <w:rsid w:val="00181F99"/>
    <w:rsid w:val="00181FC6"/>
    <w:rsid w:val="0018200B"/>
    <w:rsid w:val="00182041"/>
    <w:rsid w:val="00182047"/>
    <w:rsid w:val="001820A7"/>
    <w:rsid w:val="001820C8"/>
    <w:rsid w:val="0018223E"/>
    <w:rsid w:val="00182348"/>
    <w:rsid w:val="001823B2"/>
    <w:rsid w:val="001825D0"/>
    <w:rsid w:val="0018279A"/>
    <w:rsid w:val="001827C0"/>
    <w:rsid w:val="00182825"/>
    <w:rsid w:val="00182856"/>
    <w:rsid w:val="00182894"/>
    <w:rsid w:val="00182A1B"/>
    <w:rsid w:val="00182AE7"/>
    <w:rsid w:val="00182AF0"/>
    <w:rsid w:val="00182BA4"/>
    <w:rsid w:val="00182CCD"/>
    <w:rsid w:val="00182E74"/>
    <w:rsid w:val="00182E7E"/>
    <w:rsid w:val="00182F97"/>
    <w:rsid w:val="00182FD0"/>
    <w:rsid w:val="0018311E"/>
    <w:rsid w:val="0018319B"/>
    <w:rsid w:val="001831FE"/>
    <w:rsid w:val="0018320D"/>
    <w:rsid w:val="001832BF"/>
    <w:rsid w:val="00183499"/>
    <w:rsid w:val="001834A9"/>
    <w:rsid w:val="001834D8"/>
    <w:rsid w:val="0018353E"/>
    <w:rsid w:val="00183685"/>
    <w:rsid w:val="0018374D"/>
    <w:rsid w:val="001837B4"/>
    <w:rsid w:val="001837F9"/>
    <w:rsid w:val="00183830"/>
    <w:rsid w:val="00183974"/>
    <w:rsid w:val="00183A08"/>
    <w:rsid w:val="00183A57"/>
    <w:rsid w:val="00183B0D"/>
    <w:rsid w:val="00183CDE"/>
    <w:rsid w:val="00183DF1"/>
    <w:rsid w:val="00183E2C"/>
    <w:rsid w:val="00183F33"/>
    <w:rsid w:val="00183FCF"/>
    <w:rsid w:val="00184019"/>
    <w:rsid w:val="00184186"/>
    <w:rsid w:val="001841F4"/>
    <w:rsid w:val="001843A3"/>
    <w:rsid w:val="001843C8"/>
    <w:rsid w:val="0018446F"/>
    <w:rsid w:val="0018453B"/>
    <w:rsid w:val="00184562"/>
    <w:rsid w:val="0018458F"/>
    <w:rsid w:val="0018468D"/>
    <w:rsid w:val="0018478A"/>
    <w:rsid w:val="001847B9"/>
    <w:rsid w:val="001848B6"/>
    <w:rsid w:val="001848B7"/>
    <w:rsid w:val="00184908"/>
    <w:rsid w:val="00184929"/>
    <w:rsid w:val="0018499B"/>
    <w:rsid w:val="001849E9"/>
    <w:rsid w:val="00184A00"/>
    <w:rsid w:val="00184A41"/>
    <w:rsid w:val="00184A43"/>
    <w:rsid w:val="00184A90"/>
    <w:rsid w:val="00184C76"/>
    <w:rsid w:val="00184D17"/>
    <w:rsid w:val="00184D9D"/>
    <w:rsid w:val="00184F60"/>
    <w:rsid w:val="00184F7A"/>
    <w:rsid w:val="00185048"/>
    <w:rsid w:val="001850D4"/>
    <w:rsid w:val="00185189"/>
    <w:rsid w:val="00185300"/>
    <w:rsid w:val="00185312"/>
    <w:rsid w:val="001854B6"/>
    <w:rsid w:val="001857E8"/>
    <w:rsid w:val="00185805"/>
    <w:rsid w:val="00185970"/>
    <w:rsid w:val="00185A2A"/>
    <w:rsid w:val="00185AAC"/>
    <w:rsid w:val="00185BE0"/>
    <w:rsid w:val="00185C68"/>
    <w:rsid w:val="00185D04"/>
    <w:rsid w:val="00185D60"/>
    <w:rsid w:val="00185DA9"/>
    <w:rsid w:val="00185DAB"/>
    <w:rsid w:val="00185DB9"/>
    <w:rsid w:val="00185E4F"/>
    <w:rsid w:val="00185E90"/>
    <w:rsid w:val="0018603A"/>
    <w:rsid w:val="00186072"/>
    <w:rsid w:val="0018610B"/>
    <w:rsid w:val="00186209"/>
    <w:rsid w:val="00186271"/>
    <w:rsid w:val="001864BF"/>
    <w:rsid w:val="001864E4"/>
    <w:rsid w:val="001866A2"/>
    <w:rsid w:val="00186858"/>
    <w:rsid w:val="00186A9F"/>
    <w:rsid w:val="00186ADB"/>
    <w:rsid w:val="00186B2B"/>
    <w:rsid w:val="00186D93"/>
    <w:rsid w:val="00186DD4"/>
    <w:rsid w:val="00186DFA"/>
    <w:rsid w:val="00186F2C"/>
    <w:rsid w:val="0018704C"/>
    <w:rsid w:val="00187056"/>
    <w:rsid w:val="001870A4"/>
    <w:rsid w:val="001870E8"/>
    <w:rsid w:val="001871A0"/>
    <w:rsid w:val="001871C3"/>
    <w:rsid w:val="00187209"/>
    <w:rsid w:val="00187366"/>
    <w:rsid w:val="001873A7"/>
    <w:rsid w:val="001873CA"/>
    <w:rsid w:val="0018748D"/>
    <w:rsid w:val="001874D3"/>
    <w:rsid w:val="0018758C"/>
    <w:rsid w:val="001876A8"/>
    <w:rsid w:val="001876C4"/>
    <w:rsid w:val="001878EF"/>
    <w:rsid w:val="001878F7"/>
    <w:rsid w:val="00187953"/>
    <w:rsid w:val="001879BF"/>
    <w:rsid w:val="00187A36"/>
    <w:rsid w:val="00187A75"/>
    <w:rsid w:val="00187B56"/>
    <w:rsid w:val="00187C1B"/>
    <w:rsid w:val="00187D11"/>
    <w:rsid w:val="00187DC2"/>
    <w:rsid w:val="0019013B"/>
    <w:rsid w:val="00190180"/>
    <w:rsid w:val="00190190"/>
    <w:rsid w:val="00190297"/>
    <w:rsid w:val="001903A8"/>
    <w:rsid w:val="00190524"/>
    <w:rsid w:val="00190579"/>
    <w:rsid w:val="00190582"/>
    <w:rsid w:val="001906AE"/>
    <w:rsid w:val="001907E9"/>
    <w:rsid w:val="001908C4"/>
    <w:rsid w:val="00190948"/>
    <w:rsid w:val="001909E9"/>
    <w:rsid w:val="00190A16"/>
    <w:rsid w:val="00190A2E"/>
    <w:rsid w:val="00190BD9"/>
    <w:rsid w:val="00190CA1"/>
    <w:rsid w:val="00190D07"/>
    <w:rsid w:val="00190E53"/>
    <w:rsid w:val="00191005"/>
    <w:rsid w:val="001911AF"/>
    <w:rsid w:val="001911EF"/>
    <w:rsid w:val="001912AD"/>
    <w:rsid w:val="001913F4"/>
    <w:rsid w:val="00191552"/>
    <w:rsid w:val="001915DA"/>
    <w:rsid w:val="00191613"/>
    <w:rsid w:val="00191644"/>
    <w:rsid w:val="00191677"/>
    <w:rsid w:val="00191703"/>
    <w:rsid w:val="00191710"/>
    <w:rsid w:val="00191757"/>
    <w:rsid w:val="001917DF"/>
    <w:rsid w:val="001917E6"/>
    <w:rsid w:val="001917F3"/>
    <w:rsid w:val="001918F6"/>
    <w:rsid w:val="001919A4"/>
    <w:rsid w:val="001919E7"/>
    <w:rsid w:val="00191A6D"/>
    <w:rsid w:val="00191A8F"/>
    <w:rsid w:val="00191BFD"/>
    <w:rsid w:val="00191C11"/>
    <w:rsid w:val="00191C6D"/>
    <w:rsid w:val="00191D47"/>
    <w:rsid w:val="00191DEE"/>
    <w:rsid w:val="00191E26"/>
    <w:rsid w:val="00191E4B"/>
    <w:rsid w:val="00191FC8"/>
    <w:rsid w:val="00192016"/>
    <w:rsid w:val="001921DB"/>
    <w:rsid w:val="001923C7"/>
    <w:rsid w:val="001923D3"/>
    <w:rsid w:val="0019258E"/>
    <w:rsid w:val="00192647"/>
    <w:rsid w:val="0019268A"/>
    <w:rsid w:val="0019289A"/>
    <w:rsid w:val="00192946"/>
    <w:rsid w:val="00192972"/>
    <w:rsid w:val="00192997"/>
    <w:rsid w:val="001929C3"/>
    <w:rsid w:val="00192D20"/>
    <w:rsid w:val="00192D2A"/>
    <w:rsid w:val="00192FA5"/>
    <w:rsid w:val="00193001"/>
    <w:rsid w:val="00193031"/>
    <w:rsid w:val="001930E6"/>
    <w:rsid w:val="00193154"/>
    <w:rsid w:val="001931CD"/>
    <w:rsid w:val="00193279"/>
    <w:rsid w:val="00193280"/>
    <w:rsid w:val="001932A8"/>
    <w:rsid w:val="001932A9"/>
    <w:rsid w:val="0019337C"/>
    <w:rsid w:val="001933D4"/>
    <w:rsid w:val="00193404"/>
    <w:rsid w:val="0019342A"/>
    <w:rsid w:val="001934A6"/>
    <w:rsid w:val="00193611"/>
    <w:rsid w:val="00193615"/>
    <w:rsid w:val="001936D7"/>
    <w:rsid w:val="0019375D"/>
    <w:rsid w:val="001938ED"/>
    <w:rsid w:val="001938EF"/>
    <w:rsid w:val="00193933"/>
    <w:rsid w:val="00193941"/>
    <w:rsid w:val="00193958"/>
    <w:rsid w:val="00193968"/>
    <w:rsid w:val="00193969"/>
    <w:rsid w:val="00193A41"/>
    <w:rsid w:val="00193ADB"/>
    <w:rsid w:val="00193B5D"/>
    <w:rsid w:val="00193C3B"/>
    <w:rsid w:val="00193CD2"/>
    <w:rsid w:val="00193EB6"/>
    <w:rsid w:val="00193F58"/>
    <w:rsid w:val="00193F97"/>
    <w:rsid w:val="00194029"/>
    <w:rsid w:val="0019404A"/>
    <w:rsid w:val="001940F1"/>
    <w:rsid w:val="0019413E"/>
    <w:rsid w:val="00194146"/>
    <w:rsid w:val="00194164"/>
    <w:rsid w:val="00194171"/>
    <w:rsid w:val="001942B0"/>
    <w:rsid w:val="001942F4"/>
    <w:rsid w:val="00194344"/>
    <w:rsid w:val="00194478"/>
    <w:rsid w:val="001946B3"/>
    <w:rsid w:val="001946CB"/>
    <w:rsid w:val="0019471E"/>
    <w:rsid w:val="0019492F"/>
    <w:rsid w:val="00194936"/>
    <w:rsid w:val="0019494E"/>
    <w:rsid w:val="00194956"/>
    <w:rsid w:val="0019498B"/>
    <w:rsid w:val="00194A5B"/>
    <w:rsid w:val="00194A9F"/>
    <w:rsid w:val="00194C6C"/>
    <w:rsid w:val="00194DB4"/>
    <w:rsid w:val="00194E5B"/>
    <w:rsid w:val="00194E63"/>
    <w:rsid w:val="00194EDA"/>
    <w:rsid w:val="00194F3E"/>
    <w:rsid w:val="00195001"/>
    <w:rsid w:val="0019516E"/>
    <w:rsid w:val="00195262"/>
    <w:rsid w:val="00195267"/>
    <w:rsid w:val="001952D8"/>
    <w:rsid w:val="001952DE"/>
    <w:rsid w:val="001952F7"/>
    <w:rsid w:val="00195373"/>
    <w:rsid w:val="0019547B"/>
    <w:rsid w:val="00195630"/>
    <w:rsid w:val="00195762"/>
    <w:rsid w:val="00195766"/>
    <w:rsid w:val="00195769"/>
    <w:rsid w:val="00195789"/>
    <w:rsid w:val="00195842"/>
    <w:rsid w:val="00195869"/>
    <w:rsid w:val="001958B5"/>
    <w:rsid w:val="00195CB3"/>
    <w:rsid w:val="00195E34"/>
    <w:rsid w:val="00195E5D"/>
    <w:rsid w:val="00195E93"/>
    <w:rsid w:val="00195EE1"/>
    <w:rsid w:val="00195EEE"/>
    <w:rsid w:val="00195FE0"/>
    <w:rsid w:val="00196018"/>
    <w:rsid w:val="00196057"/>
    <w:rsid w:val="00196067"/>
    <w:rsid w:val="001960B1"/>
    <w:rsid w:val="00196146"/>
    <w:rsid w:val="0019614F"/>
    <w:rsid w:val="0019616D"/>
    <w:rsid w:val="00196247"/>
    <w:rsid w:val="001963C8"/>
    <w:rsid w:val="00196525"/>
    <w:rsid w:val="00196612"/>
    <w:rsid w:val="00196800"/>
    <w:rsid w:val="00196A38"/>
    <w:rsid w:val="00196A6C"/>
    <w:rsid w:val="00196A77"/>
    <w:rsid w:val="00196CE8"/>
    <w:rsid w:val="00196DB8"/>
    <w:rsid w:val="00196E30"/>
    <w:rsid w:val="00196ED2"/>
    <w:rsid w:val="00196F37"/>
    <w:rsid w:val="00196FF6"/>
    <w:rsid w:val="0019714D"/>
    <w:rsid w:val="0019721C"/>
    <w:rsid w:val="001972C9"/>
    <w:rsid w:val="00197359"/>
    <w:rsid w:val="00197713"/>
    <w:rsid w:val="00197932"/>
    <w:rsid w:val="0019796C"/>
    <w:rsid w:val="00197C0F"/>
    <w:rsid w:val="00197C81"/>
    <w:rsid w:val="00197D1C"/>
    <w:rsid w:val="00197E6A"/>
    <w:rsid w:val="00197E93"/>
    <w:rsid w:val="00197EA9"/>
    <w:rsid w:val="00197F1D"/>
    <w:rsid w:val="00197FCE"/>
    <w:rsid w:val="001A0121"/>
    <w:rsid w:val="001A021D"/>
    <w:rsid w:val="001A033F"/>
    <w:rsid w:val="001A0413"/>
    <w:rsid w:val="001A0573"/>
    <w:rsid w:val="001A0595"/>
    <w:rsid w:val="001A0638"/>
    <w:rsid w:val="001A0644"/>
    <w:rsid w:val="001A088D"/>
    <w:rsid w:val="001A08AC"/>
    <w:rsid w:val="001A08D5"/>
    <w:rsid w:val="001A08F6"/>
    <w:rsid w:val="001A0A4E"/>
    <w:rsid w:val="001A0C36"/>
    <w:rsid w:val="001A0C6B"/>
    <w:rsid w:val="001A0D20"/>
    <w:rsid w:val="001A0D52"/>
    <w:rsid w:val="001A0D98"/>
    <w:rsid w:val="001A0F59"/>
    <w:rsid w:val="001A1050"/>
    <w:rsid w:val="001A11D3"/>
    <w:rsid w:val="001A122F"/>
    <w:rsid w:val="001A12CD"/>
    <w:rsid w:val="001A1351"/>
    <w:rsid w:val="001A137F"/>
    <w:rsid w:val="001A1397"/>
    <w:rsid w:val="001A13D7"/>
    <w:rsid w:val="001A1437"/>
    <w:rsid w:val="001A1495"/>
    <w:rsid w:val="001A1507"/>
    <w:rsid w:val="001A1533"/>
    <w:rsid w:val="001A15D8"/>
    <w:rsid w:val="001A1704"/>
    <w:rsid w:val="001A187A"/>
    <w:rsid w:val="001A196E"/>
    <w:rsid w:val="001A1AFA"/>
    <w:rsid w:val="001A1B4D"/>
    <w:rsid w:val="001A1B98"/>
    <w:rsid w:val="001A1C00"/>
    <w:rsid w:val="001A1C18"/>
    <w:rsid w:val="001A1D30"/>
    <w:rsid w:val="001A1D4D"/>
    <w:rsid w:val="001A1DAA"/>
    <w:rsid w:val="001A1DF1"/>
    <w:rsid w:val="001A1DF7"/>
    <w:rsid w:val="001A203A"/>
    <w:rsid w:val="001A2055"/>
    <w:rsid w:val="001A2273"/>
    <w:rsid w:val="001A2379"/>
    <w:rsid w:val="001A23E1"/>
    <w:rsid w:val="001A2412"/>
    <w:rsid w:val="001A25BD"/>
    <w:rsid w:val="001A25D5"/>
    <w:rsid w:val="001A261C"/>
    <w:rsid w:val="001A26D1"/>
    <w:rsid w:val="001A273C"/>
    <w:rsid w:val="001A293E"/>
    <w:rsid w:val="001A297E"/>
    <w:rsid w:val="001A2A2C"/>
    <w:rsid w:val="001A2B39"/>
    <w:rsid w:val="001A2BF1"/>
    <w:rsid w:val="001A2E33"/>
    <w:rsid w:val="001A3136"/>
    <w:rsid w:val="001A3201"/>
    <w:rsid w:val="001A323D"/>
    <w:rsid w:val="001A325D"/>
    <w:rsid w:val="001A329E"/>
    <w:rsid w:val="001A32F9"/>
    <w:rsid w:val="001A3419"/>
    <w:rsid w:val="001A3435"/>
    <w:rsid w:val="001A343F"/>
    <w:rsid w:val="001A3493"/>
    <w:rsid w:val="001A3683"/>
    <w:rsid w:val="001A36D7"/>
    <w:rsid w:val="001A37B8"/>
    <w:rsid w:val="001A37D3"/>
    <w:rsid w:val="001A386F"/>
    <w:rsid w:val="001A3951"/>
    <w:rsid w:val="001A3B0C"/>
    <w:rsid w:val="001A3B8F"/>
    <w:rsid w:val="001A3BD3"/>
    <w:rsid w:val="001A3C37"/>
    <w:rsid w:val="001A3DCF"/>
    <w:rsid w:val="001A3FD1"/>
    <w:rsid w:val="001A4097"/>
    <w:rsid w:val="001A40C5"/>
    <w:rsid w:val="001A4129"/>
    <w:rsid w:val="001A41C2"/>
    <w:rsid w:val="001A4254"/>
    <w:rsid w:val="001A4261"/>
    <w:rsid w:val="001A433E"/>
    <w:rsid w:val="001A436E"/>
    <w:rsid w:val="001A44F0"/>
    <w:rsid w:val="001A44FE"/>
    <w:rsid w:val="001A4521"/>
    <w:rsid w:val="001A470E"/>
    <w:rsid w:val="001A487A"/>
    <w:rsid w:val="001A499B"/>
    <w:rsid w:val="001A49CF"/>
    <w:rsid w:val="001A4AC5"/>
    <w:rsid w:val="001A4CA1"/>
    <w:rsid w:val="001A4CD2"/>
    <w:rsid w:val="001A4F8B"/>
    <w:rsid w:val="001A502F"/>
    <w:rsid w:val="001A50E8"/>
    <w:rsid w:val="001A519C"/>
    <w:rsid w:val="001A52A4"/>
    <w:rsid w:val="001A53B4"/>
    <w:rsid w:val="001A53BE"/>
    <w:rsid w:val="001A5498"/>
    <w:rsid w:val="001A5650"/>
    <w:rsid w:val="001A573D"/>
    <w:rsid w:val="001A5798"/>
    <w:rsid w:val="001A580E"/>
    <w:rsid w:val="001A583A"/>
    <w:rsid w:val="001A588F"/>
    <w:rsid w:val="001A594F"/>
    <w:rsid w:val="001A5AB9"/>
    <w:rsid w:val="001A5BDA"/>
    <w:rsid w:val="001A5D72"/>
    <w:rsid w:val="001A5F1D"/>
    <w:rsid w:val="001A5F52"/>
    <w:rsid w:val="001A5F76"/>
    <w:rsid w:val="001A6132"/>
    <w:rsid w:val="001A61DD"/>
    <w:rsid w:val="001A61FD"/>
    <w:rsid w:val="001A6241"/>
    <w:rsid w:val="001A65EC"/>
    <w:rsid w:val="001A66E8"/>
    <w:rsid w:val="001A67AA"/>
    <w:rsid w:val="001A682B"/>
    <w:rsid w:val="001A6AF3"/>
    <w:rsid w:val="001A6BA4"/>
    <w:rsid w:val="001A6DAA"/>
    <w:rsid w:val="001A6DE8"/>
    <w:rsid w:val="001A6ED5"/>
    <w:rsid w:val="001A6F91"/>
    <w:rsid w:val="001A7042"/>
    <w:rsid w:val="001A72BE"/>
    <w:rsid w:val="001A72D4"/>
    <w:rsid w:val="001A72F9"/>
    <w:rsid w:val="001A7302"/>
    <w:rsid w:val="001A741A"/>
    <w:rsid w:val="001A7424"/>
    <w:rsid w:val="001A7439"/>
    <w:rsid w:val="001A76D3"/>
    <w:rsid w:val="001A76E5"/>
    <w:rsid w:val="001A7739"/>
    <w:rsid w:val="001A788F"/>
    <w:rsid w:val="001A7895"/>
    <w:rsid w:val="001A78AB"/>
    <w:rsid w:val="001A79AE"/>
    <w:rsid w:val="001A79E2"/>
    <w:rsid w:val="001A7A01"/>
    <w:rsid w:val="001A7A04"/>
    <w:rsid w:val="001A7ACA"/>
    <w:rsid w:val="001A7AD8"/>
    <w:rsid w:val="001A7AD9"/>
    <w:rsid w:val="001A7DD2"/>
    <w:rsid w:val="001A7F2B"/>
    <w:rsid w:val="001A7FBA"/>
    <w:rsid w:val="001A7FBB"/>
    <w:rsid w:val="001B00B8"/>
    <w:rsid w:val="001B01D9"/>
    <w:rsid w:val="001B01DC"/>
    <w:rsid w:val="001B0275"/>
    <w:rsid w:val="001B0421"/>
    <w:rsid w:val="001B0442"/>
    <w:rsid w:val="001B0508"/>
    <w:rsid w:val="001B05B1"/>
    <w:rsid w:val="001B06FF"/>
    <w:rsid w:val="001B0754"/>
    <w:rsid w:val="001B077D"/>
    <w:rsid w:val="001B0808"/>
    <w:rsid w:val="001B09BF"/>
    <w:rsid w:val="001B0C18"/>
    <w:rsid w:val="001B0C42"/>
    <w:rsid w:val="001B0CCC"/>
    <w:rsid w:val="001B0D8B"/>
    <w:rsid w:val="001B0E72"/>
    <w:rsid w:val="001B0EE1"/>
    <w:rsid w:val="001B0F5F"/>
    <w:rsid w:val="001B1022"/>
    <w:rsid w:val="001B1078"/>
    <w:rsid w:val="001B10DC"/>
    <w:rsid w:val="001B1172"/>
    <w:rsid w:val="001B11B0"/>
    <w:rsid w:val="001B1281"/>
    <w:rsid w:val="001B12FF"/>
    <w:rsid w:val="001B14BA"/>
    <w:rsid w:val="001B14F5"/>
    <w:rsid w:val="001B1582"/>
    <w:rsid w:val="001B15B2"/>
    <w:rsid w:val="001B1758"/>
    <w:rsid w:val="001B1762"/>
    <w:rsid w:val="001B185D"/>
    <w:rsid w:val="001B190A"/>
    <w:rsid w:val="001B1929"/>
    <w:rsid w:val="001B1A28"/>
    <w:rsid w:val="001B1C0E"/>
    <w:rsid w:val="001B1C0F"/>
    <w:rsid w:val="001B1D7E"/>
    <w:rsid w:val="001B1E41"/>
    <w:rsid w:val="001B1EB1"/>
    <w:rsid w:val="001B2157"/>
    <w:rsid w:val="001B2168"/>
    <w:rsid w:val="001B2202"/>
    <w:rsid w:val="001B2246"/>
    <w:rsid w:val="001B2396"/>
    <w:rsid w:val="001B2450"/>
    <w:rsid w:val="001B2496"/>
    <w:rsid w:val="001B249B"/>
    <w:rsid w:val="001B256A"/>
    <w:rsid w:val="001B2650"/>
    <w:rsid w:val="001B2753"/>
    <w:rsid w:val="001B27EB"/>
    <w:rsid w:val="001B2813"/>
    <w:rsid w:val="001B2818"/>
    <w:rsid w:val="001B2842"/>
    <w:rsid w:val="001B28AE"/>
    <w:rsid w:val="001B28BB"/>
    <w:rsid w:val="001B2951"/>
    <w:rsid w:val="001B2988"/>
    <w:rsid w:val="001B2AA3"/>
    <w:rsid w:val="001B2C9F"/>
    <w:rsid w:val="001B2CDB"/>
    <w:rsid w:val="001B2E80"/>
    <w:rsid w:val="001B3009"/>
    <w:rsid w:val="001B334A"/>
    <w:rsid w:val="001B340E"/>
    <w:rsid w:val="001B3431"/>
    <w:rsid w:val="001B34DC"/>
    <w:rsid w:val="001B3537"/>
    <w:rsid w:val="001B3619"/>
    <w:rsid w:val="001B3680"/>
    <w:rsid w:val="001B371D"/>
    <w:rsid w:val="001B3725"/>
    <w:rsid w:val="001B383A"/>
    <w:rsid w:val="001B38B6"/>
    <w:rsid w:val="001B391B"/>
    <w:rsid w:val="001B3947"/>
    <w:rsid w:val="001B39CC"/>
    <w:rsid w:val="001B3A79"/>
    <w:rsid w:val="001B3B8F"/>
    <w:rsid w:val="001B3D18"/>
    <w:rsid w:val="001B3DF2"/>
    <w:rsid w:val="001B3EA4"/>
    <w:rsid w:val="001B3ED0"/>
    <w:rsid w:val="001B3EE1"/>
    <w:rsid w:val="001B3FF4"/>
    <w:rsid w:val="001B4043"/>
    <w:rsid w:val="001B409B"/>
    <w:rsid w:val="001B4189"/>
    <w:rsid w:val="001B4210"/>
    <w:rsid w:val="001B42C9"/>
    <w:rsid w:val="001B4361"/>
    <w:rsid w:val="001B4367"/>
    <w:rsid w:val="001B458C"/>
    <w:rsid w:val="001B45F3"/>
    <w:rsid w:val="001B4600"/>
    <w:rsid w:val="001B4626"/>
    <w:rsid w:val="001B46FC"/>
    <w:rsid w:val="001B4731"/>
    <w:rsid w:val="001B47CB"/>
    <w:rsid w:val="001B4851"/>
    <w:rsid w:val="001B49F7"/>
    <w:rsid w:val="001B4A1E"/>
    <w:rsid w:val="001B4CD3"/>
    <w:rsid w:val="001B4D0D"/>
    <w:rsid w:val="001B4DAE"/>
    <w:rsid w:val="001B4E37"/>
    <w:rsid w:val="001B51F2"/>
    <w:rsid w:val="001B559E"/>
    <w:rsid w:val="001B55AE"/>
    <w:rsid w:val="001B56F8"/>
    <w:rsid w:val="001B5708"/>
    <w:rsid w:val="001B5795"/>
    <w:rsid w:val="001B5831"/>
    <w:rsid w:val="001B5ABC"/>
    <w:rsid w:val="001B5B90"/>
    <w:rsid w:val="001B5C6E"/>
    <w:rsid w:val="001B5D80"/>
    <w:rsid w:val="001B5EA1"/>
    <w:rsid w:val="001B5F57"/>
    <w:rsid w:val="001B607C"/>
    <w:rsid w:val="001B62A5"/>
    <w:rsid w:val="001B62D9"/>
    <w:rsid w:val="001B62EE"/>
    <w:rsid w:val="001B63DF"/>
    <w:rsid w:val="001B64FA"/>
    <w:rsid w:val="001B6539"/>
    <w:rsid w:val="001B66F3"/>
    <w:rsid w:val="001B6768"/>
    <w:rsid w:val="001B67A2"/>
    <w:rsid w:val="001B68CA"/>
    <w:rsid w:val="001B6A20"/>
    <w:rsid w:val="001B6A40"/>
    <w:rsid w:val="001B6A48"/>
    <w:rsid w:val="001B6B5D"/>
    <w:rsid w:val="001B6BC4"/>
    <w:rsid w:val="001B6CC8"/>
    <w:rsid w:val="001B6D98"/>
    <w:rsid w:val="001B6E33"/>
    <w:rsid w:val="001B6E8A"/>
    <w:rsid w:val="001B6EA5"/>
    <w:rsid w:val="001B6EBE"/>
    <w:rsid w:val="001B6EC9"/>
    <w:rsid w:val="001B6F36"/>
    <w:rsid w:val="001B70C3"/>
    <w:rsid w:val="001B70DF"/>
    <w:rsid w:val="001B710E"/>
    <w:rsid w:val="001B721C"/>
    <w:rsid w:val="001B7311"/>
    <w:rsid w:val="001B7395"/>
    <w:rsid w:val="001B746A"/>
    <w:rsid w:val="001B7472"/>
    <w:rsid w:val="001B74AD"/>
    <w:rsid w:val="001B74F4"/>
    <w:rsid w:val="001B750A"/>
    <w:rsid w:val="001B751D"/>
    <w:rsid w:val="001B7563"/>
    <w:rsid w:val="001B759A"/>
    <w:rsid w:val="001B75C6"/>
    <w:rsid w:val="001B75D1"/>
    <w:rsid w:val="001B75F4"/>
    <w:rsid w:val="001B77A6"/>
    <w:rsid w:val="001B77FF"/>
    <w:rsid w:val="001B78EE"/>
    <w:rsid w:val="001B798D"/>
    <w:rsid w:val="001B7C3A"/>
    <w:rsid w:val="001B7D20"/>
    <w:rsid w:val="001B7DBC"/>
    <w:rsid w:val="001B7E5C"/>
    <w:rsid w:val="001B7F39"/>
    <w:rsid w:val="001B7F73"/>
    <w:rsid w:val="001B7FEF"/>
    <w:rsid w:val="001C0036"/>
    <w:rsid w:val="001C00E0"/>
    <w:rsid w:val="001C011D"/>
    <w:rsid w:val="001C01A8"/>
    <w:rsid w:val="001C01CD"/>
    <w:rsid w:val="001C02D3"/>
    <w:rsid w:val="001C03B7"/>
    <w:rsid w:val="001C0668"/>
    <w:rsid w:val="001C06F3"/>
    <w:rsid w:val="001C0906"/>
    <w:rsid w:val="001C092A"/>
    <w:rsid w:val="001C095B"/>
    <w:rsid w:val="001C0962"/>
    <w:rsid w:val="001C0976"/>
    <w:rsid w:val="001C09EC"/>
    <w:rsid w:val="001C0BBE"/>
    <w:rsid w:val="001C0C43"/>
    <w:rsid w:val="001C0FD7"/>
    <w:rsid w:val="001C1090"/>
    <w:rsid w:val="001C1130"/>
    <w:rsid w:val="001C1310"/>
    <w:rsid w:val="001C132A"/>
    <w:rsid w:val="001C13B0"/>
    <w:rsid w:val="001C13FF"/>
    <w:rsid w:val="001C1477"/>
    <w:rsid w:val="001C14B0"/>
    <w:rsid w:val="001C1614"/>
    <w:rsid w:val="001C176F"/>
    <w:rsid w:val="001C1778"/>
    <w:rsid w:val="001C1AE5"/>
    <w:rsid w:val="001C1B7A"/>
    <w:rsid w:val="001C1C42"/>
    <w:rsid w:val="001C1C4E"/>
    <w:rsid w:val="001C1C6A"/>
    <w:rsid w:val="001C1C6E"/>
    <w:rsid w:val="001C1D70"/>
    <w:rsid w:val="001C1E63"/>
    <w:rsid w:val="001C1E64"/>
    <w:rsid w:val="001C1E79"/>
    <w:rsid w:val="001C1F8B"/>
    <w:rsid w:val="001C2176"/>
    <w:rsid w:val="001C21E4"/>
    <w:rsid w:val="001C2224"/>
    <w:rsid w:val="001C2242"/>
    <w:rsid w:val="001C2276"/>
    <w:rsid w:val="001C22E8"/>
    <w:rsid w:val="001C2351"/>
    <w:rsid w:val="001C2366"/>
    <w:rsid w:val="001C239A"/>
    <w:rsid w:val="001C2549"/>
    <w:rsid w:val="001C25EB"/>
    <w:rsid w:val="001C25F3"/>
    <w:rsid w:val="001C2621"/>
    <w:rsid w:val="001C262A"/>
    <w:rsid w:val="001C2711"/>
    <w:rsid w:val="001C2853"/>
    <w:rsid w:val="001C290F"/>
    <w:rsid w:val="001C29DD"/>
    <w:rsid w:val="001C2C3B"/>
    <w:rsid w:val="001C2EFE"/>
    <w:rsid w:val="001C2F4B"/>
    <w:rsid w:val="001C2FD5"/>
    <w:rsid w:val="001C3233"/>
    <w:rsid w:val="001C3246"/>
    <w:rsid w:val="001C331A"/>
    <w:rsid w:val="001C3403"/>
    <w:rsid w:val="001C355C"/>
    <w:rsid w:val="001C36C1"/>
    <w:rsid w:val="001C3761"/>
    <w:rsid w:val="001C383D"/>
    <w:rsid w:val="001C3844"/>
    <w:rsid w:val="001C3846"/>
    <w:rsid w:val="001C3988"/>
    <w:rsid w:val="001C3B1D"/>
    <w:rsid w:val="001C3B5C"/>
    <w:rsid w:val="001C3FCE"/>
    <w:rsid w:val="001C40D4"/>
    <w:rsid w:val="001C40E4"/>
    <w:rsid w:val="001C4132"/>
    <w:rsid w:val="001C4197"/>
    <w:rsid w:val="001C426F"/>
    <w:rsid w:val="001C4404"/>
    <w:rsid w:val="001C440F"/>
    <w:rsid w:val="001C446D"/>
    <w:rsid w:val="001C4523"/>
    <w:rsid w:val="001C456A"/>
    <w:rsid w:val="001C4723"/>
    <w:rsid w:val="001C47DF"/>
    <w:rsid w:val="001C4824"/>
    <w:rsid w:val="001C48E7"/>
    <w:rsid w:val="001C4A07"/>
    <w:rsid w:val="001C4A4E"/>
    <w:rsid w:val="001C4A83"/>
    <w:rsid w:val="001C4BA2"/>
    <w:rsid w:val="001C4CF8"/>
    <w:rsid w:val="001C4E29"/>
    <w:rsid w:val="001C4E54"/>
    <w:rsid w:val="001C51B0"/>
    <w:rsid w:val="001C53AA"/>
    <w:rsid w:val="001C5425"/>
    <w:rsid w:val="001C54FE"/>
    <w:rsid w:val="001C5533"/>
    <w:rsid w:val="001C555F"/>
    <w:rsid w:val="001C55A4"/>
    <w:rsid w:val="001C55AD"/>
    <w:rsid w:val="001C56EB"/>
    <w:rsid w:val="001C56F6"/>
    <w:rsid w:val="001C5786"/>
    <w:rsid w:val="001C581D"/>
    <w:rsid w:val="001C5917"/>
    <w:rsid w:val="001C5939"/>
    <w:rsid w:val="001C5A34"/>
    <w:rsid w:val="001C5E13"/>
    <w:rsid w:val="001C5EAA"/>
    <w:rsid w:val="001C6055"/>
    <w:rsid w:val="001C6130"/>
    <w:rsid w:val="001C614E"/>
    <w:rsid w:val="001C63C4"/>
    <w:rsid w:val="001C6717"/>
    <w:rsid w:val="001C685F"/>
    <w:rsid w:val="001C6930"/>
    <w:rsid w:val="001C6931"/>
    <w:rsid w:val="001C69C4"/>
    <w:rsid w:val="001C6A5C"/>
    <w:rsid w:val="001C6BAD"/>
    <w:rsid w:val="001C6BD5"/>
    <w:rsid w:val="001C6C48"/>
    <w:rsid w:val="001C6C8B"/>
    <w:rsid w:val="001C6D63"/>
    <w:rsid w:val="001C6DC4"/>
    <w:rsid w:val="001C6EFD"/>
    <w:rsid w:val="001C6F08"/>
    <w:rsid w:val="001C6F1D"/>
    <w:rsid w:val="001C6FA1"/>
    <w:rsid w:val="001C71BE"/>
    <w:rsid w:val="001C71EB"/>
    <w:rsid w:val="001C7272"/>
    <w:rsid w:val="001C7298"/>
    <w:rsid w:val="001C7337"/>
    <w:rsid w:val="001C7352"/>
    <w:rsid w:val="001C7397"/>
    <w:rsid w:val="001C73FE"/>
    <w:rsid w:val="001C7684"/>
    <w:rsid w:val="001C76D4"/>
    <w:rsid w:val="001C77A5"/>
    <w:rsid w:val="001C77BF"/>
    <w:rsid w:val="001C7831"/>
    <w:rsid w:val="001C7859"/>
    <w:rsid w:val="001C799C"/>
    <w:rsid w:val="001C79EC"/>
    <w:rsid w:val="001C7A53"/>
    <w:rsid w:val="001C7A99"/>
    <w:rsid w:val="001C7B0A"/>
    <w:rsid w:val="001C7C66"/>
    <w:rsid w:val="001C7C79"/>
    <w:rsid w:val="001C7E37"/>
    <w:rsid w:val="001C7E48"/>
    <w:rsid w:val="001C7E4C"/>
    <w:rsid w:val="001C7E85"/>
    <w:rsid w:val="001C7ED5"/>
    <w:rsid w:val="001C7F9A"/>
    <w:rsid w:val="001D0096"/>
    <w:rsid w:val="001D00F7"/>
    <w:rsid w:val="001D0127"/>
    <w:rsid w:val="001D0189"/>
    <w:rsid w:val="001D01BD"/>
    <w:rsid w:val="001D01FA"/>
    <w:rsid w:val="001D0257"/>
    <w:rsid w:val="001D0261"/>
    <w:rsid w:val="001D029C"/>
    <w:rsid w:val="001D040D"/>
    <w:rsid w:val="001D04B0"/>
    <w:rsid w:val="001D051A"/>
    <w:rsid w:val="001D0526"/>
    <w:rsid w:val="001D0983"/>
    <w:rsid w:val="001D0A81"/>
    <w:rsid w:val="001D0B2E"/>
    <w:rsid w:val="001D0B9A"/>
    <w:rsid w:val="001D0D80"/>
    <w:rsid w:val="001D0DA3"/>
    <w:rsid w:val="001D0DB0"/>
    <w:rsid w:val="001D0EE6"/>
    <w:rsid w:val="001D0F25"/>
    <w:rsid w:val="001D0F90"/>
    <w:rsid w:val="001D104C"/>
    <w:rsid w:val="001D10FF"/>
    <w:rsid w:val="001D1116"/>
    <w:rsid w:val="001D111D"/>
    <w:rsid w:val="001D115C"/>
    <w:rsid w:val="001D11EB"/>
    <w:rsid w:val="001D12A7"/>
    <w:rsid w:val="001D12BA"/>
    <w:rsid w:val="001D1433"/>
    <w:rsid w:val="001D14AA"/>
    <w:rsid w:val="001D15E7"/>
    <w:rsid w:val="001D17D4"/>
    <w:rsid w:val="001D182A"/>
    <w:rsid w:val="001D1872"/>
    <w:rsid w:val="001D18F3"/>
    <w:rsid w:val="001D191F"/>
    <w:rsid w:val="001D1A0C"/>
    <w:rsid w:val="001D1A34"/>
    <w:rsid w:val="001D1A37"/>
    <w:rsid w:val="001D1B84"/>
    <w:rsid w:val="001D1BEF"/>
    <w:rsid w:val="001D1D8F"/>
    <w:rsid w:val="001D1DD0"/>
    <w:rsid w:val="001D201F"/>
    <w:rsid w:val="001D2264"/>
    <w:rsid w:val="001D24BA"/>
    <w:rsid w:val="001D24E0"/>
    <w:rsid w:val="001D2503"/>
    <w:rsid w:val="001D2587"/>
    <w:rsid w:val="001D25DD"/>
    <w:rsid w:val="001D2A09"/>
    <w:rsid w:val="001D2B9B"/>
    <w:rsid w:val="001D2DC7"/>
    <w:rsid w:val="001D2EB7"/>
    <w:rsid w:val="001D2F18"/>
    <w:rsid w:val="001D2FD2"/>
    <w:rsid w:val="001D3075"/>
    <w:rsid w:val="001D30DE"/>
    <w:rsid w:val="001D31DE"/>
    <w:rsid w:val="001D32DA"/>
    <w:rsid w:val="001D3373"/>
    <w:rsid w:val="001D33D3"/>
    <w:rsid w:val="001D3548"/>
    <w:rsid w:val="001D3551"/>
    <w:rsid w:val="001D36B5"/>
    <w:rsid w:val="001D36BE"/>
    <w:rsid w:val="001D36CF"/>
    <w:rsid w:val="001D36D1"/>
    <w:rsid w:val="001D3727"/>
    <w:rsid w:val="001D3892"/>
    <w:rsid w:val="001D38C2"/>
    <w:rsid w:val="001D3A33"/>
    <w:rsid w:val="001D3A34"/>
    <w:rsid w:val="001D3BAB"/>
    <w:rsid w:val="001D3C5F"/>
    <w:rsid w:val="001D3F10"/>
    <w:rsid w:val="001D3F51"/>
    <w:rsid w:val="001D3FE6"/>
    <w:rsid w:val="001D3FFE"/>
    <w:rsid w:val="001D40BF"/>
    <w:rsid w:val="001D41F5"/>
    <w:rsid w:val="001D4315"/>
    <w:rsid w:val="001D4323"/>
    <w:rsid w:val="001D434A"/>
    <w:rsid w:val="001D43EC"/>
    <w:rsid w:val="001D44CC"/>
    <w:rsid w:val="001D44ED"/>
    <w:rsid w:val="001D4530"/>
    <w:rsid w:val="001D4560"/>
    <w:rsid w:val="001D456C"/>
    <w:rsid w:val="001D45AE"/>
    <w:rsid w:val="001D47F0"/>
    <w:rsid w:val="001D481B"/>
    <w:rsid w:val="001D484D"/>
    <w:rsid w:val="001D48E4"/>
    <w:rsid w:val="001D4947"/>
    <w:rsid w:val="001D49AB"/>
    <w:rsid w:val="001D49BB"/>
    <w:rsid w:val="001D4C3C"/>
    <w:rsid w:val="001D4C74"/>
    <w:rsid w:val="001D4DE5"/>
    <w:rsid w:val="001D4E22"/>
    <w:rsid w:val="001D4E3B"/>
    <w:rsid w:val="001D4F36"/>
    <w:rsid w:val="001D4F3D"/>
    <w:rsid w:val="001D511E"/>
    <w:rsid w:val="001D5176"/>
    <w:rsid w:val="001D5246"/>
    <w:rsid w:val="001D5305"/>
    <w:rsid w:val="001D5349"/>
    <w:rsid w:val="001D539B"/>
    <w:rsid w:val="001D54C8"/>
    <w:rsid w:val="001D5728"/>
    <w:rsid w:val="001D5759"/>
    <w:rsid w:val="001D5871"/>
    <w:rsid w:val="001D5A66"/>
    <w:rsid w:val="001D5B09"/>
    <w:rsid w:val="001D5C69"/>
    <w:rsid w:val="001D5C9E"/>
    <w:rsid w:val="001D5CD1"/>
    <w:rsid w:val="001D5D1C"/>
    <w:rsid w:val="001D5D3B"/>
    <w:rsid w:val="001D5E3D"/>
    <w:rsid w:val="001D5E53"/>
    <w:rsid w:val="001D5F06"/>
    <w:rsid w:val="001D5F11"/>
    <w:rsid w:val="001D5F87"/>
    <w:rsid w:val="001D5F92"/>
    <w:rsid w:val="001D5FB6"/>
    <w:rsid w:val="001D602E"/>
    <w:rsid w:val="001D624F"/>
    <w:rsid w:val="001D63BD"/>
    <w:rsid w:val="001D641E"/>
    <w:rsid w:val="001D6485"/>
    <w:rsid w:val="001D64BF"/>
    <w:rsid w:val="001D66C6"/>
    <w:rsid w:val="001D6784"/>
    <w:rsid w:val="001D67ED"/>
    <w:rsid w:val="001D69A2"/>
    <w:rsid w:val="001D6A10"/>
    <w:rsid w:val="001D6C1C"/>
    <w:rsid w:val="001D6D4A"/>
    <w:rsid w:val="001D6F4D"/>
    <w:rsid w:val="001D710F"/>
    <w:rsid w:val="001D716A"/>
    <w:rsid w:val="001D71B3"/>
    <w:rsid w:val="001D7340"/>
    <w:rsid w:val="001D748A"/>
    <w:rsid w:val="001D758D"/>
    <w:rsid w:val="001D75BB"/>
    <w:rsid w:val="001D7653"/>
    <w:rsid w:val="001D7832"/>
    <w:rsid w:val="001D788E"/>
    <w:rsid w:val="001D792A"/>
    <w:rsid w:val="001D7A9A"/>
    <w:rsid w:val="001D7AC7"/>
    <w:rsid w:val="001D7B3C"/>
    <w:rsid w:val="001D7B5B"/>
    <w:rsid w:val="001D7EDB"/>
    <w:rsid w:val="001D7FE9"/>
    <w:rsid w:val="001E00F4"/>
    <w:rsid w:val="001E03FD"/>
    <w:rsid w:val="001E051A"/>
    <w:rsid w:val="001E05C1"/>
    <w:rsid w:val="001E0755"/>
    <w:rsid w:val="001E076C"/>
    <w:rsid w:val="001E081A"/>
    <w:rsid w:val="001E0856"/>
    <w:rsid w:val="001E092E"/>
    <w:rsid w:val="001E093C"/>
    <w:rsid w:val="001E099C"/>
    <w:rsid w:val="001E0B39"/>
    <w:rsid w:val="001E0B4F"/>
    <w:rsid w:val="001E0C00"/>
    <w:rsid w:val="001E0C08"/>
    <w:rsid w:val="001E0C24"/>
    <w:rsid w:val="001E0D07"/>
    <w:rsid w:val="001E0D56"/>
    <w:rsid w:val="001E0E30"/>
    <w:rsid w:val="001E0F21"/>
    <w:rsid w:val="001E1001"/>
    <w:rsid w:val="001E1160"/>
    <w:rsid w:val="001E14AE"/>
    <w:rsid w:val="001E152E"/>
    <w:rsid w:val="001E1613"/>
    <w:rsid w:val="001E1619"/>
    <w:rsid w:val="001E1A39"/>
    <w:rsid w:val="001E1AC1"/>
    <w:rsid w:val="001E1B74"/>
    <w:rsid w:val="001E1D2C"/>
    <w:rsid w:val="001E1D70"/>
    <w:rsid w:val="001E2157"/>
    <w:rsid w:val="001E219F"/>
    <w:rsid w:val="001E23BE"/>
    <w:rsid w:val="001E247B"/>
    <w:rsid w:val="001E24F3"/>
    <w:rsid w:val="001E26E9"/>
    <w:rsid w:val="001E27E7"/>
    <w:rsid w:val="001E284D"/>
    <w:rsid w:val="001E2880"/>
    <w:rsid w:val="001E28BC"/>
    <w:rsid w:val="001E2943"/>
    <w:rsid w:val="001E2B33"/>
    <w:rsid w:val="001E2BFC"/>
    <w:rsid w:val="001E2BFF"/>
    <w:rsid w:val="001E2C0C"/>
    <w:rsid w:val="001E2C1A"/>
    <w:rsid w:val="001E2CD7"/>
    <w:rsid w:val="001E2D0F"/>
    <w:rsid w:val="001E2E21"/>
    <w:rsid w:val="001E2F5E"/>
    <w:rsid w:val="001E2F9E"/>
    <w:rsid w:val="001E2FE0"/>
    <w:rsid w:val="001E3064"/>
    <w:rsid w:val="001E30BD"/>
    <w:rsid w:val="001E30CC"/>
    <w:rsid w:val="001E30EB"/>
    <w:rsid w:val="001E313A"/>
    <w:rsid w:val="001E3213"/>
    <w:rsid w:val="001E323D"/>
    <w:rsid w:val="001E3422"/>
    <w:rsid w:val="001E3575"/>
    <w:rsid w:val="001E3579"/>
    <w:rsid w:val="001E38A5"/>
    <w:rsid w:val="001E3A69"/>
    <w:rsid w:val="001E3B06"/>
    <w:rsid w:val="001E3B17"/>
    <w:rsid w:val="001E3B7F"/>
    <w:rsid w:val="001E3CBA"/>
    <w:rsid w:val="001E3F64"/>
    <w:rsid w:val="001E3FC7"/>
    <w:rsid w:val="001E4165"/>
    <w:rsid w:val="001E418C"/>
    <w:rsid w:val="001E42A2"/>
    <w:rsid w:val="001E42CD"/>
    <w:rsid w:val="001E44A3"/>
    <w:rsid w:val="001E44B3"/>
    <w:rsid w:val="001E45F1"/>
    <w:rsid w:val="001E4603"/>
    <w:rsid w:val="001E4711"/>
    <w:rsid w:val="001E4730"/>
    <w:rsid w:val="001E4746"/>
    <w:rsid w:val="001E4931"/>
    <w:rsid w:val="001E4937"/>
    <w:rsid w:val="001E495E"/>
    <w:rsid w:val="001E49E4"/>
    <w:rsid w:val="001E4A59"/>
    <w:rsid w:val="001E4BA9"/>
    <w:rsid w:val="001E4BB0"/>
    <w:rsid w:val="001E4BDC"/>
    <w:rsid w:val="001E4C66"/>
    <w:rsid w:val="001E4D3A"/>
    <w:rsid w:val="001E4EF6"/>
    <w:rsid w:val="001E4F15"/>
    <w:rsid w:val="001E5132"/>
    <w:rsid w:val="001E51EC"/>
    <w:rsid w:val="001E521F"/>
    <w:rsid w:val="001E522D"/>
    <w:rsid w:val="001E524C"/>
    <w:rsid w:val="001E528B"/>
    <w:rsid w:val="001E5341"/>
    <w:rsid w:val="001E538C"/>
    <w:rsid w:val="001E53D0"/>
    <w:rsid w:val="001E5433"/>
    <w:rsid w:val="001E5516"/>
    <w:rsid w:val="001E5677"/>
    <w:rsid w:val="001E567A"/>
    <w:rsid w:val="001E56DC"/>
    <w:rsid w:val="001E570C"/>
    <w:rsid w:val="001E5990"/>
    <w:rsid w:val="001E59F8"/>
    <w:rsid w:val="001E5A1B"/>
    <w:rsid w:val="001E5ACD"/>
    <w:rsid w:val="001E5BF1"/>
    <w:rsid w:val="001E5C80"/>
    <w:rsid w:val="001E5CB9"/>
    <w:rsid w:val="001E5D35"/>
    <w:rsid w:val="001E5DE1"/>
    <w:rsid w:val="001E5DF6"/>
    <w:rsid w:val="001E5F87"/>
    <w:rsid w:val="001E5FD0"/>
    <w:rsid w:val="001E60EE"/>
    <w:rsid w:val="001E6446"/>
    <w:rsid w:val="001E644E"/>
    <w:rsid w:val="001E6521"/>
    <w:rsid w:val="001E65FA"/>
    <w:rsid w:val="001E668A"/>
    <w:rsid w:val="001E6705"/>
    <w:rsid w:val="001E6725"/>
    <w:rsid w:val="001E6761"/>
    <w:rsid w:val="001E69EF"/>
    <w:rsid w:val="001E6AF1"/>
    <w:rsid w:val="001E6B13"/>
    <w:rsid w:val="001E6B3D"/>
    <w:rsid w:val="001E6C29"/>
    <w:rsid w:val="001E6CEA"/>
    <w:rsid w:val="001E6E36"/>
    <w:rsid w:val="001E6F2D"/>
    <w:rsid w:val="001E708D"/>
    <w:rsid w:val="001E70CC"/>
    <w:rsid w:val="001E70F4"/>
    <w:rsid w:val="001E71E4"/>
    <w:rsid w:val="001E7205"/>
    <w:rsid w:val="001E7261"/>
    <w:rsid w:val="001E7298"/>
    <w:rsid w:val="001E72BE"/>
    <w:rsid w:val="001E72D0"/>
    <w:rsid w:val="001E777D"/>
    <w:rsid w:val="001E7789"/>
    <w:rsid w:val="001E78AA"/>
    <w:rsid w:val="001E78CD"/>
    <w:rsid w:val="001E7986"/>
    <w:rsid w:val="001E79D4"/>
    <w:rsid w:val="001E7A08"/>
    <w:rsid w:val="001E7B18"/>
    <w:rsid w:val="001E7B22"/>
    <w:rsid w:val="001E7E5B"/>
    <w:rsid w:val="001E7E6F"/>
    <w:rsid w:val="001E7F70"/>
    <w:rsid w:val="001E7F85"/>
    <w:rsid w:val="001E7FC9"/>
    <w:rsid w:val="001E8664"/>
    <w:rsid w:val="001F0069"/>
    <w:rsid w:val="001F00A7"/>
    <w:rsid w:val="001F015F"/>
    <w:rsid w:val="001F0253"/>
    <w:rsid w:val="001F0342"/>
    <w:rsid w:val="001F034C"/>
    <w:rsid w:val="001F0B2D"/>
    <w:rsid w:val="001F0B38"/>
    <w:rsid w:val="001F0C1C"/>
    <w:rsid w:val="001F0C46"/>
    <w:rsid w:val="001F0CB1"/>
    <w:rsid w:val="001F0DCE"/>
    <w:rsid w:val="001F0E4B"/>
    <w:rsid w:val="001F0EF6"/>
    <w:rsid w:val="001F1083"/>
    <w:rsid w:val="001F12C2"/>
    <w:rsid w:val="001F12F1"/>
    <w:rsid w:val="001F13C0"/>
    <w:rsid w:val="001F13E5"/>
    <w:rsid w:val="001F1417"/>
    <w:rsid w:val="001F16D6"/>
    <w:rsid w:val="001F16E0"/>
    <w:rsid w:val="001F1798"/>
    <w:rsid w:val="001F17A4"/>
    <w:rsid w:val="001F192E"/>
    <w:rsid w:val="001F198E"/>
    <w:rsid w:val="001F1B5D"/>
    <w:rsid w:val="001F1E7A"/>
    <w:rsid w:val="001F20B4"/>
    <w:rsid w:val="001F20C5"/>
    <w:rsid w:val="001F214B"/>
    <w:rsid w:val="001F215B"/>
    <w:rsid w:val="001F21EC"/>
    <w:rsid w:val="001F222B"/>
    <w:rsid w:val="001F2365"/>
    <w:rsid w:val="001F2443"/>
    <w:rsid w:val="001F24A8"/>
    <w:rsid w:val="001F2510"/>
    <w:rsid w:val="001F2553"/>
    <w:rsid w:val="001F2583"/>
    <w:rsid w:val="001F25F4"/>
    <w:rsid w:val="001F277F"/>
    <w:rsid w:val="001F2B01"/>
    <w:rsid w:val="001F2BCC"/>
    <w:rsid w:val="001F2BEC"/>
    <w:rsid w:val="001F2BF6"/>
    <w:rsid w:val="001F2C1D"/>
    <w:rsid w:val="001F2C23"/>
    <w:rsid w:val="001F2DCF"/>
    <w:rsid w:val="001F2DEA"/>
    <w:rsid w:val="001F2F11"/>
    <w:rsid w:val="001F307E"/>
    <w:rsid w:val="001F3147"/>
    <w:rsid w:val="001F3148"/>
    <w:rsid w:val="001F320B"/>
    <w:rsid w:val="001F3240"/>
    <w:rsid w:val="001F327F"/>
    <w:rsid w:val="001F3281"/>
    <w:rsid w:val="001F337A"/>
    <w:rsid w:val="001F3516"/>
    <w:rsid w:val="001F363C"/>
    <w:rsid w:val="001F38A4"/>
    <w:rsid w:val="001F3B81"/>
    <w:rsid w:val="001F3BF8"/>
    <w:rsid w:val="001F3C3D"/>
    <w:rsid w:val="001F3D89"/>
    <w:rsid w:val="001F3DAF"/>
    <w:rsid w:val="001F3F05"/>
    <w:rsid w:val="001F4252"/>
    <w:rsid w:val="001F45CE"/>
    <w:rsid w:val="001F467A"/>
    <w:rsid w:val="001F4684"/>
    <w:rsid w:val="001F47DC"/>
    <w:rsid w:val="001F47DF"/>
    <w:rsid w:val="001F4807"/>
    <w:rsid w:val="001F4831"/>
    <w:rsid w:val="001F4AB5"/>
    <w:rsid w:val="001F4B47"/>
    <w:rsid w:val="001F4E0D"/>
    <w:rsid w:val="001F4E7C"/>
    <w:rsid w:val="001F4ECF"/>
    <w:rsid w:val="001F4F65"/>
    <w:rsid w:val="001F501A"/>
    <w:rsid w:val="001F509C"/>
    <w:rsid w:val="001F50AC"/>
    <w:rsid w:val="001F510B"/>
    <w:rsid w:val="001F522B"/>
    <w:rsid w:val="001F5234"/>
    <w:rsid w:val="001F5287"/>
    <w:rsid w:val="001F5375"/>
    <w:rsid w:val="001F56A5"/>
    <w:rsid w:val="001F57E8"/>
    <w:rsid w:val="001F5B56"/>
    <w:rsid w:val="001F5BF8"/>
    <w:rsid w:val="001F5CB6"/>
    <w:rsid w:val="001F5D0E"/>
    <w:rsid w:val="001F5D27"/>
    <w:rsid w:val="001F5D77"/>
    <w:rsid w:val="001F5DCE"/>
    <w:rsid w:val="001F6066"/>
    <w:rsid w:val="001F626E"/>
    <w:rsid w:val="001F6338"/>
    <w:rsid w:val="001F654C"/>
    <w:rsid w:val="001F6555"/>
    <w:rsid w:val="001F65AE"/>
    <w:rsid w:val="001F65DB"/>
    <w:rsid w:val="001F67B3"/>
    <w:rsid w:val="001F68F8"/>
    <w:rsid w:val="001F6A29"/>
    <w:rsid w:val="001F6A73"/>
    <w:rsid w:val="001F6AE5"/>
    <w:rsid w:val="001F6DB0"/>
    <w:rsid w:val="001F6DBC"/>
    <w:rsid w:val="001F6DC0"/>
    <w:rsid w:val="001F6E5D"/>
    <w:rsid w:val="001F6EAC"/>
    <w:rsid w:val="001F6EE0"/>
    <w:rsid w:val="001F704C"/>
    <w:rsid w:val="001F706E"/>
    <w:rsid w:val="001F7098"/>
    <w:rsid w:val="001F70E2"/>
    <w:rsid w:val="001F726C"/>
    <w:rsid w:val="001F777B"/>
    <w:rsid w:val="001F7B3A"/>
    <w:rsid w:val="001F7BBC"/>
    <w:rsid w:val="001F7DD8"/>
    <w:rsid w:val="001F7DE1"/>
    <w:rsid w:val="001F7E6F"/>
    <w:rsid w:val="001F7EBE"/>
    <w:rsid w:val="001F7F6A"/>
    <w:rsid w:val="001F7F88"/>
    <w:rsid w:val="002002FC"/>
    <w:rsid w:val="00200368"/>
    <w:rsid w:val="002005E9"/>
    <w:rsid w:val="002005EB"/>
    <w:rsid w:val="00200650"/>
    <w:rsid w:val="0020069D"/>
    <w:rsid w:val="002006A1"/>
    <w:rsid w:val="00200963"/>
    <w:rsid w:val="002009BD"/>
    <w:rsid w:val="002009FC"/>
    <w:rsid w:val="00200AEB"/>
    <w:rsid w:val="00200C07"/>
    <w:rsid w:val="00200C97"/>
    <w:rsid w:val="00200CB2"/>
    <w:rsid w:val="00200E05"/>
    <w:rsid w:val="00200EA1"/>
    <w:rsid w:val="00200EAF"/>
    <w:rsid w:val="00200EEE"/>
    <w:rsid w:val="0020108D"/>
    <w:rsid w:val="00201093"/>
    <w:rsid w:val="00201162"/>
    <w:rsid w:val="00201274"/>
    <w:rsid w:val="00201284"/>
    <w:rsid w:val="002013F0"/>
    <w:rsid w:val="0020149B"/>
    <w:rsid w:val="002015A8"/>
    <w:rsid w:val="0020168B"/>
    <w:rsid w:val="00201835"/>
    <w:rsid w:val="00201864"/>
    <w:rsid w:val="0020197D"/>
    <w:rsid w:val="00201A0B"/>
    <w:rsid w:val="00201A76"/>
    <w:rsid w:val="00201A82"/>
    <w:rsid w:val="00201AFC"/>
    <w:rsid w:val="00201BC5"/>
    <w:rsid w:val="00201BD3"/>
    <w:rsid w:val="00201DA3"/>
    <w:rsid w:val="00201F12"/>
    <w:rsid w:val="00201F8F"/>
    <w:rsid w:val="00202169"/>
    <w:rsid w:val="0020254D"/>
    <w:rsid w:val="002025BF"/>
    <w:rsid w:val="00202613"/>
    <w:rsid w:val="002026DB"/>
    <w:rsid w:val="00202777"/>
    <w:rsid w:val="002027E2"/>
    <w:rsid w:val="002028A4"/>
    <w:rsid w:val="00202AFA"/>
    <w:rsid w:val="00202B2C"/>
    <w:rsid w:val="00202B7B"/>
    <w:rsid w:val="00202B83"/>
    <w:rsid w:val="00202BCA"/>
    <w:rsid w:val="00202DCA"/>
    <w:rsid w:val="00202DE6"/>
    <w:rsid w:val="00202EED"/>
    <w:rsid w:val="002030AF"/>
    <w:rsid w:val="002030DF"/>
    <w:rsid w:val="0020312F"/>
    <w:rsid w:val="002032E6"/>
    <w:rsid w:val="0020332B"/>
    <w:rsid w:val="0020332D"/>
    <w:rsid w:val="00203348"/>
    <w:rsid w:val="0020337E"/>
    <w:rsid w:val="002033CC"/>
    <w:rsid w:val="002034DD"/>
    <w:rsid w:val="002035EA"/>
    <w:rsid w:val="00203761"/>
    <w:rsid w:val="00203788"/>
    <w:rsid w:val="00203805"/>
    <w:rsid w:val="00203810"/>
    <w:rsid w:val="002038AD"/>
    <w:rsid w:val="00203938"/>
    <w:rsid w:val="002039E1"/>
    <w:rsid w:val="00203B3C"/>
    <w:rsid w:val="00203B5B"/>
    <w:rsid w:val="00203BCC"/>
    <w:rsid w:val="00203CB7"/>
    <w:rsid w:val="00203E22"/>
    <w:rsid w:val="00203E97"/>
    <w:rsid w:val="00203FD5"/>
    <w:rsid w:val="00203FEA"/>
    <w:rsid w:val="002040EB"/>
    <w:rsid w:val="0020410F"/>
    <w:rsid w:val="00204125"/>
    <w:rsid w:val="00204136"/>
    <w:rsid w:val="002041A5"/>
    <w:rsid w:val="00204205"/>
    <w:rsid w:val="002042FF"/>
    <w:rsid w:val="002043B2"/>
    <w:rsid w:val="002043F0"/>
    <w:rsid w:val="002046DF"/>
    <w:rsid w:val="00204723"/>
    <w:rsid w:val="00204739"/>
    <w:rsid w:val="00204814"/>
    <w:rsid w:val="00204AFC"/>
    <w:rsid w:val="00204B13"/>
    <w:rsid w:val="00204C44"/>
    <w:rsid w:val="00204C5F"/>
    <w:rsid w:val="00204CE8"/>
    <w:rsid w:val="00204D91"/>
    <w:rsid w:val="00204FEF"/>
    <w:rsid w:val="0020508E"/>
    <w:rsid w:val="00205095"/>
    <w:rsid w:val="002050E6"/>
    <w:rsid w:val="00205167"/>
    <w:rsid w:val="0020518D"/>
    <w:rsid w:val="00205236"/>
    <w:rsid w:val="0020523A"/>
    <w:rsid w:val="00205384"/>
    <w:rsid w:val="0020551F"/>
    <w:rsid w:val="00205530"/>
    <w:rsid w:val="00205597"/>
    <w:rsid w:val="002055B3"/>
    <w:rsid w:val="00205682"/>
    <w:rsid w:val="00205801"/>
    <w:rsid w:val="0020595B"/>
    <w:rsid w:val="00205AE2"/>
    <w:rsid w:val="00205B9C"/>
    <w:rsid w:val="00205C84"/>
    <w:rsid w:val="00205CD2"/>
    <w:rsid w:val="00205D71"/>
    <w:rsid w:val="00205DC0"/>
    <w:rsid w:val="00205EC4"/>
    <w:rsid w:val="002060FF"/>
    <w:rsid w:val="0020614C"/>
    <w:rsid w:val="0020617F"/>
    <w:rsid w:val="0020621C"/>
    <w:rsid w:val="00206228"/>
    <w:rsid w:val="00206330"/>
    <w:rsid w:val="002064E7"/>
    <w:rsid w:val="002066EC"/>
    <w:rsid w:val="00206707"/>
    <w:rsid w:val="00206733"/>
    <w:rsid w:val="002067A8"/>
    <w:rsid w:val="002067C8"/>
    <w:rsid w:val="00206852"/>
    <w:rsid w:val="002068F0"/>
    <w:rsid w:val="00206982"/>
    <w:rsid w:val="00206A92"/>
    <w:rsid w:val="00206A99"/>
    <w:rsid w:val="00206B18"/>
    <w:rsid w:val="00206C58"/>
    <w:rsid w:val="00206CE6"/>
    <w:rsid w:val="00206EE6"/>
    <w:rsid w:val="00206FEC"/>
    <w:rsid w:val="00207009"/>
    <w:rsid w:val="002070DE"/>
    <w:rsid w:val="00207322"/>
    <w:rsid w:val="002073A5"/>
    <w:rsid w:val="002073BD"/>
    <w:rsid w:val="002074C5"/>
    <w:rsid w:val="00207827"/>
    <w:rsid w:val="00207851"/>
    <w:rsid w:val="00207944"/>
    <w:rsid w:val="0020799D"/>
    <w:rsid w:val="00207A80"/>
    <w:rsid w:val="00207AD4"/>
    <w:rsid w:val="00207CBA"/>
    <w:rsid w:val="00207D2B"/>
    <w:rsid w:val="00207DEE"/>
    <w:rsid w:val="00207E8E"/>
    <w:rsid w:val="002100A8"/>
    <w:rsid w:val="002103C5"/>
    <w:rsid w:val="002104BC"/>
    <w:rsid w:val="00210605"/>
    <w:rsid w:val="0021061F"/>
    <w:rsid w:val="002106B2"/>
    <w:rsid w:val="002107C7"/>
    <w:rsid w:val="00210828"/>
    <w:rsid w:val="0021083D"/>
    <w:rsid w:val="002108D6"/>
    <w:rsid w:val="002109CA"/>
    <w:rsid w:val="00210BAD"/>
    <w:rsid w:val="00210BBB"/>
    <w:rsid w:val="00210E30"/>
    <w:rsid w:val="00210EAD"/>
    <w:rsid w:val="00210ED7"/>
    <w:rsid w:val="00210F03"/>
    <w:rsid w:val="00210F12"/>
    <w:rsid w:val="00210F4B"/>
    <w:rsid w:val="00210FF8"/>
    <w:rsid w:val="0021106A"/>
    <w:rsid w:val="0021116F"/>
    <w:rsid w:val="002111C3"/>
    <w:rsid w:val="00211202"/>
    <w:rsid w:val="0021120E"/>
    <w:rsid w:val="002112FB"/>
    <w:rsid w:val="0021139B"/>
    <w:rsid w:val="00211661"/>
    <w:rsid w:val="002119A5"/>
    <w:rsid w:val="00211B78"/>
    <w:rsid w:val="00211DC4"/>
    <w:rsid w:val="00211F68"/>
    <w:rsid w:val="00211F76"/>
    <w:rsid w:val="00211FA6"/>
    <w:rsid w:val="00212010"/>
    <w:rsid w:val="0021212F"/>
    <w:rsid w:val="00212138"/>
    <w:rsid w:val="0021218A"/>
    <w:rsid w:val="0021222A"/>
    <w:rsid w:val="0021222E"/>
    <w:rsid w:val="00212297"/>
    <w:rsid w:val="002122BA"/>
    <w:rsid w:val="002122E3"/>
    <w:rsid w:val="0021236F"/>
    <w:rsid w:val="002123D2"/>
    <w:rsid w:val="00212416"/>
    <w:rsid w:val="00212586"/>
    <w:rsid w:val="0021277D"/>
    <w:rsid w:val="0021280A"/>
    <w:rsid w:val="00212881"/>
    <w:rsid w:val="0021294A"/>
    <w:rsid w:val="00212986"/>
    <w:rsid w:val="00212A5C"/>
    <w:rsid w:val="00212AE0"/>
    <w:rsid w:val="00212D1F"/>
    <w:rsid w:val="00212DA6"/>
    <w:rsid w:val="00212EBC"/>
    <w:rsid w:val="00212F26"/>
    <w:rsid w:val="002130E6"/>
    <w:rsid w:val="0021311C"/>
    <w:rsid w:val="002131E0"/>
    <w:rsid w:val="0021320E"/>
    <w:rsid w:val="00213240"/>
    <w:rsid w:val="0021332D"/>
    <w:rsid w:val="00213386"/>
    <w:rsid w:val="00213655"/>
    <w:rsid w:val="00213715"/>
    <w:rsid w:val="002137E6"/>
    <w:rsid w:val="00213804"/>
    <w:rsid w:val="002138A7"/>
    <w:rsid w:val="002139A6"/>
    <w:rsid w:val="00213AF9"/>
    <w:rsid w:val="00213C3F"/>
    <w:rsid w:val="00213CA2"/>
    <w:rsid w:val="00213DA4"/>
    <w:rsid w:val="00213E91"/>
    <w:rsid w:val="00213E96"/>
    <w:rsid w:val="00213E9B"/>
    <w:rsid w:val="00213F27"/>
    <w:rsid w:val="00213F2B"/>
    <w:rsid w:val="00214053"/>
    <w:rsid w:val="00214071"/>
    <w:rsid w:val="002140D2"/>
    <w:rsid w:val="0021412D"/>
    <w:rsid w:val="002142A5"/>
    <w:rsid w:val="0021434C"/>
    <w:rsid w:val="0021439F"/>
    <w:rsid w:val="002144E1"/>
    <w:rsid w:val="0021454D"/>
    <w:rsid w:val="0021457D"/>
    <w:rsid w:val="00214651"/>
    <w:rsid w:val="002148C9"/>
    <w:rsid w:val="00214B42"/>
    <w:rsid w:val="00214B96"/>
    <w:rsid w:val="00214C22"/>
    <w:rsid w:val="00214CCD"/>
    <w:rsid w:val="00214EBE"/>
    <w:rsid w:val="00214EC6"/>
    <w:rsid w:val="00214F26"/>
    <w:rsid w:val="00214F28"/>
    <w:rsid w:val="00215158"/>
    <w:rsid w:val="00215191"/>
    <w:rsid w:val="00215264"/>
    <w:rsid w:val="002152E1"/>
    <w:rsid w:val="002153FD"/>
    <w:rsid w:val="002154DD"/>
    <w:rsid w:val="00215561"/>
    <w:rsid w:val="0021572D"/>
    <w:rsid w:val="002157F1"/>
    <w:rsid w:val="00215806"/>
    <w:rsid w:val="00215899"/>
    <w:rsid w:val="002158A4"/>
    <w:rsid w:val="00215982"/>
    <w:rsid w:val="002159E7"/>
    <w:rsid w:val="00215A59"/>
    <w:rsid w:val="00215AC2"/>
    <w:rsid w:val="00215B25"/>
    <w:rsid w:val="00215C5D"/>
    <w:rsid w:val="00215CA3"/>
    <w:rsid w:val="00215D79"/>
    <w:rsid w:val="00215DDD"/>
    <w:rsid w:val="0021618E"/>
    <w:rsid w:val="002161BC"/>
    <w:rsid w:val="00216250"/>
    <w:rsid w:val="002162A3"/>
    <w:rsid w:val="0021630F"/>
    <w:rsid w:val="0021631B"/>
    <w:rsid w:val="002163C8"/>
    <w:rsid w:val="00216609"/>
    <w:rsid w:val="00216661"/>
    <w:rsid w:val="0021669C"/>
    <w:rsid w:val="002167EE"/>
    <w:rsid w:val="0021684B"/>
    <w:rsid w:val="0021689D"/>
    <w:rsid w:val="00216938"/>
    <w:rsid w:val="002169D5"/>
    <w:rsid w:val="002169E5"/>
    <w:rsid w:val="00216BEE"/>
    <w:rsid w:val="00216C96"/>
    <w:rsid w:val="00216CD8"/>
    <w:rsid w:val="00216F3E"/>
    <w:rsid w:val="00217008"/>
    <w:rsid w:val="00217392"/>
    <w:rsid w:val="0021749F"/>
    <w:rsid w:val="00217566"/>
    <w:rsid w:val="002175F6"/>
    <w:rsid w:val="0021771C"/>
    <w:rsid w:val="00217720"/>
    <w:rsid w:val="002177B9"/>
    <w:rsid w:val="00217950"/>
    <w:rsid w:val="00217991"/>
    <w:rsid w:val="00217AD1"/>
    <w:rsid w:val="00217D29"/>
    <w:rsid w:val="00217D6A"/>
    <w:rsid w:val="00217DE6"/>
    <w:rsid w:val="00217FA8"/>
    <w:rsid w:val="002201C5"/>
    <w:rsid w:val="002201D4"/>
    <w:rsid w:val="0022020F"/>
    <w:rsid w:val="002202B4"/>
    <w:rsid w:val="00220374"/>
    <w:rsid w:val="00220453"/>
    <w:rsid w:val="00220532"/>
    <w:rsid w:val="0022060C"/>
    <w:rsid w:val="00220681"/>
    <w:rsid w:val="00220790"/>
    <w:rsid w:val="002207C6"/>
    <w:rsid w:val="002208AC"/>
    <w:rsid w:val="002208D2"/>
    <w:rsid w:val="00220941"/>
    <w:rsid w:val="00220AE5"/>
    <w:rsid w:val="00220CCB"/>
    <w:rsid w:val="00220D56"/>
    <w:rsid w:val="00220D7E"/>
    <w:rsid w:val="00220D8A"/>
    <w:rsid w:val="00220D8D"/>
    <w:rsid w:val="00220DEE"/>
    <w:rsid w:val="00220E87"/>
    <w:rsid w:val="00220EB8"/>
    <w:rsid w:val="00220F86"/>
    <w:rsid w:val="00220F90"/>
    <w:rsid w:val="00220FDC"/>
    <w:rsid w:val="00221008"/>
    <w:rsid w:val="00221146"/>
    <w:rsid w:val="00221389"/>
    <w:rsid w:val="0022152A"/>
    <w:rsid w:val="002215AE"/>
    <w:rsid w:val="00221709"/>
    <w:rsid w:val="002217AC"/>
    <w:rsid w:val="002217B8"/>
    <w:rsid w:val="002217F2"/>
    <w:rsid w:val="002218B3"/>
    <w:rsid w:val="00221ADD"/>
    <w:rsid w:val="00221B66"/>
    <w:rsid w:val="00221EA2"/>
    <w:rsid w:val="0022201E"/>
    <w:rsid w:val="0022209B"/>
    <w:rsid w:val="0022209D"/>
    <w:rsid w:val="002223C3"/>
    <w:rsid w:val="00222451"/>
    <w:rsid w:val="002224E6"/>
    <w:rsid w:val="0022265B"/>
    <w:rsid w:val="00222841"/>
    <w:rsid w:val="002228EF"/>
    <w:rsid w:val="0022291A"/>
    <w:rsid w:val="00222932"/>
    <w:rsid w:val="00222A00"/>
    <w:rsid w:val="00222A51"/>
    <w:rsid w:val="00222A9A"/>
    <w:rsid w:val="00222AAA"/>
    <w:rsid w:val="00222B79"/>
    <w:rsid w:val="00222CA0"/>
    <w:rsid w:val="00222E10"/>
    <w:rsid w:val="00222E54"/>
    <w:rsid w:val="00222EA1"/>
    <w:rsid w:val="00222EF9"/>
    <w:rsid w:val="00223043"/>
    <w:rsid w:val="0022313B"/>
    <w:rsid w:val="002231D3"/>
    <w:rsid w:val="0022326E"/>
    <w:rsid w:val="00223299"/>
    <w:rsid w:val="002234E0"/>
    <w:rsid w:val="002235AE"/>
    <w:rsid w:val="002235EC"/>
    <w:rsid w:val="002236B0"/>
    <w:rsid w:val="0022374B"/>
    <w:rsid w:val="00223921"/>
    <w:rsid w:val="00223A53"/>
    <w:rsid w:val="00223A7F"/>
    <w:rsid w:val="00223A8A"/>
    <w:rsid w:val="00223B03"/>
    <w:rsid w:val="00223B65"/>
    <w:rsid w:val="00223C3B"/>
    <w:rsid w:val="00223CC2"/>
    <w:rsid w:val="00223D36"/>
    <w:rsid w:val="00223DA0"/>
    <w:rsid w:val="00223E09"/>
    <w:rsid w:val="00223E26"/>
    <w:rsid w:val="00223EE1"/>
    <w:rsid w:val="00223F7A"/>
    <w:rsid w:val="00223FBC"/>
    <w:rsid w:val="00224012"/>
    <w:rsid w:val="0022421F"/>
    <w:rsid w:val="00224317"/>
    <w:rsid w:val="002243DF"/>
    <w:rsid w:val="00224439"/>
    <w:rsid w:val="0022465E"/>
    <w:rsid w:val="00224678"/>
    <w:rsid w:val="00224761"/>
    <w:rsid w:val="002249EF"/>
    <w:rsid w:val="00224B59"/>
    <w:rsid w:val="00224B76"/>
    <w:rsid w:val="00224B80"/>
    <w:rsid w:val="00224B9C"/>
    <w:rsid w:val="00224CF2"/>
    <w:rsid w:val="00224D2F"/>
    <w:rsid w:val="00224DE3"/>
    <w:rsid w:val="00224EF9"/>
    <w:rsid w:val="00224F10"/>
    <w:rsid w:val="00224F96"/>
    <w:rsid w:val="00225169"/>
    <w:rsid w:val="0022525F"/>
    <w:rsid w:val="00225269"/>
    <w:rsid w:val="002252AC"/>
    <w:rsid w:val="002252C0"/>
    <w:rsid w:val="00225324"/>
    <w:rsid w:val="00225400"/>
    <w:rsid w:val="0022546B"/>
    <w:rsid w:val="0022547D"/>
    <w:rsid w:val="00225566"/>
    <w:rsid w:val="002255AB"/>
    <w:rsid w:val="00225616"/>
    <w:rsid w:val="002258BB"/>
    <w:rsid w:val="0022598E"/>
    <w:rsid w:val="00225AC7"/>
    <w:rsid w:val="00225C56"/>
    <w:rsid w:val="00225DEF"/>
    <w:rsid w:val="00225ED8"/>
    <w:rsid w:val="00225F14"/>
    <w:rsid w:val="0022614B"/>
    <w:rsid w:val="0022626B"/>
    <w:rsid w:val="002263F6"/>
    <w:rsid w:val="002263F9"/>
    <w:rsid w:val="00226469"/>
    <w:rsid w:val="0022655A"/>
    <w:rsid w:val="00226600"/>
    <w:rsid w:val="00226708"/>
    <w:rsid w:val="0022673F"/>
    <w:rsid w:val="0022676A"/>
    <w:rsid w:val="002267E8"/>
    <w:rsid w:val="00226822"/>
    <w:rsid w:val="0022685F"/>
    <w:rsid w:val="002269DE"/>
    <w:rsid w:val="00226A1D"/>
    <w:rsid w:val="00226A3A"/>
    <w:rsid w:val="00226A52"/>
    <w:rsid w:val="00226C10"/>
    <w:rsid w:val="00226D9A"/>
    <w:rsid w:val="00226DA6"/>
    <w:rsid w:val="00226E4D"/>
    <w:rsid w:val="00226E56"/>
    <w:rsid w:val="00227059"/>
    <w:rsid w:val="002270B0"/>
    <w:rsid w:val="002270BC"/>
    <w:rsid w:val="002270E9"/>
    <w:rsid w:val="002270F7"/>
    <w:rsid w:val="0022713B"/>
    <w:rsid w:val="002272B2"/>
    <w:rsid w:val="002272CE"/>
    <w:rsid w:val="002272D1"/>
    <w:rsid w:val="00227320"/>
    <w:rsid w:val="00227386"/>
    <w:rsid w:val="0022740F"/>
    <w:rsid w:val="0022757D"/>
    <w:rsid w:val="002275DB"/>
    <w:rsid w:val="00227624"/>
    <w:rsid w:val="00227726"/>
    <w:rsid w:val="0022775F"/>
    <w:rsid w:val="002277BE"/>
    <w:rsid w:val="00227949"/>
    <w:rsid w:val="00227971"/>
    <w:rsid w:val="002279A2"/>
    <w:rsid w:val="002279A9"/>
    <w:rsid w:val="002279CF"/>
    <w:rsid w:val="00227B9A"/>
    <w:rsid w:val="00227C41"/>
    <w:rsid w:val="00227CE2"/>
    <w:rsid w:val="00227D1E"/>
    <w:rsid w:val="00227E86"/>
    <w:rsid w:val="00227F93"/>
    <w:rsid w:val="00230081"/>
    <w:rsid w:val="00230124"/>
    <w:rsid w:val="00230287"/>
    <w:rsid w:val="002303DC"/>
    <w:rsid w:val="00230435"/>
    <w:rsid w:val="00230477"/>
    <w:rsid w:val="00230478"/>
    <w:rsid w:val="002304B1"/>
    <w:rsid w:val="00230554"/>
    <w:rsid w:val="00230617"/>
    <w:rsid w:val="0023061E"/>
    <w:rsid w:val="00230652"/>
    <w:rsid w:val="002306EC"/>
    <w:rsid w:val="00230741"/>
    <w:rsid w:val="002307FE"/>
    <w:rsid w:val="002308DA"/>
    <w:rsid w:val="0023091C"/>
    <w:rsid w:val="00230A7A"/>
    <w:rsid w:val="00230A8E"/>
    <w:rsid w:val="00230AA3"/>
    <w:rsid w:val="00230C1A"/>
    <w:rsid w:val="00230C7E"/>
    <w:rsid w:val="00231016"/>
    <w:rsid w:val="002310BD"/>
    <w:rsid w:val="0023111F"/>
    <w:rsid w:val="00231161"/>
    <w:rsid w:val="0023118A"/>
    <w:rsid w:val="002311E1"/>
    <w:rsid w:val="002311EE"/>
    <w:rsid w:val="00231290"/>
    <w:rsid w:val="002312AE"/>
    <w:rsid w:val="002312D2"/>
    <w:rsid w:val="0023134A"/>
    <w:rsid w:val="002315A2"/>
    <w:rsid w:val="0023176D"/>
    <w:rsid w:val="00231A93"/>
    <w:rsid w:val="00231FF9"/>
    <w:rsid w:val="0023200A"/>
    <w:rsid w:val="0023215D"/>
    <w:rsid w:val="00232175"/>
    <w:rsid w:val="00232329"/>
    <w:rsid w:val="002323CD"/>
    <w:rsid w:val="00232425"/>
    <w:rsid w:val="00232505"/>
    <w:rsid w:val="00232590"/>
    <w:rsid w:val="00232623"/>
    <w:rsid w:val="0023265B"/>
    <w:rsid w:val="00232685"/>
    <w:rsid w:val="002326AD"/>
    <w:rsid w:val="0023270F"/>
    <w:rsid w:val="0023278D"/>
    <w:rsid w:val="002327B0"/>
    <w:rsid w:val="002327CB"/>
    <w:rsid w:val="0023290B"/>
    <w:rsid w:val="0023296C"/>
    <w:rsid w:val="00232A90"/>
    <w:rsid w:val="00232AF2"/>
    <w:rsid w:val="00232AF6"/>
    <w:rsid w:val="00232BCA"/>
    <w:rsid w:val="00232BF8"/>
    <w:rsid w:val="00232C8F"/>
    <w:rsid w:val="00232D5E"/>
    <w:rsid w:val="00232E54"/>
    <w:rsid w:val="00232E59"/>
    <w:rsid w:val="00232E92"/>
    <w:rsid w:val="00232E95"/>
    <w:rsid w:val="00232EA8"/>
    <w:rsid w:val="00232F28"/>
    <w:rsid w:val="002330BF"/>
    <w:rsid w:val="00233118"/>
    <w:rsid w:val="0023313B"/>
    <w:rsid w:val="00233219"/>
    <w:rsid w:val="00233321"/>
    <w:rsid w:val="0023338B"/>
    <w:rsid w:val="002333AF"/>
    <w:rsid w:val="00233482"/>
    <w:rsid w:val="002335B3"/>
    <w:rsid w:val="00233633"/>
    <w:rsid w:val="002336E9"/>
    <w:rsid w:val="002337CA"/>
    <w:rsid w:val="00233A89"/>
    <w:rsid w:val="00233B1A"/>
    <w:rsid w:val="00233CBE"/>
    <w:rsid w:val="00233EA5"/>
    <w:rsid w:val="00233F13"/>
    <w:rsid w:val="00233FE4"/>
    <w:rsid w:val="00233FFE"/>
    <w:rsid w:val="002340F0"/>
    <w:rsid w:val="0023411D"/>
    <w:rsid w:val="002342D6"/>
    <w:rsid w:val="0023430E"/>
    <w:rsid w:val="00234311"/>
    <w:rsid w:val="0023442A"/>
    <w:rsid w:val="0023445F"/>
    <w:rsid w:val="0023448C"/>
    <w:rsid w:val="002344AA"/>
    <w:rsid w:val="0023450F"/>
    <w:rsid w:val="00234524"/>
    <w:rsid w:val="002348D6"/>
    <w:rsid w:val="00234939"/>
    <w:rsid w:val="00234B24"/>
    <w:rsid w:val="00234C24"/>
    <w:rsid w:val="00234CD7"/>
    <w:rsid w:val="00234D7B"/>
    <w:rsid w:val="00234D97"/>
    <w:rsid w:val="00234E70"/>
    <w:rsid w:val="00234EB7"/>
    <w:rsid w:val="00234F2C"/>
    <w:rsid w:val="00235033"/>
    <w:rsid w:val="00235043"/>
    <w:rsid w:val="00235080"/>
    <w:rsid w:val="0023508C"/>
    <w:rsid w:val="002350A3"/>
    <w:rsid w:val="0023512A"/>
    <w:rsid w:val="00235351"/>
    <w:rsid w:val="002353AB"/>
    <w:rsid w:val="002353CB"/>
    <w:rsid w:val="0023541A"/>
    <w:rsid w:val="00235455"/>
    <w:rsid w:val="00235550"/>
    <w:rsid w:val="002355E5"/>
    <w:rsid w:val="002358CE"/>
    <w:rsid w:val="002358E1"/>
    <w:rsid w:val="002358ED"/>
    <w:rsid w:val="00235992"/>
    <w:rsid w:val="002359B8"/>
    <w:rsid w:val="002359D2"/>
    <w:rsid w:val="00235B41"/>
    <w:rsid w:val="00235B45"/>
    <w:rsid w:val="00235B78"/>
    <w:rsid w:val="00235C68"/>
    <w:rsid w:val="00235D5D"/>
    <w:rsid w:val="00235D90"/>
    <w:rsid w:val="00235FA3"/>
    <w:rsid w:val="002360A4"/>
    <w:rsid w:val="0023619C"/>
    <w:rsid w:val="00236229"/>
    <w:rsid w:val="00236286"/>
    <w:rsid w:val="002362B6"/>
    <w:rsid w:val="0023637D"/>
    <w:rsid w:val="0023642D"/>
    <w:rsid w:val="00236445"/>
    <w:rsid w:val="00236520"/>
    <w:rsid w:val="002365A0"/>
    <w:rsid w:val="00236695"/>
    <w:rsid w:val="0023688F"/>
    <w:rsid w:val="0023689E"/>
    <w:rsid w:val="00236993"/>
    <w:rsid w:val="002369F1"/>
    <w:rsid w:val="00236A04"/>
    <w:rsid w:val="00236AC9"/>
    <w:rsid w:val="00236C35"/>
    <w:rsid w:val="00236C42"/>
    <w:rsid w:val="00236C64"/>
    <w:rsid w:val="00236D16"/>
    <w:rsid w:val="00236D2B"/>
    <w:rsid w:val="00236D7C"/>
    <w:rsid w:val="00236DDC"/>
    <w:rsid w:val="00236E8A"/>
    <w:rsid w:val="00236F13"/>
    <w:rsid w:val="00237054"/>
    <w:rsid w:val="002370C3"/>
    <w:rsid w:val="0023716E"/>
    <w:rsid w:val="002371DB"/>
    <w:rsid w:val="002371F1"/>
    <w:rsid w:val="00237246"/>
    <w:rsid w:val="00237305"/>
    <w:rsid w:val="00237367"/>
    <w:rsid w:val="0023739B"/>
    <w:rsid w:val="00237511"/>
    <w:rsid w:val="002375D7"/>
    <w:rsid w:val="002376F1"/>
    <w:rsid w:val="00237819"/>
    <w:rsid w:val="00237885"/>
    <w:rsid w:val="00237991"/>
    <w:rsid w:val="00237A58"/>
    <w:rsid w:val="00237A79"/>
    <w:rsid w:val="00237AB4"/>
    <w:rsid w:val="00237B10"/>
    <w:rsid w:val="00237B3A"/>
    <w:rsid w:val="00237C1F"/>
    <w:rsid w:val="00237C26"/>
    <w:rsid w:val="00237CCF"/>
    <w:rsid w:val="00237CE5"/>
    <w:rsid w:val="00237D66"/>
    <w:rsid w:val="00237DA3"/>
    <w:rsid w:val="00237DAC"/>
    <w:rsid w:val="00237EBB"/>
    <w:rsid w:val="00240053"/>
    <w:rsid w:val="00240092"/>
    <w:rsid w:val="002400FE"/>
    <w:rsid w:val="00240100"/>
    <w:rsid w:val="00240107"/>
    <w:rsid w:val="00240156"/>
    <w:rsid w:val="00240193"/>
    <w:rsid w:val="002401F0"/>
    <w:rsid w:val="00240225"/>
    <w:rsid w:val="00240348"/>
    <w:rsid w:val="002403C8"/>
    <w:rsid w:val="00240410"/>
    <w:rsid w:val="00240510"/>
    <w:rsid w:val="002405E5"/>
    <w:rsid w:val="002406E8"/>
    <w:rsid w:val="00240771"/>
    <w:rsid w:val="002407D9"/>
    <w:rsid w:val="002408B5"/>
    <w:rsid w:val="002408C2"/>
    <w:rsid w:val="002409C7"/>
    <w:rsid w:val="00240A15"/>
    <w:rsid w:val="00240A87"/>
    <w:rsid w:val="00240B58"/>
    <w:rsid w:val="00240BC6"/>
    <w:rsid w:val="00240BCD"/>
    <w:rsid w:val="00240BF7"/>
    <w:rsid w:val="00240C72"/>
    <w:rsid w:val="00240D58"/>
    <w:rsid w:val="00240DEF"/>
    <w:rsid w:val="00240E05"/>
    <w:rsid w:val="00240E3C"/>
    <w:rsid w:val="00240E64"/>
    <w:rsid w:val="00240E84"/>
    <w:rsid w:val="00240E88"/>
    <w:rsid w:val="00240E90"/>
    <w:rsid w:val="00240F41"/>
    <w:rsid w:val="002410CF"/>
    <w:rsid w:val="00241203"/>
    <w:rsid w:val="00241262"/>
    <w:rsid w:val="0024154A"/>
    <w:rsid w:val="00241661"/>
    <w:rsid w:val="0024167D"/>
    <w:rsid w:val="00241AEA"/>
    <w:rsid w:val="00241B63"/>
    <w:rsid w:val="00241BB9"/>
    <w:rsid w:val="00241C43"/>
    <w:rsid w:val="00241C56"/>
    <w:rsid w:val="00241E0F"/>
    <w:rsid w:val="00241E97"/>
    <w:rsid w:val="00241F3E"/>
    <w:rsid w:val="00241F82"/>
    <w:rsid w:val="00241FB4"/>
    <w:rsid w:val="0024204C"/>
    <w:rsid w:val="00242184"/>
    <w:rsid w:val="002421B7"/>
    <w:rsid w:val="002421BB"/>
    <w:rsid w:val="0024221F"/>
    <w:rsid w:val="002422D7"/>
    <w:rsid w:val="00242366"/>
    <w:rsid w:val="0024268A"/>
    <w:rsid w:val="00242691"/>
    <w:rsid w:val="002426B9"/>
    <w:rsid w:val="002427AC"/>
    <w:rsid w:val="002428B3"/>
    <w:rsid w:val="002428F8"/>
    <w:rsid w:val="0024299E"/>
    <w:rsid w:val="002429C2"/>
    <w:rsid w:val="00242ACC"/>
    <w:rsid w:val="00242B03"/>
    <w:rsid w:val="00242B0D"/>
    <w:rsid w:val="00242BA9"/>
    <w:rsid w:val="00242BE4"/>
    <w:rsid w:val="00242C22"/>
    <w:rsid w:val="00242C27"/>
    <w:rsid w:val="00242CF1"/>
    <w:rsid w:val="00242D54"/>
    <w:rsid w:val="00242D8E"/>
    <w:rsid w:val="00242DFC"/>
    <w:rsid w:val="00242F15"/>
    <w:rsid w:val="00242F69"/>
    <w:rsid w:val="00242F71"/>
    <w:rsid w:val="00242F8A"/>
    <w:rsid w:val="0024304E"/>
    <w:rsid w:val="0024317A"/>
    <w:rsid w:val="0024319A"/>
    <w:rsid w:val="002431CD"/>
    <w:rsid w:val="00243272"/>
    <w:rsid w:val="00243330"/>
    <w:rsid w:val="002433AA"/>
    <w:rsid w:val="002433E0"/>
    <w:rsid w:val="0024346A"/>
    <w:rsid w:val="0024346F"/>
    <w:rsid w:val="002435EC"/>
    <w:rsid w:val="0024369A"/>
    <w:rsid w:val="00243738"/>
    <w:rsid w:val="00243951"/>
    <w:rsid w:val="00243A10"/>
    <w:rsid w:val="00243A4B"/>
    <w:rsid w:val="00243A69"/>
    <w:rsid w:val="00243AC7"/>
    <w:rsid w:val="00243B00"/>
    <w:rsid w:val="00243B45"/>
    <w:rsid w:val="00243BFA"/>
    <w:rsid w:val="00243C27"/>
    <w:rsid w:val="00243C2A"/>
    <w:rsid w:val="00243D20"/>
    <w:rsid w:val="00243D4E"/>
    <w:rsid w:val="00243EEE"/>
    <w:rsid w:val="00243F24"/>
    <w:rsid w:val="00243F30"/>
    <w:rsid w:val="00244150"/>
    <w:rsid w:val="002441D8"/>
    <w:rsid w:val="002444CE"/>
    <w:rsid w:val="0024456C"/>
    <w:rsid w:val="002445D6"/>
    <w:rsid w:val="00244648"/>
    <w:rsid w:val="0024477C"/>
    <w:rsid w:val="002448D7"/>
    <w:rsid w:val="00244A1C"/>
    <w:rsid w:val="00244B81"/>
    <w:rsid w:val="00244B9A"/>
    <w:rsid w:val="00244BED"/>
    <w:rsid w:val="00244C83"/>
    <w:rsid w:val="00244CD7"/>
    <w:rsid w:val="00244D72"/>
    <w:rsid w:val="00245005"/>
    <w:rsid w:val="002450CF"/>
    <w:rsid w:val="002450E2"/>
    <w:rsid w:val="00245148"/>
    <w:rsid w:val="0024515A"/>
    <w:rsid w:val="002452BB"/>
    <w:rsid w:val="002453A1"/>
    <w:rsid w:val="0024546B"/>
    <w:rsid w:val="002454EB"/>
    <w:rsid w:val="00245601"/>
    <w:rsid w:val="002456A1"/>
    <w:rsid w:val="002456C6"/>
    <w:rsid w:val="002457E9"/>
    <w:rsid w:val="00245815"/>
    <w:rsid w:val="00245840"/>
    <w:rsid w:val="0024595A"/>
    <w:rsid w:val="002459ED"/>
    <w:rsid w:val="00245BC3"/>
    <w:rsid w:val="00245BE6"/>
    <w:rsid w:val="00245C2E"/>
    <w:rsid w:val="00245EAA"/>
    <w:rsid w:val="00245F74"/>
    <w:rsid w:val="00246084"/>
    <w:rsid w:val="002460A1"/>
    <w:rsid w:val="002461EB"/>
    <w:rsid w:val="00246228"/>
    <w:rsid w:val="00246352"/>
    <w:rsid w:val="00246376"/>
    <w:rsid w:val="002463BE"/>
    <w:rsid w:val="002464BD"/>
    <w:rsid w:val="002464F3"/>
    <w:rsid w:val="00246679"/>
    <w:rsid w:val="00246685"/>
    <w:rsid w:val="00246734"/>
    <w:rsid w:val="00246764"/>
    <w:rsid w:val="00246A1C"/>
    <w:rsid w:val="00246A65"/>
    <w:rsid w:val="00246AA4"/>
    <w:rsid w:val="00246AB7"/>
    <w:rsid w:val="00246B3B"/>
    <w:rsid w:val="00246BF3"/>
    <w:rsid w:val="00246BF4"/>
    <w:rsid w:val="00246C47"/>
    <w:rsid w:val="00246DE4"/>
    <w:rsid w:val="00246F1A"/>
    <w:rsid w:val="002470FB"/>
    <w:rsid w:val="00247124"/>
    <w:rsid w:val="0024712C"/>
    <w:rsid w:val="002471FD"/>
    <w:rsid w:val="00247214"/>
    <w:rsid w:val="00247279"/>
    <w:rsid w:val="00247375"/>
    <w:rsid w:val="00247479"/>
    <w:rsid w:val="0024748D"/>
    <w:rsid w:val="00247567"/>
    <w:rsid w:val="00247655"/>
    <w:rsid w:val="0024766A"/>
    <w:rsid w:val="00247779"/>
    <w:rsid w:val="00247917"/>
    <w:rsid w:val="00247A24"/>
    <w:rsid w:val="00247E2A"/>
    <w:rsid w:val="00247EFF"/>
    <w:rsid w:val="00247F23"/>
    <w:rsid w:val="00250153"/>
    <w:rsid w:val="00250347"/>
    <w:rsid w:val="00250354"/>
    <w:rsid w:val="002503DE"/>
    <w:rsid w:val="002504FC"/>
    <w:rsid w:val="00250644"/>
    <w:rsid w:val="0025065D"/>
    <w:rsid w:val="0025066F"/>
    <w:rsid w:val="00250716"/>
    <w:rsid w:val="00250760"/>
    <w:rsid w:val="00250776"/>
    <w:rsid w:val="0025081C"/>
    <w:rsid w:val="002508C6"/>
    <w:rsid w:val="0025094C"/>
    <w:rsid w:val="0025097D"/>
    <w:rsid w:val="00250A12"/>
    <w:rsid w:val="00250B93"/>
    <w:rsid w:val="00250E5F"/>
    <w:rsid w:val="00250FAE"/>
    <w:rsid w:val="0025104D"/>
    <w:rsid w:val="00251235"/>
    <w:rsid w:val="00251370"/>
    <w:rsid w:val="00251436"/>
    <w:rsid w:val="0025143D"/>
    <w:rsid w:val="00251506"/>
    <w:rsid w:val="00251578"/>
    <w:rsid w:val="00251604"/>
    <w:rsid w:val="0025163E"/>
    <w:rsid w:val="002516A6"/>
    <w:rsid w:val="002516B5"/>
    <w:rsid w:val="0025170A"/>
    <w:rsid w:val="0025196C"/>
    <w:rsid w:val="0025197C"/>
    <w:rsid w:val="00251A23"/>
    <w:rsid w:val="00251AD5"/>
    <w:rsid w:val="00251B2E"/>
    <w:rsid w:val="00251B40"/>
    <w:rsid w:val="00251DE8"/>
    <w:rsid w:val="00251E07"/>
    <w:rsid w:val="00251E98"/>
    <w:rsid w:val="002521B5"/>
    <w:rsid w:val="0025230F"/>
    <w:rsid w:val="002523B9"/>
    <w:rsid w:val="002524A4"/>
    <w:rsid w:val="0025268A"/>
    <w:rsid w:val="002529E9"/>
    <w:rsid w:val="00252A1F"/>
    <w:rsid w:val="00252BA2"/>
    <w:rsid w:val="00252C38"/>
    <w:rsid w:val="00252D3A"/>
    <w:rsid w:val="00252EF3"/>
    <w:rsid w:val="00252FC8"/>
    <w:rsid w:val="0025319A"/>
    <w:rsid w:val="00253241"/>
    <w:rsid w:val="00253249"/>
    <w:rsid w:val="00253487"/>
    <w:rsid w:val="0025359C"/>
    <w:rsid w:val="002536DA"/>
    <w:rsid w:val="002537F0"/>
    <w:rsid w:val="00253800"/>
    <w:rsid w:val="0025382D"/>
    <w:rsid w:val="002538DE"/>
    <w:rsid w:val="00253910"/>
    <w:rsid w:val="00253964"/>
    <w:rsid w:val="002539FD"/>
    <w:rsid w:val="00253AC1"/>
    <w:rsid w:val="00253AF6"/>
    <w:rsid w:val="00253AFF"/>
    <w:rsid w:val="00253B13"/>
    <w:rsid w:val="00253C61"/>
    <w:rsid w:val="00253CAD"/>
    <w:rsid w:val="00253FF2"/>
    <w:rsid w:val="002543F9"/>
    <w:rsid w:val="00254413"/>
    <w:rsid w:val="0025449E"/>
    <w:rsid w:val="002546FA"/>
    <w:rsid w:val="002547FE"/>
    <w:rsid w:val="002549E6"/>
    <w:rsid w:val="00254A89"/>
    <w:rsid w:val="00254ACC"/>
    <w:rsid w:val="00254B80"/>
    <w:rsid w:val="00254C08"/>
    <w:rsid w:val="00254CBF"/>
    <w:rsid w:val="00254D66"/>
    <w:rsid w:val="00254F36"/>
    <w:rsid w:val="00255163"/>
    <w:rsid w:val="0025541C"/>
    <w:rsid w:val="002554CD"/>
    <w:rsid w:val="0025573C"/>
    <w:rsid w:val="0025576F"/>
    <w:rsid w:val="00255941"/>
    <w:rsid w:val="00255986"/>
    <w:rsid w:val="00255B20"/>
    <w:rsid w:val="00255B83"/>
    <w:rsid w:val="00255BB6"/>
    <w:rsid w:val="00255BC6"/>
    <w:rsid w:val="00255C14"/>
    <w:rsid w:val="00255CB3"/>
    <w:rsid w:val="00255D1A"/>
    <w:rsid w:val="00255D89"/>
    <w:rsid w:val="00255E76"/>
    <w:rsid w:val="00255EB6"/>
    <w:rsid w:val="00255EC8"/>
    <w:rsid w:val="00255FDF"/>
    <w:rsid w:val="002560D0"/>
    <w:rsid w:val="002560E2"/>
    <w:rsid w:val="00256121"/>
    <w:rsid w:val="002562B6"/>
    <w:rsid w:val="00256391"/>
    <w:rsid w:val="0025652A"/>
    <w:rsid w:val="002565AB"/>
    <w:rsid w:val="0025679C"/>
    <w:rsid w:val="002567A2"/>
    <w:rsid w:val="002567F9"/>
    <w:rsid w:val="00256845"/>
    <w:rsid w:val="002568D3"/>
    <w:rsid w:val="0025693E"/>
    <w:rsid w:val="002569F6"/>
    <w:rsid w:val="00256A11"/>
    <w:rsid w:val="00256A81"/>
    <w:rsid w:val="00256A8A"/>
    <w:rsid w:val="00256B8A"/>
    <w:rsid w:val="00256E59"/>
    <w:rsid w:val="00256E87"/>
    <w:rsid w:val="00256F95"/>
    <w:rsid w:val="00256FC7"/>
    <w:rsid w:val="00257062"/>
    <w:rsid w:val="002572C0"/>
    <w:rsid w:val="0025747E"/>
    <w:rsid w:val="0025767D"/>
    <w:rsid w:val="002576D4"/>
    <w:rsid w:val="002577A3"/>
    <w:rsid w:val="002578D0"/>
    <w:rsid w:val="002579CE"/>
    <w:rsid w:val="00257B17"/>
    <w:rsid w:val="00257C18"/>
    <w:rsid w:val="00257D1F"/>
    <w:rsid w:val="00257DAB"/>
    <w:rsid w:val="00257E2D"/>
    <w:rsid w:val="00257ED1"/>
    <w:rsid w:val="00257EF9"/>
    <w:rsid w:val="00257F24"/>
    <w:rsid w:val="00257F52"/>
    <w:rsid w:val="00257FD1"/>
    <w:rsid w:val="0026003D"/>
    <w:rsid w:val="002600DB"/>
    <w:rsid w:val="0026012D"/>
    <w:rsid w:val="002603DA"/>
    <w:rsid w:val="002603E0"/>
    <w:rsid w:val="002603E7"/>
    <w:rsid w:val="00260485"/>
    <w:rsid w:val="002604FD"/>
    <w:rsid w:val="00260519"/>
    <w:rsid w:val="002605E6"/>
    <w:rsid w:val="002606B9"/>
    <w:rsid w:val="00260704"/>
    <w:rsid w:val="00260954"/>
    <w:rsid w:val="00260AB9"/>
    <w:rsid w:val="00260DC3"/>
    <w:rsid w:val="00260E48"/>
    <w:rsid w:val="00260E85"/>
    <w:rsid w:val="00260EF4"/>
    <w:rsid w:val="0026103B"/>
    <w:rsid w:val="002610AC"/>
    <w:rsid w:val="00261175"/>
    <w:rsid w:val="002611EC"/>
    <w:rsid w:val="0026130C"/>
    <w:rsid w:val="002613DD"/>
    <w:rsid w:val="002613F3"/>
    <w:rsid w:val="0026141B"/>
    <w:rsid w:val="00261420"/>
    <w:rsid w:val="00261584"/>
    <w:rsid w:val="00261B64"/>
    <w:rsid w:val="00261B69"/>
    <w:rsid w:val="00261C02"/>
    <w:rsid w:val="00261CC8"/>
    <w:rsid w:val="00261D2D"/>
    <w:rsid w:val="00261D7B"/>
    <w:rsid w:val="00261E0D"/>
    <w:rsid w:val="00261E7A"/>
    <w:rsid w:val="00261EB6"/>
    <w:rsid w:val="00261F42"/>
    <w:rsid w:val="00261F55"/>
    <w:rsid w:val="00262010"/>
    <w:rsid w:val="0026212D"/>
    <w:rsid w:val="00262134"/>
    <w:rsid w:val="00262168"/>
    <w:rsid w:val="0026231A"/>
    <w:rsid w:val="00262482"/>
    <w:rsid w:val="0026251C"/>
    <w:rsid w:val="0026255C"/>
    <w:rsid w:val="0026258F"/>
    <w:rsid w:val="002626E7"/>
    <w:rsid w:val="00262700"/>
    <w:rsid w:val="002628DA"/>
    <w:rsid w:val="0026295C"/>
    <w:rsid w:val="002629BC"/>
    <w:rsid w:val="00262B0D"/>
    <w:rsid w:val="00262B27"/>
    <w:rsid w:val="00262B40"/>
    <w:rsid w:val="00262D5B"/>
    <w:rsid w:val="00262D69"/>
    <w:rsid w:val="00262D98"/>
    <w:rsid w:val="00262E51"/>
    <w:rsid w:val="00262EEB"/>
    <w:rsid w:val="00262F00"/>
    <w:rsid w:val="0026307B"/>
    <w:rsid w:val="0026335C"/>
    <w:rsid w:val="00263369"/>
    <w:rsid w:val="002633A4"/>
    <w:rsid w:val="002633D8"/>
    <w:rsid w:val="00263478"/>
    <w:rsid w:val="00263508"/>
    <w:rsid w:val="002635AE"/>
    <w:rsid w:val="002635B9"/>
    <w:rsid w:val="0026367B"/>
    <w:rsid w:val="00263757"/>
    <w:rsid w:val="0026382C"/>
    <w:rsid w:val="00263846"/>
    <w:rsid w:val="00263903"/>
    <w:rsid w:val="002639AE"/>
    <w:rsid w:val="00263B83"/>
    <w:rsid w:val="00263C0E"/>
    <w:rsid w:val="00263C1B"/>
    <w:rsid w:val="00263CF8"/>
    <w:rsid w:val="00263D4A"/>
    <w:rsid w:val="00263E64"/>
    <w:rsid w:val="00263F5E"/>
    <w:rsid w:val="00264060"/>
    <w:rsid w:val="00264390"/>
    <w:rsid w:val="002643C2"/>
    <w:rsid w:val="002643E2"/>
    <w:rsid w:val="00264415"/>
    <w:rsid w:val="00264464"/>
    <w:rsid w:val="00264883"/>
    <w:rsid w:val="0026492C"/>
    <w:rsid w:val="00264A55"/>
    <w:rsid w:val="00264BA9"/>
    <w:rsid w:val="00264C1F"/>
    <w:rsid w:val="00264C9A"/>
    <w:rsid w:val="00264D0A"/>
    <w:rsid w:val="00264DFE"/>
    <w:rsid w:val="00264ECC"/>
    <w:rsid w:val="00264FF0"/>
    <w:rsid w:val="00265088"/>
    <w:rsid w:val="002651BB"/>
    <w:rsid w:val="002651BD"/>
    <w:rsid w:val="00265289"/>
    <w:rsid w:val="0026538C"/>
    <w:rsid w:val="00265395"/>
    <w:rsid w:val="002654BF"/>
    <w:rsid w:val="0026552E"/>
    <w:rsid w:val="002655A0"/>
    <w:rsid w:val="002655D1"/>
    <w:rsid w:val="002655EC"/>
    <w:rsid w:val="0026564C"/>
    <w:rsid w:val="002656D0"/>
    <w:rsid w:val="002658C5"/>
    <w:rsid w:val="00265A53"/>
    <w:rsid w:val="00265AFD"/>
    <w:rsid w:val="00265C45"/>
    <w:rsid w:val="00265D9B"/>
    <w:rsid w:val="00265ECB"/>
    <w:rsid w:val="00265F56"/>
    <w:rsid w:val="00265FFF"/>
    <w:rsid w:val="00266025"/>
    <w:rsid w:val="0026604E"/>
    <w:rsid w:val="00266059"/>
    <w:rsid w:val="00266076"/>
    <w:rsid w:val="002660A1"/>
    <w:rsid w:val="002661A1"/>
    <w:rsid w:val="002661BB"/>
    <w:rsid w:val="002661D6"/>
    <w:rsid w:val="002662BA"/>
    <w:rsid w:val="0026630C"/>
    <w:rsid w:val="00266315"/>
    <w:rsid w:val="002665B9"/>
    <w:rsid w:val="0026667F"/>
    <w:rsid w:val="00266702"/>
    <w:rsid w:val="0026675D"/>
    <w:rsid w:val="00266A65"/>
    <w:rsid w:val="00266B11"/>
    <w:rsid w:val="00266B3A"/>
    <w:rsid w:val="00266B7B"/>
    <w:rsid w:val="00266BAF"/>
    <w:rsid w:val="00266C02"/>
    <w:rsid w:val="00266C08"/>
    <w:rsid w:val="00266E7E"/>
    <w:rsid w:val="00266EC4"/>
    <w:rsid w:val="00266EED"/>
    <w:rsid w:val="00266FD4"/>
    <w:rsid w:val="00267113"/>
    <w:rsid w:val="00267233"/>
    <w:rsid w:val="002672D5"/>
    <w:rsid w:val="00267412"/>
    <w:rsid w:val="002674CD"/>
    <w:rsid w:val="002675DC"/>
    <w:rsid w:val="002676B2"/>
    <w:rsid w:val="0026781A"/>
    <w:rsid w:val="002679A3"/>
    <w:rsid w:val="00267A17"/>
    <w:rsid w:val="00267A3A"/>
    <w:rsid w:val="00267B27"/>
    <w:rsid w:val="00267BDF"/>
    <w:rsid w:val="00267BFF"/>
    <w:rsid w:val="00267D13"/>
    <w:rsid w:val="00267D67"/>
    <w:rsid w:val="00267DDE"/>
    <w:rsid w:val="00267FD2"/>
    <w:rsid w:val="00270112"/>
    <w:rsid w:val="002701A1"/>
    <w:rsid w:val="002702F3"/>
    <w:rsid w:val="00270393"/>
    <w:rsid w:val="002704E8"/>
    <w:rsid w:val="00270586"/>
    <w:rsid w:val="00270634"/>
    <w:rsid w:val="002706B5"/>
    <w:rsid w:val="0027070C"/>
    <w:rsid w:val="00270794"/>
    <w:rsid w:val="00270A5E"/>
    <w:rsid w:val="00270A88"/>
    <w:rsid w:val="00270ACA"/>
    <w:rsid w:val="00270AEB"/>
    <w:rsid w:val="00270C50"/>
    <w:rsid w:val="00270CD6"/>
    <w:rsid w:val="00270D91"/>
    <w:rsid w:val="00270E56"/>
    <w:rsid w:val="00270EAD"/>
    <w:rsid w:val="00270FBB"/>
    <w:rsid w:val="002710F0"/>
    <w:rsid w:val="00271149"/>
    <w:rsid w:val="0027115A"/>
    <w:rsid w:val="0027118C"/>
    <w:rsid w:val="0027143C"/>
    <w:rsid w:val="002714BF"/>
    <w:rsid w:val="00271591"/>
    <w:rsid w:val="002715EF"/>
    <w:rsid w:val="0027165A"/>
    <w:rsid w:val="002716A1"/>
    <w:rsid w:val="002716AE"/>
    <w:rsid w:val="00271700"/>
    <w:rsid w:val="0027183A"/>
    <w:rsid w:val="002718CE"/>
    <w:rsid w:val="002719B4"/>
    <w:rsid w:val="00271B58"/>
    <w:rsid w:val="00271C6E"/>
    <w:rsid w:val="00271D6B"/>
    <w:rsid w:val="00271DD9"/>
    <w:rsid w:val="00271DFD"/>
    <w:rsid w:val="00272066"/>
    <w:rsid w:val="002720C2"/>
    <w:rsid w:val="002720C6"/>
    <w:rsid w:val="002720F2"/>
    <w:rsid w:val="00272110"/>
    <w:rsid w:val="0027233B"/>
    <w:rsid w:val="002723ED"/>
    <w:rsid w:val="00272454"/>
    <w:rsid w:val="00272576"/>
    <w:rsid w:val="002725AD"/>
    <w:rsid w:val="002726D4"/>
    <w:rsid w:val="00272785"/>
    <w:rsid w:val="002728E3"/>
    <w:rsid w:val="0027292D"/>
    <w:rsid w:val="002729ED"/>
    <w:rsid w:val="00272A42"/>
    <w:rsid w:val="00272A63"/>
    <w:rsid w:val="00272ADF"/>
    <w:rsid w:val="00272B50"/>
    <w:rsid w:val="00272B66"/>
    <w:rsid w:val="00272CBD"/>
    <w:rsid w:val="00272D79"/>
    <w:rsid w:val="00272F27"/>
    <w:rsid w:val="00272F7E"/>
    <w:rsid w:val="00272FFA"/>
    <w:rsid w:val="00273186"/>
    <w:rsid w:val="002731F1"/>
    <w:rsid w:val="00273448"/>
    <w:rsid w:val="002735D6"/>
    <w:rsid w:val="002736D3"/>
    <w:rsid w:val="0027377C"/>
    <w:rsid w:val="002738C5"/>
    <w:rsid w:val="00273B13"/>
    <w:rsid w:val="00273B55"/>
    <w:rsid w:val="00273C50"/>
    <w:rsid w:val="00273CA6"/>
    <w:rsid w:val="00273D3F"/>
    <w:rsid w:val="00273EDA"/>
    <w:rsid w:val="00273F16"/>
    <w:rsid w:val="00273F22"/>
    <w:rsid w:val="00273FE6"/>
    <w:rsid w:val="002740A7"/>
    <w:rsid w:val="00274104"/>
    <w:rsid w:val="00274118"/>
    <w:rsid w:val="0027420A"/>
    <w:rsid w:val="0027426F"/>
    <w:rsid w:val="00274352"/>
    <w:rsid w:val="0027453C"/>
    <w:rsid w:val="00274573"/>
    <w:rsid w:val="0027465A"/>
    <w:rsid w:val="0027467D"/>
    <w:rsid w:val="002748EA"/>
    <w:rsid w:val="00274956"/>
    <w:rsid w:val="00274A58"/>
    <w:rsid w:val="00274B30"/>
    <w:rsid w:val="00274B8C"/>
    <w:rsid w:val="00274C0E"/>
    <w:rsid w:val="00274D51"/>
    <w:rsid w:val="00274E2B"/>
    <w:rsid w:val="00274F1C"/>
    <w:rsid w:val="00275067"/>
    <w:rsid w:val="00275179"/>
    <w:rsid w:val="002753DF"/>
    <w:rsid w:val="002754DD"/>
    <w:rsid w:val="002754EC"/>
    <w:rsid w:val="00275643"/>
    <w:rsid w:val="0027582D"/>
    <w:rsid w:val="00275ACF"/>
    <w:rsid w:val="00275AD6"/>
    <w:rsid w:val="00275BAC"/>
    <w:rsid w:val="00275C39"/>
    <w:rsid w:val="00275C97"/>
    <w:rsid w:val="00275D34"/>
    <w:rsid w:val="00275E0D"/>
    <w:rsid w:val="00275EFE"/>
    <w:rsid w:val="00275FA1"/>
    <w:rsid w:val="0027603E"/>
    <w:rsid w:val="0027605A"/>
    <w:rsid w:val="002760E2"/>
    <w:rsid w:val="0027610A"/>
    <w:rsid w:val="00276297"/>
    <w:rsid w:val="0027629B"/>
    <w:rsid w:val="002762B0"/>
    <w:rsid w:val="00276318"/>
    <w:rsid w:val="00276469"/>
    <w:rsid w:val="002764C6"/>
    <w:rsid w:val="0027654C"/>
    <w:rsid w:val="00276812"/>
    <w:rsid w:val="00276889"/>
    <w:rsid w:val="002768D6"/>
    <w:rsid w:val="00276972"/>
    <w:rsid w:val="00276995"/>
    <w:rsid w:val="00276BBF"/>
    <w:rsid w:val="00276CDF"/>
    <w:rsid w:val="00276CE8"/>
    <w:rsid w:val="00276EAC"/>
    <w:rsid w:val="00276EAD"/>
    <w:rsid w:val="002770D1"/>
    <w:rsid w:val="002770E2"/>
    <w:rsid w:val="00277192"/>
    <w:rsid w:val="002771AA"/>
    <w:rsid w:val="00277314"/>
    <w:rsid w:val="0027745C"/>
    <w:rsid w:val="002774EB"/>
    <w:rsid w:val="002774ED"/>
    <w:rsid w:val="00277524"/>
    <w:rsid w:val="002776A1"/>
    <w:rsid w:val="002777B6"/>
    <w:rsid w:val="0027784A"/>
    <w:rsid w:val="00277891"/>
    <w:rsid w:val="00277AD2"/>
    <w:rsid w:val="00277B82"/>
    <w:rsid w:val="00277B97"/>
    <w:rsid w:val="00277CA7"/>
    <w:rsid w:val="00277CB9"/>
    <w:rsid w:val="00277CD2"/>
    <w:rsid w:val="00277E38"/>
    <w:rsid w:val="00277E9E"/>
    <w:rsid w:val="00277EC6"/>
    <w:rsid w:val="00277F77"/>
    <w:rsid w:val="0028002F"/>
    <w:rsid w:val="0028016E"/>
    <w:rsid w:val="00280221"/>
    <w:rsid w:val="00280443"/>
    <w:rsid w:val="00280474"/>
    <w:rsid w:val="002806FB"/>
    <w:rsid w:val="0028090B"/>
    <w:rsid w:val="00280918"/>
    <w:rsid w:val="002809A9"/>
    <w:rsid w:val="002809B5"/>
    <w:rsid w:val="00280ABD"/>
    <w:rsid w:val="00280AD5"/>
    <w:rsid w:val="00280CC3"/>
    <w:rsid w:val="00280D08"/>
    <w:rsid w:val="00280D9D"/>
    <w:rsid w:val="00280DDB"/>
    <w:rsid w:val="00280E13"/>
    <w:rsid w:val="00280E96"/>
    <w:rsid w:val="00281156"/>
    <w:rsid w:val="00281198"/>
    <w:rsid w:val="0028125B"/>
    <w:rsid w:val="002814F6"/>
    <w:rsid w:val="00281596"/>
    <w:rsid w:val="002815B5"/>
    <w:rsid w:val="00281656"/>
    <w:rsid w:val="002817BF"/>
    <w:rsid w:val="002817F4"/>
    <w:rsid w:val="00281888"/>
    <w:rsid w:val="002819A2"/>
    <w:rsid w:val="002819CF"/>
    <w:rsid w:val="00281A2E"/>
    <w:rsid w:val="00281B5C"/>
    <w:rsid w:val="00281C9A"/>
    <w:rsid w:val="00281C9D"/>
    <w:rsid w:val="00281D08"/>
    <w:rsid w:val="00281DE4"/>
    <w:rsid w:val="00281E57"/>
    <w:rsid w:val="00281F72"/>
    <w:rsid w:val="002823F9"/>
    <w:rsid w:val="002824A6"/>
    <w:rsid w:val="00282532"/>
    <w:rsid w:val="002825A4"/>
    <w:rsid w:val="002825CF"/>
    <w:rsid w:val="00282930"/>
    <w:rsid w:val="002829D9"/>
    <w:rsid w:val="00282BF8"/>
    <w:rsid w:val="00282CAF"/>
    <w:rsid w:val="00283019"/>
    <w:rsid w:val="002833AA"/>
    <w:rsid w:val="002833B6"/>
    <w:rsid w:val="002837D5"/>
    <w:rsid w:val="002838D2"/>
    <w:rsid w:val="002839D8"/>
    <w:rsid w:val="00283A19"/>
    <w:rsid w:val="00283A1E"/>
    <w:rsid w:val="00283A50"/>
    <w:rsid w:val="00283B29"/>
    <w:rsid w:val="00283C28"/>
    <w:rsid w:val="00283C4E"/>
    <w:rsid w:val="00283C5F"/>
    <w:rsid w:val="00283D3F"/>
    <w:rsid w:val="00283E1D"/>
    <w:rsid w:val="00283F19"/>
    <w:rsid w:val="00283F51"/>
    <w:rsid w:val="00283F63"/>
    <w:rsid w:val="00283FA7"/>
    <w:rsid w:val="00284003"/>
    <w:rsid w:val="00284081"/>
    <w:rsid w:val="002840A9"/>
    <w:rsid w:val="002840E8"/>
    <w:rsid w:val="002840EA"/>
    <w:rsid w:val="00284181"/>
    <w:rsid w:val="0028419D"/>
    <w:rsid w:val="002841F5"/>
    <w:rsid w:val="00284406"/>
    <w:rsid w:val="002845A5"/>
    <w:rsid w:val="002845CC"/>
    <w:rsid w:val="002846C3"/>
    <w:rsid w:val="00284A5E"/>
    <w:rsid w:val="00284AD6"/>
    <w:rsid w:val="00284ADC"/>
    <w:rsid w:val="00284B0B"/>
    <w:rsid w:val="00284B52"/>
    <w:rsid w:val="00284B6A"/>
    <w:rsid w:val="00284C30"/>
    <w:rsid w:val="00284D4C"/>
    <w:rsid w:val="00284DAF"/>
    <w:rsid w:val="00284DB8"/>
    <w:rsid w:val="00284DBE"/>
    <w:rsid w:val="00284EC6"/>
    <w:rsid w:val="0028516C"/>
    <w:rsid w:val="00285359"/>
    <w:rsid w:val="00285367"/>
    <w:rsid w:val="0028537D"/>
    <w:rsid w:val="002853AF"/>
    <w:rsid w:val="00285486"/>
    <w:rsid w:val="0028550B"/>
    <w:rsid w:val="0028554E"/>
    <w:rsid w:val="00285555"/>
    <w:rsid w:val="002855AF"/>
    <w:rsid w:val="002855D3"/>
    <w:rsid w:val="002855E0"/>
    <w:rsid w:val="00285706"/>
    <w:rsid w:val="0028570C"/>
    <w:rsid w:val="00285842"/>
    <w:rsid w:val="002858A7"/>
    <w:rsid w:val="002859CC"/>
    <w:rsid w:val="00285A7E"/>
    <w:rsid w:val="00285AE5"/>
    <w:rsid w:val="00285BAE"/>
    <w:rsid w:val="00285C3B"/>
    <w:rsid w:val="00285CCF"/>
    <w:rsid w:val="00285CF6"/>
    <w:rsid w:val="00285EB7"/>
    <w:rsid w:val="00285F82"/>
    <w:rsid w:val="00285FCA"/>
    <w:rsid w:val="00286135"/>
    <w:rsid w:val="002861B7"/>
    <w:rsid w:val="002863A3"/>
    <w:rsid w:val="0028642B"/>
    <w:rsid w:val="00286649"/>
    <w:rsid w:val="0028672F"/>
    <w:rsid w:val="00286760"/>
    <w:rsid w:val="0028681C"/>
    <w:rsid w:val="002868F1"/>
    <w:rsid w:val="0028692F"/>
    <w:rsid w:val="00286969"/>
    <w:rsid w:val="00286988"/>
    <w:rsid w:val="00286A93"/>
    <w:rsid w:val="00286AA7"/>
    <w:rsid w:val="00286BD4"/>
    <w:rsid w:val="00286BDC"/>
    <w:rsid w:val="00286C58"/>
    <w:rsid w:val="00286C5C"/>
    <w:rsid w:val="00286C9B"/>
    <w:rsid w:val="00286E35"/>
    <w:rsid w:val="00286E5C"/>
    <w:rsid w:val="00286E9D"/>
    <w:rsid w:val="00286EB4"/>
    <w:rsid w:val="00286F1D"/>
    <w:rsid w:val="00286F29"/>
    <w:rsid w:val="00286F93"/>
    <w:rsid w:val="00286FBA"/>
    <w:rsid w:val="0028703A"/>
    <w:rsid w:val="002871D7"/>
    <w:rsid w:val="002871E1"/>
    <w:rsid w:val="0028726A"/>
    <w:rsid w:val="002872BD"/>
    <w:rsid w:val="0028730A"/>
    <w:rsid w:val="00287337"/>
    <w:rsid w:val="00287476"/>
    <w:rsid w:val="00287594"/>
    <w:rsid w:val="002876BD"/>
    <w:rsid w:val="00287814"/>
    <w:rsid w:val="002878D7"/>
    <w:rsid w:val="002879A6"/>
    <w:rsid w:val="002879C8"/>
    <w:rsid w:val="00287AC2"/>
    <w:rsid w:val="00287B6A"/>
    <w:rsid w:val="00287D48"/>
    <w:rsid w:val="00287D71"/>
    <w:rsid w:val="00287FBD"/>
    <w:rsid w:val="00287FE6"/>
    <w:rsid w:val="002900E8"/>
    <w:rsid w:val="00290145"/>
    <w:rsid w:val="002901C4"/>
    <w:rsid w:val="0029023A"/>
    <w:rsid w:val="0029025D"/>
    <w:rsid w:val="002902E0"/>
    <w:rsid w:val="00290379"/>
    <w:rsid w:val="00290425"/>
    <w:rsid w:val="00290490"/>
    <w:rsid w:val="002904F0"/>
    <w:rsid w:val="00290575"/>
    <w:rsid w:val="00290725"/>
    <w:rsid w:val="00290749"/>
    <w:rsid w:val="00290854"/>
    <w:rsid w:val="00290866"/>
    <w:rsid w:val="00290882"/>
    <w:rsid w:val="00290971"/>
    <w:rsid w:val="00290A5F"/>
    <w:rsid w:val="00290B9B"/>
    <w:rsid w:val="00290BB1"/>
    <w:rsid w:val="00290CF8"/>
    <w:rsid w:val="00290DBC"/>
    <w:rsid w:val="00290E62"/>
    <w:rsid w:val="00290EFA"/>
    <w:rsid w:val="00291083"/>
    <w:rsid w:val="002911F4"/>
    <w:rsid w:val="0029121A"/>
    <w:rsid w:val="00291222"/>
    <w:rsid w:val="002912F7"/>
    <w:rsid w:val="002913BC"/>
    <w:rsid w:val="00291512"/>
    <w:rsid w:val="002915FE"/>
    <w:rsid w:val="00291647"/>
    <w:rsid w:val="00291873"/>
    <w:rsid w:val="002918F6"/>
    <w:rsid w:val="002919B6"/>
    <w:rsid w:val="00291A0C"/>
    <w:rsid w:val="00291A90"/>
    <w:rsid w:val="00291AD9"/>
    <w:rsid w:val="00291BCE"/>
    <w:rsid w:val="00291C66"/>
    <w:rsid w:val="00291DF3"/>
    <w:rsid w:val="00291E7C"/>
    <w:rsid w:val="00291EDF"/>
    <w:rsid w:val="00291EF4"/>
    <w:rsid w:val="00291FEE"/>
    <w:rsid w:val="002920D6"/>
    <w:rsid w:val="00292223"/>
    <w:rsid w:val="0029236F"/>
    <w:rsid w:val="00292473"/>
    <w:rsid w:val="0029256F"/>
    <w:rsid w:val="00292599"/>
    <w:rsid w:val="002925FD"/>
    <w:rsid w:val="0029262C"/>
    <w:rsid w:val="0029274C"/>
    <w:rsid w:val="002927B7"/>
    <w:rsid w:val="0029282B"/>
    <w:rsid w:val="002928E0"/>
    <w:rsid w:val="002928E1"/>
    <w:rsid w:val="00292A37"/>
    <w:rsid w:val="00292B02"/>
    <w:rsid w:val="00292BE0"/>
    <w:rsid w:val="00292C27"/>
    <w:rsid w:val="00292D34"/>
    <w:rsid w:val="00292EBC"/>
    <w:rsid w:val="00293000"/>
    <w:rsid w:val="002930BA"/>
    <w:rsid w:val="002930FC"/>
    <w:rsid w:val="00293156"/>
    <w:rsid w:val="0029319E"/>
    <w:rsid w:val="0029325B"/>
    <w:rsid w:val="00293271"/>
    <w:rsid w:val="002932FE"/>
    <w:rsid w:val="00293426"/>
    <w:rsid w:val="00293492"/>
    <w:rsid w:val="00293776"/>
    <w:rsid w:val="002937AD"/>
    <w:rsid w:val="002938A2"/>
    <w:rsid w:val="00293AA9"/>
    <w:rsid w:val="00293B2C"/>
    <w:rsid w:val="00293CE2"/>
    <w:rsid w:val="00293CFE"/>
    <w:rsid w:val="00293E2B"/>
    <w:rsid w:val="00293E38"/>
    <w:rsid w:val="00293EA9"/>
    <w:rsid w:val="0029409F"/>
    <w:rsid w:val="002940CB"/>
    <w:rsid w:val="002941AC"/>
    <w:rsid w:val="002941EF"/>
    <w:rsid w:val="00294233"/>
    <w:rsid w:val="00294240"/>
    <w:rsid w:val="00294270"/>
    <w:rsid w:val="002943C4"/>
    <w:rsid w:val="002944C4"/>
    <w:rsid w:val="002945AB"/>
    <w:rsid w:val="002945CD"/>
    <w:rsid w:val="002945FE"/>
    <w:rsid w:val="0029463A"/>
    <w:rsid w:val="00294730"/>
    <w:rsid w:val="00294789"/>
    <w:rsid w:val="002947D7"/>
    <w:rsid w:val="0029496A"/>
    <w:rsid w:val="0029499C"/>
    <w:rsid w:val="002949B7"/>
    <w:rsid w:val="00294A45"/>
    <w:rsid w:val="00294A4A"/>
    <w:rsid w:val="00294C64"/>
    <w:rsid w:val="00294C6E"/>
    <w:rsid w:val="00294E1B"/>
    <w:rsid w:val="00294FE3"/>
    <w:rsid w:val="00295022"/>
    <w:rsid w:val="00295047"/>
    <w:rsid w:val="00295059"/>
    <w:rsid w:val="002950CD"/>
    <w:rsid w:val="002951A6"/>
    <w:rsid w:val="00295270"/>
    <w:rsid w:val="00295294"/>
    <w:rsid w:val="002952B8"/>
    <w:rsid w:val="002952BB"/>
    <w:rsid w:val="00295447"/>
    <w:rsid w:val="002954CD"/>
    <w:rsid w:val="00295527"/>
    <w:rsid w:val="0029552E"/>
    <w:rsid w:val="00295560"/>
    <w:rsid w:val="00295591"/>
    <w:rsid w:val="002956A5"/>
    <w:rsid w:val="0029579B"/>
    <w:rsid w:val="0029579D"/>
    <w:rsid w:val="002959C4"/>
    <w:rsid w:val="00295B35"/>
    <w:rsid w:val="00295B9E"/>
    <w:rsid w:val="00295BA7"/>
    <w:rsid w:val="00295E34"/>
    <w:rsid w:val="00295E74"/>
    <w:rsid w:val="00295FCA"/>
    <w:rsid w:val="002960AD"/>
    <w:rsid w:val="0029631A"/>
    <w:rsid w:val="0029656A"/>
    <w:rsid w:val="002965B4"/>
    <w:rsid w:val="00296627"/>
    <w:rsid w:val="00296757"/>
    <w:rsid w:val="00296825"/>
    <w:rsid w:val="002969E2"/>
    <w:rsid w:val="00296AA0"/>
    <w:rsid w:val="00296D6B"/>
    <w:rsid w:val="00296DE9"/>
    <w:rsid w:val="00296E40"/>
    <w:rsid w:val="00296E55"/>
    <w:rsid w:val="00296E7C"/>
    <w:rsid w:val="00296F93"/>
    <w:rsid w:val="00296F9D"/>
    <w:rsid w:val="002970A2"/>
    <w:rsid w:val="002970B7"/>
    <w:rsid w:val="002970BD"/>
    <w:rsid w:val="00297227"/>
    <w:rsid w:val="00297264"/>
    <w:rsid w:val="00297490"/>
    <w:rsid w:val="00297548"/>
    <w:rsid w:val="00297549"/>
    <w:rsid w:val="00297571"/>
    <w:rsid w:val="00297584"/>
    <w:rsid w:val="0029761B"/>
    <w:rsid w:val="00297767"/>
    <w:rsid w:val="00297785"/>
    <w:rsid w:val="0029790E"/>
    <w:rsid w:val="00297957"/>
    <w:rsid w:val="00297BBC"/>
    <w:rsid w:val="00297E36"/>
    <w:rsid w:val="00297EF6"/>
    <w:rsid w:val="00297FEA"/>
    <w:rsid w:val="002A0039"/>
    <w:rsid w:val="002A0259"/>
    <w:rsid w:val="002A0269"/>
    <w:rsid w:val="002A02C0"/>
    <w:rsid w:val="002A040A"/>
    <w:rsid w:val="002A04DB"/>
    <w:rsid w:val="002A0508"/>
    <w:rsid w:val="002A055B"/>
    <w:rsid w:val="002A0692"/>
    <w:rsid w:val="002A0772"/>
    <w:rsid w:val="002A0888"/>
    <w:rsid w:val="002A0B8E"/>
    <w:rsid w:val="002A0BA7"/>
    <w:rsid w:val="002A0CD7"/>
    <w:rsid w:val="002A100F"/>
    <w:rsid w:val="002A10FC"/>
    <w:rsid w:val="002A115D"/>
    <w:rsid w:val="002A11A3"/>
    <w:rsid w:val="002A1379"/>
    <w:rsid w:val="002A1408"/>
    <w:rsid w:val="002A1424"/>
    <w:rsid w:val="002A148B"/>
    <w:rsid w:val="002A15E0"/>
    <w:rsid w:val="002A1907"/>
    <w:rsid w:val="002A1A6E"/>
    <w:rsid w:val="002A1C1F"/>
    <w:rsid w:val="002A1C54"/>
    <w:rsid w:val="002A1CF2"/>
    <w:rsid w:val="002A1DAC"/>
    <w:rsid w:val="002A1FDA"/>
    <w:rsid w:val="002A2149"/>
    <w:rsid w:val="002A22BB"/>
    <w:rsid w:val="002A247C"/>
    <w:rsid w:val="002A261C"/>
    <w:rsid w:val="002A2801"/>
    <w:rsid w:val="002A28D6"/>
    <w:rsid w:val="002A2A4C"/>
    <w:rsid w:val="002A2A7C"/>
    <w:rsid w:val="002A2BC4"/>
    <w:rsid w:val="002A2C71"/>
    <w:rsid w:val="002A2C93"/>
    <w:rsid w:val="002A2CD4"/>
    <w:rsid w:val="002A2EF3"/>
    <w:rsid w:val="002A2FBE"/>
    <w:rsid w:val="002A30B9"/>
    <w:rsid w:val="002A313A"/>
    <w:rsid w:val="002A315B"/>
    <w:rsid w:val="002A31F4"/>
    <w:rsid w:val="002A32B0"/>
    <w:rsid w:val="002A32FA"/>
    <w:rsid w:val="002A3377"/>
    <w:rsid w:val="002A33BF"/>
    <w:rsid w:val="002A3570"/>
    <w:rsid w:val="002A366B"/>
    <w:rsid w:val="002A36E3"/>
    <w:rsid w:val="002A3705"/>
    <w:rsid w:val="002A37ED"/>
    <w:rsid w:val="002A38BB"/>
    <w:rsid w:val="002A3944"/>
    <w:rsid w:val="002A3977"/>
    <w:rsid w:val="002A3996"/>
    <w:rsid w:val="002A3A4C"/>
    <w:rsid w:val="002A3AE0"/>
    <w:rsid w:val="002A3CE3"/>
    <w:rsid w:val="002A3D1E"/>
    <w:rsid w:val="002A3E5D"/>
    <w:rsid w:val="002A40C6"/>
    <w:rsid w:val="002A4108"/>
    <w:rsid w:val="002A41D5"/>
    <w:rsid w:val="002A4254"/>
    <w:rsid w:val="002A4504"/>
    <w:rsid w:val="002A4543"/>
    <w:rsid w:val="002A4597"/>
    <w:rsid w:val="002A4643"/>
    <w:rsid w:val="002A4736"/>
    <w:rsid w:val="002A478D"/>
    <w:rsid w:val="002A482F"/>
    <w:rsid w:val="002A48A4"/>
    <w:rsid w:val="002A4A56"/>
    <w:rsid w:val="002A4DA1"/>
    <w:rsid w:val="002A4DB9"/>
    <w:rsid w:val="002A4DDB"/>
    <w:rsid w:val="002A4E7F"/>
    <w:rsid w:val="002A4E9F"/>
    <w:rsid w:val="002A4F11"/>
    <w:rsid w:val="002A4FFE"/>
    <w:rsid w:val="002A52AA"/>
    <w:rsid w:val="002A53FA"/>
    <w:rsid w:val="002A540B"/>
    <w:rsid w:val="002A5460"/>
    <w:rsid w:val="002A5462"/>
    <w:rsid w:val="002A5499"/>
    <w:rsid w:val="002A55DA"/>
    <w:rsid w:val="002A58C8"/>
    <w:rsid w:val="002A5929"/>
    <w:rsid w:val="002A5A2C"/>
    <w:rsid w:val="002A5BC1"/>
    <w:rsid w:val="002A5C45"/>
    <w:rsid w:val="002A5C9B"/>
    <w:rsid w:val="002A5D18"/>
    <w:rsid w:val="002A5D96"/>
    <w:rsid w:val="002A5D9C"/>
    <w:rsid w:val="002A5E19"/>
    <w:rsid w:val="002A5E9F"/>
    <w:rsid w:val="002A5F4A"/>
    <w:rsid w:val="002A5FC2"/>
    <w:rsid w:val="002A6097"/>
    <w:rsid w:val="002A60E4"/>
    <w:rsid w:val="002A6186"/>
    <w:rsid w:val="002A6204"/>
    <w:rsid w:val="002A62D4"/>
    <w:rsid w:val="002A6403"/>
    <w:rsid w:val="002A6405"/>
    <w:rsid w:val="002A64D0"/>
    <w:rsid w:val="002A6557"/>
    <w:rsid w:val="002A65A0"/>
    <w:rsid w:val="002A66D7"/>
    <w:rsid w:val="002A67E7"/>
    <w:rsid w:val="002A6805"/>
    <w:rsid w:val="002A695D"/>
    <w:rsid w:val="002A6A3E"/>
    <w:rsid w:val="002A6ABD"/>
    <w:rsid w:val="002A6AF0"/>
    <w:rsid w:val="002A6C35"/>
    <w:rsid w:val="002A6E22"/>
    <w:rsid w:val="002A6E51"/>
    <w:rsid w:val="002A6F65"/>
    <w:rsid w:val="002A7036"/>
    <w:rsid w:val="002A717E"/>
    <w:rsid w:val="002A73C4"/>
    <w:rsid w:val="002A74D4"/>
    <w:rsid w:val="002A74E1"/>
    <w:rsid w:val="002A74F9"/>
    <w:rsid w:val="002A764C"/>
    <w:rsid w:val="002A76B6"/>
    <w:rsid w:val="002A789C"/>
    <w:rsid w:val="002A789D"/>
    <w:rsid w:val="002A78BD"/>
    <w:rsid w:val="002A7907"/>
    <w:rsid w:val="002A79C9"/>
    <w:rsid w:val="002A7A6E"/>
    <w:rsid w:val="002A7AB2"/>
    <w:rsid w:val="002A7B7C"/>
    <w:rsid w:val="002A7BB5"/>
    <w:rsid w:val="002A7D10"/>
    <w:rsid w:val="002A7D1A"/>
    <w:rsid w:val="002B013E"/>
    <w:rsid w:val="002B0167"/>
    <w:rsid w:val="002B0283"/>
    <w:rsid w:val="002B033D"/>
    <w:rsid w:val="002B0446"/>
    <w:rsid w:val="002B060D"/>
    <w:rsid w:val="002B061D"/>
    <w:rsid w:val="002B090C"/>
    <w:rsid w:val="002B0945"/>
    <w:rsid w:val="002B0A84"/>
    <w:rsid w:val="002B0B70"/>
    <w:rsid w:val="002B0D50"/>
    <w:rsid w:val="002B0DB5"/>
    <w:rsid w:val="002B0DD4"/>
    <w:rsid w:val="002B0E8E"/>
    <w:rsid w:val="002B10CE"/>
    <w:rsid w:val="002B1272"/>
    <w:rsid w:val="002B12C5"/>
    <w:rsid w:val="002B12E2"/>
    <w:rsid w:val="002B14A7"/>
    <w:rsid w:val="002B14E3"/>
    <w:rsid w:val="002B151E"/>
    <w:rsid w:val="002B15F5"/>
    <w:rsid w:val="002B1671"/>
    <w:rsid w:val="002B16B5"/>
    <w:rsid w:val="002B1761"/>
    <w:rsid w:val="002B19E7"/>
    <w:rsid w:val="002B19F7"/>
    <w:rsid w:val="002B1A95"/>
    <w:rsid w:val="002B1CE6"/>
    <w:rsid w:val="002B1D39"/>
    <w:rsid w:val="002B1DB1"/>
    <w:rsid w:val="002B1E16"/>
    <w:rsid w:val="002B1EA1"/>
    <w:rsid w:val="002B1F37"/>
    <w:rsid w:val="002B217A"/>
    <w:rsid w:val="002B220F"/>
    <w:rsid w:val="002B23BB"/>
    <w:rsid w:val="002B23F6"/>
    <w:rsid w:val="002B241C"/>
    <w:rsid w:val="002B244F"/>
    <w:rsid w:val="002B2481"/>
    <w:rsid w:val="002B253E"/>
    <w:rsid w:val="002B25A6"/>
    <w:rsid w:val="002B271A"/>
    <w:rsid w:val="002B272B"/>
    <w:rsid w:val="002B2852"/>
    <w:rsid w:val="002B287B"/>
    <w:rsid w:val="002B28B1"/>
    <w:rsid w:val="002B2908"/>
    <w:rsid w:val="002B29F8"/>
    <w:rsid w:val="002B2A73"/>
    <w:rsid w:val="002B2AA6"/>
    <w:rsid w:val="002B2B54"/>
    <w:rsid w:val="002B2C43"/>
    <w:rsid w:val="002B2CC2"/>
    <w:rsid w:val="002B2E10"/>
    <w:rsid w:val="002B2E8B"/>
    <w:rsid w:val="002B2F39"/>
    <w:rsid w:val="002B30C7"/>
    <w:rsid w:val="002B318A"/>
    <w:rsid w:val="002B324A"/>
    <w:rsid w:val="002B3277"/>
    <w:rsid w:val="002B3597"/>
    <w:rsid w:val="002B36FD"/>
    <w:rsid w:val="002B3710"/>
    <w:rsid w:val="002B37D0"/>
    <w:rsid w:val="002B3947"/>
    <w:rsid w:val="002B3983"/>
    <w:rsid w:val="002B3A05"/>
    <w:rsid w:val="002B3A2A"/>
    <w:rsid w:val="002B3A85"/>
    <w:rsid w:val="002B3B68"/>
    <w:rsid w:val="002B3B6A"/>
    <w:rsid w:val="002B3CE1"/>
    <w:rsid w:val="002B3CE6"/>
    <w:rsid w:val="002B3D26"/>
    <w:rsid w:val="002B3E7B"/>
    <w:rsid w:val="002B3F63"/>
    <w:rsid w:val="002B4028"/>
    <w:rsid w:val="002B40EA"/>
    <w:rsid w:val="002B4156"/>
    <w:rsid w:val="002B4162"/>
    <w:rsid w:val="002B41F7"/>
    <w:rsid w:val="002B4310"/>
    <w:rsid w:val="002B4410"/>
    <w:rsid w:val="002B4450"/>
    <w:rsid w:val="002B468F"/>
    <w:rsid w:val="002B47B8"/>
    <w:rsid w:val="002B492C"/>
    <w:rsid w:val="002B4972"/>
    <w:rsid w:val="002B4987"/>
    <w:rsid w:val="002B4B01"/>
    <w:rsid w:val="002B4B47"/>
    <w:rsid w:val="002B4B69"/>
    <w:rsid w:val="002B4C1A"/>
    <w:rsid w:val="002B4C3D"/>
    <w:rsid w:val="002B4D11"/>
    <w:rsid w:val="002B521F"/>
    <w:rsid w:val="002B5250"/>
    <w:rsid w:val="002B5303"/>
    <w:rsid w:val="002B537D"/>
    <w:rsid w:val="002B5380"/>
    <w:rsid w:val="002B53E1"/>
    <w:rsid w:val="002B54C4"/>
    <w:rsid w:val="002B54F1"/>
    <w:rsid w:val="002B5546"/>
    <w:rsid w:val="002B5593"/>
    <w:rsid w:val="002B571E"/>
    <w:rsid w:val="002B592F"/>
    <w:rsid w:val="002B5B0C"/>
    <w:rsid w:val="002B5B24"/>
    <w:rsid w:val="002B5B72"/>
    <w:rsid w:val="002B5C35"/>
    <w:rsid w:val="002B5C92"/>
    <w:rsid w:val="002B5D6A"/>
    <w:rsid w:val="002B5DD3"/>
    <w:rsid w:val="002B5E12"/>
    <w:rsid w:val="002B5E58"/>
    <w:rsid w:val="002B5F0F"/>
    <w:rsid w:val="002B5FC4"/>
    <w:rsid w:val="002B606E"/>
    <w:rsid w:val="002B619C"/>
    <w:rsid w:val="002B61CC"/>
    <w:rsid w:val="002B6340"/>
    <w:rsid w:val="002B635D"/>
    <w:rsid w:val="002B6424"/>
    <w:rsid w:val="002B65A9"/>
    <w:rsid w:val="002B65C5"/>
    <w:rsid w:val="002B67CD"/>
    <w:rsid w:val="002B6A7E"/>
    <w:rsid w:val="002B6C3A"/>
    <w:rsid w:val="002B6C9A"/>
    <w:rsid w:val="002B6CA9"/>
    <w:rsid w:val="002B6DD2"/>
    <w:rsid w:val="002B6E91"/>
    <w:rsid w:val="002B6F2E"/>
    <w:rsid w:val="002B7049"/>
    <w:rsid w:val="002B70E7"/>
    <w:rsid w:val="002B7361"/>
    <w:rsid w:val="002B744D"/>
    <w:rsid w:val="002B75B5"/>
    <w:rsid w:val="002B75D3"/>
    <w:rsid w:val="002B77A8"/>
    <w:rsid w:val="002B787F"/>
    <w:rsid w:val="002B78B5"/>
    <w:rsid w:val="002B78C8"/>
    <w:rsid w:val="002B7C27"/>
    <w:rsid w:val="002B7DA5"/>
    <w:rsid w:val="002B7DCB"/>
    <w:rsid w:val="002B7E04"/>
    <w:rsid w:val="002B7EA0"/>
    <w:rsid w:val="002B7FC0"/>
    <w:rsid w:val="002C0039"/>
    <w:rsid w:val="002C0047"/>
    <w:rsid w:val="002C0076"/>
    <w:rsid w:val="002C00CE"/>
    <w:rsid w:val="002C03B9"/>
    <w:rsid w:val="002C03DB"/>
    <w:rsid w:val="002C0565"/>
    <w:rsid w:val="002C0582"/>
    <w:rsid w:val="002C05A9"/>
    <w:rsid w:val="002C062B"/>
    <w:rsid w:val="002C0703"/>
    <w:rsid w:val="002C0746"/>
    <w:rsid w:val="002C07C2"/>
    <w:rsid w:val="002C07CF"/>
    <w:rsid w:val="002C0806"/>
    <w:rsid w:val="002C0809"/>
    <w:rsid w:val="002C090A"/>
    <w:rsid w:val="002C091B"/>
    <w:rsid w:val="002C0937"/>
    <w:rsid w:val="002C09A0"/>
    <w:rsid w:val="002C09CF"/>
    <w:rsid w:val="002C09E9"/>
    <w:rsid w:val="002C0B5D"/>
    <w:rsid w:val="002C0B71"/>
    <w:rsid w:val="002C0C4C"/>
    <w:rsid w:val="002C0C87"/>
    <w:rsid w:val="002C0D40"/>
    <w:rsid w:val="002C0DF4"/>
    <w:rsid w:val="002C0E1B"/>
    <w:rsid w:val="002C0E91"/>
    <w:rsid w:val="002C0F5F"/>
    <w:rsid w:val="002C100F"/>
    <w:rsid w:val="002C1169"/>
    <w:rsid w:val="002C1228"/>
    <w:rsid w:val="002C1266"/>
    <w:rsid w:val="002C1401"/>
    <w:rsid w:val="002C1411"/>
    <w:rsid w:val="002C1594"/>
    <w:rsid w:val="002C15E6"/>
    <w:rsid w:val="002C1633"/>
    <w:rsid w:val="002C16D6"/>
    <w:rsid w:val="002C18CA"/>
    <w:rsid w:val="002C1A40"/>
    <w:rsid w:val="002C1A73"/>
    <w:rsid w:val="002C1C22"/>
    <w:rsid w:val="002C1CC4"/>
    <w:rsid w:val="002C1D34"/>
    <w:rsid w:val="002C1E13"/>
    <w:rsid w:val="002C1FB0"/>
    <w:rsid w:val="002C2088"/>
    <w:rsid w:val="002C20F2"/>
    <w:rsid w:val="002C2188"/>
    <w:rsid w:val="002C21AC"/>
    <w:rsid w:val="002C221A"/>
    <w:rsid w:val="002C2221"/>
    <w:rsid w:val="002C2256"/>
    <w:rsid w:val="002C236E"/>
    <w:rsid w:val="002C24B0"/>
    <w:rsid w:val="002C258A"/>
    <w:rsid w:val="002C25A3"/>
    <w:rsid w:val="002C272E"/>
    <w:rsid w:val="002C27D5"/>
    <w:rsid w:val="002C286C"/>
    <w:rsid w:val="002C2910"/>
    <w:rsid w:val="002C2927"/>
    <w:rsid w:val="002C295C"/>
    <w:rsid w:val="002C2ABE"/>
    <w:rsid w:val="002C2C0A"/>
    <w:rsid w:val="002C2C75"/>
    <w:rsid w:val="002C2C8A"/>
    <w:rsid w:val="002C2CB4"/>
    <w:rsid w:val="002C2E22"/>
    <w:rsid w:val="002C2E3B"/>
    <w:rsid w:val="002C2EA0"/>
    <w:rsid w:val="002C2EC6"/>
    <w:rsid w:val="002C2EC9"/>
    <w:rsid w:val="002C2EF6"/>
    <w:rsid w:val="002C2FA2"/>
    <w:rsid w:val="002C313C"/>
    <w:rsid w:val="002C3302"/>
    <w:rsid w:val="002C3332"/>
    <w:rsid w:val="002C33B0"/>
    <w:rsid w:val="002C350B"/>
    <w:rsid w:val="002C351C"/>
    <w:rsid w:val="002C3523"/>
    <w:rsid w:val="002C3537"/>
    <w:rsid w:val="002C35DB"/>
    <w:rsid w:val="002C3608"/>
    <w:rsid w:val="002C36D5"/>
    <w:rsid w:val="002C3776"/>
    <w:rsid w:val="002C387E"/>
    <w:rsid w:val="002C3933"/>
    <w:rsid w:val="002C3AEA"/>
    <w:rsid w:val="002C3B30"/>
    <w:rsid w:val="002C3C64"/>
    <w:rsid w:val="002C3C96"/>
    <w:rsid w:val="002C3EEA"/>
    <w:rsid w:val="002C4091"/>
    <w:rsid w:val="002C4102"/>
    <w:rsid w:val="002C4138"/>
    <w:rsid w:val="002C41A9"/>
    <w:rsid w:val="002C41C2"/>
    <w:rsid w:val="002C42B0"/>
    <w:rsid w:val="002C42EF"/>
    <w:rsid w:val="002C436E"/>
    <w:rsid w:val="002C43E8"/>
    <w:rsid w:val="002C4470"/>
    <w:rsid w:val="002C4548"/>
    <w:rsid w:val="002C4820"/>
    <w:rsid w:val="002C4A13"/>
    <w:rsid w:val="002C4AD5"/>
    <w:rsid w:val="002C4AFE"/>
    <w:rsid w:val="002C4B1D"/>
    <w:rsid w:val="002C4B63"/>
    <w:rsid w:val="002C4C4F"/>
    <w:rsid w:val="002C4DE0"/>
    <w:rsid w:val="002C4E4F"/>
    <w:rsid w:val="002C4EAF"/>
    <w:rsid w:val="002C4F5D"/>
    <w:rsid w:val="002C50A1"/>
    <w:rsid w:val="002C511E"/>
    <w:rsid w:val="002C5223"/>
    <w:rsid w:val="002C5243"/>
    <w:rsid w:val="002C5293"/>
    <w:rsid w:val="002C53A4"/>
    <w:rsid w:val="002C5560"/>
    <w:rsid w:val="002C559A"/>
    <w:rsid w:val="002C579B"/>
    <w:rsid w:val="002C580D"/>
    <w:rsid w:val="002C58E7"/>
    <w:rsid w:val="002C5978"/>
    <w:rsid w:val="002C5BA9"/>
    <w:rsid w:val="002C5C23"/>
    <w:rsid w:val="002C5E00"/>
    <w:rsid w:val="002C5E93"/>
    <w:rsid w:val="002C61FC"/>
    <w:rsid w:val="002C6226"/>
    <w:rsid w:val="002C6289"/>
    <w:rsid w:val="002C6395"/>
    <w:rsid w:val="002C64FA"/>
    <w:rsid w:val="002C6518"/>
    <w:rsid w:val="002C656B"/>
    <w:rsid w:val="002C65CE"/>
    <w:rsid w:val="002C660B"/>
    <w:rsid w:val="002C6677"/>
    <w:rsid w:val="002C667A"/>
    <w:rsid w:val="002C6733"/>
    <w:rsid w:val="002C686C"/>
    <w:rsid w:val="002C68D8"/>
    <w:rsid w:val="002C6941"/>
    <w:rsid w:val="002C6950"/>
    <w:rsid w:val="002C6A0E"/>
    <w:rsid w:val="002C6A52"/>
    <w:rsid w:val="002C6CD0"/>
    <w:rsid w:val="002C6CF2"/>
    <w:rsid w:val="002C6D35"/>
    <w:rsid w:val="002C6E1D"/>
    <w:rsid w:val="002C6F06"/>
    <w:rsid w:val="002C6F67"/>
    <w:rsid w:val="002C6F79"/>
    <w:rsid w:val="002C714C"/>
    <w:rsid w:val="002C734F"/>
    <w:rsid w:val="002C73EB"/>
    <w:rsid w:val="002C7540"/>
    <w:rsid w:val="002C7544"/>
    <w:rsid w:val="002C75DC"/>
    <w:rsid w:val="002C767F"/>
    <w:rsid w:val="002C7737"/>
    <w:rsid w:val="002C773C"/>
    <w:rsid w:val="002C786C"/>
    <w:rsid w:val="002C793D"/>
    <w:rsid w:val="002C7D9A"/>
    <w:rsid w:val="002C7FE1"/>
    <w:rsid w:val="002D0035"/>
    <w:rsid w:val="002D0070"/>
    <w:rsid w:val="002D0217"/>
    <w:rsid w:val="002D042F"/>
    <w:rsid w:val="002D04F1"/>
    <w:rsid w:val="002D0609"/>
    <w:rsid w:val="002D0736"/>
    <w:rsid w:val="002D077A"/>
    <w:rsid w:val="002D07F9"/>
    <w:rsid w:val="002D0904"/>
    <w:rsid w:val="002D098B"/>
    <w:rsid w:val="002D09A7"/>
    <w:rsid w:val="002D0AC9"/>
    <w:rsid w:val="002D0BC6"/>
    <w:rsid w:val="002D0C11"/>
    <w:rsid w:val="002D0C52"/>
    <w:rsid w:val="002D0CAA"/>
    <w:rsid w:val="002D0F4A"/>
    <w:rsid w:val="002D11C3"/>
    <w:rsid w:val="002D124E"/>
    <w:rsid w:val="002D130B"/>
    <w:rsid w:val="002D13F2"/>
    <w:rsid w:val="002D1483"/>
    <w:rsid w:val="002D1654"/>
    <w:rsid w:val="002D172C"/>
    <w:rsid w:val="002D1759"/>
    <w:rsid w:val="002D188A"/>
    <w:rsid w:val="002D1AF5"/>
    <w:rsid w:val="002D1B29"/>
    <w:rsid w:val="002D1B46"/>
    <w:rsid w:val="002D1C98"/>
    <w:rsid w:val="002D1CB6"/>
    <w:rsid w:val="002D1CFE"/>
    <w:rsid w:val="002D1ED3"/>
    <w:rsid w:val="002D1F20"/>
    <w:rsid w:val="002D1FD8"/>
    <w:rsid w:val="002D2059"/>
    <w:rsid w:val="002D209E"/>
    <w:rsid w:val="002D2182"/>
    <w:rsid w:val="002D21EA"/>
    <w:rsid w:val="002D2221"/>
    <w:rsid w:val="002D2298"/>
    <w:rsid w:val="002D22EA"/>
    <w:rsid w:val="002D237A"/>
    <w:rsid w:val="002D239D"/>
    <w:rsid w:val="002D23E2"/>
    <w:rsid w:val="002D23E6"/>
    <w:rsid w:val="002D2442"/>
    <w:rsid w:val="002D24AC"/>
    <w:rsid w:val="002D26FC"/>
    <w:rsid w:val="002D287B"/>
    <w:rsid w:val="002D29EE"/>
    <w:rsid w:val="002D2A04"/>
    <w:rsid w:val="002D2A98"/>
    <w:rsid w:val="002D2C22"/>
    <w:rsid w:val="002D2DBB"/>
    <w:rsid w:val="002D2E5E"/>
    <w:rsid w:val="002D2ED8"/>
    <w:rsid w:val="002D2FA9"/>
    <w:rsid w:val="002D2FD7"/>
    <w:rsid w:val="002D2FEC"/>
    <w:rsid w:val="002D30BE"/>
    <w:rsid w:val="002D30DC"/>
    <w:rsid w:val="002D3100"/>
    <w:rsid w:val="002D312B"/>
    <w:rsid w:val="002D313B"/>
    <w:rsid w:val="002D3177"/>
    <w:rsid w:val="002D3191"/>
    <w:rsid w:val="002D31D7"/>
    <w:rsid w:val="002D3295"/>
    <w:rsid w:val="002D33B8"/>
    <w:rsid w:val="002D360F"/>
    <w:rsid w:val="002D363E"/>
    <w:rsid w:val="002D37D7"/>
    <w:rsid w:val="002D3820"/>
    <w:rsid w:val="002D38BD"/>
    <w:rsid w:val="002D39AA"/>
    <w:rsid w:val="002D39F6"/>
    <w:rsid w:val="002D3A87"/>
    <w:rsid w:val="002D3B5C"/>
    <w:rsid w:val="002D3BC3"/>
    <w:rsid w:val="002D3C8E"/>
    <w:rsid w:val="002D3CC1"/>
    <w:rsid w:val="002D3D30"/>
    <w:rsid w:val="002D3E9F"/>
    <w:rsid w:val="002D3EC4"/>
    <w:rsid w:val="002D3FC2"/>
    <w:rsid w:val="002D4245"/>
    <w:rsid w:val="002D42F7"/>
    <w:rsid w:val="002D444C"/>
    <w:rsid w:val="002D45A4"/>
    <w:rsid w:val="002D45B0"/>
    <w:rsid w:val="002D471A"/>
    <w:rsid w:val="002D48D8"/>
    <w:rsid w:val="002D49EA"/>
    <w:rsid w:val="002D4A2B"/>
    <w:rsid w:val="002D4A4A"/>
    <w:rsid w:val="002D4BE4"/>
    <w:rsid w:val="002D4CE0"/>
    <w:rsid w:val="002D4DDA"/>
    <w:rsid w:val="002D4DEC"/>
    <w:rsid w:val="002D4FFD"/>
    <w:rsid w:val="002D51E9"/>
    <w:rsid w:val="002D522A"/>
    <w:rsid w:val="002D5251"/>
    <w:rsid w:val="002D52C5"/>
    <w:rsid w:val="002D53A3"/>
    <w:rsid w:val="002D54D9"/>
    <w:rsid w:val="002D54DA"/>
    <w:rsid w:val="002D54EA"/>
    <w:rsid w:val="002D55E2"/>
    <w:rsid w:val="002D56A1"/>
    <w:rsid w:val="002D56F8"/>
    <w:rsid w:val="002D598A"/>
    <w:rsid w:val="002D5C54"/>
    <w:rsid w:val="002D5CA1"/>
    <w:rsid w:val="002D5D5C"/>
    <w:rsid w:val="002D5D9A"/>
    <w:rsid w:val="002D5E76"/>
    <w:rsid w:val="002D5E88"/>
    <w:rsid w:val="002D609B"/>
    <w:rsid w:val="002D614C"/>
    <w:rsid w:val="002D61CB"/>
    <w:rsid w:val="002D643B"/>
    <w:rsid w:val="002D652A"/>
    <w:rsid w:val="002D653D"/>
    <w:rsid w:val="002D685D"/>
    <w:rsid w:val="002D689A"/>
    <w:rsid w:val="002D6947"/>
    <w:rsid w:val="002D695E"/>
    <w:rsid w:val="002D6AC2"/>
    <w:rsid w:val="002D6B5C"/>
    <w:rsid w:val="002D6C6B"/>
    <w:rsid w:val="002D6EB9"/>
    <w:rsid w:val="002D6F95"/>
    <w:rsid w:val="002D6FBD"/>
    <w:rsid w:val="002D7102"/>
    <w:rsid w:val="002D7119"/>
    <w:rsid w:val="002D7213"/>
    <w:rsid w:val="002D7350"/>
    <w:rsid w:val="002D740A"/>
    <w:rsid w:val="002D75AA"/>
    <w:rsid w:val="002D76EF"/>
    <w:rsid w:val="002D7768"/>
    <w:rsid w:val="002D7784"/>
    <w:rsid w:val="002D7809"/>
    <w:rsid w:val="002D7835"/>
    <w:rsid w:val="002D7903"/>
    <w:rsid w:val="002D7A98"/>
    <w:rsid w:val="002D7ABD"/>
    <w:rsid w:val="002D7CD2"/>
    <w:rsid w:val="002D7CFD"/>
    <w:rsid w:val="002D7D5E"/>
    <w:rsid w:val="002D7D7C"/>
    <w:rsid w:val="002D7DB5"/>
    <w:rsid w:val="002D7E03"/>
    <w:rsid w:val="002D7F18"/>
    <w:rsid w:val="002D7F70"/>
    <w:rsid w:val="002D7FF0"/>
    <w:rsid w:val="002E0012"/>
    <w:rsid w:val="002E0049"/>
    <w:rsid w:val="002E0103"/>
    <w:rsid w:val="002E0226"/>
    <w:rsid w:val="002E0239"/>
    <w:rsid w:val="002E02FB"/>
    <w:rsid w:val="002E0571"/>
    <w:rsid w:val="002E05FF"/>
    <w:rsid w:val="002E062E"/>
    <w:rsid w:val="002E0651"/>
    <w:rsid w:val="002E0707"/>
    <w:rsid w:val="002E081A"/>
    <w:rsid w:val="002E0830"/>
    <w:rsid w:val="002E084D"/>
    <w:rsid w:val="002E0897"/>
    <w:rsid w:val="002E0A04"/>
    <w:rsid w:val="002E0A39"/>
    <w:rsid w:val="002E0AB9"/>
    <w:rsid w:val="002E0AE0"/>
    <w:rsid w:val="002E0C6C"/>
    <w:rsid w:val="002E0C75"/>
    <w:rsid w:val="002E0CA2"/>
    <w:rsid w:val="002E0D2E"/>
    <w:rsid w:val="002E0D7B"/>
    <w:rsid w:val="002E0E16"/>
    <w:rsid w:val="002E0E4B"/>
    <w:rsid w:val="002E11C9"/>
    <w:rsid w:val="002E142D"/>
    <w:rsid w:val="002E1475"/>
    <w:rsid w:val="002E1634"/>
    <w:rsid w:val="002E1692"/>
    <w:rsid w:val="002E184B"/>
    <w:rsid w:val="002E18CD"/>
    <w:rsid w:val="002E1B31"/>
    <w:rsid w:val="002E1BF1"/>
    <w:rsid w:val="002E1E02"/>
    <w:rsid w:val="002E1E15"/>
    <w:rsid w:val="002E1E85"/>
    <w:rsid w:val="002E1EB9"/>
    <w:rsid w:val="002E1EDB"/>
    <w:rsid w:val="002E1F35"/>
    <w:rsid w:val="002E1FA8"/>
    <w:rsid w:val="002E200F"/>
    <w:rsid w:val="002E2076"/>
    <w:rsid w:val="002E20A8"/>
    <w:rsid w:val="002E20E2"/>
    <w:rsid w:val="002E21C3"/>
    <w:rsid w:val="002E260C"/>
    <w:rsid w:val="002E261E"/>
    <w:rsid w:val="002E2797"/>
    <w:rsid w:val="002E29DF"/>
    <w:rsid w:val="002E2A6B"/>
    <w:rsid w:val="002E2B55"/>
    <w:rsid w:val="002E2B5C"/>
    <w:rsid w:val="002E2B73"/>
    <w:rsid w:val="002E2B8F"/>
    <w:rsid w:val="002E2B94"/>
    <w:rsid w:val="002E2C09"/>
    <w:rsid w:val="002E2CBF"/>
    <w:rsid w:val="002E2CF1"/>
    <w:rsid w:val="002E2D5A"/>
    <w:rsid w:val="002E2E79"/>
    <w:rsid w:val="002E2EE7"/>
    <w:rsid w:val="002E3002"/>
    <w:rsid w:val="002E31CD"/>
    <w:rsid w:val="002E325C"/>
    <w:rsid w:val="002E345A"/>
    <w:rsid w:val="002E34F1"/>
    <w:rsid w:val="002E3503"/>
    <w:rsid w:val="002E3575"/>
    <w:rsid w:val="002E35AD"/>
    <w:rsid w:val="002E3640"/>
    <w:rsid w:val="002E3662"/>
    <w:rsid w:val="002E36B1"/>
    <w:rsid w:val="002E3712"/>
    <w:rsid w:val="002E37DF"/>
    <w:rsid w:val="002E38A0"/>
    <w:rsid w:val="002E3933"/>
    <w:rsid w:val="002E393F"/>
    <w:rsid w:val="002E39D4"/>
    <w:rsid w:val="002E3A18"/>
    <w:rsid w:val="002E3A1A"/>
    <w:rsid w:val="002E3A5C"/>
    <w:rsid w:val="002E3ABB"/>
    <w:rsid w:val="002E3B6E"/>
    <w:rsid w:val="002E3E63"/>
    <w:rsid w:val="002E3F16"/>
    <w:rsid w:val="002E416A"/>
    <w:rsid w:val="002E429B"/>
    <w:rsid w:val="002E43C4"/>
    <w:rsid w:val="002E44C7"/>
    <w:rsid w:val="002E45F2"/>
    <w:rsid w:val="002E468D"/>
    <w:rsid w:val="002E46C4"/>
    <w:rsid w:val="002E4860"/>
    <w:rsid w:val="002E48F1"/>
    <w:rsid w:val="002E4936"/>
    <w:rsid w:val="002E4A81"/>
    <w:rsid w:val="002E4B43"/>
    <w:rsid w:val="002E4BEE"/>
    <w:rsid w:val="002E4D04"/>
    <w:rsid w:val="002E4D45"/>
    <w:rsid w:val="002E4DAB"/>
    <w:rsid w:val="002E4DAD"/>
    <w:rsid w:val="002E4E8C"/>
    <w:rsid w:val="002E4EE3"/>
    <w:rsid w:val="002E4EF8"/>
    <w:rsid w:val="002E4F5C"/>
    <w:rsid w:val="002E50E9"/>
    <w:rsid w:val="002E5259"/>
    <w:rsid w:val="002E5320"/>
    <w:rsid w:val="002E542C"/>
    <w:rsid w:val="002E545A"/>
    <w:rsid w:val="002E566B"/>
    <w:rsid w:val="002E57FA"/>
    <w:rsid w:val="002E5803"/>
    <w:rsid w:val="002E5818"/>
    <w:rsid w:val="002E5A07"/>
    <w:rsid w:val="002E5B32"/>
    <w:rsid w:val="002E5B48"/>
    <w:rsid w:val="002E5CE4"/>
    <w:rsid w:val="002E5DF2"/>
    <w:rsid w:val="002E5FB5"/>
    <w:rsid w:val="002E5FD6"/>
    <w:rsid w:val="002E611E"/>
    <w:rsid w:val="002E6141"/>
    <w:rsid w:val="002E6189"/>
    <w:rsid w:val="002E623F"/>
    <w:rsid w:val="002E629C"/>
    <w:rsid w:val="002E635E"/>
    <w:rsid w:val="002E6384"/>
    <w:rsid w:val="002E63AC"/>
    <w:rsid w:val="002E646A"/>
    <w:rsid w:val="002E654B"/>
    <w:rsid w:val="002E6585"/>
    <w:rsid w:val="002E6608"/>
    <w:rsid w:val="002E6652"/>
    <w:rsid w:val="002E67DE"/>
    <w:rsid w:val="002E6811"/>
    <w:rsid w:val="002E6849"/>
    <w:rsid w:val="002E68A4"/>
    <w:rsid w:val="002E6924"/>
    <w:rsid w:val="002E699A"/>
    <w:rsid w:val="002E6A61"/>
    <w:rsid w:val="002E6ADC"/>
    <w:rsid w:val="002E6B1B"/>
    <w:rsid w:val="002E6D08"/>
    <w:rsid w:val="002E6D36"/>
    <w:rsid w:val="002E6D7A"/>
    <w:rsid w:val="002E6E26"/>
    <w:rsid w:val="002E6EA0"/>
    <w:rsid w:val="002E6ED0"/>
    <w:rsid w:val="002E71A2"/>
    <w:rsid w:val="002E71AB"/>
    <w:rsid w:val="002E72B1"/>
    <w:rsid w:val="002E756A"/>
    <w:rsid w:val="002E75F3"/>
    <w:rsid w:val="002E7756"/>
    <w:rsid w:val="002E7794"/>
    <w:rsid w:val="002E7856"/>
    <w:rsid w:val="002E7A9A"/>
    <w:rsid w:val="002E7AF7"/>
    <w:rsid w:val="002E7B13"/>
    <w:rsid w:val="002E7BBD"/>
    <w:rsid w:val="002E7C77"/>
    <w:rsid w:val="002E7E40"/>
    <w:rsid w:val="002E7E5A"/>
    <w:rsid w:val="002E7E8F"/>
    <w:rsid w:val="002E7E90"/>
    <w:rsid w:val="002E7E97"/>
    <w:rsid w:val="002F0089"/>
    <w:rsid w:val="002F0117"/>
    <w:rsid w:val="002F013D"/>
    <w:rsid w:val="002F022F"/>
    <w:rsid w:val="002F02A5"/>
    <w:rsid w:val="002F0457"/>
    <w:rsid w:val="002F0560"/>
    <w:rsid w:val="002F0574"/>
    <w:rsid w:val="002F0663"/>
    <w:rsid w:val="002F0715"/>
    <w:rsid w:val="002F0885"/>
    <w:rsid w:val="002F0959"/>
    <w:rsid w:val="002F09D4"/>
    <w:rsid w:val="002F0A5A"/>
    <w:rsid w:val="002F0AD0"/>
    <w:rsid w:val="002F0B5F"/>
    <w:rsid w:val="002F0B80"/>
    <w:rsid w:val="002F0D6F"/>
    <w:rsid w:val="002F0DB2"/>
    <w:rsid w:val="002F0E66"/>
    <w:rsid w:val="002F0EE6"/>
    <w:rsid w:val="002F1015"/>
    <w:rsid w:val="002F1079"/>
    <w:rsid w:val="002F114A"/>
    <w:rsid w:val="002F11E2"/>
    <w:rsid w:val="002F1435"/>
    <w:rsid w:val="002F15E9"/>
    <w:rsid w:val="002F163E"/>
    <w:rsid w:val="002F16DC"/>
    <w:rsid w:val="002F1732"/>
    <w:rsid w:val="002F18FE"/>
    <w:rsid w:val="002F1AA3"/>
    <w:rsid w:val="002F1CAF"/>
    <w:rsid w:val="002F1D4B"/>
    <w:rsid w:val="002F1E04"/>
    <w:rsid w:val="002F1F18"/>
    <w:rsid w:val="002F1F8B"/>
    <w:rsid w:val="002F2028"/>
    <w:rsid w:val="002F207A"/>
    <w:rsid w:val="002F2094"/>
    <w:rsid w:val="002F2161"/>
    <w:rsid w:val="002F2299"/>
    <w:rsid w:val="002F22C4"/>
    <w:rsid w:val="002F2333"/>
    <w:rsid w:val="002F23E9"/>
    <w:rsid w:val="002F24BC"/>
    <w:rsid w:val="002F24D0"/>
    <w:rsid w:val="002F25F8"/>
    <w:rsid w:val="002F2671"/>
    <w:rsid w:val="002F2705"/>
    <w:rsid w:val="002F2747"/>
    <w:rsid w:val="002F28A2"/>
    <w:rsid w:val="002F2985"/>
    <w:rsid w:val="002F298C"/>
    <w:rsid w:val="002F2A20"/>
    <w:rsid w:val="002F2A2F"/>
    <w:rsid w:val="002F2A78"/>
    <w:rsid w:val="002F2AB0"/>
    <w:rsid w:val="002F2AE5"/>
    <w:rsid w:val="002F2B43"/>
    <w:rsid w:val="002F2C25"/>
    <w:rsid w:val="002F2D2A"/>
    <w:rsid w:val="002F2D72"/>
    <w:rsid w:val="002F2F10"/>
    <w:rsid w:val="002F2FAE"/>
    <w:rsid w:val="002F3042"/>
    <w:rsid w:val="002F3327"/>
    <w:rsid w:val="002F3500"/>
    <w:rsid w:val="002F35F6"/>
    <w:rsid w:val="002F3614"/>
    <w:rsid w:val="002F369E"/>
    <w:rsid w:val="002F36CE"/>
    <w:rsid w:val="002F375F"/>
    <w:rsid w:val="002F3792"/>
    <w:rsid w:val="002F3803"/>
    <w:rsid w:val="002F3865"/>
    <w:rsid w:val="002F39BB"/>
    <w:rsid w:val="002F3AE1"/>
    <w:rsid w:val="002F3C1D"/>
    <w:rsid w:val="002F3CF0"/>
    <w:rsid w:val="002F3D58"/>
    <w:rsid w:val="002F3D7C"/>
    <w:rsid w:val="002F3F18"/>
    <w:rsid w:val="002F4007"/>
    <w:rsid w:val="002F4033"/>
    <w:rsid w:val="002F403C"/>
    <w:rsid w:val="002F40A8"/>
    <w:rsid w:val="002F4358"/>
    <w:rsid w:val="002F43E5"/>
    <w:rsid w:val="002F462F"/>
    <w:rsid w:val="002F475C"/>
    <w:rsid w:val="002F48CC"/>
    <w:rsid w:val="002F494D"/>
    <w:rsid w:val="002F495C"/>
    <w:rsid w:val="002F496D"/>
    <w:rsid w:val="002F4A1F"/>
    <w:rsid w:val="002F4AA3"/>
    <w:rsid w:val="002F4C3C"/>
    <w:rsid w:val="002F4CD3"/>
    <w:rsid w:val="002F4D43"/>
    <w:rsid w:val="002F4D60"/>
    <w:rsid w:val="002F4DE3"/>
    <w:rsid w:val="002F4EE2"/>
    <w:rsid w:val="002F4FCF"/>
    <w:rsid w:val="002F501E"/>
    <w:rsid w:val="002F5196"/>
    <w:rsid w:val="002F52B6"/>
    <w:rsid w:val="002F535E"/>
    <w:rsid w:val="002F5396"/>
    <w:rsid w:val="002F5631"/>
    <w:rsid w:val="002F5785"/>
    <w:rsid w:val="002F5832"/>
    <w:rsid w:val="002F59FB"/>
    <w:rsid w:val="002F5A94"/>
    <w:rsid w:val="002F5ABF"/>
    <w:rsid w:val="002F5AE0"/>
    <w:rsid w:val="002F5BD0"/>
    <w:rsid w:val="002F5C03"/>
    <w:rsid w:val="002F5C1B"/>
    <w:rsid w:val="002F6050"/>
    <w:rsid w:val="002F60C4"/>
    <w:rsid w:val="002F60F5"/>
    <w:rsid w:val="002F614A"/>
    <w:rsid w:val="002F6190"/>
    <w:rsid w:val="002F6450"/>
    <w:rsid w:val="002F64AD"/>
    <w:rsid w:val="002F64E6"/>
    <w:rsid w:val="002F65AE"/>
    <w:rsid w:val="002F65E5"/>
    <w:rsid w:val="002F6678"/>
    <w:rsid w:val="002F68EE"/>
    <w:rsid w:val="002F6900"/>
    <w:rsid w:val="002F692E"/>
    <w:rsid w:val="002F6952"/>
    <w:rsid w:val="002F6AAE"/>
    <w:rsid w:val="002F6AFA"/>
    <w:rsid w:val="002F6C86"/>
    <w:rsid w:val="002F6DB7"/>
    <w:rsid w:val="002F6DB9"/>
    <w:rsid w:val="002F6EA3"/>
    <w:rsid w:val="002F7064"/>
    <w:rsid w:val="002F70DB"/>
    <w:rsid w:val="002F710F"/>
    <w:rsid w:val="002F7203"/>
    <w:rsid w:val="002F7268"/>
    <w:rsid w:val="002F728B"/>
    <w:rsid w:val="002F7291"/>
    <w:rsid w:val="002F7301"/>
    <w:rsid w:val="002F7322"/>
    <w:rsid w:val="002F737E"/>
    <w:rsid w:val="002F743F"/>
    <w:rsid w:val="002F7460"/>
    <w:rsid w:val="002F74F0"/>
    <w:rsid w:val="002F756C"/>
    <w:rsid w:val="002F7591"/>
    <w:rsid w:val="002F7734"/>
    <w:rsid w:val="002F788F"/>
    <w:rsid w:val="002F7B0B"/>
    <w:rsid w:val="002F7C08"/>
    <w:rsid w:val="002F7CDB"/>
    <w:rsid w:val="002F7DD8"/>
    <w:rsid w:val="002F7E36"/>
    <w:rsid w:val="002F7F70"/>
    <w:rsid w:val="002F7F95"/>
    <w:rsid w:val="00300063"/>
    <w:rsid w:val="003000A9"/>
    <w:rsid w:val="0030014C"/>
    <w:rsid w:val="0030023C"/>
    <w:rsid w:val="0030031A"/>
    <w:rsid w:val="0030032B"/>
    <w:rsid w:val="00300373"/>
    <w:rsid w:val="003006DA"/>
    <w:rsid w:val="0030076C"/>
    <w:rsid w:val="00300814"/>
    <w:rsid w:val="0030081F"/>
    <w:rsid w:val="003008F1"/>
    <w:rsid w:val="00300A4A"/>
    <w:rsid w:val="00300A7F"/>
    <w:rsid w:val="00300AEA"/>
    <w:rsid w:val="00300B9E"/>
    <w:rsid w:val="00300C9B"/>
    <w:rsid w:val="00300EE1"/>
    <w:rsid w:val="00300F1C"/>
    <w:rsid w:val="00301048"/>
    <w:rsid w:val="003010DB"/>
    <w:rsid w:val="00301194"/>
    <w:rsid w:val="003011D5"/>
    <w:rsid w:val="00301287"/>
    <w:rsid w:val="003013B8"/>
    <w:rsid w:val="0030142D"/>
    <w:rsid w:val="0030157A"/>
    <w:rsid w:val="00301975"/>
    <w:rsid w:val="003019DE"/>
    <w:rsid w:val="00301A00"/>
    <w:rsid w:val="00301A75"/>
    <w:rsid w:val="00301A8C"/>
    <w:rsid w:val="00301C79"/>
    <w:rsid w:val="00301CC7"/>
    <w:rsid w:val="00301E26"/>
    <w:rsid w:val="00301E49"/>
    <w:rsid w:val="0030202C"/>
    <w:rsid w:val="003020F9"/>
    <w:rsid w:val="003021FD"/>
    <w:rsid w:val="00302206"/>
    <w:rsid w:val="00302306"/>
    <w:rsid w:val="0030232C"/>
    <w:rsid w:val="003023F6"/>
    <w:rsid w:val="00302445"/>
    <w:rsid w:val="0030249A"/>
    <w:rsid w:val="003024EE"/>
    <w:rsid w:val="00302533"/>
    <w:rsid w:val="0030264F"/>
    <w:rsid w:val="003026A0"/>
    <w:rsid w:val="003026DA"/>
    <w:rsid w:val="0030276A"/>
    <w:rsid w:val="003027ED"/>
    <w:rsid w:val="00302800"/>
    <w:rsid w:val="003028B4"/>
    <w:rsid w:val="003028E0"/>
    <w:rsid w:val="00302B1A"/>
    <w:rsid w:val="00302B79"/>
    <w:rsid w:val="00302C03"/>
    <w:rsid w:val="00302C0F"/>
    <w:rsid w:val="00302C7A"/>
    <w:rsid w:val="00302C8A"/>
    <w:rsid w:val="00302E26"/>
    <w:rsid w:val="00302F47"/>
    <w:rsid w:val="00302F5F"/>
    <w:rsid w:val="00302FAD"/>
    <w:rsid w:val="00303241"/>
    <w:rsid w:val="003032BC"/>
    <w:rsid w:val="0030333A"/>
    <w:rsid w:val="003033BC"/>
    <w:rsid w:val="00303458"/>
    <w:rsid w:val="00303482"/>
    <w:rsid w:val="0030352D"/>
    <w:rsid w:val="003035C7"/>
    <w:rsid w:val="0030364A"/>
    <w:rsid w:val="0030371D"/>
    <w:rsid w:val="0030373D"/>
    <w:rsid w:val="003039EB"/>
    <w:rsid w:val="00303AE8"/>
    <w:rsid w:val="00303B23"/>
    <w:rsid w:val="00303B70"/>
    <w:rsid w:val="00303C19"/>
    <w:rsid w:val="00303C3D"/>
    <w:rsid w:val="00303F5B"/>
    <w:rsid w:val="00303F7F"/>
    <w:rsid w:val="003040F8"/>
    <w:rsid w:val="00304108"/>
    <w:rsid w:val="003042E8"/>
    <w:rsid w:val="003043C6"/>
    <w:rsid w:val="003044F2"/>
    <w:rsid w:val="0030459B"/>
    <w:rsid w:val="003045D8"/>
    <w:rsid w:val="003045DE"/>
    <w:rsid w:val="003045F8"/>
    <w:rsid w:val="0030467D"/>
    <w:rsid w:val="00304710"/>
    <w:rsid w:val="00304881"/>
    <w:rsid w:val="00304A3C"/>
    <w:rsid w:val="00304A70"/>
    <w:rsid w:val="00304A75"/>
    <w:rsid w:val="00304AA3"/>
    <w:rsid w:val="00304AAC"/>
    <w:rsid w:val="00304C78"/>
    <w:rsid w:val="00304D15"/>
    <w:rsid w:val="00304D39"/>
    <w:rsid w:val="00304D46"/>
    <w:rsid w:val="00304DED"/>
    <w:rsid w:val="00304E4A"/>
    <w:rsid w:val="00304F43"/>
    <w:rsid w:val="00304FD5"/>
    <w:rsid w:val="00305084"/>
    <w:rsid w:val="00305094"/>
    <w:rsid w:val="003051B8"/>
    <w:rsid w:val="0030525F"/>
    <w:rsid w:val="00305275"/>
    <w:rsid w:val="003053F0"/>
    <w:rsid w:val="0030546E"/>
    <w:rsid w:val="00305523"/>
    <w:rsid w:val="0030566E"/>
    <w:rsid w:val="003057E9"/>
    <w:rsid w:val="00305865"/>
    <w:rsid w:val="0030587D"/>
    <w:rsid w:val="0030587E"/>
    <w:rsid w:val="003058CD"/>
    <w:rsid w:val="003058F9"/>
    <w:rsid w:val="003059BB"/>
    <w:rsid w:val="00305A18"/>
    <w:rsid w:val="00305A2D"/>
    <w:rsid w:val="00305AB4"/>
    <w:rsid w:val="00305DD7"/>
    <w:rsid w:val="00305E3A"/>
    <w:rsid w:val="00305EF1"/>
    <w:rsid w:val="00305F28"/>
    <w:rsid w:val="00305F74"/>
    <w:rsid w:val="00305F82"/>
    <w:rsid w:val="00305FF7"/>
    <w:rsid w:val="003060DC"/>
    <w:rsid w:val="003060F3"/>
    <w:rsid w:val="0030615E"/>
    <w:rsid w:val="00306313"/>
    <w:rsid w:val="003063FE"/>
    <w:rsid w:val="0030657B"/>
    <w:rsid w:val="00306590"/>
    <w:rsid w:val="003065AE"/>
    <w:rsid w:val="003066AE"/>
    <w:rsid w:val="00306893"/>
    <w:rsid w:val="0030697C"/>
    <w:rsid w:val="00306AAC"/>
    <w:rsid w:val="00306BB0"/>
    <w:rsid w:val="00306CE7"/>
    <w:rsid w:val="00306D49"/>
    <w:rsid w:val="00306E04"/>
    <w:rsid w:val="0030708B"/>
    <w:rsid w:val="0030709D"/>
    <w:rsid w:val="0030712B"/>
    <w:rsid w:val="00307257"/>
    <w:rsid w:val="00307279"/>
    <w:rsid w:val="003072E5"/>
    <w:rsid w:val="003073E7"/>
    <w:rsid w:val="00307417"/>
    <w:rsid w:val="00307533"/>
    <w:rsid w:val="003076DD"/>
    <w:rsid w:val="00307727"/>
    <w:rsid w:val="00307745"/>
    <w:rsid w:val="00307842"/>
    <w:rsid w:val="003078F6"/>
    <w:rsid w:val="0030796F"/>
    <w:rsid w:val="00307AC9"/>
    <w:rsid w:val="00307E32"/>
    <w:rsid w:val="00307F2E"/>
    <w:rsid w:val="00307F9D"/>
    <w:rsid w:val="00310011"/>
    <w:rsid w:val="00310074"/>
    <w:rsid w:val="00310098"/>
    <w:rsid w:val="003101E5"/>
    <w:rsid w:val="003102B3"/>
    <w:rsid w:val="003102F7"/>
    <w:rsid w:val="0031054B"/>
    <w:rsid w:val="003105D3"/>
    <w:rsid w:val="00310648"/>
    <w:rsid w:val="00310875"/>
    <w:rsid w:val="003109D8"/>
    <w:rsid w:val="00310B53"/>
    <w:rsid w:val="00310B5B"/>
    <w:rsid w:val="00310C2A"/>
    <w:rsid w:val="00310D67"/>
    <w:rsid w:val="00310DA2"/>
    <w:rsid w:val="00310F45"/>
    <w:rsid w:val="00310F97"/>
    <w:rsid w:val="00311131"/>
    <w:rsid w:val="003111C2"/>
    <w:rsid w:val="00311257"/>
    <w:rsid w:val="003112FB"/>
    <w:rsid w:val="0031137E"/>
    <w:rsid w:val="00311467"/>
    <w:rsid w:val="003116A8"/>
    <w:rsid w:val="003116E3"/>
    <w:rsid w:val="00311791"/>
    <w:rsid w:val="00311843"/>
    <w:rsid w:val="0031193D"/>
    <w:rsid w:val="00311A38"/>
    <w:rsid w:val="00311A86"/>
    <w:rsid w:val="00311B6D"/>
    <w:rsid w:val="00311BA3"/>
    <w:rsid w:val="00311BDE"/>
    <w:rsid w:val="00311D2F"/>
    <w:rsid w:val="00311D9D"/>
    <w:rsid w:val="00311E92"/>
    <w:rsid w:val="00311FC8"/>
    <w:rsid w:val="00312240"/>
    <w:rsid w:val="00312333"/>
    <w:rsid w:val="00312363"/>
    <w:rsid w:val="00312397"/>
    <w:rsid w:val="0031242A"/>
    <w:rsid w:val="0031259D"/>
    <w:rsid w:val="003125B4"/>
    <w:rsid w:val="00312625"/>
    <w:rsid w:val="003126D3"/>
    <w:rsid w:val="003126E9"/>
    <w:rsid w:val="00312710"/>
    <w:rsid w:val="003129DA"/>
    <w:rsid w:val="00312AA0"/>
    <w:rsid w:val="00312AF1"/>
    <w:rsid w:val="00312B11"/>
    <w:rsid w:val="00312D94"/>
    <w:rsid w:val="00312EDA"/>
    <w:rsid w:val="00312F82"/>
    <w:rsid w:val="00313201"/>
    <w:rsid w:val="00313212"/>
    <w:rsid w:val="0031328C"/>
    <w:rsid w:val="003132E0"/>
    <w:rsid w:val="003134DA"/>
    <w:rsid w:val="003135F3"/>
    <w:rsid w:val="0031365B"/>
    <w:rsid w:val="00313683"/>
    <w:rsid w:val="0031393A"/>
    <w:rsid w:val="0031399F"/>
    <w:rsid w:val="003139D8"/>
    <w:rsid w:val="00313A23"/>
    <w:rsid w:val="00313BAD"/>
    <w:rsid w:val="00313C26"/>
    <w:rsid w:val="00313EAB"/>
    <w:rsid w:val="00313F97"/>
    <w:rsid w:val="00313FA5"/>
    <w:rsid w:val="00313FB7"/>
    <w:rsid w:val="0031422D"/>
    <w:rsid w:val="00314351"/>
    <w:rsid w:val="00314368"/>
    <w:rsid w:val="003143A0"/>
    <w:rsid w:val="00314473"/>
    <w:rsid w:val="003144DE"/>
    <w:rsid w:val="00314514"/>
    <w:rsid w:val="003146FD"/>
    <w:rsid w:val="00314818"/>
    <w:rsid w:val="00314863"/>
    <w:rsid w:val="003148C8"/>
    <w:rsid w:val="003149AB"/>
    <w:rsid w:val="00314A31"/>
    <w:rsid w:val="00314AC4"/>
    <w:rsid w:val="00314C08"/>
    <w:rsid w:val="00314DCA"/>
    <w:rsid w:val="00314EF3"/>
    <w:rsid w:val="00314FCE"/>
    <w:rsid w:val="0031508B"/>
    <w:rsid w:val="003150E2"/>
    <w:rsid w:val="00315141"/>
    <w:rsid w:val="003151CF"/>
    <w:rsid w:val="003151D6"/>
    <w:rsid w:val="003152B2"/>
    <w:rsid w:val="003153D8"/>
    <w:rsid w:val="003154BA"/>
    <w:rsid w:val="00315684"/>
    <w:rsid w:val="00315777"/>
    <w:rsid w:val="00315804"/>
    <w:rsid w:val="00315842"/>
    <w:rsid w:val="00315920"/>
    <w:rsid w:val="00315AD8"/>
    <w:rsid w:val="00315B0B"/>
    <w:rsid w:val="00315B8A"/>
    <w:rsid w:val="00315C47"/>
    <w:rsid w:val="00315D5A"/>
    <w:rsid w:val="00315E13"/>
    <w:rsid w:val="00315F63"/>
    <w:rsid w:val="00316027"/>
    <w:rsid w:val="003166B5"/>
    <w:rsid w:val="00316915"/>
    <w:rsid w:val="003169D4"/>
    <w:rsid w:val="003169E6"/>
    <w:rsid w:val="00316A1E"/>
    <w:rsid w:val="00316A60"/>
    <w:rsid w:val="00316ACD"/>
    <w:rsid w:val="00316B2C"/>
    <w:rsid w:val="00316CF1"/>
    <w:rsid w:val="00316DEA"/>
    <w:rsid w:val="00316E9F"/>
    <w:rsid w:val="00316F1B"/>
    <w:rsid w:val="00316F83"/>
    <w:rsid w:val="00316F86"/>
    <w:rsid w:val="00316F8E"/>
    <w:rsid w:val="00317018"/>
    <w:rsid w:val="00317073"/>
    <w:rsid w:val="003170F7"/>
    <w:rsid w:val="00317134"/>
    <w:rsid w:val="00317297"/>
    <w:rsid w:val="00317513"/>
    <w:rsid w:val="00317575"/>
    <w:rsid w:val="00317637"/>
    <w:rsid w:val="00317742"/>
    <w:rsid w:val="00317758"/>
    <w:rsid w:val="00317875"/>
    <w:rsid w:val="00317A7E"/>
    <w:rsid w:val="00317AB4"/>
    <w:rsid w:val="00317D5F"/>
    <w:rsid w:val="00317D95"/>
    <w:rsid w:val="00317D98"/>
    <w:rsid w:val="00317E08"/>
    <w:rsid w:val="00317E9F"/>
    <w:rsid w:val="00317EFE"/>
    <w:rsid w:val="00317F0A"/>
    <w:rsid w:val="00320067"/>
    <w:rsid w:val="00320098"/>
    <w:rsid w:val="003200E9"/>
    <w:rsid w:val="00320142"/>
    <w:rsid w:val="003202E1"/>
    <w:rsid w:val="00320302"/>
    <w:rsid w:val="00320304"/>
    <w:rsid w:val="00320406"/>
    <w:rsid w:val="003204C3"/>
    <w:rsid w:val="0032052F"/>
    <w:rsid w:val="003206D8"/>
    <w:rsid w:val="00320791"/>
    <w:rsid w:val="00320A33"/>
    <w:rsid w:val="00320A8C"/>
    <w:rsid w:val="00320B25"/>
    <w:rsid w:val="00320B79"/>
    <w:rsid w:val="00320B82"/>
    <w:rsid w:val="00320D37"/>
    <w:rsid w:val="00320E04"/>
    <w:rsid w:val="00320EBF"/>
    <w:rsid w:val="00321040"/>
    <w:rsid w:val="0032108C"/>
    <w:rsid w:val="003211A0"/>
    <w:rsid w:val="00321435"/>
    <w:rsid w:val="0032149B"/>
    <w:rsid w:val="0032151F"/>
    <w:rsid w:val="0032154E"/>
    <w:rsid w:val="0032159C"/>
    <w:rsid w:val="00321695"/>
    <w:rsid w:val="00321832"/>
    <w:rsid w:val="00321980"/>
    <w:rsid w:val="00321A23"/>
    <w:rsid w:val="00321A4F"/>
    <w:rsid w:val="00321A9B"/>
    <w:rsid w:val="00321C7F"/>
    <w:rsid w:val="00321E4F"/>
    <w:rsid w:val="00321FE8"/>
    <w:rsid w:val="00322062"/>
    <w:rsid w:val="00322493"/>
    <w:rsid w:val="003224F2"/>
    <w:rsid w:val="0032266B"/>
    <w:rsid w:val="00322674"/>
    <w:rsid w:val="00322699"/>
    <w:rsid w:val="003226E7"/>
    <w:rsid w:val="00322817"/>
    <w:rsid w:val="00322860"/>
    <w:rsid w:val="00322910"/>
    <w:rsid w:val="0032294D"/>
    <w:rsid w:val="00322AB8"/>
    <w:rsid w:val="00322B7B"/>
    <w:rsid w:val="00322C01"/>
    <w:rsid w:val="00322D64"/>
    <w:rsid w:val="00322D91"/>
    <w:rsid w:val="00323092"/>
    <w:rsid w:val="003233F3"/>
    <w:rsid w:val="003233FD"/>
    <w:rsid w:val="0032340A"/>
    <w:rsid w:val="003234FC"/>
    <w:rsid w:val="00323623"/>
    <w:rsid w:val="00323684"/>
    <w:rsid w:val="003236AA"/>
    <w:rsid w:val="0032381A"/>
    <w:rsid w:val="003238DF"/>
    <w:rsid w:val="00323989"/>
    <w:rsid w:val="00323A32"/>
    <w:rsid w:val="00323AB3"/>
    <w:rsid w:val="00323B31"/>
    <w:rsid w:val="00323B3A"/>
    <w:rsid w:val="00323C03"/>
    <w:rsid w:val="00323C68"/>
    <w:rsid w:val="00323CD0"/>
    <w:rsid w:val="00323D50"/>
    <w:rsid w:val="00324093"/>
    <w:rsid w:val="003240AA"/>
    <w:rsid w:val="0032413A"/>
    <w:rsid w:val="0032415C"/>
    <w:rsid w:val="00324195"/>
    <w:rsid w:val="0032423A"/>
    <w:rsid w:val="0032427D"/>
    <w:rsid w:val="0032432C"/>
    <w:rsid w:val="00324520"/>
    <w:rsid w:val="00324560"/>
    <w:rsid w:val="00324673"/>
    <w:rsid w:val="003246FC"/>
    <w:rsid w:val="003247FC"/>
    <w:rsid w:val="003248C3"/>
    <w:rsid w:val="00324935"/>
    <w:rsid w:val="00324955"/>
    <w:rsid w:val="00324C2D"/>
    <w:rsid w:val="00324D17"/>
    <w:rsid w:val="00324F78"/>
    <w:rsid w:val="00324FA7"/>
    <w:rsid w:val="00325015"/>
    <w:rsid w:val="00325280"/>
    <w:rsid w:val="00325297"/>
    <w:rsid w:val="00325465"/>
    <w:rsid w:val="003254A9"/>
    <w:rsid w:val="003254EF"/>
    <w:rsid w:val="0032573D"/>
    <w:rsid w:val="003257A9"/>
    <w:rsid w:val="00325875"/>
    <w:rsid w:val="0032593A"/>
    <w:rsid w:val="003259F3"/>
    <w:rsid w:val="00325B77"/>
    <w:rsid w:val="00325D00"/>
    <w:rsid w:val="00325D2B"/>
    <w:rsid w:val="00325D59"/>
    <w:rsid w:val="00326107"/>
    <w:rsid w:val="00326156"/>
    <w:rsid w:val="00326172"/>
    <w:rsid w:val="00326188"/>
    <w:rsid w:val="003262D1"/>
    <w:rsid w:val="003262EE"/>
    <w:rsid w:val="00326344"/>
    <w:rsid w:val="00326449"/>
    <w:rsid w:val="0032644E"/>
    <w:rsid w:val="0032655E"/>
    <w:rsid w:val="00326580"/>
    <w:rsid w:val="003266CB"/>
    <w:rsid w:val="0032675F"/>
    <w:rsid w:val="00326815"/>
    <w:rsid w:val="00326871"/>
    <w:rsid w:val="00326B40"/>
    <w:rsid w:val="00326BCC"/>
    <w:rsid w:val="00326C88"/>
    <w:rsid w:val="00326CFF"/>
    <w:rsid w:val="00326F4E"/>
    <w:rsid w:val="0032710D"/>
    <w:rsid w:val="00327159"/>
    <w:rsid w:val="00327244"/>
    <w:rsid w:val="0032725A"/>
    <w:rsid w:val="003273ED"/>
    <w:rsid w:val="003273F7"/>
    <w:rsid w:val="0032748A"/>
    <w:rsid w:val="003274C1"/>
    <w:rsid w:val="00327556"/>
    <w:rsid w:val="00327588"/>
    <w:rsid w:val="00327672"/>
    <w:rsid w:val="003276C5"/>
    <w:rsid w:val="00327740"/>
    <w:rsid w:val="0032787E"/>
    <w:rsid w:val="003278C4"/>
    <w:rsid w:val="00327908"/>
    <w:rsid w:val="003279C1"/>
    <w:rsid w:val="00327D1A"/>
    <w:rsid w:val="00327E47"/>
    <w:rsid w:val="00327E6A"/>
    <w:rsid w:val="0033000D"/>
    <w:rsid w:val="00330030"/>
    <w:rsid w:val="0033007F"/>
    <w:rsid w:val="00330088"/>
    <w:rsid w:val="0033015A"/>
    <w:rsid w:val="003301E9"/>
    <w:rsid w:val="003302EA"/>
    <w:rsid w:val="003302F6"/>
    <w:rsid w:val="003303E4"/>
    <w:rsid w:val="003304C9"/>
    <w:rsid w:val="00330507"/>
    <w:rsid w:val="00330661"/>
    <w:rsid w:val="003306FC"/>
    <w:rsid w:val="00330798"/>
    <w:rsid w:val="003307A6"/>
    <w:rsid w:val="0033084B"/>
    <w:rsid w:val="0033091F"/>
    <w:rsid w:val="003309BF"/>
    <w:rsid w:val="00330A88"/>
    <w:rsid w:val="00330BB3"/>
    <w:rsid w:val="00330BD5"/>
    <w:rsid w:val="00330C4B"/>
    <w:rsid w:val="00330C86"/>
    <w:rsid w:val="00330D3E"/>
    <w:rsid w:val="00330D4E"/>
    <w:rsid w:val="00330D70"/>
    <w:rsid w:val="00330E01"/>
    <w:rsid w:val="00330E1A"/>
    <w:rsid w:val="00331144"/>
    <w:rsid w:val="0033115B"/>
    <w:rsid w:val="0033118D"/>
    <w:rsid w:val="0033139D"/>
    <w:rsid w:val="003314C7"/>
    <w:rsid w:val="00331798"/>
    <w:rsid w:val="003317CE"/>
    <w:rsid w:val="0033194B"/>
    <w:rsid w:val="003319B8"/>
    <w:rsid w:val="00331AA5"/>
    <w:rsid w:val="00331AE2"/>
    <w:rsid w:val="00331B66"/>
    <w:rsid w:val="00331C4D"/>
    <w:rsid w:val="00331D4A"/>
    <w:rsid w:val="00331DA5"/>
    <w:rsid w:val="00331EF1"/>
    <w:rsid w:val="003321DF"/>
    <w:rsid w:val="0033239C"/>
    <w:rsid w:val="003326CB"/>
    <w:rsid w:val="00332847"/>
    <w:rsid w:val="00332869"/>
    <w:rsid w:val="0033291D"/>
    <w:rsid w:val="00332A11"/>
    <w:rsid w:val="00332AFE"/>
    <w:rsid w:val="00332B73"/>
    <w:rsid w:val="00332B8C"/>
    <w:rsid w:val="00332BD7"/>
    <w:rsid w:val="00332C0B"/>
    <w:rsid w:val="00332C49"/>
    <w:rsid w:val="00332C8B"/>
    <w:rsid w:val="00332D10"/>
    <w:rsid w:val="00332DA1"/>
    <w:rsid w:val="00332DE2"/>
    <w:rsid w:val="00332F08"/>
    <w:rsid w:val="00332F21"/>
    <w:rsid w:val="00332FC0"/>
    <w:rsid w:val="0033312D"/>
    <w:rsid w:val="00333460"/>
    <w:rsid w:val="003334CC"/>
    <w:rsid w:val="003334D5"/>
    <w:rsid w:val="0033358D"/>
    <w:rsid w:val="00333725"/>
    <w:rsid w:val="00333795"/>
    <w:rsid w:val="0033386D"/>
    <w:rsid w:val="00333925"/>
    <w:rsid w:val="00333A07"/>
    <w:rsid w:val="00333A6A"/>
    <w:rsid w:val="00333A75"/>
    <w:rsid w:val="00333ACF"/>
    <w:rsid w:val="00333AFA"/>
    <w:rsid w:val="00333B9E"/>
    <w:rsid w:val="00333BE5"/>
    <w:rsid w:val="00333BE7"/>
    <w:rsid w:val="00333C77"/>
    <w:rsid w:val="00333C8B"/>
    <w:rsid w:val="00333D09"/>
    <w:rsid w:val="00333DC2"/>
    <w:rsid w:val="00333DC7"/>
    <w:rsid w:val="00333E27"/>
    <w:rsid w:val="00333E9E"/>
    <w:rsid w:val="00334060"/>
    <w:rsid w:val="00334062"/>
    <w:rsid w:val="00334069"/>
    <w:rsid w:val="00334147"/>
    <w:rsid w:val="00334367"/>
    <w:rsid w:val="0033436C"/>
    <w:rsid w:val="003343B2"/>
    <w:rsid w:val="003343BA"/>
    <w:rsid w:val="0033451E"/>
    <w:rsid w:val="00334738"/>
    <w:rsid w:val="0033473F"/>
    <w:rsid w:val="003347E8"/>
    <w:rsid w:val="00334909"/>
    <w:rsid w:val="00334987"/>
    <w:rsid w:val="003349E3"/>
    <w:rsid w:val="00334B61"/>
    <w:rsid w:val="00334B8D"/>
    <w:rsid w:val="00334BAF"/>
    <w:rsid w:val="00334C24"/>
    <w:rsid w:val="00334D50"/>
    <w:rsid w:val="00334DA3"/>
    <w:rsid w:val="00334DB9"/>
    <w:rsid w:val="00334DBB"/>
    <w:rsid w:val="0033503B"/>
    <w:rsid w:val="0033505E"/>
    <w:rsid w:val="003352C8"/>
    <w:rsid w:val="00335368"/>
    <w:rsid w:val="00335469"/>
    <w:rsid w:val="003355E1"/>
    <w:rsid w:val="00335679"/>
    <w:rsid w:val="00335735"/>
    <w:rsid w:val="00335930"/>
    <w:rsid w:val="00335960"/>
    <w:rsid w:val="00335A12"/>
    <w:rsid w:val="00335ACB"/>
    <w:rsid w:val="00335B35"/>
    <w:rsid w:val="00335B9D"/>
    <w:rsid w:val="00335C23"/>
    <w:rsid w:val="00335CC3"/>
    <w:rsid w:val="00335CCE"/>
    <w:rsid w:val="00335E3A"/>
    <w:rsid w:val="00335F7A"/>
    <w:rsid w:val="00335F85"/>
    <w:rsid w:val="00335FE7"/>
    <w:rsid w:val="0033602E"/>
    <w:rsid w:val="00336070"/>
    <w:rsid w:val="003360F2"/>
    <w:rsid w:val="0033611F"/>
    <w:rsid w:val="003361B6"/>
    <w:rsid w:val="003362C6"/>
    <w:rsid w:val="00336437"/>
    <w:rsid w:val="003364E4"/>
    <w:rsid w:val="003365EC"/>
    <w:rsid w:val="003366C0"/>
    <w:rsid w:val="00336802"/>
    <w:rsid w:val="0033680E"/>
    <w:rsid w:val="00336832"/>
    <w:rsid w:val="003368A2"/>
    <w:rsid w:val="00336915"/>
    <w:rsid w:val="0033692D"/>
    <w:rsid w:val="00336A84"/>
    <w:rsid w:val="00336AAE"/>
    <w:rsid w:val="00336ABF"/>
    <w:rsid w:val="00336BCE"/>
    <w:rsid w:val="00336BD0"/>
    <w:rsid w:val="00336CCF"/>
    <w:rsid w:val="00336D01"/>
    <w:rsid w:val="00336DFE"/>
    <w:rsid w:val="00337035"/>
    <w:rsid w:val="00337043"/>
    <w:rsid w:val="00337091"/>
    <w:rsid w:val="003375A7"/>
    <w:rsid w:val="00337693"/>
    <w:rsid w:val="003376C9"/>
    <w:rsid w:val="00337713"/>
    <w:rsid w:val="003377A7"/>
    <w:rsid w:val="0033795E"/>
    <w:rsid w:val="00337A99"/>
    <w:rsid w:val="00337B30"/>
    <w:rsid w:val="00337BDA"/>
    <w:rsid w:val="00337CFF"/>
    <w:rsid w:val="00337D97"/>
    <w:rsid w:val="00337DCC"/>
    <w:rsid w:val="00337DEE"/>
    <w:rsid w:val="00337EF3"/>
    <w:rsid w:val="00337F19"/>
    <w:rsid w:val="00337F91"/>
    <w:rsid w:val="00337FAB"/>
    <w:rsid w:val="00337FC5"/>
    <w:rsid w:val="00340016"/>
    <w:rsid w:val="0034007A"/>
    <w:rsid w:val="003400A4"/>
    <w:rsid w:val="0034021B"/>
    <w:rsid w:val="00340239"/>
    <w:rsid w:val="0034030B"/>
    <w:rsid w:val="003403EE"/>
    <w:rsid w:val="003406BE"/>
    <w:rsid w:val="00340724"/>
    <w:rsid w:val="003408C9"/>
    <w:rsid w:val="00340A33"/>
    <w:rsid w:val="00340CBB"/>
    <w:rsid w:val="00340D2D"/>
    <w:rsid w:val="00340EA5"/>
    <w:rsid w:val="00340F1E"/>
    <w:rsid w:val="00340F6F"/>
    <w:rsid w:val="003413C6"/>
    <w:rsid w:val="003413F4"/>
    <w:rsid w:val="003417A8"/>
    <w:rsid w:val="003417B3"/>
    <w:rsid w:val="00341862"/>
    <w:rsid w:val="003418E6"/>
    <w:rsid w:val="00341904"/>
    <w:rsid w:val="003419DB"/>
    <w:rsid w:val="00341A4F"/>
    <w:rsid w:val="00341BD3"/>
    <w:rsid w:val="00341CEF"/>
    <w:rsid w:val="00341D3B"/>
    <w:rsid w:val="00341D98"/>
    <w:rsid w:val="00341EEA"/>
    <w:rsid w:val="00341F21"/>
    <w:rsid w:val="0034216C"/>
    <w:rsid w:val="003421A5"/>
    <w:rsid w:val="003421BD"/>
    <w:rsid w:val="003421D3"/>
    <w:rsid w:val="003421FA"/>
    <w:rsid w:val="003424DB"/>
    <w:rsid w:val="0034259C"/>
    <w:rsid w:val="003425C9"/>
    <w:rsid w:val="00342613"/>
    <w:rsid w:val="00342795"/>
    <w:rsid w:val="00342A42"/>
    <w:rsid w:val="00342B7C"/>
    <w:rsid w:val="00342BF5"/>
    <w:rsid w:val="00342E86"/>
    <w:rsid w:val="00342F21"/>
    <w:rsid w:val="00342FAC"/>
    <w:rsid w:val="003430C7"/>
    <w:rsid w:val="0034320D"/>
    <w:rsid w:val="003432FE"/>
    <w:rsid w:val="003433EB"/>
    <w:rsid w:val="00343494"/>
    <w:rsid w:val="003434CC"/>
    <w:rsid w:val="003435A7"/>
    <w:rsid w:val="00343692"/>
    <w:rsid w:val="00343748"/>
    <w:rsid w:val="00343770"/>
    <w:rsid w:val="00343856"/>
    <w:rsid w:val="00343973"/>
    <w:rsid w:val="0034399B"/>
    <w:rsid w:val="00343BAF"/>
    <w:rsid w:val="00343C14"/>
    <w:rsid w:val="00343CCE"/>
    <w:rsid w:val="00343D16"/>
    <w:rsid w:val="00343DA8"/>
    <w:rsid w:val="00343E71"/>
    <w:rsid w:val="00343E8E"/>
    <w:rsid w:val="00343F68"/>
    <w:rsid w:val="00343FF6"/>
    <w:rsid w:val="00344013"/>
    <w:rsid w:val="00344051"/>
    <w:rsid w:val="003440D8"/>
    <w:rsid w:val="003441AC"/>
    <w:rsid w:val="003441D9"/>
    <w:rsid w:val="00344248"/>
    <w:rsid w:val="003442A6"/>
    <w:rsid w:val="003442FA"/>
    <w:rsid w:val="00344381"/>
    <w:rsid w:val="0034454C"/>
    <w:rsid w:val="003445A5"/>
    <w:rsid w:val="0034463F"/>
    <w:rsid w:val="0034464D"/>
    <w:rsid w:val="00344777"/>
    <w:rsid w:val="003447E5"/>
    <w:rsid w:val="0034485A"/>
    <w:rsid w:val="00344995"/>
    <w:rsid w:val="00344A3A"/>
    <w:rsid w:val="00344A68"/>
    <w:rsid w:val="00344B21"/>
    <w:rsid w:val="00344BFD"/>
    <w:rsid w:val="00344CB0"/>
    <w:rsid w:val="00344E1F"/>
    <w:rsid w:val="00344E65"/>
    <w:rsid w:val="00344F6B"/>
    <w:rsid w:val="0034508F"/>
    <w:rsid w:val="00345186"/>
    <w:rsid w:val="003452B8"/>
    <w:rsid w:val="00345318"/>
    <w:rsid w:val="00345343"/>
    <w:rsid w:val="0034537D"/>
    <w:rsid w:val="003455F0"/>
    <w:rsid w:val="00345686"/>
    <w:rsid w:val="003457D0"/>
    <w:rsid w:val="0034581C"/>
    <w:rsid w:val="0034589E"/>
    <w:rsid w:val="003459AE"/>
    <w:rsid w:val="003459ED"/>
    <w:rsid w:val="00345A14"/>
    <w:rsid w:val="00345AC8"/>
    <w:rsid w:val="00345B29"/>
    <w:rsid w:val="00345BE9"/>
    <w:rsid w:val="00345DB6"/>
    <w:rsid w:val="00345EA5"/>
    <w:rsid w:val="00345EDB"/>
    <w:rsid w:val="00346157"/>
    <w:rsid w:val="003461BF"/>
    <w:rsid w:val="00346251"/>
    <w:rsid w:val="00346344"/>
    <w:rsid w:val="003463A6"/>
    <w:rsid w:val="00346779"/>
    <w:rsid w:val="00346808"/>
    <w:rsid w:val="00346891"/>
    <w:rsid w:val="00346903"/>
    <w:rsid w:val="003469FF"/>
    <w:rsid w:val="00346A3E"/>
    <w:rsid w:val="00346B7D"/>
    <w:rsid w:val="00346B99"/>
    <w:rsid w:val="00346C0A"/>
    <w:rsid w:val="00346D52"/>
    <w:rsid w:val="00346DC1"/>
    <w:rsid w:val="00346E2C"/>
    <w:rsid w:val="00346FF3"/>
    <w:rsid w:val="0034702E"/>
    <w:rsid w:val="00347097"/>
    <w:rsid w:val="003470AF"/>
    <w:rsid w:val="003470DD"/>
    <w:rsid w:val="003470E3"/>
    <w:rsid w:val="003470E4"/>
    <w:rsid w:val="0034719F"/>
    <w:rsid w:val="0034722B"/>
    <w:rsid w:val="0034723A"/>
    <w:rsid w:val="00347265"/>
    <w:rsid w:val="00347330"/>
    <w:rsid w:val="0034746E"/>
    <w:rsid w:val="00347488"/>
    <w:rsid w:val="0034757A"/>
    <w:rsid w:val="0034759D"/>
    <w:rsid w:val="00347828"/>
    <w:rsid w:val="0034783D"/>
    <w:rsid w:val="003478CA"/>
    <w:rsid w:val="003478F2"/>
    <w:rsid w:val="00347AD6"/>
    <w:rsid w:val="00347B35"/>
    <w:rsid w:val="00347BE0"/>
    <w:rsid w:val="00347C88"/>
    <w:rsid w:val="00347CD7"/>
    <w:rsid w:val="00347EA4"/>
    <w:rsid w:val="00347EB6"/>
    <w:rsid w:val="00347F8E"/>
    <w:rsid w:val="0035003D"/>
    <w:rsid w:val="00350110"/>
    <w:rsid w:val="003501B5"/>
    <w:rsid w:val="0035023D"/>
    <w:rsid w:val="00350278"/>
    <w:rsid w:val="003502E5"/>
    <w:rsid w:val="003503D4"/>
    <w:rsid w:val="003505E1"/>
    <w:rsid w:val="00350641"/>
    <w:rsid w:val="003506E2"/>
    <w:rsid w:val="003508B7"/>
    <w:rsid w:val="00350AF8"/>
    <w:rsid w:val="00350CBF"/>
    <w:rsid w:val="00350CE0"/>
    <w:rsid w:val="00350CE8"/>
    <w:rsid w:val="00350DC9"/>
    <w:rsid w:val="00350E16"/>
    <w:rsid w:val="00350F63"/>
    <w:rsid w:val="00350F66"/>
    <w:rsid w:val="00350FC1"/>
    <w:rsid w:val="00351139"/>
    <w:rsid w:val="003511C2"/>
    <w:rsid w:val="00351307"/>
    <w:rsid w:val="003513ED"/>
    <w:rsid w:val="00351605"/>
    <w:rsid w:val="00351612"/>
    <w:rsid w:val="0035166D"/>
    <w:rsid w:val="003516A5"/>
    <w:rsid w:val="00351844"/>
    <w:rsid w:val="00351B46"/>
    <w:rsid w:val="00351C35"/>
    <w:rsid w:val="00351F52"/>
    <w:rsid w:val="00351FE6"/>
    <w:rsid w:val="0035205D"/>
    <w:rsid w:val="003522D0"/>
    <w:rsid w:val="003523A7"/>
    <w:rsid w:val="00352451"/>
    <w:rsid w:val="00352455"/>
    <w:rsid w:val="003525D8"/>
    <w:rsid w:val="00352711"/>
    <w:rsid w:val="00352878"/>
    <w:rsid w:val="003528DC"/>
    <w:rsid w:val="003528E9"/>
    <w:rsid w:val="00352B1B"/>
    <w:rsid w:val="00352C71"/>
    <w:rsid w:val="00352C89"/>
    <w:rsid w:val="00352C8E"/>
    <w:rsid w:val="00352D3A"/>
    <w:rsid w:val="00352D67"/>
    <w:rsid w:val="00352DF3"/>
    <w:rsid w:val="00352E1F"/>
    <w:rsid w:val="00352E8F"/>
    <w:rsid w:val="00353033"/>
    <w:rsid w:val="0035306F"/>
    <w:rsid w:val="0035310D"/>
    <w:rsid w:val="003531E1"/>
    <w:rsid w:val="00353210"/>
    <w:rsid w:val="0035325B"/>
    <w:rsid w:val="003532EC"/>
    <w:rsid w:val="003533E1"/>
    <w:rsid w:val="003534D3"/>
    <w:rsid w:val="0035358C"/>
    <w:rsid w:val="003535FE"/>
    <w:rsid w:val="00353616"/>
    <w:rsid w:val="003536B5"/>
    <w:rsid w:val="003537AF"/>
    <w:rsid w:val="00353969"/>
    <w:rsid w:val="00353AFF"/>
    <w:rsid w:val="00353B28"/>
    <w:rsid w:val="00353CC2"/>
    <w:rsid w:val="00353D90"/>
    <w:rsid w:val="003540CE"/>
    <w:rsid w:val="003540F6"/>
    <w:rsid w:val="00354155"/>
    <w:rsid w:val="00354246"/>
    <w:rsid w:val="00354318"/>
    <w:rsid w:val="0035434A"/>
    <w:rsid w:val="00354437"/>
    <w:rsid w:val="0035469D"/>
    <w:rsid w:val="003546FE"/>
    <w:rsid w:val="0035478F"/>
    <w:rsid w:val="00354869"/>
    <w:rsid w:val="0035494C"/>
    <w:rsid w:val="00354976"/>
    <w:rsid w:val="00354AB9"/>
    <w:rsid w:val="00354AE4"/>
    <w:rsid w:val="00354C25"/>
    <w:rsid w:val="00354C54"/>
    <w:rsid w:val="00354D06"/>
    <w:rsid w:val="00354D5E"/>
    <w:rsid w:val="00355059"/>
    <w:rsid w:val="0035506A"/>
    <w:rsid w:val="00355126"/>
    <w:rsid w:val="003551BA"/>
    <w:rsid w:val="003551EE"/>
    <w:rsid w:val="00355296"/>
    <w:rsid w:val="00355298"/>
    <w:rsid w:val="00355350"/>
    <w:rsid w:val="00355487"/>
    <w:rsid w:val="003555A2"/>
    <w:rsid w:val="0035565E"/>
    <w:rsid w:val="0035566B"/>
    <w:rsid w:val="00355710"/>
    <w:rsid w:val="00355723"/>
    <w:rsid w:val="003557FA"/>
    <w:rsid w:val="0035587A"/>
    <w:rsid w:val="00355CF8"/>
    <w:rsid w:val="00355D1D"/>
    <w:rsid w:val="00355DA6"/>
    <w:rsid w:val="00355FBC"/>
    <w:rsid w:val="00355FC1"/>
    <w:rsid w:val="00356063"/>
    <w:rsid w:val="003561B7"/>
    <w:rsid w:val="00356244"/>
    <w:rsid w:val="0035632A"/>
    <w:rsid w:val="00356384"/>
    <w:rsid w:val="003564B0"/>
    <w:rsid w:val="003564C1"/>
    <w:rsid w:val="00356567"/>
    <w:rsid w:val="003565B3"/>
    <w:rsid w:val="003568B6"/>
    <w:rsid w:val="00356962"/>
    <w:rsid w:val="00356AE9"/>
    <w:rsid w:val="00356B16"/>
    <w:rsid w:val="00356BAE"/>
    <w:rsid w:val="00356BFF"/>
    <w:rsid w:val="00356D3F"/>
    <w:rsid w:val="00356DA6"/>
    <w:rsid w:val="00356DBA"/>
    <w:rsid w:val="0035701D"/>
    <w:rsid w:val="00357056"/>
    <w:rsid w:val="0035711E"/>
    <w:rsid w:val="00357131"/>
    <w:rsid w:val="003571D0"/>
    <w:rsid w:val="00357269"/>
    <w:rsid w:val="003572EE"/>
    <w:rsid w:val="0035730E"/>
    <w:rsid w:val="003573F7"/>
    <w:rsid w:val="00357617"/>
    <w:rsid w:val="00357681"/>
    <w:rsid w:val="003576A6"/>
    <w:rsid w:val="003576E2"/>
    <w:rsid w:val="00357765"/>
    <w:rsid w:val="003577A0"/>
    <w:rsid w:val="003578EE"/>
    <w:rsid w:val="0035790F"/>
    <w:rsid w:val="0035792C"/>
    <w:rsid w:val="00357BCD"/>
    <w:rsid w:val="00357BF6"/>
    <w:rsid w:val="00357D8D"/>
    <w:rsid w:val="00357E58"/>
    <w:rsid w:val="00357E8F"/>
    <w:rsid w:val="00357F15"/>
    <w:rsid w:val="00357F33"/>
    <w:rsid w:val="00360080"/>
    <w:rsid w:val="003600C7"/>
    <w:rsid w:val="003600ED"/>
    <w:rsid w:val="00360196"/>
    <w:rsid w:val="003603C1"/>
    <w:rsid w:val="0036047D"/>
    <w:rsid w:val="003604A8"/>
    <w:rsid w:val="00360518"/>
    <w:rsid w:val="0036058B"/>
    <w:rsid w:val="0036060C"/>
    <w:rsid w:val="00360639"/>
    <w:rsid w:val="00360685"/>
    <w:rsid w:val="0036081B"/>
    <w:rsid w:val="0036088E"/>
    <w:rsid w:val="0036089F"/>
    <w:rsid w:val="003608E7"/>
    <w:rsid w:val="00360A85"/>
    <w:rsid w:val="00360D8E"/>
    <w:rsid w:val="00360F10"/>
    <w:rsid w:val="00360FB6"/>
    <w:rsid w:val="00361140"/>
    <w:rsid w:val="00361397"/>
    <w:rsid w:val="00361410"/>
    <w:rsid w:val="0036146F"/>
    <w:rsid w:val="003614D1"/>
    <w:rsid w:val="003614F1"/>
    <w:rsid w:val="0036156F"/>
    <w:rsid w:val="003616CF"/>
    <w:rsid w:val="003616FE"/>
    <w:rsid w:val="003616FF"/>
    <w:rsid w:val="00361743"/>
    <w:rsid w:val="0036179E"/>
    <w:rsid w:val="003617E0"/>
    <w:rsid w:val="003617FC"/>
    <w:rsid w:val="003617FE"/>
    <w:rsid w:val="003618DA"/>
    <w:rsid w:val="0036196E"/>
    <w:rsid w:val="00361B7A"/>
    <w:rsid w:val="00361BFB"/>
    <w:rsid w:val="00361C6B"/>
    <w:rsid w:val="00361DAD"/>
    <w:rsid w:val="00361E53"/>
    <w:rsid w:val="00361FE0"/>
    <w:rsid w:val="00361FE3"/>
    <w:rsid w:val="00362051"/>
    <w:rsid w:val="0036221C"/>
    <w:rsid w:val="0036226E"/>
    <w:rsid w:val="0036228C"/>
    <w:rsid w:val="003622A3"/>
    <w:rsid w:val="003622B6"/>
    <w:rsid w:val="003624D3"/>
    <w:rsid w:val="0036260D"/>
    <w:rsid w:val="003627CD"/>
    <w:rsid w:val="003627D7"/>
    <w:rsid w:val="003628DB"/>
    <w:rsid w:val="00362A2F"/>
    <w:rsid w:val="00362B25"/>
    <w:rsid w:val="00362B7E"/>
    <w:rsid w:val="00362B96"/>
    <w:rsid w:val="00362CBB"/>
    <w:rsid w:val="00362D60"/>
    <w:rsid w:val="00362D7E"/>
    <w:rsid w:val="00362E7C"/>
    <w:rsid w:val="00362F5E"/>
    <w:rsid w:val="00362FB3"/>
    <w:rsid w:val="00363038"/>
    <w:rsid w:val="003631DF"/>
    <w:rsid w:val="00363240"/>
    <w:rsid w:val="003632C0"/>
    <w:rsid w:val="003632C3"/>
    <w:rsid w:val="003633EF"/>
    <w:rsid w:val="003635B7"/>
    <w:rsid w:val="003635BF"/>
    <w:rsid w:val="003636F3"/>
    <w:rsid w:val="0036370D"/>
    <w:rsid w:val="00363756"/>
    <w:rsid w:val="003637FB"/>
    <w:rsid w:val="00363804"/>
    <w:rsid w:val="00363806"/>
    <w:rsid w:val="00363820"/>
    <w:rsid w:val="003638A6"/>
    <w:rsid w:val="0036394E"/>
    <w:rsid w:val="0036397F"/>
    <w:rsid w:val="003639E6"/>
    <w:rsid w:val="00363A10"/>
    <w:rsid w:val="00363ABA"/>
    <w:rsid w:val="00363B2D"/>
    <w:rsid w:val="00363B5E"/>
    <w:rsid w:val="00363DB3"/>
    <w:rsid w:val="00363ED8"/>
    <w:rsid w:val="0036406D"/>
    <w:rsid w:val="00364094"/>
    <w:rsid w:val="003641D9"/>
    <w:rsid w:val="00364499"/>
    <w:rsid w:val="0036458B"/>
    <w:rsid w:val="003646D1"/>
    <w:rsid w:val="003646FC"/>
    <w:rsid w:val="003647FC"/>
    <w:rsid w:val="0036482C"/>
    <w:rsid w:val="003648B7"/>
    <w:rsid w:val="0036491D"/>
    <w:rsid w:val="00364942"/>
    <w:rsid w:val="003649BC"/>
    <w:rsid w:val="003649FA"/>
    <w:rsid w:val="00364A43"/>
    <w:rsid w:val="00364B53"/>
    <w:rsid w:val="00364CDA"/>
    <w:rsid w:val="00364D26"/>
    <w:rsid w:val="00364EA3"/>
    <w:rsid w:val="00364F9B"/>
    <w:rsid w:val="0036505D"/>
    <w:rsid w:val="0036526C"/>
    <w:rsid w:val="0036528D"/>
    <w:rsid w:val="00365340"/>
    <w:rsid w:val="0036546D"/>
    <w:rsid w:val="00365473"/>
    <w:rsid w:val="003655B4"/>
    <w:rsid w:val="00365699"/>
    <w:rsid w:val="003656E7"/>
    <w:rsid w:val="0036571D"/>
    <w:rsid w:val="0036576F"/>
    <w:rsid w:val="00365923"/>
    <w:rsid w:val="0036594A"/>
    <w:rsid w:val="00365AE7"/>
    <w:rsid w:val="00365B02"/>
    <w:rsid w:val="00365C01"/>
    <w:rsid w:val="00365C12"/>
    <w:rsid w:val="00365CFB"/>
    <w:rsid w:val="00365D03"/>
    <w:rsid w:val="00365E1D"/>
    <w:rsid w:val="00365EB6"/>
    <w:rsid w:val="00365F29"/>
    <w:rsid w:val="00365F64"/>
    <w:rsid w:val="0036603E"/>
    <w:rsid w:val="00366124"/>
    <w:rsid w:val="00366192"/>
    <w:rsid w:val="003661A9"/>
    <w:rsid w:val="003661EA"/>
    <w:rsid w:val="00366253"/>
    <w:rsid w:val="003663A3"/>
    <w:rsid w:val="00366501"/>
    <w:rsid w:val="0036656E"/>
    <w:rsid w:val="0036679F"/>
    <w:rsid w:val="003669AC"/>
    <w:rsid w:val="00366A6A"/>
    <w:rsid w:val="00366C0C"/>
    <w:rsid w:val="00366C0E"/>
    <w:rsid w:val="00366E89"/>
    <w:rsid w:val="00366EE1"/>
    <w:rsid w:val="00366F12"/>
    <w:rsid w:val="0036713E"/>
    <w:rsid w:val="0036716D"/>
    <w:rsid w:val="00367186"/>
    <w:rsid w:val="003672CF"/>
    <w:rsid w:val="00367449"/>
    <w:rsid w:val="003674A9"/>
    <w:rsid w:val="0036769D"/>
    <w:rsid w:val="003676AB"/>
    <w:rsid w:val="003677AE"/>
    <w:rsid w:val="003679D4"/>
    <w:rsid w:val="00367AEE"/>
    <w:rsid w:val="00367C99"/>
    <w:rsid w:val="00367D37"/>
    <w:rsid w:val="00367EB6"/>
    <w:rsid w:val="00367F36"/>
    <w:rsid w:val="00367FEE"/>
    <w:rsid w:val="00370140"/>
    <w:rsid w:val="0037014B"/>
    <w:rsid w:val="0037041C"/>
    <w:rsid w:val="00370433"/>
    <w:rsid w:val="003705B6"/>
    <w:rsid w:val="003705C8"/>
    <w:rsid w:val="003706E5"/>
    <w:rsid w:val="0037070A"/>
    <w:rsid w:val="0037081A"/>
    <w:rsid w:val="00370AC8"/>
    <w:rsid w:val="00370AE0"/>
    <w:rsid w:val="00370AF3"/>
    <w:rsid w:val="00370BBB"/>
    <w:rsid w:val="00370C24"/>
    <w:rsid w:val="00370E8B"/>
    <w:rsid w:val="00371431"/>
    <w:rsid w:val="003715D8"/>
    <w:rsid w:val="0037175F"/>
    <w:rsid w:val="00371799"/>
    <w:rsid w:val="0037180A"/>
    <w:rsid w:val="0037184E"/>
    <w:rsid w:val="00371859"/>
    <w:rsid w:val="003718C3"/>
    <w:rsid w:val="00371A27"/>
    <w:rsid w:val="00371A71"/>
    <w:rsid w:val="00371B0B"/>
    <w:rsid w:val="00371BB8"/>
    <w:rsid w:val="00371DA6"/>
    <w:rsid w:val="00371E8A"/>
    <w:rsid w:val="00371EB7"/>
    <w:rsid w:val="00371F3E"/>
    <w:rsid w:val="003720E9"/>
    <w:rsid w:val="00372210"/>
    <w:rsid w:val="003722B1"/>
    <w:rsid w:val="003722E1"/>
    <w:rsid w:val="00372411"/>
    <w:rsid w:val="0037249F"/>
    <w:rsid w:val="00372526"/>
    <w:rsid w:val="003725E7"/>
    <w:rsid w:val="0037279F"/>
    <w:rsid w:val="00372874"/>
    <w:rsid w:val="0037290A"/>
    <w:rsid w:val="0037290D"/>
    <w:rsid w:val="003729A5"/>
    <w:rsid w:val="00372AF4"/>
    <w:rsid w:val="00372C15"/>
    <w:rsid w:val="00372D33"/>
    <w:rsid w:val="00372D45"/>
    <w:rsid w:val="00372D58"/>
    <w:rsid w:val="00372D5B"/>
    <w:rsid w:val="00372DEA"/>
    <w:rsid w:val="00372E95"/>
    <w:rsid w:val="00372ED3"/>
    <w:rsid w:val="00372FBA"/>
    <w:rsid w:val="0037315E"/>
    <w:rsid w:val="003732B0"/>
    <w:rsid w:val="00373317"/>
    <w:rsid w:val="0037343A"/>
    <w:rsid w:val="0037345C"/>
    <w:rsid w:val="003736B6"/>
    <w:rsid w:val="003736DE"/>
    <w:rsid w:val="003737DD"/>
    <w:rsid w:val="003738D8"/>
    <w:rsid w:val="00373950"/>
    <w:rsid w:val="00373A16"/>
    <w:rsid w:val="00373AEF"/>
    <w:rsid w:val="00373AF3"/>
    <w:rsid w:val="00373B63"/>
    <w:rsid w:val="00373BDF"/>
    <w:rsid w:val="00373D48"/>
    <w:rsid w:val="00373E78"/>
    <w:rsid w:val="00373ED9"/>
    <w:rsid w:val="00373EFA"/>
    <w:rsid w:val="0037403E"/>
    <w:rsid w:val="003740A3"/>
    <w:rsid w:val="003741B8"/>
    <w:rsid w:val="003742D5"/>
    <w:rsid w:val="003742D8"/>
    <w:rsid w:val="003742F5"/>
    <w:rsid w:val="003743F0"/>
    <w:rsid w:val="00374573"/>
    <w:rsid w:val="003745E9"/>
    <w:rsid w:val="0037468E"/>
    <w:rsid w:val="003746B9"/>
    <w:rsid w:val="003746F2"/>
    <w:rsid w:val="00374747"/>
    <w:rsid w:val="003747CB"/>
    <w:rsid w:val="00374923"/>
    <w:rsid w:val="00374ACB"/>
    <w:rsid w:val="00374C13"/>
    <w:rsid w:val="00374F47"/>
    <w:rsid w:val="00375027"/>
    <w:rsid w:val="003750BF"/>
    <w:rsid w:val="003751F0"/>
    <w:rsid w:val="00375328"/>
    <w:rsid w:val="0037569B"/>
    <w:rsid w:val="003756B7"/>
    <w:rsid w:val="00375727"/>
    <w:rsid w:val="0037578E"/>
    <w:rsid w:val="00375908"/>
    <w:rsid w:val="0037596A"/>
    <w:rsid w:val="00375AEC"/>
    <w:rsid w:val="00375B5D"/>
    <w:rsid w:val="00375BDE"/>
    <w:rsid w:val="00375E68"/>
    <w:rsid w:val="00375E97"/>
    <w:rsid w:val="00375EB7"/>
    <w:rsid w:val="00375F51"/>
    <w:rsid w:val="00376049"/>
    <w:rsid w:val="003760E2"/>
    <w:rsid w:val="003762F3"/>
    <w:rsid w:val="00376354"/>
    <w:rsid w:val="00376384"/>
    <w:rsid w:val="003764EE"/>
    <w:rsid w:val="00376500"/>
    <w:rsid w:val="00376503"/>
    <w:rsid w:val="003767E8"/>
    <w:rsid w:val="0037688A"/>
    <w:rsid w:val="003768A7"/>
    <w:rsid w:val="003768B8"/>
    <w:rsid w:val="00376A39"/>
    <w:rsid w:val="00376A92"/>
    <w:rsid w:val="00376B19"/>
    <w:rsid w:val="00376B32"/>
    <w:rsid w:val="00376B7A"/>
    <w:rsid w:val="00376CD2"/>
    <w:rsid w:val="00376DEB"/>
    <w:rsid w:val="00376EF8"/>
    <w:rsid w:val="00376F16"/>
    <w:rsid w:val="00376F59"/>
    <w:rsid w:val="00376FEF"/>
    <w:rsid w:val="00377005"/>
    <w:rsid w:val="00377117"/>
    <w:rsid w:val="0037715D"/>
    <w:rsid w:val="003771AE"/>
    <w:rsid w:val="00377260"/>
    <w:rsid w:val="003772AF"/>
    <w:rsid w:val="003773CA"/>
    <w:rsid w:val="00377407"/>
    <w:rsid w:val="00377495"/>
    <w:rsid w:val="003774A9"/>
    <w:rsid w:val="003774F2"/>
    <w:rsid w:val="0037765B"/>
    <w:rsid w:val="0037768A"/>
    <w:rsid w:val="0037773D"/>
    <w:rsid w:val="003777FA"/>
    <w:rsid w:val="00377A0C"/>
    <w:rsid w:val="00377AF0"/>
    <w:rsid w:val="00377C60"/>
    <w:rsid w:val="00377D8B"/>
    <w:rsid w:val="00377DFD"/>
    <w:rsid w:val="00377F09"/>
    <w:rsid w:val="00377FC3"/>
    <w:rsid w:val="00380100"/>
    <w:rsid w:val="003802FD"/>
    <w:rsid w:val="0038030C"/>
    <w:rsid w:val="00380422"/>
    <w:rsid w:val="00380561"/>
    <w:rsid w:val="003805DD"/>
    <w:rsid w:val="00380656"/>
    <w:rsid w:val="0038067E"/>
    <w:rsid w:val="003806E6"/>
    <w:rsid w:val="00380817"/>
    <w:rsid w:val="003808D7"/>
    <w:rsid w:val="00380974"/>
    <w:rsid w:val="00380C1A"/>
    <w:rsid w:val="00380D2B"/>
    <w:rsid w:val="00380D8B"/>
    <w:rsid w:val="00380E85"/>
    <w:rsid w:val="00380FD3"/>
    <w:rsid w:val="0038115C"/>
    <w:rsid w:val="0038133F"/>
    <w:rsid w:val="003813DB"/>
    <w:rsid w:val="003815EF"/>
    <w:rsid w:val="00381616"/>
    <w:rsid w:val="00381637"/>
    <w:rsid w:val="00381644"/>
    <w:rsid w:val="00381896"/>
    <w:rsid w:val="003818E4"/>
    <w:rsid w:val="00381944"/>
    <w:rsid w:val="00381AA8"/>
    <w:rsid w:val="00381BAA"/>
    <w:rsid w:val="00381CAA"/>
    <w:rsid w:val="00381D83"/>
    <w:rsid w:val="00381D91"/>
    <w:rsid w:val="00381DE9"/>
    <w:rsid w:val="00381E53"/>
    <w:rsid w:val="00381F86"/>
    <w:rsid w:val="00381FA3"/>
    <w:rsid w:val="00382104"/>
    <w:rsid w:val="003821BF"/>
    <w:rsid w:val="0038220D"/>
    <w:rsid w:val="003824AD"/>
    <w:rsid w:val="00382539"/>
    <w:rsid w:val="003826A8"/>
    <w:rsid w:val="003826E0"/>
    <w:rsid w:val="0038272C"/>
    <w:rsid w:val="0038278B"/>
    <w:rsid w:val="00382840"/>
    <w:rsid w:val="00382A38"/>
    <w:rsid w:val="00382AAE"/>
    <w:rsid w:val="00382ACB"/>
    <w:rsid w:val="00382C54"/>
    <w:rsid w:val="00382DA5"/>
    <w:rsid w:val="00382DDA"/>
    <w:rsid w:val="00382E1C"/>
    <w:rsid w:val="00382E69"/>
    <w:rsid w:val="00382E8A"/>
    <w:rsid w:val="00382ECA"/>
    <w:rsid w:val="00383018"/>
    <w:rsid w:val="0038307A"/>
    <w:rsid w:val="00383113"/>
    <w:rsid w:val="003831E2"/>
    <w:rsid w:val="003833B4"/>
    <w:rsid w:val="003833F5"/>
    <w:rsid w:val="00383581"/>
    <w:rsid w:val="0038377F"/>
    <w:rsid w:val="003838B8"/>
    <w:rsid w:val="0038395A"/>
    <w:rsid w:val="00383A0D"/>
    <w:rsid w:val="00383A10"/>
    <w:rsid w:val="00383AA4"/>
    <w:rsid w:val="00383B21"/>
    <w:rsid w:val="00383BAB"/>
    <w:rsid w:val="00383D41"/>
    <w:rsid w:val="00383D61"/>
    <w:rsid w:val="00383D80"/>
    <w:rsid w:val="00383ECC"/>
    <w:rsid w:val="0038440C"/>
    <w:rsid w:val="003845FB"/>
    <w:rsid w:val="003846CC"/>
    <w:rsid w:val="00384771"/>
    <w:rsid w:val="00384884"/>
    <w:rsid w:val="0038490F"/>
    <w:rsid w:val="00384A75"/>
    <w:rsid w:val="00384A99"/>
    <w:rsid w:val="00384ADF"/>
    <w:rsid w:val="00384AEE"/>
    <w:rsid w:val="00384C77"/>
    <w:rsid w:val="00384D6B"/>
    <w:rsid w:val="00384E20"/>
    <w:rsid w:val="00384E73"/>
    <w:rsid w:val="00384ED7"/>
    <w:rsid w:val="003850B4"/>
    <w:rsid w:val="003851D3"/>
    <w:rsid w:val="003851FA"/>
    <w:rsid w:val="003852DA"/>
    <w:rsid w:val="003853ED"/>
    <w:rsid w:val="0038540B"/>
    <w:rsid w:val="00385548"/>
    <w:rsid w:val="003855E0"/>
    <w:rsid w:val="003855EA"/>
    <w:rsid w:val="00385624"/>
    <w:rsid w:val="0038586D"/>
    <w:rsid w:val="00385912"/>
    <w:rsid w:val="0038595B"/>
    <w:rsid w:val="003859B5"/>
    <w:rsid w:val="00385A37"/>
    <w:rsid w:val="00385A3D"/>
    <w:rsid w:val="00385BB5"/>
    <w:rsid w:val="00385C6D"/>
    <w:rsid w:val="00385D6A"/>
    <w:rsid w:val="00385DF6"/>
    <w:rsid w:val="00386012"/>
    <w:rsid w:val="003860BE"/>
    <w:rsid w:val="0038620D"/>
    <w:rsid w:val="00386480"/>
    <w:rsid w:val="0038648A"/>
    <w:rsid w:val="0038657A"/>
    <w:rsid w:val="0038661D"/>
    <w:rsid w:val="003866AC"/>
    <w:rsid w:val="003866F6"/>
    <w:rsid w:val="003867C8"/>
    <w:rsid w:val="0038685F"/>
    <w:rsid w:val="003868EC"/>
    <w:rsid w:val="0038690A"/>
    <w:rsid w:val="00386A45"/>
    <w:rsid w:val="00386A65"/>
    <w:rsid w:val="00386AAF"/>
    <w:rsid w:val="00386AF0"/>
    <w:rsid w:val="00386BC0"/>
    <w:rsid w:val="00386CC9"/>
    <w:rsid w:val="003870DC"/>
    <w:rsid w:val="0038715B"/>
    <w:rsid w:val="00387241"/>
    <w:rsid w:val="0038739E"/>
    <w:rsid w:val="003873A8"/>
    <w:rsid w:val="0038742F"/>
    <w:rsid w:val="003874FE"/>
    <w:rsid w:val="003875FB"/>
    <w:rsid w:val="00387747"/>
    <w:rsid w:val="00387768"/>
    <w:rsid w:val="003877A0"/>
    <w:rsid w:val="0038782A"/>
    <w:rsid w:val="00387879"/>
    <w:rsid w:val="00387A87"/>
    <w:rsid w:val="00387AC7"/>
    <w:rsid w:val="00387B74"/>
    <w:rsid w:val="00387C13"/>
    <w:rsid w:val="00387C16"/>
    <w:rsid w:val="00387CC4"/>
    <w:rsid w:val="00387CE6"/>
    <w:rsid w:val="00387D5D"/>
    <w:rsid w:val="00387DCB"/>
    <w:rsid w:val="00387E4D"/>
    <w:rsid w:val="00387EAA"/>
    <w:rsid w:val="00387EE3"/>
    <w:rsid w:val="00387FD3"/>
    <w:rsid w:val="0039005C"/>
    <w:rsid w:val="00390088"/>
    <w:rsid w:val="003901D2"/>
    <w:rsid w:val="003901D6"/>
    <w:rsid w:val="0039025F"/>
    <w:rsid w:val="0039028F"/>
    <w:rsid w:val="003902A9"/>
    <w:rsid w:val="003906A3"/>
    <w:rsid w:val="0039072C"/>
    <w:rsid w:val="0039087D"/>
    <w:rsid w:val="00390958"/>
    <w:rsid w:val="00390ACF"/>
    <w:rsid w:val="00390C3C"/>
    <w:rsid w:val="00390CDF"/>
    <w:rsid w:val="00390D75"/>
    <w:rsid w:val="00390D7D"/>
    <w:rsid w:val="00390DE5"/>
    <w:rsid w:val="00390E44"/>
    <w:rsid w:val="00390F44"/>
    <w:rsid w:val="00390FEB"/>
    <w:rsid w:val="003910DB"/>
    <w:rsid w:val="0039129F"/>
    <w:rsid w:val="00391441"/>
    <w:rsid w:val="00391561"/>
    <w:rsid w:val="003916CA"/>
    <w:rsid w:val="003916F3"/>
    <w:rsid w:val="0039172C"/>
    <w:rsid w:val="00391867"/>
    <w:rsid w:val="00391889"/>
    <w:rsid w:val="003918FC"/>
    <w:rsid w:val="00391991"/>
    <w:rsid w:val="003919FD"/>
    <w:rsid w:val="00391A2C"/>
    <w:rsid w:val="00391BE4"/>
    <w:rsid w:val="00391C16"/>
    <w:rsid w:val="00391C8B"/>
    <w:rsid w:val="00391CED"/>
    <w:rsid w:val="00391D74"/>
    <w:rsid w:val="00391DB9"/>
    <w:rsid w:val="00391DCF"/>
    <w:rsid w:val="00391E5D"/>
    <w:rsid w:val="00391E89"/>
    <w:rsid w:val="00391F04"/>
    <w:rsid w:val="00392047"/>
    <w:rsid w:val="00392069"/>
    <w:rsid w:val="00392488"/>
    <w:rsid w:val="0039249E"/>
    <w:rsid w:val="003924C2"/>
    <w:rsid w:val="003924E7"/>
    <w:rsid w:val="003926C5"/>
    <w:rsid w:val="003926D8"/>
    <w:rsid w:val="003926D9"/>
    <w:rsid w:val="00392725"/>
    <w:rsid w:val="0039282A"/>
    <w:rsid w:val="0039283D"/>
    <w:rsid w:val="0039299D"/>
    <w:rsid w:val="00392B33"/>
    <w:rsid w:val="00392C93"/>
    <w:rsid w:val="00392D64"/>
    <w:rsid w:val="00392E5B"/>
    <w:rsid w:val="00392F97"/>
    <w:rsid w:val="00392FF8"/>
    <w:rsid w:val="003930BB"/>
    <w:rsid w:val="00393200"/>
    <w:rsid w:val="0039334E"/>
    <w:rsid w:val="003933B2"/>
    <w:rsid w:val="00393472"/>
    <w:rsid w:val="003934AD"/>
    <w:rsid w:val="0039353F"/>
    <w:rsid w:val="003936D1"/>
    <w:rsid w:val="00393848"/>
    <w:rsid w:val="00393992"/>
    <w:rsid w:val="003939EC"/>
    <w:rsid w:val="003939ED"/>
    <w:rsid w:val="00393A6A"/>
    <w:rsid w:val="00393AC1"/>
    <w:rsid w:val="00393AC3"/>
    <w:rsid w:val="00393B43"/>
    <w:rsid w:val="00393C67"/>
    <w:rsid w:val="00393CB1"/>
    <w:rsid w:val="00393E01"/>
    <w:rsid w:val="00393E1E"/>
    <w:rsid w:val="00393E39"/>
    <w:rsid w:val="00393F1B"/>
    <w:rsid w:val="00393F8B"/>
    <w:rsid w:val="00393F98"/>
    <w:rsid w:val="003940AA"/>
    <w:rsid w:val="00394198"/>
    <w:rsid w:val="00394246"/>
    <w:rsid w:val="0039426A"/>
    <w:rsid w:val="0039427F"/>
    <w:rsid w:val="003942DE"/>
    <w:rsid w:val="0039432C"/>
    <w:rsid w:val="0039442A"/>
    <w:rsid w:val="00394619"/>
    <w:rsid w:val="003946E4"/>
    <w:rsid w:val="003947F4"/>
    <w:rsid w:val="003948B9"/>
    <w:rsid w:val="003949A8"/>
    <w:rsid w:val="00394A0B"/>
    <w:rsid w:val="00394A14"/>
    <w:rsid w:val="00394AFE"/>
    <w:rsid w:val="00394C26"/>
    <w:rsid w:val="00394D79"/>
    <w:rsid w:val="00394E0C"/>
    <w:rsid w:val="00394F32"/>
    <w:rsid w:val="00394F8D"/>
    <w:rsid w:val="0039506F"/>
    <w:rsid w:val="00395280"/>
    <w:rsid w:val="003953ED"/>
    <w:rsid w:val="00395431"/>
    <w:rsid w:val="00395437"/>
    <w:rsid w:val="003955CE"/>
    <w:rsid w:val="0039561D"/>
    <w:rsid w:val="00395667"/>
    <w:rsid w:val="0039567A"/>
    <w:rsid w:val="0039573A"/>
    <w:rsid w:val="00395907"/>
    <w:rsid w:val="00395D17"/>
    <w:rsid w:val="00395DCF"/>
    <w:rsid w:val="00395E78"/>
    <w:rsid w:val="00395FE2"/>
    <w:rsid w:val="00396077"/>
    <w:rsid w:val="00396239"/>
    <w:rsid w:val="0039625D"/>
    <w:rsid w:val="00396569"/>
    <w:rsid w:val="003965C7"/>
    <w:rsid w:val="003965CA"/>
    <w:rsid w:val="003965CF"/>
    <w:rsid w:val="003965DE"/>
    <w:rsid w:val="00396624"/>
    <w:rsid w:val="0039666E"/>
    <w:rsid w:val="003966D0"/>
    <w:rsid w:val="003967A1"/>
    <w:rsid w:val="003967EB"/>
    <w:rsid w:val="00396816"/>
    <w:rsid w:val="00396924"/>
    <w:rsid w:val="003969A7"/>
    <w:rsid w:val="00396A3A"/>
    <w:rsid w:val="00396C4F"/>
    <w:rsid w:val="00396C5A"/>
    <w:rsid w:val="00396C78"/>
    <w:rsid w:val="00396DF6"/>
    <w:rsid w:val="00396E5F"/>
    <w:rsid w:val="00396EB8"/>
    <w:rsid w:val="00396EDD"/>
    <w:rsid w:val="00396F78"/>
    <w:rsid w:val="00396FAC"/>
    <w:rsid w:val="00396FAF"/>
    <w:rsid w:val="00396FE7"/>
    <w:rsid w:val="00397087"/>
    <w:rsid w:val="003970DA"/>
    <w:rsid w:val="00397105"/>
    <w:rsid w:val="003971DD"/>
    <w:rsid w:val="00397229"/>
    <w:rsid w:val="00397268"/>
    <w:rsid w:val="003972E5"/>
    <w:rsid w:val="0039741E"/>
    <w:rsid w:val="0039744C"/>
    <w:rsid w:val="003975C1"/>
    <w:rsid w:val="0039776A"/>
    <w:rsid w:val="003977EA"/>
    <w:rsid w:val="00397946"/>
    <w:rsid w:val="00397995"/>
    <w:rsid w:val="00397A3D"/>
    <w:rsid w:val="00397AB0"/>
    <w:rsid w:val="00397B68"/>
    <w:rsid w:val="00397B6C"/>
    <w:rsid w:val="00397C61"/>
    <w:rsid w:val="003A0000"/>
    <w:rsid w:val="003A01AF"/>
    <w:rsid w:val="003A01D5"/>
    <w:rsid w:val="003A0328"/>
    <w:rsid w:val="003A03A2"/>
    <w:rsid w:val="003A03E2"/>
    <w:rsid w:val="003A0564"/>
    <w:rsid w:val="003A06DA"/>
    <w:rsid w:val="003A0836"/>
    <w:rsid w:val="003A08E6"/>
    <w:rsid w:val="003A096E"/>
    <w:rsid w:val="003A09C1"/>
    <w:rsid w:val="003A0A42"/>
    <w:rsid w:val="003A0B3F"/>
    <w:rsid w:val="003A0CF7"/>
    <w:rsid w:val="003A0D82"/>
    <w:rsid w:val="003A0F58"/>
    <w:rsid w:val="003A0F70"/>
    <w:rsid w:val="003A0F8F"/>
    <w:rsid w:val="003A0FA5"/>
    <w:rsid w:val="003A1084"/>
    <w:rsid w:val="003A10D8"/>
    <w:rsid w:val="003A1142"/>
    <w:rsid w:val="003A12EE"/>
    <w:rsid w:val="003A1540"/>
    <w:rsid w:val="003A1742"/>
    <w:rsid w:val="003A177A"/>
    <w:rsid w:val="003A1795"/>
    <w:rsid w:val="003A1915"/>
    <w:rsid w:val="003A1A73"/>
    <w:rsid w:val="003A1B1D"/>
    <w:rsid w:val="003A1B99"/>
    <w:rsid w:val="003A1BA7"/>
    <w:rsid w:val="003A1C20"/>
    <w:rsid w:val="003A1C52"/>
    <w:rsid w:val="003A1D42"/>
    <w:rsid w:val="003A1DDB"/>
    <w:rsid w:val="003A1E32"/>
    <w:rsid w:val="003A1E59"/>
    <w:rsid w:val="003A20F4"/>
    <w:rsid w:val="003A2117"/>
    <w:rsid w:val="003A238B"/>
    <w:rsid w:val="003A23AF"/>
    <w:rsid w:val="003A23B3"/>
    <w:rsid w:val="003A248B"/>
    <w:rsid w:val="003A2564"/>
    <w:rsid w:val="003A25CD"/>
    <w:rsid w:val="003A25F7"/>
    <w:rsid w:val="003A26C3"/>
    <w:rsid w:val="003A26CB"/>
    <w:rsid w:val="003A287E"/>
    <w:rsid w:val="003A28A2"/>
    <w:rsid w:val="003A29E4"/>
    <w:rsid w:val="003A2CF5"/>
    <w:rsid w:val="003A2DEF"/>
    <w:rsid w:val="003A2E33"/>
    <w:rsid w:val="003A2E83"/>
    <w:rsid w:val="003A2EBF"/>
    <w:rsid w:val="003A2F24"/>
    <w:rsid w:val="003A2F52"/>
    <w:rsid w:val="003A30BE"/>
    <w:rsid w:val="003A3376"/>
    <w:rsid w:val="003A344D"/>
    <w:rsid w:val="003A3454"/>
    <w:rsid w:val="003A354A"/>
    <w:rsid w:val="003A35B8"/>
    <w:rsid w:val="003A367A"/>
    <w:rsid w:val="003A36E9"/>
    <w:rsid w:val="003A370B"/>
    <w:rsid w:val="003A3835"/>
    <w:rsid w:val="003A3916"/>
    <w:rsid w:val="003A391F"/>
    <w:rsid w:val="003A3A5F"/>
    <w:rsid w:val="003A3AF8"/>
    <w:rsid w:val="003A3D7E"/>
    <w:rsid w:val="003A3DC1"/>
    <w:rsid w:val="003A3E4B"/>
    <w:rsid w:val="003A3E73"/>
    <w:rsid w:val="003A3ED0"/>
    <w:rsid w:val="003A411F"/>
    <w:rsid w:val="003A4352"/>
    <w:rsid w:val="003A443E"/>
    <w:rsid w:val="003A467C"/>
    <w:rsid w:val="003A46F6"/>
    <w:rsid w:val="003A48EE"/>
    <w:rsid w:val="003A4951"/>
    <w:rsid w:val="003A4B08"/>
    <w:rsid w:val="003A4B5E"/>
    <w:rsid w:val="003A4C16"/>
    <w:rsid w:val="003A4C77"/>
    <w:rsid w:val="003A4CA4"/>
    <w:rsid w:val="003A4D13"/>
    <w:rsid w:val="003A4D5D"/>
    <w:rsid w:val="003A4DBE"/>
    <w:rsid w:val="003A4FE0"/>
    <w:rsid w:val="003A50BF"/>
    <w:rsid w:val="003A5243"/>
    <w:rsid w:val="003A5287"/>
    <w:rsid w:val="003A536E"/>
    <w:rsid w:val="003A537E"/>
    <w:rsid w:val="003A54DC"/>
    <w:rsid w:val="003A562B"/>
    <w:rsid w:val="003A573C"/>
    <w:rsid w:val="003A5789"/>
    <w:rsid w:val="003A5A9E"/>
    <w:rsid w:val="003A5AB7"/>
    <w:rsid w:val="003A5AD1"/>
    <w:rsid w:val="003A5AFB"/>
    <w:rsid w:val="003A5B45"/>
    <w:rsid w:val="003A5C56"/>
    <w:rsid w:val="003A5CDB"/>
    <w:rsid w:val="003A5D19"/>
    <w:rsid w:val="003A5E2D"/>
    <w:rsid w:val="003A5E62"/>
    <w:rsid w:val="003A5E8A"/>
    <w:rsid w:val="003A5E97"/>
    <w:rsid w:val="003A602E"/>
    <w:rsid w:val="003A6090"/>
    <w:rsid w:val="003A6101"/>
    <w:rsid w:val="003A6178"/>
    <w:rsid w:val="003A61BE"/>
    <w:rsid w:val="003A6203"/>
    <w:rsid w:val="003A620E"/>
    <w:rsid w:val="003A6250"/>
    <w:rsid w:val="003A6285"/>
    <w:rsid w:val="003A64B9"/>
    <w:rsid w:val="003A6533"/>
    <w:rsid w:val="003A6561"/>
    <w:rsid w:val="003A66B4"/>
    <w:rsid w:val="003A674B"/>
    <w:rsid w:val="003A67AD"/>
    <w:rsid w:val="003A6873"/>
    <w:rsid w:val="003A68AD"/>
    <w:rsid w:val="003A6923"/>
    <w:rsid w:val="003A696A"/>
    <w:rsid w:val="003A69BA"/>
    <w:rsid w:val="003A6A52"/>
    <w:rsid w:val="003A6B94"/>
    <w:rsid w:val="003A6C26"/>
    <w:rsid w:val="003A6D24"/>
    <w:rsid w:val="003A6EF8"/>
    <w:rsid w:val="003A6F0B"/>
    <w:rsid w:val="003A70EC"/>
    <w:rsid w:val="003A7327"/>
    <w:rsid w:val="003A736A"/>
    <w:rsid w:val="003A73E9"/>
    <w:rsid w:val="003A7458"/>
    <w:rsid w:val="003A7585"/>
    <w:rsid w:val="003A75A7"/>
    <w:rsid w:val="003A7648"/>
    <w:rsid w:val="003A769C"/>
    <w:rsid w:val="003A76E5"/>
    <w:rsid w:val="003A7749"/>
    <w:rsid w:val="003A775E"/>
    <w:rsid w:val="003A77DB"/>
    <w:rsid w:val="003A7806"/>
    <w:rsid w:val="003A782A"/>
    <w:rsid w:val="003A78FE"/>
    <w:rsid w:val="003A7A1B"/>
    <w:rsid w:val="003A7AEA"/>
    <w:rsid w:val="003A7B28"/>
    <w:rsid w:val="003A7BFD"/>
    <w:rsid w:val="003A7C01"/>
    <w:rsid w:val="003A7C53"/>
    <w:rsid w:val="003A7CBB"/>
    <w:rsid w:val="003A7CD1"/>
    <w:rsid w:val="003A7D50"/>
    <w:rsid w:val="003A7EAA"/>
    <w:rsid w:val="003A7EE1"/>
    <w:rsid w:val="003B000A"/>
    <w:rsid w:val="003B01BF"/>
    <w:rsid w:val="003B01F3"/>
    <w:rsid w:val="003B02FD"/>
    <w:rsid w:val="003B0311"/>
    <w:rsid w:val="003B0583"/>
    <w:rsid w:val="003B05BB"/>
    <w:rsid w:val="003B0635"/>
    <w:rsid w:val="003B0636"/>
    <w:rsid w:val="003B0665"/>
    <w:rsid w:val="003B0682"/>
    <w:rsid w:val="003B07F5"/>
    <w:rsid w:val="003B08F4"/>
    <w:rsid w:val="003B0A00"/>
    <w:rsid w:val="003B0B1E"/>
    <w:rsid w:val="003B0CF5"/>
    <w:rsid w:val="003B0D5E"/>
    <w:rsid w:val="003B0D66"/>
    <w:rsid w:val="003B0F5B"/>
    <w:rsid w:val="003B0F6F"/>
    <w:rsid w:val="003B0F84"/>
    <w:rsid w:val="003B1046"/>
    <w:rsid w:val="003B1252"/>
    <w:rsid w:val="003B1379"/>
    <w:rsid w:val="003B171E"/>
    <w:rsid w:val="003B189D"/>
    <w:rsid w:val="003B18F3"/>
    <w:rsid w:val="003B1941"/>
    <w:rsid w:val="003B1A1B"/>
    <w:rsid w:val="003B1A36"/>
    <w:rsid w:val="003B1B93"/>
    <w:rsid w:val="003B1C3B"/>
    <w:rsid w:val="003B1DC5"/>
    <w:rsid w:val="003B1DDD"/>
    <w:rsid w:val="003B1F7B"/>
    <w:rsid w:val="003B1FCC"/>
    <w:rsid w:val="003B1FE3"/>
    <w:rsid w:val="003B20C0"/>
    <w:rsid w:val="003B2195"/>
    <w:rsid w:val="003B2434"/>
    <w:rsid w:val="003B2591"/>
    <w:rsid w:val="003B25BF"/>
    <w:rsid w:val="003B26E2"/>
    <w:rsid w:val="003B2701"/>
    <w:rsid w:val="003B286C"/>
    <w:rsid w:val="003B2A51"/>
    <w:rsid w:val="003B2A56"/>
    <w:rsid w:val="003B2A78"/>
    <w:rsid w:val="003B2AF3"/>
    <w:rsid w:val="003B2BA2"/>
    <w:rsid w:val="003B2C31"/>
    <w:rsid w:val="003B2C48"/>
    <w:rsid w:val="003B2CBC"/>
    <w:rsid w:val="003B2D78"/>
    <w:rsid w:val="003B2D7F"/>
    <w:rsid w:val="003B2E38"/>
    <w:rsid w:val="003B2F5C"/>
    <w:rsid w:val="003B3385"/>
    <w:rsid w:val="003B33B7"/>
    <w:rsid w:val="003B3405"/>
    <w:rsid w:val="003B3408"/>
    <w:rsid w:val="003B341C"/>
    <w:rsid w:val="003B3653"/>
    <w:rsid w:val="003B371E"/>
    <w:rsid w:val="003B392E"/>
    <w:rsid w:val="003B395C"/>
    <w:rsid w:val="003B3A78"/>
    <w:rsid w:val="003B3C0B"/>
    <w:rsid w:val="003B3CFA"/>
    <w:rsid w:val="003B3D41"/>
    <w:rsid w:val="003B3DFA"/>
    <w:rsid w:val="003B3ECE"/>
    <w:rsid w:val="003B3EDD"/>
    <w:rsid w:val="003B3F74"/>
    <w:rsid w:val="003B3F7E"/>
    <w:rsid w:val="003B3F89"/>
    <w:rsid w:val="003B4092"/>
    <w:rsid w:val="003B43DA"/>
    <w:rsid w:val="003B4471"/>
    <w:rsid w:val="003B4550"/>
    <w:rsid w:val="003B4568"/>
    <w:rsid w:val="003B45CA"/>
    <w:rsid w:val="003B45E1"/>
    <w:rsid w:val="003B45E2"/>
    <w:rsid w:val="003B4674"/>
    <w:rsid w:val="003B476A"/>
    <w:rsid w:val="003B4795"/>
    <w:rsid w:val="003B48ED"/>
    <w:rsid w:val="003B496F"/>
    <w:rsid w:val="003B49B4"/>
    <w:rsid w:val="003B4AF9"/>
    <w:rsid w:val="003B4BA3"/>
    <w:rsid w:val="003B4BED"/>
    <w:rsid w:val="003B4C68"/>
    <w:rsid w:val="003B4D4C"/>
    <w:rsid w:val="003B4E26"/>
    <w:rsid w:val="003B4E51"/>
    <w:rsid w:val="003B4EE1"/>
    <w:rsid w:val="003B500C"/>
    <w:rsid w:val="003B5084"/>
    <w:rsid w:val="003B50CE"/>
    <w:rsid w:val="003B50CF"/>
    <w:rsid w:val="003B5102"/>
    <w:rsid w:val="003B51D1"/>
    <w:rsid w:val="003B5257"/>
    <w:rsid w:val="003B5496"/>
    <w:rsid w:val="003B5569"/>
    <w:rsid w:val="003B55E1"/>
    <w:rsid w:val="003B5646"/>
    <w:rsid w:val="003B595B"/>
    <w:rsid w:val="003B5AB1"/>
    <w:rsid w:val="003B5AB9"/>
    <w:rsid w:val="003B5BFF"/>
    <w:rsid w:val="003B5C92"/>
    <w:rsid w:val="003B5D75"/>
    <w:rsid w:val="003B5E07"/>
    <w:rsid w:val="003B5E70"/>
    <w:rsid w:val="003B5F0E"/>
    <w:rsid w:val="003B626C"/>
    <w:rsid w:val="003B6351"/>
    <w:rsid w:val="003B63F5"/>
    <w:rsid w:val="003B63F6"/>
    <w:rsid w:val="003B640D"/>
    <w:rsid w:val="003B64D9"/>
    <w:rsid w:val="003B65B3"/>
    <w:rsid w:val="003B65E0"/>
    <w:rsid w:val="003B6649"/>
    <w:rsid w:val="003B6693"/>
    <w:rsid w:val="003B6694"/>
    <w:rsid w:val="003B66EA"/>
    <w:rsid w:val="003B674B"/>
    <w:rsid w:val="003B677D"/>
    <w:rsid w:val="003B67A0"/>
    <w:rsid w:val="003B6837"/>
    <w:rsid w:val="003B68C2"/>
    <w:rsid w:val="003B695F"/>
    <w:rsid w:val="003B69AB"/>
    <w:rsid w:val="003B6A34"/>
    <w:rsid w:val="003B6A8E"/>
    <w:rsid w:val="003B6B67"/>
    <w:rsid w:val="003B6BF1"/>
    <w:rsid w:val="003B6E12"/>
    <w:rsid w:val="003B6E62"/>
    <w:rsid w:val="003B6E84"/>
    <w:rsid w:val="003B7208"/>
    <w:rsid w:val="003B7352"/>
    <w:rsid w:val="003B7567"/>
    <w:rsid w:val="003B75FB"/>
    <w:rsid w:val="003B76A3"/>
    <w:rsid w:val="003B774C"/>
    <w:rsid w:val="003B7854"/>
    <w:rsid w:val="003B78CD"/>
    <w:rsid w:val="003B7900"/>
    <w:rsid w:val="003B791C"/>
    <w:rsid w:val="003B791D"/>
    <w:rsid w:val="003B7BE3"/>
    <w:rsid w:val="003B7C2D"/>
    <w:rsid w:val="003B7C59"/>
    <w:rsid w:val="003B7C7F"/>
    <w:rsid w:val="003B7CF0"/>
    <w:rsid w:val="003B7DAE"/>
    <w:rsid w:val="003B7E62"/>
    <w:rsid w:val="003B7FC2"/>
    <w:rsid w:val="003C002F"/>
    <w:rsid w:val="003C0097"/>
    <w:rsid w:val="003C00A0"/>
    <w:rsid w:val="003C015A"/>
    <w:rsid w:val="003C019E"/>
    <w:rsid w:val="003C023A"/>
    <w:rsid w:val="003C065D"/>
    <w:rsid w:val="003C06B3"/>
    <w:rsid w:val="003C0947"/>
    <w:rsid w:val="003C0B05"/>
    <w:rsid w:val="003C0B2F"/>
    <w:rsid w:val="003C0B79"/>
    <w:rsid w:val="003C0CCF"/>
    <w:rsid w:val="003C0CE3"/>
    <w:rsid w:val="003C0D79"/>
    <w:rsid w:val="003C0E8C"/>
    <w:rsid w:val="003C0EB8"/>
    <w:rsid w:val="003C0EFD"/>
    <w:rsid w:val="003C0F56"/>
    <w:rsid w:val="003C1045"/>
    <w:rsid w:val="003C1051"/>
    <w:rsid w:val="003C1195"/>
    <w:rsid w:val="003C11E7"/>
    <w:rsid w:val="003C1209"/>
    <w:rsid w:val="003C120C"/>
    <w:rsid w:val="003C1314"/>
    <w:rsid w:val="003C1427"/>
    <w:rsid w:val="003C14D3"/>
    <w:rsid w:val="003C1683"/>
    <w:rsid w:val="003C1776"/>
    <w:rsid w:val="003C1784"/>
    <w:rsid w:val="003C18A5"/>
    <w:rsid w:val="003C1923"/>
    <w:rsid w:val="003C1D9A"/>
    <w:rsid w:val="003C1E30"/>
    <w:rsid w:val="003C1E37"/>
    <w:rsid w:val="003C1EE5"/>
    <w:rsid w:val="003C1EF1"/>
    <w:rsid w:val="003C1F3B"/>
    <w:rsid w:val="003C1FD8"/>
    <w:rsid w:val="003C2006"/>
    <w:rsid w:val="003C20AE"/>
    <w:rsid w:val="003C22E4"/>
    <w:rsid w:val="003C234E"/>
    <w:rsid w:val="003C23CA"/>
    <w:rsid w:val="003C24C9"/>
    <w:rsid w:val="003C2562"/>
    <w:rsid w:val="003C2659"/>
    <w:rsid w:val="003C26EA"/>
    <w:rsid w:val="003C2770"/>
    <w:rsid w:val="003C28B5"/>
    <w:rsid w:val="003C295B"/>
    <w:rsid w:val="003C29F9"/>
    <w:rsid w:val="003C2A96"/>
    <w:rsid w:val="003C2C78"/>
    <w:rsid w:val="003C2E51"/>
    <w:rsid w:val="003C2E7B"/>
    <w:rsid w:val="003C2EAF"/>
    <w:rsid w:val="003C2F34"/>
    <w:rsid w:val="003C3096"/>
    <w:rsid w:val="003C30A4"/>
    <w:rsid w:val="003C3149"/>
    <w:rsid w:val="003C3279"/>
    <w:rsid w:val="003C330C"/>
    <w:rsid w:val="003C35B6"/>
    <w:rsid w:val="003C3694"/>
    <w:rsid w:val="003C3736"/>
    <w:rsid w:val="003C3742"/>
    <w:rsid w:val="003C3743"/>
    <w:rsid w:val="003C38F4"/>
    <w:rsid w:val="003C3A9F"/>
    <w:rsid w:val="003C3C43"/>
    <w:rsid w:val="003C3D45"/>
    <w:rsid w:val="003C3EDD"/>
    <w:rsid w:val="003C3F19"/>
    <w:rsid w:val="003C407D"/>
    <w:rsid w:val="003C4128"/>
    <w:rsid w:val="003C4233"/>
    <w:rsid w:val="003C42FC"/>
    <w:rsid w:val="003C4382"/>
    <w:rsid w:val="003C446B"/>
    <w:rsid w:val="003C455D"/>
    <w:rsid w:val="003C45F9"/>
    <w:rsid w:val="003C46A8"/>
    <w:rsid w:val="003C471D"/>
    <w:rsid w:val="003C4734"/>
    <w:rsid w:val="003C4809"/>
    <w:rsid w:val="003C4969"/>
    <w:rsid w:val="003C496E"/>
    <w:rsid w:val="003C49D1"/>
    <w:rsid w:val="003C4A91"/>
    <w:rsid w:val="003C4B46"/>
    <w:rsid w:val="003C4BC0"/>
    <w:rsid w:val="003C4D5A"/>
    <w:rsid w:val="003C4D99"/>
    <w:rsid w:val="003C4EC0"/>
    <w:rsid w:val="003C507D"/>
    <w:rsid w:val="003C50A3"/>
    <w:rsid w:val="003C50A7"/>
    <w:rsid w:val="003C50AD"/>
    <w:rsid w:val="003C50E4"/>
    <w:rsid w:val="003C50EB"/>
    <w:rsid w:val="003C5167"/>
    <w:rsid w:val="003C5199"/>
    <w:rsid w:val="003C51A2"/>
    <w:rsid w:val="003C51CD"/>
    <w:rsid w:val="003C52E3"/>
    <w:rsid w:val="003C5304"/>
    <w:rsid w:val="003C54B2"/>
    <w:rsid w:val="003C54DE"/>
    <w:rsid w:val="003C5555"/>
    <w:rsid w:val="003C5676"/>
    <w:rsid w:val="003C5680"/>
    <w:rsid w:val="003C5686"/>
    <w:rsid w:val="003C56A3"/>
    <w:rsid w:val="003C57D1"/>
    <w:rsid w:val="003C5888"/>
    <w:rsid w:val="003C59B8"/>
    <w:rsid w:val="003C5A1A"/>
    <w:rsid w:val="003C5A8D"/>
    <w:rsid w:val="003C5AD7"/>
    <w:rsid w:val="003C5B9B"/>
    <w:rsid w:val="003C5C35"/>
    <w:rsid w:val="003C5C54"/>
    <w:rsid w:val="003C5C72"/>
    <w:rsid w:val="003C5CB2"/>
    <w:rsid w:val="003C5EB5"/>
    <w:rsid w:val="003C5F75"/>
    <w:rsid w:val="003C5F9B"/>
    <w:rsid w:val="003C5FF4"/>
    <w:rsid w:val="003C60D4"/>
    <w:rsid w:val="003C6121"/>
    <w:rsid w:val="003C6156"/>
    <w:rsid w:val="003C6167"/>
    <w:rsid w:val="003C64E0"/>
    <w:rsid w:val="003C64EC"/>
    <w:rsid w:val="003C64F8"/>
    <w:rsid w:val="003C655E"/>
    <w:rsid w:val="003C65D5"/>
    <w:rsid w:val="003C669D"/>
    <w:rsid w:val="003C6751"/>
    <w:rsid w:val="003C6A31"/>
    <w:rsid w:val="003C6B36"/>
    <w:rsid w:val="003C6BAA"/>
    <w:rsid w:val="003C6CB0"/>
    <w:rsid w:val="003C6D52"/>
    <w:rsid w:val="003C6F7E"/>
    <w:rsid w:val="003C6FF0"/>
    <w:rsid w:val="003C70AA"/>
    <w:rsid w:val="003C70D5"/>
    <w:rsid w:val="003C7194"/>
    <w:rsid w:val="003C71D1"/>
    <w:rsid w:val="003C726C"/>
    <w:rsid w:val="003C734C"/>
    <w:rsid w:val="003C73DF"/>
    <w:rsid w:val="003C7406"/>
    <w:rsid w:val="003C7503"/>
    <w:rsid w:val="003C75ED"/>
    <w:rsid w:val="003C774B"/>
    <w:rsid w:val="003C7792"/>
    <w:rsid w:val="003C7847"/>
    <w:rsid w:val="003C7974"/>
    <w:rsid w:val="003C79E2"/>
    <w:rsid w:val="003C7A9D"/>
    <w:rsid w:val="003C7B04"/>
    <w:rsid w:val="003C7B22"/>
    <w:rsid w:val="003C7B26"/>
    <w:rsid w:val="003C7C45"/>
    <w:rsid w:val="003C7C47"/>
    <w:rsid w:val="003C7C5E"/>
    <w:rsid w:val="003C7CD1"/>
    <w:rsid w:val="003C7E66"/>
    <w:rsid w:val="003C7E8A"/>
    <w:rsid w:val="003C7F65"/>
    <w:rsid w:val="003D00CF"/>
    <w:rsid w:val="003D00FF"/>
    <w:rsid w:val="003D0116"/>
    <w:rsid w:val="003D02FE"/>
    <w:rsid w:val="003D03C2"/>
    <w:rsid w:val="003D03EA"/>
    <w:rsid w:val="003D0469"/>
    <w:rsid w:val="003D04A4"/>
    <w:rsid w:val="003D071D"/>
    <w:rsid w:val="003D0730"/>
    <w:rsid w:val="003D07AB"/>
    <w:rsid w:val="003D0922"/>
    <w:rsid w:val="003D0BBE"/>
    <w:rsid w:val="003D0BD9"/>
    <w:rsid w:val="003D0BE2"/>
    <w:rsid w:val="003D0D72"/>
    <w:rsid w:val="003D0DE9"/>
    <w:rsid w:val="003D0E4F"/>
    <w:rsid w:val="003D0E92"/>
    <w:rsid w:val="003D0F17"/>
    <w:rsid w:val="003D1008"/>
    <w:rsid w:val="003D10B9"/>
    <w:rsid w:val="003D119F"/>
    <w:rsid w:val="003D13B6"/>
    <w:rsid w:val="003D1535"/>
    <w:rsid w:val="003D15DB"/>
    <w:rsid w:val="003D1625"/>
    <w:rsid w:val="003D1632"/>
    <w:rsid w:val="003D16B2"/>
    <w:rsid w:val="003D1728"/>
    <w:rsid w:val="003D174C"/>
    <w:rsid w:val="003D18FC"/>
    <w:rsid w:val="003D1936"/>
    <w:rsid w:val="003D1B1D"/>
    <w:rsid w:val="003D1C6A"/>
    <w:rsid w:val="003D1CBE"/>
    <w:rsid w:val="003D1D04"/>
    <w:rsid w:val="003D1DC6"/>
    <w:rsid w:val="003D1F98"/>
    <w:rsid w:val="003D1F9F"/>
    <w:rsid w:val="003D2016"/>
    <w:rsid w:val="003D20D2"/>
    <w:rsid w:val="003D20F7"/>
    <w:rsid w:val="003D213C"/>
    <w:rsid w:val="003D2166"/>
    <w:rsid w:val="003D21D4"/>
    <w:rsid w:val="003D2246"/>
    <w:rsid w:val="003D22C4"/>
    <w:rsid w:val="003D2695"/>
    <w:rsid w:val="003D2897"/>
    <w:rsid w:val="003D28C2"/>
    <w:rsid w:val="003D2A23"/>
    <w:rsid w:val="003D2AE1"/>
    <w:rsid w:val="003D2BDD"/>
    <w:rsid w:val="003D2C1C"/>
    <w:rsid w:val="003D2E7D"/>
    <w:rsid w:val="003D2ED9"/>
    <w:rsid w:val="003D2F4A"/>
    <w:rsid w:val="003D319D"/>
    <w:rsid w:val="003D365C"/>
    <w:rsid w:val="003D3760"/>
    <w:rsid w:val="003D38BA"/>
    <w:rsid w:val="003D38C2"/>
    <w:rsid w:val="003D38FA"/>
    <w:rsid w:val="003D394B"/>
    <w:rsid w:val="003D3D08"/>
    <w:rsid w:val="003D3D32"/>
    <w:rsid w:val="003D3DF5"/>
    <w:rsid w:val="003D3E67"/>
    <w:rsid w:val="003D3F4E"/>
    <w:rsid w:val="003D3F86"/>
    <w:rsid w:val="003D4034"/>
    <w:rsid w:val="003D40E4"/>
    <w:rsid w:val="003D438E"/>
    <w:rsid w:val="003D4436"/>
    <w:rsid w:val="003D44F0"/>
    <w:rsid w:val="003D452E"/>
    <w:rsid w:val="003D4542"/>
    <w:rsid w:val="003D456C"/>
    <w:rsid w:val="003D45EF"/>
    <w:rsid w:val="003D46E7"/>
    <w:rsid w:val="003D47CD"/>
    <w:rsid w:val="003D47D2"/>
    <w:rsid w:val="003D4988"/>
    <w:rsid w:val="003D49E6"/>
    <w:rsid w:val="003D4A25"/>
    <w:rsid w:val="003D4BA9"/>
    <w:rsid w:val="003D4C11"/>
    <w:rsid w:val="003D4C82"/>
    <w:rsid w:val="003D4CD1"/>
    <w:rsid w:val="003D4D09"/>
    <w:rsid w:val="003D4E16"/>
    <w:rsid w:val="003D4F48"/>
    <w:rsid w:val="003D4FF3"/>
    <w:rsid w:val="003D504D"/>
    <w:rsid w:val="003D5232"/>
    <w:rsid w:val="003D52DC"/>
    <w:rsid w:val="003D53F5"/>
    <w:rsid w:val="003D54B8"/>
    <w:rsid w:val="003D5603"/>
    <w:rsid w:val="003D56C5"/>
    <w:rsid w:val="003D5860"/>
    <w:rsid w:val="003D5891"/>
    <w:rsid w:val="003D595C"/>
    <w:rsid w:val="003D59DF"/>
    <w:rsid w:val="003D5B0A"/>
    <w:rsid w:val="003D5F4C"/>
    <w:rsid w:val="003D5F68"/>
    <w:rsid w:val="003D5F7B"/>
    <w:rsid w:val="003D60A7"/>
    <w:rsid w:val="003D6109"/>
    <w:rsid w:val="003D6152"/>
    <w:rsid w:val="003D6205"/>
    <w:rsid w:val="003D6272"/>
    <w:rsid w:val="003D6279"/>
    <w:rsid w:val="003D657F"/>
    <w:rsid w:val="003D673C"/>
    <w:rsid w:val="003D6820"/>
    <w:rsid w:val="003D6853"/>
    <w:rsid w:val="003D6934"/>
    <w:rsid w:val="003D6992"/>
    <w:rsid w:val="003D6A62"/>
    <w:rsid w:val="003D6B8F"/>
    <w:rsid w:val="003D6BC0"/>
    <w:rsid w:val="003D6E03"/>
    <w:rsid w:val="003D6E06"/>
    <w:rsid w:val="003D6E16"/>
    <w:rsid w:val="003D7014"/>
    <w:rsid w:val="003D7271"/>
    <w:rsid w:val="003D7428"/>
    <w:rsid w:val="003D7447"/>
    <w:rsid w:val="003D7512"/>
    <w:rsid w:val="003D755B"/>
    <w:rsid w:val="003D75BF"/>
    <w:rsid w:val="003D75C6"/>
    <w:rsid w:val="003D7760"/>
    <w:rsid w:val="003D7787"/>
    <w:rsid w:val="003D784E"/>
    <w:rsid w:val="003D7BDA"/>
    <w:rsid w:val="003D7CB7"/>
    <w:rsid w:val="003D7D3E"/>
    <w:rsid w:val="003D7DD7"/>
    <w:rsid w:val="003D7E8D"/>
    <w:rsid w:val="003D7F9B"/>
    <w:rsid w:val="003D7FBD"/>
    <w:rsid w:val="003E0047"/>
    <w:rsid w:val="003E0138"/>
    <w:rsid w:val="003E0351"/>
    <w:rsid w:val="003E064F"/>
    <w:rsid w:val="003E075F"/>
    <w:rsid w:val="003E0D42"/>
    <w:rsid w:val="003E0E51"/>
    <w:rsid w:val="003E0EBB"/>
    <w:rsid w:val="003E0FA8"/>
    <w:rsid w:val="003E0FFE"/>
    <w:rsid w:val="003E10A2"/>
    <w:rsid w:val="003E1206"/>
    <w:rsid w:val="003E1271"/>
    <w:rsid w:val="003E1277"/>
    <w:rsid w:val="003E129F"/>
    <w:rsid w:val="003E12CB"/>
    <w:rsid w:val="003E12FF"/>
    <w:rsid w:val="003E15C4"/>
    <w:rsid w:val="003E16E8"/>
    <w:rsid w:val="003E1790"/>
    <w:rsid w:val="003E17B4"/>
    <w:rsid w:val="003E17E8"/>
    <w:rsid w:val="003E17F3"/>
    <w:rsid w:val="003E1917"/>
    <w:rsid w:val="003E191A"/>
    <w:rsid w:val="003E1930"/>
    <w:rsid w:val="003E1934"/>
    <w:rsid w:val="003E1949"/>
    <w:rsid w:val="003E194D"/>
    <w:rsid w:val="003E19CE"/>
    <w:rsid w:val="003E1A33"/>
    <w:rsid w:val="003E1AF9"/>
    <w:rsid w:val="003E1B4E"/>
    <w:rsid w:val="003E1B7E"/>
    <w:rsid w:val="003E1BD8"/>
    <w:rsid w:val="003E1BF2"/>
    <w:rsid w:val="003E1CFF"/>
    <w:rsid w:val="003E1DDD"/>
    <w:rsid w:val="003E1DE4"/>
    <w:rsid w:val="003E1EDB"/>
    <w:rsid w:val="003E1FDE"/>
    <w:rsid w:val="003E20B0"/>
    <w:rsid w:val="003E21B2"/>
    <w:rsid w:val="003E246A"/>
    <w:rsid w:val="003E2487"/>
    <w:rsid w:val="003E2612"/>
    <w:rsid w:val="003E281C"/>
    <w:rsid w:val="003E293F"/>
    <w:rsid w:val="003E2999"/>
    <w:rsid w:val="003E2A0C"/>
    <w:rsid w:val="003E2AD5"/>
    <w:rsid w:val="003E2B06"/>
    <w:rsid w:val="003E2B0D"/>
    <w:rsid w:val="003E2BFE"/>
    <w:rsid w:val="003E2C74"/>
    <w:rsid w:val="003E2E48"/>
    <w:rsid w:val="003E2E93"/>
    <w:rsid w:val="003E2F18"/>
    <w:rsid w:val="003E2F49"/>
    <w:rsid w:val="003E2F80"/>
    <w:rsid w:val="003E2FA0"/>
    <w:rsid w:val="003E300D"/>
    <w:rsid w:val="003E31C3"/>
    <w:rsid w:val="003E328D"/>
    <w:rsid w:val="003E32B6"/>
    <w:rsid w:val="003E336F"/>
    <w:rsid w:val="003E3584"/>
    <w:rsid w:val="003E36E0"/>
    <w:rsid w:val="003E377A"/>
    <w:rsid w:val="003E38A4"/>
    <w:rsid w:val="003E39A6"/>
    <w:rsid w:val="003E3C2D"/>
    <w:rsid w:val="003E3C40"/>
    <w:rsid w:val="003E3D0E"/>
    <w:rsid w:val="003E3DDB"/>
    <w:rsid w:val="003E3DDF"/>
    <w:rsid w:val="003E3F1D"/>
    <w:rsid w:val="003E409E"/>
    <w:rsid w:val="003E40C5"/>
    <w:rsid w:val="003E40DA"/>
    <w:rsid w:val="003E4145"/>
    <w:rsid w:val="003E416A"/>
    <w:rsid w:val="003E418C"/>
    <w:rsid w:val="003E418F"/>
    <w:rsid w:val="003E4220"/>
    <w:rsid w:val="003E4246"/>
    <w:rsid w:val="003E4347"/>
    <w:rsid w:val="003E441A"/>
    <w:rsid w:val="003E4599"/>
    <w:rsid w:val="003E483E"/>
    <w:rsid w:val="003E48AA"/>
    <w:rsid w:val="003E4924"/>
    <w:rsid w:val="003E49D9"/>
    <w:rsid w:val="003E4C5A"/>
    <w:rsid w:val="003E4C8D"/>
    <w:rsid w:val="003E4D92"/>
    <w:rsid w:val="003E4F4D"/>
    <w:rsid w:val="003E4FAE"/>
    <w:rsid w:val="003E5177"/>
    <w:rsid w:val="003E522A"/>
    <w:rsid w:val="003E54D4"/>
    <w:rsid w:val="003E55D4"/>
    <w:rsid w:val="003E56E0"/>
    <w:rsid w:val="003E5747"/>
    <w:rsid w:val="003E57C4"/>
    <w:rsid w:val="003E5859"/>
    <w:rsid w:val="003E5A11"/>
    <w:rsid w:val="003E5A76"/>
    <w:rsid w:val="003E5A88"/>
    <w:rsid w:val="003E5B08"/>
    <w:rsid w:val="003E5B5A"/>
    <w:rsid w:val="003E5B83"/>
    <w:rsid w:val="003E5BCA"/>
    <w:rsid w:val="003E5C11"/>
    <w:rsid w:val="003E5CCA"/>
    <w:rsid w:val="003E5DE3"/>
    <w:rsid w:val="003E5F7A"/>
    <w:rsid w:val="003E60FA"/>
    <w:rsid w:val="003E61A3"/>
    <w:rsid w:val="003E61BE"/>
    <w:rsid w:val="003E621B"/>
    <w:rsid w:val="003E62B0"/>
    <w:rsid w:val="003E64B0"/>
    <w:rsid w:val="003E669C"/>
    <w:rsid w:val="003E6733"/>
    <w:rsid w:val="003E6851"/>
    <w:rsid w:val="003E68DE"/>
    <w:rsid w:val="003E6948"/>
    <w:rsid w:val="003E6A8A"/>
    <w:rsid w:val="003E6ACF"/>
    <w:rsid w:val="003E6AD1"/>
    <w:rsid w:val="003E6B75"/>
    <w:rsid w:val="003E6D0E"/>
    <w:rsid w:val="003E6F34"/>
    <w:rsid w:val="003E7213"/>
    <w:rsid w:val="003E758F"/>
    <w:rsid w:val="003E75EE"/>
    <w:rsid w:val="003E767B"/>
    <w:rsid w:val="003E78EB"/>
    <w:rsid w:val="003E7C6F"/>
    <w:rsid w:val="003E7D02"/>
    <w:rsid w:val="003E7D09"/>
    <w:rsid w:val="003E7F99"/>
    <w:rsid w:val="003E7FE0"/>
    <w:rsid w:val="003E7FF0"/>
    <w:rsid w:val="003F005F"/>
    <w:rsid w:val="003F00B9"/>
    <w:rsid w:val="003F0259"/>
    <w:rsid w:val="003F031B"/>
    <w:rsid w:val="003F0588"/>
    <w:rsid w:val="003F062D"/>
    <w:rsid w:val="003F08DD"/>
    <w:rsid w:val="003F08F7"/>
    <w:rsid w:val="003F0968"/>
    <w:rsid w:val="003F096C"/>
    <w:rsid w:val="003F09A4"/>
    <w:rsid w:val="003F0B8F"/>
    <w:rsid w:val="003F0B9A"/>
    <w:rsid w:val="003F0CE0"/>
    <w:rsid w:val="003F0CEF"/>
    <w:rsid w:val="003F0D7E"/>
    <w:rsid w:val="003F0EB7"/>
    <w:rsid w:val="003F0EC5"/>
    <w:rsid w:val="003F0F3A"/>
    <w:rsid w:val="003F0F41"/>
    <w:rsid w:val="003F1036"/>
    <w:rsid w:val="003F1136"/>
    <w:rsid w:val="003F1163"/>
    <w:rsid w:val="003F11C3"/>
    <w:rsid w:val="003F11E5"/>
    <w:rsid w:val="003F1395"/>
    <w:rsid w:val="003F1493"/>
    <w:rsid w:val="003F1543"/>
    <w:rsid w:val="003F15F2"/>
    <w:rsid w:val="003F160A"/>
    <w:rsid w:val="003F16D3"/>
    <w:rsid w:val="003F16DC"/>
    <w:rsid w:val="003F1762"/>
    <w:rsid w:val="003F18CC"/>
    <w:rsid w:val="003F19FE"/>
    <w:rsid w:val="003F1A58"/>
    <w:rsid w:val="003F1AC6"/>
    <w:rsid w:val="003F1AF0"/>
    <w:rsid w:val="003F1BF7"/>
    <w:rsid w:val="003F1C02"/>
    <w:rsid w:val="003F1CE4"/>
    <w:rsid w:val="003F1CE6"/>
    <w:rsid w:val="003F1E1F"/>
    <w:rsid w:val="003F1EA0"/>
    <w:rsid w:val="003F1F55"/>
    <w:rsid w:val="003F1FAC"/>
    <w:rsid w:val="003F210B"/>
    <w:rsid w:val="003F2168"/>
    <w:rsid w:val="003F21EF"/>
    <w:rsid w:val="003F240E"/>
    <w:rsid w:val="003F2449"/>
    <w:rsid w:val="003F246C"/>
    <w:rsid w:val="003F248F"/>
    <w:rsid w:val="003F24D2"/>
    <w:rsid w:val="003F253A"/>
    <w:rsid w:val="003F254B"/>
    <w:rsid w:val="003F254C"/>
    <w:rsid w:val="003F25C2"/>
    <w:rsid w:val="003F25D0"/>
    <w:rsid w:val="003F2604"/>
    <w:rsid w:val="003F26E1"/>
    <w:rsid w:val="003F2728"/>
    <w:rsid w:val="003F27DB"/>
    <w:rsid w:val="003F2847"/>
    <w:rsid w:val="003F2993"/>
    <w:rsid w:val="003F2A65"/>
    <w:rsid w:val="003F2B0D"/>
    <w:rsid w:val="003F2CE4"/>
    <w:rsid w:val="003F2D34"/>
    <w:rsid w:val="003F2DD4"/>
    <w:rsid w:val="003F2DDE"/>
    <w:rsid w:val="003F2E0D"/>
    <w:rsid w:val="003F2F89"/>
    <w:rsid w:val="003F2FC1"/>
    <w:rsid w:val="003F30D1"/>
    <w:rsid w:val="003F3121"/>
    <w:rsid w:val="003F3192"/>
    <w:rsid w:val="003F3193"/>
    <w:rsid w:val="003F32B8"/>
    <w:rsid w:val="003F3329"/>
    <w:rsid w:val="003F3557"/>
    <w:rsid w:val="003F35DB"/>
    <w:rsid w:val="003F35F2"/>
    <w:rsid w:val="003F3720"/>
    <w:rsid w:val="003F381C"/>
    <w:rsid w:val="003F3A2C"/>
    <w:rsid w:val="003F3B26"/>
    <w:rsid w:val="003F3B51"/>
    <w:rsid w:val="003F3B9E"/>
    <w:rsid w:val="003F3BCF"/>
    <w:rsid w:val="003F3BF1"/>
    <w:rsid w:val="003F3C38"/>
    <w:rsid w:val="003F3F25"/>
    <w:rsid w:val="003F405D"/>
    <w:rsid w:val="003F413F"/>
    <w:rsid w:val="003F4165"/>
    <w:rsid w:val="003F417F"/>
    <w:rsid w:val="003F4411"/>
    <w:rsid w:val="003F442A"/>
    <w:rsid w:val="003F45C6"/>
    <w:rsid w:val="003F48F7"/>
    <w:rsid w:val="003F499C"/>
    <w:rsid w:val="003F4B2D"/>
    <w:rsid w:val="003F4BB1"/>
    <w:rsid w:val="003F4C37"/>
    <w:rsid w:val="003F4C3C"/>
    <w:rsid w:val="003F4C60"/>
    <w:rsid w:val="003F4C99"/>
    <w:rsid w:val="003F4D3D"/>
    <w:rsid w:val="003F4DD5"/>
    <w:rsid w:val="003F5050"/>
    <w:rsid w:val="003F50D8"/>
    <w:rsid w:val="003F513F"/>
    <w:rsid w:val="003F51E5"/>
    <w:rsid w:val="003F52C2"/>
    <w:rsid w:val="003F5363"/>
    <w:rsid w:val="003F53D0"/>
    <w:rsid w:val="003F5463"/>
    <w:rsid w:val="003F54A6"/>
    <w:rsid w:val="003F5516"/>
    <w:rsid w:val="003F555A"/>
    <w:rsid w:val="003F55B3"/>
    <w:rsid w:val="003F56D2"/>
    <w:rsid w:val="003F58DA"/>
    <w:rsid w:val="003F5B3F"/>
    <w:rsid w:val="003F5CD3"/>
    <w:rsid w:val="003F5EEE"/>
    <w:rsid w:val="003F5F0A"/>
    <w:rsid w:val="003F6210"/>
    <w:rsid w:val="003F626B"/>
    <w:rsid w:val="003F6272"/>
    <w:rsid w:val="003F62C7"/>
    <w:rsid w:val="003F62FC"/>
    <w:rsid w:val="003F637C"/>
    <w:rsid w:val="003F64F7"/>
    <w:rsid w:val="003F6555"/>
    <w:rsid w:val="003F6684"/>
    <w:rsid w:val="003F66F7"/>
    <w:rsid w:val="003F66FD"/>
    <w:rsid w:val="003F67E3"/>
    <w:rsid w:val="003F68CC"/>
    <w:rsid w:val="003F6940"/>
    <w:rsid w:val="003F69A5"/>
    <w:rsid w:val="003F69C6"/>
    <w:rsid w:val="003F6A05"/>
    <w:rsid w:val="003F6A70"/>
    <w:rsid w:val="003F6B96"/>
    <w:rsid w:val="003F6BCF"/>
    <w:rsid w:val="003F6E15"/>
    <w:rsid w:val="003F6E31"/>
    <w:rsid w:val="003F7086"/>
    <w:rsid w:val="003F709B"/>
    <w:rsid w:val="003F723E"/>
    <w:rsid w:val="003F7341"/>
    <w:rsid w:val="003F73C4"/>
    <w:rsid w:val="003F74FE"/>
    <w:rsid w:val="003F7559"/>
    <w:rsid w:val="003F75BF"/>
    <w:rsid w:val="003F76DE"/>
    <w:rsid w:val="003F771A"/>
    <w:rsid w:val="003F778D"/>
    <w:rsid w:val="003F7A73"/>
    <w:rsid w:val="003F7B31"/>
    <w:rsid w:val="003F7B53"/>
    <w:rsid w:val="003F7B73"/>
    <w:rsid w:val="003F7D6C"/>
    <w:rsid w:val="003F7DAF"/>
    <w:rsid w:val="003F7DFA"/>
    <w:rsid w:val="003F7F02"/>
    <w:rsid w:val="0040009D"/>
    <w:rsid w:val="0040023F"/>
    <w:rsid w:val="00400247"/>
    <w:rsid w:val="0040033A"/>
    <w:rsid w:val="00400418"/>
    <w:rsid w:val="0040047F"/>
    <w:rsid w:val="004005D4"/>
    <w:rsid w:val="004006FB"/>
    <w:rsid w:val="0040073F"/>
    <w:rsid w:val="004007FA"/>
    <w:rsid w:val="00400803"/>
    <w:rsid w:val="0040089E"/>
    <w:rsid w:val="004008A3"/>
    <w:rsid w:val="004008B3"/>
    <w:rsid w:val="004009DB"/>
    <w:rsid w:val="004009F5"/>
    <w:rsid w:val="00400B27"/>
    <w:rsid w:val="00400C8F"/>
    <w:rsid w:val="00400D84"/>
    <w:rsid w:val="00400E8B"/>
    <w:rsid w:val="00400FBF"/>
    <w:rsid w:val="0040104C"/>
    <w:rsid w:val="0040107A"/>
    <w:rsid w:val="004010DE"/>
    <w:rsid w:val="004010F6"/>
    <w:rsid w:val="0040122C"/>
    <w:rsid w:val="00401276"/>
    <w:rsid w:val="004012A9"/>
    <w:rsid w:val="004013E5"/>
    <w:rsid w:val="00401441"/>
    <w:rsid w:val="004015D8"/>
    <w:rsid w:val="00401667"/>
    <w:rsid w:val="00401672"/>
    <w:rsid w:val="004016B5"/>
    <w:rsid w:val="004016D2"/>
    <w:rsid w:val="00401920"/>
    <w:rsid w:val="00401B1F"/>
    <w:rsid w:val="00401CBE"/>
    <w:rsid w:val="00401D77"/>
    <w:rsid w:val="00401DCE"/>
    <w:rsid w:val="00401E33"/>
    <w:rsid w:val="00401E47"/>
    <w:rsid w:val="00401E50"/>
    <w:rsid w:val="00401E8E"/>
    <w:rsid w:val="00401EC4"/>
    <w:rsid w:val="00401FEA"/>
    <w:rsid w:val="004021A9"/>
    <w:rsid w:val="00402214"/>
    <w:rsid w:val="0040227D"/>
    <w:rsid w:val="004022D9"/>
    <w:rsid w:val="00402413"/>
    <w:rsid w:val="00402424"/>
    <w:rsid w:val="0040248D"/>
    <w:rsid w:val="0040258A"/>
    <w:rsid w:val="004025E0"/>
    <w:rsid w:val="0040281C"/>
    <w:rsid w:val="004028AA"/>
    <w:rsid w:val="0040291D"/>
    <w:rsid w:val="00402A62"/>
    <w:rsid w:val="00402D3D"/>
    <w:rsid w:val="00402D53"/>
    <w:rsid w:val="00402FDC"/>
    <w:rsid w:val="00402FFA"/>
    <w:rsid w:val="0040301C"/>
    <w:rsid w:val="004030DF"/>
    <w:rsid w:val="004031ED"/>
    <w:rsid w:val="004032E3"/>
    <w:rsid w:val="0040334E"/>
    <w:rsid w:val="0040338E"/>
    <w:rsid w:val="004033D4"/>
    <w:rsid w:val="00403506"/>
    <w:rsid w:val="00403584"/>
    <w:rsid w:val="00403674"/>
    <w:rsid w:val="004037FD"/>
    <w:rsid w:val="004038B2"/>
    <w:rsid w:val="00403917"/>
    <w:rsid w:val="0040396B"/>
    <w:rsid w:val="004039A8"/>
    <w:rsid w:val="00403A0B"/>
    <w:rsid w:val="00403AA1"/>
    <w:rsid w:val="00403B27"/>
    <w:rsid w:val="00403BE4"/>
    <w:rsid w:val="00403BE6"/>
    <w:rsid w:val="00403BE9"/>
    <w:rsid w:val="00403C98"/>
    <w:rsid w:val="00403CAF"/>
    <w:rsid w:val="00403F9F"/>
    <w:rsid w:val="0040417C"/>
    <w:rsid w:val="0040418F"/>
    <w:rsid w:val="004041C5"/>
    <w:rsid w:val="004041F0"/>
    <w:rsid w:val="0040424C"/>
    <w:rsid w:val="00404393"/>
    <w:rsid w:val="0040450A"/>
    <w:rsid w:val="00404575"/>
    <w:rsid w:val="00404590"/>
    <w:rsid w:val="0040480E"/>
    <w:rsid w:val="00404968"/>
    <w:rsid w:val="00404A49"/>
    <w:rsid w:val="00404B19"/>
    <w:rsid w:val="00404B62"/>
    <w:rsid w:val="00404D5A"/>
    <w:rsid w:val="00404D9A"/>
    <w:rsid w:val="00404E4E"/>
    <w:rsid w:val="00404E5E"/>
    <w:rsid w:val="00404FD3"/>
    <w:rsid w:val="0040504F"/>
    <w:rsid w:val="00405472"/>
    <w:rsid w:val="004057EB"/>
    <w:rsid w:val="0040581C"/>
    <w:rsid w:val="00405869"/>
    <w:rsid w:val="00405875"/>
    <w:rsid w:val="00405896"/>
    <w:rsid w:val="004058F9"/>
    <w:rsid w:val="00405A14"/>
    <w:rsid w:val="00405C69"/>
    <w:rsid w:val="00405CDA"/>
    <w:rsid w:val="00405D06"/>
    <w:rsid w:val="00405D24"/>
    <w:rsid w:val="00405D60"/>
    <w:rsid w:val="00405D8B"/>
    <w:rsid w:val="00405E69"/>
    <w:rsid w:val="00405EA0"/>
    <w:rsid w:val="0040605E"/>
    <w:rsid w:val="004061E6"/>
    <w:rsid w:val="004062B9"/>
    <w:rsid w:val="00406328"/>
    <w:rsid w:val="0040634C"/>
    <w:rsid w:val="004065F9"/>
    <w:rsid w:val="004066C9"/>
    <w:rsid w:val="00406722"/>
    <w:rsid w:val="00406738"/>
    <w:rsid w:val="00406770"/>
    <w:rsid w:val="004067B8"/>
    <w:rsid w:val="004067EA"/>
    <w:rsid w:val="0040696E"/>
    <w:rsid w:val="004069EC"/>
    <w:rsid w:val="004069F7"/>
    <w:rsid w:val="00406BD5"/>
    <w:rsid w:val="00406E87"/>
    <w:rsid w:val="00406FB9"/>
    <w:rsid w:val="004070CC"/>
    <w:rsid w:val="0040723E"/>
    <w:rsid w:val="004072D4"/>
    <w:rsid w:val="0040735F"/>
    <w:rsid w:val="00407402"/>
    <w:rsid w:val="0040769A"/>
    <w:rsid w:val="004076E7"/>
    <w:rsid w:val="0040770D"/>
    <w:rsid w:val="004077E9"/>
    <w:rsid w:val="00407804"/>
    <w:rsid w:val="004078AA"/>
    <w:rsid w:val="004078BA"/>
    <w:rsid w:val="00407BEF"/>
    <w:rsid w:val="00407CB7"/>
    <w:rsid w:val="00407D10"/>
    <w:rsid w:val="00407D77"/>
    <w:rsid w:val="00407D7D"/>
    <w:rsid w:val="00407E9D"/>
    <w:rsid w:val="004100C9"/>
    <w:rsid w:val="004101CF"/>
    <w:rsid w:val="00410229"/>
    <w:rsid w:val="00410276"/>
    <w:rsid w:val="00410348"/>
    <w:rsid w:val="004104BF"/>
    <w:rsid w:val="00410548"/>
    <w:rsid w:val="004105FB"/>
    <w:rsid w:val="00410690"/>
    <w:rsid w:val="004106C3"/>
    <w:rsid w:val="004107A1"/>
    <w:rsid w:val="004108E5"/>
    <w:rsid w:val="00410959"/>
    <w:rsid w:val="004109F2"/>
    <w:rsid w:val="00410A44"/>
    <w:rsid w:val="00410B73"/>
    <w:rsid w:val="00410B9B"/>
    <w:rsid w:val="00410BE2"/>
    <w:rsid w:val="00410BFE"/>
    <w:rsid w:val="00410C57"/>
    <w:rsid w:val="00410DC5"/>
    <w:rsid w:val="00410DE6"/>
    <w:rsid w:val="00410FFA"/>
    <w:rsid w:val="00411140"/>
    <w:rsid w:val="00411152"/>
    <w:rsid w:val="00411339"/>
    <w:rsid w:val="00411401"/>
    <w:rsid w:val="00411463"/>
    <w:rsid w:val="004114AC"/>
    <w:rsid w:val="00411576"/>
    <w:rsid w:val="0041172E"/>
    <w:rsid w:val="00411790"/>
    <w:rsid w:val="004117AE"/>
    <w:rsid w:val="00411825"/>
    <w:rsid w:val="00411ED4"/>
    <w:rsid w:val="00411F7B"/>
    <w:rsid w:val="00412035"/>
    <w:rsid w:val="004120EF"/>
    <w:rsid w:val="0041212F"/>
    <w:rsid w:val="00412236"/>
    <w:rsid w:val="0041225D"/>
    <w:rsid w:val="004123C7"/>
    <w:rsid w:val="004123DC"/>
    <w:rsid w:val="004123FF"/>
    <w:rsid w:val="00412428"/>
    <w:rsid w:val="0041242F"/>
    <w:rsid w:val="0041248C"/>
    <w:rsid w:val="0041256C"/>
    <w:rsid w:val="0041268F"/>
    <w:rsid w:val="004126AC"/>
    <w:rsid w:val="004126C5"/>
    <w:rsid w:val="004126C7"/>
    <w:rsid w:val="00412711"/>
    <w:rsid w:val="00412768"/>
    <w:rsid w:val="00412850"/>
    <w:rsid w:val="004128A9"/>
    <w:rsid w:val="00412B10"/>
    <w:rsid w:val="00412B77"/>
    <w:rsid w:val="00412B8E"/>
    <w:rsid w:val="00412C83"/>
    <w:rsid w:val="00412FC4"/>
    <w:rsid w:val="00413061"/>
    <w:rsid w:val="004130D6"/>
    <w:rsid w:val="004130D9"/>
    <w:rsid w:val="00413297"/>
    <w:rsid w:val="004134C9"/>
    <w:rsid w:val="0041354F"/>
    <w:rsid w:val="004135BA"/>
    <w:rsid w:val="0041360E"/>
    <w:rsid w:val="00413709"/>
    <w:rsid w:val="00413761"/>
    <w:rsid w:val="0041390F"/>
    <w:rsid w:val="004139BF"/>
    <w:rsid w:val="00413AAE"/>
    <w:rsid w:val="00413C25"/>
    <w:rsid w:val="00413CBD"/>
    <w:rsid w:val="00413DF0"/>
    <w:rsid w:val="00413E07"/>
    <w:rsid w:val="00413E12"/>
    <w:rsid w:val="00413E43"/>
    <w:rsid w:val="00413E54"/>
    <w:rsid w:val="00413E5D"/>
    <w:rsid w:val="00413EE4"/>
    <w:rsid w:val="0041406C"/>
    <w:rsid w:val="00414078"/>
    <w:rsid w:val="0041407C"/>
    <w:rsid w:val="004140AE"/>
    <w:rsid w:val="004140FB"/>
    <w:rsid w:val="00414142"/>
    <w:rsid w:val="004141D0"/>
    <w:rsid w:val="004142AF"/>
    <w:rsid w:val="00414337"/>
    <w:rsid w:val="004143EA"/>
    <w:rsid w:val="004144B8"/>
    <w:rsid w:val="004144DE"/>
    <w:rsid w:val="004145A2"/>
    <w:rsid w:val="004146A3"/>
    <w:rsid w:val="0041470D"/>
    <w:rsid w:val="00414738"/>
    <w:rsid w:val="00414746"/>
    <w:rsid w:val="004147F9"/>
    <w:rsid w:val="00414861"/>
    <w:rsid w:val="0041487B"/>
    <w:rsid w:val="004148A9"/>
    <w:rsid w:val="00414BCD"/>
    <w:rsid w:val="00414C15"/>
    <w:rsid w:val="00414DD1"/>
    <w:rsid w:val="00414F59"/>
    <w:rsid w:val="00414F94"/>
    <w:rsid w:val="0041502B"/>
    <w:rsid w:val="00415073"/>
    <w:rsid w:val="0041507E"/>
    <w:rsid w:val="0041510E"/>
    <w:rsid w:val="004153C3"/>
    <w:rsid w:val="00415664"/>
    <w:rsid w:val="004156BE"/>
    <w:rsid w:val="00415733"/>
    <w:rsid w:val="0041579A"/>
    <w:rsid w:val="00415859"/>
    <w:rsid w:val="00415901"/>
    <w:rsid w:val="0041599C"/>
    <w:rsid w:val="00415AA7"/>
    <w:rsid w:val="00415BC4"/>
    <w:rsid w:val="00415C80"/>
    <w:rsid w:val="00415CF4"/>
    <w:rsid w:val="00415DBA"/>
    <w:rsid w:val="00415F07"/>
    <w:rsid w:val="00415F86"/>
    <w:rsid w:val="00416166"/>
    <w:rsid w:val="004161FF"/>
    <w:rsid w:val="0041631A"/>
    <w:rsid w:val="0041634F"/>
    <w:rsid w:val="0041638D"/>
    <w:rsid w:val="004163B7"/>
    <w:rsid w:val="004163C9"/>
    <w:rsid w:val="0041648A"/>
    <w:rsid w:val="004164B2"/>
    <w:rsid w:val="00416516"/>
    <w:rsid w:val="0041654F"/>
    <w:rsid w:val="00416604"/>
    <w:rsid w:val="004166D1"/>
    <w:rsid w:val="004166E9"/>
    <w:rsid w:val="0041670F"/>
    <w:rsid w:val="00416715"/>
    <w:rsid w:val="00416739"/>
    <w:rsid w:val="0041681D"/>
    <w:rsid w:val="00416BD1"/>
    <w:rsid w:val="00416C49"/>
    <w:rsid w:val="00416C73"/>
    <w:rsid w:val="00416DCE"/>
    <w:rsid w:val="00416E24"/>
    <w:rsid w:val="00416E6F"/>
    <w:rsid w:val="00416EC4"/>
    <w:rsid w:val="00416FC8"/>
    <w:rsid w:val="00417070"/>
    <w:rsid w:val="004171C8"/>
    <w:rsid w:val="0041720F"/>
    <w:rsid w:val="004172DC"/>
    <w:rsid w:val="0041737B"/>
    <w:rsid w:val="00417418"/>
    <w:rsid w:val="00417456"/>
    <w:rsid w:val="004174EE"/>
    <w:rsid w:val="0041753C"/>
    <w:rsid w:val="004175AC"/>
    <w:rsid w:val="00417609"/>
    <w:rsid w:val="0041764C"/>
    <w:rsid w:val="00417684"/>
    <w:rsid w:val="004176B5"/>
    <w:rsid w:val="004178C0"/>
    <w:rsid w:val="00417A59"/>
    <w:rsid w:val="00417B6D"/>
    <w:rsid w:val="00417BD4"/>
    <w:rsid w:val="00417C43"/>
    <w:rsid w:val="00417DBF"/>
    <w:rsid w:val="00417E87"/>
    <w:rsid w:val="00417F5C"/>
    <w:rsid w:val="00417F84"/>
    <w:rsid w:val="00417FA5"/>
    <w:rsid w:val="0042007E"/>
    <w:rsid w:val="0042012D"/>
    <w:rsid w:val="004201B2"/>
    <w:rsid w:val="004201F6"/>
    <w:rsid w:val="0042022D"/>
    <w:rsid w:val="0042040D"/>
    <w:rsid w:val="00420463"/>
    <w:rsid w:val="00420540"/>
    <w:rsid w:val="00420587"/>
    <w:rsid w:val="00420595"/>
    <w:rsid w:val="00420646"/>
    <w:rsid w:val="00420820"/>
    <w:rsid w:val="00420948"/>
    <w:rsid w:val="004209AB"/>
    <w:rsid w:val="004209C6"/>
    <w:rsid w:val="00420B1B"/>
    <w:rsid w:val="00420B2F"/>
    <w:rsid w:val="00420BD3"/>
    <w:rsid w:val="00420C16"/>
    <w:rsid w:val="00420C3F"/>
    <w:rsid w:val="00420D14"/>
    <w:rsid w:val="00420E49"/>
    <w:rsid w:val="00420F84"/>
    <w:rsid w:val="00420F88"/>
    <w:rsid w:val="0042102F"/>
    <w:rsid w:val="004210B8"/>
    <w:rsid w:val="004211DF"/>
    <w:rsid w:val="004211E3"/>
    <w:rsid w:val="004211ED"/>
    <w:rsid w:val="004212A0"/>
    <w:rsid w:val="00421365"/>
    <w:rsid w:val="00421410"/>
    <w:rsid w:val="004214D9"/>
    <w:rsid w:val="0042155D"/>
    <w:rsid w:val="004215DF"/>
    <w:rsid w:val="00421624"/>
    <w:rsid w:val="00421627"/>
    <w:rsid w:val="00421656"/>
    <w:rsid w:val="00421662"/>
    <w:rsid w:val="0042174A"/>
    <w:rsid w:val="004217D5"/>
    <w:rsid w:val="004217EF"/>
    <w:rsid w:val="00421AC6"/>
    <w:rsid w:val="00421B5E"/>
    <w:rsid w:val="00421B61"/>
    <w:rsid w:val="00421BE7"/>
    <w:rsid w:val="00421C51"/>
    <w:rsid w:val="00421C5C"/>
    <w:rsid w:val="00421D96"/>
    <w:rsid w:val="00421DFE"/>
    <w:rsid w:val="00421EA0"/>
    <w:rsid w:val="00421EF8"/>
    <w:rsid w:val="00421F55"/>
    <w:rsid w:val="00421FFA"/>
    <w:rsid w:val="00422079"/>
    <w:rsid w:val="00422146"/>
    <w:rsid w:val="0042244E"/>
    <w:rsid w:val="004224AF"/>
    <w:rsid w:val="0042257B"/>
    <w:rsid w:val="00422587"/>
    <w:rsid w:val="004225B7"/>
    <w:rsid w:val="004225FD"/>
    <w:rsid w:val="004227B5"/>
    <w:rsid w:val="00422876"/>
    <w:rsid w:val="0042294C"/>
    <w:rsid w:val="0042295A"/>
    <w:rsid w:val="004229B8"/>
    <w:rsid w:val="004229DF"/>
    <w:rsid w:val="00422A0B"/>
    <w:rsid w:val="00422A6A"/>
    <w:rsid w:val="00422BBA"/>
    <w:rsid w:val="00422C34"/>
    <w:rsid w:val="00422C50"/>
    <w:rsid w:val="00422D0C"/>
    <w:rsid w:val="00422E2A"/>
    <w:rsid w:val="00422E73"/>
    <w:rsid w:val="00422EC7"/>
    <w:rsid w:val="00422F3C"/>
    <w:rsid w:val="0042324B"/>
    <w:rsid w:val="00423367"/>
    <w:rsid w:val="004234AA"/>
    <w:rsid w:val="004234E7"/>
    <w:rsid w:val="00423733"/>
    <w:rsid w:val="004237DC"/>
    <w:rsid w:val="0042380C"/>
    <w:rsid w:val="0042388A"/>
    <w:rsid w:val="004239B2"/>
    <w:rsid w:val="004239DC"/>
    <w:rsid w:val="00423A2B"/>
    <w:rsid w:val="00423A75"/>
    <w:rsid w:val="00423B0B"/>
    <w:rsid w:val="00423B7B"/>
    <w:rsid w:val="00423BCF"/>
    <w:rsid w:val="00423C42"/>
    <w:rsid w:val="00423CA6"/>
    <w:rsid w:val="00423DC3"/>
    <w:rsid w:val="00423E22"/>
    <w:rsid w:val="00423FC1"/>
    <w:rsid w:val="00424115"/>
    <w:rsid w:val="0042411A"/>
    <w:rsid w:val="004241DE"/>
    <w:rsid w:val="00424369"/>
    <w:rsid w:val="0042437B"/>
    <w:rsid w:val="004243D5"/>
    <w:rsid w:val="00424492"/>
    <w:rsid w:val="00424510"/>
    <w:rsid w:val="0042458A"/>
    <w:rsid w:val="0042464E"/>
    <w:rsid w:val="00424691"/>
    <w:rsid w:val="00424725"/>
    <w:rsid w:val="00424ACE"/>
    <w:rsid w:val="00424DCE"/>
    <w:rsid w:val="00424E5F"/>
    <w:rsid w:val="00424FFD"/>
    <w:rsid w:val="004250C9"/>
    <w:rsid w:val="004250D0"/>
    <w:rsid w:val="00425273"/>
    <w:rsid w:val="00425549"/>
    <w:rsid w:val="004256E9"/>
    <w:rsid w:val="00425840"/>
    <w:rsid w:val="00425877"/>
    <w:rsid w:val="0042593E"/>
    <w:rsid w:val="00425ADC"/>
    <w:rsid w:val="00425B05"/>
    <w:rsid w:val="00425B3D"/>
    <w:rsid w:val="00425C49"/>
    <w:rsid w:val="00425C4B"/>
    <w:rsid w:val="00425CDA"/>
    <w:rsid w:val="00425D07"/>
    <w:rsid w:val="00425DE7"/>
    <w:rsid w:val="00425FB6"/>
    <w:rsid w:val="004261EB"/>
    <w:rsid w:val="00426226"/>
    <w:rsid w:val="00426296"/>
    <w:rsid w:val="0042631C"/>
    <w:rsid w:val="00426395"/>
    <w:rsid w:val="00426602"/>
    <w:rsid w:val="00426651"/>
    <w:rsid w:val="0042671B"/>
    <w:rsid w:val="00426733"/>
    <w:rsid w:val="0042683F"/>
    <w:rsid w:val="004268C5"/>
    <w:rsid w:val="00426A22"/>
    <w:rsid w:val="00426CC9"/>
    <w:rsid w:val="00426CCB"/>
    <w:rsid w:val="00426D9E"/>
    <w:rsid w:val="00426EA7"/>
    <w:rsid w:val="00426F09"/>
    <w:rsid w:val="00426F37"/>
    <w:rsid w:val="00426FAF"/>
    <w:rsid w:val="00427074"/>
    <w:rsid w:val="0042722B"/>
    <w:rsid w:val="0042735A"/>
    <w:rsid w:val="0042739A"/>
    <w:rsid w:val="00427404"/>
    <w:rsid w:val="00427407"/>
    <w:rsid w:val="00427475"/>
    <w:rsid w:val="00427605"/>
    <w:rsid w:val="0042767B"/>
    <w:rsid w:val="00427705"/>
    <w:rsid w:val="00427722"/>
    <w:rsid w:val="004278AA"/>
    <w:rsid w:val="004279F1"/>
    <w:rsid w:val="00427A11"/>
    <w:rsid w:val="00427A65"/>
    <w:rsid w:val="00427B68"/>
    <w:rsid w:val="00427B84"/>
    <w:rsid w:val="00427CCE"/>
    <w:rsid w:val="00427D40"/>
    <w:rsid w:val="00427E6E"/>
    <w:rsid w:val="00427EE8"/>
    <w:rsid w:val="00427F88"/>
    <w:rsid w:val="00427FB1"/>
    <w:rsid w:val="00430064"/>
    <w:rsid w:val="00430145"/>
    <w:rsid w:val="0043019C"/>
    <w:rsid w:val="00430207"/>
    <w:rsid w:val="004302C0"/>
    <w:rsid w:val="004302FD"/>
    <w:rsid w:val="00430391"/>
    <w:rsid w:val="00430482"/>
    <w:rsid w:val="004305F6"/>
    <w:rsid w:val="00430690"/>
    <w:rsid w:val="004307C2"/>
    <w:rsid w:val="004307F6"/>
    <w:rsid w:val="0043099C"/>
    <w:rsid w:val="00430A07"/>
    <w:rsid w:val="00430A6B"/>
    <w:rsid w:val="00430ACC"/>
    <w:rsid w:val="00430B67"/>
    <w:rsid w:val="00430B6A"/>
    <w:rsid w:val="00430B90"/>
    <w:rsid w:val="00430E2C"/>
    <w:rsid w:val="00430E9B"/>
    <w:rsid w:val="00430EEC"/>
    <w:rsid w:val="00431034"/>
    <w:rsid w:val="00431043"/>
    <w:rsid w:val="00431118"/>
    <w:rsid w:val="0043115F"/>
    <w:rsid w:val="00431165"/>
    <w:rsid w:val="004311ED"/>
    <w:rsid w:val="00431272"/>
    <w:rsid w:val="00431347"/>
    <w:rsid w:val="0043138F"/>
    <w:rsid w:val="00431463"/>
    <w:rsid w:val="00431487"/>
    <w:rsid w:val="004316CC"/>
    <w:rsid w:val="004317EA"/>
    <w:rsid w:val="00431807"/>
    <w:rsid w:val="00431813"/>
    <w:rsid w:val="00431902"/>
    <w:rsid w:val="004319AD"/>
    <w:rsid w:val="004319F2"/>
    <w:rsid w:val="00431AF7"/>
    <w:rsid w:val="00431B22"/>
    <w:rsid w:val="00431CEF"/>
    <w:rsid w:val="00431CF2"/>
    <w:rsid w:val="0043200D"/>
    <w:rsid w:val="00432146"/>
    <w:rsid w:val="0043217B"/>
    <w:rsid w:val="0043222E"/>
    <w:rsid w:val="00432407"/>
    <w:rsid w:val="00432443"/>
    <w:rsid w:val="0043245E"/>
    <w:rsid w:val="004324C4"/>
    <w:rsid w:val="004324F4"/>
    <w:rsid w:val="00432799"/>
    <w:rsid w:val="004328B0"/>
    <w:rsid w:val="00432945"/>
    <w:rsid w:val="00432958"/>
    <w:rsid w:val="004329DA"/>
    <w:rsid w:val="00432B13"/>
    <w:rsid w:val="00432B26"/>
    <w:rsid w:val="00432D01"/>
    <w:rsid w:val="00432DC1"/>
    <w:rsid w:val="00432E45"/>
    <w:rsid w:val="00432E90"/>
    <w:rsid w:val="00432E9C"/>
    <w:rsid w:val="00433034"/>
    <w:rsid w:val="00433049"/>
    <w:rsid w:val="0043309D"/>
    <w:rsid w:val="00433183"/>
    <w:rsid w:val="004331DF"/>
    <w:rsid w:val="004333F9"/>
    <w:rsid w:val="0043345C"/>
    <w:rsid w:val="004334AF"/>
    <w:rsid w:val="0043358A"/>
    <w:rsid w:val="0043360E"/>
    <w:rsid w:val="0043365B"/>
    <w:rsid w:val="004336B1"/>
    <w:rsid w:val="004337F7"/>
    <w:rsid w:val="00433806"/>
    <w:rsid w:val="0043389A"/>
    <w:rsid w:val="0043398F"/>
    <w:rsid w:val="004339B7"/>
    <w:rsid w:val="00433AB1"/>
    <w:rsid w:val="00433B79"/>
    <w:rsid w:val="00433BB4"/>
    <w:rsid w:val="00433CB6"/>
    <w:rsid w:val="00433E24"/>
    <w:rsid w:val="00433E48"/>
    <w:rsid w:val="00433EB1"/>
    <w:rsid w:val="00433F50"/>
    <w:rsid w:val="004340D0"/>
    <w:rsid w:val="0043413A"/>
    <w:rsid w:val="004343B7"/>
    <w:rsid w:val="004343BB"/>
    <w:rsid w:val="00434453"/>
    <w:rsid w:val="0043459E"/>
    <w:rsid w:val="004345E7"/>
    <w:rsid w:val="004346E0"/>
    <w:rsid w:val="004347D8"/>
    <w:rsid w:val="0043487E"/>
    <w:rsid w:val="004348D7"/>
    <w:rsid w:val="004348EE"/>
    <w:rsid w:val="004348FD"/>
    <w:rsid w:val="0043493B"/>
    <w:rsid w:val="00434970"/>
    <w:rsid w:val="00434ADC"/>
    <w:rsid w:val="00434E2F"/>
    <w:rsid w:val="00435059"/>
    <w:rsid w:val="004350CA"/>
    <w:rsid w:val="004351D5"/>
    <w:rsid w:val="00435282"/>
    <w:rsid w:val="004352C6"/>
    <w:rsid w:val="0043543E"/>
    <w:rsid w:val="00435442"/>
    <w:rsid w:val="00435458"/>
    <w:rsid w:val="0043549E"/>
    <w:rsid w:val="0043554E"/>
    <w:rsid w:val="004355CA"/>
    <w:rsid w:val="004356B9"/>
    <w:rsid w:val="00435802"/>
    <w:rsid w:val="00435C75"/>
    <w:rsid w:val="00435D3B"/>
    <w:rsid w:val="00435D42"/>
    <w:rsid w:val="00435DB0"/>
    <w:rsid w:val="00435DDE"/>
    <w:rsid w:val="00435E34"/>
    <w:rsid w:val="00435E39"/>
    <w:rsid w:val="00435F45"/>
    <w:rsid w:val="004360C4"/>
    <w:rsid w:val="004360F6"/>
    <w:rsid w:val="004361B5"/>
    <w:rsid w:val="004361D8"/>
    <w:rsid w:val="00436227"/>
    <w:rsid w:val="0043629F"/>
    <w:rsid w:val="00436351"/>
    <w:rsid w:val="004363C8"/>
    <w:rsid w:val="004366C2"/>
    <w:rsid w:val="004366FF"/>
    <w:rsid w:val="0043672E"/>
    <w:rsid w:val="00436731"/>
    <w:rsid w:val="00436753"/>
    <w:rsid w:val="004367D3"/>
    <w:rsid w:val="004367E8"/>
    <w:rsid w:val="0043686A"/>
    <w:rsid w:val="00436956"/>
    <w:rsid w:val="00436B37"/>
    <w:rsid w:val="00436C08"/>
    <w:rsid w:val="00436C23"/>
    <w:rsid w:val="00436CF2"/>
    <w:rsid w:val="00436DB4"/>
    <w:rsid w:val="00436DFA"/>
    <w:rsid w:val="00436F79"/>
    <w:rsid w:val="00436F97"/>
    <w:rsid w:val="00437078"/>
    <w:rsid w:val="004370F7"/>
    <w:rsid w:val="004372C0"/>
    <w:rsid w:val="00437393"/>
    <w:rsid w:val="004375D5"/>
    <w:rsid w:val="0043764F"/>
    <w:rsid w:val="00437696"/>
    <w:rsid w:val="004376A9"/>
    <w:rsid w:val="004376B9"/>
    <w:rsid w:val="00437716"/>
    <w:rsid w:val="00437808"/>
    <w:rsid w:val="0043792B"/>
    <w:rsid w:val="0043795B"/>
    <w:rsid w:val="00437965"/>
    <w:rsid w:val="004379B6"/>
    <w:rsid w:val="00437A8E"/>
    <w:rsid w:val="00437C79"/>
    <w:rsid w:val="00437CDB"/>
    <w:rsid w:val="00437E40"/>
    <w:rsid w:val="00437F4B"/>
    <w:rsid w:val="0044013A"/>
    <w:rsid w:val="00440427"/>
    <w:rsid w:val="00440439"/>
    <w:rsid w:val="00440561"/>
    <w:rsid w:val="00440839"/>
    <w:rsid w:val="004408BF"/>
    <w:rsid w:val="004408FE"/>
    <w:rsid w:val="004409E0"/>
    <w:rsid w:val="00440B4A"/>
    <w:rsid w:val="00440CAA"/>
    <w:rsid w:val="00440FAB"/>
    <w:rsid w:val="004411DC"/>
    <w:rsid w:val="00441320"/>
    <w:rsid w:val="004413EB"/>
    <w:rsid w:val="004414DD"/>
    <w:rsid w:val="00441572"/>
    <w:rsid w:val="0044184B"/>
    <w:rsid w:val="004418B3"/>
    <w:rsid w:val="0044193D"/>
    <w:rsid w:val="00441A38"/>
    <w:rsid w:val="00441B94"/>
    <w:rsid w:val="00441C78"/>
    <w:rsid w:val="00441D60"/>
    <w:rsid w:val="00441EC4"/>
    <w:rsid w:val="00441FAE"/>
    <w:rsid w:val="0044200B"/>
    <w:rsid w:val="00442219"/>
    <w:rsid w:val="00442306"/>
    <w:rsid w:val="00442318"/>
    <w:rsid w:val="00442337"/>
    <w:rsid w:val="004423A1"/>
    <w:rsid w:val="004423F1"/>
    <w:rsid w:val="004425DE"/>
    <w:rsid w:val="0044261B"/>
    <w:rsid w:val="0044264C"/>
    <w:rsid w:val="00442667"/>
    <w:rsid w:val="00442734"/>
    <w:rsid w:val="004428DB"/>
    <w:rsid w:val="00442A5E"/>
    <w:rsid w:val="00442BEE"/>
    <w:rsid w:val="00442BF2"/>
    <w:rsid w:val="00442EC7"/>
    <w:rsid w:val="00442FDE"/>
    <w:rsid w:val="004430A6"/>
    <w:rsid w:val="00443130"/>
    <w:rsid w:val="004431B8"/>
    <w:rsid w:val="004432CA"/>
    <w:rsid w:val="004434A7"/>
    <w:rsid w:val="00443743"/>
    <w:rsid w:val="004439DE"/>
    <w:rsid w:val="004439FC"/>
    <w:rsid w:val="00443A6C"/>
    <w:rsid w:val="00443A80"/>
    <w:rsid w:val="00443AA5"/>
    <w:rsid w:val="00443ABF"/>
    <w:rsid w:val="00443B2D"/>
    <w:rsid w:val="00443B30"/>
    <w:rsid w:val="00443B50"/>
    <w:rsid w:val="00443C23"/>
    <w:rsid w:val="00443D8B"/>
    <w:rsid w:val="00443FF0"/>
    <w:rsid w:val="004440AF"/>
    <w:rsid w:val="00444171"/>
    <w:rsid w:val="0044422A"/>
    <w:rsid w:val="00444256"/>
    <w:rsid w:val="00444373"/>
    <w:rsid w:val="004443B1"/>
    <w:rsid w:val="004443C1"/>
    <w:rsid w:val="004443CD"/>
    <w:rsid w:val="004443FE"/>
    <w:rsid w:val="00444434"/>
    <w:rsid w:val="004445F0"/>
    <w:rsid w:val="004445FA"/>
    <w:rsid w:val="0044461A"/>
    <w:rsid w:val="00444660"/>
    <w:rsid w:val="00444668"/>
    <w:rsid w:val="00444695"/>
    <w:rsid w:val="004446A2"/>
    <w:rsid w:val="004447D8"/>
    <w:rsid w:val="004447F6"/>
    <w:rsid w:val="00444BBB"/>
    <w:rsid w:val="00444BBC"/>
    <w:rsid w:val="00444BD5"/>
    <w:rsid w:val="00444BEB"/>
    <w:rsid w:val="00444C03"/>
    <w:rsid w:val="00444D50"/>
    <w:rsid w:val="00444D5A"/>
    <w:rsid w:val="00444DE8"/>
    <w:rsid w:val="00444E5C"/>
    <w:rsid w:val="00444F77"/>
    <w:rsid w:val="00444FB8"/>
    <w:rsid w:val="00445059"/>
    <w:rsid w:val="004450CB"/>
    <w:rsid w:val="0044519F"/>
    <w:rsid w:val="00445225"/>
    <w:rsid w:val="00445508"/>
    <w:rsid w:val="004458A8"/>
    <w:rsid w:val="00445AA8"/>
    <w:rsid w:val="00445ACD"/>
    <w:rsid w:val="00445B04"/>
    <w:rsid w:val="00445B0C"/>
    <w:rsid w:val="00445BD9"/>
    <w:rsid w:val="00445E43"/>
    <w:rsid w:val="00445EB2"/>
    <w:rsid w:val="0044600C"/>
    <w:rsid w:val="00446022"/>
    <w:rsid w:val="00446173"/>
    <w:rsid w:val="004461C1"/>
    <w:rsid w:val="004461D9"/>
    <w:rsid w:val="0044626E"/>
    <w:rsid w:val="004462D1"/>
    <w:rsid w:val="004463D3"/>
    <w:rsid w:val="00446400"/>
    <w:rsid w:val="004465EA"/>
    <w:rsid w:val="00446662"/>
    <w:rsid w:val="0044674D"/>
    <w:rsid w:val="00446775"/>
    <w:rsid w:val="00446827"/>
    <w:rsid w:val="00446876"/>
    <w:rsid w:val="004469FF"/>
    <w:rsid w:val="00446A6F"/>
    <w:rsid w:val="00446AAE"/>
    <w:rsid w:val="00446B29"/>
    <w:rsid w:val="00446B31"/>
    <w:rsid w:val="00446BD7"/>
    <w:rsid w:val="00446C81"/>
    <w:rsid w:val="00446D38"/>
    <w:rsid w:val="00446E91"/>
    <w:rsid w:val="00446E97"/>
    <w:rsid w:val="00447075"/>
    <w:rsid w:val="00447177"/>
    <w:rsid w:val="00447182"/>
    <w:rsid w:val="004472CB"/>
    <w:rsid w:val="00447314"/>
    <w:rsid w:val="0044733F"/>
    <w:rsid w:val="00447446"/>
    <w:rsid w:val="00447504"/>
    <w:rsid w:val="004475D8"/>
    <w:rsid w:val="0044762D"/>
    <w:rsid w:val="00447693"/>
    <w:rsid w:val="00447B9A"/>
    <w:rsid w:val="00447B9C"/>
    <w:rsid w:val="00447C86"/>
    <w:rsid w:val="00447D06"/>
    <w:rsid w:val="00447D6E"/>
    <w:rsid w:val="00447EDD"/>
    <w:rsid w:val="0045002C"/>
    <w:rsid w:val="0045010A"/>
    <w:rsid w:val="004503CB"/>
    <w:rsid w:val="0045072F"/>
    <w:rsid w:val="0045078F"/>
    <w:rsid w:val="0045080D"/>
    <w:rsid w:val="0045086F"/>
    <w:rsid w:val="00450874"/>
    <w:rsid w:val="004508D8"/>
    <w:rsid w:val="004509E3"/>
    <w:rsid w:val="00450B32"/>
    <w:rsid w:val="00450CB5"/>
    <w:rsid w:val="00450EA5"/>
    <w:rsid w:val="00450FB7"/>
    <w:rsid w:val="00450FDF"/>
    <w:rsid w:val="004510BB"/>
    <w:rsid w:val="004511C0"/>
    <w:rsid w:val="004511E6"/>
    <w:rsid w:val="004511F0"/>
    <w:rsid w:val="00451432"/>
    <w:rsid w:val="00451463"/>
    <w:rsid w:val="0045150E"/>
    <w:rsid w:val="004515E8"/>
    <w:rsid w:val="004516BD"/>
    <w:rsid w:val="0045176E"/>
    <w:rsid w:val="004518ED"/>
    <w:rsid w:val="004519BD"/>
    <w:rsid w:val="00451A17"/>
    <w:rsid w:val="00451D32"/>
    <w:rsid w:val="00451F4E"/>
    <w:rsid w:val="00451FA9"/>
    <w:rsid w:val="004520A8"/>
    <w:rsid w:val="004521B9"/>
    <w:rsid w:val="004521D9"/>
    <w:rsid w:val="0045220B"/>
    <w:rsid w:val="0045221C"/>
    <w:rsid w:val="00452529"/>
    <w:rsid w:val="0045254C"/>
    <w:rsid w:val="0045276F"/>
    <w:rsid w:val="00452903"/>
    <w:rsid w:val="0045298D"/>
    <w:rsid w:val="00452B41"/>
    <w:rsid w:val="00452BD7"/>
    <w:rsid w:val="00452BE3"/>
    <w:rsid w:val="00452C16"/>
    <w:rsid w:val="00452EF1"/>
    <w:rsid w:val="00452F25"/>
    <w:rsid w:val="00452F48"/>
    <w:rsid w:val="0045307E"/>
    <w:rsid w:val="004530CB"/>
    <w:rsid w:val="00453111"/>
    <w:rsid w:val="0045312B"/>
    <w:rsid w:val="00453155"/>
    <w:rsid w:val="0045329F"/>
    <w:rsid w:val="0045344C"/>
    <w:rsid w:val="00453476"/>
    <w:rsid w:val="00453632"/>
    <w:rsid w:val="00453806"/>
    <w:rsid w:val="0045385C"/>
    <w:rsid w:val="004539A9"/>
    <w:rsid w:val="00453A17"/>
    <w:rsid w:val="00453A19"/>
    <w:rsid w:val="00453AB6"/>
    <w:rsid w:val="00453C86"/>
    <w:rsid w:val="00453C8A"/>
    <w:rsid w:val="00453CE3"/>
    <w:rsid w:val="00453E0A"/>
    <w:rsid w:val="00453F17"/>
    <w:rsid w:val="00453FAE"/>
    <w:rsid w:val="00453FCC"/>
    <w:rsid w:val="0045409A"/>
    <w:rsid w:val="004540C3"/>
    <w:rsid w:val="004541F1"/>
    <w:rsid w:val="00454627"/>
    <w:rsid w:val="004546BF"/>
    <w:rsid w:val="004546C5"/>
    <w:rsid w:val="0045471A"/>
    <w:rsid w:val="00454737"/>
    <w:rsid w:val="004548A3"/>
    <w:rsid w:val="004548AF"/>
    <w:rsid w:val="004548C3"/>
    <w:rsid w:val="004548EC"/>
    <w:rsid w:val="00454938"/>
    <w:rsid w:val="00454BBD"/>
    <w:rsid w:val="00454D14"/>
    <w:rsid w:val="00454D77"/>
    <w:rsid w:val="00454DE1"/>
    <w:rsid w:val="00454E68"/>
    <w:rsid w:val="00454E77"/>
    <w:rsid w:val="00454E8C"/>
    <w:rsid w:val="00454EDD"/>
    <w:rsid w:val="00455090"/>
    <w:rsid w:val="00455140"/>
    <w:rsid w:val="0045519B"/>
    <w:rsid w:val="0045521F"/>
    <w:rsid w:val="004552DE"/>
    <w:rsid w:val="00455359"/>
    <w:rsid w:val="004553DE"/>
    <w:rsid w:val="004553E0"/>
    <w:rsid w:val="00455409"/>
    <w:rsid w:val="0045543B"/>
    <w:rsid w:val="004555FB"/>
    <w:rsid w:val="0045560B"/>
    <w:rsid w:val="0045566B"/>
    <w:rsid w:val="00455870"/>
    <w:rsid w:val="0045592D"/>
    <w:rsid w:val="00455A58"/>
    <w:rsid w:val="00455A77"/>
    <w:rsid w:val="00455BCB"/>
    <w:rsid w:val="00455BDB"/>
    <w:rsid w:val="00455D2B"/>
    <w:rsid w:val="00455D4B"/>
    <w:rsid w:val="00455D6D"/>
    <w:rsid w:val="00455F5D"/>
    <w:rsid w:val="0045603A"/>
    <w:rsid w:val="004561E6"/>
    <w:rsid w:val="004562E3"/>
    <w:rsid w:val="00456383"/>
    <w:rsid w:val="00456500"/>
    <w:rsid w:val="00456713"/>
    <w:rsid w:val="004567AE"/>
    <w:rsid w:val="00456929"/>
    <w:rsid w:val="00456A7E"/>
    <w:rsid w:val="00456A85"/>
    <w:rsid w:val="00456AE4"/>
    <w:rsid w:val="00456C86"/>
    <w:rsid w:val="00456CBF"/>
    <w:rsid w:val="00456CDC"/>
    <w:rsid w:val="00456DA5"/>
    <w:rsid w:val="00456E26"/>
    <w:rsid w:val="00456EC7"/>
    <w:rsid w:val="00457031"/>
    <w:rsid w:val="0045703E"/>
    <w:rsid w:val="00457082"/>
    <w:rsid w:val="0045708A"/>
    <w:rsid w:val="00457389"/>
    <w:rsid w:val="00457458"/>
    <w:rsid w:val="0045748C"/>
    <w:rsid w:val="00457554"/>
    <w:rsid w:val="00457599"/>
    <w:rsid w:val="00457671"/>
    <w:rsid w:val="00457698"/>
    <w:rsid w:val="004577AB"/>
    <w:rsid w:val="0045781D"/>
    <w:rsid w:val="00457AEB"/>
    <w:rsid w:val="00457B3F"/>
    <w:rsid w:val="00457D18"/>
    <w:rsid w:val="00457E2A"/>
    <w:rsid w:val="00457E60"/>
    <w:rsid w:val="00457EA9"/>
    <w:rsid w:val="00457ED8"/>
    <w:rsid w:val="004600CA"/>
    <w:rsid w:val="00460136"/>
    <w:rsid w:val="0046019F"/>
    <w:rsid w:val="00460240"/>
    <w:rsid w:val="0046025F"/>
    <w:rsid w:val="00460266"/>
    <w:rsid w:val="00460494"/>
    <w:rsid w:val="004604AA"/>
    <w:rsid w:val="00460559"/>
    <w:rsid w:val="004607E6"/>
    <w:rsid w:val="00460894"/>
    <w:rsid w:val="00460909"/>
    <w:rsid w:val="00460976"/>
    <w:rsid w:val="004609D6"/>
    <w:rsid w:val="00460A69"/>
    <w:rsid w:val="00460C6C"/>
    <w:rsid w:val="00460D52"/>
    <w:rsid w:val="00460E6B"/>
    <w:rsid w:val="00460F87"/>
    <w:rsid w:val="00460FCE"/>
    <w:rsid w:val="004612F3"/>
    <w:rsid w:val="00461408"/>
    <w:rsid w:val="004614CC"/>
    <w:rsid w:val="004616EA"/>
    <w:rsid w:val="004616FD"/>
    <w:rsid w:val="00461787"/>
    <w:rsid w:val="004617F1"/>
    <w:rsid w:val="0046193A"/>
    <w:rsid w:val="00461950"/>
    <w:rsid w:val="00461976"/>
    <w:rsid w:val="00461A86"/>
    <w:rsid w:val="00461B09"/>
    <w:rsid w:val="00461BCC"/>
    <w:rsid w:val="00461BEC"/>
    <w:rsid w:val="00461C29"/>
    <w:rsid w:val="00461DC5"/>
    <w:rsid w:val="00461EB8"/>
    <w:rsid w:val="00461FBF"/>
    <w:rsid w:val="004620F4"/>
    <w:rsid w:val="00462198"/>
    <w:rsid w:val="004621FA"/>
    <w:rsid w:val="0046224D"/>
    <w:rsid w:val="00462273"/>
    <w:rsid w:val="00462318"/>
    <w:rsid w:val="004624ED"/>
    <w:rsid w:val="00462521"/>
    <w:rsid w:val="004625F6"/>
    <w:rsid w:val="00462700"/>
    <w:rsid w:val="004627FF"/>
    <w:rsid w:val="004628FC"/>
    <w:rsid w:val="00462939"/>
    <w:rsid w:val="00462940"/>
    <w:rsid w:val="00462973"/>
    <w:rsid w:val="00462997"/>
    <w:rsid w:val="00462A5D"/>
    <w:rsid w:val="00462A64"/>
    <w:rsid w:val="00462E46"/>
    <w:rsid w:val="00462E59"/>
    <w:rsid w:val="00462E8D"/>
    <w:rsid w:val="00462F52"/>
    <w:rsid w:val="0046307E"/>
    <w:rsid w:val="004630C5"/>
    <w:rsid w:val="00463141"/>
    <w:rsid w:val="004631DB"/>
    <w:rsid w:val="00463218"/>
    <w:rsid w:val="004632E5"/>
    <w:rsid w:val="004634BC"/>
    <w:rsid w:val="004635FE"/>
    <w:rsid w:val="00463747"/>
    <w:rsid w:val="0046374D"/>
    <w:rsid w:val="004637B7"/>
    <w:rsid w:val="0046392F"/>
    <w:rsid w:val="004639E6"/>
    <w:rsid w:val="004639FB"/>
    <w:rsid w:val="00463B58"/>
    <w:rsid w:val="00463B59"/>
    <w:rsid w:val="00463D5D"/>
    <w:rsid w:val="00463E7C"/>
    <w:rsid w:val="00463EB9"/>
    <w:rsid w:val="00464014"/>
    <w:rsid w:val="00464216"/>
    <w:rsid w:val="00464231"/>
    <w:rsid w:val="00464259"/>
    <w:rsid w:val="0046441E"/>
    <w:rsid w:val="004644FB"/>
    <w:rsid w:val="00464660"/>
    <w:rsid w:val="00464695"/>
    <w:rsid w:val="0046483B"/>
    <w:rsid w:val="004648AC"/>
    <w:rsid w:val="00464AFC"/>
    <w:rsid w:val="00464B54"/>
    <w:rsid w:val="00464C7C"/>
    <w:rsid w:val="00464CA8"/>
    <w:rsid w:val="00464F9A"/>
    <w:rsid w:val="00464FDD"/>
    <w:rsid w:val="004651C8"/>
    <w:rsid w:val="0046532F"/>
    <w:rsid w:val="0046539D"/>
    <w:rsid w:val="004653A8"/>
    <w:rsid w:val="004653F3"/>
    <w:rsid w:val="0046549F"/>
    <w:rsid w:val="0046561C"/>
    <w:rsid w:val="004656E6"/>
    <w:rsid w:val="00465701"/>
    <w:rsid w:val="0046586E"/>
    <w:rsid w:val="00465899"/>
    <w:rsid w:val="00465A0D"/>
    <w:rsid w:val="00465B51"/>
    <w:rsid w:val="00465C41"/>
    <w:rsid w:val="00465D30"/>
    <w:rsid w:val="00465E22"/>
    <w:rsid w:val="00465E4E"/>
    <w:rsid w:val="00465F5D"/>
    <w:rsid w:val="00466198"/>
    <w:rsid w:val="004667E5"/>
    <w:rsid w:val="004668EF"/>
    <w:rsid w:val="00466901"/>
    <w:rsid w:val="0046696C"/>
    <w:rsid w:val="00466B49"/>
    <w:rsid w:val="00466B55"/>
    <w:rsid w:val="00466B8F"/>
    <w:rsid w:val="00466BE7"/>
    <w:rsid w:val="00466D40"/>
    <w:rsid w:val="00466E08"/>
    <w:rsid w:val="00466E43"/>
    <w:rsid w:val="00466E66"/>
    <w:rsid w:val="00466F79"/>
    <w:rsid w:val="00466FC2"/>
    <w:rsid w:val="00467023"/>
    <w:rsid w:val="0046728E"/>
    <w:rsid w:val="00467477"/>
    <w:rsid w:val="004674A4"/>
    <w:rsid w:val="004674F8"/>
    <w:rsid w:val="0046751B"/>
    <w:rsid w:val="00467947"/>
    <w:rsid w:val="00467AB4"/>
    <w:rsid w:val="00467B5A"/>
    <w:rsid w:val="00467BA8"/>
    <w:rsid w:val="00467BD5"/>
    <w:rsid w:val="00467BDE"/>
    <w:rsid w:val="00467C92"/>
    <w:rsid w:val="00467CFC"/>
    <w:rsid w:val="00467D01"/>
    <w:rsid w:val="00467E93"/>
    <w:rsid w:val="00470124"/>
    <w:rsid w:val="004701F8"/>
    <w:rsid w:val="004702A2"/>
    <w:rsid w:val="004703F7"/>
    <w:rsid w:val="004703FC"/>
    <w:rsid w:val="0047051B"/>
    <w:rsid w:val="00470629"/>
    <w:rsid w:val="00470759"/>
    <w:rsid w:val="0047087B"/>
    <w:rsid w:val="00470AA5"/>
    <w:rsid w:val="00470ADB"/>
    <w:rsid w:val="00470B54"/>
    <w:rsid w:val="00470BC9"/>
    <w:rsid w:val="00470DC7"/>
    <w:rsid w:val="00470F8C"/>
    <w:rsid w:val="00470FE7"/>
    <w:rsid w:val="004711A3"/>
    <w:rsid w:val="004711AB"/>
    <w:rsid w:val="0047128E"/>
    <w:rsid w:val="00471386"/>
    <w:rsid w:val="00471480"/>
    <w:rsid w:val="0047154E"/>
    <w:rsid w:val="0047161E"/>
    <w:rsid w:val="00471648"/>
    <w:rsid w:val="00471763"/>
    <w:rsid w:val="004717C1"/>
    <w:rsid w:val="00471A82"/>
    <w:rsid w:val="00471C0F"/>
    <w:rsid w:val="0047209D"/>
    <w:rsid w:val="00472116"/>
    <w:rsid w:val="0047224D"/>
    <w:rsid w:val="004722ED"/>
    <w:rsid w:val="00472396"/>
    <w:rsid w:val="004723BC"/>
    <w:rsid w:val="004723FA"/>
    <w:rsid w:val="00472413"/>
    <w:rsid w:val="004724A3"/>
    <w:rsid w:val="004724C5"/>
    <w:rsid w:val="00472A3B"/>
    <w:rsid w:val="00472A5C"/>
    <w:rsid w:val="00472ACD"/>
    <w:rsid w:val="00472B70"/>
    <w:rsid w:val="00472CEA"/>
    <w:rsid w:val="00472DF5"/>
    <w:rsid w:val="00472FBC"/>
    <w:rsid w:val="00472FD9"/>
    <w:rsid w:val="00473032"/>
    <w:rsid w:val="0047315E"/>
    <w:rsid w:val="004731B0"/>
    <w:rsid w:val="004731FA"/>
    <w:rsid w:val="0047320E"/>
    <w:rsid w:val="00473251"/>
    <w:rsid w:val="004732D1"/>
    <w:rsid w:val="0047336E"/>
    <w:rsid w:val="0047338E"/>
    <w:rsid w:val="0047345F"/>
    <w:rsid w:val="004735C4"/>
    <w:rsid w:val="004735CE"/>
    <w:rsid w:val="004735CF"/>
    <w:rsid w:val="00473617"/>
    <w:rsid w:val="0047361E"/>
    <w:rsid w:val="004736B8"/>
    <w:rsid w:val="0047372E"/>
    <w:rsid w:val="004738F4"/>
    <w:rsid w:val="00473AB8"/>
    <w:rsid w:val="00473AC1"/>
    <w:rsid w:val="00473BB3"/>
    <w:rsid w:val="00473DB3"/>
    <w:rsid w:val="00473E40"/>
    <w:rsid w:val="00473E46"/>
    <w:rsid w:val="00473E73"/>
    <w:rsid w:val="00473ECA"/>
    <w:rsid w:val="00473EDD"/>
    <w:rsid w:val="00473EE4"/>
    <w:rsid w:val="00473F48"/>
    <w:rsid w:val="00473F55"/>
    <w:rsid w:val="00474154"/>
    <w:rsid w:val="004741B1"/>
    <w:rsid w:val="004741F5"/>
    <w:rsid w:val="00474220"/>
    <w:rsid w:val="004743FE"/>
    <w:rsid w:val="0047449A"/>
    <w:rsid w:val="00474535"/>
    <w:rsid w:val="0047456F"/>
    <w:rsid w:val="0047459D"/>
    <w:rsid w:val="00474685"/>
    <w:rsid w:val="0047473A"/>
    <w:rsid w:val="004747C8"/>
    <w:rsid w:val="00474828"/>
    <w:rsid w:val="004748F6"/>
    <w:rsid w:val="00474949"/>
    <w:rsid w:val="00474A06"/>
    <w:rsid w:val="00474B5B"/>
    <w:rsid w:val="00474BCC"/>
    <w:rsid w:val="00474C11"/>
    <w:rsid w:val="00474F27"/>
    <w:rsid w:val="00474F74"/>
    <w:rsid w:val="0047501E"/>
    <w:rsid w:val="004750C5"/>
    <w:rsid w:val="0047511E"/>
    <w:rsid w:val="0047514E"/>
    <w:rsid w:val="0047526C"/>
    <w:rsid w:val="004752C0"/>
    <w:rsid w:val="0047539D"/>
    <w:rsid w:val="0047541C"/>
    <w:rsid w:val="0047553C"/>
    <w:rsid w:val="0047559B"/>
    <w:rsid w:val="004755DA"/>
    <w:rsid w:val="004755EC"/>
    <w:rsid w:val="004756DF"/>
    <w:rsid w:val="00475715"/>
    <w:rsid w:val="00475797"/>
    <w:rsid w:val="004757FD"/>
    <w:rsid w:val="0047580D"/>
    <w:rsid w:val="004758A0"/>
    <w:rsid w:val="00475C78"/>
    <w:rsid w:val="00475EA9"/>
    <w:rsid w:val="00475F0F"/>
    <w:rsid w:val="00475F5D"/>
    <w:rsid w:val="00475FEB"/>
    <w:rsid w:val="00476002"/>
    <w:rsid w:val="00476022"/>
    <w:rsid w:val="0047607E"/>
    <w:rsid w:val="004760CE"/>
    <w:rsid w:val="004761CB"/>
    <w:rsid w:val="00476217"/>
    <w:rsid w:val="00476309"/>
    <w:rsid w:val="00476391"/>
    <w:rsid w:val="004763EE"/>
    <w:rsid w:val="004763FB"/>
    <w:rsid w:val="004764B8"/>
    <w:rsid w:val="0047650D"/>
    <w:rsid w:val="0047657E"/>
    <w:rsid w:val="004766AC"/>
    <w:rsid w:val="00476771"/>
    <w:rsid w:val="004768DB"/>
    <w:rsid w:val="00476A13"/>
    <w:rsid w:val="00476B45"/>
    <w:rsid w:val="00476CB5"/>
    <w:rsid w:val="00476CDC"/>
    <w:rsid w:val="00476E03"/>
    <w:rsid w:val="00476E3A"/>
    <w:rsid w:val="00476EC3"/>
    <w:rsid w:val="00476EC8"/>
    <w:rsid w:val="00477189"/>
    <w:rsid w:val="0047719F"/>
    <w:rsid w:val="004773B5"/>
    <w:rsid w:val="004774C1"/>
    <w:rsid w:val="00477578"/>
    <w:rsid w:val="0047760D"/>
    <w:rsid w:val="004776C6"/>
    <w:rsid w:val="0047775D"/>
    <w:rsid w:val="004777A6"/>
    <w:rsid w:val="004777DD"/>
    <w:rsid w:val="004777F0"/>
    <w:rsid w:val="004778E4"/>
    <w:rsid w:val="004778EE"/>
    <w:rsid w:val="00477947"/>
    <w:rsid w:val="00477C03"/>
    <w:rsid w:val="00477C93"/>
    <w:rsid w:val="00477CDB"/>
    <w:rsid w:val="00477CE2"/>
    <w:rsid w:val="00477D2C"/>
    <w:rsid w:val="00477F13"/>
    <w:rsid w:val="00477FEB"/>
    <w:rsid w:val="00480151"/>
    <w:rsid w:val="00480187"/>
    <w:rsid w:val="00480302"/>
    <w:rsid w:val="00480453"/>
    <w:rsid w:val="0048047D"/>
    <w:rsid w:val="00480541"/>
    <w:rsid w:val="00480580"/>
    <w:rsid w:val="00480624"/>
    <w:rsid w:val="004807F7"/>
    <w:rsid w:val="004808BC"/>
    <w:rsid w:val="00480A87"/>
    <w:rsid w:val="00480AB5"/>
    <w:rsid w:val="00480BBD"/>
    <w:rsid w:val="00480BE8"/>
    <w:rsid w:val="00480BEB"/>
    <w:rsid w:val="00480E15"/>
    <w:rsid w:val="00480E63"/>
    <w:rsid w:val="00480FF3"/>
    <w:rsid w:val="00480FFF"/>
    <w:rsid w:val="00481096"/>
    <w:rsid w:val="0048110F"/>
    <w:rsid w:val="00481171"/>
    <w:rsid w:val="00481182"/>
    <w:rsid w:val="004811DC"/>
    <w:rsid w:val="004812BD"/>
    <w:rsid w:val="0048132E"/>
    <w:rsid w:val="00481336"/>
    <w:rsid w:val="00481366"/>
    <w:rsid w:val="00481433"/>
    <w:rsid w:val="00481490"/>
    <w:rsid w:val="004814C8"/>
    <w:rsid w:val="0048155E"/>
    <w:rsid w:val="004815DC"/>
    <w:rsid w:val="0048165E"/>
    <w:rsid w:val="004816FC"/>
    <w:rsid w:val="0048177C"/>
    <w:rsid w:val="00481845"/>
    <w:rsid w:val="00481958"/>
    <w:rsid w:val="004819AD"/>
    <w:rsid w:val="00481A56"/>
    <w:rsid w:val="00481A6C"/>
    <w:rsid w:val="00481C35"/>
    <w:rsid w:val="00481C5D"/>
    <w:rsid w:val="00481D46"/>
    <w:rsid w:val="00481D71"/>
    <w:rsid w:val="00481E27"/>
    <w:rsid w:val="00481E71"/>
    <w:rsid w:val="00481F7C"/>
    <w:rsid w:val="00482003"/>
    <w:rsid w:val="00482008"/>
    <w:rsid w:val="004820FB"/>
    <w:rsid w:val="004821BF"/>
    <w:rsid w:val="004821DD"/>
    <w:rsid w:val="004821F2"/>
    <w:rsid w:val="00482302"/>
    <w:rsid w:val="004823E3"/>
    <w:rsid w:val="00482418"/>
    <w:rsid w:val="0048253D"/>
    <w:rsid w:val="00482682"/>
    <w:rsid w:val="00482747"/>
    <w:rsid w:val="004829F8"/>
    <w:rsid w:val="00482A7B"/>
    <w:rsid w:val="00482AA7"/>
    <w:rsid w:val="00482AD7"/>
    <w:rsid w:val="00482B25"/>
    <w:rsid w:val="00482B27"/>
    <w:rsid w:val="00482C36"/>
    <w:rsid w:val="00482C7D"/>
    <w:rsid w:val="00482D89"/>
    <w:rsid w:val="00482E24"/>
    <w:rsid w:val="00482E48"/>
    <w:rsid w:val="00482EEC"/>
    <w:rsid w:val="00482F0B"/>
    <w:rsid w:val="00482F9A"/>
    <w:rsid w:val="00483074"/>
    <w:rsid w:val="004830BF"/>
    <w:rsid w:val="00483108"/>
    <w:rsid w:val="00483111"/>
    <w:rsid w:val="004831CC"/>
    <w:rsid w:val="00483286"/>
    <w:rsid w:val="004834A0"/>
    <w:rsid w:val="004834B9"/>
    <w:rsid w:val="004834D4"/>
    <w:rsid w:val="004836BC"/>
    <w:rsid w:val="004838DA"/>
    <w:rsid w:val="004838F1"/>
    <w:rsid w:val="00483A58"/>
    <w:rsid w:val="00483A7D"/>
    <w:rsid w:val="00483B18"/>
    <w:rsid w:val="00483B2A"/>
    <w:rsid w:val="00483B37"/>
    <w:rsid w:val="00483B64"/>
    <w:rsid w:val="00483B77"/>
    <w:rsid w:val="00483CCB"/>
    <w:rsid w:val="00483DA1"/>
    <w:rsid w:val="004841F4"/>
    <w:rsid w:val="0048427D"/>
    <w:rsid w:val="00484284"/>
    <w:rsid w:val="004842AF"/>
    <w:rsid w:val="004842F7"/>
    <w:rsid w:val="00484393"/>
    <w:rsid w:val="00484435"/>
    <w:rsid w:val="00484511"/>
    <w:rsid w:val="0048458E"/>
    <w:rsid w:val="004845FC"/>
    <w:rsid w:val="00484707"/>
    <w:rsid w:val="00484741"/>
    <w:rsid w:val="004848CE"/>
    <w:rsid w:val="004849D0"/>
    <w:rsid w:val="004849E9"/>
    <w:rsid w:val="00484A0B"/>
    <w:rsid w:val="00484A12"/>
    <w:rsid w:val="00484A9D"/>
    <w:rsid w:val="00484ACC"/>
    <w:rsid w:val="00484B4A"/>
    <w:rsid w:val="00484D8D"/>
    <w:rsid w:val="00484DDD"/>
    <w:rsid w:val="00484FF4"/>
    <w:rsid w:val="00485002"/>
    <w:rsid w:val="0048507A"/>
    <w:rsid w:val="004850D7"/>
    <w:rsid w:val="00485133"/>
    <w:rsid w:val="0048518A"/>
    <w:rsid w:val="00485203"/>
    <w:rsid w:val="00485211"/>
    <w:rsid w:val="004852A4"/>
    <w:rsid w:val="00485384"/>
    <w:rsid w:val="00485609"/>
    <w:rsid w:val="004858F5"/>
    <w:rsid w:val="00485A50"/>
    <w:rsid w:val="00485A77"/>
    <w:rsid w:val="00485BB5"/>
    <w:rsid w:val="00485C30"/>
    <w:rsid w:val="00485F8B"/>
    <w:rsid w:val="004860AC"/>
    <w:rsid w:val="00486210"/>
    <w:rsid w:val="004862A2"/>
    <w:rsid w:val="00486301"/>
    <w:rsid w:val="0048642A"/>
    <w:rsid w:val="00486541"/>
    <w:rsid w:val="004865F6"/>
    <w:rsid w:val="00486603"/>
    <w:rsid w:val="0048660F"/>
    <w:rsid w:val="004867A2"/>
    <w:rsid w:val="004867D8"/>
    <w:rsid w:val="00486A22"/>
    <w:rsid w:val="00486A5B"/>
    <w:rsid w:val="00486B57"/>
    <w:rsid w:val="00486BED"/>
    <w:rsid w:val="00486C5A"/>
    <w:rsid w:val="00486CE2"/>
    <w:rsid w:val="00486D53"/>
    <w:rsid w:val="00486E69"/>
    <w:rsid w:val="004871C4"/>
    <w:rsid w:val="00487440"/>
    <w:rsid w:val="00487616"/>
    <w:rsid w:val="00487675"/>
    <w:rsid w:val="0048773A"/>
    <w:rsid w:val="0048784B"/>
    <w:rsid w:val="00487854"/>
    <w:rsid w:val="004878C7"/>
    <w:rsid w:val="00487C9F"/>
    <w:rsid w:val="00487CD0"/>
    <w:rsid w:val="00487D4D"/>
    <w:rsid w:val="00487DC6"/>
    <w:rsid w:val="0049001A"/>
    <w:rsid w:val="004901AA"/>
    <w:rsid w:val="004902A0"/>
    <w:rsid w:val="004902CF"/>
    <w:rsid w:val="00490323"/>
    <w:rsid w:val="004903F6"/>
    <w:rsid w:val="0049051E"/>
    <w:rsid w:val="004905F0"/>
    <w:rsid w:val="00490600"/>
    <w:rsid w:val="00490646"/>
    <w:rsid w:val="00490720"/>
    <w:rsid w:val="00490864"/>
    <w:rsid w:val="00490903"/>
    <w:rsid w:val="004909B2"/>
    <w:rsid w:val="00490A36"/>
    <w:rsid w:val="00490BD5"/>
    <w:rsid w:val="00490C5F"/>
    <w:rsid w:val="00490E0B"/>
    <w:rsid w:val="00490FBB"/>
    <w:rsid w:val="004911C9"/>
    <w:rsid w:val="004911FC"/>
    <w:rsid w:val="00491263"/>
    <w:rsid w:val="004912AE"/>
    <w:rsid w:val="004914C5"/>
    <w:rsid w:val="00491507"/>
    <w:rsid w:val="004915E7"/>
    <w:rsid w:val="00491794"/>
    <w:rsid w:val="004918C2"/>
    <w:rsid w:val="00491A51"/>
    <w:rsid w:val="00491B93"/>
    <w:rsid w:val="00491CF4"/>
    <w:rsid w:val="00491D41"/>
    <w:rsid w:val="00491D8D"/>
    <w:rsid w:val="00491E90"/>
    <w:rsid w:val="00491F1F"/>
    <w:rsid w:val="00491F84"/>
    <w:rsid w:val="00492016"/>
    <w:rsid w:val="00492257"/>
    <w:rsid w:val="00492300"/>
    <w:rsid w:val="0049232E"/>
    <w:rsid w:val="004926EA"/>
    <w:rsid w:val="00492806"/>
    <w:rsid w:val="00492942"/>
    <w:rsid w:val="00492B0C"/>
    <w:rsid w:val="00492B79"/>
    <w:rsid w:val="00492BF6"/>
    <w:rsid w:val="00492EFA"/>
    <w:rsid w:val="00492F51"/>
    <w:rsid w:val="00492F70"/>
    <w:rsid w:val="0049307A"/>
    <w:rsid w:val="004930D3"/>
    <w:rsid w:val="00493251"/>
    <w:rsid w:val="00493331"/>
    <w:rsid w:val="0049335E"/>
    <w:rsid w:val="004933FD"/>
    <w:rsid w:val="004934F0"/>
    <w:rsid w:val="004935ED"/>
    <w:rsid w:val="00493676"/>
    <w:rsid w:val="0049367E"/>
    <w:rsid w:val="004936FB"/>
    <w:rsid w:val="004937A6"/>
    <w:rsid w:val="004938F2"/>
    <w:rsid w:val="00493940"/>
    <w:rsid w:val="00493943"/>
    <w:rsid w:val="00493B59"/>
    <w:rsid w:val="00493B5B"/>
    <w:rsid w:val="00493BDB"/>
    <w:rsid w:val="00493EA0"/>
    <w:rsid w:val="00494038"/>
    <w:rsid w:val="004940D7"/>
    <w:rsid w:val="004941A2"/>
    <w:rsid w:val="004941E6"/>
    <w:rsid w:val="00494245"/>
    <w:rsid w:val="004942D5"/>
    <w:rsid w:val="004943DA"/>
    <w:rsid w:val="00494464"/>
    <w:rsid w:val="0049455F"/>
    <w:rsid w:val="004946C8"/>
    <w:rsid w:val="00494728"/>
    <w:rsid w:val="00494760"/>
    <w:rsid w:val="0049478A"/>
    <w:rsid w:val="004947F9"/>
    <w:rsid w:val="0049496C"/>
    <w:rsid w:val="004949A5"/>
    <w:rsid w:val="004949F1"/>
    <w:rsid w:val="00494B10"/>
    <w:rsid w:val="00494BA8"/>
    <w:rsid w:val="00494D5A"/>
    <w:rsid w:val="00494E3D"/>
    <w:rsid w:val="00494F00"/>
    <w:rsid w:val="00494F51"/>
    <w:rsid w:val="00494F89"/>
    <w:rsid w:val="00495245"/>
    <w:rsid w:val="004952A4"/>
    <w:rsid w:val="00495364"/>
    <w:rsid w:val="0049538A"/>
    <w:rsid w:val="0049547D"/>
    <w:rsid w:val="004954FC"/>
    <w:rsid w:val="004955AD"/>
    <w:rsid w:val="00495790"/>
    <w:rsid w:val="00495872"/>
    <w:rsid w:val="004958AC"/>
    <w:rsid w:val="004958F3"/>
    <w:rsid w:val="00495952"/>
    <w:rsid w:val="004959E6"/>
    <w:rsid w:val="00495C90"/>
    <w:rsid w:val="00495CC2"/>
    <w:rsid w:val="00495D87"/>
    <w:rsid w:val="00495F02"/>
    <w:rsid w:val="004960C1"/>
    <w:rsid w:val="004960CC"/>
    <w:rsid w:val="004961B1"/>
    <w:rsid w:val="00496217"/>
    <w:rsid w:val="00496272"/>
    <w:rsid w:val="004962B9"/>
    <w:rsid w:val="0049674F"/>
    <w:rsid w:val="004967B7"/>
    <w:rsid w:val="00496817"/>
    <w:rsid w:val="00496B3C"/>
    <w:rsid w:val="00496C17"/>
    <w:rsid w:val="00496E59"/>
    <w:rsid w:val="0049712F"/>
    <w:rsid w:val="00497160"/>
    <w:rsid w:val="00497167"/>
    <w:rsid w:val="004972D7"/>
    <w:rsid w:val="004972E7"/>
    <w:rsid w:val="00497334"/>
    <w:rsid w:val="004974C6"/>
    <w:rsid w:val="00497646"/>
    <w:rsid w:val="004977EC"/>
    <w:rsid w:val="00497857"/>
    <w:rsid w:val="00497924"/>
    <w:rsid w:val="00497AEE"/>
    <w:rsid w:val="00497C1D"/>
    <w:rsid w:val="00497D37"/>
    <w:rsid w:val="00497D3E"/>
    <w:rsid w:val="00497DA2"/>
    <w:rsid w:val="00497E7A"/>
    <w:rsid w:val="00497E96"/>
    <w:rsid w:val="00497EB3"/>
    <w:rsid w:val="00497ED4"/>
    <w:rsid w:val="004A0036"/>
    <w:rsid w:val="004A00AA"/>
    <w:rsid w:val="004A00AB"/>
    <w:rsid w:val="004A0221"/>
    <w:rsid w:val="004A02B6"/>
    <w:rsid w:val="004A02C3"/>
    <w:rsid w:val="004A03E1"/>
    <w:rsid w:val="004A0453"/>
    <w:rsid w:val="004A0472"/>
    <w:rsid w:val="004A04DE"/>
    <w:rsid w:val="004A05B4"/>
    <w:rsid w:val="004A05F2"/>
    <w:rsid w:val="004A0625"/>
    <w:rsid w:val="004A071A"/>
    <w:rsid w:val="004A073B"/>
    <w:rsid w:val="004A07FE"/>
    <w:rsid w:val="004A085E"/>
    <w:rsid w:val="004A088B"/>
    <w:rsid w:val="004A096F"/>
    <w:rsid w:val="004A0A0D"/>
    <w:rsid w:val="004A0AB4"/>
    <w:rsid w:val="004A0C23"/>
    <w:rsid w:val="004A0C8B"/>
    <w:rsid w:val="004A0DB5"/>
    <w:rsid w:val="004A0EB1"/>
    <w:rsid w:val="004A105C"/>
    <w:rsid w:val="004A105E"/>
    <w:rsid w:val="004A107E"/>
    <w:rsid w:val="004A10A6"/>
    <w:rsid w:val="004A11B4"/>
    <w:rsid w:val="004A12CD"/>
    <w:rsid w:val="004A1347"/>
    <w:rsid w:val="004A145B"/>
    <w:rsid w:val="004A1505"/>
    <w:rsid w:val="004A150F"/>
    <w:rsid w:val="004A15E4"/>
    <w:rsid w:val="004A160B"/>
    <w:rsid w:val="004A16D4"/>
    <w:rsid w:val="004A178D"/>
    <w:rsid w:val="004A179D"/>
    <w:rsid w:val="004A19C6"/>
    <w:rsid w:val="004A1AA7"/>
    <w:rsid w:val="004A1AB4"/>
    <w:rsid w:val="004A1C45"/>
    <w:rsid w:val="004A1E61"/>
    <w:rsid w:val="004A1E7F"/>
    <w:rsid w:val="004A1EBA"/>
    <w:rsid w:val="004A1EBB"/>
    <w:rsid w:val="004A1F0C"/>
    <w:rsid w:val="004A2380"/>
    <w:rsid w:val="004A2396"/>
    <w:rsid w:val="004A2413"/>
    <w:rsid w:val="004A243F"/>
    <w:rsid w:val="004A2518"/>
    <w:rsid w:val="004A2541"/>
    <w:rsid w:val="004A2548"/>
    <w:rsid w:val="004A25EB"/>
    <w:rsid w:val="004A2634"/>
    <w:rsid w:val="004A2653"/>
    <w:rsid w:val="004A2674"/>
    <w:rsid w:val="004A26F3"/>
    <w:rsid w:val="004A273F"/>
    <w:rsid w:val="004A2759"/>
    <w:rsid w:val="004A27FA"/>
    <w:rsid w:val="004A2825"/>
    <w:rsid w:val="004A289E"/>
    <w:rsid w:val="004A28A7"/>
    <w:rsid w:val="004A292A"/>
    <w:rsid w:val="004A2962"/>
    <w:rsid w:val="004A2973"/>
    <w:rsid w:val="004A2ADA"/>
    <w:rsid w:val="004A2B6A"/>
    <w:rsid w:val="004A2C4A"/>
    <w:rsid w:val="004A2C73"/>
    <w:rsid w:val="004A2EE0"/>
    <w:rsid w:val="004A3007"/>
    <w:rsid w:val="004A30AB"/>
    <w:rsid w:val="004A3110"/>
    <w:rsid w:val="004A3188"/>
    <w:rsid w:val="004A31DC"/>
    <w:rsid w:val="004A321F"/>
    <w:rsid w:val="004A324A"/>
    <w:rsid w:val="004A34B6"/>
    <w:rsid w:val="004A35EF"/>
    <w:rsid w:val="004A361C"/>
    <w:rsid w:val="004A37D4"/>
    <w:rsid w:val="004A3943"/>
    <w:rsid w:val="004A39C3"/>
    <w:rsid w:val="004A3A23"/>
    <w:rsid w:val="004A3DED"/>
    <w:rsid w:val="004A3F37"/>
    <w:rsid w:val="004A3F7E"/>
    <w:rsid w:val="004A40CF"/>
    <w:rsid w:val="004A41C4"/>
    <w:rsid w:val="004A4231"/>
    <w:rsid w:val="004A4233"/>
    <w:rsid w:val="004A4251"/>
    <w:rsid w:val="004A4380"/>
    <w:rsid w:val="004A443F"/>
    <w:rsid w:val="004A44FC"/>
    <w:rsid w:val="004A480D"/>
    <w:rsid w:val="004A4912"/>
    <w:rsid w:val="004A4B46"/>
    <w:rsid w:val="004A4B47"/>
    <w:rsid w:val="004A4C94"/>
    <w:rsid w:val="004A4D5F"/>
    <w:rsid w:val="004A4E0D"/>
    <w:rsid w:val="004A4E74"/>
    <w:rsid w:val="004A50A8"/>
    <w:rsid w:val="004A50E1"/>
    <w:rsid w:val="004A5232"/>
    <w:rsid w:val="004A5269"/>
    <w:rsid w:val="004A52E8"/>
    <w:rsid w:val="004A530A"/>
    <w:rsid w:val="004A53D7"/>
    <w:rsid w:val="004A54C3"/>
    <w:rsid w:val="004A5557"/>
    <w:rsid w:val="004A5686"/>
    <w:rsid w:val="004A595E"/>
    <w:rsid w:val="004A59E9"/>
    <w:rsid w:val="004A5A4D"/>
    <w:rsid w:val="004A5CEA"/>
    <w:rsid w:val="004A5E45"/>
    <w:rsid w:val="004A5F7F"/>
    <w:rsid w:val="004A6081"/>
    <w:rsid w:val="004A60D2"/>
    <w:rsid w:val="004A60F3"/>
    <w:rsid w:val="004A61DE"/>
    <w:rsid w:val="004A635C"/>
    <w:rsid w:val="004A6412"/>
    <w:rsid w:val="004A6449"/>
    <w:rsid w:val="004A64EF"/>
    <w:rsid w:val="004A6653"/>
    <w:rsid w:val="004A66C2"/>
    <w:rsid w:val="004A66E1"/>
    <w:rsid w:val="004A6707"/>
    <w:rsid w:val="004A6752"/>
    <w:rsid w:val="004A67A5"/>
    <w:rsid w:val="004A67E3"/>
    <w:rsid w:val="004A685A"/>
    <w:rsid w:val="004A6865"/>
    <w:rsid w:val="004A695C"/>
    <w:rsid w:val="004A696A"/>
    <w:rsid w:val="004A69AC"/>
    <w:rsid w:val="004A6CF9"/>
    <w:rsid w:val="004A6F6C"/>
    <w:rsid w:val="004A6FA8"/>
    <w:rsid w:val="004A6FB1"/>
    <w:rsid w:val="004A725E"/>
    <w:rsid w:val="004A72BC"/>
    <w:rsid w:val="004A73E7"/>
    <w:rsid w:val="004A74ED"/>
    <w:rsid w:val="004A7500"/>
    <w:rsid w:val="004A7503"/>
    <w:rsid w:val="004A75CD"/>
    <w:rsid w:val="004A77C3"/>
    <w:rsid w:val="004A781A"/>
    <w:rsid w:val="004A79F6"/>
    <w:rsid w:val="004A7A96"/>
    <w:rsid w:val="004A7B08"/>
    <w:rsid w:val="004A7B38"/>
    <w:rsid w:val="004A7B92"/>
    <w:rsid w:val="004A7BB7"/>
    <w:rsid w:val="004A7E66"/>
    <w:rsid w:val="004A7ECE"/>
    <w:rsid w:val="004B008D"/>
    <w:rsid w:val="004B0118"/>
    <w:rsid w:val="004B0139"/>
    <w:rsid w:val="004B016A"/>
    <w:rsid w:val="004B02AB"/>
    <w:rsid w:val="004B02C2"/>
    <w:rsid w:val="004B032E"/>
    <w:rsid w:val="004B044C"/>
    <w:rsid w:val="004B04C1"/>
    <w:rsid w:val="004B05A5"/>
    <w:rsid w:val="004B0620"/>
    <w:rsid w:val="004B0716"/>
    <w:rsid w:val="004B0762"/>
    <w:rsid w:val="004B079D"/>
    <w:rsid w:val="004B07B9"/>
    <w:rsid w:val="004B098A"/>
    <w:rsid w:val="004B09D6"/>
    <w:rsid w:val="004B0A10"/>
    <w:rsid w:val="004B0A54"/>
    <w:rsid w:val="004B0B04"/>
    <w:rsid w:val="004B0BA7"/>
    <w:rsid w:val="004B0CA9"/>
    <w:rsid w:val="004B0F28"/>
    <w:rsid w:val="004B0F87"/>
    <w:rsid w:val="004B0FBB"/>
    <w:rsid w:val="004B1193"/>
    <w:rsid w:val="004B1255"/>
    <w:rsid w:val="004B12E5"/>
    <w:rsid w:val="004B137B"/>
    <w:rsid w:val="004B1420"/>
    <w:rsid w:val="004B144F"/>
    <w:rsid w:val="004B148A"/>
    <w:rsid w:val="004B15C4"/>
    <w:rsid w:val="004B1680"/>
    <w:rsid w:val="004B1765"/>
    <w:rsid w:val="004B185C"/>
    <w:rsid w:val="004B1993"/>
    <w:rsid w:val="004B1A0E"/>
    <w:rsid w:val="004B1AB8"/>
    <w:rsid w:val="004B1AD0"/>
    <w:rsid w:val="004B1B46"/>
    <w:rsid w:val="004B1E0A"/>
    <w:rsid w:val="004B1E88"/>
    <w:rsid w:val="004B1F75"/>
    <w:rsid w:val="004B1FD8"/>
    <w:rsid w:val="004B200B"/>
    <w:rsid w:val="004B2084"/>
    <w:rsid w:val="004B212E"/>
    <w:rsid w:val="004B216A"/>
    <w:rsid w:val="004B231E"/>
    <w:rsid w:val="004B2636"/>
    <w:rsid w:val="004B273C"/>
    <w:rsid w:val="004B2797"/>
    <w:rsid w:val="004B28F5"/>
    <w:rsid w:val="004B29BD"/>
    <w:rsid w:val="004B2A1D"/>
    <w:rsid w:val="004B2A81"/>
    <w:rsid w:val="004B2EA6"/>
    <w:rsid w:val="004B2F71"/>
    <w:rsid w:val="004B3213"/>
    <w:rsid w:val="004B3345"/>
    <w:rsid w:val="004B34B9"/>
    <w:rsid w:val="004B34D4"/>
    <w:rsid w:val="004B37B0"/>
    <w:rsid w:val="004B37F7"/>
    <w:rsid w:val="004B3984"/>
    <w:rsid w:val="004B3A16"/>
    <w:rsid w:val="004B3A73"/>
    <w:rsid w:val="004B3A91"/>
    <w:rsid w:val="004B3B91"/>
    <w:rsid w:val="004B3CB3"/>
    <w:rsid w:val="004B3CBF"/>
    <w:rsid w:val="004B3D3F"/>
    <w:rsid w:val="004B3E41"/>
    <w:rsid w:val="004B3E7F"/>
    <w:rsid w:val="004B3ECB"/>
    <w:rsid w:val="004B4005"/>
    <w:rsid w:val="004B4169"/>
    <w:rsid w:val="004B42F4"/>
    <w:rsid w:val="004B454D"/>
    <w:rsid w:val="004B477A"/>
    <w:rsid w:val="004B47DD"/>
    <w:rsid w:val="004B48EA"/>
    <w:rsid w:val="004B4A76"/>
    <w:rsid w:val="004B4B41"/>
    <w:rsid w:val="004B4B62"/>
    <w:rsid w:val="004B4CA9"/>
    <w:rsid w:val="004B4CAF"/>
    <w:rsid w:val="004B4D44"/>
    <w:rsid w:val="004B4FE9"/>
    <w:rsid w:val="004B5079"/>
    <w:rsid w:val="004B518F"/>
    <w:rsid w:val="004B5237"/>
    <w:rsid w:val="004B53DE"/>
    <w:rsid w:val="004B5431"/>
    <w:rsid w:val="004B5488"/>
    <w:rsid w:val="004B55AB"/>
    <w:rsid w:val="004B57B2"/>
    <w:rsid w:val="004B5808"/>
    <w:rsid w:val="004B589B"/>
    <w:rsid w:val="004B592C"/>
    <w:rsid w:val="004B5964"/>
    <w:rsid w:val="004B59D1"/>
    <w:rsid w:val="004B5C31"/>
    <w:rsid w:val="004B5C5A"/>
    <w:rsid w:val="004B5D71"/>
    <w:rsid w:val="004B5D85"/>
    <w:rsid w:val="004B61A3"/>
    <w:rsid w:val="004B6228"/>
    <w:rsid w:val="004B63B0"/>
    <w:rsid w:val="004B63CE"/>
    <w:rsid w:val="004B63D3"/>
    <w:rsid w:val="004B64A9"/>
    <w:rsid w:val="004B64AE"/>
    <w:rsid w:val="004B64B4"/>
    <w:rsid w:val="004B64CE"/>
    <w:rsid w:val="004B6598"/>
    <w:rsid w:val="004B6702"/>
    <w:rsid w:val="004B6704"/>
    <w:rsid w:val="004B6713"/>
    <w:rsid w:val="004B6791"/>
    <w:rsid w:val="004B67C6"/>
    <w:rsid w:val="004B686A"/>
    <w:rsid w:val="004B69A4"/>
    <w:rsid w:val="004B69CC"/>
    <w:rsid w:val="004B6AF4"/>
    <w:rsid w:val="004B6C03"/>
    <w:rsid w:val="004B6CDD"/>
    <w:rsid w:val="004B6CFA"/>
    <w:rsid w:val="004B6D4B"/>
    <w:rsid w:val="004B6E87"/>
    <w:rsid w:val="004B71D4"/>
    <w:rsid w:val="004B721E"/>
    <w:rsid w:val="004B72D7"/>
    <w:rsid w:val="004B73D6"/>
    <w:rsid w:val="004B742C"/>
    <w:rsid w:val="004B753B"/>
    <w:rsid w:val="004B75D1"/>
    <w:rsid w:val="004B77EB"/>
    <w:rsid w:val="004B78A6"/>
    <w:rsid w:val="004B7907"/>
    <w:rsid w:val="004B7920"/>
    <w:rsid w:val="004B7C2B"/>
    <w:rsid w:val="004B7CC8"/>
    <w:rsid w:val="004B7CE8"/>
    <w:rsid w:val="004B7F69"/>
    <w:rsid w:val="004C0025"/>
    <w:rsid w:val="004C0184"/>
    <w:rsid w:val="004C02BA"/>
    <w:rsid w:val="004C02C7"/>
    <w:rsid w:val="004C05B4"/>
    <w:rsid w:val="004C06A7"/>
    <w:rsid w:val="004C081C"/>
    <w:rsid w:val="004C09EC"/>
    <w:rsid w:val="004C0A45"/>
    <w:rsid w:val="004C0BB4"/>
    <w:rsid w:val="004C0CC1"/>
    <w:rsid w:val="004C0D25"/>
    <w:rsid w:val="004C0D59"/>
    <w:rsid w:val="004C0DB4"/>
    <w:rsid w:val="004C0DE5"/>
    <w:rsid w:val="004C0E7B"/>
    <w:rsid w:val="004C0F2B"/>
    <w:rsid w:val="004C0FA3"/>
    <w:rsid w:val="004C10A9"/>
    <w:rsid w:val="004C1155"/>
    <w:rsid w:val="004C120F"/>
    <w:rsid w:val="004C1250"/>
    <w:rsid w:val="004C1290"/>
    <w:rsid w:val="004C1347"/>
    <w:rsid w:val="004C150C"/>
    <w:rsid w:val="004C15A5"/>
    <w:rsid w:val="004C17D1"/>
    <w:rsid w:val="004C17E2"/>
    <w:rsid w:val="004C187E"/>
    <w:rsid w:val="004C190A"/>
    <w:rsid w:val="004C1944"/>
    <w:rsid w:val="004C1985"/>
    <w:rsid w:val="004C1A3B"/>
    <w:rsid w:val="004C1A62"/>
    <w:rsid w:val="004C1B09"/>
    <w:rsid w:val="004C1B37"/>
    <w:rsid w:val="004C1D0E"/>
    <w:rsid w:val="004C1DE6"/>
    <w:rsid w:val="004C1E3E"/>
    <w:rsid w:val="004C1E4F"/>
    <w:rsid w:val="004C1EEC"/>
    <w:rsid w:val="004C1F01"/>
    <w:rsid w:val="004C1F4E"/>
    <w:rsid w:val="004C1F5E"/>
    <w:rsid w:val="004C208D"/>
    <w:rsid w:val="004C2195"/>
    <w:rsid w:val="004C2282"/>
    <w:rsid w:val="004C22C5"/>
    <w:rsid w:val="004C230A"/>
    <w:rsid w:val="004C23C1"/>
    <w:rsid w:val="004C253D"/>
    <w:rsid w:val="004C2615"/>
    <w:rsid w:val="004C261F"/>
    <w:rsid w:val="004C2675"/>
    <w:rsid w:val="004C2762"/>
    <w:rsid w:val="004C283C"/>
    <w:rsid w:val="004C28BA"/>
    <w:rsid w:val="004C28D1"/>
    <w:rsid w:val="004C2A94"/>
    <w:rsid w:val="004C2C62"/>
    <w:rsid w:val="004C2C97"/>
    <w:rsid w:val="004C2CBA"/>
    <w:rsid w:val="004C2CF6"/>
    <w:rsid w:val="004C2DC7"/>
    <w:rsid w:val="004C2DFE"/>
    <w:rsid w:val="004C2EB3"/>
    <w:rsid w:val="004C300E"/>
    <w:rsid w:val="004C307D"/>
    <w:rsid w:val="004C30BF"/>
    <w:rsid w:val="004C3185"/>
    <w:rsid w:val="004C332E"/>
    <w:rsid w:val="004C335E"/>
    <w:rsid w:val="004C3404"/>
    <w:rsid w:val="004C3439"/>
    <w:rsid w:val="004C35F0"/>
    <w:rsid w:val="004C35FB"/>
    <w:rsid w:val="004C3603"/>
    <w:rsid w:val="004C360D"/>
    <w:rsid w:val="004C3688"/>
    <w:rsid w:val="004C374E"/>
    <w:rsid w:val="004C379C"/>
    <w:rsid w:val="004C385A"/>
    <w:rsid w:val="004C3864"/>
    <w:rsid w:val="004C38F5"/>
    <w:rsid w:val="004C3964"/>
    <w:rsid w:val="004C3966"/>
    <w:rsid w:val="004C39A5"/>
    <w:rsid w:val="004C39AF"/>
    <w:rsid w:val="004C3A12"/>
    <w:rsid w:val="004C3A3B"/>
    <w:rsid w:val="004C3AD2"/>
    <w:rsid w:val="004C3B77"/>
    <w:rsid w:val="004C3D1E"/>
    <w:rsid w:val="004C3DB1"/>
    <w:rsid w:val="004C3E26"/>
    <w:rsid w:val="004C3E6D"/>
    <w:rsid w:val="004C3EBA"/>
    <w:rsid w:val="004C4055"/>
    <w:rsid w:val="004C40B8"/>
    <w:rsid w:val="004C41EC"/>
    <w:rsid w:val="004C429C"/>
    <w:rsid w:val="004C42A4"/>
    <w:rsid w:val="004C439A"/>
    <w:rsid w:val="004C4611"/>
    <w:rsid w:val="004C4705"/>
    <w:rsid w:val="004C478B"/>
    <w:rsid w:val="004C4877"/>
    <w:rsid w:val="004C48C4"/>
    <w:rsid w:val="004C4C72"/>
    <w:rsid w:val="004C4D6F"/>
    <w:rsid w:val="004C4DA4"/>
    <w:rsid w:val="004C4E08"/>
    <w:rsid w:val="004C4E18"/>
    <w:rsid w:val="004C4E62"/>
    <w:rsid w:val="004C4ECA"/>
    <w:rsid w:val="004C500A"/>
    <w:rsid w:val="004C5145"/>
    <w:rsid w:val="004C526A"/>
    <w:rsid w:val="004C53BA"/>
    <w:rsid w:val="004C54A2"/>
    <w:rsid w:val="004C54D1"/>
    <w:rsid w:val="004C54E9"/>
    <w:rsid w:val="004C552A"/>
    <w:rsid w:val="004C56B0"/>
    <w:rsid w:val="004C57E6"/>
    <w:rsid w:val="004C5CEC"/>
    <w:rsid w:val="004C5CFB"/>
    <w:rsid w:val="004C5D49"/>
    <w:rsid w:val="004C5E0E"/>
    <w:rsid w:val="004C5ECD"/>
    <w:rsid w:val="004C5F39"/>
    <w:rsid w:val="004C5FA4"/>
    <w:rsid w:val="004C5FF2"/>
    <w:rsid w:val="004C6008"/>
    <w:rsid w:val="004C6025"/>
    <w:rsid w:val="004C60CB"/>
    <w:rsid w:val="004C60DB"/>
    <w:rsid w:val="004C60E8"/>
    <w:rsid w:val="004C61CD"/>
    <w:rsid w:val="004C6297"/>
    <w:rsid w:val="004C62BE"/>
    <w:rsid w:val="004C6360"/>
    <w:rsid w:val="004C63D4"/>
    <w:rsid w:val="004C63E9"/>
    <w:rsid w:val="004C64F9"/>
    <w:rsid w:val="004C6841"/>
    <w:rsid w:val="004C68A2"/>
    <w:rsid w:val="004C68D3"/>
    <w:rsid w:val="004C695D"/>
    <w:rsid w:val="004C6985"/>
    <w:rsid w:val="004C6A67"/>
    <w:rsid w:val="004C6B33"/>
    <w:rsid w:val="004C6D90"/>
    <w:rsid w:val="004C6DB4"/>
    <w:rsid w:val="004C6DC9"/>
    <w:rsid w:val="004C6DF9"/>
    <w:rsid w:val="004C6E66"/>
    <w:rsid w:val="004C6F02"/>
    <w:rsid w:val="004C6FB3"/>
    <w:rsid w:val="004C7000"/>
    <w:rsid w:val="004C70F5"/>
    <w:rsid w:val="004C7193"/>
    <w:rsid w:val="004C719F"/>
    <w:rsid w:val="004C7254"/>
    <w:rsid w:val="004C736F"/>
    <w:rsid w:val="004C73E3"/>
    <w:rsid w:val="004C742F"/>
    <w:rsid w:val="004C7515"/>
    <w:rsid w:val="004C75FE"/>
    <w:rsid w:val="004C7810"/>
    <w:rsid w:val="004C7824"/>
    <w:rsid w:val="004C7884"/>
    <w:rsid w:val="004C78F5"/>
    <w:rsid w:val="004C7910"/>
    <w:rsid w:val="004C797C"/>
    <w:rsid w:val="004C7B8D"/>
    <w:rsid w:val="004C7B96"/>
    <w:rsid w:val="004C7BA1"/>
    <w:rsid w:val="004C7C5A"/>
    <w:rsid w:val="004C7CAF"/>
    <w:rsid w:val="004C7DA2"/>
    <w:rsid w:val="004C7DBB"/>
    <w:rsid w:val="004C7FE3"/>
    <w:rsid w:val="004C7FED"/>
    <w:rsid w:val="004D0058"/>
    <w:rsid w:val="004D0059"/>
    <w:rsid w:val="004D00EE"/>
    <w:rsid w:val="004D0172"/>
    <w:rsid w:val="004D0190"/>
    <w:rsid w:val="004D01A0"/>
    <w:rsid w:val="004D02C2"/>
    <w:rsid w:val="004D03B0"/>
    <w:rsid w:val="004D03B6"/>
    <w:rsid w:val="004D040F"/>
    <w:rsid w:val="004D06F5"/>
    <w:rsid w:val="004D087A"/>
    <w:rsid w:val="004D0CD9"/>
    <w:rsid w:val="004D0FAF"/>
    <w:rsid w:val="004D0FBB"/>
    <w:rsid w:val="004D0FCE"/>
    <w:rsid w:val="004D10FC"/>
    <w:rsid w:val="004D11B5"/>
    <w:rsid w:val="004D11ED"/>
    <w:rsid w:val="004D1216"/>
    <w:rsid w:val="004D121D"/>
    <w:rsid w:val="004D13BF"/>
    <w:rsid w:val="004D1489"/>
    <w:rsid w:val="004D1539"/>
    <w:rsid w:val="004D1559"/>
    <w:rsid w:val="004D156F"/>
    <w:rsid w:val="004D15D2"/>
    <w:rsid w:val="004D1701"/>
    <w:rsid w:val="004D1729"/>
    <w:rsid w:val="004D17D9"/>
    <w:rsid w:val="004D17DC"/>
    <w:rsid w:val="004D18BA"/>
    <w:rsid w:val="004D1B15"/>
    <w:rsid w:val="004D1B60"/>
    <w:rsid w:val="004D1C93"/>
    <w:rsid w:val="004D1D71"/>
    <w:rsid w:val="004D1E0C"/>
    <w:rsid w:val="004D20A3"/>
    <w:rsid w:val="004D2223"/>
    <w:rsid w:val="004D227E"/>
    <w:rsid w:val="004D25FE"/>
    <w:rsid w:val="004D2606"/>
    <w:rsid w:val="004D269F"/>
    <w:rsid w:val="004D26C6"/>
    <w:rsid w:val="004D27A1"/>
    <w:rsid w:val="004D2899"/>
    <w:rsid w:val="004D28D2"/>
    <w:rsid w:val="004D293E"/>
    <w:rsid w:val="004D2992"/>
    <w:rsid w:val="004D2AE5"/>
    <w:rsid w:val="004D2AE8"/>
    <w:rsid w:val="004D2BF4"/>
    <w:rsid w:val="004D2C4C"/>
    <w:rsid w:val="004D2C7E"/>
    <w:rsid w:val="004D2D18"/>
    <w:rsid w:val="004D2E6C"/>
    <w:rsid w:val="004D2E7C"/>
    <w:rsid w:val="004D2FDF"/>
    <w:rsid w:val="004D2FF7"/>
    <w:rsid w:val="004D3000"/>
    <w:rsid w:val="004D3041"/>
    <w:rsid w:val="004D3193"/>
    <w:rsid w:val="004D31F7"/>
    <w:rsid w:val="004D3254"/>
    <w:rsid w:val="004D3277"/>
    <w:rsid w:val="004D32B4"/>
    <w:rsid w:val="004D34B4"/>
    <w:rsid w:val="004D34E4"/>
    <w:rsid w:val="004D3558"/>
    <w:rsid w:val="004D3958"/>
    <w:rsid w:val="004D3C1E"/>
    <w:rsid w:val="004D3C57"/>
    <w:rsid w:val="004D3E4B"/>
    <w:rsid w:val="004D3EA0"/>
    <w:rsid w:val="004D3EA5"/>
    <w:rsid w:val="004D3EB5"/>
    <w:rsid w:val="004D3F48"/>
    <w:rsid w:val="004D3F60"/>
    <w:rsid w:val="004D4099"/>
    <w:rsid w:val="004D409A"/>
    <w:rsid w:val="004D40D4"/>
    <w:rsid w:val="004D4120"/>
    <w:rsid w:val="004D4451"/>
    <w:rsid w:val="004D4556"/>
    <w:rsid w:val="004D46EB"/>
    <w:rsid w:val="004D4740"/>
    <w:rsid w:val="004D4753"/>
    <w:rsid w:val="004D4763"/>
    <w:rsid w:val="004D47D4"/>
    <w:rsid w:val="004D48FB"/>
    <w:rsid w:val="004D493D"/>
    <w:rsid w:val="004D4953"/>
    <w:rsid w:val="004D49A5"/>
    <w:rsid w:val="004D49F1"/>
    <w:rsid w:val="004D4A32"/>
    <w:rsid w:val="004D4BBE"/>
    <w:rsid w:val="004D4BC3"/>
    <w:rsid w:val="004D4BC9"/>
    <w:rsid w:val="004D4C3F"/>
    <w:rsid w:val="004D4D74"/>
    <w:rsid w:val="004D4E98"/>
    <w:rsid w:val="004D4F1E"/>
    <w:rsid w:val="004D5086"/>
    <w:rsid w:val="004D509E"/>
    <w:rsid w:val="004D51D0"/>
    <w:rsid w:val="004D523C"/>
    <w:rsid w:val="004D52F1"/>
    <w:rsid w:val="004D543E"/>
    <w:rsid w:val="004D55A0"/>
    <w:rsid w:val="004D5603"/>
    <w:rsid w:val="004D564B"/>
    <w:rsid w:val="004D56D4"/>
    <w:rsid w:val="004D5723"/>
    <w:rsid w:val="004D58F6"/>
    <w:rsid w:val="004D59CF"/>
    <w:rsid w:val="004D5A36"/>
    <w:rsid w:val="004D5B9E"/>
    <w:rsid w:val="004D5C64"/>
    <w:rsid w:val="004D5DA0"/>
    <w:rsid w:val="004D5F6A"/>
    <w:rsid w:val="004D603C"/>
    <w:rsid w:val="004D603D"/>
    <w:rsid w:val="004D6047"/>
    <w:rsid w:val="004D60F2"/>
    <w:rsid w:val="004D6158"/>
    <w:rsid w:val="004D6213"/>
    <w:rsid w:val="004D6344"/>
    <w:rsid w:val="004D6366"/>
    <w:rsid w:val="004D640C"/>
    <w:rsid w:val="004D6445"/>
    <w:rsid w:val="004D6447"/>
    <w:rsid w:val="004D6465"/>
    <w:rsid w:val="004D64E4"/>
    <w:rsid w:val="004D654C"/>
    <w:rsid w:val="004D6615"/>
    <w:rsid w:val="004D669E"/>
    <w:rsid w:val="004D6759"/>
    <w:rsid w:val="004D67FE"/>
    <w:rsid w:val="004D6915"/>
    <w:rsid w:val="004D691F"/>
    <w:rsid w:val="004D696E"/>
    <w:rsid w:val="004D69AA"/>
    <w:rsid w:val="004D69CC"/>
    <w:rsid w:val="004D6A21"/>
    <w:rsid w:val="004D6CD5"/>
    <w:rsid w:val="004D6D07"/>
    <w:rsid w:val="004D6DDB"/>
    <w:rsid w:val="004D6E83"/>
    <w:rsid w:val="004D6EC6"/>
    <w:rsid w:val="004D6F9A"/>
    <w:rsid w:val="004D7136"/>
    <w:rsid w:val="004D74BF"/>
    <w:rsid w:val="004D7513"/>
    <w:rsid w:val="004D7649"/>
    <w:rsid w:val="004D77CF"/>
    <w:rsid w:val="004D77DD"/>
    <w:rsid w:val="004D7A01"/>
    <w:rsid w:val="004D7A98"/>
    <w:rsid w:val="004D7B18"/>
    <w:rsid w:val="004D7BC8"/>
    <w:rsid w:val="004D7D17"/>
    <w:rsid w:val="004D7DAE"/>
    <w:rsid w:val="004D7E22"/>
    <w:rsid w:val="004D7E3F"/>
    <w:rsid w:val="004D7EC5"/>
    <w:rsid w:val="004D7F14"/>
    <w:rsid w:val="004D7F81"/>
    <w:rsid w:val="004E0083"/>
    <w:rsid w:val="004E0237"/>
    <w:rsid w:val="004E037F"/>
    <w:rsid w:val="004E03EF"/>
    <w:rsid w:val="004E04EE"/>
    <w:rsid w:val="004E050D"/>
    <w:rsid w:val="004E0525"/>
    <w:rsid w:val="004E055D"/>
    <w:rsid w:val="004E063B"/>
    <w:rsid w:val="004E06BE"/>
    <w:rsid w:val="004E0717"/>
    <w:rsid w:val="004E07A2"/>
    <w:rsid w:val="004E07EC"/>
    <w:rsid w:val="004E090B"/>
    <w:rsid w:val="004E09C7"/>
    <w:rsid w:val="004E0A09"/>
    <w:rsid w:val="004E0A82"/>
    <w:rsid w:val="004E0ABA"/>
    <w:rsid w:val="004E0AF8"/>
    <w:rsid w:val="004E0C82"/>
    <w:rsid w:val="004E0E39"/>
    <w:rsid w:val="004E0F77"/>
    <w:rsid w:val="004E0FAE"/>
    <w:rsid w:val="004E0FFF"/>
    <w:rsid w:val="004E1176"/>
    <w:rsid w:val="004E1259"/>
    <w:rsid w:val="004E1331"/>
    <w:rsid w:val="004E14B2"/>
    <w:rsid w:val="004E1570"/>
    <w:rsid w:val="004E1627"/>
    <w:rsid w:val="004E16D8"/>
    <w:rsid w:val="004E1819"/>
    <w:rsid w:val="004E18B0"/>
    <w:rsid w:val="004E19E8"/>
    <w:rsid w:val="004E19FA"/>
    <w:rsid w:val="004E1C55"/>
    <w:rsid w:val="004E1CD3"/>
    <w:rsid w:val="004E1DEC"/>
    <w:rsid w:val="004E1EAD"/>
    <w:rsid w:val="004E1EDE"/>
    <w:rsid w:val="004E1EF9"/>
    <w:rsid w:val="004E1F0C"/>
    <w:rsid w:val="004E1F1B"/>
    <w:rsid w:val="004E1F89"/>
    <w:rsid w:val="004E202C"/>
    <w:rsid w:val="004E2050"/>
    <w:rsid w:val="004E2294"/>
    <w:rsid w:val="004E23CB"/>
    <w:rsid w:val="004E246B"/>
    <w:rsid w:val="004E2666"/>
    <w:rsid w:val="004E295D"/>
    <w:rsid w:val="004E2ADA"/>
    <w:rsid w:val="004E2AEA"/>
    <w:rsid w:val="004E2C99"/>
    <w:rsid w:val="004E2D5C"/>
    <w:rsid w:val="004E2DD2"/>
    <w:rsid w:val="004E3002"/>
    <w:rsid w:val="004E3005"/>
    <w:rsid w:val="004E31F7"/>
    <w:rsid w:val="004E3270"/>
    <w:rsid w:val="004E32CD"/>
    <w:rsid w:val="004E3394"/>
    <w:rsid w:val="004E342B"/>
    <w:rsid w:val="004E3476"/>
    <w:rsid w:val="004E3679"/>
    <w:rsid w:val="004E3775"/>
    <w:rsid w:val="004E38D7"/>
    <w:rsid w:val="004E39E5"/>
    <w:rsid w:val="004E3A55"/>
    <w:rsid w:val="004E3A98"/>
    <w:rsid w:val="004E3B1E"/>
    <w:rsid w:val="004E3BB3"/>
    <w:rsid w:val="004E3D03"/>
    <w:rsid w:val="004E3D78"/>
    <w:rsid w:val="004E3DD4"/>
    <w:rsid w:val="004E3DE3"/>
    <w:rsid w:val="004E3E4F"/>
    <w:rsid w:val="004E3EBD"/>
    <w:rsid w:val="004E3FB6"/>
    <w:rsid w:val="004E400F"/>
    <w:rsid w:val="004E4027"/>
    <w:rsid w:val="004E4094"/>
    <w:rsid w:val="004E428F"/>
    <w:rsid w:val="004E42F4"/>
    <w:rsid w:val="004E435C"/>
    <w:rsid w:val="004E438E"/>
    <w:rsid w:val="004E4425"/>
    <w:rsid w:val="004E452D"/>
    <w:rsid w:val="004E461C"/>
    <w:rsid w:val="004E4645"/>
    <w:rsid w:val="004E46AF"/>
    <w:rsid w:val="004E4750"/>
    <w:rsid w:val="004E47A9"/>
    <w:rsid w:val="004E47F7"/>
    <w:rsid w:val="004E4AB0"/>
    <w:rsid w:val="004E4B18"/>
    <w:rsid w:val="004E4B9D"/>
    <w:rsid w:val="004E4BAC"/>
    <w:rsid w:val="004E4CDD"/>
    <w:rsid w:val="004E4D94"/>
    <w:rsid w:val="004E4E71"/>
    <w:rsid w:val="004E4EA9"/>
    <w:rsid w:val="004E4ED2"/>
    <w:rsid w:val="004E4ED8"/>
    <w:rsid w:val="004E4EE1"/>
    <w:rsid w:val="004E4F71"/>
    <w:rsid w:val="004E4FDC"/>
    <w:rsid w:val="004E504C"/>
    <w:rsid w:val="004E505E"/>
    <w:rsid w:val="004E5120"/>
    <w:rsid w:val="004E5153"/>
    <w:rsid w:val="004E51F5"/>
    <w:rsid w:val="004E5237"/>
    <w:rsid w:val="004E52DE"/>
    <w:rsid w:val="004E531C"/>
    <w:rsid w:val="004E5323"/>
    <w:rsid w:val="004E5490"/>
    <w:rsid w:val="004E5498"/>
    <w:rsid w:val="004E5545"/>
    <w:rsid w:val="004E5559"/>
    <w:rsid w:val="004E55E4"/>
    <w:rsid w:val="004E562A"/>
    <w:rsid w:val="004E5780"/>
    <w:rsid w:val="004E58C5"/>
    <w:rsid w:val="004E5940"/>
    <w:rsid w:val="004E5959"/>
    <w:rsid w:val="004E5960"/>
    <w:rsid w:val="004E5BA1"/>
    <w:rsid w:val="004E5BC8"/>
    <w:rsid w:val="004E5C22"/>
    <w:rsid w:val="004E5C44"/>
    <w:rsid w:val="004E5D10"/>
    <w:rsid w:val="004E5D37"/>
    <w:rsid w:val="004E5DAE"/>
    <w:rsid w:val="004E5DBE"/>
    <w:rsid w:val="004E5E27"/>
    <w:rsid w:val="004E5F10"/>
    <w:rsid w:val="004E5F67"/>
    <w:rsid w:val="004E5F7A"/>
    <w:rsid w:val="004E6095"/>
    <w:rsid w:val="004E60E0"/>
    <w:rsid w:val="004E610E"/>
    <w:rsid w:val="004E61B6"/>
    <w:rsid w:val="004E62E4"/>
    <w:rsid w:val="004E6323"/>
    <w:rsid w:val="004E63D3"/>
    <w:rsid w:val="004E6444"/>
    <w:rsid w:val="004E64C8"/>
    <w:rsid w:val="004E6661"/>
    <w:rsid w:val="004E669D"/>
    <w:rsid w:val="004E6785"/>
    <w:rsid w:val="004E679B"/>
    <w:rsid w:val="004E69D0"/>
    <w:rsid w:val="004E6AC0"/>
    <w:rsid w:val="004E6BED"/>
    <w:rsid w:val="004E6C12"/>
    <w:rsid w:val="004E6CE4"/>
    <w:rsid w:val="004E6D72"/>
    <w:rsid w:val="004E6D9A"/>
    <w:rsid w:val="004E6F2D"/>
    <w:rsid w:val="004E6F43"/>
    <w:rsid w:val="004E7142"/>
    <w:rsid w:val="004E719E"/>
    <w:rsid w:val="004E71C7"/>
    <w:rsid w:val="004E727C"/>
    <w:rsid w:val="004E7356"/>
    <w:rsid w:val="004E7498"/>
    <w:rsid w:val="004E74FD"/>
    <w:rsid w:val="004E7692"/>
    <w:rsid w:val="004E7923"/>
    <w:rsid w:val="004E7A8F"/>
    <w:rsid w:val="004E7AE0"/>
    <w:rsid w:val="004E7B32"/>
    <w:rsid w:val="004E7E61"/>
    <w:rsid w:val="004E7EFF"/>
    <w:rsid w:val="004E7F4E"/>
    <w:rsid w:val="004F018D"/>
    <w:rsid w:val="004F0192"/>
    <w:rsid w:val="004F0272"/>
    <w:rsid w:val="004F03BA"/>
    <w:rsid w:val="004F0407"/>
    <w:rsid w:val="004F0465"/>
    <w:rsid w:val="004F046F"/>
    <w:rsid w:val="004F0730"/>
    <w:rsid w:val="004F07B2"/>
    <w:rsid w:val="004F09B2"/>
    <w:rsid w:val="004F0A20"/>
    <w:rsid w:val="004F0AD6"/>
    <w:rsid w:val="004F0B48"/>
    <w:rsid w:val="004F0B9F"/>
    <w:rsid w:val="004F0C08"/>
    <w:rsid w:val="004F0C89"/>
    <w:rsid w:val="004F0CED"/>
    <w:rsid w:val="004F0D14"/>
    <w:rsid w:val="004F0DBF"/>
    <w:rsid w:val="004F0F39"/>
    <w:rsid w:val="004F0FF1"/>
    <w:rsid w:val="004F1045"/>
    <w:rsid w:val="004F1120"/>
    <w:rsid w:val="004F1123"/>
    <w:rsid w:val="004F1199"/>
    <w:rsid w:val="004F140E"/>
    <w:rsid w:val="004F141A"/>
    <w:rsid w:val="004F1616"/>
    <w:rsid w:val="004F166A"/>
    <w:rsid w:val="004F16FC"/>
    <w:rsid w:val="004F1770"/>
    <w:rsid w:val="004F181F"/>
    <w:rsid w:val="004F18DB"/>
    <w:rsid w:val="004F1919"/>
    <w:rsid w:val="004F19C4"/>
    <w:rsid w:val="004F1A4E"/>
    <w:rsid w:val="004F1AD7"/>
    <w:rsid w:val="004F1AFE"/>
    <w:rsid w:val="004F1B2B"/>
    <w:rsid w:val="004F1C1A"/>
    <w:rsid w:val="004F1C97"/>
    <w:rsid w:val="004F1D70"/>
    <w:rsid w:val="004F1DBD"/>
    <w:rsid w:val="004F1DC8"/>
    <w:rsid w:val="004F1E91"/>
    <w:rsid w:val="004F2043"/>
    <w:rsid w:val="004F205D"/>
    <w:rsid w:val="004F2066"/>
    <w:rsid w:val="004F209A"/>
    <w:rsid w:val="004F20CB"/>
    <w:rsid w:val="004F2201"/>
    <w:rsid w:val="004F2360"/>
    <w:rsid w:val="004F23ED"/>
    <w:rsid w:val="004F2529"/>
    <w:rsid w:val="004F25CB"/>
    <w:rsid w:val="004F25D4"/>
    <w:rsid w:val="004F2637"/>
    <w:rsid w:val="004F2694"/>
    <w:rsid w:val="004F26DA"/>
    <w:rsid w:val="004F2765"/>
    <w:rsid w:val="004F27A3"/>
    <w:rsid w:val="004F28D6"/>
    <w:rsid w:val="004F28E9"/>
    <w:rsid w:val="004F2923"/>
    <w:rsid w:val="004F292C"/>
    <w:rsid w:val="004F2982"/>
    <w:rsid w:val="004F29CA"/>
    <w:rsid w:val="004F2A33"/>
    <w:rsid w:val="004F2ABF"/>
    <w:rsid w:val="004F2B8A"/>
    <w:rsid w:val="004F2C86"/>
    <w:rsid w:val="004F2D7F"/>
    <w:rsid w:val="004F2DE6"/>
    <w:rsid w:val="004F2E5B"/>
    <w:rsid w:val="004F2E96"/>
    <w:rsid w:val="004F2EC1"/>
    <w:rsid w:val="004F2F4F"/>
    <w:rsid w:val="004F310E"/>
    <w:rsid w:val="004F3164"/>
    <w:rsid w:val="004F3232"/>
    <w:rsid w:val="004F324A"/>
    <w:rsid w:val="004F333C"/>
    <w:rsid w:val="004F36B1"/>
    <w:rsid w:val="004F3713"/>
    <w:rsid w:val="004F3737"/>
    <w:rsid w:val="004F376A"/>
    <w:rsid w:val="004F3777"/>
    <w:rsid w:val="004F385D"/>
    <w:rsid w:val="004F390C"/>
    <w:rsid w:val="004F3938"/>
    <w:rsid w:val="004F3A1F"/>
    <w:rsid w:val="004F3A8B"/>
    <w:rsid w:val="004F3CDA"/>
    <w:rsid w:val="004F3D12"/>
    <w:rsid w:val="004F3D45"/>
    <w:rsid w:val="004F3D92"/>
    <w:rsid w:val="004F3ECC"/>
    <w:rsid w:val="004F3EE0"/>
    <w:rsid w:val="004F3EED"/>
    <w:rsid w:val="004F4320"/>
    <w:rsid w:val="004F4349"/>
    <w:rsid w:val="004F4572"/>
    <w:rsid w:val="004F459B"/>
    <w:rsid w:val="004F45F4"/>
    <w:rsid w:val="004F466D"/>
    <w:rsid w:val="004F4964"/>
    <w:rsid w:val="004F49E8"/>
    <w:rsid w:val="004F4A85"/>
    <w:rsid w:val="004F4B9A"/>
    <w:rsid w:val="004F4E3C"/>
    <w:rsid w:val="004F4EB7"/>
    <w:rsid w:val="004F4F33"/>
    <w:rsid w:val="004F4F7E"/>
    <w:rsid w:val="004F5060"/>
    <w:rsid w:val="004F5112"/>
    <w:rsid w:val="004F51C7"/>
    <w:rsid w:val="004F51DB"/>
    <w:rsid w:val="004F5267"/>
    <w:rsid w:val="004F52B7"/>
    <w:rsid w:val="004F53C5"/>
    <w:rsid w:val="004F5546"/>
    <w:rsid w:val="004F5740"/>
    <w:rsid w:val="004F5807"/>
    <w:rsid w:val="004F5810"/>
    <w:rsid w:val="004F5880"/>
    <w:rsid w:val="004F5A81"/>
    <w:rsid w:val="004F5ACC"/>
    <w:rsid w:val="004F5BD8"/>
    <w:rsid w:val="004F5BE8"/>
    <w:rsid w:val="004F5CE1"/>
    <w:rsid w:val="004F5D1B"/>
    <w:rsid w:val="004F5D99"/>
    <w:rsid w:val="004F5DD9"/>
    <w:rsid w:val="004F5E49"/>
    <w:rsid w:val="004F5F5B"/>
    <w:rsid w:val="004F61AA"/>
    <w:rsid w:val="004F6224"/>
    <w:rsid w:val="004F62DA"/>
    <w:rsid w:val="004F6352"/>
    <w:rsid w:val="004F63D2"/>
    <w:rsid w:val="004F6450"/>
    <w:rsid w:val="004F6631"/>
    <w:rsid w:val="004F66DA"/>
    <w:rsid w:val="004F66F2"/>
    <w:rsid w:val="004F66FD"/>
    <w:rsid w:val="004F6752"/>
    <w:rsid w:val="004F6826"/>
    <w:rsid w:val="004F6C5D"/>
    <w:rsid w:val="004F6C92"/>
    <w:rsid w:val="004F6DD3"/>
    <w:rsid w:val="004F6E11"/>
    <w:rsid w:val="004F6EA1"/>
    <w:rsid w:val="004F6F57"/>
    <w:rsid w:val="004F6FD8"/>
    <w:rsid w:val="004F7115"/>
    <w:rsid w:val="004F7176"/>
    <w:rsid w:val="004F71D1"/>
    <w:rsid w:val="004F723E"/>
    <w:rsid w:val="004F766D"/>
    <w:rsid w:val="004F77FD"/>
    <w:rsid w:val="004F78B6"/>
    <w:rsid w:val="004F78F5"/>
    <w:rsid w:val="004F7977"/>
    <w:rsid w:val="004F79E3"/>
    <w:rsid w:val="004F7A68"/>
    <w:rsid w:val="004F7AE3"/>
    <w:rsid w:val="004F7C2C"/>
    <w:rsid w:val="004F7D7A"/>
    <w:rsid w:val="004F7DDC"/>
    <w:rsid w:val="004F7E02"/>
    <w:rsid w:val="004F7E65"/>
    <w:rsid w:val="004F7E71"/>
    <w:rsid w:val="00500040"/>
    <w:rsid w:val="00500069"/>
    <w:rsid w:val="005000F2"/>
    <w:rsid w:val="005002AF"/>
    <w:rsid w:val="00500397"/>
    <w:rsid w:val="005003B5"/>
    <w:rsid w:val="0050044D"/>
    <w:rsid w:val="005004B6"/>
    <w:rsid w:val="0050056E"/>
    <w:rsid w:val="005005B3"/>
    <w:rsid w:val="0050063C"/>
    <w:rsid w:val="005006F9"/>
    <w:rsid w:val="005007B5"/>
    <w:rsid w:val="005007E8"/>
    <w:rsid w:val="005008C0"/>
    <w:rsid w:val="005008C6"/>
    <w:rsid w:val="0050091F"/>
    <w:rsid w:val="00500925"/>
    <w:rsid w:val="00500927"/>
    <w:rsid w:val="00500A05"/>
    <w:rsid w:val="00500B68"/>
    <w:rsid w:val="00500BE5"/>
    <w:rsid w:val="00500C42"/>
    <w:rsid w:val="00500C88"/>
    <w:rsid w:val="00500D17"/>
    <w:rsid w:val="00500F0B"/>
    <w:rsid w:val="0050106C"/>
    <w:rsid w:val="0050114E"/>
    <w:rsid w:val="00501176"/>
    <w:rsid w:val="005012A2"/>
    <w:rsid w:val="005012EE"/>
    <w:rsid w:val="00501313"/>
    <w:rsid w:val="0050133B"/>
    <w:rsid w:val="00501411"/>
    <w:rsid w:val="00501496"/>
    <w:rsid w:val="00501501"/>
    <w:rsid w:val="00501596"/>
    <w:rsid w:val="00501707"/>
    <w:rsid w:val="00501783"/>
    <w:rsid w:val="0050186B"/>
    <w:rsid w:val="00501B01"/>
    <w:rsid w:val="00501B9A"/>
    <w:rsid w:val="00501C91"/>
    <w:rsid w:val="00501C95"/>
    <w:rsid w:val="00501CBC"/>
    <w:rsid w:val="00501D3A"/>
    <w:rsid w:val="00501D7C"/>
    <w:rsid w:val="00501EFD"/>
    <w:rsid w:val="00501F03"/>
    <w:rsid w:val="00501F57"/>
    <w:rsid w:val="00501FBF"/>
    <w:rsid w:val="00502111"/>
    <w:rsid w:val="005022A8"/>
    <w:rsid w:val="00502311"/>
    <w:rsid w:val="005024B9"/>
    <w:rsid w:val="0050250B"/>
    <w:rsid w:val="00502576"/>
    <w:rsid w:val="00502682"/>
    <w:rsid w:val="00502688"/>
    <w:rsid w:val="005026F8"/>
    <w:rsid w:val="005027CC"/>
    <w:rsid w:val="00502839"/>
    <w:rsid w:val="0050290F"/>
    <w:rsid w:val="0050298E"/>
    <w:rsid w:val="00502BB9"/>
    <w:rsid w:val="00502BD2"/>
    <w:rsid w:val="00502D9A"/>
    <w:rsid w:val="00502E9B"/>
    <w:rsid w:val="00502F12"/>
    <w:rsid w:val="00502FFC"/>
    <w:rsid w:val="0050300E"/>
    <w:rsid w:val="005030A3"/>
    <w:rsid w:val="005030DC"/>
    <w:rsid w:val="005030EA"/>
    <w:rsid w:val="00503297"/>
    <w:rsid w:val="00503394"/>
    <w:rsid w:val="00503439"/>
    <w:rsid w:val="00503472"/>
    <w:rsid w:val="0050369B"/>
    <w:rsid w:val="005036B3"/>
    <w:rsid w:val="005036E0"/>
    <w:rsid w:val="00503718"/>
    <w:rsid w:val="00503779"/>
    <w:rsid w:val="0050383F"/>
    <w:rsid w:val="00503992"/>
    <w:rsid w:val="00503ADD"/>
    <w:rsid w:val="00503B02"/>
    <w:rsid w:val="00503B5C"/>
    <w:rsid w:val="00503CCF"/>
    <w:rsid w:val="00503DC3"/>
    <w:rsid w:val="00503E30"/>
    <w:rsid w:val="00503F83"/>
    <w:rsid w:val="005040CF"/>
    <w:rsid w:val="0050430C"/>
    <w:rsid w:val="00504314"/>
    <w:rsid w:val="00504420"/>
    <w:rsid w:val="005044B3"/>
    <w:rsid w:val="005046D5"/>
    <w:rsid w:val="005046F8"/>
    <w:rsid w:val="0050470E"/>
    <w:rsid w:val="00504736"/>
    <w:rsid w:val="0050491D"/>
    <w:rsid w:val="00504930"/>
    <w:rsid w:val="00504AF0"/>
    <w:rsid w:val="00504B18"/>
    <w:rsid w:val="00504BAA"/>
    <w:rsid w:val="00504C57"/>
    <w:rsid w:val="00504CE2"/>
    <w:rsid w:val="00504CF9"/>
    <w:rsid w:val="00504D94"/>
    <w:rsid w:val="00504E02"/>
    <w:rsid w:val="00504FF0"/>
    <w:rsid w:val="0050529F"/>
    <w:rsid w:val="00505511"/>
    <w:rsid w:val="0050554E"/>
    <w:rsid w:val="00505582"/>
    <w:rsid w:val="005055DA"/>
    <w:rsid w:val="00505644"/>
    <w:rsid w:val="00505696"/>
    <w:rsid w:val="005057A4"/>
    <w:rsid w:val="005058EA"/>
    <w:rsid w:val="0050593D"/>
    <w:rsid w:val="00505AA6"/>
    <w:rsid w:val="00505B6A"/>
    <w:rsid w:val="00505D87"/>
    <w:rsid w:val="00506009"/>
    <w:rsid w:val="00506072"/>
    <w:rsid w:val="00506272"/>
    <w:rsid w:val="0050631B"/>
    <w:rsid w:val="005063EE"/>
    <w:rsid w:val="005065B8"/>
    <w:rsid w:val="00506658"/>
    <w:rsid w:val="005066EE"/>
    <w:rsid w:val="00506723"/>
    <w:rsid w:val="005067BD"/>
    <w:rsid w:val="005067E9"/>
    <w:rsid w:val="005067EB"/>
    <w:rsid w:val="00506815"/>
    <w:rsid w:val="0050685D"/>
    <w:rsid w:val="00506875"/>
    <w:rsid w:val="0050688A"/>
    <w:rsid w:val="0050697A"/>
    <w:rsid w:val="0050699A"/>
    <w:rsid w:val="005069FC"/>
    <w:rsid w:val="00506A48"/>
    <w:rsid w:val="00506AE1"/>
    <w:rsid w:val="00506D5E"/>
    <w:rsid w:val="00506E74"/>
    <w:rsid w:val="00506EDE"/>
    <w:rsid w:val="00506EEB"/>
    <w:rsid w:val="00506EED"/>
    <w:rsid w:val="00506F3E"/>
    <w:rsid w:val="00506F4C"/>
    <w:rsid w:val="00506F91"/>
    <w:rsid w:val="00506FC2"/>
    <w:rsid w:val="00507001"/>
    <w:rsid w:val="005070AB"/>
    <w:rsid w:val="005070E3"/>
    <w:rsid w:val="00507287"/>
    <w:rsid w:val="005072A5"/>
    <w:rsid w:val="00507385"/>
    <w:rsid w:val="005073A0"/>
    <w:rsid w:val="00507462"/>
    <w:rsid w:val="005074EA"/>
    <w:rsid w:val="00507555"/>
    <w:rsid w:val="0050770D"/>
    <w:rsid w:val="0050784B"/>
    <w:rsid w:val="005079D0"/>
    <w:rsid w:val="00507ACF"/>
    <w:rsid w:val="00507B25"/>
    <w:rsid w:val="00507B81"/>
    <w:rsid w:val="00507DB1"/>
    <w:rsid w:val="00507DFC"/>
    <w:rsid w:val="00507F30"/>
    <w:rsid w:val="005101AA"/>
    <w:rsid w:val="0051033A"/>
    <w:rsid w:val="00510342"/>
    <w:rsid w:val="0051035A"/>
    <w:rsid w:val="00510392"/>
    <w:rsid w:val="0051044B"/>
    <w:rsid w:val="005104DB"/>
    <w:rsid w:val="0051052D"/>
    <w:rsid w:val="00510604"/>
    <w:rsid w:val="00510614"/>
    <w:rsid w:val="0051066F"/>
    <w:rsid w:val="005108C8"/>
    <w:rsid w:val="00510990"/>
    <w:rsid w:val="005109B3"/>
    <w:rsid w:val="00510B74"/>
    <w:rsid w:val="00510BEF"/>
    <w:rsid w:val="00510F0E"/>
    <w:rsid w:val="00510F71"/>
    <w:rsid w:val="00510FF2"/>
    <w:rsid w:val="0051111C"/>
    <w:rsid w:val="0051117B"/>
    <w:rsid w:val="005115B1"/>
    <w:rsid w:val="005116BC"/>
    <w:rsid w:val="005117F6"/>
    <w:rsid w:val="00511949"/>
    <w:rsid w:val="0051199B"/>
    <w:rsid w:val="00511B37"/>
    <w:rsid w:val="00511C49"/>
    <w:rsid w:val="00511C80"/>
    <w:rsid w:val="00511C85"/>
    <w:rsid w:val="00511C8B"/>
    <w:rsid w:val="00511DAB"/>
    <w:rsid w:val="00511E83"/>
    <w:rsid w:val="00511EC2"/>
    <w:rsid w:val="00511FE7"/>
    <w:rsid w:val="0051215C"/>
    <w:rsid w:val="005121F2"/>
    <w:rsid w:val="005121F8"/>
    <w:rsid w:val="0051226E"/>
    <w:rsid w:val="005122B4"/>
    <w:rsid w:val="005124F5"/>
    <w:rsid w:val="00512546"/>
    <w:rsid w:val="005126A8"/>
    <w:rsid w:val="00512842"/>
    <w:rsid w:val="0051285D"/>
    <w:rsid w:val="005128A2"/>
    <w:rsid w:val="005128AE"/>
    <w:rsid w:val="005128C9"/>
    <w:rsid w:val="005129EC"/>
    <w:rsid w:val="00512AFC"/>
    <w:rsid w:val="00512C3A"/>
    <w:rsid w:val="00512C7C"/>
    <w:rsid w:val="00512CC5"/>
    <w:rsid w:val="00512D10"/>
    <w:rsid w:val="00512D58"/>
    <w:rsid w:val="00512D81"/>
    <w:rsid w:val="00512F6B"/>
    <w:rsid w:val="00512FCE"/>
    <w:rsid w:val="00512FE2"/>
    <w:rsid w:val="00512FE6"/>
    <w:rsid w:val="005130DE"/>
    <w:rsid w:val="00513124"/>
    <w:rsid w:val="0051329D"/>
    <w:rsid w:val="0051333D"/>
    <w:rsid w:val="005134E1"/>
    <w:rsid w:val="00513596"/>
    <w:rsid w:val="005135E1"/>
    <w:rsid w:val="005135E3"/>
    <w:rsid w:val="0051361A"/>
    <w:rsid w:val="0051366F"/>
    <w:rsid w:val="00513677"/>
    <w:rsid w:val="005136BD"/>
    <w:rsid w:val="0051387D"/>
    <w:rsid w:val="005138F5"/>
    <w:rsid w:val="00513911"/>
    <w:rsid w:val="00513A24"/>
    <w:rsid w:val="00513A3C"/>
    <w:rsid w:val="00513A64"/>
    <w:rsid w:val="00513A98"/>
    <w:rsid w:val="00513B8C"/>
    <w:rsid w:val="00513BFF"/>
    <w:rsid w:val="00513E94"/>
    <w:rsid w:val="00513F96"/>
    <w:rsid w:val="00514060"/>
    <w:rsid w:val="0051408A"/>
    <w:rsid w:val="005140E0"/>
    <w:rsid w:val="00514196"/>
    <w:rsid w:val="00514318"/>
    <w:rsid w:val="005143B3"/>
    <w:rsid w:val="00514706"/>
    <w:rsid w:val="0051470A"/>
    <w:rsid w:val="0051474E"/>
    <w:rsid w:val="00514775"/>
    <w:rsid w:val="00514851"/>
    <w:rsid w:val="005148CF"/>
    <w:rsid w:val="0051494A"/>
    <w:rsid w:val="00514994"/>
    <w:rsid w:val="00514A09"/>
    <w:rsid w:val="00514C9E"/>
    <w:rsid w:val="00514D94"/>
    <w:rsid w:val="00514DE7"/>
    <w:rsid w:val="00514E2D"/>
    <w:rsid w:val="00514E88"/>
    <w:rsid w:val="00514EF0"/>
    <w:rsid w:val="00514FC8"/>
    <w:rsid w:val="00515079"/>
    <w:rsid w:val="0051516C"/>
    <w:rsid w:val="00515200"/>
    <w:rsid w:val="00515294"/>
    <w:rsid w:val="00515443"/>
    <w:rsid w:val="005155C6"/>
    <w:rsid w:val="00515691"/>
    <w:rsid w:val="0051569F"/>
    <w:rsid w:val="0051575B"/>
    <w:rsid w:val="00515923"/>
    <w:rsid w:val="00515970"/>
    <w:rsid w:val="005159CA"/>
    <w:rsid w:val="00515A48"/>
    <w:rsid w:val="00515B19"/>
    <w:rsid w:val="00515B2F"/>
    <w:rsid w:val="00515B57"/>
    <w:rsid w:val="00515BA7"/>
    <w:rsid w:val="00515CE9"/>
    <w:rsid w:val="00515DC8"/>
    <w:rsid w:val="00515E5D"/>
    <w:rsid w:val="00515EC0"/>
    <w:rsid w:val="005160A2"/>
    <w:rsid w:val="00516103"/>
    <w:rsid w:val="005163F3"/>
    <w:rsid w:val="00516432"/>
    <w:rsid w:val="00516475"/>
    <w:rsid w:val="005164A2"/>
    <w:rsid w:val="005165DF"/>
    <w:rsid w:val="005166E0"/>
    <w:rsid w:val="00516770"/>
    <w:rsid w:val="00516B0D"/>
    <w:rsid w:val="00516C8C"/>
    <w:rsid w:val="00516F12"/>
    <w:rsid w:val="00517127"/>
    <w:rsid w:val="00517139"/>
    <w:rsid w:val="0051713D"/>
    <w:rsid w:val="00517172"/>
    <w:rsid w:val="005171B9"/>
    <w:rsid w:val="00517202"/>
    <w:rsid w:val="0051728B"/>
    <w:rsid w:val="005172EC"/>
    <w:rsid w:val="005174E6"/>
    <w:rsid w:val="005175E6"/>
    <w:rsid w:val="00517758"/>
    <w:rsid w:val="005177D5"/>
    <w:rsid w:val="005178A1"/>
    <w:rsid w:val="005179D7"/>
    <w:rsid w:val="00517A37"/>
    <w:rsid w:val="00517B4C"/>
    <w:rsid w:val="00517D88"/>
    <w:rsid w:val="00517DC4"/>
    <w:rsid w:val="00517DD7"/>
    <w:rsid w:val="00517DE3"/>
    <w:rsid w:val="00517E78"/>
    <w:rsid w:val="00517F45"/>
    <w:rsid w:val="00517F4E"/>
    <w:rsid w:val="00517FCC"/>
    <w:rsid w:val="00517FE8"/>
    <w:rsid w:val="0052001E"/>
    <w:rsid w:val="00520225"/>
    <w:rsid w:val="0052024A"/>
    <w:rsid w:val="00520359"/>
    <w:rsid w:val="0052035D"/>
    <w:rsid w:val="005203F6"/>
    <w:rsid w:val="00520413"/>
    <w:rsid w:val="0052065D"/>
    <w:rsid w:val="005207D3"/>
    <w:rsid w:val="005207E2"/>
    <w:rsid w:val="0052095B"/>
    <w:rsid w:val="00520A7E"/>
    <w:rsid w:val="00520BE3"/>
    <w:rsid w:val="00520D10"/>
    <w:rsid w:val="00520DFC"/>
    <w:rsid w:val="00520E27"/>
    <w:rsid w:val="00520F0A"/>
    <w:rsid w:val="00520F38"/>
    <w:rsid w:val="00520FB2"/>
    <w:rsid w:val="005210A8"/>
    <w:rsid w:val="00521143"/>
    <w:rsid w:val="005212A7"/>
    <w:rsid w:val="005212E1"/>
    <w:rsid w:val="0052132B"/>
    <w:rsid w:val="00521349"/>
    <w:rsid w:val="005213DB"/>
    <w:rsid w:val="00521483"/>
    <w:rsid w:val="00521488"/>
    <w:rsid w:val="005214C6"/>
    <w:rsid w:val="00521599"/>
    <w:rsid w:val="0052159D"/>
    <w:rsid w:val="00521705"/>
    <w:rsid w:val="005217F8"/>
    <w:rsid w:val="005217FB"/>
    <w:rsid w:val="00521B3D"/>
    <w:rsid w:val="00521B42"/>
    <w:rsid w:val="00521BC4"/>
    <w:rsid w:val="00521C07"/>
    <w:rsid w:val="00521D05"/>
    <w:rsid w:val="00521E18"/>
    <w:rsid w:val="00521E8B"/>
    <w:rsid w:val="00521EA5"/>
    <w:rsid w:val="00521FA6"/>
    <w:rsid w:val="00521FB4"/>
    <w:rsid w:val="00522022"/>
    <w:rsid w:val="0052202C"/>
    <w:rsid w:val="00522031"/>
    <w:rsid w:val="00522062"/>
    <w:rsid w:val="0052211A"/>
    <w:rsid w:val="0052220E"/>
    <w:rsid w:val="0052226B"/>
    <w:rsid w:val="00522421"/>
    <w:rsid w:val="0052259B"/>
    <w:rsid w:val="0052262F"/>
    <w:rsid w:val="005226EA"/>
    <w:rsid w:val="005227E9"/>
    <w:rsid w:val="005227FA"/>
    <w:rsid w:val="00522820"/>
    <w:rsid w:val="00522837"/>
    <w:rsid w:val="00522847"/>
    <w:rsid w:val="00522986"/>
    <w:rsid w:val="00522D80"/>
    <w:rsid w:val="00522E1B"/>
    <w:rsid w:val="00522E5D"/>
    <w:rsid w:val="00522EC4"/>
    <w:rsid w:val="00522ECB"/>
    <w:rsid w:val="00523023"/>
    <w:rsid w:val="005230B7"/>
    <w:rsid w:val="0052310D"/>
    <w:rsid w:val="0052310E"/>
    <w:rsid w:val="0052314D"/>
    <w:rsid w:val="00523173"/>
    <w:rsid w:val="0052324D"/>
    <w:rsid w:val="0052359E"/>
    <w:rsid w:val="00523637"/>
    <w:rsid w:val="0052369F"/>
    <w:rsid w:val="00523726"/>
    <w:rsid w:val="00523910"/>
    <w:rsid w:val="00523ADE"/>
    <w:rsid w:val="00523B21"/>
    <w:rsid w:val="00523B62"/>
    <w:rsid w:val="00523C04"/>
    <w:rsid w:val="00523C12"/>
    <w:rsid w:val="00523C44"/>
    <w:rsid w:val="00523C77"/>
    <w:rsid w:val="00523CA0"/>
    <w:rsid w:val="00523CB8"/>
    <w:rsid w:val="00523DA7"/>
    <w:rsid w:val="00523DB9"/>
    <w:rsid w:val="00523E70"/>
    <w:rsid w:val="00523FDB"/>
    <w:rsid w:val="005240CB"/>
    <w:rsid w:val="005242B9"/>
    <w:rsid w:val="005243B1"/>
    <w:rsid w:val="005243DD"/>
    <w:rsid w:val="005243E7"/>
    <w:rsid w:val="005243F9"/>
    <w:rsid w:val="00524461"/>
    <w:rsid w:val="00524470"/>
    <w:rsid w:val="005244D7"/>
    <w:rsid w:val="005244FF"/>
    <w:rsid w:val="005246FA"/>
    <w:rsid w:val="00524779"/>
    <w:rsid w:val="00524941"/>
    <w:rsid w:val="0052495E"/>
    <w:rsid w:val="00524C14"/>
    <w:rsid w:val="00524CE2"/>
    <w:rsid w:val="00524D00"/>
    <w:rsid w:val="00524DB4"/>
    <w:rsid w:val="00524F0F"/>
    <w:rsid w:val="00524F94"/>
    <w:rsid w:val="005250C5"/>
    <w:rsid w:val="005250E0"/>
    <w:rsid w:val="00525205"/>
    <w:rsid w:val="00525229"/>
    <w:rsid w:val="00525236"/>
    <w:rsid w:val="005252C2"/>
    <w:rsid w:val="005252F5"/>
    <w:rsid w:val="00525341"/>
    <w:rsid w:val="005253ED"/>
    <w:rsid w:val="00525467"/>
    <w:rsid w:val="005254A4"/>
    <w:rsid w:val="005255CB"/>
    <w:rsid w:val="0052562E"/>
    <w:rsid w:val="00525759"/>
    <w:rsid w:val="0052584E"/>
    <w:rsid w:val="005258E0"/>
    <w:rsid w:val="005258EA"/>
    <w:rsid w:val="00525A8D"/>
    <w:rsid w:val="00526042"/>
    <w:rsid w:val="0052621B"/>
    <w:rsid w:val="0052621D"/>
    <w:rsid w:val="00526319"/>
    <w:rsid w:val="00526442"/>
    <w:rsid w:val="005267C3"/>
    <w:rsid w:val="005267FF"/>
    <w:rsid w:val="00526A1A"/>
    <w:rsid w:val="00526A26"/>
    <w:rsid w:val="00526A76"/>
    <w:rsid w:val="00526AAD"/>
    <w:rsid w:val="00526C0E"/>
    <w:rsid w:val="00526D9F"/>
    <w:rsid w:val="00526E0C"/>
    <w:rsid w:val="00526F1B"/>
    <w:rsid w:val="0052713C"/>
    <w:rsid w:val="0052726B"/>
    <w:rsid w:val="005274B9"/>
    <w:rsid w:val="00527723"/>
    <w:rsid w:val="0052772C"/>
    <w:rsid w:val="00527768"/>
    <w:rsid w:val="00527832"/>
    <w:rsid w:val="0052794C"/>
    <w:rsid w:val="00527A21"/>
    <w:rsid w:val="00527A8D"/>
    <w:rsid w:val="00527AA9"/>
    <w:rsid w:val="00527B26"/>
    <w:rsid w:val="00527B2C"/>
    <w:rsid w:val="00527BD1"/>
    <w:rsid w:val="00527D7B"/>
    <w:rsid w:val="00527D7F"/>
    <w:rsid w:val="00527DFB"/>
    <w:rsid w:val="00527E80"/>
    <w:rsid w:val="00527EA9"/>
    <w:rsid w:val="00527EB6"/>
    <w:rsid w:val="00527EEC"/>
    <w:rsid w:val="00530059"/>
    <w:rsid w:val="005300A6"/>
    <w:rsid w:val="0053013A"/>
    <w:rsid w:val="00530156"/>
    <w:rsid w:val="00530254"/>
    <w:rsid w:val="005302A3"/>
    <w:rsid w:val="005303E2"/>
    <w:rsid w:val="0053048B"/>
    <w:rsid w:val="00530786"/>
    <w:rsid w:val="005308AD"/>
    <w:rsid w:val="00530914"/>
    <w:rsid w:val="00530AE2"/>
    <w:rsid w:val="00530B70"/>
    <w:rsid w:val="00530E7F"/>
    <w:rsid w:val="00530F56"/>
    <w:rsid w:val="00530F93"/>
    <w:rsid w:val="005310BF"/>
    <w:rsid w:val="00531133"/>
    <w:rsid w:val="00531186"/>
    <w:rsid w:val="0053130A"/>
    <w:rsid w:val="00531587"/>
    <w:rsid w:val="0053164E"/>
    <w:rsid w:val="005317DA"/>
    <w:rsid w:val="00531907"/>
    <w:rsid w:val="00531937"/>
    <w:rsid w:val="00531B21"/>
    <w:rsid w:val="00531B58"/>
    <w:rsid w:val="00531BBA"/>
    <w:rsid w:val="00531D05"/>
    <w:rsid w:val="00531D26"/>
    <w:rsid w:val="00531D79"/>
    <w:rsid w:val="00531E87"/>
    <w:rsid w:val="00532146"/>
    <w:rsid w:val="00532269"/>
    <w:rsid w:val="00532280"/>
    <w:rsid w:val="005323F7"/>
    <w:rsid w:val="005324E8"/>
    <w:rsid w:val="005325D8"/>
    <w:rsid w:val="00532671"/>
    <w:rsid w:val="005326C6"/>
    <w:rsid w:val="00532779"/>
    <w:rsid w:val="005327CE"/>
    <w:rsid w:val="00532834"/>
    <w:rsid w:val="00532984"/>
    <w:rsid w:val="00532A9B"/>
    <w:rsid w:val="00532BA3"/>
    <w:rsid w:val="00532C0C"/>
    <w:rsid w:val="00532C1A"/>
    <w:rsid w:val="00532C6E"/>
    <w:rsid w:val="00532E32"/>
    <w:rsid w:val="00532E8E"/>
    <w:rsid w:val="00532FDA"/>
    <w:rsid w:val="005331EF"/>
    <w:rsid w:val="00533207"/>
    <w:rsid w:val="0053325D"/>
    <w:rsid w:val="0053326A"/>
    <w:rsid w:val="00533388"/>
    <w:rsid w:val="0053339E"/>
    <w:rsid w:val="005336B5"/>
    <w:rsid w:val="005336DE"/>
    <w:rsid w:val="00533774"/>
    <w:rsid w:val="0053377D"/>
    <w:rsid w:val="00533792"/>
    <w:rsid w:val="005337C1"/>
    <w:rsid w:val="005337FF"/>
    <w:rsid w:val="00533893"/>
    <w:rsid w:val="0053390E"/>
    <w:rsid w:val="005339C3"/>
    <w:rsid w:val="00533A68"/>
    <w:rsid w:val="00533BB8"/>
    <w:rsid w:val="00533C50"/>
    <w:rsid w:val="00533E06"/>
    <w:rsid w:val="00533E5A"/>
    <w:rsid w:val="00533F03"/>
    <w:rsid w:val="00533F9C"/>
    <w:rsid w:val="00533FA1"/>
    <w:rsid w:val="00533FDF"/>
    <w:rsid w:val="005343E0"/>
    <w:rsid w:val="00534522"/>
    <w:rsid w:val="005345BD"/>
    <w:rsid w:val="00534705"/>
    <w:rsid w:val="00534753"/>
    <w:rsid w:val="005348A4"/>
    <w:rsid w:val="005348B6"/>
    <w:rsid w:val="00534959"/>
    <w:rsid w:val="005349D7"/>
    <w:rsid w:val="00534BF8"/>
    <w:rsid w:val="00534DB6"/>
    <w:rsid w:val="00534E77"/>
    <w:rsid w:val="005350DE"/>
    <w:rsid w:val="00535113"/>
    <w:rsid w:val="0053513C"/>
    <w:rsid w:val="005351E4"/>
    <w:rsid w:val="0053523C"/>
    <w:rsid w:val="0053524F"/>
    <w:rsid w:val="0053527A"/>
    <w:rsid w:val="005352BD"/>
    <w:rsid w:val="0053536B"/>
    <w:rsid w:val="00535429"/>
    <w:rsid w:val="00535451"/>
    <w:rsid w:val="00535574"/>
    <w:rsid w:val="0053559C"/>
    <w:rsid w:val="00535632"/>
    <w:rsid w:val="0053567E"/>
    <w:rsid w:val="005357FA"/>
    <w:rsid w:val="00535866"/>
    <w:rsid w:val="00535876"/>
    <w:rsid w:val="00535A18"/>
    <w:rsid w:val="00535B4C"/>
    <w:rsid w:val="00535B52"/>
    <w:rsid w:val="00535B5C"/>
    <w:rsid w:val="00535CF1"/>
    <w:rsid w:val="00535DBE"/>
    <w:rsid w:val="00535E62"/>
    <w:rsid w:val="00535FAB"/>
    <w:rsid w:val="00536021"/>
    <w:rsid w:val="00536047"/>
    <w:rsid w:val="00536150"/>
    <w:rsid w:val="0053617B"/>
    <w:rsid w:val="00536211"/>
    <w:rsid w:val="00536269"/>
    <w:rsid w:val="0053637F"/>
    <w:rsid w:val="00536415"/>
    <w:rsid w:val="00536667"/>
    <w:rsid w:val="00536AA9"/>
    <w:rsid w:val="00536AC0"/>
    <w:rsid w:val="00536CDB"/>
    <w:rsid w:val="00536DCE"/>
    <w:rsid w:val="00536E56"/>
    <w:rsid w:val="005371C6"/>
    <w:rsid w:val="0053727A"/>
    <w:rsid w:val="005372C3"/>
    <w:rsid w:val="00537531"/>
    <w:rsid w:val="005375B8"/>
    <w:rsid w:val="0053772C"/>
    <w:rsid w:val="0053772F"/>
    <w:rsid w:val="00537735"/>
    <w:rsid w:val="0053774B"/>
    <w:rsid w:val="00537986"/>
    <w:rsid w:val="00537A08"/>
    <w:rsid w:val="00537AAC"/>
    <w:rsid w:val="00537B69"/>
    <w:rsid w:val="00537BA8"/>
    <w:rsid w:val="00537BAA"/>
    <w:rsid w:val="00537C5A"/>
    <w:rsid w:val="00537DA6"/>
    <w:rsid w:val="00537EAA"/>
    <w:rsid w:val="00537EF0"/>
    <w:rsid w:val="00540093"/>
    <w:rsid w:val="005400C5"/>
    <w:rsid w:val="0054024C"/>
    <w:rsid w:val="0054026F"/>
    <w:rsid w:val="005403BA"/>
    <w:rsid w:val="00540487"/>
    <w:rsid w:val="005404D9"/>
    <w:rsid w:val="00540557"/>
    <w:rsid w:val="00540587"/>
    <w:rsid w:val="005405DC"/>
    <w:rsid w:val="00540607"/>
    <w:rsid w:val="00540757"/>
    <w:rsid w:val="005409DA"/>
    <w:rsid w:val="00540A2D"/>
    <w:rsid w:val="00540A3D"/>
    <w:rsid w:val="00540AC1"/>
    <w:rsid w:val="00540E0E"/>
    <w:rsid w:val="00540ECA"/>
    <w:rsid w:val="00540EE9"/>
    <w:rsid w:val="00541062"/>
    <w:rsid w:val="005410D9"/>
    <w:rsid w:val="005410FB"/>
    <w:rsid w:val="0054114B"/>
    <w:rsid w:val="00541211"/>
    <w:rsid w:val="00541275"/>
    <w:rsid w:val="005412F5"/>
    <w:rsid w:val="0054137D"/>
    <w:rsid w:val="0054139B"/>
    <w:rsid w:val="0054147C"/>
    <w:rsid w:val="00541550"/>
    <w:rsid w:val="005415A5"/>
    <w:rsid w:val="00541600"/>
    <w:rsid w:val="00541638"/>
    <w:rsid w:val="00541736"/>
    <w:rsid w:val="00541764"/>
    <w:rsid w:val="00541791"/>
    <w:rsid w:val="0054180B"/>
    <w:rsid w:val="00541AD5"/>
    <w:rsid w:val="00541B02"/>
    <w:rsid w:val="00541B04"/>
    <w:rsid w:val="00541BD2"/>
    <w:rsid w:val="00541BE4"/>
    <w:rsid w:val="00541D24"/>
    <w:rsid w:val="00541D51"/>
    <w:rsid w:val="00541D52"/>
    <w:rsid w:val="00541D7F"/>
    <w:rsid w:val="00541E86"/>
    <w:rsid w:val="00541F36"/>
    <w:rsid w:val="00541FDA"/>
    <w:rsid w:val="00542092"/>
    <w:rsid w:val="005423E8"/>
    <w:rsid w:val="0054248B"/>
    <w:rsid w:val="005424B9"/>
    <w:rsid w:val="00542677"/>
    <w:rsid w:val="0054268F"/>
    <w:rsid w:val="005426A1"/>
    <w:rsid w:val="005426F5"/>
    <w:rsid w:val="00542845"/>
    <w:rsid w:val="0054286F"/>
    <w:rsid w:val="0054295F"/>
    <w:rsid w:val="00542A91"/>
    <w:rsid w:val="00542B01"/>
    <w:rsid w:val="00542C3C"/>
    <w:rsid w:val="00542CA6"/>
    <w:rsid w:val="00542D69"/>
    <w:rsid w:val="00542EA1"/>
    <w:rsid w:val="00542EC6"/>
    <w:rsid w:val="00543003"/>
    <w:rsid w:val="00543148"/>
    <w:rsid w:val="00543162"/>
    <w:rsid w:val="0054321A"/>
    <w:rsid w:val="00543389"/>
    <w:rsid w:val="00543567"/>
    <w:rsid w:val="0054359C"/>
    <w:rsid w:val="00543683"/>
    <w:rsid w:val="005436B2"/>
    <w:rsid w:val="005436C3"/>
    <w:rsid w:val="0054378E"/>
    <w:rsid w:val="00543810"/>
    <w:rsid w:val="005439B5"/>
    <w:rsid w:val="00543B07"/>
    <w:rsid w:val="00543B38"/>
    <w:rsid w:val="00543BF7"/>
    <w:rsid w:val="00543C06"/>
    <w:rsid w:val="00543C2C"/>
    <w:rsid w:val="00543D91"/>
    <w:rsid w:val="00543E09"/>
    <w:rsid w:val="00543E4C"/>
    <w:rsid w:val="00543ECA"/>
    <w:rsid w:val="00543FA0"/>
    <w:rsid w:val="00544151"/>
    <w:rsid w:val="0054415F"/>
    <w:rsid w:val="0054417F"/>
    <w:rsid w:val="005441D4"/>
    <w:rsid w:val="005442A7"/>
    <w:rsid w:val="005442AE"/>
    <w:rsid w:val="005442C2"/>
    <w:rsid w:val="005443AF"/>
    <w:rsid w:val="0054440B"/>
    <w:rsid w:val="00544749"/>
    <w:rsid w:val="0054477D"/>
    <w:rsid w:val="00544826"/>
    <w:rsid w:val="00544838"/>
    <w:rsid w:val="005448E5"/>
    <w:rsid w:val="005449C5"/>
    <w:rsid w:val="005449F1"/>
    <w:rsid w:val="00544A04"/>
    <w:rsid w:val="00544ABD"/>
    <w:rsid w:val="00544BB1"/>
    <w:rsid w:val="00544DBD"/>
    <w:rsid w:val="00545081"/>
    <w:rsid w:val="005450CC"/>
    <w:rsid w:val="005450D7"/>
    <w:rsid w:val="0054519D"/>
    <w:rsid w:val="0054556E"/>
    <w:rsid w:val="005456BB"/>
    <w:rsid w:val="0054571A"/>
    <w:rsid w:val="005457AA"/>
    <w:rsid w:val="005457B5"/>
    <w:rsid w:val="005459B8"/>
    <w:rsid w:val="00545BD2"/>
    <w:rsid w:val="00545DAE"/>
    <w:rsid w:val="00545E43"/>
    <w:rsid w:val="00545E65"/>
    <w:rsid w:val="00545E73"/>
    <w:rsid w:val="00545F03"/>
    <w:rsid w:val="00545FE2"/>
    <w:rsid w:val="00546132"/>
    <w:rsid w:val="0054620E"/>
    <w:rsid w:val="005462B2"/>
    <w:rsid w:val="00546339"/>
    <w:rsid w:val="00546346"/>
    <w:rsid w:val="005463E2"/>
    <w:rsid w:val="005463F7"/>
    <w:rsid w:val="005466AB"/>
    <w:rsid w:val="00546788"/>
    <w:rsid w:val="0054678A"/>
    <w:rsid w:val="00546801"/>
    <w:rsid w:val="00546823"/>
    <w:rsid w:val="00546885"/>
    <w:rsid w:val="005469BC"/>
    <w:rsid w:val="00546A6D"/>
    <w:rsid w:val="00546B42"/>
    <w:rsid w:val="00546C95"/>
    <w:rsid w:val="00546E13"/>
    <w:rsid w:val="00546EE2"/>
    <w:rsid w:val="00546F37"/>
    <w:rsid w:val="00546F50"/>
    <w:rsid w:val="0054703D"/>
    <w:rsid w:val="005470AF"/>
    <w:rsid w:val="00547196"/>
    <w:rsid w:val="005471B0"/>
    <w:rsid w:val="005471BD"/>
    <w:rsid w:val="005472AF"/>
    <w:rsid w:val="00547353"/>
    <w:rsid w:val="00547386"/>
    <w:rsid w:val="0054738D"/>
    <w:rsid w:val="00547608"/>
    <w:rsid w:val="005476A2"/>
    <w:rsid w:val="005476B0"/>
    <w:rsid w:val="005476EC"/>
    <w:rsid w:val="0054776C"/>
    <w:rsid w:val="005479A9"/>
    <w:rsid w:val="00547A77"/>
    <w:rsid w:val="00547AEB"/>
    <w:rsid w:val="00547CD3"/>
    <w:rsid w:val="00547CDE"/>
    <w:rsid w:val="00547D17"/>
    <w:rsid w:val="00547D6C"/>
    <w:rsid w:val="00547F2D"/>
    <w:rsid w:val="00547F4B"/>
    <w:rsid w:val="0055018E"/>
    <w:rsid w:val="00550212"/>
    <w:rsid w:val="0055024D"/>
    <w:rsid w:val="0055037E"/>
    <w:rsid w:val="005503E7"/>
    <w:rsid w:val="0055048F"/>
    <w:rsid w:val="00550562"/>
    <w:rsid w:val="0055066E"/>
    <w:rsid w:val="00550A32"/>
    <w:rsid w:val="00550BBA"/>
    <w:rsid w:val="00550BD2"/>
    <w:rsid w:val="00550BD8"/>
    <w:rsid w:val="00550D2F"/>
    <w:rsid w:val="00550D7F"/>
    <w:rsid w:val="00550E34"/>
    <w:rsid w:val="00550E7A"/>
    <w:rsid w:val="00550E87"/>
    <w:rsid w:val="00550EFC"/>
    <w:rsid w:val="00550FA6"/>
    <w:rsid w:val="00551037"/>
    <w:rsid w:val="0055107B"/>
    <w:rsid w:val="005510D6"/>
    <w:rsid w:val="00551151"/>
    <w:rsid w:val="00551257"/>
    <w:rsid w:val="00551270"/>
    <w:rsid w:val="0055138B"/>
    <w:rsid w:val="00551405"/>
    <w:rsid w:val="005515B4"/>
    <w:rsid w:val="00551612"/>
    <w:rsid w:val="00551646"/>
    <w:rsid w:val="00551686"/>
    <w:rsid w:val="005516B1"/>
    <w:rsid w:val="005516B5"/>
    <w:rsid w:val="005516CF"/>
    <w:rsid w:val="005516E0"/>
    <w:rsid w:val="00551867"/>
    <w:rsid w:val="00551A1C"/>
    <w:rsid w:val="00551B9D"/>
    <w:rsid w:val="00551C2C"/>
    <w:rsid w:val="00551DE4"/>
    <w:rsid w:val="00551F6B"/>
    <w:rsid w:val="0055203F"/>
    <w:rsid w:val="005520C5"/>
    <w:rsid w:val="00552216"/>
    <w:rsid w:val="0055237B"/>
    <w:rsid w:val="005523BD"/>
    <w:rsid w:val="005523D6"/>
    <w:rsid w:val="00552480"/>
    <w:rsid w:val="00552516"/>
    <w:rsid w:val="00552595"/>
    <w:rsid w:val="00552619"/>
    <w:rsid w:val="0055265B"/>
    <w:rsid w:val="00552751"/>
    <w:rsid w:val="0055275B"/>
    <w:rsid w:val="00552934"/>
    <w:rsid w:val="00552973"/>
    <w:rsid w:val="00552B0F"/>
    <w:rsid w:val="00552B14"/>
    <w:rsid w:val="00552B49"/>
    <w:rsid w:val="00552B5D"/>
    <w:rsid w:val="00552C7A"/>
    <w:rsid w:val="00552C94"/>
    <w:rsid w:val="00552CD2"/>
    <w:rsid w:val="00552CF9"/>
    <w:rsid w:val="00552D47"/>
    <w:rsid w:val="00552E46"/>
    <w:rsid w:val="0055308C"/>
    <w:rsid w:val="005530B3"/>
    <w:rsid w:val="005530DC"/>
    <w:rsid w:val="0055310A"/>
    <w:rsid w:val="00553189"/>
    <w:rsid w:val="00553263"/>
    <w:rsid w:val="005532FA"/>
    <w:rsid w:val="00553610"/>
    <w:rsid w:val="005537EA"/>
    <w:rsid w:val="005537EF"/>
    <w:rsid w:val="0055380D"/>
    <w:rsid w:val="00553931"/>
    <w:rsid w:val="00553A37"/>
    <w:rsid w:val="00553B08"/>
    <w:rsid w:val="00553B13"/>
    <w:rsid w:val="00553B78"/>
    <w:rsid w:val="00553C07"/>
    <w:rsid w:val="00553CCD"/>
    <w:rsid w:val="00553D35"/>
    <w:rsid w:val="00553E3A"/>
    <w:rsid w:val="00553E5F"/>
    <w:rsid w:val="00553F7B"/>
    <w:rsid w:val="00553FD4"/>
    <w:rsid w:val="00553FDC"/>
    <w:rsid w:val="00553FF4"/>
    <w:rsid w:val="00554032"/>
    <w:rsid w:val="005540C7"/>
    <w:rsid w:val="005540E3"/>
    <w:rsid w:val="00554183"/>
    <w:rsid w:val="00554199"/>
    <w:rsid w:val="00554255"/>
    <w:rsid w:val="00554442"/>
    <w:rsid w:val="00554527"/>
    <w:rsid w:val="0055464E"/>
    <w:rsid w:val="0055475D"/>
    <w:rsid w:val="0055485E"/>
    <w:rsid w:val="00554885"/>
    <w:rsid w:val="005548A2"/>
    <w:rsid w:val="00554941"/>
    <w:rsid w:val="00554A3A"/>
    <w:rsid w:val="00554B20"/>
    <w:rsid w:val="00554B9E"/>
    <w:rsid w:val="00554BDD"/>
    <w:rsid w:val="00554C8F"/>
    <w:rsid w:val="00554CFD"/>
    <w:rsid w:val="00554D41"/>
    <w:rsid w:val="00554EFD"/>
    <w:rsid w:val="00554F27"/>
    <w:rsid w:val="0055509F"/>
    <w:rsid w:val="00555201"/>
    <w:rsid w:val="00555252"/>
    <w:rsid w:val="005552BA"/>
    <w:rsid w:val="00555577"/>
    <w:rsid w:val="0055568A"/>
    <w:rsid w:val="005556C4"/>
    <w:rsid w:val="005556DF"/>
    <w:rsid w:val="00555700"/>
    <w:rsid w:val="00555873"/>
    <w:rsid w:val="0055598F"/>
    <w:rsid w:val="00555B44"/>
    <w:rsid w:val="00555BC5"/>
    <w:rsid w:val="00555BDE"/>
    <w:rsid w:val="00555BE1"/>
    <w:rsid w:val="00555C53"/>
    <w:rsid w:val="00555CA5"/>
    <w:rsid w:val="00555E00"/>
    <w:rsid w:val="00555E38"/>
    <w:rsid w:val="005560BD"/>
    <w:rsid w:val="005561CE"/>
    <w:rsid w:val="005562D0"/>
    <w:rsid w:val="005562DB"/>
    <w:rsid w:val="005563FB"/>
    <w:rsid w:val="0055646F"/>
    <w:rsid w:val="005565D2"/>
    <w:rsid w:val="00556609"/>
    <w:rsid w:val="0055674D"/>
    <w:rsid w:val="005568BA"/>
    <w:rsid w:val="00556927"/>
    <w:rsid w:val="00556A75"/>
    <w:rsid w:val="00556AEC"/>
    <w:rsid w:val="00556B3A"/>
    <w:rsid w:val="00556B48"/>
    <w:rsid w:val="00556B64"/>
    <w:rsid w:val="00556B70"/>
    <w:rsid w:val="00556C2A"/>
    <w:rsid w:val="00556CFF"/>
    <w:rsid w:val="00556D59"/>
    <w:rsid w:val="00556DF3"/>
    <w:rsid w:val="00556FBA"/>
    <w:rsid w:val="00556FFE"/>
    <w:rsid w:val="0055707A"/>
    <w:rsid w:val="0055707C"/>
    <w:rsid w:val="005570C0"/>
    <w:rsid w:val="00557150"/>
    <w:rsid w:val="005571E3"/>
    <w:rsid w:val="0055736B"/>
    <w:rsid w:val="005574EC"/>
    <w:rsid w:val="00557592"/>
    <w:rsid w:val="0055760A"/>
    <w:rsid w:val="00557774"/>
    <w:rsid w:val="0055780E"/>
    <w:rsid w:val="00557814"/>
    <w:rsid w:val="005578A6"/>
    <w:rsid w:val="00557A52"/>
    <w:rsid w:val="00557A85"/>
    <w:rsid w:val="00557AA1"/>
    <w:rsid w:val="00557AB9"/>
    <w:rsid w:val="00557B62"/>
    <w:rsid w:val="00557C11"/>
    <w:rsid w:val="00557C6C"/>
    <w:rsid w:val="00557D7B"/>
    <w:rsid w:val="00557DBF"/>
    <w:rsid w:val="00557F5B"/>
    <w:rsid w:val="00557FA6"/>
    <w:rsid w:val="005601FA"/>
    <w:rsid w:val="00560209"/>
    <w:rsid w:val="005603C6"/>
    <w:rsid w:val="00560412"/>
    <w:rsid w:val="0056045B"/>
    <w:rsid w:val="00560556"/>
    <w:rsid w:val="0056058F"/>
    <w:rsid w:val="005607F3"/>
    <w:rsid w:val="005608D8"/>
    <w:rsid w:val="005609C3"/>
    <w:rsid w:val="005609E9"/>
    <w:rsid w:val="00560B5A"/>
    <w:rsid w:val="00560E49"/>
    <w:rsid w:val="00560F28"/>
    <w:rsid w:val="00560F88"/>
    <w:rsid w:val="00560FA2"/>
    <w:rsid w:val="0056105B"/>
    <w:rsid w:val="005610DB"/>
    <w:rsid w:val="005610EB"/>
    <w:rsid w:val="00561139"/>
    <w:rsid w:val="00561150"/>
    <w:rsid w:val="005611A2"/>
    <w:rsid w:val="0056122E"/>
    <w:rsid w:val="005612D4"/>
    <w:rsid w:val="0056130B"/>
    <w:rsid w:val="0056139B"/>
    <w:rsid w:val="005613C7"/>
    <w:rsid w:val="00561561"/>
    <w:rsid w:val="00561678"/>
    <w:rsid w:val="00561747"/>
    <w:rsid w:val="00561766"/>
    <w:rsid w:val="005617EE"/>
    <w:rsid w:val="0056180B"/>
    <w:rsid w:val="00561880"/>
    <w:rsid w:val="005618D2"/>
    <w:rsid w:val="005618F4"/>
    <w:rsid w:val="0056193F"/>
    <w:rsid w:val="00561A66"/>
    <w:rsid w:val="00561A6F"/>
    <w:rsid w:val="00561BE2"/>
    <w:rsid w:val="00561D7A"/>
    <w:rsid w:val="005621C9"/>
    <w:rsid w:val="00562282"/>
    <w:rsid w:val="0056228F"/>
    <w:rsid w:val="005623C2"/>
    <w:rsid w:val="005624F4"/>
    <w:rsid w:val="005625BF"/>
    <w:rsid w:val="00562604"/>
    <w:rsid w:val="00562609"/>
    <w:rsid w:val="00562639"/>
    <w:rsid w:val="005628D8"/>
    <w:rsid w:val="00562954"/>
    <w:rsid w:val="0056295B"/>
    <w:rsid w:val="00562B00"/>
    <w:rsid w:val="00562BF0"/>
    <w:rsid w:val="00562D05"/>
    <w:rsid w:val="0056308B"/>
    <w:rsid w:val="00563307"/>
    <w:rsid w:val="005634FC"/>
    <w:rsid w:val="0056370C"/>
    <w:rsid w:val="0056376A"/>
    <w:rsid w:val="00563854"/>
    <w:rsid w:val="005639AF"/>
    <w:rsid w:val="005639E0"/>
    <w:rsid w:val="00563A23"/>
    <w:rsid w:val="00563BD4"/>
    <w:rsid w:val="00563BFE"/>
    <w:rsid w:val="00563C25"/>
    <w:rsid w:val="00563C3B"/>
    <w:rsid w:val="00563C4E"/>
    <w:rsid w:val="00563C73"/>
    <w:rsid w:val="00563CA0"/>
    <w:rsid w:val="00563CA9"/>
    <w:rsid w:val="00563CB4"/>
    <w:rsid w:val="00563CC1"/>
    <w:rsid w:val="00563D4A"/>
    <w:rsid w:val="00563E26"/>
    <w:rsid w:val="00563EC1"/>
    <w:rsid w:val="00563F7D"/>
    <w:rsid w:val="00564210"/>
    <w:rsid w:val="00564274"/>
    <w:rsid w:val="005643A2"/>
    <w:rsid w:val="0056452E"/>
    <w:rsid w:val="00564540"/>
    <w:rsid w:val="00564549"/>
    <w:rsid w:val="005647AD"/>
    <w:rsid w:val="005647D3"/>
    <w:rsid w:val="005649B8"/>
    <w:rsid w:val="00564A7B"/>
    <w:rsid w:val="00564B6E"/>
    <w:rsid w:val="00564C04"/>
    <w:rsid w:val="00564EF9"/>
    <w:rsid w:val="005650D3"/>
    <w:rsid w:val="005652DA"/>
    <w:rsid w:val="005652DD"/>
    <w:rsid w:val="0056530C"/>
    <w:rsid w:val="005653A0"/>
    <w:rsid w:val="00565640"/>
    <w:rsid w:val="00565685"/>
    <w:rsid w:val="005656F6"/>
    <w:rsid w:val="005658E9"/>
    <w:rsid w:val="00565A13"/>
    <w:rsid w:val="00565ABD"/>
    <w:rsid w:val="00565AC6"/>
    <w:rsid w:val="00565B49"/>
    <w:rsid w:val="00565B78"/>
    <w:rsid w:val="00565BC4"/>
    <w:rsid w:val="00565C3F"/>
    <w:rsid w:val="00565C45"/>
    <w:rsid w:val="00565D0A"/>
    <w:rsid w:val="00565DB6"/>
    <w:rsid w:val="00565DBF"/>
    <w:rsid w:val="00565F04"/>
    <w:rsid w:val="00565F62"/>
    <w:rsid w:val="00565F8B"/>
    <w:rsid w:val="00565FA8"/>
    <w:rsid w:val="005660EF"/>
    <w:rsid w:val="00566212"/>
    <w:rsid w:val="00566247"/>
    <w:rsid w:val="00566669"/>
    <w:rsid w:val="005666DC"/>
    <w:rsid w:val="005667F3"/>
    <w:rsid w:val="00566A64"/>
    <w:rsid w:val="00566AE9"/>
    <w:rsid w:val="00566BF6"/>
    <w:rsid w:val="00566C01"/>
    <w:rsid w:val="00566CB7"/>
    <w:rsid w:val="00566DB6"/>
    <w:rsid w:val="00566ED7"/>
    <w:rsid w:val="00567172"/>
    <w:rsid w:val="00567220"/>
    <w:rsid w:val="005674E9"/>
    <w:rsid w:val="005674FF"/>
    <w:rsid w:val="00567541"/>
    <w:rsid w:val="00567687"/>
    <w:rsid w:val="00567830"/>
    <w:rsid w:val="005678A0"/>
    <w:rsid w:val="005678E2"/>
    <w:rsid w:val="00567A29"/>
    <w:rsid w:val="00567D3D"/>
    <w:rsid w:val="00567DD9"/>
    <w:rsid w:val="00567ECB"/>
    <w:rsid w:val="00567FA5"/>
    <w:rsid w:val="00567FB8"/>
    <w:rsid w:val="005700BA"/>
    <w:rsid w:val="005700E2"/>
    <w:rsid w:val="005701EE"/>
    <w:rsid w:val="00570251"/>
    <w:rsid w:val="005702C9"/>
    <w:rsid w:val="00570330"/>
    <w:rsid w:val="00570369"/>
    <w:rsid w:val="00570488"/>
    <w:rsid w:val="00570493"/>
    <w:rsid w:val="00570556"/>
    <w:rsid w:val="0057067F"/>
    <w:rsid w:val="0057081D"/>
    <w:rsid w:val="0057081E"/>
    <w:rsid w:val="0057086A"/>
    <w:rsid w:val="0057096A"/>
    <w:rsid w:val="005709C2"/>
    <w:rsid w:val="005709CA"/>
    <w:rsid w:val="00570A10"/>
    <w:rsid w:val="00570AE2"/>
    <w:rsid w:val="00570AE7"/>
    <w:rsid w:val="00570AEF"/>
    <w:rsid w:val="00570B87"/>
    <w:rsid w:val="00570BC4"/>
    <w:rsid w:val="00570C0B"/>
    <w:rsid w:val="00570C26"/>
    <w:rsid w:val="00570C2C"/>
    <w:rsid w:val="00570D61"/>
    <w:rsid w:val="00570E78"/>
    <w:rsid w:val="00571018"/>
    <w:rsid w:val="00571093"/>
    <w:rsid w:val="0057119C"/>
    <w:rsid w:val="005712D9"/>
    <w:rsid w:val="005712EC"/>
    <w:rsid w:val="005712F3"/>
    <w:rsid w:val="005714B5"/>
    <w:rsid w:val="00571514"/>
    <w:rsid w:val="0057156B"/>
    <w:rsid w:val="005716E4"/>
    <w:rsid w:val="0057177A"/>
    <w:rsid w:val="00571810"/>
    <w:rsid w:val="00571851"/>
    <w:rsid w:val="00571967"/>
    <w:rsid w:val="0057196A"/>
    <w:rsid w:val="00571A23"/>
    <w:rsid w:val="00571A5B"/>
    <w:rsid w:val="00571C72"/>
    <w:rsid w:val="00571CB8"/>
    <w:rsid w:val="00571E1E"/>
    <w:rsid w:val="00571F3C"/>
    <w:rsid w:val="0057205C"/>
    <w:rsid w:val="00572095"/>
    <w:rsid w:val="005720E0"/>
    <w:rsid w:val="0057218F"/>
    <w:rsid w:val="005722DB"/>
    <w:rsid w:val="00572311"/>
    <w:rsid w:val="0057240F"/>
    <w:rsid w:val="00572475"/>
    <w:rsid w:val="005724A2"/>
    <w:rsid w:val="005725C5"/>
    <w:rsid w:val="00572690"/>
    <w:rsid w:val="00572746"/>
    <w:rsid w:val="005727BC"/>
    <w:rsid w:val="005727F0"/>
    <w:rsid w:val="00572809"/>
    <w:rsid w:val="0057281C"/>
    <w:rsid w:val="0057286B"/>
    <w:rsid w:val="00572C2E"/>
    <w:rsid w:val="00572C5C"/>
    <w:rsid w:val="00572D59"/>
    <w:rsid w:val="00572D6F"/>
    <w:rsid w:val="00572F08"/>
    <w:rsid w:val="00572F9D"/>
    <w:rsid w:val="00572FB7"/>
    <w:rsid w:val="00573213"/>
    <w:rsid w:val="00573248"/>
    <w:rsid w:val="0057336C"/>
    <w:rsid w:val="005735C7"/>
    <w:rsid w:val="005735C9"/>
    <w:rsid w:val="00573664"/>
    <w:rsid w:val="00573794"/>
    <w:rsid w:val="005737D1"/>
    <w:rsid w:val="0057382A"/>
    <w:rsid w:val="005739A6"/>
    <w:rsid w:val="00573A0A"/>
    <w:rsid w:val="00573C04"/>
    <w:rsid w:val="00573D5F"/>
    <w:rsid w:val="00573E64"/>
    <w:rsid w:val="00573EB6"/>
    <w:rsid w:val="00573F51"/>
    <w:rsid w:val="00573FA2"/>
    <w:rsid w:val="005742A1"/>
    <w:rsid w:val="00574334"/>
    <w:rsid w:val="0057438A"/>
    <w:rsid w:val="00574893"/>
    <w:rsid w:val="005748E3"/>
    <w:rsid w:val="005748E9"/>
    <w:rsid w:val="0057498C"/>
    <w:rsid w:val="00574AA8"/>
    <w:rsid w:val="00574B1C"/>
    <w:rsid w:val="00574C66"/>
    <w:rsid w:val="00574CA6"/>
    <w:rsid w:val="00574D0E"/>
    <w:rsid w:val="00574EF6"/>
    <w:rsid w:val="00574F7C"/>
    <w:rsid w:val="00574FB9"/>
    <w:rsid w:val="005750CE"/>
    <w:rsid w:val="005750F9"/>
    <w:rsid w:val="00575100"/>
    <w:rsid w:val="0057513A"/>
    <w:rsid w:val="0057524B"/>
    <w:rsid w:val="005752FE"/>
    <w:rsid w:val="0057535E"/>
    <w:rsid w:val="00575367"/>
    <w:rsid w:val="00575379"/>
    <w:rsid w:val="005753EB"/>
    <w:rsid w:val="005753EF"/>
    <w:rsid w:val="00575485"/>
    <w:rsid w:val="005754D3"/>
    <w:rsid w:val="0057550D"/>
    <w:rsid w:val="00575518"/>
    <w:rsid w:val="005755F9"/>
    <w:rsid w:val="00575A08"/>
    <w:rsid w:val="00575A5B"/>
    <w:rsid w:val="00575A74"/>
    <w:rsid w:val="00575B5E"/>
    <w:rsid w:val="00575CF0"/>
    <w:rsid w:val="00575D58"/>
    <w:rsid w:val="00575DB2"/>
    <w:rsid w:val="00575E46"/>
    <w:rsid w:val="005760D1"/>
    <w:rsid w:val="00576155"/>
    <w:rsid w:val="0057619B"/>
    <w:rsid w:val="005761CB"/>
    <w:rsid w:val="005761E5"/>
    <w:rsid w:val="005761F7"/>
    <w:rsid w:val="0057631D"/>
    <w:rsid w:val="00576417"/>
    <w:rsid w:val="0057641A"/>
    <w:rsid w:val="0057657F"/>
    <w:rsid w:val="00576624"/>
    <w:rsid w:val="00576673"/>
    <w:rsid w:val="00576767"/>
    <w:rsid w:val="005767CA"/>
    <w:rsid w:val="00576940"/>
    <w:rsid w:val="005769F1"/>
    <w:rsid w:val="00576AB8"/>
    <w:rsid w:val="00576B29"/>
    <w:rsid w:val="00576C94"/>
    <w:rsid w:val="00576DEB"/>
    <w:rsid w:val="00576DF8"/>
    <w:rsid w:val="00576E01"/>
    <w:rsid w:val="00576EB9"/>
    <w:rsid w:val="00576FD7"/>
    <w:rsid w:val="005770ED"/>
    <w:rsid w:val="005770F4"/>
    <w:rsid w:val="0057717B"/>
    <w:rsid w:val="005771C4"/>
    <w:rsid w:val="005771E4"/>
    <w:rsid w:val="00577355"/>
    <w:rsid w:val="005774A0"/>
    <w:rsid w:val="005776AB"/>
    <w:rsid w:val="0057778B"/>
    <w:rsid w:val="00577876"/>
    <w:rsid w:val="00577914"/>
    <w:rsid w:val="0057793C"/>
    <w:rsid w:val="005779B9"/>
    <w:rsid w:val="005779EB"/>
    <w:rsid w:val="00577C76"/>
    <w:rsid w:val="00577C7B"/>
    <w:rsid w:val="00577C9D"/>
    <w:rsid w:val="00577D77"/>
    <w:rsid w:val="00577F87"/>
    <w:rsid w:val="00577FF5"/>
    <w:rsid w:val="005800F7"/>
    <w:rsid w:val="005805C9"/>
    <w:rsid w:val="00580623"/>
    <w:rsid w:val="00580672"/>
    <w:rsid w:val="00580684"/>
    <w:rsid w:val="005806CE"/>
    <w:rsid w:val="00580711"/>
    <w:rsid w:val="005807B1"/>
    <w:rsid w:val="00580848"/>
    <w:rsid w:val="00580862"/>
    <w:rsid w:val="00580870"/>
    <w:rsid w:val="00580AB1"/>
    <w:rsid w:val="00580AE2"/>
    <w:rsid w:val="00580B05"/>
    <w:rsid w:val="00580B6F"/>
    <w:rsid w:val="00580B9C"/>
    <w:rsid w:val="00580D52"/>
    <w:rsid w:val="00580DB5"/>
    <w:rsid w:val="00580DEF"/>
    <w:rsid w:val="00580E3B"/>
    <w:rsid w:val="00580E71"/>
    <w:rsid w:val="00581286"/>
    <w:rsid w:val="0058138F"/>
    <w:rsid w:val="005813AD"/>
    <w:rsid w:val="00581439"/>
    <w:rsid w:val="00581449"/>
    <w:rsid w:val="00581458"/>
    <w:rsid w:val="0058155E"/>
    <w:rsid w:val="00581565"/>
    <w:rsid w:val="0058173A"/>
    <w:rsid w:val="0058180B"/>
    <w:rsid w:val="0058195F"/>
    <w:rsid w:val="00581986"/>
    <w:rsid w:val="005819F8"/>
    <w:rsid w:val="00581A58"/>
    <w:rsid w:val="00581B88"/>
    <w:rsid w:val="00581BB9"/>
    <w:rsid w:val="00581C88"/>
    <w:rsid w:val="00581D00"/>
    <w:rsid w:val="00581DAB"/>
    <w:rsid w:val="00581DBD"/>
    <w:rsid w:val="00581DD6"/>
    <w:rsid w:val="00581E56"/>
    <w:rsid w:val="00581EAE"/>
    <w:rsid w:val="00581EDF"/>
    <w:rsid w:val="00581FD9"/>
    <w:rsid w:val="0058204D"/>
    <w:rsid w:val="00582092"/>
    <w:rsid w:val="005820C7"/>
    <w:rsid w:val="0058210A"/>
    <w:rsid w:val="005821D4"/>
    <w:rsid w:val="005821E4"/>
    <w:rsid w:val="005822A5"/>
    <w:rsid w:val="00582342"/>
    <w:rsid w:val="005824E1"/>
    <w:rsid w:val="005825AB"/>
    <w:rsid w:val="005826A8"/>
    <w:rsid w:val="005826F4"/>
    <w:rsid w:val="00582720"/>
    <w:rsid w:val="0058276D"/>
    <w:rsid w:val="00582A1C"/>
    <w:rsid w:val="00582A81"/>
    <w:rsid w:val="00582AAC"/>
    <w:rsid w:val="00582BC0"/>
    <w:rsid w:val="00582C76"/>
    <w:rsid w:val="00582CC8"/>
    <w:rsid w:val="00582ED4"/>
    <w:rsid w:val="0058302C"/>
    <w:rsid w:val="00583088"/>
    <w:rsid w:val="005830E3"/>
    <w:rsid w:val="005831B1"/>
    <w:rsid w:val="00583245"/>
    <w:rsid w:val="0058338F"/>
    <w:rsid w:val="005833AA"/>
    <w:rsid w:val="005833DE"/>
    <w:rsid w:val="005834A7"/>
    <w:rsid w:val="005834FC"/>
    <w:rsid w:val="00583546"/>
    <w:rsid w:val="005835D9"/>
    <w:rsid w:val="00583689"/>
    <w:rsid w:val="005836C6"/>
    <w:rsid w:val="00583759"/>
    <w:rsid w:val="005837A1"/>
    <w:rsid w:val="005837B7"/>
    <w:rsid w:val="005839B7"/>
    <w:rsid w:val="00583D11"/>
    <w:rsid w:val="00583E39"/>
    <w:rsid w:val="00583FE9"/>
    <w:rsid w:val="00584005"/>
    <w:rsid w:val="0058409F"/>
    <w:rsid w:val="00584218"/>
    <w:rsid w:val="00584246"/>
    <w:rsid w:val="00584266"/>
    <w:rsid w:val="0058438E"/>
    <w:rsid w:val="005843D0"/>
    <w:rsid w:val="005844D5"/>
    <w:rsid w:val="00584584"/>
    <w:rsid w:val="005847D2"/>
    <w:rsid w:val="005848B7"/>
    <w:rsid w:val="005849CD"/>
    <w:rsid w:val="005849E1"/>
    <w:rsid w:val="00584A19"/>
    <w:rsid w:val="00584DB1"/>
    <w:rsid w:val="00584EB7"/>
    <w:rsid w:val="00584FB1"/>
    <w:rsid w:val="00585085"/>
    <w:rsid w:val="005852A9"/>
    <w:rsid w:val="0058530B"/>
    <w:rsid w:val="00585318"/>
    <w:rsid w:val="00585363"/>
    <w:rsid w:val="005855C1"/>
    <w:rsid w:val="00585694"/>
    <w:rsid w:val="0058584E"/>
    <w:rsid w:val="0058590A"/>
    <w:rsid w:val="00585A05"/>
    <w:rsid w:val="00585AEC"/>
    <w:rsid w:val="00585B2A"/>
    <w:rsid w:val="00585BC3"/>
    <w:rsid w:val="00585BEC"/>
    <w:rsid w:val="00585D26"/>
    <w:rsid w:val="00585E08"/>
    <w:rsid w:val="00585EEC"/>
    <w:rsid w:val="00585F1F"/>
    <w:rsid w:val="00585F43"/>
    <w:rsid w:val="005860C4"/>
    <w:rsid w:val="005861B0"/>
    <w:rsid w:val="005861BB"/>
    <w:rsid w:val="005861C5"/>
    <w:rsid w:val="005864F9"/>
    <w:rsid w:val="0058654D"/>
    <w:rsid w:val="0058657B"/>
    <w:rsid w:val="005865E9"/>
    <w:rsid w:val="00586606"/>
    <w:rsid w:val="005866DF"/>
    <w:rsid w:val="0058678D"/>
    <w:rsid w:val="005867EF"/>
    <w:rsid w:val="0058681E"/>
    <w:rsid w:val="005869EE"/>
    <w:rsid w:val="00586C82"/>
    <w:rsid w:val="00586CFB"/>
    <w:rsid w:val="00586D24"/>
    <w:rsid w:val="00586ECC"/>
    <w:rsid w:val="00586F02"/>
    <w:rsid w:val="00586F08"/>
    <w:rsid w:val="00586FF5"/>
    <w:rsid w:val="00587083"/>
    <w:rsid w:val="0058717F"/>
    <w:rsid w:val="00587392"/>
    <w:rsid w:val="0058741D"/>
    <w:rsid w:val="005875B9"/>
    <w:rsid w:val="00587834"/>
    <w:rsid w:val="005878EC"/>
    <w:rsid w:val="00587A9A"/>
    <w:rsid w:val="00587AFD"/>
    <w:rsid w:val="00587B19"/>
    <w:rsid w:val="00587C40"/>
    <w:rsid w:val="00587D6E"/>
    <w:rsid w:val="00590053"/>
    <w:rsid w:val="00590086"/>
    <w:rsid w:val="005900B2"/>
    <w:rsid w:val="005900FA"/>
    <w:rsid w:val="00590151"/>
    <w:rsid w:val="00590188"/>
    <w:rsid w:val="005901A1"/>
    <w:rsid w:val="005901D1"/>
    <w:rsid w:val="00590271"/>
    <w:rsid w:val="00590297"/>
    <w:rsid w:val="0059037B"/>
    <w:rsid w:val="005903BE"/>
    <w:rsid w:val="005903D7"/>
    <w:rsid w:val="00590519"/>
    <w:rsid w:val="005905BB"/>
    <w:rsid w:val="005906FE"/>
    <w:rsid w:val="00590794"/>
    <w:rsid w:val="005907E1"/>
    <w:rsid w:val="005907EE"/>
    <w:rsid w:val="005908C7"/>
    <w:rsid w:val="00590935"/>
    <w:rsid w:val="005909BD"/>
    <w:rsid w:val="00590AB4"/>
    <w:rsid w:val="00590B60"/>
    <w:rsid w:val="00590C11"/>
    <w:rsid w:val="00590CB7"/>
    <w:rsid w:val="00590E99"/>
    <w:rsid w:val="00590FC6"/>
    <w:rsid w:val="00591056"/>
    <w:rsid w:val="00591079"/>
    <w:rsid w:val="00591105"/>
    <w:rsid w:val="00591197"/>
    <w:rsid w:val="0059123D"/>
    <w:rsid w:val="00591342"/>
    <w:rsid w:val="0059135B"/>
    <w:rsid w:val="0059150A"/>
    <w:rsid w:val="00591593"/>
    <w:rsid w:val="0059173F"/>
    <w:rsid w:val="0059179D"/>
    <w:rsid w:val="005917C9"/>
    <w:rsid w:val="005918A1"/>
    <w:rsid w:val="0059198C"/>
    <w:rsid w:val="005919A9"/>
    <w:rsid w:val="00591B14"/>
    <w:rsid w:val="00591B5D"/>
    <w:rsid w:val="00591BFA"/>
    <w:rsid w:val="00591C7D"/>
    <w:rsid w:val="00591D51"/>
    <w:rsid w:val="00591D59"/>
    <w:rsid w:val="00591F3A"/>
    <w:rsid w:val="00591F4D"/>
    <w:rsid w:val="00591F64"/>
    <w:rsid w:val="00591F70"/>
    <w:rsid w:val="00592027"/>
    <w:rsid w:val="005920B3"/>
    <w:rsid w:val="005920B6"/>
    <w:rsid w:val="0059222A"/>
    <w:rsid w:val="0059228A"/>
    <w:rsid w:val="005922A4"/>
    <w:rsid w:val="005922E6"/>
    <w:rsid w:val="0059230D"/>
    <w:rsid w:val="00592405"/>
    <w:rsid w:val="00592471"/>
    <w:rsid w:val="005925CF"/>
    <w:rsid w:val="005929AB"/>
    <w:rsid w:val="00592A5D"/>
    <w:rsid w:val="00592B33"/>
    <w:rsid w:val="00592B49"/>
    <w:rsid w:val="00592BB8"/>
    <w:rsid w:val="00592D05"/>
    <w:rsid w:val="00592D4E"/>
    <w:rsid w:val="00592D55"/>
    <w:rsid w:val="00592D8A"/>
    <w:rsid w:val="00592FC4"/>
    <w:rsid w:val="00592FC9"/>
    <w:rsid w:val="00592FEF"/>
    <w:rsid w:val="00593002"/>
    <w:rsid w:val="00593176"/>
    <w:rsid w:val="005931EA"/>
    <w:rsid w:val="0059327E"/>
    <w:rsid w:val="00593604"/>
    <w:rsid w:val="00593766"/>
    <w:rsid w:val="005938A1"/>
    <w:rsid w:val="005938AF"/>
    <w:rsid w:val="00593913"/>
    <w:rsid w:val="005939A9"/>
    <w:rsid w:val="005939E8"/>
    <w:rsid w:val="00593AAE"/>
    <w:rsid w:val="00593E78"/>
    <w:rsid w:val="0059407E"/>
    <w:rsid w:val="00594085"/>
    <w:rsid w:val="005941E7"/>
    <w:rsid w:val="0059425E"/>
    <w:rsid w:val="00594353"/>
    <w:rsid w:val="00594409"/>
    <w:rsid w:val="005944D5"/>
    <w:rsid w:val="005944EA"/>
    <w:rsid w:val="005946C3"/>
    <w:rsid w:val="00594715"/>
    <w:rsid w:val="0059479F"/>
    <w:rsid w:val="005948BF"/>
    <w:rsid w:val="005949C8"/>
    <w:rsid w:val="005949E1"/>
    <w:rsid w:val="00594A34"/>
    <w:rsid w:val="00594C30"/>
    <w:rsid w:val="00594CAA"/>
    <w:rsid w:val="00594D59"/>
    <w:rsid w:val="00594D9A"/>
    <w:rsid w:val="00594F12"/>
    <w:rsid w:val="00594F1B"/>
    <w:rsid w:val="00594F27"/>
    <w:rsid w:val="00594FDF"/>
    <w:rsid w:val="00595043"/>
    <w:rsid w:val="0059507F"/>
    <w:rsid w:val="005951C5"/>
    <w:rsid w:val="00595223"/>
    <w:rsid w:val="005954BA"/>
    <w:rsid w:val="00595802"/>
    <w:rsid w:val="00595862"/>
    <w:rsid w:val="00595879"/>
    <w:rsid w:val="00595923"/>
    <w:rsid w:val="00595A15"/>
    <w:rsid w:val="00595A4D"/>
    <w:rsid w:val="00595B20"/>
    <w:rsid w:val="00595B6A"/>
    <w:rsid w:val="00595B9A"/>
    <w:rsid w:val="00595BD6"/>
    <w:rsid w:val="00595C2A"/>
    <w:rsid w:val="00595C5C"/>
    <w:rsid w:val="00595D02"/>
    <w:rsid w:val="00595D12"/>
    <w:rsid w:val="00595E12"/>
    <w:rsid w:val="0059600B"/>
    <w:rsid w:val="005960C5"/>
    <w:rsid w:val="00596104"/>
    <w:rsid w:val="0059611D"/>
    <w:rsid w:val="00596237"/>
    <w:rsid w:val="005963C6"/>
    <w:rsid w:val="00596408"/>
    <w:rsid w:val="0059642D"/>
    <w:rsid w:val="00596658"/>
    <w:rsid w:val="0059665F"/>
    <w:rsid w:val="0059679A"/>
    <w:rsid w:val="00596A5C"/>
    <w:rsid w:val="00596AA2"/>
    <w:rsid w:val="00596AEF"/>
    <w:rsid w:val="00596BCC"/>
    <w:rsid w:val="00596C92"/>
    <w:rsid w:val="00596D19"/>
    <w:rsid w:val="00596D3F"/>
    <w:rsid w:val="00596E24"/>
    <w:rsid w:val="00596EFA"/>
    <w:rsid w:val="005970C2"/>
    <w:rsid w:val="005970F4"/>
    <w:rsid w:val="0059711E"/>
    <w:rsid w:val="005971E2"/>
    <w:rsid w:val="00597234"/>
    <w:rsid w:val="00597345"/>
    <w:rsid w:val="00597533"/>
    <w:rsid w:val="00597540"/>
    <w:rsid w:val="005975A1"/>
    <w:rsid w:val="005977EC"/>
    <w:rsid w:val="0059782A"/>
    <w:rsid w:val="005978FF"/>
    <w:rsid w:val="00597AE2"/>
    <w:rsid w:val="00597C6E"/>
    <w:rsid w:val="00597CB8"/>
    <w:rsid w:val="00597CE0"/>
    <w:rsid w:val="00597DE7"/>
    <w:rsid w:val="00597E60"/>
    <w:rsid w:val="00597FE0"/>
    <w:rsid w:val="00597FEE"/>
    <w:rsid w:val="005A017C"/>
    <w:rsid w:val="005A018A"/>
    <w:rsid w:val="005A01C1"/>
    <w:rsid w:val="005A035F"/>
    <w:rsid w:val="005A041D"/>
    <w:rsid w:val="005A0431"/>
    <w:rsid w:val="005A052D"/>
    <w:rsid w:val="005A05B0"/>
    <w:rsid w:val="005A0701"/>
    <w:rsid w:val="005A089B"/>
    <w:rsid w:val="005A08B4"/>
    <w:rsid w:val="005A0C2F"/>
    <w:rsid w:val="005A0C68"/>
    <w:rsid w:val="005A0DDB"/>
    <w:rsid w:val="005A10B5"/>
    <w:rsid w:val="005A11C6"/>
    <w:rsid w:val="005A127A"/>
    <w:rsid w:val="005A131E"/>
    <w:rsid w:val="005A1387"/>
    <w:rsid w:val="005A1442"/>
    <w:rsid w:val="005A1501"/>
    <w:rsid w:val="005A1586"/>
    <w:rsid w:val="005A173D"/>
    <w:rsid w:val="005A17B9"/>
    <w:rsid w:val="005A17D4"/>
    <w:rsid w:val="005A18CD"/>
    <w:rsid w:val="005A19C1"/>
    <w:rsid w:val="005A1AFE"/>
    <w:rsid w:val="005A1C0C"/>
    <w:rsid w:val="005A1CB8"/>
    <w:rsid w:val="005A1CBB"/>
    <w:rsid w:val="005A1E4C"/>
    <w:rsid w:val="005A1F55"/>
    <w:rsid w:val="005A1F9D"/>
    <w:rsid w:val="005A1FB7"/>
    <w:rsid w:val="005A1FE2"/>
    <w:rsid w:val="005A20AB"/>
    <w:rsid w:val="005A20F9"/>
    <w:rsid w:val="005A224F"/>
    <w:rsid w:val="005A22AB"/>
    <w:rsid w:val="005A2315"/>
    <w:rsid w:val="005A2389"/>
    <w:rsid w:val="005A23BB"/>
    <w:rsid w:val="005A2406"/>
    <w:rsid w:val="005A240E"/>
    <w:rsid w:val="005A24A0"/>
    <w:rsid w:val="005A2518"/>
    <w:rsid w:val="005A2897"/>
    <w:rsid w:val="005A297F"/>
    <w:rsid w:val="005A2A8A"/>
    <w:rsid w:val="005A2CE4"/>
    <w:rsid w:val="005A2D1D"/>
    <w:rsid w:val="005A2DE2"/>
    <w:rsid w:val="005A2EBB"/>
    <w:rsid w:val="005A3011"/>
    <w:rsid w:val="005A3162"/>
    <w:rsid w:val="005A32CE"/>
    <w:rsid w:val="005A334C"/>
    <w:rsid w:val="005A3432"/>
    <w:rsid w:val="005A34F8"/>
    <w:rsid w:val="005A3701"/>
    <w:rsid w:val="005A37F8"/>
    <w:rsid w:val="005A382A"/>
    <w:rsid w:val="005A3882"/>
    <w:rsid w:val="005A3ACD"/>
    <w:rsid w:val="005A3D0C"/>
    <w:rsid w:val="005A3F68"/>
    <w:rsid w:val="005A409A"/>
    <w:rsid w:val="005A41D1"/>
    <w:rsid w:val="005A4290"/>
    <w:rsid w:val="005A4461"/>
    <w:rsid w:val="005A44AB"/>
    <w:rsid w:val="005A45B8"/>
    <w:rsid w:val="005A4608"/>
    <w:rsid w:val="005A4634"/>
    <w:rsid w:val="005A46AB"/>
    <w:rsid w:val="005A46D1"/>
    <w:rsid w:val="005A477F"/>
    <w:rsid w:val="005A47B3"/>
    <w:rsid w:val="005A47C4"/>
    <w:rsid w:val="005A48E8"/>
    <w:rsid w:val="005A492A"/>
    <w:rsid w:val="005A49DA"/>
    <w:rsid w:val="005A49FF"/>
    <w:rsid w:val="005A4B5A"/>
    <w:rsid w:val="005A4BB2"/>
    <w:rsid w:val="005A4BE1"/>
    <w:rsid w:val="005A4CB2"/>
    <w:rsid w:val="005A4D4C"/>
    <w:rsid w:val="005A4DD8"/>
    <w:rsid w:val="005A4E3D"/>
    <w:rsid w:val="005A4F2E"/>
    <w:rsid w:val="005A4F34"/>
    <w:rsid w:val="005A4F70"/>
    <w:rsid w:val="005A4F7C"/>
    <w:rsid w:val="005A4F7E"/>
    <w:rsid w:val="005A501D"/>
    <w:rsid w:val="005A503A"/>
    <w:rsid w:val="005A5195"/>
    <w:rsid w:val="005A51BF"/>
    <w:rsid w:val="005A52DA"/>
    <w:rsid w:val="005A52E2"/>
    <w:rsid w:val="005A5321"/>
    <w:rsid w:val="005A5385"/>
    <w:rsid w:val="005A5459"/>
    <w:rsid w:val="005A555B"/>
    <w:rsid w:val="005A5615"/>
    <w:rsid w:val="005A5715"/>
    <w:rsid w:val="005A5869"/>
    <w:rsid w:val="005A5901"/>
    <w:rsid w:val="005A5947"/>
    <w:rsid w:val="005A5A0A"/>
    <w:rsid w:val="005A5ABE"/>
    <w:rsid w:val="005A5B19"/>
    <w:rsid w:val="005A5CD0"/>
    <w:rsid w:val="005A5ECD"/>
    <w:rsid w:val="005A5FFA"/>
    <w:rsid w:val="005A6139"/>
    <w:rsid w:val="005A6147"/>
    <w:rsid w:val="005A614F"/>
    <w:rsid w:val="005A620F"/>
    <w:rsid w:val="005A6274"/>
    <w:rsid w:val="005A63A5"/>
    <w:rsid w:val="005A6401"/>
    <w:rsid w:val="005A6402"/>
    <w:rsid w:val="005A6497"/>
    <w:rsid w:val="005A66A8"/>
    <w:rsid w:val="005A66B1"/>
    <w:rsid w:val="005A670B"/>
    <w:rsid w:val="005A683F"/>
    <w:rsid w:val="005A68AE"/>
    <w:rsid w:val="005A6963"/>
    <w:rsid w:val="005A6AEF"/>
    <w:rsid w:val="005A6B1C"/>
    <w:rsid w:val="005A6BBA"/>
    <w:rsid w:val="005A6CDB"/>
    <w:rsid w:val="005A6D77"/>
    <w:rsid w:val="005A6D7C"/>
    <w:rsid w:val="005A6DEA"/>
    <w:rsid w:val="005A6E16"/>
    <w:rsid w:val="005A6EBD"/>
    <w:rsid w:val="005A7117"/>
    <w:rsid w:val="005A7179"/>
    <w:rsid w:val="005A71E9"/>
    <w:rsid w:val="005A720C"/>
    <w:rsid w:val="005A7486"/>
    <w:rsid w:val="005A7593"/>
    <w:rsid w:val="005A75D8"/>
    <w:rsid w:val="005A76C9"/>
    <w:rsid w:val="005A76CD"/>
    <w:rsid w:val="005A777C"/>
    <w:rsid w:val="005A77B7"/>
    <w:rsid w:val="005A78D5"/>
    <w:rsid w:val="005A794B"/>
    <w:rsid w:val="005A7955"/>
    <w:rsid w:val="005A7979"/>
    <w:rsid w:val="005A7AC8"/>
    <w:rsid w:val="005A7B22"/>
    <w:rsid w:val="005A7B67"/>
    <w:rsid w:val="005A7B8A"/>
    <w:rsid w:val="005A7B9C"/>
    <w:rsid w:val="005A7D35"/>
    <w:rsid w:val="005A7E63"/>
    <w:rsid w:val="005A7EB2"/>
    <w:rsid w:val="005B01A0"/>
    <w:rsid w:val="005B01D2"/>
    <w:rsid w:val="005B0204"/>
    <w:rsid w:val="005B0211"/>
    <w:rsid w:val="005B0392"/>
    <w:rsid w:val="005B043E"/>
    <w:rsid w:val="005B0531"/>
    <w:rsid w:val="005B0664"/>
    <w:rsid w:val="005B075C"/>
    <w:rsid w:val="005B078D"/>
    <w:rsid w:val="005B0A64"/>
    <w:rsid w:val="005B0AFC"/>
    <w:rsid w:val="005B0B2D"/>
    <w:rsid w:val="005B0D0D"/>
    <w:rsid w:val="005B0E2F"/>
    <w:rsid w:val="005B0ED0"/>
    <w:rsid w:val="005B104E"/>
    <w:rsid w:val="005B10A3"/>
    <w:rsid w:val="005B1288"/>
    <w:rsid w:val="005B12AF"/>
    <w:rsid w:val="005B1321"/>
    <w:rsid w:val="005B1458"/>
    <w:rsid w:val="005B14DA"/>
    <w:rsid w:val="005B15F6"/>
    <w:rsid w:val="005B17B0"/>
    <w:rsid w:val="005B1A2E"/>
    <w:rsid w:val="005B1AA8"/>
    <w:rsid w:val="005B1BDD"/>
    <w:rsid w:val="005B1C4A"/>
    <w:rsid w:val="005B1C96"/>
    <w:rsid w:val="005B1CA2"/>
    <w:rsid w:val="005B1CEF"/>
    <w:rsid w:val="005B1D14"/>
    <w:rsid w:val="005B1D79"/>
    <w:rsid w:val="005B1D98"/>
    <w:rsid w:val="005B1DE7"/>
    <w:rsid w:val="005B21C4"/>
    <w:rsid w:val="005B21CC"/>
    <w:rsid w:val="005B224E"/>
    <w:rsid w:val="005B2472"/>
    <w:rsid w:val="005B252A"/>
    <w:rsid w:val="005B252B"/>
    <w:rsid w:val="005B25D2"/>
    <w:rsid w:val="005B2815"/>
    <w:rsid w:val="005B29B7"/>
    <w:rsid w:val="005B2B02"/>
    <w:rsid w:val="005B2B47"/>
    <w:rsid w:val="005B2DB7"/>
    <w:rsid w:val="005B2ED4"/>
    <w:rsid w:val="005B2F12"/>
    <w:rsid w:val="005B2F26"/>
    <w:rsid w:val="005B2F43"/>
    <w:rsid w:val="005B30CD"/>
    <w:rsid w:val="005B30ED"/>
    <w:rsid w:val="005B3152"/>
    <w:rsid w:val="005B31C2"/>
    <w:rsid w:val="005B31C3"/>
    <w:rsid w:val="005B31F9"/>
    <w:rsid w:val="005B328F"/>
    <w:rsid w:val="005B32B9"/>
    <w:rsid w:val="005B33C1"/>
    <w:rsid w:val="005B3545"/>
    <w:rsid w:val="005B35D6"/>
    <w:rsid w:val="005B360D"/>
    <w:rsid w:val="005B3619"/>
    <w:rsid w:val="005B370A"/>
    <w:rsid w:val="005B3721"/>
    <w:rsid w:val="005B3942"/>
    <w:rsid w:val="005B397E"/>
    <w:rsid w:val="005B39A3"/>
    <w:rsid w:val="005B3AD7"/>
    <w:rsid w:val="005B3AF5"/>
    <w:rsid w:val="005B3C20"/>
    <w:rsid w:val="005B3C49"/>
    <w:rsid w:val="005B3C70"/>
    <w:rsid w:val="005B3CC0"/>
    <w:rsid w:val="005B3CE5"/>
    <w:rsid w:val="005B3DCE"/>
    <w:rsid w:val="005B3E48"/>
    <w:rsid w:val="005B3E50"/>
    <w:rsid w:val="005B3E5A"/>
    <w:rsid w:val="005B3F43"/>
    <w:rsid w:val="005B403E"/>
    <w:rsid w:val="005B406A"/>
    <w:rsid w:val="005B4078"/>
    <w:rsid w:val="005B4114"/>
    <w:rsid w:val="005B41B2"/>
    <w:rsid w:val="005B424F"/>
    <w:rsid w:val="005B4251"/>
    <w:rsid w:val="005B4253"/>
    <w:rsid w:val="005B425A"/>
    <w:rsid w:val="005B42E3"/>
    <w:rsid w:val="005B4348"/>
    <w:rsid w:val="005B440E"/>
    <w:rsid w:val="005B456A"/>
    <w:rsid w:val="005B45B3"/>
    <w:rsid w:val="005B46DF"/>
    <w:rsid w:val="005B488C"/>
    <w:rsid w:val="005B48B0"/>
    <w:rsid w:val="005B4AEA"/>
    <w:rsid w:val="005B4B25"/>
    <w:rsid w:val="005B4B53"/>
    <w:rsid w:val="005B4BD5"/>
    <w:rsid w:val="005B4C7C"/>
    <w:rsid w:val="005B4CAB"/>
    <w:rsid w:val="005B4D1B"/>
    <w:rsid w:val="005B4D6D"/>
    <w:rsid w:val="005B4DD0"/>
    <w:rsid w:val="005B4E25"/>
    <w:rsid w:val="005B4E7C"/>
    <w:rsid w:val="005B4F2B"/>
    <w:rsid w:val="005B5058"/>
    <w:rsid w:val="005B5077"/>
    <w:rsid w:val="005B5098"/>
    <w:rsid w:val="005B5160"/>
    <w:rsid w:val="005B52D9"/>
    <w:rsid w:val="005B5347"/>
    <w:rsid w:val="005B535F"/>
    <w:rsid w:val="005B5456"/>
    <w:rsid w:val="005B5683"/>
    <w:rsid w:val="005B5760"/>
    <w:rsid w:val="005B589C"/>
    <w:rsid w:val="005B594C"/>
    <w:rsid w:val="005B5A84"/>
    <w:rsid w:val="005B5BAB"/>
    <w:rsid w:val="005B5BFC"/>
    <w:rsid w:val="005B5C0A"/>
    <w:rsid w:val="005B5C50"/>
    <w:rsid w:val="005B5DAD"/>
    <w:rsid w:val="005B5DC8"/>
    <w:rsid w:val="005B5DD1"/>
    <w:rsid w:val="005B5F9A"/>
    <w:rsid w:val="005B60A8"/>
    <w:rsid w:val="005B62F8"/>
    <w:rsid w:val="005B6343"/>
    <w:rsid w:val="005B6380"/>
    <w:rsid w:val="005B6531"/>
    <w:rsid w:val="005B65EA"/>
    <w:rsid w:val="005B662B"/>
    <w:rsid w:val="005B66A5"/>
    <w:rsid w:val="005B6920"/>
    <w:rsid w:val="005B69BE"/>
    <w:rsid w:val="005B69D7"/>
    <w:rsid w:val="005B69ED"/>
    <w:rsid w:val="005B6A56"/>
    <w:rsid w:val="005B6C59"/>
    <w:rsid w:val="005B6C70"/>
    <w:rsid w:val="005B6D4C"/>
    <w:rsid w:val="005B6D59"/>
    <w:rsid w:val="005B6F74"/>
    <w:rsid w:val="005B6FDE"/>
    <w:rsid w:val="005B718E"/>
    <w:rsid w:val="005B7203"/>
    <w:rsid w:val="005B72CD"/>
    <w:rsid w:val="005B7471"/>
    <w:rsid w:val="005B748D"/>
    <w:rsid w:val="005B74A6"/>
    <w:rsid w:val="005B74D0"/>
    <w:rsid w:val="005B7510"/>
    <w:rsid w:val="005B7578"/>
    <w:rsid w:val="005B75C0"/>
    <w:rsid w:val="005B7707"/>
    <w:rsid w:val="005B7758"/>
    <w:rsid w:val="005B7861"/>
    <w:rsid w:val="005B78AD"/>
    <w:rsid w:val="005B79DA"/>
    <w:rsid w:val="005B7CEF"/>
    <w:rsid w:val="005B7DA0"/>
    <w:rsid w:val="005B7F81"/>
    <w:rsid w:val="005C0128"/>
    <w:rsid w:val="005C025E"/>
    <w:rsid w:val="005C0298"/>
    <w:rsid w:val="005C02BC"/>
    <w:rsid w:val="005C0408"/>
    <w:rsid w:val="005C041F"/>
    <w:rsid w:val="005C0445"/>
    <w:rsid w:val="005C049B"/>
    <w:rsid w:val="005C0637"/>
    <w:rsid w:val="005C083B"/>
    <w:rsid w:val="005C08E5"/>
    <w:rsid w:val="005C0913"/>
    <w:rsid w:val="005C0970"/>
    <w:rsid w:val="005C0A84"/>
    <w:rsid w:val="005C0CE2"/>
    <w:rsid w:val="005C0CE9"/>
    <w:rsid w:val="005C0D57"/>
    <w:rsid w:val="005C0E00"/>
    <w:rsid w:val="005C0E1D"/>
    <w:rsid w:val="005C0EC9"/>
    <w:rsid w:val="005C0FF0"/>
    <w:rsid w:val="005C10BC"/>
    <w:rsid w:val="005C10E1"/>
    <w:rsid w:val="005C1331"/>
    <w:rsid w:val="005C1399"/>
    <w:rsid w:val="005C16B2"/>
    <w:rsid w:val="005C175A"/>
    <w:rsid w:val="005C192A"/>
    <w:rsid w:val="005C1B56"/>
    <w:rsid w:val="005C1B97"/>
    <w:rsid w:val="005C1E68"/>
    <w:rsid w:val="005C1F0D"/>
    <w:rsid w:val="005C1F3C"/>
    <w:rsid w:val="005C1F5A"/>
    <w:rsid w:val="005C1FE3"/>
    <w:rsid w:val="005C23F0"/>
    <w:rsid w:val="005C241C"/>
    <w:rsid w:val="005C2779"/>
    <w:rsid w:val="005C27C4"/>
    <w:rsid w:val="005C2919"/>
    <w:rsid w:val="005C29D5"/>
    <w:rsid w:val="005C2A1F"/>
    <w:rsid w:val="005C2B27"/>
    <w:rsid w:val="005C2B84"/>
    <w:rsid w:val="005C2BE7"/>
    <w:rsid w:val="005C2E7C"/>
    <w:rsid w:val="005C2F0C"/>
    <w:rsid w:val="005C309A"/>
    <w:rsid w:val="005C3126"/>
    <w:rsid w:val="005C316D"/>
    <w:rsid w:val="005C320F"/>
    <w:rsid w:val="005C3240"/>
    <w:rsid w:val="005C329C"/>
    <w:rsid w:val="005C3318"/>
    <w:rsid w:val="005C33B2"/>
    <w:rsid w:val="005C34DA"/>
    <w:rsid w:val="005C352D"/>
    <w:rsid w:val="005C3669"/>
    <w:rsid w:val="005C367B"/>
    <w:rsid w:val="005C3717"/>
    <w:rsid w:val="005C373E"/>
    <w:rsid w:val="005C3874"/>
    <w:rsid w:val="005C3975"/>
    <w:rsid w:val="005C3B1A"/>
    <w:rsid w:val="005C3B24"/>
    <w:rsid w:val="005C3BE9"/>
    <w:rsid w:val="005C3BF3"/>
    <w:rsid w:val="005C3D19"/>
    <w:rsid w:val="005C3D61"/>
    <w:rsid w:val="005C3DF8"/>
    <w:rsid w:val="005C3FDF"/>
    <w:rsid w:val="005C400E"/>
    <w:rsid w:val="005C415D"/>
    <w:rsid w:val="005C4277"/>
    <w:rsid w:val="005C4402"/>
    <w:rsid w:val="005C4539"/>
    <w:rsid w:val="005C45C9"/>
    <w:rsid w:val="005C463E"/>
    <w:rsid w:val="005C4786"/>
    <w:rsid w:val="005C478B"/>
    <w:rsid w:val="005C47A5"/>
    <w:rsid w:val="005C48B2"/>
    <w:rsid w:val="005C48D4"/>
    <w:rsid w:val="005C4A4E"/>
    <w:rsid w:val="005C4AB0"/>
    <w:rsid w:val="005C4B1A"/>
    <w:rsid w:val="005C4BFB"/>
    <w:rsid w:val="005C4C15"/>
    <w:rsid w:val="005C4DC2"/>
    <w:rsid w:val="005C4DD2"/>
    <w:rsid w:val="005C4DF8"/>
    <w:rsid w:val="005C4F73"/>
    <w:rsid w:val="005C4FA5"/>
    <w:rsid w:val="005C5025"/>
    <w:rsid w:val="005C50B9"/>
    <w:rsid w:val="005C518C"/>
    <w:rsid w:val="005C5220"/>
    <w:rsid w:val="005C5312"/>
    <w:rsid w:val="005C5314"/>
    <w:rsid w:val="005C54C7"/>
    <w:rsid w:val="005C57F5"/>
    <w:rsid w:val="005C5910"/>
    <w:rsid w:val="005C5979"/>
    <w:rsid w:val="005C5A58"/>
    <w:rsid w:val="005C5A90"/>
    <w:rsid w:val="005C5AF0"/>
    <w:rsid w:val="005C5B6A"/>
    <w:rsid w:val="005C5BAA"/>
    <w:rsid w:val="005C5BB5"/>
    <w:rsid w:val="005C5C5A"/>
    <w:rsid w:val="005C5C94"/>
    <w:rsid w:val="005C5CB0"/>
    <w:rsid w:val="005C5D67"/>
    <w:rsid w:val="005C5DB2"/>
    <w:rsid w:val="005C5E13"/>
    <w:rsid w:val="005C5E63"/>
    <w:rsid w:val="005C5EC7"/>
    <w:rsid w:val="005C5EE0"/>
    <w:rsid w:val="005C5EFA"/>
    <w:rsid w:val="005C5F68"/>
    <w:rsid w:val="005C5F6C"/>
    <w:rsid w:val="005C5FCB"/>
    <w:rsid w:val="005C5FFE"/>
    <w:rsid w:val="005C601F"/>
    <w:rsid w:val="005C60B0"/>
    <w:rsid w:val="005C6235"/>
    <w:rsid w:val="005C69FA"/>
    <w:rsid w:val="005C6AAC"/>
    <w:rsid w:val="005C6BFA"/>
    <w:rsid w:val="005C6D70"/>
    <w:rsid w:val="005C6E43"/>
    <w:rsid w:val="005C6F03"/>
    <w:rsid w:val="005C6F44"/>
    <w:rsid w:val="005C715B"/>
    <w:rsid w:val="005C716E"/>
    <w:rsid w:val="005C7287"/>
    <w:rsid w:val="005C739A"/>
    <w:rsid w:val="005C73AD"/>
    <w:rsid w:val="005C7674"/>
    <w:rsid w:val="005C773E"/>
    <w:rsid w:val="005C7839"/>
    <w:rsid w:val="005C785E"/>
    <w:rsid w:val="005C79ED"/>
    <w:rsid w:val="005C7AC0"/>
    <w:rsid w:val="005C7C60"/>
    <w:rsid w:val="005C7D07"/>
    <w:rsid w:val="005C7DDA"/>
    <w:rsid w:val="005C7EAB"/>
    <w:rsid w:val="005C7EF5"/>
    <w:rsid w:val="005D004E"/>
    <w:rsid w:val="005D040F"/>
    <w:rsid w:val="005D0420"/>
    <w:rsid w:val="005D044C"/>
    <w:rsid w:val="005D063E"/>
    <w:rsid w:val="005D06ED"/>
    <w:rsid w:val="005D077E"/>
    <w:rsid w:val="005D07D7"/>
    <w:rsid w:val="005D07E6"/>
    <w:rsid w:val="005D0805"/>
    <w:rsid w:val="005D080B"/>
    <w:rsid w:val="005D0919"/>
    <w:rsid w:val="005D0920"/>
    <w:rsid w:val="005D09A7"/>
    <w:rsid w:val="005D09E2"/>
    <w:rsid w:val="005D09EA"/>
    <w:rsid w:val="005D0A1A"/>
    <w:rsid w:val="005D0ACC"/>
    <w:rsid w:val="005D0AE4"/>
    <w:rsid w:val="005D0B90"/>
    <w:rsid w:val="005D0CD1"/>
    <w:rsid w:val="005D0D28"/>
    <w:rsid w:val="005D0E70"/>
    <w:rsid w:val="005D0EF0"/>
    <w:rsid w:val="005D1018"/>
    <w:rsid w:val="005D10EA"/>
    <w:rsid w:val="005D111E"/>
    <w:rsid w:val="005D1127"/>
    <w:rsid w:val="005D11F1"/>
    <w:rsid w:val="005D125B"/>
    <w:rsid w:val="005D1316"/>
    <w:rsid w:val="005D1453"/>
    <w:rsid w:val="005D1711"/>
    <w:rsid w:val="005D1888"/>
    <w:rsid w:val="005D18C6"/>
    <w:rsid w:val="005D199E"/>
    <w:rsid w:val="005D1A28"/>
    <w:rsid w:val="005D1AD7"/>
    <w:rsid w:val="005D1C3B"/>
    <w:rsid w:val="005D1C69"/>
    <w:rsid w:val="005D1C8E"/>
    <w:rsid w:val="005D1C9C"/>
    <w:rsid w:val="005D1DB7"/>
    <w:rsid w:val="005D1F10"/>
    <w:rsid w:val="005D1F3A"/>
    <w:rsid w:val="005D2025"/>
    <w:rsid w:val="005D2137"/>
    <w:rsid w:val="005D23A4"/>
    <w:rsid w:val="005D23AA"/>
    <w:rsid w:val="005D240B"/>
    <w:rsid w:val="005D24C3"/>
    <w:rsid w:val="005D24EA"/>
    <w:rsid w:val="005D2576"/>
    <w:rsid w:val="005D258E"/>
    <w:rsid w:val="005D2711"/>
    <w:rsid w:val="005D273F"/>
    <w:rsid w:val="005D2855"/>
    <w:rsid w:val="005D2981"/>
    <w:rsid w:val="005D29D4"/>
    <w:rsid w:val="005D2A37"/>
    <w:rsid w:val="005D2A43"/>
    <w:rsid w:val="005D2B66"/>
    <w:rsid w:val="005D2B7A"/>
    <w:rsid w:val="005D2B9D"/>
    <w:rsid w:val="005D2C0F"/>
    <w:rsid w:val="005D2D61"/>
    <w:rsid w:val="005D2D68"/>
    <w:rsid w:val="005D2D95"/>
    <w:rsid w:val="005D2EF5"/>
    <w:rsid w:val="005D2F0F"/>
    <w:rsid w:val="005D2F2E"/>
    <w:rsid w:val="005D300E"/>
    <w:rsid w:val="005D3016"/>
    <w:rsid w:val="005D3061"/>
    <w:rsid w:val="005D339E"/>
    <w:rsid w:val="005D33E8"/>
    <w:rsid w:val="005D3442"/>
    <w:rsid w:val="005D3444"/>
    <w:rsid w:val="005D344C"/>
    <w:rsid w:val="005D3592"/>
    <w:rsid w:val="005D3617"/>
    <w:rsid w:val="005D3666"/>
    <w:rsid w:val="005D36DE"/>
    <w:rsid w:val="005D36E2"/>
    <w:rsid w:val="005D3800"/>
    <w:rsid w:val="005D3876"/>
    <w:rsid w:val="005D389E"/>
    <w:rsid w:val="005D38F9"/>
    <w:rsid w:val="005D3B95"/>
    <w:rsid w:val="005D3BBE"/>
    <w:rsid w:val="005D3BC1"/>
    <w:rsid w:val="005D3BC5"/>
    <w:rsid w:val="005D3C03"/>
    <w:rsid w:val="005D3C29"/>
    <w:rsid w:val="005D3D88"/>
    <w:rsid w:val="005D3E72"/>
    <w:rsid w:val="005D3E9E"/>
    <w:rsid w:val="005D3F01"/>
    <w:rsid w:val="005D41DE"/>
    <w:rsid w:val="005D421A"/>
    <w:rsid w:val="005D4256"/>
    <w:rsid w:val="005D42B0"/>
    <w:rsid w:val="005D4399"/>
    <w:rsid w:val="005D442B"/>
    <w:rsid w:val="005D4515"/>
    <w:rsid w:val="005D4516"/>
    <w:rsid w:val="005D47BD"/>
    <w:rsid w:val="005D47E3"/>
    <w:rsid w:val="005D482C"/>
    <w:rsid w:val="005D4947"/>
    <w:rsid w:val="005D4A2D"/>
    <w:rsid w:val="005D4A44"/>
    <w:rsid w:val="005D4AA9"/>
    <w:rsid w:val="005D4AAE"/>
    <w:rsid w:val="005D4B98"/>
    <w:rsid w:val="005D4C35"/>
    <w:rsid w:val="005D4D4B"/>
    <w:rsid w:val="005D4D7C"/>
    <w:rsid w:val="005D4DDC"/>
    <w:rsid w:val="005D4E78"/>
    <w:rsid w:val="005D4ECC"/>
    <w:rsid w:val="005D5052"/>
    <w:rsid w:val="005D5127"/>
    <w:rsid w:val="005D512C"/>
    <w:rsid w:val="005D516A"/>
    <w:rsid w:val="005D5249"/>
    <w:rsid w:val="005D5250"/>
    <w:rsid w:val="005D525C"/>
    <w:rsid w:val="005D5266"/>
    <w:rsid w:val="005D52DF"/>
    <w:rsid w:val="005D52FC"/>
    <w:rsid w:val="005D5374"/>
    <w:rsid w:val="005D5398"/>
    <w:rsid w:val="005D53F5"/>
    <w:rsid w:val="005D54C4"/>
    <w:rsid w:val="005D54F5"/>
    <w:rsid w:val="005D5596"/>
    <w:rsid w:val="005D55F1"/>
    <w:rsid w:val="005D5658"/>
    <w:rsid w:val="005D56DD"/>
    <w:rsid w:val="005D5711"/>
    <w:rsid w:val="005D5799"/>
    <w:rsid w:val="005D582E"/>
    <w:rsid w:val="005D587C"/>
    <w:rsid w:val="005D58CC"/>
    <w:rsid w:val="005D59B9"/>
    <w:rsid w:val="005D59D4"/>
    <w:rsid w:val="005D5CC2"/>
    <w:rsid w:val="005D5D5E"/>
    <w:rsid w:val="005D5D8F"/>
    <w:rsid w:val="005D5DC1"/>
    <w:rsid w:val="005D5DFA"/>
    <w:rsid w:val="005D5EE5"/>
    <w:rsid w:val="005D5F52"/>
    <w:rsid w:val="005D60B6"/>
    <w:rsid w:val="005D60E1"/>
    <w:rsid w:val="005D6179"/>
    <w:rsid w:val="005D636D"/>
    <w:rsid w:val="005D6373"/>
    <w:rsid w:val="005D63E9"/>
    <w:rsid w:val="005D641E"/>
    <w:rsid w:val="005D649F"/>
    <w:rsid w:val="005D64C5"/>
    <w:rsid w:val="005D64E9"/>
    <w:rsid w:val="005D654D"/>
    <w:rsid w:val="005D65B4"/>
    <w:rsid w:val="005D665E"/>
    <w:rsid w:val="005D665F"/>
    <w:rsid w:val="005D6734"/>
    <w:rsid w:val="005D6767"/>
    <w:rsid w:val="005D677C"/>
    <w:rsid w:val="005D68E4"/>
    <w:rsid w:val="005D68FA"/>
    <w:rsid w:val="005D692F"/>
    <w:rsid w:val="005D69A5"/>
    <w:rsid w:val="005D69AA"/>
    <w:rsid w:val="005D69E8"/>
    <w:rsid w:val="005D6A20"/>
    <w:rsid w:val="005D6A5E"/>
    <w:rsid w:val="005D6B2B"/>
    <w:rsid w:val="005D6B4D"/>
    <w:rsid w:val="005D6E9D"/>
    <w:rsid w:val="005D6EAA"/>
    <w:rsid w:val="005D6F52"/>
    <w:rsid w:val="005D701B"/>
    <w:rsid w:val="005D7061"/>
    <w:rsid w:val="005D717A"/>
    <w:rsid w:val="005D71F6"/>
    <w:rsid w:val="005D7293"/>
    <w:rsid w:val="005D7438"/>
    <w:rsid w:val="005D7449"/>
    <w:rsid w:val="005D7450"/>
    <w:rsid w:val="005D7522"/>
    <w:rsid w:val="005D7589"/>
    <w:rsid w:val="005D75A6"/>
    <w:rsid w:val="005D75BE"/>
    <w:rsid w:val="005D7621"/>
    <w:rsid w:val="005D78C7"/>
    <w:rsid w:val="005D7A40"/>
    <w:rsid w:val="005D7C45"/>
    <w:rsid w:val="005D7C8A"/>
    <w:rsid w:val="005D7CB0"/>
    <w:rsid w:val="005D7D4F"/>
    <w:rsid w:val="005D7EEA"/>
    <w:rsid w:val="005D7F8E"/>
    <w:rsid w:val="005E004B"/>
    <w:rsid w:val="005E00AA"/>
    <w:rsid w:val="005E00C6"/>
    <w:rsid w:val="005E02E7"/>
    <w:rsid w:val="005E0318"/>
    <w:rsid w:val="005E0490"/>
    <w:rsid w:val="005E08EB"/>
    <w:rsid w:val="005E09D0"/>
    <w:rsid w:val="005E0A64"/>
    <w:rsid w:val="005E0BA3"/>
    <w:rsid w:val="005E0BA6"/>
    <w:rsid w:val="005E0D78"/>
    <w:rsid w:val="005E0E5C"/>
    <w:rsid w:val="005E10B4"/>
    <w:rsid w:val="005E1191"/>
    <w:rsid w:val="005E12ED"/>
    <w:rsid w:val="005E1363"/>
    <w:rsid w:val="005E139F"/>
    <w:rsid w:val="005E1414"/>
    <w:rsid w:val="005E160C"/>
    <w:rsid w:val="005E16E2"/>
    <w:rsid w:val="005E17E1"/>
    <w:rsid w:val="005E18C6"/>
    <w:rsid w:val="005E18DA"/>
    <w:rsid w:val="005E1959"/>
    <w:rsid w:val="005E195E"/>
    <w:rsid w:val="005E19AA"/>
    <w:rsid w:val="005E19F0"/>
    <w:rsid w:val="005E1C93"/>
    <w:rsid w:val="005E1CA6"/>
    <w:rsid w:val="005E1E0A"/>
    <w:rsid w:val="005E1F1E"/>
    <w:rsid w:val="005E1FA1"/>
    <w:rsid w:val="005E2092"/>
    <w:rsid w:val="005E25AC"/>
    <w:rsid w:val="005E2791"/>
    <w:rsid w:val="005E27AB"/>
    <w:rsid w:val="005E2A0F"/>
    <w:rsid w:val="005E2A3D"/>
    <w:rsid w:val="005E2A74"/>
    <w:rsid w:val="005E2B31"/>
    <w:rsid w:val="005E2B44"/>
    <w:rsid w:val="005E2B99"/>
    <w:rsid w:val="005E2BB7"/>
    <w:rsid w:val="005E2BC9"/>
    <w:rsid w:val="005E2C3C"/>
    <w:rsid w:val="005E2CBA"/>
    <w:rsid w:val="005E2D7C"/>
    <w:rsid w:val="005E2DBF"/>
    <w:rsid w:val="005E2E92"/>
    <w:rsid w:val="005E2F6D"/>
    <w:rsid w:val="005E307C"/>
    <w:rsid w:val="005E3102"/>
    <w:rsid w:val="005E3170"/>
    <w:rsid w:val="005E31FE"/>
    <w:rsid w:val="005E32D8"/>
    <w:rsid w:val="005E32F7"/>
    <w:rsid w:val="005E33A6"/>
    <w:rsid w:val="005E33AA"/>
    <w:rsid w:val="005E3484"/>
    <w:rsid w:val="005E3654"/>
    <w:rsid w:val="005E36F3"/>
    <w:rsid w:val="005E3909"/>
    <w:rsid w:val="005E3A32"/>
    <w:rsid w:val="005E3D07"/>
    <w:rsid w:val="005E3D0F"/>
    <w:rsid w:val="005E3D11"/>
    <w:rsid w:val="005E3D69"/>
    <w:rsid w:val="005E4052"/>
    <w:rsid w:val="005E41A2"/>
    <w:rsid w:val="005E420C"/>
    <w:rsid w:val="005E4230"/>
    <w:rsid w:val="005E4351"/>
    <w:rsid w:val="005E43E8"/>
    <w:rsid w:val="005E4426"/>
    <w:rsid w:val="005E4932"/>
    <w:rsid w:val="005E4994"/>
    <w:rsid w:val="005E49F8"/>
    <w:rsid w:val="005E4C75"/>
    <w:rsid w:val="005E4D8E"/>
    <w:rsid w:val="005E4E2E"/>
    <w:rsid w:val="005E4FE6"/>
    <w:rsid w:val="005E5076"/>
    <w:rsid w:val="005E519F"/>
    <w:rsid w:val="005E5276"/>
    <w:rsid w:val="005E5388"/>
    <w:rsid w:val="005E53E7"/>
    <w:rsid w:val="005E53E8"/>
    <w:rsid w:val="005E54FB"/>
    <w:rsid w:val="005E554A"/>
    <w:rsid w:val="005E562E"/>
    <w:rsid w:val="005E56BA"/>
    <w:rsid w:val="005E56CC"/>
    <w:rsid w:val="005E56F0"/>
    <w:rsid w:val="005E56FB"/>
    <w:rsid w:val="005E5702"/>
    <w:rsid w:val="005E57C1"/>
    <w:rsid w:val="005E5807"/>
    <w:rsid w:val="005E587D"/>
    <w:rsid w:val="005E58E4"/>
    <w:rsid w:val="005E5952"/>
    <w:rsid w:val="005E5975"/>
    <w:rsid w:val="005E5A1F"/>
    <w:rsid w:val="005E5B49"/>
    <w:rsid w:val="005E5B77"/>
    <w:rsid w:val="005E5BDB"/>
    <w:rsid w:val="005E5C6C"/>
    <w:rsid w:val="005E5C73"/>
    <w:rsid w:val="005E5D52"/>
    <w:rsid w:val="005E5D6E"/>
    <w:rsid w:val="005E5E79"/>
    <w:rsid w:val="005E5EB7"/>
    <w:rsid w:val="005E5EC3"/>
    <w:rsid w:val="005E5ECC"/>
    <w:rsid w:val="005E6021"/>
    <w:rsid w:val="005E610D"/>
    <w:rsid w:val="005E614C"/>
    <w:rsid w:val="005E6366"/>
    <w:rsid w:val="005E63C1"/>
    <w:rsid w:val="005E6444"/>
    <w:rsid w:val="005E64CF"/>
    <w:rsid w:val="005E6549"/>
    <w:rsid w:val="005E672C"/>
    <w:rsid w:val="005E6884"/>
    <w:rsid w:val="005E69E5"/>
    <w:rsid w:val="005E69FC"/>
    <w:rsid w:val="005E6A03"/>
    <w:rsid w:val="005E6B45"/>
    <w:rsid w:val="005E6C21"/>
    <w:rsid w:val="005E6CAA"/>
    <w:rsid w:val="005E6E52"/>
    <w:rsid w:val="005E6E55"/>
    <w:rsid w:val="005E6EDF"/>
    <w:rsid w:val="005E6F3B"/>
    <w:rsid w:val="005E7036"/>
    <w:rsid w:val="005E7084"/>
    <w:rsid w:val="005E71E7"/>
    <w:rsid w:val="005E722C"/>
    <w:rsid w:val="005E72BA"/>
    <w:rsid w:val="005E72CF"/>
    <w:rsid w:val="005E72DE"/>
    <w:rsid w:val="005E7301"/>
    <w:rsid w:val="005E7524"/>
    <w:rsid w:val="005E759B"/>
    <w:rsid w:val="005E75B9"/>
    <w:rsid w:val="005E78D7"/>
    <w:rsid w:val="005E78EE"/>
    <w:rsid w:val="005E7E38"/>
    <w:rsid w:val="005E7EC2"/>
    <w:rsid w:val="005E7EFE"/>
    <w:rsid w:val="005F007D"/>
    <w:rsid w:val="005F028D"/>
    <w:rsid w:val="005F039E"/>
    <w:rsid w:val="005F058E"/>
    <w:rsid w:val="005F06BF"/>
    <w:rsid w:val="005F06C7"/>
    <w:rsid w:val="005F0811"/>
    <w:rsid w:val="005F08EE"/>
    <w:rsid w:val="005F09ED"/>
    <w:rsid w:val="005F0A03"/>
    <w:rsid w:val="005F0C19"/>
    <w:rsid w:val="005F0C6B"/>
    <w:rsid w:val="005F0D75"/>
    <w:rsid w:val="005F0D7B"/>
    <w:rsid w:val="005F0E5A"/>
    <w:rsid w:val="005F0E74"/>
    <w:rsid w:val="005F0F12"/>
    <w:rsid w:val="005F0FE1"/>
    <w:rsid w:val="005F0FE5"/>
    <w:rsid w:val="005F1240"/>
    <w:rsid w:val="005F128B"/>
    <w:rsid w:val="005F1377"/>
    <w:rsid w:val="005F140A"/>
    <w:rsid w:val="005F1453"/>
    <w:rsid w:val="005F147C"/>
    <w:rsid w:val="005F14EF"/>
    <w:rsid w:val="005F15C6"/>
    <w:rsid w:val="005F16C2"/>
    <w:rsid w:val="005F16DA"/>
    <w:rsid w:val="005F172D"/>
    <w:rsid w:val="005F1816"/>
    <w:rsid w:val="005F18D6"/>
    <w:rsid w:val="005F18F4"/>
    <w:rsid w:val="005F1B80"/>
    <w:rsid w:val="005F1C4C"/>
    <w:rsid w:val="005F1C73"/>
    <w:rsid w:val="005F1DCE"/>
    <w:rsid w:val="005F1E29"/>
    <w:rsid w:val="005F1E5C"/>
    <w:rsid w:val="005F1EE8"/>
    <w:rsid w:val="005F1F53"/>
    <w:rsid w:val="005F1FDF"/>
    <w:rsid w:val="005F201B"/>
    <w:rsid w:val="005F20E2"/>
    <w:rsid w:val="005F2125"/>
    <w:rsid w:val="005F21A2"/>
    <w:rsid w:val="005F2262"/>
    <w:rsid w:val="005F2400"/>
    <w:rsid w:val="005F241B"/>
    <w:rsid w:val="005F24B0"/>
    <w:rsid w:val="005F24B6"/>
    <w:rsid w:val="005F257A"/>
    <w:rsid w:val="005F25EF"/>
    <w:rsid w:val="005F2622"/>
    <w:rsid w:val="005F2623"/>
    <w:rsid w:val="005F26B8"/>
    <w:rsid w:val="005F271A"/>
    <w:rsid w:val="005F287B"/>
    <w:rsid w:val="005F2BF8"/>
    <w:rsid w:val="005F2DDE"/>
    <w:rsid w:val="005F2EE3"/>
    <w:rsid w:val="005F2F73"/>
    <w:rsid w:val="005F2FB4"/>
    <w:rsid w:val="005F30A7"/>
    <w:rsid w:val="005F31CF"/>
    <w:rsid w:val="005F31F1"/>
    <w:rsid w:val="005F32A1"/>
    <w:rsid w:val="005F3325"/>
    <w:rsid w:val="005F3432"/>
    <w:rsid w:val="005F349B"/>
    <w:rsid w:val="005F34FC"/>
    <w:rsid w:val="005F36BD"/>
    <w:rsid w:val="005F3832"/>
    <w:rsid w:val="005F3867"/>
    <w:rsid w:val="005F3C3B"/>
    <w:rsid w:val="005F3D4D"/>
    <w:rsid w:val="005F3E84"/>
    <w:rsid w:val="005F3F12"/>
    <w:rsid w:val="005F3F16"/>
    <w:rsid w:val="005F3FAA"/>
    <w:rsid w:val="005F3FBD"/>
    <w:rsid w:val="005F3FD1"/>
    <w:rsid w:val="005F4059"/>
    <w:rsid w:val="005F40FA"/>
    <w:rsid w:val="005F4120"/>
    <w:rsid w:val="005F41D2"/>
    <w:rsid w:val="005F41E1"/>
    <w:rsid w:val="005F429B"/>
    <w:rsid w:val="005F45A7"/>
    <w:rsid w:val="005F45F4"/>
    <w:rsid w:val="005F476C"/>
    <w:rsid w:val="005F48E6"/>
    <w:rsid w:val="005F4935"/>
    <w:rsid w:val="005F4BA7"/>
    <w:rsid w:val="005F4BFC"/>
    <w:rsid w:val="005F4C53"/>
    <w:rsid w:val="005F4D74"/>
    <w:rsid w:val="005F4D84"/>
    <w:rsid w:val="005F4DA2"/>
    <w:rsid w:val="005F4DAB"/>
    <w:rsid w:val="005F4E8B"/>
    <w:rsid w:val="005F50BA"/>
    <w:rsid w:val="005F5398"/>
    <w:rsid w:val="005F540D"/>
    <w:rsid w:val="005F5444"/>
    <w:rsid w:val="005F5523"/>
    <w:rsid w:val="005F553B"/>
    <w:rsid w:val="005F555E"/>
    <w:rsid w:val="005F569C"/>
    <w:rsid w:val="005F56B8"/>
    <w:rsid w:val="005F5898"/>
    <w:rsid w:val="005F593E"/>
    <w:rsid w:val="005F5AFE"/>
    <w:rsid w:val="005F5B79"/>
    <w:rsid w:val="005F5BF4"/>
    <w:rsid w:val="005F5BFC"/>
    <w:rsid w:val="005F5CDF"/>
    <w:rsid w:val="005F5D03"/>
    <w:rsid w:val="005F5D0E"/>
    <w:rsid w:val="005F5D50"/>
    <w:rsid w:val="005F5DB6"/>
    <w:rsid w:val="005F5E4F"/>
    <w:rsid w:val="005F5F26"/>
    <w:rsid w:val="005F60A7"/>
    <w:rsid w:val="005F6131"/>
    <w:rsid w:val="005F6282"/>
    <w:rsid w:val="005F6293"/>
    <w:rsid w:val="005F6311"/>
    <w:rsid w:val="005F63FF"/>
    <w:rsid w:val="005F6445"/>
    <w:rsid w:val="005F647A"/>
    <w:rsid w:val="005F64F0"/>
    <w:rsid w:val="005F65DB"/>
    <w:rsid w:val="005F6617"/>
    <w:rsid w:val="005F66F8"/>
    <w:rsid w:val="005F671E"/>
    <w:rsid w:val="005F6724"/>
    <w:rsid w:val="005F680E"/>
    <w:rsid w:val="005F682F"/>
    <w:rsid w:val="005F685C"/>
    <w:rsid w:val="005F691D"/>
    <w:rsid w:val="005F6974"/>
    <w:rsid w:val="005F69A3"/>
    <w:rsid w:val="005F69EE"/>
    <w:rsid w:val="005F6A74"/>
    <w:rsid w:val="005F6A7A"/>
    <w:rsid w:val="005F6B64"/>
    <w:rsid w:val="005F6BBC"/>
    <w:rsid w:val="005F6CDA"/>
    <w:rsid w:val="005F6DA5"/>
    <w:rsid w:val="005F6EA4"/>
    <w:rsid w:val="005F6F1F"/>
    <w:rsid w:val="005F74D1"/>
    <w:rsid w:val="005F74DC"/>
    <w:rsid w:val="005F759C"/>
    <w:rsid w:val="005F7607"/>
    <w:rsid w:val="005F760C"/>
    <w:rsid w:val="005F7792"/>
    <w:rsid w:val="005F782D"/>
    <w:rsid w:val="005F78E6"/>
    <w:rsid w:val="005F7979"/>
    <w:rsid w:val="005F7998"/>
    <w:rsid w:val="005F79B0"/>
    <w:rsid w:val="005F79EA"/>
    <w:rsid w:val="005F79FC"/>
    <w:rsid w:val="005F7AED"/>
    <w:rsid w:val="005F7AF4"/>
    <w:rsid w:val="005F7C97"/>
    <w:rsid w:val="005F7D73"/>
    <w:rsid w:val="005F7DBB"/>
    <w:rsid w:val="005F7E42"/>
    <w:rsid w:val="00600001"/>
    <w:rsid w:val="00600122"/>
    <w:rsid w:val="006002CF"/>
    <w:rsid w:val="006004ED"/>
    <w:rsid w:val="00600586"/>
    <w:rsid w:val="006005C5"/>
    <w:rsid w:val="00600828"/>
    <w:rsid w:val="00600955"/>
    <w:rsid w:val="00600B0B"/>
    <w:rsid w:val="00600B92"/>
    <w:rsid w:val="00600C22"/>
    <w:rsid w:val="00600C68"/>
    <w:rsid w:val="00600CC9"/>
    <w:rsid w:val="00600DBF"/>
    <w:rsid w:val="00600E36"/>
    <w:rsid w:val="00600FE6"/>
    <w:rsid w:val="00601057"/>
    <w:rsid w:val="00601058"/>
    <w:rsid w:val="006011AA"/>
    <w:rsid w:val="00601292"/>
    <w:rsid w:val="0060129B"/>
    <w:rsid w:val="006012B0"/>
    <w:rsid w:val="006013C2"/>
    <w:rsid w:val="00601470"/>
    <w:rsid w:val="00601536"/>
    <w:rsid w:val="0060155F"/>
    <w:rsid w:val="00601607"/>
    <w:rsid w:val="00601728"/>
    <w:rsid w:val="00601759"/>
    <w:rsid w:val="00601889"/>
    <w:rsid w:val="006018A9"/>
    <w:rsid w:val="00601939"/>
    <w:rsid w:val="006019A5"/>
    <w:rsid w:val="006019AD"/>
    <w:rsid w:val="00601AB3"/>
    <w:rsid w:val="00601B7E"/>
    <w:rsid w:val="00601CFE"/>
    <w:rsid w:val="00601DF3"/>
    <w:rsid w:val="00601DFE"/>
    <w:rsid w:val="00601E27"/>
    <w:rsid w:val="00601E8A"/>
    <w:rsid w:val="00601F58"/>
    <w:rsid w:val="00601F70"/>
    <w:rsid w:val="00601FEB"/>
    <w:rsid w:val="006021EA"/>
    <w:rsid w:val="00602250"/>
    <w:rsid w:val="006024FA"/>
    <w:rsid w:val="0060256E"/>
    <w:rsid w:val="0060260F"/>
    <w:rsid w:val="00602673"/>
    <w:rsid w:val="0060268F"/>
    <w:rsid w:val="006026FE"/>
    <w:rsid w:val="00602731"/>
    <w:rsid w:val="006027FD"/>
    <w:rsid w:val="0060283D"/>
    <w:rsid w:val="006028AD"/>
    <w:rsid w:val="00602AA5"/>
    <w:rsid w:val="00602D42"/>
    <w:rsid w:val="00602E1B"/>
    <w:rsid w:val="00602ED0"/>
    <w:rsid w:val="00602F97"/>
    <w:rsid w:val="00603038"/>
    <w:rsid w:val="006030CC"/>
    <w:rsid w:val="00603109"/>
    <w:rsid w:val="006034EF"/>
    <w:rsid w:val="0060364A"/>
    <w:rsid w:val="00603662"/>
    <w:rsid w:val="006036E1"/>
    <w:rsid w:val="0060386F"/>
    <w:rsid w:val="006038C2"/>
    <w:rsid w:val="00603A2B"/>
    <w:rsid w:val="00603A89"/>
    <w:rsid w:val="00603ACA"/>
    <w:rsid w:val="00603B65"/>
    <w:rsid w:val="00603D32"/>
    <w:rsid w:val="00603D7D"/>
    <w:rsid w:val="00603D88"/>
    <w:rsid w:val="00603E23"/>
    <w:rsid w:val="00603E65"/>
    <w:rsid w:val="00603F64"/>
    <w:rsid w:val="006040C3"/>
    <w:rsid w:val="00604144"/>
    <w:rsid w:val="006041AC"/>
    <w:rsid w:val="00604262"/>
    <w:rsid w:val="00604321"/>
    <w:rsid w:val="00604425"/>
    <w:rsid w:val="00604439"/>
    <w:rsid w:val="00604482"/>
    <w:rsid w:val="006044C3"/>
    <w:rsid w:val="00604580"/>
    <w:rsid w:val="00604616"/>
    <w:rsid w:val="0060473D"/>
    <w:rsid w:val="00604745"/>
    <w:rsid w:val="006047C0"/>
    <w:rsid w:val="006048C7"/>
    <w:rsid w:val="006049E4"/>
    <w:rsid w:val="00604ABA"/>
    <w:rsid w:val="00604B6B"/>
    <w:rsid w:val="00604BE6"/>
    <w:rsid w:val="00604C23"/>
    <w:rsid w:val="00604C6F"/>
    <w:rsid w:val="00604D35"/>
    <w:rsid w:val="00604DCC"/>
    <w:rsid w:val="00604E92"/>
    <w:rsid w:val="00604ECC"/>
    <w:rsid w:val="0060539A"/>
    <w:rsid w:val="006053DD"/>
    <w:rsid w:val="00605488"/>
    <w:rsid w:val="00605633"/>
    <w:rsid w:val="0060569A"/>
    <w:rsid w:val="00605739"/>
    <w:rsid w:val="00605753"/>
    <w:rsid w:val="006057B2"/>
    <w:rsid w:val="00605806"/>
    <w:rsid w:val="006058D9"/>
    <w:rsid w:val="0060592C"/>
    <w:rsid w:val="00605A8A"/>
    <w:rsid w:val="00605D73"/>
    <w:rsid w:val="00605D9F"/>
    <w:rsid w:val="00605DC2"/>
    <w:rsid w:val="00605F2F"/>
    <w:rsid w:val="00605F78"/>
    <w:rsid w:val="00606037"/>
    <w:rsid w:val="0060629C"/>
    <w:rsid w:val="00606378"/>
    <w:rsid w:val="006063C1"/>
    <w:rsid w:val="00606641"/>
    <w:rsid w:val="0060665A"/>
    <w:rsid w:val="00606794"/>
    <w:rsid w:val="0060683A"/>
    <w:rsid w:val="006069D3"/>
    <w:rsid w:val="00606AAA"/>
    <w:rsid w:val="00606B0C"/>
    <w:rsid w:val="00606C5E"/>
    <w:rsid w:val="00606D23"/>
    <w:rsid w:val="00606F9F"/>
    <w:rsid w:val="006070F0"/>
    <w:rsid w:val="00607139"/>
    <w:rsid w:val="006071B9"/>
    <w:rsid w:val="00607211"/>
    <w:rsid w:val="006072B9"/>
    <w:rsid w:val="006072CB"/>
    <w:rsid w:val="00607381"/>
    <w:rsid w:val="006074DD"/>
    <w:rsid w:val="006075D9"/>
    <w:rsid w:val="006076A5"/>
    <w:rsid w:val="00607728"/>
    <w:rsid w:val="006077D5"/>
    <w:rsid w:val="006077FD"/>
    <w:rsid w:val="00607943"/>
    <w:rsid w:val="00607980"/>
    <w:rsid w:val="00607BF1"/>
    <w:rsid w:val="00607C35"/>
    <w:rsid w:val="00607C87"/>
    <w:rsid w:val="00607CC6"/>
    <w:rsid w:val="00607CFC"/>
    <w:rsid w:val="00607D55"/>
    <w:rsid w:val="00607EF9"/>
    <w:rsid w:val="00607F26"/>
    <w:rsid w:val="00607FDF"/>
    <w:rsid w:val="0061001C"/>
    <w:rsid w:val="00610061"/>
    <w:rsid w:val="00610072"/>
    <w:rsid w:val="006102DD"/>
    <w:rsid w:val="0061038E"/>
    <w:rsid w:val="00610469"/>
    <w:rsid w:val="0061046C"/>
    <w:rsid w:val="00610542"/>
    <w:rsid w:val="00610555"/>
    <w:rsid w:val="006106A3"/>
    <w:rsid w:val="006106BF"/>
    <w:rsid w:val="00610788"/>
    <w:rsid w:val="00610914"/>
    <w:rsid w:val="00610936"/>
    <w:rsid w:val="00610938"/>
    <w:rsid w:val="00610967"/>
    <w:rsid w:val="00610B2E"/>
    <w:rsid w:val="00610E35"/>
    <w:rsid w:val="00610E5B"/>
    <w:rsid w:val="00611265"/>
    <w:rsid w:val="00611356"/>
    <w:rsid w:val="006113AC"/>
    <w:rsid w:val="00611497"/>
    <w:rsid w:val="006114D7"/>
    <w:rsid w:val="00611538"/>
    <w:rsid w:val="00611559"/>
    <w:rsid w:val="006117D6"/>
    <w:rsid w:val="00611831"/>
    <w:rsid w:val="00611929"/>
    <w:rsid w:val="00611945"/>
    <w:rsid w:val="00611987"/>
    <w:rsid w:val="00611A99"/>
    <w:rsid w:val="00611AF3"/>
    <w:rsid w:val="00611B2D"/>
    <w:rsid w:val="00611CEC"/>
    <w:rsid w:val="00611D0F"/>
    <w:rsid w:val="00611DD4"/>
    <w:rsid w:val="00611F06"/>
    <w:rsid w:val="00612003"/>
    <w:rsid w:val="00612006"/>
    <w:rsid w:val="006121C2"/>
    <w:rsid w:val="00612384"/>
    <w:rsid w:val="006123D7"/>
    <w:rsid w:val="00612562"/>
    <w:rsid w:val="00612598"/>
    <w:rsid w:val="006126D0"/>
    <w:rsid w:val="00612757"/>
    <w:rsid w:val="006128AD"/>
    <w:rsid w:val="0061299E"/>
    <w:rsid w:val="006129B3"/>
    <w:rsid w:val="00612A09"/>
    <w:rsid w:val="00612A8A"/>
    <w:rsid w:val="00612B98"/>
    <w:rsid w:val="00612DDE"/>
    <w:rsid w:val="00612DFC"/>
    <w:rsid w:val="00612F53"/>
    <w:rsid w:val="00612FDD"/>
    <w:rsid w:val="00613082"/>
    <w:rsid w:val="0061314E"/>
    <w:rsid w:val="00613157"/>
    <w:rsid w:val="00613224"/>
    <w:rsid w:val="0061324E"/>
    <w:rsid w:val="006132A0"/>
    <w:rsid w:val="006134B4"/>
    <w:rsid w:val="0061351D"/>
    <w:rsid w:val="006137C1"/>
    <w:rsid w:val="006137D4"/>
    <w:rsid w:val="006138B4"/>
    <w:rsid w:val="0061391C"/>
    <w:rsid w:val="00613977"/>
    <w:rsid w:val="00613A5B"/>
    <w:rsid w:val="00613AFD"/>
    <w:rsid w:val="00613B84"/>
    <w:rsid w:val="00613BB7"/>
    <w:rsid w:val="00613BC6"/>
    <w:rsid w:val="00613DF3"/>
    <w:rsid w:val="00613F19"/>
    <w:rsid w:val="00613F9F"/>
    <w:rsid w:val="006140EF"/>
    <w:rsid w:val="006141D5"/>
    <w:rsid w:val="006142D6"/>
    <w:rsid w:val="0061433F"/>
    <w:rsid w:val="006144DF"/>
    <w:rsid w:val="00614537"/>
    <w:rsid w:val="0061462C"/>
    <w:rsid w:val="006146D8"/>
    <w:rsid w:val="006146E5"/>
    <w:rsid w:val="00614734"/>
    <w:rsid w:val="006147C5"/>
    <w:rsid w:val="00614843"/>
    <w:rsid w:val="0061499E"/>
    <w:rsid w:val="00614CD2"/>
    <w:rsid w:val="00614CF1"/>
    <w:rsid w:val="00614D00"/>
    <w:rsid w:val="00614E07"/>
    <w:rsid w:val="00614E42"/>
    <w:rsid w:val="00614F8C"/>
    <w:rsid w:val="00614F96"/>
    <w:rsid w:val="00615107"/>
    <w:rsid w:val="00615114"/>
    <w:rsid w:val="0061521C"/>
    <w:rsid w:val="0061522E"/>
    <w:rsid w:val="00615459"/>
    <w:rsid w:val="00615478"/>
    <w:rsid w:val="0061566F"/>
    <w:rsid w:val="006157A7"/>
    <w:rsid w:val="0061598D"/>
    <w:rsid w:val="00615A3B"/>
    <w:rsid w:val="00615AAF"/>
    <w:rsid w:val="00615CB5"/>
    <w:rsid w:val="00615D4A"/>
    <w:rsid w:val="00615DAD"/>
    <w:rsid w:val="00615FFA"/>
    <w:rsid w:val="0061606D"/>
    <w:rsid w:val="00616233"/>
    <w:rsid w:val="0061630A"/>
    <w:rsid w:val="00616567"/>
    <w:rsid w:val="00616608"/>
    <w:rsid w:val="00616697"/>
    <w:rsid w:val="006166D3"/>
    <w:rsid w:val="006167E4"/>
    <w:rsid w:val="006169E9"/>
    <w:rsid w:val="006169F3"/>
    <w:rsid w:val="00616C38"/>
    <w:rsid w:val="00616D53"/>
    <w:rsid w:val="0061707D"/>
    <w:rsid w:val="00617133"/>
    <w:rsid w:val="00617197"/>
    <w:rsid w:val="006173D9"/>
    <w:rsid w:val="0061754B"/>
    <w:rsid w:val="00617635"/>
    <w:rsid w:val="00617836"/>
    <w:rsid w:val="00617ADF"/>
    <w:rsid w:val="00617AF8"/>
    <w:rsid w:val="00617B4B"/>
    <w:rsid w:val="00617BEE"/>
    <w:rsid w:val="00617C3B"/>
    <w:rsid w:val="00617C91"/>
    <w:rsid w:val="00617CF4"/>
    <w:rsid w:val="00617E8F"/>
    <w:rsid w:val="006200B6"/>
    <w:rsid w:val="006201B5"/>
    <w:rsid w:val="0062031C"/>
    <w:rsid w:val="00620359"/>
    <w:rsid w:val="00620429"/>
    <w:rsid w:val="006204D9"/>
    <w:rsid w:val="0062054C"/>
    <w:rsid w:val="00620596"/>
    <w:rsid w:val="0062060F"/>
    <w:rsid w:val="0062062C"/>
    <w:rsid w:val="00620635"/>
    <w:rsid w:val="00620693"/>
    <w:rsid w:val="00620857"/>
    <w:rsid w:val="00620902"/>
    <w:rsid w:val="006209BB"/>
    <w:rsid w:val="00620A1F"/>
    <w:rsid w:val="00620B09"/>
    <w:rsid w:val="00620B88"/>
    <w:rsid w:val="00620C93"/>
    <w:rsid w:val="00620EA7"/>
    <w:rsid w:val="00620EB9"/>
    <w:rsid w:val="0062102A"/>
    <w:rsid w:val="00621160"/>
    <w:rsid w:val="0062116E"/>
    <w:rsid w:val="0062135C"/>
    <w:rsid w:val="00621369"/>
    <w:rsid w:val="0062138A"/>
    <w:rsid w:val="006213EC"/>
    <w:rsid w:val="0062145A"/>
    <w:rsid w:val="00621460"/>
    <w:rsid w:val="0062157B"/>
    <w:rsid w:val="00621691"/>
    <w:rsid w:val="006216C8"/>
    <w:rsid w:val="00621B01"/>
    <w:rsid w:val="00621B4E"/>
    <w:rsid w:val="00621BB1"/>
    <w:rsid w:val="00621CE3"/>
    <w:rsid w:val="00621D55"/>
    <w:rsid w:val="00621E1B"/>
    <w:rsid w:val="00621E4E"/>
    <w:rsid w:val="0062218F"/>
    <w:rsid w:val="006221B6"/>
    <w:rsid w:val="00622262"/>
    <w:rsid w:val="0062232C"/>
    <w:rsid w:val="00622381"/>
    <w:rsid w:val="006223B2"/>
    <w:rsid w:val="006223C5"/>
    <w:rsid w:val="0062249C"/>
    <w:rsid w:val="006225B9"/>
    <w:rsid w:val="006226C3"/>
    <w:rsid w:val="0062275C"/>
    <w:rsid w:val="00622851"/>
    <w:rsid w:val="006228CE"/>
    <w:rsid w:val="0062290A"/>
    <w:rsid w:val="0062299A"/>
    <w:rsid w:val="00622B40"/>
    <w:rsid w:val="00622C62"/>
    <w:rsid w:val="00622CDE"/>
    <w:rsid w:val="00622D15"/>
    <w:rsid w:val="00622DD2"/>
    <w:rsid w:val="00622FB9"/>
    <w:rsid w:val="006230FB"/>
    <w:rsid w:val="00623144"/>
    <w:rsid w:val="00623266"/>
    <w:rsid w:val="00623334"/>
    <w:rsid w:val="006233EB"/>
    <w:rsid w:val="00623457"/>
    <w:rsid w:val="00623516"/>
    <w:rsid w:val="00623572"/>
    <w:rsid w:val="00623678"/>
    <w:rsid w:val="00623716"/>
    <w:rsid w:val="00623734"/>
    <w:rsid w:val="00623854"/>
    <w:rsid w:val="0062396A"/>
    <w:rsid w:val="00623A2C"/>
    <w:rsid w:val="00623AC6"/>
    <w:rsid w:val="00623B8F"/>
    <w:rsid w:val="00623C7F"/>
    <w:rsid w:val="00623CD3"/>
    <w:rsid w:val="00623D85"/>
    <w:rsid w:val="00623E1C"/>
    <w:rsid w:val="00623E50"/>
    <w:rsid w:val="00623F51"/>
    <w:rsid w:val="00624007"/>
    <w:rsid w:val="0062400C"/>
    <w:rsid w:val="006241C8"/>
    <w:rsid w:val="0062422E"/>
    <w:rsid w:val="006242AB"/>
    <w:rsid w:val="00624339"/>
    <w:rsid w:val="0062460C"/>
    <w:rsid w:val="00624698"/>
    <w:rsid w:val="00624721"/>
    <w:rsid w:val="00624906"/>
    <w:rsid w:val="00624A87"/>
    <w:rsid w:val="00624B1B"/>
    <w:rsid w:val="00624C40"/>
    <w:rsid w:val="00624D3A"/>
    <w:rsid w:val="00624D7F"/>
    <w:rsid w:val="00624E5C"/>
    <w:rsid w:val="00624E96"/>
    <w:rsid w:val="00624F5B"/>
    <w:rsid w:val="00625116"/>
    <w:rsid w:val="00625241"/>
    <w:rsid w:val="006252E4"/>
    <w:rsid w:val="0062534A"/>
    <w:rsid w:val="006253A3"/>
    <w:rsid w:val="006253BC"/>
    <w:rsid w:val="00625567"/>
    <w:rsid w:val="006255E0"/>
    <w:rsid w:val="00625609"/>
    <w:rsid w:val="0062560E"/>
    <w:rsid w:val="0062572D"/>
    <w:rsid w:val="006257DE"/>
    <w:rsid w:val="00625876"/>
    <w:rsid w:val="006258D0"/>
    <w:rsid w:val="00625B2A"/>
    <w:rsid w:val="00625C2E"/>
    <w:rsid w:val="00625CA9"/>
    <w:rsid w:val="00625CC6"/>
    <w:rsid w:val="00625D8E"/>
    <w:rsid w:val="00625E26"/>
    <w:rsid w:val="00625E66"/>
    <w:rsid w:val="00625EE0"/>
    <w:rsid w:val="00625F20"/>
    <w:rsid w:val="00625F99"/>
    <w:rsid w:val="00625FC8"/>
    <w:rsid w:val="00625FF8"/>
    <w:rsid w:val="00626093"/>
    <w:rsid w:val="00626283"/>
    <w:rsid w:val="00626336"/>
    <w:rsid w:val="0062646E"/>
    <w:rsid w:val="006265AF"/>
    <w:rsid w:val="006265B9"/>
    <w:rsid w:val="006265D1"/>
    <w:rsid w:val="006266CA"/>
    <w:rsid w:val="00626999"/>
    <w:rsid w:val="00626A38"/>
    <w:rsid w:val="00626D39"/>
    <w:rsid w:val="00626D4D"/>
    <w:rsid w:val="00626ED6"/>
    <w:rsid w:val="00626F05"/>
    <w:rsid w:val="00626FB4"/>
    <w:rsid w:val="00627019"/>
    <w:rsid w:val="00627091"/>
    <w:rsid w:val="006270D5"/>
    <w:rsid w:val="00627204"/>
    <w:rsid w:val="00627208"/>
    <w:rsid w:val="006272D7"/>
    <w:rsid w:val="00627345"/>
    <w:rsid w:val="0062739D"/>
    <w:rsid w:val="006273CF"/>
    <w:rsid w:val="00627424"/>
    <w:rsid w:val="006274B7"/>
    <w:rsid w:val="00627563"/>
    <w:rsid w:val="0062772F"/>
    <w:rsid w:val="0062785F"/>
    <w:rsid w:val="006278D7"/>
    <w:rsid w:val="006278D8"/>
    <w:rsid w:val="00627A8A"/>
    <w:rsid w:val="00627AF4"/>
    <w:rsid w:val="00627C04"/>
    <w:rsid w:val="00627CE4"/>
    <w:rsid w:val="00627E63"/>
    <w:rsid w:val="00627E7D"/>
    <w:rsid w:val="00627FBA"/>
    <w:rsid w:val="0062AC0C"/>
    <w:rsid w:val="00630057"/>
    <w:rsid w:val="0063016F"/>
    <w:rsid w:val="00630224"/>
    <w:rsid w:val="0063046F"/>
    <w:rsid w:val="00630508"/>
    <w:rsid w:val="006305CC"/>
    <w:rsid w:val="0063061F"/>
    <w:rsid w:val="00630665"/>
    <w:rsid w:val="00630740"/>
    <w:rsid w:val="00630A18"/>
    <w:rsid w:val="00630AA4"/>
    <w:rsid w:val="00630B6A"/>
    <w:rsid w:val="00630C74"/>
    <w:rsid w:val="00630E60"/>
    <w:rsid w:val="00631164"/>
    <w:rsid w:val="006311FE"/>
    <w:rsid w:val="006313F9"/>
    <w:rsid w:val="00631401"/>
    <w:rsid w:val="0063149B"/>
    <w:rsid w:val="006314CD"/>
    <w:rsid w:val="00631502"/>
    <w:rsid w:val="0063162A"/>
    <w:rsid w:val="006317D2"/>
    <w:rsid w:val="0063190C"/>
    <w:rsid w:val="00631A55"/>
    <w:rsid w:val="00631CD6"/>
    <w:rsid w:val="00631CFB"/>
    <w:rsid w:val="00631DB7"/>
    <w:rsid w:val="00631E4C"/>
    <w:rsid w:val="00631E64"/>
    <w:rsid w:val="00631E80"/>
    <w:rsid w:val="00631F39"/>
    <w:rsid w:val="006320D5"/>
    <w:rsid w:val="0063215A"/>
    <w:rsid w:val="00632231"/>
    <w:rsid w:val="006322B4"/>
    <w:rsid w:val="00632484"/>
    <w:rsid w:val="006326AD"/>
    <w:rsid w:val="0063282C"/>
    <w:rsid w:val="00632869"/>
    <w:rsid w:val="006328A3"/>
    <w:rsid w:val="00632AD0"/>
    <w:rsid w:val="00632B31"/>
    <w:rsid w:val="00632F36"/>
    <w:rsid w:val="00632F77"/>
    <w:rsid w:val="006330A9"/>
    <w:rsid w:val="006331D4"/>
    <w:rsid w:val="006331E4"/>
    <w:rsid w:val="006332F8"/>
    <w:rsid w:val="00633311"/>
    <w:rsid w:val="0063331B"/>
    <w:rsid w:val="00633442"/>
    <w:rsid w:val="006335AD"/>
    <w:rsid w:val="006335BA"/>
    <w:rsid w:val="0063364E"/>
    <w:rsid w:val="0063366D"/>
    <w:rsid w:val="00633C35"/>
    <w:rsid w:val="00633C72"/>
    <w:rsid w:val="00633CB2"/>
    <w:rsid w:val="00633DC4"/>
    <w:rsid w:val="00633F5B"/>
    <w:rsid w:val="00633F89"/>
    <w:rsid w:val="006340D0"/>
    <w:rsid w:val="006340D2"/>
    <w:rsid w:val="0063428B"/>
    <w:rsid w:val="006342D8"/>
    <w:rsid w:val="00634464"/>
    <w:rsid w:val="00634485"/>
    <w:rsid w:val="006347FE"/>
    <w:rsid w:val="006347FF"/>
    <w:rsid w:val="00634974"/>
    <w:rsid w:val="00634C7C"/>
    <w:rsid w:val="00634C92"/>
    <w:rsid w:val="00634CDE"/>
    <w:rsid w:val="00634E35"/>
    <w:rsid w:val="00635010"/>
    <w:rsid w:val="0063509C"/>
    <w:rsid w:val="006353EE"/>
    <w:rsid w:val="00635557"/>
    <w:rsid w:val="006356A3"/>
    <w:rsid w:val="00635755"/>
    <w:rsid w:val="00635896"/>
    <w:rsid w:val="006359B0"/>
    <w:rsid w:val="00635A83"/>
    <w:rsid w:val="00635CDD"/>
    <w:rsid w:val="00635F13"/>
    <w:rsid w:val="00635F3A"/>
    <w:rsid w:val="006362AD"/>
    <w:rsid w:val="00636354"/>
    <w:rsid w:val="0063644C"/>
    <w:rsid w:val="00636623"/>
    <w:rsid w:val="00636729"/>
    <w:rsid w:val="006367B9"/>
    <w:rsid w:val="006368A4"/>
    <w:rsid w:val="006369AA"/>
    <w:rsid w:val="00636AAD"/>
    <w:rsid w:val="00636ADE"/>
    <w:rsid w:val="00636C1E"/>
    <w:rsid w:val="00636C45"/>
    <w:rsid w:val="00636C49"/>
    <w:rsid w:val="00636C51"/>
    <w:rsid w:val="00636DAF"/>
    <w:rsid w:val="00636E77"/>
    <w:rsid w:val="00636EE8"/>
    <w:rsid w:val="00636F07"/>
    <w:rsid w:val="00636FD9"/>
    <w:rsid w:val="00637009"/>
    <w:rsid w:val="0063717C"/>
    <w:rsid w:val="0063717D"/>
    <w:rsid w:val="00637274"/>
    <w:rsid w:val="00637400"/>
    <w:rsid w:val="00637433"/>
    <w:rsid w:val="006374C4"/>
    <w:rsid w:val="006374DD"/>
    <w:rsid w:val="00637603"/>
    <w:rsid w:val="006378CA"/>
    <w:rsid w:val="006379DE"/>
    <w:rsid w:val="006379E6"/>
    <w:rsid w:val="00637B93"/>
    <w:rsid w:val="00637BB3"/>
    <w:rsid w:val="00637CA9"/>
    <w:rsid w:val="00637D26"/>
    <w:rsid w:val="00637E5A"/>
    <w:rsid w:val="00637F1E"/>
    <w:rsid w:val="00637FB0"/>
    <w:rsid w:val="00640032"/>
    <w:rsid w:val="006402BC"/>
    <w:rsid w:val="006402D3"/>
    <w:rsid w:val="00640359"/>
    <w:rsid w:val="006403A4"/>
    <w:rsid w:val="006403E5"/>
    <w:rsid w:val="00640422"/>
    <w:rsid w:val="0064042E"/>
    <w:rsid w:val="0064047B"/>
    <w:rsid w:val="00640547"/>
    <w:rsid w:val="00640629"/>
    <w:rsid w:val="00640761"/>
    <w:rsid w:val="00640790"/>
    <w:rsid w:val="00640826"/>
    <w:rsid w:val="006408DC"/>
    <w:rsid w:val="00640962"/>
    <w:rsid w:val="006409BC"/>
    <w:rsid w:val="00640A2C"/>
    <w:rsid w:val="00640C88"/>
    <w:rsid w:val="00640D3B"/>
    <w:rsid w:val="00640DA4"/>
    <w:rsid w:val="00640EBD"/>
    <w:rsid w:val="00640F12"/>
    <w:rsid w:val="00640F2E"/>
    <w:rsid w:val="00640FCC"/>
    <w:rsid w:val="00640FFE"/>
    <w:rsid w:val="0064119A"/>
    <w:rsid w:val="0064121A"/>
    <w:rsid w:val="00641250"/>
    <w:rsid w:val="006412EA"/>
    <w:rsid w:val="00641332"/>
    <w:rsid w:val="0064140A"/>
    <w:rsid w:val="00641545"/>
    <w:rsid w:val="006416A6"/>
    <w:rsid w:val="006417A8"/>
    <w:rsid w:val="006417F0"/>
    <w:rsid w:val="00641996"/>
    <w:rsid w:val="00641ADC"/>
    <w:rsid w:val="00641B81"/>
    <w:rsid w:val="00641CE3"/>
    <w:rsid w:val="00641D01"/>
    <w:rsid w:val="00641DA3"/>
    <w:rsid w:val="00641DA5"/>
    <w:rsid w:val="0064208C"/>
    <w:rsid w:val="00642245"/>
    <w:rsid w:val="0064232A"/>
    <w:rsid w:val="006423AC"/>
    <w:rsid w:val="006423FE"/>
    <w:rsid w:val="0064263C"/>
    <w:rsid w:val="00642647"/>
    <w:rsid w:val="006426CC"/>
    <w:rsid w:val="0064275F"/>
    <w:rsid w:val="0064281E"/>
    <w:rsid w:val="00642833"/>
    <w:rsid w:val="00642BF7"/>
    <w:rsid w:val="00642C6C"/>
    <w:rsid w:val="00642D28"/>
    <w:rsid w:val="00642D2E"/>
    <w:rsid w:val="00642D90"/>
    <w:rsid w:val="00642DCC"/>
    <w:rsid w:val="00642E87"/>
    <w:rsid w:val="00642EDA"/>
    <w:rsid w:val="00642F0C"/>
    <w:rsid w:val="00642F80"/>
    <w:rsid w:val="00643004"/>
    <w:rsid w:val="006431FA"/>
    <w:rsid w:val="00643204"/>
    <w:rsid w:val="0064333D"/>
    <w:rsid w:val="00643383"/>
    <w:rsid w:val="00643476"/>
    <w:rsid w:val="00643540"/>
    <w:rsid w:val="006436D3"/>
    <w:rsid w:val="00643836"/>
    <w:rsid w:val="00643900"/>
    <w:rsid w:val="00643A04"/>
    <w:rsid w:val="00643B52"/>
    <w:rsid w:val="00643BF0"/>
    <w:rsid w:val="00643CE7"/>
    <w:rsid w:val="00643D88"/>
    <w:rsid w:val="00643DB7"/>
    <w:rsid w:val="00643F0C"/>
    <w:rsid w:val="0064402F"/>
    <w:rsid w:val="00644057"/>
    <w:rsid w:val="0064410E"/>
    <w:rsid w:val="006441F9"/>
    <w:rsid w:val="00644222"/>
    <w:rsid w:val="0064424B"/>
    <w:rsid w:val="00644327"/>
    <w:rsid w:val="00644329"/>
    <w:rsid w:val="0064434C"/>
    <w:rsid w:val="00644430"/>
    <w:rsid w:val="0064445C"/>
    <w:rsid w:val="00644503"/>
    <w:rsid w:val="00644546"/>
    <w:rsid w:val="0064456C"/>
    <w:rsid w:val="006445AC"/>
    <w:rsid w:val="006445FC"/>
    <w:rsid w:val="0064468A"/>
    <w:rsid w:val="0064476B"/>
    <w:rsid w:val="006447A4"/>
    <w:rsid w:val="00644897"/>
    <w:rsid w:val="00644955"/>
    <w:rsid w:val="0064498A"/>
    <w:rsid w:val="00644AB3"/>
    <w:rsid w:val="00644AD8"/>
    <w:rsid w:val="00644B54"/>
    <w:rsid w:val="00644BA5"/>
    <w:rsid w:val="00644C5B"/>
    <w:rsid w:val="006451A7"/>
    <w:rsid w:val="0064527B"/>
    <w:rsid w:val="006454D5"/>
    <w:rsid w:val="0064569F"/>
    <w:rsid w:val="0064582D"/>
    <w:rsid w:val="006458A1"/>
    <w:rsid w:val="006459B8"/>
    <w:rsid w:val="00645B62"/>
    <w:rsid w:val="00645C24"/>
    <w:rsid w:val="00645EE1"/>
    <w:rsid w:val="00645EE7"/>
    <w:rsid w:val="0064600E"/>
    <w:rsid w:val="0064612B"/>
    <w:rsid w:val="00646183"/>
    <w:rsid w:val="0064630A"/>
    <w:rsid w:val="0064632C"/>
    <w:rsid w:val="006464DD"/>
    <w:rsid w:val="006465CE"/>
    <w:rsid w:val="006466F0"/>
    <w:rsid w:val="00646773"/>
    <w:rsid w:val="00646938"/>
    <w:rsid w:val="00646990"/>
    <w:rsid w:val="006469AD"/>
    <w:rsid w:val="006469B8"/>
    <w:rsid w:val="006469EC"/>
    <w:rsid w:val="00646A94"/>
    <w:rsid w:val="00646AB4"/>
    <w:rsid w:val="00646D3B"/>
    <w:rsid w:val="00646D89"/>
    <w:rsid w:val="00646DDF"/>
    <w:rsid w:val="00646E05"/>
    <w:rsid w:val="00646ED0"/>
    <w:rsid w:val="00646F50"/>
    <w:rsid w:val="00647000"/>
    <w:rsid w:val="006470C2"/>
    <w:rsid w:val="00647253"/>
    <w:rsid w:val="0064728C"/>
    <w:rsid w:val="0064734C"/>
    <w:rsid w:val="0064737E"/>
    <w:rsid w:val="00647429"/>
    <w:rsid w:val="00647568"/>
    <w:rsid w:val="00647614"/>
    <w:rsid w:val="006476AD"/>
    <w:rsid w:val="00647837"/>
    <w:rsid w:val="0064786D"/>
    <w:rsid w:val="00647A8E"/>
    <w:rsid w:val="00647AB6"/>
    <w:rsid w:val="00647B42"/>
    <w:rsid w:val="00647BD7"/>
    <w:rsid w:val="00647C24"/>
    <w:rsid w:val="00647C8F"/>
    <w:rsid w:val="00647D4D"/>
    <w:rsid w:val="00647D50"/>
    <w:rsid w:val="00647EF2"/>
    <w:rsid w:val="00647F60"/>
    <w:rsid w:val="00647F94"/>
    <w:rsid w:val="00647F96"/>
    <w:rsid w:val="00650019"/>
    <w:rsid w:val="0065067F"/>
    <w:rsid w:val="00650750"/>
    <w:rsid w:val="0065075D"/>
    <w:rsid w:val="006507A5"/>
    <w:rsid w:val="006507AB"/>
    <w:rsid w:val="00650815"/>
    <w:rsid w:val="0065086C"/>
    <w:rsid w:val="00650B7B"/>
    <w:rsid w:val="00650C7E"/>
    <w:rsid w:val="00650D8B"/>
    <w:rsid w:val="00650EBB"/>
    <w:rsid w:val="00651112"/>
    <w:rsid w:val="00651134"/>
    <w:rsid w:val="00651180"/>
    <w:rsid w:val="0065129D"/>
    <w:rsid w:val="0065147E"/>
    <w:rsid w:val="00651567"/>
    <w:rsid w:val="00651771"/>
    <w:rsid w:val="00651882"/>
    <w:rsid w:val="006518C8"/>
    <w:rsid w:val="00651901"/>
    <w:rsid w:val="00651CB6"/>
    <w:rsid w:val="00651DC2"/>
    <w:rsid w:val="00651DCA"/>
    <w:rsid w:val="0065203A"/>
    <w:rsid w:val="00652121"/>
    <w:rsid w:val="00652342"/>
    <w:rsid w:val="0065238B"/>
    <w:rsid w:val="006523C6"/>
    <w:rsid w:val="0065241A"/>
    <w:rsid w:val="006524E8"/>
    <w:rsid w:val="00652560"/>
    <w:rsid w:val="00652568"/>
    <w:rsid w:val="006526BD"/>
    <w:rsid w:val="00652828"/>
    <w:rsid w:val="00652835"/>
    <w:rsid w:val="006528E7"/>
    <w:rsid w:val="006528EC"/>
    <w:rsid w:val="00652ADD"/>
    <w:rsid w:val="00652C6E"/>
    <w:rsid w:val="00652D3C"/>
    <w:rsid w:val="006532FA"/>
    <w:rsid w:val="00653415"/>
    <w:rsid w:val="006534D7"/>
    <w:rsid w:val="00653526"/>
    <w:rsid w:val="006535BF"/>
    <w:rsid w:val="006537FA"/>
    <w:rsid w:val="0065380C"/>
    <w:rsid w:val="0065386C"/>
    <w:rsid w:val="00653901"/>
    <w:rsid w:val="0065395D"/>
    <w:rsid w:val="00653BF4"/>
    <w:rsid w:val="00653C91"/>
    <w:rsid w:val="00653CAA"/>
    <w:rsid w:val="00653D81"/>
    <w:rsid w:val="00653E33"/>
    <w:rsid w:val="00653EA9"/>
    <w:rsid w:val="00653F13"/>
    <w:rsid w:val="00653FCD"/>
    <w:rsid w:val="0065400F"/>
    <w:rsid w:val="00654010"/>
    <w:rsid w:val="006540B7"/>
    <w:rsid w:val="00654162"/>
    <w:rsid w:val="006541C1"/>
    <w:rsid w:val="006541F1"/>
    <w:rsid w:val="00654272"/>
    <w:rsid w:val="00654281"/>
    <w:rsid w:val="006542A7"/>
    <w:rsid w:val="00654318"/>
    <w:rsid w:val="006543A3"/>
    <w:rsid w:val="00654498"/>
    <w:rsid w:val="00654511"/>
    <w:rsid w:val="006546FC"/>
    <w:rsid w:val="006547BC"/>
    <w:rsid w:val="00654818"/>
    <w:rsid w:val="0065489E"/>
    <w:rsid w:val="0065492D"/>
    <w:rsid w:val="0065498C"/>
    <w:rsid w:val="006549BF"/>
    <w:rsid w:val="006549C4"/>
    <w:rsid w:val="00654CAB"/>
    <w:rsid w:val="00654CCB"/>
    <w:rsid w:val="00654D1D"/>
    <w:rsid w:val="00654EF3"/>
    <w:rsid w:val="0065509F"/>
    <w:rsid w:val="00655178"/>
    <w:rsid w:val="006552FF"/>
    <w:rsid w:val="006553D2"/>
    <w:rsid w:val="006555B0"/>
    <w:rsid w:val="006556E2"/>
    <w:rsid w:val="00655744"/>
    <w:rsid w:val="0065575D"/>
    <w:rsid w:val="006557C0"/>
    <w:rsid w:val="00655C7F"/>
    <w:rsid w:val="00655C88"/>
    <w:rsid w:val="00655CFA"/>
    <w:rsid w:val="00655D62"/>
    <w:rsid w:val="00655EA3"/>
    <w:rsid w:val="00655F4F"/>
    <w:rsid w:val="00655F72"/>
    <w:rsid w:val="00656013"/>
    <w:rsid w:val="00656029"/>
    <w:rsid w:val="00656138"/>
    <w:rsid w:val="00656156"/>
    <w:rsid w:val="0065617F"/>
    <w:rsid w:val="006562DF"/>
    <w:rsid w:val="006563AF"/>
    <w:rsid w:val="006565F4"/>
    <w:rsid w:val="00656656"/>
    <w:rsid w:val="0065666D"/>
    <w:rsid w:val="006567B5"/>
    <w:rsid w:val="00656972"/>
    <w:rsid w:val="00656AA7"/>
    <w:rsid w:val="00656EF3"/>
    <w:rsid w:val="00656F19"/>
    <w:rsid w:val="00657092"/>
    <w:rsid w:val="006571A3"/>
    <w:rsid w:val="006571EA"/>
    <w:rsid w:val="00657279"/>
    <w:rsid w:val="0065736C"/>
    <w:rsid w:val="006573C6"/>
    <w:rsid w:val="006573ED"/>
    <w:rsid w:val="006576C8"/>
    <w:rsid w:val="006577E5"/>
    <w:rsid w:val="0065782F"/>
    <w:rsid w:val="0065797C"/>
    <w:rsid w:val="00657A33"/>
    <w:rsid w:val="00657B5E"/>
    <w:rsid w:val="00657BCD"/>
    <w:rsid w:val="00657D5A"/>
    <w:rsid w:val="00657E93"/>
    <w:rsid w:val="00657ED4"/>
    <w:rsid w:val="00660224"/>
    <w:rsid w:val="006603F5"/>
    <w:rsid w:val="00660572"/>
    <w:rsid w:val="00660579"/>
    <w:rsid w:val="006606D4"/>
    <w:rsid w:val="00660759"/>
    <w:rsid w:val="00660B66"/>
    <w:rsid w:val="00660B96"/>
    <w:rsid w:val="00660D61"/>
    <w:rsid w:val="00660DC2"/>
    <w:rsid w:val="00660DD2"/>
    <w:rsid w:val="00660DEA"/>
    <w:rsid w:val="00660F66"/>
    <w:rsid w:val="00661015"/>
    <w:rsid w:val="006610A5"/>
    <w:rsid w:val="00661165"/>
    <w:rsid w:val="0066117C"/>
    <w:rsid w:val="00661260"/>
    <w:rsid w:val="006612F1"/>
    <w:rsid w:val="0066141A"/>
    <w:rsid w:val="00661449"/>
    <w:rsid w:val="00661576"/>
    <w:rsid w:val="006616A2"/>
    <w:rsid w:val="0066178B"/>
    <w:rsid w:val="0066179C"/>
    <w:rsid w:val="0066184A"/>
    <w:rsid w:val="00661929"/>
    <w:rsid w:val="006619FB"/>
    <w:rsid w:val="00661B29"/>
    <w:rsid w:val="00661BDC"/>
    <w:rsid w:val="00661C85"/>
    <w:rsid w:val="00661CFF"/>
    <w:rsid w:val="00661DCB"/>
    <w:rsid w:val="00661EF7"/>
    <w:rsid w:val="00661F42"/>
    <w:rsid w:val="00661FEF"/>
    <w:rsid w:val="0066209B"/>
    <w:rsid w:val="006620D6"/>
    <w:rsid w:val="006620EC"/>
    <w:rsid w:val="00662113"/>
    <w:rsid w:val="006621D2"/>
    <w:rsid w:val="00662259"/>
    <w:rsid w:val="0066225C"/>
    <w:rsid w:val="00662364"/>
    <w:rsid w:val="0066236D"/>
    <w:rsid w:val="0066245A"/>
    <w:rsid w:val="00662624"/>
    <w:rsid w:val="0066269D"/>
    <w:rsid w:val="006626A7"/>
    <w:rsid w:val="00662834"/>
    <w:rsid w:val="00662860"/>
    <w:rsid w:val="00662899"/>
    <w:rsid w:val="00662AD0"/>
    <w:rsid w:val="00662BAB"/>
    <w:rsid w:val="00662C4A"/>
    <w:rsid w:val="00662D8C"/>
    <w:rsid w:val="00662D9B"/>
    <w:rsid w:val="0066300D"/>
    <w:rsid w:val="0066306F"/>
    <w:rsid w:val="00663098"/>
    <w:rsid w:val="006630CD"/>
    <w:rsid w:val="00663103"/>
    <w:rsid w:val="00663171"/>
    <w:rsid w:val="0066322D"/>
    <w:rsid w:val="00663270"/>
    <w:rsid w:val="006632C3"/>
    <w:rsid w:val="00663517"/>
    <w:rsid w:val="006636ED"/>
    <w:rsid w:val="006637BC"/>
    <w:rsid w:val="006637DD"/>
    <w:rsid w:val="0066386B"/>
    <w:rsid w:val="00663AA3"/>
    <w:rsid w:val="00663B8D"/>
    <w:rsid w:val="00663C41"/>
    <w:rsid w:val="00663D81"/>
    <w:rsid w:val="00663E43"/>
    <w:rsid w:val="00663EC8"/>
    <w:rsid w:val="00663F00"/>
    <w:rsid w:val="00663FF3"/>
    <w:rsid w:val="00664092"/>
    <w:rsid w:val="006640D8"/>
    <w:rsid w:val="0066420D"/>
    <w:rsid w:val="00664275"/>
    <w:rsid w:val="00664276"/>
    <w:rsid w:val="006642FE"/>
    <w:rsid w:val="00664324"/>
    <w:rsid w:val="0066442D"/>
    <w:rsid w:val="00664465"/>
    <w:rsid w:val="0066464D"/>
    <w:rsid w:val="00664662"/>
    <w:rsid w:val="0066466D"/>
    <w:rsid w:val="0066471C"/>
    <w:rsid w:val="00664755"/>
    <w:rsid w:val="00664898"/>
    <w:rsid w:val="006648D9"/>
    <w:rsid w:val="006649EF"/>
    <w:rsid w:val="00664AC6"/>
    <w:rsid w:val="00664AEE"/>
    <w:rsid w:val="00664C24"/>
    <w:rsid w:val="00664DA0"/>
    <w:rsid w:val="00664DAA"/>
    <w:rsid w:val="00664F44"/>
    <w:rsid w:val="006650D7"/>
    <w:rsid w:val="00665315"/>
    <w:rsid w:val="0066536E"/>
    <w:rsid w:val="006653C0"/>
    <w:rsid w:val="00665501"/>
    <w:rsid w:val="00665554"/>
    <w:rsid w:val="006655A7"/>
    <w:rsid w:val="006655B6"/>
    <w:rsid w:val="00665602"/>
    <w:rsid w:val="0066575C"/>
    <w:rsid w:val="006658E0"/>
    <w:rsid w:val="00665960"/>
    <w:rsid w:val="00665B27"/>
    <w:rsid w:val="00665CED"/>
    <w:rsid w:val="00665DB9"/>
    <w:rsid w:val="00665F51"/>
    <w:rsid w:val="00665F5E"/>
    <w:rsid w:val="00665F6A"/>
    <w:rsid w:val="00666095"/>
    <w:rsid w:val="006660AD"/>
    <w:rsid w:val="0066611D"/>
    <w:rsid w:val="006661E7"/>
    <w:rsid w:val="0066622F"/>
    <w:rsid w:val="006663CE"/>
    <w:rsid w:val="00666416"/>
    <w:rsid w:val="0066643F"/>
    <w:rsid w:val="00666446"/>
    <w:rsid w:val="0066653C"/>
    <w:rsid w:val="0066662B"/>
    <w:rsid w:val="006666FF"/>
    <w:rsid w:val="00666702"/>
    <w:rsid w:val="0066673C"/>
    <w:rsid w:val="00666751"/>
    <w:rsid w:val="006667E4"/>
    <w:rsid w:val="00666817"/>
    <w:rsid w:val="006668DB"/>
    <w:rsid w:val="00666949"/>
    <w:rsid w:val="00666A5B"/>
    <w:rsid w:val="00666AB9"/>
    <w:rsid w:val="00666AF2"/>
    <w:rsid w:val="00666BBD"/>
    <w:rsid w:val="00666DA4"/>
    <w:rsid w:val="00666DA7"/>
    <w:rsid w:val="00666E3D"/>
    <w:rsid w:val="00667241"/>
    <w:rsid w:val="006672FC"/>
    <w:rsid w:val="00667379"/>
    <w:rsid w:val="006674C8"/>
    <w:rsid w:val="00667594"/>
    <w:rsid w:val="00667636"/>
    <w:rsid w:val="006676E2"/>
    <w:rsid w:val="006676F1"/>
    <w:rsid w:val="00667710"/>
    <w:rsid w:val="006677C3"/>
    <w:rsid w:val="006677D0"/>
    <w:rsid w:val="006677E0"/>
    <w:rsid w:val="006677F4"/>
    <w:rsid w:val="00667828"/>
    <w:rsid w:val="00667836"/>
    <w:rsid w:val="006679A6"/>
    <w:rsid w:val="00667A6F"/>
    <w:rsid w:val="00667CFE"/>
    <w:rsid w:val="00667D78"/>
    <w:rsid w:val="006702D2"/>
    <w:rsid w:val="00670546"/>
    <w:rsid w:val="0067062A"/>
    <w:rsid w:val="00670637"/>
    <w:rsid w:val="006706BA"/>
    <w:rsid w:val="006708DC"/>
    <w:rsid w:val="00670A2E"/>
    <w:rsid w:val="00670AD8"/>
    <w:rsid w:val="00670AF5"/>
    <w:rsid w:val="00670B27"/>
    <w:rsid w:val="00670BA2"/>
    <w:rsid w:val="00670BA5"/>
    <w:rsid w:val="00670BCE"/>
    <w:rsid w:val="00670CBF"/>
    <w:rsid w:val="00670FA3"/>
    <w:rsid w:val="00670FE2"/>
    <w:rsid w:val="00671247"/>
    <w:rsid w:val="0067127E"/>
    <w:rsid w:val="00671530"/>
    <w:rsid w:val="0067153D"/>
    <w:rsid w:val="00671583"/>
    <w:rsid w:val="00671585"/>
    <w:rsid w:val="0067166B"/>
    <w:rsid w:val="006719E8"/>
    <w:rsid w:val="00671BD5"/>
    <w:rsid w:val="00671E6E"/>
    <w:rsid w:val="00671F12"/>
    <w:rsid w:val="00671F4B"/>
    <w:rsid w:val="00672082"/>
    <w:rsid w:val="006720B7"/>
    <w:rsid w:val="006721A2"/>
    <w:rsid w:val="00672217"/>
    <w:rsid w:val="0067222D"/>
    <w:rsid w:val="0067253E"/>
    <w:rsid w:val="00672635"/>
    <w:rsid w:val="00672661"/>
    <w:rsid w:val="00672728"/>
    <w:rsid w:val="00672749"/>
    <w:rsid w:val="006729EC"/>
    <w:rsid w:val="00672B23"/>
    <w:rsid w:val="00672CC7"/>
    <w:rsid w:val="00672D51"/>
    <w:rsid w:val="00672D56"/>
    <w:rsid w:val="00672D66"/>
    <w:rsid w:val="00672DC0"/>
    <w:rsid w:val="00672F72"/>
    <w:rsid w:val="00673029"/>
    <w:rsid w:val="006731A3"/>
    <w:rsid w:val="0067331E"/>
    <w:rsid w:val="006733E3"/>
    <w:rsid w:val="00673425"/>
    <w:rsid w:val="006734BA"/>
    <w:rsid w:val="006735E8"/>
    <w:rsid w:val="0067362C"/>
    <w:rsid w:val="0067375D"/>
    <w:rsid w:val="0067377F"/>
    <w:rsid w:val="0067379F"/>
    <w:rsid w:val="006737CF"/>
    <w:rsid w:val="00673869"/>
    <w:rsid w:val="00673871"/>
    <w:rsid w:val="006739F7"/>
    <w:rsid w:val="006739F8"/>
    <w:rsid w:val="00673B47"/>
    <w:rsid w:val="00673D77"/>
    <w:rsid w:val="00673DFB"/>
    <w:rsid w:val="00673E1B"/>
    <w:rsid w:val="00673ED5"/>
    <w:rsid w:val="00673F80"/>
    <w:rsid w:val="00673FCA"/>
    <w:rsid w:val="006740FA"/>
    <w:rsid w:val="0067413E"/>
    <w:rsid w:val="0067414C"/>
    <w:rsid w:val="0067417E"/>
    <w:rsid w:val="0067467D"/>
    <w:rsid w:val="0067468F"/>
    <w:rsid w:val="0067477D"/>
    <w:rsid w:val="006747D9"/>
    <w:rsid w:val="00674838"/>
    <w:rsid w:val="0067485B"/>
    <w:rsid w:val="006748A4"/>
    <w:rsid w:val="0067499D"/>
    <w:rsid w:val="006749C8"/>
    <w:rsid w:val="00674B5D"/>
    <w:rsid w:val="00674C67"/>
    <w:rsid w:val="00674E4A"/>
    <w:rsid w:val="006750EF"/>
    <w:rsid w:val="006751D3"/>
    <w:rsid w:val="00675203"/>
    <w:rsid w:val="0067527E"/>
    <w:rsid w:val="0067530D"/>
    <w:rsid w:val="0067536B"/>
    <w:rsid w:val="0067540F"/>
    <w:rsid w:val="006754BE"/>
    <w:rsid w:val="00675501"/>
    <w:rsid w:val="00675647"/>
    <w:rsid w:val="006757C6"/>
    <w:rsid w:val="0067580C"/>
    <w:rsid w:val="00675820"/>
    <w:rsid w:val="006758FF"/>
    <w:rsid w:val="00675956"/>
    <w:rsid w:val="00675AE5"/>
    <w:rsid w:val="00675B2E"/>
    <w:rsid w:val="00675D69"/>
    <w:rsid w:val="00675D94"/>
    <w:rsid w:val="00675DA0"/>
    <w:rsid w:val="00675DDB"/>
    <w:rsid w:val="00675E92"/>
    <w:rsid w:val="00676149"/>
    <w:rsid w:val="00676247"/>
    <w:rsid w:val="006762DD"/>
    <w:rsid w:val="006762EB"/>
    <w:rsid w:val="006762FF"/>
    <w:rsid w:val="00676301"/>
    <w:rsid w:val="0067642F"/>
    <w:rsid w:val="00676497"/>
    <w:rsid w:val="006765F6"/>
    <w:rsid w:val="006767C1"/>
    <w:rsid w:val="006767DE"/>
    <w:rsid w:val="0067694F"/>
    <w:rsid w:val="00676A57"/>
    <w:rsid w:val="00676A85"/>
    <w:rsid w:val="00676C96"/>
    <w:rsid w:val="00676F83"/>
    <w:rsid w:val="00677066"/>
    <w:rsid w:val="00677097"/>
    <w:rsid w:val="00677109"/>
    <w:rsid w:val="006772BB"/>
    <w:rsid w:val="00677523"/>
    <w:rsid w:val="00677579"/>
    <w:rsid w:val="00677671"/>
    <w:rsid w:val="006776B5"/>
    <w:rsid w:val="00677724"/>
    <w:rsid w:val="00677787"/>
    <w:rsid w:val="00677813"/>
    <w:rsid w:val="00677882"/>
    <w:rsid w:val="006778B8"/>
    <w:rsid w:val="00677B18"/>
    <w:rsid w:val="00677B71"/>
    <w:rsid w:val="00677B77"/>
    <w:rsid w:val="00677D5C"/>
    <w:rsid w:val="00677DC7"/>
    <w:rsid w:val="00677F5A"/>
    <w:rsid w:val="00677FF6"/>
    <w:rsid w:val="00680001"/>
    <w:rsid w:val="00680026"/>
    <w:rsid w:val="0068008A"/>
    <w:rsid w:val="00680095"/>
    <w:rsid w:val="006800AA"/>
    <w:rsid w:val="00680221"/>
    <w:rsid w:val="0068025E"/>
    <w:rsid w:val="006803C8"/>
    <w:rsid w:val="006805FE"/>
    <w:rsid w:val="00680742"/>
    <w:rsid w:val="00680828"/>
    <w:rsid w:val="006808E0"/>
    <w:rsid w:val="00680A43"/>
    <w:rsid w:val="00680B5E"/>
    <w:rsid w:val="00680D94"/>
    <w:rsid w:val="00680ECD"/>
    <w:rsid w:val="00680F3E"/>
    <w:rsid w:val="00680F9F"/>
    <w:rsid w:val="0068104C"/>
    <w:rsid w:val="0068107B"/>
    <w:rsid w:val="006810A5"/>
    <w:rsid w:val="00681160"/>
    <w:rsid w:val="0068121D"/>
    <w:rsid w:val="0068148B"/>
    <w:rsid w:val="006814E3"/>
    <w:rsid w:val="00681615"/>
    <w:rsid w:val="0068188A"/>
    <w:rsid w:val="006819E2"/>
    <w:rsid w:val="00681B88"/>
    <w:rsid w:val="00681D3A"/>
    <w:rsid w:val="00681DA0"/>
    <w:rsid w:val="00681DD1"/>
    <w:rsid w:val="00681E4C"/>
    <w:rsid w:val="00681E56"/>
    <w:rsid w:val="00681F3E"/>
    <w:rsid w:val="00681F9B"/>
    <w:rsid w:val="00681FC6"/>
    <w:rsid w:val="00682035"/>
    <w:rsid w:val="006821C6"/>
    <w:rsid w:val="006821CF"/>
    <w:rsid w:val="00682261"/>
    <w:rsid w:val="006822C6"/>
    <w:rsid w:val="006822E6"/>
    <w:rsid w:val="006823A6"/>
    <w:rsid w:val="0068250A"/>
    <w:rsid w:val="00682607"/>
    <w:rsid w:val="006827E7"/>
    <w:rsid w:val="0068297D"/>
    <w:rsid w:val="00682998"/>
    <w:rsid w:val="006829ED"/>
    <w:rsid w:val="00682A5B"/>
    <w:rsid w:val="00682E46"/>
    <w:rsid w:val="00682F76"/>
    <w:rsid w:val="00682F89"/>
    <w:rsid w:val="00683002"/>
    <w:rsid w:val="006830FD"/>
    <w:rsid w:val="006831DD"/>
    <w:rsid w:val="0068328A"/>
    <w:rsid w:val="00683298"/>
    <w:rsid w:val="006832D6"/>
    <w:rsid w:val="006832D7"/>
    <w:rsid w:val="006833AC"/>
    <w:rsid w:val="00683438"/>
    <w:rsid w:val="006834E3"/>
    <w:rsid w:val="0068355C"/>
    <w:rsid w:val="00683565"/>
    <w:rsid w:val="006835F7"/>
    <w:rsid w:val="00683683"/>
    <w:rsid w:val="00683702"/>
    <w:rsid w:val="00683975"/>
    <w:rsid w:val="00683976"/>
    <w:rsid w:val="00683A15"/>
    <w:rsid w:val="00683A9D"/>
    <w:rsid w:val="00683AEF"/>
    <w:rsid w:val="00683B7B"/>
    <w:rsid w:val="00683BF9"/>
    <w:rsid w:val="00683CB1"/>
    <w:rsid w:val="00683D4B"/>
    <w:rsid w:val="00683D6F"/>
    <w:rsid w:val="00683E6B"/>
    <w:rsid w:val="00683E97"/>
    <w:rsid w:val="00683EA8"/>
    <w:rsid w:val="00683EC8"/>
    <w:rsid w:val="00683F9F"/>
    <w:rsid w:val="006840FC"/>
    <w:rsid w:val="00684102"/>
    <w:rsid w:val="0068431A"/>
    <w:rsid w:val="00684432"/>
    <w:rsid w:val="00684453"/>
    <w:rsid w:val="006844B4"/>
    <w:rsid w:val="00684792"/>
    <w:rsid w:val="006847A8"/>
    <w:rsid w:val="00684826"/>
    <w:rsid w:val="00684902"/>
    <w:rsid w:val="00684A28"/>
    <w:rsid w:val="00684A32"/>
    <w:rsid w:val="00684C07"/>
    <w:rsid w:val="00684D52"/>
    <w:rsid w:val="00684D70"/>
    <w:rsid w:val="00684DF6"/>
    <w:rsid w:val="00684E3D"/>
    <w:rsid w:val="00684F38"/>
    <w:rsid w:val="00684F7C"/>
    <w:rsid w:val="0068509C"/>
    <w:rsid w:val="006850AA"/>
    <w:rsid w:val="006850DD"/>
    <w:rsid w:val="006851DC"/>
    <w:rsid w:val="00685241"/>
    <w:rsid w:val="0068525D"/>
    <w:rsid w:val="0068539D"/>
    <w:rsid w:val="006853F7"/>
    <w:rsid w:val="00685452"/>
    <w:rsid w:val="006856A9"/>
    <w:rsid w:val="00685720"/>
    <w:rsid w:val="0068572E"/>
    <w:rsid w:val="00685780"/>
    <w:rsid w:val="00685797"/>
    <w:rsid w:val="006857DD"/>
    <w:rsid w:val="00685844"/>
    <w:rsid w:val="00685984"/>
    <w:rsid w:val="00685995"/>
    <w:rsid w:val="006859B1"/>
    <w:rsid w:val="00685A41"/>
    <w:rsid w:val="00685D36"/>
    <w:rsid w:val="00686152"/>
    <w:rsid w:val="00686297"/>
    <w:rsid w:val="006867A6"/>
    <w:rsid w:val="0068687A"/>
    <w:rsid w:val="006868EC"/>
    <w:rsid w:val="006869E8"/>
    <w:rsid w:val="00686A46"/>
    <w:rsid w:val="00686A55"/>
    <w:rsid w:val="00686A5D"/>
    <w:rsid w:val="00686A71"/>
    <w:rsid w:val="00686AD4"/>
    <w:rsid w:val="00686BEC"/>
    <w:rsid w:val="00686BFD"/>
    <w:rsid w:val="00686E84"/>
    <w:rsid w:val="00686EA4"/>
    <w:rsid w:val="0068704C"/>
    <w:rsid w:val="00687061"/>
    <w:rsid w:val="006870A8"/>
    <w:rsid w:val="00687394"/>
    <w:rsid w:val="0068750C"/>
    <w:rsid w:val="00687530"/>
    <w:rsid w:val="00687617"/>
    <w:rsid w:val="00687648"/>
    <w:rsid w:val="00687729"/>
    <w:rsid w:val="0068789C"/>
    <w:rsid w:val="00687991"/>
    <w:rsid w:val="006879D1"/>
    <w:rsid w:val="00687AA6"/>
    <w:rsid w:val="00687BBE"/>
    <w:rsid w:val="00687C9C"/>
    <w:rsid w:val="00687D5F"/>
    <w:rsid w:val="00687D73"/>
    <w:rsid w:val="00687D77"/>
    <w:rsid w:val="00687E80"/>
    <w:rsid w:val="00687ED4"/>
    <w:rsid w:val="00687EEF"/>
    <w:rsid w:val="00687EFC"/>
    <w:rsid w:val="0069005C"/>
    <w:rsid w:val="0069014E"/>
    <w:rsid w:val="0069016B"/>
    <w:rsid w:val="006901B0"/>
    <w:rsid w:val="006901FC"/>
    <w:rsid w:val="00690308"/>
    <w:rsid w:val="0069043F"/>
    <w:rsid w:val="00690452"/>
    <w:rsid w:val="0069049B"/>
    <w:rsid w:val="006905E7"/>
    <w:rsid w:val="0069077B"/>
    <w:rsid w:val="0069079A"/>
    <w:rsid w:val="006907A0"/>
    <w:rsid w:val="006907E4"/>
    <w:rsid w:val="006908A3"/>
    <w:rsid w:val="006908BE"/>
    <w:rsid w:val="00690929"/>
    <w:rsid w:val="00690980"/>
    <w:rsid w:val="006909CC"/>
    <w:rsid w:val="00690BD2"/>
    <w:rsid w:val="00690BE8"/>
    <w:rsid w:val="00690D07"/>
    <w:rsid w:val="00690D15"/>
    <w:rsid w:val="00690EAD"/>
    <w:rsid w:val="00690F65"/>
    <w:rsid w:val="00690F6E"/>
    <w:rsid w:val="00690FF3"/>
    <w:rsid w:val="00691000"/>
    <w:rsid w:val="0069104B"/>
    <w:rsid w:val="00691273"/>
    <w:rsid w:val="00691365"/>
    <w:rsid w:val="006913C3"/>
    <w:rsid w:val="006913FA"/>
    <w:rsid w:val="00691508"/>
    <w:rsid w:val="006915ED"/>
    <w:rsid w:val="006916A5"/>
    <w:rsid w:val="006916B1"/>
    <w:rsid w:val="006917A1"/>
    <w:rsid w:val="00691838"/>
    <w:rsid w:val="00691A0A"/>
    <w:rsid w:val="00691CD7"/>
    <w:rsid w:val="00691E47"/>
    <w:rsid w:val="00691E7B"/>
    <w:rsid w:val="00692040"/>
    <w:rsid w:val="00692123"/>
    <w:rsid w:val="0069214B"/>
    <w:rsid w:val="00692224"/>
    <w:rsid w:val="0069223E"/>
    <w:rsid w:val="00692346"/>
    <w:rsid w:val="0069235E"/>
    <w:rsid w:val="0069238E"/>
    <w:rsid w:val="00692397"/>
    <w:rsid w:val="006923BB"/>
    <w:rsid w:val="00692533"/>
    <w:rsid w:val="0069258F"/>
    <w:rsid w:val="00692621"/>
    <w:rsid w:val="0069265F"/>
    <w:rsid w:val="006927AD"/>
    <w:rsid w:val="00692986"/>
    <w:rsid w:val="006929E2"/>
    <w:rsid w:val="00692A23"/>
    <w:rsid w:val="00692AF1"/>
    <w:rsid w:val="00692B63"/>
    <w:rsid w:val="00692C08"/>
    <w:rsid w:val="00692C1D"/>
    <w:rsid w:val="00692C85"/>
    <w:rsid w:val="00692CB4"/>
    <w:rsid w:val="00692CC4"/>
    <w:rsid w:val="00692D53"/>
    <w:rsid w:val="00692DA7"/>
    <w:rsid w:val="00692DD9"/>
    <w:rsid w:val="00692E73"/>
    <w:rsid w:val="00692F03"/>
    <w:rsid w:val="00693038"/>
    <w:rsid w:val="00693060"/>
    <w:rsid w:val="00693144"/>
    <w:rsid w:val="00693199"/>
    <w:rsid w:val="00693250"/>
    <w:rsid w:val="00693353"/>
    <w:rsid w:val="006933EE"/>
    <w:rsid w:val="00693466"/>
    <w:rsid w:val="0069352A"/>
    <w:rsid w:val="006936B0"/>
    <w:rsid w:val="006937B8"/>
    <w:rsid w:val="00693860"/>
    <w:rsid w:val="00693863"/>
    <w:rsid w:val="006938FF"/>
    <w:rsid w:val="0069393E"/>
    <w:rsid w:val="00693A15"/>
    <w:rsid w:val="00693B13"/>
    <w:rsid w:val="00693B23"/>
    <w:rsid w:val="00693C12"/>
    <w:rsid w:val="00693C25"/>
    <w:rsid w:val="00693C62"/>
    <w:rsid w:val="00693D96"/>
    <w:rsid w:val="00694183"/>
    <w:rsid w:val="00694201"/>
    <w:rsid w:val="006942A9"/>
    <w:rsid w:val="0069431A"/>
    <w:rsid w:val="0069435B"/>
    <w:rsid w:val="006944F1"/>
    <w:rsid w:val="00694502"/>
    <w:rsid w:val="006945CE"/>
    <w:rsid w:val="006946B8"/>
    <w:rsid w:val="00694B4A"/>
    <w:rsid w:val="00694BB9"/>
    <w:rsid w:val="00694D3E"/>
    <w:rsid w:val="00694DD9"/>
    <w:rsid w:val="00694F5E"/>
    <w:rsid w:val="00694F9E"/>
    <w:rsid w:val="00695131"/>
    <w:rsid w:val="00695276"/>
    <w:rsid w:val="006952AE"/>
    <w:rsid w:val="00695423"/>
    <w:rsid w:val="00695474"/>
    <w:rsid w:val="00695785"/>
    <w:rsid w:val="006957F7"/>
    <w:rsid w:val="006958A4"/>
    <w:rsid w:val="006958A7"/>
    <w:rsid w:val="00695948"/>
    <w:rsid w:val="00695A1C"/>
    <w:rsid w:val="00695AB2"/>
    <w:rsid w:val="00695ACF"/>
    <w:rsid w:val="00695B73"/>
    <w:rsid w:val="00695C5C"/>
    <w:rsid w:val="00695CAE"/>
    <w:rsid w:val="00695E47"/>
    <w:rsid w:val="00695E6D"/>
    <w:rsid w:val="00695EB2"/>
    <w:rsid w:val="00695F77"/>
    <w:rsid w:val="00695F8D"/>
    <w:rsid w:val="006962BA"/>
    <w:rsid w:val="00696361"/>
    <w:rsid w:val="00696394"/>
    <w:rsid w:val="00696444"/>
    <w:rsid w:val="006964C0"/>
    <w:rsid w:val="00696509"/>
    <w:rsid w:val="006966B5"/>
    <w:rsid w:val="006966FC"/>
    <w:rsid w:val="00696809"/>
    <w:rsid w:val="0069689F"/>
    <w:rsid w:val="006968AE"/>
    <w:rsid w:val="006969CB"/>
    <w:rsid w:val="00696A32"/>
    <w:rsid w:val="00696A4A"/>
    <w:rsid w:val="00696BA6"/>
    <w:rsid w:val="00696CFD"/>
    <w:rsid w:val="00696D84"/>
    <w:rsid w:val="00696E38"/>
    <w:rsid w:val="00696EDD"/>
    <w:rsid w:val="00696EFC"/>
    <w:rsid w:val="0069701C"/>
    <w:rsid w:val="00697076"/>
    <w:rsid w:val="006971FF"/>
    <w:rsid w:val="0069735B"/>
    <w:rsid w:val="006975DE"/>
    <w:rsid w:val="00697617"/>
    <w:rsid w:val="006976D7"/>
    <w:rsid w:val="00697743"/>
    <w:rsid w:val="006977E8"/>
    <w:rsid w:val="0069781E"/>
    <w:rsid w:val="00697877"/>
    <w:rsid w:val="006979E3"/>
    <w:rsid w:val="00697A0D"/>
    <w:rsid w:val="00697A59"/>
    <w:rsid w:val="00697B1A"/>
    <w:rsid w:val="00697B55"/>
    <w:rsid w:val="00697BFE"/>
    <w:rsid w:val="00697DC9"/>
    <w:rsid w:val="00697E02"/>
    <w:rsid w:val="00697E8E"/>
    <w:rsid w:val="00697F0E"/>
    <w:rsid w:val="00697F66"/>
    <w:rsid w:val="00697FB0"/>
    <w:rsid w:val="00697FC9"/>
    <w:rsid w:val="006A001B"/>
    <w:rsid w:val="006A00E2"/>
    <w:rsid w:val="006A012B"/>
    <w:rsid w:val="006A0159"/>
    <w:rsid w:val="006A03EB"/>
    <w:rsid w:val="006A057C"/>
    <w:rsid w:val="006A0804"/>
    <w:rsid w:val="006A0840"/>
    <w:rsid w:val="006A084E"/>
    <w:rsid w:val="006A0852"/>
    <w:rsid w:val="006A09DE"/>
    <w:rsid w:val="006A0B89"/>
    <w:rsid w:val="006A0C23"/>
    <w:rsid w:val="006A0CEC"/>
    <w:rsid w:val="006A0E96"/>
    <w:rsid w:val="006A0F26"/>
    <w:rsid w:val="006A1035"/>
    <w:rsid w:val="006A108C"/>
    <w:rsid w:val="006A1142"/>
    <w:rsid w:val="006A117A"/>
    <w:rsid w:val="006A12E6"/>
    <w:rsid w:val="006A1370"/>
    <w:rsid w:val="006A1509"/>
    <w:rsid w:val="006A1617"/>
    <w:rsid w:val="006A162B"/>
    <w:rsid w:val="006A1651"/>
    <w:rsid w:val="006A181A"/>
    <w:rsid w:val="006A1908"/>
    <w:rsid w:val="006A1946"/>
    <w:rsid w:val="006A198A"/>
    <w:rsid w:val="006A19AE"/>
    <w:rsid w:val="006A1B90"/>
    <w:rsid w:val="006A1BC7"/>
    <w:rsid w:val="006A1BC8"/>
    <w:rsid w:val="006A1C19"/>
    <w:rsid w:val="006A1C26"/>
    <w:rsid w:val="006A1E76"/>
    <w:rsid w:val="006A1ECB"/>
    <w:rsid w:val="006A1F2C"/>
    <w:rsid w:val="006A2116"/>
    <w:rsid w:val="006A22A7"/>
    <w:rsid w:val="006A24F9"/>
    <w:rsid w:val="006A256C"/>
    <w:rsid w:val="006A263A"/>
    <w:rsid w:val="006A2739"/>
    <w:rsid w:val="006A289C"/>
    <w:rsid w:val="006A2A46"/>
    <w:rsid w:val="006A2A69"/>
    <w:rsid w:val="006A2ADB"/>
    <w:rsid w:val="006A2AFD"/>
    <w:rsid w:val="006A2D8A"/>
    <w:rsid w:val="006A2F06"/>
    <w:rsid w:val="006A2F11"/>
    <w:rsid w:val="006A2F28"/>
    <w:rsid w:val="006A305D"/>
    <w:rsid w:val="006A310C"/>
    <w:rsid w:val="006A3149"/>
    <w:rsid w:val="006A32CC"/>
    <w:rsid w:val="006A3398"/>
    <w:rsid w:val="006A3640"/>
    <w:rsid w:val="006A3774"/>
    <w:rsid w:val="006A377E"/>
    <w:rsid w:val="006A388D"/>
    <w:rsid w:val="006A3904"/>
    <w:rsid w:val="006A390E"/>
    <w:rsid w:val="006A3952"/>
    <w:rsid w:val="006A3954"/>
    <w:rsid w:val="006A3967"/>
    <w:rsid w:val="006A3B6E"/>
    <w:rsid w:val="006A3C26"/>
    <w:rsid w:val="006A3CA6"/>
    <w:rsid w:val="006A3EDD"/>
    <w:rsid w:val="006A3FE7"/>
    <w:rsid w:val="006A4054"/>
    <w:rsid w:val="006A40C3"/>
    <w:rsid w:val="006A40DD"/>
    <w:rsid w:val="006A40E3"/>
    <w:rsid w:val="006A40FC"/>
    <w:rsid w:val="006A4151"/>
    <w:rsid w:val="006A41C4"/>
    <w:rsid w:val="006A4461"/>
    <w:rsid w:val="006A451D"/>
    <w:rsid w:val="006A46AE"/>
    <w:rsid w:val="006A46EE"/>
    <w:rsid w:val="006A475C"/>
    <w:rsid w:val="006A47F3"/>
    <w:rsid w:val="006A48E5"/>
    <w:rsid w:val="006A4970"/>
    <w:rsid w:val="006A49E6"/>
    <w:rsid w:val="006A4AB3"/>
    <w:rsid w:val="006A4AD7"/>
    <w:rsid w:val="006A4CF6"/>
    <w:rsid w:val="006A4D1B"/>
    <w:rsid w:val="006A4E08"/>
    <w:rsid w:val="006A4E2E"/>
    <w:rsid w:val="006A4E61"/>
    <w:rsid w:val="006A4F7A"/>
    <w:rsid w:val="006A505B"/>
    <w:rsid w:val="006A5081"/>
    <w:rsid w:val="006A5183"/>
    <w:rsid w:val="006A5290"/>
    <w:rsid w:val="006A52A8"/>
    <w:rsid w:val="006A531F"/>
    <w:rsid w:val="006A5435"/>
    <w:rsid w:val="006A5494"/>
    <w:rsid w:val="006A55B4"/>
    <w:rsid w:val="006A56B5"/>
    <w:rsid w:val="006A574F"/>
    <w:rsid w:val="006A5763"/>
    <w:rsid w:val="006A57C9"/>
    <w:rsid w:val="006A57D6"/>
    <w:rsid w:val="006A57ED"/>
    <w:rsid w:val="006A5857"/>
    <w:rsid w:val="006A587D"/>
    <w:rsid w:val="006A595C"/>
    <w:rsid w:val="006A5965"/>
    <w:rsid w:val="006A59C6"/>
    <w:rsid w:val="006A5A43"/>
    <w:rsid w:val="006A5D20"/>
    <w:rsid w:val="006A5D88"/>
    <w:rsid w:val="006A5E86"/>
    <w:rsid w:val="006A6003"/>
    <w:rsid w:val="006A608E"/>
    <w:rsid w:val="006A62B9"/>
    <w:rsid w:val="006A631C"/>
    <w:rsid w:val="006A636E"/>
    <w:rsid w:val="006A63D4"/>
    <w:rsid w:val="006A63F4"/>
    <w:rsid w:val="006A6404"/>
    <w:rsid w:val="006A64A3"/>
    <w:rsid w:val="006A66A9"/>
    <w:rsid w:val="006A671F"/>
    <w:rsid w:val="006A690E"/>
    <w:rsid w:val="006A69D6"/>
    <w:rsid w:val="006A6AF3"/>
    <w:rsid w:val="006A6C2F"/>
    <w:rsid w:val="006A6C5D"/>
    <w:rsid w:val="006A6E7F"/>
    <w:rsid w:val="006A704B"/>
    <w:rsid w:val="006A70E6"/>
    <w:rsid w:val="006A7258"/>
    <w:rsid w:val="006A72EA"/>
    <w:rsid w:val="006A73AF"/>
    <w:rsid w:val="006A73E9"/>
    <w:rsid w:val="006A7413"/>
    <w:rsid w:val="006A7463"/>
    <w:rsid w:val="006A763F"/>
    <w:rsid w:val="006A777B"/>
    <w:rsid w:val="006A7804"/>
    <w:rsid w:val="006A78E6"/>
    <w:rsid w:val="006A7B37"/>
    <w:rsid w:val="006A7C32"/>
    <w:rsid w:val="006A7DBB"/>
    <w:rsid w:val="006A7E57"/>
    <w:rsid w:val="006A7F2F"/>
    <w:rsid w:val="006B0051"/>
    <w:rsid w:val="006B008C"/>
    <w:rsid w:val="006B0211"/>
    <w:rsid w:val="006B02DE"/>
    <w:rsid w:val="006B032A"/>
    <w:rsid w:val="006B0359"/>
    <w:rsid w:val="006B0425"/>
    <w:rsid w:val="006B048A"/>
    <w:rsid w:val="006B0581"/>
    <w:rsid w:val="006B0585"/>
    <w:rsid w:val="006B05EE"/>
    <w:rsid w:val="006B0670"/>
    <w:rsid w:val="006B069E"/>
    <w:rsid w:val="006B0748"/>
    <w:rsid w:val="006B0846"/>
    <w:rsid w:val="006B089B"/>
    <w:rsid w:val="006B0C2B"/>
    <w:rsid w:val="006B0CDE"/>
    <w:rsid w:val="006B0D94"/>
    <w:rsid w:val="006B0DD9"/>
    <w:rsid w:val="006B0F7D"/>
    <w:rsid w:val="006B10D5"/>
    <w:rsid w:val="006B1277"/>
    <w:rsid w:val="006B12EA"/>
    <w:rsid w:val="006B136E"/>
    <w:rsid w:val="006B1396"/>
    <w:rsid w:val="006B1468"/>
    <w:rsid w:val="006B1625"/>
    <w:rsid w:val="006B16FD"/>
    <w:rsid w:val="006B172D"/>
    <w:rsid w:val="006B1734"/>
    <w:rsid w:val="006B174F"/>
    <w:rsid w:val="006B1833"/>
    <w:rsid w:val="006B1919"/>
    <w:rsid w:val="006B19E1"/>
    <w:rsid w:val="006B19E7"/>
    <w:rsid w:val="006B1B1A"/>
    <w:rsid w:val="006B1C66"/>
    <w:rsid w:val="006B1C98"/>
    <w:rsid w:val="006B1D34"/>
    <w:rsid w:val="006B1DDD"/>
    <w:rsid w:val="006B1EAA"/>
    <w:rsid w:val="006B1F26"/>
    <w:rsid w:val="006B2005"/>
    <w:rsid w:val="006B2014"/>
    <w:rsid w:val="006B201E"/>
    <w:rsid w:val="006B2183"/>
    <w:rsid w:val="006B218B"/>
    <w:rsid w:val="006B2233"/>
    <w:rsid w:val="006B229E"/>
    <w:rsid w:val="006B23C1"/>
    <w:rsid w:val="006B2439"/>
    <w:rsid w:val="006B2572"/>
    <w:rsid w:val="006B25A2"/>
    <w:rsid w:val="006B25F0"/>
    <w:rsid w:val="006B2633"/>
    <w:rsid w:val="006B2675"/>
    <w:rsid w:val="006B2804"/>
    <w:rsid w:val="006B28BA"/>
    <w:rsid w:val="006B2956"/>
    <w:rsid w:val="006B29A3"/>
    <w:rsid w:val="006B2B6A"/>
    <w:rsid w:val="006B2C9C"/>
    <w:rsid w:val="006B2E57"/>
    <w:rsid w:val="006B2E7A"/>
    <w:rsid w:val="006B2EA5"/>
    <w:rsid w:val="006B2F8C"/>
    <w:rsid w:val="006B2FF3"/>
    <w:rsid w:val="006B3005"/>
    <w:rsid w:val="006B318F"/>
    <w:rsid w:val="006B31A0"/>
    <w:rsid w:val="006B350F"/>
    <w:rsid w:val="006B362A"/>
    <w:rsid w:val="006B371F"/>
    <w:rsid w:val="006B376E"/>
    <w:rsid w:val="006B37EB"/>
    <w:rsid w:val="006B38DA"/>
    <w:rsid w:val="006B3921"/>
    <w:rsid w:val="006B3A3D"/>
    <w:rsid w:val="006B3ABE"/>
    <w:rsid w:val="006B3C44"/>
    <w:rsid w:val="006B3C8F"/>
    <w:rsid w:val="006B3D69"/>
    <w:rsid w:val="006B3E90"/>
    <w:rsid w:val="006B3EC9"/>
    <w:rsid w:val="006B3F3F"/>
    <w:rsid w:val="006B3F48"/>
    <w:rsid w:val="006B3F5B"/>
    <w:rsid w:val="006B3F80"/>
    <w:rsid w:val="006B3FF3"/>
    <w:rsid w:val="006B405E"/>
    <w:rsid w:val="006B414E"/>
    <w:rsid w:val="006B420D"/>
    <w:rsid w:val="006B437B"/>
    <w:rsid w:val="006B4383"/>
    <w:rsid w:val="006B43EA"/>
    <w:rsid w:val="006B44BD"/>
    <w:rsid w:val="006B453A"/>
    <w:rsid w:val="006B45AB"/>
    <w:rsid w:val="006B45B1"/>
    <w:rsid w:val="006B46C3"/>
    <w:rsid w:val="006B4756"/>
    <w:rsid w:val="006B47DC"/>
    <w:rsid w:val="006B485F"/>
    <w:rsid w:val="006B4A8B"/>
    <w:rsid w:val="006B4AAD"/>
    <w:rsid w:val="006B4AE8"/>
    <w:rsid w:val="006B4BB8"/>
    <w:rsid w:val="006B4FD4"/>
    <w:rsid w:val="006B5019"/>
    <w:rsid w:val="006B5030"/>
    <w:rsid w:val="006B5212"/>
    <w:rsid w:val="006B52FE"/>
    <w:rsid w:val="006B5361"/>
    <w:rsid w:val="006B5507"/>
    <w:rsid w:val="006B5547"/>
    <w:rsid w:val="006B5561"/>
    <w:rsid w:val="006B5653"/>
    <w:rsid w:val="006B5774"/>
    <w:rsid w:val="006B5777"/>
    <w:rsid w:val="006B5805"/>
    <w:rsid w:val="006B582F"/>
    <w:rsid w:val="006B5874"/>
    <w:rsid w:val="006B589C"/>
    <w:rsid w:val="006B58D9"/>
    <w:rsid w:val="006B590C"/>
    <w:rsid w:val="006B5A3B"/>
    <w:rsid w:val="006B5A78"/>
    <w:rsid w:val="006B5BCC"/>
    <w:rsid w:val="006B5C24"/>
    <w:rsid w:val="006B5C51"/>
    <w:rsid w:val="006B5D3D"/>
    <w:rsid w:val="006B5D67"/>
    <w:rsid w:val="006B5E76"/>
    <w:rsid w:val="006B5E78"/>
    <w:rsid w:val="006B5F5E"/>
    <w:rsid w:val="006B6046"/>
    <w:rsid w:val="006B60CE"/>
    <w:rsid w:val="006B61B5"/>
    <w:rsid w:val="006B61C6"/>
    <w:rsid w:val="006B6220"/>
    <w:rsid w:val="006B63B4"/>
    <w:rsid w:val="006B63D1"/>
    <w:rsid w:val="006B6400"/>
    <w:rsid w:val="006B657A"/>
    <w:rsid w:val="006B65E8"/>
    <w:rsid w:val="006B66EB"/>
    <w:rsid w:val="006B67F4"/>
    <w:rsid w:val="006B6810"/>
    <w:rsid w:val="006B68FB"/>
    <w:rsid w:val="006B6934"/>
    <w:rsid w:val="006B6935"/>
    <w:rsid w:val="006B693E"/>
    <w:rsid w:val="006B694B"/>
    <w:rsid w:val="006B6957"/>
    <w:rsid w:val="006B6A9C"/>
    <w:rsid w:val="006B6C06"/>
    <w:rsid w:val="006B6E91"/>
    <w:rsid w:val="006B6F0D"/>
    <w:rsid w:val="006B6F41"/>
    <w:rsid w:val="006B6F54"/>
    <w:rsid w:val="006B70C3"/>
    <w:rsid w:val="006B722F"/>
    <w:rsid w:val="006B72EA"/>
    <w:rsid w:val="006B7337"/>
    <w:rsid w:val="006B74FC"/>
    <w:rsid w:val="006B75B2"/>
    <w:rsid w:val="006B75C9"/>
    <w:rsid w:val="006B7634"/>
    <w:rsid w:val="006B770E"/>
    <w:rsid w:val="006B780B"/>
    <w:rsid w:val="006B7890"/>
    <w:rsid w:val="006B796A"/>
    <w:rsid w:val="006B7A8D"/>
    <w:rsid w:val="006B7B30"/>
    <w:rsid w:val="006B7B79"/>
    <w:rsid w:val="006B7C33"/>
    <w:rsid w:val="006B7D1E"/>
    <w:rsid w:val="006B7E22"/>
    <w:rsid w:val="006B7E8C"/>
    <w:rsid w:val="006B7E8F"/>
    <w:rsid w:val="006B7EBB"/>
    <w:rsid w:val="006C00FC"/>
    <w:rsid w:val="006C0163"/>
    <w:rsid w:val="006C01A6"/>
    <w:rsid w:val="006C01DD"/>
    <w:rsid w:val="006C01EA"/>
    <w:rsid w:val="006C02BF"/>
    <w:rsid w:val="006C05B9"/>
    <w:rsid w:val="006C06A3"/>
    <w:rsid w:val="006C0718"/>
    <w:rsid w:val="006C0785"/>
    <w:rsid w:val="006C078F"/>
    <w:rsid w:val="006C07A5"/>
    <w:rsid w:val="006C07FF"/>
    <w:rsid w:val="006C0805"/>
    <w:rsid w:val="006C0938"/>
    <w:rsid w:val="006C0A8F"/>
    <w:rsid w:val="006C0AD9"/>
    <w:rsid w:val="006C0B9B"/>
    <w:rsid w:val="006C0DD9"/>
    <w:rsid w:val="006C0E3D"/>
    <w:rsid w:val="006C0F01"/>
    <w:rsid w:val="006C116C"/>
    <w:rsid w:val="006C1174"/>
    <w:rsid w:val="006C11BB"/>
    <w:rsid w:val="006C1251"/>
    <w:rsid w:val="006C14B0"/>
    <w:rsid w:val="006C1615"/>
    <w:rsid w:val="006C1646"/>
    <w:rsid w:val="006C1773"/>
    <w:rsid w:val="006C1855"/>
    <w:rsid w:val="006C1893"/>
    <w:rsid w:val="006C1898"/>
    <w:rsid w:val="006C1B48"/>
    <w:rsid w:val="006C1B7C"/>
    <w:rsid w:val="006C1B98"/>
    <w:rsid w:val="006C1C28"/>
    <w:rsid w:val="006C1CAC"/>
    <w:rsid w:val="006C1D5E"/>
    <w:rsid w:val="006C20A5"/>
    <w:rsid w:val="006C2152"/>
    <w:rsid w:val="006C21FC"/>
    <w:rsid w:val="006C221F"/>
    <w:rsid w:val="006C23BB"/>
    <w:rsid w:val="006C23F1"/>
    <w:rsid w:val="006C2542"/>
    <w:rsid w:val="006C26DE"/>
    <w:rsid w:val="006C2815"/>
    <w:rsid w:val="006C283C"/>
    <w:rsid w:val="006C29BC"/>
    <w:rsid w:val="006C29EC"/>
    <w:rsid w:val="006C2A08"/>
    <w:rsid w:val="006C2A46"/>
    <w:rsid w:val="006C2ABB"/>
    <w:rsid w:val="006C2B09"/>
    <w:rsid w:val="006C2B24"/>
    <w:rsid w:val="006C2B2A"/>
    <w:rsid w:val="006C2B7E"/>
    <w:rsid w:val="006C2B96"/>
    <w:rsid w:val="006C2C1A"/>
    <w:rsid w:val="006C2D80"/>
    <w:rsid w:val="006C2DB1"/>
    <w:rsid w:val="006C2E72"/>
    <w:rsid w:val="006C2F47"/>
    <w:rsid w:val="006C2F76"/>
    <w:rsid w:val="006C3026"/>
    <w:rsid w:val="006C30B5"/>
    <w:rsid w:val="006C3121"/>
    <w:rsid w:val="006C3138"/>
    <w:rsid w:val="006C3235"/>
    <w:rsid w:val="006C3288"/>
    <w:rsid w:val="006C33AF"/>
    <w:rsid w:val="006C34CE"/>
    <w:rsid w:val="006C3528"/>
    <w:rsid w:val="006C3576"/>
    <w:rsid w:val="006C3683"/>
    <w:rsid w:val="006C368C"/>
    <w:rsid w:val="006C36B1"/>
    <w:rsid w:val="006C3726"/>
    <w:rsid w:val="006C37BA"/>
    <w:rsid w:val="006C3823"/>
    <w:rsid w:val="006C3861"/>
    <w:rsid w:val="006C3ABA"/>
    <w:rsid w:val="006C3CB8"/>
    <w:rsid w:val="006C3D61"/>
    <w:rsid w:val="006C3FDF"/>
    <w:rsid w:val="006C4062"/>
    <w:rsid w:val="006C4078"/>
    <w:rsid w:val="006C419E"/>
    <w:rsid w:val="006C42C2"/>
    <w:rsid w:val="006C431A"/>
    <w:rsid w:val="006C4442"/>
    <w:rsid w:val="006C44DE"/>
    <w:rsid w:val="006C4537"/>
    <w:rsid w:val="006C465B"/>
    <w:rsid w:val="006C4678"/>
    <w:rsid w:val="006C46DC"/>
    <w:rsid w:val="006C47EF"/>
    <w:rsid w:val="006C4807"/>
    <w:rsid w:val="006C48A3"/>
    <w:rsid w:val="006C48B2"/>
    <w:rsid w:val="006C4A1A"/>
    <w:rsid w:val="006C4B1E"/>
    <w:rsid w:val="006C4B60"/>
    <w:rsid w:val="006C4C40"/>
    <w:rsid w:val="006C4F1C"/>
    <w:rsid w:val="006C4FB2"/>
    <w:rsid w:val="006C5032"/>
    <w:rsid w:val="006C5074"/>
    <w:rsid w:val="006C509D"/>
    <w:rsid w:val="006C51AD"/>
    <w:rsid w:val="006C51B8"/>
    <w:rsid w:val="006C528C"/>
    <w:rsid w:val="006C5382"/>
    <w:rsid w:val="006C55A6"/>
    <w:rsid w:val="006C574B"/>
    <w:rsid w:val="006C58A3"/>
    <w:rsid w:val="006C59C3"/>
    <w:rsid w:val="006C5B47"/>
    <w:rsid w:val="006C5B71"/>
    <w:rsid w:val="006C5C02"/>
    <w:rsid w:val="006C5D9A"/>
    <w:rsid w:val="006C5DB5"/>
    <w:rsid w:val="006C5E54"/>
    <w:rsid w:val="006C5F45"/>
    <w:rsid w:val="006C6211"/>
    <w:rsid w:val="006C6279"/>
    <w:rsid w:val="006C6486"/>
    <w:rsid w:val="006C65B7"/>
    <w:rsid w:val="006C65DB"/>
    <w:rsid w:val="006C6667"/>
    <w:rsid w:val="006C66D9"/>
    <w:rsid w:val="006C6706"/>
    <w:rsid w:val="006C6723"/>
    <w:rsid w:val="006C673D"/>
    <w:rsid w:val="006C67B7"/>
    <w:rsid w:val="006C684D"/>
    <w:rsid w:val="006C6A20"/>
    <w:rsid w:val="006C6B95"/>
    <w:rsid w:val="006C6E07"/>
    <w:rsid w:val="006C6EA2"/>
    <w:rsid w:val="006C6F11"/>
    <w:rsid w:val="006C6F77"/>
    <w:rsid w:val="006C6F7C"/>
    <w:rsid w:val="006C6F8C"/>
    <w:rsid w:val="006C6FCE"/>
    <w:rsid w:val="006C6FF7"/>
    <w:rsid w:val="006C712F"/>
    <w:rsid w:val="006C7147"/>
    <w:rsid w:val="006C71B7"/>
    <w:rsid w:val="006C7296"/>
    <w:rsid w:val="006C72C3"/>
    <w:rsid w:val="006C72CA"/>
    <w:rsid w:val="006C72EF"/>
    <w:rsid w:val="006C7376"/>
    <w:rsid w:val="006C7415"/>
    <w:rsid w:val="006C7427"/>
    <w:rsid w:val="006C7457"/>
    <w:rsid w:val="006C7486"/>
    <w:rsid w:val="006C7519"/>
    <w:rsid w:val="006C757E"/>
    <w:rsid w:val="006C7672"/>
    <w:rsid w:val="006C76B9"/>
    <w:rsid w:val="006C76F6"/>
    <w:rsid w:val="006C7895"/>
    <w:rsid w:val="006C78B1"/>
    <w:rsid w:val="006C7965"/>
    <w:rsid w:val="006C7A69"/>
    <w:rsid w:val="006C7B4D"/>
    <w:rsid w:val="006C7BBC"/>
    <w:rsid w:val="006C7CDA"/>
    <w:rsid w:val="006C7DC5"/>
    <w:rsid w:val="006C7DED"/>
    <w:rsid w:val="006C7F76"/>
    <w:rsid w:val="006C7F92"/>
    <w:rsid w:val="006C7FAA"/>
    <w:rsid w:val="006D0029"/>
    <w:rsid w:val="006D002F"/>
    <w:rsid w:val="006D0165"/>
    <w:rsid w:val="006D019B"/>
    <w:rsid w:val="006D01BE"/>
    <w:rsid w:val="006D02DA"/>
    <w:rsid w:val="006D0317"/>
    <w:rsid w:val="006D0425"/>
    <w:rsid w:val="006D050F"/>
    <w:rsid w:val="006D0642"/>
    <w:rsid w:val="006D0718"/>
    <w:rsid w:val="006D0865"/>
    <w:rsid w:val="006D0868"/>
    <w:rsid w:val="006D08AB"/>
    <w:rsid w:val="006D08DF"/>
    <w:rsid w:val="006D0988"/>
    <w:rsid w:val="006D0A6D"/>
    <w:rsid w:val="006D0ADF"/>
    <w:rsid w:val="006D0B39"/>
    <w:rsid w:val="006D0B6D"/>
    <w:rsid w:val="006D0CE3"/>
    <w:rsid w:val="006D0D67"/>
    <w:rsid w:val="006D0D7A"/>
    <w:rsid w:val="006D0DBD"/>
    <w:rsid w:val="006D0E39"/>
    <w:rsid w:val="006D0E3D"/>
    <w:rsid w:val="006D0E73"/>
    <w:rsid w:val="006D0ECD"/>
    <w:rsid w:val="006D0F97"/>
    <w:rsid w:val="006D0FA5"/>
    <w:rsid w:val="006D112B"/>
    <w:rsid w:val="006D133B"/>
    <w:rsid w:val="006D1354"/>
    <w:rsid w:val="006D1392"/>
    <w:rsid w:val="006D170F"/>
    <w:rsid w:val="006D179D"/>
    <w:rsid w:val="006D17A2"/>
    <w:rsid w:val="006D18A7"/>
    <w:rsid w:val="006D1A9A"/>
    <w:rsid w:val="006D1AA1"/>
    <w:rsid w:val="006D1B55"/>
    <w:rsid w:val="006D1B86"/>
    <w:rsid w:val="006D1CE3"/>
    <w:rsid w:val="006D1E82"/>
    <w:rsid w:val="006D1F1E"/>
    <w:rsid w:val="006D2039"/>
    <w:rsid w:val="006D21F7"/>
    <w:rsid w:val="006D22F6"/>
    <w:rsid w:val="006D233C"/>
    <w:rsid w:val="006D23BB"/>
    <w:rsid w:val="006D23D9"/>
    <w:rsid w:val="006D23F0"/>
    <w:rsid w:val="006D24FA"/>
    <w:rsid w:val="006D2642"/>
    <w:rsid w:val="006D2818"/>
    <w:rsid w:val="006D293F"/>
    <w:rsid w:val="006D2A04"/>
    <w:rsid w:val="006D2AB2"/>
    <w:rsid w:val="006D2CC0"/>
    <w:rsid w:val="006D2CC8"/>
    <w:rsid w:val="006D2D60"/>
    <w:rsid w:val="006D3057"/>
    <w:rsid w:val="006D3112"/>
    <w:rsid w:val="006D31A9"/>
    <w:rsid w:val="006D320E"/>
    <w:rsid w:val="006D326D"/>
    <w:rsid w:val="006D3382"/>
    <w:rsid w:val="006D33D9"/>
    <w:rsid w:val="006D344C"/>
    <w:rsid w:val="006D34CD"/>
    <w:rsid w:val="006D35A9"/>
    <w:rsid w:val="006D3751"/>
    <w:rsid w:val="006D376A"/>
    <w:rsid w:val="006D37FB"/>
    <w:rsid w:val="006D3828"/>
    <w:rsid w:val="006D38A1"/>
    <w:rsid w:val="006D38D0"/>
    <w:rsid w:val="006D39A5"/>
    <w:rsid w:val="006D3BC1"/>
    <w:rsid w:val="006D3BC2"/>
    <w:rsid w:val="006D3C3F"/>
    <w:rsid w:val="006D3C72"/>
    <w:rsid w:val="006D3DB1"/>
    <w:rsid w:val="006D3ED4"/>
    <w:rsid w:val="006D3F43"/>
    <w:rsid w:val="006D3F5D"/>
    <w:rsid w:val="006D3F7D"/>
    <w:rsid w:val="006D3FB4"/>
    <w:rsid w:val="006D3FD5"/>
    <w:rsid w:val="006D4002"/>
    <w:rsid w:val="006D40D1"/>
    <w:rsid w:val="006D419E"/>
    <w:rsid w:val="006D41D4"/>
    <w:rsid w:val="006D42D4"/>
    <w:rsid w:val="006D4323"/>
    <w:rsid w:val="006D443F"/>
    <w:rsid w:val="006D44A4"/>
    <w:rsid w:val="006D44BF"/>
    <w:rsid w:val="006D452B"/>
    <w:rsid w:val="006D45A0"/>
    <w:rsid w:val="006D45BD"/>
    <w:rsid w:val="006D4630"/>
    <w:rsid w:val="006D47D8"/>
    <w:rsid w:val="006D47E7"/>
    <w:rsid w:val="006D485F"/>
    <w:rsid w:val="006D489F"/>
    <w:rsid w:val="006D48DE"/>
    <w:rsid w:val="006D49A6"/>
    <w:rsid w:val="006D4A01"/>
    <w:rsid w:val="006D4B62"/>
    <w:rsid w:val="006D4B92"/>
    <w:rsid w:val="006D4C5E"/>
    <w:rsid w:val="006D4CC3"/>
    <w:rsid w:val="006D4F1C"/>
    <w:rsid w:val="006D5012"/>
    <w:rsid w:val="006D5112"/>
    <w:rsid w:val="006D520D"/>
    <w:rsid w:val="006D52A0"/>
    <w:rsid w:val="006D52F1"/>
    <w:rsid w:val="006D530B"/>
    <w:rsid w:val="006D530D"/>
    <w:rsid w:val="006D544C"/>
    <w:rsid w:val="006D54B1"/>
    <w:rsid w:val="006D551A"/>
    <w:rsid w:val="006D551E"/>
    <w:rsid w:val="006D55A0"/>
    <w:rsid w:val="006D55B8"/>
    <w:rsid w:val="006D56A0"/>
    <w:rsid w:val="006D56D4"/>
    <w:rsid w:val="006D56EF"/>
    <w:rsid w:val="006D5845"/>
    <w:rsid w:val="006D58AE"/>
    <w:rsid w:val="006D58CF"/>
    <w:rsid w:val="006D58D6"/>
    <w:rsid w:val="006D59FB"/>
    <w:rsid w:val="006D5ADC"/>
    <w:rsid w:val="006D5B7A"/>
    <w:rsid w:val="006D5B9C"/>
    <w:rsid w:val="006D5BD7"/>
    <w:rsid w:val="006D5BE6"/>
    <w:rsid w:val="006D5BFB"/>
    <w:rsid w:val="006D5C9C"/>
    <w:rsid w:val="006D5CBC"/>
    <w:rsid w:val="006D5D57"/>
    <w:rsid w:val="006D5E23"/>
    <w:rsid w:val="006D5E73"/>
    <w:rsid w:val="006D5ED5"/>
    <w:rsid w:val="006D60AA"/>
    <w:rsid w:val="006D616C"/>
    <w:rsid w:val="006D61FD"/>
    <w:rsid w:val="006D622C"/>
    <w:rsid w:val="006D62A6"/>
    <w:rsid w:val="006D641F"/>
    <w:rsid w:val="006D65AF"/>
    <w:rsid w:val="006D65C4"/>
    <w:rsid w:val="006D6810"/>
    <w:rsid w:val="006D6818"/>
    <w:rsid w:val="006D68C8"/>
    <w:rsid w:val="006D69E3"/>
    <w:rsid w:val="006D6A61"/>
    <w:rsid w:val="006D6A86"/>
    <w:rsid w:val="006D6BF1"/>
    <w:rsid w:val="006D6F80"/>
    <w:rsid w:val="006D7020"/>
    <w:rsid w:val="006D70D5"/>
    <w:rsid w:val="006D7116"/>
    <w:rsid w:val="006D7242"/>
    <w:rsid w:val="006D7254"/>
    <w:rsid w:val="006D7343"/>
    <w:rsid w:val="006D73F5"/>
    <w:rsid w:val="006D741D"/>
    <w:rsid w:val="006D761C"/>
    <w:rsid w:val="006D763E"/>
    <w:rsid w:val="006D780A"/>
    <w:rsid w:val="006D782C"/>
    <w:rsid w:val="006D7858"/>
    <w:rsid w:val="006D7880"/>
    <w:rsid w:val="006D7905"/>
    <w:rsid w:val="006D7928"/>
    <w:rsid w:val="006D79F5"/>
    <w:rsid w:val="006D7A23"/>
    <w:rsid w:val="006D7AF0"/>
    <w:rsid w:val="006D7B2B"/>
    <w:rsid w:val="006D7D75"/>
    <w:rsid w:val="006D7D81"/>
    <w:rsid w:val="006D7D99"/>
    <w:rsid w:val="006D7E0A"/>
    <w:rsid w:val="006D7F03"/>
    <w:rsid w:val="006E010B"/>
    <w:rsid w:val="006E01BF"/>
    <w:rsid w:val="006E0312"/>
    <w:rsid w:val="006E038A"/>
    <w:rsid w:val="006E038E"/>
    <w:rsid w:val="006E04C8"/>
    <w:rsid w:val="006E057F"/>
    <w:rsid w:val="006E05BC"/>
    <w:rsid w:val="006E05D7"/>
    <w:rsid w:val="006E0635"/>
    <w:rsid w:val="006E0673"/>
    <w:rsid w:val="006E0686"/>
    <w:rsid w:val="006E0730"/>
    <w:rsid w:val="006E077F"/>
    <w:rsid w:val="006E0A1E"/>
    <w:rsid w:val="006E0AF5"/>
    <w:rsid w:val="006E0C30"/>
    <w:rsid w:val="006E0CDC"/>
    <w:rsid w:val="006E0D30"/>
    <w:rsid w:val="006E0D97"/>
    <w:rsid w:val="006E0DA7"/>
    <w:rsid w:val="006E0E82"/>
    <w:rsid w:val="006E0F70"/>
    <w:rsid w:val="006E10A4"/>
    <w:rsid w:val="006E11A1"/>
    <w:rsid w:val="006E122C"/>
    <w:rsid w:val="006E133D"/>
    <w:rsid w:val="006E13C7"/>
    <w:rsid w:val="006E142F"/>
    <w:rsid w:val="006E1518"/>
    <w:rsid w:val="006E153F"/>
    <w:rsid w:val="006E1595"/>
    <w:rsid w:val="006E1624"/>
    <w:rsid w:val="006E166E"/>
    <w:rsid w:val="006E16AF"/>
    <w:rsid w:val="006E1795"/>
    <w:rsid w:val="006E17BF"/>
    <w:rsid w:val="006E18F2"/>
    <w:rsid w:val="006E190A"/>
    <w:rsid w:val="006E1940"/>
    <w:rsid w:val="006E1A05"/>
    <w:rsid w:val="006E1A9B"/>
    <w:rsid w:val="006E1AE6"/>
    <w:rsid w:val="006E1C09"/>
    <w:rsid w:val="006E1C49"/>
    <w:rsid w:val="006E1C76"/>
    <w:rsid w:val="006E1C7A"/>
    <w:rsid w:val="006E1C89"/>
    <w:rsid w:val="006E1CC8"/>
    <w:rsid w:val="006E1DB9"/>
    <w:rsid w:val="006E1E0A"/>
    <w:rsid w:val="006E1ED0"/>
    <w:rsid w:val="006E1F2C"/>
    <w:rsid w:val="006E1F7C"/>
    <w:rsid w:val="006E1FBB"/>
    <w:rsid w:val="006E1FC1"/>
    <w:rsid w:val="006E1FCE"/>
    <w:rsid w:val="006E2002"/>
    <w:rsid w:val="006E2109"/>
    <w:rsid w:val="006E211D"/>
    <w:rsid w:val="006E2168"/>
    <w:rsid w:val="006E2197"/>
    <w:rsid w:val="006E21BF"/>
    <w:rsid w:val="006E2258"/>
    <w:rsid w:val="006E22C2"/>
    <w:rsid w:val="006E232D"/>
    <w:rsid w:val="006E23A5"/>
    <w:rsid w:val="006E24B2"/>
    <w:rsid w:val="006E24DE"/>
    <w:rsid w:val="006E2516"/>
    <w:rsid w:val="006E25BC"/>
    <w:rsid w:val="006E2709"/>
    <w:rsid w:val="006E270B"/>
    <w:rsid w:val="006E274E"/>
    <w:rsid w:val="006E2813"/>
    <w:rsid w:val="006E28B7"/>
    <w:rsid w:val="006E2B07"/>
    <w:rsid w:val="006E2C8E"/>
    <w:rsid w:val="006E2CA0"/>
    <w:rsid w:val="006E2D9C"/>
    <w:rsid w:val="006E2DD5"/>
    <w:rsid w:val="006E3395"/>
    <w:rsid w:val="006E33BB"/>
    <w:rsid w:val="006E347B"/>
    <w:rsid w:val="006E35A8"/>
    <w:rsid w:val="006E35C7"/>
    <w:rsid w:val="006E369A"/>
    <w:rsid w:val="006E3829"/>
    <w:rsid w:val="006E38A8"/>
    <w:rsid w:val="006E3913"/>
    <w:rsid w:val="006E3922"/>
    <w:rsid w:val="006E394E"/>
    <w:rsid w:val="006E3A0D"/>
    <w:rsid w:val="006E3B9C"/>
    <w:rsid w:val="006E3E66"/>
    <w:rsid w:val="006E3EB6"/>
    <w:rsid w:val="006E3F44"/>
    <w:rsid w:val="006E3F71"/>
    <w:rsid w:val="006E4053"/>
    <w:rsid w:val="006E40F7"/>
    <w:rsid w:val="006E411F"/>
    <w:rsid w:val="006E4178"/>
    <w:rsid w:val="006E4317"/>
    <w:rsid w:val="006E43A4"/>
    <w:rsid w:val="006E446C"/>
    <w:rsid w:val="006E4534"/>
    <w:rsid w:val="006E45BC"/>
    <w:rsid w:val="006E4645"/>
    <w:rsid w:val="006E46F3"/>
    <w:rsid w:val="006E483A"/>
    <w:rsid w:val="006E4929"/>
    <w:rsid w:val="006E496B"/>
    <w:rsid w:val="006E4A3F"/>
    <w:rsid w:val="006E4A57"/>
    <w:rsid w:val="006E4C99"/>
    <w:rsid w:val="006E4D81"/>
    <w:rsid w:val="006E4E19"/>
    <w:rsid w:val="006E4E42"/>
    <w:rsid w:val="006E4EF4"/>
    <w:rsid w:val="006E4F46"/>
    <w:rsid w:val="006E4FDF"/>
    <w:rsid w:val="006E50D8"/>
    <w:rsid w:val="006E53E2"/>
    <w:rsid w:val="006E54AB"/>
    <w:rsid w:val="006E55D4"/>
    <w:rsid w:val="006E5703"/>
    <w:rsid w:val="006E5C4C"/>
    <w:rsid w:val="006E5CA8"/>
    <w:rsid w:val="006E5DB0"/>
    <w:rsid w:val="006E6037"/>
    <w:rsid w:val="006E62AA"/>
    <w:rsid w:val="006E6373"/>
    <w:rsid w:val="006E6459"/>
    <w:rsid w:val="006E64DC"/>
    <w:rsid w:val="006E6532"/>
    <w:rsid w:val="006E65AC"/>
    <w:rsid w:val="006E663A"/>
    <w:rsid w:val="006E6673"/>
    <w:rsid w:val="006E66BB"/>
    <w:rsid w:val="006E66F6"/>
    <w:rsid w:val="006E6817"/>
    <w:rsid w:val="006E685F"/>
    <w:rsid w:val="006E69C5"/>
    <w:rsid w:val="006E6D4E"/>
    <w:rsid w:val="006E6E05"/>
    <w:rsid w:val="006E6E66"/>
    <w:rsid w:val="006E6F7D"/>
    <w:rsid w:val="006E70DD"/>
    <w:rsid w:val="006E716B"/>
    <w:rsid w:val="006E7292"/>
    <w:rsid w:val="006E730B"/>
    <w:rsid w:val="006E7319"/>
    <w:rsid w:val="006E7467"/>
    <w:rsid w:val="006E749D"/>
    <w:rsid w:val="006E74BE"/>
    <w:rsid w:val="006E75B7"/>
    <w:rsid w:val="006E762D"/>
    <w:rsid w:val="006E7714"/>
    <w:rsid w:val="006E780B"/>
    <w:rsid w:val="006E7814"/>
    <w:rsid w:val="006E79C7"/>
    <w:rsid w:val="006E7B10"/>
    <w:rsid w:val="006E7B34"/>
    <w:rsid w:val="006E7BAD"/>
    <w:rsid w:val="006E7E5B"/>
    <w:rsid w:val="006E7ED0"/>
    <w:rsid w:val="006E7F2A"/>
    <w:rsid w:val="006F003E"/>
    <w:rsid w:val="006F00A0"/>
    <w:rsid w:val="006F019A"/>
    <w:rsid w:val="006F0250"/>
    <w:rsid w:val="006F0259"/>
    <w:rsid w:val="006F048A"/>
    <w:rsid w:val="006F05F5"/>
    <w:rsid w:val="006F0690"/>
    <w:rsid w:val="006F06E2"/>
    <w:rsid w:val="006F06EB"/>
    <w:rsid w:val="006F082B"/>
    <w:rsid w:val="006F08EF"/>
    <w:rsid w:val="006F0A68"/>
    <w:rsid w:val="006F0B33"/>
    <w:rsid w:val="006F0B7F"/>
    <w:rsid w:val="006F0C4C"/>
    <w:rsid w:val="006F0E15"/>
    <w:rsid w:val="006F0E8E"/>
    <w:rsid w:val="006F0F84"/>
    <w:rsid w:val="006F0FB7"/>
    <w:rsid w:val="006F0FCA"/>
    <w:rsid w:val="006F102E"/>
    <w:rsid w:val="006F1281"/>
    <w:rsid w:val="006F1491"/>
    <w:rsid w:val="006F154D"/>
    <w:rsid w:val="006F1834"/>
    <w:rsid w:val="006F18D7"/>
    <w:rsid w:val="006F1911"/>
    <w:rsid w:val="006F1945"/>
    <w:rsid w:val="006F1A68"/>
    <w:rsid w:val="006F1DB7"/>
    <w:rsid w:val="006F1F61"/>
    <w:rsid w:val="006F1FF7"/>
    <w:rsid w:val="006F21D2"/>
    <w:rsid w:val="006F239C"/>
    <w:rsid w:val="006F23A0"/>
    <w:rsid w:val="006F2446"/>
    <w:rsid w:val="006F2520"/>
    <w:rsid w:val="006F25E1"/>
    <w:rsid w:val="006F2794"/>
    <w:rsid w:val="006F27E0"/>
    <w:rsid w:val="006F284C"/>
    <w:rsid w:val="006F2871"/>
    <w:rsid w:val="006F28A7"/>
    <w:rsid w:val="006F28AF"/>
    <w:rsid w:val="006F2915"/>
    <w:rsid w:val="006F2942"/>
    <w:rsid w:val="006F2994"/>
    <w:rsid w:val="006F2D04"/>
    <w:rsid w:val="006F2D10"/>
    <w:rsid w:val="006F2D2A"/>
    <w:rsid w:val="006F2D63"/>
    <w:rsid w:val="006F2F62"/>
    <w:rsid w:val="006F3000"/>
    <w:rsid w:val="006F3005"/>
    <w:rsid w:val="006F3010"/>
    <w:rsid w:val="006F3053"/>
    <w:rsid w:val="006F3073"/>
    <w:rsid w:val="006F30CE"/>
    <w:rsid w:val="006F30F1"/>
    <w:rsid w:val="006F3105"/>
    <w:rsid w:val="006F319A"/>
    <w:rsid w:val="006F323B"/>
    <w:rsid w:val="006F3267"/>
    <w:rsid w:val="006F32C7"/>
    <w:rsid w:val="006F32D8"/>
    <w:rsid w:val="006F3320"/>
    <w:rsid w:val="006F340D"/>
    <w:rsid w:val="006F3465"/>
    <w:rsid w:val="006F3506"/>
    <w:rsid w:val="006F3515"/>
    <w:rsid w:val="006F3613"/>
    <w:rsid w:val="006F3666"/>
    <w:rsid w:val="006F36F7"/>
    <w:rsid w:val="006F375C"/>
    <w:rsid w:val="006F39B6"/>
    <w:rsid w:val="006F3A4B"/>
    <w:rsid w:val="006F3B0E"/>
    <w:rsid w:val="006F3B24"/>
    <w:rsid w:val="006F3B46"/>
    <w:rsid w:val="006F3B69"/>
    <w:rsid w:val="006F3C1E"/>
    <w:rsid w:val="006F3C21"/>
    <w:rsid w:val="006F3C35"/>
    <w:rsid w:val="006F3D1D"/>
    <w:rsid w:val="006F3D71"/>
    <w:rsid w:val="006F3D83"/>
    <w:rsid w:val="006F3FAE"/>
    <w:rsid w:val="006F3FB6"/>
    <w:rsid w:val="006F4030"/>
    <w:rsid w:val="006F4192"/>
    <w:rsid w:val="006F426A"/>
    <w:rsid w:val="006F4289"/>
    <w:rsid w:val="006F4456"/>
    <w:rsid w:val="006F4593"/>
    <w:rsid w:val="006F45DD"/>
    <w:rsid w:val="006F4615"/>
    <w:rsid w:val="006F466F"/>
    <w:rsid w:val="006F4750"/>
    <w:rsid w:val="006F4924"/>
    <w:rsid w:val="006F494D"/>
    <w:rsid w:val="006F494E"/>
    <w:rsid w:val="006F4974"/>
    <w:rsid w:val="006F4A38"/>
    <w:rsid w:val="006F4B70"/>
    <w:rsid w:val="006F4C32"/>
    <w:rsid w:val="006F4CFE"/>
    <w:rsid w:val="006F4D2D"/>
    <w:rsid w:val="006F4EC1"/>
    <w:rsid w:val="006F4EF1"/>
    <w:rsid w:val="006F4F08"/>
    <w:rsid w:val="006F501B"/>
    <w:rsid w:val="006F5112"/>
    <w:rsid w:val="006F52B7"/>
    <w:rsid w:val="006F52D2"/>
    <w:rsid w:val="006F5356"/>
    <w:rsid w:val="006F5506"/>
    <w:rsid w:val="006F56B5"/>
    <w:rsid w:val="006F5786"/>
    <w:rsid w:val="006F5806"/>
    <w:rsid w:val="006F58A0"/>
    <w:rsid w:val="006F58B7"/>
    <w:rsid w:val="006F58F2"/>
    <w:rsid w:val="006F5A8A"/>
    <w:rsid w:val="006F5BE2"/>
    <w:rsid w:val="006F5C89"/>
    <w:rsid w:val="006F5C8D"/>
    <w:rsid w:val="006F5D13"/>
    <w:rsid w:val="006F5D22"/>
    <w:rsid w:val="006F5F2B"/>
    <w:rsid w:val="006F62EE"/>
    <w:rsid w:val="006F643E"/>
    <w:rsid w:val="006F6585"/>
    <w:rsid w:val="006F67CA"/>
    <w:rsid w:val="006F68AA"/>
    <w:rsid w:val="006F694E"/>
    <w:rsid w:val="006F69B4"/>
    <w:rsid w:val="006F6B0F"/>
    <w:rsid w:val="006F6B40"/>
    <w:rsid w:val="006F6B44"/>
    <w:rsid w:val="006F6D17"/>
    <w:rsid w:val="006F6E60"/>
    <w:rsid w:val="006F6EE5"/>
    <w:rsid w:val="006F6F2A"/>
    <w:rsid w:val="006F6F37"/>
    <w:rsid w:val="006F6F8A"/>
    <w:rsid w:val="006F7019"/>
    <w:rsid w:val="006F70E3"/>
    <w:rsid w:val="006F71A8"/>
    <w:rsid w:val="006F71BD"/>
    <w:rsid w:val="006F7230"/>
    <w:rsid w:val="006F72BF"/>
    <w:rsid w:val="006F73E1"/>
    <w:rsid w:val="006F7446"/>
    <w:rsid w:val="006F745B"/>
    <w:rsid w:val="006F755B"/>
    <w:rsid w:val="006F7640"/>
    <w:rsid w:val="006F7643"/>
    <w:rsid w:val="006F7667"/>
    <w:rsid w:val="006F7730"/>
    <w:rsid w:val="006F7740"/>
    <w:rsid w:val="006F7807"/>
    <w:rsid w:val="006F7909"/>
    <w:rsid w:val="006F7940"/>
    <w:rsid w:val="006F79B6"/>
    <w:rsid w:val="006F7A6A"/>
    <w:rsid w:val="006F7A76"/>
    <w:rsid w:val="006F7AAF"/>
    <w:rsid w:val="006F7AF6"/>
    <w:rsid w:val="006F7B5B"/>
    <w:rsid w:val="006F7C28"/>
    <w:rsid w:val="006F7D32"/>
    <w:rsid w:val="006F7D48"/>
    <w:rsid w:val="006F7ECF"/>
    <w:rsid w:val="006F7F2C"/>
    <w:rsid w:val="006F7F31"/>
    <w:rsid w:val="006F7F79"/>
    <w:rsid w:val="007000D0"/>
    <w:rsid w:val="00700119"/>
    <w:rsid w:val="00700133"/>
    <w:rsid w:val="00700246"/>
    <w:rsid w:val="00700374"/>
    <w:rsid w:val="0070038E"/>
    <w:rsid w:val="0070040A"/>
    <w:rsid w:val="00700623"/>
    <w:rsid w:val="00700776"/>
    <w:rsid w:val="007007F8"/>
    <w:rsid w:val="0070081C"/>
    <w:rsid w:val="00700825"/>
    <w:rsid w:val="0070085E"/>
    <w:rsid w:val="007008A6"/>
    <w:rsid w:val="00700981"/>
    <w:rsid w:val="00700AB5"/>
    <w:rsid w:val="00700B1F"/>
    <w:rsid w:val="00700B42"/>
    <w:rsid w:val="00700BEE"/>
    <w:rsid w:val="00700CD1"/>
    <w:rsid w:val="00700E50"/>
    <w:rsid w:val="00700E9E"/>
    <w:rsid w:val="00700EEC"/>
    <w:rsid w:val="00700F5B"/>
    <w:rsid w:val="00700F5C"/>
    <w:rsid w:val="00700F86"/>
    <w:rsid w:val="00700FE8"/>
    <w:rsid w:val="007010BA"/>
    <w:rsid w:val="00701115"/>
    <w:rsid w:val="007011E9"/>
    <w:rsid w:val="007012D7"/>
    <w:rsid w:val="0070135B"/>
    <w:rsid w:val="007013ED"/>
    <w:rsid w:val="00701544"/>
    <w:rsid w:val="0070163A"/>
    <w:rsid w:val="00701645"/>
    <w:rsid w:val="0070164D"/>
    <w:rsid w:val="007017A7"/>
    <w:rsid w:val="007017D3"/>
    <w:rsid w:val="00701822"/>
    <w:rsid w:val="0070188C"/>
    <w:rsid w:val="007018C6"/>
    <w:rsid w:val="007018EF"/>
    <w:rsid w:val="007018FF"/>
    <w:rsid w:val="007019A8"/>
    <w:rsid w:val="00701A7D"/>
    <w:rsid w:val="00701B39"/>
    <w:rsid w:val="00701B9F"/>
    <w:rsid w:val="00701CAA"/>
    <w:rsid w:val="00701D30"/>
    <w:rsid w:val="00701DEB"/>
    <w:rsid w:val="00701DFB"/>
    <w:rsid w:val="00702093"/>
    <w:rsid w:val="007020DE"/>
    <w:rsid w:val="00702145"/>
    <w:rsid w:val="00702205"/>
    <w:rsid w:val="007023DD"/>
    <w:rsid w:val="00702496"/>
    <w:rsid w:val="00702519"/>
    <w:rsid w:val="00702633"/>
    <w:rsid w:val="007026A9"/>
    <w:rsid w:val="00702795"/>
    <w:rsid w:val="007027A1"/>
    <w:rsid w:val="00702951"/>
    <w:rsid w:val="00702990"/>
    <w:rsid w:val="00702A32"/>
    <w:rsid w:val="00702A38"/>
    <w:rsid w:val="00702AA3"/>
    <w:rsid w:val="00702AC9"/>
    <w:rsid w:val="00702C49"/>
    <w:rsid w:val="00702D09"/>
    <w:rsid w:val="00702D67"/>
    <w:rsid w:val="00702DAF"/>
    <w:rsid w:val="00702EE4"/>
    <w:rsid w:val="00702FE4"/>
    <w:rsid w:val="0070304A"/>
    <w:rsid w:val="007032FB"/>
    <w:rsid w:val="00703394"/>
    <w:rsid w:val="007033F0"/>
    <w:rsid w:val="00703438"/>
    <w:rsid w:val="0070348D"/>
    <w:rsid w:val="0070357A"/>
    <w:rsid w:val="007036C7"/>
    <w:rsid w:val="007037AB"/>
    <w:rsid w:val="007037EC"/>
    <w:rsid w:val="00703908"/>
    <w:rsid w:val="00703949"/>
    <w:rsid w:val="00703B91"/>
    <w:rsid w:val="00703C02"/>
    <w:rsid w:val="00703C0D"/>
    <w:rsid w:val="00703C8B"/>
    <w:rsid w:val="00703D5A"/>
    <w:rsid w:val="00703F1B"/>
    <w:rsid w:val="00704156"/>
    <w:rsid w:val="00704220"/>
    <w:rsid w:val="00704262"/>
    <w:rsid w:val="007042DE"/>
    <w:rsid w:val="0070430F"/>
    <w:rsid w:val="007043AB"/>
    <w:rsid w:val="007044D6"/>
    <w:rsid w:val="0070456B"/>
    <w:rsid w:val="007045A4"/>
    <w:rsid w:val="0070463C"/>
    <w:rsid w:val="007046E6"/>
    <w:rsid w:val="00704774"/>
    <w:rsid w:val="00704813"/>
    <w:rsid w:val="0070482E"/>
    <w:rsid w:val="007048D5"/>
    <w:rsid w:val="007048E7"/>
    <w:rsid w:val="007049C7"/>
    <w:rsid w:val="007049E4"/>
    <w:rsid w:val="007049F0"/>
    <w:rsid w:val="00704A4E"/>
    <w:rsid w:val="00704B96"/>
    <w:rsid w:val="00704E89"/>
    <w:rsid w:val="00704EFE"/>
    <w:rsid w:val="00704F50"/>
    <w:rsid w:val="00704F9F"/>
    <w:rsid w:val="0070506A"/>
    <w:rsid w:val="007050AE"/>
    <w:rsid w:val="007051A0"/>
    <w:rsid w:val="00705319"/>
    <w:rsid w:val="007053B3"/>
    <w:rsid w:val="0070548C"/>
    <w:rsid w:val="007054DD"/>
    <w:rsid w:val="00705545"/>
    <w:rsid w:val="00705582"/>
    <w:rsid w:val="00705596"/>
    <w:rsid w:val="00705597"/>
    <w:rsid w:val="007056B8"/>
    <w:rsid w:val="00705743"/>
    <w:rsid w:val="00705789"/>
    <w:rsid w:val="00705795"/>
    <w:rsid w:val="0070579B"/>
    <w:rsid w:val="0070589E"/>
    <w:rsid w:val="007059A3"/>
    <w:rsid w:val="00705AF3"/>
    <w:rsid w:val="00705B49"/>
    <w:rsid w:val="00705E9A"/>
    <w:rsid w:val="00705F71"/>
    <w:rsid w:val="00705FB1"/>
    <w:rsid w:val="007060F2"/>
    <w:rsid w:val="007061B8"/>
    <w:rsid w:val="007061ED"/>
    <w:rsid w:val="0070629E"/>
    <w:rsid w:val="007062FE"/>
    <w:rsid w:val="007063CD"/>
    <w:rsid w:val="007064B1"/>
    <w:rsid w:val="0070678C"/>
    <w:rsid w:val="0070687E"/>
    <w:rsid w:val="007068C4"/>
    <w:rsid w:val="007069CD"/>
    <w:rsid w:val="007069EF"/>
    <w:rsid w:val="00706A18"/>
    <w:rsid w:val="00706D4D"/>
    <w:rsid w:val="00706DD0"/>
    <w:rsid w:val="00706E25"/>
    <w:rsid w:val="00706F1E"/>
    <w:rsid w:val="00706FB5"/>
    <w:rsid w:val="00707013"/>
    <w:rsid w:val="00707177"/>
    <w:rsid w:val="00707431"/>
    <w:rsid w:val="007075DC"/>
    <w:rsid w:val="00707679"/>
    <w:rsid w:val="0070784A"/>
    <w:rsid w:val="007078EB"/>
    <w:rsid w:val="0070793E"/>
    <w:rsid w:val="00707950"/>
    <w:rsid w:val="00707A64"/>
    <w:rsid w:val="00707B7C"/>
    <w:rsid w:val="00707E5D"/>
    <w:rsid w:val="00707FD1"/>
    <w:rsid w:val="0071002F"/>
    <w:rsid w:val="0071007C"/>
    <w:rsid w:val="0071019A"/>
    <w:rsid w:val="007101C8"/>
    <w:rsid w:val="007101D7"/>
    <w:rsid w:val="00710244"/>
    <w:rsid w:val="00710286"/>
    <w:rsid w:val="007102F4"/>
    <w:rsid w:val="0071043C"/>
    <w:rsid w:val="007104A1"/>
    <w:rsid w:val="007104DA"/>
    <w:rsid w:val="007106F5"/>
    <w:rsid w:val="00710762"/>
    <w:rsid w:val="0071077C"/>
    <w:rsid w:val="007107BB"/>
    <w:rsid w:val="007107E0"/>
    <w:rsid w:val="007108C1"/>
    <w:rsid w:val="0071099A"/>
    <w:rsid w:val="007109AF"/>
    <w:rsid w:val="00710AB9"/>
    <w:rsid w:val="00710B3C"/>
    <w:rsid w:val="00710B86"/>
    <w:rsid w:val="00710C04"/>
    <w:rsid w:val="00710D7C"/>
    <w:rsid w:val="00710E6F"/>
    <w:rsid w:val="00710E83"/>
    <w:rsid w:val="00710F5D"/>
    <w:rsid w:val="0071112F"/>
    <w:rsid w:val="00711290"/>
    <w:rsid w:val="007112E0"/>
    <w:rsid w:val="007113C4"/>
    <w:rsid w:val="0071153A"/>
    <w:rsid w:val="007116DB"/>
    <w:rsid w:val="00711926"/>
    <w:rsid w:val="00711962"/>
    <w:rsid w:val="00711A98"/>
    <w:rsid w:val="00711B13"/>
    <w:rsid w:val="00711B84"/>
    <w:rsid w:val="00711BBC"/>
    <w:rsid w:val="00711D9A"/>
    <w:rsid w:val="00711DC4"/>
    <w:rsid w:val="00711DD2"/>
    <w:rsid w:val="00711DDA"/>
    <w:rsid w:val="00711F86"/>
    <w:rsid w:val="00711FD1"/>
    <w:rsid w:val="00711FF0"/>
    <w:rsid w:val="0071206B"/>
    <w:rsid w:val="0071214C"/>
    <w:rsid w:val="0071221E"/>
    <w:rsid w:val="00712225"/>
    <w:rsid w:val="007122C0"/>
    <w:rsid w:val="007122E1"/>
    <w:rsid w:val="0071238B"/>
    <w:rsid w:val="0071239E"/>
    <w:rsid w:val="007123E9"/>
    <w:rsid w:val="0071241A"/>
    <w:rsid w:val="007124DC"/>
    <w:rsid w:val="007124F9"/>
    <w:rsid w:val="007124FC"/>
    <w:rsid w:val="00712561"/>
    <w:rsid w:val="0071272E"/>
    <w:rsid w:val="0071275E"/>
    <w:rsid w:val="0071284A"/>
    <w:rsid w:val="007128C5"/>
    <w:rsid w:val="007128E4"/>
    <w:rsid w:val="0071299A"/>
    <w:rsid w:val="00712A5E"/>
    <w:rsid w:val="00712AB1"/>
    <w:rsid w:val="00712C90"/>
    <w:rsid w:val="00712CBA"/>
    <w:rsid w:val="00712F31"/>
    <w:rsid w:val="00712F69"/>
    <w:rsid w:val="00712F85"/>
    <w:rsid w:val="00712FA2"/>
    <w:rsid w:val="00712FF4"/>
    <w:rsid w:val="0071305E"/>
    <w:rsid w:val="0071306C"/>
    <w:rsid w:val="0071313A"/>
    <w:rsid w:val="007132D7"/>
    <w:rsid w:val="0071333A"/>
    <w:rsid w:val="0071338C"/>
    <w:rsid w:val="0071338F"/>
    <w:rsid w:val="00713413"/>
    <w:rsid w:val="007135B0"/>
    <w:rsid w:val="0071365C"/>
    <w:rsid w:val="00713679"/>
    <w:rsid w:val="00713689"/>
    <w:rsid w:val="007137B5"/>
    <w:rsid w:val="007139B8"/>
    <w:rsid w:val="007139D3"/>
    <w:rsid w:val="00713B22"/>
    <w:rsid w:val="00713B2F"/>
    <w:rsid w:val="00713BB0"/>
    <w:rsid w:val="00713BD9"/>
    <w:rsid w:val="00713CC7"/>
    <w:rsid w:val="00713DC9"/>
    <w:rsid w:val="00713EF4"/>
    <w:rsid w:val="00713F94"/>
    <w:rsid w:val="007140E6"/>
    <w:rsid w:val="0071415F"/>
    <w:rsid w:val="00714236"/>
    <w:rsid w:val="0071424E"/>
    <w:rsid w:val="0071439D"/>
    <w:rsid w:val="0071445F"/>
    <w:rsid w:val="007144AA"/>
    <w:rsid w:val="007146F3"/>
    <w:rsid w:val="007149F0"/>
    <w:rsid w:val="00714A35"/>
    <w:rsid w:val="00714B3D"/>
    <w:rsid w:val="00714C14"/>
    <w:rsid w:val="00714CF7"/>
    <w:rsid w:val="00714D26"/>
    <w:rsid w:val="00714D4D"/>
    <w:rsid w:val="00714DBE"/>
    <w:rsid w:val="00714E42"/>
    <w:rsid w:val="00714F4E"/>
    <w:rsid w:val="00714FEC"/>
    <w:rsid w:val="00715171"/>
    <w:rsid w:val="00715181"/>
    <w:rsid w:val="0071525E"/>
    <w:rsid w:val="007152FE"/>
    <w:rsid w:val="007153FF"/>
    <w:rsid w:val="007154FE"/>
    <w:rsid w:val="00715517"/>
    <w:rsid w:val="007156CF"/>
    <w:rsid w:val="00715A54"/>
    <w:rsid w:val="00715A7B"/>
    <w:rsid w:val="00715B5F"/>
    <w:rsid w:val="00715BE5"/>
    <w:rsid w:val="00715C46"/>
    <w:rsid w:val="00715C66"/>
    <w:rsid w:val="00715C89"/>
    <w:rsid w:val="00715C98"/>
    <w:rsid w:val="00715EA0"/>
    <w:rsid w:val="00715EAF"/>
    <w:rsid w:val="00715F59"/>
    <w:rsid w:val="00715F65"/>
    <w:rsid w:val="007161C9"/>
    <w:rsid w:val="007163C9"/>
    <w:rsid w:val="00716646"/>
    <w:rsid w:val="00716662"/>
    <w:rsid w:val="00716717"/>
    <w:rsid w:val="007167AD"/>
    <w:rsid w:val="007168BC"/>
    <w:rsid w:val="0071692A"/>
    <w:rsid w:val="007169CC"/>
    <w:rsid w:val="00716B5C"/>
    <w:rsid w:val="00716BF9"/>
    <w:rsid w:val="00716D05"/>
    <w:rsid w:val="00716E7D"/>
    <w:rsid w:val="00716EAC"/>
    <w:rsid w:val="00716FCC"/>
    <w:rsid w:val="00717067"/>
    <w:rsid w:val="00717099"/>
    <w:rsid w:val="00717143"/>
    <w:rsid w:val="00717269"/>
    <w:rsid w:val="007172F6"/>
    <w:rsid w:val="00717493"/>
    <w:rsid w:val="007175D8"/>
    <w:rsid w:val="00717726"/>
    <w:rsid w:val="0071772B"/>
    <w:rsid w:val="0071774B"/>
    <w:rsid w:val="0071777F"/>
    <w:rsid w:val="00717811"/>
    <w:rsid w:val="007179C0"/>
    <w:rsid w:val="00717A73"/>
    <w:rsid w:val="00717AA6"/>
    <w:rsid w:val="00717AB1"/>
    <w:rsid w:val="00717B06"/>
    <w:rsid w:val="00717B78"/>
    <w:rsid w:val="00717B7B"/>
    <w:rsid w:val="00717BEC"/>
    <w:rsid w:val="00717C1C"/>
    <w:rsid w:val="00717CCA"/>
    <w:rsid w:val="00717E3B"/>
    <w:rsid w:val="00717E5A"/>
    <w:rsid w:val="00717E74"/>
    <w:rsid w:val="00720040"/>
    <w:rsid w:val="00720135"/>
    <w:rsid w:val="0072024D"/>
    <w:rsid w:val="007202AB"/>
    <w:rsid w:val="0072030C"/>
    <w:rsid w:val="00720397"/>
    <w:rsid w:val="007203DA"/>
    <w:rsid w:val="00720485"/>
    <w:rsid w:val="007204E6"/>
    <w:rsid w:val="0072059A"/>
    <w:rsid w:val="007205FE"/>
    <w:rsid w:val="00720622"/>
    <w:rsid w:val="0072065F"/>
    <w:rsid w:val="007206BE"/>
    <w:rsid w:val="007206E3"/>
    <w:rsid w:val="00720723"/>
    <w:rsid w:val="007207AD"/>
    <w:rsid w:val="00720868"/>
    <w:rsid w:val="007208D7"/>
    <w:rsid w:val="00720983"/>
    <w:rsid w:val="00720ACA"/>
    <w:rsid w:val="00720B95"/>
    <w:rsid w:val="00720CFC"/>
    <w:rsid w:val="00720D11"/>
    <w:rsid w:val="00720D62"/>
    <w:rsid w:val="00721052"/>
    <w:rsid w:val="007210FE"/>
    <w:rsid w:val="0072112D"/>
    <w:rsid w:val="00721197"/>
    <w:rsid w:val="00721254"/>
    <w:rsid w:val="00721265"/>
    <w:rsid w:val="007213E4"/>
    <w:rsid w:val="00721427"/>
    <w:rsid w:val="0072144F"/>
    <w:rsid w:val="00721568"/>
    <w:rsid w:val="0072159E"/>
    <w:rsid w:val="00721671"/>
    <w:rsid w:val="007217E4"/>
    <w:rsid w:val="00721809"/>
    <w:rsid w:val="00721899"/>
    <w:rsid w:val="00721990"/>
    <w:rsid w:val="00721A3B"/>
    <w:rsid w:val="00721A48"/>
    <w:rsid w:val="00721B14"/>
    <w:rsid w:val="00721B8E"/>
    <w:rsid w:val="00721BD5"/>
    <w:rsid w:val="00721EB8"/>
    <w:rsid w:val="00721EFB"/>
    <w:rsid w:val="007221A4"/>
    <w:rsid w:val="007221F1"/>
    <w:rsid w:val="00722351"/>
    <w:rsid w:val="0072244E"/>
    <w:rsid w:val="007224C4"/>
    <w:rsid w:val="0072250B"/>
    <w:rsid w:val="007226E0"/>
    <w:rsid w:val="0072279C"/>
    <w:rsid w:val="007227AC"/>
    <w:rsid w:val="0072281F"/>
    <w:rsid w:val="00722835"/>
    <w:rsid w:val="00722919"/>
    <w:rsid w:val="00722945"/>
    <w:rsid w:val="00722A8D"/>
    <w:rsid w:val="00722AD9"/>
    <w:rsid w:val="00722B8B"/>
    <w:rsid w:val="00722C72"/>
    <w:rsid w:val="00722D5C"/>
    <w:rsid w:val="00722EB0"/>
    <w:rsid w:val="00722FE9"/>
    <w:rsid w:val="0072327C"/>
    <w:rsid w:val="00723429"/>
    <w:rsid w:val="00723490"/>
    <w:rsid w:val="007234E6"/>
    <w:rsid w:val="0072362A"/>
    <w:rsid w:val="007236D1"/>
    <w:rsid w:val="00723785"/>
    <w:rsid w:val="00723814"/>
    <w:rsid w:val="007238BF"/>
    <w:rsid w:val="00723950"/>
    <w:rsid w:val="00723A00"/>
    <w:rsid w:val="00723A47"/>
    <w:rsid w:val="00723A6F"/>
    <w:rsid w:val="00723AE7"/>
    <w:rsid w:val="00723B57"/>
    <w:rsid w:val="00723BCD"/>
    <w:rsid w:val="00723D8E"/>
    <w:rsid w:val="00723DDF"/>
    <w:rsid w:val="00723E6D"/>
    <w:rsid w:val="0072406B"/>
    <w:rsid w:val="007240DB"/>
    <w:rsid w:val="00724113"/>
    <w:rsid w:val="00724171"/>
    <w:rsid w:val="00724274"/>
    <w:rsid w:val="00724279"/>
    <w:rsid w:val="00724311"/>
    <w:rsid w:val="00724343"/>
    <w:rsid w:val="0072435C"/>
    <w:rsid w:val="007245C2"/>
    <w:rsid w:val="0072460D"/>
    <w:rsid w:val="00724A15"/>
    <w:rsid w:val="00724A95"/>
    <w:rsid w:val="00724C5F"/>
    <w:rsid w:val="00724C65"/>
    <w:rsid w:val="00724D25"/>
    <w:rsid w:val="00724D4F"/>
    <w:rsid w:val="00724D63"/>
    <w:rsid w:val="00724F8D"/>
    <w:rsid w:val="00724F96"/>
    <w:rsid w:val="00724FB2"/>
    <w:rsid w:val="00724FBE"/>
    <w:rsid w:val="0072500C"/>
    <w:rsid w:val="0072501C"/>
    <w:rsid w:val="0072507A"/>
    <w:rsid w:val="007250FF"/>
    <w:rsid w:val="0072511D"/>
    <w:rsid w:val="00725186"/>
    <w:rsid w:val="0072544D"/>
    <w:rsid w:val="0072547B"/>
    <w:rsid w:val="00725746"/>
    <w:rsid w:val="00725780"/>
    <w:rsid w:val="0072582C"/>
    <w:rsid w:val="00725847"/>
    <w:rsid w:val="007258C8"/>
    <w:rsid w:val="0072591D"/>
    <w:rsid w:val="00725A51"/>
    <w:rsid w:val="00725AF8"/>
    <w:rsid w:val="00725B70"/>
    <w:rsid w:val="00725BFE"/>
    <w:rsid w:val="00725C5A"/>
    <w:rsid w:val="00725C84"/>
    <w:rsid w:val="00725CA3"/>
    <w:rsid w:val="00725CAD"/>
    <w:rsid w:val="00725D7F"/>
    <w:rsid w:val="00725E21"/>
    <w:rsid w:val="00725E40"/>
    <w:rsid w:val="00725F2F"/>
    <w:rsid w:val="00725F55"/>
    <w:rsid w:val="00725F6A"/>
    <w:rsid w:val="00725FAB"/>
    <w:rsid w:val="0072609F"/>
    <w:rsid w:val="007264E2"/>
    <w:rsid w:val="007265B8"/>
    <w:rsid w:val="00726612"/>
    <w:rsid w:val="00726646"/>
    <w:rsid w:val="0072668D"/>
    <w:rsid w:val="00726734"/>
    <w:rsid w:val="00726839"/>
    <w:rsid w:val="00726A39"/>
    <w:rsid w:val="00726A83"/>
    <w:rsid w:val="00726AF9"/>
    <w:rsid w:val="00726BD4"/>
    <w:rsid w:val="00726BEE"/>
    <w:rsid w:val="00726E1D"/>
    <w:rsid w:val="00726E75"/>
    <w:rsid w:val="00726E82"/>
    <w:rsid w:val="00727048"/>
    <w:rsid w:val="007270BF"/>
    <w:rsid w:val="007270CE"/>
    <w:rsid w:val="00727145"/>
    <w:rsid w:val="007271BD"/>
    <w:rsid w:val="0072725F"/>
    <w:rsid w:val="007272C2"/>
    <w:rsid w:val="0072736A"/>
    <w:rsid w:val="00727379"/>
    <w:rsid w:val="007273D2"/>
    <w:rsid w:val="0072753E"/>
    <w:rsid w:val="0072768C"/>
    <w:rsid w:val="007276AA"/>
    <w:rsid w:val="00727735"/>
    <w:rsid w:val="0072778A"/>
    <w:rsid w:val="007277BC"/>
    <w:rsid w:val="007277C6"/>
    <w:rsid w:val="007277D3"/>
    <w:rsid w:val="007277F2"/>
    <w:rsid w:val="0072781F"/>
    <w:rsid w:val="00727827"/>
    <w:rsid w:val="0072782C"/>
    <w:rsid w:val="007278BB"/>
    <w:rsid w:val="00727992"/>
    <w:rsid w:val="007279EF"/>
    <w:rsid w:val="00727BE1"/>
    <w:rsid w:val="00727C10"/>
    <w:rsid w:val="00727CEC"/>
    <w:rsid w:val="00727DF9"/>
    <w:rsid w:val="00730026"/>
    <w:rsid w:val="00730075"/>
    <w:rsid w:val="00730097"/>
    <w:rsid w:val="00730166"/>
    <w:rsid w:val="00730219"/>
    <w:rsid w:val="00730263"/>
    <w:rsid w:val="007305DE"/>
    <w:rsid w:val="00730724"/>
    <w:rsid w:val="007307A2"/>
    <w:rsid w:val="007309E1"/>
    <w:rsid w:val="00730A8F"/>
    <w:rsid w:val="00730A90"/>
    <w:rsid w:val="00730ABF"/>
    <w:rsid w:val="00730ACA"/>
    <w:rsid w:val="00730C21"/>
    <w:rsid w:val="00730C49"/>
    <w:rsid w:val="00730ECD"/>
    <w:rsid w:val="00730EE7"/>
    <w:rsid w:val="00730F29"/>
    <w:rsid w:val="00731084"/>
    <w:rsid w:val="007310A2"/>
    <w:rsid w:val="007311FC"/>
    <w:rsid w:val="00731226"/>
    <w:rsid w:val="00731247"/>
    <w:rsid w:val="007312D5"/>
    <w:rsid w:val="007312EE"/>
    <w:rsid w:val="0073130C"/>
    <w:rsid w:val="00731327"/>
    <w:rsid w:val="007314D5"/>
    <w:rsid w:val="00731500"/>
    <w:rsid w:val="00731522"/>
    <w:rsid w:val="00731614"/>
    <w:rsid w:val="0073168F"/>
    <w:rsid w:val="0073180C"/>
    <w:rsid w:val="0073195B"/>
    <w:rsid w:val="007319F3"/>
    <w:rsid w:val="00731AA3"/>
    <w:rsid w:val="00731BAF"/>
    <w:rsid w:val="00731D23"/>
    <w:rsid w:val="00731DEE"/>
    <w:rsid w:val="00731EC0"/>
    <w:rsid w:val="00732004"/>
    <w:rsid w:val="00732063"/>
    <w:rsid w:val="007320C7"/>
    <w:rsid w:val="0073222B"/>
    <w:rsid w:val="007322D9"/>
    <w:rsid w:val="0073261B"/>
    <w:rsid w:val="00732771"/>
    <w:rsid w:val="007327A0"/>
    <w:rsid w:val="007327CA"/>
    <w:rsid w:val="007327EA"/>
    <w:rsid w:val="007328B0"/>
    <w:rsid w:val="0073293E"/>
    <w:rsid w:val="00732B78"/>
    <w:rsid w:val="00732B81"/>
    <w:rsid w:val="00732C03"/>
    <w:rsid w:val="00732C71"/>
    <w:rsid w:val="00732D69"/>
    <w:rsid w:val="00732DBA"/>
    <w:rsid w:val="00732DF9"/>
    <w:rsid w:val="00733002"/>
    <w:rsid w:val="00733005"/>
    <w:rsid w:val="00733009"/>
    <w:rsid w:val="00733053"/>
    <w:rsid w:val="00733069"/>
    <w:rsid w:val="00733079"/>
    <w:rsid w:val="0073313D"/>
    <w:rsid w:val="00733250"/>
    <w:rsid w:val="007332DA"/>
    <w:rsid w:val="00733616"/>
    <w:rsid w:val="00733627"/>
    <w:rsid w:val="0073363B"/>
    <w:rsid w:val="007337E8"/>
    <w:rsid w:val="00733800"/>
    <w:rsid w:val="00733997"/>
    <w:rsid w:val="00733A08"/>
    <w:rsid w:val="00733A81"/>
    <w:rsid w:val="00733A88"/>
    <w:rsid w:val="00733B16"/>
    <w:rsid w:val="00733BA3"/>
    <w:rsid w:val="00733BA6"/>
    <w:rsid w:val="00733C45"/>
    <w:rsid w:val="00733CF2"/>
    <w:rsid w:val="00733DF9"/>
    <w:rsid w:val="007340BE"/>
    <w:rsid w:val="007341B2"/>
    <w:rsid w:val="00734232"/>
    <w:rsid w:val="007342E8"/>
    <w:rsid w:val="007343E9"/>
    <w:rsid w:val="00734404"/>
    <w:rsid w:val="007345EC"/>
    <w:rsid w:val="007346A0"/>
    <w:rsid w:val="00734723"/>
    <w:rsid w:val="007347FA"/>
    <w:rsid w:val="00734846"/>
    <w:rsid w:val="007348C2"/>
    <w:rsid w:val="00734A13"/>
    <w:rsid w:val="00734A1C"/>
    <w:rsid w:val="00734A1F"/>
    <w:rsid w:val="00734B3D"/>
    <w:rsid w:val="00734D26"/>
    <w:rsid w:val="00734D30"/>
    <w:rsid w:val="00734D3F"/>
    <w:rsid w:val="00734E84"/>
    <w:rsid w:val="00734F91"/>
    <w:rsid w:val="00734FDB"/>
    <w:rsid w:val="0073504F"/>
    <w:rsid w:val="00735343"/>
    <w:rsid w:val="0073544F"/>
    <w:rsid w:val="00735477"/>
    <w:rsid w:val="00735511"/>
    <w:rsid w:val="0073561D"/>
    <w:rsid w:val="00735672"/>
    <w:rsid w:val="0073567E"/>
    <w:rsid w:val="007356E4"/>
    <w:rsid w:val="007356FB"/>
    <w:rsid w:val="00735742"/>
    <w:rsid w:val="00735779"/>
    <w:rsid w:val="007357B5"/>
    <w:rsid w:val="007357FE"/>
    <w:rsid w:val="00735845"/>
    <w:rsid w:val="0073588B"/>
    <w:rsid w:val="007358AA"/>
    <w:rsid w:val="007358EE"/>
    <w:rsid w:val="00735B74"/>
    <w:rsid w:val="00735E0B"/>
    <w:rsid w:val="00735EA6"/>
    <w:rsid w:val="00735F5E"/>
    <w:rsid w:val="00735FC3"/>
    <w:rsid w:val="00736024"/>
    <w:rsid w:val="007360FF"/>
    <w:rsid w:val="007361F3"/>
    <w:rsid w:val="00736279"/>
    <w:rsid w:val="007362B8"/>
    <w:rsid w:val="007362C8"/>
    <w:rsid w:val="00736312"/>
    <w:rsid w:val="00736420"/>
    <w:rsid w:val="00736492"/>
    <w:rsid w:val="00736624"/>
    <w:rsid w:val="00736699"/>
    <w:rsid w:val="007367C2"/>
    <w:rsid w:val="007367CF"/>
    <w:rsid w:val="0073698F"/>
    <w:rsid w:val="00736BD7"/>
    <w:rsid w:val="00736C27"/>
    <w:rsid w:val="00736C2F"/>
    <w:rsid w:val="00736D9D"/>
    <w:rsid w:val="00736E3F"/>
    <w:rsid w:val="00736F5D"/>
    <w:rsid w:val="00736FC5"/>
    <w:rsid w:val="007370FF"/>
    <w:rsid w:val="00737153"/>
    <w:rsid w:val="007371E5"/>
    <w:rsid w:val="00737321"/>
    <w:rsid w:val="007374CE"/>
    <w:rsid w:val="00737561"/>
    <w:rsid w:val="007375CA"/>
    <w:rsid w:val="007375CE"/>
    <w:rsid w:val="007375F0"/>
    <w:rsid w:val="00737692"/>
    <w:rsid w:val="007377AD"/>
    <w:rsid w:val="00737855"/>
    <w:rsid w:val="007378E7"/>
    <w:rsid w:val="0073792D"/>
    <w:rsid w:val="007379CB"/>
    <w:rsid w:val="00737C1C"/>
    <w:rsid w:val="00737E06"/>
    <w:rsid w:val="00737EA7"/>
    <w:rsid w:val="00737EE8"/>
    <w:rsid w:val="00737F54"/>
    <w:rsid w:val="00740084"/>
    <w:rsid w:val="00740145"/>
    <w:rsid w:val="00740212"/>
    <w:rsid w:val="007402CF"/>
    <w:rsid w:val="007404BF"/>
    <w:rsid w:val="007404FE"/>
    <w:rsid w:val="007405C7"/>
    <w:rsid w:val="00740619"/>
    <w:rsid w:val="0074068F"/>
    <w:rsid w:val="007406B8"/>
    <w:rsid w:val="0074075E"/>
    <w:rsid w:val="0074076C"/>
    <w:rsid w:val="007409D5"/>
    <w:rsid w:val="00740A07"/>
    <w:rsid w:val="00740A3E"/>
    <w:rsid w:val="00740C06"/>
    <w:rsid w:val="00740C2D"/>
    <w:rsid w:val="00740CEC"/>
    <w:rsid w:val="00740D1B"/>
    <w:rsid w:val="00740D52"/>
    <w:rsid w:val="00740E23"/>
    <w:rsid w:val="00740E3A"/>
    <w:rsid w:val="00740F49"/>
    <w:rsid w:val="0074108F"/>
    <w:rsid w:val="0074118B"/>
    <w:rsid w:val="007411EB"/>
    <w:rsid w:val="007412DB"/>
    <w:rsid w:val="007414F8"/>
    <w:rsid w:val="00741517"/>
    <w:rsid w:val="0074153C"/>
    <w:rsid w:val="00741540"/>
    <w:rsid w:val="00741759"/>
    <w:rsid w:val="00741794"/>
    <w:rsid w:val="00741836"/>
    <w:rsid w:val="007419D9"/>
    <w:rsid w:val="00741A7F"/>
    <w:rsid w:val="00741C23"/>
    <w:rsid w:val="00741C3E"/>
    <w:rsid w:val="00741D34"/>
    <w:rsid w:val="00741ECF"/>
    <w:rsid w:val="00741EEC"/>
    <w:rsid w:val="00741EF5"/>
    <w:rsid w:val="00741F06"/>
    <w:rsid w:val="00741FC6"/>
    <w:rsid w:val="00741FFA"/>
    <w:rsid w:val="007420EC"/>
    <w:rsid w:val="007420F7"/>
    <w:rsid w:val="0074212F"/>
    <w:rsid w:val="00742227"/>
    <w:rsid w:val="007422E1"/>
    <w:rsid w:val="0074230B"/>
    <w:rsid w:val="00742316"/>
    <w:rsid w:val="00742359"/>
    <w:rsid w:val="007423C0"/>
    <w:rsid w:val="00742416"/>
    <w:rsid w:val="00742417"/>
    <w:rsid w:val="0074244F"/>
    <w:rsid w:val="00742497"/>
    <w:rsid w:val="0074257D"/>
    <w:rsid w:val="00742792"/>
    <w:rsid w:val="007427BD"/>
    <w:rsid w:val="007428C8"/>
    <w:rsid w:val="00742907"/>
    <w:rsid w:val="00742915"/>
    <w:rsid w:val="00742970"/>
    <w:rsid w:val="00742DEC"/>
    <w:rsid w:val="00742E56"/>
    <w:rsid w:val="00742EB9"/>
    <w:rsid w:val="00742EC2"/>
    <w:rsid w:val="00742FA8"/>
    <w:rsid w:val="00742FD2"/>
    <w:rsid w:val="00742FE3"/>
    <w:rsid w:val="00743094"/>
    <w:rsid w:val="007430DD"/>
    <w:rsid w:val="007431BC"/>
    <w:rsid w:val="007432A8"/>
    <w:rsid w:val="007432C9"/>
    <w:rsid w:val="007434E1"/>
    <w:rsid w:val="007435A5"/>
    <w:rsid w:val="00743623"/>
    <w:rsid w:val="00743672"/>
    <w:rsid w:val="007436BD"/>
    <w:rsid w:val="00743767"/>
    <w:rsid w:val="00743A83"/>
    <w:rsid w:val="00743ADD"/>
    <w:rsid w:val="00743B22"/>
    <w:rsid w:val="00743C10"/>
    <w:rsid w:val="00743CB7"/>
    <w:rsid w:val="00743FA7"/>
    <w:rsid w:val="007440A7"/>
    <w:rsid w:val="00744109"/>
    <w:rsid w:val="007442C4"/>
    <w:rsid w:val="007442DD"/>
    <w:rsid w:val="00744372"/>
    <w:rsid w:val="0074442E"/>
    <w:rsid w:val="00744478"/>
    <w:rsid w:val="0074469F"/>
    <w:rsid w:val="007448D5"/>
    <w:rsid w:val="00744ABF"/>
    <w:rsid w:val="00744B82"/>
    <w:rsid w:val="00744CB9"/>
    <w:rsid w:val="00744CFF"/>
    <w:rsid w:val="00744DF0"/>
    <w:rsid w:val="00745107"/>
    <w:rsid w:val="00745136"/>
    <w:rsid w:val="007451FB"/>
    <w:rsid w:val="00745232"/>
    <w:rsid w:val="00745319"/>
    <w:rsid w:val="00745375"/>
    <w:rsid w:val="0074555B"/>
    <w:rsid w:val="0074585E"/>
    <w:rsid w:val="00745951"/>
    <w:rsid w:val="00745B0D"/>
    <w:rsid w:val="00745B89"/>
    <w:rsid w:val="00745C0F"/>
    <w:rsid w:val="00745C85"/>
    <w:rsid w:val="00745E8C"/>
    <w:rsid w:val="00745F62"/>
    <w:rsid w:val="007460B9"/>
    <w:rsid w:val="0074616C"/>
    <w:rsid w:val="007461D4"/>
    <w:rsid w:val="00746236"/>
    <w:rsid w:val="00746242"/>
    <w:rsid w:val="007464CC"/>
    <w:rsid w:val="007465B1"/>
    <w:rsid w:val="00746672"/>
    <w:rsid w:val="007466FA"/>
    <w:rsid w:val="0074679C"/>
    <w:rsid w:val="007467F1"/>
    <w:rsid w:val="00746A9B"/>
    <w:rsid w:val="00746AB2"/>
    <w:rsid w:val="00746B04"/>
    <w:rsid w:val="00746B78"/>
    <w:rsid w:val="00746C83"/>
    <w:rsid w:val="00746CC7"/>
    <w:rsid w:val="00746D73"/>
    <w:rsid w:val="00746DB8"/>
    <w:rsid w:val="00746E83"/>
    <w:rsid w:val="00746EB3"/>
    <w:rsid w:val="00746ED6"/>
    <w:rsid w:val="00746FE8"/>
    <w:rsid w:val="00746FF5"/>
    <w:rsid w:val="00747010"/>
    <w:rsid w:val="00747032"/>
    <w:rsid w:val="00747068"/>
    <w:rsid w:val="007472C2"/>
    <w:rsid w:val="0074734B"/>
    <w:rsid w:val="007474FB"/>
    <w:rsid w:val="007475E1"/>
    <w:rsid w:val="00747609"/>
    <w:rsid w:val="007476CE"/>
    <w:rsid w:val="007476F2"/>
    <w:rsid w:val="007478E4"/>
    <w:rsid w:val="00747960"/>
    <w:rsid w:val="00747A5A"/>
    <w:rsid w:val="00747AC8"/>
    <w:rsid w:val="00747B77"/>
    <w:rsid w:val="00747C31"/>
    <w:rsid w:val="00747CEB"/>
    <w:rsid w:val="00747E51"/>
    <w:rsid w:val="00747F56"/>
    <w:rsid w:val="00747FDF"/>
    <w:rsid w:val="0075009E"/>
    <w:rsid w:val="0075015A"/>
    <w:rsid w:val="0075036B"/>
    <w:rsid w:val="007503FC"/>
    <w:rsid w:val="007505A1"/>
    <w:rsid w:val="007506C8"/>
    <w:rsid w:val="00750737"/>
    <w:rsid w:val="007507A4"/>
    <w:rsid w:val="007507E0"/>
    <w:rsid w:val="00750899"/>
    <w:rsid w:val="0075092A"/>
    <w:rsid w:val="007509BE"/>
    <w:rsid w:val="00750A21"/>
    <w:rsid w:val="00750B1C"/>
    <w:rsid w:val="00750B50"/>
    <w:rsid w:val="00750D68"/>
    <w:rsid w:val="00750E59"/>
    <w:rsid w:val="00750E83"/>
    <w:rsid w:val="00750F46"/>
    <w:rsid w:val="00750F4D"/>
    <w:rsid w:val="0075103F"/>
    <w:rsid w:val="0075104F"/>
    <w:rsid w:val="00751088"/>
    <w:rsid w:val="00751110"/>
    <w:rsid w:val="00751207"/>
    <w:rsid w:val="00751215"/>
    <w:rsid w:val="00751248"/>
    <w:rsid w:val="0075145D"/>
    <w:rsid w:val="00751491"/>
    <w:rsid w:val="007516EC"/>
    <w:rsid w:val="007516FC"/>
    <w:rsid w:val="00751718"/>
    <w:rsid w:val="0075175C"/>
    <w:rsid w:val="007517E3"/>
    <w:rsid w:val="00751868"/>
    <w:rsid w:val="0075198D"/>
    <w:rsid w:val="007519F3"/>
    <w:rsid w:val="00751A7C"/>
    <w:rsid w:val="00751B5B"/>
    <w:rsid w:val="00751B77"/>
    <w:rsid w:val="00751B8E"/>
    <w:rsid w:val="00751B93"/>
    <w:rsid w:val="00751C7C"/>
    <w:rsid w:val="00751D58"/>
    <w:rsid w:val="00751E13"/>
    <w:rsid w:val="00751F56"/>
    <w:rsid w:val="007520AD"/>
    <w:rsid w:val="007521B2"/>
    <w:rsid w:val="0075248B"/>
    <w:rsid w:val="007525AA"/>
    <w:rsid w:val="00752769"/>
    <w:rsid w:val="00752A01"/>
    <w:rsid w:val="00752A42"/>
    <w:rsid w:val="00752A8D"/>
    <w:rsid w:val="00752AD3"/>
    <w:rsid w:val="00752B01"/>
    <w:rsid w:val="00752C9E"/>
    <w:rsid w:val="00752CC2"/>
    <w:rsid w:val="00752D2C"/>
    <w:rsid w:val="00752DD2"/>
    <w:rsid w:val="00752DD9"/>
    <w:rsid w:val="00752F88"/>
    <w:rsid w:val="007530B9"/>
    <w:rsid w:val="0075312E"/>
    <w:rsid w:val="007531D4"/>
    <w:rsid w:val="007532D3"/>
    <w:rsid w:val="007532F6"/>
    <w:rsid w:val="0075332C"/>
    <w:rsid w:val="00753387"/>
    <w:rsid w:val="00753428"/>
    <w:rsid w:val="007534AA"/>
    <w:rsid w:val="00753542"/>
    <w:rsid w:val="007536C5"/>
    <w:rsid w:val="007537F7"/>
    <w:rsid w:val="00753891"/>
    <w:rsid w:val="007538D2"/>
    <w:rsid w:val="007539B2"/>
    <w:rsid w:val="00753ACE"/>
    <w:rsid w:val="00753AF7"/>
    <w:rsid w:val="00753B55"/>
    <w:rsid w:val="00753BE3"/>
    <w:rsid w:val="00753C00"/>
    <w:rsid w:val="00753D03"/>
    <w:rsid w:val="00753FAE"/>
    <w:rsid w:val="00753FD9"/>
    <w:rsid w:val="00753FE5"/>
    <w:rsid w:val="00753FFA"/>
    <w:rsid w:val="00754361"/>
    <w:rsid w:val="0075439C"/>
    <w:rsid w:val="007543A9"/>
    <w:rsid w:val="007543D3"/>
    <w:rsid w:val="00754463"/>
    <w:rsid w:val="0075447A"/>
    <w:rsid w:val="007545D0"/>
    <w:rsid w:val="0075468E"/>
    <w:rsid w:val="007546F2"/>
    <w:rsid w:val="0075474B"/>
    <w:rsid w:val="00754793"/>
    <w:rsid w:val="0075484D"/>
    <w:rsid w:val="00754899"/>
    <w:rsid w:val="0075494F"/>
    <w:rsid w:val="007549F8"/>
    <w:rsid w:val="00754B72"/>
    <w:rsid w:val="00754B7E"/>
    <w:rsid w:val="00754BC6"/>
    <w:rsid w:val="00754BD6"/>
    <w:rsid w:val="00754C76"/>
    <w:rsid w:val="00754DF7"/>
    <w:rsid w:val="00754E7C"/>
    <w:rsid w:val="00754EB0"/>
    <w:rsid w:val="00754EDD"/>
    <w:rsid w:val="0075505B"/>
    <w:rsid w:val="0075509B"/>
    <w:rsid w:val="007555A5"/>
    <w:rsid w:val="007556CA"/>
    <w:rsid w:val="007556CF"/>
    <w:rsid w:val="00755728"/>
    <w:rsid w:val="0075576F"/>
    <w:rsid w:val="00755A7B"/>
    <w:rsid w:val="00755AE9"/>
    <w:rsid w:val="00755B45"/>
    <w:rsid w:val="00755C7F"/>
    <w:rsid w:val="00755D7C"/>
    <w:rsid w:val="00755D90"/>
    <w:rsid w:val="00755ECE"/>
    <w:rsid w:val="00755F86"/>
    <w:rsid w:val="00755FE3"/>
    <w:rsid w:val="00755FF9"/>
    <w:rsid w:val="0075604D"/>
    <w:rsid w:val="00756050"/>
    <w:rsid w:val="007561F9"/>
    <w:rsid w:val="0075630B"/>
    <w:rsid w:val="007563B6"/>
    <w:rsid w:val="00756624"/>
    <w:rsid w:val="0075685E"/>
    <w:rsid w:val="007568C7"/>
    <w:rsid w:val="007569B9"/>
    <w:rsid w:val="00756A32"/>
    <w:rsid w:val="00756C2E"/>
    <w:rsid w:val="00756E4E"/>
    <w:rsid w:val="00756FFF"/>
    <w:rsid w:val="00757191"/>
    <w:rsid w:val="00757221"/>
    <w:rsid w:val="00757634"/>
    <w:rsid w:val="00757692"/>
    <w:rsid w:val="007576A2"/>
    <w:rsid w:val="0075773B"/>
    <w:rsid w:val="007577A8"/>
    <w:rsid w:val="007577B6"/>
    <w:rsid w:val="00757911"/>
    <w:rsid w:val="007579C6"/>
    <w:rsid w:val="007579DB"/>
    <w:rsid w:val="00757A50"/>
    <w:rsid w:val="00757C56"/>
    <w:rsid w:val="00757D2E"/>
    <w:rsid w:val="00757D50"/>
    <w:rsid w:val="00757DB5"/>
    <w:rsid w:val="0076016F"/>
    <w:rsid w:val="00760388"/>
    <w:rsid w:val="007603AA"/>
    <w:rsid w:val="00760544"/>
    <w:rsid w:val="00760582"/>
    <w:rsid w:val="00760591"/>
    <w:rsid w:val="007605A7"/>
    <w:rsid w:val="007605D6"/>
    <w:rsid w:val="00760622"/>
    <w:rsid w:val="007606FF"/>
    <w:rsid w:val="0076075B"/>
    <w:rsid w:val="00760781"/>
    <w:rsid w:val="007608DE"/>
    <w:rsid w:val="00760901"/>
    <w:rsid w:val="00760961"/>
    <w:rsid w:val="00760999"/>
    <w:rsid w:val="007609F4"/>
    <w:rsid w:val="007609F5"/>
    <w:rsid w:val="00760A29"/>
    <w:rsid w:val="00760C27"/>
    <w:rsid w:val="00760C48"/>
    <w:rsid w:val="00760CBB"/>
    <w:rsid w:val="00760D33"/>
    <w:rsid w:val="00760D35"/>
    <w:rsid w:val="00760DEF"/>
    <w:rsid w:val="00760E04"/>
    <w:rsid w:val="00760ED9"/>
    <w:rsid w:val="00760F4D"/>
    <w:rsid w:val="00760FA2"/>
    <w:rsid w:val="007610DB"/>
    <w:rsid w:val="007612CC"/>
    <w:rsid w:val="007612D5"/>
    <w:rsid w:val="007612FB"/>
    <w:rsid w:val="00761414"/>
    <w:rsid w:val="00761560"/>
    <w:rsid w:val="00761591"/>
    <w:rsid w:val="00761598"/>
    <w:rsid w:val="007615BB"/>
    <w:rsid w:val="007615CD"/>
    <w:rsid w:val="007615D1"/>
    <w:rsid w:val="007616A2"/>
    <w:rsid w:val="007616AB"/>
    <w:rsid w:val="007617D3"/>
    <w:rsid w:val="00761871"/>
    <w:rsid w:val="00761A04"/>
    <w:rsid w:val="00761B8E"/>
    <w:rsid w:val="00761BC0"/>
    <w:rsid w:val="00761DC3"/>
    <w:rsid w:val="00761F24"/>
    <w:rsid w:val="00762442"/>
    <w:rsid w:val="00762470"/>
    <w:rsid w:val="007624BE"/>
    <w:rsid w:val="00762505"/>
    <w:rsid w:val="0076261B"/>
    <w:rsid w:val="0076283F"/>
    <w:rsid w:val="00762AD7"/>
    <w:rsid w:val="00762BBA"/>
    <w:rsid w:val="00762BC0"/>
    <w:rsid w:val="00762C60"/>
    <w:rsid w:val="00762CB7"/>
    <w:rsid w:val="007630BE"/>
    <w:rsid w:val="0076313F"/>
    <w:rsid w:val="00763199"/>
    <w:rsid w:val="007633E0"/>
    <w:rsid w:val="00763450"/>
    <w:rsid w:val="0076351F"/>
    <w:rsid w:val="007635DA"/>
    <w:rsid w:val="0076363E"/>
    <w:rsid w:val="00763682"/>
    <w:rsid w:val="007636E8"/>
    <w:rsid w:val="00763799"/>
    <w:rsid w:val="007637E4"/>
    <w:rsid w:val="0076387D"/>
    <w:rsid w:val="00763899"/>
    <w:rsid w:val="007638A8"/>
    <w:rsid w:val="00763A3F"/>
    <w:rsid w:val="00763A6C"/>
    <w:rsid w:val="00763E58"/>
    <w:rsid w:val="00763FAF"/>
    <w:rsid w:val="00764108"/>
    <w:rsid w:val="0076415B"/>
    <w:rsid w:val="00764190"/>
    <w:rsid w:val="007641D2"/>
    <w:rsid w:val="0076420A"/>
    <w:rsid w:val="00764322"/>
    <w:rsid w:val="00764363"/>
    <w:rsid w:val="00764447"/>
    <w:rsid w:val="007644CC"/>
    <w:rsid w:val="007644E4"/>
    <w:rsid w:val="00764524"/>
    <w:rsid w:val="0076457F"/>
    <w:rsid w:val="00764655"/>
    <w:rsid w:val="0076467F"/>
    <w:rsid w:val="00764737"/>
    <w:rsid w:val="00764795"/>
    <w:rsid w:val="0076482C"/>
    <w:rsid w:val="00764E79"/>
    <w:rsid w:val="00765081"/>
    <w:rsid w:val="00765219"/>
    <w:rsid w:val="007652F2"/>
    <w:rsid w:val="0076531A"/>
    <w:rsid w:val="00765483"/>
    <w:rsid w:val="007654C3"/>
    <w:rsid w:val="0076567B"/>
    <w:rsid w:val="0076571C"/>
    <w:rsid w:val="00765A71"/>
    <w:rsid w:val="00765A9C"/>
    <w:rsid w:val="00765A9F"/>
    <w:rsid w:val="00765AD1"/>
    <w:rsid w:val="00765AE6"/>
    <w:rsid w:val="00765B2B"/>
    <w:rsid w:val="00765B40"/>
    <w:rsid w:val="00765C07"/>
    <w:rsid w:val="00765C4E"/>
    <w:rsid w:val="00765C71"/>
    <w:rsid w:val="00765C8F"/>
    <w:rsid w:val="00765DFB"/>
    <w:rsid w:val="00766003"/>
    <w:rsid w:val="007660DB"/>
    <w:rsid w:val="00766121"/>
    <w:rsid w:val="00766155"/>
    <w:rsid w:val="00766182"/>
    <w:rsid w:val="007661CC"/>
    <w:rsid w:val="007661DC"/>
    <w:rsid w:val="007664C1"/>
    <w:rsid w:val="007664DE"/>
    <w:rsid w:val="007665E6"/>
    <w:rsid w:val="007665ED"/>
    <w:rsid w:val="007665FE"/>
    <w:rsid w:val="0076665D"/>
    <w:rsid w:val="007668A0"/>
    <w:rsid w:val="007669A7"/>
    <w:rsid w:val="00766A21"/>
    <w:rsid w:val="00766A60"/>
    <w:rsid w:val="00766A83"/>
    <w:rsid w:val="00766AE4"/>
    <w:rsid w:val="00766B1D"/>
    <w:rsid w:val="00766B39"/>
    <w:rsid w:val="00766B7A"/>
    <w:rsid w:val="00766BB5"/>
    <w:rsid w:val="00766C72"/>
    <w:rsid w:val="00766EA8"/>
    <w:rsid w:val="00766ED0"/>
    <w:rsid w:val="00766EE7"/>
    <w:rsid w:val="00767148"/>
    <w:rsid w:val="00767166"/>
    <w:rsid w:val="00767313"/>
    <w:rsid w:val="007673A7"/>
    <w:rsid w:val="007673FF"/>
    <w:rsid w:val="00767473"/>
    <w:rsid w:val="007675DE"/>
    <w:rsid w:val="007676E2"/>
    <w:rsid w:val="00767786"/>
    <w:rsid w:val="00767906"/>
    <w:rsid w:val="00767A76"/>
    <w:rsid w:val="00767AA5"/>
    <w:rsid w:val="00767B68"/>
    <w:rsid w:val="00767BAC"/>
    <w:rsid w:val="00767C55"/>
    <w:rsid w:val="00767C57"/>
    <w:rsid w:val="00767CB6"/>
    <w:rsid w:val="00767D3A"/>
    <w:rsid w:val="00767EA4"/>
    <w:rsid w:val="00767FD7"/>
    <w:rsid w:val="00770009"/>
    <w:rsid w:val="0077005E"/>
    <w:rsid w:val="007700FD"/>
    <w:rsid w:val="007701B3"/>
    <w:rsid w:val="007703CD"/>
    <w:rsid w:val="007704E3"/>
    <w:rsid w:val="0077056E"/>
    <w:rsid w:val="00770619"/>
    <w:rsid w:val="007706F4"/>
    <w:rsid w:val="00770720"/>
    <w:rsid w:val="0077077E"/>
    <w:rsid w:val="007708D3"/>
    <w:rsid w:val="007709E5"/>
    <w:rsid w:val="00770A4D"/>
    <w:rsid w:val="00770AB7"/>
    <w:rsid w:val="00770AEC"/>
    <w:rsid w:val="00770D24"/>
    <w:rsid w:val="00770D39"/>
    <w:rsid w:val="00770D4B"/>
    <w:rsid w:val="00770D94"/>
    <w:rsid w:val="00770DF7"/>
    <w:rsid w:val="00770EAC"/>
    <w:rsid w:val="00770F68"/>
    <w:rsid w:val="00770F74"/>
    <w:rsid w:val="00770FD0"/>
    <w:rsid w:val="0077110B"/>
    <w:rsid w:val="00771132"/>
    <w:rsid w:val="007711A9"/>
    <w:rsid w:val="00771240"/>
    <w:rsid w:val="007712B0"/>
    <w:rsid w:val="007712B1"/>
    <w:rsid w:val="0077137C"/>
    <w:rsid w:val="00771397"/>
    <w:rsid w:val="00771411"/>
    <w:rsid w:val="0077141A"/>
    <w:rsid w:val="007714C9"/>
    <w:rsid w:val="007716E6"/>
    <w:rsid w:val="0077184E"/>
    <w:rsid w:val="00771AE4"/>
    <w:rsid w:val="00771C02"/>
    <w:rsid w:val="00771D2F"/>
    <w:rsid w:val="00771DD3"/>
    <w:rsid w:val="00771DF1"/>
    <w:rsid w:val="00772071"/>
    <w:rsid w:val="007720E0"/>
    <w:rsid w:val="007720F7"/>
    <w:rsid w:val="00772101"/>
    <w:rsid w:val="00772160"/>
    <w:rsid w:val="007721B6"/>
    <w:rsid w:val="007724E4"/>
    <w:rsid w:val="00772506"/>
    <w:rsid w:val="007725A4"/>
    <w:rsid w:val="007725C8"/>
    <w:rsid w:val="00772634"/>
    <w:rsid w:val="00772775"/>
    <w:rsid w:val="00772BC7"/>
    <w:rsid w:val="00772C00"/>
    <w:rsid w:val="00772C04"/>
    <w:rsid w:val="00772CF1"/>
    <w:rsid w:val="00772E6C"/>
    <w:rsid w:val="00772EED"/>
    <w:rsid w:val="00772EFB"/>
    <w:rsid w:val="0077315D"/>
    <w:rsid w:val="007731CF"/>
    <w:rsid w:val="00773248"/>
    <w:rsid w:val="007732FB"/>
    <w:rsid w:val="0077379B"/>
    <w:rsid w:val="007737D0"/>
    <w:rsid w:val="007737F0"/>
    <w:rsid w:val="00773856"/>
    <w:rsid w:val="007738C6"/>
    <w:rsid w:val="0077391F"/>
    <w:rsid w:val="00773A0B"/>
    <w:rsid w:val="00773B7B"/>
    <w:rsid w:val="00773C13"/>
    <w:rsid w:val="00773E27"/>
    <w:rsid w:val="00773E6C"/>
    <w:rsid w:val="0077403A"/>
    <w:rsid w:val="00774069"/>
    <w:rsid w:val="0077417D"/>
    <w:rsid w:val="00774195"/>
    <w:rsid w:val="00774207"/>
    <w:rsid w:val="00774215"/>
    <w:rsid w:val="00774231"/>
    <w:rsid w:val="0077425B"/>
    <w:rsid w:val="007743FE"/>
    <w:rsid w:val="0077468B"/>
    <w:rsid w:val="007746F7"/>
    <w:rsid w:val="0077478C"/>
    <w:rsid w:val="0077483F"/>
    <w:rsid w:val="00774888"/>
    <w:rsid w:val="00774957"/>
    <w:rsid w:val="00774A22"/>
    <w:rsid w:val="00774B9C"/>
    <w:rsid w:val="00774C31"/>
    <w:rsid w:val="00774D64"/>
    <w:rsid w:val="00774D65"/>
    <w:rsid w:val="00774EE6"/>
    <w:rsid w:val="00774F74"/>
    <w:rsid w:val="00774FA1"/>
    <w:rsid w:val="00775051"/>
    <w:rsid w:val="007750A6"/>
    <w:rsid w:val="00775106"/>
    <w:rsid w:val="007751E0"/>
    <w:rsid w:val="00775333"/>
    <w:rsid w:val="0077560C"/>
    <w:rsid w:val="0077561A"/>
    <w:rsid w:val="007757AC"/>
    <w:rsid w:val="00775807"/>
    <w:rsid w:val="007758F4"/>
    <w:rsid w:val="007759B0"/>
    <w:rsid w:val="00775AF3"/>
    <w:rsid w:val="00775B68"/>
    <w:rsid w:val="00775BC8"/>
    <w:rsid w:val="00775D06"/>
    <w:rsid w:val="00775D86"/>
    <w:rsid w:val="00775E56"/>
    <w:rsid w:val="00775EB2"/>
    <w:rsid w:val="00775F32"/>
    <w:rsid w:val="00775FB2"/>
    <w:rsid w:val="007760AA"/>
    <w:rsid w:val="00776135"/>
    <w:rsid w:val="007762E0"/>
    <w:rsid w:val="007762E3"/>
    <w:rsid w:val="00776367"/>
    <w:rsid w:val="00776416"/>
    <w:rsid w:val="007767F6"/>
    <w:rsid w:val="00776832"/>
    <w:rsid w:val="007769DC"/>
    <w:rsid w:val="00776B9C"/>
    <w:rsid w:val="00776DB8"/>
    <w:rsid w:val="00776EAB"/>
    <w:rsid w:val="00776FC7"/>
    <w:rsid w:val="007770D9"/>
    <w:rsid w:val="00777107"/>
    <w:rsid w:val="007772A2"/>
    <w:rsid w:val="00777368"/>
    <w:rsid w:val="0077745A"/>
    <w:rsid w:val="0077748D"/>
    <w:rsid w:val="0077755A"/>
    <w:rsid w:val="007775AE"/>
    <w:rsid w:val="0077762C"/>
    <w:rsid w:val="0077793D"/>
    <w:rsid w:val="00777B2E"/>
    <w:rsid w:val="00777D11"/>
    <w:rsid w:val="00777DE6"/>
    <w:rsid w:val="00777F9E"/>
    <w:rsid w:val="00780010"/>
    <w:rsid w:val="00780079"/>
    <w:rsid w:val="007801D2"/>
    <w:rsid w:val="0078021F"/>
    <w:rsid w:val="00780229"/>
    <w:rsid w:val="00780394"/>
    <w:rsid w:val="007805B5"/>
    <w:rsid w:val="00780735"/>
    <w:rsid w:val="00780746"/>
    <w:rsid w:val="007807C4"/>
    <w:rsid w:val="00780A30"/>
    <w:rsid w:val="00780B2D"/>
    <w:rsid w:val="00780BCB"/>
    <w:rsid w:val="00780CA1"/>
    <w:rsid w:val="00780D17"/>
    <w:rsid w:val="00780DA1"/>
    <w:rsid w:val="00780E6C"/>
    <w:rsid w:val="00780EF8"/>
    <w:rsid w:val="00780F75"/>
    <w:rsid w:val="0078111B"/>
    <w:rsid w:val="00781364"/>
    <w:rsid w:val="007813E1"/>
    <w:rsid w:val="0078159C"/>
    <w:rsid w:val="00781697"/>
    <w:rsid w:val="0078172C"/>
    <w:rsid w:val="007817A0"/>
    <w:rsid w:val="007817F2"/>
    <w:rsid w:val="00781865"/>
    <w:rsid w:val="007818D7"/>
    <w:rsid w:val="00781991"/>
    <w:rsid w:val="00781999"/>
    <w:rsid w:val="00781A88"/>
    <w:rsid w:val="00781AD2"/>
    <w:rsid w:val="00781B43"/>
    <w:rsid w:val="00781BDE"/>
    <w:rsid w:val="00781BF7"/>
    <w:rsid w:val="00781C10"/>
    <w:rsid w:val="00781E13"/>
    <w:rsid w:val="00781FE1"/>
    <w:rsid w:val="00782044"/>
    <w:rsid w:val="00782119"/>
    <w:rsid w:val="0078221A"/>
    <w:rsid w:val="0078228C"/>
    <w:rsid w:val="0078228E"/>
    <w:rsid w:val="00782455"/>
    <w:rsid w:val="0078248C"/>
    <w:rsid w:val="0078253A"/>
    <w:rsid w:val="0078273E"/>
    <w:rsid w:val="00782779"/>
    <w:rsid w:val="007827F5"/>
    <w:rsid w:val="007828A2"/>
    <w:rsid w:val="007828C6"/>
    <w:rsid w:val="00782941"/>
    <w:rsid w:val="007829E5"/>
    <w:rsid w:val="00782B83"/>
    <w:rsid w:val="00782D25"/>
    <w:rsid w:val="00782D6F"/>
    <w:rsid w:val="00782D93"/>
    <w:rsid w:val="00782DF7"/>
    <w:rsid w:val="00782FC6"/>
    <w:rsid w:val="00782FE9"/>
    <w:rsid w:val="007832D6"/>
    <w:rsid w:val="0078336B"/>
    <w:rsid w:val="007833D5"/>
    <w:rsid w:val="007833D6"/>
    <w:rsid w:val="00783419"/>
    <w:rsid w:val="00783453"/>
    <w:rsid w:val="007834A3"/>
    <w:rsid w:val="0078353B"/>
    <w:rsid w:val="007835A1"/>
    <w:rsid w:val="007835DF"/>
    <w:rsid w:val="00783650"/>
    <w:rsid w:val="007836CD"/>
    <w:rsid w:val="00783808"/>
    <w:rsid w:val="00783859"/>
    <w:rsid w:val="007839CB"/>
    <w:rsid w:val="00783A6A"/>
    <w:rsid w:val="00783B1A"/>
    <w:rsid w:val="00783B4C"/>
    <w:rsid w:val="00783B4E"/>
    <w:rsid w:val="00783BB1"/>
    <w:rsid w:val="00783C92"/>
    <w:rsid w:val="00783CC7"/>
    <w:rsid w:val="00783F67"/>
    <w:rsid w:val="00783F7F"/>
    <w:rsid w:val="00784023"/>
    <w:rsid w:val="0078409C"/>
    <w:rsid w:val="007840BA"/>
    <w:rsid w:val="007840E6"/>
    <w:rsid w:val="0078429C"/>
    <w:rsid w:val="007842FF"/>
    <w:rsid w:val="00784339"/>
    <w:rsid w:val="0078462F"/>
    <w:rsid w:val="007846EA"/>
    <w:rsid w:val="0078479B"/>
    <w:rsid w:val="007847B5"/>
    <w:rsid w:val="007847D7"/>
    <w:rsid w:val="007848C0"/>
    <w:rsid w:val="0078497B"/>
    <w:rsid w:val="007849B4"/>
    <w:rsid w:val="00784A70"/>
    <w:rsid w:val="00784C0D"/>
    <w:rsid w:val="00784C73"/>
    <w:rsid w:val="00784C7B"/>
    <w:rsid w:val="00784D4A"/>
    <w:rsid w:val="00784D93"/>
    <w:rsid w:val="00784ED5"/>
    <w:rsid w:val="00784F0E"/>
    <w:rsid w:val="00784F60"/>
    <w:rsid w:val="007850A2"/>
    <w:rsid w:val="007851BE"/>
    <w:rsid w:val="00785555"/>
    <w:rsid w:val="007855F6"/>
    <w:rsid w:val="00785648"/>
    <w:rsid w:val="007856A4"/>
    <w:rsid w:val="0078595F"/>
    <w:rsid w:val="007859B5"/>
    <w:rsid w:val="00785B23"/>
    <w:rsid w:val="00785B61"/>
    <w:rsid w:val="00785BC1"/>
    <w:rsid w:val="00785BF2"/>
    <w:rsid w:val="00785BF5"/>
    <w:rsid w:val="00785D02"/>
    <w:rsid w:val="00785EB4"/>
    <w:rsid w:val="00785F7F"/>
    <w:rsid w:val="00785FD7"/>
    <w:rsid w:val="0078610B"/>
    <w:rsid w:val="00786219"/>
    <w:rsid w:val="007863A3"/>
    <w:rsid w:val="0078640E"/>
    <w:rsid w:val="00786424"/>
    <w:rsid w:val="007864B4"/>
    <w:rsid w:val="0078661A"/>
    <w:rsid w:val="007866A7"/>
    <w:rsid w:val="007866AF"/>
    <w:rsid w:val="0078670D"/>
    <w:rsid w:val="00786886"/>
    <w:rsid w:val="00786901"/>
    <w:rsid w:val="00786A9C"/>
    <w:rsid w:val="00786BEB"/>
    <w:rsid w:val="00786C52"/>
    <w:rsid w:val="00786CFE"/>
    <w:rsid w:val="00786D17"/>
    <w:rsid w:val="00786D5C"/>
    <w:rsid w:val="00786DD1"/>
    <w:rsid w:val="00786E1D"/>
    <w:rsid w:val="00786FE2"/>
    <w:rsid w:val="0078705E"/>
    <w:rsid w:val="00787108"/>
    <w:rsid w:val="007873DE"/>
    <w:rsid w:val="00787406"/>
    <w:rsid w:val="00787470"/>
    <w:rsid w:val="007874A8"/>
    <w:rsid w:val="00787787"/>
    <w:rsid w:val="0078780E"/>
    <w:rsid w:val="00787880"/>
    <w:rsid w:val="007878EE"/>
    <w:rsid w:val="00787940"/>
    <w:rsid w:val="00787978"/>
    <w:rsid w:val="007879D6"/>
    <w:rsid w:val="007879E9"/>
    <w:rsid w:val="00787BB6"/>
    <w:rsid w:val="00787CC9"/>
    <w:rsid w:val="00787D47"/>
    <w:rsid w:val="00787D90"/>
    <w:rsid w:val="00787E46"/>
    <w:rsid w:val="00787FF6"/>
    <w:rsid w:val="0079006D"/>
    <w:rsid w:val="007902E1"/>
    <w:rsid w:val="0079046D"/>
    <w:rsid w:val="007904CA"/>
    <w:rsid w:val="007904D8"/>
    <w:rsid w:val="0079055B"/>
    <w:rsid w:val="007905CB"/>
    <w:rsid w:val="007905D9"/>
    <w:rsid w:val="0079063A"/>
    <w:rsid w:val="0079067A"/>
    <w:rsid w:val="00790795"/>
    <w:rsid w:val="007907A1"/>
    <w:rsid w:val="00790898"/>
    <w:rsid w:val="0079095F"/>
    <w:rsid w:val="00790A31"/>
    <w:rsid w:val="00790AF1"/>
    <w:rsid w:val="00790AF3"/>
    <w:rsid w:val="00790C9D"/>
    <w:rsid w:val="00790CD5"/>
    <w:rsid w:val="00790CD8"/>
    <w:rsid w:val="00790D1A"/>
    <w:rsid w:val="00790D5B"/>
    <w:rsid w:val="00790D78"/>
    <w:rsid w:val="00790DF8"/>
    <w:rsid w:val="00790EFA"/>
    <w:rsid w:val="00790F9A"/>
    <w:rsid w:val="007911E1"/>
    <w:rsid w:val="0079122E"/>
    <w:rsid w:val="00791391"/>
    <w:rsid w:val="007913D8"/>
    <w:rsid w:val="00791472"/>
    <w:rsid w:val="00791604"/>
    <w:rsid w:val="00791710"/>
    <w:rsid w:val="00791ADE"/>
    <w:rsid w:val="00791B50"/>
    <w:rsid w:val="00791B88"/>
    <w:rsid w:val="00791C33"/>
    <w:rsid w:val="00791CED"/>
    <w:rsid w:val="00791D36"/>
    <w:rsid w:val="00791F77"/>
    <w:rsid w:val="00791F84"/>
    <w:rsid w:val="00791F89"/>
    <w:rsid w:val="00792089"/>
    <w:rsid w:val="007921CD"/>
    <w:rsid w:val="007922FE"/>
    <w:rsid w:val="00792428"/>
    <w:rsid w:val="0079243C"/>
    <w:rsid w:val="0079255E"/>
    <w:rsid w:val="0079257B"/>
    <w:rsid w:val="007925B9"/>
    <w:rsid w:val="007926EF"/>
    <w:rsid w:val="0079271C"/>
    <w:rsid w:val="00792774"/>
    <w:rsid w:val="007927B9"/>
    <w:rsid w:val="00792820"/>
    <w:rsid w:val="00792887"/>
    <w:rsid w:val="0079298E"/>
    <w:rsid w:val="00792A42"/>
    <w:rsid w:val="00792ADA"/>
    <w:rsid w:val="00792D24"/>
    <w:rsid w:val="00792EAA"/>
    <w:rsid w:val="00792EBF"/>
    <w:rsid w:val="00792FE5"/>
    <w:rsid w:val="007930DA"/>
    <w:rsid w:val="007931F7"/>
    <w:rsid w:val="007933E9"/>
    <w:rsid w:val="00793415"/>
    <w:rsid w:val="0079353C"/>
    <w:rsid w:val="0079359B"/>
    <w:rsid w:val="0079363F"/>
    <w:rsid w:val="007937E9"/>
    <w:rsid w:val="00793850"/>
    <w:rsid w:val="00793921"/>
    <w:rsid w:val="00793960"/>
    <w:rsid w:val="00793967"/>
    <w:rsid w:val="00793AA7"/>
    <w:rsid w:val="00793B07"/>
    <w:rsid w:val="00793BA7"/>
    <w:rsid w:val="00793BB5"/>
    <w:rsid w:val="00793CBF"/>
    <w:rsid w:val="00793E9D"/>
    <w:rsid w:val="00793FA1"/>
    <w:rsid w:val="00793FBA"/>
    <w:rsid w:val="00794035"/>
    <w:rsid w:val="0079403F"/>
    <w:rsid w:val="00794167"/>
    <w:rsid w:val="007941A0"/>
    <w:rsid w:val="00794256"/>
    <w:rsid w:val="00794284"/>
    <w:rsid w:val="00794289"/>
    <w:rsid w:val="007943C5"/>
    <w:rsid w:val="0079448C"/>
    <w:rsid w:val="00794490"/>
    <w:rsid w:val="00794561"/>
    <w:rsid w:val="007945B6"/>
    <w:rsid w:val="007946D7"/>
    <w:rsid w:val="00794752"/>
    <w:rsid w:val="007947D3"/>
    <w:rsid w:val="00794824"/>
    <w:rsid w:val="0079484A"/>
    <w:rsid w:val="00794952"/>
    <w:rsid w:val="00794B87"/>
    <w:rsid w:val="00794C75"/>
    <w:rsid w:val="00794CB2"/>
    <w:rsid w:val="00794CB3"/>
    <w:rsid w:val="00794CC6"/>
    <w:rsid w:val="00794CFF"/>
    <w:rsid w:val="007950D9"/>
    <w:rsid w:val="007951AB"/>
    <w:rsid w:val="007951C6"/>
    <w:rsid w:val="007951D9"/>
    <w:rsid w:val="00795229"/>
    <w:rsid w:val="00795264"/>
    <w:rsid w:val="007952B7"/>
    <w:rsid w:val="007954F9"/>
    <w:rsid w:val="0079558E"/>
    <w:rsid w:val="00795742"/>
    <w:rsid w:val="007957F3"/>
    <w:rsid w:val="0079590C"/>
    <w:rsid w:val="007959D6"/>
    <w:rsid w:val="007959EA"/>
    <w:rsid w:val="00795A02"/>
    <w:rsid w:val="00795A09"/>
    <w:rsid w:val="00795AC7"/>
    <w:rsid w:val="00795BCB"/>
    <w:rsid w:val="00795C31"/>
    <w:rsid w:val="00795CEB"/>
    <w:rsid w:val="00795CF6"/>
    <w:rsid w:val="00795D45"/>
    <w:rsid w:val="00795DAA"/>
    <w:rsid w:val="00795E45"/>
    <w:rsid w:val="00795F68"/>
    <w:rsid w:val="00796051"/>
    <w:rsid w:val="00796054"/>
    <w:rsid w:val="0079608F"/>
    <w:rsid w:val="0079609F"/>
    <w:rsid w:val="0079616C"/>
    <w:rsid w:val="007962D1"/>
    <w:rsid w:val="007963F5"/>
    <w:rsid w:val="00796410"/>
    <w:rsid w:val="00796426"/>
    <w:rsid w:val="007964C7"/>
    <w:rsid w:val="007964FF"/>
    <w:rsid w:val="0079652E"/>
    <w:rsid w:val="00796583"/>
    <w:rsid w:val="0079665F"/>
    <w:rsid w:val="00796690"/>
    <w:rsid w:val="007967A6"/>
    <w:rsid w:val="007967CA"/>
    <w:rsid w:val="00796887"/>
    <w:rsid w:val="00796945"/>
    <w:rsid w:val="00796946"/>
    <w:rsid w:val="0079694E"/>
    <w:rsid w:val="007969A1"/>
    <w:rsid w:val="00796A12"/>
    <w:rsid w:val="00796B79"/>
    <w:rsid w:val="00796DBF"/>
    <w:rsid w:val="00796F88"/>
    <w:rsid w:val="00797053"/>
    <w:rsid w:val="007970EA"/>
    <w:rsid w:val="007972DB"/>
    <w:rsid w:val="0079734A"/>
    <w:rsid w:val="00797412"/>
    <w:rsid w:val="00797414"/>
    <w:rsid w:val="007974E6"/>
    <w:rsid w:val="0079759C"/>
    <w:rsid w:val="007975EF"/>
    <w:rsid w:val="00797647"/>
    <w:rsid w:val="007976AF"/>
    <w:rsid w:val="007978F1"/>
    <w:rsid w:val="00797940"/>
    <w:rsid w:val="00797952"/>
    <w:rsid w:val="00797972"/>
    <w:rsid w:val="00797AAD"/>
    <w:rsid w:val="00797B0B"/>
    <w:rsid w:val="00797CC1"/>
    <w:rsid w:val="00797E09"/>
    <w:rsid w:val="00797EC2"/>
    <w:rsid w:val="00797EF7"/>
    <w:rsid w:val="00797F34"/>
    <w:rsid w:val="007A0009"/>
    <w:rsid w:val="007A009A"/>
    <w:rsid w:val="007A019A"/>
    <w:rsid w:val="007A0365"/>
    <w:rsid w:val="007A03E6"/>
    <w:rsid w:val="007A0409"/>
    <w:rsid w:val="007A0494"/>
    <w:rsid w:val="007A0519"/>
    <w:rsid w:val="007A0536"/>
    <w:rsid w:val="007A071D"/>
    <w:rsid w:val="007A07AD"/>
    <w:rsid w:val="007A07F1"/>
    <w:rsid w:val="007A0877"/>
    <w:rsid w:val="007A09B9"/>
    <w:rsid w:val="007A0DB7"/>
    <w:rsid w:val="007A0E1B"/>
    <w:rsid w:val="007A0FA2"/>
    <w:rsid w:val="007A0FDA"/>
    <w:rsid w:val="007A117D"/>
    <w:rsid w:val="007A11D2"/>
    <w:rsid w:val="007A1253"/>
    <w:rsid w:val="007A12ED"/>
    <w:rsid w:val="007A13A4"/>
    <w:rsid w:val="007A141D"/>
    <w:rsid w:val="007A1577"/>
    <w:rsid w:val="007A159D"/>
    <w:rsid w:val="007A15A5"/>
    <w:rsid w:val="007A1689"/>
    <w:rsid w:val="007A17B8"/>
    <w:rsid w:val="007A1808"/>
    <w:rsid w:val="007A1829"/>
    <w:rsid w:val="007A1922"/>
    <w:rsid w:val="007A19D8"/>
    <w:rsid w:val="007A1C55"/>
    <w:rsid w:val="007A1C80"/>
    <w:rsid w:val="007A1EC0"/>
    <w:rsid w:val="007A1F6E"/>
    <w:rsid w:val="007A1FE1"/>
    <w:rsid w:val="007A21A1"/>
    <w:rsid w:val="007A21D9"/>
    <w:rsid w:val="007A23BF"/>
    <w:rsid w:val="007A23CB"/>
    <w:rsid w:val="007A242D"/>
    <w:rsid w:val="007A24C7"/>
    <w:rsid w:val="007A25BF"/>
    <w:rsid w:val="007A2675"/>
    <w:rsid w:val="007A2699"/>
    <w:rsid w:val="007A274D"/>
    <w:rsid w:val="007A29B2"/>
    <w:rsid w:val="007A29EB"/>
    <w:rsid w:val="007A2A86"/>
    <w:rsid w:val="007A2C17"/>
    <w:rsid w:val="007A2C25"/>
    <w:rsid w:val="007A2DEA"/>
    <w:rsid w:val="007A2FF3"/>
    <w:rsid w:val="007A307B"/>
    <w:rsid w:val="007A3082"/>
    <w:rsid w:val="007A30D0"/>
    <w:rsid w:val="007A312C"/>
    <w:rsid w:val="007A33FE"/>
    <w:rsid w:val="007A3595"/>
    <w:rsid w:val="007A36DD"/>
    <w:rsid w:val="007A37AA"/>
    <w:rsid w:val="007A387E"/>
    <w:rsid w:val="007A38BD"/>
    <w:rsid w:val="007A3931"/>
    <w:rsid w:val="007A39BE"/>
    <w:rsid w:val="007A39C6"/>
    <w:rsid w:val="007A3ADB"/>
    <w:rsid w:val="007A3C54"/>
    <w:rsid w:val="007A3C65"/>
    <w:rsid w:val="007A3D64"/>
    <w:rsid w:val="007A3D9A"/>
    <w:rsid w:val="007A3DD3"/>
    <w:rsid w:val="007A3EE5"/>
    <w:rsid w:val="007A4105"/>
    <w:rsid w:val="007A411A"/>
    <w:rsid w:val="007A4249"/>
    <w:rsid w:val="007A42E5"/>
    <w:rsid w:val="007A4385"/>
    <w:rsid w:val="007A43E1"/>
    <w:rsid w:val="007A4423"/>
    <w:rsid w:val="007A4439"/>
    <w:rsid w:val="007A450D"/>
    <w:rsid w:val="007A4646"/>
    <w:rsid w:val="007A46E6"/>
    <w:rsid w:val="007A46EC"/>
    <w:rsid w:val="007A4710"/>
    <w:rsid w:val="007A47CF"/>
    <w:rsid w:val="007A4C97"/>
    <w:rsid w:val="007A4CA1"/>
    <w:rsid w:val="007A4CE3"/>
    <w:rsid w:val="007A4D79"/>
    <w:rsid w:val="007A4D88"/>
    <w:rsid w:val="007A4DA1"/>
    <w:rsid w:val="007A4EF8"/>
    <w:rsid w:val="007A4EFB"/>
    <w:rsid w:val="007A4F14"/>
    <w:rsid w:val="007A4FE8"/>
    <w:rsid w:val="007A50EE"/>
    <w:rsid w:val="007A512F"/>
    <w:rsid w:val="007A5181"/>
    <w:rsid w:val="007A526F"/>
    <w:rsid w:val="007A52DB"/>
    <w:rsid w:val="007A546F"/>
    <w:rsid w:val="007A5478"/>
    <w:rsid w:val="007A565E"/>
    <w:rsid w:val="007A593C"/>
    <w:rsid w:val="007A59B0"/>
    <w:rsid w:val="007A59DB"/>
    <w:rsid w:val="007A5A1F"/>
    <w:rsid w:val="007A5A4A"/>
    <w:rsid w:val="007A5AC0"/>
    <w:rsid w:val="007A5CB3"/>
    <w:rsid w:val="007A5D1F"/>
    <w:rsid w:val="007A5EA9"/>
    <w:rsid w:val="007A5F16"/>
    <w:rsid w:val="007A5F2C"/>
    <w:rsid w:val="007A5F8F"/>
    <w:rsid w:val="007A5FCB"/>
    <w:rsid w:val="007A60EC"/>
    <w:rsid w:val="007A6144"/>
    <w:rsid w:val="007A6256"/>
    <w:rsid w:val="007A6323"/>
    <w:rsid w:val="007A6330"/>
    <w:rsid w:val="007A63CC"/>
    <w:rsid w:val="007A656A"/>
    <w:rsid w:val="007A65D7"/>
    <w:rsid w:val="007A674A"/>
    <w:rsid w:val="007A6762"/>
    <w:rsid w:val="007A67D3"/>
    <w:rsid w:val="007A6859"/>
    <w:rsid w:val="007A695E"/>
    <w:rsid w:val="007A6A2F"/>
    <w:rsid w:val="007A6AD5"/>
    <w:rsid w:val="007A6B8E"/>
    <w:rsid w:val="007A6C9A"/>
    <w:rsid w:val="007A6CA8"/>
    <w:rsid w:val="007A6CC7"/>
    <w:rsid w:val="007A6E41"/>
    <w:rsid w:val="007A6E71"/>
    <w:rsid w:val="007A6EF9"/>
    <w:rsid w:val="007A6F3E"/>
    <w:rsid w:val="007A6FBB"/>
    <w:rsid w:val="007A6FFE"/>
    <w:rsid w:val="007A711D"/>
    <w:rsid w:val="007A7120"/>
    <w:rsid w:val="007A72FE"/>
    <w:rsid w:val="007A730E"/>
    <w:rsid w:val="007A73EF"/>
    <w:rsid w:val="007A74C5"/>
    <w:rsid w:val="007A759C"/>
    <w:rsid w:val="007A7632"/>
    <w:rsid w:val="007A76A1"/>
    <w:rsid w:val="007A76F7"/>
    <w:rsid w:val="007A78DC"/>
    <w:rsid w:val="007A78EE"/>
    <w:rsid w:val="007A7A02"/>
    <w:rsid w:val="007A7ADB"/>
    <w:rsid w:val="007A7AE2"/>
    <w:rsid w:val="007A7C04"/>
    <w:rsid w:val="007A7C2D"/>
    <w:rsid w:val="007A7E9B"/>
    <w:rsid w:val="007A7E9E"/>
    <w:rsid w:val="007A7FEA"/>
    <w:rsid w:val="007B002B"/>
    <w:rsid w:val="007B002C"/>
    <w:rsid w:val="007B010A"/>
    <w:rsid w:val="007B013E"/>
    <w:rsid w:val="007B0169"/>
    <w:rsid w:val="007B0183"/>
    <w:rsid w:val="007B05A7"/>
    <w:rsid w:val="007B0637"/>
    <w:rsid w:val="007B0B08"/>
    <w:rsid w:val="007B0B19"/>
    <w:rsid w:val="007B0B67"/>
    <w:rsid w:val="007B0EB5"/>
    <w:rsid w:val="007B0F19"/>
    <w:rsid w:val="007B0FE0"/>
    <w:rsid w:val="007B114D"/>
    <w:rsid w:val="007B116E"/>
    <w:rsid w:val="007B1190"/>
    <w:rsid w:val="007B12A6"/>
    <w:rsid w:val="007B13BD"/>
    <w:rsid w:val="007B13E1"/>
    <w:rsid w:val="007B1467"/>
    <w:rsid w:val="007B1685"/>
    <w:rsid w:val="007B178F"/>
    <w:rsid w:val="007B1843"/>
    <w:rsid w:val="007B1AF9"/>
    <w:rsid w:val="007B1B06"/>
    <w:rsid w:val="007B1BA7"/>
    <w:rsid w:val="007B1C6E"/>
    <w:rsid w:val="007B1DD0"/>
    <w:rsid w:val="007B1DE0"/>
    <w:rsid w:val="007B202D"/>
    <w:rsid w:val="007B210F"/>
    <w:rsid w:val="007B2314"/>
    <w:rsid w:val="007B2462"/>
    <w:rsid w:val="007B24AA"/>
    <w:rsid w:val="007B24FA"/>
    <w:rsid w:val="007B2850"/>
    <w:rsid w:val="007B290A"/>
    <w:rsid w:val="007B29D1"/>
    <w:rsid w:val="007B2C0C"/>
    <w:rsid w:val="007B2C33"/>
    <w:rsid w:val="007B2C55"/>
    <w:rsid w:val="007B2D43"/>
    <w:rsid w:val="007B2F9C"/>
    <w:rsid w:val="007B31FA"/>
    <w:rsid w:val="007B320D"/>
    <w:rsid w:val="007B3333"/>
    <w:rsid w:val="007B333C"/>
    <w:rsid w:val="007B3399"/>
    <w:rsid w:val="007B33D6"/>
    <w:rsid w:val="007B3509"/>
    <w:rsid w:val="007B355A"/>
    <w:rsid w:val="007B366F"/>
    <w:rsid w:val="007B3A98"/>
    <w:rsid w:val="007B3B9E"/>
    <w:rsid w:val="007B3BAE"/>
    <w:rsid w:val="007B3E0A"/>
    <w:rsid w:val="007B3F43"/>
    <w:rsid w:val="007B413B"/>
    <w:rsid w:val="007B4273"/>
    <w:rsid w:val="007B42CF"/>
    <w:rsid w:val="007B42E8"/>
    <w:rsid w:val="007B42F8"/>
    <w:rsid w:val="007B43C9"/>
    <w:rsid w:val="007B43D0"/>
    <w:rsid w:val="007B43DC"/>
    <w:rsid w:val="007B455B"/>
    <w:rsid w:val="007B45A6"/>
    <w:rsid w:val="007B4655"/>
    <w:rsid w:val="007B4867"/>
    <w:rsid w:val="007B49EF"/>
    <w:rsid w:val="007B4AA3"/>
    <w:rsid w:val="007B4BA7"/>
    <w:rsid w:val="007B4BA8"/>
    <w:rsid w:val="007B4C0E"/>
    <w:rsid w:val="007B4C22"/>
    <w:rsid w:val="007B4C70"/>
    <w:rsid w:val="007B4C74"/>
    <w:rsid w:val="007B4CFA"/>
    <w:rsid w:val="007B4DFC"/>
    <w:rsid w:val="007B508E"/>
    <w:rsid w:val="007B50D4"/>
    <w:rsid w:val="007B5322"/>
    <w:rsid w:val="007B53E3"/>
    <w:rsid w:val="007B555A"/>
    <w:rsid w:val="007B572F"/>
    <w:rsid w:val="007B5831"/>
    <w:rsid w:val="007B589D"/>
    <w:rsid w:val="007B590C"/>
    <w:rsid w:val="007B5983"/>
    <w:rsid w:val="007B5B10"/>
    <w:rsid w:val="007B5B47"/>
    <w:rsid w:val="007B5C50"/>
    <w:rsid w:val="007B5CD6"/>
    <w:rsid w:val="007B5D15"/>
    <w:rsid w:val="007B5D17"/>
    <w:rsid w:val="007B5F44"/>
    <w:rsid w:val="007B5FD6"/>
    <w:rsid w:val="007B5FE4"/>
    <w:rsid w:val="007B6036"/>
    <w:rsid w:val="007B6254"/>
    <w:rsid w:val="007B6281"/>
    <w:rsid w:val="007B62CE"/>
    <w:rsid w:val="007B6342"/>
    <w:rsid w:val="007B634C"/>
    <w:rsid w:val="007B6434"/>
    <w:rsid w:val="007B64CA"/>
    <w:rsid w:val="007B64D0"/>
    <w:rsid w:val="007B654A"/>
    <w:rsid w:val="007B665B"/>
    <w:rsid w:val="007B67CF"/>
    <w:rsid w:val="007B685D"/>
    <w:rsid w:val="007B6957"/>
    <w:rsid w:val="007B69CF"/>
    <w:rsid w:val="007B6A7F"/>
    <w:rsid w:val="007B6AD9"/>
    <w:rsid w:val="007B6B2C"/>
    <w:rsid w:val="007B6B33"/>
    <w:rsid w:val="007B6C59"/>
    <w:rsid w:val="007B6C5F"/>
    <w:rsid w:val="007B6E48"/>
    <w:rsid w:val="007B6EF6"/>
    <w:rsid w:val="007B6FA3"/>
    <w:rsid w:val="007B70F6"/>
    <w:rsid w:val="007B7199"/>
    <w:rsid w:val="007B71D7"/>
    <w:rsid w:val="007B7213"/>
    <w:rsid w:val="007B7259"/>
    <w:rsid w:val="007B7525"/>
    <w:rsid w:val="007B75E7"/>
    <w:rsid w:val="007B761A"/>
    <w:rsid w:val="007B7694"/>
    <w:rsid w:val="007B776E"/>
    <w:rsid w:val="007B77C3"/>
    <w:rsid w:val="007B795E"/>
    <w:rsid w:val="007B79C4"/>
    <w:rsid w:val="007B7AE1"/>
    <w:rsid w:val="007B7B5E"/>
    <w:rsid w:val="007B7B89"/>
    <w:rsid w:val="007B7C0F"/>
    <w:rsid w:val="007B7D34"/>
    <w:rsid w:val="007B7D86"/>
    <w:rsid w:val="007B7D96"/>
    <w:rsid w:val="007B7F1E"/>
    <w:rsid w:val="007C0064"/>
    <w:rsid w:val="007C0137"/>
    <w:rsid w:val="007C0300"/>
    <w:rsid w:val="007C03FC"/>
    <w:rsid w:val="007C0427"/>
    <w:rsid w:val="007C0563"/>
    <w:rsid w:val="007C05EC"/>
    <w:rsid w:val="007C07A0"/>
    <w:rsid w:val="007C0AD5"/>
    <w:rsid w:val="007C0B06"/>
    <w:rsid w:val="007C0BCF"/>
    <w:rsid w:val="007C0C44"/>
    <w:rsid w:val="007C0C67"/>
    <w:rsid w:val="007C0C89"/>
    <w:rsid w:val="007C0CB1"/>
    <w:rsid w:val="007C0D2F"/>
    <w:rsid w:val="007C0D8E"/>
    <w:rsid w:val="007C0D90"/>
    <w:rsid w:val="007C0E28"/>
    <w:rsid w:val="007C0F03"/>
    <w:rsid w:val="007C109C"/>
    <w:rsid w:val="007C11CD"/>
    <w:rsid w:val="007C12A9"/>
    <w:rsid w:val="007C12CD"/>
    <w:rsid w:val="007C12F7"/>
    <w:rsid w:val="007C1318"/>
    <w:rsid w:val="007C1321"/>
    <w:rsid w:val="007C1480"/>
    <w:rsid w:val="007C1551"/>
    <w:rsid w:val="007C1575"/>
    <w:rsid w:val="007C165D"/>
    <w:rsid w:val="007C1689"/>
    <w:rsid w:val="007C1727"/>
    <w:rsid w:val="007C182F"/>
    <w:rsid w:val="007C1C12"/>
    <w:rsid w:val="007C1C4B"/>
    <w:rsid w:val="007C1C8B"/>
    <w:rsid w:val="007C1CB5"/>
    <w:rsid w:val="007C1E1C"/>
    <w:rsid w:val="007C1F9F"/>
    <w:rsid w:val="007C209B"/>
    <w:rsid w:val="007C210A"/>
    <w:rsid w:val="007C2168"/>
    <w:rsid w:val="007C217E"/>
    <w:rsid w:val="007C223C"/>
    <w:rsid w:val="007C238B"/>
    <w:rsid w:val="007C2400"/>
    <w:rsid w:val="007C2416"/>
    <w:rsid w:val="007C2498"/>
    <w:rsid w:val="007C2585"/>
    <w:rsid w:val="007C25D3"/>
    <w:rsid w:val="007C270E"/>
    <w:rsid w:val="007C277C"/>
    <w:rsid w:val="007C278C"/>
    <w:rsid w:val="007C2791"/>
    <w:rsid w:val="007C298C"/>
    <w:rsid w:val="007C2C9D"/>
    <w:rsid w:val="007C2CF5"/>
    <w:rsid w:val="007C2D80"/>
    <w:rsid w:val="007C2E8A"/>
    <w:rsid w:val="007C2EF2"/>
    <w:rsid w:val="007C2F50"/>
    <w:rsid w:val="007C3076"/>
    <w:rsid w:val="007C3272"/>
    <w:rsid w:val="007C32E2"/>
    <w:rsid w:val="007C33FF"/>
    <w:rsid w:val="007C34F8"/>
    <w:rsid w:val="007C3557"/>
    <w:rsid w:val="007C35AB"/>
    <w:rsid w:val="007C3692"/>
    <w:rsid w:val="007C3A6D"/>
    <w:rsid w:val="007C3BF1"/>
    <w:rsid w:val="007C3C2E"/>
    <w:rsid w:val="007C3CE5"/>
    <w:rsid w:val="007C3D09"/>
    <w:rsid w:val="007C3D5F"/>
    <w:rsid w:val="007C3DD1"/>
    <w:rsid w:val="007C3EBC"/>
    <w:rsid w:val="007C406D"/>
    <w:rsid w:val="007C41D9"/>
    <w:rsid w:val="007C4867"/>
    <w:rsid w:val="007C4880"/>
    <w:rsid w:val="007C48FB"/>
    <w:rsid w:val="007C4AD2"/>
    <w:rsid w:val="007C4C6F"/>
    <w:rsid w:val="007C4CBE"/>
    <w:rsid w:val="007C4D52"/>
    <w:rsid w:val="007C4D83"/>
    <w:rsid w:val="007C4DD5"/>
    <w:rsid w:val="007C4E38"/>
    <w:rsid w:val="007C4E69"/>
    <w:rsid w:val="007C4EC5"/>
    <w:rsid w:val="007C4EF6"/>
    <w:rsid w:val="007C51CE"/>
    <w:rsid w:val="007C5309"/>
    <w:rsid w:val="007C5315"/>
    <w:rsid w:val="007C536B"/>
    <w:rsid w:val="007C540F"/>
    <w:rsid w:val="007C54A3"/>
    <w:rsid w:val="007C54C5"/>
    <w:rsid w:val="007C567D"/>
    <w:rsid w:val="007C5691"/>
    <w:rsid w:val="007C569D"/>
    <w:rsid w:val="007C56D9"/>
    <w:rsid w:val="007C57A9"/>
    <w:rsid w:val="007C5834"/>
    <w:rsid w:val="007C5900"/>
    <w:rsid w:val="007C5A24"/>
    <w:rsid w:val="007C5B62"/>
    <w:rsid w:val="007C5BEF"/>
    <w:rsid w:val="007C5C60"/>
    <w:rsid w:val="007C5CFD"/>
    <w:rsid w:val="007C5D73"/>
    <w:rsid w:val="007C5F54"/>
    <w:rsid w:val="007C5FBF"/>
    <w:rsid w:val="007C625A"/>
    <w:rsid w:val="007C63AA"/>
    <w:rsid w:val="007C63D9"/>
    <w:rsid w:val="007C6417"/>
    <w:rsid w:val="007C6438"/>
    <w:rsid w:val="007C647E"/>
    <w:rsid w:val="007C6573"/>
    <w:rsid w:val="007C65DB"/>
    <w:rsid w:val="007C6816"/>
    <w:rsid w:val="007C693C"/>
    <w:rsid w:val="007C6959"/>
    <w:rsid w:val="007C6AAE"/>
    <w:rsid w:val="007C6B86"/>
    <w:rsid w:val="007C6B90"/>
    <w:rsid w:val="007C6C26"/>
    <w:rsid w:val="007C6C58"/>
    <w:rsid w:val="007C6E09"/>
    <w:rsid w:val="007C6E73"/>
    <w:rsid w:val="007C6ED3"/>
    <w:rsid w:val="007C6F2C"/>
    <w:rsid w:val="007C6F55"/>
    <w:rsid w:val="007C7080"/>
    <w:rsid w:val="007C70B8"/>
    <w:rsid w:val="007C70FD"/>
    <w:rsid w:val="007C7124"/>
    <w:rsid w:val="007C71B7"/>
    <w:rsid w:val="007C7203"/>
    <w:rsid w:val="007C7233"/>
    <w:rsid w:val="007C728E"/>
    <w:rsid w:val="007C72D7"/>
    <w:rsid w:val="007C734E"/>
    <w:rsid w:val="007C7358"/>
    <w:rsid w:val="007C73B1"/>
    <w:rsid w:val="007C7546"/>
    <w:rsid w:val="007C7585"/>
    <w:rsid w:val="007C77A4"/>
    <w:rsid w:val="007C78A6"/>
    <w:rsid w:val="007C78E7"/>
    <w:rsid w:val="007C791A"/>
    <w:rsid w:val="007C7986"/>
    <w:rsid w:val="007C798B"/>
    <w:rsid w:val="007C7DF4"/>
    <w:rsid w:val="007C7DFA"/>
    <w:rsid w:val="007C7F0C"/>
    <w:rsid w:val="007C7F1D"/>
    <w:rsid w:val="007C7F77"/>
    <w:rsid w:val="007C7FD4"/>
    <w:rsid w:val="007D003C"/>
    <w:rsid w:val="007D0222"/>
    <w:rsid w:val="007D03CD"/>
    <w:rsid w:val="007D0435"/>
    <w:rsid w:val="007D05B1"/>
    <w:rsid w:val="007D06CF"/>
    <w:rsid w:val="007D0701"/>
    <w:rsid w:val="007D071E"/>
    <w:rsid w:val="007D072D"/>
    <w:rsid w:val="007D08CD"/>
    <w:rsid w:val="007D0AA2"/>
    <w:rsid w:val="007D0ABF"/>
    <w:rsid w:val="007D0B7F"/>
    <w:rsid w:val="007D0C98"/>
    <w:rsid w:val="007D0DD9"/>
    <w:rsid w:val="007D0EA5"/>
    <w:rsid w:val="007D1029"/>
    <w:rsid w:val="007D1091"/>
    <w:rsid w:val="007D1096"/>
    <w:rsid w:val="007D10B0"/>
    <w:rsid w:val="007D1193"/>
    <w:rsid w:val="007D1195"/>
    <w:rsid w:val="007D122B"/>
    <w:rsid w:val="007D1325"/>
    <w:rsid w:val="007D1336"/>
    <w:rsid w:val="007D1454"/>
    <w:rsid w:val="007D147F"/>
    <w:rsid w:val="007D1794"/>
    <w:rsid w:val="007D1866"/>
    <w:rsid w:val="007D1896"/>
    <w:rsid w:val="007D1A20"/>
    <w:rsid w:val="007D1BD5"/>
    <w:rsid w:val="007D1CB4"/>
    <w:rsid w:val="007D1D0E"/>
    <w:rsid w:val="007D1D76"/>
    <w:rsid w:val="007D1EB4"/>
    <w:rsid w:val="007D1FAD"/>
    <w:rsid w:val="007D1FAE"/>
    <w:rsid w:val="007D20D8"/>
    <w:rsid w:val="007D22AE"/>
    <w:rsid w:val="007D271E"/>
    <w:rsid w:val="007D283A"/>
    <w:rsid w:val="007D2A88"/>
    <w:rsid w:val="007D2CBF"/>
    <w:rsid w:val="007D2CFF"/>
    <w:rsid w:val="007D2FDF"/>
    <w:rsid w:val="007D308B"/>
    <w:rsid w:val="007D30A1"/>
    <w:rsid w:val="007D3186"/>
    <w:rsid w:val="007D3351"/>
    <w:rsid w:val="007D3524"/>
    <w:rsid w:val="007D35E4"/>
    <w:rsid w:val="007D3603"/>
    <w:rsid w:val="007D36CB"/>
    <w:rsid w:val="007D38C5"/>
    <w:rsid w:val="007D3938"/>
    <w:rsid w:val="007D393E"/>
    <w:rsid w:val="007D3985"/>
    <w:rsid w:val="007D3B32"/>
    <w:rsid w:val="007D3B99"/>
    <w:rsid w:val="007D3C8F"/>
    <w:rsid w:val="007D3DB3"/>
    <w:rsid w:val="007D3E47"/>
    <w:rsid w:val="007D3F36"/>
    <w:rsid w:val="007D3FC5"/>
    <w:rsid w:val="007D4107"/>
    <w:rsid w:val="007D4245"/>
    <w:rsid w:val="007D42A0"/>
    <w:rsid w:val="007D42BE"/>
    <w:rsid w:val="007D4332"/>
    <w:rsid w:val="007D4352"/>
    <w:rsid w:val="007D4353"/>
    <w:rsid w:val="007D436A"/>
    <w:rsid w:val="007D4401"/>
    <w:rsid w:val="007D441A"/>
    <w:rsid w:val="007D44B7"/>
    <w:rsid w:val="007D4716"/>
    <w:rsid w:val="007D49B7"/>
    <w:rsid w:val="007D4B24"/>
    <w:rsid w:val="007D4B52"/>
    <w:rsid w:val="007D4BD0"/>
    <w:rsid w:val="007D4BF8"/>
    <w:rsid w:val="007D4C7F"/>
    <w:rsid w:val="007D4D18"/>
    <w:rsid w:val="007D4E22"/>
    <w:rsid w:val="007D4E39"/>
    <w:rsid w:val="007D4F58"/>
    <w:rsid w:val="007D4FA3"/>
    <w:rsid w:val="007D5145"/>
    <w:rsid w:val="007D5160"/>
    <w:rsid w:val="007D516C"/>
    <w:rsid w:val="007D5185"/>
    <w:rsid w:val="007D52A2"/>
    <w:rsid w:val="007D52A6"/>
    <w:rsid w:val="007D52A7"/>
    <w:rsid w:val="007D54E3"/>
    <w:rsid w:val="007D559B"/>
    <w:rsid w:val="007D55A7"/>
    <w:rsid w:val="007D5626"/>
    <w:rsid w:val="007D574B"/>
    <w:rsid w:val="007D57CE"/>
    <w:rsid w:val="007D57F4"/>
    <w:rsid w:val="007D5851"/>
    <w:rsid w:val="007D58D0"/>
    <w:rsid w:val="007D5945"/>
    <w:rsid w:val="007D596B"/>
    <w:rsid w:val="007D598A"/>
    <w:rsid w:val="007D59C2"/>
    <w:rsid w:val="007D59D2"/>
    <w:rsid w:val="007D5AC0"/>
    <w:rsid w:val="007D5B4D"/>
    <w:rsid w:val="007D5BDC"/>
    <w:rsid w:val="007D5C48"/>
    <w:rsid w:val="007D5C52"/>
    <w:rsid w:val="007D5C64"/>
    <w:rsid w:val="007D5CC9"/>
    <w:rsid w:val="007D5CFA"/>
    <w:rsid w:val="007D5E0D"/>
    <w:rsid w:val="007D5FFC"/>
    <w:rsid w:val="007D6100"/>
    <w:rsid w:val="007D617B"/>
    <w:rsid w:val="007D61E2"/>
    <w:rsid w:val="007D627A"/>
    <w:rsid w:val="007D63A8"/>
    <w:rsid w:val="007D6591"/>
    <w:rsid w:val="007D6684"/>
    <w:rsid w:val="007D66AB"/>
    <w:rsid w:val="007D674D"/>
    <w:rsid w:val="007D693C"/>
    <w:rsid w:val="007D699C"/>
    <w:rsid w:val="007D69A4"/>
    <w:rsid w:val="007D6B0A"/>
    <w:rsid w:val="007D6C23"/>
    <w:rsid w:val="007D6C3A"/>
    <w:rsid w:val="007D6C3C"/>
    <w:rsid w:val="007D6DEA"/>
    <w:rsid w:val="007D6F43"/>
    <w:rsid w:val="007D7017"/>
    <w:rsid w:val="007D702D"/>
    <w:rsid w:val="007D70E6"/>
    <w:rsid w:val="007D72A3"/>
    <w:rsid w:val="007D7381"/>
    <w:rsid w:val="007D7386"/>
    <w:rsid w:val="007D73BD"/>
    <w:rsid w:val="007D73E3"/>
    <w:rsid w:val="007D768B"/>
    <w:rsid w:val="007D7853"/>
    <w:rsid w:val="007D78E7"/>
    <w:rsid w:val="007D7921"/>
    <w:rsid w:val="007D795C"/>
    <w:rsid w:val="007D7B34"/>
    <w:rsid w:val="007D7C31"/>
    <w:rsid w:val="007D7DA4"/>
    <w:rsid w:val="007D7DB2"/>
    <w:rsid w:val="007E0033"/>
    <w:rsid w:val="007E00D1"/>
    <w:rsid w:val="007E011C"/>
    <w:rsid w:val="007E014C"/>
    <w:rsid w:val="007E01FE"/>
    <w:rsid w:val="007E031D"/>
    <w:rsid w:val="007E03B5"/>
    <w:rsid w:val="007E054F"/>
    <w:rsid w:val="007E055B"/>
    <w:rsid w:val="007E074E"/>
    <w:rsid w:val="007E0976"/>
    <w:rsid w:val="007E0981"/>
    <w:rsid w:val="007E0AAB"/>
    <w:rsid w:val="007E0ACF"/>
    <w:rsid w:val="007E0BFD"/>
    <w:rsid w:val="007E0C0B"/>
    <w:rsid w:val="007E0C87"/>
    <w:rsid w:val="007E0E0C"/>
    <w:rsid w:val="007E0E8C"/>
    <w:rsid w:val="007E0E8D"/>
    <w:rsid w:val="007E0FA1"/>
    <w:rsid w:val="007E0FC7"/>
    <w:rsid w:val="007E111F"/>
    <w:rsid w:val="007E1153"/>
    <w:rsid w:val="007E1266"/>
    <w:rsid w:val="007E128C"/>
    <w:rsid w:val="007E1540"/>
    <w:rsid w:val="007E164C"/>
    <w:rsid w:val="007E1721"/>
    <w:rsid w:val="007E1804"/>
    <w:rsid w:val="007E1999"/>
    <w:rsid w:val="007E1A6A"/>
    <w:rsid w:val="007E1C38"/>
    <w:rsid w:val="007E1C45"/>
    <w:rsid w:val="007E1CCA"/>
    <w:rsid w:val="007E1D74"/>
    <w:rsid w:val="007E1D87"/>
    <w:rsid w:val="007E1ED1"/>
    <w:rsid w:val="007E203F"/>
    <w:rsid w:val="007E2065"/>
    <w:rsid w:val="007E2129"/>
    <w:rsid w:val="007E2156"/>
    <w:rsid w:val="007E219F"/>
    <w:rsid w:val="007E22DE"/>
    <w:rsid w:val="007E2362"/>
    <w:rsid w:val="007E2368"/>
    <w:rsid w:val="007E23DD"/>
    <w:rsid w:val="007E23F5"/>
    <w:rsid w:val="007E2451"/>
    <w:rsid w:val="007E2573"/>
    <w:rsid w:val="007E25A8"/>
    <w:rsid w:val="007E25D0"/>
    <w:rsid w:val="007E25FF"/>
    <w:rsid w:val="007E2637"/>
    <w:rsid w:val="007E27D8"/>
    <w:rsid w:val="007E2AC1"/>
    <w:rsid w:val="007E2BC4"/>
    <w:rsid w:val="007E2BD8"/>
    <w:rsid w:val="007E2C33"/>
    <w:rsid w:val="007E2D81"/>
    <w:rsid w:val="007E2F31"/>
    <w:rsid w:val="007E2FC1"/>
    <w:rsid w:val="007E30D2"/>
    <w:rsid w:val="007E31A7"/>
    <w:rsid w:val="007E31E4"/>
    <w:rsid w:val="007E324A"/>
    <w:rsid w:val="007E35C0"/>
    <w:rsid w:val="007E3665"/>
    <w:rsid w:val="007E37BF"/>
    <w:rsid w:val="007E385A"/>
    <w:rsid w:val="007E3979"/>
    <w:rsid w:val="007E3A58"/>
    <w:rsid w:val="007E3A76"/>
    <w:rsid w:val="007E3AF0"/>
    <w:rsid w:val="007E3C1A"/>
    <w:rsid w:val="007E3CE1"/>
    <w:rsid w:val="007E3CED"/>
    <w:rsid w:val="007E3F90"/>
    <w:rsid w:val="007E41DD"/>
    <w:rsid w:val="007E4244"/>
    <w:rsid w:val="007E42A7"/>
    <w:rsid w:val="007E43C1"/>
    <w:rsid w:val="007E4462"/>
    <w:rsid w:val="007E44A3"/>
    <w:rsid w:val="007E45F9"/>
    <w:rsid w:val="007E4664"/>
    <w:rsid w:val="007E47D8"/>
    <w:rsid w:val="007E4873"/>
    <w:rsid w:val="007E48FC"/>
    <w:rsid w:val="007E4ABF"/>
    <w:rsid w:val="007E4AE4"/>
    <w:rsid w:val="007E4AE5"/>
    <w:rsid w:val="007E4B38"/>
    <w:rsid w:val="007E4B7B"/>
    <w:rsid w:val="007E4B81"/>
    <w:rsid w:val="007E4C0D"/>
    <w:rsid w:val="007E4CDC"/>
    <w:rsid w:val="007E4D61"/>
    <w:rsid w:val="007E4F10"/>
    <w:rsid w:val="007E4F19"/>
    <w:rsid w:val="007E517B"/>
    <w:rsid w:val="007E51A4"/>
    <w:rsid w:val="007E5329"/>
    <w:rsid w:val="007E5341"/>
    <w:rsid w:val="007E53D8"/>
    <w:rsid w:val="007E5478"/>
    <w:rsid w:val="007E54F2"/>
    <w:rsid w:val="007E55DE"/>
    <w:rsid w:val="007E561B"/>
    <w:rsid w:val="007E5813"/>
    <w:rsid w:val="007E5854"/>
    <w:rsid w:val="007E5876"/>
    <w:rsid w:val="007E58FA"/>
    <w:rsid w:val="007E58FF"/>
    <w:rsid w:val="007E5B48"/>
    <w:rsid w:val="007E5BE9"/>
    <w:rsid w:val="007E5C8F"/>
    <w:rsid w:val="007E5CE5"/>
    <w:rsid w:val="007E5D50"/>
    <w:rsid w:val="007E5DB4"/>
    <w:rsid w:val="007E5F35"/>
    <w:rsid w:val="007E5F39"/>
    <w:rsid w:val="007E5F95"/>
    <w:rsid w:val="007E6010"/>
    <w:rsid w:val="007E609E"/>
    <w:rsid w:val="007E612C"/>
    <w:rsid w:val="007E61C2"/>
    <w:rsid w:val="007E61D8"/>
    <w:rsid w:val="007E6242"/>
    <w:rsid w:val="007E6337"/>
    <w:rsid w:val="007E6480"/>
    <w:rsid w:val="007E653D"/>
    <w:rsid w:val="007E656F"/>
    <w:rsid w:val="007E6634"/>
    <w:rsid w:val="007E67D3"/>
    <w:rsid w:val="007E67DE"/>
    <w:rsid w:val="007E68AF"/>
    <w:rsid w:val="007E68C6"/>
    <w:rsid w:val="007E68F1"/>
    <w:rsid w:val="007E6977"/>
    <w:rsid w:val="007E69DD"/>
    <w:rsid w:val="007E6D00"/>
    <w:rsid w:val="007E6D14"/>
    <w:rsid w:val="007E6D27"/>
    <w:rsid w:val="007E6D7B"/>
    <w:rsid w:val="007E6D9B"/>
    <w:rsid w:val="007E6EAE"/>
    <w:rsid w:val="007E6EB5"/>
    <w:rsid w:val="007E7014"/>
    <w:rsid w:val="007E71AF"/>
    <w:rsid w:val="007E71D1"/>
    <w:rsid w:val="007E72CB"/>
    <w:rsid w:val="007E7389"/>
    <w:rsid w:val="007E73AE"/>
    <w:rsid w:val="007E73C1"/>
    <w:rsid w:val="007E7472"/>
    <w:rsid w:val="007E74F1"/>
    <w:rsid w:val="007E7548"/>
    <w:rsid w:val="007E7622"/>
    <w:rsid w:val="007E7686"/>
    <w:rsid w:val="007E76B4"/>
    <w:rsid w:val="007E7A62"/>
    <w:rsid w:val="007E7B64"/>
    <w:rsid w:val="007E7BB3"/>
    <w:rsid w:val="007E7C51"/>
    <w:rsid w:val="007E7D26"/>
    <w:rsid w:val="007E7D76"/>
    <w:rsid w:val="007E7D85"/>
    <w:rsid w:val="007E7DEC"/>
    <w:rsid w:val="007E7E0D"/>
    <w:rsid w:val="007E7E67"/>
    <w:rsid w:val="007E7F10"/>
    <w:rsid w:val="007F0029"/>
    <w:rsid w:val="007F0082"/>
    <w:rsid w:val="007F0139"/>
    <w:rsid w:val="007F01B3"/>
    <w:rsid w:val="007F01B6"/>
    <w:rsid w:val="007F0262"/>
    <w:rsid w:val="007F0354"/>
    <w:rsid w:val="007F039A"/>
    <w:rsid w:val="007F0410"/>
    <w:rsid w:val="007F04DE"/>
    <w:rsid w:val="007F0527"/>
    <w:rsid w:val="007F077F"/>
    <w:rsid w:val="007F07A5"/>
    <w:rsid w:val="007F0821"/>
    <w:rsid w:val="007F083F"/>
    <w:rsid w:val="007F0890"/>
    <w:rsid w:val="007F0A06"/>
    <w:rsid w:val="007F0B70"/>
    <w:rsid w:val="007F0C86"/>
    <w:rsid w:val="007F0D0F"/>
    <w:rsid w:val="007F0D78"/>
    <w:rsid w:val="007F0E9C"/>
    <w:rsid w:val="007F0EDE"/>
    <w:rsid w:val="007F12B0"/>
    <w:rsid w:val="007F14D4"/>
    <w:rsid w:val="007F1541"/>
    <w:rsid w:val="007F17EF"/>
    <w:rsid w:val="007F17FA"/>
    <w:rsid w:val="007F18A8"/>
    <w:rsid w:val="007F18FF"/>
    <w:rsid w:val="007F1914"/>
    <w:rsid w:val="007F1973"/>
    <w:rsid w:val="007F1982"/>
    <w:rsid w:val="007F1990"/>
    <w:rsid w:val="007F1AF8"/>
    <w:rsid w:val="007F1B46"/>
    <w:rsid w:val="007F1BE1"/>
    <w:rsid w:val="007F1C61"/>
    <w:rsid w:val="007F1F31"/>
    <w:rsid w:val="007F1F65"/>
    <w:rsid w:val="007F2243"/>
    <w:rsid w:val="007F2328"/>
    <w:rsid w:val="007F238B"/>
    <w:rsid w:val="007F24EF"/>
    <w:rsid w:val="007F2610"/>
    <w:rsid w:val="007F2730"/>
    <w:rsid w:val="007F2797"/>
    <w:rsid w:val="007F284C"/>
    <w:rsid w:val="007F2965"/>
    <w:rsid w:val="007F2A64"/>
    <w:rsid w:val="007F2B94"/>
    <w:rsid w:val="007F2C20"/>
    <w:rsid w:val="007F2C60"/>
    <w:rsid w:val="007F2C62"/>
    <w:rsid w:val="007F2D66"/>
    <w:rsid w:val="007F2EA4"/>
    <w:rsid w:val="007F30E3"/>
    <w:rsid w:val="007F310D"/>
    <w:rsid w:val="007F3138"/>
    <w:rsid w:val="007F320A"/>
    <w:rsid w:val="007F3229"/>
    <w:rsid w:val="007F32EC"/>
    <w:rsid w:val="007F3338"/>
    <w:rsid w:val="007F3344"/>
    <w:rsid w:val="007F3354"/>
    <w:rsid w:val="007F3358"/>
    <w:rsid w:val="007F3453"/>
    <w:rsid w:val="007F3543"/>
    <w:rsid w:val="007F357D"/>
    <w:rsid w:val="007F3618"/>
    <w:rsid w:val="007F3668"/>
    <w:rsid w:val="007F368E"/>
    <w:rsid w:val="007F36EF"/>
    <w:rsid w:val="007F3797"/>
    <w:rsid w:val="007F3842"/>
    <w:rsid w:val="007F3A60"/>
    <w:rsid w:val="007F3A6C"/>
    <w:rsid w:val="007F3A89"/>
    <w:rsid w:val="007F3C08"/>
    <w:rsid w:val="007F3C77"/>
    <w:rsid w:val="007F3CB7"/>
    <w:rsid w:val="007F3D30"/>
    <w:rsid w:val="007F3D49"/>
    <w:rsid w:val="007F3D96"/>
    <w:rsid w:val="007F3DBB"/>
    <w:rsid w:val="007F3FA5"/>
    <w:rsid w:val="007F3FB5"/>
    <w:rsid w:val="007F409D"/>
    <w:rsid w:val="007F40A8"/>
    <w:rsid w:val="007F40CF"/>
    <w:rsid w:val="007F40F1"/>
    <w:rsid w:val="007F4196"/>
    <w:rsid w:val="007F4201"/>
    <w:rsid w:val="007F43EF"/>
    <w:rsid w:val="007F4655"/>
    <w:rsid w:val="007F4712"/>
    <w:rsid w:val="007F473F"/>
    <w:rsid w:val="007F47A5"/>
    <w:rsid w:val="007F481A"/>
    <w:rsid w:val="007F4863"/>
    <w:rsid w:val="007F48DE"/>
    <w:rsid w:val="007F48F3"/>
    <w:rsid w:val="007F4966"/>
    <w:rsid w:val="007F49FC"/>
    <w:rsid w:val="007F4A49"/>
    <w:rsid w:val="007F4A7A"/>
    <w:rsid w:val="007F4C81"/>
    <w:rsid w:val="007F4D94"/>
    <w:rsid w:val="007F4DE3"/>
    <w:rsid w:val="007F4E94"/>
    <w:rsid w:val="007F4F2A"/>
    <w:rsid w:val="007F501B"/>
    <w:rsid w:val="007F50A2"/>
    <w:rsid w:val="007F515B"/>
    <w:rsid w:val="007F5185"/>
    <w:rsid w:val="007F51CF"/>
    <w:rsid w:val="007F520E"/>
    <w:rsid w:val="007F5555"/>
    <w:rsid w:val="007F55DB"/>
    <w:rsid w:val="007F5604"/>
    <w:rsid w:val="007F5651"/>
    <w:rsid w:val="007F56DD"/>
    <w:rsid w:val="007F572F"/>
    <w:rsid w:val="007F576A"/>
    <w:rsid w:val="007F57B6"/>
    <w:rsid w:val="007F583E"/>
    <w:rsid w:val="007F588A"/>
    <w:rsid w:val="007F59C6"/>
    <w:rsid w:val="007F5A86"/>
    <w:rsid w:val="007F5AD4"/>
    <w:rsid w:val="007F5C26"/>
    <w:rsid w:val="007F5D27"/>
    <w:rsid w:val="007F5DF0"/>
    <w:rsid w:val="007F5E11"/>
    <w:rsid w:val="007F5EBF"/>
    <w:rsid w:val="007F5FEC"/>
    <w:rsid w:val="007F6046"/>
    <w:rsid w:val="007F6252"/>
    <w:rsid w:val="007F629E"/>
    <w:rsid w:val="007F6374"/>
    <w:rsid w:val="007F63EF"/>
    <w:rsid w:val="007F64B8"/>
    <w:rsid w:val="007F64CD"/>
    <w:rsid w:val="007F64E8"/>
    <w:rsid w:val="007F64F2"/>
    <w:rsid w:val="007F655C"/>
    <w:rsid w:val="007F656F"/>
    <w:rsid w:val="007F6696"/>
    <w:rsid w:val="007F66F4"/>
    <w:rsid w:val="007F6725"/>
    <w:rsid w:val="007F6726"/>
    <w:rsid w:val="007F68B1"/>
    <w:rsid w:val="007F696E"/>
    <w:rsid w:val="007F6D16"/>
    <w:rsid w:val="007F6DFE"/>
    <w:rsid w:val="007F6F5A"/>
    <w:rsid w:val="007F6F5D"/>
    <w:rsid w:val="007F6FE7"/>
    <w:rsid w:val="007F71B8"/>
    <w:rsid w:val="007F7213"/>
    <w:rsid w:val="007F725D"/>
    <w:rsid w:val="007F72D7"/>
    <w:rsid w:val="007F7336"/>
    <w:rsid w:val="007F7502"/>
    <w:rsid w:val="007F75B3"/>
    <w:rsid w:val="007F7656"/>
    <w:rsid w:val="007F7838"/>
    <w:rsid w:val="007F784C"/>
    <w:rsid w:val="007F78BE"/>
    <w:rsid w:val="007F790F"/>
    <w:rsid w:val="007F79A6"/>
    <w:rsid w:val="007F79CD"/>
    <w:rsid w:val="007F7A0C"/>
    <w:rsid w:val="007F7A99"/>
    <w:rsid w:val="007F7BCA"/>
    <w:rsid w:val="00800060"/>
    <w:rsid w:val="008001BC"/>
    <w:rsid w:val="0080028A"/>
    <w:rsid w:val="008005AF"/>
    <w:rsid w:val="008005EE"/>
    <w:rsid w:val="0080069F"/>
    <w:rsid w:val="00800728"/>
    <w:rsid w:val="008007FE"/>
    <w:rsid w:val="008008E4"/>
    <w:rsid w:val="00800B9E"/>
    <w:rsid w:val="00800CAD"/>
    <w:rsid w:val="00800D05"/>
    <w:rsid w:val="00800D59"/>
    <w:rsid w:val="00800D88"/>
    <w:rsid w:val="00800E59"/>
    <w:rsid w:val="00800F7E"/>
    <w:rsid w:val="00801078"/>
    <w:rsid w:val="008011B6"/>
    <w:rsid w:val="008011B7"/>
    <w:rsid w:val="008011E4"/>
    <w:rsid w:val="0080123A"/>
    <w:rsid w:val="0080128F"/>
    <w:rsid w:val="008012D1"/>
    <w:rsid w:val="0080133B"/>
    <w:rsid w:val="008014EB"/>
    <w:rsid w:val="008015B4"/>
    <w:rsid w:val="00801770"/>
    <w:rsid w:val="008017D5"/>
    <w:rsid w:val="008017DB"/>
    <w:rsid w:val="00801880"/>
    <w:rsid w:val="00801916"/>
    <w:rsid w:val="008019D8"/>
    <w:rsid w:val="00801A58"/>
    <w:rsid w:val="00801C2A"/>
    <w:rsid w:val="00801C68"/>
    <w:rsid w:val="00801ECC"/>
    <w:rsid w:val="00801EFA"/>
    <w:rsid w:val="00801F45"/>
    <w:rsid w:val="00801F82"/>
    <w:rsid w:val="008020CC"/>
    <w:rsid w:val="0080223B"/>
    <w:rsid w:val="0080244D"/>
    <w:rsid w:val="00802496"/>
    <w:rsid w:val="0080251A"/>
    <w:rsid w:val="00802648"/>
    <w:rsid w:val="0080284F"/>
    <w:rsid w:val="008028E6"/>
    <w:rsid w:val="008028EB"/>
    <w:rsid w:val="00802934"/>
    <w:rsid w:val="00802940"/>
    <w:rsid w:val="00802C7C"/>
    <w:rsid w:val="00802C9D"/>
    <w:rsid w:val="00802CF7"/>
    <w:rsid w:val="00802DDC"/>
    <w:rsid w:val="00802FB1"/>
    <w:rsid w:val="00803023"/>
    <w:rsid w:val="008031A4"/>
    <w:rsid w:val="00803347"/>
    <w:rsid w:val="008034D3"/>
    <w:rsid w:val="008034F8"/>
    <w:rsid w:val="00803589"/>
    <w:rsid w:val="008035F6"/>
    <w:rsid w:val="00803767"/>
    <w:rsid w:val="008037B9"/>
    <w:rsid w:val="008039EC"/>
    <w:rsid w:val="00803A83"/>
    <w:rsid w:val="00803BD5"/>
    <w:rsid w:val="00803D00"/>
    <w:rsid w:val="00803D2E"/>
    <w:rsid w:val="00803DB1"/>
    <w:rsid w:val="00803EAD"/>
    <w:rsid w:val="00803EB5"/>
    <w:rsid w:val="00804018"/>
    <w:rsid w:val="00804042"/>
    <w:rsid w:val="00804043"/>
    <w:rsid w:val="0080409C"/>
    <w:rsid w:val="0080414C"/>
    <w:rsid w:val="008042F6"/>
    <w:rsid w:val="0080436D"/>
    <w:rsid w:val="008043DA"/>
    <w:rsid w:val="008043F1"/>
    <w:rsid w:val="0080452A"/>
    <w:rsid w:val="0080455B"/>
    <w:rsid w:val="00804610"/>
    <w:rsid w:val="0080466F"/>
    <w:rsid w:val="008046AE"/>
    <w:rsid w:val="00804715"/>
    <w:rsid w:val="008049C6"/>
    <w:rsid w:val="008049E1"/>
    <w:rsid w:val="00804A22"/>
    <w:rsid w:val="00804A5A"/>
    <w:rsid w:val="00804B63"/>
    <w:rsid w:val="00804BA9"/>
    <w:rsid w:val="00804C3A"/>
    <w:rsid w:val="00804D48"/>
    <w:rsid w:val="00804EC7"/>
    <w:rsid w:val="00804FBC"/>
    <w:rsid w:val="008050DD"/>
    <w:rsid w:val="008051E1"/>
    <w:rsid w:val="008052EF"/>
    <w:rsid w:val="00805331"/>
    <w:rsid w:val="0080536D"/>
    <w:rsid w:val="008053DE"/>
    <w:rsid w:val="008054C6"/>
    <w:rsid w:val="0080574C"/>
    <w:rsid w:val="00805885"/>
    <w:rsid w:val="00805930"/>
    <w:rsid w:val="00805956"/>
    <w:rsid w:val="0080595F"/>
    <w:rsid w:val="00805B75"/>
    <w:rsid w:val="00805CD0"/>
    <w:rsid w:val="00805CFC"/>
    <w:rsid w:val="008061A1"/>
    <w:rsid w:val="00806275"/>
    <w:rsid w:val="00806354"/>
    <w:rsid w:val="0080636E"/>
    <w:rsid w:val="008063BF"/>
    <w:rsid w:val="00806418"/>
    <w:rsid w:val="0080689A"/>
    <w:rsid w:val="008068D0"/>
    <w:rsid w:val="008069CD"/>
    <w:rsid w:val="00806DDE"/>
    <w:rsid w:val="00806FF7"/>
    <w:rsid w:val="0080701D"/>
    <w:rsid w:val="00807150"/>
    <w:rsid w:val="00807185"/>
    <w:rsid w:val="008073AF"/>
    <w:rsid w:val="008075CC"/>
    <w:rsid w:val="008077BE"/>
    <w:rsid w:val="008078A3"/>
    <w:rsid w:val="0080791B"/>
    <w:rsid w:val="00807959"/>
    <w:rsid w:val="008079E1"/>
    <w:rsid w:val="00807A39"/>
    <w:rsid w:val="00807B48"/>
    <w:rsid w:val="00807BA4"/>
    <w:rsid w:val="00807C04"/>
    <w:rsid w:val="00807E50"/>
    <w:rsid w:val="00807F36"/>
    <w:rsid w:val="00807F5B"/>
    <w:rsid w:val="00807FFE"/>
    <w:rsid w:val="008100B5"/>
    <w:rsid w:val="008100B8"/>
    <w:rsid w:val="00810318"/>
    <w:rsid w:val="00810347"/>
    <w:rsid w:val="00810484"/>
    <w:rsid w:val="008105A8"/>
    <w:rsid w:val="008106D1"/>
    <w:rsid w:val="008106F9"/>
    <w:rsid w:val="00810758"/>
    <w:rsid w:val="0081089E"/>
    <w:rsid w:val="00810937"/>
    <w:rsid w:val="00810A7A"/>
    <w:rsid w:val="00810AB2"/>
    <w:rsid w:val="00810AE3"/>
    <w:rsid w:val="00810BAC"/>
    <w:rsid w:val="00810BEB"/>
    <w:rsid w:val="00810CB9"/>
    <w:rsid w:val="00810DA0"/>
    <w:rsid w:val="00810E8B"/>
    <w:rsid w:val="0081104B"/>
    <w:rsid w:val="008110FB"/>
    <w:rsid w:val="00811235"/>
    <w:rsid w:val="0081126B"/>
    <w:rsid w:val="00811335"/>
    <w:rsid w:val="00811376"/>
    <w:rsid w:val="00811504"/>
    <w:rsid w:val="0081158D"/>
    <w:rsid w:val="00811663"/>
    <w:rsid w:val="008116EE"/>
    <w:rsid w:val="0081173B"/>
    <w:rsid w:val="00811834"/>
    <w:rsid w:val="0081183C"/>
    <w:rsid w:val="0081185D"/>
    <w:rsid w:val="008118CB"/>
    <w:rsid w:val="008119A1"/>
    <w:rsid w:val="00811A17"/>
    <w:rsid w:val="00811B07"/>
    <w:rsid w:val="00811B27"/>
    <w:rsid w:val="00811B71"/>
    <w:rsid w:val="00811C0E"/>
    <w:rsid w:val="00811D67"/>
    <w:rsid w:val="00811D72"/>
    <w:rsid w:val="00811F71"/>
    <w:rsid w:val="00811F9D"/>
    <w:rsid w:val="00811FCA"/>
    <w:rsid w:val="00812017"/>
    <w:rsid w:val="0081220E"/>
    <w:rsid w:val="00812279"/>
    <w:rsid w:val="008123E7"/>
    <w:rsid w:val="0081249C"/>
    <w:rsid w:val="00812530"/>
    <w:rsid w:val="00812551"/>
    <w:rsid w:val="008126A8"/>
    <w:rsid w:val="00812792"/>
    <w:rsid w:val="008129F7"/>
    <w:rsid w:val="00812C65"/>
    <w:rsid w:val="00812DBE"/>
    <w:rsid w:val="00812E1A"/>
    <w:rsid w:val="00812E42"/>
    <w:rsid w:val="00812E6B"/>
    <w:rsid w:val="00812EC2"/>
    <w:rsid w:val="00812F7E"/>
    <w:rsid w:val="00812FCF"/>
    <w:rsid w:val="00813033"/>
    <w:rsid w:val="008130CB"/>
    <w:rsid w:val="0081318C"/>
    <w:rsid w:val="0081322D"/>
    <w:rsid w:val="0081324A"/>
    <w:rsid w:val="008132D2"/>
    <w:rsid w:val="00813303"/>
    <w:rsid w:val="0081341A"/>
    <w:rsid w:val="00813502"/>
    <w:rsid w:val="0081351D"/>
    <w:rsid w:val="00813533"/>
    <w:rsid w:val="008136E6"/>
    <w:rsid w:val="0081378C"/>
    <w:rsid w:val="0081378D"/>
    <w:rsid w:val="00813885"/>
    <w:rsid w:val="00813B14"/>
    <w:rsid w:val="00813B98"/>
    <w:rsid w:val="00813C09"/>
    <w:rsid w:val="00813C48"/>
    <w:rsid w:val="00813E1B"/>
    <w:rsid w:val="00814072"/>
    <w:rsid w:val="0081436F"/>
    <w:rsid w:val="0081437F"/>
    <w:rsid w:val="008143E8"/>
    <w:rsid w:val="008144F5"/>
    <w:rsid w:val="0081457C"/>
    <w:rsid w:val="008145BA"/>
    <w:rsid w:val="00814697"/>
    <w:rsid w:val="008147C9"/>
    <w:rsid w:val="00814896"/>
    <w:rsid w:val="0081495B"/>
    <w:rsid w:val="00814987"/>
    <w:rsid w:val="00814A57"/>
    <w:rsid w:val="00814AF1"/>
    <w:rsid w:val="00814BBE"/>
    <w:rsid w:val="00814C22"/>
    <w:rsid w:val="00814C70"/>
    <w:rsid w:val="00814C8B"/>
    <w:rsid w:val="00814DE4"/>
    <w:rsid w:val="00814E07"/>
    <w:rsid w:val="00814E13"/>
    <w:rsid w:val="00814E28"/>
    <w:rsid w:val="00814E67"/>
    <w:rsid w:val="00814EED"/>
    <w:rsid w:val="00815003"/>
    <w:rsid w:val="008150DF"/>
    <w:rsid w:val="00815222"/>
    <w:rsid w:val="00815374"/>
    <w:rsid w:val="00815412"/>
    <w:rsid w:val="00815469"/>
    <w:rsid w:val="00815576"/>
    <w:rsid w:val="0081558A"/>
    <w:rsid w:val="008156D3"/>
    <w:rsid w:val="00815739"/>
    <w:rsid w:val="00815750"/>
    <w:rsid w:val="008157E5"/>
    <w:rsid w:val="0081580D"/>
    <w:rsid w:val="00815971"/>
    <w:rsid w:val="00815A1F"/>
    <w:rsid w:val="00815AB4"/>
    <w:rsid w:val="00815DE6"/>
    <w:rsid w:val="00815F80"/>
    <w:rsid w:val="00816137"/>
    <w:rsid w:val="00816144"/>
    <w:rsid w:val="0081618D"/>
    <w:rsid w:val="0081618E"/>
    <w:rsid w:val="00816273"/>
    <w:rsid w:val="0081628E"/>
    <w:rsid w:val="008162E2"/>
    <w:rsid w:val="00816388"/>
    <w:rsid w:val="008163A0"/>
    <w:rsid w:val="0081659D"/>
    <w:rsid w:val="008166F5"/>
    <w:rsid w:val="00816913"/>
    <w:rsid w:val="008169A0"/>
    <w:rsid w:val="00816BDD"/>
    <w:rsid w:val="00816C8A"/>
    <w:rsid w:val="00816EB2"/>
    <w:rsid w:val="00816F05"/>
    <w:rsid w:val="00816F1B"/>
    <w:rsid w:val="00817094"/>
    <w:rsid w:val="0081709A"/>
    <w:rsid w:val="008170F7"/>
    <w:rsid w:val="0081716D"/>
    <w:rsid w:val="008171D6"/>
    <w:rsid w:val="00817242"/>
    <w:rsid w:val="008172BB"/>
    <w:rsid w:val="008173C3"/>
    <w:rsid w:val="008173F8"/>
    <w:rsid w:val="00817418"/>
    <w:rsid w:val="0081741E"/>
    <w:rsid w:val="008175AB"/>
    <w:rsid w:val="008175E1"/>
    <w:rsid w:val="00817659"/>
    <w:rsid w:val="0081774F"/>
    <w:rsid w:val="0081788D"/>
    <w:rsid w:val="0081788E"/>
    <w:rsid w:val="00817901"/>
    <w:rsid w:val="00817916"/>
    <w:rsid w:val="0081796B"/>
    <w:rsid w:val="00817B0E"/>
    <w:rsid w:val="00817B89"/>
    <w:rsid w:val="00817CCB"/>
    <w:rsid w:val="00817E9E"/>
    <w:rsid w:val="00817F1C"/>
    <w:rsid w:val="0082000C"/>
    <w:rsid w:val="00820034"/>
    <w:rsid w:val="0082009C"/>
    <w:rsid w:val="0082024B"/>
    <w:rsid w:val="0082073E"/>
    <w:rsid w:val="008207ED"/>
    <w:rsid w:val="008209C0"/>
    <w:rsid w:val="008209C9"/>
    <w:rsid w:val="008209CA"/>
    <w:rsid w:val="008209FA"/>
    <w:rsid w:val="00820BDE"/>
    <w:rsid w:val="00820C3D"/>
    <w:rsid w:val="00820E74"/>
    <w:rsid w:val="00820F87"/>
    <w:rsid w:val="00821079"/>
    <w:rsid w:val="008210A4"/>
    <w:rsid w:val="008212F8"/>
    <w:rsid w:val="0082132A"/>
    <w:rsid w:val="008213CD"/>
    <w:rsid w:val="008214AC"/>
    <w:rsid w:val="00821564"/>
    <w:rsid w:val="00821651"/>
    <w:rsid w:val="00821695"/>
    <w:rsid w:val="008216EA"/>
    <w:rsid w:val="00821704"/>
    <w:rsid w:val="00821BA8"/>
    <w:rsid w:val="00821BD5"/>
    <w:rsid w:val="00821CCF"/>
    <w:rsid w:val="00821CE0"/>
    <w:rsid w:val="00821DCD"/>
    <w:rsid w:val="00821E16"/>
    <w:rsid w:val="00821F7F"/>
    <w:rsid w:val="00822144"/>
    <w:rsid w:val="00822164"/>
    <w:rsid w:val="0082216C"/>
    <w:rsid w:val="0082220B"/>
    <w:rsid w:val="00822447"/>
    <w:rsid w:val="00822470"/>
    <w:rsid w:val="00822493"/>
    <w:rsid w:val="008224AE"/>
    <w:rsid w:val="008224D1"/>
    <w:rsid w:val="0082250B"/>
    <w:rsid w:val="00822516"/>
    <w:rsid w:val="00822583"/>
    <w:rsid w:val="008225E8"/>
    <w:rsid w:val="00822664"/>
    <w:rsid w:val="0082266F"/>
    <w:rsid w:val="00822962"/>
    <w:rsid w:val="00822A87"/>
    <w:rsid w:val="00822BB5"/>
    <w:rsid w:val="00822BDB"/>
    <w:rsid w:val="00822C59"/>
    <w:rsid w:val="00822F2E"/>
    <w:rsid w:val="0082306D"/>
    <w:rsid w:val="00823199"/>
    <w:rsid w:val="00823208"/>
    <w:rsid w:val="00823237"/>
    <w:rsid w:val="00823328"/>
    <w:rsid w:val="00823420"/>
    <w:rsid w:val="008234E5"/>
    <w:rsid w:val="00823534"/>
    <w:rsid w:val="0082354E"/>
    <w:rsid w:val="00823567"/>
    <w:rsid w:val="00823696"/>
    <w:rsid w:val="00823701"/>
    <w:rsid w:val="00823782"/>
    <w:rsid w:val="00823868"/>
    <w:rsid w:val="00823869"/>
    <w:rsid w:val="008238CC"/>
    <w:rsid w:val="008238D2"/>
    <w:rsid w:val="00823AC1"/>
    <w:rsid w:val="00823B86"/>
    <w:rsid w:val="00823D12"/>
    <w:rsid w:val="00823D30"/>
    <w:rsid w:val="00823D53"/>
    <w:rsid w:val="00823DB7"/>
    <w:rsid w:val="00823F21"/>
    <w:rsid w:val="00823F2C"/>
    <w:rsid w:val="00824001"/>
    <w:rsid w:val="00824047"/>
    <w:rsid w:val="008240CA"/>
    <w:rsid w:val="008241C9"/>
    <w:rsid w:val="008241DF"/>
    <w:rsid w:val="00824220"/>
    <w:rsid w:val="0082424F"/>
    <w:rsid w:val="008242C7"/>
    <w:rsid w:val="00824515"/>
    <w:rsid w:val="0082452B"/>
    <w:rsid w:val="008248C8"/>
    <w:rsid w:val="008248EC"/>
    <w:rsid w:val="00824913"/>
    <w:rsid w:val="008249F9"/>
    <w:rsid w:val="00824A3E"/>
    <w:rsid w:val="00824BEC"/>
    <w:rsid w:val="00824C5A"/>
    <w:rsid w:val="00824DAD"/>
    <w:rsid w:val="00824FDE"/>
    <w:rsid w:val="008250A3"/>
    <w:rsid w:val="00825221"/>
    <w:rsid w:val="00825383"/>
    <w:rsid w:val="0082543B"/>
    <w:rsid w:val="008254EC"/>
    <w:rsid w:val="00825569"/>
    <w:rsid w:val="0082558B"/>
    <w:rsid w:val="008256CD"/>
    <w:rsid w:val="00825836"/>
    <w:rsid w:val="0082586C"/>
    <w:rsid w:val="008258F5"/>
    <w:rsid w:val="00825959"/>
    <w:rsid w:val="00825A39"/>
    <w:rsid w:val="00825AD4"/>
    <w:rsid w:val="00825B13"/>
    <w:rsid w:val="00825BB7"/>
    <w:rsid w:val="00825CAC"/>
    <w:rsid w:val="00825CEC"/>
    <w:rsid w:val="00825D1F"/>
    <w:rsid w:val="00825DF3"/>
    <w:rsid w:val="00825E5D"/>
    <w:rsid w:val="00825F26"/>
    <w:rsid w:val="00825F6C"/>
    <w:rsid w:val="00825F7D"/>
    <w:rsid w:val="00825FD0"/>
    <w:rsid w:val="00826020"/>
    <w:rsid w:val="00826074"/>
    <w:rsid w:val="00826237"/>
    <w:rsid w:val="00826271"/>
    <w:rsid w:val="00826310"/>
    <w:rsid w:val="00826366"/>
    <w:rsid w:val="008264F2"/>
    <w:rsid w:val="0082652F"/>
    <w:rsid w:val="008266A0"/>
    <w:rsid w:val="008268A9"/>
    <w:rsid w:val="008269E0"/>
    <w:rsid w:val="00826A44"/>
    <w:rsid w:val="00826A80"/>
    <w:rsid w:val="00826B88"/>
    <w:rsid w:val="00826C46"/>
    <w:rsid w:val="00826C50"/>
    <w:rsid w:val="00826D29"/>
    <w:rsid w:val="00826D36"/>
    <w:rsid w:val="00826D5B"/>
    <w:rsid w:val="00826DD6"/>
    <w:rsid w:val="00826ED7"/>
    <w:rsid w:val="00826F22"/>
    <w:rsid w:val="00827156"/>
    <w:rsid w:val="0082726A"/>
    <w:rsid w:val="008272CB"/>
    <w:rsid w:val="0082731E"/>
    <w:rsid w:val="00827690"/>
    <w:rsid w:val="008276E2"/>
    <w:rsid w:val="008278AC"/>
    <w:rsid w:val="0082791F"/>
    <w:rsid w:val="00827998"/>
    <w:rsid w:val="008279FC"/>
    <w:rsid w:val="00827A35"/>
    <w:rsid w:val="00827B17"/>
    <w:rsid w:val="00827B8A"/>
    <w:rsid w:val="00827BE5"/>
    <w:rsid w:val="00827D04"/>
    <w:rsid w:val="00827DA0"/>
    <w:rsid w:val="00827E6B"/>
    <w:rsid w:val="00827E91"/>
    <w:rsid w:val="00827F0E"/>
    <w:rsid w:val="0083001E"/>
    <w:rsid w:val="00830042"/>
    <w:rsid w:val="008303B7"/>
    <w:rsid w:val="00830550"/>
    <w:rsid w:val="00830655"/>
    <w:rsid w:val="008306DF"/>
    <w:rsid w:val="0083071D"/>
    <w:rsid w:val="00830721"/>
    <w:rsid w:val="00830889"/>
    <w:rsid w:val="008308FC"/>
    <w:rsid w:val="00830941"/>
    <w:rsid w:val="00830A1D"/>
    <w:rsid w:val="00830AB4"/>
    <w:rsid w:val="00830AC4"/>
    <w:rsid w:val="00830B7A"/>
    <w:rsid w:val="00830C6E"/>
    <w:rsid w:val="00830CD6"/>
    <w:rsid w:val="00830D20"/>
    <w:rsid w:val="00830D61"/>
    <w:rsid w:val="00830D6F"/>
    <w:rsid w:val="00830E1B"/>
    <w:rsid w:val="00830E1E"/>
    <w:rsid w:val="00830E60"/>
    <w:rsid w:val="00830EAD"/>
    <w:rsid w:val="00830EC1"/>
    <w:rsid w:val="00830F38"/>
    <w:rsid w:val="00830F3D"/>
    <w:rsid w:val="0083121E"/>
    <w:rsid w:val="00831232"/>
    <w:rsid w:val="00831299"/>
    <w:rsid w:val="0083133F"/>
    <w:rsid w:val="008313B5"/>
    <w:rsid w:val="00831588"/>
    <w:rsid w:val="008315EB"/>
    <w:rsid w:val="008317A9"/>
    <w:rsid w:val="00831A3E"/>
    <w:rsid w:val="00831CAF"/>
    <w:rsid w:val="00831E50"/>
    <w:rsid w:val="00831E96"/>
    <w:rsid w:val="0083210C"/>
    <w:rsid w:val="0083212F"/>
    <w:rsid w:val="008323BC"/>
    <w:rsid w:val="00832437"/>
    <w:rsid w:val="008324AC"/>
    <w:rsid w:val="00832504"/>
    <w:rsid w:val="008325DE"/>
    <w:rsid w:val="008326CF"/>
    <w:rsid w:val="00832718"/>
    <w:rsid w:val="008328B5"/>
    <w:rsid w:val="00832915"/>
    <w:rsid w:val="008329D9"/>
    <w:rsid w:val="00832B37"/>
    <w:rsid w:val="00832B54"/>
    <w:rsid w:val="00832B6D"/>
    <w:rsid w:val="00832CD6"/>
    <w:rsid w:val="00832D98"/>
    <w:rsid w:val="00832D9A"/>
    <w:rsid w:val="00832E30"/>
    <w:rsid w:val="00832ECD"/>
    <w:rsid w:val="0083303A"/>
    <w:rsid w:val="0083305E"/>
    <w:rsid w:val="0083306A"/>
    <w:rsid w:val="008330FC"/>
    <w:rsid w:val="0083311B"/>
    <w:rsid w:val="00833162"/>
    <w:rsid w:val="008331B8"/>
    <w:rsid w:val="00833245"/>
    <w:rsid w:val="00833280"/>
    <w:rsid w:val="00833313"/>
    <w:rsid w:val="00833431"/>
    <w:rsid w:val="00833444"/>
    <w:rsid w:val="00833447"/>
    <w:rsid w:val="00833481"/>
    <w:rsid w:val="008334EA"/>
    <w:rsid w:val="00833612"/>
    <w:rsid w:val="00833622"/>
    <w:rsid w:val="0083365C"/>
    <w:rsid w:val="00833750"/>
    <w:rsid w:val="00833777"/>
    <w:rsid w:val="00833784"/>
    <w:rsid w:val="008337CA"/>
    <w:rsid w:val="0083389E"/>
    <w:rsid w:val="00833A29"/>
    <w:rsid w:val="00833B30"/>
    <w:rsid w:val="00833C10"/>
    <w:rsid w:val="00833C2B"/>
    <w:rsid w:val="00833C4A"/>
    <w:rsid w:val="00833CEC"/>
    <w:rsid w:val="00833E93"/>
    <w:rsid w:val="00833EAC"/>
    <w:rsid w:val="00833EFA"/>
    <w:rsid w:val="00833FA3"/>
    <w:rsid w:val="00833FAC"/>
    <w:rsid w:val="008341CC"/>
    <w:rsid w:val="00834257"/>
    <w:rsid w:val="008342A8"/>
    <w:rsid w:val="0083434E"/>
    <w:rsid w:val="00834500"/>
    <w:rsid w:val="00834642"/>
    <w:rsid w:val="008346B4"/>
    <w:rsid w:val="0083478E"/>
    <w:rsid w:val="0083482A"/>
    <w:rsid w:val="00834846"/>
    <w:rsid w:val="008348BB"/>
    <w:rsid w:val="008348F1"/>
    <w:rsid w:val="00834C69"/>
    <w:rsid w:val="00834C75"/>
    <w:rsid w:val="00834D78"/>
    <w:rsid w:val="00834E42"/>
    <w:rsid w:val="00834E86"/>
    <w:rsid w:val="00834F16"/>
    <w:rsid w:val="00834F44"/>
    <w:rsid w:val="00835057"/>
    <w:rsid w:val="00835094"/>
    <w:rsid w:val="00835126"/>
    <w:rsid w:val="00835276"/>
    <w:rsid w:val="00835362"/>
    <w:rsid w:val="008353BB"/>
    <w:rsid w:val="008353BD"/>
    <w:rsid w:val="0083544A"/>
    <w:rsid w:val="00835481"/>
    <w:rsid w:val="00835737"/>
    <w:rsid w:val="00835864"/>
    <w:rsid w:val="008358BA"/>
    <w:rsid w:val="00835A25"/>
    <w:rsid w:val="00835C95"/>
    <w:rsid w:val="00835DAE"/>
    <w:rsid w:val="00835E15"/>
    <w:rsid w:val="00835EDF"/>
    <w:rsid w:val="00835F09"/>
    <w:rsid w:val="00835F78"/>
    <w:rsid w:val="00836041"/>
    <w:rsid w:val="008361A9"/>
    <w:rsid w:val="0083630C"/>
    <w:rsid w:val="008363CF"/>
    <w:rsid w:val="00836459"/>
    <w:rsid w:val="00836570"/>
    <w:rsid w:val="008365EE"/>
    <w:rsid w:val="008366C5"/>
    <w:rsid w:val="008366C7"/>
    <w:rsid w:val="0083679A"/>
    <w:rsid w:val="00836903"/>
    <w:rsid w:val="008369FB"/>
    <w:rsid w:val="00836ABB"/>
    <w:rsid w:val="00836BD1"/>
    <w:rsid w:val="00836BF3"/>
    <w:rsid w:val="00836CBE"/>
    <w:rsid w:val="00836DB1"/>
    <w:rsid w:val="00836E2F"/>
    <w:rsid w:val="00836E56"/>
    <w:rsid w:val="00836EC4"/>
    <w:rsid w:val="00836F42"/>
    <w:rsid w:val="00836FA9"/>
    <w:rsid w:val="00837018"/>
    <w:rsid w:val="0083702A"/>
    <w:rsid w:val="008370C6"/>
    <w:rsid w:val="008370C7"/>
    <w:rsid w:val="0083716F"/>
    <w:rsid w:val="008372D2"/>
    <w:rsid w:val="00837356"/>
    <w:rsid w:val="00837395"/>
    <w:rsid w:val="008374C7"/>
    <w:rsid w:val="008374CA"/>
    <w:rsid w:val="00837508"/>
    <w:rsid w:val="00837528"/>
    <w:rsid w:val="008375CA"/>
    <w:rsid w:val="008375EB"/>
    <w:rsid w:val="0083779D"/>
    <w:rsid w:val="008377A4"/>
    <w:rsid w:val="0083783B"/>
    <w:rsid w:val="00837957"/>
    <w:rsid w:val="00837A85"/>
    <w:rsid w:val="00837AD5"/>
    <w:rsid w:val="00837D2E"/>
    <w:rsid w:val="00837E29"/>
    <w:rsid w:val="00837E2C"/>
    <w:rsid w:val="00837F20"/>
    <w:rsid w:val="00837FC2"/>
    <w:rsid w:val="0084009C"/>
    <w:rsid w:val="00840288"/>
    <w:rsid w:val="0084028B"/>
    <w:rsid w:val="008403E0"/>
    <w:rsid w:val="00840400"/>
    <w:rsid w:val="008404EF"/>
    <w:rsid w:val="00840501"/>
    <w:rsid w:val="00840515"/>
    <w:rsid w:val="00840632"/>
    <w:rsid w:val="00840801"/>
    <w:rsid w:val="00840872"/>
    <w:rsid w:val="008408C3"/>
    <w:rsid w:val="00840973"/>
    <w:rsid w:val="00840A9B"/>
    <w:rsid w:val="00840BAA"/>
    <w:rsid w:val="00840BBD"/>
    <w:rsid w:val="00840BF6"/>
    <w:rsid w:val="00840E00"/>
    <w:rsid w:val="00840E4A"/>
    <w:rsid w:val="00840EEA"/>
    <w:rsid w:val="00840FEC"/>
    <w:rsid w:val="0084102D"/>
    <w:rsid w:val="00841190"/>
    <w:rsid w:val="00841217"/>
    <w:rsid w:val="00841446"/>
    <w:rsid w:val="0084154A"/>
    <w:rsid w:val="008416A4"/>
    <w:rsid w:val="00841757"/>
    <w:rsid w:val="008418FE"/>
    <w:rsid w:val="008419B7"/>
    <w:rsid w:val="008419EB"/>
    <w:rsid w:val="00841B8E"/>
    <w:rsid w:val="00841D8D"/>
    <w:rsid w:val="00841DC6"/>
    <w:rsid w:val="00841DDF"/>
    <w:rsid w:val="00841E3C"/>
    <w:rsid w:val="008420F9"/>
    <w:rsid w:val="0084216C"/>
    <w:rsid w:val="008423E9"/>
    <w:rsid w:val="00842625"/>
    <w:rsid w:val="008426E3"/>
    <w:rsid w:val="008428BB"/>
    <w:rsid w:val="00842961"/>
    <w:rsid w:val="00842AFE"/>
    <w:rsid w:val="00842D82"/>
    <w:rsid w:val="00842DD1"/>
    <w:rsid w:val="00842E13"/>
    <w:rsid w:val="00842E34"/>
    <w:rsid w:val="00842F1F"/>
    <w:rsid w:val="00842F40"/>
    <w:rsid w:val="00842FAC"/>
    <w:rsid w:val="00842FDC"/>
    <w:rsid w:val="00843061"/>
    <w:rsid w:val="008430AE"/>
    <w:rsid w:val="00843106"/>
    <w:rsid w:val="008431EC"/>
    <w:rsid w:val="008432C2"/>
    <w:rsid w:val="00843358"/>
    <w:rsid w:val="00843416"/>
    <w:rsid w:val="00843430"/>
    <w:rsid w:val="0084346F"/>
    <w:rsid w:val="0084347C"/>
    <w:rsid w:val="00843487"/>
    <w:rsid w:val="00843589"/>
    <w:rsid w:val="00843627"/>
    <w:rsid w:val="00843667"/>
    <w:rsid w:val="0084371E"/>
    <w:rsid w:val="008437C9"/>
    <w:rsid w:val="008438DB"/>
    <w:rsid w:val="00843A2A"/>
    <w:rsid w:val="00843AD1"/>
    <w:rsid w:val="00843AFF"/>
    <w:rsid w:val="00843B7D"/>
    <w:rsid w:val="00843C94"/>
    <w:rsid w:val="00843CB3"/>
    <w:rsid w:val="00843E82"/>
    <w:rsid w:val="00844028"/>
    <w:rsid w:val="00844218"/>
    <w:rsid w:val="00844325"/>
    <w:rsid w:val="00844381"/>
    <w:rsid w:val="0084448C"/>
    <w:rsid w:val="008444A4"/>
    <w:rsid w:val="00844539"/>
    <w:rsid w:val="00844661"/>
    <w:rsid w:val="008446B2"/>
    <w:rsid w:val="00844942"/>
    <w:rsid w:val="00844943"/>
    <w:rsid w:val="0084497D"/>
    <w:rsid w:val="00844B17"/>
    <w:rsid w:val="00844C33"/>
    <w:rsid w:val="00844C52"/>
    <w:rsid w:val="00844D61"/>
    <w:rsid w:val="00844EBF"/>
    <w:rsid w:val="00844F93"/>
    <w:rsid w:val="00845151"/>
    <w:rsid w:val="008452B7"/>
    <w:rsid w:val="008452D2"/>
    <w:rsid w:val="00845485"/>
    <w:rsid w:val="008454A4"/>
    <w:rsid w:val="00845522"/>
    <w:rsid w:val="008455A3"/>
    <w:rsid w:val="008455DA"/>
    <w:rsid w:val="00845623"/>
    <w:rsid w:val="00845811"/>
    <w:rsid w:val="008458F9"/>
    <w:rsid w:val="0084592B"/>
    <w:rsid w:val="008459C6"/>
    <w:rsid w:val="00845A50"/>
    <w:rsid w:val="00845A9C"/>
    <w:rsid w:val="00845AA0"/>
    <w:rsid w:val="00845BC1"/>
    <w:rsid w:val="00845E8D"/>
    <w:rsid w:val="00845EA5"/>
    <w:rsid w:val="00845EF4"/>
    <w:rsid w:val="00845FDB"/>
    <w:rsid w:val="0084605A"/>
    <w:rsid w:val="00846062"/>
    <w:rsid w:val="008460B7"/>
    <w:rsid w:val="00846125"/>
    <w:rsid w:val="00846161"/>
    <w:rsid w:val="00846263"/>
    <w:rsid w:val="008463A9"/>
    <w:rsid w:val="00846417"/>
    <w:rsid w:val="00846541"/>
    <w:rsid w:val="00846709"/>
    <w:rsid w:val="008467E7"/>
    <w:rsid w:val="0084680E"/>
    <w:rsid w:val="008468E1"/>
    <w:rsid w:val="00846913"/>
    <w:rsid w:val="0084697E"/>
    <w:rsid w:val="00846AA2"/>
    <w:rsid w:val="00846B70"/>
    <w:rsid w:val="00846BBA"/>
    <w:rsid w:val="00846F80"/>
    <w:rsid w:val="00846FED"/>
    <w:rsid w:val="00847067"/>
    <w:rsid w:val="008470EC"/>
    <w:rsid w:val="00847202"/>
    <w:rsid w:val="00847204"/>
    <w:rsid w:val="00847213"/>
    <w:rsid w:val="008472F4"/>
    <w:rsid w:val="0084732C"/>
    <w:rsid w:val="0084748F"/>
    <w:rsid w:val="0084769E"/>
    <w:rsid w:val="008476B9"/>
    <w:rsid w:val="008476C1"/>
    <w:rsid w:val="00847940"/>
    <w:rsid w:val="008479FA"/>
    <w:rsid w:val="00847AAF"/>
    <w:rsid w:val="00847B43"/>
    <w:rsid w:val="00847B80"/>
    <w:rsid w:val="00847D32"/>
    <w:rsid w:val="00847E79"/>
    <w:rsid w:val="00847ED5"/>
    <w:rsid w:val="00847F4F"/>
    <w:rsid w:val="00847FA2"/>
    <w:rsid w:val="0085028B"/>
    <w:rsid w:val="008502B5"/>
    <w:rsid w:val="00850360"/>
    <w:rsid w:val="0085039F"/>
    <w:rsid w:val="008505E2"/>
    <w:rsid w:val="00850650"/>
    <w:rsid w:val="0085065D"/>
    <w:rsid w:val="0085072A"/>
    <w:rsid w:val="00850746"/>
    <w:rsid w:val="0085079E"/>
    <w:rsid w:val="00850873"/>
    <w:rsid w:val="00850986"/>
    <w:rsid w:val="008509C7"/>
    <w:rsid w:val="008509F4"/>
    <w:rsid w:val="00850A13"/>
    <w:rsid w:val="00850B1B"/>
    <w:rsid w:val="00850C12"/>
    <w:rsid w:val="00850E5E"/>
    <w:rsid w:val="00850EB5"/>
    <w:rsid w:val="00850F29"/>
    <w:rsid w:val="00850F47"/>
    <w:rsid w:val="00850F4A"/>
    <w:rsid w:val="0085100B"/>
    <w:rsid w:val="00851151"/>
    <w:rsid w:val="008511A5"/>
    <w:rsid w:val="00851290"/>
    <w:rsid w:val="008512D0"/>
    <w:rsid w:val="00851302"/>
    <w:rsid w:val="0085133E"/>
    <w:rsid w:val="00851398"/>
    <w:rsid w:val="00851405"/>
    <w:rsid w:val="00851576"/>
    <w:rsid w:val="008515E7"/>
    <w:rsid w:val="0085160B"/>
    <w:rsid w:val="00851674"/>
    <w:rsid w:val="00851689"/>
    <w:rsid w:val="008516A3"/>
    <w:rsid w:val="008516BC"/>
    <w:rsid w:val="008516EF"/>
    <w:rsid w:val="008517B6"/>
    <w:rsid w:val="00851809"/>
    <w:rsid w:val="008518E1"/>
    <w:rsid w:val="00851902"/>
    <w:rsid w:val="00851A13"/>
    <w:rsid w:val="00851A2B"/>
    <w:rsid w:val="00851A46"/>
    <w:rsid w:val="00851B36"/>
    <w:rsid w:val="00851D6B"/>
    <w:rsid w:val="00851D85"/>
    <w:rsid w:val="00851D91"/>
    <w:rsid w:val="00851DDA"/>
    <w:rsid w:val="00851DE4"/>
    <w:rsid w:val="00852028"/>
    <w:rsid w:val="008520D6"/>
    <w:rsid w:val="00852145"/>
    <w:rsid w:val="00852154"/>
    <w:rsid w:val="00852172"/>
    <w:rsid w:val="0085218B"/>
    <w:rsid w:val="00852414"/>
    <w:rsid w:val="008524FE"/>
    <w:rsid w:val="008525F4"/>
    <w:rsid w:val="0085269C"/>
    <w:rsid w:val="0085278A"/>
    <w:rsid w:val="0085287F"/>
    <w:rsid w:val="00852998"/>
    <w:rsid w:val="008529F1"/>
    <w:rsid w:val="008529F4"/>
    <w:rsid w:val="00852B5A"/>
    <w:rsid w:val="00852C88"/>
    <w:rsid w:val="00852CAC"/>
    <w:rsid w:val="00852CF6"/>
    <w:rsid w:val="00852D76"/>
    <w:rsid w:val="00852E2B"/>
    <w:rsid w:val="00852EB1"/>
    <w:rsid w:val="00852F5F"/>
    <w:rsid w:val="0085303C"/>
    <w:rsid w:val="00853130"/>
    <w:rsid w:val="008531DB"/>
    <w:rsid w:val="00853345"/>
    <w:rsid w:val="0085334A"/>
    <w:rsid w:val="0085349A"/>
    <w:rsid w:val="008534AE"/>
    <w:rsid w:val="0085361C"/>
    <w:rsid w:val="00853728"/>
    <w:rsid w:val="00853742"/>
    <w:rsid w:val="00853754"/>
    <w:rsid w:val="0085377F"/>
    <w:rsid w:val="0085379F"/>
    <w:rsid w:val="008537DA"/>
    <w:rsid w:val="00853A4E"/>
    <w:rsid w:val="00853BC2"/>
    <w:rsid w:val="00853C0D"/>
    <w:rsid w:val="00853C3E"/>
    <w:rsid w:val="00853CC2"/>
    <w:rsid w:val="00853CD5"/>
    <w:rsid w:val="00853CE6"/>
    <w:rsid w:val="00853D34"/>
    <w:rsid w:val="00853DF7"/>
    <w:rsid w:val="00853E2A"/>
    <w:rsid w:val="00853E80"/>
    <w:rsid w:val="00853EF7"/>
    <w:rsid w:val="00853F6B"/>
    <w:rsid w:val="00853FA1"/>
    <w:rsid w:val="008542BB"/>
    <w:rsid w:val="0085431B"/>
    <w:rsid w:val="00854336"/>
    <w:rsid w:val="00854398"/>
    <w:rsid w:val="0085450E"/>
    <w:rsid w:val="008545F0"/>
    <w:rsid w:val="00854627"/>
    <w:rsid w:val="0085493A"/>
    <w:rsid w:val="00854971"/>
    <w:rsid w:val="0085499E"/>
    <w:rsid w:val="00854AA9"/>
    <w:rsid w:val="00854BC1"/>
    <w:rsid w:val="00854D3B"/>
    <w:rsid w:val="00854E77"/>
    <w:rsid w:val="00854EF8"/>
    <w:rsid w:val="00854F6F"/>
    <w:rsid w:val="00854F76"/>
    <w:rsid w:val="00855022"/>
    <w:rsid w:val="00855044"/>
    <w:rsid w:val="00855099"/>
    <w:rsid w:val="008550F8"/>
    <w:rsid w:val="008551DB"/>
    <w:rsid w:val="0085527B"/>
    <w:rsid w:val="0085535C"/>
    <w:rsid w:val="0085535D"/>
    <w:rsid w:val="008553CC"/>
    <w:rsid w:val="008553D6"/>
    <w:rsid w:val="0085541B"/>
    <w:rsid w:val="0085548E"/>
    <w:rsid w:val="008556C7"/>
    <w:rsid w:val="008557D1"/>
    <w:rsid w:val="00855856"/>
    <w:rsid w:val="00855A08"/>
    <w:rsid w:val="00855B3C"/>
    <w:rsid w:val="00855D42"/>
    <w:rsid w:val="00855D53"/>
    <w:rsid w:val="00855E38"/>
    <w:rsid w:val="00855F18"/>
    <w:rsid w:val="00856130"/>
    <w:rsid w:val="0085619E"/>
    <w:rsid w:val="008561C4"/>
    <w:rsid w:val="0085625D"/>
    <w:rsid w:val="008562EF"/>
    <w:rsid w:val="0085633D"/>
    <w:rsid w:val="00856351"/>
    <w:rsid w:val="008564B8"/>
    <w:rsid w:val="0085654C"/>
    <w:rsid w:val="00856597"/>
    <w:rsid w:val="00856657"/>
    <w:rsid w:val="008566AE"/>
    <w:rsid w:val="008566FB"/>
    <w:rsid w:val="00856878"/>
    <w:rsid w:val="008568A4"/>
    <w:rsid w:val="008568FA"/>
    <w:rsid w:val="008569C6"/>
    <w:rsid w:val="008569EE"/>
    <w:rsid w:val="00856AB6"/>
    <w:rsid w:val="00856AE8"/>
    <w:rsid w:val="00856BD2"/>
    <w:rsid w:val="00856C03"/>
    <w:rsid w:val="00856D65"/>
    <w:rsid w:val="00856D7F"/>
    <w:rsid w:val="00856D84"/>
    <w:rsid w:val="00856E28"/>
    <w:rsid w:val="00856F00"/>
    <w:rsid w:val="0085704E"/>
    <w:rsid w:val="0085709B"/>
    <w:rsid w:val="00857134"/>
    <w:rsid w:val="008571A5"/>
    <w:rsid w:val="008573FA"/>
    <w:rsid w:val="00857457"/>
    <w:rsid w:val="0085768F"/>
    <w:rsid w:val="0085769E"/>
    <w:rsid w:val="008577B9"/>
    <w:rsid w:val="00857980"/>
    <w:rsid w:val="008579E6"/>
    <w:rsid w:val="00857AFC"/>
    <w:rsid w:val="00857B8A"/>
    <w:rsid w:val="00857C83"/>
    <w:rsid w:val="00857DCA"/>
    <w:rsid w:val="00857E19"/>
    <w:rsid w:val="00857E66"/>
    <w:rsid w:val="00857E98"/>
    <w:rsid w:val="0086011F"/>
    <w:rsid w:val="0086018F"/>
    <w:rsid w:val="00860210"/>
    <w:rsid w:val="00860414"/>
    <w:rsid w:val="00860447"/>
    <w:rsid w:val="00860487"/>
    <w:rsid w:val="008607D2"/>
    <w:rsid w:val="00860A04"/>
    <w:rsid w:val="00860AB7"/>
    <w:rsid w:val="00860D03"/>
    <w:rsid w:val="00860E64"/>
    <w:rsid w:val="00861124"/>
    <w:rsid w:val="00861197"/>
    <w:rsid w:val="00861198"/>
    <w:rsid w:val="00861252"/>
    <w:rsid w:val="00861272"/>
    <w:rsid w:val="0086131C"/>
    <w:rsid w:val="00861373"/>
    <w:rsid w:val="00861461"/>
    <w:rsid w:val="008615F0"/>
    <w:rsid w:val="008615FB"/>
    <w:rsid w:val="0086161F"/>
    <w:rsid w:val="00861630"/>
    <w:rsid w:val="008616B3"/>
    <w:rsid w:val="00861723"/>
    <w:rsid w:val="00861761"/>
    <w:rsid w:val="00861812"/>
    <w:rsid w:val="00861891"/>
    <w:rsid w:val="0086189C"/>
    <w:rsid w:val="008618A5"/>
    <w:rsid w:val="00861995"/>
    <w:rsid w:val="00861997"/>
    <w:rsid w:val="00861C56"/>
    <w:rsid w:val="00861DD8"/>
    <w:rsid w:val="00861DE1"/>
    <w:rsid w:val="008620B8"/>
    <w:rsid w:val="00862192"/>
    <w:rsid w:val="008621DB"/>
    <w:rsid w:val="0086223B"/>
    <w:rsid w:val="0086226A"/>
    <w:rsid w:val="00862274"/>
    <w:rsid w:val="008623AC"/>
    <w:rsid w:val="008623C6"/>
    <w:rsid w:val="00862572"/>
    <w:rsid w:val="0086257A"/>
    <w:rsid w:val="008626C6"/>
    <w:rsid w:val="008626FC"/>
    <w:rsid w:val="008627DD"/>
    <w:rsid w:val="008627FD"/>
    <w:rsid w:val="00862811"/>
    <w:rsid w:val="008628F3"/>
    <w:rsid w:val="0086291D"/>
    <w:rsid w:val="008629A0"/>
    <w:rsid w:val="00862D25"/>
    <w:rsid w:val="00862E30"/>
    <w:rsid w:val="00862EB9"/>
    <w:rsid w:val="00862ECD"/>
    <w:rsid w:val="008630CD"/>
    <w:rsid w:val="008631FC"/>
    <w:rsid w:val="008632EF"/>
    <w:rsid w:val="008633A2"/>
    <w:rsid w:val="0086343A"/>
    <w:rsid w:val="0086346E"/>
    <w:rsid w:val="008635CE"/>
    <w:rsid w:val="0086364A"/>
    <w:rsid w:val="00863689"/>
    <w:rsid w:val="008637AF"/>
    <w:rsid w:val="0086384E"/>
    <w:rsid w:val="0086389A"/>
    <w:rsid w:val="00863ABE"/>
    <w:rsid w:val="00863C09"/>
    <w:rsid w:val="00863C34"/>
    <w:rsid w:val="00863C63"/>
    <w:rsid w:val="00863DAC"/>
    <w:rsid w:val="00863E1A"/>
    <w:rsid w:val="00863E77"/>
    <w:rsid w:val="00863E7E"/>
    <w:rsid w:val="00863F03"/>
    <w:rsid w:val="00863F7B"/>
    <w:rsid w:val="0086414B"/>
    <w:rsid w:val="00864165"/>
    <w:rsid w:val="00864200"/>
    <w:rsid w:val="00864423"/>
    <w:rsid w:val="00864443"/>
    <w:rsid w:val="008644B5"/>
    <w:rsid w:val="008645CE"/>
    <w:rsid w:val="008645D2"/>
    <w:rsid w:val="008646B1"/>
    <w:rsid w:val="00864812"/>
    <w:rsid w:val="0086484A"/>
    <w:rsid w:val="008648A3"/>
    <w:rsid w:val="008648BA"/>
    <w:rsid w:val="008649FB"/>
    <w:rsid w:val="00864C2F"/>
    <w:rsid w:val="00864C68"/>
    <w:rsid w:val="00864D68"/>
    <w:rsid w:val="00864D6D"/>
    <w:rsid w:val="00864DE5"/>
    <w:rsid w:val="00864DE6"/>
    <w:rsid w:val="00864F3D"/>
    <w:rsid w:val="00864F5A"/>
    <w:rsid w:val="0086503C"/>
    <w:rsid w:val="008650E0"/>
    <w:rsid w:val="008650F3"/>
    <w:rsid w:val="008652D5"/>
    <w:rsid w:val="008653D9"/>
    <w:rsid w:val="008655F9"/>
    <w:rsid w:val="00865741"/>
    <w:rsid w:val="00865742"/>
    <w:rsid w:val="0086574A"/>
    <w:rsid w:val="008657BE"/>
    <w:rsid w:val="008659F4"/>
    <w:rsid w:val="00865A78"/>
    <w:rsid w:val="00865AD0"/>
    <w:rsid w:val="00865B3E"/>
    <w:rsid w:val="00865B6B"/>
    <w:rsid w:val="00865E04"/>
    <w:rsid w:val="00865E06"/>
    <w:rsid w:val="00865E83"/>
    <w:rsid w:val="00865EE1"/>
    <w:rsid w:val="00865F65"/>
    <w:rsid w:val="00866178"/>
    <w:rsid w:val="008663D0"/>
    <w:rsid w:val="008663DB"/>
    <w:rsid w:val="00866462"/>
    <w:rsid w:val="008666DD"/>
    <w:rsid w:val="00866797"/>
    <w:rsid w:val="008667B0"/>
    <w:rsid w:val="00866806"/>
    <w:rsid w:val="00866A44"/>
    <w:rsid w:val="00866C5D"/>
    <w:rsid w:val="00866D1F"/>
    <w:rsid w:val="00866D95"/>
    <w:rsid w:val="00866DB0"/>
    <w:rsid w:val="00866E11"/>
    <w:rsid w:val="00866E28"/>
    <w:rsid w:val="00866E75"/>
    <w:rsid w:val="00867001"/>
    <w:rsid w:val="0086701D"/>
    <w:rsid w:val="008670EE"/>
    <w:rsid w:val="00867132"/>
    <w:rsid w:val="0086715B"/>
    <w:rsid w:val="00867161"/>
    <w:rsid w:val="008671B8"/>
    <w:rsid w:val="008674A1"/>
    <w:rsid w:val="008674A9"/>
    <w:rsid w:val="00867578"/>
    <w:rsid w:val="008675B4"/>
    <w:rsid w:val="00867697"/>
    <w:rsid w:val="00867745"/>
    <w:rsid w:val="00867762"/>
    <w:rsid w:val="00867779"/>
    <w:rsid w:val="008677E4"/>
    <w:rsid w:val="00867CEB"/>
    <w:rsid w:val="00867E55"/>
    <w:rsid w:val="00867F3B"/>
    <w:rsid w:val="00867F4A"/>
    <w:rsid w:val="00867F59"/>
    <w:rsid w:val="00867FB7"/>
    <w:rsid w:val="00867FF4"/>
    <w:rsid w:val="008700AF"/>
    <w:rsid w:val="00870184"/>
    <w:rsid w:val="008701AD"/>
    <w:rsid w:val="008701CF"/>
    <w:rsid w:val="008701F1"/>
    <w:rsid w:val="008702CB"/>
    <w:rsid w:val="00870410"/>
    <w:rsid w:val="0087051F"/>
    <w:rsid w:val="008709B6"/>
    <w:rsid w:val="008709C4"/>
    <w:rsid w:val="00870A2F"/>
    <w:rsid w:val="00870A32"/>
    <w:rsid w:val="00870AF4"/>
    <w:rsid w:val="00870B8C"/>
    <w:rsid w:val="00870BC1"/>
    <w:rsid w:val="00870BE9"/>
    <w:rsid w:val="00870C58"/>
    <w:rsid w:val="00870CC3"/>
    <w:rsid w:val="00870CD8"/>
    <w:rsid w:val="00870E6E"/>
    <w:rsid w:val="00870F8F"/>
    <w:rsid w:val="00870FCF"/>
    <w:rsid w:val="00871155"/>
    <w:rsid w:val="00871173"/>
    <w:rsid w:val="00871193"/>
    <w:rsid w:val="0087122B"/>
    <w:rsid w:val="008712A3"/>
    <w:rsid w:val="008712AA"/>
    <w:rsid w:val="00871342"/>
    <w:rsid w:val="00871358"/>
    <w:rsid w:val="00871408"/>
    <w:rsid w:val="008714BC"/>
    <w:rsid w:val="0087151E"/>
    <w:rsid w:val="008715CD"/>
    <w:rsid w:val="00871609"/>
    <w:rsid w:val="008716F8"/>
    <w:rsid w:val="008719F3"/>
    <w:rsid w:val="00871A3A"/>
    <w:rsid w:val="00871C00"/>
    <w:rsid w:val="00871CD6"/>
    <w:rsid w:val="00871DA9"/>
    <w:rsid w:val="00871F78"/>
    <w:rsid w:val="008721A7"/>
    <w:rsid w:val="008722AD"/>
    <w:rsid w:val="00872371"/>
    <w:rsid w:val="00872451"/>
    <w:rsid w:val="008724AF"/>
    <w:rsid w:val="008724CA"/>
    <w:rsid w:val="008726CD"/>
    <w:rsid w:val="008726DA"/>
    <w:rsid w:val="008727E4"/>
    <w:rsid w:val="00872944"/>
    <w:rsid w:val="00872B08"/>
    <w:rsid w:val="00872B58"/>
    <w:rsid w:val="00872B74"/>
    <w:rsid w:val="00872BE0"/>
    <w:rsid w:val="00872BF5"/>
    <w:rsid w:val="00872C23"/>
    <w:rsid w:val="00872D8C"/>
    <w:rsid w:val="00872E00"/>
    <w:rsid w:val="00872E1F"/>
    <w:rsid w:val="00872E40"/>
    <w:rsid w:val="00872E4E"/>
    <w:rsid w:val="00872ECC"/>
    <w:rsid w:val="00872FDC"/>
    <w:rsid w:val="00873075"/>
    <w:rsid w:val="008730AD"/>
    <w:rsid w:val="0087317C"/>
    <w:rsid w:val="0087331F"/>
    <w:rsid w:val="00873595"/>
    <w:rsid w:val="008736AC"/>
    <w:rsid w:val="008736BD"/>
    <w:rsid w:val="00873758"/>
    <w:rsid w:val="0087387B"/>
    <w:rsid w:val="00873947"/>
    <w:rsid w:val="00873958"/>
    <w:rsid w:val="00873993"/>
    <w:rsid w:val="008739DE"/>
    <w:rsid w:val="008739DF"/>
    <w:rsid w:val="00873B13"/>
    <w:rsid w:val="00873BF7"/>
    <w:rsid w:val="00873C80"/>
    <w:rsid w:val="00873FFC"/>
    <w:rsid w:val="00874061"/>
    <w:rsid w:val="0087428A"/>
    <w:rsid w:val="008742C5"/>
    <w:rsid w:val="008744E8"/>
    <w:rsid w:val="0087451D"/>
    <w:rsid w:val="0087455C"/>
    <w:rsid w:val="008746BB"/>
    <w:rsid w:val="008747DC"/>
    <w:rsid w:val="00874976"/>
    <w:rsid w:val="00874A66"/>
    <w:rsid w:val="00874B64"/>
    <w:rsid w:val="00874BA1"/>
    <w:rsid w:val="00874C01"/>
    <w:rsid w:val="00874C70"/>
    <w:rsid w:val="00874F38"/>
    <w:rsid w:val="00875141"/>
    <w:rsid w:val="00875193"/>
    <w:rsid w:val="00875299"/>
    <w:rsid w:val="00875348"/>
    <w:rsid w:val="008753F4"/>
    <w:rsid w:val="0087547F"/>
    <w:rsid w:val="00875485"/>
    <w:rsid w:val="008757A9"/>
    <w:rsid w:val="00875876"/>
    <w:rsid w:val="0087588A"/>
    <w:rsid w:val="00875910"/>
    <w:rsid w:val="00875933"/>
    <w:rsid w:val="0087593B"/>
    <w:rsid w:val="008759BE"/>
    <w:rsid w:val="00875A8A"/>
    <w:rsid w:val="00875B26"/>
    <w:rsid w:val="00875D85"/>
    <w:rsid w:val="00875E29"/>
    <w:rsid w:val="00875E98"/>
    <w:rsid w:val="00875F02"/>
    <w:rsid w:val="00875F23"/>
    <w:rsid w:val="00875FD7"/>
    <w:rsid w:val="0087606A"/>
    <w:rsid w:val="0087626E"/>
    <w:rsid w:val="008762DB"/>
    <w:rsid w:val="00876300"/>
    <w:rsid w:val="0087631C"/>
    <w:rsid w:val="008763C1"/>
    <w:rsid w:val="0087647E"/>
    <w:rsid w:val="0087654B"/>
    <w:rsid w:val="00876595"/>
    <w:rsid w:val="008765BB"/>
    <w:rsid w:val="00876644"/>
    <w:rsid w:val="008767EE"/>
    <w:rsid w:val="00876809"/>
    <w:rsid w:val="00876843"/>
    <w:rsid w:val="008768AF"/>
    <w:rsid w:val="008768BE"/>
    <w:rsid w:val="0087691E"/>
    <w:rsid w:val="00876AF7"/>
    <w:rsid w:val="00876B55"/>
    <w:rsid w:val="00876C6D"/>
    <w:rsid w:val="00876D8E"/>
    <w:rsid w:val="00876DB1"/>
    <w:rsid w:val="00876EBE"/>
    <w:rsid w:val="00877296"/>
    <w:rsid w:val="008772A6"/>
    <w:rsid w:val="008775FB"/>
    <w:rsid w:val="00877601"/>
    <w:rsid w:val="00877702"/>
    <w:rsid w:val="00877734"/>
    <w:rsid w:val="008777A9"/>
    <w:rsid w:val="00877843"/>
    <w:rsid w:val="008778FE"/>
    <w:rsid w:val="00877910"/>
    <w:rsid w:val="0087795E"/>
    <w:rsid w:val="00877A42"/>
    <w:rsid w:val="00877BBA"/>
    <w:rsid w:val="00877DA9"/>
    <w:rsid w:val="00877F8F"/>
    <w:rsid w:val="00877FCE"/>
    <w:rsid w:val="00880001"/>
    <w:rsid w:val="008800AE"/>
    <w:rsid w:val="008800C5"/>
    <w:rsid w:val="008801CE"/>
    <w:rsid w:val="008801FD"/>
    <w:rsid w:val="00880232"/>
    <w:rsid w:val="008802BA"/>
    <w:rsid w:val="008805C6"/>
    <w:rsid w:val="008806CA"/>
    <w:rsid w:val="00880714"/>
    <w:rsid w:val="0088072F"/>
    <w:rsid w:val="00880792"/>
    <w:rsid w:val="00880831"/>
    <w:rsid w:val="00880833"/>
    <w:rsid w:val="00880980"/>
    <w:rsid w:val="00880A21"/>
    <w:rsid w:val="00880AEC"/>
    <w:rsid w:val="00880BEE"/>
    <w:rsid w:val="00880C4D"/>
    <w:rsid w:val="00880D46"/>
    <w:rsid w:val="00880D77"/>
    <w:rsid w:val="00880D9C"/>
    <w:rsid w:val="00880DF6"/>
    <w:rsid w:val="00880F2E"/>
    <w:rsid w:val="008810D6"/>
    <w:rsid w:val="00881102"/>
    <w:rsid w:val="008811C3"/>
    <w:rsid w:val="008812BC"/>
    <w:rsid w:val="00881323"/>
    <w:rsid w:val="0088133B"/>
    <w:rsid w:val="00881431"/>
    <w:rsid w:val="0088144F"/>
    <w:rsid w:val="008814B9"/>
    <w:rsid w:val="0088161B"/>
    <w:rsid w:val="008816C1"/>
    <w:rsid w:val="00881738"/>
    <w:rsid w:val="0088173D"/>
    <w:rsid w:val="00881794"/>
    <w:rsid w:val="008817DE"/>
    <w:rsid w:val="0088186A"/>
    <w:rsid w:val="008818AB"/>
    <w:rsid w:val="008818E3"/>
    <w:rsid w:val="0088194A"/>
    <w:rsid w:val="00881B15"/>
    <w:rsid w:val="00881B99"/>
    <w:rsid w:val="00881BE0"/>
    <w:rsid w:val="00881C71"/>
    <w:rsid w:val="00881C95"/>
    <w:rsid w:val="0088216E"/>
    <w:rsid w:val="0088235F"/>
    <w:rsid w:val="008824F8"/>
    <w:rsid w:val="00882511"/>
    <w:rsid w:val="00882528"/>
    <w:rsid w:val="0088255D"/>
    <w:rsid w:val="008826FA"/>
    <w:rsid w:val="00882812"/>
    <w:rsid w:val="00882887"/>
    <w:rsid w:val="00882924"/>
    <w:rsid w:val="00882A94"/>
    <w:rsid w:val="00882AC0"/>
    <w:rsid w:val="00882BAC"/>
    <w:rsid w:val="00882C8B"/>
    <w:rsid w:val="00882CFA"/>
    <w:rsid w:val="00882E53"/>
    <w:rsid w:val="00882F8F"/>
    <w:rsid w:val="008830F4"/>
    <w:rsid w:val="0088310C"/>
    <w:rsid w:val="0088313A"/>
    <w:rsid w:val="00883145"/>
    <w:rsid w:val="008831C0"/>
    <w:rsid w:val="0088323C"/>
    <w:rsid w:val="0088324D"/>
    <w:rsid w:val="00883252"/>
    <w:rsid w:val="008833E4"/>
    <w:rsid w:val="00883628"/>
    <w:rsid w:val="00883699"/>
    <w:rsid w:val="0088372B"/>
    <w:rsid w:val="008837AD"/>
    <w:rsid w:val="00883963"/>
    <w:rsid w:val="00883A30"/>
    <w:rsid w:val="00883A59"/>
    <w:rsid w:val="00883D27"/>
    <w:rsid w:val="00883DE2"/>
    <w:rsid w:val="00883FD3"/>
    <w:rsid w:val="00883FF0"/>
    <w:rsid w:val="00884047"/>
    <w:rsid w:val="008840F7"/>
    <w:rsid w:val="0088414C"/>
    <w:rsid w:val="00884162"/>
    <w:rsid w:val="00884363"/>
    <w:rsid w:val="008843A6"/>
    <w:rsid w:val="008843BD"/>
    <w:rsid w:val="008844F4"/>
    <w:rsid w:val="0088455B"/>
    <w:rsid w:val="00884676"/>
    <w:rsid w:val="008846EF"/>
    <w:rsid w:val="008846F2"/>
    <w:rsid w:val="00884921"/>
    <w:rsid w:val="0088497F"/>
    <w:rsid w:val="00884A2E"/>
    <w:rsid w:val="00884A75"/>
    <w:rsid w:val="00884ACA"/>
    <w:rsid w:val="00884B0F"/>
    <w:rsid w:val="00884BD2"/>
    <w:rsid w:val="00884C05"/>
    <w:rsid w:val="00884D0F"/>
    <w:rsid w:val="00884DE2"/>
    <w:rsid w:val="00884E13"/>
    <w:rsid w:val="00884E38"/>
    <w:rsid w:val="00884E40"/>
    <w:rsid w:val="00884E74"/>
    <w:rsid w:val="00884EA8"/>
    <w:rsid w:val="00884EAD"/>
    <w:rsid w:val="00884EC6"/>
    <w:rsid w:val="00884EF3"/>
    <w:rsid w:val="00884F9E"/>
    <w:rsid w:val="00885000"/>
    <w:rsid w:val="00885008"/>
    <w:rsid w:val="0088506B"/>
    <w:rsid w:val="0088508B"/>
    <w:rsid w:val="0088519D"/>
    <w:rsid w:val="008851DF"/>
    <w:rsid w:val="00885294"/>
    <w:rsid w:val="008852D6"/>
    <w:rsid w:val="00885655"/>
    <w:rsid w:val="0088567F"/>
    <w:rsid w:val="008857E5"/>
    <w:rsid w:val="008857F5"/>
    <w:rsid w:val="0088580B"/>
    <w:rsid w:val="008858A4"/>
    <w:rsid w:val="008858D0"/>
    <w:rsid w:val="008858E3"/>
    <w:rsid w:val="0088592D"/>
    <w:rsid w:val="00885AB4"/>
    <w:rsid w:val="00885B23"/>
    <w:rsid w:val="00885B45"/>
    <w:rsid w:val="00885C05"/>
    <w:rsid w:val="00885CC1"/>
    <w:rsid w:val="00885D91"/>
    <w:rsid w:val="00885DE8"/>
    <w:rsid w:val="00885F6C"/>
    <w:rsid w:val="0088603B"/>
    <w:rsid w:val="00886109"/>
    <w:rsid w:val="008862EE"/>
    <w:rsid w:val="00886314"/>
    <w:rsid w:val="00886335"/>
    <w:rsid w:val="00886417"/>
    <w:rsid w:val="00886531"/>
    <w:rsid w:val="008865AA"/>
    <w:rsid w:val="008865DF"/>
    <w:rsid w:val="00886697"/>
    <w:rsid w:val="008866E6"/>
    <w:rsid w:val="00886766"/>
    <w:rsid w:val="0088682D"/>
    <w:rsid w:val="0088698C"/>
    <w:rsid w:val="008869E5"/>
    <w:rsid w:val="00886A05"/>
    <w:rsid w:val="00886B0B"/>
    <w:rsid w:val="00886B84"/>
    <w:rsid w:val="00886C33"/>
    <w:rsid w:val="00886C9C"/>
    <w:rsid w:val="00886DF2"/>
    <w:rsid w:val="00886DFB"/>
    <w:rsid w:val="00886E4A"/>
    <w:rsid w:val="00887119"/>
    <w:rsid w:val="00887219"/>
    <w:rsid w:val="00887423"/>
    <w:rsid w:val="00887483"/>
    <w:rsid w:val="008874D2"/>
    <w:rsid w:val="00887570"/>
    <w:rsid w:val="008875FE"/>
    <w:rsid w:val="00887669"/>
    <w:rsid w:val="0088778D"/>
    <w:rsid w:val="00887871"/>
    <w:rsid w:val="008878CD"/>
    <w:rsid w:val="0088794F"/>
    <w:rsid w:val="008879F1"/>
    <w:rsid w:val="00887A6D"/>
    <w:rsid w:val="00887AA6"/>
    <w:rsid w:val="00887B07"/>
    <w:rsid w:val="00887B89"/>
    <w:rsid w:val="00887C52"/>
    <w:rsid w:val="00887D12"/>
    <w:rsid w:val="00887DC3"/>
    <w:rsid w:val="00887E2C"/>
    <w:rsid w:val="00887ED0"/>
    <w:rsid w:val="0089033E"/>
    <w:rsid w:val="0089036D"/>
    <w:rsid w:val="00890382"/>
    <w:rsid w:val="00890394"/>
    <w:rsid w:val="008906BF"/>
    <w:rsid w:val="008907E3"/>
    <w:rsid w:val="00890903"/>
    <w:rsid w:val="00890A8C"/>
    <w:rsid w:val="00890AC0"/>
    <w:rsid w:val="00890D65"/>
    <w:rsid w:val="00890DAC"/>
    <w:rsid w:val="00890DB9"/>
    <w:rsid w:val="00890F84"/>
    <w:rsid w:val="00890F8D"/>
    <w:rsid w:val="0089110D"/>
    <w:rsid w:val="00891220"/>
    <w:rsid w:val="0089122B"/>
    <w:rsid w:val="0089122E"/>
    <w:rsid w:val="00891426"/>
    <w:rsid w:val="00891454"/>
    <w:rsid w:val="00891510"/>
    <w:rsid w:val="00891599"/>
    <w:rsid w:val="00891716"/>
    <w:rsid w:val="0089174B"/>
    <w:rsid w:val="008917C1"/>
    <w:rsid w:val="00891892"/>
    <w:rsid w:val="00891AF1"/>
    <w:rsid w:val="00891B82"/>
    <w:rsid w:val="00891D10"/>
    <w:rsid w:val="00891E8B"/>
    <w:rsid w:val="00892194"/>
    <w:rsid w:val="00892397"/>
    <w:rsid w:val="0089241D"/>
    <w:rsid w:val="0089246E"/>
    <w:rsid w:val="008924B9"/>
    <w:rsid w:val="008927D0"/>
    <w:rsid w:val="008927E1"/>
    <w:rsid w:val="008928DA"/>
    <w:rsid w:val="0089290B"/>
    <w:rsid w:val="00892A19"/>
    <w:rsid w:val="00892C70"/>
    <w:rsid w:val="00892C9F"/>
    <w:rsid w:val="00892E05"/>
    <w:rsid w:val="00892E57"/>
    <w:rsid w:val="00892EAC"/>
    <w:rsid w:val="00892EC1"/>
    <w:rsid w:val="00893057"/>
    <w:rsid w:val="00893340"/>
    <w:rsid w:val="008933B4"/>
    <w:rsid w:val="00893480"/>
    <w:rsid w:val="00893520"/>
    <w:rsid w:val="00893549"/>
    <w:rsid w:val="00893587"/>
    <w:rsid w:val="0089371F"/>
    <w:rsid w:val="0089391E"/>
    <w:rsid w:val="00893A53"/>
    <w:rsid w:val="00893C01"/>
    <w:rsid w:val="00893E01"/>
    <w:rsid w:val="00893F66"/>
    <w:rsid w:val="00893F9A"/>
    <w:rsid w:val="00893FF3"/>
    <w:rsid w:val="0089407D"/>
    <w:rsid w:val="0089407F"/>
    <w:rsid w:val="008941B2"/>
    <w:rsid w:val="008942BA"/>
    <w:rsid w:val="008942E6"/>
    <w:rsid w:val="00894471"/>
    <w:rsid w:val="00894483"/>
    <w:rsid w:val="00894499"/>
    <w:rsid w:val="008944E8"/>
    <w:rsid w:val="0089451B"/>
    <w:rsid w:val="00894572"/>
    <w:rsid w:val="00894681"/>
    <w:rsid w:val="008947B0"/>
    <w:rsid w:val="00894821"/>
    <w:rsid w:val="0089485C"/>
    <w:rsid w:val="008949B7"/>
    <w:rsid w:val="008949F1"/>
    <w:rsid w:val="00894B5C"/>
    <w:rsid w:val="00894C9C"/>
    <w:rsid w:val="00894CCC"/>
    <w:rsid w:val="00894CF2"/>
    <w:rsid w:val="00894D4C"/>
    <w:rsid w:val="00894D8B"/>
    <w:rsid w:val="00894E6C"/>
    <w:rsid w:val="00894EBF"/>
    <w:rsid w:val="00894FF5"/>
    <w:rsid w:val="00894FF7"/>
    <w:rsid w:val="00895088"/>
    <w:rsid w:val="00895148"/>
    <w:rsid w:val="00895343"/>
    <w:rsid w:val="00895418"/>
    <w:rsid w:val="00895642"/>
    <w:rsid w:val="00895662"/>
    <w:rsid w:val="008956DC"/>
    <w:rsid w:val="00895722"/>
    <w:rsid w:val="00895728"/>
    <w:rsid w:val="00895810"/>
    <w:rsid w:val="0089589F"/>
    <w:rsid w:val="008958F9"/>
    <w:rsid w:val="00895937"/>
    <w:rsid w:val="00895B5A"/>
    <w:rsid w:val="00895CA7"/>
    <w:rsid w:val="00895D51"/>
    <w:rsid w:val="00895EB3"/>
    <w:rsid w:val="00895F57"/>
    <w:rsid w:val="0089606D"/>
    <w:rsid w:val="0089616D"/>
    <w:rsid w:val="008961E8"/>
    <w:rsid w:val="00896348"/>
    <w:rsid w:val="008963EB"/>
    <w:rsid w:val="008963EE"/>
    <w:rsid w:val="008964BB"/>
    <w:rsid w:val="00896516"/>
    <w:rsid w:val="00896600"/>
    <w:rsid w:val="00896686"/>
    <w:rsid w:val="008966A6"/>
    <w:rsid w:val="008966AB"/>
    <w:rsid w:val="0089670A"/>
    <w:rsid w:val="00896756"/>
    <w:rsid w:val="008967A8"/>
    <w:rsid w:val="008967F1"/>
    <w:rsid w:val="0089681C"/>
    <w:rsid w:val="00896856"/>
    <w:rsid w:val="008968DC"/>
    <w:rsid w:val="008968EC"/>
    <w:rsid w:val="00896900"/>
    <w:rsid w:val="00896917"/>
    <w:rsid w:val="00896A16"/>
    <w:rsid w:val="00896AF5"/>
    <w:rsid w:val="00896BC2"/>
    <w:rsid w:val="00896C69"/>
    <w:rsid w:val="00896D12"/>
    <w:rsid w:val="00896DBF"/>
    <w:rsid w:val="00896EA9"/>
    <w:rsid w:val="00896EDC"/>
    <w:rsid w:val="00896EF5"/>
    <w:rsid w:val="00896FF0"/>
    <w:rsid w:val="00897080"/>
    <w:rsid w:val="008971D1"/>
    <w:rsid w:val="0089736C"/>
    <w:rsid w:val="00897418"/>
    <w:rsid w:val="0089762F"/>
    <w:rsid w:val="00897654"/>
    <w:rsid w:val="008976D4"/>
    <w:rsid w:val="00897791"/>
    <w:rsid w:val="00897951"/>
    <w:rsid w:val="00897AED"/>
    <w:rsid w:val="00897F0B"/>
    <w:rsid w:val="00897F6D"/>
    <w:rsid w:val="008A02BD"/>
    <w:rsid w:val="008A02C6"/>
    <w:rsid w:val="008A02E6"/>
    <w:rsid w:val="008A03E1"/>
    <w:rsid w:val="008A04A2"/>
    <w:rsid w:val="008A050D"/>
    <w:rsid w:val="008A0537"/>
    <w:rsid w:val="008A05B3"/>
    <w:rsid w:val="008A06EF"/>
    <w:rsid w:val="008A0813"/>
    <w:rsid w:val="008A093D"/>
    <w:rsid w:val="008A095D"/>
    <w:rsid w:val="008A09DC"/>
    <w:rsid w:val="008A0AA6"/>
    <w:rsid w:val="008A0B78"/>
    <w:rsid w:val="008A0BD0"/>
    <w:rsid w:val="008A0DA7"/>
    <w:rsid w:val="008A0DCC"/>
    <w:rsid w:val="008A0EA5"/>
    <w:rsid w:val="008A0EBF"/>
    <w:rsid w:val="008A10B5"/>
    <w:rsid w:val="008A1198"/>
    <w:rsid w:val="008A11DE"/>
    <w:rsid w:val="008A11EE"/>
    <w:rsid w:val="008A12AC"/>
    <w:rsid w:val="008A12AF"/>
    <w:rsid w:val="008A140C"/>
    <w:rsid w:val="008A144B"/>
    <w:rsid w:val="008A1665"/>
    <w:rsid w:val="008A16F6"/>
    <w:rsid w:val="008A1730"/>
    <w:rsid w:val="008A1781"/>
    <w:rsid w:val="008A1A04"/>
    <w:rsid w:val="008A1ABC"/>
    <w:rsid w:val="008A1C57"/>
    <w:rsid w:val="008A1C96"/>
    <w:rsid w:val="008A1CCC"/>
    <w:rsid w:val="008A1CE1"/>
    <w:rsid w:val="008A1DCE"/>
    <w:rsid w:val="008A1EA8"/>
    <w:rsid w:val="008A20D0"/>
    <w:rsid w:val="008A21E3"/>
    <w:rsid w:val="008A2237"/>
    <w:rsid w:val="008A2267"/>
    <w:rsid w:val="008A231F"/>
    <w:rsid w:val="008A2473"/>
    <w:rsid w:val="008A24D4"/>
    <w:rsid w:val="008A2518"/>
    <w:rsid w:val="008A25A0"/>
    <w:rsid w:val="008A26AD"/>
    <w:rsid w:val="008A281D"/>
    <w:rsid w:val="008A29C1"/>
    <w:rsid w:val="008A2AE1"/>
    <w:rsid w:val="008A2B07"/>
    <w:rsid w:val="008A2B93"/>
    <w:rsid w:val="008A2BA2"/>
    <w:rsid w:val="008A2BB9"/>
    <w:rsid w:val="008A2C22"/>
    <w:rsid w:val="008A2DC3"/>
    <w:rsid w:val="008A2DD6"/>
    <w:rsid w:val="008A2EA0"/>
    <w:rsid w:val="008A2FB1"/>
    <w:rsid w:val="008A2FCF"/>
    <w:rsid w:val="008A3156"/>
    <w:rsid w:val="008A31EC"/>
    <w:rsid w:val="008A31F8"/>
    <w:rsid w:val="008A326F"/>
    <w:rsid w:val="008A327E"/>
    <w:rsid w:val="008A3451"/>
    <w:rsid w:val="008A34CE"/>
    <w:rsid w:val="008A359B"/>
    <w:rsid w:val="008A3624"/>
    <w:rsid w:val="008A3841"/>
    <w:rsid w:val="008A3A10"/>
    <w:rsid w:val="008A3A75"/>
    <w:rsid w:val="008A3AB7"/>
    <w:rsid w:val="008A3BA1"/>
    <w:rsid w:val="008A3C84"/>
    <w:rsid w:val="008A3D9D"/>
    <w:rsid w:val="008A3FAF"/>
    <w:rsid w:val="008A3FD3"/>
    <w:rsid w:val="008A40B1"/>
    <w:rsid w:val="008A410E"/>
    <w:rsid w:val="008A414C"/>
    <w:rsid w:val="008A41BC"/>
    <w:rsid w:val="008A425C"/>
    <w:rsid w:val="008A42BC"/>
    <w:rsid w:val="008A42C9"/>
    <w:rsid w:val="008A4308"/>
    <w:rsid w:val="008A475B"/>
    <w:rsid w:val="008A48B9"/>
    <w:rsid w:val="008A49C9"/>
    <w:rsid w:val="008A4A2B"/>
    <w:rsid w:val="008A4A2E"/>
    <w:rsid w:val="008A4A43"/>
    <w:rsid w:val="008A4C49"/>
    <w:rsid w:val="008A4C57"/>
    <w:rsid w:val="008A4CF0"/>
    <w:rsid w:val="008A4CF6"/>
    <w:rsid w:val="008A4CFA"/>
    <w:rsid w:val="008A4D18"/>
    <w:rsid w:val="008A4D3A"/>
    <w:rsid w:val="008A4E35"/>
    <w:rsid w:val="008A4ED4"/>
    <w:rsid w:val="008A4F4E"/>
    <w:rsid w:val="008A4F5F"/>
    <w:rsid w:val="008A50CF"/>
    <w:rsid w:val="008A5128"/>
    <w:rsid w:val="008A5252"/>
    <w:rsid w:val="008A525A"/>
    <w:rsid w:val="008A52D4"/>
    <w:rsid w:val="008A52FA"/>
    <w:rsid w:val="008A53F3"/>
    <w:rsid w:val="008A5546"/>
    <w:rsid w:val="008A5587"/>
    <w:rsid w:val="008A55D6"/>
    <w:rsid w:val="008A5721"/>
    <w:rsid w:val="008A575E"/>
    <w:rsid w:val="008A57C8"/>
    <w:rsid w:val="008A5889"/>
    <w:rsid w:val="008A58ED"/>
    <w:rsid w:val="008A5AAE"/>
    <w:rsid w:val="008A5B13"/>
    <w:rsid w:val="008A5D2A"/>
    <w:rsid w:val="008A5D66"/>
    <w:rsid w:val="008A5DBE"/>
    <w:rsid w:val="008A5F9A"/>
    <w:rsid w:val="008A5FC0"/>
    <w:rsid w:val="008A6150"/>
    <w:rsid w:val="008A625B"/>
    <w:rsid w:val="008A635D"/>
    <w:rsid w:val="008A63C4"/>
    <w:rsid w:val="008A6482"/>
    <w:rsid w:val="008A65F3"/>
    <w:rsid w:val="008A66BB"/>
    <w:rsid w:val="008A66C1"/>
    <w:rsid w:val="008A67DA"/>
    <w:rsid w:val="008A692D"/>
    <w:rsid w:val="008A6942"/>
    <w:rsid w:val="008A6B91"/>
    <w:rsid w:val="008A6BB0"/>
    <w:rsid w:val="008A6EF7"/>
    <w:rsid w:val="008A7021"/>
    <w:rsid w:val="008A7103"/>
    <w:rsid w:val="008A7236"/>
    <w:rsid w:val="008A74A7"/>
    <w:rsid w:val="008A7677"/>
    <w:rsid w:val="008A7681"/>
    <w:rsid w:val="008A76F3"/>
    <w:rsid w:val="008A773B"/>
    <w:rsid w:val="008A77B5"/>
    <w:rsid w:val="008A77BC"/>
    <w:rsid w:val="008A77D5"/>
    <w:rsid w:val="008A78D3"/>
    <w:rsid w:val="008A7909"/>
    <w:rsid w:val="008A7936"/>
    <w:rsid w:val="008A7A68"/>
    <w:rsid w:val="008A7BDF"/>
    <w:rsid w:val="008A7C7B"/>
    <w:rsid w:val="008A7CFE"/>
    <w:rsid w:val="008A7D34"/>
    <w:rsid w:val="008A7D89"/>
    <w:rsid w:val="008A7DC0"/>
    <w:rsid w:val="008A7DE0"/>
    <w:rsid w:val="008A7DF7"/>
    <w:rsid w:val="008A7E27"/>
    <w:rsid w:val="008A7F0B"/>
    <w:rsid w:val="008A7FF8"/>
    <w:rsid w:val="008B01C6"/>
    <w:rsid w:val="008B02DB"/>
    <w:rsid w:val="008B036B"/>
    <w:rsid w:val="008B0412"/>
    <w:rsid w:val="008B0554"/>
    <w:rsid w:val="008B0706"/>
    <w:rsid w:val="008B0914"/>
    <w:rsid w:val="008B094A"/>
    <w:rsid w:val="008B0AA5"/>
    <w:rsid w:val="008B0AD4"/>
    <w:rsid w:val="008B0B98"/>
    <w:rsid w:val="008B0CD9"/>
    <w:rsid w:val="008B0D49"/>
    <w:rsid w:val="008B0E0F"/>
    <w:rsid w:val="008B0E99"/>
    <w:rsid w:val="008B0FEE"/>
    <w:rsid w:val="008B109E"/>
    <w:rsid w:val="008B10A1"/>
    <w:rsid w:val="008B10CA"/>
    <w:rsid w:val="008B1112"/>
    <w:rsid w:val="008B12A9"/>
    <w:rsid w:val="008B1331"/>
    <w:rsid w:val="008B1362"/>
    <w:rsid w:val="008B13D0"/>
    <w:rsid w:val="008B1474"/>
    <w:rsid w:val="008B167D"/>
    <w:rsid w:val="008B168D"/>
    <w:rsid w:val="008B17BF"/>
    <w:rsid w:val="008B1976"/>
    <w:rsid w:val="008B1A31"/>
    <w:rsid w:val="008B1A58"/>
    <w:rsid w:val="008B1B1A"/>
    <w:rsid w:val="008B1DD3"/>
    <w:rsid w:val="008B1FC8"/>
    <w:rsid w:val="008B2007"/>
    <w:rsid w:val="008B2090"/>
    <w:rsid w:val="008B2096"/>
    <w:rsid w:val="008B217A"/>
    <w:rsid w:val="008B2233"/>
    <w:rsid w:val="008B2341"/>
    <w:rsid w:val="008B244B"/>
    <w:rsid w:val="008B250E"/>
    <w:rsid w:val="008B260A"/>
    <w:rsid w:val="008B265E"/>
    <w:rsid w:val="008B2680"/>
    <w:rsid w:val="008B270A"/>
    <w:rsid w:val="008B2858"/>
    <w:rsid w:val="008B298B"/>
    <w:rsid w:val="008B2990"/>
    <w:rsid w:val="008B2AC2"/>
    <w:rsid w:val="008B2B50"/>
    <w:rsid w:val="008B2BA1"/>
    <w:rsid w:val="008B2CC4"/>
    <w:rsid w:val="008B2D10"/>
    <w:rsid w:val="008B2DA7"/>
    <w:rsid w:val="008B2DCB"/>
    <w:rsid w:val="008B2EF3"/>
    <w:rsid w:val="008B2F00"/>
    <w:rsid w:val="008B2FA2"/>
    <w:rsid w:val="008B301D"/>
    <w:rsid w:val="008B3079"/>
    <w:rsid w:val="008B3084"/>
    <w:rsid w:val="008B3198"/>
    <w:rsid w:val="008B324A"/>
    <w:rsid w:val="008B3292"/>
    <w:rsid w:val="008B32BD"/>
    <w:rsid w:val="008B32D7"/>
    <w:rsid w:val="008B3350"/>
    <w:rsid w:val="008B33C0"/>
    <w:rsid w:val="008B345A"/>
    <w:rsid w:val="008B3498"/>
    <w:rsid w:val="008B38A3"/>
    <w:rsid w:val="008B38A7"/>
    <w:rsid w:val="008B38E2"/>
    <w:rsid w:val="008B3CFD"/>
    <w:rsid w:val="008B3D99"/>
    <w:rsid w:val="008B402A"/>
    <w:rsid w:val="008B4052"/>
    <w:rsid w:val="008B41F6"/>
    <w:rsid w:val="008B425E"/>
    <w:rsid w:val="008B438E"/>
    <w:rsid w:val="008B43AA"/>
    <w:rsid w:val="008B4512"/>
    <w:rsid w:val="008B4636"/>
    <w:rsid w:val="008B47DE"/>
    <w:rsid w:val="008B4937"/>
    <w:rsid w:val="008B4A3D"/>
    <w:rsid w:val="008B4A60"/>
    <w:rsid w:val="008B4AD9"/>
    <w:rsid w:val="008B4BD4"/>
    <w:rsid w:val="008B4C53"/>
    <w:rsid w:val="008B4C55"/>
    <w:rsid w:val="008B4D4C"/>
    <w:rsid w:val="008B4DC7"/>
    <w:rsid w:val="008B4FD4"/>
    <w:rsid w:val="008B5007"/>
    <w:rsid w:val="008B511D"/>
    <w:rsid w:val="008B5191"/>
    <w:rsid w:val="008B52EA"/>
    <w:rsid w:val="008B5420"/>
    <w:rsid w:val="008B545E"/>
    <w:rsid w:val="008B5481"/>
    <w:rsid w:val="008B5591"/>
    <w:rsid w:val="008B5601"/>
    <w:rsid w:val="008B574B"/>
    <w:rsid w:val="008B57DF"/>
    <w:rsid w:val="008B58C3"/>
    <w:rsid w:val="008B58D1"/>
    <w:rsid w:val="008B5A31"/>
    <w:rsid w:val="008B5A9A"/>
    <w:rsid w:val="008B5A9F"/>
    <w:rsid w:val="008B5AF4"/>
    <w:rsid w:val="008B5B0F"/>
    <w:rsid w:val="008B5B3A"/>
    <w:rsid w:val="008B5B6D"/>
    <w:rsid w:val="008B5BA8"/>
    <w:rsid w:val="008B5BE7"/>
    <w:rsid w:val="008B5D00"/>
    <w:rsid w:val="008B5E1B"/>
    <w:rsid w:val="008B5F00"/>
    <w:rsid w:val="008B5F06"/>
    <w:rsid w:val="008B5F87"/>
    <w:rsid w:val="008B60AB"/>
    <w:rsid w:val="008B60FC"/>
    <w:rsid w:val="008B6260"/>
    <w:rsid w:val="008B630E"/>
    <w:rsid w:val="008B6358"/>
    <w:rsid w:val="008B6373"/>
    <w:rsid w:val="008B63A7"/>
    <w:rsid w:val="008B6522"/>
    <w:rsid w:val="008B65AB"/>
    <w:rsid w:val="008B65D8"/>
    <w:rsid w:val="008B6644"/>
    <w:rsid w:val="008B6673"/>
    <w:rsid w:val="008B66B6"/>
    <w:rsid w:val="008B66DC"/>
    <w:rsid w:val="008B6909"/>
    <w:rsid w:val="008B6B38"/>
    <w:rsid w:val="008B6C20"/>
    <w:rsid w:val="008B6CD1"/>
    <w:rsid w:val="008B6CF8"/>
    <w:rsid w:val="008B6ECB"/>
    <w:rsid w:val="008B6F68"/>
    <w:rsid w:val="008B7026"/>
    <w:rsid w:val="008B706B"/>
    <w:rsid w:val="008B709C"/>
    <w:rsid w:val="008B70A2"/>
    <w:rsid w:val="008B73AD"/>
    <w:rsid w:val="008B747B"/>
    <w:rsid w:val="008B7498"/>
    <w:rsid w:val="008B7557"/>
    <w:rsid w:val="008B78EF"/>
    <w:rsid w:val="008B791C"/>
    <w:rsid w:val="008B7A5A"/>
    <w:rsid w:val="008B7A96"/>
    <w:rsid w:val="008B7AD6"/>
    <w:rsid w:val="008B7B7A"/>
    <w:rsid w:val="008B7BBF"/>
    <w:rsid w:val="008B7D69"/>
    <w:rsid w:val="008B7E89"/>
    <w:rsid w:val="008B7EB7"/>
    <w:rsid w:val="008B7F19"/>
    <w:rsid w:val="008C0039"/>
    <w:rsid w:val="008C00A7"/>
    <w:rsid w:val="008C013D"/>
    <w:rsid w:val="008C0167"/>
    <w:rsid w:val="008C0283"/>
    <w:rsid w:val="008C05D6"/>
    <w:rsid w:val="008C0700"/>
    <w:rsid w:val="008C0707"/>
    <w:rsid w:val="008C0898"/>
    <w:rsid w:val="008C09DB"/>
    <w:rsid w:val="008C09F2"/>
    <w:rsid w:val="008C0AAE"/>
    <w:rsid w:val="008C0B61"/>
    <w:rsid w:val="008C0C41"/>
    <w:rsid w:val="008C0C56"/>
    <w:rsid w:val="008C0C81"/>
    <w:rsid w:val="008C0D27"/>
    <w:rsid w:val="008C0E94"/>
    <w:rsid w:val="008C0F59"/>
    <w:rsid w:val="008C109D"/>
    <w:rsid w:val="008C10B5"/>
    <w:rsid w:val="008C131D"/>
    <w:rsid w:val="008C1398"/>
    <w:rsid w:val="008C1570"/>
    <w:rsid w:val="008C1571"/>
    <w:rsid w:val="008C18C9"/>
    <w:rsid w:val="008C18FD"/>
    <w:rsid w:val="008C1B10"/>
    <w:rsid w:val="008C1BC4"/>
    <w:rsid w:val="008C1C32"/>
    <w:rsid w:val="008C1C53"/>
    <w:rsid w:val="008C1C85"/>
    <w:rsid w:val="008C1CCB"/>
    <w:rsid w:val="008C1D45"/>
    <w:rsid w:val="008C1D85"/>
    <w:rsid w:val="008C1EE0"/>
    <w:rsid w:val="008C2080"/>
    <w:rsid w:val="008C2382"/>
    <w:rsid w:val="008C24D7"/>
    <w:rsid w:val="008C280B"/>
    <w:rsid w:val="008C280D"/>
    <w:rsid w:val="008C28A1"/>
    <w:rsid w:val="008C28A5"/>
    <w:rsid w:val="008C296E"/>
    <w:rsid w:val="008C2A0E"/>
    <w:rsid w:val="008C2A8F"/>
    <w:rsid w:val="008C2A90"/>
    <w:rsid w:val="008C2B89"/>
    <w:rsid w:val="008C2C2B"/>
    <w:rsid w:val="008C2C30"/>
    <w:rsid w:val="008C2C4C"/>
    <w:rsid w:val="008C2C53"/>
    <w:rsid w:val="008C2CC6"/>
    <w:rsid w:val="008C2D4B"/>
    <w:rsid w:val="008C2D81"/>
    <w:rsid w:val="008C2DF2"/>
    <w:rsid w:val="008C2E00"/>
    <w:rsid w:val="008C2ED7"/>
    <w:rsid w:val="008C2EFF"/>
    <w:rsid w:val="008C2F04"/>
    <w:rsid w:val="008C30F2"/>
    <w:rsid w:val="008C319E"/>
    <w:rsid w:val="008C33E9"/>
    <w:rsid w:val="008C3508"/>
    <w:rsid w:val="008C3622"/>
    <w:rsid w:val="008C37DA"/>
    <w:rsid w:val="008C37DB"/>
    <w:rsid w:val="008C37EB"/>
    <w:rsid w:val="008C3925"/>
    <w:rsid w:val="008C3A17"/>
    <w:rsid w:val="008C3A73"/>
    <w:rsid w:val="008C3BA5"/>
    <w:rsid w:val="008C3BAA"/>
    <w:rsid w:val="008C3BF0"/>
    <w:rsid w:val="008C3C3C"/>
    <w:rsid w:val="008C3D26"/>
    <w:rsid w:val="008C3E4C"/>
    <w:rsid w:val="008C3FB7"/>
    <w:rsid w:val="008C4395"/>
    <w:rsid w:val="008C4479"/>
    <w:rsid w:val="008C459C"/>
    <w:rsid w:val="008C469A"/>
    <w:rsid w:val="008C469E"/>
    <w:rsid w:val="008C4709"/>
    <w:rsid w:val="008C475A"/>
    <w:rsid w:val="008C47BD"/>
    <w:rsid w:val="008C4912"/>
    <w:rsid w:val="008C4954"/>
    <w:rsid w:val="008C49A7"/>
    <w:rsid w:val="008C49D6"/>
    <w:rsid w:val="008C49E0"/>
    <w:rsid w:val="008C4B8F"/>
    <w:rsid w:val="008C4BBA"/>
    <w:rsid w:val="008C4BE1"/>
    <w:rsid w:val="008C4BFC"/>
    <w:rsid w:val="008C4D8B"/>
    <w:rsid w:val="008C4E01"/>
    <w:rsid w:val="008C4F1D"/>
    <w:rsid w:val="008C524D"/>
    <w:rsid w:val="008C5308"/>
    <w:rsid w:val="008C5457"/>
    <w:rsid w:val="008C5502"/>
    <w:rsid w:val="008C5515"/>
    <w:rsid w:val="008C5634"/>
    <w:rsid w:val="008C563B"/>
    <w:rsid w:val="008C570B"/>
    <w:rsid w:val="008C5783"/>
    <w:rsid w:val="008C57CE"/>
    <w:rsid w:val="008C58AC"/>
    <w:rsid w:val="008C592D"/>
    <w:rsid w:val="008C5960"/>
    <w:rsid w:val="008C596B"/>
    <w:rsid w:val="008C5A55"/>
    <w:rsid w:val="008C5B1A"/>
    <w:rsid w:val="008C5B65"/>
    <w:rsid w:val="008C5B69"/>
    <w:rsid w:val="008C5C3B"/>
    <w:rsid w:val="008C5D20"/>
    <w:rsid w:val="008C5D2C"/>
    <w:rsid w:val="008C5DB7"/>
    <w:rsid w:val="008C5EC6"/>
    <w:rsid w:val="008C5EE4"/>
    <w:rsid w:val="008C5F4B"/>
    <w:rsid w:val="008C6029"/>
    <w:rsid w:val="008C602A"/>
    <w:rsid w:val="008C608B"/>
    <w:rsid w:val="008C608F"/>
    <w:rsid w:val="008C60D4"/>
    <w:rsid w:val="008C6184"/>
    <w:rsid w:val="008C63A6"/>
    <w:rsid w:val="008C63BE"/>
    <w:rsid w:val="008C6565"/>
    <w:rsid w:val="008C6663"/>
    <w:rsid w:val="008C6677"/>
    <w:rsid w:val="008C66C4"/>
    <w:rsid w:val="008C693A"/>
    <w:rsid w:val="008C6967"/>
    <w:rsid w:val="008C6976"/>
    <w:rsid w:val="008C6AF8"/>
    <w:rsid w:val="008C6B05"/>
    <w:rsid w:val="008C6B3B"/>
    <w:rsid w:val="008C6BDC"/>
    <w:rsid w:val="008C6C58"/>
    <w:rsid w:val="008C6C62"/>
    <w:rsid w:val="008C6D7C"/>
    <w:rsid w:val="008C6EAE"/>
    <w:rsid w:val="008C7124"/>
    <w:rsid w:val="008C71D6"/>
    <w:rsid w:val="008C7223"/>
    <w:rsid w:val="008C72EC"/>
    <w:rsid w:val="008C7537"/>
    <w:rsid w:val="008C75FC"/>
    <w:rsid w:val="008C7740"/>
    <w:rsid w:val="008C779C"/>
    <w:rsid w:val="008C78F7"/>
    <w:rsid w:val="008C7AC5"/>
    <w:rsid w:val="008C7BB5"/>
    <w:rsid w:val="008C7C4A"/>
    <w:rsid w:val="008C7DBB"/>
    <w:rsid w:val="008C7DEC"/>
    <w:rsid w:val="008C7F34"/>
    <w:rsid w:val="008C7FFD"/>
    <w:rsid w:val="008D001E"/>
    <w:rsid w:val="008D0076"/>
    <w:rsid w:val="008D01E4"/>
    <w:rsid w:val="008D0291"/>
    <w:rsid w:val="008D03D5"/>
    <w:rsid w:val="008D049E"/>
    <w:rsid w:val="008D05FF"/>
    <w:rsid w:val="008D0673"/>
    <w:rsid w:val="008D087A"/>
    <w:rsid w:val="008D08BE"/>
    <w:rsid w:val="008D09B0"/>
    <w:rsid w:val="008D09B7"/>
    <w:rsid w:val="008D0A06"/>
    <w:rsid w:val="008D0A26"/>
    <w:rsid w:val="008D0A67"/>
    <w:rsid w:val="008D0AF4"/>
    <w:rsid w:val="008D0B55"/>
    <w:rsid w:val="008D0BF3"/>
    <w:rsid w:val="008D0E4D"/>
    <w:rsid w:val="008D0E72"/>
    <w:rsid w:val="008D109E"/>
    <w:rsid w:val="008D11F3"/>
    <w:rsid w:val="008D12F5"/>
    <w:rsid w:val="008D1314"/>
    <w:rsid w:val="008D1325"/>
    <w:rsid w:val="008D15D1"/>
    <w:rsid w:val="008D1615"/>
    <w:rsid w:val="008D16B3"/>
    <w:rsid w:val="008D16D3"/>
    <w:rsid w:val="008D1701"/>
    <w:rsid w:val="008D17DE"/>
    <w:rsid w:val="008D1808"/>
    <w:rsid w:val="008D19C0"/>
    <w:rsid w:val="008D1A4F"/>
    <w:rsid w:val="008D1ABC"/>
    <w:rsid w:val="008D1B09"/>
    <w:rsid w:val="008D1BD9"/>
    <w:rsid w:val="008D1EE1"/>
    <w:rsid w:val="008D21F0"/>
    <w:rsid w:val="008D2224"/>
    <w:rsid w:val="008D237E"/>
    <w:rsid w:val="008D23F9"/>
    <w:rsid w:val="008D24A6"/>
    <w:rsid w:val="008D2559"/>
    <w:rsid w:val="008D257D"/>
    <w:rsid w:val="008D2634"/>
    <w:rsid w:val="008D26C6"/>
    <w:rsid w:val="008D2740"/>
    <w:rsid w:val="008D27F2"/>
    <w:rsid w:val="008D286E"/>
    <w:rsid w:val="008D2897"/>
    <w:rsid w:val="008D28AA"/>
    <w:rsid w:val="008D294A"/>
    <w:rsid w:val="008D29B1"/>
    <w:rsid w:val="008D2A3C"/>
    <w:rsid w:val="008D2A9D"/>
    <w:rsid w:val="008D2BCD"/>
    <w:rsid w:val="008D2C19"/>
    <w:rsid w:val="008D2CDF"/>
    <w:rsid w:val="008D2CED"/>
    <w:rsid w:val="008D2D67"/>
    <w:rsid w:val="008D309A"/>
    <w:rsid w:val="008D327B"/>
    <w:rsid w:val="008D32C7"/>
    <w:rsid w:val="008D3339"/>
    <w:rsid w:val="008D334A"/>
    <w:rsid w:val="008D3433"/>
    <w:rsid w:val="008D34AD"/>
    <w:rsid w:val="008D3543"/>
    <w:rsid w:val="008D39F2"/>
    <w:rsid w:val="008D3A06"/>
    <w:rsid w:val="008D3B80"/>
    <w:rsid w:val="008D3BA0"/>
    <w:rsid w:val="008D3BBA"/>
    <w:rsid w:val="008D3C19"/>
    <w:rsid w:val="008D3DE7"/>
    <w:rsid w:val="008D3DFA"/>
    <w:rsid w:val="008D3E6F"/>
    <w:rsid w:val="008D3E8B"/>
    <w:rsid w:val="008D3FC2"/>
    <w:rsid w:val="008D3FCC"/>
    <w:rsid w:val="008D3FD8"/>
    <w:rsid w:val="008D405A"/>
    <w:rsid w:val="008D421E"/>
    <w:rsid w:val="008D4293"/>
    <w:rsid w:val="008D4326"/>
    <w:rsid w:val="008D43F8"/>
    <w:rsid w:val="008D440D"/>
    <w:rsid w:val="008D442A"/>
    <w:rsid w:val="008D4483"/>
    <w:rsid w:val="008D450A"/>
    <w:rsid w:val="008D4683"/>
    <w:rsid w:val="008D47E4"/>
    <w:rsid w:val="008D482E"/>
    <w:rsid w:val="008D4975"/>
    <w:rsid w:val="008D4C11"/>
    <w:rsid w:val="008D4E24"/>
    <w:rsid w:val="008D4E4A"/>
    <w:rsid w:val="008D4E5C"/>
    <w:rsid w:val="008D4E77"/>
    <w:rsid w:val="008D5137"/>
    <w:rsid w:val="008D52CD"/>
    <w:rsid w:val="008D5393"/>
    <w:rsid w:val="008D542C"/>
    <w:rsid w:val="008D5441"/>
    <w:rsid w:val="008D5585"/>
    <w:rsid w:val="008D55A1"/>
    <w:rsid w:val="008D5652"/>
    <w:rsid w:val="008D5962"/>
    <w:rsid w:val="008D5A04"/>
    <w:rsid w:val="008D5ADB"/>
    <w:rsid w:val="008D5BA5"/>
    <w:rsid w:val="008D5E49"/>
    <w:rsid w:val="008D5ED5"/>
    <w:rsid w:val="008D5EFC"/>
    <w:rsid w:val="008D5F29"/>
    <w:rsid w:val="008D5FA7"/>
    <w:rsid w:val="008D5FD0"/>
    <w:rsid w:val="008D605F"/>
    <w:rsid w:val="008D612D"/>
    <w:rsid w:val="008D6151"/>
    <w:rsid w:val="008D61C7"/>
    <w:rsid w:val="008D6213"/>
    <w:rsid w:val="008D623D"/>
    <w:rsid w:val="008D62C4"/>
    <w:rsid w:val="008D6307"/>
    <w:rsid w:val="008D6334"/>
    <w:rsid w:val="008D635A"/>
    <w:rsid w:val="008D647C"/>
    <w:rsid w:val="008D66A9"/>
    <w:rsid w:val="008D67EE"/>
    <w:rsid w:val="008D68E7"/>
    <w:rsid w:val="008D68F6"/>
    <w:rsid w:val="008D68F9"/>
    <w:rsid w:val="008D6D33"/>
    <w:rsid w:val="008D6D63"/>
    <w:rsid w:val="008D6EA1"/>
    <w:rsid w:val="008D6F76"/>
    <w:rsid w:val="008D7003"/>
    <w:rsid w:val="008D7066"/>
    <w:rsid w:val="008D716A"/>
    <w:rsid w:val="008D71AC"/>
    <w:rsid w:val="008D71AE"/>
    <w:rsid w:val="008D7234"/>
    <w:rsid w:val="008D73E4"/>
    <w:rsid w:val="008D748C"/>
    <w:rsid w:val="008D7498"/>
    <w:rsid w:val="008D7546"/>
    <w:rsid w:val="008D762C"/>
    <w:rsid w:val="008D766F"/>
    <w:rsid w:val="008D76A1"/>
    <w:rsid w:val="008D7736"/>
    <w:rsid w:val="008D773F"/>
    <w:rsid w:val="008D7894"/>
    <w:rsid w:val="008D79AC"/>
    <w:rsid w:val="008D79C4"/>
    <w:rsid w:val="008D79DB"/>
    <w:rsid w:val="008D7D1D"/>
    <w:rsid w:val="008D7DBC"/>
    <w:rsid w:val="008D7EA8"/>
    <w:rsid w:val="008D7F0F"/>
    <w:rsid w:val="008E0124"/>
    <w:rsid w:val="008E013B"/>
    <w:rsid w:val="008E0265"/>
    <w:rsid w:val="008E0512"/>
    <w:rsid w:val="008E0515"/>
    <w:rsid w:val="008E058B"/>
    <w:rsid w:val="008E0750"/>
    <w:rsid w:val="008E0811"/>
    <w:rsid w:val="008E0A06"/>
    <w:rsid w:val="008E0B08"/>
    <w:rsid w:val="008E0B2F"/>
    <w:rsid w:val="008E0B43"/>
    <w:rsid w:val="008E0C8C"/>
    <w:rsid w:val="008E0CAE"/>
    <w:rsid w:val="008E0D72"/>
    <w:rsid w:val="008E0EC7"/>
    <w:rsid w:val="008E0F1E"/>
    <w:rsid w:val="008E0F7D"/>
    <w:rsid w:val="008E1029"/>
    <w:rsid w:val="008E109F"/>
    <w:rsid w:val="008E116F"/>
    <w:rsid w:val="008E1283"/>
    <w:rsid w:val="008E12EF"/>
    <w:rsid w:val="008E1415"/>
    <w:rsid w:val="008E14E9"/>
    <w:rsid w:val="008E15B6"/>
    <w:rsid w:val="008E1741"/>
    <w:rsid w:val="008E17A3"/>
    <w:rsid w:val="008E17CF"/>
    <w:rsid w:val="008E185A"/>
    <w:rsid w:val="008E1869"/>
    <w:rsid w:val="008E18D2"/>
    <w:rsid w:val="008E191F"/>
    <w:rsid w:val="008E19E5"/>
    <w:rsid w:val="008E1A09"/>
    <w:rsid w:val="008E1A63"/>
    <w:rsid w:val="008E1A6B"/>
    <w:rsid w:val="008E1B14"/>
    <w:rsid w:val="008E1BB3"/>
    <w:rsid w:val="008E1D13"/>
    <w:rsid w:val="008E1E64"/>
    <w:rsid w:val="008E1FBA"/>
    <w:rsid w:val="008E2042"/>
    <w:rsid w:val="008E2066"/>
    <w:rsid w:val="008E206F"/>
    <w:rsid w:val="008E20B1"/>
    <w:rsid w:val="008E217E"/>
    <w:rsid w:val="008E223C"/>
    <w:rsid w:val="008E2281"/>
    <w:rsid w:val="008E229B"/>
    <w:rsid w:val="008E22FD"/>
    <w:rsid w:val="008E2408"/>
    <w:rsid w:val="008E25D1"/>
    <w:rsid w:val="008E2780"/>
    <w:rsid w:val="008E279D"/>
    <w:rsid w:val="008E27F9"/>
    <w:rsid w:val="008E2830"/>
    <w:rsid w:val="008E2840"/>
    <w:rsid w:val="008E28E5"/>
    <w:rsid w:val="008E294E"/>
    <w:rsid w:val="008E2972"/>
    <w:rsid w:val="008E29D1"/>
    <w:rsid w:val="008E2C4E"/>
    <w:rsid w:val="008E2D0F"/>
    <w:rsid w:val="008E2D23"/>
    <w:rsid w:val="008E2F33"/>
    <w:rsid w:val="008E2FF4"/>
    <w:rsid w:val="008E30E0"/>
    <w:rsid w:val="008E30ED"/>
    <w:rsid w:val="008E315A"/>
    <w:rsid w:val="008E32FD"/>
    <w:rsid w:val="008E3435"/>
    <w:rsid w:val="008E34A4"/>
    <w:rsid w:val="008E34AB"/>
    <w:rsid w:val="008E357C"/>
    <w:rsid w:val="008E35DA"/>
    <w:rsid w:val="008E3689"/>
    <w:rsid w:val="008E38F7"/>
    <w:rsid w:val="008E3956"/>
    <w:rsid w:val="008E3991"/>
    <w:rsid w:val="008E3A28"/>
    <w:rsid w:val="008E3A60"/>
    <w:rsid w:val="008E3AE3"/>
    <w:rsid w:val="008E3B7A"/>
    <w:rsid w:val="008E3C1B"/>
    <w:rsid w:val="008E3C1C"/>
    <w:rsid w:val="008E3CEF"/>
    <w:rsid w:val="008E3D29"/>
    <w:rsid w:val="008E3E40"/>
    <w:rsid w:val="008E3F41"/>
    <w:rsid w:val="008E3F55"/>
    <w:rsid w:val="008E41C1"/>
    <w:rsid w:val="008E41F6"/>
    <w:rsid w:val="008E423B"/>
    <w:rsid w:val="008E424C"/>
    <w:rsid w:val="008E4274"/>
    <w:rsid w:val="008E4425"/>
    <w:rsid w:val="008E4547"/>
    <w:rsid w:val="008E4596"/>
    <w:rsid w:val="008E45B6"/>
    <w:rsid w:val="008E4666"/>
    <w:rsid w:val="008E473B"/>
    <w:rsid w:val="008E489A"/>
    <w:rsid w:val="008E48BF"/>
    <w:rsid w:val="008E4968"/>
    <w:rsid w:val="008E49C6"/>
    <w:rsid w:val="008E4A9C"/>
    <w:rsid w:val="008E4ACA"/>
    <w:rsid w:val="008E4C0C"/>
    <w:rsid w:val="008E4D0E"/>
    <w:rsid w:val="008E4D88"/>
    <w:rsid w:val="008E4DA6"/>
    <w:rsid w:val="008E4DBD"/>
    <w:rsid w:val="008E51B5"/>
    <w:rsid w:val="008E51CD"/>
    <w:rsid w:val="008E51E3"/>
    <w:rsid w:val="008E51FF"/>
    <w:rsid w:val="008E526D"/>
    <w:rsid w:val="008E530A"/>
    <w:rsid w:val="008E548F"/>
    <w:rsid w:val="008E54E6"/>
    <w:rsid w:val="008E551E"/>
    <w:rsid w:val="008E5558"/>
    <w:rsid w:val="008E5748"/>
    <w:rsid w:val="008E578C"/>
    <w:rsid w:val="008E5800"/>
    <w:rsid w:val="008E58A0"/>
    <w:rsid w:val="008E58FA"/>
    <w:rsid w:val="008E590E"/>
    <w:rsid w:val="008E5A58"/>
    <w:rsid w:val="008E5CC4"/>
    <w:rsid w:val="008E5CCB"/>
    <w:rsid w:val="008E5CDD"/>
    <w:rsid w:val="008E5D88"/>
    <w:rsid w:val="008E5EEB"/>
    <w:rsid w:val="008E6050"/>
    <w:rsid w:val="008E6195"/>
    <w:rsid w:val="008E61E4"/>
    <w:rsid w:val="008E6537"/>
    <w:rsid w:val="008E65AD"/>
    <w:rsid w:val="008E6658"/>
    <w:rsid w:val="008E693D"/>
    <w:rsid w:val="008E6C26"/>
    <w:rsid w:val="008E6C50"/>
    <w:rsid w:val="008E6C85"/>
    <w:rsid w:val="008E6D02"/>
    <w:rsid w:val="008E72C1"/>
    <w:rsid w:val="008E7361"/>
    <w:rsid w:val="008E73C4"/>
    <w:rsid w:val="008E75FE"/>
    <w:rsid w:val="008E790F"/>
    <w:rsid w:val="008E7AE4"/>
    <w:rsid w:val="008E7B58"/>
    <w:rsid w:val="008E7B6E"/>
    <w:rsid w:val="008E7C15"/>
    <w:rsid w:val="008E7D8F"/>
    <w:rsid w:val="008E7E07"/>
    <w:rsid w:val="008E7F30"/>
    <w:rsid w:val="008E7FA0"/>
    <w:rsid w:val="008E7FD2"/>
    <w:rsid w:val="008F00BD"/>
    <w:rsid w:val="008F0114"/>
    <w:rsid w:val="008F0147"/>
    <w:rsid w:val="008F01BE"/>
    <w:rsid w:val="008F025C"/>
    <w:rsid w:val="008F025D"/>
    <w:rsid w:val="008F0439"/>
    <w:rsid w:val="008F069D"/>
    <w:rsid w:val="008F0922"/>
    <w:rsid w:val="008F09C6"/>
    <w:rsid w:val="008F0BB2"/>
    <w:rsid w:val="008F0C44"/>
    <w:rsid w:val="008F0CBF"/>
    <w:rsid w:val="008F0D6A"/>
    <w:rsid w:val="008F0DCC"/>
    <w:rsid w:val="008F1037"/>
    <w:rsid w:val="008F1043"/>
    <w:rsid w:val="008F1093"/>
    <w:rsid w:val="008F10A7"/>
    <w:rsid w:val="008F12D2"/>
    <w:rsid w:val="008F166A"/>
    <w:rsid w:val="008F16BD"/>
    <w:rsid w:val="008F1752"/>
    <w:rsid w:val="008F1967"/>
    <w:rsid w:val="008F1A3F"/>
    <w:rsid w:val="008F1A9E"/>
    <w:rsid w:val="008F1AB5"/>
    <w:rsid w:val="008F1AF7"/>
    <w:rsid w:val="008F1C25"/>
    <w:rsid w:val="008F1C44"/>
    <w:rsid w:val="008F1C82"/>
    <w:rsid w:val="008F1F84"/>
    <w:rsid w:val="008F1FBC"/>
    <w:rsid w:val="008F202E"/>
    <w:rsid w:val="008F2039"/>
    <w:rsid w:val="008F203E"/>
    <w:rsid w:val="008F210D"/>
    <w:rsid w:val="008F21DD"/>
    <w:rsid w:val="008F2273"/>
    <w:rsid w:val="008F22BA"/>
    <w:rsid w:val="008F22FC"/>
    <w:rsid w:val="008F247D"/>
    <w:rsid w:val="008F24C7"/>
    <w:rsid w:val="008F2517"/>
    <w:rsid w:val="008F25D2"/>
    <w:rsid w:val="008F264C"/>
    <w:rsid w:val="008F2674"/>
    <w:rsid w:val="008F2694"/>
    <w:rsid w:val="008F2742"/>
    <w:rsid w:val="008F2800"/>
    <w:rsid w:val="008F2997"/>
    <w:rsid w:val="008F29D7"/>
    <w:rsid w:val="008F2B33"/>
    <w:rsid w:val="008F2B4E"/>
    <w:rsid w:val="008F2D4B"/>
    <w:rsid w:val="008F2D74"/>
    <w:rsid w:val="008F2D94"/>
    <w:rsid w:val="008F2DC1"/>
    <w:rsid w:val="008F2DDD"/>
    <w:rsid w:val="008F2E2A"/>
    <w:rsid w:val="008F2E49"/>
    <w:rsid w:val="008F2E64"/>
    <w:rsid w:val="008F2E79"/>
    <w:rsid w:val="008F30F9"/>
    <w:rsid w:val="008F31F1"/>
    <w:rsid w:val="008F321A"/>
    <w:rsid w:val="008F33A6"/>
    <w:rsid w:val="008F35D8"/>
    <w:rsid w:val="008F35E8"/>
    <w:rsid w:val="008F3757"/>
    <w:rsid w:val="008F3783"/>
    <w:rsid w:val="008F37A7"/>
    <w:rsid w:val="008F382B"/>
    <w:rsid w:val="008F3966"/>
    <w:rsid w:val="008F398D"/>
    <w:rsid w:val="008F39B5"/>
    <w:rsid w:val="008F3AE4"/>
    <w:rsid w:val="008F3B78"/>
    <w:rsid w:val="008F3BC5"/>
    <w:rsid w:val="008F3BE6"/>
    <w:rsid w:val="008F3BF1"/>
    <w:rsid w:val="008F3CFB"/>
    <w:rsid w:val="008F3DDA"/>
    <w:rsid w:val="008F3F30"/>
    <w:rsid w:val="008F3F51"/>
    <w:rsid w:val="008F400A"/>
    <w:rsid w:val="008F4150"/>
    <w:rsid w:val="008F4205"/>
    <w:rsid w:val="008F420B"/>
    <w:rsid w:val="008F424F"/>
    <w:rsid w:val="008F43B1"/>
    <w:rsid w:val="008F44D2"/>
    <w:rsid w:val="008F4502"/>
    <w:rsid w:val="008F4563"/>
    <w:rsid w:val="008F4635"/>
    <w:rsid w:val="008F466A"/>
    <w:rsid w:val="008F475E"/>
    <w:rsid w:val="008F476E"/>
    <w:rsid w:val="008F4A15"/>
    <w:rsid w:val="008F4C51"/>
    <w:rsid w:val="008F4D50"/>
    <w:rsid w:val="008F4E83"/>
    <w:rsid w:val="008F4EDC"/>
    <w:rsid w:val="008F5137"/>
    <w:rsid w:val="008F51D3"/>
    <w:rsid w:val="008F5272"/>
    <w:rsid w:val="008F52E2"/>
    <w:rsid w:val="008F5391"/>
    <w:rsid w:val="008F53BA"/>
    <w:rsid w:val="008F5459"/>
    <w:rsid w:val="008F549D"/>
    <w:rsid w:val="008F54D4"/>
    <w:rsid w:val="008F559D"/>
    <w:rsid w:val="008F5641"/>
    <w:rsid w:val="008F5AD8"/>
    <w:rsid w:val="008F5B9F"/>
    <w:rsid w:val="008F5BB6"/>
    <w:rsid w:val="008F5C30"/>
    <w:rsid w:val="008F5C62"/>
    <w:rsid w:val="008F5D16"/>
    <w:rsid w:val="008F5D88"/>
    <w:rsid w:val="008F5DC6"/>
    <w:rsid w:val="008F5E12"/>
    <w:rsid w:val="008F5EF9"/>
    <w:rsid w:val="008F6016"/>
    <w:rsid w:val="008F608D"/>
    <w:rsid w:val="008F613F"/>
    <w:rsid w:val="008F61E7"/>
    <w:rsid w:val="008F629D"/>
    <w:rsid w:val="008F62C2"/>
    <w:rsid w:val="008F630A"/>
    <w:rsid w:val="008F635F"/>
    <w:rsid w:val="008F6385"/>
    <w:rsid w:val="008F646A"/>
    <w:rsid w:val="008F6472"/>
    <w:rsid w:val="008F6530"/>
    <w:rsid w:val="008F68F9"/>
    <w:rsid w:val="008F69E4"/>
    <w:rsid w:val="008F6A01"/>
    <w:rsid w:val="008F6AB4"/>
    <w:rsid w:val="008F6B08"/>
    <w:rsid w:val="008F6D51"/>
    <w:rsid w:val="008F6D69"/>
    <w:rsid w:val="008F7010"/>
    <w:rsid w:val="008F7058"/>
    <w:rsid w:val="008F71EA"/>
    <w:rsid w:val="008F7208"/>
    <w:rsid w:val="008F7344"/>
    <w:rsid w:val="008F748C"/>
    <w:rsid w:val="008F7497"/>
    <w:rsid w:val="008F77A2"/>
    <w:rsid w:val="008F77B2"/>
    <w:rsid w:val="008F7808"/>
    <w:rsid w:val="008F7856"/>
    <w:rsid w:val="008F787A"/>
    <w:rsid w:val="008F7980"/>
    <w:rsid w:val="008F7AF7"/>
    <w:rsid w:val="008F7BEE"/>
    <w:rsid w:val="008F7BF1"/>
    <w:rsid w:val="008F7C5C"/>
    <w:rsid w:val="008F7D91"/>
    <w:rsid w:val="008F7D97"/>
    <w:rsid w:val="008F7E8F"/>
    <w:rsid w:val="008F7F0A"/>
    <w:rsid w:val="0090010D"/>
    <w:rsid w:val="00900193"/>
    <w:rsid w:val="009001DB"/>
    <w:rsid w:val="00900262"/>
    <w:rsid w:val="00900375"/>
    <w:rsid w:val="009003FC"/>
    <w:rsid w:val="009004A7"/>
    <w:rsid w:val="00900714"/>
    <w:rsid w:val="009007B1"/>
    <w:rsid w:val="009007B7"/>
    <w:rsid w:val="009007E0"/>
    <w:rsid w:val="00900983"/>
    <w:rsid w:val="00900AAA"/>
    <w:rsid w:val="00900B7B"/>
    <w:rsid w:val="00900C45"/>
    <w:rsid w:val="00900C57"/>
    <w:rsid w:val="00900CA3"/>
    <w:rsid w:val="00900D52"/>
    <w:rsid w:val="00900D57"/>
    <w:rsid w:val="00900E3C"/>
    <w:rsid w:val="00900E73"/>
    <w:rsid w:val="00900E8E"/>
    <w:rsid w:val="00900E98"/>
    <w:rsid w:val="00901003"/>
    <w:rsid w:val="0090123F"/>
    <w:rsid w:val="0090140E"/>
    <w:rsid w:val="00901427"/>
    <w:rsid w:val="0090144F"/>
    <w:rsid w:val="009014BC"/>
    <w:rsid w:val="0090174F"/>
    <w:rsid w:val="009017E8"/>
    <w:rsid w:val="009019C7"/>
    <w:rsid w:val="00901AC9"/>
    <w:rsid w:val="00901D7C"/>
    <w:rsid w:val="00901EC6"/>
    <w:rsid w:val="00901FB6"/>
    <w:rsid w:val="00901FF7"/>
    <w:rsid w:val="00902113"/>
    <w:rsid w:val="00902135"/>
    <w:rsid w:val="009021A4"/>
    <w:rsid w:val="0090221D"/>
    <w:rsid w:val="009022C8"/>
    <w:rsid w:val="009023FF"/>
    <w:rsid w:val="00902584"/>
    <w:rsid w:val="009025DB"/>
    <w:rsid w:val="00902655"/>
    <w:rsid w:val="0090268D"/>
    <w:rsid w:val="0090295B"/>
    <w:rsid w:val="00902A49"/>
    <w:rsid w:val="00902A75"/>
    <w:rsid w:val="00902BCB"/>
    <w:rsid w:val="00902C12"/>
    <w:rsid w:val="00902E06"/>
    <w:rsid w:val="00902E2F"/>
    <w:rsid w:val="00902F0E"/>
    <w:rsid w:val="00902F6F"/>
    <w:rsid w:val="00902F79"/>
    <w:rsid w:val="00902FDB"/>
    <w:rsid w:val="00902FED"/>
    <w:rsid w:val="00903055"/>
    <w:rsid w:val="0090305F"/>
    <w:rsid w:val="009031EF"/>
    <w:rsid w:val="00903342"/>
    <w:rsid w:val="0090340F"/>
    <w:rsid w:val="00903454"/>
    <w:rsid w:val="009034F6"/>
    <w:rsid w:val="00903654"/>
    <w:rsid w:val="009036B7"/>
    <w:rsid w:val="0090375B"/>
    <w:rsid w:val="00903801"/>
    <w:rsid w:val="00903932"/>
    <w:rsid w:val="00903A81"/>
    <w:rsid w:val="00903ADE"/>
    <w:rsid w:val="00903B11"/>
    <w:rsid w:val="00903C54"/>
    <w:rsid w:val="00903F04"/>
    <w:rsid w:val="00903F8A"/>
    <w:rsid w:val="00904011"/>
    <w:rsid w:val="00904110"/>
    <w:rsid w:val="00904467"/>
    <w:rsid w:val="0090459C"/>
    <w:rsid w:val="009045D0"/>
    <w:rsid w:val="009046CD"/>
    <w:rsid w:val="00904A7F"/>
    <w:rsid w:val="00904AD4"/>
    <w:rsid w:val="00904B43"/>
    <w:rsid w:val="00904B55"/>
    <w:rsid w:val="00904B75"/>
    <w:rsid w:val="00904B88"/>
    <w:rsid w:val="00904BB0"/>
    <w:rsid w:val="00904C13"/>
    <w:rsid w:val="00904C41"/>
    <w:rsid w:val="00904DEF"/>
    <w:rsid w:val="00904EA3"/>
    <w:rsid w:val="00904EEF"/>
    <w:rsid w:val="00904F4D"/>
    <w:rsid w:val="009052C5"/>
    <w:rsid w:val="00905342"/>
    <w:rsid w:val="00905554"/>
    <w:rsid w:val="0090566A"/>
    <w:rsid w:val="00905746"/>
    <w:rsid w:val="0090584D"/>
    <w:rsid w:val="00905854"/>
    <w:rsid w:val="0090586C"/>
    <w:rsid w:val="00905902"/>
    <w:rsid w:val="009059C9"/>
    <w:rsid w:val="00905AF0"/>
    <w:rsid w:val="00905B11"/>
    <w:rsid w:val="00905DAB"/>
    <w:rsid w:val="00906227"/>
    <w:rsid w:val="00906263"/>
    <w:rsid w:val="009062D2"/>
    <w:rsid w:val="0090633B"/>
    <w:rsid w:val="009066D8"/>
    <w:rsid w:val="009066E7"/>
    <w:rsid w:val="0090680D"/>
    <w:rsid w:val="0090691D"/>
    <w:rsid w:val="00906969"/>
    <w:rsid w:val="00906A95"/>
    <w:rsid w:val="00906AB7"/>
    <w:rsid w:val="00906ACE"/>
    <w:rsid w:val="00906AFD"/>
    <w:rsid w:val="00906B7B"/>
    <w:rsid w:val="00906C02"/>
    <w:rsid w:val="00906DB2"/>
    <w:rsid w:val="00906E71"/>
    <w:rsid w:val="00906ED6"/>
    <w:rsid w:val="00906FD6"/>
    <w:rsid w:val="0090711E"/>
    <w:rsid w:val="009074F3"/>
    <w:rsid w:val="0090770E"/>
    <w:rsid w:val="00907858"/>
    <w:rsid w:val="00907902"/>
    <w:rsid w:val="0090791D"/>
    <w:rsid w:val="00907932"/>
    <w:rsid w:val="0090793A"/>
    <w:rsid w:val="009079FF"/>
    <w:rsid w:val="00907A9F"/>
    <w:rsid w:val="00907D12"/>
    <w:rsid w:val="00907DDE"/>
    <w:rsid w:val="00907DF0"/>
    <w:rsid w:val="00907E22"/>
    <w:rsid w:val="00907E5F"/>
    <w:rsid w:val="009100F1"/>
    <w:rsid w:val="009101D7"/>
    <w:rsid w:val="009101E3"/>
    <w:rsid w:val="00910225"/>
    <w:rsid w:val="009102DA"/>
    <w:rsid w:val="0091037F"/>
    <w:rsid w:val="009103AB"/>
    <w:rsid w:val="009103DE"/>
    <w:rsid w:val="0091049C"/>
    <w:rsid w:val="009104CB"/>
    <w:rsid w:val="00910547"/>
    <w:rsid w:val="00910553"/>
    <w:rsid w:val="009105BD"/>
    <w:rsid w:val="0091065D"/>
    <w:rsid w:val="00910689"/>
    <w:rsid w:val="00910745"/>
    <w:rsid w:val="00910798"/>
    <w:rsid w:val="00910874"/>
    <w:rsid w:val="009109F4"/>
    <w:rsid w:val="00910AD7"/>
    <w:rsid w:val="00910B44"/>
    <w:rsid w:val="00910B7C"/>
    <w:rsid w:val="00910B86"/>
    <w:rsid w:val="00910BA1"/>
    <w:rsid w:val="00910CC7"/>
    <w:rsid w:val="00910CCC"/>
    <w:rsid w:val="00910DCE"/>
    <w:rsid w:val="00910E65"/>
    <w:rsid w:val="00910F7C"/>
    <w:rsid w:val="00910F90"/>
    <w:rsid w:val="00910FB5"/>
    <w:rsid w:val="00910FDF"/>
    <w:rsid w:val="0091100B"/>
    <w:rsid w:val="009111D9"/>
    <w:rsid w:val="00911216"/>
    <w:rsid w:val="00911321"/>
    <w:rsid w:val="0091134B"/>
    <w:rsid w:val="009113F3"/>
    <w:rsid w:val="0091162C"/>
    <w:rsid w:val="00911680"/>
    <w:rsid w:val="00911778"/>
    <w:rsid w:val="009117A2"/>
    <w:rsid w:val="00911843"/>
    <w:rsid w:val="00911847"/>
    <w:rsid w:val="009118B0"/>
    <w:rsid w:val="00911961"/>
    <w:rsid w:val="00911973"/>
    <w:rsid w:val="00911ACE"/>
    <w:rsid w:val="00911B1A"/>
    <w:rsid w:val="00911C57"/>
    <w:rsid w:val="00911DBF"/>
    <w:rsid w:val="00911DC8"/>
    <w:rsid w:val="00911DE3"/>
    <w:rsid w:val="00911DF2"/>
    <w:rsid w:val="00911E1B"/>
    <w:rsid w:val="00911E46"/>
    <w:rsid w:val="00911E81"/>
    <w:rsid w:val="00911EB7"/>
    <w:rsid w:val="00911F1D"/>
    <w:rsid w:val="00911FE6"/>
    <w:rsid w:val="00911FFA"/>
    <w:rsid w:val="009120CA"/>
    <w:rsid w:val="0091210B"/>
    <w:rsid w:val="009122A0"/>
    <w:rsid w:val="009122F7"/>
    <w:rsid w:val="0091231C"/>
    <w:rsid w:val="00912347"/>
    <w:rsid w:val="00912366"/>
    <w:rsid w:val="00912429"/>
    <w:rsid w:val="009126B6"/>
    <w:rsid w:val="00912710"/>
    <w:rsid w:val="0091282F"/>
    <w:rsid w:val="0091283B"/>
    <w:rsid w:val="00912843"/>
    <w:rsid w:val="00912885"/>
    <w:rsid w:val="0091292C"/>
    <w:rsid w:val="0091296C"/>
    <w:rsid w:val="0091299C"/>
    <w:rsid w:val="00912B04"/>
    <w:rsid w:val="00912B17"/>
    <w:rsid w:val="00912BEF"/>
    <w:rsid w:val="00912C88"/>
    <w:rsid w:val="00912DC8"/>
    <w:rsid w:val="00912EF5"/>
    <w:rsid w:val="00912F9D"/>
    <w:rsid w:val="00912FA2"/>
    <w:rsid w:val="00913101"/>
    <w:rsid w:val="00913122"/>
    <w:rsid w:val="0091315F"/>
    <w:rsid w:val="0091317E"/>
    <w:rsid w:val="009133F9"/>
    <w:rsid w:val="0091356A"/>
    <w:rsid w:val="009135FA"/>
    <w:rsid w:val="009136E7"/>
    <w:rsid w:val="00913940"/>
    <w:rsid w:val="00913968"/>
    <w:rsid w:val="00913980"/>
    <w:rsid w:val="009139C7"/>
    <w:rsid w:val="00913A4C"/>
    <w:rsid w:val="00913B73"/>
    <w:rsid w:val="00913BD6"/>
    <w:rsid w:val="00913DE4"/>
    <w:rsid w:val="00913E26"/>
    <w:rsid w:val="00913F8E"/>
    <w:rsid w:val="00913FB1"/>
    <w:rsid w:val="00913FB9"/>
    <w:rsid w:val="00914048"/>
    <w:rsid w:val="0091407F"/>
    <w:rsid w:val="00914148"/>
    <w:rsid w:val="0091435A"/>
    <w:rsid w:val="0091446A"/>
    <w:rsid w:val="0091448B"/>
    <w:rsid w:val="00914581"/>
    <w:rsid w:val="0091471B"/>
    <w:rsid w:val="009148EE"/>
    <w:rsid w:val="009149B8"/>
    <w:rsid w:val="00914A02"/>
    <w:rsid w:val="00914A6F"/>
    <w:rsid w:val="00914A7C"/>
    <w:rsid w:val="00914B0F"/>
    <w:rsid w:val="00914B2D"/>
    <w:rsid w:val="00914B3D"/>
    <w:rsid w:val="00914B93"/>
    <w:rsid w:val="00914B9C"/>
    <w:rsid w:val="00914C51"/>
    <w:rsid w:val="00914CEA"/>
    <w:rsid w:val="00914DC5"/>
    <w:rsid w:val="00914E1A"/>
    <w:rsid w:val="00914E9A"/>
    <w:rsid w:val="00914F9B"/>
    <w:rsid w:val="00915016"/>
    <w:rsid w:val="0091503A"/>
    <w:rsid w:val="009151C4"/>
    <w:rsid w:val="00915219"/>
    <w:rsid w:val="00915227"/>
    <w:rsid w:val="0091522D"/>
    <w:rsid w:val="0091537A"/>
    <w:rsid w:val="009153C3"/>
    <w:rsid w:val="0091543F"/>
    <w:rsid w:val="0091560A"/>
    <w:rsid w:val="009157D8"/>
    <w:rsid w:val="00915927"/>
    <w:rsid w:val="00915B5F"/>
    <w:rsid w:val="00915BE6"/>
    <w:rsid w:val="00915C17"/>
    <w:rsid w:val="00915C7F"/>
    <w:rsid w:val="00915C89"/>
    <w:rsid w:val="00915CE3"/>
    <w:rsid w:val="00915D03"/>
    <w:rsid w:val="00915D48"/>
    <w:rsid w:val="00915DA9"/>
    <w:rsid w:val="00915DEC"/>
    <w:rsid w:val="00915EA4"/>
    <w:rsid w:val="00915F69"/>
    <w:rsid w:val="00915FC6"/>
    <w:rsid w:val="009160AE"/>
    <w:rsid w:val="0091611E"/>
    <w:rsid w:val="009161E6"/>
    <w:rsid w:val="0091622E"/>
    <w:rsid w:val="00916248"/>
    <w:rsid w:val="0091628E"/>
    <w:rsid w:val="0091629C"/>
    <w:rsid w:val="009163BD"/>
    <w:rsid w:val="0091647C"/>
    <w:rsid w:val="009165D5"/>
    <w:rsid w:val="00916615"/>
    <w:rsid w:val="009166D6"/>
    <w:rsid w:val="00916954"/>
    <w:rsid w:val="0091698A"/>
    <w:rsid w:val="00916992"/>
    <w:rsid w:val="00916AF9"/>
    <w:rsid w:val="00916B32"/>
    <w:rsid w:val="00916B4C"/>
    <w:rsid w:val="00916B4D"/>
    <w:rsid w:val="00916BFF"/>
    <w:rsid w:val="00916C65"/>
    <w:rsid w:val="00916C8C"/>
    <w:rsid w:val="00916E32"/>
    <w:rsid w:val="00916E88"/>
    <w:rsid w:val="00916EE4"/>
    <w:rsid w:val="00917055"/>
    <w:rsid w:val="0091705E"/>
    <w:rsid w:val="009170D5"/>
    <w:rsid w:val="0091716B"/>
    <w:rsid w:val="009171D7"/>
    <w:rsid w:val="00917214"/>
    <w:rsid w:val="009174E3"/>
    <w:rsid w:val="00917514"/>
    <w:rsid w:val="0091755A"/>
    <w:rsid w:val="009176B2"/>
    <w:rsid w:val="00917886"/>
    <w:rsid w:val="00917AFD"/>
    <w:rsid w:val="00917C47"/>
    <w:rsid w:val="00917C79"/>
    <w:rsid w:val="00917D7F"/>
    <w:rsid w:val="00917EFB"/>
    <w:rsid w:val="00917F58"/>
    <w:rsid w:val="00917F64"/>
    <w:rsid w:val="0092006C"/>
    <w:rsid w:val="00920080"/>
    <w:rsid w:val="009201AC"/>
    <w:rsid w:val="00920253"/>
    <w:rsid w:val="009203E9"/>
    <w:rsid w:val="0092046F"/>
    <w:rsid w:val="0092048C"/>
    <w:rsid w:val="009204A2"/>
    <w:rsid w:val="009204D5"/>
    <w:rsid w:val="00920560"/>
    <w:rsid w:val="009207F1"/>
    <w:rsid w:val="00920993"/>
    <w:rsid w:val="009209C1"/>
    <w:rsid w:val="00920A12"/>
    <w:rsid w:val="00920AB3"/>
    <w:rsid w:val="00920B31"/>
    <w:rsid w:val="00920C04"/>
    <w:rsid w:val="00920D6B"/>
    <w:rsid w:val="00920D8B"/>
    <w:rsid w:val="00920E0A"/>
    <w:rsid w:val="00921006"/>
    <w:rsid w:val="0092117B"/>
    <w:rsid w:val="0092121E"/>
    <w:rsid w:val="0092125A"/>
    <w:rsid w:val="009212EE"/>
    <w:rsid w:val="00921318"/>
    <w:rsid w:val="00921384"/>
    <w:rsid w:val="0092146E"/>
    <w:rsid w:val="00921509"/>
    <w:rsid w:val="0092155F"/>
    <w:rsid w:val="009215B9"/>
    <w:rsid w:val="009217E9"/>
    <w:rsid w:val="00921927"/>
    <w:rsid w:val="00921A75"/>
    <w:rsid w:val="00921A94"/>
    <w:rsid w:val="00921CD0"/>
    <w:rsid w:val="00921E1C"/>
    <w:rsid w:val="00921FF7"/>
    <w:rsid w:val="0092221D"/>
    <w:rsid w:val="00922336"/>
    <w:rsid w:val="0092237B"/>
    <w:rsid w:val="00922863"/>
    <w:rsid w:val="00922884"/>
    <w:rsid w:val="00922B15"/>
    <w:rsid w:val="00922BB1"/>
    <w:rsid w:val="00922C6E"/>
    <w:rsid w:val="00922D02"/>
    <w:rsid w:val="00922DC9"/>
    <w:rsid w:val="00922DDA"/>
    <w:rsid w:val="00922F38"/>
    <w:rsid w:val="00922F50"/>
    <w:rsid w:val="00922F8C"/>
    <w:rsid w:val="00923248"/>
    <w:rsid w:val="0092324F"/>
    <w:rsid w:val="009232AC"/>
    <w:rsid w:val="009232CF"/>
    <w:rsid w:val="009234A7"/>
    <w:rsid w:val="009234F9"/>
    <w:rsid w:val="009235BF"/>
    <w:rsid w:val="009235E4"/>
    <w:rsid w:val="0092362E"/>
    <w:rsid w:val="0092375C"/>
    <w:rsid w:val="00923797"/>
    <w:rsid w:val="009237BA"/>
    <w:rsid w:val="00923A50"/>
    <w:rsid w:val="00923A67"/>
    <w:rsid w:val="00923AC8"/>
    <w:rsid w:val="00923C2C"/>
    <w:rsid w:val="00923C98"/>
    <w:rsid w:val="00923CCC"/>
    <w:rsid w:val="00923E0A"/>
    <w:rsid w:val="00924128"/>
    <w:rsid w:val="00924234"/>
    <w:rsid w:val="00924317"/>
    <w:rsid w:val="009243CB"/>
    <w:rsid w:val="00924405"/>
    <w:rsid w:val="00924518"/>
    <w:rsid w:val="00924531"/>
    <w:rsid w:val="009245D1"/>
    <w:rsid w:val="00924623"/>
    <w:rsid w:val="0092484B"/>
    <w:rsid w:val="00924894"/>
    <w:rsid w:val="009249D0"/>
    <w:rsid w:val="00924ABC"/>
    <w:rsid w:val="00924B00"/>
    <w:rsid w:val="00924B03"/>
    <w:rsid w:val="00924B49"/>
    <w:rsid w:val="00924BE8"/>
    <w:rsid w:val="00924CCF"/>
    <w:rsid w:val="00924D2A"/>
    <w:rsid w:val="00924EC6"/>
    <w:rsid w:val="00924EF1"/>
    <w:rsid w:val="00924F0D"/>
    <w:rsid w:val="00924F6E"/>
    <w:rsid w:val="0092502E"/>
    <w:rsid w:val="0092505C"/>
    <w:rsid w:val="009250FA"/>
    <w:rsid w:val="00925104"/>
    <w:rsid w:val="0092515F"/>
    <w:rsid w:val="00925236"/>
    <w:rsid w:val="009252DC"/>
    <w:rsid w:val="0092549A"/>
    <w:rsid w:val="009254AD"/>
    <w:rsid w:val="00925536"/>
    <w:rsid w:val="0092555C"/>
    <w:rsid w:val="00925575"/>
    <w:rsid w:val="009255AF"/>
    <w:rsid w:val="009255DC"/>
    <w:rsid w:val="009256B1"/>
    <w:rsid w:val="009258DB"/>
    <w:rsid w:val="00925999"/>
    <w:rsid w:val="00925B1E"/>
    <w:rsid w:val="00925B31"/>
    <w:rsid w:val="00925C5A"/>
    <w:rsid w:val="00925D4E"/>
    <w:rsid w:val="00925D85"/>
    <w:rsid w:val="00925DB8"/>
    <w:rsid w:val="00925FC0"/>
    <w:rsid w:val="00926009"/>
    <w:rsid w:val="00926023"/>
    <w:rsid w:val="009260C8"/>
    <w:rsid w:val="0092620E"/>
    <w:rsid w:val="00926230"/>
    <w:rsid w:val="009262A6"/>
    <w:rsid w:val="009262C4"/>
    <w:rsid w:val="00926329"/>
    <w:rsid w:val="0092643D"/>
    <w:rsid w:val="00926554"/>
    <w:rsid w:val="009265F8"/>
    <w:rsid w:val="009266F1"/>
    <w:rsid w:val="0092694F"/>
    <w:rsid w:val="00926D1C"/>
    <w:rsid w:val="00926D93"/>
    <w:rsid w:val="00926DA1"/>
    <w:rsid w:val="00926E1B"/>
    <w:rsid w:val="00926EC7"/>
    <w:rsid w:val="0092703E"/>
    <w:rsid w:val="0092704B"/>
    <w:rsid w:val="00927118"/>
    <w:rsid w:val="0092737A"/>
    <w:rsid w:val="0092751E"/>
    <w:rsid w:val="009276C1"/>
    <w:rsid w:val="00927747"/>
    <w:rsid w:val="0092776A"/>
    <w:rsid w:val="009277A0"/>
    <w:rsid w:val="0092787D"/>
    <w:rsid w:val="00927956"/>
    <w:rsid w:val="009279A7"/>
    <w:rsid w:val="009279ED"/>
    <w:rsid w:val="00927CEB"/>
    <w:rsid w:val="00927D0A"/>
    <w:rsid w:val="00930068"/>
    <w:rsid w:val="00930079"/>
    <w:rsid w:val="00930086"/>
    <w:rsid w:val="0093017D"/>
    <w:rsid w:val="009301EE"/>
    <w:rsid w:val="0093022F"/>
    <w:rsid w:val="00930300"/>
    <w:rsid w:val="0093031E"/>
    <w:rsid w:val="00930387"/>
    <w:rsid w:val="009303C5"/>
    <w:rsid w:val="009303CF"/>
    <w:rsid w:val="009303D0"/>
    <w:rsid w:val="0093060A"/>
    <w:rsid w:val="00930653"/>
    <w:rsid w:val="00930675"/>
    <w:rsid w:val="0093099A"/>
    <w:rsid w:val="00930A34"/>
    <w:rsid w:val="00930A3B"/>
    <w:rsid w:val="00930AE2"/>
    <w:rsid w:val="00930BBA"/>
    <w:rsid w:val="00930C25"/>
    <w:rsid w:val="00930DCA"/>
    <w:rsid w:val="00930E2D"/>
    <w:rsid w:val="00930FA8"/>
    <w:rsid w:val="00931084"/>
    <w:rsid w:val="00931087"/>
    <w:rsid w:val="009310FF"/>
    <w:rsid w:val="00931309"/>
    <w:rsid w:val="009313F9"/>
    <w:rsid w:val="00931417"/>
    <w:rsid w:val="009314E7"/>
    <w:rsid w:val="009315E3"/>
    <w:rsid w:val="00931666"/>
    <w:rsid w:val="009316D2"/>
    <w:rsid w:val="00931758"/>
    <w:rsid w:val="009318F6"/>
    <w:rsid w:val="0093191B"/>
    <w:rsid w:val="00931940"/>
    <w:rsid w:val="00931967"/>
    <w:rsid w:val="009319E4"/>
    <w:rsid w:val="00931AC1"/>
    <w:rsid w:val="00931BC4"/>
    <w:rsid w:val="00931C44"/>
    <w:rsid w:val="00931CA6"/>
    <w:rsid w:val="00931CFA"/>
    <w:rsid w:val="00931D10"/>
    <w:rsid w:val="00931EB2"/>
    <w:rsid w:val="00932041"/>
    <w:rsid w:val="00932064"/>
    <w:rsid w:val="009320BC"/>
    <w:rsid w:val="00932201"/>
    <w:rsid w:val="0093233A"/>
    <w:rsid w:val="00932638"/>
    <w:rsid w:val="00932780"/>
    <w:rsid w:val="009327BA"/>
    <w:rsid w:val="009327F2"/>
    <w:rsid w:val="00932822"/>
    <w:rsid w:val="0093288E"/>
    <w:rsid w:val="00932892"/>
    <w:rsid w:val="009328CA"/>
    <w:rsid w:val="0093291C"/>
    <w:rsid w:val="00932A89"/>
    <w:rsid w:val="00932B6D"/>
    <w:rsid w:val="00932BE0"/>
    <w:rsid w:val="00932C27"/>
    <w:rsid w:val="00932CC9"/>
    <w:rsid w:val="00932CD2"/>
    <w:rsid w:val="00932D08"/>
    <w:rsid w:val="00932D19"/>
    <w:rsid w:val="00932D67"/>
    <w:rsid w:val="00932DB2"/>
    <w:rsid w:val="00932DEE"/>
    <w:rsid w:val="00932F8C"/>
    <w:rsid w:val="00932F9D"/>
    <w:rsid w:val="00932FAD"/>
    <w:rsid w:val="0093308F"/>
    <w:rsid w:val="009330DD"/>
    <w:rsid w:val="00933406"/>
    <w:rsid w:val="00933410"/>
    <w:rsid w:val="009336CF"/>
    <w:rsid w:val="00933894"/>
    <w:rsid w:val="009339D7"/>
    <w:rsid w:val="009339DB"/>
    <w:rsid w:val="00933A20"/>
    <w:rsid w:val="00933AD6"/>
    <w:rsid w:val="00933B4B"/>
    <w:rsid w:val="00933E28"/>
    <w:rsid w:val="00933F68"/>
    <w:rsid w:val="00933F8C"/>
    <w:rsid w:val="0093406C"/>
    <w:rsid w:val="0093417C"/>
    <w:rsid w:val="0093422F"/>
    <w:rsid w:val="009342E6"/>
    <w:rsid w:val="00934495"/>
    <w:rsid w:val="009344F0"/>
    <w:rsid w:val="00934547"/>
    <w:rsid w:val="009345BE"/>
    <w:rsid w:val="009345F3"/>
    <w:rsid w:val="0093463D"/>
    <w:rsid w:val="009346C1"/>
    <w:rsid w:val="00934839"/>
    <w:rsid w:val="009348A1"/>
    <w:rsid w:val="009348D7"/>
    <w:rsid w:val="0093490C"/>
    <w:rsid w:val="009349A5"/>
    <w:rsid w:val="00934A92"/>
    <w:rsid w:val="00934C1E"/>
    <w:rsid w:val="00934DBF"/>
    <w:rsid w:val="00934DD2"/>
    <w:rsid w:val="00934F4F"/>
    <w:rsid w:val="00934FCF"/>
    <w:rsid w:val="00935132"/>
    <w:rsid w:val="0093517A"/>
    <w:rsid w:val="0093523E"/>
    <w:rsid w:val="00935268"/>
    <w:rsid w:val="00935369"/>
    <w:rsid w:val="00935392"/>
    <w:rsid w:val="00935393"/>
    <w:rsid w:val="00935480"/>
    <w:rsid w:val="009354C4"/>
    <w:rsid w:val="00935545"/>
    <w:rsid w:val="009356BE"/>
    <w:rsid w:val="009356EB"/>
    <w:rsid w:val="00935763"/>
    <w:rsid w:val="009357A3"/>
    <w:rsid w:val="009357F9"/>
    <w:rsid w:val="009359A4"/>
    <w:rsid w:val="00935BF7"/>
    <w:rsid w:val="00935C9B"/>
    <w:rsid w:val="00935CFC"/>
    <w:rsid w:val="00935DDE"/>
    <w:rsid w:val="00935E74"/>
    <w:rsid w:val="00935EC0"/>
    <w:rsid w:val="00935ED4"/>
    <w:rsid w:val="00935F2A"/>
    <w:rsid w:val="00935F47"/>
    <w:rsid w:val="00936260"/>
    <w:rsid w:val="0093634B"/>
    <w:rsid w:val="00936394"/>
    <w:rsid w:val="009363C2"/>
    <w:rsid w:val="00936413"/>
    <w:rsid w:val="00936635"/>
    <w:rsid w:val="00936894"/>
    <w:rsid w:val="009368A1"/>
    <w:rsid w:val="00936950"/>
    <w:rsid w:val="009369E4"/>
    <w:rsid w:val="009369F6"/>
    <w:rsid w:val="00936C64"/>
    <w:rsid w:val="00936ECB"/>
    <w:rsid w:val="00936EF3"/>
    <w:rsid w:val="00936F6E"/>
    <w:rsid w:val="00936FC0"/>
    <w:rsid w:val="00937019"/>
    <w:rsid w:val="0093702A"/>
    <w:rsid w:val="00937201"/>
    <w:rsid w:val="00937279"/>
    <w:rsid w:val="009372C8"/>
    <w:rsid w:val="009372FC"/>
    <w:rsid w:val="009372FE"/>
    <w:rsid w:val="0093745A"/>
    <w:rsid w:val="00937532"/>
    <w:rsid w:val="009375BE"/>
    <w:rsid w:val="0093765F"/>
    <w:rsid w:val="0093777D"/>
    <w:rsid w:val="009377BC"/>
    <w:rsid w:val="0093797B"/>
    <w:rsid w:val="009379F3"/>
    <w:rsid w:val="00937B0C"/>
    <w:rsid w:val="00937CE3"/>
    <w:rsid w:val="00937D2D"/>
    <w:rsid w:val="00937D6F"/>
    <w:rsid w:val="00937D87"/>
    <w:rsid w:val="00937DA4"/>
    <w:rsid w:val="00937DD3"/>
    <w:rsid w:val="00937DF9"/>
    <w:rsid w:val="00937ECC"/>
    <w:rsid w:val="0094009C"/>
    <w:rsid w:val="009400A3"/>
    <w:rsid w:val="009400F7"/>
    <w:rsid w:val="0094018F"/>
    <w:rsid w:val="009402D0"/>
    <w:rsid w:val="0094047B"/>
    <w:rsid w:val="00940653"/>
    <w:rsid w:val="0094093D"/>
    <w:rsid w:val="00940991"/>
    <w:rsid w:val="00940AC8"/>
    <w:rsid w:val="00940E3B"/>
    <w:rsid w:val="0094118F"/>
    <w:rsid w:val="00941228"/>
    <w:rsid w:val="009412C3"/>
    <w:rsid w:val="00941412"/>
    <w:rsid w:val="0094170E"/>
    <w:rsid w:val="00941959"/>
    <w:rsid w:val="00941A3A"/>
    <w:rsid w:val="00941BCD"/>
    <w:rsid w:val="00941CB7"/>
    <w:rsid w:val="00941D69"/>
    <w:rsid w:val="00941FA2"/>
    <w:rsid w:val="00941FC0"/>
    <w:rsid w:val="009420C4"/>
    <w:rsid w:val="0094223E"/>
    <w:rsid w:val="00942294"/>
    <w:rsid w:val="0094239C"/>
    <w:rsid w:val="00942531"/>
    <w:rsid w:val="00942541"/>
    <w:rsid w:val="009425D7"/>
    <w:rsid w:val="009426DA"/>
    <w:rsid w:val="00942745"/>
    <w:rsid w:val="00942749"/>
    <w:rsid w:val="009427B4"/>
    <w:rsid w:val="00942A2D"/>
    <w:rsid w:val="00942C17"/>
    <w:rsid w:val="00942CC5"/>
    <w:rsid w:val="00942E1E"/>
    <w:rsid w:val="00942FE3"/>
    <w:rsid w:val="00942FF0"/>
    <w:rsid w:val="00943048"/>
    <w:rsid w:val="00943126"/>
    <w:rsid w:val="0094346A"/>
    <w:rsid w:val="009434B1"/>
    <w:rsid w:val="009435CB"/>
    <w:rsid w:val="0094373C"/>
    <w:rsid w:val="00943B83"/>
    <w:rsid w:val="00943C58"/>
    <w:rsid w:val="00943C74"/>
    <w:rsid w:val="00943D1E"/>
    <w:rsid w:val="00943E8A"/>
    <w:rsid w:val="00943EC7"/>
    <w:rsid w:val="00943F5C"/>
    <w:rsid w:val="00944034"/>
    <w:rsid w:val="0094404E"/>
    <w:rsid w:val="00944137"/>
    <w:rsid w:val="00944228"/>
    <w:rsid w:val="009442A4"/>
    <w:rsid w:val="00944517"/>
    <w:rsid w:val="00944611"/>
    <w:rsid w:val="009446CE"/>
    <w:rsid w:val="009446ED"/>
    <w:rsid w:val="0094472B"/>
    <w:rsid w:val="0094477F"/>
    <w:rsid w:val="0094489E"/>
    <w:rsid w:val="0094494C"/>
    <w:rsid w:val="00944986"/>
    <w:rsid w:val="00944A04"/>
    <w:rsid w:val="00944B59"/>
    <w:rsid w:val="00944BA0"/>
    <w:rsid w:val="00944BB5"/>
    <w:rsid w:val="00944BE5"/>
    <w:rsid w:val="00944C3B"/>
    <w:rsid w:val="00944D0A"/>
    <w:rsid w:val="00944D7C"/>
    <w:rsid w:val="00944E0E"/>
    <w:rsid w:val="0094515E"/>
    <w:rsid w:val="009451EF"/>
    <w:rsid w:val="00945230"/>
    <w:rsid w:val="009452F6"/>
    <w:rsid w:val="009453A2"/>
    <w:rsid w:val="0094557A"/>
    <w:rsid w:val="0094574F"/>
    <w:rsid w:val="009457AE"/>
    <w:rsid w:val="009457CA"/>
    <w:rsid w:val="009457F0"/>
    <w:rsid w:val="0094581F"/>
    <w:rsid w:val="0094586B"/>
    <w:rsid w:val="00945998"/>
    <w:rsid w:val="009459AF"/>
    <w:rsid w:val="009459EC"/>
    <w:rsid w:val="00945AE2"/>
    <w:rsid w:val="00945B14"/>
    <w:rsid w:val="00945B77"/>
    <w:rsid w:val="00945CC0"/>
    <w:rsid w:val="00945CFE"/>
    <w:rsid w:val="00945E4C"/>
    <w:rsid w:val="00945E72"/>
    <w:rsid w:val="00945E79"/>
    <w:rsid w:val="00945F46"/>
    <w:rsid w:val="00945F6E"/>
    <w:rsid w:val="00946018"/>
    <w:rsid w:val="0094603F"/>
    <w:rsid w:val="00946062"/>
    <w:rsid w:val="0094606F"/>
    <w:rsid w:val="00946185"/>
    <w:rsid w:val="009461C3"/>
    <w:rsid w:val="00946259"/>
    <w:rsid w:val="00946318"/>
    <w:rsid w:val="00946497"/>
    <w:rsid w:val="009465B9"/>
    <w:rsid w:val="00946656"/>
    <w:rsid w:val="0094682C"/>
    <w:rsid w:val="0094685F"/>
    <w:rsid w:val="009468DC"/>
    <w:rsid w:val="009469DA"/>
    <w:rsid w:val="00946AB7"/>
    <w:rsid w:val="00946AB8"/>
    <w:rsid w:val="00946B7B"/>
    <w:rsid w:val="00946EF8"/>
    <w:rsid w:val="009471CA"/>
    <w:rsid w:val="009472D0"/>
    <w:rsid w:val="009473E8"/>
    <w:rsid w:val="00947454"/>
    <w:rsid w:val="009474E8"/>
    <w:rsid w:val="00947553"/>
    <w:rsid w:val="00947645"/>
    <w:rsid w:val="009476A6"/>
    <w:rsid w:val="009477DC"/>
    <w:rsid w:val="009478A1"/>
    <w:rsid w:val="0094793A"/>
    <w:rsid w:val="00947998"/>
    <w:rsid w:val="00947B36"/>
    <w:rsid w:val="00947B5D"/>
    <w:rsid w:val="00947BA1"/>
    <w:rsid w:val="00947BE9"/>
    <w:rsid w:val="00947DA6"/>
    <w:rsid w:val="00947E28"/>
    <w:rsid w:val="00947EBD"/>
    <w:rsid w:val="00947ED9"/>
    <w:rsid w:val="00947F5C"/>
    <w:rsid w:val="0095016C"/>
    <w:rsid w:val="0095016F"/>
    <w:rsid w:val="009501C8"/>
    <w:rsid w:val="0095020E"/>
    <w:rsid w:val="0095024A"/>
    <w:rsid w:val="00950360"/>
    <w:rsid w:val="0095046A"/>
    <w:rsid w:val="0095047A"/>
    <w:rsid w:val="00950587"/>
    <w:rsid w:val="00950608"/>
    <w:rsid w:val="0095060D"/>
    <w:rsid w:val="00950647"/>
    <w:rsid w:val="00950689"/>
    <w:rsid w:val="00950718"/>
    <w:rsid w:val="009507AC"/>
    <w:rsid w:val="00950864"/>
    <w:rsid w:val="009508B2"/>
    <w:rsid w:val="009508E4"/>
    <w:rsid w:val="00950941"/>
    <w:rsid w:val="00950A5F"/>
    <w:rsid w:val="00950A87"/>
    <w:rsid w:val="00950B5D"/>
    <w:rsid w:val="00950CA1"/>
    <w:rsid w:val="00950CC4"/>
    <w:rsid w:val="00950CD9"/>
    <w:rsid w:val="00950CDF"/>
    <w:rsid w:val="0095106E"/>
    <w:rsid w:val="00951174"/>
    <w:rsid w:val="009512A1"/>
    <w:rsid w:val="009512CD"/>
    <w:rsid w:val="00951393"/>
    <w:rsid w:val="00951419"/>
    <w:rsid w:val="009514E0"/>
    <w:rsid w:val="009514F7"/>
    <w:rsid w:val="0095181F"/>
    <w:rsid w:val="009518A1"/>
    <w:rsid w:val="00951920"/>
    <w:rsid w:val="009519A1"/>
    <w:rsid w:val="009519B8"/>
    <w:rsid w:val="009519E5"/>
    <w:rsid w:val="00951A7A"/>
    <w:rsid w:val="00951B8B"/>
    <w:rsid w:val="00951BB0"/>
    <w:rsid w:val="00951CF9"/>
    <w:rsid w:val="00951D07"/>
    <w:rsid w:val="00951E98"/>
    <w:rsid w:val="00952047"/>
    <w:rsid w:val="009520C2"/>
    <w:rsid w:val="00952153"/>
    <w:rsid w:val="00952194"/>
    <w:rsid w:val="00952245"/>
    <w:rsid w:val="009523AC"/>
    <w:rsid w:val="00952494"/>
    <w:rsid w:val="0095257E"/>
    <w:rsid w:val="009525E6"/>
    <w:rsid w:val="00952618"/>
    <w:rsid w:val="00952839"/>
    <w:rsid w:val="009528E3"/>
    <w:rsid w:val="009528E5"/>
    <w:rsid w:val="00952933"/>
    <w:rsid w:val="009529BD"/>
    <w:rsid w:val="00952B1A"/>
    <w:rsid w:val="00952B2F"/>
    <w:rsid w:val="00952B4C"/>
    <w:rsid w:val="00952B7E"/>
    <w:rsid w:val="00952CC7"/>
    <w:rsid w:val="00952D50"/>
    <w:rsid w:val="00952D75"/>
    <w:rsid w:val="00952EB1"/>
    <w:rsid w:val="00952FB7"/>
    <w:rsid w:val="00953026"/>
    <w:rsid w:val="009530B5"/>
    <w:rsid w:val="009531BF"/>
    <w:rsid w:val="009531F3"/>
    <w:rsid w:val="0095325C"/>
    <w:rsid w:val="00953336"/>
    <w:rsid w:val="0095339D"/>
    <w:rsid w:val="009534A0"/>
    <w:rsid w:val="009535EF"/>
    <w:rsid w:val="0095360E"/>
    <w:rsid w:val="0095366A"/>
    <w:rsid w:val="009536B2"/>
    <w:rsid w:val="0095384E"/>
    <w:rsid w:val="0095389E"/>
    <w:rsid w:val="009538D6"/>
    <w:rsid w:val="0095392F"/>
    <w:rsid w:val="00953998"/>
    <w:rsid w:val="009539E0"/>
    <w:rsid w:val="00953A0B"/>
    <w:rsid w:val="00953A3E"/>
    <w:rsid w:val="00953AA1"/>
    <w:rsid w:val="00953AD6"/>
    <w:rsid w:val="00953CD4"/>
    <w:rsid w:val="00953D9B"/>
    <w:rsid w:val="00953DFC"/>
    <w:rsid w:val="00953E23"/>
    <w:rsid w:val="00953F93"/>
    <w:rsid w:val="00954160"/>
    <w:rsid w:val="009543B2"/>
    <w:rsid w:val="009543C0"/>
    <w:rsid w:val="0095440A"/>
    <w:rsid w:val="00954577"/>
    <w:rsid w:val="00954655"/>
    <w:rsid w:val="00954685"/>
    <w:rsid w:val="0095469D"/>
    <w:rsid w:val="00954700"/>
    <w:rsid w:val="00954A45"/>
    <w:rsid w:val="00954AFC"/>
    <w:rsid w:val="00954D33"/>
    <w:rsid w:val="00954D50"/>
    <w:rsid w:val="00954DF8"/>
    <w:rsid w:val="00954FCC"/>
    <w:rsid w:val="00954FE9"/>
    <w:rsid w:val="00955015"/>
    <w:rsid w:val="009550CC"/>
    <w:rsid w:val="009550DC"/>
    <w:rsid w:val="009551DA"/>
    <w:rsid w:val="009551E2"/>
    <w:rsid w:val="00955255"/>
    <w:rsid w:val="009552DD"/>
    <w:rsid w:val="00955323"/>
    <w:rsid w:val="0095537D"/>
    <w:rsid w:val="00955426"/>
    <w:rsid w:val="0095544B"/>
    <w:rsid w:val="009554C5"/>
    <w:rsid w:val="009555FC"/>
    <w:rsid w:val="00955994"/>
    <w:rsid w:val="009559EB"/>
    <w:rsid w:val="00955AC2"/>
    <w:rsid w:val="00955B01"/>
    <w:rsid w:val="00955D83"/>
    <w:rsid w:val="00956024"/>
    <w:rsid w:val="0095605C"/>
    <w:rsid w:val="009560AD"/>
    <w:rsid w:val="00956248"/>
    <w:rsid w:val="00956280"/>
    <w:rsid w:val="009562EF"/>
    <w:rsid w:val="0095632D"/>
    <w:rsid w:val="0095641E"/>
    <w:rsid w:val="0095676A"/>
    <w:rsid w:val="0095677A"/>
    <w:rsid w:val="00956852"/>
    <w:rsid w:val="00956923"/>
    <w:rsid w:val="00956A9D"/>
    <w:rsid w:val="00956AB0"/>
    <w:rsid w:val="00956AC2"/>
    <w:rsid w:val="00956B72"/>
    <w:rsid w:val="00956BCB"/>
    <w:rsid w:val="00956C2F"/>
    <w:rsid w:val="00956C37"/>
    <w:rsid w:val="00956C8D"/>
    <w:rsid w:val="00956C96"/>
    <w:rsid w:val="00956D19"/>
    <w:rsid w:val="00956D61"/>
    <w:rsid w:val="00956E3A"/>
    <w:rsid w:val="00956E99"/>
    <w:rsid w:val="009571CC"/>
    <w:rsid w:val="00957625"/>
    <w:rsid w:val="00957710"/>
    <w:rsid w:val="00957763"/>
    <w:rsid w:val="00957801"/>
    <w:rsid w:val="00957845"/>
    <w:rsid w:val="009579E2"/>
    <w:rsid w:val="00957ACC"/>
    <w:rsid w:val="00957B30"/>
    <w:rsid w:val="00957D65"/>
    <w:rsid w:val="00957E01"/>
    <w:rsid w:val="00957E81"/>
    <w:rsid w:val="00957E88"/>
    <w:rsid w:val="00957FA3"/>
    <w:rsid w:val="00957FA9"/>
    <w:rsid w:val="00960043"/>
    <w:rsid w:val="0096005A"/>
    <w:rsid w:val="0096011C"/>
    <w:rsid w:val="0096027E"/>
    <w:rsid w:val="00960305"/>
    <w:rsid w:val="00960478"/>
    <w:rsid w:val="0096051A"/>
    <w:rsid w:val="00960520"/>
    <w:rsid w:val="009605A9"/>
    <w:rsid w:val="0096063D"/>
    <w:rsid w:val="0096071C"/>
    <w:rsid w:val="00960776"/>
    <w:rsid w:val="0096081B"/>
    <w:rsid w:val="00960856"/>
    <w:rsid w:val="009608E0"/>
    <w:rsid w:val="0096094F"/>
    <w:rsid w:val="0096096D"/>
    <w:rsid w:val="00960976"/>
    <w:rsid w:val="009609F6"/>
    <w:rsid w:val="00960A64"/>
    <w:rsid w:val="00960B9D"/>
    <w:rsid w:val="00960D8F"/>
    <w:rsid w:val="00960DD3"/>
    <w:rsid w:val="00960DD4"/>
    <w:rsid w:val="00960FB2"/>
    <w:rsid w:val="00961187"/>
    <w:rsid w:val="00961189"/>
    <w:rsid w:val="009611DF"/>
    <w:rsid w:val="009612DB"/>
    <w:rsid w:val="00961361"/>
    <w:rsid w:val="00961431"/>
    <w:rsid w:val="009614C2"/>
    <w:rsid w:val="00961557"/>
    <w:rsid w:val="0096156D"/>
    <w:rsid w:val="009615C0"/>
    <w:rsid w:val="0096162F"/>
    <w:rsid w:val="00961638"/>
    <w:rsid w:val="00961680"/>
    <w:rsid w:val="0096168F"/>
    <w:rsid w:val="009616CE"/>
    <w:rsid w:val="009617BF"/>
    <w:rsid w:val="009617C1"/>
    <w:rsid w:val="009617E0"/>
    <w:rsid w:val="0096187E"/>
    <w:rsid w:val="00961A50"/>
    <w:rsid w:val="00961AC2"/>
    <w:rsid w:val="00961BD5"/>
    <w:rsid w:val="00961D07"/>
    <w:rsid w:val="00961F04"/>
    <w:rsid w:val="00962007"/>
    <w:rsid w:val="00962336"/>
    <w:rsid w:val="009623A5"/>
    <w:rsid w:val="009623D6"/>
    <w:rsid w:val="009623E1"/>
    <w:rsid w:val="0096256A"/>
    <w:rsid w:val="009625FB"/>
    <w:rsid w:val="009626E0"/>
    <w:rsid w:val="0096272F"/>
    <w:rsid w:val="00962731"/>
    <w:rsid w:val="00962849"/>
    <w:rsid w:val="0096289F"/>
    <w:rsid w:val="0096297B"/>
    <w:rsid w:val="00962A22"/>
    <w:rsid w:val="00962BC8"/>
    <w:rsid w:val="00962D67"/>
    <w:rsid w:val="00962F5A"/>
    <w:rsid w:val="00963274"/>
    <w:rsid w:val="009632A1"/>
    <w:rsid w:val="009632C9"/>
    <w:rsid w:val="0096330A"/>
    <w:rsid w:val="0096345D"/>
    <w:rsid w:val="009635FF"/>
    <w:rsid w:val="00963603"/>
    <w:rsid w:val="00963669"/>
    <w:rsid w:val="00963719"/>
    <w:rsid w:val="009637D5"/>
    <w:rsid w:val="009638EB"/>
    <w:rsid w:val="0096391C"/>
    <w:rsid w:val="00963A10"/>
    <w:rsid w:val="00963A5B"/>
    <w:rsid w:val="00963B93"/>
    <w:rsid w:val="00963C27"/>
    <w:rsid w:val="00963C2D"/>
    <w:rsid w:val="00963C8C"/>
    <w:rsid w:val="00963CCF"/>
    <w:rsid w:val="00963CF8"/>
    <w:rsid w:val="00963DE5"/>
    <w:rsid w:val="00963E5F"/>
    <w:rsid w:val="00963F1E"/>
    <w:rsid w:val="009640E9"/>
    <w:rsid w:val="0096420D"/>
    <w:rsid w:val="0096424F"/>
    <w:rsid w:val="0096428E"/>
    <w:rsid w:val="00964304"/>
    <w:rsid w:val="0096434A"/>
    <w:rsid w:val="0096450B"/>
    <w:rsid w:val="009645BF"/>
    <w:rsid w:val="009645EB"/>
    <w:rsid w:val="00964630"/>
    <w:rsid w:val="00964648"/>
    <w:rsid w:val="00964729"/>
    <w:rsid w:val="009647B8"/>
    <w:rsid w:val="009649B9"/>
    <w:rsid w:val="00964A01"/>
    <w:rsid w:val="00964A1B"/>
    <w:rsid w:val="00964D79"/>
    <w:rsid w:val="00964DBB"/>
    <w:rsid w:val="00964E6C"/>
    <w:rsid w:val="00964FC3"/>
    <w:rsid w:val="009650EF"/>
    <w:rsid w:val="00965163"/>
    <w:rsid w:val="0096517F"/>
    <w:rsid w:val="009653E7"/>
    <w:rsid w:val="00965487"/>
    <w:rsid w:val="00965499"/>
    <w:rsid w:val="009654FD"/>
    <w:rsid w:val="0096559D"/>
    <w:rsid w:val="009655A8"/>
    <w:rsid w:val="00965618"/>
    <w:rsid w:val="0096572D"/>
    <w:rsid w:val="009658EF"/>
    <w:rsid w:val="00965A97"/>
    <w:rsid w:val="00965B11"/>
    <w:rsid w:val="00965D1C"/>
    <w:rsid w:val="00965EA1"/>
    <w:rsid w:val="00965F8C"/>
    <w:rsid w:val="00965FD4"/>
    <w:rsid w:val="00965FED"/>
    <w:rsid w:val="00966056"/>
    <w:rsid w:val="0096606B"/>
    <w:rsid w:val="00966157"/>
    <w:rsid w:val="009661AF"/>
    <w:rsid w:val="009662F7"/>
    <w:rsid w:val="0096641B"/>
    <w:rsid w:val="0096646D"/>
    <w:rsid w:val="00966542"/>
    <w:rsid w:val="0096659D"/>
    <w:rsid w:val="009667A5"/>
    <w:rsid w:val="009669A6"/>
    <w:rsid w:val="009669B8"/>
    <w:rsid w:val="00966A41"/>
    <w:rsid w:val="00966BB3"/>
    <w:rsid w:val="00966CD4"/>
    <w:rsid w:val="00966F03"/>
    <w:rsid w:val="00966F44"/>
    <w:rsid w:val="00966FB1"/>
    <w:rsid w:val="0096707C"/>
    <w:rsid w:val="00967164"/>
    <w:rsid w:val="009671B6"/>
    <w:rsid w:val="009671B8"/>
    <w:rsid w:val="0096724F"/>
    <w:rsid w:val="00967281"/>
    <w:rsid w:val="0096736C"/>
    <w:rsid w:val="00967466"/>
    <w:rsid w:val="0096747D"/>
    <w:rsid w:val="009677EA"/>
    <w:rsid w:val="0096788F"/>
    <w:rsid w:val="00967964"/>
    <w:rsid w:val="00967996"/>
    <w:rsid w:val="00967A91"/>
    <w:rsid w:val="00967ABC"/>
    <w:rsid w:val="00967B17"/>
    <w:rsid w:val="00967BF0"/>
    <w:rsid w:val="00967C0C"/>
    <w:rsid w:val="00967CC1"/>
    <w:rsid w:val="00967D13"/>
    <w:rsid w:val="00967DE5"/>
    <w:rsid w:val="00967E02"/>
    <w:rsid w:val="00967F5A"/>
    <w:rsid w:val="00970025"/>
    <w:rsid w:val="0097004B"/>
    <w:rsid w:val="00970187"/>
    <w:rsid w:val="00970402"/>
    <w:rsid w:val="0097040A"/>
    <w:rsid w:val="0097044C"/>
    <w:rsid w:val="0097052F"/>
    <w:rsid w:val="00970569"/>
    <w:rsid w:val="009705C3"/>
    <w:rsid w:val="009706B5"/>
    <w:rsid w:val="0097080A"/>
    <w:rsid w:val="0097088F"/>
    <w:rsid w:val="00970897"/>
    <w:rsid w:val="009708F1"/>
    <w:rsid w:val="009708FF"/>
    <w:rsid w:val="0097097B"/>
    <w:rsid w:val="00970A5E"/>
    <w:rsid w:val="00970B9B"/>
    <w:rsid w:val="00970B9E"/>
    <w:rsid w:val="00970BD0"/>
    <w:rsid w:val="00970BDA"/>
    <w:rsid w:val="00970BDF"/>
    <w:rsid w:val="00970C92"/>
    <w:rsid w:val="00970E41"/>
    <w:rsid w:val="00970E93"/>
    <w:rsid w:val="00970EB5"/>
    <w:rsid w:val="00970F06"/>
    <w:rsid w:val="009710EC"/>
    <w:rsid w:val="009711CA"/>
    <w:rsid w:val="00971268"/>
    <w:rsid w:val="009712B9"/>
    <w:rsid w:val="009712D9"/>
    <w:rsid w:val="0097131F"/>
    <w:rsid w:val="0097146D"/>
    <w:rsid w:val="0097148B"/>
    <w:rsid w:val="009714D1"/>
    <w:rsid w:val="009714D9"/>
    <w:rsid w:val="00971574"/>
    <w:rsid w:val="009715B2"/>
    <w:rsid w:val="0097169D"/>
    <w:rsid w:val="00971897"/>
    <w:rsid w:val="009718B4"/>
    <w:rsid w:val="00971909"/>
    <w:rsid w:val="00971976"/>
    <w:rsid w:val="00971B95"/>
    <w:rsid w:val="00971BB7"/>
    <w:rsid w:val="00971BCA"/>
    <w:rsid w:val="00971D3C"/>
    <w:rsid w:val="00971E7C"/>
    <w:rsid w:val="00971E93"/>
    <w:rsid w:val="00971F03"/>
    <w:rsid w:val="00972022"/>
    <w:rsid w:val="00972182"/>
    <w:rsid w:val="0097218A"/>
    <w:rsid w:val="00972297"/>
    <w:rsid w:val="00972371"/>
    <w:rsid w:val="009723BF"/>
    <w:rsid w:val="00972503"/>
    <w:rsid w:val="0097254C"/>
    <w:rsid w:val="00972564"/>
    <w:rsid w:val="009725E6"/>
    <w:rsid w:val="00972604"/>
    <w:rsid w:val="00972641"/>
    <w:rsid w:val="0097269D"/>
    <w:rsid w:val="009726A6"/>
    <w:rsid w:val="009727C8"/>
    <w:rsid w:val="0097280A"/>
    <w:rsid w:val="009728E1"/>
    <w:rsid w:val="009729F9"/>
    <w:rsid w:val="00972A4D"/>
    <w:rsid w:val="00972AAA"/>
    <w:rsid w:val="00972B97"/>
    <w:rsid w:val="00972CC6"/>
    <w:rsid w:val="00972E2D"/>
    <w:rsid w:val="00972E7F"/>
    <w:rsid w:val="00972EEF"/>
    <w:rsid w:val="00973011"/>
    <w:rsid w:val="0097305B"/>
    <w:rsid w:val="0097318E"/>
    <w:rsid w:val="00973268"/>
    <w:rsid w:val="009732C7"/>
    <w:rsid w:val="009733A6"/>
    <w:rsid w:val="009733AE"/>
    <w:rsid w:val="009733BF"/>
    <w:rsid w:val="00973402"/>
    <w:rsid w:val="00973408"/>
    <w:rsid w:val="00973439"/>
    <w:rsid w:val="00973452"/>
    <w:rsid w:val="00973514"/>
    <w:rsid w:val="009735B5"/>
    <w:rsid w:val="009735B9"/>
    <w:rsid w:val="009735EC"/>
    <w:rsid w:val="009735F9"/>
    <w:rsid w:val="0097372D"/>
    <w:rsid w:val="00973735"/>
    <w:rsid w:val="0097378B"/>
    <w:rsid w:val="00973895"/>
    <w:rsid w:val="009738D6"/>
    <w:rsid w:val="009738F3"/>
    <w:rsid w:val="00973A26"/>
    <w:rsid w:val="00973A31"/>
    <w:rsid w:val="00973B57"/>
    <w:rsid w:val="00973C28"/>
    <w:rsid w:val="00973D77"/>
    <w:rsid w:val="00973E96"/>
    <w:rsid w:val="00973F45"/>
    <w:rsid w:val="00974049"/>
    <w:rsid w:val="009741BA"/>
    <w:rsid w:val="00974262"/>
    <w:rsid w:val="0097429B"/>
    <w:rsid w:val="0097433B"/>
    <w:rsid w:val="00974377"/>
    <w:rsid w:val="009743F7"/>
    <w:rsid w:val="009744FF"/>
    <w:rsid w:val="0097452E"/>
    <w:rsid w:val="0097459A"/>
    <w:rsid w:val="009745BC"/>
    <w:rsid w:val="009746F1"/>
    <w:rsid w:val="00974738"/>
    <w:rsid w:val="00974806"/>
    <w:rsid w:val="00974966"/>
    <w:rsid w:val="0097498D"/>
    <w:rsid w:val="009749AB"/>
    <w:rsid w:val="00974A54"/>
    <w:rsid w:val="00974ABF"/>
    <w:rsid w:val="00974AC3"/>
    <w:rsid w:val="00974B16"/>
    <w:rsid w:val="00974B51"/>
    <w:rsid w:val="00974DBE"/>
    <w:rsid w:val="00974EC4"/>
    <w:rsid w:val="00974ECE"/>
    <w:rsid w:val="00975089"/>
    <w:rsid w:val="009750CE"/>
    <w:rsid w:val="009750D9"/>
    <w:rsid w:val="00975124"/>
    <w:rsid w:val="009751A3"/>
    <w:rsid w:val="009751B1"/>
    <w:rsid w:val="00975235"/>
    <w:rsid w:val="00975243"/>
    <w:rsid w:val="009753F3"/>
    <w:rsid w:val="00975479"/>
    <w:rsid w:val="009754C7"/>
    <w:rsid w:val="0097556E"/>
    <w:rsid w:val="009755DB"/>
    <w:rsid w:val="009755E1"/>
    <w:rsid w:val="009755F0"/>
    <w:rsid w:val="00975618"/>
    <w:rsid w:val="00975660"/>
    <w:rsid w:val="009756D0"/>
    <w:rsid w:val="009758A6"/>
    <w:rsid w:val="00975946"/>
    <w:rsid w:val="00975C0F"/>
    <w:rsid w:val="00975C61"/>
    <w:rsid w:val="00975CCA"/>
    <w:rsid w:val="00975CD2"/>
    <w:rsid w:val="00975D40"/>
    <w:rsid w:val="00975D74"/>
    <w:rsid w:val="00975E3B"/>
    <w:rsid w:val="00975FB3"/>
    <w:rsid w:val="00975FEB"/>
    <w:rsid w:val="00976050"/>
    <w:rsid w:val="0097606A"/>
    <w:rsid w:val="009760F9"/>
    <w:rsid w:val="00976155"/>
    <w:rsid w:val="0097615F"/>
    <w:rsid w:val="00976173"/>
    <w:rsid w:val="0097617E"/>
    <w:rsid w:val="009762F2"/>
    <w:rsid w:val="00976354"/>
    <w:rsid w:val="009763C0"/>
    <w:rsid w:val="00976667"/>
    <w:rsid w:val="0097667D"/>
    <w:rsid w:val="009767A7"/>
    <w:rsid w:val="00976839"/>
    <w:rsid w:val="00976867"/>
    <w:rsid w:val="0097688B"/>
    <w:rsid w:val="0097693A"/>
    <w:rsid w:val="00976998"/>
    <w:rsid w:val="009769A2"/>
    <w:rsid w:val="00976AEC"/>
    <w:rsid w:val="00976C28"/>
    <w:rsid w:val="00976CE2"/>
    <w:rsid w:val="00976E1B"/>
    <w:rsid w:val="00976E61"/>
    <w:rsid w:val="00976E86"/>
    <w:rsid w:val="00976F18"/>
    <w:rsid w:val="00976F35"/>
    <w:rsid w:val="00976F5F"/>
    <w:rsid w:val="00977005"/>
    <w:rsid w:val="00977085"/>
    <w:rsid w:val="00977092"/>
    <w:rsid w:val="009771D4"/>
    <w:rsid w:val="009773CC"/>
    <w:rsid w:val="00977529"/>
    <w:rsid w:val="00977881"/>
    <w:rsid w:val="009778B9"/>
    <w:rsid w:val="00977A15"/>
    <w:rsid w:val="00977AA0"/>
    <w:rsid w:val="00977B02"/>
    <w:rsid w:val="00977B8D"/>
    <w:rsid w:val="00977B8E"/>
    <w:rsid w:val="00977BD2"/>
    <w:rsid w:val="00977C07"/>
    <w:rsid w:val="00977C3F"/>
    <w:rsid w:val="00977C42"/>
    <w:rsid w:val="00977CF9"/>
    <w:rsid w:val="00977D70"/>
    <w:rsid w:val="00977EBF"/>
    <w:rsid w:val="00977FAE"/>
    <w:rsid w:val="009800D1"/>
    <w:rsid w:val="00980272"/>
    <w:rsid w:val="009802E2"/>
    <w:rsid w:val="00980432"/>
    <w:rsid w:val="0098046C"/>
    <w:rsid w:val="009804E8"/>
    <w:rsid w:val="0098066B"/>
    <w:rsid w:val="0098070D"/>
    <w:rsid w:val="00980888"/>
    <w:rsid w:val="0098088D"/>
    <w:rsid w:val="00980992"/>
    <w:rsid w:val="009809E4"/>
    <w:rsid w:val="009809EB"/>
    <w:rsid w:val="00980A5B"/>
    <w:rsid w:val="00980ABE"/>
    <w:rsid w:val="00980CE3"/>
    <w:rsid w:val="00980CF7"/>
    <w:rsid w:val="00980D64"/>
    <w:rsid w:val="00980DC4"/>
    <w:rsid w:val="00980E55"/>
    <w:rsid w:val="00980EC3"/>
    <w:rsid w:val="00980F07"/>
    <w:rsid w:val="00980F55"/>
    <w:rsid w:val="009810EA"/>
    <w:rsid w:val="00981217"/>
    <w:rsid w:val="00981271"/>
    <w:rsid w:val="0098129C"/>
    <w:rsid w:val="0098140F"/>
    <w:rsid w:val="0098142E"/>
    <w:rsid w:val="009814A2"/>
    <w:rsid w:val="0098150B"/>
    <w:rsid w:val="00981591"/>
    <w:rsid w:val="009815E6"/>
    <w:rsid w:val="009816C9"/>
    <w:rsid w:val="009816CD"/>
    <w:rsid w:val="009817A3"/>
    <w:rsid w:val="009817D1"/>
    <w:rsid w:val="00981807"/>
    <w:rsid w:val="00981811"/>
    <w:rsid w:val="009819A4"/>
    <w:rsid w:val="00981A10"/>
    <w:rsid w:val="00981A68"/>
    <w:rsid w:val="00981B23"/>
    <w:rsid w:val="00981BC4"/>
    <w:rsid w:val="00981C0F"/>
    <w:rsid w:val="00981C95"/>
    <w:rsid w:val="00981D40"/>
    <w:rsid w:val="00981D68"/>
    <w:rsid w:val="00981DDB"/>
    <w:rsid w:val="00981DE8"/>
    <w:rsid w:val="00981EB7"/>
    <w:rsid w:val="00981F35"/>
    <w:rsid w:val="009820E1"/>
    <w:rsid w:val="009821F4"/>
    <w:rsid w:val="0098237B"/>
    <w:rsid w:val="009827B9"/>
    <w:rsid w:val="009827EA"/>
    <w:rsid w:val="00982977"/>
    <w:rsid w:val="00982AED"/>
    <w:rsid w:val="00982B20"/>
    <w:rsid w:val="00982B4D"/>
    <w:rsid w:val="00982B4F"/>
    <w:rsid w:val="00982B97"/>
    <w:rsid w:val="00982C13"/>
    <w:rsid w:val="00982C2D"/>
    <w:rsid w:val="00982C65"/>
    <w:rsid w:val="00982C9A"/>
    <w:rsid w:val="00982CAB"/>
    <w:rsid w:val="00982D07"/>
    <w:rsid w:val="00982D52"/>
    <w:rsid w:val="00982D83"/>
    <w:rsid w:val="00982E64"/>
    <w:rsid w:val="0098309B"/>
    <w:rsid w:val="00983216"/>
    <w:rsid w:val="0098332C"/>
    <w:rsid w:val="00983390"/>
    <w:rsid w:val="00983572"/>
    <w:rsid w:val="00983987"/>
    <w:rsid w:val="00983AD1"/>
    <w:rsid w:val="00983AEC"/>
    <w:rsid w:val="00983C4B"/>
    <w:rsid w:val="00983EF9"/>
    <w:rsid w:val="00984211"/>
    <w:rsid w:val="009843C9"/>
    <w:rsid w:val="009844BE"/>
    <w:rsid w:val="009845E0"/>
    <w:rsid w:val="00984646"/>
    <w:rsid w:val="00984656"/>
    <w:rsid w:val="00984722"/>
    <w:rsid w:val="00984817"/>
    <w:rsid w:val="00984824"/>
    <w:rsid w:val="00984836"/>
    <w:rsid w:val="009848D3"/>
    <w:rsid w:val="009848FC"/>
    <w:rsid w:val="009849ED"/>
    <w:rsid w:val="00984A72"/>
    <w:rsid w:val="00984C6C"/>
    <w:rsid w:val="00984C8C"/>
    <w:rsid w:val="00984E14"/>
    <w:rsid w:val="00984F6E"/>
    <w:rsid w:val="009850C3"/>
    <w:rsid w:val="009852AF"/>
    <w:rsid w:val="009852C2"/>
    <w:rsid w:val="009853CB"/>
    <w:rsid w:val="0098542D"/>
    <w:rsid w:val="00985520"/>
    <w:rsid w:val="0098552A"/>
    <w:rsid w:val="009856B3"/>
    <w:rsid w:val="009858D6"/>
    <w:rsid w:val="009858EE"/>
    <w:rsid w:val="00985947"/>
    <w:rsid w:val="009859B4"/>
    <w:rsid w:val="00985A7A"/>
    <w:rsid w:val="00985AF4"/>
    <w:rsid w:val="00985AFE"/>
    <w:rsid w:val="00985B63"/>
    <w:rsid w:val="00985B6D"/>
    <w:rsid w:val="00985C30"/>
    <w:rsid w:val="00985CA7"/>
    <w:rsid w:val="00985CCF"/>
    <w:rsid w:val="00985DA1"/>
    <w:rsid w:val="00986075"/>
    <w:rsid w:val="00986091"/>
    <w:rsid w:val="0098619A"/>
    <w:rsid w:val="0098631D"/>
    <w:rsid w:val="00986332"/>
    <w:rsid w:val="00986398"/>
    <w:rsid w:val="00986552"/>
    <w:rsid w:val="009865A6"/>
    <w:rsid w:val="00986607"/>
    <w:rsid w:val="00986A55"/>
    <w:rsid w:val="00986B75"/>
    <w:rsid w:val="00986C27"/>
    <w:rsid w:val="00986CEB"/>
    <w:rsid w:val="00986D3E"/>
    <w:rsid w:val="00986D69"/>
    <w:rsid w:val="00986DE9"/>
    <w:rsid w:val="00986EAB"/>
    <w:rsid w:val="00986EAD"/>
    <w:rsid w:val="00986EC2"/>
    <w:rsid w:val="00986ECE"/>
    <w:rsid w:val="00986F10"/>
    <w:rsid w:val="00986FC0"/>
    <w:rsid w:val="00986FF5"/>
    <w:rsid w:val="00987025"/>
    <w:rsid w:val="00987036"/>
    <w:rsid w:val="00987234"/>
    <w:rsid w:val="009872E1"/>
    <w:rsid w:val="009874C4"/>
    <w:rsid w:val="009874E5"/>
    <w:rsid w:val="009874EB"/>
    <w:rsid w:val="00987509"/>
    <w:rsid w:val="00987529"/>
    <w:rsid w:val="009875EF"/>
    <w:rsid w:val="009876AF"/>
    <w:rsid w:val="009877B8"/>
    <w:rsid w:val="00987856"/>
    <w:rsid w:val="0098799F"/>
    <w:rsid w:val="00987AE1"/>
    <w:rsid w:val="00987CBD"/>
    <w:rsid w:val="00987CE5"/>
    <w:rsid w:val="00987D1A"/>
    <w:rsid w:val="00987D6C"/>
    <w:rsid w:val="00987DE3"/>
    <w:rsid w:val="00987E82"/>
    <w:rsid w:val="00987F65"/>
    <w:rsid w:val="00987FA0"/>
    <w:rsid w:val="00990090"/>
    <w:rsid w:val="00990294"/>
    <w:rsid w:val="009903BD"/>
    <w:rsid w:val="009903CE"/>
    <w:rsid w:val="009903E9"/>
    <w:rsid w:val="009903FD"/>
    <w:rsid w:val="0099050E"/>
    <w:rsid w:val="00990535"/>
    <w:rsid w:val="009905F3"/>
    <w:rsid w:val="009905FA"/>
    <w:rsid w:val="00990682"/>
    <w:rsid w:val="0099069A"/>
    <w:rsid w:val="009906AB"/>
    <w:rsid w:val="00990936"/>
    <w:rsid w:val="009909B9"/>
    <w:rsid w:val="009909C7"/>
    <w:rsid w:val="00990A42"/>
    <w:rsid w:val="00990AB5"/>
    <w:rsid w:val="00990B0D"/>
    <w:rsid w:val="00990BE2"/>
    <w:rsid w:val="00990BF6"/>
    <w:rsid w:val="00990C46"/>
    <w:rsid w:val="00990C5C"/>
    <w:rsid w:val="00990ECB"/>
    <w:rsid w:val="00990F0C"/>
    <w:rsid w:val="00991012"/>
    <w:rsid w:val="0099106D"/>
    <w:rsid w:val="00991074"/>
    <w:rsid w:val="00991322"/>
    <w:rsid w:val="00991361"/>
    <w:rsid w:val="0099138F"/>
    <w:rsid w:val="009913C8"/>
    <w:rsid w:val="009913F7"/>
    <w:rsid w:val="009914E3"/>
    <w:rsid w:val="009914FC"/>
    <w:rsid w:val="0099155A"/>
    <w:rsid w:val="009915E9"/>
    <w:rsid w:val="00991617"/>
    <w:rsid w:val="00991771"/>
    <w:rsid w:val="00991790"/>
    <w:rsid w:val="00991A04"/>
    <w:rsid w:val="00991B44"/>
    <w:rsid w:val="00991B68"/>
    <w:rsid w:val="00991C49"/>
    <w:rsid w:val="00991D51"/>
    <w:rsid w:val="00991DBE"/>
    <w:rsid w:val="00991E46"/>
    <w:rsid w:val="00991F07"/>
    <w:rsid w:val="00991F11"/>
    <w:rsid w:val="00991F58"/>
    <w:rsid w:val="00991F71"/>
    <w:rsid w:val="00992060"/>
    <w:rsid w:val="00992170"/>
    <w:rsid w:val="009921A5"/>
    <w:rsid w:val="009923D0"/>
    <w:rsid w:val="00992456"/>
    <w:rsid w:val="009924E2"/>
    <w:rsid w:val="00992525"/>
    <w:rsid w:val="00992666"/>
    <w:rsid w:val="00992677"/>
    <w:rsid w:val="00992686"/>
    <w:rsid w:val="009927AB"/>
    <w:rsid w:val="009927E6"/>
    <w:rsid w:val="00992852"/>
    <w:rsid w:val="009928A1"/>
    <w:rsid w:val="009928C8"/>
    <w:rsid w:val="00992901"/>
    <w:rsid w:val="009929C8"/>
    <w:rsid w:val="009929D2"/>
    <w:rsid w:val="00992D3C"/>
    <w:rsid w:val="00992D9F"/>
    <w:rsid w:val="00992EEA"/>
    <w:rsid w:val="00992F6C"/>
    <w:rsid w:val="009930AD"/>
    <w:rsid w:val="00993185"/>
    <w:rsid w:val="0099318B"/>
    <w:rsid w:val="009931DD"/>
    <w:rsid w:val="00993275"/>
    <w:rsid w:val="0099338F"/>
    <w:rsid w:val="009933C6"/>
    <w:rsid w:val="009933D5"/>
    <w:rsid w:val="0099342D"/>
    <w:rsid w:val="00993537"/>
    <w:rsid w:val="0099365F"/>
    <w:rsid w:val="009936FD"/>
    <w:rsid w:val="00993834"/>
    <w:rsid w:val="009938D5"/>
    <w:rsid w:val="00993901"/>
    <w:rsid w:val="00993991"/>
    <w:rsid w:val="009939BF"/>
    <w:rsid w:val="00993AA3"/>
    <w:rsid w:val="00993ADF"/>
    <w:rsid w:val="00993BCB"/>
    <w:rsid w:val="00993C12"/>
    <w:rsid w:val="00993CEA"/>
    <w:rsid w:val="00993E17"/>
    <w:rsid w:val="00993FCB"/>
    <w:rsid w:val="00994031"/>
    <w:rsid w:val="009940DE"/>
    <w:rsid w:val="00994237"/>
    <w:rsid w:val="009942A3"/>
    <w:rsid w:val="009942B3"/>
    <w:rsid w:val="009942ED"/>
    <w:rsid w:val="009943B4"/>
    <w:rsid w:val="009943BE"/>
    <w:rsid w:val="00994441"/>
    <w:rsid w:val="0099446A"/>
    <w:rsid w:val="009944B4"/>
    <w:rsid w:val="00994538"/>
    <w:rsid w:val="0099461F"/>
    <w:rsid w:val="00994694"/>
    <w:rsid w:val="009946D5"/>
    <w:rsid w:val="009949F5"/>
    <w:rsid w:val="00994AFB"/>
    <w:rsid w:val="00994C00"/>
    <w:rsid w:val="00994CE3"/>
    <w:rsid w:val="00994F22"/>
    <w:rsid w:val="009952F1"/>
    <w:rsid w:val="009953F5"/>
    <w:rsid w:val="00995460"/>
    <w:rsid w:val="00995486"/>
    <w:rsid w:val="009954A2"/>
    <w:rsid w:val="00995617"/>
    <w:rsid w:val="009956DF"/>
    <w:rsid w:val="009957A0"/>
    <w:rsid w:val="00995868"/>
    <w:rsid w:val="009958D9"/>
    <w:rsid w:val="00995ACB"/>
    <w:rsid w:val="00995B03"/>
    <w:rsid w:val="00995B96"/>
    <w:rsid w:val="00995CCF"/>
    <w:rsid w:val="00995D06"/>
    <w:rsid w:val="00995D23"/>
    <w:rsid w:val="00995D96"/>
    <w:rsid w:val="00995E05"/>
    <w:rsid w:val="00995E77"/>
    <w:rsid w:val="00995E86"/>
    <w:rsid w:val="00995F1D"/>
    <w:rsid w:val="00995F42"/>
    <w:rsid w:val="00996018"/>
    <w:rsid w:val="00996073"/>
    <w:rsid w:val="0099619C"/>
    <w:rsid w:val="0099632D"/>
    <w:rsid w:val="00996373"/>
    <w:rsid w:val="0099645C"/>
    <w:rsid w:val="00996467"/>
    <w:rsid w:val="009964D2"/>
    <w:rsid w:val="009964D8"/>
    <w:rsid w:val="00996521"/>
    <w:rsid w:val="0099663B"/>
    <w:rsid w:val="0099670D"/>
    <w:rsid w:val="00996780"/>
    <w:rsid w:val="00996995"/>
    <w:rsid w:val="009969F1"/>
    <w:rsid w:val="00996A44"/>
    <w:rsid w:val="00996A47"/>
    <w:rsid w:val="00996AFC"/>
    <w:rsid w:val="00996D0D"/>
    <w:rsid w:val="00996DB7"/>
    <w:rsid w:val="00996DD2"/>
    <w:rsid w:val="00996E65"/>
    <w:rsid w:val="00996EC2"/>
    <w:rsid w:val="00996F55"/>
    <w:rsid w:val="009970D2"/>
    <w:rsid w:val="009970D5"/>
    <w:rsid w:val="00997208"/>
    <w:rsid w:val="00997234"/>
    <w:rsid w:val="0099723D"/>
    <w:rsid w:val="009973F1"/>
    <w:rsid w:val="00997405"/>
    <w:rsid w:val="00997581"/>
    <w:rsid w:val="009976F3"/>
    <w:rsid w:val="009976FD"/>
    <w:rsid w:val="0099774B"/>
    <w:rsid w:val="00997776"/>
    <w:rsid w:val="009977C5"/>
    <w:rsid w:val="00997868"/>
    <w:rsid w:val="00997A60"/>
    <w:rsid w:val="00997A64"/>
    <w:rsid w:val="00997A69"/>
    <w:rsid w:val="00997A90"/>
    <w:rsid w:val="00997ADA"/>
    <w:rsid w:val="00997AE5"/>
    <w:rsid w:val="00997B23"/>
    <w:rsid w:val="00997C76"/>
    <w:rsid w:val="00997CD7"/>
    <w:rsid w:val="00997E00"/>
    <w:rsid w:val="00997F97"/>
    <w:rsid w:val="00997FE9"/>
    <w:rsid w:val="009A0066"/>
    <w:rsid w:val="009A00E6"/>
    <w:rsid w:val="009A01EF"/>
    <w:rsid w:val="009A0254"/>
    <w:rsid w:val="009A0357"/>
    <w:rsid w:val="009A065C"/>
    <w:rsid w:val="009A0688"/>
    <w:rsid w:val="009A069E"/>
    <w:rsid w:val="009A075F"/>
    <w:rsid w:val="009A0785"/>
    <w:rsid w:val="009A07AD"/>
    <w:rsid w:val="009A07E3"/>
    <w:rsid w:val="009A07E4"/>
    <w:rsid w:val="009A0810"/>
    <w:rsid w:val="009A08B3"/>
    <w:rsid w:val="009A09C6"/>
    <w:rsid w:val="009A0BAE"/>
    <w:rsid w:val="009A0D11"/>
    <w:rsid w:val="009A0D83"/>
    <w:rsid w:val="009A0DF0"/>
    <w:rsid w:val="009A0E03"/>
    <w:rsid w:val="009A0FA4"/>
    <w:rsid w:val="009A105F"/>
    <w:rsid w:val="009A108D"/>
    <w:rsid w:val="009A10E3"/>
    <w:rsid w:val="009A1139"/>
    <w:rsid w:val="009A1141"/>
    <w:rsid w:val="009A1150"/>
    <w:rsid w:val="009A121B"/>
    <w:rsid w:val="009A123C"/>
    <w:rsid w:val="009A1259"/>
    <w:rsid w:val="009A125B"/>
    <w:rsid w:val="009A12B8"/>
    <w:rsid w:val="009A12FE"/>
    <w:rsid w:val="009A1398"/>
    <w:rsid w:val="009A14C1"/>
    <w:rsid w:val="009A15CB"/>
    <w:rsid w:val="009A1649"/>
    <w:rsid w:val="009A16C9"/>
    <w:rsid w:val="009A190A"/>
    <w:rsid w:val="009A193A"/>
    <w:rsid w:val="009A19B6"/>
    <w:rsid w:val="009A1A03"/>
    <w:rsid w:val="009A1A08"/>
    <w:rsid w:val="009A1B04"/>
    <w:rsid w:val="009A1C00"/>
    <w:rsid w:val="009A1C44"/>
    <w:rsid w:val="009A1DC2"/>
    <w:rsid w:val="009A1DE0"/>
    <w:rsid w:val="009A1EC0"/>
    <w:rsid w:val="009A1FEC"/>
    <w:rsid w:val="009A2123"/>
    <w:rsid w:val="009A22C4"/>
    <w:rsid w:val="009A2632"/>
    <w:rsid w:val="009A288A"/>
    <w:rsid w:val="009A28E8"/>
    <w:rsid w:val="009A2989"/>
    <w:rsid w:val="009A29AA"/>
    <w:rsid w:val="009A2AA3"/>
    <w:rsid w:val="009A2B75"/>
    <w:rsid w:val="009A2D64"/>
    <w:rsid w:val="009A2D6B"/>
    <w:rsid w:val="009A2D8C"/>
    <w:rsid w:val="009A2E70"/>
    <w:rsid w:val="009A3041"/>
    <w:rsid w:val="009A3286"/>
    <w:rsid w:val="009A338F"/>
    <w:rsid w:val="009A34EB"/>
    <w:rsid w:val="009A35AB"/>
    <w:rsid w:val="009A36BD"/>
    <w:rsid w:val="009A3908"/>
    <w:rsid w:val="009A39F3"/>
    <w:rsid w:val="009A39F4"/>
    <w:rsid w:val="009A3AFB"/>
    <w:rsid w:val="009A3AFF"/>
    <w:rsid w:val="009A3C18"/>
    <w:rsid w:val="009A3D13"/>
    <w:rsid w:val="009A3D5D"/>
    <w:rsid w:val="009A3D64"/>
    <w:rsid w:val="009A3F41"/>
    <w:rsid w:val="009A3F62"/>
    <w:rsid w:val="009A40D2"/>
    <w:rsid w:val="009A40D8"/>
    <w:rsid w:val="009A40FA"/>
    <w:rsid w:val="009A4153"/>
    <w:rsid w:val="009A436B"/>
    <w:rsid w:val="009A43EA"/>
    <w:rsid w:val="009A4489"/>
    <w:rsid w:val="009A44D0"/>
    <w:rsid w:val="009A44E6"/>
    <w:rsid w:val="009A4542"/>
    <w:rsid w:val="009A45D0"/>
    <w:rsid w:val="009A460F"/>
    <w:rsid w:val="009A464A"/>
    <w:rsid w:val="009A464C"/>
    <w:rsid w:val="009A464F"/>
    <w:rsid w:val="009A47A6"/>
    <w:rsid w:val="009A47E1"/>
    <w:rsid w:val="009A4871"/>
    <w:rsid w:val="009A4912"/>
    <w:rsid w:val="009A4A27"/>
    <w:rsid w:val="009A4A4E"/>
    <w:rsid w:val="009A4BA0"/>
    <w:rsid w:val="009A4BD0"/>
    <w:rsid w:val="009A4C86"/>
    <w:rsid w:val="009A4D9E"/>
    <w:rsid w:val="009A4EDF"/>
    <w:rsid w:val="009A4EFF"/>
    <w:rsid w:val="009A510B"/>
    <w:rsid w:val="009A5128"/>
    <w:rsid w:val="009A52F9"/>
    <w:rsid w:val="009A530B"/>
    <w:rsid w:val="009A5335"/>
    <w:rsid w:val="009A545F"/>
    <w:rsid w:val="009A559A"/>
    <w:rsid w:val="009A55B4"/>
    <w:rsid w:val="009A55FD"/>
    <w:rsid w:val="009A5676"/>
    <w:rsid w:val="009A5724"/>
    <w:rsid w:val="009A577D"/>
    <w:rsid w:val="009A57A2"/>
    <w:rsid w:val="009A5853"/>
    <w:rsid w:val="009A587B"/>
    <w:rsid w:val="009A58E2"/>
    <w:rsid w:val="009A5AC9"/>
    <w:rsid w:val="009A5B01"/>
    <w:rsid w:val="009A5C51"/>
    <w:rsid w:val="009A5C81"/>
    <w:rsid w:val="009A5D18"/>
    <w:rsid w:val="009A5DB4"/>
    <w:rsid w:val="009A5EE6"/>
    <w:rsid w:val="009A6018"/>
    <w:rsid w:val="009A6210"/>
    <w:rsid w:val="009A6383"/>
    <w:rsid w:val="009A6411"/>
    <w:rsid w:val="009A64C3"/>
    <w:rsid w:val="009A650F"/>
    <w:rsid w:val="009A6756"/>
    <w:rsid w:val="009A67F5"/>
    <w:rsid w:val="009A692F"/>
    <w:rsid w:val="009A69A5"/>
    <w:rsid w:val="009A6A51"/>
    <w:rsid w:val="009A6A7A"/>
    <w:rsid w:val="009A6ACA"/>
    <w:rsid w:val="009A6D88"/>
    <w:rsid w:val="009A6D91"/>
    <w:rsid w:val="009A6DBB"/>
    <w:rsid w:val="009A6DF4"/>
    <w:rsid w:val="009A6E0E"/>
    <w:rsid w:val="009A6EFC"/>
    <w:rsid w:val="009A7060"/>
    <w:rsid w:val="009A71E2"/>
    <w:rsid w:val="009A7351"/>
    <w:rsid w:val="009A738C"/>
    <w:rsid w:val="009A73E3"/>
    <w:rsid w:val="009A73E8"/>
    <w:rsid w:val="009A755C"/>
    <w:rsid w:val="009A7577"/>
    <w:rsid w:val="009A75C7"/>
    <w:rsid w:val="009A764B"/>
    <w:rsid w:val="009A76BA"/>
    <w:rsid w:val="009A77FA"/>
    <w:rsid w:val="009A7968"/>
    <w:rsid w:val="009A7A29"/>
    <w:rsid w:val="009A7AE1"/>
    <w:rsid w:val="009A7C23"/>
    <w:rsid w:val="009A7C29"/>
    <w:rsid w:val="009A7E22"/>
    <w:rsid w:val="009A7E3E"/>
    <w:rsid w:val="009A7EB8"/>
    <w:rsid w:val="009A7EBE"/>
    <w:rsid w:val="009A7EE9"/>
    <w:rsid w:val="009A7FF3"/>
    <w:rsid w:val="009A7FF5"/>
    <w:rsid w:val="009B0168"/>
    <w:rsid w:val="009B01AF"/>
    <w:rsid w:val="009B03B8"/>
    <w:rsid w:val="009B03EB"/>
    <w:rsid w:val="009B046F"/>
    <w:rsid w:val="009B050E"/>
    <w:rsid w:val="009B05D1"/>
    <w:rsid w:val="009B0603"/>
    <w:rsid w:val="009B063F"/>
    <w:rsid w:val="009B06BB"/>
    <w:rsid w:val="009B07BE"/>
    <w:rsid w:val="009B07C2"/>
    <w:rsid w:val="009B0842"/>
    <w:rsid w:val="009B0942"/>
    <w:rsid w:val="009B09D6"/>
    <w:rsid w:val="009B0A09"/>
    <w:rsid w:val="009B0A84"/>
    <w:rsid w:val="009B0ADB"/>
    <w:rsid w:val="009B0B9A"/>
    <w:rsid w:val="009B0C5F"/>
    <w:rsid w:val="009B0CB8"/>
    <w:rsid w:val="009B0E4E"/>
    <w:rsid w:val="009B0F1F"/>
    <w:rsid w:val="009B116B"/>
    <w:rsid w:val="009B11FC"/>
    <w:rsid w:val="009B122C"/>
    <w:rsid w:val="009B1272"/>
    <w:rsid w:val="009B12E8"/>
    <w:rsid w:val="009B13E0"/>
    <w:rsid w:val="009B14AF"/>
    <w:rsid w:val="009B14E2"/>
    <w:rsid w:val="009B14E3"/>
    <w:rsid w:val="009B176B"/>
    <w:rsid w:val="009B17B3"/>
    <w:rsid w:val="009B1805"/>
    <w:rsid w:val="009B1883"/>
    <w:rsid w:val="009B18C3"/>
    <w:rsid w:val="009B19C1"/>
    <w:rsid w:val="009B19F9"/>
    <w:rsid w:val="009B1A9A"/>
    <w:rsid w:val="009B1AC2"/>
    <w:rsid w:val="009B1C35"/>
    <w:rsid w:val="009B1C54"/>
    <w:rsid w:val="009B1C71"/>
    <w:rsid w:val="009B1E6C"/>
    <w:rsid w:val="009B1EA2"/>
    <w:rsid w:val="009B1EBA"/>
    <w:rsid w:val="009B1EEC"/>
    <w:rsid w:val="009B2004"/>
    <w:rsid w:val="009B20A6"/>
    <w:rsid w:val="009B2118"/>
    <w:rsid w:val="009B2265"/>
    <w:rsid w:val="009B2386"/>
    <w:rsid w:val="009B2409"/>
    <w:rsid w:val="009B24FD"/>
    <w:rsid w:val="009B254E"/>
    <w:rsid w:val="009B2595"/>
    <w:rsid w:val="009B263F"/>
    <w:rsid w:val="009B27A3"/>
    <w:rsid w:val="009B2B3D"/>
    <w:rsid w:val="009B2E15"/>
    <w:rsid w:val="009B2E3E"/>
    <w:rsid w:val="009B2F13"/>
    <w:rsid w:val="009B2F2E"/>
    <w:rsid w:val="009B2FD5"/>
    <w:rsid w:val="009B30A2"/>
    <w:rsid w:val="009B30CA"/>
    <w:rsid w:val="009B312A"/>
    <w:rsid w:val="009B312F"/>
    <w:rsid w:val="009B322D"/>
    <w:rsid w:val="009B329F"/>
    <w:rsid w:val="009B3471"/>
    <w:rsid w:val="009B3502"/>
    <w:rsid w:val="009B3714"/>
    <w:rsid w:val="009B373F"/>
    <w:rsid w:val="009B38A1"/>
    <w:rsid w:val="009B391F"/>
    <w:rsid w:val="009B3947"/>
    <w:rsid w:val="009B3C1D"/>
    <w:rsid w:val="009B3CAE"/>
    <w:rsid w:val="009B3D76"/>
    <w:rsid w:val="009B4012"/>
    <w:rsid w:val="009B41A2"/>
    <w:rsid w:val="009B41C6"/>
    <w:rsid w:val="009B420F"/>
    <w:rsid w:val="009B4294"/>
    <w:rsid w:val="009B42A8"/>
    <w:rsid w:val="009B42EF"/>
    <w:rsid w:val="009B430A"/>
    <w:rsid w:val="009B4313"/>
    <w:rsid w:val="009B43E0"/>
    <w:rsid w:val="009B4529"/>
    <w:rsid w:val="009B4537"/>
    <w:rsid w:val="009B45EA"/>
    <w:rsid w:val="009B45EC"/>
    <w:rsid w:val="009B4707"/>
    <w:rsid w:val="009B494A"/>
    <w:rsid w:val="009B4A68"/>
    <w:rsid w:val="009B4CAB"/>
    <w:rsid w:val="009B4CAF"/>
    <w:rsid w:val="009B4CB1"/>
    <w:rsid w:val="009B4E70"/>
    <w:rsid w:val="009B4F5E"/>
    <w:rsid w:val="009B51B0"/>
    <w:rsid w:val="009B553C"/>
    <w:rsid w:val="009B590A"/>
    <w:rsid w:val="009B5919"/>
    <w:rsid w:val="009B599F"/>
    <w:rsid w:val="009B5B07"/>
    <w:rsid w:val="009B5B69"/>
    <w:rsid w:val="009B5C2E"/>
    <w:rsid w:val="009B5CAD"/>
    <w:rsid w:val="009B5CDC"/>
    <w:rsid w:val="009B5D1A"/>
    <w:rsid w:val="009B5D71"/>
    <w:rsid w:val="009B5E39"/>
    <w:rsid w:val="009B5F32"/>
    <w:rsid w:val="009B5F61"/>
    <w:rsid w:val="009B6034"/>
    <w:rsid w:val="009B6085"/>
    <w:rsid w:val="009B618C"/>
    <w:rsid w:val="009B61A5"/>
    <w:rsid w:val="009B61B3"/>
    <w:rsid w:val="009B62CB"/>
    <w:rsid w:val="009B62F4"/>
    <w:rsid w:val="009B636E"/>
    <w:rsid w:val="009B63AD"/>
    <w:rsid w:val="009B63BE"/>
    <w:rsid w:val="009B6415"/>
    <w:rsid w:val="009B6479"/>
    <w:rsid w:val="009B64BE"/>
    <w:rsid w:val="009B64F3"/>
    <w:rsid w:val="009B653E"/>
    <w:rsid w:val="009B65D4"/>
    <w:rsid w:val="009B6651"/>
    <w:rsid w:val="009B66D3"/>
    <w:rsid w:val="009B66F8"/>
    <w:rsid w:val="009B674C"/>
    <w:rsid w:val="009B67B8"/>
    <w:rsid w:val="009B682F"/>
    <w:rsid w:val="009B6A36"/>
    <w:rsid w:val="009B6AB8"/>
    <w:rsid w:val="009B6AED"/>
    <w:rsid w:val="009B6C2B"/>
    <w:rsid w:val="009B6D59"/>
    <w:rsid w:val="009B6ECD"/>
    <w:rsid w:val="009B70CB"/>
    <w:rsid w:val="009B7195"/>
    <w:rsid w:val="009B71B8"/>
    <w:rsid w:val="009B7444"/>
    <w:rsid w:val="009B7532"/>
    <w:rsid w:val="009B754F"/>
    <w:rsid w:val="009B7751"/>
    <w:rsid w:val="009B7896"/>
    <w:rsid w:val="009B7918"/>
    <w:rsid w:val="009B791A"/>
    <w:rsid w:val="009B7A56"/>
    <w:rsid w:val="009B7A57"/>
    <w:rsid w:val="009B7A89"/>
    <w:rsid w:val="009B7AA0"/>
    <w:rsid w:val="009B7B18"/>
    <w:rsid w:val="009B7B75"/>
    <w:rsid w:val="009B7B81"/>
    <w:rsid w:val="009B7BBB"/>
    <w:rsid w:val="009B7C1D"/>
    <w:rsid w:val="009B7C59"/>
    <w:rsid w:val="009B7D9E"/>
    <w:rsid w:val="009B7FA3"/>
    <w:rsid w:val="009C0017"/>
    <w:rsid w:val="009C0035"/>
    <w:rsid w:val="009C005B"/>
    <w:rsid w:val="009C0072"/>
    <w:rsid w:val="009C0092"/>
    <w:rsid w:val="009C013E"/>
    <w:rsid w:val="009C0173"/>
    <w:rsid w:val="009C0192"/>
    <w:rsid w:val="009C0324"/>
    <w:rsid w:val="009C0428"/>
    <w:rsid w:val="009C0462"/>
    <w:rsid w:val="009C04B2"/>
    <w:rsid w:val="009C0576"/>
    <w:rsid w:val="009C0627"/>
    <w:rsid w:val="009C0648"/>
    <w:rsid w:val="009C064D"/>
    <w:rsid w:val="009C06B4"/>
    <w:rsid w:val="009C0809"/>
    <w:rsid w:val="009C083E"/>
    <w:rsid w:val="009C0856"/>
    <w:rsid w:val="009C0979"/>
    <w:rsid w:val="009C0989"/>
    <w:rsid w:val="009C0A71"/>
    <w:rsid w:val="009C0B31"/>
    <w:rsid w:val="009C0BDE"/>
    <w:rsid w:val="009C0C41"/>
    <w:rsid w:val="009C0E0A"/>
    <w:rsid w:val="009C0E95"/>
    <w:rsid w:val="009C0EB0"/>
    <w:rsid w:val="009C0EE4"/>
    <w:rsid w:val="009C0F56"/>
    <w:rsid w:val="009C0F5C"/>
    <w:rsid w:val="009C1134"/>
    <w:rsid w:val="009C11B5"/>
    <w:rsid w:val="009C11C3"/>
    <w:rsid w:val="009C128C"/>
    <w:rsid w:val="009C12B9"/>
    <w:rsid w:val="009C12F8"/>
    <w:rsid w:val="009C1764"/>
    <w:rsid w:val="009C17CB"/>
    <w:rsid w:val="009C1936"/>
    <w:rsid w:val="009C19C0"/>
    <w:rsid w:val="009C1A60"/>
    <w:rsid w:val="009C1ADF"/>
    <w:rsid w:val="009C1B4E"/>
    <w:rsid w:val="009C1B6D"/>
    <w:rsid w:val="009C1BDA"/>
    <w:rsid w:val="009C1BE9"/>
    <w:rsid w:val="009C1D27"/>
    <w:rsid w:val="009C1E6B"/>
    <w:rsid w:val="009C1EDE"/>
    <w:rsid w:val="009C202A"/>
    <w:rsid w:val="009C21C2"/>
    <w:rsid w:val="009C2583"/>
    <w:rsid w:val="009C259C"/>
    <w:rsid w:val="009C2613"/>
    <w:rsid w:val="009C261F"/>
    <w:rsid w:val="009C283A"/>
    <w:rsid w:val="009C297A"/>
    <w:rsid w:val="009C2A12"/>
    <w:rsid w:val="009C2C12"/>
    <w:rsid w:val="009C2C33"/>
    <w:rsid w:val="009C2C44"/>
    <w:rsid w:val="009C2C5D"/>
    <w:rsid w:val="009C2D72"/>
    <w:rsid w:val="009C2E25"/>
    <w:rsid w:val="009C300F"/>
    <w:rsid w:val="009C30A4"/>
    <w:rsid w:val="009C30E3"/>
    <w:rsid w:val="009C310D"/>
    <w:rsid w:val="009C326A"/>
    <w:rsid w:val="009C33B3"/>
    <w:rsid w:val="009C33CB"/>
    <w:rsid w:val="009C33FF"/>
    <w:rsid w:val="009C342A"/>
    <w:rsid w:val="009C359A"/>
    <w:rsid w:val="009C361E"/>
    <w:rsid w:val="009C366C"/>
    <w:rsid w:val="009C368F"/>
    <w:rsid w:val="009C3696"/>
    <w:rsid w:val="009C36BE"/>
    <w:rsid w:val="009C3791"/>
    <w:rsid w:val="009C38A3"/>
    <w:rsid w:val="009C38C0"/>
    <w:rsid w:val="009C3953"/>
    <w:rsid w:val="009C3C74"/>
    <w:rsid w:val="009C3CCD"/>
    <w:rsid w:val="009C3EAD"/>
    <w:rsid w:val="009C3EE3"/>
    <w:rsid w:val="009C3FD1"/>
    <w:rsid w:val="009C3FF0"/>
    <w:rsid w:val="009C405B"/>
    <w:rsid w:val="009C40B4"/>
    <w:rsid w:val="009C40C6"/>
    <w:rsid w:val="009C40D6"/>
    <w:rsid w:val="009C4400"/>
    <w:rsid w:val="009C44F9"/>
    <w:rsid w:val="009C4507"/>
    <w:rsid w:val="009C452E"/>
    <w:rsid w:val="009C45F5"/>
    <w:rsid w:val="009C4622"/>
    <w:rsid w:val="009C469A"/>
    <w:rsid w:val="009C4796"/>
    <w:rsid w:val="009C4825"/>
    <w:rsid w:val="009C4860"/>
    <w:rsid w:val="009C48CD"/>
    <w:rsid w:val="009C48D4"/>
    <w:rsid w:val="009C48F2"/>
    <w:rsid w:val="009C4946"/>
    <w:rsid w:val="009C4A05"/>
    <w:rsid w:val="009C4A92"/>
    <w:rsid w:val="009C4B10"/>
    <w:rsid w:val="009C4BBA"/>
    <w:rsid w:val="009C4C2E"/>
    <w:rsid w:val="009C4D02"/>
    <w:rsid w:val="009C4D4F"/>
    <w:rsid w:val="009C4DF2"/>
    <w:rsid w:val="009C4FB4"/>
    <w:rsid w:val="009C5091"/>
    <w:rsid w:val="009C517A"/>
    <w:rsid w:val="009C5213"/>
    <w:rsid w:val="009C52A2"/>
    <w:rsid w:val="009C5423"/>
    <w:rsid w:val="009C54C5"/>
    <w:rsid w:val="009C5500"/>
    <w:rsid w:val="009C5566"/>
    <w:rsid w:val="009C55C7"/>
    <w:rsid w:val="009C565E"/>
    <w:rsid w:val="009C566A"/>
    <w:rsid w:val="009C571C"/>
    <w:rsid w:val="009C5731"/>
    <w:rsid w:val="009C574D"/>
    <w:rsid w:val="009C577C"/>
    <w:rsid w:val="009C5B4F"/>
    <w:rsid w:val="009C5BF3"/>
    <w:rsid w:val="009C5C78"/>
    <w:rsid w:val="009C5D49"/>
    <w:rsid w:val="009C5DA6"/>
    <w:rsid w:val="009C5DAE"/>
    <w:rsid w:val="009C5DB4"/>
    <w:rsid w:val="009C5E44"/>
    <w:rsid w:val="009C5F8F"/>
    <w:rsid w:val="009C60E3"/>
    <w:rsid w:val="009C60FB"/>
    <w:rsid w:val="009C612A"/>
    <w:rsid w:val="009C6275"/>
    <w:rsid w:val="009C62C8"/>
    <w:rsid w:val="009C630C"/>
    <w:rsid w:val="009C633F"/>
    <w:rsid w:val="009C6366"/>
    <w:rsid w:val="009C6465"/>
    <w:rsid w:val="009C650F"/>
    <w:rsid w:val="009C6520"/>
    <w:rsid w:val="009C6631"/>
    <w:rsid w:val="009C687D"/>
    <w:rsid w:val="009C6941"/>
    <w:rsid w:val="009C6954"/>
    <w:rsid w:val="009C6965"/>
    <w:rsid w:val="009C6BAE"/>
    <w:rsid w:val="009C6C22"/>
    <w:rsid w:val="009C6CAD"/>
    <w:rsid w:val="009C6E80"/>
    <w:rsid w:val="009C7041"/>
    <w:rsid w:val="009C7115"/>
    <w:rsid w:val="009C713A"/>
    <w:rsid w:val="009C71B9"/>
    <w:rsid w:val="009C71D5"/>
    <w:rsid w:val="009C71F7"/>
    <w:rsid w:val="009C7222"/>
    <w:rsid w:val="009C7228"/>
    <w:rsid w:val="009C7235"/>
    <w:rsid w:val="009C728D"/>
    <w:rsid w:val="009C72D3"/>
    <w:rsid w:val="009C7414"/>
    <w:rsid w:val="009C74BA"/>
    <w:rsid w:val="009C7556"/>
    <w:rsid w:val="009C78FE"/>
    <w:rsid w:val="009C791A"/>
    <w:rsid w:val="009C7D73"/>
    <w:rsid w:val="009C7E25"/>
    <w:rsid w:val="009C7E7B"/>
    <w:rsid w:val="009C7E8F"/>
    <w:rsid w:val="009C7FA8"/>
    <w:rsid w:val="009C7FB6"/>
    <w:rsid w:val="009D01F1"/>
    <w:rsid w:val="009D0267"/>
    <w:rsid w:val="009D02B1"/>
    <w:rsid w:val="009D02E3"/>
    <w:rsid w:val="009D02E7"/>
    <w:rsid w:val="009D0486"/>
    <w:rsid w:val="009D0504"/>
    <w:rsid w:val="009D063C"/>
    <w:rsid w:val="009D0668"/>
    <w:rsid w:val="009D0726"/>
    <w:rsid w:val="009D0C19"/>
    <w:rsid w:val="009D0CB6"/>
    <w:rsid w:val="009D0DAB"/>
    <w:rsid w:val="009D0DD7"/>
    <w:rsid w:val="009D0E03"/>
    <w:rsid w:val="009D1095"/>
    <w:rsid w:val="009D1106"/>
    <w:rsid w:val="009D11E2"/>
    <w:rsid w:val="009D12A3"/>
    <w:rsid w:val="009D12F6"/>
    <w:rsid w:val="009D131F"/>
    <w:rsid w:val="009D140D"/>
    <w:rsid w:val="009D158A"/>
    <w:rsid w:val="009D1616"/>
    <w:rsid w:val="009D1680"/>
    <w:rsid w:val="009D168A"/>
    <w:rsid w:val="009D17A0"/>
    <w:rsid w:val="009D18A8"/>
    <w:rsid w:val="009D18AE"/>
    <w:rsid w:val="009D1A98"/>
    <w:rsid w:val="009D1B4E"/>
    <w:rsid w:val="009D1BDD"/>
    <w:rsid w:val="009D1D62"/>
    <w:rsid w:val="009D2024"/>
    <w:rsid w:val="009D208D"/>
    <w:rsid w:val="009D2327"/>
    <w:rsid w:val="009D2387"/>
    <w:rsid w:val="009D23EB"/>
    <w:rsid w:val="009D2422"/>
    <w:rsid w:val="009D24A4"/>
    <w:rsid w:val="009D261F"/>
    <w:rsid w:val="009D2686"/>
    <w:rsid w:val="009D2687"/>
    <w:rsid w:val="009D282B"/>
    <w:rsid w:val="009D2886"/>
    <w:rsid w:val="009D2A97"/>
    <w:rsid w:val="009D2B50"/>
    <w:rsid w:val="009D2BF8"/>
    <w:rsid w:val="009D2C33"/>
    <w:rsid w:val="009D2CBE"/>
    <w:rsid w:val="009D2FD2"/>
    <w:rsid w:val="009D304A"/>
    <w:rsid w:val="009D3051"/>
    <w:rsid w:val="009D3194"/>
    <w:rsid w:val="009D31CF"/>
    <w:rsid w:val="009D3390"/>
    <w:rsid w:val="009D33EB"/>
    <w:rsid w:val="009D3403"/>
    <w:rsid w:val="009D3491"/>
    <w:rsid w:val="009D355A"/>
    <w:rsid w:val="009D380F"/>
    <w:rsid w:val="009D3844"/>
    <w:rsid w:val="009D392E"/>
    <w:rsid w:val="009D3A95"/>
    <w:rsid w:val="009D3B5B"/>
    <w:rsid w:val="009D3BB9"/>
    <w:rsid w:val="009D3C0A"/>
    <w:rsid w:val="009D3C37"/>
    <w:rsid w:val="009D3C40"/>
    <w:rsid w:val="009D3C49"/>
    <w:rsid w:val="009D3C7F"/>
    <w:rsid w:val="009D3D4C"/>
    <w:rsid w:val="009D3F83"/>
    <w:rsid w:val="009D4076"/>
    <w:rsid w:val="009D40F2"/>
    <w:rsid w:val="009D4154"/>
    <w:rsid w:val="009D4558"/>
    <w:rsid w:val="009D4669"/>
    <w:rsid w:val="009D4678"/>
    <w:rsid w:val="009D486C"/>
    <w:rsid w:val="009D4888"/>
    <w:rsid w:val="009D48AA"/>
    <w:rsid w:val="009D48D3"/>
    <w:rsid w:val="009D499A"/>
    <w:rsid w:val="009D4A5F"/>
    <w:rsid w:val="009D4B4D"/>
    <w:rsid w:val="009D4B72"/>
    <w:rsid w:val="009D4D37"/>
    <w:rsid w:val="009D4D60"/>
    <w:rsid w:val="009D4D7F"/>
    <w:rsid w:val="009D4DA4"/>
    <w:rsid w:val="009D4DB4"/>
    <w:rsid w:val="009D4DD2"/>
    <w:rsid w:val="009D4E0E"/>
    <w:rsid w:val="009D4E42"/>
    <w:rsid w:val="009D4F35"/>
    <w:rsid w:val="009D4FBC"/>
    <w:rsid w:val="009D50EB"/>
    <w:rsid w:val="009D513C"/>
    <w:rsid w:val="009D5173"/>
    <w:rsid w:val="009D5243"/>
    <w:rsid w:val="009D535D"/>
    <w:rsid w:val="009D5431"/>
    <w:rsid w:val="009D54BA"/>
    <w:rsid w:val="009D5526"/>
    <w:rsid w:val="009D5528"/>
    <w:rsid w:val="009D5672"/>
    <w:rsid w:val="009D567E"/>
    <w:rsid w:val="009D578F"/>
    <w:rsid w:val="009D57AB"/>
    <w:rsid w:val="009D58A5"/>
    <w:rsid w:val="009D59D1"/>
    <w:rsid w:val="009D59FC"/>
    <w:rsid w:val="009D5A13"/>
    <w:rsid w:val="009D5A4E"/>
    <w:rsid w:val="009D5A80"/>
    <w:rsid w:val="009D5B28"/>
    <w:rsid w:val="009D5D82"/>
    <w:rsid w:val="009D5F0E"/>
    <w:rsid w:val="009D5F85"/>
    <w:rsid w:val="009D5F9B"/>
    <w:rsid w:val="009D5FA7"/>
    <w:rsid w:val="009D5FC8"/>
    <w:rsid w:val="009D6018"/>
    <w:rsid w:val="009D608D"/>
    <w:rsid w:val="009D60DB"/>
    <w:rsid w:val="009D612E"/>
    <w:rsid w:val="009D623A"/>
    <w:rsid w:val="009D626B"/>
    <w:rsid w:val="009D63EB"/>
    <w:rsid w:val="009D64FA"/>
    <w:rsid w:val="009D65E4"/>
    <w:rsid w:val="009D677F"/>
    <w:rsid w:val="009D68B6"/>
    <w:rsid w:val="009D6940"/>
    <w:rsid w:val="009D6B28"/>
    <w:rsid w:val="009D707D"/>
    <w:rsid w:val="009D7127"/>
    <w:rsid w:val="009D720A"/>
    <w:rsid w:val="009D7313"/>
    <w:rsid w:val="009D7523"/>
    <w:rsid w:val="009D7529"/>
    <w:rsid w:val="009D76F7"/>
    <w:rsid w:val="009D76FA"/>
    <w:rsid w:val="009D770C"/>
    <w:rsid w:val="009D7790"/>
    <w:rsid w:val="009D77AD"/>
    <w:rsid w:val="009D78D5"/>
    <w:rsid w:val="009D79B7"/>
    <w:rsid w:val="009D7A49"/>
    <w:rsid w:val="009D7CBD"/>
    <w:rsid w:val="009D7DA3"/>
    <w:rsid w:val="009D7EC3"/>
    <w:rsid w:val="009D7F11"/>
    <w:rsid w:val="009D7F1B"/>
    <w:rsid w:val="009D7F68"/>
    <w:rsid w:val="009D7FDD"/>
    <w:rsid w:val="009E002C"/>
    <w:rsid w:val="009E00CD"/>
    <w:rsid w:val="009E017C"/>
    <w:rsid w:val="009E0199"/>
    <w:rsid w:val="009E04A0"/>
    <w:rsid w:val="009E04A3"/>
    <w:rsid w:val="009E04E9"/>
    <w:rsid w:val="009E0641"/>
    <w:rsid w:val="009E0686"/>
    <w:rsid w:val="009E0687"/>
    <w:rsid w:val="009E0841"/>
    <w:rsid w:val="009E08EA"/>
    <w:rsid w:val="009E093A"/>
    <w:rsid w:val="009E095E"/>
    <w:rsid w:val="009E09C3"/>
    <w:rsid w:val="009E0B86"/>
    <w:rsid w:val="009E0D36"/>
    <w:rsid w:val="009E0DD8"/>
    <w:rsid w:val="009E101F"/>
    <w:rsid w:val="009E1147"/>
    <w:rsid w:val="009E11CA"/>
    <w:rsid w:val="009E124C"/>
    <w:rsid w:val="009E136C"/>
    <w:rsid w:val="009E14C8"/>
    <w:rsid w:val="009E14D5"/>
    <w:rsid w:val="009E14E8"/>
    <w:rsid w:val="009E1507"/>
    <w:rsid w:val="009E1604"/>
    <w:rsid w:val="009E16AA"/>
    <w:rsid w:val="009E1728"/>
    <w:rsid w:val="009E1AA5"/>
    <w:rsid w:val="009E1B4A"/>
    <w:rsid w:val="009E1CC8"/>
    <w:rsid w:val="009E1CDE"/>
    <w:rsid w:val="009E1FE0"/>
    <w:rsid w:val="009E227C"/>
    <w:rsid w:val="009E22AE"/>
    <w:rsid w:val="009E231C"/>
    <w:rsid w:val="009E2361"/>
    <w:rsid w:val="009E2448"/>
    <w:rsid w:val="009E248E"/>
    <w:rsid w:val="009E259B"/>
    <w:rsid w:val="009E25C8"/>
    <w:rsid w:val="009E2647"/>
    <w:rsid w:val="009E2747"/>
    <w:rsid w:val="009E2795"/>
    <w:rsid w:val="009E2A11"/>
    <w:rsid w:val="009E2ACD"/>
    <w:rsid w:val="009E2B36"/>
    <w:rsid w:val="009E2BCC"/>
    <w:rsid w:val="009E2D71"/>
    <w:rsid w:val="009E2E15"/>
    <w:rsid w:val="009E2E7A"/>
    <w:rsid w:val="009E2EB4"/>
    <w:rsid w:val="009E2F00"/>
    <w:rsid w:val="009E2F7A"/>
    <w:rsid w:val="009E308E"/>
    <w:rsid w:val="009E31CE"/>
    <w:rsid w:val="009E324D"/>
    <w:rsid w:val="009E32B3"/>
    <w:rsid w:val="009E3540"/>
    <w:rsid w:val="009E371E"/>
    <w:rsid w:val="009E378A"/>
    <w:rsid w:val="009E37F2"/>
    <w:rsid w:val="009E39A3"/>
    <w:rsid w:val="009E39A9"/>
    <w:rsid w:val="009E39B1"/>
    <w:rsid w:val="009E3A09"/>
    <w:rsid w:val="009E3AE4"/>
    <w:rsid w:val="009E3CA2"/>
    <w:rsid w:val="009E3CE2"/>
    <w:rsid w:val="009E3D73"/>
    <w:rsid w:val="009E3EA5"/>
    <w:rsid w:val="009E3F89"/>
    <w:rsid w:val="009E3FAF"/>
    <w:rsid w:val="009E3FC7"/>
    <w:rsid w:val="009E3FF4"/>
    <w:rsid w:val="009E40F1"/>
    <w:rsid w:val="009E41B2"/>
    <w:rsid w:val="009E4270"/>
    <w:rsid w:val="009E42EA"/>
    <w:rsid w:val="009E4303"/>
    <w:rsid w:val="009E47B6"/>
    <w:rsid w:val="009E47B8"/>
    <w:rsid w:val="009E483D"/>
    <w:rsid w:val="009E4A38"/>
    <w:rsid w:val="009E4B13"/>
    <w:rsid w:val="009E4B48"/>
    <w:rsid w:val="009E4C86"/>
    <w:rsid w:val="009E4D18"/>
    <w:rsid w:val="009E4E72"/>
    <w:rsid w:val="009E4EE2"/>
    <w:rsid w:val="009E4F21"/>
    <w:rsid w:val="009E4F28"/>
    <w:rsid w:val="009E512F"/>
    <w:rsid w:val="009E514E"/>
    <w:rsid w:val="009E51EE"/>
    <w:rsid w:val="009E52BA"/>
    <w:rsid w:val="009E52CD"/>
    <w:rsid w:val="009E53FB"/>
    <w:rsid w:val="009E5403"/>
    <w:rsid w:val="009E5496"/>
    <w:rsid w:val="009E550C"/>
    <w:rsid w:val="009E575B"/>
    <w:rsid w:val="009E577A"/>
    <w:rsid w:val="009E5809"/>
    <w:rsid w:val="009E58B6"/>
    <w:rsid w:val="009E591F"/>
    <w:rsid w:val="009E59E4"/>
    <w:rsid w:val="009E5A66"/>
    <w:rsid w:val="009E5B05"/>
    <w:rsid w:val="009E5B10"/>
    <w:rsid w:val="009E5BA4"/>
    <w:rsid w:val="009E5C6F"/>
    <w:rsid w:val="009E5C73"/>
    <w:rsid w:val="009E5DD3"/>
    <w:rsid w:val="009E5E35"/>
    <w:rsid w:val="009E5F0A"/>
    <w:rsid w:val="009E60F0"/>
    <w:rsid w:val="009E61C4"/>
    <w:rsid w:val="009E621F"/>
    <w:rsid w:val="009E6243"/>
    <w:rsid w:val="009E6309"/>
    <w:rsid w:val="009E63F1"/>
    <w:rsid w:val="009E6530"/>
    <w:rsid w:val="009E6566"/>
    <w:rsid w:val="009E67F8"/>
    <w:rsid w:val="009E6A2E"/>
    <w:rsid w:val="009E6A9C"/>
    <w:rsid w:val="009E6AF3"/>
    <w:rsid w:val="009E6BA3"/>
    <w:rsid w:val="009E6BD1"/>
    <w:rsid w:val="009E6C79"/>
    <w:rsid w:val="009E6C9F"/>
    <w:rsid w:val="009E6D26"/>
    <w:rsid w:val="009E6D8D"/>
    <w:rsid w:val="009E6DE0"/>
    <w:rsid w:val="009E6F6E"/>
    <w:rsid w:val="009E6FD5"/>
    <w:rsid w:val="009E72C1"/>
    <w:rsid w:val="009E73DF"/>
    <w:rsid w:val="009E74AD"/>
    <w:rsid w:val="009E762D"/>
    <w:rsid w:val="009E773B"/>
    <w:rsid w:val="009E774B"/>
    <w:rsid w:val="009E7805"/>
    <w:rsid w:val="009E7909"/>
    <w:rsid w:val="009E7B51"/>
    <w:rsid w:val="009E7BF6"/>
    <w:rsid w:val="009E7C15"/>
    <w:rsid w:val="009E7CCC"/>
    <w:rsid w:val="009E7E62"/>
    <w:rsid w:val="009F00E9"/>
    <w:rsid w:val="009F010B"/>
    <w:rsid w:val="009F0168"/>
    <w:rsid w:val="009F01C8"/>
    <w:rsid w:val="009F01D0"/>
    <w:rsid w:val="009F0337"/>
    <w:rsid w:val="009F0377"/>
    <w:rsid w:val="009F0402"/>
    <w:rsid w:val="009F0413"/>
    <w:rsid w:val="009F0424"/>
    <w:rsid w:val="009F0602"/>
    <w:rsid w:val="009F06B1"/>
    <w:rsid w:val="009F06E1"/>
    <w:rsid w:val="009F074F"/>
    <w:rsid w:val="009F0792"/>
    <w:rsid w:val="009F0795"/>
    <w:rsid w:val="009F0842"/>
    <w:rsid w:val="009F0859"/>
    <w:rsid w:val="009F0906"/>
    <w:rsid w:val="009F094F"/>
    <w:rsid w:val="009F0CCD"/>
    <w:rsid w:val="009F0DD3"/>
    <w:rsid w:val="009F0EA4"/>
    <w:rsid w:val="009F0F7E"/>
    <w:rsid w:val="009F109A"/>
    <w:rsid w:val="009F10A6"/>
    <w:rsid w:val="009F11BA"/>
    <w:rsid w:val="009F1298"/>
    <w:rsid w:val="009F1355"/>
    <w:rsid w:val="009F13EA"/>
    <w:rsid w:val="009F13FD"/>
    <w:rsid w:val="009F158F"/>
    <w:rsid w:val="009F171B"/>
    <w:rsid w:val="009F17C6"/>
    <w:rsid w:val="009F1840"/>
    <w:rsid w:val="009F1A33"/>
    <w:rsid w:val="009F1AA1"/>
    <w:rsid w:val="009F1B86"/>
    <w:rsid w:val="009F1BCD"/>
    <w:rsid w:val="009F1D0B"/>
    <w:rsid w:val="009F1D98"/>
    <w:rsid w:val="009F1E06"/>
    <w:rsid w:val="009F1FA2"/>
    <w:rsid w:val="009F1FE1"/>
    <w:rsid w:val="009F214F"/>
    <w:rsid w:val="009F2221"/>
    <w:rsid w:val="009F2378"/>
    <w:rsid w:val="009F238F"/>
    <w:rsid w:val="009F2494"/>
    <w:rsid w:val="009F24B4"/>
    <w:rsid w:val="009F2520"/>
    <w:rsid w:val="009F290C"/>
    <w:rsid w:val="009F292A"/>
    <w:rsid w:val="009F2B37"/>
    <w:rsid w:val="009F2BC2"/>
    <w:rsid w:val="009F2CA4"/>
    <w:rsid w:val="009F2D1D"/>
    <w:rsid w:val="009F2D20"/>
    <w:rsid w:val="009F2D88"/>
    <w:rsid w:val="009F2DE4"/>
    <w:rsid w:val="009F2ED7"/>
    <w:rsid w:val="009F2EFD"/>
    <w:rsid w:val="009F3050"/>
    <w:rsid w:val="009F30B5"/>
    <w:rsid w:val="009F31F7"/>
    <w:rsid w:val="009F323E"/>
    <w:rsid w:val="009F328F"/>
    <w:rsid w:val="009F34BD"/>
    <w:rsid w:val="009F35CE"/>
    <w:rsid w:val="009F368C"/>
    <w:rsid w:val="009F36B2"/>
    <w:rsid w:val="009F37E5"/>
    <w:rsid w:val="009F38D3"/>
    <w:rsid w:val="009F397A"/>
    <w:rsid w:val="009F3BB8"/>
    <w:rsid w:val="009F3C14"/>
    <w:rsid w:val="009F3E4B"/>
    <w:rsid w:val="009F3FB2"/>
    <w:rsid w:val="009F3FE5"/>
    <w:rsid w:val="009F4076"/>
    <w:rsid w:val="009F40DB"/>
    <w:rsid w:val="009F42FD"/>
    <w:rsid w:val="009F430E"/>
    <w:rsid w:val="009F4338"/>
    <w:rsid w:val="009F451E"/>
    <w:rsid w:val="009F4547"/>
    <w:rsid w:val="009F4611"/>
    <w:rsid w:val="009F4637"/>
    <w:rsid w:val="009F4807"/>
    <w:rsid w:val="009F4816"/>
    <w:rsid w:val="009F4A43"/>
    <w:rsid w:val="009F4C5D"/>
    <w:rsid w:val="009F4D38"/>
    <w:rsid w:val="009F4DC8"/>
    <w:rsid w:val="009F4E38"/>
    <w:rsid w:val="009F4E3A"/>
    <w:rsid w:val="009F5031"/>
    <w:rsid w:val="009F511E"/>
    <w:rsid w:val="009F523A"/>
    <w:rsid w:val="009F52E8"/>
    <w:rsid w:val="009F53D0"/>
    <w:rsid w:val="009F53D3"/>
    <w:rsid w:val="009F549D"/>
    <w:rsid w:val="009F54AC"/>
    <w:rsid w:val="009F54BC"/>
    <w:rsid w:val="009F55D6"/>
    <w:rsid w:val="009F566C"/>
    <w:rsid w:val="009F56C8"/>
    <w:rsid w:val="009F5734"/>
    <w:rsid w:val="009F5852"/>
    <w:rsid w:val="009F5857"/>
    <w:rsid w:val="009F5A9E"/>
    <w:rsid w:val="009F5B1F"/>
    <w:rsid w:val="009F5BBB"/>
    <w:rsid w:val="009F5BC1"/>
    <w:rsid w:val="009F5CA0"/>
    <w:rsid w:val="009F5D03"/>
    <w:rsid w:val="009F5DA6"/>
    <w:rsid w:val="009F5EF5"/>
    <w:rsid w:val="009F5EFE"/>
    <w:rsid w:val="009F5FCD"/>
    <w:rsid w:val="009F60C0"/>
    <w:rsid w:val="009F6157"/>
    <w:rsid w:val="009F61ED"/>
    <w:rsid w:val="009F61F5"/>
    <w:rsid w:val="009F6327"/>
    <w:rsid w:val="009F6357"/>
    <w:rsid w:val="009F64EE"/>
    <w:rsid w:val="009F650C"/>
    <w:rsid w:val="009F652C"/>
    <w:rsid w:val="009F6544"/>
    <w:rsid w:val="009F678E"/>
    <w:rsid w:val="009F6AC2"/>
    <w:rsid w:val="009F6BB5"/>
    <w:rsid w:val="009F6BD7"/>
    <w:rsid w:val="009F6C7A"/>
    <w:rsid w:val="009F6D7B"/>
    <w:rsid w:val="009F6D99"/>
    <w:rsid w:val="009F6D9F"/>
    <w:rsid w:val="009F6DCC"/>
    <w:rsid w:val="009F6EE5"/>
    <w:rsid w:val="009F6F10"/>
    <w:rsid w:val="009F6F98"/>
    <w:rsid w:val="009F6FE5"/>
    <w:rsid w:val="009F7048"/>
    <w:rsid w:val="009F7063"/>
    <w:rsid w:val="009F71E9"/>
    <w:rsid w:val="009F7232"/>
    <w:rsid w:val="009F7244"/>
    <w:rsid w:val="009F72CD"/>
    <w:rsid w:val="009F7489"/>
    <w:rsid w:val="009F7537"/>
    <w:rsid w:val="009F7563"/>
    <w:rsid w:val="009F77D1"/>
    <w:rsid w:val="009F792A"/>
    <w:rsid w:val="009F79B7"/>
    <w:rsid w:val="009F7A17"/>
    <w:rsid w:val="009F7AA1"/>
    <w:rsid w:val="009F7C38"/>
    <w:rsid w:val="009F7CC0"/>
    <w:rsid w:val="009F7CCB"/>
    <w:rsid w:val="009F7E25"/>
    <w:rsid w:val="009F7E7A"/>
    <w:rsid w:val="009F7E96"/>
    <w:rsid w:val="009F7F19"/>
    <w:rsid w:val="009F7F6F"/>
    <w:rsid w:val="00A00122"/>
    <w:rsid w:val="00A002DF"/>
    <w:rsid w:val="00A00326"/>
    <w:rsid w:val="00A00369"/>
    <w:rsid w:val="00A003C7"/>
    <w:rsid w:val="00A00499"/>
    <w:rsid w:val="00A004D3"/>
    <w:rsid w:val="00A00653"/>
    <w:rsid w:val="00A006A2"/>
    <w:rsid w:val="00A007A0"/>
    <w:rsid w:val="00A007C0"/>
    <w:rsid w:val="00A007D0"/>
    <w:rsid w:val="00A008D2"/>
    <w:rsid w:val="00A00992"/>
    <w:rsid w:val="00A00A12"/>
    <w:rsid w:val="00A00A89"/>
    <w:rsid w:val="00A00B2B"/>
    <w:rsid w:val="00A00C82"/>
    <w:rsid w:val="00A00E36"/>
    <w:rsid w:val="00A00EA9"/>
    <w:rsid w:val="00A00EEB"/>
    <w:rsid w:val="00A00EFF"/>
    <w:rsid w:val="00A00F01"/>
    <w:rsid w:val="00A00F39"/>
    <w:rsid w:val="00A00F85"/>
    <w:rsid w:val="00A00FA5"/>
    <w:rsid w:val="00A010A2"/>
    <w:rsid w:val="00A0112F"/>
    <w:rsid w:val="00A011B4"/>
    <w:rsid w:val="00A01212"/>
    <w:rsid w:val="00A0133A"/>
    <w:rsid w:val="00A01669"/>
    <w:rsid w:val="00A01672"/>
    <w:rsid w:val="00A01681"/>
    <w:rsid w:val="00A016A4"/>
    <w:rsid w:val="00A018DC"/>
    <w:rsid w:val="00A019C7"/>
    <w:rsid w:val="00A01A64"/>
    <w:rsid w:val="00A01B49"/>
    <w:rsid w:val="00A01C54"/>
    <w:rsid w:val="00A01DAD"/>
    <w:rsid w:val="00A01DDE"/>
    <w:rsid w:val="00A01F1B"/>
    <w:rsid w:val="00A0203A"/>
    <w:rsid w:val="00A02155"/>
    <w:rsid w:val="00A0218A"/>
    <w:rsid w:val="00A024BB"/>
    <w:rsid w:val="00A0257F"/>
    <w:rsid w:val="00A025AA"/>
    <w:rsid w:val="00A02710"/>
    <w:rsid w:val="00A02806"/>
    <w:rsid w:val="00A02900"/>
    <w:rsid w:val="00A02A40"/>
    <w:rsid w:val="00A02A4D"/>
    <w:rsid w:val="00A02AAC"/>
    <w:rsid w:val="00A02ABC"/>
    <w:rsid w:val="00A02AC8"/>
    <w:rsid w:val="00A02B0C"/>
    <w:rsid w:val="00A02BE8"/>
    <w:rsid w:val="00A02D20"/>
    <w:rsid w:val="00A02D4E"/>
    <w:rsid w:val="00A02D70"/>
    <w:rsid w:val="00A02D76"/>
    <w:rsid w:val="00A02E0A"/>
    <w:rsid w:val="00A02E98"/>
    <w:rsid w:val="00A02F0A"/>
    <w:rsid w:val="00A03073"/>
    <w:rsid w:val="00A0310D"/>
    <w:rsid w:val="00A03183"/>
    <w:rsid w:val="00A0330A"/>
    <w:rsid w:val="00A03357"/>
    <w:rsid w:val="00A033A7"/>
    <w:rsid w:val="00A033BB"/>
    <w:rsid w:val="00A03542"/>
    <w:rsid w:val="00A03559"/>
    <w:rsid w:val="00A036C0"/>
    <w:rsid w:val="00A03715"/>
    <w:rsid w:val="00A03824"/>
    <w:rsid w:val="00A038B2"/>
    <w:rsid w:val="00A03907"/>
    <w:rsid w:val="00A0399D"/>
    <w:rsid w:val="00A03A43"/>
    <w:rsid w:val="00A03BBC"/>
    <w:rsid w:val="00A03C95"/>
    <w:rsid w:val="00A03D33"/>
    <w:rsid w:val="00A03E14"/>
    <w:rsid w:val="00A03EE4"/>
    <w:rsid w:val="00A03EEC"/>
    <w:rsid w:val="00A03F16"/>
    <w:rsid w:val="00A04094"/>
    <w:rsid w:val="00A041C2"/>
    <w:rsid w:val="00A041F4"/>
    <w:rsid w:val="00A04233"/>
    <w:rsid w:val="00A042D4"/>
    <w:rsid w:val="00A04345"/>
    <w:rsid w:val="00A044EC"/>
    <w:rsid w:val="00A0456F"/>
    <w:rsid w:val="00A0462A"/>
    <w:rsid w:val="00A04755"/>
    <w:rsid w:val="00A04877"/>
    <w:rsid w:val="00A048C5"/>
    <w:rsid w:val="00A04933"/>
    <w:rsid w:val="00A049CE"/>
    <w:rsid w:val="00A04A94"/>
    <w:rsid w:val="00A04AF0"/>
    <w:rsid w:val="00A04C1D"/>
    <w:rsid w:val="00A04D0F"/>
    <w:rsid w:val="00A04D32"/>
    <w:rsid w:val="00A04D98"/>
    <w:rsid w:val="00A04E42"/>
    <w:rsid w:val="00A04E4D"/>
    <w:rsid w:val="00A04F56"/>
    <w:rsid w:val="00A04F92"/>
    <w:rsid w:val="00A04FB3"/>
    <w:rsid w:val="00A04FC6"/>
    <w:rsid w:val="00A05020"/>
    <w:rsid w:val="00A05160"/>
    <w:rsid w:val="00A05193"/>
    <w:rsid w:val="00A0527A"/>
    <w:rsid w:val="00A0537F"/>
    <w:rsid w:val="00A053AB"/>
    <w:rsid w:val="00A0554B"/>
    <w:rsid w:val="00A05753"/>
    <w:rsid w:val="00A057DB"/>
    <w:rsid w:val="00A05861"/>
    <w:rsid w:val="00A05A2D"/>
    <w:rsid w:val="00A05A7A"/>
    <w:rsid w:val="00A05AEC"/>
    <w:rsid w:val="00A05B6B"/>
    <w:rsid w:val="00A05BEF"/>
    <w:rsid w:val="00A05D75"/>
    <w:rsid w:val="00A05F67"/>
    <w:rsid w:val="00A06022"/>
    <w:rsid w:val="00A061F1"/>
    <w:rsid w:val="00A062D9"/>
    <w:rsid w:val="00A0641A"/>
    <w:rsid w:val="00A06578"/>
    <w:rsid w:val="00A0664D"/>
    <w:rsid w:val="00A066AF"/>
    <w:rsid w:val="00A066CE"/>
    <w:rsid w:val="00A066F4"/>
    <w:rsid w:val="00A0688A"/>
    <w:rsid w:val="00A068B0"/>
    <w:rsid w:val="00A068E5"/>
    <w:rsid w:val="00A068EE"/>
    <w:rsid w:val="00A069D4"/>
    <w:rsid w:val="00A06AEC"/>
    <w:rsid w:val="00A06BBF"/>
    <w:rsid w:val="00A06C28"/>
    <w:rsid w:val="00A06DDE"/>
    <w:rsid w:val="00A06E02"/>
    <w:rsid w:val="00A06FAA"/>
    <w:rsid w:val="00A070EE"/>
    <w:rsid w:val="00A07237"/>
    <w:rsid w:val="00A073F0"/>
    <w:rsid w:val="00A074DC"/>
    <w:rsid w:val="00A07614"/>
    <w:rsid w:val="00A076FD"/>
    <w:rsid w:val="00A07B3B"/>
    <w:rsid w:val="00A07B58"/>
    <w:rsid w:val="00A07CD2"/>
    <w:rsid w:val="00A07CDA"/>
    <w:rsid w:val="00A07DA1"/>
    <w:rsid w:val="00A07DF7"/>
    <w:rsid w:val="00A07E11"/>
    <w:rsid w:val="00A07E94"/>
    <w:rsid w:val="00A07EAD"/>
    <w:rsid w:val="00A10063"/>
    <w:rsid w:val="00A10104"/>
    <w:rsid w:val="00A1015F"/>
    <w:rsid w:val="00A10171"/>
    <w:rsid w:val="00A102CE"/>
    <w:rsid w:val="00A10358"/>
    <w:rsid w:val="00A10368"/>
    <w:rsid w:val="00A10475"/>
    <w:rsid w:val="00A1049F"/>
    <w:rsid w:val="00A10595"/>
    <w:rsid w:val="00A106C9"/>
    <w:rsid w:val="00A106D0"/>
    <w:rsid w:val="00A1077E"/>
    <w:rsid w:val="00A10845"/>
    <w:rsid w:val="00A10871"/>
    <w:rsid w:val="00A109AD"/>
    <w:rsid w:val="00A10BC8"/>
    <w:rsid w:val="00A10C94"/>
    <w:rsid w:val="00A10D97"/>
    <w:rsid w:val="00A10EA9"/>
    <w:rsid w:val="00A10F09"/>
    <w:rsid w:val="00A10F1C"/>
    <w:rsid w:val="00A10F56"/>
    <w:rsid w:val="00A10F6F"/>
    <w:rsid w:val="00A10FCF"/>
    <w:rsid w:val="00A1106C"/>
    <w:rsid w:val="00A11181"/>
    <w:rsid w:val="00A113F2"/>
    <w:rsid w:val="00A114F3"/>
    <w:rsid w:val="00A1157B"/>
    <w:rsid w:val="00A115FB"/>
    <w:rsid w:val="00A11635"/>
    <w:rsid w:val="00A116F1"/>
    <w:rsid w:val="00A1172A"/>
    <w:rsid w:val="00A1186B"/>
    <w:rsid w:val="00A11882"/>
    <w:rsid w:val="00A1189F"/>
    <w:rsid w:val="00A11A49"/>
    <w:rsid w:val="00A11A59"/>
    <w:rsid w:val="00A11AF1"/>
    <w:rsid w:val="00A11B78"/>
    <w:rsid w:val="00A11C1B"/>
    <w:rsid w:val="00A11CBC"/>
    <w:rsid w:val="00A11CE4"/>
    <w:rsid w:val="00A11D22"/>
    <w:rsid w:val="00A11D5D"/>
    <w:rsid w:val="00A11D84"/>
    <w:rsid w:val="00A11DD8"/>
    <w:rsid w:val="00A11EF3"/>
    <w:rsid w:val="00A11FB7"/>
    <w:rsid w:val="00A11FCD"/>
    <w:rsid w:val="00A120D7"/>
    <w:rsid w:val="00A1221D"/>
    <w:rsid w:val="00A122FB"/>
    <w:rsid w:val="00A12313"/>
    <w:rsid w:val="00A12342"/>
    <w:rsid w:val="00A12361"/>
    <w:rsid w:val="00A125AE"/>
    <w:rsid w:val="00A12615"/>
    <w:rsid w:val="00A1265A"/>
    <w:rsid w:val="00A126BB"/>
    <w:rsid w:val="00A12729"/>
    <w:rsid w:val="00A12751"/>
    <w:rsid w:val="00A12806"/>
    <w:rsid w:val="00A128F1"/>
    <w:rsid w:val="00A12A36"/>
    <w:rsid w:val="00A12ADE"/>
    <w:rsid w:val="00A12BAB"/>
    <w:rsid w:val="00A12BF2"/>
    <w:rsid w:val="00A12CE3"/>
    <w:rsid w:val="00A12E07"/>
    <w:rsid w:val="00A12F9F"/>
    <w:rsid w:val="00A13111"/>
    <w:rsid w:val="00A13133"/>
    <w:rsid w:val="00A13175"/>
    <w:rsid w:val="00A131A5"/>
    <w:rsid w:val="00A131C2"/>
    <w:rsid w:val="00A1328A"/>
    <w:rsid w:val="00A132C4"/>
    <w:rsid w:val="00A136C9"/>
    <w:rsid w:val="00A136D7"/>
    <w:rsid w:val="00A1371E"/>
    <w:rsid w:val="00A13774"/>
    <w:rsid w:val="00A138EC"/>
    <w:rsid w:val="00A1390C"/>
    <w:rsid w:val="00A1391D"/>
    <w:rsid w:val="00A13AAE"/>
    <w:rsid w:val="00A13C21"/>
    <w:rsid w:val="00A13D13"/>
    <w:rsid w:val="00A13D9C"/>
    <w:rsid w:val="00A13DED"/>
    <w:rsid w:val="00A13DFD"/>
    <w:rsid w:val="00A13E99"/>
    <w:rsid w:val="00A13F62"/>
    <w:rsid w:val="00A1407A"/>
    <w:rsid w:val="00A141B9"/>
    <w:rsid w:val="00A14215"/>
    <w:rsid w:val="00A14293"/>
    <w:rsid w:val="00A143D5"/>
    <w:rsid w:val="00A14439"/>
    <w:rsid w:val="00A14541"/>
    <w:rsid w:val="00A145F5"/>
    <w:rsid w:val="00A146E3"/>
    <w:rsid w:val="00A14711"/>
    <w:rsid w:val="00A1471F"/>
    <w:rsid w:val="00A14748"/>
    <w:rsid w:val="00A14769"/>
    <w:rsid w:val="00A14776"/>
    <w:rsid w:val="00A14A6B"/>
    <w:rsid w:val="00A14A87"/>
    <w:rsid w:val="00A14A8E"/>
    <w:rsid w:val="00A14C88"/>
    <w:rsid w:val="00A14DB4"/>
    <w:rsid w:val="00A14E5E"/>
    <w:rsid w:val="00A14E6F"/>
    <w:rsid w:val="00A14E8A"/>
    <w:rsid w:val="00A14F34"/>
    <w:rsid w:val="00A14F37"/>
    <w:rsid w:val="00A14F54"/>
    <w:rsid w:val="00A14F90"/>
    <w:rsid w:val="00A151F4"/>
    <w:rsid w:val="00A1537A"/>
    <w:rsid w:val="00A15429"/>
    <w:rsid w:val="00A1547C"/>
    <w:rsid w:val="00A1550D"/>
    <w:rsid w:val="00A155FF"/>
    <w:rsid w:val="00A1560F"/>
    <w:rsid w:val="00A15626"/>
    <w:rsid w:val="00A15763"/>
    <w:rsid w:val="00A157B2"/>
    <w:rsid w:val="00A15896"/>
    <w:rsid w:val="00A158FD"/>
    <w:rsid w:val="00A15A10"/>
    <w:rsid w:val="00A15E76"/>
    <w:rsid w:val="00A15E77"/>
    <w:rsid w:val="00A15E8C"/>
    <w:rsid w:val="00A15EC6"/>
    <w:rsid w:val="00A15EFF"/>
    <w:rsid w:val="00A15F1B"/>
    <w:rsid w:val="00A15F28"/>
    <w:rsid w:val="00A16160"/>
    <w:rsid w:val="00A162F1"/>
    <w:rsid w:val="00A16405"/>
    <w:rsid w:val="00A16506"/>
    <w:rsid w:val="00A16538"/>
    <w:rsid w:val="00A165FC"/>
    <w:rsid w:val="00A1666A"/>
    <w:rsid w:val="00A1674C"/>
    <w:rsid w:val="00A167AC"/>
    <w:rsid w:val="00A16802"/>
    <w:rsid w:val="00A168A8"/>
    <w:rsid w:val="00A16CFA"/>
    <w:rsid w:val="00A170A5"/>
    <w:rsid w:val="00A170E4"/>
    <w:rsid w:val="00A1737A"/>
    <w:rsid w:val="00A17509"/>
    <w:rsid w:val="00A17539"/>
    <w:rsid w:val="00A1753B"/>
    <w:rsid w:val="00A17614"/>
    <w:rsid w:val="00A1764C"/>
    <w:rsid w:val="00A17673"/>
    <w:rsid w:val="00A17679"/>
    <w:rsid w:val="00A176A4"/>
    <w:rsid w:val="00A176DB"/>
    <w:rsid w:val="00A1776A"/>
    <w:rsid w:val="00A17823"/>
    <w:rsid w:val="00A178B5"/>
    <w:rsid w:val="00A179AB"/>
    <w:rsid w:val="00A17A95"/>
    <w:rsid w:val="00A17B24"/>
    <w:rsid w:val="00A17B8D"/>
    <w:rsid w:val="00A17BAE"/>
    <w:rsid w:val="00A17C6F"/>
    <w:rsid w:val="00A17E0A"/>
    <w:rsid w:val="00A17E61"/>
    <w:rsid w:val="00A20207"/>
    <w:rsid w:val="00A2020D"/>
    <w:rsid w:val="00A2029B"/>
    <w:rsid w:val="00A20355"/>
    <w:rsid w:val="00A2047A"/>
    <w:rsid w:val="00A20535"/>
    <w:rsid w:val="00A2066A"/>
    <w:rsid w:val="00A206DB"/>
    <w:rsid w:val="00A2071A"/>
    <w:rsid w:val="00A20855"/>
    <w:rsid w:val="00A208F5"/>
    <w:rsid w:val="00A20A25"/>
    <w:rsid w:val="00A20A36"/>
    <w:rsid w:val="00A20A73"/>
    <w:rsid w:val="00A20AF1"/>
    <w:rsid w:val="00A20B8C"/>
    <w:rsid w:val="00A20BC4"/>
    <w:rsid w:val="00A20CAC"/>
    <w:rsid w:val="00A20D4A"/>
    <w:rsid w:val="00A20E0A"/>
    <w:rsid w:val="00A20E67"/>
    <w:rsid w:val="00A20EE0"/>
    <w:rsid w:val="00A20F03"/>
    <w:rsid w:val="00A20F5A"/>
    <w:rsid w:val="00A21090"/>
    <w:rsid w:val="00A21149"/>
    <w:rsid w:val="00A211A4"/>
    <w:rsid w:val="00A21327"/>
    <w:rsid w:val="00A21439"/>
    <w:rsid w:val="00A2152A"/>
    <w:rsid w:val="00A21575"/>
    <w:rsid w:val="00A215FE"/>
    <w:rsid w:val="00A21757"/>
    <w:rsid w:val="00A21763"/>
    <w:rsid w:val="00A217CD"/>
    <w:rsid w:val="00A219F8"/>
    <w:rsid w:val="00A21A72"/>
    <w:rsid w:val="00A21C01"/>
    <w:rsid w:val="00A21D2A"/>
    <w:rsid w:val="00A21D4A"/>
    <w:rsid w:val="00A21DF7"/>
    <w:rsid w:val="00A21E4B"/>
    <w:rsid w:val="00A21E8B"/>
    <w:rsid w:val="00A21EB3"/>
    <w:rsid w:val="00A21F13"/>
    <w:rsid w:val="00A221FB"/>
    <w:rsid w:val="00A22246"/>
    <w:rsid w:val="00A223B5"/>
    <w:rsid w:val="00A22403"/>
    <w:rsid w:val="00A224A0"/>
    <w:rsid w:val="00A225C4"/>
    <w:rsid w:val="00A227A3"/>
    <w:rsid w:val="00A227C2"/>
    <w:rsid w:val="00A228CF"/>
    <w:rsid w:val="00A22A77"/>
    <w:rsid w:val="00A22B31"/>
    <w:rsid w:val="00A22D57"/>
    <w:rsid w:val="00A22D81"/>
    <w:rsid w:val="00A22EBB"/>
    <w:rsid w:val="00A22ED2"/>
    <w:rsid w:val="00A22EEA"/>
    <w:rsid w:val="00A22F9B"/>
    <w:rsid w:val="00A22FFB"/>
    <w:rsid w:val="00A23024"/>
    <w:rsid w:val="00A231A0"/>
    <w:rsid w:val="00A231A2"/>
    <w:rsid w:val="00A2325A"/>
    <w:rsid w:val="00A232CB"/>
    <w:rsid w:val="00A23333"/>
    <w:rsid w:val="00A23510"/>
    <w:rsid w:val="00A2358C"/>
    <w:rsid w:val="00A235D3"/>
    <w:rsid w:val="00A23745"/>
    <w:rsid w:val="00A23A55"/>
    <w:rsid w:val="00A23BEE"/>
    <w:rsid w:val="00A23C36"/>
    <w:rsid w:val="00A23C76"/>
    <w:rsid w:val="00A23CE4"/>
    <w:rsid w:val="00A23CFB"/>
    <w:rsid w:val="00A23D09"/>
    <w:rsid w:val="00A23DEE"/>
    <w:rsid w:val="00A23EC8"/>
    <w:rsid w:val="00A23F43"/>
    <w:rsid w:val="00A23FD7"/>
    <w:rsid w:val="00A2411F"/>
    <w:rsid w:val="00A24199"/>
    <w:rsid w:val="00A24246"/>
    <w:rsid w:val="00A242B4"/>
    <w:rsid w:val="00A242E8"/>
    <w:rsid w:val="00A24317"/>
    <w:rsid w:val="00A2433F"/>
    <w:rsid w:val="00A2443A"/>
    <w:rsid w:val="00A24581"/>
    <w:rsid w:val="00A24747"/>
    <w:rsid w:val="00A2474F"/>
    <w:rsid w:val="00A24792"/>
    <w:rsid w:val="00A247AB"/>
    <w:rsid w:val="00A248E9"/>
    <w:rsid w:val="00A24A69"/>
    <w:rsid w:val="00A24B04"/>
    <w:rsid w:val="00A24D6F"/>
    <w:rsid w:val="00A24DD6"/>
    <w:rsid w:val="00A24E2B"/>
    <w:rsid w:val="00A24F06"/>
    <w:rsid w:val="00A24F71"/>
    <w:rsid w:val="00A25042"/>
    <w:rsid w:val="00A25247"/>
    <w:rsid w:val="00A25257"/>
    <w:rsid w:val="00A2536C"/>
    <w:rsid w:val="00A25376"/>
    <w:rsid w:val="00A253B1"/>
    <w:rsid w:val="00A253BD"/>
    <w:rsid w:val="00A25445"/>
    <w:rsid w:val="00A2549A"/>
    <w:rsid w:val="00A2557C"/>
    <w:rsid w:val="00A255F4"/>
    <w:rsid w:val="00A2580E"/>
    <w:rsid w:val="00A2582B"/>
    <w:rsid w:val="00A258A9"/>
    <w:rsid w:val="00A25B12"/>
    <w:rsid w:val="00A25C20"/>
    <w:rsid w:val="00A25C3E"/>
    <w:rsid w:val="00A25E5E"/>
    <w:rsid w:val="00A25E8A"/>
    <w:rsid w:val="00A25ED4"/>
    <w:rsid w:val="00A25EFA"/>
    <w:rsid w:val="00A25F8A"/>
    <w:rsid w:val="00A2608C"/>
    <w:rsid w:val="00A26364"/>
    <w:rsid w:val="00A26381"/>
    <w:rsid w:val="00A264FE"/>
    <w:rsid w:val="00A2659D"/>
    <w:rsid w:val="00A2674F"/>
    <w:rsid w:val="00A26773"/>
    <w:rsid w:val="00A26969"/>
    <w:rsid w:val="00A26AF2"/>
    <w:rsid w:val="00A26BCD"/>
    <w:rsid w:val="00A26C47"/>
    <w:rsid w:val="00A26C8D"/>
    <w:rsid w:val="00A26D24"/>
    <w:rsid w:val="00A26DC5"/>
    <w:rsid w:val="00A26E0E"/>
    <w:rsid w:val="00A26E1F"/>
    <w:rsid w:val="00A26E72"/>
    <w:rsid w:val="00A26F93"/>
    <w:rsid w:val="00A26FED"/>
    <w:rsid w:val="00A2733E"/>
    <w:rsid w:val="00A27389"/>
    <w:rsid w:val="00A27440"/>
    <w:rsid w:val="00A27812"/>
    <w:rsid w:val="00A27897"/>
    <w:rsid w:val="00A27922"/>
    <w:rsid w:val="00A2797B"/>
    <w:rsid w:val="00A27986"/>
    <w:rsid w:val="00A27A06"/>
    <w:rsid w:val="00A27A7F"/>
    <w:rsid w:val="00A27AC0"/>
    <w:rsid w:val="00A27AFA"/>
    <w:rsid w:val="00A27B32"/>
    <w:rsid w:val="00A27BB5"/>
    <w:rsid w:val="00A27BC0"/>
    <w:rsid w:val="00A27C6B"/>
    <w:rsid w:val="00A27C96"/>
    <w:rsid w:val="00A27CC6"/>
    <w:rsid w:val="00A27E52"/>
    <w:rsid w:val="00A27E6C"/>
    <w:rsid w:val="00A27EB9"/>
    <w:rsid w:val="00A27F3E"/>
    <w:rsid w:val="00A27F80"/>
    <w:rsid w:val="00A3007B"/>
    <w:rsid w:val="00A300E7"/>
    <w:rsid w:val="00A3010E"/>
    <w:rsid w:val="00A3029D"/>
    <w:rsid w:val="00A30384"/>
    <w:rsid w:val="00A30404"/>
    <w:rsid w:val="00A30478"/>
    <w:rsid w:val="00A305A3"/>
    <w:rsid w:val="00A30651"/>
    <w:rsid w:val="00A30685"/>
    <w:rsid w:val="00A3070B"/>
    <w:rsid w:val="00A307C3"/>
    <w:rsid w:val="00A3081D"/>
    <w:rsid w:val="00A308DD"/>
    <w:rsid w:val="00A30922"/>
    <w:rsid w:val="00A3098A"/>
    <w:rsid w:val="00A309C6"/>
    <w:rsid w:val="00A30A41"/>
    <w:rsid w:val="00A30DE9"/>
    <w:rsid w:val="00A30E0D"/>
    <w:rsid w:val="00A30E43"/>
    <w:rsid w:val="00A30E99"/>
    <w:rsid w:val="00A30EB6"/>
    <w:rsid w:val="00A30FB7"/>
    <w:rsid w:val="00A3100A"/>
    <w:rsid w:val="00A3114B"/>
    <w:rsid w:val="00A31212"/>
    <w:rsid w:val="00A31219"/>
    <w:rsid w:val="00A31260"/>
    <w:rsid w:val="00A312B2"/>
    <w:rsid w:val="00A31346"/>
    <w:rsid w:val="00A313BD"/>
    <w:rsid w:val="00A3157C"/>
    <w:rsid w:val="00A315D0"/>
    <w:rsid w:val="00A31853"/>
    <w:rsid w:val="00A31868"/>
    <w:rsid w:val="00A3186E"/>
    <w:rsid w:val="00A318A5"/>
    <w:rsid w:val="00A319C3"/>
    <w:rsid w:val="00A31A38"/>
    <w:rsid w:val="00A31C2F"/>
    <w:rsid w:val="00A31CDF"/>
    <w:rsid w:val="00A31CEE"/>
    <w:rsid w:val="00A31D42"/>
    <w:rsid w:val="00A31F83"/>
    <w:rsid w:val="00A31FC8"/>
    <w:rsid w:val="00A320DB"/>
    <w:rsid w:val="00A320F5"/>
    <w:rsid w:val="00A322C4"/>
    <w:rsid w:val="00A32341"/>
    <w:rsid w:val="00A3239B"/>
    <w:rsid w:val="00A32578"/>
    <w:rsid w:val="00A32592"/>
    <w:rsid w:val="00A325C4"/>
    <w:rsid w:val="00A325EC"/>
    <w:rsid w:val="00A3261B"/>
    <w:rsid w:val="00A3269D"/>
    <w:rsid w:val="00A3278E"/>
    <w:rsid w:val="00A327D7"/>
    <w:rsid w:val="00A327F7"/>
    <w:rsid w:val="00A32805"/>
    <w:rsid w:val="00A328BD"/>
    <w:rsid w:val="00A329F9"/>
    <w:rsid w:val="00A32B5E"/>
    <w:rsid w:val="00A32CF2"/>
    <w:rsid w:val="00A32DDB"/>
    <w:rsid w:val="00A32E60"/>
    <w:rsid w:val="00A32EB0"/>
    <w:rsid w:val="00A32F11"/>
    <w:rsid w:val="00A32F30"/>
    <w:rsid w:val="00A330AA"/>
    <w:rsid w:val="00A3311B"/>
    <w:rsid w:val="00A3329A"/>
    <w:rsid w:val="00A33351"/>
    <w:rsid w:val="00A33405"/>
    <w:rsid w:val="00A3343E"/>
    <w:rsid w:val="00A334FD"/>
    <w:rsid w:val="00A3350E"/>
    <w:rsid w:val="00A33581"/>
    <w:rsid w:val="00A33629"/>
    <w:rsid w:val="00A33670"/>
    <w:rsid w:val="00A3372A"/>
    <w:rsid w:val="00A3382F"/>
    <w:rsid w:val="00A33845"/>
    <w:rsid w:val="00A338A1"/>
    <w:rsid w:val="00A338F3"/>
    <w:rsid w:val="00A3390D"/>
    <w:rsid w:val="00A33975"/>
    <w:rsid w:val="00A33A9C"/>
    <w:rsid w:val="00A33C34"/>
    <w:rsid w:val="00A33C6A"/>
    <w:rsid w:val="00A33CCE"/>
    <w:rsid w:val="00A33F72"/>
    <w:rsid w:val="00A33FDE"/>
    <w:rsid w:val="00A3421F"/>
    <w:rsid w:val="00A34269"/>
    <w:rsid w:val="00A34271"/>
    <w:rsid w:val="00A342CD"/>
    <w:rsid w:val="00A342FA"/>
    <w:rsid w:val="00A3436F"/>
    <w:rsid w:val="00A34370"/>
    <w:rsid w:val="00A3441C"/>
    <w:rsid w:val="00A34655"/>
    <w:rsid w:val="00A34691"/>
    <w:rsid w:val="00A349E8"/>
    <w:rsid w:val="00A34A05"/>
    <w:rsid w:val="00A34B29"/>
    <w:rsid w:val="00A34B39"/>
    <w:rsid w:val="00A34BAB"/>
    <w:rsid w:val="00A34C6A"/>
    <w:rsid w:val="00A34EDB"/>
    <w:rsid w:val="00A34FC2"/>
    <w:rsid w:val="00A350B9"/>
    <w:rsid w:val="00A352B8"/>
    <w:rsid w:val="00A3539F"/>
    <w:rsid w:val="00A35431"/>
    <w:rsid w:val="00A35451"/>
    <w:rsid w:val="00A355AC"/>
    <w:rsid w:val="00A356CA"/>
    <w:rsid w:val="00A357AD"/>
    <w:rsid w:val="00A357C7"/>
    <w:rsid w:val="00A35992"/>
    <w:rsid w:val="00A35AE4"/>
    <w:rsid w:val="00A35AEC"/>
    <w:rsid w:val="00A35C2A"/>
    <w:rsid w:val="00A35D00"/>
    <w:rsid w:val="00A35D32"/>
    <w:rsid w:val="00A35DC2"/>
    <w:rsid w:val="00A35DE7"/>
    <w:rsid w:val="00A35E65"/>
    <w:rsid w:val="00A35EA4"/>
    <w:rsid w:val="00A35FB5"/>
    <w:rsid w:val="00A35FEA"/>
    <w:rsid w:val="00A36106"/>
    <w:rsid w:val="00A36122"/>
    <w:rsid w:val="00A3613E"/>
    <w:rsid w:val="00A3614C"/>
    <w:rsid w:val="00A362F6"/>
    <w:rsid w:val="00A363BE"/>
    <w:rsid w:val="00A363E5"/>
    <w:rsid w:val="00A363E7"/>
    <w:rsid w:val="00A36405"/>
    <w:rsid w:val="00A36426"/>
    <w:rsid w:val="00A364CA"/>
    <w:rsid w:val="00A36597"/>
    <w:rsid w:val="00A366C2"/>
    <w:rsid w:val="00A3679E"/>
    <w:rsid w:val="00A36C16"/>
    <w:rsid w:val="00A36CC7"/>
    <w:rsid w:val="00A36D44"/>
    <w:rsid w:val="00A36DD2"/>
    <w:rsid w:val="00A36E54"/>
    <w:rsid w:val="00A36E8B"/>
    <w:rsid w:val="00A37095"/>
    <w:rsid w:val="00A370F1"/>
    <w:rsid w:val="00A37153"/>
    <w:rsid w:val="00A371FB"/>
    <w:rsid w:val="00A37410"/>
    <w:rsid w:val="00A374F7"/>
    <w:rsid w:val="00A3750F"/>
    <w:rsid w:val="00A37554"/>
    <w:rsid w:val="00A375D9"/>
    <w:rsid w:val="00A37616"/>
    <w:rsid w:val="00A376F6"/>
    <w:rsid w:val="00A37747"/>
    <w:rsid w:val="00A37865"/>
    <w:rsid w:val="00A3797A"/>
    <w:rsid w:val="00A379B2"/>
    <w:rsid w:val="00A37A5E"/>
    <w:rsid w:val="00A37A80"/>
    <w:rsid w:val="00A37B4C"/>
    <w:rsid w:val="00A37C6B"/>
    <w:rsid w:val="00A37D7D"/>
    <w:rsid w:val="00A37E99"/>
    <w:rsid w:val="00A37F1B"/>
    <w:rsid w:val="00A40150"/>
    <w:rsid w:val="00A401B8"/>
    <w:rsid w:val="00A4029E"/>
    <w:rsid w:val="00A403A6"/>
    <w:rsid w:val="00A403B1"/>
    <w:rsid w:val="00A4052B"/>
    <w:rsid w:val="00A405C2"/>
    <w:rsid w:val="00A407A6"/>
    <w:rsid w:val="00A407BB"/>
    <w:rsid w:val="00A4083F"/>
    <w:rsid w:val="00A408CE"/>
    <w:rsid w:val="00A408EB"/>
    <w:rsid w:val="00A408F4"/>
    <w:rsid w:val="00A408FB"/>
    <w:rsid w:val="00A409B2"/>
    <w:rsid w:val="00A40B9B"/>
    <w:rsid w:val="00A40BDA"/>
    <w:rsid w:val="00A40CD9"/>
    <w:rsid w:val="00A40E00"/>
    <w:rsid w:val="00A40EDD"/>
    <w:rsid w:val="00A41295"/>
    <w:rsid w:val="00A412FF"/>
    <w:rsid w:val="00A41327"/>
    <w:rsid w:val="00A41373"/>
    <w:rsid w:val="00A413F4"/>
    <w:rsid w:val="00A41424"/>
    <w:rsid w:val="00A41485"/>
    <w:rsid w:val="00A414D6"/>
    <w:rsid w:val="00A4155A"/>
    <w:rsid w:val="00A415D8"/>
    <w:rsid w:val="00A417D4"/>
    <w:rsid w:val="00A418B4"/>
    <w:rsid w:val="00A41920"/>
    <w:rsid w:val="00A41AA5"/>
    <w:rsid w:val="00A41AB0"/>
    <w:rsid w:val="00A41ABF"/>
    <w:rsid w:val="00A41B83"/>
    <w:rsid w:val="00A41BAE"/>
    <w:rsid w:val="00A41BE0"/>
    <w:rsid w:val="00A41C91"/>
    <w:rsid w:val="00A41DCD"/>
    <w:rsid w:val="00A41EB0"/>
    <w:rsid w:val="00A41EEB"/>
    <w:rsid w:val="00A41EF9"/>
    <w:rsid w:val="00A41EFF"/>
    <w:rsid w:val="00A41F81"/>
    <w:rsid w:val="00A420BE"/>
    <w:rsid w:val="00A420DE"/>
    <w:rsid w:val="00A421FE"/>
    <w:rsid w:val="00A422EB"/>
    <w:rsid w:val="00A42552"/>
    <w:rsid w:val="00A42665"/>
    <w:rsid w:val="00A426C9"/>
    <w:rsid w:val="00A42740"/>
    <w:rsid w:val="00A427CF"/>
    <w:rsid w:val="00A428F3"/>
    <w:rsid w:val="00A42961"/>
    <w:rsid w:val="00A42A1A"/>
    <w:rsid w:val="00A42BB3"/>
    <w:rsid w:val="00A42BDB"/>
    <w:rsid w:val="00A42C9E"/>
    <w:rsid w:val="00A42DB3"/>
    <w:rsid w:val="00A42DB5"/>
    <w:rsid w:val="00A42E03"/>
    <w:rsid w:val="00A42E1C"/>
    <w:rsid w:val="00A42E69"/>
    <w:rsid w:val="00A42EBA"/>
    <w:rsid w:val="00A42EBE"/>
    <w:rsid w:val="00A42F16"/>
    <w:rsid w:val="00A42F1F"/>
    <w:rsid w:val="00A43032"/>
    <w:rsid w:val="00A431A5"/>
    <w:rsid w:val="00A431CA"/>
    <w:rsid w:val="00A431EB"/>
    <w:rsid w:val="00A431EE"/>
    <w:rsid w:val="00A43236"/>
    <w:rsid w:val="00A432B4"/>
    <w:rsid w:val="00A4330A"/>
    <w:rsid w:val="00A4332D"/>
    <w:rsid w:val="00A434F4"/>
    <w:rsid w:val="00A436D2"/>
    <w:rsid w:val="00A43798"/>
    <w:rsid w:val="00A4385F"/>
    <w:rsid w:val="00A438A2"/>
    <w:rsid w:val="00A438B3"/>
    <w:rsid w:val="00A43959"/>
    <w:rsid w:val="00A43A4A"/>
    <w:rsid w:val="00A43ABB"/>
    <w:rsid w:val="00A43C1C"/>
    <w:rsid w:val="00A43CB7"/>
    <w:rsid w:val="00A43CDE"/>
    <w:rsid w:val="00A43DA3"/>
    <w:rsid w:val="00A43E87"/>
    <w:rsid w:val="00A43EDA"/>
    <w:rsid w:val="00A43F2E"/>
    <w:rsid w:val="00A43F49"/>
    <w:rsid w:val="00A44058"/>
    <w:rsid w:val="00A44070"/>
    <w:rsid w:val="00A44118"/>
    <w:rsid w:val="00A44191"/>
    <w:rsid w:val="00A44362"/>
    <w:rsid w:val="00A443B4"/>
    <w:rsid w:val="00A443C8"/>
    <w:rsid w:val="00A443C9"/>
    <w:rsid w:val="00A443E6"/>
    <w:rsid w:val="00A44405"/>
    <w:rsid w:val="00A444CC"/>
    <w:rsid w:val="00A445E7"/>
    <w:rsid w:val="00A44678"/>
    <w:rsid w:val="00A44731"/>
    <w:rsid w:val="00A4474C"/>
    <w:rsid w:val="00A447C0"/>
    <w:rsid w:val="00A448BD"/>
    <w:rsid w:val="00A44913"/>
    <w:rsid w:val="00A44914"/>
    <w:rsid w:val="00A4495F"/>
    <w:rsid w:val="00A44A39"/>
    <w:rsid w:val="00A44AAB"/>
    <w:rsid w:val="00A44AD0"/>
    <w:rsid w:val="00A44C12"/>
    <w:rsid w:val="00A44C28"/>
    <w:rsid w:val="00A44CC7"/>
    <w:rsid w:val="00A44EE1"/>
    <w:rsid w:val="00A44F23"/>
    <w:rsid w:val="00A44F4C"/>
    <w:rsid w:val="00A44F54"/>
    <w:rsid w:val="00A45076"/>
    <w:rsid w:val="00A4511D"/>
    <w:rsid w:val="00A4528A"/>
    <w:rsid w:val="00A4542D"/>
    <w:rsid w:val="00A45528"/>
    <w:rsid w:val="00A455FD"/>
    <w:rsid w:val="00A45607"/>
    <w:rsid w:val="00A4563C"/>
    <w:rsid w:val="00A45661"/>
    <w:rsid w:val="00A4567A"/>
    <w:rsid w:val="00A4568D"/>
    <w:rsid w:val="00A456BC"/>
    <w:rsid w:val="00A4586A"/>
    <w:rsid w:val="00A4587D"/>
    <w:rsid w:val="00A45900"/>
    <w:rsid w:val="00A4597A"/>
    <w:rsid w:val="00A459BD"/>
    <w:rsid w:val="00A459E1"/>
    <w:rsid w:val="00A45A90"/>
    <w:rsid w:val="00A45B5C"/>
    <w:rsid w:val="00A45BD8"/>
    <w:rsid w:val="00A45C16"/>
    <w:rsid w:val="00A45D6E"/>
    <w:rsid w:val="00A45D7A"/>
    <w:rsid w:val="00A45E5A"/>
    <w:rsid w:val="00A45E83"/>
    <w:rsid w:val="00A45F01"/>
    <w:rsid w:val="00A460DF"/>
    <w:rsid w:val="00A4612E"/>
    <w:rsid w:val="00A46171"/>
    <w:rsid w:val="00A461E7"/>
    <w:rsid w:val="00A462CA"/>
    <w:rsid w:val="00A463DB"/>
    <w:rsid w:val="00A46420"/>
    <w:rsid w:val="00A464BA"/>
    <w:rsid w:val="00A465C1"/>
    <w:rsid w:val="00A46816"/>
    <w:rsid w:val="00A468B5"/>
    <w:rsid w:val="00A468D7"/>
    <w:rsid w:val="00A46938"/>
    <w:rsid w:val="00A469F9"/>
    <w:rsid w:val="00A46A29"/>
    <w:rsid w:val="00A46A3E"/>
    <w:rsid w:val="00A46A91"/>
    <w:rsid w:val="00A46B16"/>
    <w:rsid w:val="00A46B6D"/>
    <w:rsid w:val="00A46B79"/>
    <w:rsid w:val="00A46C5A"/>
    <w:rsid w:val="00A46C84"/>
    <w:rsid w:val="00A46CAD"/>
    <w:rsid w:val="00A46F2E"/>
    <w:rsid w:val="00A46F4D"/>
    <w:rsid w:val="00A46F52"/>
    <w:rsid w:val="00A47281"/>
    <w:rsid w:val="00A472CE"/>
    <w:rsid w:val="00A47303"/>
    <w:rsid w:val="00A473AC"/>
    <w:rsid w:val="00A4766B"/>
    <w:rsid w:val="00A47724"/>
    <w:rsid w:val="00A477B7"/>
    <w:rsid w:val="00A477E3"/>
    <w:rsid w:val="00A47899"/>
    <w:rsid w:val="00A47931"/>
    <w:rsid w:val="00A47A20"/>
    <w:rsid w:val="00A47A5D"/>
    <w:rsid w:val="00A47A62"/>
    <w:rsid w:val="00A47D6C"/>
    <w:rsid w:val="00A47E4C"/>
    <w:rsid w:val="00A50048"/>
    <w:rsid w:val="00A500A5"/>
    <w:rsid w:val="00A500B1"/>
    <w:rsid w:val="00A500FE"/>
    <w:rsid w:val="00A5015B"/>
    <w:rsid w:val="00A5030D"/>
    <w:rsid w:val="00A505C1"/>
    <w:rsid w:val="00A505E0"/>
    <w:rsid w:val="00A50650"/>
    <w:rsid w:val="00A50704"/>
    <w:rsid w:val="00A50862"/>
    <w:rsid w:val="00A5086F"/>
    <w:rsid w:val="00A5094E"/>
    <w:rsid w:val="00A50BF2"/>
    <w:rsid w:val="00A50C3B"/>
    <w:rsid w:val="00A50CC4"/>
    <w:rsid w:val="00A50D1E"/>
    <w:rsid w:val="00A50F0E"/>
    <w:rsid w:val="00A51098"/>
    <w:rsid w:val="00A51105"/>
    <w:rsid w:val="00A51146"/>
    <w:rsid w:val="00A513A7"/>
    <w:rsid w:val="00A514D4"/>
    <w:rsid w:val="00A514DB"/>
    <w:rsid w:val="00A51507"/>
    <w:rsid w:val="00A51596"/>
    <w:rsid w:val="00A51853"/>
    <w:rsid w:val="00A5186C"/>
    <w:rsid w:val="00A51967"/>
    <w:rsid w:val="00A51B29"/>
    <w:rsid w:val="00A51B4A"/>
    <w:rsid w:val="00A51BEE"/>
    <w:rsid w:val="00A51C0D"/>
    <w:rsid w:val="00A51CD3"/>
    <w:rsid w:val="00A51D9E"/>
    <w:rsid w:val="00A51DAE"/>
    <w:rsid w:val="00A51F3C"/>
    <w:rsid w:val="00A51FFF"/>
    <w:rsid w:val="00A52133"/>
    <w:rsid w:val="00A52139"/>
    <w:rsid w:val="00A52165"/>
    <w:rsid w:val="00A52249"/>
    <w:rsid w:val="00A5247E"/>
    <w:rsid w:val="00A52793"/>
    <w:rsid w:val="00A527CB"/>
    <w:rsid w:val="00A52864"/>
    <w:rsid w:val="00A529DD"/>
    <w:rsid w:val="00A52AC1"/>
    <w:rsid w:val="00A52C8F"/>
    <w:rsid w:val="00A52CC6"/>
    <w:rsid w:val="00A52D22"/>
    <w:rsid w:val="00A52D38"/>
    <w:rsid w:val="00A52E37"/>
    <w:rsid w:val="00A52E90"/>
    <w:rsid w:val="00A5301D"/>
    <w:rsid w:val="00A530AE"/>
    <w:rsid w:val="00A5316D"/>
    <w:rsid w:val="00A532C7"/>
    <w:rsid w:val="00A53306"/>
    <w:rsid w:val="00A53341"/>
    <w:rsid w:val="00A53433"/>
    <w:rsid w:val="00A534A7"/>
    <w:rsid w:val="00A53519"/>
    <w:rsid w:val="00A535B8"/>
    <w:rsid w:val="00A535E3"/>
    <w:rsid w:val="00A53631"/>
    <w:rsid w:val="00A536E6"/>
    <w:rsid w:val="00A537CA"/>
    <w:rsid w:val="00A537F1"/>
    <w:rsid w:val="00A53811"/>
    <w:rsid w:val="00A5382D"/>
    <w:rsid w:val="00A538F2"/>
    <w:rsid w:val="00A5394E"/>
    <w:rsid w:val="00A539EA"/>
    <w:rsid w:val="00A53DA3"/>
    <w:rsid w:val="00A53EE3"/>
    <w:rsid w:val="00A53F0D"/>
    <w:rsid w:val="00A53FF8"/>
    <w:rsid w:val="00A541D9"/>
    <w:rsid w:val="00A542AD"/>
    <w:rsid w:val="00A542F6"/>
    <w:rsid w:val="00A54612"/>
    <w:rsid w:val="00A5461C"/>
    <w:rsid w:val="00A5477D"/>
    <w:rsid w:val="00A548AF"/>
    <w:rsid w:val="00A549A7"/>
    <w:rsid w:val="00A549B0"/>
    <w:rsid w:val="00A549B4"/>
    <w:rsid w:val="00A549BA"/>
    <w:rsid w:val="00A54B6C"/>
    <w:rsid w:val="00A54C7C"/>
    <w:rsid w:val="00A54D90"/>
    <w:rsid w:val="00A54DAE"/>
    <w:rsid w:val="00A54DFF"/>
    <w:rsid w:val="00A54EF9"/>
    <w:rsid w:val="00A54F91"/>
    <w:rsid w:val="00A54F96"/>
    <w:rsid w:val="00A54FFE"/>
    <w:rsid w:val="00A5503E"/>
    <w:rsid w:val="00A5510B"/>
    <w:rsid w:val="00A5513C"/>
    <w:rsid w:val="00A551D6"/>
    <w:rsid w:val="00A5520F"/>
    <w:rsid w:val="00A55272"/>
    <w:rsid w:val="00A552B1"/>
    <w:rsid w:val="00A55587"/>
    <w:rsid w:val="00A55698"/>
    <w:rsid w:val="00A557A2"/>
    <w:rsid w:val="00A55823"/>
    <w:rsid w:val="00A558C3"/>
    <w:rsid w:val="00A558E3"/>
    <w:rsid w:val="00A559E4"/>
    <w:rsid w:val="00A55B48"/>
    <w:rsid w:val="00A55DA6"/>
    <w:rsid w:val="00A55E2B"/>
    <w:rsid w:val="00A55E43"/>
    <w:rsid w:val="00A55ED4"/>
    <w:rsid w:val="00A55EE5"/>
    <w:rsid w:val="00A562DB"/>
    <w:rsid w:val="00A5635E"/>
    <w:rsid w:val="00A5677B"/>
    <w:rsid w:val="00A5678E"/>
    <w:rsid w:val="00A567F2"/>
    <w:rsid w:val="00A568B5"/>
    <w:rsid w:val="00A568CA"/>
    <w:rsid w:val="00A569BC"/>
    <w:rsid w:val="00A56AAE"/>
    <w:rsid w:val="00A56AC2"/>
    <w:rsid w:val="00A56B3E"/>
    <w:rsid w:val="00A56BBA"/>
    <w:rsid w:val="00A56CCC"/>
    <w:rsid w:val="00A56DDE"/>
    <w:rsid w:val="00A56E7B"/>
    <w:rsid w:val="00A56F51"/>
    <w:rsid w:val="00A5712D"/>
    <w:rsid w:val="00A5718B"/>
    <w:rsid w:val="00A572A7"/>
    <w:rsid w:val="00A572EE"/>
    <w:rsid w:val="00A5731B"/>
    <w:rsid w:val="00A573CF"/>
    <w:rsid w:val="00A573DA"/>
    <w:rsid w:val="00A575D4"/>
    <w:rsid w:val="00A57626"/>
    <w:rsid w:val="00A57664"/>
    <w:rsid w:val="00A57783"/>
    <w:rsid w:val="00A5780F"/>
    <w:rsid w:val="00A57ACC"/>
    <w:rsid w:val="00A57AF7"/>
    <w:rsid w:val="00A57B53"/>
    <w:rsid w:val="00A57EEE"/>
    <w:rsid w:val="00A602CD"/>
    <w:rsid w:val="00A602E1"/>
    <w:rsid w:val="00A603BE"/>
    <w:rsid w:val="00A604A6"/>
    <w:rsid w:val="00A604E2"/>
    <w:rsid w:val="00A605DD"/>
    <w:rsid w:val="00A605FC"/>
    <w:rsid w:val="00A60843"/>
    <w:rsid w:val="00A608C1"/>
    <w:rsid w:val="00A60919"/>
    <w:rsid w:val="00A60993"/>
    <w:rsid w:val="00A60A79"/>
    <w:rsid w:val="00A60B57"/>
    <w:rsid w:val="00A60C58"/>
    <w:rsid w:val="00A60C79"/>
    <w:rsid w:val="00A60CE9"/>
    <w:rsid w:val="00A60FD6"/>
    <w:rsid w:val="00A6118D"/>
    <w:rsid w:val="00A612CB"/>
    <w:rsid w:val="00A61318"/>
    <w:rsid w:val="00A61352"/>
    <w:rsid w:val="00A61374"/>
    <w:rsid w:val="00A613C0"/>
    <w:rsid w:val="00A61453"/>
    <w:rsid w:val="00A61501"/>
    <w:rsid w:val="00A6153F"/>
    <w:rsid w:val="00A615BE"/>
    <w:rsid w:val="00A615CF"/>
    <w:rsid w:val="00A61678"/>
    <w:rsid w:val="00A6170E"/>
    <w:rsid w:val="00A61778"/>
    <w:rsid w:val="00A617F5"/>
    <w:rsid w:val="00A618BF"/>
    <w:rsid w:val="00A618D2"/>
    <w:rsid w:val="00A618EC"/>
    <w:rsid w:val="00A61910"/>
    <w:rsid w:val="00A6198B"/>
    <w:rsid w:val="00A61A0C"/>
    <w:rsid w:val="00A61A41"/>
    <w:rsid w:val="00A61A50"/>
    <w:rsid w:val="00A61A5C"/>
    <w:rsid w:val="00A61AA4"/>
    <w:rsid w:val="00A61AC5"/>
    <w:rsid w:val="00A61B1A"/>
    <w:rsid w:val="00A61B98"/>
    <w:rsid w:val="00A61BBE"/>
    <w:rsid w:val="00A61BFC"/>
    <w:rsid w:val="00A61DDB"/>
    <w:rsid w:val="00A61E24"/>
    <w:rsid w:val="00A61EE7"/>
    <w:rsid w:val="00A61FB2"/>
    <w:rsid w:val="00A61FCA"/>
    <w:rsid w:val="00A62189"/>
    <w:rsid w:val="00A621F9"/>
    <w:rsid w:val="00A62225"/>
    <w:rsid w:val="00A624E6"/>
    <w:rsid w:val="00A624F9"/>
    <w:rsid w:val="00A62540"/>
    <w:rsid w:val="00A62572"/>
    <w:rsid w:val="00A626B8"/>
    <w:rsid w:val="00A626ED"/>
    <w:rsid w:val="00A627E5"/>
    <w:rsid w:val="00A62884"/>
    <w:rsid w:val="00A62A81"/>
    <w:rsid w:val="00A62CD7"/>
    <w:rsid w:val="00A62D17"/>
    <w:rsid w:val="00A62D1F"/>
    <w:rsid w:val="00A62D78"/>
    <w:rsid w:val="00A62DD5"/>
    <w:rsid w:val="00A62DDC"/>
    <w:rsid w:val="00A62EBF"/>
    <w:rsid w:val="00A62F53"/>
    <w:rsid w:val="00A62FE3"/>
    <w:rsid w:val="00A63050"/>
    <w:rsid w:val="00A631F6"/>
    <w:rsid w:val="00A63365"/>
    <w:rsid w:val="00A633B2"/>
    <w:rsid w:val="00A63703"/>
    <w:rsid w:val="00A63745"/>
    <w:rsid w:val="00A6377D"/>
    <w:rsid w:val="00A63821"/>
    <w:rsid w:val="00A63904"/>
    <w:rsid w:val="00A6393B"/>
    <w:rsid w:val="00A63954"/>
    <w:rsid w:val="00A63AD8"/>
    <w:rsid w:val="00A63B6F"/>
    <w:rsid w:val="00A63D69"/>
    <w:rsid w:val="00A63E9B"/>
    <w:rsid w:val="00A63EE0"/>
    <w:rsid w:val="00A63F43"/>
    <w:rsid w:val="00A64107"/>
    <w:rsid w:val="00A6417A"/>
    <w:rsid w:val="00A64232"/>
    <w:rsid w:val="00A6448F"/>
    <w:rsid w:val="00A6475D"/>
    <w:rsid w:val="00A6480D"/>
    <w:rsid w:val="00A64827"/>
    <w:rsid w:val="00A64872"/>
    <w:rsid w:val="00A6489A"/>
    <w:rsid w:val="00A64A42"/>
    <w:rsid w:val="00A64CCE"/>
    <w:rsid w:val="00A64D10"/>
    <w:rsid w:val="00A64F8B"/>
    <w:rsid w:val="00A64FB9"/>
    <w:rsid w:val="00A64FC1"/>
    <w:rsid w:val="00A65250"/>
    <w:rsid w:val="00A65428"/>
    <w:rsid w:val="00A655A9"/>
    <w:rsid w:val="00A65613"/>
    <w:rsid w:val="00A65735"/>
    <w:rsid w:val="00A6596C"/>
    <w:rsid w:val="00A65A20"/>
    <w:rsid w:val="00A65BE7"/>
    <w:rsid w:val="00A65C68"/>
    <w:rsid w:val="00A65D3C"/>
    <w:rsid w:val="00A65D3F"/>
    <w:rsid w:val="00A65D78"/>
    <w:rsid w:val="00A65E1D"/>
    <w:rsid w:val="00A65EDF"/>
    <w:rsid w:val="00A65EF4"/>
    <w:rsid w:val="00A65F2F"/>
    <w:rsid w:val="00A65FB5"/>
    <w:rsid w:val="00A66068"/>
    <w:rsid w:val="00A660B4"/>
    <w:rsid w:val="00A6621F"/>
    <w:rsid w:val="00A6636A"/>
    <w:rsid w:val="00A66493"/>
    <w:rsid w:val="00A665BC"/>
    <w:rsid w:val="00A66693"/>
    <w:rsid w:val="00A66884"/>
    <w:rsid w:val="00A66914"/>
    <w:rsid w:val="00A66B8E"/>
    <w:rsid w:val="00A66C2D"/>
    <w:rsid w:val="00A66D0C"/>
    <w:rsid w:val="00A66D59"/>
    <w:rsid w:val="00A66D87"/>
    <w:rsid w:val="00A66DCF"/>
    <w:rsid w:val="00A66E4B"/>
    <w:rsid w:val="00A66E6C"/>
    <w:rsid w:val="00A66F32"/>
    <w:rsid w:val="00A6702D"/>
    <w:rsid w:val="00A67032"/>
    <w:rsid w:val="00A67103"/>
    <w:rsid w:val="00A6731F"/>
    <w:rsid w:val="00A67354"/>
    <w:rsid w:val="00A673A0"/>
    <w:rsid w:val="00A67478"/>
    <w:rsid w:val="00A6747B"/>
    <w:rsid w:val="00A674B5"/>
    <w:rsid w:val="00A67516"/>
    <w:rsid w:val="00A67538"/>
    <w:rsid w:val="00A6753D"/>
    <w:rsid w:val="00A6758F"/>
    <w:rsid w:val="00A675F8"/>
    <w:rsid w:val="00A67604"/>
    <w:rsid w:val="00A6773F"/>
    <w:rsid w:val="00A677BC"/>
    <w:rsid w:val="00A678A5"/>
    <w:rsid w:val="00A678FF"/>
    <w:rsid w:val="00A67925"/>
    <w:rsid w:val="00A67B1D"/>
    <w:rsid w:val="00A67C54"/>
    <w:rsid w:val="00A67D96"/>
    <w:rsid w:val="00A67E87"/>
    <w:rsid w:val="00A67F31"/>
    <w:rsid w:val="00A67FB2"/>
    <w:rsid w:val="00A67FBA"/>
    <w:rsid w:val="00A7042A"/>
    <w:rsid w:val="00A70675"/>
    <w:rsid w:val="00A70969"/>
    <w:rsid w:val="00A70DD5"/>
    <w:rsid w:val="00A70E83"/>
    <w:rsid w:val="00A70EF2"/>
    <w:rsid w:val="00A70F29"/>
    <w:rsid w:val="00A70FDC"/>
    <w:rsid w:val="00A7101D"/>
    <w:rsid w:val="00A71062"/>
    <w:rsid w:val="00A71072"/>
    <w:rsid w:val="00A710EF"/>
    <w:rsid w:val="00A7117C"/>
    <w:rsid w:val="00A7131A"/>
    <w:rsid w:val="00A7133D"/>
    <w:rsid w:val="00A71361"/>
    <w:rsid w:val="00A71391"/>
    <w:rsid w:val="00A7142B"/>
    <w:rsid w:val="00A71489"/>
    <w:rsid w:val="00A714BB"/>
    <w:rsid w:val="00A7159F"/>
    <w:rsid w:val="00A715D7"/>
    <w:rsid w:val="00A71602"/>
    <w:rsid w:val="00A71618"/>
    <w:rsid w:val="00A7165A"/>
    <w:rsid w:val="00A716CC"/>
    <w:rsid w:val="00A717FA"/>
    <w:rsid w:val="00A71825"/>
    <w:rsid w:val="00A71842"/>
    <w:rsid w:val="00A7184C"/>
    <w:rsid w:val="00A71857"/>
    <w:rsid w:val="00A71AD6"/>
    <w:rsid w:val="00A71AE0"/>
    <w:rsid w:val="00A71C48"/>
    <w:rsid w:val="00A71D03"/>
    <w:rsid w:val="00A71D4F"/>
    <w:rsid w:val="00A71DD6"/>
    <w:rsid w:val="00A71E36"/>
    <w:rsid w:val="00A71F3B"/>
    <w:rsid w:val="00A720E7"/>
    <w:rsid w:val="00A721A7"/>
    <w:rsid w:val="00A72382"/>
    <w:rsid w:val="00A7241A"/>
    <w:rsid w:val="00A72433"/>
    <w:rsid w:val="00A7246A"/>
    <w:rsid w:val="00A724D3"/>
    <w:rsid w:val="00A7256E"/>
    <w:rsid w:val="00A725D1"/>
    <w:rsid w:val="00A725E2"/>
    <w:rsid w:val="00A725EB"/>
    <w:rsid w:val="00A72722"/>
    <w:rsid w:val="00A72809"/>
    <w:rsid w:val="00A72829"/>
    <w:rsid w:val="00A728A8"/>
    <w:rsid w:val="00A7299C"/>
    <w:rsid w:val="00A72A05"/>
    <w:rsid w:val="00A72CB3"/>
    <w:rsid w:val="00A72DB4"/>
    <w:rsid w:val="00A72DE0"/>
    <w:rsid w:val="00A72E9B"/>
    <w:rsid w:val="00A73031"/>
    <w:rsid w:val="00A730A9"/>
    <w:rsid w:val="00A73103"/>
    <w:rsid w:val="00A7310E"/>
    <w:rsid w:val="00A7318B"/>
    <w:rsid w:val="00A73190"/>
    <w:rsid w:val="00A7358D"/>
    <w:rsid w:val="00A73810"/>
    <w:rsid w:val="00A73848"/>
    <w:rsid w:val="00A738AF"/>
    <w:rsid w:val="00A738BF"/>
    <w:rsid w:val="00A739DC"/>
    <w:rsid w:val="00A73A35"/>
    <w:rsid w:val="00A73A8D"/>
    <w:rsid w:val="00A73B14"/>
    <w:rsid w:val="00A73F49"/>
    <w:rsid w:val="00A73FC7"/>
    <w:rsid w:val="00A741C6"/>
    <w:rsid w:val="00A743D4"/>
    <w:rsid w:val="00A7461A"/>
    <w:rsid w:val="00A74726"/>
    <w:rsid w:val="00A747BE"/>
    <w:rsid w:val="00A74883"/>
    <w:rsid w:val="00A74A3C"/>
    <w:rsid w:val="00A74A43"/>
    <w:rsid w:val="00A74B16"/>
    <w:rsid w:val="00A74B1F"/>
    <w:rsid w:val="00A74B69"/>
    <w:rsid w:val="00A74C53"/>
    <w:rsid w:val="00A74DAB"/>
    <w:rsid w:val="00A74DF8"/>
    <w:rsid w:val="00A74E7E"/>
    <w:rsid w:val="00A74F7F"/>
    <w:rsid w:val="00A74FAE"/>
    <w:rsid w:val="00A74FBA"/>
    <w:rsid w:val="00A75034"/>
    <w:rsid w:val="00A7507F"/>
    <w:rsid w:val="00A751C1"/>
    <w:rsid w:val="00A75241"/>
    <w:rsid w:val="00A75466"/>
    <w:rsid w:val="00A75484"/>
    <w:rsid w:val="00A75586"/>
    <w:rsid w:val="00A755D1"/>
    <w:rsid w:val="00A75606"/>
    <w:rsid w:val="00A7562E"/>
    <w:rsid w:val="00A75789"/>
    <w:rsid w:val="00A757B0"/>
    <w:rsid w:val="00A757FC"/>
    <w:rsid w:val="00A75BF1"/>
    <w:rsid w:val="00A75C35"/>
    <w:rsid w:val="00A75CC4"/>
    <w:rsid w:val="00A75EA6"/>
    <w:rsid w:val="00A75F32"/>
    <w:rsid w:val="00A7603C"/>
    <w:rsid w:val="00A7618E"/>
    <w:rsid w:val="00A7624F"/>
    <w:rsid w:val="00A762BD"/>
    <w:rsid w:val="00A76380"/>
    <w:rsid w:val="00A76536"/>
    <w:rsid w:val="00A765A6"/>
    <w:rsid w:val="00A765B3"/>
    <w:rsid w:val="00A76652"/>
    <w:rsid w:val="00A76663"/>
    <w:rsid w:val="00A767A7"/>
    <w:rsid w:val="00A767B8"/>
    <w:rsid w:val="00A76802"/>
    <w:rsid w:val="00A7687A"/>
    <w:rsid w:val="00A7692A"/>
    <w:rsid w:val="00A76954"/>
    <w:rsid w:val="00A769B1"/>
    <w:rsid w:val="00A76A52"/>
    <w:rsid w:val="00A76B76"/>
    <w:rsid w:val="00A76C1C"/>
    <w:rsid w:val="00A76E6E"/>
    <w:rsid w:val="00A76EF2"/>
    <w:rsid w:val="00A76F89"/>
    <w:rsid w:val="00A76FDF"/>
    <w:rsid w:val="00A7710C"/>
    <w:rsid w:val="00A771D7"/>
    <w:rsid w:val="00A7731D"/>
    <w:rsid w:val="00A7733B"/>
    <w:rsid w:val="00A773BA"/>
    <w:rsid w:val="00A77698"/>
    <w:rsid w:val="00A77769"/>
    <w:rsid w:val="00A777CF"/>
    <w:rsid w:val="00A777FC"/>
    <w:rsid w:val="00A77814"/>
    <w:rsid w:val="00A77831"/>
    <w:rsid w:val="00A77850"/>
    <w:rsid w:val="00A778C8"/>
    <w:rsid w:val="00A7791C"/>
    <w:rsid w:val="00A77977"/>
    <w:rsid w:val="00A77BC6"/>
    <w:rsid w:val="00A77BF0"/>
    <w:rsid w:val="00A77D46"/>
    <w:rsid w:val="00A77D85"/>
    <w:rsid w:val="00A77D98"/>
    <w:rsid w:val="00A77DE7"/>
    <w:rsid w:val="00A77EE2"/>
    <w:rsid w:val="00A77F98"/>
    <w:rsid w:val="00A80044"/>
    <w:rsid w:val="00A80092"/>
    <w:rsid w:val="00A800F0"/>
    <w:rsid w:val="00A80114"/>
    <w:rsid w:val="00A801E3"/>
    <w:rsid w:val="00A80218"/>
    <w:rsid w:val="00A8023D"/>
    <w:rsid w:val="00A802EA"/>
    <w:rsid w:val="00A802FA"/>
    <w:rsid w:val="00A80371"/>
    <w:rsid w:val="00A803D9"/>
    <w:rsid w:val="00A803FA"/>
    <w:rsid w:val="00A80401"/>
    <w:rsid w:val="00A80451"/>
    <w:rsid w:val="00A8051A"/>
    <w:rsid w:val="00A8055C"/>
    <w:rsid w:val="00A80564"/>
    <w:rsid w:val="00A80579"/>
    <w:rsid w:val="00A8057A"/>
    <w:rsid w:val="00A805E3"/>
    <w:rsid w:val="00A80606"/>
    <w:rsid w:val="00A806A0"/>
    <w:rsid w:val="00A807DD"/>
    <w:rsid w:val="00A80817"/>
    <w:rsid w:val="00A8086F"/>
    <w:rsid w:val="00A809C9"/>
    <w:rsid w:val="00A809E8"/>
    <w:rsid w:val="00A80AE3"/>
    <w:rsid w:val="00A80B9E"/>
    <w:rsid w:val="00A80D4A"/>
    <w:rsid w:val="00A80D7C"/>
    <w:rsid w:val="00A80DC0"/>
    <w:rsid w:val="00A80E2A"/>
    <w:rsid w:val="00A80F4E"/>
    <w:rsid w:val="00A80F5F"/>
    <w:rsid w:val="00A80FF9"/>
    <w:rsid w:val="00A81067"/>
    <w:rsid w:val="00A810E8"/>
    <w:rsid w:val="00A81129"/>
    <w:rsid w:val="00A81236"/>
    <w:rsid w:val="00A812C2"/>
    <w:rsid w:val="00A8140C"/>
    <w:rsid w:val="00A81608"/>
    <w:rsid w:val="00A8169E"/>
    <w:rsid w:val="00A817C7"/>
    <w:rsid w:val="00A81868"/>
    <w:rsid w:val="00A81967"/>
    <w:rsid w:val="00A81980"/>
    <w:rsid w:val="00A81984"/>
    <w:rsid w:val="00A81A6F"/>
    <w:rsid w:val="00A81AEE"/>
    <w:rsid w:val="00A81B16"/>
    <w:rsid w:val="00A81B48"/>
    <w:rsid w:val="00A81B99"/>
    <w:rsid w:val="00A81BFA"/>
    <w:rsid w:val="00A81C4C"/>
    <w:rsid w:val="00A81C4E"/>
    <w:rsid w:val="00A81C86"/>
    <w:rsid w:val="00A81CE1"/>
    <w:rsid w:val="00A81CED"/>
    <w:rsid w:val="00A81D3A"/>
    <w:rsid w:val="00A81D7D"/>
    <w:rsid w:val="00A81DC3"/>
    <w:rsid w:val="00A81E08"/>
    <w:rsid w:val="00A81E69"/>
    <w:rsid w:val="00A81E6B"/>
    <w:rsid w:val="00A81F92"/>
    <w:rsid w:val="00A81F9A"/>
    <w:rsid w:val="00A81FC7"/>
    <w:rsid w:val="00A8218E"/>
    <w:rsid w:val="00A82212"/>
    <w:rsid w:val="00A82504"/>
    <w:rsid w:val="00A8268E"/>
    <w:rsid w:val="00A82775"/>
    <w:rsid w:val="00A82784"/>
    <w:rsid w:val="00A82786"/>
    <w:rsid w:val="00A82882"/>
    <w:rsid w:val="00A828BA"/>
    <w:rsid w:val="00A82A00"/>
    <w:rsid w:val="00A82B07"/>
    <w:rsid w:val="00A82BBE"/>
    <w:rsid w:val="00A82BC8"/>
    <w:rsid w:val="00A82C4B"/>
    <w:rsid w:val="00A82E5C"/>
    <w:rsid w:val="00A82E6B"/>
    <w:rsid w:val="00A82F53"/>
    <w:rsid w:val="00A831B9"/>
    <w:rsid w:val="00A83298"/>
    <w:rsid w:val="00A8337B"/>
    <w:rsid w:val="00A833A7"/>
    <w:rsid w:val="00A833B7"/>
    <w:rsid w:val="00A834A8"/>
    <w:rsid w:val="00A83543"/>
    <w:rsid w:val="00A835F3"/>
    <w:rsid w:val="00A83742"/>
    <w:rsid w:val="00A8377C"/>
    <w:rsid w:val="00A837CE"/>
    <w:rsid w:val="00A8399D"/>
    <w:rsid w:val="00A839C0"/>
    <w:rsid w:val="00A83AAE"/>
    <w:rsid w:val="00A83AD6"/>
    <w:rsid w:val="00A83C6D"/>
    <w:rsid w:val="00A83D4E"/>
    <w:rsid w:val="00A83D57"/>
    <w:rsid w:val="00A83E0F"/>
    <w:rsid w:val="00A83E86"/>
    <w:rsid w:val="00A83EFE"/>
    <w:rsid w:val="00A83F51"/>
    <w:rsid w:val="00A8403E"/>
    <w:rsid w:val="00A840D6"/>
    <w:rsid w:val="00A84115"/>
    <w:rsid w:val="00A8416A"/>
    <w:rsid w:val="00A84184"/>
    <w:rsid w:val="00A84259"/>
    <w:rsid w:val="00A8435C"/>
    <w:rsid w:val="00A8441D"/>
    <w:rsid w:val="00A84465"/>
    <w:rsid w:val="00A84598"/>
    <w:rsid w:val="00A847F2"/>
    <w:rsid w:val="00A8485C"/>
    <w:rsid w:val="00A8486E"/>
    <w:rsid w:val="00A8492C"/>
    <w:rsid w:val="00A84AA1"/>
    <w:rsid w:val="00A84B89"/>
    <w:rsid w:val="00A84BA7"/>
    <w:rsid w:val="00A84CCE"/>
    <w:rsid w:val="00A84EDA"/>
    <w:rsid w:val="00A84F40"/>
    <w:rsid w:val="00A84FDC"/>
    <w:rsid w:val="00A85086"/>
    <w:rsid w:val="00A850A1"/>
    <w:rsid w:val="00A850DF"/>
    <w:rsid w:val="00A851CE"/>
    <w:rsid w:val="00A85258"/>
    <w:rsid w:val="00A85308"/>
    <w:rsid w:val="00A85311"/>
    <w:rsid w:val="00A853A7"/>
    <w:rsid w:val="00A854BC"/>
    <w:rsid w:val="00A85575"/>
    <w:rsid w:val="00A8557C"/>
    <w:rsid w:val="00A855FE"/>
    <w:rsid w:val="00A85735"/>
    <w:rsid w:val="00A857DC"/>
    <w:rsid w:val="00A857E6"/>
    <w:rsid w:val="00A85949"/>
    <w:rsid w:val="00A85BEB"/>
    <w:rsid w:val="00A85C40"/>
    <w:rsid w:val="00A85C69"/>
    <w:rsid w:val="00A85C81"/>
    <w:rsid w:val="00A85D81"/>
    <w:rsid w:val="00A85E19"/>
    <w:rsid w:val="00A85E7C"/>
    <w:rsid w:val="00A85EEE"/>
    <w:rsid w:val="00A86055"/>
    <w:rsid w:val="00A86103"/>
    <w:rsid w:val="00A8624E"/>
    <w:rsid w:val="00A86256"/>
    <w:rsid w:val="00A86271"/>
    <w:rsid w:val="00A8629E"/>
    <w:rsid w:val="00A86320"/>
    <w:rsid w:val="00A86325"/>
    <w:rsid w:val="00A863D8"/>
    <w:rsid w:val="00A864AC"/>
    <w:rsid w:val="00A86538"/>
    <w:rsid w:val="00A86578"/>
    <w:rsid w:val="00A865C5"/>
    <w:rsid w:val="00A865C9"/>
    <w:rsid w:val="00A86845"/>
    <w:rsid w:val="00A86875"/>
    <w:rsid w:val="00A86888"/>
    <w:rsid w:val="00A8692D"/>
    <w:rsid w:val="00A86976"/>
    <w:rsid w:val="00A86AD0"/>
    <w:rsid w:val="00A86B23"/>
    <w:rsid w:val="00A86B59"/>
    <w:rsid w:val="00A86C36"/>
    <w:rsid w:val="00A86C70"/>
    <w:rsid w:val="00A86D17"/>
    <w:rsid w:val="00A86EF1"/>
    <w:rsid w:val="00A86F7F"/>
    <w:rsid w:val="00A8706F"/>
    <w:rsid w:val="00A870FE"/>
    <w:rsid w:val="00A87200"/>
    <w:rsid w:val="00A87243"/>
    <w:rsid w:val="00A872CF"/>
    <w:rsid w:val="00A872D9"/>
    <w:rsid w:val="00A872F6"/>
    <w:rsid w:val="00A8738D"/>
    <w:rsid w:val="00A87416"/>
    <w:rsid w:val="00A87453"/>
    <w:rsid w:val="00A874E1"/>
    <w:rsid w:val="00A87671"/>
    <w:rsid w:val="00A878A3"/>
    <w:rsid w:val="00A8798A"/>
    <w:rsid w:val="00A87A48"/>
    <w:rsid w:val="00A87AA3"/>
    <w:rsid w:val="00A87AD9"/>
    <w:rsid w:val="00A87B5B"/>
    <w:rsid w:val="00A87BB5"/>
    <w:rsid w:val="00A87BCF"/>
    <w:rsid w:val="00A87CC7"/>
    <w:rsid w:val="00A87F7E"/>
    <w:rsid w:val="00A9004C"/>
    <w:rsid w:val="00A90399"/>
    <w:rsid w:val="00A903E2"/>
    <w:rsid w:val="00A90464"/>
    <w:rsid w:val="00A904D9"/>
    <w:rsid w:val="00A90504"/>
    <w:rsid w:val="00A90508"/>
    <w:rsid w:val="00A905EB"/>
    <w:rsid w:val="00A909E9"/>
    <w:rsid w:val="00A909FD"/>
    <w:rsid w:val="00A90A0E"/>
    <w:rsid w:val="00A90A19"/>
    <w:rsid w:val="00A90BAB"/>
    <w:rsid w:val="00A90C72"/>
    <w:rsid w:val="00A90F4E"/>
    <w:rsid w:val="00A90FDB"/>
    <w:rsid w:val="00A91042"/>
    <w:rsid w:val="00A91080"/>
    <w:rsid w:val="00A9109A"/>
    <w:rsid w:val="00A91223"/>
    <w:rsid w:val="00A9125F"/>
    <w:rsid w:val="00A91302"/>
    <w:rsid w:val="00A9137D"/>
    <w:rsid w:val="00A914D0"/>
    <w:rsid w:val="00A914F1"/>
    <w:rsid w:val="00A91535"/>
    <w:rsid w:val="00A917EC"/>
    <w:rsid w:val="00A91912"/>
    <w:rsid w:val="00A919C5"/>
    <w:rsid w:val="00A91B49"/>
    <w:rsid w:val="00A91DB1"/>
    <w:rsid w:val="00A91E3F"/>
    <w:rsid w:val="00A91ECE"/>
    <w:rsid w:val="00A91F07"/>
    <w:rsid w:val="00A91F1A"/>
    <w:rsid w:val="00A91F64"/>
    <w:rsid w:val="00A91FA6"/>
    <w:rsid w:val="00A91FC7"/>
    <w:rsid w:val="00A92005"/>
    <w:rsid w:val="00A92299"/>
    <w:rsid w:val="00A922A1"/>
    <w:rsid w:val="00A922B6"/>
    <w:rsid w:val="00A9235E"/>
    <w:rsid w:val="00A9272C"/>
    <w:rsid w:val="00A9289F"/>
    <w:rsid w:val="00A92AF9"/>
    <w:rsid w:val="00A92B01"/>
    <w:rsid w:val="00A92BD0"/>
    <w:rsid w:val="00A92C47"/>
    <w:rsid w:val="00A92D4E"/>
    <w:rsid w:val="00A92DA0"/>
    <w:rsid w:val="00A92E36"/>
    <w:rsid w:val="00A92E5F"/>
    <w:rsid w:val="00A93075"/>
    <w:rsid w:val="00A93079"/>
    <w:rsid w:val="00A93159"/>
    <w:rsid w:val="00A931A1"/>
    <w:rsid w:val="00A931C6"/>
    <w:rsid w:val="00A931E5"/>
    <w:rsid w:val="00A93224"/>
    <w:rsid w:val="00A9340B"/>
    <w:rsid w:val="00A934F1"/>
    <w:rsid w:val="00A934FC"/>
    <w:rsid w:val="00A9363C"/>
    <w:rsid w:val="00A9370D"/>
    <w:rsid w:val="00A9371E"/>
    <w:rsid w:val="00A937A4"/>
    <w:rsid w:val="00A937C3"/>
    <w:rsid w:val="00A937FE"/>
    <w:rsid w:val="00A9399A"/>
    <w:rsid w:val="00A93A90"/>
    <w:rsid w:val="00A93A9A"/>
    <w:rsid w:val="00A93A9D"/>
    <w:rsid w:val="00A93C0D"/>
    <w:rsid w:val="00A93C3A"/>
    <w:rsid w:val="00A93C3F"/>
    <w:rsid w:val="00A93CAF"/>
    <w:rsid w:val="00A93CB9"/>
    <w:rsid w:val="00A93CD0"/>
    <w:rsid w:val="00A93CF9"/>
    <w:rsid w:val="00A93D21"/>
    <w:rsid w:val="00A93D88"/>
    <w:rsid w:val="00A93ED4"/>
    <w:rsid w:val="00A9410F"/>
    <w:rsid w:val="00A9428F"/>
    <w:rsid w:val="00A94371"/>
    <w:rsid w:val="00A945A5"/>
    <w:rsid w:val="00A945E0"/>
    <w:rsid w:val="00A94661"/>
    <w:rsid w:val="00A948BB"/>
    <w:rsid w:val="00A94905"/>
    <w:rsid w:val="00A94926"/>
    <w:rsid w:val="00A94986"/>
    <w:rsid w:val="00A94B5D"/>
    <w:rsid w:val="00A94D18"/>
    <w:rsid w:val="00A94E13"/>
    <w:rsid w:val="00A94E6E"/>
    <w:rsid w:val="00A94EA8"/>
    <w:rsid w:val="00A94ECA"/>
    <w:rsid w:val="00A94F3A"/>
    <w:rsid w:val="00A94F8C"/>
    <w:rsid w:val="00A951DA"/>
    <w:rsid w:val="00A952A2"/>
    <w:rsid w:val="00A95384"/>
    <w:rsid w:val="00A95524"/>
    <w:rsid w:val="00A9556B"/>
    <w:rsid w:val="00A955A0"/>
    <w:rsid w:val="00A9565F"/>
    <w:rsid w:val="00A956FE"/>
    <w:rsid w:val="00A95799"/>
    <w:rsid w:val="00A9596E"/>
    <w:rsid w:val="00A95ADF"/>
    <w:rsid w:val="00A95B51"/>
    <w:rsid w:val="00A95B8F"/>
    <w:rsid w:val="00A95C03"/>
    <w:rsid w:val="00A95E15"/>
    <w:rsid w:val="00A95E64"/>
    <w:rsid w:val="00A95E77"/>
    <w:rsid w:val="00A95FC4"/>
    <w:rsid w:val="00A96135"/>
    <w:rsid w:val="00A961A0"/>
    <w:rsid w:val="00A9626A"/>
    <w:rsid w:val="00A962B3"/>
    <w:rsid w:val="00A96326"/>
    <w:rsid w:val="00A963E6"/>
    <w:rsid w:val="00A963F3"/>
    <w:rsid w:val="00A965AF"/>
    <w:rsid w:val="00A965D2"/>
    <w:rsid w:val="00A9660E"/>
    <w:rsid w:val="00A96614"/>
    <w:rsid w:val="00A9677E"/>
    <w:rsid w:val="00A967C7"/>
    <w:rsid w:val="00A967F5"/>
    <w:rsid w:val="00A9681A"/>
    <w:rsid w:val="00A968C0"/>
    <w:rsid w:val="00A968E9"/>
    <w:rsid w:val="00A968F3"/>
    <w:rsid w:val="00A96A27"/>
    <w:rsid w:val="00A96BC3"/>
    <w:rsid w:val="00A96C28"/>
    <w:rsid w:val="00A96C6B"/>
    <w:rsid w:val="00A96E9C"/>
    <w:rsid w:val="00A96FBC"/>
    <w:rsid w:val="00A97052"/>
    <w:rsid w:val="00A972F7"/>
    <w:rsid w:val="00A973B7"/>
    <w:rsid w:val="00A974AA"/>
    <w:rsid w:val="00A974E7"/>
    <w:rsid w:val="00A97501"/>
    <w:rsid w:val="00A975A7"/>
    <w:rsid w:val="00A975B5"/>
    <w:rsid w:val="00A975C5"/>
    <w:rsid w:val="00A97839"/>
    <w:rsid w:val="00A97872"/>
    <w:rsid w:val="00A97932"/>
    <w:rsid w:val="00A979C2"/>
    <w:rsid w:val="00A979E3"/>
    <w:rsid w:val="00A97AC3"/>
    <w:rsid w:val="00A97ACF"/>
    <w:rsid w:val="00A97DD8"/>
    <w:rsid w:val="00A97E9B"/>
    <w:rsid w:val="00A97EB3"/>
    <w:rsid w:val="00A97EE9"/>
    <w:rsid w:val="00AA0063"/>
    <w:rsid w:val="00AA01C2"/>
    <w:rsid w:val="00AA0268"/>
    <w:rsid w:val="00AA026B"/>
    <w:rsid w:val="00AA0595"/>
    <w:rsid w:val="00AA0850"/>
    <w:rsid w:val="00AA0877"/>
    <w:rsid w:val="00AA08D6"/>
    <w:rsid w:val="00AA09E0"/>
    <w:rsid w:val="00AA0A12"/>
    <w:rsid w:val="00AA0A87"/>
    <w:rsid w:val="00AA0B42"/>
    <w:rsid w:val="00AA0B95"/>
    <w:rsid w:val="00AA0BCA"/>
    <w:rsid w:val="00AA0CB3"/>
    <w:rsid w:val="00AA0E70"/>
    <w:rsid w:val="00AA0EB1"/>
    <w:rsid w:val="00AA0F4B"/>
    <w:rsid w:val="00AA0FD1"/>
    <w:rsid w:val="00AA0FF9"/>
    <w:rsid w:val="00AA1117"/>
    <w:rsid w:val="00AA1137"/>
    <w:rsid w:val="00AA115C"/>
    <w:rsid w:val="00AA1188"/>
    <w:rsid w:val="00AA1327"/>
    <w:rsid w:val="00AA136A"/>
    <w:rsid w:val="00AA137D"/>
    <w:rsid w:val="00AA13BC"/>
    <w:rsid w:val="00AA1499"/>
    <w:rsid w:val="00AA1606"/>
    <w:rsid w:val="00AA1707"/>
    <w:rsid w:val="00AA1756"/>
    <w:rsid w:val="00AA189C"/>
    <w:rsid w:val="00AA192D"/>
    <w:rsid w:val="00AA1939"/>
    <w:rsid w:val="00AA1961"/>
    <w:rsid w:val="00AA196D"/>
    <w:rsid w:val="00AA1A91"/>
    <w:rsid w:val="00AA1B1E"/>
    <w:rsid w:val="00AA1C4A"/>
    <w:rsid w:val="00AA1D6F"/>
    <w:rsid w:val="00AA1E75"/>
    <w:rsid w:val="00AA2107"/>
    <w:rsid w:val="00AA21BB"/>
    <w:rsid w:val="00AA221D"/>
    <w:rsid w:val="00AA2244"/>
    <w:rsid w:val="00AA226F"/>
    <w:rsid w:val="00AA22B5"/>
    <w:rsid w:val="00AA2432"/>
    <w:rsid w:val="00AA2510"/>
    <w:rsid w:val="00AA2633"/>
    <w:rsid w:val="00AA26AE"/>
    <w:rsid w:val="00AA2813"/>
    <w:rsid w:val="00AA2826"/>
    <w:rsid w:val="00AA2866"/>
    <w:rsid w:val="00AA2888"/>
    <w:rsid w:val="00AA2961"/>
    <w:rsid w:val="00AA29A5"/>
    <w:rsid w:val="00AA2A8B"/>
    <w:rsid w:val="00AA2AB1"/>
    <w:rsid w:val="00AA2AFD"/>
    <w:rsid w:val="00AA2BB7"/>
    <w:rsid w:val="00AA2C17"/>
    <w:rsid w:val="00AA2FE7"/>
    <w:rsid w:val="00AA3231"/>
    <w:rsid w:val="00AA3275"/>
    <w:rsid w:val="00AA3436"/>
    <w:rsid w:val="00AA349E"/>
    <w:rsid w:val="00AA34CD"/>
    <w:rsid w:val="00AA359D"/>
    <w:rsid w:val="00AA35A6"/>
    <w:rsid w:val="00AA35AB"/>
    <w:rsid w:val="00AA35E5"/>
    <w:rsid w:val="00AA3620"/>
    <w:rsid w:val="00AA371D"/>
    <w:rsid w:val="00AA384F"/>
    <w:rsid w:val="00AA3867"/>
    <w:rsid w:val="00AA3881"/>
    <w:rsid w:val="00AA3948"/>
    <w:rsid w:val="00AA39DA"/>
    <w:rsid w:val="00AA39E7"/>
    <w:rsid w:val="00AA3AC2"/>
    <w:rsid w:val="00AA3B35"/>
    <w:rsid w:val="00AA3B97"/>
    <w:rsid w:val="00AA3BA8"/>
    <w:rsid w:val="00AA3BF9"/>
    <w:rsid w:val="00AA3C0F"/>
    <w:rsid w:val="00AA3C17"/>
    <w:rsid w:val="00AA3C38"/>
    <w:rsid w:val="00AA3C6E"/>
    <w:rsid w:val="00AA3D0D"/>
    <w:rsid w:val="00AA3D6C"/>
    <w:rsid w:val="00AA3D85"/>
    <w:rsid w:val="00AA3EF0"/>
    <w:rsid w:val="00AA3EFA"/>
    <w:rsid w:val="00AA3F01"/>
    <w:rsid w:val="00AA3FC8"/>
    <w:rsid w:val="00AA40EB"/>
    <w:rsid w:val="00AA427D"/>
    <w:rsid w:val="00AA4293"/>
    <w:rsid w:val="00AA430A"/>
    <w:rsid w:val="00AA439D"/>
    <w:rsid w:val="00AA4414"/>
    <w:rsid w:val="00AA44B1"/>
    <w:rsid w:val="00AA4704"/>
    <w:rsid w:val="00AA479A"/>
    <w:rsid w:val="00AA4830"/>
    <w:rsid w:val="00AA487D"/>
    <w:rsid w:val="00AA4916"/>
    <w:rsid w:val="00AA49AA"/>
    <w:rsid w:val="00AA4B1A"/>
    <w:rsid w:val="00AA4C2D"/>
    <w:rsid w:val="00AA4CC9"/>
    <w:rsid w:val="00AA4FF3"/>
    <w:rsid w:val="00AA5196"/>
    <w:rsid w:val="00AA523A"/>
    <w:rsid w:val="00AA5281"/>
    <w:rsid w:val="00AA5391"/>
    <w:rsid w:val="00AA53B4"/>
    <w:rsid w:val="00AA5532"/>
    <w:rsid w:val="00AA5EC0"/>
    <w:rsid w:val="00AA5EFF"/>
    <w:rsid w:val="00AA6097"/>
    <w:rsid w:val="00AA60E7"/>
    <w:rsid w:val="00AA6101"/>
    <w:rsid w:val="00AA614E"/>
    <w:rsid w:val="00AA62B0"/>
    <w:rsid w:val="00AA63A3"/>
    <w:rsid w:val="00AA64F5"/>
    <w:rsid w:val="00AA64FF"/>
    <w:rsid w:val="00AA6537"/>
    <w:rsid w:val="00AA66E4"/>
    <w:rsid w:val="00AA6818"/>
    <w:rsid w:val="00AA6834"/>
    <w:rsid w:val="00AA693A"/>
    <w:rsid w:val="00AA6987"/>
    <w:rsid w:val="00AA699C"/>
    <w:rsid w:val="00AA6A61"/>
    <w:rsid w:val="00AA6B06"/>
    <w:rsid w:val="00AA6B23"/>
    <w:rsid w:val="00AA6BB4"/>
    <w:rsid w:val="00AA6BE4"/>
    <w:rsid w:val="00AA6D7F"/>
    <w:rsid w:val="00AA704B"/>
    <w:rsid w:val="00AA70C4"/>
    <w:rsid w:val="00AA710F"/>
    <w:rsid w:val="00AA712B"/>
    <w:rsid w:val="00AA7137"/>
    <w:rsid w:val="00AA71CF"/>
    <w:rsid w:val="00AA7223"/>
    <w:rsid w:val="00AA722B"/>
    <w:rsid w:val="00AA729E"/>
    <w:rsid w:val="00AA74A9"/>
    <w:rsid w:val="00AA74B4"/>
    <w:rsid w:val="00AA7526"/>
    <w:rsid w:val="00AA7556"/>
    <w:rsid w:val="00AA7630"/>
    <w:rsid w:val="00AA77AF"/>
    <w:rsid w:val="00AA7852"/>
    <w:rsid w:val="00AA7857"/>
    <w:rsid w:val="00AA787A"/>
    <w:rsid w:val="00AA78AE"/>
    <w:rsid w:val="00AA78BD"/>
    <w:rsid w:val="00AA78E3"/>
    <w:rsid w:val="00AA79CA"/>
    <w:rsid w:val="00AA79DC"/>
    <w:rsid w:val="00AA7A67"/>
    <w:rsid w:val="00AA7A87"/>
    <w:rsid w:val="00AA7B3A"/>
    <w:rsid w:val="00AA7BAC"/>
    <w:rsid w:val="00AA7C40"/>
    <w:rsid w:val="00AA7DCD"/>
    <w:rsid w:val="00AA7E08"/>
    <w:rsid w:val="00AA7E47"/>
    <w:rsid w:val="00AA7EB8"/>
    <w:rsid w:val="00AA7F51"/>
    <w:rsid w:val="00AA7F7F"/>
    <w:rsid w:val="00AB00CE"/>
    <w:rsid w:val="00AB00F2"/>
    <w:rsid w:val="00AB018E"/>
    <w:rsid w:val="00AB0460"/>
    <w:rsid w:val="00AB04CE"/>
    <w:rsid w:val="00AB04D8"/>
    <w:rsid w:val="00AB054A"/>
    <w:rsid w:val="00AB05AE"/>
    <w:rsid w:val="00AB078D"/>
    <w:rsid w:val="00AB0816"/>
    <w:rsid w:val="00AB08BF"/>
    <w:rsid w:val="00AB09B5"/>
    <w:rsid w:val="00AB0A5F"/>
    <w:rsid w:val="00AB0AB5"/>
    <w:rsid w:val="00AB0BBA"/>
    <w:rsid w:val="00AB0C0D"/>
    <w:rsid w:val="00AB0CD0"/>
    <w:rsid w:val="00AB0CE8"/>
    <w:rsid w:val="00AB0E3E"/>
    <w:rsid w:val="00AB1063"/>
    <w:rsid w:val="00AB1068"/>
    <w:rsid w:val="00AB1116"/>
    <w:rsid w:val="00AB1145"/>
    <w:rsid w:val="00AB11E5"/>
    <w:rsid w:val="00AB13A3"/>
    <w:rsid w:val="00AB1404"/>
    <w:rsid w:val="00AB1440"/>
    <w:rsid w:val="00AB1483"/>
    <w:rsid w:val="00AB14FB"/>
    <w:rsid w:val="00AB156C"/>
    <w:rsid w:val="00AB1599"/>
    <w:rsid w:val="00AB15A1"/>
    <w:rsid w:val="00AB16A8"/>
    <w:rsid w:val="00AB1811"/>
    <w:rsid w:val="00AB18A6"/>
    <w:rsid w:val="00AB193C"/>
    <w:rsid w:val="00AB1AA6"/>
    <w:rsid w:val="00AB1AFE"/>
    <w:rsid w:val="00AB1B10"/>
    <w:rsid w:val="00AB1B46"/>
    <w:rsid w:val="00AB1B60"/>
    <w:rsid w:val="00AB1C01"/>
    <w:rsid w:val="00AB1FD1"/>
    <w:rsid w:val="00AB2056"/>
    <w:rsid w:val="00AB2078"/>
    <w:rsid w:val="00AB213E"/>
    <w:rsid w:val="00AB217E"/>
    <w:rsid w:val="00AB220D"/>
    <w:rsid w:val="00AB225B"/>
    <w:rsid w:val="00AB22D3"/>
    <w:rsid w:val="00AB2485"/>
    <w:rsid w:val="00AB250A"/>
    <w:rsid w:val="00AB2523"/>
    <w:rsid w:val="00AB25C7"/>
    <w:rsid w:val="00AB2601"/>
    <w:rsid w:val="00AB2608"/>
    <w:rsid w:val="00AB263D"/>
    <w:rsid w:val="00AB26A4"/>
    <w:rsid w:val="00AB2743"/>
    <w:rsid w:val="00AB2842"/>
    <w:rsid w:val="00AB288F"/>
    <w:rsid w:val="00AB28F9"/>
    <w:rsid w:val="00AB29CE"/>
    <w:rsid w:val="00AB2B39"/>
    <w:rsid w:val="00AB2B50"/>
    <w:rsid w:val="00AB2D12"/>
    <w:rsid w:val="00AB2D26"/>
    <w:rsid w:val="00AB2D67"/>
    <w:rsid w:val="00AB2D94"/>
    <w:rsid w:val="00AB2EA4"/>
    <w:rsid w:val="00AB2EFB"/>
    <w:rsid w:val="00AB2F84"/>
    <w:rsid w:val="00AB3073"/>
    <w:rsid w:val="00AB30D3"/>
    <w:rsid w:val="00AB30EE"/>
    <w:rsid w:val="00AB3186"/>
    <w:rsid w:val="00AB31F4"/>
    <w:rsid w:val="00AB321C"/>
    <w:rsid w:val="00AB32D7"/>
    <w:rsid w:val="00AB32F8"/>
    <w:rsid w:val="00AB3366"/>
    <w:rsid w:val="00AB336E"/>
    <w:rsid w:val="00AB33BC"/>
    <w:rsid w:val="00AB33E9"/>
    <w:rsid w:val="00AB3549"/>
    <w:rsid w:val="00AB357D"/>
    <w:rsid w:val="00AB361B"/>
    <w:rsid w:val="00AB363E"/>
    <w:rsid w:val="00AB382E"/>
    <w:rsid w:val="00AB38C7"/>
    <w:rsid w:val="00AB3914"/>
    <w:rsid w:val="00AB392F"/>
    <w:rsid w:val="00AB3C74"/>
    <w:rsid w:val="00AB3C92"/>
    <w:rsid w:val="00AB42DC"/>
    <w:rsid w:val="00AB42F6"/>
    <w:rsid w:val="00AB4442"/>
    <w:rsid w:val="00AB4679"/>
    <w:rsid w:val="00AB495B"/>
    <w:rsid w:val="00AB49D1"/>
    <w:rsid w:val="00AB49FE"/>
    <w:rsid w:val="00AB4A1B"/>
    <w:rsid w:val="00AB4A6C"/>
    <w:rsid w:val="00AB4B11"/>
    <w:rsid w:val="00AB4B13"/>
    <w:rsid w:val="00AB4C66"/>
    <w:rsid w:val="00AB4C74"/>
    <w:rsid w:val="00AB4D55"/>
    <w:rsid w:val="00AB4E5C"/>
    <w:rsid w:val="00AB4EFE"/>
    <w:rsid w:val="00AB4FB9"/>
    <w:rsid w:val="00AB4FF9"/>
    <w:rsid w:val="00AB52E4"/>
    <w:rsid w:val="00AB5575"/>
    <w:rsid w:val="00AB5682"/>
    <w:rsid w:val="00AB5744"/>
    <w:rsid w:val="00AB591A"/>
    <w:rsid w:val="00AB5B9F"/>
    <w:rsid w:val="00AB5CE6"/>
    <w:rsid w:val="00AB5D32"/>
    <w:rsid w:val="00AB5D47"/>
    <w:rsid w:val="00AB5D4E"/>
    <w:rsid w:val="00AB5F73"/>
    <w:rsid w:val="00AB5F77"/>
    <w:rsid w:val="00AB5FB1"/>
    <w:rsid w:val="00AB605E"/>
    <w:rsid w:val="00AB60D5"/>
    <w:rsid w:val="00AB62BC"/>
    <w:rsid w:val="00AB64A4"/>
    <w:rsid w:val="00AB662A"/>
    <w:rsid w:val="00AB667B"/>
    <w:rsid w:val="00AB667E"/>
    <w:rsid w:val="00AB6719"/>
    <w:rsid w:val="00AB691B"/>
    <w:rsid w:val="00AB691E"/>
    <w:rsid w:val="00AB6A22"/>
    <w:rsid w:val="00AB6A2F"/>
    <w:rsid w:val="00AB6B49"/>
    <w:rsid w:val="00AB6C2E"/>
    <w:rsid w:val="00AB6C3F"/>
    <w:rsid w:val="00AB6C8A"/>
    <w:rsid w:val="00AB6D50"/>
    <w:rsid w:val="00AB6DC8"/>
    <w:rsid w:val="00AB6E9C"/>
    <w:rsid w:val="00AB6EC7"/>
    <w:rsid w:val="00AB72A6"/>
    <w:rsid w:val="00AB7399"/>
    <w:rsid w:val="00AB7445"/>
    <w:rsid w:val="00AB74C8"/>
    <w:rsid w:val="00AB7562"/>
    <w:rsid w:val="00AB764D"/>
    <w:rsid w:val="00AB76B2"/>
    <w:rsid w:val="00AB7778"/>
    <w:rsid w:val="00AB7811"/>
    <w:rsid w:val="00AB789B"/>
    <w:rsid w:val="00AB78F8"/>
    <w:rsid w:val="00AB7A43"/>
    <w:rsid w:val="00AB7C07"/>
    <w:rsid w:val="00AB7C45"/>
    <w:rsid w:val="00AB7EB2"/>
    <w:rsid w:val="00AB7EDB"/>
    <w:rsid w:val="00AB7F15"/>
    <w:rsid w:val="00AB7F97"/>
    <w:rsid w:val="00AB7FEE"/>
    <w:rsid w:val="00AC00AE"/>
    <w:rsid w:val="00AC01C9"/>
    <w:rsid w:val="00AC049F"/>
    <w:rsid w:val="00AC0605"/>
    <w:rsid w:val="00AC06DC"/>
    <w:rsid w:val="00AC077A"/>
    <w:rsid w:val="00AC0A33"/>
    <w:rsid w:val="00AC0B89"/>
    <w:rsid w:val="00AC0BBA"/>
    <w:rsid w:val="00AC0BCD"/>
    <w:rsid w:val="00AC0BD9"/>
    <w:rsid w:val="00AC10F7"/>
    <w:rsid w:val="00AC1279"/>
    <w:rsid w:val="00AC1394"/>
    <w:rsid w:val="00AC140F"/>
    <w:rsid w:val="00AC14A0"/>
    <w:rsid w:val="00AC15D0"/>
    <w:rsid w:val="00AC167A"/>
    <w:rsid w:val="00AC18C5"/>
    <w:rsid w:val="00AC197E"/>
    <w:rsid w:val="00AC1A95"/>
    <w:rsid w:val="00AC1C0D"/>
    <w:rsid w:val="00AC1CBF"/>
    <w:rsid w:val="00AC1D25"/>
    <w:rsid w:val="00AC1DC1"/>
    <w:rsid w:val="00AC1ECB"/>
    <w:rsid w:val="00AC1EE2"/>
    <w:rsid w:val="00AC2199"/>
    <w:rsid w:val="00AC220C"/>
    <w:rsid w:val="00AC224B"/>
    <w:rsid w:val="00AC2371"/>
    <w:rsid w:val="00AC2392"/>
    <w:rsid w:val="00AC2426"/>
    <w:rsid w:val="00AC2444"/>
    <w:rsid w:val="00AC2478"/>
    <w:rsid w:val="00AC247C"/>
    <w:rsid w:val="00AC2493"/>
    <w:rsid w:val="00AC26D4"/>
    <w:rsid w:val="00AC2889"/>
    <w:rsid w:val="00AC28B4"/>
    <w:rsid w:val="00AC290C"/>
    <w:rsid w:val="00AC2911"/>
    <w:rsid w:val="00AC29F1"/>
    <w:rsid w:val="00AC2A75"/>
    <w:rsid w:val="00AC2D74"/>
    <w:rsid w:val="00AC2E3C"/>
    <w:rsid w:val="00AC2EA0"/>
    <w:rsid w:val="00AC2F41"/>
    <w:rsid w:val="00AC3018"/>
    <w:rsid w:val="00AC3035"/>
    <w:rsid w:val="00AC3056"/>
    <w:rsid w:val="00AC30B4"/>
    <w:rsid w:val="00AC3353"/>
    <w:rsid w:val="00AC3606"/>
    <w:rsid w:val="00AC373F"/>
    <w:rsid w:val="00AC378D"/>
    <w:rsid w:val="00AC37BC"/>
    <w:rsid w:val="00AC37F3"/>
    <w:rsid w:val="00AC3876"/>
    <w:rsid w:val="00AC39B3"/>
    <w:rsid w:val="00AC3AB6"/>
    <w:rsid w:val="00AC3B47"/>
    <w:rsid w:val="00AC3B5C"/>
    <w:rsid w:val="00AC3B99"/>
    <w:rsid w:val="00AC3C03"/>
    <w:rsid w:val="00AC3C5D"/>
    <w:rsid w:val="00AC3D01"/>
    <w:rsid w:val="00AC3D35"/>
    <w:rsid w:val="00AC3E30"/>
    <w:rsid w:val="00AC3EA1"/>
    <w:rsid w:val="00AC3F32"/>
    <w:rsid w:val="00AC3F6E"/>
    <w:rsid w:val="00AC4001"/>
    <w:rsid w:val="00AC401B"/>
    <w:rsid w:val="00AC4107"/>
    <w:rsid w:val="00AC41D3"/>
    <w:rsid w:val="00AC421C"/>
    <w:rsid w:val="00AC43B4"/>
    <w:rsid w:val="00AC43E6"/>
    <w:rsid w:val="00AC442A"/>
    <w:rsid w:val="00AC451B"/>
    <w:rsid w:val="00AC4705"/>
    <w:rsid w:val="00AC4808"/>
    <w:rsid w:val="00AC486A"/>
    <w:rsid w:val="00AC4A98"/>
    <w:rsid w:val="00AC4AFE"/>
    <w:rsid w:val="00AC4B84"/>
    <w:rsid w:val="00AC4C11"/>
    <w:rsid w:val="00AC4C61"/>
    <w:rsid w:val="00AC4D11"/>
    <w:rsid w:val="00AC4D36"/>
    <w:rsid w:val="00AC4DBF"/>
    <w:rsid w:val="00AC4DDA"/>
    <w:rsid w:val="00AC4E7C"/>
    <w:rsid w:val="00AC4F2C"/>
    <w:rsid w:val="00AC517C"/>
    <w:rsid w:val="00AC529C"/>
    <w:rsid w:val="00AC52F4"/>
    <w:rsid w:val="00AC5506"/>
    <w:rsid w:val="00AC553C"/>
    <w:rsid w:val="00AC5593"/>
    <w:rsid w:val="00AC5600"/>
    <w:rsid w:val="00AC5612"/>
    <w:rsid w:val="00AC56DC"/>
    <w:rsid w:val="00AC5783"/>
    <w:rsid w:val="00AC57C8"/>
    <w:rsid w:val="00AC5951"/>
    <w:rsid w:val="00AC5ACE"/>
    <w:rsid w:val="00AC5B33"/>
    <w:rsid w:val="00AC5C1B"/>
    <w:rsid w:val="00AC5C85"/>
    <w:rsid w:val="00AC5E88"/>
    <w:rsid w:val="00AC5F97"/>
    <w:rsid w:val="00AC60B7"/>
    <w:rsid w:val="00AC6226"/>
    <w:rsid w:val="00AC63C2"/>
    <w:rsid w:val="00AC63D3"/>
    <w:rsid w:val="00AC64AA"/>
    <w:rsid w:val="00AC65CA"/>
    <w:rsid w:val="00AC69FD"/>
    <w:rsid w:val="00AC6B09"/>
    <w:rsid w:val="00AC6B59"/>
    <w:rsid w:val="00AC6B8D"/>
    <w:rsid w:val="00AC6CC6"/>
    <w:rsid w:val="00AC6D31"/>
    <w:rsid w:val="00AC6E4D"/>
    <w:rsid w:val="00AC6F1B"/>
    <w:rsid w:val="00AC6FA6"/>
    <w:rsid w:val="00AC714A"/>
    <w:rsid w:val="00AC7184"/>
    <w:rsid w:val="00AC7291"/>
    <w:rsid w:val="00AC73CA"/>
    <w:rsid w:val="00AC7464"/>
    <w:rsid w:val="00AC74AC"/>
    <w:rsid w:val="00AC7584"/>
    <w:rsid w:val="00AC7614"/>
    <w:rsid w:val="00AC765B"/>
    <w:rsid w:val="00AC7804"/>
    <w:rsid w:val="00AC782B"/>
    <w:rsid w:val="00AC79E6"/>
    <w:rsid w:val="00AC7A23"/>
    <w:rsid w:val="00AC7A7F"/>
    <w:rsid w:val="00AC7B98"/>
    <w:rsid w:val="00AC7BCA"/>
    <w:rsid w:val="00AC7D14"/>
    <w:rsid w:val="00AC7D4A"/>
    <w:rsid w:val="00AC7EBE"/>
    <w:rsid w:val="00AC7EF7"/>
    <w:rsid w:val="00AD01B3"/>
    <w:rsid w:val="00AD028D"/>
    <w:rsid w:val="00AD03B1"/>
    <w:rsid w:val="00AD041B"/>
    <w:rsid w:val="00AD0456"/>
    <w:rsid w:val="00AD05A4"/>
    <w:rsid w:val="00AD0741"/>
    <w:rsid w:val="00AD08B0"/>
    <w:rsid w:val="00AD09E4"/>
    <w:rsid w:val="00AD0A8E"/>
    <w:rsid w:val="00AD0BFB"/>
    <w:rsid w:val="00AD0C2B"/>
    <w:rsid w:val="00AD0E8C"/>
    <w:rsid w:val="00AD122D"/>
    <w:rsid w:val="00AD136B"/>
    <w:rsid w:val="00AD14DA"/>
    <w:rsid w:val="00AD157B"/>
    <w:rsid w:val="00AD1845"/>
    <w:rsid w:val="00AD197E"/>
    <w:rsid w:val="00AD19DF"/>
    <w:rsid w:val="00AD1C6C"/>
    <w:rsid w:val="00AD1D50"/>
    <w:rsid w:val="00AD1DD6"/>
    <w:rsid w:val="00AD21C8"/>
    <w:rsid w:val="00AD221A"/>
    <w:rsid w:val="00AD22D2"/>
    <w:rsid w:val="00AD2352"/>
    <w:rsid w:val="00AD24AF"/>
    <w:rsid w:val="00AD2624"/>
    <w:rsid w:val="00AD2727"/>
    <w:rsid w:val="00AD2747"/>
    <w:rsid w:val="00AD276D"/>
    <w:rsid w:val="00AD27A4"/>
    <w:rsid w:val="00AD28F4"/>
    <w:rsid w:val="00AD2948"/>
    <w:rsid w:val="00AD2A09"/>
    <w:rsid w:val="00AD2A9F"/>
    <w:rsid w:val="00AD2CDA"/>
    <w:rsid w:val="00AD2CEB"/>
    <w:rsid w:val="00AD2D26"/>
    <w:rsid w:val="00AD2D7F"/>
    <w:rsid w:val="00AD2DC4"/>
    <w:rsid w:val="00AD2DFC"/>
    <w:rsid w:val="00AD2EAE"/>
    <w:rsid w:val="00AD2FBB"/>
    <w:rsid w:val="00AD2FDF"/>
    <w:rsid w:val="00AD301E"/>
    <w:rsid w:val="00AD30A4"/>
    <w:rsid w:val="00AD3214"/>
    <w:rsid w:val="00AD32AD"/>
    <w:rsid w:val="00AD3370"/>
    <w:rsid w:val="00AD3566"/>
    <w:rsid w:val="00AD35EF"/>
    <w:rsid w:val="00AD36A0"/>
    <w:rsid w:val="00AD381A"/>
    <w:rsid w:val="00AD391A"/>
    <w:rsid w:val="00AD3987"/>
    <w:rsid w:val="00AD399D"/>
    <w:rsid w:val="00AD39BE"/>
    <w:rsid w:val="00AD3A64"/>
    <w:rsid w:val="00AD3A8E"/>
    <w:rsid w:val="00AD3C35"/>
    <w:rsid w:val="00AD3CE1"/>
    <w:rsid w:val="00AD3E8A"/>
    <w:rsid w:val="00AD3F4C"/>
    <w:rsid w:val="00AD405F"/>
    <w:rsid w:val="00AD4107"/>
    <w:rsid w:val="00AD4185"/>
    <w:rsid w:val="00AD41A3"/>
    <w:rsid w:val="00AD41AE"/>
    <w:rsid w:val="00AD41D3"/>
    <w:rsid w:val="00AD4205"/>
    <w:rsid w:val="00AD429F"/>
    <w:rsid w:val="00AD431F"/>
    <w:rsid w:val="00AD435F"/>
    <w:rsid w:val="00AD43E1"/>
    <w:rsid w:val="00AD4568"/>
    <w:rsid w:val="00AD46D1"/>
    <w:rsid w:val="00AD4805"/>
    <w:rsid w:val="00AD486B"/>
    <w:rsid w:val="00AD49E7"/>
    <w:rsid w:val="00AD49FD"/>
    <w:rsid w:val="00AD4A36"/>
    <w:rsid w:val="00AD4A86"/>
    <w:rsid w:val="00AD4E65"/>
    <w:rsid w:val="00AD4FC2"/>
    <w:rsid w:val="00AD510D"/>
    <w:rsid w:val="00AD51F7"/>
    <w:rsid w:val="00AD522D"/>
    <w:rsid w:val="00AD52AF"/>
    <w:rsid w:val="00AD53A2"/>
    <w:rsid w:val="00AD5449"/>
    <w:rsid w:val="00AD545B"/>
    <w:rsid w:val="00AD5597"/>
    <w:rsid w:val="00AD55B7"/>
    <w:rsid w:val="00AD55BB"/>
    <w:rsid w:val="00AD570F"/>
    <w:rsid w:val="00AD5720"/>
    <w:rsid w:val="00AD5780"/>
    <w:rsid w:val="00AD57CF"/>
    <w:rsid w:val="00AD582C"/>
    <w:rsid w:val="00AD5863"/>
    <w:rsid w:val="00AD58B2"/>
    <w:rsid w:val="00AD5936"/>
    <w:rsid w:val="00AD5A8D"/>
    <w:rsid w:val="00AD5B97"/>
    <w:rsid w:val="00AD5BAD"/>
    <w:rsid w:val="00AD5C1B"/>
    <w:rsid w:val="00AD5C5A"/>
    <w:rsid w:val="00AD5C76"/>
    <w:rsid w:val="00AD5D46"/>
    <w:rsid w:val="00AD5D61"/>
    <w:rsid w:val="00AD5D64"/>
    <w:rsid w:val="00AD5F69"/>
    <w:rsid w:val="00AD5FEC"/>
    <w:rsid w:val="00AD6223"/>
    <w:rsid w:val="00AD64E2"/>
    <w:rsid w:val="00AD6693"/>
    <w:rsid w:val="00AD695A"/>
    <w:rsid w:val="00AD6B0D"/>
    <w:rsid w:val="00AD6BCA"/>
    <w:rsid w:val="00AD6C23"/>
    <w:rsid w:val="00AD6C86"/>
    <w:rsid w:val="00AD6CE3"/>
    <w:rsid w:val="00AD6DA3"/>
    <w:rsid w:val="00AD747F"/>
    <w:rsid w:val="00AD75DB"/>
    <w:rsid w:val="00AD766A"/>
    <w:rsid w:val="00AD76AD"/>
    <w:rsid w:val="00AD77F1"/>
    <w:rsid w:val="00AD795C"/>
    <w:rsid w:val="00AD7A3B"/>
    <w:rsid w:val="00AD7AB0"/>
    <w:rsid w:val="00AD7AF3"/>
    <w:rsid w:val="00AD7B4A"/>
    <w:rsid w:val="00AD7BFC"/>
    <w:rsid w:val="00AD7C3A"/>
    <w:rsid w:val="00AD7D57"/>
    <w:rsid w:val="00AD7DB8"/>
    <w:rsid w:val="00AD7DFD"/>
    <w:rsid w:val="00AD7DFE"/>
    <w:rsid w:val="00AD7E2B"/>
    <w:rsid w:val="00AD7EEC"/>
    <w:rsid w:val="00AD7EED"/>
    <w:rsid w:val="00AD7F63"/>
    <w:rsid w:val="00AE002A"/>
    <w:rsid w:val="00AE0035"/>
    <w:rsid w:val="00AE0231"/>
    <w:rsid w:val="00AE028B"/>
    <w:rsid w:val="00AE036C"/>
    <w:rsid w:val="00AE0508"/>
    <w:rsid w:val="00AE0623"/>
    <w:rsid w:val="00AE06C1"/>
    <w:rsid w:val="00AE06D4"/>
    <w:rsid w:val="00AE06EC"/>
    <w:rsid w:val="00AE0820"/>
    <w:rsid w:val="00AE088D"/>
    <w:rsid w:val="00AE089E"/>
    <w:rsid w:val="00AE08C3"/>
    <w:rsid w:val="00AE090D"/>
    <w:rsid w:val="00AE0A35"/>
    <w:rsid w:val="00AE0A71"/>
    <w:rsid w:val="00AE0E90"/>
    <w:rsid w:val="00AE0F55"/>
    <w:rsid w:val="00AE0FDD"/>
    <w:rsid w:val="00AE0FE2"/>
    <w:rsid w:val="00AE1021"/>
    <w:rsid w:val="00AE1029"/>
    <w:rsid w:val="00AE102B"/>
    <w:rsid w:val="00AE1049"/>
    <w:rsid w:val="00AE10DA"/>
    <w:rsid w:val="00AE10FC"/>
    <w:rsid w:val="00AE1359"/>
    <w:rsid w:val="00AE1474"/>
    <w:rsid w:val="00AE14F3"/>
    <w:rsid w:val="00AE152E"/>
    <w:rsid w:val="00AE1594"/>
    <w:rsid w:val="00AE1683"/>
    <w:rsid w:val="00AE16B7"/>
    <w:rsid w:val="00AE172A"/>
    <w:rsid w:val="00AE1830"/>
    <w:rsid w:val="00AE1842"/>
    <w:rsid w:val="00AE1A4E"/>
    <w:rsid w:val="00AE1A77"/>
    <w:rsid w:val="00AE1B20"/>
    <w:rsid w:val="00AE1BEF"/>
    <w:rsid w:val="00AE1C23"/>
    <w:rsid w:val="00AE1C37"/>
    <w:rsid w:val="00AE1E77"/>
    <w:rsid w:val="00AE215F"/>
    <w:rsid w:val="00AE216B"/>
    <w:rsid w:val="00AE21A8"/>
    <w:rsid w:val="00AE223E"/>
    <w:rsid w:val="00AE231B"/>
    <w:rsid w:val="00AE233D"/>
    <w:rsid w:val="00AE251C"/>
    <w:rsid w:val="00AE25F0"/>
    <w:rsid w:val="00AE2658"/>
    <w:rsid w:val="00AE26D4"/>
    <w:rsid w:val="00AE26E1"/>
    <w:rsid w:val="00AE27EA"/>
    <w:rsid w:val="00AE280F"/>
    <w:rsid w:val="00AE286A"/>
    <w:rsid w:val="00AE286F"/>
    <w:rsid w:val="00AE28B1"/>
    <w:rsid w:val="00AE2929"/>
    <w:rsid w:val="00AE2A8C"/>
    <w:rsid w:val="00AE2BE1"/>
    <w:rsid w:val="00AE2D37"/>
    <w:rsid w:val="00AE2FCD"/>
    <w:rsid w:val="00AE3018"/>
    <w:rsid w:val="00AE3124"/>
    <w:rsid w:val="00AE3131"/>
    <w:rsid w:val="00AE3144"/>
    <w:rsid w:val="00AE31E4"/>
    <w:rsid w:val="00AE326A"/>
    <w:rsid w:val="00AE329E"/>
    <w:rsid w:val="00AE3309"/>
    <w:rsid w:val="00AE332A"/>
    <w:rsid w:val="00AE332E"/>
    <w:rsid w:val="00AE34D4"/>
    <w:rsid w:val="00AE34F0"/>
    <w:rsid w:val="00AE35A9"/>
    <w:rsid w:val="00AE369C"/>
    <w:rsid w:val="00AE371C"/>
    <w:rsid w:val="00AE3728"/>
    <w:rsid w:val="00AE3781"/>
    <w:rsid w:val="00AE3795"/>
    <w:rsid w:val="00AE3824"/>
    <w:rsid w:val="00AE387A"/>
    <w:rsid w:val="00AE3891"/>
    <w:rsid w:val="00AE3908"/>
    <w:rsid w:val="00AE39D2"/>
    <w:rsid w:val="00AE3A5D"/>
    <w:rsid w:val="00AE3B05"/>
    <w:rsid w:val="00AE3B10"/>
    <w:rsid w:val="00AE3B86"/>
    <w:rsid w:val="00AE3B9A"/>
    <w:rsid w:val="00AE3BE3"/>
    <w:rsid w:val="00AE3E8E"/>
    <w:rsid w:val="00AE3F2F"/>
    <w:rsid w:val="00AE4091"/>
    <w:rsid w:val="00AE40A5"/>
    <w:rsid w:val="00AE4124"/>
    <w:rsid w:val="00AE412E"/>
    <w:rsid w:val="00AE415F"/>
    <w:rsid w:val="00AE41CE"/>
    <w:rsid w:val="00AE4256"/>
    <w:rsid w:val="00AE4267"/>
    <w:rsid w:val="00AE42CB"/>
    <w:rsid w:val="00AE42E8"/>
    <w:rsid w:val="00AE438F"/>
    <w:rsid w:val="00AE446A"/>
    <w:rsid w:val="00AE4486"/>
    <w:rsid w:val="00AE45CC"/>
    <w:rsid w:val="00AE45DA"/>
    <w:rsid w:val="00AE474E"/>
    <w:rsid w:val="00AE4930"/>
    <w:rsid w:val="00AE497E"/>
    <w:rsid w:val="00AE4999"/>
    <w:rsid w:val="00AE4A70"/>
    <w:rsid w:val="00AE4ABA"/>
    <w:rsid w:val="00AE4B93"/>
    <w:rsid w:val="00AE4CA8"/>
    <w:rsid w:val="00AE4D64"/>
    <w:rsid w:val="00AE4D99"/>
    <w:rsid w:val="00AE4DAC"/>
    <w:rsid w:val="00AE4DEE"/>
    <w:rsid w:val="00AE4ED9"/>
    <w:rsid w:val="00AE4F59"/>
    <w:rsid w:val="00AE502B"/>
    <w:rsid w:val="00AE516F"/>
    <w:rsid w:val="00AE5321"/>
    <w:rsid w:val="00AE5337"/>
    <w:rsid w:val="00AE53BD"/>
    <w:rsid w:val="00AE544B"/>
    <w:rsid w:val="00AE549F"/>
    <w:rsid w:val="00AE54ED"/>
    <w:rsid w:val="00AE554E"/>
    <w:rsid w:val="00AE57D5"/>
    <w:rsid w:val="00AE5818"/>
    <w:rsid w:val="00AE58F9"/>
    <w:rsid w:val="00AE5973"/>
    <w:rsid w:val="00AE59E8"/>
    <w:rsid w:val="00AE5A13"/>
    <w:rsid w:val="00AE5A3C"/>
    <w:rsid w:val="00AE5B8B"/>
    <w:rsid w:val="00AE5D6C"/>
    <w:rsid w:val="00AE5E15"/>
    <w:rsid w:val="00AE5E43"/>
    <w:rsid w:val="00AE5F39"/>
    <w:rsid w:val="00AE5F55"/>
    <w:rsid w:val="00AE609A"/>
    <w:rsid w:val="00AE61C3"/>
    <w:rsid w:val="00AE61F8"/>
    <w:rsid w:val="00AE64BC"/>
    <w:rsid w:val="00AE658D"/>
    <w:rsid w:val="00AE659B"/>
    <w:rsid w:val="00AE65D6"/>
    <w:rsid w:val="00AE66BB"/>
    <w:rsid w:val="00AE6799"/>
    <w:rsid w:val="00AE6A38"/>
    <w:rsid w:val="00AE6AD7"/>
    <w:rsid w:val="00AE6C1E"/>
    <w:rsid w:val="00AE6F59"/>
    <w:rsid w:val="00AE6F5B"/>
    <w:rsid w:val="00AE7099"/>
    <w:rsid w:val="00AE71E8"/>
    <w:rsid w:val="00AE7230"/>
    <w:rsid w:val="00AE735A"/>
    <w:rsid w:val="00AE74DB"/>
    <w:rsid w:val="00AE74DD"/>
    <w:rsid w:val="00AE7727"/>
    <w:rsid w:val="00AE77CC"/>
    <w:rsid w:val="00AE7812"/>
    <w:rsid w:val="00AE783D"/>
    <w:rsid w:val="00AE78F8"/>
    <w:rsid w:val="00AE7B1A"/>
    <w:rsid w:val="00AE7C21"/>
    <w:rsid w:val="00AE7EE0"/>
    <w:rsid w:val="00AF00FE"/>
    <w:rsid w:val="00AF0112"/>
    <w:rsid w:val="00AF027A"/>
    <w:rsid w:val="00AF027E"/>
    <w:rsid w:val="00AF02AF"/>
    <w:rsid w:val="00AF02EA"/>
    <w:rsid w:val="00AF0355"/>
    <w:rsid w:val="00AF04CC"/>
    <w:rsid w:val="00AF050B"/>
    <w:rsid w:val="00AF0611"/>
    <w:rsid w:val="00AF06E7"/>
    <w:rsid w:val="00AF07C5"/>
    <w:rsid w:val="00AF087E"/>
    <w:rsid w:val="00AF08B1"/>
    <w:rsid w:val="00AF0902"/>
    <w:rsid w:val="00AF0909"/>
    <w:rsid w:val="00AF0A14"/>
    <w:rsid w:val="00AF0D06"/>
    <w:rsid w:val="00AF0E22"/>
    <w:rsid w:val="00AF0E4A"/>
    <w:rsid w:val="00AF0E81"/>
    <w:rsid w:val="00AF0F02"/>
    <w:rsid w:val="00AF0F4F"/>
    <w:rsid w:val="00AF0FC5"/>
    <w:rsid w:val="00AF101D"/>
    <w:rsid w:val="00AF110F"/>
    <w:rsid w:val="00AF118C"/>
    <w:rsid w:val="00AF11A8"/>
    <w:rsid w:val="00AF11BD"/>
    <w:rsid w:val="00AF120E"/>
    <w:rsid w:val="00AF12C9"/>
    <w:rsid w:val="00AF12F3"/>
    <w:rsid w:val="00AF13E0"/>
    <w:rsid w:val="00AF1403"/>
    <w:rsid w:val="00AF1418"/>
    <w:rsid w:val="00AF14A0"/>
    <w:rsid w:val="00AF15AB"/>
    <w:rsid w:val="00AF164C"/>
    <w:rsid w:val="00AF1715"/>
    <w:rsid w:val="00AF187D"/>
    <w:rsid w:val="00AF18FA"/>
    <w:rsid w:val="00AF1904"/>
    <w:rsid w:val="00AF1981"/>
    <w:rsid w:val="00AF1A99"/>
    <w:rsid w:val="00AF1AC0"/>
    <w:rsid w:val="00AF1AFB"/>
    <w:rsid w:val="00AF1B34"/>
    <w:rsid w:val="00AF1B60"/>
    <w:rsid w:val="00AF1BB0"/>
    <w:rsid w:val="00AF1C13"/>
    <w:rsid w:val="00AF1C9A"/>
    <w:rsid w:val="00AF1CD7"/>
    <w:rsid w:val="00AF1E6A"/>
    <w:rsid w:val="00AF1E8A"/>
    <w:rsid w:val="00AF1F21"/>
    <w:rsid w:val="00AF1F79"/>
    <w:rsid w:val="00AF203F"/>
    <w:rsid w:val="00AF205F"/>
    <w:rsid w:val="00AF2075"/>
    <w:rsid w:val="00AF20DB"/>
    <w:rsid w:val="00AF22C9"/>
    <w:rsid w:val="00AF2558"/>
    <w:rsid w:val="00AF2AD4"/>
    <w:rsid w:val="00AF2B20"/>
    <w:rsid w:val="00AF2BD6"/>
    <w:rsid w:val="00AF2DAC"/>
    <w:rsid w:val="00AF2E27"/>
    <w:rsid w:val="00AF2EB4"/>
    <w:rsid w:val="00AF2F07"/>
    <w:rsid w:val="00AF2F38"/>
    <w:rsid w:val="00AF2FC0"/>
    <w:rsid w:val="00AF300E"/>
    <w:rsid w:val="00AF3025"/>
    <w:rsid w:val="00AF31C4"/>
    <w:rsid w:val="00AF32B8"/>
    <w:rsid w:val="00AF3586"/>
    <w:rsid w:val="00AF35BB"/>
    <w:rsid w:val="00AF3624"/>
    <w:rsid w:val="00AF3652"/>
    <w:rsid w:val="00AF36C6"/>
    <w:rsid w:val="00AF36F6"/>
    <w:rsid w:val="00AF371F"/>
    <w:rsid w:val="00AF383E"/>
    <w:rsid w:val="00AF3855"/>
    <w:rsid w:val="00AF38A4"/>
    <w:rsid w:val="00AF39D3"/>
    <w:rsid w:val="00AF3C36"/>
    <w:rsid w:val="00AF411C"/>
    <w:rsid w:val="00AF41BE"/>
    <w:rsid w:val="00AF4398"/>
    <w:rsid w:val="00AF44C8"/>
    <w:rsid w:val="00AF4535"/>
    <w:rsid w:val="00AF464A"/>
    <w:rsid w:val="00AF4676"/>
    <w:rsid w:val="00AF4720"/>
    <w:rsid w:val="00AF480E"/>
    <w:rsid w:val="00AF4869"/>
    <w:rsid w:val="00AF488B"/>
    <w:rsid w:val="00AF4C95"/>
    <w:rsid w:val="00AF4E9D"/>
    <w:rsid w:val="00AF4F3B"/>
    <w:rsid w:val="00AF4F96"/>
    <w:rsid w:val="00AF5257"/>
    <w:rsid w:val="00AF52CA"/>
    <w:rsid w:val="00AF52CC"/>
    <w:rsid w:val="00AF52FE"/>
    <w:rsid w:val="00AF538E"/>
    <w:rsid w:val="00AF53E5"/>
    <w:rsid w:val="00AF555B"/>
    <w:rsid w:val="00AF55AA"/>
    <w:rsid w:val="00AF57E1"/>
    <w:rsid w:val="00AF57E5"/>
    <w:rsid w:val="00AF57FB"/>
    <w:rsid w:val="00AF5885"/>
    <w:rsid w:val="00AF5B6F"/>
    <w:rsid w:val="00AF5B73"/>
    <w:rsid w:val="00AF5BC3"/>
    <w:rsid w:val="00AF5D62"/>
    <w:rsid w:val="00AF5E3B"/>
    <w:rsid w:val="00AF602E"/>
    <w:rsid w:val="00AF6117"/>
    <w:rsid w:val="00AF6126"/>
    <w:rsid w:val="00AF614B"/>
    <w:rsid w:val="00AF61EC"/>
    <w:rsid w:val="00AF6229"/>
    <w:rsid w:val="00AF627F"/>
    <w:rsid w:val="00AF62DC"/>
    <w:rsid w:val="00AF630E"/>
    <w:rsid w:val="00AF63B7"/>
    <w:rsid w:val="00AF6409"/>
    <w:rsid w:val="00AF6429"/>
    <w:rsid w:val="00AF643C"/>
    <w:rsid w:val="00AF64A0"/>
    <w:rsid w:val="00AF64F9"/>
    <w:rsid w:val="00AF6625"/>
    <w:rsid w:val="00AF67C7"/>
    <w:rsid w:val="00AF6955"/>
    <w:rsid w:val="00AF69BC"/>
    <w:rsid w:val="00AF6BD6"/>
    <w:rsid w:val="00AF6D01"/>
    <w:rsid w:val="00AF6DCC"/>
    <w:rsid w:val="00AF6F35"/>
    <w:rsid w:val="00AF6FD3"/>
    <w:rsid w:val="00AF719F"/>
    <w:rsid w:val="00AF72F8"/>
    <w:rsid w:val="00AF7547"/>
    <w:rsid w:val="00AF75D0"/>
    <w:rsid w:val="00AF76FA"/>
    <w:rsid w:val="00AF7812"/>
    <w:rsid w:val="00AF793B"/>
    <w:rsid w:val="00AF796F"/>
    <w:rsid w:val="00AF7985"/>
    <w:rsid w:val="00AF7AB0"/>
    <w:rsid w:val="00AF7AB5"/>
    <w:rsid w:val="00AF7C2C"/>
    <w:rsid w:val="00AF7F8E"/>
    <w:rsid w:val="00B0012A"/>
    <w:rsid w:val="00B0015C"/>
    <w:rsid w:val="00B0017C"/>
    <w:rsid w:val="00B00297"/>
    <w:rsid w:val="00B002AC"/>
    <w:rsid w:val="00B0030E"/>
    <w:rsid w:val="00B00323"/>
    <w:rsid w:val="00B0036A"/>
    <w:rsid w:val="00B00393"/>
    <w:rsid w:val="00B003DE"/>
    <w:rsid w:val="00B00533"/>
    <w:rsid w:val="00B00620"/>
    <w:rsid w:val="00B00781"/>
    <w:rsid w:val="00B007AE"/>
    <w:rsid w:val="00B00808"/>
    <w:rsid w:val="00B00989"/>
    <w:rsid w:val="00B009AD"/>
    <w:rsid w:val="00B009FC"/>
    <w:rsid w:val="00B00AC8"/>
    <w:rsid w:val="00B00AE5"/>
    <w:rsid w:val="00B00B69"/>
    <w:rsid w:val="00B00CF2"/>
    <w:rsid w:val="00B00E70"/>
    <w:rsid w:val="00B00E72"/>
    <w:rsid w:val="00B00FEC"/>
    <w:rsid w:val="00B01002"/>
    <w:rsid w:val="00B0118D"/>
    <w:rsid w:val="00B0130D"/>
    <w:rsid w:val="00B013EE"/>
    <w:rsid w:val="00B0150A"/>
    <w:rsid w:val="00B01536"/>
    <w:rsid w:val="00B01576"/>
    <w:rsid w:val="00B01640"/>
    <w:rsid w:val="00B016FB"/>
    <w:rsid w:val="00B0179B"/>
    <w:rsid w:val="00B01822"/>
    <w:rsid w:val="00B01831"/>
    <w:rsid w:val="00B018E4"/>
    <w:rsid w:val="00B019DB"/>
    <w:rsid w:val="00B01B03"/>
    <w:rsid w:val="00B01BFE"/>
    <w:rsid w:val="00B01CBE"/>
    <w:rsid w:val="00B01CDB"/>
    <w:rsid w:val="00B01D3B"/>
    <w:rsid w:val="00B01EB2"/>
    <w:rsid w:val="00B01F35"/>
    <w:rsid w:val="00B01F45"/>
    <w:rsid w:val="00B01FBB"/>
    <w:rsid w:val="00B01FF3"/>
    <w:rsid w:val="00B0203B"/>
    <w:rsid w:val="00B02048"/>
    <w:rsid w:val="00B02126"/>
    <w:rsid w:val="00B0220A"/>
    <w:rsid w:val="00B0224E"/>
    <w:rsid w:val="00B023F3"/>
    <w:rsid w:val="00B0240C"/>
    <w:rsid w:val="00B02575"/>
    <w:rsid w:val="00B025A3"/>
    <w:rsid w:val="00B0275D"/>
    <w:rsid w:val="00B028AE"/>
    <w:rsid w:val="00B028BA"/>
    <w:rsid w:val="00B028C2"/>
    <w:rsid w:val="00B0291D"/>
    <w:rsid w:val="00B02990"/>
    <w:rsid w:val="00B02AB7"/>
    <w:rsid w:val="00B02B24"/>
    <w:rsid w:val="00B02B27"/>
    <w:rsid w:val="00B02E9E"/>
    <w:rsid w:val="00B02EB4"/>
    <w:rsid w:val="00B02F72"/>
    <w:rsid w:val="00B0304A"/>
    <w:rsid w:val="00B032B4"/>
    <w:rsid w:val="00B0338D"/>
    <w:rsid w:val="00B033BF"/>
    <w:rsid w:val="00B0340E"/>
    <w:rsid w:val="00B03442"/>
    <w:rsid w:val="00B03725"/>
    <w:rsid w:val="00B0390A"/>
    <w:rsid w:val="00B0390C"/>
    <w:rsid w:val="00B03944"/>
    <w:rsid w:val="00B039CB"/>
    <w:rsid w:val="00B03B8C"/>
    <w:rsid w:val="00B03BC6"/>
    <w:rsid w:val="00B03C63"/>
    <w:rsid w:val="00B03C74"/>
    <w:rsid w:val="00B03D34"/>
    <w:rsid w:val="00B03D35"/>
    <w:rsid w:val="00B03E09"/>
    <w:rsid w:val="00B03FC5"/>
    <w:rsid w:val="00B0403F"/>
    <w:rsid w:val="00B04058"/>
    <w:rsid w:val="00B04255"/>
    <w:rsid w:val="00B04324"/>
    <w:rsid w:val="00B0437D"/>
    <w:rsid w:val="00B043D9"/>
    <w:rsid w:val="00B0445F"/>
    <w:rsid w:val="00B04525"/>
    <w:rsid w:val="00B04608"/>
    <w:rsid w:val="00B04839"/>
    <w:rsid w:val="00B04B25"/>
    <w:rsid w:val="00B04B3B"/>
    <w:rsid w:val="00B04B86"/>
    <w:rsid w:val="00B04D85"/>
    <w:rsid w:val="00B04DE0"/>
    <w:rsid w:val="00B04E11"/>
    <w:rsid w:val="00B04EFD"/>
    <w:rsid w:val="00B04F3E"/>
    <w:rsid w:val="00B04F51"/>
    <w:rsid w:val="00B0502A"/>
    <w:rsid w:val="00B05191"/>
    <w:rsid w:val="00B051FD"/>
    <w:rsid w:val="00B05468"/>
    <w:rsid w:val="00B0568E"/>
    <w:rsid w:val="00B0577B"/>
    <w:rsid w:val="00B05885"/>
    <w:rsid w:val="00B05902"/>
    <w:rsid w:val="00B0590F"/>
    <w:rsid w:val="00B0594C"/>
    <w:rsid w:val="00B0596E"/>
    <w:rsid w:val="00B059DE"/>
    <w:rsid w:val="00B05A4B"/>
    <w:rsid w:val="00B05AD3"/>
    <w:rsid w:val="00B05B3F"/>
    <w:rsid w:val="00B05B52"/>
    <w:rsid w:val="00B05CDC"/>
    <w:rsid w:val="00B05D1C"/>
    <w:rsid w:val="00B05EEE"/>
    <w:rsid w:val="00B0604C"/>
    <w:rsid w:val="00B060B3"/>
    <w:rsid w:val="00B06182"/>
    <w:rsid w:val="00B06323"/>
    <w:rsid w:val="00B0636F"/>
    <w:rsid w:val="00B06423"/>
    <w:rsid w:val="00B0642D"/>
    <w:rsid w:val="00B06631"/>
    <w:rsid w:val="00B0678F"/>
    <w:rsid w:val="00B06811"/>
    <w:rsid w:val="00B06833"/>
    <w:rsid w:val="00B06A79"/>
    <w:rsid w:val="00B06B09"/>
    <w:rsid w:val="00B06BB3"/>
    <w:rsid w:val="00B06CBA"/>
    <w:rsid w:val="00B06CBD"/>
    <w:rsid w:val="00B06DCF"/>
    <w:rsid w:val="00B06EB4"/>
    <w:rsid w:val="00B06F2D"/>
    <w:rsid w:val="00B07087"/>
    <w:rsid w:val="00B072A2"/>
    <w:rsid w:val="00B0730E"/>
    <w:rsid w:val="00B0735E"/>
    <w:rsid w:val="00B07403"/>
    <w:rsid w:val="00B07472"/>
    <w:rsid w:val="00B0747E"/>
    <w:rsid w:val="00B07498"/>
    <w:rsid w:val="00B0773E"/>
    <w:rsid w:val="00B07743"/>
    <w:rsid w:val="00B0782E"/>
    <w:rsid w:val="00B0785D"/>
    <w:rsid w:val="00B078D1"/>
    <w:rsid w:val="00B078ED"/>
    <w:rsid w:val="00B079B4"/>
    <w:rsid w:val="00B079C3"/>
    <w:rsid w:val="00B07B0A"/>
    <w:rsid w:val="00B07B9C"/>
    <w:rsid w:val="00B07BFC"/>
    <w:rsid w:val="00B07C9A"/>
    <w:rsid w:val="00B07D30"/>
    <w:rsid w:val="00B07D5A"/>
    <w:rsid w:val="00B07E45"/>
    <w:rsid w:val="00B07F00"/>
    <w:rsid w:val="00B07F76"/>
    <w:rsid w:val="00B1007F"/>
    <w:rsid w:val="00B10088"/>
    <w:rsid w:val="00B101EF"/>
    <w:rsid w:val="00B10257"/>
    <w:rsid w:val="00B102DD"/>
    <w:rsid w:val="00B102FF"/>
    <w:rsid w:val="00B1033B"/>
    <w:rsid w:val="00B1041A"/>
    <w:rsid w:val="00B1047F"/>
    <w:rsid w:val="00B1049D"/>
    <w:rsid w:val="00B104FF"/>
    <w:rsid w:val="00B10569"/>
    <w:rsid w:val="00B10570"/>
    <w:rsid w:val="00B10793"/>
    <w:rsid w:val="00B10866"/>
    <w:rsid w:val="00B1095A"/>
    <w:rsid w:val="00B109A5"/>
    <w:rsid w:val="00B10A1B"/>
    <w:rsid w:val="00B10B15"/>
    <w:rsid w:val="00B10C21"/>
    <w:rsid w:val="00B10C81"/>
    <w:rsid w:val="00B10DE2"/>
    <w:rsid w:val="00B10F45"/>
    <w:rsid w:val="00B10F57"/>
    <w:rsid w:val="00B10F5B"/>
    <w:rsid w:val="00B10FA9"/>
    <w:rsid w:val="00B10FBD"/>
    <w:rsid w:val="00B11019"/>
    <w:rsid w:val="00B1109C"/>
    <w:rsid w:val="00B1111C"/>
    <w:rsid w:val="00B112B3"/>
    <w:rsid w:val="00B11387"/>
    <w:rsid w:val="00B113CF"/>
    <w:rsid w:val="00B114A9"/>
    <w:rsid w:val="00B114AB"/>
    <w:rsid w:val="00B11500"/>
    <w:rsid w:val="00B11668"/>
    <w:rsid w:val="00B116F0"/>
    <w:rsid w:val="00B11727"/>
    <w:rsid w:val="00B11784"/>
    <w:rsid w:val="00B11830"/>
    <w:rsid w:val="00B1183F"/>
    <w:rsid w:val="00B118A3"/>
    <w:rsid w:val="00B11942"/>
    <w:rsid w:val="00B11AA9"/>
    <w:rsid w:val="00B11ABF"/>
    <w:rsid w:val="00B11AF5"/>
    <w:rsid w:val="00B11EC7"/>
    <w:rsid w:val="00B11FF7"/>
    <w:rsid w:val="00B12009"/>
    <w:rsid w:val="00B1202B"/>
    <w:rsid w:val="00B1204B"/>
    <w:rsid w:val="00B12279"/>
    <w:rsid w:val="00B12323"/>
    <w:rsid w:val="00B123E1"/>
    <w:rsid w:val="00B1242D"/>
    <w:rsid w:val="00B12456"/>
    <w:rsid w:val="00B12479"/>
    <w:rsid w:val="00B124E8"/>
    <w:rsid w:val="00B126C8"/>
    <w:rsid w:val="00B1270D"/>
    <w:rsid w:val="00B127DB"/>
    <w:rsid w:val="00B12891"/>
    <w:rsid w:val="00B129A4"/>
    <w:rsid w:val="00B12A4F"/>
    <w:rsid w:val="00B12E0C"/>
    <w:rsid w:val="00B12E49"/>
    <w:rsid w:val="00B12E68"/>
    <w:rsid w:val="00B12E9F"/>
    <w:rsid w:val="00B12EE3"/>
    <w:rsid w:val="00B12F07"/>
    <w:rsid w:val="00B12F13"/>
    <w:rsid w:val="00B12F1C"/>
    <w:rsid w:val="00B130A0"/>
    <w:rsid w:val="00B13116"/>
    <w:rsid w:val="00B13225"/>
    <w:rsid w:val="00B133D2"/>
    <w:rsid w:val="00B13487"/>
    <w:rsid w:val="00B1353C"/>
    <w:rsid w:val="00B136F5"/>
    <w:rsid w:val="00B137DD"/>
    <w:rsid w:val="00B13866"/>
    <w:rsid w:val="00B13A0C"/>
    <w:rsid w:val="00B13A68"/>
    <w:rsid w:val="00B13A69"/>
    <w:rsid w:val="00B13B1E"/>
    <w:rsid w:val="00B13C10"/>
    <w:rsid w:val="00B13D4F"/>
    <w:rsid w:val="00B13D7A"/>
    <w:rsid w:val="00B13DF8"/>
    <w:rsid w:val="00B13ECC"/>
    <w:rsid w:val="00B13FA2"/>
    <w:rsid w:val="00B14126"/>
    <w:rsid w:val="00B141DE"/>
    <w:rsid w:val="00B142A6"/>
    <w:rsid w:val="00B1431F"/>
    <w:rsid w:val="00B14413"/>
    <w:rsid w:val="00B14427"/>
    <w:rsid w:val="00B14580"/>
    <w:rsid w:val="00B145D5"/>
    <w:rsid w:val="00B1463A"/>
    <w:rsid w:val="00B14648"/>
    <w:rsid w:val="00B14677"/>
    <w:rsid w:val="00B146A9"/>
    <w:rsid w:val="00B14907"/>
    <w:rsid w:val="00B149D6"/>
    <w:rsid w:val="00B14A7C"/>
    <w:rsid w:val="00B14BF6"/>
    <w:rsid w:val="00B14C37"/>
    <w:rsid w:val="00B14C55"/>
    <w:rsid w:val="00B14CF6"/>
    <w:rsid w:val="00B14CFF"/>
    <w:rsid w:val="00B14D75"/>
    <w:rsid w:val="00B14DDA"/>
    <w:rsid w:val="00B14DEC"/>
    <w:rsid w:val="00B14F4A"/>
    <w:rsid w:val="00B150A1"/>
    <w:rsid w:val="00B15141"/>
    <w:rsid w:val="00B15166"/>
    <w:rsid w:val="00B151FA"/>
    <w:rsid w:val="00B1523C"/>
    <w:rsid w:val="00B152C7"/>
    <w:rsid w:val="00B15381"/>
    <w:rsid w:val="00B15425"/>
    <w:rsid w:val="00B15470"/>
    <w:rsid w:val="00B154F0"/>
    <w:rsid w:val="00B15723"/>
    <w:rsid w:val="00B15796"/>
    <w:rsid w:val="00B15838"/>
    <w:rsid w:val="00B15901"/>
    <w:rsid w:val="00B15921"/>
    <w:rsid w:val="00B1595F"/>
    <w:rsid w:val="00B159FC"/>
    <w:rsid w:val="00B15A0C"/>
    <w:rsid w:val="00B15A60"/>
    <w:rsid w:val="00B15BCA"/>
    <w:rsid w:val="00B15C28"/>
    <w:rsid w:val="00B15CD3"/>
    <w:rsid w:val="00B15D9C"/>
    <w:rsid w:val="00B15E18"/>
    <w:rsid w:val="00B15F7E"/>
    <w:rsid w:val="00B161A4"/>
    <w:rsid w:val="00B1624D"/>
    <w:rsid w:val="00B162A3"/>
    <w:rsid w:val="00B162D1"/>
    <w:rsid w:val="00B1640F"/>
    <w:rsid w:val="00B1646F"/>
    <w:rsid w:val="00B1687E"/>
    <w:rsid w:val="00B1695D"/>
    <w:rsid w:val="00B16ADF"/>
    <w:rsid w:val="00B16C52"/>
    <w:rsid w:val="00B16D11"/>
    <w:rsid w:val="00B1708E"/>
    <w:rsid w:val="00B1711D"/>
    <w:rsid w:val="00B1716F"/>
    <w:rsid w:val="00B171FC"/>
    <w:rsid w:val="00B17290"/>
    <w:rsid w:val="00B17375"/>
    <w:rsid w:val="00B173B1"/>
    <w:rsid w:val="00B17511"/>
    <w:rsid w:val="00B1760A"/>
    <w:rsid w:val="00B1775C"/>
    <w:rsid w:val="00B178EE"/>
    <w:rsid w:val="00B17BA8"/>
    <w:rsid w:val="00B17C2A"/>
    <w:rsid w:val="00B17D7D"/>
    <w:rsid w:val="00B17F80"/>
    <w:rsid w:val="00B17FA4"/>
    <w:rsid w:val="00B17FCA"/>
    <w:rsid w:val="00B20129"/>
    <w:rsid w:val="00B201AB"/>
    <w:rsid w:val="00B202DB"/>
    <w:rsid w:val="00B20421"/>
    <w:rsid w:val="00B20502"/>
    <w:rsid w:val="00B20529"/>
    <w:rsid w:val="00B20602"/>
    <w:rsid w:val="00B2066C"/>
    <w:rsid w:val="00B206AF"/>
    <w:rsid w:val="00B207B1"/>
    <w:rsid w:val="00B208E1"/>
    <w:rsid w:val="00B209E8"/>
    <w:rsid w:val="00B20B22"/>
    <w:rsid w:val="00B20BE0"/>
    <w:rsid w:val="00B20C7D"/>
    <w:rsid w:val="00B20ED7"/>
    <w:rsid w:val="00B20F5E"/>
    <w:rsid w:val="00B20F9C"/>
    <w:rsid w:val="00B21010"/>
    <w:rsid w:val="00B2112D"/>
    <w:rsid w:val="00B2117D"/>
    <w:rsid w:val="00B212EA"/>
    <w:rsid w:val="00B21456"/>
    <w:rsid w:val="00B215AE"/>
    <w:rsid w:val="00B215EF"/>
    <w:rsid w:val="00B21713"/>
    <w:rsid w:val="00B2172A"/>
    <w:rsid w:val="00B21750"/>
    <w:rsid w:val="00B217C9"/>
    <w:rsid w:val="00B21832"/>
    <w:rsid w:val="00B21916"/>
    <w:rsid w:val="00B219AE"/>
    <w:rsid w:val="00B21A4F"/>
    <w:rsid w:val="00B21A67"/>
    <w:rsid w:val="00B21A6F"/>
    <w:rsid w:val="00B21B78"/>
    <w:rsid w:val="00B21D7E"/>
    <w:rsid w:val="00B21DFF"/>
    <w:rsid w:val="00B21E86"/>
    <w:rsid w:val="00B21E90"/>
    <w:rsid w:val="00B2206C"/>
    <w:rsid w:val="00B22558"/>
    <w:rsid w:val="00B2263A"/>
    <w:rsid w:val="00B22778"/>
    <w:rsid w:val="00B2282C"/>
    <w:rsid w:val="00B228CA"/>
    <w:rsid w:val="00B22A71"/>
    <w:rsid w:val="00B22BAC"/>
    <w:rsid w:val="00B22C62"/>
    <w:rsid w:val="00B22D31"/>
    <w:rsid w:val="00B22D9B"/>
    <w:rsid w:val="00B22E66"/>
    <w:rsid w:val="00B22EDF"/>
    <w:rsid w:val="00B23057"/>
    <w:rsid w:val="00B230F3"/>
    <w:rsid w:val="00B2321C"/>
    <w:rsid w:val="00B2341C"/>
    <w:rsid w:val="00B2346B"/>
    <w:rsid w:val="00B23525"/>
    <w:rsid w:val="00B23534"/>
    <w:rsid w:val="00B23703"/>
    <w:rsid w:val="00B2377A"/>
    <w:rsid w:val="00B23793"/>
    <w:rsid w:val="00B2393D"/>
    <w:rsid w:val="00B23A08"/>
    <w:rsid w:val="00B23B2F"/>
    <w:rsid w:val="00B23C22"/>
    <w:rsid w:val="00B23C26"/>
    <w:rsid w:val="00B23C28"/>
    <w:rsid w:val="00B23EC9"/>
    <w:rsid w:val="00B23FBD"/>
    <w:rsid w:val="00B24114"/>
    <w:rsid w:val="00B241B1"/>
    <w:rsid w:val="00B241B2"/>
    <w:rsid w:val="00B24364"/>
    <w:rsid w:val="00B24419"/>
    <w:rsid w:val="00B244B2"/>
    <w:rsid w:val="00B244FC"/>
    <w:rsid w:val="00B24907"/>
    <w:rsid w:val="00B24953"/>
    <w:rsid w:val="00B249F5"/>
    <w:rsid w:val="00B24A0E"/>
    <w:rsid w:val="00B24AEC"/>
    <w:rsid w:val="00B24BDC"/>
    <w:rsid w:val="00B24C86"/>
    <w:rsid w:val="00B24D53"/>
    <w:rsid w:val="00B24EE1"/>
    <w:rsid w:val="00B24EF4"/>
    <w:rsid w:val="00B24F7E"/>
    <w:rsid w:val="00B24F92"/>
    <w:rsid w:val="00B2502D"/>
    <w:rsid w:val="00B25081"/>
    <w:rsid w:val="00B25226"/>
    <w:rsid w:val="00B25317"/>
    <w:rsid w:val="00B253DD"/>
    <w:rsid w:val="00B25410"/>
    <w:rsid w:val="00B255AA"/>
    <w:rsid w:val="00B2589C"/>
    <w:rsid w:val="00B2598D"/>
    <w:rsid w:val="00B259A5"/>
    <w:rsid w:val="00B25B98"/>
    <w:rsid w:val="00B25B9E"/>
    <w:rsid w:val="00B25BEF"/>
    <w:rsid w:val="00B25D0D"/>
    <w:rsid w:val="00B25E56"/>
    <w:rsid w:val="00B2613B"/>
    <w:rsid w:val="00B2624D"/>
    <w:rsid w:val="00B266C2"/>
    <w:rsid w:val="00B26712"/>
    <w:rsid w:val="00B2680D"/>
    <w:rsid w:val="00B2693C"/>
    <w:rsid w:val="00B26969"/>
    <w:rsid w:val="00B26994"/>
    <w:rsid w:val="00B269C8"/>
    <w:rsid w:val="00B26A13"/>
    <w:rsid w:val="00B26C27"/>
    <w:rsid w:val="00B26CC4"/>
    <w:rsid w:val="00B26F1F"/>
    <w:rsid w:val="00B27248"/>
    <w:rsid w:val="00B27398"/>
    <w:rsid w:val="00B273E3"/>
    <w:rsid w:val="00B274DD"/>
    <w:rsid w:val="00B27523"/>
    <w:rsid w:val="00B2762C"/>
    <w:rsid w:val="00B2773D"/>
    <w:rsid w:val="00B278EE"/>
    <w:rsid w:val="00B27ADE"/>
    <w:rsid w:val="00B27B82"/>
    <w:rsid w:val="00B27C64"/>
    <w:rsid w:val="00B27D0D"/>
    <w:rsid w:val="00B27D15"/>
    <w:rsid w:val="00B27E18"/>
    <w:rsid w:val="00B27E97"/>
    <w:rsid w:val="00B27EB0"/>
    <w:rsid w:val="00B27F95"/>
    <w:rsid w:val="00B30062"/>
    <w:rsid w:val="00B300C8"/>
    <w:rsid w:val="00B301AE"/>
    <w:rsid w:val="00B30272"/>
    <w:rsid w:val="00B3029A"/>
    <w:rsid w:val="00B30505"/>
    <w:rsid w:val="00B30517"/>
    <w:rsid w:val="00B3053D"/>
    <w:rsid w:val="00B305C6"/>
    <w:rsid w:val="00B30734"/>
    <w:rsid w:val="00B30772"/>
    <w:rsid w:val="00B3080D"/>
    <w:rsid w:val="00B30A0A"/>
    <w:rsid w:val="00B30B61"/>
    <w:rsid w:val="00B30BB1"/>
    <w:rsid w:val="00B30BCC"/>
    <w:rsid w:val="00B30D92"/>
    <w:rsid w:val="00B30F3F"/>
    <w:rsid w:val="00B310A5"/>
    <w:rsid w:val="00B313E0"/>
    <w:rsid w:val="00B31443"/>
    <w:rsid w:val="00B31458"/>
    <w:rsid w:val="00B314DA"/>
    <w:rsid w:val="00B315B7"/>
    <w:rsid w:val="00B316C8"/>
    <w:rsid w:val="00B3171C"/>
    <w:rsid w:val="00B31884"/>
    <w:rsid w:val="00B318AB"/>
    <w:rsid w:val="00B318D2"/>
    <w:rsid w:val="00B31967"/>
    <w:rsid w:val="00B3198B"/>
    <w:rsid w:val="00B31D24"/>
    <w:rsid w:val="00B31D48"/>
    <w:rsid w:val="00B31E0D"/>
    <w:rsid w:val="00B31F41"/>
    <w:rsid w:val="00B32002"/>
    <w:rsid w:val="00B32053"/>
    <w:rsid w:val="00B320BD"/>
    <w:rsid w:val="00B320E9"/>
    <w:rsid w:val="00B3212F"/>
    <w:rsid w:val="00B323B4"/>
    <w:rsid w:val="00B32431"/>
    <w:rsid w:val="00B32496"/>
    <w:rsid w:val="00B32512"/>
    <w:rsid w:val="00B3260D"/>
    <w:rsid w:val="00B3268A"/>
    <w:rsid w:val="00B326E9"/>
    <w:rsid w:val="00B327B2"/>
    <w:rsid w:val="00B327FF"/>
    <w:rsid w:val="00B32874"/>
    <w:rsid w:val="00B328FF"/>
    <w:rsid w:val="00B32A02"/>
    <w:rsid w:val="00B32B00"/>
    <w:rsid w:val="00B32B61"/>
    <w:rsid w:val="00B32BEA"/>
    <w:rsid w:val="00B32CD9"/>
    <w:rsid w:val="00B32DCE"/>
    <w:rsid w:val="00B32FCB"/>
    <w:rsid w:val="00B330F5"/>
    <w:rsid w:val="00B33146"/>
    <w:rsid w:val="00B331C1"/>
    <w:rsid w:val="00B331DD"/>
    <w:rsid w:val="00B33298"/>
    <w:rsid w:val="00B332B2"/>
    <w:rsid w:val="00B333B9"/>
    <w:rsid w:val="00B334A6"/>
    <w:rsid w:val="00B33A02"/>
    <w:rsid w:val="00B33AFA"/>
    <w:rsid w:val="00B33B13"/>
    <w:rsid w:val="00B33C46"/>
    <w:rsid w:val="00B33CBC"/>
    <w:rsid w:val="00B33DF7"/>
    <w:rsid w:val="00B33DFB"/>
    <w:rsid w:val="00B33E7A"/>
    <w:rsid w:val="00B33EAC"/>
    <w:rsid w:val="00B33F36"/>
    <w:rsid w:val="00B3402D"/>
    <w:rsid w:val="00B3403D"/>
    <w:rsid w:val="00B34050"/>
    <w:rsid w:val="00B341F6"/>
    <w:rsid w:val="00B34211"/>
    <w:rsid w:val="00B34271"/>
    <w:rsid w:val="00B342F1"/>
    <w:rsid w:val="00B34317"/>
    <w:rsid w:val="00B3434A"/>
    <w:rsid w:val="00B343B0"/>
    <w:rsid w:val="00B3450D"/>
    <w:rsid w:val="00B34604"/>
    <w:rsid w:val="00B34656"/>
    <w:rsid w:val="00B346A4"/>
    <w:rsid w:val="00B348C0"/>
    <w:rsid w:val="00B34902"/>
    <w:rsid w:val="00B3495B"/>
    <w:rsid w:val="00B34964"/>
    <w:rsid w:val="00B34BB0"/>
    <w:rsid w:val="00B34BE2"/>
    <w:rsid w:val="00B34C9E"/>
    <w:rsid w:val="00B34CD6"/>
    <w:rsid w:val="00B34D1A"/>
    <w:rsid w:val="00B34D34"/>
    <w:rsid w:val="00B34FB6"/>
    <w:rsid w:val="00B35012"/>
    <w:rsid w:val="00B35044"/>
    <w:rsid w:val="00B35185"/>
    <w:rsid w:val="00B35268"/>
    <w:rsid w:val="00B352C2"/>
    <w:rsid w:val="00B352CF"/>
    <w:rsid w:val="00B35414"/>
    <w:rsid w:val="00B35499"/>
    <w:rsid w:val="00B354D7"/>
    <w:rsid w:val="00B3560E"/>
    <w:rsid w:val="00B356B5"/>
    <w:rsid w:val="00B35868"/>
    <w:rsid w:val="00B35BA5"/>
    <w:rsid w:val="00B35D4F"/>
    <w:rsid w:val="00B35E41"/>
    <w:rsid w:val="00B35F50"/>
    <w:rsid w:val="00B35FC5"/>
    <w:rsid w:val="00B361D5"/>
    <w:rsid w:val="00B3641A"/>
    <w:rsid w:val="00B3641C"/>
    <w:rsid w:val="00B3647A"/>
    <w:rsid w:val="00B3648D"/>
    <w:rsid w:val="00B364A2"/>
    <w:rsid w:val="00B36539"/>
    <w:rsid w:val="00B3655A"/>
    <w:rsid w:val="00B365B2"/>
    <w:rsid w:val="00B365F9"/>
    <w:rsid w:val="00B3665E"/>
    <w:rsid w:val="00B36736"/>
    <w:rsid w:val="00B367E6"/>
    <w:rsid w:val="00B367FD"/>
    <w:rsid w:val="00B36834"/>
    <w:rsid w:val="00B36945"/>
    <w:rsid w:val="00B369B7"/>
    <w:rsid w:val="00B369E5"/>
    <w:rsid w:val="00B36A13"/>
    <w:rsid w:val="00B36B75"/>
    <w:rsid w:val="00B36BCC"/>
    <w:rsid w:val="00B36CDA"/>
    <w:rsid w:val="00B36CE9"/>
    <w:rsid w:val="00B36D6A"/>
    <w:rsid w:val="00B36FBF"/>
    <w:rsid w:val="00B370A3"/>
    <w:rsid w:val="00B3711C"/>
    <w:rsid w:val="00B3728D"/>
    <w:rsid w:val="00B37315"/>
    <w:rsid w:val="00B373AA"/>
    <w:rsid w:val="00B373D8"/>
    <w:rsid w:val="00B373F4"/>
    <w:rsid w:val="00B3744D"/>
    <w:rsid w:val="00B375A3"/>
    <w:rsid w:val="00B37642"/>
    <w:rsid w:val="00B37695"/>
    <w:rsid w:val="00B376B2"/>
    <w:rsid w:val="00B377D3"/>
    <w:rsid w:val="00B37812"/>
    <w:rsid w:val="00B3791E"/>
    <w:rsid w:val="00B37945"/>
    <w:rsid w:val="00B37A19"/>
    <w:rsid w:val="00B37A1E"/>
    <w:rsid w:val="00B37A8C"/>
    <w:rsid w:val="00B37BB4"/>
    <w:rsid w:val="00B37CCD"/>
    <w:rsid w:val="00B37CD0"/>
    <w:rsid w:val="00B37DA8"/>
    <w:rsid w:val="00B37DB5"/>
    <w:rsid w:val="00B40019"/>
    <w:rsid w:val="00B4038B"/>
    <w:rsid w:val="00B40608"/>
    <w:rsid w:val="00B40660"/>
    <w:rsid w:val="00B40688"/>
    <w:rsid w:val="00B4069D"/>
    <w:rsid w:val="00B406A3"/>
    <w:rsid w:val="00B4073D"/>
    <w:rsid w:val="00B40792"/>
    <w:rsid w:val="00B407CE"/>
    <w:rsid w:val="00B40A7F"/>
    <w:rsid w:val="00B40C35"/>
    <w:rsid w:val="00B40C89"/>
    <w:rsid w:val="00B40CAD"/>
    <w:rsid w:val="00B40CC7"/>
    <w:rsid w:val="00B40CDA"/>
    <w:rsid w:val="00B40DC7"/>
    <w:rsid w:val="00B40F17"/>
    <w:rsid w:val="00B4102E"/>
    <w:rsid w:val="00B410B5"/>
    <w:rsid w:val="00B4120F"/>
    <w:rsid w:val="00B41225"/>
    <w:rsid w:val="00B4122D"/>
    <w:rsid w:val="00B412F0"/>
    <w:rsid w:val="00B41517"/>
    <w:rsid w:val="00B41636"/>
    <w:rsid w:val="00B416B0"/>
    <w:rsid w:val="00B416D5"/>
    <w:rsid w:val="00B41825"/>
    <w:rsid w:val="00B41894"/>
    <w:rsid w:val="00B4190E"/>
    <w:rsid w:val="00B4191F"/>
    <w:rsid w:val="00B419B9"/>
    <w:rsid w:val="00B41A0E"/>
    <w:rsid w:val="00B41A3E"/>
    <w:rsid w:val="00B41C34"/>
    <w:rsid w:val="00B41CA0"/>
    <w:rsid w:val="00B41D60"/>
    <w:rsid w:val="00B41FF5"/>
    <w:rsid w:val="00B42079"/>
    <w:rsid w:val="00B4230B"/>
    <w:rsid w:val="00B42377"/>
    <w:rsid w:val="00B42458"/>
    <w:rsid w:val="00B424B6"/>
    <w:rsid w:val="00B424C2"/>
    <w:rsid w:val="00B424D5"/>
    <w:rsid w:val="00B425C8"/>
    <w:rsid w:val="00B428FE"/>
    <w:rsid w:val="00B42B89"/>
    <w:rsid w:val="00B42DB0"/>
    <w:rsid w:val="00B42F59"/>
    <w:rsid w:val="00B42FCC"/>
    <w:rsid w:val="00B42FFB"/>
    <w:rsid w:val="00B43024"/>
    <w:rsid w:val="00B431DE"/>
    <w:rsid w:val="00B4343D"/>
    <w:rsid w:val="00B436A7"/>
    <w:rsid w:val="00B4386C"/>
    <w:rsid w:val="00B4394D"/>
    <w:rsid w:val="00B43963"/>
    <w:rsid w:val="00B43AE1"/>
    <w:rsid w:val="00B43AEC"/>
    <w:rsid w:val="00B43B5D"/>
    <w:rsid w:val="00B43B80"/>
    <w:rsid w:val="00B43BEA"/>
    <w:rsid w:val="00B43C88"/>
    <w:rsid w:val="00B43C94"/>
    <w:rsid w:val="00B442F8"/>
    <w:rsid w:val="00B4431E"/>
    <w:rsid w:val="00B44361"/>
    <w:rsid w:val="00B4436C"/>
    <w:rsid w:val="00B443FD"/>
    <w:rsid w:val="00B44458"/>
    <w:rsid w:val="00B4446B"/>
    <w:rsid w:val="00B444BC"/>
    <w:rsid w:val="00B445C7"/>
    <w:rsid w:val="00B4471F"/>
    <w:rsid w:val="00B44799"/>
    <w:rsid w:val="00B447B8"/>
    <w:rsid w:val="00B447D9"/>
    <w:rsid w:val="00B44A31"/>
    <w:rsid w:val="00B44A35"/>
    <w:rsid w:val="00B44A54"/>
    <w:rsid w:val="00B44A82"/>
    <w:rsid w:val="00B44B1C"/>
    <w:rsid w:val="00B44D3C"/>
    <w:rsid w:val="00B44E55"/>
    <w:rsid w:val="00B44E60"/>
    <w:rsid w:val="00B44EA0"/>
    <w:rsid w:val="00B44EA2"/>
    <w:rsid w:val="00B44F6E"/>
    <w:rsid w:val="00B4500F"/>
    <w:rsid w:val="00B45096"/>
    <w:rsid w:val="00B45133"/>
    <w:rsid w:val="00B45250"/>
    <w:rsid w:val="00B45456"/>
    <w:rsid w:val="00B45463"/>
    <w:rsid w:val="00B454AE"/>
    <w:rsid w:val="00B454F3"/>
    <w:rsid w:val="00B455E2"/>
    <w:rsid w:val="00B45902"/>
    <w:rsid w:val="00B45A1A"/>
    <w:rsid w:val="00B45A84"/>
    <w:rsid w:val="00B45A8A"/>
    <w:rsid w:val="00B45B70"/>
    <w:rsid w:val="00B45B92"/>
    <w:rsid w:val="00B45B96"/>
    <w:rsid w:val="00B45CB5"/>
    <w:rsid w:val="00B45CDA"/>
    <w:rsid w:val="00B45D31"/>
    <w:rsid w:val="00B45D92"/>
    <w:rsid w:val="00B45ED6"/>
    <w:rsid w:val="00B45F14"/>
    <w:rsid w:val="00B45FA7"/>
    <w:rsid w:val="00B46085"/>
    <w:rsid w:val="00B460D6"/>
    <w:rsid w:val="00B46329"/>
    <w:rsid w:val="00B46348"/>
    <w:rsid w:val="00B465FD"/>
    <w:rsid w:val="00B4660E"/>
    <w:rsid w:val="00B4665B"/>
    <w:rsid w:val="00B4674F"/>
    <w:rsid w:val="00B4677A"/>
    <w:rsid w:val="00B468D8"/>
    <w:rsid w:val="00B4694D"/>
    <w:rsid w:val="00B46A05"/>
    <w:rsid w:val="00B46AB5"/>
    <w:rsid w:val="00B46ACB"/>
    <w:rsid w:val="00B46AE2"/>
    <w:rsid w:val="00B46B02"/>
    <w:rsid w:val="00B46B7D"/>
    <w:rsid w:val="00B46C50"/>
    <w:rsid w:val="00B46DDD"/>
    <w:rsid w:val="00B46E02"/>
    <w:rsid w:val="00B46EE0"/>
    <w:rsid w:val="00B46F70"/>
    <w:rsid w:val="00B47018"/>
    <w:rsid w:val="00B4705A"/>
    <w:rsid w:val="00B4708E"/>
    <w:rsid w:val="00B47179"/>
    <w:rsid w:val="00B47185"/>
    <w:rsid w:val="00B471FF"/>
    <w:rsid w:val="00B47293"/>
    <w:rsid w:val="00B47351"/>
    <w:rsid w:val="00B473E0"/>
    <w:rsid w:val="00B47473"/>
    <w:rsid w:val="00B47551"/>
    <w:rsid w:val="00B4756C"/>
    <w:rsid w:val="00B475AD"/>
    <w:rsid w:val="00B47610"/>
    <w:rsid w:val="00B477B9"/>
    <w:rsid w:val="00B47852"/>
    <w:rsid w:val="00B47A76"/>
    <w:rsid w:val="00B47AB3"/>
    <w:rsid w:val="00B47BDF"/>
    <w:rsid w:val="00B47C22"/>
    <w:rsid w:val="00B47C63"/>
    <w:rsid w:val="00B47CF4"/>
    <w:rsid w:val="00B47D0E"/>
    <w:rsid w:val="00B47E9A"/>
    <w:rsid w:val="00B47F82"/>
    <w:rsid w:val="00B500E5"/>
    <w:rsid w:val="00B501F8"/>
    <w:rsid w:val="00B50240"/>
    <w:rsid w:val="00B5024B"/>
    <w:rsid w:val="00B5038E"/>
    <w:rsid w:val="00B50744"/>
    <w:rsid w:val="00B5074F"/>
    <w:rsid w:val="00B507BE"/>
    <w:rsid w:val="00B508CB"/>
    <w:rsid w:val="00B50A63"/>
    <w:rsid w:val="00B50A73"/>
    <w:rsid w:val="00B50ADF"/>
    <w:rsid w:val="00B50B62"/>
    <w:rsid w:val="00B50BCC"/>
    <w:rsid w:val="00B50C6C"/>
    <w:rsid w:val="00B50C8B"/>
    <w:rsid w:val="00B50CAC"/>
    <w:rsid w:val="00B50CFB"/>
    <w:rsid w:val="00B50D68"/>
    <w:rsid w:val="00B50DA3"/>
    <w:rsid w:val="00B50FDC"/>
    <w:rsid w:val="00B5101B"/>
    <w:rsid w:val="00B510FA"/>
    <w:rsid w:val="00B5112C"/>
    <w:rsid w:val="00B51153"/>
    <w:rsid w:val="00B5123B"/>
    <w:rsid w:val="00B51344"/>
    <w:rsid w:val="00B5144F"/>
    <w:rsid w:val="00B514C2"/>
    <w:rsid w:val="00B515EB"/>
    <w:rsid w:val="00B51679"/>
    <w:rsid w:val="00B5171B"/>
    <w:rsid w:val="00B5177D"/>
    <w:rsid w:val="00B5185C"/>
    <w:rsid w:val="00B51A0D"/>
    <w:rsid w:val="00B51ADA"/>
    <w:rsid w:val="00B51B93"/>
    <w:rsid w:val="00B51BB5"/>
    <w:rsid w:val="00B51BF4"/>
    <w:rsid w:val="00B51C25"/>
    <w:rsid w:val="00B51C43"/>
    <w:rsid w:val="00B51C73"/>
    <w:rsid w:val="00B51C7A"/>
    <w:rsid w:val="00B51CAA"/>
    <w:rsid w:val="00B51D52"/>
    <w:rsid w:val="00B51DD5"/>
    <w:rsid w:val="00B51E08"/>
    <w:rsid w:val="00B51EBA"/>
    <w:rsid w:val="00B51F7A"/>
    <w:rsid w:val="00B51F86"/>
    <w:rsid w:val="00B51FF0"/>
    <w:rsid w:val="00B5211D"/>
    <w:rsid w:val="00B521AA"/>
    <w:rsid w:val="00B52411"/>
    <w:rsid w:val="00B52491"/>
    <w:rsid w:val="00B524DA"/>
    <w:rsid w:val="00B5258C"/>
    <w:rsid w:val="00B52598"/>
    <w:rsid w:val="00B527A0"/>
    <w:rsid w:val="00B5284C"/>
    <w:rsid w:val="00B52933"/>
    <w:rsid w:val="00B52A3B"/>
    <w:rsid w:val="00B52BCA"/>
    <w:rsid w:val="00B52CBC"/>
    <w:rsid w:val="00B52D93"/>
    <w:rsid w:val="00B52DAE"/>
    <w:rsid w:val="00B52DCC"/>
    <w:rsid w:val="00B52ED2"/>
    <w:rsid w:val="00B52FA7"/>
    <w:rsid w:val="00B52FE1"/>
    <w:rsid w:val="00B53061"/>
    <w:rsid w:val="00B53092"/>
    <w:rsid w:val="00B53224"/>
    <w:rsid w:val="00B53274"/>
    <w:rsid w:val="00B532EF"/>
    <w:rsid w:val="00B53379"/>
    <w:rsid w:val="00B53494"/>
    <w:rsid w:val="00B534FE"/>
    <w:rsid w:val="00B53518"/>
    <w:rsid w:val="00B535B3"/>
    <w:rsid w:val="00B536E3"/>
    <w:rsid w:val="00B53802"/>
    <w:rsid w:val="00B5381A"/>
    <w:rsid w:val="00B538FC"/>
    <w:rsid w:val="00B53A96"/>
    <w:rsid w:val="00B53B33"/>
    <w:rsid w:val="00B53BCB"/>
    <w:rsid w:val="00B53C8C"/>
    <w:rsid w:val="00B53D9F"/>
    <w:rsid w:val="00B53DC8"/>
    <w:rsid w:val="00B53F0C"/>
    <w:rsid w:val="00B53F25"/>
    <w:rsid w:val="00B54208"/>
    <w:rsid w:val="00B5421B"/>
    <w:rsid w:val="00B542AE"/>
    <w:rsid w:val="00B54378"/>
    <w:rsid w:val="00B543E5"/>
    <w:rsid w:val="00B54543"/>
    <w:rsid w:val="00B54659"/>
    <w:rsid w:val="00B546EE"/>
    <w:rsid w:val="00B5486E"/>
    <w:rsid w:val="00B548A8"/>
    <w:rsid w:val="00B548DC"/>
    <w:rsid w:val="00B548F9"/>
    <w:rsid w:val="00B549DA"/>
    <w:rsid w:val="00B549E8"/>
    <w:rsid w:val="00B54A15"/>
    <w:rsid w:val="00B54B3F"/>
    <w:rsid w:val="00B54BD8"/>
    <w:rsid w:val="00B54BDF"/>
    <w:rsid w:val="00B54D00"/>
    <w:rsid w:val="00B54D3E"/>
    <w:rsid w:val="00B54EA4"/>
    <w:rsid w:val="00B54EE2"/>
    <w:rsid w:val="00B54F43"/>
    <w:rsid w:val="00B54F95"/>
    <w:rsid w:val="00B54FF1"/>
    <w:rsid w:val="00B55047"/>
    <w:rsid w:val="00B5509E"/>
    <w:rsid w:val="00B5514F"/>
    <w:rsid w:val="00B551B2"/>
    <w:rsid w:val="00B55276"/>
    <w:rsid w:val="00B552F5"/>
    <w:rsid w:val="00B553B0"/>
    <w:rsid w:val="00B55466"/>
    <w:rsid w:val="00B5548C"/>
    <w:rsid w:val="00B5551D"/>
    <w:rsid w:val="00B555DB"/>
    <w:rsid w:val="00B55608"/>
    <w:rsid w:val="00B55786"/>
    <w:rsid w:val="00B5578C"/>
    <w:rsid w:val="00B557DD"/>
    <w:rsid w:val="00B55880"/>
    <w:rsid w:val="00B55981"/>
    <w:rsid w:val="00B55A22"/>
    <w:rsid w:val="00B55B94"/>
    <w:rsid w:val="00B55CC4"/>
    <w:rsid w:val="00B55D39"/>
    <w:rsid w:val="00B55EC9"/>
    <w:rsid w:val="00B55F54"/>
    <w:rsid w:val="00B55F9D"/>
    <w:rsid w:val="00B56079"/>
    <w:rsid w:val="00B561F1"/>
    <w:rsid w:val="00B5626A"/>
    <w:rsid w:val="00B56281"/>
    <w:rsid w:val="00B56294"/>
    <w:rsid w:val="00B564AC"/>
    <w:rsid w:val="00B564C1"/>
    <w:rsid w:val="00B56523"/>
    <w:rsid w:val="00B565AE"/>
    <w:rsid w:val="00B5666B"/>
    <w:rsid w:val="00B56721"/>
    <w:rsid w:val="00B567DB"/>
    <w:rsid w:val="00B568C2"/>
    <w:rsid w:val="00B56A03"/>
    <w:rsid w:val="00B56A83"/>
    <w:rsid w:val="00B56BE4"/>
    <w:rsid w:val="00B56EA4"/>
    <w:rsid w:val="00B56EBB"/>
    <w:rsid w:val="00B57024"/>
    <w:rsid w:val="00B5702B"/>
    <w:rsid w:val="00B57322"/>
    <w:rsid w:val="00B5733B"/>
    <w:rsid w:val="00B57684"/>
    <w:rsid w:val="00B576B8"/>
    <w:rsid w:val="00B57715"/>
    <w:rsid w:val="00B57767"/>
    <w:rsid w:val="00B577F3"/>
    <w:rsid w:val="00B578B8"/>
    <w:rsid w:val="00B578C8"/>
    <w:rsid w:val="00B578FA"/>
    <w:rsid w:val="00B57ACA"/>
    <w:rsid w:val="00B57B9D"/>
    <w:rsid w:val="00B6000B"/>
    <w:rsid w:val="00B600E5"/>
    <w:rsid w:val="00B60188"/>
    <w:rsid w:val="00B602E9"/>
    <w:rsid w:val="00B60430"/>
    <w:rsid w:val="00B60467"/>
    <w:rsid w:val="00B604E0"/>
    <w:rsid w:val="00B604EA"/>
    <w:rsid w:val="00B6053C"/>
    <w:rsid w:val="00B60562"/>
    <w:rsid w:val="00B605CE"/>
    <w:rsid w:val="00B605E1"/>
    <w:rsid w:val="00B60665"/>
    <w:rsid w:val="00B60699"/>
    <w:rsid w:val="00B6072B"/>
    <w:rsid w:val="00B6076B"/>
    <w:rsid w:val="00B60880"/>
    <w:rsid w:val="00B60934"/>
    <w:rsid w:val="00B6093F"/>
    <w:rsid w:val="00B60AB9"/>
    <w:rsid w:val="00B60AC0"/>
    <w:rsid w:val="00B60B2A"/>
    <w:rsid w:val="00B60B3E"/>
    <w:rsid w:val="00B60B54"/>
    <w:rsid w:val="00B60BA6"/>
    <w:rsid w:val="00B60CA1"/>
    <w:rsid w:val="00B60E76"/>
    <w:rsid w:val="00B60F4F"/>
    <w:rsid w:val="00B61077"/>
    <w:rsid w:val="00B610DA"/>
    <w:rsid w:val="00B61107"/>
    <w:rsid w:val="00B611AC"/>
    <w:rsid w:val="00B611F5"/>
    <w:rsid w:val="00B6141A"/>
    <w:rsid w:val="00B614DC"/>
    <w:rsid w:val="00B615FB"/>
    <w:rsid w:val="00B61621"/>
    <w:rsid w:val="00B617B4"/>
    <w:rsid w:val="00B617DC"/>
    <w:rsid w:val="00B6181E"/>
    <w:rsid w:val="00B618DF"/>
    <w:rsid w:val="00B619FB"/>
    <w:rsid w:val="00B61A0F"/>
    <w:rsid w:val="00B61B06"/>
    <w:rsid w:val="00B61C16"/>
    <w:rsid w:val="00B61C43"/>
    <w:rsid w:val="00B61D90"/>
    <w:rsid w:val="00B61E86"/>
    <w:rsid w:val="00B61FA4"/>
    <w:rsid w:val="00B61FCC"/>
    <w:rsid w:val="00B620BB"/>
    <w:rsid w:val="00B620FA"/>
    <w:rsid w:val="00B62199"/>
    <w:rsid w:val="00B621D0"/>
    <w:rsid w:val="00B62238"/>
    <w:rsid w:val="00B6241D"/>
    <w:rsid w:val="00B626E1"/>
    <w:rsid w:val="00B6273D"/>
    <w:rsid w:val="00B62805"/>
    <w:rsid w:val="00B62861"/>
    <w:rsid w:val="00B62899"/>
    <w:rsid w:val="00B62940"/>
    <w:rsid w:val="00B629D8"/>
    <w:rsid w:val="00B62A1F"/>
    <w:rsid w:val="00B62AE1"/>
    <w:rsid w:val="00B62BAA"/>
    <w:rsid w:val="00B62C26"/>
    <w:rsid w:val="00B62C3F"/>
    <w:rsid w:val="00B62C55"/>
    <w:rsid w:val="00B62C82"/>
    <w:rsid w:val="00B62C8E"/>
    <w:rsid w:val="00B62CF4"/>
    <w:rsid w:val="00B62E0E"/>
    <w:rsid w:val="00B62F0C"/>
    <w:rsid w:val="00B62F61"/>
    <w:rsid w:val="00B62F83"/>
    <w:rsid w:val="00B62FD7"/>
    <w:rsid w:val="00B63091"/>
    <w:rsid w:val="00B63184"/>
    <w:rsid w:val="00B632CE"/>
    <w:rsid w:val="00B632F0"/>
    <w:rsid w:val="00B6333B"/>
    <w:rsid w:val="00B6334B"/>
    <w:rsid w:val="00B63361"/>
    <w:rsid w:val="00B63366"/>
    <w:rsid w:val="00B63426"/>
    <w:rsid w:val="00B634FD"/>
    <w:rsid w:val="00B63596"/>
    <w:rsid w:val="00B6364D"/>
    <w:rsid w:val="00B63875"/>
    <w:rsid w:val="00B639C2"/>
    <w:rsid w:val="00B63A16"/>
    <w:rsid w:val="00B63A6E"/>
    <w:rsid w:val="00B63A9E"/>
    <w:rsid w:val="00B63C0D"/>
    <w:rsid w:val="00B63C42"/>
    <w:rsid w:val="00B63C65"/>
    <w:rsid w:val="00B63CCA"/>
    <w:rsid w:val="00B63D0D"/>
    <w:rsid w:val="00B63D6B"/>
    <w:rsid w:val="00B63D83"/>
    <w:rsid w:val="00B63E5D"/>
    <w:rsid w:val="00B63FC6"/>
    <w:rsid w:val="00B64022"/>
    <w:rsid w:val="00B6408C"/>
    <w:rsid w:val="00B6413D"/>
    <w:rsid w:val="00B64186"/>
    <w:rsid w:val="00B64352"/>
    <w:rsid w:val="00B643A6"/>
    <w:rsid w:val="00B64570"/>
    <w:rsid w:val="00B646E0"/>
    <w:rsid w:val="00B647F6"/>
    <w:rsid w:val="00B647FC"/>
    <w:rsid w:val="00B6487A"/>
    <w:rsid w:val="00B64A10"/>
    <w:rsid w:val="00B64A2E"/>
    <w:rsid w:val="00B64A73"/>
    <w:rsid w:val="00B64ADA"/>
    <w:rsid w:val="00B64D2C"/>
    <w:rsid w:val="00B64D7A"/>
    <w:rsid w:val="00B64E7B"/>
    <w:rsid w:val="00B64F02"/>
    <w:rsid w:val="00B6506E"/>
    <w:rsid w:val="00B6509A"/>
    <w:rsid w:val="00B651DA"/>
    <w:rsid w:val="00B65333"/>
    <w:rsid w:val="00B653D7"/>
    <w:rsid w:val="00B6540A"/>
    <w:rsid w:val="00B65453"/>
    <w:rsid w:val="00B654D4"/>
    <w:rsid w:val="00B65518"/>
    <w:rsid w:val="00B65519"/>
    <w:rsid w:val="00B65594"/>
    <w:rsid w:val="00B655D1"/>
    <w:rsid w:val="00B65708"/>
    <w:rsid w:val="00B657F8"/>
    <w:rsid w:val="00B6583E"/>
    <w:rsid w:val="00B65850"/>
    <w:rsid w:val="00B65A5F"/>
    <w:rsid w:val="00B65AD6"/>
    <w:rsid w:val="00B65AF5"/>
    <w:rsid w:val="00B65B87"/>
    <w:rsid w:val="00B65BF5"/>
    <w:rsid w:val="00B65C68"/>
    <w:rsid w:val="00B65C76"/>
    <w:rsid w:val="00B65CFE"/>
    <w:rsid w:val="00B65E81"/>
    <w:rsid w:val="00B65EA5"/>
    <w:rsid w:val="00B65F30"/>
    <w:rsid w:val="00B66014"/>
    <w:rsid w:val="00B66062"/>
    <w:rsid w:val="00B660FB"/>
    <w:rsid w:val="00B66112"/>
    <w:rsid w:val="00B66164"/>
    <w:rsid w:val="00B661A4"/>
    <w:rsid w:val="00B661AB"/>
    <w:rsid w:val="00B661C6"/>
    <w:rsid w:val="00B662E3"/>
    <w:rsid w:val="00B663D9"/>
    <w:rsid w:val="00B6645C"/>
    <w:rsid w:val="00B6653F"/>
    <w:rsid w:val="00B6660D"/>
    <w:rsid w:val="00B66696"/>
    <w:rsid w:val="00B666B9"/>
    <w:rsid w:val="00B666FF"/>
    <w:rsid w:val="00B66851"/>
    <w:rsid w:val="00B66886"/>
    <w:rsid w:val="00B669FA"/>
    <w:rsid w:val="00B66A20"/>
    <w:rsid w:val="00B66B3E"/>
    <w:rsid w:val="00B66C8B"/>
    <w:rsid w:val="00B66D84"/>
    <w:rsid w:val="00B66E1E"/>
    <w:rsid w:val="00B66F48"/>
    <w:rsid w:val="00B67024"/>
    <w:rsid w:val="00B67315"/>
    <w:rsid w:val="00B6745F"/>
    <w:rsid w:val="00B674A5"/>
    <w:rsid w:val="00B67509"/>
    <w:rsid w:val="00B67546"/>
    <w:rsid w:val="00B6765A"/>
    <w:rsid w:val="00B678D8"/>
    <w:rsid w:val="00B67918"/>
    <w:rsid w:val="00B67AA4"/>
    <w:rsid w:val="00B67AC0"/>
    <w:rsid w:val="00B67B10"/>
    <w:rsid w:val="00B67B1C"/>
    <w:rsid w:val="00B67BB1"/>
    <w:rsid w:val="00B67D47"/>
    <w:rsid w:val="00B67EDB"/>
    <w:rsid w:val="00B67F19"/>
    <w:rsid w:val="00B70124"/>
    <w:rsid w:val="00B7016F"/>
    <w:rsid w:val="00B70267"/>
    <w:rsid w:val="00B70303"/>
    <w:rsid w:val="00B70453"/>
    <w:rsid w:val="00B70473"/>
    <w:rsid w:val="00B704A3"/>
    <w:rsid w:val="00B7053F"/>
    <w:rsid w:val="00B70589"/>
    <w:rsid w:val="00B7067C"/>
    <w:rsid w:val="00B707C2"/>
    <w:rsid w:val="00B70807"/>
    <w:rsid w:val="00B70872"/>
    <w:rsid w:val="00B70884"/>
    <w:rsid w:val="00B70981"/>
    <w:rsid w:val="00B709F9"/>
    <w:rsid w:val="00B70AA4"/>
    <w:rsid w:val="00B70DA0"/>
    <w:rsid w:val="00B70DED"/>
    <w:rsid w:val="00B70E4D"/>
    <w:rsid w:val="00B70E69"/>
    <w:rsid w:val="00B70EF9"/>
    <w:rsid w:val="00B70FE8"/>
    <w:rsid w:val="00B71078"/>
    <w:rsid w:val="00B71082"/>
    <w:rsid w:val="00B7116E"/>
    <w:rsid w:val="00B7124B"/>
    <w:rsid w:val="00B71304"/>
    <w:rsid w:val="00B7134C"/>
    <w:rsid w:val="00B7167C"/>
    <w:rsid w:val="00B717D7"/>
    <w:rsid w:val="00B718AF"/>
    <w:rsid w:val="00B71935"/>
    <w:rsid w:val="00B71AB7"/>
    <w:rsid w:val="00B71B4E"/>
    <w:rsid w:val="00B71BD0"/>
    <w:rsid w:val="00B71C71"/>
    <w:rsid w:val="00B71DAE"/>
    <w:rsid w:val="00B71DC5"/>
    <w:rsid w:val="00B71F45"/>
    <w:rsid w:val="00B7201B"/>
    <w:rsid w:val="00B72197"/>
    <w:rsid w:val="00B721B4"/>
    <w:rsid w:val="00B72369"/>
    <w:rsid w:val="00B723CF"/>
    <w:rsid w:val="00B7242A"/>
    <w:rsid w:val="00B72475"/>
    <w:rsid w:val="00B7258B"/>
    <w:rsid w:val="00B72603"/>
    <w:rsid w:val="00B72604"/>
    <w:rsid w:val="00B726EC"/>
    <w:rsid w:val="00B727C1"/>
    <w:rsid w:val="00B72853"/>
    <w:rsid w:val="00B729FB"/>
    <w:rsid w:val="00B72A7D"/>
    <w:rsid w:val="00B72D1D"/>
    <w:rsid w:val="00B72FBE"/>
    <w:rsid w:val="00B7301B"/>
    <w:rsid w:val="00B73037"/>
    <w:rsid w:val="00B73158"/>
    <w:rsid w:val="00B73187"/>
    <w:rsid w:val="00B7324E"/>
    <w:rsid w:val="00B73281"/>
    <w:rsid w:val="00B7339A"/>
    <w:rsid w:val="00B733B4"/>
    <w:rsid w:val="00B734A9"/>
    <w:rsid w:val="00B734B7"/>
    <w:rsid w:val="00B73655"/>
    <w:rsid w:val="00B736A8"/>
    <w:rsid w:val="00B73A69"/>
    <w:rsid w:val="00B73A70"/>
    <w:rsid w:val="00B73B81"/>
    <w:rsid w:val="00B73BC1"/>
    <w:rsid w:val="00B73BE3"/>
    <w:rsid w:val="00B73BFC"/>
    <w:rsid w:val="00B73CDD"/>
    <w:rsid w:val="00B73D8B"/>
    <w:rsid w:val="00B73EBC"/>
    <w:rsid w:val="00B73F54"/>
    <w:rsid w:val="00B73F98"/>
    <w:rsid w:val="00B73FBC"/>
    <w:rsid w:val="00B74044"/>
    <w:rsid w:val="00B7408A"/>
    <w:rsid w:val="00B7422A"/>
    <w:rsid w:val="00B742C1"/>
    <w:rsid w:val="00B744A0"/>
    <w:rsid w:val="00B7452B"/>
    <w:rsid w:val="00B746F6"/>
    <w:rsid w:val="00B7471D"/>
    <w:rsid w:val="00B747FB"/>
    <w:rsid w:val="00B74890"/>
    <w:rsid w:val="00B748DA"/>
    <w:rsid w:val="00B748DE"/>
    <w:rsid w:val="00B74916"/>
    <w:rsid w:val="00B74AFE"/>
    <w:rsid w:val="00B74EE3"/>
    <w:rsid w:val="00B74FF7"/>
    <w:rsid w:val="00B75007"/>
    <w:rsid w:val="00B75081"/>
    <w:rsid w:val="00B75082"/>
    <w:rsid w:val="00B7510F"/>
    <w:rsid w:val="00B7517D"/>
    <w:rsid w:val="00B751C4"/>
    <w:rsid w:val="00B753E6"/>
    <w:rsid w:val="00B753E7"/>
    <w:rsid w:val="00B7546B"/>
    <w:rsid w:val="00B754E4"/>
    <w:rsid w:val="00B754ED"/>
    <w:rsid w:val="00B75797"/>
    <w:rsid w:val="00B7579A"/>
    <w:rsid w:val="00B757E4"/>
    <w:rsid w:val="00B75838"/>
    <w:rsid w:val="00B75932"/>
    <w:rsid w:val="00B759AA"/>
    <w:rsid w:val="00B759F8"/>
    <w:rsid w:val="00B75B04"/>
    <w:rsid w:val="00B75B1E"/>
    <w:rsid w:val="00B75BA1"/>
    <w:rsid w:val="00B75DD0"/>
    <w:rsid w:val="00B75FB7"/>
    <w:rsid w:val="00B75FFB"/>
    <w:rsid w:val="00B76018"/>
    <w:rsid w:val="00B76034"/>
    <w:rsid w:val="00B760E5"/>
    <w:rsid w:val="00B76109"/>
    <w:rsid w:val="00B762A7"/>
    <w:rsid w:val="00B76457"/>
    <w:rsid w:val="00B766B7"/>
    <w:rsid w:val="00B7691E"/>
    <w:rsid w:val="00B7695E"/>
    <w:rsid w:val="00B76991"/>
    <w:rsid w:val="00B76A16"/>
    <w:rsid w:val="00B76ABB"/>
    <w:rsid w:val="00B76BB4"/>
    <w:rsid w:val="00B76BF9"/>
    <w:rsid w:val="00B76C13"/>
    <w:rsid w:val="00B76D0A"/>
    <w:rsid w:val="00B76D2B"/>
    <w:rsid w:val="00B76DD2"/>
    <w:rsid w:val="00B76E07"/>
    <w:rsid w:val="00B76F37"/>
    <w:rsid w:val="00B76FAA"/>
    <w:rsid w:val="00B7706A"/>
    <w:rsid w:val="00B7716F"/>
    <w:rsid w:val="00B77324"/>
    <w:rsid w:val="00B77560"/>
    <w:rsid w:val="00B77629"/>
    <w:rsid w:val="00B776E7"/>
    <w:rsid w:val="00B776F7"/>
    <w:rsid w:val="00B7777E"/>
    <w:rsid w:val="00B7782D"/>
    <w:rsid w:val="00B77C00"/>
    <w:rsid w:val="00B77C54"/>
    <w:rsid w:val="00B77CA2"/>
    <w:rsid w:val="00B77E9D"/>
    <w:rsid w:val="00B77EB9"/>
    <w:rsid w:val="00B77F3E"/>
    <w:rsid w:val="00B77F68"/>
    <w:rsid w:val="00B8014F"/>
    <w:rsid w:val="00B80288"/>
    <w:rsid w:val="00B80407"/>
    <w:rsid w:val="00B80493"/>
    <w:rsid w:val="00B80579"/>
    <w:rsid w:val="00B80635"/>
    <w:rsid w:val="00B807FE"/>
    <w:rsid w:val="00B80826"/>
    <w:rsid w:val="00B809E6"/>
    <w:rsid w:val="00B80A56"/>
    <w:rsid w:val="00B80AEE"/>
    <w:rsid w:val="00B80BDA"/>
    <w:rsid w:val="00B80C25"/>
    <w:rsid w:val="00B80E54"/>
    <w:rsid w:val="00B80E89"/>
    <w:rsid w:val="00B80EC2"/>
    <w:rsid w:val="00B80F7F"/>
    <w:rsid w:val="00B80FF6"/>
    <w:rsid w:val="00B8106F"/>
    <w:rsid w:val="00B8116C"/>
    <w:rsid w:val="00B8121B"/>
    <w:rsid w:val="00B81220"/>
    <w:rsid w:val="00B8140A"/>
    <w:rsid w:val="00B8143B"/>
    <w:rsid w:val="00B81543"/>
    <w:rsid w:val="00B815BD"/>
    <w:rsid w:val="00B81611"/>
    <w:rsid w:val="00B816C8"/>
    <w:rsid w:val="00B81817"/>
    <w:rsid w:val="00B8181D"/>
    <w:rsid w:val="00B81AC8"/>
    <w:rsid w:val="00B81B01"/>
    <w:rsid w:val="00B81B2E"/>
    <w:rsid w:val="00B81C93"/>
    <w:rsid w:val="00B81D6A"/>
    <w:rsid w:val="00B81F30"/>
    <w:rsid w:val="00B81F5B"/>
    <w:rsid w:val="00B8205E"/>
    <w:rsid w:val="00B8209B"/>
    <w:rsid w:val="00B822B8"/>
    <w:rsid w:val="00B82315"/>
    <w:rsid w:val="00B82350"/>
    <w:rsid w:val="00B8252A"/>
    <w:rsid w:val="00B8257F"/>
    <w:rsid w:val="00B82676"/>
    <w:rsid w:val="00B8271A"/>
    <w:rsid w:val="00B827E8"/>
    <w:rsid w:val="00B82849"/>
    <w:rsid w:val="00B82864"/>
    <w:rsid w:val="00B82924"/>
    <w:rsid w:val="00B8295E"/>
    <w:rsid w:val="00B8298D"/>
    <w:rsid w:val="00B82994"/>
    <w:rsid w:val="00B82AD9"/>
    <w:rsid w:val="00B82C38"/>
    <w:rsid w:val="00B82C43"/>
    <w:rsid w:val="00B82CB8"/>
    <w:rsid w:val="00B82D28"/>
    <w:rsid w:val="00B82DAC"/>
    <w:rsid w:val="00B82F6F"/>
    <w:rsid w:val="00B82FC3"/>
    <w:rsid w:val="00B82FFA"/>
    <w:rsid w:val="00B83097"/>
    <w:rsid w:val="00B831C6"/>
    <w:rsid w:val="00B831D8"/>
    <w:rsid w:val="00B831E4"/>
    <w:rsid w:val="00B832A8"/>
    <w:rsid w:val="00B83486"/>
    <w:rsid w:val="00B834B7"/>
    <w:rsid w:val="00B834F7"/>
    <w:rsid w:val="00B83515"/>
    <w:rsid w:val="00B83525"/>
    <w:rsid w:val="00B83568"/>
    <w:rsid w:val="00B83643"/>
    <w:rsid w:val="00B83693"/>
    <w:rsid w:val="00B83765"/>
    <w:rsid w:val="00B83816"/>
    <w:rsid w:val="00B8397B"/>
    <w:rsid w:val="00B839C7"/>
    <w:rsid w:val="00B83B44"/>
    <w:rsid w:val="00B83C74"/>
    <w:rsid w:val="00B83DFE"/>
    <w:rsid w:val="00B83E59"/>
    <w:rsid w:val="00B83E9B"/>
    <w:rsid w:val="00B83FAB"/>
    <w:rsid w:val="00B84061"/>
    <w:rsid w:val="00B841BB"/>
    <w:rsid w:val="00B84471"/>
    <w:rsid w:val="00B8469C"/>
    <w:rsid w:val="00B8475A"/>
    <w:rsid w:val="00B84860"/>
    <w:rsid w:val="00B8492B"/>
    <w:rsid w:val="00B84A4B"/>
    <w:rsid w:val="00B84B7B"/>
    <w:rsid w:val="00B84CB7"/>
    <w:rsid w:val="00B84CFF"/>
    <w:rsid w:val="00B84D11"/>
    <w:rsid w:val="00B84D55"/>
    <w:rsid w:val="00B84D81"/>
    <w:rsid w:val="00B84D8B"/>
    <w:rsid w:val="00B84DAB"/>
    <w:rsid w:val="00B84E96"/>
    <w:rsid w:val="00B84EE1"/>
    <w:rsid w:val="00B84F47"/>
    <w:rsid w:val="00B84FC3"/>
    <w:rsid w:val="00B84FE6"/>
    <w:rsid w:val="00B850CB"/>
    <w:rsid w:val="00B851C9"/>
    <w:rsid w:val="00B851E6"/>
    <w:rsid w:val="00B8533B"/>
    <w:rsid w:val="00B85354"/>
    <w:rsid w:val="00B853AB"/>
    <w:rsid w:val="00B853B1"/>
    <w:rsid w:val="00B853E0"/>
    <w:rsid w:val="00B85654"/>
    <w:rsid w:val="00B85799"/>
    <w:rsid w:val="00B85887"/>
    <w:rsid w:val="00B859F3"/>
    <w:rsid w:val="00B85B71"/>
    <w:rsid w:val="00B85D10"/>
    <w:rsid w:val="00B85EF6"/>
    <w:rsid w:val="00B85F5E"/>
    <w:rsid w:val="00B85FFF"/>
    <w:rsid w:val="00B8607D"/>
    <w:rsid w:val="00B8609D"/>
    <w:rsid w:val="00B86120"/>
    <w:rsid w:val="00B86250"/>
    <w:rsid w:val="00B86309"/>
    <w:rsid w:val="00B86371"/>
    <w:rsid w:val="00B863C9"/>
    <w:rsid w:val="00B86416"/>
    <w:rsid w:val="00B86428"/>
    <w:rsid w:val="00B865DF"/>
    <w:rsid w:val="00B865E2"/>
    <w:rsid w:val="00B86606"/>
    <w:rsid w:val="00B8687B"/>
    <w:rsid w:val="00B86AB2"/>
    <w:rsid w:val="00B86AE2"/>
    <w:rsid w:val="00B86B06"/>
    <w:rsid w:val="00B86BC0"/>
    <w:rsid w:val="00B86C2D"/>
    <w:rsid w:val="00B86D5E"/>
    <w:rsid w:val="00B86D82"/>
    <w:rsid w:val="00B86E0B"/>
    <w:rsid w:val="00B86E0E"/>
    <w:rsid w:val="00B86E33"/>
    <w:rsid w:val="00B86F21"/>
    <w:rsid w:val="00B86F53"/>
    <w:rsid w:val="00B86FAE"/>
    <w:rsid w:val="00B87039"/>
    <w:rsid w:val="00B87093"/>
    <w:rsid w:val="00B87121"/>
    <w:rsid w:val="00B8717E"/>
    <w:rsid w:val="00B8720B"/>
    <w:rsid w:val="00B8722B"/>
    <w:rsid w:val="00B8723E"/>
    <w:rsid w:val="00B8729A"/>
    <w:rsid w:val="00B872B0"/>
    <w:rsid w:val="00B873A2"/>
    <w:rsid w:val="00B87440"/>
    <w:rsid w:val="00B875F5"/>
    <w:rsid w:val="00B8763D"/>
    <w:rsid w:val="00B87664"/>
    <w:rsid w:val="00B876C5"/>
    <w:rsid w:val="00B87734"/>
    <w:rsid w:val="00B87799"/>
    <w:rsid w:val="00B8779B"/>
    <w:rsid w:val="00B8782E"/>
    <w:rsid w:val="00B878C0"/>
    <w:rsid w:val="00B879CE"/>
    <w:rsid w:val="00B87A89"/>
    <w:rsid w:val="00B87B59"/>
    <w:rsid w:val="00B87C5D"/>
    <w:rsid w:val="00B87C75"/>
    <w:rsid w:val="00B87CD1"/>
    <w:rsid w:val="00B87F50"/>
    <w:rsid w:val="00B87F8D"/>
    <w:rsid w:val="00B900BA"/>
    <w:rsid w:val="00B901CA"/>
    <w:rsid w:val="00B902C2"/>
    <w:rsid w:val="00B903D3"/>
    <w:rsid w:val="00B9058B"/>
    <w:rsid w:val="00B90590"/>
    <w:rsid w:val="00B90755"/>
    <w:rsid w:val="00B907D7"/>
    <w:rsid w:val="00B908BE"/>
    <w:rsid w:val="00B909C0"/>
    <w:rsid w:val="00B909F1"/>
    <w:rsid w:val="00B90A92"/>
    <w:rsid w:val="00B90B07"/>
    <w:rsid w:val="00B90B65"/>
    <w:rsid w:val="00B90B6F"/>
    <w:rsid w:val="00B90E7F"/>
    <w:rsid w:val="00B90EAB"/>
    <w:rsid w:val="00B91095"/>
    <w:rsid w:val="00B91109"/>
    <w:rsid w:val="00B91229"/>
    <w:rsid w:val="00B9122C"/>
    <w:rsid w:val="00B91233"/>
    <w:rsid w:val="00B9135C"/>
    <w:rsid w:val="00B916CC"/>
    <w:rsid w:val="00B91730"/>
    <w:rsid w:val="00B91848"/>
    <w:rsid w:val="00B91C4F"/>
    <w:rsid w:val="00B91C6C"/>
    <w:rsid w:val="00B91C89"/>
    <w:rsid w:val="00B91D22"/>
    <w:rsid w:val="00B91E5B"/>
    <w:rsid w:val="00B91EE7"/>
    <w:rsid w:val="00B91F7C"/>
    <w:rsid w:val="00B9204A"/>
    <w:rsid w:val="00B92085"/>
    <w:rsid w:val="00B9209A"/>
    <w:rsid w:val="00B920DD"/>
    <w:rsid w:val="00B920E5"/>
    <w:rsid w:val="00B9237E"/>
    <w:rsid w:val="00B924A3"/>
    <w:rsid w:val="00B924C1"/>
    <w:rsid w:val="00B925E5"/>
    <w:rsid w:val="00B926CE"/>
    <w:rsid w:val="00B926CF"/>
    <w:rsid w:val="00B92766"/>
    <w:rsid w:val="00B92A81"/>
    <w:rsid w:val="00B92A8F"/>
    <w:rsid w:val="00B92A93"/>
    <w:rsid w:val="00B92B05"/>
    <w:rsid w:val="00B92CA2"/>
    <w:rsid w:val="00B92D4B"/>
    <w:rsid w:val="00B92D90"/>
    <w:rsid w:val="00B92EAD"/>
    <w:rsid w:val="00B92F2E"/>
    <w:rsid w:val="00B93019"/>
    <w:rsid w:val="00B9303F"/>
    <w:rsid w:val="00B93186"/>
    <w:rsid w:val="00B9322E"/>
    <w:rsid w:val="00B932CB"/>
    <w:rsid w:val="00B93395"/>
    <w:rsid w:val="00B93424"/>
    <w:rsid w:val="00B9366E"/>
    <w:rsid w:val="00B9368C"/>
    <w:rsid w:val="00B93785"/>
    <w:rsid w:val="00B93798"/>
    <w:rsid w:val="00B93818"/>
    <w:rsid w:val="00B93868"/>
    <w:rsid w:val="00B9388A"/>
    <w:rsid w:val="00B93905"/>
    <w:rsid w:val="00B9390B"/>
    <w:rsid w:val="00B93917"/>
    <w:rsid w:val="00B939EB"/>
    <w:rsid w:val="00B93A17"/>
    <w:rsid w:val="00B93A3A"/>
    <w:rsid w:val="00B93AA7"/>
    <w:rsid w:val="00B93AE1"/>
    <w:rsid w:val="00B93B1D"/>
    <w:rsid w:val="00B93B45"/>
    <w:rsid w:val="00B93BBC"/>
    <w:rsid w:val="00B93C0B"/>
    <w:rsid w:val="00B93F2C"/>
    <w:rsid w:val="00B93FBA"/>
    <w:rsid w:val="00B94014"/>
    <w:rsid w:val="00B9402B"/>
    <w:rsid w:val="00B94182"/>
    <w:rsid w:val="00B941A8"/>
    <w:rsid w:val="00B941D4"/>
    <w:rsid w:val="00B94206"/>
    <w:rsid w:val="00B942A9"/>
    <w:rsid w:val="00B942D1"/>
    <w:rsid w:val="00B942D5"/>
    <w:rsid w:val="00B94307"/>
    <w:rsid w:val="00B94428"/>
    <w:rsid w:val="00B94549"/>
    <w:rsid w:val="00B94568"/>
    <w:rsid w:val="00B9472B"/>
    <w:rsid w:val="00B94924"/>
    <w:rsid w:val="00B94A4E"/>
    <w:rsid w:val="00B94A59"/>
    <w:rsid w:val="00B94A5B"/>
    <w:rsid w:val="00B94B99"/>
    <w:rsid w:val="00B94BD4"/>
    <w:rsid w:val="00B94BE3"/>
    <w:rsid w:val="00B94BF0"/>
    <w:rsid w:val="00B94CA3"/>
    <w:rsid w:val="00B94EDE"/>
    <w:rsid w:val="00B94FE4"/>
    <w:rsid w:val="00B950CE"/>
    <w:rsid w:val="00B9511D"/>
    <w:rsid w:val="00B951E9"/>
    <w:rsid w:val="00B95223"/>
    <w:rsid w:val="00B95287"/>
    <w:rsid w:val="00B953C6"/>
    <w:rsid w:val="00B953DC"/>
    <w:rsid w:val="00B95480"/>
    <w:rsid w:val="00B954BA"/>
    <w:rsid w:val="00B9551D"/>
    <w:rsid w:val="00B9569F"/>
    <w:rsid w:val="00B956BC"/>
    <w:rsid w:val="00B95779"/>
    <w:rsid w:val="00B957C5"/>
    <w:rsid w:val="00B95889"/>
    <w:rsid w:val="00B95914"/>
    <w:rsid w:val="00B95958"/>
    <w:rsid w:val="00B95A45"/>
    <w:rsid w:val="00B95A49"/>
    <w:rsid w:val="00B95AE6"/>
    <w:rsid w:val="00B95D0D"/>
    <w:rsid w:val="00B95DA5"/>
    <w:rsid w:val="00B95EAC"/>
    <w:rsid w:val="00B95EC2"/>
    <w:rsid w:val="00B95F0F"/>
    <w:rsid w:val="00B9604B"/>
    <w:rsid w:val="00B96218"/>
    <w:rsid w:val="00B96255"/>
    <w:rsid w:val="00B962BF"/>
    <w:rsid w:val="00B962DE"/>
    <w:rsid w:val="00B96311"/>
    <w:rsid w:val="00B9644F"/>
    <w:rsid w:val="00B96629"/>
    <w:rsid w:val="00B966C3"/>
    <w:rsid w:val="00B966CD"/>
    <w:rsid w:val="00B96726"/>
    <w:rsid w:val="00B96767"/>
    <w:rsid w:val="00B96773"/>
    <w:rsid w:val="00B96817"/>
    <w:rsid w:val="00B969C3"/>
    <w:rsid w:val="00B969E9"/>
    <w:rsid w:val="00B96B48"/>
    <w:rsid w:val="00B96D72"/>
    <w:rsid w:val="00B96D74"/>
    <w:rsid w:val="00B96E83"/>
    <w:rsid w:val="00B96F41"/>
    <w:rsid w:val="00B9705F"/>
    <w:rsid w:val="00B97123"/>
    <w:rsid w:val="00B97152"/>
    <w:rsid w:val="00B972F0"/>
    <w:rsid w:val="00B9731F"/>
    <w:rsid w:val="00B9733B"/>
    <w:rsid w:val="00B9740D"/>
    <w:rsid w:val="00B9744B"/>
    <w:rsid w:val="00B9763A"/>
    <w:rsid w:val="00B976CB"/>
    <w:rsid w:val="00B97727"/>
    <w:rsid w:val="00B978AB"/>
    <w:rsid w:val="00B978AF"/>
    <w:rsid w:val="00B97954"/>
    <w:rsid w:val="00B97AC8"/>
    <w:rsid w:val="00B97AFE"/>
    <w:rsid w:val="00B97B06"/>
    <w:rsid w:val="00B97B49"/>
    <w:rsid w:val="00B97BB5"/>
    <w:rsid w:val="00B97BE1"/>
    <w:rsid w:val="00B97D9F"/>
    <w:rsid w:val="00B97DB1"/>
    <w:rsid w:val="00B97E13"/>
    <w:rsid w:val="00B97EBB"/>
    <w:rsid w:val="00BA00CC"/>
    <w:rsid w:val="00BA021B"/>
    <w:rsid w:val="00BA025A"/>
    <w:rsid w:val="00BA02CC"/>
    <w:rsid w:val="00BA0338"/>
    <w:rsid w:val="00BA0537"/>
    <w:rsid w:val="00BA063B"/>
    <w:rsid w:val="00BA0691"/>
    <w:rsid w:val="00BA079F"/>
    <w:rsid w:val="00BA084A"/>
    <w:rsid w:val="00BA08A2"/>
    <w:rsid w:val="00BA08EB"/>
    <w:rsid w:val="00BA098F"/>
    <w:rsid w:val="00BA09CE"/>
    <w:rsid w:val="00BA0B8A"/>
    <w:rsid w:val="00BA0BA6"/>
    <w:rsid w:val="00BA0D13"/>
    <w:rsid w:val="00BA0D70"/>
    <w:rsid w:val="00BA0D80"/>
    <w:rsid w:val="00BA0D98"/>
    <w:rsid w:val="00BA0DC2"/>
    <w:rsid w:val="00BA0E5E"/>
    <w:rsid w:val="00BA0F43"/>
    <w:rsid w:val="00BA0F45"/>
    <w:rsid w:val="00BA0F8F"/>
    <w:rsid w:val="00BA1154"/>
    <w:rsid w:val="00BA11EB"/>
    <w:rsid w:val="00BA1554"/>
    <w:rsid w:val="00BA1566"/>
    <w:rsid w:val="00BA15A2"/>
    <w:rsid w:val="00BA163D"/>
    <w:rsid w:val="00BA1678"/>
    <w:rsid w:val="00BA16C5"/>
    <w:rsid w:val="00BA171B"/>
    <w:rsid w:val="00BA1792"/>
    <w:rsid w:val="00BA18E4"/>
    <w:rsid w:val="00BA19C9"/>
    <w:rsid w:val="00BA19FE"/>
    <w:rsid w:val="00BA1A63"/>
    <w:rsid w:val="00BA1B94"/>
    <w:rsid w:val="00BA1BE6"/>
    <w:rsid w:val="00BA1C13"/>
    <w:rsid w:val="00BA1C3B"/>
    <w:rsid w:val="00BA1DD7"/>
    <w:rsid w:val="00BA1ED9"/>
    <w:rsid w:val="00BA20C9"/>
    <w:rsid w:val="00BA2124"/>
    <w:rsid w:val="00BA21A8"/>
    <w:rsid w:val="00BA2442"/>
    <w:rsid w:val="00BA249A"/>
    <w:rsid w:val="00BA264D"/>
    <w:rsid w:val="00BA267E"/>
    <w:rsid w:val="00BA26D1"/>
    <w:rsid w:val="00BA2725"/>
    <w:rsid w:val="00BA27C7"/>
    <w:rsid w:val="00BA2884"/>
    <w:rsid w:val="00BA29A2"/>
    <w:rsid w:val="00BA29D2"/>
    <w:rsid w:val="00BA2B7C"/>
    <w:rsid w:val="00BA2B96"/>
    <w:rsid w:val="00BA2D03"/>
    <w:rsid w:val="00BA2D95"/>
    <w:rsid w:val="00BA2DFD"/>
    <w:rsid w:val="00BA30A9"/>
    <w:rsid w:val="00BA30C5"/>
    <w:rsid w:val="00BA30C6"/>
    <w:rsid w:val="00BA30C9"/>
    <w:rsid w:val="00BA316E"/>
    <w:rsid w:val="00BA31C6"/>
    <w:rsid w:val="00BA324E"/>
    <w:rsid w:val="00BA3260"/>
    <w:rsid w:val="00BA3278"/>
    <w:rsid w:val="00BA32CD"/>
    <w:rsid w:val="00BA342E"/>
    <w:rsid w:val="00BA3545"/>
    <w:rsid w:val="00BA3546"/>
    <w:rsid w:val="00BA37EC"/>
    <w:rsid w:val="00BA3880"/>
    <w:rsid w:val="00BA38A0"/>
    <w:rsid w:val="00BA38AD"/>
    <w:rsid w:val="00BA3914"/>
    <w:rsid w:val="00BA397D"/>
    <w:rsid w:val="00BA39F3"/>
    <w:rsid w:val="00BA3B09"/>
    <w:rsid w:val="00BA3B11"/>
    <w:rsid w:val="00BA3BF6"/>
    <w:rsid w:val="00BA3BFE"/>
    <w:rsid w:val="00BA3C0F"/>
    <w:rsid w:val="00BA3C15"/>
    <w:rsid w:val="00BA3C31"/>
    <w:rsid w:val="00BA3E07"/>
    <w:rsid w:val="00BA3E3A"/>
    <w:rsid w:val="00BA4159"/>
    <w:rsid w:val="00BA4196"/>
    <w:rsid w:val="00BA4523"/>
    <w:rsid w:val="00BA463E"/>
    <w:rsid w:val="00BA470B"/>
    <w:rsid w:val="00BA4824"/>
    <w:rsid w:val="00BA4865"/>
    <w:rsid w:val="00BA48A9"/>
    <w:rsid w:val="00BA4A16"/>
    <w:rsid w:val="00BA4AF6"/>
    <w:rsid w:val="00BA4BE5"/>
    <w:rsid w:val="00BA4C71"/>
    <w:rsid w:val="00BA4DA1"/>
    <w:rsid w:val="00BA4E61"/>
    <w:rsid w:val="00BA4F10"/>
    <w:rsid w:val="00BA50CC"/>
    <w:rsid w:val="00BA5278"/>
    <w:rsid w:val="00BA53A0"/>
    <w:rsid w:val="00BA53CA"/>
    <w:rsid w:val="00BA5569"/>
    <w:rsid w:val="00BA5905"/>
    <w:rsid w:val="00BA598D"/>
    <w:rsid w:val="00BA5A81"/>
    <w:rsid w:val="00BA5AE0"/>
    <w:rsid w:val="00BA5AE7"/>
    <w:rsid w:val="00BA5CFA"/>
    <w:rsid w:val="00BA5E22"/>
    <w:rsid w:val="00BA5EAE"/>
    <w:rsid w:val="00BA5FC0"/>
    <w:rsid w:val="00BA5FE9"/>
    <w:rsid w:val="00BA6018"/>
    <w:rsid w:val="00BA606F"/>
    <w:rsid w:val="00BA61AB"/>
    <w:rsid w:val="00BA61BC"/>
    <w:rsid w:val="00BA634E"/>
    <w:rsid w:val="00BA64E9"/>
    <w:rsid w:val="00BA6557"/>
    <w:rsid w:val="00BA6835"/>
    <w:rsid w:val="00BA683B"/>
    <w:rsid w:val="00BA695D"/>
    <w:rsid w:val="00BA6B01"/>
    <w:rsid w:val="00BA6BC9"/>
    <w:rsid w:val="00BA6BDC"/>
    <w:rsid w:val="00BA6CB4"/>
    <w:rsid w:val="00BA6EF2"/>
    <w:rsid w:val="00BA7072"/>
    <w:rsid w:val="00BA70A1"/>
    <w:rsid w:val="00BA738F"/>
    <w:rsid w:val="00BA73B3"/>
    <w:rsid w:val="00BA73C8"/>
    <w:rsid w:val="00BA755A"/>
    <w:rsid w:val="00BA757B"/>
    <w:rsid w:val="00BA7843"/>
    <w:rsid w:val="00BA7887"/>
    <w:rsid w:val="00BA78BC"/>
    <w:rsid w:val="00BA78F7"/>
    <w:rsid w:val="00BA79DF"/>
    <w:rsid w:val="00BA7A55"/>
    <w:rsid w:val="00BA7B59"/>
    <w:rsid w:val="00BA7B5D"/>
    <w:rsid w:val="00BA7CF8"/>
    <w:rsid w:val="00BA7E5F"/>
    <w:rsid w:val="00BA7F97"/>
    <w:rsid w:val="00BB041E"/>
    <w:rsid w:val="00BB04BC"/>
    <w:rsid w:val="00BB04C6"/>
    <w:rsid w:val="00BB057E"/>
    <w:rsid w:val="00BB05A2"/>
    <w:rsid w:val="00BB05D3"/>
    <w:rsid w:val="00BB083F"/>
    <w:rsid w:val="00BB0855"/>
    <w:rsid w:val="00BB093B"/>
    <w:rsid w:val="00BB095A"/>
    <w:rsid w:val="00BB09CB"/>
    <w:rsid w:val="00BB0A74"/>
    <w:rsid w:val="00BB0AB3"/>
    <w:rsid w:val="00BB0AC1"/>
    <w:rsid w:val="00BB0AC5"/>
    <w:rsid w:val="00BB0B2D"/>
    <w:rsid w:val="00BB0BB0"/>
    <w:rsid w:val="00BB0C90"/>
    <w:rsid w:val="00BB0CC3"/>
    <w:rsid w:val="00BB0E12"/>
    <w:rsid w:val="00BB1095"/>
    <w:rsid w:val="00BB1177"/>
    <w:rsid w:val="00BB117B"/>
    <w:rsid w:val="00BB124F"/>
    <w:rsid w:val="00BB1256"/>
    <w:rsid w:val="00BB1403"/>
    <w:rsid w:val="00BB1500"/>
    <w:rsid w:val="00BB15CD"/>
    <w:rsid w:val="00BB1695"/>
    <w:rsid w:val="00BB16D6"/>
    <w:rsid w:val="00BB16FA"/>
    <w:rsid w:val="00BB1735"/>
    <w:rsid w:val="00BB1782"/>
    <w:rsid w:val="00BB1803"/>
    <w:rsid w:val="00BB180A"/>
    <w:rsid w:val="00BB1812"/>
    <w:rsid w:val="00BB183F"/>
    <w:rsid w:val="00BB1BAA"/>
    <w:rsid w:val="00BB1BED"/>
    <w:rsid w:val="00BB1BFC"/>
    <w:rsid w:val="00BB1C4B"/>
    <w:rsid w:val="00BB1D62"/>
    <w:rsid w:val="00BB1DC4"/>
    <w:rsid w:val="00BB1ECD"/>
    <w:rsid w:val="00BB1ED2"/>
    <w:rsid w:val="00BB202D"/>
    <w:rsid w:val="00BB20E0"/>
    <w:rsid w:val="00BB2185"/>
    <w:rsid w:val="00BB2236"/>
    <w:rsid w:val="00BB24B7"/>
    <w:rsid w:val="00BB252E"/>
    <w:rsid w:val="00BB258D"/>
    <w:rsid w:val="00BB271B"/>
    <w:rsid w:val="00BB27B2"/>
    <w:rsid w:val="00BB2883"/>
    <w:rsid w:val="00BB28AB"/>
    <w:rsid w:val="00BB2A3E"/>
    <w:rsid w:val="00BB2A4C"/>
    <w:rsid w:val="00BB2B07"/>
    <w:rsid w:val="00BB2B50"/>
    <w:rsid w:val="00BB2C0D"/>
    <w:rsid w:val="00BB2C5F"/>
    <w:rsid w:val="00BB2CFA"/>
    <w:rsid w:val="00BB2D1F"/>
    <w:rsid w:val="00BB2E28"/>
    <w:rsid w:val="00BB2E78"/>
    <w:rsid w:val="00BB30BC"/>
    <w:rsid w:val="00BB3122"/>
    <w:rsid w:val="00BB312B"/>
    <w:rsid w:val="00BB3147"/>
    <w:rsid w:val="00BB31A8"/>
    <w:rsid w:val="00BB31DB"/>
    <w:rsid w:val="00BB332E"/>
    <w:rsid w:val="00BB3381"/>
    <w:rsid w:val="00BB33CE"/>
    <w:rsid w:val="00BB3541"/>
    <w:rsid w:val="00BB354F"/>
    <w:rsid w:val="00BB3567"/>
    <w:rsid w:val="00BB36B7"/>
    <w:rsid w:val="00BB372F"/>
    <w:rsid w:val="00BB3ABE"/>
    <w:rsid w:val="00BB3AF6"/>
    <w:rsid w:val="00BB3B2C"/>
    <w:rsid w:val="00BB3B4A"/>
    <w:rsid w:val="00BB3BA1"/>
    <w:rsid w:val="00BB3C2A"/>
    <w:rsid w:val="00BB3C87"/>
    <w:rsid w:val="00BB3CD5"/>
    <w:rsid w:val="00BB4008"/>
    <w:rsid w:val="00BB4018"/>
    <w:rsid w:val="00BB402C"/>
    <w:rsid w:val="00BB403B"/>
    <w:rsid w:val="00BB4075"/>
    <w:rsid w:val="00BB4136"/>
    <w:rsid w:val="00BB413F"/>
    <w:rsid w:val="00BB414E"/>
    <w:rsid w:val="00BB4330"/>
    <w:rsid w:val="00BB437F"/>
    <w:rsid w:val="00BB43E9"/>
    <w:rsid w:val="00BB44AB"/>
    <w:rsid w:val="00BB45A9"/>
    <w:rsid w:val="00BB45AE"/>
    <w:rsid w:val="00BB45C9"/>
    <w:rsid w:val="00BB4612"/>
    <w:rsid w:val="00BB475D"/>
    <w:rsid w:val="00BB482A"/>
    <w:rsid w:val="00BB489C"/>
    <w:rsid w:val="00BB4A95"/>
    <w:rsid w:val="00BB4B8F"/>
    <w:rsid w:val="00BB4BFA"/>
    <w:rsid w:val="00BB4C22"/>
    <w:rsid w:val="00BB4DE4"/>
    <w:rsid w:val="00BB4E29"/>
    <w:rsid w:val="00BB4E43"/>
    <w:rsid w:val="00BB4F3D"/>
    <w:rsid w:val="00BB4FFC"/>
    <w:rsid w:val="00BB50C6"/>
    <w:rsid w:val="00BB5122"/>
    <w:rsid w:val="00BB5136"/>
    <w:rsid w:val="00BB515E"/>
    <w:rsid w:val="00BB5197"/>
    <w:rsid w:val="00BB51E5"/>
    <w:rsid w:val="00BB51E9"/>
    <w:rsid w:val="00BB539F"/>
    <w:rsid w:val="00BB5411"/>
    <w:rsid w:val="00BB54A9"/>
    <w:rsid w:val="00BB5561"/>
    <w:rsid w:val="00BB5739"/>
    <w:rsid w:val="00BB5762"/>
    <w:rsid w:val="00BB5765"/>
    <w:rsid w:val="00BB5772"/>
    <w:rsid w:val="00BB5842"/>
    <w:rsid w:val="00BB589E"/>
    <w:rsid w:val="00BB590B"/>
    <w:rsid w:val="00BB599D"/>
    <w:rsid w:val="00BB59CD"/>
    <w:rsid w:val="00BB5A23"/>
    <w:rsid w:val="00BB5A24"/>
    <w:rsid w:val="00BB5A77"/>
    <w:rsid w:val="00BB5E8E"/>
    <w:rsid w:val="00BB5EB8"/>
    <w:rsid w:val="00BB5ED9"/>
    <w:rsid w:val="00BB6019"/>
    <w:rsid w:val="00BB60AE"/>
    <w:rsid w:val="00BB6164"/>
    <w:rsid w:val="00BB6178"/>
    <w:rsid w:val="00BB6205"/>
    <w:rsid w:val="00BB626B"/>
    <w:rsid w:val="00BB62E9"/>
    <w:rsid w:val="00BB64D9"/>
    <w:rsid w:val="00BB661D"/>
    <w:rsid w:val="00BB662F"/>
    <w:rsid w:val="00BB66E5"/>
    <w:rsid w:val="00BB670E"/>
    <w:rsid w:val="00BB6720"/>
    <w:rsid w:val="00BB67CD"/>
    <w:rsid w:val="00BB6867"/>
    <w:rsid w:val="00BB686E"/>
    <w:rsid w:val="00BB68CD"/>
    <w:rsid w:val="00BB68D2"/>
    <w:rsid w:val="00BB6931"/>
    <w:rsid w:val="00BB6A3A"/>
    <w:rsid w:val="00BB6AA1"/>
    <w:rsid w:val="00BB6B8D"/>
    <w:rsid w:val="00BB6E16"/>
    <w:rsid w:val="00BB6F5E"/>
    <w:rsid w:val="00BB6FCE"/>
    <w:rsid w:val="00BB71F6"/>
    <w:rsid w:val="00BB7282"/>
    <w:rsid w:val="00BB7319"/>
    <w:rsid w:val="00BB73E6"/>
    <w:rsid w:val="00BB73FA"/>
    <w:rsid w:val="00BB7489"/>
    <w:rsid w:val="00BB74A7"/>
    <w:rsid w:val="00BB7549"/>
    <w:rsid w:val="00BB7754"/>
    <w:rsid w:val="00BB7860"/>
    <w:rsid w:val="00BB7ADC"/>
    <w:rsid w:val="00BB7B20"/>
    <w:rsid w:val="00BB7BC7"/>
    <w:rsid w:val="00BB7C40"/>
    <w:rsid w:val="00BB7D5A"/>
    <w:rsid w:val="00BB7F00"/>
    <w:rsid w:val="00BC00A5"/>
    <w:rsid w:val="00BC017F"/>
    <w:rsid w:val="00BC0211"/>
    <w:rsid w:val="00BC0270"/>
    <w:rsid w:val="00BC02A6"/>
    <w:rsid w:val="00BC04AA"/>
    <w:rsid w:val="00BC0561"/>
    <w:rsid w:val="00BC05DE"/>
    <w:rsid w:val="00BC0654"/>
    <w:rsid w:val="00BC065F"/>
    <w:rsid w:val="00BC070D"/>
    <w:rsid w:val="00BC07A6"/>
    <w:rsid w:val="00BC081D"/>
    <w:rsid w:val="00BC0A2B"/>
    <w:rsid w:val="00BC0A34"/>
    <w:rsid w:val="00BC0C54"/>
    <w:rsid w:val="00BC0D24"/>
    <w:rsid w:val="00BC0D6D"/>
    <w:rsid w:val="00BC0DF5"/>
    <w:rsid w:val="00BC0F2B"/>
    <w:rsid w:val="00BC0FCE"/>
    <w:rsid w:val="00BC11C4"/>
    <w:rsid w:val="00BC11FE"/>
    <w:rsid w:val="00BC12A2"/>
    <w:rsid w:val="00BC12C5"/>
    <w:rsid w:val="00BC1318"/>
    <w:rsid w:val="00BC140C"/>
    <w:rsid w:val="00BC1424"/>
    <w:rsid w:val="00BC15CB"/>
    <w:rsid w:val="00BC1609"/>
    <w:rsid w:val="00BC1631"/>
    <w:rsid w:val="00BC171F"/>
    <w:rsid w:val="00BC1760"/>
    <w:rsid w:val="00BC17B4"/>
    <w:rsid w:val="00BC1836"/>
    <w:rsid w:val="00BC1895"/>
    <w:rsid w:val="00BC18C2"/>
    <w:rsid w:val="00BC19C6"/>
    <w:rsid w:val="00BC1BAB"/>
    <w:rsid w:val="00BC1C01"/>
    <w:rsid w:val="00BC1C1D"/>
    <w:rsid w:val="00BC1C87"/>
    <w:rsid w:val="00BC1D04"/>
    <w:rsid w:val="00BC1D39"/>
    <w:rsid w:val="00BC1D72"/>
    <w:rsid w:val="00BC1E61"/>
    <w:rsid w:val="00BC1EE1"/>
    <w:rsid w:val="00BC1F6D"/>
    <w:rsid w:val="00BC21CC"/>
    <w:rsid w:val="00BC23F3"/>
    <w:rsid w:val="00BC24AE"/>
    <w:rsid w:val="00BC2626"/>
    <w:rsid w:val="00BC2768"/>
    <w:rsid w:val="00BC27AC"/>
    <w:rsid w:val="00BC27B3"/>
    <w:rsid w:val="00BC27FE"/>
    <w:rsid w:val="00BC2850"/>
    <w:rsid w:val="00BC2982"/>
    <w:rsid w:val="00BC29A6"/>
    <w:rsid w:val="00BC2A1A"/>
    <w:rsid w:val="00BC2A35"/>
    <w:rsid w:val="00BC2A60"/>
    <w:rsid w:val="00BC2A73"/>
    <w:rsid w:val="00BC2E74"/>
    <w:rsid w:val="00BC2EEB"/>
    <w:rsid w:val="00BC308C"/>
    <w:rsid w:val="00BC30E8"/>
    <w:rsid w:val="00BC3254"/>
    <w:rsid w:val="00BC3270"/>
    <w:rsid w:val="00BC33E8"/>
    <w:rsid w:val="00BC33F4"/>
    <w:rsid w:val="00BC3609"/>
    <w:rsid w:val="00BC3710"/>
    <w:rsid w:val="00BC380B"/>
    <w:rsid w:val="00BC383A"/>
    <w:rsid w:val="00BC3883"/>
    <w:rsid w:val="00BC38BB"/>
    <w:rsid w:val="00BC3A1A"/>
    <w:rsid w:val="00BC3C31"/>
    <w:rsid w:val="00BC3C70"/>
    <w:rsid w:val="00BC3D1C"/>
    <w:rsid w:val="00BC3D42"/>
    <w:rsid w:val="00BC3E95"/>
    <w:rsid w:val="00BC3F17"/>
    <w:rsid w:val="00BC3F41"/>
    <w:rsid w:val="00BC3F96"/>
    <w:rsid w:val="00BC405E"/>
    <w:rsid w:val="00BC40BB"/>
    <w:rsid w:val="00BC4185"/>
    <w:rsid w:val="00BC41C0"/>
    <w:rsid w:val="00BC4206"/>
    <w:rsid w:val="00BC4251"/>
    <w:rsid w:val="00BC429B"/>
    <w:rsid w:val="00BC42C5"/>
    <w:rsid w:val="00BC4402"/>
    <w:rsid w:val="00BC4438"/>
    <w:rsid w:val="00BC44F3"/>
    <w:rsid w:val="00BC4559"/>
    <w:rsid w:val="00BC4738"/>
    <w:rsid w:val="00BC4764"/>
    <w:rsid w:val="00BC480E"/>
    <w:rsid w:val="00BC4846"/>
    <w:rsid w:val="00BC48DE"/>
    <w:rsid w:val="00BC4905"/>
    <w:rsid w:val="00BC4A1D"/>
    <w:rsid w:val="00BC4A74"/>
    <w:rsid w:val="00BC4A90"/>
    <w:rsid w:val="00BC4C47"/>
    <w:rsid w:val="00BC4C8C"/>
    <w:rsid w:val="00BC4D0C"/>
    <w:rsid w:val="00BC4D22"/>
    <w:rsid w:val="00BC4E11"/>
    <w:rsid w:val="00BC4FC2"/>
    <w:rsid w:val="00BC4FC6"/>
    <w:rsid w:val="00BC510F"/>
    <w:rsid w:val="00BC516B"/>
    <w:rsid w:val="00BC526A"/>
    <w:rsid w:val="00BC53CA"/>
    <w:rsid w:val="00BC5443"/>
    <w:rsid w:val="00BC545C"/>
    <w:rsid w:val="00BC545E"/>
    <w:rsid w:val="00BC54CE"/>
    <w:rsid w:val="00BC5531"/>
    <w:rsid w:val="00BC55B7"/>
    <w:rsid w:val="00BC56C0"/>
    <w:rsid w:val="00BC56F7"/>
    <w:rsid w:val="00BC570C"/>
    <w:rsid w:val="00BC5781"/>
    <w:rsid w:val="00BC57E8"/>
    <w:rsid w:val="00BC5952"/>
    <w:rsid w:val="00BC5A6A"/>
    <w:rsid w:val="00BC5AA1"/>
    <w:rsid w:val="00BC5B26"/>
    <w:rsid w:val="00BC5D3B"/>
    <w:rsid w:val="00BC5D83"/>
    <w:rsid w:val="00BC5E37"/>
    <w:rsid w:val="00BC5F7A"/>
    <w:rsid w:val="00BC5FD8"/>
    <w:rsid w:val="00BC5FDD"/>
    <w:rsid w:val="00BC614F"/>
    <w:rsid w:val="00BC61B6"/>
    <w:rsid w:val="00BC61C6"/>
    <w:rsid w:val="00BC61C7"/>
    <w:rsid w:val="00BC62F4"/>
    <w:rsid w:val="00BC6316"/>
    <w:rsid w:val="00BC6384"/>
    <w:rsid w:val="00BC63CD"/>
    <w:rsid w:val="00BC6480"/>
    <w:rsid w:val="00BC6617"/>
    <w:rsid w:val="00BC662F"/>
    <w:rsid w:val="00BC6724"/>
    <w:rsid w:val="00BC6759"/>
    <w:rsid w:val="00BC6794"/>
    <w:rsid w:val="00BC681B"/>
    <w:rsid w:val="00BC6860"/>
    <w:rsid w:val="00BC694A"/>
    <w:rsid w:val="00BC6B13"/>
    <w:rsid w:val="00BC6B5D"/>
    <w:rsid w:val="00BC6E80"/>
    <w:rsid w:val="00BC6F04"/>
    <w:rsid w:val="00BC6F31"/>
    <w:rsid w:val="00BC6FFE"/>
    <w:rsid w:val="00BC704A"/>
    <w:rsid w:val="00BC7069"/>
    <w:rsid w:val="00BC7247"/>
    <w:rsid w:val="00BC7275"/>
    <w:rsid w:val="00BC7619"/>
    <w:rsid w:val="00BC7641"/>
    <w:rsid w:val="00BC767B"/>
    <w:rsid w:val="00BC76F1"/>
    <w:rsid w:val="00BC7789"/>
    <w:rsid w:val="00BC779D"/>
    <w:rsid w:val="00BC77EE"/>
    <w:rsid w:val="00BC7937"/>
    <w:rsid w:val="00BC7939"/>
    <w:rsid w:val="00BC7A65"/>
    <w:rsid w:val="00BC7C10"/>
    <w:rsid w:val="00BC7CBA"/>
    <w:rsid w:val="00BC7CCB"/>
    <w:rsid w:val="00BC7D38"/>
    <w:rsid w:val="00BC7DFA"/>
    <w:rsid w:val="00BC7F4D"/>
    <w:rsid w:val="00BC7F55"/>
    <w:rsid w:val="00BC7FF0"/>
    <w:rsid w:val="00BD002D"/>
    <w:rsid w:val="00BD011B"/>
    <w:rsid w:val="00BD01D9"/>
    <w:rsid w:val="00BD0209"/>
    <w:rsid w:val="00BD02EB"/>
    <w:rsid w:val="00BD02FE"/>
    <w:rsid w:val="00BD0326"/>
    <w:rsid w:val="00BD032B"/>
    <w:rsid w:val="00BD0395"/>
    <w:rsid w:val="00BD03AD"/>
    <w:rsid w:val="00BD03D7"/>
    <w:rsid w:val="00BD043F"/>
    <w:rsid w:val="00BD0572"/>
    <w:rsid w:val="00BD063B"/>
    <w:rsid w:val="00BD0651"/>
    <w:rsid w:val="00BD07FB"/>
    <w:rsid w:val="00BD088F"/>
    <w:rsid w:val="00BD0B64"/>
    <w:rsid w:val="00BD0BD3"/>
    <w:rsid w:val="00BD0CF7"/>
    <w:rsid w:val="00BD0D8E"/>
    <w:rsid w:val="00BD0D95"/>
    <w:rsid w:val="00BD0E10"/>
    <w:rsid w:val="00BD0E20"/>
    <w:rsid w:val="00BD0F1B"/>
    <w:rsid w:val="00BD0F53"/>
    <w:rsid w:val="00BD1007"/>
    <w:rsid w:val="00BD1066"/>
    <w:rsid w:val="00BD11B7"/>
    <w:rsid w:val="00BD1344"/>
    <w:rsid w:val="00BD1497"/>
    <w:rsid w:val="00BD156D"/>
    <w:rsid w:val="00BD15D6"/>
    <w:rsid w:val="00BD1868"/>
    <w:rsid w:val="00BD1898"/>
    <w:rsid w:val="00BD18B5"/>
    <w:rsid w:val="00BD19B6"/>
    <w:rsid w:val="00BD1A86"/>
    <w:rsid w:val="00BD1AC5"/>
    <w:rsid w:val="00BD1ADC"/>
    <w:rsid w:val="00BD1D11"/>
    <w:rsid w:val="00BD1D65"/>
    <w:rsid w:val="00BD1DE3"/>
    <w:rsid w:val="00BD1EAF"/>
    <w:rsid w:val="00BD21D8"/>
    <w:rsid w:val="00BD2452"/>
    <w:rsid w:val="00BD245D"/>
    <w:rsid w:val="00BD2557"/>
    <w:rsid w:val="00BD261D"/>
    <w:rsid w:val="00BD266D"/>
    <w:rsid w:val="00BD2A07"/>
    <w:rsid w:val="00BD2D00"/>
    <w:rsid w:val="00BD2DB8"/>
    <w:rsid w:val="00BD2E02"/>
    <w:rsid w:val="00BD2F0C"/>
    <w:rsid w:val="00BD2FF9"/>
    <w:rsid w:val="00BD31D1"/>
    <w:rsid w:val="00BD32CB"/>
    <w:rsid w:val="00BD3336"/>
    <w:rsid w:val="00BD34DE"/>
    <w:rsid w:val="00BD34EE"/>
    <w:rsid w:val="00BD3585"/>
    <w:rsid w:val="00BD3589"/>
    <w:rsid w:val="00BD3607"/>
    <w:rsid w:val="00BD385F"/>
    <w:rsid w:val="00BD38E6"/>
    <w:rsid w:val="00BD3910"/>
    <w:rsid w:val="00BD3AB4"/>
    <w:rsid w:val="00BD3B32"/>
    <w:rsid w:val="00BD3C4A"/>
    <w:rsid w:val="00BD3CE2"/>
    <w:rsid w:val="00BD3CE9"/>
    <w:rsid w:val="00BD3CFB"/>
    <w:rsid w:val="00BD3D70"/>
    <w:rsid w:val="00BD3E76"/>
    <w:rsid w:val="00BD3ECA"/>
    <w:rsid w:val="00BD3EE5"/>
    <w:rsid w:val="00BD3F06"/>
    <w:rsid w:val="00BD3F5B"/>
    <w:rsid w:val="00BD3FD6"/>
    <w:rsid w:val="00BD4092"/>
    <w:rsid w:val="00BD40C5"/>
    <w:rsid w:val="00BD41AF"/>
    <w:rsid w:val="00BD41E5"/>
    <w:rsid w:val="00BD4218"/>
    <w:rsid w:val="00BD439A"/>
    <w:rsid w:val="00BD443C"/>
    <w:rsid w:val="00BD4488"/>
    <w:rsid w:val="00BD4642"/>
    <w:rsid w:val="00BD4646"/>
    <w:rsid w:val="00BD484D"/>
    <w:rsid w:val="00BD4894"/>
    <w:rsid w:val="00BD48A1"/>
    <w:rsid w:val="00BD4A99"/>
    <w:rsid w:val="00BD4B02"/>
    <w:rsid w:val="00BD4EB2"/>
    <w:rsid w:val="00BD5089"/>
    <w:rsid w:val="00BD50E7"/>
    <w:rsid w:val="00BD519A"/>
    <w:rsid w:val="00BD51CA"/>
    <w:rsid w:val="00BD5206"/>
    <w:rsid w:val="00BD523D"/>
    <w:rsid w:val="00BD5305"/>
    <w:rsid w:val="00BD5317"/>
    <w:rsid w:val="00BD53C8"/>
    <w:rsid w:val="00BD540B"/>
    <w:rsid w:val="00BD547A"/>
    <w:rsid w:val="00BD5527"/>
    <w:rsid w:val="00BD5667"/>
    <w:rsid w:val="00BD5737"/>
    <w:rsid w:val="00BD57FD"/>
    <w:rsid w:val="00BD5A88"/>
    <w:rsid w:val="00BD5AED"/>
    <w:rsid w:val="00BD5B60"/>
    <w:rsid w:val="00BD5C73"/>
    <w:rsid w:val="00BD5CBF"/>
    <w:rsid w:val="00BD5F2E"/>
    <w:rsid w:val="00BD5F4C"/>
    <w:rsid w:val="00BD5F6E"/>
    <w:rsid w:val="00BD5F8B"/>
    <w:rsid w:val="00BD5F93"/>
    <w:rsid w:val="00BD6088"/>
    <w:rsid w:val="00BD6145"/>
    <w:rsid w:val="00BD62AB"/>
    <w:rsid w:val="00BD62FF"/>
    <w:rsid w:val="00BD6338"/>
    <w:rsid w:val="00BD6377"/>
    <w:rsid w:val="00BD63BC"/>
    <w:rsid w:val="00BD63E1"/>
    <w:rsid w:val="00BD6487"/>
    <w:rsid w:val="00BD6493"/>
    <w:rsid w:val="00BD6832"/>
    <w:rsid w:val="00BD6891"/>
    <w:rsid w:val="00BD689A"/>
    <w:rsid w:val="00BD694A"/>
    <w:rsid w:val="00BD6958"/>
    <w:rsid w:val="00BD6A89"/>
    <w:rsid w:val="00BD6AAB"/>
    <w:rsid w:val="00BD6B02"/>
    <w:rsid w:val="00BD6B37"/>
    <w:rsid w:val="00BD6BF7"/>
    <w:rsid w:val="00BD6CB2"/>
    <w:rsid w:val="00BD6D08"/>
    <w:rsid w:val="00BD6E41"/>
    <w:rsid w:val="00BD6F06"/>
    <w:rsid w:val="00BD709E"/>
    <w:rsid w:val="00BD7238"/>
    <w:rsid w:val="00BD7279"/>
    <w:rsid w:val="00BD7496"/>
    <w:rsid w:val="00BD756B"/>
    <w:rsid w:val="00BD75AE"/>
    <w:rsid w:val="00BD7616"/>
    <w:rsid w:val="00BD7730"/>
    <w:rsid w:val="00BD77A6"/>
    <w:rsid w:val="00BD7876"/>
    <w:rsid w:val="00BD78E4"/>
    <w:rsid w:val="00BD78E8"/>
    <w:rsid w:val="00BD78F1"/>
    <w:rsid w:val="00BD791E"/>
    <w:rsid w:val="00BD7A4E"/>
    <w:rsid w:val="00BD7A55"/>
    <w:rsid w:val="00BD7B1F"/>
    <w:rsid w:val="00BD7B5A"/>
    <w:rsid w:val="00BD7BC3"/>
    <w:rsid w:val="00BD7C37"/>
    <w:rsid w:val="00BD7D27"/>
    <w:rsid w:val="00BD7D98"/>
    <w:rsid w:val="00BD7DC0"/>
    <w:rsid w:val="00BD7E23"/>
    <w:rsid w:val="00BD7E45"/>
    <w:rsid w:val="00BD7E60"/>
    <w:rsid w:val="00BD7EE3"/>
    <w:rsid w:val="00BD7FA4"/>
    <w:rsid w:val="00BD7FAE"/>
    <w:rsid w:val="00BE001A"/>
    <w:rsid w:val="00BE0131"/>
    <w:rsid w:val="00BE01E6"/>
    <w:rsid w:val="00BE0397"/>
    <w:rsid w:val="00BE0577"/>
    <w:rsid w:val="00BE0717"/>
    <w:rsid w:val="00BE0826"/>
    <w:rsid w:val="00BE0850"/>
    <w:rsid w:val="00BE08F6"/>
    <w:rsid w:val="00BE0918"/>
    <w:rsid w:val="00BE0A9B"/>
    <w:rsid w:val="00BE0AE2"/>
    <w:rsid w:val="00BE0AE3"/>
    <w:rsid w:val="00BE0B76"/>
    <w:rsid w:val="00BE0C0F"/>
    <w:rsid w:val="00BE0DB5"/>
    <w:rsid w:val="00BE1144"/>
    <w:rsid w:val="00BE1196"/>
    <w:rsid w:val="00BE131E"/>
    <w:rsid w:val="00BE1368"/>
    <w:rsid w:val="00BE143C"/>
    <w:rsid w:val="00BE143E"/>
    <w:rsid w:val="00BE143F"/>
    <w:rsid w:val="00BE1593"/>
    <w:rsid w:val="00BE15CC"/>
    <w:rsid w:val="00BE16BC"/>
    <w:rsid w:val="00BE1754"/>
    <w:rsid w:val="00BE17B4"/>
    <w:rsid w:val="00BE1980"/>
    <w:rsid w:val="00BE1A02"/>
    <w:rsid w:val="00BE1B8D"/>
    <w:rsid w:val="00BE1C3C"/>
    <w:rsid w:val="00BE1D2F"/>
    <w:rsid w:val="00BE1F04"/>
    <w:rsid w:val="00BE1FBF"/>
    <w:rsid w:val="00BE1FDA"/>
    <w:rsid w:val="00BE1FF9"/>
    <w:rsid w:val="00BE20C7"/>
    <w:rsid w:val="00BE230D"/>
    <w:rsid w:val="00BE2340"/>
    <w:rsid w:val="00BE2353"/>
    <w:rsid w:val="00BE23C0"/>
    <w:rsid w:val="00BE24C9"/>
    <w:rsid w:val="00BE25D4"/>
    <w:rsid w:val="00BE260A"/>
    <w:rsid w:val="00BE286B"/>
    <w:rsid w:val="00BE28A7"/>
    <w:rsid w:val="00BE2A23"/>
    <w:rsid w:val="00BE2AD0"/>
    <w:rsid w:val="00BE2B6B"/>
    <w:rsid w:val="00BE2C6B"/>
    <w:rsid w:val="00BE2C8F"/>
    <w:rsid w:val="00BE2D99"/>
    <w:rsid w:val="00BE2F02"/>
    <w:rsid w:val="00BE2FA0"/>
    <w:rsid w:val="00BE3221"/>
    <w:rsid w:val="00BE3241"/>
    <w:rsid w:val="00BE3276"/>
    <w:rsid w:val="00BE329B"/>
    <w:rsid w:val="00BE32F0"/>
    <w:rsid w:val="00BE33C7"/>
    <w:rsid w:val="00BE34DE"/>
    <w:rsid w:val="00BE353E"/>
    <w:rsid w:val="00BE359C"/>
    <w:rsid w:val="00BE35E0"/>
    <w:rsid w:val="00BE3618"/>
    <w:rsid w:val="00BE38CC"/>
    <w:rsid w:val="00BE3964"/>
    <w:rsid w:val="00BE3A9B"/>
    <w:rsid w:val="00BE3AAF"/>
    <w:rsid w:val="00BE3C3C"/>
    <w:rsid w:val="00BE3D83"/>
    <w:rsid w:val="00BE3DAD"/>
    <w:rsid w:val="00BE3E83"/>
    <w:rsid w:val="00BE3EAD"/>
    <w:rsid w:val="00BE3F3C"/>
    <w:rsid w:val="00BE3FFA"/>
    <w:rsid w:val="00BE403A"/>
    <w:rsid w:val="00BE408F"/>
    <w:rsid w:val="00BE419E"/>
    <w:rsid w:val="00BE424A"/>
    <w:rsid w:val="00BE44CC"/>
    <w:rsid w:val="00BE4535"/>
    <w:rsid w:val="00BE4582"/>
    <w:rsid w:val="00BE45FF"/>
    <w:rsid w:val="00BE461D"/>
    <w:rsid w:val="00BE464D"/>
    <w:rsid w:val="00BE46B8"/>
    <w:rsid w:val="00BE48A4"/>
    <w:rsid w:val="00BE494F"/>
    <w:rsid w:val="00BE4961"/>
    <w:rsid w:val="00BE4A13"/>
    <w:rsid w:val="00BE4A54"/>
    <w:rsid w:val="00BE4B6E"/>
    <w:rsid w:val="00BE4B8D"/>
    <w:rsid w:val="00BE4D3E"/>
    <w:rsid w:val="00BE4FF7"/>
    <w:rsid w:val="00BE5006"/>
    <w:rsid w:val="00BE5216"/>
    <w:rsid w:val="00BE527F"/>
    <w:rsid w:val="00BE53C9"/>
    <w:rsid w:val="00BE53E0"/>
    <w:rsid w:val="00BE543B"/>
    <w:rsid w:val="00BE5475"/>
    <w:rsid w:val="00BE5594"/>
    <w:rsid w:val="00BE5682"/>
    <w:rsid w:val="00BE57A2"/>
    <w:rsid w:val="00BE57E9"/>
    <w:rsid w:val="00BE5814"/>
    <w:rsid w:val="00BE5821"/>
    <w:rsid w:val="00BE5884"/>
    <w:rsid w:val="00BE5945"/>
    <w:rsid w:val="00BE5957"/>
    <w:rsid w:val="00BE5A1E"/>
    <w:rsid w:val="00BE5AFB"/>
    <w:rsid w:val="00BE5DD4"/>
    <w:rsid w:val="00BE5EAC"/>
    <w:rsid w:val="00BE5F7E"/>
    <w:rsid w:val="00BE61B4"/>
    <w:rsid w:val="00BE61E3"/>
    <w:rsid w:val="00BE636C"/>
    <w:rsid w:val="00BE639B"/>
    <w:rsid w:val="00BE65A6"/>
    <w:rsid w:val="00BE66D5"/>
    <w:rsid w:val="00BE6792"/>
    <w:rsid w:val="00BE67BD"/>
    <w:rsid w:val="00BE67CF"/>
    <w:rsid w:val="00BE67F7"/>
    <w:rsid w:val="00BE68BC"/>
    <w:rsid w:val="00BE68FF"/>
    <w:rsid w:val="00BE6933"/>
    <w:rsid w:val="00BE69F7"/>
    <w:rsid w:val="00BE6AC7"/>
    <w:rsid w:val="00BE6CAA"/>
    <w:rsid w:val="00BE6D2D"/>
    <w:rsid w:val="00BE6D32"/>
    <w:rsid w:val="00BE6ED6"/>
    <w:rsid w:val="00BE6F01"/>
    <w:rsid w:val="00BE6FA8"/>
    <w:rsid w:val="00BE7147"/>
    <w:rsid w:val="00BE7340"/>
    <w:rsid w:val="00BE7370"/>
    <w:rsid w:val="00BE7443"/>
    <w:rsid w:val="00BE76AE"/>
    <w:rsid w:val="00BE76C4"/>
    <w:rsid w:val="00BE76CD"/>
    <w:rsid w:val="00BE76D6"/>
    <w:rsid w:val="00BE76E6"/>
    <w:rsid w:val="00BE77AB"/>
    <w:rsid w:val="00BE79BA"/>
    <w:rsid w:val="00BE7B5E"/>
    <w:rsid w:val="00BE7BED"/>
    <w:rsid w:val="00BE7CFA"/>
    <w:rsid w:val="00BE7D26"/>
    <w:rsid w:val="00BE7E13"/>
    <w:rsid w:val="00BE7E61"/>
    <w:rsid w:val="00BE7F52"/>
    <w:rsid w:val="00BE7FF4"/>
    <w:rsid w:val="00BF0139"/>
    <w:rsid w:val="00BF0165"/>
    <w:rsid w:val="00BF027E"/>
    <w:rsid w:val="00BF064F"/>
    <w:rsid w:val="00BF06A0"/>
    <w:rsid w:val="00BF0756"/>
    <w:rsid w:val="00BF078F"/>
    <w:rsid w:val="00BF07C9"/>
    <w:rsid w:val="00BF0800"/>
    <w:rsid w:val="00BF082A"/>
    <w:rsid w:val="00BF0835"/>
    <w:rsid w:val="00BF08A5"/>
    <w:rsid w:val="00BF091B"/>
    <w:rsid w:val="00BF0934"/>
    <w:rsid w:val="00BF0A5F"/>
    <w:rsid w:val="00BF0ABE"/>
    <w:rsid w:val="00BF0C3C"/>
    <w:rsid w:val="00BF0DB3"/>
    <w:rsid w:val="00BF0E30"/>
    <w:rsid w:val="00BF0E98"/>
    <w:rsid w:val="00BF0F44"/>
    <w:rsid w:val="00BF145F"/>
    <w:rsid w:val="00BF1476"/>
    <w:rsid w:val="00BF14F9"/>
    <w:rsid w:val="00BF1535"/>
    <w:rsid w:val="00BF1713"/>
    <w:rsid w:val="00BF181C"/>
    <w:rsid w:val="00BF182D"/>
    <w:rsid w:val="00BF1919"/>
    <w:rsid w:val="00BF196B"/>
    <w:rsid w:val="00BF1A6E"/>
    <w:rsid w:val="00BF1B31"/>
    <w:rsid w:val="00BF1C74"/>
    <w:rsid w:val="00BF1CF8"/>
    <w:rsid w:val="00BF1E7B"/>
    <w:rsid w:val="00BF1E9C"/>
    <w:rsid w:val="00BF1FAD"/>
    <w:rsid w:val="00BF2136"/>
    <w:rsid w:val="00BF2139"/>
    <w:rsid w:val="00BF2158"/>
    <w:rsid w:val="00BF23CE"/>
    <w:rsid w:val="00BF23DF"/>
    <w:rsid w:val="00BF242F"/>
    <w:rsid w:val="00BF24BA"/>
    <w:rsid w:val="00BF2502"/>
    <w:rsid w:val="00BF2520"/>
    <w:rsid w:val="00BF257E"/>
    <w:rsid w:val="00BF263E"/>
    <w:rsid w:val="00BF26D5"/>
    <w:rsid w:val="00BF26E4"/>
    <w:rsid w:val="00BF2748"/>
    <w:rsid w:val="00BF2960"/>
    <w:rsid w:val="00BF29D8"/>
    <w:rsid w:val="00BF2A63"/>
    <w:rsid w:val="00BF2ABF"/>
    <w:rsid w:val="00BF2B2B"/>
    <w:rsid w:val="00BF2B88"/>
    <w:rsid w:val="00BF2CA7"/>
    <w:rsid w:val="00BF2F38"/>
    <w:rsid w:val="00BF2F6B"/>
    <w:rsid w:val="00BF3030"/>
    <w:rsid w:val="00BF3066"/>
    <w:rsid w:val="00BF3214"/>
    <w:rsid w:val="00BF323F"/>
    <w:rsid w:val="00BF3265"/>
    <w:rsid w:val="00BF3276"/>
    <w:rsid w:val="00BF34E1"/>
    <w:rsid w:val="00BF34EE"/>
    <w:rsid w:val="00BF3597"/>
    <w:rsid w:val="00BF3615"/>
    <w:rsid w:val="00BF365A"/>
    <w:rsid w:val="00BF372F"/>
    <w:rsid w:val="00BF3765"/>
    <w:rsid w:val="00BF393D"/>
    <w:rsid w:val="00BF3A67"/>
    <w:rsid w:val="00BF3BA6"/>
    <w:rsid w:val="00BF3C60"/>
    <w:rsid w:val="00BF3FB7"/>
    <w:rsid w:val="00BF3FC0"/>
    <w:rsid w:val="00BF4223"/>
    <w:rsid w:val="00BF42C3"/>
    <w:rsid w:val="00BF433E"/>
    <w:rsid w:val="00BF437D"/>
    <w:rsid w:val="00BF43DA"/>
    <w:rsid w:val="00BF4404"/>
    <w:rsid w:val="00BF44A3"/>
    <w:rsid w:val="00BF453A"/>
    <w:rsid w:val="00BF45D3"/>
    <w:rsid w:val="00BF4720"/>
    <w:rsid w:val="00BF473E"/>
    <w:rsid w:val="00BF4809"/>
    <w:rsid w:val="00BF481C"/>
    <w:rsid w:val="00BF4921"/>
    <w:rsid w:val="00BF495E"/>
    <w:rsid w:val="00BF4A15"/>
    <w:rsid w:val="00BF4AA1"/>
    <w:rsid w:val="00BF4B4D"/>
    <w:rsid w:val="00BF4D4F"/>
    <w:rsid w:val="00BF4F14"/>
    <w:rsid w:val="00BF4F94"/>
    <w:rsid w:val="00BF52B3"/>
    <w:rsid w:val="00BF52F5"/>
    <w:rsid w:val="00BF5352"/>
    <w:rsid w:val="00BF53F9"/>
    <w:rsid w:val="00BF558D"/>
    <w:rsid w:val="00BF56C4"/>
    <w:rsid w:val="00BF56D9"/>
    <w:rsid w:val="00BF5899"/>
    <w:rsid w:val="00BF594F"/>
    <w:rsid w:val="00BF5A88"/>
    <w:rsid w:val="00BF5AEC"/>
    <w:rsid w:val="00BF5C78"/>
    <w:rsid w:val="00BF5E00"/>
    <w:rsid w:val="00BF5E79"/>
    <w:rsid w:val="00BF5FFC"/>
    <w:rsid w:val="00BF6165"/>
    <w:rsid w:val="00BF6373"/>
    <w:rsid w:val="00BF6716"/>
    <w:rsid w:val="00BF6761"/>
    <w:rsid w:val="00BF6790"/>
    <w:rsid w:val="00BF67C3"/>
    <w:rsid w:val="00BF67C4"/>
    <w:rsid w:val="00BF67CD"/>
    <w:rsid w:val="00BF6A96"/>
    <w:rsid w:val="00BF6B5C"/>
    <w:rsid w:val="00BF6BC5"/>
    <w:rsid w:val="00BF6C1C"/>
    <w:rsid w:val="00BF6D2B"/>
    <w:rsid w:val="00BF6D84"/>
    <w:rsid w:val="00BF6DAE"/>
    <w:rsid w:val="00BF6E49"/>
    <w:rsid w:val="00BF6E82"/>
    <w:rsid w:val="00BF6F3F"/>
    <w:rsid w:val="00BF6FA7"/>
    <w:rsid w:val="00BF7090"/>
    <w:rsid w:val="00BF70C4"/>
    <w:rsid w:val="00BF7141"/>
    <w:rsid w:val="00BF73C1"/>
    <w:rsid w:val="00BF73F6"/>
    <w:rsid w:val="00BF7443"/>
    <w:rsid w:val="00BF755F"/>
    <w:rsid w:val="00BF757D"/>
    <w:rsid w:val="00BF760A"/>
    <w:rsid w:val="00BF7623"/>
    <w:rsid w:val="00BF76D2"/>
    <w:rsid w:val="00BF76FA"/>
    <w:rsid w:val="00BF7712"/>
    <w:rsid w:val="00BF77B4"/>
    <w:rsid w:val="00BF7813"/>
    <w:rsid w:val="00BF7817"/>
    <w:rsid w:val="00BF78D9"/>
    <w:rsid w:val="00BF79AE"/>
    <w:rsid w:val="00BF79F7"/>
    <w:rsid w:val="00BF7A1C"/>
    <w:rsid w:val="00BF7ABA"/>
    <w:rsid w:val="00BF7C17"/>
    <w:rsid w:val="00BF7CC4"/>
    <w:rsid w:val="00BF7CE2"/>
    <w:rsid w:val="00C00074"/>
    <w:rsid w:val="00C000AA"/>
    <w:rsid w:val="00C001D6"/>
    <w:rsid w:val="00C00290"/>
    <w:rsid w:val="00C002B8"/>
    <w:rsid w:val="00C00306"/>
    <w:rsid w:val="00C003D6"/>
    <w:rsid w:val="00C006E3"/>
    <w:rsid w:val="00C00803"/>
    <w:rsid w:val="00C0089C"/>
    <w:rsid w:val="00C008E2"/>
    <w:rsid w:val="00C0090C"/>
    <w:rsid w:val="00C00961"/>
    <w:rsid w:val="00C009B2"/>
    <w:rsid w:val="00C00A34"/>
    <w:rsid w:val="00C00AF3"/>
    <w:rsid w:val="00C00DF0"/>
    <w:rsid w:val="00C00E38"/>
    <w:rsid w:val="00C00E51"/>
    <w:rsid w:val="00C00F97"/>
    <w:rsid w:val="00C01030"/>
    <w:rsid w:val="00C01082"/>
    <w:rsid w:val="00C01199"/>
    <w:rsid w:val="00C011B4"/>
    <w:rsid w:val="00C0127B"/>
    <w:rsid w:val="00C012E7"/>
    <w:rsid w:val="00C0143A"/>
    <w:rsid w:val="00C014DD"/>
    <w:rsid w:val="00C01546"/>
    <w:rsid w:val="00C0175C"/>
    <w:rsid w:val="00C0180F"/>
    <w:rsid w:val="00C0181F"/>
    <w:rsid w:val="00C0188B"/>
    <w:rsid w:val="00C018E0"/>
    <w:rsid w:val="00C019C9"/>
    <w:rsid w:val="00C019D6"/>
    <w:rsid w:val="00C01A48"/>
    <w:rsid w:val="00C01A66"/>
    <w:rsid w:val="00C01AC3"/>
    <w:rsid w:val="00C01B75"/>
    <w:rsid w:val="00C01C7F"/>
    <w:rsid w:val="00C01C93"/>
    <w:rsid w:val="00C01CE4"/>
    <w:rsid w:val="00C01DFD"/>
    <w:rsid w:val="00C01E4B"/>
    <w:rsid w:val="00C01EDC"/>
    <w:rsid w:val="00C01F69"/>
    <w:rsid w:val="00C02088"/>
    <w:rsid w:val="00C020B0"/>
    <w:rsid w:val="00C02183"/>
    <w:rsid w:val="00C02196"/>
    <w:rsid w:val="00C02283"/>
    <w:rsid w:val="00C022B1"/>
    <w:rsid w:val="00C022B3"/>
    <w:rsid w:val="00C022B7"/>
    <w:rsid w:val="00C02344"/>
    <w:rsid w:val="00C02371"/>
    <w:rsid w:val="00C023AE"/>
    <w:rsid w:val="00C02400"/>
    <w:rsid w:val="00C02437"/>
    <w:rsid w:val="00C02739"/>
    <w:rsid w:val="00C027D5"/>
    <w:rsid w:val="00C0287C"/>
    <w:rsid w:val="00C028D9"/>
    <w:rsid w:val="00C0292A"/>
    <w:rsid w:val="00C029BA"/>
    <w:rsid w:val="00C02B1C"/>
    <w:rsid w:val="00C02BC2"/>
    <w:rsid w:val="00C02C2F"/>
    <w:rsid w:val="00C02C71"/>
    <w:rsid w:val="00C02CD6"/>
    <w:rsid w:val="00C02CFE"/>
    <w:rsid w:val="00C02D44"/>
    <w:rsid w:val="00C02E1C"/>
    <w:rsid w:val="00C02E62"/>
    <w:rsid w:val="00C02EAC"/>
    <w:rsid w:val="00C02ECB"/>
    <w:rsid w:val="00C02F0B"/>
    <w:rsid w:val="00C030DD"/>
    <w:rsid w:val="00C03107"/>
    <w:rsid w:val="00C0311D"/>
    <w:rsid w:val="00C03204"/>
    <w:rsid w:val="00C03230"/>
    <w:rsid w:val="00C03239"/>
    <w:rsid w:val="00C03240"/>
    <w:rsid w:val="00C032AD"/>
    <w:rsid w:val="00C037D0"/>
    <w:rsid w:val="00C037F0"/>
    <w:rsid w:val="00C03838"/>
    <w:rsid w:val="00C038B3"/>
    <w:rsid w:val="00C0395D"/>
    <w:rsid w:val="00C0399D"/>
    <w:rsid w:val="00C03A36"/>
    <w:rsid w:val="00C03AFE"/>
    <w:rsid w:val="00C03BA0"/>
    <w:rsid w:val="00C03BA6"/>
    <w:rsid w:val="00C03CE4"/>
    <w:rsid w:val="00C03D57"/>
    <w:rsid w:val="00C03E81"/>
    <w:rsid w:val="00C03FC9"/>
    <w:rsid w:val="00C04116"/>
    <w:rsid w:val="00C04137"/>
    <w:rsid w:val="00C041C1"/>
    <w:rsid w:val="00C0420C"/>
    <w:rsid w:val="00C04218"/>
    <w:rsid w:val="00C04319"/>
    <w:rsid w:val="00C0437F"/>
    <w:rsid w:val="00C0455E"/>
    <w:rsid w:val="00C0459E"/>
    <w:rsid w:val="00C045F6"/>
    <w:rsid w:val="00C046BB"/>
    <w:rsid w:val="00C04880"/>
    <w:rsid w:val="00C0493A"/>
    <w:rsid w:val="00C04A2D"/>
    <w:rsid w:val="00C04BD0"/>
    <w:rsid w:val="00C04BF6"/>
    <w:rsid w:val="00C04D1A"/>
    <w:rsid w:val="00C04D43"/>
    <w:rsid w:val="00C04E24"/>
    <w:rsid w:val="00C04E25"/>
    <w:rsid w:val="00C04EAA"/>
    <w:rsid w:val="00C04F1D"/>
    <w:rsid w:val="00C0508D"/>
    <w:rsid w:val="00C0512A"/>
    <w:rsid w:val="00C0527C"/>
    <w:rsid w:val="00C05325"/>
    <w:rsid w:val="00C053B0"/>
    <w:rsid w:val="00C05405"/>
    <w:rsid w:val="00C0552F"/>
    <w:rsid w:val="00C0565B"/>
    <w:rsid w:val="00C05701"/>
    <w:rsid w:val="00C05716"/>
    <w:rsid w:val="00C05741"/>
    <w:rsid w:val="00C05799"/>
    <w:rsid w:val="00C05860"/>
    <w:rsid w:val="00C058CA"/>
    <w:rsid w:val="00C058E4"/>
    <w:rsid w:val="00C059B4"/>
    <w:rsid w:val="00C059EE"/>
    <w:rsid w:val="00C05A1D"/>
    <w:rsid w:val="00C05ADF"/>
    <w:rsid w:val="00C05B46"/>
    <w:rsid w:val="00C05BA0"/>
    <w:rsid w:val="00C05BAA"/>
    <w:rsid w:val="00C05C7E"/>
    <w:rsid w:val="00C05CCD"/>
    <w:rsid w:val="00C05CDA"/>
    <w:rsid w:val="00C05EC3"/>
    <w:rsid w:val="00C06019"/>
    <w:rsid w:val="00C06024"/>
    <w:rsid w:val="00C06038"/>
    <w:rsid w:val="00C06121"/>
    <w:rsid w:val="00C06129"/>
    <w:rsid w:val="00C061AC"/>
    <w:rsid w:val="00C06227"/>
    <w:rsid w:val="00C062DC"/>
    <w:rsid w:val="00C0635C"/>
    <w:rsid w:val="00C06453"/>
    <w:rsid w:val="00C0653D"/>
    <w:rsid w:val="00C065F4"/>
    <w:rsid w:val="00C0667F"/>
    <w:rsid w:val="00C0675A"/>
    <w:rsid w:val="00C0685A"/>
    <w:rsid w:val="00C0686A"/>
    <w:rsid w:val="00C06919"/>
    <w:rsid w:val="00C0699D"/>
    <w:rsid w:val="00C069CB"/>
    <w:rsid w:val="00C06A67"/>
    <w:rsid w:val="00C06AE4"/>
    <w:rsid w:val="00C06B3A"/>
    <w:rsid w:val="00C06EC9"/>
    <w:rsid w:val="00C06ED4"/>
    <w:rsid w:val="00C06F30"/>
    <w:rsid w:val="00C06F61"/>
    <w:rsid w:val="00C070E6"/>
    <w:rsid w:val="00C070EC"/>
    <w:rsid w:val="00C07270"/>
    <w:rsid w:val="00C072C5"/>
    <w:rsid w:val="00C073DB"/>
    <w:rsid w:val="00C073E0"/>
    <w:rsid w:val="00C073EF"/>
    <w:rsid w:val="00C074DF"/>
    <w:rsid w:val="00C07512"/>
    <w:rsid w:val="00C07527"/>
    <w:rsid w:val="00C0755E"/>
    <w:rsid w:val="00C0757D"/>
    <w:rsid w:val="00C07670"/>
    <w:rsid w:val="00C077EF"/>
    <w:rsid w:val="00C0781A"/>
    <w:rsid w:val="00C0785F"/>
    <w:rsid w:val="00C07869"/>
    <w:rsid w:val="00C07934"/>
    <w:rsid w:val="00C079C6"/>
    <w:rsid w:val="00C079E5"/>
    <w:rsid w:val="00C07A46"/>
    <w:rsid w:val="00C07AF2"/>
    <w:rsid w:val="00C07EFD"/>
    <w:rsid w:val="00C07F3F"/>
    <w:rsid w:val="00C07F65"/>
    <w:rsid w:val="00C10066"/>
    <w:rsid w:val="00C10078"/>
    <w:rsid w:val="00C10081"/>
    <w:rsid w:val="00C10148"/>
    <w:rsid w:val="00C101B9"/>
    <w:rsid w:val="00C101D4"/>
    <w:rsid w:val="00C1020A"/>
    <w:rsid w:val="00C10252"/>
    <w:rsid w:val="00C10384"/>
    <w:rsid w:val="00C103E4"/>
    <w:rsid w:val="00C1042B"/>
    <w:rsid w:val="00C105DC"/>
    <w:rsid w:val="00C10806"/>
    <w:rsid w:val="00C1082D"/>
    <w:rsid w:val="00C10837"/>
    <w:rsid w:val="00C10925"/>
    <w:rsid w:val="00C109F1"/>
    <w:rsid w:val="00C10A49"/>
    <w:rsid w:val="00C10AA1"/>
    <w:rsid w:val="00C10B98"/>
    <w:rsid w:val="00C10CAA"/>
    <w:rsid w:val="00C10FAD"/>
    <w:rsid w:val="00C10FAE"/>
    <w:rsid w:val="00C11017"/>
    <w:rsid w:val="00C11080"/>
    <w:rsid w:val="00C1119D"/>
    <w:rsid w:val="00C111BD"/>
    <w:rsid w:val="00C111E9"/>
    <w:rsid w:val="00C1137B"/>
    <w:rsid w:val="00C1156A"/>
    <w:rsid w:val="00C1161A"/>
    <w:rsid w:val="00C11719"/>
    <w:rsid w:val="00C117BE"/>
    <w:rsid w:val="00C1190F"/>
    <w:rsid w:val="00C11999"/>
    <w:rsid w:val="00C1199A"/>
    <w:rsid w:val="00C11AE3"/>
    <w:rsid w:val="00C11B11"/>
    <w:rsid w:val="00C11B8A"/>
    <w:rsid w:val="00C11B8F"/>
    <w:rsid w:val="00C11B9F"/>
    <w:rsid w:val="00C11C0E"/>
    <w:rsid w:val="00C11C60"/>
    <w:rsid w:val="00C11C64"/>
    <w:rsid w:val="00C11E51"/>
    <w:rsid w:val="00C11ED0"/>
    <w:rsid w:val="00C11EED"/>
    <w:rsid w:val="00C12078"/>
    <w:rsid w:val="00C120C5"/>
    <w:rsid w:val="00C12178"/>
    <w:rsid w:val="00C12296"/>
    <w:rsid w:val="00C123EB"/>
    <w:rsid w:val="00C124C0"/>
    <w:rsid w:val="00C124C7"/>
    <w:rsid w:val="00C1253C"/>
    <w:rsid w:val="00C126C6"/>
    <w:rsid w:val="00C12701"/>
    <w:rsid w:val="00C12772"/>
    <w:rsid w:val="00C127BB"/>
    <w:rsid w:val="00C1282E"/>
    <w:rsid w:val="00C128D2"/>
    <w:rsid w:val="00C12A58"/>
    <w:rsid w:val="00C12C63"/>
    <w:rsid w:val="00C12E78"/>
    <w:rsid w:val="00C12F35"/>
    <w:rsid w:val="00C12F54"/>
    <w:rsid w:val="00C12F99"/>
    <w:rsid w:val="00C13025"/>
    <w:rsid w:val="00C130C2"/>
    <w:rsid w:val="00C130DD"/>
    <w:rsid w:val="00C13613"/>
    <w:rsid w:val="00C13684"/>
    <w:rsid w:val="00C136CD"/>
    <w:rsid w:val="00C136E4"/>
    <w:rsid w:val="00C13839"/>
    <w:rsid w:val="00C139DD"/>
    <w:rsid w:val="00C13B7A"/>
    <w:rsid w:val="00C13C20"/>
    <w:rsid w:val="00C13C88"/>
    <w:rsid w:val="00C13C99"/>
    <w:rsid w:val="00C13D06"/>
    <w:rsid w:val="00C13D9E"/>
    <w:rsid w:val="00C13DA3"/>
    <w:rsid w:val="00C13E0C"/>
    <w:rsid w:val="00C13EAC"/>
    <w:rsid w:val="00C13EC8"/>
    <w:rsid w:val="00C13F02"/>
    <w:rsid w:val="00C13F6E"/>
    <w:rsid w:val="00C13FE4"/>
    <w:rsid w:val="00C1401F"/>
    <w:rsid w:val="00C1402F"/>
    <w:rsid w:val="00C1405E"/>
    <w:rsid w:val="00C140A7"/>
    <w:rsid w:val="00C1412E"/>
    <w:rsid w:val="00C1416C"/>
    <w:rsid w:val="00C1432B"/>
    <w:rsid w:val="00C1446B"/>
    <w:rsid w:val="00C144A3"/>
    <w:rsid w:val="00C144C5"/>
    <w:rsid w:val="00C1452C"/>
    <w:rsid w:val="00C1456C"/>
    <w:rsid w:val="00C14591"/>
    <w:rsid w:val="00C145F4"/>
    <w:rsid w:val="00C146EF"/>
    <w:rsid w:val="00C147E4"/>
    <w:rsid w:val="00C1486F"/>
    <w:rsid w:val="00C148EA"/>
    <w:rsid w:val="00C149A9"/>
    <w:rsid w:val="00C14A33"/>
    <w:rsid w:val="00C14A85"/>
    <w:rsid w:val="00C14AE0"/>
    <w:rsid w:val="00C14B14"/>
    <w:rsid w:val="00C14BC1"/>
    <w:rsid w:val="00C14BE6"/>
    <w:rsid w:val="00C14F0E"/>
    <w:rsid w:val="00C14F39"/>
    <w:rsid w:val="00C14F5C"/>
    <w:rsid w:val="00C14F83"/>
    <w:rsid w:val="00C14F8D"/>
    <w:rsid w:val="00C14FB9"/>
    <w:rsid w:val="00C15011"/>
    <w:rsid w:val="00C1516C"/>
    <w:rsid w:val="00C15488"/>
    <w:rsid w:val="00C154E8"/>
    <w:rsid w:val="00C15585"/>
    <w:rsid w:val="00C155DD"/>
    <w:rsid w:val="00C1577C"/>
    <w:rsid w:val="00C15850"/>
    <w:rsid w:val="00C1597D"/>
    <w:rsid w:val="00C15984"/>
    <w:rsid w:val="00C15A14"/>
    <w:rsid w:val="00C15C1D"/>
    <w:rsid w:val="00C15C9C"/>
    <w:rsid w:val="00C15C9F"/>
    <w:rsid w:val="00C15D95"/>
    <w:rsid w:val="00C15E2E"/>
    <w:rsid w:val="00C15EAA"/>
    <w:rsid w:val="00C15F0C"/>
    <w:rsid w:val="00C15F1E"/>
    <w:rsid w:val="00C15FB8"/>
    <w:rsid w:val="00C1603E"/>
    <w:rsid w:val="00C1611B"/>
    <w:rsid w:val="00C16215"/>
    <w:rsid w:val="00C1628F"/>
    <w:rsid w:val="00C162AE"/>
    <w:rsid w:val="00C16363"/>
    <w:rsid w:val="00C16382"/>
    <w:rsid w:val="00C165AF"/>
    <w:rsid w:val="00C165CD"/>
    <w:rsid w:val="00C1661D"/>
    <w:rsid w:val="00C16621"/>
    <w:rsid w:val="00C166E6"/>
    <w:rsid w:val="00C16A91"/>
    <w:rsid w:val="00C16B18"/>
    <w:rsid w:val="00C16C64"/>
    <w:rsid w:val="00C16E34"/>
    <w:rsid w:val="00C1708B"/>
    <w:rsid w:val="00C17142"/>
    <w:rsid w:val="00C17248"/>
    <w:rsid w:val="00C1729C"/>
    <w:rsid w:val="00C173C7"/>
    <w:rsid w:val="00C1742C"/>
    <w:rsid w:val="00C174F9"/>
    <w:rsid w:val="00C1752B"/>
    <w:rsid w:val="00C1756A"/>
    <w:rsid w:val="00C1764C"/>
    <w:rsid w:val="00C17744"/>
    <w:rsid w:val="00C177C0"/>
    <w:rsid w:val="00C177CE"/>
    <w:rsid w:val="00C17888"/>
    <w:rsid w:val="00C1794B"/>
    <w:rsid w:val="00C179CF"/>
    <w:rsid w:val="00C17BA8"/>
    <w:rsid w:val="00C17C9A"/>
    <w:rsid w:val="00C17D63"/>
    <w:rsid w:val="00C17F10"/>
    <w:rsid w:val="00C17F1A"/>
    <w:rsid w:val="00C17F53"/>
    <w:rsid w:val="00C20267"/>
    <w:rsid w:val="00C202A4"/>
    <w:rsid w:val="00C203C0"/>
    <w:rsid w:val="00C20650"/>
    <w:rsid w:val="00C2071F"/>
    <w:rsid w:val="00C20759"/>
    <w:rsid w:val="00C2078E"/>
    <w:rsid w:val="00C207C7"/>
    <w:rsid w:val="00C20848"/>
    <w:rsid w:val="00C2097E"/>
    <w:rsid w:val="00C209ED"/>
    <w:rsid w:val="00C20AB1"/>
    <w:rsid w:val="00C20AFE"/>
    <w:rsid w:val="00C20C19"/>
    <w:rsid w:val="00C20C73"/>
    <w:rsid w:val="00C20CE5"/>
    <w:rsid w:val="00C20CEE"/>
    <w:rsid w:val="00C20D67"/>
    <w:rsid w:val="00C20E61"/>
    <w:rsid w:val="00C20ECD"/>
    <w:rsid w:val="00C20ED0"/>
    <w:rsid w:val="00C20F22"/>
    <w:rsid w:val="00C21141"/>
    <w:rsid w:val="00C21177"/>
    <w:rsid w:val="00C2128B"/>
    <w:rsid w:val="00C2131D"/>
    <w:rsid w:val="00C21320"/>
    <w:rsid w:val="00C21329"/>
    <w:rsid w:val="00C213AB"/>
    <w:rsid w:val="00C2154F"/>
    <w:rsid w:val="00C21708"/>
    <w:rsid w:val="00C21861"/>
    <w:rsid w:val="00C21877"/>
    <w:rsid w:val="00C2199A"/>
    <w:rsid w:val="00C219CC"/>
    <w:rsid w:val="00C21C00"/>
    <w:rsid w:val="00C21C1A"/>
    <w:rsid w:val="00C21C3C"/>
    <w:rsid w:val="00C21D97"/>
    <w:rsid w:val="00C21E4F"/>
    <w:rsid w:val="00C2227A"/>
    <w:rsid w:val="00C222A8"/>
    <w:rsid w:val="00C222CF"/>
    <w:rsid w:val="00C223C4"/>
    <w:rsid w:val="00C22541"/>
    <w:rsid w:val="00C2256D"/>
    <w:rsid w:val="00C225AE"/>
    <w:rsid w:val="00C2272D"/>
    <w:rsid w:val="00C2279E"/>
    <w:rsid w:val="00C22A26"/>
    <w:rsid w:val="00C22BCB"/>
    <w:rsid w:val="00C22E04"/>
    <w:rsid w:val="00C231E3"/>
    <w:rsid w:val="00C23217"/>
    <w:rsid w:val="00C23222"/>
    <w:rsid w:val="00C23274"/>
    <w:rsid w:val="00C23425"/>
    <w:rsid w:val="00C2345D"/>
    <w:rsid w:val="00C234F1"/>
    <w:rsid w:val="00C23571"/>
    <w:rsid w:val="00C23629"/>
    <w:rsid w:val="00C238B4"/>
    <w:rsid w:val="00C23948"/>
    <w:rsid w:val="00C239A8"/>
    <w:rsid w:val="00C239DC"/>
    <w:rsid w:val="00C23ACA"/>
    <w:rsid w:val="00C23B0A"/>
    <w:rsid w:val="00C23B3F"/>
    <w:rsid w:val="00C23B5E"/>
    <w:rsid w:val="00C23C92"/>
    <w:rsid w:val="00C23E61"/>
    <w:rsid w:val="00C23F90"/>
    <w:rsid w:val="00C23FCA"/>
    <w:rsid w:val="00C24084"/>
    <w:rsid w:val="00C2408E"/>
    <w:rsid w:val="00C2412B"/>
    <w:rsid w:val="00C24529"/>
    <w:rsid w:val="00C24678"/>
    <w:rsid w:val="00C246C4"/>
    <w:rsid w:val="00C24771"/>
    <w:rsid w:val="00C24B19"/>
    <w:rsid w:val="00C24B45"/>
    <w:rsid w:val="00C24D19"/>
    <w:rsid w:val="00C24DA0"/>
    <w:rsid w:val="00C24DBB"/>
    <w:rsid w:val="00C24DD0"/>
    <w:rsid w:val="00C24E1F"/>
    <w:rsid w:val="00C24E23"/>
    <w:rsid w:val="00C24E53"/>
    <w:rsid w:val="00C24E64"/>
    <w:rsid w:val="00C250E2"/>
    <w:rsid w:val="00C250EC"/>
    <w:rsid w:val="00C25205"/>
    <w:rsid w:val="00C252FD"/>
    <w:rsid w:val="00C253CD"/>
    <w:rsid w:val="00C253E2"/>
    <w:rsid w:val="00C25400"/>
    <w:rsid w:val="00C254E7"/>
    <w:rsid w:val="00C2550F"/>
    <w:rsid w:val="00C2555D"/>
    <w:rsid w:val="00C255B7"/>
    <w:rsid w:val="00C256CE"/>
    <w:rsid w:val="00C25742"/>
    <w:rsid w:val="00C257C6"/>
    <w:rsid w:val="00C25835"/>
    <w:rsid w:val="00C2588E"/>
    <w:rsid w:val="00C25A88"/>
    <w:rsid w:val="00C25AB7"/>
    <w:rsid w:val="00C25B2D"/>
    <w:rsid w:val="00C25CD7"/>
    <w:rsid w:val="00C26044"/>
    <w:rsid w:val="00C26058"/>
    <w:rsid w:val="00C2609B"/>
    <w:rsid w:val="00C26138"/>
    <w:rsid w:val="00C26189"/>
    <w:rsid w:val="00C261C0"/>
    <w:rsid w:val="00C26230"/>
    <w:rsid w:val="00C2623A"/>
    <w:rsid w:val="00C26323"/>
    <w:rsid w:val="00C265F4"/>
    <w:rsid w:val="00C26801"/>
    <w:rsid w:val="00C2684F"/>
    <w:rsid w:val="00C26892"/>
    <w:rsid w:val="00C269AD"/>
    <w:rsid w:val="00C269D7"/>
    <w:rsid w:val="00C26A5B"/>
    <w:rsid w:val="00C26AC1"/>
    <w:rsid w:val="00C26C48"/>
    <w:rsid w:val="00C26D02"/>
    <w:rsid w:val="00C26D21"/>
    <w:rsid w:val="00C26E3C"/>
    <w:rsid w:val="00C26E4B"/>
    <w:rsid w:val="00C26F15"/>
    <w:rsid w:val="00C26F18"/>
    <w:rsid w:val="00C27041"/>
    <w:rsid w:val="00C271ED"/>
    <w:rsid w:val="00C2721C"/>
    <w:rsid w:val="00C272B5"/>
    <w:rsid w:val="00C27360"/>
    <w:rsid w:val="00C274BF"/>
    <w:rsid w:val="00C27701"/>
    <w:rsid w:val="00C27724"/>
    <w:rsid w:val="00C2777E"/>
    <w:rsid w:val="00C27780"/>
    <w:rsid w:val="00C2787D"/>
    <w:rsid w:val="00C279D5"/>
    <w:rsid w:val="00C27CD5"/>
    <w:rsid w:val="00C27D05"/>
    <w:rsid w:val="00C27DF7"/>
    <w:rsid w:val="00C30075"/>
    <w:rsid w:val="00C3008F"/>
    <w:rsid w:val="00C30139"/>
    <w:rsid w:val="00C30155"/>
    <w:rsid w:val="00C30471"/>
    <w:rsid w:val="00C304F9"/>
    <w:rsid w:val="00C305A7"/>
    <w:rsid w:val="00C305E9"/>
    <w:rsid w:val="00C3061C"/>
    <w:rsid w:val="00C3064A"/>
    <w:rsid w:val="00C307A0"/>
    <w:rsid w:val="00C307AA"/>
    <w:rsid w:val="00C307E1"/>
    <w:rsid w:val="00C309CF"/>
    <w:rsid w:val="00C30A63"/>
    <w:rsid w:val="00C30AF3"/>
    <w:rsid w:val="00C30B17"/>
    <w:rsid w:val="00C30D58"/>
    <w:rsid w:val="00C30F57"/>
    <w:rsid w:val="00C30F6D"/>
    <w:rsid w:val="00C31059"/>
    <w:rsid w:val="00C3106C"/>
    <w:rsid w:val="00C3107A"/>
    <w:rsid w:val="00C310F5"/>
    <w:rsid w:val="00C3113D"/>
    <w:rsid w:val="00C311A4"/>
    <w:rsid w:val="00C311A8"/>
    <w:rsid w:val="00C31335"/>
    <w:rsid w:val="00C31570"/>
    <w:rsid w:val="00C316CA"/>
    <w:rsid w:val="00C31868"/>
    <w:rsid w:val="00C31A14"/>
    <w:rsid w:val="00C31A20"/>
    <w:rsid w:val="00C31ADE"/>
    <w:rsid w:val="00C31BDC"/>
    <w:rsid w:val="00C31CBB"/>
    <w:rsid w:val="00C31CD0"/>
    <w:rsid w:val="00C31D6F"/>
    <w:rsid w:val="00C31DB2"/>
    <w:rsid w:val="00C31E6E"/>
    <w:rsid w:val="00C31F65"/>
    <w:rsid w:val="00C32000"/>
    <w:rsid w:val="00C3208C"/>
    <w:rsid w:val="00C32090"/>
    <w:rsid w:val="00C32193"/>
    <w:rsid w:val="00C32276"/>
    <w:rsid w:val="00C324DD"/>
    <w:rsid w:val="00C3251F"/>
    <w:rsid w:val="00C32571"/>
    <w:rsid w:val="00C32603"/>
    <w:rsid w:val="00C3261C"/>
    <w:rsid w:val="00C32756"/>
    <w:rsid w:val="00C329B7"/>
    <w:rsid w:val="00C32A4B"/>
    <w:rsid w:val="00C32BB2"/>
    <w:rsid w:val="00C32BF0"/>
    <w:rsid w:val="00C32D5F"/>
    <w:rsid w:val="00C32DA8"/>
    <w:rsid w:val="00C32DCE"/>
    <w:rsid w:val="00C32E35"/>
    <w:rsid w:val="00C32F05"/>
    <w:rsid w:val="00C330B7"/>
    <w:rsid w:val="00C33130"/>
    <w:rsid w:val="00C33183"/>
    <w:rsid w:val="00C333B5"/>
    <w:rsid w:val="00C333D7"/>
    <w:rsid w:val="00C33434"/>
    <w:rsid w:val="00C3343A"/>
    <w:rsid w:val="00C334A1"/>
    <w:rsid w:val="00C3379B"/>
    <w:rsid w:val="00C33817"/>
    <w:rsid w:val="00C3381C"/>
    <w:rsid w:val="00C33826"/>
    <w:rsid w:val="00C3386B"/>
    <w:rsid w:val="00C339A3"/>
    <w:rsid w:val="00C33A02"/>
    <w:rsid w:val="00C33B64"/>
    <w:rsid w:val="00C33B8E"/>
    <w:rsid w:val="00C33DA4"/>
    <w:rsid w:val="00C33DB9"/>
    <w:rsid w:val="00C33DD0"/>
    <w:rsid w:val="00C33FBB"/>
    <w:rsid w:val="00C33FBC"/>
    <w:rsid w:val="00C34011"/>
    <w:rsid w:val="00C3407B"/>
    <w:rsid w:val="00C34085"/>
    <w:rsid w:val="00C34169"/>
    <w:rsid w:val="00C34190"/>
    <w:rsid w:val="00C341DE"/>
    <w:rsid w:val="00C342CA"/>
    <w:rsid w:val="00C3457A"/>
    <w:rsid w:val="00C34680"/>
    <w:rsid w:val="00C3472B"/>
    <w:rsid w:val="00C34735"/>
    <w:rsid w:val="00C347DF"/>
    <w:rsid w:val="00C34890"/>
    <w:rsid w:val="00C349C7"/>
    <w:rsid w:val="00C349E5"/>
    <w:rsid w:val="00C34AC6"/>
    <w:rsid w:val="00C34B8E"/>
    <w:rsid w:val="00C34C04"/>
    <w:rsid w:val="00C34C7A"/>
    <w:rsid w:val="00C34D09"/>
    <w:rsid w:val="00C34DC1"/>
    <w:rsid w:val="00C34E12"/>
    <w:rsid w:val="00C34ED0"/>
    <w:rsid w:val="00C34F38"/>
    <w:rsid w:val="00C34FA9"/>
    <w:rsid w:val="00C35002"/>
    <w:rsid w:val="00C3548F"/>
    <w:rsid w:val="00C35617"/>
    <w:rsid w:val="00C35666"/>
    <w:rsid w:val="00C35739"/>
    <w:rsid w:val="00C357C4"/>
    <w:rsid w:val="00C358B8"/>
    <w:rsid w:val="00C359A3"/>
    <w:rsid w:val="00C359D2"/>
    <w:rsid w:val="00C35A2E"/>
    <w:rsid w:val="00C35AB7"/>
    <w:rsid w:val="00C35CBF"/>
    <w:rsid w:val="00C35E38"/>
    <w:rsid w:val="00C35E57"/>
    <w:rsid w:val="00C35EE7"/>
    <w:rsid w:val="00C35F1A"/>
    <w:rsid w:val="00C35F59"/>
    <w:rsid w:val="00C35FB5"/>
    <w:rsid w:val="00C3617B"/>
    <w:rsid w:val="00C36196"/>
    <w:rsid w:val="00C361A5"/>
    <w:rsid w:val="00C361C0"/>
    <w:rsid w:val="00C36206"/>
    <w:rsid w:val="00C36386"/>
    <w:rsid w:val="00C363F1"/>
    <w:rsid w:val="00C3645A"/>
    <w:rsid w:val="00C364A1"/>
    <w:rsid w:val="00C365D1"/>
    <w:rsid w:val="00C366AD"/>
    <w:rsid w:val="00C366DD"/>
    <w:rsid w:val="00C36757"/>
    <w:rsid w:val="00C3684C"/>
    <w:rsid w:val="00C368ED"/>
    <w:rsid w:val="00C36B3B"/>
    <w:rsid w:val="00C36C21"/>
    <w:rsid w:val="00C36C28"/>
    <w:rsid w:val="00C36C38"/>
    <w:rsid w:val="00C36E45"/>
    <w:rsid w:val="00C36E49"/>
    <w:rsid w:val="00C36F15"/>
    <w:rsid w:val="00C36F56"/>
    <w:rsid w:val="00C36FBC"/>
    <w:rsid w:val="00C3701B"/>
    <w:rsid w:val="00C371CA"/>
    <w:rsid w:val="00C3722E"/>
    <w:rsid w:val="00C3728D"/>
    <w:rsid w:val="00C372B9"/>
    <w:rsid w:val="00C37329"/>
    <w:rsid w:val="00C37383"/>
    <w:rsid w:val="00C373AD"/>
    <w:rsid w:val="00C373FB"/>
    <w:rsid w:val="00C3745D"/>
    <w:rsid w:val="00C374B3"/>
    <w:rsid w:val="00C37507"/>
    <w:rsid w:val="00C37543"/>
    <w:rsid w:val="00C377C3"/>
    <w:rsid w:val="00C377EB"/>
    <w:rsid w:val="00C37844"/>
    <w:rsid w:val="00C3787B"/>
    <w:rsid w:val="00C378AB"/>
    <w:rsid w:val="00C37A14"/>
    <w:rsid w:val="00C37A60"/>
    <w:rsid w:val="00C37B50"/>
    <w:rsid w:val="00C37C8C"/>
    <w:rsid w:val="00C37D42"/>
    <w:rsid w:val="00C37D69"/>
    <w:rsid w:val="00C37E02"/>
    <w:rsid w:val="00C37EE5"/>
    <w:rsid w:val="00C40034"/>
    <w:rsid w:val="00C40038"/>
    <w:rsid w:val="00C40285"/>
    <w:rsid w:val="00C404C9"/>
    <w:rsid w:val="00C40602"/>
    <w:rsid w:val="00C407E3"/>
    <w:rsid w:val="00C40882"/>
    <w:rsid w:val="00C4098D"/>
    <w:rsid w:val="00C40991"/>
    <w:rsid w:val="00C40BAB"/>
    <w:rsid w:val="00C40BF9"/>
    <w:rsid w:val="00C40C59"/>
    <w:rsid w:val="00C40E1D"/>
    <w:rsid w:val="00C40EEE"/>
    <w:rsid w:val="00C410E0"/>
    <w:rsid w:val="00C41118"/>
    <w:rsid w:val="00C41217"/>
    <w:rsid w:val="00C414CF"/>
    <w:rsid w:val="00C4151B"/>
    <w:rsid w:val="00C41642"/>
    <w:rsid w:val="00C416AC"/>
    <w:rsid w:val="00C416EF"/>
    <w:rsid w:val="00C41780"/>
    <w:rsid w:val="00C417A6"/>
    <w:rsid w:val="00C4182B"/>
    <w:rsid w:val="00C41836"/>
    <w:rsid w:val="00C41937"/>
    <w:rsid w:val="00C419F5"/>
    <w:rsid w:val="00C419F7"/>
    <w:rsid w:val="00C41A62"/>
    <w:rsid w:val="00C41B37"/>
    <w:rsid w:val="00C41B6E"/>
    <w:rsid w:val="00C41B7E"/>
    <w:rsid w:val="00C41B98"/>
    <w:rsid w:val="00C41C90"/>
    <w:rsid w:val="00C41DA6"/>
    <w:rsid w:val="00C41E68"/>
    <w:rsid w:val="00C41F09"/>
    <w:rsid w:val="00C41FCB"/>
    <w:rsid w:val="00C4206B"/>
    <w:rsid w:val="00C420DE"/>
    <w:rsid w:val="00C4216A"/>
    <w:rsid w:val="00C421EB"/>
    <w:rsid w:val="00C4227F"/>
    <w:rsid w:val="00C422EE"/>
    <w:rsid w:val="00C423CD"/>
    <w:rsid w:val="00C423D5"/>
    <w:rsid w:val="00C42477"/>
    <w:rsid w:val="00C42663"/>
    <w:rsid w:val="00C426D9"/>
    <w:rsid w:val="00C42809"/>
    <w:rsid w:val="00C42A7C"/>
    <w:rsid w:val="00C42CD9"/>
    <w:rsid w:val="00C42D24"/>
    <w:rsid w:val="00C42DEA"/>
    <w:rsid w:val="00C42E1D"/>
    <w:rsid w:val="00C42E63"/>
    <w:rsid w:val="00C430DA"/>
    <w:rsid w:val="00C430E1"/>
    <w:rsid w:val="00C4316B"/>
    <w:rsid w:val="00C4317C"/>
    <w:rsid w:val="00C43299"/>
    <w:rsid w:val="00C43551"/>
    <w:rsid w:val="00C435AF"/>
    <w:rsid w:val="00C435E9"/>
    <w:rsid w:val="00C4364B"/>
    <w:rsid w:val="00C436A9"/>
    <w:rsid w:val="00C43797"/>
    <w:rsid w:val="00C439B8"/>
    <w:rsid w:val="00C43BC8"/>
    <w:rsid w:val="00C43D23"/>
    <w:rsid w:val="00C43DBD"/>
    <w:rsid w:val="00C43FB1"/>
    <w:rsid w:val="00C43FE1"/>
    <w:rsid w:val="00C44098"/>
    <w:rsid w:val="00C441CD"/>
    <w:rsid w:val="00C443F4"/>
    <w:rsid w:val="00C444F4"/>
    <w:rsid w:val="00C445EB"/>
    <w:rsid w:val="00C445F0"/>
    <w:rsid w:val="00C446D3"/>
    <w:rsid w:val="00C44827"/>
    <w:rsid w:val="00C44829"/>
    <w:rsid w:val="00C4487E"/>
    <w:rsid w:val="00C44889"/>
    <w:rsid w:val="00C449F4"/>
    <w:rsid w:val="00C44AF4"/>
    <w:rsid w:val="00C44BA8"/>
    <w:rsid w:val="00C44BF1"/>
    <w:rsid w:val="00C44C37"/>
    <w:rsid w:val="00C44CF9"/>
    <w:rsid w:val="00C44D3E"/>
    <w:rsid w:val="00C44D40"/>
    <w:rsid w:val="00C44E7A"/>
    <w:rsid w:val="00C44ECE"/>
    <w:rsid w:val="00C44F94"/>
    <w:rsid w:val="00C44FBC"/>
    <w:rsid w:val="00C44FD4"/>
    <w:rsid w:val="00C44FE8"/>
    <w:rsid w:val="00C45080"/>
    <w:rsid w:val="00C45131"/>
    <w:rsid w:val="00C452A6"/>
    <w:rsid w:val="00C452CA"/>
    <w:rsid w:val="00C45323"/>
    <w:rsid w:val="00C45371"/>
    <w:rsid w:val="00C45377"/>
    <w:rsid w:val="00C45502"/>
    <w:rsid w:val="00C45740"/>
    <w:rsid w:val="00C45816"/>
    <w:rsid w:val="00C4583E"/>
    <w:rsid w:val="00C4591A"/>
    <w:rsid w:val="00C4596E"/>
    <w:rsid w:val="00C459A2"/>
    <w:rsid w:val="00C45A1B"/>
    <w:rsid w:val="00C45A96"/>
    <w:rsid w:val="00C45B26"/>
    <w:rsid w:val="00C45B2E"/>
    <w:rsid w:val="00C45D42"/>
    <w:rsid w:val="00C45F50"/>
    <w:rsid w:val="00C45F91"/>
    <w:rsid w:val="00C460A5"/>
    <w:rsid w:val="00C460DD"/>
    <w:rsid w:val="00C461C1"/>
    <w:rsid w:val="00C46370"/>
    <w:rsid w:val="00C4639A"/>
    <w:rsid w:val="00C4643A"/>
    <w:rsid w:val="00C46454"/>
    <w:rsid w:val="00C46504"/>
    <w:rsid w:val="00C465A3"/>
    <w:rsid w:val="00C46625"/>
    <w:rsid w:val="00C466B3"/>
    <w:rsid w:val="00C46700"/>
    <w:rsid w:val="00C46773"/>
    <w:rsid w:val="00C46809"/>
    <w:rsid w:val="00C4684B"/>
    <w:rsid w:val="00C4688B"/>
    <w:rsid w:val="00C46AD6"/>
    <w:rsid w:val="00C46B59"/>
    <w:rsid w:val="00C46B69"/>
    <w:rsid w:val="00C46B71"/>
    <w:rsid w:val="00C46BD8"/>
    <w:rsid w:val="00C46CAC"/>
    <w:rsid w:val="00C46DD6"/>
    <w:rsid w:val="00C46F23"/>
    <w:rsid w:val="00C47048"/>
    <w:rsid w:val="00C47056"/>
    <w:rsid w:val="00C4706D"/>
    <w:rsid w:val="00C4720F"/>
    <w:rsid w:val="00C473C6"/>
    <w:rsid w:val="00C4744B"/>
    <w:rsid w:val="00C47510"/>
    <w:rsid w:val="00C475B3"/>
    <w:rsid w:val="00C476D9"/>
    <w:rsid w:val="00C47837"/>
    <w:rsid w:val="00C478A2"/>
    <w:rsid w:val="00C478D5"/>
    <w:rsid w:val="00C479C6"/>
    <w:rsid w:val="00C479DC"/>
    <w:rsid w:val="00C47C89"/>
    <w:rsid w:val="00C47CAF"/>
    <w:rsid w:val="00C47DF7"/>
    <w:rsid w:val="00C47E10"/>
    <w:rsid w:val="00C47EB5"/>
    <w:rsid w:val="00C47FAB"/>
    <w:rsid w:val="00C4CE66"/>
    <w:rsid w:val="00C5006F"/>
    <w:rsid w:val="00C50108"/>
    <w:rsid w:val="00C5027F"/>
    <w:rsid w:val="00C503DB"/>
    <w:rsid w:val="00C50414"/>
    <w:rsid w:val="00C50428"/>
    <w:rsid w:val="00C5048D"/>
    <w:rsid w:val="00C504E3"/>
    <w:rsid w:val="00C50698"/>
    <w:rsid w:val="00C506B5"/>
    <w:rsid w:val="00C5080A"/>
    <w:rsid w:val="00C5091E"/>
    <w:rsid w:val="00C509FB"/>
    <w:rsid w:val="00C50E38"/>
    <w:rsid w:val="00C50F57"/>
    <w:rsid w:val="00C50FD7"/>
    <w:rsid w:val="00C51035"/>
    <w:rsid w:val="00C51251"/>
    <w:rsid w:val="00C512F6"/>
    <w:rsid w:val="00C513A5"/>
    <w:rsid w:val="00C5143D"/>
    <w:rsid w:val="00C515E2"/>
    <w:rsid w:val="00C5172F"/>
    <w:rsid w:val="00C517FD"/>
    <w:rsid w:val="00C51885"/>
    <w:rsid w:val="00C519D3"/>
    <w:rsid w:val="00C51A27"/>
    <w:rsid w:val="00C51B3D"/>
    <w:rsid w:val="00C51B6D"/>
    <w:rsid w:val="00C51DB6"/>
    <w:rsid w:val="00C51EE8"/>
    <w:rsid w:val="00C51F79"/>
    <w:rsid w:val="00C51FC2"/>
    <w:rsid w:val="00C52025"/>
    <w:rsid w:val="00C5202B"/>
    <w:rsid w:val="00C520AB"/>
    <w:rsid w:val="00C52288"/>
    <w:rsid w:val="00C528C8"/>
    <w:rsid w:val="00C52963"/>
    <w:rsid w:val="00C52AEE"/>
    <w:rsid w:val="00C52B51"/>
    <w:rsid w:val="00C52DE9"/>
    <w:rsid w:val="00C52E2F"/>
    <w:rsid w:val="00C52E84"/>
    <w:rsid w:val="00C52EC0"/>
    <w:rsid w:val="00C53000"/>
    <w:rsid w:val="00C53022"/>
    <w:rsid w:val="00C530A9"/>
    <w:rsid w:val="00C53119"/>
    <w:rsid w:val="00C53188"/>
    <w:rsid w:val="00C5318A"/>
    <w:rsid w:val="00C53260"/>
    <w:rsid w:val="00C532AD"/>
    <w:rsid w:val="00C532C5"/>
    <w:rsid w:val="00C532FB"/>
    <w:rsid w:val="00C53320"/>
    <w:rsid w:val="00C53330"/>
    <w:rsid w:val="00C5356E"/>
    <w:rsid w:val="00C535BD"/>
    <w:rsid w:val="00C53692"/>
    <w:rsid w:val="00C5373D"/>
    <w:rsid w:val="00C53850"/>
    <w:rsid w:val="00C53867"/>
    <w:rsid w:val="00C53A12"/>
    <w:rsid w:val="00C53C6D"/>
    <w:rsid w:val="00C53CB8"/>
    <w:rsid w:val="00C53CE4"/>
    <w:rsid w:val="00C53DF4"/>
    <w:rsid w:val="00C54074"/>
    <w:rsid w:val="00C540F2"/>
    <w:rsid w:val="00C54144"/>
    <w:rsid w:val="00C5415D"/>
    <w:rsid w:val="00C54226"/>
    <w:rsid w:val="00C5423F"/>
    <w:rsid w:val="00C54256"/>
    <w:rsid w:val="00C54476"/>
    <w:rsid w:val="00C544BD"/>
    <w:rsid w:val="00C54505"/>
    <w:rsid w:val="00C545BB"/>
    <w:rsid w:val="00C5471E"/>
    <w:rsid w:val="00C54742"/>
    <w:rsid w:val="00C5477F"/>
    <w:rsid w:val="00C547E8"/>
    <w:rsid w:val="00C54AAB"/>
    <w:rsid w:val="00C54B35"/>
    <w:rsid w:val="00C54C2B"/>
    <w:rsid w:val="00C54D4E"/>
    <w:rsid w:val="00C54DBD"/>
    <w:rsid w:val="00C54DC2"/>
    <w:rsid w:val="00C54F52"/>
    <w:rsid w:val="00C55047"/>
    <w:rsid w:val="00C5526B"/>
    <w:rsid w:val="00C55481"/>
    <w:rsid w:val="00C5557A"/>
    <w:rsid w:val="00C555BB"/>
    <w:rsid w:val="00C55637"/>
    <w:rsid w:val="00C557AB"/>
    <w:rsid w:val="00C557B3"/>
    <w:rsid w:val="00C557FF"/>
    <w:rsid w:val="00C5583B"/>
    <w:rsid w:val="00C5583E"/>
    <w:rsid w:val="00C558FB"/>
    <w:rsid w:val="00C55944"/>
    <w:rsid w:val="00C55981"/>
    <w:rsid w:val="00C559E7"/>
    <w:rsid w:val="00C55A12"/>
    <w:rsid w:val="00C55BCA"/>
    <w:rsid w:val="00C55C48"/>
    <w:rsid w:val="00C55C87"/>
    <w:rsid w:val="00C55D9F"/>
    <w:rsid w:val="00C55F78"/>
    <w:rsid w:val="00C55FA5"/>
    <w:rsid w:val="00C56059"/>
    <w:rsid w:val="00C56134"/>
    <w:rsid w:val="00C56198"/>
    <w:rsid w:val="00C56330"/>
    <w:rsid w:val="00C563B2"/>
    <w:rsid w:val="00C563CC"/>
    <w:rsid w:val="00C564E5"/>
    <w:rsid w:val="00C5667B"/>
    <w:rsid w:val="00C5677A"/>
    <w:rsid w:val="00C56792"/>
    <w:rsid w:val="00C567C7"/>
    <w:rsid w:val="00C56A33"/>
    <w:rsid w:val="00C56B7C"/>
    <w:rsid w:val="00C56D79"/>
    <w:rsid w:val="00C56D97"/>
    <w:rsid w:val="00C56DD5"/>
    <w:rsid w:val="00C56FDE"/>
    <w:rsid w:val="00C570D0"/>
    <w:rsid w:val="00C572F7"/>
    <w:rsid w:val="00C57392"/>
    <w:rsid w:val="00C5745C"/>
    <w:rsid w:val="00C574FA"/>
    <w:rsid w:val="00C5763C"/>
    <w:rsid w:val="00C576BE"/>
    <w:rsid w:val="00C577F7"/>
    <w:rsid w:val="00C5780D"/>
    <w:rsid w:val="00C5781C"/>
    <w:rsid w:val="00C579F2"/>
    <w:rsid w:val="00C57A49"/>
    <w:rsid w:val="00C57AB4"/>
    <w:rsid w:val="00C57D84"/>
    <w:rsid w:val="00C57E00"/>
    <w:rsid w:val="00C6005C"/>
    <w:rsid w:val="00C600AD"/>
    <w:rsid w:val="00C60257"/>
    <w:rsid w:val="00C60304"/>
    <w:rsid w:val="00C603AE"/>
    <w:rsid w:val="00C6040C"/>
    <w:rsid w:val="00C60469"/>
    <w:rsid w:val="00C60494"/>
    <w:rsid w:val="00C605FE"/>
    <w:rsid w:val="00C6067C"/>
    <w:rsid w:val="00C6074B"/>
    <w:rsid w:val="00C608B2"/>
    <w:rsid w:val="00C60922"/>
    <w:rsid w:val="00C609DB"/>
    <w:rsid w:val="00C60B9F"/>
    <w:rsid w:val="00C60C7B"/>
    <w:rsid w:val="00C60CC2"/>
    <w:rsid w:val="00C60E16"/>
    <w:rsid w:val="00C60E75"/>
    <w:rsid w:val="00C60F8E"/>
    <w:rsid w:val="00C61083"/>
    <w:rsid w:val="00C61167"/>
    <w:rsid w:val="00C611A9"/>
    <w:rsid w:val="00C612EF"/>
    <w:rsid w:val="00C6139D"/>
    <w:rsid w:val="00C613A0"/>
    <w:rsid w:val="00C613BE"/>
    <w:rsid w:val="00C61454"/>
    <w:rsid w:val="00C61521"/>
    <w:rsid w:val="00C61563"/>
    <w:rsid w:val="00C61680"/>
    <w:rsid w:val="00C616EC"/>
    <w:rsid w:val="00C61736"/>
    <w:rsid w:val="00C61AAD"/>
    <w:rsid w:val="00C61BA9"/>
    <w:rsid w:val="00C61C46"/>
    <w:rsid w:val="00C61C7F"/>
    <w:rsid w:val="00C61D7B"/>
    <w:rsid w:val="00C61DDB"/>
    <w:rsid w:val="00C62046"/>
    <w:rsid w:val="00C620AA"/>
    <w:rsid w:val="00C62159"/>
    <w:rsid w:val="00C6217C"/>
    <w:rsid w:val="00C62183"/>
    <w:rsid w:val="00C6242D"/>
    <w:rsid w:val="00C62446"/>
    <w:rsid w:val="00C625A2"/>
    <w:rsid w:val="00C625E3"/>
    <w:rsid w:val="00C627D1"/>
    <w:rsid w:val="00C62838"/>
    <w:rsid w:val="00C62856"/>
    <w:rsid w:val="00C62898"/>
    <w:rsid w:val="00C629F4"/>
    <w:rsid w:val="00C62A02"/>
    <w:rsid w:val="00C62A2A"/>
    <w:rsid w:val="00C62A35"/>
    <w:rsid w:val="00C62BEC"/>
    <w:rsid w:val="00C62C81"/>
    <w:rsid w:val="00C62F45"/>
    <w:rsid w:val="00C63031"/>
    <w:rsid w:val="00C63140"/>
    <w:rsid w:val="00C6315E"/>
    <w:rsid w:val="00C63278"/>
    <w:rsid w:val="00C63295"/>
    <w:rsid w:val="00C632B0"/>
    <w:rsid w:val="00C63303"/>
    <w:rsid w:val="00C63322"/>
    <w:rsid w:val="00C6338C"/>
    <w:rsid w:val="00C633D6"/>
    <w:rsid w:val="00C63435"/>
    <w:rsid w:val="00C634A2"/>
    <w:rsid w:val="00C634AE"/>
    <w:rsid w:val="00C634D3"/>
    <w:rsid w:val="00C635A3"/>
    <w:rsid w:val="00C63688"/>
    <w:rsid w:val="00C636B6"/>
    <w:rsid w:val="00C636E5"/>
    <w:rsid w:val="00C63700"/>
    <w:rsid w:val="00C6396B"/>
    <w:rsid w:val="00C639D2"/>
    <w:rsid w:val="00C63B95"/>
    <w:rsid w:val="00C63D20"/>
    <w:rsid w:val="00C63D8D"/>
    <w:rsid w:val="00C63EA4"/>
    <w:rsid w:val="00C63F43"/>
    <w:rsid w:val="00C63F46"/>
    <w:rsid w:val="00C640CA"/>
    <w:rsid w:val="00C640E5"/>
    <w:rsid w:val="00C64208"/>
    <w:rsid w:val="00C64220"/>
    <w:rsid w:val="00C6428F"/>
    <w:rsid w:val="00C64318"/>
    <w:rsid w:val="00C643CB"/>
    <w:rsid w:val="00C643F1"/>
    <w:rsid w:val="00C6447F"/>
    <w:rsid w:val="00C644F7"/>
    <w:rsid w:val="00C646E9"/>
    <w:rsid w:val="00C647BD"/>
    <w:rsid w:val="00C647D4"/>
    <w:rsid w:val="00C647D8"/>
    <w:rsid w:val="00C647F5"/>
    <w:rsid w:val="00C6481D"/>
    <w:rsid w:val="00C648B2"/>
    <w:rsid w:val="00C64B08"/>
    <w:rsid w:val="00C64B28"/>
    <w:rsid w:val="00C64BE3"/>
    <w:rsid w:val="00C64BEE"/>
    <w:rsid w:val="00C64DF2"/>
    <w:rsid w:val="00C64DFB"/>
    <w:rsid w:val="00C64EB4"/>
    <w:rsid w:val="00C64F26"/>
    <w:rsid w:val="00C6527F"/>
    <w:rsid w:val="00C65343"/>
    <w:rsid w:val="00C653AD"/>
    <w:rsid w:val="00C65564"/>
    <w:rsid w:val="00C655A8"/>
    <w:rsid w:val="00C656FE"/>
    <w:rsid w:val="00C6582E"/>
    <w:rsid w:val="00C65955"/>
    <w:rsid w:val="00C65A6F"/>
    <w:rsid w:val="00C65A75"/>
    <w:rsid w:val="00C65A82"/>
    <w:rsid w:val="00C65AE1"/>
    <w:rsid w:val="00C65B5B"/>
    <w:rsid w:val="00C65BC6"/>
    <w:rsid w:val="00C65BC8"/>
    <w:rsid w:val="00C65C17"/>
    <w:rsid w:val="00C65C5C"/>
    <w:rsid w:val="00C65DF4"/>
    <w:rsid w:val="00C65F28"/>
    <w:rsid w:val="00C65F44"/>
    <w:rsid w:val="00C65F7C"/>
    <w:rsid w:val="00C65F7E"/>
    <w:rsid w:val="00C66097"/>
    <w:rsid w:val="00C660F9"/>
    <w:rsid w:val="00C66148"/>
    <w:rsid w:val="00C66149"/>
    <w:rsid w:val="00C66335"/>
    <w:rsid w:val="00C6638E"/>
    <w:rsid w:val="00C66410"/>
    <w:rsid w:val="00C6653E"/>
    <w:rsid w:val="00C665DE"/>
    <w:rsid w:val="00C6667B"/>
    <w:rsid w:val="00C66704"/>
    <w:rsid w:val="00C6685A"/>
    <w:rsid w:val="00C6685C"/>
    <w:rsid w:val="00C66904"/>
    <w:rsid w:val="00C66A14"/>
    <w:rsid w:val="00C66A4C"/>
    <w:rsid w:val="00C66A9D"/>
    <w:rsid w:val="00C66DF5"/>
    <w:rsid w:val="00C66E6C"/>
    <w:rsid w:val="00C66EC5"/>
    <w:rsid w:val="00C66F0B"/>
    <w:rsid w:val="00C66F11"/>
    <w:rsid w:val="00C66FD4"/>
    <w:rsid w:val="00C66FF3"/>
    <w:rsid w:val="00C67096"/>
    <w:rsid w:val="00C6712D"/>
    <w:rsid w:val="00C67151"/>
    <w:rsid w:val="00C673E0"/>
    <w:rsid w:val="00C674FA"/>
    <w:rsid w:val="00C676A8"/>
    <w:rsid w:val="00C67725"/>
    <w:rsid w:val="00C67726"/>
    <w:rsid w:val="00C6773A"/>
    <w:rsid w:val="00C677A7"/>
    <w:rsid w:val="00C67AED"/>
    <w:rsid w:val="00C67B18"/>
    <w:rsid w:val="00C67BC3"/>
    <w:rsid w:val="00C67BF6"/>
    <w:rsid w:val="00C67F0B"/>
    <w:rsid w:val="00C67F7F"/>
    <w:rsid w:val="00C67F87"/>
    <w:rsid w:val="00C70032"/>
    <w:rsid w:val="00C70044"/>
    <w:rsid w:val="00C70071"/>
    <w:rsid w:val="00C700E9"/>
    <w:rsid w:val="00C701C1"/>
    <w:rsid w:val="00C7045B"/>
    <w:rsid w:val="00C70472"/>
    <w:rsid w:val="00C704DA"/>
    <w:rsid w:val="00C705AD"/>
    <w:rsid w:val="00C7063D"/>
    <w:rsid w:val="00C70689"/>
    <w:rsid w:val="00C70698"/>
    <w:rsid w:val="00C70A66"/>
    <w:rsid w:val="00C70AB2"/>
    <w:rsid w:val="00C70BAA"/>
    <w:rsid w:val="00C70BBD"/>
    <w:rsid w:val="00C70CBD"/>
    <w:rsid w:val="00C70D65"/>
    <w:rsid w:val="00C70E5D"/>
    <w:rsid w:val="00C71015"/>
    <w:rsid w:val="00C710E0"/>
    <w:rsid w:val="00C71263"/>
    <w:rsid w:val="00C713AE"/>
    <w:rsid w:val="00C71405"/>
    <w:rsid w:val="00C71457"/>
    <w:rsid w:val="00C714AD"/>
    <w:rsid w:val="00C714DA"/>
    <w:rsid w:val="00C714EF"/>
    <w:rsid w:val="00C71545"/>
    <w:rsid w:val="00C715FF"/>
    <w:rsid w:val="00C717B5"/>
    <w:rsid w:val="00C717D5"/>
    <w:rsid w:val="00C7180C"/>
    <w:rsid w:val="00C718D3"/>
    <w:rsid w:val="00C71993"/>
    <w:rsid w:val="00C719EF"/>
    <w:rsid w:val="00C71B71"/>
    <w:rsid w:val="00C71D4C"/>
    <w:rsid w:val="00C71E29"/>
    <w:rsid w:val="00C71EB0"/>
    <w:rsid w:val="00C71ED3"/>
    <w:rsid w:val="00C71EFC"/>
    <w:rsid w:val="00C71F47"/>
    <w:rsid w:val="00C7205E"/>
    <w:rsid w:val="00C720A6"/>
    <w:rsid w:val="00C722BC"/>
    <w:rsid w:val="00C722C2"/>
    <w:rsid w:val="00C722E5"/>
    <w:rsid w:val="00C72382"/>
    <w:rsid w:val="00C72439"/>
    <w:rsid w:val="00C72640"/>
    <w:rsid w:val="00C72704"/>
    <w:rsid w:val="00C728B9"/>
    <w:rsid w:val="00C72951"/>
    <w:rsid w:val="00C72A35"/>
    <w:rsid w:val="00C72AFC"/>
    <w:rsid w:val="00C72B08"/>
    <w:rsid w:val="00C72C63"/>
    <w:rsid w:val="00C72E76"/>
    <w:rsid w:val="00C72F31"/>
    <w:rsid w:val="00C72F8D"/>
    <w:rsid w:val="00C7305A"/>
    <w:rsid w:val="00C730A7"/>
    <w:rsid w:val="00C730D9"/>
    <w:rsid w:val="00C733F5"/>
    <w:rsid w:val="00C7362C"/>
    <w:rsid w:val="00C73769"/>
    <w:rsid w:val="00C73894"/>
    <w:rsid w:val="00C738F3"/>
    <w:rsid w:val="00C7393A"/>
    <w:rsid w:val="00C73A8F"/>
    <w:rsid w:val="00C73B7D"/>
    <w:rsid w:val="00C73BA8"/>
    <w:rsid w:val="00C73C12"/>
    <w:rsid w:val="00C73CE2"/>
    <w:rsid w:val="00C73EBE"/>
    <w:rsid w:val="00C73F68"/>
    <w:rsid w:val="00C73FD4"/>
    <w:rsid w:val="00C74090"/>
    <w:rsid w:val="00C740B8"/>
    <w:rsid w:val="00C740BE"/>
    <w:rsid w:val="00C7444D"/>
    <w:rsid w:val="00C74477"/>
    <w:rsid w:val="00C745EC"/>
    <w:rsid w:val="00C74740"/>
    <w:rsid w:val="00C74766"/>
    <w:rsid w:val="00C747BE"/>
    <w:rsid w:val="00C747FF"/>
    <w:rsid w:val="00C7491E"/>
    <w:rsid w:val="00C74A0F"/>
    <w:rsid w:val="00C74A5F"/>
    <w:rsid w:val="00C74AD3"/>
    <w:rsid w:val="00C74B47"/>
    <w:rsid w:val="00C74BDD"/>
    <w:rsid w:val="00C74BFB"/>
    <w:rsid w:val="00C74BFF"/>
    <w:rsid w:val="00C74E04"/>
    <w:rsid w:val="00C74E1B"/>
    <w:rsid w:val="00C74F8C"/>
    <w:rsid w:val="00C75028"/>
    <w:rsid w:val="00C75029"/>
    <w:rsid w:val="00C75240"/>
    <w:rsid w:val="00C754C6"/>
    <w:rsid w:val="00C75512"/>
    <w:rsid w:val="00C756EA"/>
    <w:rsid w:val="00C75820"/>
    <w:rsid w:val="00C758BD"/>
    <w:rsid w:val="00C75988"/>
    <w:rsid w:val="00C75AEF"/>
    <w:rsid w:val="00C75B16"/>
    <w:rsid w:val="00C75B44"/>
    <w:rsid w:val="00C75BC9"/>
    <w:rsid w:val="00C75BFF"/>
    <w:rsid w:val="00C75C87"/>
    <w:rsid w:val="00C75E21"/>
    <w:rsid w:val="00C75F4D"/>
    <w:rsid w:val="00C7608F"/>
    <w:rsid w:val="00C7624C"/>
    <w:rsid w:val="00C762BA"/>
    <w:rsid w:val="00C76301"/>
    <w:rsid w:val="00C7632A"/>
    <w:rsid w:val="00C76342"/>
    <w:rsid w:val="00C76408"/>
    <w:rsid w:val="00C7662A"/>
    <w:rsid w:val="00C76673"/>
    <w:rsid w:val="00C766E1"/>
    <w:rsid w:val="00C76724"/>
    <w:rsid w:val="00C76813"/>
    <w:rsid w:val="00C76B18"/>
    <w:rsid w:val="00C76C21"/>
    <w:rsid w:val="00C76DEB"/>
    <w:rsid w:val="00C76F53"/>
    <w:rsid w:val="00C76FB0"/>
    <w:rsid w:val="00C76FF6"/>
    <w:rsid w:val="00C7704A"/>
    <w:rsid w:val="00C77099"/>
    <w:rsid w:val="00C770C7"/>
    <w:rsid w:val="00C7710E"/>
    <w:rsid w:val="00C771A7"/>
    <w:rsid w:val="00C7724A"/>
    <w:rsid w:val="00C772BE"/>
    <w:rsid w:val="00C772C1"/>
    <w:rsid w:val="00C77465"/>
    <w:rsid w:val="00C775ED"/>
    <w:rsid w:val="00C777F3"/>
    <w:rsid w:val="00C778C2"/>
    <w:rsid w:val="00C77921"/>
    <w:rsid w:val="00C77971"/>
    <w:rsid w:val="00C77A0D"/>
    <w:rsid w:val="00C77B08"/>
    <w:rsid w:val="00C77BD8"/>
    <w:rsid w:val="00C77C4E"/>
    <w:rsid w:val="00C77DAE"/>
    <w:rsid w:val="00C77FAA"/>
    <w:rsid w:val="00C80074"/>
    <w:rsid w:val="00C8017B"/>
    <w:rsid w:val="00C8028D"/>
    <w:rsid w:val="00C8039F"/>
    <w:rsid w:val="00C803D8"/>
    <w:rsid w:val="00C805EE"/>
    <w:rsid w:val="00C808F8"/>
    <w:rsid w:val="00C80A5B"/>
    <w:rsid w:val="00C80B35"/>
    <w:rsid w:val="00C80C4E"/>
    <w:rsid w:val="00C80D2F"/>
    <w:rsid w:val="00C80E27"/>
    <w:rsid w:val="00C80F11"/>
    <w:rsid w:val="00C80FB5"/>
    <w:rsid w:val="00C81062"/>
    <w:rsid w:val="00C810A4"/>
    <w:rsid w:val="00C810E4"/>
    <w:rsid w:val="00C81118"/>
    <w:rsid w:val="00C81121"/>
    <w:rsid w:val="00C8112D"/>
    <w:rsid w:val="00C81180"/>
    <w:rsid w:val="00C811E5"/>
    <w:rsid w:val="00C811FD"/>
    <w:rsid w:val="00C8127A"/>
    <w:rsid w:val="00C8127C"/>
    <w:rsid w:val="00C81320"/>
    <w:rsid w:val="00C8133F"/>
    <w:rsid w:val="00C8136F"/>
    <w:rsid w:val="00C8139B"/>
    <w:rsid w:val="00C81434"/>
    <w:rsid w:val="00C8143C"/>
    <w:rsid w:val="00C814EA"/>
    <w:rsid w:val="00C814EE"/>
    <w:rsid w:val="00C81626"/>
    <w:rsid w:val="00C81682"/>
    <w:rsid w:val="00C816F9"/>
    <w:rsid w:val="00C818AA"/>
    <w:rsid w:val="00C81AA1"/>
    <w:rsid w:val="00C81BAF"/>
    <w:rsid w:val="00C81C53"/>
    <w:rsid w:val="00C81C60"/>
    <w:rsid w:val="00C81CB2"/>
    <w:rsid w:val="00C81E3D"/>
    <w:rsid w:val="00C81E7C"/>
    <w:rsid w:val="00C8205B"/>
    <w:rsid w:val="00C820D2"/>
    <w:rsid w:val="00C82176"/>
    <w:rsid w:val="00C82181"/>
    <w:rsid w:val="00C823E2"/>
    <w:rsid w:val="00C824FB"/>
    <w:rsid w:val="00C8253A"/>
    <w:rsid w:val="00C826B5"/>
    <w:rsid w:val="00C829AC"/>
    <w:rsid w:val="00C829C7"/>
    <w:rsid w:val="00C82A9A"/>
    <w:rsid w:val="00C82B5D"/>
    <w:rsid w:val="00C82BF4"/>
    <w:rsid w:val="00C82C0A"/>
    <w:rsid w:val="00C82C3F"/>
    <w:rsid w:val="00C82D83"/>
    <w:rsid w:val="00C82EC0"/>
    <w:rsid w:val="00C82EE6"/>
    <w:rsid w:val="00C82F5B"/>
    <w:rsid w:val="00C82FCD"/>
    <w:rsid w:val="00C82FF7"/>
    <w:rsid w:val="00C83082"/>
    <w:rsid w:val="00C830A9"/>
    <w:rsid w:val="00C83122"/>
    <w:rsid w:val="00C833BD"/>
    <w:rsid w:val="00C834BC"/>
    <w:rsid w:val="00C8370E"/>
    <w:rsid w:val="00C83792"/>
    <w:rsid w:val="00C83855"/>
    <w:rsid w:val="00C83867"/>
    <w:rsid w:val="00C83896"/>
    <w:rsid w:val="00C838D2"/>
    <w:rsid w:val="00C839DC"/>
    <w:rsid w:val="00C839E2"/>
    <w:rsid w:val="00C83BC0"/>
    <w:rsid w:val="00C83C1E"/>
    <w:rsid w:val="00C83C38"/>
    <w:rsid w:val="00C83C49"/>
    <w:rsid w:val="00C83C4B"/>
    <w:rsid w:val="00C83CE4"/>
    <w:rsid w:val="00C83E21"/>
    <w:rsid w:val="00C83E2A"/>
    <w:rsid w:val="00C83EE0"/>
    <w:rsid w:val="00C83F64"/>
    <w:rsid w:val="00C842C6"/>
    <w:rsid w:val="00C844FD"/>
    <w:rsid w:val="00C84506"/>
    <w:rsid w:val="00C8456D"/>
    <w:rsid w:val="00C845F8"/>
    <w:rsid w:val="00C8460F"/>
    <w:rsid w:val="00C8462D"/>
    <w:rsid w:val="00C847F4"/>
    <w:rsid w:val="00C849BF"/>
    <w:rsid w:val="00C84AD0"/>
    <w:rsid w:val="00C84B56"/>
    <w:rsid w:val="00C84C26"/>
    <w:rsid w:val="00C84C5B"/>
    <w:rsid w:val="00C84C6E"/>
    <w:rsid w:val="00C84C8B"/>
    <w:rsid w:val="00C84D1A"/>
    <w:rsid w:val="00C84DAD"/>
    <w:rsid w:val="00C84F7F"/>
    <w:rsid w:val="00C8501F"/>
    <w:rsid w:val="00C850C8"/>
    <w:rsid w:val="00C85101"/>
    <w:rsid w:val="00C851EE"/>
    <w:rsid w:val="00C8520F"/>
    <w:rsid w:val="00C853B2"/>
    <w:rsid w:val="00C85482"/>
    <w:rsid w:val="00C8548E"/>
    <w:rsid w:val="00C854B4"/>
    <w:rsid w:val="00C857C5"/>
    <w:rsid w:val="00C859BD"/>
    <w:rsid w:val="00C859F3"/>
    <w:rsid w:val="00C85C03"/>
    <w:rsid w:val="00C85C07"/>
    <w:rsid w:val="00C85CCC"/>
    <w:rsid w:val="00C85D29"/>
    <w:rsid w:val="00C85F05"/>
    <w:rsid w:val="00C86010"/>
    <w:rsid w:val="00C86024"/>
    <w:rsid w:val="00C86177"/>
    <w:rsid w:val="00C861FA"/>
    <w:rsid w:val="00C863A3"/>
    <w:rsid w:val="00C863C6"/>
    <w:rsid w:val="00C864D2"/>
    <w:rsid w:val="00C86556"/>
    <w:rsid w:val="00C865B3"/>
    <w:rsid w:val="00C8662B"/>
    <w:rsid w:val="00C866E8"/>
    <w:rsid w:val="00C867E5"/>
    <w:rsid w:val="00C8689A"/>
    <w:rsid w:val="00C86A6E"/>
    <w:rsid w:val="00C86B1C"/>
    <w:rsid w:val="00C86C5D"/>
    <w:rsid w:val="00C86E9F"/>
    <w:rsid w:val="00C86F79"/>
    <w:rsid w:val="00C86F8D"/>
    <w:rsid w:val="00C87071"/>
    <w:rsid w:val="00C87120"/>
    <w:rsid w:val="00C872F9"/>
    <w:rsid w:val="00C87529"/>
    <w:rsid w:val="00C875F1"/>
    <w:rsid w:val="00C876EF"/>
    <w:rsid w:val="00C87722"/>
    <w:rsid w:val="00C87888"/>
    <w:rsid w:val="00C8791E"/>
    <w:rsid w:val="00C879A0"/>
    <w:rsid w:val="00C87A8D"/>
    <w:rsid w:val="00C87AC1"/>
    <w:rsid w:val="00C87AD6"/>
    <w:rsid w:val="00C87B14"/>
    <w:rsid w:val="00C87B1F"/>
    <w:rsid w:val="00C87D18"/>
    <w:rsid w:val="00C87DB4"/>
    <w:rsid w:val="00C87E75"/>
    <w:rsid w:val="00C90119"/>
    <w:rsid w:val="00C9022C"/>
    <w:rsid w:val="00C904AA"/>
    <w:rsid w:val="00C904DD"/>
    <w:rsid w:val="00C907A4"/>
    <w:rsid w:val="00C90832"/>
    <w:rsid w:val="00C908F8"/>
    <w:rsid w:val="00C90B31"/>
    <w:rsid w:val="00C90BA5"/>
    <w:rsid w:val="00C90C32"/>
    <w:rsid w:val="00C90C46"/>
    <w:rsid w:val="00C90C6A"/>
    <w:rsid w:val="00C90C89"/>
    <w:rsid w:val="00C90E2A"/>
    <w:rsid w:val="00C90EE7"/>
    <w:rsid w:val="00C90F86"/>
    <w:rsid w:val="00C91097"/>
    <w:rsid w:val="00C91155"/>
    <w:rsid w:val="00C911C9"/>
    <w:rsid w:val="00C911E6"/>
    <w:rsid w:val="00C911FB"/>
    <w:rsid w:val="00C91299"/>
    <w:rsid w:val="00C9129C"/>
    <w:rsid w:val="00C91300"/>
    <w:rsid w:val="00C91369"/>
    <w:rsid w:val="00C914FC"/>
    <w:rsid w:val="00C91600"/>
    <w:rsid w:val="00C917ED"/>
    <w:rsid w:val="00C9181B"/>
    <w:rsid w:val="00C91951"/>
    <w:rsid w:val="00C91980"/>
    <w:rsid w:val="00C91AEB"/>
    <w:rsid w:val="00C91BFD"/>
    <w:rsid w:val="00C91C58"/>
    <w:rsid w:val="00C91EBD"/>
    <w:rsid w:val="00C92064"/>
    <w:rsid w:val="00C92158"/>
    <w:rsid w:val="00C923E1"/>
    <w:rsid w:val="00C9257A"/>
    <w:rsid w:val="00C9259A"/>
    <w:rsid w:val="00C925B0"/>
    <w:rsid w:val="00C925FA"/>
    <w:rsid w:val="00C927E7"/>
    <w:rsid w:val="00C92803"/>
    <w:rsid w:val="00C92C63"/>
    <w:rsid w:val="00C92C82"/>
    <w:rsid w:val="00C92D2E"/>
    <w:rsid w:val="00C92F6F"/>
    <w:rsid w:val="00C93243"/>
    <w:rsid w:val="00C9327C"/>
    <w:rsid w:val="00C932BA"/>
    <w:rsid w:val="00C932D8"/>
    <w:rsid w:val="00C9330E"/>
    <w:rsid w:val="00C933FB"/>
    <w:rsid w:val="00C93578"/>
    <w:rsid w:val="00C937AA"/>
    <w:rsid w:val="00C937AB"/>
    <w:rsid w:val="00C939F6"/>
    <w:rsid w:val="00C93A98"/>
    <w:rsid w:val="00C93AAC"/>
    <w:rsid w:val="00C93B31"/>
    <w:rsid w:val="00C93B85"/>
    <w:rsid w:val="00C93BC9"/>
    <w:rsid w:val="00C93ED0"/>
    <w:rsid w:val="00C93FD3"/>
    <w:rsid w:val="00C9408E"/>
    <w:rsid w:val="00C94219"/>
    <w:rsid w:val="00C94260"/>
    <w:rsid w:val="00C943E4"/>
    <w:rsid w:val="00C94664"/>
    <w:rsid w:val="00C946F5"/>
    <w:rsid w:val="00C947A7"/>
    <w:rsid w:val="00C9480B"/>
    <w:rsid w:val="00C948B7"/>
    <w:rsid w:val="00C94957"/>
    <w:rsid w:val="00C94984"/>
    <w:rsid w:val="00C94A42"/>
    <w:rsid w:val="00C94B07"/>
    <w:rsid w:val="00C94BE1"/>
    <w:rsid w:val="00C94BF3"/>
    <w:rsid w:val="00C94C9C"/>
    <w:rsid w:val="00C94CF5"/>
    <w:rsid w:val="00C94FEE"/>
    <w:rsid w:val="00C950AF"/>
    <w:rsid w:val="00C95115"/>
    <w:rsid w:val="00C952A5"/>
    <w:rsid w:val="00C952A9"/>
    <w:rsid w:val="00C953ED"/>
    <w:rsid w:val="00C954B3"/>
    <w:rsid w:val="00C955A9"/>
    <w:rsid w:val="00C95636"/>
    <w:rsid w:val="00C95642"/>
    <w:rsid w:val="00C956B2"/>
    <w:rsid w:val="00C956F8"/>
    <w:rsid w:val="00C95753"/>
    <w:rsid w:val="00C957E1"/>
    <w:rsid w:val="00C95817"/>
    <w:rsid w:val="00C95922"/>
    <w:rsid w:val="00C95AF2"/>
    <w:rsid w:val="00C95B1F"/>
    <w:rsid w:val="00C95BC7"/>
    <w:rsid w:val="00C95CA5"/>
    <w:rsid w:val="00C95DE1"/>
    <w:rsid w:val="00C95E8C"/>
    <w:rsid w:val="00C95EE6"/>
    <w:rsid w:val="00C95F1E"/>
    <w:rsid w:val="00C95FA1"/>
    <w:rsid w:val="00C96273"/>
    <w:rsid w:val="00C96360"/>
    <w:rsid w:val="00C9646A"/>
    <w:rsid w:val="00C964C7"/>
    <w:rsid w:val="00C964EC"/>
    <w:rsid w:val="00C96507"/>
    <w:rsid w:val="00C9653C"/>
    <w:rsid w:val="00C9656C"/>
    <w:rsid w:val="00C9661A"/>
    <w:rsid w:val="00C96621"/>
    <w:rsid w:val="00C96784"/>
    <w:rsid w:val="00C96785"/>
    <w:rsid w:val="00C967F5"/>
    <w:rsid w:val="00C968E7"/>
    <w:rsid w:val="00C96943"/>
    <w:rsid w:val="00C969DF"/>
    <w:rsid w:val="00C96B40"/>
    <w:rsid w:val="00C96B79"/>
    <w:rsid w:val="00C96BAD"/>
    <w:rsid w:val="00C96CC9"/>
    <w:rsid w:val="00C96CE1"/>
    <w:rsid w:val="00C96D18"/>
    <w:rsid w:val="00C96E35"/>
    <w:rsid w:val="00C96E83"/>
    <w:rsid w:val="00C96F4B"/>
    <w:rsid w:val="00C96F9C"/>
    <w:rsid w:val="00C971E8"/>
    <w:rsid w:val="00C9743A"/>
    <w:rsid w:val="00C97689"/>
    <w:rsid w:val="00C97836"/>
    <w:rsid w:val="00C97878"/>
    <w:rsid w:val="00C97892"/>
    <w:rsid w:val="00C97895"/>
    <w:rsid w:val="00C97943"/>
    <w:rsid w:val="00C979F9"/>
    <w:rsid w:val="00C97BD4"/>
    <w:rsid w:val="00C97DB7"/>
    <w:rsid w:val="00C97E82"/>
    <w:rsid w:val="00C97F5A"/>
    <w:rsid w:val="00C99ABB"/>
    <w:rsid w:val="00CA032D"/>
    <w:rsid w:val="00CA041F"/>
    <w:rsid w:val="00CA048C"/>
    <w:rsid w:val="00CA04C0"/>
    <w:rsid w:val="00CA051D"/>
    <w:rsid w:val="00CA05C9"/>
    <w:rsid w:val="00CA060A"/>
    <w:rsid w:val="00CA0645"/>
    <w:rsid w:val="00CA080E"/>
    <w:rsid w:val="00CA089A"/>
    <w:rsid w:val="00CA0A0C"/>
    <w:rsid w:val="00CA0A8B"/>
    <w:rsid w:val="00CA0BE2"/>
    <w:rsid w:val="00CA0CCA"/>
    <w:rsid w:val="00CA0E7E"/>
    <w:rsid w:val="00CA0F3A"/>
    <w:rsid w:val="00CA101B"/>
    <w:rsid w:val="00CA10E1"/>
    <w:rsid w:val="00CA12B6"/>
    <w:rsid w:val="00CA12CC"/>
    <w:rsid w:val="00CA1312"/>
    <w:rsid w:val="00CA1463"/>
    <w:rsid w:val="00CA1688"/>
    <w:rsid w:val="00CA16FF"/>
    <w:rsid w:val="00CA18AA"/>
    <w:rsid w:val="00CA1A65"/>
    <w:rsid w:val="00CA1A9B"/>
    <w:rsid w:val="00CA1AF4"/>
    <w:rsid w:val="00CA1B94"/>
    <w:rsid w:val="00CA1DF0"/>
    <w:rsid w:val="00CA1E5A"/>
    <w:rsid w:val="00CA201B"/>
    <w:rsid w:val="00CA20ED"/>
    <w:rsid w:val="00CA2216"/>
    <w:rsid w:val="00CA254C"/>
    <w:rsid w:val="00CA25C0"/>
    <w:rsid w:val="00CA25C9"/>
    <w:rsid w:val="00CA2602"/>
    <w:rsid w:val="00CA2658"/>
    <w:rsid w:val="00CA2678"/>
    <w:rsid w:val="00CA2793"/>
    <w:rsid w:val="00CA284B"/>
    <w:rsid w:val="00CA2923"/>
    <w:rsid w:val="00CA29A6"/>
    <w:rsid w:val="00CA29B9"/>
    <w:rsid w:val="00CA2B14"/>
    <w:rsid w:val="00CA2BDB"/>
    <w:rsid w:val="00CA2C60"/>
    <w:rsid w:val="00CA2CA7"/>
    <w:rsid w:val="00CA2CC4"/>
    <w:rsid w:val="00CA2E0E"/>
    <w:rsid w:val="00CA2E35"/>
    <w:rsid w:val="00CA2E45"/>
    <w:rsid w:val="00CA2F70"/>
    <w:rsid w:val="00CA2FDC"/>
    <w:rsid w:val="00CA304F"/>
    <w:rsid w:val="00CA30C0"/>
    <w:rsid w:val="00CA3387"/>
    <w:rsid w:val="00CA344D"/>
    <w:rsid w:val="00CA35A7"/>
    <w:rsid w:val="00CA36B5"/>
    <w:rsid w:val="00CA36D5"/>
    <w:rsid w:val="00CA376E"/>
    <w:rsid w:val="00CA386B"/>
    <w:rsid w:val="00CA38DD"/>
    <w:rsid w:val="00CA396E"/>
    <w:rsid w:val="00CA3971"/>
    <w:rsid w:val="00CA3A0E"/>
    <w:rsid w:val="00CA3AFA"/>
    <w:rsid w:val="00CA3BA9"/>
    <w:rsid w:val="00CA3C43"/>
    <w:rsid w:val="00CA3D30"/>
    <w:rsid w:val="00CA3D5B"/>
    <w:rsid w:val="00CA3D77"/>
    <w:rsid w:val="00CA3E33"/>
    <w:rsid w:val="00CA3E6C"/>
    <w:rsid w:val="00CA3E84"/>
    <w:rsid w:val="00CA3F6A"/>
    <w:rsid w:val="00CA3FCA"/>
    <w:rsid w:val="00CA3FDC"/>
    <w:rsid w:val="00CA4034"/>
    <w:rsid w:val="00CA4115"/>
    <w:rsid w:val="00CA4200"/>
    <w:rsid w:val="00CA428F"/>
    <w:rsid w:val="00CA42C2"/>
    <w:rsid w:val="00CA437B"/>
    <w:rsid w:val="00CA4521"/>
    <w:rsid w:val="00CA4534"/>
    <w:rsid w:val="00CA468D"/>
    <w:rsid w:val="00CA46A6"/>
    <w:rsid w:val="00CA46E4"/>
    <w:rsid w:val="00CA4A28"/>
    <w:rsid w:val="00CA4B27"/>
    <w:rsid w:val="00CA4B72"/>
    <w:rsid w:val="00CA4BEA"/>
    <w:rsid w:val="00CA4CC4"/>
    <w:rsid w:val="00CA4D83"/>
    <w:rsid w:val="00CA4ED4"/>
    <w:rsid w:val="00CA50AF"/>
    <w:rsid w:val="00CA50BE"/>
    <w:rsid w:val="00CA52BC"/>
    <w:rsid w:val="00CA52FA"/>
    <w:rsid w:val="00CA5308"/>
    <w:rsid w:val="00CA5363"/>
    <w:rsid w:val="00CA53C9"/>
    <w:rsid w:val="00CA540E"/>
    <w:rsid w:val="00CA548B"/>
    <w:rsid w:val="00CA562C"/>
    <w:rsid w:val="00CA571E"/>
    <w:rsid w:val="00CA573F"/>
    <w:rsid w:val="00CA576E"/>
    <w:rsid w:val="00CA580F"/>
    <w:rsid w:val="00CA58ED"/>
    <w:rsid w:val="00CA5911"/>
    <w:rsid w:val="00CA5BDF"/>
    <w:rsid w:val="00CA5D6F"/>
    <w:rsid w:val="00CA5E32"/>
    <w:rsid w:val="00CA5E47"/>
    <w:rsid w:val="00CA5E8C"/>
    <w:rsid w:val="00CA5F2C"/>
    <w:rsid w:val="00CA5FED"/>
    <w:rsid w:val="00CA603A"/>
    <w:rsid w:val="00CA6060"/>
    <w:rsid w:val="00CA609A"/>
    <w:rsid w:val="00CA60D1"/>
    <w:rsid w:val="00CA619B"/>
    <w:rsid w:val="00CA620C"/>
    <w:rsid w:val="00CA6482"/>
    <w:rsid w:val="00CA6485"/>
    <w:rsid w:val="00CA64FF"/>
    <w:rsid w:val="00CA6587"/>
    <w:rsid w:val="00CA660D"/>
    <w:rsid w:val="00CA6794"/>
    <w:rsid w:val="00CA6849"/>
    <w:rsid w:val="00CA68A5"/>
    <w:rsid w:val="00CA6982"/>
    <w:rsid w:val="00CA698B"/>
    <w:rsid w:val="00CA699A"/>
    <w:rsid w:val="00CA69CB"/>
    <w:rsid w:val="00CA6BE7"/>
    <w:rsid w:val="00CA6C0A"/>
    <w:rsid w:val="00CA6C1C"/>
    <w:rsid w:val="00CA6C34"/>
    <w:rsid w:val="00CA6C52"/>
    <w:rsid w:val="00CA6C55"/>
    <w:rsid w:val="00CA6E69"/>
    <w:rsid w:val="00CA6F33"/>
    <w:rsid w:val="00CA6F50"/>
    <w:rsid w:val="00CA702A"/>
    <w:rsid w:val="00CA70B6"/>
    <w:rsid w:val="00CA716B"/>
    <w:rsid w:val="00CA7259"/>
    <w:rsid w:val="00CA72E5"/>
    <w:rsid w:val="00CA7421"/>
    <w:rsid w:val="00CA747E"/>
    <w:rsid w:val="00CA749E"/>
    <w:rsid w:val="00CA74B2"/>
    <w:rsid w:val="00CA759D"/>
    <w:rsid w:val="00CA786E"/>
    <w:rsid w:val="00CA7872"/>
    <w:rsid w:val="00CA788F"/>
    <w:rsid w:val="00CA78BB"/>
    <w:rsid w:val="00CA7BE4"/>
    <w:rsid w:val="00CA7BF8"/>
    <w:rsid w:val="00CA7D4A"/>
    <w:rsid w:val="00CA7EA4"/>
    <w:rsid w:val="00CA7EAE"/>
    <w:rsid w:val="00CA7EDD"/>
    <w:rsid w:val="00CA7FED"/>
    <w:rsid w:val="00CB0055"/>
    <w:rsid w:val="00CB0120"/>
    <w:rsid w:val="00CB01DC"/>
    <w:rsid w:val="00CB0220"/>
    <w:rsid w:val="00CB0326"/>
    <w:rsid w:val="00CB0465"/>
    <w:rsid w:val="00CB0491"/>
    <w:rsid w:val="00CB0AE4"/>
    <w:rsid w:val="00CB0B02"/>
    <w:rsid w:val="00CB0C99"/>
    <w:rsid w:val="00CB0E0D"/>
    <w:rsid w:val="00CB0EE9"/>
    <w:rsid w:val="00CB0FE1"/>
    <w:rsid w:val="00CB10CF"/>
    <w:rsid w:val="00CB11A3"/>
    <w:rsid w:val="00CB1242"/>
    <w:rsid w:val="00CB127B"/>
    <w:rsid w:val="00CB132D"/>
    <w:rsid w:val="00CB14B8"/>
    <w:rsid w:val="00CB14BC"/>
    <w:rsid w:val="00CB1553"/>
    <w:rsid w:val="00CB1612"/>
    <w:rsid w:val="00CB19F2"/>
    <w:rsid w:val="00CB1A26"/>
    <w:rsid w:val="00CB1A39"/>
    <w:rsid w:val="00CB1B49"/>
    <w:rsid w:val="00CB1B4F"/>
    <w:rsid w:val="00CB1C48"/>
    <w:rsid w:val="00CB1C4A"/>
    <w:rsid w:val="00CB1C6D"/>
    <w:rsid w:val="00CB1DCB"/>
    <w:rsid w:val="00CB1E30"/>
    <w:rsid w:val="00CB1E55"/>
    <w:rsid w:val="00CB1E91"/>
    <w:rsid w:val="00CB1F32"/>
    <w:rsid w:val="00CB1F3F"/>
    <w:rsid w:val="00CB1FBC"/>
    <w:rsid w:val="00CB20B0"/>
    <w:rsid w:val="00CB2128"/>
    <w:rsid w:val="00CB21A8"/>
    <w:rsid w:val="00CB2279"/>
    <w:rsid w:val="00CB22DD"/>
    <w:rsid w:val="00CB2360"/>
    <w:rsid w:val="00CB2362"/>
    <w:rsid w:val="00CB2383"/>
    <w:rsid w:val="00CB25AA"/>
    <w:rsid w:val="00CB25E0"/>
    <w:rsid w:val="00CB26A5"/>
    <w:rsid w:val="00CB2754"/>
    <w:rsid w:val="00CB27FF"/>
    <w:rsid w:val="00CB2837"/>
    <w:rsid w:val="00CB28F2"/>
    <w:rsid w:val="00CB2A11"/>
    <w:rsid w:val="00CB2BA3"/>
    <w:rsid w:val="00CB2CFE"/>
    <w:rsid w:val="00CB2E72"/>
    <w:rsid w:val="00CB2F04"/>
    <w:rsid w:val="00CB2F18"/>
    <w:rsid w:val="00CB30B7"/>
    <w:rsid w:val="00CB31CC"/>
    <w:rsid w:val="00CB3280"/>
    <w:rsid w:val="00CB35C0"/>
    <w:rsid w:val="00CB37B4"/>
    <w:rsid w:val="00CB385C"/>
    <w:rsid w:val="00CB3906"/>
    <w:rsid w:val="00CB3958"/>
    <w:rsid w:val="00CB39FC"/>
    <w:rsid w:val="00CB3B19"/>
    <w:rsid w:val="00CB3B23"/>
    <w:rsid w:val="00CB3BB6"/>
    <w:rsid w:val="00CB3CC5"/>
    <w:rsid w:val="00CB3D98"/>
    <w:rsid w:val="00CB407B"/>
    <w:rsid w:val="00CB409A"/>
    <w:rsid w:val="00CB40F2"/>
    <w:rsid w:val="00CB417B"/>
    <w:rsid w:val="00CB41A4"/>
    <w:rsid w:val="00CB421A"/>
    <w:rsid w:val="00CB4254"/>
    <w:rsid w:val="00CB433A"/>
    <w:rsid w:val="00CB4395"/>
    <w:rsid w:val="00CB43BC"/>
    <w:rsid w:val="00CB43C2"/>
    <w:rsid w:val="00CB4553"/>
    <w:rsid w:val="00CB4616"/>
    <w:rsid w:val="00CB4771"/>
    <w:rsid w:val="00CB483C"/>
    <w:rsid w:val="00CB4AB5"/>
    <w:rsid w:val="00CB4AEB"/>
    <w:rsid w:val="00CB4B12"/>
    <w:rsid w:val="00CB4B89"/>
    <w:rsid w:val="00CB4BF7"/>
    <w:rsid w:val="00CB4E32"/>
    <w:rsid w:val="00CB4EB1"/>
    <w:rsid w:val="00CB4EEE"/>
    <w:rsid w:val="00CB4FBF"/>
    <w:rsid w:val="00CB4FD4"/>
    <w:rsid w:val="00CB513B"/>
    <w:rsid w:val="00CB51B2"/>
    <w:rsid w:val="00CB51F9"/>
    <w:rsid w:val="00CB526E"/>
    <w:rsid w:val="00CB5304"/>
    <w:rsid w:val="00CB56D8"/>
    <w:rsid w:val="00CB56F0"/>
    <w:rsid w:val="00CB572B"/>
    <w:rsid w:val="00CB5980"/>
    <w:rsid w:val="00CB59C1"/>
    <w:rsid w:val="00CB5F67"/>
    <w:rsid w:val="00CB602D"/>
    <w:rsid w:val="00CB60CF"/>
    <w:rsid w:val="00CB6163"/>
    <w:rsid w:val="00CB61B8"/>
    <w:rsid w:val="00CB61E1"/>
    <w:rsid w:val="00CB622E"/>
    <w:rsid w:val="00CB6350"/>
    <w:rsid w:val="00CB6583"/>
    <w:rsid w:val="00CB679E"/>
    <w:rsid w:val="00CB67D0"/>
    <w:rsid w:val="00CB6A71"/>
    <w:rsid w:val="00CB6B1E"/>
    <w:rsid w:val="00CB6B62"/>
    <w:rsid w:val="00CB6D39"/>
    <w:rsid w:val="00CB6E85"/>
    <w:rsid w:val="00CB6E94"/>
    <w:rsid w:val="00CB6EF6"/>
    <w:rsid w:val="00CB6F5B"/>
    <w:rsid w:val="00CB7007"/>
    <w:rsid w:val="00CB70BE"/>
    <w:rsid w:val="00CB70F6"/>
    <w:rsid w:val="00CB718B"/>
    <w:rsid w:val="00CB73FF"/>
    <w:rsid w:val="00CB74CA"/>
    <w:rsid w:val="00CB7525"/>
    <w:rsid w:val="00CB75E8"/>
    <w:rsid w:val="00CB7682"/>
    <w:rsid w:val="00CB7729"/>
    <w:rsid w:val="00CB7771"/>
    <w:rsid w:val="00CB7A7C"/>
    <w:rsid w:val="00CB7ABD"/>
    <w:rsid w:val="00CB7B24"/>
    <w:rsid w:val="00CB7D45"/>
    <w:rsid w:val="00CB7F1E"/>
    <w:rsid w:val="00CB7F45"/>
    <w:rsid w:val="00CB7FBF"/>
    <w:rsid w:val="00CC0030"/>
    <w:rsid w:val="00CC0049"/>
    <w:rsid w:val="00CC007E"/>
    <w:rsid w:val="00CC01A8"/>
    <w:rsid w:val="00CC01FB"/>
    <w:rsid w:val="00CC02DC"/>
    <w:rsid w:val="00CC0306"/>
    <w:rsid w:val="00CC0382"/>
    <w:rsid w:val="00CC04CC"/>
    <w:rsid w:val="00CC05B3"/>
    <w:rsid w:val="00CC05EA"/>
    <w:rsid w:val="00CC06A5"/>
    <w:rsid w:val="00CC0729"/>
    <w:rsid w:val="00CC08FA"/>
    <w:rsid w:val="00CC0A05"/>
    <w:rsid w:val="00CC0A85"/>
    <w:rsid w:val="00CC0ABE"/>
    <w:rsid w:val="00CC0AC4"/>
    <w:rsid w:val="00CC0CAC"/>
    <w:rsid w:val="00CC0D9E"/>
    <w:rsid w:val="00CC0D9F"/>
    <w:rsid w:val="00CC0E1F"/>
    <w:rsid w:val="00CC100A"/>
    <w:rsid w:val="00CC11A4"/>
    <w:rsid w:val="00CC11C7"/>
    <w:rsid w:val="00CC11DC"/>
    <w:rsid w:val="00CC121C"/>
    <w:rsid w:val="00CC1262"/>
    <w:rsid w:val="00CC1277"/>
    <w:rsid w:val="00CC1285"/>
    <w:rsid w:val="00CC139B"/>
    <w:rsid w:val="00CC13C5"/>
    <w:rsid w:val="00CC1431"/>
    <w:rsid w:val="00CC1522"/>
    <w:rsid w:val="00CC1538"/>
    <w:rsid w:val="00CC16A3"/>
    <w:rsid w:val="00CC18EF"/>
    <w:rsid w:val="00CC19D3"/>
    <w:rsid w:val="00CC19D8"/>
    <w:rsid w:val="00CC1A29"/>
    <w:rsid w:val="00CC1B42"/>
    <w:rsid w:val="00CC1BEB"/>
    <w:rsid w:val="00CC1CC4"/>
    <w:rsid w:val="00CC1D1B"/>
    <w:rsid w:val="00CC1E72"/>
    <w:rsid w:val="00CC1F30"/>
    <w:rsid w:val="00CC1F7F"/>
    <w:rsid w:val="00CC203D"/>
    <w:rsid w:val="00CC208B"/>
    <w:rsid w:val="00CC2100"/>
    <w:rsid w:val="00CC2123"/>
    <w:rsid w:val="00CC21D7"/>
    <w:rsid w:val="00CC2237"/>
    <w:rsid w:val="00CC2359"/>
    <w:rsid w:val="00CC2392"/>
    <w:rsid w:val="00CC23D7"/>
    <w:rsid w:val="00CC2427"/>
    <w:rsid w:val="00CC2466"/>
    <w:rsid w:val="00CC2647"/>
    <w:rsid w:val="00CC2660"/>
    <w:rsid w:val="00CC268C"/>
    <w:rsid w:val="00CC274B"/>
    <w:rsid w:val="00CC2838"/>
    <w:rsid w:val="00CC2872"/>
    <w:rsid w:val="00CC28CD"/>
    <w:rsid w:val="00CC2916"/>
    <w:rsid w:val="00CC293D"/>
    <w:rsid w:val="00CC2BB1"/>
    <w:rsid w:val="00CC2C5E"/>
    <w:rsid w:val="00CC2CA6"/>
    <w:rsid w:val="00CC2EFE"/>
    <w:rsid w:val="00CC2F8E"/>
    <w:rsid w:val="00CC30AA"/>
    <w:rsid w:val="00CC30F5"/>
    <w:rsid w:val="00CC312D"/>
    <w:rsid w:val="00CC3200"/>
    <w:rsid w:val="00CC3228"/>
    <w:rsid w:val="00CC332E"/>
    <w:rsid w:val="00CC3440"/>
    <w:rsid w:val="00CC344E"/>
    <w:rsid w:val="00CC350D"/>
    <w:rsid w:val="00CC351B"/>
    <w:rsid w:val="00CC3727"/>
    <w:rsid w:val="00CC3729"/>
    <w:rsid w:val="00CC37D2"/>
    <w:rsid w:val="00CC381D"/>
    <w:rsid w:val="00CC3878"/>
    <w:rsid w:val="00CC3955"/>
    <w:rsid w:val="00CC3ACC"/>
    <w:rsid w:val="00CC3B00"/>
    <w:rsid w:val="00CC3B88"/>
    <w:rsid w:val="00CC3D25"/>
    <w:rsid w:val="00CC3FCD"/>
    <w:rsid w:val="00CC4105"/>
    <w:rsid w:val="00CC4132"/>
    <w:rsid w:val="00CC429F"/>
    <w:rsid w:val="00CC4356"/>
    <w:rsid w:val="00CC4388"/>
    <w:rsid w:val="00CC43E3"/>
    <w:rsid w:val="00CC444F"/>
    <w:rsid w:val="00CC46A0"/>
    <w:rsid w:val="00CC46C0"/>
    <w:rsid w:val="00CC46C7"/>
    <w:rsid w:val="00CC4716"/>
    <w:rsid w:val="00CC47FD"/>
    <w:rsid w:val="00CC48EC"/>
    <w:rsid w:val="00CC495D"/>
    <w:rsid w:val="00CC49B5"/>
    <w:rsid w:val="00CC4A5F"/>
    <w:rsid w:val="00CC4C52"/>
    <w:rsid w:val="00CC51B9"/>
    <w:rsid w:val="00CC5295"/>
    <w:rsid w:val="00CC5313"/>
    <w:rsid w:val="00CC5464"/>
    <w:rsid w:val="00CC557E"/>
    <w:rsid w:val="00CC5596"/>
    <w:rsid w:val="00CC55C4"/>
    <w:rsid w:val="00CC565D"/>
    <w:rsid w:val="00CC56A5"/>
    <w:rsid w:val="00CC575C"/>
    <w:rsid w:val="00CC5775"/>
    <w:rsid w:val="00CC57A9"/>
    <w:rsid w:val="00CC58C9"/>
    <w:rsid w:val="00CC58F5"/>
    <w:rsid w:val="00CC5A79"/>
    <w:rsid w:val="00CC5DD3"/>
    <w:rsid w:val="00CC5EE1"/>
    <w:rsid w:val="00CC5FFF"/>
    <w:rsid w:val="00CC603B"/>
    <w:rsid w:val="00CC6228"/>
    <w:rsid w:val="00CC6235"/>
    <w:rsid w:val="00CC6239"/>
    <w:rsid w:val="00CC62E4"/>
    <w:rsid w:val="00CC645B"/>
    <w:rsid w:val="00CC656E"/>
    <w:rsid w:val="00CC65D3"/>
    <w:rsid w:val="00CC65ED"/>
    <w:rsid w:val="00CC6654"/>
    <w:rsid w:val="00CC6655"/>
    <w:rsid w:val="00CC66A5"/>
    <w:rsid w:val="00CC66B6"/>
    <w:rsid w:val="00CC66E8"/>
    <w:rsid w:val="00CC672F"/>
    <w:rsid w:val="00CC6796"/>
    <w:rsid w:val="00CC67A8"/>
    <w:rsid w:val="00CC6889"/>
    <w:rsid w:val="00CC6897"/>
    <w:rsid w:val="00CC69DA"/>
    <w:rsid w:val="00CC6B12"/>
    <w:rsid w:val="00CC6B5B"/>
    <w:rsid w:val="00CC6B8F"/>
    <w:rsid w:val="00CC6BF5"/>
    <w:rsid w:val="00CC6C7C"/>
    <w:rsid w:val="00CC6C8A"/>
    <w:rsid w:val="00CC6D26"/>
    <w:rsid w:val="00CC6F9A"/>
    <w:rsid w:val="00CC71DB"/>
    <w:rsid w:val="00CC7314"/>
    <w:rsid w:val="00CC73EA"/>
    <w:rsid w:val="00CC750B"/>
    <w:rsid w:val="00CC757D"/>
    <w:rsid w:val="00CC7607"/>
    <w:rsid w:val="00CC7683"/>
    <w:rsid w:val="00CC77A1"/>
    <w:rsid w:val="00CC77D8"/>
    <w:rsid w:val="00CC7808"/>
    <w:rsid w:val="00CC7967"/>
    <w:rsid w:val="00CC7A28"/>
    <w:rsid w:val="00CC7A78"/>
    <w:rsid w:val="00CC7ACF"/>
    <w:rsid w:val="00CC7B1A"/>
    <w:rsid w:val="00CC7C7E"/>
    <w:rsid w:val="00CC7CB8"/>
    <w:rsid w:val="00CC7D52"/>
    <w:rsid w:val="00CC7E29"/>
    <w:rsid w:val="00CC7EF8"/>
    <w:rsid w:val="00CD0000"/>
    <w:rsid w:val="00CD00B1"/>
    <w:rsid w:val="00CD0127"/>
    <w:rsid w:val="00CD037E"/>
    <w:rsid w:val="00CD0579"/>
    <w:rsid w:val="00CD05A2"/>
    <w:rsid w:val="00CD0776"/>
    <w:rsid w:val="00CD0949"/>
    <w:rsid w:val="00CD0B57"/>
    <w:rsid w:val="00CD0B68"/>
    <w:rsid w:val="00CD0DBB"/>
    <w:rsid w:val="00CD0DF4"/>
    <w:rsid w:val="00CD0E6A"/>
    <w:rsid w:val="00CD0EC7"/>
    <w:rsid w:val="00CD0F66"/>
    <w:rsid w:val="00CD0F93"/>
    <w:rsid w:val="00CD0F96"/>
    <w:rsid w:val="00CD0FFD"/>
    <w:rsid w:val="00CD10A4"/>
    <w:rsid w:val="00CD11FE"/>
    <w:rsid w:val="00CD1227"/>
    <w:rsid w:val="00CD1304"/>
    <w:rsid w:val="00CD1309"/>
    <w:rsid w:val="00CD13CB"/>
    <w:rsid w:val="00CD156F"/>
    <w:rsid w:val="00CD1684"/>
    <w:rsid w:val="00CD16B1"/>
    <w:rsid w:val="00CD17E8"/>
    <w:rsid w:val="00CD1B33"/>
    <w:rsid w:val="00CD1CAF"/>
    <w:rsid w:val="00CD1DD5"/>
    <w:rsid w:val="00CD1E4F"/>
    <w:rsid w:val="00CD1E68"/>
    <w:rsid w:val="00CD1E8B"/>
    <w:rsid w:val="00CD1E8E"/>
    <w:rsid w:val="00CD1EE5"/>
    <w:rsid w:val="00CD1EF2"/>
    <w:rsid w:val="00CD1F22"/>
    <w:rsid w:val="00CD1F4D"/>
    <w:rsid w:val="00CD1F77"/>
    <w:rsid w:val="00CD1F84"/>
    <w:rsid w:val="00CD2102"/>
    <w:rsid w:val="00CD2317"/>
    <w:rsid w:val="00CD231B"/>
    <w:rsid w:val="00CD2471"/>
    <w:rsid w:val="00CD250F"/>
    <w:rsid w:val="00CD2521"/>
    <w:rsid w:val="00CD2533"/>
    <w:rsid w:val="00CD259A"/>
    <w:rsid w:val="00CD25EC"/>
    <w:rsid w:val="00CD2621"/>
    <w:rsid w:val="00CD2749"/>
    <w:rsid w:val="00CD27A0"/>
    <w:rsid w:val="00CD2965"/>
    <w:rsid w:val="00CD2B1B"/>
    <w:rsid w:val="00CD2B92"/>
    <w:rsid w:val="00CD2BFD"/>
    <w:rsid w:val="00CD2CB9"/>
    <w:rsid w:val="00CD2D5A"/>
    <w:rsid w:val="00CD2F02"/>
    <w:rsid w:val="00CD305C"/>
    <w:rsid w:val="00CD305D"/>
    <w:rsid w:val="00CD30F4"/>
    <w:rsid w:val="00CD3107"/>
    <w:rsid w:val="00CD3127"/>
    <w:rsid w:val="00CD3149"/>
    <w:rsid w:val="00CD3181"/>
    <w:rsid w:val="00CD3207"/>
    <w:rsid w:val="00CD3239"/>
    <w:rsid w:val="00CD3255"/>
    <w:rsid w:val="00CD329C"/>
    <w:rsid w:val="00CD3359"/>
    <w:rsid w:val="00CD344D"/>
    <w:rsid w:val="00CD36A0"/>
    <w:rsid w:val="00CD377E"/>
    <w:rsid w:val="00CD3893"/>
    <w:rsid w:val="00CD39B5"/>
    <w:rsid w:val="00CD39FF"/>
    <w:rsid w:val="00CD3AD9"/>
    <w:rsid w:val="00CD3ADA"/>
    <w:rsid w:val="00CD3C39"/>
    <w:rsid w:val="00CD3ED2"/>
    <w:rsid w:val="00CD3F58"/>
    <w:rsid w:val="00CD4179"/>
    <w:rsid w:val="00CD42B2"/>
    <w:rsid w:val="00CD4399"/>
    <w:rsid w:val="00CD44ED"/>
    <w:rsid w:val="00CD467E"/>
    <w:rsid w:val="00CD4874"/>
    <w:rsid w:val="00CD48B5"/>
    <w:rsid w:val="00CD4992"/>
    <w:rsid w:val="00CD4C58"/>
    <w:rsid w:val="00CD4D37"/>
    <w:rsid w:val="00CD4D72"/>
    <w:rsid w:val="00CD4E88"/>
    <w:rsid w:val="00CD50B6"/>
    <w:rsid w:val="00CD51F4"/>
    <w:rsid w:val="00CD522C"/>
    <w:rsid w:val="00CD5286"/>
    <w:rsid w:val="00CD535D"/>
    <w:rsid w:val="00CD5B09"/>
    <w:rsid w:val="00CD5B63"/>
    <w:rsid w:val="00CD5B8D"/>
    <w:rsid w:val="00CD5B9C"/>
    <w:rsid w:val="00CD5C26"/>
    <w:rsid w:val="00CD5CB1"/>
    <w:rsid w:val="00CD5CB4"/>
    <w:rsid w:val="00CD5DB3"/>
    <w:rsid w:val="00CD5E08"/>
    <w:rsid w:val="00CD5F0E"/>
    <w:rsid w:val="00CD63AD"/>
    <w:rsid w:val="00CD6444"/>
    <w:rsid w:val="00CD64A0"/>
    <w:rsid w:val="00CD64D0"/>
    <w:rsid w:val="00CD659D"/>
    <w:rsid w:val="00CD67C2"/>
    <w:rsid w:val="00CD68AA"/>
    <w:rsid w:val="00CD69FF"/>
    <w:rsid w:val="00CD6A00"/>
    <w:rsid w:val="00CD6AB6"/>
    <w:rsid w:val="00CD6AC3"/>
    <w:rsid w:val="00CD6AEA"/>
    <w:rsid w:val="00CD6AFC"/>
    <w:rsid w:val="00CD6B6D"/>
    <w:rsid w:val="00CD6BC3"/>
    <w:rsid w:val="00CD6CA6"/>
    <w:rsid w:val="00CD6D47"/>
    <w:rsid w:val="00CD6D8A"/>
    <w:rsid w:val="00CD6DE2"/>
    <w:rsid w:val="00CD6E13"/>
    <w:rsid w:val="00CD6E64"/>
    <w:rsid w:val="00CD6E99"/>
    <w:rsid w:val="00CD6EA7"/>
    <w:rsid w:val="00CD6F48"/>
    <w:rsid w:val="00CD6F50"/>
    <w:rsid w:val="00CD7176"/>
    <w:rsid w:val="00CD71F6"/>
    <w:rsid w:val="00CD7212"/>
    <w:rsid w:val="00CD733D"/>
    <w:rsid w:val="00CD737C"/>
    <w:rsid w:val="00CD7482"/>
    <w:rsid w:val="00CD74AE"/>
    <w:rsid w:val="00CD753F"/>
    <w:rsid w:val="00CD768E"/>
    <w:rsid w:val="00CD76D6"/>
    <w:rsid w:val="00CD7772"/>
    <w:rsid w:val="00CD77AD"/>
    <w:rsid w:val="00CD7821"/>
    <w:rsid w:val="00CD792E"/>
    <w:rsid w:val="00CD7996"/>
    <w:rsid w:val="00CD79F5"/>
    <w:rsid w:val="00CD7BB2"/>
    <w:rsid w:val="00CD7BC7"/>
    <w:rsid w:val="00CD7C33"/>
    <w:rsid w:val="00CD7D89"/>
    <w:rsid w:val="00CD7F56"/>
    <w:rsid w:val="00CD7F95"/>
    <w:rsid w:val="00CE0032"/>
    <w:rsid w:val="00CE007D"/>
    <w:rsid w:val="00CE011D"/>
    <w:rsid w:val="00CE0219"/>
    <w:rsid w:val="00CE0260"/>
    <w:rsid w:val="00CE02E7"/>
    <w:rsid w:val="00CE0345"/>
    <w:rsid w:val="00CE0373"/>
    <w:rsid w:val="00CE03B4"/>
    <w:rsid w:val="00CE03FC"/>
    <w:rsid w:val="00CE054E"/>
    <w:rsid w:val="00CE0588"/>
    <w:rsid w:val="00CE0668"/>
    <w:rsid w:val="00CE08EA"/>
    <w:rsid w:val="00CE0B64"/>
    <w:rsid w:val="00CE0D14"/>
    <w:rsid w:val="00CE0E63"/>
    <w:rsid w:val="00CE0FAF"/>
    <w:rsid w:val="00CE0FCE"/>
    <w:rsid w:val="00CE0FD1"/>
    <w:rsid w:val="00CE1040"/>
    <w:rsid w:val="00CE105F"/>
    <w:rsid w:val="00CE107C"/>
    <w:rsid w:val="00CE10B7"/>
    <w:rsid w:val="00CE10D5"/>
    <w:rsid w:val="00CE11E0"/>
    <w:rsid w:val="00CE12D8"/>
    <w:rsid w:val="00CE1328"/>
    <w:rsid w:val="00CE14D7"/>
    <w:rsid w:val="00CE1514"/>
    <w:rsid w:val="00CE1928"/>
    <w:rsid w:val="00CE19A0"/>
    <w:rsid w:val="00CE1ACC"/>
    <w:rsid w:val="00CE1B8D"/>
    <w:rsid w:val="00CE1BA1"/>
    <w:rsid w:val="00CE1D6D"/>
    <w:rsid w:val="00CE1DA5"/>
    <w:rsid w:val="00CE1DF7"/>
    <w:rsid w:val="00CE1F5B"/>
    <w:rsid w:val="00CE1F5C"/>
    <w:rsid w:val="00CE1F86"/>
    <w:rsid w:val="00CE2044"/>
    <w:rsid w:val="00CE2057"/>
    <w:rsid w:val="00CE2072"/>
    <w:rsid w:val="00CE210D"/>
    <w:rsid w:val="00CE221E"/>
    <w:rsid w:val="00CE22E1"/>
    <w:rsid w:val="00CE2449"/>
    <w:rsid w:val="00CE244E"/>
    <w:rsid w:val="00CE2805"/>
    <w:rsid w:val="00CE29DC"/>
    <w:rsid w:val="00CE2B72"/>
    <w:rsid w:val="00CE2B83"/>
    <w:rsid w:val="00CE2CE8"/>
    <w:rsid w:val="00CE2F52"/>
    <w:rsid w:val="00CE310D"/>
    <w:rsid w:val="00CE312C"/>
    <w:rsid w:val="00CE3145"/>
    <w:rsid w:val="00CE3154"/>
    <w:rsid w:val="00CE3357"/>
    <w:rsid w:val="00CE3472"/>
    <w:rsid w:val="00CE3495"/>
    <w:rsid w:val="00CE34F2"/>
    <w:rsid w:val="00CE3830"/>
    <w:rsid w:val="00CE3873"/>
    <w:rsid w:val="00CE3889"/>
    <w:rsid w:val="00CE38F6"/>
    <w:rsid w:val="00CE39A6"/>
    <w:rsid w:val="00CE3A28"/>
    <w:rsid w:val="00CE3A36"/>
    <w:rsid w:val="00CE3B4E"/>
    <w:rsid w:val="00CE3C59"/>
    <w:rsid w:val="00CE3D14"/>
    <w:rsid w:val="00CE3D8C"/>
    <w:rsid w:val="00CE3DE9"/>
    <w:rsid w:val="00CE40F5"/>
    <w:rsid w:val="00CE41A2"/>
    <w:rsid w:val="00CE4376"/>
    <w:rsid w:val="00CE43EB"/>
    <w:rsid w:val="00CE44A3"/>
    <w:rsid w:val="00CE44C2"/>
    <w:rsid w:val="00CE4509"/>
    <w:rsid w:val="00CE461A"/>
    <w:rsid w:val="00CE48C3"/>
    <w:rsid w:val="00CE49CD"/>
    <w:rsid w:val="00CE4A6A"/>
    <w:rsid w:val="00CE4B11"/>
    <w:rsid w:val="00CE4B46"/>
    <w:rsid w:val="00CE4C85"/>
    <w:rsid w:val="00CE4CBE"/>
    <w:rsid w:val="00CE4D21"/>
    <w:rsid w:val="00CE4D48"/>
    <w:rsid w:val="00CE4F12"/>
    <w:rsid w:val="00CE4F66"/>
    <w:rsid w:val="00CE4F6D"/>
    <w:rsid w:val="00CE5125"/>
    <w:rsid w:val="00CE5304"/>
    <w:rsid w:val="00CE541B"/>
    <w:rsid w:val="00CE5491"/>
    <w:rsid w:val="00CE5571"/>
    <w:rsid w:val="00CE558D"/>
    <w:rsid w:val="00CE5728"/>
    <w:rsid w:val="00CE5997"/>
    <w:rsid w:val="00CE59ED"/>
    <w:rsid w:val="00CE5AAF"/>
    <w:rsid w:val="00CE5ADB"/>
    <w:rsid w:val="00CE5BDD"/>
    <w:rsid w:val="00CE5CD2"/>
    <w:rsid w:val="00CE5CE1"/>
    <w:rsid w:val="00CE5CF3"/>
    <w:rsid w:val="00CE5D0C"/>
    <w:rsid w:val="00CE5D38"/>
    <w:rsid w:val="00CE5DDE"/>
    <w:rsid w:val="00CE5DE6"/>
    <w:rsid w:val="00CE5E0B"/>
    <w:rsid w:val="00CE5F16"/>
    <w:rsid w:val="00CE6127"/>
    <w:rsid w:val="00CE620E"/>
    <w:rsid w:val="00CE6276"/>
    <w:rsid w:val="00CE62B7"/>
    <w:rsid w:val="00CE62CB"/>
    <w:rsid w:val="00CE62F1"/>
    <w:rsid w:val="00CE6348"/>
    <w:rsid w:val="00CE639B"/>
    <w:rsid w:val="00CE63C4"/>
    <w:rsid w:val="00CE63C8"/>
    <w:rsid w:val="00CE6486"/>
    <w:rsid w:val="00CE657A"/>
    <w:rsid w:val="00CE6610"/>
    <w:rsid w:val="00CE669D"/>
    <w:rsid w:val="00CE67B2"/>
    <w:rsid w:val="00CE67B7"/>
    <w:rsid w:val="00CE6816"/>
    <w:rsid w:val="00CE6878"/>
    <w:rsid w:val="00CE6887"/>
    <w:rsid w:val="00CE6898"/>
    <w:rsid w:val="00CE69AD"/>
    <w:rsid w:val="00CE6BFA"/>
    <w:rsid w:val="00CE6D71"/>
    <w:rsid w:val="00CE6E99"/>
    <w:rsid w:val="00CE6F1B"/>
    <w:rsid w:val="00CE6F7E"/>
    <w:rsid w:val="00CE7185"/>
    <w:rsid w:val="00CE726D"/>
    <w:rsid w:val="00CE7306"/>
    <w:rsid w:val="00CE73A0"/>
    <w:rsid w:val="00CE73F6"/>
    <w:rsid w:val="00CE74AB"/>
    <w:rsid w:val="00CE7684"/>
    <w:rsid w:val="00CE7766"/>
    <w:rsid w:val="00CE782E"/>
    <w:rsid w:val="00CE7834"/>
    <w:rsid w:val="00CE785D"/>
    <w:rsid w:val="00CE7936"/>
    <w:rsid w:val="00CE793E"/>
    <w:rsid w:val="00CE79EF"/>
    <w:rsid w:val="00CE7A02"/>
    <w:rsid w:val="00CE7B88"/>
    <w:rsid w:val="00CE7C82"/>
    <w:rsid w:val="00CF018D"/>
    <w:rsid w:val="00CF01DF"/>
    <w:rsid w:val="00CF024E"/>
    <w:rsid w:val="00CF02F3"/>
    <w:rsid w:val="00CF06BA"/>
    <w:rsid w:val="00CF06DD"/>
    <w:rsid w:val="00CF0790"/>
    <w:rsid w:val="00CF0A33"/>
    <w:rsid w:val="00CF0B41"/>
    <w:rsid w:val="00CF0B77"/>
    <w:rsid w:val="00CF0CA7"/>
    <w:rsid w:val="00CF0CF1"/>
    <w:rsid w:val="00CF0D1C"/>
    <w:rsid w:val="00CF0F53"/>
    <w:rsid w:val="00CF115D"/>
    <w:rsid w:val="00CF11BE"/>
    <w:rsid w:val="00CF1235"/>
    <w:rsid w:val="00CF12EA"/>
    <w:rsid w:val="00CF15E1"/>
    <w:rsid w:val="00CF15E8"/>
    <w:rsid w:val="00CF16A0"/>
    <w:rsid w:val="00CF177D"/>
    <w:rsid w:val="00CF195F"/>
    <w:rsid w:val="00CF1A15"/>
    <w:rsid w:val="00CF1A2C"/>
    <w:rsid w:val="00CF1A81"/>
    <w:rsid w:val="00CF1A96"/>
    <w:rsid w:val="00CF1B7D"/>
    <w:rsid w:val="00CF1B8B"/>
    <w:rsid w:val="00CF1BFC"/>
    <w:rsid w:val="00CF1C37"/>
    <w:rsid w:val="00CF1C72"/>
    <w:rsid w:val="00CF1C92"/>
    <w:rsid w:val="00CF1D22"/>
    <w:rsid w:val="00CF1DD5"/>
    <w:rsid w:val="00CF1E34"/>
    <w:rsid w:val="00CF1E81"/>
    <w:rsid w:val="00CF1FC2"/>
    <w:rsid w:val="00CF1FC7"/>
    <w:rsid w:val="00CF2005"/>
    <w:rsid w:val="00CF2024"/>
    <w:rsid w:val="00CF205D"/>
    <w:rsid w:val="00CF2092"/>
    <w:rsid w:val="00CF219B"/>
    <w:rsid w:val="00CF21B9"/>
    <w:rsid w:val="00CF2265"/>
    <w:rsid w:val="00CF226D"/>
    <w:rsid w:val="00CF23A8"/>
    <w:rsid w:val="00CF242C"/>
    <w:rsid w:val="00CF2433"/>
    <w:rsid w:val="00CF24D8"/>
    <w:rsid w:val="00CF27A5"/>
    <w:rsid w:val="00CF282E"/>
    <w:rsid w:val="00CF2856"/>
    <w:rsid w:val="00CF28B4"/>
    <w:rsid w:val="00CF29B4"/>
    <w:rsid w:val="00CF2A3E"/>
    <w:rsid w:val="00CF2B14"/>
    <w:rsid w:val="00CF2B23"/>
    <w:rsid w:val="00CF2B6B"/>
    <w:rsid w:val="00CF2E51"/>
    <w:rsid w:val="00CF2F4D"/>
    <w:rsid w:val="00CF2F70"/>
    <w:rsid w:val="00CF301F"/>
    <w:rsid w:val="00CF324B"/>
    <w:rsid w:val="00CF3264"/>
    <w:rsid w:val="00CF32AE"/>
    <w:rsid w:val="00CF334D"/>
    <w:rsid w:val="00CF345F"/>
    <w:rsid w:val="00CF3483"/>
    <w:rsid w:val="00CF34D6"/>
    <w:rsid w:val="00CF352B"/>
    <w:rsid w:val="00CF356E"/>
    <w:rsid w:val="00CF37E4"/>
    <w:rsid w:val="00CF37FB"/>
    <w:rsid w:val="00CF3808"/>
    <w:rsid w:val="00CF38BB"/>
    <w:rsid w:val="00CF38ED"/>
    <w:rsid w:val="00CF3AD0"/>
    <w:rsid w:val="00CF3B28"/>
    <w:rsid w:val="00CF3E16"/>
    <w:rsid w:val="00CF3E23"/>
    <w:rsid w:val="00CF3E59"/>
    <w:rsid w:val="00CF4037"/>
    <w:rsid w:val="00CF4075"/>
    <w:rsid w:val="00CF4102"/>
    <w:rsid w:val="00CF418B"/>
    <w:rsid w:val="00CF4289"/>
    <w:rsid w:val="00CF43EB"/>
    <w:rsid w:val="00CF4605"/>
    <w:rsid w:val="00CF462B"/>
    <w:rsid w:val="00CF46BE"/>
    <w:rsid w:val="00CF46E0"/>
    <w:rsid w:val="00CF4892"/>
    <w:rsid w:val="00CF4919"/>
    <w:rsid w:val="00CF496C"/>
    <w:rsid w:val="00CF49E9"/>
    <w:rsid w:val="00CF4A2D"/>
    <w:rsid w:val="00CF4B83"/>
    <w:rsid w:val="00CF4BDA"/>
    <w:rsid w:val="00CF4C43"/>
    <w:rsid w:val="00CF4E0E"/>
    <w:rsid w:val="00CF4EA2"/>
    <w:rsid w:val="00CF4FBC"/>
    <w:rsid w:val="00CF50B8"/>
    <w:rsid w:val="00CF515C"/>
    <w:rsid w:val="00CF5210"/>
    <w:rsid w:val="00CF5219"/>
    <w:rsid w:val="00CF5278"/>
    <w:rsid w:val="00CF5387"/>
    <w:rsid w:val="00CF55FC"/>
    <w:rsid w:val="00CF5659"/>
    <w:rsid w:val="00CF567F"/>
    <w:rsid w:val="00CF569B"/>
    <w:rsid w:val="00CF56B7"/>
    <w:rsid w:val="00CF5833"/>
    <w:rsid w:val="00CF58AC"/>
    <w:rsid w:val="00CF5A69"/>
    <w:rsid w:val="00CF5B05"/>
    <w:rsid w:val="00CF5B39"/>
    <w:rsid w:val="00CF5B74"/>
    <w:rsid w:val="00CF5BD1"/>
    <w:rsid w:val="00CF5C0E"/>
    <w:rsid w:val="00CF5E5B"/>
    <w:rsid w:val="00CF5E88"/>
    <w:rsid w:val="00CF5EF9"/>
    <w:rsid w:val="00CF5FAD"/>
    <w:rsid w:val="00CF60B2"/>
    <w:rsid w:val="00CF60B9"/>
    <w:rsid w:val="00CF6221"/>
    <w:rsid w:val="00CF62E6"/>
    <w:rsid w:val="00CF62F4"/>
    <w:rsid w:val="00CF63BB"/>
    <w:rsid w:val="00CF644A"/>
    <w:rsid w:val="00CF64CC"/>
    <w:rsid w:val="00CF64E6"/>
    <w:rsid w:val="00CF6504"/>
    <w:rsid w:val="00CF6559"/>
    <w:rsid w:val="00CF6670"/>
    <w:rsid w:val="00CF66CD"/>
    <w:rsid w:val="00CF6863"/>
    <w:rsid w:val="00CF68F5"/>
    <w:rsid w:val="00CF69AB"/>
    <w:rsid w:val="00CF69C0"/>
    <w:rsid w:val="00CF69DB"/>
    <w:rsid w:val="00CF6A6D"/>
    <w:rsid w:val="00CF6C9E"/>
    <w:rsid w:val="00CF6DD1"/>
    <w:rsid w:val="00CF6E19"/>
    <w:rsid w:val="00CF6F22"/>
    <w:rsid w:val="00CF6F2C"/>
    <w:rsid w:val="00CF6F40"/>
    <w:rsid w:val="00CF6F64"/>
    <w:rsid w:val="00CF6FE1"/>
    <w:rsid w:val="00CF701B"/>
    <w:rsid w:val="00CF714D"/>
    <w:rsid w:val="00CF73CD"/>
    <w:rsid w:val="00CF7532"/>
    <w:rsid w:val="00CF75E9"/>
    <w:rsid w:val="00CF7BFF"/>
    <w:rsid w:val="00CF7C91"/>
    <w:rsid w:val="00CF7CB9"/>
    <w:rsid w:val="00CF7F2C"/>
    <w:rsid w:val="00CF7F6D"/>
    <w:rsid w:val="00D00010"/>
    <w:rsid w:val="00D00168"/>
    <w:rsid w:val="00D0029D"/>
    <w:rsid w:val="00D002D8"/>
    <w:rsid w:val="00D00307"/>
    <w:rsid w:val="00D0030F"/>
    <w:rsid w:val="00D00312"/>
    <w:rsid w:val="00D004A7"/>
    <w:rsid w:val="00D004EF"/>
    <w:rsid w:val="00D004F9"/>
    <w:rsid w:val="00D00758"/>
    <w:rsid w:val="00D00762"/>
    <w:rsid w:val="00D0078C"/>
    <w:rsid w:val="00D0079F"/>
    <w:rsid w:val="00D00804"/>
    <w:rsid w:val="00D00879"/>
    <w:rsid w:val="00D008C0"/>
    <w:rsid w:val="00D008FF"/>
    <w:rsid w:val="00D00996"/>
    <w:rsid w:val="00D009FB"/>
    <w:rsid w:val="00D00B5C"/>
    <w:rsid w:val="00D00B9E"/>
    <w:rsid w:val="00D00C76"/>
    <w:rsid w:val="00D00CAE"/>
    <w:rsid w:val="00D00E07"/>
    <w:rsid w:val="00D00EBF"/>
    <w:rsid w:val="00D00F10"/>
    <w:rsid w:val="00D0106D"/>
    <w:rsid w:val="00D01117"/>
    <w:rsid w:val="00D01143"/>
    <w:rsid w:val="00D0119C"/>
    <w:rsid w:val="00D01223"/>
    <w:rsid w:val="00D0123C"/>
    <w:rsid w:val="00D012C6"/>
    <w:rsid w:val="00D012DD"/>
    <w:rsid w:val="00D01329"/>
    <w:rsid w:val="00D0141B"/>
    <w:rsid w:val="00D01443"/>
    <w:rsid w:val="00D014AA"/>
    <w:rsid w:val="00D014D8"/>
    <w:rsid w:val="00D015E2"/>
    <w:rsid w:val="00D015E9"/>
    <w:rsid w:val="00D01638"/>
    <w:rsid w:val="00D016A2"/>
    <w:rsid w:val="00D016E7"/>
    <w:rsid w:val="00D01780"/>
    <w:rsid w:val="00D01813"/>
    <w:rsid w:val="00D01873"/>
    <w:rsid w:val="00D01884"/>
    <w:rsid w:val="00D01988"/>
    <w:rsid w:val="00D01A79"/>
    <w:rsid w:val="00D01AB0"/>
    <w:rsid w:val="00D01D13"/>
    <w:rsid w:val="00D01DC6"/>
    <w:rsid w:val="00D01E81"/>
    <w:rsid w:val="00D01E86"/>
    <w:rsid w:val="00D01E99"/>
    <w:rsid w:val="00D01EBB"/>
    <w:rsid w:val="00D02014"/>
    <w:rsid w:val="00D021E7"/>
    <w:rsid w:val="00D0221D"/>
    <w:rsid w:val="00D0223F"/>
    <w:rsid w:val="00D02393"/>
    <w:rsid w:val="00D023B9"/>
    <w:rsid w:val="00D0241C"/>
    <w:rsid w:val="00D0245B"/>
    <w:rsid w:val="00D0250B"/>
    <w:rsid w:val="00D025D6"/>
    <w:rsid w:val="00D0275D"/>
    <w:rsid w:val="00D02763"/>
    <w:rsid w:val="00D0279E"/>
    <w:rsid w:val="00D027BE"/>
    <w:rsid w:val="00D02A23"/>
    <w:rsid w:val="00D02A37"/>
    <w:rsid w:val="00D02A66"/>
    <w:rsid w:val="00D02AAA"/>
    <w:rsid w:val="00D02D64"/>
    <w:rsid w:val="00D02EC3"/>
    <w:rsid w:val="00D02EE4"/>
    <w:rsid w:val="00D03086"/>
    <w:rsid w:val="00D0314B"/>
    <w:rsid w:val="00D034C0"/>
    <w:rsid w:val="00D034E7"/>
    <w:rsid w:val="00D0353A"/>
    <w:rsid w:val="00D036F1"/>
    <w:rsid w:val="00D03788"/>
    <w:rsid w:val="00D037C5"/>
    <w:rsid w:val="00D03907"/>
    <w:rsid w:val="00D03A0C"/>
    <w:rsid w:val="00D03A23"/>
    <w:rsid w:val="00D03A81"/>
    <w:rsid w:val="00D03AA8"/>
    <w:rsid w:val="00D03AAA"/>
    <w:rsid w:val="00D03C74"/>
    <w:rsid w:val="00D03E75"/>
    <w:rsid w:val="00D03F73"/>
    <w:rsid w:val="00D03F86"/>
    <w:rsid w:val="00D03FB9"/>
    <w:rsid w:val="00D040CA"/>
    <w:rsid w:val="00D04245"/>
    <w:rsid w:val="00D0435F"/>
    <w:rsid w:val="00D0448C"/>
    <w:rsid w:val="00D0475E"/>
    <w:rsid w:val="00D047D8"/>
    <w:rsid w:val="00D04855"/>
    <w:rsid w:val="00D04949"/>
    <w:rsid w:val="00D04991"/>
    <w:rsid w:val="00D049BF"/>
    <w:rsid w:val="00D049F6"/>
    <w:rsid w:val="00D04AAD"/>
    <w:rsid w:val="00D04B7D"/>
    <w:rsid w:val="00D04BA6"/>
    <w:rsid w:val="00D04C36"/>
    <w:rsid w:val="00D04CD7"/>
    <w:rsid w:val="00D04EEA"/>
    <w:rsid w:val="00D050C9"/>
    <w:rsid w:val="00D051AF"/>
    <w:rsid w:val="00D0540E"/>
    <w:rsid w:val="00D05517"/>
    <w:rsid w:val="00D0557A"/>
    <w:rsid w:val="00D0558D"/>
    <w:rsid w:val="00D05648"/>
    <w:rsid w:val="00D05691"/>
    <w:rsid w:val="00D056FC"/>
    <w:rsid w:val="00D05792"/>
    <w:rsid w:val="00D058FF"/>
    <w:rsid w:val="00D05943"/>
    <w:rsid w:val="00D05A38"/>
    <w:rsid w:val="00D05B1E"/>
    <w:rsid w:val="00D05CC9"/>
    <w:rsid w:val="00D05CE2"/>
    <w:rsid w:val="00D05DD1"/>
    <w:rsid w:val="00D05E3E"/>
    <w:rsid w:val="00D05E9A"/>
    <w:rsid w:val="00D05EA4"/>
    <w:rsid w:val="00D05EDF"/>
    <w:rsid w:val="00D05F3B"/>
    <w:rsid w:val="00D05F7D"/>
    <w:rsid w:val="00D0602B"/>
    <w:rsid w:val="00D06061"/>
    <w:rsid w:val="00D06086"/>
    <w:rsid w:val="00D060C5"/>
    <w:rsid w:val="00D0624E"/>
    <w:rsid w:val="00D06456"/>
    <w:rsid w:val="00D064C7"/>
    <w:rsid w:val="00D064EB"/>
    <w:rsid w:val="00D06510"/>
    <w:rsid w:val="00D065D2"/>
    <w:rsid w:val="00D0664D"/>
    <w:rsid w:val="00D067F2"/>
    <w:rsid w:val="00D068C1"/>
    <w:rsid w:val="00D06936"/>
    <w:rsid w:val="00D06950"/>
    <w:rsid w:val="00D069E0"/>
    <w:rsid w:val="00D06AAD"/>
    <w:rsid w:val="00D06C50"/>
    <w:rsid w:val="00D06DAA"/>
    <w:rsid w:val="00D06E2E"/>
    <w:rsid w:val="00D06E78"/>
    <w:rsid w:val="00D06E87"/>
    <w:rsid w:val="00D06F09"/>
    <w:rsid w:val="00D06F72"/>
    <w:rsid w:val="00D07017"/>
    <w:rsid w:val="00D0718A"/>
    <w:rsid w:val="00D07283"/>
    <w:rsid w:val="00D073E8"/>
    <w:rsid w:val="00D07435"/>
    <w:rsid w:val="00D074C7"/>
    <w:rsid w:val="00D075A2"/>
    <w:rsid w:val="00D07607"/>
    <w:rsid w:val="00D076A2"/>
    <w:rsid w:val="00D07723"/>
    <w:rsid w:val="00D0776C"/>
    <w:rsid w:val="00D0786F"/>
    <w:rsid w:val="00D078F7"/>
    <w:rsid w:val="00D078FA"/>
    <w:rsid w:val="00D079B7"/>
    <w:rsid w:val="00D07A2B"/>
    <w:rsid w:val="00D07A46"/>
    <w:rsid w:val="00D07C16"/>
    <w:rsid w:val="00D07C68"/>
    <w:rsid w:val="00D07C8F"/>
    <w:rsid w:val="00D07F09"/>
    <w:rsid w:val="00D07FF9"/>
    <w:rsid w:val="00D1002D"/>
    <w:rsid w:val="00D1010A"/>
    <w:rsid w:val="00D10192"/>
    <w:rsid w:val="00D1027F"/>
    <w:rsid w:val="00D102C3"/>
    <w:rsid w:val="00D102C6"/>
    <w:rsid w:val="00D10353"/>
    <w:rsid w:val="00D10481"/>
    <w:rsid w:val="00D106A2"/>
    <w:rsid w:val="00D106F3"/>
    <w:rsid w:val="00D107CD"/>
    <w:rsid w:val="00D109E9"/>
    <w:rsid w:val="00D10B8C"/>
    <w:rsid w:val="00D10BEE"/>
    <w:rsid w:val="00D10C8B"/>
    <w:rsid w:val="00D10CCD"/>
    <w:rsid w:val="00D10EC5"/>
    <w:rsid w:val="00D1102F"/>
    <w:rsid w:val="00D110CF"/>
    <w:rsid w:val="00D110FA"/>
    <w:rsid w:val="00D111A9"/>
    <w:rsid w:val="00D111CC"/>
    <w:rsid w:val="00D111FC"/>
    <w:rsid w:val="00D1126B"/>
    <w:rsid w:val="00D11370"/>
    <w:rsid w:val="00D11384"/>
    <w:rsid w:val="00D1156A"/>
    <w:rsid w:val="00D1158F"/>
    <w:rsid w:val="00D1180B"/>
    <w:rsid w:val="00D118C6"/>
    <w:rsid w:val="00D11929"/>
    <w:rsid w:val="00D119EF"/>
    <w:rsid w:val="00D11A20"/>
    <w:rsid w:val="00D11A48"/>
    <w:rsid w:val="00D11A87"/>
    <w:rsid w:val="00D11E1A"/>
    <w:rsid w:val="00D11E21"/>
    <w:rsid w:val="00D11FC8"/>
    <w:rsid w:val="00D120A3"/>
    <w:rsid w:val="00D12186"/>
    <w:rsid w:val="00D1230E"/>
    <w:rsid w:val="00D1237D"/>
    <w:rsid w:val="00D12454"/>
    <w:rsid w:val="00D12530"/>
    <w:rsid w:val="00D126DD"/>
    <w:rsid w:val="00D12745"/>
    <w:rsid w:val="00D128AB"/>
    <w:rsid w:val="00D12B09"/>
    <w:rsid w:val="00D12B3C"/>
    <w:rsid w:val="00D12CC2"/>
    <w:rsid w:val="00D12DDB"/>
    <w:rsid w:val="00D12E32"/>
    <w:rsid w:val="00D12E77"/>
    <w:rsid w:val="00D12E8B"/>
    <w:rsid w:val="00D12EA7"/>
    <w:rsid w:val="00D12EE3"/>
    <w:rsid w:val="00D12F2D"/>
    <w:rsid w:val="00D12F4C"/>
    <w:rsid w:val="00D13045"/>
    <w:rsid w:val="00D130F9"/>
    <w:rsid w:val="00D1317F"/>
    <w:rsid w:val="00D1318F"/>
    <w:rsid w:val="00D1328E"/>
    <w:rsid w:val="00D133FC"/>
    <w:rsid w:val="00D13552"/>
    <w:rsid w:val="00D13800"/>
    <w:rsid w:val="00D138BB"/>
    <w:rsid w:val="00D13981"/>
    <w:rsid w:val="00D139AE"/>
    <w:rsid w:val="00D13AC2"/>
    <w:rsid w:val="00D13DA6"/>
    <w:rsid w:val="00D13EE5"/>
    <w:rsid w:val="00D13F9B"/>
    <w:rsid w:val="00D1407D"/>
    <w:rsid w:val="00D140F9"/>
    <w:rsid w:val="00D142A9"/>
    <w:rsid w:val="00D14393"/>
    <w:rsid w:val="00D143B3"/>
    <w:rsid w:val="00D143EF"/>
    <w:rsid w:val="00D14443"/>
    <w:rsid w:val="00D147B8"/>
    <w:rsid w:val="00D14864"/>
    <w:rsid w:val="00D1486E"/>
    <w:rsid w:val="00D14ABD"/>
    <w:rsid w:val="00D14BB4"/>
    <w:rsid w:val="00D14C19"/>
    <w:rsid w:val="00D14C9D"/>
    <w:rsid w:val="00D14CBC"/>
    <w:rsid w:val="00D14D7B"/>
    <w:rsid w:val="00D14EC0"/>
    <w:rsid w:val="00D14FEC"/>
    <w:rsid w:val="00D1506D"/>
    <w:rsid w:val="00D15196"/>
    <w:rsid w:val="00D1526A"/>
    <w:rsid w:val="00D152EE"/>
    <w:rsid w:val="00D15307"/>
    <w:rsid w:val="00D153D2"/>
    <w:rsid w:val="00D1551A"/>
    <w:rsid w:val="00D15564"/>
    <w:rsid w:val="00D155D4"/>
    <w:rsid w:val="00D155D5"/>
    <w:rsid w:val="00D1575F"/>
    <w:rsid w:val="00D1582E"/>
    <w:rsid w:val="00D1590A"/>
    <w:rsid w:val="00D15B60"/>
    <w:rsid w:val="00D15B77"/>
    <w:rsid w:val="00D15B9F"/>
    <w:rsid w:val="00D15C5E"/>
    <w:rsid w:val="00D15C69"/>
    <w:rsid w:val="00D15D88"/>
    <w:rsid w:val="00D15DA3"/>
    <w:rsid w:val="00D15DE5"/>
    <w:rsid w:val="00D15E00"/>
    <w:rsid w:val="00D15F2F"/>
    <w:rsid w:val="00D15FA4"/>
    <w:rsid w:val="00D1612B"/>
    <w:rsid w:val="00D161BA"/>
    <w:rsid w:val="00D161F3"/>
    <w:rsid w:val="00D161FB"/>
    <w:rsid w:val="00D16286"/>
    <w:rsid w:val="00D16331"/>
    <w:rsid w:val="00D163AA"/>
    <w:rsid w:val="00D163C7"/>
    <w:rsid w:val="00D1642D"/>
    <w:rsid w:val="00D16436"/>
    <w:rsid w:val="00D16565"/>
    <w:rsid w:val="00D16591"/>
    <w:rsid w:val="00D165F8"/>
    <w:rsid w:val="00D16786"/>
    <w:rsid w:val="00D16787"/>
    <w:rsid w:val="00D167F0"/>
    <w:rsid w:val="00D16844"/>
    <w:rsid w:val="00D16A55"/>
    <w:rsid w:val="00D16A70"/>
    <w:rsid w:val="00D16AA1"/>
    <w:rsid w:val="00D16AFB"/>
    <w:rsid w:val="00D16B97"/>
    <w:rsid w:val="00D16BDD"/>
    <w:rsid w:val="00D16D1D"/>
    <w:rsid w:val="00D16D90"/>
    <w:rsid w:val="00D16DA8"/>
    <w:rsid w:val="00D1700A"/>
    <w:rsid w:val="00D17051"/>
    <w:rsid w:val="00D170BF"/>
    <w:rsid w:val="00D17233"/>
    <w:rsid w:val="00D174B5"/>
    <w:rsid w:val="00D17660"/>
    <w:rsid w:val="00D1768B"/>
    <w:rsid w:val="00D176CA"/>
    <w:rsid w:val="00D176FF"/>
    <w:rsid w:val="00D17841"/>
    <w:rsid w:val="00D179A5"/>
    <w:rsid w:val="00D17BED"/>
    <w:rsid w:val="00D17C20"/>
    <w:rsid w:val="00D17C65"/>
    <w:rsid w:val="00D17C99"/>
    <w:rsid w:val="00D17CBD"/>
    <w:rsid w:val="00D17DD3"/>
    <w:rsid w:val="00D17E8F"/>
    <w:rsid w:val="00D17EC0"/>
    <w:rsid w:val="00D2004A"/>
    <w:rsid w:val="00D20051"/>
    <w:rsid w:val="00D2023D"/>
    <w:rsid w:val="00D2033C"/>
    <w:rsid w:val="00D20367"/>
    <w:rsid w:val="00D204F5"/>
    <w:rsid w:val="00D205B7"/>
    <w:rsid w:val="00D2078D"/>
    <w:rsid w:val="00D207B9"/>
    <w:rsid w:val="00D207BC"/>
    <w:rsid w:val="00D20868"/>
    <w:rsid w:val="00D208BD"/>
    <w:rsid w:val="00D20905"/>
    <w:rsid w:val="00D20991"/>
    <w:rsid w:val="00D20A8F"/>
    <w:rsid w:val="00D20C44"/>
    <w:rsid w:val="00D20CB3"/>
    <w:rsid w:val="00D20D8D"/>
    <w:rsid w:val="00D20E59"/>
    <w:rsid w:val="00D20F9D"/>
    <w:rsid w:val="00D21183"/>
    <w:rsid w:val="00D2118E"/>
    <w:rsid w:val="00D213B7"/>
    <w:rsid w:val="00D213DC"/>
    <w:rsid w:val="00D2141A"/>
    <w:rsid w:val="00D21571"/>
    <w:rsid w:val="00D2159F"/>
    <w:rsid w:val="00D216DC"/>
    <w:rsid w:val="00D216F7"/>
    <w:rsid w:val="00D217FD"/>
    <w:rsid w:val="00D21890"/>
    <w:rsid w:val="00D21A86"/>
    <w:rsid w:val="00D21B33"/>
    <w:rsid w:val="00D21BA2"/>
    <w:rsid w:val="00D21C0E"/>
    <w:rsid w:val="00D21C88"/>
    <w:rsid w:val="00D21C9D"/>
    <w:rsid w:val="00D21D39"/>
    <w:rsid w:val="00D21D45"/>
    <w:rsid w:val="00D21DC1"/>
    <w:rsid w:val="00D22019"/>
    <w:rsid w:val="00D220C2"/>
    <w:rsid w:val="00D222CA"/>
    <w:rsid w:val="00D223C0"/>
    <w:rsid w:val="00D22570"/>
    <w:rsid w:val="00D2258B"/>
    <w:rsid w:val="00D22627"/>
    <w:rsid w:val="00D22820"/>
    <w:rsid w:val="00D22934"/>
    <w:rsid w:val="00D2296D"/>
    <w:rsid w:val="00D229F9"/>
    <w:rsid w:val="00D22A0A"/>
    <w:rsid w:val="00D22B20"/>
    <w:rsid w:val="00D22BDD"/>
    <w:rsid w:val="00D22BFC"/>
    <w:rsid w:val="00D22CB1"/>
    <w:rsid w:val="00D22D34"/>
    <w:rsid w:val="00D22D67"/>
    <w:rsid w:val="00D22D6F"/>
    <w:rsid w:val="00D22E82"/>
    <w:rsid w:val="00D22E8D"/>
    <w:rsid w:val="00D22EAC"/>
    <w:rsid w:val="00D22FD0"/>
    <w:rsid w:val="00D233AF"/>
    <w:rsid w:val="00D23419"/>
    <w:rsid w:val="00D23526"/>
    <w:rsid w:val="00D23809"/>
    <w:rsid w:val="00D23B51"/>
    <w:rsid w:val="00D23B5E"/>
    <w:rsid w:val="00D23C79"/>
    <w:rsid w:val="00D240D9"/>
    <w:rsid w:val="00D24158"/>
    <w:rsid w:val="00D241EE"/>
    <w:rsid w:val="00D24223"/>
    <w:rsid w:val="00D2430D"/>
    <w:rsid w:val="00D244E3"/>
    <w:rsid w:val="00D24555"/>
    <w:rsid w:val="00D2473D"/>
    <w:rsid w:val="00D24833"/>
    <w:rsid w:val="00D249D2"/>
    <w:rsid w:val="00D24AFF"/>
    <w:rsid w:val="00D24B59"/>
    <w:rsid w:val="00D24BDF"/>
    <w:rsid w:val="00D24C66"/>
    <w:rsid w:val="00D24DF8"/>
    <w:rsid w:val="00D24E25"/>
    <w:rsid w:val="00D24FC4"/>
    <w:rsid w:val="00D24FC9"/>
    <w:rsid w:val="00D25245"/>
    <w:rsid w:val="00D2525C"/>
    <w:rsid w:val="00D252CE"/>
    <w:rsid w:val="00D253F0"/>
    <w:rsid w:val="00D25566"/>
    <w:rsid w:val="00D2556C"/>
    <w:rsid w:val="00D2559E"/>
    <w:rsid w:val="00D255A8"/>
    <w:rsid w:val="00D256A4"/>
    <w:rsid w:val="00D256C3"/>
    <w:rsid w:val="00D257F6"/>
    <w:rsid w:val="00D25933"/>
    <w:rsid w:val="00D25971"/>
    <w:rsid w:val="00D259BC"/>
    <w:rsid w:val="00D25A64"/>
    <w:rsid w:val="00D25AAB"/>
    <w:rsid w:val="00D25B20"/>
    <w:rsid w:val="00D25C67"/>
    <w:rsid w:val="00D25E22"/>
    <w:rsid w:val="00D2607F"/>
    <w:rsid w:val="00D260F8"/>
    <w:rsid w:val="00D26143"/>
    <w:rsid w:val="00D262D2"/>
    <w:rsid w:val="00D26301"/>
    <w:rsid w:val="00D2630A"/>
    <w:rsid w:val="00D26340"/>
    <w:rsid w:val="00D26388"/>
    <w:rsid w:val="00D26405"/>
    <w:rsid w:val="00D2643F"/>
    <w:rsid w:val="00D264DD"/>
    <w:rsid w:val="00D26508"/>
    <w:rsid w:val="00D26541"/>
    <w:rsid w:val="00D26693"/>
    <w:rsid w:val="00D26883"/>
    <w:rsid w:val="00D26899"/>
    <w:rsid w:val="00D268CA"/>
    <w:rsid w:val="00D26936"/>
    <w:rsid w:val="00D269AA"/>
    <w:rsid w:val="00D26AE8"/>
    <w:rsid w:val="00D26BDF"/>
    <w:rsid w:val="00D26D23"/>
    <w:rsid w:val="00D26E59"/>
    <w:rsid w:val="00D270BE"/>
    <w:rsid w:val="00D271E6"/>
    <w:rsid w:val="00D27267"/>
    <w:rsid w:val="00D27270"/>
    <w:rsid w:val="00D272DC"/>
    <w:rsid w:val="00D27376"/>
    <w:rsid w:val="00D27382"/>
    <w:rsid w:val="00D273A5"/>
    <w:rsid w:val="00D2750C"/>
    <w:rsid w:val="00D27515"/>
    <w:rsid w:val="00D27546"/>
    <w:rsid w:val="00D275EC"/>
    <w:rsid w:val="00D27964"/>
    <w:rsid w:val="00D27A2C"/>
    <w:rsid w:val="00D27A6B"/>
    <w:rsid w:val="00D27AEB"/>
    <w:rsid w:val="00D27E50"/>
    <w:rsid w:val="00D27FE9"/>
    <w:rsid w:val="00D30025"/>
    <w:rsid w:val="00D30207"/>
    <w:rsid w:val="00D30247"/>
    <w:rsid w:val="00D3039D"/>
    <w:rsid w:val="00D303DB"/>
    <w:rsid w:val="00D30472"/>
    <w:rsid w:val="00D304D9"/>
    <w:rsid w:val="00D30647"/>
    <w:rsid w:val="00D30674"/>
    <w:rsid w:val="00D30691"/>
    <w:rsid w:val="00D307B3"/>
    <w:rsid w:val="00D307E8"/>
    <w:rsid w:val="00D30917"/>
    <w:rsid w:val="00D30A56"/>
    <w:rsid w:val="00D30A9F"/>
    <w:rsid w:val="00D30B1B"/>
    <w:rsid w:val="00D30C3A"/>
    <w:rsid w:val="00D30E52"/>
    <w:rsid w:val="00D30F6D"/>
    <w:rsid w:val="00D31233"/>
    <w:rsid w:val="00D312DE"/>
    <w:rsid w:val="00D3132F"/>
    <w:rsid w:val="00D3135F"/>
    <w:rsid w:val="00D3143B"/>
    <w:rsid w:val="00D31527"/>
    <w:rsid w:val="00D31609"/>
    <w:rsid w:val="00D317F0"/>
    <w:rsid w:val="00D31813"/>
    <w:rsid w:val="00D3192D"/>
    <w:rsid w:val="00D31A45"/>
    <w:rsid w:val="00D31C9C"/>
    <w:rsid w:val="00D31CDC"/>
    <w:rsid w:val="00D31DB8"/>
    <w:rsid w:val="00D31F8B"/>
    <w:rsid w:val="00D31FD0"/>
    <w:rsid w:val="00D3210B"/>
    <w:rsid w:val="00D32181"/>
    <w:rsid w:val="00D322D3"/>
    <w:rsid w:val="00D32376"/>
    <w:rsid w:val="00D32391"/>
    <w:rsid w:val="00D32439"/>
    <w:rsid w:val="00D32490"/>
    <w:rsid w:val="00D324F1"/>
    <w:rsid w:val="00D32555"/>
    <w:rsid w:val="00D3262F"/>
    <w:rsid w:val="00D32693"/>
    <w:rsid w:val="00D327F5"/>
    <w:rsid w:val="00D32956"/>
    <w:rsid w:val="00D32973"/>
    <w:rsid w:val="00D329BA"/>
    <w:rsid w:val="00D32ADF"/>
    <w:rsid w:val="00D32B1F"/>
    <w:rsid w:val="00D32B8A"/>
    <w:rsid w:val="00D32BF8"/>
    <w:rsid w:val="00D32CA7"/>
    <w:rsid w:val="00D32CE9"/>
    <w:rsid w:val="00D32E1F"/>
    <w:rsid w:val="00D32EE4"/>
    <w:rsid w:val="00D32F33"/>
    <w:rsid w:val="00D32F77"/>
    <w:rsid w:val="00D32F9B"/>
    <w:rsid w:val="00D330FF"/>
    <w:rsid w:val="00D33261"/>
    <w:rsid w:val="00D332F7"/>
    <w:rsid w:val="00D33328"/>
    <w:rsid w:val="00D3332D"/>
    <w:rsid w:val="00D33341"/>
    <w:rsid w:val="00D333D3"/>
    <w:rsid w:val="00D333FA"/>
    <w:rsid w:val="00D334FF"/>
    <w:rsid w:val="00D33513"/>
    <w:rsid w:val="00D33597"/>
    <w:rsid w:val="00D336D5"/>
    <w:rsid w:val="00D3377F"/>
    <w:rsid w:val="00D33967"/>
    <w:rsid w:val="00D339B9"/>
    <w:rsid w:val="00D33AFC"/>
    <w:rsid w:val="00D33BD5"/>
    <w:rsid w:val="00D33D0F"/>
    <w:rsid w:val="00D33D4D"/>
    <w:rsid w:val="00D33EC0"/>
    <w:rsid w:val="00D34171"/>
    <w:rsid w:val="00D341F9"/>
    <w:rsid w:val="00D3420D"/>
    <w:rsid w:val="00D3435C"/>
    <w:rsid w:val="00D3446E"/>
    <w:rsid w:val="00D34630"/>
    <w:rsid w:val="00D347CA"/>
    <w:rsid w:val="00D348BC"/>
    <w:rsid w:val="00D348ED"/>
    <w:rsid w:val="00D34CBB"/>
    <w:rsid w:val="00D34CBC"/>
    <w:rsid w:val="00D34D56"/>
    <w:rsid w:val="00D34D5B"/>
    <w:rsid w:val="00D34E24"/>
    <w:rsid w:val="00D34E51"/>
    <w:rsid w:val="00D34E84"/>
    <w:rsid w:val="00D34EDE"/>
    <w:rsid w:val="00D35077"/>
    <w:rsid w:val="00D35098"/>
    <w:rsid w:val="00D350AC"/>
    <w:rsid w:val="00D350D7"/>
    <w:rsid w:val="00D350EB"/>
    <w:rsid w:val="00D351BC"/>
    <w:rsid w:val="00D3520E"/>
    <w:rsid w:val="00D35290"/>
    <w:rsid w:val="00D352A3"/>
    <w:rsid w:val="00D3538E"/>
    <w:rsid w:val="00D3538F"/>
    <w:rsid w:val="00D35654"/>
    <w:rsid w:val="00D35771"/>
    <w:rsid w:val="00D357EC"/>
    <w:rsid w:val="00D358E7"/>
    <w:rsid w:val="00D358FC"/>
    <w:rsid w:val="00D3597C"/>
    <w:rsid w:val="00D35AAF"/>
    <w:rsid w:val="00D35C02"/>
    <w:rsid w:val="00D35C41"/>
    <w:rsid w:val="00D35C42"/>
    <w:rsid w:val="00D35C5F"/>
    <w:rsid w:val="00D35CDF"/>
    <w:rsid w:val="00D35F46"/>
    <w:rsid w:val="00D35F9D"/>
    <w:rsid w:val="00D35FA1"/>
    <w:rsid w:val="00D36000"/>
    <w:rsid w:val="00D3602A"/>
    <w:rsid w:val="00D36068"/>
    <w:rsid w:val="00D36075"/>
    <w:rsid w:val="00D36150"/>
    <w:rsid w:val="00D361ED"/>
    <w:rsid w:val="00D3620D"/>
    <w:rsid w:val="00D362C4"/>
    <w:rsid w:val="00D362CD"/>
    <w:rsid w:val="00D363B8"/>
    <w:rsid w:val="00D36423"/>
    <w:rsid w:val="00D36608"/>
    <w:rsid w:val="00D3681F"/>
    <w:rsid w:val="00D36863"/>
    <w:rsid w:val="00D368C5"/>
    <w:rsid w:val="00D369CA"/>
    <w:rsid w:val="00D36AEE"/>
    <w:rsid w:val="00D36B83"/>
    <w:rsid w:val="00D36B8B"/>
    <w:rsid w:val="00D36BF1"/>
    <w:rsid w:val="00D36C02"/>
    <w:rsid w:val="00D36F0D"/>
    <w:rsid w:val="00D3701F"/>
    <w:rsid w:val="00D37249"/>
    <w:rsid w:val="00D3724C"/>
    <w:rsid w:val="00D373AD"/>
    <w:rsid w:val="00D375EA"/>
    <w:rsid w:val="00D37675"/>
    <w:rsid w:val="00D376A6"/>
    <w:rsid w:val="00D376BA"/>
    <w:rsid w:val="00D376EE"/>
    <w:rsid w:val="00D3785D"/>
    <w:rsid w:val="00D37878"/>
    <w:rsid w:val="00D3790B"/>
    <w:rsid w:val="00D3799F"/>
    <w:rsid w:val="00D379A9"/>
    <w:rsid w:val="00D379C7"/>
    <w:rsid w:val="00D37BA4"/>
    <w:rsid w:val="00D37BBC"/>
    <w:rsid w:val="00D37CEC"/>
    <w:rsid w:val="00D37D23"/>
    <w:rsid w:val="00D37D7D"/>
    <w:rsid w:val="00D37DCF"/>
    <w:rsid w:val="00D37F58"/>
    <w:rsid w:val="00D37FBC"/>
    <w:rsid w:val="00D40006"/>
    <w:rsid w:val="00D4005F"/>
    <w:rsid w:val="00D4017A"/>
    <w:rsid w:val="00D401BD"/>
    <w:rsid w:val="00D401DC"/>
    <w:rsid w:val="00D40243"/>
    <w:rsid w:val="00D402CB"/>
    <w:rsid w:val="00D4036F"/>
    <w:rsid w:val="00D403FA"/>
    <w:rsid w:val="00D4043E"/>
    <w:rsid w:val="00D404D0"/>
    <w:rsid w:val="00D40585"/>
    <w:rsid w:val="00D405F5"/>
    <w:rsid w:val="00D40624"/>
    <w:rsid w:val="00D40636"/>
    <w:rsid w:val="00D40640"/>
    <w:rsid w:val="00D4068E"/>
    <w:rsid w:val="00D408AB"/>
    <w:rsid w:val="00D408CE"/>
    <w:rsid w:val="00D409B1"/>
    <w:rsid w:val="00D40AED"/>
    <w:rsid w:val="00D40C48"/>
    <w:rsid w:val="00D40DD2"/>
    <w:rsid w:val="00D40EE5"/>
    <w:rsid w:val="00D4107F"/>
    <w:rsid w:val="00D41099"/>
    <w:rsid w:val="00D410CB"/>
    <w:rsid w:val="00D4115A"/>
    <w:rsid w:val="00D41242"/>
    <w:rsid w:val="00D412CE"/>
    <w:rsid w:val="00D41389"/>
    <w:rsid w:val="00D413B4"/>
    <w:rsid w:val="00D41400"/>
    <w:rsid w:val="00D41497"/>
    <w:rsid w:val="00D414CD"/>
    <w:rsid w:val="00D417AA"/>
    <w:rsid w:val="00D417BD"/>
    <w:rsid w:val="00D41822"/>
    <w:rsid w:val="00D419D5"/>
    <w:rsid w:val="00D41A5D"/>
    <w:rsid w:val="00D41C4D"/>
    <w:rsid w:val="00D41CBA"/>
    <w:rsid w:val="00D41D3D"/>
    <w:rsid w:val="00D41D78"/>
    <w:rsid w:val="00D41D96"/>
    <w:rsid w:val="00D41DDE"/>
    <w:rsid w:val="00D41E8B"/>
    <w:rsid w:val="00D41E93"/>
    <w:rsid w:val="00D41F0D"/>
    <w:rsid w:val="00D41F20"/>
    <w:rsid w:val="00D42075"/>
    <w:rsid w:val="00D420F8"/>
    <w:rsid w:val="00D42117"/>
    <w:rsid w:val="00D4234B"/>
    <w:rsid w:val="00D424E5"/>
    <w:rsid w:val="00D42564"/>
    <w:rsid w:val="00D425B2"/>
    <w:rsid w:val="00D425B5"/>
    <w:rsid w:val="00D425BD"/>
    <w:rsid w:val="00D42718"/>
    <w:rsid w:val="00D428B1"/>
    <w:rsid w:val="00D428B8"/>
    <w:rsid w:val="00D428C8"/>
    <w:rsid w:val="00D428E3"/>
    <w:rsid w:val="00D4298E"/>
    <w:rsid w:val="00D4299D"/>
    <w:rsid w:val="00D429D2"/>
    <w:rsid w:val="00D429FF"/>
    <w:rsid w:val="00D42A08"/>
    <w:rsid w:val="00D42A93"/>
    <w:rsid w:val="00D42B3B"/>
    <w:rsid w:val="00D42B8D"/>
    <w:rsid w:val="00D42BA4"/>
    <w:rsid w:val="00D42D26"/>
    <w:rsid w:val="00D42D51"/>
    <w:rsid w:val="00D42D6C"/>
    <w:rsid w:val="00D42D70"/>
    <w:rsid w:val="00D42D84"/>
    <w:rsid w:val="00D42DC1"/>
    <w:rsid w:val="00D42DCF"/>
    <w:rsid w:val="00D42DDA"/>
    <w:rsid w:val="00D42E33"/>
    <w:rsid w:val="00D430A2"/>
    <w:rsid w:val="00D431D1"/>
    <w:rsid w:val="00D431F5"/>
    <w:rsid w:val="00D4325D"/>
    <w:rsid w:val="00D43267"/>
    <w:rsid w:val="00D43403"/>
    <w:rsid w:val="00D43457"/>
    <w:rsid w:val="00D43489"/>
    <w:rsid w:val="00D435BF"/>
    <w:rsid w:val="00D436A1"/>
    <w:rsid w:val="00D4373D"/>
    <w:rsid w:val="00D437D7"/>
    <w:rsid w:val="00D438D3"/>
    <w:rsid w:val="00D439AE"/>
    <w:rsid w:val="00D439E3"/>
    <w:rsid w:val="00D43A77"/>
    <w:rsid w:val="00D43AD3"/>
    <w:rsid w:val="00D43C67"/>
    <w:rsid w:val="00D43CA5"/>
    <w:rsid w:val="00D43D06"/>
    <w:rsid w:val="00D43E94"/>
    <w:rsid w:val="00D43F38"/>
    <w:rsid w:val="00D44090"/>
    <w:rsid w:val="00D44253"/>
    <w:rsid w:val="00D442AC"/>
    <w:rsid w:val="00D442C0"/>
    <w:rsid w:val="00D44341"/>
    <w:rsid w:val="00D44349"/>
    <w:rsid w:val="00D443DE"/>
    <w:rsid w:val="00D44593"/>
    <w:rsid w:val="00D4467D"/>
    <w:rsid w:val="00D44702"/>
    <w:rsid w:val="00D44786"/>
    <w:rsid w:val="00D4497F"/>
    <w:rsid w:val="00D44AD4"/>
    <w:rsid w:val="00D44CCB"/>
    <w:rsid w:val="00D44D2F"/>
    <w:rsid w:val="00D44E79"/>
    <w:rsid w:val="00D45014"/>
    <w:rsid w:val="00D45027"/>
    <w:rsid w:val="00D4507E"/>
    <w:rsid w:val="00D450D3"/>
    <w:rsid w:val="00D4517F"/>
    <w:rsid w:val="00D451A0"/>
    <w:rsid w:val="00D45314"/>
    <w:rsid w:val="00D4534B"/>
    <w:rsid w:val="00D4551F"/>
    <w:rsid w:val="00D45565"/>
    <w:rsid w:val="00D455B6"/>
    <w:rsid w:val="00D4560A"/>
    <w:rsid w:val="00D456E7"/>
    <w:rsid w:val="00D457B1"/>
    <w:rsid w:val="00D45811"/>
    <w:rsid w:val="00D4588D"/>
    <w:rsid w:val="00D45891"/>
    <w:rsid w:val="00D458F9"/>
    <w:rsid w:val="00D45956"/>
    <w:rsid w:val="00D45962"/>
    <w:rsid w:val="00D459DB"/>
    <w:rsid w:val="00D45B59"/>
    <w:rsid w:val="00D45BC4"/>
    <w:rsid w:val="00D45D1B"/>
    <w:rsid w:val="00D45DD6"/>
    <w:rsid w:val="00D45E1D"/>
    <w:rsid w:val="00D45F46"/>
    <w:rsid w:val="00D46070"/>
    <w:rsid w:val="00D46179"/>
    <w:rsid w:val="00D46199"/>
    <w:rsid w:val="00D462BD"/>
    <w:rsid w:val="00D46378"/>
    <w:rsid w:val="00D463CA"/>
    <w:rsid w:val="00D463EE"/>
    <w:rsid w:val="00D46480"/>
    <w:rsid w:val="00D46488"/>
    <w:rsid w:val="00D46528"/>
    <w:rsid w:val="00D46534"/>
    <w:rsid w:val="00D4656A"/>
    <w:rsid w:val="00D465FF"/>
    <w:rsid w:val="00D46713"/>
    <w:rsid w:val="00D467CD"/>
    <w:rsid w:val="00D4686B"/>
    <w:rsid w:val="00D46971"/>
    <w:rsid w:val="00D46B2B"/>
    <w:rsid w:val="00D46BFA"/>
    <w:rsid w:val="00D46CBE"/>
    <w:rsid w:val="00D46CCB"/>
    <w:rsid w:val="00D46CE3"/>
    <w:rsid w:val="00D46D08"/>
    <w:rsid w:val="00D46D85"/>
    <w:rsid w:val="00D46DE3"/>
    <w:rsid w:val="00D46E04"/>
    <w:rsid w:val="00D4714A"/>
    <w:rsid w:val="00D47175"/>
    <w:rsid w:val="00D472FC"/>
    <w:rsid w:val="00D4730A"/>
    <w:rsid w:val="00D4733C"/>
    <w:rsid w:val="00D473AC"/>
    <w:rsid w:val="00D473FB"/>
    <w:rsid w:val="00D47501"/>
    <w:rsid w:val="00D47511"/>
    <w:rsid w:val="00D4752B"/>
    <w:rsid w:val="00D47622"/>
    <w:rsid w:val="00D47677"/>
    <w:rsid w:val="00D476B7"/>
    <w:rsid w:val="00D47747"/>
    <w:rsid w:val="00D477CD"/>
    <w:rsid w:val="00D477FA"/>
    <w:rsid w:val="00D478F9"/>
    <w:rsid w:val="00D47AFE"/>
    <w:rsid w:val="00D47B47"/>
    <w:rsid w:val="00D47B64"/>
    <w:rsid w:val="00D47B66"/>
    <w:rsid w:val="00D47BB8"/>
    <w:rsid w:val="00D47C47"/>
    <w:rsid w:val="00D47D15"/>
    <w:rsid w:val="00D47D26"/>
    <w:rsid w:val="00D47D4D"/>
    <w:rsid w:val="00D47D70"/>
    <w:rsid w:val="00D47D82"/>
    <w:rsid w:val="00D47D91"/>
    <w:rsid w:val="00D47E42"/>
    <w:rsid w:val="00D47E8F"/>
    <w:rsid w:val="00D47EAD"/>
    <w:rsid w:val="00D47EBC"/>
    <w:rsid w:val="00D47F38"/>
    <w:rsid w:val="00D47F74"/>
    <w:rsid w:val="00D47FF2"/>
    <w:rsid w:val="00D501D1"/>
    <w:rsid w:val="00D501EC"/>
    <w:rsid w:val="00D502C8"/>
    <w:rsid w:val="00D502D6"/>
    <w:rsid w:val="00D50465"/>
    <w:rsid w:val="00D5051D"/>
    <w:rsid w:val="00D50565"/>
    <w:rsid w:val="00D5068D"/>
    <w:rsid w:val="00D506B6"/>
    <w:rsid w:val="00D50731"/>
    <w:rsid w:val="00D50852"/>
    <w:rsid w:val="00D50911"/>
    <w:rsid w:val="00D50918"/>
    <w:rsid w:val="00D5097A"/>
    <w:rsid w:val="00D50983"/>
    <w:rsid w:val="00D50B46"/>
    <w:rsid w:val="00D50C98"/>
    <w:rsid w:val="00D50E70"/>
    <w:rsid w:val="00D50EC3"/>
    <w:rsid w:val="00D50F50"/>
    <w:rsid w:val="00D51054"/>
    <w:rsid w:val="00D51121"/>
    <w:rsid w:val="00D5137A"/>
    <w:rsid w:val="00D5140C"/>
    <w:rsid w:val="00D5178E"/>
    <w:rsid w:val="00D51938"/>
    <w:rsid w:val="00D51AD9"/>
    <w:rsid w:val="00D51BF0"/>
    <w:rsid w:val="00D51C43"/>
    <w:rsid w:val="00D51DAB"/>
    <w:rsid w:val="00D51E54"/>
    <w:rsid w:val="00D51FA1"/>
    <w:rsid w:val="00D520E0"/>
    <w:rsid w:val="00D520FE"/>
    <w:rsid w:val="00D521D9"/>
    <w:rsid w:val="00D52260"/>
    <w:rsid w:val="00D522C1"/>
    <w:rsid w:val="00D5246C"/>
    <w:rsid w:val="00D5246D"/>
    <w:rsid w:val="00D524D1"/>
    <w:rsid w:val="00D52572"/>
    <w:rsid w:val="00D525CF"/>
    <w:rsid w:val="00D525E5"/>
    <w:rsid w:val="00D52633"/>
    <w:rsid w:val="00D526B2"/>
    <w:rsid w:val="00D526EB"/>
    <w:rsid w:val="00D52841"/>
    <w:rsid w:val="00D52982"/>
    <w:rsid w:val="00D52992"/>
    <w:rsid w:val="00D52A92"/>
    <w:rsid w:val="00D52BB9"/>
    <w:rsid w:val="00D52C08"/>
    <w:rsid w:val="00D52D87"/>
    <w:rsid w:val="00D52EA7"/>
    <w:rsid w:val="00D52ED2"/>
    <w:rsid w:val="00D52ED4"/>
    <w:rsid w:val="00D53032"/>
    <w:rsid w:val="00D53116"/>
    <w:rsid w:val="00D53164"/>
    <w:rsid w:val="00D532B7"/>
    <w:rsid w:val="00D53638"/>
    <w:rsid w:val="00D539DB"/>
    <w:rsid w:val="00D53A36"/>
    <w:rsid w:val="00D53AA2"/>
    <w:rsid w:val="00D53B25"/>
    <w:rsid w:val="00D53C40"/>
    <w:rsid w:val="00D53FDD"/>
    <w:rsid w:val="00D54172"/>
    <w:rsid w:val="00D541D8"/>
    <w:rsid w:val="00D542BA"/>
    <w:rsid w:val="00D5430E"/>
    <w:rsid w:val="00D544A2"/>
    <w:rsid w:val="00D544CF"/>
    <w:rsid w:val="00D5471A"/>
    <w:rsid w:val="00D5473E"/>
    <w:rsid w:val="00D5479E"/>
    <w:rsid w:val="00D548B4"/>
    <w:rsid w:val="00D54956"/>
    <w:rsid w:val="00D54B54"/>
    <w:rsid w:val="00D54B66"/>
    <w:rsid w:val="00D54BB4"/>
    <w:rsid w:val="00D54C1D"/>
    <w:rsid w:val="00D54C71"/>
    <w:rsid w:val="00D54E13"/>
    <w:rsid w:val="00D55103"/>
    <w:rsid w:val="00D55195"/>
    <w:rsid w:val="00D55210"/>
    <w:rsid w:val="00D553B2"/>
    <w:rsid w:val="00D55422"/>
    <w:rsid w:val="00D5564A"/>
    <w:rsid w:val="00D556B8"/>
    <w:rsid w:val="00D556DB"/>
    <w:rsid w:val="00D5572F"/>
    <w:rsid w:val="00D55731"/>
    <w:rsid w:val="00D5575C"/>
    <w:rsid w:val="00D55780"/>
    <w:rsid w:val="00D55930"/>
    <w:rsid w:val="00D559FF"/>
    <w:rsid w:val="00D55A7F"/>
    <w:rsid w:val="00D55AAA"/>
    <w:rsid w:val="00D55CDC"/>
    <w:rsid w:val="00D55D02"/>
    <w:rsid w:val="00D55D09"/>
    <w:rsid w:val="00D55E10"/>
    <w:rsid w:val="00D55F05"/>
    <w:rsid w:val="00D5603B"/>
    <w:rsid w:val="00D56073"/>
    <w:rsid w:val="00D5615E"/>
    <w:rsid w:val="00D562B9"/>
    <w:rsid w:val="00D56348"/>
    <w:rsid w:val="00D56477"/>
    <w:rsid w:val="00D56559"/>
    <w:rsid w:val="00D56623"/>
    <w:rsid w:val="00D56787"/>
    <w:rsid w:val="00D56883"/>
    <w:rsid w:val="00D56913"/>
    <w:rsid w:val="00D56936"/>
    <w:rsid w:val="00D56967"/>
    <w:rsid w:val="00D56983"/>
    <w:rsid w:val="00D56A52"/>
    <w:rsid w:val="00D56A88"/>
    <w:rsid w:val="00D56D37"/>
    <w:rsid w:val="00D56D99"/>
    <w:rsid w:val="00D56DC3"/>
    <w:rsid w:val="00D56DFA"/>
    <w:rsid w:val="00D56E0D"/>
    <w:rsid w:val="00D56F17"/>
    <w:rsid w:val="00D57104"/>
    <w:rsid w:val="00D572EE"/>
    <w:rsid w:val="00D5734A"/>
    <w:rsid w:val="00D5747F"/>
    <w:rsid w:val="00D5748F"/>
    <w:rsid w:val="00D574B8"/>
    <w:rsid w:val="00D574F0"/>
    <w:rsid w:val="00D5750E"/>
    <w:rsid w:val="00D5751A"/>
    <w:rsid w:val="00D57534"/>
    <w:rsid w:val="00D57577"/>
    <w:rsid w:val="00D5763D"/>
    <w:rsid w:val="00D5773A"/>
    <w:rsid w:val="00D577BF"/>
    <w:rsid w:val="00D57830"/>
    <w:rsid w:val="00D5783D"/>
    <w:rsid w:val="00D57A1B"/>
    <w:rsid w:val="00D57C2E"/>
    <w:rsid w:val="00D57C6D"/>
    <w:rsid w:val="00D57D94"/>
    <w:rsid w:val="00D57DE8"/>
    <w:rsid w:val="00D57E0F"/>
    <w:rsid w:val="00D57EED"/>
    <w:rsid w:val="00D57F06"/>
    <w:rsid w:val="00D601EC"/>
    <w:rsid w:val="00D6024E"/>
    <w:rsid w:val="00D603F5"/>
    <w:rsid w:val="00D60424"/>
    <w:rsid w:val="00D60435"/>
    <w:rsid w:val="00D60438"/>
    <w:rsid w:val="00D60488"/>
    <w:rsid w:val="00D604D2"/>
    <w:rsid w:val="00D60527"/>
    <w:rsid w:val="00D60544"/>
    <w:rsid w:val="00D60619"/>
    <w:rsid w:val="00D607B1"/>
    <w:rsid w:val="00D607E2"/>
    <w:rsid w:val="00D60897"/>
    <w:rsid w:val="00D6091C"/>
    <w:rsid w:val="00D60AB0"/>
    <w:rsid w:val="00D60BA9"/>
    <w:rsid w:val="00D60BB2"/>
    <w:rsid w:val="00D60C26"/>
    <w:rsid w:val="00D60D8F"/>
    <w:rsid w:val="00D60E5A"/>
    <w:rsid w:val="00D60E5E"/>
    <w:rsid w:val="00D60EB8"/>
    <w:rsid w:val="00D60EED"/>
    <w:rsid w:val="00D60F4F"/>
    <w:rsid w:val="00D61054"/>
    <w:rsid w:val="00D610BD"/>
    <w:rsid w:val="00D61194"/>
    <w:rsid w:val="00D61227"/>
    <w:rsid w:val="00D612B4"/>
    <w:rsid w:val="00D61317"/>
    <w:rsid w:val="00D61385"/>
    <w:rsid w:val="00D613AB"/>
    <w:rsid w:val="00D615DD"/>
    <w:rsid w:val="00D61663"/>
    <w:rsid w:val="00D61896"/>
    <w:rsid w:val="00D61979"/>
    <w:rsid w:val="00D61A7B"/>
    <w:rsid w:val="00D61A83"/>
    <w:rsid w:val="00D61A99"/>
    <w:rsid w:val="00D61B47"/>
    <w:rsid w:val="00D61C4B"/>
    <w:rsid w:val="00D61C77"/>
    <w:rsid w:val="00D61C94"/>
    <w:rsid w:val="00D61D23"/>
    <w:rsid w:val="00D61D7C"/>
    <w:rsid w:val="00D61DD5"/>
    <w:rsid w:val="00D61E04"/>
    <w:rsid w:val="00D61E70"/>
    <w:rsid w:val="00D61EDA"/>
    <w:rsid w:val="00D62145"/>
    <w:rsid w:val="00D621E2"/>
    <w:rsid w:val="00D6224E"/>
    <w:rsid w:val="00D622E9"/>
    <w:rsid w:val="00D62360"/>
    <w:rsid w:val="00D623CB"/>
    <w:rsid w:val="00D623F3"/>
    <w:rsid w:val="00D624E9"/>
    <w:rsid w:val="00D625C8"/>
    <w:rsid w:val="00D627AF"/>
    <w:rsid w:val="00D62836"/>
    <w:rsid w:val="00D62851"/>
    <w:rsid w:val="00D62970"/>
    <w:rsid w:val="00D62999"/>
    <w:rsid w:val="00D62A54"/>
    <w:rsid w:val="00D62B44"/>
    <w:rsid w:val="00D62B74"/>
    <w:rsid w:val="00D62B9B"/>
    <w:rsid w:val="00D62BB0"/>
    <w:rsid w:val="00D62BBF"/>
    <w:rsid w:val="00D62C1B"/>
    <w:rsid w:val="00D62CDA"/>
    <w:rsid w:val="00D62DCE"/>
    <w:rsid w:val="00D62E06"/>
    <w:rsid w:val="00D62EC0"/>
    <w:rsid w:val="00D62FD3"/>
    <w:rsid w:val="00D631DF"/>
    <w:rsid w:val="00D631E6"/>
    <w:rsid w:val="00D6322B"/>
    <w:rsid w:val="00D6327C"/>
    <w:rsid w:val="00D6331E"/>
    <w:rsid w:val="00D6349D"/>
    <w:rsid w:val="00D63533"/>
    <w:rsid w:val="00D63565"/>
    <w:rsid w:val="00D63584"/>
    <w:rsid w:val="00D63658"/>
    <w:rsid w:val="00D63684"/>
    <w:rsid w:val="00D63755"/>
    <w:rsid w:val="00D63954"/>
    <w:rsid w:val="00D63AD4"/>
    <w:rsid w:val="00D63C4B"/>
    <w:rsid w:val="00D63C78"/>
    <w:rsid w:val="00D63CE8"/>
    <w:rsid w:val="00D63DF9"/>
    <w:rsid w:val="00D63E2A"/>
    <w:rsid w:val="00D63E92"/>
    <w:rsid w:val="00D64109"/>
    <w:rsid w:val="00D6422E"/>
    <w:rsid w:val="00D64293"/>
    <w:rsid w:val="00D6448A"/>
    <w:rsid w:val="00D645F5"/>
    <w:rsid w:val="00D648D1"/>
    <w:rsid w:val="00D649C4"/>
    <w:rsid w:val="00D64AA5"/>
    <w:rsid w:val="00D64D20"/>
    <w:rsid w:val="00D64D3A"/>
    <w:rsid w:val="00D64D70"/>
    <w:rsid w:val="00D64E79"/>
    <w:rsid w:val="00D64EB9"/>
    <w:rsid w:val="00D64F96"/>
    <w:rsid w:val="00D650AB"/>
    <w:rsid w:val="00D6524D"/>
    <w:rsid w:val="00D65289"/>
    <w:rsid w:val="00D6530A"/>
    <w:rsid w:val="00D653C4"/>
    <w:rsid w:val="00D65401"/>
    <w:rsid w:val="00D65460"/>
    <w:rsid w:val="00D654E4"/>
    <w:rsid w:val="00D6560F"/>
    <w:rsid w:val="00D6564C"/>
    <w:rsid w:val="00D65668"/>
    <w:rsid w:val="00D65721"/>
    <w:rsid w:val="00D65742"/>
    <w:rsid w:val="00D658A6"/>
    <w:rsid w:val="00D6593C"/>
    <w:rsid w:val="00D6595C"/>
    <w:rsid w:val="00D65C74"/>
    <w:rsid w:val="00D65DA8"/>
    <w:rsid w:val="00D65DDB"/>
    <w:rsid w:val="00D65E3F"/>
    <w:rsid w:val="00D65EE7"/>
    <w:rsid w:val="00D663A6"/>
    <w:rsid w:val="00D663ED"/>
    <w:rsid w:val="00D664BE"/>
    <w:rsid w:val="00D6662A"/>
    <w:rsid w:val="00D66658"/>
    <w:rsid w:val="00D66737"/>
    <w:rsid w:val="00D667F9"/>
    <w:rsid w:val="00D6683B"/>
    <w:rsid w:val="00D66877"/>
    <w:rsid w:val="00D668B6"/>
    <w:rsid w:val="00D668D8"/>
    <w:rsid w:val="00D668EF"/>
    <w:rsid w:val="00D6691D"/>
    <w:rsid w:val="00D66978"/>
    <w:rsid w:val="00D66A40"/>
    <w:rsid w:val="00D66A79"/>
    <w:rsid w:val="00D66AAB"/>
    <w:rsid w:val="00D66B21"/>
    <w:rsid w:val="00D66B5B"/>
    <w:rsid w:val="00D66B72"/>
    <w:rsid w:val="00D66C24"/>
    <w:rsid w:val="00D66D62"/>
    <w:rsid w:val="00D66D73"/>
    <w:rsid w:val="00D66EAF"/>
    <w:rsid w:val="00D67019"/>
    <w:rsid w:val="00D6725A"/>
    <w:rsid w:val="00D672C9"/>
    <w:rsid w:val="00D67302"/>
    <w:rsid w:val="00D673AD"/>
    <w:rsid w:val="00D67433"/>
    <w:rsid w:val="00D6756E"/>
    <w:rsid w:val="00D675D6"/>
    <w:rsid w:val="00D6766F"/>
    <w:rsid w:val="00D67672"/>
    <w:rsid w:val="00D677C8"/>
    <w:rsid w:val="00D67938"/>
    <w:rsid w:val="00D67958"/>
    <w:rsid w:val="00D67970"/>
    <w:rsid w:val="00D679AA"/>
    <w:rsid w:val="00D67C2C"/>
    <w:rsid w:val="00D67D23"/>
    <w:rsid w:val="00D67E80"/>
    <w:rsid w:val="00D67F1C"/>
    <w:rsid w:val="00D67F73"/>
    <w:rsid w:val="00D70162"/>
    <w:rsid w:val="00D701AB"/>
    <w:rsid w:val="00D7023C"/>
    <w:rsid w:val="00D70392"/>
    <w:rsid w:val="00D704FC"/>
    <w:rsid w:val="00D7059C"/>
    <w:rsid w:val="00D705F4"/>
    <w:rsid w:val="00D706D0"/>
    <w:rsid w:val="00D7073C"/>
    <w:rsid w:val="00D70844"/>
    <w:rsid w:val="00D709A6"/>
    <w:rsid w:val="00D709F7"/>
    <w:rsid w:val="00D70C67"/>
    <w:rsid w:val="00D70DB9"/>
    <w:rsid w:val="00D70DCA"/>
    <w:rsid w:val="00D70E9F"/>
    <w:rsid w:val="00D710C0"/>
    <w:rsid w:val="00D71130"/>
    <w:rsid w:val="00D713E4"/>
    <w:rsid w:val="00D71486"/>
    <w:rsid w:val="00D71639"/>
    <w:rsid w:val="00D71682"/>
    <w:rsid w:val="00D7169D"/>
    <w:rsid w:val="00D716D5"/>
    <w:rsid w:val="00D71957"/>
    <w:rsid w:val="00D71A46"/>
    <w:rsid w:val="00D71B18"/>
    <w:rsid w:val="00D71C61"/>
    <w:rsid w:val="00D71D54"/>
    <w:rsid w:val="00D71DB6"/>
    <w:rsid w:val="00D71F9A"/>
    <w:rsid w:val="00D720DB"/>
    <w:rsid w:val="00D721AC"/>
    <w:rsid w:val="00D72252"/>
    <w:rsid w:val="00D72292"/>
    <w:rsid w:val="00D722CD"/>
    <w:rsid w:val="00D72352"/>
    <w:rsid w:val="00D724E7"/>
    <w:rsid w:val="00D729E9"/>
    <w:rsid w:val="00D72C58"/>
    <w:rsid w:val="00D72D78"/>
    <w:rsid w:val="00D72D8B"/>
    <w:rsid w:val="00D72E35"/>
    <w:rsid w:val="00D72EF8"/>
    <w:rsid w:val="00D72FD9"/>
    <w:rsid w:val="00D73017"/>
    <w:rsid w:val="00D730E8"/>
    <w:rsid w:val="00D73104"/>
    <w:rsid w:val="00D73408"/>
    <w:rsid w:val="00D734F2"/>
    <w:rsid w:val="00D735A1"/>
    <w:rsid w:val="00D735A2"/>
    <w:rsid w:val="00D7376C"/>
    <w:rsid w:val="00D7381C"/>
    <w:rsid w:val="00D7385C"/>
    <w:rsid w:val="00D738AF"/>
    <w:rsid w:val="00D73936"/>
    <w:rsid w:val="00D739B9"/>
    <w:rsid w:val="00D73AB2"/>
    <w:rsid w:val="00D73AC2"/>
    <w:rsid w:val="00D73B2D"/>
    <w:rsid w:val="00D73CD0"/>
    <w:rsid w:val="00D73CFB"/>
    <w:rsid w:val="00D73D22"/>
    <w:rsid w:val="00D73DBA"/>
    <w:rsid w:val="00D73E3A"/>
    <w:rsid w:val="00D73E63"/>
    <w:rsid w:val="00D73E9D"/>
    <w:rsid w:val="00D73F0D"/>
    <w:rsid w:val="00D741BD"/>
    <w:rsid w:val="00D7429B"/>
    <w:rsid w:val="00D74332"/>
    <w:rsid w:val="00D743BC"/>
    <w:rsid w:val="00D744F0"/>
    <w:rsid w:val="00D7459D"/>
    <w:rsid w:val="00D74816"/>
    <w:rsid w:val="00D7488E"/>
    <w:rsid w:val="00D748B4"/>
    <w:rsid w:val="00D74A03"/>
    <w:rsid w:val="00D74A56"/>
    <w:rsid w:val="00D74B59"/>
    <w:rsid w:val="00D74B67"/>
    <w:rsid w:val="00D74CB4"/>
    <w:rsid w:val="00D74D74"/>
    <w:rsid w:val="00D74D95"/>
    <w:rsid w:val="00D74D99"/>
    <w:rsid w:val="00D74DD5"/>
    <w:rsid w:val="00D74E8A"/>
    <w:rsid w:val="00D75050"/>
    <w:rsid w:val="00D7514D"/>
    <w:rsid w:val="00D751D0"/>
    <w:rsid w:val="00D7541D"/>
    <w:rsid w:val="00D7555A"/>
    <w:rsid w:val="00D755BA"/>
    <w:rsid w:val="00D755D5"/>
    <w:rsid w:val="00D758A3"/>
    <w:rsid w:val="00D7595D"/>
    <w:rsid w:val="00D759F7"/>
    <w:rsid w:val="00D75A02"/>
    <w:rsid w:val="00D75B60"/>
    <w:rsid w:val="00D75BEB"/>
    <w:rsid w:val="00D75C45"/>
    <w:rsid w:val="00D75CCF"/>
    <w:rsid w:val="00D75EF6"/>
    <w:rsid w:val="00D75F27"/>
    <w:rsid w:val="00D75F9C"/>
    <w:rsid w:val="00D7607B"/>
    <w:rsid w:val="00D76149"/>
    <w:rsid w:val="00D76154"/>
    <w:rsid w:val="00D761CA"/>
    <w:rsid w:val="00D761E4"/>
    <w:rsid w:val="00D7625F"/>
    <w:rsid w:val="00D7631C"/>
    <w:rsid w:val="00D7631E"/>
    <w:rsid w:val="00D76442"/>
    <w:rsid w:val="00D76471"/>
    <w:rsid w:val="00D76542"/>
    <w:rsid w:val="00D76740"/>
    <w:rsid w:val="00D7676F"/>
    <w:rsid w:val="00D767C1"/>
    <w:rsid w:val="00D767E8"/>
    <w:rsid w:val="00D76805"/>
    <w:rsid w:val="00D7688A"/>
    <w:rsid w:val="00D7689A"/>
    <w:rsid w:val="00D768E4"/>
    <w:rsid w:val="00D769D2"/>
    <w:rsid w:val="00D76A4D"/>
    <w:rsid w:val="00D76AA2"/>
    <w:rsid w:val="00D76AA9"/>
    <w:rsid w:val="00D76BF9"/>
    <w:rsid w:val="00D76D39"/>
    <w:rsid w:val="00D76DC5"/>
    <w:rsid w:val="00D76E5E"/>
    <w:rsid w:val="00D77164"/>
    <w:rsid w:val="00D772EB"/>
    <w:rsid w:val="00D77549"/>
    <w:rsid w:val="00D77559"/>
    <w:rsid w:val="00D7756E"/>
    <w:rsid w:val="00D775C4"/>
    <w:rsid w:val="00D77646"/>
    <w:rsid w:val="00D77813"/>
    <w:rsid w:val="00D77996"/>
    <w:rsid w:val="00D779BC"/>
    <w:rsid w:val="00D77A26"/>
    <w:rsid w:val="00D77B70"/>
    <w:rsid w:val="00D77BA5"/>
    <w:rsid w:val="00D77BB8"/>
    <w:rsid w:val="00D77C3E"/>
    <w:rsid w:val="00D77D7F"/>
    <w:rsid w:val="00D77DAA"/>
    <w:rsid w:val="00D77E03"/>
    <w:rsid w:val="00D77EBB"/>
    <w:rsid w:val="00D77F16"/>
    <w:rsid w:val="00D80142"/>
    <w:rsid w:val="00D8023A"/>
    <w:rsid w:val="00D8024B"/>
    <w:rsid w:val="00D80325"/>
    <w:rsid w:val="00D803D0"/>
    <w:rsid w:val="00D80520"/>
    <w:rsid w:val="00D8071E"/>
    <w:rsid w:val="00D80759"/>
    <w:rsid w:val="00D8086C"/>
    <w:rsid w:val="00D80893"/>
    <w:rsid w:val="00D808D2"/>
    <w:rsid w:val="00D808E0"/>
    <w:rsid w:val="00D80926"/>
    <w:rsid w:val="00D80BFA"/>
    <w:rsid w:val="00D80CAA"/>
    <w:rsid w:val="00D80D3F"/>
    <w:rsid w:val="00D80E18"/>
    <w:rsid w:val="00D80E95"/>
    <w:rsid w:val="00D80EAC"/>
    <w:rsid w:val="00D80FA5"/>
    <w:rsid w:val="00D810C4"/>
    <w:rsid w:val="00D8110D"/>
    <w:rsid w:val="00D81208"/>
    <w:rsid w:val="00D812ED"/>
    <w:rsid w:val="00D813AB"/>
    <w:rsid w:val="00D8144E"/>
    <w:rsid w:val="00D81574"/>
    <w:rsid w:val="00D815B7"/>
    <w:rsid w:val="00D81620"/>
    <w:rsid w:val="00D8165F"/>
    <w:rsid w:val="00D81775"/>
    <w:rsid w:val="00D817E6"/>
    <w:rsid w:val="00D818C5"/>
    <w:rsid w:val="00D81A9C"/>
    <w:rsid w:val="00D81AA0"/>
    <w:rsid w:val="00D81AC3"/>
    <w:rsid w:val="00D81BA0"/>
    <w:rsid w:val="00D81CC7"/>
    <w:rsid w:val="00D81CF3"/>
    <w:rsid w:val="00D81EEA"/>
    <w:rsid w:val="00D81FBE"/>
    <w:rsid w:val="00D82086"/>
    <w:rsid w:val="00D8215B"/>
    <w:rsid w:val="00D821CC"/>
    <w:rsid w:val="00D822CA"/>
    <w:rsid w:val="00D822FD"/>
    <w:rsid w:val="00D82580"/>
    <w:rsid w:val="00D825BD"/>
    <w:rsid w:val="00D827B7"/>
    <w:rsid w:val="00D82913"/>
    <w:rsid w:val="00D82917"/>
    <w:rsid w:val="00D8297E"/>
    <w:rsid w:val="00D82A8D"/>
    <w:rsid w:val="00D82AB0"/>
    <w:rsid w:val="00D82AC0"/>
    <w:rsid w:val="00D82B08"/>
    <w:rsid w:val="00D82B24"/>
    <w:rsid w:val="00D82B8A"/>
    <w:rsid w:val="00D82C3C"/>
    <w:rsid w:val="00D82DCE"/>
    <w:rsid w:val="00D82E47"/>
    <w:rsid w:val="00D82E54"/>
    <w:rsid w:val="00D82F88"/>
    <w:rsid w:val="00D82FB1"/>
    <w:rsid w:val="00D82FDC"/>
    <w:rsid w:val="00D830C9"/>
    <w:rsid w:val="00D830D0"/>
    <w:rsid w:val="00D83105"/>
    <w:rsid w:val="00D8320B"/>
    <w:rsid w:val="00D832D5"/>
    <w:rsid w:val="00D832DA"/>
    <w:rsid w:val="00D83422"/>
    <w:rsid w:val="00D8344E"/>
    <w:rsid w:val="00D834CA"/>
    <w:rsid w:val="00D83504"/>
    <w:rsid w:val="00D8350D"/>
    <w:rsid w:val="00D8350F"/>
    <w:rsid w:val="00D83695"/>
    <w:rsid w:val="00D836D1"/>
    <w:rsid w:val="00D83A85"/>
    <w:rsid w:val="00D83B4E"/>
    <w:rsid w:val="00D83BE8"/>
    <w:rsid w:val="00D83C53"/>
    <w:rsid w:val="00D83CE8"/>
    <w:rsid w:val="00D83E23"/>
    <w:rsid w:val="00D83E72"/>
    <w:rsid w:val="00D83E73"/>
    <w:rsid w:val="00D840C3"/>
    <w:rsid w:val="00D8411B"/>
    <w:rsid w:val="00D841AE"/>
    <w:rsid w:val="00D841EE"/>
    <w:rsid w:val="00D8420F"/>
    <w:rsid w:val="00D842C2"/>
    <w:rsid w:val="00D84312"/>
    <w:rsid w:val="00D84365"/>
    <w:rsid w:val="00D843BA"/>
    <w:rsid w:val="00D84716"/>
    <w:rsid w:val="00D8480C"/>
    <w:rsid w:val="00D84836"/>
    <w:rsid w:val="00D8499F"/>
    <w:rsid w:val="00D84B17"/>
    <w:rsid w:val="00D84BBD"/>
    <w:rsid w:val="00D84C23"/>
    <w:rsid w:val="00D84E0F"/>
    <w:rsid w:val="00D84E5A"/>
    <w:rsid w:val="00D8501D"/>
    <w:rsid w:val="00D85033"/>
    <w:rsid w:val="00D85035"/>
    <w:rsid w:val="00D85175"/>
    <w:rsid w:val="00D85191"/>
    <w:rsid w:val="00D85348"/>
    <w:rsid w:val="00D853B0"/>
    <w:rsid w:val="00D854CF"/>
    <w:rsid w:val="00D85590"/>
    <w:rsid w:val="00D8568D"/>
    <w:rsid w:val="00D8575E"/>
    <w:rsid w:val="00D857E2"/>
    <w:rsid w:val="00D8582F"/>
    <w:rsid w:val="00D8597A"/>
    <w:rsid w:val="00D85A63"/>
    <w:rsid w:val="00D85A81"/>
    <w:rsid w:val="00D85B8F"/>
    <w:rsid w:val="00D85C9C"/>
    <w:rsid w:val="00D85D8F"/>
    <w:rsid w:val="00D85F3C"/>
    <w:rsid w:val="00D860B7"/>
    <w:rsid w:val="00D8611A"/>
    <w:rsid w:val="00D86238"/>
    <w:rsid w:val="00D862A1"/>
    <w:rsid w:val="00D862D8"/>
    <w:rsid w:val="00D863BA"/>
    <w:rsid w:val="00D863C1"/>
    <w:rsid w:val="00D8648A"/>
    <w:rsid w:val="00D864D0"/>
    <w:rsid w:val="00D864DA"/>
    <w:rsid w:val="00D8655E"/>
    <w:rsid w:val="00D8662E"/>
    <w:rsid w:val="00D8663A"/>
    <w:rsid w:val="00D867A0"/>
    <w:rsid w:val="00D867B5"/>
    <w:rsid w:val="00D86A3D"/>
    <w:rsid w:val="00D86B70"/>
    <w:rsid w:val="00D86D0C"/>
    <w:rsid w:val="00D86D96"/>
    <w:rsid w:val="00D86DD0"/>
    <w:rsid w:val="00D86E82"/>
    <w:rsid w:val="00D86F9D"/>
    <w:rsid w:val="00D87388"/>
    <w:rsid w:val="00D87409"/>
    <w:rsid w:val="00D8742C"/>
    <w:rsid w:val="00D87491"/>
    <w:rsid w:val="00D87522"/>
    <w:rsid w:val="00D8752E"/>
    <w:rsid w:val="00D875CD"/>
    <w:rsid w:val="00D877A7"/>
    <w:rsid w:val="00D877F5"/>
    <w:rsid w:val="00D87861"/>
    <w:rsid w:val="00D87938"/>
    <w:rsid w:val="00D879EC"/>
    <w:rsid w:val="00D87B01"/>
    <w:rsid w:val="00D87EEF"/>
    <w:rsid w:val="00D90099"/>
    <w:rsid w:val="00D90304"/>
    <w:rsid w:val="00D9034D"/>
    <w:rsid w:val="00D9036D"/>
    <w:rsid w:val="00D903BA"/>
    <w:rsid w:val="00D90429"/>
    <w:rsid w:val="00D90486"/>
    <w:rsid w:val="00D904E3"/>
    <w:rsid w:val="00D9053D"/>
    <w:rsid w:val="00D90568"/>
    <w:rsid w:val="00D90584"/>
    <w:rsid w:val="00D90688"/>
    <w:rsid w:val="00D90916"/>
    <w:rsid w:val="00D90919"/>
    <w:rsid w:val="00D909A7"/>
    <w:rsid w:val="00D90A1C"/>
    <w:rsid w:val="00D90A89"/>
    <w:rsid w:val="00D90A96"/>
    <w:rsid w:val="00D90ADB"/>
    <w:rsid w:val="00D90C29"/>
    <w:rsid w:val="00D90C77"/>
    <w:rsid w:val="00D90D94"/>
    <w:rsid w:val="00D90ECE"/>
    <w:rsid w:val="00D91092"/>
    <w:rsid w:val="00D9109B"/>
    <w:rsid w:val="00D910DF"/>
    <w:rsid w:val="00D91484"/>
    <w:rsid w:val="00D91535"/>
    <w:rsid w:val="00D916C0"/>
    <w:rsid w:val="00D91704"/>
    <w:rsid w:val="00D9172C"/>
    <w:rsid w:val="00D91776"/>
    <w:rsid w:val="00D917B1"/>
    <w:rsid w:val="00D917D3"/>
    <w:rsid w:val="00D91871"/>
    <w:rsid w:val="00D91983"/>
    <w:rsid w:val="00D91986"/>
    <w:rsid w:val="00D919E9"/>
    <w:rsid w:val="00D91AB7"/>
    <w:rsid w:val="00D91C16"/>
    <w:rsid w:val="00D91D10"/>
    <w:rsid w:val="00D91E65"/>
    <w:rsid w:val="00D91FA5"/>
    <w:rsid w:val="00D92122"/>
    <w:rsid w:val="00D92263"/>
    <w:rsid w:val="00D922A4"/>
    <w:rsid w:val="00D923CD"/>
    <w:rsid w:val="00D92460"/>
    <w:rsid w:val="00D9262C"/>
    <w:rsid w:val="00D9264C"/>
    <w:rsid w:val="00D926B4"/>
    <w:rsid w:val="00D9280B"/>
    <w:rsid w:val="00D928A0"/>
    <w:rsid w:val="00D9295E"/>
    <w:rsid w:val="00D92A00"/>
    <w:rsid w:val="00D92A8A"/>
    <w:rsid w:val="00D92B12"/>
    <w:rsid w:val="00D92B1C"/>
    <w:rsid w:val="00D92B75"/>
    <w:rsid w:val="00D92C38"/>
    <w:rsid w:val="00D92D1A"/>
    <w:rsid w:val="00D92D42"/>
    <w:rsid w:val="00D92E74"/>
    <w:rsid w:val="00D92F99"/>
    <w:rsid w:val="00D92FD8"/>
    <w:rsid w:val="00D92FFE"/>
    <w:rsid w:val="00D93062"/>
    <w:rsid w:val="00D930A9"/>
    <w:rsid w:val="00D93102"/>
    <w:rsid w:val="00D931C7"/>
    <w:rsid w:val="00D9326C"/>
    <w:rsid w:val="00D9327F"/>
    <w:rsid w:val="00D932D8"/>
    <w:rsid w:val="00D934F5"/>
    <w:rsid w:val="00D935AA"/>
    <w:rsid w:val="00D93715"/>
    <w:rsid w:val="00D93845"/>
    <w:rsid w:val="00D93876"/>
    <w:rsid w:val="00D93935"/>
    <w:rsid w:val="00D93960"/>
    <w:rsid w:val="00D93AAA"/>
    <w:rsid w:val="00D93AFA"/>
    <w:rsid w:val="00D93B1F"/>
    <w:rsid w:val="00D93B2B"/>
    <w:rsid w:val="00D93BDE"/>
    <w:rsid w:val="00D93D28"/>
    <w:rsid w:val="00D93D71"/>
    <w:rsid w:val="00D93DB8"/>
    <w:rsid w:val="00D93DD8"/>
    <w:rsid w:val="00D93E22"/>
    <w:rsid w:val="00D93E7D"/>
    <w:rsid w:val="00D93F50"/>
    <w:rsid w:val="00D93F80"/>
    <w:rsid w:val="00D93F97"/>
    <w:rsid w:val="00D93FE5"/>
    <w:rsid w:val="00D940E1"/>
    <w:rsid w:val="00D940F9"/>
    <w:rsid w:val="00D941FC"/>
    <w:rsid w:val="00D9424F"/>
    <w:rsid w:val="00D94250"/>
    <w:rsid w:val="00D942AE"/>
    <w:rsid w:val="00D94322"/>
    <w:rsid w:val="00D94381"/>
    <w:rsid w:val="00D9459B"/>
    <w:rsid w:val="00D945C7"/>
    <w:rsid w:val="00D94632"/>
    <w:rsid w:val="00D946C8"/>
    <w:rsid w:val="00D9479F"/>
    <w:rsid w:val="00D948A4"/>
    <w:rsid w:val="00D9496A"/>
    <w:rsid w:val="00D94A27"/>
    <w:rsid w:val="00D94A55"/>
    <w:rsid w:val="00D94C7D"/>
    <w:rsid w:val="00D94D3A"/>
    <w:rsid w:val="00D94DE4"/>
    <w:rsid w:val="00D94E22"/>
    <w:rsid w:val="00D94F81"/>
    <w:rsid w:val="00D950C1"/>
    <w:rsid w:val="00D9522C"/>
    <w:rsid w:val="00D95326"/>
    <w:rsid w:val="00D9532B"/>
    <w:rsid w:val="00D95354"/>
    <w:rsid w:val="00D953DF"/>
    <w:rsid w:val="00D953E9"/>
    <w:rsid w:val="00D9549E"/>
    <w:rsid w:val="00D954F0"/>
    <w:rsid w:val="00D955B2"/>
    <w:rsid w:val="00D95608"/>
    <w:rsid w:val="00D9572A"/>
    <w:rsid w:val="00D957A8"/>
    <w:rsid w:val="00D957F7"/>
    <w:rsid w:val="00D95879"/>
    <w:rsid w:val="00D958C7"/>
    <w:rsid w:val="00D9596C"/>
    <w:rsid w:val="00D9598E"/>
    <w:rsid w:val="00D95A13"/>
    <w:rsid w:val="00D95A83"/>
    <w:rsid w:val="00D95B32"/>
    <w:rsid w:val="00D95B3C"/>
    <w:rsid w:val="00D95B95"/>
    <w:rsid w:val="00D95C0F"/>
    <w:rsid w:val="00D95D69"/>
    <w:rsid w:val="00D95D77"/>
    <w:rsid w:val="00D95E13"/>
    <w:rsid w:val="00D95E81"/>
    <w:rsid w:val="00D96114"/>
    <w:rsid w:val="00D96136"/>
    <w:rsid w:val="00D96217"/>
    <w:rsid w:val="00D96266"/>
    <w:rsid w:val="00D96298"/>
    <w:rsid w:val="00D96324"/>
    <w:rsid w:val="00D9635B"/>
    <w:rsid w:val="00D964F9"/>
    <w:rsid w:val="00D96649"/>
    <w:rsid w:val="00D9665A"/>
    <w:rsid w:val="00D968A7"/>
    <w:rsid w:val="00D968F2"/>
    <w:rsid w:val="00D96947"/>
    <w:rsid w:val="00D96958"/>
    <w:rsid w:val="00D96A3F"/>
    <w:rsid w:val="00D96A83"/>
    <w:rsid w:val="00D96B21"/>
    <w:rsid w:val="00D96B9E"/>
    <w:rsid w:val="00D96C28"/>
    <w:rsid w:val="00D96C56"/>
    <w:rsid w:val="00D96CF2"/>
    <w:rsid w:val="00D96D46"/>
    <w:rsid w:val="00D96E0B"/>
    <w:rsid w:val="00D96E0E"/>
    <w:rsid w:val="00D96E2D"/>
    <w:rsid w:val="00D97417"/>
    <w:rsid w:val="00D9747D"/>
    <w:rsid w:val="00D974D2"/>
    <w:rsid w:val="00D97532"/>
    <w:rsid w:val="00D97632"/>
    <w:rsid w:val="00D976C9"/>
    <w:rsid w:val="00D9779C"/>
    <w:rsid w:val="00D9785F"/>
    <w:rsid w:val="00D9788B"/>
    <w:rsid w:val="00D97982"/>
    <w:rsid w:val="00D97990"/>
    <w:rsid w:val="00D979C9"/>
    <w:rsid w:val="00D97A45"/>
    <w:rsid w:val="00D97ADE"/>
    <w:rsid w:val="00D97CC1"/>
    <w:rsid w:val="00D97DA1"/>
    <w:rsid w:val="00DA004B"/>
    <w:rsid w:val="00DA00FF"/>
    <w:rsid w:val="00DA01B3"/>
    <w:rsid w:val="00DA01E7"/>
    <w:rsid w:val="00DA03E1"/>
    <w:rsid w:val="00DA0401"/>
    <w:rsid w:val="00DA04C7"/>
    <w:rsid w:val="00DA050F"/>
    <w:rsid w:val="00DA0759"/>
    <w:rsid w:val="00DA0760"/>
    <w:rsid w:val="00DA0816"/>
    <w:rsid w:val="00DA08C0"/>
    <w:rsid w:val="00DA08EE"/>
    <w:rsid w:val="00DA0918"/>
    <w:rsid w:val="00DA09CE"/>
    <w:rsid w:val="00DA0B18"/>
    <w:rsid w:val="00DA0B69"/>
    <w:rsid w:val="00DA0C23"/>
    <w:rsid w:val="00DA0EFA"/>
    <w:rsid w:val="00DA0F5C"/>
    <w:rsid w:val="00DA0F6D"/>
    <w:rsid w:val="00DA0F8B"/>
    <w:rsid w:val="00DA1056"/>
    <w:rsid w:val="00DA1067"/>
    <w:rsid w:val="00DA10C8"/>
    <w:rsid w:val="00DA119F"/>
    <w:rsid w:val="00DA11CB"/>
    <w:rsid w:val="00DA135E"/>
    <w:rsid w:val="00DA139D"/>
    <w:rsid w:val="00DA17CD"/>
    <w:rsid w:val="00DA18AE"/>
    <w:rsid w:val="00DA18C1"/>
    <w:rsid w:val="00DA1908"/>
    <w:rsid w:val="00DA19A8"/>
    <w:rsid w:val="00DA19E6"/>
    <w:rsid w:val="00DA1A6E"/>
    <w:rsid w:val="00DA1AA8"/>
    <w:rsid w:val="00DA1B83"/>
    <w:rsid w:val="00DA1C4A"/>
    <w:rsid w:val="00DA1DC8"/>
    <w:rsid w:val="00DA1DF2"/>
    <w:rsid w:val="00DA1F1A"/>
    <w:rsid w:val="00DA1F1C"/>
    <w:rsid w:val="00DA1FC6"/>
    <w:rsid w:val="00DA2009"/>
    <w:rsid w:val="00DA2097"/>
    <w:rsid w:val="00DA21BA"/>
    <w:rsid w:val="00DA21CD"/>
    <w:rsid w:val="00DA2284"/>
    <w:rsid w:val="00DA230B"/>
    <w:rsid w:val="00DA2329"/>
    <w:rsid w:val="00DA23C3"/>
    <w:rsid w:val="00DA24CA"/>
    <w:rsid w:val="00DA2518"/>
    <w:rsid w:val="00DA259B"/>
    <w:rsid w:val="00DA26F5"/>
    <w:rsid w:val="00DA2740"/>
    <w:rsid w:val="00DA279A"/>
    <w:rsid w:val="00DA2950"/>
    <w:rsid w:val="00DA2973"/>
    <w:rsid w:val="00DA29C2"/>
    <w:rsid w:val="00DA2ABF"/>
    <w:rsid w:val="00DA2BC9"/>
    <w:rsid w:val="00DA2D4E"/>
    <w:rsid w:val="00DA2DCB"/>
    <w:rsid w:val="00DA2E11"/>
    <w:rsid w:val="00DA2EAD"/>
    <w:rsid w:val="00DA2EB8"/>
    <w:rsid w:val="00DA2EE2"/>
    <w:rsid w:val="00DA2FF8"/>
    <w:rsid w:val="00DA303A"/>
    <w:rsid w:val="00DA303D"/>
    <w:rsid w:val="00DA3081"/>
    <w:rsid w:val="00DA3086"/>
    <w:rsid w:val="00DA3090"/>
    <w:rsid w:val="00DA31C2"/>
    <w:rsid w:val="00DA3215"/>
    <w:rsid w:val="00DA3512"/>
    <w:rsid w:val="00DA3552"/>
    <w:rsid w:val="00DA35A8"/>
    <w:rsid w:val="00DA35BC"/>
    <w:rsid w:val="00DA36DB"/>
    <w:rsid w:val="00DA36E0"/>
    <w:rsid w:val="00DA36F3"/>
    <w:rsid w:val="00DA3838"/>
    <w:rsid w:val="00DA3853"/>
    <w:rsid w:val="00DA3989"/>
    <w:rsid w:val="00DA39E8"/>
    <w:rsid w:val="00DA3A65"/>
    <w:rsid w:val="00DA3BBD"/>
    <w:rsid w:val="00DA3C16"/>
    <w:rsid w:val="00DA3C4B"/>
    <w:rsid w:val="00DA3C93"/>
    <w:rsid w:val="00DA3D0D"/>
    <w:rsid w:val="00DA3D4A"/>
    <w:rsid w:val="00DA3DBA"/>
    <w:rsid w:val="00DA3EE8"/>
    <w:rsid w:val="00DA3FF5"/>
    <w:rsid w:val="00DA4028"/>
    <w:rsid w:val="00DA40FB"/>
    <w:rsid w:val="00DA419B"/>
    <w:rsid w:val="00DA420C"/>
    <w:rsid w:val="00DA4315"/>
    <w:rsid w:val="00DA4394"/>
    <w:rsid w:val="00DA4490"/>
    <w:rsid w:val="00DA4505"/>
    <w:rsid w:val="00DA45CE"/>
    <w:rsid w:val="00DA46DD"/>
    <w:rsid w:val="00DA4736"/>
    <w:rsid w:val="00DA47BF"/>
    <w:rsid w:val="00DA4963"/>
    <w:rsid w:val="00DA4A49"/>
    <w:rsid w:val="00DA4AAF"/>
    <w:rsid w:val="00DA4B21"/>
    <w:rsid w:val="00DA4CA7"/>
    <w:rsid w:val="00DA4CD6"/>
    <w:rsid w:val="00DA4CE4"/>
    <w:rsid w:val="00DA4E18"/>
    <w:rsid w:val="00DA4E86"/>
    <w:rsid w:val="00DA4F94"/>
    <w:rsid w:val="00DA50E6"/>
    <w:rsid w:val="00DA5236"/>
    <w:rsid w:val="00DA525A"/>
    <w:rsid w:val="00DA534D"/>
    <w:rsid w:val="00DA5367"/>
    <w:rsid w:val="00DA53A8"/>
    <w:rsid w:val="00DA5415"/>
    <w:rsid w:val="00DA54EF"/>
    <w:rsid w:val="00DA5687"/>
    <w:rsid w:val="00DA5720"/>
    <w:rsid w:val="00DA58B7"/>
    <w:rsid w:val="00DA58F7"/>
    <w:rsid w:val="00DA593F"/>
    <w:rsid w:val="00DA59C2"/>
    <w:rsid w:val="00DA5A70"/>
    <w:rsid w:val="00DA5BC5"/>
    <w:rsid w:val="00DA5BC9"/>
    <w:rsid w:val="00DA5C4E"/>
    <w:rsid w:val="00DA5D1B"/>
    <w:rsid w:val="00DA5D64"/>
    <w:rsid w:val="00DA5D86"/>
    <w:rsid w:val="00DA5DAF"/>
    <w:rsid w:val="00DA5F3E"/>
    <w:rsid w:val="00DA5F4D"/>
    <w:rsid w:val="00DA608D"/>
    <w:rsid w:val="00DA633A"/>
    <w:rsid w:val="00DA6352"/>
    <w:rsid w:val="00DA6421"/>
    <w:rsid w:val="00DA646C"/>
    <w:rsid w:val="00DA649C"/>
    <w:rsid w:val="00DA65E2"/>
    <w:rsid w:val="00DA65F7"/>
    <w:rsid w:val="00DA6614"/>
    <w:rsid w:val="00DA66FF"/>
    <w:rsid w:val="00DA6707"/>
    <w:rsid w:val="00DA679F"/>
    <w:rsid w:val="00DA67AF"/>
    <w:rsid w:val="00DA6B4F"/>
    <w:rsid w:val="00DA6C36"/>
    <w:rsid w:val="00DA6D7D"/>
    <w:rsid w:val="00DA6E1E"/>
    <w:rsid w:val="00DA6E3E"/>
    <w:rsid w:val="00DA6F5D"/>
    <w:rsid w:val="00DA70D9"/>
    <w:rsid w:val="00DA70FD"/>
    <w:rsid w:val="00DA71EE"/>
    <w:rsid w:val="00DA7401"/>
    <w:rsid w:val="00DA74DA"/>
    <w:rsid w:val="00DA753B"/>
    <w:rsid w:val="00DA75B2"/>
    <w:rsid w:val="00DA75B3"/>
    <w:rsid w:val="00DA760A"/>
    <w:rsid w:val="00DA77FA"/>
    <w:rsid w:val="00DA786A"/>
    <w:rsid w:val="00DA787B"/>
    <w:rsid w:val="00DA78A5"/>
    <w:rsid w:val="00DA79C7"/>
    <w:rsid w:val="00DA79FA"/>
    <w:rsid w:val="00DA7A1C"/>
    <w:rsid w:val="00DA7C4E"/>
    <w:rsid w:val="00DA7DE4"/>
    <w:rsid w:val="00DA7F9F"/>
    <w:rsid w:val="00DB01DB"/>
    <w:rsid w:val="00DB0277"/>
    <w:rsid w:val="00DB0295"/>
    <w:rsid w:val="00DB02E0"/>
    <w:rsid w:val="00DB03BE"/>
    <w:rsid w:val="00DB03EF"/>
    <w:rsid w:val="00DB05F8"/>
    <w:rsid w:val="00DB06E1"/>
    <w:rsid w:val="00DB0737"/>
    <w:rsid w:val="00DB07B1"/>
    <w:rsid w:val="00DB0960"/>
    <w:rsid w:val="00DB09EA"/>
    <w:rsid w:val="00DB0A89"/>
    <w:rsid w:val="00DB0B23"/>
    <w:rsid w:val="00DB0B6E"/>
    <w:rsid w:val="00DB0D8B"/>
    <w:rsid w:val="00DB0E09"/>
    <w:rsid w:val="00DB0E52"/>
    <w:rsid w:val="00DB0F42"/>
    <w:rsid w:val="00DB0FAE"/>
    <w:rsid w:val="00DB0FEA"/>
    <w:rsid w:val="00DB1063"/>
    <w:rsid w:val="00DB1157"/>
    <w:rsid w:val="00DB11E6"/>
    <w:rsid w:val="00DB14F2"/>
    <w:rsid w:val="00DB159D"/>
    <w:rsid w:val="00DB178A"/>
    <w:rsid w:val="00DB1791"/>
    <w:rsid w:val="00DB1968"/>
    <w:rsid w:val="00DB1978"/>
    <w:rsid w:val="00DB197C"/>
    <w:rsid w:val="00DB1AF6"/>
    <w:rsid w:val="00DB1AF7"/>
    <w:rsid w:val="00DB1B69"/>
    <w:rsid w:val="00DB1DB7"/>
    <w:rsid w:val="00DB1DE7"/>
    <w:rsid w:val="00DB2022"/>
    <w:rsid w:val="00DB20BA"/>
    <w:rsid w:val="00DB229C"/>
    <w:rsid w:val="00DB2453"/>
    <w:rsid w:val="00DB246C"/>
    <w:rsid w:val="00DB256E"/>
    <w:rsid w:val="00DB25B7"/>
    <w:rsid w:val="00DB25D7"/>
    <w:rsid w:val="00DB2699"/>
    <w:rsid w:val="00DB2741"/>
    <w:rsid w:val="00DB277D"/>
    <w:rsid w:val="00DB27B8"/>
    <w:rsid w:val="00DB281D"/>
    <w:rsid w:val="00DB2891"/>
    <w:rsid w:val="00DB292E"/>
    <w:rsid w:val="00DB294D"/>
    <w:rsid w:val="00DB29BF"/>
    <w:rsid w:val="00DB2BA1"/>
    <w:rsid w:val="00DB2D66"/>
    <w:rsid w:val="00DB2DF7"/>
    <w:rsid w:val="00DB2E5A"/>
    <w:rsid w:val="00DB2F08"/>
    <w:rsid w:val="00DB2F0D"/>
    <w:rsid w:val="00DB3074"/>
    <w:rsid w:val="00DB3092"/>
    <w:rsid w:val="00DB31DB"/>
    <w:rsid w:val="00DB330A"/>
    <w:rsid w:val="00DB345A"/>
    <w:rsid w:val="00DB34BF"/>
    <w:rsid w:val="00DB35CC"/>
    <w:rsid w:val="00DB3883"/>
    <w:rsid w:val="00DB38E3"/>
    <w:rsid w:val="00DB38E7"/>
    <w:rsid w:val="00DB3B0B"/>
    <w:rsid w:val="00DB3B0E"/>
    <w:rsid w:val="00DB3CAD"/>
    <w:rsid w:val="00DB3E17"/>
    <w:rsid w:val="00DB3EC5"/>
    <w:rsid w:val="00DB4054"/>
    <w:rsid w:val="00DB40D0"/>
    <w:rsid w:val="00DB40E0"/>
    <w:rsid w:val="00DB41D1"/>
    <w:rsid w:val="00DB4295"/>
    <w:rsid w:val="00DB42A8"/>
    <w:rsid w:val="00DB4365"/>
    <w:rsid w:val="00DB44C1"/>
    <w:rsid w:val="00DB4680"/>
    <w:rsid w:val="00DB468E"/>
    <w:rsid w:val="00DB4713"/>
    <w:rsid w:val="00DB47DD"/>
    <w:rsid w:val="00DB4844"/>
    <w:rsid w:val="00DB4A13"/>
    <w:rsid w:val="00DB4A55"/>
    <w:rsid w:val="00DB4AC6"/>
    <w:rsid w:val="00DB4B0E"/>
    <w:rsid w:val="00DB4C11"/>
    <w:rsid w:val="00DB4CBD"/>
    <w:rsid w:val="00DB4D6D"/>
    <w:rsid w:val="00DB5085"/>
    <w:rsid w:val="00DB51A1"/>
    <w:rsid w:val="00DB536E"/>
    <w:rsid w:val="00DB5448"/>
    <w:rsid w:val="00DB548A"/>
    <w:rsid w:val="00DB5651"/>
    <w:rsid w:val="00DB577F"/>
    <w:rsid w:val="00DB57D3"/>
    <w:rsid w:val="00DB58B0"/>
    <w:rsid w:val="00DB593D"/>
    <w:rsid w:val="00DB5AF5"/>
    <w:rsid w:val="00DB5B1B"/>
    <w:rsid w:val="00DB5BCA"/>
    <w:rsid w:val="00DB5BF2"/>
    <w:rsid w:val="00DB5D87"/>
    <w:rsid w:val="00DB5F8F"/>
    <w:rsid w:val="00DB5F97"/>
    <w:rsid w:val="00DB606A"/>
    <w:rsid w:val="00DB61DB"/>
    <w:rsid w:val="00DB61EE"/>
    <w:rsid w:val="00DB6307"/>
    <w:rsid w:val="00DB6436"/>
    <w:rsid w:val="00DB6461"/>
    <w:rsid w:val="00DB64E2"/>
    <w:rsid w:val="00DB65C3"/>
    <w:rsid w:val="00DB6616"/>
    <w:rsid w:val="00DB66ED"/>
    <w:rsid w:val="00DB67C9"/>
    <w:rsid w:val="00DB68D9"/>
    <w:rsid w:val="00DB6987"/>
    <w:rsid w:val="00DB69E8"/>
    <w:rsid w:val="00DB69EE"/>
    <w:rsid w:val="00DB6A5D"/>
    <w:rsid w:val="00DB6A66"/>
    <w:rsid w:val="00DB6AC9"/>
    <w:rsid w:val="00DB6D5D"/>
    <w:rsid w:val="00DB6FA3"/>
    <w:rsid w:val="00DB7107"/>
    <w:rsid w:val="00DB713E"/>
    <w:rsid w:val="00DB72BB"/>
    <w:rsid w:val="00DB7378"/>
    <w:rsid w:val="00DB73C8"/>
    <w:rsid w:val="00DB7464"/>
    <w:rsid w:val="00DB74B5"/>
    <w:rsid w:val="00DB74E1"/>
    <w:rsid w:val="00DB755F"/>
    <w:rsid w:val="00DB767A"/>
    <w:rsid w:val="00DB76FD"/>
    <w:rsid w:val="00DB7835"/>
    <w:rsid w:val="00DB7854"/>
    <w:rsid w:val="00DB78AA"/>
    <w:rsid w:val="00DB7B2F"/>
    <w:rsid w:val="00DB7B44"/>
    <w:rsid w:val="00DB7D65"/>
    <w:rsid w:val="00DB7DDA"/>
    <w:rsid w:val="00DB7F5A"/>
    <w:rsid w:val="00DB7F8A"/>
    <w:rsid w:val="00DC0077"/>
    <w:rsid w:val="00DC0108"/>
    <w:rsid w:val="00DC01A5"/>
    <w:rsid w:val="00DC02EC"/>
    <w:rsid w:val="00DC0362"/>
    <w:rsid w:val="00DC043C"/>
    <w:rsid w:val="00DC0481"/>
    <w:rsid w:val="00DC0548"/>
    <w:rsid w:val="00DC05CE"/>
    <w:rsid w:val="00DC06AF"/>
    <w:rsid w:val="00DC0726"/>
    <w:rsid w:val="00DC0743"/>
    <w:rsid w:val="00DC0784"/>
    <w:rsid w:val="00DC07EF"/>
    <w:rsid w:val="00DC08FD"/>
    <w:rsid w:val="00DC0B4C"/>
    <w:rsid w:val="00DC0D1F"/>
    <w:rsid w:val="00DC0EC8"/>
    <w:rsid w:val="00DC0EF7"/>
    <w:rsid w:val="00DC0F84"/>
    <w:rsid w:val="00DC0F92"/>
    <w:rsid w:val="00DC0F95"/>
    <w:rsid w:val="00DC0FBD"/>
    <w:rsid w:val="00DC105C"/>
    <w:rsid w:val="00DC108D"/>
    <w:rsid w:val="00DC10B4"/>
    <w:rsid w:val="00DC10B6"/>
    <w:rsid w:val="00DC10E0"/>
    <w:rsid w:val="00DC10E5"/>
    <w:rsid w:val="00DC1115"/>
    <w:rsid w:val="00DC111C"/>
    <w:rsid w:val="00DC1245"/>
    <w:rsid w:val="00DC12F0"/>
    <w:rsid w:val="00DC131F"/>
    <w:rsid w:val="00DC1323"/>
    <w:rsid w:val="00DC132D"/>
    <w:rsid w:val="00DC158C"/>
    <w:rsid w:val="00DC15BA"/>
    <w:rsid w:val="00DC16C6"/>
    <w:rsid w:val="00DC1727"/>
    <w:rsid w:val="00DC175C"/>
    <w:rsid w:val="00DC1793"/>
    <w:rsid w:val="00DC17A4"/>
    <w:rsid w:val="00DC18BA"/>
    <w:rsid w:val="00DC1987"/>
    <w:rsid w:val="00DC198A"/>
    <w:rsid w:val="00DC1B0D"/>
    <w:rsid w:val="00DC1B4E"/>
    <w:rsid w:val="00DC1B5D"/>
    <w:rsid w:val="00DC1B5F"/>
    <w:rsid w:val="00DC1DC2"/>
    <w:rsid w:val="00DC1F73"/>
    <w:rsid w:val="00DC20B9"/>
    <w:rsid w:val="00DC2115"/>
    <w:rsid w:val="00DC2147"/>
    <w:rsid w:val="00DC21AA"/>
    <w:rsid w:val="00DC21D6"/>
    <w:rsid w:val="00DC2241"/>
    <w:rsid w:val="00DC225E"/>
    <w:rsid w:val="00DC22A1"/>
    <w:rsid w:val="00DC22DA"/>
    <w:rsid w:val="00DC237E"/>
    <w:rsid w:val="00DC259F"/>
    <w:rsid w:val="00DC280B"/>
    <w:rsid w:val="00DC2821"/>
    <w:rsid w:val="00DC29C2"/>
    <w:rsid w:val="00DC2ACB"/>
    <w:rsid w:val="00DC2B2F"/>
    <w:rsid w:val="00DC2B3D"/>
    <w:rsid w:val="00DC2BCA"/>
    <w:rsid w:val="00DC2C3F"/>
    <w:rsid w:val="00DC2CE0"/>
    <w:rsid w:val="00DC2DA2"/>
    <w:rsid w:val="00DC2E49"/>
    <w:rsid w:val="00DC2F36"/>
    <w:rsid w:val="00DC30B5"/>
    <w:rsid w:val="00DC3115"/>
    <w:rsid w:val="00DC32F9"/>
    <w:rsid w:val="00DC335B"/>
    <w:rsid w:val="00DC343D"/>
    <w:rsid w:val="00DC372D"/>
    <w:rsid w:val="00DC3793"/>
    <w:rsid w:val="00DC38B6"/>
    <w:rsid w:val="00DC3986"/>
    <w:rsid w:val="00DC3A4D"/>
    <w:rsid w:val="00DC3DD3"/>
    <w:rsid w:val="00DC3E3F"/>
    <w:rsid w:val="00DC3E44"/>
    <w:rsid w:val="00DC3EB6"/>
    <w:rsid w:val="00DC406F"/>
    <w:rsid w:val="00DC41A2"/>
    <w:rsid w:val="00DC41FC"/>
    <w:rsid w:val="00DC423E"/>
    <w:rsid w:val="00DC42D0"/>
    <w:rsid w:val="00DC42D6"/>
    <w:rsid w:val="00DC4356"/>
    <w:rsid w:val="00DC4433"/>
    <w:rsid w:val="00DC44B0"/>
    <w:rsid w:val="00DC4680"/>
    <w:rsid w:val="00DC46B3"/>
    <w:rsid w:val="00DC47EC"/>
    <w:rsid w:val="00DC482E"/>
    <w:rsid w:val="00DC485B"/>
    <w:rsid w:val="00DC486E"/>
    <w:rsid w:val="00DC48A4"/>
    <w:rsid w:val="00DC4956"/>
    <w:rsid w:val="00DC4974"/>
    <w:rsid w:val="00DC4ACA"/>
    <w:rsid w:val="00DC4BE3"/>
    <w:rsid w:val="00DC4BF3"/>
    <w:rsid w:val="00DC4D0B"/>
    <w:rsid w:val="00DC4D13"/>
    <w:rsid w:val="00DC4D54"/>
    <w:rsid w:val="00DC4D94"/>
    <w:rsid w:val="00DC4E2C"/>
    <w:rsid w:val="00DC505B"/>
    <w:rsid w:val="00DC5123"/>
    <w:rsid w:val="00DC5406"/>
    <w:rsid w:val="00DC555B"/>
    <w:rsid w:val="00DC572A"/>
    <w:rsid w:val="00DC579F"/>
    <w:rsid w:val="00DC5838"/>
    <w:rsid w:val="00DC58E5"/>
    <w:rsid w:val="00DC5A9D"/>
    <w:rsid w:val="00DC5C46"/>
    <w:rsid w:val="00DC5E26"/>
    <w:rsid w:val="00DC5F4D"/>
    <w:rsid w:val="00DC5FEB"/>
    <w:rsid w:val="00DC6005"/>
    <w:rsid w:val="00DC616D"/>
    <w:rsid w:val="00DC61F2"/>
    <w:rsid w:val="00DC623E"/>
    <w:rsid w:val="00DC640E"/>
    <w:rsid w:val="00DC646F"/>
    <w:rsid w:val="00DC64DD"/>
    <w:rsid w:val="00DC655B"/>
    <w:rsid w:val="00DC65FB"/>
    <w:rsid w:val="00DC6720"/>
    <w:rsid w:val="00DC67B6"/>
    <w:rsid w:val="00DC67E9"/>
    <w:rsid w:val="00DC67FD"/>
    <w:rsid w:val="00DC6A80"/>
    <w:rsid w:val="00DC6ABC"/>
    <w:rsid w:val="00DC6ABD"/>
    <w:rsid w:val="00DC6AFE"/>
    <w:rsid w:val="00DC6F4F"/>
    <w:rsid w:val="00DC6FC2"/>
    <w:rsid w:val="00DC7249"/>
    <w:rsid w:val="00DC736C"/>
    <w:rsid w:val="00DC7479"/>
    <w:rsid w:val="00DC7532"/>
    <w:rsid w:val="00DC77E0"/>
    <w:rsid w:val="00DC77E5"/>
    <w:rsid w:val="00DC7927"/>
    <w:rsid w:val="00DC792D"/>
    <w:rsid w:val="00DC79D0"/>
    <w:rsid w:val="00DC7ACC"/>
    <w:rsid w:val="00DC7AFC"/>
    <w:rsid w:val="00DC7C8F"/>
    <w:rsid w:val="00DC7CA8"/>
    <w:rsid w:val="00DC7E7D"/>
    <w:rsid w:val="00DC7F18"/>
    <w:rsid w:val="00DC7F4D"/>
    <w:rsid w:val="00DD040A"/>
    <w:rsid w:val="00DD041F"/>
    <w:rsid w:val="00DD0572"/>
    <w:rsid w:val="00DD0588"/>
    <w:rsid w:val="00DD061B"/>
    <w:rsid w:val="00DD066C"/>
    <w:rsid w:val="00DD0891"/>
    <w:rsid w:val="00DD0982"/>
    <w:rsid w:val="00DD0A7F"/>
    <w:rsid w:val="00DD0ADF"/>
    <w:rsid w:val="00DD0AE7"/>
    <w:rsid w:val="00DD0C36"/>
    <w:rsid w:val="00DD0DA4"/>
    <w:rsid w:val="00DD0E7E"/>
    <w:rsid w:val="00DD1040"/>
    <w:rsid w:val="00DD1074"/>
    <w:rsid w:val="00DD1095"/>
    <w:rsid w:val="00DD10A9"/>
    <w:rsid w:val="00DD112E"/>
    <w:rsid w:val="00DD122F"/>
    <w:rsid w:val="00DD12B8"/>
    <w:rsid w:val="00DD12E1"/>
    <w:rsid w:val="00DD1382"/>
    <w:rsid w:val="00DD1388"/>
    <w:rsid w:val="00DD1512"/>
    <w:rsid w:val="00DD1539"/>
    <w:rsid w:val="00DD15D3"/>
    <w:rsid w:val="00DD160B"/>
    <w:rsid w:val="00DD162F"/>
    <w:rsid w:val="00DD1655"/>
    <w:rsid w:val="00DD16AD"/>
    <w:rsid w:val="00DD16D2"/>
    <w:rsid w:val="00DD16E0"/>
    <w:rsid w:val="00DD18ED"/>
    <w:rsid w:val="00DD198E"/>
    <w:rsid w:val="00DD19D2"/>
    <w:rsid w:val="00DD19F9"/>
    <w:rsid w:val="00DD1B74"/>
    <w:rsid w:val="00DD1BBD"/>
    <w:rsid w:val="00DD1CF4"/>
    <w:rsid w:val="00DD1E48"/>
    <w:rsid w:val="00DD1F11"/>
    <w:rsid w:val="00DD1F79"/>
    <w:rsid w:val="00DD1FA7"/>
    <w:rsid w:val="00DD2129"/>
    <w:rsid w:val="00DD215D"/>
    <w:rsid w:val="00DD22F5"/>
    <w:rsid w:val="00DD2301"/>
    <w:rsid w:val="00DD234B"/>
    <w:rsid w:val="00DD23AB"/>
    <w:rsid w:val="00DD241B"/>
    <w:rsid w:val="00DD243C"/>
    <w:rsid w:val="00DD243D"/>
    <w:rsid w:val="00DD255E"/>
    <w:rsid w:val="00DD261D"/>
    <w:rsid w:val="00DD2688"/>
    <w:rsid w:val="00DD2695"/>
    <w:rsid w:val="00DD2754"/>
    <w:rsid w:val="00DD28E9"/>
    <w:rsid w:val="00DD2962"/>
    <w:rsid w:val="00DD2AAD"/>
    <w:rsid w:val="00DD2ACC"/>
    <w:rsid w:val="00DD2BB5"/>
    <w:rsid w:val="00DD2BFF"/>
    <w:rsid w:val="00DD2C59"/>
    <w:rsid w:val="00DD2D85"/>
    <w:rsid w:val="00DD2DF2"/>
    <w:rsid w:val="00DD2F24"/>
    <w:rsid w:val="00DD2FF2"/>
    <w:rsid w:val="00DD3087"/>
    <w:rsid w:val="00DD3242"/>
    <w:rsid w:val="00DD3332"/>
    <w:rsid w:val="00DD333B"/>
    <w:rsid w:val="00DD3389"/>
    <w:rsid w:val="00DD33FE"/>
    <w:rsid w:val="00DD36C1"/>
    <w:rsid w:val="00DD370F"/>
    <w:rsid w:val="00DD3788"/>
    <w:rsid w:val="00DD3948"/>
    <w:rsid w:val="00DD39EE"/>
    <w:rsid w:val="00DD3ABE"/>
    <w:rsid w:val="00DD3AD9"/>
    <w:rsid w:val="00DD3B7A"/>
    <w:rsid w:val="00DD3B7C"/>
    <w:rsid w:val="00DD3C71"/>
    <w:rsid w:val="00DD3DCD"/>
    <w:rsid w:val="00DD3DDE"/>
    <w:rsid w:val="00DD3F93"/>
    <w:rsid w:val="00DD3FC4"/>
    <w:rsid w:val="00DD3FFA"/>
    <w:rsid w:val="00DD4095"/>
    <w:rsid w:val="00DD40A0"/>
    <w:rsid w:val="00DD4102"/>
    <w:rsid w:val="00DD41DC"/>
    <w:rsid w:val="00DD4207"/>
    <w:rsid w:val="00DD42A7"/>
    <w:rsid w:val="00DD42AE"/>
    <w:rsid w:val="00DD4577"/>
    <w:rsid w:val="00DD47FB"/>
    <w:rsid w:val="00DD48F5"/>
    <w:rsid w:val="00DD48F8"/>
    <w:rsid w:val="00DD4925"/>
    <w:rsid w:val="00DD4BC4"/>
    <w:rsid w:val="00DD4CD5"/>
    <w:rsid w:val="00DD4D2B"/>
    <w:rsid w:val="00DD4E1B"/>
    <w:rsid w:val="00DD5015"/>
    <w:rsid w:val="00DD517E"/>
    <w:rsid w:val="00DD524F"/>
    <w:rsid w:val="00DD5371"/>
    <w:rsid w:val="00DD5390"/>
    <w:rsid w:val="00DD53AC"/>
    <w:rsid w:val="00DD540B"/>
    <w:rsid w:val="00DD550C"/>
    <w:rsid w:val="00DD5725"/>
    <w:rsid w:val="00DD577D"/>
    <w:rsid w:val="00DD585B"/>
    <w:rsid w:val="00DD5984"/>
    <w:rsid w:val="00DD5A3E"/>
    <w:rsid w:val="00DD5ABA"/>
    <w:rsid w:val="00DD5B2F"/>
    <w:rsid w:val="00DD5D02"/>
    <w:rsid w:val="00DD5D53"/>
    <w:rsid w:val="00DD5DF3"/>
    <w:rsid w:val="00DD5E08"/>
    <w:rsid w:val="00DD5EB2"/>
    <w:rsid w:val="00DD5EEC"/>
    <w:rsid w:val="00DD6041"/>
    <w:rsid w:val="00DD61BA"/>
    <w:rsid w:val="00DD6235"/>
    <w:rsid w:val="00DD6272"/>
    <w:rsid w:val="00DD642D"/>
    <w:rsid w:val="00DD6472"/>
    <w:rsid w:val="00DD651F"/>
    <w:rsid w:val="00DD65AD"/>
    <w:rsid w:val="00DD6729"/>
    <w:rsid w:val="00DD677E"/>
    <w:rsid w:val="00DD67CD"/>
    <w:rsid w:val="00DD68EF"/>
    <w:rsid w:val="00DD6A07"/>
    <w:rsid w:val="00DD6B21"/>
    <w:rsid w:val="00DD6BDC"/>
    <w:rsid w:val="00DD6BFD"/>
    <w:rsid w:val="00DD6C74"/>
    <w:rsid w:val="00DD6D37"/>
    <w:rsid w:val="00DD6D3F"/>
    <w:rsid w:val="00DD6D87"/>
    <w:rsid w:val="00DD6E41"/>
    <w:rsid w:val="00DD6F64"/>
    <w:rsid w:val="00DD70F4"/>
    <w:rsid w:val="00DD710D"/>
    <w:rsid w:val="00DD73CA"/>
    <w:rsid w:val="00DD75B2"/>
    <w:rsid w:val="00DD7663"/>
    <w:rsid w:val="00DD7A33"/>
    <w:rsid w:val="00DD7B80"/>
    <w:rsid w:val="00DD7C5E"/>
    <w:rsid w:val="00DD7F17"/>
    <w:rsid w:val="00DD7F7B"/>
    <w:rsid w:val="00DD7F8C"/>
    <w:rsid w:val="00DD7F9D"/>
    <w:rsid w:val="00DE0182"/>
    <w:rsid w:val="00DE0208"/>
    <w:rsid w:val="00DE02B5"/>
    <w:rsid w:val="00DE02CD"/>
    <w:rsid w:val="00DE04FA"/>
    <w:rsid w:val="00DE067B"/>
    <w:rsid w:val="00DE072D"/>
    <w:rsid w:val="00DE0750"/>
    <w:rsid w:val="00DE095E"/>
    <w:rsid w:val="00DE0AA3"/>
    <w:rsid w:val="00DE0C2E"/>
    <w:rsid w:val="00DE0CFE"/>
    <w:rsid w:val="00DE0D37"/>
    <w:rsid w:val="00DE0D41"/>
    <w:rsid w:val="00DE0E23"/>
    <w:rsid w:val="00DE0E4E"/>
    <w:rsid w:val="00DE0E95"/>
    <w:rsid w:val="00DE0FE8"/>
    <w:rsid w:val="00DE10BE"/>
    <w:rsid w:val="00DE10C5"/>
    <w:rsid w:val="00DE118A"/>
    <w:rsid w:val="00DE14B0"/>
    <w:rsid w:val="00DE15AB"/>
    <w:rsid w:val="00DE15FC"/>
    <w:rsid w:val="00DE176A"/>
    <w:rsid w:val="00DE181A"/>
    <w:rsid w:val="00DE1830"/>
    <w:rsid w:val="00DE19C3"/>
    <w:rsid w:val="00DE19F8"/>
    <w:rsid w:val="00DE1A31"/>
    <w:rsid w:val="00DE1C46"/>
    <w:rsid w:val="00DE1CCB"/>
    <w:rsid w:val="00DE1D9B"/>
    <w:rsid w:val="00DE1E93"/>
    <w:rsid w:val="00DE1F3F"/>
    <w:rsid w:val="00DE212D"/>
    <w:rsid w:val="00DE21C8"/>
    <w:rsid w:val="00DE24AC"/>
    <w:rsid w:val="00DE24FB"/>
    <w:rsid w:val="00DE2513"/>
    <w:rsid w:val="00DE256A"/>
    <w:rsid w:val="00DE25AE"/>
    <w:rsid w:val="00DE26E2"/>
    <w:rsid w:val="00DE27EF"/>
    <w:rsid w:val="00DE2870"/>
    <w:rsid w:val="00DE28FA"/>
    <w:rsid w:val="00DE2A81"/>
    <w:rsid w:val="00DE2A96"/>
    <w:rsid w:val="00DE2B2B"/>
    <w:rsid w:val="00DE2BB3"/>
    <w:rsid w:val="00DE2C8C"/>
    <w:rsid w:val="00DE2D14"/>
    <w:rsid w:val="00DE2D6C"/>
    <w:rsid w:val="00DE2F9C"/>
    <w:rsid w:val="00DE2FDA"/>
    <w:rsid w:val="00DE2FF8"/>
    <w:rsid w:val="00DE30C5"/>
    <w:rsid w:val="00DE312D"/>
    <w:rsid w:val="00DE3132"/>
    <w:rsid w:val="00DE31BF"/>
    <w:rsid w:val="00DE3250"/>
    <w:rsid w:val="00DE339F"/>
    <w:rsid w:val="00DE341D"/>
    <w:rsid w:val="00DE34C9"/>
    <w:rsid w:val="00DE3591"/>
    <w:rsid w:val="00DE3719"/>
    <w:rsid w:val="00DE378A"/>
    <w:rsid w:val="00DE38AC"/>
    <w:rsid w:val="00DE3A79"/>
    <w:rsid w:val="00DE3AA2"/>
    <w:rsid w:val="00DE3C0C"/>
    <w:rsid w:val="00DE3D2D"/>
    <w:rsid w:val="00DE3DC4"/>
    <w:rsid w:val="00DE3E33"/>
    <w:rsid w:val="00DE3EB0"/>
    <w:rsid w:val="00DE3F4F"/>
    <w:rsid w:val="00DE41E6"/>
    <w:rsid w:val="00DE4270"/>
    <w:rsid w:val="00DE4371"/>
    <w:rsid w:val="00DE4412"/>
    <w:rsid w:val="00DE4587"/>
    <w:rsid w:val="00DE45F2"/>
    <w:rsid w:val="00DE460D"/>
    <w:rsid w:val="00DE496B"/>
    <w:rsid w:val="00DE4A0B"/>
    <w:rsid w:val="00DE4A8E"/>
    <w:rsid w:val="00DE4B2B"/>
    <w:rsid w:val="00DE4BE0"/>
    <w:rsid w:val="00DE4BF7"/>
    <w:rsid w:val="00DE4CF5"/>
    <w:rsid w:val="00DE4DFA"/>
    <w:rsid w:val="00DE4E0B"/>
    <w:rsid w:val="00DE4F1F"/>
    <w:rsid w:val="00DE50E3"/>
    <w:rsid w:val="00DE5212"/>
    <w:rsid w:val="00DE522B"/>
    <w:rsid w:val="00DE5277"/>
    <w:rsid w:val="00DE53A3"/>
    <w:rsid w:val="00DE5639"/>
    <w:rsid w:val="00DE572A"/>
    <w:rsid w:val="00DE57F7"/>
    <w:rsid w:val="00DE5817"/>
    <w:rsid w:val="00DE586F"/>
    <w:rsid w:val="00DE590E"/>
    <w:rsid w:val="00DE596E"/>
    <w:rsid w:val="00DE5A33"/>
    <w:rsid w:val="00DE5D27"/>
    <w:rsid w:val="00DE5D31"/>
    <w:rsid w:val="00DE5EE4"/>
    <w:rsid w:val="00DE5EE8"/>
    <w:rsid w:val="00DE61CF"/>
    <w:rsid w:val="00DE6386"/>
    <w:rsid w:val="00DE64D7"/>
    <w:rsid w:val="00DE6686"/>
    <w:rsid w:val="00DE66DB"/>
    <w:rsid w:val="00DE66F2"/>
    <w:rsid w:val="00DE6734"/>
    <w:rsid w:val="00DE69D6"/>
    <w:rsid w:val="00DE6AB9"/>
    <w:rsid w:val="00DE6B96"/>
    <w:rsid w:val="00DE6BCF"/>
    <w:rsid w:val="00DE6EDA"/>
    <w:rsid w:val="00DE700A"/>
    <w:rsid w:val="00DE7039"/>
    <w:rsid w:val="00DE709F"/>
    <w:rsid w:val="00DE7291"/>
    <w:rsid w:val="00DE72E4"/>
    <w:rsid w:val="00DE7353"/>
    <w:rsid w:val="00DE746F"/>
    <w:rsid w:val="00DE7533"/>
    <w:rsid w:val="00DE7820"/>
    <w:rsid w:val="00DE7956"/>
    <w:rsid w:val="00DE7B3F"/>
    <w:rsid w:val="00DE7C30"/>
    <w:rsid w:val="00DE7D2E"/>
    <w:rsid w:val="00DE7DC5"/>
    <w:rsid w:val="00DE7E4A"/>
    <w:rsid w:val="00DE7E92"/>
    <w:rsid w:val="00DE7F1C"/>
    <w:rsid w:val="00DE7F3F"/>
    <w:rsid w:val="00DE7F5F"/>
    <w:rsid w:val="00DF0249"/>
    <w:rsid w:val="00DF02AF"/>
    <w:rsid w:val="00DF030D"/>
    <w:rsid w:val="00DF041D"/>
    <w:rsid w:val="00DF04B4"/>
    <w:rsid w:val="00DF0624"/>
    <w:rsid w:val="00DF087F"/>
    <w:rsid w:val="00DF0951"/>
    <w:rsid w:val="00DF0990"/>
    <w:rsid w:val="00DF0A74"/>
    <w:rsid w:val="00DF0AC9"/>
    <w:rsid w:val="00DF0C00"/>
    <w:rsid w:val="00DF0D51"/>
    <w:rsid w:val="00DF0DC2"/>
    <w:rsid w:val="00DF0E70"/>
    <w:rsid w:val="00DF0ED8"/>
    <w:rsid w:val="00DF0F6D"/>
    <w:rsid w:val="00DF1011"/>
    <w:rsid w:val="00DF10EE"/>
    <w:rsid w:val="00DF11B3"/>
    <w:rsid w:val="00DF13BA"/>
    <w:rsid w:val="00DF1673"/>
    <w:rsid w:val="00DF1679"/>
    <w:rsid w:val="00DF16FE"/>
    <w:rsid w:val="00DF1770"/>
    <w:rsid w:val="00DF18E0"/>
    <w:rsid w:val="00DF1949"/>
    <w:rsid w:val="00DF1B39"/>
    <w:rsid w:val="00DF1BC1"/>
    <w:rsid w:val="00DF1BCE"/>
    <w:rsid w:val="00DF1D05"/>
    <w:rsid w:val="00DF1DCB"/>
    <w:rsid w:val="00DF1E46"/>
    <w:rsid w:val="00DF1F6E"/>
    <w:rsid w:val="00DF1FB2"/>
    <w:rsid w:val="00DF2007"/>
    <w:rsid w:val="00DF202B"/>
    <w:rsid w:val="00DF2046"/>
    <w:rsid w:val="00DF215F"/>
    <w:rsid w:val="00DF2191"/>
    <w:rsid w:val="00DF2196"/>
    <w:rsid w:val="00DF2247"/>
    <w:rsid w:val="00DF23EB"/>
    <w:rsid w:val="00DF2548"/>
    <w:rsid w:val="00DF26FB"/>
    <w:rsid w:val="00DF27E9"/>
    <w:rsid w:val="00DF27EF"/>
    <w:rsid w:val="00DF2867"/>
    <w:rsid w:val="00DF28EF"/>
    <w:rsid w:val="00DF2993"/>
    <w:rsid w:val="00DF2A54"/>
    <w:rsid w:val="00DF2B56"/>
    <w:rsid w:val="00DF2B9F"/>
    <w:rsid w:val="00DF2C41"/>
    <w:rsid w:val="00DF2E92"/>
    <w:rsid w:val="00DF2EB5"/>
    <w:rsid w:val="00DF2F32"/>
    <w:rsid w:val="00DF302D"/>
    <w:rsid w:val="00DF305F"/>
    <w:rsid w:val="00DF316E"/>
    <w:rsid w:val="00DF328B"/>
    <w:rsid w:val="00DF331E"/>
    <w:rsid w:val="00DF3336"/>
    <w:rsid w:val="00DF3344"/>
    <w:rsid w:val="00DF3380"/>
    <w:rsid w:val="00DF3400"/>
    <w:rsid w:val="00DF354F"/>
    <w:rsid w:val="00DF3984"/>
    <w:rsid w:val="00DF39C2"/>
    <w:rsid w:val="00DF3A1D"/>
    <w:rsid w:val="00DF3CF5"/>
    <w:rsid w:val="00DF3EE1"/>
    <w:rsid w:val="00DF40A3"/>
    <w:rsid w:val="00DF4276"/>
    <w:rsid w:val="00DF42C5"/>
    <w:rsid w:val="00DF47FC"/>
    <w:rsid w:val="00DF48D3"/>
    <w:rsid w:val="00DF4ABB"/>
    <w:rsid w:val="00DF4B1F"/>
    <w:rsid w:val="00DF4C41"/>
    <w:rsid w:val="00DF4D0B"/>
    <w:rsid w:val="00DF4DC6"/>
    <w:rsid w:val="00DF4E72"/>
    <w:rsid w:val="00DF4FDD"/>
    <w:rsid w:val="00DF515A"/>
    <w:rsid w:val="00DF5160"/>
    <w:rsid w:val="00DF520B"/>
    <w:rsid w:val="00DF525F"/>
    <w:rsid w:val="00DF538B"/>
    <w:rsid w:val="00DF53D6"/>
    <w:rsid w:val="00DF54FC"/>
    <w:rsid w:val="00DF5533"/>
    <w:rsid w:val="00DF55A0"/>
    <w:rsid w:val="00DF55E2"/>
    <w:rsid w:val="00DF56F0"/>
    <w:rsid w:val="00DF5704"/>
    <w:rsid w:val="00DF57F1"/>
    <w:rsid w:val="00DF5829"/>
    <w:rsid w:val="00DF5890"/>
    <w:rsid w:val="00DF589B"/>
    <w:rsid w:val="00DF58FD"/>
    <w:rsid w:val="00DF5971"/>
    <w:rsid w:val="00DF59EE"/>
    <w:rsid w:val="00DF5C4C"/>
    <w:rsid w:val="00DF5C53"/>
    <w:rsid w:val="00DF5CD6"/>
    <w:rsid w:val="00DF5DBC"/>
    <w:rsid w:val="00DF5DDC"/>
    <w:rsid w:val="00DF5DFF"/>
    <w:rsid w:val="00DF5E27"/>
    <w:rsid w:val="00DF5F55"/>
    <w:rsid w:val="00DF6000"/>
    <w:rsid w:val="00DF6022"/>
    <w:rsid w:val="00DF6095"/>
    <w:rsid w:val="00DF6161"/>
    <w:rsid w:val="00DF632F"/>
    <w:rsid w:val="00DF6493"/>
    <w:rsid w:val="00DF64B9"/>
    <w:rsid w:val="00DF64E6"/>
    <w:rsid w:val="00DF65A2"/>
    <w:rsid w:val="00DF6638"/>
    <w:rsid w:val="00DF6672"/>
    <w:rsid w:val="00DF683D"/>
    <w:rsid w:val="00DF6922"/>
    <w:rsid w:val="00DF6A54"/>
    <w:rsid w:val="00DF6A63"/>
    <w:rsid w:val="00DF6DD8"/>
    <w:rsid w:val="00DF6E51"/>
    <w:rsid w:val="00DF6ECA"/>
    <w:rsid w:val="00DF708C"/>
    <w:rsid w:val="00DF7175"/>
    <w:rsid w:val="00DF7255"/>
    <w:rsid w:val="00DF73E3"/>
    <w:rsid w:val="00DF73E4"/>
    <w:rsid w:val="00DF73EE"/>
    <w:rsid w:val="00DF74A4"/>
    <w:rsid w:val="00DF7530"/>
    <w:rsid w:val="00DF7631"/>
    <w:rsid w:val="00DF7787"/>
    <w:rsid w:val="00DF7811"/>
    <w:rsid w:val="00DF7939"/>
    <w:rsid w:val="00DF796B"/>
    <w:rsid w:val="00DF79B5"/>
    <w:rsid w:val="00DF7A37"/>
    <w:rsid w:val="00DF7A57"/>
    <w:rsid w:val="00DF7AB0"/>
    <w:rsid w:val="00DF7CA9"/>
    <w:rsid w:val="00DF7F2C"/>
    <w:rsid w:val="00DF7F4A"/>
    <w:rsid w:val="00E0005A"/>
    <w:rsid w:val="00E000C1"/>
    <w:rsid w:val="00E00127"/>
    <w:rsid w:val="00E0014C"/>
    <w:rsid w:val="00E00168"/>
    <w:rsid w:val="00E001BA"/>
    <w:rsid w:val="00E002E3"/>
    <w:rsid w:val="00E00340"/>
    <w:rsid w:val="00E003F2"/>
    <w:rsid w:val="00E00472"/>
    <w:rsid w:val="00E00512"/>
    <w:rsid w:val="00E00544"/>
    <w:rsid w:val="00E0061C"/>
    <w:rsid w:val="00E006AD"/>
    <w:rsid w:val="00E006DB"/>
    <w:rsid w:val="00E007F2"/>
    <w:rsid w:val="00E0088C"/>
    <w:rsid w:val="00E00896"/>
    <w:rsid w:val="00E009E8"/>
    <w:rsid w:val="00E00AEC"/>
    <w:rsid w:val="00E00AEE"/>
    <w:rsid w:val="00E00C73"/>
    <w:rsid w:val="00E00C96"/>
    <w:rsid w:val="00E00C9B"/>
    <w:rsid w:val="00E00DF5"/>
    <w:rsid w:val="00E00F72"/>
    <w:rsid w:val="00E01057"/>
    <w:rsid w:val="00E0109E"/>
    <w:rsid w:val="00E01212"/>
    <w:rsid w:val="00E01253"/>
    <w:rsid w:val="00E01261"/>
    <w:rsid w:val="00E0130B"/>
    <w:rsid w:val="00E01546"/>
    <w:rsid w:val="00E01565"/>
    <w:rsid w:val="00E016F8"/>
    <w:rsid w:val="00E0176A"/>
    <w:rsid w:val="00E017C4"/>
    <w:rsid w:val="00E01811"/>
    <w:rsid w:val="00E01860"/>
    <w:rsid w:val="00E019F9"/>
    <w:rsid w:val="00E01AD6"/>
    <w:rsid w:val="00E01B14"/>
    <w:rsid w:val="00E01DE0"/>
    <w:rsid w:val="00E01F26"/>
    <w:rsid w:val="00E01F72"/>
    <w:rsid w:val="00E01F74"/>
    <w:rsid w:val="00E01FA4"/>
    <w:rsid w:val="00E01FF6"/>
    <w:rsid w:val="00E02241"/>
    <w:rsid w:val="00E02417"/>
    <w:rsid w:val="00E025D6"/>
    <w:rsid w:val="00E02658"/>
    <w:rsid w:val="00E0265D"/>
    <w:rsid w:val="00E02686"/>
    <w:rsid w:val="00E02782"/>
    <w:rsid w:val="00E0278D"/>
    <w:rsid w:val="00E029B1"/>
    <w:rsid w:val="00E02BA5"/>
    <w:rsid w:val="00E02C28"/>
    <w:rsid w:val="00E02C4B"/>
    <w:rsid w:val="00E02C76"/>
    <w:rsid w:val="00E02E2C"/>
    <w:rsid w:val="00E03029"/>
    <w:rsid w:val="00E0312E"/>
    <w:rsid w:val="00E03171"/>
    <w:rsid w:val="00E031B9"/>
    <w:rsid w:val="00E031F0"/>
    <w:rsid w:val="00E03222"/>
    <w:rsid w:val="00E034DA"/>
    <w:rsid w:val="00E035DE"/>
    <w:rsid w:val="00E037BA"/>
    <w:rsid w:val="00E03873"/>
    <w:rsid w:val="00E038D5"/>
    <w:rsid w:val="00E039EE"/>
    <w:rsid w:val="00E03C0B"/>
    <w:rsid w:val="00E03CDC"/>
    <w:rsid w:val="00E03DA4"/>
    <w:rsid w:val="00E03DA6"/>
    <w:rsid w:val="00E03E3F"/>
    <w:rsid w:val="00E03FF1"/>
    <w:rsid w:val="00E04140"/>
    <w:rsid w:val="00E04158"/>
    <w:rsid w:val="00E04490"/>
    <w:rsid w:val="00E04531"/>
    <w:rsid w:val="00E0458B"/>
    <w:rsid w:val="00E0458E"/>
    <w:rsid w:val="00E04592"/>
    <w:rsid w:val="00E045D3"/>
    <w:rsid w:val="00E0469E"/>
    <w:rsid w:val="00E04710"/>
    <w:rsid w:val="00E04834"/>
    <w:rsid w:val="00E0489D"/>
    <w:rsid w:val="00E04927"/>
    <w:rsid w:val="00E0492E"/>
    <w:rsid w:val="00E049E8"/>
    <w:rsid w:val="00E04A8E"/>
    <w:rsid w:val="00E04BB5"/>
    <w:rsid w:val="00E04C14"/>
    <w:rsid w:val="00E04EC4"/>
    <w:rsid w:val="00E04F84"/>
    <w:rsid w:val="00E04FDD"/>
    <w:rsid w:val="00E051B4"/>
    <w:rsid w:val="00E0521A"/>
    <w:rsid w:val="00E052B8"/>
    <w:rsid w:val="00E052D0"/>
    <w:rsid w:val="00E053DE"/>
    <w:rsid w:val="00E0542C"/>
    <w:rsid w:val="00E054D8"/>
    <w:rsid w:val="00E055D1"/>
    <w:rsid w:val="00E0564E"/>
    <w:rsid w:val="00E056C3"/>
    <w:rsid w:val="00E056D2"/>
    <w:rsid w:val="00E0583F"/>
    <w:rsid w:val="00E059E1"/>
    <w:rsid w:val="00E05AB3"/>
    <w:rsid w:val="00E05BBA"/>
    <w:rsid w:val="00E05C12"/>
    <w:rsid w:val="00E05E2B"/>
    <w:rsid w:val="00E05FBA"/>
    <w:rsid w:val="00E0604D"/>
    <w:rsid w:val="00E0605B"/>
    <w:rsid w:val="00E060DB"/>
    <w:rsid w:val="00E0613F"/>
    <w:rsid w:val="00E06231"/>
    <w:rsid w:val="00E0623F"/>
    <w:rsid w:val="00E06299"/>
    <w:rsid w:val="00E06472"/>
    <w:rsid w:val="00E06477"/>
    <w:rsid w:val="00E0661D"/>
    <w:rsid w:val="00E06715"/>
    <w:rsid w:val="00E06968"/>
    <w:rsid w:val="00E0696C"/>
    <w:rsid w:val="00E069A4"/>
    <w:rsid w:val="00E069D6"/>
    <w:rsid w:val="00E06A2F"/>
    <w:rsid w:val="00E06A72"/>
    <w:rsid w:val="00E06B45"/>
    <w:rsid w:val="00E06B8D"/>
    <w:rsid w:val="00E06C5B"/>
    <w:rsid w:val="00E06D15"/>
    <w:rsid w:val="00E06D7C"/>
    <w:rsid w:val="00E06DFD"/>
    <w:rsid w:val="00E06F07"/>
    <w:rsid w:val="00E06F14"/>
    <w:rsid w:val="00E06F52"/>
    <w:rsid w:val="00E06FF6"/>
    <w:rsid w:val="00E0703A"/>
    <w:rsid w:val="00E071C9"/>
    <w:rsid w:val="00E071EB"/>
    <w:rsid w:val="00E07202"/>
    <w:rsid w:val="00E0727C"/>
    <w:rsid w:val="00E07329"/>
    <w:rsid w:val="00E0748F"/>
    <w:rsid w:val="00E0752E"/>
    <w:rsid w:val="00E07558"/>
    <w:rsid w:val="00E07671"/>
    <w:rsid w:val="00E076DB"/>
    <w:rsid w:val="00E076FB"/>
    <w:rsid w:val="00E07740"/>
    <w:rsid w:val="00E07754"/>
    <w:rsid w:val="00E0776C"/>
    <w:rsid w:val="00E0776D"/>
    <w:rsid w:val="00E07814"/>
    <w:rsid w:val="00E0785D"/>
    <w:rsid w:val="00E078EB"/>
    <w:rsid w:val="00E0791F"/>
    <w:rsid w:val="00E079E7"/>
    <w:rsid w:val="00E079F3"/>
    <w:rsid w:val="00E07C82"/>
    <w:rsid w:val="00E07CB8"/>
    <w:rsid w:val="00E07E4B"/>
    <w:rsid w:val="00E07E63"/>
    <w:rsid w:val="00E07F83"/>
    <w:rsid w:val="00E07F87"/>
    <w:rsid w:val="00E07FC9"/>
    <w:rsid w:val="00E07FDB"/>
    <w:rsid w:val="00E10007"/>
    <w:rsid w:val="00E100CB"/>
    <w:rsid w:val="00E1011F"/>
    <w:rsid w:val="00E101C8"/>
    <w:rsid w:val="00E101ED"/>
    <w:rsid w:val="00E104E5"/>
    <w:rsid w:val="00E10577"/>
    <w:rsid w:val="00E10645"/>
    <w:rsid w:val="00E106B3"/>
    <w:rsid w:val="00E107AC"/>
    <w:rsid w:val="00E1087D"/>
    <w:rsid w:val="00E108E8"/>
    <w:rsid w:val="00E108EF"/>
    <w:rsid w:val="00E109E2"/>
    <w:rsid w:val="00E10ABD"/>
    <w:rsid w:val="00E10AD8"/>
    <w:rsid w:val="00E10BE3"/>
    <w:rsid w:val="00E10CC9"/>
    <w:rsid w:val="00E10D37"/>
    <w:rsid w:val="00E10DDA"/>
    <w:rsid w:val="00E10E23"/>
    <w:rsid w:val="00E10ECA"/>
    <w:rsid w:val="00E10F4A"/>
    <w:rsid w:val="00E11064"/>
    <w:rsid w:val="00E1108C"/>
    <w:rsid w:val="00E112C6"/>
    <w:rsid w:val="00E1142E"/>
    <w:rsid w:val="00E114E2"/>
    <w:rsid w:val="00E11507"/>
    <w:rsid w:val="00E11514"/>
    <w:rsid w:val="00E1177E"/>
    <w:rsid w:val="00E11902"/>
    <w:rsid w:val="00E11A3C"/>
    <w:rsid w:val="00E11A67"/>
    <w:rsid w:val="00E11A71"/>
    <w:rsid w:val="00E11B4A"/>
    <w:rsid w:val="00E11B52"/>
    <w:rsid w:val="00E11C78"/>
    <w:rsid w:val="00E11D52"/>
    <w:rsid w:val="00E11DED"/>
    <w:rsid w:val="00E11E50"/>
    <w:rsid w:val="00E11ECA"/>
    <w:rsid w:val="00E11FD3"/>
    <w:rsid w:val="00E120C9"/>
    <w:rsid w:val="00E12135"/>
    <w:rsid w:val="00E123BD"/>
    <w:rsid w:val="00E1250E"/>
    <w:rsid w:val="00E12533"/>
    <w:rsid w:val="00E125DC"/>
    <w:rsid w:val="00E125E6"/>
    <w:rsid w:val="00E12827"/>
    <w:rsid w:val="00E12882"/>
    <w:rsid w:val="00E128F1"/>
    <w:rsid w:val="00E12A23"/>
    <w:rsid w:val="00E12A60"/>
    <w:rsid w:val="00E12A7A"/>
    <w:rsid w:val="00E12B29"/>
    <w:rsid w:val="00E12C3C"/>
    <w:rsid w:val="00E12E2D"/>
    <w:rsid w:val="00E12ECE"/>
    <w:rsid w:val="00E13015"/>
    <w:rsid w:val="00E1301A"/>
    <w:rsid w:val="00E13080"/>
    <w:rsid w:val="00E13362"/>
    <w:rsid w:val="00E13425"/>
    <w:rsid w:val="00E13437"/>
    <w:rsid w:val="00E1345F"/>
    <w:rsid w:val="00E135DD"/>
    <w:rsid w:val="00E13682"/>
    <w:rsid w:val="00E1373C"/>
    <w:rsid w:val="00E1381E"/>
    <w:rsid w:val="00E13836"/>
    <w:rsid w:val="00E138F3"/>
    <w:rsid w:val="00E139AF"/>
    <w:rsid w:val="00E13B29"/>
    <w:rsid w:val="00E13C11"/>
    <w:rsid w:val="00E13C1E"/>
    <w:rsid w:val="00E13D1E"/>
    <w:rsid w:val="00E13E20"/>
    <w:rsid w:val="00E13E8A"/>
    <w:rsid w:val="00E13FA9"/>
    <w:rsid w:val="00E140C5"/>
    <w:rsid w:val="00E14124"/>
    <w:rsid w:val="00E14234"/>
    <w:rsid w:val="00E14308"/>
    <w:rsid w:val="00E1444D"/>
    <w:rsid w:val="00E144F4"/>
    <w:rsid w:val="00E1456B"/>
    <w:rsid w:val="00E145FD"/>
    <w:rsid w:val="00E14947"/>
    <w:rsid w:val="00E1494F"/>
    <w:rsid w:val="00E14A24"/>
    <w:rsid w:val="00E14AD9"/>
    <w:rsid w:val="00E14B42"/>
    <w:rsid w:val="00E14BE8"/>
    <w:rsid w:val="00E14C49"/>
    <w:rsid w:val="00E14F81"/>
    <w:rsid w:val="00E14FC1"/>
    <w:rsid w:val="00E15098"/>
    <w:rsid w:val="00E15286"/>
    <w:rsid w:val="00E152B3"/>
    <w:rsid w:val="00E15337"/>
    <w:rsid w:val="00E15445"/>
    <w:rsid w:val="00E15452"/>
    <w:rsid w:val="00E154AD"/>
    <w:rsid w:val="00E1555C"/>
    <w:rsid w:val="00E1560C"/>
    <w:rsid w:val="00E1574A"/>
    <w:rsid w:val="00E1577A"/>
    <w:rsid w:val="00E157F7"/>
    <w:rsid w:val="00E1593D"/>
    <w:rsid w:val="00E15A9F"/>
    <w:rsid w:val="00E15B6F"/>
    <w:rsid w:val="00E15BB2"/>
    <w:rsid w:val="00E15D3D"/>
    <w:rsid w:val="00E15DFE"/>
    <w:rsid w:val="00E15EDA"/>
    <w:rsid w:val="00E15F22"/>
    <w:rsid w:val="00E160EE"/>
    <w:rsid w:val="00E16185"/>
    <w:rsid w:val="00E1619F"/>
    <w:rsid w:val="00E16227"/>
    <w:rsid w:val="00E16296"/>
    <w:rsid w:val="00E16306"/>
    <w:rsid w:val="00E16346"/>
    <w:rsid w:val="00E16350"/>
    <w:rsid w:val="00E163F2"/>
    <w:rsid w:val="00E1647F"/>
    <w:rsid w:val="00E165EE"/>
    <w:rsid w:val="00E1661B"/>
    <w:rsid w:val="00E166D4"/>
    <w:rsid w:val="00E167B4"/>
    <w:rsid w:val="00E1693D"/>
    <w:rsid w:val="00E16A55"/>
    <w:rsid w:val="00E16A89"/>
    <w:rsid w:val="00E16C00"/>
    <w:rsid w:val="00E16C05"/>
    <w:rsid w:val="00E16C4B"/>
    <w:rsid w:val="00E16CF1"/>
    <w:rsid w:val="00E16D1C"/>
    <w:rsid w:val="00E16D71"/>
    <w:rsid w:val="00E16DBB"/>
    <w:rsid w:val="00E16F31"/>
    <w:rsid w:val="00E16FEB"/>
    <w:rsid w:val="00E17134"/>
    <w:rsid w:val="00E17239"/>
    <w:rsid w:val="00E17296"/>
    <w:rsid w:val="00E173D8"/>
    <w:rsid w:val="00E17430"/>
    <w:rsid w:val="00E1767C"/>
    <w:rsid w:val="00E17778"/>
    <w:rsid w:val="00E177F8"/>
    <w:rsid w:val="00E17929"/>
    <w:rsid w:val="00E1799F"/>
    <w:rsid w:val="00E179CA"/>
    <w:rsid w:val="00E179D9"/>
    <w:rsid w:val="00E17A24"/>
    <w:rsid w:val="00E17A95"/>
    <w:rsid w:val="00E17A9E"/>
    <w:rsid w:val="00E17AAA"/>
    <w:rsid w:val="00E17AB2"/>
    <w:rsid w:val="00E17ACB"/>
    <w:rsid w:val="00E17B31"/>
    <w:rsid w:val="00E17B93"/>
    <w:rsid w:val="00E17E05"/>
    <w:rsid w:val="00E17F07"/>
    <w:rsid w:val="00E20008"/>
    <w:rsid w:val="00E20038"/>
    <w:rsid w:val="00E20042"/>
    <w:rsid w:val="00E2025D"/>
    <w:rsid w:val="00E204F1"/>
    <w:rsid w:val="00E20520"/>
    <w:rsid w:val="00E2052C"/>
    <w:rsid w:val="00E20623"/>
    <w:rsid w:val="00E2064B"/>
    <w:rsid w:val="00E2072F"/>
    <w:rsid w:val="00E207EF"/>
    <w:rsid w:val="00E20807"/>
    <w:rsid w:val="00E2081A"/>
    <w:rsid w:val="00E20890"/>
    <w:rsid w:val="00E20928"/>
    <w:rsid w:val="00E20991"/>
    <w:rsid w:val="00E20A08"/>
    <w:rsid w:val="00E20A0B"/>
    <w:rsid w:val="00E20B35"/>
    <w:rsid w:val="00E20B77"/>
    <w:rsid w:val="00E20CDD"/>
    <w:rsid w:val="00E20D61"/>
    <w:rsid w:val="00E20D8A"/>
    <w:rsid w:val="00E20D95"/>
    <w:rsid w:val="00E20DA7"/>
    <w:rsid w:val="00E20DC9"/>
    <w:rsid w:val="00E20DFB"/>
    <w:rsid w:val="00E20E82"/>
    <w:rsid w:val="00E20FD1"/>
    <w:rsid w:val="00E21002"/>
    <w:rsid w:val="00E21055"/>
    <w:rsid w:val="00E2106E"/>
    <w:rsid w:val="00E2108F"/>
    <w:rsid w:val="00E212A5"/>
    <w:rsid w:val="00E212C8"/>
    <w:rsid w:val="00E21474"/>
    <w:rsid w:val="00E218CB"/>
    <w:rsid w:val="00E218DA"/>
    <w:rsid w:val="00E21AD3"/>
    <w:rsid w:val="00E21C9D"/>
    <w:rsid w:val="00E21CCC"/>
    <w:rsid w:val="00E21CF0"/>
    <w:rsid w:val="00E21DA6"/>
    <w:rsid w:val="00E21E06"/>
    <w:rsid w:val="00E21E78"/>
    <w:rsid w:val="00E21F15"/>
    <w:rsid w:val="00E21F51"/>
    <w:rsid w:val="00E21F8B"/>
    <w:rsid w:val="00E22067"/>
    <w:rsid w:val="00E220E3"/>
    <w:rsid w:val="00E22163"/>
    <w:rsid w:val="00E2217B"/>
    <w:rsid w:val="00E2239B"/>
    <w:rsid w:val="00E22450"/>
    <w:rsid w:val="00E2246D"/>
    <w:rsid w:val="00E2254B"/>
    <w:rsid w:val="00E2263C"/>
    <w:rsid w:val="00E226FA"/>
    <w:rsid w:val="00E22708"/>
    <w:rsid w:val="00E227E0"/>
    <w:rsid w:val="00E22A06"/>
    <w:rsid w:val="00E22BD7"/>
    <w:rsid w:val="00E22C0B"/>
    <w:rsid w:val="00E22DDD"/>
    <w:rsid w:val="00E22EBA"/>
    <w:rsid w:val="00E22FE9"/>
    <w:rsid w:val="00E23075"/>
    <w:rsid w:val="00E2307B"/>
    <w:rsid w:val="00E23094"/>
    <w:rsid w:val="00E230F6"/>
    <w:rsid w:val="00E2312B"/>
    <w:rsid w:val="00E2317E"/>
    <w:rsid w:val="00E2321B"/>
    <w:rsid w:val="00E23236"/>
    <w:rsid w:val="00E23289"/>
    <w:rsid w:val="00E236B9"/>
    <w:rsid w:val="00E237BE"/>
    <w:rsid w:val="00E23850"/>
    <w:rsid w:val="00E238C6"/>
    <w:rsid w:val="00E2393C"/>
    <w:rsid w:val="00E239CD"/>
    <w:rsid w:val="00E23AFF"/>
    <w:rsid w:val="00E23B1D"/>
    <w:rsid w:val="00E23B81"/>
    <w:rsid w:val="00E23DF0"/>
    <w:rsid w:val="00E23FAF"/>
    <w:rsid w:val="00E23FB5"/>
    <w:rsid w:val="00E23FF1"/>
    <w:rsid w:val="00E240D8"/>
    <w:rsid w:val="00E241EB"/>
    <w:rsid w:val="00E24309"/>
    <w:rsid w:val="00E244E6"/>
    <w:rsid w:val="00E24560"/>
    <w:rsid w:val="00E245B0"/>
    <w:rsid w:val="00E2464F"/>
    <w:rsid w:val="00E24692"/>
    <w:rsid w:val="00E247DB"/>
    <w:rsid w:val="00E247F5"/>
    <w:rsid w:val="00E248D0"/>
    <w:rsid w:val="00E2490F"/>
    <w:rsid w:val="00E2496A"/>
    <w:rsid w:val="00E24A0F"/>
    <w:rsid w:val="00E24B3A"/>
    <w:rsid w:val="00E24B6F"/>
    <w:rsid w:val="00E24BD0"/>
    <w:rsid w:val="00E24BEC"/>
    <w:rsid w:val="00E24C24"/>
    <w:rsid w:val="00E24CAB"/>
    <w:rsid w:val="00E24D58"/>
    <w:rsid w:val="00E24D95"/>
    <w:rsid w:val="00E251A9"/>
    <w:rsid w:val="00E251FE"/>
    <w:rsid w:val="00E25244"/>
    <w:rsid w:val="00E25448"/>
    <w:rsid w:val="00E25466"/>
    <w:rsid w:val="00E25528"/>
    <w:rsid w:val="00E25558"/>
    <w:rsid w:val="00E255A1"/>
    <w:rsid w:val="00E25652"/>
    <w:rsid w:val="00E2577D"/>
    <w:rsid w:val="00E257B7"/>
    <w:rsid w:val="00E25845"/>
    <w:rsid w:val="00E258AA"/>
    <w:rsid w:val="00E25907"/>
    <w:rsid w:val="00E25926"/>
    <w:rsid w:val="00E25AC4"/>
    <w:rsid w:val="00E25C36"/>
    <w:rsid w:val="00E25DCD"/>
    <w:rsid w:val="00E25E5C"/>
    <w:rsid w:val="00E25ED1"/>
    <w:rsid w:val="00E26018"/>
    <w:rsid w:val="00E26058"/>
    <w:rsid w:val="00E261A5"/>
    <w:rsid w:val="00E262D7"/>
    <w:rsid w:val="00E262E8"/>
    <w:rsid w:val="00E2645F"/>
    <w:rsid w:val="00E264C0"/>
    <w:rsid w:val="00E26512"/>
    <w:rsid w:val="00E2651A"/>
    <w:rsid w:val="00E26735"/>
    <w:rsid w:val="00E267D6"/>
    <w:rsid w:val="00E268C5"/>
    <w:rsid w:val="00E269BF"/>
    <w:rsid w:val="00E26AB9"/>
    <w:rsid w:val="00E26AE5"/>
    <w:rsid w:val="00E26B29"/>
    <w:rsid w:val="00E26B8F"/>
    <w:rsid w:val="00E26BFB"/>
    <w:rsid w:val="00E26C35"/>
    <w:rsid w:val="00E26CA2"/>
    <w:rsid w:val="00E26D77"/>
    <w:rsid w:val="00E26ED4"/>
    <w:rsid w:val="00E26F5E"/>
    <w:rsid w:val="00E26FCB"/>
    <w:rsid w:val="00E270F1"/>
    <w:rsid w:val="00E271C4"/>
    <w:rsid w:val="00E27382"/>
    <w:rsid w:val="00E27438"/>
    <w:rsid w:val="00E27507"/>
    <w:rsid w:val="00E27623"/>
    <w:rsid w:val="00E276C3"/>
    <w:rsid w:val="00E276E8"/>
    <w:rsid w:val="00E277BE"/>
    <w:rsid w:val="00E278E1"/>
    <w:rsid w:val="00E279F8"/>
    <w:rsid w:val="00E27A19"/>
    <w:rsid w:val="00E27B6E"/>
    <w:rsid w:val="00E27C96"/>
    <w:rsid w:val="00E27D03"/>
    <w:rsid w:val="00E27E4F"/>
    <w:rsid w:val="00E27ED3"/>
    <w:rsid w:val="00E27F2B"/>
    <w:rsid w:val="00E27F7F"/>
    <w:rsid w:val="00E27FEB"/>
    <w:rsid w:val="00E300BA"/>
    <w:rsid w:val="00E30431"/>
    <w:rsid w:val="00E3047B"/>
    <w:rsid w:val="00E30574"/>
    <w:rsid w:val="00E30578"/>
    <w:rsid w:val="00E307E0"/>
    <w:rsid w:val="00E30905"/>
    <w:rsid w:val="00E30B0B"/>
    <w:rsid w:val="00E30B3C"/>
    <w:rsid w:val="00E30B97"/>
    <w:rsid w:val="00E30BCA"/>
    <w:rsid w:val="00E30BE7"/>
    <w:rsid w:val="00E30C11"/>
    <w:rsid w:val="00E30C8C"/>
    <w:rsid w:val="00E30D7B"/>
    <w:rsid w:val="00E30EF9"/>
    <w:rsid w:val="00E30F39"/>
    <w:rsid w:val="00E30F8B"/>
    <w:rsid w:val="00E30FA3"/>
    <w:rsid w:val="00E31022"/>
    <w:rsid w:val="00E310B0"/>
    <w:rsid w:val="00E31166"/>
    <w:rsid w:val="00E311DA"/>
    <w:rsid w:val="00E314F5"/>
    <w:rsid w:val="00E31504"/>
    <w:rsid w:val="00E315D7"/>
    <w:rsid w:val="00E3177A"/>
    <w:rsid w:val="00E317D8"/>
    <w:rsid w:val="00E318A4"/>
    <w:rsid w:val="00E318B6"/>
    <w:rsid w:val="00E318FC"/>
    <w:rsid w:val="00E3190E"/>
    <w:rsid w:val="00E31A8D"/>
    <w:rsid w:val="00E31C3E"/>
    <w:rsid w:val="00E31D51"/>
    <w:rsid w:val="00E31E81"/>
    <w:rsid w:val="00E31F99"/>
    <w:rsid w:val="00E320AD"/>
    <w:rsid w:val="00E32103"/>
    <w:rsid w:val="00E321F1"/>
    <w:rsid w:val="00E32242"/>
    <w:rsid w:val="00E32372"/>
    <w:rsid w:val="00E3247F"/>
    <w:rsid w:val="00E3255E"/>
    <w:rsid w:val="00E32610"/>
    <w:rsid w:val="00E326D9"/>
    <w:rsid w:val="00E32779"/>
    <w:rsid w:val="00E32837"/>
    <w:rsid w:val="00E3299B"/>
    <w:rsid w:val="00E32A01"/>
    <w:rsid w:val="00E32BE1"/>
    <w:rsid w:val="00E32C2B"/>
    <w:rsid w:val="00E32C91"/>
    <w:rsid w:val="00E32CD7"/>
    <w:rsid w:val="00E32D78"/>
    <w:rsid w:val="00E32FFE"/>
    <w:rsid w:val="00E3301E"/>
    <w:rsid w:val="00E33115"/>
    <w:rsid w:val="00E332F5"/>
    <w:rsid w:val="00E332FA"/>
    <w:rsid w:val="00E332FE"/>
    <w:rsid w:val="00E3334A"/>
    <w:rsid w:val="00E3343C"/>
    <w:rsid w:val="00E334A8"/>
    <w:rsid w:val="00E334ED"/>
    <w:rsid w:val="00E3353F"/>
    <w:rsid w:val="00E3370F"/>
    <w:rsid w:val="00E3378C"/>
    <w:rsid w:val="00E337BC"/>
    <w:rsid w:val="00E3390D"/>
    <w:rsid w:val="00E33A97"/>
    <w:rsid w:val="00E33AB9"/>
    <w:rsid w:val="00E33CA7"/>
    <w:rsid w:val="00E33DB1"/>
    <w:rsid w:val="00E33E5E"/>
    <w:rsid w:val="00E34027"/>
    <w:rsid w:val="00E3419C"/>
    <w:rsid w:val="00E34214"/>
    <w:rsid w:val="00E34446"/>
    <w:rsid w:val="00E34535"/>
    <w:rsid w:val="00E3456F"/>
    <w:rsid w:val="00E34575"/>
    <w:rsid w:val="00E34674"/>
    <w:rsid w:val="00E34914"/>
    <w:rsid w:val="00E34972"/>
    <w:rsid w:val="00E349DB"/>
    <w:rsid w:val="00E34AD3"/>
    <w:rsid w:val="00E34B3A"/>
    <w:rsid w:val="00E34B4F"/>
    <w:rsid w:val="00E34B92"/>
    <w:rsid w:val="00E34C4B"/>
    <w:rsid w:val="00E34DA7"/>
    <w:rsid w:val="00E34DC9"/>
    <w:rsid w:val="00E34E38"/>
    <w:rsid w:val="00E34E5D"/>
    <w:rsid w:val="00E3506E"/>
    <w:rsid w:val="00E350CA"/>
    <w:rsid w:val="00E350E1"/>
    <w:rsid w:val="00E351AB"/>
    <w:rsid w:val="00E351DB"/>
    <w:rsid w:val="00E352B0"/>
    <w:rsid w:val="00E352DF"/>
    <w:rsid w:val="00E35315"/>
    <w:rsid w:val="00E35502"/>
    <w:rsid w:val="00E355AF"/>
    <w:rsid w:val="00E3586C"/>
    <w:rsid w:val="00E35AE3"/>
    <w:rsid w:val="00E35B03"/>
    <w:rsid w:val="00E35B71"/>
    <w:rsid w:val="00E35B8A"/>
    <w:rsid w:val="00E35C66"/>
    <w:rsid w:val="00E35C6F"/>
    <w:rsid w:val="00E35C88"/>
    <w:rsid w:val="00E35CB2"/>
    <w:rsid w:val="00E35D23"/>
    <w:rsid w:val="00E35D30"/>
    <w:rsid w:val="00E35F3C"/>
    <w:rsid w:val="00E35F77"/>
    <w:rsid w:val="00E35FFA"/>
    <w:rsid w:val="00E361B2"/>
    <w:rsid w:val="00E36295"/>
    <w:rsid w:val="00E365D0"/>
    <w:rsid w:val="00E36691"/>
    <w:rsid w:val="00E3669A"/>
    <w:rsid w:val="00E36753"/>
    <w:rsid w:val="00E367B7"/>
    <w:rsid w:val="00E367BE"/>
    <w:rsid w:val="00E368B3"/>
    <w:rsid w:val="00E368F2"/>
    <w:rsid w:val="00E3699F"/>
    <w:rsid w:val="00E369C4"/>
    <w:rsid w:val="00E36A82"/>
    <w:rsid w:val="00E36B15"/>
    <w:rsid w:val="00E36B28"/>
    <w:rsid w:val="00E36B29"/>
    <w:rsid w:val="00E36BE9"/>
    <w:rsid w:val="00E36D18"/>
    <w:rsid w:val="00E36D7D"/>
    <w:rsid w:val="00E36F27"/>
    <w:rsid w:val="00E36F53"/>
    <w:rsid w:val="00E36F75"/>
    <w:rsid w:val="00E37055"/>
    <w:rsid w:val="00E371B7"/>
    <w:rsid w:val="00E371F8"/>
    <w:rsid w:val="00E37212"/>
    <w:rsid w:val="00E372F8"/>
    <w:rsid w:val="00E3747E"/>
    <w:rsid w:val="00E3753C"/>
    <w:rsid w:val="00E37727"/>
    <w:rsid w:val="00E3772B"/>
    <w:rsid w:val="00E3780C"/>
    <w:rsid w:val="00E37899"/>
    <w:rsid w:val="00E378E1"/>
    <w:rsid w:val="00E37AF8"/>
    <w:rsid w:val="00E37B53"/>
    <w:rsid w:val="00E37B7B"/>
    <w:rsid w:val="00E37C62"/>
    <w:rsid w:val="00E37D8B"/>
    <w:rsid w:val="00E37E87"/>
    <w:rsid w:val="00E4005E"/>
    <w:rsid w:val="00E400F7"/>
    <w:rsid w:val="00E40171"/>
    <w:rsid w:val="00E401E2"/>
    <w:rsid w:val="00E40230"/>
    <w:rsid w:val="00E40232"/>
    <w:rsid w:val="00E4039E"/>
    <w:rsid w:val="00E403B5"/>
    <w:rsid w:val="00E403DE"/>
    <w:rsid w:val="00E404EB"/>
    <w:rsid w:val="00E40597"/>
    <w:rsid w:val="00E405B0"/>
    <w:rsid w:val="00E406DB"/>
    <w:rsid w:val="00E40B08"/>
    <w:rsid w:val="00E40BDA"/>
    <w:rsid w:val="00E40C18"/>
    <w:rsid w:val="00E40D28"/>
    <w:rsid w:val="00E40D2A"/>
    <w:rsid w:val="00E40D97"/>
    <w:rsid w:val="00E40EAC"/>
    <w:rsid w:val="00E41052"/>
    <w:rsid w:val="00E410F6"/>
    <w:rsid w:val="00E4128E"/>
    <w:rsid w:val="00E412F6"/>
    <w:rsid w:val="00E4133E"/>
    <w:rsid w:val="00E41362"/>
    <w:rsid w:val="00E41371"/>
    <w:rsid w:val="00E413C7"/>
    <w:rsid w:val="00E41717"/>
    <w:rsid w:val="00E4191C"/>
    <w:rsid w:val="00E41958"/>
    <w:rsid w:val="00E419D7"/>
    <w:rsid w:val="00E41AF6"/>
    <w:rsid w:val="00E41B7E"/>
    <w:rsid w:val="00E41CE6"/>
    <w:rsid w:val="00E41CFA"/>
    <w:rsid w:val="00E41DA7"/>
    <w:rsid w:val="00E41EC1"/>
    <w:rsid w:val="00E41EE5"/>
    <w:rsid w:val="00E41F57"/>
    <w:rsid w:val="00E42028"/>
    <w:rsid w:val="00E420C3"/>
    <w:rsid w:val="00E42117"/>
    <w:rsid w:val="00E42174"/>
    <w:rsid w:val="00E4224E"/>
    <w:rsid w:val="00E4231A"/>
    <w:rsid w:val="00E424EE"/>
    <w:rsid w:val="00E42794"/>
    <w:rsid w:val="00E4285A"/>
    <w:rsid w:val="00E42979"/>
    <w:rsid w:val="00E42A08"/>
    <w:rsid w:val="00E42A87"/>
    <w:rsid w:val="00E42AFA"/>
    <w:rsid w:val="00E42B00"/>
    <w:rsid w:val="00E42BB6"/>
    <w:rsid w:val="00E42C9B"/>
    <w:rsid w:val="00E42D3C"/>
    <w:rsid w:val="00E42D67"/>
    <w:rsid w:val="00E42DD3"/>
    <w:rsid w:val="00E42EE1"/>
    <w:rsid w:val="00E42F7E"/>
    <w:rsid w:val="00E42FFC"/>
    <w:rsid w:val="00E4306C"/>
    <w:rsid w:val="00E43097"/>
    <w:rsid w:val="00E430EC"/>
    <w:rsid w:val="00E43129"/>
    <w:rsid w:val="00E431F0"/>
    <w:rsid w:val="00E432A2"/>
    <w:rsid w:val="00E43372"/>
    <w:rsid w:val="00E43379"/>
    <w:rsid w:val="00E435CD"/>
    <w:rsid w:val="00E43749"/>
    <w:rsid w:val="00E437F9"/>
    <w:rsid w:val="00E4380E"/>
    <w:rsid w:val="00E4388C"/>
    <w:rsid w:val="00E43A7A"/>
    <w:rsid w:val="00E43B20"/>
    <w:rsid w:val="00E43BA1"/>
    <w:rsid w:val="00E43C54"/>
    <w:rsid w:val="00E43C8A"/>
    <w:rsid w:val="00E440B3"/>
    <w:rsid w:val="00E440E9"/>
    <w:rsid w:val="00E4412E"/>
    <w:rsid w:val="00E44138"/>
    <w:rsid w:val="00E443D4"/>
    <w:rsid w:val="00E443DE"/>
    <w:rsid w:val="00E44464"/>
    <w:rsid w:val="00E444C2"/>
    <w:rsid w:val="00E445A8"/>
    <w:rsid w:val="00E44B18"/>
    <w:rsid w:val="00E44B42"/>
    <w:rsid w:val="00E44CBD"/>
    <w:rsid w:val="00E44D15"/>
    <w:rsid w:val="00E44E1F"/>
    <w:rsid w:val="00E44E95"/>
    <w:rsid w:val="00E4505F"/>
    <w:rsid w:val="00E450BB"/>
    <w:rsid w:val="00E4517B"/>
    <w:rsid w:val="00E451A9"/>
    <w:rsid w:val="00E452B2"/>
    <w:rsid w:val="00E452E8"/>
    <w:rsid w:val="00E45417"/>
    <w:rsid w:val="00E454B4"/>
    <w:rsid w:val="00E455B9"/>
    <w:rsid w:val="00E45694"/>
    <w:rsid w:val="00E456A5"/>
    <w:rsid w:val="00E456AD"/>
    <w:rsid w:val="00E45709"/>
    <w:rsid w:val="00E457DB"/>
    <w:rsid w:val="00E45A08"/>
    <w:rsid w:val="00E45AD5"/>
    <w:rsid w:val="00E45D13"/>
    <w:rsid w:val="00E45DA0"/>
    <w:rsid w:val="00E45F3A"/>
    <w:rsid w:val="00E45FAD"/>
    <w:rsid w:val="00E46038"/>
    <w:rsid w:val="00E46287"/>
    <w:rsid w:val="00E46451"/>
    <w:rsid w:val="00E465F9"/>
    <w:rsid w:val="00E46831"/>
    <w:rsid w:val="00E4687C"/>
    <w:rsid w:val="00E4694D"/>
    <w:rsid w:val="00E46962"/>
    <w:rsid w:val="00E46AA4"/>
    <w:rsid w:val="00E46AC0"/>
    <w:rsid w:val="00E46BB9"/>
    <w:rsid w:val="00E46BC3"/>
    <w:rsid w:val="00E46BC8"/>
    <w:rsid w:val="00E46C57"/>
    <w:rsid w:val="00E46D45"/>
    <w:rsid w:val="00E46D6E"/>
    <w:rsid w:val="00E46EB6"/>
    <w:rsid w:val="00E46F6F"/>
    <w:rsid w:val="00E46FB8"/>
    <w:rsid w:val="00E4712C"/>
    <w:rsid w:val="00E471A4"/>
    <w:rsid w:val="00E471D6"/>
    <w:rsid w:val="00E47222"/>
    <w:rsid w:val="00E472F5"/>
    <w:rsid w:val="00E47357"/>
    <w:rsid w:val="00E47513"/>
    <w:rsid w:val="00E47783"/>
    <w:rsid w:val="00E477E7"/>
    <w:rsid w:val="00E47871"/>
    <w:rsid w:val="00E478A1"/>
    <w:rsid w:val="00E47909"/>
    <w:rsid w:val="00E47939"/>
    <w:rsid w:val="00E479A9"/>
    <w:rsid w:val="00E479B8"/>
    <w:rsid w:val="00E47A2A"/>
    <w:rsid w:val="00E47A7F"/>
    <w:rsid w:val="00E47AD4"/>
    <w:rsid w:val="00E47AFE"/>
    <w:rsid w:val="00E47B5D"/>
    <w:rsid w:val="00E47BC2"/>
    <w:rsid w:val="00E47D27"/>
    <w:rsid w:val="00E47DE5"/>
    <w:rsid w:val="00E47ECE"/>
    <w:rsid w:val="00E47F5D"/>
    <w:rsid w:val="00E47FEE"/>
    <w:rsid w:val="00E50154"/>
    <w:rsid w:val="00E5016F"/>
    <w:rsid w:val="00E5024F"/>
    <w:rsid w:val="00E50292"/>
    <w:rsid w:val="00E502B8"/>
    <w:rsid w:val="00E5030A"/>
    <w:rsid w:val="00E50538"/>
    <w:rsid w:val="00E50607"/>
    <w:rsid w:val="00E5062E"/>
    <w:rsid w:val="00E5065F"/>
    <w:rsid w:val="00E506FF"/>
    <w:rsid w:val="00E50842"/>
    <w:rsid w:val="00E50883"/>
    <w:rsid w:val="00E508F7"/>
    <w:rsid w:val="00E50931"/>
    <w:rsid w:val="00E50A50"/>
    <w:rsid w:val="00E50AB2"/>
    <w:rsid w:val="00E50AE2"/>
    <w:rsid w:val="00E50BED"/>
    <w:rsid w:val="00E50CDF"/>
    <w:rsid w:val="00E50E8F"/>
    <w:rsid w:val="00E50F68"/>
    <w:rsid w:val="00E50F76"/>
    <w:rsid w:val="00E510E5"/>
    <w:rsid w:val="00E511F7"/>
    <w:rsid w:val="00E51381"/>
    <w:rsid w:val="00E51434"/>
    <w:rsid w:val="00E514A5"/>
    <w:rsid w:val="00E514B6"/>
    <w:rsid w:val="00E51580"/>
    <w:rsid w:val="00E51647"/>
    <w:rsid w:val="00E516AB"/>
    <w:rsid w:val="00E5170C"/>
    <w:rsid w:val="00E517AF"/>
    <w:rsid w:val="00E517C8"/>
    <w:rsid w:val="00E51895"/>
    <w:rsid w:val="00E518B7"/>
    <w:rsid w:val="00E51911"/>
    <w:rsid w:val="00E51AC2"/>
    <w:rsid w:val="00E51B34"/>
    <w:rsid w:val="00E51B4C"/>
    <w:rsid w:val="00E51CB0"/>
    <w:rsid w:val="00E51CE4"/>
    <w:rsid w:val="00E51CF0"/>
    <w:rsid w:val="00E51CFC"/>
    <w:rsid w:val="00E51D77"/>
    <w:rsid w:val="00E51DDE"/>
    <w:rsid w:val="00E51E35"/>
    <w:rsid w:val="00E51E4F"/>
    <w:rsid w:val="00E51E94"/>
    <w:rsid w:val="00E51F2B"/>
    <w:rsid w:val="00E52049"/>
    <w:rsid w:val="00E520E7"/>
    <w:rsid w:val="00E521C1"/>
    <w:rsid w:val="00E52209"/>
    <w:rsid w:val="00E5220C"/>
    <w:rsid w:val="00E523D8"/>
    <w:rsid w:val="00E52435"/>
    <w:rsid w:val="00E52466"/>
    <w:rsid w:val="00E524FF"/>
    <w:rsid w:val="00E52517"/>
    <w:rsid w:val="00E5261B"/>
    <w:rsid w:val="00E5265D"/>
    <w:rsid w:val="00E527FA"/>
    <w:rsid w:val="00E5284C"/>
    <w:rsid w:val="00E528CB"/>
    <w:rsid w:val="00E5293D"/>
    <w:rsid w:val="00E52A42"/>
    <w:rsid w:val="00E52B03"/>
    <w:rsid w:val="00E52C60"/>
    <w:rsid w:val="00E52E0D"/>
    <w:rsid w:val="00E52F48"/>
    <w:rsid w:val="00E53183"/>
    <w:rsid w:val="00E531BF"/>
    <w:rsid w:val="00E533FA"/>
    <w:rsid w:val="00E53413"/>
    <w:rsid w:val="00E5342C"/>
    <w:rsid w:val="00E534BB"/>
    <w:rsid w:val="00E53507"/>
    <w:rsid w:val="00E53533"/>
    <w:rsid w:val="00E5368D"/>
    <w:rsid w:val="00E5375F"/>
    <w:rsid w:val="00E53986"/>
    <w:rsid w:val="00E53B42"/>
    <w:rsid w:val="00E53D1A"/>
    <w:rsid w:val="00E53DE4"/>
    <w:rsid w:val="00E53EB1"/>
    <w:rsid w:val="00E53ED0"/>
    <w:rsid w:val="00E54125"/>
    <w:rsid w:val="00E541E7"/>
    <w:rsid w:val="00E5423D"/>
    <w:rsid w:val="00E54359"/>
    <w:rsid w:val="00E5445E"/>
    <w:rsid w:val="00E54554"/>
    <w:rsid w:val="00E54584"/>
    <w:rsid w:val="00E546A3"/>
    <w:rsid w:val="00E546B2"/>
    <w:rsid w:val="00E54773"/>
    <w:rsid w:val="00E54AAF"/>
    <w:rsid w:val="00E54ACD"/>
    <w:rsid w:val="00E54B04"/>
    <w:rsid w:val="00E54B44"/>
    <w:rsid w:val="00E54B63"/>
    <w:rsid w:val="00E54C47"/>
    <w:rsid w:val="00E54CCC"/>
    <w:rsid w:val="00E54D3C"/>
    <w:rsid w:val="00E54D70"/>
    <w:rsid w:val="00E54D73"/>
    <w:rsid w:val="00E54F7B"/>
    <w:rsid w:val="00E55246"/>
    <w:rsid w:val="00E5530D"/>
    <w:rsid w:val="00E55317"/>
    <w:rsid w:val="00E55330"/>
    <w:rsid w:val="00E553D4"/>
    <w:rsid w:val="00E5547F"/>
    <w:rsid w:val="00E555DD"/>
    <w:rsid w:val="00E558A7"/>
    <w:rsid w:val="00E55A67"/>
    <w:rsid w:val="00E55BFF"/>
    <w:rsid w:val="00E55C3D"/>
    <w:rsid w:val="00E55C41"/>
    <w:rsid w:val="00E55C8A"/>
    <w:rsid w:val="00E55CDB"/>
    <w:rsid w:val="00E55CF4"/>
    <w:rsid w:val="00E55F82"/>
    <w:rsid w:val="00E560A8"/>
    <w:rsid w:val="00E561ED"/>
    <w:rsid w:val="00E56278"/>
    <w:rsid w:val="00E5631E"/>
    <w:rsid w:val="00E56381"/>
    <w:rsid w:val="00E56393"/>
    <w:rsid w:val="00E563FD"/>
    <w:rsid w:val="00E56444"/>
    <w:rsid w:val="00E564EE"/>
    <w:rsid w:val="00E5653D"/>
    <w:rsid w:val="00E565F4"/>
    <w:rsid w:val="00E56602"/>
    <w:rsid w:val="00E56773"/>
    <w:rsid w:val="00E5682C"/>
    <w:rsid w:val="00E5694D"/>
    <w:rsid w:val="00E56AAC"/>
    <w:rsid w:val="00E56B04"/>
    <w:rsid w:val="00E56C31"/>
    <w:rsid w:val="00E56C95"/>
    <w:rsid w:val="00E56D93"/>
    <w:rsid w:val="00E56E6D"/>
    <w:rsid w:val="00E56EB4"/>
    <w:rsid w:val="00E56ECD"/>
    <w:rsid w:val="00E56F23"/>
    <w:rsid w:val="00E56F80"/>
    <w:rsid w:val="00E56FFF"/>
    <w:rsid w:val="00E57003"/>
    <w:rsid w:val="00E57098"/>
    <w:rsid w:val="00E570A3"/>
    <w:rsid w:val="00E57158"/>
    <w:rsid w:val="00E571D1"/>
    <w:rsid w:val="00E57226"/>
    <w:rsid w:val="00E572FD"/>
    <w:rsid w:val="00E57307"/>
    <w:rsid w:val="00E5737A"/>
    <w:rsid w:val="00E5742D"/>
    <w:rsid w:val="00E57438"/>
    <w:rsid w:val="00E574DE"/>
    <w:rsid w:val="00E57500"/>
    <w:rsid w:val="00E5754D"/>
    <w:rsid w:val="00E576B8"/>
    <w:rsid w:val="00E5787F"/>
    <w:rsid w:val="00E57B26"/>
    <w:rsid w:val="00E57B2F"/>
    <w:rsid w:val="00E57B7F"/>
    <w:rsid w:val="00E57B81"/>
    <w:rsid w:val="00E57BD8"/>
    <w:rsid w:val="00E57C1B"/>
    <w:rsid w:val="00E57CAD"/>
    <w:rsid w:val="00E57CE2"/>
    <w:rsid w:val="00E57D27"/>
    <w:rsid w:val="00E57D8A"/>
    <w:rsid w:val="00E57D8F"/>
    <w:rsid w:val="00E57F95"/>
    <w:rsid w:val="00E6001D"/>
    <w:rsid w:val="00E60032"/>
    <w:rsid w:val="00E601E2"/>
    <w:rsid w:val="00E6021F"/>
    <w:rsid w:val="00E60286"/>
    <w:rsid w:val="00E602F2"/>
    <w:rsid w:val="00E60362"/>
    <w:rsid w:val="00E606C4"/>
    <w:rsid w:val="00E606D2"/>
    <w:rsid w:val="00E60794"/>
    <w:rsid w:val="00E60A56"/>
    <w:rsid w:val="00E60C16"/>
    <w:rsid w:val="00E60C75"/>
    <w:rsid w:val="00E60D71"/>
    <w:rsid w:val="00E60F39"/>
    <w:rsid w:val="00E60FA6"/>
    <w:rsid w:val="00E61097"/>
    <w:rsid w:val="00E611BF"/>
    <w:rsid w:val="00E61230"/>
    <w:rsid w:val="00E61271"/>
    <w:rsid w:val="00E61284"/>
    <w:rsid w:val="00E613A1"/>
    <w:rsid w:val="00E613B8"/>
    <w:rsid w:val="00E614B7"/>
    <w:rsid w:val="00E61622"/>
    <w:rsid w:val="00E616EA"/>
    <w:rsid w:val="00E617BC"/>
    <w:rsid w:val="00E6192A"/>
    <w:rsid w:val="00E6193A"/>
    <w:rsid w:val="00E61944"/>
    <w:rsid w:val="00E619A5"/>
    <w:rsid w:val="00E619BA"/>
    <w:rsid w:val="00E61BC2"/>
    <w:rsid w:val="00E61C4D"/>
    <w:rsid w:val="00E61CC8"/>
    <w:rsid w:val="00E61F26"/>
    <w:rsid w:val="00E620E4"/>
    <w:rsid w:val="00E6216E"/>
    <w:rsid w:val="00E621FB"/>
    <w:rsid w:val="00E622E0"/>
    <w:rsid w:val="00E622E5"/>
    <w:rsid w:val="00E62400"/>
    <w:rsid w:val="00E624A4"/>
    <w:rsid w:val="00E62651"/>
    <w:rsid w:val="00E627AF"/>
    <w:rsid w:val="00E62817"/>
    <w:rsid w:val="00E62885"/>
    <w:rsid w:val="00E629D8"/>
    <w:rsid w:val="00E62B97"/>
    <w:rsid w:val="00E62DE6"/>
    <w:rsid w:val="00E62DF0"/>
    <w:rsid w:val="00E6319D"/>
    <w:rsid w:val="00E633A2"/>
    <w:rsid w:val="00E635A5"/>
    <w:rsid w:val="00E635B4"/>
    <w:rsid w:val="00E636D9"/>
    <w:rsid w:val="00E63778"/>
    <w:rsid w:val="00E63794"/>
    <w:rsid w:val="00E63878"/>
    <w:rsid w:val="00E63981"/>
    <w:rsid w:val="00E63B8F"/>
    <w:rsid w:val="00E63BCD"/>
    <w:rsid w:val="00E63D85"/>
    <w:rsid w:val="00E63EEC"/>
    <w:rsid w:val="00E63FEB"/>
    <w:rsid w:val="00E64109"/>
    <w:rsid w:val="00E6412D"/>
    <w:rsid w:val="00E641C9"/>
    <w:rsid w:val="00E641CC"/>
    <w:rsid w:val="00E642CE"/>
    <w:rsid w:val="00E644B4"/>
    <w:rsid w:val="00E644D5"/>
    <w:rsid w:val="00E645B8"/>
    <w:rsid w:val="00E645BA"/>
    <w:rsid w:val="00E6468F"/>
    <w:rsid w:val="00E6480C"/>
    <w:rsid w:val="00E64A07"/>
    <w:rsid w:val="00E64B4E"/>
    <w:rsid w:val="00E64C31"/>
    <w:rsid w:val="00E64CCD"/>
    <w:rsid w:val="00E64CDE"/>
    <w:rsid w:val="00E64F2E"/>
    <w:rsid w:val="00E64FF8"/>
    <w:rsid w:val="00E65051"/>
    <w:rsid w:val="00E650F7"/>
    <w:rsid w:val="00E6518D"/>
    <w:rsid w:val="00E651DA"/>
    <w:rsid w:val="00E651E0"/>
    <w:rsid w:val="00E652BF"/>
    <w:rsid w:val="00E65380"/>
    <w:rsid w:val="00E654D5"/>
    <w:rsid w:val="00E6598F"/>
    <w:rsid w:val="00E65B6A"/>
    <w:rsid w:val="00E65C66"/>
    <w:rsid w:val="00E65F5F"/>
    <w:rsid w:val="00E6614A"/>
    <w:rsid w:val="00E66175"/>
    <w:rsid w:val="00E66259"/>
    <w:rsid w:val="00E662BE"/>
    <w:rsid w:val="00E6640D"/>
    <w:rsid w:val="00E6644C"/>
    <w:rsid w:val="00E6645E"/>
    <w:rsid w:val="00E6646C"/>
    <w:rsid w:val="00E66470"/>
    <w:rsid w:val="00E664B7"/>
    <w:rsid w:val="00E66596"/>
    <w:rsid w:val="00E6660B"/>
    <w:rsid w:val="00E6677F"/>
    <w:rsid w:val="00E66805"/>
    <w:rsid w:val="00E668CE"/>
    <w:rsid w:val="00E669EB"/>
    <w:rsid w:val="00E66A45"/>
    <w:rsid w:val="00E66A6E"/>
    <w:rsid w:val="00E66B78"/>
    <w:rsid w:val="00E66BEB"/>
    <w:rsid w:val="00E66C70"/>
    <w:rsid w:val="00E66C74"/>
    <w:rsid w:val="00E66D44"/>
    <w:rsid w:val="00E66ED8"/>
    <w:rsid w:val="00E66F16"/>
    <w:rsid w:val="00E67197"/>
    <w:rsid w:val="00E671DC"/>
    <w:rsid w:val="00E6734C"/>
    <w:rsid w:val="00E674B4"/>
    <w:rsid w:val="00E674BE"/>
    <w:rsid w:val="00E677B8"/>
    <w:rsid w:val="00E677F8"/>
    <w:rsid w:val="00E6794A"/>
    <w:rsid w:val="00E679F8"/>
    <w:rsid w:val="00E67A09"/>
    <w:rsid w:val="00E67BE3"/>
    <w:rsid w:val="00E67D84"/>
    <w:rsid w:val="00E67ED1"/>
    <w:rsid w:val="00E67EF7"/>
    <w:rsid w:val="00E67F0F"/>
    <w:rsid w:val="00E67F33"/>
    <w:rsid w:val="00E7011A"/>
    <w:rsid w:val="00E7028B"/>
    <w:rsid w:val="00E702B8"/>
    <w:rsid w:val="00E70320"/>
    <w:rsid w:val="00E7039A"/>
    <w:rsid w:val="00E70429"/>
    <w:rsid w:val="00E7043E"/>
    <w:rsid w:val="00E7048F"/>
    <w:rsid w:val="00E70563"/>
    <w:rsid w:val="00E70588"/>
    <w:rsid w:val="00E70637"/>
    <w:rsid w:val="00E7075C"/>
    <w:rsid w:val="00E708F4"/>
    <w:rsid w:val="00E70AB7"/>
    <w:rsid w:val="00E70BD9"/>
    <w:rsid w:val="00E70BF6"/>
    <w:rsid w:val="00E70E1D"/>
    <w:rsid w:val="00E70E87"/>
    <w:rsid w:val="00E70ED7"/>
    <w:rsid w:val="00E71025"/>
    <w:rsid w:val="00E7125B"/>
    <w:rsid w:val="00E71458"/>
    <w:rsid w:val="00E71522"/>
    <w:rsid w:val="00E715F3"/>
    <w:rsid w:val="00E717F6"/>
    <w:rsid w:val="00E71939"/>
    <w:rsid w:val="00E71998"/>
    <w:rsid w:val="00E719B7"/>
    <w:rsid w:val="00E71A1A"/>
    <w:rsid w:val="00E71A6D"/>
    <w:rsid w:val="00E71AE1"/>
    <w:rsid w:val="00E71BBE"/>
    <w:rsid w:val="00E71E50"/>
    <w:rsid w:val="00E71F1A"/>
    <w:rsid w:val="00E7201C"/>
    <w:rsid w:val="00E7205B"/>
    <w:rsid w:val="00E72124"/>
    <w:rsid w:val="00E72126"/>
    <w:rsid w:val="00E721BF"/>
    <w:rsid w:val="00E7246C"/>
    <w:rsid w:val="00E725D5"/>
    <w:rsid w:val="00E725ED"/>
    <w:rsid w:val="00E72628"/>
    <w:rsid w:val="00E72764"/>
    <w:rsid w:val="00E72799"/>
    <w:rsid w:val="00E72A9D"/>
    <w:rsid w:val="00E72B49"/>
    <w:rsid w:val="00E72C24"/>
    <w:rsid w:val="00E72C46"/>
    <w:rsid w:val="00E72DC8"/>
    <w:rsid w:val="00E72DF9"/>
    <w:rsid w:val="00E72EE8"/>
    <w:rsid w:val="00E72F0B"/>
    <w:rsid w:val="00E7305F"/>
    <w:rsid w:val="00E7324B"/>
    <w:rsid w:val="00E73378"/>
    <w:rsid w:val="00E73382"/>
    <w:rsid w:val="00E7346C"/>
    <w:rsid w:val="00E73497"/>
    <w:rsid w:val="00E73555"/>
    <w:rsid w:val="00E736DD"/>
    <w:rsid w:val="00E73745"/>
    <w:rsid w:val="00E73781"/>
    <w:rsid w:val="00E7380E"/>
    <w:rsid w:val="00E7382D"/>
    <w:rsid w:val="00E7386A"/>
    <w:rsid w:val="00E7387C"/>
    <w:rsid w:val="00E73ACE"/>
    <w:rsid w:val="00E73B71"/>
    <w:rsid w:val="00E73BDE"/>
    <w:rsid w:val="00E73C80"/>
    <w:rsid w:val="00E73F6D"/>
    <w:rsid w:val="00E74084"/>
    <w:rsid w:val="00E740A6"/>
    <w:rsid w:val="00E74103"/>
    <w:rsid w:val="00E742E1"/>
    <w:rsid w:val="00E7439C"/>
    <w:rsid w:val="00E743D3"/>
    <w:rsid w:val="00E744AF"/>
    <w:rsid w:val="00E745B9"/>
    <w:rsid w:val="00E7462E"/>
    <w:rsid w:val="00E74755"/>
    <w:rsid w:val="00E74807"/>
    <w:rsid w:val="00E748C5"/>
    <w:rsid w:val="00E749DB"/>
    <w:rsid w:val="00E74A7C"/>
    <w:rsid w:val="00E74AE7"/>
    <w:rsid w:val="00E74AF3"/>
    <w:rsid w:val="00E74AF4"/>
    <w:rsid w:val="00E74B53"/>
    <w:rsid w:val="00E74C24"/>
    <w:rsid w:val="00E74D62"/>
    <w:rsid w:val="00E74E32"/>
    <w:rsid w:val="00E74E8E"/>
    <w:rsid w:val="00E751EA"/>
    <w:rsid w:val="00E7520E"/>
    <w:rsid w:val="00E75494"/>
    <w:rsid w:val="00E755A8"/>
    <w:rsid w:val="00E75684"/>
    <w:rsid w:val="00E758C4"/>
    <w:rsid w:val="00E758F8"/>
    <w:rsid w:val="00E75A57"/>
    <w:rsid w:val="00E75B2F"/>
    <w:rsid w:val="00E75BD1"/>
    <w:rsid w:val="00E75C45"/>
    <w:rsid w:val="00E75D06"/>
    <w:rsid w:val="00E75E77"/>
    <w:rsid w:val="00E75EEA"/>
    <w:rsid w:val="00E75FBF"/>
    <w:rsid w:val="00E75FE1"/>
    <w:rsid w:val="00E76117"/>
    <w:rsid w:val="00E76196"/>
    <w:rsid w:val="00E76231"/>
    <w:rsid w:val="00E7629E"/>
    <w:rsid w:val="00E762C8"/>
    <w:rsid w:val="00E76370"/>
    <w:rsid w:val="00E765AB"/>
    <w:rsid w:val="00E765B8"/>
    <w:rsid w:val="00E7680F"/>
    <w:rsid w:val="00E7681F"/>
    <w:rsid w:val="00E76830"/>
    <w:rsid w:val="00E76862"/>
    <w:rsid w:val="00E76889"/>
    <w:rsid w:val="00E769F8"/>
    <w:rsid w:val="00E76D08"/>
    <w:rsid w:val="00E76DCE"/>
    <w:rsid w:val="00E76DD7"/>
    <w:rsid w:val="00E76EE4"/>
    <w:rsid w:val="00E76F0C"/>
    <w:rsid w:val="00E77047"/>
    <w:rsid w:val="00E7712B"/>
    <w:rsid w:val="00E771BB"/>
    <w:rsid w:val="00E771EA"/>
    <w:rsid w:val="00E774A0"/>
    <w:rsid w:val="00E7763F"/>
    <w:rsid w:val="00E7778C"/>
    <w:rsid w:val="00E77889"/>
    <w:rsid w:val="00E77914"/>
    <w:rsid w:val="00E77945"/>
    <w:rsid w:val="00E77A1E"/>
    <w:rsid w:val="00E77A49"/>
    <w:rsid w:val="00E77A77"/>
    <w:rsid w:val="00E77A79"/>
    <w:rsid w:val="00E77BB5"/>
    <w:rsid w:val="00E77C58"/>
    <w:rsid w:val="00E77CEE"/>
    <w:rsid w:val="00E77CF4"/>
    <w:rsid w:val="00E77E01"/>
    <w:rsid w:val="00E77E17"/>
    <w:rsid w:val="00E77E56"/>
    <w:rsid w:val="00E77F6C"/>
    <w:rsid w:val="00E77F73"/>
    <w:rsid w:val="00E77FF0"/>
    <w:rsid w:val="00E8021B"/>
    <w:rsid w:val="00E8040F"/>
    <w:rsid w:val="00E80430"/>
    <w:rsid w:val="00E804C5"/>
    <w:rsid w:val="00E80667"/>
    <w:rsid w:val="00E80714"/>
    <w:rsid w:val="00E80888"/>
    <w:rsid w:val="00E809C3"/>
    <w:rsid w:val="00E80A34"/>
    <w:rsid w:val="00E80B5F"/>
    <w:rsid w:val="00E80D74"/>
    <w:rsid w:val="00E80D81"/>
    <w:rsid w:val="00E8103B"/>
    <w:rsid w:val="00E8108D"/>
    <w:rsid w:val="00E81107"/>
    <w:rsid w:val="00E812D4"/>
    <w:rsid w:val="00E812EF"/>
    <w:rsid w:val="00E812FC"/>
    <w:rsid w:val="00E8144E"/>
    <w:rsid w:val="00E816ED"/>
    <w:rsid w:val="00E81706"/>
    <w:rsid w:val="00E8185F"/>
    <w:rsid w:val="00E8192E"/>
    <w:rsid w:val="00E81A22"/>
    <w:rsid w:val="00E81A24"/>
    <w:rsid w:val="00E81AA4"/>
    <w:rsid w:val="00E81B40"/>
    <w:rsid w:val="00E81D79"/>
    <w:rsid w:val="00E81DB9"/>
    <w:rsid w:val="00E81E04"/>
    <w:rsid w:val="00E81F34"/>
    <w:rsid w:val="00E821A3"/>
    <w:rsid w:val="00E82270"/>
    <w:rsid w:val="00E8228E"/>
    <w:rsid w:val="00E823F6"/>
    <w:rsid w:val="00E824DC"/>
    <w:rsid w:val="00E82546"/>
    <w:rsid w:val="00E82686"/>
    <w:rsid w:val="00E826B7"/>
    <w:rsid w:val="00E82916"/>
    <w:rsid w:val="00E82A52"/>
    <w:rsid w:val="00E82A7A"/>
    <w:rsid w:val="00E82AA1"/>
    <w:rsid w:val="00E82C4E"/>
    <w:rsid w:val="00E82C58"/>
    <w:rsid w:val="00E82CA2"/>
    <w:rsid w:val="00E82D58"/>
    <w:rsid w:val="00E82DA5"/>
    <w:rsid w:val="00E82E31"/>
    <w:rsid w:val="00E82F3A"/>
    <w:rsid w:val="00E82FC7"/>
    <w:rsid w:val="00E82FD0"/>
    <w:rsid w:val="00E82FF2"/>
    <w:rsid w:val="00E8301D"/>
    <w:rsid w:val="00E830CD"/>
    <w:rsid w:val="00E8311F"/>
    <w:rsid w:val="00E83218"/>
    <w:rsid w:val="00E8335C"/>
    <w:rsid w:val="00E833FA"/>
    <w:rsid w:val="00E83442"/>
    <w:rsid w:val="00E83451"/>
    <w:rsid w:val="00E8353F"/>
    <w:rsid w:val="00E8356B"/>
    <w:rsid w:val="00E8357E"/>
    <w:rsid w:val="00E8359B"/>
    <w:rsid w:val="00E8373F"/>
    <w:rsid w:val="00E83832"/>
    <w:rsid w:val="00E838AB"/>
    <w:rsid w:val="00E839B3"/>
    <w:rsid w:val="00E839D2"/>
    <w:rsid w:val="00E839EF"/>
    <w:rsid w:val="00E83A6F"/>
    <w:rsid w:val="00E83AD1"/>
    <w:rsid w:val="00E83B30"/>
    <w:rsid w:val="00E83B3F"/>
    <w:rsid w:val="00E83D2E"/>
    <w:rsid w:val="00E83D85"/>
    <w:rsid w:val="00E83DEA"/>
    <w:rsid w:val="00E83DF3"/>
    <w:rsid w:val="00E83E55"/>
    <w:rsid w:val="00E83EF1"/>
    <w:rsid w:val="00E83FD1"/>
    <w:rsid w:val="00E84051"/>
    <w:rsid w:val="00E84093"/>
    <w:rsid w:val="00E840DF"/>
    <w:rsid w:val="00E84126"/>
    <w:rsid w:val="00E8413C"/>
    <w:rsid w:val="00E84144"/>
    <w:rsid w:val="00E8421E"/>
    <w:rsid w:val="00E843D8"/>
    <w:rsid w:val="00E843E8"/>
    <w:rsid w:val="00E84416"/>
    <w:rsid w:val="00E844BB"/>
    <w:rsid w:val="00E84519"/>
    <w:rsid w:val="00E84557"/>
    <w:rsid w:val="00E845DF"/>
    <w:rsid w:val="00E8470B"/>
    <w:rsid w:val="00E848F6"/>
    <w:rsid w:val="00E84A07"/>
    <w:rsid w:val="00E84A2B"/>
    <w:rsid w:val="00E84A84"/>
    <w:rsid w:val="00E84AFD"/>
    <w:rsid w:val="00E84E2F"/>
    <w:rsid w:val="00E84ECB"/>
    <w:rsid w:val="00E84F34"/>
    <w:rsid w:val="00E84FA8"/>
    <w:rsid w:val="00E850AE"/>
    <w:rsid w:val="00E85168"/>
    <w:rsid w:val="00E8516B"/>
    <w:rsid w:val="00E851AB"/>
    <w:rsid w:val="00E851ED"/>
    <w:rsid w:val="00E85234"/>
    <w:rsid w:val="00E8528F"/>
    <w:rsid w:val="00E8531A"/>
    <w:rsid w:val="00E85327"/>
    <w:rsid w:val="00E853C4"/>
    <w:rsid w:val="00E85517"/>
    <w:rsid w:val="00E8560D"/>
    <w:rsid w:val="00E856CD"/>
    <w:rsid w:val="00E8582C"/>
    <w:rsid w:val="00E85865"/>
    <w:rsid w:val="00E85882"/>
    <w:rsid w:val="00E85976"/>
    <w:rsid w:val="00E859B6"/>
    <w:rsid w:val="00E859D8"/>
    <w:rsid w:val="00E85B0B"/>
    <w:rsid w:val="00E85B3E"/>
    <w:rsid w:val="00E85C0F"/>
    <w:rsid w:val="00E85C6F"/>
    <w:rsid w:val="00E85CB1"/>
    <w:rsid w:val="00E85D82"/>
    <w:rsid w:val="00E85E05"/>
    <w:rsid w:val="00E85F17"/>
    <w:rsid w:val="00E85F38"/>
    <w:rsid w:val="00E85F8B"/>
    <w:rsid w:val="00E86144"/>
    <w:rsid w:val="00E862DF"/>
    <w:rsid w:val="00E86302"/>
    <w:rsid w:val="00E86310"/>
    <w:rsid w:val="00E86324"/>
    <w:rsid w:val="00E86562"/>
    <w:rsid w:val="00E8658C"/>
    <w:rsid w:val="00E865E7"/>
    <w:rsid w:val="00E865E8"/>
    <w:rsid w:val="00E869A4"/>
    <w:rsid w:val="00E86AE6"/>
    <w:rsid w:val="00E86B49"/>
    <w:rsid w:val="00E86B7B"/>
    <w:rsid w:val="00E87047"/>
    <w:rsid w:val="00E87079"/>
    <w:rsid w:val="00E870FA"/>
    <w:rsid w:val="00E8714A"/>
    <w:rsid w:val="00E87459"/>
    <w:rsid w:val="00E878D0"/>
    <w:rsid w:val="00E878E0"/>
    <w:rsid w:val="00E87907"/>
    <w:rsid w:val="00E87A19"/>
    <w:rsid w:val="00E87BE5"/>
    <w:rsid w:val="00E87E48"/>
    <w:rsid w:val="00E90045"/>
    <w:rsid w:val="00E90072"/>
    <w:rsid w:val="00E902A9"/>
    <w:rsid w:val="00E9037B"/>
    <w:rsid w:val="00E9038A"/>
    <w:rsid w:val="00E906DD"/>
    <w:rsid w:val="00E906E8"/>
    <w:rsid w:val="00E90718"/>
    <w:rsid w:val="00E9080D"/>
    <w:rsid w:val="00E90815"/>
    <w:rsid w:val="00E90923"/>
    <w:rsid w:val="00E9096E"/>
    <w:rsid w:val="00E90A3C"/>
    <w:rsid w:val="00E90AB4"/>
    <w:rsid w:val="00E90BB4"/>
    <w:rsid w:val="00E90EC8"/>
    <w:rsid w:val="00E91001"/>
    <w:rsid w:val="00E9117D"/>
    <w:rsid w:val="00E9136D"/>
    <w:rsid w:val="00E91441"/>
    <w:rsid w:val="00E91467"/>
    <w:rsid w:val="00E914DB"/>
    <w:rsid w:val="00E917AA"/>
    <w:rsid w:val="00E9196F"/>
    <w:rsid w:val="00E91992"/>
    <w:rsid w:val="00E91995"/>
    <w:rsid w:val="00E91AB4"/>
    <w:rsid w:val="00E91ACF"/>
    <w:rsid w:val="00E91B3F"/>
    <w:rsid w:val="00E91CA2"/>
    <w:rsid w:val="00E91CCE"/>
    <w:rsid w:val="00E91CE1"/>
    <w:rsid w:val="00E91D70"/>
    <w:rsid w:val="00E91E17"/>
    <w:rsid w:val="00E91E53"/>
    <w:rsid w:val="00E91F35"/>
    <w:rsid w:val="00E91F4E"/>
    <w:rsid w:val="00E91F60"/>
    <w:rsid w:val="00E92031"/>
    <w:rsid w:val="00E920B6"/>
    <w:rsid w:val="00E921EE"/>
    <w:rsid w:val="00E922B8"/>
    <w:rsid w:val="00E9260B"/>
    <w:rsid w:val="00E9263B"/>
    <w:rsid w:val="00E927D8"/>
    <w:rsid w:val="00E928CD"/>
    <w:rsid w:val="00E928F9"/>
    <w:rsid w:val="00E929AC"/>
    <w:rsid w:val="00E929F8"/>
    <w:rsid w:val="00E92A3C"/>
    <w:rsid w:val="00E92A6B"/>
    <w:rsid w:val="00E92AD4"/>
    <w:rsid w:val="00E92B52"/>
    <w:rsid w:val="00E92CAA"/>
    <w:rsid w:val="00E92D34"/>
    <w:rsid w:val="00E92D6C"/>
    <w:rsid w:val="00E92DFA"/>
    <w:rsid w:val="00E92E6F"/>
    <w:rsid w:val="00E92ED1"/>
    <w:rsid w:val="00E92ED6"/>
    <w:rsid w:val="00E92F83"/>
    <w:rsid w:val="00E930A6"/>
    <w:rsid w:val="00E930BC"/>
    <w:rsid w:val="00E93102"/>
    <w:rsid w:val="00E93167"/>
    <w:rsid w:val="00E93204"/>
    <w:rsid w:val="00E9346F"/>
    <w:rsid w:val="00E9347E"/>
    <w:rsid w:val="00E9356D"/>
    <w:rsid w:val="00E935F1"/>
    <w:rsid w:val="00E9366E"/>
    <w:rsid w:val="00E93775"/>
    <w:rsid w:val="00E938CD"/>
    <w:rsid w:val="00E939B4"/>
    <w:rsid w:val="00E939F3"/>
    <w:rsid w:val="00E93C58"/>
    <w:rsid w:val="00E93D9C"/>
    <w:rsid w:val="00E93ECF"/>
    <w:rsid w:val="00E93ED4"/>
    <w:rsid w:val="00E94053"/>
    <w:rsid w:val="00E941A9"/>
    <w:rsid w:val="00E94234"/>
    <w:rsid w:val="00E94269"/>
    <w:rsid w:val="00E944BA"/>
    <w:rsid w:val="00E94515"/>
    <w:rsid w:val="00E945AD"/>
    <w:rsid w:val="00E94677"/>
    <w:rsid w:val="00E946C7"/>
    <w:rsid w:val="00E9476B"/>
    <w:rsid w:val="00E94A1F"/>
    <w:rsid w:val="00E94A20"/>
    <w:rsid w:val="00E94CA7"/>
    <w:rsid w:val="00E94D06"/>
    <w:rsid w:val="00E94E1A"/>
    <w:rsid w:val="00E94E22"/>
    <w:rsid w:val="00E94E34"/>
    <w:rsid w:val="00E94E90"/>
    <w:rsid w:val="00E94ECD"/>
    <w:rsid w:val="00E94F78"/>
    <w:rsid w:val="00E94F89"/>
    <w:rsid w:val="00E9511E"/>
    <w:rsid w:val="00E95156"/>
    <w:rsid w:val="00E952F9"/>
    <w:rsid w:val="00E9530E"/>
    <w:rsid w:val="00E95379"/>
    <w:rsid w:val="00E95411"/>
    <w:rsid w:val="00E954E2"/>
    <w:rsid w:val="00E955A1"/>
    <w:rsid w:val="00E95648"/>
    <w:rsid w:val="00E95692"/>
    <w:rsid w:val="00E958F4"/>
    <w:rsid w:val="00E95983"/>
    <w:rsid w:val="00E959A9"/>
    <w:rsid w:val="00E959D9"/>
    <w:rsid w:val="00E95A37"/>
    <w:rsid w:val="00E95C1F"/>
    <w:rsid w:val="00E95C20"/>
    <w:rsid w:val="00E95C41"/>
    <w:rsid w:val="00E95D6E"/>
    <w:rsid w:val="00E95EB2"/>
    <w:rsid w:val="00E9607D"/>
    <w:rsid w:val="00E96128"/>
    <w:rsid w:val="00E9612E"/>
    <w:rsid w:val="00E96197"/>
    <w:rsid w:val="00E961CE"/>
    <w:rsid w:val="00E9632D"/>
    <w:rsid w:val="00E96361"/>
    <w:rsid w:val="00E963FE"/>
    <w:rsid w:val="00E964AD"/>
    <w:rsid w:val="00E96548"/>
    <w:rsid w:val="00E96643"/>
    <w:rsid w:val="00E9664C"/>
    <w:rsid w:val="00E96677"/>
    <w:rsid w:val="00E966DD"/>
    <w:rsid w:val="00E967E5"/>
    <w:rsid w:val="00E96820"/>
    <w:rsid w:val="00E969AD"/>
    <w:rsid w:val="00E969DF"/>
    <w:rsid w:val="00E969F8"/>
    <w:rsid w:val="00E96C35"/>
    <w:rsid w:val="00E96D30"/>
    <w:rsid w:val="00E96DE8"/>
    <w:rsid w:val="00E96F76"/>
    <w:rsid w:val="00E97186"/>
    <w:rsid w:val="00E9722C"/>
    <w:rsid w:val="00E9735B"/>
    <w:rsid w:val="00E973CE"/>
    <w:rsid w:val="00E973ED"/>
    <w:rsid w:val="00E9746B"/>
    <w:rsid w:val="00E974E6"/>
    <w:rsid w:val="00E97656"/>
    <w:rsid w:val="00E9773D"/>
    <w:rsid w:val="00E978FD"/>
    <w:rsid w:val="00E97AA1"/>
    <w:rsid w:val="00E97CF4"/>
    <w:rsid w:val="00E97D5C"/>
    <w:rsid w:val="00E97E01"/>
    <w:rsid w:val="00E97E90"/>
    <w:rsid w:val="00E97F79"/>
    <w:rsid w:val="00EA0003"/>
    <w:rsid w:val="00EA0310"/>
    <w:rsid w:val="00EA052B"/>
    <w:rsid w:val="00EA0575"/>
    <w:rsid w:val="00EA0579"/>
    <w:rsid w:val="00EA05E9"/>
    <w:rsid w:val="00EA060E"/>
    <w:rsid w:val="00EA0610"/>
    <w:rsid w:val="00EA0807"/>
    <w:rsid w:val="00EA08EE"/>
    <w:rsid w:val="00EA099D"/>
    <w:rsid w:val="00EA0A4E"/>
    <w:rsid w:val="00EA0B18"/>
    <w:rsid w:val="00EA0C0B"/>
    <w:rsid w:val="00EA0C33"/>
    <w:rsid w:val="00EA0C41"/>
    <w:rsid w:val="00EA0C80"/>
    <w:rsid w:val="00EA0D3A"/>
    <w:rsid w:val="00EA0DB5"/>
    <w:rsid w:val="00EA0EF1"/>
    <w:rsid w:val="00EA0F58"/>
    <w:rsid w:val="00EA1093"/>
    <w:rsid w:val="00EA1128"/>
    <w:rsid w:val="00EA11CB"/>
    <w:rsid w:val="00EA11FE"/>
    <w:rsid w:val="00EA1227"/>
    <w:rsid w:val="00EA12B5"/>
    <w:rsid w:val="00EA1427"/>
    <w:rsid w:val="00EA1491"/>
    <w:rsid w:val="00EA15CA"/>
    <w:rsid w:val="00EA165D"/>
    <w:rsid w:val="00EA16FF"/>
    <w:rsid w:val="00EA1907"/>
    <w:rsid w:val="00EA1924"/>
    <w:rsid w:val="00EA1BAB"/>
    <w:rsid w:val="00EA1E76"/>
    <w:rsid w:val="00EA2140"/>
    <w:rsid w:val="00EA2269"/>
    <w:rsid w:val="00EA2277"/>
    <w:rsid w:val="00EA230B"/>
    <w:rsid w:val="00EA2361"/>
    <w:rsid w:val="00EA239F"/>
    <w:rsid w:val="00EA2403"/>
    <w:rsid w:val="00EA24A2"/>
    <w:rsid w:val="00EA25C1"/>
    <w:rsid w:val="00EA2602"/>
    <w:rsid w:val="00EA2690"/>
    <w:rsid w:val="00EA278C"/>
    <w:rsid w:val="00EA280D"/>
    <w:rsid w:val="00EA2893"/>
    <w:rsid w:val="00EA28EB"/>
    <w:rsid w:val="00EA2961"/>
    <w:rsid w:val="00EA2A75"/>
    <w:rsid w:val="00EA2B0F"/>
    <w:rsid w:val="00EA2B88"/>
    <w:rsid w:val="00EA2DCC"/>
    <w:rsid w:val="00EA2DCD"/>
    <w:rsid w:val="00EA2DE5"/>
    <w:rsid w:val="00EA2EA0"/>
    <w:rsid w:val="00EA2FEF"/>
    <w:rsid w:val="00EA3066"/>
    <w:rsid w:val="00EA3188"/>
    <w:rsid w:val="00EA3199"/>
    <w:rsid w:val="00EA32A0"/>
    <w:rsid w:val="00EA32F7"/>
    <w:rsid w:val="00EA33B8"/>
    <w:rsid w:val="00EA340E"/>
    <w:rsid w:val="00EA348C"/>
    <w:rsid w:val="00EA34BE"/>
    <w:rsid w:val="00EA34C6"/>
    <w:rsid w:val="00EA36A6"/>
    <w:rsid w:val="00EA382E"/>
    <w:rsid w:val="00EA385D"/>
    <w:rsid w:val="00EA396B"/>
    <w:rsid w:val="00EA3B28"/>
    <w:rsid w:val="00EA3C5A"/>
    <w:rsid w:val="00EA3D4C"/>
    <w:rsid w:val="00EA3D99"/>
    <w:rsid w:val="00EA3F14"/>
    <w:rsid w:val="00EA3F7F"/>
    <w:rsid w:val="00EA404B"/>
    <w:rsid w:val="00EA4133"/>
    <w:rsid w:val="00EA4400"/>
    <w:rsid w:val="00EA4413"/>
    <w:rsid w:val="00EA4497"/>
    <w:rsid w:val="00EA47EF"/>
    <w:rsid w:val="00EA487A"/>
    <w:rsid w:val="00EA4892"/>
    <w:rsid w:val="00EA48C2"/>
    <w:rsid w:val="00EA4A16"/>
    <w:rsid w:val="00EA4A95"/>
    <w:rsid w:val="00EA4A98"/>
    <w:rsid w:val="00EA4B30"/>
    <w:rsid w:val="00EA4B4E"/>
    <w:rsid w:val="00EA4D44"/>
    <w:rsid w:val="00EA4E19"/>
    <w:rsid w:val="00EA4E48"/>
    <w:rsid w:val="00EA4E81"/>
    <w:rsid w:val="00EA4FA5"/>
    <w:rsid w:val="00EA4FD0"/>
    <w:rsid w:val="00EA4FE1"/>
    <w:rsid w:val="00EA5002"/>
    <w:rsid w:val="00EA506F"/>
    <w:rsid w:val="00EA5146"/>
    <w:rsid w:val="00EA5173"/>
    <w:rsid w:val="00EA51B8"/>
    <w:rsid w:val="00EA5228"/>
    <w:rsid w:val="00EA539C"/>
    <w:rsid w:val="00EA53C0"/>
    <w:rsid w:val="00EA53E5"/>
    <w:rsid w:val="00EA54DD"/>
    <w:rsid w:val="00EA5529"/>
    <w:rsid w:val="00EA562D"/>
    <w:rsid w:val="00EA574B"/>
    <w:rsid w:val="00EA5892"/>
    <w:rsid w:val="00EA58D4"/>
    <w:rsid w:val="00EA59CB"/>
    <w:rsid w:val="00EA5C8A"/>
    <w:rsid w:val="00EA5DC7"/>
    <w:rsid w:val="00EA5ECB"/>
    <w:rsid w:val="00EA5FCC"/>
    <w:rsid w:val="00EA602D"/>
    <w:rsid w:val="00EA60E8"/>
    <w:rsid w:val="00EA6250"/>
    <w:rsid w:val="00EA62D5"/>
    <w:rsid w:val="00EA62EE"/>
    <w:rsid w:val="00EA6450"/>
    <w:rsid w:val="00EA649F"/>
    <w:rsid w:val="00EA64F7"/>
    <w:rsid w:val="00EA6523"/>
    <w:rsid w:val="00EA6524"/>
    <w:rsid w:val="00EA652B"/>
    <w:rsid w:val="00EA6700"/>
    <w:rsid w:val="00EA6738"/>
    <w:rsid w:val="00EA696C"/>
    <w:rsid w:val="00EA6A10"/>
    <w:rsid w:val="00EA6A40"/>
    <w:rsid w:val="00EA6C3A"/>
    <w:rsid w:val="00EA6CE8"/>
    <w:rsid w:val="00EA6CF8"/>
    <w:rsid w:val="00EA6E3A"/>
    <w:rsid w:val="00EA6E9B"/>
    <w:rsid w:val="00EA6F41"/>
    <w:rsid w:val="00EA7019"/>
    <w:rsid w:val="00EA7028"/>
    <w:rsid w:val="00EA71EB"/>
    <w:rsid w:val="00EA7350"/>
    <w:rsid w:val="00EA73B1"/>
    <w:rsid w:val="00EA757C"/>
    <w:rsid w:val="00EA75A7"/>
    <w:rsid w:val="00EA75BD"/>
    <w:rsid w:val="00EA7695"/>
    <w:rsid w:val="00EA76CA"/>
    <w:rsid w:val="00EA770D"/>
    <w:rsid w:val="00EA7957"/>
    <w:rsid w:val="00EA7A23"/>
    <w:rsid w:val="00EA7BAF"/>
    <w:rsid w:val="00EA7BE6"/>
    <w:rsid w:val="00EA7C7B"/>
    <w:rsid w:val="00EA7C96"/>
    <w:rsid w:val="00EA7CA6"/>
    <w:rsid w:val="00EA7CAD"/>
    <w:rsid w:val="00EA7D9E"/>
    <w:rsid w:val="00EA7DB3"/>
    <w:rsid w:val="00EA7DF2"/>
    <w:rsid w:val="00EA7DFA"/>
    <w:rsid w:val="00EA7F73"/>
    <w:rsid w:val="00EA7F7B"/>
    <w:rsid w:val="00EB0100"/>
    <w:rsid w:val="00EB013A"/>
    <w:rsid w:val="00EB013D"/>
    <w:rsid w:val="00EB0145"/>
    <w:rsid w:val="00EB0304"/>
    <w:rsid w:val="00EB03BC"/>
    <w:rsid w:val="00EB0552"/>
    <w:rsid w:val="00EB0564"/>
    <w:rsid w:val="00EB0625"/>
    <w:rsid w:val="00EB0723"/>
    <w:rsid w:val="00EB0724"/>
    <w:rsid w:val="00EB0730"/>
    <w:rsid w:val="00EB08C2"/>
    <w:rsid w:val="00EB09DB"/>
    <w:rsid w:val="00EB0A07"/>
    <w:rsid w:val="00EB0A70"/>
    <w:rsid w:val="00EB0B2B"/>
    <w:rsid w:val="00EB0BC5"/>
    <w:rsid w:val="00EB0C83"/>
    <w:rsid w:val="00EB0D56"/>
    <w:rsid w:val="00EB0D5E"/>
    <w:rsid w:val="00EB0DE6"/>
    <w:rsid w:val="00EB0E1A"/>
    <w:rsid w:val="00EB0E96"/>
    <w:rsid w:val="00EB0F31"/>
    <w:rsid w:val="00EB0F47"/>
    <w:rsid w:val="00EB0FC1"/>
    <w:rsid w:val="00EB0FE0"/>
    <w:rsid w:val="00EB1069"/>
    <w:rsid w:val="00EB1143"/>
    <w:rsid w:val="00EB11EC"/>
    <w:rsid w:val="00EB1359"/>
    <w:rsid w:val="00EB1466"/>
    <w:rsid w:val="00EB1492"/>
    <w:rsid w:val="00EB1505"/>
    <w:rsid w:val="00EB1789"/>
    <w:rsid w:val="00EB1843"/>
    <w:rsid w:val="00EB1846"/>
    <w:rsid w:val="00EB1919"/>
    <w:rsid w:val="00EB19C2"/>
    <w:rsid w:val="00EB19EF"/>
    <w:rsid w:val="00EB1B08"/>
    <w:rsid w:val="00EB1B90"/>
    <w:rsid w:val="00EB1BEA"/>
    <w:rsid w:val="00EB1C31"/>
    <w:rsid w:val="00EB1CA2"/>
    <w:rsid w:val="00EB1CD9"/>
    <w:rsid w:val="00EB1DF4"/>
    <w:rsid w:val="00EB1F34"/>
    <w:rsid w:val="00EB226C"/>
    <w:rsid w:val="00EB2375"/>
    <w:rsid w:val="00EB237C"/>
    <w:rsid w:val="00EB23C3"/>
    <w:rsid w:val="00EB247E"/>
    <w:rsid w:val="00EB24D5"/>
    <w:rsid w:val="00EB2590"/>
    <w:rsid w:val="00EB271A"/>
    <w:rsid w:val="00EB288F"/>
    <w:rsid w:val="00EB289E"/>
    <w:rsid w:val="00EB29FD"/>
    <w:rsid w:val="00EB2A1B"/>
    <w:rsid w:val="00EB2A23"/>
    <w:rsid w:val="00EB2AAA"/>
    <w:rsid w:val="00EB2B02"/>
    <w:rsid w:val="00EB2B6A"/>
    <w:rsid w:val="00EB2BF8"/>
    <w:rsid w:val="00EB2C13"/>
    <w:rsid w:val="00EB2C44"/>
    <w:rsid w:val="00EB2CF4"/>
    <w:rsid w:val="00EB2DD4"/>
    <w:rsid w:val="00EB2EC7"/>
    <w:rsid w:val="00EB2F50"/>
    <w:rsid w:val="00EB2F9D"/>
    <w:rsid w:val="00EB3077"/>
    <w:rsid w:val="00EB317C"/>
    <w:rsid w:val="00EB3258"/>
    <w:rsid w:val="00EB333A"/>
    <w:rsid w:val="00EB3354"/>
    <w:rsid w:val="00EB33DE"/>
    <w:rsid w:val="00EB357C"/>
    <w:rsid w:val="00EB365C"/>
    <w:rsid w:val="00EB3660"/>
    <w:rsid w:val="00EB3760"/>
    <w:rsid w:val="00EB3779"/>
    <w:rsid w:val="00EB37BE"/>
    <w:rsid w:val="00EB37FA"/>
    <w:rsid w:val="00EB389C"/>
    <w:rsid w:val="00EB38E1"/>
    <w:rsid w:val="00EB3945"/>
    <w:rsid w:val="00EB39AA"/>
    <w:rsid w:val="00EB39D2"/>
    <w:rsid w:val="00EB3A84"/>
    <w:rsid w:val="00EB3B2E"/>
    <w:rsid w:val="00EB3B30"/>
    <w:rsid w:val="00EB3B33"/>
    <w:rsid w:val="00EB3C05"/>
    <w:rsid w:val="00EB3C36"/>
    <w:rsid w:val="00EB3C39"/>
    <w:rsid w:val="00EB3C4C"/>
    <w:rsid w:val="00EB3CD0"/>
    <w:rsid w:val="00EB3E34"/>
    <w:rsid w:val="00EB3EB5"/>
    <w:rsid w:val="00EB3EBD"/>
    <w:rsid w:val="00EB3EC0"/>
    <w:rsid w:val="00EB3EDA"/>
    <w:rsid w:val="00EB3F33"/>
    <w:rsid w:val="00EB3F5A"/>
    <w:rsid w:val="00EB400A"/>
    <w:rsid w:val="00EB40C7"/>
    <w:rsid w:val="00EB41ED"/>
    <w:rsid w:val="00EB42E3"/>
    <w:rsid w:val="00EB436C"/>
    <w:rsid w:val="00EB448D"/>
    <w:rsid w:val="00EB44AF"/>
    <w:rsid w:val="00EB450D"/>
    <w:rsid w:val="00EB4534"/>
    <w:rsid w:val="00EB4645"/>
    <w:rsid w:val="00EB4800"/>
    <w:rsid w:val="00EB4838"/>
    <w:rsid w:val="00EB48A7"/>
    <w:rsid w:val="00EB49D4"/>
    <w:rsid w:val="00EB4A3A"/>
    <w:rsid w:val="00EB4AAB"/>
    <w:rsid w:val="00EB4AE8"/>
    <w:rsid w:val="00EB4C5B"/>
    <w:rsid w:val="00EB4D31"/>
    <w:rsid w:val="00EB4DD0"/>
    <w:rsid w:val="00EB4F0F"/>
    <w:rsid w:val="00EB4F3D"/>
    <w:rsid w:val="00EB4FFE"/>
    <w:rsid w:val="00EB5045"/>
    <w:rsid w:val="00EB5109"/>
    <w:rsid w:val="00EB5138"/>
    <w:rsid w:val="00EB518C"/>
    <w:rsid w:val="00EB530C"/>
    <w:rsid w:val="00EB540F"/>
    <w:rsid w:val="00EB59EE"/>
    <w:rsid w:val="00EB5A68"/>
    <w:rsid w:val="00EB5D1A"/>
    <w:rsid w:val="00EB5FD7"/>
    <w:rsid w:val="00EB6006"/>
    <w:rsid w:val="00EB6072"/>
    <w:rsid w:val="00EB6076"/>
    <w:rsid w:val="00EB61EA"/>
    <w:rsid w:val="00EB6244"/>
    <w:rsid w:val="00EB624D"/>
    <w:rsid w:val="00EB62D6"/>
    <w:rsid w:val="00EB630D"/>
    <w:rsid w:val="00EB6361"/>
    <w:rsid w:val="00EB64A3"/>
    <w:rsid w:val="00EB64F2"/>
    <w:rsid w:val="00EB6518"/>
    <w:rsid w:val="00EB65D4"/>
    <w:rsid w:val="00EB6749"/>
    <w:rsid w:val="00EB6775"/>
    <w:rsid w:val="00EB682E"/>
    <w:rsid w:val="00EB6906"/>
    <w:rsid w:val="00EB69B0"/>
    <w:rsid w:val="00EB6BEB"/>
    <w:rsid w:val="00EB6D66"/>
    <w:rsid w:val="00EB6D94"/>
    <w:rsid w:val="00EB6F9F"/>
    <w:rsid w:val="00EB7026"/>
    <w:rsid w:val="00EB727C"/>
    <w:rsid w:val="00EB730C"/>
    <w:rsid w:val="00EB74B4"/>
    <w:rsid w:val="00EB7567"/>
    <w:rsid w:val="00EB75F9"/>
    <w:rsid w:val="00EB76E6"/>
    <w:rsid w:val="00EB776D"/>
    <w:rsid w:val="00EB7818"/>
    <w:rsid w:val="00EB7860"/>
    <w:rsid w:val="00EB7996"/>
    <w:rsid w:val="00EB7A6B"/>
    <w:rsid w:val="00EB7C38"/>
    <w:rsid w:val="00EB7C4C"/>
    <w:rsid w:val="00EB7DED"/>
    <w:rsid w:val="00EB7E89"/>
    <w:rsid w:val="00EB7ECC"/>
    <w:rsid w:val="00EB7FEB"/>
    <w:rsid w:val="00EC0014"/>
    <w:rsid w:val="00EC0161"/>
    <w:rsid w:val="00EC0168"/>
    <w:rsid w:val="00EC01DC"/>
    <w:rsid w:val="00EC0213"/>
    <w:rsid w:val="00EC026B"/>
    <w:rsid w:val="00EC0285"/>
    <w:rsid w:val="00EC037F"/>
    <w:rsid w:val="00EC0382"/>
    <w:rsid w:val="00EC0425"/>
    <w:rsid w:val="00EC044B"/>
    <w:rsid w:val="00EC0466"/>
    <w:rsid w:val="00EC0495"/>
    <w:rsid w:val="00EC0496"/>
    <w:rsid w:val="00EC049A"/>
    <w:rsid w:val="00EC0507"/>
    <w:rsid w:val="00EC05AB"/>
    <w:rsid w:val="00EC05BC"/>
    <w:rsid w:val="00EC05D9"/>
    <w:rsid w:val="00EC06B6"/>
    <w:rsid w:val="00EC07BD"/>
    <w:rsid w:val="00EC08B2"/>
    <w:rsid w:val="00EC0930"/>
    <w:rsid w:val="00EC0A0D"/>
    <w:rsid w:val="00EC0A39"/>
    <w:rsid w:val="00EC0C31"/>
    <w:rsid w:val="00EC0C6A"/>
    <w:rsid w:val="00EC0CF1"/>
    <w:rsid w:val="00EC0D08"/>
    <w:rsid w:val="00EC0F37"/>
    <w:rsid w:val="00EC101B"/>
    <w:rsid w:val="00EC1039"/>
    <w:rsid w:val="00EC1048"/>
    <w:rsid w:val="00EC1121"/>
    <w:rsid w:val="00EC127D"/>
    <w:rsid w:val="00EC1291"/>
    <w:rsid w:val="00EC12A1"/>
    <w:rsid w:val="00EC12AF"/>
    <w:rsid w:val="00EC12FE"/>
    <w:rsid w:val="00EC135A"/>
    <w:rsid w:val="00EC1380"/>
    <w:rsid w:val="00EC13D4"/>
    <w:rsid w:val="00EC1472"/>
    <w:rsid w:val="00EC14E9"/>
    <w:rsid w:val="00EC1523"/>
    <w:rsid w:val="00EC152C"/>
    <w:rsid w:val="00EC168C"/>
    <w:rsid w:val="00EC187D"/>
    <w:rsid w:val="00EC1898"/>
    <w:rsid w:val="00EC189B"/>
    <w:rsid w:val="00EC18B0"/>
    <w:rsid w:val="00EC18F6"/>
    <w:rsid w:val="00EC1922"/>
    <w:rsid w:val="00EC19D4"/>
    <w:rsid w:val="00EC1A6A"/>
    <w:rsid w:val="00EC1FD7"/>
    <w:rsid w:val="00EC2070"/>
    <w:rsid w:val="00EC2134"/>
    <w:rsid w:val="00EC2161"/>
    <w:rsid w:val="00EC2232"/>
    <w:rsid w:val="00EC22B9"/>
    <w:rsid w:val="00EC232E"/>
    <w:rsid w:val="00EC2370"/>
    <w:rsid w:val="00EC240C"/>
    <w:rsid w:val="00EC248C"/>
    <w:rsid w:val="00EC24A6"/>
    <w:rsid w:val="00EC24D1"/>
    <w:rsid w:val="00EC2505"/>
    <w:rsid w:val="00EC2507"/>
    <w:rsid w:val="00EC25A2"/>
    <w:rsid w:val="00EC2637"/>
    <w:rsid w:val="00EC26BA"/>
    <w:rsid w:val="00EC275C"/>
    <w:rsid w:val="00EC287B"/>
    <w:rsid w:val="00EC28CA"/>
    <w:rsid w:val="00EC2B4D"/>
    <w:rsid w:val="00EC2B80"/>
    <w:rsid w:val="00EC2B9C"/>
    <w:rsid w:val="00EC2BFD"/>
    <w:rsid w:val="00EC2C81"/>
    <w:rsid w:val="00EC2CFB"/>
    <w:rsid w:val="00EC2E12"/>
    <w:rsid w:val="00EC2E4D"/>
    <w:rsid w:val="00EC310F"/>
    <w:rsid w:val="00EC3186"/>
    <w:rsid w:val="00EC322D"/>
    <w:rsid w:val="00EC326B"/>
    <w:rsid w:val="00EC327A"/>
    <w:rsid w:val="00EC32F3"/>
    <w:rsid w:val="00EC3486"/>
    <w:rsid w:val="00EC36C8"/>
    <w:rsid w:val="00EC3792"/>
    <w:rsid w:val="00EC3836"/>
    <w:rsid w:val="00EC38C8"/>
    <w:rsid w:val="00EC39DF"/>
    <w:rsid w:val="00EC39E3"/>
    <w:rsid w:val="00EC3BC5"/>
    <w:rsid w:val="00EC3C6A"/>
    <w:rsid w:val="00EC3D1C"/>
    <w:rsid w:val="00EC3E5D"/>
    <w:rsid w:val="00EC3F63"/>
    <w:rsid w:val="00EC4018"/>
    <w:rsid w:val="00EC4049"/>
    <w:rsid w:val="00EC40C4"/>
    <w:rsid w:val="00EC413A"/>
    <w:rsid w:val="00EC4262"/>
    <w:rsid w:val="00EC434C"/>
    <w:rsid w:val="00EC43F2"/>
    <w:rsid w:val="00EC4485"/>
    <w:rsid w:val="00EC4499"/>
    <w:rsid w:val="00EC44EC"/>
    <w:rsid w:val="00EC4534"/>
    <w:rsid w:val="00EC456B"/>
    <w:rsid w:val="00EC456E"/>
    <w:rsid w:val="00EC4771"/>
    <w:rsid w:val="00EC479D"/>
    <w:rsid w:val="00EC47AA"/>
    <w:rsid w:val="00EC47B4"/>
    <w:rsid w:val="00EC47F2"/>
    <w:rsid w:val="00EC4A53"/>
    <w:rsid w:val="00EC4B51"/>
    <w:rsid w:val="00EC4C25"/>
    <w:rsid w:val="00EC4C5B"/>
    <w:rsid w:val="00EC4DED"/>
    <w:rsid w:val="00EC4E31"/>
    <w:rsid w:val="00EC4E9E"/>
    <w:rsid w:val="00EC4F06"/>
    <w:rsid w:val="00EC4F8C"/>
    <w:rsid w:val="00EC4FC2"/>
    <w:rsid w:val="00EC52AF"/>
    <w:rsid w:val="00EC53C6"/>
    <w:rsid w:val="00EC53D2"/>
    <w:rsid w:val="00EC5498"/>
    <w:rsid w:val="00EC5502"/>
    <w:rsid w:val="00EC5551"/>
    <w:rsid w:val="00EC55F7"/>
    <w:rsid w:val="00EC5613"/>
    <w:rsid w:val="00EC56E5"/>
    <w:rsid w:val="00EC5763"/>
    <w:rsid w:val="00EC5780"/>
    <w:rsid w:val="00EC5A79"/>
    <w:rsid w:val="00EC5A82"/>
    <w:rsid w:val="00EC5B67"/>
    <w:rsid w:val="00EC5C96"/>
    <w:rsid w:val="00EC5E46"/>
    <w:rsid w:val="00EC5E55"/>
    <w:rsid w:val="00EC6078"/>
    <w:rsid w:val="00EC60A6"/>
    <w:rsid w:val="00EC618B"/>
    <w:rsid w:val="00EC629A"/>
    <w:rsid w:val="00EC62B1"/>
    <w:rsid w:val="00EC6338"/>
    <w:rsid w:val="00EC634B"/>
    <w:rsid w:val="00EC638A"/>
    <w:rsid w:val="00EC6392"/>
    <w:rsid w:val="00EC6436"/>
    <w:rsid w:val="00EC645D"/>
    <w:rsid w:val="00EC65C4"/>
    <w:rsid w:val="00EC65C8"/>
    <w:rsid w:val="00EC65D8"/>
    <w:rsid w:val="00EC66E1"/>
    <w:rsid w:val="00EC6786"/>
    <w:rsid w:val="00EC6922"/>
    <w:rsid w:val="00EC6A56"/>
    <w:rsid w:val="00EC6C74"/>
    <w:rsid w:val="00EC6D1B"/>
    <w:rsid w:val="00EC6D72"/>
    <w:rsid w:val="00EC6EAE"/>
    <w:rsid w:val="00EC6EC1"/>
    <w:rsid w:val="00EC70E3"/>
    <w:rsid w:val="00EC7223"/>
    <w:rsid w:val="00EC724B"/>
    <w:rsid w:val="00EC7256"/>
    <w:rsid w:val="00EC72E4"/>
    <w:rsid w:val="00EC738D"/>
    <w:rsid w:val="00EC75BF"/>
    <w:rsid w:val="00EC773C"/>
    <w:rsid w:val="00EC776A"/>
    <w:rsid w:val="00EC77A1"/>
    <w:rsid w:val="00EC78AE"/>
    <w:rsid w:val="00EC791F"/>
    <w:rsid w:val="00EC7946"/>
    <w:rsid w:val="00EC7AF0"/>
    <w:rsid w:val="00EC7BEF"/>
    <w:rsid w:val="00EC7C4A"/>
    <w:rsid w:val="00EC7CFD"/>
    <w:rsid w:val="00EC7D7F"/>
    <w:rsid w:val="00EC7F01"/>
    <w:rsid w:val="00ED005C"/>
    <w:rsid w:val="00ED008A"/>
    <w:rsid w:val="00ED00A2"/>
    <w:rsid w:val="00ED017C"/>
    <w:rsid w:val="00ED02B1"/>
    <w:rsid w:val="00ED02E8"/>
    <w:rsid w:val="00ED03D1"/>
    <w:rsid w:val="00ED04F6"/>
    <w:rsid w:val="00ED0523"/>
    <w:rsid w:val="00ED058B"/>
    <w:rsid w:val="00ED05B2"/>
    <w:rsid w:val="00ED05E7"/>
    <w:rsid w:val="00ED07A4"/>
    <w:rsid w:val="00ED07FF"/>
    <w:rsid w:val="00ED085C"/>
    <w:rsid w:val="00ED0980"/>
    <w:rsid w:val="00ED0A3D"/>
    <w:rsid w:val="00ED0C72"/>
    <w:rsid w:val="00ED0CB6"/>
    <w:rsid w:val="00ED0CD4"/>
    <w:rsid w:val="00ED0D83"/>
    <w:rsid w:val="00ED0E13"/>
    <w:rsid w:val="00ED0F8F"/>
    <w:rsid w:val="00ED0FD1"/>
    <w:rsid w:val="00ED1176"/>
    <w:rsid w:val="00ED11F8"/>
    <w:rsid w:val="00ED1317"/>
    <w:rsid w:val="00ED136B"/>
    <w:rsid w:val="00ED13A5"/>
    <w:rsid w:val="00ED143B"/>
    <w:rsid w:val="00ED14D8"/>
    <w:rsid w:val="00ED151C"/>
    <w:rsid w:val="00ED15F5"/>
    <w:rsid w:val="00ED1658"/>
    <w:rsid w:val="00ED1689"/>
    <w:rsid w:val="00ED16E1"/>
    <w:rsid w:val="00ED16FB"/>
    <w:rsid w:val="00ED16FE"/>
    <w:rsid w:val="00ED17B9"/>
    <w:rsid w:val="00ED18EA"/>
    <w:rsid w:val="00ED1B0E"/>
    <w:rsid w:val="00ED1B47"/>
    <w:rsid w:val="00ED1BE2"/>
    <w:rsid w:val="00ED1D6A"/>
    <w:rsid w:val="00ED1E0E"/>
    <w:rsid w:val="00ED1E72"/>
    <w:rsid w:val="00ED1F90"/>
    <w:rsid w:val="00ED1F95"/>
    <w:rsid w:val="00ED1F99"/>
    <w:rsid w:val="00ED20BA"/>
    <w:rsid w:val="00ED225C"/>
    <w:rsid w:val="00ED2288"/>
    <w:rsid w:val="00ED2347"/>
    <w:rsid w:val="00ED240E"/>
    <w:rsid w:val="00ED2522"/>
    <w:rsid w:val="00ED25ED"/>
    <w:rsid w:val="00ED289C"/>
    <w:rsid w:val="00ED29D7"/>
    <w:rsid w:val="00ED2A19"/>
    <w:rsid w:val="00ED2ABD"/>
    <w:rsid w:val="00ED2AC6"/>
    <w:rsid w:val="00ED2B89"/>
    <w:rsid w:val="00ED2BD1"/>
    <w:rsid w:val="00ED2D29"/>
    <w:rsid w:val="00ED2D63"/>
    <w:rsid w:val="00ED2E04"/>
    <w:rsid w:val="00ED2E9C"/>
    <w:rsid w:val="00ED2F78"/>
    <w:rsid w:val="00ED30B9"/>
    <w:rsid w:val="00ED30F7"/>
    <w:rsid w:val="00ED310C"/>
    <w:rsid w:val="00ED31B9"/>
    <w:rsid w:val="00ED32AB"/>
    <w:rsid w:val="00ED33E1"/>
    <w:rsid w:val="00ED3442"/>
    <w:rsid w:val="00ED34F8"/>
    <w:rsid w:val="00ED3642"/>
    <w:rsid w:val="00ED371E"/>
    <w:rsid w:val="00ED3740"/>
    <w:rsid w:val="00ED378C"/>
    <w:rsid w:val="00ED37BE"/>
    <w:rsid w:val="00ED3993"/>
    <w:rsid w:val="00ED39AC"/>
    <w:rsid w:val="00ED39F3"/>
    <w:rsid w:val="00ED3A30"/>
    <w:rsid w:val="00ED3C5A"/>
    <w:rsid w:val="00ED3DAE"/>
    <w:rsid w:val="00ED3DBD"/>
    <w:rsid w:val="00ED3DC9"/>
    <w:rsid w:val="00ED3E11"/>
    <w:rsid w:val="00ED3E1E"/>
    <w:rsid w:val="00ED3ED1"/>
    <w:rsid w:val="00ED41A1"/>
    <w:rsid w:val="00ED41D8"/>
    <w:rsid w:val="00ED4212"/>
    <w:rsid w:val="00ED4407"/>
    <w:rsid w:val="00ED44EA"/>
    <w:rsid w:val="00ED45F6"/>
    <w:rsid w:val="00ED4659"/>
    <w:rsid w:val="00ED47CB"/>
    <w:rsid w:val="00ED489E"/>
    <w:rsid w:val="00ED4CBC"/>
    <w:rsid w:val="00ED4CF0"/>
    <w:rsid w:val="00ED4DEF"/>
    <w:rsid w:val="00ED4EBA"/>
    <w:rsid w:val="00ED4F00"/>
    <w:rsid w:val="00ED4F09"/>
    <w:rsid w:val="00ED4F17"/>
    <w:rsid w:val="00ED4F70"/>
    <w:rsid w:val="00ED510E"/>
    <w:rsid w:val="00ED5197"/>
    <w:rsid w:val="00ED51E2"/>
    <w:rsid w:val="00ED531A"/>
    <w:rsid w:val="00ED533B"/>
    <w:rsid w:val="00ED5605"/>
    <w:rsid w:val="00ED56B1"/>
    <w:rsid w:val="00ED57D4"/>
    <w:rsid w:val="00ED5849"/>
    <w:rsid w:val="00ED5ACF"/>
    <w:rsid w:val="00ED5B5D"/>
    <w:rsid w:val="00ED5BCD"/>
    <w:rsid w:val="00ED5C79"/>
    <w:rsid w:val="00ED5DF2"/>
    <w:rsid w:val="00ED5EDD"/>
    <w:rsid w:val="00ED6003"/>
    <w:rsid w:val="00ED603D"/>
    <w:rsid w:val="00ED6073"/>
    <w:rsid w:val="00ED618E"/>
    <w:rsid w:val="00ED6209"/>
    <w:rsid w:val="00ED634C"/>
    <w:rsid w:val="00ED635C"/>
    <w:rsid w:val="00ED63D0"/>
    <w:rsid w:val="00ED6550"/>
    <w:rsid w:val="00ED6555"/>
    <w:rsid w:val="00ED66B6"/>
    <w:rsid w:val="00ED66DE"/>
    <w:rsid w:val="00ED66E0"/>
    <w:rsid w:val="00ED672F"/>
    <w:rsid w:val="00ED6765"/>
    <w:rsid w:val="00ED6766"/>
    <w:rsid w:val="00ED683B"/>
    <w:rsid w:val="00ED6908"/>
    <w:rsid w:val="00ED694B"/>
    <w:rsid w:val="00ED6B94"/>
    <w:rsid w:val="00ED6C15"/>
    <w:rsid w:val="00ED6C33"/>
    <w:rsid w:val="00ED6D4F"/>
    <w:rsid w:val="00ED6EC6"/>
    <w:rsid w:val="00ED7064"/>
    <w:rsid w:val="00ED709B"/>
    <w:rsid w:val="00ED70A1"/>
    <w:rsid w:val="00ED715C"/>
    <w:rsid w:val="00ED72CB"/>
    <w:rsid w:val="00ED749D"/>
    <w:rsid w:val="00ED76B4"/>
    <w:rsid w:val="00ED76BD"/>
    <w:rsid w:val="00ED7772"/>
    <w:rsid w:val="00ED77D7"/>
    <w:rsid w:val="00ED7824"/>
    <w:rsid w:val="00ED79B6"/>
    <w:rsid w:val="00ED7A8B"/>
    <w:rsid w:val="00ED7B29"/>
    <w:rsid w:val="00ED7B38"/>
    <w:rsid w:val="00ED7B9A"/>
    <w:rsid w:val="00ED7BE6"/>
    <w:rsid w:val="00ED7C5E"/>
    <w:rsid w:val="00ED7CE1"/>
    <w:rsid w:val="00ED7D3E"/>
    <w:rsid w:val="00ED7D81"/>
    <w:rsid w:val="00ED7E31"/>
    <w:rsid w:val="00ED7EFE"/>
    <w:rsid w:val="00ED7F09"/>
    <w:rsid w:val="00EE0018"/>
    <w:rsid w:val="00EE003A"/>
    <w:rsid w:val="00EE009A"/>
    <w:rsid w:val="00EE013D"/>
    <w:rsid w:val="00EE02CF"/>
    <w:rsid w:val="00EE02DA"/>
    <w:rsid w:val="00EE03EF"/>
    <w:rsid w:val="00EE06F0"/>
    <w:rsid w:val="00EE071D"/>
    <w:rsid w:val="00EE09E8"/>
    <w:rsid w:val="00EE09F2"/>
    <w:rsid w:val="00EE0A26"/>
    <w:rsid w:val="00EE0AAC"/>
    <w:rsid w:val="00EE0AEE"/>
    <w:rsid w:val="00EE0D03"/>
    <w:rsid w:val="00EE0DCE"/>
    <w:rsid w:val="00EE0E6C"/>
    <w:rsid w:val="00EE0EED"/>
    <w:rsid w:val="00EE1013"/>
    <w:rsid w:val="00EE1071"/>
    <w:rsid w:val="00EE12A7"/>
    <w:rsid w:val="00EE1338"/>
    <w:rsid w:val="00EE1630"/>
    <w:rsid w:val="00EE16CD"/>
    <w:rsid w:val="00EE170C"/>
    <w:rsid w:val="00EE1A83"/>
    <w:rsid w:val="00EE1CD3"/>
    <w:rsid w:val="00EE1D0B"/>
    <w:rsid w:val="00EE1D22"/>
    <w:rsid w:val="00EE1D5E"/>
    <w:rsid w:val="00EE1D75"/>
    <w:rsid w:val="00EE1D78"/>
    <w:rsid w:val="00EE1E4A"/>
    <w:rsid w:val="00EE1E77"/>
    <w:rsid w:val="00EE1EEC"/>
    <w:rsid w:val="00EE1EED"/>
    <w:rsid w:val="00EE229B"/>
    <w:rsid w:val="00EE22FA"/>
    <w:rsid w:val="00EE25DE"/>
    <w:rsid w:val="00EE2600"/>
    <w:rsid w:val="00EE2609"/>
    <w:rsid w:val="00EE2721"/>
    <w:rsid w:val="00EE27B0"/>
    <w:rsid w:val="00EE285B"/>
    <w:rsid w:val="00EE2B23"/>
    <w:rsid w:val="00EE2E2B"/>
    <w:rsid w:val="00EE2EAA"/>
    <w:rsid w:val="00EE2ED0"/>
    <w:rsid w:val="00EE3005"/>
    <w:rsid w:val="00EE30B1"/>
    <w:rsid w:val="00EE3111"/>
    <w:rsid w:val="00EE31C8"/>
    <w:rsid w:val="00EE3310"/>
    <w:rsid w:val="00EE3421"/>
    <w:rsid w:val="00EE34F8"/>
    <w:rsid w:val="00EE3573"/>
    <w:rsid w:val="00EE3577"/>
    <w:rsid w:val="00EE3751"/>
    <w:rsid w:val="00EE376C"/>
    <w:rsid w:val="00EE381C"/>
    <w:rsid w:val="00EE38C7"/>
    <w:rsid w:val="00EE38EE"/>
    <w:rsid w:val="00EE3A95"/>
    <w:rsid w:val="00EE3B3C"/>
    <w:rsid w:val="00EE3B7C"/>
    <w:rsid w:val="00EE3CA1"/>
    <w:rsid w:val="00EE3E6A"/>
    <w:rsid w:val="00EE3E6E"/>
    <w:rsid w:val="00EE3F6F"/>
    <w:rsid w:val="00EE3FE0"/>
    <w:rsid w:val="00EE3FEC"/>
    <w:rsid w:val="00EE40ED"/>
    <w:rsid w:val="00EE411F"/>
    <w:rsid w:val="00EE41CB"/>
    <w:rsid w:val="00EE425E"/>
    <w:rsid w:val="00EE427F"/>
    <w:rsid w:val="00EE4380"/>
    <w:rsid w:val="00EE43C5"/>
    <w:rsid w:val="00EE441D"/>
    <w:rsid w:val="00EE4438"/>
    <w:rsid w:val="00EE44C7"/>
    <w:rsid w:val="00EE4537"/>
    <w:rsid w:val="00EE464C"/>
    <w:rsid w:val="00EE46BD"/>
    <w:rsid w:val="00EE47BF"/>
    <w:rsid w:val="00EE4844"/>
    <w:rsid w:val="00EE4911"/>
    <w:rsid w:val="00EE496D"/>
    <w:rsid w:val="00EE4A1E"/>
    <w:rsid w:val="00EE4A70"/>
    <w:rsid w:val="00EE4A97"/>
    <w:rsid w:val="00EE4C5B"/>
    <w:rsid w:val="00EE4CD6"/>
    <w:rsid w:val="00EE500B"/>
    <w:rsid w:val="00EE52B4"/>
    <w:rsid w:val="00EE539A"/>
    <w:rsid w:val="00EE53B5"/>
    <w:rsid w:val="00EE53E3"/>
    <w:rsid w:val="00EE545F"/>
    <w:rsid w:val="00EE5487"/>
    <w:rsid w:val="00EE5499"/>
    <w:rsid w:val="00EE54CA"/>
    <w:rsid w:val="00EE55AA"/>
    <w:rsid w:val="00EE55FD"/>
    <w:rsid w:val="00EE56A0"/>
    <w:rsid w:val="00EE5700"/>
    <w:rsid w:val="00EE5963"/>
    <w:rsid w:val="00EE5975"/>
    <w:rsid w:val="00EE5A31"/>
    <w:rsid w:val="00EE5A6F"/>
    <w:rsid w:val="00EE5A81"/>
    <w:rsid w:val="00EE5B74"/>
    <w:rsid w:val="00EE5CA0"/>
    <w:rsid w:val="00EE5CE9"/>
    <w:rsid w:val="00EE5D41"/>
    <w:rsid w:val="00EE5E6E"/>
    <w:rsid w:val="00EE5EE5"/>
    <w:rsid w:val="00EE6014"/>
    <w:rsid w:val="00EE612C"/>
    <w:rsid w:val="00EE61C2"/>
    <w:rsid w:val="00EE6271"/>
    <w:rsid w:val="00EE654B"/>
    <w:rsid w:val="00EE65C5"/>
    <w:rsid w:val="00EE6625"/>
    <w:rsid w:val="00EE692C"/>
    <w:rsid w:val="00EE6AC1"/>
    <w:rsid w:val="00EE6C26"/>
    <w:rsid w:val="00EE6CA9"/>
    <w:rsid w:val="00EE6D69"/>
    <w:rsid w:val="00EE6D88"/>
    <w:rsid w:val="00EE6DE2"/>
    <w:rsid w:val="00EE6E7C"/>
    <w:rsid w:val="00EE6E8E"/>
    <w:rsid w:val="00EE6F54"/>
    <w:rsid w:val="00EE7063"/>
    <w:rsid w:val="00EE7073"/>
    <w:rsid w:val="00EE7080"/>
    <w:rsid w:val="00EE70FB"/>
    <w:rsid w:val="00EE717C"/>
    <w:rsid w:val="00EE7281"/>
    <w:rsid w:val="00EE7459"/>
    <w:rsid w:val="00EE7574"/>
    <w:rsid w:val="00EE75A4"/>
    <w:rsid w:val="00EE75D0"/>
    <w:rsid w:val="00EE761D"/>
    <w:rsid w:val="00EE766E"/>
    <w:rsid w:val="00EE7887"/>
    <w:rsid w:val="00EE78A7"/>
    <w:rsid w:val="00EE7951"/>
    <w:rsid w:val="00EE7980"/>
    <w:rsid w:val="00EE79DA"/>
    <w:rsid w:val="00EE7A6C"/>
    <w:rsid w:val="00EE7A7A"/>
    <w:rsid w:val="00EE7BA7"/>
    <w:rsid w:val="00EE7BEA"/>
    <w:rsid w:val="00EE7E05"/>
    <w:rsid w:val="00EE7E6A"/>
    <w:rsid w:val="00EE7EA4"/>
    <w:rsid w:val="00EE7F8A"/>
    <w:rsid w:val="00EE7F8C"/>
    <w:rsid w:val="00EF017A"/>
    <w:rsid w:val="00EF01DE"/>
    <w:rsid w:val="00EF02DD"/>
    <w:rsid w:val="00EF02FE"/>
    <w:rsid w:val="00EF03E8"/>
    <w:rsid w:val="00EF03F6"/>
    <w:rsid w:val="00EF0400"/>
    <w:rsid w:val="00EF048C"/>
    <w:rsid w:val="00EF054E"/>
    <w:rsid w:val="00EF05DA"/>
    <w:rsid w:val="00EF0655"/>
    <w:rsid w:val="00EF0665"/>
    <w:rsid w:val="00EF0791"/>
    <w:rsid w:val="00EF098F"/>
    <w:rsid w:val="00EF09A7"/>
    <w:rsid w:val="00EF09FC"/>
    <w:rsid w:val="00EF0A15"/>
    <w:rsid w:val="00EF0B09"/>
    <w:rsid w:val="00EF0DB8"/>
    <w:rsid w:val="00EF0DC9"/>
    <w:rsid w:val="00EF0DF0"/>
    <w:rsid w:val="00EF0E54"/>
    <w:rsid w:val="00EF0F79"/>
    <w:rsid w:val="00EF0F89"/>
    <w:rsid w:val="00EF10C6"/>
    <w:rsid w:val="00EF11BB"/>
    <w:rsid w:val="00EF12FA"/>
    <w:rsid w:val="00EF133A"/>
    <w:rsid w:val="00EF1424"/>
    <w:rsid w:val="00EF1495"/>
    <w:rsid w:val="00EF154D"/>
    <w:rsid w:val="00EF163C"/>
    <w:rsid w:val="00EF1718"/>
    <w:rsid w:val="00EF1772"/>
    <w:rsid w:val="00EF17A2"/>
    <w:rsid w:val="00EF1903"/>
    <w:rsid w:val="00EF1DD6"/>
    <w:rsid w:val="00EF1E32"/>
    <w:rsid w:val="00EF1E66"/>
    <w:rsid w:val="00EF1F2C"/>
    <w:rsid w:val="00EF1FD6"/>
    <w:rsid w:val="00EF20CF"/>
    <w:rsid w:val="00EF2140"/>
    <w:rsid w:val="00EF2196"/>
    <w:rsid w:val="00EF219A"/>
    <w:rsid w:val="00EF221B"/>
    <w:rsid w:val="00EF2332"/>
    <w:rsid w:val="00EF2372"/>
    <w:rsid w:val="00EF24F4"/>
    <w:rsid w:val="00EF2653"/>
    <w:rsid w:val="00EF2693"/>
    <w:rsid w:val="00EF26E5"/>
    <w:rsid w:val="00EF2716"/>
    <w:rsid w:val="00EF293D"/>
    <w:rsid w:val="00EF2BC4"/>
    <w:rsid w:val="00EF2BEB"/>
    <w:rsid w:val="00EF2D5D"/>
    <w:rsid w:val="00EF2DE1"/>
    <w:rsid w:val="00EF321A"/>
    <w:rsid w:val="00EF3254"/>
    <w:rsid w:val="00EF3328"/>
    <w:rsid w:val="00EF3412"/>
    <w:rsid w:val="00EF3470"/>
    <w:rsid w:val="00EF3597"/>
    <w:rsid w:val="00EF3709"/>
    <w:rsid w:val="00EF37D3"/>
    <w:rsid w:val="00EF388B"/>
    <w:rsid w:val="00EF39C1"/>
    <w:rsid w:val="00EF3AE2"/>
    <w:rsid w:val="00EF3B58"/>
    <w:rsid w:val="00EF3B9D"/>
    <w:rsid w:val="00EF3CAF"/>
    <w:rsid w:val="00EF3D31"/>
    <w:rsid w:val="00EF3E58"/>
    <w:rsid w:val="00EF3F69"/>
    <w:rsid w:val="00EF3F77"/>
    <w:rsid w:val="00EF437B"/>
    <w:rsid w:val="00EF469B"/>
    <w:rsid w:val="00EF46C3"/>
    <w:rsid w:val="00EF46E8"/>
    <w:rsid w:val="00EF4722"/>
    <w:rsid w:val="00EF4911"/>
    <w:rsid w:val="00EF4970"/>
    <w:rsid w:val="00EF4C3D"/>
    <w:rsid w:val="00EF4C87"/>
    <w:rsid w:val="00EF4F12"/>
    <w:rsid w:val="00EF5057"/>
    <w:rsid w:val="00EF50A0"/>
    <w:rsid w:val="00EF5235"/>
    <w:rsid w:val="00EF52AA"/>
    <w:rsid w:val="00EF53A8"/>
    <w:rsid w:val="00EF541B"/>
    <w:rsid w:val="00EF5566"/>
    <w:rsid w:val="00EF5593"/>
    <w:rsid w:val="00EF55A7"/>
    <w:rsid w:val="00EF56CB"/>
    <w:rsid w:val="00EF56DD"/>
    <w:rsid w:val="00EF5752"/>
    <w:rsid w:val="00EF57D0"/>
    <w:rsid w:val="00EF58D1"/>
    <w:rsid w:val="00EF58EA"/>
    <w:rsid w:val="00EF5980"/>
    <w:rsid w:val="00EF5A23"/>
    <w:rsid w:val="00EF5A93"/>
    <w:rsid w:val="00EF5B0E"/>
    <w:rsid w:val="00EF5B27"/>
    <w:rsid w:val="00EF5B98"/>
    <w:rsid w:val="00EF5C8C"/>
    <w:rsid w:val="00EF5CB9"/>
    <w:rsid w:val="00EF5CE9"/>
    <w:rsid w:val="00EF5D0D"/>
    <w:rsid w:val="00EF5D52"/>
    <w:rsid w:val="00EF5E6E"/>
    <w:rsid w:val="00EF5F5D"/>
    <w:rsid w:val="00EF605F"/>
    <w:rsid w:val="00EF60BC"/>
    <w:rsid w:val="00EF6129"/>
    <w:rsid w:val="00EF629E"/>
    <w:rsid w:val="00EF63C9"/>
    <w:rsid w:val="00EF63D5"/>
    <w:rsid w:val="00EF63E4"/>
    <w:rsid w:val="00EF6482"/>
    <w:rsid w:val="00EF6500"/>
    <w:rsid w:val="00EF6522"/>
    <w:rsid w:val="00EF65A1"/>
    <w:rsid w:val="00EF65E5"/>
    <w:rsid w:val="00EF6641"/>
    <w:rsid w:val="00EF667B"/>
    <w:rsid w:val="00EF6874"/>
    <w:rsid w:val="00EF68B5"/>
    <w:rsid w:val="00EF6960"/>
    <w:rsid w:val="00EF6A8F"/>
    <w:rsid w:val="00EF6ACC"/>
    <w:rsid w:val="00EF6B5C"/>
    <w:rsid w:val="00EF6C4D"/>
    <w:rsid w:val="00EF6DDF"/>
    <w:rsid w:val="00EF6F0C"/>
    <w:rsid w:val="00EF70BD"/>
    <w:rsid w:val="00EF7133"/>
    <w:rsid w:val="00EF71AA"/>
    <w:rsid w:val="00EF71BE"/>
    <w:rsid w:val="00EF728A"/>
    <w:rsid w:val="00EF72DD"/>
    <w:rsid w:val="00EF7348"/>
    <w:rsid w:val="00EF746A"/>
    <w:rsid w:val="00EF7592"/>
    <w:rsid w:val="00EF7643"/>
    <w:rsid w:val="00EF769D"/>
    <w:rsid w:val="00EF7915"/>
    <w:rsid w:val="00EF7928"/>
    <w:rsid w:val="00EF7958"/>
    <w:rsid w:val="00EF79A0"/>
    <w:rsid w:val="00EF7C4F"/>
    <w:rsid w:val="00EF7C68"/>
    <w:rsid w:val="00EF7D43"/>
    <w:rsid w:val="00EF7D8B"/>
    <w:rsid w:val="00EF7F17"/>
    <w:rsid w:val="00EF7F23"/>
    <w:rsid w:val="00F001A5"/>
    <w:rsid w:val="00F002E8"/>
    <w:rsid w:val="00F00425"/>
    <w:rsid w:val="00F004D1"/>
    <w:rsid w:val="00F004D9"/>
    <w:rsid w:val="00F0053C"/>
    <w:rsid w:val="00F0064C"/>
    <w:rsid w:val="00F0081D"/>
    <w:rsid w:val="00F00854"/>
    <w:rsid w:val="00F0088B"/>
    <w:rsid w:val="00F008BF"/>
    <w:rsid w:val="00F008E9"/>
    <w:rsid w:val="00F0092B"/>
    <w:rsid w:val="00F00A27"/>
    <w:rsid w:val="00F00AC0"/>
    <w:rsid w:val="00F00B09"/>
    <w:rsid w:val="00F00B17"/>
    <w:rsid w:val="00F00C4D"/>
    <w:rsid w:val="00F00F25"/>
    <w:rsid w:val="00F01039"/>
    <w:rsid w:val="00F0105E"/>
    <w:rsid w:val="00F0119A"/>
    <w:rsid w:val="00F011B8"/>
    <w:rsid w:val="00F0130A"/>
    <w:rsid w:val="00F0137E"/>
    <w:rsid w:val="00F0140A"/>
    <w:rsid w:val="00F01417"/>
    <w:rsid w:val="00F01423"/>
    <w:rsid w:val="00F01488"/>
    <w:rsid w:val="00F015A8"/>
    <w:rsid w:val="00F015C7"/>
    <w:rsid w:val="00F01606"/>
    <w:rsid w:val="00F01619"/>
    <w:rsid w:val="00F017E9"/>
    <w:rsid w:val="00F01832"/>
    <w:rsid w:val="00F01B28"/>
    <w:rsid w:val="00F01DB8"/>
    <w:rsid w:val="00F01FED"/>
    <w:rsid w:val="00F02072"/>
    <w:rsid w:val="00F021B7"/>
    <w:rsid w:val="00F022F6"/>
    <w:rsid w:val="00F02313"/>
    <w:rsid w:val="00F023DC"/>
    <w:rsid w:val="00F02400"/>
    <w:rsid w:val="00F02441"/>
    <w:rsid w:val="00F02553"/>
    <w:rsid w:val="00F0262B"/>
    <w:rsid w:val="00F029BD"/>
    <w:rsid w:val="00F02ABC"/>
    <w:rsid w:val="00F02AEA"/>
    <w:rsid w:val="00F02BA2"/>
    <w:rsid w:val="00F02C55"/>
    <w:rsid w:val="00F02C56"/>
    <w:rsid w:val="00F02C85"/>
    <w:rsid w:val="00F02CA2"/>
    <w:rsid w:val="00F02E20"/>
    <w:rsid w:val="00F02FC1"/>
    <w:rsid w:val="00F02FC5"/>
    <w:rsid w:val="00F030E2"/>
    <w:rsid w:val="00F0317B"/>
    <w:rsid w:val="00F03195"/>
    <w:rsid w:val="00F03231"/>
    <w:rsid w:val="00F032B6"/>
    <w:rsid w:val="00F032B9"/>
    <w:rsid w:val="00F0338E"/>
    <w:rsid w:val="00F03397"/>
    <w:rsid w:val="00F033EF"/>
    <w:rsid w:val="00F034CD"/>
    <w:rsid w:val="00F034CF"/>
    <w:rsid w:val="00F0351E"/>
    <w:rsid w:val="00F03607"/>
    <w:rsid w:val="00F0372E"/>
    <w:rsid w:val="00F0373B"/>
    <w:rsid w:val="00F037AD"/>
    <w:rsid w:val="00F03831"/>
    <w:rsid w:val="00F0383B"/>
    <w:rsid w:val="00F03890"/>
    <w:rsid w:val="00F038A9"/>
    <w:rsid w:val="00F03915"/>
    <w:rsid w:val="00F03996"/>
    <w:rsid w:val="00F03A5A"/>
    <w:rsid w:val="00F03B7B"/>
    <w:rsid w:val="00F03BF7"/>
    <w:rsid w:val="00F03C12"/>
    <w:rsid w:val="00F03CAC"/>
    <w:rsid w:val="00F03CBF"/>
    <w:rsid w:val="00F03CD2"/>
    <w:rsid w:val="00F03D17"/>
    <w:rsid w:val="00F03DE1"/>
    <w:rsid w:val="00F03E69"/>
    <w:rsid w:val="00F0419C"/>
    <w:rsid w:val="00F041AC"/>
    <w:rsid w:val="00F0423B"/>
    <w:rsid w:val="00F042D9"/>
    <w:rsid w:val="00F0436E"/>
    <w:rsid w:val="00F043F1"/>
    <w:rsid w:val="00F04553"/>
    <w:rsid w:val="00F04800"/>
    <w:rsid w:val="00F0484C"/>
    <w:rsid w:val="00F04A46"/>
    <w:rsid w:val="00F04ABA"/>
    <w:rsid w:val="00F04B2E"/>
    <w:rsid w:val="00F04BE7"/>
    <w:rsid w:val="00F04C00"/>
    <w:rsid w:val="00F04C1E"/>
    <w:rsid w:val="00F04C30"/>
    <w:rsid w:val="00F04C32"/>
    <w:rsid w:val="00F04D7C"/>
    <w:rsid w:val="00F04E55"/>
    <w:rsid w:val="00F04E5C"/>
    <w:rsid w:val="00F04EA3"/>
    <w:rsid w:val="00F04F54"/>
    <w:rsid w:val="00F04F9D"/>
    <w:rsid w:val="00F050FF"/>
    <w:rsid w:val="00F0514E"/>
    <w:rsid w:val="00F051B2"/>
    <w:rsid w:val="00F051BA"/>
    <w:rsid w:val="00F051CB"/>
    <w:rsid w:val="00F05237"/>
    <w:rsid w:val="00F0532C"/>
    <w:rsid w:val="00F053BF"/>
    <w:rsid w:val="00F05414"/>
    <w:rsid w:val="00F0541A"/>
    <w:rsid w:val="00F05474"/>
    <w:rsid w:val="00F054D0"/>
    <w:rsid w:val="00F05602"/>
    <w:rsid w:val="00F0561E"/>
    <w:rsid w:val="00F05646"/>
    <w:rsid w:val="00F05769"/>
    <w:rsid w:val="00F059D4"/>
    <w:rsid w:val="00F05ABA"/>
    <w:rsid w:val="00F05AD5"/>
    <w:rsid w:val="00F05AD8"/>
    <w:rsid w:val="00F05AE6"/>
    <w:rsid w:val="00F05C02"/>
    <w:rsid w:val="00F05DFB"/>
    <w:rsid w:val="00F05E64"/>
    <w:rsid w:val="00F05EEC"/>
    <w:rsid w:val="00F06031"/>
    <w:rsid w:val="00F06128"/>
    <w:rsid w:val="00F0623B"/>
    <w:rsid w:val="00F0645E"/>
    <w:rsid w:val="00F0667A"/>
    <w:rsid w:val="00F0673F"/>
    <w:rsid w:val="00F06822"/>
    <w:rsid w:val="00F0685C"/>
    <w:rsid w:val="00F0686A"/>
    <w:rsid w:val="00F068DE"/>
    <w:rsid w:val="00F068E9"/>
    <w:rsid w:val="00F069C1"/>
    <w:rsid w:val="00F069C7"/>
    <w:rsid w:val="00F06B7B"/>
    <w:rsid w:val="00F06BC4"/>
    <w:rsid w:val="00F06CE5"/>
    <w:rsid w:val="00F06DF6"/>
    <w:rsid w:val="00F06F9B"/>
    <w:rsid w:val="00F07017"/>
    <w:rsid w:val="00F070FF"/>
    <w:rsid w:val="00F07242"/>
    <w:rsid w:val="00F07254"/>
    <w:rsid w:val="00F07278"/>
    <w:rsid w:val="00F07356"/>
    <w:rsid w:val="00F07434"/>
    <w:rsid w:val="00F07589"/>
    <w:rsid w:val="00F076D9"/>
    <w:rsid w:val="00F076F7"/>
    <w:rsid w:val="00F077B1"/>
    <w:rsid w:val="00F077B2"/>
    <w:rsid w:val="00F077F3"/>
    <w:rsid w:val="00F078F7"/>
    <w:rsid w:val="00F07931"/>
    <w:rsid w:val="00F07A4D"/>
    <w:rsid w:val="00F07B8E"/>
    <w:rsid w:val="00F07BF5"/>
    <w:rsid w:val="00F07E6F"/>
    <w:rsid w:val="00F07F6B"/>
    <w:rsid w:val="00F10018"/>
    <w:rsid w:val="00F101B7"/>
    <w:rsid w:val="00F1021A"/>
    <w:rsid w:val="00F102BA"/>
    <w:rsid w:val="00F102D0"/>
    <w:rsid w:val="00F103C8"/>
    <w:rsid w:val="00F103CE"/>
    <w:rsid w:val="00F104A9"/>
    <w:rsid w:val="00F104D1"/>
    <w:rsid w:val="00F10605"/>
    <w:rsid w:val="00F10783"/>
    <w:rsid w:val="00F10976"/>
    <w:rsid w:val="00F10A79"/>
    <w:rsid w:val="00F10B54"/>
    <w:rsid w:val="00F10C40"/>
    <w:rsid w:val="00F10EF7"/>
    <w:rsid w:val="00F10F14"/>
    <w:rsid w:val="00F10F4A"/>
    <w:rsid w:val="00F11130"/>
    <w:rsid w:val="00F112E4"/>
    <w:rsid w:val="00F113A4"/>
    <w:rsid w:val="00F11486"/>
    <w:rsid w:val="00F115AC"/>
    <w:rsid w:val="00F11858"/>
    <w:rsid w:val="00F118A1"/>
    <w:rsid w:val="00F118B4"/>
    <w:rsid w:val="00F118FA"/>
    <w:rsid w:val="00F119DB"/>
    <w:rsid w:val="00F11A66"/>
    <w:rsid w:val="00F11B4F"/>
    <w:rsid w:val="00F11B7E"/>
    <w:rsid w:val="00F11B97"/>
    <w:rsid w:val="00F11BE3"/>
    <w:rsid w:val="00F11CCD"/>
    <w:rsid w:val="00F11D77"/>
    <w:rsid w:val="00F11DB5"/>
    <w:rsid w:val="00F11ED1"/>
    <w:rsid w:val="00F11F1F"/>
    <w:rsid w:val="00F11FAC"/>
    <w:rsid w:val="00F120F8"/>
    <w:rsid w:val="00F12114"/>
    <w:rsid w:val="00F1240B"/>
    <w:rsid w:val="00F124F6"/>
    <w:rsid w:val="00F12634"/>
    <w:rsid w:val="00F128A7"/>
    <w:rsid w:val="00F12B55"/>
    <w:rsid w:val="00F130E4"/>
    <w:rsid w:val="00F130E5"/>
    <w:rsid w:val="00F1339B"/>
    <w:rsid w:val="00F133C7"/>
    <w:rsid w:val="00F13744"/>
    <w:rsid w:val="00F13745"/>
    <w:rsid w:val="00F13777"/>
    <w:rsid w:val="00F13A2A"/>
    <w:rsid w:val="00F13D4B"/>
    <w:rsid w:val="00F13DAA"/>
    <w:rsid w:val="00F13DC1"/>
    <w:rsid w:val="00F13EE2"/>
    <w:rsid w:val="00F13F0F"/>
    <w:rsid w:val="00F13FAD"/>
    <w:rsid w:val="00F140A4"/>
    <w:rsid w:val="00F141BD"/>
    <w:rsid w:val="00F1430F"/>
    <w:rsid w:val="00F1432B"/>
    <w:rsid w:val="00F14372"/>
    <w:rsid w:val="00F14852"/>
    <w:rsid w:val="00F14908"/>
    <w:rsid w:val="00F1490E"/>
    <w:rsid w:val="00F14ABF"/>
    <w:rsid w:val="00F14AEE"/>
    <w:rsid w:val="00F14B14"/>
    <w:rsid w:val="00F14BB2"/>
    <w:rsid w:val="00F14C5E"/>
    <w:rsid w:val="00F14CF0"/>
    <w:rsid w:val="00F14E55"/>
    <w:rsid w:val="00F14EA5"/>
    <w:rsid w:val="00F15084"/>
    <w:rsid w:val="00F1519D"/>
    <w:rsid w:val="00F1529D"/>
    <w:rsid w:val="00F15332"/>
    <w:rsid w:val="00F1539C"/>
    <w:rsid w:val="00F15419"/>
    <w:rsid w:val="00F1547D"/>
    <w:rsid w:val="00F1549F"/>
    <w:rsid w:val="00F1554D"/>
    <w:rsid w:val="00F155F9"/>
    <w:rsid w:val="00F157F1"/>
    <w:rsid w:val="00F159C4"/>
    <w:rsid w:val="00F159DB"/>
    <w:rsid w:val="00F15A15"/>
    <w:rsid w:val="00F15AD3"/>
    <w:rsid w:val="00F15BAB"/>
    <w:rsid w:val="00F15BD2"/>
    <w:rsid w:val="00F15BFE"/>
    <w:rsid w:val="00F15C52"/>
    <w:rsid w:val="00F15D6C"/>
    <w:rsid w:val="00F15E54"/>
    <w:rsid w:val="00F15EB1"/>
    <w:rsid w:val="00F15EFC"/>
    <w:rsid w:val="00F15F55"/>
    <w:rsid w:val="00F15FB2"/>
    <w:rsid w:val="00F1601C"/>
    <w:rsid w:val="00F16202"/>
    <w:rsid w:val="00F162E3"/>
    <w:rsid w:val="00F162E8"/>
    <w:rsid w:val="00F162EA"/>
    <w:rsid w:val="00F16399"/>
    <w:rsid w:val="00F163DE"/>
    <w:rsid w:val="00F163E8"/>
    <w:rsid w:val="00F16498"/>
    <w:rsid w:val="00F164E5"/>
    <w:rsid w:val="00F1650E"/>
    <w:rsid w:val="00F16818"/>
    <w:rsid w:val="00F1689A"/>
    <w:rsid w:val="00F168E8"/>
    <w:rsid w:val="00F169B3"/>
    <w:rsid w:val="00F16A9C"/>
    <w:rsid w:val="00F16AB7"/>
    <w:rsid w:val="00F16C39"/>
    <w:rsid w:val="00F16DF9"/>
    <w:rsid w:val="00F16E12"/>
    <w:rsid w:val="00F16E86"/>
    <w:rsid w:val="00F16F10"/>
    <w:rsid w:val="00F16F87"/>
    <w:rsid w:val="00F170DD"/>
    <w:rsid w:val="00F170EB"/>
    <w:rsid w:val="00F17148"/>
    <w:rsid w:val="00F17172"/>
    <w:rsid w:val="00F1719F"/>
    <w:rsid w:val="00F17272"/>
    <w:rsid w:val="00F17279"/>
    <w:rsid w:val="00F1761F"/>
    <w:rsid w:val="00F1775C"/>
    <w:rsid w:val="00F17872"/>
    <w:rsid w:val="00F17940"/>
    <w:rsid w:val="00F17971"/>
    <w:rsid w:val="00F17B3E"/>
    <w:rsid w:val="00F17B56"/>
    <w:rsid w:val="00F17BF2"/>
    <w:rsid w:val="00F17C2E"/>
    <w:rsid w:val="00F17D58"/>
    <w:rsid w:val="00F17DB8"/>
    <w:rsid w:val="00F17EBC"/>
    <w:rsid w:val="00F17ECB"/>
    <w:rsid w:val="00F17F56"/>
    <w:rsid w:val="00F17FEE"/>
    <w:rsid w:val="00F2023F"/>
    <w:rsid w:val="00F205DF"/>
    <w:rsid w:val="00F20621"/>
    <w:rsid w:val="00F20714"/>
    <w:rsid w:val="00F20748"/>
    <w:rsid w:val="00F20776"/>
    <w:rsid w:val="00F207F4"/>
    <w:rsid w:val="00F209F1"/>
    <w:rsid w:val="00F20B16"/>
    <w:rsid w:val="00F20CFB"/>
    <w:rsid w:val="00F20D5C"/>
    <w:rsid w:val="00F210D6"/>
    <w:rsid w:val="00F21271"/>
    <w:rsid w:val="00F213C0"/>
    <w:rsid w:val="00F214E0"/>
    <w:rsid w:val="00F214F2"/>
    <w:rsid w:val="00F21562"/>
    <w:rsid w:val="00F215B1"/>
    <w:rsid w:val="00F21633"/>
    <w:rsid w:val="00F216CB"/>
    <w:rsid w:val="00F21718"/>
    <w:rsid w:val="00F21749"/>
    <w:rsid w:val="00F2174E"/>
    <w:rsid w:val="00F217DC"/>
    <w:rsid w:val="00F2184D"/>
    <w:rsid w:val="00F21873"/>
    <w:rsid w:val="00F2191B"/>
    <w:rsid w:val="00F2192C"/>
    <w:rsid w:val="00F21959"/>
    <w:rsid w:val="00F2195D"/>
    <w:rsid w:val="00F21982"/>
    <w:rsid w:val="00F2198A"/>
    <w:rsid w:val="00F21B7B"/>
    <w:rsid w:val="00F21B96"/>
    <w:rsid w:val="00F21D43"/>
    <w:rsid w:val="00F21E21"/>
    <w:rsid w:val="00F21F66"/>
    <w:rsid w:val="00F21FE3"/>
    <w:rsid w:val="00F22264"/>
    <w:rsid w:val="00F22280"/>
    <w:rsid w:val="00F22299"/>
    <w:rsid w:val="00F222F5"/>
    <w:rsid w:val="00F2237E"/>
    <w:rsid w:val="00F22492"/>
    <w:rsid w:val="00F22612"/>
    <w:rsid w:val="00F22639"/>
    <w:rsid w:val="00F226FE"/>
    <w:rsid w:val="00F227A8"/>
    <w:rsid w:val="00F227B6"/>
    <w:rsid w:val="00F227E3"/>
    <w:rsid w:val="00F228D8"/>
    <w:rsid w:val="00F228D9"/>
    <w:rsid w:val="00F22AE1"/>
    <w:rsid w:val="00F22B18"/>
    <w:rsid w:val="00F22EFB"/>
    <w:rsid w:val="00F22F3C"/>
    <w:rsid w:val="00F2307C"/>
    <w:rsid w:val="00F23125"/>
    <w:rsid w:val="00F23143"/>
    <w:rsid w:val="00F23163"/>
    <w:rsid w:val="00F231B8"/>
    <w:rsid w:val="00F23230"/>
    <w:rsid w:val="00F232CE"/>
    <w:rsid w:val="00F232EF"/>
    <w:rsid w:val="00F233C7"/>
    <w:rsid w:val="00F2346D"/>
    <w:rsid w:val="00F23493"/>
    <w:rsid w:val="00F235D3"/>
    <w:rsid w:val="00F23642"/>
    <w:rsid w:val="00F23865"/>
    <w:rsid w:val="00F238F0"/>
    <w:rsid w:val="00F23995"/>
    <w:rsid w:val="00F239BB"/>
    <w:rsid w:val="00F23A65"/>
    <w:rsid w:val="00F23ADE"/>
    <w:rsid w:val="00F23AF9"/>
    <w:rsid w:val="00F23B21"/>
    <w:rsid w:val="00F23BCA"/>
    <w:rsid w:val="00F23CA0"/>
    <w:rsid w:val="00F23CD6"/>
    <w:rsid w:val="00F23D2B"/>
    <w:rsid w:val="00F23E2A"/>
    <w:rsid w:val="00F23ED8"/>
    <w:rsid w:val="00F23FE2"/>
    <w:rsid w:val="00F24005"/>
    <w:rsid w:val="00F24026"/>
    <w:rsid w:val="00F240F8"/>
    <w:rsid w:val="00F24406"/>
    <w:rsid w:val="00F24655"/>
    <w:rsid w:val="00F247B9"/>
    <w:rsid w:val="00F247F6"/>
    <w:rsid w:val="00F2486A"/>
    <w:rsid w:val="00F248AB"/>
    <w:rsid w:val="00F248E1"/>
    <w:rsid w:val="00F249B4"/>
    <w:rsid w:val="00F24A8A"/>
    <w:rsid w:val="00F24AB1"/>
    <w:rsid w:val="00F24B2C"/>
    <w:rsid w:val="00F24C74"/>
    <w:rsid w:val="00F24CC3"/>
    <w:rsid w:val="00F24F85"/>
    <w:rsid w:val="00F2530E"/>
    <w:rsid w:val="00F254F0"/>
    <w:rsid w:val="00F25523"/>
    <w:rsid w:val="00F255BC"/>
    <w:rsid w:val="00F255C1"/>
    <w:rsid w:val="00F258C1"/>
    <w:rsid w:val="00F25AC5"/>
    <w:rsid w:val="00F25B24"/>
    <w:rsid w:val="00F25CE1"/>
    <w:rsid w:val="00F25D9E"/>
    <w:rsid w:val="00F25EF2"/>
    <w:rsid w:val="00F25F05"/>
    <w:rsid w:val="00F25F4B"/>
    <w:rsid w:val="00F25F9E"/>
    <w:rsid w:val="00F25FA9"/>
    <w:rsid w:val="00F26056"/>
    <w:rsid w:val="00F26089"/>
    <w:rsid w:val="00F26172"/>
    <w:rsid w:val="00F261C4"/>
    <w:rsid w:val="00F26259"/>
    <w:rsid w:val="00F262AA"/>
    <w:rsid w:val="00F26380"/>
    <w:rsid w:val="00F26404"/>
    <w:rsid w:val="00F26467"/>
    <w:rsid w:val="00F26472"/>
    <w:rsid w:val="00F266BA"/>
    <w:rsid w:val="00F266CC"/>
    <w:rsid w:val="00F2674D"/>
    <w:rsid w:val="00F26C33"/>
    <w:rsid w:val="00F26C4B"/>
    <w:rsid w:val="00F26DF9"/>
    <w:rsid w:val="00F26EC7"/>
    <w:rsid w:val="00F27310"/>
    <w:rsid w:val="00F273C1"/>
    <w:rsid w:val="00F2740E"/>
    <w:rsid w:val="00F274D2"/>
    <w:rsid w:val="00F274DE"/>
    <w:rsid w:val="00F274F3"/>
    <w:rsid w:val="00F2753C"/>
    <w:rsid w:val="00F27627"/>
    <w:rsid w:val="00F27685"/>
    <w:rsid w:val="00F2768D"/>
    <w:rsid w:val="00F27738"/>
    <w:rsid w:val="00F27764"/>
    <w:rsid w:val="00F277A6"/>
    <w:rsid w:val="00F277CE"/>
    <w:rsid w:val="00F27952"/>
    <w:rsid w:val="00F2796F"/>
    <w:rsid w:val="00F279A8"/>
    <w:rsid w:val="00F279CF"/>
    <w:rsid w:val="00F27B68"/>
    <w:rsid w:val="00F27BFB"/>
    <w:rsid w:val="00F27CB8"/>
    <w:rsid w:val="00F27CF4"/>
    <w:rsid w:val="00F27D24"/>
    <w:rsid w:val="00F27E8B"/>
    <w:rsid w:val="00F27F26"/>
    <w:rsid w:val="00F27F46"/>
    <w:rsid w:val="00F27F49"/>
    <w:rsid w:val="00F30031"/>
    <w:rsid w:val="00F30046"/>
    <w:rsid w:val="00F300DC"/>
    <w:rsid w:val="00F30140"/>
    <w:rsid w:val="00F302A8"/>
    <w:rsid w:val="00F303E3"/>
    <w:rsid w:val="00F3048F"/>
    <w:rsid w:val="00F3053F"/>
    <w:rsid w:val="00F3059B"/>
    <w:rsid w:val="00F30650"/>
    <w:rsid w:val="00F3065A"/>
    <w:rsid w:val="00F30682"/>
    <w:rsid w:val="00F30738"/>
    <w:rsid w:val="00F3075B"/>
    <w:rsid w:val="00F3088C"/>
    <w:rsid w:val="00F308EE"/>
    <w:rsid w:val="00F30930"/>
    <w:rsid w:val="00F30C36"/>
    <w:rsid w:val="00F30CF3"/>
    <w:rsid w:val="00F30E0A"/>
    <w:rsid w:val="00F30EA5"/>
    <w:rsid w:val="00F30FA4"/>
    <w:rsid w:val="00F31224"/>
    <w:rsid w:val="00F31289"/>
    <w:rsid w:val="00F3134E"/>
    <w:rsid w:val="00F31623"/>
    <w:rsid w:val="00F31674"/>
    <w:rsid w:val="00F31679"/>
    <w:rsid w:val="00F3176A"/>
    <w:rsid w:val="00F318F5"/>
    <w:rsid w:val="00F31939"/>
    <w:rsid w:val="00F31992"/>
    <w:rsid w:val="00F319EB"/>
    <w:rsid w:val="00F31A0B"/>
    <w:rsid w:val="00F31A12"/>
    <w:rsid w:val="00F31B0F"/>
    <w:rsid w:val="00F31C89"/>
    <w:rsid w:val="00F31ECE"/>
    <w:rsid w:val="00F31F40"/>
    <w:rsid w:val="00F31FB6"/>
    <w:rsid w:val="00F320B6"/>
    <w:rsid w:val="00F321C5"/>
    <w:rsid w:val="00F321DE"/>
    <w:rsid w:val="00F3232B"/>
    <w:rsid w:val="00F3235A"/>
    <w:rsid w:val="00F324B8"/>
    <w:rsid w:val="00F325EE"/>
    <w:rsid w:val="00F3267C"/>
    <w:rsid w:val="00F3269A"/>
    <w:rsid w:val="00F327F3"/>
    <w:rsid w:val="00F327FE"/>
    <w:rsid w:val="00F3282D"/>
    <w:rsid w:val="00F3285B"/>
    <w:rsid w:val="00F329A4"/>
    <w:rsid w:val="00F329C9"/>
    <w:rsid w:val="00F32AD9"/>
    <w:rsid w:val="00F32BB1"/>
    <w:rsid w:val="00F32DDE"/>
    <w:rsid w:val="00F32E3D"/>
    <w:rsid w:val="00F32EB6"/>
    <w:rsid w:val="00F33090"/>
    <w:rsid w:val="00F330DA"/>
    <w:rsid w:val="00F3312B"/>
    <w:rsid w:val="00F3343E"/>
    <w:rsid w:val="00F33522"/>
    <w:rsid w:val="00F33569"/>
    <w:rsid w:val="00F335A8"/>
    <w:rsid w:val="00F33843"/>
    <w:rsid w:val="00F33878"/>
    <w:rsid w:val="00F33891"/>
    <w:rsid w:val="00F338D5"/>
    <w:rsid w:val="00F338DF"/>
    <w:rsid w:val="00F339C7"/>
    <w:rsid w:val="00F33A29"/>
    <w:rsid w:val="00F33A7A"/>
    <w:rsid w:val="00F33A92"/>
    <w:rsid w:val="00F33A97"/>
    <w:rsid w:val="00F33B74"/>
    <w:rsid w:val="00F33B90"/>
    <w:rsid w:val="00F33BFE"/>
    <w:rsid w:val="00F33C59"/>
    <w:rsid w:val="00F33D0A"/>
    <w:rsid w:val="00F33D8A"/>
    <w:rsid w:val="00F33DBB"/>
    <w:rsid w:val="00F33DFB"/>
    <w:rsid w:val="00F33ECE"/>
    <w:rsid w:val="00F33FBF"/>
    <w:rsid w:val="00F3408C"/>
    <w:rsid w:val="00F34099"/>
    <w:rsid w:val="00F3409F"/>
    <w:rsid w:val="00F341DB"/>
    <w:rsid w:val="00F3427F"/>
    <w:rsid w:val="00F342FC"/>
    <w:rsid w:val="00F34332"/>
    <w:rsid w:val="00F34478"/>
    <w:rsid w:val="00F34497"/>
    <w:rsid w:val="00F3449D"/>
    <w:rsid w:val="00F344BA"/>
    <w:rsid w:val="00F346FA"/>
    <w:rsid w:val="00F3474E"/>
    <w:rsid w:val="00F347B0"/>
    <w:rsid w:val="00F347C7"/>
    <w:rsid w:val="00F347CF"/>
    <w:rsid w:val="00F34838"/>
    <w:rsid w:val="00F3495F"/>
    <w:rsid w:val="00F349C0"/>
    <w:rsid w:val="00F349C8"/>
    <w:rsid w:val="00F34AEC"/>
    <w:rsid w:val="00F34D62"/>
    <w:rsid w:val="00F34D82"/>
    <w:rsid w:val="00F34DA7"/>
    <w:rsid w:val="00F34DED"/>
    <w:rsid w:val="00F34E26"/>
    <w:rsid w:val="00F34E8D"/>
    <w:rsid w:val="00F34EF1"/>
    <w:rsid w:val="00F35039"/>
    <w:rsid w:val="00F35075"/>
    <w:rsid w:val="00F35313"/>
    <w:rsid w:val="00F3533C"/>
    <w:rsid w:val="00F3538A"/>
    <w:rsid w:val="00F353EE"/>
    <w:rsid w:val="00F353F7"/>
    <w:rsid w:val="00F35495"/>
    <w:rsid w:val="00F3555E"/>
    <w:rsid w:val="00F35577"/>
    <w:rsid w:val="00F35683"/>
    <w:rsid w:val="00F3577E"/>
    <w:rsid w:val="00F3581F"/>
    <w:rsid w:val="00F35919"/>
    <w:rsid w:val="00F359F8"/>
    <w:rsid w:val="00F35A4E"/>
    <w:rsid w:val="00F35BE9"/>
    <w:rsid w:val="00F35D15"/>
    <w:rsid w:val="00F35E37"/>
    <w:rsid w:val="00F35F38"/>
    <w:rsid w:val="00F35FB2"/>
    <w:rsid w:val="00F35FBA"/>
    <w:rsid w:val="00F36236"/>
    <w:rsid w:val="00F36295"/>
    <w:rsid w:val="00F3630A"/>
    <w:rsid w:val="00F36346"/>
    <w:rsid w:val="00F3637A"/>
    <w:rsid w:val="00F364EB"/>
    <w:rsid w:val="00F368CB"/>
    <w:rsid w:val="00F368EE"/>
    <w:rsid w:val="00F3695A"/>
    <w:rsid w:val="00F3698B"/>
    <w:rsid w:val="00F36BB8"/>
    <w:rsid w:val="00F36DC3"/>
    <w:rsid w:val="00F36DF5"/>
    <w:rsid w:val="00F36EB7"/>
    <w:rsid w:val="00F36EEB"/>
    <w:rsid w:val="00F36F34"/>
    <w:rsid w:val="00F37203"/>
    <w:rsid w:val="00F37218"/>
    <w:rsid w:val="00F3721A"/>
    <w:rsid w:val="00F37478"/>
    <w:rsid w:val="00F375CD"/>
    <w:rsid w:val="00F37754"/>
    <w:rsid w:val="00F3778C"/>
    <w:rsid w:val="00F378AF"/>
    <w:rsid w:val="00F37992"/>
    <w:rsid w:val="00F37A25"/>
    <w:rsid w:val="00F37B9A"/>
    <w:rsid w:val="00F37C6D"/>
    <w:rsid w:val="00F37CA6"/>
    <w:rsid w:val="00F37ED9"/>
    <w:rsid w:val="00F37F1A"/>
    <w:rsid w:val="00F37FB3"/>
    <w:rsid w:val="00F4011D"/>
    <w:rsid w:val="00F4016A"/>
    <w:rsid w:val="00F403F1"/>
    <w:rsid w:val="00F4057E"/>
    <w:rsid w:val="00F4086B"/>
    <w:rsid w:val="00F4088B"/>
    <w:rsid w:val="00F408B5"/>
    <w:rsid w:val="00F408BC"/>
    <w:rsid w:val="00F408DE"/>
    <w:rsid w:val="00F40904"/>
    <w:rsid w:val="00F409B2"/>
    <w:rsid w:val="00F409C1"/>
    <w:rsid w:val="00F40A0D"/>
    <w:rsid w:val="00F40A30"/>
    <w:rsid w:val="00F40B26"/>
    <w:rsid w:val="00F40DB9"/>
    <w:rsid w:val="00F40E38"/>
    <w:rsid w:val="00F40E52"/>
    <w:rsid w:val="00F40F25"/>
    <w:rsid w:val="00F40F74"/>
    <w:rsid w:val="00F40FF8"/>
    <w:rsid w:val="00F41052"/>
    <w:rsid w:val="00F410B1"/>
    <w:rsid w:val="00F41104"/>
    <w:rsid w:val="00F4113D"/>
    <w:rsid w:val="00F411DD"/>
    <w:rsid w:val="00F4134F"/>
    <w:rsid w:val="00F4136A"/>
    <w:rsid w:val="00F41552"/>
    <w:rsid w:val="00F41617"/>
    <w:rsid w:val="00F41620"/>
    <w:rsid w:val="00F416F9"/>
    <w:rsid w:val="00F41741"/>
    <w:rsid w:val="00F4176A"/>
    <w:rsid w:val="00F417D4"/>
    <w:rsid w:val="00F4182A"/>
    <w:rsid w:val="00F41862"/>
    <w:rsid w:val="00F41895"/>
    <w:rsid w:val="00F41922"/>
    <w:rsid w:val="00F4195C"/>
    <w:rsid w:val="00F41A4C"/>
    <w:rsid w:val="00F41AF4"/>
    <w:rsid w:val="00F41B12"/>
    <w:rsid w:val="00F41BAC"/>
    <w:rsid w:val="00F41BF5"/>
    <w:rsid w:val="00F41C32"/>
    <w:rsid w:val="00F41C85"/>
    <w:rsid w:val="00F41D63"/>
    <w:rsid w:val="00F41D6D"/>
    <w:rsid w:val="00F41F2A"/>
    <w:rsid w:val="00F41F51"/>
    <w:rsid w:val="00F41F8D"/>
    <w:rsid w:val="00F41FD1"/>
    <w:rsid w:val="00F41FF8"/>
    <w:rsid w:val="00F421C9"/>
    <w:rsid w:val="00F4230D"/>
    <w:rsid w:val="00F423F3"/>
    <w:rsid w:val="00F425EF"/>
    <w:rsid w:val="00F426B9"/>
    <w:rsid w:val="00F4281C"/>
    <w:rsid w:val="00F4295A"/>
    <w:rsid w:val="00F42979"/>
    <w:rsid w:val="00F42A57"/>
    <w:rsid w:val="00F42D59"/>
    <w:rsid w:val="00F42EF4"/>
    <w:rsid w:val="00F42F63"/>
    <w:rsid w:val="00F42F79"/>
    <w:rsid w:val="00F43170"/>
    <w:rsid w:val="00F432E0"/>
    <w:rsid w:val="00F435C8"/>
    <w:rsid w:val="00F435F6"/>
    <w:rsid w:val="00F43658"/>
    <w:rsid w:val="00F4366A"/>
    <w:rsid w:val="00F436AA"/>
    <w:rsid w:val="00F438CC"/>
    <w:rsid w:val="00F43B46"/>
    <w:rsid w:val="00F43C11"/>
    <w:rsid w:val="00F43C74"/>
    <w:rsid w:val="00F43D1E"/>
    <w:rsid w:val="00F43D5F"/>
    <w:rsid w:val="00F43DC6"/>
    <w:rsid w:val="00F43E29"/>
    <w:rsid w:val="00F43EA9"/>
    <w:rsid w:val="00F43EBC"/>
    <w:rsid w:val="00F43F20"/>
    <w:rsid w:val="00F4409F"/>
    <w:rsid w:val="00F4425D"/>
    <w:rsid w:val="00F442BE"/>
    <w:rsid w:val="00F444F7"/>
    <w:rsid w:val="00F445F9"/>
    <w:rsid w:val="00F4480B"/>
    <w:rsid w:val="00F44853"/>
    <w:rsid w:val="00F44956"/>
    <w:rsid w:val="00F449B6"/>
    <w:rsid w:val="00F449E0"/>
    <w:rsid w:val="00F44B24"/>
    <w:rsid w:val="00F44C04"/>
    <w:rsid w:val="00F44C0A"/>
    <w:rsid w:val="00F44D55"/>
    <w:rsid w:val="00F450C7"/>
    <w:rsid w:val="00F45163"/>
    <w:rsid w:val="00F451CD"/>
    <w:rsid w:val="00F453B2"/>
    <w:rsid w:val="00F454E1"/>
    <w:rsid w:val="00F4553F"/>
    <w:rsid w:val="00F4557C"/>
    <w:rsid w:val="00F456A6"/>
    <w:rsid w:val="00F456DA"/>
    <w:rsid w:val="00F45725"/>
    <w:rsid w:val="00F4588E"/>
    <w:rsid w:val="00F45A00"/>
    <w:rsid w:val="00F45A01"/>
    <w:rsid w:val="00F45BE6"/>
    <w:rsid w:val="00F45C12"/>
    <w:rsid w:val="00F45D7D"/>
    <w:rsid w:val="00F45D88"/>
    <w:rsid w:val="00F45DF0"/>
    <w:rsid w:val="00F45E0F"/>
    <w:rsid w:val="00F45E2D"/>
    <w:rsid w:val="00F45E53"/>
    <w:rsid w:val="00F45E6C"/>
    <w:rsid w:val="00F45EB7"/>
    <w:rsid w:val="00F45EEF"/>
    <w:rsid w:val="00F45F3E"/>
    <w:rsid w:val="00F45FA0"/>
    <w:rsid w:val="00F46015"/>
    <w:rsid w:val="00F460ED"/>
    <w:rsid w:val="00F46226"/>
    <w:rsid w:val="00F46283"/>
    <w:rsid w:val="00F462A8"/>
    <w:rsid w:val="00F463F6"/>
    <w:rsid w:val="00F465D0"/>
    <w:rsid w:val="00F46628"/>
    <w:rsid w:val="00F466B5"/>
    <w:rsid w:val="00F46724"/>
    <w:rsid w:val="00F46805"/>
    <w:rsid w:val="00F4696C"/>
    <w:rsid w:val="00F46BEC"/>
    <w:rsid w:val="00F46BF7"/>
    <w:rsid w:val="00F46C30"/>
    <w:rsid w:val="00F46C4F"/>
    <w:rsid w:val="00F46D4F"/>
    <w:rsid w:val="00F46E30"/>
    <w:rsid w:val="00F4704D"/>
    <w:rsid w:val="00F47212"/>
    <w:rsid w:val="00F473D2"/>
    <w:rsid w:val="00F473DB"/>
    <w:rsid w:val="00F474AD"/>
    <w:rsid w:val="00F474CC"/>
    <w:rsid w:val="00F474DE"/>
    <w:rsid w:val="00F474FE"/>
    <w:rsid w:val="00F477C7"/>
    <w:rsid w:val="00F4797E"/>
    <w:rsid w:val="00F479BE"/>
    <w:rsid w:val="00F479CB"/>
    <w:rsid w:val="00F479FE"/>
    <w:rsid w:val="00F47A70"/>
    <w:rsid w:val="00F47AF9"/>
    <w:rsid w:val="00F47B12"/>
    <w:rsid w:val="00F47BE9"/>
    <w:rsid w:val="00F47C0F"/>
    <w:rsid w:val="00F47D4C"/>
    <w:rsid w:val="00F47D90"/>
    <w:rsid w:val="00F47DA6"/>
    <w:rsid w:val="00F47E0E"/>
    <w:rsid w:val="00F47E2D"/>
    <w:rsid w:val="00F47EF3"/>
    <w:rsid w:val="00F47F49"/>
    <w:rsid w:val="00F47F78"/>
    <w:rsid w:val="00F47F8A"/>
    <w:rsid w:val="00F500B0"/>
    <w:rsid w:val="00F500C2"/>
    <w:rsid w:val="00F500E8"/>
    <w:rsid w:val="00F50144"/>
    <w:rsid w:val="00F50192"/>
    <w:rsid w:val="00F50312"/>
    <w:rsid w:val="00F503A6"/>
    <w:rsid w:val="00F503F3"/>
    <w:rsid w:val="00F50434"/>
    <w:rsid w:val="00F50471"/>
    <w:rsid w:val="00F505CB"/>
    <w:rsid w:val="00F50829"/>
    <w:rsid w:val="00F509C8"/>
    <w:rsid w:val="00F50D37"/>
    <w:rsid w:val="00F50E91"/>
    <w:rsid w:val="00F50F07"/>
    <w:rsid w:val="00F50F21"/>
    <w:rsid w:val="00F50F3F"/>
    <w:rsid w:val="00F50F88"/>
    <w:rsid w:val="00F514C0"/>
    <w:rsid w:val="00F51515"/>
    <w:rsid w:val="00F51666"/>
    <w:rsid w:val="00F516B7"/>
    <w:rsid w:val="00F5172B"/>
    <w:rsid w:val="00F51778"/>
    <w:rsid w:val="00F517E1"/>
    <w:rsid w:val="00F519F6"/>
    <w:rsid w:val="00F51AEE"/>
    <w:rsid w:val="00F51B0A"/>
    <w:rsid w:val="00F51B3F"/>
    <w:rsid w:val="00F51B69"/>
    <w:rsid w:val="00F51B8B"/>
    <w:rsid w:val="00F51D54"/>
    <w:rsid w:val="00F51FC4"/>
    <w:rsid w:val="00F5207D"/>
    <w:rsid w:val="00F52120"/>
    <w:rsid w:val="00F5216A"/>
    <w:rsid w:val="00F521B8"/>
    <w:rsid w:val="00F5238D"/>
    <w:rsid w:val="00F5239E"/>
    <w:rsid w:val="00F5243E"/>
    <w:rsid w:val="00F525AF"/>
    <w:rsid w:val="00F52637"/>
    <w:rsid w:val="00F526B5"/>
    <w:rsid w:val="00F52719"/>
    <w:rsid w:val="00F52732"/>
    <w:rsid w:val="00F5281D"/>
    <w:rsid w:val="00F52885"/>
    <w:rsid w:val="00F52950"/>
    <w:rsid w:val="00F52A00"/>
    <w:rsid w:val="00F52BDA"/>
    <w:rsid w:val="00F52C0C"/>
    <w:rsid w:val="00F52CC7"/>
    <w:rsid w:val="00F52EA4"/>
    <w:rsid w:val="00F53007"/>
    <w:rsid w:val="00F5302E"/>
    <w:rsid w:val="00F53054"/>
    <w:rsid w:val="00F531F1"/>
    <w:rsid w:val="00F53230"/>
    <w:rsid w:val="00F532CD"/>
    <w:rsid w:val="00F53353"/>
    <w:rsid w:val="00F533CE"/>
    <w:rsid w:val="00F5345F"/>
    <w:rsid w:val="00F534D8"/>
    <w:rsid w:val="00F53572"/>
    <w:rsid w:val="00F53637"/>
    <w:rsid w:val="00F53693"/>
    <w:rsid w:val="00F536B0"/>
    <w:rsid w:val="00F53754"/>
    <w:rsid w:val="00F5384E"/>
    <w:rsid w:val="00F53862"/>
    <w:rsid w:val="00F539D4"/>
    <w:rsid w:val="00F53A76"/>
    <w:rsid w:val="00F53BA7"/>
    <w:rsid w:val="00F53CB0"/>
    <w:rsid w:val="00F53D31"/>
    <w:rsid w:val="00F53DAC"/>
    <w:rsid w:val="00F53EB0"/>
    <w:rsid w:val="00F53F7F"/>
    <w:rsid w:val="00F5406C"/>
    <w:rsid w:val="00F54098"/>
    <w:rsid w:val="00F540BC"/>
    <w:rsid w:val="00F540FD"/>
    <w:rsid w:val="00F54120"/>
    <w:rsid w:val="00F541C6"/>
    <w:rsid w:val="00F541E7"/>
    <w:rsid w:val="00F542BF"/>
    <w:rsid w:val="00F54357"/>
    <w:rsid w:val="00F543CD"/>
    <w:rsid w:val="00F543CE"/>
    <w:rsid w:val="00F54578"/>
    <w:rsid w:val="00F546A7"/>
    <w:rsid w:val="00F547DA"/>
    <w:rsid w:val="00F549FE"/>
    <w:rsid w:val="00F54A62"/>
    <w:rsid w:val="00F54ACF"/>
    <w:rsid w:val="00F54BC4"/>
    <w:rsid w:val="00F54D8C"/>
    <w:rsid w:val="00F54EFF"/>
    <w:rsid w:val="00F54F0E"/>
    <w:rsid w:val="00F54F9B"/>
    <w:rsid w:val="00F550A9"/>
    <w:rsid w:val="00F55184"/>
    <w:rsid w:val="00F5518E"/>
    <w:rsid w:val="00F552B3"/>
    <w:rsid w:val="00F55365"/>
    <w:rsid w:val="00F553BA"/>
    <w:rsid w:val="00F5545D"/>
    <w:rsid w:val="00F554FF"/>
    <w:rsid w:val="00F5556C"/>
    <w:rsid w:val="00F55699"/>
    <w:rsid w:val="00F556EF"/>
    <w:rsid w:val="00F55728"/>
    <w:rsid w:val="00F5577F"/>
    <w:rsid w:val="00F557DA"/>
    <w:rsid w:val="00F558E2"/>
    <w:rsid w:val="00F5595B"/>
    <w:rsid w:val="00F55A76"/>
    <w:rsid w:val="00F55B0E"/>
    <w:rsid w:val="00F55B26"/>
    <w:rsid w:val="00F55C38"/>
    <w:rsid w:val="00F55CB1"/>
    <w:rsid w:val="00F55DA2"/>
    <w:rsid w:val="00F55E72"/>
    <w:rsid w:val="00F55EF8"/>
    <w:rsid w:val="00F56058"/>
    <w:rsid w:val="00F560B7"/>
    <w:rsid w:val="00F561E4"/>
    <w:rsid w:val="00F56209"/>
    <w:rsid w:val="00F5620F"/>
    <w:rsid w:val="00F56251"/>
    <w:rsid w:val="00F562F3"/>
    <w:rsid w:val="00F5632E"/>
    <w:rsid w:val="00F5633E"/>
    <w:rsid w:val="00F5639D"/>
    <w:rsid w:val="00F565E2"/>
    <w:rsid w:val="00F56641"/>
    <w:rsid w:val="00F56672"/>
    <w:rsid w:val="00F566F9"/>
    <w:rsid w:val="00F566FB"/>
    <w:rsid w:val="00F56732"/>
    <w:rsid w:val="00F5685B"/>
    <w:rsid w:val="00F568DE"/>
    <w:rsid w:val="00F56972"/>
    <w:rsid w:val="00F569AF"/>
    <w:rsid w:val="00F56A2E"/>
    <w:rsid w:val="00F56B16"/>
    <w:rsid w:val="00F56B1A"/>
    <w:rsid w:val="00F56D35"/>
    <w:rsid w:val="00F56D54"/>
    <w:rsid w:val="00F56EE3"/>
    <w:rsid w:val="00F56FD3"/>
    <w:rsid w:val="00F56FDE"/>
    <w:rsid w:val="00F57386"/>
    <w:rsid w:val="00F574D3"/>
    <w:rsid w:val="00F575E5"/>
    <w:rsid w:val="00F5765B"/>
    <w:rsid w:val="00F576AE"/>
    <w:rsid w:val="00F5789C"/>
    <w:rsid w:val="00F578AF"/>
    <w:rsid w:val="00F57909"/>
    <w:rsid w:val="00F57935"/>
    <w:rsid w:val="00F57944"/>
    <w:rsid w:val="00F57A8B"/>
    <w:rsid w:val="00F57BB8"/>
    <w:rsid w:val="00F57BED"/>
    <w:rsid w:val="00F57C9B"/>
    <w:rsid w:val="00F57E27"/>
    <w:rsid w:val="00F57F47"/>
    <w:rsid w:val="00F57FBF"/>
    <w:rsid w:val="00F6001B"/>
    <w:rsid w:val="00F60064"/>
    <w:rsid w:val="00F6017E"/>
    <w:rsid w:val="00F60215"/>
    <w:rsid w:val="00F60251"/>
    <w:rsid w:val="00F602F2"/>
    <w:rsid w:val="00F60446"/>
    <w:rsid w:val="00F60453"/>
    <w:rsid w:val="00F6055D"/>
    <w:rsid w:val="00F6059C"/>
    <w:rsid w:val="00F606B9"/>
    <w:rsid w:val="00F60825"/>
    <w:rsid w:val="00F608B8"/>
    <w:rsid w:val="00F60942"/>
    <w:rsid w:val="00F6095C"/>
    <w:rsid w:val="00F60A20"/>
    <w:rsid w:val="00F60A52"/>
    <w:rsid w:val="00F60A55"/>
    <w:rsid w:val="00F60B77"/>
    <w:rsid w:val="00F60C2F"/>
    <w:rsid w:val="00F60D42"/>
    <w:rsid w:val="00F60DEB"/>
    <w:rsid w:val="00F60FAE"/>
    <w:rsid w:val="00F61000"/>
    <w:rsid w:val="00F61095"/>
    <w:rsid w:val="00F61267"/>
    <w:rsid w:val="00F612CC"/>
    <w:rsid w:val="00F61397"/>
    <w:rsid w:val="00F614B1"/>
    <w:rsid w:val="00F614C4"/>
    <w:rsid w:val="00F61620"/>
    <w:rsid w:val="00F617DC"/>
    <w:rsid w:val="00F6183B"/>
    <w:rsid w:val="00F618F0"/>
    <w:rsid w:val="00F6199A"/>
    <w:rsid w:val="00F61A63"/>
    <w:rsid w:val="00F61B43"/>
    <w:rsid w:val="00F61C1E"/>
    <w:rsid w:val="00F61D4A"/>
    <w:rsid w:val="00F61D7B"/>
    <w:rsid w:val="00F61D9B"/>
    <w:rsid w:val="00F61E4F"/>
    <w:rsid w:val="00F61E68"/>
    <w:rsid w:val="00F6200C"/>
    <w:rsid w:val="00F620CB"/>
    <w:rsid w:val="00F621B5"/>
    <w:rsid w:val="00F62418"/>
    <w:rsid w:val="00F6241B"/>
    <w:rsid w:val="00F624A7"/>
    <w:rsid w:val="00F62523"/>
    <w:rsid w:val="00F62554"/>
    <w:rsid w:val="00F625EC"/>
    <w:rsid w:val="00F62626"/>
    <w:rsid w:val="00F62627"/>
    <w:rsid w:val="00F627B7"/>
    <w:rsid w:val="00F62885"/>
    <w:rsid w:val="00F628AC"/>
    <w:rsid w:val="00F62A38"/>
    <w:rsid w:val="00F62AF2"/>
    <w:rsid w:val="00F62C7C"/>
    <w:rsid w:val="00F62D20"/>
    <w:rsid w:val="00F62DBB"/>
    <w:rsid w:val="00F62DE1"/>
    <w:rsid w:val="00F62E95"/>
    <w:rsid w:val="00F62EC9"/>
    <w:rsid w:val="00F630A8"/>
    <w:rsid w:val="00F631AC"/>
    <w:rsid w:val="00F63208"/>
    <w:rsid w:val="00F632E3"/>
    <w:rsid w:val="00F6358F"/>
    <w:rsid w:val="00F635E2"/>
    <w:rsid w:val="00F6362F"/>
    <w:rsid w:val="00F637D5"/>
    <w:rsid w:val="00F63811"/>
    <w:rsid w:val="00F638B7"/>
    <w:rsid w:val="00F63935"/>
    <w:rsid w:val="00F63DD3"/>
    <w:rsid w:val="00F63E2D"/>
    <w:rsid w:val="00F63FBF"/>
    <w:rsid w:val="00F63FD0"/>
    <w:rsid w:val="00F64171"/>
    <w:rsid w:val="00F64207"/>
    <w:rsid w:val="00F64261"/>
    <w:rsid w:val="00F64367"/>
    <w:rsid w:val="00F643EE"/>
    <w:rsid w:val="00F64471"/>
    <w:rsid w:val="00F6450E"/>
    <w:rsid w:val="00F64535"/>
    <w:rsid w:val="00F6465C"/>
    <w:rsid w:val="00F64800"/>
    <w:rsid w:val="00F6487D"/>
    <w:rsid w:val="00F648B9"/>
    <w:rsid w:val="00F648FE"/>
    <w:rsid w:val="00F64926"/>
    <w:rsid w:val="00F64A15"/>
    <w:rsid w:val="00F64A66"/>
    <w:rsid w:val="00F64ADC"/>
    <w:rsid w:val="00F64B59"/>
    <w:rsid w:val="00F64B5F"/>
    <w:rsid w:val="00F64BBE"/>
    <w:rsid w:val="00F64CB3"/>
    <w:rsid w:val="00F64D0E"/>
    <w:rsid w:val="00F64E3D"/>
    <w:rsid w:val="00F6506B"/>
    <w:rsid w:val="00F6507A"/>
    <w:rsid w:val="00F6507C"/>
    <w:rsid w:val="00F65163"/>
    <w:rsid w:val="00F65197"/>
    <w:rsid w:val="00F651A4"/>
    <w:rsid w:val="00F65215"/>
    <w:rsid w:val="00F65318"/>
    <w:rsid w:val="00F653F1"/>
    <w:rsid w:val="00F65499"/>
    <w:rsid w:val="00F655EC"/>
    <w:rsid w:val="00F6568A"/>
    <w:rsid w:val="00F65829"/>
    <w:rsid w:val="00F65928"/>
    <w:rsid w:val="00F65A8C"/>
    <w:rsid w:val="00F65B0F"/>
    <w:rsid w:val="00F65BC9"/>
    <w:rsid w:val="00F65C98"/>
    <w:rsid w:val="00F65D58"/>
    <w:rsid w:val="00F65E31"/>
    <w:rsid w:val="00F65F2D"/>
    <w:rsid w:val="00F65F5F"/>
    <w:rsid w:val="00F65F66"/>
    <w:rsid w:val="00F65FDD"/>
    <w:rsid w:val="00F66064"/>
    <w:rsid w:val="00F66115"/>
    <w:rsid w:val="00F662E1"/>
    <w:rsid w:val="00F66302"/>
    <w:rsid w:val="00F66393"/>
    <w:rsid w:val="00F66595"/>
    <w:rsid w:val="00F667D6"/>
    <w:rsid w:val="00F668A5"/>
    <w:rsid w:val="00F668A7"/>
    <w:rsid w:val="00F668E8"/>
    <w:rsid w:val="00F66912"/>
    <w:rsid w:val="00F66A85"/>
    <w:rsid w:val="00F66BD1"/>
    <w:rsid w:val="00F66BE3"/>
    <w:rsid w:val="00F66E18"/>
    <w:rsid w:val="00F67042"/>
    <w:rsid w:val="00F670B0"/>
    <w:rsid w:val="00F6710D"/>
    <w:rsid w:val="00F67334"/>
    <w:rsid w:val="00F67535"/>
    <w:rsid w:val="00F675E7"/>
    <w:rsid w:val="00F675E9"/>
    <w:rsid w:val="00F67609"/>
    <w:rsid w:val="00F6761A"/>
    <w:rsid w:val="00F6766B"/>
    <w:rsid w:val="00F6768A"/>
    <w:rsid w:val="00F67706"/>
    <w:rsid w:val="00F6785B"/>
    <w:rsid w:val="00F678E2"/>
    <w:rsid w:val="00F6798D"/>
    <w:rsid w:val="00F67A02"/>
    <w:rsid w:val="00F67AC0"/>
    <w:rsid w:val="00F67B35"/>
    <w:rsid w:val="00F67B8D"/>
    <w:rsid w:val="00F67BB7"/>
    <w:rsid w:val="00F67BF9"/>
    <w:rsid w:val="00F67F40"/>
    <w:rsid w:val="00F67F9B"/>
    <w:rsid w:val="00F70128"/>
    <w:rsid w:val="00F70276"/>
    <w:rsid w:val="00F70332"/>
    <w:rsid w:val="00F70390"/>
    <w:rsid w:val="00F70431"/>
    <w:rsid w:val="00F7069F"/>
    <w:rsid w:val="00F70794"/>
    <w:rsid w:val="00F7089F"/>
    <w:rsid w:val="00F708D7"/>
    <w:rsid w:val="00F70A8E"/>
    <w:rsid w:val="00F70C18"/>
    <w:rsid w:val="00F70C6A"/>
    <w:rsid w:val="00F70C6D"/>
    <w:rsid w:val="00F70DCA"/>
    <w:rsid w:val="00F70DFA"/>
    <w:rsid w:val="00F70E2F"/>
    <w:rsid w:val="00F70E7C"/>
    <w:rsid w:val="00F70EA3"/>
    <w:rsid w:val="00F70EF9"/>
    <w:rsid w:val="00F70EFF"/>
    <w:rsid w:val="00F70F1F"/>
    <w:rsid w:val="00F70F20"/>
    <w:rsid w:val="00F70FD5"/>
    <w:rsid w:val="00F71015"/>
    <w:rsid w:val="00F71155"/>
    <w:rsid w:val="00F7127E"/>
    <w:rsid w:val="00F712CA"/>
    <w:rsid w:val="00F71460"/>
    <w:rsid w:val="00F714F7"/>
    <w:rsid w:val="00F7157C"/>
    <w:rsid w:val="00F71717"/>
    <w:rsid w:val="00F71719"/>
    <w:rsid w:val="00F7188D"/>
    <w:rsid w:val="00F71AB1"/>
    <w:rsid w:val="00F71C05"/>
    <w:rsid w:val="00F71CA1"/>
    <w:rsid w:val="00F71CAF"/>
    <w:rsid w:val="00F71D42"/>
    <w:rsid w:val="00F71D90"/>
    <w:rsid w:val="00F71E65"/>
    <w:rsid w:val="00F72117"/>
    <w:rsid w:val="00F72166"/>
    <w:rsid w:val="00F722F4"/>
    <w:rsid w:val="00F72313"/>
    <w:rsid w:val="00F72369"/>
    <w:rsid w:val="00F72396"/>
    <w:rsid w:val="00F7249C"/>
    <w:rsid w:val="00F72517"/>
    <w:rsid w:val="00F72518"/>
    <w:rsid w:val="00F72578"/>
    <w:rsid w:val="00F726A0"/>
    <w:rsid w:val="00F727A0"/>
    <w:rsid w:val="00F72923"/>
    <w:rsid w:val="00F72995"/>
    <w:rsid w:val="00F72A38"/>
    <w:rsid w:val="00F72A9B"/>
    <w:rsid w:val="00F72CA7"/>
    <w:rsid w:val="00F72CCB"/>
    <w:rsid w:val="00F72D22"/>
    <w:rsid w:val="00F72D34"/>
    <w:rsid w:val="00F72D36"/>
    <w:rsid w:val="00F72D5D"/>
    <w:rsid w:val="00F72D9B"/>
    <w:rsid w:val="00F72E21"/>
    <w:rsid w:val="00F72E66"/>
    <w:rsid w:val="00F72E98"/>
    <w:rsid w:val="00F72EF3"/>
    <w:rsid w:val="00F72F1D"/>
    <w:rsid w:val="00F72F99"/>
    <w:rsid w:val="00F73040"/>
    <w:rsid w:val="00F73059"/>
    <w:rsid w:val="00F7313F"/>
    <w:rsid w:val="00F73179"/>
    <w:rsid w:val="00F73356"/>
    <w:rsid w:val="00F73388"/>
    <w:rsid w:val="00F733CA"/>
    <w:rsid w:val="00F7355F"/>
    <w:rsid w:val="00F73650"/>
    <w:rsid w:val="00F737B7"/>
    <w:rsid w:val="00F737DF"/>
    <w:rsid w:val="00F73865"/>
    <w:rsid w:val="00F738AC"/>
    <w:rsid w:val="00F73971"/>
    <w:rsid w:val="00F73988"/>
    <w:rsid w:val="00F73B28"/>
    <w:rsid w:val="00F73C94"/>
    <w:rsid w:val="00F73EF1"/>
    <w:rsid w:val="00F73F9B"/>
    <w:rsid w:val="00F73F9F"/>
    <w:rsid w:val="00F7405B"/>
    <w:rsid w:val="00F7415D"/>
    <w:rsid w:val="00F741CC"/>
    <w:rsid w:val="00F741D1"/>
    <w:rsid w:val="00F742B8"/>
    <w:rsid w:val="00F742C4"/>
    <w:rsid w:val="00F7433C"/>
    <w:rsid w:val="00F7444E"/>
    <w:rsid w:val="00F74499"/>
    <w:rsid w:val="00F7450D"/>
    <w:rsid w:val="00F74511"/>
    <w:rsid w:val="00F74550"/>
    <w:rsid w:val="00F74684"/>
    <w:rsid w:val="00F746BE"/>
    <w:rsid w:val="00F74771"/>
    <w:rsid w:val="00F74791"/>
    <w:rsid w:val="00F747BA"/>
    <w:rsid w:val="00F74817"/>
    <w:rsid w:val="00F748C3"/>
    <w:rsid w:val="00F74A30"/>
    <w:rsid w:val="00F74A3B"/>
    <w:rsid w:val="00F74A57"/>
    <w:rsid w:val="00F74C0F"/>
    <w:rsid w:val="00F74DB8"/>
    <w:rsid w:val="00F74EA9"/>
    <w:rsid w:val="00F74F7A"/>
    <w:rsid w:val="00F74FBD"/>
    <w:rsid w:val="00F74FCF"/>
    <w:rsid w:val="00F7506E"/>
    <w:rsid w:val="00F750B1"/>
    <w:rsid w:val="00F75174"/>
    <w:rsid w:val="00F752AD"/>
    <w:rsid w:val="00F752B9"/>
    <w:rsid w:val="00F75506"/>
    <w:rsid w:val="00F7552E"/>
    <w:rsid w:val="00F755E3"/>
    <w:rsid w:val="00F755ED"/>
    <w:rsid w:val="00F7560C"/>
    <w:rsid w:val="00F75656"/>
    <w:rsid w:val="00F75677"/>
    <w:rsid w:val="00F7584C"/>
    <w:rsid w:val="00F758A1"/>
    <w:rsid w:val="00F75946"/>
    <w:rsid w:val="00F75AAF"/>
    <w:rsid w:val="00F75B9D"/>
    <w:rsid w:val="00F75BC0"/>
    <w:rsid w:val="00F75C4D"/>
    <w:rsid w:val="00F75E79"/>
    <w:rsid w:val="00F75F6F"/>
    <w:rsid w:val="00F75F93"/>
    <w:rsid w:val="00F75FBB"/>
    <w:rsid w:val="00F7601B"/>
    <w:rsid w:val="00F76114"/>
    <w:rsid w:val="00F762C7"/>
    <w:rsid w:val="00F76329"/>
    <w:rsid w:val="00F7632B"/>
    <w:rsid w:val="00F7632E"/>
    <w:rsid w:val="00F7639B"/>
    <w:rsid w:val="00F763CB"/>
    <w:rsid w:val="00F76450"/>
    <w:rsid w:val="00F765CB"/>
    <w:rsid w:val="00F765D8"/>
    <w:rsid w:val="00F76665"/>
    <w:rsid w:val="00F766F7"/>
    <w:rsid w:val="00F76794"/>
    <w:rsid w:val="00F767AB"/>
    <w:rsid w:val="00F767AD"/>
    <w:rsid w:val="00F767C8"/>
    <w:rsid w:val="00F7682F"/>
    <w:rsid w:val="00F7690A"/>
    <w:rsid w:val="00F7696A"/>
    <w:rsid w:val="00F76B1E"/>
    <w:rsid w:val="00F76BE4"/>
    <w:rsid w:val="00F76C47"/>
    <w:rsid w:val="00F76D14"/>
    <w:rsid w:val="00F76D49"/>
    <w:rsid w:val="00F76D99"/>
    <w:rsid w:val="00F76E8C"/>
    <w:rsid w:val="00F76EAB"/>
    <w:rsid w:val="00F76EE5"/>
    <w:rsid w:val="00F76EFD"/>
    <w:rsid w:val="00F77073"/>
    <w:rsid w:val="00F770B4"/>
    <w:rsid w:val="00F77107"/>
    <w:rsid w:val="00F77270"/>
    <w:rsid w:val="00F772D5"/>
    <w:rsid w:val="00F773E1"/>
    <w:rsid w:val="00F77457"/>
    <w:rsid w:val="00F7753A"/>
    <w:rsid w:val="00F7754C"/>
    <w:rsid w:val="00F775CD"/>
    <w:rsid w:val="00F77669"/>
    <w:rsid w:val="00F77750"/>
    <w:rsid w:val="00F777BF"/>
    <w:rsid w:val="00F77945"/>
    <w:rsid w:val="00F77A8A"/>
    <w:rsid w:val="00F77B7C"/>
    <w:rsid w:val="00F77BA4"/>
    <w:rsid w:val="00F77BF5"/>
    <w:rsid w:val="00F77EC4"/>
    <w:rsid w:val="00F8004C"/>
    <w:rsid w:val="00F80355"/>
    <w:rsid w:val="00F804CB"/>
    <w:rsid w:val="00F8063D"/>
    <w:rsid w:val="00F80844"/>
    <w:rsid w:val="00F80870"/>
    <w:rsid w:val="00F80876"/>
    <w:rsid w:val="00F80A54"/>
    <w:rsid w:val="00F80AE1"/>
    <w:rsid w:val="00F80B0E"/>
    <w:rsid w:val="00F80B1D"/>
    <w:rsid w:val="00F80B68"/>
    <w:rsid w:val="00F80BE1"/>
    <w:rsid w:val="00F80C1A"/>
    <w:rsid w:val="00F80C7B"/>
    <w:rsid w:val="00F80C93"/>
    <w:rsid w:val="00F80F9B"/>
    <w:rsid w:val="00F81086"/>
    <w:rsid w:val="00F8127D"/>
    <w:rsid w:val="00F813B4"/>
    <w:rsid w:val="00F81494"/>
    <w:rsid w:val="00F81582"/>
    <w:rsid w:val="00F81771"/>
    <w:rsid w:val="00F81778"/>
    <w:rsid w:val="00F818C1"/>
    <w:rsid w:val="00F81915"/>
    <w:rsid w:val="00F819EB"/>
    <w:rsid w:val="00F81AEF"/>
    <w:rsid w:val="00F81CE4"/>
    <w:rsid w:val="00F81D9C"/>
    <w:rsid w:val="00F81FCB"/>
    <w:rsid w:val="00F82064"/>
    <w:rsid w:val="00F821D7"/>
    <w:rsid w:val="00F8224E"/>
    <w:rsid w:val="00F822A2"/>
    <w:rsid w:val="00F82316"/>
    <w:rsid w:val="00F82399"/>
    <w:rsid w:val="00F82409"/>
    <w:rsid w:val="00F8240F"/>
    <w:rsid w:val="00F824EB"/>
    <w:rsid w:val="00F82610"/>
    <w:rsid w:val="00F82725"/>
    <w:rsid w:val="00F8296D"/>
    <w:rsid w:val="00F82A06"/>
    <w:rsid w:val="00F82C46"/>
    <w:rsid w:val="00F82C94"/>
    <w:rsid w:val="00F82D37"/>
    <w:rsid w:val="00F82F63"/>
    <w:rsid w:val="00F82F93"/>
    <w:rsid w:val="00F83048"/>
    <w:rsid w:val="00F830A4"/>
    <w:rsid w:val="00F830EA"/>
    <w:rsid w:val="00F8323A"/>
    <w:rsid w:val="00F8331D"/>
    <w:rsid w:val="00F8333E"/>
    <w:rsid w:val="00F8336A"/>
    <w:rsid w:val="00F83386"/>
    <w:rsid w:val="00F834D1"/>
    <w:rsid w:val="00F8360F"/>
    <w:rsid w:val="00F83654"/>
    <w:rsid w:val="00F837ED"/>
    <w:rsid w:val="00F837F9"/>
    <w:rsid w:val="00F838B5"/>
    <w:rsid w:val="00F838D9"/>
    <w:rsid w:val="00F839D7"/>
    <w:rsid w:val="00F83A79"/>
    <w:rsid w:val="00F83AAF"/>
    <w:rsid w:val="00F83AB4"/>
    <w:rsid w:val="00F83AFA"/>
    <w:rsid w:val="00F83B32"/>
    <w:rsid w:val="00F83D94"/>
    <w:rsid w:val="00F83DD9"/>
    <w:rsid w:val="00F83E7D"/>
    <w:rsid w:val="00F84036"/>
    <w:rsid w:val="00F840C0"/>
    <w:rsid w:val="00F84209"/>
    <w:rsid w:val="00F8425B"/>
    <w:rsid w:val="00F8444F"/>
    <w:rsid w:val="00F84549"/>
    <w:rsid w:val="00F845B4"/>
    <w:rsid w:val="00F8466D"/>
    <w:rsid w:val="00F846F4"/>
    <w:rsid w:val="00F8475E"/>
    <w:rsid w:val="00F849D0"/>
    <w:rsid w:val="00F849ED"/>
    <w:rsid w:val="00F84A19"/>
    <w:rsid w:val="00F84B00"/>
    <w:rsid w:val="00F84B78"/>
    <w:rsid w:val="00F84D25"/>
    <w:rsid w:val="00F84EBF"/>
    <w:rsid w:val="00F84FDD"/>
    <w:rsid w:val="00F85028"/>
    <w:rsid w:val="00F85094"/>
    <w:rsid w:val="00F8516A"/>
    <w:rsid w:val="00F851DD"/>
    <w:rsid w:val="00F85227"/>
    <w:rsid w:val="00F8526C"/>
    <w:rsid w:val="00F85338"/>
    <w:rsid w:val="00F85607"/>
    <w:rsid w:val="00F856EA"/>
    <w:rsid w:val="00F857B1"/>
    <w:rsid w:val="00F85812"/>
    <w:rsid w:val="00F858EE"/>
    <w:rsid w:val="00F859D9"/>
    <w:rsid w:val="00F85A03"/>
    <w:rsid w:val="00F85A4B"/>
    <w:rsid w:val="00F85B3F"/>
    <w:rsid w:val="00F85BEC"/>
    <w:rsid w:val="00F85D20"/>
    <w:rsid w:val="00F85E9C"/>
    <w:rsid w:val="00F85F3E"/>
    <w:rsid w:val="00F85F69"/>
    <w:rsid w:val="00F86039"/>
    <w:rsid w:val="00F86083"/>
    <w:rsid w:val="00F86141"/>
    <w:rsid w:val="00F86262"/>
    <w:rsid w:val="00F8631C"/>
    <w:rsid w:val="00F8639C"/>
    <w:rsid w:val="00F863F2"/>
    <w:rsid w:val="00F86581"/>
    <w:rsid w:val="00F8658C"/>
    <w:rsid w:val="00F865C3"/>
    <w:rsid w:val="00F865E4"/>
    <w:rsid w:val="00F865F1"/>
    <w:rsid w:val="00F866EE"/>
    <w:rsid w:val="00F869F4"/>
    <w:rsid w:val="00F86C8B"/>
    <w:rsid w:val="00F86DAF"/>
    <w:rsid w:val="00F86F52"/>
    <w:rsid w:val="00F86FB7"/>
    <w:rsid w:val="00F870A1"/>
    <w:rsid w:val="00F87188"/>
    <w:rsid w:val="00F871B5"/>
    <w:rsid w:val="00F87241"/>
    <w:rsid w:val="00F8756F"/>
    <w:rsid w:val="00F87594"/>
    <w:rsid w:val="00F87679"/>
    <w:rsid w:val="00F8771F"/>
    <w:rsid w:val="00F878B3"/>
    <w:rsid w:val="00F87A8F"/>
    <w:rsid w:val="00F87B70"/>
    <w:rsid w:val="00F87C0B"/>
    <w:rsid w:val="00F87C80"/>
    <w:rsid w:val="00F87C84"/>
    <w:rsid w:val="00F87D04"/>
    <w:rsid w:val="00F87D09"/>
    <w:rsid w:val="00F87D1D"/>
    <w:rsid w:val="00F87E0E"/>
    <w:rsid w:val="00F87E13"/>
    <w:rsid w:val="00F87ECC"/>
    <w:rsid w:val="00F87F4F"/>
    <w:rsid w:val="00F87FC6"/>
    <w:rsid w:val="00F90093"/>
    <w:rsid w:val="00F901C7"/>
    <w:rsid w:val="00F90220"/>
    <w:rsid w:val="00F902D6"/>
    <w:rsid w:val="00F9042F"/>
    <w:rsid w:val="00F90456"/>
    <w:rsid w:val="00F904EB"/>
    <w:rsid w:val="00F904FF"/>
    <w:rsid w:val="00F90575"/>
    <w:rsid w:val="00F90642"/>
    <w:rsid w:val="00F907E5"/>
    <w:rsid w:val="00F90821"/>
    <w:rsid w:val="00F90885"/>
    <w:rsid w:val="00F9098A"/>
    <w:rsid w:val="00F909A1"/>
    <w:rsid w:val="00F909DD"/>
    <w:rsid w:val="00F90A2D"/>
    <w:rsid w:val="00F90A5D"/>
    <w:rsid w:val="00F90A61"/>
    <w:rsid w:val="00F90CC0"/>
    <w:rsid w:val="00F90CD5"/>
    <w:rsid w:val="00F90E0A"/>
    <w:rsid w:val="00F90E14"/>
    <w:rsid w:val="00F90E49"/>
    <w:rsid w:val="00F90E65"/>
    <w:rsid w:val="00F90EC9"/>
    <w:rsid w:val="00F90F34"/>
    <w:rsid w:val="00F91203"/>
    <w:rsid w:val="00F91463"/>
    <w:rsid w:val="00F914EC"/>
    <w:rsid w:val="00F91589"/>
    <w:rsid w:val="00F915CF"/>
    <w:rsid w:val="00F91A0B"/>
    <w:rsid w:val="00F91B69"/>
    <w:rsid w:val="00F91BA5"/>
    <w:rsid w:val="00F91CF3"/>
    <w:rsid w:val="00F91E12"/>
    <w:rsid w:val="00F91EDE"/>
    <w:rsid w:val="00F91F01"/>
    <w:rsid w:val="00F91FBA"/>
    <w:rsid w:val="00F92008"/>
    <w:rsid w:val="00F9206D"/>
    <w:rsid w:val="00F920D9"/>
    <w:rsid w:val="00F9212F"/>
    <w:rsid w:val="00F921C8"/>
    <w:rsid w:val="00F9242B"/>
    <w:rsid w:val="00F9245D"/>
    <w:rsid w:val="00F9269D"/>
    <w:rsid w:val="00F92751"/>
    <w:rsid w:val="00F929D3"/>
    <w:rsid w:val="00F929F5"/>
    <w:rsid w:val="00F92A30"/>
    <w:rsid w:val="00F92A35"/>
    <w:rsid w:val="00F92B27"/>
    <w:rsid w:val="00F92C05"/>
    <w:rsid w:val="00F92D06"/>
    <w:rsid w:val="00F92E80"/>
    <w:rsid w:val="00F92F0A"/>
    <w:rsid w:val="00F92FCB"/>
    <w:rsid w:val="00F930E6"/>
    <w:rsid w:val="00F930F2"/>
    <w:rsid w:val="00F9318E"/>
    <w:rsid w:val="00F93260"/>
    <w:rsid w:val="00F9326E"/>
    <w:rsid w:val="00F932C7"/>
    <w:rsid w:val="00F932CE"/>
    <w:rsid w:val="00F932FC"/>
    <w:rsid w:val="00F9338D"/>
    <w:rsid w:val="00F9338F"/>
    <w:rsid w:val="00F9342F"/>
    <w:rsid w:val="00F93528"/>
    <w:rsid w:val="00F93546"/>
    <w:rsid w:val="00F935DE"/>
    <w:rsid w:val="00F935E9"/>
    <w:rsid w:val="00F936DC"/>
    <w:rsid w:val="00F9378A"/>
    <w:rsid w:val="00F938D0"/>
    <w:rsid w:val="00F93A3D"/>
    <w:rsid w:val="00F93BB5"/>
    <w:rsid w:val="00F93DA0"/>
    <w:rsid w:val="00F93ED7"/>
    <w:rsid w:val="00F9401A"/>
    <w:rsid w:val="00F94048"/>
    <w:rsid w:val="00F940E2"/>
    <w:rsid w:val="00F941AE"/>
    <w:rsid w:val="00F941BD"/>
    <w:rsid w:val="00F94213"/>
    <w:rsid w:val="00F94252"/>
    <w:rsid w:val="00F94277"/>
    <w:rsid w:val="00F9429D"/>
    <w:rsid w:val="00F943AB"/>
    <w:rsid w:val="00F945B3"/>
    <w:rsid w:val="00F945BE"/>
    <w:rsid w:val="00F94678"/>
    <w:rsid w:val="00F946BD"/>
    <w:rsid w:val="00F94704"/>
    <w:rsid w:val="00F947D5"/>
    <w:rsid w:val="00F94A12"/>
    <w:rsid w:val="00F94AAF"/>
    <w:rsid w:val="00F94BC2"/>
    <w:rsid w:val="00F94CC3"/>
    <w:rsid w:val="00F94DFE"/>
    <w:rsid w:val="00F94F77"/>
    <w:rsid w:val="00F9505A"/>
    <w:rsid w:val="00F950DF"/>
    <w:rsid w:val="00F95161"/>
    <w:rsid w:val="00F951C3"/>
    <w:rsid w:val="00F95257"/>
    <w:rsid w:val="00F9541D"/>
    <w:rsid w:val="00F954A8"/>
    <w:rsid w:val="00F9552C"/>
    <w:rsid w:val="00F95556"/>
    <w:rsid w:val="00F957E5"/>
    <w:rsid w:val="00F9592E"/>
    <w:rsid w:val="00F95A20"/>
    <w:rsid w:val="00F95BCA"/>
    <w:rsid w:val="00F95C73"/>
    <w:rsid w:val="00F95E1F"/>
    <w:rsid w:val="00F95E5F"/>
    <w:rsid w:val="00F96001"/>
    <w:rsid w:val="00F9604F"/>
    <w:rsid w:val="00F9609D"/>
    <w:rsid w:val="00F961CA"/>
    <w:rsid w:val="00F96245"/>
    <w:rsid w:val="00F96349"/>
    <w:rsid w:val="00F96471"/>
    <w:rsid w:val="00F964AA"/>
    <w:rsid w:val="00F9656A"/>
    <w:rsid w:val="00F96602"/>
    <w:rsid w:val="00F96615"/>
    <w:rsid w:val="00F9663F"/>
    <w:rsid w:val="00F96705"/>
    <w:rsid w:val="00F9681E"/>
    <w:rsid w:val="00F9688B"/>
    <w:rsid w:val="00F969B4"/>
    <w:rsid w:val="00F96A14"/>
    <w:rsid w:val="00F96B1A"/>
    <w:rsid w:val="00F96CBA"/>
    <w:rsid w:val="00F96CED"/>
    <w:rsid w:val="00F96E29"/>
    <w:rsid w:val="00F96E33"/>
    <w:rsid w:val="00F96E53"/>
    <w:rsid w:val="00F96F59"/>
    <w:rsid w:val="00F96FE3"/>
    <w:rsid w:val="00F971CB"/>
    <w:rsid w:val="00F972A5"/>
    <w:rsid w:val="00F972B5"/>
    <w:rsid w:val="00F9734A"/>
    <w:rsid w:val="00F9738E"/>
    <w:rsid w:val="00F974BF"/>
    <w:rsid w:val="00F974DC"/>
    <w:rsid w:val="00F974F4"/>
    <w:rsid w:val="00F975B0"/>
    <w:rsid w:val="00F976B4"/>
    <w:rsid w:val="00F97729"/>
    <w:rsid w:val="00F978E1"/>
    <w:rsid w:val="00F97915"/>
    <w:rsid w:val="00F97994"/>
    <w:rsid w:val="00F97B20"/>
    <w:rsid w:val="00F97B2A"/>
    <w:rsid w:val="00F97BFD"/>
    <w:rsid w:val="00F97E28"/>
    <w:rsid w:val="00F97E52"/>
    <w:rsid w:val="00F97EB1"/>
    <w:rsid w:val="00F97EED"/>
    <w:rsid w:val="00FA004B"/>
    <w:rsid w:val="00FA020A"/>
    <w:rsid w:val="00FA022E"/>
    <w:rsid w:val="00FA03A7"/>
    <w:rsid w:val="00FA03B1"/>
    <w:rsid w:val="00FA0400"/>
    <w:rsid w:val="00FA0424"/>
    <w:rsid w:val="00FA0469"/>
    <w:rsid w:val="00FA04EB"/>
    <w:rsid w:val="00FA058A"/>
    <w:rsid w:val="00FA0704"/>
    <w:rsid w:val="00FA076F"/>
    <w:rsid w:val="00FA0880"/>
    <w:rsid w:val="00FA093B"/>
    <w:rsid w:val="00FA0ACE"/>
    <w:rsid w:val="00FA0BBD"/>
    <w:rsid w:val="00FA0C05"/>
    <w:rsid w:val="00FA0FAD"/>
    <w:rsid w:val="00FA108D"/>
    <w:rsid w:val="00FA11CC"/>
    <w:rsid w:val="00FA1263"/>
    <w:rsid w:val="00FA12B1"/>
    <w:rsid w:val="00FA132E"/>
    <w:rsid w:val="00FA1333"/>
    <w:rsid w:val="00FA13A9"/>
    <w:rsid w:val="00FA1412"/>
    <w:rsid w:val="00FA14AA"/>
    <w:rsid w:val="00FA17D3"/>
    <w:rsid w:val="00FA17EC"/>
    <w:rsid w:val="00FA1A55"/>
    <w:rsid w:val="00FA1ACF"/>
    <w:rsid w:val="00FA1AF6"/>
    <w:rsid w:val="00FA1AF8"/>
    <w:rsid w:val="00FA1B92"/>
    <w:rsid w:val="00FA1D34"/>
    <w:rsid w:val="00FA1F65"/>
    <w:rsid w:val="00FA1F7B"/>
    <w:rsid w:val="00FA1FA4"/>
    <w:rsid w:val="00FA1FE0"/>
    <w:rsid w:val="00FA2051"/>
    <w:rsid w:val="00FA2150"/>
    <w:rsid w:val="00FA219B"/>
    <w:rsid w:val="00FA234F"/>
    <w:rsid w:val="00FA243D"/>
    <w:rsid w:val="00FA25B9"/>
    <w:rsid w:val="00FA28FF"/>
    <w:rsid w:val="00FA29FB"/>
    <w:rsid w:val="00FA2A4B"/>
    <w:rsid w:val="00FA2A88"/>
    <w:rsid w:val="00FA2B2E"/>
    <w:rsid w:val="00FA2B4A"/>
    <w:rsid w:val="00FA2B88"/>
    <w:rsid w:val="00FA2BDE"/>
    <w:rsid w:val="00FA2C0C"/>
    <w:rsid w:val="00FA2C80"/>
    <w:rsid w:val="00FA2CA6"/>
    <w:rsid w:val="00FA2D1C"/>
    <w:rsid w:val="00FA2D5F"/>
    <w:rsid w:val="00FA2D69"/>
    <w:rsid w:val="00FA302A"/>
    <w:rsid w:val="00FA30DF"/>
    <w:rsid w:val="00FA3276"/>
    <w:rsid w:val="00FA3280"/>
    <w:rsid w:val="00FA32FE"/>
    <w:rsid w:val="00FA332F"/>
    <w:rsid w:val="00FA33B6"/>
    <w:rsid w:val="00FA354E"/>
    <w:rsid w:val="00FA3574"/>
    <w:rsid w:val="00FA3662"/>
    <w:rsid w:val="00FA371A"/>
    <w:rsid w:val="00FA3837"/>
    <w:rsid w:val="00FA3844"/>
    <w:rsid w:val="00FA38CF"/>
    <w:rsid w:val="00FA397F"/>
    <w:rsid w:val="00FA3983"/>
    <w:rsid w:val="00FA3A26"/>
    <w:rsid w:val="00FA3B78"/>
    <w:rsid w:val="00FA3C08"/>
    <w:rsid w:val="00FA3DF5"/>
    <w:rsid w:val="00FA3E4F"/>
    <w:rsid w:val="00FA3E93"/>
    <w:rsid w:val="00FA3FD4"/>
    <w:rsid w:val="00FA405B"/>
    <w:rsid w:val="00FA411C"/>
    <w:rsid w:val="00FA41CB"/>
    <w:rsid w:val="00FA4271"/>
    <w:rsid w:val="00FA429C"/>
    <w:rsid w:val="00FA43A1"/>
    <w:rsid w:val="00FA4422"/>
    <w:rsid w:val="00FA44F8"/>
    <w:rsid w:val="00FA4599"/>
    <w:rsid w:val="00FA4626"/>
    <w:rsid w:val="00FA4697"/>
    <w:rsid w:val="00FA4799"/>
    <w:rsid w:val="00FA47AA"/>
    <w:rsid w:val="00FA487C"/>
    <w:rsid w:val="00FA48A6"/>
    <w:rsid w:val="00FA4913"/>
    <w:rsid w:val="00FA4A50"/>
    <w:rsid w:val="00FA4CC1"/>
    <w:rsid w:val="00FA4CD5"/>
    <w:rsid w:val="00FA4D95"/>
    <w:rsid w:val="00FA4E24"/>
    <w:rsid w:val="00FA4E7C"/>
    <w:rsid w:val="00FA4EED"/>
    <w:rsid w:val="00FA5022"/>
    <w:rsid w:val="00FA50D8"/>
    <w:rsid w:val="00FA50F2"/>
    <w:rsid w:val="00FA5144"/>
    <w:rsid w:val="00FA5205"/>
    <w:rsid w:val="00FA5481"/>
    <w:rsid w:val="00FA54AD"/>
    <w:rsid w:val="00FA54E5"/>
    <w:rsid w:val="00FA55D5"/>
    <w:rsid w:val="00FA56DE"/>
    <w:rsid w:val="00FA56EE"/>
    <w:rsid w:val="00FA5790"/>
    <w:rsid w:val="00FA58B4"/>
    <w:rsid w:val="00FA5B46"/>
    <w:rsid w:val="00FA5C44"/>
    <w:rsid w:val="00FA5D42"/>
    <w:rsid w:val="00FA5D5E"/>
    <w:rsid w:val="00FA5DD1"/>
    <w:rsid w:val="00FA5E6B"/>
    <w:rsid w:val="00FA6026"/>
    <w:rsid w:val="00FA60AF"/>
    <w:rsid w:val="00FA60FC"/>
    <w:rsid w:val="00FA6140"/>
    <w:rsid w:val="00FA6166"/>
    <w:rsid w:val="00FA61A9"/>
    <w:rsid w:val="00FA6288"/>
    <w:rsid w:val="00FA633A"/>
    <w:rsid w:val="00FA63E1"/>
    <w:rsid w:val="00FA6430"/>
    <w:rsid w:val="00FA65AD"/>
    <w:rsid w:val="00FA65B4"/>
    <w:rsid w:val="00FA65DF"/>
    <w:rsid w:val="00FA65EC"/>
    <w:rsid w:val="00FA6603"/>
    <w:rsid w:val="00FA67EE"/>
    <w:rsid w:val="00FA68CA"/>
    <w:rsid w:val="00FA6943"/>
    <w:rsid w:val="00FA6A0B"/>
    <w:rsid w:val="00FA6A13"/>
    <w:rsid w:val="00FA6B27"/>
    <w:rsid w:val="00FA6B95"/>
    <w:rsid w:val="00FA6BFB"/>
    <w:rsid w:val="00FA6C89"/>
    <w:rsid w:val="00FA6EDE"/>
    <w:rsid w:val="00FA6F7B"/>
    <w:rsid w:val="00FA715E"/>
    <w:rsid w:val="00FA7375"/>
    <w:rsid w:val="00FA7421"/>
    <w:rsid w:val="00FA74E2"/>
    <w:rsid w:val="00FA7560"/>
    <w:rsid w:val="00FA7625"/>
    <w:rsid w:val="00FA771D"/>
    <w:rsid w:val="00FA772E"/>
    <w:rsid w:val="00FA7746"/>
    <w:rsid w:val="00FA7794"/>
    <w:rsid w:val="00FA7A32"/>
    <w:rsid w:val="00FA7B8B"/>
    <w:rsid w:val="00FA7C31"/>
    <w:rsid w:val="00FA7CC5"/>
    <w:rsid w:val="00FA7E7F"/>
    <w:rsid w:val="00FA7F9C"/>
    <w:rsid w:val="00FB0335"/>
    <w:rsid w:val="00FB0448"/>
    <w:rsid w:val="00FB049E"/>
    <w:rsid w:val="00FB04F4"/>
    <w:rsid w:val="00FB056D"/>
    <w:rsid w:val="00FB063D"/>
    <w:rsid w:val="00FB06A3"/>
    <w:rsid w:val="00FB072D"/>
    <w:rsid w:val="00FB07E1"/>
    <w:rsid w:val="00FB086F"/>
    <w:rsid w:val="00FB08A7"/>
    <w:rsid w:val="00FB08AF"/>
    <w:rsid w:val="00FB08B5"/>
    <w:rsid w:val="00FB099C"/>
    <w:rsid w:val="00FB0A95"/>
    <w:rsid w:val="00FB0B04"/>
    <w:rsid w:val="00FB0B24"/>
    <w:rsid w:val="00FB0B6E"/>
    <w:rsid w:val="00FB0BB1"/>
    <w:rsid w:val="00FB0BBA"/>
    <w:rsid w:val="00FB0BE5"/>
    <w:rsid w:val="00FB0CAF"/>
    <w:rsid w:val="00FB0E54"/>
    <w:rsid w:val="00FB0E74"/>
    <w:rsid w:val="00FB10D5"/>
    <w:rsid w:val="00FB118C"/>
    <w:rsid w:val="00FB14BF"/>
    <w:rsid w:val="00FB156F"/>
    <w:rsid w:val="00FB170A"/>
    <w:rsid w:val="00FB179A"/>
    <w:rsid w:val="00FB1824"/>
    <w:rsid w:val="00FB1880"/>
    <w:rsid w:val="00FB1912"/>
    <w:rsid w:val="00FB196B"/>
    <w:rsid w:val="00FB1A60"/>
    <w:rsid w:val="00FB1CA7"/>
    <w:rsid w:val="00FB1CED"/>
    <w:rsid w:val="00FB1DC6"/>
    <w:rsid w:val="00FB1DDF"/>
    <w:rsid w:val="00FB1E08"/>
    <w:rsid w:val="00FB1EA5"/>
    <w:rsid w:val="00FB1F49"/>
    <w:rsid w:val="00FB205F"/>
    <w:rsid w:val="00FB210F"/>
    <w:rsid w:val="00FB2146"/>
    <w:rsid w:val="00FB21DE"/>
    <w:rsid w:val="00FB221B"/>
    <w:rsid w:val="00FB22A7"/>
    <w:rsid w:val="00FB22AC"/>
    <w:rsid w:val="00FB2363"/>
    <w:rsid w:val="00FB2452"/>
    <w:rsid w:val="00FB24E9"/>
    <w:rsid w:val="00FB256E"/>
    <w:rsid w:val="00FB2650"/>
    <w:rsid w:val="00FB26C3"/>
    <w:rsid w:val="00FB26DD"/>
    <w:rsid w:val="00FB26E8"/>
    <w:rsid w:val="00FB2702"/>
    <w:rsid w:val="00FB2782"/>
    <w:rsid w:val="00FB282B"/>
    <w:rsid w:val="00FB293B"/>
    <w:rsid w:val="00FB2983"/>
    <w:rsid w:val="00FB2AAF"/>
    <w:rsid w:val="00FB2ADB"/>
    <w:rsid w:val="00FB2AE6"/>
    <w:rsid w:val="00FB2CFB"/>
    <w:rsid w:val="00FB2CFD"/>
    <w:rsid w:val="00FB2E56"/>
    <w:rsid w:val="00FB2FCE"/>
    <w:rsid w:val="00FB2FDE"/>
    <w:rsid w:val="00FB31C5"/>
    <w:rsid w:val="00FB31D8"/>
    <w:rsid w:val="00FB3290"/>
    <w:rsid w:val="00FB32EC"/>
    <w:rsid w:val="00FB3303"/>
    <w:rsid w:val="00FB3423"/>
    <w:rsid w:val="00FB36E8"/>
    <w:rsid w:val="00FB37D3"/>
    <w:rsid w:val="00FB37FC"/>
    <w:rsid w:val="00FB3809"/>
    <w:rsid w:val="00FB3832"/>
    <w:rsid w:val="00FB3872"/>
    <w:rsid w:val="00FB38AF"/>
    <w:rsid w:val="00FB39D6"/>
    <w:rsid w:val="00FB3A59"/>
    <w:rsid w:val="00FB3ABB"/>
    <w:rsid w:val="00FB3B47"/>
    <w:rsid w:val="00FB3B65"/>
    <w:rsid w:val="00FB3BB1"/>
    <w:rsid w:val="00FB3C1A"/>
    <w:rsid w:val="00FB3C67"/>
    <w:rsid w:val="00FB3C79"/>
    <w:rsid w:val="00FB3D58"/>
    <w:rsid w:val="00FB3DC8"/>
    <w:rsid w:val="00FB3E53"/>
    <w:rsid w:val="00FB3E7F"/>
    <w:rsid w:val="00FB3EDC"/>
    <w:rsid w:val="00FB3EE8"/>
    <w:rsid w:val="00FB3EE9"/>
    <w:rsid w:val="00FB4018"/>
    <w:rsid w:val="00FB40FB"/>
    <w:rsid w:val="00FB410C"/>
    <w:rsid w:val="00FB4368"/>
    <w:rsid w:val="00FB46A4"/>
    <w:rsid w:val="00FB478B"/>
    <w:rsid w:val="00FB4906"/>
    <w:rsid w:val="00FB4997"/>
    <w:rsid w:val="00FB4ACF"/>
    <w:rsid w:val="00FB4D3F"/>
    <w:rsid w:val="00FB4DA4"/>
    <w:rsid w:val="00FB4F0B"/>
    <w:rsid w:val="00FB4F4B"/>
    <w:rsid w:val="00FB501E"/>
    <w:rsid w:val="00FB5075"/>
    <w:rsid w:val="00FB507B"/>
    <w:rsid w:val="00FB50A5"/>
    <w:rsid w:val="00FB510D"/>
    <w:rsid w:val="00FB5157"/>
    <w:rsid w:val="00FB519D"/>
    <w:rsid w:val="00FB5211"/>
    <w:rsid w:val="00FB52AE"/>
    <w:rsid w:val="00FB54BF"/>
    <w:rsid w:val="00FB5548"/>
    <w:rsid w:val="00FB562E"/>
    <w:rsid w:val="00FB56B0"/>
    <w:rsid w:val="00FB578E"/>
    <w:rsid w:val="00FB57C9"/>
    <w:rsid w:val="00FB57E7"/>
    <w:rsid w:val="00FB58A6"/>
    <w:rsid w:val="00FB58E1"/>
    <w:rsid w:val="00FB593A"/>
    <w:rsid w:val="00FB5C0F"/>
    <w:rsid w:val="00FB5D4D"/>
    <w:rsid w:val="00FB5D95"/>
    <w:rsid w:val="00FB5DF4"/>
    <w:rsid w:val="00FB5E53"/>
    <w:rsid w:val="00FB6229"/>
    <w:rsid w:val="00FB63DB"/>
    <w:rsid w:val="00FB63EF"/>
    <w:rsid w:val="00FB6562"/>
    <w:rsid w:val="00FB65AA"/>
    <w:rsid w:val="00FB668D"/>
    <w:rsid w:val="00FB672C"/>
    <w:rsid w:val="00FB6884"/>
    <w:rsid w:val="00FB6971"/>
    <w:rsid w:val="00FB6A87"/>
    <w:rsid w:val="00FB6CD7"/>
    <w:rsid w:val="00FB6D9D"/>
    <w:rsid w:val="00FB6E5A"/>
    <w:rsid w:val="00FB6E96"/>
    <w:rsid w:val="00FB6FB1"/>
    <w:rsid w:val="00FB7025"/>
    <w:rsid w:val="00FB7029"/>
    <w:rsid w:val="00FB7039"/>
    <w:rsid w:val="00FB70C4"/>
    <w:rsid w:val="00FB714A"/>
    <w:rsid w:val="00FB7169"/>
    <w:rsid w:val="00FB71A7"/>
    <w:rsid w:val="00FB71AE"/>
    <w:rsid w:val="00FB71E6"/>
    <w:rsid w:val="00FB7409"/>
    <w:rsid w:val="00FB747C"/>
    <w:rsid w:val="00FB74C0"/>
    <w:rsid w:val="00FB74D1"/>
    <w:rsid w:val="00FB74E5"/>
    <w:rsid w:val="00FB74F9"/>
    <w:rsid w:val="00FB7515"/>
    <w:rsid w:val="00FB75DA"/>
    <w:rsid w:val="00FB77CC"/>
    <w:rsid w:val="00FB780D"/>
    <w:rsid w:val="00FB78A7"/>
    <w:rsid w:val="00FB7925"/>
    <w:rsid w:val="00FB7A72"/>
    <w:rsid w:val="00FB7E2E"/>
    <w:rsid w:val="00FB7E74"/>
    <w:rsid w:val="00FB7EEC"/>
    <w:rsid w:val="00FB7F7E"/>
    <w:rsid w:val="00FB7FAC"/>
    <w:rsid w:val="00FC0063"/>
    <w:rsid w:val="00FC00CD"/>
    <w:rsid w:val="00FC0283"/>
    <w:rsid w:val="00FC029F"/>
    <w:rsid w:val="00FC02BF"/>
    <w:rsid w:val="00FC030F"/>
    <w:rsid w:val="00FC032C"/>
    <w:rsid w:val="00FC0348"/>
    <w:rsid w:val="00FC0408"/>
    <w:rsid w:val="00FC059F"/>
    <w:rsid w:val="00FC05AF"/>
    <w:rsid w:val="00FC06BA"/>
    <w:rsid w:val="00FC074C"/>
    <w:rsid w:val="00FC08BF"/>
    <w:rsid w:val="00FC08DE"/>
    <w:rsid w:val="00FC0917"/>
    <w:rsid w:val="00FC09D0"/>
    <w:rsid w:val="00FC0A87"/>
    <w:rsid w:val="00FC0A88"/>
    <w:rsid w:val="00FC0B10"/>
    <w:rsid w:val="00FC0B5D"/>
    <w:rsid w:val="00FC0CFF"/>
    <w:rsid w:val="00FC1074"/>
    <w:rsid w:val="00FC1138"/>
    <w:rsid w:val="00FC12EE"/>
    <w:rsid w:val="00FC139E"/>
    <w:rsid w:val="00FC13E2"/>
    <w:rsid w:val="00FC13F7"/>
    <w:rsid w:val="00FC148D"/>
    <w:rsid w:val="00FC14AA"/>
    <w:rsid w:val="00FC14E5"/>
    <w:rsid w:val="00FC1519"/>
    <w:rsid w:val="00FC1524"/>
    <w:rsid w:val="00FC155B"/>
    <w:rsid w:val="00FC16A7"/>
    <w:rsid w:val="00FC1755"/>
    <w:rsid w:val="00FC1812"/>
    <w:rsid w:val="00FC1818"/>
    <w:rsid w:val="00FC1907"/>
    <w:rsid w:val="00FC1967"/>
    <w:rsid w:val="00FC198C"/>
    <w:rsid w:val="00FC1A6A"/>
    <w:rsid w:val="00FC1B0F"/>
    <w:rsid w:val="00FC1B2B"/>
    <w:rsid w:val="00FC1B72"/>
    <w:rsid w:val="00FC1C88"/>
    <w:rsid w:val="00FC1D46"/>
    <w:rsid w:val="00FC1DB1"/>
    <w:rsid w:val="00FC2186"/>
    <w:rsid w:val="00FC21E5"/>
    <w:rsid w:val="00FC22F4"/>
    <w:rsid w:val="00FC2344"/>
    <w:rsid w:val="00FC24E1"/>
    <w:rsid w:val="00FC24FC"/>
    <w:rsid w:val="00FC258A"/>
    <w:rsid w:val="00FC25DB"/>
    <w:rsid w:val="00FC2936"/>
    <w:rsid w:val="00FC2998"/>
    <w:rsid w:val="00FC29E6"/>
    <w:rsid w:val="00FC2ABB"/>
    <w:rsid w:val="00FC2AE9"/>
    <w:rsid w:val="00FC2B22"/>
    <w:rsid w:val="00FC2B41"/>
    <w:rsid w:val="00FC2BE7"/>
    <w:rsid w:val="00FC2C26"/>
    <w:rsid w:val="00FC2C74"/>
    <w:rsid w:val="00FC2D33"/>
    <w:rsid w:val="00FC2D9F"/>
    <w:rsid w:val="00FC2ED4"/>
    <w:rsid w:val="00FC2F47"/>
    <w:rsid w:val="00FC2F5F"/>
    <w:rsid w:val="00FC3019"/>
    <w:rsid w:val="00FC337E"/>
    <w:rsid w:val="00FC338E"/>
    <w:rsid w:val="00FC33B1"/>
    <w:rsid w:val="00FC348F"/>
    <w:rsid w:val="00FC350C"/>
    <w:rsid w:val="00FC3618"/>
    <w:rsid w:val="00FC361A"/>
    <w:rsid w:val="00FC3638"/>
    <w:rsid w:val="00FC370D"/>
    <w:rsid w:val="00FC376D"/>
    <w:rsid w:val="00FC37B8"/>
    <w:rsid w:val="00FC38BE"/>
    <w:rsid w:val="00FC399B"/>
    <w:rsid w:val="00FC3AD1"/>
    <w:rsid w:val="00FC3C05"/>
    <w:rsid w:val="00FC3EE4"/>
    <w:rsid w:val="00FC3FF8"/>
    <w:rsid w:val="00FC4009"/>
    <w:rsid w:val="00FC4034"/>
    <w:rsid w:val="00FC41A9"/>
    <w:rsid w:val="00FC41D4"/>
    <w:rsid w:val="00FC43E7"/>
    <w:rsid w:val="00FC4408"/>
    <w:rsid w:val="00FC4451"/>
    <w:rsid w:val="00FC4461"/>
    <w:rsid w:val="00FC448B"/>
    <w:rsid w:val="00FC448F"/>
    <w:rsid w:val="00FC44B9"/>
    <w:rsid w:val="00FC44D2"/>
    <w:rsid w:val="00FC4518"/>
    <w:rsid w:val="00FC471C"/>
    <w:rsid w:val="00FC474B"/>
    <w:rsid w:val="00FC487D"/>
    <w:rsid w:val="00FC48FE"/>
    <w:rsid w:val="00FC498E"/>
    <w:rsid w:val="00FC49B1"/>
    <w:rsid w:val="00FC49F8"/>
    <w:rsid w:val="00FC4A98"/>
    <w:rsid w:val="00FC4D7D"/>
    <w:rsid w:val="00FC4DE0"/>
    <w:rsid w:val="00FC4EA5"/>
    <w:rsid w:val="00FC50A8"/>
    <w:rsid w:val="00FC5148"/>
    <w:rsid w:val="00FC52F4"/>
    <w:rsid w:val="00FC5343"/>
    <w:rsid w:val="00FC538E"/>
    <w:rsid w:val="00FC53D9"/>
    <w:rsid w:val="00FC5441"/>
    <w:rsid w:val="00FC556D"/>
    <w:rsid w:val="00FC565E"/>
    <w:rsid w:val="00FC567B"/>
    <w:rsid w:val="00FC56F1"/>
    <w:rsid w:val="00FC5763"/>
    <w:rsid w:val="00FC589A"/>
    <w:rsid w:val="00FC5A2A"/>
    <w:rsid w:val="00FC5A30"/>
    <w:rsid w:val="00FC5B6B"/>
    <w:rsid w:val="00FC5BA0"/>
    <w:rsid w:val="00FC5C1E"/>
    <w:rsid w:val="00FC5CE4"/>
    <w:rsid w:val="00FC5D5B"/>
    <w:rsid w:val="00FC5DB8"/>
    <w:rsid w:val="00FC5DE9"/>
    <w:rsid w:val="00FC6014"/>
    <w:rsid w:val="00FC621C"/>
    <w:rsid w:val="00FC62D1"/>
    <w:rsid w:val="00FC6349"/>
    <w:rsid w:val="00FC6379"/>
    <w:rsid w:val="00FC6462"/>
    <w:rsid w:val="00FC6513"/>
    <w:rsid w:val="00FC660A"/>
    <w:rsid w:val="00FC660F"/>
    <w:rsid w:val="00FC666F"/>
    <w:rsid w:val="00FC6702"/>
    <w:rsid w:val="00FC67D5"/>
    <w:rsid w:val="00FC67FB"/>
    <w:rsid w:val="00FC68BC"/>
    <w:rsid w:val="00FC6935"/>
    <w:rsid w:val="00FC696D"/>
    <w:rsid w:val="00FC69C0"/>
    <w:rsid w:val="00FC6B83"/>
    <w:rsid w:val="00FC6C0B"/>
    <w:rsid w:val="00FC6D1B"/>
    <w:rsid w:val="00FC6DDD"/>
    <w:rsid w:val="00FC6E08"/>
    <w:rsid w:val="00FC6E9D"/>
    <w:rsid w:val="00FC6ED4"/>
    <w:rsid w:val="00FC6FC2"/>
    <w:rsid w:val="00FC70C6"/>
    <w:rsid w:val="00FC70EB"/>
    <w:rsid w:val="00FC7126"/>
    <w:rsid w:val="00FC717D"/>
    <w:rsid w:val="00FC7266"/>
    <w:rsid w:val="00FC7346"/>
    <w:rsid w:val="00FC7461"/>
    <w:rsid w:val="00FC7497"/>
    <w:rsid w:val="00FC75C9"/>
    <w:rsid w:val="00FC764F"/>
    <w:rsid w:val="00FC76F0"/>
    <w:rsid w:val="00FC772F"/>
    <w:rsid w:val="00FC777A"/>
    <w:rsid w:val="00FC7784"/>
    <w:rsid w:val="00FC784E"/>
    <w:rsid w:val="00FC7930"/>
    <w:rsid w:val="00FC79F0"/>
    <w:rsid w:val="00FC7A1C"/>
    <w:rsid w:val="00FC7A8F"/>
    <w:rsid w:val="00FC7B70"/>
    <w:rsid w:val="00FC7BA2"/>
    <w:rsid w:val="00FC7BFD"/>
    <w:rsid w:val="00FC7C3E"/>
    <w:rsid w:val="00FC7C47"/>
    <w:rsid w:val="00FC7C4D"/>
    <w:rsid w:val="00FC7C72"/>
    <w:rsid w:val="00FC7D17"/>
    <w:rsid w:val="00FC7F18"/>
    <w:rsid w:val="00FC7F59"/>
    <w:rsid w:val="00FC7FAC"/>
    <w:rsid w:val="00FD0021"/>
    <w:rsid w:val="00FD0131"/>
    <w:rsid w:val="00FD0240"/>
    <w:rsid w:val="00FD0289"/>
    <w:rsid w:val="00FD03C2"/>
    <w:rsid w:val="00FD047D"/>
    <w:rsid w:val="00FD04B0"/>
    <w:rsid w:val="00FD0552"/>
    <w:rsid w:val="00FD065A"/>
    <w:rsid w:val="00FD084B"/>
    <w:rsid w:val="00FD08EA"/>
    <w:rsid w:val="00FD0B91"/>
    <w:rsid w:val="00FD0BD5"/>
    <w:rsid w:val="00FD0E79"/>
    <w:rsid w:val="00FD0E81"/>
    <w:rsid w:val="00FD0EEA"/>
    <w:rsid w:val="00FD0F05"/>
    <w:rsid w:val="00FD0F65"/>
    <w:rsid w:val="00FD0FA2"/>
    <w:rsid w:val="00FD10EA"/>
    <w:rsid w:val="00FD122E"/>
    <w:rsid w:val="00FD1231"/>
    <w:rsid w:val="00FD1257"/>
    <w:rsid w:val="00FD1334"/>
    <w:rsid w:val="00FD1339"/>
    <w:rsid w:val="00FD135D"/>
    <w:rsid w:val="00FD1394"/>
    <w:rsid w:val="00FD13EC"/>
    <w:rsid w:val="00FD1404"/>
    <w:rsid w:val="00FD1502"/>
    <w:rsid w:val="00FD1614"/>
    <w:rsid w:val="00FD16B5"/>
    <w:rsid w:val="00FD16E0"/>
    <w:rsid w:val="00FD17C1"/>
    <w:rsid w:val="00FD1820"/>
    <w:rsid w:val="00FD18D9"/>
    <w:rsid w:val="00FD19EE"/>
    <w:rsid w:val="00FD1A03"/>
    <w:rsid w:val="00FD1A64"/>
    <w:rsid w:val="00FD1CAA"/>
    <w:rsid w:val="00FD1D71"/>
    <w:rsid w:val="00FD1D77"/>
    <w:rsid w:val="00FD1E7D"/>
    <w:rsid w:val="00FD1E92"/>
    <w:rsid w:val="00FD1FA4"/>
    <w:rsid w:val="00FD1FB7"/>
    <w:rsid w:val="00FD2029"/>
    <w:rsid w:val="00FD225B"/>
    <w:rsid w:val="00FD2348"/>
    <w:rsid w:val="00FD23A6"/>
    <w:rsid w:val="00FD23CA"/>
    <w:rsid w:val="00FD23E5"/>
    <w:rsid w:val="00FD2426"/>
    <w:rsid w:val="00FD24EC"/>
    <w:rsid w:val="00FD2527"/>
    <w:rsid w:val="00FD2632"/>
    <w:rsid w:val="00FD2658"/>
    <w:rsid w:val="00FD2759"/>
    <w:rsid w:val="00FD293F"/>
    <w:rsid w:val="00FD2950"/>
    <w:rsid w:val="00FD297D"/>
    <w:rsid w:val="00FD29BE"/>
    <w:rsid w:val="00FD2A29"/>
    <w:rsid w:val="00FD2AC8"/>
    <w:rsid w:val="00FD2AE4"/>
    <w:rsid w:val="00FD2B9D"/>
    <w:rsid w:val="00FD2ECF"/>
    <w:rsid w:val="00FD2FF3"/>
    <w:rsid w:val="00FD30B6"/>
    <w:rsid w:val="00FD3202"/>
    <w:rsid w:val="00FD3263"/>
    <w:rsid w:val="00FD326C"/>
    <w:rsid w:val="00FD32BB"/>
    <w:rsid w:val="00FD32F1"/>
    <w:rsid w:val="00FD330F"/>
    <w:rsid w:val="00FD3390"/>
    <w:rsid w:val="00FD339D"/>
    <w:rsid w:val="00FD33B8"/>
    <w:rsid w:val="00FD347D"/>
    <w:rsid w:val="00FD3507"/>
    <w:rsid w:val="00FD3552"/>
    <w:rsid w:val="00FD367A"/>
    <w:rsid w:val="00FD36A9"/>
    <w:rsid w:val="00FD36B5"/>
    <w:rsid w:val="00FD394D"/>
    <w:rsid w:val="00FD395F"/>
    <w:rsid w:val="00FD39C9"/>
    <w:rsid w:val="00FD3A91"/>
    <w:rsid w:val="00FD3AE6"/>
    <w:rsid w:val="00FD3B23"/>
    <w:rsid w:val="00FD3B88"/>
    <w:rsid w:val="00FD3BF5"/>
    <w:rsid w:val="00FD3C45"/>
    <w:rsid w:val="00FD3C71"/>
    <w:rsid w:val="00FD3CAD"/>
    <w:rsid w:val="00FD3DCD"/>
    <w:rsid w:val="00FD3E87"/>
    <w:rsid w:val="00FD3F33"/>
    <w:rsid w:val="00FD4079"/>
    <w:rsid w:val="00FD415F"/>
    <w:rsid w:val="00FD43AF"/>
    <w:rsid w:val="00FD4429"/>
    <w:rsid w:val="00FD4434"/>
    <w:rsid w:val="00FD452C"/>
    <w:rsid w:val="00FD457A"/>
    <w:rsid w:val="00FD46BF"/>
    <w:rsid w:val="00FD474B"/>
    <w:rsid w:val="00FD4810"/>
    <w:rsid w:val="00FD4831"/>
    <w:rsid w:val="00FD4911"/>
    <w:rsid w:val="00FD49E5"/>
    <w:rsid w:val="00FD4A37"/>
    <w:rsid w:val="00FD4BD7"/>
    <w:rsid w:val="00FD4CF0"/>
    <w:rsid w:val="00FD4DCB"/>
    <w:rsid w:val="00FD4E5C"/>
    <w:rsid w:val="00FD4EA9"/>
    <w:rsid w:val="00FD4EC5"/>
    <w:rsid w:val="00FD4EEB"/>
    <w:rsid w:val="00FD4FBB"/>
    <w:rsid w:val="00FD5059"/>
    <w:rsid w:val="00FD50E6"/>
    <w:rsid w:val="00FD50FC"/>
    <w:rsid w:val="00FD510D"/>
    <w:rsid w:val="00FD51D2"/>
    <w:rsid w:val="00FD5266"/>
    <w:rsid w:val="00FD52E5"/>
    <w:rsid w:val="00FD53ED"/>
    <w:rsid w:val="00FD5715"/>
    <w:rsid w:val="00FD574E"/>
    <w:rsid w:val="00FD584B"/>
    <w:rsid w:val="00FD595D"/>
    <w:rsid w:val="00FD5A0F"/>
    <w:rsid w:val="00FD5A14"/>
    <w:rsid w:val="00FD5A86"/>
    <w:rsid w:val="00FD5AD4"/>
    <w:rsid w:val="00FD5B56"/>
    <w:rsid w:val="00FD5CC9"/>
    <w:rsid w:val="00FD5D18"/>
    <w:rsid w:val="00FD5D3B"/>
    <w:rsid w:val="00FD5E4F"/>
    <w:rsid w:val="00FD5F01"/>
    <w:rsid w:val="00FD5F52"/>
    <w:rsid w:val="00FD611A"/>
    <w:rsid w:val="00FD61FB"/>
    <w:rsid w:val="00FD626E"/>
    <w:rsid w:val="00FD63A2"/>
    <w:rsid w:val="00FD63CE"/>
    <w:rsid w:val="00FD644E"/>
    <w:rsid w:val="00FD64AC"/>
    <w:rsid w:val="00FD6529"/>
    <w:rsid w:val="00FD657C"/>
    <w:rsid w:val="00FD65D6"/>
    <w:rsid w:val="00FD6713"/>
    <w:rsid w:val="00FD689E"/>
    <w:rsid w:val="00FD6A1C"/>
    <w:rsid w:val="00FD6BA3"/>
    <w:rsid w:val="00FD6BBA"/>
    <w:rsid w:val="00FD6D11"/>
    <w:rsid w:val="00FD6D7B"/>
    <w:rsid w:val="00FD6EA6"/>
    <w:rsid w:val="00FD7137"/>
    <w:rsid w:val="00FD7189"/>
    <w:rsid w:val="00FD7191"/>
    <w:rsid w:val="00FD7221"/>
    <w:rsid w:val="00FD723C"/>
    <w:rsid w:val="00FD7522"/>
    <w:rsid w:val="00FD75F3"/>
    <w:rsid w:val="00FD765E"/>
    <w:rsid w:val="00FD772A"/>
    <w:rsid w:val="00FD777D"/>
    <w:rsid w:val="00FD77F7"/>
    <w:rsid w:val="00FD7833"/>
    <w:rsid w:val="00FD7979"/>
    <w:rsid w:val="00FD7A19"/>
    <w:rsid w:val="00FD7AA9"/>
    <w:rsid w:val="00FD7C46"/>
    <w:rsid w:val="00FD7C89"/>
    <w:rsid w:val="00FD7CC8"/>
    <w:rsid w:val="00FD7D8B"/>
    <w:rsid w:val="00FD7FC6"/>
    <w:rsid w:val="00FDBBAB"/>
    <w:rsid w:val="00FE0040"/>
    <w:rsid w:val="00FE005A"/>
    <w:rsid w:val="00FE016C"/>
    <w:rsid w:val="00FE02A0"/>
    <w:rsid w:val="00FE0354"/>
    <w:rsid w:val="00FE03F3"/>
    <w:rsid w:val="00FE0422"/>
    <w:rsid w:val="00FE04C5"/>
    <w:rsid w:val="00FE064B"/>
    <w:rsid w:val="00FE06B0"/>
    <w:rsid w:val="00FE0787"/>
    <w:rsid w:val="00FE07A3"/>
    <w:rsid w:val="00FE0882"/>
    <w:rsid w:val="00FE0904"/>
    <w:rsid w:val="00FE09BB"/>
    <w:rsid w:val="00FE09C4"/>
    <w:rsid w:val="00FE09CE"/>
    <w:rsid w:val="00FE0C8A"/>
    <w:rsid w:val="00FE0CCB"/>
    <w:rsid w:val="00FE0D8C"/>
    <w:rsid w:val="00FE0DEB"/>
    <w:rsid w:val="00FE0EF7"/>
    <w:rsid w:val="00FE0F0C"/>
    <w:rsid w:val="00FE0F5D"/>
    <w:rsid w:val="00FE0F65"/>
    <w:rsid w:val="00FE0FCC"/>
    <w:rsid w:val="00FE0FE3"/>
    <w:rsid w:val="00FE110B"/>
    <w:rsid w:val="00FE111C"/>
    <w:rsid w:val="00FE127B"/>
    <w:rsid w:val="00FE13CE"/>
    <w:rsid w:val="00FE1482"/>
    <w:rsid w:val="00FE1505"/>
    <w:rsid w:val="00FE1685"/>
    <w:rsid w:val="00FE1781"/>
    <w:rsid w:val="00FE1799"/>
    <w:rsid w:val="00FE19C6"/>
    <w:rsid w:val="00FE1B3E"/>
    <w:rsid w:val="00FE1F91"/>
    <w:rsid w:val="00FE1FA8"/>
    <w:rsid w:val="00FE1FFC"/>
    <w:rsid w:val="00FE201F"/>
    <w:rsid w:val="00FE2076"/>
    <w:rsid w:val="00FE2115"/>
    <w:rsid w:val="00FE21D9"/>
    <w:rsid w:val="00FE223B"/>
    <w:rsid w:val="00FE249B"/>
    <w:rsid w:val="00FE2531"/>
    <w:rsid w:val="00FE2635"/>
    <w:rsid w:val="00FE2654"/>
    <w:rsid w:val="00FE2844"/>
    <w:rsid w:val="00FE2883"/>
    <w:rsid w:val="00FE28A8"/>
    <w:rsid w:val="00FE2926"/>
    <w:rsid w:val="00FE29B1"/>
    <w:rsid w:val="00FE2A8C"/>
    <w:rsid w:val="00FE2BC8"/>
    <w:rsid w:val="00FE2BD3"/>
    <w:rsid w:val="00FE2C16"/>
    <w:rsid w:val="00FE2DB7"/>
    <w:rsid w:val="00FE2EC3"/>
    <w:rsid w:val="00FE2EFC"/>
    <w:rsid w:val="00FE2F3E"/>
    <w:rsid w:val="00FE2F6C"/>
    <w:rsid w:val="00FE2FA2"/>
    <w:rsid w:val="00FE303E"/>
    <w:rsid w:val="00FE313E"/>
    <w:rsid w:val="00FE31A7"/>
    <w:rsid w:val="00FE321C"/>
    <w:rsid w:val="00FE3430"/>
    <w:rsid w:val="00FE3524"/>
    <w:rsid w:val="00FE363A"/>
    <w:rsid w:val="00FE363F"/>
    <w:rsid w:val="00FE376B"/>
    <w:rsid w:val="00FE37E8"/>
    <w:rsid w:val="00FE39C5"/>
    <w:rsid w:val="00FE3AFA"/>
    <w:rsid w:val="00FE3AFF"/>
    <w:rsid w:val="00FE3B91"/>
    <w:rsid w:val="00FE3C61"/>
    <w:rsid w:val="00FE3CF9"/>
    <w:rsid w:val="00FE3D1C"/>
    <w:rsid w:val="00FE3DE1"/>
    <w:rsid w:val="00FE3DE9"/>
    <w:rsid w:val="00FE3FC2"/>
    <w:rsid w:val="00FE41A2"/>
    <w:rsid w:val="00FE42B5"/>
    <w:rsid w:val="00FE42D2"/>
    <w:rsid w:val="00FE430E"/>
    <w:rsid w:val="00FE4386"/>
    <w:rsid w:val="00FE43A1"/>
    <w:rsid w:val="00FE4457"/>
    <w:rsid w:val="00FE448B"/>
    <w:rsid w:val="00FE459C"/>
    <w:rsid w:val="00FE45AB"/>
    <w:rsid w:val="00FE48D4"/>
    <w:rsid w:val="00FE4908"/>
    <w:rsid w:val="00FE4AF7"/>
    <w:rsid w:val="00FE4BDA"/>
    <w:rsid w:val="00FE4DFB"/>
    <w:rsid w:val="00FE4DFE"/>
    <w:rsid w:val="00FE4E87"/>
    <w:rsid w:val="00FE4E97"/>
    <w:rsid w:val="00FE4FE1"/>
    <w:rsid w:val="00FE5042"/>
    <w:rsid w:val="00FE515F"/>
    <w:rsid w:val="00FE520A"/>
    <w:rsid w:val="00FE52EE"/>
    <w:rsid w:val="00FE5327"/>
    <w:rsid w:val="00FE5347"/>
    <w:rsid w:val="00FE536D"/>
    <w:rsid w:val="00FE53AB"/>
    <w:rsid w:val="00FE54F9"/>
    <w:rsid w:val="00FE5540"/>
    <w:rsid w:val="00FE5808"/>
    <w:rsid w:val="00FE5863"/>
    <w:rsid w:val="00FE5909"/>
    <w:rsid w:val="00FE5990"/>
    <w:rsid w:val="00FE5B94"/>
    <w:rsid w:val="00FE5C54"/>
    <w:rsid w:val="00FE5CE1"/>
    <w:rsid w:val="00FE5D81"/>
    <w:rsid w:val="00FE5E61"/>
    <w:rsid w:val="00FE5F45"/>
    <w:rsid w:val="00FE5F78"/>
    <w:rsid w:val="00FE5F8D"/>
    <w:rsid w:val="00FE6103"/>
    <w:rsid w:val="00FE6290"/>
    <w:rsid w:val="00FE6301"/>
    <w:rsid w:val="00FE6455"/>
    <w:rsid w:val="00FE655C"/>
    <w:rsid w:val="00FE6641"/>
    <w:rsid w:val="00FE66D0"/>
    <w:rsid w:val="00FE6792"/>
    <w:rsid w:val="00FE684D"/>
    <w:rsid w:val="00FE689A"/>
    <w:rsid w:val="00FE68E9"/>
    <w:rsid w:val="00FE68F2"/>
    <w:rsid w:val="00FE6915"/>
    <w:rsid w:val="00FE694E"/>
    <w:rsid w:val="00FE6991"/>
    <w:rsid w:val="00FE6ADC"/>
    <w:rsid w:val="00FE6AEB"/>
    <w:rsid w:val="00FE6C5C"/>
    <w:rsid w:val="00FE6D00"/>
    <w:rsid w:val="00FE6D79"/>
    <w:rsid w:val="00FE6DDB"/>
    <w:rsid w:val="00FE6DF5"/>
    <w:rsid w:val="00FE6E2A"/>
    <w:rsid w:val="00FE6FEC"/>
    <w:rsid w:val="00FE702E"/>
    <w:rsid w:val="00FE70E2"/>
    <w:rsid w:val="00FE70FD"/>
    <w:rsid w:val="00FE737E"/>
    <w:rsid w:val="00FE73CA"/>
    <w:rsid w:val="00FE740C"/>
    <w:rsid w:val="00FE743F"/>
    <w:rsid w:val="00FE746B"/>
    <w:rsid w:val="00FE7509"/>
    <w:rsid w:val="00FE759E"/>
    <w:rsid w:val="00FE75BB"/>
    <w:rsid w:val="00FE76E8"/>
    <w:rsid w:val="00FE780A"/>
    <w:rsid w:val="00FE785A"/>
    <w:rsid w:val="00FE7940"/>
    <w:rsid w:val="00FE7B99"/>
    <w:rsid w:val="00FE7BA8"/>
    <w:rsid w:val="00FE7D86"/>
    <w:rsid w:val="00FE7E66"/>
    <w:rsid w:val="00FF00B1"/>
    <w:rsid w:val="00FF0200"/>
    <w:rsid w:val="00FF0381"/>
    <w:rsid w:val="00FF0395"/>
    <w:rsid w:val="00FF03B9"/>
    <w:rsid w:val="00FF0419"/>
    <w:rsid w:val="00FF04AE"/>
    <w:rsid w:val="00FF05B2"/>
    <w:rsid w:val="00FF061B"/>
    <w:rsid w:val="00FF0647"/>
    <w:rsid w:val="00FF0740"/>
    <w:rsid w:val="00FF079F"/>
    <w:rsid w:val="00FF07FA"/>
    <w:rsid w:val="00FF08D7"/>
    <w:rsid w:val="00FF0983"/>
    <w:rsid w:val="00FF0997"/>
    <w:rsid w:val="00FF0A78"/>
    <w:rsid w:val="00FF0B02"/>
    <w:rsid w:val="00FF0B14"/>
    <w:rsid w:val="00FF0B4A"/>
    <w:rsid w:val="00FF0C1E"/>
    <w:rsid w:val="00FF0CB2"/>
    <w:rsid w:val="00FF0E39"/>
    <w:rsid w:val="00FF0EF6"/>
    <w:rsid w:val="00FF10A1"/>
    <w:rsid w:val="00FF1314"/>
    <w:rsid w:val="00FF1351"/>
    <w:rsid w:val="00FF1368"/>
    <w:rsid w:val="00FF14D3"/>
    <w:rsid w:val="00FF15AF"/>
    <w:rsid w:val="00FF15F3"/>
    <w:rsid w:val="00FF1663"/>
    <w:rsid w:val="00FF16A9"/>
    <w:rsid w:val="00FF16BD"/>
    <w:rsid w:val="00FF186D"/>
    <w:rsid w:val="00FF1971"/>
    <w:rsid w:val="00FF1986"/>
    <w:rsid w:val="00FF19CB"/>
    <w:rsid w:val="00FF1A1C"/>
    <w:rsid w:val="00FF1AAA"/>
    <w:rsid w:val="00FF1C3F"/>
    <w:rsid w:val="00FF1D12"/>
    <w:rsid w:val="00FF1D1F"/>
    <w:rsid w:val="00FF1E66"/>
    <w:rsid w:val="00FF1F22"/>
    <w:rsid w:val="00FF1F8C"/>
    <w:rsid w:val="00FF22ED"/>
    <w:rsid w:val="00FF2418"/>
    <w:rsid w:val="00FF255C"/>
    <w:rsid w:val="00FF25B0"/>
    <w:rsid w:val="00FF25C8"/>
    <w:rsid w:val="00FF2A9F"/>
    <w:rsid w:val="00FF2ADA"/>
    <w:rsid w:val="00FF2BB0"/>
    <w:rsid w:val="00FF2BD4"/>
    <w:rsid w:val="00FF2D6A"/>
    <w:rsid w:val="00FF2E43"/>
    <w:rsid w:val="00FF2E50"/>
    <w:rsid w:val="00FF31AD"/>
    <w:rsid w:val="00FF322C"/>
    <w:rsid w:val="00FF32AF"/>
    <w:rsid w:val="00FF339B"/>
    <w:rsid w:val="00FF33E3"/>
    <w:rsid w:val="00FF3406"/>
    <w:rsid w:val="00FF3407"/>
    <w:rsid w:val="00FF3620"/>
    <w:rsid w:val="00FF370F"/>
    <w:rsid w:val="00FF382E"/>
    <w:rsid w:val="00FF382F"/>
    <w:rsid w:val="00FF386F"/>
    <w:rsid w:val="00FF3A27"/>
    <w:rsid w:val="00FF3C7A"/>
    <w:rsid w:val="00FF3CF9"/>
    <w:rsid w:val="00FF3D59"/>
    <w:rsid w:val="00FF3D95"/>
    <w:rsid w:val="00FF3E48"/>
    <w:rsid w:val="00FF403D"/>
    <w:rsid w:val="00FF408B"/>
    <w:rsid w:val="00FF4090"/>
    <w:rsid w:val="00FF414E"/>
    <w:rsid w:val="00FF41FA"/>
    <w:rsid w:val="00FF439A"/>
    <w:rsid w:val="00FF43BC"/>
    <w:rsid w:val="00FF443D"/>
    <w:rsid w:val="00FF4440"/>
    <w:rsid w:val="00FF45CD"/>
    <w:rsid w:val="00FF4604"/>
    <w:rsid w:val="00FF474B"/>
    <w:rsid w:val="00FF496C"/>
    <w:rsid w:val="00FF4998"/>
    <w:rsid w:val="00FF4A0F"/>
    <w:rsid w:val="00FF4A28"/>
    <w:rsid w:val="00FF4B78"/>
    <w:rsid w:val="00FF4BCE"/>
    <w:rsid w:val="00FF4CBD"/>
    <w:rsid w:val="00FF4FBF"/>
    <w:rsid w:val="00FF5106"/>
    <w:rsid w:val="00FF5107"/>
    <w:rsid w:val="00FF5154"/>
    <w:rsid w:val="00FF5204"/>
    <w:rsid w:val="00FF525B"/>
    <w:rsid w:val="00FF52EA"/>
    <w:rsid w:val="00FF5305"/>
    <w:rsid w:val="00FF5345"/>
    <w:rsid w:val="00FF536A"/>
    <w:rsid w:val="00FF53F6"/>
    <w:rsid w:val="00FF53FD"/>
    <w:rsid w:val="00FF55A0"/>
    <w:rsid w:val="00FF5605"/>
    <w:rsid w:val="00FF5646"/>
    <w:rsid w:val="00FF565F"/>
    <w:rsid w:val="00FF56E4"/>
    <w:rsid w:val="00FF5812"/>
    <w:rsid w:val="00FF59BC"/>
    <w:rsid w:val="00FF59F8"/>
    <w:rsid w:val="00FF5ACD"/>
    <w:rsid w:val="00FF5B54"/>
    <w:rsid w:val="00FF5B93"/>
    <w:rsid w:val="00FF5BCE"/>
    <w:rsid w:val="00FF5C74"/>
    <w:rsid w:val="00FF5CBA"/>
    <w:rsid w:val="00FF5D32"/>
    <w:rsid w:val="00FF5E37"/>
    <w:rsid w:val="00FF5EE3"/>
    <w:rsid w:val="00FF5EEE"/>
    <w:rsid w:val="00FF5F10"/>
    <w:rsid w:val="00FF5F12"/>
    <w:rsid w:val="00FF5F37"/>
    <w:rsid w:val="00FF5F88"/>
    <w:rsid w:val="00FF5FD4"/>
    <w:rsid w:val="00FF60D4"/>
    <w:rsid w:val="00FF60FD"/>
    <w:rsid w:val="00FF6104"/>
    <w:rsid w:val="00FF61C4"/>
    <w:rsid w:val="00FF6280"/>
    <w:rsid w:val="00FF63E7"/>
    <w:rsid w:val="00FF64A2"/>
    <w:rsid w:val="00FF64B6"/>
    <w:rsid w:val="00FF6502"/>
    <w:rsid w:val="00FF6631"/>
    <w:rsid w:val="00FF6761"/>
    <w:rsid w:val="00FF68DE"/>
    <w:rsid w:val="00FF693B"/>
    <w:rsid w:val="00FF6980"/>
    <w:rsid w:val="00FF6AB2"/>
    <w:rsid w:val="00FF6C53"/>
    <w:rsid w:val="00FF6D18"/>
    <w:rsid w:val="00FF6D34"/>
    <w:rsid w:val="00FF6D8F"/>
    <w:rsid w:val="00FF6F55"/>
    <w:rsid w:val="00FF7015"/>
    <w:rsid w:val="00FF71D3"/>
    <w:rsid w:val="00FF71D7"/>
    <w:rsid w:val="00FF7200"/>
    <w:rsid w:val="00FF72CA"/>
    <w:rsid w:val="00FF7359"/>
    <w:rsid w:val="00FF7455"/>
    <w:rsid w:val="00FF767D"/>
    <w:rsid w:val="00FF7718"/>
    <w:rsid w:val="00FF7721"/>
    <w:rsid w:val="00FF7724"/>
    <w:rsid w:val="00FF7960"/>
    <w:rsid w:val="00FF7ADC"/>
    <w:rsid w:val="00FF7B17"/>
    <w:rsid w:val="00FF7B76"/>
    <w:rsid w:val="00FF7CF9"/>
    <w:rsid w:val="00FF7D04"/>
    <w:rsid w:val="00FF7E9F"/>
    <w:rsid w:val="00FF7FAA"/>
    <w:rsid w:val="0100704A"/>
    <w:rsid w:val="014BFF96"/>
    <w:rsid w:val="015A0E93"/>
    <w:rsid w:val="01676E12"/>
    <w:rsid w:val="0167A94B"/>
    <w:rsid w:val="017903CB"/>
    <w:rsid w:val="018A3AF0"/>
    <w:rsid w:val="01A52841"/>
    <w:rsid w:val="01AC2566"/>
    <w:rsid w:val="01E4F9FE"/>
    <w:rsid w:val="01EA9762"/>
    <w:rsid w:val="01EEA034"/>
    <w:rsid w:val="021213FB"/>
    <w:rsid w:val="024636F3"/>
    <w:rsid w:val="02500BC6"/>
    <w:rsid w:val="02515693"/>
    <w:rsid w:val="028D12AC"/>
    <w:rsid w:val="029F1A09"/>
    <w:rsid w:val="02A47F63"/>
    <w:rsid w:val="02A7705F"/>
    <w:rsid w:val="02B1E227"/>
    <w:rsid w:val="02D6D9B9"/>
    <w:rsid w:val="02F3D704"/>
    <w:rsid w:val="030AFB17"/>
    <w:rsid w:val="03232AD0"/>
    <w:rsid w:val="036FACE8"/>
    <w:rsid w:val="0383BAF9"/>
    <w:rsid w:val="039513D5"/>
    <w:rsid w:val="03A19B1F"/>
    <w:rsid w:val="03AE7CE1"/>
    <w:rsid w:val="03C23733"/>
    <w:rsid w:val="03C3809B"/>
    <w:rsid w:val="03D4770C"/>
    <w:rsid w:val="03E072C0"/>
    <w:rsid w:val="040A1398"/>
    <w:rsid w:val="04156245"/>
    <w:rsid w:val="04348844"/>
    <w:rsid w:val="04434628"/>
    <w:rsid w:val="04914D37"/>
    <w:rsid w:val="0493C125"/>
    <w:rsid w:val="04A6F34C"/>
    <w:rsid w:val="04E6D25E"/>
    <w:rsid w:val="04EE856B"/>
    <w:rsid w:val="04F908B5"/>
    <w:rsid w:val="051002B7"/>
    <w:rsid w:val="051458FD"/>
    <w:rsid w:val="0553B73B"/>
    <w:rsid w:val="05592608"/>
    <w:rsid w:val="057222E1"/>
    <w:rsid w:val="0587B742"/>
    <w:rsid w:val="0593D14E"/>
    <w:rsid w:val="059E3390"/>
    <w:rsid w:val="05A26DC3"/>
    <w:rsid w:val="05A9086E"/>
    <w:rsid w:val="05A93765"/>
    <w:rsid w:val="05BE2328"/>
    <w:rsid w:val="05DE8EC1"/>
    <w:rsid w:val="05EC2C0D"/>
    <w:rsid w:val="05F4146A"/>
    <w:rsid w:val="061115C8"/>
    <w:rsid w:val="061D75C4"/>
    <w:rsid w:val="061F2F89"/>
    <w:rsid w:val="065B5373"/>
    <w:rsid w:val="066448CA"/>
    <w:rsid w:val="067A88FB"/>
    <w:rsid w:val="0681EAB0"/>
    <w:rsid w:val="068636C5"/>
    <w:rsid w:val="0697FFCA"/>
    <w:rsid w:val="06A29D44"/>
    <w:rsid w:val="06ABAB0E"/>
    <w:rsid w:val="06B40C37"/>
    <w:rsid w:val="06BA3C77"/>
    <w:rsid w:val="06C3F18E"/>
    <w:rsid w:val="06FED6D1"/>
    <w:rsid w:val="073A6CC8"/>
    <w:rsid w:val="076E2299"/>
    <w:rsid w:val="07B5BD05"/>
    <w:rsid w:val="07C15584"/>
    <w:rsid w:val="07DB0299"/>
    <w:rsid w:val="07E1D098"/>
    <w:rsid w:val="07ECB883"/>
    <w:rsid w:val="081C549F"/>
    <w:rsid w:val="08235EB1"/>
    <w:rsid w:val="084CC025"/>
    <w:rsid w:val="08622C0E"/>
    <w:rsid w:val="086519A3"/>
    <w:rsid w:val="0874F1B0"/>
    <w:rsid w:val="08844808"/>
    <w:rsid w:val="0884A196"/>
    <w:rsid w:val="08B09ECC"/>
    <w:rsid w:val="08B882B4"/>
    <w:rsid w:val="08CB8595"/>
    <w:rsid w:val="08CE53A8"/>
    <w:rsid w:val="08F68591"/>
    <w:rsid w:val="0904CEB4"/>
    <w:rsid w:val="09107552"/>
    <w:rsid w:val="094A62D4"/>
    <w:rsid w:val="094DD3EE"/>
    <w:rsid w:val="095D1B76"/>
    <w:rsid w:val="09B601B4"/>
    <w:rsid w:val="09DFE7E2"/>
    <w:rsid w:val="09E03D9C"/>
    <w:rsid w:val="09ECF06D"/>
    <w:rsid w:val="09FAD9AB"/>
    <w:rsid w:val="0A23EE05"/>
    <w:rsid w:val="0A57DAEA"/>
    <w:rsid w:val="0A741CE6"/>
    <w:rsid w:val="0A7EDD2E"/>
    <w:rsid w:val="0A85D555"/>
    <w:rsid w:val="0A955564"/>
    <w:rsid w:val="0A986294"/>
    <w:rsid w:val="0AB568CC"/>
    <w:rsid w:val="0AF78546"/>
    <w:rsid w:val="0B09EDB4"/>
    <w:rsid w:val="0B0D51B2"/>
    <w:rsid w:val="0B0DD482"/>
    <w:rsid w:val="0B1DBDE6"/>
    <w:rsid w:val="0B2E8379"/>
    <w:rsid w:val="0B4472AD"/>
    <w:rsid w:val="0B58AE33"/>
    <w:rsid w:val="0BA7D3F0"/>
    <w:rsid w:val="0BB599FF"/>
    <w:rsid w:val="0BD7CE27"/>
    <w:rsid w:val="0BEEBC21"/>
    <w:rsid w:val="0C04E4F9"/>
    <w:rsid w:val="0C3189B4"/>
    <w:rsid w:val="0C425170"/>
    <w:rsid w:val="0C560DAB"/>
    <w:rsid w:val="0C6802BD"/>
    <w:rsid w:val="0C71E3A8"/>
    <w:rsid w:val="0C722AC9"/>
    <w:rsid w:val="0C8090B5"/>
    <w:rsid w:val="0C9AC7EC"/>
    <w:rsid w:val="0CB664B1"/>
    <w:rsid w:val="0CDA9A2D"/>
    <w:rsid w:val="0CF7ADA1"/>
    <w:rsid w:val="0D2EE0AF"/>
    <w:rsid w:val="0D4A9718"/>
    <w:rsid w:val="0D73939B"/>
    <w:rsid w:val="0D7C7B8D"/>
    <w:rsid w:val="0D88A76D"/>
    <w:rsid w:val="0D8F8692"/>
    <w:rsid w:val="0DB50807"/>
    <w:rsid w:val="0DD55680"/>
    <w:rsid w:val="0DD8B713"/>
    <w:rsid w:val="0DDED029"/>
    <w:rsid w:val="0DE68755"/>
    <w:rsid w:val="0DEB139D"/>
    <w:rsid w:val="0DF0A270"/>
    <w:rsid w:val="0DFD3837"/>
    <w:rsid w:val="0E0238B6"/>
    <w:rsid w:val="0E08BF0B"/>
    <w:rsid w:val="0E0B8182"/>
    <w:rsid w:val="0E12179B"/>
    <w:rsid w:val="0E21EE3E"/>
    <w:rsid w:val="0E62E502"/>
    <w:rsid w:val="0EA95BA0"/>
    <w:rsid w:val="0EAC8B08"/>
    <w:rsid w:val="0EBA829A"/>
    <w:rsid w:val="0ED3560A"/>
    <w:rsid w:val="0ED98A8A"/>
    <w:rsid w:val="0EDF9469"/>
    <w:rsid w:val="0EE4325C"/>
    <w:rsid w:val="0F0CAF1E"/>
    <w:rsid w:val="0F123BF0"/>
    <w:rsid w:val="0F2A5720"/>
    <w:rsid w:val="0F3D7AEC"/>
    <w:rsid w:val="0F4C05CC"/>
    <w:rsid w:val="0F642721"/>
    <w:rsid w:val="0F681FB9"/>
    <w:rsid w:val="0F98F464"/>
    <w:rsid w:val="0FA8C96F"/>
    <w:rsid w:val="0FB1D9EF"/>
    <w:rsid w:val="0FBB42AA"/>
    <w:rsid w:val="0FBB9D9D"/>
    <w:rsid w:val="0FC13298"/>
    <w:rsid w:val="0FDD93DE"/>
    <w:rsid w:val="10418029"/>
    <w:rsid w:val="104CB963"/>
    <w:rsid w:val="10534174"/>
    <w:rsid w:val="10745A23"/>
    <w:rsid w:val="10A383D2"/>
    <w:rsid w:val="10C00061"/>
    <w:rsid w:val="10E5FA57"/>
    <w:rsid w:val="111E2CBD"/>
    <w:rsid w:val="115A2BCF"/>
    <w:rsid w:val="115A48FA"/>
    <w:rsid w:val="1167B16B"/>
    <w:rsid w:val="116EF399"/>
    <w:rsid w:val="118B6315"/>
    <w:rsid w:val="1194FF2A"/>
    <w:rsid w:val="11AE54A4"/>
    <w:rsid w:val="11B56419"/>
    <w:rsid w:val="11C1294B"/>
    <w:rsid w:val="11C27F01"/>
    <w:rsid w:val="11F635C4"/>
    <w:rsid w:val="120275F5"/>
    <w:rsid w:val="120E811B"/>
    <w:rsid w:val="12152CDF"/>
    <w:rsid w:val="1253D619"/>
    <w:rsid w:val="1256CA46"/>
    <w:rsid w:val="1257E40A"/>
    <w:rsid w:val="12B03BA8"/>
    <w:rsid w:val="13085FF9"/>
    <w:rsid w:val="1332DC2C"/>
    <w:rsid w:val="136CA3BF"/>
    <w:rsid w:val="137B5431"/>
    <w:rsid w:val="13824349"/>
    <w:rsid w:val="1383DAD8"/>
    <w:rsid w:val="13874AA1"/>
    <w:rsid w:val="13AA0C84"/>
    <w:rsid w:val="13CB33EF"/>
    <w:rsid w:val="13D7BB63"/>
    <w:rsid w:val="14048C7B"/>
    <w:rsid w:val="141618B5"/>
    <w:rsid w:val="141FF0EE"/>
    <w:rsid w:val="142B836A"/>
    <w:rsid w:val="14301ED6"/>
    <w:rsid w:val="146118AB"/>
    <w:rsid w:val="1472FB22"/>
    <w:rsid w:val="147BF317"/>
    <w:rsid w:val="14AC6A7E"/>
    <w:rsid w:val="14BC6EAE"/>
    <w:rsid w:val="14C40FCB"/>
    <w:rsid w:val="14D0C91E"/>
    <w:rsid w:val="14E16A4B"/>
    <w:rsid w:val="14F0D1E3"/>
    <w:rsid w:val="1518E04E"/>
    <w:rsid w:val="151D41B8"/>
    <w:rsid w:val="15262FAD"/>
    <w:rsid w:val="153FFB91"/>
    <w:rsid w:val="154B3DE1"/>
    <w:rsid w:val="1593F8FB"/>
    <w:rsid w:val="159795EE"/>
    <w:rsid w:val="159DF21E"/>
    <w:rsid w:val="15A338F7"/>
    <w:rsid w:val="15F23B4E"/>
    <w:rsid w:val="15F4C655"/>
    <w:rsid w:val="165DA2AE"/>
    <w:rsid w:val="169057F9"/>
    <w:rsid w:val="169C483A"/>
    <w:rsid w:val="16A6B3B1"/>
    <w:rsid w:val="16C6293B"/>
    <w:rsid w:val="16D4EC44"/>
    <w:rsid w:val="16D96BFD"/>
    <w:rsid w:val="1718BDC0"/>
    <w:rsid w:val="174382A9"/>
    <w:rsid w:val="1743EDD3"/>
    <w:rsid w:val="17472293"/>
    <w:rsid w:val="176B92EA"/>
    <w:rsid w:val="178775E7"/>
    <w:rsid w:val="178DFF0D"/>
    <w:rsid w:val="17ACB44B"/>
    <w:rsid w:val="17C8CABB"/>
    <w:rsid w:val="17C91DF5"/>
    <w:rsid w:val="17EAF54C"/>
    <w:rsid w:val="1855D5FB"/>
    <w:rsid w:val="18858CBF"/>
    <w:rsid w:val="189B79A7"/>
    <w:rsid w:val="18A51292"/>
    <w:rsid w:val="18B14340"/>
    <w:rsid w:val="18C0FAA4"/>
    <w:rsid w:val="18C3F015"/>
    <w:rsid w:val="19017CAE"/>
    <w:rsid w:val="190ADBE5"/>
    <w:rsid w:val="19110023"/>
    <w:rsid w:val="199A82CE"/>
    <w:rsid w:val="19A831EC"/>
    <w:rsid w:val="19CF5F27"/>
    <w:rsid w:val="19E6FCD6"/>
    <w:rsid w:val="19F3E7DF"/>
    <w:rsid w:val="19F6A319"/>
    <w:rsid w:val="1A510846"/>
    <w:rsid w:val="1A71AAA3"/>
    <w:rsid w:val="1A72970A"/>
    <w:rsid w:val="1A9C0BA3"/>
    <w:rsid w:val="1A9FE6ED"/>
    <w:rsid w:val="1AA83254"/>
    <w:rsid w:val="1ACE34B3"/>
    <w:rsid w:val="1AD71DFD"/>
    <w:rsid w:val="1B013499"/>
    <w:rsid w:val="1B091B1D"/>
    <w:rsid w:val="1B09E320"/>
    <w:rsid w:val="1B0F990E"/>
    <w:rsid w:val="1B167A7E"/>
    <w:rsid w:val="1B3C5325"/>
    <w:rsid w:val="1B8D7DA6"/>
    <w:rsid w:val="1B9E8042"/>
    <w:rsid w:val="1BA91BB5"/>
    <w:rsid w:val="1BB7CB05"/>
    <w:rsid w:val="1BBBB358"/>
    <w:rsid w:val="1C1A7EDC"/>
    <w:rsid w:val="1C23D4C6"/>
    <w:rsid w:val="1C581A5D"/>
    <w:rsid w:val="1C5B8225"/>
    <w:rsid w:val="1C67370C"/>
    <w:rsid w:val="1C7C3332"/>
    <w:rsid w:val="1CA69345"/>
    <w:rsid w:val="1CC16197"/>
    <w:rsid w:val="1CD6A05E"/>
    <w:rsid w:val="1CFCA117"/>
    <w:rsid w:val="1CFF007C"/>
    <w:rsid w:val="1D1EFA9A"/>
    <w:rsid w:val="1D2FDC93"/>
    <w:rsid w:val="1D36CE65"/>
    <w:rsid w:val="1D3AEE38"/>
    <w:rsid w:val="1D58C06C"/>
    <w:rsid w:val="1D66A5F4"/>
    <w:rsid w:val="1D6A2DD3"/>
    <w:rsid w:val="1D6B0C05"/>
    <w:rsid w:val="1D741213"/>
    <w:rsid w:val="1D93FBD1"/>
    <w:rsid w:val="1D9B1424"/>
    <w:rsid w:val="1D9B522B"/>
    <w:rsid w:val="1DB271AE"/>
    <w:rsid w:val="1DD166A2"/>
    <w:rsid w:val="1DD322B9"/>
    <w:rsid w:val="1E19AB61"/>
    <w:rsid w:val="1E1BED95"/>
    <w:rsid w:val="1E74A614"/>
    <w:rsid w:val="1E7BE80B"/>
    <w:rsid w:val="1EAE729F"/>
    <w:rsid w:val="1EBECE9F"/>
    <w:rsid w:val="1F345809"/>
    <w:rsid w:val="1F49514A"/>
    <w:rsid w:val="1F4AA8C3"/>
    <w:rsid w:val="1F6E8E6E"/>
    <w:rsid w:val="1F7A1EF8"/>
    <w:rsid w:val="1F825D29"/>
    <w:rsid w:val="1F8977B9"/>
    <w:rsid w:val="1F8D6002"/>
    <w:rsid w:val="1F935A16"/>
    <w:rsid w:val="1FB8463C"/>
    <w:rsid w:val="1FB88935"/>
    <w:rsid w:val="1FD62CF9"/>
    <w:rsid w:val="1FED2C4D"/>
    <w:rsid w:val="1FED5AFC"/>
    <w:rsid w:val="1FF7E45D"/>
    <w:rsid w:val="201B46A7"/>
    <w:rsid w:val="203648F4"/>
    <w:rsid w:val="204D897F"/>
    <w:rsid w:val="2054D031"/>
    <w:rsid w:val="205EA4CA"/>
    <w:rsid w:val="20667857"/>
    <w:rsid w:val="207EA3CF"/>
    <w:rsid w:val="2092F73D"/>
    <w:rsid w:val="20A5DDC4"/>
    <w:rsid w:val="210BB780"/>
    <w:rsid w:val="218F56B1"/>
    <w:rsid w:val="21A1BFB6"/>
    <w:rsid w:val="21B7FF94"/>
    <w:rsid w:val="2238D541"/>
    <w:rsid w:val="22434AAB"/>
    <w:rsid w:val="224466F9"/>
    <w:rsid w:val="225DBFF8"/>
    <w:rsid w:val="228B520F"/>
    <w:rsid w:val="22A0C03A"/>
    <w:rsid w:val="22ABA6C6"/>
    <w:rsid w:val="22B90F0C"/>
    <w:rsid w:val="22C3874C"/>
    <w:rsid w:val="22D4BD88"/>
    <w:rsid w:val="22DBEC25"/>
    <w:rsid w:val="22DEEE99"/>
    <w:rsid w:val="22EB1858"/>
    <w:rsid w:val="23108768"/>
    <w:rsid w:val="235631FC"/>
    <w:rsid w:val="23613490"/>
    <w:rsid w:val="23695334"/>
    <w:rsid w:val="237B31BC"/>
    <w:rsid w:val="237D7ECA"/>
    <w:rsid w:val="238F9FC8"/>
    <w:rsid w:val="23A9A695"/>
    <w:rsid w:val="23B4BB18"/>
    <w:rsid w:val="23D6A578"/>
    <w:rsid w:val="2425BBC2"/>
    <w:rsid w:val="242FCDED"/>
    <w:rsid w:val="2470F3BD"/>
    <w:rsid w:val="247EF0E3"/>
    <w:rsid w:val="2482348F"/>
    <w:rsid w:val="2485B080"/>
    <w:rsid w:val="248A0A23"/>
    <w:rsid w:val="248BAE4D"/>
    <w:rsid w:val="24A09486"/>
    <w:rsid w:val="24A5A21B"/>
    <w:rsid w:val="24B3BFD7"/>
    <w:rsid w:val="24B3FF70"/>
    <w:rsid w:val="24DB0D8A"/>
    <w:rsid w:val="25079B0C"/>
    <w:rsid w:val="25095458"/>
    <w:rsid w:val="250DC6E5"/>
    <w:rsid w:val="251AA33C"/>
    <w:rsid w:val="252845B6"/>
    <w:rsid w:val="254FCB5B"/>
    <w:rsid w:val="2557574B"/>
    <w:rsid w:val="2580EC56"/>
    <w:rsid w:val="2586739C"/>
    <w:rsid w:val="259E242A"/>
    <w:rsid w:val="25AAE42A"/>
    <w:rsid w:val="25DC5B75"/>
    <w:rsid w:val="26162C87"/>
    <w:rsid w:val="262E12C9"/>
    <w:rsid w:val="26668BDA"/>
    <w:rsid w:val="267716BE"/>
    <w:rsid w:val="26C450F1"/>
    <w:rsid w:val="26E5CEB9"/>
    <w:rsid w:val="2728331F"/>
    <w:rsid w:val="2737F5C4"/>
    <w:rsid w:val="273E974E"/>
    <w:rsid w:val="275AC36A"/>
    <w:rsid w:val="277CFA8C"/>
    <w:rsid w:val="27877075"/>
    <w:rsid w:val="27B4686C"/>
    <w:rsid w:val="27CE76FF"/>
    <w:rsid w:val="27FB631B"/>
    <w:rsid w:val="28139051"/>
    <w:rsid w:val="283F5508"/>
    <w:rsid w:val="283FF7CD"/>
    <w:rsid w:val="284AF1B6"/>
    <w:rsid w:val="28535BD2"/>
    <w:rsid w:val="28556005"/>
    <w:rsid w:val="2857E474"/>
    <w:rsid w:val="286C8DDC"/>
    <w:rsid w:val="2871B6B5"/>
    <w:rsid w:val="28972234"/>
    <w:rsid w:val="28CCB877"/>
    <w:rsid w:val="28D1A580"/>
    <w:rsid w:val="28D2E3A4"/>
    <w:rsid w:val="29097A38"/>
    <w:rsid w:val="2921E5C7"/>
    <w:rsid w:val="292B2C2A"/>
    <w:rsid w:val="2948771A"/>
    <w:rsid w:val="297B2D7F"/>
    <w:rsid w:val="29F83B30"/>
    <w:rsid w:val="2A10533A"/>
    <w:rsid w:val="2A12AFC3"/>
    <w:rsid w:val="2A23B4D7"/>
    <w:rsid w:val="2A3340A6"/>
    <w:rsid w:val="2A5059D6"/>
    <w:rsid w:val="2A5DF4B8"/>
    <w:rsid w:val="2A6C12D3"/>
    <w:rsid w:val="2A7DFE7D"/>
    <w:rsid w:val="2A7FA05E"/>
    <w:rsid w:val="2A9D0A22"/>
    <w:rsid w:val="2AF8F116"/>
    <w:rsid w:val="2B039817"/>
    <w:rsid w:val="2B0655E3"/>
    <w:rsid w:val="2B0E4330"/>
    <w:rsid w:val="2B39B0E5"/>
    <w:rsid w:val="2B3AC2D1"/>
    <w:rsid w:val="2B434986"/>
    <w:rsid w:val="2B6D437F"/>
    <w:rsid w:val="2B723E98"/>
    <w:rsid w:val="2B764662"/>
    <w:rsid w:val="2BC08CB6"/>
    <w:rsid w:val="2BCCAEBB"/>
    <w:rsid w:val="2BD935D9"/>
    <w:rsid w:val="2BE2DE6C"/>
    <w:rsid w:val="2C10F1B3"/>
    <w:rsid w:val="2C222D6C"/>
    <w:rsid w:val="2C26ABAD"/>
    <w:rsid w:val="2C36207D"/>
    <w:rsid w:val="2C61F725"/>
    <w:rsid w:val="2C6BBA53"/>
    <w:rsid w:val="2C701143"/>
    <w:rsid w:val="2C77A836"/>
    <w:rsid w:val="2C808E70"/>
    <w:rsid w:val="2C8458F3"/>
    <w:rsid w:val="2CB43E27"/>
    <w:rsid w:val="2CC9F8AF"/>
    <w:rsid w:val="2D1E2F5C"/>
    <w:rsid w:val="2D3E7E13"/>
    <w:rsid w:val="2D52711B"/>
    <w:rsid w:val="2D728D64"/>
    <w:rsid w:val="2D7654F8"/>
    <w:rsid w:val="2D9608F6"/>
    <w:rsid w:val="2D98B710"/>
    <w:rsid w:val="2DA45E20"/>
    <w:rsid w:val="2DB9F609"/>
    <w:rsid w:val="2DBB0405"/>
    <w:rsid w:val="2DD3688A"/>
    <w:rsid w:val="2DE8EEB8"/>
    <w:rsid w:val="2DE996C3"/>
    <w:rsid w:val="2E0C46D9"/>
    <w:rsid w:val="2E1F9DA3"/>
    <w:rsid w:val="2E2F676A"/>
    <w:rsid w:val="2E59BBF2"/>
    <w:rsid w:val="2E6334CD"/>
    <w:rsid w:val="2E71B224"/>
    <w:rsid w:val="2E881009"/>
    <w:rsid w:val="2E88A3B7"/>
    <w:rsid w:val="2E91445D"/>
    <w:rsid w:val="2E98B835"/>
    <w:rsid w:val="2E9AC9E8"/>
    <w:rsid w:val="2E9E89EA"/>
    <w:rsid w:val="2E9FDFD2"/>
    <w:rsid w:val="2EA1DB52"/>
    <w:rsid w:val="2EBCF439"/>
    <w:rsid w:val="2EC1B8F2"/>
    <w:rsid w:val="2ECB9AB2"/>
    <w:rsid w:val="2EDEB86F"/>
    <w:rsid w:val="2EE3AF8F"/>
    <w:rsid w:val="2EF23D7A"/>
    <w:rsid w:val="2EF78ACE"/>
    <w:rsid w:val="2EFB0CA6"/>
    <w:rsid w:val="2EFB7BD9"/>
    <w:rsid w:val="2F016592"/>
    <w:rsid w:val="2F0DF25C"/>
    <w:rsid w:val="2F163C6C"/>
    <w:rsid w:val="2F5A80D3"/>
    <w:rsid w:val="2F6588CA"/>
    <w:rsid w:val="2F8DA75D"/>
    <w:rsid w:val="2F989904"/>
    <w:rsid w:val="2FAB0327"/>
    <w:rsid w:val="2FCD41A7"/>
    <w:rsid w:val="2FD4AEF9"/>
    <w:rsid w:val="2FE70D1C"/>
    <w:rsid w:val="301370F2"/>
    <w:rsid w:val="3022FA88"/>
    <w:rsid w:val="3056A945"/>
    <w:rsid w:val="305918CA"/>
    <w:rsid w:val="307DA1F3"/>
    <w:rsid w:val="309493F0"/>
    <w:rsid w:val="30B50A84"/>
    <w:rsid w:val="30BADCE2"/>
    <w:rsid w:val="30D8EAFE"/>
    <w:rsid w:val="31027DB7"/>
    <w:rsid w:val="3103AF3D"/>
    <w:rsid w:val="310BE699"/>
    <w:rsid w:val="311897F6"/>
    <w:rsid w:val="312C9B2E"/>
    <w:rsid w:val="318E92C8"/>
    <w:rsid w:val="31A476B2"/>
    <w:rsid w:val="31D939C8"/>
    <w:rsid w:val="31DA6AC2"/>
    <w:rsid w:val="31FF9BCE"/>
    <w:rsid w:val="32632034"/>
    <w:rsid w:val="326800E8"/>
    <w:rsid w:val="3278B498"/>
    <w:rsid w:val="3280E818"/>
    <w:rsid w:val="32BCA194"/>
    <w:rsid w:val="32C7AE79"/>
    <w:rsid w:val="32EBC3ED"/>
    <w:rsid w:val="32EE81C7"/>
    <w:rsid w:val="330A0C36"/>
    <w:rsid w:val="3336A76A"/>
    <w:rsid w:val="3338CC1F"/>
    <w:rsid w:val="334A77F0"/>
    <w:rsid w:val="33783861"/>
    <w:rsid w:val="339C4D28"/>
    <w:rsid w:val="33A13248"/>
    <w:rsid w:val="33C0201A"/>
    <w:rsid w:val="33D0C996"/>
    <w:rsid w:val="33DAF9B5"/>
    <w:rsid w:val="33DE7F96"/>
    <w:rsid w:val="34127365"/>
    <w:rsid w:val="3459566A"/>
    <w:rsid w:val="346A9C0B"/>
    <w:rsid w:val="3483F168"/>
    <w:rsid w:val="349D9EFA"/>
    <w:rsid w:val="349FB6F3"/>
    <w:rsid w:val="34E7DBE3"/>
    <w:rsid w:val="353D8AB8"/>
    <w:rsid w:val="3567F4CB"/>
    <w:rsid w:val="357CE9FE"/>
    <w:rsid w:val="357DB4AB"/>
    <w:rsid w:val="3581DBF5"/>
    <w:rsid w:val="35A2C8F4"/>
    <w:rsid w:val="35CC0554"/>
    <w:rsid w:val="35D91D32"/>
    <w:rsid w:val="35E48062"/>
    <w:rsid w:val="361E4FA6"/>
    <w:rsid w:val="363CADF0"/>
    <w:rsid w:val="36600CED"/>
    <w:rsid w:val="367C4F6F"/>
    <w:rsid w:val="36B91D30"/>
    <w:rsid w:val="36BDEE0A"/>
    <w:rsid w:val="36F99ADE"/>
    <w:rsid w:val="371006ED"/>
    <w:rsid w:val="375B2487"/>
    <w:rsid w:val="375D0047"/>
    <w:rsid w:val="378B99F6"/>
    <w:rsid w:val="3792357E"/>
    <w:rsid w:val="3794F1E7"/>
    <w:rsid w:val="379ACCB7"/>
    <w:rsid w:val="37A67C22"/>
    <w:rsid w:val="37A6EE2F"/>
    <w:rsid w:val="37AA4097"/>
    <w:rsid w:val="37EE099A"/>
    <w:rsid w:val="37FAC8C4"/>
    <w:rsid w:val="37FD41B6"/>
    <w:rsid w:val="38008C8A"/>
    <w:rsid w:val="381B981C"/>
    <w:rsid w:val="381E16B0"/>
    <w:rsid w:val="38573CF5"/>
    <w:rsid w:val="386F8C92"/>
    <w:rsid w:val="38BA1F38"/>
    <w:rsid w:val="38C47A70"/>
    <w:rsid w:val="38D86F38"/>
    <w:rsid w:val="393F952A"/>
    <w:rsid w:val="3940AE8B"/>
    <w:rsid w:val="39558E22"/>
    <w:rsid w:val="39593969"/>
    <w:rsid w:val="399A4052"/>
    <w:rsid w:val="39AAEDC6"/>
    <w:rsid w:val="39B0442D"/>
    <w:rsid w:val="39D95036"/>
    <w:rsid w:val="39E5F06B"/>
    <w:rsid w:val="39ED9547"/>
    <w:rsid w:val="3A0A9D94"/>
    <w:rsid w:val="3A10FC98"/>
    <w:rsid w:val="3A224285"/>
    <w:rsid w:val="3A3D9E1D"/>
    <w:rsid w:val="3A490C57"/>
    <w:rsid w:val="3A4AAF9C"/>
    <w:rsid w:val="3A6BAB88"/>
    <w:rsid w:val="3A7060F3"/>
    <w:rsid w:val="3A87EEC2"/>
    <w:rsid w:val="3ADC3BE2"/>
    <w:rsid w:val="3AEDECB5"/>
    <w:rsid w:val="3AF70582"/>
    <w:rsid w:val="3B10E4A9"/>
    <w:rsid w:val="3B2A8418"/>
    <w:rsid w:val="3B5B2555"/>
    <w:rsid w:val="3B98E194"/>
    <w:rsid w:val="3BAC52E3"/>
    <w:rsid w:val="3BE44E78"/>
    <w:rsid w:val="3BF78EAF"/>
    <w:rsid w:val="3C2361AC"/>
    <w:rsid w:val="3C3EE80D"/>
    <w:rsid w:val="3C5FDA2F"/>
    <w:rsid w:val="3C95158F"/>
    <w:rsid w:val="3CBADEB3"/>
    <w:rsid w:val="3CC79018"/>
    <w:rsid w:val="3CCF9796"/>
    <w:rsid w:val="3CE92982"/>
    <w:rsid w:val="3CEB0562"/>
    <w:rsid w:val="3CFB5294"/>
    <w:rsid w:val="3D25C747"/>
    <w:rsid w:val="3D389B2B"/>
    <w:rsid w:val="3D58488E"/>
    <w:rsid w:val="3D6C14C2"/>
    <w:rsid w:val="3D708455"/>
    <w:rsid w:val="3D7BF7C7"/>
    <w:rsid w:val="3D84596B"/>
    <w:rsid w:val="3D883041"/>
    <w:rsid w:val="3DDBE208"/>
    <w:rsid w:val="3DF40EEC"/>
    <w:rsid w:val="3E0DF5C6"/>
    <w:rsid w:val="3E418914"/>
    <w:rsid w:val="3E526C9D"/>
    <w:rsid w:val="3E5BAA99"/>
    <w:rsid w:val="3E63CF34"/>
    <w:rsid w:val="3E8A4369"/>
    <w:rsid w:val="3E8DA8DD"/>
    <w:rsid w:val="3E92B48E"/>
    <w:rsid w:val="3E948F9A"/>
    <w:rsid w:val="3E9B8EAE"/>
    <w:rsid w:val="3EA6EC58"/>
    <w:rsid w:val="3EB9E2D2"/>
    <w:rsid w:val="3ED1A4E0"/>
    <w:rsid w:val="3EE0116E"/>
    <w:rsid w:val="3EE271B2"/>
    <w:rsid w:val="3EE7ECFB"/>
    <w:rsid w:val="3F0FEB93"/>
    <w:rsid w:val="3F192C5F"/>
    <w:rsid w:val="3F245279"/>
    <w:rsid w:val="3F247B60"/>
    <w:rsid w:val="3F306E76"/>
    <w:rsid w:val="3F4CBBB6"/>
    <w:rsid w:val="3FBD2D94"/>
    <w:rsid w:val="3FC616DF"/>
    <w:rsid w:val="3FD234D4"/>
    <w:rsid w:val="3FF9F5B7"/>
    <w:rsid w:val="40103C27"/>
    <w:rsid w:val="40419A03"/>
    <w:rsid w:val="4047E975"/>
    <w:rsid w:val="40527C82"/>
    <w:rsid w:val="40550F64"/>
    <w:rsid w:val="408C0CC2"/>
    <w:rsid w:val="40958672"/>
    <w:rsid w:val="409910B0"/>
    <w:rsid w:val="40AA1302"/>
    <w:rsid w:val="40B4056D"/>
    <w:rsid w:val="40B810D1"/>
    <w:rsid w:val="40C299F0"/>
    <w:rsid w:val="40D98775"/>
    <w:rsid w:val="40DAB6B0"/>
    <w:rsid w:val="40F28C92"/>
    <w:rsid w:val="41000AD6"/>
    <w:rsid w:val="410798CF"/>
    <w:rsid w:val="4133E924"/>
    <w:rsid w:val="414B96BF"/>
    <w:rsid w:val="4168FB1B"/>
    <w:rsid w:val="417641D6"/>
    <w:rsid w:val="41812952"/>
    <w:rsid w:val="418BD9F8"/>
    <w:rsid w:val="41981157"/>
    <w:rsid w:val="41B9FF12"/>
    <w:rsid w:val="41D33D8B"/>
    <w:rsid w:val="41E4A028"/>
    <w:rsid w:val="41EFAFDA"/>
    <w:rsid w:val="4211458E"/>
    <w:rsid w:val="4215B3A1"/>
    <w:rsid w:val="421BB8A8"/>
    <w:rsid w:val="422F9BD1"/>
    <w:rsid w:val="4230A623"/>
    <w:rsid w:val="42558D6B"/>
    <w:rsid w:val="4262C438"/>
    <w:rsid w:val="42676FBD"/>
    <w:rsid w:val="426CB1E0"/>
    <w:rsid w:val="4274F8DB"/>
    <w:rsid w:val="42A33059"/>
    <w:rsid w:val="42A92DA1"/>
    <w:rsid w:val="42D05F76"/>
    <w:rsid w:val="42DFCB34"/>
    <w:rsid w:val="42E8E3AB"/>
    <w:rsid w:val="42F4E361"/>
    <w:rsid w:val="4316BA4F"/>
    <w:rsid w:val="433F1093"/>
    <w:rsid w:val="4366FD09"/>
    <w:rsid w:val="436C7CF9"/>
    <w:rsid w:val="437FD0FA"/>
    <w:rsid w:val="43871C91"/>
    <w:rsid w:val="438B9F41"/>
    <w:rsid w:val="4397701E"/>
    <w:rsid w:val="43AEFBBF"/>
    <w:rsid w:val="43D9764D"/>
    <w:rsid w:val="43E5D01B"/>
    <w:rsid w:val="43F0DD87"/>
    <w:rsid w:val="440F5126"/>
    <w:rsid w:val="4466CADB"/>
    <w:rsid w:val="446EEE76"/>
    <w:rsid w:val="4487DB95"/>
    <w:rsid w:val="449ACE07"/>
    <w:rsid w:val="44AFE8AA"/>
    <w:rsid w:val="44B92378"/>
    <w:rsid w:val="44CEBBAD"/>
    <w:rsid w:val="44D601E6"/>
    <w:rsid w:val="44E06BC2"/>
    <w:rsid w:val="44FA2C56"/>
    <w:rsid w:val="44FF187A"/>
    <w:rsid w:val="4501DDF6"/>
    <w:rsid w:val="4511E28A"/>
    <w:rsid w:val="45152DCA"/>
    <w:rsid w:val="451AF3FC"/>
    <w:rsid w:val="451D4ACD"/>
    <w:rsid w:val="455975E7"/>
    <w:rsid w:val="456A4E6B"/>
    <w:rsid w:val="45A87563"/>
    <w:rsid w:val="45B5A3AB"/>
    <w:rsid w:val="45B9821C"/>
    <w:rsid w:val="45CAA14D"/>
    <w:rsid w:val="45D31C35"/>
    <w:rsid w:val="460585CF"/>
    <w:rsid w:val="4627C5C7"/>
    <w:rsid w:val="46299713"/>
    <w:rsid w:val="462CE6FD"/>
    <w:rsid w:val="462ED73C"/>
    <w:rsid w:val="46385EA1"/>
    <w:rsid w:val="465F1B0B"/>
    <w:rsid w:val="469C9991"/>
    <w:rsid w:val="46B54D0F"/>
    <w:rsid w:val="46CCC628"/>
    <w:rsid w:val="47015F97"/>
    <w:rsid w:val="47192897"/>
    <w:rsid w:val="4724702D"/>
    <w:rsid w:val="474152D2"/>
    <w:rsid w:val="47626AD8"/>
    <w:rsid w:val="47709443"/>
    <w:rsid w:val="477F2045"/>
    <w:rsid w:val="4788E936"/>
    <w:rsid w:val="4793AB60"/>
    <w:rsid w:val="47AE99E2"/>
    <w:rsid w:val="47FFAB06"/>
    <w:rsid w:val="480D9DA6"/>
    <w:rsid w:val="48311D70"/>
    <w:rsid w:val="48556209"/>
    <w:rsid w:val="489339BB"/>
    <w:rsid w:val="4893B3AC"/>
    <w:rsid w:val="48981AD1"/>
    <w:rsid w:val="48ABBFB7"/>
    <w:rsid w:val="48AE4147"/>
    <w:rsid w:val="48E55CF8"/>
    <w:rsid w:val="48EBED03"/>
    <w:rsid w:val="49072D5B"/>
    <w:rsid w:val="491F0739"/>
    <w:rsid w:val="4942FC1F"/>
    <w:rsid w:val="49591131"/>
    <w:rsid w:val="496AC891"/>
    <w:rsid w:val="4970FC31"/>
    <w:rsid w:val="49798EFA"/>
    <w:rsid w:val="498BD65D"/>
    <w:rsid w:val="49B36F7E"/>
    <w:rsid w:val="49CDA52D"/>
    <w:rsid w:val="49D59194"/>
    <w:rsid w:val="49DE62E5"/>
    <w:rsid w:val="49DFA301"/>
    <w:rsid w:val="49E131D9"/>
    <w:rsid w:val="49FC83F9"/>
    <w:rsid w:val="4A1AC6A1"/>
    <w:rsid w:val="4A2F24E9"/>
    <w:rsid w:val="4A4FD67D"/>
    <w:rsid w:val="4A6519AA"/>
    <w:rsid w:val="4A6ADA01"/>
    <w:rsid w:val="4A6D3562"/>
    <w:rsid w:val="4A7BCCB5"/>
    <w:rsid w:val="4A99DDAE"/>
    <w:rsid w:val="4ADE9C63"/>
    <w:rsid w:val="4B052929"/>
    <w:rsid w:val="4B1A271F"/>
    <w:rsid w:val="4B517C50"/>
    <w:rsid w:val="4B541481"/>
    <w:rsid w:val="4B7041B0"/>
    <w:rsid w:val="4B746D49"/>
    <w:rsid w:val="4B7AD301"/>
    <w:rsid w:val="4B82F526"/>
    <w:rsid w:val="4B8779EE"/>
    <w:rsid w:val="4B9A47F4"/>
    <w:rsid w:val="4BA3B312"/>
    <w:rsid w:val="4BAB5EF8"/>
    <w:rsid w:val="4BADF9B1"/>
    <w:rsid w:val="4BC410A0"/>
    <w:rsid w:val="4C0433DA"/>
    <w:rsid w:val="4C112E48"/>
    <w:rsid w:val="4C2B713C"/>
    <w:rsid w:val="4C311E69"/>
    <w:rsid w:val="4C5043E2"/>
    <w:rsid w:val="4C538588"/>
    <w:rsid w:val="4CA6953D"/>
    <w:rsid w:val="4CA82962"/>
    <w:rsid w:val="4CC6E46D"/>
    <w:rsid w:val="4CDA4D74"/>
    <w:rsid w:val="4CDA935C"/>
    <w:rsid w:val="4D1CE5A6"/>
    <w:rsid w:val="4D2058BC"/>
    <w:rsid w:val="4D38819F"/>
    <w:rsid w:val="4D6556C1"/>
    <w:rsid w:val="4D6798C0"/>
    <w:rsid w:val="4D8485F7"/>
    <w:rsid w:val="4D8B885A"/>
    <w:rsid w:val="4D9CD71D"/>
    <w:rsid w:val="4DB2E3C6"/>
    <w:rsid w:val="4DD37F14"/>
    <w:rsid w:val="4DEB8E6C"/>
    <w:rsid w:val="4DF90D05"/>
    <w:rsid w:val="4DF96676"/>
    <w:rsid w:val="4E33F398"/>
    <w:rsid w:val="4E36B9C3"/>
    <w:rsid w:val="4E50D930"/>
    <w:rsid w:val="4E650634"/>
    <w:rsid w:val="4E6752E6"/>
    <w:rsid w:val="4E6D88F0"/>
    <w:rsid w:val="4EAB00BE"/>
    <w:rsid w:val="4EDAE2EE"/>
    <w:rsid w:val="4EE2F32C"/>
    <w:rsid w:val="4EFC3E10"/>
    <w:rsid w:val="4F1A5C48"/>
    <w:rsid w:val="4F1F4317"/>
    <w:rsid w:val="4F206946"/>
    <w:rsid w:val="4F29E0CB"/>
    <w:rsid w:val="4F38FD5D"/>
    <w:rsid w:val="4F393249"/>
    <w:rsid w:val="4F3A9CA3"/>
    <w:rsid w:val="4F758B8B"/>
    <w:rsid w:val="4F7C1DAA"/>
    <w:rsid w:val="4F844AB0"/>
    <w:rsid w:val="4FA47613"/>
    <w:rsid w:val="4FAC4D0F"/>
    <w:rsid w:val="4FBF81C9"/>
    <w:rsid w:val="4FCA4D74"/>
    <w:rsid w:val="503CF24B"/>
    <w:rsid w:val="5049E0EA"/>
    <w:rsid w:val="50787B76"/>
    <w:rsid w:val="507904D1"/>
    <w:rsid w:val="507926A7"/>
    <w:rsid w:val="5092AE3B"/>
    <w:rsid w:val="50A7B303"/>
    <w:rsid w:val="50E5B01C"/>
    <w:rsid w:val="51080824"/>
    <w:rsid w:val="510DA373"/>
    <w:rsid w:val="513348A9"/>
    <w:rsid w:val="513D6A1F"/>
    <w:rsid w:val="514B8113"/>
    <w:rsid w:val="5190BAE6"/>
    <w:rsid w:val="51A33252"/>
    <w:rsid w:val="51A82F16"/>
    <w:rsid w:val="51AC84A1"/>
    <w:rsid w:val="51B5922C"/>
    <w:rsid w:val="51B94BCB"/>
    <w:rsid w:val="51E68C6E"/>
    <w:rsid w:val="51FF3DD6"/>
    <w:rsid w:val="520D3796"/>
    <w:rsid w:val="521C77CF"/>
    <w:rsid w:val="5221A638"/>
    <w:rsid w:val="522B5036"/>
    <w:rsid w:val="5239C295"/>
    <w:rsid w:val="524DD1B0"/>
    <w:rsid w:val="525986A6"/>
    <w:rsid w:val="52BBCA16"/>
    <w:rsid w:val="52C7D9F7"/>
    <w:rsid w:val="52EE911D"/>
    <w:rsid w:val="530967D9"/>
    <w:rsid w:val="53193768"/>
    <w:rsid w:val="532057F2"/>
    <w:rsid w:val="532530FE"/>
    <w:rsid w:val="5327021C"/>
    <w:rsid w:val="533610B8"/>
    <w:rsid w:val="535F4D8B"/>
    <w:rsid w:val="53A62839"/>
    <w:rsid w:val="53A70480"/>
    <w:rsid w:val="53D30B23"/>
    <w:rsid w:val="53D87F66"/>
    <w:rsid w:val="542000A6"/>
    <w:rsid w:val="5474CA95"/>
    <w:rsid w:val="54B554F3"/>
    <w:rsid w:val="550EEC34"/>
    <w:rsid w:val="5526A3C4"/>
    <w:rsid w:val="5541E708"/>
    <w:rsid w:val="55528776"/>
    <w:rsid w:val="556070E3"/>
    <w:rsid w:val="5560E55D"/>
    <w:rsid w:val="55637369"/>
    <w:rsid w:val="55719886"/>
    <w:rsid w:val="5578C2F4"/>
    <w:rsid w:val="559B54D7"/>
    <w:rsid w:val="55C5F640"/>
    <w:rsid w:val="55C76352"/>
    <w:rsid w:val="55D63469"/>
    <w:rsid w:val="55E7F1EB"/>
    <w:rsid w:val="55EB0483"/>
    <w:rsid w:val="5606754C"/>
    <w:rsid w:val="562C9A39"/>
    <w:rsid w:val="5631A095"/>
    <w:rsid w:val="564A0B6F"/>
    <w:rsid w:val="5658B2F2"/>
    <w:rsid w:val="567E9E2A"/>
    <w:rsid w:val="569B2BCA"/>
    <w:rsid w:val="56D24B0C"/>
    <w:rsid w:val="56DB30A4"/>
    <w:rsid w:val="56E81E5D"/>
    <w:rsid w:val="57032967"/>
    <w:rsid w:val="571F79F9"/>
    <w:rsid w:val="57665F8D"/>
    <w:rsid w:val="57670A17"/>
    <w:rsid w:val="577CA56F"/>
    <w:rsid w:val="5794049F"/>
    <w:rsid w:val="57B73F02"/>
    <w:rsid w:val="57C56DCD"/>
    <w:rsid w:val="57D15657"/>
    <w:rsid w:val="5833200D"/>
    <w:rsid w:val="583F9B76"/>
    <w:rsid w:val="584C442E"/>
    <w:rsid w:val="58500D51"/>
    <w:rsid w:val="58782B1F"/>
    <w:rsid w:val="588ACDBB"/>
    <w:rsid w:val="58CFD55B"/>
    <w:rsid w:val="58D20AB5"/>
    <w:rsid w:val="58E41720"/>
    <w:rsid w:val="58F8062F"/>
    <w:rsid w:val="592586BF"/>
    <w:rsid w:val="593D689E"/>
    <w:rsid w:val="594F8EA8"/>
    <w:rsid w:val="59521C80"/>
    <w:rsid w:val="597128C3"/>
    <w:rsid w:val="59AFE3BD"/>
    <w:rsid w:val="59C48A44"/>
    <w:rsid w:val="59D78880"/>
    <w:rsid w:val="59FABEA2"/>
    <w:rsid w:val="5A419B6A"/>
    <w:rsid w:val="5A44681E"/>
    <w:rsid w:val="5A4FE76C"/>
    <w:rsid w:val="5A557BB1"/>
    <w:rsid w:val="5AA3E059"/>
    <w:rsid w:val="5ABB83B1"/>
    <w:rsid w:val="5AD1F695"/>
    <w:rsid w:val="5ADEEB30"/>
    <w:rsid w:val="5B2FAB28"/>
    <w:rsid w:val="5B7FA9C8"/>
    <w:rsid w:val="5B898D30"/>
    <w:rsid w:val="5BB6E9AA"/>
    <w:rsid w:val="5C002745"/>
    <w:rsid w:val="5C04CC93"/>
    <w:rsid w:val="5C1C3261"/>
    <w:rsid w:val="5C3562AC"/>
    <w:rsid w:val="5C39FA8E"/>
    <w:rsid w:val="5C3F6803"/>
    <w:rsid w:val="5C63E21E"/>
    <w:rsid w:val="5C68B6AC"/>
    <w:rsid w:val="5C696773"/>
    <w:rsid w:val="5C6A2535"/>
    <w:rsid w:val="5C6F6C19"/>
    <w:rsid w:val="5C8EF6EE"/>
    <w:rsid w:val="5C983EE8"/>
    <w:rsid w:val="5CB25ED2"/>
    <w:rsid w:val="5CBB78C0"/>
    <w:rsid w:val="5CC37CD1"/>
    <w:rsid w:val="5D2BF26D"/>
    <w:rsid w:val="5D6EBF4A"/>
    <w:rsid w:val="5D6FC45E"/>
    <w:rsid w:val="5D94FA64"/>
    <w:rsid w:val="5D9849A5"/>
    <w:rsid w:val="5DAA7C96"/>
    <w:rsid w:val="5DC14BB3"/>
    <w:rsid w:val="5DD43857"/>
    <w:rsid w:val="5DE346F1"/>
    <w:rsid w:val="5DF296C7"/>
    <w:rsid w:val="5E0D35DB"/>
    <w:rsid w:val="5E144960"/>
    <w:rsid w:val="5E1C8B7C"/>
    <w:rsid w:val="5E248014"/>
    <w:rsid w:val="5E373F6D"/>
    <w:rsid w:val="5E691FBC"/>
    <w:rsid w:val="5E7AF765"/>
    <w:rsid w:val="5E994AB7"/>
    <w:rsid w:val="5EA17A62"/>
    <w:rsid w:val="5EA95591"/>
    <w:rsid w:val="5EEE6CE0"/>
    <w:rsid w:val="5EF2C347"/>
    <w:rsid w:val="5F0EA7CE"/>
    <w:rsid w:val="5F2A464F"/>
    <w:rsid w:val="5F2A8109"/>
    <w:rsid w:val="5F36C07C"/>
    <w:rsid w:val="5F3FA02F"/>
    <w:rsid w:val="5F4BA006"/>
    <w:rsid w:val="5F6CC4E5"/>
    <w:rsid w:val="5F85DB07"/>
    <w:rsid w:val="5F88FA66"/>
    <w:rsid w:val="5F9DE79D"/>
    <w:rsid w:val="5F9EC42F"/>
    <w:rsid w:val="5FA14FCF"/>
    <w:rsid w:val="5FC1B713"/>
    <w:rsid w:val="5FCA3442"/>
    <w:rsid w:val="5FD15109"/>
    <w:rsid w:val="5FDC8FB5"/>
    <w:rsid w:val="5FE34546"/>
    <w:rsid w:val="601917E8"/>
    <w:rsid w:val="603384BF"/>
    <w:rsid w:val="6040A395"/>
    <w:rsid w:val="605BBD1B"/>
    <w:rsid w:val="60853EC6"/>
    <w:rsid w:val="6085CC6F"/>
    <w:rsid w:val="60A8E8DF"/>
    <w:rsid w:val="60B0B1DE"/>
    <w:rsid w:val="60B3D286"/>
    <w:rsid w:val="60C7B998"/>
    <w:rsid w:val="610F5A87"/>
    <w:rsid w:val="611AE1B3"/>
    <w:rsid w:val="61279644"/>
    <w:rsid w:val="612D64D7"/>
    <w:rsid w:val="614CCC39"/>
    <w:rsid w:val="61772A52"/>
    <w:rsid w:val="6179C74B"/>
    <w:rsid w:val="617F3C9E"/>
    <w:rsid w:val="61A7285E"/>
    <w:rsid w:val="61D03938"/>
    <w:rsid w:val="61D9B1EE"/>
    <w:rsid w:val="61E0959F"/>
    <w:rsid w:val="61E4041D"/>
    <w:rsid w:val="61EFE6C3"/>
    <w:rsid w:val="62386973"/>
    <w:rsid w:val="623EE39C"/>
    <w:rsid w:val="625F4B20"/>
    <w:rsid w:val="6260A435"/>
    <w:rsid w:val="626C8691"/>
    <w:rsid w:val="62981AB7"/>
    <w:rsid w:val="62AD4E2A"/>
    <w:rsid w:val="62AED58A"/>
    <w:rsid w:val="62BCE490"/>
    <w:rsid w:val="62EA6C00"/>
    <w:rsid w:val="62EFA093"/>
    <w:rsid w:val="62FB7F73"/>
    <w:rsid w:val="6336ED9B"/>
    <w:rsid w:val="634317FB"/>
    <w:rsid w:val="63647395"/>
    <w:rsid w:val="637A823E"/>
    <w:rsid w:val="639E5E0D"/>
    <w:rsid w:val="63B116C9"/>
    <w:rsid w:val="63BF3BD2"/>
    <w:rsid w:val="63E5309D"/>
    <w:rsid w:val="63F0EF64"/>
    <w:rsid w:val="6410BA67"/>
    <w:rsid w:val="6410DE58"/>
    <w:rsid w:val="6415F5F5"/>
    <w:rsid w:val="6427D664"/>
    <w:rsid w:val="644F38DE"/>
    <w:rsid w:val="6463D901"/>
    <w:rsid w:val="648F1FE2"/>
    <w:rsid w:val="64ADDA3B"/>
    <w:rsid w:val="64B34134"/>
    <w:rsid w:val="64B879D6"/>
    <w:rsid w:val="64BDD6B4"/>
    <w:rsid w:val="64C1F455"/>
    <w:rsid w:val="64E7D501"/>
    <w:rsid w:val="6514867D"/>
    <w:rsid w:val="65397331"/>
    <w:rsid w:val="653B7821"/>
    <w:rsid w:val="65426020"/>
    <w:rsid w:val="65469776"/>
    <w:rsid w:val="657BC014"/>
    <w:rsid w:val="6589F101"/>
    <w:rsid w:val="658E0E70"/>
    <w:rsid w:val="6591A048"/>
    <w:rsid w:val="6591CCC6"/>
    <w:rsid w:val="65D33615"/>
    <w:rsid w:val="65D4904A"/>
    <w:rsid w:val="6639C443"/>
    <w:rsid w:val="663F6D60"/>
    <w:rsid w:val="666AFF90"/>
    <w:rsid w:val="6671DF92"/>
    <w:rsid w:val="66808E20"/>
    <w:rsid w:val="669189ED"/>
    <w:rsid w:val="66AE1520"/>
    <w:rsid w:val="66BBFC09"/>
    <w:rsid w:val="66BEE579"/>
    <w:rsid w:val="66D61469"/>
    <w:rsid w:val="66E581DE"/>
    <w:rsid w:val="6709A00F"/>
    <w:rsid w:val="6714C569"/>
    <w:rsid w:val="6768B9D0"/>
    <w:rsid w:val="676C2033"/>
    <w:rsid w:val="677AE99F"/>
    <w:rsid w:val="67D91BC3"/>
    <w:rsid w:val="68079279"/>
    <w:rsid w:val="682298B2"/>
    <w:rsid w:val="683E7A4A"/>
    <w:rsid w:val="685CB86F"/>
    <w:rsid w:val="6861B348"/>
    <w:rsid w:val="687095F6"/>
    <w:rsid w:val="688A9F62"/>
    <w:rsid w:val="68A87186"/>
    <w:rsid w:val="68A89A9C"/>
    <w:rsid w:val="68B2BF76"/>
    <w:rsid w:val="68BB99DB"/>
    <w:rsid w:val="68C1788B"/>
    <w:rsid w:val="690251C7"/>
    <w:rsid w:val="6915D097"/>
    <w:rsid w:val="692554D3"/>
    <w:rsid w:val="693243DE"/>
    <w:rsid w:val="693D539A"/>
    <w:rsid w:val="698D8D5A"/>
    <w:rsid w:val="69ABA06B"/>
    <w:rsid w:val="69BEA2DC"/>
    <w:rsid w:val="69C41C4C"/>
    <w:rsid w:val="69CBC49C"/>
    <w:rsid w:val="69D3D9F4"/>
    <w:rsid w:val="69D74BF0"/>
    <w:rsid w:val="69EB1AC1"/>
    <w:rsid w:val="69EF62FD"/>
    <w:rsid w:val="6A186FBE"/>
    <w:rsid w:val="6A512A47"/>
    <w:rsid w:val="6A67723E"/>
    <w:rsid w:val="6A7C474D"/>
    <w:rsid w:val="6A7D8DCB"/>
    <w:rsid w:val="6AA92B2C"/>
    <w:rsid w:val="6ABF9200"/>
    <w:rsid w:val="6AC192CD"/>
    <w:rsid w:val="6ADB08B8"/>
    <w:rsid w:val="6AE718CA"/>
    <w:rsid w:val="6B28CA0B"/>
    <w:rsid w:val="6B4F7EEC"/>
    <w:rsid w:val="6B727F8A"/>
    <w:rsid w:val="6B7D26D3"/>
    <w:rsid w:val="6B8AAC13"/>
    <w:rsid w:val="6B99F188"/>
    <w:rsid w:val="6BE9DCF8"/>
    <w:rsid w:val="6BF41D72"/>
    <w:rsid w:val="6C7E10F9"/>
    <w:rsid w:val="6C7FC4F1"/>
    <w:rsid w:val="6CC1540A"/>
    <w:rsid w:val="6CC8CE79"/>
    <w:rsid w:val="6CFBAEA4"/>
    <w:rsid w:val="6D1238C7"/>
    <w:rsid w:val="6D171D2B"/>
    <w:rsid w:val="6D27A8FF"/>
    <w:rsid w:val="6D3BFD6E"/>
    <w:rsid w:val="6D60BE57"/>
    <w:rsid w:val="6D7408CF"/>
    <w:rsid w:val="6D8C81A7"/>
    <w:rsid w:val="6D8D0422"/>
    <w:rsid w:val="6DA9C489"/>
    <w:rsid w:val="6DAFD2E9"/>
    <w:rsid w:val="6DF03C65"/>
    <w:rsid w:val="6E29E130"/>
    <w:rsid w:val="6E2A18B8"/>
    <w:rsid w:val="6E2CD33D"/>
    <w:rsid w:val="6E30E817"/>
    <w:rsid w:val="6E4AD201"/>
    <w:rsid w:val="6E51C96D"/>
    <w:rsid w:val="6E62BEE7"/>
    <w:rsid w:val="6E67D554"/>
    <w:rsid w:val="6E7C5F57"/>
    <w:rsid w:val="6E87A8D6"/>
    <w:rsid w:val="6EA0B05E"/>
    <w:rsid w:val="6ECFAB27"/>
    <w:rsid w:val="6EE3D820"/>
    <w:rsid w:val="6EF63960"/>
    <w:rsid w:val="6F09BBBF"/>
    <w:rsid w:val="6F0B7736"/>
    <w:rsid w:val="6F59D67C"/>
    <w:rsid w:val="6F6E67EA"/>
    <w:rsid w:val="6F7C9544"/>
    <w:rsid w:val="6F9CE4BB"/>
    <w:rsid w:val="6FA946BA"/>
    <w:rsid w:val="6FB553C9"/>
    <w:rsid w:val="6FDB37FB"/>
    <w:rsid w:val="700E8DA9"/>
    <w:rsid w:val="701E3C73"/>
    <w:rsid w:val="7024E7BE"/>
    <w:rsid w:val="702C0B9C"/>
    <w:rsid w:val="702EB2D1"/>
    <w:rsid w:val="70302C15"/>
    <w:rsid w:val="70367FB5"/>
    <w:rsid w:val="703783BD"/>
    <w:rsid w:val="705AE1DF"/>
    <w:rsid w:val="70685011"/>
    <w:rsid w:val="708A4A72"/>
    <w:rsid w:val="70AB99C5"/>
    <w:rsid w:val="70E4950C"/>
    <w:rsid w:val="70F75F2D"/>
    <w:rsid w:val="70FFE719"/>
    <w:rsid w:val="7110E69F"/>
    <w:rsid w:val="7114A39F"/>
    <w:rsid w:val="711C81F8"/>
    <w:rsid w:val="713401C7"/>
    <w:rsid w:val="713A3445"/>
    <w:rsid w:val="714102FD"/>
    <w:rsid w:val="7149C690"/>
    <w:rsid w:val="71537101"/>
    <w:rsid w:val="718DA62B"/>
    <w:rsid w:val="71AFEDC5"/>
    <w:rsid w:val="71CB047B"/>
    <w:rsid w:val="71E8AA8B"/>
    <w:rsid w:val="71FDB038"/>
    <w:rsid w:val="71FEF9F6"/>
    <w:rsid w:val="72194832"/>
    <w:rsid w:val="7248B33C"/>
    <w:rsid w:val="72775268"/>
    <w:rsid w:val="727AAA11"/>
    <w:rsid w:val="7287C35A"/>
    <w:rsid w:val="728A54D2"/>
    <w:rsid w:val="729201FC"/>
    <w:rsid w:val="72981E7F"/>
    <w:rsid w:val="72A1CEEF"/>
    <w:rsid w:val="72B66BF1"/>
    <w:rsid w:val="72F43E04"/>
    <w:rsid w:val="731FD790"/>
    <w:rsid w:val="732186CD"/>
    <w:rsid w:val="7330AC68"/>
    <w:rsid w:val="7336BF79"/>
    <w:rsid w:val="73400448"/>
    <w:rsid w:val="735079B4"/>
    <w:rsid w:val="73597B88"/>
    <w:rsid w:val="736A41E3"/>
    <w:rsid w:val="736E001F"/>
    <w:rsid w:val="738CBE36"/>
    <w:rsid w:val="738F8AD3"/>
    <w:rsid w:val="7393A0D7"/>
    <w:rsid w:val="73AABA35"/>
    <w:rsid w:val="73BA7194"/>
    <w:rsid w:val="73D88411"/>
    <w:rsid w:val="74032CC2"/>
    <w:rsid w:val="74087CBE"/>
    <w:rsid w:val="740957CD"/>
    <w:rsid w:val="7432EF9E"/>
    <w:rsid w:val="7457D477"/>
    <w:rsid w:val="7467876E"/>
    <w:rsid w:val="747F1721"/>
    <w:rsid w:val="74B846B7"/>
    <w:rsid w:val="74BC19FD"/>
    <w:rsid w:val="74F0883E"/>
    <w:rsid w:val="74F66816"/>
    <w:rsid w:val="7500E6E5"/>
    <w:rsid w:val="7523034B"/>
    <w:rsid w:val="7534DEC5"/>
    <w:rsid w:val="7558B7B6"/>
    <w:rsid w:val="75697977"/>
    <w:rsid w:val="7581DB28"/>
    <w:rsid w:val="75824497"/>
    <w:rsid w:val="7585E1CE"/>
    <w:rsid w:val="758989DB"/>
    <w:rsid w:val="758BB328"/>
    <w:rsid w:val="7597E327"/>
    <w:rsid w:val="75B8D2E7"/>
    <w:rsid w:val="75C1C2D0"/>
    <w:rsid w:val="75CC4861"/>
    <w:rsid w:val="75E7F80C"/>
    <w:rsid w:val="75FE1D8B"/>
    <w:rsid w:val="7602BD64"/>
    <w:rsid w:val="7611C701"/>
    <w:rsid w:val="767AF59F"/>
    <w:rsid w:val="7702E669"/>
    <w:rsid w:val="770860B6"/>
    <w:rsid w:val="77093620"/>
    <w:rsid w:val="77369090"/>
    <w:rsid w:val="77414562"/>
    <w:rsid w:val="775BCE34"/>
    <w:rsid w:val="775C0D93"/>
    <w:rsid w:val="7794C58C"/>
    <w:rsid w:val="77AAD890"/>
    <w:rsid w:val="77BC8537"/>
    <w:rsid w:val="77C730FB"/>
    <w:rsid w:val="77D08BB9"/>
    <w:rsid w:val="7814C88C"/>
    <w:rsid w:val="782BA007"/>
    <w:rsid w:val="7838A82D"/>
    <w:rsid w:val="7888DE1A"/>
    <w:rsid w:val="78957EF4"/>
    <w:rsid w:val="789C6CF1"/>
    <w:rsid w:val="789F6345"/>
    <w:rsid w:val="78BCEEAC"/>
    <w:rsid w:val="78D45338"/>
    <w:rsid w:val="78D492B2"/>
    <w:rsid w:val="78DC564D"/>
    <w:rsid w:val="78DFC84F"/>
    <w:rsid w:val="78E3765E"/>
    <w:rsid w:val="78FA273B"/>
    <w:rsid w:val="79061978"/>
    <w:rsid w:val="7913E3E4"/>
    <w:rsid w:val="792806B8"/>
    <w:rsid w:val="792E14E1"/>
    <w:rsid w:val="795311CC"/>
    <w:rsid w:val="7957295F"/>
    <w:rsid w:val="7968D76D"/>
    <w:rsid w:val="7976DF6A"/>
    <w:rsid w:val="79783EF7"/>
    <w:rsid w:val="799E27C9"/>
    <w:rsid w:val="79B52FC9"/>
    <w:rsid w:val="79C8DDF4"/>
    <w:rsid w:val="79CA9434"/>
    <w:rsid w:val="79E3BA46"/>
    <w:rsid w:val="79EDD4CA"/>
    <w:rsid w:val="79EECAFA"/>
    <w:rsid w:val="7A0EB308"/>
    <w:rsid w:val="7A14270B"/>
    <w:rsid w:val="7A22AF65"/>
    <w:rsid w:val="7A4D2397"/>
    <w:rsid w:val="7A5C730F"/>
    <w:rsid w:val="7A66373F"/>
    <w:rsid w:val="7A74193A"/>
    <w:rsid w:val="7A9485A8"/>
    <w:rsid w:val="7AA0CEE8"/>
    <w:rsid w:val="7AABE7F3"/>
    <w:rsid w:val="7AB3A73D"/>
    <w:rsid w:val="7AB749D8"/>
    <w:rsid w:val="7AB8692C"/>
    <w:rsid w:val="7B36B6FC"/>
    <w:rsid w:val="7B4D3CFD"/>
    <w:rsid w:val="7B62F438"/>
    <w:rsid w:val="7B69EBDF"/>
    <w:rsid w:val="7B7D663C"/>
    <w:rsid w:val="7B9E2400"/>
    <w:rsid w:val="7BA28827"/>
    <w:rsid w:val="7BD7F025"/>
    <w:rsid w:val="7BF40E27"/>
    <w:rsid w:val="7C5386E1"/>
    <w:rsid w:val="7C627485"/>
    <w:rsid w:val="7C69DC98"/>
    <w:rsid w:val="7C9FACED"/>
    <w:rsid w:val="7CA9C32E"/>
    <w:rsid w:val="7CB47823"/>
    <w:rsid w:val="7CBA6C72"/>
    <w:rsid w:val="7CD70033"/>
    <w:rsid w:val="7D2DEFE3"/>
    <w:rsid w:val="7D30E29E"/>
    <w:rsid w:val="7D3F1474"/>
    <w:rsid w:val="7D4FA962"/>
    <w:rsid w:val="7D737A23"/>
    <w:rsid w:val="7D89E651"/>
    <w:rsid w:val="7DC4F7C5"/>
    <w:rsid w:val="7DC69F16"/>
    <w:rsid w:val="7DCC47E5"/>
    <w:rsid w:val="7DCEF1AC"/>
    <w:rsid w:val="7E09BAE2"/>
    <w:rsid w:val="7E0AA8BF"/>
    <w:rsid w:val="7E28F89C"/>
    <w:rsid w:val="7E375F1B"/>
    <w:rsid w:val="7E5B4FD8"/>
    <w:rsid w:val="7E661938"/>
    <w:rsid w:val="7E670D56"/>
    <w:rsid w:val="7E7E759B"/>
    <w:rsid w:val="7E9FC5E5"/>
    <w:rsid w:val="7EB35DA2"/>
    <w:rsid w:val="7EC0F939"/>
    <w:rsid w:val="7EF07785"/>
    <w:rsid w:val="7EF29DEA"/>
    <w:rsid w:val="7F07B1F9"/>
    <w:rsid w:val="7F07D2C1"/>
    <w:rsid w:val="7F0DCF1F"/>
    <w:rsid w:val="7F185AC1"/>
    <w:rsid w:val="7F1ABC37"/>
    <w:rsid w:val="7F221607"/>
    <w:rsid w:val="7F6CFE49"/>
    <w:rsid w:val="7F7670D4"/>
    <w:rsid w:val="7F89BE58"/>
    <w:rsid w:val="7F924A5C"/>
    <w:rsid w:val="7FAED39E"/>
    <w:rsid w:val="7FBB281D"/>
    <w:rsid w:val="7FC31801"/>
    <w:rsid w:val="7FEC46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5605B"/>
  <w15:chartTrackingRefBased/>
  <w15:docId w15:val="{9E91C45A-DB29-42C7-A6AF-E6F841464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CAA"/>
  </w:style>
  <w:style w:type="paragraph" w:styleId="Heading1">
    <w:name w:val="heading 1"/>
    <w:basedOn w:val="Normal"/>
    <w:next w:val="Normal"/>
    <w:link w:val="Heading1Char"/>
    <w:uiPriority w:val="9"/>
    <w:qFormat/>
    <w:rsid w:val="00BC4A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4A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C4A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C4A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C4A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BC4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4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4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4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A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4A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C4A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C4A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C4A7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BC4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4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4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4A74"/>
    <w:rPr>
      <w:rFonts w:eastAsiaTheme="majorEastAsia" w:cstheme="majorBidi"/>
      <w:color w:val="272727" w:themeColor="text1" w:themeTint="D8"/>
    </w:rPr>
  </w:style>
  <w:style w:type="paragraph" w:styleId="Title">
    <w:name w:val="Title"/>
    <w:basedOn w:val="Normal"/>
    <w:next w:val="Normal"/>
    <w:link w:val="TitleChar"/>
    <w:uiPriority w:val="10"/>
    <w:qFormat/>
    <w:rsid w:val="00BC4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4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4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4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4A74"/>
    <w:pPr>
      <w:spacing w:before="160"/>
      <w:jc w:val="center"/>
    </w:pPr>
    <w:rPr>
      <w:i/>
      <w:iCs/>
      <w:color w:val="404040" w:themeColor="text1" w:themeTint="BF"/>
    </w:rPr>
  </w:style>
  <w:style w:type="character" w:customStyle="1" w:styleId="QuoteChar">
    <w:name w:val="Quote Char"/>
    <w:basedOn w:val="DefaultParagraphFont"/>
    <w:link w:val="Quote"/>
    <w:uiPriority w:val="29"/>
    <w:rsid w:val="00BC4A74"/>
    <w:rPr>
      <w:i/>
      <w:iCs/>
      <w:color w:val="404040" w:themeColor="text1" w:themeTint="BF"/>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C4A74"/>
    <w:pPr>
      <w:ind w:left="720"/>
      <w:contextualSpacing/>
    </w:pPr>
  </w:style>
  <w:style w:type="character" w:styleId="IntenseEmphasis">
    <w:name w:val="Intense Emphasis"/>
    <w:basedOn w:val="DefaultParagraphFont"/>
    <w:uiPriority w:val="21"/>
    <w:qFormat/>
    <w:rsid w:val="00BC4A74"/>
    <w:rPr>
      <w:i/>
      <w:iCs/>
      <w:color w:val="0F4761" w:themeColor="accent1" w:themeShade="BF"/>
    </w:rPr>
  </w:style>
  <w:style w:type="paragraph" w:styleId="IntenseQuote">
    <w:name w:val="Intense Quote"/>
    <w:basedOn w:val="Normal"/>
    <w:next w:val="Normal"/>
    <w:link w:val="IntenseQuoteChar"/>
    <w:uiPriority w:val="30"/>
    <w:qFormat/>
    <w:rsid w:val="00BC4A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4A74"/>
    <w:rPr>
      <w:i/>
      <w:iCs/>
      <w:color w:val="0F4761" w:themeColor="accent1" w:themeShade="BF"/>
    </w:rPr>
  </w:style>
  <w:style w:type="character" w:styleId="IntenseReference">
    <w:name w:val="Intense Reference"/>
    <w:basedOn w:val="DefaultParagraphFont"/>
    <w:uiPriority w:val="32"/>
    <w:qFormat/>
    <w:rsid w:val="00BC4A74"/>
    <w:rPr>
      <w:b/>
      <w:bCs/>
      <w:smallCaps/>
      <w:color w:val="0F4761" w:themeColor="accent1" w:themeShade="BF"/>
      <w:spacing w:val="5"/>
    </w:rPr>
  </w:style>
  <w:style w:type="paragraph" w:styleId="TOC1">
    <w:name w:val="toc 1"/>
    <w:basedOn w:val="Normal"/>
    <w:next w:val="Normal"/>
    <w:autoRedefine/>
    <w:uiPriority w:val="39"/>
    <w:unhideWhenUsed/>
    <w:rsid w:val="00433049"/>
    <w:pPr>
      <w:spacing w:before="120" w:after="0"/>
    </w:pPr>
    <w:rPr>
      <w:b/>
      <w:bCs/>
      <w:i/>
      <w:iCs/>
    </w:rPr>
  </w:style>
  <w:style w:type="paragraph" w:styleId="TOC2">
    <w:name w:val="toc 2"/>
    <w:basedOn w:val="Normal"/>
    <w:next w:val="Normal"/>
    <w:autoRedefine/>
    <w:uiPriority w:val="39"/>
    <w:unhideWhenUsed/>
    <w:rsid w:val="00433049"/>
    <w:pPr>
      <w:spacing w:before="120" w:after="0"/>
      <w:ind w:left="240"/>
    </w:pPr>
    <w:rPr>
      <w:b/>
      <w:bCs/>
      <w:sz w:val="22"/>
      <w:szCs w:val="22"/>
    </w:rPr>
  </w:style>
  <w:style w:type="character" w:styleId="Hyperlink">
    <w:name w:val="Hyperlink"/>
    <w:basedOn w:val="DefaultParagraphFont"/>
    <w:uiPriority w:val="99"/>
    <w:unhideWhenUsed/>
    <w:rsid w:val="00C563B2"/>
    <w:rPr>
      <w:color w:val="000000" w:themeColor="text1"/>
      <w:u w:val="none"/>
    </w:rPr>
  </w:style>
  <w:style w:type="paragraph" w:styleId="CommentText">
    <w:name w:val="annotation text"/>
    <w:basedOn w:val="Normal"/>
    <w:link w:val="CommentTextChar"/>
    <w:uiPriority w:val="99"/>
    <w:unhideWhenUsed/>
    <w:rsid w:val="00F473DB"/>
    <w:pPr>
      <w:spacing w:line="240" w:lineRule="auto"/>
    </w:pPr>
    <w:rPr>
      <w:rFonts w:eastAsiaTheme="minorEastAsia"/>
      <w:kern w:val="0"/>
      <w:sz w:val="20"/>
      <w:szCs w:val="20"/>
      <w:lang w:eastAsia="ja-JP"/>
      <w14:ligatures w14:val="none"/>
    </w:rPr>
  </w:style>
  <w:style w:type="character" w:customStyle="1" w:styleId="CommentTextChar">
    <w:name w:val="Comment Text Char"/>
    <w:basedOn w:val="DefaultParagraphFont"/>
    <w:link w:val="CommentText"/>
    <w:uiPriority w:val="99"/>
    <w:rsid w:val="00F473DB"/>
    <w:rPr>
      <w:rFonts w:eastAsiaTheme="minorEastAsia"/>
      <w:kern w:val="0"/>
      <w:sz w:val="20"/>
      <w:szCs w:val="20"/>
      <w:lang w:eastAsia="ja-JP"/>
      <w14:ligatures w14:val="none"/>
    </w:rPr>
  </w:style>
  <w:style w:type="character" w:styleId="CommentReference">
    <w:name w:val="annotation reference"/>
    <w:basedOn w:val="DefaultParagraphFont"/>
    <w:uiPriority w:val="99"/>
    <w:unhideWhenUsed/>
    <w:rsid w:val="00F473DB"/>
    <w:rPr>
      <w:sz w:val="16"/>
      <w:szCs w:val="16"/>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F473DB"/>
    <w:pPr>
      <w:spacing w:after="0" w:line="240" w:lineRule="auto"/>
    </w:pPr>
    <w:rPr>
      <w:rFonts w:eastAsiaTheme="minorEastAsia"/>
      <w:kern w:val="0"/>
      <w:sz w:val="20"/>
      <w:szCs w:val="20"/>
      <w:lang w:eastAsia="ja-JP"/>
      <w14:ligatures w14:val="none"/>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F473DB"/>
    <w:rPr>
      <w:rFonts w:eastAsiaTheme="minorEastAsia"/>
      <w:kern w:val="0"/>
      <w:sz w:val="20"/>
      <w:szCs w:val="20"/>
      <w:lang w:eastAsia="ja-JP"/>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F473DB"/>
    <w:rPr>
      <w:vertAlign w:val="superscript"/>
    </w:rPr>
  </w:style>
  <w:style w:type="paragraph" w:styleId="Caption">
    <w:name w:val="caption"/>
    <w:basedOn w:val="Normal"/>
    <w:next w:val="Normal"/>
    <w:uiPriority w:val="35"/>
    <w:unhideWhenUsed/>
    <w:qFormat/>
    <w:rsid w:val="00F473DB"/>
    <w:pPr>
      <w:spacing w:after="200" w:line="240" w:lineRule="auto"/>
    </w:pPr>
    <w:rPr>
      <w:rFonts w:eastAsiaTheme="minorEastAsia"/>
      <w:i/>
      <w:iCs/>
      <w:color w:val="0E2841" w:themeColor="text2"/>
      <w:kern w:val="0"/>
      <w:sz w:val="18"/>
      <w:szCs w:val="18"/>
      <w:lang w:eastAsia="ja-JP"/>
      <w14:ligatures w14:val="none"/>
    </w:rPr>
  </w:style>
  <w:style w:type="paragraph" w:styleId="Bibliography">
    <w:name w:val="Bibliography"/>
    <w:basedOn w:val="Normal"/>
    <w:next w:val="Normal"/>
    <w:uiPriority w:val="37"/>
    <w:unhideWhenUsed/>
    <w:rsid w:val="005F36BD"/>
    <w:pPr>
      <w:tabs>
        <w:tab w:val="left" w:pos="380"/>
      </w:tabs>
      <w:spacing w:after="0" w:line="240" w:lineRule="auto"/>
      <w:ind w:left="720" w:hanging="720"/>
    </w:pPr>
  </w:style>
  <w:style w:type="paragraph" w:styleId="TOC3">
    <w:name w:val="toc 3"/>
    <w:basedOn w:val="Normal"/>
    <w:next w:val="Normal"/>
    <w:autoRedefine/>
    <w:uiPriority w:val="39"/>
    <w:unhideWhenUsed/>
    <w:rsid w:val="005F36BD"/>
    <w:pPr>
      <w:spacing w:after="0"/>
      <w:ind w:left="480"/>
    </w:pPr>
    <w:rPr>
      <w:sz w:val="20"/>
      <w:szCs w:val="20"/>
    </w:rPr>
  </w:style>
  <w:style w:type="paragraph" w:styleId="Header">
    <w:name w:val="header"/>
    <w:basedOn w:val="Normal"/>
    <w:link w:val="HeaderChar"/>
    <w:uiPriority w:val="99"/>
    <w:unhideWhenUsed/>
    <w:rsid w:val="00017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82F"/>
  </w:style>
  <w:style w:type="paragraph" w:styleId="Footer">
    <w:name w:val="footer"/>
    <w:basedOn w:val="Normal"/>
    <w:link w:val="FooterChar"/>
    <w:uiPriority w:val="99"/>
    <w:unhideWhenUsed/>
    <w:rsid w:val="00017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82F"/>
  </w:style>
  <w:style w:type="paragraph" w:styleId="TOC4">
    <w:name w:val="toc 4"/>
    <w:basedOn w:val="Normal"/>
    <w:next w:val="Normal"/>
    <w:autoRedefine/>
    <w:uiPriority w:val="39"/>
    <w:unhideWhenUsed/>
    <w:rsid w:val="005A5901"/>
    <w:pPr>
      <w:spacing w:after="0"/>
      <w:ind w:left="720"/>
    </w:pPr>
    <w:rPr>
      <w:sz w:val="20"/>
      <w:szCs w:val="20"/>
    </w:rPr>
  </w:style>
  <w:style w:type="paragraph" w:customStyle="1" w:styleId="p1">
    <w:name w:val="p1"/>
    <w:basedOn w:val="Normal"/>
    <w:rsid w:val="00D1642D"/>
    <w:pPr>
      <w:spacing w:after="0" w:line="240" w:lineRule="auto"/>
    </w:pPr>
    <w:rPr>
      <w:rFonts w:ascii="Times New Roman" w:eastAsia="Times New Roman" w:hAnsi="Times New Roman" w:cs="Times New Roman"/>
      <w:color w:val="000000"/>
      <w:kern w:val="0"/>
      <w:sz w:val="17"/>
      <w:szCs w:val="17"/>
      <w:lang w:eastAsia="en-GB"/>
      <w14:ligatures w14:val="none"/>
    </w:rPr>
  </w:style>
  <w:style w:type="table" w:styleId="TableGrid">
    <w:name w:val="Table Grid"/>
    <w:basedOn w:val="TableNormal"/>
    <w:uiPriority w:val="39"/>
    <w:qFormat/>
    <w:rsid w:val="00EC2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182E74"/>
    <w:pPr>
      <w:spacing w:after="0"/>
      <w:ind w:left="960"/>
    </w:pPr>
    <w:rPr>
      <w:sz w:val="20"/>
      <w:szCs w:val="20"/>
    </w:rPr>
  </w:style>
  <w:style w:type="paragraph" w:styleId="TOCHeading">
    <w:name w:val="TOC Heading"/>
    <w:basedOn w:val="Heading1"/>
    <w:next w:val="Normal"/>
    <w:uiPriority w:val="39"/>
    <w:unhideWhenUsed/>
    <w:qFormat/>
    <w:rsid w:val="00BF7817"/>
    <w:pPr>
      <w:spacing w:before="480" w:after="0" w:line="276" w:lineRule="auto"/>
      <w:outlineLvl w:val="9"/>
    </w:pPr>
    <w:rPr>
      <w:b/>
      <w:bCs/>
      <w:kern w:val="0"/>
      <w:sz w:val="28"/>
      <w:szCs w:val="28"/>
      <w:lang w:val="en-US"/>
      <w14:ligatures w14:val="none"/>
    </w:rPr>
  </w:style>
  <w:style w:type="paragraph" w:styleId="TOC6">
    <w:name w:val="toc 6"/>
    <w:basedOn w:val="Normal"/>
    <w:next w:val="Normal"/>
    <w:autoRedefine/>
    <w:uiPriority w:val="39"/>
    <w:unhideWhenUsed/>
    <w:rsid w:val="00BF7817"/>
    <w:pPr>
      <w:spacing w:after="0"/>
      <w:ind w:left="1200"/>
    </w:pPr>
    <w:rPr>
      <w:sz w:val="20"/>
      <w:szCs w:val="20"/>
    </w:rPr>
  </w:style>
  <w:style w:type="paragraph" w:styleId="TOC7">
    <w:name w:val="toc 7"/>
    <w:basedOn w:val="Normal"/>
    <w:next w:val="Normal"/>
    <w:autoRedefine/>
    <w:uiPriority w:val="39"/>
    <w:unhideWhenUsed/>
    <w:rsid w:val="00BF7817"/>
    <w:pPr>
      <w:spacing w:after="0"/>
      <w:ind w:left="1440"/>
    </w:pPr>
    <w:rPr>
      <w:sz w:val="20"/>
      <w:szCs w:val="20"/>
    </w:rPr>
  </w:style>
  <w:style w:type="paragraph" w:styleId="TOC8">
    <w:name w:val="toc 8"/>
    <w:basedOn w:val="Normal"/>
    <w:next w:val="Normal"/>
    <w:autoRedefine/>
    <w:uiPriority w:val="39"/>
    <w:unhideWhenUsed/>
    <w:rsid w:val="00BF7817"/>
    <w:pPr>
      <w:spacing w:after="0"/>
      <w:ind w:left="1680"/>
    </w:pPr>
    <w:rPr>
      <w:sz w:val="20"/>
      <w:szCs w:val="20"/>
    </w:rPr>
  </w:style>
  <w:style w:type="paragraph" w:styleId="TOC9">
    <w:name w:val="toc 9"/>
    <w:basedOn w:val="Normal"/>
    <w:next w:val="Normal"/>
    <w:autoRedefine/>
    <w:uiPriority w:val="39"/>
    <w:unhideWhenUsed/>
    <w:rsid w:val="00BF7817"/>
    <w:pPr>
      <w:spacing w:after="0"/>
      <w:ind w:left="1920"/>
    </w:pPr>
    <w:rPr>
      <w:sz w:val="20"/>
      <w:szCs w:val="20"/>
    </w:rPr>
  </w:style>
  <w:style w:type="paragraph" w:customStyle="1" w:styleId="CBDNormalNumber">
    <w:name w:val="CBD_Normal_Number"/>
    <w:basedOn w:val="Normal"/>
    <w:qFormat/>
    <w:rsid w:val="00550E7A"/>
    <w:pPr>
      <w:tabs>
        <w:tab w:val="left" w:pos="567"/>
        <w:tab w:val="left" w:pos="1134"/>
        <w:tab w:val="left" w:pos="1701"/>
        <w:tab w:val="left" w:pos="2268"/>
        <w:tab w:val="left" w:pos="2835"/>
        <w:tab w:val="left" w:pos="3402"/>
        <w:tab w:val="left" w:pos="3969"/>
      </w:tabs>
      <w:spacing w:before="120" w:after="120" w:line="240" w:lineRule="auto"/>
      <w:jc w:val="both"/>
    </w:pPr>
    <w:rPr>
      <w:rFonts w:ascii="Times New Roman" w:eastAsia="SimSun" w:hAnsi="Times New Roman" w:cs="Times New Roman"/>
      <w:kern w:val="0"/>
      <w:sz w:val="22"/>
      <w:szCs w:val="22"/>
      <w14:ligatures w14:val="none"/>
    </w:rPr>
  </w:style>
  <w:style w:type="numbering" w:customStyle="1" w:styleId="ImportedStyle2">
    <w:name w:val="Imported Style 2"/>
    <w:rsid w:val="00550E7A"/>
    <w:pPr>
      <w:numPr>
        <w:numId w:val="7"/>
      </w:numPr>
    </w:pPr>
  </w:style>
  <w:style w:type="numbering" w:customStyle="1" w:styleId="ListCBD">
    <w:name w:val="ListCBD"/>
    <w:basedOn w:val="NoList"/>
    <w:uiPriority w:val="99"/>
    <w:rsid w:val="00550E7A"/>
    <w:pPr>
      <w:numPr>
        <w:numId w:val="4"/>
      </w:numPr>
    </w:pPr>
  </w:style>
  <w:style w:type="character" w:customStyle="1" w:styleId="normaltextrun">
    <w:name w:val="normaltextrun"/>
    <w:basedOn w:val="DefaultParagraphFont"/>
    <w:rsid w:val="00977CF9"/>
  </w:style>
  <w:style w:type="character" w:customStyle="1" w:styleId="eop">
    <w:name w:val="eop"/>
    <w:basedOn w:val="DefaultParagraphFont"/>
    <w:rsid w:val="00977CF9"/>
  </w:style>
  <w:style w:type="character" w:styleId="UnresolvedMention">
    <w:name w:val="Unresolved Mention"/>
    <w:basedOn w:val="DefaultParagraphFont"/>
    <w:uiPriority w:val="99"/>
    <w:semiHidden/>
    <w:unhideWhenUsed/>
    <w:rsid w:val="007743FE"/>
    <w:rPr>
      <w:color w:val="605E5C"/>
      <w:shd w:val="clear" w:color="auto" w:fill="E1DFDD"/>
    </w:rPr>
  </w:style>
  <w:style w:type="character" w:styleId="FollowedHyperlink">
    <w:name w:val="FollowedHyperlink"/>
    <w:basedOn w:val="DefaultParagraphFont"/>
    <w:uiPriority w:val="99"/>
    <w:semiHidden/>
    <w:unhideWhenUsed/>
    <w:rsid w:val="00416DCE"/>
    <w:rPr>
      <w:color w:val="96607D" w:themeColor="followedHyperlink"/>
      <w:u w:val="single"/>
    </w:rPr>
  </w:style>
  <w:style w:type="paragraph" w:styleId="TableofFigures">
    <w:name w:val="table of figures"/>
    <w:basedOn w:val="Normal"/>
    <w:next w:val="Normal"/>
    <w:uiPriority w:val="99"/>
    <w:unhideWhenUsed/>
    <w:rsid w:val="00406738"/>
    <w:pPr>
      <w:spacing w:after="0"/>
    </w:pPr>
  </w:style>
  <w:style w:type="paragraph" w:styleId="CommentSubject">
    <w:name w:val="annotation subject"/>
    <w:basedOn w:val="CommentText"/>
    <w:next w:val="CommentText"/>
    <w:link w:val="CommentSubjectChar"/>
    <w:uiPriority w:val="99"/>
    <w:semiHidden/>
    <w:unhideWhenUsed/>
    <w:rsid w:val="00694BB9"/>
    <w:rPr>
      <w:rFonts w:eastAsiaTheme="minorHAns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694BB9"/>
    <w:rPr>
      <w:rFonts w:eastAsiaTheme="minorEastAsia"/>
      <w:b/>
      <w:bCs/>
      <w:kern w:val="0"/>
      <w:sz w:val="20"/>
      <w:szCs w:val="20"/>
      <w:lang w:eastAsia="ja-JP"/>
      <w14:ligatures w14:val="none"/>
    </w:rPr>
  </w:style>
  <w:style w:type="paragraph" w:styleId="NormalWeb">
    <w:name w:val="Normal (Web)"/>
    <w:basedOn w:val="Normal"/>
    <w:uiPriority w:val="99"/>
    <w:unhideWhenUsed/>
    <w:rsid w:val="00BD32CB"/>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Mention">
    <w:name w:val="Mention"/>
    <w:basedOn w:val="DefaultParagraphFont"/>
    <w:uiPriority w:val="99"/>
    <w:unhideWhenUsed/>
    <w:rsid w:val="003421A5"/>
    <w:rPr>
      <w:color w:val="2B579A"/>
      <w:shd w:val="clear" w:color="auto" w:fill="E1DFDD"/>
    </w:rPr>
  </w:style>
  <w:style w:type="character" w:customStyle="1" w:styleId="apple-converted-space">
    <w:name w:val="apple-converted-space"/>
    <w:basedOn w:val="DefaultParagraphFont"/>
    <w:rsid w:val="008B5B6D"/>
  </w:style>
  <w:style w:type="paragraph" w:customStyle="1" w:styleId="paragraph">
    <w:name w:val="paragraph"/>
    <w:basedOn w:val="Normal"/>
    <w:rsid w:val="008B5B6D"/>
    <w:pPr>
      <w:spacing w:before="100" w:beforeAutospacing="1" w:after="100" w:afterAutospacing="1" w:line="240" w:lineRule="auto"/>
    </w:pPr>
    <w:rPr>
      <w:rFonts w:ascii="Times New Roman" w:eastAsia="Times New Roman" w:hAnsi="Times New Roman" w:cs="Times New Roman"/>
      <w:kern w:val="0"/>
      <w:lang w:val="en-CA"/>
      <w14:ligatures w14:val="none"/>
    </w:rPr>
  </w:style>
  <w:style w:type="paragraph" w:customStyle="1" w:styleId="Default">
    <w:name w:val="Default"/>
    <w:rsid w:val="00532280"/>
    <w:pPr>
      <w:autoSpaceDE w:val="0"/>
      <w:autoSpaceDN w:val="0"/>
      <w:adjustRightInd w:val="0"/>
      <w:spacing w:after="0" w:line="240" w:lineRule="auto"/>
    </w:pPr>
    <w:rPr>
      <w:rFonts w:ascii="Times New Roman" w:hAnsi="Times New Roman" w:cs="Times New Roman"/>
      <w:color w:val="000000"/>
      <w:kern w:val="0"/>
    </w:rPr>
  </w:style>
  <w:style w:type="character" w:customStyle="1" w:styleId="wacimagecontainer">
    <w:name w:val="wacimagecontainer"/>
    <w:basedOn w:val="DefaultParagraphFont"/>
    <w:rsid w:val="00FD3C45"/>
  </w:style>
  <w:style w:type="character" w:styleId="Strong">
    <w:name w:val="Strong"/>
    <w:basedOn w:val="DefaultParagraphFont"/>
    <w:uiPriority w:val="22"/>
    <w:qFormat/>
    <w:rsid w:val="00664465"/>
    <w:rPr>
      <w:b/>
      <w:bCs/>
      <w:lang w:val="en-GB"/>
    </w:rPr>
  </w:style>
  <w:style w:type="paragraph" w:customStyle="1" w:styleId="Normalnumber">
    <w:name w:val="Normal_number"/>
    <w:basedOn w:val="Normal"/>
    <w:link w:val="NormalnumberChar"/>
    <w:qFormat/>
    <w:rsid w:val="0043487E"/>
    <w:pPr>
      <w:keepNext/>
      <w:keepLines/>
      <w:tabs>
        <w:tab w:val="left" w:pos="1247"/>
        <w:tab w:val="left" w:pos="1871"/>
        <w:tab w:val="left" w:pos="2495"/>
        <w:tab w:val="left" w:pos="3119"/>
        <w:tab w:val="left" w:pos="3742"/>
        <w:tab w:val="left" w:pos="4366"/>
        <w:tab w:val="left" w:pos="4990"/>
      </w:tabs>
      <w:suppressAutoHyphens/>
      <w:spacing w:before="320" w:after="120" w:line="240" w:lineRule="auto"/>
      <w:ind w:right="567"/>
    </w:pPr>
    <w:rPr>
      <w:rFonts w:ascii="Times New Roman" w:eastAsia="Times New Roman" w:hAnsi="Times New Roman" w:cs="Times New Roman"/>
      <w:kern w:val="0"/>
      <w:sz w:val="20"/>
      <w:szCs w:val="20"/>
      <w:lang w:val="en-US"/>
      <w14:ligatures w14:val="none"/>
    </w:rPr>
  </w:style>
  <w:style w:type="character" w:customStyle="1" w:styleId="NormalnumberChar">
    <w:name w:val="Normal_number Char"/>
    <w:link w:val="Normalnumber"/>
    <w:qFormat/>
    <w:rsid w:val="0043487E"/>
    <w:rPr>
      <w:rFonts w:ascii="Times New Roman" w:eastAsia="Times New Roman" w:hAnsi="Times New Roman" w:cs="Times New Roman"/>
      <w:kern w:val="0"/>
      <w:sz w:val="20"/>
      <w:szCs w:val="20"/>
      <w:lang w:val="en-US"/>
      <w14:ligatures w14:val="none"/>
    </w:rPr>
  </w:style>
  <w:style w:type="paragraph" w:customStyle="1" w:styleId="TableParagraph">
    <w:name w:val="Table Paragraph"/>
    <w:basedOn w:val="Normal"/>
    <w:uiPriority w:val="1"/>
    <w:qFormat/>
    <w:rsid w:val="00A05160"/>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B3479"/>
    <w:pPr>
      <w:spacing w:line="240" w:lineRule="exact"/>
    </w:pPr>
    <w:rPr>
      <w:vertAlign w:val="superscript"/>
    </w:rPr>
  </w:style>
  <w:style w:type="character" w:styleId="LineNumber">
    <w:name w:val="line number"/>
    <w:basedOn w:val="DefaultParagraphFont"/>
    <w:uiPriority w:val="99"/>
    <w:semiHidden/>
    <w:unhideWhenUsed/>
    <w:rsid w:val="00761B8E"/>
  </w:style>
  <w:style w:type="paragraph" w:customStyle="1" w:styleId="pf0">
    <w:name w:val="pf0"/>
    <w:basedOn w:val="Normal"/>
    <w:rsid w:val="008E548F"/>
    <w:pPr>
      <w:spacing w:before="100" w:beforeAutospacing="1" w:after="100" w:afterAutospacing="1" w:line="240" w:lineRule="auto"/>
    </w:pPr>
    <w:rPr>
      <w:rFonts w:ascii="Times New Roman" w:eastAsia="Times New Roman" w:hAnsi="Times New Roman" w:cs="Times New Roman"/>
      <w:kern w:val="0"/>
      <w:lang w:val="en-CA" w:eastAsia="zh-CN"/>
      <w14:ligatures w14:val="none"/>
    </w:rPr>
  </w:style>
  <w:style w:type="character" w:customStyle="1" w:styleId="cf01">
    <w:name w:val="cf01"/>
    <w:basedOn w:val="DefaultParagraphFont"/>
    <w:rsid w:val="008E548F"/>
    <w:rPr>
      <w:rFonts w:ascii="Segoe UI" w:hAnsi="Segoe UI" w:cs="Segoe UI" w:hint="default"/>
      <w:sz w:val="18"/>
      <w:szCs w:val="18"/>
    </w:rPr>
  </w:style>
  <w:style w:type="paragraph" w:styleId="Revision">
    <w:name w:val="Revision"/>
    <w:hidden/>
    <w:uiPriority w:val="99"/>
    <w:semiHidden/>
    <w:rsid w:val="008E548F"/>
    <w:pPr>
      <w:spacing w:after="0" w:line="240" w:lineRule="auto"/>
    </w:pPr>
    <w:rPr>
      <w:rFonts w:eastAsiaTheme="minorEastAsia"/>
      <w:lang w:val="en-CA" w:eastAsia="zh-CN"/>
    </w:rPr>
  </w:style>
  <w:style w:type="character" w:customStyle="1" w:styleId="findhit">
    <w:name w:val="findhit"/>
    <w:basedOn w:val="DefaultParagraphFont"/>
    <w:rsid w:val="008E548F"/>
  </w:style>
  <w:style w:type="character" w:customStyle="1" w:styleId="nobreakhyphenblob">
    <w:name w:val="nobreakhyphenblob"/>
    <w:basedOn w:val="DefaultParagraphFont"/>
    <w:rsid w:val="008E548F"/>
  </w:style>
  <w:style w:type="character" w:styleId="Emphasis">
    <w:name w:val="Emphasis"/>
    <w:basedOn w:val="DefaultParagraphFont"/>
    <w:uiPriority w:val="20"/>
    <w:qFormat/>
    <w:rsid w:val="009973F1"/>
    <w:rPr>
      <w:i/>
      <w:iCs/>
    </w:rPr>
  </w:style>
  <w:style w:type="character" w:customStyle="1" w:styleId="citation-23">
    <w:name w:val="citation-23"/>
    <w:basedOn w:val="DefaultParagraphFont"/>
    <w:rsid w:val="00243A4B"/>
  </w:style>
  <w:style w:type="character" w:customStyle="1" w:styleId="citation-22">
    <w:name w:val="citation-22"/>
    <w:basedOn w:val="DefaultParagraphFont"/>
    <w:rsid w:val="00243A4B"/>
  </w:style>
  <w:style w:type="character" w:customStyle="1" w:styleId="citation-21">
    <w:name w:val="citation-21"/>
    <w:basedOn w:val="DefaultParagraphFont"/>
    <w:rsid w:val="00243A4B"/>
  </w:style>
  <w:style w:type="character" w:customStyle="1" w:styleId="citation-20">
    <w:name w:val="citation-20"/>
    <w:basedOn w:val="DefaultParagraphFont"/>
    <w:rsid w:val="00243A4B"/>
  </w:style>
  <w:style w:type="character" w:customStyle="1" w:styleId="citation-19">
    <w:name w:val="citation-19"/>
    <w:basedOn w:val="DefaultParagraphFont"/>
    <w:rsid w:val="00243A4B"/>
  </w:style>
  <w:style w:type="character" w:customStyle="1" w:styleId="citation-18">
    <w:name w:val="citation-18"/>
    <w:basedOn w:val="DefaultParagraphFont"/>
    <w:rsid w:val="00243A4B"/>
  </w:style>
  <w:style w:type="character" w:customStyle="1" w:styleId="agcmg">
    <w:name w:val="a_gcmg"/>
    <w:basedOn w:val="DefaultParagraphFont"/>
    <w:rsid w:val="00B50240"/>
  </w:style>
  <w:style w:type="paragraph" w:customStyle="1" w:styleId="CBDNormalNoNumber">
    <w:name w:val="CBD_Normal_NoNumber"/>
    <w:basedOn w:val="Normal"/>
    <w:qFormat/>
    <w:rsid w:val="00230AA3"/>
    <w:pPr>
      <w:tabs>
        <w:tab w:val="left" w:pos="567"/>
        <w:tab w:val="left" w:pos="1134"/>
        <w:tab w:val="left" w:pos="1701"/>
        <w:tab w:val="left" w:pos="2268"/>
        <w:tab w:val="left" w:pos="2835"/>
        <w:tab w:val="left" w:pos="3402"/>
      </w:tabs>
      <w:spacing w:after="120" w:line="240" w:lineRule="auto"/>
      <w:ind w:left="567"/>
      <w:jc w:val="both"/>
    </w:pPr>
    <w:rPr>
      <w:rFonts w:ascii="Times New Roman" w:eastAsia="SimSun" w:hAnsi="Times New Roman" w:cs="Times New Roman"/>
      <w:kern w:val="0"/>
      <w:sz w:val="22"/>
      <w:szCs w:val="22"/>
      <w14:ligatures w14:val="none"/>
    </w:rPr>
  </w:style>
  <w:style w:type="paragraph" w:customStyle="1" w:styleId="CBDH2">
    <w:name w:val="CBD_H2"/>
    <w:basedOn w:val="Normal"/>
    <w:qFormat/>
    <w:rsid w:val="00733002"/>
    <w:pPr>
      <w:keepNext/>
      <w:keepLines/>
      <w:tabs>
        <w:tab w:val="left" w:pos="567"/>
        <w:tab w:val="left" w:pos="1134"/>
        <w:tab w:val="left" w:pos="1701"/>
        <w:tab w:val="left" w:pos="2268"/>
        <w:tab w:val="left" w:pos="2835"/>
        <w:tab w:val="left" w:pos="3402"/>
      </w:tabs>
      <w:spacing w:after="0" w:line="240" w:lineRule="auto"/>
      <w:ind w:left="567" w:hanging="567"/>
      <w:jc w:val="both"/>
    </w:pPr>
    <w:rPr>
      <w:rFonts w:ascii="Times New Roman" w:eastAsia="SimSun" w:hAnsi="Times New Roman" w:cs="Times New Roman"/>
      <w:b/>
      <w:kern w:val="0"/>
      <w:szCs w:val="22"/>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33002"/>
  </w:style>
  <w:style w:type="paragraph" w:customStyle="1" w:styleId="ds-markdown-paragraph">
    <w:name w:val="ds-markdown-paragraph"/>
    <w:basedOn w:val="Normal"/>
    <w:rsid w:val="00267FD2"/>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paragraph" w:customStyle="1" w:styleId="wordsection1">
    <w:name w:val="wordsection1"/>
    <w:basedOn w:val="Normal"/>
    <w:uiPriority w:val="99"/>
    <w:rsid w:val="000323E4"/>
    <w:pPr>
      <w:spacing w:before="100" w:beforeAutospacing="1" w:after="100" w:afterAutospacing="1" w:line="240" w:lineRule="auto"/>
    </w:pPr>
    <w:rPr>
      <w:rFonts w:ascii="Times New Roman" w:hAnsi="Times New Roman" w:cs="Times New Roman"/>
      <w:kern w:val="0"/>
      <w:lang w:val="en-US"/>
      <w14:ligatures w14:val="none"/>
    </w:rPr>
  </w:style>
  <w:style w:type="paragraph" w:customStyle="1" w:styleId="Para1">
    <w:name w:val="Para1"/>
    <w:basedOn w:val="Normal"/>
    <w:link w:val="Para1Char"/>
    <w:rsid w:val="00A7624F"/>
    <w:pPr>
      <w:numPr>
        <w:numId w:val="58"/>
      </w:numPr>
      <w:tabs>
        <w:tab w:val="clear" w:pos="360"/>
        <w:tab w:val="left" w:pos="567"/>
        <w:tab w:val="left" w:pos="1134"/>
        <w:tab w:val="left" w:pos="1701"/>
        <w:tab w:val="left" w:pos="2268"/>
      </w:tabs>
      <w:spacing w:before="120" w:after="120" w:line="240" w:lineRule="auto"/>
      <w:ind w:left="567"/>
      <w:jc w:val="both"/>
    </w:pPr>
    <w:rPr>
      <w:rFonts w:ascii="Times New Roman" w:eastAsia="SimSun" w:hAnsi="Times New Roman" w:cs="Times New Roman"/>
      <w:snapToGrid w:val="0"/>
      <w:kern w:val="0"/>
      <w:sz w:val="22"/>
      <w:szCs w:val="18"/>
      <w14:ligatures w14:val="none"/>
    </w:rPr>
  </w:style>
  <w:style w:type="character" w:customStyle="1" w:styleId="Para1Char">
    <w:name w:val="Para1 Char"/>
    <w:link w:val="Para1"/>
    <w:locked/>
    <w:rsid w:val="00A7624F"/>
    <w:rPr>
      <w:rFonts w:ascii="Times New Roman" w:eastAsia="SimSun" w:hAnsi="Times New Roman" w:cs="Times New Roman"/>
      <w:snapToGrid w:val="0"/>
      <w:kern w:val="0"/>
      <w:sz w:val="22"/>
      <w:szCs w:val="18"/>
      <w14:ligatures w14:val="none"/>
    </w:rPr>
  </w:style>
  <w:style w:type="paragraph" w:customStyle="1" w:styleId="ABSymbol">
    <w:name w:val="AB_Symbol"/>
    <w:basedOn w:val="Normal"/>
    <w:qFormat/>
    <w:rsid w:val="00A7624F"/>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line="240" w:lineRule="auto"/>
      <w:ind w:left="2019"/>
      <w:jc w:val="right"/>
    </w:pPr>
    <w:rPr>
      <w:rFonts w:ascii="Times New Roman" w:eastAsia="SimSun" w:hAnsi="Times New Roman" w:cs="Times New Roman"/>
      <w:kern w:val="0"/>
      <w:sz w:val="20"/>
      <w:szCs w:val="20"/>
      <w14:ligatures w14:val="none"/>
    </w:rPr>
  </w:style>
  <w:style w:type="paragraph" w:customStyle="1" w:styleId="AFCorNNormal">
    <w:name w:val="AF_CorNNormal"/>
    <w:basedOn w:val="Normal"/>
    <w:unhideWhenUsed/>
    <w:rsid w:val="00A7624F"/>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14:ligatures w14:val="none"/>
    </w:rPr>
  </w:style>
  <w:style w:type="paragraph" w:customStyle="1" w:styleId="AEDistrNormal">
    <w:name w:val="AE_DistrNormal"/>
    <w:basedOn w:val="Normal"/>
    <w:unhideWhenUsed/>
    <w:rsid w:val="00A7624F"/>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14:ligatures w14:val="none"/>
    </w:rPr>
  </w:style>
  <w:style w:type="paragraph" w:customStyle="1" w:styleId="AASmallLogo">
    <w:name w:val="AA_SmallLogo"/>
    <w:basedOn w:val="AEDistrNormal"/>
    <w:unhideWhenUsed/>
    <w:rsid w:val="00A7624F"/>
    <w:pPr>
      <w:spacing w:before="40"/>
    </w:pPr>
    <w:rPr>
      <w:sz w:val="4"/>
    </w:rPr>
  </w:style>
  <w:style w:type="paragraph" w:customStyle="1" w:styleId="ACLargeLogo">
    <w:name w:val="AC_LargeLogo"/>
    <w:basedOn w:val="AFCorNNormal"/>
    <w:next w:val="AISpacer"/>
    <w:unhideWhenUsed/>
    <w:rsid w:val="00A7624F"/>
    <w:pPr>
      <w:spacing w:before="120"/>
      <w:contextualSpacing/>
    </w:pPr>
    <w:rPr>
      <w:sz w:val="8"/>
    </w:rPr>
  </w:style>
  <w:style w:type="paragraph" w:customStyle="1" w:styleId="CBDNormal">
    <w:name w:val="CBD_Normal"/>
    <w:unhideWhenUsed/>
    <w:qFormat/>
    <w:rsid w:val="00A7624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customStyle="1" w:styleId="AISpacer">
    <w:name w:val="AI_Spacer"/>
    <w:next w:val="Normal"/>
    <w:unhideWhenUsed/>
    <w:qFormat/>
    <w:rsid w:val="00A7624F"/>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A7624F"/>
    <w:pPr>
      <w:spacing w:before="120"/>
    </w:pPr>
  </w:style>
  <w:style w:type="paragraph" w:customStyle="1" w:styleId="AFCorNBold">
    <w:name w:val="AF_CorNBold"/>
    <w:basedOn w:val="AFCorNNormal"/>
    <w:next w:val="AFCorNNormal"/>
    <w:unhideWhenUsed/>
    <w:qFormat/>
    <w:rsid w:val="00A7624F"/>
    <w:rPr>
      <w:b/>
    </w:rPr>
  </w:style>
  <w:style w:type="paragraph" w:customStyle="1" w:styleId="AFCorN12Bold">
    <w:name w:val="AF_CorN12Bold"/>
    <w:basedOn w:val="AFCorNNormal"/>
    <w:next w:val="AFCorNNormal"/>
    <w:unhideWhenUsed/>
    <w:qFormat/>
    <w:rsid w:val="00A7624F"/>
    <w:rPr>
      <w:b/>
      <w:sz w:val="24"/>
    </w:rPr>
  </w:style>
  <w:style w:type="paragraph" w:customStyle="1" w:styleId="CBDSubTitle">
    <w:name w:val="CBD_SubTitle"/>
    <w:basedOn w:val="CBDNormal"/>
    <w:qFormat/>
    <w:rsid w:val="00A7624F"/>
    <w:pPr>
      <w:keepNext/>
      <w:keepLines/>
      <w:spacing w:before="240" w:after="240"/>
      <w:ind w:left="567"/>
      <w:jc w:val="left"/>
    </w:pPr>
    <w:rPr>
      <w:b/>
    </w:rPr>
  </w:style>
  <w:style w:type="paragraph" w:customStyle="1" w:styleId="CBDTitle">
    <w:name w:val="CBD_Title"/>
    <w:basedOn w:val="CBDNormal"/>
    <w:next w:val="CBDSubTitle"/>
    <w:qFormat/>
    <w:rsid w:val="00A7624F"/>
    <w:pPr>
      <w:keepNext/>
      <w:keepLines/>
      <w:spacing w:before="240" w:after="240"/>
      <w:ind w:left="567"/>
      <w:jc w:val="left"/>
    </w:pPr>
    <w:rPr>
      <w:b/>
      <w:sz w:val="28"/>
    </w:rPr>
  </w:style>
  <w:style w:type="paragraph" w:customStyle="1" w:styleId="CBDFooter">
    <w:name w:val="CBD_Footer"/>
    <w:basedOn w:val="CBDNormal"/>
    <w:qFormat/>
    <w:rsid w:val="00E91E17"/>
    <w:rPr>
      <w:sz w:val="20"/>
    </w:rPr>
  </w:style>
  <w:style w:type="character" w:customStyle="1" w:styleId="dockedpanel">
    <w:name w:val="docked_panel"/>
    <w:basedOn w:val="DefaultParagraphFont"/>
    <w:rsid w:val="00515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7201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1.png"/><Relationship Id="rId299" Type="http://schemas.openxmlformats.org/officeDocument/2006/relationships/hyperlink" Target="https://cites.org/fra/sc/79/agenda-documents" TargetMode="External"/><Relationship Id="rId21" Type="http://schemas.openxmlformats.org/officeDocument/2006/relationships/hyperlink" Target="https://www.cbd.int/doc/c/4fc4/fb7a/aee60317b2bf743207635649/sbi-06-inf-05-en.pdf" TargetMode="External"/><Relationship Id="rId63" Type="http://schemas.openxmlformats.org/officeDocument/2006/relationships/hyperlink" Target="http://www.mangrovebreakthrough.com/" TargetMode="External"/><Relationship Id="rId159" Type="http://schemas.openxmlformats.org/officeDocument/2006/relationships/image" Target="media/image65.png"/><Relationship Id="rId324" Type="http://schemas.openxmlformats.org/officeDocument/2006/relationships/hyperlink" Target="https://www.cms.int/document/strategic-plan-migratory-species-2024-2032" TargetMode="External"/><Relationship Id="rId366" Type="http://schemas.openxmlformats.org/officeDocument/2006/relationships/hyperlink" Target="https://doi.org/10.5281/zenodo.6522522" TargetMode="External"/><Relationship Id="rId170" Type="http://schemas.openxmlformats.org/officeDocument/2006/relationships/hyperlink" Target="https://www.cbd.int/doc/c/85eb/18f4/797b0b3e3accf4f07746e773/cop-16-inf-04-en.pdf" TargetMode="External"/><Relationship Id="rId226" Type="http://schemas.openxmlformats.org/officeDocument/2006/relationships/hyperlink" Target="https://ort.cbd.int/database/287720" TargetMode="External"/><Relationship Id="rId433" Type="http://schemas.openxmlformats.org/officeDocument/2006/relationships/hyperlink" Target="https://www.cbd.int/notifications/2025-099" TargetMode="External"/><Relationship Id="rId268" Type="http://schemas.openxmlformats.org/officeDocument/2006/relationships/hyperlink" Target="https://doi.org/10.1098/rstb.2023.0206" TargetMode="External"/><Relationship Id="rId32" Type="http://schemas.openxmlformats.org/officeDocument/2006/relationships/hyperlink" Target="https://www.cbd.int/doc/c/4fc4/fb7a/aee60317b2bf743207635649/sbi-06-inf-05-en.pdf" TargetMode="External"/><Relationship Id="rId74" Type="http://schemas.openxmlformats.org/officeDocument/2006/relationships/hyperlink" Target="https://www.cbd.int/doc/c/ddd1/d3ca/1703a90a7d1c00ef8796ee79/sbi-07-inf-22-en.pdf" TargetMode="External"/><Relationship Id="rId128" Type="http://schemas.openxmlformats.org/officeDocument/2006/relationships/image" Target="media/image49.png"/><Relationship Id="rId335" Type="http://schemas.openxmlformats.org/officeDocument/2006/relationships/hyperlink" Target="https://www.cbd.int/notifications/2025-099" TargetMode="External"/><Relationship Id="rId377" Type="http://schemas.openxmlformats.org/officeDocument/2006/relationships/hyperlink" Target="https://doi.org/10.1111/csp2.70321" TargetMode="External"/><Relationship Id="rId5" Type="http://schemas.openxmlformats.org/officeDocument/2006/relationships/numbering" Target="numbering.xml"/><Relationship Id="rId181" Type="http://schemas.openxmlformats.org/officeDocument/2006/relationships/hyperlink" Target="https://www.cbd.int/doc/c/ea34/8414/8c5e6797d291af15f33d6e40/cop-16-inf-03-rev1-en.pdf" TargetMode="External"/><Relationship Id="rId237" Type="http://schemas.openxmlformats.org/officeDocument/2006/relationships/image" Target="media/image106.png"/><Relationship Id="rId402" Type="http://schemas.openxmlformats.org/officeDocument/2006/relationships/hyperlink" Target="https://www.wipo.int/edocs/mdocs/tk/fr/gratk_dc/gratk_dc_7.pdf" TargetMode="External"/><Relationship Id="rId279" Type="http://schemas.openxmlformats.org/officeDocument/2006/relationships/hyperlink" Target="https://www.cbd.int/gbo/gbo3/doc/GBO3-final-fr.pdf" TargetMode="External"/><Relationship Id="rId444" Type="http://schemas.openxmlformats.org/officeDocument/2006/relationships/hyperlink" Target="https://unesdoc.unesco.org/ark:/48223/pf0000395354" TargetMode="External"/><Relationship Id="rId43" Type="http://schemas.openxmlformats.org/officeDocument/2006/relationships/hyperlink" Target="https://www.cbd.int/doc/c/85eb/18f4/797b0b3e3accf4f07746e773/cop-16-inf-04-en.pdf" TargetMode="External"/><Relationship Id="rId139" Type="http://schemas.openxmlformats.org/officeDocument/2006/relationships/hyperlink" Target="https://citizens.ec.europa.eu/concluded-online-debates/young-citizens-assembly-pollinators_fr" TargetMode="External"/><Relationship Id="rId290" Type="http://schemas.openxmlformats.org/officeDocument/2006/relationships/hyperlink" Target="https://www.cbd.int/doc/publications/cbd-bbnj-booklet-en.pdf" TargetMode="External"/><Relationship Id="rId304" Type="http://schemas.openxmlformats.org/officeDocument/2006/relationships/hyperlink" Target="https://data.unccd.int/land-degradation?grouping=UNCCD&amp;region=aprL8rz" TargetMode="External"/><Relationship Id="rId346" Type="http://schemas.openxmlformats.org/officeDocument/2006/relationships/hyperlink" Target="https://openknowledge.fao.org/server/api/core/bitstreams/466f6492-5041-4808-90bd-1e4eb095176e/content" TargetMode="External"/><Relationship Id="rId388" Type="http://schemas.openxmlformats.org/officeDocument/2006/relationships/hyperlink" Target="https://www.gov.br/mma/pt-br/composicao/sbio/dflo/plano-nacional-de-recuperacao-da-vegetacao-nativa-planaveg/planaveg_2025-2028_2dez2024.pdf" TargetMode="External"/><Relationship Id="rId85" Type="http://schemas.openxmlformats.org/officeDocument/2006/relationships/image" Target="media/image29.png"/><Relationship Id="rId150" Type="http://schemas.openxmlformats.org/officeDocument/2006/relationships/hyperlink" Target="https://www.cbd.int/doc/c/ddd1/d3ca/1703a90a7d1c00ef8796ee79/sbi-07-inf-22-en.pdf" TargetMode="External"/><Relationship Id="rId192" Type="http://schemas.openxmlformats.org/officeDocument/2006/relationships/hyperlink" Target="https://www.cbd.int/doc/c/ddd1/d3ca/1703a90a7d1c00ef8796ee79/sbi-07-inf-22-en.pdf" TargetMode="External"/><Relationship Id="rId206" Type="http://schemas.openxmlformats.org/officeDocument/2006/relationships/image" Target="media/image89.png"/><Relationship Id="rId413" Type="http://schemas.openxmlformats.org/officeDocument/2006/relationships/hyperlink" Target="https://docs.un.org/fr/UNEP/EA.7/9" TargetMode="External"/><Relationship Id="rId248" Type="http://schemas.openxmlformats.org/officeDocument/2006/relationships/hyperlink" Target="https://www.cbd.int/doc/c/6ce5/8282/1614be4aeabfe830aceaa8d6/sbstta-26-inf-09-rev1-en.pdf" TargetMode="External"/><Relationship Id="rId12" Type="http://schemas.openxmlformats.org/officeDocument/2006/relationships/image" Target="media/image2.png"/><Relationship Id="rId108" Type="http://schemas.openxmlformats.org/officeDocument/2006/relationships/hyperlink" Target="https://ort.cbd.int/database/287715" TargetMode="External"/><Relationship Id="rId315" Type="http://schemas.openxmlformats.org/officeDocument/2006/relationships/hyperlink" Target="https://www.ifrs.org/issued-standards/ifrs-sustainability-standards-navigator/" TargetMode="External"/><Relationship Id="rId357" Type="http://schemas.openxmlformats.org/officeDocument/2006/relationships/hyperlink" Target="https://www.ecolex.org/details/legislation/law-on-livestock-tax-lex-faoc202443/" TargetMode="External"/><Relationship Id="rId54" Type="http://schemas.openxmlformats.org/officeDocument/2006/relationships/hyperlink" Target="https://www.cbd.int/doc/c/ea34/8414/8c5e6797d291af15f33d6e40/cop-16-inf-03-rev1-en.pdf" TargetMode="External"/><Relationship Id="rId96" Type="http://schemas.openxmlformats.org/officeDocument/2006/relationships/hyperlink" Target="https://ort.cbd.int/database/293918" TargetMode="External"/><Relationship Id="rId161" Type="http://schemas.openxmlformats.org/officeDocument/2006/relationships/hyperlink" Target="https://www.cbd.int/doc/c/85eb/18f4/797b0b3e3accf4f07746e773/cop-16-inf-04-en.pdf" TargetMode="External"/><Relationship Id="rId217" Type="http://schemas.openxmlformats.org/officeDocument/2006/relationships/image" Target="media/image94.png"/><Relationship Id="rId399" Type="http://schemas.openxmlformats.org/officeDocument/2006/relationships/hyperlink" Target="https://wwwcdn.imo.org/localresources/en/OurWork/Environment/Documents/Biofouling%20pages/BWM.2-Circ.13-Rev.5.pdf" TargetMode="External"/><Relationship Id="rId259" Type="http://schemas.openxmlformats.org/officeDocument/2006/relationships/hyperlink" Target="https://www.cbd.int/notifications/2025-099" TargetMode="External"/><Relationship Id="rId424" Type="http://schemas.openxmlformats.org/officeDocument/2006/relationships/hyperlink" Target="https://www.cbd.int/notifications/2025-100" TargetMode="External"/><Relationship Id="rId23" Type="http://schemas.openxmlformats.org/officeDocument/2006/relationships/hyperlink" Target="https://www.cbd.int/doc/c/0ba6/2af2/5681881c85df782c3219f347/sbi-06-inf-06-en.pdf" TargetMode="External"/><Relationship Id="rId119" Type="http://schemas.openxmlformats.org/officeDocument/2006/relationships/hyperlink" Target="https://www.cbd.int/doc/c/ea34/8414/8c5e6797d291af15f33d6e40/cop-16-inf-03-rev1-en.pdf" TargetMode="External"/><Relationship Id="rId270" Type="http://schemas.openxmlformats.org/officeDocument/2006/relationships/hyperlink" Target="https://crm.iwc.int/data/node/9832" TargetMode="External"/><Relationship Id="rId326" Type="http://schemas.openxmlformats.org/officeDocument/2006/relationships/hyperlink" Target="https://www.cbd.int/notifications/2025-099" TargetMode="External"/><Relationship Id="rId65" Type="http://schemas.openxmlformats.org/officeDocument/2006/relationships/hyperlink" Target="https://www.cbd.int/doc/c/85eb/18f4/797b0b3e3accf4f07746e773/cop-16-inf-04-en.pdf" TargetMode="External"/><Relationship Id="rId130" Type="http://schemas.openxmlformats.org/officeDocument/2006/relationships/image" Target="media/image51.png"/><Relationship Id="rId368" Type="http://schemas.openxmlformats.org/officeDocument/2006/relationships/hyperlink" Target="https://www.ipbes.net/spatial-planning-assessment" TargetMode="External"/><Relationship Id="rId172" Type="http://schemas.openxmlformats.org/officeDocument/2006/relationships/image" Target="media/image71.png"/><Relationship Id="rId228" Type="http://schemas.openxmlformats.org/officeDocument/2006/relationships/hyperlink" Target="https://ort.cbd.int/database/287719" TargetMode="External"/><Relationship Id="rId435" Type="http://schemas.openxmlformats.org/officeDocument/2006/relationships/hyperlink" Target="https://www.undrr.org/publication/global-platform-2025-co-chairs-summary-geneva-call-disaster-risk-reduction" TargetMode="External"/><Relationship Id="rId281" Type="http://schemas.openxmlformats.org/officeDocument/2006/relationships/hyperlink" Target="https://www.cbd.int/doc/meetings/cop/cop-11/official/cop-11-35-fr.pdf" TargetMode="External"/><Relationship Id="rId337" Type="http://schemas.openxmlformats.org/officeDocument/2006/relationships/hyperlink" Target="https://doi.org/10.5564/pmas.v65i03.4530" TargetMode="External"/><Relationship Id="rId34" Type="http://schemas.openxmlformats.org/officeDocument/2006/relationships/hyperlink" Target="https://www.cbd.int/doc/c/0ba6/2af2/5681881c85df782c3219f347/sbi-06-inf-06-en.pdf" TargetMode="External"/><Relationship Id="rId76" Type="http://schemas.openxmlformats.org/officeDocument/2006/relationships/image" Target="media/image24.png"/><Relationship Id="rId141" Type="http://schemas.openxmlformats.org/officeDocument/2006/relationships/hyperlink" Target="https://www.scientix.eu/community/partner-projects/buzzing-schools" TargetMode="External"/><Relationship Id="rId379" Type="http://schemas.openxmlformats.org/officeDocument/2006/relationships/hyperlink" Target="https://landmarkmap.org/" TargetMode="External"/><Relationship Id="rId7" Type="http://schemas.openxmlformats.org/officeDocument/2006/relationships/settings" Target="settings.xml"/><Relationship Id="rId183" Type="http://schemas.openxmlformats.org/officeDocument/2006/relationships/image" Target="media/image76.png"/><Relationship Id="rId239" Type="http://schemas.openxmlformats.org/officeDocument/2006/relationships/image" Target="media/image107.png"/><Relationship Id="rId390" Type="http://schemas.openxmlformats.org/officeDocument/2006/relationships/hyperlink" Target="https://doi.org/10.32942/X22Q3M" TargetMode="External"/><Relationship Id="rId404" Type="http://schemas.openxmlformats.org/officeDocument/2006/relationships/hyperlink" Target="https://unece.org/sites/default/files/2026-03/UZB_JET_Roadmap_Final%20REV_with_Govnt.logo_.pdf" TargetMode="External"/><Relationship Id="rId446" Type="http://schemas.openxmlformats.org/officeDocument/2006/relationships/hyperlink" Target="https://eur-lex.europa.eu/legal-content/FR/TXT/?uri=CELEX%3A32024R1991&amp;qid=1722240349976" TargetMode="External"/><Relationship Id="rId250" Type="http://schemas.openxmlformats.org/officeDocument/2006/relationships/hyperlink" Target="https://www.cbd.int/doc/c/e965/07b1/1f9cdfb3fe94d857291a9ff2/sbstta-28-inf-09-en.pdf" TargetMode="External"/><Relationship Id="rId292" Type="http://schemas.openxmlformats.org/officeDocument/2006/relationships/hyperlink" Target="https://www.cbd.int/doc/c/9064/7ac2/28ce9b98f96e723a731f3361/cop-16-inf-19-en.pdf" TargetMode="External"/><Relationship Id="rId306" Type="http://schemas.openxmlformats.org/officeDocument/2006/relationships/hyperlink" Target="https://www.unccd.int/sites/default/files/2025-03/2424652F.pdf" TargetMode="External"/><Relationship Id="rId45" Type="http://schemas.openxmlformats.org/officeDocument/2006/relationships/hyperlink" Target="https://www.cbd.int/doc/c/e965/07b1/1f9cdfb3fe94d857291a9ff2/sbstta-28-inf-09-en.pdf" TargetMode="External"/><Relationship Id="rId87" Type="http://schemas.openxmlformats.org/officeDocument/2006/relationships/image" Target="media/image30.png"/><Relationship Id="rId110" Type="http://schemas.openxmlformats.org/officeDocument/2006/relationships/hyperlink" Target="https://www.cbd.int/doc/c/ddd1/d3ca/1703a90a7d1c00ef8796ee79/sbi-07-inf-22-en.pdf" TargetMode="External"/><Relationship Id="rId348" Type="http://schemas.openxmlformats.org/officeDocument/2006/relationships/hyperlink" Target="https://doi.org/10.4060/cd2925en" TargetMode="External"/><Relationship Id="rId152" Type="http://schemas.openxmlformats.org/officeDocument/2006/relationships/hyperlink" Target="https://www.cbd.int/doc/c/ea34/8414/8c5e6797d291af15f33d6e40/cop-16-inf-03-rev1-en.pdf" TargetMode="External"/><Relationship Id="rId194" Type="http://schemas.openxmlformats.org/officeDocument/2006/relationships/image" Target="media/image82.png"/><Relationship Id="rId208" Type="http://schemas.openxmlformats.org/officeDocument/2006/relationships/image" Target="media/image91.png"/><Relationship Id="rId415" Type="http://schemas.openxmlformats.org/officeDocument/2006/relationships/hyperlink" Target="https://www.unep.org/resources/report/horizon-scan-possible-linkages-between-bbnj-agreement-and-biodiversity-related" TargetMode="External"/><Relationship Id="rId261" Type="http://schemas.openxmlformats.org/officeDocument/2006/relationships/hyperlink" Target="https://docs.un.org/fr/a/res/78/155" TargetMode="External"/><Relationship Id="rId14" Type="http://schemas.openxmlformats.org/officeDocument/2006/relationships/hyperlink" Target="https://www.cbd.int/decisions/cop/?m=cop-16" TargetMode="External"/><Relationship Id="rId56" Type="http://schemas.openxmlformats.org/officeDocument/2006/relationships/hyperlink" Target="https://www.cbd.int/doc/c/85eb/18f4/797b0b3e3accf4f07746e773/cop-16-inf-04-en.pdf" TargetMode="External"/><Relationship Id="rId317" Type="http://schemas.openxmlformats.org/officeDocument/2006/relationships/hyperlink" Target="https://minamataconvention.org/sites/default/files/documents/working_document/UNEP-MC-COP6-20-Roadmap-Biodiversity_French.pdf" TargetMode="External"/><Relationship Id="rId359" Type="http://schemas.openxmlformats.org/officeDocument/2006/relationships/hyperlink" Target="https://iucn.org/sites/default/files/2024-10/iucn-wcpa-issues-paper-4.pdf" TargetMode="External"/><Relationship Id="rId98" Type="http://schemas.openxmlformats.org/officeDocument/2006/relationships/hyperlink" Target="https://www.cbd.int/doc/c/ddd1/d3ca/1703a90a7d1c00ef8796ee79/sbi-07-inf-22-en.pdf" TargetMode="External"/><Relationship Id="rId121" Type="http://schemas.openxmlformats.org/officeDocument/2006/relationships/image" Target="media/image44.png"/><Relationship Id="rId163" Type="http://schemas.openxmlformats.org/officeDocument/2006/relationships/image" Target="media/image67.png"/><Relationship Id="rId219" Type="http://schemas.openxmlformats.org/officeDocument/2006/relationships/hyperlink" Target="https://ort.cbd.int/database/293963" TargetMode="External"/><Relationship Id="rId370" Type="http://schemas.openxmlformats.org/officeDocument/2006/relationships/hyperlink" Target="https://doi.org/10.5281/zenodo.11382215" TargetMode="External"/><Relationship Id="rId426" Type="http://schemas.openxmlformats.org/officeDocument/2006/relationships/hyperlink" Target="https://www.fao.org/3/no036fr/no036fr.pdf" TargetMode="External"/><Relationship Id="rId230" Type="http://schemas.openxmlformats.org/officeDocument/2006/relationships/image" Target="media/image99.png"/><Relationship Id="rId25" Type="http://schemas.openxmlformats.org/officeDocument/2006/relationships/hyperlink" Target="https://www.cbd.int/notifications/2025-099" TargetMode="External"/><Relationship Id="rId67" Type="http://schemas.openxmlformats.org/officeDocument/2006/relationships/image" Target="media/image18.png"/><Relationship Id="rId272" Type="http://schemas.openxmlformats.org/officeDocument/2006/relationships/hyperlink" Target="https://unfccc.int/documents/642847" TargetMode="External"/><Relationship Id="rId328" Type="http://schemas.openxmlformats.org/officeDocument/2006/relationships/hyperlink" Target="https://www.ramsar.org/sites/default/files/2025-05/COP15_inf_3_full_restoration_assessment_report_e.pdf" TargetMode="External"/><Relationship Id="rId132" Type="http://schemas.openxmlformats.org/officeDocument/2006/relationships/hyperlink" Target="https://ort.cbd.int/database/293339" TargetMode="External"/><Relationship Id="rId174" Type="http://schemas.openxmlformats.org/officeDocument/2006/relationships/image" Target="media/image72.png"/><Relationship Id="rId381" Type="http://schemas.openxmlformats.org/officeDocument/2006/relationships/hyperlink" Target="https://doi.org/10.1126/science.adj6598" TargetMode="External"/><Relationship Id="rId241" Type="http://schemas.openxmlformats.org/officeDocument/2006/relationships/image" Target="media/image109.png"/><Relationship Id="rId437" Type="http://schemas.openxmlformats.org/officeDocument/2006/relationships/hyperlink" Target="https://www.cbd.int/notifications/2025-099" TargetMode="External"/><Relationship Id="rId36" Type="http://schemas.openxmlformats.org/officeDocument/2006/relationships/hyperlink" Target="https://www.cbd.int/doc/c/2bca/cda4/adde2746861f8ded6864c4d2/sbstta-28-inf-11-en.pdf" TargetMode="External"/><Relationship Id="rId283" Type="http://schemas.openxmlformats.org/officeDocument/2006/relationships/hyperlink" Target="https://www.cbd.int/doc/meetings/cop/cop-12/official/cop-12-29-fr.pdf" TargetMode="External"/><Relationship Id="rId339" Type="http://schemas.openxmlformats.org/officeDocument/2006/relationships/hyperlink" Target="https://doi.org/10.4060/ca7722fr" TargetMode="External"/><Relationship Id="rId78" Type="http://schemas.openxmlformats.org/officeDocument/2006/relationships/image" Target="media/image26.png"/><Relationship Id="rId101" Type="http://schemas.openxmlformats.org/officeDocument/2006/relationships/hyperlink" Target="https://ort.cbd.int/database/287708" TargetMode="External"/><Relationship Id="rId143" Type="http://schemas.openxmlformats.org/officeDocument/2006/relationships/hyperlink" Target="https://www.cbd.int/doc/c/ddd1/d3ca/1703a90a7d1c00ef8796ee79/sbi-07-inf-22-en.pdf" TargetMode="External"/><Relationship Id="rId185" Type="http://schemas.openxmlformats.org/officeDocument/2006/relationships/hyperlink" Target="https://www.cbd.int/doc/c/ddd1/d3ca/1703a90a7d1c00ef8796ee79/sbi-07-inf-22-en.pdf" TargetMode="External"/><Relationship Id="rId350" Type="http://schemas.openxmlformats.org/officeDocument/2006/relationships/hyperlink" Target="https://localbiodiversityoutlooks.net/publications/" TargetMode="External"/><Relationship Id="rId406" Type="http://schemas.openxmlformats.org/officeDocument/2006/relationships/hyperlink" Target="https://wedocs.unep.org/items/9e7e3bcd-0eda-40cd-a116-5057e1725e72" TargetMode="External"/><Relationship Id="rId9" Type="http://schemas.openxmlformats.org/officeDocument/2006/relationships/footnotes" Target="footnotes.xml"/><Relationship Id="rId210" Type="http://schemas.openxmlformats.org/officeDocument/2006/relationships/hyperlink" Target="http://www.gob.mx/conabio" TargetMode="External"/><Relationship Id="rId392" Type="http://schemas.openxmlformats.org/officeDocument/2006/relationships/hyperlink" Target="https://doi.org/10.1038/s41559-021-01538-5" TargetMode="External"/><Relationship Id="rId448" Type="http://schemas.openxmlformats.org/officeDocument/2006/relationships/hyperlink" Target="https://www.unccd.int/resources/reports/contribution-integrated-land-use-planning-and-integrated-landscape-management" TargetMode="External"/><Relationship Id="rId252" Type="http://schemas.openxmlformats.org/officeDocument/2006/relationships/image" Target="media/image113.png"/><Relationship Id="rId294" Type="http://schemas.openxmlformats.org/officeDocument/2006/relationships/hyperlink" Target="https://unece.org/sites/default/files/2021-05/1979%20CLRTAP.f.pdf" TargetMode="External"/><Relationship Id="rId308" Type="http://schemas.openxmlformats.org/officeDocument/2006/relationships/hyperlink" Target="https://whc.unesco.org/fr/decisions/8082/" TargetMode="External"/><Relationship Id="rId47" Type="http://schemas.openxmlformats.org/officeDocument/2006/relationships/hyperlink" Target="https://www.cbd.int/doc/c/e965/07b1/1f9cdfb3fe94d857291a9ff2/sbstta-28-inf-09-en.pdf" TargetMode="External"/><Relationship Id="rId89" Type="http://schemas.openxmlformats.org/officeDocument/2006/relationships/hyperlink" Target="https://www.cbd.int/doc/c/85eb/18f4/797b0b3e3accf4f07746e773/cop-16-inf-04-en.pdf" TargetMode="External"/><Relationship Id="rId112" Type="http://schemas.openxmlformats.org/officeDocument/2006/relationships/hyperlink" Target="https://www.cbd.int/doc/c/ea34/8414/8c5e6797d291af15f33d6e40/cop-16-inf-03-rev1-en.pdf" TargetMode="External"/><Relationship Id="rId154" Type="http://schemas.openxmlformats.org/officeDocument/2006/relationships/image" Target="media/image63.png"/><Relationship Id="rId361" Type="http://schemas.openxmlformats.org/officeDocument/2006/relationships/hyperlink" Target="https://www.cbd.int/notifications/2025-099" TargetMode="External"/><Relationship Id="rId196" Type="http://schemas.openxmlformats.org/officeDocument/2006/relationships/image" Target="media/image84.png"/><Relationship Id="rId417" Type="http://schemas.openxmlformats.org/officeDocument/2006/relationships/hyperlink" Target="https://doi.org/10.3389/frsen.2022.856903" TargetMode="External"/><Relationship Id="rId16" Type="http://schemas.openxmlformats.org/officeDocument/2006/relationships/image" Target="media/image4.emf"/><Relationship Id="rId221" Type="http://schemas.openxmlformats.org/officeDocument/2006/relationships/hyperlink" Target="https://www.cbd.int/doc/c/ddd1/d3ca/1703a90a7d1c00ef8796ee79/sbi-07-inf-22-en.pdf" TargetMode="External"/><Relationship Id="rId263" Type="http://schemas.openxmlformats.org/officeDocument/2006/relationships/hyperlink" Target="https://terayoshi-gyosei.com/absreport13/" TargetMode="External"/><Relationship Id="rId319" Type="http://schemas.openxmlformats.org/officeDocument/2006/relationships/hyperlink" Target="https://raptors.cms.int/sites/default/files/document/Raptors_Action_Plan_F_0.pdf" TargetMode="External"/><Relationship Id="rId58" Type="http://schemas.openxmlformats.org/officeDocument/2006/relationships/image" Target="media/image15.png"/><Relationship Id="rId123" Type="http://schemas.openxmlformats.org/officeDocument/2006/relationships/hyperlink" Target="https://www.cbd.int/doc/c/ddd1/d3ca/1703a90a7d1c00ef8796ee79/sbi-07-inf-22-en.pdf" TargetMode="External"/><Relationship Id="rId330" Type="http://schemas.openxmlformats.org/officeDocument/2006/relationships/hyperlink" Target="https://www.ramsar.org/sites/default/files/2025-05/cop15_8_1_sg_report_global_implementation_f.pdf" TargetMode="External"/><Relationship Id="rId165" Type="http://schemas.openxmlformats.org/officeDocument/2006/relationships/image" Target="media/image68.png"/><Relationship Id="rId372" Type="http://schemas.openxmlformats.org/officeDocument/2006/relationships/hyperlink" Target="https://www.ipbes.net/second-global-assessment" TargetMode="External"/><Relationship Id="rId428" Type="http://schemas.openxmlformats.org/officeDocument/2006/relationships/hyperlink" Target="https://openknowledge.fao.org/handle/20.500.14283/nt048fr" TargetMode="External"/><Relationship Id="rId232" Type="http://schemas.openxmlformats.org/officeDocument/2006/relationships/image" Target="media/image101.png"/><Relationship Id="rId274" Type="http://schemas.openxmlformats.org/officeDocument/2006/relationships/hyperlink" Target="https://unfccc.int/documents/650664" TargetMode="External"/><Relationship Id="rId27" Type="http://schemas.openxmlformats.org/officeDocument/2006/relationships/hyperlink" Target="https://www.cbd.int/doc/c/e965/07b1/1f9cdfb3fe94d857291a9ff2/sbstta-28-inf-09-en.pdf" TargetMode="External"/><Relationship Id="rId69" Type="http://schemas.openxmlformats.org/officeDocument/2006/relationships/image" Target="media/image20.png"/><Relationship Id="rId134" Type="http://schemas.openxmlformats.org/officeDocument/2006/relationships/hyperlink" Target="https://www.cbd.int/doc/c/ddd1/d3ca/1703a90a7d1c00ef8796ee79/sbi-07-inf-22-en.pdf" TargetMode="External"/><Relationship Id="rId80" Type="http://schemas.openxmlformats.org/officeDocument/2006/relationships/hyperlink" Target="https://ort.cbd.int/database/286541" TargetMode="External"/><Relationship Id="rId176" Type="http://schemas.openxmlformats.org/officeDocument/2006/relationships/hyperlink" Target="https://issdngo.com/en/projects/ongoing/compost-academy/" TargetMode="External"/><Relationship Id="rId341" Type="http://schemas.openxmlformats.org/officeDocument/2006/relationships/hyperlink" Target="https://doi.org/10.4060/cb8338fr" TargetMode="External"/><Relationship Id="rId383" Type="http://schemas.openxmlformats.org/officeDocument/2006/relationships/hyperlink" Target="https://doi.org/10.1038/s41586-020-2705-y" TargetMode="External"/><Relationship Id="rId439" Type="http://schemas.openxmlformats.org/officeDocument/2006/relationships/hyperlink" Target="https://www.cbd.int/notifications/2025-099" TargetMode="External"/><Relationship Id="rId201" Type="http://schemas.openxmlformats.org/officeDocument/2006/relationships/hyperlink" Target="https://www.cbd.int/doc/c/ea34/8414/8c5e6797d291af15f33d6e40/cop-16-inf-03-rev1-en.pdf" TargetMode="External"/><Relationship Id="rId243" Type="http://schemas.openxmlformats.org/officeDocument/2006/relationships/image" Target="media/image111.png"/><Relationship Id="rId285" Type="http://schemas.openxmlformats.org/officeDocument/2006/relationships/hyperlink" Target="https://www.cbd.int/doc/c/c678/f6ac/b40ab072aa9b1ea9d3056bd0/cop-14-14-fr.pdf" TargetMode="External"/><Relationship Id="rId450" Type="http://schemas.openxmlformats.org/officeDocument/2006/relationships/hyperlink" Target="https://doi.org/10.1038/s43247-026-03256-x" TargetMode="External"/><Relationship Id="rId38" Type="http://schemas.openxmlformats.org/officeDocument/2006/relationships/image" Target="media/image10.png"/><Relationship Id="rId103" Type="http://schemas.openxmlformats.org/officeDocument/2006/relationships/hyperlink" Target="https://ort.cbd.int/database/287714" TargetMode="External"/><Relationship Id="rId310" Type="http://schemas.openxmlformats.org/officeDocument/2006/relationships/hyperlink" Target="https://www.cepal.org/en/escazuagreement" TargetMode="External"/><Relationship Id="rId91" Type="http://schemas.openxmlformats.org/officeDocument/2006/relationships/image" Target="media/image32.png"/><Relationship Id="rId145" Type="http://schemas.openxmlformats.org/officeDocument/2006/relationships/image" Target="media/image58.png"/><Relationship Id="rId187" Type="http://schemas.openxmlformats.org/officeDocument/2006/relationships/image" Target="media/image78.png"/><Relationship Id="rId352" Type="http://schemas.openxmlformats.org/officeDocument/2006/relationships/hyperlink" Target="https://doi.org/10.1088/1748-9326/ad2820" TargetMode="External"/><Relationship Id="rId394" Type="http://schemas.openxmlformats.org/officeDocument/2006/relationships/hyperlink" Target="https://doi.org/10.1093/biosci/biae132" TargetMode="External"/><Relationship Id="rId408" Type="http://schemas.openxmlformats.org/officeDocument/2006/relationships/hyperlink" Target="https://wedocs.unep.org/items/6b928e4c-63e8-49ef-b06d-59216092dbf6" TargetMode="External"/><Relationship Id="rId212" Type="http://schemas.openxmlformats.org/officeDocument/2006/relationships/hyperlink" Target="https://www.cbd.int/doc/c/85eb/18f4/797b0b3e3accf4f07746e773/cop-16-inf-04-en.pdf" TargetMode="External"/><Relationship Id="rId254" Type="http://schemas.openxmlformats.org/officeDocument/2006/relationships/header" Target="header2.xml"/><Relationship Id="rId49" Type="http://schemas.openxmlformats.org/officeDocument/2006/relationships/hyperlink" Target="https://www.cbd.int/doc/c/85eb/18f4/797b0b3e3accf4f07746e773/cop-16-inf-04-en.pdf" TargetMode="External"/><Relationship Id="rId114" Type="http://schemas.openxmlformats.org/officeDocument/2006/relationships/image" Target="media/image40.png"/><Relationship Id="rId296" Type="http://schemas.openxmlformats.org/officeDocument/2006/relationships/hyperlink" Target="https://www.cbd.int/notifications/2025-099" TargetMode="External"/><Relationship Id="rId60" Type="http://schemas.openxmlformats.org/officeDocument/2006/relationships/image" Target="media/image17.png"/><Relationship Id="rId156" Type="http://schemas.openxmlformats.org/officeDocument/2006/relationships/hyperlink" Target="https://www.cbd.int/doc/c/ddd1/d3ca/1703a90a7d1c00ef8796ee79/sbi-07-inf-22-en.pdf" TargetMode="External"/><Relationship Id="rId198" Type="http://schemas.openxmlformats.org/officeDocument/2006/relationships/hyperlink" Target="http://www.greenclimate.fund/countries/yemen." TargetMode="External"/><Relationship Id="rId321" Type="http://schemas.openxmlformats.org/officeDocument/2006/relationships/hyperlink" Target="https://www.cms.int/document/cms-contribution-kunming-montreal-global-biodiversity-framework-1" TargetMode="External"/><Relationship Id="rId363" Type="http://schemas.openxmlformats.org/officeDocument/2006/relationships/hyperlink" Target="https://www.inms.international/" TargetMode="External"/><Relationship Id="rId419" Type="http://schemas.openxmlformats.org/officeDocument/2006/relationships/hyperlink" Target="https://doi.org/10.3233/EPL-239014" TargetMode="External"/><Relationship Id="rId223" Type="http://schemas.openxmlformats.org/officeDocument/2006/relationships/hyperlink" Target="https://www.cbd.int/doc/c/ea34/8414/8c5e6797d291af15f33d6e40/cop-16-inf-03-rev1-en.pdf" TargetMode="External"/><Relationship Id="rId430" Type="http://schemas.openxmlformats.org/officeDocument/2006/relationships/hyperlink" Target="https://portals.iucn.org/library/node/46320" TargetMode="External"/><Relationship Id="rId18" Type="http://schemas.openxmlformats.org/officeDocument/2006/relationships/image" Target="media/image6.png"/><Relationship Id="rId265" Type="http://schemas.openxmlformats.org/officeDocument/2006/relationships/hyperlink" Target="https://doi.org/10.1007/978-3-031-25984-5_1033" TargetMode="External"/><Relationship Id="rId125" Type="http://schemas.openxmlformats.org/officeDocument/2006/relationships/image" Target="media/image46.png"/><Relationship Id="rId167" Type="http://schemas.openxmlformats.org/officeDocument/2006/relationships/image" Target="media/image69.png"/><Relationship Id="rId332" Type="http://schemas.openxmlformats.org/officeDocument/2006/relationships/hyperlink" Target="https://www.ramsar.org/sites/default/files/2025-09/xv.4_synergies_f.pdf" TargetMode="External"/><Relationship Id="rId374" Type="http://schemas.openxmlformats.org/officeDocument/2006/relationships/hyperlink" Target="https://www.cbd.int/notifications/2025-099" TargetMode="External"/><Relationship Id="rId71" Type="http://schemas.openxmlformats.org/officeDocument/2006/relationships/image" Target="media/image22.png"/><Relationship Id="rId92" Type="http://schemas.openxmlformats.org/officeDocument/2006/relationships/image" Target="media/image33.png"/><Relationship Id="rId213" Type="http://schemas.openxmlformats.org/officeDocument/2006/relationships/hyperlink" Target="https://www.cbd.int/doc/c/ddd1/d3ca/1703a90a7d1c00ef8796ee79/sbi-07-inf-22-en.pdf" TargetMode="External"/><Relationship Id="rId234" Type="http://schemas.openxmlformats.org/officeDocument/2006/relationships/image" Target="media/image103.png"/><Relationship Id="rId420" Type="http://schemas.openxmlformats.org/officeDocument/2006/relationships/hyperlink" Target="https://www.sanbi.org/wp-content/uploads/2024/10/2024-Mapping-Biodiversity-Priorities.pdf" TargetMode="External"/><Relationship Id="rId2" Type="http://schemas.openxmlformats.org/officeDocument/2006/relationships/customXml" Target="../customXml/item2.xml"/><Relationship Id="rId29" Type="http://schemas.openxmlformats.org/officeDocument/2006/relationships/hyperlink" Target="https://www.cbd.int/doc/c/2bca/cda4/adde2746861f8ded6864c4d2/sbstta-28-inf-11-en.pdf" TargetMode="External"/><Relationship Id="rId255" Type="http://schemas.openxmlformats.org/officeDocument/2006/relationships/footer" Target="footer1.xml"/><Relationship Id="rId276" Type="http://schemas.openxmlformats.org/officeDocument/2006/relationships/hyperlink" Target="https://www.cbd.int/doc/gbo/gbo2/cbd-gbo2-fr.pdf" TargetMode="External"/><Relationship Id="rId297" Type="http://schemas.openxmlformats.org/officeDocument/2006/relationships/hyperlink" Target="https://oaarchive.arctic-council.org/items/287297c8-cdec-46e1-8022-2c240242d1ad" TargetMode="External"/><Relationship Id="rId441" Type="http://schemas.openxmlformats.org/officeDocument/2006/relationships/hyperlink" Target="https://www.unesco.org/fr/mab" TargetMode="External"/><Relationship Id="rId40" Type="http://schemas.openxmlformats.org/officeDocument/2006/relationships/hyperlink" Target="https://www.cbd.int/doc/c/0ba6/2af2/5681881c85df782c3219f347/sbi-06-inf-06-en.pdf" TargetMode="External"/><Relationship Id="rId115" Type="http://schemas.openxmlformats.org/officeDocument/2006/relationships/hyperlink" Target="https://www.cbd.int/doc/c/85eb/18f4/797b0b3e3accf4f07746e773/cop-16-inf-04-en.pdf" TargetMode="External"/><Relationship Id="rId136" Type="http://schemas.openxmlformats.org/officeDocument/2006/relationships/image" Target="media/image54.png"/><Relationship Id="rId157" Type="http://schemas.openxmlformats.org/officeDocument/2006/relationships/image" Target="media/image64.png"/><Relationship Id="rId178" Type="http://schemas.openxmlformats.org/officeDocument/2006/relationships/hyperlink" Target="https://www.cbd.int/doc/c/85eb/18f4/797b0b3e3accf4f07746e773/cop-16-inf-04-en.pdf" TargetMode="External"/><Relationship Id="rId301" Type="http://schemas.openxmlformats.org/officeDocument/2006/relationships/hyperlink" Target="https://cites.org/fra/res/index.php" TargetMode="External"/><Relationship Id="rId322" Type="http://schemas.openxmlformats.org/officeDocument/2006/relationships/hyperlink" Target="https://www.cms.int/sites/default/files/document/cms_cop14_res.14.16_ecological-connectivity_f.pdf" TargetMode="External"/><Relationship Id="rId343" Type="http://schemas.openxmlformats.org/officeDocument/2006/relationships/hyperlink" Target="https://doi.org/10.4060/cd0709fr" TargetMode="External"/><Relationship Id="rId364" Type="http://schemas.openxmlformats.org/officeDocument/2006/relationships/hyperlink" Target="https://nmbs.dsmz.de/" TargetMode="External"/><Relationship Id="rId61" Type="http://schemas.openxmlformats.org/officeDocument/2006/relationships/hyperlink" Target="https://moor.fnr.de/moore-schuetzen/moorbodenschutz" TargetMode="External"/><Relationship Id="rId82" Type="http://schemas.openxmlformats.org/officeDocument/2006/relationships/hyperlink" Target="https://www.cbd.int/doc/c/85eb/18f4/797b0b3e3accf4f07746e773/cop-16-inf-04-en.pdf" TargetMode="External"/><Relationship Id="rId199" Type="http://schemas.openxmlformats.org/officeDocument/2006/relationships/hyperlink" Target="https://ort.cbd.int/database/284131" TargetMode="External"/><Relationship Id="rId203" Type="http://schemas.openxmlformats.org/officeDocument/2006/relationships/image" Target="media/image88.png"/><Relationship Id="rId385" Type="http://schemas.openxmlformats.org/officeDocument/2006/relationships/hyperlink" Target="https://transparencia-climatica.miambiente.gob.pa/wp-content/uploads/2025/11/Pacto-de-Panama-con-la-Naturaleza-Nature-Pledge.pdf" TargetMode="External"/><Relationship Id="rId19" Type="http://schemas.openxmlformats.org/officeDocument/2006/relationships/image" Target="media/image7.png"/><Relationship Id="rId224" Type="http://schemas.openxmlformats.org/officeDocument/2006/relationships/image" Target="media/image97.png"/><Relationship Id="rId245" Type="http://schemas.openxmlformats.org/officeDocument/2006/relationships/hyperlink" Target="https://www.cbd.int/doc/c/ddd1/d3ca/1703a90a7d1c00ef8796ee79/sbi-07-inf-22-en.pdf" TargetMode="External"/><Relationship Id="rId266" Type="http://schemas.openxmlformats.org/officeDocument/2006/relationships/hyperlink" Target="https://www.cbd.int/notifications/2025-100" TargetMode="External"/><Relationship Id="rId287" Type="http://schemas.openxmlformats.org/officeDocument/2006/relationships/hyperlink" Target="https://www.cbd.int/doc/c/09f7/b86c/c90f54a67c2d4ea17297d93d/cop-15-17-fr.pdf" TargetMode="External"/><Relationship Id="rId410" Type="http://schemas.openxmlformats.org/officeDocument/2006/relationships/hyperlink" Target="https://www.cbd.int/notifications/2025-099" TargetMode="External"/><Relationship Id="rId431" Type="http://schemas.openxmlformats.org/officeDocument/2006/relationships/hyperlink" Target="https://iucn.org/red-list-ecosystems-inventory" TargetMode="External"/><Relationship Id="rId452" Type="http://schemas.openxmlformats.org/officeDocument/2006/relationships/footer" Target="footer3.xml"/><Relationship Id="rId30" Type="http://schemas.openxmlformats.org/officeDocument/2006/relationships/hyperlink" Target="https://www.cbd.int/doc/c/2bca/cda4/adde2746861f8ded6864c4d2/sbstta-28-inf-11-en.pdf" TargetMode="External"/><Relationship Id="rId105" Type="http://schemas.openxmlformats.org/officeDocument/2006/relationships/hyperlink" Target="https://ort.cbd.int/database/287710" TargetMode="External"/><Relationship Id="rId126" Type="http://schemas.openxmlformats.org/officeDocument/2006/relationships/image" Target="media/image47.png"/><Relationship Id="rId147" Type="http://schemas.openxmlformats.org/officeDocument/2006/relationships/image" Target="media/image59.png"/><Relationship Id="rId168" Type="http://schemas.openxmlformats.org/officeDocument/2006/relationships/image" Target="media/image70.png"/><Relationship Id="rId312" Type="http://schemas.openxmlformats.org/officeDocument/2006/relationships/hyperlink" Target="https://doi.org/10.2779/1280375" TargetMode="External"/><Relationship Id="rId333" Type="http://schemas.openxmlformats.org/officeDocument/2006/relationships/hyperlink" Target="https://www.dcceew.gov.au/environment/protection/circular-economy/framework" TargetMode="External"/><Relationship Id="rId354" Type="http://schemas.openxmlformats.org/officeDocument/2006/relationships/hyperlink" Target="https://cbcbio.org/wp-content/uploads/2024/02/PlanEstrategico-CBC-FR-Full-25ene-FINAL.pdf" TargetMode="External"/><Relationship Id="rId51" Type="http://schemas.openxmlformats.org/officeDocument/2006/relationships/hyperlink" Target="https://www.cbd.int/doc/c/ea34/8414/8c5e6797d291af15f33d6e40/cop-16-inf-03-rev1-en.pdf" TargetMode="External"/><Relationship Id="rId72" Type="http://schemas.openxmlformats.org/officeDocument/2006/relationships/hyperlink" Target="https://ort.cbd.int/database/293966" TargetMode="External"/><Relationship Id="rId93" Type="http://schemas.openxmlformats.org/officeDocument/2006/relationships/hyperlink" Target="https://www.cbd.int/doc/c/ea34/8414/8c5e6797d291af15f33d6e40/cop-16-inf-03-rev1-en.pdf" TargetMode="External"/><Relationship Id="rId189" Type="http://schemas.openxmlformats.org/officeDocument/2006/relationships/image" Target="media/image80.png"/><Relationship Id="rId375" Type="http://schemas.openxmlformats.org/officeDocument/2006/relationships/hyperlink" Target="https://doi.org/10.2305/IUCN.CH.2020.13.en" TargetMode="External"/><Relationship Id="rId396" Type="http://schemas.openxmlformats.org/officeDocument/2006/relationships/hyperlink" Target="https://doi.org/10.1787/20865f29-en" TargetMode="External"/><Relationship Id="rId3" Type="http://schemas.openxmlformats.org/officeDocument/2006/relationships/customXml" Target="../customXml/item3.xml"/><Relationship Id="rId214" Type="http://schemas.openxmlformats.org/officeDocument/2006/relationships/image" Target="media/image92.png"/><Relationship Id="rId235" Type="http://schemas.openxmlformats.org/officeDocument/2006/relationships/image" Target="media/image104.png"/><Relationship Id="rId256" Type="http://schemas.openxmlformats.org/officeDocument/2006/relationships/footer" Target="footer2.xml"/><Relationship Id="rId277" Type="http://schemas.openxmlformats.org/officeDocument/2006/relationships/hyperlink" Target="https://www.cbd.int/doc/meetings/cop/cop-08/official/cop-08-31-fr.pdf" TargetMode="External"/><Relationship Id="rId298" Type="http://schemas.openxmlformats.org/officeDocument/2006/relationships/hyperlink" Target="https://www.cbd.int/notifications/2025-099" TargetMode="External"/><Relationship Id="rId400" Type="http://schemas.openxmlformats.org/officeDocument/2006/relationships/hyperlink" Target="https://wwwcdn.imo.org/localresources/fr/Documents/MEPC%2080-17-Add.1_annex%2017.pdf" TargetMode="External"/><Relationship Id="rId421" Type="http://schemas.openxmlformats.org/officeDocument/2006/relationships/hyperlink" Target="https://assets.ippc.int/static/media/files/publication/fr/2024/07/R-06_Fr_2024_Sea_Containers_Post-CPM-18_2024-07-27_Combined.pdf" TargetMode="External"/><Relationship Id="rId442" Type="http://schemas.openxmlformats.org/officeDocument/2006/relationships/hyperlink" Target="https://doi.org/10.25607/4WBG-D349" TargetMode="External"/><Relationship Id="rId116" Type="http://schemas.openxmlformats.org/officeDocument/2006/relationships/hyperlink" Target="https://www.cbd.int/doc/c/ddd1/d3ca/1703a90a7d1c00ef8796ee79/sbi-07-inf-22-en.pdf" TargetMode="External"/><Relationship Id="rId137" Type="http://schemas.openxmlformats.org/officeDocument/2006/relationships/image" Target="media/image55.png"/><Relationship Id="rId158" Type="http://schemas.openxmlformats.org/officeDocument/2006/relationships/hyperlink" Target="https://www.cbd.int/doc/c/ea34/8414/8c5e6797d291af15f33d6e40/cop-16-inf-03-rev1-en.pdf" TargetMode="External"/><Relationship Id="rId302" Type="http://schemas.openxmlformats.org/officeDocument/2006/relationships/hyperlink" Target="https://cites.org/sites/default/files/notifications/F-Notif-2026-005_0.pdf" TargetMode="External"/><Relationship Id="rId323" Type="http://schemas.openxmlformats.org/officeDocument/2006/relationships/hyperlink" Target="https://www.cbd.int/notifications/2025-099" TargetMode="External"/><Relationship Id="rId344" Type="http://schemas.openxmlformats.org/officeDocument/2006/relationships/hyperlink" Target="https://www.cbd.int/notifications/2025-099" TargetMode="External"/><Relationship Id="rId20" Type="http://schemas.openxmlformats.org/officeDocument/2006/relationships/hyperlink" Target="https://www.cbd.int/doc/c/2bca/cda4/adde2746861f8ded6864c4d2/sbstta-28-inf-11-en.pdf" TargetMode="External"/><Relationship Id="rId41" Type="http://schemas.openxmlformats.org/officeDocument/2006/relationships/hyperlink" Target="http://www.cbd.int/nbsap/vpr" TargetMode="External"/><Relationship Id="rId62" Type="http://schemas.openxmlformats.org/officeDocument/2006/relationships/hyperlink" Target="https://ort.cbd.int/database/293975" TargetMode="External"/><Relationship Id="rId83" Type="http://schemas.openxmlformats.org/officeDocument/2006/relationships/hyperlink" Target="https://www.cbd.int/doc/c/ddd1/d3ca/1703a90a7d1c00ef8796ee79/sbi-07-inf-22-en.pdf" TargetMode="External"/><Relationship Id="rId179" Type="http://schemas.openxmlformats.org/officeDocument/2006/relationships/hyperlink" Target="https://www.cbd.int/doc/c/ddd1/d3ca/1703a90a7d1c00ef8796ee79/sbi-07-inf-22-en.pdf" TargetMode="External"/><Relationship Id="rId365" Type="http://schemas.openxmlformats.org/officeDocument/2006/relationships/hyperlink" Target="https://doi.org/10.5281/ZENODO.6417333" TargetMode="External"/><Relationship Id="rId386" Type="http://schemas.openxmlformats.org/officeDocument/2006/relationships/hyperlink" Target="https://www.hacienda.cl/english/work-areas/international-finance/public-debt-office/esg-bonds/sustainability-linked-bonds" TargetMode="External"/><Relationship Id="rId190" Type="http://schemas.openxmlformats.org/officeDocument/2006/relationships/hyperlink" Target="http://www.mase.gov.it/portale/catalogo-dei-sussidi-ambientalmente-dannosi-e-dei-sussidi-ambientalmente-favorevoli" TargetMode="External"/><Relationship Id="rId204" Type="http://schemas.openxmlformats.org/officeDocument/2006/relationships/hyperlink" Target="https://www.cbd.int/doc/c/85eb/18f4/797b0b3e3accf4f07746e773/cop-16-inf-04-en.pdf" TargetMode="External"/><Relationship Id="rId225" Type="http://schemas.openxmlformats.org/officeDocument/2006/relationships/image" Target="media/image98.png"/><Relationship Id="rId246" Type="http://schemas.openxmlformats.org/officeDocument/2006/relationships/hyperlink" Target="https://www.cbd.int/doc/c/e965/07b1/1f9cdfb3fe94d857291a9ff2/sbstta-28-inf-09-en.pdf" TargetMode="External"/><Relationship Id="rId267" Type="http://schemas.openxmlformats.org/officeDocument/2006/relationships/hyperlink" Target="https://doi.org/10.1016/j.biocon.2010.02.015" TargetMode="External"/><Relationship Id="rId288" Type="http://schemas.openxmlformats.org/officeDocument/2006/relationships/hyperlink" Target="https://www.cbd.int/doc/c/e635/73f1/8351052ee6448c5bad07af86/sbstta-27-10-fr.pdf" TargetMode="External"/><Relationship Id="rId411" Type="http://schemas.openxmlformats.org/officeDocument/2006/relationships/hyperlink" Target="https://wedocs.unep.org/rest/api/core/bitstreams/da768e39-2249-4b08-92ff-89bddf4c7b60/content" TargetMode="External"/><Relationship Id="rId432" Type="http://schemas.openxmlformats.org/officeDocument/2006/relationships/hyperlink" Target="https://www.undrr.org/publication/sendai-framework-disaster-risk-reduction-2015-2030" TargetMode="External"/><Relationship Id="rId453" Type="http://schemas.openxmlformats.org/officeDocument/2006/relationships/fontTable" Target="fontTable.xml"/><Relationship Id="rId106" Type="http://schemas.openxmlformats.org/officeDocument/2006/relationships/hyperlink" Target="https://ort.cbd.int/database/287711" TargetMode="External"/><Relationship Id="rId127" Type="http://schemas.openxmlformats.org/officeDocument/2006/relationships/image" Target="media/image48.png"/><Relationship Id="rId313" Type="http://schemas.openxmlformats.org/officeDocument/2006/relationships/hyperlink" Target="https://doi.org/10.2779/521877" TargetMode="External"/><Relationship Id="rId10" Type="http://schemas.openxmlformats.org/officeDocument/2006/relationships/endnotes" Target="endnotes.xml"/><Relationship Id="rId31" Type="http://schemas.openxmlformats.org/officeDocument/2006/relationships/hyperlink" Target="https://www.cbd.int/doc/c/ea34/8414/8c5e6797d291af15f33d6e40/cop-16-inf-03-rev1-en.pdf" TargetMode="External"/><Relationship Id="rId52" Type="http://schemas.openxmlformats.org/officeDocument/2006/relationships/image" Target="media/image12.png"/><Relationship Id="rId73" Type="http://schemas.openxmlformats.org/officeDocument/2006/relationships/hyperlink" Target="https://www.cbd.int/doc/c/85eb/18f4/797b0b3e3accf4f07746e773/cop-16-inf-04-en.pdf" TargetMode="External"/><Relationship Id="rId94" Type="http://schemas.openxmlformats.org/officeDocument/2006/relationships/image" Target="media/image34.png"/><Relationship Id="rId148" Type="http://schemas.openxmlformats.org/officeDocument/2006/relationships/image" Target="media/image60.png"/><Relationship Id="rId169" Type="http://schemas.openxmlformats.org/officeDocument/2006/relationships/hyperlink" Target="https://ort.cbd.int/database/293333" TargetMode="External"/><Relationship Id="rId334" Type="http://schemas.openxmlformats.org/officeDocument/2006/relationships/hyperlink" Target="https://whc.unesco.org/en/tentativelists/6640/" TargetMode="External"/><Relationship Id="rId355" Type="http://schemas.openxmlformats.org/officeDocument/2006/relationships/hyperlink" Target="https://doi.org/10.60566/CD13V-0ME13" TargetMode="External"/><Relationship Id="rId376" Type="http://schemas.openxmlformats.org/officeDocument/2006/relationships/hyperlink" Target="https://doi.org/10.1038/s41586-022-05318-4" TargetMode="External"/><Relationship Id="rId397" Type="http://schemas.openxmlformats.org/officeDocument/2006/relationships/hyperlink" Target="https://storageprdv2inwink.blob.core.windows.net/26dc05c5-0072-f011-8dca-0022488a3cad-public/assets/documents/9118c8a7-66be-f011-8194-6045bd90aa7b/638983976656338368/Biodiversity-and-development-finance-2015-2023-compressed.pdf" TargetMode="External"/><Relationship Id="rId4" Type="http://schemas.openxmlformats.org/officeDocument/2006/relationships/customXml" Target="../customXml/item4.xml"/><Relationship Id="rId180" Type="http://schemas.openxmlformats.org/officeDocument/2006/relationships/image" Target="media/image74.png"/><Relationship Id="rId215" Type="http://schemas.openxmlformats.org/officeDocument/2006/relationships/image" Target="media/image93.png"/><Relationship Id="rId236" Type="http://schemas.openxmlformats.org/officeDocument/2006/relationships/image" Target="media/image105.png"/><Relationship Id="rId257" Type="http://schemas.openxmlformats.org/officeDocument/2006/relationships/hyperlink" Target="https://doi.org/10.1038/s41559-024-02566-7" TargetMode="External"/><Relationship Id="rId278" Type="http://schemas.openxmlformats.org/officeDocument/2006/relationships/hyperlink" Target="https://www.cbd.int/doc/meetings/cop/cop-09/official/cop-09-29-corr1-rev1-en.pdf" TargetMode="External"/><Relationship Id="rId401" Type="http://schemas.openxmlformats.org/officeDocument/2006/relationships/hyperlink" Target="https://www.cbd.int/notifications/2025-099" TargetMode="External"/><Relationship Id="rId422" Type="http://schemas.openxmlformats.org/officeDocument/2006/relationships/hyperlink" Target="https://www.cbd.int/notifications/2025-099" TargetMode="External"/><Relationship Id="rId443" Type="http://schemas.openxmlformats.org/officeDocument/2006/relationships/hyperlink" Target="https://unesdoc.unesco.org/ark:/48223/pf0000385718" TargetMode="External"/><Relationship Id="rId303" Type="http://schemas.openxmlformats.org/officeDocument/2006/relationships/hyperlink" Target="https://www.unccd.int/official-documentscop-12-ankara-2015/3cop12" TargetMode="External"/><Relationship Id="rId42" Type="http://schemas.openxmlformats.org/officeDocument/2006/relationships/hyperlink" Target="https://www.cbd.int/doc/c/e965/07b1/1f9cdfb3fe94d857291a9ff2/sbstta-28-inf-09-en.pdf" TargetMode="External"/><Relationship Id="rId84" Type="http://schemas.openxmlformats.org/officeDocument/2006/relationships/image" Target="media/image28.png"/><Relationship Id="rId138" Type="http://schemas.openxmlformats.org/officeDocument/2006/relationships/image" Target="media/image56.png"/><Relationship Id="rId345" Type="http://schemas.openxmlformats.org/officeDocument/2006/relationships/hyperlink" Target="https://doi.org/10.4060/cd6709fr" TargetMode="External"/><Relationship Id="rId387" Type="http://schemas.openxmlformats.org/officeDocument/2006/relationships/hyperlink" Target="https://www.cbd.int/notifications/2025-100" TargetMode="External"/><Relationship Id="rId191" Type="http://schemas.openxmlformats.org/officeDocument/2006/relationships/hyperlink" Target="https://www.cbd.int/doc/c/85eb/18f4/797b0b3e3accf4f07746e773/cop-16-inf-04-en.pdf" TargetMode="External"/><Relationship Id="rId205" Type="http://schemas.openxmlformats.org/officeDocument/2006/relationships/hyperlink" Target="https://www.cbd.int/doc/c/ddd1/d3ca/1703a90a7d1c00ef8796ee79/sbi-07-inf-22-en.pdf" TargetMode="External"/><Relationship Id="rId247" Type="http://schemas.openxmlformats.org/officeDocument/2006/relationships/hyperlink" Target="https://www.cbd.int/doc/c/9b68/9425/93f17281d4d5538a1d06cf06/sbi-07-inf-13-en.pdf" TargetMode="External"/><Relationship Id="rId412" Type="http://schemas.openxmlformats.org/officeDocument/2006/relationships/hyperlink" Target="https://www.basel.int/Implementation/HouseholdWastePartnership/OverallGuidanceDocument/tabid/8227/Default.aspx" TargetMode="External"/><Relationship Id="rId107" Type="http://schemas.openxmlformats.org/officeDocument/2006/relationships/hyperlink" Target="https://ort.cbd.int/database/287707" TargetMode="External"/><Relationship Id="rId289" Type="http://schemas.openxmlformats.org/officeDocument/2006/relationships/hyperlink" Target="https://www.cbd.int/doc/recommendations/sb8j-01/sb8j-01-rec-05-fr.pdf" TargetMode="External"/><Relationship Id="rId454" Type="http://schemas.openxmlformats.org/officeDocument/2006/relationships/theme" Target="theme/theme1.xml"/><Relationship Id="rId11" Type="http://schemas.openxmlformats.org/officeDocument/2006/relationships/image" Target="media/image1.png"/><Relationship Id="rId53" Type="http://schemas.openxmlformats.org/officeDocument/2006/relationships/image" Target="media/image13.png"/><Relationship Id="rId149" Type="http://schemas.openxmlformats.org/officeDocument/2006/relationships/hyperlink" Target="https://www.cbd.int/doc/c/85eb/18f4/797b0b3e3accf4f07746e773/cop-16-inf-04-en.pdf" TargetMode="External"/><Relationship Id="rId314" Type="http://schemas.openxmlformats.org/officeDocument/2006/relationships/hyperlink" Target="https://doi.org/10.2779/6590787" TargetMode="External"/><Relationship Id="rId356" Type="http://schemas.openxmlformats.org/officeDocument/2006/relationships/hyperlink" Target="https://www.mybis.gov.my/pb/3567" TargetMode="External"/><Relationship Id="rId398" Type="http://schemas.openxmlformats.org/officeDocument/2006/relationships/hyperlink" Target="https://docs.wto.org/dol2fe/Pages/SS/directdoc.aspx?filename=r:/WT/MIN22/33.pdf" TargetMode="External"/><Relationship Id="rId95" Type="http://schemas.openxmlformats.org/officeDocument/2006/relationships/image" Target="media/image35.png"/><Relationship Id="rId160" Type="http://schemas.openxmlformats.org/officeDocument/2006/relationships/image" Target="media/image66.png"/><Relationship Id="rId216" Type="http://schemas.openxmlformats.org/officeDocument/2006/relationships/hyperlink" Target="https://www.cbd.int/doc/c/ea34/8414/8c5e6797d291af15f33d6e40/cop-16-inf-03-rev1-en.pdf" TargetMode="External"/><Relationship Id="rId423" Type="http://schemas.openxmlformats.org/officeDocument/2006/relationships/hyperlink" Target="https://www.cbd.int/notifications/2025-099" TargetMode="External"/><Relationship Id="rId258" Type="http://schemas.openxmlformats.org/officeDocument/2006/relationships/hyperlink" Target="https://doi.org/10.1038/s41559-025-02718-3" TargetMode="External"/><Relationship Id="rId22" Type="http://schemas.openxmlformats.org/officeDocument/2006/relationships/hyperlink" Target="https://www.cbd.int/doc/c/9b68/9425/93f17281d4d5538a1d06cf06/sbi-07-inf-13-en.pdf" TargetMode="External"/><Relationship Id="rId64" Type="http://schemas.openxmlformats.org/officeDocument/2006/relationships/hyperlink" Target="http://www.globalmangrovewatch.org/" TargetMode="External"/><Relationship Id="rId118" Type="http://schemas.openxmlformats.org/officeDocument/2006/relationships/image" Target="media/image42.png"/><Relationship Id="rId325" Type="http://schemas.openxmlformats.org/officeDocument/2006/relationships/hyperlink" Target="https://doi.org/10.69556/strp.tr12.24" TargetMode="External"/><Relationship Id="rId367" Type="http://schemas.openxmlformats.org/officeDocument/2006/relationships/hyperlink" Target="https://doi.org/10.5281/zenodo.7430682" TargetMode="External"/><Relationship Id="rId171" Type="http://schemas.openxmlformats.org/officeDocument/2006/relationships/hyperlink" Target="https://www.cbd.int/doc/c/ddd1/d3ca/1703a90a7d1c00ef8796ee79/sbi-07-inf-22-en.pdf" TargetMode="External"/><Relationship Id="rId227" Type="http://schemas.openxmlformats.org/officeDocument/2006/relationships/hyperlink" Target="https://ort.cbd.int/database/287718" TargetMode="External"/><Relationship Id="rId269" Type="http://schemas.openxmlformats.org/officeDocument/2006/relationships/hyperlink" Target="https://doi.org/10.5334/dsj-2020-043" TargetMode="External"/><Relationship Id="rId434" Type="http://schemas.openxmlformats.org/officeDocument/2006/relationships/hyperlink" Target="https://www.undrr.org/publication/documents-and-publications/integrating-disaster-risk-reduction-and-biodiversity" TargetMode="External"/><Relationship Id="rId33" Type="http://schemas.openxmlformats.org/officeDocument/2006/relationships/image" Target="media/image8.png"/><Relationship Id="rId129" Type="http://schemas.openxmlformats.org/officeDocument/2006/relationships/image" Target="media/image50.png"/><Relationship Id="rId280" Type="http://schemas.openxmlformats.org/officeDocument/2006/relationships/hyperlink" Target="https://www.cbd.int/doc/meetings/cop/cop-10/official/cop-10-27-corr1-en.pdf" TargetMode="External"/><Relationship Id="rId336" Type="http://schemas.openxmlformats.org/officeDocument/2006/relationships/hyperlink" Target="https://doi.org/10.1007/s10646-024-02748-w" TargetMode="External"/><Relationship Id="rId75" Type="http://schemas.openxmlformats.org/officeDocument/2006/relationships/image" Target="media/image23.png"/><Relationship Id="rId140" Type="http://schemas.openxmlformats.org/officeDocument/2006/relationships/hyperlink" Target="https://iucnsos.org/initiative/european-fund-for-youth-action-on-pollinators/" TargetMode="External"/><Relationship Id="rId182" Type="http://schemas.openxmlformats.org/officeDocument/2006/relationships/image" Target="media/image75.png"/><Relationship Id="rId378" Type="http://schemas.openxmlformats.org/officeDocument/2006/relationships/hyperlink" Target="https://doi.org/10.1016/j.biocon.2023.110068" TargetMode="External"/><Relationship Id="rId403" Type="http://schemas.openxmlformats.org/officeDocument/2006/relationships/hyperlink" Target="https://www.undp.org/publications/integrated-spatial-planning-workbook" TargetMode="External"/><Relationship Id="rId6" Type="http://schemas.openxmlformats.org/officeDocument/2006/relationships/styles" Target="styles.xml"/><Relationship Id="rId238" Type="http://schemas.openxmlformats.org/officeDocument/2006/relationships/hyperlink" Target="https://www.cbd.int/doc/c/ea34/8414/8c5e6797d291af15f33d6e40/cop-16-inf-03-rev1-en.pdf" TargetMode="External"/><Relationship Id="rId445" Type="http://schemas.openxmlformats.org/officeDocument/2006/relationships/hyperlink" Target="https://eur-lex.europa.eu/legal-content/FR/TXT/?uri=COM%3A2023%3A35%3AFIN" TargetMode="External"/><Relationship Id="rId291" Type="http://schemas.openxmlformats.org/officeDocument/2006/relationships/hyperlink" Target="https://www.cbd.int/doc/c/a5a2/459d/35c27fcdd69f8e15a4885bc6/cop-16-13-rev1-fr.pdf" TargetMode="External"/><Relationship Id="rId305" Type="http://schemas.openxmlformats.org/officeDocument/2006/relationships/hyperlink" Target="https://www.unccd.int/sites/default/files/2025-03/2424652F.pdf" TargetMode="External"/><Relationship Id="rId347" Type="http://schemas.openxmlformats.org/officeDocument/2006/relationships/hyperlink" Target="https://doi.org/10.4060/cd8357fr" TargetMode="External"/><Relationship Id="rId44" Type="http://schemas.openxmlformats.org/officeDocument/2006/relationships/hyperlink" Target="https://www.cbd.int/doc/c/ddd1/d3ca/1703a90a7d1c00ef8796ee79/sbi-07-inf-22-en.pdf" TargetMode="External"/><Relationship Id="rId86" Type="http://schemas.openxmlformats.org/officeDocument/2006/relationships/hyperlink" Target="https://www.cbd.int/doc/c/ea34/8414/8c5e6797d291af15f33d6e40/cop-16-inf-03-rev1-en.pdf" TargetMode="External"/><Relationship Id="rId151" Type="http://schemas.openxmlformats.org/officeDocument/2006/relationships/image" Target="media/image61.png"/><Relationship Id="rId389" Type="http://schemas.openxmlformats.org/officeDocument/2006/relationships/hyperlink" Target="https://doi.org/10.1038/ncomms14163" TargetMode="External"/><Relationship Id="rId193" Type="http://schemas.openxmlformats.org/officeDocument/2006/relationships/image" Target="media/image81.png"/><Relationship Id="rId207" Type="http://schemas.openxmlformats.org/officeDocument/2006/relationships/image" Target="media/image90.png"/><Relationship Id="rId249" Type="http://schemas.openxmlformats.org/officeDocument/2006/relationships/hyperlink" Target="https://www.cbd.int/doc/c/ddd1/d3ca/1703a90a7d1c00ef8796ee79/sbi-07-inf-22-en.pdf" TargetMode="External"/><Relationship Id="rId414" Type="http://schemas.openxmlformats.org/officeDocument/2006/relationships/hyperlink" Target="https://docs.un.org/en/UNEP/EA.7/INF/6" TargetMode="External"/><Relationship Id="rId13" Type="http://schemas.openxmlformats.org/officeDocument/2006/relationships/image" Target="media/image3.png"/><Relationship Id="rId109" Type="http://schemas.openxmlformats.org/officeDocument/2006/relationships/hyperlink" Target="https://www.cbd.int/doc/c/85eb/18f4/797b0b3e3accf4f07746e773/cop-16-inf-04-en.pdf" TargetMode="External"/><Relationship Id="rId260" Type="http://schemas.openxmlformats.org/officeDocument/2006/relationships/hyperlink" Target="https://doi.org/10.1098/rstb.2012.0311" TargetMode="External"/><Relationship Id="rId316" Type="http://schemas.openxmlformats.org/officeDocument/2006/relationships/hyperlink" Target="https://minamataconvention.org/fr/resources/mercure-et-biodiversite" TargetMode="External"/><Relationship Id="rId55" Type="http://schemas.openxmlformats.org/officeDocument/2006/relationships/image" Target="media/image14.png"/><Relationship Id="rId97" Type="http://schemas.openxmlformats.org/officeDocument/2006/relationships/hyperlink" Target="https://www.cbd.int/doc/c/85eb/18f4/797b0b3e3accf4f07746e773/cop-16-inf-04-en.pdf" TargetMode="External"/><Relationship Id="rId120" Type="http://schemas.openxmlformats.org/officeDocument/2006/relationships/image" Target="media/image43.png"/><Relationship Id="rId358" Type="http://schemas.openxmlformats.org/officeDocument/2006/relationships/hyperlink" Target="https://www.prc.cm/fr/actualites/actes/lois/7712-loi-n-2025-006-du-25-avril-2025-regissant-la-biosecurite-au-cameroun" TargetMode="External"/><Relationship Id="rId162" Type="http://schemas.openxmlformats.org/officeDocument/2006/relationships/hyperlink" Target="https://www.cbd.int/doc/c/ddd1/d3ca/1703a90a7d1c00ef8796ee79/sbi-07-inf-22-en.pdf" TargetMode="External"/><Relationship Id="rId218" Type="http://schemas.openxmlformats.org/officeDocument/2006/relationships/image" Target="media/image95.png"/><Relationship Id="rId425" Type="http://schemas.openxmlformats.org/officeDocument/2006/relationships/hyperlink" Target="https://wdpa.s3.eu-west-1.amazonaws.com/PAME/METT/METT_4_Handbook.pdf" TargetMode="External"/><Relationship Id="rId271" Type="http://schemas.openxmlformats.org/officeDocument/2006/relationships/hyperlink" Target="https://www.cbd.int/notifications/2025-099" TargetMode="External"/><Relationship Id="rId24" Type="http://schemas.openxmlformats.org/officeDocument/2006/relationships/hyperlink" Target="https://ort.cbd.int/" TargetMode="External"/><Relationship Id="rId66" Type="http://schemas.openxmlformats.org/officeDocument/2006/relationships/hyperlink" Target="https://www.cbd.int/doc/c/ddd1/d3ca/1703a90a7d1c00ef8796ee79/sbi-07-inf-22-en.pdf" TargetMode="External"/><Relationship Id="rId131" Type="http://schemas.openxmlformats.org/officeDocument/2006/relationships/image" Target="media/image52.png"/><Relationship Id="rId327" Type="http://schemas.openxmlformats.org/officeDocument/2006/relationships/hyperlink" Target="https://www.global-wetland-outlook.ramsar.org/outlook" TargetMode="External"/><Relationship Id="rId369" Type="http://schemas.openxmlformats.org/officeDocument/2006/relationships/hyperlink" Target="https://www.ipbes.net/monitoring-assessment" TargetMode="External"/><Relationship Id="rId173" Type="http://schemas.openxmlformats.org/officeDocument/2006/relationships/hyperlink" Target="https://www.cbd.int/doc/c/ea34/8414/8c5e6797d291af15f33d6e40/cop-16-inf-03-rev1-en.pdf" TargetMode="External"/><Relationship Id="rId229" Type="http://schemas.openxmlformats.org/officeDocument/2006/relationships/hyperlink" Target="https://www.cbd.int/doc/c/e965/07b1/1f9cdfb3fe94d857291a9ff2/sbstta-28-inf-09-en.pdf" TargetMode="External"/><Relationship Id="rId380" Type="http://schemas.openxmlformats.org/officeDocument/2006/relationships/hyperlink" Target="https://www.landmarkmap.org/" TargetMode="External"/><Relationship Id="rId436" Type="http://schemas.openxmlformats.org/officeDocument/2006/relationships/hyperlink" Target="https://whc.unesco.org/document/219325" TargetMode="External"/><Relationship Id="rId240" Type="http://schemas.openxmlformats.org/officeDocument/2006/relationships/image" Target="media/image108.png"/><Relationship Id="rId35" Type="http://schemas.openxmlformats.org/officeDocument/2006/relationships/hyperlink" Target="https://www.cbd.int/doc/c/4fc4/fb7a/aee60317b2bf743207635649/sbi-06-inf-05-en.pdf" TargetMode="External"/><Relationship Id="rId77" Type="http://schemas.openxmlformats.org/officeDocument/2006/relationships/image" Target="media/image25.png"/><Relationship Id="rId100" Type="http://schemas.openxmlformats.org/officeDocument/2006/relationships/image" Target="media/image37.png"/><Relationship Id="rId282" Type="http://schemas.openxmlformats.org/officeDocument/2006/relationships/hyperlink" Target="https://www.cbd.int/gbo/gbo4/publication/gbo4-fr-hr.pdf" TargetMode="External"/><Relationship Id="rId338" Type="http://schemas.openxmlformats.org/officeDocument/2006/relationships/hyperlink" Target="https://tnfd.global/recommendations/" TargetMode="External"/><Relationship Id="rId8" Type="http://schemas.openxmlformats.org/officeDocument/2006/relationships/webSettings" Target="webSettings.xml"/><Relationship Id="rId142" Type="http://schemas.openxmlformats.org/officeDocument/2006/relationships/hyperlink" Target="https://www.cbd.int/doc/c/85eb/18f4/797b0b3e3accf4f07746e773/cop-16-inf-04-en.pdf" TargetMode="External"/><Relationship Id="rId184" Type="http://schemas.openxmlformats.org/officeDocument/2006/relationships/hyperlink" Target="https://www.cbd.int/doc/c/85eb/18f4/797b0b3e3accf4f07746e773/cop-16-inf-04-en.pdf" TargetMode="External"/><Relationship Id="rId391" Type="http://schemas.openxmlformats.org/officeDocument/2006/relationships/hyperlink" Target="https://digitallibrary.un.org/record/3923923?ln=fr" TargetMode="External"/><Relationship Id="rId405" Type="http://schemas.openxmlformats.org/officeDocument/2006/relationships/hyperlink" Target="https://wedocs.unep.org/handle/20.500.11822/36703" TargetMode="External"/><Relationship Id="rId447" Type="http://schemas.openxmlformats.org/officeDocument/2006/relationships/hyperlink" Target="https://eur-lex.europa.eu/legal-content/FR/TXT/?uri=OJ:L_202502188" TargetMode="External"/><Relationship Id="rId251" Type="http://schemas.openxmlformats.org/officeDocument/2006/relationships/hyperlink" Target="https://www.cbd.int/doc/c/e965/07b1/1f9cdfb3fe94d857291a9ff2/sbstta-28-inf-09-en.pdf" TargetMode="External"/><Relationship Id="rId46" Type="http://schemas.openxmlformats.org/officeDocument/2006/relationships/hyperlink" Target="https://www.cbd.int/doc/c/e965/07b1/1f9cdfb3fe94d857291a9ff2/sbstta-28-inf-09-en.pdf" TargetMode="External"/><Relationship Id="rId293" Type="http://schemas.openxmlformats.org/officeDocument/2006/relationships/hyperlink" Target="https://www.cdp.net/en/data/monitoring-gbf" TargetMode="External"/><Relationship Id="rId307" Type="http://schemas.openxmlformats.org/officeDocument/2006/relationships/hyperlink" Target="https://www.cbd.int/notifications/2025-099" TargetMode="External"/><Relationship Id="rId349" Type="http://schemas.openxmlformats.org/officeDocument/2006/relationships/hyperlink" Target="https://www.adaptation-undp.org/sites/default/files/resources/Mongolia%20SLA%20Policy%20Brief%20%281%29.pdf" TargetMode="External"/><Relationship Id="rId88" Type="http://schemas.openxmlformats.org/officeDocument/2006/relationships/image" Target="media/image31.png"/><Relationship Id="rId111" Type="http://schemas.openxmlformats.org/officeDocument/2006/relationships/image" Target="media/image38.png"/><Relationship Id="rId153" Type="http://schemas.openxmlformats.org/officeDocument/2006/relationships/image" Target="media/image62.png"/><Relationship Id="rId195" Type="http://schemas.openxmlformats.org/officeDocument/2006/relationships/image" Target="media/image83.png"/><Relationship Id="rId209" Type="http://schemas.openxmlformats.org/officeDocument/2006/relationships/hyperlink" Target="http://www.snib.mx/" TargetMode="External"/><Relationship Id="rId360" Type="http://schemas.openxmlformats.org/officeDocument/2006/relationships/hyperlink" Target="https://oceanpanel.org/wp-content/uploads/2024/09/OP_Progress_2024-Final.pdf" TargetMode="External"/><Relationship Id="rId416" Type="http://schemas.openxmlformats.org/officeDocument/2006/relationships/hyperlink" Target="https://www.unep.org/gef/index.php/projects/implementation-and-institutionalization-national-monitoring-and-management-frameworks" TargetMode="External"/><Relationship Id="rId220" Type="http://schemas.openxmlformats.org/officeDocument/2006/relationships/hyperlink" Target="https://www.cbd.int/doc/c/85eb/18f4/797b0b3e3accf4f07746e773/cop-16-inf-04-en.pdf" TargetMode="External"/><Relationship Id="rId15" Type="http://schemas.openxmlformats.org/officeDocument/2006/relationships/hyperlink" Target="https://www.cbd.int/documents/CBD/SBSTTA/28/2/ADD1/REV1" TargetMode="External"/><Relationship Id="rId57" Type="http://schemas.openxmlformats.org/officeDocument/2006/relationships/hyperlink" Target="https://www.cbd.int/doc/c/ddd1/d3ca/1703a90a7d1c00ef8796ee79/sbi-07-inf-22-en.pdf" TargetMode="External"/><Relationship Id="rId262" Type="http://schemas.openxmlformats.org/officeDocument/2006/relationships/hyperlink" Target="https://docs.un.org/fr/a/res/77/289" TargetMode="External"/><Relationship Id="rId318" Type="http://schemas.openxmlformats.org/officeDocument/2006/relationships/hyperlink" Target="https://www.cbd.int/notifications/2025-099" TargetMode="External"/><Relationship Id="rId99" Type="http://schemas.openxmlformats.org/officeDocument/2006/relationships/image" Target="media/image36.png"/><Relationship Id="rId122" Type="http://schemas.openxmlformats.org/officeDocument/2006/relationships/hyperlink" Target="https://www.cbd.int/doc/c/85eb/18f4/797b0b3e3accf4f07746e773/cop-16-inf-04-en.pdf" TargetMode="External"/><Relationship Id="rId164" Type="http://schemas.openxmlformats.org/officeDocument/2006/relationships/hyperlink" Target="http://www.cdp.net/en/data/monitoring-gbf" TargetMode="External"/><Relationship Id="rId371" Type="http://schemas.openxmlformats.org/officeDocument/2006/relationships/hyperlink" Target="https://doi.org/10.5281/zenodo.13850054" TargetMode="External"/><Relationship Id="rId427" Type="http://schemas.openxmlformats.org/officeDocument/2006/relationships/hyperlink" Target="https://www.fao.org/3/ns530fr/ns530fr.pdf" TargetMode="External"/><Relationship Id="rId26" Type="http://schemas.openxmlformats.org/officeDocument/2006/relationships/hyperlink" Target="https://www.cbd.int/notifications/2025-100" TargetMode="External"/><Relationship Id="rId231" Type="http://schemas.openxmlformats.org/officeDocument/2006/relationships/image" Target="media/image100.png"/><Relationship Id="rId273" Type="http://schemas.openxmlformats.org/officeDocument/2006/relationships/hyperlink" Target="https://unfccc.int/sites/default/files/resource/cma2023_16a01F.pdf" TargetMode="External"/><Relationship Id="rId329" Type="http://schemas.openxmlformats.org/officeDocument/2006/relationships/hyperlink" Target="https://www.ramsar.org/fr/document/cop15-doc9-rev1-rapport-du-secretariat-conformement-larticle-82-sur-la-liste-des-zones" TargetMode="External"/><Relationship Id="rId68" Type="http://schemas.openxmlformats.org/officeDocument/2006/relationships/image" Target="media/image19.png"/><Relationship Id="rId133" Type="http://schemas.openxmlformats.org/officeDocument/2006/relationships/hyperlink" Target="https://www.cbd.int/doc/c/85eb/18f4/797b0b3e3accf4f07746e773/cop-16-inf-04-en.pdf" TargetMode="External"/><Relationship Id="rId175" Type="http://schemas.openxmlformats.org/officeDocument/2006/relationships/image" Target="media/image73.png"/><Relationship Id="rId340" Type="http://schemas.openxmlformats.org/officeDocument/2006/relationships/hyperlink" Target="https://doi.org/10.4060/cb6701en" TargetMode="External"/><Relationship Id="rId200" Type="http://schemas.openxmlformats.org/officeDocument/2006/relationships/image" Target="media/image86.png"/><Relationship Id="rId382" Type="http://schemas.openxmlformats.org/officeDocument/2006/relationships/hyperlink" Target="https://doi.org/10.1016/j.oneear.2022.05.009" TargetMode="External"/><Relationship Id="rId438" Type="http://schemas.openxmlformats.org/officeDocument/2006/relationships/hyperlink" Target="https://whc.unesco.org/fr/decisions/8681/" TargetMode="External"/><Relationship Id="rId242" Type="http://schemas.openxmlformats.org/officeDocument/2006/relationships/image" Target="media/image110.png"/><Relationship Id="rId284" Type="http://schemas.openxmlformats.org/officeDocument/2006/relationships/hyperlink" Target="https://www.cbd.int/doc/c/f74e/9fb7/0a96e44dbe0efad66b180d61/cop-13-25-fr.pdf" TargetMode="External"/><Relationship Id="rId37" Type="http://schemas.openxmlformats.org/officeDocument/2006/relationships/image" Target="media/image9.png"/><Relationship Id="rId79" Type="http://schemas.openxmlformats.org/officeDocument/2006/relationships/image" Target="media/image27.png"/><Relationship Id="rId102" Type="http://schemas.openxmlformats.org/officeDocument/2006/relationships/hyperlink" Target="https://ort.cbd.int/database/287712" TargetMode="External"/><Relationship Id="rId144" Type="http://schemas.openxmlformats.org/officeDocument/2006/relationships/image" Target="media/image57.png"/><Relationship Id="rId90" Type="http://schemas.openxmlformats.org/officeDocument/2006/relationships/hyperlink" Target="https://www.cbd.int/doc/c/ddd1/d3ca/1703a90a7d1c00ef8796ee79/sbi-07-inf-22-en.pdf" TargetMode="External"/><Relationship Id="rId186" Type="http://schemas.openxmlformats.org/officeDocument/2006/relationships/image" Target="media/image77.png"/><Relationship Id="rId351" Type="http://schemas.openxmlformats.org/officeDocument/2006/relationships/hyperlink" Target="https://localbiodiversityoutlooks.net/publications/" TargetMode="External"/><Relationship Id="rId393" Type="http://schemas.openxmlformats.org/officeDocument/2006/relationships/hyperlink" Target="https://doi.org/10.1038/s41559-023-02320-5" TargetMode="External"/><Relationship Id="rId407" Type="http://schemas.openxmlformats.org/officeDocument/2006/relationships/hyperlink" Target="https://wedocs.unep.org/items/0acdac69-9e34-47da-8f2c-fbf77b78895a" TargetMode="External"/><Relationship Id="rId449" Type="http://schemas.openxmlformats.org/officeDocument/2006/relationships/hyperlink" Target="https://doi.org/10.1038/sdata.2016.18" TargetMode="External"/><Relationship Id="rId211" Type="http://schemas.openxmlformats.org/officeDocument/2006/relationships/hyperlink" Target="https://catalogo.inpi.gob.mx/" TargetMode="External"/><Relationship Id="rId253" Type="http://schemas.openxmlformats.org/officeDocument/2006/relationships/header" Target="header1.xml"/><Relationship Id="rId295" Type="http://schemas.openxmlformats.org/officeDocument/2006/relationships/hyperlink" Target="https://unece.org/environment-policy/public-participation/aarhus-convention/text" TargetMode="External"/><Relationship Id="rId309" Type="http://schemas.openxmlformats.org/officeDocument/2006/relationships/hyperlink" Target="https://whc.unesco.org/fr/decisions/8658/" TargetMode="External"/><Relationship Id="rId48" Type="http://schemas.openxmlformats.org/officeDocument/2006/relationships/image" Target="media/image11.emf"/><Relationship Id="rId113" Type="http://schemas.openxmlformats.org/officeDocument/2006/relationships/image" Target="media/image39.png"/><Relationship Id="rId320" Type="http://schemas.openxmlformats.org/officeDocument/2006/relationships/hyperlink" Target="https://saiga.cms.int/document/medium-term-international-work-programme-saiga-antelope-2021-2025" TargetMode="External"/><Relationship Id="rId155" Type="http://schemas.openxmlformats.org/officeDocument/2006/relationships/hyperlink" Target="https://www.cbd.int/doc/c/85eb/18f4/797b0b3e3accf4f07746e773/cop-16-inf-04-en.pdf" TargetMode="External"/><Relationship Id="rId197" Type="http://schemas.openxmlformats.org/officeDocument/2006/relationships/image" Target="media/image85.png"/><Relationship Id="rId362" Type="http://schemas.openxmlformats.org/officeDocument/2006/relationships/hyperlink" Target="https://www.pbl.nl/en/publications/from-global-ambition-to-national-commitments-national-target-setting-under-the-global-biodiversity-framework" TargetMode="External"/><Relationship Id="rId418" Type="http://schemas.openxmlformats.org/officeDocument/2006/relationships/hyperlink" Target="https://www.prindex.net/data/" TargetMode="External"/><Relationship Id="rId222" Type="http://schemas.openxmlformats.org/officeDocument/2006/relationships/image" Target="media/image96.png"/><Relationship Id="rId264" Type="http://schemas.openxmlformats.org/officeDocument/2006/relationships/hyperlink" Target="https://doi.org/10.1038/s44183-024-00058-6" TargetMode="External"/><Relationship Id="rId17" Type="http://schemas.openxmlformats.org/officeDocument/2006/relationships/image" Target="media/image5.png"/><Relationship Id="rId59" Type="http://schemas.openxmlformats.org/officeDocument/2006/relationships/image" Target="media/image16.png"/><Relationship Id="rId124" Type="http://schemas.openxmlformats.org/officeDocument/2006/relationships/image" Target="media/image45.png"/><Relationship Id="rId70" Type="http://schemas.openxmlformats.org/officeDocument/2006/relationships/image" Target="media/image21.png"/><Relationship Id="rId166" Type="http://schemas.openxmlformats.org/officeDocument/2006/relationships/hyperlink" Target="https://www.cbd.int/doc/c/ea34/8414/8c5e6797d291af15f33d6e40/cop-16-inf-03-rev1-en.pdf" TargetMode="External"/><Relationship Id="rId331" Type="http://schemas.openxmlformats.org/officeDocument/2006/relationships/hyperlink" Target="https://www.ramsar.org/sites/default/files/2025-09/Convention_on_Wetlands_fifth_strategic_plan_f.pdf" TargetMode="External"/><Relationship Id="rId373" Type="http://schemas.openxmlformats.org/officeDocument/2006/relationships/hyperlink" Target="https://doi.org/10.5281/zenodo.17185116" TargetMode="External"/><Relationship Id="rId429" Type="http://schemas.openxmlformats.org/officeDocument/2006/relationships/hyperlink" Target="https://www.cbd.int/notifications/2025-099" TargetMode="External"/><Relationship Id="rId1" Type="http://schemas.openxmlformats.org/officeDocument/2006/relationships/customXml" Target="../customXml/item1.xml"/><Relationship Id="rId233" Type="http://schemas.openxmlformats.org/officeDocument/2006/relationships/image" Target="media/image102.png"/><Relationship Id="rId440" Type="http://schemas.openxmlformats.org/officeDocument/2006/relationships/hyperlink" Target="https://www.biosphere2025.org.cn/content/content_9084168.html" TargetMode="External"/><Relationship Id="rId28" Type="http://schemas.openxmlformats.org/officeDocument/2006/relationships/hyperlink" Target="https://www.cbd.int/doc/c/2bca/cda4/adde2746861f8ded6864c4d2/sbstta-28-inf-11-en.pdf" TargetMode="External"/><Relationship Id="rId275" Type="http://schemas.openxmlformats.org/officeDocument/2006/relationships/hyperlink" Target="https://www.cbd.int/gbo" TargetMode="External"/><Relationship Id="rId300" Type="http://schemas.openxmlformats.org/officeDocument/2006/relationships/hyperlink" Target="https://cites.org/fra/res/index.php" TargetMode="External"/><Relationship Id="rId81" Type="http://schemas.openxmlformats.org/officeDocument/2006/relationships/hyperlink" Target="https://altyndala.org/" TargetMode="External"/><Relationship Id="rId135" Type="http://schemas.openxmlformats.org/officeDocument/2006/relationships/image" Target="media/image53.png"/><Relationship Id="rId177" Type="http://schemas.openxmlformats.org/officeDocument/2006/relationships/hyperlink" Target="http://www.diesco.com/en/commitment/our-environment/" TargetMode="External"/><Relationship Id="rId342" Type="http://schemas.openxmlformats.org/officeDocument/2006/relationships/hyperlink" Target="https://openknowledge.fao.org/server/api/core/bitstreams/77e575e1-2ec6-4bfe-9d5a-f5bfa645a454/content" TargetMode="External"/><Relationship Id="rId384" Type="http://schemas.openxmlformats.org/officeDocument/2006/relationships/hyperlink" Target="https://doi.org/10.5061/DRYAD.BK3J9KDKM" TargetMode="External"/><Relationship Id="rId202" Type="http://schemas.openxmlformats.org/officeDocument/2006/relationships/image" Target="media/image87.png"/><Relationship Id="rId244" Type="http://schemas.openxmlformats.org/officeDocument/2006/relationships/image" Target="media/image112.png"/><Relationship Id="rId39" Type="http://schemas.openxmlformats.org/officeDocument/2006/relationships/hyperlink" Target="https://www.cbd.int/doc/c/9b68/9425/93f17281d4d5538a1d06cf06/sbi-07-inf-13-en.pdf" TargetMode="External"/><Relationship Id="rId286" Type="http://schemas.openxmlformats.org/officeDocument/2006/relationships/hyperlink" Target="https://www.cbd.int/gbo/gbo5/publication/gbo-5-fr.pdf" TargetMode="External"/><Relationship Id="rId451" Type="http://schemas.openxmlformats.org/officeDocument/2006/relationships/header" Target="header3.xml"/><Relationship Id="rId50" Type="http://schemas.openxmlformats.org/officeDocument/2006/relationships/hyperlink" Target="https://www.cbd.int/doc/c/ddd1/d3ca/1703a90a7d1c00ef8796ee79/sbi-07-inf-22-en.pdf" TargetMode="External"/><Relationship Id="rId104" Type="http://schemas.openxmlformats.org/officeDocument/2006/relationships/hyperlink" Target="https://ort.cbd.int/database/287709" TargetMode="External"/><Relationship Id="rId146" Type="http://schemas.openxmlformats.org/officeDocument/2006/relationships/hyperlink" Target="https://www.cbd.int/doc/c/ea34/8414/8c5e6797d291af15f33d6e40/cop-16-inf-03-rev1-en.pdf" TargetMode="External"/><Relationship Id="rId188" Type="http://schemas.openxmlformats.org/officeDocument/2006/relationships/image" Target="media/image79.png"/><Relationship Id="rId311" Type="http://schemas.openxmlformats.org/officeDocument/2006/relationships/hyperlink" Target="https://doi.org/10.2779/652219" TargetMode="External"/><Relationship Id="rId353" Type="http://schemas.openxmlformats.org/officeDocument/2006/relationships/hyperlink" Target="https://thedocs.worldbank.org/en/doc/4b347cebf3722a5af3500909c71ea022-0320052025/original/7-CREMA.pdf" TargetMode="External"/><Relationship Id="rId395" Type="http://schemas.openxmlformats.org/officeDocument/2006/relationships/hyperlink" Target="https://oecd-main.shinyapps.io/pinedatabase" TargetMode="External"/><Relationship Id="rId409" Type="http://schemas.openxmlformats.org/officeDocument/2006/relationships/hyperlink" Target="https://wedocs.unep.org/items/51420dde-87c9-41af-b192-2c1a701f1ac3"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ferm.fao.org/fr" TargetMode="External"/><Relationship Id="rId18" Type="http://schemas.openxmlformats.org/officeDocument/2006/relationships/hyperlink" Target="http://www.cbd.int/invasive/IALG" TargetMode="External"/><Relationship Id="rId26" Type="http://schemas.openxmlformats.org/officeDocument/2006/relationships/hyperlink" Target="https://seea.un.org/ecosystem-accounting/" TargetMode="External"/><Relationship Id="rId39" Type="http://schemas.openxmlformats.org/officeDocument/2006/relationships/hyperlink" Target="https://www.unep.org/environmentassembly/unea7/mea-day" TargetMode="External"/><Relationship Id="rId21" Type="http://schemas.openxmlformats.org/officeDocument/2006/relationships/hyperlink" Target="https://rioconventions.org/" TargetMode="External"/><Relationship Id="rId34" Type="http://schemas.openxmlformats.org/officeDocument/2006/relationships/hyperlink" Target="https://global-ecosystems.org/" TargetMode="External"/><Relationship Id="rId42" Type="http://schemas.openxmlformats.org/officeDocument/2006/relationships/hyperlink" Target="https://rioconventions.org/case-studies" TargetMode="External"/><Relationship Id="rId47" Type="http://schemas.openxmlformats.org/officeDocument/2006/relationships/hyperlink" Target="https://www.iso.org/biodiversity" TargetMode="External"/><Relationship Id="rId7" Type="http://schemas.openxmlformats.org/officeDocument/2006/relationships/hyperlink" Target="https://www.cbd.int/doc/c/ddd1/d3ca/1703a90a7d1c00ef8796ee79/sbi-07-inf-22-en.pdf" TargetMode="External"/><Relationship Id="rId2" Type="http://schemas.openxmlformats.org/officeDocument/2006/relationships/hyperlink" Target="http://www.cbd.int/notifications/2025-099" TargetMode="External"/><Relationship Id="rId16" Type="http://schemas.openxmlformats.org/officeDocument/2006/relationships/hyperlink" Target="http://www.fao.org/forestry-fao/wildlife-partnership/en/" TargetMode="External"/><Relationship Id="rId29" Type="http://schemas.openxmlformats.org/officeDocument/2006/relationships/hyperlink" Target="https://bch.cbd.int/protocol" TargetMode="External"/><Relationship Id="rId1" Type="http://schemas.openxmlformats.org/officeDocument/2006/relationships/hyperlink" Target="https://www.cbd.int/documents/CBD/COP/17/1/REV1" TargetMode="External"/><Relationship Id="rId6" Type="http://schemas.openxmlformats.org/officeDocument/2006/relationships/hyperlink" Target="https://nbsapaccelerator.org/" TargetMode="External"/><Relationship Id="rId11" Type="http://schemas.openxmlformats.org/officeDocument/2006/relationships/hyperlink" Target="https://ferm.fao.org/fr" TargetMode="External"/><Relationship Id="rId24" Type="http://schemas.openxmlformats.org/officeDocument/2006/relationships/hyperlink" Target="http://www.unesco.org/en/soil-initiative" TargetMode="External"/><Relationship Id="rId32" Type="http://schemas.openxmlformats.org/officeDocument/2006/relationships/hyperlink" Target="http://www.biofin.org/news-and-media/global-momentum-nature-finance-undps-biodiversity-finance-initiative-helps-countries" TargetMode="External"/><Relationship Id="rId37" Type="http://schemas.openxmlformats.org/officeDocument/2006/relationships/hyperlink" Target="https://ginamo.org/" TargetMode="External"/><Relationship Id="rId40" Type="http://schemas.openxmlformats.org/officeDocument/2006/relationships/hyperlink" Target="http://www.cbd.int/blg" TargetMode="External"/><Relationship Id="rId45" Type="http://schemas.openxmlformats.org/officeDocument/2006/relationships/hyperlink" Target="https://cites.org/fra/documents/Strategic_vision" TargetMode="External"/><Relationship Id="rId5" Type="http://schemas.openxmlformats.org/officeDocument/2006/relationships/hyperlink" Target="https://www.un.org/dgacm/fr/content/regional-groups" TargetMode="External"/><Relationship Id="rId15" Type="http://schemas.openxmlformats.org/officeDocument/2006/relationships/hyperlink" Target="https://rsis.ramsar.org/fr" TargetMode="External"/><Relationship Id="rId23" Type="http://schemas.openxmlformats.org/officeDocument/2006/relationships/hyperlink" Target="http://www.fao.org/sustainable-development-goals-data-portal/data/indicators/indicator-241-proxy-progress-towards-productive-and-sustainable-agriculture/en" TargetMode="External"/><Relationship Id="rId28" Type="http://schemas.openxmlformats.org/officeDocument/2006/relationships/hyperlink" Target="https://thecalifund.org/" TargetMode="External"/><Relationship Id="rId36" Type="http://schemas.openxmlformats.org/officeDocument/2006/relationships/hyperlink" Target="https://www.biodiversa.eu/2024/04/15/ginamo/" TargetMode="External"/><Relationship Id="rId10" Type="http://schemas.openxmlformats.org/officeDocument/2006/relationships/hyperlink" Target="https://www.mspglobal2030.org/fr/msp-global/" TargetMode="External"/><Relationship Id="rId19" Type="http://schemas.openxmlformats.org/officeDocument/2006/relationships/hyperlink" Target="https://www.unep.org/fr/cadre-mondial-sur-les-produits-chimiques" TargetMode="External"/><Relationship Id="rId31" Type="http://schemas.openxmlformats.org/officeDocument/2006/relationships/hyperlink" Target="http://www.biofin.org/about-biofin/biofin-approach" TargetMode="External"/><Relationship Id="rId44" Type="http://schemas.openxmlformats.org/officeDocument/2006/relationships/hyperlink" Target="https://www.unccd.int/resources/other/belem-joint-statement-rio-conventions" TargetMode="External"/><Relationship Id="rId4" Type="http://schemas.openxmlformats.org/officeDocument/2006/relationships/hyperlink" Target="https://ort.cbd.int/fr" TargetMode="External"/><Relationship Id="rId9" Type="http://schemas.openxmlformats.org/officeDocument/2006/relationships/hyperlink" Target="https://unbiodiversitylab.org/fr/integrated-spatial-planning/mapping-essential-life-support-areas-elsas/" TargetMode="External"/><Relationship Id="rId14" Type="http://schemas.openxmlformats.org/officeDocument/2006/relationships/hyperlink" Target="https://www.cms.int/topics/atlas-animal-migration" TargetMode="External"/><Relationship Id="rId22" Type="http://schemas.openxmlformats.org/officeDocument/2006/relationships/hyperlink" Target="https://whc.unesco.org/fr/resiliencedesrecifs/" TargetMode="External"/><Relationship Id="rId27" Type="http://schemas.openxmlformats.org/officeDocument/2006/relationships/hyperlink" Target="https://sdgs.unep.org/article/sdg-indicator-1171" TargetMode="External"/><Relationship Id="rId30" Type="http://schemas.openxmlformats.org/officeDocument/2006/relationships/hyperlink" Target="https://www.wto.org/french/news_f/news25_f/fish_15sep25_f.htm" TargetMode="External"/><Relationship Id="rId35" Type="http://schemas.openxmlformats.org/officeDocument/2006/relationships/hyperlink" Target="https://globalecosystemsatlas.org/" TargetMode="External"/><Relationship Id="rId43" Type="http://schemas.openxmlformats.org/officeDocument/2006/relationships/hyperlink" Target="https://www.cop28.com/en/joint-statement-on-climate-nature" TargetMode="External"/><Relationship Id="rId8" Type="http://schemas.openxmlformats.org/officeDocument/2006/relationships/hyperlink" Target="http://www.cbd.int/notifications/2025-099" TargetMode="External"/><Relationship Id="rId3" Type="http://schemas.openxmlformats.org/officeDocument/2006/relationships/hyperlink" Target="https://ort.cbd.int/fr/stakeholders/commitments" TargetMode="External"/><Relationship Id="rId12" Type="http://schemas.openxmlformats.org/officeDocument/2006/relationships/hyperlink" Target="https://www.decadeonrestoration.org/fr" TargetMode="External"/><Relationship Id="rId17" Type="http://schemas.openxmlformats.org/officeDocument/2006/relationships/hyperlink" Target="https://www.fao.org/in-action/swm-programme/home/fr" TargetMode="External"/><Relationship Id="rId25" Type="http://schemas.openxmlformats.org/officeDocument/2006/relationships/hyperlink" Target="https://www.fao.org/cgrfa/resources/publications/fr" TargetMode="External"/><Relationship Id="rId33" Type="http://schemas.openxmlformats.org/officeDocument/2006/relationships/hyperlink" Target="http://www.gbif.org/the-gbif-network" TargetMode="External"/><Relationship Id="rId38" Type="http://schemas.openxmlformats.org/officeDocument/2006/relationships/hyperlink" Target="http://www.cbd.int/notifications/2025-099" TargetMode="External"/><Relationship Id="rId46" Type="http://schemas.openxmlformats.org/officeDocument/2006/relationships/hyperlink" Target="https://www.fao.org/biodiversity/knowledge-hub/fr" TargetMode="External"/><Relationship Id="rId20" Type="http://schemas.openxmlformats.org/officeDocument/2006/relationships/hyperlink" Target="https://www.planetgold.org/fr/about" TargetMode="External"/><Relationship Id="rId41" Type="http://schemas.openxmlformats.org/officeDocument/2006/relationships/hyperlink" Target="https://rioconventions.org/joint-liaison-group-rio-conven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CCC864-06AA-3B4F-B06F-8F0E36FDE725}">
  <ds:schemaRefs>
    <ds:schemaRef ds:uri="http://schemas.openxmlformats.org/officeDocument/2006/bibliography"/>
  </ds:schemaRefs>
</ds:datastoreItem>
</file>

<file path=customXml/itemProps2.xml><?xml version="1.0" encoding="utf-8"?>
<ds:datastoreItem xmlns:ds="http://schemas.openxmlformats.org/officeDocument/2006/customXml" ds:itemID="{D7A4A394-3B5A-4C57-A1F7-F0859FD4E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8CDEE4-EFB7-4022-A848-496F9D13070B}">
  <ds:schemaRefs>
    <ds:schemaRef ds:uri="http://schemas.microsoft.com/office/2006/metadata/properties"/>
    <ds:schemaRef ds:uri="http://schemas.microsoft.com/office/infopath/2007/PartnerControls"/>
    <ds:schemaRef ds:uri="292e8265-61e8-4476-9c6d-719af089d244"/>
    <ds:schemaRef ds:uri="c89cf9d1-532e-4c94-875d-12e9041bbcb0"/>
  </ds:schemaRefs>
</ds:datastoreItem>
</file>

<file path=customXml/itemProps4.xml><?xml version="1.0" encoding="utf-8"?>
<ds:datastoreItem xmlns:ds="http://schemas.openxmlformats.org/officeDocument/2006/customXml" ds:itemID="{B1AC26B3-CD26-473D-B04B-A32CA59BD947}">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315</TotalTime>
  <Pages>504</Pages>
  <Words>180369</Words>
  <Characters>1028108</Characters>
  <Application>Microsoft Office Word</Application>
  <DocSecurity>0</DocSecurity>
  <Lines>8567</Lines>
  <Paragraphs>2412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Hirsch</dc:creator>
  <cp:keywords/>
  <dc:description/>
  <cp:lastModifiedBy>Vincent Hulin</cp:lastModifiedBy>
  <cp:revision>195</cp:revision>
  <dcterms:created xsi:type="dcterms:W3CDTF">2026-10-13T16:42:00Z</dcterms:created>
  <dcterms:modified xsi:type="dcterms:W3CDTF">2026-10-14T19:26:00Z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y fmtid="{D5CDD505-2E9C-101B-9397-08002B2CF9AE}" pid="4" name="ZOTERO_PREF_2">
    <vt:lpwstr>ournalAbbreviations" value="true"/&gt;&lt;pref name="dontAskDelayCitationUpdates" value="true"/&gt;&lt;/prefs&gt;&lt;/data&gt;</vt:lpwstr>
  </property>
  <property fmtid="{D5CDD505-2E9C-101B-9397-08002B2CF9AE}" pid="5" name="ZOTERO_PREF_1">
    <vt:lpwstr>&lt;data data-version="3" zotero-version="9.0.6"&gt;&lt;session id="x6YQVlo7"/&gt;&lt;style id="http://www.zotero.org/styles/cbd-global-report-final" hasBibliography="1" bibliographyStyleHasBeenSet="1"/&gt;&lt;prefs&gt;&lt;pref name="fieldType" value="Field"/&gt;&lt;pref name="automaticJ</vt:lpwstr>
  </property>
</Properties>
</file>